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413974">
      <w:pPr>
        <w:overflowPunct w:val="0"/>
        <w:snapToGrid w:val="0"/>
        <w:spacing w:after="240" w:afterLines="100" w:line="30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4CD3166B">
      <w:pPr>
        <w:overflowPunct w:val="0"/>
        <w:snapToGrid w:val="0"/>
        <w:spacing w:after="240" w:afterLines="100" w:line="300" w:lineRule="auto"/>
        <w:rPr>
          <w:rFonts w:ascii="Times New Roman" w:hAnsi="Times New Roman" w:eastAsia="Times New Roman" w:cs="Times New Roman"/>
          <w:sz w:val="20"/>
          <w:szCs w:val="20"/>
        </w:rPr>
      </w:pPr>
    </w:p>
    <w:p w14:paraId="0BF90A26">
      <w:pPr>
        <w:overflowPunct w:val="0"/>
        <w:snapToGrid w:val="0"/>
        <w:spacing w:after="240" w:afterLines="100" w:line="300" w:lineRule="auto"/>
        <w:rPr>
          <w:rFonts w:ascii="Times New Roman" w:hAnsi="Times New Roman" w:eastAsia="Times New Roman" w:cs="Times New Roman"/>
          <w:sz w:val="20"/>
          <w:szCs w:val="20"/>
        </w:rPr>
      </w:pPr>
    </w:p>
    <w:p w14:paraId="2E123DE1">
      <w:pPr>
        <w:overflowPunct w:val="0"/>
        <w:snapToGrid w:val="0"/>
        <w:spacing w:after="240" w:afterLines="100" w:line="300" w:lineRule="auto"/>
        <w:rPr>
          <w:rFonts w:ascii="Times New Roman" w:hAnsi="Times New Roman" w:eastAsia="Times New Roman" w:cs="Times New Roman"/>
          <w:sz w:val="20"/>
          <w:szCs w:val="20"/>
        </w:rPr>
      </w:pPr>
    </w:p>
    <w:p w14:paraId="4B23AF5F">
      <w:pPr>
        <w:overflowPunct w:val="0"/>
        <w:snapToGrid w:val="0"/>
        <w:spacing w:after="240" w:afterLines="100" w:line="300" w:lineRule="auto"/>
        <w:rPr>
          <w:rFonts w:ascii="Arial" w:hAnsi="Arial" w:eastAsia="宋体" w:cs="Arial"/>
          <w:sz w:val="64"/>
          <w:szCs w:val="64"/>
        </w:rPr>
      </w:pPr>
      <w:r>
        <w:rPr>
          <w:rFonts w:hint="eastAsia" w:ascii="Arial" w:eastAsia="宋体"/>
          <w:b/>
          <w:sz w:val="64"/>
        </w:rPr>
        <w:t>CPG章节310.100 起搏器重复使用</w:t>
      </w:r>
    </w:p>
    <w:p w14:paraId="2D69E9AC">
      <w:pPr>
        <w:pStyle w:val="2"/>
        <w:overflowPunct w:val="0"/>
        <w:snapToGrid w:val="0"/>
        <w:spacing w:after="240" w:afterLines="100" w:line="300" w:lineRule="auto"/>
        <w:ind w:left="0"/>
        <w:rPr>
          <w:sz w:val="28"/>
          <w:szCs w:val="28"/>
        </w:rPr>
      </w:pPr>
      <w:r>
        <w:rPr>
          <w:rFonts w:hint="eastAsia"/>
          <w:sz w:val="28"/>
          <w:szCs w:val="28"/>
        </w:rPr>
        <w:t>背景：</w:t>
      </w:r>
    </w:p>
    <w:p w14:paraId="35FF0055">
      <w:pPr>
        <w:pStyle w:val="2"/>
        <w:overflowPunct w:val="0"/>
        <w:snapToGrid w:val="0"/>
        <w:spacing w:after="240" w:afterLines="100" w:line="300" w:lineRule="auto"/>
        <w:ind w:left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器械和放射卫生中心已经了解到心脏起搏器重复使用的可能性。*中心*医学专家已对该情况进行研究，并已确定由于体液进入起搏器终端引线的可能性，起搏器植入后是否可以适当地重复灭菌是一个严重的问题。这也可能造成第二接受者出现外源蛋白质问题。</w:t>
      </w:r>
    </w:p>
    <w:p w14:paraId="22A67478">
      <w:pPr>
        <w:pStyle w:val="2"/>
        <w:overflowPunct w:val="0"/>
        <w:snapToGrid w:val="0"/>
        <w:spacing w:after="240" w:afterLines="100" w:line="300" w:lineRule="auto"/>
        <w:ind w:left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政策：</w:t>
      </w:r>
    </w:p>
    <w:p w14:paraId="64E76189">
      <w:pPr>
        <w:pStyle w:val="2"/>
        <w:overflowPunct w:val="0"/>
        <w:snapToGrid w:val="0"/>
        <w:spacing w:after="240" w:afterLines="100" w:line="300" w:lineRule="auto"/>
        <w:ind w:left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起搏器重复使用是一种不良实践。任何研究起搏器重复使用的人都应该获得并提交完整的信息给* HFZ-300 *进行评估。</w:t>
      </w:r>
    </w:p>
    <w:p w14:paraId="5EAF367C">
      <w:pPr>
        <w:pStyle w:val="2"/>
        <w:overflowPunct w:val="0"/>
        <w:snapToGrid w:val="0"/>
        <w:spacing w:after="240" w:afterLines="100" w:line="300" w:lineRule="auto"/>
        <w:ind w:left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*星号之间的材料是新材料或改进材料*</w:t>
      </w:r>
    </w:p>
    <w:p w14:paraId="1273F14B">
      <w:pPr>
        <w:pStyle w:val="2"/>
        <w:overflowPunct w:val="0"/>
        <w:snapToGrid w:val="0"/>
        <w:spacing w:after="240" w:afterLines="100" w:line="300" w:lineRule="auto"/>
        <w:ind w:left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发布日期：1980年10月1日</w:t>
      </w:r>
    </w:p>
    <w:p w14:paraId="25D1CF7E">
      <w:pPr>
        <w:pStyle w:val="2"/>
        <w:overflowPunct w:val="0"/>
        <w:snapToGrid w:val="0"/>
        <w:spacing w:after="240" w:afterLines="100" w:line="300" w:lineRule="auto"/>
        <w:ind w:left="0"/>
        <w:rPr>
          <w:sz w:val="28"/>
          <w:szCs w:val="28"/>
        </w:rPr>
      </w:pPr>
      <w:r>
        <w:rPr>
          <w:rFonts w:hint="eastAsia"/>
          <w:sz w:val="28"/>
          <w:szCs w:val="28"/>
        </w:rPr>
        <w:t>修订日期：1995年3月</w:t>
      </w:r>
    </w:p>
    <w:tbl>
      <w:tblPr>
        <w:tblStyle w:val="7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96"/>
      </w:tblGrid>
      <w:tr w14:paraId="30BDD6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tcBorders>
              <w:top w:val="single" w:color="4F81BD" w:themeColor="accent1" w:sz="12" w:space="0"/>
              <w:left w:val="single" w:color="4F81BD" w:themeColor="accent1" w:sz="12" w:space="0"/>
              <w:bottom w:val="single" w:color="4F81BD" w:themeColor="accent1" w:sz="12" w:space="0"/>
              <w:right w:val="single" w:color="4F81BD" w:themeColor="accent1" w:sz="12" w:space="0"/>
            </w:tcBorders>
            <w:vAlign w:val="center"/>
          </w:tcPr>
          <w:p w14:paraId="65D7F5EC">
            <w:pPr>
              <w:pStyle w:val="9"/>
              <w:overflowPunct w:val="0"/>
              <w:snapToGrid w:val="0"/>
              <w:spacing w:before="120" w:beforeLines="50" w:after="120" w:afterLines="50" w:line="276" w:lineRule="auto"/>
              <w:ind w:left="44" w:leftChars="20" w:right="44" w:rightChars="20"/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"https://www.fda.gov/ICECI/ComplianceManuals/CompliancePolicyGuidanceManual/default.htm" \h </w:instrText>
            </w:r>
            <w:r>
              <w:fldChar w:fldCharType="separate"/>
            </w:r>
            <w:r>
              <w:rPr>
                <w:rFonts w:hint="eastAsia" w:ascii="Arial" w:eastAsia="宋体"/>
                <w:b/>
                <w:sz w:val="24"/>
                <w:szCs w:val="24"/>
              </w:rPr>
              <w:t>合规政策指南的更多信息</w:t>
            </w:r>
            <w:r>
              <w:rPr>
                <w:rFonts w:ascii="Arial" w:eastAsia="宋体"/>
                <w:b/>
                <w:sz w:val="24"/>
                <w:szCs w:val="24"/>
              </w:rPr>
              <w:br w:type="textWrapping"/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>(/ICECI/Compliance Manuals/Compliance PolicyGuidance Manual/default.htm)</w:t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fldChar w:fldCharType="end"/>
            </w:r>
          </w:p>
        </w:tc>
      </w:tr>
      <w:tr w14:paraId="26D19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tcBorders>
              <w:top w:val="single" w:color="4F81BD" w:themeColor="accent1" w:sz="12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311FC71D">
            <w:pPr>
              <w:pStyle w:val="9"/>
              <w:overflowPunct w:val="0"/>
              <w:snapToGrid w:val="0"/>
              <w:spacing w:before="120" w:beforeLines="50" w:after="120" w:afterLines="50" w:line="276" w:lineRule="auto"/>
              <w:ind w:left="44" w:leftChars="20" w:right="44" w:rightChars="20"/>
              <w:rPr>
                <w:rFonts w:ascii="Arial" w:hAnsi="Arial" w:eastAsia="宋体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"https://www.fda.gov/ICECI/ComplianceManuals/CompliancePolicyGuidanceManual/ucm116271.htm" \h </w:instrText>
            </w:r>
            <w:r>
              <w:fldChar w:fldCharType="separate"/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>前言：合规政策指南（CPG）</w:t>
            </w:r>
            <w:r>
              <w:rPr>
                <w:rFonts w:ascii="Arial" w:eastAsia="宋体"/>
                <w:b/>
                <w:sz w:val="24"/>
                <w:szCs w:val="24"/>
                <w:u w:val="single" w:color="000000"/>
              </w:rPr>
              <w:br w:type="textWrapping"/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>(/ICECI/Compliance Manuals/Compliance PolicyGuidance Manual/ucm116271.htm)</w:t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fldChar w:fldCharType="end"/>
            </w:r>
          </w:p>
        </w:tc>
      </w:tr>
      <w:tr w14:paraId="355B8A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32574EE4">
            <w:pPr>
              <w:pStyle w:val="9"/>
              <w:overflowPunct w:val="0"/>
              <w:snapToGrid w:val="0"/>
              <w:spacing w:before="120" w:beforeLines="50" w:after="120" w:afterLines="50" w:line="276" w:lineRule="auto"/>
              <w:ind w:left="44" w:leftChars="20" w:right="44" w:rightChars="20"/>
              <w:rPr>
                <w:rFonts w:ascii="Arial" w:hAnsi="Arial" w:eastAsia="宋体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"https://www.fda.gov/ICECI/ComplianceManuals/CompliancePolicyGuidanceManual/ucm116280.htm" \h </w:instrText>
            </w:r>
            <w:r>
              <w:fldChar w:fldCharType="separate"/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>第一章-通则</w:t>
            </w:r>
            <w:r>
              <w:rPr>
                <w:rFonts w:ascii="Arial" w:eastAsia="宋体"/>
                <w:b/>
                <w:sz w:val="24"/>
                <w:szCs w:val="24"/>
                <w:u w:val="single" w:color="000000"/>
              </w:rPr>
              <w:br w:type="textWrapping"/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>(/ICECI/Compliance Manuals/Compliance PolicyGuidance Manual/ucm116280.htm)</w:t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fldChar w:fldCharType="end"/>
            </w:r>
          </w:p>
        </w:tc>
      </w:tr>
      <w:tr w14:paraId="4AB05E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06705DE3">
            <w:pPr>
              <w:pStyle w:val="9"/>
              <w:overflowPunct w:val="0"/>
              <w:snapToGrid w:val="0"/>
              <w:spacing w:before="120" w:beforeLines="50" w:after="120" w:afterLines="50" w:line="276" w:lineRule="auto"/>
              <w:ind w:left="44" w:leftChars="20" w:right="44" w:rightChars="20"/>
              <w:rPr>
                <w:rFonts w:ascii="Arial" w:hAnsi="Arial" w:eastAsia="宋体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"https://www.fda.gov/ICECI/ComplianceManuals/CompliancePolicyGuidanceManual/ucm116336.htm" \h </w:instrText>
            </w:r>
            <w:r>
              <w:fldChar w:fldCharType="separate"/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>第二章-生物制剂</w:t>
            </w:r>
            <w:r>
              <w:rPr>
                <w:rFonts w:ascii="Arial" w:eastAsia="宋体"/>
                <w:b/>
                <w:sz w:val="24"/>
                <w:szCs w:val="24"/>
                <w:u w:val="single" w:color="000000"/>
              </w:rPr>
              <w:br w:type="textWrapping"/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>(/ICECI/Compliance Manuals/Compliance PolicyGuidance Manual/ucm116336.htm)</w:t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fldChar w:fldCharType="end"/>
            </w:r>
          </w:p>
        </w:tc>
      </w:tr>
      <w:tr w14:paraId="3DC9EB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5A93A0D3">
            <w:pPr>
              <w:pStyle w:val="9"/>
              <w:overflowPunct w:val="0"/>
              <w:snapToGrid w:val="0"/>
              <w:spacing w:before="120" w:beforeLines="50" w:after="120" w:afterLines="50" w:line="276" w:lineRule="auto"/>
              <w:ind w:left="44" w:leftChars="20" w:right="44" w:rightChars="20"/>
              <w:rPr>
                <w:rFonts w:ascii="Arial" w:hAnsi="Arial" w:eastAsia="宋体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"https://www.fda.gov/ICECI/ComplianceManuals/CompliancePolicyGuidanceManual/ucm116801.htm" \h </w:instrText>
            </w:r>
            <w:r>
              <w:fldChar w:fldCharType="separate"/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>第三章-器械</w:t>
            </w:r>
            <w:r>
              <w:rPr>
                <w:rFonts w:ascii="Arial" w:eastAsia="宋体"/>
                <w:b/>
                <w:sz w:val="24"/>
                <w:szCs w:val="24"/>
                <w:u w:val="single" w:color="000000"/>
              </w:rPr>
              <w:br w:type="textWrapping"/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>(/ICECI/Compliance Manuals/Compliance PolicyGuidance Manual/ucm116801.htm)</w:t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fldChar w:fldCharType="end"/>
            </w:r>
          </w:p>
        </w:tc>
      </w:tr>
      <w:tr w14:paraId="2E2524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68C39199">
            <w:pPr>
              <w:pStyle w:val="9"/>
              <w:overflowPunct w:val="0"/>
              <w:snapToGrid w:val="0"/>
              <w:spacing w:before="120" w:beforeLines="50" w:after="120" w:afterLines="50" w:line="276" w:lineRule="auto"/>
              <w:ind w:left="44" w:leftChars="20" w:right="44" w:rightChars="20"/>
              <w:rPr>
                <w:rFonts w:ascii="Arial" w:hAnsi="Arial" w:eastAsia="宋体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"https://www.fda.gov/ICECI/ComplianceManuals/CompliancePolicyGuidanceManual/ucm119572.htm" \h </w:instrText>
            </w:r>
            <w:r>
              <w:fldChar w:fldCharType="separate"/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>第四章-人用药品</w:t>
            </w:r>
            <w:r>
              <w:rPr>
                <w:rFonts w:ascii="Arial" w:eastAsia="宋体"/>
                <w:b/>
                <w:sz w:val="24"/>
                <w:szCs w:val="24"/>
                <w:u w:val="single" w:color="000000"/>
              </w:rPr>
              <w:br w:type="textWrapping"/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>(/ICECI/Compliance Manuals/Compliance PolicyGuidance Manual/ucm119572.htm)</w:t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fldChar w:fldCharType="end"/>
            </w:r>
          </w:p>
        </w:tc>
      </w:tr>
      <w:tr w14:paraId="74B84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7C026DB7">
            <w:pPr>
              <w:pStyle w:val="9"/>
              <w:overflowPunct w:val="0"/>
              <w:snapToGrid w:val="0"/>
              <w:spacing w:before="120" w:beforeLines="50" w:after="120" w:afterLines="50" w:line="276" w:lineRule="auto"/>
              <w:ind w:left="44" w:leftChars="20" w:right="44" w:rightChars="20"/>
              <w:rPr>
                <w:rFonts w:ascii="Arial" w:hAnsi="Arial" w:eastAsia="宋体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"https://www.fda.gov/ICECI/ComplianceManuals/CompliancePolicyGuidanceManual/ucm119194.htm" \h </w:instrText>
            </w:r>
            <w:r>
              <w:fldChar w:fldCharType="separate"/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>第五章-食品、颜料和化妆品</w:t>
            </w:r>
            <w:r>
              <w:rPr>
                <w:rFonts w:ascii="Arial" w:eastAsia="宋体"/>
                <w:b/>
                <w:sz w:val="24"/>
                <w:szCs w:val="24"/>
                <w:u w:val="single" w:color="000000"/>
              </w:rPr>
              <w:br w:type="textWrapping"/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>(/ICECI/Compliance Manuals/Compliance PolicyGuidance Manual/ucm119194.htm)</w:t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fldChar w:fldCharType="end"/>
            </w:r>
          </w:p>
        </w:tc>
      </w:tr>
      <w:tr w14:paraId="3CA6D7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70EE3377">
            <w:pPr>
              <w:overflowPunct w:val="0"/>
              <w:snapToGrid w:val="0"/>
              <w:spacing w:before="120" w:beforeLines="50" w:after="120" w:afterLines="50" w:line="276" w:lineRule="auto"/>
              <w:ind w:left="44" w:leftChars="20" w:right="44" w:rightChars="20"/>
              <w:rPr>
                <w:rFonts w:ascii="Arial" w:hAnsi="Arial" w:eastAsia="宋体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"https://www.fda.gov/ICECI/ComplianceManuals/CompliancePolicyGuidanceManual/ucm117042.htm" \h </w:instrText>
            </w:r>
            <w:r>
              <w:fldChar w:fldCharType="separate"/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>第六章-兽医医学</w:t>
            </w:r>
            <w:r>
              <w:rPr>
                <w:rFonts w:ascii="Arial" w:eastAsia="宋体"/>
                <w:b/>
                <w:sz w:val="24"/>
                <w:szCs w:val="24"/>
                <w:u w:val="single" w:color="000000"/>
              </w:rPr>
              <w:br w:type="textWrapping"/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t>(/ICECI/Compliance Manuals/Compliance PolicyGuidance Manual/ucm117042.htm)</w:t>
            </w:r>
            <w:r>
              <w:rPr>
                <w:rFonts w:hint="eastAsia" w:ascii="Arial" w:eastAsia="宋体"/>
                <w:b/>
                <w:sz w:val="24"/>
                <w:szCs w:val="24"/>
                <w:u w:val="single" w:color="000000"/>
              </w:rPr>
              <w:fldChar w:fldCharType="end"/>
            </w:r>
          </w:p>
        </w:tc>
      </w:tr>
    </w:tbl>
    <w:p w14:paraId="1266DD3A">
      <w:pPr>
        <w:overflowPunct w:val="0"/>
        <w:snapToGrid w:val="0"/>
        <w:spacing w:after="240" w:afterLines="100" w:line="300" w:lineRule="auto"/>
        <w:rPr>
          <w:rFonts w:ascii="Arial" w:hAnsi="Arial" w:eastAsia="Arial" w:cs="Arial"/>
          <w:sz w:val="20"/>
          <w:szCs w:val="20"/>
        </w:rPr>
      </w:pPr>
    </w:p>
    <w:p w14:paraId="792A4D38">
      <w:pPr>
        <w:overflowPunct w:val="0"/>
        <w:snapToGrid w:val="0"/>
        <w:spacing w:after="240" w:afterLines="100" w:line="300" w:lineRule="auto"/>
        <w:rPr>
          <w:rFonts w:hint="eastAsia" w:eastAsia="宋体"/>
          <w:lang w:eastAsia="zh-CN"/>
        </w:rPr>
      </w:pPr>
    </w:p>
    <w:p w14:paraId="7D1D6E79">
      <w:pPr>
        <w:overflowPunct w:val="0"/>
        <w:snapToGrid w:val="0"/>
        <w:spacing w:after="240" w:afterLines="100" w:line="300" w:lineRule="auto"/>
        <w:jc w:val="center"/>
        <w:rPr>
          <w:rFonts w:hint="eastAsia" w:eastAsia="宋体"/>
          <w:lang w:eastAsia="zh-CN"/>
        </w:rPr>
      </w:pPr>
    </w:p>
    <w:p w14:paraId="5EC3456C">
      <w:pPr>
        <w:overflowPunct w:val="0"/>
        <w:snapToGrid w:val="0"/>
        <w:spacing w:after="240" w:afterLines="100" w:line="300" w:lineRule="auto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0" w:h="16820"/>
      <w:pgMar w:top="567" w:right="567" w:bottom="567" w:left="567" w:header="290" w:footer="27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C0FAE1">
    <w:pPr>
      <w:tabs>
        <w:tab w:val="right" w:pos="10773"/>
      </w:tabs>
      <w:spacing w:line="184" w:lineRule="exact"/>
      <w:ind w:left="40"/>
      <w:rPr>
        <w:rFonts w:ascii="Arial" w:hAnsi="Arial" w:eastAsia="宋体" w:cs="Arial"/>
        <w:sz w:val="15"/>
        <w:szCs w:val="15"/>
      </w:rPr>
    </w:pPr>
    <w:r>
      <w:fldChar w:fldCharType="begin"/>
    </w:r>
    <w:r>
      <w:instrText xml:space="preserve"> HYPERLINK "https://www.fda.gov/ICECI/ComplianceManuals/CompliancePolicyGuidanceManual/ucm119194.htm" \h </w:instrText>
    </w:r>
    <w:r>
      <w:fldChar w:fldCharType="separate"/>
    </w:r>
    <w:r>
      <w:rPr>
        <w:rFonts w:hint="eastAsia" w:ascii="Arial" w:eastAsia="宋体"/>
        <w:sz w:val="15"/>
        <w:szCs w:val="15"/>
      </w:rPr>
      <w:t>https://www.fda.gov/ICECI/ComplianceManuals/CompliancePolicyGuidanceManual/ucm073891.htm</w:t>
    </w:r>
    <w:r>
      <w:rPr>
        <w:rFonts w:hint="eastAsia" w:ascii="Arial" w:eastAsia="宋体"/>
        <w:sz w:val="15"/>
        <w:szCs w:val="15"/>
      </w:rPr>
      <w:fldChar w:fldCharType="end"/>
    </w:r>
    <w:r>
      <w:rPr>
        <w:rFonts w:hint="eastAsia" w:ascii="Arial" w:eastAsia="宋体"/>
        <w:sz w:val="15"/>
        <w:szCs w:val="15"/>
      </w:rPr>
      <w:tab/>
    </w:r>
    <w:r>
      <w:rPr>
        <w:sz w:val="15"/>
        <w:szCs w:val="15"/>
      </w:rPr>
      <w:fldChar w:fldCharType="begin"/>
    </w:r>
    <w:r>
      <w:rPr>
        <w:rFonts w:hint="eastAsia" w:ascii="Arial" w:eastAsia="宋体"/>
        <w:sz w:val="15"/>
        <w:szCs w:val="15"/>
      </w:rPr>
      <w:instrText xml:space="preserve"> PAGE </w:instrText>
    </w:r>
    <w:r>
      <w:rPr>
        <w:sz w:val="15"/>
        <w:szCs w:val="15"/>
      </w:rPr>
      <w:fldChar w:fldCharType="separate"/>
    </w:r>
    <w:r>
      <w:rPr>
        <w:rFonts w:ascii="Arial" w:eastAsia="宋体"/>
        <w:sz w:val="15"/>
        <w:szCs w:val="15"/>
      </w:rPr>
      <w:t>1</w:t>
    </w:r>
    <w:r>
      <w:rPr>
        <w:sz w:val="15"/>
        <w:szCs w:val="15"/>
      </w:rPr>
      <w:fldChar w:fldCharType="end"/>
    </w:r>
    <w:r>
      <w:fldChar w:fldCharType="begin"/>
    </w:r>
    <w:r>
      <w:instrText xml:space="preserve"> HYPERLINK "https://www.fda.gov/ICECI/ComplianceManuals/CompliancePolicyGuidanceManual/ucm119194.htm" \h </w:instrText>
    </w:r>
    <w:r>
      <w:fldChar w:fldCharType="separate"/>
    </w:r>
    <w:r>
      <w:rPr>
        <w:rFonts w:hint="eastAsia" w:ascii="Arial" w:eastAsia="宋体"/>
        <w:sz w:val="15"/>
        <w:szCs w:val="15"/>
      </w:rPr>
      <w:t>/2</w:t>
    </w:r>
    <w:r>
      <w:rPr>
        <w:rFonts w:hint="eastAsia" w:ascii="Arial" w:eastAsia="宋体"/>
        <w:sz w:val="15"/>
        <w:szCs w:val="15"/>
      </w:rPr>
      <w:fldChar w:fldCharType="end"/>
    </w:r>
  </w:p>
  <w:p w14:paraId="0551057C">
    <w:pPr>
      <w:tabs>
        <w:tab w:val="right" w:pos="10773"/>
      </w:tabs>
      <w:spacing w:line="14" w:lineRule="auto"/>
      <w:rPr>
        <w:sz w:val="15"/>
        <w:szCs w:val="15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A2AE51">
    <w:pPr>
      <w:tabs>
        <w:tab w:val="left" w:pos="3828"/>
      </w:tabs>
      <w:spacing w:line="184" w:lineRule="exact"/>
      <w:ind w:left="20"/>
      <w:rPr>
        <w:rFonts w:ascii="Arial" w:hAnsi="Arial" w:eastAsia="宋体" w:cs="Arial"/>
        <w:sz w:val="15"/>
        <w:szCs w:val="15"/>
      </w:rPr>
    </w:pPr>
    <w:r>
      <w:rPr>
        <w:rFonts w:hint="eastAsia" w:ascii="Arial" w:eastAsia="宋体"/>
        <w:sz w:val="15"/>
        <w:szCs w:val="15"/>
      </w:rPr>
      <w:t>2017年8月10日</w:t>
    </w:r>
    <w:r>
      <w:rPr>
        <w:rFonts w:hint="eastAsia" w:ascii="Arial" w:eastAsia="宋体"/>
        <w:sz w:val="15"/>
        <w:szCs w:val="15"/>
      </w:rPr>
      <w:tab/>
    </w:r>
    <w:r>
      <w:rPr>
        <w:rFonts w:hint="eastAsia" w:ascii="Arial" w:eastAsia="宋体"/>
        <w:sz w:val="15"/>
        <w:szCs w:val="15"/>
      </w:rPr>
      <w:t>合规政策指南&gt;CPG章节310.100 起搏器再使用</w:t>
    </w:r>
  </w:p>
  <w:p w14:paraId="32A8DC28">
    <w:pPr>
      <w:spacing w:line="184" w:lineRule="exact"/>
      <w:ind w:left="20"/>
      <w:rPr>
        <w:rFonts w:ascii="Arial" w:hAnsi="Arial" w:eastAsia="宋体" w:cs="Arial"/>
        <w:sz w:val="15"/>
        <w:szCs w:val="15"/>
      </w:rPr>
    </w:pPr>
  </w:p>
  <w:p w14:paraId="232950E5">
    <w:pPr>
      <w:spacing w:line="184" w:lineRule="exact"/>
      <w:ind w:left="20"/>
      <w:rPr>
        <w:rFonts w:ascii="Arial" w:hAnsi="Arial" w:eastAsia="宋体" w:cs="Arial"/>
        <w:sz w:val="15"/>
        <w:szCs w:val="15"/>
      </w:rPr>
    </w:pPr>
  </w:p>
  <w:p w14:paraId="2E8B84CD">
    <w:pPr>
      <w:spacing w:line="184" w:lineRule="exact"/>
      <w:ind w:left="20"/>
      <w:rPr>
        <w:rFonts w:ascii="Arial" w:hAnsi="Arial" w:eastAsia="宋体" w:cs="Arial"/>
        <w:sz w:val="15"/>
        <w:szCs w:val="15"/>
      </w:rPr>
    </w:pPr>
  </w:p>
  <w:p w14:paraId="73666EA6">
    <w:pPr>
      <w:spacing w:line="14" w:lineRule="auto"/>
      <w:rPr>
        <w:sz w:val="15"/>
        <w:szCs w:val="1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E0A"/>
    <w:rsid w:val="00166565"/>
    <w:rsid w:val="0021399A"/>
    <w:rsid w:val="00253E5D"/>
    <w:rsid w:val="00262CBD"/>
    <w:rsid w:val="002C1CAC"/>
    <w:rsid w:val="00476925"/>
    <w:rsid w:val="006712D3"/>
    <w:rsid w:val="00694A56"/>
    <w:rsid w:val="00734D47"/>
    <w:rsid w:val="00851E0A"/>
    <w:rsid w:val="0095513F"/>
    <w:rsid w:val="00A058E8"/>
    <w:rsid w:val="00B1533D"/>
    <w:rsid w:val="00B5706A"/>
    <w:rsid w:val="00BB61CF"/>
    <w:rsid w:val="00BC1D36"/>
    <w:rsid w:val="00C928C7"/>
    <w:rsid w:val="00D43D88"/>
    <w:rsid w:val="00D60DB1"/>
    <w:rsid w:val="00E92A13"/>
    <w:rsid w:val="22C8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0"/>
    </w:pPr>
    <w:rPr>
      <w:rFonts w:ascii="Arial" w:hAnsi="Arial" w:eastAsia="宋体"/>
      <w:sz w:val="25"/>
      <w:szCs w:val="25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Sun"/>
        <a:cs typeface=""/>
      </a:majorFont>
      <a:minorFont>
        <a:latin typeface="Calibri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324</Words>
  <Characters>881</Characters>
  <Lines>12</Lines>
  <Paragraphs>3</Paragraphs>
  <TotalTime>0</TotalTime>
  <ScaleCrop>false</ScaleCrop>
  <LinksUpToDate>false</LinksUpToDate>
  <CharactersWithSpaces>908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2017-11-10T01:21:00Z</dcterms:created>
  <dc:creator>wenrongzhen</dc:creator>
  <cp:lastModifiedBy>太极箫客</cp:lastModifiedBy>
  <dcterms:modified xsi:type="dcterms:W3CDTF">2025-08-14T06:15:45Z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65B03C7142C5454AB02A6C12239F70E4_12</vt:lpwstr>
  </property>
</Properties>
</file>