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66346">
      <w:pPr>
        <w:adjustRightInd w:val="0"/>
        <w:snapToGrid w:val="0"/>
        <w:spacing w:before="8" w:line="300" w:lineRule="auto"/>
        <w:rPr>
          <w:rFonts w:ascii="Arial" w:hAnsi="Arial" w:eastAsia="宋体" w:cs="Arial"/>
          <w:sz w:val="18"/>
          <w:szCs w:val="18"/>
        </w:rPr>
      </w:pPr>
      <w:bookmarkStart w:id="2" w:name="_GoBack"/>
      <w:bookmarkEnd w:id="2"/>
    </w:p>
    <w:p w14:paraId="64CDA76F">
      <w:pPr>
        <w:adjustRightInd w:val="0"/>
        <w:snapToGrid w:val="0"/>
        <w:spacing w:before="38" w:line="300" w:lineRule="auto"/>
        <w:jc w:val="center"/>
        <w:rPr>
          <w:rFonts w:ascii="Arial" w:hAnsi="Arial" w:eastAsia="宋体" w:cs="Arial"/>
          <w:sz w:val="48"/>
          <w:szCs w:val="48"/>
        </w:rPr>
      </w:pPr>
      <w:r>
        <w:rPr>
          <w:rFonts w:ascii="Arial" w:hAnsi="Arial" w:eastAsia="宋体" w:cs="Arial"/>
          <w:sz w:val="48"/>
        </w:rPr>
        <w:t>行业和FDA审查员/员工指南</w:t>
      </w:r>
    </w:p>
    <w:p w14:paraId="62D2ECF4">
      <w:pPr>
        <w:adjustRightInd w:val="0"/>
        <w:snapToGrid w:val="0"/>
        <w:spacing w:before="9" w:line="300" w:lineRule="auto"/>
        <w:rPr>
          <w:rFonts w:ascii="Arial" w:hAnsi="Arial" w:eastAsia="宋体" w:cs="Arial"/>
          <w:sz w:val="58"/>
          <w:szCs w:val="58"/>
        </w:rPr>
      </w:pPr>
    </w:p>
    <w:p w14:paraId="6F207F0F">
      <w:pPr>
        <w:adjustRightInd w:val="0"/>
        <w:snapToGrid w:val="0"/>
        <w:spacing w:line="300" w:lineRule="auto"/>
        <w:ind w:hanging="5"/>
        <w:jc w:val="center"/>
        <w:rPr>
          <w:rFonts w:ascii="Arial" w:hAnsi="Arial" w:eastAsia="宋体" w:cs="Arial"/>
          <w:sz w:val="60"/>
          <w:szCs w:val="60"/>
        </w:rPr>
      </w:pPr>
      <w:r>
        <w:rPr>
          <w:rFonts w:ascii="Arial" w:hAnsi="Arial" w:eastAsia="宋体" w:cs="Arial"/>
          <w:b/>
          <w:sz w:val="60"/>
        </w:rPr>
        <w:t>电动吸引泵的510（k）申报指南</w:t>
      </w:r>
    </w:p>
    <w:p w14:paraId="070D6FE0">
      <w:pPr>
        <w:adjustRightInd w:val="0"/>
        <w:snapToGrid w:val="0"/>
        <w:spacing w:before="9" w:line="300" w:lineRule="auto"/>
        <w:rPr>
          <w:rFonts w:ascii="Arial" w:hAnsi="Arial" w:eastAsia="宋体" w:cs="Arial"/>
          <w:sz w:val="52"/>
          <w:szCs w:val="52"/>
        </w:rPr>
      </w:pPr>
    </w:p>
    <w:p w14:paraId="20B0330B">
      <w:pPr>
        <w:adjustRightInd w:val="0"/>
        <w:snapToGrid w:val="0"/>
        <w:spacing w:line="300" w:lineRule="auto"/>
        <w:rPr>
          <w:rFonts w:ascii="Arial" w:hAnsi="Arial" w:eastAsia="宋体" w:cs="Arial"/>
          <w:sz w:val="60"/>
          <w:szCs w:val="60"/>
        </w:rPr>
      </w:pPr>
    </w:p>
    <w:p w14:paraId="0CE7C845">
      <w:pPr>
        <w:pStyle w:val="3"/>
        <w:adjustRightInd w:val="0"/>
        <w:snapToGrid w:val="0"/>
        <w:spacing w:line="300" w:lineRule="auto"/>
        <w:ind w:left="0"/>
        <w:jc w:val="center"/>
        <w:rPr>
          <w:rFonts w:ascii="Arial" w:hAnsi="Arial" w:cs="Arial"/>
          <w:b w:val="0"/>
          <w:bCs w:val="0"/>
          <w:u w:val="none"/>
        </w:rPr>
      </w:pPr>
      <w:r>
        <w:rPr>
          <w:rFonts w:ascii="Arial" w:hAnsi="Arial" w:cs="Arial"/>
          <w:u w:val="none"/>
        </w:rPr>
        <w:t>文件发布日期：1998年9月30日</w:t>
      </w:r>
    </w:p>
    <w:p w14:paraId="1D7B4E82">
      <w:pPr>
        <w:adjustRightInd w:val="0"/>
        <w:snapToGrid w:val="0"/>
        <w:spacing w:line="300" w:lineRule="auto"/>
        <w:rPr>
          <w:rFonts w:ascii="Arial" w:hAnsi="Arial" w:eastAsia="宋体" w:cs="Arial"/>
          <w:sz w:val="28"/>
          <w:szCs w:val="28"/>
        </w:rPr>
      </w:pPr>
    </w:p>
    <w:p w14:paraId="65DED433">
      <w:pPr>
        <w:adjustRightInd w:val="0"/>
        <w:snapToGrid w:val="0"/>
        <w:spacing w:line="300" w:lineRule="auto"/>
        <w:rPr>
          <w:rFonts w:ascii="Arial" w:hAnsi="Arial" w:eastAsia="宋体" w:cs="Arial"/>
          <w:sz w:val="28"/>
          <w:szCs w:val="28"/>
        </w:rPr>
      </w:pPr>
    </w:p>
    <w:p w14:paraId="6BDC428C">
      <w:pPr>
        <w:adjustRightInd w:val="0"/>
        <w:snapToGrid w:val="0"/>
        <w:spacing w:line="300" w:lineRule="auto"/>
        <w:rPr>
          <w:rFonts w:ascii="Arial" w:hAnsi="Arial" w:eastAsia="宋体" w:cs="Arial"/>
          <w:sz w:val="28"/>
          <w:szCs w:val="28"/>
        </w:rPr>
      </w:pPr>
    </w:p>
    <w:p w14:paraId="37F35554">
      <w:pPr>
        <w:adjustRightInd w:val="0"/>
        <w:snapToGrid w:val="0"/>
        <w:spacing w:line="300" w:lineRule="auto"/>
        <w:rPr>
          <w:rFonts w:ascii="Arial" w:hAnsi="Arial" w:eastAsia="宋体" w:cs="Arial"/>
          <w:sz w:val="28"/>
          <w:szCs w:val="28"/>
        </w:rPr>
      </w:pPr>
    </w:p>
    <w:p w14:paraId="2DC1B04C">
      <w:pPr>
        <w:adjustRightInd w:val="0"/>
        <w:snapToGrid w:val="0"/>
        <w:spacing w:line="300" w:lineRule="auto"/>
        <w:rPr>
          <w:rFonts w:ascii="Arial" w:hAnsi="Arial" w:eastAsia="宋体" w:cs="Arial"/>
          <w:sz w:val="28"/>
          <w:szCs w:val="28"/>
        </w:rPr>
      </w:pPr>
    </w:p>
    <w:p w14:paraId="7D684444">
      <w:pPr>
        <w:adjustRightInd w:val="0"/>
        <w:snapToGrid w:val="0"/>
        <w:spacing w:line="300" w:lineRule="auto"/>
        <w:rPr>
          <w:rFonts w:ascii="Arial" w:hAnsi="Arial" w:eastAsia="宋体" w:cs="Arial"/>
          <w:sz w:val="28"/>
          <w:szCs w:val="28"/>
        </w:rPr>
      </w:pPr>
    </w:p>
    <w:p w14:paraId="4AC25795">
      <w:pPr>
        <w:adjustRightInd w:val="0"/>
        <w:snapToGrid w:val="0"/>
        <w:spacing w:line="300" w:lineRule="auto"/>
        <w:rPr>
          <w:rFonts w:ascii="Arial" w:hAnsi="Arial" w:eastAsia="宋体" w:cs="Arial"/>
          <w:sz w:val="28"/>
          <w:szCs w:val="28"/>
        </w:rPr>
      </w:pPr>
    </w:p>
    <w:p w14:paraId="22B264B4">
      <w:pPr>
        <w:adjustRightInd w:val="0"/>
        <w:snapToGrid w:val="0"/>
        <w:spacing w:line="300" w:lineRule="auto"/>
        <w:rPr>
          <w:rFonts w:ascii="Arial" w:hAnsi="Arial" w:eastAsia="宋体" w:cs="Arial"/>
          <w:sz w:val="28"/>
          <w:szCs w:val="28"/>
        </w:rPr>
      </w:pPr>
    </w:p>
    <w:p w14:paraId="1EBF169A">
      <w:pPr>
        <w:adjustRightInd w:val="0"/>
        <w:snapToGrid w:val="0"/>
        <w:spacing w:line="300" w:lineRule="auto"/>
        <w:rPr>
          <w:rFonts w:ascii="Arial" w:hAnsi="Arial" w:eastAsia="宋体" w:cs="Arial"/>
          <w:sz w:val="28"/>
          <w:szCs w:val="28"/>
        </w:rPr>
      </w:pPr>
    </w:p>
    <w:p w14:paraId="49FE652E">
      <w:pPr>
        <w:adjustRightInd w:val="0"/>
        <w:snapToGrid w:val="0"/>
        <w:spacing w:before="12" w:line="300" w:lineRule="auto"/>
        <w:rPr>
          <w:rFonts w:ascii="Arial" w:hAnsi="Arial" w:eastAsia="宋体" w:cs="Arial"/>
          <w:sz w:val="34"/>
          <w:szCs w:val="34"/>
        </w:rPr>
      </w:pPr>
    </w:p>
    <w:p w14:paraId="09B6D073">
      <w:pPr>
        <w:adjustRightInd w:val="0"/>
        <w:snapToGrid w:val="0"/>
        <w:spacing w:line="300" w:lineRule="auto"/>
        <w:jc w:val="right"/>
        <w:rPr>
          <w:rFonts w:ascii="Arial" w:hAnsi="Arial" w:eastAsia="宋体" w:cs="Arial"/>
          <w:b/>
          <w:sz w:val="24"/>
          <w:szCs w:val="24"/>
        </w:rPr>
      </w:pPr>
      <w:r>
        <w:rPr>
          <w:rFonts w:ascii="Arial" w:hAnsi="Arial" w:eastAsia="宋体" w:cs="Arial"/>
          <w:b/>
          <w:sz w:val="24"/>
          <w:szCs w:val="24"/>
        </w:rPr>
        <w:drawing>
          <wp:anchor distT="0" distB="0" distL="114300" distR="114300" simplePos="0" relativeHeight="251659264" behindDoc="1" locked="0" layoutInCell="1" allowOverlap="1">
            <wp:simplePos x="0" y="0"/>
            <wp:positionH relativeFrom="page">
              <wp:posOffset>1280160</wp:posOffset>
            </wp:positionH>
            <wp:positionV relativeFrom="paragraph">
              <wp:posOffset>-184150</wp:posOffset>
            </wp:positionV>
            <wp:extent cx="826135" cy="908050"/>
            <wp:effectExtent l="0" t="0" r="0" b="635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826135" cy="908050"/>
                    </a:xfrm>
                    <a:prstGeom prst="rect">
                      <a:avLst/>
                    </a:prstGeom>
                    <a:noFill/>
                  </pic:spPr>
                </pic:pic>
              </a:graphicData>
            </a:graphic>
          </wp:anchor>
        </w:drawing>
      </w:r>
      <w:r>
        <w:rPr>
          <w:rFonts w:hint="eastAsia" w:ascii="Arial" w:hAnsi="Arial" w:eastAsia="宋体" w:cs="Arial"/>
          <w:b/>
          <w:sz w:val="24"/>
          <w:szCs w:val="24"/>
        </w:rPr>
        <w:t>美国卫生</w:t>
      </w:r>
      <w:r>
        <w:rPr>
          <w:rFonts w:ascii="Arial" w:hAnsi="Arial" w:eastAsia="宋体" w:cs="Arial"/>
          <w:b/>
          <w:sz w:val="24"/>
          <w:szCs w:val="24"/>
        </w:rPr>
        <w:t>与公众服务部</w:t>
      </w:r>
    </w:p>
    <w:p w14:paraId="004FC488">
      <w:pPr>
        <w:adjustRightInd w:val="0"/>
        <w:snapToGrid w:val="0"/>
        <w:spacing w:before="7" w:line="300" w:lineRule="auto"/>
        <w:ind w:firstLine="1238"/>
        <w:jc w:val="right"/>
        <w:rPr>
          <w:rFonts w:ascii="Arial" w:hAnsi="Arial" w:eastAsia="宋体" w:cs="Arial"/>
          <w:b/>
          <w:sz w:val="24"/>
          <w:szCs w:val="24"/>
        </w:rPr>
      </w:pPr>
      <w:r>
        <w:rPr>
          <w:rFonts w:ascii="Arial" w:hAnsi="Arial" w:eastAsia="宋体" w:cs="Arial"/>
          <w:b/>
          <w:sz w:val="24"/>
          <w:szCs w:val="24"/>
        </w:rPr>
        <w:t>食品药品监督管理局</w:t>
      </w:r>
    </w:p>
    <w:p w14:paraId="1AF866FE">
      <w:pPr>
        <w:adjustRightInd w:val="0"/>
        <w:snapToGrid w:val="0"/>
        <w:spacing w:before="7" w:line="300" w:lineRule="auto"/>
        <w:ind w:firstLine="1238"/>
        <w:jc w:val="right"/>
        <w:rPr>
          <w:rFonts w:ascii="Arial" w:hAnsi="Arial" w:eastAsia="宋体" w:cs="Arial"/>
          <w:sz w:val="24"/>
          <w:szCs w:val="24"/>
        </w:rPr>
      </w:pPr>
      <w:r>
        <w:rPr>
          <w:rFonts w:ascii="Arial" w:hAnsi="Arial" w:eastAsia="宋体" w:cs="Arial"/>
          <w:b/>
          <w:sz w:val="24"/>
          <w:szCs w:val="24"/>
        </w:rPr>
        <w:t>器械</w:t>
      </w:r>
      <w:r>
        <w:rPr>
          <w:rFonts w:hint="eastAsia" w:ascii="Arial" w:hAnsi="Arial" w:eastAsia="宋体" w:cs="Arial"/>
          <w:b/>
          <w:sz w:val="24"/>
          <w:szCs w:val="24"/>
        </w:rPr>
        <w:t>与</w:t>
      </w:r>
      <w:r>
        <w:rPr>
          <w:rFonts w:ascii="Arial" w:hAnsi="Arial" w:eastAsia="宋体" w:cs="Arial"/>
          <w:b/>
          <w:sz w:val="24"/>
          <w:szCs w:val="24"/>
        </w:rPr>
        <w:t>放射健康中心</w:t>
      </w:r>
    </w:p>
    <w:p w14:paraId="3657D938">
      <w:pPr>
        <w:adjustRightInd w:val="0"/>
        <w:snapToGrid w:val="0"/>
        <w:spacing w:before="4" w:line="300" w:lineRule="auto"/>
        <w:rPr>
          <w:rFonts w:ascii="Arial" w:hAnsi="Arial" w:eastAsia="宋体" w:cs="Arial"/>
          <w:sz w:val="24"/>
          <w:szCs w:val="24"/>
        </w:rPr>
      </w:pPr>
    </w:p>
    <w:p w14:paraId="319CDA1D">
      <w:pPr>
        <w:adjustRightInd w:val="0"/>
        <w:snapToGrid w:val="0"/>
        <w:spacing w:line="300" w:lineRule="auto"/>
        <w:ind w:firstLine="1113"/>
        <w:jc w:val="right"/>
        <w:rPr>
          <w:rFonts w:ascii="Arial" w:hAnsi="Arial" w:eastAsia="宋体" w:cs="Arial"/>
          <w:b/>
          <w:spacing w:val="-1"/>
          <w:sz w:val="24"/>
          <w:szCs w:val="24"/>
        </w:rPr>
      </w:pPr>
      <w:r>
        <w:rPr>
          <w:rFonts w:ascii="Arial" w:hAnsi="Arial" w:eastAsia="宋体" w:cs="Arial"/>
          <w:b/>
          <w:sz w:val="24"/>
          <w:szCs w:val="24"/>
        </w:rPr>
        <w:t>通用手术器械科</w:t>
      </w:r>
    </w:p>
    <w:p w14:paraId="6C1D1F6B">
      <w:pPr>
        <w:adjustRightInd w:val="0"/>
        <w:snapToGrid w:val="0"/>
        <w:spacing w:line="300" w:lineRule="auto"/>
        <w:ind w:firstLine="1113"/>
        <w:jc w:val="right"/>
        <w:rPr>
          <w:rFonts w:ascii="Arial" w:hAnsi="Arial" w:eastAsia="宋体" w:cs="Arial"/>
          <w:sz w:val="24"/>
          <w:szCs w:val="24"/>
        </w:rPr>
      </w:pPr>
      <w:r>
        <w:rPr>
          <w:rFonts w:ascii="Arial" w:hAnsi="Arial" w:eastAsia="宋体" w:cs="Arial"/>
          <w:b/>
          <w:sz w:val="24"/>
          <w:szCs w:val="24"/>
        </w:rPr>
        <w:t>通用和康复器械部</w:t>
      </w:r>
    </w:p>
    <w:p w14:paraId="09BDF41A">
      <w:pPr>
        <w:adjustRightInd w:val="0"/>
        <w:snapToGrid w:val="0"/>
        <w:spacing w:line="300" w:lineRule="auto"/>
        <w:jc w:val="right"/>
        <w:rPr>
          <w:rFonts w:ascii="Arial" w:hAnsi="Arial" w:eastAsia="宋体" w:cs="Arial"/>
          <w:sz w:val="24"/>
          <w:szCs w:val="24"/>
        </w:rPr>
      </w:pPr>
      <w:r>
        <w:rPr>
          <w:rFonts w:ascii="Arial" w:hAnsi="Arial" w:eastAsia="宋体" w:cs="Arial"/>
          <w:b/>
          <w:sz w:val="24"/>
          <w:szCs w:val="24"/>
        </w:rPr>
        <w:t>器械评估办公室</w:t>
      </w:r>
    </w:p>
    <w:p w14:paraId="36542CCD">
      <w:pPr>
        <w:adjustRightInd w:val="0"/>
        <w:snapToGrid w:val="0"/>
        <w:spacing w:line="300" w:lineRule="auto"/>
        <w:jc w:val="right"/>
        <w:rPr>
          <w:rFonts w:ascii="Arial" w:hAnsi="Arial" w:eastAsia="宋体" w:cs="Arial"/>
          <w:sz w:val="24"/>
          <w:szCs w:val="24"/>
        </w:rPr>
        <w:sectPr>
          <w:type w:val="continuous"/>
          <w:pgSz w:w="12240" w:h="15840"/>
          <w:pgMar w:top="1134" w:right="1134" w:bottom="1134" w:left="1134" w:header="720" w:footer="720" w:gutter="0"/>
          <w:cols w:space="720" w:num="1"/>
          <w:docGrid w:linePitch="299" w:charSpace="0"/>
        </w:sectPr>
      </w:pPr>
    </w:p>
    <w:p w14:paraId="51478AE6">
      <w:pPr>
        <w:adjustRightInd w:val="0"/>
        <w:snapToGrid w:val="0"/>
        <w:spacing w:line="300" w:lineRule="auto"/>
        <w:rPr>
          <w:rFonts w:ascii="Arial" w:hAnsi="Arial" w:eastAsia="宋体" w:cs="Arial"/>
          <w:sz w:val="36"/>
          <w:szCs w:val="36"/>
        </w:rPr>
      </w:pPr>
    </w:p>
    <w:p w14:paraId="0AB04C33">
      <w:pPr>
        <w:adjustRightInd w:val="0"/>
        <w:snapToGrid w:val="0"/>
        <w:spacing w:before="19" w:line="300" w:lineRule="auto"/>
        <w:rPr>
          <w:rFonts w:ascii="Arial" w:hAnsi="Arial" w:eastAsia="宋体" w:cs="Arial"/>
          <w:sz w:val="48"/>
          <w:szCs w:val="48"/>
        </w:rPr>
      </w:pPr>
    </w:p>
    <w:p w14:paraId="58444AAF">
      <w:pPr>
        <w:rPr>
          <w:rFonts w:ascii="Arial" w:hAnsi="Arial" w:eastAsia="宋体" w:cs="Arial"/>
          <w:b/>
          <w:sz w:val="36"/>
        </w:rPr>
      </w:pPr>
      <w:r>
        <w:rPr>
          <w:rFonts w:ascii="Arial" w:hAnsi="Arial" w:eastAsia="宋体" w:cs="Arial"/>
          <w:b/>
          <w:sz w:val="36"/>
        </w:rPr>
        <w:br w:type="page"/>
      </w:r>
    </w:p>
    <w:p w14:paraId="16B05DF6">
      <w:pPr>
        <w:adjustRightInd w:val="0"/>
        <w:snapToGrid w:val="0"/>
        <w:spacing w:before="12" w:line="300" w:lineRule="auto"/>
        <w:jc w:val="center"/>
        <w:rPr>
          <w:rFonts w:ascii="Arial" w:hAnsi="Arial" w:eastAsia="宋体" w:cs="Arial"/>
          <w:sz w:val="48"/>
          <w:szCs w:val="48"/>
        </w:rPr>
      </w:pPr>
      <w:r>
        <w:rPr>
          <w:rFonts w:hint="eastAsia" w:ascii="Arial" w:hAnsi="Arial" w:eastAsia="宋体" w:cs="Arial"/>
          <w:b/>
          <w:sz w:val="36"/>
        </w:rPr>
        <w:t>序</w:t>
      </w:r>
      <w:r>
        <w:rPr>
          <w:rFonts w:ascii="Arial" w:hAnsi="Arial" w:eastAsia="宋体" w:cs="Arial"/>
          <w:b/>
          <w:sz w:val="36"/>
        </w:rPr>
        <w:t>言</w:t>
      </w:r>
    </w:p>
    <w:p w14:paraId="1C33572E">
      <w:pPr>
        <w:adjustRightInd w:val="0"/>
        <w:snapToGrid w:val="0"/>
        <w:spacing w:line="300" w:lineRule="auto"/>
        <w:rPr>
          <w:rFonts w:ascii="Arial" w:hAnsi="Arial" w:eastAsia="宋体" w:cs="Arial"/>
          <w:b/>
          <w:sz w:val="36"/>
        </w:rPr>
      </w:pPr>
    </w:p>
    <w:p w14:paraId="2C178CBD">
      <w:pPr>
        <w:adjustRightInd w:val="0"/>
        <w:snapToGrid w:val="0"/>
        <w:spacing w:line="300" w:lineRule="auto"/>
        <w:rPr>
          <w:rFonts w:ascii="Arial" w:hAnsi="Arial" w:eastAsia="宋体" w:cs="Arial"/>
          <w:sz w:val="36"/>
          <w:szCs w:val="36"/>
        </w:rPr>
      </w:pPr>
      <w:r>
        <w:rPr>
          <w:rFonts w:ascii="Arial" w:hAnsi="Arial" w:eastAsia="宋体" w:cs="Arial"/>
          <w:b/>
          <w:sz w:val="36"/>
        </w:rPr>
        <w:t>公众评论</w:t>
      </w:r>
    </w:p>
    <w:p w14:paraId="0640F030">
      <w:pPr>
        <w:adjustRightInd w:val="0"/>
        <w:snapToGrid w:val="0"/>
        <w:spacing w:before="15" w:line="300" w:lineRule="auto"/>
        <w:rPr>
          <w:rFonts w:ascii="Arial" w:hAnsi="Arial" w:eastAsia="宋体" w:cs="Arial"/>
          <w:sz w:val="20"/>
          <w:szCs w:val="20"/>
        </w:rPr>
      </w:pPr>
    </w:p>
    <w:p w14:paraId="663C96A9">
      <w:pPr>
        <w:pStyle w:val="4"/>
        <w:adjustRightInd w:val="0"/>
        <w:snapToGrid w:val="0"/>
        <w:spacing w:before="69" w:line="300" w:lineRule="auto"/>
        <w:ind w:left="0" w:firstLine="0"/>
        <w:jc w:val="both"/>
        <w:rPr>
          <w:rFonts w:ascii="Arial" w:hAnsi="Arial" w:cs="Arial"/>
        </w:rPr>
      </w:pPr>
      <w:r>
        <w:rPr>
          <w:rFonts w:ascii="Arial" w:hAnsi="Arial" w:cs="Arial"/>
        </w:rPr>
        <w:t>评论和建议可以随时提交至通用手术器械科，HFZ-410，9200 Corporate Boulevard</w:t>
      </w:r>
      <w:r>
        <w:rPr>
          <w:rFonts w:hint="eastAsia" w:ascii="Arial" w:hAnsi="Arial" w:cs="Arial"/>
        </w:rPr>
        <w:t>，</w:t>
      </w:r>
      <w:r>
        <w:rPr>
          <w:rFonts w:ascii="Arial" w:hAnsi="Arial" w:cs="Arial"/>
        </w:rPr>
        <w:t>Rockville，MD 20850</w:t>
      </w:r>
      <w:r>
        <w:rPr>
          <w:rFonts w:hint="eastAsia" w:ascii="Arial" w:hAnsi="Arial" w:cs="Arial"/>
        </w:rPr>
        <w:t>，</w:t>
      </w:r>
      <w:r>
        <w:rPr>
          <w:rFonts w:ascii="Arial" w:hAnsi="Arial" w:cs="Arial"/>
        </w:rPr>
        <w:t>供机构</w:t>
      </w:r>
      <w:r>
        <w:rPr>
          <w:rFonts w:hint="eastAsia" w:ascii="Arial" w:hAnsi="Arial" w:cs="Arial"/>
        </w:rPr>
        <w:t>审议</w:t>
      </w:r>
      <w:r>
        <w:rPr>
          <w:rFonts w:ascii="Arial" w:hAnsi="Arial" w:cs="Arial"/>
        </w:rPr>
        <w:t>。</w:t>
      </w:r>
      <w:r>
        <w:rPr>
          <w:rFonts w:hint="eastAsia" w:ascii="Arial" w:hAnsi="Arial" w:cs="Arial"/>
        </w:rPr>
        <w:t>可能直到文件下次修订或更新时，评论才会被机构受理。</w:t>
      </w:r>
      <w:r>
        <w:rPr>
          <w:rFonts w:ascii="Arial" w:hAnsi="Arial" w:cs="Arial"/>
        </w:rPr>
        <w:t>本指南使用或解释相关问题，请联系Mr. Berry F. Williams, MS，电话：(301) 594-1307，分机号：137，或发送电子邮件至bfw@cdrh.fda.gov。</w:t>
      </w:r>
    </w:p>
    <w:p w14:paraId="4CA47802">
      <w:pPr>
        <w:adjustRightInd w:val="0"/>
        <w:snapToGrid w:val="0"/>
        <w:spacing w:before="11" w:line="300" w:lineRule="auto"/>
        <w:jc w:val="both"/>
        <w:rPr>
          <w:rFonts w:ascii="Arial" w:hAnsi="Arial" w:eastAsia="宋体" w:cs="Arial"/>
          <w:sz w:val="28"/>
          <w:szCs w:val="28"/>
        </w:rPr>
      </w:pPr>
    </w:p>
    <w:p w14:paraId="1BA215F2">
      <w:pPr>
        <w:pStyle w:val="2"/>
        <w:adjustRightInd w:val="0"/>
        <w:snapToGrid w:val="0"/>
        <w:spacing w:line="300" w:lineRule="auto"/>
        <w:ind w:left="0"/>
        <w:jc w:val="both"/>
        <w:rPr>
          <w:rFonts w:ascii="Arial" w:hAnsi="Arial" w:cs="Arial"/>
          <w:b w:val="0"/>
          <w:bCs w:val="0"/>
        </w:rPr>
      </w:pPr>
      <w:r>
        <w:rPr>
          <w:rFonts w:ascii="Arial" w:hAnsi="Arial" w:cs="Arial"/>
        </w:rPr>
        <w:t>其他副本</w:t>
      </w:r>
    </w:p>
    <w:p w14:paraId="45855849">
      <w:pPr>
        <w:pStyle w:val="4"/>
        <w:adjustRightInd w:val="0"/>
        <w:snapToGrid w:val="0"/>
        <w:spacing w:before="283" w:line="300" w:lineRule="auto"/>
        <w:ind w:left="0" w:firstLine="0"/>
        <w:jc w:val="both"/>
        <w:rPr>
          <w:rFonts w:ascii="Arial" w:hAnsi="Arial" w:cs="Arial"/>
        </w:rPr>
      </w:pPr>
      <w:r>
        <w:rPr>
          <w:rFonts w:ascii="Arial" w:hAnsi="Arial" w:cs="Arial"/>
        </w:rPr>
        <w:t>万维网/CDRH 主页：</w:t>
      </w:r>
      <w:r>
        <w:fldChar w:fldCharType="begin"/>
      </w:r>
      <w:r>
        <w:instrText xml:space="preserve"> HYPERLINK "http://www.fda.gov/cdrh/ode/powerpump.pdf" \h </w:instrText>
      </w:r>
      <w:r>
        <w:fldChar w:fldCharType="separate"/>
      </w:r>
      <w:r>
        <w:rPr>
          <w:rFonts w:ascii="Arial" w:hAnsi="Arial" w:cs="Arial"/>
        </w:rPr>
        <w:t>http://www.fda.gov/cdrh/ode/powerpump.pdf</w:t>
      </w:r>
      <w:r>
        <w:rPr>
          <w:rFonts w:ascii="Arial" w:hAnsi="Arial" w:cs="Arial"/>
        </w:rPr>
        <w:fldChar w:fldCharType="end"/>
      </w:r>
      <w:r>
        <w:rPr>
          <w:rFonts w:ascii="Arial" w:hAnsi="Arial" w:cs="Arial"/>
        </w:rPr>
        <w:t>或</w:t>
      </w:r>
      <w:bookmarkStart w:id="0" w:name="OLE_LINK1"/>
      <w:bookmarkStart w:id="1" w:name="OLE_LINK2"/>
      <w:r>
        <w:rPr>
          <w:rFonts w:ascii="Arial" w:hAnsi="Arial" w:cs="Arial"/>
        </w:rPr>
        <w:t>CDRH</w:t>
      </w:r>
      <w:bookmarkEnd w:id="0"/>
      <w:bookmarkEnd w:id="1"/>
      <w:r>
        <w:rPr>
          <w:rFonts w:hint="eastAsia" w:ascii="Arial" w:hAnsi="Arial" w:cs="Arial"/>
        </w:rPr>
        <w:t>资源索取自动回传系统</w:t>
      </w:r>
      <w:r>
        <w:rPr>
          <w:rFonts w:ascii="Arial" w:hAnsi="Arial" w:cs="Arial"/>
        </w:rPr>
        <w:t>，电话：1-800-899-0381或301-827-0111，提示输入文件编号时输入指定编号2207。</w:t>
      </w:r>
    </w:p>
    <w:p w14:paraId="765DFB57">
      <w:pPr>
        <w:adjustRightInd w:val="0"/>
        <w:snapToGrid w:val="0"/>
        <w:spacing w:line="300" w:lineRule="auto"/>
        <w:rPr>
          <w:rFonts w:ascii="Arial" w:hAnsi="Arial" w:eastAsia="宋体" w:cs="Arial"/>
        </w:rPr>
        <w:sectPr>
          <w:type w:val="continuous"/>
          <w:pgSz w:w="12240" w:h="15840"/>
          <w:pgMar w:top="1134" w:right="1134" w:bottom="1134" w:left="1134" w:header="720" w:footer="720" w:gutter="0"/>
          <w:cols w:space="720" w:num="1"/>
          <w:docGrid w:linePitch="299" w:charSpace="0"/>
        </w:sectPr>
      </w:pPr>
    </w:p>
    <w:p w14:paraId="187F4C0D">
      <w:pPr>
        <w:adjustRightInd w:val="0"/>
        <w:snapToGrid w:val="0"/>
        <w:spacing w:before="56" w:line="300" w:lineRule="auto"/>
        <w:ind w:firstLine="556"/>
        <w:jc w:val="center"/>
        <w:rPr>
          <w:rFonts w:ascii="Arial" w:hAnsi="Arial" w:eastAsia="宋体" w:cs="Arial"/>
          <w:sz w:val="36"/>
          <w:szCs w:val="36"/>
        </w:rPr>
      </w:pPr>
      <w:r>
        <w:rPr>
          <w:rFonts w:ascii="Arial" w:hAnsi="Arial" w:eastAsia="宋体" w:cs="Arial"/>
          <w:b/>
          <w:sz w:val="36"/>
          <w:szCs w:val="36"/>
        </w:rPr>
        <w:t>电动吸引泵的510（k）申报指南</w:t>
      </w:r>
      <w:r>
        <w:rPr>
          <w:rFonts w:ascii="Arial" w:hAnsi="Arial" w:eastAsia="宋体" w:cs="Arial"/>
          <w:b/>
          <w:sz w:val="36"/>
          <w:szCs w:val="36"/>
          <w:vertAlign w:val="superscript"/>
        </w:rPr>
        <w:t>1</w:t>
      </w:r>
    </w:p>
    <w:p w14:paraId="4DB60B79">
      <w:pPr>
        <w:pStyle w:val="3"/>
        <w:adjustRightInd w:val="0"/>
        <w:snapToGrid w:val="0"/>
        <w:spacing w:before="285" w:line="300" w:lineRule="auto"/>
        <w:ind w:left="0"/>
        <w:rPr>
          <w:rFonts w:ascii="Arial" w:hAnsi="Arial" w:cs="Arial"/>
          <w:b w:val="0"/>
          <w:bCs w:val="0"/>
          <w:u w:val="none"/>
        </w:rPr>
      </w:pPr>
      <w:r>
        <w:rPr>
          <w:rFonts w:ascii="Arial" w:hAnsi="Arial" w:cs="Arial"/>
        </w:rPr>
        <w:t>前言-</w:t>
      </w:r>
    </w:p>
    <w:p w14:paraId="4C948E1C">
      <w:pPr>
        <w:pStyle w:val="4"/>
        <w:adjustRightInd w:val="0"/>
        <w:snapToGrid w:val="0"/>
        <w:spacing w:before="8" w:line="300" w:lineRule="auto"/>
        <w:ind w:left="0" w:firstLine="0"/>
        <w:jc w:val="both"/>
        <w:rPr>
          <w:rFonts w:ascii="Arial" w:hAnsi="Arial" w:cs="Arial"/>
        </w:rPr>
      </w:pPr>
      <w:r>
        <w:rPr>
          <w:rFonts w:ascii="Arial" w:hAnsi="Arial" w:cs="Arial"/>
        </w:rPr>
        <w:t>本文件概述了电动吸引泵上市前通告（510（k））申报的具体信息。510（K）应提供支持所拟用的器械与已合法商业销售的器械的实质等同性的信息。要在以下几个方面（但不限于）确定实质等同性：预期用途、设计、使用/输出的能量、材料、性能、安全性、有效性、标签和其他适用特性。</w:t>
      </w:r>
    </w:p>
    <w:p w14:paraId="2B51B0B8">
      <w:pPr>
        <w:adjustRightInd w:val="0"/>
        <w:snapToGrid w:val="0"/>
        <w:spacing w:before="1" w:line="300" w:lineRule="auto"/>
        <w:jc w:val="both"/>
        <w:rPr>
          <w:rFonts w:ascii="Arial" w:hAnsi="Arial" w:eastAsia="宋体" w:cs="Arial"/>
          <w:sz w:val="26"/>
          <w:szCs w:val="26"/>
        </w:rPr>
      </w:pPr>
    </w:p>
    <w:p w14:paraId="519FF170">
      <w:pPr>
        <w:pStyle w:val="3"/>
        <w:adjustRightInd w:val="0"/>
        <w:snapToGrid w:val="0"/>
        <w:spacing w:line="300" w:lineRule="auto"/>
        <w:ind w:left="0"/>
        <w:jc w:val="both"/>
        <w:rPr>
          <w:rFonts w:ascii="Arial" w:hAnsi="Arial" w:cs="Arial"/>
          <w:b w:val="0"/>
          <w:bCs w:val="0"/>
          <w:u w:val="none"/>
        </w:rPr>
      </w:pPr>
      <w:r>
        <w:rPr>
          <w:rFonts w:ascii="Arial" w:hAnsi="Arial" w:cs="Arial"/>
        </w:rPr>
        <w:t>目的-</w:t>
      </w:r>
    </w:p>
    <w:p w14:paraId="143A6DFF">
      <w:pPr>
        <w:pStyle w:val="4"/>
        <w:adjustRightInd w:val="0"/>
        <w:snapToGrid w:val="0"/>
        <w:spacing w:before="8" w:line="300" w:lineRule="auto"/>
        <w:ind w:left="0" w:firstLine="0"/>
        <w:jc w:val="both"/>
        <w:rPr>
          <w:rFonts w:ascii="Arial" w:hAnsi="Arial" w:cs="Arial"/>
          <w:sz w:val="28"/>
          <w:szCs w:val="28"/>
        </w:rPr>
      </w:pPr>
      <w:r>
        <w:rPr>
          <w:rFonts w:ascii="Arial" w:hAnsi="Arial" w:cs="Arial"/>
        </w:rPr>
        <w:t>本指南旨在：</w:t>
      </w:r>
    </w:p>
    <w:p w14:paraId="675A19B0">
      <w:pPr>
        <w:pStyle w:val="4"/>
        <w:numPr>
          <w:ilvl w:val="0"/>
          <w:numId w:val="1"/>
        </w:numPr>
        <w:adjustRightInd w:val="0"/>
        <w:snapToGrid w:val="0"/>
        <w:spacing w:before="4" w:line="300" w:lineRule="auto"/>
        <w:ind w:left="868" w:hanging="392"/>
        <w:jc w:val="both"/>
        <w:rPr>
          <w:rFonts w:ascii="Arial" w:hAnsi="Arial" w:cs="Arial"/>
          <w:sz w:val="28"/>
          <w:szCs w:val="28"/>
        </w:rPr>
      </w:pPr>
      <w:r>
        <w:rPr>
          <w:rFonts w:ascii="Arial" w:hAnsi="Arial" w:cs="Arial"/>
        </w:rPr>
        <w:t>协助制造商、分销商或进口商组织电动吸引泵和配件的上市前通告；</w:t>
      </w:r>
    </w:p>
    <w:p w14:paraId="43619C18">
      <w:pPr>
        <w:pStyle w:val="4"/>
        <w:numPr>
          <w:ilvl w:val="0"/>
          <w:numId w:val="1"/>
        </w:numPr>
        <w:adjustRightInd w:val="0"/>
        <w:snapToGrid w:val="0"/>
        <w:spacing w:before="4" w:line="300" w:lineRule="auto"/>
        <w:ind w:left="868" w:hanging="392"/>
        <w:jc w:val="both"/>
        <w:rPr>
          <w:rFonts w:ascii="Arial" w:hAnsi="Arial" w:cs="Arial"/>
          <w:sz w:val="28"/>
          <w:szCs w:val="28"/>
        </w:rPr>
      </w:pPr>
      <w:r>
        <w:rPr>
          <w:rFonts w:ascii="Arial" w:hAnsi="Arial" w:cs="Arial"/>
        </w:rPr>
        <w:t>实现满足要求和信息提交的一致性；和</w:t>
      </w:r>
    </w:p>
    <w:p w14:paraId="1852A1CC">
      <w:pPr>
        <w:pStyle w:val="4"/>
        <w:numPr>
          <w:ilvl w:val="0"/>
          <w:numId w:val="1"/>
        </w:numPr>
        <w:adjustRightInd w:val="0"/>
        <w:snapToGrid w:val="0"/>
        <w:spacing w:before="0" w:line="300" w:lineRule="auto"/>
        <w:ind w:left="868" w:hanging="392"/>
        <w:jc w:val="both"/>
        <w:rPr>
          <w:rFonts w:ascii="Arial" w:hAnsi="Arial" w:cs="Arial"/>
        </w:rPr>
      </w:pPr>
      <w:r>
        <w:rPr>
          <w:rFonts w:ascii="Arial" w:hAnsi="Arial" w:cs="Arial"/>
        </w:rPr>
        <w:t>指导FDA工作人员进行电动吸引泵上市前通告的审查和记录。</w:t>
      </w:r>
    </w:p>
    <w:p w14:paraId="04983ABD">
      <w:pPr>
        <w:adjustRightInd w:val="0"/>
        <w:snapToGrid w:val="0"/>
        <w:spacing w:before="9" w:line="300" w:lineRule="auto"/>
        <w:jc w:val="both"/>
        <w:rPr>
          <w:rFonts w:ascii="Arial" w:hAnsi="Arial" w:eastAsia="宋体" w:cs="Arial"/>
          <w:sz w:val="28"/>
          <w:szCs w:val="28"/>
        </w:rPr>
      </w:pPr>
    </w:p>
    <w:p w14:paraId="0B6B712F">
      <w:pPr>
        <w:pStyle w:val="3"/>
        <w:adjustRightInd w:val="0"/>
        <w:snapToGrid w:val="0"/>
        <w:spacing w:line="300" w:lineRule="auto"/>
        <w:ind w:left="0"/>
        <w:jc w:val="both"/>
        <w:rPr>
          <w:rFonts w:ascii="Arial" w:hAnsi="Arial" w:cs="Arial"/>
          <w:b w:val="0"/>
          <w:bCs w:val="0"/>
          <w:u w:val="none"/>
        </w:rPr>
      </w:pPr>
      <w:r>
        <w:rPr>
          <w:rFonts w:ascii="Arial" w:hAnsi="Arial" w:cs="Arial"/>
        </w:rPr>
        <w:t>概述-</w:t>
      </w:r>
    </w:p>
    <w:p w14:paraId="46F518F3">
      <w:pPr>
        <w:pStyle w:val="4"/>
        <w:adjustRightInd w:val="0"/>
        <w:snapToGrid w:val="0"/>
        <w:spacing w:before="8" w:line="300" w:lineRule="auto"/>
        <w:ind w:left="0" w:firstLine="0"/>
        <w:jc w:val="both"/>
        <w:rPr>
          <w:rFonts w:ascii="Arial" w:hAnsi="Arial" w:cs="Arial"/>
        </w:rPr>
      </w:pPr>
      <w:r>
        <w:rPr>
          <w:rFonts w:ascii="Arial" w:hAnsi="Arial" w:cs="Arial"/>
        </w:rPr>
        <w:t>电动吸引泵在FDA规定21 CFR 878.4780中有所描述。电动吸引泵是一种便携式、交流供电或压缩空气为动力的器械，用于从伤口中去除感染性物质或从患者的气道或呼吸支持系统中去除液体。该器械可以在手术室或患者床边的手术期间使用。该器械可以包括微生物过滤器。FDA将该器械列为第二类医疗器械。我们鼓励制造商确定用于测试电动吸引泵的标准的适用部分（例如，ANSI / AAMI美国国家电外科器械国际标准HF-18/1993和/或国际电工委员会电外科器械标准601-2-2）。</w:t>
      </w:r>
    </w:p>
    <w:p w14:paraId="122EB160">
      <w:pPr>
        <w:adjustRightInd w:val="0"/>
        <w:snapToGrid w:val="0"/>
        <w:spacing w:before="9" w:line="300" w:lineRule="auto"/>
        <w:jc w:val="both"/>
        <w:rPr>
          <w:rFonts w:ascii="Arial" w:hAnsi="Arial" w:eastAsia="宋体" w:cs="Arial"/>
          <w:sz w:val="28"/>
          <w:szCs w:val="28"/>
        </w:rPr>
      </w:pPr>
    </w:p>
    <w:p w14:paraId="6830555E">
      <w:pPr>
        <w:pStyle w:val="3"/>
        <w:adjustRightInd w:val="0"/>
        <w:snapToGrid w:val="0"/>
        <w:spacing w:line="300" w:lineRule="auto"/>
        <w:ind w:left="0"/>
        <w:jc w:val="both"/>
        <w:rPr>
          <w:rFonts w:ascii="Arial" w:hAnsi="Arial" w:cs="Arial"/>
          <w:b w:val="0"/>
          <w:bCs w:val="0"/>
          <w:u w:val="none"/>
        </w:rPr>
      </w:pPr>
      <w:r>
        <w:rPr>
          <w:rFonts w:ascii="Arial" w:hAnsi="Arial" w:cs="Arial"/>
        </w:rPr>
        <w:t>电动吸引泵术语和定义-</w:t>
      </w:r>
    </w:p>
    <w:p w14:paraId="24FF7AAB">
      <w:pPr>
        <w:pStyle w:val="4"/>
        <w:adjustRightInd w:val="0"/>
        <w:snapToGrid w:val="0"/>
        <w:spacing w:before="8" w:line="300" w:lineRule="auto"/>
        <w:ind w:left="0" w:firstLine="0"/>
        <w:jc w:val="both"/>
        <w:rPr>
          <w:rFonts w:ascii="Arial" w:hAnsi="Arial" w:cs="Arial"/>
        </w:rPr>
      </w:pPr>
      <w:r>
        <w:rPr>
          <w:rFonts w:ascii="Arial" w:hAnsi="Arial" w:cs="Arial"/>
        </w:rPr>
        <w:t>联邦法规：21 CFR 878.4780</w:t>
      </w:r>
    </w:p>
    <w:p w14:paraId="1C94BF83">
      <w:pPr>
        <w:pStyle w:val="4"/>
        <w:adjustRightInd w:val="0"/>
        <w:snapToGrid w:val="0"/>
        <w:spacing w:line="300" w:lineRule="auto"/>
        <w:ind w:left="0" w:firstLine="0"/>
        <w:jc w:val="both"/>
        <w:rPr>
          <w:rFonts w:ascii="Arial" w:hAnsi="Arial" w:cs="Arial"/>
          <w:spacing w:val="26"/>
        </w:rPr>
      </w:pPr>
      <w:r>
        <w:rPr>
          <w:rFonts w:ascii="Arial" w:hAnsi="Arial" w:cs="Arial"/>
        </w:rPr>
        <w:t xml:space="preserve">JCX-装置、抽吸、病房使用、便携式、交流供电 </w:t>
      </w:r>
    </w:p>
    <w:p w14:paraId="4AAB4E48">
      <w:pPr>
        <w:pStyle w:val="4"/>
        <w:adjustRightInd w:val="0"/>
        <w:snapToGrid w:val="0"/>
        <w:spacing w:line="300" w:lineRule="auto"/>
        <w:ind w:left="0" w:firstLine="0"/>
        <w:jc w:val="both"/>
        <w:rPr>
          <w:rFonts w:ascii="Arial" w:hAnsi="Arial" w:cs="Arial"/>
          <w:spacing w:val="26"/>
        </w:rPr>
      </w:pPr>
      <w:r>
        <w:rPr>
          <w:rFonts w:ascii="Arial" w:hAnsi="Arial" w:cs="Arial"/>
        </w:rPr>
        <w:t>BTA-泵、便携式、吸引、（手动或</w:t>
      </w:r>
      <w:r>
        <w:rPr>
          <w:rFonts w:hint="eastAsia" w:ascii="Arial" w:hAnsi="Arial" w:cs="Arial"/>
        </w:rPr>
        <w:t>电动</w:t>
      </w:r>
      <w:r>
        <w:rPr>
          <w:rFonts w:ascii="Arial" w:hAnsi="Arial" w:cs="Arial"/>
        </w:rPr>
        <w:t xml:space="preserve">） </w:t>
      </w:r>
    </w:p>
    <w:p w14:paraId="0411238E">
      <w:pPr>
        <w:pStyle w:val="4"/>
        <w:adjustRightInd w:val="0"/>
        <w:snapToGrid w:val="0"/>
        <w:spacing w:line="300" w:lineRule="auto"/>
        <w:ind w:left="0" w:firstLine="0"/>
        <w:jc w:val="both"/>
        <w:rPr>
          <w:rFonts w:ascii="Arial" w:hAnsi="Arial" w:cs="Arial"/>
          <w:sz w:val="20"/>
          <w:szCs w:val="20"/>
        </w:rPr>
      </w:pPr>
      <w:r>
        <w:rPr>
          <w:rFonts w:ascii="Arial" w:hAnsi="Arial" w:cs="Arial"/>
        </w:rPr>
        <w:t>DSMA-小型制造商服务组</w:t>
      </w:r>
    </w:p>
    <w:p w14:paraId="33DACDB8">
      <w:pPr>
        <w:adjustRightInd w:val="0"/>
        <w:snapToGrid w:val="0"/>
        <w:spacing w:before="2" w:line="300" w:lineRule="auto"/>
        <w:jc w:val="both"/>
        <w:rPr>
          <w:rFonts w:ascii="Arial" w:hAnsi="Arial" w:eastAsia="宋体" w:cs="Arial"/>
        </w:rPr>
      </w:pPr>
    </w:p>
    <w:p w14:paraId="663F32CB">
      <w:pPr>
        <w:pStyle w:val="4"/>
        <w:adjustRightInd w:val="0"/>
        <w:snapToGrid w:val="0"/>
        <w:spacing w:before="80" w:line="300" w:lineRule="auto"/>
        <w:ind w:left="0" w:firstLine="0"/>
        <w:jc w:val="both"/>
        <w:rPr>
          <w:rFonts w:ascii="Arial" w:hAnsi="Arial" w:cs="Arial"/>
        </w:rPr>
      </w:pPr>
      <w:r>
        <w:rPr>
          <w:rFonts w:ascii="Arial" w:hAnsi="Arial" w:cs="Arial"/>
          <w:vertAlign w:val="superscript"/>
        </w:rPr>
        <w:t>1</w:t>
      </w:r>
      <w:r>
        <w:rPr>
          <w:rFonts w:ascii="Arial" w:hAnsi="Arial" w:cs="Arial"/>
        </w:rPr>
        <w:t>本文件旨在提供指导。其代表该机构</w:t>
      </w:r>
      <w:r>
        <w:rPr>
          <w:rFonts w:hint="eastAsia" w:ascii="Arial" w:hAnsi="Arial" w:cs="Arial"/>
        </w:rPr>
        <w:t>对此主题的最新见解。其不会为任何人创造或赋予任何权利，也不对FDA或公众具有约束力。如果替代方法满足适用的法律、法规或其两者的要求，可以使用替代方法</w:t>
      </w:r>
      <w:r>
        <w:rPr>
          <w:rFonts w:ascii="Arial" w:hAnsi="Arial" w:cs="Arial"/>
        </w:rPr>
        <w:t>。</w:t>
      </w:r>
    </w:p>
    <w:p w14:paraId="00232792">
      <w:pPr>
        <w:adjustRightInd w:val="0"/>
        <w:snapToGrid w:val="0"/>
        <w:spacing w:line="300" w:lineRule="auto"/>
        <w:jc w:val="both"/>
        <w:rPr>
          <w:rFonts w:ascii="Arial" w:hAnsi="Arial" w:eastAsia="宋体" w:cs="Arial"/>
        </w:rPr>
        <w:sectPr>
          <w:footerReference r:id="rId3" w:type="default"/>
          <w:pgSz w:w="12240" w:h="15840"/>
          <w:pgMar w:top="1134" w:right="1134" w:bottom="1134" w:left="1134" w:header="0" w:footer="850" w:gutter="0"/>
          <w:pgNumType w:start="1"/>
          <w:cols w:space="720" w:num="1"/>
          <w:docGrid w:linePitch="299" w:charSpace="0"/>
        </w:sectPr>
      </w:pPr>
    </w:p>
    <w:p w14:paraId="7B29B7A2">
      <w:pPr>
        <w:pStyle w:val="3"/>
        <w:adjustRightInd w:val="0"/>
        <w:snapToGrid w:val="0"/>
        <w:spacing w:before="47" w:line="300" w:lineRule="auto"/>
        <w:ind w:left="0"/>
        <w:jc w:val="both"/>
        <w:rPr>
          <w:rFonts w:ascii="Arial" w:hAnsi="Arial" w:cs="Arial"/>
          <w:sz w:val="24"/>
          <w:szCs w:val="24"/>
        </w:rPr>
      </w:pPr>
      <w:r>
        <w:rPr>
          <w:rFonts w:ascii="Arial" w:hAnsi="Arial" w:cs="Arial"/>
          <w:sz w:val="24"/>
          <w:szCs w:val="24"/>
        </w:rPr>
        <w:t>建议格式-</w:t>
      </w:r>
    </w:p>
    <w:p w14:paraId="3771CBE8">
      <w:pPr>
        <w:adjustRightInd w:val="0"/>
        <w:snapToGrid w:val="0"/>
        <w:spacing w:line="300" w:lineRule="auto"/>
        <w:jc w:val="both"/>
        <w:rPr>
          <w:rFonts w:ascii="Arial" w:hAnsi="Arial" w:eastAsia="宋体" w:cs="Arial"/>
          <w:sz w:val="24"/>
          <w:szCs w:val="24"/>
        </w:rPr>
      </w:pPr>
    </w:p>
    <w:p w14:paraId="47F6B3D4">
      <w:pPr>
        <w:numPr>
          <w:ilvl w:val="0"/>
          <w:numId w:val="2"/>
        </w:numPr>
        <w:tabs>
          <w:tab w:val="left" w:pos="676"/>
        </w:tabs>
        <w:adjustRightInd w:val="0"/>
        <w:snapToGrid w:val="0"/>
        <w:spacing w:before="47" w:line="300" w:lineRule="auto"/>
        <w:ind w:left="544" w:hanging="544"/>
        <w:jc w:val="both"/>
        <w:rPr>
          <w:rFonts w:ascii="Arial" w:hAnsi="Arial" w:eastAsia="宋体" w:cs="Arial"/>
          <w:sz w:val="24"/>
          <w:szCs w:val="24"/>
        </w:rPr>
      </w:pPr>
      <w:r>
        <w:rPr>
          <w:rFonts w:ascii="Arial" w:hAnsi="Arial" w:eastAsia="宋体" w:cs="Arial"/>
          <w:sz w:val="24"/>
          <w:szCs w:val="24"/>
        </w:rPr>
        <w:t>基本信息-</w:t>
      </w:r>
    </w:p>
    <w:p w14:paraId="79AE15AD">
      <w:pPr>
        <w:pStyle w:val="4"/>
        <w:numPr>
          <w:ilvl w:val="1"/>
          <w:numId w:val="1"/>
        </w:numPr>
        <w:adjustRightInd w:val="0"/>
        <w:snapToGrid w:val="0"/>
        <w:spacing w:before="2" w:line="300" w:lineRule="auto"/>
        <w:ind w:left="991" w:leftChars="247" w:hanging="448"/>
        <w:jc w:val="both"/>
        <w:rPr>
          <w:rFonts w:ascii="Arial" w:hAnsi="Arial" w:cs="Arial"/>
        </w:rPr>
      </w:pPr>
      <w:r>
        <w:rPr>
          <w:rFonts w:ascii="Arial" w:hAnsi="Arial" w:cs="Arial"/>
        </w:rPr>
        <w:t>商品名称，包括器械型号。</w:t>
      </w:r>
    </w:p>
    <w:p w14:paraId="3091F161">
      <w:pPr>
        <w:pStyle w:val="4"/>
        <w:numPr>
          <w:ilvl w:val="1"/>
          <w:numId w:val="1"/>
        </w:numPr>
        <w:adjustRightInd w:val="0"/>
        <w:snapToGrid w:val="0"/>
        <w:spacing w:before="2" w:line="300" w:lineRule="auto"/>
        <w:ind w:left="991" w:leftChars="247" w:hanging="448"/>
        <w:jc w:val="both"/>
        <w:rPr>
          <w:rFonts w:ascii="Arial" w:hAnsi="Arial" w:cs="Arial"/>
        </w:rPr>
      </w:pPr>
      <w:r>
        <w:rPr>
          <w:rFonts w:ascii="Arial" w:hAnsi="Arial" w:cs="Arial"/>
        </w:rPr>
        <w:t>器械的通用名称或分类名称（21 CFR 807.87）。</w:t>
      </w:r>
    </w:p>
    <w:p w14:paraId="43BCA3DA">
      <w:pPr>
        <w:pStyle w:val="4"/>
        <w:numPr>
          <w:ilvl w:val="1"/>
          <w:numId w:val="1"/>
        </w:numPr>
        <w:adjustRightInd w:val="0"/>
        <w:snapToGrid w:val="0"/>
        <w:spacing w:before="2" w:line="300" w:lineRule="auto"/>
        <w:ind w:left="991" w:leftChars="247" w:hanging="448"/>
        <w:jc w:val="both"/>
        <w:rPr>
          <w:rFonts w:ascii="Arial" w:hAnsi="Arial" w:cs="Arial"/>
        </w:rPr>
      </w:pPr>
      <w:r>
        <w:rPr>
          <w:rFonts w:ascii="Arial" w:hAnsi="Arial" w:cs="Arial"/>
        </w:rPr>
        <w:t>机构注册编号。</w:t>
      </w:r>
    </w:p>
    <w:p w14:paraId="56F16C6F">
      <w:pPr>
        <w:pStyle w:val="4"/>
        <w:numPr>
          <w:ilvl w:val="1"/>
          <w:numId w:val="1"/>
        </w:numPr>
        <w:adjustRightInd w:val="0"/>
        <w:snapToGrid w:val="0"/>
        <w:spacing w:before="2" w:line="300" w:lineRule="auto"/>
        <w:ind w:left="991" w:leftChars="247" w:hanging="448"/>
        <w:jc w:val="both"/>
        <w:rPr>
          <w:rFonts w:ascii="Arial" w:hAnsi="Arial" w:cs="Arial"/>
        </w:rPr>
      </w:pPr>
      <w:r>
        <w:rPr>
          <w:rFonts w:ascii="Arial" w:hAnsi="Arial" w:cs="Arial"/>
        </w:rPr>
        <w:t>制造工厂的地址。</w:t>
      </w:r>
    </w:p>
    <w:p w14:paraId="4372A0EF">
      <w:pPr>
        <w:pStyle w:val="4"/>
        <w:numPr>
          <w:ilvl w:val="1"/>
          <w:numId w:val="1"/>
        </w:numPr>
        <w:adjustRightInd w:val="0"/>
        <w:snapToGrid w:val="0"/>
        <w:spacing w:before="2" w:line="300" w:lineRule="auto"/>
        <w:ind w:left="991" w:leftChars="247" w:hanging="448"/>
        <w:jc w:val="both"/>
        <w:rPr>
          <w:rFonts w:ascii="Arial" w:hAnsi="Arial" w:cs="Arial"/>
        </w:rPr>
      </w:pPr>
      <w:r>
        <w:rPr>
          <w:rFonts w:ascii="Arial" w:hAnsi="Arial" w:cs="Arial"/>
        </w:rPr>
        <w:t>根据该法案第513条以及适当的专家组（如果已知），对其进行分类（第一类、第二类、第三类或未分类）。如果申报者确定该器械尚未分类，则应提交该确定的声明和该确定的依据。</w:t>
      </w:r>
    </w:p>
    <w:p w14:paraId="2B6F19EB">
      <w:pPr>
        <w:pStyle w:val="4"/>
        <w:numPr>
          <w:ilvl w:val="1"/>
          <w:numId w:val="1"/>
        </w:numPr>
        <w:adjustRightInd w:val="0"/>
        <w:snapToGrid w:val="0"/>
        <w:spacing w:before="2" w:line="300" w:lineRule="auto"/>
        <w:ind w:left="991" w:leftChars="247" w:hanging="448"/>
        <w:jc w:val="both"/>
        <w:rPr>
          <w:rFonts w:ascii="Arial" w:hAnsi="Arial" w:cs="Arial"/>
        </w:rPr>
      </w:pPr>
      <w:r>
        <w:rPr>
          <w:rFonts w:ascii="Arial" w:hAnsi="Arial" w:cs="Arial"/>
        </w:rPr>
        <w:t>上市前通告的原因-新器械或现有器械的变更。如果进行510（k）变更申请，详细描述变更的原因，并提供原始器械的510（k）编号。</w:t>
      </w:r>
    </w:p>
    <w:p w14:paraId="2877AEEE">
      <w:pPr>
        <w:pStyle w:val="4"/>
        <w:numPr>
          <w:ilvl w:val="1"/>
          <w:numId w:val="1"/>
        </w:numPr>
        <w:adjustRightInd w:val="0"/>
        <w:snapToGrid w:val="0"/>
        <w:spacing w:before="2" w:line="300" w:lineRule="auto"/>
        <w:ind w:left="991" w:leftChars="247" w:hanging="448"/>
        <w:jc w:val="both"/>
        <w:rPr>
          <w:rFonts w:ascii="Arial" w:hAnsi="Arial" w:cs="Arial"/>
        </w:rPr>
      </w:pPr>
      <w:r>
        <w:rPr>
          <w:rFonts w:ascii="Arial" w:hAnsi="Arial" w:cs="Arial"/>
        </w:rPr>
        <w:t>贵公司声明等</w:t>
      </w:r>
      <w:r>
        <w:rPr>
          <w:rFonts w:hint="eastAsia" w:ascii="Arial" w:hAnsi="Arial" w:cs="Arial"/>
        </w:rPr>
        <w:t>同</w:t>
      </w:r>
      <w:r>
        <w:rPr>
          <w:rFonts w:ascii="Arial" w:hAnsi="Arial" w:cs="Arial"/>
        </w:rPr>
        <w:t>性的合法上市的诊断器械的确认。</w:t>
      </w:r>
    </w:p>
    <w:p w14:paraId="0A4DFC09">
      <w:pPr>
        <w:pStyle w:val="4"/>
        <w:numPr>
          <w:ilvl w:val="1"/>
          <w:numId w:val="1"/>
        </w:numPr>
        <w:adjustRightInd w:val="0"/>
        <w:snapToGrid w:val="0"/>
        <w:spacing w:before="2" w:line="300" w:lineRule="auto"/>
        <w:ind w:left="991" w:leftChars="247" w:hanging="448"/>
        <w:jc w:val="both"/>
        <w:rPr>
          <w:rFonts w:ascii="Arial" w:hAnsi="Arial" w:cs="Arial"/>
        </w:rPr>
      </w:pPr>
      <w:r>
        <w:rPr>
          <w:rFonts w:ascii="Arial" w:hAnsi="Arial" w:cs="Arial"/>
        </w:rPr>
        <w:t>符合标准或指南。</w:t>
      </w:r>
    </w:p>
    <w:p w14:paraId="3C0CB7CB">
      <w:pPr>
        <w:adjustRightInd w:val="0"/>
        <w:snapToGrid w:val="0"/>
        <w:spacing w:before="6" w:line="300" w:lineRule="auto"/>
        <w:jc w:val="both"/>
        <w:rPr>
          <w:rFonts w:ascii="Arial" w:hAnsi="Arial" w:eastAsia="宋体" w:cs="Arial"/>
          <w:sz w:val="24"/>
          <w:szCs w:val="24"/>
        </w:rPr>
      </w:pPr>
    </w:p>
    <w:p w14:paraId="10BBAE13">
      <w:pPr>
        <w:numPr>
          <w:ilvl w:val="0"/>
          <w:numId w:val="2"/>
        </w:numPr>
        <w:tabs>
          <w:tab w:val="left" w:pos="642"/>
        </w:tabs>
        <w:adjustRightInd w:val="0"/>
        <w:snapToGrid w:val="0"/>
        <w:spacing w:line="300" w:lineRule="auto"/>
        <w:ind w:left="559" w:hanging="559" w:hangingChars="232"/>
        <w:jc w:val="both"/>
        <w:rPr>
          <w:rFonts w:ascii="Arial" w:hAnsi="Arial" w:eastAsia="宋体" w:cs="Arial"/>
          <w:sz w:val="24"/>
          <w:szCs w:val="24"/>
        </w:rPr>
      </w:pPr>
      <w:r>
        <w:rPr>
          <w:rFonts w:ascii="Arial" w:hAnsi="Arial" w:eastAsia="宋体" w:cs="Arial"/>
          <w:b/>
          <w:sz w:val="24"/>
          <w:szCs w:val="24"/>
        </w:rPr>
        <w:t>根据1990年</w:t>
      </w:r>
      <w:r>
        <w:rPr>
          <w:rFonts w:hint="eastAsia" w:ascii="Arial" w:hAnsi="Arial" w:eastAsia="宋体" w:cs="Arial"/>
          <w:b/>
          <w:sz w:val="24"/>
          <w:szCs w:val="24"/>
        </w:rPr>
        <w:t>《</w:t>
      </w:r>
      <w:r>
        <w:rPr>
          <w:rFonts w:ascii="Arial" w:hAnsi="Arial" w:eastAsia="宋体" w:cs="Arial"/>
          <w:b/>
          <w:sz w:val="24"/>
          <w:szCs w:val="24"/>
        </w:rPr>
        <w:t>医疗器械安全法案</w:t>
      </w:r>
      <w:r>
        <w:rPr>
          <w:rFonts w:hint="eastAsia" w:ascii="Arial" w:hAnsi="Arial" w:eastAsia="宋体" w:cs="Arial"/>
          <w:b/>
          <w:sz w:val="24"/>
          <w:szCs w:val="24"/>
        </w:rPr>
        <w:t>》</w:t>
      </w:r>
      <w:r>
        <w:rPr>
          <w:rFonts w:ascii="Arial" w:hAnsi="Arial" w:eastAsia="宋体" w:cs="Arial"/>
          <w:b/>
          <w:sz w:val="24"/>
          <w:szCs w:val="24"/>
        </w:rPr>
        <w:t>的510（k）摘要和/或认证声明</w:t>
      </w:r>
      <w:r>
        <w:rPr>
          <w:rFonts w:ascii="Arial" w:hAnsi="Arial" w:eastAsia="宋体" w:cs="Arial"/>
          <w:sz w:val="24"/>
          <w:szCs w:val="24"/>
        </w:rPr>
        <w:t>-见57 FR 18066（1992年4月28日），修订59 FR64295（1994年12月14日）。</w:t>
      </w:r>
    </w:p>
    <w:p w14:paraId="6A395D16">
      <w:pPr>
        <w:adjustRightInd w:val="0"/>
        <w:snapToGrid w:val="0"/>
        <w:spacing w:before="6" w:line="300" w:lineRule="auto"/>
        <w:jc w:val="both"/>
        <w:rPr>
          <w:rFonts w:ascii="Arial" w:hAnsi="Arial" w:eastAsia="宋体" w:cs="Arial"/>
          <w:sz w:val="24"/>
          <w:szCs w:val="24"/>
        </w:rPr>
      </w:pPr>
    </w:p>
    <w:p w14:paraId="3526A3EB">
      <w:pPr>
        <w:numPr>
          <w:ilvl w:val="0"/>
          <w:numId w:val="2"/>
        </w:numPr>
        <w:tabs>
          <w:tab w:val="left" w:pos="642"/>
        </w:tabs>
        <w:adjustRightInd w:val="0"/>
        <w:snapToGrid w:val="0"/>
        <w:spacing w:line="300" w:lineRule="auto"/>
        <w:ind w:left="512" w:hanging="512" w:hangingChars="232"/>
        <w:jc w:val="both"/>
        <w:rPr>
          <w:rFonts w:ascii="Arial" w:hAnsi="Arial" w:eastAsia="宋体" w:cs="Arial"/>
        </w:rPr>
      </w:pPr>
      <w:r>
        <w:rPr>
          <w:rFonts w:ascii="Arial" w:hAnsi="Arial" w:eastAsia="宋体" w:cs="Arial"/>
          <w:b/>
        </w:rPr>
        <w:t>拟用标签</w:t>
      </w:r>
      <w:r>
        <w:rPr>
          <w:rFonts w:ascii="Arial" w:hAnsi="Arial" w:eastAsia="宋体" w:cs="Arial"/>
        </w:rPr>
        <w:t>-见ODE蓝皮书备忘录G91-1，</w:t>
      </w:r>
      <w:r>
        <w:fldChar w:fldCharType="begin"/>
      </w:r>
      <w:r>
        <w:instrText xml:space="preserve"> HYPERLINK "http://www.fda.gov/cdrh/g91-1.html" \h </w:instrText>
      </w:r>
      <w:r>
        <w:fldChar w:fldCharType="separate"/>
      </w:r>
      <w:r>
        <w:rPr>
          <w:rFonts w:ascii="Arial" w:hAnsi="Arial" w:eastAsia="宋体" w:cs="Arial"/>
          <w:color w:val="0000FF"/>
        </w:rPr>
        <w:t>器械标签指南</w:t>
      </w:r>
      <w:r>
        <w:rPr>
          <w:rFonts w:ascii="Arial" w:hAnsi="Arial" w:eastAsia="宋体" w:cs="Arial"/>
          <w:color w:val="0000FF"/>
        </w:rPr>
        <w:fldChar w:fldCharType="end"/>
      </w:r>
      <w:r>
        <w:rPr>
          <w:rFonts w:ascii="Arial" w:hAnsi="Arial" w:eastAsia="宋体" w:cs="Arial"/>
        </w:rPr>
        <w:t>。</w:t>
      </w:r>
      <w:r>
        <w:rPr>
          <w:rFonts w:ascii="Arial" w:hAnsi="Arial" w:eastAsia="宋体" w:cs="Arial"/>
          <w:color w:val="000000"/>
        </w:rPr>
        <w:t>本指南的副本可从DSMA获得。</w:t>
      </w:r>
    </w:p>
    <w:p w14:paraId="79EF9F4D">
      <w:pPr>
        <w:pStyle w:val="4"/>
        <w:numPr>
          <w:ilvl w:val="0"/>
          <w:numId w:val="3"/>
        </w:numPr>
        <w:tabs>
          <w:tab w:val="left" w:pos="1252"/>
        </w:tabs>
        <w:adjustRightInd w:val="0"/>
        <w:snapToGrid w:val="0"/>
        <w:spacing w:before="5" w:line="300" w:lineRule="auto"/>
        <w:ind w:left="1008" w:leftChars="248" w:hanging="462"/>
        <w:jc w:val="both"/>
        <w:rPr>
          <w:rFonts w:ascii="Arial" w:hAnsi="Arial" w:cs="Arial"/>
        </w:rPr>
      </w:pPr>
      <w:r>
        <w:rPr>
          <w:rFonts w:ascii="Arial" w:hAnsi="Arial" w:cs="Arial"/>
        </w:rPr>
        <w:t>预期用途。</w:t>
      </w:r>
    </w:p>
    <w:p w14:paraId="35C746A7">
      <w:pPr>
        <w:pStyle w:val="4"/>
        <w:numPr>
          <w:ilvl w:val="0"/>
          <w:numId w:val="3"/>
        </w:numPr>
        <w:tabs>
          <w:tab w:val="left" w:pos="1252"/>
        </w:tabs>
        <w:adjustRightInd w:val="0"/>
        <w:snapToGrid w:val="0"/>
        <w:spacing w:before="5" w:line="300" w:lineRule="auto"/>
        <w:ind w:left="1008" w:leftChars="248" w:hanging="462"/>
        <w:jc w:val="both"/>
        <w:rPr>
          <w:rFonts w:ascii="Arial" w:hAnsi="Arial" w:cs="Arial"/>
        </w:rPr>
      </w:pPr>
      <w:r>
        <w:rPr>
          <w:rFonts w:ascii="Arial" w:hAnsi="Arial" w:cs="Arial"/>
        </w:rPr>
        <w:t>处方标签符合21 CFR 801.109（b）（1）。</w:t>
      </w:r>
    </w:p>
    <w:p w14:paraId="01D36AE2">
      <w:pPr>
        <w:pStyle w:val="4"/>
        <w:numPr>
          <w:ilvl w:val="0"/>
          <w:numId w:val="3"/>
        </w:numPr>
        <w:tabs>
          <w:tab w:val="left" w:pos="1252"/>
        </w:tabs>
        <w:adjustRightInd w:val="0"/>
        <w:snapToGrid w:val="0"/>
        <w:spacing w:before="5" w:line="300" w:lineRule="auto"/>
        <w:ind w:left="1008" w:leftChars="248" w:hanging="462"/>
        <w:jc w:val="both"/>
        <w:rPr>
          <w:rFonts w:ascii="Arial" w:hAnsi="Arial" w:cs="Arial"/>
        </w:rPr>
      </w:pPr>
      <w:r>
        <w:rPr>
          <w:rFonts w:ascii="Arial" w:hAnsi="Arial" w:cs="Arial"/>
        </w:rPr>
        <w:t>识别标签。</w:t>
      </w:r>
    </w:p>
    <w:p w14:paraId="1A3011CF">
      <w:pPr>
        <w:pStyle w:val="4"/>
        <w:numPr>
          <w:ilvl w:val="0"/>
          <w:numId w:val="3"/>
        </w:numPr>
        <w:tabs>
          <w:tab w:val="left" w:pos="1252"/>
        </w:tabs>
        <w:adjustRightInd w:val="0"/>
        <w:snapToGrid w:val="0"/>
        <w:spacing w:before="5" w:line="300" w:lineRule="auto"/>
        <w:ind w:left="1008" w:leftChars="248" w:hanging="462"/>
        <w:jc w:val="both"/>
        <w:rPr>
          <w:rFonts w:ascii="Arial" w:hAnsi="Arial" w:cs="Arial"/>
        </w:rPr>
      </w:pPr>
      <w:r>
        <w:rPr>
          <w:rFonts w:ascii="Arial" w:hAnsi="Arial" w:cs="Arial"/>
        </w:rPr>
        <w:t>提供所有标签，包括适当的使用说明、广告、再处理/消毒/灭菌、维护等的适当指导。包括所有注意事项、警告、预防措施、禁忌症或限制。</w:t>
      </w:r>
    </w:p>
    <w:p w14:paraId="26B007ED">
      <w:pPr>
        <w:pStyle w:val="4"/>
        <w:numPr>
          <w:ilvl w:val="0"/>
          <w:numId w:val="3"/>
        </w:numPr>
        <w:tabs>
          <w:tab w:val="left" w:pos="1252"/>
        </w:tabs>
        <w:adjustRightInd w:val="0"/>
        <w:snapToGrid w:val="0"/>
        <w:spacing w:before="5" w:line="300" w:lineRule="auto"/>
        <w:ind w:left="1008" w:leftChars="248" w:hanging="462"/>
        <w:jc w:val="both"/>
        <w:rPr>
          <w:rFonts w:ascii="Arial" w:hAnsi="Arial" w:cs="Arial"/>
        </w:rPr>
      </w:pPr>
      <w:r>
        <w:rPr>
          <w:rFonts w:ascii="Arial" w:hAnsi="Arial" w:cs="Arial"/>
        </w:rPr>
        <w:t>灭菌说明。反复再灭菌不应损害器械的性能。</w:t>
      </w:r>
    </w:p>
    <w:p w14:paraId="23030A23">
      <w:pPr>
        <w:pStyle w:val="4"/>
        <w:numPr>
          <w:ilvl w:val="0"/>
          <w:numId w:val="3"/>
        </w:numPr>
        <w:tabs>
          <w:tab w:val="left" w:pos="1252"/>
        </w:tabs>
        <w:adjustRightInd w:val="0"/>
        <w:snapToGrid w:val="0"/>
        <w:spacing w:before="5" w:line="300" w:lineRule="auto"/>
        <w:ind w:left="1008" w:leftChars="248" w:hanging="462"/>
        <w:jc w:val="both"/>
        <w:rPr>
          <w:rFonts w:ascii="Arial" w:hAnsi="Arial" w:cs="Arial"/>
        </w:rPr>
      </w:pPr>
      <w:r>
        <w:rPr>
          <w:rFonts w:ascii="Arial" w:hAnsi="Arial" w:cs="Arial"/>
        </w:rPr>
        <w:t>提供日常维护的时间间隔。</w:t>
      </w:r>
    </w:p>
    <w:p w14:paraId="4C723C8B">
      <w:pPr>
        <w:pStyle w:val="4"/>
        <w:numPr>
          <w:ilvl w:val="0"/>
          <w:numId w:val="3"/>
        </w:numPr>
        <w:tabs>
          <w:tab w:val="left" w:pos="1252"/>
        </w:tabs>
        <w:adjustRightInd w:val="0"/>
        <w:snapToGrid w:val="0"/>
        <w:spacing w:before="5" w:line="300" w:lineRule="auto"/>
        <w:ind w:left="1008" w:leftChars="248" w:hanging="462"/>
        <w:jc w:val="both"/>
        <w:rPr>
          <w:rFonts w:ascii="Arial" w:hAnsi="Arial" w:cs="Arial"/>
        </w:rPr>
      </w:pPr>
      <w:r>
        <w:rPr>
          <w:rFonts w:ascii="Arial" w:hAnsi="Arial" w:cs="Arial"/>
        </w:rPr>
        <w:t>除了灭菌外的详细说明，包括以下内容：</w:t>
      </w:r>
    </w:p>
    <w:p w14:paraId="10A2DB82">
      <w:pPr>
        <w:pStyle w:val="4"/>
        <w:numPr>
          <w:ilvl w:val="1"/>
          <w:numId w:val="3"/>
        </w:numPr>
        <w:adjustRightInd w:val="0"/>
        <w:snapToGrid w:val="0"/>
        <w:spacing w:line="300" w:lineRule="auto"/>
        <w:ind w:left="0" w:firstLine="1456"/>
        <w:jc w:val="both"/>
        <w:rPr>
          <w:rFonts w:ascii="Arial" w:hAnsi="Arial" w:cs="Arial"/>
        </w:rPr>
      </w:pPr>
      <w:r>
        <w:rPr>
          <w:rFonts w:ascii="Arial" w:hAnsi="Arial" w:cs="Arial"/>
        </w:rPr>
        <w:t>组装/拆卸</w:t>
      </w:r>
    </w:p>
    <w:p w14:paraId="07B37BCD">
      <w:pPr>
        <w:pStyle w:val="4"/>
        <w:numPr>
          <w:ilvl w:val="1"/>
          <w:numId w:val="3"/>
        </w:numPr>
        <w:adjustRightInd w:val="0"/>
        <w:snapToGrid w:val="0"/>
        <w:spacing w:line="300" w:lineRule="auto"/>
        <w:ind w:left="0" w:firstLine="1456"/>
        <w:jc w:val="both"/>
        <w:rPr>
          <w:rFonts w:ascii="Arial" w:hAnsi="Arial" w:cs="Arial"/>
        </w:rPr>
      </w:pPr>
      <w:r>
        <w:rPr>
          <w:rFonts w:ascii="Arial" w:hAnsi="Arial" w:cs="Arial"/>
        </w:rPr>
        <w:t>详细的清洗方法</w:t>
      </w:r>
    </w:p>
    <w:p w14:paraId="684AB4CA">
      <w:pPr>
        <w:adjustRightInd w:val="0"/>
        <w:snapToGrid w:val="0"/>
        <w:spacing w:line="300" w:lineRule="auto"/>
        <w:jc w:val="both"/>
        <w:rPr>
          <w:rFonts w:ascii="Arial" w:hAnsi="Arial" w:eastAsia="宋体" w:cs="Arial"/>
          <w:sz w:val="24"/>
          <w:szCs w:val="24"/>
        </w:rPr>
        <w:sectPr>
          <w:pgSz w:w="12240" w:h="15840"/>
          <w:pgMar w:top="1134" w:right="1134" w:bottom="1134" w:left="1134" w:header="0" w:footer="915" w:gutter="0"/>
          <w:cols w:space="720" w:num="1"/>
          <w:docGrid w:linePitch="299" w:charSpace="0"/>
        </w:sectPr>
      </w:pPr>
    </w:p>
    <w:p w14:paraId="4EB7A0D0">
      <w:pPr>
        <w:numPr>
          <w:ilvl w:val="0"/>
          <w:numId w:val="2"/>
        </w:numPr>
        <w:tabs>
          <w:tab w:val="left" w:pos="642"/>
        </w:tabs>
        <w:adjustRightInd w:val="0"/>
        <w:snapToGrid w:val="0"/>
        <w:spacing w:line="288" w:lineRule="auto"/>
        <w:ind w:left="544" w:hanging="544"/>
        <w:jc w:val="both"/>
        <w:rPr>
          <w:rFonts w:ascii="Arial" w:hAnsi="Arial" w:eastAsia="宋体" w:cs="Arial"/>
          <w:sz w:val="24"/>
          <w:szCs w:val="24"/>
        </w:rPr>
      </w:pPr>
      <w:r>
        <w:rPr>
          <w:rFonts w:ascii="Arial" w:hAnsi="Arial" w:eastAsia="宋体" w:cs="Arial"/>
          <w:b/>
          <w:sz w:val="24"/>
          <w:szCs w:val="24"/>
        </w:rPr>
        <w:t>详细的器械说明</w:t>
      </w:r>
      <w:r>
        <w:rPr>
          <w:rFonts w:ascii="Arial" w:hAnsi="Arial" w:eastAsia="宋体" w:cs="Arial"/>
          <w:sz w:val="24"/>
          <w:szCs w:val="24"/>
        </w:rPr>
        <w:t>-请提供以下内容︰</w:t>
      </w:r>
    </w:p>
    <w:p w14:paraId="0FD27AA7">
      <w:pPr>
        <w:pStyle w:val="4"/>
        <w:numPr>
          <w:ilvl w:val="0"/>
          <w:numId w:val="4"/>
        </w:numPr>
        <w:tabs>
          <w:tab w:val="left" w:pos="1252"/>
        </w:tabs>
        <w:adjustRightInd w:val="0"/>
        <w:snapToGrid w:val="0"/>
        <w:spacing w:before="0" w:line="288" w:lineRule="auto"/>
        <w:ind w:left="0" w:firstLine="546"/>
        <w:jc w:val="both"/>
        <w:rPr>
          <w:rFonts w:ascii="Arial" w:hAnsi="Arial" w:cs="Arial"/>
        </w:rPr>
      </w:pPr>
      <w:r>
        <w:rPr>
          <w:rFonts w:ascii="Arial" w:hAnsi="Arial" w:cs="Arial"/>
        </w:rPr>
        <w:t>性能标准</w:t>
      </w:r>
    </w:p>
    <w:p w14:paraId="5F0493C1">
      <w:pPr>
        <w:pStyle w:val="4"/>
        <w:numPr>
          <w:ilvl w:val="1"/>
          <w:numId w:val="4"/>
        </w:numPr>
        <w:tabs>
          <w:tab w:val="left" w:pos="1827"/>
        </w:tabs>
        <w:adjustRightInd w:val="0"/>
        <w:snapToGrid w:val="0"/>
        <w:spacing w:before="0" w:line="288" w:lineRule="auto"/>
        <w:ind w:left="0" w:firstLine="1260"/>
        <w:jc w:val="both"/>
        <w:rPr>
          <w:rFonts w:ascii="Arial" w:hAnsi="Arial" w:cs="Arial"/>
        </w:rPr>
      </w:pPr>
      <w:r>
        <w:rPr>
          <w:rFonts w:ascii="Arial" w:hAnsi="Arial" w:cs="Arial"/>
        </w:rPr>
        <w:t>泵的类型（如AC、DC、微处理器控制等）</w:t>
      </w:r>
    </w:p>
    <w:p w14:paraId="7126324B">
      <w:pPr>
        <w:pStyle w:val="4"/>
        <w:numPr>
          <w:ilvl w:val="1"/>
          <w:numId w:val="4"/>
        </w:numPr>
        <w:tabs>
          <w:tab w:val="left" w:pos="1827"/>
        </w:tabs>
        <w:adjustRightInd w:val="0"/>
        <w:snapToGrid w:val="0"/>
        <w:spacing w:before="0" w:line="288" w:lineRule="auto"/>
        <w:ind w:left="0" w:firstLine="1260"/>
        <w:jc w:val="both"/>
        <w:rPr>
          <w:rFonts w:ascii="Arial" w:hAnsi="Arial" w:cs="Arial"/>
        </w:rPr>
      </w:pPr>
      <w:r>
        <w:rPr>
          <w:rFonts w:ascii="Arial" w:hAnsi="Arial" w:cs="Arial"/>
        </w:rPr>
        <w:t>最大吸入流量</w:t>
      </w:r>
    </w:p>
    <w:p w14:paraId="5EEA0643">
      <w:pPr>
        <w:pStyle w:val="4"/>
        <w:numPr>
          <w:ilvl w:val="1"/>
          <w:numId w:val="4"/>
        </w:numPr>
        <w:tabs>
          <w:tab w:val="left" w:pos="1827"/>
        </w:tabs>
        <w:adjustRightInd w:val="0"/>
        <w:snapToGrid w:val="0"/>
        <w:spacing w:before="0" w:line="288" w:lineRule="auto"/>
        <w:ind w:left="0" w:firstLine="1260"/>
        <w:jc w:val="both"/>
        <w:rPr>
          <w:rFonts w:ascii="Arial" w:hAnsi="Arial" w:cs="Arial"/>
        </w:rPr>
      </w:pPr>
      <w:r>
        <w:rPr>
          <w:rFonts w:ascii="Arial" w:hAnsi="Arial" w:cs="Arial"/>
        </w:rPr>
        <w:t>压力控制</w:t>
      </w:r>
    </w:p>
    <w:p w14:paraId="5AE1D2A8">
      <w:pPr>
        <w:pStyle w:val="4"/>
        <w:numPr>
          <w:ilvl w:val="1"/>
          <w:numId w:val="4"/>
        </w:numPr>
        <w:tabs>
          <w:tab w:val="left" w:pos="1827"/>
        </w:tabs>
        <w:adjustRightInd w:val="0"/>
        <w:snapToGrid w:val="0"/>
        <w:spacing w:before="0" w:line="288" w:lineRule="auto"/>
        <w:ind w:left="0" w:firstLine="1260"/>
        <w:jc w:val="both"/>
        <w:rPr>
          <w:rFonts w:ascii="Arial" w:hAnsi="Arial" w:cs="Arial"/>
        </w:rPr>
      </w:pPr>
      <w:r>
        <w:rPr>
          <w:rFonts w:ascii="Arial" w:hAnsi="Arial" w:cs="Arial"/>
        </w:rPr>
        <w:t>过滤器（如孔径范围为0.3微米的细菌过滤器）</w:t>
      </w:r>
    </w:p>
    <w:p w14:paraId="45E8D201">
      <w:pPr>
        <w:pStyle w:val="4"/>
        <w:numPr>
          <w:ilvl w:val="1"/>
          <w:numId w:val="4"/>
        </w:numPr>
        <w:tabs>
          <w:tab w:val="left" w:pos="1827"/>
        </w:tabs>
        <w:adjustRightInd w:val="0"/>
        <w:snapToGrid w:val="0"/>
        <w:spacing w:before="0" w:line="288" w:lineRule="auto"/>
        <w:ind w:left="0" w:firstLine="1260"/>
        <w:jc w:val="both"/>
        <w:rPr>
          <w:rFonts w:ascii="Arial" w:hAnsi="Arial" w:cs="Arial"/>
        </w:rPr>
      </w:pPr>
      <w:r>
        <w:rPr>
          <w:rFonts w:ascii="Arial" w:hAnsi="Arial" w:cs="Arial"/>
        </w:rPr>
        <w:t>功率操作（即VAC、Hz等）</w:t>
      </w:r>
    </w:p>
    <w:p w14:paraId="5AA3AE5F">
      <w:pPr>
        <w:pStyle w:val="4"/>
        <w:numPr>
          <w:ilvl w:val="1"/>
          <w:numId w:val="4"/>
        </w:numPr>
        <w:tabs>
          <w:tab w:val="left" w:pos="1827"/>
        </w:tabs>
        <w:adjustRightInd w:val="0"/>
        <w:snapToGrid w:val="0"/>
        <w:spacing w:before="0" w:line="288" w:lineRule="auto"/>
        <w:ind w:left="0" w:firstLine="1260"/>
        <w:jc w:val="both"/>
        <w:rPr>
          <w:rFonts w:ascii="Arial" w:hAnsi="Arial" w:cs="Arial"/>
        </w:rPr>
      </w:pPr>
      <w:r>
        <w:rPr>
          <w:rFonts w:ascii="Arial" w:hAnsi="Arial" w:cs="Arial"/>
        </w:rPr>
        <w:t>安全装置（如电子和手动）：</w:t>
      </w:r>
    </w:p>
    <w:p w14:paraId="3BF55489">
      <w:pPr>
        <w:numPr>
          <w:ilvl w:val="2"/>
          <w:numId w:val="4"/>
        </w:numPr>
        <w:tabs>
          <w:tab w:val="left" w:pos="2188"/>
        </w:tabs>
        <w:adjustRightInd w:val="0"/>
        <w:snapToGrid w:val="0"/>
        <w:spacing w:line="288" w:lineRule="auto"/>
        <w:ind w:left="2157" w:leftChars="834" w:hanging="322"/>
        <w:jc w:val="both"/>
        <w:rPr>
          <w:rFonts w:ascii="Arial" w:hAnsi="Arial" w:eastAsia="宋体" w:cs="Arial"/>
          <w:sz w:val="24"/>
          <w:szCs w:val="24"/>
        </w:rPr>
      </w:pPr>
      <w:r>
        <w:rPr>
          <w:rFonts w:ascii="Arial" w:hAnsi="Arial" w:eastAsia="宋体" w:cs="Arial"/>
          <w:sz w:val="24"/>
          <w:szCs w:val="24"/>
        </w:rPr>
        <w:t>传感器-一种用于监测单元产生的压力和吸入瓶中产生的压力的电子系统。如果瓶子和单元中的压力变得不平衡，吸力将自动停止。这样可以防止液体反流进入泵和患者体内。</w:t>
      </w:r>
    </w:p>
    <w:p w14:paraId="536F0CCC">
      <w:pPr>
        <w:numPr>
          <w:ilvl w:val="2"/>
          <w:numId w:val="4"/>
        </w:numPr>
        <w:tabs>
          <w:tab w:val="left" w:pos="2188"/>
        </w:tabs>
        <w:adjustRightInd w:val="0"/>
        <w:snapToGrid w:val="0"/>
        <w:spacing w:line="288" w:lineRule="auto"/>
        <w:ind w:left="2157" w:leftChars="834" w:hanging="322"/>
        <w:jc w:val="both"/>
        <w:rPr>
          <w:rFonts w:ascii="Arial" w:hAnsi="Arial" w:eastAsia="宋体" w:cs="Arial"/>
          <w:sz w:val="24"/>
          <w:szCs w:val="24"/>
        </w:rPr>
      </w:pPr>
      <w:r>
        <w:rPr>
          <w:rFonts w:ascii="Arial" w:hAnsi="Arial" w:eastAsia="宋体" w:cs="Arial"/>
          <w:sz w:val="24"/>
          <w:szCs w:val="24"/>
        </w:rPr>
        <w:t>溢流阀-位于吸瓶盖上的手动安全装置。如果液体达到瓶子的最高水平，则在溢流阀中的浮子会阻塞入口，引起吸力自动停止。这可以防止液体反流进入泵或患者体内。</w:t>
      </w:r>
    </w:p>
    <w:p w14:paraId="4E93980C">
      <w:pPr>
        <w:pStyle w:val="4"/>
        <w:numPr>
          <w:ilvl w:val="1"/>
          <w:numId w:val="4"/>
        </w:numPr>
        <w:tabs>
          <w:tab w:val="left" w:pos="1828"/>
        </w:tabs>
        <w:adjustRightInd w:val="0"/>
        <w:snapToGrid w:val="0"/>
        <w:spacing w:before="0" w:line="288" w:lineRule="auto"/>
        <w:ind w:left="0" w:firstLine="1260"/>
        <w:jc w:val="both"/>
        <w:rPr>
          <w:rFonts w:ascii="Arial" w:hAnsi="Arial" w:cs="Arial"/>
        </w:rPr>
      </w:pPr>
      <w:r>
        <w:rPr>
          <w:rFonts w:ascii="Arial" w:hAnsi="Arial" w:cs="Arial"/>
        </w:rPr>
        <w:t>配件：</w:t>
      </w:r>
    </w:p>
    <w:p w14:paraId="4915C7D0">
      <w:pPr>
        <w:numPr>
          <w:ilvl w:val="2"/>
          <w:numId w:val="4"/>
        </w:numPr>
        <w:tabs>
          <w:tab w:val="left" w:pos="2188"/>
        </w:tabs>
        <w:adjustRightInd w:val="0"/>
        <w:snapToGrid w:val="0"/>
        <w:spacing w:line="288" w:lineRule="auto"/>
        <w:ind w:left="2157" w:leftChars="834" w:hanging="322"/>
        <w:jc w:val="both"/>
        <w:rPr>
          <w:rFonts w:ascii="Arial" w:hAnsi="Arial" w:eastAsia="宋体" w:cs="Arial"/>
          <w:sz w:val="24"/>
          <w:szCs w:val="24"/>
        </w:rPr>
      </w:pPr>
      <w:r>
        <w:rPr>
          <w:rFonts w:ascii="Arial" w:hAnsi="Arial" w:eastAsia="宋体" w:cs="Arial"/>
          <w:sz w:val="24"/>
          <w:szCs w:val="24"/>
        </w:rPr>
        <w:t>收集瓶/罐-尺寸、类型等</w:t>
      </w:r>
    </w:p>
    <w:p w14:paraId="2CDD0FCF">
      <w:pPr>
        <w:numPr>
          <w:ilvl w:val="2"/>
          <w:numId w:val="4"/>
        </w:numPr>
        <w:tabs>
          <w:tab w:val="left" w:pos="2188"/>
        </w:tabs>
        <w:adjustRightInd w:val="0"/>
        <w:snapToGrid w:val="0"/>
        <w:spacing w:line="288" w:lineRule="auto"/>
        <w:ind w:left="2157" w:leftChars="834" w:hanging="322"/>
        <w:jc w:val="both"/>
        <w:rPr>
          <w:rFonts w:ascii="Arial" w:hAnsi="Arial" w:eastAsia="宋体" w:cs="Arial"/>
          <w:sz w:val="24"/>
          <w:szCs w:val="24"/>
        </w:rPr>
      </w:pPr>
      <w:r>
        <w:rPr>
          <w:rFonts w:ascii="Arial" w:hAnsi="Arial" w:eastAsia="宋体" w:cs="Arial"/>
          <w:sz w:val="24"/>
          <w:szCs w:val="24"/>
        </w:rPr>
        <w:t>管道-材料、标准</w:t>
      </w:r>
    </w:p>
    <w:p w14:paraId="7966B59A">
      <w:pPr>
        <w:adjustRightInd w:val="0"/>
        <w:snapToGrid w:val="0"/>
        <w:spacing w:line="288" w:lineRule="auto"/>
        <w:jc w:val="both"/>
        <w:rPr>
          <w:rFonts w:ascii="Arial" w:hAnsi="Arial" w:eastAsia="宋体" w:cs="Arial"/>
          <w:sz w:val="24"/>
          <w:szCs w:val="24"/>
        </w:rPr>
      </w:pPr>
    </w:p>
    <w:p w14:paraId="3DDA0AF2">
      <w:pPr>
        <w:pStyle w:val="4"/>
        <w:numPr>
          <w:ilvl w:val="0"/>
          <w:numId w:val="4"/>
        </w:numPr>
        <w:tabs>
          <w:tab w:val="left" w:pos="1252"/>
        </w:tabs>
        <w:adjustRightInd w:val="0"/>
        <w:snapToGrid w:val="0"/>
        <w:spacing w:before="0" w:line="288" w:lineRule="auto"/>
        <w:ind w:left="0" w:firstLine="546"/>
        <w:jc w:val="both"/>
        <w:rPr>
          <w:rFonts w:ascii="Arial" w:hAnsi="Arial" w:cs="Arial"/>
        </w:rPr>
      </w:pPr>
      <w:r>
        <w:rPr>
          <w:rFonts w:ascii="Arial" w:hAnsi="Arial" w:cs="Arial"/>
        </w:rPr>
        <w:t>详细的示意图、装配和工程图纸。</w:t>
      </w:r>
    </w:p>
    <w:p w14:paraId="10FF70C5">
      <w:pPr>
        <w:pStyle w:val="4"/>
        <w:numPr>
          <w:ilvl w:val="1"/>
          <w:numId w:val="4"/>
        </w:numPr>
        <w:tabs>
          <w:tab w:val="left" w:pos="1827"/>
        </w:tabs>
        <w:adjustRightInd w:val="0"/>
        <w:snapToGrid w:val="0"/>
        <w:spacing w:before="0" w:line="288" w:lineRule="auto"/>
        <w:ind w:left="1834" w:leftChars="579" w:hanging="560"/>
        <w:jc w:val="both"/>
        <w:rPr>
          <w:rFonts w:ascii="Arial" w:hAnsi="Arial" w:cs="Arial"/>
        </w:rPr>
      </w:pPr>
      <w:r>
        <w:rPr>
          <w:rFonts w:ascii="Arial" w:hAnsi="Arial" w:cs="Arial"/>
        </w:rPr>
        <w:t>真空泵</w:t>
      </w:r>
    </w:p>
    <w:p w14:paraId="0D6501E2">
      <w:pPr>
        <w:pStyle w:val="4"/>
        <w:numPr>
          <w:ilvl w:val="1"/>
          <w:numId w:val="4"/>
        </w:numPr>
        <w:tabs>
          <w:tab w:val="left" w:pos="1827"/>
        </w:tabs>
        <w:adjustRightInd w:val="0"/>
        <w:snapToGrid w:val="0"/>
        <w:spacing w:before="0" w:line="288" w:lineRule="auto"/>
        <w:ind w:left="1834" w:leftChars="579" w:hanging="560"/>
        <w:jc w:val="both"/>
        <w:rPr>
          <w:rFonts w:ascii="Arial" w:hAnsi="Arial" w:cs="Arial"/>
        </w:rPr>
      </w:pPr>
      <w:r>
        <w:rPr>
          <w:rFonts w:ascii="Arial" w:hAnsi="Arial" w:cs="Arial"/>
        </w:rPr>
        <w:t>特性（例如启动/停止开关、吸入压力预调节、硬件、设定点读数、实际压力等）</w:t>
      </w:r>
    </w:p>
    <w:p w14:paraId="1B2B555B">
      <w:pPr>
        <w:pStyle w:val="4"/>
        <w:numPr>
          <w:ilvl w:val="1"/>
          <w:numId w:val="4"/>
        </w:numPr>
        <w:tabs>
          <w:tab w:val="left" w:pos="1827"/>
        </w:tabs>
        <w:adjustRightInd w:val="0"/>
        <w:snapToGrid w:val="0"/>
        <w:spacing w:before="0" w:line="288" w:lineRule="auto"/>
        <w:ind w:left="1834" w:leftChars="579" w:hanging="560"/>
        <w:jc w:val="both"/>
        <w:rPr>
          <w:rFonts w:ascii="Arial" w:hAnsi="Arial" w:cs="Arial"/>
        </w:rPr>
      </w:pPr>
      <w:r>
        <w:rPr>
          <w:rFonts w:ascii="Arial" w:hAnsi="Arial" w:cs="Arial"/>
        </w:rPr>
        <w:t>软件（如适用）</w:t>
      </w:r>
    </w:p>
    <w:p w14:paraId="4A9F543C">
      <w:pPr>
        <w:pStyle w:val="4"/>
        <w:numPr>
          <w:ilvl w:val="1"/>
          <w:numId w:val="4"/>
        </w:numPr>
        <w:tabs>
          <w:tab w:val="left" w:pos="1827"/>
        </w:tabs>
        <w:adjustRightInd w:val="0"/>
        <w:snapToGrid w:val="0"/>
        <w:spacing w:before="0" w:line="288" w:lineRule="auto"/>
        <w:ind w:left="1834" w:leftChars="579" w:hanging="560"/>
        <w:jc w:val="both"/>
        <w:rPr>
          <w:rFonts w:ascii="Arial" w:hAnsi="Arial" w:cs="Arial"/>
        </w:rPr>
      </w:pPr>
      <w:r>
        <w:rPr>
          <w:rFonts w:ascii="Arial" w:hAnsi="Arial" w:cs="Arial"/>
        </w:rPr>
        <w:t>收集系统</w:t>
      </w:r>
    </w:p>
    <w:p w14:paraId="1912D9B3">
      <w:pPr>
        <w:adjustRightInd w:val="0"/>
        <w:snapToGrid w:val="0"/>
        <w:spacing w:line="288" w:lineRule="auto"/>
        <w:jc w:val="both"/>
        <w:rPr>
          <w:rFonts w:ascii="Arial" w:hAnsi="Arial" w:eastAsia="宋体" w:cs="Arial"/>
          <w:sz w:val="24"/>
          <w:szCs w:val="24"/>
        </w:rPr>
      </w:pPr>
    </w:p>
    <w:p w14:paraId="2231507E">
      <w:pPr>
        <w:numPr>
          <w:ilvl w:val="0"/>
          <w:numId w:val="2"/>
        </w:numPr>
        <w:tabs>
          <w:tab w:val="left" w:pos="676"/>
        </w:tabs>
        <w:adjustRightInd w:val="0"/>
        <w:snapToGrid w:val="0"/>
        <w:spacing w:line="288" w:lineRule="auto"/>
        <w:ind w:left="578" w:hanging="578"/>
        <w:jc w:val="both"/>
        <w:rPr>
          <w:rFonts w:ascii="Arial" w:hAnsi="Arial" w:eastAsia="宋体" w:cs="Arial"/>
          <w:sz w:val="24"/>
          <w:szCs w:val="24"/>
        </w:rPr>
      </w:pPr>
      <w:r>
        <w:rPr>
          <w:rFonts w:ascii="Arial" w:hAnsi="Arial" w:eastAsia="宋体" w:cs="Arial"/>
          <w:b/>
          <w:sz w:val="24"/>
          <w:szCs w:val="24"/>
        </w:rPr>
        <w:t>比较的信息</w:t>
      </w:r>
      <w:r>
        <w:rPr>
          <w:rFonts w:ascii="Arial" w:hAnsi="Arial" w:eastAsia="宋体" w:cs="Arial"/>
          <w:sz w:val="24"/>
          <w:szCs w:val="24"/>
        </w:rPr>
        <w:t>-应该以并列表格形式提供以下内容：</w:t>
      </w:r>
    </w:p>
    <w:p w14:paraId="03DB6944">
      <w:pPr>
        <w:pStyle w:val="4"/>
        <w:numPr>
          <w:ilvl w:val="0"/>
          <w:numId w:val="5"/>
        </w:numPr>
        <w:tabs>
          <w:tab w:val="left" w:pos="1252"/>
        </w:tabs>
        <w:adjustRightInd w:val="0"/>
        <w:snapToGrid w:val="0"/>
        <w:spacing w:before="0" w:line="288" w:lineRule="auto"/>
        <w:ind w:left="0" w:firstLine="588"/>
        <w:jc w:val="both"/>
        <w:rPr>
          <w:rFonts w:ascii="Arial" w:hAnsi="Arial" w:cs="Arial"/>
        </w:rPr>
      </w:pPr>
      <w:r>
        <w:rPr>
          <w:rFonts w:ascii="Arial" w:hAnsi="Arial" w:cs="Arial"/>
        </w:rPr>
        <w:t>确定用于比较的具有相同用途的诊断器械。</w:t>
      </w:r>
    </w:p>
    <w:p w14:paraId="43F2F58F">
      <w:pPr>
        <w:pStyle w:val="4"/>
        <w:numPr>
          <w:ilvl w:val="0"/>
          <w:numId w:val="5"/>
        </w:numPr>
        <w:tabs>
          <w:tab w:val="left" w:pos="1252"/>
        </w:tabs>
        <w:adjustRightInd w:val="0"/>
        <w:snapToGrid w:val="0"/>
        <w:spacing w:before="0" w:line="288" w:lineRule="auto"/>
        <w:ind w:left="0" w:firstLine="588"/>
        <w:jc w:val="both"/>
        <w:rPr>
          <w:rFonts w:ascii="Arial" w:hAnsi="Arial" w:cs="Arial"/>
        </w:rPr>
      </w:pPr>
      <w:r>
        <w:rPr>
          <w:rFonts w:ascii="Arial" w:hAnsi="Arial" w:cs="Arial"/>
        </w:rPr>
        <w:t>提供并行比较，包括相似点和差异。</w:t>
      </w:r>
    </w:p>
    <w:p w14:paraId="0C0836DA">
      <w:pPr>
        <w:pStyle w:val="4"/>
        <w:numPr>
          <w:ilvl w:val="1"/>
          <w:numId w:val="5"/>
        </w:numPr>
        <w:tabs>
          <w:tab w:val="left" w:pos="1827"/>
        </w:tabs>
        <w:adjustRightInd w:val="0"/>
        <w:snapToGrid w:val="0"/>
        <w:spacing w:before="0" w:line="288" w:lineRule="auto"/>
        <w:ind w:left="0" w:firstLine="1274"/>
        <w:jc w:val="both"/>
        <w:rPr>
          <w:rFonts w:ascii="Arial" w:hAnsi="Arial" w:cs="Arial"/>
        </w:rPr>
      </w:pPr>
      <w:r>
        <w:rPr>
          <w:rFonts w:ascii="Arial" w:hAnsi="Arial" w:cs="Arial"/>
        </w:rPr>
        <w:t>物理描述、性能标准、材料、尺寸和其他特性的比较。</w:t>
      </w:r>
    </w:p>
    <w:p w14:paraId="159E6583">
      <w:pPr>
        <w:pStyle w:val="4"/>
        <w:numPr>
          <w:ilvl w:val="1"/>
          <w:numId w:val="5"/>
        </w:numPr>
        <w:tabs>
          <w:tab w:val="left" w:pos="1827"/>
        </w:tabs>
        <w:adjustRightInd w:val="0"/>
        <w:snapToGrid w:val="0"/>
        <w:spacing w:before="0" w:line="288" w:lineRule="auto"/>
        <w:ind w:left="0" w:firstLine="1274"/>
        <w:jc w:val="both"/>
        <w:rPr>
          <w:rFonts w:ascii="Arial" w:hAnsi="Arial" w:cs="Arial"/>
        </w:rPr>
      </w:pPr>
      <w:r>
        <w:rPr>
          <w:rFonts w:ascii="Arial" w:hAnsi="Arial" w:cs="Arial"/>
        </w:rPr>
        <w:t>测试和操作参数的比较。</w:t>
      </w:r>
    </w:p>
    <w:p w14:paraId="3229D705">
      <w:pPr>
        <w:pStyle w:val="4"/>
        <w:numPr>
          <w:ilvl w:val="0"/>
          <w:numId w:val="5"/>
        </w:numPr>
        <w:tabs>
          <w:tab w:val="left" w:pos="1276"/>
        </w:tabs>
        <w:adjustRightInd w:val="0"/>
        <w:snapToGrid w:val="0"/>
        <w:spacing w:before="0" w:line="288" w:lineRule="auto"/>
        <w:ind w:left="0" w:firstLine="588"/>
        <w:jc w:val="both"/>
        <w:rPr>
          <w:rFonts w:ascii="Arial" w:hAnsi="Arial" w:cs="Arial"/>
        </w:rPr>
      </w:pPr>
      <w:r>
        <w:rPr>
          <w:rFonts w:ascii="Arial" w:hAnsi="Arial" w:cs="Arial"/>
        </w:rPr>
        <w:t>解释变更或修改的后果和影响，以及差异如何影响器械的使用和安全性。</w:t>
      </w:r>
    </w:p>
    <w:p w14:paraId="02D08058">
      <w:pPr>
        <w:adjustRightInd w:val="0"/>
        <w:snapToGrid w:val="0"/>
        <w:spacing w:line="288" w:lineRule="auto"/>
        <w:jc w:val="both"/>
        <w:rPr>
          <w:rFonts w:ascii="Arial" w:hAnsi="Arial" w:eastAsia="宋体" w:cs="Arial"/>
          <w:sz w:val="24"/>
          <w:szCs w:val="24"/>
        </w:rPr>
      </w:pPr>
    </w:p>
    <w:p w14:paraId="23CC99B4">
      <w:pPr>
        <w:pStyle w:val="4"/>
        <w:numPr>
          <w:ilvl w:val="0"/>
          <w:numId w:val="2"/>
        </w:numPr>
        <w:tabs>
          <w:tab w:val="left" w:pos="642"/>
        </w:tabs>
        <w:adjustRightInd w:val="0"/>
        <w:snapToGrid w:val="0"/>
        <w:spacing w:before="0" w:line="288" w:lineRule="auto"/>
        <w:ind w:left="544" w:hanging="544"/>
        <w:jc w:val="both"/>
        <w:rPr>
          <w:rFonts w:ascii="Arial" w:hAnsi="Arial" w:cs="Arial"/>
        </w:rPr>
      </w:pPr>
      <w:r>
        <w:rPr>
          <w:rFonts w:ascii="Arial" w:hAnsi="Arial" w:cs="Arial"/>
          <w:b/>
        </w:rPr>
        <w:t>生物相容性</w:t>
      </w:r>
      <w:r>
        <w:rPr>
          <w:rFonts w:ascii="Arial" w:hAnsi="Arial" w:cs="Arial"/>
        </w:rPr>
        <w:t>-通常电动吸引泵不接触患者，因此生物相容性不是问题。如果患者接触到泵的一部分（即吸头），请参阅我们的</w:t>
      </w:r>
      <w:r>
        <w:fldChar w:fldCharType="begin"/>
      </w:r>
      <w:r>
        <w:instrText xml:space="preserve"> HYPERLINK "http://www.fda.gov/cdrh/g951.html" \h </w:instrText>
      </w:r>
      <w:r>
        <w:fldChar w:fldCharType="separate"/>
      </w:r>
      <w:r>
        <w:rPr>
          <w:rFonts w:ascii="Arial" w:hAnsi="Arial" w:cs="Arial"/>
          <w:color w:val="0000FF"/>
        </w:rPr>
        <w:t>蓝皮书备忘录 G95-1</w:t>
      </w:r>
      <w:r>
        <w:rPr>
          <w:rFonts w:ascii="Arial" w:hAnsi="Arial" w:cs="Arial"/>
          <w:color w:val="0000FF"/>
        </w:rPr>
        <w:fldChar w:fldCharType="end"/>
      </w:r>
      <w:r>
        <w:rPr>
          <w:rFonts w:ascii="Arial" w:hAnsi="Arial" w:cs="Arial"/>
        </w:rPr>
        <w:t>，</w:t>
      </w:r>
      <w:r>
        <w:rPr>
          <w:rFonts w:hint="eastAsia" w:ascii="Arial" w:hAnsi="Arial" w:cs="Arial"/>
        </w:rPr>
        <w:t>《</w:t>
      </w:r>
      <w:r>
        <w:rPr>
          <w:rFonts w:ascii="Arial" w:hAnsi="Arial" w:cs="Arial"/>
        </w:rPr>
        <w:t>国际标准 ISO 10993，医疗器械的生物学评价，第 1 部分︰</w:t>
      </w:r>
      <w:r>
        <w:rPr>
          <w:rFonts w:ascii="Arial" w:hAnsi="Arial" w:cs="Arial"/>
          <w:color w:val="000000"/>
        </w:rPr>
        <w:t>评价和测试’的应用</w:t>
      </w:r>
      <w:r>
        <w:rPr>
          <w:rFonts w:hint="eastAsia" w:ascii="Arial" w:hAnsi="Arial" w:cs="Arial"/>
        </w:rPr>
        <w:t>》</w:t>
      </w:r>
      <w:r>
        <w:rPr>
          <w:rFonts w:ascii="Arial" w:hAnsi="Arial" w:cs="Arial"/>
          <w:color w:val="000000"/>
        </w:rPr>
        <w:t>，作为生物相容性的指南。</w:t>
      </w:r>
    </w:p>
    <w:p w14:paraId="3C1AC426">
      <w:pPr>
        <w:adjustRightInd w:val="0"/>
        <w:snapToGrid w:val="0"/>
        <w:spacing w:line="300" w:lineRule="auto"/>
        <w:jc w:val="both"/>
        <w:rPr>
          <w:rFonts w:ascii="Arial" w:hAnsi="Arial" w:eastAsia="宋体" w:cs="Arial"/>
          <w:sz w:val="24"/>
          <w:szCs w:val="24"/>
        </w:rPr>
        <w:sectPr>
          <w:pgSz w:w="12240" w:h="15840"/>
          <w:pgMar w:top="1134" w:right="1134" w:bottom="1134" w:left="1134" w:header="0" w:footer="915" w:gutter="0"/>
          <w:cols w:space="720" w:num="1"/>
          <w:docGrid w:linePitch="299" w:charSpace="0"/>
        </w:sectPr>
      </w:pPr>
    </w:p>
    <w:p w14:paraId="0EF036C4">
      <w:pPr>
        <w:pStyle w:val="3"/>
        <w:numPr>
          <w:ilvl w:val="0"/>
          <w:numId w:val="2"/>
        </w:numPr>
        <w:tabs>
          <w:tab w:val="left" w:pos="662"/>
        </w:tabs>
        <w:adjustRightInd w:val="0"/>
        <w:snapToGrid w:val="0"/>
        <w:spacing w:before="37" w:line="300" w:lineRule="auto"/>
        <w:ind w:left="544" w:hanging="544"/>
        <w:jc w:val="both"/>
        <w:rPr>
          <w:rFonts w:ascii="Arial" w:hAnsi="Arial" w:cs="Arial"/>
          <w:b w:val="0"/>
          <w:bCs w:val="0"/>
          <w:sz w:val="24"/>
          <w:szCs w:val="24"/>
          <w:u w:val="none"/>
        </w:rPr>
      </w:pPr>
      <w:r>
        <w:rPr>
          <w:rFonts w:ascii="Arial" w:hAnsi="Arial" w:cs="Arial"/>
          <w:sz w:val="24"/>
          <w:szCs w:val="24"/>
          <w:u w:val="none"/>
        </w:rPr>
        <w:t>灭菌信息</w:t>
      </w:r>
    </w:p>
    <w:p w14:paraId="4E5EEB83">
      <w:pPr>
        <w:adjustRightInd w:val="0"/>
        <w:snapToGrid w:val="0"/>
        <w:spacing w:before="6" w:line="300" w:lineRule="auto"/>
        <w:jc w:val="both"/>
        <w:rPr>
          <w:rFonts w:ascii="Arial" w:hAnsi="Arial" w:eastAsia="宋体" w:cs="Arial"/>
          <w:sz w:val="24"/>
          <w:szCs w:val="24"/>
        </w:rPr>
      </w:pPr>
    </w:p>
    <w:p w14:paraId="134A407E">
      <w:pPr>
        <w:pStyle w:val="4"/>
        <w:numPr>
          <w:ilvl w:val="0"/>
          <w:numId w:val="6"/>
        </w:numPr>
        <w:tabs>
          <w:tab w:val="left" w:pos="1272"/>
        </w:tabs>
        <w:adjustRightInd w:val="0"/>
        <w:snapToGrid w:val="0"/>
        <w:spacing w:before="0" w:line="300" w:lineRule="auto"/>
        <w:ind w:left="950" w:leftChars="241" w:hanging="420"/>
        <w:jc w:val="both"/>
        <w:rPr>
          <w:rFonts w:ascii="Arial" w:hAnsi="Arial" w:cs="Arial"/>
        </w:rPr>
      </w:pPr>
      <w:r>
        <w:rPr>
          <w:rFonts w:ascii="Arial" w:hAnsi="Arial" w:cs="Arial"/>
        </w:rPr>
        <w:t>无菌器械-通常，吸引泵没有无菌的组件。如果贵公司器械确实包括无菌组件（例如吸头、管道、吸瓶、吸瓶盖等），请提供以下信息：</w:t>
      </w:r>
      <w:r>
        <w:rPr>
          <w:rFonts w:ascii="Arial" w:hAnsi="Arial" w:cs="Arial"/>
        </w:rPr>
        <w:cr/>
      </w:r>
    </w:p>
    <w:p w14:paraId="7C18CA7A">
      <w:pPr>
        <w:pStyle w:val="4"/>
        <w:numPr>
          <w:ilvl w:val="1"/>
          <w:numId w:val="6"/>
        </w:numPr>
        <w:tabs>
          <w:tab w:val="left" w:pos="1847"/>
        </w:tabs>
        <w:adjustRightInd w:val="0"/>
        <w:snapToGrid w:val="0"/>
        <w:spacing w:before="0" w:line="300" w:lineRule="auto"/>
        <w:ind w:left="1370" w:leftChars="432" w:hanging="420"/>
        <w:jc w:val="both"/>
        <w:rPr>
          <w:rFonts w:ascii="Arial" w:hAnsi="Arial" w:cs="Arial"/>
        </w:rPr>
      </w:pPr>
      <w:r>
        <w:rPr>
          <w:rFonts w:ascii="Arial" w:hAnsi="Arial" w:cs="Arial"/>
        </w:rPr>
        <w:t>使用灭菌方法（ETO、RAD、蒸汽）。</w:t>
      </w:r>
    </w:p>
    <w:p w14:paraId="2A2454A1">
      <w:pPr>
        <w:pStyle w:val="4"/>
        <w:numPr>
          <w:ilvl w:val="1"/>
          <w:numId w:val="6"/>
        </w:numPr>
        <w:tabs>
          <w:tab w:val="left" w:pos="1847"/>
        </w:tabs>
        <w:adjustRightInd w:val="0"/>
        <w:snapToGrid w:val="0"/>
        <w:spacing w:line="300" w:lineRule="auto"/>
        <w:ind w:left="1370" w:leftChars="432" w:hanging="420"/>
        <w:jc w:val="both"/>
        <w:rPr>
          <w:rFonts w:ascii="Arial" w:hAnsi="Arial" w:cs="Arial"/>
        </w:rPr>
      </w:pPr>
      <w:r>
        <w:rPr>
          <w:rFonts w:ascii="Arial" w:hAnsi="Arial" w:cs="Arial"/>
        </w:rPr>
        <w:t>达到无菌保证水平（SAL）。</w:t>
      </w:r>
    </w:p>
    <w:p w14:paraId="55FF43D9">
      <w:pPr>
        <w:adjustRightInd w:val="0"/>
        <w:snapToGrid w:val="0"/>
        <w:spacing w:before="10" w:line="300" w:lineRule="auto"/>
        <w:ind w:left="1370" w:leftChars="432" w:hanging="420"/>
        <w:jc w:val="both"/>
        <w:rPr>
          <w:rFonts w:ascii="Arial" w:hAnsi="Arial" w:eastAsia="宋体" w:cs="Arial"/>
          <w:sz w:val="24"/>
          <w:szCs w:val="24"/>
        </w:rPr>
      </w:pPr>
    </w:p>
    <w:p w14:paraId="4870E7F4">
      <w:pPr>
        <w:pStyle w:val="4"/>
        <w:numPr>
          <w:ilvl w:val="0"/>
          <w:numId w:val="6"/>
        </w:numPr>
        <w:tabs>
          <w:tab w:val="left" w:pos="1272"/>
        </w:tabs>
        <w:adjustRightInd w:val="0"/>
        <w:snapToGrid w:val="0"/>
        <w:spacing w:before="0" w:line="300" w:lineRule="auto"/>
        <w:ind w:left="950" w:leftChars="241" w:hanging="420"/>
        <w:jc w:val="both"/>
        <w:rPr>
          <w:rFonts w:ascii="Arial" w:hAnsi="Arial" w:cs="Arial"/>
        </w:rPr>
      </w:pPr>
      <w:r>
        <w:rPr>
          <w:rFonts w:ascii="Arial" w:hAnsi="Arial" w:cs="Arial"/>
        </w:rPr>
        <w:t>可重复使用的无菌器械-请按照</w:t>
      </w:r>
      <w:r>
        <w:rPr>
          <w:rFonts w:hint="eastAsia" w:ascii="Arial" w:hAnsi="Arial" w:cs="Arial"/>
        </w:rPr>
        <w:t>《</w:t>
      </w:r>
      <w:r>
        <w:rPr>
          <w:rFonts w:ascii="Arial" w:hAnsi="Arial" w:cs="Arial"/>
        </w:rPr>
        <w:t>在</w:t>
      </w:r>
      <w:r>
        <w:rPr>
          <w:rFonts w:hint="eastAsia" w:ascii="Arial" w:hAnsi="Arial" w:cs="Arial"/>
        </w:rPr>
        <w:t>医疗机构</w:t>
      </w:r>
      <w:r>
        <w:rPr>
          <w:rFonts w:ascii="Arial" w:hAnsi="Arial" w:cs="Arial"/>
        </w:rPr>
        <w:t>中再处理可重复使用医疗器械的</w:t>
      </w:r>
      <w:r>
        <w:rPr>
          <w:rFonts w:hint="eastAsia" w:ascii="Arial" w:hAnsi="Arial" w:cs="Arial"/>
        </w:rPr>
        <w:t>标识</w:t>
      </w:r>
      <w:r>
        <w:rPr>
          <w:rFonts w:ascii="Arial" w:hAnsi="Arial" w:cs="Arial"/>
        </w:rPr>
        <w:t>：FDA审查员指南</w:t>
      </w:r>
      <w:r>
        <w:rPr>
          <w:rFonts w:hint="eastAsia" w:ascii="Arial" w:hAnsi="Arial" w:cs="Arial"/>
        </w:rPr>
        <w:t>》</w:t>
      </w:r>
      <w:r>
        <w:rPr>
          <w:rFonts w:ascii="Arial" w:hAnsi="Arial" w:cs="Arial"/>
        </w:rPr>
        <w:t>。</w:t>
      </w:r>
    </w:p>
    <w:p w14:paraId="146BD4D5">
      <w:pPr>
        <w:adjustRightInd w:val="0"/>
        <w:snapToGrid w:val="0"/>
        <w:spacing w:before="19" w:line="300" w:lineRule="auto"/>
        <w:jc w:val="both"/>
        <w:rPr>
          <w:rFonts w:ascii="Arial" w:hAnsi="Arial" w:eastAsia="宋体" w:cs="Arial"/>
          <w:sz w:val="24"/>
          <w:szCs w:val="24"/>
        </w:rPr>
      </w:pPr>
    </w:p>
    <w:p w14:paraId="2FAA6690">
      <w:pPr>
        <w:pStyle w:val="4"/>
        <w:numPr>
          <w:ilvl w:val="0"/>
          <w:numId w:val="2"/>
        </w:numPr>
        <w:tabs>
          <w:tab w:val="left" w:pos="662"/>
        </w:tabs>
        <w:adjustRightInd w:val="0"/>
        <w:snapToGrid w:val="0"/>
        <w:spacing w:before="0" w:line="300" w:lineRule="auto"/>
        <w:ind w:left="544" w:hanging="544"/>
        <w:jc w:val="both"/>
        <w:rPr>
          <w:rFonts w:ascii="Arial" w:hAnsi="Arial" w:cs="Arial"/>
        </w:rPr>
      </w:pPr>
      <w:r>
        <w:rPr>
          <w:rFonts w:ascii="Arial" w:hAnsi="Arial" w:cs="Arial"/>
          <w:b/>
        </w:rPr>
        <w:t>软件</w:t>
      </w:r>
      <w:r>
        <w:rPr>
          <w:rFonts w:hint="eastAsia" w:ascii="Arial" w:hAnsi="Arial" w:cs="Arial"/>
          <w:b/>
        </w:rPr>
        <w:t>确认</w:t>
      </w:r>
      <w:r>
        <w:rPr>
          <w:rFonts w:ascii="Arial" w:hAnsi="Arial" w:cs="Arial"/>
        </w:rPr>
        <w:t>-通常电动吸引泵不包括软件。如果</w:t>
      </w:r>
      <w:r>
        <w:fldChar w:fldCharType="begin"/>
      </w:r>
      <w:r>
        <w:instrText xml:space="preserve"> HYPERLINK "http://www.fda.gov/cdrh/ode/57.html" \h </w:instrText>
      </w:r>
      <w:r>
        <w:fldChar w:fldCharType="separate"/>
      </w:r>
      <w:r>
        <w:rPr>
          <w:rFonts w:ascii="Arial" w:hAnsi="Arial" w:cs="Arial"/>
        </w:rPr>
        <w:t>贵公司的器械包含软件，请参阅</w:t>
      </w:r>
      <w:r>
        <w:rPr>
          <w:rFonts w:ascii="Arial" w:hAnsi="Arial" w:cs="Arial"/>
          <w:color w:val="0000FF"/>
        </w:rPr>
        <w:t>医疗器械所含软件的上市前申报内容的指南</w:t>
      </w:r>
      <w:r>
        <w:rPr>
          <w:rFonts w:ascii="Arial" w:hAnsi="Arial" w:cs="Arial"/>
        </w:rPr>
        <w:t>（5-29-98）</w:t>
      </w:r>
      <w:r>
        <w:rPr>
          <w:rFonts w:ascii="Arial" w:hAnsi="Arial" w:cs="Arial"/>
        </w:rPr>
        <w:fldChar w:fldCharType="end"/>
      </w:r>
      <w:r>
        <w:rPr>
          <w:rFonts w:ascii="Arial" w:hAnsi="Arial" w:cs="Arial"/>
        </w:rPr>
        <w:t>。</w:t>
      </w:r>
      <w:r>
        <w:fldChar w:fldCharType="begin"/>
      </w:r>
      <w:r>
        <w:instrText xml:space="preserve"> HYPERLINK "http://www.fda.gov/cdrh/ode/57.html" \h </w:instrText>
      </w:r>
      <w:r>
        <w:fldChar w:fldCharType="separate"/>
      </w:r>
      <w:r>
        <w:fldChar w:fldCharType="end"/>
      </w:r>
      <w:r>
        <w:fldChar w:fldCharType="begin"/>
      </w:r>
      <w:r>
        <w:instrText xml:space="preserve"> HYPERLINK "http://www.fda.gov/cdrh/ode/57.html" \h </w:instrText>
      </w:r>
      <w:r>
        <w:fldChar w:fldCharType="separate"/>
      </w:r>
      <w:r>
        <w:rPr>
          <w:rFonts w:ascii="Arial" w:hAnsi="Arial" w:cs="Arial"/>
        </w:rPr>
        <w:t>本指南的副本</w:t>
      </w:r>
      <w:r>
        <w:rPr>
          <w:rFonts w:ascii="Arial" w:hAnsi="Arial" w:cs="Arial"/>
        </w:rPr>
        <w:fldChar w:fldCharType="end"/>
      </w:r>
      <w:r>
        <w:rPr>
          <w:rFonts w:ascii="Arial" w:hAnsi="Arial" w:cs="Arial"/>
        </w:rPr>
        <w:t>可从DSMA获得。</w:t>
      </w:r>
    </w:p>
    <w:p w14:paraId="37FFCD08">
      <w:pPr>
        <w:adjustRightInd w:val="0"/>
        <w:snapToGrid w:val="0"/>
        <w:spacing w:before="5" w:line="300" w:lineRule="auto"/>
        <w:jc w:val="both"/>
        <w:rPr>
          <w:rFonts w:ascii="Arial" w:hAnsi="Arial" w:eastAsia="宋体" w:cs="Arial"/>
          <w:sz w:val="24"/>
          <w:szCs w:val="24"/>
        </w:rPr>
      </w:pPr>
    </w:p>
    <w:p w14:paraId="6AB49B1E">
      <w:pPr>
        <w:adjustRightInd w:val="0"/>
        <w:snapToGrid w:val="0"/>
        <w:spacing w:line="300" w:lineRule="auto"/>
        <w:jc w:val="both"/>
        <w:rPr>
          <w:rFonts w:ascii="Arial" w:hAnsi="Arial" w:eastAsia="宋体" w:cs="Arial"/>
          <w:sz w:val="24"/>
          <w:szCs w:val="24"/>
        </w:rPr>
      </w:pPr>
    </w:p>
    <w:p w14:paraId="112CAEF7">
      <w:pPr>
        <w:adjustRightInd w:val="0"/>
        <w:snapToGrid w:val="0"/>
        <w:spacing w:line="300" w:lineRule="auto"/>
        <w:jc w:val="both"/>
        <w:rPr>
          <w:rFonts w:ascii="Arial" w:hAnsi="Arial" w:eastAsia="宋体" w:cs="Arial"/>
          <w:sz w:val="24"/>
          <w:szCs w:val="24"/>
        </w:rPr>
      </w:pPr>
    </w:p>
    <w:p w14:paraId="24FB5E40">
      <w:pPr>
        <w:adjustRightInd w:val="0"/>
        <w:snapToGrid w:val="0"/>
        <w:spacing w:line="300" w:lineRule="auto"/>
        <w:jc w:val="both"/>
        <w:rPr>
          <w:rFonts w:ascii="Arial" w:hAnsi="Arial" w:eastAsia="宋体" w:cs="Arial"/>
          <w:sz w:val="24"/>
          <w:szCs w:val="24"/>
        </w:rPr>
      </w:pPr>
      <w:r>
        <w:rPr>
          <w:rFonts w:ascii="Arial" w:hAnsi="Arial" w:eastAsia="宋体" w:cs="Arial"/>
          <w:sz w:val="24"/>
          <w:szCs w:val="24"/>
        </w:rPr>
        <w:t>参考文件可在我们的网站获得：</w:t>
      </w:r>
    </w:p>
    <w:p w14:paraId="4B17BF83">
      <w:pPr>
        <w:adjustRightInd w:val="0"/>
        <w:snapToGrid w:val="0"/>
        <w:spacing w:before="11" w:line="300" w:lineRule="auto"/>
        <w:jc w:val="both"/>
        <w:rPr>
          <w:rFonts w:ascii="Arial" w:hAnsi="Arial" w:eastAsia="宋体" w:cs="Arial"/>
          <w:sz w:val="24"/>
          <w:szCs w:val="24"/>
        </w:rPr>
      </w:pPr>
    </w:p>
    <w:p w14:paraId="7E74E988">
      <w:pPr>
        <w:pStyle w:val="4"/>
        <w:adjustRightInd w:val="0"/>
        <w:snapToGrid w:val="0"/>
        <w:spacing w:before="0" w:line="300" w:lineRule="auto"/>
        <w:ind w:left="0" w:firstLine="0"/>
        <w:jc w:val="both"/>
        <w:rPr>
          <w:rFonts w:ascii="Arial" w:hAnsi="Arial" w:cs="Arial"/>
        </w:rPr>
      </w:pPr>
      <w:r>
        <w:rPr>
          <w:rFonts w:ascii="Arial" w:hAnsi="Arial" w:cs="Arial"/>
        </w:rPr>
        <w:t>指南：</w:t>
      </w:r>
      <w:r>
        <w:fldChar w:fldCharType="begin"/>
      </w:r>
      <w:r>
        <w:instrText xml:space="preserve"> HYPERLINK "http://www.cdrh.fda.gov/cdrh/topindx.html-G" \h </w:instrText>
      </w:r>
      <w:r>
        <w:fldChar w:fldCharType="separate"/>
      </w:r>
      <w:r>
        <w:rPr>
          <w:rFonts w:ascii="Arial" w:hAnsi="Arial" w:cs="Arial"/>
        </w:rPr>
        <w:t>http://www.cdrh.fda.gov/cdrh/topindx.html-G</w:t>
      </w:r>
      <w:r>
        <w:rPr>
          <w:rFonts w:ascii="Arial" w:hAnsi="Arial" w:cs="Arial"/>
        </w:rPr>
        <w:fldChar w:fldCharType="end"/>
      </w:r>
      <w:r>
        <w:rPr>
          <w:rFonts w:ascii="Arial" w:hAnsi="Arial" w:cs="Arial"/>
        </w:rPr>
        <w:t>。</w:t>
      </w:r>
    </w:p>
    <w:p w14:paraId="0D822F21">
      <w:pPr>
        <w:pStyle w:val="4"/>
        <w:adjustRightInd w:val="0"/>
        <w:snapToGrid w:val="0"/>
        <w:spacing w:before="0" w:line="300" w:lineRule="auto"/>
        <w:ind w:left="0" w:firstLine="0"/>
        <w:jc w:val="both"/>
        <w:rPr>
          <w:rFonts w:ascii="Arial" w:hAnsi="Arial" w:cs="Arial"/>
        </w:rPr>
      </w:pPr>
      <w:r>
        <w:rPr>
          <w:rFonts w:ascii="Arial" w:hAnsi="Arial" w:cs="Arial"/>
        </w:rPr>
        <w:t>蓝皮书备忘录：</w:t>
      </w:r>
      <w:r>
        <w:fldChar w:fldCharType="begin"/>
      </w:r>
      <w:r>
        <w:instrText xml:space="preserve"> HYPERLINK "http://www.cdrh.fda.gov/cdrh/blbkmem.html" \h </w:instrText>
      </w:r>
      <w:r>
        <w:fldChar w:fldCharType="separate"/>
      </w:r>
      <w:r>
        <w:rPr>
          <w:rFonts w:ascii="Arial" w:hAnsi="Arial" w:cs="Arial"/>
        </w:rPr>
        <w:t>http://www.cdrh.fda.gov/cdrh/blbkmem.html</w:t>
      </w:r>
      <w:r>
        <w:rPr>
          <w:rFonts w:ascii="Arial" w:hAnsi="Arial" w:cs="Arial"/>
        </w:rPr>
        <w:fldChar w:fldCharType="end"/>
      </w:r>
      <w:r>
        <w:rPr>
          <w:rFonts w:ascii="Arial" w:hAnsi="Arial" w:cs="Arial"/>
        </w:rPr>
        <w:t>。</w:t>
      </w:r>
    </w:p>
    <w:p w14:paraId="6B0B4DF1">
      <w:pPr>
        <w:adjustRightInd w:val="0"/>
        <w:snapToGrid w:val="0"/>
        <w:spacing w:before="8" w:line="300" w:lineRule="auto"/>
        <w:rPr>
          <w:rFonts w:hint="eastAsia" w:eastAsia="宋体"/>
          <w:lang w:eastAsia="zh-CN"/>
        </w:rPr>
      </w:pPr>
    </w:p>
    <w:p w14:paraId="264F98C9">
      <w:pPr>
        <w:adjustRightInd w:val="0"/>
        <w:snapToGrid w:val="0"/>
        <w:spacing w:before="8" w:line="300" w:lineRule="auto"/>
        <w:jc w:val="center"/>
        <w:rPr>
          <w:rFonts w:hint="eastAsia" w:eastAsia="宋体"/>
          <w:lang w:eastAsia="zh-CN"/>
        </w:rPr>
      </w:pPr>
    </w:p>
    <w:p w14:paraId="58D2FBB0">
      <w:pPr>
        <w:adjustRightInd w:val="0"/>
        <w:snapToGrid w:val="0"/>
        <w:spacing w:before="8"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pgSz w:w="12240" w:h="15840"/>
      <w:pgMar w:top="1134" w:right="1134" w:bottom="1134" w:left="1134" w:header="0" w:footer="915"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6CB3C">
    <w:pPr>
      <w:pStyle w:val="4"/>
      <w:spacing w:before="0" w:line="265" w:lineRule="exact"/>
      <w:ind w:left="20" w:firstLine="0"/>
      <w:jc w:val="center"/>
      <w:rPr>
        <w:rFonts w:ascii="Arial" w:hAnsi="Arial" w:cs="Arial"/>
      </w:rPr>
    </w:pPr>
    <w:r>
      <w:rPr>
        <w:rFonts w:ascii="Arial" w:hAnsi="Arial" w:cs="Arial"/>
      </w:rPr>
      <w:t>第</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216FA0"/>
    <w:multiLevelType w:val="multilevel"/>
    <w:tmpl w:val="23216FA0"/>
    <w:lvl w:ilvl="0" w:tentative="0">
      <w:start w:val="1"/>
      <w:numFmt w:val="bullet"/>
      <w:lvlText w:val=""/>
      <w:lvlJc w:val="left"/>
      <w:pPr>
        <w:ind w:left="642" w:hanging="576"/>
      </w:pPr>
      <w:rPr>
        <w:rFonts w:hint="default" w:ascii="Symbol" w:hAnsi="Symbol" w:eastAsia="Symbol"/>
        <w:w w:val="76"/>
        <w:sz w:val="28"/>
        <w:szCs w:val="28"/>
      </w:rPr>
    </w:lvl>
    <w:lvl w:ilvl="1" w:tentative="0">
      <w:start w:val="1"/>
      <w:numFmt w:val="bullet"/>
      <w:lvlText w:val="•"/>
      <w:lvlJc w:val="left"/>
      <w:pPr>
        <w:ind w:left="1528" w:hanging="576"/>
      </w:pPr>
      <w:rPr>
        <w:rFonts w:hint="default"/>
      </w:rPr>
    </w:lvl>
    <w:lvl w:ilvl="2" w:tentative="0">
      <w:start w:val="1"/>
      <w:numFmt w:val="bullet"/>
      <w:lvlText w:val="•"/>
      <w:lvlJc w:val="left"/>
      <w:pPr>
        <w:ind w:left="2413" w:hanging="576"/>
      </w:pPr>
      <w:rPr>
        <w:rFonts w:hint="default"/>
      </w:rPr>
    </w:lvl>
    <w:lvl w:ilvl="3" w:tentative="0">
      <w:start w:val="1"/>
      <w:numFmt w:val="bullet"/>
      <w:lvlText w:val="•"/>
      <w:lvlJc w:val="left"/>
      <w:pPr>
        <w:ind w:left="3299" w:hanging="576"/>
      </w:pPr>
      <w:rPr>
        <w:rFonts w:hint="default"/>
      </w:rPr>
    </w:lvl>
    <w:lvl w:ilvl="4" w:tentative="0">
      <w:start w:val="1"/>
      <w:numFmt w:val="bullet"/>
      <w:lvlText w:val="•"/>
      <w:lvlJc w:val="left"/>
      <w:pPr>
        <w:ind w:left="4185" w:hanging="576"/>
      </w:pPr>
      <w:rPr>
        <w:rFonts w:hint="default"/>
      </w:rPr>
    </w:lvl>
    <w:lvl w:ilvl="5" w:tentative="0">
      <w:start w:val="1"/>
      <w:numFmt w:val="bullet"/>
      <w:lvlText w:val="•"/>
      <w:lvlJc w:val="left"/>
      <w:pPr>
        <w:ind w:left="5071" w:hanging="576"/>
      </w:pPr>
      <w:rPr>
        <w:rFonts w:hint="default"/>
      </w:rPr>
    </w:lvl>
    <w:lvl w:ilvl="6" w:tentative="0">
      <w:start w:val="1"/>
      <w:numFmt w:val="bullet"/>
      <w:lvlText w:val="•"/>
      <w:lvlJc w:val="left"/>
      <w:pPr>
        <w:ind w:left="5956" w:hanging="576"/>
      </w:pPr>
      <w:rPr>
        <w:rFonts w:hint="default"/>
      </w:rPr>
    </w:lvl>
    <w:lvl w:ilvl="7" w:tentative="0">
      <w:start w:val="1"/>
      <w:numFmt w:val="bullet"/>
      <w:lvlText w:val="•"/>
      <w:lvlJc w:val="left"/>
      <w:pPr>
        <w:ind w:left="6842" w:hanging="576"/>
      </w:pPr>
      <w:rPr>
        <w:rFonts w:hint="default"/>
      </w:rPr>
    </w:lvl>
    <w:lvl w:ilvl="8" w:tentative="0">
      <w:start w:val="1"/>
      <w:numFmt w:val="bullet"/>
      <w:lvlText w:val="•"/>
      <w:lvlJc w:val="left"/>
      <w:pPr>
        <w:ind w:left="7728" w:hanging="576"/>
      </w:pPr>
      <w:rPr>
        <w:rFonts w:hint="default"/>
      </w:rPr>
    </w:lvl>
  </w:abstractNum>
  <w:abstractNum w:abstractNumId="1">
    <w:nsid w:val="397905AD"/>
    <w:multiLevelType w:val="multilevel"/>
    <w:tmpl w:val="397905AD"/>
    <w:lvl w:ilvl="0" w:tentative="0">
      <w:start w:val="1"/>
      <w:numFmt w:val="lowerLetter"/>
      <w:lvlText w:val="%1."/>
      <w:lvlJc w:val="left"/>
      <w:pPr>
        <w:ind w:left="1252" w:hanging="576"/>
      </w:pPr>
      <w:rPr>
        <w:rFonts w:hint="default" w:ascii="Arial" w:hAnsi="Arial" w:eastAsia="Times New Roman" w:cs="Arial"/>
        <w:sz w:val="24"/>
        <w:szCs w:val="24"/>
      </w:rPr>
    </w:lvl>
    <w:lvl w:ilvl="1" w:tentative="0">
      <w:start w:val="1"/>
      <w:numFmt w:val="bullet"/>
      <w:lvlText w:val="*"/>
      <w:lvlJc w:val="left"/>
      <w:pPr>
        <w:ind w:left="2404" w:hanging="576"/>
      </w:pPr>
      <w:rPr>
        <w:rFonts w:hint="default" w:ascii="Times New Roman" w:hAnsi="Times New Roman" w:eastAsia="Times New Roman"/>
        <w:sz w:val="24"/>
        <w:szCs w:val="24"/>
      </w:rPr>
    </w:lvl>
    <w:lvl w:ilvl="2" w:tentative="0">
      <w:start w:val="1"/>
      <w:numFmt w:val="bullet"/>
      <w:lvlText w:val="•"/>
      <w:lvlJc w:val="left"/>
      <w:pPr>
        <w:ind w:left="3192" w:hanging="576"/>
      </w:pPr>
      <w:rPr>
        <w:rFonts w:hint="default"/>
      </w:rPr>
    </w:lvl>
    <w:lvl w:ilvl="3" w:tentative="0">
      <w:start w:val="1"/>
      <w:numFmt w:val="bullet"/>
      <w:lvlText w:val="•"/>
      <w:lvlJc w:val="left"/>
      <w:pPr>
        <w:ind w:left="3980" w:hanging="576"/>
      </w:pPr>
      <w:rPr>
        <w:rFonts w:hint="default"/>
      </w:rPr>
    </w:lvl>
    <w:lvl w:ilvl="4" w:tentative="0">
      <w:start w:val="1"/>
      <w:numFmt w:val="bullet"/>
      <w:lvlText w:val="•"/>
      <w:lvlJc w:val="left"/>
      <w:pPr>
        <w:ind w:left="4769" w:hanging="576"/>
      </w:pPr>
      <w:rPr>
        <w:rFonts w:hint="default"/>
      </w:rPr>
    </w:lvl>
    <w:lvl w:ilvl="5" w:tentative="0">
      <w:start w:val="1"/>
      <w:numFmt w:val="bullet"/>
      <w:lvlText w:val="•"/>
      <w:lvlJc w:val="left"/>
      <w:pPr>
        <w:ind w:left="5557" w:hanging="576"/>
      </w:pPr>
      <w:rPr>
        <w:rFonts w:hint="default"/>
      </w:rPr>
    </w:lvl>
    <w:lvl w:ilvl="6" w:tentative="0">
      <w:start w:val="1"/>
      <w:numFmt w:val="bullet"/>
      <w:lvlText w:val="•"/>
      <w:lvlJc w:val="left"/>
      <w:pPr>
        <w:ind w:left="6346" w:hanging="576"/>
      </w:pPr>
      <w:rPr>
        <w:rFonts w:hint="default"/>
      </w:rPr>
    </w:lvl>
    <w:lvl w:ilvl="7" w:tentative="0">
      <w:start w:val="1"/>
      <w:numFmt w:val="bullet"/>
      <w:lvlText w:val="•"/>
      <w:lvlJc w:val="left"/>
      <w:pPr>
        <w:ind w:left="7134" w:hanging="576"/>
      </w:pPr>
      <w:rPr>
        <w:rFonts w:hint="default"/>
      </w:rPr>
    </w:lvl>
    <w:lvl w:ilvl="8" w:tentative="0">
      <w:start w:val="1"/>
      <w:numFmt w:val="bullet"/>
      <w:lvlText w:val="•"/>
      <w:lvlJc w:val="left"/>
      <w:pPr>
        <w:ind w:left="7923" w:hanging="576"/>
      </w:pPr>
      <w:rPr>
        <w:rFonts w:hint="default"/>
      </w:rPr>
    </w:lvl>
  </w:abstractNum>
  <w:abstractNum w:abstractNumId="2">
    <w:nsid w:val="3B2B2108"/>
    <w:multiLevelType w:val="multilevel"/>
    <w:tmpl w:val="3B2B2108"/>
    <w:lvl w:ilvl="0" w:tentative="0">
      <w:start w:val="1"/>
      <w:numFmt w:val="lowerLetter"/>
      <w:lvlText w:val="%1."/>
      <w:lvlJc w:val="left"/>
      <w:pPr>
        <w:ind w:left="1252" w:hanging="576"/>
      </w:pPr>
      <w:rPr>
        <w:rFonts w:hint="default" w:ascii="Arial" w:hAnsi="Arial" w:eastAsia="Times New Roman" w:cs="Arial"/>
        <w:sz w:val="24"/>
        <w:szCs w:val="24"/>
      </w:rPr>
    </w:lvl>
    <w:lvl w:ilvl="1" w:tentative="0">
      <w:start w:val="1"/>
      <w:numFmt w:val="decimal"/>
      <w:lvlText w:val="(%2)"/>
      <w:lvlJc w:val="left"/>
      <w:pPr>
        <w:ind w:left="1827" w:hanging="576"/>
      </w:pPr>
      <w:rPr>
        <w:rFonts w:hint="default" w:ascii="Arial" w:hAnsi="Arial" w:eastAsia="Times New Roman" w:cs="Arial"/>
        <w:spacing w:val="1"/>
        <w:sz w:val="24"/>
        <w:szCs w:val="24"/>
      </w:rPr>
    </w:lvl>
    <w:lvl w:ilvl="2" w:tentative="0">
      <w:start w:val="1"/>
      <w:numFmt w:val="bullet"/>
      <w:lvlText w:val=""/>
      <w:lvlJc w:val="left"/>
      <w:pPr>
        <w:ind w:left="2188" w:hanging="360"/>
      </w:pPr>
      <w:rPr>
        <w:rFonts w:hint="default" w:ascii="Symbol" w:hAnsi="Symbol" w:eastAsia="Symbol"/>
        <w:w w:val="76"/>
        <w:sz w:val="22"/>
        <w:szCs w:val="22"/>
      </w:rPr>
    </w:lvl>
    <w:lvl w:ilvl="3" w:tentative="0">
      <w:start w:val="1"/>
      <w:numFmt w:val="bullet"/>
      <w:lvlText w:val="•"/>
      <w:lvlJc w:val="left"/>
      <w:pPr>
        <w:ind w:left="2188" w:hanging="360"/>
      </w:pPr>
      <w:rPr>
        <w:rFonts w:hint="default"/>
      </w:rPr>
    </w:lvl>
    <w:lvl w:ilvl="4" w:tentative="0">
      <w:start w:val="1"/>
      <w:numFmt w:val="bullet"/>
      <w:lvlText w:val="•"/>
      <w:lvlJc w:val="left"/>
      <w:pPr>
        <w:ind w:left="3224" w:hanging="360"/>
      </w:pPr>
      <w:rPr>
        <w:rFonts w:hint="default"/>
      </w:rPr>
    </w:lvl>
    <w:lvl w:ilvl="5" w:tentative="0">
      <w:start w:val="1"/>
      <w:numFmt w:val="bullet"/>
      <w:lvlText w:val="•"/>
      <w:lvlJc w:val="left"/>
      <w:pPr>
        <w:ind w:left="4260" w:hanging="360"/>
      </w:pPr>
      <w:rPr>
        <w:rFonts w:hint="default"/>
      </w:rPr>
    </w:lvl>
    <w:lvl w:ilvl="6" w:tentative="0">
      <w:start w:val="1"/>
      <w:numFmt w:val="bullet"/>
      <w:lvlText w:val="•"/>
      <w:lvlJc w:val="left"/>
      <w:pPr>
        <w:ind w:left="5296" w:hanging="360"/>
      </w:pPr>
      <w:rPr>
        <w:rFonts w:hint="default"/>
      </w:rPr>
    </w:lvl>
    <w:lvl w:ilvl="7" w:tentative="0">
      <w:start w:val="1"/>
      <w:numFmt w:val="bullet"/>
      <w:lvlText w:val="•"/>
      <w:lvlJc w:val="left"/>
      <w:pPr>
        <w:ind w:left="6332" w:hanging="360"/>
      </w:pPr>
      <w:rPr>
        <w:rFonts w:hint="default"/>
      </w:rPr>
    </w:lvl>
    <w:lvl w:ilvl="8" w:tentative="0">
      <w:start w:val="1"/>
      <w:numFmt w:val="bullet"/>
      <w:lvlText w:val="•"/>
      <w:lvlJc w:val="left"/>
      <w:pPr>
        <w:ind w:left="7368" w:hanging="360"/>
      </w:pPr>
      <w:rPr>
        <w:rFonts w:hint="default"/>
      </w:rPr>
    </w:lvl>
  </w:abstractNum>
  <w:abstractNum w:abstractNumId="3">
    <w:nsid w:val="4119100D"/>
    <w:multiLevelType w:val="multilevel"/>
    <w:tmpl w:val="4119100D"/>
    <w:lvl w:ilvl="0" w:tentative="0">
      <w:start w:val="1"/>
      <w:numFmt w:val="lowerLetter"/>
      <w:lvlText w:val="%1."/>
      <w:lvlJc w:val="left"/>
      <w:pPr>
        <w:ind w:left="1035" w:hanging="576"/>
      </w:pPr>
      <w:rPr>
        <w:rFonts w:hint="default" w:ascii="Arial" w:hAnsi="Arial" w:eastAsia="Times New Roman" w:cs="Arial"/>
        <w:sz w:val="24"/>
        <w:szCs w:val="24"/>
      </w:rPr>
    </w:lvl>
    <w:lvl w:ilvl="1" w:tentative="0">
      <w:start w:val="1"/>
      <w:numFmt w:val="decimal"/>
      <w:lvlText w:val="(%2)"/>
      <w:lvlJc w:val="left"/>
      <w:pPr>
        <w:ind w:left="1827" w:hanging="576"/>
      </w:pPr>
      <w:rPr>
        <w:rFonts w:hint="default" w:ascii="Arial" w:hAnsi="Arial" w:eastAsia="Times New Roman" w:cs="Arial"/>
        <w:spacing w:val="1"/>
        <w:sz w:val="24"/>
        <w:szCs w:val="24"/>
      </w:rPr>
    </w:lvl>
    <w:lvl w:ilvl="2" w:tentative="0">
      <w:start w:val="1"/>
      <w:numFmt w:val="bullet"/>
      <w:lvlText w:val="•"/>
      <w:lvlJc w:val="left"/>
      <w:pPr>
        <w:ind w:left="2673" w:hanging="576"/>
      </w:pPr>
      <w:rPr>
        <w:rFonts w:hint="default"/>
      </w:rPr>
    </w:lvl>
    <w:lvl w:ilvl="3" w:tentative="0">
      <w:start w:val="1"/>
      <w:numFmt w:val="bullet"/>
      <w:lvlText w:val="•"/>
      <w:lvlJc w:val="left"/>
      <w:pPr>
        <w:ind w:left="3519" w:hanging="576"/>
      </w:pPr>
      <w:rPr>
        <w:rFonts w:hint="default"/>
      </w:rPr>
    </w:lvl>
    <w:lvl w:ilvl="4" w:tentative="0">
      <w:start w:val="1"/>
      <w:numFmt w:val="bullet"/>
      <w:lvlText w:val="•"/>
      <w:lvlJc w:val="left"/>
      <w:pPr>
        <w:ind w:left="4365" w:hanging="576"/>
      </w:pPr>
      <w:rPr>
        <w:rFonts w:hint="default"/>
      </w:rPr>
    </w:lvl>
    <w:lvl w:ilvl="5" w:tentative="0">
      <w:start w:val="1"/>
      <w:numFmt w:val="bullet"/>
      <w:lvlText w:val="•"/>
      <w:lvlJc w:val="left"/>
      <w:pPr>
        <w:ind w:left="5211" w:hanging="576"/>
      </w:pPr>
      <w:rPr>
        <w:rFonts w:hint="default"/>
      </w:rPr>
    </w:lvl>
    <w:lvl w:ilvl="6" w:tentative="0">
      <w:start w:val="1"/>
      <w:numFmt w:val="bullet"/>
      <w:lvlText w:val="•"/>
      <w:lvlJc w:val="left"/>
      <w:pPr>
        <w:ind w:left="6056" w:hanging="576"/>
      </w:pPr>
      <w:rPr>
        <w:rFonts w:hint="default"/>
      </w:rPr>
    </w:lvl>
    <w:lvl w:ilvl="7" w:tentative="0">
      <w:start w:val="1"/>
      <w:numFmt w:val="bullet"/>
      <w:lvlText w:val="•"/>
      <w:lvlJc w:val="left"/>
      <w:pPr>
        <w:ind w:left="6902" w:hanging="576"/>
      </w:pPr>
      <w:rPr>
        <w:rFonts w:hint="default"/>
      </w:rPr>
    </w:lvl>
    <w:lvl w:ilvl="8" w:tentative="0">
      <w:start w:val="1"/>
      <w:numFmt w:val="bullet"/>
      <w:lvlText w:val="•"/>
      <w:lvlJc w:val="left"/>
      <w:pPr>
        <w:ind w:left="7748" w:hanging="576"/>
      </w:pPr>
      <w:rPr>
        <w:rFonts w:hint="default"/>
      </w:rPr>
    </w:lvl>
  </w:abstractNum>
  <w:abstractNum w:abstractNumId="4">
    <w:nsid w:val="562A6390"/>
    <w:multiLevelType w:val="multilevel"/>
    <w:tmpl w:val="562A6390"/>
    <w:lvl w:ilvl="0" w:tentative="0">
      <w:start w:val="1"/>
      <w:numFmt w:val="decimal"/>
      <w:lvlText w:val="%1."/>
      <w:lvlJc w:val="left"/>
      <w:pPr>
        <w:ind w:left="1272" w:hanging="576"/>
      </w:pPr>
      <w:rPr>
        <w:rFonts w:hint="default" w:ascii="Arial" w:hAnsi="Arial" w:eastAsia="Times New Roman" w:cs="Arial"/>
        <w:spacing w:val="1"/>
        <w:sz w:val="24"/>
        <w:szCs w:val="24"/>
      </w:rPr>
    </w:lvl>
    <w:lvl w:ilvl="1" w:tentative="0">
      <w:start w:val="1"/>
      <w:numFmt w:val="lowerLetter"/>
      <w:lvlText w:val="%2."/>
      <w:lvlJc w:val="left"/>
      <w:pPr>
        <w:ind w:left="1252" w:hanging="576"/>
      </w:pPr>
      <w:rPr>
        <w:rFonts w:hint="default" w:ascii="Arial" w:hAnsi="Arial" w:eastAsia="Times New Roman" w:cs="Arial"/>
        <w:sz w:val="24"/>
        <w:szCs w:val="24"/>
      </w:rPr>
    </w:lvl>
    <w:lvl w:ilvl="2" w:tentative="0">
      <w:start w:val="1"/>
      <w:numFmt w:val="bullet"/>
      <w:lvlText w:val="•"/>
      <w:lvlJc w:val="left"/>
      <w:pPr>
        <w:ind w:left="2186" w:hanging="576"/>
      </w:pPr>
      <w:rPr>
        <w:rFonts w:hint="default"/>
      </w:rPr>
    </w:lvl>
    <w:lvl w:ilvl="3" w:tentative="0">
      <w:start w:val="1"/>
      <w:numFmt w:val="bullet"/>
      <w:lvlText w:val="•"/>
      <w:lvlJc w:val="left"/>
      <w:pPr>
        <w:ind w:left="3100" w:hanging="576"/>
      </w:pPr>
      <w:rPr>
        <w:rFonts w:hint="default"/>
      </w:rPr>
    </w:lvl>
    <w:lvl w:ilvl="4" w:tentative="0">
      <w:start w:val="1"/>
      <w:numFmt w:val="bullet"/>
      <w:lvlText w:val="•"/>
      <w:lvlJc w:val="left"/>
      <w:pPr>
        <w:ind w:left="4014" w:hanging="576"/>
      </w:pPr>
      <w:rPr>
        <w:rFonts w:hint="default"/>
      </w:rPr>
    </w:lvl>
    <w:lvl w:ilvl="5" w:tentative="0">
      <w:start w:val="1"/>
      <w:numFmt w:val="bullet"/>
      <w:lvlText w:val="•"/>
      <w:lvlJc w:val="left"/>
      <w:pPr>
        <w:ind w:left="4928" w:hanging="576"/>
      </w:pPr>
      <w:rPr>
        <w:rFonts w:hint="default"/>
      </w:rPr>
    </w:lvl>
    <w:lvl w:ilvl="6" w:tentative="0">
      <w:start w:val="1"/>
      <w:numFmt w:val="bullet"/>
      <w:lvlText w:val="•"/>
      <w:lvlJc w:val="left"/>
      <w:pPr>
        <w:ind w:left="5843" w:hanging="576"/>
      </w:pPr>
      <w:rPr>
        <w:rFonts w:hint="default"/>
      </w:rPr>
    </w:lvl>
    <w:lvl w:ilvl="7" w:tentative="0">
      <w:start w:val="1"/>
      <w:numFmt w:val="bullet"/>
      <w:lvlText w:val="•"/>
      <w:lvlJc w:val="left"/>
      <w:pPr>
        <w:ind w:left="6757" w:hanging="576"/>
      </w:pPr>
      <w:rPr>
        <w:rFonts w:hint="default"/>
      </w:rPr>
    </w:lvl>
    <w:lvl w:ilvl="8" w:tentative="0">
      <w:start w:val="1"/>
      <w:numFmt w:val="bullet"/>
      <w:lvlText w:val="•"/>
      <w:lvlJc w:val="left"/>
      <w:pPr>
        <w:ind w:left="7671" w:hanging="576"/>
      </w:pPr>
      <w:rPr>
        <w:rFonts w:hint="default"/>
      </w:rPr>
    </w:lvl>
  </w:abstractNum>
  <w:abstractNum w:abstractNumId="5">
    <w:nsid w:val="749E1BE5"/>
    <w:multiLevelType w:val="multilevel"/>
    <w:tmpl w:val="749E1BE5"/>
    <w:lvl w:ilvl="0" w:tentative="0">
      <w:start w:val="1"/>
      <w:numFmt w:val="lowerLetter"/>
      <w:lvlText w:val="%1."/>
      <w:lvlJc w:val="left"/>
      <w:pPr>
        <w:ind w:left="1272" w:hanging="576"/>
      </w:pPr>
      <w:rPr>
        <w:rFonts w:hint="default" w:ascii="Arial" w:hAnsi="Arial" w:eastAsia="Times New Roman" w:cs="Arial"/>
        <w:sz w:val="24"/>
        <w:szCs w:val="24"/>
      </w:rPr>
    </w:lvl>
    <w:lvl w:ilvl="1" w:tentative="0">
      <w:start w:val="1"/>
      <w:numFmt w:val="decimal"/>
      <w:lvlText w:val="(%2)"/>
      <w:lvlJc w:val="left"/>
      <w:pPr>
        <w:ind w:left="1847" w:hanging="576"/>
      </w:pPr>
      <w:rPr>
        <w:rFonts w:hint="default" w:ascii="Times New Roman" w:hAnsi="Times New Roman" w:eastAsia="Times New Roman"/>
        <w:spacing w:val="1"/>
        <w:sz w:val="24"/>
        <w:szCs w:val="24"/>
      </w:rPr>
    </w:lvl>
    <w:lvl w:ilvl="2" w:tentative="0">
      <w:start w:val="1"/>
      <w:numFmt w:val="bullet"/>
      <w:lvlText w:val="•"/>
      <w:lvlJc w:val="left"/>
      <w:pPr>
        <w:ind w:left="2698" w:hanging="576"/>
      </w:pPr>
      <w:rPr>
        <w:rFonts w:hint="default"/>
      </w:rPr>
    </w:lvl>
    <w:lvl w:ilvl="3" w:tentative="0">
      <w:start w:val="1"/>
      <w:numFmt w:val="bullet"/>
      <w:lvlText w:val="•"/>
      <w:lvlJc w:val="left"/>
      <w:pPr>
        <w:ind w:left="3548" w:hanging="576"/>
      </w:pPr>
      <w:rPr>
        <w:rFonts w:hint="default"/>
      </w:rPr>
    </w:lvl>
    <w:lvl w:ilvl="4" w:tentative="0">
      <w:start w:val="1"/>
      <w:numFmt w:val="bullet"/>
      <w:lvlText w:val="•"/>
      <w:lvlJc w:val="left"/>
      <w:pPr>
        <w:ind w:left="4398" w:hanging="576"/>
      </w:pPr>
      <w:rPr>
        <w:rFonts w:hint="default"/>
      </w:rPr>
    </w:lvl>
    <w:lvl w:ilvl="5" w:tentative="0">
      <w:start w:val="1"/>
      <w:numFmt w:val="bullet"/>
      <w:lvlText w:val="•"/>
      <w:lvlJc w:val="left"/>
      <w:pPr>
        <w:ind w:left="5248" w:hanging="576"/>
      </w:pPr>
      <w:rPr>
        <w:rFonts w:hint="default"/>
      </w:rPr>
    </w:lvl>
    <w:lvl w:ilvl="6" w:tentative="0">
      <w:start w:val="1"/>
      <w:numFmt w:val="bullet"/>
      <w:lvlText w:val="•"/>
      <w:lvlJc w:val="left"/>
      <w:pPr>
        <w:ind w:left="6099" w:hanging="576"/>
      </w:pPr>
      <w:rPr>
        <w:rFonts w:hint="default"/>
      </w:rPr>
    </w:lvl>
    <w:lvl w:ilvl="7" w:tentative="0">
      <w:start w:val="1"/>
      <w:numFmt w:val="bullet"/>
      <w:lvlText w:val="•"/>
      <w:lvlJc w:val="left"/>
      <w:pPr>
        <w:ind w:left="6949" w:hanging="576"/>
      </w:pPr>
      <w:rPr>
        <w:rFonts w:hint="default"/>
      </w:rPr>
    </w:lvl>
    <w:lvl w:ilvl="8" w:tentative="0">
      <w:start w:val="1"/>
      <w:numFmt w:val="bullet"/>
      <w:lvlText w:val="•"/>
      <w:lvlJc w:val="left"/>
      <w:pPr>
        <w:ind w:left="7799" w:hanging="576"/>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19"/>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B9A"/>
    <w:rsid w:val="00025C62"/>
    <w:rsid w:val="000F737E"/>
    <w:rsid w:val="00176480"/>
    <w:rsid w:val="00193DCF"/>
    <w:rsid w:val="001A3B9A"/>
    <w:rsid w:val="001E4623"/>
    <w:rsid w:val="002118BF"/>
    <w:rsid w:val="002310CC"/>
    <w:rsid w:val="002A5C8A"/>
    <w:rsid w:val="002B3193"/>
    <w:rsid w:val="002C0927"/>
    <w:rsid w:val="002C48EA"/>
    <w:rsid w:val="00303EE0"/>
    <w:rsid w:val="00323D0D"/>
    <w:rsid w:val="003B5FC8"/>
    <w:rsid w:val="003F52B3"/>
    <w:rsid w:val="00476B82"/>
    <w:rsid w:val="004F00A4"/>
    <w:rsid w:val="00574DF3"/>
    <w:rsid w:val="005E5D27"/>
    <w:rsid w:val="00615E59"/>
    <w:rsid w:val="00776B73"/>
    <w:rsid w:val="007A6693"/>
    <w:rsid w:val="0087717B"/>
    <w:rsid w:val="00883B79"/>
    <w:rsid w:val="00883BF7"/>
    <w:rsid w:val="009B0AFC"/>
    <w:rsid w:val="009D4433"/>
    <w:rsid w:val="00A07265"/>
    <w:rsid w:val="00A17001"/>
    <w:rsid w:val="00A3317F"/>
    <w:rsid w:val="00AA24C5"/>
    <w:rsid w:val="00B16135"/>
    <w:rsid w:val="00B304CA"/>
    <w:rsid w:val="00B31DF9"/>
    <w:rsid w:val="00B93136"/>
    <w:rsid w:val="00BE331D"/>
    <w:rsid w:val="00C52BF5"/>
    <w:rsid w:val="00CD5823"/>
    <w:rsid w:val="00D9537E"/>
    <w:rsid w:val="00E04ABC"/>
    <w:rsid w:val="00E668A5"/>
    <w:rsid w:val="00EA4FE4"/>
    <w:rsid w:val="00EC2884"/>
    <w:rsid w:val="00EF0A7D"/>
    <w:rsid w:val="00F03399"/>
    <w:rsid w:val="00F1117A"/>
    <w:rsid w:val="00F14B34"/>
    <w:rsid w:val="00F8068C"/>
    <w:rsid w:val="16866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paragraph" w:styleId="2">
    <w:name w:val="heading 1"/>
    <w:basedOn w:val="1"/>
    <w:qFormat/>
    <w:uiPriority w:val="1"/>
    <w:pPr>
      <w:ind w:left="100"/>
      <w:outlineLvl w:val="0"/>
    </w:pPr>
    <w:rPr>
      <w:rFonts w:ascii="Times New Roman" w:hAnsi="Times New Roman" w:eastAsia="宋体"/>
      <w:b/>
      <w:bCs/>
      <w:sz w:val="36"/>
      <w:szCs w:val="36"/>
    </w:rPr>
  </w:style>
  <w:style w:type="paragraph" w:styleId="3">
    <w:name w:val="heading 2"/>
    <w:basedOn w:val="1"/>
    <w:qFormat/>
    <w:uiPriority w:val="1"/>
    <w:pPr>
      <w:ind w:left="120"/>
      <w:outlineLvl w:val="1"/>
    </w:pPr>
    <w:rPr>
      <w:rFonts w:ascii="Times New Roman" w:hAnsi="Times New Roman" w:eastAsia="宋体"/>
      <w:b/>
      <w:bCs/>
      <w:sz w:val="28"/>
      <w:szCs w:val="28"/>
      <w:u w:val="single"/>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pPr>
      <w:spacing w:before="7"/>
      <w:ind w:left="120" w:hanging="576"/>
    </w:pPr>
    <w:rPr>
      <w:rFonts w:ascii="Times New Roman" w:hAnsi="Times New Roman" w:eastAsia="宋体"/>
      <w:sz w:val="24"/>
      <w:szCs w:val="24"/>
    </w:rPr>
  </w:style>
  <w:style w:type="paragraph" w:styleId="5">
    <w:name w:val="Balloon Text"/>
    <w:basedOn w:val="1"/>
    <w:link w:val="15"/>
    <w:semiHidden/>
    <w:unhideWhenUsed/>
    <w:uiPriority w:val="99"/>
    <w:rPr>
      <w:sz w:val="18"/>
      <w:szCs w:val="18"/>
    </w:rPr>
  </w:style>
  <w:style w:type="paragraph" w:styleId="6">
    <w:name w:val="footer"/>
    <w:basedOn w:val="1"/>
    <w:link w:val="14"/>
    <w:unhideWhenUsed/>
    <w:uiPriority w:val="99"/>
    <w:pPr>
      <w:tabs>
        <w:tab w:val="center" w:pos="4153"/>
        <w:tab w:val="right" w:pos="8306"/>
      </w:tabs>
      <w:snapToGrid w:val="0"/>
    </w:pPr>
    <w:rPr>
      <w:sz w:val="18"/>
      <w:szCs w:val="18"/>
    </w:rPr>
  </w:style>
  <w:style w:type="paragraph" w:styleId="7">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页眉 Char"/>
    <w:basedOn w:val="9"/>
    <w:link w:val="7"/>
    <w:uiPriority w:val="99"/>
    <w:rPr>
      <w:sz w:val="18"/>
      <w:szCs w:val="18"/>
    </w:rPr>
  </w:style>
  <w:style w:type="character" w:customStyle="1" w:styleId="14">
    <w:name w:val="页脚 Char"/>
    <w:basedOn w:val="9"/>
    <w:link w:val="6"/>
    <w:uiPriority w:val="99"/>
    <w:rPr>
      <w:sz w:val="18"/>
      <w:szCs w:val="18"/>
    </w:rPr>
  </w:style>
  <w:style w:type="character" w:customStyle="1" w:styleId="15">
    <w:name w:val="批注框文本 Char"/>
    <w:basedOn w:val="9"/>
    <w:link w:val="5"/>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C9921-FB20-43A2-8844-5C306096C76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2095</Words>
  <Characters>2608</Characters>
  <Lines>22</Lines>
  <Paragraphs>6</Paragraphs>
  <TotalTime>0</TotalTime>
  <ScaleCrop>false</ScaleCrop>
  <LinksUpToDate>false</LinksUpToDate>
  <CharactersWithSpaces>2637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2017-06-09T04:05:00Z</dcterms:created>
  <dc:creator>lxd</dc:creator>
  <cp:lastModifiedBy>太极箫客</cp:lastModifiedBy>
  <dcterms:modified xsi:type="dcterms:W3CDTF">2025-08-14T06:15:39Z</dcterms:modified>
  <dc:title>Powered Suction Pump</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2017-03-28T00:00:00Z</vt:filetime>
  </property>
  <property fmtid="{D5CDD505-2E9C-101B-9397-08002B2CF9AE}" pid="3" name="LastSaved">
    <vt:filetime>2017-03-28T00:00:00Z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7D6DCDEFBB89426D9D6F69403E5C8DCE_12</vt:lpwstr>
  </property>
</Properties>
</file>