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847CF">
      <w:pPr>
        <w:snapToGrid w:val="0"/>
        <w:spacing w:line="300" w:lineRule="auto"/>
        <w:ind w:right="-6" w:rightChars="-3"/>
        <w:jc w:val="center"/>
        <w:rPr>
          <w:rFonts w:ascii="Arial" w:hAnsi="Arial" w:eastAsia="宋体" w:cs="Arial"/>
          <w:b/>
          <w:sz w:val="28"/>
          <w:szCs w:val="28"/>
        </w:rPr>
      </w:pPr>
      <w:bookmarkStart w:id="45" w:name="_GoBack"/>
      <w:bookmarkEnd w:id="45"/>
      <w:r>
        <w:rPr>
          <w:rFonts w:hint="eastAsia" w:ascii="Arial" w:hAnsi="Arial" w:eastAsia="宋体" w:cs="Arial"/>
          <w:b/>
          <w:sz w:val="28"/>
          <w:szCs w:val="28"/>
        </w:rPr>
        <w:t>行业和</w:t>
      </w:r>
      <w:r>
        <w:rPr>
          <w:rFonts w:ascii="Arial" w:hAnsi="Arial" w:eastAsia="宋体" w:cs="Arial"/>
          <w:b/>
          <w:sz w:val="28"/>
          <w:szCs w:val="28"/>
        </w:rPr>
        <w:t>FDA</w:t>
      </w:r>
      <w:bookmarkStart w:id="0" w:name="OLE_LINK2"/>
      <w:bookmarkStart w:id="1" w:name="OLE_LINK1"/>
      <w:r>
        <w:rPr>
          <w:rFonts w:hint="eastAsia" w:ascii="Arial" w:hAnsi="Arial" w:eastAsia="宋体" w:cs="Arial"/>
          <w:b/>
          <w:sz w:val="28"/>
          <w:szCs w:val="28"/>
        </w:rPr>
        <w:t>人员指南</w:t>
      </w:r>
    </w:p>
    <w:p w14:paraId="70418819">
      <w:pPr>
        <w:snapToGrid w:val="0"/>
        <w:spacing w:line="300" w:lineRule="auto"/>
        <w:ind w:right="-6" w:rightChars="-3"/>
        <w:jc w:val="left"/>
        <w:rPr>
          <w:rFonts w:ascii="Arial" w:hAnsi="Arial" w:eastAsia="宋体" w:cs="Arial"/>
        </w:rPr>
      </w:pPr>
    </w:p>
    <w:p w14:paraId="485F09F7">
      <w:pPr>
        <w:snapToGrid w:val="0"/>
        <w:spacing w:line="300" w:lineRule="auto"/>
        <w:ind w:right="-6" w:rightChars="-3"/>
        <w:jc w:val="left"/>
        <w:rPr>
          <w:rFonts w:ascii="Arial" w:hAnsi="Arial" w:eastAsia="宋体" w:cs="Arial"/>
        </w:rPr>
      </w:pPr>
    </w:p>
    <w:p w14:paraId="605155DA">
      <w:pPr>
        <w:snapToGrid w:val="0"/>
        <w:spacing w:line="300" w:lineRule="auto"/>
        <w:ind w:right="-6" w:rightChars="-3" w:firstLine="883"/>
        <w:jc w:val="center"/>
        <w:rPr>
          <w:rFonts w:ascii="Arial" w:hAnsi="Arial" w:eastAsia="宋体" w:cs="Arial"/>
          <w:b/>
          <w:sz w:val="44"/>
          <w:szCs w:val="44"/>
        </w:rPr>
      </w:pPr>
      <w:r>
        <w:rPr>
          <w:rFonts w:hint="eastAsia" w:ascii="Arial" w:hAnsi="Arial" w:eastAsia="宋体" w:cs="Arial"/>
          <w:b/>
          <w:sz w:val="44"/>
          <w:szCs w:val="44"/>
        </w:rPr>
        <w:t>肾脏、输尿管结石用体外冲击波碎石机上市前通告</w:t>
      </w:r>
      <w:r>
        <w:rPr>
          <w:rFonts w:ascii="Arial" w:hAnsi="Arial" w:eastAsia="宋体" w:cs="Arial"/>
          <w:b/>
          <w:sz w:val="44"/>
          <w:szCs w:val="44"/>
        </w:rPr>
        <w:br w:type="textWrapping"/>
      </w:r>
      <w:r>
        <w:rPr>
          <w:rFonts w:hint="eastAsia" w:ascii="Arial" w:hAnsi="Arial" w:eastAsia="宋体" w:cs="Arial"/>
          <w:b/>
          <w:sz w:val="44"/>
          <w:szCs w:val="44"/>
        </w:rPr>
        <w:t>（</w:t>
      </w:r>
      <w:r>
        <w:rPr>
          <w:rFonts w:ascii="Arial" w:hAnsi="Arial" w:eastAsia="宋体" w:cs="Arial"/>
          <w:b/>
          <w:sz w:val="44"/>
          <w:szCs w:val="44"/>
        </w:rPr>
        <w:t>510</w:t>
      </w:r>
      <w:r>
        <w:rPr>
          <w:rFonts w:hint="eastAsia" w:ascii="Arial" w:hAnsi="Arial" w:eastAsia="宋体" w:cs="Arial"/>
          <w:b/>
          <w:sz w:val="44"/>
          <w:szCs w:val="44"/>
        </w:rPr>
        <w:t>（</w:t>
      </w:r>
      <w:r>
        <w:rPr>
          <w:rFonts w:ascii="Arial" w:hAnsi="Arial" w:eastAsia="宋体" w:cs="Arial"/>
          <w:b/>
          <w:sz w:val="44"/>
          <w:szCs w:val="44"/>
        </w:rPr>
        <w:t>k</w:t>
      </w:r>
      <w:r>
        <w:rPr>
          <w:rFonts w:hint="eastAsia" w:ascii="Arial" w:hAnsi="Arial" w:eastAsia="宋体" w:cs="Arial"/>
          <w:b/>
          <w:sz w:val="44"/>
          <w:szCs w:val="44"/>
        </w:rPr>
        <w:t>））内容指南</w:t>
      </w:r>
      <w:bookmarkEnd w:id="0"/>
      <w:bookmarkEnd w:id="1"/>
    </w:p>
    <w:p w14:paraId="134B1EC3">
      <w:pPr>
        <w:snapToGrid w:val="0"/>
        <w:spacing w:line="300" w:lineRule="auto"/>
        <w:ind w:right="-6" w:rightChars="-3"/>
        <w:jc w:val="left"/>
        <w:rPr>
          <w:rFonts w:ascii="Arial" w:hAnsi="Arial" w:eastAsia="宋体" w:cs="Arial"/>
        </w:rPr>
      </w:pPr>
    </w:p>
    <w:p w14:paraId="35355179">
      <w:pPr>
        <w:snapToGrid w:val="0"/>
        <w:spacing w:line="300" w:lineRule="auto"/>
        <w:ind w:right="-6" w:rightChars="-3"/>
        <w:jc w:val="left"/>
        <w:rPr>
          <w:rFonts w:ascii="Arial" w:hAnsi="Arial" w:eastAsia="宋体" w:cs="Arial"/>
        </w:rPr>
      </w:pPr>
    </w:p>
    <w:p w14:paraId="0D8C165B">
      <w:pPr>
        <w:snapToGrid w:val="0"/>
        <w:spacing w:line="300" w:lineRule="auto"/>
        <w:ind w:right="-6" w:rightChars="-3"/>
        <w:jc w:val="center"/>
        <w:rPr>
          <w:rFonts w:ascii="Arial" w:hAnsi="Arial" w:eastAsia="宋体" w:cs="Arial"/>
          <w:b/>
        </w:rPr>
      </w:pPr>
      <w:r>
        <w:rPr>
          <w:rFonts w:hint="eastAsia" w:ascii="Arial" w:hAnsi="Arial" w:eastAsia="宋体" w:cs="Arial"/>
          <w:b/>
        </w:rPr>
        <w:t>文件发布于</w:t>
      </w:r>
      <w:r>
        <w:rPr>
          <w:rFonts w:ascii="Arial" w:hAnsi="Arial" w:eastAsia="宋体" w:cs="Arial"/>
          <w:b/>
        </w:rPr>
        <w:t>2000</w:t>
      </w:r>
      <w:r>
        <w:rPr>
          <w:rFonts w:hint="eastAsia" w:ascii="Arial" w:hAnsi="Arial" w:eastAsia="宋体" w:cs="Arial"/>
          <w:b/>
        </w:rPr>
        <w:t>年</w:t>
      </w:r>
      <w:r>
        <w:rPr>
          <w:rFonts w:ascii="Arial" w:hAnsi="Arial" w:eastAsia="宋体" w:cs="Arial"/>
          <w:b/>
        </w:rPr>
        <w:t>8</w:t>
      </w:r>
      <w:r>
        <w:rPr>
          <w:rFonts w:hint="eastAsia" w:ascii="Arial" w:hAnsi="Arial" w:eastAsia="宋体" w:cs="Arial"/>
          <w:b/>
        </w:rPr>
        <w:t>月</w:t>
      </w:r>
      <w:r>
        <w:rPr>
          <w:rFonts w:ascii="Arial" w:hAnsi="Arial" w:eastAsia="宋体" w:cs="Arial"/>
          <w:b/>
        </w:rPr>
        <w:t>9</w:t>
      </w:r>
      <w:r>
        <w:rPr>
          <w:rFonts w:hint="eastAsia" w:ascii="Arial" w:hAnsi="Arial" w:eastAsia="宋体" w:cs="Arial"/>
          <w:b/>
        </w:rPr>
        <w:t>日</w:t>
      </w:r>
    </w:p>
    <w:p w14:paraId="2992AF89">
      <w:pPr>
        <w:snapToGrid w:val="0"/>
        <w:spacing w:line="300" w:lineRule="auto"/>
        <w:ind w:right="-6" w:rightChars="-3"/>
        <w:jc w:val="left"/>
        <w:rPr>
          <w:rFonts w:ascii="Arial" w:hAnsi="Arial" w:eastAsia="宋体" w:cs="Arial"/>
        </w:rPr>
      </w:pPr>
    </w:p>
    <w:p w14:paraId="12566D89">
      <w:pPr>
        <w:snapToGrid w:val="0"/>
        <w:spacing w:line="300" w:lineRule="auto"/>
        <w:ind w:right="-6" w:rightChars="-3"/>
        <w:jc w:val="left"/>
        <w:rPr>
          <w:rFonts w:ascii="Arial" w:hAnsi="Arial" w:eastAsia="宋体" w:cs="Arial"/>
        </w:rPr>
      </w:pPr>
    </w:p>
    <w:p w14:paraId="1B10003A">
      <w:pPr>
        <w:snapToGrid w:val="0"/>
        <w:spacing w:line="300" w:lineRule="auto"/>
        <w:ind w:right="-6" w:rightChars="-3"/>
        <w:jc w:val="left"/>
        <w:rPr>
          <w:rFonts w:ascii="Arial" w:hAnsi="Arial" w:eastAsia="宋体" w:cs="Arial"/>
        </w:rPr>
      </w:pPr>
    </w:p>
    <w:p w14:paraId="70E52ED6">
      <w:pPr>
        <w:snapToGrid w:val="0"/>
        <w:spacing w:line="300" w:lineRule="auto"/>
        <w:ind w:right="-6" w:rightChars="-3"/>
        <w:jc w:val="left"/>
        <w:rPr>
          <w:rFonts w:ascii="Arial" w:hAnsi="Arial" w:eastAsia="宋体" w:cs="Arial"/>
        </w:rPr>
      </w:pPr>
    </w:p>
    <w:p w14:paraId="5F8FE9AB">
      <w:pPr>
        <w:snapToGrid w:val="0"/>
        <w:spacing w:line="300" w:lineRule="auto"/>
        <w:ind w:right="-6" w:rightChars="-3"/>
        <w:rPr>
          <w:rFonts w:ascii="Arial" w:hAnsi="Arial" w:eastAsia="宋体" w:cs="Arial"/>
          <w:szCs w:val="21"/>
        </w:rPr>
      </w:pPr>
      <w:r>
        <w:rPr>
          <w:rFonts w:hint="eastAsia" w:ascii="Arial" w:hAnsi="Arial" w:eastAsia="宋体" w:cs="Arial"/>
          <w:szCs w:val="21"/>
        </w:rPr>
        <w:t>本文件取代以下文件：</w:t>
      </w:r>
      <w:r>
        <w:rPr>
          <w:rFonts w:ascii="Arial" w:hAnsi="Arial" w:eastAsia="宋体" w:cs="Arial"/>
          <w:szCs w:val="21"/>
        </w:rPr>
        <w:t>1992</w:t>
      </w:r>
      <w:r>
        <w:rPr>
          <w:rFonts w:hint="eastAsia" w:ascii="Arial" w:hAnsi="Arial" w:eastAsia="宋体" w:cs="Arial"/>
          <w:szCs w:val="21"/>
        </w:rPr>
        <w:t>年</w:t>
      </w:r>
      <w:r>
        <w:rPr>
          <w:rFonts w:ascii="Arial" w:hAnsi="Arial" w:eastAsia="宋体" w:cs="Arial"/>
          <w:szCs w:val="21"/>
        </w:rPr>
        <w:t>2</w:t>
      </w:r>
      <w:r>
        <w:rPr>
          <w:rFonts w:hint="eastAsia" w:ascii="Arial" w:hAnsi="Arial" w:eastAsia="宋体" w:cs="Arial"/>
          <w:szCs w:val="21"/>
        </w:rPr>
        <w:t>月</w:t>
      </w:r>
      <w:r>
        <w:rPr>
          <w:rFonts w:ascii="Arial" w:hAnsi="Arial" w:eastAsia="宋体" w:cs="Arial"/>
          <w:szCs w:val="21"/>
        </w:rPr>
        <w:t>5</w:t>
      </w:r>
      <w:r>
        <w:rPr>
          <w:rFonts w:hint="eastAsia" w:ascii="Arial" w:hAnsi="Arial" w:eastAsia="宋体" w:cs="Arial"/>
          <w:szCs w:val="21"/>
        </w:rPr>
        <w:t>日发布的上尿路（肾盂、肾盏和上输尿管）结石用体外冲击波碎石机的临床安全性与有效性数据信息指南草案，以及</w:t>
      </w:r>
      <w:r>
        <w:rPr>
          <w:rFonts w:ascii="Arial" w:hAnsi="Arial" w:eastAsia="宋体" w:cs="Arial"/>
          <w:szCs w:val="21"/>
        </w:rPr>
        <w:t>1999</w:t>
      </w:r>
      <w:r>
        <w:rPr>
          <w:rFonts w:hint="eastAsia" w:ascii="Arial" w:hAnsi="Arial" w:eastAsia="宋体" w:cs="Arial"/>
          <w:szCs w:val="21"/>
        </w:rPr>
        <w:t>年</w:t>
      </w:r>
      <w:r>
        <w:rPr>
          <w:rFonts w:ascii="Arial" w:hAnsi="Arial" w:eastAsia="宋体" w:cs="Arial"/>
          <w:szCs w:val="21"/>
        </w:rPr>
        <w:t>2</w:t>
      </w:r>
      <w:r>
        <w:rPr>
          <w:rFonts w:hint="eastAsia" w:ascii="Arial" w:hAnsi="Arial" w:eastAsia="宋体" w:cs="Arial"/>
          <w:szCs w:val="21"/>
        </w:rPr>
        <w:t>月</w:t>
      </w:r>
      <w:r>
        <w:rPr>
          <w:rFonts w:ascii="Arial" w:hAnsi="Arial" w:eastAsia="宋体" w:cs="Arial"/>
          <w:szCs w:val="21"/>
        </w:rPr>
        <w:t>8</w:t>
      </w:r>
      <w:r>
        <w:rPr>
          <w:rFonts w:hint="eastAsia" w:ascii="Arial" w:hAnsi="Arial" w:eastAsia="宋体" w:cs="Arial"/>
          <w:szCs w:val="21"/>
        </w:rPr>
        <w:t>日发布的肾脏、输尿管结石用体外冲击波碎石机上市前通告（</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））内容指南。</w:t>
      </w:r>
    </w:p>
    <w:p w14:paraId="6C2AD35D">
      <w:pPr>
        <w:snapToGrid w:val="0"/>
        <w:spacing w:line="300" w:lineRule="auto"/>
        <w:ind w:right="-6" w:rightChars="-3"/>
        <w:rPr>
          <w:rFonts w:ascii="Arial" w:hAnsi="Arial" w:eastAsia="宋体" w:cs="Arial"/>
          <w:szCs w:val="21"/>
        </w:rPr>
      </w:pPr>
    </w:p>
    <w:p w14:paraId="325FCCBF">
      <w:pPr>
        <w:snapToGrid w:val="0"/>
        <w:spacing w:line="300" w:lineRule="auto"/>
        <w:ind w:right="-6" w:rightChars="-3"/>
        <w:rPr>
          <w:rFonts w:ascii="Arial" w:hAnsi="Arial" w:eastAsia="宋体" w:cs="Arial"/>
          <w:szCs w:val="21"/>
        </w:rPr>
      </w:pPr>
    </w:p>
    <w:p w14:paraId="08AEDA8D">
      <w:pPr>
        <w:snapToGrid w:val="0"/>
        <w:spacing w:line="300" w:lineRule="auto"/>
        <w:ind w:right="-6" w:rightChars="-3"/>
        <w:rPr>
          <w:rFonts w:ascii="Arial" w:hAnsi="Arial" w:eastAsia="宋体" w:cs="Arial"/>
          <w:szCs w:val="21"/>
        </w:rPr>
      </w:pPr>
    </w:p>
    <w:p w14:paraId="48F30A5A">
      <w:pPr>
        <w:snapToGrid w:val="0"/>
        <w:spacing w:line="300" w:lineRule="auto"/>
        <w:ind w:right="-6" w:rightChars="-3"/>
        <w:rPr>
          <w:rFonts w:ascii="Arial" w:hAnsi="Arial" w:eastAsia="宋体" w:cs="Arial"/>
          <w:szCs w:val="21"/>
        </w:rPr>
      </w:pPr>
    </w:p>
    <w:p w14:paraId="598AE364">
      <w:pPr>
        <w:snapToGrid w:val="0"/>
        <w:spacing w:line="300" w:lineRule="auto"/>
        <w:ind w:right="-6" w:rightChars="-3"/>
        <w:rPr>
          <w:rFonts w:ascii="Arial" w:hAnsi="Arial" w:eastAsia="宋体" w:cs="Arial"/>
          <w:szCs w:val="21"/>
        </w:rPr>
      </w:pPr>
    </w:p>
    <w:p w14:paraId="46CD3EE2">
      <w:pPr>
        <w:snapToGrid w:val="0"/>
        <w:spacing w:line="300" w:lineRule="auto"/>
        <w:ind w:right="-6" w:rightChars="-3"/>
        <w:rPr>
          <w:rFonts w:ascii="Arial" w:hAnsi="Arial" w:eastAsia="宋体" w:cs="Arial"/>
          <w:szCs w:val="21"/>
        </w:rPr>
      </w:pPr>
    </w:p>
    <w:p w14:paraId="1CFC9CAA">
      <w:pPr>
        <w:snapToGrid w:val="0"/>
        <w:spacing w:line="300" w:lineRule="auto"/>
        <w:ind w:right="-6" w:rightChars="-3"/>
        <w:rPr>
          <w:rFonts w:hint="eastAsia" w:ascii="Arial" w:hAnsi="Arial" w:eastAsia="宋体" w:cs="Arial"/>
          <w:szCs w:val="21"/>
        </w:rPr>
      </w:pPr>
    </w:p>
    <w:p w14:paraId="0A405233">
      <w:pPr>
        <w:snapToGrid w:val="0"/>
        <w:spacing w:line="300" w:lineRule="auto"/>
        <w:ind w:right="-6" w:rightChars="-3"/>
        <w:rPr>
          <w:rFonts w:hint="eastAsia" w:ascii="Arial" w:hAnsi="Arial" w:eastAsia="宋体" w:cs="Arial"/>
          <w:szCs w:val="21"/>
        </w:rPr>
      </w:pPr>
    </w:p>
    <w:p w14:paraId="3983E432">
      <w:pPr>
        <w:snapToGrid w:val="0"/>
        <w:spacing w:line="300" w:lineRule="auto"/>
        <w:ind w:right="-6" w:rightChars="-3"/>
        <w:rPr>
          <w:rFonts w:hint="eastAsia" w:ascii="Arial" w:hAnsi="Arial" w:eastAsia="宋体" w:cs="Arial"/>
          <w:szCs w:val="21"/>
        </w:rPr>
      </w:pPr>
    </w:p>
    <w:p w14:paraId="2E2839CB">
      <w:pPr>
        <w:snapToGrid w:val="0"/>
        <w:spacing w:line="300" w:lineRule="auto"/>
        <w:ind w:right="-6" w:rightChars="-3"/>
        <w:rPr>
          <w:rFonts w:hint="eastAsia" w:ascii="Arial" w:hAnsi="Arial" w:eastAsia="宋体" w:cs="Arial"/>
          <w:szCs w:val="21"/>
        </w:rPr>
      </w:pPr>
    </w:p>
    <w:p w14:paraId="6FB26C36">
      <w:pPr>
        <w:snapToGrid w:val="0"/>
        <w:spacing w:line="300" w:lineRule="auto"/>
        <w:ind w:right="-6" w:rightChars="-3"/>
        <w:rPr>
          <w:rFonts w:hint="eastAsia" w:ascii="Arial" w:hAnsi="Arial" w:eastAsia="宋体" w:cs="Arial"/>
          <w:szCs w:val="21"/>
        </w:rPr>
      </w:pPr>
    </w:p>
    <w:p w14:paraId="305F5BD9">
      <w:pPr>
        <w:snapToGrid w:val="0"/>
        <w:spacing w:line="300" w:lineRule="auto"/>
        <w:ind w:right="-6" w:rightChars="-3"/>
        <w:rPr>
          <w:rFonts w:hint="eastAsia" w:ascii="Arial" w:hAnsi="Arial" w:eastAsia="宋体" w:cs="Arial"/>
          <w:szCs w:val="21"/>
        </w:rPr>
      </w:pPr>
    </w:p>
    <w:p w14:paraId="12E0A665">
      <w:pPr>
        <w:snapToGrid w:val="0"/>
        <w:spacing w:line="300" w:lineRule="auto"/>
        <w:ind w:right="-6" w:rightChars="-3"/>
        <w:rPr>
          <w:rFonts w:hint="eastAsia" w:ascii="Arial" w:hAnsi="Arial" w:eastAsia="宋体" w:cs="Arial"/>
          <w:szCs w:val="21"/>
        </w:rPr>
      </w:pPr>
    </w:p>
    <w:p w14:paraId="13C0991A">
      <w:pPr>
        <w:snapToGrid w:val="0"/>
        <w:spacing w:line="300" w:lineRule="auto"/>
        <w:ind w:right="-6" w:rightChars="-3"/>
        <w:rPr>
          <w:rFonts w:hint="eastAsia" w:ascii="Arial" w:hAnsi="Arial" w:eastAsia="宋体" w:cs="Arial"/>
          <w:szCs w:val="21"/>
        </w:rPr>
      </w:pPr>
    </w:p>
    <w:p w14:paraId="3C8197F9">
      <w:pPr>
        <w:snapToGrid w:val="0"/>
        <w:spacing w:line="300" w:lineRule="auto"/>
        <w:ind w:right="-6" w:rightChars="-3"/>
        <w:rPr>
          <w:rFonts w:hint="eastAsia" w:ascii="Arial" w:hAnsi="Arial" w:eastAsia="宋体" w:cs="Arial"/>
          <w:szCs w:val="21"/>
        </w:rPr>
      </w:pPr>
    </w:p>
    <w:p w14:paraId="55970301">
      <w:pPr>
        <w:snapToGrid w:val="0"/>
        <w:spacing w:line="300" w:lineRule="auto"/>
        <w:ind w:right="-6" w:rightChars="-3"/>
        <w:rPr>
          <w:rFonts w:ascii="Arial" w:hAnsi="Arial" w:eastAsia="宋体" w:cs="Arial"/>
          <w:szCs w:val="21"/>
        </w:rPr>
      </w:pPr>
    </w:p>
    <w:p w14:paraId="57FEF456">
      <w:pPr>
        <w:snapToGrid w:val="0"/>
        <w:spacing w:line="300" w:lineRule="auto"/>
        <w:ind w:right="-6" w:rightChars="-3"/>
        <w:rPr>
          <w:rFonts w:ascii="Arial" w:hAnsi="Arial" w:eastAsia="宋体" w:cs="Arial"/>
          <w:szCs w:val="21"/>
        </w:rPr>
      </w:pPr>
    </w:p>
    <w:p w14:paraId="0E29444E">
      <w:pPr>
        <w:snapToGrid w:val="0"/>
        <w:spacing w:line="300" w:lineRule="auto"/>
        <w:ind w:right="-6" w:rightChars="-3"/>
        <w:jc w:val="right"/>
        <w:rPr>
          <w:rFonts w:ascii="Arial" w:hAnsi="Arial" w:eastAsia="宋体" w:cs="Arial"/>
          <w:szCs w:val="21"/>
        </w:rPr>
      </w:pPr>
    </w:p>
    <w:p w14:paraId="4BA2D24B">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美国卫生与人类服务署</w:t>
      </w:r>
    </w:p>
    <w:p w14:paraId="34CF588F">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食品和药品监督管理局</w:t>
      </w:r>
    </w:p>
    <w:p w14:paraId="7C6AA9DF">
      <w:pPr>
        <w:snapToGrid w:val="0"/>
        <w:spacing w:line="300" w:lineRule="auto"/>
        <w:ind w:right="-6" w:rightChars="-3"/>
        <w:jc w:val="right"/>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5715</wp:posOffset>
                </wp:positionV>
                <wp:extent cx="1762125" cy="145732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7621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43424">
                            <w:r>
                              <w:drawing>
                                <wp:inline distT="0" distB="0" distL="0" distR="0">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95375"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0.45pt;height:114.75pt;width:138.75pt;z-index:251659264;mso-width-relative:page;mso-height-relative:page;" fillcolor="#FFFFFF [3201]" filled="t" stroked="f" coordsize="21600,21600" o:gfxdata="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uP41tIAAAAGAQAADwAA&#10;AAAAAAABACAAAAAiAAAAZHJzL2Rvd25yZXYueG1sUEsBAhQAFAAAAAgAh07iQAyUp8RVAgAAngQA&#10;AA4AAAAAAAAAAQAgAAAAIQEAAGRycy9lMm9Eb2MueG1sUEsFBgAAAAAGAAYAWQEAAOgFAAAAAA==&#10;">
                <v:fill on="t" focussize="0,0"/>
                <v:stroke on="f" weight="0.5pt"/>
                <v:imagedata o:title=""/>
                <o:lock v:ext="edit" aspectratio="f"/>
                <v:textbox>
                  <w:txbxContent>
                    <w:p w14:paraId="7F843424">
                      <w:r>
                        <w:drawing>
                          <wp:inline distT="0" distB="0" distL="0" distR="0">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95375" cy="1209675"/>
                                    </a:xfrm>
                                    <a:prstGeom prst="rect">
                                      <a:avLst/>
                                    </a:prstGeom>
                                    <a:noFill/>
                                    <a:ln>
                                      <a:noFill/>
                                    </a:ln>
                                  </pic:spPr>
                                </pic:pic>
                              </a:graphicData>
                            </a:graphic>
                          </wp:inline>
                        </w:drawing>
                      </w:r>
                    </w:p>
                  </w:txbxContent>
                </v:textbox>
              </v:shape>
            </w:pict>
          </mc:Fallback>
        </mc:AlternateContent>
      </w:r>
      <w:r>
        <w:rPr>
          <w:rFonts w:hint="eastAsia" w:ascii="Arial" w:hAnsi="Arial" w:eastAsia="宋体" w:cs="Arial"/>
          <w:szCs w:val="21"/>
        </w:rPr>
        <w:t>医疗器械和放射健康中心</w:t>
      </w:r>
    </w:p>
    <w:p w14:paraId="0D726FD1">
      <w:pPr>
        <w:snapToGrid w:val="0"/>
        <w:spacing w:line="300" w:lineRule="auto"/>
        <w:ind w:right="-6" w:rightChars="-3"/>
        <w:jc w:val="right"/>
        <w:rPr>
          <w:rFonts w:ascii="Arial" w:hAnsi="Arial" w:eastAsia="宋体" w:cs="Arial"/>
          <w:szCs w:val="21"/>
        </w:rPr>
      </w:pPr>
    </w:p>
    <w:p w14:paraId="3A75D94F">
      <w:pPr>
        <w:snapToGrid w:val="0"/>
        <w:spacing w:line="300" w:lineRule="auto"/>
        <w:ind w:right="-6" w:rightChars="-3"/>
        <w:jc w:val="right"/>
        <w:rPr>
          <w:rFonts w:ascii="Arial" w:hAnsi="Arial" w:eastAsia="宋体" w:cs="Arial"/>
          <w:szCs w:val="21"/>
        </w:rPr>
      </w:pPr>
      <w:bookmarkStart w:id="2" w:name="OLE_LINK3"/>
      <w:bookmarkStart w:id="3" w:name="OLE_LINK4"/>
      <w:r>
        <w:rPr>
          <w:rFonts w:hint="eastAsia" w:ascii="Arial" w:hAnsi="Arial" w:eastAsia="宋体" w:cs="Arial"/>
          <w:szCs w:val="21"/>
        </w:rPr>
        <w:t>泌尿和碎石器械科</w:t>
      </w:r>
    </w:p>
    <w:p w14:paraId="346434A9">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生殖、腹部与放射器械</w:t>
      </w:r>
      <w:bookmarkEnd w:id="2"/>
      <w:bookmarkEnd w:id="3"/>
      <w:r>
        <w:rPr>
          <w:rFonts w:hint="eastAsia" w:ascii="Arial" w:hAnsi="Arial" w:eastAsia="宋体" w:cs="Arial"/>
          <w:szCs w:val="21"/>
        </w:rPr>
        <w:t>司</w:t>
      </w:r>
    </w:p>
    <w:p w14:paraId="71DB3E2E">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医疗器械评估办公室</w:t>
      </w:r>
    </w:p>
    <w:p w14:paraId="5AC97BA6">
      <w:pPr>
        <w:widowControl/>
        <w:snapToGrid w:val="0"/>
        <w:spacing w:line="300" w:lineRule="auto"/>
        <w:ind w:right="-6" w:rightChars="-3"/>
        <w:rPr>
          <w:rFonts w:ascii="Arial" w:hAnsi="Arial" w:eastAsia="宋体" w:cs="Arial"/>
          <w:szCs w:val="21"/>
        </w:rPr>
      </w:pPr>
      <w:r>
        <w:rPr>
          <w:rFonts w:ascii="Arial" w:hAnsi="Arial" w:eastAsia="宋体" w:cs="Arial"/>
          <w:szCs w:val="21"/>
        </w:rPr>
        <w:br w:type="page"/>
      </w:r>
    </w:p>
    <w:p w14:paraId="29F3B318">
      <w:pPr>
        <w:snapToGrid w:val="0"/>
        <w:spacing w:line="300" w:lineRule="auto"/>
        <w:ind w:right="-6" w:rightChars="-3"/>
        <w:jc w:val="center"/>
        <w:rPr>
          <w:rFonts w:hint="eastAsia" w:ascii="Arial" w:hAnsi="Arial" w:eastAsia="宋体" w:cs="Arial"/>
          <w:b/>
          <w:sz w:val="48"/>
          <w:szCs w:val="48"/>
        </w:rPr>
      </w:pPr>
    </w:p>
    <w:p w14:paraId="09D29ACB">
      <w:pPr>
        <w:snapToGrid w:val="0"/>
        <w:spacing w:line="300" w:lineRule="auto"/>
        <w:ind w:right="-6" w:rightChars="-3" w:firstLine="964"/>
        <w:jc w:val="center"/>
        <w:rPr>
          <w:rFonts w:ascii="Arial" w:hAnsi="Arial" w:eastAsia="宋体" w:cs="Arial"/>
          <w:b/>
          <w:sz w:val="48"/>
          <w:szCs w:val="48"/>
        </w:rPr>
      </w:pPr>
      <w:r>
        <w:rPr>
          <w:rFonts w:hint="eastAsia" w:ascii="Arial" w:hAnsi="Arial" w:eastAsia="宋体" w:cs="Arial"/>
          <w:b/>
          <w:sz w:val="48"/>
          <w:szCs w:val="48"/>
        </w:rPr>
        <w:t>前言</w:t>
      </w:r>
    </w:p>
    <w:p w14:paraId="16A8336C">
      <w:pPr>
        <w:snapToGrid w:val="0"/>
        <w:spacing w:line="300" w:lineRule="auto"/>
        <w:ind w:right="-6" w:rightChars="-3" w:firstLine="602"/>
        <w:rPr>
          <w:rFonts w:ascii="Arial" w:hAnsi="Arial" w:eastAsia="宋体" w:cs="Arial"/>
          <w:b/>
          <w:sz w:val="30"/>
          <w:szCs w:val="30"/>
        </w:rPr>
      </w:pPr>
      <w:r>
        <w:rPr>
          <w:rFonts w:hint="eastAsia" w:ascii="Arial" w:hAnsi="Arial" w:eastAsia="宋体" w:cs="Arial"/>
          <w:b/>
          <w:sz w:val="30"/>
          <w:szCs w:val="30"/>
        </w:rPr>
        <w:t>公众意见</w:t>
      </w:r>
    </w:p>
    <w:p w14:paraId="170CF970">
      <w:pPr>
        <w:snapToGrid w:val="0"/>
        <w:spacing w:line="300" w:lineRule="auto"/>
        <w:ind w:right="-6" w:rightChars="-3"/>
        <w:rPr>
          <w:rFonts w:ascii="Arial" w:hAnsi="Arial" w:eastAsia="宋体" w:cs="Arial"/>
          <w:szCs w:val="21"/>
        </w:rPr>
      </w:pPr>
    </w:p>
    <w:p w14:paraId="34AF7479">
      <w:pPr>
        <w:autoSpaceDE w:val="0"/>
        <w:autoSpaceDN w:val="0"/>
        <w:adjustRightInd w:val="0"/>
        <w:snapToGrid w:val="0"/>
        <w:spacing w:line="300" w:lineRule="auto"/>
        <w:ind w:left="422" w:leftChars="201" w:right="-6" w:rightChars="-3"/>
        <w:rPr>
          <w:rFonts w:ascii="Arial" w:hAnsi="Arial" w:eastAsia="宋体" w:cs="Arial"/>
          <w:kern w:val="0"/>
          <w:szCs w:val="21"/>
        </w:rPr>
      </w:pPr>
      <w:r>
        <w:rPr>
          <w:rFonts w:hint="eastAsia" w:ascii="Arial" w:hAnsi="Arial" w:eastAsia="宋体" w:cs="Arial"/>
          <w:szCs w:val="21"/>
        </w:rPr>
        <w:t>在任何时间您均可以向机构提交评论或建议，联系人</w:t>
      </w:r>
      <w:r>
        <w:rPr>
          <w:rFonts w:ascii="Arial" w:hAnsi="Arial" w:eastAsia="宋体" w:cs="Arial"/>
          <w:kern w:val="0"/>
          <w:szCs w:val="21"/>
        </w:rPr>
        <w:t>Mr. John Baxley</w:t>
      </w:r>
      <w:r>
        <w:rPr>
          <w:rFonts w:hint="eastAsia" w:ascii="Arial" w:hAnsi="Arial" w:eastAsia="宋体" w:cs="Arial"/>
          <w:kern w:val="0"/>
          <w:szCs w:val="21"/>
        </w:rPr>
        <w:t>（</w:t>
      </w:r>
      <w:r>
        <w:rPr>
          <w:rFonts w:ascii="Arial" w:hAnsi="Arial" w:eastAsia="宋体" w:cs="Arial"/>
          <w:kern w:val="0"/>
          <w:szCs w:val="21"/>
        </w:rPr>
        <w:t>HFZ-470, 9200 Corporate Blvd., Rockville, Maryland, 20850</w:t>
      </w:r>
      <w:r>
        <w:rPr>
          <w:rFonts w:hint="eastAsia" w:ascii="Arial" w:hAnsi="Arial" w:eastAsia="宋体" w:cs="Arial"/>
          <w:kern w:val="0"/>
          <w:szCs w:val="21"/>
        </w:rPr>
        <w:t>），</w:t>
      </w:r>
      <w:r>
        <w:rPr>
          <w:rFonts w:hint="eastAsia" w:ascii="Arial" w:hAnsi="Arial" w:eastAsia="宋体" w:cs="Arial"/>
          <w:szCs w:val="21"/>
        </w:rPr>
        <w:t>泌尿和碎石器械科，器械与放射健康中心器械。在文件修订或更新前机构不会对评论作出回应。关于本指南的使用或解释的问题，请联系</w:t>
      </w:r>
      <w:r>
        <w:rPr>
          <w:rFonts w:ascii="Arial" w:hAnsi="Arial" w:eastAsia="宋体" w:cs="Arial"/>
          <w:kern w:val="0"/>
          <w:szCs w:val="21"/>
        </w:rPr>
        <w:t>Mr. John Baxley</w:t>
      </w:r>
      <w:r>
        <w:rPr>
          <w:rFonts w:hint="eastAsia" w:ascii="Arial" w:hAnsi="Arial" w:eastAsia="宋体" w:cs="Arial"/>
          <w:szCs w:val="21"/>
        </w:rPr>
        <w:t>，电话：（</w:t>
      </w:r>
      <w:r>
        <w:rPr>
          <w:rFonts w:ascii="Arial" w:hAnsi="Arial" w:eastAsia="宋体" w:cs="Arial"/>
          <w:szCs w:val="21"/>
        </w:rPr>
        <w:t>240</w:t>
      </w:r>
      <w:r>
        <w:rPr>
          <w:rFonts w:hint="eastAsia" w:ascii="Arial" w:hAnsi="Arial" w:eastAsia="宋体" w:cs="Arial"/>
          <w:szCs w:val="21"/>
        </w:rPr>
        <w:t>）</w:t>
      </w:r>
      <w:r>
        <w:rPr>
          <w:rFonts w:ascii="Arial" w:hAnsi="Arial" w:eastAsia="宋体" w:cs="Arial"/>
          <w:szCs w:val="21"/>
        </w:rPr>
        <w:t>276-4161</w:t>
      </w:r>
      <w:r>
        <w:rPr>
          <w:rFonts w:hint="eastAsia" w:ascii="Arial" w:hAnsi="Arial" w:eastAsia="宋体" w:cs="Arial"/>
          <w:szCs w:val="21"/>
        </w:rPr>
        <w:t>，邮箱：</w:t>
      </w:r>
      <w:r>
        <w:rPr>
          <w:rFonts w:ascii="Arial" w:hAnsi="Arial" w:eastAsia="宋体" w:cs="Arial"/>
          <w:szCs w:val="21"/>
        </w:rPr>
        <w:t>john.baxley@fda.hhs.gov</w:t>
      </w:r>
      <w:r>
        <w:rPr>
          <w:rFonts w:hint="eastAsia" w:ascii="Arial" w:hAnsi="Arial" w:eastAsia="宋体" w:cs="Arial"/>
          <w:szCs w:val="21"/>
        </w:rPr>
        <w:t>。</w:t>
      </w:r>
    </w:p>
    <w:p w14:paraId="2B120CD8">
      <w:pPr>
        <w:snapToGrid w:val="0"/>
        <w:spacing w:line="300" w:lineRule="auto"/>
        <w:ind w:right="-6" w:rightChars="-3"/>
        <w:rPr>
          <w:rFonts w:ascii="Arial" w:hAnsi="Arial" w:eastAsia="宋体" w:cs="Arial"/>
          <w:szCs w:val="21"/>
        </w:rPr>
      </w:pPr>
    </w:p>
    <w:p w14:paraId="0ADB7C9F">
      <w:pPr>
        <w:snapToGrid w:val="0"/>
        <w:spacing w:line="300" w:lineRule="auto"/>
        <w:ind w:right="-6" w:rightChars="-3"/>
        <w:rPr>
          <w:rFonts w:ascii="Arial" w:hAnsi="Arial" w:eastAsia="宋体" w:cs="Arial"/>
          <w:szCs w:val="21"/>
        </w:rPr>
      </w:pPr>
    </w:p>
    <w:p w14:paraId="2362A6A0">
      <w:pPr>
        <w:snapToGrid w:val="0"/>
        <w:spacing w:line="300" w:lineRule="auto"/>
        <w:ind w:right="-6" w:rightChars="-3"/>
        <w:rPr>
          <w:rFonts w:ascii="Arial" w:hAnsi="Arial" w:eastAsia="宋体" w:cs="Arial"/>
          <w:szCs w:val="21"/>
        </w:rPr>
      </w:pPr>
    </w:p>
    <w:p w14:paraId="1DD53AC6">
      <w:pPr>
        <w:snapToGrid w:val="0"/>
        <w:spacing w:line="300" w:lineRule="auto"/>
        <w:ind w:right="-6" w:rightChars="-3"/>
        <w:rPr>
          <w:rFonts w:ascii="Arial" w:hAnsi="Arial" w:eastAsia="宋体" w:cs="Arial"/>
          <w:szCs w:val="21"/>
        </w:rPr>
      </w:pPr>
    </w:p>
    <w:p w14:paraId="068E844D">
      <w:pPr>
        <w:snapToGrid w:val="0"/>
        <w:spacing w:line="300" w:lineRule="auto"/>
        <w:ind w:right="-6" w:rightChars="-3" w:firstLine="602"/>
        <w:rPr>
          <w:rFonts w:ascii="Arial" w:hAnsi="Arial" w:eastAsia="宋体" w:cs="Arial"/>
          <w:b/>
          <w:sz w:val="30"/>
          <w:szCs w:val="30"/>
        </w:rPr>
      </w:pPr>
      <w:r>
        <w:rPr>
          <w:rFonts w:hint="eastAsia" w:ascii="Arial" w:hAnsi="Arial" w:eastAsia="宋体" w:cs="Arial"/>
          <w:b/>
          <w:sz w:val="30"/>
          <w:szCs w:val="30"/>
        </w:rPr>
        <w:t>其他副本</w:t>
      </w:r>
    </w:p>
    <w:p w14:paraId="1A8EDF59">
      <w:pPr>
        <w:snapToGrid w:val="0"/>
        <w:spacing w:line="300" w:lineRule="auto"/>
        <w:ind w:left="424" w:leftChars="202" w:right="-6" w:rightChars="-3"/>
        <w:rPr>
          <w:rFonts w:ascii="Arial" w:hAnsi="Arial" w:eastAsia="宋体" w:cs="Arial"/>
          <w:szCs w:val="21"/>
        </w:rPr>
      </w:pPr>
      <w:r>
        <w:rPr>
          <w:rFonts w:hint="eastAsia" w:ascii="Arial" w:hAnsi="Arial" w:eastAsia="宋体" w:cs="Arial"/>
          <w:szCs w:val="21"/>
        </w:rPr>
        <w:t>万维网</w:t>
      </w:r>
      <w:r>
        <w:rPr>
          <w:rFonts w:ascii="Arial" w:hAnsi="Arial" w:eastAsia="宋体" w:cs="Arial"/>
          <w:szCs w:val="21"/>
        </w:rPr>
        <w:t>/</w:t>
      </w:r>
      <w:r>
        <w:rPr>
          <w:rFonts w:hint="eastAsia" w:ascii="Arial" w:hAnsi="Arial" w:eastAsia="宋体" w:cs="Arial"/>
          <w:szCs w:val="21"/>
        </w:rPr>
        <w:t>放射健康中心主页：</w:t>
      </w:r>
    </w:p>
    <w:p w14:paraId="297827B6">
      <w:pPr>
        <w:snapToGrid w:val="0"/>
        <w:spacing w:line="300" w:lineRule="auto"/>
        <w:ind w:left="424" w:leftChars="202" w:right="-6" w:rightChars="-3"/>
        <w:rPr>
          <w:rFonts w:ascii="Arial" w:hAnsi="Arial" w:eastAsia="宋体" w:cs="Arial"/>
          <w:szCs w:val="21"/>
        </w:rPr>
      </w:pPr>
      <w:r>
        <w:rPr>
          <w:rFonts w:ascii="Arial" w:hAnsi="Arial" w:eastAsia="宋体" w:cs="Arial"/>
          <w:i/>
          <w:szCs w:val="21"/>
        </w:rPr>
        <w:t>http://www.fda.gov/cdrh/ode/guidance/1226.pdf</w:t>
      </w:r>
      <w:r>
        <w:rPr>
          <w:rFonts w:hint="eastAsia" w:ascii="Arial" w:hAnsi="Arial" w:eastAsia="宋体" w:cs="Arial"/>
          <w:szCs w:val="21"/>
        </w:rPr>
        <w:t>，或</w:t>
      </w:r>
      <w:r>
        <w:rPr>
          <w:rFonts w:ascii="Arial" w:hAnsi="Arial" w:eastAsia="宋体" w:cs="Arial"/>
          <w:szCs w:val="21"/>
        </w:rPr>
        <w:t>CDRH</w:t>
      </w:r>
      <w:r>
        <w:rPr>
          <w:rFonts w:hint="eastAsia" w:ascii="Arial" w:hAnsi="Arial" w:eastAsia="宋体" w:cs="Arial"/>
          <w:szCs w:val="21"/>
        </w:rPr>
        <w:t>自动回传系统</w:t>
      </w:r>
      <w:r>
        <w:rPr>
          <w:rFonts w:ascii="Arial" w:hAnsi="Arial" w:eastAsia="宋体" w:cs="Arial"/>
          <w:szCs w:val="21"/>
        </w:rPr>
        <w:t xml:space="preserve">1-800-899-0381 </w:t>
      </w:r>
      <w:r>
        <w:rPr>
          <w:rFonts w:hint="eastAsia" w:ascii="Arial" w:hAnsi="Arial" w:eastAsia="宋体" w:cs="Arial"/>
          <w:szCs w:val="21"/>
        </w:rPr>
        <w:t>或</w:t>
      </w:r>
      <w:r>
        <w:rPr>
          <w:rFonts w:ascii="Arial" w:hAnsi="Arial" w:eastAsia="宋体" w:cs="Arial"/>
          <w:szCs w:val="21"/>
        </w:rPr>
        <w:t>301-827-0111</w:t>
      </w:r>
      <w:r>
        <w:rPr>
          <w:rFonts w:hint="eastAsia" w:ascii="Arial" w:hAnsi="Arial" w:eastAsia="宋体" w:cs="Arial"/>
          <w:szCs w:val="21"/>
        </w:rPr>
        <w:t>，如提示文件编号，请输入</w:t>
      </w:r>
      <w:r>
        <w:rPr>
          <w:rFonts w:ascii="Arial" w:hAnsi="Arial" w:eastAsia="宋体" w:cs="Arial"/>
          <w:szCs w:val="21"/>
        </w:rPr>
        <w:t>1226</w:t>
      </w:r>
      <w:r>
        <w:rPr>
          <w:rFonts w:hint="eastAsia" w:ascii="Arial" w:hAnsi="Arial" w:eastAsia="宋体" w:cs="Arial"/>
          <w:szCs w:val="21"/>
        </w:rPr>
        <w:t>。</w:t>
      </w:r>
    </w:p>
    <w:p w14:paraId="720782A5">
      <w:pPr>
        <w:widowControl/>
        <w:snapToGrid w:val="0"/>
        <w:spacing w:line="300" w:lineRule="auto"/>
        <w:ind w:right="-6" w:rightChars="-3"/>
        <w:rPr>
          <w:rFonts w:ascii="Arial" w:hAnsi="Arial" w:eastAsia="宋体" w:cs="Arial"/>
          <w:szCs w:val="21"/>
        </w:rPr>
      </w:pPr>
      <w:r>
        <w:rPr>
          <w:rFonts w:ascii="Arial" w:hAnsi="Arial" w:eastAsia="宋体" w:cs="Arial"/>
          <w:szCs w:val="21"/>
        </w:rPr>
        <w:br w:type="page"/>
      </w:r>
    </w:p>
    <w:p w14:paraId="21352441">
      <w:pPr>
        <w:snapToGrid w:val="0"/>
        <w:spacing w:line="300" w:lineRule="auto"/>
        <w:ind w:right="-6" w:rightChars="-3"/>
        <w:jc w:val="center"/>
        <w:rPr>
          <w:rFonts w:ascii="Arial" w:hAnsi="Arial" w:eastAsia="宋体" w:cs="Arial"/>
          <w:b/>
          <w:sz w:val="30"/>
          <w:szCs w:val="30"/>
        </w:rPr>
      </w:pPr>
      <w:r>
        <w:rPr>
          <w:rFonts w:hint="eastAsia" w:ascii="Arial" w:hAnsi="Arial" w:eastAsia="宋体" w:cs="Arial"/>
          <w:b/>
          <w:sz w:val="30"/>
          <w:szCs w:val="30"/>
        </w:rPr>
        <w:t>目录</w:t>
      </w:r>
    </w:p>
    <w:p w14:paraId="476FD3B1">
      <w:pPr>
        <w:snapToGrid w:val="0"/>
        <w:spacing w:line="300" w:lineRule="auto"/>
        <w:ind w:right="-6" w:rightChars="-3"/>
        <w:jc w:val="right"/>
        <w:rPr>
          <w:rFonts w:ascii="Arial" w:hAnsi="Arial" w:eastAsia="宋体" w:cs="Arial"/>
          <w:szCs w:val="21"/>
          <w:u w:val="single"/>
        </w:rPr>
      </w:pPr>
      <w:r>
        <w:rPr>
          <w:rFonts w:hint="eastAsia" w:ascii="Arial" w:hAnsi="Arial" w:eastAsia="宋体" w:cs="Arial"/>
          <w:szCs w:val="21"/>
          <w:u w:val="single"/>
        </w:rPr>
        <w:t>页码</w:t>
      </w:r>
    </w:p>
    <w:p w14:paraId="459F3BFC">
      <w:pPr>
        <w:pStyle w:val="5"/>
        <w:tabs>
          <w:tab w:val="left" w:pos="420"/>
          <w:tab w:val="right" w:leader="dot" w:pos="9628"/>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"1-1" \h \z \u </w:instrText>
      </w:r>
      <w:r>
        <w:rPr>
          <w:rFonts w:ascii="Arial" w:hAnsi="Arial" w:eastAsia="宋体" w:cs="Arial"/>
        </w:rPr>
        <w:fldChar w:fldCharType="separate"/>
      </w:r>
      <w:r>
        <w:fldChar w:fldCharType="begin"/>
      </w:r>
      <w:r>
        <w:instrText xml:space="preserve"> HYPERLINK \l "_Toc478059273" </w:instrText>
      </w:r>
      <w:r>
        <w:fldChar w:fldCharType="separate"/>
      </w:r>
      <w:r>
        <w:rPr>
          <w:rStyle w:val="8"/>
          <w:rFonts w:ascii="Arial" w:hAnsi="Arial" w:eastAsia="宋体" w:cs="Arial"/>
        </w:rPr>
        <w:t>1.</w:t>
      </w:r>
      <w:r>
        <w:rPr>
          <w:rFonts w:ascii="Arial" w:hAnsi="Arial" w:eastAsia="宋体" w:cs="Arial"/>
        </w:rPr>
        <w:tab/>
      </w:r>
      <w:r>
        <w:rPr>
          <w:rStyle w:val="8"/>
          <w:rFonts w:hint="eastAsia" w:ascii="Arial" w:hAnsi="Arial" w:eastAsia="宋体" w:cs="Arial"/>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3C1EFE0E">
      <w:pPr>
        <w:pStyle w:val="5"/>
        <w:tabs>
          <w:tab w:val="left" w:pos="420"/>
          <w:tab w:val="right" w:leader="dot" w:pos="9628"/>
        </w:tabs>
        <w:rPr>
          <w:rFonts w:ascii="Arial" w:hAnsi="Arial" w:eastAsia="宋体" w:cs="Arial"/>
        </w:rPr>
      </w:pPr>
      <w:r>
        <w:fldChar w:fldCharType="begin"/>
      </w:r>
      <w:r>
        <w:instrText xml:space="preserve"> HYPERLINK \l "_Toc478059274" </w:instrText>
      </w:r>
      <w:r>
        <w:fldChar w:fldCharType="separate"/>
      </w:r>
      <w:r>
        <w:rPr>
          <w:rStyle w:val="8"/>
          <w:rFonts w:ascii="Arial" w:hAnsi="Arial" w:eastAsia="宋体" w:cs="Arial"/>
        </w:rPr>
        <w:t>2.</w:t>
      </w:r>
      <w:r>
        <w:rPr>
          <w:rFonts w:ascii="Arial" w:hAnsi="Arial" w:eastAsia="宋体" w:cs="Arial"/>
        </w:rPr>
        <w:tab/>
      </w:r>
      <w:r>
        <w:rPr>
          <w:rStyle w:val="8"/>
          <w:rFonts w:hint="eastAsia" w:ascii="Arial" w:hAnsi="Arial" w:eastAsia="宋体" w:cs="Arial"/>
        </w:rPr>
        <w:t>申办方申办方</w:t>
      </w:r>
      <w:r>
        <w:rPr>
          <w:rStyle w:val="8"/>
          <w:rFonts w:ascii="Arial" w:hAnsi="Arial" w:eastAsia="宋体" w:cs="Arial"/>
        </w:rPr>
        <w:t>/</w:t>
      </w:r>
      <w:r>
        <w:rPr>
          <w:rStyle w:val="8"/>
          <w:rFonts w:hint="eastAsia" w:ascii="Arial" w:hAnsi="Arial" w:eastAsia="宋体" w:cs="Arial"/>
        </w:rPr>
        <w:t>器械标识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2C7D2EF">
      <w:pPr>
        <w:pStyle w:val="5"/>
        <w:tabs>
          <w:tab w:val="left" w:pos="420"/>
          <w:tab w:val="right" w:leader="dot" w:pos="9628"/>
        </w:tabs>
        <w:rPr>
          <w:rFonts w:ascii="Arial" w:hAnsi="Arial" w:eastAsia="宋体" w:cs="Arial"/>
        </w:rPr>
      </w:pPr>
      <w:r>
        <w:fldChar w:fldCharType="begin"/>
      </w:r>
      <w:r>
        <w:instrText xml:space="preserve"> HYPERLINK \l "_Toc478059275" </w:instrText>
      </w:r>
      <w:r>
        <w:fldChar w:fldCharType="separate"/>
      </w:r>
      <w:r>
        <w:rPr>
          <w:rStyle w:val="8"/>
          <w:rFonts w:ascii="Arial" w:hAnsi="Arial" w:eastAsia="宋体" w:cs="Arial"/>
        </w:rPr>
        <w:t>3.</w:t>
      </w:r>
      <w:r>
        <w:rPr>
          <w:rFonts w:ascii="Arial" w:hAnsi="Arial" w:eastAsia="宋体" w:cs="Arial"/>
        </w:rPr>
        <w:tab/>
      </w:r>
      <w:r>
        <w:rPr>
          <w:rStyle w:val="8"/>
          <w:rFonts w:hint="eastAsia" w:ascii="Arial" w:hAnsi="Arial" w:eastAsia="宋体" w:cs="Arial"/>
        </w:rPr>
        <w:t>分类</w:t>
      </w:r>
      <w:r>
        <w:rPr>
          <w:rStyle w:val="8"/>
          <w:rFonts w:ascii="Arial" w:hAnsi="Arial" w:eastAsia="宋体" w:cs="Arial"/>
        </w:rPr>
        <w:t>/</w:t>
      </w:r>
      <w:r>
        <w:rPr>
          <w:rStyle w:val="8"/>
          <w:rFonts w:hint="eastAsia" w:ascii="Arial" w:hAnsi="Arial" w:eastAsia="宋体" w:cs="Arial"/>
        </w:rPr>
        <w:t>产品代码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_Toc478059275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1C816302">
      <w:pPr>
        <w:pStyle w:val="5"/>
        <w:tabs>
          <w:tab w:val="left" w:pos="420"/>
          <w:tab w:val="right" w:leader="dot" w:pos="9628"/>
        </w:tabs>
        <w:rPr>
          <w:rFonts w:ascii="Arial" w:hAnsi="Arial" w:eastAsia="宋体" w:cs="Arial"/>
        </w:rPr>
      </w:pPr>
      <w:r>
        <w:fldChar w:fldCharType="begin"/>
      </w:r>
      <w:r>
        <w:instrText xml:space="preserve"> HYPERLINK \l "_Toc478059276" </w:instrText>
      </w:r>
      <w:r>
        <w:fldChar w:fldCharType="separate"/>
      </w:r>
      <w:r>
        <w:rPr>
          <w:rStyle w:val="8"/>
          <w:rFonts w:ascii="Arial" w:hAnsi="Arial" w:eastAsia="宋体" w:cs="Arial"/>
        </w:rPr>
        <w:t>4.</w:t>
      </w:r>
      <w:r>
        <w:rPr>
          <w:rFonts w:ascii="Arial" w:hAnsi="Arial" w:eastAsia="宋体" w:cs="Arial"/>
        </w:rPr>
        <w:tab/>
      </w:r>
      <w:r>
        <w:rPr>
          <w:rStyle w:val="8"/>
          <w:rFonts w:hint="eastAsia" w:ascii="Arial" w:hAnsi="Arial" w:eastAsia="宋体" w:cs="Arial"/>
        </w:rPr>
        <w:t>特殊控制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_Toc478059276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715C729">
      <w:pPr>
        <w:pStyle w:val="5"/>
        <w:tabs>
          <w:tab w:val="left" w:pos="420"/>
          <w:tab w:val="right" w:leader="dot" w:pos="9628"/>
        </w:tabs>
        <w:rPr>
          <w:rFonts w:ascii="Arial" w:hAnsi="Arial" w:eastAsia="宋体" w:cs="Arial"/>
        </w:rPr>
      </w:pPr>
      <w:r>
        <w:fldChar w:fldCharType="begin"/>
      </w:r>
      <w:r>
        <w:instrText xml:space="preserve"> HYPERLINK \l "_Toc478059277" </w:instrText>
      </w:r>
      <w:r>
        <w:fldChar w:fldCharType="separate"/>
      </w:r>
      <w:r>
        <w:rPr>
          <w:rStyle w:val="8"/>
          <w:rFonts w:ascii="Arial" w:hAnsi="Arial" w:eastAsia="宋体" w:cs="Arial"/>
        </w:rPr>
        <w:t>5.</w:t>
      </w:r>
      <w:r>
        <w:rPr>
          <w:rFonts w:ascii="Arial" w:hAnsi="Arial" w:eastAsia="宋体" w:cs="Arial"/>
        </w:rPr>
        <w:tab/>
      </w:r>
      <w:r>
        <w:rPr>
          <w:rStyle w:val="8"/>
          <w:rFonts w:hint="eastAsia" w:ascii="Arial" w:hAnsi="Arial" w:eastAsia="宋体" w:cs="Arial"/>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_Toc478059277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BDBB679">
      <w:pPr>
        <w:pStyle w:val="5"/>
        <w:tabs>
          <w:tab w:val="left" w:pos="420"/>
          <w:tab w:val="right" w:leader="dot" w:pos="9628"/>
        </w:tabs>
        <w:rPr>
          <w:rFonts w:ascii="Arial" w:hAnsi="Arial" w:eastAsia="宋体" w:cs="Arial"/>
        </w:rPr>
      </w:pPr>
      <w:r>
        <w:fldChar w:fldCharType="begin"/>
      </w:r>
      <w:r>
        <w:instrText xml:space="preserve"> HYPERLINK \l "_Toc478059278" </w:instrText>
      </w:r>
      <w:r>
        <w:fldChar w:fldCharType="separate"/>
      </w:r>
      <w:r>
        <w:rPr>
          <w:rStyle w:val="8"/>
          <w:rFonts w:ascii="Arial" w:hAnsi="Arial" w:eastAsia="宋体" w:cs="Arial"/>
        </w:rPr>
        <w:t>6.</w:t>
      </w:r>
      <w:r>
        <w:rPr>
          <w:rFonts w:ascii="Arial" w:hAnsi="Arial" w:eastAsia="宋体" w:cs="Arial"/>
        </w:rPr>
        <w:tab/>
      </w:r>
      <w:r>
        <w:rPr>
          <w:rStyle w:val="8"/>
          <w:rFonts w:hint="eastAsia" w:ascii="Arial" w:hAnsi="Arial" w:eastAsia="宋体" w:cs="Arial"/>
        </w:rPr>
        <w:t>实质等同性声明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_Toc478059278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193DE713">
      <w:pPr>
        <w:pStyle w:val="5"/>
        <w:tabs>
          <w:tab w:val="left" w:pos="420"/>
          <w:tab w:val="right" w:leader="dot" w:pos="9628"/>
        </w:tabs>
        <w:rPr>
          <w:rFonts w:ascii="Arial" w:hAnsi="Arial" w:eastAsia="宋体" w:cs="Arial"/>
        </w:rPr>
      </w:pPr>
      <w:r>
        <w:fldChar w:fldCharType="begin"/>
      </w:r>
      <w:r>
        <w:instrText xml:space="preserve"> HYPERLINK \l "_Toc478059279" </w:instrText>
      </w:r>
      <w:r>
        <w:fldChar w:fldCharType="separate"/>
      </w:r>
      <w:r>
        <w:rPr>
          <w:rStyle w:val="8"/>
          <w:rFonts w:ascii="Arial" w:hAnsi="Arial" w:eastAsia="宋体" w:cs="Arial"/>
        </w:rPr>
        <w:t>7.</w:t>
      </w:r>
      <w:r>
        <w:rPr>
          <w:rFonts w:ascii="Arial" w:hAnsi="Arial" w:eastAsia="宋体" w:cs="Arial"/>
        </w:rPr>
        <w:tab/>
      </w:r>
      <w:r>
        <w:rPr>
          <w:rStyle w:val="8"/>
          <w:rFonts w:hint="eastAsia" w:ascii="Arial" w:hAnsi="Arial" w:eastAsia="宋体" w:cs="Arial"/>
        </w:rPr>
        <w:t>符合标准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CA8CDD4">
      <w:pPr>
        <w:pStyle w:val="5"/>
        <w:tabs>
          <w:tab w:val="left" w:pos="420"/>
          <w:tab w:val="right" w:leader="dot" w:pos="9628"/>
        </w:tabs>
        <w:rPr>
          <w:rFonts w:ascii="Arial" w:hAnsi="Arial" w:eastAsia="宋体" w:cs="Arial"/>
        </w:rPr>
      </w:pPr>
      <w:r>
        <w:fldChar w:fldCharType="begin"/>
      </w:r>
      <w:r>
        <w:instrText xml:space="preserve"> HYPERLINK \l "_Toc478059280" </w:instrText>
      </w:r>
      <w:r>
        <w:fldChar w:fldCharType="separate"/>
      </w:r>
      <w:r>
        <w:rPr>
          <w:rStyle w:val="8"/>
          <w:rFonts w:ascii="Arial" w:hAnsi="Arial" w:eastAsia="宋体" w:cs="Arial"/>
        </w:rPr>
        <w:t>8.</w:t>
      </w:r>
      <w:r>
        <w:rPr>
          <w:rFonts w:ascii="Arial" w:hAnsi="Arial" w:eastAsia="宋体" w:cs="Arial"/>
        </w:rPr>
        <w:tab/>
      </w:r>
      <w:r>
        <w:rPr>
          <w:rStyle w:val="8"/>
          <w:rFonts w:hint="eastAsia" w:ascii="Arial" w:hAnsi="Arial" w:eastAsia="宋体" w:cs="Arial"/>
        </w:rPr>
        <w:t>性能检测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6546EF2">
      <w:pPr>
        <w:pStyle w:val="5"/>
        <w:tabs>
          <w:tab w:val="left" w:pos="420"/>
          <w:tab w:val="right" w:leader="dot" w:pos="9628"/>
        </w:tabs>
        <w:rPr>
          <w:rFonts w:ascii="Arial" w:hAnsi="Arial" w:eastAsia="宋体" w:cs="Arial"/>
        </w:rPr>
      </w:pPr>
      <w:r>
        <w:fldChar w:fldCharType="begin"/>
      </w:r>
      <w:r>
        <w:instrText xml:space="preserve"> HYPERLINK \l "_Toc478059281" </w:instrText>
      </w:r>
      <w:r>
        <w:fldChar w:fldCharType="separate"/>
      </w:r>
      <w:r>
        <w:rPr>
          <w:rStyle w:val="8"/>
          <w:rFonts w:ascii="Arial" w:hAnsi="Arial" w:eastAsia="宋体" w:cs="Arial"/>
        </w:rPr>
        <w:t>9.</w:t>
      </w:r>
      <w:r>
        <w:rPr>
          <w:rFonts w:ascii="Arial" w:hAnsi="Arial" w:eastAsia="宋体" w:cs="Arial"/>
        </w:rPr>
        <w:tab/>
      </w:r>
      <w:r>
        <w:rPr>
          <w:rStyle w:val="8"/>
          <w:rFonts w:hint="eastAsia" w:ascii="Arial" w:hAnsi="Arial" w:eastAsia="宋体" w:cs="Arial"/>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149BE6B4">
      <w:pPr>
        <w:pStyle w:val="5"/>
        <w:tabs>
          <w:tab w:val="left" w:pos="630"/>
          <w:tab w:val="right" w:leader="dot" w:pos="9628"/>
        </w:tabs>
        <w:rPr>
          <w:rFonts w:ascii="Arial" w:hAnsi="Arial" w:eastAsia="宋体" w:cs="Arial"/>
        </w:rPr>
      </w:pPr>
      <w:r>
        <w:fldChar w:fldCharType="begin"/>
      </w:r>
      <w:r>
        <w:instrText xml:space="preserve"> HYPERLINK \l "_Toc478059282" </w:instrText>
      </w:r>
      <w:r>
        <w:fldChar w:fldCharType="separate"/>
      </w:r>
      <w:r>
        <w:rPr>
          <w:rStyle w:val="8"/>
          <w:rFonts w:ascii="Arial" w:hAnsi="Arial" w:eastAsia="宋体" w:cs="Arial"/>
        </w:rPr>
        <w:t>10.</w:t>
      </w:r>
      <w:r>
        <w:rPr>
          <w:rFonts w:ascii="Arial" w:hAnsi="Arial" w:eastAsia="宋体" w:cs="Arial"/>
        </w:rPr>
        <w:tab/>
      </w:r>
      <w:r>
        <w:rPr>
          <w:rStyle w:val="8"/>
          <w:rFonts w:hint="eastAsia" w:ascii="Arial" w:hAnsi="Arial" w:eastAsia="宋体" w:cs="Arial"/>
        </w:rPr>
        <w:t>培训项目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1CB464E">
      <w:pPr>
        <w:pStyle w:val="5"/>
        <w:tabs>
          <w:tab w:val="left" w:pos="630"/>
          <w:tab w:val="right" w:leader="dot" w:pos="9628"/>
        </w:tabs>
        <w:rPr>
          <w:rFonts w:ascii="Arial" w:hAnsi="Arial" w:eastAsia="宋体" w:cs="Arial"/>
        </w:rPr>
      </w:pPr>
      <w:r>
        <w:fldChar w:fldCharType="begin"/>
      </w:r>
      <w:r>
        <w:instrText xml:space="preserve"> HYPERLINK \l "_Toc478059283" </w:instrText>
      </w:r>
      <w:r>
        <w:fldChar w:fldCharType="separate"/>
      </w:r>
      <w:r>
        <w:rPr>
          <w:rStyle w:val="8"/>
          <w:rFonts w:ascii="Arial" w:hAnsi="Arial" w:eastAsia="宋体" w:cs="Arial"/>
        </w:rPr>
        <w:t>11.</w:t>
      </w:r>
      <w:r>
        <w:rPr>
          <w:rFonts w:ascii="Arial" w:hAnsi="Arial" w:eastAsia="宋体" w:cs="Arial"/>
        </w:rPr>
        <w:tab/>
      </w:r>
      <w:r>
        <w:rPr>
          <w:rStyle w:val="8"/>
          <w:rFonts w:hint="eastAsia" w:ascii="Arial" w:hAnsi="Arial" w:eastAsia="宋体" w:cs="Arial"/>
        </w:rPr>
        <w:t>其他管理要求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3F0ED371">
      <w:pPr>
        <w:pStyle w:val="5"/>
        <w:tabs>
          <w:tab w:val="left" w:pos="630"/>
          <w:tab w:val="right" w:leader="dot" w:pos="9628"/>
        </w:tabs>
        <w:rPr>
          <w:rFonts w:ascii="Arial" w:hAnsi="Arial" w:eastAsia="宋体" w:cs="Arial"/>
        </w:rPr>
      </w:pPr>
      <w:r>
        <w:fldChar w:fldCharType="begin"/>
      </w:r>
      <w:r>
        <w:instrText xml:space="preserve"> HYPERLINK \l "_Toc478059284" </w:instrText>
      </w:r>
      <w:r>
        <w:fldChar w:fldCharType="separate"/>
      </w:r>
      <w:r>
        <w:rPr>
          <w:rStyle w:val="8"/>
          <w:rFonts w:ascii="Arial" w:hAnsi="Arial" w:eastAsia="宋体" w:cs="Arial"/>
        </w:rPr>
        <w:t>12.</w:t>
      </w:r>
      <w:r>
        <w:rPr>
          <w:rFonts w:ascii="Arial" w:hAnsi="Arial" w:eastAsia="宋体" w:cs="Arial"/>
        </w:rPr>
        <w:tab/>
      </w:r>
      <w:r>
        <w:rPr>
          <w:rStyle w:val="8"/>
          <w:rFonts w:hint="eastAsia" w:ascii="Arial" w:hAnsi="Arial" w:eastAsia="宋体" w:cs="Arial"/>
        </w:rPr>
        <w:t>器械修改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4E2970B3">
      <w:pPr>
        <w:pStyle w:val="5"/>
        <w:tabs>
          <w:tab w:val="left" w:pos="630"/>
          <w:tab w:val="right" w:leader="dot" w:pos="9628"/>
        </w:tabs>
        <w:rPr>
          <w:rFonts w:ascii="Arial" w:hAnsi="Arial" w:eastAsia="宋体" w:cs="Arial"/>
        </w:rPr>
      </w:pPr>
      <w:r>
        <w:fldChar w:fldCharType="begin"/>
      </w:r>
      <w:r>
        <w:instrText xml:space="preserve"> HYPERLINK \l "_Toc478059285" </w:instrText>
      </w:r>
      <w:r>
        <w:fldChar w:fldCharType="separate"/>
      </w:r>
      <w:r>
        <w:rPr>
          <w:rStyle w:val="8"/>
          <w:rFonts w:ascii="Arial" w:hAnsi="Arial" w:eastAsia="宋体" w:cs="Arial"/>
        </w:rPr>
        <w:t>13.</w:t>
      </w:r>
      <w:r>
        <w:rPr>
          <w:rFonts w:ascii="Arial" w:hAnsi="Arial" w:eastAsia="宋体" w:cs="Arial"/>
        </w:rPr>
        <w:tab/>
      </w:r>
      <w:r>
        <w:rPr>
          <w:rStyle w:val="8"/>
          <w:rFonts w:hint="eastAsia" w:ascii="Arial" w:hAnsi="Arial" w:eastAsia="宋体" w:cs="Arial"/>
        </w:rPr>
        <w:t>附录</w:t>
      </w:r>
      <w:r>
        <w:rPr>
          <w:rStyle w:val="8"/>
          <w:rFonts w:ascii="Arial" w:hAnsi="Arial" w:eastAsia="宋体" w:cs="Arial"/>
        </w:rPr>
        <w:t>1</w:t>
      </w:r>
      <w:r>
        <w:rPr>
          <w:rStyle w:val="8"/>
          <w:rFonts w:hint="eastAsia" w:ascii="Arial" w:hAnsi="Arial" w:eastAsia="宋体" w:cs="Arial"/>
        </w:rPr>
        <w:t>：</w:t>
      </w:r>
      <w:r>
        <w:rPr>
          <w:rStyle w:val="8"/>
          <w:rFonts w:ascii="Arial" w:hAnsi="Arial" w:eastAsia="宋体" w:cs="Arial"/>
        </w:rPr>
        <w:t>SWL</w:t>
      </w:r>
      <w:r>
        <w:rPr>
          <w:rStyle w:val="8"/>
          <w:rFonts w:hint="eastAsia" w:ascii="Arial" w:hAnsi="Arial" w:eastAsia="宋体" w:cs="Arial"/>
        </w:rPr>
        <w:t>规范表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_Toc478059285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14E7BA3D">
      <w:pPr>
        <w:pStyle w:val="5"/>
        <w:tabs>
          <w:tab w:val="left" w:pos="630"/>
          <w:tab w:val="right" w:leader="dot" w:pos="9628"/>
        </w:tabs>
        <w:rPr>
          <w:rFonts w:ascii="Arial" w:hAnsi="Arial" w:eastAsia="宋体" w:cs="Arial"/>
        </w:rPr>
      </w:pPr>
      <w:r>
        <w:fldChar w:fldCharType="begin"/>
      </w:r>
      <w:r>
        <w:instrText xml:space="preserve"> HYPERLINK \l "_Toc478059286" </w:instrText>
      </w:r>
      <w:r>
        <w:fldChar w:fldCharType="separate"/>
      </w:r>
      <w:r>
        <w:rPr>
          <w:rStyle w:val="8"/>
          <w:rFonts w:ascii="Arial" w:hAnsi="Arial" w:eastAsia="宋体" w:cs="Arial"/>
        </w:rPr>
        <w:t>14.</w:t>
      </w:r>
      <w:r>
        <w:rPr>
          <w:rFonts w:ascii="Arial" w:hAnsi="Arial" w:eastAsia="宋体" w:cs="Arial"/>
        </w:rPr>
        <w:tab/>
      </w:r>
      <w:r>
        <w:rPr>
          <w:rStyle w:val="8"/>
          <w:rFonts w:hint="eastAsia" w:ascii="Arial" w:hAnsi="Arial" w:eastAsia="宋体" w:cs="Arial"/>
        </w:rPr>
        <w:t>附录</w:t>
      </w:r>
      <w:r>
        <w:rPr>
          <w:rStyle w:val="8"/>
          <w:rFonts w:ascii="Arial" w:hAnsi="Arial" w:eastAsia="宋体" w:cs="Arial"/>
        </w:rPr>
        <w:t>2</w:t>
      </w:r>
      <w:r>
        <w:rPr>
          <w:rStyle w:val="8"/>
          <w:rFonts w:hint="eastAsia" w:ascii="Arial" w:hAnsi="Arial" w:eastAsia="宋体" w:cs="Arial"/>
        </w:rPr>
        <w:t>：</w:t>
      </w:r>
      <w:r>
        <w:rPr>
          <w:rStyle w:val="8"/>
          <w:rFonts w:ascii="Arial" w:hAnsi="Arial" w:eastAsia="宋体" w:cs="Arial"/>
        </w:rPr>
        <w:t>SWL</w:t>
      </w:r>
      <w:r>
        <w:rPr>
          <w:rStyle w:val="8"/>
          <w:rFonts w:hint="eastAsia" w:ascii="Arial" w:hAnsi="Arial" w:eastAsia="宋体" w:cs="Arial"/>
        </w:rPr>
        <w:t>标签模板</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_Toc478059286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65EA79F">
      <w:pPr>
        <w:widowControl/>
        <w:jc w:val="left"/>
        <w:rPr>
          <w:rFonts w:ascii="Arial" w:hAnsi="Arial" w:eastAsia="宋体" w:cs="Arial"/>
          <w:b/>
          <w:szCs w:val="21"/>
          <w:u w:val="single"/>
        </w:rPr>
      </w:pPr>
      <w:r>
        <w:rPr>
          <w:rFonts w:ascii="Arial" w:hAnsi="Arial" w:eastAsia="宋体" w:cs="Arial"/>
        </w:rPr>
        <w:fldChar w:fldCharType="end"/>
      </w:r>
      <w:r>
        <w:rPr>
          <w:rFonts w:ascii="Arial" w:hAnsi="Arial" w:eastAsia="宋体" w:cs="Arial"/>
        </w:rPr>
        <w:br w:type="page"/>
      </w:r>
    </w:p>
    <w:p w14:paraId="13D4FD52">
      <w:pPr>
        <w:snapToGrid w:val="0"/>
        <w:spacing w:line="300" w:lineRule="auto"/>
        <w:ind w:right="-6" w:rightChars="-3" w:firstLine="883"/>
        <w:jc w:val="center"/>
        <w:rPr>
          <w:rFonts w:ascii="Arial" w:hAnsi="Arial" w:eastAsia="宋体" w:cs="Arial"/>
          <w:b/>
          <w:sz w:val="44"/>
          <w:szCs w:val="44"/>
        </w:rPr>
      </w:pPr>
      <w:bookmarkStart w:id="4" w:name="OLE_LINK7"/>
      <w:bookmarkStart w:id="5" w:name="OLE_LINK8"/>
      <w:r>
        <w:rPr>
          <w:rFonts w:hint="eastAsia" w:ascii="Arial" w:hAnsi="Arial" w:eastAsia="宋体" w:cs="Arial"/>
          <w:b/>
          <w:sz w:val="44"/>
          <w:szCs w:val="44"/>
        </w:rPr>
        <w:t>肾脏、输尿管结石用</w:t>
      </w:r>
      <w:bookmarkEnd w:id="4"/>
      <w:bookmarkEnd w:id="5"/>
      <w:bookmarkStart w:id="6" w:name="OLE_LINK5"/>
      <w:bookmarkStart w:id="7" w:name="OLE_LINK6"/>
      <w:r>
        <w:rPr>
          <w:rFonts w:hint="eastAsia" w:ascii="Arial" w:hAnsi="Arial" w:eastAsia="宋体" w:cs="Arial"/>
          <w:b/>
          <w:sz w:val="44"/>
          <w:szCs w:val="44"/>
        </w:rPr>
        <w:t>体外冲击波碎石机</w:t>
      </w:r>
      <w:bookmarkEnd w:id="6"/>
      <w:bookmarkEnd w:id="7"/>
      <w:r>
        <w:rPr>
          <w:rFonts w:hint="eastAsia" w:ascii="Arial" w:hAnsi="Arial" w:eastAsia="宋体" w:cs="Arial"/>
          <w:b/>
          <w:sz w:val="44"/>
          <w:szCs w:val="44"/>
        </w:rPr>
        <w:t>上市前通告（</w:t>
      </w:r>
      <w:r>
        <w:rPr>
          <w:rFonts w:ascii="Arial" w:hAnsi="Arial" w:eastAsia="宋体" w:cs="Arial"/>
          <w:b/>
          <w:sz w:val="44"/>
          <w:szCs w:val="44"/>
        </w:rPr>
        <w:t>510</w:t>
      </w:r>
      <w:r>
        <w:rPr>
          <w:rFonts w:hint="eastAsia" w:ascii="Arial" w:hAnsi="Arial" w:eastAsia="宋体" w:cs="Arial"/>
          <w:b/>
          <w:sz w:val="44"/>
          <w:szCs w:val="44"/>
        </w:rPr>
        <w:t>（</w:t>
      </w:r>
      <w:r>
        <w:rPr>
          <w:rFonts w:ascii="Arial" w:hAnsi="Arial" w:eastAsia="宋体" w:cs="Arial"/>
          <w:b/>
          <w:sz w:val="44"/>
          <w:szCs w:val="44"/>
        </w:rPr>
        <w:t>k</w:t>
      </w:r>
      <w:r>
        <w:rPr>
          <w:rFonts w:hint="eastAsia" w:ascii="Arial" w:hAnsi="Arial" w:eastAsia="宋体" w:cs="Arial"/>
          <w:b/>
          <w:sz w:val="44"/>
          <w:szCs w:val="44"/>
        </w:rPr>
        <w:t>））内容指南</w:t>
      </w:r>
    </w:p>
    <w:p w14:paraId="589FA0B8">
      <w:pPr>
        <w:snapToGrid w:val="0"/>
        <w:spacing w:line="300" w:lineRule="auto"/>
        <w:ind w:right="-6" w:rightChars="-3"/>
        <w:rPr>
          <w:rFonts w:ascii="Arial" w:hAnsi="Arial" w:eastAsia="宋体" w:cs="Arial"/>
          <w:szCs w:val="21"/>
        </w:rPr>
      </w:pPr>
    </w:p>
    <w:p w14:paraId="16662F22">
      <w:pPr>
        <w:pStyle w:val="13"/>
        <w:spacing w:line="360" w:lineRule="auto"/>
        <w:ind w:left="0" w:firstLine="0"/>
      </w:pPr>
      <w:r>
        <w:t>引言</w:t>
      </w:r>
    </w:p>
    <w:p w14:paraId="61A283AF">
      <w:pPr>
        <w:pStyle w:val="9"/>
        <w:numPr>
          <w:ilvl w:val="1"/>
          <w:numId w:val="2"/>
        </w:numPr>
        <w:snapToGrid w:val="0"/>
        <w:spacing w:after="156" w:afterLines="50" w:line="360" w:lineRule="auto"/>
        <w:ind w:right="-6" w:rightChars="-3" w:firstLineChars="0"/>
        <w:rPr>
          <w:rFonts w:ascii="Arial" w:hAnsi="Arial" w:eastAsia="宋体" w:cs="Arial"/>
          <w:szCs w:val="21"/>
          <w:u w:val="single"/>
        </w:rPr>
      </w:pPr>
      <w:r>
        <w:rPr>
          <w:rFonts w:hint="eastAsia" w:ascii="Arial" w:hAnsi="Arial" w:eastAsia="宋体" w:cs="Arial"/>
          <w:szCs w:val="21"/>
          <w:u w:val="single"/>
        </w:rPr>
        <w:t>背景</w:t>
      </w:r>
    </w:p>
    <w:p w14:paraId="12694384">
      <w:pPr>
        <w:snapToGrid w:val="0"/>
        <w:spacing w:after="156" w:afterLines="50" w:line="360" w:lineRule="auto"/>
        <w:ind w:right="-6" w:rightChars="-3"/>
        <w:rPr>
          <w:rFonts w:ascii="Arial" w:hAnsi="Arial" w:eastAsia="宋体" w:cs="Arial"/>
          <w:szCs w:val="21"/>
        </w:rPr>
      </w:pPr>
      <w:r>
        <w:rPr>
          <w:rFonts w:hint="eastAsia" w:ascii="Arial" w:hAnsi="Arial" w:eastAsia="宋体" w:cs="Arial"/>
          <w:szCs w:val="21"/>
        </w:rPr>
        <w:t>本指南旨在明确上市前通告（</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））中提供给食品和药品监督管理局（</w:t>
      </w:r>
      <w:r>
        <w:rPr>
          <w:rFonts w:ascii="Arial" w:hAnsi="Arial" w:eastAsia="宋体" w:cs="Arial"/>
          <w:szCs w:val="21"/>
        </w:rPr>
        <w:t>FDA</w:t>
      </w:r>
      <w:r>
        <w:rPr>
          <w:rFonts w:hint="eastAsia" w:ascii="Arial" w:hAnsi="Arial" w:eastAsia="宋体" w:cs="Arial"/>
          <w:szCs w:val="21"/>
        </w:rPr>
        <w:t>）的信息以支持确定体外冲击波碎石机（</w:t>
      </w:r>
      <w:r>
        <w:rPr>
          <w:rFonts w:ascii="Arial" w:hAnsi="Arial" w:eastAsia="宋体" w:cs="Arial"/>
          <w:szCs w:val="21"/>
        </w:rPr>
        <w:t>SWL</w:t>
      </w:r>
      <w:r>
        <w:rPr>
          <w:rFonts w:hint="eastAsia" w:ascii="Arial" w:hAnsi="Arial" w:eastAsia="宋体" w:cs="Arial"/>
          <w:szCs w:val="21"/>
        </w:rPr>
        <w:t>）的实质等同性。</w:t>
      </w:r>
    </w:p>
    <w:p w14:paraId="5A264A30">
      <w:pPr>
        <w:pStyle w:val="9"/>
        <w:numPr>
          <w:ilvl w:val="1"/>
          <w:numId w:val="2"/>
        </w:numPr>
        <w:snapToGrid w:val="0"/>
        <w:spacing w:after="156" w:afterLines="50" w:line="360" w:lineRule="auto"/>
        <w:ind w:right="-6" w:rightChars="-3" w:firstLineChars="0"/>
        <w:rPr>
          <w:rFonts w:ascii="Arial" w:hAnsi="Arial" w:eastAsia="宋体" w:cs="Arial"/>
          <w:szCs w:val="21"/>
          <w:u w:val="single"/>
        </w:rPr>
      </w:pPr>
      <w:r>
        <w:rPr>
          <w:rFonts w:hint="eastAsia" w:ascii="Arial" w:hAnsi="Arial" w:eastAsia="宋体" w:cs="Arial"/>
          <w:szCs w:val="21"/>
          <w:u w:val="single"/>
        </w:rPr>
        <w:t>器械设计</w:t>
      </w:r>
      <w:r>
        <w:rPr>
          <w:rFonts w:ascii="Arial" w:hAnsi="Arial" w:eastAsia="宋体" w:cs="Arial"/>
          <w:szCs w:val="21"/>
          <w:u w:val="single"/>
        </w:rPr>
        <w:t>/</w:t>
      </w:r>
      <w:r>
        <w:rPr>
          <w:rFonts w:hint="eastAsia" w:ascii="Arial" w:hAnsi="Arial" w:eastAsia="宋体" w:cs="Arial"/>
          <w:szCs w:val="21"/>
          <w:u w:val="single"/>
        </w:rPr>
        <w:t>操作原则</w:t>
      </w:r>
    </w:p>
    <w:p w14:paraId="15DDC900">
      <w:pPr>
        <w:snapToGrid w:val="0"/>
        <w:spacing w:after="156" w:afterLines="50" w:line="36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系统将超声波集中于人体，通过非侵入式方法将尿路结石（例如肾和输尿管结石）分裂成碎片。</w:t>
      </w:r>
      <w:r>
        <w:rPr>
          <w:rFonts w:ascii="Arial" w:hAnsi="Arial" w:eastAsia="宋体" w:cs="Arial"/>
          <w:szCs w:val="21"/>
        </w:rPr>
        <w:t>SWL</w:t>
      </w:r>
      <w:r>
        <w:rPr>
          <w:rFonts w:hint="eastAsia" w:ascii="Arial" w:hAnsi="Arial" w:eastAsia="宋体" w:cs="Arial"/>
          <w:szCs w:val="21"/>
        </w:rPr>
        <w:t>系统由超声波发生器、高压发生器、控制台、成像</w:t>
      </w:r>
      <w:r>
        <w:rPr>
          <w:rFonts w:ascii="Arial" w:hAnsi="Arial" w:eastAsia="宋体" w:cs="Arial"/>
          <w:szCs w:val="21"/>
        </w:rPr>
        <w:t>/</w:t>
      </w:r>
      <w:r>
        <w:rPr>
          <w:rFonts w:hint="eastAsia" w:ascii="Arial" w:hAnsi="Arial" w:eastAsia="宋体" w:cs="Arial"/>
          <w:szCs w:val="21"/>
        </w:rPr>
        <w:t>定位系统以及病床组成。治疗前，使用集成的或独立的定位</w:t>
      </w:r>
      <w:r>
        <w:rPr>
          <w:rFonts w:ascii="Arial" w:hAnsi="Arial" w:eastAsia="宋体" w:cs="Arial"/>
          <w:szCs w:val="21"/>
        </w:rPr>
        <w:t>/</w:t>
      </w:r>
      <w:r>
        <w:rPr>
          <w:rFonts w:hint="eastAsia" w:ascii="Arial" w:hAnsi="Arial" w:eastAsia="宋体" w:cs="Arial"/>
          <w:szCs w:val="21"/>
        </w:rPr>
        <w:t>成像系统对结石进行定位。超声波产生的方法主要有以下三种：（</w:t>
      </w:r>
      <w:r>
        <w:rPr>
          <w:rFonts w:ascii="Arial" w:hAnsi="Arial" w:eastAsia="宋体" w:cs="Arial"/>
          <w:szCs w:val="21"/>
        </w:rPr>
        <w:t>1</w:t>
      </w:r>
      <w:r>
        <w:rPr>
          <w:rFonts w:hint="eastAsia" w:ascii="Arial" w:hAnsi="Arial" w:eastAsia="宋体" w:cs="Arial"/>
          <w:szCs w:val="21"/>
        </w:rPr>
        <w:t>）</w:t>
      </w:r>
      <w:bookmarkStart w:id="8" w:name="OLE_LINK23"/>
      <w:bookmarkStart w:id="9" w:name="OLE_LINK24"/>
      <w:r>
        <w:rPr>
          <w:rFonts w:hint="eastAsia" w:ascii="Arial" w:hAnsi="Arial" w:eastAsia="宋体" w:cs="Arial"/>
          <w:szCs w:val="21"/>
        </w:rPr>
        <w:t>静电火花放电（火化间隙），（</w:t>
      </w:r>
      <w:r>
        <w:rPr>
          <w:rFonts w:ascii="Arial" w:hAnsi="Arial" w:eastAsia="宋体" w:cs="Arial"/>
          <w:szCs w:val="21"/>
        </w:rPr>
        <w:t>2</w:t>
      </w:r>
      <w:r>
        <w:rPr>
          <w:rFonts w:hint="eastAsia" w:ascii="Arial" w:hAnsi="Arial" w:eastAsia="宋体" w:cs="Arial"/>
          <w:szCs w:val="21"/>
        </w:rPr>
        <w:t>）电磁排斥膜，或（</w:t>
      </w:r>
      <w:r>
        <w:rPr>
          <w:rFonts w:ascii="Arial" w:hAnsi="Arial" w:eastAsia="宋体" w:cs="Arial"/>
          <w:szCs w:val="21"/>
        </w:rPr>
        <w:t>3</w:t>
      </w:r>
      <w:r>
        <w:rPr>
          <w:rFonts w:hint="eastAsia" w:ascii="Arial" w:hAnsi="Arial" w:eastAsia="宋体" w:cs="Arial"/>
          <w:szCs w:val="21"/>
        </w:rPr>
        <w:t>）压电晶片阵列</w:t>
      </w:r>
      <w:bookmarkEnd w:id="8"/>
      <w:bookmarkEnd w:id="9"/>
      <w:r>
        <w:rPr>
          <w:rFonts w:hint="eastAsia" w:ascii="Arial" w:hAnsi="Arial" w:eastAsia="宋体" w:cs="Arial"/>
          <w:szCs w:val="21"/>
        </w:rPr>
        <w:t>。超声波通过特制的反射器</w:t>
      </w:r>
      <w:r>
        <w:rPr>
          <w:rFonts w:ascii="Arial" w:hAnsi="Arial" w:eastAsia="宋体" w:cs="Arial"/>
          <w:szCs w:val="21"/>
        </w:rPr>
        <w:t>/</w:t>
      </w:r>
      <w:r>
        <w:rPr>
          <w:rFonts w:hint="eastAsia" w:ascii="Arial" w:hAnsi="Arial" w:eastAsia="宋体" w:cs="Arial"/>
          <w:szCs w:val="21"/>
        </w:rPr>
        <w:t>反射盘或声透镜集中于结石上。超声波由超声波发生器在水下产生，通过充满水的橡胶缓冲垫或者将患者皮肤与水直接接触的方式传递到患者身体。聚焦的超声波粉碎结石后，碎石通过患者泌尿系统排出体外。</w:t>
      </w:r>
    </w:p>
    <w:p w14:paraId="5B42DFE4">
      <w:pPr>
        <w:snapToGrid w:val="0"/>
        <w:spacing w:after="156" w:afterLines="50" w:line="36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分为固定、可移动和半固定三种配置。固定系统用于单一保健设施。可移动器械被永久性封装在一个可移动的挂车内，作为一个可移动的碎石机套装，可以在不同的手术地点进行移动。半固定型器械也可以在不同地点间进行运输，但在对患者进行治疗时需要在医疗机构进行卸载和安装。</w:t>
      </w:r>
    </w:p>
    <w:p w14:paraId="04A33CD3">
      <w:pPr>
        <w:widowControl/>
        <w:spacing w:line="360" w:lineRule="auto"/>
        <w:jc w:val="left"/>
        <w:rPr>
          <w:rFonts w:hint="eastAsia" w:ascii="Arial" w:hAnsi="Arial" w:eastAsia="宋体" w:cs="Arial"/>
          <w:szCs w:val="21"/>
        </w:rPr>
      </w:pPr>
    </w:p>
    <w:p w14:paraId="0E985FA8">
      <w:pPr>
        <w:widowControl/>
        <w:spacing w:line="360" w:lineRule="auto"/>
        <w:jc w:val="left"/>
        <w:rPr>
          <w:rFonts w:hint="eastAsia" w:ascii="Arial" w:hAnsi="Arial" w:eastAsia="宋体" w:cs="Arial"/>
          <w:szCs w:val="21"/>
        </w:rPr>
      </w:pPr>
    </w:p>
    <w:p w14:paraId="71857212">
      <w:pPr>
        <w:widowControl/>
        <w:spacing w:line="360" w:lineRule="auto"/>
        <w:jc w:val="left"/>
        <w:rPr>
          <w:rFonts w:hint="eastAsia" w:ascii="Arial" w:hAnsi="Arial" w:eastAsia="宋体" w:cs="Arial"/>
          <w:szCs w:val="21"/>
        </w:rPr>
      </w:pPr>
    </w:p>
    <w:p w14:paraId="3BD2F1FD">
      <w:pPr>
        <w:widowControl/>
        <w:spacing w:line="360" w:lineRule="auto"/>
        <w:jc w:val="left"/>
        <w:rPr>
          <w:rFonts w:hint="eastAsia" w:ascii="Arial" w:hAnsi="Arial" w:eastAsia="宋体" w:cs="Arial"/>
          <w:szCs w:val="21"/>
        </w:rPr>
      </w:pPr>
    </w:p>
    <w:p w14:paraId="16CAE93D">
      <w:pPr>
        <w:widowControl/>
        <w:spacing w:line="360" w:lineRule="auto"/>
        <w:jc w:val="left"/>
        <w:rPr>
          <w:rFonts w:hint="eastAsia" w:ascii="Arial" w:hAnsi="Arial" w:eastAsia="宋体" w:cs="Arial"/>
          <w:szCs w:val="21"/>
        </w:rPr>
      </w:pPr>
    </w:p>
    <w:p w14:paraId="03D2B305">
      <w:pPr>
        <w:widowControl/>
        <w:spacing w:line="360" w:lineRule="auto"/>
        <w:jc w:val="left"/>
        <w:rPr>
          <w:rFonts w:hint="eastAsia" w:ascii="Arial" w:hAnsi="Arial" w:eastAsia="宋体" w:cs="Arial"/>
          <w:szCs w:val="21"/>
        </w:rPr>
      </w:pPr>
    </w:p>
    <w:p w14:paraId="742A23D0">
      <w:pPr>
        <w:widowControl/>
        <w:spacing w:line="360" w:lineRule="auto"/>
        <w:jc w:val="left"/>
        <w:rPr>
          <w:rFonts w:ascii="Arial" w:hAnsi="Arial" w:eastAsia="宋体" w:cs="Arial"/>
          <w:sz w:val="18"/>
          <w:szCs w:val="18"/>
          <w:vertAlign w:val="superscript"/>
        </w:rPr>
      </w:pPr>
    </w:p>
    <w:tbl>
      <w:tblPr>
        <w:tblStyle w:val="6"/>
        <w:tblW w:w="0" w:type="auto"/>
        <w:tblInd w:w="11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3"/>
      </w:tblGrid>
      <w:tr w14:paraId="1CC6988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143" w:type="dxa"/>
          </w:tcPr>
          <w:p w14:paraId="5E057520">
            <w:pPr>
              <w:widowControl/>
              <w:spacing w:line="360" w:lineRule="auto"/>
              <w:jc w:val="left"/>
              <w:rPr>
                <w:rFonts w:hint="eastAsia" w:ascii="Arial" w:hAnsi="Arial" w:eastAsia="宋体" w:cs="Arial"/>
                <w:sz w:val="18"/>
                <w:szCs w:val="18"/>
                <w:vertAlign w:val="superscript"/>
              </w:rPr>
            </w:pPr>
          </w:p>
        </w:tc>
      </w:tr>
    </w:tbl>
    <w:p w14:paraId="19F45747">
      <w:pPr>
        <w:widowControl/>
        <w:spacing w:line="360" w:lineRule="auto"/>
        <w:jc w:val="left"/>
        <w:rPr>
          <w:rFonts w:ascii="Arial" w:hAnsi="Arial" w:eastAsia="宋体" w:cs="Arial"/>
          <w:sz w:val="18"/>
          <w:szCs w:val="18"/>
        </w:rPr>
      </w:pPr>
      <w:r>
        <w:rPr>
          <w:rFonts w:hint="eastAsia" w:ascii="Arial" w:hAnsi="Arial" w:eastAsia="宋体" w:cs="Arial"/>
          <w:sz w:val="18"/>
          <w:szCs w:val="18"/>
          <w:vertAlign w:val="superscript"/>
        </w:rPr>
        <w:t>1</w:t>
      </w:r>
      <w:r>
        <w:rPr>
          <w:rFonts w:hint="eastAsia" w:ascii="Arial" w:hAnsi="Arial" w:eastAsia="宋体" w:cs="Arial"/>
          <w:sz w:val="18"/>
          <w:szCs w:val="18"/>
        </w:rPr>
        <w:t>本文件预期用于提供指导。代表机构对以上内容的最新观点。其不为任何人创造或赋予任何权利，也不会对</w:t>
      </w:r>
      <w:r>
        <w:rPr>
          <w:rFonts w:ascii="Arial" w:hAnsi="Arial" w:eastAsia="宋体" w:cs="Arial"/>
          <w:sz w:val="18"/>
          <w:szCs w:val="18"/>
        </w:rPr>
        <w:t>FDA或公众具有约束力。</w:t>
      </w:r>
      <w:r>
        <w:rPr>
          <w:rFonts w:hint="eastAsia" w:ascii="Arial" w:hAnsi="Arial" w:eastAsia="宋体" w:cs="Arial"/>
          <w:sz w:val="18"/>
          <w:szCs w:val="18"/>
        </w:rPr>
        <w:t>如果此方法满足适用的法规、规程的要求，则可使用其他方法。本指南应在下一版本中更新，以包括</w:t>
      </w:r>
      <w:r>
        <w:rPr>
          <w:rFonts w:ascii="Arial" w:hAnsi="Arial" w:eastAsia="宋体" w:cs="Arial"/>
          <w:sz w:val="18"/>
          <w:szCs w:val="18"/>
        </w:rPr>
        <w:t>GGP的标准要素。</w:t>
      </w:r>
    </w:p>
    <w:p w14:paraId="29022550">
      <w:pPr>
        <w:widowControl/>
        <w:jc w:val="left"/>
        <w:rPr>
          <w:rFonts w:ascii="Arial" w:hAnsi="Arial" w:eastAsia="宋体" w:cs="Arial"/>
          <w:szCs w:val="21"/>
        </w:rPr>
      </w:pPr>
      <w:r>
        <w:rPr>
          <w:rFonts w:ascii="Arial" w:hAnsi="Arial" w:eastAsia="宋体" w:cs="Arial"/>
          <w:szCs w:val="21"/>
        </w:rPr>
        <w:br w:type="page"/>
      </w:r>
    </w:p>
    <w:p w14:paraId="676C5DC4">
      <w:pPr>
        <w:snapToGrid w:val="0"/>
        <w:spacing w:after="156" w:afterLines="50" w:line="300" w:lineRule="auto"/>
        <w:ind w:right="-6" w:rightChars="-3"/>
        <w:rPr>
          <w:rFonts w:ascii="Arial" w:hAnsi="Arial" w:eastAsia="宋体" w:cs="Arial"/>
          <w:szCs w:val="21"/>
        </w:rPr>
      </w:pPr>
    </w:p>
    <w:p w14:paraId="7B1AF2E9">
      <w:pPr>
        <w:pStyle w:val="9"/>
        <w:numPr>
          <w:ilvl w:val="1"/>
          <w:numId w:val="2"/>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监管历史</w:t>
      </w:r>
    </w:p>
    <w:p w14:paraId="27A60E89">
      <w:pPr>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器械为修订后器械，因此联邦食品、药品和化妆品法案的</w:t>
      </w:r>
      <w:r>
        <w:rPr>
          <w:rFonts w:ascii="Arial" w:hAnsi="Arial" w:eastAsia="宋体" w:cs="Arial"/>
          <w:szCs w:val="21"/>
        </w:rPr>
        <w:t>513</w:t>
      </w:r>
      <w:r>
        <w:rPr>
          <w:rFonts w:hint="eastAsia" w:ascii="Arial" w:hAnsi="Arial" w:eastAsia="宋体" w:cs="Arial"/>
          <w:szCs w:val="21"/>
        </w:rPr>
        <w:t>（</w:t>
      </w:r>
      <w:r>
        <w:rPr>
          <w:rFonts w:ascii="Arial" w:hAnsi="Arial" w:eastAsia="宋体" w:cs="Arial"/>
          <w:szCs w:val="21"/>
        </w:rPr>
        <w:t>f</w:t>
      </w:r>
      <w:r>
        <w:rPr>
          <w:rFonts w:hint="eastAsia" w:ascii="Arial" w:hAnsi="Arial" w:eastAsia="宋体" w:cs="Arial"/>
          <w:szCs w:val="21"/>
        </w:rPr>
        <w:t>）部分最初将其归为</w:t>
      </w:r>
      <w:r>
        <w:rPr>
          <w:rFonts w:ascii="Arial" w:hAnsi="Arial" w:eastAsia="宋体" w:cs="Arial"/>
          <w:szCs w:val="21"/>
        </w:rPr>
        <w:t>III</w:t>
      </w:r>
      <w:r>
        <w:rPr>
          <w:rFonts w:hint="eastAsia" w:ascii="Arial" w:hAnsi="Arial" w:eastAsia="宋体" w:cs="Arial"/>
          <w:szCs w:val="21"/>
        </w:rPr>
        <w:t>类。在</w:t>
      </w:r>
      <w:r>
        <w:rPr>
          <w:rFonts w:ascii="Arial" w:hAnsi="Arial" w:eastAsia="宋体" w:cs="Arial"/>
          <w:szCs w:val="21"/>
        </w:rPr>
        <w:t>【</w:t>
      </w:r>
      <w:r>
        <w:rPr>
          <w:rFonts w:hint="eastAsia" w:ascii="Arial" w:hAnsi="Arial" w:eastAsia="宋体" w:cs="Arial"/>
          <w:szCs w:val="21"/>
        </w:rPr>
        <w:t>时间</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FDA</w:t>
      </w:r>
      <w:r>
        <w:rPr>
          <w:rFonts w:hint="eastAsia" w:ascii="Arial" w:hAnsi="Arial" w:eastAsia="宋体" w:cs="Arial"/>
          <w:szCs w:val="21"/>
        </w:rPr>
        <w:t>在联邦公报中最终将</w:t>
      </w:r>
      <w:r>
        <w:rPr>
          <w:rFonts w:ascii="Arial" w:hAnsi="Arial" w:eastAsia="宋体" w:cs="Arial"/>
          <w:szCs w:val="21"/>
        </w:rPr>
        <w:t>SWL</w:t>
      </w:r>
      <w:r>
        <w:rPr>
          <w:rFonts w:hint="eastAsia" w:ascii="Arial" w:hAnsi="Arial" w:eastAsia="宋体" w:cs="Arial"/>
          <w:szCs w:val="21"/>
        </w:rPr>
        <w:t>器械归为</w:t>
      </w:r>
      <w:r>
        <w:rPr>
          <w:rFonts w:ascii="Arial" w:hAnsi="Arial" w:eastAsia="宋体" w:cs="Arial"/>
          <w:szCs w:val="21"/>
        </w:rPr>
        <w:t>II</w:t>
      </w:r>
      <w:r>
        <w:rPr>
          <w:rFonts w:hint="eastAsia" w:ascii="Arial" w:hAnsi="Arial" w:eastAsia="宋体" w:cs="Arial"/>
          <w:szCs w:val="21"/>
        </w:rPr>
        <w:t>类（</w:t>
      </w:r>
      <w:r>
        <w:rPr>
          <w:rFonts w:ascii="Arial" w:hAnsi="Arial" w:eastAsia="宋体" w:cs="Arial"/>
          <w:szCs w:val="21"/>
        </w:rPr>
        <w:t>XX FR XXXXX</w:t>
      </w:r>
      <w:r>
        <w:rPr>
          <w:rFonts w:hint="eastAsia" w:ascii="Arial" w:hAnsi="Arial" w:eastAsia="宋体" w:cs="Arial"/>
          <w:szCs w:val="21"/>
        </w:rPr>
        <w:t>）。</w:t>
      </w:r>
    </w:p>
    <w:p w14:paraId="2F703C31">
      <w:pPr>
        <w:pStyle w:val="9"/>
        <w:numPr>
          <w:ilvl w:val="1"/>
          <w:numId w:val="2"/>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未包含的器械</w:t>
      </w:r>
    </w:p>
    <w:p w14:paraId="05755EF1">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本指南文件仅对应肾脏、输尿管部的泌尿系统结石用的</w:t>
      </w:r>
      <w:r>
        <w:rPr>
          <w:rFonts w:ascii="Arial" w:hAnsi="Arial" w:eastAsia="宋体" w:cs="Arial"/>
          <w:szCs w:val="21"/>
        </w:rPr>
        <w:t>SWL</w:t>
      </w:r>
      <w:r>
        <w:rPr>
          <w:rFonts w:hint="eastAsia" w:ascii="Arial" w:hAnsi="Arial" w:eastAsia="宋体" w:cs="Arial"/>
          <w:szCs w:val="21"/>
        </w:rPr>
        <w:t>器械。用于其它预期使用的器械，如胆管</w:t>
      </w:r>
      <w:r>
        <w:rPr>
          <w:rFonts w:ascii="Arial" w:hAnsi="Arial" w:eastAsia="宋体" w:cs="Arial"/>
          <w:szCs w:val="21"/>
        </w:rPr>
        <w:t>/</w:t>
      </w:r>
      <w:r>
        <w:rPr>
          <w:rFonts w:hint="eastAsia" w:ascii="Arial" w:hAnsi="Arial" w:eastAsia="宋体" w:cs="Arial"/>
          <w:szCs w:val="21"/>
        </w:rPr>
        <w:t>胆囊结石碎石机或骨科碎石机目前为</w:t>
      </w:r>
      <w:r>
        <w:rPr>
          <w:rFonts w:ascii="Arial" w:hAnsi="Arial" w:eastAsia="宋体" w:cs="Arial"/>
          <w:szCs w:val="21"/>
        </w:rPr>
        <w:t>III</w:t>
      </w:r>
      <w:r>
        <w:rPr>
          <w:rFonts w:hint="eastAsia" w:ascii="Arial" w:hAnsi="Arial" w:eastAsia="宋体" w:cs="Arial"/>
          <w:szCs w:val="21"/>
        </w:rPr>
        <w:t>类器械，不在本指南范围内。</w:t>
      </w:r>
    </w:p>
    <w:p w14:paraId="155570B6">
      <w:pPr>
        <w:pStyle w:val="9"/>
        <w:numPr>
          <w:ilvl w:val="1"/>
          <w:numId w:val="2"/>
        </w:numPr>
        <w:snapToGrid w:val="0"/>
        <w:spacing w:after="156" w:afterLines="50" w:line="300" w:lineRule="auto"/>
        <w:ind w:right="-6" w:rightChars="-3" w:firstLineChars="0"/>
        <w:jc w:val="left"/>
        <w:rPr>
          <w:rFonts w:ascii="Arial" w:hAnsi="Arial" w:eastAsia="宋体" w:cs="Arial"/>
          <w:szCs w:val="21"/>
          <w:u w:val="single"/>
        </w:rPr>
      </w:pPr>
      <w:r>
        <w:rPr>
          <w:rFonts w:hint="eastAsia" w:ascii="Arial" w:hAnsi="Arial" w:eastAsia="宋体" w:cs="Arial"/>
          <w:szCs w:val="21"/>
          <w:u w:val="single"/>
        </w:rPr>
        <w:t>其他信息源</w:t>
      </w:r>
    </w:p>
    <w:p w14:paraId="6B2D9999">
      <w:pPr>
        <w:snapToGrid w:val="0"/>
        <w:spacing w:after="156" w:afterLines="50" w:line="300" w:lineRule="auto"/>
        <w:ind w:right="-6" w:rightChars="-3"/>
        <w:jc w:val="left"/>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）所需要信息的通用指南可以从医疗器械和放射健康中心的小型制造商援助司（</w:t>
      </w:r>
      <w:r>
        <w:rPr>
          <w:rFonts w:ascii="Arial" w:hAnsi="Arial" w:eastAsia="宋体" w:cs="Arial"/>
          <w:szCs w:val="21"/>
        </w:rPr>
        <w:t>DSMA</w:t>
      </w:r>
      <w:r>
        <w:rPr>
          <w:rFonts w:hint="eastAsia" w:ascii="Arial" w:hAnsi="Arial" w:eastAsia="宋体" w:cs="Arial"/>
          <w:szCs w:val="21"/>
        </w:rPr>
        <w:t>）获取，联系电话：（</w:t>
      </w:r>
      <w:r>
        <w:rPr>
          <w:rFonts w:ascii="Arial" w:hAnsi="Arial" w:eastAsia="宋体" w:cs="Arial"/>
          <w:szCs w:val="21"/>
        </w:rPr>
        <w:t>800</w:t>
      </w:r>
      <w:r>
        <w:rPr>
          <w:rFonts w:hint="eastAsia" w:ascii="Arial" w:hAnsi="Arial" w:eastAsia="宋体" w:cs="Arial"/>
          <w:szCs w:val="21"/>
        </w:rPr>
        <w:t>）</w:t>
      </w:r>
      <w:r>
        <w:rPr>
          <w:rFonts w:ascii="Arial" w:hAnsi="Arial" w:eastAsia="宋体" w:cs="Arial"/>
          <w:szCs w:val="21"/>
        </w:rPr>
        <w:t>628-2041</w:t>
      </w:r>
      <w:r>
        <w:rPr>
          <w:rFonts w:hint="eastAsia" w:ascii="Arial" w:hAnsi="Arial" w:eastAsia="宋体" w:cs="Arial"/>
          <w:szCs w:val="21"/>
        </w:rPr>
        <w:t>或（</w:t>
      </w:r>
      <w:r>
        <w:rPr>
          <w:rFonts w:ascii="Arial" w:hAnsi="Arial" w:eastAsia="宋体" w:cs="Arial"/>
          <w:szCs w:val="21"/>
        </w:rPr>
        <w:t>201</w:t>
      </w:r>
      <w:r>
        <w:rPr>
          <w:rFonts w:hint="eastAsia" w:ascii="Arial" w:hAnsi="Arial" w:eastAsia="宋体" w:cs="Arial"/>
          <w:szCs w:val="21"/>
        </w:rPr>
        <w:t>）</w:t>
      </w:r>
      <w:r>
        <w:rPr>
          <w:rFonts w:ascii="Arial" w:hAnsi="Arial" w:eastAsia="宋体" w:cs="Arial"/>
          <w:szCs w:val="21"/>
        </w:rPr>
        <w:t>443-6597</w:t>
      </w:r>
      <w:r>
        <w:rPr>
          <w:rFonts w:hint="eastAsia" w:ascii="Arial" w:hAnsi="Arial" w:eastAsia="宋体" w:cs="Arial"/>
          <w:szCs w:val="21"/>
        </w:rPr>
        <w:t>，也可以从网络下载（</w:t>
      </w:r>
      <w:r>
        <w:rPr>
          <w:rFonts w:ascii="Arial" w:hAnsi="Arial" w:eastAsia="宋体" w:cs="Arial"/>
          <w:i/>
          <w:szCs w:val="21"/>
        </w:rPr>
        <w:t>http://www.fda.gov/cdrh/dsma/dsmamain.html#contents</w:t>
      </w:r>
      <w:r>
        <w:rPr>
          <w:rFonts w:hint="eastAsia" w:ascii="Arial" w:hAnsi="Arial" w:eastAsia="宋体" w:cs="Arial"/>
          <w:szCs w:val="21"/>
        </w:rPr>
        <w:t>）。</w:t>
      </w:r>
    </w:p>
    <w:p w14:paraId="601D199F">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如需进一步信息请联系</w:t>
      </w:r>
      <w:r>
        <w:rPr>
          <w:rFonts w:ascii="Arial" w:hAnsi="Arial" w:eastAsia="宋体" w:cs="Arial"/>
          <w:szCs w:val="21"/>
        </w:rPr>
        <w:t>DSMA</w:t>
      </w:r>
      <w:r>
        <w:rPr>
          <w:rFonts w:hint="eastAsia" w:ascii="Arial" w:hAnsi="Arial" w:eastAsia="宋体" w:cs="Arial"/>
          <w:szCs w:val="21"/>
        </w:rPr>
        <w:t>或：</w:t>
      </w:r>
    </w:p>
    <w:p w14:paraId="28B24C43">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泌尿和碎石器械科（</w:t>
      </w:r>
      <w:r>
        <w:rPr>
          <w:rFonts w:ascii="Arial" w:hAnsi="Arial" w:eastAsia="宋体" w:cs="Arial"/>
          <w:szCs w:val="21"/>
        </w:rPr>
        <w:t>ULDB</w:t>
      </w:r>
      <w:r>
        <w:rPr>
          <w:rFonts w:hint="eastAsia" w:ascii="Arial" w:hAnsi="Arial" w:eastAsia="宋体" w:cs="Arial"/>
          <w:szCs w:val="21"/>
        </w:rPr>
        <w:t>）</w:t>
      </w:r>
    </w:p>
    <w:p w14:paraId="3EC0E533">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生殖、腹部与耳鼻喉与放射器械司</w:t>
      </w:r>
    </w:p>
    <w:p w14:paraId="557E9B83">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医疗器械与放射健康中心</w:t>
      </w:r>
    </w:p>
    <w:p w14:paraId="3A50EF66">
      <w:pPr>
        <w:snapToGrid w:val="0"/>
        <w:spacing w:after="156" w:afterLines="50" w:line="300" w:lineRule="auto"/>
        <w:ind w:right="-6" w:rightChars="-3" w:firstLine="852" w:firstLineChars="406"/>
        <w:rPr>
          <w:rFonts w:ascii="Arial" w:hAnsi="Arial" w:eastAsia="宋体" w:cs="Arial"/>
          <w:szCs w:val="21"/>
        </w:rPr>
      </w:pPr>
      <w:r>
        <w:rPr>
          <w:rFonts w:ascii="Arial" w:hAnsi="Arial" w:eastAsia="宋体" w:cs="Arial"/>
          <w:kern w:val="0"/>
          <w:szCs w:val="21"/>
        </w:rPr>
        <w:t>9200 Corporate Boulevard (HFZ-470)</w:t>
      </w:r>
    </w:p>
    <w:p w14:paraId="32E6C258">
      <w:pPr>
        <w:snapToGrid w:val="0"/>
        <w:spacing w:after="156" w:afterLines="50" w:line="300" w:lineRule="auto"/>
        <w:ind w:right="-6" w:rightChars="-3" w:firstLine="852" w:firstLineChars="406"/>
        <w:rPr>
          <w:rFonts w:ascii="Arial" w:hAnsi="Arial" w:eastAsia="宋体" w:cs="Arial"/>
          <w:kern w:val="0"/>
          <w:szCs w:val="21"/>
        </w:rPr>
      </w:pPr>
      <w:r>
        <w:rPr>
          <w:rFonts w:ascii="Arial" w:hAnsi="Arial" w:eastAsia="宋体" w:cs="Arial"/>
          <w:kern w:val="0"/>
          <w:szCs w:val="21"/>
        </w:rPr>
        <w:t>Rockville, Maryland 20850</w:t>
      </w:r>
    </w:p>
    <w:p w14:paraId="4E947A37">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电话：（</w:t>
      </w:r>
      <w:r>
        <w:rPr>
          <w:rFonts w:ascii="Arial" w:hAnsi="Arial" w:eastAsia="宋体" w:cs="Arial"/>
          <w:szCs w:val="21"/>
        </w:rPr>
        <w:t>301</w:t>
      </w:r>
      <w:r>
        <w:rPr>
          <w:rFonts w:hint="eastAsia" w:ascii="Arial" w:hAnsi="Arial" w:eastAsia="宋体" w:cs="Arial"/>
          <w:szCs w:val="21"/>
        </w:rPr>
        <w:t>）</w:t>
      </w:r>
      <w:r>
        <w:rPr>
          <w:rFonts w:ascii="Arial" w:hAnsi="Arial" w:eastAsia="宋体" w:cs="Arial"/>
          <w:szCs w:val="21"/>
        </w:rPr>
        <w:t>594-2194</w:t>
      </w:r>
    </w:p>
    <w:p w14:paraId="15C69BCC">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传真：（</w:t>
      </w:r>
      <w:r>
        <w:rPr>
          <w:rFonts w:ascii="Arial" w:hAnsi="Arial" w:eastAsia="宋体" w:cs="Arial"/>
          <w:szCs w:val="21"/>
        </w:rPr>
        <w:t>301</w:t>
      </w:r>
      <w:r>
        <w:rPr>
          <w:rFonts w:hint="eastAsia" w:ascii="Arial" w:hAnsi="Arial" w:eastAsia="宋体" w:cs="Arial"/>
          <w:szCs w:val="21"/>
        </w:rPr>
        <w:t>）</w:t>
      </w:r>
      <w:r>
        <w:rPr>
          <w:rFonts w:ascii="Arial" w:hAnsi="Arial" w:eastAsia="宋体" w:cs="Arial"/>
          <w:szCs w:val="21"/>
        </w:rPr>
        <w:t>594-2339</w:t>
      </w:r>
    </w:p>
    <w:p w14:paraId="1CE03744">
      <w:pPr>
        <w:pStyle w:val="9"/>
        <w:numPr>
          <w:ilvl w:val="0"/>
          <w:numId w:val="1"/>
        </w:numPr>
        <w:snapToGrid w:val="0"/>
        <w:spacing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申办方</w:t>
      </w:r>
      <w:r>
        <w:rPr>
          <w:rFonts w:ascii="Arial" w:hAnsi="Arial" w:eastAsia="宋体" w:cs="Arial"/>
          <w:b/>
          <w:szCs w:val="21"/>
          <w:u w:val="single"/>
        </w:rPr>
        <w:t>/</w:t>
      </w:r>
      <w:r>
        <w:rPr>
          <w:rFonts w:hint="eastAsia" w:ascii="Arial" w:hAnsi="Arial" w:eastAsia="宋体" w:cs="Arial"/>
          <w:b/>
          <w:szCs w:val="21"/>
          <w:u w:val="single"/>
        </w:rPr>
        <w:t>器械标识</w:t>
      </w:r>
    </w:p>
    <w:p w14:paraId="6034FA30">
      <w:pPr>
        <w:snapToGrid w:val="0"/>
        <w:spacing w:after="156" w:afterLines="50" w:line="300" w:lineRule="auto"/>
        <w:ind w:right="-6" w:rightChars="-3"/>
        <w:rPr>
          <w:rFonts w:ascii="Arial" w:hAnsi="Arial" w:eastAsia="宋体" w:cs="Arial"/>
          <w:szCs w:val="21"/>
        </w:rPr>
      </w:pPr>
      <w:r>
        <w:rPr>
          <w:rFonts w:ascii="Arial" w:hAnsi="Arial" w:eastAsia="宋体" w:cs="Arial"/>
          <w:szCs w:val="21"/>
        </w:rPr>
        <w:t>FDA</w:t>
      </w:r>
      <w:r>
        <w:rPr>
          <w:rFonts w:hint="eastAsia" w:ascii="Arial" w:hAnsi="Arial" w:eastAsia="宋体" w:cs="Arial"/>
          <w:szCs w:val="21"/>
        </w:rPr>
        <w:t>法规（</w:t>
      </w:r>
      <w:r>
        <w:rPr>
          <w:rFonts w:ascii="Arial" w:hAnsi="Arial" w:eastAsia="宋体" w:cs="Arial"/>
          <w:szCs w:val="21"/>
        </w:rPr>
        <w:t>21 CFR 807.87</w:t>
      </w:r>
      <w:r>
        <w:rPr>
          <w:rFonts w:hint="eastAsia" w:ascii="Arial" w:hAnsi="Arial" w:eastAsia="宋体" w:cs="Arial"/>
          <w:szCs w:val="21"/>
        </w:rPr>
        <w:t>）规定了必须在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）提交中的信息。这些信息包括：</w:t>
      </w:r>
    </w:p>
    <w:p w14:paraId="1EFFFFF7">
      <w:pPr>
        <w:pStyle w:val="9"/>
        <w:numPr>
          <w:ilvl w:val="1"/>
          <w:numId w:val="3"/>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申办方</w:t>
      </w:r>
      <w:r>
        <w:rPr>
          <w:rFonts w:ascii="Arial" w:hAnsi="Arial" w:eastAsia="宋体" w:cs="Arial"/>
          <w:szCs w:val="21"/>
          <w:u w:val="single"/>
        </w:rPr>
        <w:t>/</w:t>
      </w:r>
      <w:r>
        <w:rPr>
          <w:rFonts w:hint="eastAsia" w:ascii="Arial" w:hAnsi="Arial" w:eastAsia="宋体" w:cs="Arial"/>
          <w:szCs w:val="21"/>
          <w:u w:val="single"/>
        </w:rPr>
        <w:t>制造商信息</w:t>
      </w:r>
    </w:p>
    <w:p w14:paraId="1F85C54D">
      <w:pPr>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）应用申办方以及（如果与申办方不同）器械制造商的名称、联系人、地址、电话号码以及（如果有）传真号码。</w:t>
      </w:r>
    </w:p>
    <w:p w14:paraId="32829DE5">
      <w:pPr>
        <w:widowControl/>
        <w:jc w:val="left"/>
        <w:rPr>
          <w:rFonts w:ascii="Arial" w:hAnsi="Arial" w:eastAsia="宋体" w:cs="Arial"/>
          <w:szCs w:val="21"/>
        </w:rPr>
      </w:pPr>
      <w:r>
        <w:rPr>
          <w:rFonts w:ascii="Arial" w:hAnsi="Arial" w:eastAsia="宋体" w:cs="Arial"/>
          <w:szCs w:val="21"/>
        </w:rPr>
        <w:br w:type="page"/>
      </w:r>
    </w:p>
    <w:p w14:paraId="41788EC4">
      <w:pPr>
        <w:snapToGrid w:val="0"/>
        <w:spacing w:after="156" w:afterLines="50" w:line="300" w:lineRule="auto"/>
        <w:ind w:right="-6" w:rightChars="-3"/>
        <w:rPr>
          <w:rFonts w:ascii="Arial" w:hAnsi="Arial" w:eastAsia="宋体" w:cs="Arial"/>
          <w:szCs w:val="21"/>
        </w:rPr>
      </w:pPr>
    </w:p>
    <w:p w14:paraId="04E95150">
      <w:pPr>
        <w:pStyle w:val="9"/>
        <w:numPr>
          <w:ilvl w:val="1"/>
          <w:numId w:val="3"/>
        </w:numPr>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申请的器械</w:t>
      </w:r>
    </w:p>
    <w:p w14:paraId="480A2CE0">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申请上市的器械的商品名或专利名称，以及通用器械名称，如体外超声波碎石机。</w:t>
      </w:r>
    </w:p>
    <w:p w14:paraId="78DF6CD0">
      <w:pPr>
        <w:pStyle w:val="9"/>
        <w:numPr>
          <w:ilvl w:val="1"/>
          <w:numId w:val="3"/>
        </w:numPr>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进行实质等同性比较的已上市器械</w:t>
      </w:r>
    </w:p>
    <w:p w14:paraId="69F512B6">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合法上市器械与申请上市的器械进行比较。要尽可能具体，</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）应当包括下列信息，以识别比较的器械及为实质等同性提供支持：</w:t>
      </w:r>
    </w:p>
    <w:p w14:paraId="50072CD3">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商品名</w:t>
      </w:r>
      <w:r>
        <w:rPr>
          <w:rFonts w:ascii="Arial" w:hAnsi="Arial" w:eastAsia="宋体" w:cs="Arial"/>
          <w:szCs w:val="21"/>
        </w:rPr>
        <w:t>/</w:t>
      </w:r>
      <w:r>
        <w:rPr>
          <w:rFonts w:hint="eastAsia" w:ascii="Arial" w:hAnsi="Arial" w:eastAsia="宋体" w:cs="Arial"/>
          <w:szCs w:val="21"/>
        </w:rPr>
        <w:t>专利名称，</w:t>
      </w:r>
    </w:p>
    <w:p w14:paraId="7B0DC747">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产品型号，</w:t>
      </w:r>
    </w:p>
    <w:p w14:paraId="41F4D85B">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制造商，</w:t>
      </w:r>
    </w:p>
    <w:p w14:paraId="4CABCCEE">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w:t>
      </w:r>
      <w:r>
        <w:rPr>
          <w:rFonts w:ascii="Arial" w:hAnsi="Arial" w:eastAsia="宋体" w:cs="Arial"/>
          <w:szCs w:val="21"/>
        </w:rPr>
        <w:t>/PMA</w:t>
      </w:r>
      <w:r>
        <w:rPr>
          <w:rFonts w:hint="eastAsia" w:ascii="Arial" w:hAnsi="Arial" w:eastAsia="宋体" w:cs="Arial"/>
          <w:szCs w:val="21"/>
        </w:rPr>
        <w:t>参考编号（如果已知），</w:t>
      </w:r>
    </w:p>
    <w:p w14:paraId="5B533DE4">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预期使用，</w:t>
      </w:r>
    </w:p>
    <w:p w14:paraId="2BDEF382">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技术特性</w:t>
      </w:r>
      <w:r>
        <w:rPr>
          <w:rFonts w:ascii="Arial" w:hAnsi="Arial" w:eastAsia="宋体" w:cs="Arial"/>
          <w:szCs w:val="21"/>
        </w:rPr>
        <w:t>/</w:t>
      </w:r>
      <w:r>
        <w:rPr>
          <w:rFonts w:hint="eastAsia" w:ascii="Arial" w:hAnsi="Arial" w:eastAsia="宋体" w:cs="Arial"/>
          <w:szCs w:val="21"/>
        </w:rPr>
        <w:t>性能规格，以及</w:t>
      </w:r>
    </w:p>
    <w:p w14:paraId="3C8A3D94">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标签。</w:t>
      </w:r>
    </w:p>
    <w:p w14:paraId="66588290">
      <w:pPr>
        <w:pStyle w:val="9"/>
        <w:numPr>
          <w:ilvl w:val="0"/>
          <w:numId w:val="1"/>
        </w:numPr>
        <w:snapToGrid w:val="0"/>
        <w:spacing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分类</w:t>
      </w:r>
      <w:r>
        <w:rPr>
          <w:rFonts w:ascii="Arial" w:hAnsi="Arial" w:eastAsia="宋体" w:cs="Arial"/>
          <w:b/>
          <w:szCs w:val="21"/>
          <w:u w:val="single"/>
        </w:rPr>
        <w:t>/</w:t>
      </w:r>
      <w:r>
        <w:rPr>
          <w:rFonts w:hint="eastAsia" w:ascii="Arial" w:hAnsi="Arial" w:eastAsia="宋体" w:cs="Arial"/>
          <w:b/>
          <w:szCs w:val="21"/>
          <w:u w:val="single"/>
        </w:rPr>
        <w:t>产品代码</w:t>
      </w:r>
    </w:p>
    <w:p w14:paraId="350D815E">
      <w:pPr>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）中应当提供体外超声波碎石机所适用的美国联邦法规（</w:t>
      </w:r>
      <w:r>
        <w:rPr>
          <w:rFonts w:ascii="Arial" w:hAnsi="Arial" w:eastAsia="宋体" w:cs="Arial"/>
          <w:szCs w:val="21"/>
        </w:rPr>
        <w:t>CFR</w:t>
      </w:r>
      <w:r>
        <w:rPr>
          <w:rFonts w:hint="eastAsia" w:ascii="Arial" w:hAnsi="Arial" w:eastAsia="宋体" w:cs="Arial"/>
          <w:szCs w:val="21"/>
        </w:rPr>
        <w:t>）编号，监管分类，以及产品代码（如下）：</w:t>
      </w:r>
    </w:p>
    <w:p w14:paraId="523B1284">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ascii="Arial" w:hAnsi="Arial" w:eastAsia="宋体" w:cs="Arial"/>
          <w:szCs w:val="21"/>
        </w:rPr>
        <w:t>CFR</w:t>
      </w:r>
      <w:r>
        <w:rPr>
          <w:rFonts w:hint="eastAsia" w:ascii="Arial" w:hAnsi="Arial" w:eastAsia="宋体" w:cs="Arial"/>
          <w:szCs w:val="21"/>
        </w:rPr>
        <w:t>编号：</w:t>
      </w:r>
      <w:r>
        <w:rPr>
          <w:rFonts w:ascii="Arial" w:hAnsi="Arial" w:eastAsia="宋体" w:cs="Arial"/>
          <w:szCs w:val="21"/>
        </w:rPr>
        <w:t>21 CFR 876.5990</w:t>
      </w:r>
    </w:p>
    <w:p w14:paraId="6A2902C4">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监管分类：</w:t>
      </w:r>
      <w:r>
        <w:rPr>
          <w:rFonts w:ascii="Arial" w:hAnsi="Arial" w:eastAsia="宋体" w:cs="Arial"/>
          <w:szCs w:val="21"/>
        </w:rPr>
        <w:t>II</w:t>
      </w:r>
      <w:r>
        <w:rPr>
          <w:rFonts w:hint="eastAsia" w:ascii="Arial" w:hAnsi="Arial" w:eastAsia="宋体" w:cs="Arial"/>
          <w:szCs w:val="21"/>
        </w:rPr>
        <w:t>类（特别控制）</w:t>
      </w:r>
    </w:p>
    <w:p w14:paraId="0E256B9B">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产品代码：</w:t>
      </w:r>
      <w:r>
        <w:rPr>
          <w:rFonts w:ascii="Arial" w:hAnsi="Arial" w:eastAsia="宋体" w:cs="Arial"/>
          <w:szCs w:val="21"/>
        </w:rPr>
        <w:t>78 LNS</w:t>
      </w:r>
    </w:p>
    <w:p w14:paraId="47A45F78">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特别控制</w:t>
      </w:r>
    </w:p>
    <w:p w14:paraId="332DA003">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由于在最终版规定中将体外超声波碎石重新分为</w:t>
      </w:r>
      <w:r>
        <w:rPr>
          <w:rFonts w:ascii="Arial" w:hAnsi="Arial" w:eastAsia="宋体" w:cs="Arial"/>
          <w:szCs w:val="21"/>
        </w:rPr>
        <w:t>II</w:t>
      </w:r>
      <w:r>
        <w:rPr>
          <w:rFonts w:hint="eastAsia" w:ascii="Arial" w:hAnsi="Arial" w:eastAsia="宋体" w:cs="Arial"/>
          <w:szCs w:val="21"/>
        </w:rPr>
        <w:t>类（</w:t>
      </w:r>
      <w:r>
        <w:rPr>
          <w:rFonts w:ascii="Arial" w:hAnsi="Arial" w:eastAsia="宋体" w:cs="Arial"/>
          <w:b/>
          <w:szCs w:val="21"/>
        </w:rPr>
        <w:t>XX FR XXXX</w:t>
      </w:r>
      <w:r>
        <w:rPr>
          <w:rFonts w:hint="eastAsia" w:ascii="Arial" w:hAnsi="Arial" w:eastAsia="宋体" w:cs="Arial"/>
          <w:szCs w:val="21"/>
        </w:rPr>
        <w:t>），</w:t>
      </w:r>
      <w:r>
        <w:rPr>
          <w:rFonts w:ascii="Arial" w:hAnsi="Arial" w:eastAsia="宋体" w:cs="Arial"/>
          <w:szCs w:val="21"/>
        </w:rPr>
        <w:t>SWL</w:t>
      </w:r>
      <w:r>
        <w:rPr>
          <w:rFonts w:hint="eastAsia" w:ascii="Arial" w:hAnsi="Arial" w:eastAsia="宋体" w:cs="Arial"/>
          <w:szCs w:val="21"/>
        </w:rPr>
        <w:t>器械需要按照本指导性文件的要求进行特别控制。</w:t>
      </w:r>
    </w:p>
    <w:p w14:paraId="662F55BF">
      <w:pPr>
        <w:tabs>
          <w:tab w:val="left" w:pos="7240"/>
        </w:tabs>
        <w:snapToGrid w:val="0"/>
        <w:spacing w:after="156" w:afterLines="50" w:line="300" w:lineRule="auto"/>
        <w:ind w:left="378" w:leftChars="140" w:right="-6" w:rightChars="-3" w:hanging="84"/>
        <w:rPr>
          <w:rFonts w:ascii="Arial" w:hAnsi="Arial" w:eastAsia="宋体" w:cs="Arial"/>
          <w:szCs w:val="21"/>
        </w:rPr>
      </w:pPr>
      <w:r>
        <w:rPr>
          <w:rFonts w:ascii="Arial" w:hAnsi="Arial" w:eastAsia="宋体" w:cs="Arial"/>
          <w:kern w:val="0"/>
          <w:sz w:val="16"/>
          <w:szCs w:val="16"/>
        </w:rPr>
        <w:t>†</w:t>
      </w:r>
      <w:r>
        <w:rPr>
          <w:rFonts w:hint="eastAsia" w:ascii="Arial" w:hAnsi="Arial" w:eastAsia="宋体" w:cs="Arial"/>
          <w:szCs w:val="21"/>
        </w:rPr>
        <w:t>本指导性文件叙述了</w:t>
      </w:r>
      <w:r>
        <w:rPr>
          <w:rFonts w:ascii="Arial" w:hAnsi="Arial" w:eastAsia="宋体" w:cs="Arial"/>
          <w:szCs w:val="21"/>
        </w:rPr>
        <w:t>SWL</w:t>
      </w:r>
      <w:r>
        <w:rPr>
          <w:rFonts w:hint="eastAsia" w:ascii="Arial" w:hAnsi="Arial" w:eastAsia="宋体" w:cs="Arial"/>
          <w:szCs w:val="21"/>
        </w:rPr>
        <w:t>器械遵从</w:t>
      </w:r>
      <w:r>
        <w:rPr>
          <w:rFonts w:ascii="Arial" w:hAnsi="Arial" w:eastAsia="宋体" w:cs="Arial"/>
          <w:szCs w:val="21"/>
        </w:rPr>
        <w:t>II</w:t>
      </w:r>
      <w:r>
        <w:rPr>
          <w:rFonts w:hint="eastAsia" w:ascii="Arial" w:hAnsi="Arial" w:eastAsia="宋体" w:cs="Arial"/>
          <w:szCs w:val="21"/>
        </w:rPr>
        <w:t>类器械特别控制要求的方法。将本指导性文件称为特别控制，这意味着如果制造商需要证明其器械与进行比较的合法上市的</w:t>
      </w:r>
      <w:r>
        <w:rPr>
          <w:rFonts w:ascii="Arial" w:hAnsi="Arial" w:eastAsia="宋体" w:cs="Arial"/>
          <w:szCs w:val="21"/>
        </w:rPr>
        <w:t>SWL</w:t>
      </w:r>
      <w:r>
        <w:rPr>
          <w:rFonts w:hint="eastAsia" w:ascii="Arial" w:hAnsi="Arial" w:eastAsia="宋体" w:cs="Arial"/>
          <w:szCs w:val="21"/>
        </w:rPr>
        <w:t>器械具有实质等同性，则其需要证明申请的器械遵从本指南中的特殊规定，或其他能够提供相似的安全性及有效性保证的管制方法。</w:t>
      </w:r>
    </w:p>
    <w:p w14:paraId="7CD989B9">
      <w:pPr>
        <w:widowControl/>
        <w:jc w:val="left"/>
        <w:rPr>
          <w:rFonts w:ascii="Arial" w:hAnsi="Arial" w:eastAsia="宋体" w:cs="Arial"/>
          <w:szCs w:val="21"/>
        </w:rPr>
      </w:pPr>
      <w:r>
        <w:rPr>
          <w:rFonts w:ascii="Arial" w:hAnsi="Arial" w:eastAsia="宋体" w:cs="Arial"/>
          <w:szCs w:val="21"/>
        </w:rPr>
        <w:br w:type="page"/>
      </w:r>
    </w:p>
    <w:p w14:paraId="53D2156F">
      <w:pPr>
        <w:tabs>
          <w:tab w:val="left" w:pos="7240"/>
        </w:tabs>
        <w:snapToGrid w:val="0"/>
        <w:spacing w:after="156" w:afterLines="50" w:line="300" w:lineRule="auto"/>
        <w:ind w:left="378" w:leftChars="140" w:right="-6" w:rightChars="-3" w:hanging="84"/>
        <w:rPr>
          <w:rFonts w:ascii="Arial" w:hAnsi="Arial" w:eastAsia="宋体" w:cs="Arial"/>
          <w:szCs w:val="21"/>
        </w:rPr>
      </w:pPr>
    </w:p>
    <w:p w14:paraId="7B840ABA">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器械描述</w:t>
      </w:r>
    </w:p>
    <w:p w14:paraId="772EB746">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ascii="Arial" w:hAnsi="Arial" w:eastAsia="宋体" w:cs="Arial"/>
          <w:b/>
          <w:szCs w:val="21"/>
          <w:u w:val="single"/>
        </w:rPr>
        <w:t>510</w:t>
      </w:r>
      <w:r>
        <w:rPr>
          <w:rFonts w:hint="eastAsia" w:ascii="Arial" w:hAnsi="Arial" w:eastAsia="宋体" w:cs="Arial"/>
          <w:b/>
          <w:szCs w:val="21"/>
          <w:u w:val="single"/>
        </w:rPr>
        <w:t>（</w:t>
      </w:r>
      <w:r>
        <w:rPr>
          <w:rFonts w:ascii="Arial" w:hAnsi="Arial" w:eastAsia="宋体" w:cs="Arial"/>
          <w:b/>
          <w:szCs w:val="21"/>
          <w:u w:val="single"/>
        </w:rPr>
        <w:t>k</w:t>
      </w:r>
      <w:r>
        <w:rPr>
          <w:rFonts w:hint="eastAsia" w:ascii="Arial" w:hAnsi="Arial" w:eastAsia="宋体" w:cs="Arial"/>
          <w:b/>
          <w:szCs w:val="21"/>
          <w:u w:val="single"/>
        </w:rPr>
        <w:t>）原因</w:t>
      </w:r>
    </w:p>
    <w:p w14:paraId="63D94B5C">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申办方应当清晰陈述申请</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）的原因，如新的</w:t>
      </w:r>
      <w:r>
        <w:rPr>
          <w:rFonts w:ascii="Arial" w:hAnsi="Arial" w:eastAsia="宋体" w:cs="Arial"/>
          <w:szCs w:val="21"/>
        </w:rPr>
        <w:t>SWL</w:t>
      </w:r>
      <w:r>
        <w:rPr>
          <w:rFonts w:hint="eastAsia" w:ascii="Arial" w:hAnsi="Arial" w:eastAsia="宋体" w:cs="Arial"/>
          <w:szCs w:val="21"/>
        </w:rPr>
        <w:t>系统，预期使用改变或对已有的</w:t>
      </w:r>
      <w:r>
        <w:rPr>
          <w:rFonts w:ascii="Arial" w:hAnsi="Arial" w:eastAsia="宋体" w:cs="Arial"/>
          <w:szCs w:val="21"/>
        </w:rPr>
        <w:t>SWL</w:t>
      </w:r>
      <w:r>
        <w:rPr>
          <w:rFonts w:hint="eastAsia" w:ascii="Arial" w:hAnsi="Arial" w:eastAsia="宋体" w:cs="Arial"/>
          <w:szCs w:val="21"/>
        </w:rPr>
        <w:t>系统进行设计上的修改。</w:t>
      </w:r>
    </w:p>
    <w:p w14:paraId="04AA4F8F">
      <w:pPr>
        <w:widowControl/>
        <w:jc w:val="left"/>
        <w:rPr>
          <w:rFonts w:ascii="Arial" w:hAnsi="Arial" w:eastAsia="宋体" w:cs="Arial"/>
          <w:szCs w:val="21"/>
        </w:rPr>
      </w:pPr>
      <w:r>
        <w:rPr>
          <w:rFonts w:ascii="Arial" w:hAnsi="Arial" w:eastAsia="宋体" w:cs="Arial"/>
          <w:szCs w:val="21"/>
        </w:rPr>
        <w:br w:type="page"/>
      </w:r>
    </w:p>
    <w:p w14:paraId="2AA642E9">
      <w:pPr>
        <w:tabs>
          <w:tab w:val="left" w:pos="7240"/>
        </w:tabs>
        <w:snapToGrid w:val="0"/>
        <w:spacing w:after="156" w:afterLines="50" w:line="300" w:lineRule="auto"/>
        <w:ind w:right="-6" w:rightChars="-3"/>
        <w:rPr>
          <w:rFonts w:ascii="Arial" w:hAnsi="Arial" w:eastAsia="宋体" w:cs="Arial"/>
          <w:szCs w:val="21"/>
        </w:rPr>
      </w:pPr>
    </w:p>
    <w:p w14:paraId="699CA271">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预期使用</w:t>
      </w:r>
    </w:p>
    <w:p w14:paraId="16BCC8C2">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）应当对申请器械的预期使用做出清晰的描述，例如：</w:t>
      </w:r>
    </w:p>
    <w:p w14:paraId="5D830DB6">
      <w:pPr>
        <w:tabs>
          <w:tab w:val="left" w:pos="7240"/>
        </w:tabs>
        <w:snapToGrid w:val="0"/>
        <w:spacing w:after="156" w:afterLines="50" w:line="300" w:lineRule="auto"/>
        <w:ind w:right="-6" w:rightChars="-3" w:firstLine="420" w:firstLineChars="200"/>
        <w:rPr>
          <w:rFonts w:ascii="Arial" w:hAnsi="Arial" w:eastAsia="宋体" w:cs="Arial"/>
          <w:szCs w:val="21"/>
        </w:rPr>
      </w:pPr>
      <w:r>
        <w:rPr>
          <w:rFonts w:ascii="Arial" w:hAnsi="Arial" w:eastAsia="宋体" w:cs="Arial"/>
          <w:szCs w:val="21"/>
        </w:rPr>
        <w:t>“</w:t>
      </w:r>
      <w:bookmarkStart w:id="10" w:name="OLE_LINK39"/>
      <w:bookmarkStart w:id="11" w:name="OLE_LINK38"/>
      <w:r>
        <w:rPr>
          <w:rFonts w:ascii="Arial" w:hAnsi="Arial" w:eastAsia="宋体" w:cs="Arial"/>
          <w:szCs w:val="21"/>
        </w:rPr>
        <w:t>【</w:t>
      </w:r>
      <w:r>
        <w:rPr>
          <w:rFonts w:hint="eastAsia" w:ascii="Arial" w:hAnsi="Arial" w:eastAsia="宋体" w:cs="Arial"/>
          <w:szCs w:val="21"/>
        </w:rPr>
        <w:t>器械商品名</w:t>
      </w:r>
      <w:r>
        <w:rPr>
          <w:rFonts w:ascii="Arial" w:hAnsi="Arial" w:eastAsia="宋体" w:cs="Arial"/>
          <w:szCs w:val="21"/>
        </w:rPr>
        <w:t>】</w:t>
      </w:r>
      <w:r>
        <w:rPr>
          <w:rFonts w:hint="eastAsia" w:ascii="Arial" w:hAnsi="Arial" w:eastAsia="宋体" w:cs="Arial"/>
          <w:szCs w:val="21"/>
        </w:rPr>
        <w:t>适用于肾（肾盂和肾盏）和输尿管（上部、中部和下段输尿管）结石粉碎。</w:t>
      </w:r>
      <w:bookmarkEnd w:id="10"/>
      <w:bookmarkEnd w:id="11"/>
      <w:r>
        <w:rPr>
          <w:rFonts w:ascii="Arial" w:hAnsi="Arial" w:eastAsia="宋体" w:cs="Arial"/>
          <w:szCs w:val="21"/>
        </w:rPr>
        <w:t>”</w:t>
      </w:r>
    </w:p>
    <w:p w14:paraId="210C728A">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）的下列章节中关于预期使用的描述应当保持一致：</w:t>
      </w:r>
    </w:p>
    <w:p w14:paraId="0C749CE3">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医生标签，</w:t>
      </w:r>
    </w:p>
    <w:p w14:paraId="65E1094F">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“适应症”表格，以及</w:t>
      </w:r>
    </w:p>
    <w:p w14:paraId="17339897">
      <w:pPr>
        <w:pStyle w:val="9"/>
        <w:numPr>
          <w:ilvl w:val="0"/>
          <w:numId w:val="6"/>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（如提供）“</w:t>
      </w:r>
      <w:r>
        <w:rPr>
          <w:rFonts w:ascii="Arial" w:hAnsi="Arial" w:eastAsia="宋体" w:cs="Arial"/>
          <w:szCs w:val="21"/>
        </w:rPr>
        <w:t>5</w:t>
      </w:r>
      <w:r>
        <w:rPr>
          <w:rFonts w:hint="eastAsia" w:ascii="Arial" w:hAnsi="Arial" w:eastAsia="宋体" w:cs="Arial"/>
          <w:szCs w:val="21"/>
        </w:rPr>
        <w:t>1</w:t>
      </w:r>
      <w:r>
        <w:rPr>
          <w:rFonts w:ascii="Arial" w:hAnsi="Arial" w:eastAsia="宋体" w:cs="Arial"/>
          <w:szCs w:val="21"/>
        </w:rPr>
        <w:t>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）总结”。</w:t>
      </w:r>
    </w:p>
    <w:p w14:paraId="7129BD5C">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技术特性</w:t>
      </w:r>
    </w:p>
    <w:p w14:paraId="48364FDB">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申办方应当提供器械的技术总结（或器械修改，如果适用）及其主要组件。</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）的该章节应当包括但不限于以下信息：</w:t>
      </w:r>
    </w:p>
    <w:p w14:paraId="2C9D0617">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整个</w:t>
      </w:r>
      <w:r>
        <w:rPr>
          <w:rFonts w:ascii="Arial" w:hAnsi="Arial" w:eastAsia="宋体" w:cs="Arial"/>
          <w:szCs w:val="21"/>
        </w:rPr>
        <w:t>SWL</w:t>
      </w:r>
      <w:r>
        <w:rPr>
          <w:rFonts w:hint="eastAsia" w:ascii="Arial" w:hAnsi="Arial" w:eastAsia="宋体" w:cs="Arial"/>
          <w:szCs w:val="21"/>
        </w:rPr>
        <w:t>系统概况。</w:t>
      </w:r>
    </w:p>
    <w:p w14:paraId="586F2D2D">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系统及其主要组件图解。</w:t>
      </w:r>
    </w:p>
    <w:p w14:paraId="40418C1E">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所有安全特性的描述。</w:t>
      </w:r>
    </w:p>
    <w:p w14:paraId="1B8BFCB6">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系统主要组件</w:t>
      </w:r>
      <w:r>
        <w:rPr>
          <w:rFonts w:ascii="Arial" w:hAnsi="Arial" w:eastAsia="宋体" w:cs="Arial"/>
          <w:szCs w:val="21"/>
        </w:rPr>
        <w:t>/</w:t>
      </w:r>
      <w:r>
        <w:rPr>
          <w:rFonts w:hint="eastAsia" w:ascii="Arial" w:hAnsi="Arial" w:eastAsia="宋体" w:cs="Arial"/>
          <w:szCs w:val="21"/>
        </w:rPr>
        <w:t>次组件的描述。</w:t>
      </w:r>
    </w:p>
    <w:p w14:paraId="477F4AFB">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定位流程、准确性及使用者校准方法的描述。</w:t>
      </w:r>
    </w:p>
    <w:p w14:paraId="240B7B1D">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根据</w:t>
      </w:r>
      <w:r>
        <w:rPr>
          <w:rFonts w:ascii="Arial" w:hAnsi="Arial" w:eastAsia="宋体" w:cs="Arial"/>
          <w:szCs w:val="21"/>
        </w:rPr>
        <w:t>FDA</w:t>
      </w:r>
      <w:r>
        <w:rPr>
          <w:rFonts w:hint="eastAsia" w:ascii="Arial" w:hAnsi="Arial" w:eastAsia="宋体" w:cs="Arial"/>
          <w:szCs w:val="21"/>
        </w:rPr>
        <w:t>指导性文件《医疗器械用软件上市前申请内容指南》 （</w:t>
      </w:r>
      <w:r>
        <w:rPr>
          <w:rFonts w:ascii="Arial" w:hAnsi="Arial" w:eastAsia="宋体" w:cs="Arial"/>
          <w:szCs w:val="21"/>
        </w:rPr>
        <w:t>5/29/98</w:t>
      </w:r>
      <w:r>
        <w:rPr>
          <w:rFonts w:hint="eastAsia" w:ascii="Arial" w:hAnsi="Arial" w:eastAsia="宋体" w:cs="Arial"/>
          <w:szCs w:val="21"/>
        </w:rPr>
        <w:t>）（可从</w:t>
      </w:r>
      <w:r>
        <w:rPr>
          <w:rFonts w:ascii="Arial" w:hAnsi="Arial" w:eastAsia="宋体" w:cs="Arial"/>
          <w:szCs w:val="21"/>
        </w:rPr>
        <w:t>DSMA</w:t>
      </w:r>
      <w:r>
        <w:rPr>
          <w:rFonts w:hint="eastAsia" w:ascii="Arial" w:hAnsi="Arial" w:eastAsia="宋体" w:cs="Arial"/>
          <w:szCs w:val="21"/>
        </w:rPr>
        <w:t>或其网站获取）对系统软件</w:t>
      </w:r>
      <w:r>
        <w:rPr>
          <w:rFonts w:ascii="Arial" w:hAnsi="Arial" w:eastAsia="宋体" w:cs="Arial"/>
          <w:szCs w:val="21"/>
        </w:rPr>
        <w:t>/</w:t>
      </w:r>
      <w:r>
        <w:rPr>
          <w:rFonts w:hint="eastAsia" w:ascii="Arial" w:hAnsi="Arial" w:eastAsia="宋体" w:cs="Arial"/>
          <w:szCs w:val="21"/>
        </w:rPr>
        <w:t>固件进行描述（如果适用）。</w:t>
      </w:r>
    </w:p>
    <w:p w14:paraId="29529DA1">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器械声学输出的总结，正如</w:t>
      </w:r>
      <w:r>
        <w:rPr>
          <w:rFonts w:ascii="Arial" w:hAnsi="Arial" w:eastAsia="宋体" w:cs="Arial"/>
          <w:szCs w:val="21"/>
        </w:rPr>
        <w:t>8.A</w:t>
      </w:r>
      <w:r>
        <w:rPr>
          <w:rFonts w:hint="eastAsia" w:ascii="Arial" w:hAnsi="Arial" w:eastAsia="宋体" w:cs="Arial"/>
          <w:szCs w:val="21"/>
        </w:rPr>
        <w:t>节描述</w:t>
      </w:r>
      <w:r>
        <w:rPr>
          <w:rFonts w:ascii="Arial" w:hAnsi="Arial" w:eastAsia="宋体" w:cs="Arial"/>
          <w:szCs w:val="21"/>
        </w:rPr>
        <w:t>“</w:t>
      </w:r>
      <w:r>
        <w:rPr>
          <w:rFonts w:hint="eastAsia" w:ascii="Arial" w:hAnsi="Arial" w:eastAsia="宋体" w:cs="Arial"/>
          <w:szCs w:val="21"/>
        </w:rPr>
        <w:t>性能测试</w:t>
      </w:r>
      <w:r>
        <w:rPr>
          <w:rFonts w:ascii="Arial" w:hAnsi="Arial" w:eastAsia="宋体" w:cs="Arial"/>
          <w:szCs w:val="21"/>
        </w:rPr>
        <w:t>”</w:t>
      </w:r>
      <w:r>
        <w:rPr>
          <w:rFonts w:hint="eastAsia" w:ascii="Arial" w:hAnsi="Arial" w:eastAsia="宋体" w:cs="Arial"/>
          <w:szCs w:val="21"/>
        </w:rPr>
        <w:t>。</w:t>
      </w:r>
    </w:p>
    <w:p w14:paraId="39643FCD">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用于确定用电安全及电磁相容性的方法的详细描述。</w:t>
      </w:r>
    </w:p>
    <w:p w14:paraId="39188EC1">
      <w:pPr>
        <w:pStyle w:val="9"/>
        <w:numPr>
          <w:ilvl w:val="0"/>
          <w:numId w:val="6"/>
        </w:numPr>
        <w:snapToGrid w:val="0"/>
        <w:spacing w:after="156" w:afterLines="50" w:line="300" w:lineRule="auto"/>
        <w:ind w:left="433" w:right="-6" w:rightChars="-3" w:hanging="432" w:hangingChars="206"/>
        <w:rPr>
          <w:rFonts w:ascii="Arial" w:hAnsi="Arial" w:eastAsia="宋体" w:cs="Arial"/>
          <w:szCs w:val="21"/>
        </w:rPr>
      </w:pPr>
      <w:r>
        <w:rPr>
          <w:rFonts w:hint="eastAsia" w:ascii="Arial" w:hAnsi="Arial" w:eastAsia="宋体" w:cs="Arial"/>
          <w:szCs w:val="21"/>
        </w:rPr>
        <w:t>对申请上市的各种器械配置（例如固定型、移动型和半固定型）的比较性描述，以及对下列信息的描述（如果适用）：安装需求，对安装位置的要求，空间</w:t>
      </w:r>
      <w:r>
        <w:rPr>
          <w:rFonts w:ascii="Arial" w:hAnsi="Arial" w:eastAsia="宋体" w:cs="Arial"/>
          <w:szCs w:val="21"/>
        </w:rPr>
        <w:t>/</w:t>
      </w:r>
      <w:r>
        <w:rPr>
          <w:rFonts w:hint="eastAsia" w:ascii="Arial" w:hAnsi="Arial" w:eastAsia="宋体" w:cs="Arial"/>
          <w:szCs w:val="21"/>
        </w:rPr>
        <w:t>移动套件要求，以及运输工具的规格配置。</w:t>
      </w:r>
    </w:p>
    <w:p w14:paraId="1E9584BB">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对于新型</w:t>
      </w:r>
      <w:r>
        <w:rPr>
          <w:rFonts w:ascii="Arial" w:hAnsi="Arial" w:eastAsia="宋体" w:cs="Arial"/>
          <w:szCs w:val="21"/>
        </w:rPr>
        <w:t>SWL</w:t>
      </w:r>
      <w:r>
        <w:rPr>
          <w:rFonts w:hint="eastAsia" w:ascii="Arial" w:hAnsi="Arial" w:eastAsia="宋体" w:cs="Arial"/>
          <w:szCs w:val="21"/>
        </w:rPr>
        <w:t>器械模型，技术总结中应当包含</w:t>
      </w:r>
      <w:bookmarkStart w:id="12" w:name="OLE_LINK10"/>
      <w:bookmarkStart w:id="13" w:name="OLE_LINK11"/>
      <w:r>
        <w:rPr>
          <w:rFonts w:ascii="Arial" w:hAnsi="Arial" w:eastAsia="宋体" w:cs="Arial"/>
          <w:szCs w:val="21"/>
        </w:rPr>
        <w:t>“SWL</w:t>
      </w:r>
      <w:r>
        <w:rPr>
          <w:rFonts w:hint="eastAsia" w:ascii="Arial" w:hAnsi="Arial" w:eastAsia="宋体" w:cs="Arial"/>
          <w:szCs w:val="21"/>
        </w:rPr>
        <w:t>规格说明表</w:t>
      </w:r>
      <w:r>
        <w:rPr>
          <w:rFonts w:ascii="Arial" w:hAnsi="Arial" w:eastAsia="宋体" w:cs="Arial"/>
          <w:szCs w:val="21"/>
        </w:rPr>
        <w:t>”</w:t>
      </w:r>
      <w:r>
        <w:rPr>
          <w:rFonts w:hint="eastAsia" w:ascii="Arial" w:hAnsi="Arial" w:eastAsia="宋体" w:cs="Arial"/>
          <w:szCs w:val="21"/>
        </w:rPr>
        <w:t>（附录</w:t>
      </w:r>
      <w:r>
        <w:rPr>
          <w:rFonts w:ascii="Arial" w:hAnsi="Arial" w:eastAsia="宋体" w:cs="Arial"/>
          <w:szCs w:val="21"/>
        </w:rPr>
        <w:t>1</w:t>
      </w:r>
      <w:r>
        <w:rPr>
          <w:rFonts w:hint="eastAsia" w:ascii="Arial" w:hAnsi="Arial" w:eastAsia="宋体" w:cs="Arial"/>
          <w:szCs w:val="21"/>
        </w:rPr>
        <w:t>）中所要求的</w:t>
      </w:r>
      <w:bookmarkEnd w:id="12"/>
      <w:bookmarkEnd w:id="13"/>
      <w:r>
        <w:rPr>
          <w:rFonts w:hint="eastAsia" w:ascii="Arial" w:hAnsi="Arial" w:eastAsia="宋体" w:cs="Arial"/>
          <w:szCs w:val="21"/>
        </w:rPr>
        <w:t>信息。但对于器械的修改，申办方只需要在技术总结中补充</w:t>
      </w:r>
      <w:r>
        <w:rPr>
          <w:rFonts w:ascii="Arial" w:hAnsi="Arial" w:eastAsia="宋体" w:cs="Arial"/>
          <w:szCs w:val="21"/>
        </w:rPr>
        <w:t>“SWL</w:t>
      </w:r>
      <w:r>
        <w:rPr>
          <w:rFonts w:hint="eastAsia" w:ascii="Arial" w:hAnsi="Arial" w:eastAsia="宋体" w:cs="Arial"/>
          <w:szCs w:val="21"/>
        </w:rPr>
        <w:t>规格说明表</w:t>
      </w:r>
      <w:r>
        <w:rPr>
          <w:rFonts w:ascii="Arial" w:hAnsi="Arial" w:eastAsia="宋体" w:cs="Arial"/>
          <w:szCs w:val="21"/>
        </w:rPr>
        <w:t>”</w:t>
      </w:r>
      <w:r>
        <w:rPr>
          <w:rFonts w:hint="eastAsia" w:ascii="Arial" w:hAnsi="Arial" w:eastAsia="宋体" w:cs="Arial"/>
          <w:szCs w:val="21"/>
        </w:rPr>
        <w:t>中的信息，其适用于</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）中特定的器械技术变更。</w:t>
      </w:r>
    </w:p>
    <w:p w14:paraId="63713CAE">
      <w:pPr>
        <w:widowControl/>
        <w:jc w:val="left"/>
        <w:rPr>
          <w:rFonts w:ascii="Arial" w:hAnsi="Arial" w:eastAsia="宋体" w:cs="Arial"/>
          <w:szCs w:val="21"/>
        </w:rPr>
      </w:pPr>
      <w:r>
        <w:rPr>
          <w:rFonts w:ascii="Arial" w:hAnsi="Arial" w:eastAsia="宋体" w:cs="Arial"/>
          <w:szCs w:val="21"/>
        </w:rPr>
        <w:br w:type="page"/>
      </w:r>
    </w:p>
    <w:p w14:paraId="1687B0E9">
      <w:pPr>
        <w:tabs>
          <w:tab w:val="left" w:pos="7240"/>
        </w:tabs>
        <w:snapToGrid w:val="0"/>
        <w:spacing w:after="156" w:afterLines="50" w:line="300" w:lineRule="auto"/>
        <w:ind w:right="-6" w:rightChars="-3"/>
        <w:rPr>
          <w:rFonts w:ascii="Arial" w:hAnsi="Arial" w:eastAsia="宋体" w:cs="Arial"/>
          <w:szCs w:val="21"/>
        </w:rPr>
      </w:pPr>
    </w:p>
    <w:p w14:paraId="358A2A26">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实质等同性声明</w:t>
      </w:r>
    </w:p>
    <w:p w14:paraId="7093946A">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为允许确定实质等同性，应对预期使用以及技术特性，包括性能测试结果和标签与已合法上市的器械做对比。我们建议此类对比包括</w:t>
      </w:r>
      <w:r>
        <w:rPr>
          <w:rFonts w:ascii="Arial" w:hAnsi="Arial" w:eastAsia="宋体" w:cs="Arial"/>
          <w:szCs w:val="21"/>
        </w:rPr>
        <w:t>SWL</w:t>
      </w:r>
      <w:r>
        <w:rPr>
          <w:rFonts w:hint="eastAsia" w:ascii="Arial" w:hAnsi="Arial" w:eastAsia="宋体" w:cs="Arial"/>
          <w:szCs w:val="21"/>
        </w:rPr>
        <w:t>规格表中所需的技术信息（附录</w:t>
      </w:r>
      <w:r>
        <w:rPr>
          <w:rFonts w:ascii="Arial" w:hAnsi="Arial" w:eastAsia="宋体" w:cs="Arial"/>
          <w:szCs w:val="21"/>
        </w:rPr>
        <w:t>1</w:t>
      </w:r>
      <w:r>
        <w:rPr>
          <w:rFonts w:hint="eastAsia" w:ascii="Arial" w:hAnsi="Arial" w:eastAsia="宋体" w:cs="Arial"/>
          <w:szCs w:val="21"/>
        </w:rPr>
        <w:t>），并以表格形式呈现。</w:t>
      </w:r>
    </w:p>
    <w:p w14:paraId="02844518">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合规标准</w:t>
      </w:r>
    </w:p>
    <w:p w14:paraId="0DF0DA73">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系统制造商应当遵守下列统一标准：</w:t>
      </w:r>
    </w:p>
    <w:p w14:paraId="0D4DD19B">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IEC 60601-2-36</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医用电气设备</w:t>
      </w:r>
      <w:r>
        <w:rPr>
          <w:rFonts w:ascii="Arial" w:hAnsi="Arial" w:eastAsia="宋体" w:cs="Arial"/>
          <w:szCs w:val="21"/>
        </w:rPr>
        <w:t>—</w:t>
      </w:r>
      <w:r>
        <w:rPr>
          <w:rFonts w:hint="eastAsia" w:ascii="Arial" w:hAnsi="Arial" w:eastAsia="宋体" w:cs="Arial"/>
          <w:szCs w:val="21"/>
        </w:rPr>
        <w:t>第</w:t>
      </w:r>
      <w:r>
        <w:rPr>
          <w:rFonts w:ascii="Arial" w:hAnsi="Arial" w:eastAsia="宋体" w:cs="Arial"/>
          <w:szCs w:val="21"/>
        </w:rPr>
        <w:t>2</w:t>
      </w:r>
      <w:r>
        <w:rPr>
          <w:rFonts w:hint="eastAsia" w:ascii="Arial" w:hAnsi="Arial" w:eastAsia="宋体" w:cs="Arial"/>
          <w:szCs w:val="21"/>
        </w:rPr>
        <w:t>部分：体外超声波碎石设备安全的特殊要求</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1997</w:t>
      </w:r>
      <w:r>
        <w:rPr>
          <w:rFonts w:hint="eastAsia" w:ascii="Arial" w:hAnsi="Arial" w:eastAsia="宋体" w:cs="Arial"/>
          <w:szCs w:val="21"/>
        </w:rPr>
        <w:t>）。</w:t>
      </w:r>
    </w:p>
    <w:p w14:paraId="7727042D">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IEC 61846</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超声波</w:t>
      </w:r>
      <w:r>
        <w:rPr>
          <w:rFonts w:ascii="Arial" w:hAnsi="Arial" w:eastAsia="宋体" w:cs="Arial"/>
          <w:szCs w:val="21"/>
        </w:rPr>
        <w:t>—</w:t>
      </w:r>
      <w:r>
        <w:rPr>
          <w:rFonts w:hint="eastAsia" w:ascii="Arial" w:hAnsi="Arial" w:eastAsia="宋体" w:cs="Arial"/>
          <w:szCs w:val="21"/>
        </w:rPr>
        <w:t>压力脉冲碎石</w:t>
      </w:r>
      <w:r>
        <w:rPr>
          <w:rFonts w:ascii="Arial" w:hAnsi="Arial" w:eastAsia="宋体" w:cs="Arial"/>
          <w:szCs w:val="21"/>
        </w:rPr>
        <w:t>—</w:t>
      </w:r>
      <w:r>
        <w:rPr>
          <w:rFonts w:hint="eastAsia" w:ascii="Arial" w:hAnsi="Arial" w:eastAsia="宋体" w:cs="Arial"/>
          <w:szCs w:val="21"/>
        </w:rPr>
        <w:t>场特性</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1998</w:t>
      </w:r>
      <w:r>
        <w:rPr>
          <w:rFonts w:hint="eastAsia" w:ascii="Arial" w:hAnsi="Arial" w:eastAsia="宋体" w:cs="Arial"/>
          <w:szCs w:val="21"/>
        </w:rPr>
        <w:t>）。</w:t>
      </w:r>
    </w:p>
    <w:p w14:paraId="1BCF2195">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可以通过在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w:t>
      </w:r>
      <w:r>
        <w:rPr>
          <w:rFonts w:ascii="Arial" w:hAnsi="Arial" w:eastAsia="宋体" w:cs="Arial"/>
          <w:szCs w:val="21"/>
        </w:rPr>
        <w:t>“</w:t>
      </w:r>
      <w:r>
        <w:rPr>
          <w:rFonts w:hint="eastAsia" w:ascii="Arial" w:hAnsi="Arial" w:eastAsia="宋体" w:cs="Arial"/>
          <w:szCs w:val="21"/>
        </w:rPr>
        <w:t>合规声明</w:t>
      </w:r>
      <w:r>
        <w:rPr>
          <w:rFonts w:ascii="Arial" w:hAnsi="Arial" w:eastAsia="宋体" w:cs="Arial"/>
          <w:szCs w:val="21"/>
        </w:rPr>
        <w:t>”</w:t>
      </w:r>
      <w:r>
        <w:rPr>
          <w:rFonts w:hint="eastAsia" w:ascii="Arial" w:hAnsi="Arial" w:eastAsia="宋体" w:cs="Arial"/>
          <w:szCs w:val="21"/>
        </w:rPr>
        <w:t>完成以上合规标准。对于准备合规标准声明的指南，制造商可以通过参考下列文件获得指导（可以从</w:t>
      </w:r>
      <w:r>
        <w:rPr>
          <w:rFonts w:ascii="Arial" w:hAnsi="Arial" w:eastAsia="宋体" w:cs="Arial"/>
          <w:szCs w:val="21"/>
        </w:rPr>
        <w:t>DSMA</w:t>
      </w:r>
      <w:r>
        <w:rPr>
          <w:rFonts w:hint="eastAsia" w:ascii="Arial" w:hAnsi="Arial" w:eastAsia="宋体" w:cs="Arial"/>
          <w:szCs w:val="21"/>
        </w:rPr>
        <w:t>或列出的</w:t>
      </w:r>
      <w:r>
        <w:rPr>
          <w:rFonts w:ascii="Arial" w:hAnsi="Arial" w:eastAsia="宋体" w:cs="Arial"/>
          <w:szCs w:val="21"/>
        </w:rPr>
        <w:t>CDRH</w:t>
      </w:r>
      <w:r>
        <w:rPr>
          <w:rFonts w:hint="eastAsia" w:ascii="Arial" w:hAnsi="Arial" w:eastAsia="宋体" w:cs="Arial"/>
          <w:szCs w:val="21"/>
        </w:rPr>
        <w:t>网址获得）：</w:t>
      </w:r>
    </w:p>
    <w:p w14:paraId="5E895605">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新</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）范例</w:t>
      </w:r>
      <w:r>
        <w:rPr>
          <w:rFonts w:ascii="Arial" w:hAnsi="Arial" w:eastAsia="宋体" w:cs="Arial"/>
          <w:szCs w:val="21"/>
        </w:rPr>
        <w:t>—</w:t>
      </w:r>
      <w:r>
        <w:rPr>
          <w:rFonts w:hint="eastAsia" w:ascii="Arial" w:hAnsi="Arial" w:eastAsia="宋体" w:cs="Arial"/>
          <w:szCs w:val="21"/>
        </w:rPr>
        <w:t>在上市前通告中确定实质等同性的替代方法</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3/20/98</w:t>
      </w:r>
      <w:r>
        <w:rPr>
          <w:rFonts w:hint="eastAsia" w:ascii="Arial" w:hAnsi="Arial" w:eastAsia="宋体" w:cs="Arial"/>
          <w:szCs w:val="21"/>
        </w:rPr>
        <w:t>）。</w:t>
      </w:r>
    </w:p>
    <w:p w14:paraId="2DE154CD">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ascii="Arial" w:hAnsi="Arial" w:eastAsia="宋体" w:cs="Arial"/>
          <w:i/>
          <w:szCs w:val="21"/>
        </w:rPr>
        <w:t>http://www.fda.gov/cdrh/reengine.html</w:t>
      </w:r>
      <w:r>
        <w:rPr>
          <w:rFonts w:ascii="Arial" w:hAnsi="Arial" w:eastAsia="宋体" w:cs="Arial"/>
          <w:szCs w:val="21"/>
        </w:rPr>
        <w:t>)</w:t>
      </w:r>
    </w:p>
    <w:p w14:paraId="24465603">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认识和使用统一标准指南</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2/19/98</w:t>
      </w:r>
      <w:r>
        <w:rPr>
          <w:rFonts w:hint="eastAsia" w:ascii="Arial" w:hAnsi="Arial" w:eastAsia="宋体" w:cs="Arial"/>
          <w:szCs w:val="21"/>
        </w:rPr>
        <w:t>）。</w:t>
      </w:r>
    </w:p>
    <w:p w14:paraId="54273B29">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ascii="Arial" w:hAnsi="Arial" w:eastAsia="宋体" w:cs="Arial"/>
          <w:i/>
          <w:szCs w:val="21"/>
        </w:rPr>
        <w:t>http://www.fda.gov/cdrh/modact/modguid.html</w:t>
      </w:r>
      <w:r>
        <w:rPr>
          <w:rFonts w:ascii="Arial" w:hAnsi="Arial" w:eastAsia="宋体" w:cs="Arial"/>
          <w:szCs w:val="21"/>
        </w:rPr>
        <w:t>)</w:t>
      </w:r>
    </w:p>
    <w:p w14:paraId="308758E3">
      <w:pPr>
        <w:pStyle w:val="9"/>
        <w:numPr>
          <w:ilvl w:val="0"/>
          <w:numId w:val="1"/>
        </w:numPr>
        <w:tabs>
          <w:tab w:val="left" w:pos="7240"/>
        </w:tabs>
        <w:snapToGrid w:val="0"/>
        <w:spacing w:after="156" w:afterLines="50" w:line="300" w:lineRule="auto"/>
        <w:ind w:right="-6" w:rightChars="-3" w:firstLineChars="0"/>
        <w:rPr>
          <w:rFonts w:ascii="Arial" w:hAnsi="Arial" w:eastAsia="宋体" w:cs="Arial"/>
          <w:b/>
          <w:szCs w:val="21"/>
        </w:rPr>
      </w:pPr>
      <w:r>
        <w:rPr>
          <w:rFonts w:hint="eastAsia" w:ascii="Arial" w:hAnsi="Arial" w:eastAsia="宋体" w:cs="Arial"/>
          <w:b/>
          <w:szCs w:val="21"/>
        </w:rPr>
        <w:t>性能测试</w:t>
      </w:r>
    </w:p>
    <w:p w14:paraId="4C661DDD">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器械制造商应当提交下列性能测试的结果，以证明申请器械和比较器械之间存在实质等同性：</w:t>
      </w:r>
    </w:p>
    <w:p w14:paraId="711ECB2A">
      <w:pPr>
        <w:pStyle w:val="9"/>
        <w:numPr>
          <w:ilvl w:val="1"/>
          <w:numId w:val="1"/>
        </w:numPr>
        <w:tabs>
          <w:tab w:val="left" w:pos="7240"/>
        </w:tabs>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超声波特性检测</w:t>
      </w:r>
    </w:p>
    <w:p w14:paraId="0231CEDC">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bookmarkStart w:id="14" w:name="OLE_LINK12"/>
      <w:bookmarkStart w:id="15" w:name="OLE_LINK13"/>
      <w:r>
        <w:rPr>
          <w:rFonts w:hint="eastAsia" w:ascii="Arial" w:hAnsi="Arial" w:eastAsia="宋体" w:cs="Arial"/>
          <w:szCs w:val="21"/>
        </w:rPr>
        <w:t>对于（</w:t>
      </w:r>
      <w:r>
        <w:rPr>
          <w:rFonts w:ascii="Arial" w:hAnsi="Arial" w:eastAsia="宋体" w:cs="Arial"/>
          <w:szCs w:val="21"/>
        </w:rPr>
        <w:t>1</w:t>
      </w:r>
      <w:r>
        <w:rPr>
          <w:rFonts w:hint="eastAsia" w:ascii="Arial" w:hAnsi="Arial" w:eastAsia="宋体" w:cs="Arial"/>
          <w:szCs w:val="21"/>
        </w:rPr>
        <w:t>）新型</w:t>
      </w:r>
      <w:r>
        <w:rPr>
          <w:rFonts w:ascii="Arial" w:hAnsi="Arial" w:eastAsia="宋体" w:cs="Arial"/>
          <w:szCs w:val="21"/>
        </w:rPr>
        <w:t>SWL</w:t>
      </w:r>
      <w:r>
        <w:rPr>
          <w:rFonts w:hint="eastAsia" w:ascii="Arial" w:hAnsi="Arial" w:eastAsia="宋体" w:cs="Arial"/>
          <w:szCs w:val="21"/>
        </w:rPr>
        <w:t>系统或（</w:t>
      </w:r>
      <w:r>
        <w:rPr>
          <w:rFonts w:ascii="Arial" w:hAnsi="Arial" w:eastAsia="宋体" w:cs="Arial"/>
          <w:szCs w:val="21"/>
        </w:rPr>
        <w:t>2</w:t>
      </w:r>
      <w:r>
        <w:rPr>
          <w:rFonts w:hint="eastAsia" w:ascii="Arial" w:hAnsi="Arial" w:eastAsia="宋体" w:cs="Arial"/>
          <w:szCs w:val="21"/>
        </w:rPr>
        <w:t>）已有器械的超声波产生器、高能产生器或聚焦机制的配置发生改变时，均需要在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）中提交本指南</w:t>
      </w:r>
      <w:r>
        <w:rPr>
          <w:rFonts w:ascii="Arial" w:hAnsi="Arial" w:eastAsia="宋体" w:cs="Arial"/>
          <w:szCs w:val="21"/>
        </w:rPr>
        <w:t>8.A.</w:t>
      </w:r>
      <w:r>
        <w:rPr>
          <w:rFonts w:hint="eastAsia" w:ascii="Arial" w:hAnsi="Arial" w:eastAsia="宋体" w:cs="Arial"/>
          <w:szCs w:val="21"/>
        </w:rPr>
        <w:t>章节中所述的超声波特性检测。但如果</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）申请仅涉及器械的其他改变或标签内容，则申办方只需要引用已有器械模型上市申请中的超声波测试结果。</w:t>
      </w:r>
      <w:bookmarkEnd w:id="14"/>
      <w:bookmarkEnd w:id="15"/>
      <w:r>
        <w:rPr>
          <w:rFonts w:ascii="Arial" w:hAnsi="Arial" w:eastAsia="宋体" w:cs="Arial"/>
          <w:szCs w:val="21"/>
        </w:rPr>
        <w:t>】</w:t>
      </w:r>
    </w:p>
    <w:p w14:paraId="1234AB44">
      <w:pPr>
        <w:widowControl/>
        <w:jc w:val="left"/>
        <w:rPr>
          <w:rFonts w:ascii="Arial" w:hAnsi="Arial" w:eastAsia="宋体" w:cs="Arial"/>
          <w:szCs w:val="21"/>
        </w:rPr>
      </w:pPr>
      <w:r>
        <w:rPr>
          <w:rFonts w:ascii="Arial" w:hAnsi="Arial" w:eastAsia="宋体" w:cs="Arial"/>
          <w:szCs w:val="21"/>
        </w:rPr>
        <w:br w:type="page"/>
      </w:r>
    </w:p>
    <w:p w14:paraId="7F2246E5">
      <w:pPr>
        <w:tabs>
          <w:tab w:val="left" w:pos="7240"/>
        </w:tabs>
        <w:snapToGrid w:val="0"/>
        <w:spacing w:after="156" w:afterLines="50" w:line="300" w:lineRule="auto"/>
        <w:ind w:right="-6" w:rightChars="-3"/>
        <w:rPr>
          <w:rFonts w:ascii="Arial" w:hAnsi="Arial" w:eastAsia="宋体" w:cs="Arial"/>
          <w:szCs w:val="21"/>
        </w:rPr>
      </w:pPr>
    </w:p>
    <w:p w14:paraId="13CBC93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本测试的目的旨在对超声波特性进行量化，认为这些特性与碎石情况以及皮肤副作用有关，因此可以作为临床性能的指标。下面列出的声学量化指标需要使用统一标准</w:t>
      </w:r>
      <w:r>
        <w:rPr>
          <w:rFonts w:ascii="Arial" w:hAnsi="Arial" w:eastAsia="宋体" w:cs="Arial"/>
          <w:szCs w:val="21"/>
        </w:rPr>
        <w:t>IEC 61846“</w:t>
      </w:r>
      <w:r>
        <w:rPr>
          <w:rFonts w:hint="eastAsia" w:ascii="Arial" w:hAnsi="Arial" w:eastAsia="宋体" w:cs="Arial"/>
          <w:szCs w:val="21"/>
        </w:rPr>
        <w:t>超声波</w:t>
      </w:r>
      <w:r>
        <w:rPr>
          <w:rFonts w:ascii="Arial" w:hAnsi="Arial" w:eastAsia="宋体" w:cs="Arial"/>
          <w:szCs w:val="21"/>
        </w:rPr>
        <w:t>—</w:t>
      </w:r>
      <w:r>
        <w:rPr>
          <w:rFonts w:hint="eastAsia" w:ascii="Arial" w:hAnsi="Arial" w:eastAsia="宋体" w:cs="Arial"/>
          <w:szCs w:val="21"/>
        </w:rPr>
        <w:t>压力脉冲碎石</w:t>
      </w:r>
      <w:r>
        <w:rPr>
          <w:rFonts w:ascii="Arial" w:hAnsi="Arial" w:eastAsia="宋体" w:cs="Arial"/>
          <w:szCs w:val="21"/>
        </w:rPr>
        <w:t>——</w:t>
      </w:r>
      <w:r>
        <w:rPr>
          <w:rFonts w:hint="eastAsia" w:ascii="Arial" w:hAnsi="Arial" w:eastAsia="宋体" w:cs="Arial"/>
          <w:szCs w:val="21"/>
        </w:rPr>
        <w:t>场特性</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1998</w:t>
      </w:r>
      <w:r>
        <w:rPr>
          <w:rFonts w:hint="eastAsia" w:ascii="Arial" w:hAnsi="Arial" w:eastAsia="宋体" w:cs="Arial"/>
          <w:szCs w:val="21"/>
        </w:rPr>
        <w:t>）所描述的方法进行测量</w:t>
      </w:r>
      <w:r>
        <w:rPr>
          <w:rFonts w:ascii="Arial" w:hAnsi="Arial" w:eastAsia="宋体" w:cs="Arial"/>
          <w:szCs w:val="21"/>
        </w:rPr>
        <w:t>/</w:t>
      </w:r>
      <w:r>
        <w:rPr>
          <w:rFonts w:hint="eastAsia" w:ascii="Arial" w:hAnsi="Arial" w:eastAsia="宋体" w:cs="Arial"/>
          <w:szCs w:val="21"/>
        </w:rPr>
        <w:t>计算。另外还需要对超声波发生器的输出设置分别为最低、一般和最高情况下的声学量化指标情况进行报告，并（尽可能地）与比较器械进行比较。</w:t>
      </w:r>
    </w:p>
    <w:p w14:paraId="6101C5E2">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bookmarkStart w:id="16" w:name="OLE_LINK33"/>
      <w:bookmarkStart w:id="17" w:name="OLE_LINK32"/>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正声压</w:t>
      </w:r>
    </w:p>
    <w:p w14:paraId="3907B98F">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负声压</w:t>
      </w:r>
    </w:p>
    <w:p w14:paraId="201D62BB">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上升时间</w:t>
      </w:r>
    </w:p>
    <w:p w14:paraId="0B953174">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压缩脉冲持续时间</w:t>
      </w:r>
    </w:p>
    <w:p w14:paraId="290CAE5E">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最大聚焦宽度</w:t>
      </w:r>
    </w:p>
    <w:p w14:paraId="7DC72DA1">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对焦聚焦宽度</w:t>
      </w:r>
    </w:p>
    <w:p w14:paraId="013B6F78">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聚焦程度</w:t>
      </w:r>
    </w:p>
    <w:p w14:paraId="5B8B19C2">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聚焦体积</w:t>
      </w:r>
    </w:p>
    <w:p w14:paraId="65AF4D22">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焦点与目标位点距离</w:t>
      </w:r>
    </w:p>
    <w:p w14:paraId="5C6677B5">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产生的焦点声脉冲能量</w:t>
      </w:r>
    </w:p>
    <w:p w14:paraId="41BAD534">
      <w:pPr>
        <w:pStyle w:val="9"/>
        <w:numPr>
          <w:ilvl w:val="0"/>
          <w:numId w:val="6"/>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产生的声脉冲能量</w:t>
      </w:r>
    </w:p>
    <w:bookmarkEnd w:id="16"/>
    <w:bookmarkEnd w:id="17"/>
    <w:p w14:paraId="00BF9932">
      <w:pPr>
        <w:tabs>
          <w:tab w:val="left" w:pos="7240"/>
        </w:tabs>
        <w:snapToGrid w:val="0"/>
        <w:spacing w:after="156" w:afterLines="50" w:line="300" w:lineRule="auto"/>
        <w:ind w:left="141" w:leftChars="67" w:right="-6" w:rightChars="-3"/>
        <w:rPr>
          <w:rFonts w:ascii="Arial" w:hAnsi="Arial" w:eastAsia="宋体" w:cs="Arial"/>
          <w:szCs w:val="21"/>
        </w:rPr>
      </w:pPr>
      <w:r>
        <w:rPr>
          <w:rFonts w:hint="eastAsia" w:ascii="Arial" w:hAnsi="Arial" w:eastAsia="宋体" w:cs="Arial"/>
          <w:szCs w:val="21"/>
          <w:u w:val="single"/>
        </w:rPr>
        <w:t>注：</w:t>
      </w:r>
      <w:r>
        <w:rPr>
          <w:rFonts w:hint="eastAsia" w:ascii="Arial" w:hAnsi="Arial" w:eastAsia="宋体" w:cs="Arial"/>
          <w:szCs w:val="21"/>
        </w:rPr>
        <w:t>上述声学量化指标在</w:t>
      </w:r>
      <w:r>
        <w:rPr>
          <w:rFonts w:ascii="Arial" w:hAnsi="Arial" w:eastAsia="宋体" w:cs="Arial"/>
          <w:szCs w:val="21"/>
        </w:rPr>
        <w:t>IEC 61846</w:t>
      </w:r>
      <w:r>
        <w:rPr>
          <w:rFonts w:hint="eastAsia" w:ascii="Arial" w:hAnsi="Arial" w:eastAsia="宋体" w:cs="Arial"/>
          <w:szCs w:val="21"/>
        </w:rPr>
        <w:t>第</w:t>
      </w:r>
      <w:r>
        <w:rPr>
          <w:rFonts w:ascii="Arial" w:hAnsi="Arial" w:eastAsia="宋体" w:cs="Arial"/>
          <w:szCs w:val="21"/>
        </w:rPr>
        <w:t>3</w:t>
      </w:r>
      <w:r>
        <w:rPr>
          <w:rFonts w:hint="eastAsia" w:ascii="Arial" w:hAnsi="Arial" w:eastAsia="宋体" w:cs="Arial"/>
          <w:szCs w:val="21"/>
        </w:rPr>
        <w:t>条款中有详细规定。</w:t>
      </w:r>
    </w:p>
    <w:p w14:paraId="5F44BDFE">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为了方便将上述信息与用于比较的</w:t>
      </w:r>
      <w:r>
        <w:rPr>
          <w:rFonts w:ascii="Arial" w:hAnsi="Arial" w:eastAsia="宋体" w:cs="Arial"/>
          <w:szCs w:val="21"/>
        </w:rPr>
        <w:t>SWL</w:t>
      </w:r>
      <w:r>
        <w:rPr>
          <w:rFonts w:hint="eastAsia" w:ascii="Arial" w:hAnsi="Arial" w:eastAsia="宋体" w:cs="Arial"/>
          <w:szCs w:val="21"/>
        </w:rPr>
        <w:t>系统进行对比，</w:t>
      </w:r>
      <w:r>
        <w:rPr>
          <w:rFonts w:ascii="Arial" w:hAnsi="Arial" w:eastAsia="宋体" w:cs="Arial"/>
          <w:szCs w:val="21"/>
        </w:rPr>
        <w:t>FDA</w:t>
      </w:r>
      <w:r>
        <w:rPr>
          <w:rFonts w:hint="eastAsia" w:ascii="Arial" w:hAnsi="Arial" w:eastAsia="宋体" w:cs="Arial"/>
          <w:szCs w:val="21"/>
        </w:rPr>
        <w:t>推荐使用标准公制单位对上述声学量化指标进行报告，以表格的形式并附加图表进行报告。</w:t>
      </w:r>
    </w:p>
    <w:p w14:paraId="6102E2AA">
      <w:pPr>
        <w:pStyle w:val="9"/>
        <w:numPr>
          <w:ilvl w:val="1"/>
          <w:numId w:val="1"/>
        </w:numPr>
        <w:tabs>
          <w:tab w:val="left" w:pos="7240"/>
        </w:tabs>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位置精确性评估</w:t>
      </w:r>
    </w:p>
    <w:p w14:paraId="731281E7">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对于（</w:t>
      </w:r>
      <w:r>
        <w:rPr>
          <w:rFonts w:ascii="Arial" w:hAnsi="Arial" w:eastAsia="宋体" w:cs="Arial"/>
          <w:i/>
          <w:szCs w:val="21"/>
        </w:rPr>
        <w:t>1</w:t>
      </w:r>
      <w:r>
        <w:rPr>
          <w:rFonts w:hint="eastAsia" w:ascii="Arial" w:hAnsi="Arial" w:eastAsia="宋体" w:cs="Arial"/>
          <w:i/>
          <w:szCs w:val="21"/>
        </w:rPr>
        <w:t>）新型</w:t>
      </w:r>
      <w:r>
        <w:rPr>
          <w:rFonts w:ascii="Arial" w:hAnsi="Arial" w:eastAsia="宋体" w:cs="Arial"/>
          <w:i/>
          <w:szCs w:val="21"/>
        </w:rPr>
        <w:t>SWL</w:t>
      </w:r>
      <w:r>
        <w:rPr>
          <w:rFonts w:hint="eastAsia" w:ascii="Arial" w:hAnsi="Arial" w:eastAsia="宋体" w:cs="Arial"/>
          <w:i/>
          <w:szCs w:val="21"/>
        </w:rPr>
        <w:t>系统或（</w:t>
      </w:r>
      <w:r>
        <w:rPr>
          <w:rFonts w:ascii="Arial" w:hAnsi="Arial" w:eastAsia="宋体" w:cs="Arial"/>
          <w:i/>
          <w:szCs w:val="21"/>
        </w:rPr>
        <w:t>2</w:t>
      </w:r>
      <w:r>
        <w:rPr>
          <w:rFonts w:hint="eastAsia" w:ascii="Arial" w:hAnsi="Arial" w:eastAsia="宋体" w:cs="Arial"/>
          <w:i/>
          <w:szCs w:val="21"/>
        </w:rPr>
        <w:t>）已有器械的超声波聚焦器位置或定位</w:t>
      </w:r>
      <w:r>
        <w:rPr>
          <w:rFonts w:ascii="Arial" w:hAnsi="Arial" w:eastAsia="宋体" w:cs="Arial"/>
          <w:i/>
          <w:szCs w:val="21"/>
        </w:rPr>
        <w:t>/</w:t>
      </w:r>
      <w:r>
        <w:rPr>
          <w:rFonts w:hint="eastAsia" w:ascii="Arial" w:hAnsi="Arial" w:eastAsia="宋体" w:cs="Arial"/>
          <w:i/>
          <w:szCs w:val="21"/>
        </w:rPr>
        <w:t>结石定位系统的配置发生改变时，均需要在</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）中提交本指南</w:t>
      </w:r>
      <w:r>
        <w:rPr>
          <w:rFonts w:ascii="Arial" w:hAnsi="Arial" w:eastAsia="宋体" w:cs="Arial"/>
          <w:i/>
          <w:szCs w:val="21"/>
        </w:rPr>
        <w:t>8.B.</w:t>
      </w:r>
      <w:r>
        <w:rPr>
          <w:rFonts w:hint="eastAsia" w:ascii="Arial" w:hAnsi="Arial" w:eastAsia="宋体" w:cs="Arial"/>
          <w:i/>
          <w:szCs w:val="21"/>
        </w:rPr>
        <w:t>章节中所述的超声波聚焦精确性检测。但如果</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）申请仅涉及器械的其他改变或标签内容，则申办方只需要引用已有器械模型上市申请中的超声波聚焦测试结果。</w:t>
      </w:r>
      <w:r>
        <w:rPr>
          <w:rFonts w:ascii="Arial" w:hAnsi="Arial" w:eastAsia="宋体" w:cs="Arial"/>
          <w:szCs w:val="21"/>
        </w:rPr>
        <w:t>】</w:t>
      </w:r>
    </w:p>
    <w:p w14:paraId="0FF04222">
      <w:pPr>
        <w:widowControl/>
        <w:jc w:val="left"/>
        <w:rPr>
          <w:rFonts w:ascii="Arial" w:hAnsi="Arial" w:eastAsia="宋体" w:cs="Arial"/>
          <w:szCs w:val="21"/>
        </w:rPr>
      </w:pPr>
      <w:r>
        <w:rPr>
          <w:rFonts w:ascii="Arial" w:hAnsi="Arial" w:eastAsia="宋体" w:cs="Arial"/>
          <w:szCs w:val="21"/>
        </w:rPr>
        <w:br w:type="page"/>
      </w:r>
    </w:p>
    <w:p w14:paraId="2DA77070">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本测试的目的旨在确定定位</w:t>
      </w:r>
      <w:r>
        <w:rPr>
          <w:rFonts w:ascii="Arial" w:hAnsi="Arial" w:eastAsia="宋体" w:cs="Arial"/>
          <w:szCs w:val="21"/>
        </w:rPr>
        <w:t>/</w:t>
      </w:r>
      <w:r>
        <w:rPr>
          <w:rFonts w:hint="eastAsia" w:ascii="Arial" w:hAnsi="Arial" w:eastAsia="宋体" w:cs="Arial"/>
          <w:szCs w:val="21"/>
        </w:rPr>
        <w:t>结石定位系统能够以足够的精度定位超声波聚焦器，将焦点体积内的最大尺寸的小至</w:t>
      </w:r>
      <w:r>
        <w:rPr>
          <w:rFonts w:ascii="Arial" w:hAnsi="Arial" w:eastAsia="宋体" w:cs="Arial"/>
          <w:szCs w:val="21"/>
        </w:rPr>
        <w:t>4mm</w:t>
      </w:r>
      <w:r>
        <w:rPr>
          <w:rFonts w:hint="eastAsia" w:ascii="Arial" w:hAnsi="Arial" w:eastAsia="宋体" w:cs="Arial"/>
          <w:szCs w:val="21"/>
        </w:rPr>
        <w:t>的结石定位。对于本测试，制造商应在依据器械使用指南中所述的治疗前程序，将超声波聚焦器的定位</w:t>
      </w:r>
      <w:r>
        <w:rPr>
          <w:rFonts w:ascii="Arial" w:hAnsi="Arial" w:eastAsia="宋体" w:cs="Arial"/>
          <w:szCs w:val="21"/>
        </w:rPr>
        <w:t>/</w:t>
      </w:r>
      <w:r>
        <w:rPr>
          <w:rFonts w:hint="eastAsia" w:ascii="Arial" w:hAnsi="Arial" w:eastAsia="宋体" w:cs="Arial"/>
          <w:szCs w:val="21"/>
        </w:rPr>
        <w:t>结石定位系统焦点对齐后，从</w:t>
      </w:r>
      <w:r>
        <w:rPr>
          <w:rFonts w:ascii="Arial" w:hAnsi="Arial" w:eastAsia="宋体" w:cs="Arial"/>
          <w:szCs w:val="21"/>
        </w:rPr>
        <w:t>“</w:t>
      </w:r>
      <w:r>
        <w:rPr>
          <w:rFonts w:hint="eastAsia" w:ascii="Arial" w:hAnsi="Arial" w:eastAsia="宋体" w:cs="Arial"/>
          <w:szCs w:val="21"/>
        </w:rPr>
        <w:t>超声波聚焦器</w:t>
      </w:r>
      <w:r>
        <w:rPr>
          <w:rFonts w:ascii="Arial" w:hAnsi="Arial" w:eastAsia="宋体" w:cs="Arial"/>
          <w:szCs w:val="21"/>
        </w:rPr>
        <w:t>”</w:t>
      </w:r>
      <w:r>
        <w:rPr>
          <w:rFonts w:hint="eastAsia" w:ascii="Arial" w:hAnsi="Arial" w:eastAsia="宋体" w:cs="Arial"/>
          <w:szCs w:val="21"/>
        </w:rPr>
        <w:t>（例如峰值正声压点）中定量地评估</w:t>
      </w:r>
      <w:r>
        <w:rPr>
          <w:rFonts w:ascii="Arial" w:hAnsi="Arial" w:eastAsia="宋体" w:cs="Arial"/>
          <w:szCs w:val="21"/>
        </w:rPr>
        <w:t>“</w:t>
      </w:r>
      <w:r>
        <w:rPr>
          <w:rFonts w:hint="eastAsia" w:ascii="Arial" w:hAnsi="Arial" w:eastAsia="宋体" w:cs="Arial"/>
          <w:szCs w:val="21"/>
        </w:rPr>
        <w:t>目标位置</w:t>
      </w:r>
      <w:r>
        <w:rPr>
          <w:rFonts w:ascii="Arial" w:hAnsi="Arial" w:eastAsia="宋体" w:cs="Arial"/>
          <w:szCs w:val="21"/>
        </w:rPr>
        <w:t>”</w:t>
      </w:r>
      <w:r>
        <w:rPr>
          <w:rFonts w:hint="eastAsia" w:ascii="Arial" w:hAnsi="Arial" w:eastAsia="宋体" w:cs="Arial"/>
          <w:szCs w:val="21"/>
        </w:rPr>
        <w:t>（如空间位置，其中制造商打算让操作者定位结石）的最大程度偏离。</w:t>
      </w:r>
    </w:p>
    <w:p w14:paraId="0F60E940">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运输测试</w:t>
      </w:r>
    </w:p>
    <w:p w14:paraId="0BF23BE3">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根据指南</w:t>
      </w:r>
      <w:r>
        <w:rPr>
          <w:rFonts w:ascii="Arial" w:hAnsi="Arial" w:eastAsia="宋体" w:cs="Arial"/>
          <w:i/>
          <w:szCs w:val="21"/>
        </w:rPr>
        <w:t>8.C</w:t>
      </w:r>
      <w:r>
        <w:rPr>
          <w:rFonts w:hint="eastAsia" w:ascii="Arial" w:hAnsi="Arial" w:eastAsia="宋体" w:cs="Arial"/>
          <w:i/>
          <w:szCs w:val="21"/>
        </w:rPr>
        <w:t>节的描述，运输测试仅适用于拟上市的移动或半固定类型的</w:t>
      </w:r>
      <w:r>
        <w:rPr>
          <w:rFonts w:ascii="Arial" w:hAnsi="Arial" w:eastAsia="宋体" w:cs="Arial"/>
          <w:i/>
          <w:szCs w:val="21"/>
        </w:rPr>
        <w:t>SWL</w:t>
      </w:r>
      <w:r>
        <w:rPr>
          <w:rFonts w:hint="eastAsia" w:ascii="Arial" w:hAnsi="Arial" w:eastAsia="宋体" w:cs="Arial"/>
          <w:i/>
          <w:szCs w:val="21"/>
        </w:rPr>
        <w:t>的</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w:t>
      </w:r>
      <w:r>
        <w:rPr>
          <w:rFonts w:ascii="Arial" w:hAnsi="Arial" w:eastAsia="宋体" w:cs="Arial"/>
          <w:szCs w:val="21"/>
        </w:rPr>
        <w:t>】</w:t>
      </w:r>
    </w:p>
    <w:p w14:paraId="1BC78BE8">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该项测试的目的旨在确定移动</w:t>
      </w:r>
      <w:r>
        <w:rPr>
          <w:rFonts w:ascii="Arial" w:hAnsi="Arial" w:eastAsia="宋体" w:cs="Arial"/>
          <w:szCs w:val="21"/>
        </w:rPr>
        <w:t>/</w:t>
      </w:r>
      <w:r>
        <w:rPr>
          <w:rFonts w:hint="eastAsia" w:ascii="Arial" w:hAnsi="Arial" w:eastAsia="宋体" w:cs="Arial"/>
          <w:szCs w:val="21"/>
        </w:rPr>
        <w:t>半固定型</w:t>
      </w:r>
      <w:r>
        <w:rPr>
          <w:rFonts w:ascii="Arial" w:hAnsi="Arial" w:eastAsia="宋体" w:cs="Arial"/>
          <w:szCs w:val="21"/>
        </w:rPr>
        <w:t>SWL</w:t>
      </w:r>
      <w:r>
        <w:rPr>
          <w:rFonts w:hint="eastAsia" w:ascii="Arial" w:hAnsi="Arial" w:eastAsia="宋体" w:cs="Arial"/>
          <w:szCs w:val="21"/>
        </w:rPr>
        <w:t>系统能够承受拆卸、搭建、运输、装载、配置过程中的压力和震动，并且在性能配置方面没有严重的损害。在设计测试的过程中应当考虑以下信息：</w:t>
      </w:r>
    </w:p>
    <w:p w14:paraId="5E281AB0">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使用最终版本的</w:t>
      </w:r>
      <w:r>
        <w:rPr>
          <w:rFonts w:ascii="Arial" w:hAnsi="Arial" w:eastAsia="宋体" w:cs="Arial"/>
          <w:szCs w:val="21"/>
        </w:rPr>
        <w:t>SWL</w:t>
      </w:r>
      <w:r>
        <w:rPr>
          <w:rFonts w:hint="eastAsia" w:ascii="Arial" w:hAnsi="Arial" w:eastAsia="宋体" w:cs="Arial"/>
          <w:szCs w:val="21"/>
        </w:rPr>
        <w:t>系统，应当对</w:t>
      </w:r>
      <w:bookmarkStart w:id="18" w:name="OLE_LINK16"/>
      <w:bookmarkStart w:id="19" w:name="OLE_LINK17"/>
      <w:r>
        <w:rPr>
          <w:rFonts w:hint="eastAsia" w:ascii="Arial" w:hAnsi="Arial" w:eastAsia="宋体" w:cs="Arial"/>
          <w:szCs w:val="21"/>
        </w:rPr>
        <w:t>（</w:t>
      </w:r>
      <w:r>
        <w:rPr>
          <w:rFonts w:ascii="Arial" w:hAnsi="Arial" w:eastAsia="宋体" w:cs="Arial"/>
          <w:szCs w:val="21"/>
        </w:rPr>
        <w:t>1</w:t>
      </w:r>
      <w:r>
        <w:rPr>
          <w:rFonts w:hint="eastAsia" w:ascii="Arial" w:hAnsi="Arial" w:eastAsia="宋体" w:cs="Arial"/>
          <w:szCs w:val="21"/>
        </w:rPr>
        <w:t>）在超声波发生器默认输出设置的情况下超声波的平均峰值正声压情况（</w:t>
      </w:r>
      <w:r>
        <w:rPr>
          <w:rFonts w:ascii="Arial" w:hAnsi="Arial" w:eastAsia="宋体" w:cs="Arial"/>
          <w:szCs w:val="21"/>
        </w:rPr>
        <w:t>n=30</w:t>
      </w:r>
      <w:r>
        <w:rPr>
          <w:rFonts w:hint="eastAsia" w:ascii="Arial" w:hAnsi="Arial" w:eastAsia="宋体" w:cs="Arial"/>
          <w:szCs w:val="21"/>
        </w:rPr>
        <w:t>次），（</w:t>
      </w:r>
      <w:r>
        <w:rPr>
          <w:rFonts w:ascii="Arial" w:hAnsi="Arial" w:eastAsia="宋体" w:cs="Arial"/>
          <w:szCs w:val="21"/>
        </w:rPr>
        <w:t>2</w:t>
      </w:r>
      <w:r>
        <w:rPr>
          <w:rFonts w:hint="eastAsia" w:ascii="Arial" w:hAnsi="Arial" w:eastAsia="宋体" w:cs="Arial"/>
          <w:szCs w:val="21"/>
        </w:rPr>
        <w:t>）定位</w:t>
      </w:r>
      <w:r>
        <w:rPr>
          <w:rFonts w:ascii="Arial" w:hAnsi="Arial" w:eastAsia="宋体" w:cs="Arial"/>
          <w:szCs w:val="21"/>
        </w:rPr>
        <w:t>/</w:t>
      </w:r>
      <w:r>
        <w:rPr>
          <w:rFonts w:hint="eastAsia" w:ascii="Arial" w:hAnsi="Arial" w:eastAsia="宋体" w:cs="Arial"/>
          <w:szCs w:val="21"/>
        </w:rPr>
        <w:t>结石定位系统的准确性，以及（</w:t>
      </w:r>
      <w:r>
        <w:rPr>
          <w:rFonts w:ascii="Arial" w:hAnsi="Arial" w:eastAsia="宋体" w:cs="Arial"/>
          <w:szCs w:val="21"/>
        </w:rPr>
        <w:t>3</w:t>
      </w:r>
      <w:r>
        <w:rPr>
          <w:rFonts w:hint="eastAsia" w:ascii="Arial" w:hAnsi="Arial" w:eastAsia="宋体" w:cs="Arial"/>
          <w:szCs w:val="21"/>
        </w:rPr>
        <w:t>）系统整体功能的基线水平</w:t>
      </w:r>
      <w:bookmarkEnd w:id="18"/>
      <w:bookmarkEnd w:id="19"/>
      <w:r>
        <w:rPr>
          <w:rFonts w:hint="eastAsia" w:ascii="Arial" w:hAnsi="Arial" w:eastAsia="宋体" w:cs="Arial"/>
          <w:szCs w:val="21"/>
        </w:rPr>
        <w:t>进行测量。（由于在本测试中仅需要峰值正声压的相对值，因此可以使用性能较好的水下超声波检测仪。）</w:t>
      </w:r>
    </w:p>
    <w:p w14:paraId="10914222">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准备运输所用的器械，需要与标签规格一致。</w:t>
      </w:r>
    </w:p>
    <w:p w14:paraId="0AFB3D75">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进行运输测试，将器械运输至少</w:t>
      </w:r>
      <w:r>
        <w:rPr>
          <w:rFonts w:ascii="Arial" w:hAnsi="Arial" w:eastAsia="宋体" w:cs="Arial"/>
          <w:szCs w:val="21"/>
        </w:rPr>
        <w:t>1</w:t>
      </w:r>
      <w:r>
        <w:rPr>
          <w:rFonts w:hint="eastAsia" w:ascii="Arial" w:hAnsi="Arial" w:eastAsia="宋体" w:cs="Arial"/>
          <w:szCs w:val="21"/>
        </w:rPr>
        <w:t>小时。本测试过程应当选择最严苛的测试环境，如减速路障、火车轨道、紧急制动、高速公路、次级道路和卵石路、交通堵塞等。</w:t>
      </w:r>
    </w:p>
    <w:p w14:paraId="3FE72032">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准备使用的器械，需要与标签规格一致。</w:t>
      </w:r>
    </w:p>
    <w:p w14:paraId="2DBB7903">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重复基线测量（</w:t>
      </w:r>
      <w:r>
        <w:rPr>
          <w:rFonts w:ascii="Arial" w:hAnsi="Arial" w:eastAsia="宋体" w:cs="Arial"/>
          <w:szCs w:val="21"/>
        </w:rPr>
        <w:t>1</w:t>
      </w:r>
      <w:r>
        <w:rPr>
          <w:rFonts w:hint="eastAsia" w:ascii="Arial" w:hAnsi="Arial" w:eastAsia="宋体" w:cs="Arial"/>
          <w:szCs w:val="21"/>
        </w:rPr>
        <w:t>）在超声波发生器默认输出设置的情况下超声波的平均峰值正声压情况（</w:t>
      </w:r>
      <w:r>
        <w:rPr>
          <w:rFonts w:ascii="Arial" w:hAnsi="Arial" w:eastAsia="宋体" w:cs="Arial"/>
          <w:szCs w:val="21"/>
        </w:rPr>
        <w:t>n=30</w:t>
      </w:r>
      <w:r>
        <w:rPr>
          <w:rFonts w:hint="eastAsia" w:ascii="Arial" w:hAnsi="Arial" w:eastAsia="宋体" w:cs="Arial"/>
          <w:szCs w:val="21"/>
        </w:rPr>
        <w:t>次），（</w:t>
      </w:r>
      <w:r>
        <w:rPr>
          <w:rFonts w:ascii="Arial" w:hAnsi="Arial" w:eastAsia="宋体" w:cs="Arial"/>
          <w:szCs w:val="21"/>
        </w:rPr>
        <w:t>2</w:t>
      </w:r>
      <w:r>
        <w:rPr>
          <w:rFonts w:hint="eastAsia" w:ascii="Arial" w:hAnsi="Arial" w:eastAsia="宋体" w:cs="Arial"/>
          <w:szCs w:val="21"/>
        </w:rPr>
        <w:t>）定位</w:t>
      </w:r>
      <w:r>
        <w:rPr>
          <w:rFonts w:ascii="Arial" w:hAnsi="Arial" w:eastAsia="宋体" w:cs="Arial"/>
          <w:szCs w:val="21"/>
        </w:rPr>
        <w:t>/</w:t>
      </w:r>
      <w:r>
        <w:rPr>
          <w:rFonts w:hint="eastAsia" w:ascii="Arial" w:hAnsi="Arial" w:eastAsia="宋体" w:cs="Arial"/>
          <w:szCs w:val="21"/>
        </w:rPr>
        <w:t>结石定位系统的准确性，以及（</w:t>
      </w:r>
      <w:r>
        <w:rPr>
          <w:rFonts w:ascii="Arial" w:hAnsi="Arial" w:eastAsia="宋体" w:cs="Arial"/>
          <w:szCs w:val="21"/>
        </w:rPr>
        <w:t>3</w:t>
      </w:r>
      <w:r>
        <w:rPr>
          <w:rFonts w:hint="eastAsia" w:ascii="Arial" w:hAnsi="Arial" w:eastAsia="宋体" w:cs="Arial"/>
          <w:szCs w:val="21"/>
        </w:rPr>
        <w:t>）系统整体功能的基线水平。（运输测试后的峰值正声压测试应当采取与基测量相同的水下超声波检测仪设计。）测试结果与运输测试前的数据进行比较，运输前后的系统性能指标应当没有显著差别。</w:t>
      </w:r>
    </w:p>
    <w:p w14:paraId="658888B2">
      <w:pPr>
        <w:widowControl/>
        <w:jc w:val="left"/>
        <w:rPr>
          <w:rFonts w:ascii="Arial" w:hAnsi="Arial" w:eastAsia="宋体" w:cs="Arial"/>
          <w:szCs w:val="21"/>
        </w:rPr>
      </w:pPr>
      <w:r>
        <w:rPr>
          <w:rFonts w:ascii="Arial" w:hAnsi="Arial" w:eastAsia="宋体" w:cs="Arial"/>
          <w:szCs w:val="21"/>
        </w:rPr>
        <w:br w:type="page"/>
      </w:r>
    </w:p>
    <w:p w14:paraId="4F9DC93F">
      <w:pPr>
        <w:pStyle w:val="9"/>
        <w:widowControl/>
        <w:numPr>
          <w:ilvl w:val="1"/>
          <w:numId w:val="1"/>
        </w:numPr>
        <w:tabs>
          <w:tab w:val="left" w:pos="7240"/>
        </w:tabs>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临床性能测试</w:t>
      </w:r>
    </w:p>
    <w:p w14:paraId="630C2DE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对于（</w:t>
      </w:r>
      <w:r>
        <w:rPr>
          <w:rFonts w:ascii="Arial" w:hAnsi="Arial" w:eastAsia="宋体" w:cs="Arial"/>
          <w:i/>
          <w:szCs w:val="21"/>
        </w:rPr>
        <w:t>1</w:t>
      </w:r>
      <w:r>
        <w:rPr>
          <w:rFonts w:hint="eastAsia" w:ascii="Arial" w:hAnsi="Arial" w:eastAsia="宋体" w:cs="Arial"/>
          <w:i/>
          <w:szCs w:val="21"/>
        </w:rPr>
        <w:t>）新型</w:t>
      </w:r>
      <w:r>
        <w:rPr>
          <w:rFonts w:ascii="Arial" w:hAnsi="Arial" w:eastAsia="宋体" w:cs="Arial"/>
          <w:i/>
          <w:szCs w:val="21"/>
        </w:rPr>
        <w:t>SWL</w:t>
      </w:r>
      <w:r>
        <w:rPr>
          <w:rFonts w:hint="eastAsia" w:ascii="Arial" w:hAnsi="Arial" w:eastAsia="宋体" w:cs="Arial"/>
          <w:i/>
          <w:szCs w:val="21"/>
        </w:rPr>
        <w:t>系统或（</w:t>
      </w:r>
      <w:r>
        <w:rPr>
          <w:rFonts w:ascii="Arial" w:hAnsi="Arial" w:eastAsia="宋体" w:cs="Arial"/>
          <w:i/>
          <w:szCs w:val="21"/>
        </w:rPr>
        <w:t>2</w:t>
      </w:r>
      <w:r>
        <w:rPr>
          <w:rFonts w:hint="eastAsia" w:ascii="Arial" w:hAnsi="Arial" w:eastAsia="宋体" w:cs="Arial"/>
          <w:i/>
          <w:szCs w:val="21"/>
        </w:rPr>
        <w:t>）已有器械的超声波产生器、高能产生器或聚焦机制的配置发生改变；或（</w:t>
      </w:r>
      <w:r>
        <w:rPr>
          <w:rFonts w:ascii="Arial" w:hAnsi="Arial" w:eastAsia="宋体" w:cs="Arial"/>
          <w:i/>
          <w:szCs w:val="21"/>
        </w:rPr>
        <w:t>3</w:t>
      </w:r>
      <w:r>
        <w:rPr>
          <w:rFonts w:hint="eastAsia" w:ascii="Arial" w:hAnsi="Arial" w:eastAsia="宋体" w:cs="Arial"/>
          <w:i/>
          <w:szCs w:val="21"/>
        </w:rPr>
        <w:t>）已有器械的标签中要加入新的临床性能说明时，均需要在</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）中提交本指南</w:t>
      </w:r>
      <w:r>
        <w:rPr>
          <w:rFonts w:ascii="Arial" w:hAnsi="Arial" w:eastAsia="宋体" w:cs="Arial"/>
          <w:i/>
          <w:szCs w:val="21"/>
        </w:rPr>
        <w:t>8.D.</w:t>
      </w:r>
      <w:r>
        <w:rPr>
          <w:rFonts w:hint="eastAsia" w:ascii="Arial" w:hAnsi="Arial" w:eastAsia="宋体" w:cs="Arial"/>
          <w:i/>
          <w:szCs w:val="21"/>
        </w:rPr>
        <w:t>节中所述的临床性能测试。但如果</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）申请仅涉及器械的其他改变或标签内容，则申办方只需要引用已有器械模型上市申请中的超声波测试结果。</w:t>
      </w:r>
      <w:r>
        <w:rPr>
          <w:rFonts w:hint="eastAsia" w:ascii="Arial" w:hAnsi="Arial" w:eastAsia="宋体" w:cs="Arial"/>
          <w:szCs w:val="21"/>
        </w:rPr>
        <w:t>】</w:t>
      </w:r>
    </w:p>
    <w:p w14:paraId="7AEF666D">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根据本节的叙述，临床性能测试需要根据特定器械的技术特性及标签说明情况采取针对安全性和有效性的验证性的临床研究或大型临床研究。</w:t>
      </w:r>
    </w:p>
    <w:p w14:paraId="223FFB0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如果申请的</w:t>
      </w:r>
      <w:r>
        <w:rPr>
          <w:rFonts w:ascii="Arial" w:hAnsi="Arial" w:eastAsia="宋体" w:cs="Arial"/>
          <w:szCs w:val="21"/>
        </w:rPr>
        <w:t>SWL</w:t>
      </w:r>
      <w:r>
        <w:rPr>
          <w:rFonts w:hint="eastAsia" w:ascii="Arial" w:hAnsi="Arial" w:eastAsia="宋体" w:cs="Arial"/>
          <w:szCs w:val="21"/>
        </w:rPr>
        <w:t>系统（</w:t>
      </w:r>
      <w:r>
        <w:rPr>
          <w:rFonts w:ascii="Arial" w:hAnsi="Arial" w:eastAsia="宋体" w:cs="Arial"/>
          <w:szCs w:val="21"/>
        </w:rPr>
        <w:t>1</w:t>
      </w:r>
      <w:r>
        <w:rPr>
          <w:rFonts w:hint="eastAsia" w:ascii="Arial" w:hAnsi="Arial" w:eastAsia="宋体" w:cs="Arial"/>
          <w:szCs w:val="21"/>
        </w:rPr>
        <w:t>）使用了与进行比较的</w:t>
      </w:r>
      <w:r>
        <w:rPr>
          <w:rFonts w:ascii="Arial" w:hAnsi="Arial" w:eastAsia="宋体" w:cs="Arial"/>
          <w:szCs w:val="21"/>
        </w:rPr>
        <w:t>SWL</w:t>
      </w:r>
      <w:r>
        <w:rPr>
          <w:rFonts w:hint="eastAsia" w:ascii="Arial" w:hAnsi="Arial" w:eastAsia="宋体" w:cs="Arial"/>
          <w:szCs w:val="21"/>
        </w:rPr>
        <w:t>系统相似的超声波生成机制，并且（</w:t>
      </w:r>
      <w:r>
        <w:rPr>
          <w:rFonts w:ascii="Arial" w:hAnsi="Arial" w:eastAsia="宋体" w:cs="Arial"/>
          <w:szCs w:val="21"/>
        </w:rPr>
        <w:t>2</w:t>
      </w:r>
      <w:r>
        <w:rPr>
          <w:rFonts w:hint="eastAsia" w:ascii="Arial" w:hAnsi="Arial" w:eastAsia="宋体" w:cs="Arial"/>
          <w:szCs w:val="21"/>
        </w:rPr>
        <w:t>）产生的超声波特性</w:t>
      </w:r>
      <w:bookmarkStart w:id="20" w:name="OLE_LINK18"/>
      <w:bookmarkStart w:id="21" w:name="OLE_LINK19"/>
      <w:r>
        <w:rPr>
          <w:rFonts w:hint="eastAsia" w:ascii="Arial" w:hAnsi="Arial" w:eastAsia="宋体" w:cs="Arial"/>
          <w:szCs w:val="21"/>
        </w:rPr>
        <w:t>（根据本指南</w:t>
      </w:r>
      <w:r>
        <w:rPr>
          <w:rFonts w:ascii="Arial" w:hAnsi="Arial" w:eastAsia="宋体" w:cs="Arial"/>
          <w:szCs w:val="21"/>
        </w:rPr>
        <w:t>8.A</w:t>
      </w:r>
      <w:r>
        <w:rPr>
          <w:rFonts w:hint="eastAsia" w:ascii="Arial" w:hAnsi="Arial" w:eastAsia="宋体" w:cs="Arial"/>
          <w:szCs w:val="21"/>
        </w:rPr>
        <w:t>章节确定）</w:t>
      </w:r>
      <w:bookmarkEnd w:id="20"/>
      <w:bookmarkEnd w:id="21"/>
      <w:r>
        <w:rPr>
          <w:rFonts w:hint="eastAsia" w:ascii="Arial" w:hAnsi="Arial" w:eastAsia="宋体" w:cs="Arial"/>
          <w:szCs w:val="21"/>
        </w:rPr>
        <w:t>在进行比较的</w:t>
      </w:r>
      <w:r>
        <w:rPr>
          <w:rFonts w:ascii="Arial" w:hAnsi="Arial" w:eastAsia="宋体" w:cs="Arial"/>
          <w:szCs w:val="21"/>
        </w:rPr>
        <w:t>SWL</w:t>
      </w:r>
      <w:r>
        <w:rPr>
          <w:rFonts w:hint="eastAsia" w:ascii="Arial" w:hAnsi="Arial" w:eastAsia="宋体" w:cs="Arial"/>
          <w:szCs w:val="21"/>
        </w:rPr>
        <w:t>系统范围内，则需要进行一个</w:t>
      </w:r>
      <w:r>
        <w:rPr>
          <w:rFonts w:hint="eastAsia" w:ascii="Arial" w:hAnsi="Arial" w:eastAsia="宋体" w:cs="Arial"/>
          <w:szCs w:val="21"/>
          <w:u w:val="single"/>
        </w:rPr>
        <w:t>验证性的临床研究</w:t>
      </w:r>
      <w:r>
        <w:rPr>
          <w:rFonts w:hint="eastAsia" w:ascii="Arial" w:hAnsi="Arial" w:eastAsia="宋体" w:cs="Arial"/>
          <w:szCs w:val="21"/>
        </w:rPr>
        <w:t>来确定实质等同性。在设计验证性临床研究的过程中应当考虑以下信息：</w:t>
      </w:r>
    </w:p>
    <w:p w14:paraId="3EB37651">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本临床研究的目的旨在确认该器械的功能状态以及申请的标签内容的恰当性。</w:t>
      </w:r>
    </w:p>
    <w:p w14:paraId="681347F5">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该研究应当包含</w:t>
      </w:r>
      <w:r>
        <w:rPr>
          <w:rFonts w:ascii="Arial" w:hAnsi="Arial" w:eastAsia="宋体" w:cs="Arial"/>
          <w:szCs w:val="21"/>
        </w:rPr>
        <w:t>20</w:t>
      </w:r>
      <w:r>
        <w:rPr>
          <w:rFonts w:hint="eastAsia" w:ascii="Arial" w:hAnsi="Arial" w:eastAsia="宋体" w:cs="Arial"/>
          <w:szCs w:val="21"/>
        </w:rPr>
        <w:t>名来自</w:t>
      </w:r>
      <w:r>
        <w:rPr>
          <w:rFonts w:ascii="Arial" w:hAnsi="Arial" w:eastAsia="宋体" w:cs="Arial"/>
          <w:szCs w:val="21"/>
        </w:rPr>
        <w:t>2</w:t>
      </w:r>
      <w:r>
        <w:rPr>
          <w:rFonts w:hint="eastAsia" w:ascii="Arial" w:hAnsi="Arial" w:eastAsia="宋体" w:cs="Arial"/>
          <w:szCs w:val="21"/>
        </w:rPr>
        <w:t>所不同的研究地点的泌尿系统结石患者，在手术后进行早期随访（例如</w:t>
      </w:r>
      <w:r>
        <w:rPr>
          <w:rFonts w:ascii="Arial" w:hAnsi="Arial" w:eastAsia="宋体" w:cs="Arial"/>
          <w:szCs w:val="21"/>
        </w:rPr>
        <w:t>48</w:t>
      </w:r>
      <w:r>
        <w:rPr>
          <w:rFonts w:hint="eastAsia" w:ascii="Arial" w:hAnsi="Arial" w:eastAsia="宋体" w:cs="Arial"/>
          <w:szCs w:val="21"/>
        </w:rPr>
        <w:t>小时至</w:t>
      </w:r>
      <w:r>
        <w:rPr>
          <w:rFonts w:ascii="Arial" w:hAnsi="Arial" w:eastAsia="宋体" w:cs="Arial"/>
          <w:szCs w:val="21"/>
        </w:rPr>
        <w:t>2</w:t>
      </w:r>
      <w:r>
        <w:rPr>
          <w:rFonts w:hint="eastAsia" w:ascii="Arial" w:hAnsi="Arial" w:eastAsia="宋体" w:cs="Arial"/>
          <w:szCs w:val="21"/>
        </w:rPr>
        <w:t>周）。所有的患者均应适用</w:t>
      </w:r>
      <w:r>
        <w:rPr>
          <w:rFonts w:ascii="Arial" w:hAnsi="Arial" w:eastAsia="宋体" w:cs="Arial"/>
          <w:szCs w:val="21"/>
        </w:rPr>
        <w:t>SWL</w:t>
      </w:r>
      <w:r>
        <w:rPr>
          <w:rFonts w:hint="eastAsia" w:ascii="Arial" w:hAnsi="Arial" w:eastAsia="宋体" w:cs="Arial"/>
          <w:szCs w:val="21"/>
        </w:rPr>
        <w:t>，并且满足器械研究者对预期使用和禁忌症的要求。</w:t>
      </w:r>
    </w:p>
    <w:p w14:paraId="5D23A145">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研究者需要在</w:t>
      </w:r>
      <w:r>
        <w:rPr>
          <w:rFonts w:ascii="Arial" w:hAnsi="Arial" w:eastAsia="宋体" w:cs="Arial"/>
          <w:szCs w:val="21"/>
        </w:rPr>
        <w:t>SWL</w:t>
      </w:r>
      <w:r>
        <w:rPr>
          <w:rFonts w:hint="eastAsia" w:ascii="Arial" w:hAnsi="Arial" w:eastAsia="宋体" w:cs="Arial"/>
          <w:szCs w:val="21"/>
        </w:rPr>
        <w:t>治疗过程中对合适的数据进行记录，并且在手术后的早期随访检查过程中记录器械的运行状态，如：</w:t>
      </w:r>
    </w:p>
    <w:p w14:paraId="02CACBB4">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器械故障发生率、故障原因以及解决情况；</w:t>
      </w:r>
    </w:p>
    <w:p w14:paraId="4C78635F">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使用的治疗参数；</w:t>
      </w:r>
    </w:p>
    <w:p w14:paraId="5F774495">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碎石结果；</w:t>
      </w:r>
    </w:p>
    <w:p w14:paraId="3C9013CD">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并发率；</w:t>
      </w:r>
    </w:p>
    <w:p w14:paraId="27F8390A">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使用的麻醉</w:t>
      </w:r>
      <w:r>
        <w:rPr>
          <w:rFonts w:ascii="Arial" w:hAnsi="Arial" w:eastAsia="宋体" w:cs="Arial"/>
          <w:szCs w:val="21"/>
        </w:rPr>
        <w:t>/</w:t>
      </w:r>
      <w:r>
        <w:rPr>
          <w:rFonts w:hint="eastAsia" w:ascii="Arial" w:hAnsi="Arial" w:eastAsia="宋体" w:cs="Arial"/>
          <w:szCs w:val="21"/>
        </w:rPr>
        <w:t>止痛情况；</w:t>
      </w:r>
    </w:p>
    <w:p w14:paraId="76C29FEC">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放射暴露；以及</w:t>
      </w:r>
    </w:p>
    <w:p w14:paraId="6FC69812">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系统地人机工程学评估。</w:t>
      </w:r>
    </w:p>
    <w:p w14:paraId="66DA613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如果申请的</w:t>
      </w:r>
      <w:r>
        <w:rPr>
          <w:rFonts w:ascii="Arial" w:hAnsi="Arial" w:eastAsia="宋体" w:cs="Arial"/>
          <w:szCs w:val="21"/>
        </w:rPr>
        <w:t>SWL</w:t>
      </w:r>
      <w:r>
        <w:rPr>
          <w:rFonts w:hint="eastAsia" w:ascii="Arial" w:hAnsi="Arial" w:eastAsia="宋体" w:cs="Arial"/>
          <w:szCs w:val="21"/>
        </w:rPr>
        <w:t>系统（</w:t>
      </w:r>
      <w:r>
        <w:rPr>
          <w:rFonts w:ascii="Arial" w:hAnsi="Arial" w:eastAsia="宋体" w:cs="Arial"/>
          <w:szCs w:val="21"/>
        </w:rPr>
        <w:t>1</w:t>
      </w:r>
      <w:r>
        <w:rPr>
          <w:rFonts w:hint="eastAsia" w:ascii="Arial" w:hAnsi="Arial" w:eastAsia="宋体" w:cs="Arial"/>
          <w:szCs w:val="21"/>
        </w:rPr>
        <w:t>）使用了与进行比较的</w:t>
      </w:r>
      <w:r>
        <w:rPr>
          <w:rFonts w:ascii="Arial" w:hAnsi="Arial" w:eastAsia="宋体" w:cs="Arial"/>
          <w:szCs w:val="21"/>
        </w:rPr>
        <w:t>SWL</w:t>
      </w:r>
      <w:r>
        <w:rPr>
          <w:rFonts w:hint="eastAsia" w:ascii="Arial" w:hAnsi="Arial" w:eastAsia="宋体" w:cs="Arial"/>
          <w:szCs w:val="21"/>
        </w:rPr>
        <w:t>系统不同的新的超声波产生机制，或（</w:t>
      </w:r>
      <w:r>
        <w:rPr>
          <w:rFonts w:ascii="Arial" w:hAnsi="Arial" w:eastAsia="宋体" w:cs="Arial"/>
          <w:szCs w:val="21"/>
        </w:rPr>
        <w:t>2</w:t>
      </w:r>
      <w:r>
        <w:rPr>
          <w:rFonts w:hint="eastAsia" w:ascii="Arial" w:hAnsi="Arial" w:eastAsia="宋体" w:cs="Arial"/>
          <w:szCs w:val="21"/>
        </w:rPr>
        <w:t>）超声波特性超出了进行比较的</w:t>
      </w:r>
      <w:r>
        <w:rPr>
          <w:rFonts w:ascii="Arial" w:hAnsi="Arial" w:eastAsia="宋体" w:cs="Arial"/>
          <w:szCs w:val="21"/>
        </w:rPr>
        <w:t>SWL</w:t>
      </w:r>
      <w:r>
        <w:rPr>
          <w:rFonts w:hint="eastAsia" w:ascii="Arial" w:hAnsi="Arial" w:eastAsia="宋体" w:cs="Arial"/>
          <w:szCs w:val="21"/>
        </w:rPr>
        <w:t>系统范围（根据本指南</w:t>
      </w:r>
      <w:r>
        <w:rPr>
          <w:rFonts w:ascii="Arial" w:hAnsi="Arial" w:eastAsia="宋体" w:cs="Arial"/>
          <w:szCs w:val="21"/>
        </w:rPr>
        <w:t>8.A</w:t>
      </w:r>
      <w:r>
        <w:rPr>
          <w:rFonts w:hint="eastAsia" w:ascii="Arial" w:hAnsi="Arial" w:eastAsia="宋体" w:cs="Arial"/>
          <w:szCs w:val="21"/>
        </w:rPr>
        <w:t>章节确定），则需要进行一个大型临床研究，来确定新的技术特性与进行比较的器械具有相同的安全性和有效性。在进行大型临床试验的计划过程中，</w:t>
      </w:r>
      <w:bookmarkStart w:id="22" w:name="OLE_LINK21"/>
      <w:bookmarkStart w:id="23" w:name="OLE_LINK20"/>
      <w:r>
        <w:rPr>
          <w:rFonts w:hint="eastAsia" w:ascii="Arial" w:hAnsi="Arial" w:eastAsia="宋体" w:cs="Arial"/>
          <w:szCs w:val="21"/>
        </w:rPr>
        <w:t>可以向泌尿和碎石器械分部寻求指导，选择合适的实验设计以对申请器械的技术细节进行评估。</w:t>
      </w:r>
      <w:bookmarkEnd w:id="22"/>
      <w:bookmarkEnd w:id="23"/>
    </w:p>
    <w:p w14:paraId="710D3CA4">
      <w:pPr>
        <w:widowControl/>
        <w:jc w:val="left"/>
        <w:rPr>
          <w:rFonts w:ascii="Arial" w:hAnsi="Arial" w:eastAsia="宋体" w:cs="Arial"/>
          <w:szCs w:val="21"/>
        </w:rPr>
      </w:pPr>
      <w:r>
        <w:rPr>
          <w:rFonts w:ascii="Arial" w:hAnsi="Arial" w:eastAsia="宋体" w:cs="Arial"/>
          <w:szCs w:val="21"/>
        </w:rPr>
        <w:br w:type="page"/>
      </w:r>
    </w:p>
    <w:p w14:paraId="00B173A1">
      <w:pPr>
        <w:widowControl/>
        <w:snapToGrid w:val="0"/>
        <w:spacing w:after="156" w:afterLines="50" w:line="300" w:lineRule="auto"/>
        <w:ind w:right="-6" w:rightChars="-3"/>
        <w:rPr>
          <w:rFonts w:ascii="Arial" w:hAnsi="Arial" w:eastAsia="宋体" w:cs="Arial"/>
          <w:szCs w:val="21"/>
        </w:rPr>
      </w:pPr>
    </w:p>
    <w:p w14:paraId="30D94CE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最后，如果申办方寻求加入与</w:t>
      </w:r>
      <w:r>
        <w:rPr>
          <w:rFonts w:ascii="Arial" w:hAnsi="Arial" w:eastAsia="宋体" w:cs="Arial"/>
          <w:szCs w:val="21"/>
        </w:rPr>
        <w:t>SWL</w:t>
      </w:r>
      <w:r>
        <w:rPr>
          <w:rFonts w:hint="eastAsia" w:ascii="Arial" w:hAnsi="Arial" w:eastAsia="宋体" w:cs="Arial"/>
          <w:szCs w:val="21"/>
        </w:rPr>
        <w:t>系统的临床性能相关的针对该器械的描述，则需要提供能够从统计学角度支持这些描述的临床数据。可以向泌尿和碎石器械分部寻求指导，选择合适的实验设计来验证相关的临床性能描述。</w:t>
      </w:r>
    </w:p>
    <w:p w14:paraId="357B540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所有在美国进行的针对未依法上市的</w:t>
      </w:r>
      <w:r>
        <w:rPr>
          <w:rFonts w:ascii="Arial" w:hAnsi="Arial" w:eastAsia="宋体" w:cs="Arial"/>
          <w:szCs w:val="21"/>
        </w:rPr>
        <w:t>SWL</w:t>
      </w:r>
      <w:r>
        <w:rPr>
          <w:rFonts w:hint="eastAsia" w:ascii="Arial" w:hAnsi="Arial" w:eastAsia="宋体" w:cs="Arial"/>
          <w:szCs w:val="21"/>
        </w:rPr>
        <w:t>系统的临床研究均应根据试验用器械豁免（</w:t>
      </w:r>
      <w:r>
        <w:rPr>
          <w:rFonts w:ascii="Arial" w:hAnsi="Arial" w:eastAsia="宋体" w:cs="Arial"/>
          <w:szCs w:val="21"/>
        </w:rPr>
        <w:t>IDE</w:t>
      </w:r>
      <w:r>
        <w:rPr>
          <w:rFonts w:hint="eastAsia" w:ascii="Arial" w:hAnsi="Arial" w:eastAsia="宋体" w:cs="Arial"/>
          <w:szCs w:val="21"/>
        </w:rPr>
        <w:t>）条例中关于存在重大风险的器械的相关规定展开。如果在国外展开的临床研究根据</w:t>
      </w:r>
      <w:r>
        <w:rPr>
          <w:rFonts w:ascii="Arial" w:hAnsi="Arial" w:eastAsia="宋体" w:cs="Arial"/>
          <w:szCs w:val="21"/>
        </w:rPr>
        <w:t>IDE</w:t>
      </w:r>
      <w:r>
        <w:rPr>
          <w:rFonts w:hint="eastAsia" w:ascii="Arial" w:hAnsi="Arial" w:eastAsia="宋体" w:cs="Arial"/>
          <w:szCs w:val="21"/>
        </w:rPr>
        <w:t>法规中关于保护人类研究参与者的条款进行（通常引述为</w:t>
      </w:r>
      <w:r>
        <w:rPr>
          <w:rFonts w:ascii="Arial" w:hAnsi="Arial" w:eastAsia="宋体" w:cs="Arial"/>
          <w:szCs w:val="21"/>
        </w:rPr>
        <w:t>“</w:t>
      </w:r>
      <w:r>
        <w:rPr>
          <w:rFonts w:hint="eastAsia" w:ascii="Arial" w:hAnsi="Arial" w:eastAsia="宋体" w:cs="Arial"/>
          <w:szCs w:val="21"/>
        </w:rPr>
        <w:t>赫尔辛基宣言</w:t>
      </w:r>
      <w:r>
        <w:rPr>
          <w:rFonts w:ascii="Arial" w:hAnsi="Arial" w:eastAsia="宋体" w:cs="Arial"/>
          <w:szCs w:val="21"/>
        </w:rPr>
        <w:t>”</w:t>
      </w:r>
      <w:r>
        <w:rPr>
          <w:rFonts w:hint="eastAsia" w:ascii="Arial" w:hAnsi="Arial" w:eastAsia="宋体" w:cs="Arial"/>
          <w:szCs w:val="21"/>
        </w:rPr>
        <w:t>），并且数据适用于美国人群及医疗行为的话，其报告也是可以接受的。</w:t>
      </w:r>
    </w:p>
    <w:p w14:paraId="59BC5C8B">
      <w:pPr>
        <w:pStyle w:val="9"/>
        <w:widowControl/>
        <w:numPr>
          <w:ilvl w:val="0"/>
          <w:numId w:val="1"/>
        </w:numPr>
        <w:snapToGrid w:val="0"/>
        <w:spacing w:after="156" w:afterLines="50" w:line="300" w:lineRule="auto"/>
        <w:ind w:right="-6" w:rightChars="-3" w:firstLineChars="0"/>
        <w:rPr>
          <w:rFonts w:ascii="Arial" w:hAnsi="Arial" w:eastAsia="宋体" w:cs="Arial"/>
          <w:b/>
          <w:szCs w:val="21"/>
        </w:rPr>
      </w:pPr>
      <w:r>
        <w:rPr>
          <w:rFonts w:hint="eastAsia" w:ascii="Arial" w:hAnsi="Arial" w:eastAsia="宋体" w:cs="Arial"/>
          <w:b/>
          <w:szCs w:val="21"/>
        </w:rPr>
        <w:t>标签</w:t>
      </w:r>
    </w:p>
    <w:p w14:paraId="7DF430AC">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标签一般性问题</w:t>
      </w:r>
    </w:p>
    <w:p w14:paraId="2814328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根据</w:t>
      </w:r>
      <w:r>
        <w:rPr>
          <w:rFonts w:ascii="Arial" w:hAnsi="Arial" w:eastAsia="宋体" w:cs="Arial"/>
          <w:szCs w:val="21"/>
        </w:rPr>
        <w:t>21 CFR 807.87</w:t>
      </w:r>
      <w:r>
        <w:rPr>
          <w:rFonts w:hint="eastAsia" w:ascii="Arial" w:hAnsi="Arial" w:eastAsia="宋体" w:cs="Arial"/>
          <w:szCs w:val="21"/>
        </w:rPr>
        <w:t>（</w:t>
      </w:r>
      <w:r>
        <w:rPr>
          <w:rFonts w:ascii="Arial" w:hAnsi="Arial" w:eastAsia="宋体" w:cs="Arial"/>
          <w:szCs w:val="21"/>
        </w:rPr>
        <w:t>e</w:t>
      </w:r>
      <w:r>
        <w:rPr>
          <w:rFonts w:hint="eastAsia" w:ascii="Arial" w:hAnsi="Arial" w:eastAsia="宋体" w:cs="Arial"/>
          <w:szCs w:val="21"/>
        </w:rPr>
        <w:t>）的要求，待申请的标签，标识，操作手册，或者任何形式的宣传信息，凡能够描述申请的体外超声波碎石机、预期使用及其使用指导的文件均应提交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）。根据法案</w:t>
      </w:r>
      <w:r>
        <w:rPr>
          <w:rFonts w:ascii="Arial" w:hAnsi="Arial" w:eastAsia="宋体" w:cs="Arial"/>
          <w:szCs w:val="21"/>
        </w:rPr>
        <w:t>520</w:t>
      </w:r>
      <w:r>
        <w:rPr>
          <w:rFonts w:hint="eastAsia" w:ascii="Arial" w:hAnsi="Arial" w:eastAsia="宋体" w:cs="Arial"/>
          <w:szCs w:val="21"/>
        </w:rPr>
        <w:t>（</w:t>
      </w:r>
      <w:r>
        <w:rPr>
          <w:rFonts w:ascii="Arial" w:hAnsi="Arial" w:eastAsia="宋体" w:cs="Arial"/>
          <w:szCs w:val="21"/>
        </w:rPr>
        <w:t>e</w:t>
      </w:r>
      <w:r>
        <w:rPr>
          <w:rFonts w:hint="eastAsia" w:ascii="Arial" w:hAnsi="Arial" w:eastAsia="宋体" w:cs="Arial"/>
          <w:szCs w:val="21"/>
        </w:rPr>
        <w:t>）部分节的说明，器械包装标签必须包含</w:t>
      </w:r>
      <w:r>
        <w:rPr>
          <w:rFonts w:ascii="Arial" w:hAnsi="Arial" w:eastAsia="宋体" w:cs="Arial"/>
          <w:szCs w:val="21"/>
        </w:rPr>
        <w:t>21 CFR 801.109</w:t>
      </w:r>
      <w:r>
        <w:rPr>
          <w:rFonts w:hint="eastAsia" w:ascii="Arial" w:hAnsi="Arial" w:eastAsia="宋体" w:cs="Arial"/>
          <w:szCs w:val="21"/>
        </w:rPr>
        <w:t>（</w:t>
      </w:r>
      <w:r>
        <w:rPr>
          <w:rFonts w:ascii="Arial" w:hAnsi="Arial" w:eastAsia="宋体" w:cs="Arial"/>
          <w:szCs w:val="21"/>
        </w:rPr>
        <w:t>b</w:t>
      </w:r>
      <w:r>
        <w:rPr>
          <w:rFonts w:hint="eastAsia" w:ascii="Arial" w:hAnsi="Arial" w:eastAsia="宋体" w:cs="Arial"/>
          <w:szCs w:val="21"/>
        </w:rPr>
        <w:t>）（</w:t>
      </w:r>
      <w:r>
        <w:rPr>
          <w:rFonts w:ascii="Arial" w:hAnsi="Arial" w:eastAsia="宋体" w:cs="Arial"/>
          <w:szCs w:val="21"/>
        </w:rPr>
        <w:t>1</w:t>
      </w:r>
      <w:r>
        <w:rPr>
          <w:rFonts w:hint="eastAsia" w:ascii="Arial" w:hAnsi="Arial" w:eastAsia="宋体" w:cs="Arial"/>
          <w:szCs w:val="21"/>
        </w:rPr>
        <w:t>）所规定的处方器械声明：</w:t>
      </w:r>
    </w:p>
    <w:p w14:paraId="402DB1BF">
      <w:pPr>
        <w:widowControl/>
        <w:snapToGrid w:val="0"/>
        <w:spacing w:before="249" w:beforeLines="80" w:after="249" w:afterLines="80" w:line="300" w:lineRule="auto"/>
        <w:ind w:left="573" w:leftChars="270" w:right="-6" w:rightChars="-3" w:hanging="6" w:hanging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注意：</w:t>
      </w:r>
      <w:bookmarkStart w:id="24" w:name="OLE_LINK37"/>
      <w:bookmarkStart w:id="25" w:name="OLE_LINK36"/>
      <w:r>
        <w:rPr>
          <w:rFonts w:hint="eastAsia" w:ascii="Arial" w:hAnsi="Arial" w:eastAsia="宋体" w:cs="Arial"/>
          <w:szCs w:val="21"/>
        </w:rPr>
        <w:t>联邦法律规定该器械的销售、分发及使用仅限具有特定训练项目经验的或曾使用过该器械的医生进行</w:t>
      </w:r>
      <w:bookmarkEnd w:id="24"/>
      <w:bookmarkEnd w:id="25"/>
      <w:r>
        <w:rPr>
          <w:rFonts w:hint="eastAsia" w:ascii="Arial" w:hAnsi="Arial" w:eastAsia="宋体" w:cs="Arial"/>
          <w:szCs w:val="21"/>
        </w:rPr>
        <w:t>。</w:t>
      </w:r>
      <w:r>
        <w:rPr>
          <w:rFonts w:ascii="Arial" w:hAnsi="Arial" w:eastAsia="宋体" w:cs="Arial"/>
          <w:szCs w:val="21"/>
        </w:rPr>
        <w:t>”</w:t>
      </w:r>
    </w:p>
    <w:p w14:paraId="743C97B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下面所列出的文件可能包含关于医疗器械标签所包含信息的有用信息：（</w:t>
      </w:r>
      <w:r>
        <w:rPr>
          <w:rFonts w:ascii="Arial" w:hAnsi="Arial" w:eastAsia="宋体" w:cs="Arial"/>
          <w:szCs w:val="21"/>
        </w:rPr>
        <w:t>1</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器械标签指南</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ODE</w:t>
      </w:r>
      <w:r>
        <w:rPr>
          <w:rFonts w:hint="eastAsia" w:ascii="Arial" w:hAnsi="Arial" w:eastAsia="宋体" w:cs="Arial"/>
          <w:szCs w:val="21"/>
        </w:rPr>
        <w:t>蓝皮书备忘录</w:t>
      </w:r>
      <w:r>
        <w:rPr>
          <w:rFonts w:ascii="Arial" w:hAnsi="Arial" w:eastAsia="宋体" w:cs="Arial"/>
          <w:szCs w:val="21"/>
        </w:rPr>
        <w:t>#G91-1</w:t>
      </w:r>
      <w:r>
        <w:rPr>
          <w:rFonts w:hint="eastAsia" w:ascii="Arial" w:hAnsi="Arial" w:eastAsia="宋体" w:cs="Arial"/>
          <w:szCs w:val="21"/>
        </w:rPr>
        <w:t>；以及（</w:t>
      </w:r>
      <w:r>
        <w:rPr>
          <w:rFonts w:ascii="Arial" w:hAnsi="Arial" w:eastAsia="宋体" w:cs="Arial"/>
          <w:szCs w:val="21"/>
        </w:rPr>
        <w:t>2</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标签：医疗器械法规要求</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HHS</w:t>
      </w:r>
      <w:r>
        <w:rPr>
          <w:rFonts w:hint="eastAsia" w:ascii="Arial" w:hAnsi="Arial" w:eastAsia="宋体" w:cs="Arial"/>
          <w:szCs w:val="21"/>
        </w:rPr>
        <w:t>出版，</w:t>
      </w:r>
      <w:r>
        <w:rPr>
          <w:rFonts w:ascii="Arial" w:hAnsi="Arial" w:eastAsia="宋体" w:cs="Arial"/>
          <w:szCs w:val="21"/>
        </w:rPr>
        <w:t>FDA89-4203</w:t>
      </w:r>
      <w:r>
        <w:rPr>
          <w:rFonts w:hint="eastAsia" w:ascii="Arial" w:hAnsi="Arial" w:eastAsia="宋体" w:cs="Arial"/>
          <w:szCs w:val="21"/>
        </w:rPr>
        <w:t>。该信息可以从</w:t>
      </w:r>
      <w:r>
        <w:rPr>
          <w:rFonts w:ascii="Arial" w:hAnsi="Arial" w:eastAsia="宋体" w:cs="Arial"/>
          <w:szCs w:val="21"/>
        </w:rPr>
        <w:t>DSMA</w:t>
      </w:r>
      <w:r>
        <w:rPr>
          <w:rFonts w:hint="eastAsia" w:ascii="Arial" w:hAnsi="Arial" w:eastAsia="宋体" w:cs="Arial"/>
          <w:szCs w:val="21"/>
        </w:rPr>
        <w:t>获得。</w:t>
      </w:r>
    </w:p>
    <w:p w14:paraId="7E7B3D2D">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特定</w:t>
      </w:r>
      <w:r>
        <w:rPr>
          <w:rFonts w:ascii="Arial" w:hAnsi="Arial" w:eastAsia="宋体" w:cs="Arial"/>
          <w:szCs w:val="21"/>
          <w:u w:val="single"/>
        </w:rPr>
        <w:t>SWL</w:t>
      </w:r>
      <w:r>
        <w:rPr>
          <w:rFonts w:hint="eastAsia" w:ascii="Arial" w:hAnsi="Arial" w:eastAsia="宋体" w:cs="Arial"/>
          <w:szCs w:val="21"/>
          <w:u w:val="single"/>
        </w:rPr>
        <w:t>系统的标签要求</w:t>
      </w:r>
    </w:p>
    <w:p w14:paraId="097BC18E">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提交申请的</w:t>
      </w:r>
      <w:r>
        <w:rPr>
          <w:rFonts w:ascii="Arial" w:hAnsi="Arial" w:eastAsia="宋体" w:cs="Arial"/>
          <w:szCs w:val="21"/>
        </w:rPr>
        <w:t>SWL</w:t>
      </w:r>
      <w:r>
        <w:rPr>
          <w:rFonts w:hint="eastAsia" w:ascii="Arial" w:hAnsi="Arial" w:eastAsia="宋体" w:cs="Arial"/>
          <w:szCs w:val="21"/>
        </w:rPr>
        <w:t>器械标签应当包含禁忌症、警告、注意事项、患者选择与治疗、不良反应信息及其他恰当的标签信息：</w:t>
      </w:r>
    </w:p>
    <w:p w14:paraId="40BE4887">
      <w:pPr>
        <w:widowControl/>
        <w:jc w:val="left"/>
        <w:rPr>
          <w:rFonts w:ascii="Arial" w:hAnsi="Arial" w:eastAsia="宋体" w:cs="Arial"/>
          <w:b/>
          <w:szCs w:val="21"/>
        </w:rPr>
      </w:pPr>
      <w:r>
        <w:rPr>
          <w:rFonts w:ascii="Arial" w:hAnsi="Arial" w:eastAsia="宋体" w:cs="Arial"/>
          <w:b/>
          <w:szCs w:val="21"/>
        </w:rPr>
        <w:br w:type="page"/>
      </w:r>
    </w:p>
    <w:p w14:paraId="3BFF0897">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禁忌症：</w:t>
      </w:r>
    </w:p>
    <w:p w14:paraId="24E10062">
      <w:pPr>
        <w:widowControl/>
        <w:snapToGrid w:val="0"/>
        <w:spacing w:after="156" w:afterLines="50" w:line="300" w:lineRule="auto"/>
        <w:ind w:right="-6" w:rightChars="-3"/>
        <w:rPr>
          <w:rFonts w:ascii="Arial" w:hAnsi="Arial" w:eastAsia="宋体" w:cs="Arial"/>
          <w:szCs w:val="21"/>
        </w:rPr>
      </w:pPr>
      <w:bookmarkStart w:id="26" w:name="OLE_LINK40"/>
      <w:bookmarkStart w:id="27" w:name="OLE_LINK41"/>
      <w:r>
        <w:rPr>
          <w:rFonts w:hint="eastAsia" w:ascii="Arial" w:hAnsi="Arial" w:eastAsia="宋体" w:cs="Arial"/>
          <w:szCs w:val="21"/>
        </w:rPr>
        <w:t>下列情况的患者禁止使用该器械：</w:t>
      </w:r>
    </w:p>
    <w:p w14:paraId="721F7BE5">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确诊或可疑妊娠。</w:t>
      </w:r>
    </w:p>
    <w:p w14:paraId="3B06C972">
      <w:pPr>
        <w:pStyle w:val="9"/>
        <w:widowControl/>
        <w:numPr>
          <w:ilvl w:val="0"/>
          <w:numId w:val="8"/>
        </w:numPr>
        <w:snapToGrid w:val="0"/>
        <w:spacing w:after="156" w:afterLines="50" w:line="300" w:lineRule="auto"/>
        <w:ind w:right="-6" w:rightChars="-3" w:hangingChars="200"/>
        <w:rPr>
          <w:rFonts w:ascii="Arial" w:hAnsi="Arial" w:eastAsia="宋体" w:cs="Arial"/>
          <w:szCs w:val="21"/>
        </w:rPr>
      </w:pPr>
      <w:r>
        <w:rPr>
          <w:rFonts w:hint="eastAsia" w:ascii="Arial" w:hAnsi="Arial" w:eastAsia="宋体" w:cs="Arial"/>
          <w:szCs w:val="21"/>
        </w:rPr>
        <w:t>凝血功能异常（表现为凝血酶原时间、部分凝血活酶时间或出血时间异常）或正在接受抗凝血剂治疗（包括阿司匹林）。</w:t>
      </w:r>
    </w:p>
    <w:p w14:paraId="2E207411">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超声波碎石路径存在动脉钙化或血管动脉瘤。</w:t>
      </w:r>
    </w:p>
    <w:p w14:paraId="07D8CB50">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结石远端输尿管阻塞。</w:t>
      </w:r>
    </w:p>
    <w:p w14:paraId="0C0E54D8">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某些解剖结构阻碍了器械聚焦到目标结石部位，如严重的肥胖症或脊柱弯曲过度。</w:t>
      </w:r>
    </w:p>
    <w:bookmarkEnd w:id="26"/>
    <w:bookmarkEnd w:id="27"/>
    <w:p w14:paraId="1E6F0F99">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72F1DAF0">
      <w:pPr>
        <w:widowControl/>
        <w:snapToGrid w:val="0"/>
        <w:spacing w:after="156" w:afterLines="50" w:line="300" w:lineRule="auto"/>
        <w:ind w:left="264" w:leftChars="125" w:right="-6" w:rightChars="-3" w:hanging="1"/>
        <w:rPr>
          <w:rFonts w:ascii="Arial" w:hAnsi="Arial" w:eastAsia="宋体" w:cs="Arial"/>
          <w:szCs w:val="21"/>
        </w:rPr>
      </w:pPr>
      <w:bookmarkStart w:id="28" w:name="OLE_LINK42"/>
      <w:bookmarkStart w:id="29" w:name="OLE_LINK43"/>
      <w:r>
        <w:rPr>
          <w:rFonts w:hint="eastAsia" w:ascii="Arial" w:hAnsi="Arial" w:eastAsia="宋体" w:cs="Arial"/>
          <w:szCs w:val="21"/>
          <w:u w:val="single"/>
        </w:rPr>
        <w:t>抗凝血剂：</w:t>
      </w:r>
      <w:r>
        <w:rPr>
          <w:rFonts w:hint="eastAsia" w:ascii="Arial" w:hAnsi="Arial" w:eastAsia="宋体" w:cs="Arial"/>
          <w:szCs w:val="21"/>
        </w:rPr>
        <w:t>体外冲击波碎石术之前接受抗凝血剂治疗的患者（包括阿斯匹林）应暂时中止这类药物，以防止大出血。</w:t>
      </w:r>
    </w:p>
    <w:p w14:paraId="0F59C6E3">
      <w:pPr>
        <w:widowControl/>
        <w:snapToGrid w:val="0"/>
        <w:spacing w:after="156" w:afterLines="50" w:line="300" w:lineRule="auto"/>
        <w:ind w:left="264" w:leftChars="125" w:right="-6" w:rightChars="-3" w:hanging="1"/>
        <w:rPr>
          <w:rFonts w:ascii="Arial" w:hAnsi="Arial" w:eastAsia="宋体" w:cs="Arial"/>
          <w:spacing w:val="-2"/>
          <w:szCs w:val="21"/>
        </w:rPr>
      </w:pPr>
      <w:r>
        <w:rPr>
          <w:rFonts w:hint="eastAsia" w:ascii="Arial" w:hAnsi="Arial" w:eastAsia="宋体" w:cs="Arial"/>
          <w:spacing w:val="-2"/>
          <w:szCs w:val="21"/>
          <w:u w:val="single"/>
        </w:rPr>
        <w:t>心脏监护：</w:t>
      </w:r>
      <w:r>
        <w:rPr>
          <w:rFonts w:hint="eastAsia" w:ascii="Arial" w:hAnsi="Arial" w:eastAsia="宋体" w:cs="Arial"/>
          <w:spacing w:val="-2"/>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14:paraId="0C4E994A">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治疗过程中的心律失常：</w:t>
      </w:r>
      <w:r>
        <w:rPr>
          <w:rFonts w:hint="eastAsia" w:ascii="Arial" w:hAnsi="Arial" w:eastAsia="宋体" w:cs="Arial"/>
          <w:szCs w:val="21"/>
        </w:rPr>
        <w:t>如果患者在治疗期间在一个固定的冲击波重复频率的情况下出现了心律失常，则需要终止超声波传输或调整为</w:t>
      </w:r>
      <w:r>
        <w:rPr>
          <w:rFonts w:ascii="Arial" w:hAnsi="Arial" w:eastAsia="宋体" w:cs="Arial"/>
          <w:szCs w:val="21"/>
        </w:rPr>
        <w:t>ECG</w:t>
      </w:r>
      <w:r>
        <w:rPr>
          <w:rFonts w:hint="eastAsia" w:ascii="Arial" w:hAnsi="Arial" w:eastAsia="宋体" w:cs="Arial"/>
          <w:szCs w:val="21"/>
        </w:rPr>
        <w:t>门控模式（例如在患者心脏周期的不应期输送超声波）。作为一种惯例，有心律失常病史的患者应当使用</w:t>
      </w:r>
      <w:r>
        <w:rPr>
          <w:rFonts w:ascii="Arial" w:hAnsi="Arial" w:eastAsia="宋体" w:cs="Arial"/>
          <w:szCs w:val="21"/>
        </w:rPr>
        <w:t>ECG</w:t>
      </w:r>
      <w:r>
        <w:rPr>
          <w:rFonts w:hint="eastAsia" w:ascii="Arial" w:hAnsi="Arial" w:eastAsia="宋体" w:cs="Arial"/>
          <w:szCs w:val="21"/>
        </w:rPr>
        <w:t>门控模式。【注：只有当系统能够按照固定的频率产生超声波的情况下才适用。】</w:t>
      </w:r>
    </w:p>
    <w:p w14:paraId="0E022334">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起搏器和植入式除颤器：</w:t>
      </w:r>
      <w:r>
        <w:rPr>
          <w:rFonts w:hint="eastAsia" w:ascii="Arial" w:hAnsi="Arial" w:eastAsia="宋体" w:cs="Arial"/>
          <w:szCs w:val="21"/>
        </w:rPr>
        <w:t>为了减少起搏器和植入式除颤器的故障发生率，在碎石术之前脉冲发生器应设定为单腔起搏系统，非率式响应模式（心脏起搏器）或非活动模式（植入式除颤器），并且在治疗后评估其功能情况。不要将超声波聚焦在脉冲发生器上或附近。</w:t>
      </w:r>
    </w:p>
    <w:p w14:paraId="2314F74F">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双侧结石：</w:t>
      </w:r>
      <w:r>
        <w:rPr>
          <w:rFonts w:hint="eastAsia" w:ascii="Arial" w:hAnsi="Arial" w:eastAsia="宋体" w:cs="Arial"/>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14:paraId="5FE0F7BC">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超声波路径中的空气填充接触面：</w:t>
      </w:r>
      <w:r>
        <w:rPr>
          <w:rFonts w:hint="eastAsia" w:ascii="Arial" w:hAnsi="Arial" w:eastAsia="宋体" w:cs="Arial"/>
          <w:szCs w:val="21"/>
        </w:rPr>
        <w:t>不要在空气填充的身体区域使用超声波，如肠或肺。超声波穿过空气接触面后会快速分散，能够导致出血及其他有害副作用。</w:t>
      </w:r>
    </w:p>
    <w:p w14:paraId="00CECC86">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感染性结石：</w:t>
      </w:r>
      <w:r>
        <w:rPr>
          <w:rFonts w:hint="eastAsia" w:ascii="Arial" w:hAnsi="Arial" w:eastAsia="宋体" w:cs="Arial"/>
          <w:szCs w:val="21"/>
        </w:rPr>
        <w:t>如果存在结石感染的可能性，则需要在治疗前给予预防性抗生素治疗。使用体外冲击波碎石治疗含病原体的结石会产生系统性感染。</w:t>
      </w:r>
    </w:p>
    <w:p w14:paraId="7B02050E">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心脏疾病，免疫抑制剂糖尿病：</w:t>
      </w:r>
      <w:r>
        <w:rPr>
          <w:rFonts w:hint="eastAsia" w:ascii="Arial" w:hAnsi="Arial" w:eastAsia="宋体" w:cs="Arial"/>
          <w:szCs w:val="21"/>
        </w:rPr>
        <w:t>心脏疾病患者（包括血管疾病）、免疫抑制患者及糖尿病患者在进行体外冲击波碎石治疗前需要给予预防性抗生素处理，以防止细菌感染及亚急性心内膜炎。</w:t>
      </w:r>
    </w:p>
    <w:p w14:paraId="77B59288">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注意事项：</w:t>
      </w:r>
    </w:p>
    <w:p w14:paraId="6FB3AAFF">
      <w:pPr>
        <w:widowControl/>
        <w:jc w:val="left"/>
        <w:rPr>
          <w:rFonts w:ascii="Arial" w:hAnsi="Arial" w:eastAsia="宋体" w:cs="Arial"/>
          <w:b/>
          <w:szCs w:val="21"/>
        </w:rPr>
      </w:pPr>
      <w:r>
        <w:rPr>
          <w:rFonts w:ascii="Arial" w:hAnsi="Arial" w:eastAsia="宋体" w:cs="Arial"/>
          <w:b/>
          <w:szCs w:val="21"/>
        </w:rPr>
        <w:br w:type="page"/>
      </w:r>
    </w:p>
    <w:p w14:paraId="232C63A4">
      <w:pPr>
        <w:widowControl/>
        <w:snapToGrid w:val="0"/>
        <w:spacing w:after="156" w:afterLines="50" w:line="300" w:lineRule="auto"/>
        <w:ind w:right="-6" w:rightChars="-3"/>
        <w:rPr>
          <w:rFonts w:ascii="Arial" w:hAnsi="Arial" w:eastAsia="宋体" w:cs="Arial"/>
          <w:b/>
          <w:szCs w:val="21"/>
        </w:rPr>
      </w:pPr>
    </w:p>
    <w:p w14:paraId="2D1086F7">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肾损伤：</w:t>
      </w:r>
      <w:r>
        <w:rPr>
          <w:rFonts w:hint="eastAsia" w:ascii="Arial" w:hAnsi="Arial" w:eastAsia="宋体" w:cs="Arial"/>
          <w:szCs w:val="21"/>
        </w:rPr>
        <w:t>为了降低对肾及周边组织的损伤，我们建议：（</w:t>
      </w:r>
      <w:r>
        <w:rPr>
          <w:rFonts w:ascii="Arial" w:hAnsi="Arial" w:eastAsia="宋体" w:cs="Arial"/>
          <w:szCs w:val="21"/>
        </w:rPr>
        <w:t>1</w:t>
      </w:r>
      <w:r>
        <w:rPr>
          <w:rFonts w:hint="eastAsia" w:ascii="Arial" w:hAnsi="Arial" w:eastAsia="宋体" w:cs="Arial"/>
          <w:szCs w:val="21"/>
        </w:rPr>
        <w:t>）每个治疗阶段使用的超声波数量尽量少；（</w:t>
      </w:r>
      <w:r>
        <w:rPr>
          <w:rFonts w:ascii="Arial" w:hAnsi="Arial" w:eastAsia="宋体" w:cs="Arial"/>
          <w:szCs w:val="21"/>
        </w:rPr>
        <w:t>2</w:t>
      </w:r>
      <w:r>
        <w:rPr>
          <w:rFonts w:hint="eastAsia" w:ascii="Arial" w:hAnsi="Arial" w:eastAsia="宋体" w:cs="Arial"/>
          <w:szCs w:val="21"/>
        </w:rPr>
        <w:t>）对于相同的肾</w:t>
      </w:r>
      <w:r>
        <w:rPr>
          <w:rFonts w:ascii="Arial" w:hAnsi="Arial" w:eastAsia="宋体" w:cs="Arial"/>
          <w:szCs w:val="21"/>
        </w:rPr>
        <w:t>/</w:t>
      </w:r>
      <w:r>
        <w:rPr>
          <w:rFonts w:hint="eastAsia" w:ascii="Arial" w:hAnsi="Arial" w:eastAsia="宋体" w:cs="Arial"/>
          <w:szCs w:val="21"/>
        </w:rPr>
        <w:t>解剖学位点再次治疗时，需要在初次治疗后至少</w:t>
      </w:r>
      <w:r>
        <w:rPr>
          <w:rFonts w:ascii="Arial" w:hAnsi="Arial" w:eastAsia="宋体" w:cs="Arial"/>
          <w:szCs w:val="21"/>
        </w:rPr>
        <w:t>1</w:t>
      </w:r>
      <w:r>
        <w:rPr>
          <w:rFonts w:hint="eastAsia" w:ascii="Arial" w:hAnsi="Arial" w:eastAsia="宋体" w:cs="Arial"/>
          <w:szCs w:val="21"/>
        </w:rPr>
        <w:t>个月的时间进行；以及（</w:t>
      </w:r>
      <w:r>
        <w:rPr>
          <w:rFonts w:ascii="Arial" w:hAnsi="Arial" w:eastAsia="宋体" w:cs="Arial"/>
          <w:szCs w:val="21"/>
        </w:rPr>
        <w:t>3</w:t>
      </w:r>
      <w:r>
        <w:rPr>
          <w:rFonts w:hint="eastAsia" w:ascii="Arial" w:hAnsi="Arial" w:eastAsia="宋体" w:cs="Arial"/>
          <w:szCs w:val="21"/>
        </w:rPr>
        <w:t>）每处肾</w:t>
      </w:r>
      <w:r>
        <w:rPr>
          <w:rFonts w:ascii="Arial" w:hAnsi="Arial" w:eastAsia="宋体" w:cs="Arial"/>
          <w:szCs w:val="21"/>
        </w:rPr>
        <w:t>/</w:t>
      </w:r>
      <w:r>
        <w:rPr>
          <w:rFonts w:hint="eastAsia" w:ascii="Arial" w:hAnsi="Arial" w:eastAsia="宋体" w:cs="Arial"/>
          <w:szCs w:val="21"/>
        </w:rPr>
        <w:t>解剖学位点的治疗应当在三个治疗阶段以内。</w:t>
      </w:r>
    </w:p>
    <w:p w14:paraId="25C8461A">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放射随访：</w:t>
      </w:r>
      <w:r>
        <w:rPr>
          <w:rFonts w:hint="eastAsia" w:ascii="Arial" w:hAnsi="Arial" w:eastAsia="宋体" w:cs="Arial"/>
          <w:szCs w:val="21"/>
        </w:rPr>
        <w:t>所有的患者在治疗后均要进行放射检查的随访，直到结石完全消失，或者不再留有可能引起阻塞或肾功能丧失的结石碎片。</w:t>
      </w:r>
    </w:p>
    <w:p w14:paraId="78860EF3">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阻生或嵌入式结石：</w:t>
      </w:r>
      <w:r>
        <w:rPr>
          <w:rFonts w:hint="eastAsia" w:ascii="Arial" w:hAnsi="Arial" w:eastAsia="宋体" w:cs="Arial"/>
          <w:szCs w:val="21"/>
        </w:rPr>
        <w:t>对于阻生型或嵌入型的结石患者，体外超声波碎石机的治疗效果有限。对于这些患者我们推荐使用其他手术。</w:t>
      </w:r>
    </w:p>
    <w:p w14:paraId="6B6F4F8A">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鹿角形结石：</w:t>
      </w:r>
      <w:r>
        <w:rPr>
          <w:rFonts w:hint="eastAsia" w:ascii="Arial" w:hAnsi="Arial" w:eastAsia="宋体" w:cs="Arial"/>
          <w:szCs w:val="21"/>
        </w:rPr>
        <w:t>对于鹿角形或大型结石患者（最大直径超过</w:t>
      </w:r>
      <w:r>
        <w:rPr>
          <w:rFonts w:ascii="Arial" w:hAnsi="Arial" w:eastAsia="宋体" w:cs="Arial"/>
          <w:szCs w:val="21"/>
        </w:rPr>
        <w:t>20mm</w:t>
      </w:r>
      <w:r>
        <w:rPr>
          <w:rFonts w:hint="eastAsia" w:ascii="Arial" w:hAnsi="Arial" w:eastAsia="宋体" w:cs="Arial"/>
          <w:szCs w:val="21"/>
        </w:rPr>
        <w:t>），体外超声波碎石机的治疗效果有限。对于这些患者我们推荐使用其他手术。</w:t>
      </w:r>
    </w:p>
    <w:p w14:paraId="2785AAD6">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小输尿管结石：</w:t>
      </w:r>
      <w:r>
        <w:rPr>
          <w:rFonts w:hint="eastAsia" w:ascii="Arial" w:hAnsi="Arial" w:eastAsia="宋体" w:cs="Arial"/>
          <w:szCs w:val="21"/>
        </w:rPr>
        <w:t>小型的中段及下段输尿管结石，最大直径在</w:t>
      </w:r>
      <w:r>
        <w:rPr>
          <w:rFonts w:ascii="Arial" w:hAnsi="Arial" w:eastAsia="宋体" w:cs="Arial"/>
          <w:szCs w:val="21"/>
        </w:rPr>
        <w:t>4</w:t>
      </w:r>
      <w:r>
        <w:rPr>
          <w:rFonts w:hint="eastAsia" w:ascii="Arial" w:hAnsi="Arial" w:eastAsia="宋体" w:cs="Arial"/>
          <w:szCs w:val="21"/>
        </w:rPr>
        <w:t>到</w:t>
      </w:r>
      <w:r>
        <w:rPr>
          <w:rFonts w:ascii="Arial" w:hAnsi="Arial" w:eastAsia="宋体" w:cs="Arial"/>
          <w:szCs w:val="21"/>
        </w:rPr>
        <w:t>6mm</w:t>
      </w:r>
      <w:r>
        <w:rPr>
          <w:rFonts w:hint="eastAsia" w:ascii="Arial" w:hAnsi="Arial" w:eastAsia="宋体" w:cs="Arial"/>
          <w:szCs w:val="21"/>
        </w:rPr>
        <w:t>的结石有可能自行排出。因此在这类患者中，使用体外超声波碎石机的风险与收益需要仔细评估。</w:t>
      </w:r>
    </w:p>
    <w:bookmarkEnd w:id="28"/>
    <w:bookmarkEnd w:id="29"/>
    <w:p w14:paraId="49DFFEAA">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rPr>
        <w:t>患者选择与治疗：</w:t>
      </w:r>
    </w:p>
    <w:p w14:paraId="097752CF">
      <w:pPr>
        <w:widowControl/>
        <w:snapToGrid w:val="0"/>
        <w:spacing w:after="156" w:afterLines="50" w:line="300" w:lineRule="auto"/>
        <w:ind w:left="263" w:leftChars="125" w:right="-6" w:rightChars="-3" w:firstLine="1"/>
        <w:rPr>
          <w:rFonts w:ascii="Arial" w:hAnsi="Arial" w:eastAsia="宋体" w:cs="Arial"/>
          <w:szCs w:val="21"/>
        </w:rPr>
      </w:pPr>
      <w:bookmarkStart w:id="30" w:name="OLE_LINK46"/>
      <w:r>
        <w:rPr>
          <w:rFonts w:hint="eastAsia" w:ascii="Arial" w:hAnsi="Arial" w:eastAsia="宋体" w:cs="Arial"/>
          <w:szCs w:val="21"/>
          <w:u w:val="single"/>
        </w:rPr>
        <w:t>儿童：</w:t>
      </w:r>
      <w:r>
        <w:rPr>
          <w:rFonts w:hint="eastAsia" w:ascii="Arial" w:hAnsi="Arial" w:eastAsia="宋体" w:cs="Arial"/>
          <w:szCs w:val="21"/>
        </w:rPr>
        <w:t>此类器械在治疗儿童尿路结石中的安全性和有效性尚未明确。虽然已有儿童使用超声波方法治疗上输尿管结石，但很少有案例使用了体外超声波碎石机。研究表明接受超声波的大鼠长骨的骨骺生长板会受到影响。这一效应对于人体是否显著尚未明确。</w:t>
      </w:r>
    </w:p>
    <w:p w14:paraId="21F30F4C">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拟生育的女性：</w:t>
      </w:r>
      <w:r>
        <w:rPr>
          <w:rFonts w:hint="eastAsia" w:ascii="Arial" w:hAnsi="Arial" w:eastAsia="宋体" w:cs="Arial"/>
          <w:szCs w:val="21"/>
        </w:rPr>
        <w:t>对于拟生育的女性要避免进行下输尿管结石的治疗。使用超声波碎石机可能会对女性生殖系统以及未确诊的怀孕中的胎儿造成不可逆转的损害。</w:t>
      </w:r>
    </w:p>
    <w:bookmarkEnd w:id="30"/>
    <w:p w14:paraId="13E7373D">
      <w:pPr>
        <w:widowControl/>
        <w:snapToGrid w:val="0"/>
        <w:spacing w:after="156" w:afterLines="50" w:line="300" w:lineRule="auto"/>
        <w:ind w:right="-6" w:rightChars="-3"/>
        <w:rPr>
          <w:rFonts w:ascii="Arial" w:hAnsi="Arial" w:eastAsia="宋体" w:cs="Arial"/>
          <w:b/>
          <w:szCs w:val="21"/>
        </w:rPr>
      </w:pPr>
      <w:bookmarkStart w:id="31" w:name="OLE_LINK45"/>
      <w:bookmarkStart w:id="32" w:name="OLE_LINK44"/>
      <w:r>
        <w:rPr>
          <w:rFonts w:hint="eastAsia" w:ascii="Arial" w:hAnsi="Arial" w:eastAsia="宋体" w:cs="Arial"/>
          <w:b/>
          <w:szCs w:val="21"/>
        </w:rPr>
        <w:t>不良反应：</w:t>
      </w:r>
    </w:p>
    <w:p w14:paraId="4D61FBB2">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下列为使用体外超声波碎石机潜在的不良，按照发生频率排列分别描述：</w:t>
      </w:r>
    </w:p>
    <w:p w14:paraId="767843BD">
      <w:pPr>
        <w:widowControl/>
        <w:jc w:val="left"/>
        <w:rPr>
          <w:rFonts w:ascii="Arial" w:hAnsi="Arial" w:eastAsia="宋体" w:cs="Arial"/>
          <w:szCs w:val="21"/>
        </w:rPr>
      </w:pPr>
      <w:r>
        <w:rPr>
          <w:rFonts w:ascii="Arial" w:hAnsi="Arial" w:eastAsia="宋体" w:cs="Arial"/>
          <w:szCs w:val="21"/>
        </w:rPr>
        <w:br w:type="page"/>
      </w:r>
    </w:p>
    <w:p w14:paraId="2942D570">
      <w:pPr>
        <w:widowControl/>
        <w:snapToGrid w:val="0"/>
        <w:spacing w:after="156" w:afterLines="50" w:line="300" w:lineRule="auto"/>
        <w:ind w:right="-6" w:rightChars="-3" w:firstLine="27" w:firstLineChars="13"/>
        <w:rPr>
          <w:rFonts w:ascii="Arial" w:hAnsi="Arial" w:eastAsia="宋体" w:cs="Arial"/>
          <w:szCs w:val="21"/>
          <w:u w:val="single"/>
        </w:rPr>
      </w:pPr>
      <w:r>
        <w:rPr>
          <w:rFonts w:hint="eastAsia" w:ascii="Arial" w:hAnsi="Arial" w:eastAsia="宋体" w:cs="Arial"/>
          <w:szCs w:val="21"/>
          <w:u w:val="single"/>
        </w:rPr>
        <w:t>使用体外超声波碎石机潜在的不良反应</w:t>
      </w:r>
    </w:p>
    <w:p w14:paraId="2B0290A6">
      <w:pPr>
        <w:widowControl/>
        <w:snapToGrid w:val="0"/>
        <w:spacing w:after="156" w:afterLines="50" w:line="280" w:lineRule="exact"/>
        <w:ind w:right="-6" w:rightChars="-3" w:firstLine="852" w:firstLineChars="406"/>
        <w:rPr>
          <w:rFonts w:ascii="Arial" w:hAnsi="Arial" w:eastAsia="宋体" w:cs="Arial"/>
          <w:szCs w:val="21"/>
        </w:rPr>
      </w:pPr>
      <w:r>
        <w:rPr>
          <w:rFonts w:hint="eastAsia" w:ascii="Arial" w:hAnsi="Arial" w:eastAsia="宋体" w:cs="Arial"/>
          <w:szCs w:val="21"/>
        </w:rPr>
        <w:t>常见报告（</w:t>
      </w:r>
      <w:r>
        <w:rPr>
          <w:rFonts w:ascii="Arial" w:hAnsi="Arial" w:eastAsia="宋体" w:cs="Arial"/>
          <w:szCs w:val="21"/>
        </w:rPr>
        <w:t>&gt;20%</w:t>
      </w:r>
      <w:r>
        <w:rPr>
          <w:rFonts w:hint="eastAsia" w:ascii="Arial" w:hAnsi="Arial" w:eastAsia="宋体" w:cs="Arial"/>
          <w:szCs w:val="21"/>
        </w:rPr>
        <w:t>的患者）</w:t>
      </w:r>
    </w:p>
    <w:p w14:paraId="04E435CF">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血尿</w:t>
      </w:r>
    </w:p>
    <w:p w14:paraId="18040389">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疼痛</w:t>
      </w:r>
      <w:r>
        <w:rPr>
          <w:rFonts w:ascii="Arial" w:hAnsi="Arial" w:eastAsia="宋体" w:cs="Arial"/>
          <w:szCs w:val="21"/>
        </w:rPr>
        <w:t>/</w:t>
      </w:r>
      <w:r>
        <w:rPr>
          <w:rFonts w:hint="eastAsia" w:ascii="Arial" w:hAnsi="Arial" w:eastAsia="宋体" w:cs="Arial"/>
          <w:szCs w:val="21"/>
        </w:rPr>
        <w:t>肾绞痛</w:t>
      </w:r>
    </w:p>
    <w:p w14:paraId="4E7C3AB9">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超声波进入位点皮肤发红</w:t>
      </w:r>
    </w:p>
    <w:p w14:paraId="7D38D201">
      <w:pPr>
        <w:widowControl/>
        <w:snapToGrid w:val="0"/>
        <w:spacing w:after="156" w:afterLines="50" w:line="280" w:lineRule="exact"/>
        <w:ind w:right="-6" w:rightChars="-3" w:firstLine="882" w:firstLineChars="420"/>
        <w:rPr>
          <w:rFonts w:ascii="Arial" w:hAnsi="Arial" w:eastAsia="宋体" w:cs="Arial"/>
          <w:szCs w:val="21"/>
        </w:rPr>
      </w:pPr>
      <w:r>
        <w:rPr>
          <w:rFonts w:hint="eastAsia" w:ascii="Arial" w:hAnsi="Arial" w:eastAsia="宋体" w:cs="Arial"/>
          <w:szCs w:val="21"/>
        </w:rPr>
        <w:t>偶尔报告（</w:t>
      </w:r>
      <w:r>
        <w:rPr>
          <w:rFonts w:ascii="Arial" w:hAnsi="Arial" w:eastAsia="宋体" w:cs="Arial"/>
          <w:szCs w:val="21"/>
        </w:rPr>
        <w:t>1-20%</w:t>
      </w:r>
      <w:r>
        <w:rPr>
          <w:rFonts w:hint="eastAsia" w:ascii="Arial" w:hAnsi="Arial" w:eastAsia="宋体" w:cs="Arial"/>
          <w:szCs w:val="21"/>
        </w:rPr>
        <w:t>的患者）</w:t>
      </w:r>
    </w:p>
    <w:p w14:paraId="78D48862">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心律失常</w:t>
      </w:r>
    </w:p>
    <w:p w14:paraId="0DD63C9D">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输尿管感染</w:t>
      </w:r>
    </w:p>
    <w:p w14:paraId="629F4086">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输尿管阻塞</w:t>
      </w:r>
      <w:r>
        <w:rPr>
          <w:rFonts w:ascii="Arial" w:hAnsi="Arial" w:eastAsia="宋体" w:cs="Arial"/>
          <w:szCs w:val="21"/>
        </w:rPr>
        <w:t>/</w:t>
      </w:r>
      <w:r>
        <w:rPr>
          <w:rFonts w:hint="eastAsia" w:ascii="Arial" w:hAnsi="Arial" w:eastAsia="宋体" w:cs="Arial"/>
          <w:szCs w:val="21"/>
        </w:rPr>
        <w:t>石街</w:t>
      </w:r>
    </w:p>
    <w:p w14:paraId="6EDE5BDC">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bookmarkStart w:id="33" w:name="OLE_LINK22"/>
      <w:r>
        <w:rPr>
          <w:rFonts w:hint="eastAsia" w:ascii="Arial" w:hAnsi="Arial" w:eastAsia="宋体" w:cs="Arial"/>
          <w:szCs w:val="21"/>
        </w:rPr>
        <w:t>超声波进入位点皮肤淤青</w:t>
      </w:r>
    </w:p>
    <w:bookmarkEnd w:id="33"/>
    <w:p w14:paraId="1647A13A">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w:t>
      </w:r>
    </w:p>
    <w:p w14:paraId="27FA2D83">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恶心</w:t>
      </w:r>
      <w:r>
        <w:rPr>
          <w:rFonts w:ascii="Arial" w:hAnsi="Arial" w:eastAsia="宋体" w:cs="Arial"/>
          <w:szCs w:val="21"/>
        </w:rPr>
        <w:t>/</w:t>
      </w:r>
      <w:r>
        <w:rPr>
          <w:rFonts w:hint="eastAsia" w:ascii="Arial" w:hAnsi="Arial" w:eastAsia="宋体" w:cs="Arial"/>
          <w:szCs w:val="21"/>
        </w:rPr>
        <w:t>呕吐</w:t>
      </w:r>
    </w:p>
    <w:p w14:paraId="1D4403AA">
      <w:pPr>
        <w:widowControl/>
        <w:snapToGrid w:val="0"/>
        <w:spacing w:after="156" w:afterLines="50" w:line="280" w:lineRule="exact"/>
        <w:ind w:right="-6" w:rightChars="-3" w:firstLine="894" w:firstLineChars="426"/>
        <w:rPr>
          <w:rFonts w:ascii="Arial" w:hAnsi="Arial" w:eastAsia="宋体" w:cs="Arial"/>
          <w:szCs w:val="21"/>
        </w:rPr>
      </w:pPr>
      <w:r>
        <w:rPr>
          <w:rFonts w:hint="eastAsia" w:ascii="Arial" w:hAnsi="Arial" w:eastAsia="宋体" w:cs="Arial"/>
          <w:szCs w:val="21"/>
        </w:rPr>
        <w:t>不常见报告（</w:t>
      </w:r>
      <w:r>
        <w:rPr>
          <w:rFonts w:ascii="Arial" w:hAnsi="Arial" w:eastAsia="宋体" w:cs="Arial"/>
          <w:szCs w:val="21"/>
        </w:rPr>
        <w:t>&lt;1%</w:t>
      </w:r>
      <w:r>
        <w:rPr>
          <w:rFonts w:hint="eastAsia" w:ascii="Arial" w:hAnsi="Arial" w:eastAsia="宋体" w:cs="Arial"/>
          <w:szCs w:val="21"/>
        </w:rPr>
        <w:t>的患者）</w:t>
      </w:r>
    </w:p>
    <w:p w14:paraId="62C4888B">
      <w:pPr>
        <w:pStyle w:val="9"/>
        <w:widowControl/>
        <w:numPr>
          <w:ilvl w:val="0"/>
          <w:numId w:val="11"/>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血肿（肾周</w:t>
      </w:r>
      <w:r>
        <w:rPr>
          <w:rFonts w:ascii="Arial" w:hAnsi="Arial" w:eastAsia="宋体" w:cs="Arial"/>
          <w:szCs w:val="21"/>
        </w:rPr>
        <w:t>/</w:t>
      </w:r>
      <w:r>
        <w:rPr>
          <w:rFonts w:hint="eastAsia" w:ascii="Arial" w:hAnsi="Arial" w:eastAsia="宋体" w:cs="Arial"/>
          <w:szCs w:val="21"/>
        </w:rPr>
        <w:t>肾内）</w:t>
      </w:r>
    </w:p>
    <w:p w14:paraId="15B7FB30">
      <w:pPr>
        <w:pStyle w:val="9"/>
        <w:widowControl/>
        <w:numPr>
          <w:ilvl w:val="0"/>
          <w:numId w:val="11"/>
        </w:numPr>
        <w:snapToGrid w:val="0"/>
        <w:spacing w:after="156" w:afterLines="50" w:line="280" w:lineRule="exact"/>
        <w:ind w:left="0" w:right="-6" w:rightChars="-3" w:firstLine="1707" w:firstLineChars="813"/>
        <w:rPr>
          <w:rFonts w:hint="eastAsia" w:ascii="Arial" w:hAnsi="Arial" w:eastAsia="宋体" w:cs="Arial"/>
          <w:szCs w:val="21"/>
        </w:rPr>
      </w:pPr>
      <w:r>
        <w:rPr>
          <w:rFonts w:hint="eastAsia" w:ascii="Arial" w:hAnsi="Arial" w:eastAsia="宋体" w:cs="Arial"/>
          <w:szCs w:val="21"/>
        </w:rPr>
        <w:t>肾损伤</w:t>
      </w:r>
    </w:p>
    <w:p w14:paraId="0899D004">
      <w:pPr>
        <w:widowControl/>
        <w:ind w:left="281" w:leftChars="134"/>
        <w:jc w:val="left"/>
        <w:rPr>
          <w:rFonts w:ascii="Arial" w:hAnsi="Arial" w:eastAsia="宋体" w:cs="Arial"/>
          <w:szCs w:val="21"/>
        </w:rPr>
      </w:pPr>
      <w:r>
        <w:rPr>
          <w:rFonts w:hint="eastAsia" w:ascii="Arial" w:hAnsi="Arial" w:eastAsia="宋体" w:cs="Arial"/>
          <w:szCs w:val="21"/>
          <w:u w:val="single"/>
        </w:rPr>
        <w:t>血尿：</w:t>
      </w:r>
      <w:r>
        <w:rPr>
          <w:rFonts w:hint="eastAsia" w:ascii="Arial" w:hAnsi="Arial" w:eastAsia="宋体" w:cs="Arial"/>
          <w:szCs w:val="21"/>
        </w:rPr>
        <w:t>大多数治疗均会出现血尿，认为是肾的腺组织细胞损伤引起的，通常在治疗后的</w:t>
      </w:r>
      <w:r>
        <w:rPr>
          <w:rFonts w:ascii="Arial" w:hAnsi="Arial" w:eastAsia="宋体" w:cs="Arial"/>
          <w:szCs w:val="21"/>
        </w:rPr>
        <w:t>24</w:t>
      </w:r>
      <w:r>
        <w:rPr>
          <w:rFonts w:hint="eastAsia" w:ascii="Arial" w:hAnsi="Arial" w:eastAsia="宋体" w:cs="Arial"/>
          <w:szCs w:val="21"/>
        </w:rPr>
        <w:t>到</w:t>
      </w:r>
      <w:r>
        <w:rPr>
          <w:rFonts w:ascii="Arial" w:hAnsi="Arial" w:eastAsia="宋体" w:cs="Arial"/>
          <w:szCs w:val="21"/>
        </w:rPr>
        <w:t>48</w:t>
      </w:r>
      <w:r>
        <w:rPr>
          <w:rFonts w:hint="eastAsia" w:ascii="Arial" w:hAnsi="Arial" w:eastAsia="宋体" w:cs="Arial"/>
          <w:szCs w:val="21"/>
        </w:rPr>
        <w:t>小时自行缓解。</w:t>
      </w:r>
    </w:p>
    <w:p w14:paraId="2651FC9F">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疼痛</w:t>
      </w:r>
      <w:r>
        <w:rPr>
          <w:rFonts w:ascii="Arial" w:hAnsi="Arial" w:eastAsia="宋体" w:cs="Arial"/>
          <w:szCs w:val="21"/>
          <w:u w:val="single"/>
        </w:rPr>
        <w:t>/</w:t>
      </w:r>
      <w:r>
        <w:rPr>
          <w:rFonts w:hint="eastAsia" w:ascii="Arial" w:hAnsi="Arial" w:eastAsia="宋体" w:cs="Arial"/>
          <w:szCs w:val="21"/>
          <w:u w:val="single"/>
        </w:rPr>
        <w:t>肾绞痛：</w:t>
      </w:r>
      <w:r>
        <w:rPr>
          <w:rFonts w:hint="eastAsia" w:ascii="Arial" w:hAnsi="Arial" w:eastAsia="宋体" w:cs="Arial"/>
          <w:szCs w:val="21"/>
        </w:rPr>
        <w:t>在治疗过程中或治疗后常会出现疼痛</w:t>
      </w:r>
      <w:r>
        <w:rPr>
          <w:rFonts w:ascii="Arial" w:hAnsi="Arial" w:eastAsia="宋体" w:cs="Arial"/>
          <w:szCs w:val="21"/>
        </w:rPr>
        <w:t>/</w:t>
      </w:r>
      <w:r>
        <w:rPr>
          <w:rFonts w:hint="eastAsia" w:ascii="Arial" w:hAnsi="Arial" w:eastAsia="宋体" w:cs="Arial"/>
          <w:szCs w:val="21"/>
        </w:rPr>
        <w:t>肾绞痛，可以自行缓解。结石碎片排出也会出现暂时性的疼痛</w:t>
      </w:r>
      <w:r>
        <w:rPr>
          <w:rFonts w:ascii="Arial" w:hAnsi="Arial" w:eastAsia="宋体" w:cs="Arial"/>
          <w:szCs w:val="21"/>
        </w:rPr>
        <w:t>/</w:t>
      </w:r>
      <w:r>
        <w:rPr>
          <w:rFonts w:hint="eastAsia" w:ascii="Arial" w:hAnsi="Arial" w:eastAsia="宋体" w:cs="Arial"/>
          <w:szCs w:val="21"/>
        </w:rPr>
        <w:t>肾绞痛，可以通过药物缓解。</w:t>
      </w:r>
    </w:p>
    <w:p w14:paraId="085582B4">
      <w:pPr>
        <w:widowControl/>
        <w:snapToGrid w:val="0"/>
        <w:spacing w:after="156" w:afterLines="50" w:line="300" w:lineRule="auto"/>
        <w:ind w:left="237" w:leftChars="113" w:right="-6" w:rightChars="-3" w:firstLine="10" w:firstLineChars="5"/>
        <w:rPr>
          <w:rFonts w:ascii="Arial" w:hAnsi="Arial" w:eastAsia="宋体" w:cs="Arial"/>
          <w:szCs w:val="21"/>
        </w:rPr>
      </w:pPr>
      <w:bookmarkStart w:id="34" w:name="OLE_LINK14"/>
      <w:bookmarkStart w:id="35" w:name="OLE_LINK15"/>
      <w:r>
        <w:rPr>
          <w:rFonts w:hint="eastAsia" w:ascii="Arial" w:hAnsi="Arial" w:eastAsia="宋体" w:cs="Arial"/>
          <w:szCs w:val="21"/>
          <w:u w:val="single"/>
        </w:rPr>
        <w:t>超声波进入位点皮肤发红</w:t>
      </w:r>
      <w:bookmarkEnd w:id="34"/>
      <w:bookmarkEnd w:id="35"/>
      <w:r>
        <w:rPr>
          <w:rFonts w:hint="eastAsia" w:ascii="Arial" w:hAnsi="Arial" w:eastAsia="宋体" w:cs="Arial"/>
          <w:szCs w:val="21"/>
          <w:u w:val="single"/>
        </w:rPr>
        <w:t>：</w:t>
      </w:r>
      <w:r>
        <w:rPr>
          <w:rFonts w:hint="eastAsia" w:ascii="Arial" w:hAnsi="Arial" w:eastAsia="宋体" w:cs="Arial"/>
          <w:szCs w:val="21"/>
        </w:rPr>
        <w:t>超声波进入位点皮肤发红的症状通常出现在治疗中或治疗后，一般可以自行缓解。</w:t>
      </w:r>
    </w:p>
    <w:p w14:paraId="72ED1D77">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心律失常：</w:t>
      </w:r>
      <w:r>
        <w:rPr>
          <w:rFonts w:hint="eastAsia" w:ascii="Arial" w:hAnsi="Arial" w:eastAsia="宋体" w:cs="Arial"/>
          <w:szCs w:val="21"/>
        </w:rPr>
        <w:t>心律失常大多数为室性早搏，一般在体外超声碎石使用固定的超声波传输频率的情况下出现，占患者人数的</w:t>
      </w:r>
      <w:r>
        <w:rPr>
          <w:rFonts w:ascii="Arial" w:hAnsi="Arial" w:eastAsia="宋体" w:cs="Arial"/>
          <w:szCs w:val="21"/>
        </w:rPr>
        <w:t>2%</w:t>
      </w:r>
      <w:r>
        <w:rPr>
          <w:rFonts w:hint="eastAsia" w:ascii="Arial" w:hAnsi="Arial" w:eastAsia="宋体" w:cs="Arial"/>
          <w:szCs w:val="21"/>
        </w:rPr>
        <w:t>到</w:t>
      </w:r>
      <w:r>
        <w:rPr>
          <w:rFonts w:ascii="Arial" w:hAnsi="Arial" w:eastAsia="宋体" w:cs="Arial"/>
          <w:szCs w:val="21"/>
        </w:rPr>
        <w:t>20%</w:t>
      </w:r>
      <w:r>
        <w:rPr>
          <w:rFonts w:hint="eastAsia" w:ascii="Arial" w:hAnsi="Arial" w:eastAsia="宋体" w:cs="Arial"/>
          <w:szCs w:val="21"/>
        </w:rPr>
        <w:t>。对于健康的患者来说，这种心脏波动很少造成严重的风险，通常来说，通过将超声波与心脏周期的不应期同步（</w:t>
      </w:r>
      <w:r>
        <w:rPr>
          <w:rFonts w:ascii="Arial" w:hAnsi="Arial" w:eastAsia="宋体" w:cs="Arial"/>
          <w:szCs w:val="21"/>
        </w:rPr>
        <w:t>ECG</w:t>
      </w:r>
      <w:r>
        <w:rPr>
          <w:rFonts w:hint="eastAsia" w:ascii="Arial" w:hAnsi="Arial" w:eastAsia="宋体" w:cs="Arial"/>
          <w:szCs w:val="21"/>
        </w:rPr>
        <w:t>门控）或终止治疗的方式可自行消退。</w:t>
      </w:r>
    </w:p>
    <w:p w14:paraId="6B49965F">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输尿管感染：</w:t>
      </w:r>
      <w:r>
        <w:rPr>
          <w:rFonts w:hint="eastAsia" w:ascii="Arial" w:hAnsi="Arial" w:eastAsia="宋体" w:cs="Arial"/>
          <w:szCs w:val="21"/>
        </w:rPr>
        <w:t>约有</w:t>
      </w:r>
      <w:r>
        <w:rPr>
          <w:rFonts w:ascii="Arial" w:hAnsi="Arial" w:eastAsia="宋体" w:cs="Arial"/>
          <w:szCs w:val="21"/>
        </w:rPr>
        <w:t>1%</w:t>
      </w:r>
      <w:r>
        <w:rPr>
          <w:rFonts w:hint="eastAsia" w:ascii="Arial" w:hAnsi="Arial" w:eastAsia="宋体" w:cs="Arial"/>
          <w:szCs w:val="21"/>
        </w:rPr>
        <w:t>至</w:t>
      </w:r>
      <w:r>
        <w:rPr>
          <w:rFonts w:ascii="Arial" w:hAnsi="Arial" w:eastAsia="宋体" w:cs="Arial"/>
          <w:szCs w:val="21"/>
        </w:rPr>
        <w:t>7%</w:t>
      </w:r>
      <w:r>
        <w:rPr>
          <w:rFonts w:hint="eastAsia" w:ascii="Arial" w:hAnsi="Arial" w:eastAsia="宋体" w:cs="Arial"/>
          <w:szCs w:val="21"/>
        </w:rPr>
        <w:t>的患者在进行体外超声波碎石后，由于细菌从感染的结石碎片中释放，因此会产生输尿管感染（</w:t>
      </w:r>
      <w:r>
        <w:rPr>
          <w:rFonts w:ascii="Arial" w:hAnsi="Arial" w:eastAsia="宋体" w:cs="Arial"/>
          <w:szCs w:val="21"/>
        </w:rPr>
        <w:t>UTI</w:t>
      </w:r>
      <w:r>
        <w:rPr>
          <w:rFonts w:hint="eastAsia" w:ascii="Arial" w:hAnsi="Arial" w:eastAsia="宋体" w:cs="Arial"/>
          <w:szCs w:val="21"/>
        </w:rPr>
        <w:t>），少数情况下会引起肾盂肾炎或败血症。通过给</w:t>
      </w:r>
      <w:r>
        <w:rPr>
          <w:rFonts w:ascii="Arial" w:hAnsi="Arial" w:eastAsia="宋体" w:cs="Arial"/>
          <w:szCs w:val="21"/>
        </w:rPr>
        <w:t>UTI</w:t>
      </w:r>
      <w:r>
        <w:rPr>
          <w:rFonts w:hint="eastAsia" w:ascii="Arial" w:hAnsi="Arial" w:eastAsia="宋体" w:cs="Arial"/>
          <w:szCs w:val="21"/>
        </w:rPr>
        <w:t>及感染性结石病人预防性使用抗生素可以将体外超声波碎石机继发的感染风险降到最低。</w:t>
      </w:r>
    </w:p>
    <w:p w14:paraId="79DAA1C6">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输尿管阻塞</w:t>
      </w:r>
      <w:r>
        <w:rPr>
          <w:rFonts w:ascii="Arial" w:hAnsi="Arial" w:eastAsia="宋体" w:cs="Arial"/>
          <w:szCs w:val="21"/>
          <w:u w:val="single"/>
        </w:rPr>
        <w:t>/</w:t>
      </w:r>
      <w:r>
        <w:rPr>
          <w:rFonts w:hint="eastAsia" w:ascii="Arial" w:hAnsi="Arial" w:eastAsia="宋体" w:cs="Arial"/>
          <w:szCs w:val="21"/>
          <w:u w:val="single"/>
        </w:rPr>
        <w:t>石街：</w:t>
      </w:r>
      <w:r>
        <w:rPr>
          <w:rFonts w:hint="eastAsia" w:ascii="Arial" w:hAnsi="Arial" w:eastAsia="宋体" w:cs="Arial"/>
          <w:szCs w:val="21"/>
        </w:rPr>
        <w:t>有不超过</w:t>
      </w:r>
      <w:r>
        <w:rPr>
          <w:rFonts w:ascii="Arial" w:hAnsi="Arial" w:eastAsia="宋体" w:cs="Arial"/>
          <w:szCs w:val="21"/>
        </w:rPr>
        <w:t>6%</w:t>
      </w:r>
      <w:r>
        <w:rPr>
          <w:rFonts w:hint="eastAsia" w:ascii="Arial" w:hAnsi="Arial" w:eastAsia="宋体" w:cs="Arial"/>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14:paraId="63189F4F">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超声波进入位点皮肤淤青：</w:t>
      </w:r>
      <w:r>
        <w:rPr>
          <w:rFonts w:hint="eastAsia" w:ascii="Arial" w:hAnsi="Arial" w:eastAsia="宋体" w:cs="Arial"/>
          <w:szCs w:val="21"/>
        </w:rPr>
        <w:t>在治疗后超声波进入位点偶尔会出现皮肤淤青的情况，一般会自行消退。</w:t>
      </w:r>
    </w:p>
    <w:p w14:paraId="01403FD3">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）：在体外超声波碎石术后偶尔会出现发热症状，可能是感染引起的。</w:t>
      </w:r>
    </w:p>
    <w:p w14:paraId="1EBBC8F7">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恶心</w:t>
      </w:r>
      <w:r>
        <w:rPr>
          <w:rFonts w:ascii="Arial" w:hAnsi="Arial" w:eastAsia="宋体" w:cs="Arial"/>
          <w:szCs w:val="21"/>
          <w:u w:val="single"/>
        </w:rPr>
        <w:t>/</w:t>
      </w:r>
      <w:r>
        <w:rPr>
          <w:rFonts w:hint="eastAsia" w:ascii="Arial" w:hAnsi="Arial" w:eastAsia="宋体" w:cs="Arial"/>
          <w:szCs w:val="21"/>
          <w:u w:val="single"/>
        </w:rPr>
        <w:t>呕吐：</w:t>
      </w:r>
      <w:r>
        <w:rPr>
          <w:rFonts w:hint="eastAsia" w:ascii="Arial" w:hAnsi="Arial" w:eastAsia="宋体" w:cs="Arial"/>
          <w:szCs w:val="21"/>
        </w:rPr>
        <w:t>有时患者在体外超声波碎石术后的较短时间内会出现暂时性的恶心和呕吐现象，可能与疼痛或使用镇定剂或止痛剂有关。</w:t>
      </w:r>
    </w:p>
    <w:p w14:paraId="583C5FDA">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血肿（肾周</w:t>
      </w:r>
      <w:r>
        <w:rPr>
          <w:rFonts w:ascii="Arial" w:hAnsi="Arial" w:eastAsia="宋体" w:cs="Arial"/>
          <w:szCs w:val="21"/>
          <w:u w:val="single"/>
        </w:rPr>
        <w:t>/</w:t>
      </w:r>
      <w:r>
        <w:rPr>
          <w:rFonts w:hint="eastAsia" w:ascii="Arial" w:hAnsi="Arial" w:eastAsia="宋体" w:cs="Arial"/>
          <w:szCs w:val="21"/>
          <w:u w:val="single"/>
        </w:rPr>
        <w:t>肾内）：</w:t>
      </w:r>
      <w:r>
        <w:rPr>
          <w:rFonts w:hint="eastAsia" w:ascii="Arial" w:hAnsi="Arial" w:eastAsia="宋体" w:cs="Arial"/>
          <w:szCs w:val="21"/>
        </w:rPr>
        <w:t>具有临床意义的肾内或肾周血肿仅发生于</w:t>
      </w:r>
      <w:r>
        <w:rPr>
          <w:rFonts w:ascii="Arial" w:hAnsi="Arial" w:eastAsia="宋体" w:cs="Arial"/>
          <w:szCs w:val="21"/>
        </w:rPr>
        <w:t>&lt;1%</w:t>
      </w:r>
      <w:r>
        <w:rPr>
          <w:rFonts w:hint="eastAsia" w:ascii="Arial" w:hAnsi="Arial" w:eastAsia="宋体" w:cs="Arial"/>
          <w:szCs w:val="21"/>
        </w:rPr>
        <w:t>的超声碎石治疗病例中。这些患者通常呈现严重的慢性侧腹痛。虽然通过保守治疗，临床显著的血肿通常都可以缓解，但也有严重出血和死亡的病例报道。严重肾出血的治疗包括输血、经皮穿刺引流术或手术治疗。</w:t>
      </w:r>
    </w:p>
    <w:p w14:paraId="6DC72711">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肾损伤：</w:t>
      </w:r>
      <w:r>
        <w:rPr>
          <w:rFonts w:hint="eastAsia" w:ascii="Arial" w:hAnsi="Arial" w:eastAsia="宋体" w:cs="Arial"/>
          <w:szCs w:val="21"/>
        </w:rPr>
        <w:t>目前已知体外超声波碎石手术会对治疗的肾产生损害。但产生损伤的可能性、长期严重性及持续时间均未知。</w:t>
      </w:r>
    </w:p>
    <w:bookmarkEnd w:id="31"/>
    <w:bookmarkEnd w:id="32"/>
    <w:p w14:paraId="5723E6C0">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ascii="Arial" w:hAnsi="Arial" w:eastAsia="宋体" w:cs="Arial"/>
          <w:szCs w:val="21"/>
          <w:u w:val="single"/>
        </w:rPr>
        <w:t>SWL</w:t>
      </w:r>
      <w:r>
        <w:rPr>
          <w:rFonts w:hint="eastAsia" w:ascii="Arial" w:hAnsi="Arial" w:eastAsia="宋体" w:cs="Arial"/>
          <w:szCs w:val="21"/>
          <w:u w:val="single"/>
        </w:rPr>
        <w:t>系统特有的其他方面的标签注意事项</w:t>
      </w:r>
    </w:p>
    <w:p w14:paraId="096C77FD">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为了方便制造商完善体外超声波碎石机的标签，我们推荐本指南的附录</w:t>
      </w:r>
      <w:r>
        <w:rPr>
          <w:rFonts w:ascii="Arial" w:hAnsi="Arial" w:eastAsia="宋体" w:cs="Arial"/>
          <w:szCs w:val="21"/>
        </w:rPr>
        <w:t>2</w:t>
      </w:r>
      <w:r>
        <w:rPr>
          <w:rFonts w:hint="eastAsia" w:ascii="Arial" w:hAnsi="Arial" w:eastAsia="宋体" w:cs="Arial"/>
          <w:szCs w:val="21"/>
        </w:rPr>
        <w:t>（</w:t>
      </w:r>
      <w:r>
        <w:rPr>
          <w:rFonts w:ascii="Arial" w:hAnsi="Arial" w:eastAsia="宋体" w:cs="Arial"/>
          <w:szCs w:val="21"/>
        </w:rPr>
        <w:t>“SWL</w:t>
      </w:r>
      <w:r>
        <w:rPr>
          <w:rFonts w:hint="eastAsia" w:ascii="Arial" w:hAnsi="Arial" w:eastAsia="宋体" w:cs="Arial"/>
          <w:szCs w:val="21"/>
        </w:rPr>
        <w:t>标签模板</w:t>
      </w:r>
      <w:r>
        <w:rPr>
          <w:rFonts w:ascii="Arial" w:hAnsi="Arial" w:eastAsia="宋体" w:cs="Arial"/>
          <w:szCs w:val="21"/>
        </w:rPr>
        <w:t>”</w:t>
      </w:r>
      <w:r>
        <w:rPr>
          <w:rFonts w:hint="eastAsia" w:ascii="Arial" w:hAnsi="Arial" w:eastAsia="宋体" w:cs="Arial"/>
          <w:szCs w:val="21"/>
        </w:rPr>
        <w:t>）作为操作指南下列部分的模板：器械描述，预期使用和用法，禁忌症，警告与注意事项，不良反应，患者选择与治疗，以及辐射健康操作。</w:t>
      </w:r>
    </w:p>
    <w:p w14:paraId="4CEB3B70">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另外，</w:t>
      </w:r>
      <w:r>
        <w:rPr>
          <w:rFonts w:ascii="Arial" w:hAnsi="Arial" w:eastAsia="宋体" w:cs="Arial"/>
          <w:szCs w:val="21"/>
        </w:rPr>
        <w:t>FDA</w:t>
      </w:r>
      <w:r>
        <w:rPr>
          <w:rFonts w:hint="eastAsia" w:ascii="Arial" w:hAnsi="Arial" w:eastAsia="宋体" w:cs="Arial"/>
          <w:szCs w:val="21"/>
        </w:rPr>
        <w:t>也建议</w:t>
      </w:r>
      <w:r>
        <w:rPr>
          <w:rFonts w:ascii="Arial" w:hAnsi="Arial" w:eastAsia="宋体" w:cs="Arial"/>
          <w:szCs w:val="21"/>
        </w:rPr>
        <w:t>SWL</w:t>
      </w:r>
      <w:r>
        <w:rPr>
          <w:rFonts w:hint="eastAsia" w:ascii="Arial" w:hAnsi="Arial" w:eastAsia="宋体" w:cs="Arial"/>
          <w:szCs w:val="21"/>
        </w:rPr>
        <w:t>系统的标签应当包含统一标准</w:t>
      </w:r>
      <w:r>
        <w:rPr>
          <w:rFonts w:ascii="Arial" w:hAnsi="Arial" w:eastAsia="宋体" w:cs="Arial"/>
          <w:szCs w:val="21"/>
        </w:rPr>
        <w:t>IEC 60601-2-36</w:t>
      </w:r>
      <w:r>
        <w:rPr>
          <w:rFonts w:hint="eastAsia" w:ascii="Arial" w:hAnsi="Arial" w:eastAsia="宋体" w:cs="Arial"/>
          <w:szCs w:val="21"/>
        </w:rPr>
        <w:t>，第</w:t>
      </w:r>
      <w:r>
        <w:rPr>
          <w:rFonts w:ascii="Arial" w:hAnsi="Arial" w:eastAsia="宋体" w:cs="Arial"/>
          <w:szCs w:val="21"/>
        </w:rPr>
        <w:t>6</w:t>
      </w:r>
      <w:r>
        <w:rPr>
          <w:rFonts w:hint="eastAsia" w:ascii="Arial" w:hAnsi="Arial" w:eastAsia="宋体" w:cs="Arial"/>
          <w:szCs w:val="21"/>
        </w:rPr>
        <w:t>条款所规定的一般性和技术性描述信息。虽然没有在</w:t>
      </w:r>
      <w:r>
        <w:rPr>
          <w:rFonts w:ascii="Arial" w:hAnsi="Arial" w:eastAsia="宋体" w:cs="Arial"/>
          <w:szCs w:val="21"/>
        </w:rPr>
        <w:t>IEC 60601-2-36</w:t>
      </w:r>
      <w:r>
        <w:rPr>
          <w:rFonts w:hint="eastAsia" w:ascii="Arial" w:hAnsi="Arial" w:eastAsia="宋体" w:cs="Arial"/>
          <w:szCs w:val="21"/>
        </w:rPr>
        <w:t>中指明，但</w:t>
      </w:r>
      <w:r>
        <w:rPr>
          <w:rFonts w:ascii="Arial" w:hAnsi="Arial" w:eastAsia="宋体" w:cs="Arial"/>
          <w:szCs w:val="21"/>
        </w:rPr>
        <w:t>FDA</w:t>
      </w:r>
      <w:r>
        <w:rPr>
          <w:rFonts w:hint="eastAsia" w:ascii="Arial" w:hAnsi="Arial" w:eastAsia="宋体" w:cs="Arial"/>
          <w:szCs w:val="21"/>
        </w:rPr>
        <w:t>认为应当分别提供在高超声波发生器设置为低、中等和高的状态下条款</w:t>
      </w:r>
      <w:r>
        <w:rPr>
          <w:rFonts w:ascii="Arial" w:hAnsi="Arial" w:eastAsia="宋体" w:cs="Arial"/>
          <w:szCs w:val="21"/>
        </w:rPr>
        <w:t>6.8.3</w:t>
      </w:r>
      <w:r>
        <w:rPr>
          <w:rFonts w:hint="eastAsia" w:ascii="Arial" w:hAnsi="Arial" w:eastAsia="宋体" w:cs="Arial"/>
          <w:szCs w:val="21"/>
        </w:rPr>
        <w:t>所需要的信息。</w:t>
      </w:r>
    </w:p>
    <w:p w14:paraId="52B8B587">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移动</w:t>
      </w:r>
      <w:r>
        <w:rPr>
          <w:rFonts w:ascii="Arial" w:hAnsi="Arial" w:eastAsia="宋体" w:cs="Arial"/>
          <w:szCs w:val="21"/>
          <w:u w:val="single"/>
        </w:rPr>
        <w:t>/</w:t>
      </w:r>
      <w:r>
        <w:rPr>
          <w:rFonts w:hint="eastAsia" w:ascii="Arial" w:hAnsi="Arial" w:eastAsia="宋体" w:cs="Arial"/>
          <w:szCs w:val="21"/>
          <w:u w:val="single"/>
        </w:rPr>
        <w:t>半固定型超声波碎石机的标签注意事项</w:t>
      </w:r>
    </w:p>
    <w:p w14:paraId="1C74EC81">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如果器械提交了移动或半固定的器械版本，则这些器械配置特定的标签也需要完成并提交。增加的标签材料应当包括：</w:t>
      </w:r>
    </w:p>
    <w:p w14:paraId="393A204B">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关于器械在运输后如何进行准备操作的描述；</w:t>
      </w:r>
    </w:p>
    <w:p w14:paraId="45DF65DB">
      <w:pPr>
        <w:pStyle w:val="9"/>
        <w:widowControl/>
        <w:numPr>
          <w:ilvl w:val="0"/>
          <w:numId w:val="12"/>
        </w:numPr>
        <w:snapToGrid w:val="0"/>
        <w:spacing w:after="156" w:afterLines="50" w:line="280" w:lineRule="exact"/>
        <w:ind w:left="405" w:right="-6" w:rightChars="-3" w:hanging="405" w:hangingChars="193"/>
        <w:rPr>
          <w:rFonts w:ascii="Arial" w:hAnsi="Arial" w:eastAsia="宋体" w:cs="Arial"/>
          <w:szCs w:val="21"/>
        </w:rPr>
      </w:pPr>
      <w:r>
        <w:rPr>
          <w:rFonts w:hint="eastAsia" w:ascii="Arial" w:hAnsi="Arial" w:eastAsia="宋体" w:cs="Arial"/>
          <w:szCs w:val="21"/>
        </w:rPr>
        <w:t>使用者在治疗前需要进行的，用以确认器械没有在运输过程中发生损坏的系统评估方案，包括定位</w:t>
      </w:r>
      <w:r>
        <w:rPr>
          <w:rFonts w:ascii="Arial" w:hAnsi="Arial" w:eastAsia="宋体" w:cs="Arial"/>
          <w:szCs w:val="21"/>
        </w:rPr>
        <w:t>/</w:t>
      </w:r>
      <w:r>
        <w:rPr>
          <w:rFonts w:hint="eastAsia" w:ascii="Arial" w:hAnsi="Arial" w:eastAsia="宋体" w:cs="Arial"/>
          <w:szCs w:val="21"/>
        </w:rPr>
        <w:t>对准目标结石系统与超声波聚焦器对准的情况；</w:t>
      </w:r>
    </w:p>
    <w:p w14:paraId="36064E79">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关于如何准备运输的描述；</w:t>
      </w:r>
    </w:p>
    <w:p w14:paraId="6C1398A8">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对运输工具的描述；以及</w:t>
      </w:r>
    </w:p>
    <w:p w14:paraId="44FAD2B7">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（对于可移动器械）对移动碎石套件的描述。</w:t>
      </w:r>
    </w:p>
    <w:p w14:paraId="251F2795">
      <w:pPr>
        <w:widowControl/>
        <w:jc w:val="left"/>
        <w:rPr>
          <w:rFonts w:ascii="Arial" w:hAnsi="Arial" w:eastAsia="宋体" w:cs="Arial"/>
          <w:szCs w:val="21"/>
        </w:rPr>
      </w:pPr>
      <w:r>
        <w:rPr>
          <w:rFonts w:ascii="Arial" w:hAnsi="Arial" w:eastAsia="宋体" w:cs="Arial"/>
          <w:szCs w:val="21"/>
        </w:rPr>
        <w:br w:type="page"/>
      </w:r>
    </w:p>
    <w:p w14:paraId="4FB4E9BA">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患者标签</w:t>
      </w:r>
    </w:p>
    <w:p w14:paraId="07729096">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系统不要求患者标签。但如果患者标签要随产品一同分发，则需要提交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）进行评估。如果制造商希望印制患者标签，则需要考虑下列条目：</w:t>
      </w:r>
    </w:p>
    <w:p w14:paraId="188551A8">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标签的书写和格式应当力求大多数患者都能容易读懂和理解（第</w:t>
      </w:r>
      <w:r>
        <w:rPr>
          <w:rFonts w:ascii="Arial" w:hAnsi="Arial" w:eastAsia="宋体" w:cs="Arial"/>
          <w:szCs w:val="21"/>
        </w:rPr>
        <w:t>7</w:t>
      </w:r>
      <w:r>
        <w:rPr>
          <w:rFonts w:hint="eastAsia" w:ascii="Arial" w:hAnsi="Arial" w:eastAsia="宋体" w:cs="Arial"/>
          <w:szCs w:val="21"/>
        </w:rPr>
        <w:t>级阅读水平）；</w:t>
      </w:r>
    </w:p>
    <w:p w14:paraId="6EC0CF17">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应当使得读者对体外超声波碎石的收益和风险有现实的认识，并简要描述各种潜在的并发症；并且</w:t>
      </w:r>
    </w:p>
    <w:p w14:paraId="1B91E1FA">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应当简要描述其他可选治疗方式。</w:t>
      </w:r>
    </w:p>
    <w:p w14:paraId="0C240D5D">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广告印刷品</w:t>
      </w:r>
    </w:p>
    <w:p w14:paraId="2DD1C06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所有涉及待申请的器械的广告印刷品均应提交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）进行评估。</w:t>
      </w:r>
    </w:p>
    <w:p w14:paraId="3FFC8620">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培训程序</w:t>
      </w:r>
    </w:p>
    <w:p w14:paraId="6AE3B68F">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系统的制造商应当在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）中提交关于医生培训项目的描述。该培训项目应当向器械潜在使用者提供关于（</w:t>
      </w:r>
      <w:r>
        <w:rPr>
          <w:rFonts w:ascii="Arial" w:hAnsi="Arial" w:eastAsia="宋体" w:cs="Arial"/>
          <w:szCs w:val="21"/>
        </w:rPr>
        <w:t>1</w:t>
      </w:r>
      <w:r>
        <w:rPr>
          <w:rFonts w:hint="eastAsia" w:ascii="Arial" w:hAnsi="Arial" w:eastAsia="宋体" w:cs="Arial"/>
          <w:szCs w:val="21"/>
        </w:rPr>
        <w:t>）如何操作待申请的</w:t>
      </w:r>
      <w:r>
        <w:rPr>
          <w:rFonts w:ascii="Arial" w:hAnsi="Arial" w:eastAsia="宋体" w:cs="Arial"/>
          <w:szCs w:val="21"/>
        </w:rPr>
        <w:t>SWL</w:t>
      </w:r>
      <w:r>
        <w:rPr>
          <w:rFonts w:hint="eastAsia" w:ascii="Arial" w:hAnsi="Arial" w:eastAsia="宋体" w:cs="Arial"/>
          <w:szCs w:val="21"/>
        </w:rPr>
        <w:t>系统，以及（</w:t>
      </w:r>
      <w:r>
        <w:rPr>
          <w:rFonts w:ascii="Arial" w:hAnsi="Arial" w:eastAsia="宋体" w:cs="Arial"/>
          <w:szCs w:val="21"/>
        </w:rPr>
        <w:t>2</w:t>
      </w:r>
      <w:r>
        <w:rPr>
          <w:rFonts w:hint="eastAsia" w:ascii="Arial" w:hAnsi="Arial" w:eastAsia="宋体" w:cs="Arial"/>
          <w:szCs w:val="21"/>
        </w:rPr>
        <w:t>）安全有效地使用体外超声波碎石机的一般性操作方面的详细指导。</w:t>
      </w:r>
    </w:p>
    <w:p w14:paraId="65A844DB">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其他管理需求</w:t>
      </w:r>
    </w:p>
    <w:p w14:paraId="20158339">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每项</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）申请均应包含下列项目：</w:t>
      </w:r>
    </w:p>
    <w:p w14:paraId="49EE1AD4">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完整的</w:t>
      </w:r>
      <w:r>
        <w:rPr>
          <w:rFonts w:ascii="Arial" w:hAnsi="Arial" w:eastAsia="宋体" w:cs="Arial"/>
          <w:szCs w:val="21"/>
        </w:rPr>
        <w:t>“</w:t>
      </w:r>
      <w:r>
        <w:rPr>
          <w:rFonts w:hint="eastAsia" w:ascii="Arial" w:hAnsi="Arial" w:eastAsia="宋体" w:cs="Arial"/>
          <w:szCs w:val="21"/>
        </w:rPr>
        <w:t>预期使用</w:t>
      </w:r>
      <w:r>
        <w:rPr>
          <w:rFonts w:ascii="Arial" w:hAnsi="Arial" w:eastAsia="宋体" w:cs="Arial"/>
          <w:szCs w:val="21"/>
        </w:rPr>
        <w:t>”</w:t>
      </w:r>
      <w:r>
        <w:rPr>
          <w:rFonts w:hint="eastAsia" w:ascii="Arial" w:hAnsi="Arial" w:eastAsia="宋体" w:cs="Arial"/>
          <w:szCs w:val="21"/>
        </w:rPr>
        <w:t>表单；</w:t>
      </w:r>
    </w:p>
    <w:p w14:paraId="2783EACA">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单独的</w:t>
      </w:r>
      <w:r>
        <w:rPr>
          <w:rFonts w:ascii="Arial" w:hAnsi="Arial" w:eastAsia="宋体" w:cs="Arial"/>
          <w:szCs w:val="21"/>
        </w:rPr>
        <w:t>“</w:t>
      </w:r>
      <w:r>
        <w:rPr>
          <w:rFonts w:hint="eastAsia" w:ascii="Arial" w:hAnsi="Arial" w:eastAsia="宋体" w:cs="Arial"/>
          <w:szCs w:val="21"/>
        </w:rPr>
        <w:t>真实和准确性声明</w:t>
      </w:r>
      <w:r>
        <w:rPr>
          <w:rFonts w:ascii="Arial" w:hAnsi="Arial" w:eastAsia="宋体" w:cs="Arial"/>
          <w:szCs w:val="21"/>
        </w:rPr>
        <w:t>”</w:t>
      </w:r>
      <w:r>
        <w:rPr>
          <w:rFonts w:hint="eastAsia" w:ascii="Arial" w:hAnsi="Arial" w:eastAsia="宋体" w:cs="Arial"/>
          <w:szCs w:val="21"/>
        </w:rPr>
        <w:t>；以及</w:t>
      </w:r>
    </w:p>
    <w:p w14:paraId="25DCC9CE">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）总结</w:t>
      </w:r>
      <w:r>
        <w:rPr>
          <w:rFonts w:ascii="Arial" w:hAnsi="Arial" w:eastAsia="宋体" w:cs="Arial"/>
          <w:szCs w:val="21"/>
        </w:rPr>
        <w:t>”</w:t>
      </w:r>
      <w:r>
        <w:rPr>
          <w:rFonts w:hint="eastAsia" w:ascii="Arial" w:hAnsi="Arial" w:eastAsia="宋体" w:cs="Arial"/>
          <w:szCs w:val="21"/>
        </w:rPr>
        <w:t>或</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）声明。</w:t>
      </w:r>
      <w:r>
        <w:rPr>
          <w:rFonts w:ascii="Arial" w:hAnsi="Arial" w:eastAsia="宋体" w:cs="Arial"/>
          <w:szCs w:val="21"/>
        </w:rPr>
        <w:t>”</w:t>
      </w:r>
    </w:p>
    <w:p w14:paraId="7D471366">
      <w:pPr>
        <w:pStyle w:val="9"/>
        <w:widowControl/>
        <w:snapToGrid w:val="0"/>
        <w:spacing w:after="156" w:afterLines="50" w:line="300" w:lineRule="auto"/>
        <w:ind w:right="-6" w:rightChars="-3" w:firstLine="0" w:firstLineChars="0"/>
        <w:rPr>
          <w:rFonts w:ascii="Arial" w:hAnsi="Arial" w:eastAsia="宋体" w:cs="Arial"/>
          <w:szCs w:val="21"/>
        </w:rPr>
      </w:pPr>
      <w:r>
        <w:rPr>
          <w:rFonts w:hint="eastAsia" w:ascii="Arial" w:hAnsi="Arial" w:eastAsia="宋体" w:cs="Arial"/>
          <w:szCs w:val="21"/>
        </w:rPr>
        <w:t>上述项目信息可以从</w:t>
      </w:r>
      <w:r>
        <w:rPr>
          <w:rFonts w:ascii="Arial" w:hAnsi="Arial" w:eastAsia="宋体" w:cs="Arial"/>
          <w:szCs w:val="21"/>
        </w:rPr>
        <w:t>DSMA</w:t>
      </w:r>
      <w:r>
        <w:rPr>
          <w:rFonts w:hint="eastAsia" w:ascii="Arial" w:hAnsi="Arial" w:eastAsia="宋体" w:cs="Arial"/>
          <w:szCs w:val="21"/>
        </w:rPr>
        <w:t>获取。</w:t>
      </w:r>
    </w:p>
    <w:p w14:paraId="5DFC64DD">
      <w:pPr>
        <w:widowControl/>
        <w:jc w:val="left"/>
        <w:rPr>
          <w:rFonts w:ascii="Arial" w:hAnsi="Arial" w:eastAsia="宋体" w:cs="Arial"/>
          <w:szCs w:val="21"/>
        </w:rPr>
      </w:pPr>
      <w:r>
        <w:rPr>
          <w:rFonts w:ascii="Arial" w:hAnsi="Arial" w:eastAsia="宋体" w:cs="Arial"/>
          <w:szCs w:val="21"/>
        </w:rPr>
        <w:br w:type="page"/>
      </w:r>
    </w:p>
    <w:p w14:paraId="403FC83D">
      <w:pPr>
        <w:pStyle w:val="9"/>
        <w:widowControl/>
        <w:snapToGrid w:val="0"/>
        <w:spacing w:after="156" w:afterLines="50" w:line="300" w:lineRule="auto"/>
        <w:ind w:right="-6" w:rightChars="-3" w:firstLine="0" w:firstLineChars="0"/>
        <w:rPr>
          <w:rFonts w:ascii="Arial" w:hAnsi="Arial" w:eastAsia="宋体" w:cs="Arial"/>
          <w:szCs w:val="21"/>
        </w:rPr>
      </w:pPr>
    </w:p>
    <w:p w14:paraId="1A7A3FA2">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器械修改</w:t>
      </w:r>
    </w:p>
    <w:p w14:paraId="63A398D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关于器械修改的上市前要求的指南参见文件</w:t>
      </w:r>
      <w:r>
        <w:rPr>
          <w:rFonts w:ascii="Arial" w:hAnsi="Arial" w:eastAsia="宋体" w:cs="Arial"/>
          <w:szCs w:val="21"/>
        </w:rPr>
        <w:t>“</w:t>
      </w:r>
      <w:r>
        <w:rPr>
          <w:rFonts w:hint="eastAsia" w:ascii="Arial" w:hAnsi="Arial" w:eastAsia="宋体" w:cs="Arial"/>
          <w:szCs w:val="21"/>
        </w:rPr>
        <w:t>决定何时提交已有器械修改的</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1/10/97</w:t>
      </w:r>
      <w:r>
        <w:rPr>
          <w:rFonts w:hint="eastAsia" w:ascii="Arial" w:hAnsi="Arial" w:eastAsia="宋体" w:cs="Arial"/>
          <w:szCs w:val="21"/>
        </w:rPr>
        <w:t>）。相关副本可以从</w:t>
      </w:r>
      <w:r>
        <w:rPr>
          <w:rFonts w:ascii="Arial" w:hAnsi="Arial" w:eastAsia="宋体" w:cs="Arial"/>
          <w:szCs w:val="21"/>
        </w:rPr>
        <w:t>DSMA</w:t>
      </w:r>
      <w:r>
        <w:rPr>
          <w:rFonts w:hint="eastAsia" w:ascii="Arial" w:hAnsi="Arial" w:eastAsia="宋体" w:cs="Arial"/>
          <w:szCs w:val="21"/>
        </w:rPr>
        <w:t>或</w:t>
      </w:r>
      <w:r>
        <w:rPr>
          <w:rFonts w:ascii="Arial" w:hAnsi="Arial" w:eastAsia="宋体" w:cs="Arial"/>
          <w:szCs w:val="21"/>
        </w:rPr>
        <w:t>CDRH</w:t>
      </w:r>
      <w:r>
        <w:rPr>
          <w:rFonts w:hint="eastAsia" w:ascii="Arial" w:hAnsi="Arial" w:eastAsia="宋体" w:cs="Arial"/>
          <w:szCs w:val="21"/>
        </w:rPr>
        <w:t>网站（</w:t>
      </w:r>
      <w:r>
        <w:rPr>
          <w:rFonts w:ascii="Arial" w:hAnsi="Arial" w:eastAsia="宋体" w:cs="Arial"/>
          <w:i/>
          <w:szCs w:val="21"/>
        </w:rPr>
        <w:t>http://www.fda.gov/cdrh</w:t>
      </w:r>
      <w:r>
        <w:rPr>
          <w:rFonts w:hint="eastAsia" w:ascii="Arial" w:hAnsi="Arial" w:eastAsia="宋体" w:cs="Arial"/>
          <w:szCs w:val="21"/>
        </w:rPr>
        <w:t>）获取。</w:t>
      </w:r>
    </w:p>
    <w:p w14:paraId="30E56745">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br w:type="page"/>
      </w:r>
    </w:p>
    <w:p w14:paraId="0CED189C">
      <w:pPr>
        <w:widowControl/>
        <w:snapToGrid w:val="0"/>
        <w:spacing w:after="156" w:afterLines="50" w:line="300" w:lineRule="auto"/>
        <w:ind w:right="-6" w:rightChars="-3"/>
        <w:jc w:val="center"/>
        <w:rPr>
          <w:rFonts w:ascii="Arial" w:hAnsi="Arial" w:eastAsia="宋体" w:cs="Arial"/>
          <w:b/>
          <w:sz w:val="48"/>
          <w:szCs w:val="48"/>
        </w:rPr>
      </w:pPr>
      <w:r>
        <w:rPr>
          <w:rFonts w:hint="eastAsia" w:ascii="Arial" w:hAnsi="Arial" w:eastAsia="宋体" w:cs="Arial"/>
          <w:b/>
          <w:sz w:val="48"/>
          <w:szCs w:val="48"/>
        </w:rPr>
        <w:t>附录</w:t>
      </w:r>
      <w:r>
        <w:rPr>
          <w:rFonts w:ascii="Arial" w:hAnsi="Arial" w:eastAsia="宋体" w:cs="Arial"/>
          <w:b/>
          <w:sz w:val="48"/>
          <w:szCs w:val="48"/>
        </w:rPr>
        <w:t>1</w:t>
      </w:r>
      <w:r>
        <w:rPr>
          <w:rFonts w:hint="eastAsia" w:ascii="Arial" w:hAnsi="Arial" w:eastAsia="宋体" w:cs="Arial"/>
          <w:b/>
          <w:sz w:val="48"/>
          <w:szCs w:val="48"/>
        </w:rPr>
        <w:t>：</w:t>
      </w:r>
      <w:r>
        <w:rPr>
          <w:rFonts w:ascii="Arial" w:hAnsi="Arial" w:eastAsia="宋体" w:cs="Arial"/>
          <w:b/>
          <w:sz w:val="48"/>
          <w:szCs w:val="48"/>
        </w:rPr>
        <w:t>SWL</w:t>
      </w:r>
      <w:r>
        <w:rPr>
          <w:rFonts w:hint="eastAsia" w:ascii="Arial" w:hAnsi="Arial" w:eastAsia="宋体" w:cs="Arial"/>
          <w:b/>
          <w:sz w:val="48"/>
          <w:szCs w:val="48"/>
        </w:rPr>
        <w:t>详细说明书表</w:t>
      </w:r>
    </w:p>
    <w:p w14:paraId="29CE3166">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w:t>
      </w:r>
      <w:r>
        <w:rPr>
          <w:rFonts w:ascii="Arial" w:hAnsi="Arial" w:eastAsia="宋体" w:cs="Arial"/>
          <w:szCs w:val="21"/>
        </w:rPr>
        <w:t>“</w:t>
      </w:r>
      <w:r>
        <w:rPr>
          <w:rFonts w:hint="eastAsia" w:ascii="Arial" w:hAnsi="Arial" w:eastAsia="宋体" w:cs="Arial"/>
          <w:szCs w:val="21"/>
        </w:rPr>
        <w:t>器械描述</w:t>
      </w:r>
      <w:r>
        <w:rPr>
          <w:rFonts w:ascii="Arial" w:hAnsi="Arial" w:eastAsia="宋体" w:cs="Arial"/>
          <w:szCs w:val="21"/>
        </w:rPr>
        <w:t>”</w:t>
      </w:r>
      <w:r>
        <w:rPr>
          <w:rFonts w:hint="eastAsia" w:ascii="Arial" w:hAnsi="Arial" w:eastAsia="宋体" w:cs="Arial"/>
          <w:szCs w:val="21"/>
        </w:rPr>
        <w:t>部分应当包含与申请器械有关的下列信息（对于已有</w:t>
      </w:r>
      <w:r>
        <w:rPr>
          <w:rFonts w:ascii="Arial" w:hAnsi="Arial" w:eastAsia="宋体" w:cs="Arial"/>
          <w:szCs w:val="21"/>
        </w:rPr>
        <w:t>SWL</w:t>
      </w:r>
      <w:r>
        <w:rPr>
          <w:rFonts w:hint="eastAsia" w:ascii="Arial" w:hAnsi="Arial" w:eastAsia="宋体" w:cs="Arial"/>
          <w:szCs w:val="21"/>
        </w:rPr>
        <w:t>器械的修改则只需要提供与申请的修改相关的信息）：</w:t>
      </w:r>
    </w:p>
    <w:p w14:paraId="1CA60CDA">
      <w:pPr>
        <w:widowControl/>
        <w:snapToGrid w:val="0"/>
        <w:spacing w:after="156" w:afterLines="50" w:line="300" w:lineRule="auto"/>
        <w:ind w:right="-6" w:rightChars="-3"/>
        <w:rPr>
          <w:rFonts w:ascii="Arial" w:hAnsi="Arial" w:eastAsia="宋体" w:cs="Arial"/>
          <w:szCs w:val="21"/>
          <w:u w:val="single"/>
        </w:rPr>
      </w:pPr>
      <w:r>
        <w:rPr>
          <w:rFonts w:ascii="Arial" w:hAnsi="Arial" w:eastAsia="宋体" w:cs="Arial"/>
          <w:szCs w:val="21"/>
          <w:u w:val="single"/>
        </w:rPr>
        <w:t>__________________________________________________________________________________</w:t>
      </w:r>
    </w:p>
    <w:p w14:paraId="60494D8C">
      <w:pPr>
        <w:widowControl/>
        <w:snapToGrid w:val="0"/>
        <w:spacing w:after="156" w:afterLines="50" w:line="300" w:lineRule="auto"/>
        <w:ind w:right="-6" w:rightChars="-3"/>
        <w:rPr>
          <w:rFonts w:ascii="Arial" w:hAnsi="Arial" w:eastAsia="宋体" w:cs="Arial"/>
          <w:szCs w:val="21"/>
        </w:rPr>
      </w:pPr>
    </w:p>
    <w:p w14:paraId="7B4BAF65">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与</w:t>
      </w:r>
      <w:r>
        <w:rPr>
          <w:rFonts w:ascii="Arial" w:hAnsi="Arial" w:eastAsia="宋体" w:cs="Arial"/>
          <w:b/>
          <w:szCs w:val="21"/>
          <w:u w:val="single"/>
        </w:rPr>
        <w:t>SWL</w:t>
      </w:r>
      <w:r>
        <w:rPr>
          <w:rFonts w:hint="eastAsia" w:ascii="Arial" w:hAnsi="Arial" w:eastAsia="宋体" w:cs="Arial"/>
          <w:b/>
          <w:szCs w:val="21"/>
          <w:u w:val="single"/>
        </w:rPr>
        <w:t>系统一同销售的器械组件：</w:t>
      </w:r>
    </w:p>
    <w:p w14:paraId="016D4E79">
      <w:pPr>
        <w:widowControl/>
        <w:snapToGrid w:val="0"/>
        <w:spacing w:after="156" w:afterLines="50" w:line="300" w:lineRule="auto"/>
        <w:ind w:right="-6" w:rightChars="-3"/>
        <w:rPr>
          <w:rFonts w:ascii="Arial" w:hAnsi="Arial" w:eastAsia="宋体" w:cs="Arial"/>
          <w:szCs w:val="21"/>
        </w:rPr>
      </w:pPr>
    </w:p>
    <w:p w14:paraId="16A4B8B5">
      <w:pPr>
        <w:widowControl/>
        <w:snapToGrid w:val="0"/>
        <w:spacing w:after="93" w:afterLines="30" w:line="240" w:lineRule="exact"/>
        <w:ind w:right="-6" w:rightChars="-3"/>
        <w:rPr>
          <w:rFonts w:ascii="Arial" w:hAnsi="Arial" w:eastAsia="宋体" w:cs="Arial"/>
          <w:szCs w:val="21"/>
        </w:rPr>
      </w:pPr>
      <w:r>
        <w:rPr>
          <w:rFonts w:hint="eastAsia" w:ascii="Arial" w:hAnsi="Arial" w:eastAsia="宋体" w:cs="Arial"/>
          <w:szCs w:val="21"/>
        </w:rPr>
        <w:t>控制台：</w:t>
      </w:r>
    </w:p>
    <w:p w14:paraId="0587CF87">
      <w:pPr>
        <w:widowControl/>
        <w:snapToGrid w:val="0"/>
        <w:spacing w:after="93" w:afterLines="30" w:line="240" w:lineRule="exact"/>
        <w:ind w:right="-6" w:rightChars="-3" w:firstLine="474" w:firstLineChars="226"/>
        <w:rPr>
          <w:rFonts w:ascii="Arial" w:hAnsi="Arial" w:eastAsia="宋体" w:cs="Arial"/>
          <w:szCs w:val="21"/>
        </w:rPr>
      </w:pPr>
      <w:r>
        <w:rPr>
          <w:rFonts w:hint="eastAsia" w:ascii="Arial" w:hAnsi="Arial" w:eastAsia="宋体" w:cs="Arial"/>
          <w:szCs w:val="21"/>
        </w:rPr>
        <w:t>治疗参数（勾选所有适用项）：</w:t>
      </w:r>
    </w:p>
    <w:p w14:paraId="0AAAFDA0">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超声波发生器输出设置范围</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FB4963C">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超声波启动方式：</w:t>
      </w:r>
    </w:p>
    <w:p w14:paraId="45BAF318">
      <w:pPr>
        <w:widowControl/>
        <w:snapToGrid w:val="0"/>
        <w:spacing w:after="93" w:afterLines="30" w:line="240" w:lineRule="exact"/>
        <w:ind w:right="-6" w:rightChars="-3" w:firstLine="1356" w:firstLineChars="646"/>
        <w:rPr>
          <w:rFonts w:ascii="Arial" w:hAnsi="Arial" w:eastAsia="宋体" w:cs="Arial"/>
          <w:szCs w:val="21"/>
        </w:rPr>
      </w:pPr>
      <w:r>
        <w:rPr>
          <w:rFonts w:hint="eastAsia" w:ascii="Arial" w:hAnsi="Arial" w:eastAsia="宋体" w:cs="Arial"/>
          <w:szCs w:val="21"/>
        </w:rPr>
        <w:t>固定频率</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1BF11D5">
      <w:pPr>
        <w:widowControl/>
        <w:snapToGrid w:val="0"/>
        <w:spacing w:after="93" w:afterLines="30" w:line="240" w:lineRule="exact"/>
        <w:ind w:right="-6" w:rightChars="-3" w:firstLine="1791" w:firstLineChars="853"/>
        <w:rPr>
          <w:rFonts w:ascii="Arial" w:hAnsi="Arial" w:eastAsia="宋体" w:cs="Arial"/>
          <w:szCs w:val="21"/>
        </w:rPr>
      </w:pPr>
      <w:r>
        <w:rPr>
          <w:rFonts w:hint="eastAsia" w:ascii="Arial" w:hAnsi="Arial" w:eastAsia="宋体" w:cs="Arial"/>
          <w:szCs w:val="21"/>
        </w:rPr>
        <w:t>超声波频率：</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4CBFA5F">
      <w:pPr>
        <w:widowControl/>
        <w:snapToGrid w:val="0"/>
        <w:spacing w:after="93" w:afterLines="30" w:line="240" w:lineRule="exact"/>
        <w:ind w:right="-6" w:rightChars="-3" w:firstLine="1356" w:firstLineChars="646"/>
        <w:rPr>
          <w:rFonts w:ascii="Arial" w:hAnsi="Arial" w:eastAsia="宋体" w:cs="Arial"/>
          <w:szCs w:val="21"/>
        </w:rPr>
      </w:pPr>
      <w:r>
        <w:rPr>
          <w:rFonts w:ascii="Arial" w:hAnsi="Arial" w:eastAsia="宋体" w:cs="Arial"/>
          <w:szCs w:val="21"/>
        </w:rPr>
        <w:t>ECG</w:t>
      </w:r>
      <w:r>
        <w:rPr>
          <w:rFonts w:hint="eastAsia" w:ascii="Arial" w:hAnsi="Arial" w:eastAsia="宋体" w:cs="Arial"/>
          <w:szCs w:val="21"/>
        </w:rPr>
        <w:t>门控</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8C13D75">
      <w:pPr>
        <w:widowControl/>
        <w:snapToGrid w:val="0"/>
        <w:spacing w:after="93" w:afterLines="30" w:line="240" w:lineRule="exact"/>
        <w:ind w:right="-6" w:rightChars="-3" w:firstLine="1356" w:firstLineChars="646"/>
        <w:rPr>
          <w:rFonts w:ascii="Arial" w:hAnsi="Arial" w:eastAsia="宋体" w:cs="Arial"/>
          <w:szCs w:val="21"/>
        </w:rPr>
      </w:pPr>
      <w:r>
        <w:rPr>
          <w:rFonts w:hint="eastAsia" w:ascii="Arial" w:hAnsi="Arial" w:eastAsia="宋体" w:cs="Arial"/>
          <w:szCs w:val="21"/>
        </w:rPr>
        <w:t>呼吸门控</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90CEECB">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其他使用者选择的参数：</w:t>
      </w:r>
      <w:r>
        <w:rPr>
          <w:rFonts w:ascii="Arial" w:hAnsi="Arial" w:eastAsia="宋体" w:cs="Arial"/>
          <w:szCs w:val="21"/>
        </w:rPr>
        <w:t xml:space="preserve">       _________________________________________</w:t>
      </w:r>
    </w:p>
    <w:p w14:paraId="5F7ECAE5">
      <w:pPr>
        <w:widowControl/>
        <w:snapToGrid w:val="0"/>
        <w:spacing w:after="93" w:afterLines="30" w:line="240" w:lineRule="exact"/>
        <w:ind w:right="-6" w:rightChars="-3" w:firstLine="924" w:firstLineChars="440"/>
        <w:rPr>
          <w:rFonts w:ascii="Arial" w:hAnsi="Arial" w:eastAsia="宋体" w:cs="Arial"/>
          <w:szCs w:val="21"/>
        </w:rPr>
      </w:pPr>
    </w:p>
    <w:p w14:paraId="10810F12">
      <w:pPr>
        <w:widowControl/>
        <w:snapToGrid w:val="0"/>
        <w:spacing w:after="93" w:afterLines="30" w:line="240" w:lineRule="exact"/>
        <w:ind w:right="-6" w:rightChars="-3"/>
        <w:rPr>
          <w:rFonts w:ascii="Arial" w:hAnsi="Arial" w:eastAsia="宋体" w:cs="Arial"/>
          <w:szCs w:val="21"/>
        </w:rPr>
      </w:pPr>
      <w:r>
        <w:rPr>
          <w:rFonts w:hint="eastAsia" w:ascii="Arial" w:hAnsi="Arial" w:eastAsia="宋体" w:cs="Arial"/>
          <w:szCs w:val="21"/>
        </w:rPr>
        <w:t>超声波发生器：</w:t>
      </w:r>
    </w:p>
    <w:p w14:paraId="64FAF09B">
      <w:pPr>
        <w:widowControl/>
        <w:snapToGrid w:val="0"/>
        <w:spacing w:after="93" w:afterLines="30" w:line="240" w:lineRule="exact"/>
        <w:ind w:right="-6" w:rightChars="-3" w:firstLine="474" w:firstLineChars="226"/>
        <w:rPr>
          <w:rFonts w:ascii="Arial" w:hAnsi="Arial" w:eastAsia="宋体" w:cs="Arial"/>
          <w:szCs w:val="21"/>
        </w:rPr>
      </w:pPr>
      <w:r>
        <w:rPr>
          <w:rFonts w:hint="eastAsia" w:ascii="Arial" w:hAnsi="Arial" w:eastAsia="宋体" w:cs="Arial"/>
          <w:szCs w:val="21"/>
        </w:rPr>
        <w:t>超声波产生方式（</w:t>
      </w:r>
      <w:bookmarkStart w:id="36" w:name="OLE_LINK25"/>
      <w:bookmarkStart w:id="37" w:name="OLE_LINK26"/>
      <w:r>
        <w:rPr>
          <w:rFonts w:hint="eastAsia" w:ascii="Arial" w:hAnsi="Arial" w:eastAsia="宋体" w:cs="Arial"/>
          <w:szCs w:val="21"/>
        </w:rPr>
        <w:t>勾选所有适用项</w:t>
      </w:r>
      <w:bookmarkEnd w:id="36"/>
      <w:bookmarkEnd w:id="37"/>
      <w:r>
        <w:rPr>
          <w:rFonts w:hint="eastAsia" w:ascii="Arial" w:hAnsi="Arial" w:eastAsia="宋体" w:cs="Arial"/>
          <w:szCs w:val="21"/>
        </w:rPr>
        <w:t>）：</w:t>
      </w:r>
    </w:p>
    <w:p w14:paraId="760FA5D7">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静电火花放电</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AD6B221">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电磁排斥膜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0C3F6B7">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压电晶片阵列</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17D7DD9">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其他方法：</w:t>
      </w:r>
      <w:r>
        <w:rPr>
          <w:rFonts w:ascii="Arial" w:hAnsi="Arial" w:eastAsia="宋体" w:cs="Arial"/>
          <w:szCs w:val="21"/>
        </w:rPr>
        <w:t xml:space="preserve">                   _________________________________________</w:t>
      </w:r>
    </w:p>
    <w:p w14:paraId="6A416220">
      <w:pPr>
        <w:widowControl/>
        <w:snapToGrid w:val="0"/>
        <w:spacing w:after="93" w:afterLines="30" w:line="240" w:lineRule="exact"/>
        <w:ind w:right="-6" w:rightChars="-3" w:firstLine="924" w:firstLineChars="440"/>
        <w:rPr>
          <w:rFonts w:ascii="Arial" w:hAnsi="Arial" w:eastAsia="宋体" w:cs="Arial"/>
          <w:kern w:val="0"/>
          <w:szCs w:val="21"/>
        </w:rPr>
      </w:pPr>
    </w:p>
    <w:p w14:paraId="3C96B34F">
      <w:pPr>
        <w:widowControl/>
        <w:snapToGrid w:val="0"/>
        <w:spacing w:after="93" w:afterLines="30" w:line="240" w:lineRule="exact"/>
        <w:ind w:right="-6" w:rightChars="-3" w:firstLine="42" w:firstLineChars="20"/>
        <w:rPr>
          <w:rFonts w:ascii="Arial" w:hAnsi="Arial" w:eastAsia="宋体" w:cs="Arial"/>
          <w:kern w:val="0"/>
          <w:szCs w:val="21"/>
        </w:rPr>
      </w:pPr>
      <w:r>
        <w:rPr>
          <w:rFonts w:hint="eastAsia" w:ascii="Arial" w:hAnsi="Arial" w:eastAsia="宋体" w:cs="Arial"/>
          <w:kern w:val="0"/>
          <w:szCs w:val="21"/>
        </w:rPr>
        <w:t>超声波聚焦方式</w:t>
      </w:r>
      <w:bookmarkStart w:id="38" w:name="OLE_LINK27"/>
      <w:bookmarkStart w:id="39" w:name="OLE_LINK28"/>
      <w:r>
        <w:rPr>
          <w:rFonts w:hint="eastAsia" w:ascii="Arial" w:hAnsi="Arial" w:eastAsia="宋体" w:cs="Arial"/>
          <w:kern w:val="0"/>
          <w:szCs w:val="21"/>
        </w:rPr>
        <w:t>（</w:t>
      </w:r>
      <w:r>
        <w:rPr>
          <w:rFonts w:hint="eastAsia" w:ascii="Arial" w:hAnsi="Arial" w:eastAsia="宋体" w:cs="Arial"/>
          <w:szCs w:val="21"/>
        </w:rPr>
        <w:t>勾选所有适用项</w:t>
      </w:r>
      <w:r>
        <w:rPr>
          <w:rFonts w:hint="eastAsia" w:ascii="Arial" w:hAnsi="Arial" w:eastAsia="宋体" w:cs="Arial"/>
          <w:kern w:val="0"/>
          <w:szCs w:val="21"/>
        </w:rPr>
        <w:t>）：</w:t>
      </w:r>
      <w:bookmarkEnd w:id="38"/>
      <w:bookmarkEnd w:id="39"/>
    </w:p>
    <w:p w14:paraId="2016BF07">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反射器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1E9EC84">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几何形状（椭圆型、抛物线型等）</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D59470F">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声透镜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78A2F53">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球形碟</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06B3B27">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其他方法</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1473B6F">
      <w:pPr>
        <w:widowControl/>
        <w:snapToGrid w:val="0"/>
        <w:spacing w:after="93" w:afterLines="30" w:line="240" w:lineRule="exact"/>
        <w:ind w:right="-6" w:rightChars="-3"/>
        <w:rPr>
          <w:rFonts w:ascii="Arial" w:hAnsi="Arial" w:eastAsia="宋体" w:cs="Arial"/>
          <w:kern w:val="0"/>
          <w:szCs w:val="21"/>
        </w:rPr>
      </w:pPr>
    </w:p>
    <w:p w14:paraId="26C26401">
      <w:pPr>
        <w:widowControl/>
        <w:snapToGrid w:val="0"/>
        <w:spacing w:after="93" w:afterLines="30" w:line="240" w:lineRule="exact"/>
        <w:ind w:right="-6" w:rightChars="-3" w:firstLine="69" w:firstLineChars="33"/>
        <w:rPr>
          <w:rFonts w:ascii="Arial" w:hAnsi="Arial" w:eastAsia="宋体" w:cs="Arial"/>
          <w:kern w:val="0"/>
          <w:szCs w:val="21"/>
        </w:rPr>
      </w:pPr>
      <w:r>
        <w:rPr>
          <w:rFonts w:hint="eastAsia" w:ascii="Arial" w:hAnsi="Arial" w:eastAsia="宋体" w:cs="Arial"/>
          <w:kern w:val="0"/>
          <w:szCs w:val="21"/>
        </w:rPr>
        <w:t>超声波产生系统几何形状：</w:t>
      </w:r>
    </w:p>
    <w:p w14:paraId="7E0A28E3">
      <w:pPr>
        <w:widowControl/>
        <w:snapToGrid w:val="0"/>
        <w:spacing w:after="93" w:afterLines="30" w:line="240" w:lineRule="exact"/>
        <w:ind w:right="-6" w:rightChars="-3" w:firstLine="965" w:firstLineChars="460"/>
        <w:rPr>
          <w:rFonts w:ascii="Arial" w:hAnsi="Arial" w:eastAsia="宋体" w:cs="Arial"/>
          <w:kern w:val="0"/>
          <w:szCs w:val="21"/>
        </w:rPr>
      </w:pPr>
      <w:r>
        <w:rPr>
          <w:rFonts w:hint="eastAsia" w:ascii="Arial" w:hAnsi="Arial" w:eastAsia="宋体" w:cs="Arial"/>
          <w:kern w:val="0"/>
          <w:szCs w:val="21"/>
        </w:rPr>
        <w:t>焦点与超声波发生器边框距离（</w:t>
      </w:r>
      <w:r>
        <w:rPr>
          <w:rFonts w:ascii="Arial" w:hAnsi="Arial" w:eastAsia="宋体" w:cs="Arial"/>
          <w:kern w:val="0"/>
          <w:szCs w:val="21"/>
        </w:rPr>
        <w:t>mm</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55CCB78">
      <w:pPr>
        <w:widowControl/>
        <w:snapToGrid w:val="0"/>
        <w:spacing w:after="93" w:afterLines="30" w:line="240" w:lineRule="exact"/>
        <w:ind w:right="-6" w:rightChars="-3" w:firstLine="965" w:firstLineChars="460"/>
        <w:rPr>
          <w:rFonts w:ascii="Arial" w:hAnsi="Arial" w:eastAsia="宋体" w:cs="Arial"/>
          <w:szCs w:val="21"/>
        </w:rPr>
      </w:pPr>
      <w:r>
        <w:rPr>
          <w:rFonts w:hint="eastAsia" w:ascii="Arial" w:hAnsi="Arial" w:eastAsia="宋体" w:cs="Arial"/>
          <w:szCs w:val="21"/>
        </w:rPr>
        <w:t>孔角度（</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3347A01">
      <w:pPr>
        <w:widowControl/>
        <w:snapToGrid w:val="0"/>
        <w:spacing w:after="93" w:afterLines="30" w:line="240" w:lineRule="exact"/>
        <w:ind w:right="-6" w:rightChars="-3" w:firstLine="965" w:firstLineChars="460"/>
        <w:rPr>
          <w:rFonts w:ascii="Arial" w:hAnsi="Arial" w:eastAsia="宋体" w:cs="Arial"/>
          <w:szCs w:val="21"/>
        </w:rPr>
      </w:pPr>
      <w:r>
        <w:rPr>
          <w:rFonts w:hint="eastAsia" w:ascii="Arial" w:hAnsi="Arial" w:eastAsia="宋体" w:cs="Arial"/>
          <w:szCs w:val="21"/>
        </w:rPr>
        <w:t>孔直径（</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EEB32B0">
      <w:pPr>
        <w:widowControl/>
        <w:snapToGrid w:val="0"/>
        <w:spacing w:after="93" w:afterLines="30" w:line="240" w:lineRule="exact"/>
        <w:ind w:right="-6" w:rightChars="-3" w:firstLine="489" w:firstLineChars="233"/>
        <w:rPr>
          <w:rFonts w:ascii="Arial" w:hAnsi="Arial" w:eastAsia="宋体" w:cs="Arial"/>
          <w:szCs w:val="21"/>
        </w:rPr>
      </w:pPr>
    </w:p>
    <w:p w14:paraId="461DFCF8">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标准超声波发生器</w:t>
      </w:r>
      <w:r>
        <w:rPr>
          <w:rFonts w:ascii="Arial" w:hAnsi="Arial" w:eastAsia="宋体" w:cs="Arial"/>
          <w:szCs w:val="21"/>
        </w:rPr>
        <w:t>/</w:t>
      </w:r>
      <w:r>
        <w:rPr>
          <w:rFonts w:hint="eastAsia" w:ascii="Arial" w:hAnsi="Arial" w:eastAsia="宋体" w:cs="Arial"/>
          <w:szCs w:val="21"/>
        </w:rPr>
        <w:t>超声波插头寿命（</w:t>
      </w:r>
      <w:r>
        <w:rPr>
          <w:rFonts w:ascii="Arial" w:hAnsi="Arial" w:eastAsia="宋体" w:cs="Arial"/>
          <w:szCs w:val="21"/>
        </w:rPr>
        <w:t>#</w:t>
      </w:r>
      <w:r>
        <w:rPr>
          <w:rFonts w:hint="eastAsia" w:ascii="Arial" w:hAnsi="Arial" w:eastAsia="宋体" w:cs="Arial"/>
          <w:szCs w:val="21"/>
        </w:rPr>
        <w:t>超声波数）</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D34F257">
      <w:pPr>
        <w:widowControl/>
        <w:snapToGrid w:val="0"/>
        <w:spacing w:after="93" w:afterLines="30" w:line="240" w:lineRule="exact"/>
        <w:ind w:right="-6" w:rightChars="-3" w:firstLine="489" w:firstLineChars="233"/>
        <w:rPr>
          <w:rFonts w:ascii="Arial" w:hAnsi="Arial" w:eastAsia="宋体" w:cs="Arial"/>
          <w:szCs w:val="21"/>
        </w:rPr>
      </w:pPr>
    </w:p>
    <w:p w14:paraId="52961BD7">
      <w:pPr>
        <w:widowControl/>
        <w:jc w:val="left"/>
        <w:rPr>
          <w:rFonts w:ascii="Arial" w:hAnsi="Arial" w:eastAsia="宋体" w:cs="Arial"/>
          <w:szCs w:val="21"/>
        </w:rPr>
      </w:pPr>
      <w:r>
        <w:rPr>
          <w:rFonts w:ascii="Arial" w:hAnsi="Arial" w:eastAsia="宋体" w:cs="Arial"/>
          <w:szCs w:val="21"/>
        </w:rPr>
        <w:br w:type="page"/>
      </w:r>
    </w:p>
    <w:p w14:paraId="19AA75ED">
      <w:pPr>
        <w:widowControl/>
        <w:snapToGrid w:val="0"/>
        <w:spacing w:after="93" w:afterLines="30" w:line="240" w:lineRule="exact"/>
        <w:ind w:right="-6" w:rightChars="-3" w:firstLine="84" w:firstLineChars="40"/>
        <w:rPr>
          <w:rFonts w:ascii="Arial" w:hAnsi="Arial" w:eastAsia="宋体" w:cs="Arial"/>
          <w:kern w:val="0"/>
          <w:szCs w:val="21"/>
        </w:rPr>
      </w:pPr>
      <w:r>
        <w:rPr>
          <w:rFonts w:hint="eastAsia" w:ascii="Arial" w:hAnsi="Arial" w:eastAsia="宋体" w:cs="Arial"/>
          <w:szCs w:val="21"/>
        </w:rPr>
        <w:t>与患者接触方式</w:t>
      </w:r>
      <w:r>
        <w:rPr>
          <w:rFonts w:hint="eastAsia" w:ascii="Arial" w:hAnsi="Arial" w:eastAsia="宋体" w:cs="Arial"/>
          <w:kern w:val="0"/>
          <w:szCs w:val="21"/>
        </w:rPr>
        <w:t>（</w:t>
      </w:r>
      <w:r>
        <w:rPr>
          <w:rFonts w:hint="eastAsia" w:ascii="Arial" w:hAnsi="Arial" w:eastAsia="宋体" w:cs="Arial"/>
          <w:szCs w:val="21"/>
        </w:rPr>
        <w:t>勾选所有适用项</w:t>
      </w:r>
      <w:r>
        <w:rPr>
          <w:rFonts w:hint="eastAsia" w:ascii="Arial" w:hAnsi="Arial" w:eastAsia="宋体" w:cs="Arial"/>
          <w:kern w:val="0"/>
          <w:szCs w:val="21"/>
        </w:rPr>
        <w:t>）：</w:t>
      </w:r>
    </w:p>
    <w:p w14:paraId="587D2EA5">
      <w:pPr>
        <w:widowControl/>
        <w:snapToGrid w:val="0"/>
        <w:spacing w:after="93" w:afterLines="30" w:line="240" w:lineRule="exact"/>
        <w:ind w:right="-6" w:rightChars="-3" w:firstLine="1344" w:firstLineChars="640"/>
        <w:rPr>
          <w:rFonts w:ascii="Arial" w:hAnsi="Arial" w:eastAsia="宋体" w:cs="Arial"/>
          <w:kern w:val="0"/>
          <w:szCs w:val="21"/>
        </w:rPr>
      </w:pPr>
      <w:r>
        <w:rPr>
          <w:rFonts w:hint="eastAsia" w:ascii="Arial" w:hAnsi="Arial" w:eastAsia="宋体" w:cs="Arial"/>
          <w:kern w:val="0"/>
          <w:szCs w:val="21"/>
        </w:rPr>
        <w:t>水缓冲垫（橡胶膜）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6036412">
      <w:pPr>
        <w:widowControl/>
        <w:snapToGrid w:val="0"/>
        <w:spacing w:after="93" w:afterLines="30" w:line="240" w:lineRule="exact"/>
        <w:ind w:right="-6" w:rightChars="-3" w:firstLine="1344" w:firstLineChars="640"/>
        <w:rPr>
          <w:rFonts w:ascii="Arial" w:hAnsi="Arial" w:eastAsia="宋体" w:cs="Arial"/>
          <w:kern w:val="0"/>
          <w:szCs w:val="21"/>
        </w:rPr>
      </w:pPr>
      <w:r>
        <w:rPr>
          <w:rFonts w:hint="eastAsia" w:ascii="Arial" w:hAnsi="Arial" w:eastAsia="宋体" w:cs="Arial"/>
          <w:kern w:val="0"/>
          <w:szCs w:val="21"/>
        </w:rPr>
        <w:t>开放水池</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20EB4DF">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水浴缸</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40528BD">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其他方法</w:t>
      </w:r>
      <w:r>
        <w:rPr>
          <w:rFonts w:ascii="Arial" w:hAnsi="Arial" w:eastAsia="宋体" w:cs="Arial"/>
          <w:szCs w:val="21"/>
        </w:rPr>
        <w:t xml:space="preserve">                   ________________________________________</w:t>
      </w:r>
    </w:p>
    <w:p w14:paraId="73AE8683">
      <w:pPr>
        <w:widowControl/>
        <w:snapToGrid w:val="0"/>
        <w:spacing w:after="93" w:afterLines="30" w:line="240" w:lineRule="exact"/>
        <w:ind w:right="-6" w:rightChars="-3" w:firstLine="489" w:firstLineChars="233"/>
        <w:rPr>
          <w:rFonts w:ascii="Arial" w:hAnsi="Arial" w:eastAsia="宋体" w:cs="Arial"/>
          <w:szCs w:val="21"/>
        </w:rPr>
      </w:pPr>
    </w:p>
    <w:p w14:paraId="315F90C8">
      <w:pPr>
        <w:widowControl/>
        <w:snapToGrid w:val="0"/>
        <w:spacing w:after="93" w:afterLines="30" w:line="240" w:lineRule="exact"/>
        <w:ind w:right="-6" w:rightChars="-3" w:firstLine="111" w:firstLineChars="53"/>
        <w:rPr>
          <w:rFonts w:ascii="Arial" w:hAnsi="Arial" w:eastAsia="宋体" w:cs="Arial"/>
          <w:szCs w:val="21"/>
        </w:rPr>
      </w:pPr>
      <w:r>
        <w:rPr>
          <w:rFonts w:hint="eastAsia" w:ascii="Arial" w:hAnsi="Arial" w:eastAsia="宋体" w:cs="Arial"/>
          <w:szCs w:val="21"/>
        </w:rPr>
        <w:t>水系统：</w:t>
      </w:r>
    </w:p>
    <w:p w14:paraId="31E37CBB">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szCs w:val="21"/>
        </w:rPr>
        <w:t>组成部分</w:t>
      </w:r>
      <w:bookmarkStart w:id="40" w:name="OLE_LINK29"/>
      <w:bookmarkStart w:id="41" w:name="OLE_LINK31"/>
      <w:bookmarkStart w:id="42" w:name="OLE_LINK30"/>
      <w:r>
        <w:rPr>
          <w:rFonts w:hint="eastAsia" w:ascii="Arial" w:hAnsi="Arial" w:eastAsia="宋体" w:cs="Arial"/>
          <w:kern w:val="0"/>
          <w:szCs w:val="21"/>
        </w:rPr>
        <w:t>（勾选所有适用项）：</w:t>
      </w:r>
      <w:bookmarkEnd w:id="40"/>
      <w:bookmarkEnd w:id="41"/>
      <w:bookmarkEnd w:id="42"/>
    </w:p>
    <w:p w14:paraId="7ED1A7ED">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水循环系统</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053FDFB">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贮水器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43DEA53">
      <w:pPr>
        <w:widowControl/>
        <w:snapToGrid w:val="0"/>
        <w:spacing w:after="93" w:afterLines="30" w:line="240" w:lineRule="exact"/>
        <w:ind w:right="-6" w:rightChars="-3" w:firstLine="1818" w:firstLineChars="866"/>
        <w:rPr>
          <w:rFonts w:ascii="Arial" w:hAnsi="Arial" w:eastAsia="宋体" w:cs="Arial"/>
          <w:kern w:val="0"/>
          <w:szCs w:val="21"/>
        </w:rPr>
      </w:pPr>
      <w:r>
        <w:rPr>
          <w:rFonts w:hint="eastAsia" w:ascii="Arial" w:hAnsi="Arial" w:eastAsia="宋体" w:cs="Arial"/>
          <w:kern w:val="0"/>
          <w:szCs w:val="21"/>
        </w:rPr>
        <w:t>贮水器容量（</w:t>
      </w:r>
      <w:r>
        <w:rPr>
          <w:rFonts w:ascii="Arial" w:hAnsi="Arial" w:eastAsia="宋体" w:cs="Arial"/>
          <w:kern w:val="0"/>
          <w:szCs w:val="21"/>
        </w:rPr>
        <w:t>1</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A0FF8C7">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脱气器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7EADB12">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脱离子器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717727E">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其他组成部分</w:t>
      </w:r>
      <w:r>
        <w:rPr>
          <w:rFonts w:ascii="Arial" w:hAnsi="Arial" w:eastAsia="宋体" w:cs="Arial"/>
          <w:szCs w:val="21"/>
        </w:rPr>
        <w:t xml:space="preserve">                   ____________________________________</w:t>
      </w:r>
    </w:p>
    <w:p w14:paraId="5D083820">
      <w:pPr>
        <w:widowControl/>
        <w:snapToGrid w:val="0"/>
        <w:spacing w:after="93" w:afterLines="30" w:line="240" w:lineRule="exact"/>
        <w:ind w:right="-6" w:rightChars="-3" w:firstLine="489" w:firstLineChars="233"/>
        <w:rPr>
          <w:rFonts w:ascii="Arial" w:hAnsi="Arial" w:eastAsia="宋体" w:cs="Arial"/>
          <w:kern w:val="0"/>
          <w:szCs w:val="21"/>
        </w:rPr>
      </w:pPr>
    </w:p>
    <w:p w14:paraId="7B35A8B1">
      <w:pPr>
        <w:widowControl/>
        <w:snapToGrid w:val="0"/>
        <w:spacing w:after="93" w:afterLines="30" w:line="240" w:lineRule="exact"/>
        <w:ind w:right="-6" w:rightChars="-3" w:firstLine="126" w:firstLineChars="60"/>
        <w:rPr>
          <w:rFonts w:ascii="Arial" w:hAnsi="Arial" w:eastAsia="宋体" w:cs="Arial"/>
          <w:kern w:val="0"/>
          <w:szCs w:val="21"/>
        </w:rPr>
      </w:pPr>
      <w:r>
        <w:rPr>
          <w:rFonts w:hint="eastAsia" w:ascii="Arial" w:hAnsi="Arial" w:eastAsia="宋体" w:cs="Arial"/>
          <w:kern w:val="0"/>
          <w:szCs w:val="21"/>
        </w:rPr>
        <w:t>定位</w:t>
      </w:r>
      <w:r>
        <w:rPr>
          <w:rFonts w:ascii="Arial" w:hAnsi="Arial" w:eastAsia="宋体" w:cs="Arial"/>
          <w:kern w:val="0"/>
          <w:szCs w:val="21"/>
        </w:rPr>
        <w:t>/</w:t>
      </w:r>
      <w:r>
        <w:rPr>
          <w:rFonts w:hint="eastAsia" w:ascii="Arial" w:hAnsi="Arial" w:eastAsia="宋体" w:cs="Arial"/>
          <w:kern w:val="0"/>
          <w:szCs w:val="21"/>
        </w:rPr>
        <w:t>成像系统：</w:t>
      </w:r>
    </w:p>
    <w:p w14:paraId="290D854A">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定位</w:t>
      </w:r>
      <w:r>
        <w:rPr>
          <w:rFonts w:ascii="Arial" w:hAnsi="Arial" w:eastAsia="宋体" w:cs="Arial"/>
          <w:kern w:val="0"/>
          <w:szCs w:val="21"/>
        </w:rPr>
        <w:t>/</w:t>
      </w:r>
      <w:r>
        <w:rPr>
          <w:rFonts w:hint="eastAsia" w:ascii="Arial" w:hAnsi="Arial" w:eastAsia="宋体" w:cs="Arial"/>
          <w:kern w:val="0"/>
          <w:szCs w:val="21"/>
        </w:rPr>
        <w:t>成像方法（</w:t>
      </w:r>
      <w:r>
        <w:rPr>
          <w:rFonts w:hint="eastAsia" w:ascii="Arial" w:hAnsi="Arial" w:eastAsia="宋体" w:cs="Arial"/>
          <w:i/>
          <w:kern w:val="0"/>
          <w:szCs w:val="21"/>
        </w:rPr>
        <w:t>勾选所有适用项；指出主要</w:t>
      </w:r>
      <w:r>
        <w:rPr>
          <w:rFonts w:ascii="Arial" w:hAnsi="Arial" w:eastAsia="宋体" w:cs="Arial"/>
          <w:i/>
          <w:kern w:val="0"/>
          <w:szCs w:val="21"/>
        </w:rPr>
        <w:t>/</w:t>
      </w:r>
      <w:r>
        <w:rPr>
          <w:rFonts w:hint="eastAsia" w:ascii="Arial" w:hAnsi="Arial" w:eastAsia="宋体" w:cs="Arial"/>
          <w:i/>
          <w:kern w:val="0"/>
          <w:szCs w:val="21"/>
        </w:rPr>
        <w:t>次要</w:t>
      </w:r>
      <w:r>
        <w:rPr>
          <w:rFonts w:hint="eastAsia" w:ascii="Arial" w:hAnsi="Arial" w:eastAsia="宋体" w:cs="Arial"/>
          <w:kern w:val="0"/>
          <w:szCs w:val="21"/>
        </w:rPr>
        <w:t>）：</w:t>
      </w:r>
    </w:p>
    <w:p w14:paraId="3DA58F8E">
      <w:pPr>
        <w:widowControl/>
        <w:snapToGrid w:val="0"/>
        <w:spacing w:after="93" w:afterLines="30" w:line="240" w:lineRule="exact"/>
        <w:ind w:right="-6" w:rightChars="-3" w:firstLine="1020" w:firstLineChars="486"/>
        <w:rPr>
          <w:rFonts w:ascii="Arial" w:hAnsi="Arial" w:eastAsia="宋体" w:cs="Arial"/>
          <w:kern w:val="0"/>
          <w:szCs w:val="21"/>
        </w:rPr>
      </w:pPr>
      <w:r>
        <w:rPr>
          <w:rFonts w:ascii="Arial" w:hAnsi="Arial" w:eastAsia="宋体" w:cs="Arial"/>
          <w:kern w:val="0"/>
          <w:szCs w:val="21"/>
        </w:rPr>
        <w:t>X</w:t>
      </w:r>
      <w:r>
        <w:rPr>
          <w:rFonts w:hint="eastAsia" w:ascii="Arial" w:hAnsi="Arial" w:eastAsia="宋体" w:cs="Arial"/>
          <w:kern w:val="0"/>
          <w:szCs w:val="21"/>
        </w:rPr>
        <w:t>光：</w:t>
      </w:r>
    </w:p>
    <w:p w14:paraId="3D21A649">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放射胶片成像</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75774A9">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放射数字成像</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617034D">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荧光染色</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33987DA">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其他</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3C25B433">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超声：</w:t>
      </w:r>
    </w:p>
    <w:p w14:paraId="52E7579C">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传感器嵌入超声波路径</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71DF361">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传感器与定位臂连接</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0C3E2B5">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手持传感器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F95F93D">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其他</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14103A43">
      <w:pPr>
        <w:widowControl/>
        <w:snapToGrid w:val="0"/>
        <w:spacing w:after="93" w:afterLines="30" w:line="240" w:lineRule="exact"/>
        <w:ind w:right="-6" w:rightChars="-3" w:firstLine="1020" w:firstLineChars="486"/>
        <w:rPr>
          <w:rFonts w:ascii="Arial" w:hAnsi="Arial" w:eastAsia="宋体" w:cs="Arial"/>
          <w:szCs w:val="21"/>
        </w:rPr>
      </w:pPr>
      <w:r>
        <w:rPr>
          <w:rFonts w:hint="eastAsia" w:ascii="Arial" w:hAnsi="Arial" w:eastAsia="宋体" w:cs="Arial"/>
          <w:kern w:val="0"/>
          <w:szCs w:val="21"/>
        </w:rPr>
        <w:t>其他成像方法</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27525448">
      <w:pPr>
        <w:widowControl/>
        <w:snapToGrid w:val="0"/>
        <w:spacing w:before="93" w:beforeLines="30" w:after="93" w:afterLines="30" w:line="240" w:lineRule="exact"/>
        <w:ind w:right="-6" w:rightChars="-3" w:firstLine="489" w:firstLineChars="233"/>
        <w:rPr>
          <w:rFonts w:ascii="Arial" w:hAnsi="Arial" w:eastAsia="宋体" w:cs="Arial"/>
          <w:szCs w:val="21"/>
        </w:rPr>
      </w:pPr>
      <w:r>
        <w:rPr>
          <w:rFonts w:ascii="Arial" w:hAnsi="Arial" w:eastAsia="宋体" w:cs="Arial"/>
          <w:szCs w:val="21"/>
        </w:rPr>
        <w:br w:type="textWrapping"/>
      </w:r>
      <w:r>
        <w:rPr>
          <w:rFonts w:hint="eastAsia" w:ascii="Arial" w:hAnsi="Arial" w:eastAsia="宋体" w:cs="Arial"/>
          <w:szCs w:val="21"/>
        </w:rPr>
        <w:t>集成成像系统的</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）编码（如果已知）</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6E6A626">
      <w:pPr>
        <w:widowControl/>
        <w:snapToGrid w:val="0"/>
        <w:spacing w:after="93" w:afterLines="30" w:line="240" w:lineRule="exact"/>
        <w:ind w:right="-6" w:rightChars="-3" w:firstLine="489" w:firstLineChars="233"/>
        <w:rPr>
          <w:rFonts w:ascii="Arial" w:hAnsi="Arial" w:eastAsia="宋体" w:cs="Arial"/>
          <w:szCs w:val="21"/>
        </w:rPr>
      </w:pPr>
    </w:p>
    <w:p w14:paraId="3B5387E9">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定位准确性</w:t>
      </w:r>
      <w:r>
        <w:rPr>
          <w:rFonts w:ascii="Arial" w:hAnsi="Arial" w:eastAsia="宋体" w:cs="Arial"/>
          <w:szCs w:val="21"/>
        </w:rPr>
        <w:t>/</w:t>
      </w:r>
      <w:r>
        <w:rPr>
          <w:rFonts w:hint="eastAsia" w:ascii="Arial" w:hAnsi="Arial" w:eastAsia="宋体" w:cs="Arial"/>
          <w:szCs w:val="21"/>
        </w:rPr>
        <w:t>主要成像系统的不确定性（</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6C9C67B">
      <w:pPr>
        <w:widowControl/>
        <w:snapToGrid w:val="0"/>
        <w:spacing w:after="93" w:afterLines="30" w:line="240" w:lineRule="exact"/>
        <w:ind w:right="-6" w:rightChars="-3" w:firstLine="489" w:firstLineChars="233"/>
        <w:rPr>
          <w:rFonts w:ascii="Arial" w:hAnsi="Arial" w:eastAsia="宋体" w:cs="Arial"/>
          <w:szCs w:val="21"/>
        </w:rPr>
      </w:pPr>
    </w:p>
    <w:p w14:paraId="6BD2B114">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是否有使用者定位准确性检测系统？（</w:t>
      </w:r>
      <w:r>
        <w:rPr>
          <w:rFonts w:ascii="Arial" w:hAnsi="Arial" w:eastAsia="宋体" w:cs="Arial"/>
          <w:szCs w:val="21"/>
        </w:rPr>
        <w:t>y/n</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C9581C2">
      <w:pPr>
        <w:widowControl/>
        <w:snapToGrid w:val="0"/>
        <w:spacing w:after="93" w:afterLines="30" w:line="240" w:lineRule="exact"/>
        <w:ind w:right="-6" w:rightChars="-3" w:firstLine="489" w:firstLineChars="233"/>
        <w:rPr>
          <w:rFonts w:ascii="Arial" w:hAnsi="Arial" w:eastAsia="宋体" w:cs="Arial"/>
          <w:szCs w:val="21"/>
        </w:rPr>
      </w:pPr>
    </w:p>
    <w:p w14:paraId="6A6CF609">
      <w:pPr>
        <w:widowControl/>
        <w:snapToGrid w:val="0"/>
        <w:spacing w:after="93" w:afterLines="30" w:line="240" w:lineRule="exact"/>
        <w:ind w:right="-6" w:rightChars="-3" w:firstLine="138" w:firstLineChars="66"/>
        <w:rPr>
          <w:rFonts w:ascii="Arial" w:hAnsi="Arial" w:eastAsia="宋体" w:cs="Arial"/>
          <w:szCs w:val="21"/>
        </w:rPr>
      </w:pPr>
      <w:r>
        <w:rPr>
          <w:rFonts w:hint="eastAsia" w:ascii="Arial" w:hAnsi="Arial" w:eastAsia="宋体" w:cs="Arial"/>
          <w:szCs w:val="21"/>
        </w:rPr>
        <w:t>患者手术台：</w:t>
      </w:r>
    </w:p>
    <w:p w14:paraId="110A4459">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szCs w:val="21"/>
        </w:rPr>
        <w:t>手术台类型</w:t>
      </w:r>
      <w:r>
        <w:rPr>
          <w:rFonts w:hint="eastAsia" w:ascii="Arial" w:hAnsi="Arial" w:eastAsia="宋体" w:cs="Arial"/>
          <w:kern w:val="0"/>
          <w:szCs w:val="21"/>
        </w:rPr>
        <w:t>（</w:t>
      </w:r>
      <w:r>
        <w:rPr>
          <w:rFonts w:hint="eastAsia" w:ascii="Arial" w:hAnsi="Arial" w:eastAsia="宋体" w:cs="Arial"/>
          <w:i/>
          <w:kern w:val="0"/>
          <w:szCs w:val="21"/>
        </w:rPr>
        <w:t>勾选所有适用项</w:t>
      </w:r>
      <w:r>
        <w:rPr>
          <w:rFonts w:hint="eastAsia" w:ascii="Arial" w:hAnsi="Arial" w:eastAsia="宋体" w:cs="Arial"/>
          <w:kern w:val="0"/>
          <w:szCs w:val="21"/>
        </w:rPr>
        <w:t>）：</w:t>
      </w:r>
    </w:p>
    <w:p w14:paraId="4E89FED7">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固定</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3EBCE46">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手动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6BB8A40">
      <w:pPr>
        <w:widowControl/>
        <w:snapToGrid w:val="0"/>
        <w:spacing w:after="93" w:afterLines="30" w:line="240" w:lineRule="exact"/>
        <w:ind w:right="-6" w:rightChars="-3" w:firstLine="1020" w:firstLineChars="486"/>
        <w:rPr>
          <w:rFonts w:ascii="Arial" w:hAnsi="Arial" w:eastAsia="宋体" w:cs="Arial"/>
          <w:szCs w:val="21"/>
        </w:rPr>
      </w:pPr>
      <w:r>
        <w:rPr>
          <w:rFonts w:hint="eastAsia" w:ascii="Arial" w:hAnsi="Arial" w:eastAsia="宋体" w:cs="Arial"/>
          <w:szCs w:val="21"/>
        </w:rPr>
        <w:t>机动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9D2E7ED">
      <w:pPr>
        <w:widowControl/>
        <w:snapToGrid w:val="0"/>
        <w:spacing w:after="93" w:afterLines="30" w:line="240" w:lineRule="exact"/>
        <w:ind w:right="-6" w:rightChars="-3" w:firstLine="489" w:firstLineChars="233"/>
        <w:rPr>
          <w:rFonts w:ascii="Arial" w:hAnsi="Arial" w:eastAsia="宋体" w:cs="Arial"/>
          <w:szCs w:val="21"/>
        </w:rPr>
      </w:pPr>
    </w:p>
    <w:p w14:paraId="5118A0B5">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可承受的最大患者重量（</w:t>
      </w:r>
      <w:r>
        <w:rPr>
          <w:rFonts w:ascii="Arial" w:hAnsi="Arial" w:eastAsia="宋体" w:cs="Arial"/>
          <w:szCs w:val="21"/>
        </w:rPr>
        <w:t>kg</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F34076D">
      <w:pPr>
        <w:widowControl/>
        <w:snapToGrid w:val="0"/>
        <w:spacing w:after="93" w:afterLines="30" w:line="240" w:lineRule="exact"/>
        <w:ind w:right="-6" w:rightChars="-3" w:firstLine="489" w:firstLineChars="233"/>
        <w:rPr>
          <w:rFonts w:ascii="Arial" w:hAnsi="Arial" w:eastAsia="宋体" w:cs="Arial"/>
          <w:szCs w:val="21"/>
        </w:rPr>
      </w:pPr>
    </w:p>
    <w:p w14:paraId="5B51D882">
      <w:pPr>
        <w:widowControl/>
        <w:jc w:val="left"/>
        <w:rPr>
          <w:rFonts w:ascii="Arial" w:hAnsi="Arial" w:eastAsia="宋体" w:cs="Arial"/>
          <w:szCs w:val="21"/>
        </w:rPr>
      </w:pPr>
      <w:r>
        <w:rPr>
          <w:rFonts w:ascii="Arial" w:hAnsi="Arial" w:eastAsia="宋体" w:cs="Arial"/>
          <w:szCs w:val="21"/>
        </w:rPr>
        <w:br w:type="page"/>
      </w:r>
    </w:p>
    <w:p w14:paraId="3337AF29">
      <w:pPr>
        <w:widowControl/>
        <w:snapToGrid w:val="0"/>
        <w:spacing w:after="93" w:afterLines="30" w:line="240" w:lineRule="exact"/>
        <w:ind w:right="-6" w:rightChars="-3" w:firstLine="153" w:firstLineChars="73"/>
        <w:rPr>
          <w:rFonts w:ascii="Arial" w:hAnsi="Arial" w:eastAsia="宋体" w:cs="Arial"/>
          <w:kern w:val="0"/>
          <w:szCs w:val="21"/>
        </w:rPr>
      </w:pPr>
      <w:r>
        <w:rPr>
          <w:rFonts w:hint="eastAsia" w:ascii="Arial" w:hAnsi="Arial" w:eastAsia="宋体" w:cs="Arial"/>
          <w:szCs w:val="21"/>
        </w:rPr>
        <w:t>附件</w:t>
      </w:r>
      <w:r>
        <w:rPr>
          <w:rFonts w:hint="eastAsia" w:ascii="Arial" w:hAnsi="Arial" w:eastAsia="宋体" w:cs="Arial"/>
          <w:kern w:val="0"/>
          <w:szCs w:val="21"/>
        </w:rPr>
        <w:t>（勾选所有适用项）：</w:t>
      </w:r>
    </w:p>
    <w:p w14:paraId="06D1AEF5">
      <w:pPr>
        <w:widowControl/>
        <w:snapToGrid w:val="0"/>
        <w:spacing w:after="93" w:afterLines="30" w:line="240" w:lineRule="exact"/>
        <w:ind w:right="-6" w:rightChars="-3" w:firstLine="489" w:firstLineChars="233"/>
        <w:rPr>
          <w:rFonts w:ascii="Arial" w:hAnsi="Arial" w:eastAsia="宋体" w:cs="Arial"/>
          <w:kern w:val="0"/>
          <w:szCs w:val="21"/>
        </w:rPr>
      </w:pPr>
      <w:r>
        <w:rPr>
          <w:rFonts w:ascii="Arial" w:hAnsi="Arial" w:eastAsia="宋体" w:cs="Arial"/>
          <w:kern w:val="0"/>
          <w:szCs w:val="21"/>
        </w:rPr>
        <w:t>ECG</w:t>
      </w:r>
      <w:r>
        <w:rPr>
          <w:rFonts w:hint="eastAsia" w:ascii="Arial" w:hAnsi="Arial" w:eastAsia="宋体" w:cs="Arial"/>
          <w:kern w:val="0"/>
          <w:szCs w:val="21"/>
        </w:rPr>
        <w:t>监测仪</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15EA1CE">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呼吸监测仪</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E62E059">
      <w:pPr>
        <w:widowControl/>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kern w:val="0"/>
          <w:szCs w:val="21"/>
        </w:rPr>
        <w:t>其他附件</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w:t>
      </w:r>
    </w:p>
    <w:p w14:paraId="71A28D73">
      <w:pPr>
        <w:widowControl/>
        <w:snapToGrid w:val="0"/>
        <w:spacing w:after="93" w:afterLines="30" w:line="240" w:lineRule="exact"/>
        <w:ind w:right="-6" w:rightChars="-3" w:firstLine="489" w:firstLineChars="233"/>
        <w:rPr>
          <w:rFonts w:ascii="Arial" w:hAnsi="Arial" w:eastAsia="宋体" w:cs="Arial"/>
          <w:kern w:val="0"/>
          <w:szCs w:val="21"/>
        </w:rPr>
      </w:pPr>
    </w:p>
    <w:p w14:paraId="6BF8F289">
      <w:pPr>
        <w:widowControl/>
        <w:snapToGrid w:val="0"/>
        <w:spacing w:after="93" w:afterLines="30" w:line="240" w:lineRule="exact"/>
        <w:ind w:right="-6" w:rightChars="-3" w:firstLine="491" w:firstLineChars="233"/>
        <w:rPr>
          <w:rFonts w:ascii="Arial" w:hAnsi="Arial" w:eastAsia="宋体" w:cs="Arial"/>
          <w:b/>
          <w:kern w:val="0"/>
          <w:szCs w:val="21"/>
          <w:u w:val="single"/>
        </w:rPr>
      </w:pPr>
      <w:r>
        <w:rPr>
          <w:rFonts w:hint="eastAsia" w:ascii="Arial" w:hAnsi="Arial" w:eastAsia="宋体" w:cs="Arial"/>
          <w:b/>
          <w:kern w:val="0"/>
          <w:szCs w:val="21"/>
          <w:u w:val="single"/>
        </w:rPr>
        <w:t>软件描述：</w:t>
      </w:r>
    </w:p>
    <w:p w14:paraId="19A1BA31">
      <w:pPr>
        <w:widowControl/>
        <w:snapToGrid w:val="0"/>
        <w:spacing w:after="93" w:afterLines="30" w:line="240" w:lineRule="exact"/>
        <w:ind w:right="-6" w:rightChars="-3" w:firstLine="491" w:firstLineChars="233"/>
        <w:rPr>
          <w:rFonts w:ascii="Arial" w:hAnsi="Arial" w:eastAsia="宋体" w:cs="Arial"/>
          <w:b/>
          <w:kern w:val="0"/>
          <w:szCs w:val="21"/>
          <w:u w:val="single"/>
        </w:rPr>
      </w:pPr>
    </w:p>
    <w:p w14:paraId="0A85EAB5">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微处理器</w:t>
      </w:r>
      <w:r>
        <w:rPr>
          <w:rFonts w:ascii="Arial" w:hAnsi="Arial" w:eastAsia="宋体" w:cs="Arial"/>
          <w:kern w:val="0"/>
          <w:szCs w:val="21"/>
        </w:rPr>
        <w:t>/</w:t>
      </w:r>
      <w:r>
        <w:rPr>
          <w:rFonts w:hint="eastAsia" w:ascii="Arial" w:hAnsi="Arial" w:eastAsia="宋体" w:cs="Arial"/>
          <w:kern w:val="0"/>
          <w:szCs w:val="21"/>
        </w:rPr>
        <w:t>软件控制？（</w:t>
      </w:r>
      <w:r>
        <w:rPr>
          <w:rFonts w:ascii="Arial" w:hAnsi="Arial" w:eastAsia="宋体" w:cs="Arial"/>
          <w:kern w:val="0"/>
          <w:szCs w:val="21"/>
        </w:rPr>
        <w:t>y/n</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CA3EB0A">
      <w:pPr>
        <w:widowControl/>
        <w:snapToGrid w:val="0"/>
        <w:spacing w:after="93" w:afterLines="30" w:line="240" w:lineRule="exact"/>
        <w:ind w:right="-6" w:rightChars="-3" w:firstLine="489" w:firstLineChars="233"/>
        <w:rPr>
          <w:rFonts w:ascii="Arial" w:hAnsi="Arial" w:eastAsia="宋体" w:cs="Arial"/>
          <w:kern w:val="0"/>
          <w:szCs w:val="21"/>
        </w:rPr>
      </w:pPr>
    </w:p>
    <w:p w14:paraId="52EBDBF5">
      <w:pPr>
        <w:widowControl/>
        <w:snapToGrid w:val="0"/>
        <w:spacing w:after="93" w:afterLines="30" w:line="240" w:lineRule="exact"/>
        <w:ind w:right="-6" w:rightChars="-3" w:firstLine="491" w:firstLineChars="233"/>
        <w:rPr>
          <w:rFonts w:ascii="Arial" w:hAnsi="Arial" w:eastAsia="宋体" w:cs="Arial"/>
          <w:b/>
          <w:kern w:val="0"/>
          <w:szCs w:val="21"/>
          <w:u w:val="single"/>
        </w:rPr>
      </w:pPr>
      <w:r>
        <w:rPr>
          <w:rFonts w:hint="eastAsia" w:ascii="Arial" w:hAnsi="Arial" w:eastAsia="宋体" w:cs="Arial"/>
          <w:b/>
          <w:kern w:val="0"/>
          <w:szCs w:val="21"/>
          <w:u w:val="single"/>
        </w:rPr>
        <w:t>声学输出特性：</w:t>
      </w:r>
    </w:p>
    <w:p w14:paraId="58229E46">
      <w:pPr>
        <w:widowControl/>
        <w:snapToGrid w:val="0"/>
        <w:spacing w:after="93" w:afterLines="30" w:line="240" w:lineRule="exact"/>
        <w:ind w:right="-6" w:rightChars="-3" w:firstLine="491" w:firstLineChars="233"/>
        <w:rPr>
          <w:rFonts w:ascii="Arial" w:hAnsi="Arial" w:eastAsia="宋体" w:cs="Arial"/>
          <w:b/>
          <w:kern w:val="0"/>
          <w:szCs w:val="21"/>
          <w:u w:val="single"/>
        </w:rPr>
      </w:pPr>
    </w:p>
    <w:p w14:paraId="634DAC7F">
      <w:pPr>
        <w:widowControl/>
        <w:snapToGrid w:val="0"/>
        <w:spacing w:after="93" w:afterLines="30" w:line="240" w:lineRule="exact"/>
        <w:ind w:left="516" w:leftChars="233" w:right="-6" w:rightChars="-3" w:hanging="27" w:hangingChars="13"/>
        <w:rPr>
          <w:rFonts w:ascii="Arial" w:hAnsi="Arial" w:eastAsia="宋体" w:cs="Arial"/>
          <w:kern w:val="0"/>
          <w:szCs w:val="21"/>
        </w:rPr>
      </w:pPr>
      <w:r>
        <w:rPr>
          <w:rFonts w:hint="eastAsia" w:ascii="Arial" w:hAnsi="Arial" w:eastAsia="宋体" w:cs="Arial"/>
          <w:kern w:val="0"/>
          <w:szCs w:val="21"/>
        </w:rPr>
        <w:t>超声波特性（</w:t>
      </w:r>
      <w:r>
        <w:rPr>
          <w:rFonts w:hint="eastAsia" w:ascii="Arial" w:hAnsi="Arial" w:eastAsia="宋体" w:cs="Arial"/>
          <w:i/>
          <w:kern w:val="0"/>
          <w:szCs w:val="21"/>
        </w:rPr>
        <w:t>根据</w:t>
      </w:r>
      <w:r>
        <w:rPr>
          <w:rFonts w:ascii="Arial" w:hAnsi="Arial" w:eastAsia="宋体" w:cs="Arial"/>
          <w:i/>
          <w:kern w:val="0"/>
          <w:szCs w:val="21"/>
        </w:rPr>
        <w:t>IEC 61846</w:t>
      </w:r>
      <w:r>
        <w:rPr>
          <w:rFonts w:hint="eastAsia" w:ascii="Arial" w:hAnsi="Arial" w:eastAsia="宋体" w:cs="Arial"/>
          <w:i/>
          <w:kern w:val="0"/>
          <w:szCs w:val="21"/>
        </w:rPr>
        <w:t>的规定，最低、常规和最高超声波发生器输出设置状态均应提供下列定量指标</w:t>
      </w:r>
      <w:r>
        <w:rPr>
          <w:rFonts w:hint="eastAsia" w:ascii="Arial" w:hAnsi="Arial" w:eastAsia="宋体" w:cs="Arial"/>
          <w:kern w:val="0"/>
          <w:szCs w:val="21"/>
        </w:rPr>
        <w:t>）：</w:t>
      </w:r>
    </w:p>
    <w:p w14:paraId="425E5E00">
      <w:pPr>
        <w:tabs>
          <w:tab w:val="left" w:pos="7240"/>
          <w:tab w:val="left" w:pos="7503"/>
        </w:tabs>
        <w:snapToGrid w:val="0"/>
        <w:spacing w:after="93" w:afterLines="30" w:line="240" w:lineRule="exact"/>
        <w:ind w:right="-6" w:rightChars="-3" w:firstLine="6960" w:firstLineChars="2900"/>
        <w:jc w:val="left"/>
        <w:rPr>
          <w:rFonts w:ascii="Arial" w:hAnsi="Arial" w:eastAsia="宋体" w:cs="Arial"/>
          <w:szCs w:val="21"/>
          <w:u w:val="single"/>
        </w:rPr>
      </w:pPr>
      <w:r>
        <w:rPr>
          <w:rFonts w:hint="eastAsia" w:ascii="Arial" w:hAnsi="Arial" w:eastAsia="宋体" w:cs="Arial"/>
          <w:i/>
          <w:iCs/>
          <w:kern w:val="0"/>
          <w:sz w:val="24"/>
          <w:szCs w:val="24"/>
          <w:u w:val="single"/>
        </w:rPr>
        <w:t>最小值</w:t>
      </w:r>
      <w:r>
        <w:rPr>
          <w:rFonts w:ascii="Arial" w:hAnsi="Arial" w:eastAsia="宋体" w:cs="Arial"/>
          <w:i/>
          <w:iCs/>
          <w:kern w:val="0"/>
          <w:sz w:val="24"/>
          <w:szCs w:val="24"/>
          <w:u w:val="single"/>
        </w:rPr>
        <w:t>/</w:t>
      </w:r>
      <w:r>
        <w:rPr>
          <w:rFonts w:hint="eastAsia" w:ascii="Arial" w:hAnsi="Arial" w:eastAsia="宋体" w:cs="Arial"/>
          <w:i/>
          <w:iCs/>
          <w:kern w:val="0"/>
          <w:sz w:val="24"/>
          <w:szCs w:val="24"/>
          <w:u w:val="single"/>
        </w:rPr>
        <w:t>标准值</w:t>
      </w:r>
      <w:r>
        <w:rPr>
          <w:rFonts w:ascii="Arial" w:hAnsi="Arial" w:eastAsia="宋体" w:cs="Arial"/>
          <w:i/>
          <w:iCs/>
          <w:kern w:val="0"/>
          <w:sz w:val="24"/>
          <w:szCs w:val="24"/>
          <w:u w:val="single"/>
        </w:rPr>
        <w:t>/</w:t>
      </w:r>
      <w:r>
        <w:rPr>
          <w:rFonts w:hint="eastAsia" w:ascii="Arial" w:hAnsi="Arial" w:eastAsia="宋体" w:cs="Arial"/>
          <w:i/>
          <w:iCs/>
          <w:kern w:val="0"/>
          <w:sz w:val="24"/>
          <w:szCs w:val="24"/>
          <w:u w:val="single"/>
        </w:rPr>
        <w:t>最大值</w:t>
      </w:r>
    </w:p>
    <w:p w14:paraId="56EE147F">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正声压（</w:t>
      </w:r>
      <w:r>
        <w:rPr>
          <w:rFonts w:ascii="Arial" w:hAnsi="Arial" w:eastAsia="宋体" w:cs="Arial"/>
          <w:szCs w:val="21"/>
        </w:rPr>
        <w:t>MPa</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634B49BB">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负声压（</w:t>
      </w:r>
      <w:r>
        <w:rPr>
          <w:rFonts w:ascii="Arial" w:hAnsi="Arial" w:eastAsia="宋体" w:cs="Arial"/>
          <w:szCs w:val="21"/>
        </w:rPr>
        <w:t>MPa</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5CD85A49">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上升时间（</w:t>
      </w:r>
      <w:r>
        <w:rPr>
          <w:rFonts w:ascii="Arial" w:hAnsi="Arial" w:eastAsia="宋体" w:cs="Arial"/>
          <w:szCs w:val="21"/>
        </w:rPr>
        <w:t>ns</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680FDC29">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压缩脉冲持续时间（</w:t>
      </w:r>
      <w:r>
        <w:rPr>
          <w:rFonts w:ascii="Arial" w:hAnsi="Arial" w:eastAsia="宋体" w:cs="Arial"/>
          <w:szCs w:val="21"/>
        </w:rPr>
        <w:t>ns</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00DFD24B">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最大聚焦宽度</w:t>
      </w:r>
      <w:bookmarkStart w:id="43" w:name="OLE_LINK34"/>
      <w:r>
        <w:rPr>
          <w:rFonts w:hint="eastAsia" w:ascii="Arial" w:hAnsi="Arial" w:eastAsia="宋体" w:cs="Arial"/>
          <w:szCs w:val="21"/>
        </w:rPr>
        <w:t>（</w:t>
      </w:r>
      <w:r>
        <w:rPr>
          <w:rFonts w:ascii="Arial" w:hAnsi="Arial" w:eastAsia="宋体" w:cs="Arial"/>
          <w:szCs w:val="21"/>
        </w:rPr>
        <w:t>mm</w:t>
      </w:r>
      <w:r>
        <w:rPr>
          <w:rFonts w:hint="eastAsia" w:ascii="Arial" w:hAnsi="Arial" w:eastAsia="宋体" w:cs="Arial"/>
          <w:szCs w:val="21"/>
        </w:rPr>
        <w:t>）</w:t>
      </w:r>
      <w:bookmarkEnd w:id="43"/>
      <w:r>
        <w:rPr>
          <w:rFonts w:ascii="Arial" w:hAnsi="Arial" w:eastAsia="宋体" w:cs="Arial"/>
          <w:szCs w:val="21"/>
        </w:rPr>
        <w:tab/>
      </w:r>
      <w:r>
        <w:rPr>
          <w:rFonts w:ascii="Arial" w:hAnsi="Arial" w:eastAsia="宋体" w:cs="Arial"/>
          <w:szCs w:val="21"/>
        </w:rPr>
        <w:t>____/____/_____</w:t>
      </w:r>
    </w:p>
    <w:p w14:paraId="2A32E978">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对焦聚焦宽度（</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71575104">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聚焦程度（</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4020F0D9">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聚焦体积（</w:t>
      </w:r>
      <w:r>
        <w:rPr>
          <w:rFonts w:ascii="Arial" w:hAnsi="Arial" w:eastAsia="宋体" w:cs="Arial"/>
          <w:szCs w:val="21"/>
        </w:rPr>
        <w:t>cm3</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78D4D560">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焦点与目标位点距离（</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54256D47">
      <w:pPr>
        <w:tabs>
          <w:tab w:val="left" w:pos="6621"/>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产生的焦点声脉冲能量（</w:t>
      </w:r>
      <w:r>
        <w:rPr>
          <w:rFonts w:ascii="Arial" w:hAnsi="Arial" w:eastAsia="宋体" w:cs="Arial"/>
          <w:szCs w:val="21"/>
        </w:rPr>
        <w:t>mJ</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R1:  ____/____/_____</w:t>
      </w:r>
    </w:p>
    <w:p w14:paraId="548FECB0">
      <w:pPr>
        <w:tabs>
          <w:tab w:val="left" w:pos="6621"/>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指定的半径</w:t>
      </w:r>
      <w:r>
        <w:rPr>
          <w:rFonts w:ascii="Arial" w:hAnsi="Arial" w:eastAsia="宋体" w:cs="Arial"/>
          <w:szCs w:val="21"/>
        </w:rPr>
        <w:t>R</w:t>
      </w:r>
      <w:r>
        <w:rPr>
          <w:rFonts w:hint="eastAsia" w:ascii="Arial" w:hAnsi="Arial" w:eastAsia="宋体" w:cs="Arial"/>
          <w:szCs w:val="21"/>
        </w:rPr>
        <w:t>情况下产生的声脉冲能量（</w:t>
      </w:r>
      <w:r>
        <w:rPr>
          <w:rFonts w:ascii="Arial" w:hAnsi="Arial" w:eastAsia="宋体" w:cs="Arial"/>
          <w:szCs w:val="21"/>
        </w:rPr>
        <w:t>mJ</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R2:  ____/____/_____</w:t>
      </w:r>
    </w:p>
    <w:p w14:paraId="5ADB6EE3">
      <w:pPr>
        <w:widowControl/>
        <w:snapToGrid w:val="0"/>
        <w:spacing w:after="93" w:afterLines="30" w:line="240" w:lineRule="exact"/>
        <w:ind w:right="-6" w:rightChars="-3" w:firstLine="489" w:firstLineChars="233"/>
        <w:rPr>
          <w:rFonts w:ascii="Arial" w:hAnsi="Arial" w:eastAsia="宋体" w:cs="Arial"/>
          <w:szCs w:val="21"/>
        </w:rPr>
      </w:pPr>
    </w:p>
    <w:p w14:paraId="558D2E8E">
      <w:pPr>
        <w:widowControl/>
        <w:snapToGrid w:val="0"/>
        <w:spacing w:after="93" w:afterLines="30" w:line="240" w:lineRule="exact"/>
        <w:ind w:right="-6" w:rightChars="-3" w:firstLine="491" w:firstLineChars="233"/>
        <w:rPr>
          <w:rFonts w:ascii="Arial" w:hAnsi="Arial" w:eastAsia="宋体" w:cs="Arial"/>
          <w:b/>
          <w:szCs w:val="21"/>
          <w:u w:val="single"/>
        </w:rPr>
      </w:pPr>
      <w:r>
        <w:rPr>
          <w:rFonts w:hint="eastAsia" w:ascii="Arial" w:hAnsi="Arial" w:eastAsia="宋体" w:cs="Arial"/>
          <w:b/>
          <w:szCs w:val="21"/>
          <w:u w:val="single"/>
        </w:rPr>
        <w:t>用电安全</w:t>
      </w:r>
      <w:r>
        <w:rPr>
          <w:rFonts w:ascii="Arial" w:hAnsi="Arial" w:eastAsia="宋体" w:cs="Arial"/>
          <w:b/>
          <w:szCs w:val="21"/>
          <w:u w:val="single"/>
        </w:rPr>
        <w:t>/</w:t>
      </w:r>
      <w:r>
        <w:rPr>
          <w:rFonts w:hint="eastAsia" w:ascii="Arial" w:hAnsi="Arial" w:eastAsia="宋体" w:cs="Arial"/>
          <w:b/>
          <w:szCs w:val="21"/>
          <w:u w:val="single"/>
        </w:rPr>
        <w:t>电磁相容性：</w:t>
      </w:r>
    </w:p>
    <w:p w14:paraId="5FDEF8F9">
      <w:pPr>
        <w:widowControl/>
        <w:snapToGrid w:val="0"/>
        <w:spacing w:after="93" w:afterLines="30" w:line="240" w:lineRule="exact"/>
        <w:ind w:right="-6" w:rightChars="-3" w:firstLine="489" w:firstLineChars="233"/>
        <w:rPr>
          <w:rFonts w:ascii="Arial" w:hAnsi="Arial" w:eastAsia="宋体" w:cs="Arial"/>
          <w:szCs w:val="21"/>
        </w:rPr>
      </w:pPr>
    </w:p>
    <w:p w14:paraId="16712BB7">
      <w:pPr>
        <w:widowControl/>
        <w:tabs>
          <w:tab w:val="left" w:pos="7139"/>
        </w:tabs>
        <w:snapToGrid w:val="0"/>
        <w:spacing w:after="93" w:afterLines="30" w:line="240" w:lineRule="exact"/>
        <w:ind w:right="-6" w:rightChars="-3" w:firstLine="489" w:firstLineChars="233"/>
        <w:rPr>
          <w:rFonts w:ascii="Arial" w:hAnsi="Arial" w:eastAsia="宋体" w:cs="Arial"/>
          <w:b/>
          <w:szCs w:val="21"/>
        </w:rPr>
      </w:pPr>
      <w:r>
        <w:rPr>
          <w:rFonts w:hint="eastAsia" w:ascii="Arial" w:hAnsi="Arial" w:eastAsia="宋体" w:cs="Arial"/>
          <w:szCs w:val="21"/>
        </w:rPr>
        <w:t>电源要求（</w:t>
      </w:r>
      <w:r>
        <w:rPr>
          <w:rFonts w:ascii="Arial" w:hAnsi="Arial" w:eastAsia="宋体" w:cs="Arial"/>
          <w:szCs w:val="21"/>
        </w:rPr>
        <w:t>V</w:t>
      </w:r>
      <w:r>
        <w:rPr>
          <w:rFonts w:hint="eastAsia" w:ascii="Arial" w:hAnsi="Arial" w:eastAsia="宋体" w:cs="Arial"/>
          <w:szCs w:val="21"/>
        </w:rPr>
        <w:t>，</w:t>
      </w:r>
      <w:r>
        <w:rPr>
          <w:rFonts w:ascii="Arial" w:hAnsi="Arial" w:eastAsia="宋体" w:cs="Arial"/>
          <w:szCs w:val="21"/>
        </w:rPr>
        <w:t>Hz</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______________</w:t>
      </w:r>
    </w:p>
    <w:p w14:paraId="21977292">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适用的标准：</w:t>
      </w:r>
    </w:p>
    <w:p w14:paraId="05E6ABCB">
      <w:pPr>
        <w:widowControl/>
        <w:tabs>
          <w:tab w:val="left" w:pos="5026"/>
        </w:tabs>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szCs w:val="21"/>
        </w:rPr>
        <w:t>用电安全标准：</w:t>
      </w:r>
      <w:r>
        <w:rPr>
          <w:rFonts w:ascii="Arial" w:hAnsi="Arial" w:eastAsia="宋体" w:cs="Arial"/>
          <w:szCs w:val="21"/>
        </w:rPr>
        <w:tab/>
      </w:r>
      <w:r>
        <w:rPr>
          <w:rFonts w:ascii="Arial" w:hAnsi="Arial" w:eastAsia="宋体" w:cs="Arial"/>
          <w:szCs w:val="21"/>
        </w:rPr>
        <w:t>_________________________________</w:t>
      </w:r>
    </w:p>
    <w:p w14:paraId="0DD88597">
      <w:pPr>
        <w:widowControl/>
        <w:tabs>
          <w:tab w:val="left" w:pos="5026"/>
        </w:tabs>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szCs w:val="21"/>
        </w:rPr>
        <w:t>电磁相容性标准：</w:t>
      </w:r>
      <w:r>
        <w:rPr>
          <w:rFonts w:ascii="Arial" w:hAnsi="Arial" w:eastAsia="宋体" w:cs="Arial"/>
          <w:szCs w:val="21"/>
        </w:rPr>
        <w:tab/>
      </w:r>
      <w:r>
        <w:rPr>
          <w:rFonts w:ascii="Arial" w:hAnsi="Arial" w:eastAsia="宋体" w:cs="Arial"/>
          <w:szCs w:val="21"/>
        </w:rPr>
        <w:t>_________________________________</w:t>
      </w:r>
    </w:p>
    <w:p w14:paraId="3DE591AE">
      <w:pPr>
        <w:widowControl/>
        <w:snapToGrid w:val="0"/>
        <w:spacing w:after="93" w:afterLines="30" w:line="240" w:lineRule="exact"/>
        <w:ind w:right="-6" w:rightChars="-3" w:firstLine="489" w:firstLineChars="233"/>
        <w:rPr>
          <w:rFonts w:ascii="Arial" w:hAnsi="Arial" w:eastAsia="宋体" w:cs="Arial"/>
          <w:szCs w:val="21"/>
        </w:rPr>
      </w:pPr>
    </w:p>
    <w:p w14:paraId="167CDF7F">
      <w:pPr>
        <w:widowControl/>
        <w:jc w:val="left"/>
        <w:rPr>
          <w:rFonts w:ascii="Arial" w:hAnsi="Arial" w:eastAsia="宋体" w:cs="Arial"/>
          <w:szCs w:val="21"/>
        </w:rPr>
      </w:pPr>
      <w:r>
        <w:rPr>
          <w:rFonts w:ascii="Arial" w:hAnsi="Arial" w:eastAsia="宋体" w:cs="Arial"/>
          <w:szCs w:val="21"/>
        </w:rPr>
        <w:br w:type="page"/>
      </w:r>
    </w:p>
    <w:p w14:paraId="2F8ADB86">
      <w:pPr>
        <w:widowControl/>
        <w:snapToGrid w:val="0"/>
        <w:spacing w:after="93" w:afterLines="30" w:line="240" w:lineRule="exact"/>
        <w:ind w:right="-6" w:rightChars="-3" w:firstLine="489" w:firstLineChars="233"/>
        <w:rPr>
          <w:rFonts w:ascii="Arial" w:hAnsi="Arial" w:eastAsia="宋体" w:cs="Arial"/>
          <w:szCs w:val="21"/>
        </w:rPr>
      </w:pPr>
    </w:p>
    <w:p w14:paraId="5262F81A">
      <w:pPr>
        <w:widowControl/>
        <w:snapToGrid w:val="0"/>
        <w:spacing w:after="93" w:afterLines="30" w:line="240" w:lineRule="exact"/>
        <w:ind w:right="-6" w:rightChars="-3" w:firstLine="491" w:firstLineChars="233"/>
        <w:rPr>
          <w:rFonts w:ascii="Arial" w:hAnsi="Arial" w:eastAsia="宋体" w:cs="Arial"/>
          <w:b/>
          <w:szCs w:val="21"/>
          <w:u w:val="single"/>
        </w:rPr>
      </w:pPr>
      <w:r>
        <w:rPr>
          <w:rFonts w:hint="eastAsia" w:ascii="Arial" w:hAnsi="Arial" w:eastAsia="宋体" w:cs="Arial"/>
          <w:b/>
          <w:szCs w:val="21"/>
          <w:u w:val="single"/>
        </w:rPr>
        <w:t>器械配置：</w:t>
      </w:r>
      <w:r>
        <w:rPr>
          <w:rFonts w:ascii="Arial" w:hAnsi="Arial" w:eastAsia="宋体" w:cs="Arial"/>
          <w:b/>
          <w:szCs w:val="21"/>
          <w:u w:val="single"/>
        </w:rPr>
        <w:br w:type="textWrapping"/>
      </w:r>
    </w:p>
    <w:p w14:paraId="66598E3B">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szCs w:val="21"/>
        </w:rPr>
        <w:t>申请的器械配置</w:t>
      </w:r>
      <w:r>
        <w:rPr>
          <w:rFonts w:hint="eastAsia" w:ascii="Arial" w:hAnsi="Arial" w:eastAsia="宋体" w:cs="Arial"/>
          <w:kern w:val="0"/>
          <w:szCs w:val="21"/>
        </w:rPr>
        <w:t>（勾选所有适用项）：</w:t>
      </w:r>
    </w:p>
    <w:p w14:paraId="6BD47624">
      <w:pPr>
        <w:widowControl/>
        <w:tabs>
          <w:tab w:val="left" w:pos="7167"/>
        </w:tabs>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固定：</w:t>
      </w:r>
      <w:r>
        <w:rPr>
          <w:rFonts w:ascii="Arial" w:hAnsi="Arial" w:eastAsia="宋体" w:cs="Arial"/>
          <w:szCs w:val="21"/>
        </w:rPr>
        <w:tab/>
      </w:r>
      <w:r>
        <w:rPr>
          <w:rFonts w:ascii="Arial" w:hAnsi="Arial" w:eastAsia="宋体" w:cs="Arial"/>
          <w:szCs w:val="21"/>
        </w:rPr>
        <w:t>______________</w:t>
      </w:r>
    </w:p>
    <w:p w14:paraId="61930C53">
      <w:pPr>
        <w:widowControl/>
        <w:snapToGrid w:val="0"/>
        <w:spacing w:after="93" w:afterLines="30" w:line="240" w:lineRule="exact"/>
        <w:ind w:right="-6" w:rightChars="-3" w:firstLine="1329" w:firstLineChars="633"/>
        <w:rPr>
          <w:rFonts w:ascii="Arial" w:hAnsi="Arial" w:eastAsia="宋体" w:cs="Arial"/>
          <w:kern w:val="0"/>
          <w:szCs w:val="21"/>
        </w:rPr>
      </w:pPr>
      <w:r>
        <w:rPr>
          <w:rFonts w:hint="eastAsia" w:ascii="Arial" w:hAnsi="Arial" w:eastAsia="宋体" w:cs="Arial"/>
          <w:kern w:val="0"/>
          <w:szCs w:val="21"/>
        </w:rPr>
        <w:t>（描述空间</w:t>
      </w:r>
      <w:r>
        <w:rPr>
          <w:rFonts w:ascii="Arial" w:hAnsi="Arial" w:eastAsia="宋体" w:cs="Arial"/>
          <w:kern w:val="0"/>
          <w:szCs w:val="21"/>
        </w:rPr>
        <w:t>/</w:t>
      </w:r>
      <w:r>
        <w:rPr>
          <w:rFonts w:hint="eastAsia" w:ascii="Arial" w:hAnsi="Arial" w:eastAsia="宋体" w:cs="Arial"/>
          <w:kern w:val="0"/>
          <w:szCs w:val="21"/>
        </w:rPr>
        <w:t>安装需求）</w:t>
      </w:r>
    </w:p>
    <w:p w14:paraId="0A02B8A4">
      <w:pPr>
        <w:widowControl/>
        <w:tabs>
          <w:tab w:val="left" w:pos="7153"/>
        </w:tabs>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移动：</w:t>
      </w:r>
      <w:r>
        <w:rPr>
          <w:rFonts w:ascii="Arial" w:hAnsi="Arial" w:eastAsia="宋体" w:cs="Arial"/>
          <w:szCs w:val="21"/>
        </w:rPr>
        <w:tab/>
      </w:r>
      <w:r>
        <w:rPr>
          <w:rFonts w:ascii="Arial" w:hAnsi="Arial" w:eastAsia="宋体" w:cs="Arial"/>
          <w:szCs w:val="21"/>
        </w:rPr>
        <w:t>______________</w:t>
      </w:r>
    </w:p>
    <w:p w14:paraId="42F501A9">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w:t>
      </w:r>
      <w:bookmarkStart w:id="44" w:name="OLE_LINK35"/>
      <w:r>
        <w:rPr>
          <w:rFonts w:hint="eastAsia" w:ascii="Arial" w:hAnsi="Arial" w:eastAsia="宋体" w:cs="Arial"/>
          <w:szCs w:val="21"/>
        </w:rPr>
        <w:t>描述地址需求，移动套件要求，以及车</w:t>
      </w:r>
      <w:r>
        <w:rPr>
          <w:rFonts w:ascii="Arial" w:hAnsi="Arial" w:eastAsia="宋体" w:cs="Arial"/>
          <w:szCs w:val="21"/>
        </w:rPr>
        <w:t>/</w:t>
      </w:r>
      <w:r>
        <w:rPr>
          <w:rFonts w:hint="eastAsia" w:ascii="Arial" w:hAnsi="Arial" w:eastAsia="宋体" w:cs="Arial"/>
          <w:szCs w:val="21"/>
        </w:rPr>
        <w:t>轨道运输配置</w:t>
      </w:r>
      <w:bookmarkEnd w:id="44"/>
      <w:r>
        <w:rPr>
          <w:rFonts w:hint="eastAsia" w:ascii="Arial" w:hAnsi="Arial" w:eastAsia="宋体" w:cs="Arial"/>
          <w:szCs w:val="21"/>
        </w:rPr>
        <w:t>）</w:t>
      </w:r>
    </w:p>
    <w:p w14:paraId="45D78885">
      <w:pPr>
        <w:widowControl/>
        <w:tabs>
          <w:tab w:val="left" w:pos="7125"/>
        </w:tabs>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半固定：</w:t>
      </w:r>
      <w:r>
        <w:rPr>
          <w:rFonts w:ascii="Arial" w:hAnsi="Arial" w:eastAsia="宋体" w:cs="Arial"/>
          <w:szCs w:val="21"/>
        </w:rPr>
        <w:tab/>
      </w:r>
      <w:r>
        <w:rPr>
          <w:rFonts w:ascii="Arial" w:hAnsi="Arial" w:eastAsia="宋体" w:cs="Arial"/>
          <w:szCs w:val="21"/>
        </w:rPr>
        <w:t>______________</w:t>
      </w:r>
    </w:p>
    <w:p w14:paraId="081ADE04">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（描述地址需求，以及车</w:t>
      </w:r>
      <w:r>
        <w:rPr>
          <w:rFonts w:ascii="Arial" w:hAnsi="Arial" w:eastAsia="宋体" w:cs="Arial"/>
          <w:szCs w:val="21"/>
        </w:rPr>
        <w:t>/</w:t>
      </w:r>
      <w:r>
        <w:rPr>
          <w:rFonts w:hint="eastAsia" w:ascii="Arial" w:hAnsi="Arial" w:eastAsia="宋体" w:cs="Arial"/>
          <w:szCs w:val="21"/>
        </w:rPr>
        <w:t>轨道运输配置）</w:t>
      </w:r>
    </w:p>
    <w:p w14:paraId="1B86CF93">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br w:type="page"/>
      </w:r>
    </w:p>
    <w:p w14:paraId="6CA22831">
      <w:pPr>
        <w:widowControl/>
        <w:snapToGrid w:val="0"/>
        <w:spacing w:after="156" w:afterLines="50" w:line="300" w:lineRule="auto"/>
        <w:ind w:right="-6" w:rightChars="-3"/>
        <w:jc w:val="center"/>
        <w:rPr>
          <w:rFonts w:ascii="Arial" w:hAnsi="Arial" w:eastAsia="宋体" w:cs="Arial"/>
          <w:b/>
          <w:sz w:val="48"/>
          <w:szCs w:val="48"/>
        </w:rPr>
      </w:pPr>
      <w:r>
        <w:rPr>
          <w:rFonts w:hint="eastAsia" w:ascii="Arial" w:hAnsi="Arial" w:eastAsia="宋体" w:cs="Arial"/>
          <w:b/>
          <w:sz w:val="48"/>
          <w:szCs w:val="48"/>
        </w:rPr>
        <w:t>附录</w:t>
      </w:r>
      <w:r>
        <w:rPr>
          <w:rFonts w:ascii="Arial" w:hAnsi="Arial" w:eastAsia="宋体" w:cs="Arial"/>
          <w:b/>
          <w:sz w:val="48"/>
          <w:szCs w:val="48"/>
        </w:rPr>
        <w:t>2</w:t>
      </w:r>
      <w:r>
        <w:rPr>
          <w:rFonts w:hint="eastAsia" w:ascii="Arial" w:hAnsi="Arial" w:eastAsia="宋体" w:cs="Arial"/>
          <w:b/>
          <w:sz w:val="48"/>
          <w:szCs w:val="48"/>
        </w:rPr>
        <w:t>：</w:t>
      </w:r>
      <w:r>
        <w:rPr>
          <w:rFonts w:ascii="Arial" w:hAnsi="Arial" w:eastAsia="宋体" w:cs="Arial"/>
          <w:b/>
          <w:sz w:val="48"/>
          <w:szCs w:val="48"/>
        </w:rPr>
        <w:t>SWL</w:t>
      </w:r>
      <w:r>
        <w:rPr>
          <w:rFonts w:hint="eastAsia" w:ascii="Arial" w:hAnsi="Arial" w:eastAsia="宋体" w:cs="Arial"/>
          <w:b/>
          <w:sz w:val="48"/>
          <w:szCs w:val="48"/>
        </w:rPr>
        <w:t>标签模板</w:t>
      </w:r>
    </w:p>
    <w:p w14:paraId="2086DC87">
      <w:pPr>
        <w:widowControl/>
        <w:snapToGrid w:val="0"/>
        <w:spacing w:after="156" w:afterLines="50" w:line="300" w:lineRule="auto"/>
        <w:ind w:right="-6" w:rightChars="-3"/>
        <w:rPr>
          <w:rFonts w:ascii="Arial" w:hAnsi="Arial" w:eastAsia="宋体" w:cs="Arial"/>
          <w:szCs w:val="21"/>
        </w:rPr>
      </w:pPr>
    </w:p>
    <w:p w14:paraId="720BFE97">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系统的操作指南应当包含下列章节列出的信息。这些信息应位于操作手册的开始章节，按照列出的顺序给出。另外，前</w:t>
      </w:r>
      <w:r>
        <w:rPr>
          <w:rFonts w:ascii="Arial" w:hAnsi="Arial" w:eastAsia="宋体" w:cs="Arial"/>
          <w:szCs w:val="21"/>
        </w:rPr>
        <w:t>3</w:t>
      </w:r>
      <w:r>
        <w:rPr>
          <w:rFonts w:hint="eastAsia" w:ascii="Arial" w:hAnsi="Arial" w:eastAsia="宋体" w:cs="Arial"/>
          <w:szCs w:val="21"/>
        </w:rPr>
        <w:t>节（如器械描述、预期使用与使用和禁忌症）应位于标签的同一页，最好位于第一页。</w:t>
      </w:r>
    </w:p>
    <w:p w14:paraId="739121D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通常情况下，推荐在该部分使用非斜体的特定语言（在预期使用和使用章节使用推荐的表述方式）。而斜体字表明器械制造商应当在标签中包含的信息。</w:t>
      </w:r>
    </w:p>
    <w:p w14:paraId="78298CB3">
      <w:pPr>
        <w:widowControl/>
        <w:snapToGrid w:val="0"/>
        <w:spacing w:after="156" w:afterLines="50" w:line="300" w:lineRule="auto"/>
        <w:ind w:right="-6" w:rightChars="-3"/>
        <w:rPr>
          <w:rFonts w:ascii="Arial" w:hAnsi="Arial" w:eastAsia="宋体" w:cs="Arial"/>
          <w:sz w:val="30"/>
          <w:szCs w:val="30"/>
        </w:rPr>
      </w:pPr>
      <w:r>
        <w:rPr>
          <w:rFonts w:ascii="Arial" w:hAnsi="Arial" w:eastAsia="宋体" w:cs="Arial"/>
          <w:sz w:val="30"/>
          <w:szCs w:val="30"/>
        </w:rPr>
        <w:t>_________________________________________________________</w:t>
      </w:r>
    </w:p>
    <w:p w14:paraId="20E9A9CC">
      <w:pPr>
        <w:widowControl/>
        <w:snapToGrid w:val="0"/>
        <w:spacing w:after="156" w:afterLines="50" w:line="300" w:lineRule="auto"/>
        <w:ind w:right="-6" w:rightChars="-3"/>
        <w:rPr>
          <w:rFonts w:ascii="Arial" w:hAnsi="Arial" w:eastAsia="宋体" w:cs="Arial"/>
          <w:b/>
          <w:spacing w:val="-2"/>
          <w:szCs w:val="21"/>
        </w:rPr>
      </w:pPr>
    </w:p>
    <w:p w14:paraId="06CADF9B">
      <w:pPr>
        <w:widowControl/>
        <w:snapToGrid w:val="0"/>
        <w:spacing w:after="156" w:afterLines="50" w:line="300" w:lineRule="auto"/>
        <w:ind w:right="-6" w:rightChars="-3"/>
        <w:rPr>
          <w:rFonts w:ascii="Arial" w:hAnsi="Arial" w:eastAsia="宋体" w:cs="Arial"/>
          <w:b/>
          <w:spacing w:val="-2"/>
          <w:kern w:val="0"/>
          <w:szCs w:val="21"/>
        </w:rPr>
      </w:pPr>
      <w:r>
        <w:rPr>
          <w:rFonts w:hint="eastAsia" w:ascii="Arial" w:hAnsi="Arial" w:eastAsia="宋体" w:cs="Arial"/>
          <w:b/>
          <w:spacing w:val="-2"/>
          <w:szCs w:val="21"/>
        </w:rPr>
        <w:t>注意：</w:t>
      </w:r>
      <w:r>
        <w:rPr>
          <w:rFonts w:hint="eastAsia" w:ascii="Arial" w:hAnsi="Arial" w:eastAsia="宋体" w:cs="Arial"/>
          <w:b/>
          <w:spacing w:val="-2"/>
          <w:kern w:val="0"/>
          <w:szCs w:val="21"/>
        </w:rPr>
        <w:t>联邦法律规定该器械的销售、分发及使用仅限具有特定训练项目经验的或曾使用过该器械的医生进行。</w:t>
      </w:r>
    </w:p>
    <w:p w14:paraId="5D513884">
      <w:pPr>
        <w:widowControl/>
        <w:snapToGrid w:val="0"/>
        <w:spacing w:after="156" w:afterLines="50" w:line="300" w:lineRule="auto"/>
        <w:ind w:right="-6" w:rightChars="-3"/>
        <w:rPr>
          <w:rFonts w:ascii="Arial" w:hAnsi="Arial" w:eastAsia="宋体" w:cs="Arial"/>
          <w:kern w:val="0"/>
          <w:szCs w:val="21"/>
        </w:rPr>
      </w:pPr>
    </w:p>
    <w:p w14:paraId="4583CBA0">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器械描述</w:t>
      </w:r>
    </w:p>
    <w:p w14:paraId="41D1FDAD">
      <w:pPr>
        <w:widowControl/>
        <w:snapToGrid w:val="0"/>
        <w:spacing w:after="156" w:afterLines="50" w:line="300" w:lineRule="auto"/>
        <w:ind w:right="-6" w:rightChars="-3"/>
        <w:rPr>
          <w:rFonts w:ascii="Arial" w:hAnsi="Arial" w:eastAsia="宋体" w:cs="Arial"/>
          <w:kern w:val="0"/>
          <w:szCs w:val="21"/>
        </w:rPr>
      </w:pPr>
      <w:r>
        <w:rPr>
          <w:rFonts w:hint="eastAsia" w:ascii="Arial" w:hAnsi="Arial" w:eastAsia="宋体" w:cs="Arial"/>
          <w:kern w:val="0"/>
          <w:szCs w:val="21"/>
        </w:rPr>
        <w:t>本节应当向读者提供</w:t>
      </w:r>
      <w:r>
        <w:rPr>
          <w:rFonts w:ascii="Arial" w:hAnsi="Arial" w:eastAsia="宋体" w:cs="Arial"/>
          <w:kern w:val="0"/>
          <w:szCs w:val="21"/>
        </w:rPr>
        <w:t>SWL</w:t>
      </w:r>
      <w:r>
        <w:rPr>
          <w:rFonts w:hint="eastAsia" w:ascii="Arial" w:hAnsi="Arial" w:eastAsia="宋体" w:cs="Arial"/>
          <w:kern w:val="0"/>
          <w:szCs w:val="21"/>
        </w:rPr>
        <w:t>系统的简要概述，包括器械的描述信息、器械如何工作、器械主要组成部分、以及器械重要的物理和性能特征。</w:t>
      </w:r>
      <w:r>
        <w:rPr>
          <w:rFonts w:ascii="Arial" w:hAnsi="Arial" w:eastAsia="宋体" w:cs="Arial"/>
          <w:kern w:val="0"/>
          <w:szCs w:val="21"/>
        </w:rPr>
        <w:t>SWL</w:t>
      </w:r>
      <w:r>
        <w:rPr>
          <w:rFonts w:hint="eastAsia" w:ascii="Arial" w:hAnsi="Arial" w:eastAsia="宋体" w:cs="Arial"/>
          <w:kern w:val="0"/>
          <w:szCs w:val="21"/>
        </w:rPr>
        <w:t>系统详细的技术描述和组成部分描述应该在操作手册的后续部分以独立的部分</w:t>
      </w:r>
      <w:r>
        <w:rPr>
          <w:rFonts w:ascii="Arial" w:hAnsi="Arial" w:eastAsia="宋体" w:cs="Arial"/>
          <w:kern w:val="0"/>
          <w:szCs w:val="21"/>
        </w:rPr>
        <w:t>/</w:t>
      </w:r>
      <w:r>
        <w:rPr>
          <w:rFonts w:hint="eastAsia" w:ascii="Arial" w:hAnsi="Arial" w:eastAsia="宋体" w:cs="Arial"/>
          <w:kern w:val="0"/>
          <w:szCs w:val="21"/>
        </w:rPr>
        <w:t>章节来呈现。</w:t>
      </w:r>
    </w:p>
    <w:p w14:paraId="560C160F">
      <w:pPr>
        <w:widowControl/>
        <w:snapToGrid w:val="0"/>
        <w:spacing w:after="156" w:afterLines="50" w:line="300" w:lineRule="auto"/>
        <w:ind w:right="-6" w:rightChars="-3"/>
        <w:rPr>
          <w:rFonts w:ascii="Arial" w:hAnsi="Arial" w:eastAsia="宋体" w:cs="Arial"/>
          <w:kern w:val="0"/>
          <w:szCs w:val="21"/>
        </w:rPr>
      </w:pPr>
    </w:p>
    <w:p w14:paraId="2A9FF329">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预期使用和使用</w:t>
      </w:r>
    </w:p>
    <w:p w14:paraId="33CA6396">
      <w:pPr>
        <w:widowControl/>
        <w:snapToGrid w:val="0"/>
        <w:spacing w:after="156" w:afterLines="50" w:line="300" w:lineRule="auto"/>
        <w:ind w:right="-6" w:rightChars="-3"/>
        <w:rPr>
          <w:rFonts w:ascii="Arial" w:hAnsi="Arial" w:eastAsia="宋体" w:cs="Arial"/>
          <w:kern w:val="0"/>
          <w:szCs w:val="21"/>
        </w:rPr>
      </w:pPr>
    </w:p>
    <w:p w14:paraId="672C3E6A">
      <w:pPr>
        <w:widowControl/>
        <w:snapToGrid w:val="0"/>
        <w:spacing w:after="156" w:afterLines="50" w:line="300" w:lineRule="auto"/>
        <w:ind w:right="-6" w:rightChars="-3"/>
        <w:rPr>
          <w:rFonts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器械商品名</w:t>
      </w:r>
      <w:r>
        <w:rPr>
          <w:rFonts w:ascii="Arial" w:hAnsi="Arial" w:eastAsia="宋体" w:cs="Arial"/>
          <w:kern w:val="0"/>
          <w:szCs w:val="21"/>
        </w:rPr>
        <w:t>】</w:t>
      </w:r>
      <w:r>
        <w:rPr>
          <w:rFonts w:hint="eastAsia" w:ascii="Arial" w:hAnsi="Arial" w:eastAsia="宋体" w:cs="Arial"/>
          <w:kern w:val="0"/>
          <w:szCs w:val="21"/>
        </w:rPr>
        <w:t>适用于肾（肾盂和肾盏）和输尿管（上部、中部和下段输尿管）结石粉碎。</w:t>
      </w:r>
    </w:p>
    <w:p w14:paraId="1DCEB207">
      <w:pPr>
        <w:widowControl/>
        <w:snapToGrid w:val="0"/>
        <w:spacing w:after="156" w:afterLines="50" w:line="300" w:lineRule="auto"/>
        <w:ind w:right="-6" w:rightChars="-3"/>
        <w:rPr>
          <w:rFonts w:ascii="Arial" w:hAnsi="Arial" w:eastAsia="宋体" w:cs="Arial"/>
          <w:kern w:val="0"/>
          <w:szCs w:val="21"/>
        </w:rPr>
      </w:pPr>
    </w:p>
    <w:p w14:paraId="2636891E">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禁忌症</w:t>
      </w:r>
    </w:p>
    <w:p w14:paraId="5D1E419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下列情况的患者禁止使用【器械商品名</w:t>
      </w:r>
      <w:r>
        <w:rPr>
          <w:rFonts w:ascii="Arial" w:hAnsi="Arial" w:eastAsia="宋体" w:cs="Arial"/>
          <w:szCs w:val="21"/>
        </w:rPr>
        <w:t>】</w:t>
      </w:r>
      <w:r>
        <w:rPr>
          <w:rFonts w:hint="eastAsia" w:ascii="Arial" w:hAnsi="Arial" w:eastAsia="宋体" w:cs="Arial"/>
          <w:szCs w:val="21"/>
        </w:rPr>
        <w:t>：</w:t>
      </w:r>
    </w:p>
    <w:p w14:paraId="0869C525">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确诊或可疑妊娠。</w:t>
      </w:r>
    </w:p>
    <w:p w14:paraId="1FDB666E">
      <w:pPr>
        <w:widowControl/>
        <w:jc w:val="left"/>
        <w:rPr>
          <w:rFonts w:ascii="Arial" w:hAnsi="Arial" w:eastAsia="宋体" w:cs="Arial"/>
          <w:szCs w:val="21"/>
        </w:rPr>
      </w:pPr>
      <w:r>
        <w:rPr>
          <w:rFonts w:ascii="Arial" w:hAnsi="Arial" w:eastAsia="宋体" w:cs="Arial"/>
          <w:szCs w:val="21"/>
        </w:rPr>
        <w:br w:type="page"/>
      </w:r>
    </w:p>
    <w:p w14:paraId="78CCDC81">
      <w:pPr>
        <w:pStyle w:val="9"/>
        <w:widowControl/>
        <w:numPr>
          <w:ilvl w:val="0"/>
          <w:numId w:val="8"/>
        </w:numPr>
        <w:snapToGrid w:val="0"/>
        <w:spacing w:after="156" w:afterLines="50" w:line="300" w:lineRule="auto"/>
        <w:ind w:right="-6" w:rightChars="-3" w:hangingChars="200"/>
        <w:rPr>
          <w:rFonts w:ascii="Arial" w:hAnsi="Arial" w:eastAsia="宋体" w:cs="Arial"/>
          <w:szCs w:val="21"/>
        </w:rPr>
      </w:pPr>
      <w:r>
        <w:rPr>
          <w:rFonts w:hint="eastAsia" w:ascii="Arial" w:hAnsi="Arial" w:eastAsia="宋体" w:cs="Arial"/>
          <w:szCs w:val="21"/>
        </w:rPr>
        <w:t>凝血功能异常（表现为凝血酶原时间、部分凝血活酶时间或出血时间异常）或正在接受抗凝血剂治疗（包括阿司匹林）。</w:t>
      </w:r>
    </w:p>
    <w:p w14:paraId="7D31AFFB">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超声波碎石路径存在动脉钙化或血管动脉瘤。</w:t>
      </w:r>
    </w:p>
    <w:p w14:paraId="15E10CAD">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结石远端输尿管阻塞。</w:t>
      </w:r>
    </w:p>
    <w:p w14:paraId="6C2D1F47">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某些解剖结构阻碍了器械聚焦到目标结石部位，如严重的肥胖症或脊柱弯曲过度。</w:t>
      </w:r>
    </w:p>
    <w:p w14:paraId="4F0CF48A">
      <w:pPr>
        <w:widowControl/>
        <w:jc w:val="left"/>
        <w:rPr>
          <w:rFonts w:ascii="Arial" w:hAnsi="Arial" w:eastAsia="宋体" w:cs="Arial"/>
          <w:b/>
          <w:kern w:val="0"/>
          <w:sz w:val="32"/>
          <w:szCs w:val="32"/>
        </w:rPr>
      </w:pPr>
      <w:r>
        <w:rPr>
          <w:rFonts w:hint="eastAsia" w:ascii="Arial" w:hAnsi="Arial" w:eastAsia="宋体" w:cs="Arial"/>
          <w:b/>
          <w:kern w:val="0"/>
          <w:sz w:val="32"/>
          <w:szCs w:val="32"/>
        </w:rPr>
        <w:t>警告及注意事项：</w:t>
      </w:r>
    </w:p>
    <w:p w14:paraId="10A9E627">
      <w:pPr>
        <w:widowControl/>
        <w:snapToGrid w:val="0"/>
        <w:spacing w:after="156" w:afterLines="50" w:line="300" w:lineRule="auto"/>
        <w:ind w:right="-6" w:rightChars="-3"/>
        <w:rPr>
          <w:rFonts w:ascii="Arial" w:hAnsi="Arial" w:eastAsia="宋体" w:cs="Arial"/>
          <w:szCs w:val="21"/>
        </w:rPr>
      </w:pPr>
    </w:p>
    <w:p w14:paraId="16833E1B">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患者选择：</w:t>
      </w:r>
    </w:p>
    <w:p w14:paraId="4719084F">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4EF15DF5">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抗凝血剂：</w:t>
      </w:r>
      <w:r>
        <w:rPr>
          <w:rFonts w:hint="eastAsia" w:ascii="Arial" w:hAnsi="Arial" w:eastAsia="宋体" w:cs="Arial"/>
          <w:szCs w:val="21"/>
        </w:rPr>
        <w:t>体外冲击波碎石术之前接受抗凝血剂治疗的患者（包括阿斯匹林）应暂时停止这类药物，以防止大出血。</w:t>
      </w:r>
    </w:p>
    <w:p w14:paraId="5E67D1AD">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39BCD94C">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阻生或嵌入式结石：</w:t>
      </w:r>
      <w:r>
        <w:rPr>
          <w:rFonts w:hint="eastAsia" w:ascii="Arial" w:hAnsi="Arial" w:eastAsia="宋体" w:cs="Arial"/>
          <w:szCs w:val="21"/>
        </w:rPr>
        <w:t>对于阻生型或嵌入型的结石患者，体外超声波碎石机的治疗效果有限。对于这些患者我们推荐使用其他手术。</w:t>
      </w:r>
    </w:p>
    <w:p w14:paraId="0AAA7E76">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鹿角形结石：</w:t>
      </w:r>
      <w:r>
        <w:rPr>
          <w:rFonts w:hint="eastAsia" w:ascii="Arial" w:hAnsi="Arial" w:eastAsia="宋体" w:cs="Arial"/>
          <w:szCs w:val="21"/>
        </w:rPr>
        <w:t>对于鹿角形或大型结石患者（最大直径超过</w:t>
      </w:r>
      <w:r>
        <w:rPr>
          <w:rFonts w:ascii="Arial" w:hAnsi="Arial" w:eastAsia="宋体" w:cs="Arial"/>
          <w:szCs w:val="21"/>
        </w:rPr>
        <w:t>20mm</w:t>
      </w:r>
      <w:r>
        <w:rPr>
          <w:rFonts w:hint="eastAsia" w:ascii="Arial" w:hAnsi="Arial" w:eastAsia="宋体" w:cs="Arial"/>
          <w:szCs w:val="21"/>
        </w:rPr>
        <w:t>），体外超声波碎石机的治疗效果有限。对于这些患者我们推荐使用其他手术。</w:t>
      </w:r>
    </w:p>
    <w:p w14:paraId="0B859FAA">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小输尿管结石：</w:t>
      </w:r>
      <w:r>
        <w:rPr>
          <w:rFonts w:hint="eastAsia" w:ascii="Arial" w:hAnsi="Arial" w:eastAsia="宋体" w:cs="Arial"/>
          <w:szCs w:val="21"/>
        </w:rPr>
        <w:t>小型的中段及下段输尿管结石，最大直径在</w:t>
      </w:r>
      <w:r>
        <w:rPr>
          <w:rFonts w:ascii="Arial" w:hAnsi="Arial" w:eastAsia="宋体" w:cs="Arial"/>
          <w:szCs w:val="21"/>
        </w:rPr>
        <w:t>4</w:t>
      </w:r>
      <w:r>
        <w:rPr>
          <w:rFonts w:hint="eastAsia" w:ascii="Arial" w:hAnsi="Arial" w:eastAsia="宋体" w:cs="Arial"/>
          <w:szCs w:val="21"/>
        </w:rPr>
        <w:t>到</w:t>
      </w:r>
      <w:r>
        <w:rPr>
          <w:rFonts w:ascii="Arial" w:hAnsi="Arial" w:eastAsia="宋体" w:cs="Arial"/>
          <w:szCs w:val="21"/>
        </w:rPr>
        <w:t>6mm</w:t>
      </w:r>
      <w:r>
        <w:rPr>
          <w:rFonts w:hint="eastAsia" w:ascii="Arial" w:hAnsi="Arial" w:eastAsia="宋体" w:cs="Arial"/>
          <w:szCs w:val="21"/>
        </w:rPr>
        <w:t>的结石有可能自行排出。因此在这类患者中，使用体外超声波碎石机的风险与收益需要仔细评估。</w:t>
      </w:r>
    </w:p>
    <w:p w14:paraId="1AB14A9A">
      <w:pPr>
        <w:widowControl/>
        <w:snapToGrid w:val="0"/>
        <w:spacing w:after="156" w:afterLines="50" w:line="300" w:lineRule="auto"/>
        <w:ind w:right="-6" w:rightChars="-3"/>
        <w:rPr>
          <w:rFonts w:ascii="Arial" w:hAnsi="Arial" w:eastAsia="宋体" w:cs="Arial"/>
          <w:szCs w:val="21"/>
        </w:rPr>
      </w:pPr>
    </w:p>
    <w:p w14:paraId="6038CAF5">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治疗前装置：</w:t>
      </w:r>
    </w:p>
    <w:p w14:paraId="59E0606E">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35B377C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心脏监护</w:t>
      </w:r>
      <w:r>
        <w:rPr>
          <w:rFonts w:hint="eastAsia" w:ascii="Arial" w:hAnsi="Arial" w:eastAsia="宋体" w:cs="Arial"/>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14:paraId="47742593">
      <w:pPr>
        <w:widowControl/>
        <w:jc w:val="left"/>
        <w:rPr>
          <w:rFonts w:ascii="Arial" w:hAnsi="Arial" w:eastAsia="宋体" w:cs="Arial"/>
          <w:szCs w:val="21"/>
        </w:rPr>
      </w:pPr>
      <w:r>
        <w:rPr>
          <w:rFonts w:ascii="Arial" w:hAnsi="Arial" w:eastAsia="宋体" w:cs="Arial"/>
          <w:szCs w:val="21"/>
        </w:rPr>
        <w:br w:type="page"/>
      </w:r>
    </w:p>
    <w:p w14:paraId="579B38E5">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起搏器和植入式除颤器</w:t>
      </w:r>
      <w:r>
        <w:rPr>
          <w:rFonts w:hint="eastAsia" w:ascii="Arial" w:hAnsi="Arial" w:eastAsia="宋体" w:cs="Arial"/>
          <w:szCs w:val="21"/>
        </w:rPr>
        <w:t>：为了减少起搏器和植入式除颤器的故障发生率，在碎石术之前脉冲发生器应设定为单腔起搏系统，非率式响应模式（心脏起搏器）或非活动模式（植入式除颤器），并且在治疗后评估其功能情况。不要将超声波聚焦在脉冲发生器上或附近。</w:t>
      </w:r>
    </w:p>
    <w:p w14:paraId="7002C529">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感染性结石</w:t>
      </w:r>
      <w:r>
        <w:rPr>
          <w:rFonts w:hint="eastAsia" w:ascii="Arial" w:hAnsi="Arial" w:eastAsia="宋体" w:cs="Arial"/>
          <w:szCs w:val="21"/>
        </w:rPr>
        <w:t>：如果存在结石感染的可能性，则需要在治疗前给予预防性抗生素治疗。使用体外冲击波碎石治疗含病原体的结石会产生系统性感染。</w:t>
      </w:r>
    </w:p>
    <w:p w14:paraId="6B68E4B9">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心脏疾病，免疫抑制剂糖尿病：</w:t>
      </w:r>
      <w:r>
        <w:rPr>
          <w:rFonts w:hint="eastAsia" w:ascii="Arial" w:hAnsi="Arial" w:eastAsia="宋体" w:cs="Arial"/>
          <w:szCs w:val="21"/>
        </w:rPr>
        <w:t>心脏疾病患者（包括血管疾病）、免疫抑制患者及糖尿病患者在进行体外冲击波碎石治疗前需要给予预防性抗生素处理，以防止细菌感染及亚急性心内膜炎。</w:t>
      </w:r>
    </w:p>
    <w:p w14:paraId="61D45409">
      <w:pPr>
        <w:widowControl/>
        <w:snapToGrid w:val="0"/>
        <w:spacing w:after="156" w:afterLines="50" w:line="300" w:lineRule="auto"/>
        <w:ind w:right="-6" w:rightChars="-3"/>
        <w:rPr>
          <w:rFonts w:ascii="Arial" w:hAnsi="Arial" w:eastAsia="宋体" w:cs="Arial"/>
          <w:szCs w:val="21"/>
        </w:rPr>
      </w:pPr>
    </w:p>
    <w:p w14:paraId="3D898940">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w:t>
      </w:r>
    </w:p>
    <w:p w14:paraId="633AC15F">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2BAD51DE">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双侧结石：</w:t>
      </w:r>
      <w:r>
        <w:rPr>
          <w:rFonts w:hint="eastAsia" w:ascii="Arial" w:hAnsi="Arial" w:eastAsia="宋体" w:cs="Arial"/>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14:paraId="133A73F8">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超声波路径中的空气填充接触面：</w:t>
      </w:r>
      <w:r>
        <w:rPr>
          <w:rFonts w:hint="eastAsia" w:ascii="Arial" w:hAnsi="Arial" w:eastAsia="宋体" w:cs="Arial"/>
          <w:szCs w:val="21"/>
        </w:rPr>
        <w:t>不要在空气填充的身体区域使用超声波，如肠或肺。超声波穿过空气接触面后会快速分散，能够导致出血及其他有害副作用。</w:t>
      </w:r>
    </w:p>
    <w:p w14:paraId="0791CEF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治疗过程中的心律失常：</w:t>
      </w:r>
      <w:r>
        <w:rPr>
          <w:rFonts w:hint="eastAsia" w:ascii="Arial" w:hAnsi="Arial" w:eastAsia="宋体" w:cs="Arial"/>
          <w:szCs w:val="21"/>
        </w:rPr>
        <w:t>如果患者在治疗期间在一个固定的冲击波重复频率的情况下出现了心律失常，则需要终止超声波传输或调整为</w:t>
      </w:r>
      <w:r>
        <w:rPr>
          <w:rFonts w:ascii="Arial" w:hAnsi="Arial" w:eastAsia="宋体" w:cs="Arial"/>
          <w:szCs w:val="21"/>
        </w:rPr>
        <w:t>ECG</w:t>
      </w:r>
      <w:r>
        <w:rPr>
          <w:rFonts w:hint="eastAsia" w:ascii="Arial" w:hAnsi="Arial" w:eastAsia="宋体" w:cs="Arial"/>
          <w:szCs w:val="21"/>
        </w:rPr>
        <w:t>门控模式（例如在患者心脏周期的不应期输送超声波）。作为一种惯例，有心律失常病史的患者应当使用</w:t>
      </w:r>
      <w:r>
        <w:rPr>
          <w:rFonts w:ascii="Arial" w:hAnsi="Arial" w:eastAsia="宋体" w:cs="Arial"/>
          <w:szCs w:val="21"/>
        </w:rPr>
        <w:t>ECG</w:t>
      </w:r>
      <w:r>
        <w:rPr>
          <w:rFonts w:hint="eastAsia" w:ascii="Arial" w:hAnsi="Arial" w:eastAsia="宋体" w:cs="Arial"/>
          <w:szCs w:val="21"/>
        </w:rPr>
        <w:t>门控模式。【注：只有当系统能够按照固定的频率产生超声波的情况下才适用。】</w:t>
      </w:r>
    </w:p>
    <w:p w14:paraId="1F7B0610">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注意事项：</w:t>
      </w:r>
    </w:p>
    <w:p w14:paraId="432ABEDE">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肾损伤：</w:t>
      </w:r>
      <w:r>
        <w:rPr>
          <w:rFonts w:hint="eastAsia" w:ascii="Arial" w:hAnsi="Arial" w:eastAsia="宋体" w:cs="Arial"/>
          <w:szCs w:val="21"/>
        </w:rPr>
        <w:t>为了降低对肾及周边组织的损伤，我们建议：（</w:t>
      </w:r>
      <w:r>
        <w:rPr>
          <w:rFonts w:ascii="Arial" w:hAnsi="Arial" w:eastAsia="宋体" w:cs="Arial"/>
          <w:szCs w:val="21"/>
        </w:rPr>
        <w:t>1</w:t>
      </w:r>
      <w:r>
        <w:rPr>
          <w:rFonts w:hint="eastAsia" w:ascii="Arial" w:hAnsi="Arial" w:eastAsia="宋体" w:cs="Arial"/>
          <w:szCs w:val="21"/>
        </w:rPr>
        <w:t>）每个治疗阶段使用的超声波数量尽量少；（</w:t>
      </w:r>
      <w:r>
        <w:rPr>
          <w:rFonts w:ascii="Arial" w:hAnsi="Arial" w:eastAsia="宋体" w:cs="Arial"/>
          <w:szCs w:val="21"/>
        </w:rPr>
        <w:t>2</w:t>
      </w:r>
      <w:r>
        <w:rPr>
          <w:rFonts w:hint="eastAsia" w:ascii="Arial" w:hAnsi="Arial" w:eastAsia="宋体" w:cs="Arial"/>
          <w:szCs w:val="21"/>
        </w:rPr>
        <w:t>）对于相同的肾</w:t>
      </w:r>
      <w:r>
        <w:rPr>
          <w:rFonts w:ascii="Arial" w:hAnsi="Arial" w:eastAsia="宋体" w:cs="Arial"/>
          <w:szCs w:val="21"/>
        </w:rPr>
        <w:t>/</w:t>
      </w:r>
      <w:r>
        <w:rPr>
          <w:rFonts w:hint="eastAsia" w:ascii="Arial" w:hAnsi="Arial" w:eastAsia="宋体" w:cs="Arial"/>
          <w:szCs w:val="21"/>
        </w:rPr>
        <w:t>解剖学位点再次治疗时，需要在初次治疗后至少</w:t>
      </w:r>
      <w:r>
        <w:rPr>
          <w:rFonts w:ascii="Arial" w:hAnsi="Arial" w:eastAsia="宋体" w:cs="Arial"/>
          <w:szCs w:val="21"/>
        </w:rPr>
        <w:t>1</w:t>
      </w:r>
      <w:r>
        <w:rPr>
          <w:rFonts w:hint="eastAsia" w:ascii="Arial" w:hAnsi="Arial" w:eastAsia="宋体" w:cs="Arial"/>
          <w:szCs w:val="21"/>
        </w:rPr>
        <w:t>个月的时间进行；以及（</w:t>
      </w:r>
      <w:r>
        <w:rPr>
          <w:rFonts w:ascii="Arial" w:hAnsi="Arial" w:eastAsia="宋体" w:cs="Arial"/>
          <w:szCs w:val="21"/>
        </w:rPr>
        <w:t>3</w:t>
      </w:r>
      <w:r>
        <w:rPr>
          <w:rFonts w:hint="eastAsia" w:ascii="Arial" w:hAnsi="Arial" w:eastAsia="宋体" w:cs="Arial"/>
          <w:szCs w:val="21"/>
        </w:rPr>
        <w:t>）每处肾</w:t>
      </w:r>
      <w:r>
        <w:rPr>
          <w:rFonts w:ascii="Arial" w:hAnsi="Arial" w:eastAsia="宋体" w:cs="Arial"/>
          <w:szCs w:val="21"/>
        </w:rPr>
        <w:t>/</w:t>
      </w:r>
      <w:r>
        <w:rPr>
          <w:rFonts w:hint="eastAsia" w:ascii="Arial" w:hAnsi="Arial" w:eastAsia="宋体" w:cs="Arial"/>
          <w:szCs w:val="21"/>
        </w:rPr>
        <w:t>解剖学位点的治疗应当在三个治疗阶段以内。</w:t>
      </w:r>
    </w:p>
    <w:p w14:paraId="4951B981">
      <w:pPr>
        <w:widowControl/>
        <w:jc w:val="left"/>
        <w:rPr>
          <w:rFonts w:ascii="Arial" w:hAnsi="Arial" w:eastAsia="宋体" w:cs="Arial"/>
          <w:szCs w:val="21"/>
        </w:rPr>
      </w:pPr>
      <w:r>
        <w:rPr>
          <w:rFonts w:ascii="Arial" w:hAnsi="Arial" w:eastAsia="宋体" w:cs="Arial"/>
          <w:szCs w:val="21"/>
        </w:rPr>
        <w:br w:type="page"/>
      </w:r>
    </w:p>
    <w:p w14:paraId="295A02FC">
      <w:pPr>
        <w:widowControl/>
        <w:snapToGrid w:val="0"/>
        <w:spacing w:after="156" w:afterLines="50" w:line="300" w:lineRule="auto"/>
        <w:ind w:left="335" w:leftChars="152" w:right="-6" w:rightChars="-3" w:hanging="16" w:hangingChars="8"/>
        <w:rPr>
          <w:rFonts w:ascii="Arial" w:hAnsi="Arial" w:eastAsia="宋体" w:cs="Arial"/>
          <w:szCs w:val="21"/>
        </w:rPr>
      </w:pPr>
    </w:p>
    <w:p w14:paraId="4813B990">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使用荧光染色：</w:t>
      </w:r>
      <w:r>
        <w:rPr>
          <w:rFonts w:hint="eastAsia" w:ascii="Arial" w:hAnsi="Arial" w:eastAsia="宋体" w:cs="Arial"/>
          <w:szCs w:val="21"/>
        </w:rPr>
        <w:t>虽然在治疗过程中必须使用荧光染色，但要尽量减少接触。【注：仅当器械使用过程中需要进行荧光染色时适用。】</w:t>
      </w:r>
    </w:p>
    <w:p w14:paraId="677260E0">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电磁干扰：</w:t>
      </w:r>
      <w:r>
        <w:rPr>
          <w:rFonts w:hint="eastAsia" w:ascii="Arial" w:hAnsi="Arial" w:eastAsia="宋体" w:cs="Arial"/>
          <w:szCs w:val="21"/>
        </w:rPr>
        <w:t>如果可能存在体外超声波碎石机和临近电器的电磁干扰（表现为任一器械出现异常表现），则推荐增加两者距离，直到操作正常。如果必须在距离体外超声波碎石机较近的位置操作另外一台电气器械，则在进行临床应用前应当对该器械及体外超声波碎石机进行恰当的模式使用测试。</w:t>
      </w:r>
    </w:p>
    <w:p w14:paraId="568EE82A">
      <w:pPr>
        <w:widowControl/>
        <w:snapToGrid w:val="0"/>
        <w:spacing w:after="156" w:afterLines="50" w:line="300" w:lineRule="auto"/>
        <w:ind w:right="-6" w:rightChars="-3"/>
        <w:rPr>
          <w:rFonts w:ascii="Arial" w:hAnsi="Arial" w:eastAsia="宋体" w:cs="Arial"/>
          <w:szCs w:val="21"/>
        </w:rPr>
      </w:pPr>
    </w:p>
    <w:p w14:paraId="5ED91A2D">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治疗后：</w:t>
      </w:r>
    </w:p>
    <w:p w14:paraId="02DA47ED">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6A824D6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放射随访：</w:t>
      </w:r>
      <w:r>
        <w:rPr>
          <w:rFonts w:hint="eastAsia" w:ascii="Arial" w:hAnsi="Arial" w:eastAsia="宋体" w:cs="Arial"/>
          <w:szCs w:val="21"/>
        </w:rPr>
        <w:t>所有的患者在治疗后均要进行放射检查的随访，直到结石完全消失，或者不再留有可能引起阻塞或肾功能丧失的结石碎片。</w:t>
      </w:r>
    </w:p>
    <w:p w14:paraId="0ED3B1AE">
      <w:pPr>
        <w:widowControl/>
        <w:snapToGrid w:val="0"/>
        <w:spacing w:after="156" w:afterLines="50" w:line="300" w:lineRule="auto"/>
        <w:ind w:right="-6" w:rightChars="-3"/>
        <w:rPr>
          <w:rFonts w:ascii="Arial" w:hAnsi="Arial" w:eastAsia="宋体" w:cs="Arial"/>
          <w:szCs w:val="21"/>
        </w:rPr>
      </w:pPr>
    </w:p>
    <w:p w14:paraId="626AE51D">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器械维护：</w:t>
      </w:r>
    </w:p>
    <w:p w14:paraId="55F4A678">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7FC74B89">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电击损害：</w:t>
      </w:r>
      <w:r>
        <w:rPr>
          <w:rFonts w:hint="eastAsia" w:ascii="Arial" w:hAnsi="Arial" w:eastAsia="宋体" w:cs="Arial"/>
          <w:szCs w:val="21"/>
        </w:rPr>
        <w:t>禁止移除该系统电子器件的外包装。用于体外超声波碎石机运行的高压电路可能发生电击事件，造成严重损伤或死亡。</w:t>
      </w:r>
    </w:p>
    <w:p w14:paraId="08BC30EE">
      <w:pPr>
        <w:widowControl/>
        <w:snapToGrid w:val="0"/>
        <w:spacing w:after="156" w:afterLines="50" w:line="300" w:lineRule="auto"/>
        <w:ind w:right="-6" w:rightChars="-3"/>
        <w:rPr>
          <w:rFonts w:ascii="Arial" w:hAnsi="Arial" w:eastAsia="宋体" w:cs="Arial"/>
          <w:szCs w:val="21"/>
        </w:rPr>
      </w:pPr>
    </w:p>
    <w:p w14:paraId="2B23FCE8">
      <w:pPr>
        <w:widowControl/>
        <w:snapToGrid w:val="0"/>
        <w:spacing w:after="156" w:afterLines="50" w:line="300" w:lineRule="auto"/>
        <w:ind w:right="-6" w:rightChars="-3"/>
        <w:rPr>
          <w:rFonts w:ascii="Arial" w:hAnsi="Arial" w:eastAsia="宋体" w:cs="Arial"/>
          <w:b/>
          <w:sz w:val="32"/>
          <w:szCs w:val="32"/>
        </w:rPr>
      </w:pPr>
      <w:r>
        <w:rPr>
          <w:rFonts w:hint="eastAsia" w:ascii="Arial" w:hAnsi="Arial" w:eastAsia="宋体" w:cs="Arial"/>
          <w:b/>
          <w:sz w:val="32"/>
          <w:szCs w:val="32"/>
        </w:rPr>
        <w:t>不良事件</w:t>
      </w:r>
    </w:p>
    <w:p w14:paraId="34803E1B">
      <w:pPr>
        <w:widowControl/>
        <w:snapToGrid w:val="0"/>
        <w:spacing w:after="156" w:afterLines="50" w:line="300" w:lineRule="auto"/>
        <w:ind w:left="335" w:leftChars="152" w:right="-6" w:rightChars="-3" w:hanging="16" w:hangingChars="8"/>
        <w:rPr>
          <w:rFonts w:ascii="Arial" w:hAnsi="Arial" w:eastAsia="宋体" w:cs="Arial"/>
          <w:szCs w:val="21"/>
        </w:rPr>
      </w:pPr>
      <w:r>
        <w:rPr>
          <w:rFonts w:hint="eastAsia" w:ascii="Arial" w:hAnsi="Arial" w:eastAsia="宋体" w:cs="Arial"/>
          <w:szCs w:val="21"/>
        </w:rPr>
        <w:t>下列为使用体外超声波碎石机潜在的不良事件，按照发生频率排列分别描述：</w:t>
      </w:r>
    </w:p>
    <w:p w14:paraId="0F85918D">
      <w:pPr>
        <w:widowControl/>
        <w:jc w:val="left"/>
        <w:rPr>
          <w:rFonts w:ascii="Arial" w:hAnsi="Arial" w:eastAsia="宋体" w:cs="Arial"/>
          <w:b/>
          <w:szCs w:val="21"/>
        </w:rPr>
      </w:pPr>
      <w:r>
        <w:rPr>
          <w:rFonts w:ascii="Arial" w:hAnsi="Arial" w:eastAsia="宋体" w:cs="Arial"/>
          <w:b/>
          <w:szCs w:val="21"/>
        </w:rPr>
        <w:br w:type="page"/>
      </w:r>
    </w:p>
    <w:p w14:paraId="21D640C3">
      <w:pPr>
        <w:widowControl/>
        <w:snapToGrid w:val="0"/>
        <w:spacing w:after="156" w:afterLines="50" w:line="300" w:lineRule="auto"/>
        <w:ind w:right="-6" w:rightChars="-3"/>
        <w:jc w:val="center"/>
        <w:rPr>
          <w:rFonts w:ascii="Arial" w:hAnsi="Arial" w:eastAsia="宋体" w:cs="Arial"/>
          <w:b/>
          <w:sz w:val="28"/>
          <w:szCs w:val="28"/>
          <w:u w:val="single"/>
        </w:rPr>
      </w:pPr>
      <w:r>
        <w:rPr>
          <w:rFonts w:hint="eastAsia" w:ascii="Arial" w:hAnsi="Arial" w:eastAsia="宋体" w:cs="Arial"/>
          <w:b/>
          <w:sz w:val="28"/>
          <w:szCs w:val="28"/>
          <w:u w:val="single"/>
        </w:rPr>
        <w:t>使用体外超声波碎石机潜在的不良事件</w:t>
      </w:r>
    </w:p>
    <w:p w14:paraId="26830585">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常见报告（</w:t>
      </w:r>
      <w:r>
        <w:rPr>
          <w:rFonts w:ascii="Arial" w:hAnsi="Arial" w:eastAsia="宋体" w:cs="Arial"/>
          <w:b/>
          <w:szCs w:val="21"/>
        </w:rPr>
        <w:t>&gt;20%</w:t>
      </w:r>
      <w:r>
        <w:rPr>
          <w:rFonts w:hint="eastAsia" w:ascii="Arial" w:hAnsi="Arial" w:eastAsia="宋体" w:cs="Arial"/>
          <w:b/>
          <w:szCs w:val="21"/>
        </w:rPr>
        <w:t>的患者）</w:t>
      </w:r>
    </w:p>
    <w:p w14:paraId="12442E01">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血尿</w:t>
      </w:r>
    </w:p>
    <w:p w14:paraId="553A47D4">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疼痛</w:t>
      </w:r>
      <w:r>
        <w:rPr>
          <w:rFonts w:ascii="Arial" w:hAnsi="Arial" w:eastAsia="宋体" w:cs="Arial"/>
          <w:szCs w:val="21"/>
        </w:rPr>
        <w:t>/</w:t>
      </w:r>
      <w:r>
        <w:rPr>
          <w:rFonts w:hint="eastAsia" w:ascii="Arial" w:hAnsi="Arial" w:eastAsia="宋体" w:cs="Arial"/>
          <w:szCs w:val="21"/>
        </w:rPr>
        <w:t>肾绞痛</w:t>
      </w:r>
    </w:p>
    <w:p w14:paraId="0EA9B8AC">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超声波进入位点皮肤发红</w:t>
      </w:r>
    </w:p>
    <w:p w14:paraId="12581EAF">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偶尔报告（</w:t>
      </w:r>
      <w:r>
        <w:rPr>
          <w:rFonts w:ascii="Arial" w:hAnsi="Arial" w:eastAsia="宋体" w:cs="Arial"/>
          <w:b/>
          <w:szCs w:val="21"/>
        </w:rPr>
        <w:t>1-20%</w:t>
      </w:r>
      <w:r>
        <w:rPr>
          <w:rFonts w:hint="eastAsia" w:ascii="Arial" w:hAnsi="Arial" w:eastAsia="宋体" w:cs="Arial"/>
          <w:b/>
          <w:szCs w:val="21"/>
        </w:rPr>
        <w:t>的患者）</w:t>
      </w:r>
    </w:p>
    <w:p w14:paraId="7BFB0D90">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心律失常</w:t>
      </w:r>
    </w:p>
    <w:p w14:paraId="74E2AB65">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输尿管感染</w:t>
      </w:r>
    </w:p>
    <w:p w14:paraId="293FB979">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输尿管阻塞</w:t>
      </w:r>
      <w:r>
        <w:rPr>
          <w:rFonts w:ascii="Arial" w:hAnsi="Arial" w:eastAsia="宋体" w:cs="Arial"/>
          <w:szCs w:val="21"/>
        </w:rPr>
        <w:t>/</w:t>
      </w:r>
      <w:r>
        <w:rPr>
          <w:rFonts w:hint="eastAsia" w:ascii="Arial" w:hAnsi="Arial" w:eastAsia="宋体" w:cs="Arial"/>
          <w:szCs w:val="21"/>
        </w:rPr>
        <w:t>石街</w:t>
      </w:r>
    </w:p>
    <w:p w14:paraId="53EE26A3">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超声波进入位点皮肤淤青</w:t>
      </w:r>
    </w:p>
    <w:p w14:paraId="54AE2393">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w:t>
      </w:r>
    </w:p>
    <w:p w14:paraId="31E96356">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恶心</w:t>
      </w:r>
      <w:r>
        <w:rPr>
          <w:rFonts w:ascii="Arial" w:hAnsi="Arial" w:eastAsia="宋体" w:cs="Arial"/>
          <w:szCs w:val="21"/>
        </w:rPr>
        <w:t>/</w:t>
      </w:r>
      <w:r>
        <w:rPr>
          <w:rFonts w:hint="eastAsia" w:ascii="Arial" w:hAnsi="Arial" w:eastAsia="宋体" w:cs="Arial"/>
          <w:szCs w:val="21"/>
        </w:rPr>
        <w:t>呕吐</w:t>
      </w:r>
    </w:p>
    <w:p w14:paraId="4B17AADA">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不常见报告（</w:t>
      </w:r>
      <w:r>
        <w:rPr>
          <w:rFonts w:ascii="Arial" w:hAnsi="Arial" w:eastAsia="宋体" w:cs="Arial"/>
          <w:b/>
          <w:szCs w:val="21"/>
        </w:rPr>
        <w:t>&lt;1%</w:t>
      </w:r>
      <w:r>
        <w:rPr>
          <w:rFonts w:hint="eastAsia" w:ascii="Arial" w:hAnsi="Arial" w:eastAsia="宋体" w:cs="Arial"/>
          <w:b/>
          <w:szCs w:val="21"/>
        </w:rPr>
        <w:t>的患者）</w:t>
      </w:r>
    </w:p>
    <w:p w14:paraId="00A3BA61">
      <w:pPr>
        <w:pStyle w:val="9"/>
        <w:widowControl/>
        <w:numPr>
          <w:ilvl w:val="0"/>
          <w:numId w:val="11"/>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血肿（肾周</w:t>
      </w:r>
      <w:r>
        <w:rPr>
          <w:rFonts w:ascii="Arial" w:hAnsi="Arial" w:eastAsia="宋体" w:cs="Arial"/>
          <w:szCs w:val="21"/>
        </w:rPr>
        <w:t>/</w:t>
      </w:r>
      <w:r>
        <w:rPr>
          <w:rFonts w:hint="eastAsia" w:ascii="Arial" w:hAnsi="Arial" w:eastAsia="宋体" w:cs="Arial"/>
          <w:szCs w:val="21"/>
        </w:rPr>
        <w:t>肾内）</w:t>
      </w:r>
    </w:p>
    <w:p w14:paraId="76A3E9DA">
      <w:pPr>
        <w:pStyle w:val="9"/>
        <w:widowControl/>
        <w:numPr>
          <w:ilvl w:val="0"/>
          <w:numId w:val="11"/>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肾损伤</w:t>
      </w:r>
    </w:p>
    <w:p w14:paraId="00566257">
      <w:pPr>
        <w:widowControl/>
        <w:snapToGrid w:val="0"/>
        <w:spacing w:after="156" w:afterLines="50" w:line="240" w:lineRule="exact"/>
        <w:ind w:right="-6" w:rightChars="-3"/>
        <w:rPr>
          <w:rFonts w:ascii="Arial" w:hAnsi="Arial" w:eastAsia="宋体" w:cs="Arial"/>
          <w:sz w:val="30"/>
          <w:szCs w:val="30"/>
        </w:rPr>
      </w:pPr>
      <w:r>
        <w:rPr>
          <w:rFonts w:ascii="Arial" w:hAnsi="Arial" w:eastAsia="宋体" w:cs="Arial"/>
          <w:sz w:val="30"/>
          <w:szCs w:val="30"/>
        </w:rPr>
        <w:t>_________________________________________________________</w:t>
      </w:r>
    </w:p>
    <w:p w14:paraId="41DCAA9F">
      <w:pPr>
        <w:widowControl/>
        <w:snapToGrid w:val="0"/>
        <w:spacing w:after="156" w:afterLines="50" w:line="240" w:lineRule="exact"/>
        <w:ind w:right="-6" w:rightChars="-3"/>
        <w:rPr>
          <w:rFonts w:ascii="Arial" w:hAnsi="Arial" w:eastAsia="宋体" w:cs="Arial"/>
          <w:szCs w:val="21"/>
        </w:rPr>
      </w:pPr>
    </w:p>
    <w:p w14:paraId="084D60AA">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血尿</w:t>
      </w:r>
      <w:r>
        <w:rPr>
          <w:rFonts w:hint="eastAsia" w:ascii="Arial" w:hAnsi="Arial" w:eastAsia="宋体" w:cs="Arial"/>
          <w:szCs w:val="21"/>
        </w:rPr>
        <w:t>：大多数治疗均会出现血尿，被认为是肾的腺组织细胞损伤引起的，通常在治疗后的</w:t>
      </w:r>
      <w:r>
        <w:rPr>
          <w:rFonts w:ascii="Arial" w:hAnsi="Arial" w:eastAsia="宋体" w:cs="Arial"/>
          <w:szCs w:val="21"/>
        </w:rPr>
        <w:t>24</w:t>
      </w:r>
      <w:r>
        <w:rPr>
          <w:rFonts w:hint="eastAsia" w:ascii="Arial" w:hAnsi="Arial" w:eastAsia="宋体" w:cs="Arial"/>
          <w:szCs w:val="21"/>
        </w:rPr>
        <w:t>到</w:t>
      </w:r>
      <w:r>
        <w:rPr>
          <w:rFonts w:ascii="Arial" w:hAnsi="Arial" w:eastAsia="宋体" w:cs="Arial"/>
          <w:szCs w:val="21"/>
        </w:rPr>
        <w:t>48</w:t>
      </w:r>
      <w:r>
        <w:rPr>
          <w:rFonts w:hint="eastAsia" w:ascii="Arial" w:hAnsi="Arial" w:eastAsia="宋体" w:cs="Arial"/>
          <w:szCs w:val="21"/>
        </w:rPr>
        <w:t>小时自行缓解。</w:t>
      </w:r>
    </w:p>
    <w:p w14:paraId="64DDE624">
      <w:pPr>
        <w:widowControl/>
        <w:snapToGrid w:val="0"/>
        <w:spacing w:after="156" w:afterLines="50" w:line="300" w:lineRule="auto"/>
        <w:ind w:right="-6" w:rightChars="-3"/>
        <w:rPr>
          <w:rFonts w:ascii="Arial" w:hAnsi="Arial" w:eastAsia="宋体" w:cs="Arial"/>
          <w:szCs w:val="21"/>
        </w:rPr>
      </w:pPr>
    </w:p>
    <w:p w14:paraId="75658944">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疼痛</w:t>
      </w:r>
      <w:r>
        <w:rPr>
          <w:rFonts w:ascii="Arial" w:hAnsi="Arial" w:eastAsia="宋体" w:cs="Arial"/>
          <w:b/>
          <w:szCs w:val="21"/>
        </w:rPr>
        <w:t>/</w:t>
      </w:r>
      <w:r>
        <w:rPr>
          <w:rFonts w:hint="eastAsia" w:ascii="Arial" w:hAnsi="Arial" w:eastAsia="宋体" w:cs="Arial"/>
          <w:b/>
          <w:szCs w:val="21"/>
        </w:rPr>
        <w:t>肾绞痛</w:t>
      </w:r>
      <w:r>
        <w:rPr>
          <w:rFonts w:hint="eastAsia" w:ascii="Arial" w:hAnsi="Arial" w:eastAsia="宋体" w:cs="Arial"/>
          <w:szCs w:val="21"/>
        </w:rPr>
        <w:t>：在治疗过程中或治疗后常会出现疼痛</w:t>
      </w:r>
      <w:r>
        <w:rPr>
          <w:rFonts w:ascii="Arial" w:hAnsi="Arial" w:eastAsia="宋体" w:cs="Arial"/>
          <w:szCs w:val="21"/>
        </w:rPr>
        <w:t>/</w:t>
      </w:r>
      <w:r>
        <w:rPr>
          <w:rFonts w:hint="eastAsia" w:ascii="Arial" w:hAnsi="Arial" w:eastAsia="宋体" w:cs="Arial"/>
          <w:szCs w:val="21"/>
        </w:rPr>
        <w:t>肾绞痛，可以自行缓解。结石碎片排出也会出现暂时性的疼痛</w:t>
      </w:r>
      <w:r>
        <w:rPr>
          <w:rFonts w:ascii="Arial" w:hAnsi="Arial" w:eastAsia="宋体" w:cs="Arial"/>
          <w:szCs w:val="21"/>
        </w:rPr>
        <w:t>/</w:t>
      </w:r>
      <w:r>
        <w:rPr>
          <w:rFonts w:hint="eastAsia" w:ascii="Arial" w:hAnsi="Arial" w:eastAsia="宋体" w:cs="Arial"/>
          <w:szCs w:val="21"/>
        </w:rPr>
        <w:t>肾绞痛，可以通过药物缓解。</w:t>
      </w:r>
    </w:p>
    <w:p w14:paraId="41D4FEBD">
      <w:pPr>
        <w:widowControl/>
        <w:snapToGrid w:val="0"/>
        <w:spacing w:after="156" w:afterLines="50" w:line="300" w:lineRule="auto"/>
        <w:ind w:right="-6" w:rightChars="-3"/>
        <w:rPr>
          <w:rFonts w:ascii="Arial" w:hAnsi="Arial" w:eastAsia="宋体" w:cs="Arial"/>
          <w:szCs w:val="21"/>
        </w:rPr>
      </w:pPr>
    </w:p>
    <w:p w14:paraId="0C8569AF">
      <w:pPr>
        <w:widowControl/>
        <w:snapToGrid w:val="0"/>
        <w:spacing w:after="156" w:afterLines="50" w:line="300" w:lineRule="auto"/>
        <w:ind w:right="-6" w:rightChars="-3"/>
        <w:rPr>
          <w:rFonts w:ascii="Arial" w:hAnsi="Arial" w:eastAsia="宋体" w:cs="Arial"/>
          <w:spacing w:val="-4"/>
          <w:szCs w:val="21"/>
        </w:rPr>
      </w:pPr>
      <w:r>
        <w:rPr>
          <w:rFonts w:hint="eastAsia" w:ascii="Arial" w:hAnsi="Arial" w:eastAsia="宋体" w:cs="Arial"/>
          <w:b/>
          <w:spacing w:val="-4"/>
          <w:szCs w:val="21"/>
        </w:rPr>
        <w:t>超声波进入位点皮肤发红</w:t>
      </w:r>
      <w:r>
        <w:rPr>
          <w:rFonts w:hint="eastAsia" w:ascii="Arial" w:hAnsi="Arial" w:eastAsia="宋体" w:cs="Arial"/>
          <w:spacing w:val="-4"/>
          <w:szCs w:val="21"/>
        </w:rPr>
        <w:t>：超声波进入位点皮肤发红的症状通常出现在治疗中或治疗后，一般可以自行缓解。</w:t>
      </w:r>
    </w:p>
    <w:p w14:paraId="44D36AA3">
      <w:pPr>
        <w:widowControl/>
        <w:snapToGrid w:val="0"/>
        <w:spacing w:after="156" w:afterLines="50" w:line="300" w:lineRule="auto"/>
        <w:ind w:right="-6" w:rightChars="-3"/>
        <w:rPr>
          <w:rFonts w:ascii="Arial" w:hAnsi="Arial" w:eastAsia="宋体" w:cs="Arial"/>
          <w:szCs w:val="21"/>
        </w:rPr>
      </w:pPr>
    </w:p>
    <w:p w14:paraId="13D01F8B">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心律失常</w:t>
      </w:r>
      <w:r>
        <w:rPr>
          <w:rFonts w:hint="eastAsia" w:ascii="Arial" w:hAnsi="Arial" w:eastAsia="宋体" w:cs="Arial"/>
          <w:szCs w:val="21"/>
        </w:rPr>
        <w:t>：心律失常大多数为室性早搏，一般在体外超声碎石使用固定的超声波传输频率的情况下出现，占患者人数的</w:t>
      </w:r>
      <w:r>
        <w:rPr>
          <w:rFonts w:ascii="Arial" w:hAnsi="Arial" w:eastAsia="宋体" w:cs="Arial"/>
          <w:szCs w:val="21"/>
        </w:rPr>
        <w:t>2%</w:t>
      </w:r>
      <w:r>
        <w:rPr>
          <w:rFonts w:hint="eastAsia" w:ascii="Arial" w:hAnsi="Arial" w:eastAsia="宋体" w:cs="Arial"/>
          <w:szCs w:val="21"/>
        </w:rPr>
        <w:t>到</w:t>
      </w:r>
      <w:r>
        <w:rPr>
          <w:rFonts w:ascii="Arial" w:hAnsi="Arial" w:eastAsia="宋体" w:cs="Arial"/>
          <w:szCs w:val="21"/>
        </w:rPr>
        <w:t>20%</w:t>
      </w:r>
      <w:r>
        <w:rPr>
          <w:rFonts w:hint="eastAsia" w:ascii="Arial" w:hAnsi="Arial" w:eastAsia="宋体" w:cs="Arial"/>
          <w:szCs w:val="21"/>
        </w:rPr>
        <w:t>。对于健康的患者来说，这种心脏波动很少造成严重的风险，通常来说，通过将超声波与心脏周期的不应期同步（</w:t>
      </w:r>
      <w:r>
        <w:rPr>
          <w:rFonts w:ascii="Arial" w:hAnsi="Arial" w:eastAsia="宋体" w:cs="Arial"/>
          <w:szCs w:val="21"/>
        </w:rPr>
        <w:t>ECG</w:t>
      </w:r>
      <w:r>
        <w:rPr>
          <w:rFonts w:hint="eastAsia" w:ascii="Arial" w:hAnsi="Arial" w:eastAsia="宋体" w:cs="Arial"/>
          <w:szCs w:val="21"/>
        </w:rPr>
        <w:t>门控）或终止治疗的方式可自行消退。</w:t>
      </w:r>
    </w:p>
    <w:p w14:paraId="58757CF4">
      <w:pPr>
        <w:widowControl/>
        <w:snapToGrid w:val="0"/>
        <w:spacing w:after="156" w:afterLines="50" w:line="300" w:lineRule="auto"/>
        <w:ind w:right="-6" w:rightChars="-3"/>
        <w:rPr>
          <w:rFonts w:ascii="Arial" w:hAnsi="Arial" w:eastAsia="宋体" w:cs="Arial"/>
          <w:szCs w:val="21"/>
        </w:rPr>
      </w:pPr>
    </w:p>
    <w:p w14:paraId="0406191B">
      <w:pPr>
        <w:widowControl/>
        <w:jc w:val="left"/>
        <w:rPr>
          <w:rFonts w:ascii="Arial" w:hAnsi="Arial" w:eastAsia="宋体" w:cs="Arial"/>
          <w:szCs w:val="21"/>
        </w:rPr>
      </w:pPr>
      <w:r>
        <w:rPr>
          <w:rFonts w:ascii="Arial" w:hAnsi="Arial" w:eastAsia="宋体" w:cs="Arial"/>
          <w:szCs w:val="21"/>
        </w:rPr>
        <w:br w:type="page"/>
      </w:r>
    </w:p>
    <w:p w14:paraId="25032FDB">
      <w:pPr>
        <w:widowControl/>
        <w:snapToGrid w:val="0"/>
        <w:spacing w:after="156" w:afterLines="50" w:line="300" w:lineRule="auto"/>
        <w:ind w:right="-6" w:rightChars="-3"/>
        <w:rPr>
          <w:rFonts w:ascii="Arial" w:hAnsi="Arial" w:eastAsia="宋体" w:cs="Arial"/>
          <w:szCs w:val="21"/>
        </w:rPr>
      </w:pPr>
    </w:p>
    <w:p w14:paraId="32FE3D64">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输尿管感染</w:t>
      </w:r>
      <w:r>
        <w:rPr>
          <w:rFonts w:hint="eastAsia" w:ascii="Arial" w:hAnsi="Arial" w:eastAsia="宋体" w:cs="Arial"/>
          <w:szCs w:val="21"/>
        </w:rPr>
        <w:t>：约有</w:t>
      </w:r>
      <w:r>
        <w:rPr>
          <w:rFonts w:ascii="Arial" w:hAnsi="Arial" w:eastAsia="宋体" w:cs="Arial"/>
          <w:szCs w:val="21"/>
        </w:rPr>
        <w:t>1%</w:t>
      </w:r>
      <w:r>
        <w:rPr>
          <w:rFonts w:hint="eastAsia" w:ascii="Arial" w:hAnsi="Arial" w:eastAsia="宋体" w:cs="Arial"/>
          <w:szCs w:val="21"/>
        </w:rPr>
        <w:t>至</w:t>
      </w:r>
      <w:r>
        <w:rPr>
          <w:rFonts w:ascii="Arial" w:hAnsi="Arial" w:eastAsia="宋体" w:cs="Arial"/>
          <w:szCs w:val="21"/>
        </w:rPr>
        <w:t>7%</w:t>
      </w:r>
      <w:r>
        <w:rPr>
          <w:rFonts w:hint="eastAsia" w:ascii="Arial" w:hAnsi="Arial" w:eastAsia="宋体" w:cs="Arial"/>
          <w:szCs w:val="21"/>
        </w:rPr>
        <w:t>的患者在进行体外超声波碎石后，由于细菌从感染的结石碎片中释放，因此会产生输尿管感染（</w:t>
      </w:r>
      <w:r>
        <w:rPr>
          <w:rFonts w:ascii="Arial" w:hAnsi="Arial" w:eastAsia="宋体" w:cs="Arial"/>
          <w:szCs w:val="21"/>
        </w:rPr>
        <w:t>UTI</w:t>
      </w:r>
      <w:r>
        <w:rPr>
          <w:rFonts w:hint="eastAsia" w:ascii="Arial" w:hAnsi="Arial" w:eastAsia="宋体" w:cs="Arial"/>
          <w:szCs w:val="21"/>
        </w:rPr>
        <w:t>），少数情况下会引起肾盂肾炎或败血症。通过给</w:t>
      </w:r>
      <w:r>
        <w:rPr>
          <w:rFonts w:ascii="Arial" w:hAnsi="Arial" w:eastAsia="宋体" w:cs="Arial"/>
          <w:szCs w:val="21"/>
        </w:rPr>
        <w:t>UTI</w:t>
      </w:r>
      <w:r>
        <w:rPr>
          <w:rFonts w:hint="eastAsia" w:ascii="Arial" w:hAnsi="Arial" w:eastAsia="宋体" w:cs="Arial"/>
          <w:szCs w:val="21"/>
        </w:rPr>
        <w:t>及感染性结石病人预防性使用抗生素可以将体外超声波碎石机继发的感染风险降到最低。</w:t>
      </w:r>
    </w:p>
    <w:p w14:paraId="7987EC88">
      <w:pPr>
        <w:widowControl/>
        <w:jc w:val="left"/>
        <w:rPr>
          <w:rFonts w:ascii="Arial" w:hAnsi="Arial" w:eastAsia="宋体" w:cs="Arial"/>
          <w:b/>
          <w:szCs w:val="21"/>
        </w:rPr>
      </w:pPr>
    </w:p>
    <w:p w14:paraId="4DFCA14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输尿管阻塞</w:t>
      </w:r>
      <w:r>
        <w:rPr>
          <w:rFonts w:ascii="Arial" w:hAnsi="Arial" w:eastAsia="宋体" w:cs="Arial"/>
          <w:b/>
          <w:szCs w:val="21"/>
        </w:rPr>
        <w:t>/</w:t>
      </w:r>
      <w:r>
        <w:rPr>
          <w:rFonts w:hint="eastAsia" w:ascii="Arial" w:hAnsi="Arial" w:eastAsia="宋体" w:cs="Arial"/>
          <w:b/>
          <w:szCs w:val="21"/>
        </w:rPr>
        <w:t>石街：</w:t>
      </w:r>
      <w:r>
        <w:rPr>
          <w:rFonts w:hint="eastAsia" w:ascii="Arial" w:hAnsi="Arial" w:eastAsia="宋体" w:cs="Arial"/>
          <w:szCs w:val="21"/>
        </w:rPr>
        <w:t>有不超过</w:t>
      </w:r>
      <w:r>
        <w:rPr>
          <w:rFonts w:ascii="Arial" w:hAnsi="Arial" w:eastAsia="宋体" w:cs="Arial"/>
          <w:szCs w:val="21"/>
        </w:rPr>
        <w:t>6%</w:t>
      </w:r>
      <w:r>
        <w:rPr>
          <w:rFonts w:hint="eastAsia" w:ascii="Arial" w:hAnsi="Arial" w:eastAsia="宋体" w:cs="Arial"/>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14:paraId="314BD33F">
      <w:pPr>
        <w:widowControl/>
        <w:snapToGrid w:val="0"/>
        <w:spacing w:after="156" w:afterLines="50" w:line="300" w:lineRule="auto"/>
        <w:ind w:right="-6" w:rightChars="-3"/>
        <w:rPr>
          <w:rFonts w:ascii="Arial" w:hAnsi="Arial" w:eastAsia="宋体" w:cs="Arial"/>
          <w:szCs w:val="21"/>
        </w:rPr>
      </w:pPr>
    </w:p>
    <w:p w14:paraId="3F90BDC0">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超声波进入位点皮肤淤青：</w:t>
      </w:r>
      <w:r>
        <w:rPr>
          <w:rFonts w:hint="eastAsia" w:ascii="Arial" w:hAnsi="Arial" w:eastAsia="宋体" w:cs="Arial"/>
          <w:szCs w:val="21"/>
        </w:rPr>
        <w:t>在治疗后超声波进入位点偶尔会出现皮肤淤青的情况，一般会自行消退。</w:t>
      </w:r>
    </w:p>
    <w:p w14:paraId="63349ACE">
      <w:pPr>
        <w:widowControl/>
        <w:snapToGrid w:val="0"/>
        <w:spacing w:after="156" w:afterLines="50" w:line="300" w:lineRule="auto"/>
        <w:ind w:right="-6" w:rightChars="-3"/>
        <w:rPr>
          <w:rFonts w:ascii="Arial" w:hAnsi="Arial" w:eastAsia="宋体" w:cs="Arial"/>
          <w:szCs w:val="21"/>
        </w:rPr>
      </w:pPr>
    </w:p>
    <w:p w14:paraId="74F12054">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发热（</w:t>
      </w:r>
      <w:r>
        <w:rPr>
          <w:rFonts w:ascii="Arial" w:hAnsi="Arial" w:eastAsia="宋体" w:cs="Arial"/>
          <w:b/>
          <w:szCs w:val="21"/>
        </w:rPr>
        <w:t>&gt;38</w:t>
      </w:r>
      <w:r>
        <w:rPr>
          <w:rFonts w:hint="eastAsia" w:ascii="宋体" w:hAnsi="宋体" w:eastAsia="宋体" w:cs="宋体"/>
          <w:b/>
          <w:szCs w:val="21"/>
        </w:rPr>
        <w:t>℃</w:t>
      </w:r>
      <w:r>
        <w:rPr>
          <w:rFonts w:hint="eastAsia" w:ascii="Arial" w:hAnsi="Arial" w:eastAsia="宋体" w:cs="Arial"/>
          <w:b/>
          <w:szCs w:val="21"/>
        </w:rPr>
        <w:t>）：</w:t>
      </w:r>
      <w:r>
        <w:rPr>
          <w:rFonts w:hint="eastAsia" w:ascii="Arial" w:hAnsi="Arial" w:eastAsia="宋体" w:cs="Arial"/>
          <w:szCs w:val="21"/>
        </w:rPr>
        <w:t>在体外超声波碎石术后偶尔会出现发热症状，可能是感染引起的。</w:t>
      </w:r>
    </w:p>
    <w:p w14:paraId="0FB40A8B">
      <w:pPr>
        <w:widowControl/>
        <w:snapToGrid w:val="0"/>
        <w:spacing w:after="156" w:afterLines="50" w:line="300" w:lineRule="auto"/>
        <w:ind w:right="-6" w:rightChars="-3"/>
        <w:rPr>
          <w:rFonts w:ascii="Arial" w:hAnsi="Arial" w:eastAsia="宋体" w:cs="Arial"/>
          <w:szCs w:val="21"/>
        </w:rPr>
      </w:pPr>
    </w:p>
    <w:p w14:paraId="54D6F34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恶心</w:t>
      </w:r>
      <w:r>
        <w:rPr>
          <w:rFonts w:ascii="Arial" w:hAnsi="Arial" w:eastAsia="宋体" w:cs="Arial"/>
          <w:b/>
          <w:szCs w:val="21"/>
        </w:rPr>
        <w:t>/</w:t>
      </w:r>
      <w:r>
        <w:rPr>
          <w:rFonts w:hint="eastAsia" w:ascii="Arial" w:hAnsi="Arial" w:eastAsia="宋体" w:cs="Arial"/>
          <w:b/>
          <w:szCs w:val="21"/>
        </w:rPr>
        <w:t>呕吐：</w:t>
      </w:r>
      <w:r>
        <w:rPr>
          <w:rFonts w:hint="eastAsia" w:ascii="Arial" w:hAnsi="Arial" w:eastAsia="宋体" w:cs="Arial"/>
          <w:szCs w:val="21"/>
        </w:rPr>
        <w:t>有时患者在体外超声波碎石术后的较短时间内会出现暂时性的恶心和呕吐现象，可能与疼痛或使用镇定剂或止痛剂有关。</w:t>
      </w:r>
    </w:p>
    <w:p w14:paraId="66B10C32">
      <w:pPr>
        <w:widowControl/>
        <w:snapToGrid w:val="0"/>
        <w:spacing w:after="156" w:afterLines="50" w:line="300" w:lineRule="auto"/>
        <w:ind w:right="-6" w:rightChars="-3"/>
        <w:rPr>
          <w:rFonts w:ascii="Arial" w:hAnsi="Arial" w:eastAsia="宋体" w:cs="Arial"/>
          <w:szCs w:val="21"/>
        </w:rPr>
      </w:pPr>
    </w:p>
    <w:p w14:paraId="08C497D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血肿（肾周</w:t>
      </w:r>
      <w:r>
        <w:rPr>
          <w:rFonts w:ascii="Arial" w:hAnsi="Arial" w:eastAsia="宋体" w:cs="Arial"/>
          <w:b/>
          <w:szCs w:val="21"/>
        </w:rPr>
        <w:t>/</w:t>
      </w:r>
      <w:r>
        <w:rPr>
          <w:rFonts w:hint="eastAsia" w:ascii="Arial" w:hAnsi="Arial" w:eastAsia="宋体" w:cs="Arial"/>
          <w:b/>
          <w:szCs w:val="21"/>
        </w:rPr>
        <w:t>肾内）：</w:t>
      </w:r>
      <w:r>
        <w:rPr>
          <w:rFonts w:hint="eastAsia" w:ascii="Arial" w:hAnsi="Arial" w:eastAsia="宋体" w:cs="Arial"/>
          <w:szCs w:val="21"/>
        </w:rPr>
        <w:t>具有临床意义的肾内或肾周血肿仅发生于</w:t>
      </w:r>
      <w:r>
        <w:rPr>
          <w:rFonts w:ascii="Arial" w:hAnsi="Arial" w:eastAsia="宋体" w:cs="Arial"/>
          <w:szCs w:val="21"/>
        </w:rPr>
        <w:t>&lt;1%</w:t>
      </w:r>
      <w:r>
        <w:rPr>
          <w:rFonts w:hint="eastAsia" w:ascii="Arial" w:hAnsi="Arial" w:eastAsia="宋体" w:cs="Arial"/>
          <w:szCs w:val="21"/>
        </w:rPr>
        <w:t>的超声碎石治疗病例中。这些患者通常呈现严重的慢性侧腹痛。虽然通过保守治疗，临床显著的血肿通常都可以缓解，但也有严重出血和死亡的病例报道。严重肾出血的治疗包括输血、经皮穿刺引流术或手术治疗。</w:t>
      </w:r>
    </w:p>
    <w:p w14:paraId="0088A806">
      <w:pPr>
        <w:widowControl/>
        <w:snapToGrid w:val="0"/>
        <w:spacing w:after="156" w:afterLines="50" w:line="300" w:lineRule="auto"/>
        <w:ind w:right="-6" w:rightChars="-3"/>
        <w:rPr>
          <w:rFonts w:ascii="Arial" w:hAnsi="Arial" w:eastAsia="宋体" w:cs="Arial"/>
          <w:szCs w:val="21"/>
        </w:rPr>
      </w:pPr>
    </w:p>
    <w:p w14:paraId="57684BB0">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肾损伤：</w:t>
      </w:r>
      <w:r>
        <w:rPr>
          <w:rFonts w:hint="eastAsia" w:ascii="Arial" w:hAnsi="Arial" w:eastAsia="宋体" w:cs="Arial"/>
          <w:szCs w:val="21"/>
        </w:rPr>
        <w:t>目前已知体外超声波碎石手术会对治疗的肾产生损害。但产生损伤的可能性、长期严重性及持续时间均未知。</w:t>
      </w:r>
    </w:p>
    <w:p w14:paraId="23509067">
      <w:pPr>
        <w:widowControl/>
        <w:snapToGrid w:val="0"/>
        <w:spacing w:after="156" w:afterLines="50" w:line="300" w:lineRule="auto"/>
        <w:ind w:right="-6" w:rightChars="-3"/>
        <w:rPr>
          <w:rFonts w:ascii="Arial" w:hAnsi="Arial" w:eastAsia="宋体" w:cs="Arial"/>
          <w:szCs w:val="21"/>
        </w:rPr>
      </w:pPr>
    </w:p>
    <w:p w14:paraId="33DD8AFE">
      <w:pPr>
        <w:widowControl/>
        <w:snapToGrid w:val="0"/>
        <w:spacing w:after="156" w:afterLines="50" w:line="300" w:lineRule="auto"/>
        <w:ind w:right="-6" w:rightChars="-3"/>
        <w:rPr>
          <w:rFonts w:ascii="Arial" w:hAnsi="Arial" w:eastAsia="宋体" w:cs="Arial"/>
          <w:b/>
          <w:sz w:val="32"/>
          <w:szCs w:val="32"/>
        </w:rPr>
      </w:pPr>
      <w:r>
        <w:rPr>
          <w:rFonts w:hint="eastAsia" w:ascii="Arial" w:hAnsi="Arial" w:eastAsia="宋体" w:cs="Arial"/>
          <w:b/>
          <w:sz w:val="32"/>
          <w:szCs w:val="32"/>
        </w:rPr>
        <w:t>患者选择与治疗</w:t>
      </w:r>
      <w:r>
        <w:rPr>
          <w:rFonts w:ascii="Arial" w:hAnsi="Arial" w:eastAsia="宋体" w:cs="Arial"/>
          <w:b/>
          <w:sz w:val="32"/>
          <w:szCs w:val="32"/>
        </w:rPr>
        <w:br w:type="textWrapping"/>
      </w:r>
    </w:p>
    <w:p w14:paraId="1625A439">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特殊患者人群：</w:t>
      </w:r>
    </w:p>
    <w:p w14:paraId="740DCEF1">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儿童：</w:t>
      </w:r>
      <w:r>
        <w:rPr>
          <w:rFonts w:hint="eastAsia" w:ascii="Arial" w:hAnsi="Arial" w:eastAsia="宋体" w:cs="Arial"/>
          <w:szCs w:val="21"/>
        </w:rPr>
        <w:t>此类器械在治疗儿童尿路结石中的安全性和有效性尚未明确。虽然已有儿童使用超声波方法治疗上输尿管结石，但很少有案例使用了体外超声波碎石机。研究表明接受超声波的大鼠长骨的骨骺生长板会受到影响。这一效应对于人体是否显著尚未明确。</w:t>
      </w:r>
    </w:p>
    <w:p w14:paraId="35A16C16">
      <w:pPr>
        <w:widowControl/>
        <w:snapToGrid w:val="0"/>
        <w:spacing w:after="156" w:afterLines="50" w:line="300" w:lineRule="auto"/>
        <w:ind w:right="-6" w:rightChars="-3"/>
        <w:rPr>
          <w:rFonts w:ascii="Arial" w:hAnsi="Arial" w:eastAsia="宋体" w:cs="Arial"/>
          <w:szCs w:val="21"/>
        </w:rPr>
      </w:pPr>
    </w:p>
    <w:p w14:paraId="0C3C4F7C">
      <w:pPr>
        <w:widowControl/>
        <w:jc w:val="left"/>
        <w:rPr>
          <w:rFonts w:ascii="Arial" w:hAnsi="Arial" w:eastAsia="宋体" w:cs="Arial"/>
          <w:szCs w:val="21"/>
        </w:rPr>
      </w:pPr>
      <w:r>
        <w:rPr>
          <w:rFonts w:ascii="Arial" w:hAnsi="Arial" w:eastAsia="宋体" w:cs="Arial"/>
          <w:szCs w:val="21"/>
        </w:rPr>
        <w:br w:type="page"/>
      </w:r>
    </w:p>
    <w:p w14:paraId="1118DB78">
      <w:pPr>
        <w:widowControl/>
        <w:snapToGrid w:val="0"/>
        <w:spacing w:after="156" w:afterLines="50" w:line="300" w:lineRule="auto"/>
        <w:ind w:right="-6" w:rightChars="-3"/>
        <w:rPr>
          <w:rFonts w:ascii="Arial" w:hAnsi="Arial" w:eastAsia="宋体" w:cs="Arial"/>
          <w:szCs w:val="21"/>
        </w:rPr>
      </w:pPr>
    </w:p>
    <w:p w14:paraId="54D09AC0">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拟生育的女性：</w:t>
      </w:r>
      <w:r>
        <w:rPr>
          <w:rFonts w:hint="eastAsia" w:ascii="Arial" w:hAnsi="Arial" w:eastAsia="宋体" w:cs="Arial"/>
          <w:szCs w:val="21"/>
        </w:rPr>
        <w:t>对于拟生育的女性要避免进行下输尿管结石的治疗。使用超声波碎石机可能会对女性生殖系统以及未确诊的怀孕中的胎儿造成不可逆转的损害。</w:t>
      </w:r>
    </w:p>
    <w:p w14:paraId="221EBD01">
      <w:pPr>
        <w:widowControl/>
        <w:jc w:val="left"/>
        <w:rPr>
          <w:rFonts w:ascii="Arial" w:hAnsi="Arial" w:eastAsia="宋体" w:cs="Arial"/>
          <w:b/>
          <w:sz w:val="32"/>
          <w:szCs w:val="32"/>
        </w:rPr>
      </w:pPr>
      <w:r>
        <w:rPr>
          <w:rFonts w:hint="eastAsia" w:ascii="Arial" w:hAnsi="Arial" w:eastAsia="宋体" w:cs="Arial"/>
          <w:b/>
          <w:sz w:val="32"/>
          <w:szCs w:val="32"/>
        </w:rPr>
        <w:t>辐射安全行为</w:t>
      </w:r>
    </w:p>
    <w:p w14:paraId="687434C6">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注：仅当</w:t>
      </w:r>
      <w:r>
        <w:rPr>
          <w:rFonts w:ascii="Arial" w:hAnsi="Arial" w:eastAsia="宋体" w:cs="Arial"/>
          <w:szCs w:val="21"/>
        </w:rPr>
        <w:t>SWL</w:t>
      </w:r>
      <w:r>
        <w:rPr>
          <w:rFonts w:hint="eastAsia" w:ascii="Arial" w:hAnsi="Arial" w:eastAsia="宋体" w:cs="Arial"/>
          <w:szCs w:val="21"/>
        </w:rPr>
        <w:t>系统标为</w:t>
      </w:r>
      <w:r>
        <w:rPr>
          <w:rFonts w:ascii="Arial" w:hAnsi="Arial" w:eastAsia="宋体" w:cs="Arial"/>
          <w:szCs w:val="21"/>
        </w:rPr>
        <w:t>X</w:t>
      </w:r>
      <w:r>
        <w:rPr>
          <w:rFonts w:hint="eastAsia" w:ascii="Arial" w:hAnsi="Arial" w:eastAsia="宋体" w:cs="Arial"/>
          <w:szCs w:val="21"/>
        </w:rPr>
        <w:t>射线结石定位的情况下包含此章节</w:t>
      </w:r>
      <w:r>
        <w:rPr>
          <w:rFonts w:ascii="Arial" w:hAnsi="Arial" w:eastAsia="宋体" w:cs="Arial"/>
          <w:szCs w:val="21"/>
        </w:rPr>
        <w:t>】</w:t>
      </w:r>
    </w:p>
    <w:p w14:paraId="796DE3D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本章节应当提供安全使用辐射器械的行为概述。本章节应当提供下列信息：</w:t>
      </w:r>
    </w:p>
    <w:p w14:paraId="426693CA">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进行结石成像和定位使用最低技术参数和暴露时间的重要性；</w:t>
      </w:r>
    </w:p>
    <w:p w14:paraId="55A07CDB">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使用的最高技术参数和暴露时间，以及独立的</w:t>
      </w:r>
      <w:r>
        <w:rPr>
          <w:rFonts w:ascii="Arial" w:hAnsi="Arial" w:eastAsia="宋体" w:cs="Arial"/>
          <w:szCs w:val="21"/>
        </w:rPr>
        <w:t>SWL</w:t>
      </w:r>
      <w:r>
        <w:rPr>
          <w:rFonts w:hint="eastAsia" w:ascii="Arial" w:hAnsi="Arial" w:eastAsia="宋体" w:cs="Arial"/>
          <w:szCs w:val="21"/>
        </w:rPr>
        <w:t>治疗过程中患者需要使用最高技术参数和暴露时间的指征；以及</w:t>
      </w:r>
    </w:p>
    <w:p w14:paraId="21172677">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如何降低器械操作者和其他医护人员的放射暴露的指南。</w:t>
      </w:r>
    </w:p>
    <w:p w14:paraId="5B02A69B">
      <w:pPr>
        <w:snapToGrid w:val="0"/>
        <w:spacing w:line="300" w:lineRule="auto"/>
        <w:ind w:right="-6" w:rightChars="-3"/>
        <w:jc w:val="center"/>
        <w:rPr>
          <w:rFonts w:hint="eastAsia" w:eastAsia="等线"/>
          <w:lang w:eastAsia="zh-CN"/>
        </w:rPr>
      </w:pPr>
    </w:p>
    <w:p w14:paraId="08C852AE">
      <w:pPr>
        <w:snapToGrid w:val="0"/>
        <w:spacing w:line="300" w:lineRule="auto"/>
        <w:ind w:right="-6" w:rightChars="-3"/>
        <w:jc w:val="center"/>
        <w:rPr>
          <w:rFonts w:hint="eastAsia" w:eastAsia="等线"/>
          <w:lang w:eastAsia="zh-CN"/>
        </w:rPr>
      </w:pPr>
    </w:p>
    <w:p w14:paraId="1AB1134B">
      <w:pPr>
        <w:snapToGrid w:val="0"/>
        <w:spacing w:line="300" w:lineRule="auto"/>
        <w:ind w:right="-6" w:rightChars="-3"/>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134" w:right="1134" w:bottom="1134" w:left="1134"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1EBF">
    <w:pPr>
      <w:pStyle w:val="3"/>
      <w:jc w:val="right"/>
      <w:rPr>
        <w:rFonts w:ascii="Arial" w:hAnsi="Arial" w:eastAsia="宋体" w:cs="Arial"/>
        <w:b/>
        <w:color w:val="000000" w:themeColor="text1"/>
        <w14:textFill>
          <w14:solidFill>
            <w14:schemeClr w14:val="tx1"/>
          </w14:solidFill>
        </w14:textFill>
      </w:rPr>
    </w:pPr>
    <w:r>
      <w:rPr>
        <w:color w:val="5B9BD5"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Pdz0NQAAAAHAQAADwAAAAAAAAABACAAAAAi&#10;AAAAZHJzL2Rvd25yZXYueG1sUEsBAhQAFAAAAAgAh07iQCc1cZeAAgAA8gQAAA4AAAAAAAAAAQAg&#10;AAAAIwEAAGRycy9lMm9Eb2MueG1sUEsFBgAAAAAGAAYAWQEAABUGAAAAAA==&#10;">
              <v:fill on="f" focussize="0,0"/>
              <v:stroke weight="1.25pt" color="#767171 [1614]" miterlimit="8" joinstyle="miter"/>
              <v:imagedata o:title=""/>
              <o:lock v:ext="edit" aspectratio="f"/>
            </v:rect>
          </w:pict>
        </mc:Fallback>
      </mc:AlternateContent>
    </w:r>
    <w:r>
      <w:rPr>
        <w:color w:val="5B9BD5" w:themeColor="accent1"/>
        <w:lang w:val="zh-CN"/>
        <w14:textFill>
          <w14:solidFill>
            <w14:schemeClr w14:val="accent1"/>
          </w14:solidFill>
        </w14:textFill>
      </w:rPr>
      <w:t xml:space="preserve"> </w:t>
    </w:r>
    <w:r>
      <w:rPr>
        <w:rFonts w:ascii="Arial" w:hAnsi="Arial" w:eastAsia="宋体" w:cs="Arial"/>
        <w:b/>
        <w:color w:val="000000" w:themeColor="text1"/>
        <w:sz w:val="20"/>
        <w:szCs w:val="20"/>
        <w:lang w:val="zh-CN"/>
        <w14:textFill>
          <w14:solidFill>
            <w14:schemeClr w14:val="tx1"/>
          </w14:solidFill>
        </w14:textFill>
      </w:rPr>
      <w:t xml:space="preserve">页 </w:t>
    </w:r>
    <w:r>
      <w:rPr>
        <w:rFonts w:ascii="Arial" w:hAnsi="Arial" w:eastAsia="宋体" w:cs="Arial"/>
        <w:b/>
        <w:color w:val="000000" w:themeColor="text1"/>
        <w:sz w:val="20"/>
        <w:szCs w:val="20"/>
        <w14:textFill>
          <w14:solidFill>
            <w14:schemeClr w14:val="tx1"/>
          </w14:solidFill>
        </w14:textFill>
      </w:rPr>
      <w:fldChar w:fldCharType="begin"/>
    </w:r>
    <w:r>
      <w:rPr>
        <w:rFonts w:ascii="Arial" w:hAnsi="Arial" w:eastAsia="宋体" w:cs="Arial"/>
        <w:b/>
        <w:color w:val="000000" w:themeColor="text1"/>
        <w:sz w:val="20"/>
        <w:szCs w:val="20"/>
        <w14:textFill>
          <w14:solidFill>
            <w14:schemeClr w14:val="tx1"/>
          </w14:solidFill>
        </w14:textFill>
      </w:rPr>
      <w:instrText xml:space="preserve">PAGE    \* MERGEFORMAT</w:instrText>
    </w:r>
    <w:r>
      <w:rPr>
        <w:rFonts w:ascii="Arial" w:hAnsi="Arial" w:eastAsia="宋体" w:cs="Arial"/>
        <w:b/>
        <w:color w:val="000000" w:themeColor="text1"/>
        <w:sz w:val="20"/>
        <w:szCs w:val="20"/>
        <w14:textFill>
          <w14:solidFill>
            <w14:schemeClr w14:val="tx1"/>
          </w14:solidFill>
        </w14:textFill>
      </w:rPr>
      <w:fldChar w:fldCharType="separate"/>
    </w:r>
    <w:r>
      <w:rPr>
        <w:rFonts w:ascii="Arial" w:hAnsi="Arial" w:eastAsia="宋体" w:cs="Arial"/>
        <w:b/>
        <w:color w:val="000000" w:themeColor="text1"/>
        <w:sz w:val="20"/>
        <w:szCs w:val="20"/>
        <w:lang w:val="zh-CN"/>
        <w14:textFill>
          <w14:solidFill>
            <w14:schemeClr w14:val="tx1"/>
          </w14:solidFill>
        </w14:textFill>
      </w:rPr>
      <w:t>30</w:t>
    </w:r>
    <w:r>
      <w:rPr>
        <w:rFonts w:ascii="Arial" w:hAnsi="Arial" w:eastAsia="宋体" w:cs="Arial"/>
        <w:b/>
        <w:color w:val="000000" w:themeColor="text1"/>
        <w:sz w:val="20"/>
        <w:szCs w:val="20"/>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861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A5728"/>
    <w:multiLevelType w:val="multilevel"/>
    <w:tmpl w:val="02FA5728"/>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AC7BA4"/>
    <w:multiLevelType w:val="multilevel"/>
    <w:tmpl w:val="03AC7BA4"/>
    <w:lvl w:ilvl="0" w:tentative="0">
      <w:start w:val="1"/>
      <w:numFmt w:val="decimal"/>
      <w:pStyle w:val="13"/>
      <w:lvlText w:val="%1."/>
      <w:lvlJc w:val="left"/>
      <w:pPr>
        <w:ind w:left="420" w:hanging="420"/>
      </w:pPr>
      <w:rPr>
        <w:rFonts w:hint="default" w:ascii="Arial" w:hAnsi="Arial" w:cs="Arial"/>
        <w:b/>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6C7DA2"/>
    <w:multiLevelType w:val="multilevel"/>
    <w:tmpl w:val="066C7DA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B21265D"/>
    <w:multiLevelType w:val="multilevel"/>
    <w:tmpl w:val="0B21265D"/>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832C9D"/>
    <w:multiLevelType w:val="multilevel"/>
    <w:tmpl w:val="2D832C9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C7E7C3F"/>
    <w:multiLevelType w:val="multilevel"/>
    <w:tmpl w:val="3C7E7C3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1D02D5"/>
    <w:multiLevelType w:val="multilevel"/>
    <w:tmpl w:val="3F1D02D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3E3139C"/>
    <w:multiLevelType w:val="multilevel"/>
    <w:tmpl w:val="43E3139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8466C11"/>
    <w:multiLevelType w:val="multilevel"/>
    <w:tmpl w:val="48466C1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57343F7"/>
    <w:multiLevelType w:val="multilevel"/>
    <w:tmpl w:val="657343F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64123E4"/>
    <w:multiLevelType w:val="multilevel"/>
    <w:tmpl w:val="664123E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B5B5EE8"/>
    <w:multiLevelType w:val="multilevel"/>
    <w:tmpl w:val="6B5B5EE8"/>
    <w:lvl w:ilvl="0" w:tentative="0">
      <w:start w:val="1"/>
      <w:numFmt w:val="upperLetter"/>
      <w:lvlText w:val="%1."/>
      <w:lvlJc w:val="left"/>
      <w:pPr>
        <w:ind w:left="420" w:hanging="420"/>
      </w:pPr>
    </w:lvl>
    <w:lvl w:ilvl="1" w:tentative="0">
      <w:start w:val="1"/>
      <w:numFmt w:val="upperLetter"/>
      <w:lvlText w:val="%2."/>
      <w:lvlJc w:val="left"/>
      <w:pPr>
        <w:ind w:left="840" w:hanging="420"/>
      </w:pPr>
      <w:rPr>
        <w:rFonts w:hint="default" w:ascii="Arial" w:hAnsi="Arial"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90714F"/>
    <w:multiLevelType w:val="multilevel"/>
    <w:tmpl w:val="7890714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B467584"/>
    <w:multiLevelType w:val="multilevel"/>
    <w:tmpl w:val="7B46758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FA40705"/>
    <w:multiLevelType w:val="multilevel"/>
    <w:tmpl w:val="7FA4070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11"/>
  </w:num>
  <w:num w:numId="3">
    <w:abstractNumId w:val="3"/>
  </w:num>
  <w:num w:numId="4">
    <w:abstractNumId w:val="12"/>
  </w:num>
  <w:num w:numId="5">
    <w:abstractNumId w:val="5"/>
  </w:num>
  <w:num w:numId="6">
    <w:abstractNumId w:val="9"/>
  </w:num>
  <w:num w:numId="7">
    <w:abstractNumId w:val="0"/>
  </w:num>
  <w:num w:numId="8">
    <w:abstractNumId w:val="13"/>
  </w:num>
  <w:num w:numId="9">
    <w:abstractNumId w:val="2"/>
  </w:num>
  <w:num w:numId="10">
    <w:abstractNumId w:val="6"/>
  </w:num>
  <w:num w:numId="11">
    <w:abstractNumId w:val="7"/>
  </w:num>
  <w:num w:numId="12">
    <w:abstractNumId w:val="4"/>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A"/>
    <w:rsid w:val="000020CE"/>
    <w:rsid w:val="00006168"/>
    <w:rsid w:val="00006E08"/>
    <w:rsid w:val="00011032"/>
    <w:rsid w:val="00015BAC"/>
    <w:rsid w:val="00027D2E"/>
    <w:rsid w:val="00031A0D"/>
    <w:rsid w:val="00040D0F"/>
    <w:rsid w:val="00041738"/>
    <w:rsid w:val="00041F8C"/>
    <w:rsid w:val="000547E8"/>
    <w:rsid w:val="000736D2"/>
    <w:rsid w:val="000803F3"/>
    <w:rsid w:val="00082E57"/>
    <w:rsid w:val="0009277A"/>
    <w:rsid w:val="00094143"/>
    <w:rsid w:val="00095464"/>
    <w:rsid w:val="00095499"/>
    <w:rsid w:val="000A48F1"/>
    <w:rsid w:val="000A77BA"/>
    <w:rsid w:val="000B05E8"/>
    <w:rsid w:val="000B6929"/>
    <w:rsid w:val="000C3C4D"/>
    <w:rsid w:val="000C6C9F"/>
    <w:rsid w:val="000C799B"/>
    <w:rsid w:val="000E4A6E"/>
    <w:rsid w:val="000F2709"/>
    <w:rsid w:val="000F667C"/>
    <w:rsid w:val="000F7662"/>
    <w:rsid w:val="00104F33"/>
    <w:rsid w:val="00110109"/>
    <w:rsid w:val="001128E4"/>
    <w:rsid w:val="00115281"/>
    <w:rsid w:val="001170DC"/>
    <w:rsid w:val="00123DA3"/>
    <w:rsid w:val="0013381C"/>
    <w:rsid w:val="00135A62"/>
    <w:rsid w:val="00137300"/>
    <w:rsid w:val="00140131"/>
    <w:rsid w:val="0014056A"/>
    <w:rsid w:val="00154945"/>
    <w:rsid w:val="001561A6"/>
    <w:rsid w:val="00167EDD"/>
    <w:rsid w:val="001774D6"/>
    <w:rsid w:val="00180F4F"/>
    <w:rsid w:val="001853FA"/>
    <w:rsid w:val="00186655"/>
    <w:rsid w:val="00191C93"/>
    <w:rsid w:val="00197FEE"/>
    <w:rsid w:val="001A7834"/>
    <w:rsid w:val="001B08C7"/>
    <w:rsid w:val="001C1FFE"/>
    <w:rsid w:val="001D18E5"/>
    <w:rsid w:val="001E498A"/>
    <w:rsid w:val="001E49E0"/>
    <w:rsid w:val="001E5084"/>
    <w:rsid w:val="00203897"/>
    <w:rsid w:val="0021066A"/>
    <w:rsid w:val="00212B38"/>
    <w:rsid w:val="00221C8F"/>
    <w:rsid w:val="002233D7"/>
    <w:rsid w:val="002234A3"/>
    <w:rsid w:val="00224E45"/>
    <w:rsid w:val="00244F05"/>
    <w:rsid w:val="00245881"/>
    <w:rsid w:val="00246459"/>
    <w:rsid w:val="0025111C"/>
    <w:rsid w:val="00260D3E"/>
    <w:rsid w:val="00271A50"/>
    <w:rsid w:val="00274094"/>
    <w:rsid w:val="00274227"/>
    <w:rsid w:val="00275681"/>
    <w:rsid w:val="00280E3C"/>
    <w:rsid w:val="002816DA"/>
    <w:rsid w:val="00281708"/>
    <w:rsid w:val="00283E2C"/>
    <w:rsid w:val="002A4FD3"/>
    <w:rsid w:val="002A5248"/>
    <w:rsid w:val="002B1833"/>
    <w:rsid w:val="002C36D0"/>
    <w:rsid w:val="002C56BE"/>
    <w:rsid w:val="002D1B05"/>
    <w:rsid w:val="002D3295"/>
    <w:rsid w:val="002E101A"/>
    <w:rsid w:val="002E7BEA"/>
    <w:rsid w:val="002F0A3B"/>
    <w:rsid w:val="00303063"/>
    <w:rsid w:val="00304172"/>
    <w:rsid w:val="00311BB8"/>
    <w:rsid w:val="0031496F"/>
    <w:rsid w:val="00321D73"/>
    <w:rsid w:val="0032484C"/>
    <w:rsid w:val="0032730E"/>
    <w:rsid w:val="0033244C"/>
    <w:rsid w:val="00351433"/>
    <w:rsid w:val="00356035"/>
    <w:rsid w:val="00361A84"/>
    <w:rsid w:val="00362C22"/>
    <w:rsid w:val="00365B80"/>
    <w:rsid w:val="00365FB8"/>
    <w:rsid w:val="00367C6B"/>
    <w:rsid w:val="003702DC"/>
    <w:rsid w:val="00373C2A"/>
    <w:rsid w:val="0039376C"/>
    <w:rsid w:val="003A41AA"/>
    <w:rsid w:val="003B61A5"/>
    <w:rsid w:val="003B786E"/>
    <w:rsid w:val="003D1DBC"/>
    <w:rsid w:val="003D7DC9"/>
    <w:rsid w:val="003E107B"/>
    <w:rsid w:val="003E359C"/>
    <w:rsid w:val="003F0AC4"/>
    <w:rsid w:val="003F374C"/>
    <w:rsid w:val="003F4548"/>
    <w:rsid w:val="003F5627"/>
    <w:rsid w:val="003F5C4F"/>
    <w:rsid w:val="004036AF"/>
    <w:rsid w:val="0040486B"/>
    <w:rsid w:val="00405B40"/>
    <w:rsid w:val="00415428"/>
    <w:rsid w:val="00416CE6"/>
    <w:rsid w:val="004255D5"/>
    <w:rsid w:val="00431B59"/>
    <w:rsid w:val="004371B1"/>
    <w:rsid w:val="004378FA"/>
    <w:rsid w:val="00442F27"/>
    <w:rsid w:val="00452C99"/>
    <w:rsid w:val="00456DC8"/>
    <w:rsid w:val="00461F8F"/>
    <w:rsid w:val="00463060"/>
    <w:rsid w:val="004657DD"/>
    <w:rsid w:val="00472C91"/>
    <w:rsid w:val="00474A58"/>
    <w:rsid w:val="00475407"/>
    <w:rsid w:val="00487205"/>
    <w:rsid w:val="00491419"/>
    <w:rsid w:val="00491D47"/>
    <w:rsid w:val="00495050"/>
    <w:rsid w:val="004B7A4F"/>
    <w:rsid w:val="004C1DA8"/>
    <w:rsid w:val="004C6FDC"/>
    <w:rsid w:val="004D1B90"/>
    <w:rsid w:val="004D1D0E"/>
    <w:rsid w:val="004D3F78"/>
    <w:rsid w:val="004D4307"/>
    <w:rsid w:val="004D7296"/>
    <w:rsid w:val="004E1ACB"/>
    <w:rsid w:val="004E1EEB"/>
    <w:rsid w:val="004E41A2"/>
    <w:rsid w:val="004E53E6"/>
    <w:rsid w:val="004F4387"/>
    <w:rsid w:val="005039DF"/>
    <w:rsid w:val="0051007B"/>
    <w:rsid w:val="005136E2"/>
    <w:rsid w:val="00516259"/>
    <w:rsid w:val="00522518"/>
    <w:rsid w:val="00532E24"/>
    <w:rsid w:val="00544B76"/>
    <w:rsid w:val="00555AF3"/>
    <w:rsid w:val="00556998"/>
    <w:rsid w:val="00564BD6"/>
    <w:rsid w:val="00565545"/>
    <w:rsid w:val="00594658"/>
    <w:rsid w:val="0059663B"/>
    <w:rsid w:val="005A1900"/>
    <w:rsid w:val="005A61B1"/>
    <w:rsid w:val="005B5306"/>
    <w:rsid w:val="005B653D"/>
    <w:rsid w:val="005B717E"/>
    <w:rsid w:val="005C056E"/>
    <w:rsid w:val="005C2BD6"/>
    <w:rsid w:val="005C60B3"/>
    <w:rsid w:val="005C723F"/>
    <w:rsid w:val="005D168F"/>
    <w:rsid w:val="005E6F3B"/>
    <w:rsid w:val="005E70F8"/>
    <w:rsid w:val="006014E5"/>
    <w:rsid w:val="00607637"/>
    <w:rsid w:val="00621DD8"/>
    <w:rsid w:val="00621F11"/>
    <w:rsid w:val="006235D8"/>
    <w:rsid w:val="00623EE1"/>
    <w:rsid w:val="00636A98"/>
    <w:rsid w:val="00637C32"/>
    <w:rsid w:val="00641451"/>
    <w:rsid w:val="00642332"/>
    <w:rsid w:val="00642B52"/>
    <w:rsid w:val="00645132"/>
    <w:rsid w:val="00650BB1"/>
    <w:rsid w:val="0065282B"/>
    <w:rsid w:val="00665FC0"/>
    <w:rsid w:val="00665FD5"/>
    <w:rsid w:val="00667D5E"/>
    <w:rsid w:val="006738D6"/>
    <w:rsid w:val="00681050"/>
    <w:rsid w:val="006815C8"/>
    <w:rsid w:val="00684BD0"/>
    <w:rsid w:val="006863C7"/>
    <w:rsid w:val="00691233"/>
    <w:rsid w:val="006A2B29"/>
    <w:rsid w:val="006B78A9"/>
    <w:rsid w:val="006D407E"/>
    <w:rsid w:val="006E211A"/>
    <w:rsid w:val="006E26E8"/>
    <w:rsid w:val="006F68E5"/>
    <w:rsid w:val="00707CF8"/>
    <w:rsid w:val="007202FE"/>
    <w:rsid w:val="007261C1"/>
    <w:rsid w:val="007263C1"/>
    <w:rsid w:val="0072690E"/>
    <w:rsid w:val="007324EE"/>
    <w:rsid w:val="00743A72"/>
    <w:rsid w:val="00743BF2"/>
    <w:rsid w:val="0074737F"/>
    <w:rsid w:val="0076305D"/>
    <w:rsid w:val="00765E1B"/>
    <w:rsid w:val="00774CAC"/>
    <w:rsid w:val="007766A5"/>
    <w:rsid w:val="007776D3"/>
    <w:rsid w:val="007808EF"/>
    <w:rsid w:val="00784E89"/>
    <w:rsid w:val="007900BE"/>
    <w:rsid w:val="007920D1"/>
    <w:rsid w:val="007924B5"/>
    <w:rsid w:val="007A1F40"/>
    <w:rsid w:val="007B6AB2"/>
    <w:rsid w:val="007D0A20"/>
    <w:rsid w:val="007D1747"/>
    <w:rsid w:val="007D20DE"/>
    <w:rsid w:val="007D4E27"/>
    <w:rsid w:val="007F23ED"/>
    <w:rsid w:val="007F28B5"/>
    <w:rsid w:val="00800293"/>
    <w:rsid w:val="00801BA2"/>
    <w:rsid w:val="00806751"/>
    <w:rsid w:val="00811F3F"/>
    <w:rsid w:val="00816E22"/>
    <w:rsid w:val="00820D06"/>
    <w:rsid w:val="00826E59"/>
    <w:rsid w:val="00845F75"/>
    <w:rsid w:val="00867637"/>
    <w:rsid w:val="00874054"/>
    <w:rsid w:val="00874AB3"/>
    <w:rsid w:val="00876A7D"/>
    <w:rsid w:val="00876B74"/>
    <w:rsid w:val="008776C3"/>
    <w:rsid w:val="0088031B"/>
    <w:rsid w:val="00884CCE"/>
    <w:rsid w:val="008971DC"/>
    <w:rsid w:val="008A7E6A"/>
    <w:rsid w:val="008B13FD"/>
    <w:rsid w:val="008B1F29"/>
    <w:rsid w:val="008B2A2F"/>
    <w:rsid w:val="008C0601"/>
    <w:rsid w:val="008C2E79"/>
    <w:rsid w:val="008E208E"/>
    <w:rsid w:val="008E394B"/>
    <w:rsid w:val="008E57E1"/>
    <w:rsid w:val="008E723B"/>
    <w:rsid w:val="008E748E"/>
    <w:rsid w:val="00903E1C"/>
    <w:rsid w:val="00906756"/>
    <w:rsid w:val="009076C4"/>
    <w:rsid w:val="00913FE8"/>
    <w:rsid w:val="009144C9"/>
    <w:rsid w:val="00917AD7"/>
    <w:rsid w:val="009503FB"/>
    <w:rsid w:val="009557C4"/>
    <w:rsid w:val="009562B2"/>
    <w:rsid w:val="00963E42"/>
    <w:rsid w:val="00964A68"/>
    <w:rsid w:val="00965BE4"/>
    <w:rsid w:val="009711AE"/>
    <w:rsid w:val="00974A4B"/>
    <w:rsid w:val="009750A2"/>
    <w:rsid w:val="009841A5"/>
    <w:rsid w:val="00997587"/>
    <w:rsid w:val="009A0240"/>
    <w:rsid w:val="009A40F3"/>
    <w:rsid w:val="009B72FA"/>
    <w:rsid w:val="009C3A08"/>
    <w:rsid w:val="009D26DE"/>
    <w:rsid w:val="009D622B"/>
    <w:rsid w:val="009D64A6"/>
    <w:rsid w:val="009E2FF0"/>
    <w:rsid w:val="009E4353"/>
    <w:rsid w:val="009E5AE6"/>
    <w:rsid w:val="009F0F2B"/>
    <w:rsid w:val="009F5F31"/>
    <w:rsid w:val="00A00329"/>
    <w:rsid w:val="00A007A7"/>
    <w:rsid w:val="00A038CD"/>
    <w:rsid w:val="00A16415"/>
    <w:rsid w:val="00A176AB"/>
    <w:rsid w:val="00A22CBD"/>
    <w:rsid w:val="00A23DE4"/>
    <w:rsid w:val="00A241FE"/>
    <w:rsid w:val="00A24B5E"/>
    <w:rsid w:val="00A27796"/>
    <w:rsid w:val="00A27B07"/>
    <w:rsid w:val="00A42164"/>
    <w:rsid w:val="00A4633E"/>
    <w:rsid w:val="00A46437"/>
    <w:rsid w:val="00A6530B"/>
    <w:rsid w:val="00A6767F"/>
    <w:rsid w:val="00A71702"/>
    <w:rsid w:val="00A72DF4"/>
    <w:rsid w:val="00A74B93"/>
    <w:rsid w:val="00A82FCE"/>
    <w:rsid w:val="00A93A97"/>
    <w:rsid w:val="00AA2EF8"/>
    <w:rsid w:val="00AA525F"/>
    <w:rsid w:val="00AB326B"/>
    <w:rsid w:val="00AC24CA"/>
    <w:rsid w:val="00AC27DA"/>
    <w:rsid w:val="00AC2C3C"/>
    <w:rsid w:val="00AC4DD9"/>
    <w:rsid w:val="00AE51D1"/>
    <w:rsid w:val="00B001A7"/>
    <w:rsid w:val="00B02598"/>
    <w:rsid w:val="00B07D37"/>
    <w:rsid w:val="00B12BE7"/>
    <w:rsid w:val="00B16F19"/>
    <w:rsid w:val="00B2451D"/>
    <w:rsid w:val="00B314D6"/>
    <w:rsid w:val="00B370CE"/>
    <w:rsid w:val="00B41CF3"/>
    <w:rsid w:val="00B436DB"/>
    <w:rsid w:val="00B5025C"/>
    <w:rsid w:val="00B50A17"/>
    <w:rsid w:val="00B544EC"/>
    <w:rsid w:val="00B725F2"/>
    <w:rsid w:val="00B72874"/>
    <w:rsid w:val="00B72F94"/>
    <w:rsid w:val="00B73213"/>
    <w:rsid w:val="00B90457"/>
    <w:rsid w:val="00B90BDC"/>
    <w:rsid w:val="00BA244B"/>
    <w:rsid w:val="00BA2C82"/>
    <w:rsid w:val="00BA36E3"/>
    <w:rsid w:val="00BA4AD6"/>
    <w:rsid w:val="00BA7282"/>
    <w:rsid w:val="00BB5D7D"/>
    <w:rsid w:val="00BD47F3"/>
    <w:rsid w:val="00BD5D54"/>
    <w:rsid w:val="00BE3181"/>
    <w:rsid w:val="00BE5ACC"/>
    <w:rsid w:val="00BE5C21"/>
    <w:rsid w:val="00BE7B49"/>
    <w:rsid w:val="00BF0CF3"/>
    <w:rsid w:val="00C05522"/>
    <w:rsid w:val="00C059D1"/>
    <w:rsid w:val="00C1033D"/>
    <w:rsid w:val="00C208B7"/>
    <w:rsid w:val="00C279E0"/>
    <w:rsid w:val="00C35AE5"/>
    <w:rsid w:val="00C35E74"/>
    <w:rsid w:val="00C55901"/>
    <w:rsid w:val="00C565D3"/>
    <w:rsid w:val="00C675F4"/>
    <w:rsid w:val="00C735E3"/>
    <w:rsid w:val="00C9735B"/>
    <w:rsid w:val="00CB1629"/>
    <w:rsid w:val="00CB4BB8"/>
    <w:rsid w:val="00CB5F98"/>
    <w:rsid w:val="00CC407F"/>
    <w:rsid w:val="00CC43BB"/>
    <w:rsid w:val="00CC50E9"/>
    <w:rsid w:val="00CC79A8"/>
    <w:rsid w:val="00CD4E2F"/>
    <w:rsid w:val="00CD56DE"/>
    <w:rsid w:val="00CE1C10"/>
    <w:rsid w:val="00CE1F36"/>
    <w:rsid w:val="00CE5310"/>
    <w:rsid w:val="00D000ED"/>
    <w:rsid w:val="00D114FA"/>
    <w:rsid w:val="00D1551E"/>
    <w:rsid w:val="00D227A4"/>
    <w:rsid w:val="00D25D69"/>
    <w:rsid w:val="00D2687B"/>
    <w:rsid w:val="00D37E9F"/>
    <w:rsid w:val="00D46761"/>
    <w:rsid w:val="00D46F58"/>
    <w:rsid w:val="00D476E0"/>
    <w:rsid w:val="00D555D2"/>
    <w:rsid w:val="00D55B2C"/>
    <w:rsid w:val="00D56495"/>
    <w:rsid w:val="00D67B82"/>
    <w:rsid w:val="00D73CA0"/>
    <w:rsid w:val="00D84C85"/>
    <w:rsid w:val="00D90182"/>
    <w:rsid w:val="00D95F55"/>
    <w:rsid w:val="00DA002A"/>
    <w:rsid w:val="00DA4214"/>
    <w:rsid w:val="00DB37AC"/>
    <w:rsid w:val="00DC0005"/>
    <w:rsid w:val="00DC12AE"/>
    <w:rsid w:val="00DD2F4C"/>
    <w:rsid w:val="00DD3020"/>
    <w:rsid w:val="00DD31F9"/>
    <w:rsid w:val="00DD40FA"/>
    <w:rsid w:val="00DE0B4A"/>
    <w:rsid w:val="00DE2622"/>
    <w:rsid w:val="00DE2DE4"/>
    <w:rsid w:val="00DE5DC9"/>
    <w:rsid w:val="00DE6B62"/>
    <w:rsid w:val="00DE7261"/>
    <w:rsid w:val="00E05A6D"/>
    <w:rsid w:val="00E066D9"/>
    <w:rsid w:val="00E1281D"/>
    <w:rsid w:val="00E30663"/>
    <w:rsid w:val="00E3156A"/>
    <w:rsid w:val="00E34990"/>
    <w:rsid w:val="00E37496"/>
    <w:rsid w:val="00E5301D"/>
    <w:rsid w:val="00E57309"/>
    <w:rsid w:val="00E61DD6"/>
    <w:rsid w:val="00E71374"/>
    <w:rsid w:val="00E76C2D"/>
    <w:rsid w:val="00E82FA9"/>
    <w:rsid w:val="00E85008"/>
    <w:rsid w:val="00E85019"/>
    <w:rsid w:val="00E93A9C"/>
    <w:rsid w:val="00E956B6"/>
    <w:rsid w:val="00EA3DED"/>
    <w:rsid w:val="00EB16CE"/>
    <w:rsid w:val="00EB5A27"/>
    <w:rsid w:val="00EC01DB"/>
    <w:rsid w:val="00EC1109"/>
    <w:rsid w:val="00EC452D"/>
    <w:rsid w:val="00EC4DC3"/>
    <w:rsid w:val="00EC556D"/>
    <w:rsid w:val="00EC7ECF"/>
    <w:rsid w:val="00ED1414"/>
    <w:rsid w:val="00ED3043"/>
    <w:rsid w:val="00ED335E"/>
    <w:rsid w:val="00EE615A"/>
    <w:rsid w:val="00F01D97"/>
    <w:rsid w:val="00F06EFE"/>
    <w:rsid w:val="00F152E3"/>
    <w:rsid w:val="00F243B5"/>
    <w:rsid w:val="00F34BDD"/>
    <w:rsid w:val="00F37DAD"/>
    <w:rsid w:val="00F4587E"/>
    <w:rsid w:val="00F557FB"/>
    <w:rsid w:val="00F73291"/>
    <w:rsid w:val="00F750C4"/>
    <w:rsid w:val="00F825B1"/>
    <w:rsid w:val="00F956CE"/>
    <w:rsid w:val="00FA17E2"/>
    <w:rsid w:val="00FA2B77"/>
    <w:rsid w:val="00FA5076"/>
    <w:rsid w:val="00FB1165"/>
    <w:rsid w:val="00FB47DC"/>
    <w:rsid w:val="00FC4BF5"/>
    <w:rsid w:val="00FC70F3"/>
    <w:rsid w:val="00FF2C21"/>
    <w:rsid w:val="05C3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link w:val="14"/>
    <w:qFormat/>
    <w:uiPriority w:val="34"/>
    <w:pPr>
      <w:ind w:firstLine="420" w:firstLineChars="200"/>
    </w:pPr>
  </w:style>
  <w:style w:type="character" w:customStyle="1" w:styleId="10">
    <w:name w:val="批注框文本 Char"/>
    <w:basedOn w:val="7"/>
    <w:link w:val="2"/>
    <w:semiHidden/>
    <w:uiPriority w:val="99"/>
    <w:rPr>
      <w:sz w:val="18"/>
      <w:szCs w:val="18"/>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1"/>
    <w:basedOn w:val="1"/>
    <w:next w:val="9"/>
    <w:link w:val="15"/>
    <w:qFormat/>
    <w:uiPriority w:val="0"/>
    <w:pPr>
      <w:numPr>
        <w:ilvl w:val="0"/>
        <w:numId w:val="1"/>
      </w:numPr>
      <w:snapToGrid w:val="0"/>
    </w:pPr>
    <w:rPr>
      <w:rFonts w:ascii="Arial" w:hAnsi="Arial" w:eastAsia="宋体" w:cs="Arial"/>
      <w:b/>
      <w:szCs w:val="21"/>
      <w:u w:val="single"/>
    </w:rPr>
  </w:style>
  <w:style w:type="character" w:customStyle="1" w:styleId="14">
    <w:name w:val="列出段落 Char"/>
    <w:basedOn w:val="7"/>
    <w:link w:val="9"/>
    <w:qFormat/>
    <w:uiPriority w:val="34"/>
  </w:style>
  <w:style w:type="character" w:customStyle="1" w:styleId="15">
    <w:name w:val="1 Char"/>
    <w:basedOn w:val="14"/>
    <w:link w:val="13"/>
    <w:qFormat/>
    <w:uiPriority w:val="0"/>
    <w:rPr>
      <w:rFonts w:ascii="Arial" w:hAnsi="Arial" w:eastAsia="宋体" w:cs="Arial"/>
      <w:b/>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31F3F-DEEB-4D4B-940A-A6AD71DF31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13115</Words>
  <Characters>15564</Characters>
  <Lines>124</Lines>
  <Paragraphs>34</Paragraphs>
  <TotalTime>0</TotalTime>
  <ScaleCrop>false</ScaleCrop>
  <LinksUpToDate>false</LinksUpToDate>
  <CharactersWithSpaces>16203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2017-03-28T09:55:00Z</dcterms:created>
  <dc:creator>Guozhen Liu</dc:creator>
  <cp:lastModifiedBy>太极箫客</cp:lastModifiedBy>
  <dcterms:modified xsi:type="dcterms:W3CDTF">2025-08-14T06:15:33Z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FBA20FB93310412CB595491CF766AE64_12</vt:lpwstr>
  </property>
</Properties>
</file>