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5CDC3">
      <w:pPr>
        <w:snapToGrid w:val="0"/>
        <w:spacing w:line="360" w:lineRule="auto"/>
        <w:rPr>
          <w:rFonts w:ascii="Arial" w:hAnsi="Arial" w:eastAsia="宋体" w:cs="Arial"/>
        </w:rPr>
      </w:pPr>
      <w:bookmarkStart w:id="88" w:name="_GoBack"/>
      <w:bookmarkEnd w:id="88"/>
    </w:p>
    <w:p w14:paraId="546CE2A2">
      <w:pPr>
        <w:snapToGrid w:val="0"/>
        <w:spacing w:line="360" w:lineRule="auto"/>
        <w:rPr>
          <w:rFonts w:ascii="Arial" w:hAnsi="Arial" w:eastAsia="宋体" w:cs="Arial"/>
        </w:rPr>
      </w:pPr>
    </w:p>
    <w:p w14:paraId="4203DDDE">
      <w:pPr>
        <w:snapToGrid w:val="0"/>
        <w:spacing w:line="360" w:lineRule="auto"/>
        <w:rPr>
          <w:rFonts w:ascii="Arial" w:hAnsi="Arial" w:eastAsia="宋体" w:cs="Arial"/>
        </w:rPr>
      </w:pPr>
    </w:p>
    <w:p w14:paraId="7A0D995A">
      <w:pPr>
        <w:snapToGrid w:val="0"/>
        <w:spacing w:line="360" w:lineRule="auto"/>
        <w:rPr>
          <w:rFonts w:ascii="Arial" w:hAnsi="Arial" w:eastAsia="宋体" w:cs="Arial"/>
        </w:rPr>
      </w:pPr>
    </w:p>
    <w:p w14:paraId="64F4944B">
      <w:pPr>
        <w:snapToGrid w:val="0"/>
        <w:spacing w:line="360" w:lineRule="auto"/>
        <w:rPr>
          <w:rFonts w:ascii="Arial" w:hAnsi="Arial" w:eastAsia="宋体" w:cs="Arial"/>
        </w:rPr>
      </w:pPr>
    </w:p>
    <w:p w14:paraId="4FB761F4">
      <w:pPr>
        <w:snapToGrid w:val="0"/>
        <w:spacing w:line="360" w:lineRule="auto"/>
        <w:rPr>
          <w:rFonts w:ascii="Arial" w:hAnsi="Arial" w:eastAsia="宋体" w:cs="Arial"/>
        </w:rPr>
      </w:pPr>
    </w:p>
    <w:p w14:paraId="042799C2">
      <w:pPr>
        <w:snapToGrid w:val="0"/>
        <w:spacing w:line="360" w:lineRule="auto"/>
        <w:rPr>
          <w:rFonts w:ascii="Arial" w:hAnsi="Arial" w:eastAsia="宋体" w:cs="Arial"/>
        </w:rPr>
      </w:pPr>
    </w:p>
    <w:p w14:paraId="23CB9A97">
      <w:pPr>
        <w:snapToGrid w:val="0"/>
        <w:spacing w:line="360" w:lineRule="auto"/>
        <w:rPr>
          <w:rFonts w:ascii="Arial" w:hAnsi="Arial" w:eastAsia="宋体" w:cs="Arial"/>
        </w:rPr>
      </w:pPr>
    </w:p>
    <w:p w14:paraId="7747EE48">
      <w:pPr>
        <w:snapToGrid w:val="0"/>
        <w:spacing w:line="360" w:lineRule="auto"/>
        <w:rPr>
          <w:rFonts w:ascii="Arial" w:hAnsi="Arial" w:eastAsia="宋体" w:cs="Arial"/>
        </w:rPr>
      </w:pPr>
    </w:p>
    <w:p w14:paraId="713FE16E">
      <w:pPr>
        <w:snapToGrid w:val="0"/>
        <w:spacing w:line="360" w:lineRule="auto"/>
        <w:rPr>
          <w:rFonts w:ascii="Arial" w:hAnsi="Arial" w:eastAsia="宋体" w:cs="Arial"/>
        </w:rPr>
      </w:pPr>
    </w:p>
    <w:p w14:paraId="14E900C1">
      <w:pPr>
        <w:snapToGrid w:val="0"/>
        <w:spacing w:line="360" w:lineRule="auto"/>
        <w:rPr>
          <w:rFonts w:ascii="Arial" w:hAnsi="Arial" w:eastAsia="宋体" w:cs="Arial"/>
        </w:rPr>
      </w:pPr>
    </w:p>
    <w:p w14:paraId="0B7433B8">
      <w:pPr>
        <w:snapToGrid w:val="0"/>
        <w:spacing w:line="360" w:lineRule="auto"/>
        <w:rPr>
          <w:rFonts w:ascii="Arial" w:hAnsi="Arial" w:eastAsia="宋体" w:cs="Arial"/>
        </w:rPr>
      </w:pPr>
    </w:p>
    <w:p w14:paraId="6B0E2142">
      <w:pPr>
        <w:snapToGrid w:val="0"/>
        <w:spacing w:line="360" w:lineRule="auto"/>
        <w:rPr>
          <w:rFonts w:ascii="Arial" w:hAnsi="Arial" w:eastAsia="宋体" w:cs="Arial"/>
        </w:rPr>
      </w:pPr>
    </w:p>
    <w:p w14:paraId="565E05B5">
      <w:pPr>
        <w:snapToGrid w:val="0"/>
        <w:spacing w:line="360" w:lineRule="auto"/>
        <w:rPr>
          <w:rFonts w:ascii="Arial" w:hAnsi="Arial" w:eastAsia="宋体" w:cs="Arial"/>
        </w:rPr>
      </w:pPr>
    </w:p>
    <w:p w14:paraId="2B62E031">
      <w:pPr>
        <w:snapToGrid w:val="0"/>
        <w:spacing w:line="360" w:lineRule="auto"/>
        <w:rPr>
          <w:rFonts w:ascii="Arial" w:hAnsi="Arial" w:eastAsia="宋体" w:cs="Arial"/>
        </w:rPr>
      </w:pPr>
    </w:p>
    <w:p w14:paraId="6F13B2E8">
      <w:pPr>
        <w:snapToGrid w:val="0"/>
        <w:spacing w:line="360" w:lineRule="auto"/>
        <w:rPr>
          <w:rFonts w:ascii="Arial" w:hAnsi="Arial" w:eastAsia="宋体" w:cs="Arial"/>
        </w:rPr>
      </w:pPr>
    </w:p>
    <w:p w14:paraId="3D8680CB">
      <w:pPr>
        <w:snapToGrid w:val="0"/>
        <w:spacing w:line="360" w:lineRule="auto"/>
        <w:rPr>
          <w:rFonts w:ascii="Arial" w:hAnsi="Arial" w:eastAsia="宋体" w:cs="Arial"/>
        </w:rPr>
      </w:pPr>
    </w:p>
    <w:p w14:paraId="1C755C58">
      <w:pPr>
        <w:snapToGrid w:val="0"/>
        <w:spacing w:line="360" w:lineRule="auto"/>
        <w:rPr>
          <w:rFonts w:ascii="Arial" w:hAnsi="Arial" w:eastAsia="宋体" w:cs="Arial"/>
        </w:rPr>
      </w:pPr>
    </w:p>
    <w:p w14:paraId="558B3D12">
      <w:pPr>
        <w:snapToGrid w:val="0"/>
        <w:spacing w:line="360" w:lineRule="auto"/>
        <w:rPr>
          <w:rFonts w:ascii="Arial" w:hAnsi="Arial" w:eastAsia="宋体" w:cs="Arial"/>
        </w:rPr>
      </w:pPr>
      <w:r>
        <w:rPr>
          <w:rFonts w:hint="eastAsia" w:ascii="Arial" w:hAnsi="Arial" w:eastAsia="宋体" w:cs="Arial"/>
        </w:rPr>
        <w:t>本指南编写于</w:t>
      </w:r>
      <w:r>
        <w:rPr>
          <w:rFonts w:ascii="Arial" w:hAnsi="Arial" w:eastAsia="宋体" w:cs="Arial"/>
        </w:rPr>
        <w:t>1997</w:t>
      </w:r>
      <w:r>
        <w:rPr>
          <w:rFonts w:hint="eastAsia" w:ascii="Arial" w:hAnsi="Arial" w:eastAsia="宋体" w:cs="Arial"/>
        </w:rPr>
        <w:t>年</w:t>
      </w:r>
      <w:r>
        <w:rPr>
          <w:rFonts w:ascii="Arial" w:hAnsi="Arial" w:eastAsia="宋体" w:cs="Arial"/>
        </w:rPr>
        <w:t>2</w:t>
      </w:r>
      <w:r>
        <w:rPr>
          <w:rFonts w:hint="eastAsia" w:ascii="Arial" w:hAnsi="Arial" w:eastAsia="宋体" w:cs="Arial"/>
        </w:rPr>
        <w:t>月</w:t>
      </w:r>
      <w:r>
        <w:rPr>
          <w:rFonts w:ascii="Arial" w:hAnsi="Arial" w:eastAsia="宋体" w:cs="Arial"/>
        </w:rPr>
        <w:t>27</w:t>
      </w:r>
      <w:r>
        <w:rPr>
          <w:rFonts w:hint="eastAsia" w:ascii="Arial" w:hAnsi="Arial" w:eastAsia="宋体" w:cs="Arial"/>
        </w:rPr>
        <w:t>日实施</w:t>
      </w:r>
      <w:r>
        <w:rPr>
          <w:rFonts w:ascii="Arial" w:hAnsi="Arial" w:eastAsia="宋体" w:cs="Arial"/>
        </w:rPr>
        <w:t>FDA</w:t>
      </w:r>
      <w:r>
        <w:rPr>
          <w:rFonts w:hint="eastAsia" w:ascii="Arial" w:hAnsi="Arial" w:eastAsia="宋体" w:cs="Arial"/>
        </w:rPr>
        <w:t>的良好指导规范（</w:t>
      </w:r>
      <w:r>
        <w:rPr>
          <w:rFonts w:ascii="Arial" w:hAnsi="Arial" w:eastAsia="宋体" w:cs="Arial"/>
        </w:rPr>
        <w:t>GGP</w:t>
      </w:r>
      <w:r>
        <w:rPr>
          <w:rFonts w:hint="eastAsia" w:ascii="Arial" w:hAnsi="Arial" w:eastAsia="宋体" w:cs="Arial"/>
        </w:rPr>
        <w:t>）之前。其不为任何人创造或赋予任何权利，也不会对</w:t>
      </w:r>
      <w:r>
        <w:rPr>
          <w:rFonts w:ascii="Arial" w:hAnsi="Arial" w:eastAsia="宋体" w:cs="Arial"/>
        </w:rPr>
        <w:t>FDA</w:t>
      </w:r>
      <w:r>
        <w:rPr>
          <w:rFonts w:hint="eastAsia" w:ascii="Arial" w:hAnsi="Arial" w:eastAsia="宋体" w:cs="Arial"/>
        </w:rPr>
        <w:t>或公众产生约束力。如果此方法满足适用的法规，规程或两者的要求，则可使用其他方法。本指南应在下一版本中更新以包含</w:t>
      </w:r>
      <w:r>
        <w:rPr>
          <w:rFonts w:ascii="Arial" w:hAnsi="Arial" w:eastAsia="宋体" w:cs="Arial"/>
        </w:rPr>
        <w:t>GGP</w:t>
      </w:r>
      <w:r>
        <w:rPr>
          <w:rFonts w:hint="eastAsia" w:ascii="Arial" w:hAnsi="Arial" w:eastAsia="宋体" w:cs="Arial"/>
        </w:rPr>
        <w:t>的标准要素。</w:t>
      </w:r>
    </w:p>
    <w:p w14:paraId="112E37BB">
      <w:pPr>
        <w:snapToGrid w:val="0"/>
        <w:spacing w:line="360" w:lineRule="auto"/>
        <w:rPr>
          <w:rFonts w:ascii="Arial" w:hAnsi="Arial" w:eastAsia="宋体" w:cs="Arial"/>
        </w:rPr>
      </w:pPr>
    </w:p>
    <w:p w14:paraId="76F9BFA7">
      <w:pPr>
        <w:widowControl/>
        <w:spacing w:line="360" w:lineRule="auto"/>
        <w:jc w:val="left"/>
        <w:rPr>
          <w:rFonts w:ascii="Arial" w:hAnsi="Arial" w:eastAsia="宋体" w:cs="Arial"/>
        </w:rPr>
      </w:pPr>
      <w:r>
        <w:rPr>
          <w:rFonts w:ascii="Arial" w:hAnsi="Arial" w:eastAsia="宋体" w:cs="Arial"/>
        </w:rPr>
        <w:br w:type="page"/>
      </w:r>
    </w:p>
    <w:p w14:paraId="597AFF2D">
      <w:pPr>
        <w:spacing w:line="360" w:lineRule="auto"/>
        <w:jc w:val="center"/>
        <w:rPr>
          <w:rFonts w:ascii="Arial" w:hAnsi="Arial" w:eastAsia="宋体" w:cs="Arial"/>
          <w:b/>
          <w:sz w:val="28"/>
          <w:szCs w:val="28"/>
        </w:rPr>
      </w:pPr>
      <w:r>
        <w:rPr>
          <w:rFonts w:ascii="Arial" w:hAnsi="Arial" w:eastAsia="宋体" w:cs="Arial"/>
          <w:b/>
          <w:sz w:val="28"/>
          <w:szCs w:val="28"/>
        </w:rPr>
        <w:t>准分子</w:t>
      </w:r>
      <w:bookmarkStart w:id="0" w:name="OLE_LINK4"/>
      <w:bookmarkStart w:id="1" w:name="OLE_LINK3"/>
      <w:r>
        <w:rPr>
          <w:rFonts w:ascii="Arial" w:hAnsi="Arial" w:eastAsia="宋体" w:cs="Arial"/>
          <w:b/>
          <w:sz w:val="28"/>
          <w:szCs w:val="28"/>
        </w:rPr>
        <w:t>激光屈光手术器械临床试验豁免通常提交的信息审查清单</w:t>
      </w:r>
      <w:bookmarkEnd w:id="0"/>
      <w:bookmarkEnd w:id="1"/>
    </w:p>
    <w:p w14:paraId="203A6789">
      <w:pPr>
        <w:snapToGrid w:val="0"/>
        <w:spacing w:before="312" w:beforeLines="100" w:line="360" w:lineRule="auto"/>
        <w:jc w:val="center"/>
        <w:rPr>
          <w:rFonts w:ascii="Arial" w:hAnsi="Arial" w:eastAsia="宋体" w:cs="Arial"/>
          <w:b/>
        </w:rPr>
      </w:pPr>
      <w:r>
        <w:rPr>
          <w:rFonts w:hint="eastAsia" w:ascii="Arial" w:hAnsi="Arial" w:eastAsia="宋体" w:cs="Arial"/>
          <w:b/>
        </w:rPr>
        <w:t>本文件旨在为编写监管意见提供指导。它不以任何方式约束</w:t>
      </w:r>
      <w:r>
        <w:rPr>
          <w:rFonts w:ascii="Arial" w:hAnsi="Arial" w:eastAsia="宋体" w:cs="Arial"/>
          <w:b/>
        </w:rPr>
        <w:t>FDA</w:t>
      </w:r>
      <w:r>
        <w:rPr>
          <w:rFonts w:hint="eastAsia" w:ascii="Arial" w:hAnsi="Arial" w:eastAsia="宋体" w:cs="Arial"/>
          <w:b/>
        </w:rPr>
        <w:t>或受限制的行业。</w:t>
      </w:r>
      <w:r>
        <w:rPr>
          <w:rFonts w:ascii="Arial" w:hAnsi="Arial" w:eastAsia="宋体" w:cs="Arial"/>
          <w:b/>
        </w:rPr>
        <w:br w:type="textWrapping"/>
      </w:r>
    </w:p>
    <w:p w14:paraId="6CF931A3">
      <w:pPr>
        <w:snapToGrid w:val="0"/>
        <w:spacing w:line="360" w:lineRule="auto"/>
        <w:jc w:val="center"/>
        <w:rPr>
          <w:rFonts w:ascii="Arial" w:hAnsi="Arial" w:eastAsia="宋体" w:cs="Arial"/>
        </w:rPr>
      </w:pPr>
      <w:r>
        <w:rPr>
          <w:rFonts w:hint="eastAsia" w:ascii="Arial" w:hAnsi="Arial" w:eastAsia="宋体" w:cs="Arial"/>
        </w:rPr>
        <w:t>诊断和外科器械科</w:t>
      </w:r>
    </w:p>
    <w:p w14:paraId="40F2DA8A">
      <w:pPr>
        <w:snapToGrid w:val="0"/>
        <w:spacing w:line="360" w:lineRule="auto"/>
        <w:jc w:val="center"/>
        <w:rPr>
          <w:rFonts w:ascii="Arial" w:hAnsi="Arial" w:eastAsia="宋体" w:cs="Arial"/>
        </w:rPr>
      </w:pPr>
      <w:r>
        <w:rPr>
          <w:rFonts w:hint="eastAsia" w:ascii="Arial" w:hAnsi="Arial" w:eastAsia="宋体" w:cs="Arial"/>
        </w:rPr>
        <w:t>眼科器械司</w:t>
      </w:r>
    </w:p>
    <w:p w14:paraId="4C4079FD">
      <w:pPr>
        <w:snapToGrid w:val="0"/>
        <w:spacing w:line="360" w:lineRule="auto"/>
        <w:jc w:val="center"/>
        <w:rPr>
          <w:rFonts w:ascii="Arial" w:hAnsi="Arial" w:eastAsia="宋体" w:cs="Arial"/>
        </w:rPr>
      </w:pPr>
      <w:r>
        <w:rPr>
          <w:rFonts w:hint="eastAsia" w:ascii="Arial" w:hAnsi="Arial" w:eastAsia="宋体" w:cs="Arial"/>
        </w:rPr>
        <w:t>器械评估办公室</w:t>
      </w:r>
    </w:p>
    <w:p w14:paraId="2C38A3E6">
      <w:pPr>
        <w:snapToGrid w:val="0"/>
        <w:spacing w:line="360" w:lineRule="auto"/>
        <w:ind w:firstLine="420" w:firstLineChars="200"/>
        <w:rPr>
          <w:rFonts w:ascii="Arial" w:hAnsi="Arial" w:eastAsia="宋体" w:cs="Arial"/>
        </w:rPr>
      </w:pPr>
    </w:p>
    <w:p w14:paraId="0F866050">
      <w:pPr>
        <w:snapToGrid w:val="0"/>
        <w:spacing w:line="360" w:lineRule="auto"/>
        <w:rPr>
          <w:rFonts w:ascii="Arial" w:hAnsi="Arial" w:eastAsia="宋体" w:cs="Arial"/>
        </w:rPr>
      </w:pPr>
      <w:r>
        <w:rPr>
          <w:rFonts w:hint="eastAsia" w:ascii="Arial" w:hAnsi="Arial" w:eastAsia="宋体" w:cs="Arial"/>
        </w:rPr>
        <w:t>文件发布于：</w:t>
      </w:r>
      <w:r>
        <w:rPr>
          <w:rFonts w:ascii="Arial" w:hAnsi="Arial" w:eastAsia="宋体" w:cs="Arial"/>
        </w:rPr>
        <w:t>1996</w:t>
      </w:r>
      <w:r>
        <w:rPr>
          <w:rFonts w:hint="eastAsia" w:ascii="Arial" w:hAnsi="Arial" w:eastAsia="宋体" w:cs="Arial"/>
        </w:rPr>
        <w:t>年</w:t>
      </w:r>
      <w:r>
        <w:rPr>
          <w:rFonts w:ascii="Arial" w:hAnsi="Arial" w:eastAsia="宋体" w:cs="Arial"/>
        </w:rPr>
        <w:t>10</w:t>
      </w:r>
      <w:r>
        <w:rPr>
          <w:rFonts w:hint="eastAsia" w:ascii="Arial" w:hAnsi="Arial" w:eastAsia="宋体" w:cs="Arial"/>
        </w:rPr>
        <w:t>月</w:t>
      </w:r>
      <w:r>
        <w:rPr>
          <w:rFonts w:ascii="Arial" w:hAnsi="Arial" w:eastAsia="宋体" w:cs="Arial"/>
        </w:rPr>
        <w:t>10</w:t>
      </w:r>
      <w:r>
        <w:rPr>
          <w:rFonts w:hint="eastAsia" w:ascii="Arial" w:hAnsi="Arial" w:eastAsia="宋体" w:cs="Arial"/>
        </w:rPr>
        <w:t>日</w:t>
      </w:r>
    </w:p>
    <w:p w14:paraId="21D45567">
      <w:pPr>
        <w:snapToGrid w:val="0"/>
        <w:spacing w:line="360" w:lineRule="auto"/>
        <w:rPr>
          <w:rFonts w:ascii="Arial" w:hAnsi="Arial" w:eastAsia="宋体" w:cs="Arial"/>
        </w:rPr>
      </w:pPr>
    </w:p>
    <w:p w14:paraId="7FC2DE6B">
      <w:pPr>
        <w:snapToGrid w:val="0"/>
        <w:spacing w:line="360" w:lineRule="auto"/>
        <w:rPr>
          <w:rFonts w:ascii="Arial" w:hAnsi="Arial" w:eastAsia="宋体" w:cs="Arial"/>
        </w:rPr>
      </w:pPr>
      <w:r>
        <w:rPr>
          <w:rFonts w:hint="eastAsia" w:ascii="Arial" w:hAnsi="Arial" w:eastAsia="宋体" w:cs="Arial"/>
        </w:rPr>
        <w:t>虽然本指导文件是终稿文件，但可以随时提交意见和建议，写信至</w:t>
      </w:r>
      <w:r>
        <w:rPr>
          <w:rFonts w:ascii="Arial" w:hAnsi="Arial" w:eastAsia="宋体" w:cs="Arial"/>
        </w:rPr>
        <w:t>Morris Waxler</w:t>
      </w:r>
      <w:r>
        <w:rPr>
          <w:rFonts w:hint="eastAsia" w:ascii="Arial" w:hAnsi="Arial" w:eastAsia="宋体" w:cs="Arial"/>
        </w:rPr>
        <w:t>，</w:t>
      </w:r>
      <w:r>
        <w:rPr>
          <w:rFonts w:ascii="Arial" w:hAnsi="Arial" w:eastAsia="宋体" w:cs="Arial"/>
        </w:rPr>
        <w:t>Ph.D.</w:t>
      </w:r>
      <w:r>
        <w:rPr>
          <w:rFonts w:hint="eastAsia" w:ascii="Arial" w:hAnsi="Arial" w:eastAsia="宋体" w:cs="Arial"/>
        </w:rPr>
        <w:t>（</w:t>
      </w:r>
      <w:r>
        <w:rPr>
          <w:rFonts w:ascii="Arial" w:hAnsi="Arial" w:eastAsia="宋体" w:cs="Arial"/>
        </w:rPr>
        <w:t>HFZ-460</w:t>
      </w:r>
      <w:r>
        <w:rPr>
          <w:rFonts w:hint="eastAsia" w:ascii="Arial" w:hAnsi="Arial" w:eastAsia="宋体" w:cs="Arial"/>
        </w:rPr>
        <w:t>）以供机构审议。有关本指南的使用或解释的问题，请联系</w:t>
      </w:r>
      <w:r>
        <w:rPr>
          <w:rFonts w:ascii="Arial" w:hAnsi="Arial" w:eastAsia="宋体" w:cs="Arial"/>
        </w:rPr>
        <w:t>Morris Waxler</w:t>
      </w:r>
      <w:r>
        <w:rPr>
          <w:rFonts w:hint="eastAsia" w:ascii="Arial" w:hAnsi="Arial" w:eastAsia="宋体" w:cs="Arial"/>
        </w:rPr>
        <w:t>，</w:t>
      </w:r>
      <w:r>
        <w:rPr>
          <w:rFonts w:ascii="Arial" w:hAnsi="Arial" w:eastAsia="宋体" w:cs="Arial"/>
        </w:rPr>
        <w:t>Ph.D.</w:t>
      </w:r>
      <w:r>
        <w:rPr>
          <w:rFonts w:hint="eastAsia" w:ascii="Arial" w:hAnsi="Arial" w:eastAsia="宋体" w:cs="Arial"/>
        </w:rPr>
        <w:t>（</w:t>
      </w:r>
      <w:r>
        <w:rPr>
          <w:rFonts w:ascii="Arial" w:hAnsi="Arial" w:eastAsia="宋体" w:cs="Arial"/>
        </w:rPr>
        <w:t>301</w:t>
      </w:r>
      <w:r>
        <w:rPr>
          <w:rFonts w:hint="eastAsia" w:ascii="Arial" w:hAnsi="Arial" w:eastAsia="宋体" w:cs="Arial"/>
        </w:rPr>
        <w:t>）</w:t>
      </w:r>
      <w:r>
        <w:rPr>
          <w:rFonts w:ascii="Arial" w:hAnsi="Arial" w:eastAsia="宋体" w:cs="Arial"/>
        </w:rPr>
        <w:t>594-2018</w:t>
      </w:r>
      <w:r>
        <w:rPr>
          <w:rFonts w:hint="eastAsia" w:ascii="Arial" w:hAnsi="Arial" w:eastAsia="宋体" w:cs="Arial"/>
        </w:rPr>
        <w:t>。</w:t>
      </w:r>
      <w:r>
        <w:rPr>
          <w:rFonts w:ascii="Arial" w:hAnsi="Arial" w:eastAsia="宋体" w:cs="Arial"/>
        </w:rPr>
        <w:t>[</w:t>
      </w:r>
      <w:r>
        <w:rPr>
          <w:rFonts w:hint="eastAsia" w:ascii="Arial" w:hAnsi="Arial" w:eastAsia="宋体" w:cs="Arial"/>
        </w:rPr>
        <w:t>该指导性文件取代了</w:t>
      </w:r>
      <w:r>
        <w:rPr>
          <w:rFonts w:ascii="Arial" w:hAnsi="Arial" w:eastAsia="宋体" w:cs="Arial"/>
        </w:rPr>
        <w:t>1990</w:t>
      </w:r>
      <w:r>
        <w:rPr>
          <w:rFonts w:hint="eastAsia" w:ascii="Arial" w:hAnsi="Arial" w:eastAsia="宋体" w:cs="Arial"/>
        </w:rPr>
        <w:t>年</w:t>
      </w:r>
      <w:r>
        <w:rPr>
          <w:rFonts w:ascii="Arial" w:hAnsi="Arial" w:eastAsia="宋体" w:cs="Arial"/>
        </w:rPr>
        <w:t>6</w:t>
      </w:r>
      <w:r>
        <w:rPr>
          <w:rFonts w:hint="eastAsia" w:ascii="Arial" w:hAnsi="Arial" w:eastAsia="宋体" w:cs="Arial"/>
        </w:rPr>
        <w:t>月</w:t>
      </w:r>
      <w:r>
        <w:rPr>
          <w:rFonts w:ascii="Arial" w:hAnsi="Arial" w:eastAsia="宋体" w:cs="Arial"/>
        </w:rPr>
        <w:t>8</w:t>
      </w:r>
      <w:r>
        <w:rPr>
          <w:rFonts w:hint="eastAsia" w:ascii="Arial" w:hAnsi="Arial" w:eastAsia="宋体" w:cs="Arial"/>
        </w:rPr>
        <w:t>日颁布的“</w:t>
      </w:r>
      <w:bookmarkStart w:id="2" w:name="OLE_LINK1"/>
      <w:bookmarkStart w:id="3" w:name="OLE_LINK2"/>
      <w:r>
        <w:rPr>
          <w:rFonts w:hint="eastAsia" w:ascii="Arial" w:hAnsi="Arial" w:eastAsia="宋体" w:cs="Arial"/>
        </w:rPr>
        <w:t>用于眼科光折射角膜切除术（</w:t>
      </w:r>
      <w:r>
        <w:rPr>
          <w:rFonts w:ascii="Arial" w:hAnsi="Arial" w:eastAsia="宋体" w:cs="Arial"/>
        </w:rPr>
        <w:t>PRK</w:t>
      </w:r>
      <w:r>
        <w:rPr>
          <w:rFonts w:hint="eastAsia" w:ascii="Arial" w:hAnsi="Arial" w:eastAsia="宋体" w:cs="Arial"/>
        </w:rPr>
        <w:t>）的眼科手术中使用的准分子激光器械的研究器械豁免（</w:t>
      </w:r>
      <w:r>
        <w:rPr>
          <w:rFonts w:ascii="Arial" w:hAnsi="Arial" w:eastAsia="宋体" w:cs="Arial"/>
        </w:rPr>
        <w:t>IDE</w:t>
      </w:r>
      <w:r>
        <w:rPr>
          <w:rFonts w:hint="eastAsia" w:ascii="Arial" w:hAnsi="Arial" w:eastAsia="宋体" w:cs="Arial"/>
        </w:rPr>
        <w:t>）应用的制备和内容的临床指南草案</w:t>
      </w:r>
      <w:bookmarkEnd w:id="2"/>
      <w:bookmarkEnd w:id="3"/>
      <w:r>
        <w:rPr>
          <w:rFonts w:hint="eastAsia" w:ascii="Arial" w:hAnsi="Arial" w:eastAsia="宋体" w:cs="Arial"/>
        </w:rPr>
        <w:t>”</w:t>
      </w:r>
      <w:r>
        <w:rPr>
          <w:rFonts w:ascii="Arial" w:hAnsi="Arial" w:cs="Arial"/>
          <w:kern w:val="0"/>
        </w:rPr>
        <w:t>]</w:t>
      </w:r>
    </w:p>
    <w:p w14:paraId="59FB458B">
      <w:pPr>
        <w:snapToGrid w:val="0"/>
        <w:spacing w:line="360" w:lineRule="auto"/>
        <w:rPr>
          <w:rFonts w:ascii="Arial" w:hAnsi="Arial" w:eastAsia="宋体" w:cs="Arial"/>
        </w:rPr>
      </w:pPr>
    </w:p>
    <w:p w14:paraId="7AFB397D">
      <w:pPr>
        <w:snapToGrid w:val="0"/>
        <w:spacing w:line="360" w:lineRule="auto"/>
        <w:rPr>
          <w:rFonts w:ascii="Arial" w:hAnsi="Arial" w:eastAsia="宋体" w:cs="Arial"/>
        </w:rPr>
      </w:pPr>
    </w:p>
    <w:p w14:paraId="601D52A7">
      <w:pPr>
        <w:snapToGrid w:val="0"/>
        <w:spacing w:line="360" w:lineRule="auto"/>
        <w:rPr>
          <w:rFonts w:ascii="Arial" w:hAnsi="Arial" w:eastAsia="宋体" w:cs="Arial"/>
        </w:rPr>
      </w:pPr>
    </w:p>
    <w:p w14:paraId="4F51D42F">
      <w:pPr>
        <w:snapToGrid w:val="0"/>
        <w:spacing w:line="360" w:lineRule="auto"/>
        <w:rPr>
          <w:rFonts w:ascii="Arial" w:hAnsi="Arial" w:eastAsia="宋体" w:cs="Arial"/>
        </w:rPr>
      </w:pPr>
    </w:p>
    <w:p w14:paraId="3C913C89">
      <w:pPr>
        <w:snapToGrid w:val="0"/>
        <w:spacing w:line="360" w:lineRule="auto"/>
        <w:rPr>
          <w:rFonts w:ascii="Arial" w:hAnsi="Arial" w:eastAsia="宋体" w:cs="Arial"/>
        </w:rPr>
      </w:pPr>
    </w:p>
    <w:p w14:paraId="1998C7B1">
      <w:pPr>
        <w:snapToGrid w:val="0"/>
        <w:spacing w:line="360" w:lineRule="auto"/>
        <w:jc w:val="center"/>
        <w:rPr>
          <w:rFonts w:ascii="Arial" w:hAnsi="Arial" w:eastAsia="宋体" w:cs="Arial"/>
          <w:sz w:val="24"/>
          <w:szCs w:val="24"/>
        </w:rPr>
      </w:pPr>
      <w:r>
        <w:rPr>
          <w:rFonts w:hint="eastAsia" w:ascii="Arial" w:hAnsi="Arial" w:eastAsia="宋体" w:cs="Arial"/>
          <w:sz w:val="24"/>
          <w:szCs w:val="24"/>
        </w:rPr>
        <w:t>美国卫生与人类服务部</w:t>
      </w:r>
    </w:p>
    <w:p w14:paraId="60664EF8">
      <w:pPr>
        <w:snapToGrid w:val="0"/>
        <w:spacing w:line="360" w:lineRule="auto"/>
        <w:jc w:val="center"/>
        <w:rPr>
          <w:rFonts w:ascii="Arial" w:hAnsi="Arial" w:eastAsia="宋体" w:cs="Arial"/>
        </w:rPr>
      </w:pPr>
      <w:r>
        <w:rPr>
          <w:rFonts w:hint="eastAsia" w:ascii="Arial" w:hAnsi="Arial" w:eastAsia="宋体" w:cs="Arial"/>
        </w:rPr>
        <w:t>食品和药品监督管理局</w:t>
      </w:r>
    </w:p>
    <w:p w14:paraId="3C731C5A">
      <w:pPr>
        <w:snapToGrid w:val="0"/>
        <w:spacing w:line="360" w:lineRule="auto"/>
        <w:jc w:val="center"/>
        <w:rPr>
          <w:rFonts w:ascii="Arial" w:hAnsi="Arial" w:eastAsia="宋体" w:cs="Arial"/>
        </w:rPr>
      </w:pPr>
      <w:r>
        <w:rPr>
          <w:rFonts w:hint="eastAsia" w:ascii="Arial" w:hAnsi="Arial" w:eastAsia="宋体" w:cs="Arial"/>
        </w:rPr>
        <w:t>医疗器械和放射健康中心</w:t>
      </w:r>
    </w:p>
    <w:p w14:paraId="1DBCDA28">
      <w:pPr>
        <w:pageBreakBefore/>
        <w:snapToGrid w:val="0"/>
        <w:spacing w:line="360" w:lineRule="auto"/>
        <w:jc w:val="center"/>
        <w:rPr>
          <w:rFonts w:ascii="Arial" w:hAnsi="Arial" w:eastAsia="宋体" w:cs="Arial"/>
          <w:b/>
          <w:sz w:val="28"/>
          <w:szCs w:val="28"/>
        </w:rPr>
      </w:pPr>
      <w:bookmarkStart w:id="4" w:name="OLE_LINK5"/>
      <w:r>
        <w:rPr>
          <w:rFonts w:ascii="Arial" w:hAnsi="Arial" w:eastAsia="宋体" w:cs="Arial"/>
          <w:b/>
          <w:sz w:val="28"/>
          <w:szCs w:val="28"/>
        </w:rPr>
        <w:br w:type="textWrapping"/>
      </w:r>
      <w:r>
        <w:rPr>
          <w:rFonts w:hint="eastAsia" w:ascii="Arial" w:hAnsi="Arial" w:eastAsia="宋体" w:cs="Arial"/>
          <w:b/>
          <w:sz w:val="28"/>
          <w:szCs w:val="28"/>
        </w:rPr>
        <w:t>激光屈光手术器械临床试验豁免（</w:t>
      </w:r>
      <w:r>
        <w:rPr>
          <w:rFonts w:ascii="Arial" w:hAnsi="Arial" w:eastAsia="宋体" w:cs="Arial"/>
          <w:b/>
          <w:sz w:val="28"/>
          <w:szCs w:val="28"/>
        </w:rPr>
        <w:t>IDE</w:t>
      </w:r>
      <w:r>
        <w:rPr>
          <w:rFonts w:hint="eastAsia" w:ascii="Arial" w:hAnsi="Arial" w:eastAsia="宋体" w:cs="Arial"/>
          <w:b/>
          <w:sz w:val="28"/>
          <w:szCs w:val="28"/>
        </w:rPr>
        <w:t>）通常提交的信息审查清单</w:t>
      </w:r>
    </w:p>
    <w:bookmarkEnd w:id="4"/>
    <w:p w14:paraId="3F2285F9">
      <w:pPr>
        <w:snapToGrid w:val="0"/>
        <w:spacing w:line="360" w:lineRule="auto"/>
        <w:jc w:val="center"/>
        <w:rPr>
          <w:rFonts w:ascii="Arial" w:hAnsi="Arial" w:eastAsia="宋体" w:cs="Arial"/>
        </w:rPr>
      </w:pPr>
      <w:r>
        <w:rPr>
          <w:rFonts w:hint="eastAsia" w:ascii="Arial" w:hAnsi="Arial" w:eastAsia="宋体" w:cs="Arial"/>
        </w:rPr>
        <w:t>（有关所需要素清单，请</w:t>
      </w:r>
      <w:r>
        <w:rPr>
          <w:rFonts w:ascii="Arial" w:hAnsi="Arial" w:eastAsia="宋体" w:cs="Arial"/>
        </w:rPr>
        <w:t>参</w:t>
      </w:r>
      <w:r>
        <w:rPr>
          <w:rFonts w:hint="eastAsia" w:ascii="Arial" w:hAnsi="Arial" w:eastAsia="宋体" w:cs="Arial"/>
        </w:rPr>
        <w:t>见附录</w:t>
      </w:r>
      <w:r>
        <w:rPr>
          <w:rFonts w:ascii="Arial" w:hAnsi="Arial" w:eastAsia="宋体" w:cs="Arial"/>
        </w:rPr>
        <w:t>A</w:t>
      </w:r>
      <w:r>
        <w:rPr>
          <w:rFonts w:hint="eastAsia" w:ascii="Arial" w:hAnsi="Arial" w:eastAsia="宋体" w:cs="Arial"/>
        </w:rPr>
        <w:t>和</w:t>
      </w:r>
      <w:r>
        <w:rPr>
          <w:rFonts w:ascii="Arial" w:hAnsi="Arial" w:eastAsia="宋体" w:cs="Arial"/>
        </w:rPr>
        <w:t>CFR 21 812.20</w:t>
      </w:r>
      <w:r>
        <w:rPr>
          <w:rFonts w:hint="eastAsia" w:ascii="Arial" w:hAnsi="Arial" w:eastAsia="宋体" w:cs="Arial"/>
        </w:rPr>
        <w:t>（</w:t>
      </w:r>
      <w:r>
        <w:rPr>
          <w:rFonts w:ascii="Arial" w:hAnsi="Arial" w:eastAsia="宋体" w:cs="Arial"/>
        </w:rPr>
        <w:t>b</w:t>
      </w:r>
      <w:r>
        <w:rPr>
          <w:rFonts w:hint="eastAsia" w:ascii="Arial" w:hAnsi="Arial" w:eastAsia="宋体" w:cs="Arial"/>
        </w:rPr>
        <w:t>）。）</w:t>
      </w:r>
    </w:p>
    <w:sdt>
      <w:sdtPr>
        <w:rPr>
          <w:rFonts w:ascii="Arial" w:hAnsi="Arial" w:eastAsia="宋体" w:cs="Arial"/>
          <w:color w:val="auto"/>
          <w:kern w:val="2"/>
          <w:sz w:val="21"/>
          <w:szCs w:val="21"/>
          <w:lang w:val="zh-CN"/>
        </w:rPr>
        <w:id w:val="-859740304"/>
        <w:docPartObj>
          <w:docPartGallery w:val="Table of Contents"/>
          <w:docPartUnique/>
        </w:docPartObj>
      </w:sdtPr>
      <w:sdtEndPr>
        <w:rPr>
          <w:rFonts w:ascii="Arial" w:hAnsi="Arial" w:eastAsia="宋体" w:cs="Arial"/>
          <w:b/>
          <w:bCs/>
          <w:color w:val="auto"/>
          <w:kern w:val="2"/>
          <w:sz w:val="21"/>
          <w:szCs w:val="21"/>
          <w:lang w:val="zh-CN"/>
        </w:rPr>
      </w:sdtEndPr>
      <w:sdtContent>
        <w:p w14:paraId="5D3CF9C3">
          <w:pPr>
            <w:pStyle w:val="23"/>
            <w:snapToGrid w:val="0"/>
            <w:spacing w:line="360" w:lineRule="auto"/>
            <w:jc w:val="both"/>
            <w:rPr>
              <w:rFonts w:ascii="Arial" w:hAnsi="Arial" w:eastAsia="宋体" w:cs="Arial"/>
              <w:b/>
              <w:color w:val="auto"/>
              <w:sz w:val="21"/>
              <w:szCs w:val="21"/>
            </w:rPr>
          </w:pPr>
          <w:r>
            <w:rPr>
              <w:rFonts w:ascii="Arial" w:hAnsi="Arial" w:eastAsia="宋体" w:cs="Arial"/>
              <w:b/>
              <w:color w:val="auto"/>
              <w:sz w:val="21"/>
              <w:szCs w:val="21"/>
              <w:lang w:val="zh-CN"/>
            </w:rPr>
            <w:t>目录</w:t>
          </w:r>
        </w:p>
        <w:p w14:paraId="4545E769">
          <w:pPr>
            <w:pStyle w:val="10"/>
            <w:tabs>
              <w:tab w:val="left" w:pos="840"/>
              <w:tab w:val="right" w:leader="dot" w:pos="9628"/>
            </w:tabs>
            <w:spacing w:line="360" w:lineRule="auto"/>
            <w:rPr>
              <w:rFonts w:ascii="Arial" w:hAnsi="Arial" w:cs="Arial"/>
              <w:szCs w:val="22"/>
            </w:rPr>
          </w:pPr>
          <w:r>
            <w:rPr>
              <w:rFonts w:ascii="Arial" w:hAnsi="Arial" w:eastAsia="宋体" w:cs="Arial"/>
              <w:b/>
            </w:rPr>
            <w:fldChar w:fldCharType="begin"/>
          </w:r>
          <w:r>
            <w:rPr>
              <w:rFonts w:ascii="Arial" w:hAnsi="Arial" w:eastAsia="宋体" w:cs="Arial"/>
              <w:b/>
            </w:rPr>
            <w:instrText xml:space="preserve"> TOC \o "1-4" \h \z \u </w:instrText>
          </w:r>
          <w:r>
            <w:rPr>
              <w:rFonts w:ascii="Arial" w:hAnsi="Arial" w:eastAsia="宋体" w:cs="Arial"/>
              <w:b/>
            </w:rPr>
            <w:fldChar w:fldCharType="separate"/>
          </w:r>
          <w:r>
            <w:fldChar w:fldCharType="begin"/>
          </w:r>
          <w:r>
            <w:instrText xml:space="preserve"> HYPERLINK \l "_Toc478047064" </w:instrText>
          </w:r>
          <w:r>
            <w:fldChar w:fldCharType="separate"/>
          </w:r>
          <w:r>
            <w:rPr>
              <w:rStyle w:val="17"/>
              <w:rFonts w:ascii="Arial" w:hAnsi="Arial" w:eastAsia="宋体" w:cs="Arial"/>
              <w:b/>
            </w:rPr>
            <w:t>1.0</w:t>
          </w:r>
          <w:r>
            <w:rPr>
              <w:rFonts w:ascii="Arial" w:hAnsi="Arial" w:cs="Arial"/>
              <w:szCs w:val="22"/>
            </w:rPr>
            <w:tab/>
          </w:r>
          <w:r>
            <w:rPr>
              <w:rStyle w:val="17"/>
              <w:rFonts w:ascii="Arial" w:hAnsi="Arial" w:eastAsia="宋体" w:cs="Arial"/>
              <w:b/>
            </w:rPr>
            <w:t>申办方或申办方-研究者的姓名和地址</w:t>
          </w:r>
          <w:r>
            <w:rPr>
              <w:rFonts w:ascii="Arial" w:hAnsi="Arial" w:cs="Arial"/>
            </w:rPr>
            <w:tab/>
          </w:r>
          <w:r>
            <w:rPr>
              <w:rFonts w:ascii="Arial" w:hAnsi="Arial" w:cs="Arial"/>
            </w:rPr>
            <w:fldChar w:fldCharType="begin"/>
          </w:r>
          <w:r>
            <w:rPr>
              <w:rFonts w:ascii="Arial" w:hAnsi="Arial" w:cs="Arial"/>
            </w:rPr>
            <w:instrText xml:space="preserve"> PAGEREF _Toc478047064 \h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end"/>
          </w:r>
        </w:p>
        <w:p w14:paraId="7C32296B">
          <w:pPr>
            <w:pStyle w:val="10"/>
            <w:tabs>
              <w:tab w:val="left" w:pos="840"/>
              <w:tab w:val="right" w:leader="dot" w:pos="9628"/>
            </w:tabs>
            <w:spacing w:line="360" w:lineRule="auto"/>
            <w:rPr>
              <w:rFonts w:ascii="Arial" w:hAnsi="Arial" w:cs="Arial"/>
              <w:szCs w:val="22"/>
            </w:rPr>
          </w:pPr>
          <w:r>
            <w:fldChar w:fldCharType="begin"/>
          </w:r>
          <w:r>
            <w:instrText xml:space="preserve"> HYPERLINK \l "_Toc478047065" </w:instrText>
          </w:r>
          <w:r>
            <w:fldChar w:fldCharType="separate"/>
          </w:r>
          <w:r>
            <w:rPr>
              <w:rStyle w:val="17"/>
              <w:rFonts w:ascii="Arial" w:hAnsi="Arial" w:eastAsia="宋体" w:cs="Arial"/>
              <w:b/>
            </w:rPr>
            <w:t>2.0</w:t>
          </w:r>
          <w:r>
            <w:rPr>
              <w:rFonts w:ascii="Arial" w:hAnsi="Arial" w:cs="Arial"/>
              <w:szCs w:val="22"/>
            </w:rPr>
            <w:tab/>
          </w:r>
          <w:r>
            <w:rPr>
              <w:rStyle w:val="17"/>
              <w:rFonts w:ascii="Arial" w:hAnsi="Arial" w:eastAsia="宋体" w:cs="Arial"/>
              <w:b/>
            </w:rPr>
            <w:t>先前研究报告</w:t>
          </w:r>
          <w:r>
            <w:rPr>
              <w:rFonts w:ascii="Arial" w:hAnsi="Arial" w:cs="Arial"/>
            </w:rPr>
            <w:tab/>
          </w:r>
          <w:r>
            <w:rPr>
              <w:rFonts w:ascii="Arial" w:hAnsi="Arial" w:cs="Arial"/>
            </w:rPr>
            <w:fldChar w:fldCharType="begin"/>
          </w:r>
          <w:r>
            <w:rPr>
              <w:rFonts w:ascii="Arial" w:hAnsi="Arial" w:cs="Arial"/>
            </w:rPr>
            <w:instrText xml:space="preserve"> PAGEREF _Toc478047065 \h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end"/>
          </w:r>
        </w:p>
        <w:p w14:paraId="61ED5605">
          <w:pPr>
            <w:pStyle w:val="12"/>
            <w:tabs>
              <w:tab w:val="left" w:pos="1260"/>
              <w:tab w:val="right" w:leader="dot" w:pos="9628"/>
            </w:tabs>
            <w:spacing w:line="360" w:lineRule="auto"/>
            <w:rPr>
              <w:rFonts w:ascii="Arial" w:hAnsi="Arial" w:cs="Arial"/>
              <w:szCs w:val="22"/>
            </w:rPr>
          </w:pPr>
          <w:r>
            <w:fldChar w:fldCharType="begin"/>
          </w:r>
          <w:r>
            <w:instrText xml:space="preserve"> HYPERLINK \l "_Toc478047066" </w:instrText>
          </w:r>
          <w:r>
            <w:fldChar w:fldCharType="separate"/>
          </w:r>
          <w:r>
            <w:rPr>
              <w:rStyle w:val="17"/>
              <w:rFonts w:ascii="Arial" w:hAnsi="Arial" w:eastAsia="宋体" w:cs="Arial"/>
              <w:b/>
            </w:rPr>
            <w:t>2.1</w:t>
          </w:r>
          <w:r>
            <w:rPr>
              <w:rFonts w:ascii="Arial" w:hAnsi="Arial" w:cs="Arial"/>
              <w:szCs w:val="22"/>
            </w:rPr>
            <w:tab/>
          </w:r>
          <w:r>
            <w:rPr>
              <w:rStyle w:val="17"/>
              <w:rFonts w:ascii="Arial" w:hAnsi="Arial" w:eastAsia="宋体" w:cs="Arial"/>
              <w:b/>
            </w:rPr>
            <w:t>先前实验室研究</w:t>
          </w:r>
          <w:r>
            <w:rPr>
              <w:rFonts w:ascii="Arial" w:hAnsi="Arial" w:cs="Arial"/>
            </w:rPr>
            <w:tab/>
          </w:r>
          <w:r>
            <w:rPr>
              <w:rFonts w:ascii="Arial" w:hAnsi="Arial" w:cs="Arial"/>
            </w:rPr>
            <w:fldChar w:fldCharType="begin"/>
          </w:r>
          <w:r>
            <w:rPr>
              <w:rFonts w:ascii="Arial" w:hAnsi="Arial" w:cs="Arial"/>
            </w:rPr>
            <w:instrText xml:space="preserve"> PAGEREF _Toc478047066 \h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end"/>
          </w:r>
        </w:p>
        <w:p w14:paraId="016C6649">
          <w:pPr>
            <w:pStyle w:val="12"/>
            <w:tabs>
              <w:tab w:val="left" w:pos="1260"/>
              <w:tab w:val="right" w:leader="dot" w:pos="9628"/>
            </w:tabs>
            <w:spacing w:line="360" w:lineRule="auto"/>
            <w:rPr>
              <w:rFonts w:ascii="Arial" w:hAnsi="Arial" w:cs="Arial"/>
              <w:szCs w:val="22"/>
            </w:rPr>
          </w:pPr>
          <w:r>
            <w:fldChar w:fldCharType="begin"/>
          </w:r>
          <w:r>
            <w:instrText xml:space="preserve"> HYPERLINK \l "_Toc478047067" </w:instrText>
          </w:r>
          <w:r>
            <w:fldChar w:fldCharType="separate"/>
          </w:r>
          <w:r>
            <w:rPr>
              <w:rStyle w:val="17"/>
              <w:rFonts w:ascii="Arial" w:hAnsi="Arial" w:eastAsia="宋体" w:cs="Arial"/>
              <w:b/>
            </w:rPr>
            <w:t>2.2</w:t>
          </w:r>
          <w:r>
            <w:rPr>
              <w:rFonts w:ascii="Arial" w:hAnsi="Arial" w:cs="Arial"/>
              <w:szCs w:val="22"/>
            </w:rPr>
            <w:tab/>
          </w:r>
          <w:r>
            <w:rPr>
              <w:rStyle w:val="17"/>
              <w:rFonts w:ascii="Arial" w:hAnsi="Arial" w:eastAsia="宋体" w:cs="Arial"/>
              <w:b/>
            </w:rPr>
            <w:t>先前动物研究</w:t>
          </w:r>
          <w:r>
            <w:rPr>
              <w:rFonts w:ascii="Arial" w:hAnsi="Arial" w:cs="Arial"/>
            </w:rPr>
            <w:tab/>
          </w:r>
          <w:r>
            <w:rPr>
              <w:rFonts w:ascii="Arial" w:hAnsi="Arial" w:cs="Arial"/>
            </w:rPr>
            <w:fldChar w:fldCharType="begin"/>
          </w:r>
          <w:r>
            <w:rPr>
              <w:rFonts w:ascii="Arial" w:hAnsi="Arial" w:cs="Arial"/>
            </w:rPr>
            <w:instrText xml:space="preserve"> PAGEREF _Toc478047067 \h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end"/>
          </w:r>
        </w:p>
        <w:p w14:paraId="629C25EA">
          <w:pPr>
            <w:pStyle w:val="12"/>
            <w:tabs>
              <w:tab w:val="left" w:pos="1260"/>
              <w:tab w:val="right" w:leader="dot" w:pos="9628"/>
            </w:tabs>
            <w:spacing w:line="360" w:lineRule="auto"/>
            <w:rPr>
              <w:rFonts w:ascii="Arial" w:hAnsi="Arial" w:cs="Arial"/>
              <w:szCs w:val="22"/>
            </w:rPr>
          </w:pPr>
          <w:r>
            <w:fldChar w:fldCharType="begin"/>
          </w:r>
          <w:r>
            <w:instrText xml:space="preserve"> HYPERLINK \l "_Toc478047068" </w:instrText>
          </w:r>
          <w:r>
            <w:fldChar w:fldCharType="separate"/>
          </w:r>
          <w:r>
            <w:rPr>
              <w:rStyle w:val="17"/>
              <w:rFonts w:ascii="Arial" w:hAnsi="Arial" w:eastAsia="宋体" w:cs="Arial"/>
              <w:b/>
            </w:rPr>
            <w:t>2.3</w:t>
          </w:r>
          <w:r>
            <w:rPr>
              <w:rFonts w:ascii="Arial" w:hAnsi="Arial" w:cs="Arial"/>
              <w:szCs w:val="22"/>
            </w:rPr>
            <w:tab/>
          </w:r>
          <w:r>
            <w:rPr>
              <w:rStyle w:val="17"/>
              <w:rFonts w:ascii="Arial" w:hAnsi="Arial" w:eastAsia="宋体" w:cs="Arial"/>
              <w:b/>
            </w:rPr>
            <w:t>先前临床研究</w:t>
          </w:r>
          <w:r>
            <w:rPr>
              <w:rFonts w:ascii="Arial" w:hAnsi="Arial" w:cs="Arial"/>
            </w:rPr>
            <w:tab/>
          </w:r>
          <w:r>
            <w:rPr>
              <w:rFonts w:ascii="Arial" w:hAnsi="Arial" w:cs="Arial"/>
            </w:rPr>
            <w:fldChar w:fldCharType="begin"/>
          </w:r>
          <w:r>
            <w:rPr>
              <w:rFonts w:ascii="Arial" w:hAnsi="Arial" w:cs="Arial"/>
            </w:rPr>
            <w:instrText xml:space="preserve"> PAGEREF _Toc478047068 \h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end"/>
          </w:r>
        </w:p>
        <w:p w14:paraId="467B6BB3">
          <w:pPr>
            <w:pStyle w:val="10"/>
            <w:tabs>
              <w:tab w:val="left" w:pos="840"/>
              <w:tab w:val="right" w:leader="dot" w:pos="9628"/>
            </w:tabs>
            <w:spacing w:line="360" w:lineRule="auto"/>
            <w:rPr>
              <w:rFonts w:ascii="Arial" w:hAnsi="Arial" w:cs="Arial"/>
              <w:szCs w:val="22"/>
            </w:rPr>
          </w:pPr>
          <w:r>
            <w:fldChar w:fldCharType="begin"/>
          </w:r>
          <w:r>
            <w:instrText xml:space="preserve"> HYPERLINK \l "_Toc478047069" </w:instrText>
          </w:r>
          <w:r>
            <w:fldChar w:fldCharType="separate"/>
          </w:r>
          <w:r>
            <w:rPr>
              <w:rStyle w:val="17"/>
              <w:rFonts w:ascii="Arial" w:hAnsi="Arial" w:eastAsia="宋体" w:cs="Arial"/>
              <w:b/>
            </w:rPr>
            <w:t>3.0</w:t>
          </w:r>
          <w:r>
            <w:rPr>
              <w:rFonts w:ascii="Arial" w:hAnsi="Arial" w:cs="Arial"/>
              <w:szCs w:val="22"/>
            </w:rPr>
            <w:tab/>
          </w:r>
          <w:r>
            <w:rPr>
              <w:rStyle w:val="17"/>
              <w:rFonts w:ascii="Arial" w:hAnsi="Arial" w:eastAsia="宋体" w:cs="Arial"/>
              <w:b/>
            </w:rPr>
            <w:t>临床研究方案</w:t>
          </w:r>
          <w:r>
            <w:rPr>
              <w:rFonts w:ascii="Arial" w:hAnsi="Arial" w:cs="Arial"/>
            </w:rPr>
            <w:tab/>
          </w:r>
          <w:r>
            <w:rPr>
              <w:rFonts w:ascii="Arial" w:hAnsi="Arial" w:cs="Arial"/>
            </w:rPr>
            <w:fldChar w:fldCharType="begin"/>
          </w:r>
          <w:r>
            <w:rPr>
              <w:rFonts w:ascii="Arial" w:hAnsi="Arial" w:cs="Arial"/>
            </w:rPr>
            <w:instrText xml:space="preserve"> PAGEREF _Toc478047069 \h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end"/>
          </w:r>
        </w:p>
        <w:p w14:paraId="52BC9E34">
          <w:pPr>
            <w:pStyle w:val="12"/>
            <w:tabs>
              <w:tab w:val="left" w:pos="1260"/>
              <w:tab w:val="right" w:leader="dot" w:pos="9628"/>
            </w:tabs>
            <w:spacing w:line="360" w:lineRule="auto"/>
            <w:rPr>
              <w:rFonts w:ascii="Arial" w:hAnsi="Arial" w:cs="Arial"/>
              <w:szCs w:val="22"/>
            </w:rPr>
          </w:pPr>
          <w:r>
            <w:fldChar w:fldCharType="begin"/>
          </w:r>
          <w:r>
            <w:instrText xml:space="preserve"> HYPERLINK \l "_Toc478047070" </w:instrText>
          </w:r>
          <w:r>
            <w:fldChar w:fldCharType="separate"/>
          </w:r>
          <w:r>
            <w:rPr>
              <w:rStyle w:val="17"/>
              <w:rFonts w:ascii="Arial" w:hAnsi="Arial" w:eastAsia="宋体" w:cs="Arial"/>
              <w:b/>
            </w:rPr>
            <w:t>3.1</w:t>
          </w:r>
          <w:r>
            <w:rPr>
              <w:rFonts w:ascii="Arial" w:hAnsi="Arial" w:cs="Arial"/>
              <w:szCs w:val="22"/>
            </w:rPr>
            <w:tab/>
          </w:r>
          <w:r>
            <w:rPr>
              <w:rStyle w:val="17"/>
              <w:rFonts w:ascii="Arial" w:hAnsi="Arial" w:eastAsia="宋体" w:cs="Arial"/>
              <w:b/>
            </w:rPr>
            <w:t>目的</w:t>
          </w:r>
          <w:r>
            <w:rPr>
              <w:rFonts w:ascii="Arial" w:hAnsi="Arial" w:cs="Arial"/>
            </w:rPr>
            <w:tab/>
          </w:r>
          <w:r>
            <w:rPr>
              <w:rFonts w:ascii="Arial" w:hAnsi="Arial" w:cs="Arial"/>
            </w:rPr>
            <w:fldChar w:fldCharType="begin"/>
          </w:r>
          <w:r>
            <w:rPr>
              <w:rFonts w:ascii="Arial" w:hAnsi="Arial" w:cs="Arial"/>
            </w:rPr>
            <w:instrText xml:space="preserve"> PAGEREF _Toc478047070 \h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end"/>
          </w:r>
        </w:p>
        <w:p w14:paraId="7F9E96EB">
          <w:pPr>
            <w:pStyle w:val="12"/>
            <w:tabs>
              <w:tab w:val="left" w:pos="1260"/>
              <w:tab w:val="right" w:leader="dot" w:pos="9628"/>
            </w:tabs>
            <w:spacing w:line="360" w:lineRule="auto"/>
            <w:rPr>
              <w:rFonts w:ascii="Arial" w:hAnsi="Arial" w:cs="Arial"/>
              <w:szCs w:val="22"/>
            </w:rPr>
          </w:pPr>
          <w:r>
            <w:fldChar w:fldCharType="begin"/>
          </w:r>
          <w:r>
            <w:instrText xml:space="preserve"> HYPERLINK \l "_Toc478047071" </w:instrText>
          </w:r>
          <w:r>
            <w:fldChar w:fldCharType="separate"/>
          </w:r>
          <w:r>
            <w:rPr>
              <w:rStyle w:val="17"/>
              <w:rFonts w:ascii="Arial" w:hAnsi="Arial" w:eastAsia="宋体" w:cs="Arial"/>
              <w:b/>
            </w:rPr>
            <w:t>3.2</w:t>
          </w:r>
          <w:r>
            <w:rPr>
              <w:rFonts w:ascii="Arial" w:hAnsi="Arial" w:cs="Arial"/>
              <w:szCs w:val="22"/>
            </w:rPr>
            <w:tab/>
          </w:r>
          <w:r>
            <w:rPr>
              <w:rStyle w:val="17"/>
              <w:rFonts w:ascii="Arial" w:hAnsi="Arial" w:eastAsia="宋体" w:cs="Arial"/>
              <w:b/>
            </w:rPr>
            <w:t>拟定方案：描述所使用的方法并分析证明其稳定性。</w:t>
          </w:r>
          <w:r>
            <w:rPr>
              <w:rFonts w:ascii="Arial" w:hAnsi="Arial" w:cs="Arial"/>
            </w:rPr>
            <w:tab/>
          </w:r>
          <w:r>
            <w:rPr>
              <w:rFonts w:ascii="Arial" w:hAnsi="Arial" w:cs="Arial"/>
            </w:rPr>
            <w:fldChar w:fldCharType="begin"/>
          </w:r>
          <w:r>
            <w:rPr>
              <w:rFonts w:ascii="Arial" w:hAnsi="Arial" w:cs="Arial"/>
            </w:rPr>
            <w:instrText xml:space="preserve"> PAGEREF _Toc478047071 \h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end"/>
          </w:r>
        </w:p>
        <w:p w14:paraId="1965B186">
          <w:pPr>
            <w:pStyle w:val="5"/>
            <w:tabs>
              <w:tab w:val="left" w:pos="1680"/>
              <w:tab w:val="right" w:leader="dot" w:pos="9628"/>
            </w:tabs>
            <w:spacing w:line="360" w:lineRule="auto"/>
            <w:rPr>
              <w:rFonts w:ascii="Arial" w:hAnsi="Arial" w:cs="Arial"/>
              <w:szCs w:val="22"/>
            </w:rPr>
          </w:pPr>
          <w:r>
            <w:fldChar w:fldCharType="begin"/>
          </w:r>
          <w:r>
            <w:instrText xml:space="preserve"> HYPERLINK \l "_Toc478047072" </w:instrText>
          </w:r>
          <w:r>
            <w:fldChar w:fldCharType="separate"/>
          </w:r>
          <w:r>
            <w:rPr>
              <w:rStyle w:val="17"/>
              <w:rFonts w:ascii="Arial" w:hAnsi="Arial" w:eastAsia="宋体" w:cs="Arial"/>
              <w:b/>
            </w:rPr>
            <w:t>3.2.1</w:t>
          </w:r>
          <w:r>
            <w:rPr>
              <w:rFonts w:ascii="Arial" w:hAnsi="Arial" w:cs="Arial"/>
              <w:szCs w:val="22"/>
            </w:rPr>
            <w:tab/>
          </w:r>
          <w:r>
            <w:rPr>
              <w:rStyle w:val="17"/>
              <w:rFonts w:ascii="Arial" w:hAnsi="Arial" w:eastAsia="宋体" w:cs="Arial"/>
              <w:b/>
            </w:rPr>
            <w:t>主要安全性终点和目标值的定义：</w:t>
          </w:r>
          <w:r>
            <w:rPr>
              <w:rFonts w:ascii="Arial" w:hAnsi="Arial" w:cs="Arial"/>
            </w:rPr>
            <w:tab/>
          </w:r>
          <w:r>
            <w:rPr>
              <w:rFonts w:ascii="Arial" w:hAnsi="Arial" w:cs="Arial"/>
            </w:rPr>
            <w:fldChar w:fldCharType="begin"/>
          </w:r>
          <w:r>
            <w:rPr>
              <w:rFonts w:ascii="Arial" w:hAnsi="Arial" w:cs="Arial"/>
            </w:rPr>
            <w:instrText xml:space="preserve"> PAGEREF _Toc478047072 \h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end"/>
          </w:r>
        </w:p>
        <w:p w14:paraId="1BE07C7F">
          <w:pPr>
            <w:pStyle w:val="5"/>
            <w:tabs>
              <w:tab w:val="left" w:pos="1680"/>
              <w:tab w:val="right" w:leader="dot" w:pos="9628"/>
            </w:tabs>
            <w:spacing w:line="360" w:lineRule="auto"/>
            <w:rPr>
              <w:rFonts w:ascii="Arial" w:hAnsi="Arial" w:cs="Arial"/>
              <w:szCs w:val="22"/>
            </w:rPr>
          </w:pPr>
          <w:r>
            <w:fldChar w:fldCharType="begin"/>
          </w:r>
          <w:r>
            <w:instrText xml:space="preserve"> HYPERLINK \l "_Toc478047073" </w:instrText>
          </w:r>
          <w:r>
            <w:fldChar w:fldCharType="separate"/>
          </w:r>
          <w:r>
            <w:rPr>
              <w:rStyle w:val="17"/>
              <w:rFonts w:ascii="Arial" w:hAnsi="Arial" w:eastAsia="宋体" w:cs="Arial"/>
              <w:b/>
            </w:rPr>
            <w:t>3.2.2</w:t>
          </w:r>
          <w:r>
            <w:rPr>
              <w:rFonts w:ascii="Arial" w:hAnsi="Arial" w:cs="Arial"/>
              <w:szCs w:val="22"/>
            </w:rPr>
            <w:tab/>
          </w:r>
          <w:r>
            <w:rPr>
              <w:rStyle w:val="17"/>
              <w:rFonts w:ascii="Arial" w:hAnsi="Arial" w:eastAsia="宋体" w:cs="Arial"/>
              <w:b/>
            </w:rPr>
            <w:t>有效性终点和目标值的定义：</w:t>
          </w:r>
          <w:r>
            <w:rPr>
              <w:rFonts w:ascii="Arial" w:hAnsi="Arial" w:cs="Arial"/>
            </w:rPr>
            <w:tab/>
          </w:r>
          <w:r>
            <w:rPr>
              <w:rFonts w:ascii="Arial" w:hAnsi="Arial" w:cs="Arial"/>
            </w:rPr>
            <w:fldChar w:fldCharType="begin"/>
          </w:r>
          <w:r>
            <w:rPr>
              <w:rFonts w:ascii="Arial" w:hAnsi="Arial" w:cs="Arial"/>
            </w:rPr>
            <w:instrText xml:space="preserve"> PAGEREF _Toc478047073 \h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end"/>
          </w:r>
        </w:p>
        <w:p w14:paraId="07CDFF83">
          <w:pPr>
            <w:pStyle w:val="5"/>
            <w:tabs>
              <w:tab w:val="left" w:pos="1680"/>
              <w:tab w:val="right" w:leader="dot" w:pos="9628"/>
            </w:tabs>
            <w:spacing w:line="360" w:lineRule="auto"/>
            <w:rPr>
              <w:rFonts w:ascii="Arial" w:hAnsi="Arial" w:cs="Arial"/>
              <w:szCs w:val="22"/>
            </w:rPr>
          </w:pPr>
          <w:r>
            <w:fldChar w:fldCharType="begin"/>
          </w:r>
          <w:r>
            <w:instrText xml:space="preserve"> HYPERLINK \l "_Toc478047074" </w:instrText>
          </w:r>
          <w:r>
            <w:fldChar w:fldCharType="separate"/>
          </w:r>
          <w:r>
            <w:rPr>
              <w:rStyle w:val="17"/>
              <w:rFonts w:ascii="Arial" w:hAnsi="Arial" w:eastAsia="宋体" w:cs="Arial"/>
              <w:b/>
              <w:bCs/>
              <w:kern w:val="0"/>
            </w:rPr>
            <w:t>3.2.3</w:t>
          </w:r>
          <w:r>
            <w:rPr>
              <w:rFonts w:ascii="Arial" w:hAnsi="Arial" w:cs="Arial"/>
              <w:szCs w:val="22"/>
            </w:rPr>
            <w:tab/>
          </w:r>
          <w:r>
            <w:rPr>
              <w:rStyle w:val="17"/>
              <w:rFonts w:ascii="Arial" w:hAnsi="Arial" w:eastAsia="宋体" w:cs="Arial"/>
              <w:b/>
              <w:bCs/>
              <w:kern w:val="0"/>
            </w:rPr>
            <w:t>研究设计</w:t>
          </w:r>
          <w:r>
            <w:rPr>
              <w:rFonts w:ascii="Arial" w:hAnsi="Arial" w:cs="Arial"/>
            </w:rPr>
            <w:tab/>
          </w:r>
          <w:r>
            <w:rPr>
              <w:rFonts w:ascii="Arial" w:hAnsi="Arial" w:cs="Arial"/>
            </w:rPr>
            <w:fldChar w:fldCharType="begin"/>
          </w:r>
          <w:r>
            <w:rPr>
              <w:rFonts w:ascii="Arial" w:hAnsi="Arial" w:cs="Arial"/>
            </w:rPr>
            <w:instrText xml:space="preserve"> PAGEREF _Toc478047074 \h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fldChar w:fldCharType="end"/>
          </w:r>
        </w:p>
        <w:p w14:paraId="059BB1DD">
          <w:pPr>
            <w:pStyle w:val="11"/>
            <w:tabs>
              <w:tab w:val="left" w:pos="2940"/>
              <w:tab w:val="right" w:leader="dot" w:pos="9628"/>
            </w:tabs>
            <w:spacing w:line="360" w:lineRule="auto"/>
            <w:rPr>
              <w:rFonts w:ascii="Arial" w:hAnsi="Arial" w:cs="Arial"/>
              <w:szCs w:val="22"/>
            </w:rPr>
          </w:pPr>
          <w:r>
            <w:fldChar w:fldCharType="begin"/>
          </w:r>
          <w:r>
            <w:instrText xml:space="preserve"> HYPERLINK \l "_Toc478047075" </w:instrText>
          </w:r>
          <w:r>
            <w:fldChar w:fldCharType="separate"/>
          </w:r>
          <w:r>
            <w:rPr>
              <w:rStyle w:val="17"/>
              <w:rFonts w:ascii="Arial" w:hAnsi="Arial" w:eastAsia="宋体" w:cs="Arial"/>
              <w:b/>
            </w:rPr>
            <w:t>3.2.3.1</w:t>
          </w:r>
          <w:r>
            <w:rPr>
              <w:rFonts w:ascii="Arial" w:hAnsi="Arial" w:cs="Arial"/>
              <w:szCs w:val="22"/>
            </w:rPr>
            <w:tab/>
          </w:r>
          <w:r>
            <w:rPr>
              <w:rStyle w:val="17"/>
              <w:rFonts w:ascii="Arial" w:hAnsi="Arial" w:eastAsia="宋体" w:cs="Arial"/>
              <w:b/>
            </w:rPr>
            <w:t>侧眼治疗</w:t>
          </w:r>
          <w:r>
            <w:rPr>
              <w:rFonts w:ascii="Arial" w:hAnsi="Arial" w:cs="Arial"/>
            </w:rPr>
            <w:tab/>
          </w:r>
          <w:r>
            <w:rPr>
              <w:rFonts w:ascii="Arial" w:hAnsi="Arial" w:cs="Arial"/>
            </w:rPr>
            <w:fldChar w:fldCharType="begin"/>
          </w:r>
          <w:r>
            <w:rPr>
              <w:rFonts w:ascii="Arial" w:hAnsi="Arial" w:cs="Arial"/>
            </w:rPr>
            <w:instrText xml:space="preserve"> PAGEREF _Toc478047075 \h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fldChar w:fldCharType="end"/>
          </w:r>
        </w:p>
        <w:p w14:paraId="50E94E8D">
          <w:pPr>
            <w:pStyle w:val="11"/>
            <w:tabs>
              <w:tab w:val="left" w:pos="2940"/>
              <w:tab w:val="right" w:leader="dot" w:pos="9628"/>
            </w:tabs>
            <w:spacing w:line="360" w:lineRule="auto"/>
            <w:rPr>
              <w:rFonts w:ascii="Arial" w:hAnsi="Arial" w:cs="Arial"/>
              <w:szCs w:val="22"/>
            </w:rPr>
          </w:pPr>
          <w:r>
            <w:fldChar w:fldCharType="begin"/>
          </w:r>
          <w:r>
            <w:instrText xml:space="preserve"> HYPERLINK \l "_Toc478047076" </w:instrText>
          </w:r>
          <w:r>
            <w:fldChar w:fldCharType="separate"/>
          </w:r>
          <w:r>
            <w:rPr>
              <w:rStyle w:val="17"/>
              <w:rFonts w:ascii="Arial" w:hAnsi="Arial" w:eastAsia="宋体" w:cs="Arial"/>
              <w:b/>
            </w:rPr>
            <w:t>3.2.3.2</w:t>
          </w:r>
          <w:r>
            <w:rPr>
              <w:rFonts w:ascii="Arial" w:hAnsi="Arial" w:cs="Arial"/>
              <w:szCs w:val="22"/>
            </w:rPr>
            <w:tab/>
          </w:r>
          <w:r>
            <w:rPr>
              <w:rStyle w:val="17"/>
              <w:rFonts w:ascii="Arial" w:hAnsi="Arial" w:eastAsia="宋体" w:cs="Arial"/>
              <w:b/>
            </w:rPr>
            <w:t>重复治疗程序</w:t>
          </w:r>
          <w:r>
            <w:rPr>
              <w:rFonts w:ascii="Arial" w:hAnsi="Arial" w:cs="Arial"/>
            </w:rPr>
            <w:tab/>
          </w:r>
          <w:r>
            <w:rPr>
              <w:rFonts w:ascii="Arial" w:hAnsi="Arial" w:cs="Arial"/>
            </w:rPr>
            <w:fldChar w:fldCharType="begin"/>
          </w:r>
          <w:r>
            <w:rPr>
              <w:rFonts w:ascii="Arial" w:hAnsi="Arial" w:cs="Arial"/>
            </w:rPr>
            <w:instrText xml:space="preserve"> PAGEREF _Toc478047076 \h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fldChar w:fldCharType="end"/>
          </w:r>
        </w:p>
        <w:p w14:paraId="7D910F51">
          <w:pPr>
            <w:pStyle w:val="5"/>
            <w:tabs>
              <w:tab w:val="left" w:pos="1680"/>
              <w:tab w:val="right" w:leader="dot" w:pos="9628"/>
            </w:tabs>
            <w:spacing w:line="360" w:lineRule="auto"/>
            <w:rPr>
              <w:rFonts w:ascii="Arial" w:hAnsi="Arial" w:cs="Arial"/>
              <w:szCs w:val="22"/>
            </w:rPr>
          </w:pPr>
          <w:r>
            <w:fldChar w:fldCharType="begin"/>
          </w:r>
          <w:r>
            <w:instrText xml:space="preserve"> HYPERLINK \l "_Toc478047077" </w:instrText>
          </w:r>
          <w:r>
            <w:fldChar w:fldCharType="separate"/>
          </w:r>
          <w:r>
            <w:rPr>
              <w:rStyle w:val="17"/>
              <w:rFonts w:ascii="Arial" w:hAnsi="Arial" w:eastAsia="宋体" w:cs="Arial"/>
              <w:b/>
            </w:rPr>
            <w:t>3.2.4</w:t>
          </w:r>
          <w:r>
            <w:rPr>
              <w:rFonts w:ascii="Arial" w:hAnsi="Arial" w:cs="Arial"/>
              <w:szCs w:val="22"/>
            </w:rPr>
            <w:tab/>
          </w:r>
          <w:r>
            <w:rPr>
              <w:rStyle w:val="17"/>
              <w:rFonts w:ascii="Arial" w:hAnsi="Arial" w:eastAsia="宋体" w:cs="Arial"/>
              <w:b/>
            </w:rPr>
            <w:t>患者人群（纳入/排除标准）</w:t>
          </w:r>
          <w:r>
            <w:rPr>
              <w:rFonts w:ascii="Arial" w:hAnsi="Arial" w:cs="Arial"/>
            </w:rPr>
            <w:tab/>
          </w:r>
          <w:r>
            <w:rPr>
              <w:rFonts w:ascii="Arial" w:hAnsi="Arial" w:cs="Arial"/>
            </w:rPr>
            <w:fldChar w:fldCharType="begin"/>
          </w:r>
          <w:r>
            <w:rPr>
              <w:rFonts w:ascii="Arial" w:hAnsi="Arial" w:cs="Arial"/>
            </w:rPr>
            <w:instrText xml:space="preserve"> PAGEREF _Toc478047077 \h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fldChar w:fldCharType="end"/>
          </w:r>
        </w:p>
        <w:p w14:paraId="089A5B86">
          <w:pPr>
            <w:pStyle w:val="11"/>
            <w:tabs>
              <w:tab w:val="left" w:pos="2940"/>
              <w:tab w:val="right" w:leader="dot" w:pos="9628"/>
            </w:tabs>
            <w:spacing w:line="360" w:lineRule="auto"/>
            <w:rPr>
              <w:rFonts w:ascii="Arial" w:hAnsi="Arial" w:cs="Arial"/>
              <w:szCs w:val="22"/>
            </w:rPr>
          </w:pPr>
          <w:r>
            <w:fldChar w:fldCharType="begin"/>
          </w:r>
          <w:r>
            <w:instrText xml:space="preserve"> HYPERLINK \l "_Toc478047078" </w:instrText>
          </w:r>
          <w:r>
            <w:fldChar w:fldCharType="separate"/>
          </w:r>
          <w:r>
            <w:rPr>
              <w:rStyle w:val="17"/>
              <w:rFonts w:ascii="Arial" w:hAnsi="Arial" w:eastAsia="宋体" w:cs="Arial"/>
              <w:b/>
            </w:rPr>
            <w:t>3.2.4.1</w:t>
          </w:r>
          <w:r>
            <w:rPr>
              <w:rFonts w:ascii="Arial" w:hAnsi="Arial" w:cs="Arial"/>
              <w:szCs w:val="22"/>
            </w:rPr>
            <w:tab/>
          </w:r>
          <w:r>
            <w:rPr>
              <w:rStyle w:val="17"/>
              <w:rFonts w:ascii="Arial" w:hAnsi="Arial" w:eastAsia="宋体" w:cs="Arial"/>
              <w:b/>
            </w:rPr>
            <w:t>纳入标准：</w:t>
          </w:r>
          <w:r>
            <w:rPr>
              <w:rFonts w:ascii="Arial" w:hAnsi="Arial" w:cs="Arial"/>
            </w:rPr>
            <w:tab/>
          </w:r>
          <w:r>
            <w:rPr>
              <w:rFonts w:ascii="Arial" w:hAnsi="Arial" w:cs="Arial"/>
            </w:rPr>
            <w:fldChar w:fldCharType="begin"/>
          </w:r>
          <w:r>
            <w:rPr>
              <w:rFonts w:ascii="Arial" w:hAnsi="Arial" w:cs="Arial"/>
            </w:rPr>
            <w:instrText xml:space="preserve"> PAGEREF _Toc478047078 \h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fldChar w:fldCharType="end"/>
          </w:r>
        </w:p>
        <w:p w14:paraId="3C9F6A84">
          <w:pPr>
            <w:pStyle w:val="11"/>
            <w:tabs>
              <w:tab w:val="left" w:pos="2940"/>
              <w:tab w:val="right" w:leader="dot" w:pos="9628"/>
            </w:tabs>
            <w:spacing w:line="360" w:lineRule="auto"/>
            <w:rPr>
              <w:rFonts w:ascii="Arial" w:hAnsi="Arial" w:cs="Arial"/>
              <w:szCs w:val="22"/>
            </w:rPr>
          </w:pPr>
          <w:r>
            <w:fldChar w:fldCharType="begin"/>
          </w:r>
          <w:r>
            <w:instrText xml:space="preserve"> HYPERLINK \l "_Toc478047079" </w:instrText>
          </w:r>
          <w:r>
            <w:fldChar w:fldCharType="separate"/>
          </w:r>
          <w:r>
            <w:rPr>
              <w:rStyle w:val="17"/>
              <w:rFonts w:ascii="Arial" w:hAnsi="Arial" w:eastAsia="宋体" w:cs="Arial"/>
              <w:b/>
            </w:rPr>
            <w:t>3.2.4.2</w:t>
          </w:r>
          <w:r>
            <w:rPr>
              <w:rFonts w:ascii="Arial" w:hAnsi="Arial" w:cs="Arial"/>
              <w:szCs w:val="22"/>
            </w:rPr>
            <w:tab/>
          </w:r>
          <w:r>
            <w:rPr>
              <w:rStyle w:val="17"/>
              <w:rFonts w:ascii="Arial" w:hAnsi="Arial" w:eastAsia="宋体" w:cs="Arial"/>
              <w:b/>
            </w:rPr>
            <w:t>排除标准</w:t>
          </w:r>
          <w:r>
            <w:rPr>
              <w:rFonts w:ascii="Arial" w:hAnsi="Arial" w:cs="Arial"/>
            </w:rPr>
            <w:tab/>
          </w:r>
          <w:r>
            <w:rPr>
              <w:rFonts w:ascii="Arial" w:hAnsi="Arial" w:cs="Arial"/>
            </w:rPr>
            <w:fldChar w:fldCharType="begin"/>
          </w:r>
          <w:r>
            <w:rPr>
              <w:rFonts w:ascii="Arial" w:hAnsi="Arial" w:cs="Arial"/>
            </w:rPr>
            <w:instrText xml:space="preserve"> PAGEREF _Toc478047079 \h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fldChar w:fldCharType="end"/>
          </w:r>
        </w:p>
        <w:p w14:paraId="471AFEB3">
          <w:pPr>
            <w:pStyle w:val="5"/>
            <w:tabs>
              <w:tab w:val="left" w:pos="1680"/>
              <w:tab w:val="right" w:leader="dot" w:pos="9628"/>
            </w:tabs>
            <w:spacing w:line="360" w:lineRule="auto"/>
            <w:rPr>
              <w:rFonts w:ascii="Arial" w:hAnsi="Arial" w:cs="Arial"/>
              <w:szCs w:val="22"/>
            </w:rPr>
          </w:pPr>
          <w:r>
            <w:fldChar w:fldCharType="begin"/>
          </w:r>
          <w:r>
            <w:instrText xml:space="preserve"> HYPERLINK \l "_Toc478047080" </w:instrText>
          </w:r>
          <w:r>
            <w:fldChar w:fldCharType="separate"/>
          </w:r>
          <w:r>
            <w:rPr>
              <w:rStyle w:val="17"/>
              <w:rFonts w:ascii="Arial" w:hAnsi="Arial" w:eastAsia="宋体" w:cs="Arial"/>
              <w:b/>
            </w:rPr>
            <w:t>3.2.5</w:t>
          </w:r>
          <w:r>
            <w:rPr>
              <w:rFonts w:ascii="Arial" w:hAnsi="Arial" w:cs="Arial"/>
              <w:szCs w:val="22"/>
            </w:rPr>
            <w:tab/>
          </w:r>
          <w:r>
            <w:rPr>
              <w:rStyle w:val="17"/>
              <w:rFonts w:ascii="Arial" w:hAnsi="Arial" w:eastAsia="宋体" w:cs="Arial"/>
              <w:b/>
            </w:rPr>
            <w:t>研究程序，检查条件和技术</w:t>
          </w:r>
          <w:r>
            <w:rPr>
              <w:rFonts w:ascii="Arial" w:hAnsi="Arial" w:cs="Arial"/>
            </w:rPr>
            <w:tab/>
          </w:r>
          <w:r>
            <w:rPr>
              <w:rFonts w:ascii="Arial" w:hAnsi="Arial" w:cs="Arial"/>
            </w:rPr>
            <w:fldChar w:fldCharType="begin"/>
          </w:r>
          <w:r>
            <w:rPr>
              <w:rFonts w:ascii="Arial" w:hAnsi="Arial" w:cs="Arial"/>
            </w:rPr>
            <w:instrText xml:space="preserve"> PAGEREF _Toc478047080 \h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fldChar w:fldCharType="end"/>
          </w:r>
        </w:p>
        <w:p w14:paraId="0F088051">
          <w:pPr>
            <w:pStyle w:val="11"/>
            <w:tabs>
              <w:tab w:val="left" w:pos="2940"/>
              <w:tab w:val="right" w:leader="dot" w:pos="9628"/>
            </w:tabs>
            <w:spacing w:line="360" w:lineRule="auto"/>
            <w:rPr>
              <w:rFonts w:ascii="Arial" w:hAnsi="Arial" w:cs="Arial"/>
              <w:szCs w:val="22"/>
            </w:rPr>
          </w:pPr>
          <w:r>
            <w:fldChar w:fldCharType="begin"/>
          </w:r>
          <w:r>
            <w:instrText xml:space="preserve"> HYPERLINK \l "_Toc478047081" </w:instrText>
          </w:r>
          <w:r>
            <w:fldChar w:fldCharType="separate"/>
          </w:r>
          <w:r>
            <w:rPr>
              <w:rStyle w:val="17"/>
              <w:rFonts w:ascii="Arial" w:hAnsi="Arial" w:eastAsia="宋体" w:cs="Arial"/>
              <w:b/>
            </w:rPr>
            <w:t>3.2.5.1</w:t>
          </w:r>
          <w:r>
            <w:rPr>
              <w:rFonts w:ascii="Arial" w:hAnsi="Arial" w:cs="Arial"/>
              <w:szCs w:val="22"/>
            </w:rPr>
            <w:tab/>
          </w:r>
          <w:r>
            <w:rPr>
              <w:rStyle w:val="17"/>
              <w:rFonts w:ascii="Arial" w:hAnsi="Arial" w:eastAsia="宋体" w:cs="Arial"/>
              <w:b/>
            </w:rPr>
            <w:t>术前评估和手术方案</w:t>
          </w:r>
          <w:r>
            <w:rPr>
              <w:rFonts w:ascii="Arial" w:hAnsi="Arial" w:cs="Arial"/>
            </w:rPr>
            <w:tab/>
          </w:r>
          <w:r>
            <w:rPr>
              <w:rFonts w:ascii="Arial" w:hAnsi="Arial" w:cs="Arial"/>
            </w:rPr>
            <w:fldChar w:fldCharType="begin"/>
          </w:r>
          <w:r>
            <w:rPr>
              <w:rFonts w:ascii="Arial" w:hAnsi="Arial" w:cs="Arial"/>
            </w:rPr>
            <w:instrText xml:space="preserve"> PAGEREF _Toc478047081 \h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fldChar w:fldCharType="end"/>
          </w:r>
        </w:p>
        <w:p w14:paraId="7147A688">
          <w:pPr>
            <w:pStyle w:val="11"/>
            <w:tabs>
              <w:tab w:val="left" w:pos="2940"/>
              <w:tab w:val="right" w:leader="dot" w:pos="9628"/>
            </w:tabs>
            <w:spacing w:line="360" w:lineRule="auto"/>
            <w:rPr>
              <w:rFonts w:ascii="Arial" w:hAnsi="Arial" w:cs="Arial"/>
              <w:szCs w:val="22"/>
            </w:rPr>
          </w:pPr>
          <w:r>
            <w:fldChar w:fldCharType="begin"/>
          </w:r>
          <w:r>
            <w:instrText xml:space="preserve"> HYPERLINK \l "_Toc478047082" </w:instrText>
          </w:r>
          <w:r>
            <w:fldChar w:fldCharType="separate"/>
          </w:r>
          <w:r>
            <w:rPr>
              <w:rStyle w:val="17"/>
              <w:rFonts w:ascii="Arial" w:hAnsi="Arial" w:eastAsia="宋体" w:cs="Arial"/>
              <w:b/>
            </w:rPr>
            <w:t>3.2.5.2</w:t>
          </w:r>
          <w:r>
            <w:rPr>
              <w:rFonts w:ascii="Arial" w:hAnsi="Arial" w:cs="Arial"/>
              <w:szCs w:val="22"/>
            </w:rPr>
            <w:tab/>
          </w:r>
          <w:r>
            <w:rPr>
              <w:rStyle w:val="17"/>
              <w:rFonts w:ascii="Arial" w:hAnsi="Arial" w:eastAsia="宋体" w:cs="Arial"/>
              <w:b/>
            </w:rPr>
            <w:t>手术程序</w:t>
          </w:r>
          <w:r>
            <w:rPr>
              <w:rFonts w:ascii="Arial" w:hAnsi="Arial" w:cs="Arial"/>
            </w:rPr>
            <w:tab/>
          </w:r>
          <w:r>
            <w:rPr>
              <w:rFonts w:ascii="Arial" w:hAnsi="Arial" w:cs="Arial"/>
            </w:rPr>
            <w:fldChar w:fldCharType="begin"/>
          </w:r>
          <w:r>
            <w:rPr>
              <w:rFonts w:ascii="Arial" w:hAnsi="Arial" w:cs="Arial"/>
            </w:rPr>
            <w:instrText xml:space="preserve"> PAGEREF _Toc478047082 \h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fldChar w:fldCharType="end"/>
          </w:r>
        </w:p>
        <w:p w14:paraId="7E708800">
          <w:pPr>
            <w:pStyle w:val="11"/>
            <w:tabs>
              <w:tab w:val="left" w:pos="2940"/>
              <w:tab w:val="right" w:leader="dot" w:pos="9628"/>
            </w:tabs>
            <w:spacing w:line="360" w:lineRule="auto"/>
            <w:rPr>
              <w:rFonts w:ascii="Arial" w:hAnsi="Arial" w:cs="Arial"/>
              <w:szCs w:val="22"/>
            </w:rPr>
          </w:pPr>
          <w:r>
            <w:fldChar w:fldCharType="begin"/>
          </w:r>
          <w:r>
            <w:instrText xml:space="preserve"> HYPERLINK \l "_Toc478047083" </w:instrText>
          </w:r>
          <w:r>
            <w:fldChar w:fldCharType="separate"/>
          </w:r>
          <w:r>
            <w:rPr>
              <w:rStyle w:val="17"/>
              <w:rFonts w:ascii="Arial" w:hAnsi="Arial" w:eastAsia="宋体" w:cs="Arial"/>
              <w:b/>
            </w:rPr>
            <w:t>3.2.5.3</w:t>
          </w:r>
          <w:r>
            <w:rPr>
              <w:rFonts w:ascii="Arial" w:hAnsi="Arial" w:cs="Arial"/>
              <w:szCs w:val="22"/>
            </w:rPr>
            <w:tab/>
          </w:r>
          <w:r>
            <w:rPr>
              <w:rStyle w:val="17"/>
              <w:rFonts w:ascii="Arial" w:hAnsi="Arial" w:eastAsia="宋体" w:cs="Arial"/>
              <w:b/>
            </w:rPr>
            <w:t>手术报告</w:t>
          </w:r>
          <w:r>
            <w:rPr>
              <w:rFonts w:ascii="Arial" w:hAnsi="Arial" w:cs="Arial"/>
            </w:rPr>
            <w:tab/>
          </w:r>
          <w:r>
            <w:rPr>
              <w:rFonts w:ascii="Arial" w:hAnsi="Arial" w:cs="Arial"/>
            </w:rPr>
            <w:fldChar w:fldCharType="begin"/>
          </w:r>
          <w:r>
            <w:rPr>
              <w:rFonts w:ascii="Arial" w:hAnsi="Arial" w:cs="Arial"/>
            </w:rPr>
            <w:instrText xml:space="preserve"> PAGEREF _Toc478047083 \h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end"/>
          </w:r>
        </w:p>
        <w:p w14:paraId="32A7F35B">
          <w:pPr>
            <w:pStyle w:val="11"/>
            <w:tabs>
              <w:tab w:val="left" w:pos="2940"/>
              <w:tab w:val="right" w:leader="dot" w:pos="9628"/>
            </w:tabs>
            <w:spacing w:line="360" w:lineRule="auto"/>
            <w:rPr>
              <w:rFonts w:ascii="Arial" w:hAnsi="Arial" w:cs="Arial"/>
              <w:szCs w:val="22"/>
            </w:rPr>
          </w:pPr>
          <w:r>
            <w:fldChar w:fldCharType="begin"/>
          </w:r>
          <w:r>
            <w:instrText xml:space="preserve"> HYPERLINK \l "_Toc478047084" </w:instrText>
          </w:r>
          <w:r>
            <w:fldChar w:fldCharType="separate"/>
          </w:r>
          <w:r>
            <w:rPr>
              <w:rStyle w:val="17"/>
              <w:rFonts w:ascii="Arial" w:hAnsi="Arial" w:eastAsia="宋体" w:cs="Arial"/>
              <w:b/>
            </w:rPr>
            <w:t>3.2.5.4</w:t>
          </w:r>
          <w:r>
            <w:rPr>
              <w:rFonts w:ascii="Arial" w:hAnsi="Arial" w:cs="Arial"/>
              <w:szCs w:val="22"/>
            </w:rPr>
            <w:tab/>
          </w:r>
          <w:r>
            <w:rPr>
              <w:rStyle w:val="17"/>
              <w:rFonts w:ascii="Arial" w:hAnsi="Arial" w:eastAsia="宋体" w:cs="Arial"/>
              <w:b/>
            </w:rPr>
            <w:t>访视时间表</w:t>
          </w:r>
          <w:r>
            <w:rPr>
              <w:rFonts w:ascii="Arial" w:hAnsi="Arial" w:cs="Arial"/>
            </w:rPr>
            <w:tab/>
          </w:r>
          <w:r>
            <w:rPr>
              <w:rFonts w:ascii="Arial" w:hAnsi="Arial" w:cs="Arial"/>
            </w:rPr>
            <w:fldChar w:fldCharType="begin"/>
          </w:r>
          <w:r>
            <w:rPr>
              <w:rFonts w:ascii="Arial" w:hAnsi="Arial" w:cs="Arial"/>
            </w:rPr>
            <w:instrText xml:space="preserve"> PAGEREF _Toc478047084 \h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end"/>
          </w:r>
        </w:p>
        <w:p w14:paraId="0C6BABEB">
          <w:pPr>
            <w:pStyle w:val="11"/>
            <w:tabs>
              <w:tab w:val="left" w:pos="2940"/>
              <w:tab w:val="right" w:leader="dot" w:pos="9628"/>
            </w:tabs>
            <w:spacing w:line="360" w:lineRule="auto"/>
            <w:rPr>
              <w:rFonts w:ascii="Arial" w:hAnsi="Arial" w:cs="Arial"/>
              <w:szCs w:val="22"/>
            </w:rPr>
          </w:pPr>
          <w:r>
            <w:fldChar w:fldCharType="begin"/>
          </w:r>
          <w:r>
            <w:instrText xml:space="preserve"> HYPERLINK \l "_Toc478047085" </w:instrText>
          </w:r>
          <w:r>
            <w:fldChar w:fldCharType="separate"/>
          </w:r>
          <w:r>
            <w:rPr>
              <w:rStyle w:val="17"/>
              <w:rFonts w:ascii="Arial" w:hAnsi="Arial" w:eastAsia="宋体" w:cs="Arial"/>
              <w:b/>
            </w:rPr>
            <w:t>3.2.5.5</w:t>
          </w:r>
          <w:r>
            <w:rPr>
              <w:rFonts w:ascii="Arial" w:hAnsi="Arial" w:cs="Arial"/>
              <w:szCs w:val="22"/>
            </w:rPr>
            <w:tab/>
          </w:r>
          <w:r>
            <w:rPr>
              <w:rStyle w:val="17"/>
              <w:rFonts w:ascii="Arial" w:hAnsi="Arial" w:eastAsia="宋体" w:cs="Arial"/>
              <w:b/>
            </w:rPr>
            <w:t>术后评价</w:t>
          </w:r>
          <w:r>
            <w:rPr>
              <w:rFonts w:ascii="Arial" w:hAnsi="Arial" w:cs="Arial"/>
            </w:rPr>
            <w:tab/>
          </w:r>
          <w:r>
            <w:rPr>
              <w:rFonts w:ascii="Arial" w:hAnsi="Arial" w:cs="Arial"/>
            </w:rPr>
            <w:fldChar w:fldCharType="begin"/>
          </w:r>
          <w:r>
            <w:rPr>
              <w:rFonts w:ascii="Arial" w:hAnsi="Arial" w:cs="Arial"/>
            </w:rPr>
            <w:instrText xml:space="preserve"> PAGEREF _Toc478047085 \h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end"/>
          </w:r>
        </w:p>
        <w:p w14:paraId="57DCD2D5">
          <w:pPr>
            <w:pStyle w:val="11"/>
            <w:tabs>
              <w:tab w:val="left" w:pos="2940"/>
              <w:tab w:val="right" w:leader="dot" w:pos="9628"/>
            </w:tabs>
            <w:spacing w:line="360" w:lineRule="auto"/>
            <w:rPr>
              <w:rFonts w:ascii="Arial" w:hAnsi="Arial" w:cs="Arial"/>
              <w:szCs w:val="22"/>
            </w:rPr>
          </w:pPr>
          <w:r>
            <w:fldChar w:fldCharType="begin"/>
          </w:r>
          <w:r>
            <w:instrText xml:space="preserve"> HYPERLINK \l "_Toc478047086" </w:instrText>
          </w:r>
          <w:r>
            <w:fldChar w:fldCharType="separate"/>
          </w:r>
          <w:r>
            <w:rPr>
              <w:rStyle w:val="17"/>
              <w:rFonts w:ascii="Arial" w:hAnsi="Arial" w:eastAsia="宋体" w:cs="Arial"/>
              <w:b/>
            </w:rPr>
            <w:t>3.2.5.6</w:t>
          </w:r>
          <w:r>
            <w:rPr>
              <w:rFonts w:ascii="Arial" w:hAnsi="Arial" w:cs="Arial"/>
              <w:szCs w:val="22"/>
            </w:rPr>
            <w:tab/>
          </w:r>
          <w:r>
            <w:rPr>
              <w:rStyle w:val="17"/>
              <w:rFonts w:ascii="Arial" w:hAnsi="Arial" w:eastAsia="宋体" w:cs="Arial"/>
              <w:b/>
            </w:rPr>
            <w:t>术后给药方案</w:t>
          </w:r>
          <w:r>
            <w:rPr>
              <w:rFonts w:ascii="Arial" w:hAnsi="Arial" w:cs="Arial"/>
            </w:rPr>
            <w:tab/>
          </w:r>
          <w:r>
            <w:rPr>
              <w:rFonts w:ascii="Arial" w:hAnsi="Arial" w:cs="Arial"/>
            </w:rPr>
            <w:fldChar w:fldCharType="begin"/>
          </w:r>
          <w:r>
            <w:rPr>
              <w:rFonts w:ascii="Arial" w:hAnsi="Arial" w:cs="Arial"/>
            </w:rPr>
            <w:instrText xml:space="preserve"> PAGEREF _Toc478047086 \h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end"/>
          </w:r>
        </w:p>
        <w:p w14:paraId="3C7F68A2">
          <w:pPr>
            <w:pStyle w:val="5"/>
            <w:tabs>
              <w:tab w:val="left" w:pos="1680"/>
              <w:tab w:val="right" w:leader="dot" w:pos="9628"/>
            </w:tabs>
            <w:spacing w:line="360" w:lineRule="auto"/>
            <w:rPr>
              <w:rFonts w:ascii="Arial" w:hAnsi="Arial" w:cs="Arial"/>
              <w:szCs w:val="22"/>
            </w:rPr>
          </w:pPr>
          <w:r>
            <w:fldChar w:fldCharType="begin"/>
          </w:r>
          <w:r>
            <w:instrText xml:space="preserve"> HYPERLINK \l "_Toc478047087" </w:instrText>
          </w:r>
          <w:r>
            <w:fldChar w:fldCharType="separate"/>
          </w:r>
          <w:r>
            <w:rPr>
              <w:rStyle w:val="17"/>
              <w:rFonts w:ascii="Arial" w:hAnsi="Arial" w:eastAsia="宋体" w:cs="Arial"/>
              <w:b/>
            </w:rPr>
            <w:t>3.2.6</w:t>
          </w:r>
          <w:r>
            <w:rPr>
              <w:rFonts w:ascii="Arial" w:hAnsi="Arial" w:cs="Arial"/>
              <w:szCs w:val="22"/>
            </w:rPr>
            <w:tab/>
          </w:r>
          <w:r>
            <w:rPr>
              <w:rStyle w:val="17"/>
              <w:rFonts w:ascii="Arial" w:hAnsi="Arial" w:eastAsia="宋体" w:cs="Arial"/>
              <w:b/>
            </w:rPr>
            <w:t>不良事件和并发症</w:t>
          </w:r>
          <w:r>
            <w:rPr>
              <w:rFonts w:ascii="Arial" w:hAnsi="Arial" w:cs="Arial"/>
            </w:rPr>
            <w:tab/>
          </w:r>
          <w:r>
            <w:rPr>
              <w:rFonts w:ascii="Arial" w:hAnsi="Arial" w:cs="Arial"/>
            </w:rPr>
            <w:fldChar w:fldCharType="begin"/>
          </w:r>
          <w:r>
            <w:rPr>
              <w:rFonts w:ascii="Arial" w:hAnsi="Arial" w:cs="Arial"/>
            </w:rPr>
            <w:instrText xml:space="preserve"> PAGEREF _Toc478047087 \h </w:instrText>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fldChar w:fldCharType="end"/>
          </w:r>
        </w:p>
        <w:p w14:paraId="36F95EAE">
          <w:pPr>
            <w:pStyle w:val="11"/>
            <w:tabs>
              <w:tab w:val="left" w:pos="2940"/>
              <w:tab w:val="right" w:leader="dot" w:pos="9628"/>
            </w:tabs>
            <w:spacing w:line="360" w:lineRule="auto"/>
            <w:rPr>
              <w:rFonts w:ascii="Arial" w:hAnsi="Arial" w:cs="Arial"/>
              <w:szCs w:val="22"/>
            </w:rPr>
          </w:pPr>
          <w:r>
            <w:fldChar w:fldCharType="begin"/>
          </w:r>
          <w:r>
            <w:instrText xml:space="preserve"> HYPERLINK \l "_Toc478047088" </w:instrText>
          </w:r>
          <w:r>
            <w:fldChar w:fldCharType="separate"/>
          </w:r>
          <w:r>
            <w:rPr>
              <w:rStyle w:val="17"/>
              <w:rFonts w:ascii="Arial" w:hAnsi="Arial" w:eastAsia="宋体" w:cs="Arial"/>
              <w:b/>
              <w:bCs/>
              <w:kern w:val="0"/>
            </w:rPr>
            <w:t>3.2.6.1</w:t>
          </w:r>
          <w:r>
            <w:rPr>
              <w:rFonts w:ascii="Arial" w:hAnsi="Arial" w:cs="Arial"/>
              <w:szCs w:val="22"/>
            </w:rPr>
            <w:tab/>
          </w:r>
          <w:r>
            <w:rPr>
              <w:rStyle w:val="17"/>
              <w:rFonts w:ascii="Arial" w:hAnsi="Arial" w:eastAsia="宋体" w:cs="Arial"/>
              <w:b/>
              <w:bCs/>
              <w:kern w:val="0"/>
            </w:rPr>
            <w:t>不良事件</w:t>
          </w:r>
          <w:r>
            <w:rPr>
              <w:rFonts w:ascii="Arial" w:hAnsi="Arial" w:cs="Arial"/>
            </w:rPr>
            <w:tab/>
          </w:r>
          <w:r>
            <w:rPr>
              <w:rFonts w:ascii="Arial" w:hAnsi="Arial" w:cs="Arial"/>
            </w:rPr>
            <w:fldChar w:fldCharType="begin"/>
          </w:r>
          <w:r>
            <w:rPr>
              <w:rFonts w:ascii="Arial" w:hAnsi="Arial" w:cs="Arial"/>
            </w:rPr>
            <w:instrText xml:space="preserve"> PAGEREF _Toc478047088 \h </w:instrText>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fldChar w:fldCharType="end"/>
          </w:r>
        </w:p>
        <w:p w14:paraId="1D61DF8F">
          <w:pPr>
            <w:pStyle w:val="11"/>
            <w:tabs>
              <w:tab w:val="left" w:pos="2940"/>
              <w:tab w:val="right" w:leader="dot" w:pos="9628"/>
            </w:tabs>
            <w:spacing w:line="360" w:lineRule="auto"/>
            <w:rPr>
              <w:rFonts w:ascii="Arial" w:hAnsi="Arial" w:cs="Arial"/>
              <w:szCs w:val="22"/>
            </w:rPr>
          </w:pPr>
          <w:r>
            <w:fldChar w:fldCharType="begin"/>
          </w:r>
          <w:r>
            <w:instrText xml:space="preserve"> HYPERLINK \l "_Toc478047089" </w:instrText>
          </w:r>
          <w:r>
            <w:fldChar w:fldCharType="separate"/>
          </w:r>
          <w:r>
            <w:rPr>
              <w:rStyle w:val="17"/>
              <w:rFonts w:ascii="Arial" w:hAnsi="Arial" w:eastAsia="宋体" w:cs="Arial"/>
              <w:b/>
            </w:rPr>
            <w:t>3.2.6.2</w:t>
          </w:r>
          <w:r>
            <w:rPr>
              <w:rFonts w:ascii="Arial" w:hAnsi="Arial" w:cs="Arial"/>
              <w:szCs w:val="22"/>
            </w:rPr>
            <w:tab/>
          </w:r>
          <w:r>
            <w:rPr>
              <w:rStyle w:val="17"/>
              <w:rFonts w:ascii="Arial" w:hAnsi="Arial" w:eastAsia="宋体" w:cs="Arial"/>
              <w:b/>
            </w:rPr>
            <w:t>并发症</w:t>
          </w:r>
          <w:r>
            <w:rPr>
              <w:rFonts w:ascii="Arial" w:hAnsi="Arial" w:cs="Arial"/>
            </w:rPr>
            <w:tab/>
          </w:r>
          <w:r>
            <w:rPr>
              <w:rFonts w:ascii="Arial" w:hAnsi="Arial" w:cs="Arial"/>
            </w:rPr>
            <w:fldChar w:fldCharType="begin"/>
          </w:r>
          <w:r>
            <w:rPr>
              <w:rFonts w:ascii="Arial" w:hAnsi="Arial" w:cs="Arial"/>
            </w:rPr>
            <w:instrText xml:space="preserve"> PAGEREF _Toc478047089 \h </w:instrText>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fldChar w:fldCharType="end"/>
          </w:r>
        </w:p>
        <w:p w14:paraId="23E070F4">
          <w:pPr>
            <w:pStyle w:val="5"/>
            <w:tabs>
              <w:tab w:val="left" w:pos="1680"/>
              <w:tab w:val="right" w:leader="dot" w:pos="9628"/>
            </w:tabs>
            <w:spacing w:line="360" w:lineRule="auto"/>
            <w:rPr>
              <w:rFonts w:ascii="Arial" w:hAnsi="Arial" w:cs="Arial"/>
              <w:szCs w:val="22"/>
            </w:rPr>
          </w:pPr>
          <w:r>
            <w:fldChar w:fldCharType="begin"/>
          </w:r>
          <w:r>
            <w:instrText xml:space="preserve"> HYPERLINK \l "_Toc478047090" </w:instrText>
          </w:r>
          <w:r>
            <w:fldChar w:fldCharType="separate"/>
          </w:r>
          <w:r>
            <w:rPr>
              <w:rStyle w:val="17"/>
              <w:rFonts w:ascii="Arial" w:hAnsi="Arial" w:eastAsia="宋体" w:cs="Arial"/>
              <w:b/>
            </w:rPr>
            <w:t>3.2.7</w:t>
          </w:r>
          <w:r>
            <w:rPr>
              <w:rFonts w:ascii="Arial" w:hAnsi="Arial" w:cs="Arial"/>
              <w:szCs w:val="22"/>
            </w:rPr>
            <w:tab/>
          </w:r>
          <w:r>
            <w:rPr>
              <w:rStyle w:val="17"/>
              <w:rFonts w:ascii="Arial" w:hAnsi="Arial" w:eastAsia="宋体" w:cs="Arial"/>
              <w:b/>
            </w:rPr>
            <w:t>数据收集和管理/统计方法</w:t>
          </w:r>
          <w:r>
            <w:rPr>
              <w:rFonts w:ascii="Arial" w:hAnsi="Arial" w:cs="Arial"/>
            </w:rPr>
            <w:tab/>
          </w:r>
          <w:r>
            <w:rPr>
              <w:rFonts w:ascii="Arial" w:hAnsi="Arial" w:cs="Arial"/>
            </w:rPr>
            <w:fldChar w:fldCharType="begin"/>
          </w:r>
          <w:r>
            <w:rPr>
              <w:rFonts w:ascii="Arial" w:hAnsi="Arial" w:cs="Arial"/>
            </w:rPr>
            <w:instrText xml:space="preserve"> PAGEREF _Toc478047090 \h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end"/>
          </w:r>
        </w:p>
        <w:p w14:paraId="15E7E5A4">
          <w:pPr>
            <w:pStyle w:val="11"/>
            <w:tabs>
              <w:tab w:val="left" w:pos="2940"/>
              <w:tab w:val="right" w:leader="dot" w:pos="9628"/>
            </w:tabs>
            <w:spacing w:line="360" w:lineRule="auto"/>
            <w:rPr>
              <w:rFonts w:ascii="Arial" w:hAnsi="Arial" w:cs="Arial"/>
              <w:szCs w:val="22"/>
            </w:rPr>
          </w:pPr>
          <w:r>
            <w:fldChar w:fldCharType="begin"/>
          </w:r>
          <w:r>
            <w:instrText xml:space="preserve"> HYPERLINK \l "_Toc478047091" </w:instrText>
          </w:r>
          <w:r>
            <w:fldChar w:fldCharType="separate"/>
          </w:r>
          <w:r>
            <w:rPr>
              <w:rStyle w:val="17"/>
              <w:rFonts w:ascii="Arial" w:hAnsi="Arial" w:eastAsia="宋体" w:cs="Arial"/>
              <w:b/>
              <w:bCs/>
              <w:kern w:val="0"/>
            </w:rPr>
            <w:t>3.2.7.1</w:t>
          </w:r>
          <w:r>
            <w:rPr>
              <w:rFonts w:ascii="Arial" w:hAnsi="Arial" w:cs="Arial"/>
              <w:szCs w:val="22"/>
            </w:rPr>
            <w:tab/>
          </w:r>
          <w:r>
            <w:rPr>
              <w:rStyle w:val="17"/>
              <w:rFonts w:ascii="Arial" w:hAnsi="Arial" w:eastAsia="宋体" w:cs="Arial"/>
              <w:b/>
              <w:bCs/>
              <w:kern w:val="0"/>
            </w:rPr>
            <w:t>样本量</w:t>
          </w:r>
          <w:r>
            <w:rPr>
              <w:rFonts w:ascii="Arial" w:hAnsi="Arial" w:cs="Arial"/>
            </w:rPr>
            <w:tab/>
          </w:r>
          <w:r>
            <w:rPr>
              <w:rFonts w:ascii="Arial" w:hAnsi="Arial" w:cs="Arial"/>
            </w:rPr>
            <w:fldChar w:fldCharType="begin"/>
          </w:r>
          <w:r>
            <w:rPr>
              <w:rFonts w:ascii="Arial" w:hAnsi="Arial" w:cs="Arial"/>
            </w:rPr>
            <w:instrText xml:space="preserve"> PAGEREF _Toc478047091 \h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end"/>
          </w:r>
        </w:p>
        <w:p w14:paraId="1212A31F">
          <w:pPr>
            <w:pStyle w:val="11"/>
            <w:tabs>
              <w:tab w:val="left" w:pos="2940"/>
              <w:tab w:val="right" w:leader="dot" w:pos="9628"/>
            </w:tabs>
            <w:spacing w:line="360" w:lineRule="auto"/>
            <w:rPr>
              <w:rFonts w:ascii="Arial" w:hAnsi="Arial" w:cs="Arial"/>
              <w:szCs w:val="22"/>
            </w:rPr>
          </w:pPr>
          <w:r>
            <w:fldChar w:fldCharType="begin"/>
          </w:r>
          <w:r>
            <w:instrText xml:space="preserve"> HYPERLINK \l "_Toc478047092" </w:instrText>
          </w:r>
          <w:r>
            <w:fldChar w:fldCharType="separate"/>
          </w:r>
          <w:r>
            <w:rPr>
              <w:rStyle w:val="17"/>
              <w:rFonts w:ascii="Arial" w:hAnsi="Arial" w:eastAsia="宋体" w:cs="Arial"/>
              <w:b/>
              <w:bCs/>
              <w:kern w:val="0"/>
            </w:rPr>
            <w:t>3.2.7.2</w:t>
          </w:r>
          <w:r>
            <w:rPr>
              <w:rFonts w:ascii="Arial" w:hAnsi="Arial" w:cs="Arial"/>
              <w:szCs w:val="22"/>
            </w:rPr>
            <w:tab/>
          </w:r>
          <w:r>
            <w:rPr>
              <w:rStyle w:val="17"/>
              <w:rFonts w:ascii="Arial" w:hAnsi="Arial" w:eastAsia="宋体" w:cs="Arial"/>
              <w:b/>
              <w:bCs/>
              <w:kern w:val="0"/>
            </w:rPr>
            <w:t>安全目标的估计</w:t>
          </w:r>
          <w:r>
            <w:rPr>
              <w:rFonts w:ascii="Arial" w:hAnsi="Arial" w:cs="Arial"/>
            </w:rPr>
            <w:tab/>
          </w:r>
          <w:r>
            <w:rPr>
              <w:rFonts w:ascii="Arial" w:hAnsi="Arial" w:cs="Arial"/>
            </w:rPr>
            <w:fldChar w:fldCharType="begin"/>
          </w:r>
          <w:r>
            <w:rPr>
              <w:rFonts w:ascii="Arial" w:hAnsi="Arial" w:cs="Arial"/>
            </w:rPr>
            <w:instrText xml:space="preserve"> PAGEREF _Toc478047092 \h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end"/>
          </w:r>
        </w:p>
        <w:p w14:paraId="636EB8BE">
          <w:pPr>
            <w:pStyle w:val="11"/>
            <w:tabs>
              <w:tab w:val="left" w:pos="2940"/>
              <w:tab w:val="right" w:leader="dot" w:pos="9628"/>
            </w:tabs>
            <w:spacing w:line="360" w:lineRule="auto"/>
            <w:rPr>
              <w:rFonts w:ascii="Arial" w:hAnsi="Arial" w:cs="Arial"/>
              <w:szCs w:val="22"/>
            </w:rPr>
          </w:pPr>
          <w:r>
            <w:fldChar w:fldCharType="begin"/>
          </w:r>
          <w:r>
            <w:instrText xml:space="preserve"> HYPERLINK \l "_Toc478047093" </w:instrText>
          </w:r>
          <w:r>
            <w:fldChar w:fldCharType="separate"/>
          </w:r>
          <w:r>
            <w:rPr>
              <w:rStyle w:val="17"/>
              <w:rFonts w:ascii="Arial" w:hAnsi="Arial" w:eastAsia="宋体" w:cs="Arial"/>
              <w:b/>
              <w:bCs/>
              <w:kern w:val="0"/>
            </w:rPr>
            <w:t>3.2.7.3</w:t>
          </w:r>
          <w:r>
            <w:rPr>
              <w:rFonts w:ascii="Arial" w:hAnsi="Arial" w:cs="Arial"/>
              <w:szCs w:val="22"/>
            </w:rPr>
            <w:tab/>
          </w:r>
          <w:r>
            <w:rPr>
              <w:rStyle w:val="17"/>
              <w:rFonts w:ascii="Arial" w:hAnsi="Arial" w:eastAsia="宋体" w:cs="Arial"/>
              <w:b/>
              <w:bCs/>
              <w:kern w:val="0"/>
            </w:rPr>
            <w:t>有效性目标的估计</w:t>
          </w:r>
          <w:r>
            <w:rPr>
              <w:rFonts w:ascii="Arial" w:hAnsi="Arial" w:cs="Arial"/>
            </w:rPr>
            <w:tab/>
          </w:r>
          <w:r>
            <w:rPr>
              <w:rFonts w:ascii="Arial" w:hAnsi="Arial" w:cs="Arial"/>
            </w:rPr>
            <w:fldChar w:fldCharType="begin"/>
          </w:r>
          <w:r>
            <w:rPr>
              <w:rFonts w:ascii="Arial" w:hAnsi="Arial" w:cs="Arial"/>
            </w:rPr>
            <w:instrText xml:space="preserve"> PAGEREF _Toc478047093 \h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end"/>
          </w:r>
        </w:p>
        <w:p w14:paraId="6747A862">
          <w:pPr>
            <w:pStyle w:val="11"/>
            <w:tabs>
              <w:tab w:val="left" w:pos="2940"/>
              <w:tab w:val="right" w:leader="dot" w:pos="9628"/>
            </w:tabs>
            <w:spacing w:line="360" w:lineRule="auto"/>
            <w:rPr>
              <w:rFonts w:ascii="Arial" w:hAnsi="Arial" w:cs="Arial"/>
              <w:szCs w:val="22"/>
            </w:rPr>
          </w:pPr>
          <w:r>
            <w:fldChar w:fldCharType="begin"/>
          </w:r>
          <w:r>
            <w:instrText xml:space="preserve"> HYPERLINK \l "_Toc478047094" </w:instrText>
          </w:r>
          <w:r>
            <w:fldChar w:fldCharType="separate"/>
          </w:r>
          <w:r>
            <w:rPr>
              <w:rStyle w:val="17"/>
              <w:rFonts w:ascii="Arial" w:hAnsi="Arial" w:eastAsia="宋体" w:cs="Arial"/>
              <w:b/>
              <w:bCs/>
              <w:kern w:val="0"/>
            </w:rPr>
            <w:t>3.2.7.4</w:t>
          </w:r>
          <w:r>
            <w:rPr>
              <w:rFonts w:ascii="Arial" w:hAnsi="Arial" w:cs="Arial"/>
              <w:szCs w:val="22"/>
            </w:rPr>
            <w:tab/>
          </w:r>
          <w:r>
            <w:rPr>
              <w:rStyle w:val="17"/>
              <w:rFonts w:ascii="Arial" w:hAnsi="Arial" w:eastAsia="宋体" w:cs="Arial"/>
              <w:b/>
              <w:bCs/>
              <w:kern w:val="0"/>
            </w:rPr>
            <w:t>对照组注意事项</w:t>
          </w:r>
          <w:r>
            <w:rPr>
              <w:rFonts w:ascii="Arial" w:hAnsi="Arial" w:cs="Arial"/>
            </w:rPr>
            <w:tab/>
          </w:r>
          <w:r>
            <w:rPr>
              <w:rFonts w:ascii="Arial" w:hAnsi="Arial" w:cs="Arial"/>
            </w:rPr>
            <w:fldChar w:fldCharType="begin"/>
          </w:r>
          <w:r>
            <w:rPr>
              <w:rFonts w:ascii="Arial" w:hAnsi="Arial" w:cs="Arial"/>
            </w:rPr>
            <w:instrText xml:space="preserve"> PAGEREF _Toc478047094 \h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end"/>
          </w:r>
        </w:p>
        <w:p w14:paraId="37179ADA">
          <w:pPr>
            <w:pStyle w:val="11"/>
            <w:tabs>
              <w:tab w:val="left" w:pos="2940"/>
              <w:tab w:val="right" w:leader="dot" w:pos="9628"/>
            </w:tabs>
            <w:spacing w:line="360" w:lineRule="auto"/>
            <w:rPr>
              <w:rFonts w:ascii="Arial" w:hAnsi="Arial" w:cs="Arial"/>
              <w:szCs w:val="22"/>
            </w:rPr>
          </w:pPr>
          <w:r>
            <w:fldChar w:fldCharType="begin"/>
          </w:r>
          <w:r>
            <w:instrText xml:space="preserve"> HYPERLINK \l "_Toc478047095" </w:instrText>
          </w:r>
          <w:r>
            <w:fldChar w:fldCharType="separate"/>
          </w:r>
          <w:r>
            <w:rPr>
              <w:rStyle w:val="17"/>
              <w:rFonts w:ascii="Arial" w:hAnsi="Arial" w:eastAsia="宋体" w:cs="Arial"/>
              <w:b/>
              <w:bCs/>
              <w:kern w:val="0"/>
            </w:rPr>
            <w:t>3.2.7.5</w:t>
          </w:r>
          <w:r>
            <w:rPr>
              <w:rFonts w:ascii="Arial" w:hAnsi="Arial" w:cs="Arial"/>
              <w:szCs w:val="22"/>
            </w:rPr>
            <w:tab/>
          </w:r>
          <w:r>
            <w:rPr>
              <w:rStyle w:val="17"/>
              <w:rFonts w:ascii="Arial" w:hAnsi="Arial" w:eastAsia="宋体" w:cs="Arial"/>
              <w:b/>
              <w:bCs/>
              <w:kern w:val="0"/>
            </w:rPr>
            <w:t>责任</w:t>
          </w:r>
          <w:r>
            <w:rPr>
              <w:rFonts w:ascii="Arial" w:hAnsi="Arial" w:cs="Arial"/>
            </w:rPr>
            <w:tab/>
          </w:r>
          <w:r>
            <w:rPr>
              <w:rFonts w:ascii="Arial" w:hAnsi="Arial" w:cs="Arial"/>
            </w:rPr>
            <w:fldChar w:fldCharType="begin"/>
          </w:r>
          <w:r>
            <w:rPr>
              <w:rFonts w:ascii="Arial" w:hAnsi="Arial" w:cs="Arial"/>
            </w:rPr>
            <w:instrText xml:space="preserve"> PAGEREF _Toc478047095 \h </w:instrText>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end"/>
          </w:r>
        </w:p>
        <w:p w14:paraId="77ABA877">
          <w:pPr>
            <w:pStyle w:val="11"/>
            <w:tabs>
              <w:tab w:val="left" w:pos="2940"/>
              <w:tab w:val="right" w:leader="dot" w:pos="9628"/>
            </w:tabs>
            <w:spacing w:line="360" w:lineRule="auto"/>
            <w:rPr>
              <w:rFonts w:ascii="Arial" w:hAnsi="Arial" w:cs="Arial"/>
              <w:szCs w:val="22"/>
            </w:rPr>
          </w:pPr>
          <w:r>
            <w:fldChar w:fldCharType="begin"/>
          </w:r>
          <w:r>
            <w:instrText xml:space="preserve"> HYPERLINK \l "_Toc478047096" </w:instrText>
          </w:r>
          <w:r>
            <w:fldChar w:fldCharType="separate"/>
          </w:r>
          <w:r>
            <w:rPr>
              <w:rStyle w:val="17"/>
              <w:rFonts w:ascii="Arial" w:hAnsi="Arial" w:eastAsia="宋体" w:cs="Arial"/>
              <w:b/>
              <w:bCs/>
              <w:kern w:val="0"/>
            </w:rPr>
            <w:t>3.2.7.6</w:t>
          </w:r>
          <w:r>
            <w:rPr>
              <w:rFonts w:ascii="Arial" w:hAnsi="Arial" w:cs="Arial"/>
              <w:szCs w:val="22"/>
            </w:rPr>
            <w:tab/>
          </w:r>
          <w:r>
            <w:rPr>
              <w:rStyle w:val="17"/>
              <w:rFonts w:ascii="Arial" w:hAnsi="Arial" w:eastAsia="宋体" w:cs="Arial"/>
              <w:b/>
              <w:bCs/>
              <w:kern w:val="0"/>
            </w:rPr>
            <w:t>结局注意事项</w:t>
          </w:r>
          <w:r>
            <w:rPr>
              <w:rFonts w:ascii="Arial" w:hAnsi="Arial" w:cs="Arial"/>
            </w:rPr>
            <w:tab/>
          </w:r>
          <w:r>
            <w:rPr>
              <w:rFonts w:ascii="Arial" w:hAnsi="Arial" w:cs="Arial"/>
            </w:rPr>
            <w:fldChar w:fldCharType="begin"/>
          </w:r>
          <w:r>
            <w:rPr>
              <w:rFonts w:ascii="Arial" w:hAnsi="Arial" w:cs="Arial"/>
            </w:rPr>
            <w:instrText xml:space="preserve"> PAGEREF _Toc478047096 \h </w:instrText>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end"/>
          </w:r>
        </w:p>
        <w:p w14:paraId="7B79797D">
          <w:pPr>
            <w:pStyle w:val="11"/>
            <w:tabs>
              <w:tab w:val="left" w:pos="2940"/>
              <w:tab w:val="right" w:leader="dot" w:pos="9628"/>
            </w:tabs>
            <w:spacing w:line="360" w:lineRule="auto"/>
            <w:rPr>
              <w:rFonts w:ascii="Arial" w:hAnsi="Arial" w:cs="Arial"/>
              <w:szCs w:val="22"/>
            </w:rPr>
          </w:pPr>
          <w:r>
            <w:fldChar w:fldCharType="begin"/>
          </w:r>
          <w:r>
            <w:instrText xml:space="preserve"> HYPERLINK \l "_Toc478047097" </w:instrText>
          </w:r>
          <w:r>
            <w:fldChar w:fldCharType="separate"/>
          </w:r>
          <w:r>
            <w:rPr>
              <w:rStyle w:val="17"/>
              <w:rFonts w:ascii="Arial" w:hAnsi="Arial" w:eastAsia="宋体" w:cs="Arial"/>
              <w:b/>
              <w:bCs/>
              <w:kern w:val="0"/>
            </w:rPr>
            <w:t>3.2.7.7</w:t>
          </w:r>
          <w:r>
            <w:rPr>
              <w:rFonts w:ascii="Arial" w:hAnsi="Arial" w:cs="Arial"/>
              <w:szCs w:val="22"/>
            </w:rPr>
            <w:tab/>
          </w:r>
          <w:r>
            <w:rPr>
              <w:rStyle w:val="17"/>
              <w:rFonts w:ascii="Arial" w:hAnsi="Arial" w:eastAsia="宋体" w:cs="Arial"/>
              <w:b/>
              <w:bCs/>
              <w:kern w:val="0"/>
            </w:rPr>
            <w:t>统计分析（同样参见3.2.7的其他部分。）</w:t>
          </w:r>
          <w:r>
            <w:rPr>
              <w:rFonts w:ascii="Arial" w:hAnsi="Arial" w:cs="Arial"/>
            </w:rPr>
            <w:tab/>
          </w:r>
          <w:r>
            <w:rPr>
              <w:rFonts w:ascii="Arial" w:hAnsi="Arial" w:cs="Arial"/>
            </w:rPr>
            <w:fldChar w:fldCharType="begin"/>
          </w:r>
          <w:r>
            <w:rPr>
              <w:rFonts w:ascii="Arial" w:hAnsi="Arial" w:cs="Arial"/>
            </w:rPr>
            <w:instrText xml:space="preserve"> PAGEREF _Toc478047097 \h </w:instrText>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end"/>
          </w:r>
        </w:p>
        <w:p w14:paraId="52DE35DB">
          <w:pPr>
            <w:pStyle w:val="11"/>
            <w:tabs>
              <w:tab w:val="left" w:pos="2940"/>
              <w:tab w:val="right" w:leader="dot" w:pos="9628"/>
            </w:tabs>
            <w:spacing w:line="360" w:lineRule="auto"/>
            <w:rPr>
              <w:rFonts w:ascii="Arial" w:hAnsi="Arial" w:cs="Arial"/>
              <w:szCs w:val="22"/>
            </w:rPr>
          </w:pPr>
          <w:r>
            <w:fldChar w:fldCharType="begin"/>
          </w:r>
          <w:r>
            <w:instrText xml:space="preserve"> HYPERLINK \l "_Toc478047098" </w:instrText>
          </w:r>
          <w:r>
            <w:fldChar w:fldCharType="separate"/>
          </w:r>
          <w:r>
            <w:rPr>
              <w:rStyle w:val="17"/>
              <w:rFonts w:ascii="Arial" w:hAnsi="Arial" w:eastAsia="宋体" w:cs="Arial"/>
              <w:b/>
              <w:bCs/>
              <w:kern w:val="0"/>
            </w:rPr>
            <w:t>3.2.7.8</w:t>
          </w:r>
          <w:r>
            <w:rPr>
              <w:rFonts w:ascii="Arial" w:hAnsi="Arial" w:cs="Arial"/>
              <w:szCs w:val="22"/>
            </w:rPr>
            <w:tab/>
          </w:r>
          <w:r>
            <w:rPr>
              <w:rStyle w:val="17"/>
              <w:rFonts w:ascii="Arial" w:hAnsi="Arial" w:eastAsia="宋体" w:cs="Arial"/>
              <w:b/>
              <w:bCs/>
              <w:kern w:val="0"/>
            </w:rPr>
            <w:t>扩大研究方案</w:t>
          </w:r>
          <w:r>
            <w:rPr>
              <w:rFonts w:ascii="Arial" w:hAnsi="Arial" w:cs="Arial"/>
            </w:rPr>
            <w:tab/>
          </w:r>
          <w:r>
            <w:rPr>
              <w:rFonts w:ascii="Arial" w:hAnsi="Arial" w:cs="Arial"/>
            </w:rPr>
            <w:fldChar w:fldCharType="begin"/>
          </w:r>
          <w:r>
            <w:rPr>
              <w:rFonts w:ascii="Arial" w:hAnsi="Arial" w:cs="Arial"/>
            </w:rPr>
            <w:instrText xml:space="preserve"> PAGEREF _Toc478047098 \h </w:instrText>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end"/>
          </w:r>
        </w:p>
        <w:p w14:paraId="43A15038">
          <w:pPr>
            <w:pStyle w:val="11"/>
            <w:tabs>
              <w:tab w:val="left" w:pos="2940"/>
              <w:tab w:val="right" w:leader="dot" w:pos="9628"/>
            </w:tabs>
            <w:spacing w:line="360" w:lineRule="auto"/>
            <w:ind w:left="2560" w:leftChars="877" w:hanging="718" w:hangingChars="342"/>
            <w:rPr>
              <w:rFonts w:ascii="Arial" w:hAnsi="Arial" w:cs="Arial"/>
              <w:szCs w:val="22"/>
            </w:rPr>
          </w:pPr>
          <w:r>
            <w:fldChar w:fldCharType="begin"/>
          </w:r>
          <w:r>
            <w:instrText xml:space="preserve"> HYPERLINK \l "_Toc478047099" </w:instrText>
          </w:r>
          <w:r>
            <w:fldChar w:fldCharType="separate"/>
          </w:r>
          <w:r>
            <w:rPr>
              <w:rStyle w:val="17"/>
              <w:rFonts w:ascii="Arial" w:hAnsi="Arial" w:cs="Arial"/>
              <w:b/>
            </w:rPr>
            <w:t>3.2.7.8.1</w:t>
          </w:r>
          <w:r>
            <w:rPr>
              <w:rFonts w:ascii="Arial" w:hAnsi="Arial" w:cs="Arial"/>
              <w:b/>
              <w:szCs w:val="22"/>
            </w:rPr>
            <w:tab/>
          </w:r>
          <w:r>
            <w:rPr>
              <w:rStyle w:val="17"/>
              <w:rFonts w:ascii="Arial" w:hAnsi="Arial" w:cs="Arial"/>
              <w:b/>
            </w:rPr>
            <w:t>初步研究</w:t>
          </w:r>
          <w:r>
            <w:rPr>
              <w:rFonts w:ascii="Arial" w:hAnsi="Arial" w:cs="Arial"/>
            </w:rPr>
            <w:tab/>
          </w:r>
          <w:r>
            <w:rPr>
              <w:rFonts w:ascii="Arial" w:hAnsi="Arial" w:cs="Arial"/>
            </w:rPr>
            <w:fldChar w:fldCharType="begin"/>
          </w:r>
          <w:r>
            <w:rPr>
              <w:rFonts w:ascii="Arial" w:hAnsi="Arial" w:cs="Arial"/>
            </w:rPr>
            <w:instrText xml:space="preserve"> PAGEREF _Toc478047099 \h </w:instrText>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end"/>
          </w:r>
        </w:p>
        <w:p w14:paraId="31D72D25">
          <w:pPr>
            <w:pStyle w:val="11"/>
            <w:tabs>
              <w:tab w:val="left" w:pos="2940"/>
              <w:tab w:val="right" w:leader="dot" w:pos="9628"/>
            </w:tabs>
            <w:spacing w:line="360" w:lineRule="auto"/>
            <w:ind w:left="2560" w:leftChars="877" w:hanging="718" w:hangingChars="342"/>
            <w:rPr>
              <w:rFonts w:ascii="Arial" w:hAnsi="Arial" w:cs="Arial"/>
              <w:szCs w:val="22"/>
            </w:rPr>
          </w:pPr>
          <w:r>
            <w:fldChar w:fldCharType="begin"/>
          </w:r>
          <w:r>
            <w:instrText xml:space="preserve"> HYPERLINK \l "_Toc478047100" </w:instrText>
          </w:r>
          <w:r>
            <w:fldChar w:fldCharType="separate"/>
          </w:r>
          <w:r>
            <w:rPr>
              <w:rStyle w:val="17"/>
              <w:rFonts w:ascii="Arial" w:hAnsi="Arial" w:cs="Arial"/>
              <w:b/>
            </w:rPr>
            <w:t>3.2.7.8.2</w:t>
          </w:r>
          <w:r>
            <w:rPr>
              <w:rFonts w:ascii="Arial" w:hAnsi="Arial" w:cs="Arial"/>
              <w:b/>
              <w:szCs w:val="22"/>
            </w:rPr>
            <w:tab/>
          </w:r>
          <w:r>
            <w:rPr>
              <w:rStyle w:val="17"/>
              <w:rFonts w:ascii="Arial" w:hAnsi="Arial" w:cs="Arial"/>
              <w:b/>
            </w:rPr>
            <w:t>明确的研究阶段非必需</w:t>
          </w:r>
          <w:r>
            <w:rPr>
              <w:rFonts w:ascii="Arial" w:hAnsi="Arial" w:cs="Arial"/>
            </w:rPr>
            <w:tab/>
          </w:r>
          <w:r>
            <w:rPr>
              <w:rFonts w:ascii="Arial" w:hAnsi="Arial" w:cs="Arial"/>
            </w:rPr>
            <w:fldChar w:fldCharType="begin"/>
          </w:r>
          <w:r>
            <w:rPr>
              <w:rFonts w:ascii="Arial" w:hAnsi="Arial" w:cs="Arial"/>
            </w:rPr>
            <w:instrText xml:space="preserve"> PAGEREF _Toc478047100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fldChar w:fldCharType="end"/>
          </w:r>
        </w:p>
        <w:p w14:paraId="14007BC6">
          <w:pPr>
            <w:pStyle w:val="11"/>
            <w:tabs>
              <w:tab w:val="left" w:pos="2940"/>
              <w:tab w:val="right" w:leader="dot" w:pos="9628"/>
            </w:tabs>
            <w:spacing w:line="360" w:lineRule="auto"/>
            <w:ind w:left="2560" w:leftChars="877" w:hanging="718" w:hangingChars="342"/>
            <w:rPr>
              <w:rFonts w:ascii="Arial" w:hAnsi="Arial" w:cs="Arial"/>
              <w:szCs w:val="22"/>
            </w:rPr>
          </w:pPr>
          <w:r>
            <w:fldChar w:fldCharType="begin"/>
          </w:r>
          <w:r>
            <w:instrText xml:space="preserve"> HYPERLINK \l "_Toc478047101" </w:instrText>
          </w:r>
          <w:r>
            <w:fldChar w:fldCharType="separate"/>
          </w:r>
          <w:r>
            <w:rPr>
              <w:rStyle w:val="17"/>
              <w:rFonts w:ascii="Arial" w:hAnsi="Arial" w:cs="Arial"/>
              <w:b/>
            </w:rPr>
            <w:t>3.2.7.8.3</w:t>
          </w:r>
          <w:r>
            <w:rPr>
              <w:rFonts w:ascii="Arial" w:hAnsi="Arial" w:cs="Arial"/>
              <w:b/>
              <w:szCs w:val="22"/>
            </w:rPr>
            <w:tab/>
          </w:r>
          <w:r>
            <w:rPr>
              <w:rStyle w:val="17"/>
              <w:rFonts w:ascii="Arial" w:hAnsi="Arial" w:cs="Arial"/>
              <w:b/>
            </w:rPr>
            <w:t>扩大前需要的信息</w:t>
          </w:r>
          <w:r>
            <w:rPr>
              <w:rFonts w:ascii="Arial" w:hAnsi="Arial" w:cs="Arial"/>
            </w:rPr>
            <w:tab/>
          </w:r>
          <w:r>
            <w:rPr>
              <w:rFonts w:ascii="Arial" w:hAnsi="Arial" w:cs="Arial"/>
            </w:rPr>
            <w:fldChar w:fldCharType="begin"/>
          </w:r>
          <w:r>
            <w:rPr>
              <w:rFonts w:ascii="Arial" w:hAnsi="Arial" w:cs="Arial"/>
            </w:rPr>
            <w:instrText xml:space="preserve"> PAGEREF _Toc478047101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fldChar w:fldCharType="end"/>
          </w:r>
        </w:p>
        <w:p w14:paraId="53731D66">
          <w:pPr>
            <w:pStyle w:val="11"/>
            <w:tabs>
              <w:tab w:val="left" w:pos="2940"/>
              <w:tab w:val="right" w:leader="dot" w:pos="9628"/>
            </w:tabs>
            <w:spacing w:line="360" w:lineRule="auto"/>
            <w:ind w:left="2560" w:leftChars="877" w:hanging="718" w:hangingChars="342"/>
            <w:rPr>
              <w:rFonts w:ascii="Arial" w:hAnsi="Arial" w:cs="Arial"/>
              <w:szCs w:val="22"/>
            </w:rPr>
          </w:pPr>
          <w:r>
            <w:fldChar w:fldCharType="begin"/>
          </w:r>
          <w:r>
            <w:instrText xml:space="preserve"> HYPERLINK \l "_Toc478047102" </w:instrText>
          </w:r>
          <w:r>
            <w:fldChar w:fldCharType="separate"/>
          </w:r>
          <w:r>
            <w:rPr>
              <w:rStyle w:val="17"/>
              <w:rFonts w:ascii="Arial" w:hAnsi="Arial" w:cs="Arial"/>
              <w:b/>
            </w:rPr>
            <w:t>3.2.7.8.4</w:t>
          </w:r>
          <w:r>
            <w:rPr>
              <w:rFonts w:ascii="Arial" w:hAnsi="Arial" w:cs="Arial"/>
              <w:b/>
              <w:szCs w:val="22"/>
            </w:rPr>
            <w:tab/>
          </w:r>
          <w:r>
            <w:rPr>
              <w:rStyle w:val="17"/>
              <w:rFonts w:ascii="Arial" w:hAnsi="Arial" w:cs="Arial"/>
              <w:b/>
            </w:rPr>
            <w:t>预期PMA应用</w:t>
          </w:r>
          <w:r>
            <w:rPr>
              <w:rFonts w:ascii="Arial" w:hAnsi="Arial" w:cs="Arial"/>
            </w:rPr>
            <w:tab/>
          </w:r>
          <w:r>
            <w:rPr>
              <w:rFonts w:ascii="Arial" w:hAnsi="Arial" w:cs="Arial"/>
            </w:rPr>
            <w:fldChar w:fldCharType="begin"/>
          </w:r>
          <w:r>
            <w:rPr>
              <w:rFonts w:ascii="Arial" w:hAnsi="Arial" w:cs="Arial"/>
            </w:rPr>
            <w:instrText xml:space="preserve"> PAGEREF _Toc478047102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fldChar w:fldCharType="end"/>
          </w:r>
        </w:p>
        <w:p w14:paraId="5499A685">
          <w:pPr>
            <w:pStyle w:val="12"/>
            <w:tabs>
              <w:tab w:val="left" w:pos="1260"/>
              <w:tab w:val="right" w:leader="dot" w:pos="9628"/>
            </w:tabs>
            <w:spacing w:line="360" w:lineRule="auto"/>
            <w:rPr>
              <w:rFonts w:ascii="Arial" w:hAnsi="Arial" w:cs="Arial"/>
              <w:szCs w:val="22"/>
            </w:rPr>
          </w:pPr>
          <w:r>
            <w:fldChar w:fldCharType="begin"/>
          </w:r>
          <w:r>
            <w:instrText xml:space="preserve"> HYPERLINK \l "_Toc478047103" </w:instrText>
          </w:r>
          <w:r>
            <w:fldChar w:fldCharType="separate"/>
          </w:r>
          <w:r>
            <w:rPr>
              <w:rStyle w:val="17"/>
              <w:rFonts w:ascii="Arial" w:hAnsi="Arial" w:eastAsia="宋体" w:cs="Arial"/>
              <w:b/>
              <w:bCs/>
              <w:kern w:val="0"/>
            </w:rPr>
            <w:t>3.3</w:t>
          </w:r>
          <w:r>
            <w:rPr>
              <w:rFonts w:ascii="Arial" w:hAnsi="Arial" w:cs="Arial"/>
              <w:szCs w:val="22"/>
            </w:rPr>
            <w:tab/>
          </w:r>
          <w:r>
            <w:rPr>
              <w:rStyle w:val="17"/>
              <w:rFonts w:ascii="Arial" w:hAnsi="Arial" w:eastAsia="宋体" w:cs="Arial"/>
              <w:b/>
              <w:bCs/>
              <w:kern w:val="0"/>
            </w:rPr>
            <w:t>风险/收益分析</w:t>
          </w:r>
          <w:r>
            <w:rPr>
              <w:rFonts w:ascii="Arial" w:hAnsi="Arial" w:cs="Arial"/>
            </w:rPr>
            <w:tab/>
          </w:r>
          <w:r>
            <w:rPr>
              <w:rFonts w:ascii="Arial" w:hAnsi="Arial" w:cs="Arial"/>
            </w:rPr>
            <w:fldChar w:fldCharType="begin"/>
          </w:r>
          <w:r>
            <w:rPr>
              <w:rFonts w:ascii="Arial" w:hAnsi="Arial" w:cs="Arial"/>
            </w:rPr>
            <w:instrText xml:space="preserve"> PAGEREF _Toc478047103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fldChar w:fldCharType="end"/>
          </w:r>
        </w:p>
        <w:p w14:paraId="2CC81F85">
          <w:pPr>
            <w:pStyle w:val="12"/>
            <w:tabs>
              <w:tab w:val="left" w:pos="1260"/>
              <w:tab w:val="right" w:leader="dot" w:pos="9628"/>
            </w:tabs>
            <w:spacing w:line="360" w:lineRule="auto"/>
            <w:rPr>
              <w:rFonts w:ascii="Arial" w:hAnsi="Arial" w:cs="Arial"/>
              <w:szCs w:val="22"/>
            </w:rPr>
          </w:pPr>
          <w:r>
            <w:fldChar w:fldCharType="begin"/>
          </w:r>
          <w:r>
            <w:instrText xml:space="preserve"> HYPERLINK \l "_Toc478047104" </w:instrText>
          </w:r>
          <w:r>
            <w:fldChar w:fldCharType="separate"/>
          </w:r>
          <w:r>
            <w:rPr>
              <w:rStyle w:val="17"/>
              <w:rFonts w:ascii="Arial" w:hAnsi="Arial" w:eastAsia="宋体" w:cs="Arial"/>
              <w:b/>
              <w:bCs/>
              <w:kern w:val="0"/>
            </w:rPr>
            <w:t>3.4</w:t>
          </w:r>
          <w:r>
            <w:rPr>
              <w:rFonts w:ascii="Arial" w:hAnsi="Arial" w:cs="Arial"/>
              <w:szCs w:val="22"/>
            </w:rPr>
            <w:tab/>
          </w:r>
          <w:r>
            <w:rPr>
              <w:rStyle w:val="17"/>
              <w:rFonts w:ascii="Arial" w:hAnsi="Arial" w:eastAsia="宋体" w:cs="Arial"/>
              <w:b/>
              <w:bCs/>
              <w:kern w:val="0"/>
            </w:rPr>
            <w:t>器械描述</w:t>
          </w:r>
          <w:r>
            <w:rPr>
              <w:rFonts w:ascii="Arial" w:hAnsi="Arial" w:cs="Arial"/>
            </w:rPr>
            <w:tab/>
          </w:r>
          <w:r>
            <w:rPr>
              <w:rFonts w:ascii="Arial" w:hAnsi="Arial" w:cs="Arial"/>
            </w:rPr>
            <w:fldChar w:fldCharType="begin"/>
          </w:r>
          <w:r>
            <w:rPr>
              <w:rFonts w:ascii="Arial" w:hAnsi="Arial" w:cs="Arial"/>
            </w:rPr>
            <w:instrText xml:space="preserve"> PAGEREF _Toc478047104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fldChar w:fldCharType="end"/>
          </w:r>
        </w:p>
        <w:p w14:paraId="7D8134AB">
          <w:pPr>
            <w:pStyle w:val="5"/>
            <w:tabs>
              <w:tab w:val="left" w:pos="1680"/>
              <w:tab w:val="right" w:leader="dot" w:pos="9628"/>
            </w:tabs>
            <w:spacing w:line="360" w:lineRule="auto"/>
            <w:rPr>
              <w:rFonts w:ascii="Arial" w:hAnsi="Arial" w:cs="Arial"/>
              <w:szCs w:val="22"/>
            </w:rPr>
          </w:pPr>
          <w:r>
            <w:fldChar w:fldCharType="begin"/>
          </w:r>
          <w:r>
            <w:instrText xml:space="preserve"> HYPERLINK \l "_Toc478047105" </w:instrText>
          </w:r>
          <w:r>
            <w:fldChar w:fldCharType="separate"/>
          </w:r>
          <w:r>
            <w:rPr>
              <w:rStyle w:val="17"/>
              <w:rFonts w:ascii="Arial" w:hAnsi="Arial" w:eastAsia="宋体" w:cs="Arial"/>
              <w:b/>
              <w:bCs/>
              <w:kern w:val="0"/>
            </w:rPr>
            <w:t>3.4.1</w:t>
          </w:r>
          <w:r>
            <w:rPr>
              <w:rFonts w:ascii="Arial" w:hAnsi="Arial" w:cs="Arial"/>
              <w:szCs w:val="22"/>
            </w:rPr>
            <w:tab/>
          </w:r>
          <w:r>
            <w:rPr>
              <w:rStyle w:val="17"/>
              <w:rFonts w:ascii="Arial" w:hAnsi="Arial" w:eastAsia="宋体" w:cs="Arial"/>
              <w:b/>
              <w:bCs/>
              <w:kern w:val="0"/>
            </w:rPr>
            <w:t>IDE批准前需要的器械信息</w:t>
          </w:r>
          <w:r>
            <w:rPr>
              <w:rFonts w:ascii="Arial" w:hAnsi="Arial" w:cs="Arial"/>
            </w:rPr>
            <w:tab/>
          </w:r>
          <w:r>
            <w:rPr>
              <w:rFonts w:ascii="Arial" w:hAnsi="Arial" w:cs="Arial"/>
            </w:rPr>
            <w:fldChar w:fldCharType="begin"/>
          </w:r>
          <w:r>
            <w:rPr>
              <w:rFonts w:ascii="Arial" w:hAnsi="Arial" w:cs="Arial"/>
            </w:rPr>
            <w:instrText xml:space="preserve"> PAGEREF _Toc478047105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fldChar w:fldCharType="end"/>
          </w:r>
        </w:p>
        <w:p w14:paraId="4076D2BA">
          <w:pPr>
            <w:pStyle w:val="11"/>
            <w:tabs>
              <w:tab w:val="left" w:pos="2940"/>
              <w:tab w:val="right" w:leader="dot" w:pos="9628"/>
            </w:tabs>
            <w:spacing w:line="360" w:lineRule="auto"/>
            <w:rPr>
              <w:rFonts w:ascii="Arial" w:hAnsi="Arial" w:cs="Arial"/>
              <w:szCs w:val="22"/>
            </w:rPr>
          </w:pPr>
          <w:r>
            <w:fldChar w:fldCharType="begin"/>
          </w:r>
          <w:r>
            <w:instrText xml:space="preserve"> HYPERLINK \l "_Toc478047106" </w:instrText>
          </w:r>
          <w:r>
            <w:fldChar w:fldCharType="separate"/>
          </w:r>
          <w:r>
            <w:rPr>
              <w:rStyle w:val="17"/>
              <w:rFonts w:ascii="Arial" w:hAnsi="Arial" w:eastAsia="宋体" w:cs="Arial"/>
              <w:b/>
              <w:bCs/>
              <w:kern w:val="0"/>
            </w:rPr>
            <w:t>3.4.1.1</w:t>
          </w:r>
          <w:r>
            <w:rPr>
              <w:rFonts w:ascii="Arial" w:hAnsi="Arial" w:cs="Arial"/>
              <w:szCs w:val="22"/>
            </w:rPr>
            <w:tab/>
          </w:r>
          <w:r>
            <w:rPr>
              <w:rStyle w:val="17"/>
              <w:rFonts w:ascii="Arial" w:hAnsi="Arial" w:eastAsia="宋体" w:cs="Arial"/>
              <w:b/>
              <w:bCs/>
              <w:kern w:val="0"/>
            </w:rPr>
            <w:t>电气安全</w:t>
          </w:r>
          <w:r>
            <w:rPr>
              <w:rFonts w:ascii="Arial" w:hAnsi="Arial" w:cs="Arial"/>
            </w:rPr>
            <w:tab/>
          </w:r>
          <w:r>
            <w:rPr>
              <w:rFonts w:ascii="Arial" w:hAnsi="Arial" w:cs="Arial"/>
            </w:rPr>
            <w:fldChar w:fldCharType="begin"/>
          </w:r>
          <w:r>
            <w:rPr>
              <w:rFonts w:ascii="Arial" w:hAnsi="Arial" w:cs="Arial"/>
            </w:rPr>
            <w:instrText xml:space="preserve"> PAGEREF _Toc478047106 \h </w:instrText>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fldChar w:fldCharType="end"/>
          </w:r>
        </w:p>
        <w:p w14:paraId="06C9938D">
          <w:pPr>
            <w:pStyle w:val="11"/>
            <w:tabs>
              <w:tab w:val="left" w:pos="2940"/>
              <w:tab w:val="right" w:leader="dot" w:pos="9628"/>
            </w:tabs>
            <w:spacing w:line="360" w:lineRule="auto"/>
            <w:rPr>
              <w:rFonts w:ascii="Arial" w:hAnsi="Arial" w:cs="Arial"/>
              <w:szCs w:val="22"/>
            </w:rPr>
          </w:pPr>
          <w:r>
            <w:fldChar w:fldCharType="begin"/>
          </w:r>
          <w:r>
            <w:instrText xml:space="preserve"> HYPERLINK \l "_Toc478047107" </w:instrText>
          </w:r>
          <w:r>
            <w:fldChar w:fldCharType="separate"/>
          </w:r>
          <w:r>
            <w:rPr>
              <w:rStyle w:val="17"/>
              <w:rFonts w:ascii="Arial" w:hAnsi="Arial" w:eastAsia="宋体" w:cs="Arial"/>
              <w:b/>
            </w:rPr>
            <w:t>3.4.1.2</w:t>
          </w:r>
          <w:r>
            <w:rPr>
              <w:rFonts w:ascii="Arial" w:hAnsi="Arial" w:cs="Arial"/>
              <w:szCs w:val="22"/>
            </w:rPr>
            <w:tab/>
          </w:r>
          <w:r>
            <w:rPr>
              <w:rStyle w:val="17"/>
              <w:rFonts w:ascii="Arial" w:hAnsi="Arial" w:eastAsia="宋体" w:cs="Arial"/>
              <w:b/>
            </w:rPr>
            <w:t>功能禁用</w:t>
          </w:r>
          <w:r>
            <w:rPr>
              <w:rFonts w:ascii="Arial" w:hAnsi="Arial" w:cs="Arial"/>
            </w:rPr>
            <w:tab/>
          </w:r>
          <w:r>
            <w:rPr>
              <w:rFonts w:ascii="Arial" w:hAnsi="Arial" w:cs="Arial"/>
            </w:rPr>
            <w:fldChar w:fldCharType="begin"/>
          </w:r>
          <w:r>
            <w:rPr>
              <w:rFonts w:ascii="Arial" w:hAnsi="Arial" w:cs="Arial"/>
            </w:rPr>
            <w:instrText xml:space="preserve"> PAGEREF _Toc478047107 \h </w:instrText>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fldChar w:fldCharType="end"/>
          </w:r>
        </w:p>
        <w:p w14:paraId="618A2DE1">
          <w:pPr>
            <w:pStyle w:val="11"/>
            <w:tabs>
              <w:tab w:val="left" w:pos="2940"/>
              <w:tab w:val="right" w:leader="dot" w:pos="9628"/>
            </w:tabs>
            <w:spacing w:line="360" w:lineRule="auto"/>
            <w:rPr>
              <w:rFonts w:ascii="Arial" w:hAnsi="Arial" w:cs="Arial"/>
              <w:szCs w:val="22"/>
            </w:rPr>
          </w:pPr>
          <w:r>
            <w:fldChar w:fldCharType="begin"/>
          </w:r>
          <w:r>
            <w:instrText xml:space="preserve"> HYPERLINK \l "_Toc478047108" </w:instrText>
          </w:r>
          <w:r>
            <w:fldChar w:fldCharType="separate"/>
          </w:r>
          <w:r>
            <w:rPr>
              <w:rStyle w:val="17"/>
              <w:rFonts w:ascii="Arial" w:hAnsi="Arial" w:eastAsia="宋体" w:cs="Arial"/>
              <w:b/>
            </w:rPr>
            <w:t>3.4.1.3</w:t>
          </w:r>
          <w:r>
            <w:rPr>
              <w:rFonts w:ascii="Arial" w:hAnsi="Arial" w:cs="Arial"/>
              <w:szCs w:val="22"/>
            </w:rPr>
            <w:tab/>
          </w:r>
          <w:r>
            <w:rPr>
              <w:rStyle w:val="17"/>
              <w:rFonts w:ascii="Arial" w:hAnsi="Arial" w:eastAsia="宋体" w:cs="Arial"/>
              <w:b/>
            </w:rPr>
            <w:t>关键工程方面</w:t>
          </w:r>
          <w:r>
            <w:rPr>
              <w:rFonts w:ascii="Arial" w:hAnsi="Arial" w:cs="Arial"/>
            </w:rPr>
            <w:tab/>
          </w:r>
          <w:r>
            <w:rPr>
              <w:rFonts w:ascii="Arial" w:hAnsi="Arial" w:cs="Arial"/>
            </w:rPr>
            <w:fldChar w:fldCharType="begin"/>
          </w:r>
          <w:r>
            <w:rPr>
              <w:rFonts w:ascii="Arial" w:hAnsi="Arial" w:cs="Arial"/>
            </w:rPr>
            <w:instrText xml:space="preserve"> PAGEREF _Toc478047108 \h </w:instrText>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fldChar w:fldCharType="end"/>
          </w:r>
        </w:p>
        <w:p w14:paraId="395D3A66">
          <w:pPr>
            <w:pStyle w:val="5"/>
            <w:tabs>
              <w:tab w:val="left" w:pos="1680"/>
              <w:tab w:val="right" w:leader="dot" w:pos="9628"/>
            </w:tabs>
            <w:spacing w:line="360" w:lineRule="auto"/>
            <w:rPr>
              <w:rFonts w:ascii="Arial" w:hAnsi="Arial" w:cs="Arial"/>
              <w:szCs w:val="22"/>
            </w:rPr>
          </w:pPr>
          <w:r>
            <w:fldChar w:fldCharType="begin"/>
          </w:r>
          <w:r>
            <w:instrText xml:space="preserve"> HYPERLINK \l "_Toc478047109" </w:instrText>
          </w:r>
          <w:r>
            <w:fldChar w:fldCharType="separate"/>
          </w:r>
          <w:r>
            <w:rPr>
              <w:rStyle w:val="17"/>
              <w:rFonts w:ascii="Arial" w:hAnsi="Arial" w:eastAsia="宋体" w:cs="Arial"/>
              <w:b/>
            </w:rPr>
            <w:t>3.4.2</w:t>
          </w:r>
          <w:r>
            <w:rPr>
              <w:rFonts w:ascii="Arial" w:hAnsi="Arial" w:cs="Arial"/>
              <w:szCs w:val="22"/>
            </w:rPr>
            <w:tab/>
          </w:r>
          <w:r>
            <w:rPr>
              <w:rStyle w:val="17"/>
              <w:rFonts w:ascii="Arial" w:hAnsi="Arial" w:eastAsia="宋体" w:cs="Arial"/>
              <w:b/>
            </w:rPr>
            <w:t>在批准（或扩大）超过20例受试者的IDE研究前所需的器械信息</w:t>
          </w:r>
          <w:r>
            <w:rPr>
              <w:rFonts w:ascii="Arial" w:hAnsi="Arial" w:cs="Arial"/>
            </w:rPr>
            <w:tab/>
          </w:r>
          <w:r>
            <w:rPr>
              <w:rFonts w:ascii="Arial" w:hAnsi="Arial" w:cs="Arial"/>
            </w:rPr>
            <w:fldChar w:fldCharType="begin"/>
          </w:r>
          <w:r>
            <w:rPr>
              <w:rFonts w:ascii="Arial" w:hAnsi="Arial" w:cs="Arial"/>
            </w:rPr>
            <w:instrText xml:space="preserve"> PAGEREF _Toc478047109 \h </w:instrText>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fldChar w:fldCharType="end"/>
          </w:r>
        </w:p>
        <w:p w14:paraId="5D432F28">
          <w:pPr>
            <w:pStyle w:val="11"/>
            <w:tabs>
              <w:tab w:val="left" w:pos="2940"/>
              <w:tab w:val="right" w:leader="dot" w:pos="9628"/>
            </w:tabs>
            <w:spacing w:line="360" w:lineRule="auto"/>
            <w:rPr>
              <w:rFonts w:ascii="Arial" w:hAnsi="Arial" w:cs="Arial"/>
              <w:szCs w:val="22"/>
            </w:rPr>
          </w:pPr>
          <w:r>
            <w:fldChar w:fldCharType="begin"/>
          </w:r>
          <w:r>
            <w:instrText xml:space="preserve"> HYPERLINK \l "_Toc478047110" </w:instrText>
          </w:r>
          <w:r>
            <w:fldChar w:fldCharType="separate"/>
          </w:r>
          <w:r>
            <w:rPr>
              <w:rStyle w:val="17"/>
              <w:rFonts w:ascii="Arial" w:hAnsi="Arial" w:eastAsia="宋体" w:cs="Arial"/>
              <w:b/>
            </w:rPr>
            <w:t>3.4.2.1</w:t>
          </w:r>
          <w:r>
            <w:rPr>
              <w:rFonts w:ascii="Arial" w:hAnsi="Arial" w:cs="Arial"/>
              <w:szCs w:val="22"/>
            </w:rPr>
            <w:tab/>
          </w:r>
          <w:r>
            <w:rPr>
              <w:rStyle w:val="17"/>
              <w:rFonts w:ascii="Arial" w:hAnsi="Arial" w:eastAsia="宋体" w:cs="Arial"/>
              <w:b/>
            </w:rPr>
            <w:t>扩大前的器械问题和更改说明</w:t>
          </w:r>
          <w:r>
            <w:rPr>
              <w:rFonts w:ascii="Arial" w:hAnsi="Arial" w:cs="Arial"/>
            </w:rPr>
            <w:tab/>
          </w:r>
          <w:r>
            <w:rPr>
              <w:rFonts w:ascii="Arial" w:hAnsi="Arial" w:cs="Arial"/>
            </w:rPr>
            <w:fldChar w:fldCharType="begin"/>
          </w:r>
          <w:r>
            <w:rPr>
              <w:rFonts w:ascii="Arial" w:hAnsi="Arial" w:cs="Arial"/>
            </w:rPr>
            <w:instrText xml:space="preserve"> PAGEREF _Toc478047110 \h </w:instrText>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fldChar w:fldCharType="end"/>
          </w:r>
        </w:p>
        <w:p w14:paraId="2F54BEC3">
          <w:pPr>
            <w:pStyle w:val="11"/>
            <w:tabs>
              <w:tab w:val="left" w:pos="2940"/>
              <w:tab w:val="right" w:leader="dot" w:pos="9628"/>
            </w:tabs>
            <w:spacing w:line="360" w:lineRule="auto"/>
            <w:rPr>
              <w:rFonts w:ascii="Arial" w:hAnsi="Arial" w:cs="Arial"/>
              <w:szCs w:val="22"/>
            </w:rPr>
          </w:pPr>
          <w:r>
            <w:fldChar w:fldCharType="begin"/>
          </w:r>
          <w:r>
            <w:instrText xml:space="preserve"> HYPERLINK \l "_Toc478047111" </w:instrText>
          </w:r>
          <w:r>
            <w:fldChar w:fldCharType="separate"/>
          </w:r>
          <w:r>
            <w:rPr>
              <w:rStyle w:val="17"/>
              <w:rFonts w:ascii="Arial" w:hAnsi="Arial" w:eastAsia="宋体" w:cs="Arial"/>
              <w:b/>
              <w:bCs/>
              <w:kern w:val="0"/>
            </w:rPr>
            <w:t>3.4.2.2</w:t>
          </w:r>
          <w:r>
            <w:rPr>
              <w:rFonts w:ascii="Arial" w:hAnsi="Arial" w:cs="Arial"/>
              <w:szCs w:val="22"/>
            </w:rPr>
            <w:tab/>
          </w:r>
          <w:r>
            <w:rPr>
              <w:rStyle w:val="17"/>
              <w:rFonts w:ascii="Arial" w:hAnsi="Arial" w:eastAsia="宋体" w:cs="Arial"/>
              <w:b/>
              <w:bCs/>
              <w:kern w:val="0"/>
            </w:rPr>
            <w:t>扩大之前充分的工程描述</w:t>
          </w:r>
          <w:r>
            <w:rPr>
              <w:rFonts w:ascii="Arial" w:hAnsi="Arial" w:cs="Arial"/>
            </w:rPr>
            <w:tab/>
          </w:r>
          <w:r>
            <w:rPr>
              <w:rFonts w:ascii="Arial" w:hAnsi="Arial" w:cs="Arial"/>
            </w:rPr>
            <w:fldChar w:fldCharType="begin"/>
          </w:r>
          <w:r>
            <w:rPr>
              <w:rFonts w:ascii="Arial" w:hAnsi="Arial" w:cs="Arial"/>
            </w:rPr>
            <w:instrText xml:space="preserve"> PAGEREF _Toc478047111 \h </w:instrText>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fldChar w:fldCharType="end"/>
          </w:r>
        </w:p>
        <w:p w14:paraId="1AAAAEEE">
          <w:pPr>
            <w:pStyle w:val="11"/>
            <w:tabs>
              <w:tab w:val="left" w:pos="2940"/>
              <w:tab w:val="right" w:leader="dot" w:pos="9628"/>
            </w:tabs>
            <w:spacing w:line="360" w:lineRule="auto"/>
            <w:rPr>
              <w:rFonts w:ascii="Arial" w:hAnsi="Arial" w:cs="Arial"/>
              <w:szCs w:val="22"/>
            </w:rPr>
          </w:pPr>
          <w:r>
            <w:fldChar w:fldCharType="begin"/>
          </w:r>
          <w:r>
            <w:instrText xml:space="preserve"> HYPERLINK \l "_Toc478047112" </w:instrText>
          </w:r>
          <w:r>
            <w:fldChar w:fldCharType="separate"/>
          </w:r>
          <w:r>
            <w:rPr>
              <w:rStyle w:val="17"/>
              <w:rFonts w:ascii="Arial" w:hAnsi="Arial" w:eastAsia="宋体" w:cs="Arial"/>
              <w:b/>
              <w:bCs/>
              <w:kern w:val="0"/>
            </w:rPr>
            <w:t>3.4.2.3</w:t>
          </w:r>
          <w:r>
            <w:rPr>
              <w:rFonts w:ascii="Arial" w:hAnsi="Arial" w:cs="Arial"/>
              <w:szCs w:val="22"/>
            </w:rPr>
            <w:tab/>
          </w:r>
          <w:r>
            <w:rPr>
              <w:rStyle w:val="17"/>
              <w:rFonts w:ascii="Arial" w:hAnsi="Arial" w:eastAsia="宋体" w:cs="Arial"/>
              <w:b/>
              <w:bCs/>
              <w:kern w:val="0"/>
            </w:rPr>
            <w:t>扩大前的系统验证</w:t>
          </w:r>
          <w:r>
            <w:rPr>
              <w:rFonts w:ascii="Arial" w:hAnsi="Arial" w:cs="Arial"/>
            </w:rPr>
            <w:tab/>
          </w:r>
          <w:r>
            <w:rPr>
              <w:rFonts w:ascii="Arial" w:hAnsi="Arial" w:cs="Arial"/>
            </w:rPr>
            <w:fldChar w:fldCharType="begin"/>
          </w:r>
          <w:r>
            <w:rPr>
              <w:rFonts w:ascii="Arial" w:hAnsi="Arial" w:cs="Arial"/>
            </w:rPr>
            <w:instrText xml:space="preserve"> PAGEREF _Toc478047112 \h </w:instrText>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fldChar w:fldCharType="end"/>
          </w:r>
        </w:p>
        <w:p w14:paraId="0617262B">
          <w:pPr>
            <w:pStyle w:val="5"/>
            <w:tabs>
              <w:tab w:val="left" w:pos="1680"/>
              <w:tab w:val="right" w:leader="dot" w:pos="9628"/>
            </w:tabs>
            <w:spacing w:line="360" w:lineRule="auto"/>
            <w:rPr>
              <w:rFonts w:ascii="Arial" w:hAnsi="Arial" w:cs="Arial"/>
              <w:szCs w:val="22"/>
            </w:rPr>
          </w:pPr>
          <w:r>
            <w:fldChar w:fldCharType="begin"/>
          </w:r>
          <w:r>
            <w:instrText xml:space="preserve"> HYPERLINK \l "_Toc478047113" </w:instrText>
          </w:r>
          <w:r>
            <w:fldChar w:fldCharType="separate"/>
          </w:r>
          <w:r>
            <w:rPr>
              <w:rStyle w:val="17"/>
              <w:rFonts w:ascii="Arial" w:hAnsi="Arial" w:eastAsia="宋体" w:cs="Arial"/>
              <w:b/>
              <w:bCs/>
              <w:kern w:val="0"/>
            </w:rPr>
            <w:t>3.4.3</w:t>
          </w:r>
          <w:r>
            <w:rPr>
              <w:rFonts w:ascii="Arial" w:hAnsi="Arial" w:cs="Arial"/>
              <w:szCs w:val="22"/>
            </w:rPr>
            <w:tab/>
          </w:r>
          <w:r>
            <w:rPr>
              <w:rStyle w:val="17"/>
              <w:rFonts w:ascii="Arial" w:hAnsi="Arial" w:eastAsia="宋体" w:cs="Arial"/>
              <w:b/>
              <w:bCs/>
              <w:kern w:val="0"/>
            </w:rPr>
            <w:t>PMA批准前需要的器械信息</w:t>
          </w:r>
          <w:r>
            <w:rPr>
              <w:rFonts w:ascii="Arial" w:hAnsi="Arial" w:cs="Arial"/>
            </w:rPr>
            <w:tab/>
          </w:r>
          <w:r>
            <w:rPr>
              <w:rFonts w:ascii="Arial" w:hAnsi="Arial" w:cs="Arial"/>
            </w:rPr>
            <w:fldChar w:fldCharType="begin"/>
          </w:r>
          <w:r>
            <w:rPr>
              <w:rFonts w:ascii="Arial" w:hAnsi="Arial" w:cs="Arial"/>
            </w:rPr>
            <w:instrText xml:space="preserve"> PAGEREF _Toc478047113 \h </w:instrText>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fldChar w:fldCharType="end"/>
          </w:r>
        </w:p>
        <w:p w14:paraId="1EDE9201">
          <w:pPr>
            <w:pStyle w:val="10"/>
            <w:tabs>
              <w:tab w:val="right" w:leader="dot" w:pos="9628"/>
            </w:tabs>
            <w:spacing w:line="360" w:lineRule="auto"/>
            <w:rPr>
              <w:rFonts w:ascii="Arial" w:hAnsi="Arial" w:cs="Arial"/>
              <w:szCs w:val="22"/>
            </w:rPr>
          </w:pPr>
          <w:r>
            <w:fldChar w:fldCharType="begin"/>
          </w:r>
          <w:r>
            <w:instrText xml:space="preserve"> HYPERLINK \l "_Toc478047114" </w:instrText>
          </w:r>
          <w:r>
            <w:fldChar w:fldCharType="separate"/>
          </w:r>
          <w:r>
            <w:rPr>
              <w:rStyle w:val="17"/>
              <w:rFonts w:ascii="Arial" w:hAnsi="Arial" w:eastAsia="宋体" w:cs="Arial"/>
              <w:b/>
              <w:kern w:val="0"/>
            </w:rPr>
            <w:t>附录A</w:t>
          </w:r>
          <w:r>
            <w:rPr>
              <w:rStyle w:val="17"/>
              <w:rFonts w:hint="eastAsia" w:ascii="Arial" w:hAnsi="Arial" w:eastAsia="宋体" w:cs="Arial"/>
              <w:b/>
              <w:kern w:val="0"/>
            </w:rPr>
            <w:t>：</w:t>
          </w:r>
          <w:r>
            <w:rPr>
              <w:rStyle w:val="17"/>
              <w:rFonts w:ascii="Arial" w:hAnsi="Arial" w:eastAsia="宋体" w:cs="Arial"/>
              <w:b/>
              <w:kern w:val="0"/>
            </w:rPr>
            <w:t>IDE应用程序的监管要求摘要</w:t>
          </w:r>
          <w:r>
            <w:rPr>
              <w:rFonts w:ascii="Arial" w:hAnsi="Arial" w:cs="Arial"/>
            </w:rPr>
            <w:tab/>
          </w:r>
          <w:r>
            <w:rPr>
              <w:rFonts w:ascii="Arial" w:hAnsi="Arial" w:cs="Arial"/>
            </w:rPr>
            <w:fldChar w:fldCharType="begin"/>
          </w:r>
          <w:r>
            <w:rPr>
              <w:rFonts w:ascii="Arial" w:hAnsi="Arial" w:cs="Arial"/>
            </w:rPr>
            <w:instrText xml:space="preserve"> PAGEREF _Toc478047114 \h </w:instrText>
          </w:r>
          <w:r>
            <w:rPr>
              <w:rFonts w:ascii="Arial" w:hAnsi="Arial" w:cs="Arial"/>
            </w:rPr>
            <w:fldChar w:fldCharType="separate"/>
          </w:r>
          <w:r>
            <w:rPr>
              <w:rFonts w:ascii="Arial" w:hAnsi="Arial" w:cs="Arial"/>
            </w:rPr>
            <w:t>19</w:t>
          </w:r>
          <w:r>
            <w:rPr>
              <w:rFonts w:ascii="Arial" w:hAnsi="Arial" w:cs="Arial"/>
            </w:rPr>
            <w:fldChar w:fldCharType="end"/>
          </w:r>
          <w:r>
            <w:rPr>
              <w:rFonts w:ascii="Arial" w:hAnsi="Arial" w:cs="Arial"/>
            </w:rPr>
            <w:fldChar w:fldCharType="end"/>
          </w:r>
        </w:p>
        <w:p w14:paraId="0D9DC130">
          <w:pPr>
            <w:pStyle w:val="10"/>
            <w:tabs>
              <w:tab w:val="right" w:leader="dot" w:pos="9628"/>
            </w:tabs>
            <w:spacing w:line="360" w:lineRule="auto"/>
            <w:rPr>
              <w:rFonts w:ascii="Arial" w:hAnsi="Arial" w:cs="Arial"/>
              <w:szCs w:val="22"/>
            </w:rPr>
          </w:pPr>
          <w:r>
            <w:fldChar w:fldCharType="begin"/>
          </w:r>
          <w:r>
            <w:instrText xml:space="preserve"> HYPERLINK \l "_Toc478047115" </w:instrText>
          </w:r>
          <w:r>
            <w:fldChar w:fldCharType="separate"/>
          </w:r>
          <w:r>
            <w:rPr>
              <w:rStyle w:val="17"/>
              <w:rFonts w:ascii="Arial" w:hAnsi="Arial" w:eastAsia="宋体" w:cs="Arial"/>
              <w:b/>
              <w:bCs/>
              <w:kern w:val="0"/>
            </w:rPr>
            <w:t>附录B</w:t>
          </w:r>
          <w:r>
            <w:rPr>
              <w:rStyle w:val="17"/>
              <w:rFonts w:hint="eastAsia" w:ascii="Arial" w:hAnsi="Arial" w:eastAsia="宋体" w:cs="Arial"/>
              <w:b/>
              <w:bCs/>
              <w:kern w:val="0"/>
            </w:rPr>
            <w:t>：</w:t>
          </w:r>
          <w:r>
            <w:rPr>
              <w:rStyle w:val="17"/>
              <w:rFonts w:ascii="Arial" w:hAnsi="Arial" w:eastAsia="宋体" w:cs="Arial"/>
              <w:b/>
              <w:bCs/>
              <w:kern w:val="0"/>
            </w:rPr>
            <w:t>用于屈光手术激光器的对比灵敏度和眩光测试</w:t>
          </w:r>
          <w:r>
            <w:rPr>
              <w:rFonts w:ascii="Arial" w:hAnsi="Arial" w:cs="Arial"/>
            </w:rPr>
            <w:tab/>
          </w:r>
          <w:r>
            <w:rPr>
              <w:rFonts w:ascii="Arial" w:hAnsi="Arial" w:cs="Arial"/>
            </w:rPr>
            <w:fldChar w:fldCharType="begin"/>
          </w:r>
          <w:r>
            <w:rPr>
              <w:rFonts w:ascii="Arial" w:hAnsi="Arial" w:cs="Arial"/>
            </w:rPr>
            <w:instrText xml:space="preserve"> PAGEREF _Toc478047115 \h </w:instrText>
          </w:r>
          <w:r>
            <w:rPr>
              <w:rFonts w:ascii="Arial" w:hAnsi="Arial" w:cs="Arial"/>
            </w:rPr>
            <w:fldChar w:fldCharType="separate"/>
          </w:r>
          <w:r>
            <w:rPr>
              <w:rFonts w:ascii="Arial" w:hAnsi="Arial" w:cs="Arial"/>
            </w:rPr>
            <w:t>21</w:t>
          </w:r>
          <w:r>
            <w:rPr>
              <w:rFonts w:ascii="Arial" w:hAnsi="Arial" w:cs="Arial"/>
            </w:rPr>
            <w:fldChar w:fldCharType="end"/>
          </w:r>
          <w:r>
            <w:rPr>
              <w:rFonts w:ascii="Arial" w:hAnsi="Arial" w:cs="Arial"/>
            </w:rPr>
            <w:fldChar w:fldCharType="end"/>
          </w:r>
        </w:p>
        <w:p w14:paraId="55E1739A">
          <w:pPr>
            <w:pStyle w:val="10"/>
            <w:tabs>
              <w:tab w:val="right" w:leader="dot" w:pos="9628"/>
            </w:tabs>
            <w:spacing w:line="360" w:lineRule="auto"/>
            <w:rPr>
              <w:rFonts w:ascii="Arial" w:hAnsi="Arial" w:cs="Arial"/>
              <w:szCs w:val="22"/>
            </w:rPr>
          </w:pPr>
          <w:r>
            <w:fldChar w:fldCharType="begin"/>
          </w:r>
          <w:r>
            <w:instrText xml:space="preserve"> HYPERLINK \l "_Toc478047116" </w:instrText>
          </w:r>
          <w:r>
            <w:fldChar w:fldCharType="separate"/>
          </w:r>
          <w:r>
            <w:rPr>
              <w:rStyle w:val="17"/>
              <w:rFonts w:ascii="Arial" w:hAnsi="Arial" w:eastAsia="宋体" w:cs="Arial"/>
              <w:b/>
              <w:bCs/>
              <w:kern w:val="0"/>
            </w:rPr>
            <w:t>附录C：置信区间表</w:t>
          </w:r>
          <w:r>
            <w:rPr>
              <w:rFonts w:ascii="Arial" w:hAnsi="Arial" w:cs="Arial"/>
            </w:rPr>
            <w:tab/>
          </w:r>
          <w:r>
            <w:rPr>
              <w:rFonts w:ascii="Arial" w:hAnsi="Arial" w:cs="Arial"/>
            </w:rPr>
            <w:fldChar w:fldCharType="begin"/>
          </w:r>
          <w:r>
            <w:rPr>
              <w:rFonts w:ascii="Arial" w:hAnsi="Arial" w:cs="Arial"/>
            </w:rPr>
            <w:instrText xml:space="preserve"> PAGEREF _Toc478047116 \h </w:instrText>
          </w:r>
          <w:r>
            <w:rPr>
              <w:rFonts w:ascii="Arial" w:hAnsi="Arial" w:cs="Arial"/>
            </w:rPr>
            <w:fldChar w:fldCharType="separate"/>
          </w:r>
          <w:r>
            <w:rPr>
              <w:rFonts w:ascii="Arial" w:hAnsi="Arial" w:cs="Arial"/>
            </w:rPr>
            <w:t>22</w:t>
          </w:r>
          <w:r>
            <w:rPr>
              <w:rFonts w:ascii="Arial" w:hAnsi="Arial" w:cs="Arial"/>
            </w:rPr>
            <w:fldChar w:fldCharType="end"/>
          </w:r>
          <w:r>
            <w:rPr>
              <w:rFonts w:ascii="Arial" w:hAnsi="Arial" w:cs="Arial"/>
            </w:rPr>
            <w:fldChar w:fldCharType="end"/>
          </w:r>
        </w:p>
        <w:p w14:paraId="357F0CEA">
          <w:pPr>
            <w:pStyle w:val="10"/>
            <w:tabs>
              <w:tab w:val="right" w:leader="dot" w:pos="9628"/>
            </w:tabs>
            <w:spacing w:line="360" w:lineRule="auto"/>
            <w:rPr>
              <w:rFonts w:ascii="Arial" w:hAnsi="Arial" w:cs="Arial"/>
              <w:szCs w:val="22"/>
            </w:rPr>
          </w:pPr>
          <w:r>
            <w:fldChar w:fldCharType="begin"/>
          </w:r>
          <w:r>
            <w:instrText xml:space="preserve"> HYPERLINK \l "_Toc478047117" </w:instrText>
          </w:r>
          <w:r>
            <w:fldChar w:fldCharType="separate"/>
          </w:r>
          <w:r>
            <w:rPr>
              <w:rStyle w:val="17"/>
              <w:rFonts w:ascii="Arial" w:hAnsi="Arial" w:eastAsia="宋体" w:cs="Arial"/>
              <w:b/>
              <w:bCs/>
              <w:kern w:val="0"/>
            </w:rPr>
            <w:t>附录D</w:t>
          </w:r>
          <w:r>
            <w:rPr>
              <w:rStyle w:val="17"/>
              <w:rFonts w:hint="eastAsia" w:ascii="Arial" w:hAnsi="Arial" w:eastAsia="宋体" w:cs="Arial"/>
              <w:b/>
              <w:bCs/>
              <w:kern w:val="0"/>
            </w:rPr>
            <w:t>：</w:t>
          </w:r>
          <w:r>
            <w:rPr>
              <w:rStyle w:val="17"/>
              <w:rFonts w:ascii="Arial" w:hAnsi="Arial" w:eastAsia="宋体" w:cs="Arial"/>
              <w:b/>
              <w:bCs/>
              <w:kern w:val="0"/>
            </w:rPr>
            <w:t>机构对IDE提交的决定</w:t>
          </w:r>
          <w:r>
            <w:rPr>
              <w:rFonts w:ascii="Arial" w:hAnsi="Arial" w:cs="Arial"/>
            </w:rPr>
            <w:tab/>
          </w:r>
          <w:r>
            <w:rPr>
              <w:rFonts w:ascii="Arial" w:hAnsi="Arial" w:cs="Arial"/>
            </w:rPr>
            <w:fldChar w:fldCharType="begin"/>
          </w:r>
          <w:r>
            <w:rPr>
              <w:rFonts w:ascii="Arial" w:hAnsi="Arial" w:cs="Arial"/>
            </w:rPr>
            <w:instrText xml:space="preserve"> PAGEREF _Toc478047117 \h </w:instrText>
          </w:r>
          <w:r>
            <w:rPr>
              <w:rFonts w:ascii="Arial" w:hAnsi="Arial" w:cs="Arial"/>
            </w:rPr>
            <w:fldChar w:fldCharType="separate"/>
          </w:r>
          <w:r>
            <w:rPr>
              <w:rFonts w:ascii="Arial" w:hAnsi="Arial" w:cs="Arial"/>
            </w:rPr>
            <w:t>23</w:t>
          </w:r>
          <w:r>
            <w:rPr>
              <w:rFonts w:ascii="Arial" w:hAnsi="Arial" w:cs="Arial"/>
            </w:rPr>
            <w:fldChar w:fldCharType="end"/>
          </w:r>
          <w:r>
            <w:rPr>
              <w:rFonts w:ascii="Arial" w:hAnsi="Arial" w:cs="Arial"/>
            </w:rPr>
            <w:fldChar w:fldCharType="end"/>
          </w:r>
        </w:p>
        <w:p w14:paraId="2826FD9C">
          <w:pPr>
            <w:snapToGrid w:val="0"/>
            <w:spacing w:line="360" w:lineRule="auto"/>
            <w:rPr>
              <w:rFonts w:ascii="Arial" w:hAnsi="Arial" w:eastAsia="宋体" w:cs="Arial"/>
            </w:rPr>
          </w:pPr>
          <w:r>
            <w:rPr>
              <w:rFonts w:ascii="Arial" w:hAnsi="Arial" w:eastAsia="宋体" w:cs="Arial"/>
              <w:b/>
            </w:rPr>
            <w:fldChar w:fldCharType="end"/>
          </w:r>
        </w:p>
      </w:sdtContent>
    </w:sdt>
    <w:p w14:paraId="18359AC3">
      <w:pPr>
        <w:snapToGrid w:val="0"/>
        <w:spacing w:line="360" w:lineRule="auto"/>
        <w:rPr>
          <w:rFonts w:ascii="Arial" w:hAnsi="Arial" w:eastAsia="宋体" w:cs="Arial"/>
        </w:rPr>
      </w:pPr>
    </w:p>
    <w:p w14:paraId="1CD3CD83">
      <w:pPr>
        <w:widowControl/>
        <w:spacing w:line="360" w:lineRule="auto"/>
        <w:jc w:val="left"/>
        <w:rPr>
          <w:rFonts w:ascii="Arial" w:hAnsi="Arial" w:eastAsia="宋体" w:cs="Arial"/>
        </w:rPr>
      </w:pPr>
      <w:r>
        <w:rPr>
          <w:rFonts w:ascii="Arial" w:hAnsi="Arial" w:eastAsia="宋体" w:cs="Arial"/>
        </w:rPr>
        <w:br w:type="page"/>
      </w:r>
    </w:p>
    <w:p w14:paraId="1F3FE28F">
      <w:pPr>
        <w:spacing w:line="360" w:lineRule="auto"/>
        <w:jc w:val="center"/>
        <w:rPr>
          <w:b/>
          <w:sz w:val="28"/>
          <w:szCs w:val="28"/>
        </w:rPr>
      </w:pPr>
      <w:r>
        <w:rPr>
          <w:rFonts w:hint="eastAsia"/>
          <w:b/>
          <w:sz w:val="28"/>
          <w:szCs w:val="28"/>
        </w:rPr>
        <w:t>激光屈光手术</w:t>
      </w:r>
      <w:bookmarkStart w:id="5" w:name="OLE_LINK7"/>
      <w:bookmarkStart w:id="6" w:name="OLE_LINK6"/>
      <w:r>
        <w:rPr>
          <w:rFonts w:hint="eastAsia"/>
          <w:b/>
          <w:sz w:val="28"/>
          <w:szCs w:val="28"/>
        </w:rPr>
        <w:t>器械临床试验</w:t>
      </w:r>
      <w:bookmarkEnd w:id="5"/>
      <w:bookmarkEnd w:id="6"/>
      <w:r>
        <w:rPr>
          <w:rFonts w:hint="eastAsia"/>
          <w:b/>
          <w:sz w:val="28"/>
          <w:szCs w:val="28"/>
        </w:rPr>
        <w:t>豁免（</w:t>
      </w:r>
      <w:r>
        <w:rPr>
          <w:b/>
          <w:sz w:val="28"/>
          <w:szCs w:val="28"/>
        </w:rPr>
        <w:t>IDE</w:t>
      </w:r>
      <w:r>
        <w:rPr>
          <w:rFonts w:hint="eastAsia"/>
          <w:b/>
          <w:sz w:val="28"/>
          <w:szCs w:val="28"/>
        </w:rPr>
        <w:t>）通常提交的信息审查清单</w:t>
      </w:r>
    </w:p>
    <w:p w14:paraId="07210E9C">
      <w:pPr>
        <w:snapToGrid w:val="0"/>
        <w:spacing w:line="360" w:lineRule="auto"/>
        <w:jc w:val="center"/>
        <w:rPr>
          <w:rFonts w:hint="eastAsia" w:ascii="Arial" w:hAnsi="Arial" w:eastAsia="宋体" w:cs="Arial"/>
        </w:rPr>
      </w:pPr>
      <w:r>
        <w:rPr>
          <w:rFonts w:hint="eastAsia" w:ascii="Arial" w:hAnsi="Arial" w:eastAsia="宋体" w:cs="Arial"/>
        </w:rPr>
        <w:t>（关于所需要素清单，见</w:t>
      </w:r>
      <w:r>
        <w:rPr>
          <w:rFonts w:ascii="Arial" w:hAnsi="Arial" w:eastAsia="宋体" w:cs="Arial"/>
        </w:rPr>
        <w:t>CFR 21 812.20</w:t>
      </w:r>
      <w:r>
        <w:rPr>
          <w:rFonts w:hint="eastAsia" w:ascii="Arial" w:hAnsi="Arial" w:eastAsia="宋体" w:cs="Arial"/>
        </w:rPr>
        <w:t>（</w:t>
      </w:r>
      <w:r>
        <w:rPr>
          <w:rFonts w:ascii="Arial" w:hAnsi="Arial" w:eastAsia="宋体" w:cs="Arial"/>
        </w:rPr>
        <w:t>b</w:t>
      </w:r>
      <w:r>
        <w:rPr>
          <w:rFonts w:hint="eastAsia" w:ascii="Arial" w:hAnsi="Arial" w:eastAsia="宋体" w:cs="Arial"/>
        </w:rPr>
        <w:t>））</w:t>
      </w:r>
    </w:p>
    <w:p w14:paraId="16F3CB45">
      <w:pPr>
        <w:snapToGrid w:val="0"/>
        <w:spacing w:line="360" w:lineRule="auto"/>
        <w:jc w:val="center"/>
        <w:rPr>
          <w:rFonts w:hint="eastAsia" w:ascii="Arial" w:hAnsi="Arial" w:eastAsia="宋体" w:cs="Arial"/>
        </w:rPr>
      </w:pPr>
    </w:p>
    <w:p w14:paraId="25C42318">
      <w:pPr>
        <w:snapToGrid w:val="0"/>
        <w:spacing w:line="360" w:lineRule="auto"/>
        <w:jc w:val="center"/>
        <w:rPr>
          <w:rFonts w:hint="eastAsia" w:ascii="Arial" w:hAnsi="Arial" w:eastAsia="宋体" w:cs="Arial"/>
        </w:rPr>
      </w:pPr>
    </w:p>
    <w:p w14:paraId="17C4C2E8">
      <w:pPr>
        <w:snapToGrid w:val="0"/>
        <w:spacing w:line="360" w:lineRule="auto"/>
        <w:jc w:val="center"/>
        <w:rPr>
          <w:rFonts w:ascii="Arial" w:hAnsi="Arial" w:eastAsia="宋体" w:cs="Arial"/>
        </w:rPr>
      </w:pPr>
    </w:p>
    <w:p w14:paraId="3C326F5E">
      <w:pPr>
        <w:pStyle w:val="18"/>
        <w:numPr>
          <w:ilvl w:val="0"/>
          <w:numId w:val="1"/>
        </w:numPr>
        <w:snapToGrid w:val="0"/>
        <w:spacing w:after="156" w:afterLines="50" w:line="360" w:lineRule="auto"/>
        <w:ind w:left="0" w:firstLine="0" w:firstLineChars="0"/>
        <w:outlineLvl w:val="0"/>
        <w:rPr>
          <w:rFonts w:ascii="Arial" w:hAnsi="Arial" w:eastAsia="宋体" w:cs="Arial"/>
          <w:b/>
        </w:rPr>
      </w:pPr>
      <w:bookmarkStart w:id="7" w:name="_Toc478047064"/>
      <w:r>
        <w:rPr>
          <w:rFonts w:hint="eastAsia" w:ascii="Arial" w:hAnsi="Arial" w:eastAsia="宋体" w:cs="Arial"/>
          <w:b/>
        </w:rPr>
        <w:t>申办方或申办方</w:t>
      </w:r>
      <w:r>
        <w:rPr>
          <w:rFonts w:ascii="Arial" w:hAnsi="Arial" w:eastAsia="宋体" w:cs="Arial"/>
          <w:b/>
        </w:rPr>
        <w:t>-</w:t>
      </w:r>
      <w:r>
        <w:rPr>
          <w:rFonts w:hint="eastAsia" w:ascii="Arial" w:hAnsi="Arial" w:eastAsia="宋体" w:cs="Arial"/>
          <w:b/>
        </w:rPr>
        <w:t>研究者的姓名和地址</w:t>
      </w:r>
      <w:bookmarkEnd w:id="7"/>
    </w:p>
    <w:p w14:paraId="0ED28CE0">
      <w:pPr>
        <w:pStyle w:val="18"/>
        <w:numPr>
          <w:ilvl w:val="0"/>
          <w:numId w:val="1"/>
        </w:numPr>
        <w:snapToGrid w:val="0"/>
        <w:spacing w:after="156" w:afterLines="50" w:line="360" w:lineRule="auto"/>
        <w:ind w:left="0" w:firstLine="0" w:firstLineChars="0"/>
        <w:outlineLvl w:val="0"/>
        <w:rPr>
          <w:rFonts w:ascii="Arial" w:hAnsi="Arial" w:eastAsia="宋体" w:cs="Arial"/>
          <w:b/>
        </w:rPr>
      </w:pPr>
      <w:bookmarkStart w:id="8" w:name="_Toc478047065"/>
      <w:r>
        <w:rPr>
          <w:rFonts w:hint="eastAsia" w:ascii="Arial" w:hAnsi="Arial" w:eastAsia="宋体" w:cs="Arial"/>
          <w:b/>
        </w:rPr>
        <w:t>先前研究报告</w:t>
      </w:r>
      <w:bookmarkEnd w:id="8"/>
    </w:p>
    <w:p w14:paraId="5570B295">
      <w:pPr>
        <w:pStyle w:val="18"/>
        <w:numPr>
          <w:ilvl w:val="1"/>
          <w:numId w:val="2"/>
        </w:numPr>
        <w:snapToGrid w:val="0"/>
        <w:spacing w:after="156" w:afterLines="50" w:line="360" w:lineRule="auto"/>
        <w:ind w:left="0" w:firstLine="0" w:firstLineChars="0"/>
        <w:outlineLvl w:val="1"/>
        <w:rPr>
          <w:rFonts w:ascii="Arial" w:hAnsi="Arial" w:eastAsia="宋体" w:cs="Arial"/>
          <w:b/>
        </w:rPr>
      </w:pPr>
      <w:bookmarkStart w:id="9" w:name="_Toc478047066"/>
      <w:r>
        <w:rPr>
          <w:rFonts w:hint="eastAsia" w:ascii="Arial" w:hAnsi="Arial" w:eastAsia="宋体" w:cs="Arial"/>
          <w:b/>
        </w:rPr>
        <w:t>先前实验室研究</w:t>
      </w:r>
      <w:bookmarkEnd w:id="9"/>
    </w:p>
    <w:p w14:paraId="4DB8BB89">
      <w:pPr>
        <w:snapToGrid w:val="0"/>
        <w:spacing w:line="360" w:lineRule="auto"/>
        <w:ind w:left="430" w:leftChars="205" w:firstLine="1"/>
        <w:rPr>
          <w:rFonts w:ascii="Arial" w:hAnsi="Arial" w:eastAsia="宋体" w:cs="Arial"/>
        </w:rPr>
      </w:pPr>
      <w:r>
        <w:rPr>
          <w:rFonts w:hint="eastAsia" w:ascii="Arial" w:hAnsi="Arial" w:eastAsia="宋体" w:cs="Arial"/>
        </w:rPr>
        <w:t>先前实验室研究的报告应包括所有器械性能测试的测试程序及结果的描述。如果在</w:t>
      </w:r>
      <w:r>
        <w:rPr>
          <w:rFonts w:ascii="Arial" w:hAnsi="Arial" w:eastAsia="宋体" w:cs="Arial"/>
        </w:rPr>
        <w:t>IDE</w:t>
      </w:r>
      <w:r>
        <w:rPr>
          <w:rFonts w:hint="eastAsia" w:ascii="Arial" w:hAnsi="Arial" w:eastAsia="宋体" w:cs="Arial"/>
        </w:rPr>
        <w:t>原始提交时没有下列项目之一的信息，则申办方应该在重要临床试验扩大前讨论获取信息并提交信息的方案。</w:t>
      </w:r>
    </w:p>
    <w:p w14:paraId="1586CB1F">
      <w:pPr>
        <w:pStyle w:val="18"/>
        <w:numPr>
          <w:ilvl w:val="0"/>
          <w:numId w:val="3"/>
        </w:numPr>
        <w:snapToGrid w:val="0"/>
        <w:spacing w:after="124" w:afterLines="40" w:line="360" w:lineRule="auto"/>
        <w:ind w:left="0" w:firstLine="474" w:firstLineChars="226"/>
        <w:rPr>
          <w:rFonts w:ascii="Arial" w:hAnsi="Arial" w:eastAsia="宋体" w:cs="Arial"/>
        </w:rPr>
      </w:pPr>
      <w:r>
        <w:rPr>
          <w:rFonts w:hint="eastAsia" w:ascii="Arial" w:hAnsi="Arial" w:eastAsia="宋体" w:cs="Arial"/>
        </w:rPr>
        <w:t>影响校准；</w:t>
      </w:r>
    </w:p>
    <w:p w14:paraId="79F6BA6F">
      <w:pPr>
        <w:pStyle w:val="18"/>
        <w:numPr>
          <w:ilvl w:val="0"/>
          <w:numId w:val="3"/>
        </w:numPr>
        <w:snapToGrid w:val="0"/>
        <w:spacing w:after="124" w:afterLines="40" w:line="360" w:lineRule="auto"/>
        <w:ind w:left="0" w:firstLine="474" w:firstLineChars="226"/>
        <w:rPr>
          <w:rFonts w:ascii="Arial" w:hAnsi="Arial" w:eastAsia="宋体" w:cs="Arial"/>
        </w:rPr>
      </w:pPr>
      <w:r>
        <w:rPr>
          <w:rFonts w:hint="eastAsia" w:ascii="Arial" w:hAnsi="Arial" w:eastAsia="宋体" w:cs="Arial"/>
        </w:rPr>
        <w:t>光束均匀性（轮廓）测量；</w:t>
      </w:r>
    </w:p>
    <w:p w14:paraId="3D1FD0CD">
      <w:pPr>
        <w:pStyle w:val="18"/>
        <w:numPr>
          <w:ilvl w:val="0"/>
          <w:numId w:val="3"/>
        </w:numPr>
        <w:snapToGrid w:val="0"/>
        <w:spacing w:after="124" w:afterLines="40" w:line="360" w:lineRule="auto"/>
        <w:ind w:left="0" w:firstLine="474" w:firstLineChars="226"/>
        <w:rPr>
          <w:rFonts w:ascii="Arial" w:hAnsi="Arial" w:eastAsia="宋体" w:cs="Arial"/>
        </w:rPr>
      </w:pPr>
      <w:r>
        <w:rPr>
          <w:rFonts w:hint="eastAsia" w:ascii="Arial" w:hAnsi="Arial" w:eastAsia="宋体" w:cs="Arial"/>
        </w:rPr>
        <w:t>通过最长的程序和气流的脉冲稳定性；</w:t>
      </w:r>
    </w:p>
    <w:p w14:paraId="7AB787B7">
      <w:pPr>
        <w:pStyle w:val="18"/>
        <w:numPr>
          <w:ilvl w:val="0"/>
          <w:numId w:val="3"/>
        </w:numPr>
        <w:snapToGrid w:val="0"/>
        <w:spacing w:after="124" w:afterLines="40" w:line="360" w:lineRule="auto"/>
        <w:ind w:left="0" w:firstLine="474" w:firstLineChars="226"/>
        <w:rPr>
          <w:rFonts w:ascii="Arial" w:hAnsi="Arial" w:eastAsia="宋体" w:cs="Arial"/>
        </w:rPr>
      </w:pPr>
      <w:r>
        <w:rPr>
          <w:rFonts w:hint="eastAsia" w:ascii="Arial" w:hAnsi="Arial" w:eastAsia="宋体" w:cs="Arial"/>
        </w:rPr>
        <w:t>影响控制和故障安全系统的测试；</w:t>
      </w:r>
    </w:p>
    <w:p w14:paraId="630517BA">
      <w:pPr>
        <w:pStyle w:val="18"/>
        <w:numPr>
          <w:ilvl w:val="0"/>
          <w:numId w:val="3"/>
        </w:numPr>
        <w:snapToGrid w:val="0"/>
        <w:spacing w:after="124" w:afterLines="40" w:line="360" w:lineRule="auto"/>
        <w:ind w:left="0" w:firstLine="474" w:firstLineChars="226"/>
        <w:rPr>
          <w:rFonts w:ascii="Arial" w:hAnsi="Arial" w:eastAsia="宋体" w:cs="Arial"/>
        </w:rPr>
      </w:pPr>
      <w:r>
        <w:rPr>
          <w:rFonts w:hint="eastAsia" w:ascii="Arial" w:hAnsi="Arial" w:eastAsia="宋体" w:cs="Arial"/>
        </w:rPr>
        <w:t>光束和眼睛对准系统和程序的测试；</w:t>
      </w:r>
    </w:p>
    <w:p w14:paraId="2BD00E8C">
      <w:pPr>
        <w:pStyle w:val="18"/>
        <w:numPr>
          <w:ilvl w:val="0"/>
          <w:numId w:val="3"/>
        </w:numPr>
        <w:snapToGrid w:val="0"/>
        <w:spacing w:after="124" w:afterLines="40" w:line="360" w:lineRule="auto"/>
        <w:ind w:left="0" w:firstLine="474" w:firstLineChars="226"/>
        <w:rPr>
          <w:rFonts w:ascii="Arial" w:hAnsi="Arial" w:eastAsia="宋体" w:cs="Arial"/>
        </w:rPr>
      </w:pPr>
      <w:r>
        <w:rPr>
          <w:rFonts w:hint="eastAsia" w:ascii="Arial" w:hAnsi="Arial" w:eastAsia="宋体" w:cs="Arial"/>
        </w:rPr>
        <w:t>软件确认和验证，包括与编程切除剖面相比的塑料（</w:t>
      </w:r>
      <w:r>
        <w:rPr>
          <w:rFonts w:ascii="Arial" w:hAnsi="Arial" w:eastAsia="宋体" w:cs="Arial"/>
        </w:rPr>
        <w:t>PMMA</w:t>
      </w:r>
      <w:r>
        <w:rPr>
          <w:rFonts w:hint="eastAsia" w:ascii="Arial" w:hAnsi="Arial" w:eastAsia="宋体" w:cs="Arial"/>
        </w:rPr>
        <w:t>）块中的切除剖面测试；</w:t>
      </w:r>
    </w:p>
    <w:p w14:paraId="3403977F">
      <w:pPr>
        <w:pStyle w:val="18"/>
        <w:numPr>
          <w:ilvl w:val="0"/>
          <w:numId w:val="3"/>
        </w:numPr>
        <w:snapToGrid w:val="0"/>
        <w:spacing w:after="124" w:afterLines="40" w:line="360" w:lineRule="auto"/>
        <w:ind w:left="825" w:leftChars="213" w:hanging="378" w:hangingChars="180"/>
        <w:rPr>
          <w:rFonts w:ascii="Arial" w:hAnsi="Arial" w:eastAsia="宋体" w:cs="Arial"/>
        </w:rPr>
      </w:pPr>
      <w:r>
        <w:rPr>
          <w:rFonts w:hint="eastAsia" w:ascii="Arial" w:hAnsi="Arial" w:eastAsia="宋体" w:cs="Arial"/>
        </w:rPr>
        <w:t>人尸体眼角膜组织的体外切除测试。</w:t>
      </w:r>
    </w:p>
    <w:p w14:paraId="2F83891C">
      <w:pPr>
        <w:pStyle w:val="18"/>
        <w:numPr>
          <w:ilvl w:val="1"/>
          <w:numId w:val="2"/>
        </w:numPr>
        <w:snapToGrid w:val="0"/>
        <w:spacing w:after="156" w:afterLines="50" w:line="360" w:lineRule="auto"/>
        <w:ind w:left="0" w:firstLine="0" w:firstLineChars="0"/>
        <w:outlineLvl w:val="1"/>
        <w:rPr>
          <w:rFonts w:ascii="Arial" w:hAnsi="Arial" w:eastAsia="宋体" w:cs="Arial"/>
          <w:b/>
        </w:rPr>
      </w:pPr>
      <w:bookmarkStart w:id="10" w:name="_Toc478047067"/>
      <w:r>
        <w:rPr>
          <w:rFonts w:hint="eastAsia" w:ascii="Arial" w:hAnsi="Arial" w:eastAsia="宋体" w:cs="Arial"/>
          <w:b/>
        </w:rPr>
        <w:t>先前动物研究</w:t>
      </w:r>
      <w:bookmarkEnd w:id="10"/>
    </w:p>
    <w:p w14:paraId="2F360DC4">
      <w:pPr>
        <w:snapToGrid w:val="0"/>
        <w:spacing w:after="156" w:afterLines="50" w:line="360" w:lineRule="auto"/>
        <w:ind w:left="420" w:leftChars="200"/>
        <w:rPr>
          <w:rFonts w:ascii="Arial" w:hAnsi="Arial" w:eastAsia="宋体" w:cs="Arial"/>
        </w:rPr>
      </w:pPr>
      <w:r>
        <w:rPr>
          <w:rFonts w:hint="eastAsia" w:ascii="Arial" w:hAnsi="Arial" w:eastAsia="宋体" w:cs="Arial"/>
        </w:rPr>
        <w:t>先前动物研究的报告包括所有研究设计、测试程序、结果、数据分析（例如，与实验室数据的比较）和解释的描述。</w:t>
      </w:r>
    </w:p>
    <w:p w14:paraId="1D5EB364">
      <w:pPr>
        <w:pStyle w:val="18"/>
        <w:numPr>
          <w:ilvl w:val="1"/>
          <w:numId w:val="2"/>
        </w:numPr>
        <w:snapToGrid w:val="0"/>
        <w:spacing w:after="156" w:afterLines="50" w:line="360" w:lineRule="auto"/>
        <w:ind w:left="0" w:firstLine="0" w:firstLineChars="0"/>
        <w:outlineLvl w:val="1"/>
        <w:rPr>
          <w:rFonts w:hint="eastAsia" w:ascii="Arial" w:hAnsi="Arial" w:eastAsia="宋体" w:cs="Arial"/>
          <w:b/>
        </w:rPr>
      </w:pPr>
      <w:bookmarkStart w:id="11" w:name="_Toc478047068"/>
      <w:r>
        <w:rPr>
          <w:rFonts w:hint="eastAsia" w:ascii="Arial" w:hAnsi="Arial" w:eastAsia="宋体" w:cs="Arial"/>
          <w:b/>
        </w:rPr>
        <w:t>先前临床研究</w:t>
      </w:r>
      <w:bookmarkEnd w:id="11"/>
    </w:p>
    <w:p w14:paraId="05D55D9E">
      <w:pPr>
        <w:snapToGrid w:val="0"/>
        <w:spacing w:after="156" w:afterLines="50" w:line="360" w:lineRule="auto"/>
        <w:outlineLvl w:val="1"/>
        <w:rPr>
          <w:rFonts w:ascii="Arial" w:hAnsi="Arial" w:eastAsia="宋体" w:cs="Arial"/>
          <w:b/>
        </w:rPr>
      </w:pPr>
    </w:p>
    <w:p w14:paraId="5CB01FDD">
      <w:pPr>
        <w:widowControl/>
        <w:spacing w:line="360" w:lineRule="auto"/>
        <w:jc w:val="left"/>
        <w:rPr>
          <w:rFonts w:ascii="Arial" w:hAnsi="Arial" w:eastAsia="宋体" w:cs="Arial"/>
          <w:b/>
        </w:rPr>
      </w:pPr>
      <w:r>
        <w:rPr>
          <w:rFonts w:ascii="Arial" w:hAnsi="Arial" w:eastAsia="宋体" w:cs="Arial"/>
          <w:b/>
        </w:rPr>
        <w:br w:type="page"/>
      </w:r>
    </w:p>
    <w:p w14:paraId="58A05968">
      <w:pPr>
        <w:snapToGrid w:val="0"/>
        <w:spacing w:after="156" w:afterLines="50" w:line="360" w:lineRule="auto"/>
        <w:outlineLvl w:val="1"/>
        <w:rPr>
          <w:rFonts w:hint="eastAsia" w:ascii="Arial" w:hAnsi="Arial" w:eastAsia="宋体" w:cs="Arial"/>
          <w:b/>
        </w:rPr>
      </w:pPr>
    </w:p>
    <w:p w14:paraId="4F6F3F98">
      <w:pPr>
        <w:snapToGrid w:val="0"/>
        <w:spacing w:after="156" w:afterLines="50" w:line="360" w:lineRule="auto"/>
        <w:outlineLvl w:val="1"/>
        <w:rPr>
          <w:rFonts w:ascii="Arial" w:hAnsi="Arial" w:eastAsia="宋体" w:cs="Arial"/>
          <w:b/>
        </w:rPr>
      </w:pPr>
    </w:p>
    <w:p w14:paraId="7FC8FA0A">
      <w:pPr>
        <w:snapToGrid w:val="0"/>
        <w:spacing w:after="156" w:afterLines="50" w:line="360" w:lineRule="auto"/>
        <w:ind w:firstLine="420" w:firstLineChars="200"/>
        <w:rPr>
          <w:rFonts w:ascii="Arial" w:hAnsi="Arial" w:eastAsia="宋体" w:cs="Arial"/>
        </w:rPr>
      </w:pPr>
      <w:r>
        <w:rPr>
          <w:rFonts w:hint="eastAsia" w:ascii="Arial" w:hAnsi="Arial" w:eastAsia="宋体" w:cs="Arial"/>
        </w:rPr>
        <w:t>先前临床研究报告应包括美国和国外研究，应包括：</w:t>
      </w:r>
    </w:p>
    <w:p w14:paraId="11DB29F9">
      <w:pPr>
        <w:pStyle w:val="18"/>
        <w:numPr>
          <w:ilvl w:val="0"/>
          <w:numId w:val="4"/>
        </w:numPr>
        <w:snapToGrid w:val="0"/>
        <w:spacing w:after="124" w:afterLines="40" w:line="360" w:lineRule="auto"/>
        <w:ind w:left="0" w:firstLine="474" w:firstLineChars="226"/>
        <w:rPr>
          <w:rFonts w:ascii="Arial" w:hAnsi="Arial" w:eastAsia="宋体" w:cs="Arial"/>
        </w:rPr>
      </w:pPr>
      <w:r>
        <w:rPr>
          <w:rFonts w:hint="eastAsia" w:ascii="Arial" w:hAnsi="Arial" w:eastAsia="宋体" w:cs="Arial"/>
        </w:rPr>
        <w:t>受试者入选和排除标准；</w:t>
      </w:r>
    </w:p>
    <w:p w14:paraId="42A33BC1">
      <w:pPr>
        <w:pStyle w:val="18"/>
        <w:numPr>
          <w:ilvl w:val="0"/>
          <w:numId w:val="4"/>
        </w:numPr>
        <w:snapToGrid w:val="0"/>
        <w:spacing w:after="124" w:afterLines="40" w:line="360" w:lineRule="auto"/>
        <w:ind w:left="0" w:firstLine="474" w:firstLineChars="226"/>
        <w:rPr>
          <w:rFonts w:ascii="Arial" w:hAnsi="Arial" w:eastAsia="宋体" w:cs="Arial"/>
        </w:rPr>
      </w:pPr>
      <w:r>
        <w:rPr>
          <w:rFonts w:hint="eastAsia" w:ascii="Arial" w:hAnsi="Arial" w:eastAsia="宋体" w:cs="Arial"/>
        </w:rPr>
        <w:t>受试者的数量和性质；</w:t>
      </w:r>
    </w:p>
    <w:p w14:paraId="30EE2FA0">
      <w:pPr>
        <w:pStyle w:val="18"/>
        <w:numPr>
          <w:ilvl w:val="0"/>
          <w:numId w:val="4"/>
        </w:numPr>
        <w:snapToGrid w:val="0"/>
        <w:spacing w:after="124" w:afterLines="40" w:line="360" w:lineRule="auto"/>
        <w:ind w:left="0" w:firstLine="474" w:firstLineChars="226"/>
        <w:rPr>
          <w:rFonts w:ascii="Arial" w:hAnsi="Arial" w:eastAsia="宋体" w:cs="Arial"/>
        </w:rPr>
      </w:pPr>
      <w:r>
        <w:rPr>
          <w:rFonts w:hint="eastAsia" w:ascii="Arial" w:hAnsi="Arial" w:eastAsia="宋体" w:cs="Arial"/>
        </w:rPr>
        <w:t>处理的折射误差的种类和范围；</w:t>
      </w:r>
    </w:p>
    <w:p w14:paraId="2F347D07">
      <w:pPr>
        <w:pStyle w:val="18"/>
        <w:numPr>
          <w:ilvl w:val="0"/>
          <w:numId w:val="4"/>
        </w:numPr>
        <w:snapToGrid w:val="0"/>
        <w:spacing w:after="124" w:afterLines="40" w:line="360" w:lineRule="auto"/>
        <w:ind w:left="0" w:firstLine="474" w:firstLineChars="226"/>
        <w:rPr>
          <w:rFonts w:ascii="Arial" w:hAnsi="Arial" w:eastAsia="宋体" w:cs="Arial"/>
        </w:rPr>
      </w:pPr>
      <w:r>
        <w:rPr>
          <w:rFonts w:hint="eastAsia" w:ascii="Arial" w:hAnsi="Arial" w:eastAsia="宋体" w:cs="Arial"/>
        </w:rPr>
        <w:t>治疗方案的细节；</w:t>
      </w:r>
    </w:p>
    <w:p w14:paraId="6B7CBB72">
      <w:pPr>
        <w:pStyle w:val="18"/>
        <w:numPr>
          <w:ilvl w:val="0"/>
          <w:numId w:val="4"/>
        </w:numPr>
        <w:snapToGrid w:val="0"/>
        <w:spacing w:after="124" w:afterLines="40" w:line="360" w:lineRule="auto"/>
        <w:ind w:left="0" w:firstLine="474" w:firstLineChars="226"/>
        <w:rPr>
          <w:rFonts w:ascii="Arial" w:hAnsi="Arial" w:eastAsia="宋体" w:cs="Arial"/>
        </w:rPr>
      </w:pPr>
      <w:r>
        <w:rPr>
          <w:rFonts w:hint="eastAsia" w:ascii="Arial" w:hAnsi="Arial" w:eastAsia="宋体" w:cs="Arial"/>
        </w:rPr>
        <w:t>受试者责任和随访；</w:t>
      </w:r>
    </w:p>
    <w:p w14:paraId="22F984C2">
      <w:pPr>
        <w:pStyle w:val="18"/>
        <w:numPr>
          <w:ilvl w:val="0"/>
          <w:numId w:val="4"/>
        </w:numPr>
        <w:snapToGrid w:val="0"/>
        <w:spacing w:after="124" w:afterLines="40" w:line="360" w:lineRule="auto"/>
        <w:ind w:left="0" w:firstLine="474" w:firstLineChars="226"/>
        <w:rPr>
          <w:rFonts w:ascii="Arial" w:hAnsi="Arial" w:eastAsia="宋体" w:cs="Arial"/>
        </w:rPr>
      </w:pPr>
      <w:r>
        <w:rPr>
          <w:rFonts w:hint="eastAsia" w:ascii="Arial" w:hAnsi="Arial" w:eastAsia="宋体" w:cs="Arial"/>
        </w:rPr>
        <w:t>屈光和视觉结果；</w:t>
      </w:r>
    </w:p>
    <w:p w14:paraId="08BECDDC">
      <w:pPr>
        <w:pStyle w:val="18"/>
        <w:numPr>
          <w:ilvl w:val="0"/>
          <w:numId w:val="4"/>
        </w:numPr>
        <w:snapToGrid w:val="0"/>
        <w:spacing w:after="124" w:afterLines="40" w:line="360" w:lineRule="auto"/>
        <w:ind w:left="0" w:firstLine="474" w:firstLineChars="226"/>
        <w:rPr>
          <w:rFonts w:ascii="Arial" w:hAnsi="Arial" w:eastAsia="宋体" w:cs="Arial"/>
        </w:rPr>
      </w:pPr>
      <w:r>
        <w:rPr>
          <w:rFonts w:hint="eastAsia" w:ascii="Arial" w:hAnsi="Arial" w:eastAsia="宋体" w:cs="Arial"/>
        </w:rPr>
        <w:t>术前和术后视力评估，描述获得和分析数据的程序和方案；</w:t>
      </w:r>
    </w:p>
    <w:p w14:paraId="1659CC4D">
      <w:pPr>
        <w:pStyle w:val="18"/>
        <w:numPr>
          <w:ilvl w:val="0"/>
          <w:numId w:val="4"/>
        </w:numPr>
        <w:snapToGrid w:val="0"/>
        <w:spacing w:after="124" w:afterLines="40" w:line="360" w:lineRule="auto"/>
        <w:ind w:left="0" w:firstLine="474" w:firstLineChars="226"/>
        <w:rPr>
          <w:rFonts w:ascii="Arial" w:hAnsi="Arial" w:eastAsia="宋体" w:cs="Arial"/>
        </w:rPr>
      </w:pPr>
      <w:r>
        <w:rPr>
          <w:rFonts w:hint="eastAsia" w:ascii="Arial" w:hAnsi="Arial" w:eastAsia="宋体" w:cs="Arial"/>
        </w:rPr>
        <w:t>预处理；</w:t>
      </w:r>
    </w:p>
    <w:p w14:paraId="26E5595F">
      <w:pPr>
        <w:pStyle w:val="18"/>
        <w:numPr>
          <w:ilvl w:val="0"/>
          <w:numId w:val="4"/>
        </w:numPr>
        <w:snapToGrid w:val="0"/>
        <w:spacing w:after="124" w:afterLines="40" w:line="360" w:lineRule="auto"/>
        <w:ind w:left="0" w:firstLine="474" w:firstLineChars="226"/>
        <w:rPr>
          <w:rFonts w:ascii="Arial" w:hAnsi="Arial" w:eastAsia="宋体" w:cs="Arial"/>
        </w:rPr>
      </w:pPr>
      <w:r>
        <w:rPr>
          <w:rFonts w:hint="eastAsia" w:ascii="Arial" w:hAnsi="Arial" w:eastAsia="宋体" w:cs="Arial"/>
        </w:rPr>
        <w:t>眼睛治疗；</w:t>
      </w:r>
    </w:p>
    <w:p w14:paraId="53735E05">
      <w:pPr>
        <w:pStyle w:val="18"/>
        <w:numPr>
          <w:ilvl w:val="0"/>
          <w:numId w:val="4"/>
        </w:numPr>
        <w:snapToGrid w:val="0"/>
        <w:spacing w:after="124" w:afterLines="40" w:line="360" w:lineRule="auto"/>
        <w:ind w:left="0" w:firstLine="474" w:firstLineChars="226"/>
        <w:rPr>
          <w:rFonts w:ascii="Arial" w:hAnsi="Arial" w:eastAsia="宋体" w:cs="Arial"/>
        </w:rPr>
      </w:pPr>
      <w:r>
        <w:rPr>
          <w:rFonts w:hint="eastAsia" w:ascii="Arial" w:hAnsi="Arial" w:eastAsia="宋体" w:cs="Arial"/>
        </w:rPr>
        <w:t>不良事件；</w:t>
      </w:r>
    </w:p>
    <w:p w14:paraId="26FD2949">
      <w:pPr>
        <w:pStyle w:val="18"/>
        <w:numPr>
          <w:ilvl w:val="0"/>
          <w:numId w:val="4"/>
        </w:numPr>
        <w:snapToGrid w:val="0"/>
        <w:spacing w:after="124" w:afterLines="40" w:line="360" w:lineRule="auto"/>
        <w:ind w:left="0" w:firstLine="474" w:firstLineChars="226"/>
        <w:rPr>
          <w:rFonts w:ascii="Arial" w:hAnsi="Arial" w:eastAsia="宋体" w:cs="Arial"/>
        </w:rPr>
      </w:pPr>
      <w:r>
        <w:rPr>
          <w:rFonts w:hint="eastAsia" w:ascii="Arial" w:hAnsi="Arial" w:eastAsia="宋体" w:cs="Arial"/>
        </w:rPr>
        <w:t>知情同意文件和伦理审查委员会（</w:t>
      </w:r>
      <w:r>
        <w:rPr>
          <w:rFonts w:ascii="Arial" w:hAnsi="Arial" w:eastAsia="宋体" w:cs="Arial"/>
        </w:rPr>
        <w:t>IRB</w:t>
      </w:r>
      <w:r>
        <w:rPr>
          <w:rFonts w:hint="eastAsia" w:ascii="Arial" w:hAnsi="Arial" w:eastAsia="宋体" w:cs="Arial"/>
        </w:rPr>
        <w:t>）批准信息。</w:t>
      </w:r>
    </w:p>
    <w:p w14:paraId="372FCDB5">
      <w:pPr>
        <w:pStyle w:val="18"/>
        <w:numPr>
          <w:ilvl w:val="0"/>
          <w:numId w:val="1"/>
        </w:numPr>
        <w:snapToGrid w:val="0"/>
        <w:spacing w:after="156" w:afterLines="50" w:line="360" w:lineRule="auto"/>
        <w:ind w:left="0" w:firstLine="0" w:firstLineChars="0"/>
        <w:outlineLvl w:val="0"/>
        <w:rPr>
          <w:rFonts w:ascii="Arial" w:hAnsi="Arial" w:eastAsia="宋体" w:cs="Arial"/>
          <w:b/>
        </w:rPr>
      </w:pPr>
      <w:bookmarkStart w:id="12" w:name="_Toc478047069"/>
      <w:r>
        <w:rPr>
          <w:rFonts w:hint="eastAsia" w:ascii="Arial" w:hAnsi="Arial" w:eastAsia="宋体" w:cs="Arial"/>
          <w:b/>
        </w:rPr>
        <w:t>临床研究方案</w:t>
      </w:r>
      <w:bookmarkEnd w:id="12"/>
    </w:p>
    <w:p w14:paraId="4D01B9F7">
      <w:pPr>
        <w:pStyle w:val="18"/>
        <w:numPr>
          <w:ilvl w:val="1"/>
          <w:numId w:val="5"/>
        </w:numPr>
        <w:snapToGrid w:val="0"/>
        <w:spacing w:after="156" w:afterLines="50" w:line="360" w:lineRule="auto"/>
        <w:ind w:left="0" w:firstLine="0" w:firstLineChars="0"/>
        <w:outlineLvl w:val="1"/>
        <w:rPr>
          <w:rFonts w:ascii="Arial" w:hAnsi="Arial" w:eastAsia="宋体" w:cs="Arial"/>
          <w:b/>
        </w:rPr>
      </w:pPr>
      <w:bookmarkStart w:id="13" w:name="_Toc478047070"/>
      <w:r>
        <w:rPr>
          <w:rFonts w:hint="eastAsia" w:ascii="Arial" w:hAnsi="Arial" w:eastAsia="宋体" w:cs="Arial"/>
          <w:b/>
        </w:rPr>
        <w:t>目的</w:t>
      </w:r>
      <w:bookmarkEnd w:id="13"/>
    </w:p>
    <w:p w14:paraId="182207AD">
      <w:pPr>
        <w:snapToGrid w:val="0"/>
        <w:spacing w:line="360" w:lineRule="auto"/>
        <w:ind w:left="420" w:leftChars="200"/>
        <w:rPr>
          <w:rFonts w:ascii="Arial" w:hAnsi="Arial" w:eastAsia="宋体" w:cs="Arial"/>
        </w:rPr>
      </w:pPr>
      <w:r>
        <w:rPr>
          <w:rFonts w:hint="eastAsia" w:ascii="Arial" w:hAnsi="Arial" w:eastAsia="宋体" w:cs="Arial"/>
        </w:rPr>
        <w:t>临床研究的目的应该是收集治疗眼睛的（</w:t>
      </w:r>
      <w:r>
        <w:rPr>
          <w:rFonts w:hint="eastAsia" w:ascii="Arial" w:hAnsi="Arial" w:eastAsia="宋体" w:cs="Arial"/>
          <w:i/>
        </w:rPr>
        <w:t>器械名称</w:t>
      </w:r>
      <w:r>
        <w:rPr>
          <w:rFonts w:hint="eastAsia" w:ascii="Arial" w:hAnsi="Arial" w:eastAsia="宋体" w:cs="Arial"/>
        </w:rPr>
        <w:t>）的安全性和有效性数据，以纠正（</w:t>
      </w:r>
      <w:r>
        <w:rPr>
          <w:rFonts w:hint="eastAsia" w:ascii="Arial" w:hAnsi="Arial" w:eastAsia="宋体" w:cs="Arial"/>
          <w:i/>
        </w:rPr>
        <w:t>屈光矫正种类</w:t>
      </w:r>
      <w:r>
        <w:rPr>
          <w:rFonts w:hint="eastAsia" w:ascii="Arial" w:hAnsi="Arial" w:eastAsia="宋体" w:cs="Arial"/>
        </w:rPr>
        <w:t>）支持提交上市前批准申请（</w:t>
      </w:r>
      <w:r>
        <w:rPr>
          <w:rFonts w:ascii="Arial" w:hAnsi="Arial" w:eastAsia="宋体" w:cs="Arial"/>
        </w:rPr>
        <w:t>PMA</w:t>
      </w:r>
      <w:r>
        <w:rPr>
          <w:rFonts w:hint="eastAsia" w:ascii="Arial" w:hAnsi="Arial" w:eastAsia="宋体" w:cs="Arial"/>
        </w:rPr>
        <w:t>）。</w:t>
      </w:r>
    </w:p>
    <w:p w14:paraId="5F0FE208">
      <w:pPr>
        <w:snapToGrid w:val="0"/>
        <w:spacing w:after="156" w:afterLines="50" w:line="360" w:lineRule="auto"/>
        <w:ind w:left="420" w:leftChars="200" w:firstLine="12" w:firstLineChars="6"/>
        <w:rPr>
          <w:rFonts w:ascii="Arial" w:hAnsi="Arial" w:eastAsia="宋体" w:cs="Arial"/>
        </w:rPr>
      </w:pPr>
      <w:r>
        <w:rPr>
          <w:rFonts w:hint="eastAsia" w:ascii="Arial" w:hAnsi="Arial" w:eastAsia="宋体" w:cs="Arial"/>
        </w:rPr>
        <w:t>申办方或申办方</w:t>
      </w:r>
      <w:r>
        <w:rPr>
          <w:rFonts w:ascii="Arial" w:hAnsi="Arial" w:eastAsia="宋体" w:cs="Arial"/>
        </w:rPr>
        <w:t>/</w:t>
      </w:r>
      <w:r>
        <w:rPr>
          <w:rFonts w:hint="eastAsia" w:ascii="Arial" w:hAnsi="Arial" w:eastAsia="宋体" w:cs="Arial"/>
        </w:rPr>
        <w:t>研究者应该通过研究安全性、有效性和（</w:t>
      </w:r>
      <w:r>
        <w:rPr>
          <w:rFonts w:hint="eastAsia" w:ascii="Arial" w:hAnsi="Arial" w:eastAsia="宋体" w:cs="Arial"/>
          <w:i/>
        </w:rPr>
        <w:t>指定将研究的任何其他参数，例如双侧同时和顺序手术之间的差异</w:t>
      </w:r>
      <w:r>
        <w:rPr>
          <w:rFonts w:hint="eastAsia" w:ascii="Arial" w:hAnsi="Arial" w:eastAsia="宋体" w:cs="Arial"/>
        </w:rPr>
        <w:t>）评估该激光执行（</w:t>
      </w:r>
      <w:r>
        <w:rPr>
          <w:rFonts w:hint="eastAsia" w:ascii="Arial" w:hAnsi="Arial" w:eastAsia="宋体" w:cs="Arial"/>
          <w:i/>
        </w:rPr>
        <w:t>治疗名称，如</w:t>
      </w:r>
      <w:r>
        <w:rPr>
          <w:rFonts w:ascii="Arial" w:hAnsi="Arial" w:eastAsia="宋体" w:cs="Arial"/>
          <w:i/>
        </w:rPr>
        <w:t>PRK</w:t>
      </w:r>
      <w:r>
        <w:rPr>
          <w:rFonts w:hint="eastAsia" w:ascii="Arial" w:hAnsi="Arial" w:eastAsia="宋体" w:cs="Arial"/>
          <w:i/>
        </w:rPr>
        <w:t>或</w:t>
      </w:r>
      <w:r>
        <w:rPr>
          <w:rFonts w:ascii="Arial" w:hAnsi="Arial" w:eastAsia="宋体" w:cs="Arial"/>
          <w:i/>
        </w:rPr>
        <w:t>LASIK</w:t>
      </w:r>
      <w:r>
        <w:rPr>
          <w:rFonts w:hint="eastAsia" w:ascii="Arial" w:hAnsi="Arial" w:eastAsia="宋体" w:cs="Arial"/>
        </w:rPr>
        <w:t>）以（</w:t>
      </w:r>
      <w:r>
        <w:rPr>
          <w:rFonts w:hint="eastAsia" w:ascii="Arial" w:hAnsi="Arial" w:eastAsia="宋体" w:cs="Arial"/>
          <w:i/>
        </w:rPr>
        <w:t>包括屈光度的范围</w:t>
      </w:r>
      <w:r>
        <w:rPr>
          <w:rFonts w:hint="eastAsia" w:ascii="Arial" w:hAnsi="Arial" w:eastAsia="宋体" w:cs="Arial"/>
        </w:rPr>
        <w:t>）纠正（</w:t>
      </w:r>
      <w:r>
        <w:rPr>
          <w:rFonts w:hint="eastAsia" w:ascii="Arial" w:hAnsi="Arial" w:eastAsia="宋体" w:cs="Arial"/>
          <w:i/>
        </w:rPr>
        <w:t>一种屈光矫正</w:t>
      </w:r>
      <w:r>
        <w:rPr>
          <w:rFonts w:hint="eastAsia" w:ascii="Arial" w:hAnsi="Arial" w:eastAsia="宋体" w:cs="Arial"/>
        </w:rPr>
        <w:t>）的能力。</w:t>
      </w:r>
    </w:p>
    <w:p w14:paraId="1DF7E2F6">
      <w:pPr>
        <w:pStyle w:val="18"/>
        <w:numPr>
          <w:ilvl w:val="1"/>
          <w:numId w:val="5"/>
        </w:numPr>
        <w:snapToGrid w:val="0"/>
        <w:spacing w:after="156" w:afterLines="50" w:line="360" w:lineRule="auto"/>
        <w:ind w:left="0" w:firstLine="0" w:firstLineChars="0"/>
        <w:outlineLvl w:val="1"/>
        <w:rPr>
          <w:rFonts w:hint="eastAsia" w:ascii="Arial" w:hAnsi="Arial" w:eastAsia="宋体" w:cs="Arial"/>
          <w:b/>
        </w:rPr>
      </w:pPr>
      <w:bookmarkStart w:id="14" w:name="_Toc478047071"/>
      <w:r>
        <w:rPr>
          <w:rFonts w:hint="eastAsia" w:ascii="Arial" w:hAnsi="Arial" w:eastAsia="宋体" w:cs="Arial"/>
          <w:b/>
        </w:rPr>
        <w:t>拟定方案：描述所使用的方法并分析证明其稳定性。</w:t>
      </w:r>
      <w:bookmarkEnd w:id="14"/>
    </w:p>
    <w:p w14:paraId="6F4B0573">
      <w:pPr>
        <w:snapToGrid w:val="0"/>
        <w:spacing w:after="156" w:afterLines="50" w:line="360" w:lineRule="auto"/>
        <w:outlineLvl w:val="1"/>
        <w:rPr>
          <w:rFonts w:ascii="Arial" w:hAnsi="Arial" w:eastAsia="宋体" w:cs="Arial"/>
          <w:b/>
        </w:rPr>
      </w:pPr>
    </w:p>
    <w:p w14:paraId="018D98B2">
      <w:pPr>
        <w:widowControl/>
        <w:spacing w:line="360" w:lineRule="auto"/>
        <w:jc w:val="left"/>
        <w:rPr>
          <w:rFonts w:ascii="Arial" w:hAnsi="Arial" w:eastAsia="宋体" w:cs="Arial"/>
          <w:b/>
        </w:rPr>
      </w:pPr>
      <w:r>
        <w:rPr>
          <w:rFonts w:ascii="Arial" w:hAnsi="Arial" w:eastAsia="宋体" w:cs="Arial"/>
          <w:b/>
        </w:rPr>
        <w:br w:type="page"/>
      </w:r>
    </w:p>
    <w:p w14:paraId="5B86127E">
      <w:pPr>
        <w:snapToGrid w:val="0"/>
        <w:spacing w:after="156" w:afterLines="50" w:line="360" w:lineRule="auto"/>
        <w:outlineLvl w:val="1"/>
        <w:rPr>
          <w:rFonts w:ascii="Arial" w:hAnsi="Arial" w:eastAsia="宋体" w:cs="Arial"/>
          <w:b/>
        </w:rPr>
      </w:pPr>
    </w:p>
    <w:p w14:paraId="7AD2BAAC">
      <w:pPr>
        <w:pStyle w:val="18"/>
        <w:numPr>
          <w:ilvl w:val="2"/>
          <w:numId w:val="5"/>
        </w:numPr>
        <w:tabs>
          <w:tab w:val="left" w:pos="560"/>
        </w:tabs>
        <w:snapToGrid w:val="0"/>
        <w:spacing w:after="156" w:afterLines="50" w:line="360" w:lineRule="auto"/>
        <w:ind w:left="0" w:firstLineChars="0"/>
        <w:outlineLvl w:val="2"/>
        <w:rPr>
          <w:rFonts w:ascii="Arial" w:hAnsi="Arial" w:eastAsia="宋体" w:cs="Arial"/>
          <w:b/>
        </w:rPr>
      </w:pPr>
      <w:bookmarkStart w:id="15" w:name="_Toc478047072"/>
      <w:r>
        <w:rPr>
          <w:rFonts w:hint="eastAsia" w:ascii="Arial" w:hAnsi="Arial" w:eastAsia="宋体" w:cs="Arial"/>
          <w:b/>
        </w:rPr>
        <w:t>主要安全性终点和目标值的定义：</w:t>
      </w:r>
      <w:bookmarkEnd w:id="15"/>
    </w:p>
    <w:p w14:paraId="55C7C8E1">
      <w:pPr>
        <w:snapToGrid w:val="0"/>
        <w:spacing w:after="156" w:afterLines="50" w:line="360" w:lineRule="auto"/>
        <w:ind w:firstLine="420" w:firstLineChars="200"/>
        <w:rPr>
          <w:rFonts w:ascii="Arial" w:hAnsi="Arial" w:eastAsia="宋体" w:cs="Arial"/>
        </w:rPr>
      </w:pPr>
      <w:bookmarkStart w:id="16" w:name="OLE_LINK9"/>
      <w:bookmarkStart w:id="17" w:name="OLE_LINK8"/>
      <w:r>
        <w:rPr>
          <w:rFonts w:hint="eastAsia" w:ascii="Arial" w:hAnsi="Arial" w:eastAsia="宋体" w:cs="Arial"/>
        </w:rPr>
        <w:t>这些终点和目标值主要基于眼科装置专家小组的建议。然而，这些终点和目标值仅具有指导意义。</w:t>
      </w:r>
    </w:p>
    <w:bookmarkEnd w:id="16"/>
    <w:bookmarkEnd w:id="17"/>
    <w:p w14:paraId="557A43EF">
      <w:pPr>
        <w:pStyle w:val="18"/>
        <w:numPr>
          <w:ilvl w:val="0"/>
          <w:numId w:val="6"/>
        </w:numPr>
        <w:snapToGrid w:val="0"/>
        <w:spacing w:after="156" w:afterLines="50" w:line="360" w:lineRule="auto"/>
        <w:ind w:left="0" w:firstLine="447" w:firstLineChars="213"/>
        <w:rPr>
          <w:rFonts w:ascii="Arial" w:hAnsi="Arial" w:eastAsia="宋体" w:cs="Arial"/>
        </w:rPr>
      </w:pPr>
      <w:r>
        <w:rPr>
          <w:rFonts w:hint="eastAsia" w:ascii="Arial" w:hAnsi="Arial" w:eastAsia="宋体" w:cs="Arial"/>
        </w:rPr>
        <w:t>小于</w:t>
      </w:r>
      <w:r>
        <w:rPr>
          <w:rFonts w:ascii="Arial" w:hAnsi="Arial" w:eastAsia="宋体" w:cs="Arial"/>
        </w:rPr>
        <w:t>5.0</w:t>
      </w:r>
      <w:r>
        <w:rPr>
          <w:rFonts w:hint="eastAsia" w:ascii="Arial" w:hAnsi="Arial" w:eastAsia="宋体" w:cs="Arial"/>
        </w:rPr>
        <w:t>％的受试者失去超过</w:t>
      </w:r>
      <w:r>
        <w:rPr>
          <w:rFonts w:ascii="Arial" w:hAnsi="Arial" w:eastAsia="宋体" w:cs="Arial"/>
        </w:rPr>
        <w:t>2</w:t>
      </w:r>
      <w:r>
        <w:rPr>
          <w:rFonts w:hint="eastAsia" w:ascii="Arial" w:hAnsi="Arial" w:eastAsia="宋体" w:cs="Arial"/>
        </w:rPr>
        <w:t>条线的最佳矫正视力（</w:t>
      </w:r>
      <w:r>
        <w:rPr>
          <w:rFonts w:ascii="Arial" w:hAnsi="Arial" w:eastAsia="宋体" w:cs="Arial"/>
        </w:rPr>
        <w:t>BSCVA</w:t>
      </w:r>
      <w:r>
        <w:rPr>
          <w:rFonts w:hint="eastAsia" w:ascii="Arial" w:hAnsi="Arial" w:eastAsia="宋体" w:cs="Arial"/>
        </w:rPr>
        <w:t>）</w:t>
      </w:r>
    </w:p>
    <w:p w14:paraId="12BA466F">
      <w:pPr>
        <w:pStyle w:val="18"/>
        <w:numPr>
          <w:ilvl w:val="0"/>
          <w:numId w:val="6"/>
        </w:numPr>
        <w:snapToGrid w:val="0"/>
        <w:spacing w:after="156" w:afterLines="50" w:line="360" w:lineRule="auto"/>
        <w:ind w:left="0" w:firstLine="447" w:firstLineChars="213"/>
        <w:rPr>
          <w:rFonts w:ascii="Arial" w:hAnsi="Arial" w:eastAsia="宋体" w:cs="Arial"/>
        </w:rPr>
      </w:pPr>
      <w:r>
        <w:rPr>
          <w:rFonts w:hint="eastAsia" w:ascii="Arial" w:hAnsi="Arial" w:eastAsia="宋体" w:cs="Arial"/>
        </w:rPr>
        <w:t>小于</w:t>
      </w:r>
      <w:r>
        <w:rPr>
          <w:rFonts w:ascii="Arial" w:hAnsi="Arial" w:eastAsia="宋体" w:cs="Arial"/>
        </w:rPr>
        <w:t>1.0</w:t>
      </w:r>
      <w:r>
        <w:rPr>
          <w:rFonts w:hint="eastAsia" w:ascii="Arial" w:hAnsi="Arial" w:eastAsia="宋体" w:cs="Arial"/>
        </w:rPr>
        <w:t>％的受试者具有比</w:t>
      </w:r>
      <w:r>
        <w:rPr>
          <w:rFonts w:ascii="Arial" w:hAnsi="Arial" w:eastAsia="宋体" w:cs="Arial"/>
        </w:rPr>
        <w:t>20/40</w:t>
      </w:r>
      <w:r>
        <w:rPr>
          <w:rFonts w:hint="eastAsia" w:ascii="Arial" w:hAnsi="Arial" w:eastAsia="宋体" w:cs="Arial"/>
        </w:rPr>
        <w:t>更差的</w:t>
      </w:r>
      <w:r>
        <w:rPr>
          <w:rFonts w:ascii="Arial" w:hAnsi="Arial" w:eastAsia="宋体" w:cs="Arial"/>
        </w:rPr>
        <w:t>BSCVA</w:t>
      </w:r>
    </w:p>
    <w:p w14:paraId="716F4D8D">
      <w:pPr>
        <w:pStyle w:val="18"/>
        <w:numPr>
          <w:ilvl w:val="0"/>
          <w:numId w:val="6"/>
        </w:numPr>
        <w:snapToGrid w:val="0"/>
        <w:spacing w:after="156" w:afterLines="50" w:line="360" w:lineRule="auto"/>
        <w:ind w:left="0" w:firstLine="447" w:firstLineChars="213"/>
        <w:rPr>
          <w:rFonts w:ascii="Arial" w:hAnsi="Arial" w:eastAsia="宋体" w:cs="Arial"/>
        </w:rPr>
      </w:pPr>
      <w:r>
        <w:rPr>
          <w:rFonts w:ascii="Arial" w:hAnsi="Arial" w:eastAsia="宋体" w:cs="Arial"/>
        </w:rPr>
        <w:t>6</w:t>
      </w:r>
      <w:r>
        <w:rPr>
          <w:rFonts w:hint="eastAsia" w:ascii="Arial" w:hAnsi="Arial" w:eastAsia="宋体" w:cs="Arial"/>
        </w:rPr>
        <w:t>个月以上的模糊，损失大于</w:t>
      </w:r>
      <w:r>
        <w:rPr>
          <w:rFonts w:ascii="Arial" w:hAnsi="Arial" w:eastAsia="宋体" w:cs="Arial"/>
        </w:rPr>
        <w:t>2</w:t>
      </w:r>
      <w:r>
        <w:rPr>
          <w:rFonts w:hint="eastAsia" w:ascii="Arial" w:hAnsi="Arial" w:eastAsia="宋体" w:cs="Arial"/>
        </w:rPr>
        <w:t>条线的</w:t>
      </w:r>
      <w:r>
        <w:rPr>
          <w:rFonts w:ascii="Arial" w:hAnsi="Arial" w:eastAsia="宋体" w:cs="Arial"/>
        </w:rPr>
        <w:t>BSCVA</w:t>
      </w:r>
      <w:r>
        <w:rPr>
          <w:rFonts w:hint="eastAsia" w:ascii="Arial" w:hAnsi="Arial" w:eastAsia="宋体" w:cs="Arial"/>
        </w:rPr>
        <w:t>应发生在小于</w:t>
      </w:r>
      <w:r>
        <w:rPr>
          <w:rFonts w:ascii="Arial" w:hAnsi="Arial" w:eastAsia="宋体" w:cs="Arial"/>
        </w:rPr>
        <w:t>1.0</w:t>
      </w:r>
      <w:r>
        <w:rPr>
          <w:rFonts w:hint="eastAsia" w:ascii="Arial" w:hAnsi="Arial" w:eastAsia="宋体" w:cs="Arial"/>
        </w:rPr>
        <w:t>％的受试者中</w:t>
      </w:r>
    </w:p>
    <w:p w14:paraId="49FC6E1C">
      <w:pPr>
        <w:pStyle w:val="18"/>
        <w:numPr>
          <w:ilvl w:val="0"/>
          <w:numId w:val="6"/>
        </w:numPr>
        <w:snapToGrid w:val="0"/>
        <w:spacing w:after="156" w:afterLines="50" w:line="360" w:lineRule="auto"/>
        <w:ind w:left="0" w:firstLine="447" w:firstLineChars="213"/>
        <w:rPr>
          <w:rFonts w:ascii="Arial" w:hAnsi="Arial" w:eastAsia="宋体" w:cs="Arial"/>
        </w:rPr>
      </w:pPr>
      <w:r>
        <w:rPr>
          <w:rFonts w:hint="eastAsia" w:ascii="Arial" w:hAnsi="Arial" w:eastAsia="宋体" w:cs="Arial"/>
        </w:rPr>
        <w:t>大于</w:t>
      </w:r>
      <w:r>
        <w:rPr>
          <w:rFonts w:ascii="Arial" w:hAnsi="Arial" w:eastAsia="宋体" w:cs="Arial"/>
        </w:rPr>
        <w:t>2.0D</w:t>
      </w:r>
      <w:r>
        <w:rPr>
          <w:rFonts w:hint="eastAsia" w:ascii="Arial" w:hAnsi="Arial" w:eastAsia="宋体" w:cs="Arial"/>
        </w:rPr>
        <w:t>的诱发明显屈光散光应该发生在小于</w:t>
      </w:r>
      <w:r>
        <w:rPr>
          <w:rFonts w:ascii="Arial" w:hAnsi="Arial" w:eastAsia="宋体" w:cs="Arial"/>
        </w:rPr>
        <w:t>5</w:t>
      </w:r>
      <w:r>
        <w:rPr>
          <w:rFonts w:hint="eastAsia" w:ascii="Arial" w:hAnsi="Arial" w:eastAsia="宋体" w:cs="Arial"/>
        </w:rPr>
        <w:t>％的受试者中</w:t>
      </w:r>
    </w:p>
    <w:p w14:paraId="6323FAA9">
      <w:pPr>
        <w:pStyle w:val="18"/>
        <w:numPr>
          <w:ilvl w:val="0"/>
          <w:numId w:val="6"/>
        </w:numPr>
        <w:snapToGrid w:val="0"/>
        <w:spacing w:after="156" w:afterLines="50" w:line="360" w:lineRule="auto"/>
        <w:ind w:left="0" w:firstLine="447" w:firstLineChars="213"/>
        <w:rPr>
          <w:rFonts w:ascii="Arial" w:hAnsi="Arial" w:eastAsia="宋体" w:cs="Arial"/>
        </w:rPr>
      </w:pPr>
      <w:r>
        <w:rPr>
          <w:rFonts w:hint="eastAsia" w:ascii="Arial" w:hAnsi="Arial" w:eastAsia="宋体" w:cs="Arial"/>
        </w:rPr>
        <w:t>不良事件发生在小于</w:t>
      </w:r>
      <w:r>
        <w:rPr>
          <w:rFonts w:ascii="Arial" w:hAnsi="Arial" w:eastAsia="宋体" w:cs="Arial"/>
        </w:rPr>
        <w:t>1.0</w:t>
      </w:r>
      <w:r>
        <w:rPr>
          <w:rFonts w:hint="eastAsia" w:ascii="Arial" w:hAnsi="Arial" w:eastAsia="宋体" w:cs="Arial"/>
        </w:rPr>
        <w:t>％的人群中。</w:t>
      </w:r>
    </w:p>
    <w:p w14:paraId="7B642FEA">
      <w:pPr>
        <w:snapToGrid w:val="0"/>
        <w:spacing w:after="156" w:afterLines="50" w:line="360" w:lineRule="auto"/>
        <w:ind w:left="181" w:leftChars="86" w:firstLine="10" w:firstLineChars="5"/>
        <w:rPr>
          <w:rFonts w:ascii="Arial" w:hAnsi="Arial" w:eastAsia="宋体" w:cs="Arial"/>
        </w:rPr>
      </w:pPr>
      <w:r>
        <w:rPr>
          <w:rFonts w:hint="eastAsia" w:ascii="Arial" w:hAnsi="Arial" w:eastAsia="宋体" w:cs="Arial"/>
        </w:rPr>
        <w:t>注</w:t>
      </w:r>
      <w:r>
        <w:rPr>
          <w:rFonts w:ascii="Arial" w:hAnsi="Arial" w:eastAsia="宋体" w:cs="Arial"/>
        </w:rPr>
        <w:t>1</w:t>
      </w:r>
      <w:r>
        <w:rPr>
          <w:rFonts w:hint="eastAsia" w:ascii="Arial" w:hAnsi="Arial" w:eastAsia="宋体" w:cs="Arial"/>
        </w:rPr>
        <w:t>：应明确规定具体的后处理时间，以便估计具体的时间比例。</w:t>
      </w:r>
    </w:p>
    <w:p w14:paraId="5EF15598">
      <w:pPr>
        <w:snapToGrid w:val="0"/>
        <w:spacing w:after="156" w:afterLines="50" w:line="360" w:lineRule="auto"/>
        <w:ind w:left="195" w:leftChars="91" w:hanging="4" w:hangingChars="2"/>
        <w:rPr>
          <w:rFonts w:ascii="Arial" w:hAnsi="Arial" w:eastAsia="宋体" w:cs="Arial"/>
        </w:rPr>
      </w:pPr>
      <w:r>
        <w:rPr>
          <w:rFonts w:hint="eastAsia" w:ascii="Arial" w:hAnsi="Arial" w:eastAsia="宋体" w:cs="Arial"/>
        </w:rPr>
        <w:t>注</w:t>
      </w:r>
      <w:r>
        <w:rPr>
          <w:rFonts w:ascii="Arial" w:hAnsi="Arial" w:eastAsia="宋体" w:cs="Arial"/>
        </w:rPr>
        <w:t>2</w:t>
      </w:r>
      <w:r>
        <w:rPr>
          <w:rFonts w:hint="eastAsia" w:ascii="Arial" w:hAnsi="Arial" w:eastAsia="宋体" w:cs="Arial"/>
        </w:rPr>
        <w:t>：只要激光屈光手术距离角膜内皮</w:t>
      </w:r>
      <w:r>
        <w:rPr>
          <w:rFonts w:ascii="Arial" w:hAnsi="Arial" w:eastAsia="宋体" w:cs="Arial"/>
        </w:rPr>
        <w:t>250</w:t>
      </w:r>
      <w:r>
        <w:rPr>
          <w:rFonts w:hint="eastAsia" w:ascii="Arial" w:hAnsi="Arial" w:eastAsia="宋体" w:cs="Arial"/>
        </w:rPr>
        <w:t>微米，并且使用的激光参数（例如，波长和积分通量）不可能从该距离损伤内皮，则内皮细胞损失的测量不是必需的。</w:t>
      </w:r>
    </w:p>
    <w:p w14:paraId="17452340">
      <w:pPr>
        <w:snapToGrid w:val="0"/>
        <w:spacing w:after="156" w:afterLines="50" w:line="360" w:lineRule="auto"/>
        <w:ind w:left="195" w:leftChars="91" w:hanging="4" w:hangingChars="2"/>
        <w:rPr>
          <w:rFonts w:ascii="Arial" w:hAnsi="Arial" w:eastAsia="宋体" w:cs="Arial"/>
        </w:rPr>
      </w:pPr>
      <w:r>
        <w:rPr>
          <w:rFonts w:hint="eastAsia" w:ascii="Arial" w:hAnsi="Arial" w:eastAsia="宋体" w:cs="Arial"/>
        </w:rPr>
        <w:t>注</w:t>
      </w:r>
      <w:r>
        <w:rPr>
          <w:rFonts w:ascii="Arial" w:hAnsi="Arial" w:eastAsia="宋体" w:cs="Arial"/>
        </w:rPr>
        <w:t>3</w:t>
      </w:r>
      <w:r>
        <w:rPr>
          <w:rFonts w:hint="eastAsia" w:ascii="Arial" w:hAnsi="Arial" w:eastAsia="宋体" w:cs="Arial"/>
        </w:rPr>
        <w:t>：只要在</w:t>
      </w:r>
      <w:r>
        <w:rPr>
          <w:rFonts w:ascii="Arial" w:hAnsi="Arial" w:eastAsia="宋体" w:cs="Arial"/>
        </w:rPr>
        <w:t>IDE</w:t>
      </w:r>
      <w:r>
        <w:rPr>
          <w:rFonts w:hint="eastAsia" w:ascii="Arial" w:hAnsi="Arial" w:eastAsia="宋体" w:cs="Arial"/>
        </w:rPr>
        <w:t>研究期间，在知情同意中为患者提供适当的预防措施，并且在</w:t>
      </w:r>
      <w:r>
        <w:rPr>
          <w:rFonts w:ascii="Arial" w:hAnsi="Arial" w:eastAsia="宋体" w:cs="Arial"/>
        </w:rPr>
        <w:t>PMA</w:t>
      </w:r>
      <w:r>
        <w:rPr>
          <w:rFonts w:hint="eastAsia" w:ascii="Arial" w:hAnsi="Arial" w:eastAsia="宋体" w:cs="Arial"/>
        </w:rPr>
        <w:t>批准后将该装置标记为这种预防措施，对比敏感度和眩光的测量不是必要的。见附录</w:t>
      </w:r>
      <w:r>
        <w:rPr>
          <w:rFonts w:ascii="Arial" w:hAnsi="Arial" w:eastAsia="宋体" w:cs="Arial"/>
        </w:rPr>
        <w:t>B.</w:t>
      </w:r>
    </w:p>
    <w:p w14:paraId="53BDAC28">
      <w:pPr>
        <w:pStyle w:val="18"/>
        <w:numPr>
          <w:ilvl w:val="2"/>
          <w:numId w:val="5"/>
        </w:numPr>
        <w:snapToGrid w:val="0"/>
        <w:spacing w:after="156" w:afterLines="50" w:line="360" w:lineRule="auto"/>
        <w:ind w:left="0" w:firstLineChars="0"/>
        <w:outlineLvl w:val="2"/>
        <w:rPr>
          <w:rFonts w:ascii="Arial" w:hAnsi="Arial" w:eastAsia="宋体" w:cs="Arial"/>
          <w:b/>
        </w:rPr>
      </w:pPr>
      <w:bookmarkStart w:id="18" w:name="_Toc478047073"/>
      <w:r>
        <w:rPr>
          <w:rFonts w:hint="eastAsia" w:ascii="Arial" w:hAnsi="Arial" w:eastAsia="宋体" w:cs="Arial"/>
          <w:b/>
        </w:rPr>
        <w:t>有效性终点和目标值的定义：</w:t>
      </w:r>
      <w:bookmarkEnd w:id="18"/>
    </w:p>
    <w:p w14:paraId="1AF81DF9">
      <w:pPr>
        <w:snapToGrid w:val="0"/>
        <w:spacing w:after="156" w:afterLines="50" w:line="360" w:lineRule="auto"/>
        <w:ind w:firstLine="420" w:firstLineChars="200"/>
        <w:rPr>
          <w:rFonts w:ascii="Arial" w:hAnsi="Arial" w:eastAsia="宋体" w:cs="Arial"/>
        </w:rPr>
      </w:pPr>
      <w:r>
        <w:rPr>
          <w:rFonts w:hint="eastAsia" w:ascii="Arial" w:hAnsi="Arial" w:eastAsia="宋体" w:cs="Arial"/>
        </w:rPr>
        <w:t>这些终点和目标值主要基于眼科装置专家小组的建议。然而，这些终点和目标值仅具有指导意义。</w:t>
      </w:r>
    </w:p>
    <w:p w14:paraId="023BCCD8">
      <w:pPr>
        <w:pStyle w:val="18"/>
        <w:numPr>
          <w:ilvl w:val="0"/>
          <w:numId w:val="7"/>
        </w:numPr>
        <w:snapToGrid w:val="0"/>
        <w:spacing w:after="156" w:afterLines="50" w:line="360" w:lineRule="auto"/>
        <w:ind w:left="797" w:leftChars="220" w:hanging="335" w:hangingChars="166"/>
        <w:rPr>
          <w:rFonts w:hint="eastAsia" w:ascii="Arial" w:hAnsi="Arial" w:eastAsia="宋体" w:cs="Arial"/>
          <w:spacing w:val="-4"/>
        </w:rPr>
      </w:pPr>
      <w:r>
        <w:rPr>
          <w:rFonts w:hint="eastAsia" w:ascii="Arial" w:hAnsi="Arial" w:eastAsia="宋体" w:cs="Arial"/>
          <w:spacing w:val="-4"/>
        </w:rPr>
        <w:t>报告治疗后达到未矫正视力（</w:t>
      </w:r>
      <w:r>
        <w:rPr>
          <w:rFonts w:ascii="Arial" w:hAnsi="Arial" w:eastAsia="宋体" w:cs="Arial"/>
          <w:spacing w:val="-4"/>
        </w:rPr>
        <w:t>UCVA</w:t>
      </w:r>
      <w:r>
        <w:rPr>
          <w:rFonts w:hint="eastAsia" w:ascii="Arial" w:hAnsi="Arial" w:eastAsia="宋体" w:cs="Arial"/>
          <w:spacing w:val="-4"/>
        </w:rPr>
        <w:t>）为</w:t>
      </w:r>
      <w:r>
        <w:rPr>
          <w:rFonts w:ascii="Arial" w:hAnsi="Arial" w:eastAsia="宋体" w:cs="Arial"/>
          <w:spacing w:val="-4"/>
        </w:rPr>
        <w:t>20/40</w:t>
      </w:r>
      <w:r>
        <w:rPr>
          <w:rFonts w:hint="eastAsia" w:ascii="Arial" w:hAnsi="Arial" w:eastAsia="宋体" w:cs="Arial"/>
          <w:spacing w:val="-4"/>
        </w:rPr>
        <w:t>或更好的眼睛的比例（对于</w:t>
      </w:r>
      <w:r>
        <w:rPr>
          <w:rFonts w:ascii="Arial" w:hAnsi="Arial" w:eastAsia="宋体" w:cs="Arial"/>
          <w:spacing w:val="-4"/>
        </w:rPr>
        <w:t>7D</w:t>
      </w:r>
      <w:r>
        <w:rPr>
          <w:rFonts w:hint="eastAsia" w:ascii="Arial" w:hAnsi="Arial" w:eastAsia="宋体" w:cs="Arial"/>
          <w:spacing w:val="-4"/>
        </w:rPr>
        <w:t>下的近视，最小为</w:t>
      </w:r>
      <w:r>
        <w:rPr>
          <w:rFonts w:ascii="Arial" w:hAnsi="Arial" w:eastAsia="宋体" w:cs="Arial"/>
          <w:spacing w:val="-4"/>
        </w:rPr>
        <w:t>85</w:t>
      </w:r>
      <w:r>
        <w:rPr>
          <w:rFonts w:hint="eastAsia" w:ascii="Arial" w:hAnsi="Arial" w:eastAsia="宋体" w:cs="Arial"/>
          <w:spacing w:val="-4"/>
        </w:rPr>
        <w:t>％的受试者）。此外，根据预处理</w:t>
      </w:r>
      <w:r>
        <w:rPr>
          <w:rFonts w:ascii="Arial" w:hAnsi="Arial" w:eastAsia="宋体" w:cs="Arial"/>
          <w:spacing w:val="-4"/>
        </w:rPr>
        <w:t>UCVA</w:t>
      </w:r>
      <w:r>
        <w:rPr>
          <w:rFonts w:hint="eastAsia" w:ascii="Arial" w:hAnsi="Arial" w:eastAsia="宋体" w:cs="Arial"/>
          <w:spacing w:val="-4"/>
        </w:rPr>
        <w:t>，报告在治疗后实现</w:t>
      </w:r>
      <w:r>
        <w:rPr>
          <w:rFonts w:ascii="Arial" w:hAnsi="Arial" w:eastAsia="宋体" w:cs="Arial"/>
          <w:spacing w:val="-4"/>
        </w:rPr>
        <w:t>UCV</w:t>
      </w:r>
      <w:r>
        <w:rPr>
          <w:rFonts w:hint="eastAsia" w:ascii="Arial" w:hAnsi="Arial" w:eastAsia="宋体" w:cs="Arial"/>
          <w:spacing w:val="-4"/>
        </w:rPr>
        <w:t>为</w:t>
      </w:r>
      <w:r>
        <w:rPr>
          <w:rFonts w:ascii="Arial" w:hAnsi="Arial" w:eastAsia="宋体" w:cs="Arial"/>
          <w:spacing w:val="-4"/>
        </w:rPr>
        <w:t>20/40</w:t>
      </w:r>
      <w:r>
        <w:rPr>
          <w:rFonts w:hint="eastAsia" w:ascii="Arial" w:hAnsi="Arial" w:eastAsia="宋体" w:cs="Arial"/>
          <w:spacing w:val="-4"/>
        </w:rPr>
        <w:t>或更好的眼睛的比例。</w:t>
      </w:r>
    </w:p>
    <w:p w14:paraId="6C1E5B8C">
      <w:pPr>
        <w:snapToGrid w:val="0"/>
        <w:spacing w:after="156" w:afterLines="50" w:line="360" w:lineRule="auto"/>
        <w:rPr>
          <w:rFonts w:ascii="Arial" w:hAnsi="Arial" w:eastAsia="宋体" w:cs="Arial"/>
          <w:spacing w:val="-4"/>
        </w:rPr>
      </w:pPr>
    </w:p>
    <w:p w14:paraId="09EBB43C">
      <w:pPr>
        <w:widowControl/>
        <w:jc w:val="left"/>
        <w:rPr>
          <w:rFonts w:ascii="Arial" w:hAnsi="Arial" w:eastAsia="宋体" w:cs="Arial"/>
          <w:spacing w:val="-4"/>
        </w:rPr>
      </w:pPr>
      <w:r>
        <w:rPr>
          <w:rFonts w:ascii="Arial" w:hAnsi="Arial" w:eastAsia="宋体" w:cs="Arial"/>
          <w:spacing w:val="-4"/>
        </w:rPr>
        <w:br w:type="page"/>
      </w:r>
    </w:p>
    <w:p w14:paraId="6290C787">
      <w:pPr>
        <w:snapToGrid w:val="0"/>
        <w:spacing w:after="156" w:afterLines="50" w:line="360" w:lineRule="auto"/>
        <w:rPr>
          <w:rFonts w:ascii="Arial" w:hAnsi="Arial" w:eastAsia="宋体" w:cs="Arial"/>
          <w:spacing w:val="-4"/>
        </w:rPr>
      </w:pPr>
    </w:p>
    <w:p w14:paraId="413CD160">
      <w:pPr>
        <w:pStyle w:val="18"/>
        <w:numPr>
          <w:ilvl w:val="0"/>
          <w:numId w:val="7"/>
        </w:numPr>
        <w:snapToGrid w:val="0"/>
        <w:spacing w:after="156" w:afterLines="50" w:line="360" w:lineRule="auto"/>
        <w:ind w:left="810" w:leftChars="220" w:hanging="348" w:hangingChars="166"/>
        <w:rPr>
          <w:rFonts w:ascii="Arial" w:hAnsi="Arial" w:eastAsia="宋体" w:cs="Arial"/>
        </w:rPr>
      </w:pPr>
      <w:r>
        <w:rPr>
          <w:rFonts w:hint="eastAsia" w:ascii="Arial" w:hAnsi="Arial" w:eastAsia="宋体" w:cs="Arial"/>
        </w:rPr>
        <w:t>报告在达到稳定性的点处达到±告在达到稳和±±在达到稳的显示折射球面度数的可预测性（尝试与实现）的眼睛的比例。（对于</w:t>
      </w:r>
      <w:r>
        <w:rPr>
          <w:rFonts w:ascii="Arial" w:hAnsi="Arial" w:eastAsia="宋体" w:cs="Arial"/>
        </w:rPr>
        <w:t>7D</w:t>
      </w:r>
      <w:r>
        <w:rPr>
          <w:rFonts w:hint="eastAsia" w:ascii="Arial" w:hAnsi="Arial" w:eastAsia="宋体" w:cs="Arial"/>
        </w:rPr>
        <w:t>以下的近视患者，最少</w:t>
      </w:r>
      <w:r>
        <w:rPr>
          <w:rFonts w:ascii="Arial" w:hAnsi="Arial" w:eastAsia="宋体" w:cs="Arial"/>
        </w:rPr>
        <w:t>75</w:t>
      </w:r>
      <w:r>
        <w:rPr>
          <w:rFonts w:hint="eastAsia" w:ascii="Arial" w:hAnsi="Arial" w:eastAsia="宋体" w:cs="Arial"/>
        </w:rPr>
        <w:t>％的受试者应具有在尝试折射的±的受试者应内的实现折射，并且至少</w:t>
      </w:r>
      <w:r>
        <w:rPr>
          <w:rFonts w:ascii="Arial" w:hAnsi="Arial" w:eastAsia="宋体" w:cs="Arial"/>
        </w:rPr>
        <w:t>50</w:t>
      </w:r>
      <w:r>
        <w:rPr>
          <w:rFonts w:hint="eastAsia" w:ascii="Arial" w:hAnsi="Arial" w:eastAsia="宋体" w:cs="Arial"/>
        </w:rPr>
        <w:t>％的受试者应在尝试折射的</w:t>
      </w:r>
      <w:r>
        <w:rPr>
          <w:rFonts w:ascii="Arial" w:hAnsi="Arial" w:eastAsia="宋体" w:cs="Arial"/>
        </w:rPr>
        <w:t>0.50D</w:t>
      </w:r>
      <w:r>
        <w:rPr>
          <w:rFonts w:hint="eastAsia" w:ascii="Arial" w:hAnsi="Arial" w:eastAsia="宋体" w:cs="Arial"/>
        </w:rPr>
        <w:t>内）</w:t>
      </w:r>
    </w:p>
    <w:p w14:paraId="1B5AF2A5">
      <w:pPr>
        <w:pStyle w:val="18"/>
        <w:numPr>
          <w:ilvl w:val="0"/>
          <w:numId w:val="7"/>
        </w:numPr>
        <w:snapToGrid w:val="0"/>
        <w:spacing w:after="156" w:afterLines="50" w:line="360" w:lineRule="auto"/>
        <w:ind w:left="797" w:leftChars="220" w:hanging="335" w:hangingChars="166"/>
        <w:rPr>
          <w:rFonts w:ascii="Arial" w:hAnsi="Arial" w:eastAsia="宋体" w:cs="Arial"/>
          <w:spacing w:val="-4"/>
        </w:rPr>
      </w:pPr>
      <w:r>
        <w:rPr>
          <w:rFonts w:hint="eastAsia" w:ascii="Arial" w:hAnsi="Arial" w:eastAsia="宋体" w:cs="Arial"/>
          <w:spacing w:val="-4"/>
        </w:rPr>
        <w:t>报告实现稳定的显性折射的眼睛的比例。（对于</w:t>
      </w:r>
      <w:r>
        <w:rPr>
          <w:rFonts w:ascii="Arial" w:hAnsi="Arial" w:eastAsia="宋体" w:cs="Arial"/>
          <w:spacing w:val="-4"/>
        </w:rPr>
        <w:t>7D</w:t>
      </w:r>
      <w:r>
        <w:rPr>
          <w:rFonts w:hint="eastAsia" w:ascii="Arial" w:hAnsi="Arial" w:eastAsia="宋体" w:cs="Arial"/>
          <w:spacing w:val="-4"/>
        </w:rPr>
        <w:t>以下的近视，至少</w:t>
      </w:r>
      <w:r>
        <w:rPr>
          <w:rFonts w:ascii="Arial" w:hAnsi="Arial" w:eastAsia="宋体" w:cs="Arial"/>
          <w:spacing w:val="-4"/>
        </w:rPr>
        <w:t>95</w:t>
      </w:r>
      <w:r>
        <w:rPr>
          <w:rFonts w:hint="eastAsia" w:ascii="Arial" w:hAnsi="Arial" w:eastAsia="宋体" w:cs="Arial"/>
          <w:spacing w:val="-4"/>
        </w:rPr>
        <w:t>％的受试者应该是稳定的）。</w:t>
      </w:r>
    </w:p>
    <w:p w14:paraId="093297D4">
      <w:pPr>
        <w:pStyle w:val="18"/>
        <w:numPr>
          <w:ilvl w:val="0"/>
          <w:numId w:val="7"/>
        </w:numPr>
        <w:snapToGrid w:val="0"/>
        <w:spacing w:after="156" w:afterLines="50" w:line="360" w:lineRule="auto"/>
        <w:ind w:left="810" w:leftChars="220" w:hanging="348" w:hangingChars="166"/>
        <w:rPr>
          <w:rFonts w:ascii="Arial" w:hAnsi="Arial" w:eastAsia="宋体" w:cs="Arial"/>
        </w:rPr>
      </w:pPr>
      <w:r>
        <w:rPr>
          <w:rFonts w:hint="eastAsia" w:ascii="Arial" w:hAnsi="Arial" w:eastAsia="宋体" w:cs="Arial"/>
        </w:rPr>
        <w:t>对于散光校正方案，报告实现最小残余散光的眼睛的比例。</w:t>
      </w:r>
    </w:p>
    <w:p w14:paraId="46AA1215">
      <w:pPr>
        <w:snapToGrid w:val="0"/>
        <w:spacing w:after="156" w:afterLines="50" w:line="360" w:lineRule="auto"/>
        <w:ind w:firstLine="195" w:firstLineChars="93"/>
        <w:rPr>
          <w:rFonts w:ascii="Arial" w:hAnsi="Arial" w:eastAsia="宋体" w:cs="Arial"/>
        </w:rPr>
      </w:pPr>
      <w:r>
        <w:rPr>
          <w:rFonts w:hint="eastAsia" w:ascii="Arial" w:hAnsi="Arial" w:eastAsia="宋体" w:cs="Arial"/>
        </w:rPr>
        <w:t>注意：应明确界定具体的后处理时间，以便进行估计时间特定的比例。</w:t>
      </w:r>
    </w:p>
    <w:p w14:paraId="02A66E93">
      <w:pPr>
        <w:snapToGrid w:val="0"/>
        <w:spacing w:after="156" w:afterLines="50" w:line="360" w:lineRule="auto"/>
        <w:ind w:firstLine="195" w:firstLineChars="93"/>
        <w:rPr>
          <w:rFonts w:ascii="Arial" w:hAnsi="Arial" w:eastAsia="宋体" w:cs="Arial"/>
        </w:rPr>
      </w:pPr>
    </w:p>
    <w:p w14:paraId="29BB2AC7">
      <w:pPr>
        <w:pStyle w:val="18"/>
        <w:numPr>
          <w:ilvl w:val="2"/>
          <w:numId w:val="5"/>
        </w:numPr>
        <w:snapToGrid w:val="0"/>
        <w:spacing w:after="156" w:afterLines="50" w:line="360" w:lineRule="auto"/>
        <w:ind w:left="0" w:firstLineChars="0"/>
        <w:outlineLvl w:val="2"/>
        <w:rPr>
          <w:rFonts w:ascii="Arial" w:hAnsi="Arial" w:eastAsia="宋体" w:cs="Arial"/>
          <w:b/>
          <w:bCs/>
          <w:kern w:val="0"/>
        </w:rPr>
      </w:pPr>
      <w:bookmarkStart w:id="19" w:name="_Toc478047074"/>
      <w:r>
        <w:rPr>
          <w:rFonts w:hint="eastAsia" w:ascii="Arial" w:hAnsi="Arial" w:eastAsia="宋体" w:cs="Arial"/>
          <w:b/>
          <w:bCs/>
          <w:kern w:val="0"/>
        </w:rPr>
        <w:t>研究设计</w:t>
      </w:r>
      <w:bookmarkEnd w:id="19"/>
    </w:p>
    <w:p w14:paraId="12B88689">
      <w:pPr>
        <w:snapToGrid w:val="0"/>
        <w:spacing w:after="156" w:afterLines="50" w:line="360" w:lineRule="auto"/>
        <w:ind w:left="825" w:leftChars="393" w:firstLine="14" w:firstLineChars="7"/>
        <w:rPr>
          <w:rFonts w:ascii="Arial" w:hAnsi="Arial" w:cs="Arial"/>
        </w:rPr>
      </w:pPr>
      <w:r>
        <w:rPr>
          <w:rFonts w:hint="eastAsia" w:ascii="Arial" w:hAnsi="Arial" w:eastAsia="宋体" w:cs="Arial"/>
        </w:rPr>
        <w:t>本临床试验研究应该被设计为一个受控队列研究（命名何种类型的研究，例如，前瞻性，随机化</w:t>
      </w:r>
      <w:r>
        <w:rPr>
          <w:rFonts w:ascii="Arial" w:hAnsi="Arial" w:eastAsia="宋体" w:cs="Arial"/>
        </w:rPr>
        <w:t>/</w:t>
      </w:r>
      <w:r>
        <w:rPr>
          <w:rFonts w:hint="eastAsia" w:ascii="Arial" w:hAnsi="Arial" w:eastAsia="宋体" w:cs="Arial"/>
        </w:rPr>
        <w:t>非随机化，一个中心</w:t>
      </w:r>
      <w:r>
        <w:rPr>
          <w:rFonts w:ascii="Arial" w:hAnsi="Arial" w:eastAsia="宋体" w:cs="Arial"/>
        </w:rPr>
        <w:t>/</w:t>
      </w:r>
      <w:r>
        <w:rPr>
          <w:rFonts w:hint="eastAsia" w:ascii="Arial" w:hAnsi="Arial" w:eastAsia="宋体" w:cs="Arial"/>
        </w:rPr>
        <w:t>多中心）。本研究应包括特定数量的眼睛和受试者，并应在美国境内特定的一些临床研究中心进行。以确定对申办方的屈光手术激光器的安全性和有效性的合理保证，多中心试验不是必要的；如果提供足够的数据来证明该器械可为其他从业者安全有效地使用，则单一研究中心可能就足够了。选择对单个激光器械进行单中心</w:t>
      </w:r>
      <w:r>
        <w:rPr>
          <w:rFonts w:ascii="Arial" w:hAnsi="Arial" w:eastAsia="宋体" w:cs="Arial"/>
        </w:rPr>
        <w:t>IDE</w:t>
      </w:r>
      <w:r>
        <w:rPr>
          <w:rFonts w:hint="eastAsia" w:ascii="Arial" w:hAnsi="Arial" w:eastAsia="宋体" w:cs="Arial"/>
        </w:rPr>
        <w:t>研究以支持</w:t>
      </w:r>
      <w:r>
        <w:rPr>
          <w:rFonts w:ascii="Arial" w:hAnsi="Arial" w:eastAsia="宋体" w:cs="Arial"/>
        </w:rPr>
        <w:t>PMA</w:t>
      </w:r>
      <w:r>
        <w:rPr>
          <w:rFonts w:hint="eastAsia" w:ascii="Arial" w:hAnsi="Arial" w:eastAsia="宋体" w:cs="Arial"/>
        </w:rPr>
        <w:t>提交的申办方应遵循本文件中提供的指导。本文件同样适用于单中心和多中心研究。单中心</w:t>
      </w:r>
      <w:r>
        <w:rPr>
          <w:rFonts w:ascii="Arial" w:hAnsi="Arial" w:eastAsia="宋体" w:cs="Arial"/>
        </w:rPr>
        <w:t>IDE</w:t>
      </w:r>
      <w:r>
        <w:rPr>
          <w:rFonts w:hint="eastAsia" w:ascii="Arial" w:hAnsi="Arial" w:eastAsia="宋体" w:cs="Arial"/>
        </w:rPr>
        <w:t>研究的申办方应该识别和控制偏差，并且应该从多个研究者获得数据。</w:t>
      </w:r>
    </w:p>
    <w:p w14:paraId="081569F0">
      <w:pPr>
        <w:snapToGrid w:val="0"/>
        <w:spacing w:after="156" w:afterLines="50" w:line="360" w:lineRule="auto"/>
        <w:ind w:left="825" w:leftChars="393" w:firstLine="14" w:firstLineChars="7"/>
        <w:rPr>
          <w:rFonts w:ascii="Arial" w:hAnsi="Arial" w:eastAsia="宋体" w:cs="Arial"/>
        </w:rPr>
      </w:pPr>
      <w:r>
        <w:rPr>
          <w:rFonts w:hint="eastAsia" w:ascii="Arial" w:hAnsi="Arial" w:eastAsia="宋体" w:cs="Arial"/>
        </w:rPr>
        <w:t>应规定研究的持续时间。如果在此期间收集的数据需要进一步跟进，则应根据需要扩大研究。</w:t>
      </w:r>
    </w:p>
    <w:p w14:paraId="526A58D6">
      <w:pPr>
        <w:pStyle w:val="18"/>
        <w:numPr>
          <w:ilvl w:val="3"/>
          <w:numId w:val="5"/>
        </w:numPr>
        <w:snapToGrid w:val="0"/>
        <w:spacing w:after="156" w:afterLines="50" w:line="360" w:lineRule="auto"/>
        <w:ind w:left="0" w:firstLine="0" w:firstLineChars="0"/>
        <w:outlineLvl w:val="3"/>
        <w:rPr>
          <w:rFonts w:ascii="Arial" w:hAnsi="Arial" w:eastAsia="宋体" w:cs="Arial"/>
          <w:b/>
        </w:rPr>
      </w:pPr>
      <w:bookmarkStart w:id="20" w:name="_Toc478047075"/>
      <w:r>
        <w:rPr>
          <w:rFonts w:hint="eastAsia" w:ascii="Arial" w:hAnsi="Arial" w:eastAsia="宋体" w:cs="Arial"/>
          <w:b/>
        </w:rPr>
        <w:t>侧眼治疗</w:t>
      </w:r>
      <w:bookmarkEnd w:id="20"/>
    </w:p>
    <w:p w14:paraId="7B883FF5">
      <w:pPr>
        <w:snapToGrid w:val="0"/>
        <w:spacing w:after="156" w:afterLines="50" w:line="360" w:lineRule="auto"/>
        <w:ind w:left="825" w:leftChars="393" w:firstLine="14" w:firstLineChars="7"/>
        <w:rPr>
          <w:rFonts w:hint="eastAsia" w:ascii="Arial" w:hAnsi="Arial" w:eastAsia="宋体" w:cs="Arial"/>
        </w:rPr>
      </w:pPr>
      <w:r>
        <w:rPr>
          <w:rFonts w:hint="eastAsia" w:ascii="Arial" w:hAnsi="Arial" w:eastAsia="宋体" w:cs="Arial"/>
        </w:rPr>
        <w:t>可以在治疗第一只眼睛后（规定的最短时间）尽早对侧眼进行治疗。应首先确定申办方激光治疗的稳定性，以确定进行对侧眼治疗的适当时间框架。侧眼治疗不应在初始治疗眼中存在任何并发症或不良事件的情况下进行。</w:t>
      </w:r>
    </w:p>
    <w:p w14:paraId="55AAAB7B">
      <w:pPr>
        <w:snapToGrid w:val="0"/>
        <w:spacing w:after="156" w:afterLines="50" w:line="360" w:lineRule="auto"/>
        <w:ind w:left="825" w:leftChars="393" w:firstLine="14" w:firstLineChars="7"/>
        <w:rPr>
          <w:rFonts w:ascii="Arial" w:hAnsi="Arial" w:eastAsia="宋体" w:cs="Arial"/>
        </w:rPr>
      </w:pPr>
    </w:p>
    <w:p w14:paraId="1D356EE0">
      <w:pPr>
        <w:widowControl/>
        <w:jc w:val="left"/>
        <w:rPr>
          <w:rFonts w:ascii="Arial" w:hAnsi="Arial" w:eastAsia="宋体" w:cs="Arial"/>
        </w:rPr>
      </w:pPr>
      <w:r>
        <w:rPr>
          <w:rFonts w:ascii="Arial" w:hAnsi="Arial" w:eastAsia="宋体" w:cs="Arial"/>
        </w:rPr>
        <w:br w:type="page"/>
      </w:r>
    </w:p>
    <w:p w14:paraId="4C8F6D20">
      <w:pPr>
        <w:snapToGrid w:val="0"/>
        <w:spacing w:after="156" w:afterLines="50" w:line="360" w:lineRule="auto"/>
        <w:ind w:left="825" w:leftChars="393" w:firstLine="14" w:firstLineChars="7"/>
        <w:rPr>
          <w:rFonts w:ascii="Arial" w:hAnsi="Arial" w:eastAsia="宋体" w:cs="Arial"/>
        </w:rPr>
      </w:pPr>
    </w:p>
    <w:p w14:paraId="006E023E">
      <w:pPr>
        <w:snapToGrid w:val="0"/>
        <w:spacing w:after="156" w:afterLines="50" w:line="360" w:lineRule="auto"/>
        <w:ind w:left="825" w:leftChars="393" w:firstLine="14" w:firstLineChars="7"/>
        <w:rPr>
          <w:rFonts w:ascii="Arial" w:hAnsi="Arial" w:eastAsia="宋体" w:cs="Arial"/>
        </w:rPr>
      </w:pPr>
      <w:r>
        <w:rPr>
          <w:rFonts w:hint="eastAsia" w:ascii="Arial" w:hAnsi="Arial" w:eastAsia="宋体" w:cs="Arial"/>
        </w:rPr>
        <w:t>如果第一只眼睛的结果将用于修改第二只眼睛的手术，则描述如何使用该信息。</w:t>
      </w:r>
    </w:p>
    <w:p w14:paraId="1969AE2C">
      <w:pPr>
        <w:pStyle w:val="18"/>
        <w:numPr>
          <w:ilvl w:val="3"/>
          <w:numId w:val="5"/>
        </w:numPr>
        <w:snapToGrid w:val="0"/>
        <w:spacing w:after="156" w:afterLines="50" w:line="360" w:lineRule="auto"/>
        <w:ind w:left="0" w:firstLine="0" w:firstLineChars="0"/>
        <w:outlineLvl w:val="3"/>
        <w:rPr>
          <w:rFonts w:ascii="Arial" w:hAnsi="Arial" w:eastAsia="宋体" w:cs="Arial"/>
          <w:b/>
        </w:rPr>
      </w:pPr>
      <w:bookmarkStart w:id="21" w:name="_Toc478047076"/>
      <w:r>
        <w:rPr>
          <w:rFonts w:hint="eastAsia" w:ascii="Arial" w:hAnsi="Arial" w:eastAsia="宋体" w:cs="Arial"/>
          <w:b/>
        </w:rPr>
        <w:t>重复治疗程序</w:t>
      </w:r>
      <w:bookmarkEnd w:id="21"/>
    </w:p>
    <w:p w14:paraId="7B07E0D2">
      <w:pPr>
        <w:snapToGrid w:val="0"/>
        <w:spacing w:after="156" w:afterLines="50" w:line="360" w:lineRule="auto"/>
        <w:ind w:left="825" w:leftChars="393" w:firstLine="14" w:firstLineChars="7"/>
        <w:rPr>
          <w:rFonts w:ascii="Arial" w:hAnsi="Arial" w:eastAsia="宋体" w:cs="Arial"/>
        </w:rPr>
      </w:pPr>
      <w:r>
        <w:rPr>
          <w:rFonts w:hint="eastAsia" w:ascii="Arial" w:hAnsi="Arial" w:eastAsia="宋体" w:cs="Arial"/>
        </w:rPr>
        <w:t>除非在初次手术后的最短</w:t>
      </w:r>
      <w:r>
        <w:rPr>
          <w:rFonts w:ascii="Arial" w:hAnsi="Arial" w:eastAsia="宋体" w:cs="Arial"/>
        </w:rPr>
        <w:t>时间</w:t>
      </w:r>
      <w:r>
        <w:rPr>
          <w:rFonts w:hint="eastAsia" w:ascii="Arial" w:hAnsi="Arial" w:eastAsia="宋体" w:cs="Arial"/>
        </w:rPr>
        <w:t>（规定的最短时间）内满足以下条件，</w:t>
      </w:r>
      <w:r>
        <w:rPr>
          <w:rFonts w:ascii="Arial" w:hAnsi="Arial" w:eastAsia="宋体" w:cs="Arial"/>
        </w:rPr>
        <w:t>否则不应</w:t>
      </w:r>
      <w:r>
        <w:rPr>
          <w:rFonts w:hint="eastAsia" w:ascii="Arial" w:hAnsi="Arial" w:eastAsia="宋体" w:cs="Arial"/>
        </w:rPr>
        <w:t>进行重复</w:t>
      </w:r>
      <w:r>
        <w:rPr>
          <w:rFonts w:ascii="Arial" w:hAnsi="Arial" w:eastAsia="宋体" w:cs="Arial"/>
        </w:rPr>
        <w:t>治疗</w:t>
      </w:r>
      <w:r>
        <w:rPr>
          <w:rFonts w:hint="eastAsia" w:ascii="Arial" w:hAnsi="Arial" w:eastAsia="宋体" w:cs="Arial"/>
        </w:rPr>
        <w:t>：（规定</w:t>
      </w:r>
      <w:r>
        <w:rPr>
          <w:rFonts w:ascii="Arial" w:hAnsi="Arial" w:eastAsia="宋体" w:cs="Arial"/>
        </w:rPr>
        <w:t>的</w:t>
      </w:r>
      <w:r>
        <w:rPr>
          <w:rFonts w:hint="eastAsia" w:ascii="Arial" w:hAnsi="Arial" w:eastAsia="宋体" w:cs="Arial"/>
        </w:rPr>
        <w:t>最小</w:t>
      </w:r>
      <w:r>
        <w:rPr>
          <w:rFonts w:ascii="Arial" w:hAnsi="Arial" w:eastAsia="宋体" w:cs="Arial"/>
        </w:rPr>
        <w:t>UCVA</w:t>
      </w:r>
      <w:r>
        <w:rPr>
          <w:rFonts w:hint="eastAsia" w:ascii="Arial" w:hAnsi="Arial" w:eastAsia="宋体" w:cs="Arial"/>
        </w:rPr>
        <w:t>和屈光标准）。应该对重复治疗程序进行描述。并应根据屈光稳定性来确定重复手术的时间。</w:t>
      </w:r>
    </w:p>
    <w:p w14:paraId="046F917C">
      <w:pPr>
        <w:snapToGrid w:val="0"/>
        <w:spacing w:after="156" w:afterLines="50" w:line="360" w:lineRule="auto"/>
        <w:ind w:left="825" w:leftChars="393" w:firstLine="14" w:firstLineChars="7"/>
        <w:rPr>
          <w:rFonts w:ascii="Arial" w:hAnsi="Arial" w:eastAsia="宋体" w:cs="Arial"/>
        </w:rPr>
      </w:pPr>
      <w:r>
        <w:rPr>
          <w:rFonts w:hint="eastAsia" w:ascii="Arial" w:hAnsi="Arial" w:eastAsia="宋体" w:cs="Arial"/>
        </w:rPr>
        <w:t>认为为改善屈光结果而进行的重复治疗不一定是治疗失败；然而，计划用于屈光目的的重复治疗次数应在方案和知情同意书中说明。认为为解决不良事件而进行的重复治疗是治疗失败。应提交对重复治疗人群的数据的独立性和完整性的分析。</w:t>
      </w:r>
    </w:p>
    <w:p w14:paraId="0D90DFFC">
      <w:pPr>
        <w:pStyle w:val="18"/>
        <w:numPr>
          <w:ilvl w:val="2"/>
          <w:numId w:val="5"/>
        </w:numPr>
        <w:snapToGrid w:val="0"/>
        <w:spacing w:after="156" w:afterLines="50" w:line="360" w:lineRule="auto"/>
        <w:ind w:left="0" w:firstLineChars="0"/>
        <w:outlineLvl w:val="2"/>
        <w:rPr>
          <w:rFonts w:ascii="Arial" w:hAnsi="Arial" w:eastAsia="宋体" w:cs="Arial"/>
          <w:b/>
        </w:rPr>
      </w:pPr>
      <w:bookmarkStart w:id="22" w:name="_Toc478047077"/>
      <w:r>
        <w:rPr>
          <w:rFonts w:hint="eastAsia" w:ascii="Arial" w:hAnsi="Arial" w:eastAsia="宋体" w:cs="Arial"/>
          <w:b/>
        </w:rPr>
        <w:t>患者人群（纳入</w:t>
      </w:r>
      <w:r>
        <w:rPr>
          <w:rFonts w:ascii="Arial" w:hAnsi="Arial" w:eastAsia="宋体" w:cs="Arial"/>
          <w:b/>
        </w:rPr>
        <w:t>/</w:t>
      </w:r>
      <w:r>
        <w:rPr>
          <w:rFonts w:hint="eastAsia" w:ascii="Arial" w:hAnsi="Arial" w:eastAsia="宋体" w:cs="Arial"/>
          <w:b/>
        </w:rPr>
        <w:t>排除标准）</w:t>
      </w:r>
      <w:bookmarkEnd w:id="22"/>
    </w:p>
    <w:p w14:paraId="4AFDAEC2">
      <w:pPr>
        <w:snapToGrid w:val="0"/>
        <w:spacing w:after="156" w:afterLines="50" w:line="360" w:lineRule="auto"/>
        <w:ind w:left="825" w:leftChars="393" w:firstLine="14" w:firstLineChars="7"/>
        <w:rPr>
          <w:rFonts w:ascii="Arial" w:hAnsi="Arial" w:eastAsia="宋体" w:cs="Arial"/>
        </w:rPr>
      </w:pPr>
      <w:r>
        <w:rPr>
          <w:rFonts w:hint="eastAsia" w:ascii="Arial" w:hAnsi="Arial" w:eastAsia="宋体" w:cs="Arial"/>
        </w:rPr>
        <w:t>申办方可以提交他</w:t>
      </w:r>
      <w:r>
        <w:rPr>
          <w:rFonts w:ascii="Arial" w:hAnsi="Arial" w:eastAsia="宋体" w:cs="Arial"/>
        </w:rPr>
        <w:t>/</w:t>
      </w:r>
      <w:r>
        <w:rPr>
          <w:rFonts w:hint="eastAsia" w:ascii="Arial" w:hAnsi="Arial" w:eastAsia="宋体" w:cs="Arial"/>
        </w:rPr>
        <w:t>她选择的任何纳入</w:t>
      </w:r>
      <w:r>
        <w:rPr>
          <w:rFonts w:ascii="Arial" w:hAnsi="Arial" w:eastAsia="宋体" w:cs="Arial"/>
        </w:rPr>
        <w:t>/</w:t>
      </w:r>
      <w:r>
        <w:rPr>
          <w:rFonts w:hint="eastAsia" w:ascii="Arial" w:hAnsi="Arial" w:eastAsia="宋体" w:cs="Arial"/>
        </w:rPr>
        <w:t>排除标准。然而，包括可能对激光屈光手术特有风险的全身或眼睛病症的受试者应该伴有适当的书面知情同意，数据的分层以及如果以后激光器将在这些条件下销售的子研究。以下标准通常用于屈光手术激光器的</w:t>
      </w:r>
      <w:r>
        <w:rPr>
          <w:rFonts w:ascii="Arial" w:hAnsi="Arial" w:eastAsia="宋体" w:cs="Arial"/>
        </w:rPr>
        <w:t>IDE</w:t>
      </w:r>
      <w:r>
        <w:rPr>
          <w:rFonts w:hint="eastAsia" w:ascii="Arial" w:hAnsi="Arial" w:eastAsia="宋体" w:cs="Arial"/>
        </w:rPr>
        <w:t>研究中：</w:t>
      </w:r>
    </w:p>
    <w:p w14:paraId="0E4F7F92">
      <w:pPr>
        <w:pStyle w:val="18"/>
        <w:numPr>
          <w:ilvl w:val="3"/>
          <w:numId w:val="5"/>
        </w:numPr>
        <w:snapToGrid w:val="0"/>
        <w:spacing w:after="156" w:afterLines="50" w:line="360" w:lineRule="auto"/>
        <w:ind w:left="0" w:firstLine="0" w:firstLineChars="0"/>
        <w:outlineLvl w:val="3"/>
        <w:rPr>
          <w:rFonts w:ascii="Arial" w:hAnsi="Arial" w:eastAsia="宋体" w:cs="Arial"/>
          <w:b/>
        </w:rPr>
      </w:pPr>
      <w:bookmarkStart w:id="23" w:name="_Toc478047078"/>
      <w:r>
        <w:rPr>
          <w:rFonts w:hint="eastAsia" w:ascii="Arial" w:hAnsi="Arial" w:eastAsia="宋体" w:cs="Arial"/>
          <w:b/>
        </w:rPr>
        <w:t>纳入标准：</w:t>
      </w:r>
      <w:bookmarkEnd w:id="23"/>
    </w:p>
    <w:p w14:paraId="2A6C98B9">
      <w:pPr>
        <w:pStyle w:val="18"/>
        <w:numPr>
          <w:ilvl w:val="1"/>
          <w:numId w:val="8"/>
        </w:numPr>
        <w:snapToGrid w:val="0"/>
        <w:spacing w:after="156" w:afterLines="50" w:line="360" w:lineRule="auto"/>
        <w:ind w:left="840" w:hanging="336" w:firstLineChars="0"/>
        <w:rPr>
          <w:rFonts w:ascii="Arial" w:hAnsi="Arial" w:eastAsia="宋体" w:cs="Arial"/>
        </w:rPr>
      </w:pPr>
      <w:r>
        <w:rPr>
          <w:rFonts w:hint="eastAsia" w:ascii="Arial" w:hAnsi="Arial" w:eastAsia="宋体" w:cs="Arial"/>
        </w:rPr>
        <w:t>受试者应为（国家最低年龄）年龄或以上</w:t>
      </w:r>
    </w:p>
    <w:p w14:paraId="68ECA676">
      <w:pPr>
        <w:pStyle w:val="18"/>
        <w:numPr>
          <w:ilvl w:val="1"/>
          <w:numId w:val="8"/>
        </w:numPr>
        <w:snapToGrid w:val="0"/>
        <w:spacing w:after="156" w:afterLines="50" w:line="360" w:lineRule="auto"/>
        <w:ind w:left="840" w:hanging="336" w:firstLineChars="0"/>
        <w:rPr>
          <w:rFonts w:ascii="Arial" w:hAnsi="Arial" w:eastAsia="宋体" w:cs="Arial"/>
        </w:rPr>
      </w:pPr>
      <w:r>
        <w:rPr>
          <w:rFonts w:hint="eastAsia" w:ascii="Arial" w:hAnsi="Arial" w:eastAsia="宋体" w:cs="Arial"/>
        </w:rPr>
        <w:t>屈光状态标准（包括球形和圆柱形部件）</w:t>
      </w:r>
    </w:p>
    <w:p w14:paraId="16C1A010">
      <w:pPr>
        <w:pStyle w:val="18"/>
        <w:numPr>
          <w:ilvl w:val="1"/>
          <w:numId w:val="8"/>
        </w:numPr>
        <w:snapToGrid w:val="0"/>
        <w:spacing w:after="156" w:afterLines="50" w:line="360" w:lineRule="auto"/>
        <w:ind w:left="840" w:hanging="336" w:firstLineChars="0"/>
        <w:rPr>
          <w:rFonts w:ascii="Arial" w:hAnsi="Arial" w:eastAsia="宋体" w:cs="Arial"/>
        </w:rPr>
      </w:pPr>
      <w:r>
        <w:rPr>
          <w:rFonts w:hint="eastAsia" w:ascii="Arial" w:hAnsi="Arial" w:eastAsia="宋体" w:cs="Arial"/>
        </w:rPr>
        <w:t>双眼的</w:t>
      </w:r>
      <w:r>
        <w:rPr>
          <w:rFonts w:ascii="Arial" w:hAnsi="Arial" w:eastAsia="宋体" w:cs="Arial"/>
        </w:rPr>
        <w:t>BCVA</w:t>
      </w:r>
      <w:r>
        <w:rPr>
          <w:rFonts w:hint="eastAsia" w:ascii="Arial" w:hAnsi="Arial" w:eastAsia="宋体" w:cs="Arial"/>
        </w:rPr>
        <w:t>应该是</w:t>
      </w:r>
      <w:r>
        <w:rPr>
          <w:rFonts w:ascii="Arial" w:hAnsi="Arial" w:eastAsia="宋体" w:cs="Arial"/>
        </w:rPr>
        <w:t>20/40</w:t>
      </w:r>
      <w:r>
        <w:rPr>
          <w:rFonts w:hint="eastAsia" w:ascii="Arial" w:hAnsi="Arial" w:eastAsia="宋体" w:cs="Arial"/>
        </w:rPr>
        <w:t>或更好</w:t>
      </w:r>
    </w:p>
    <w:p w14:paraId="1366ABDA">
      <w:pPr>
        <w:pStyle w:val="18"/>
        <w:numPr>
          <w:ilvl w:val="1"/>
          <w:numId w:val="8"/>
        </w:numPr>
        <w:snapToGrid w:val="0"/>
        <w:spacing w:after="156" w:afterLines="50" w:line="360" w:lineRule="auto"/>
        <w:ind w:left="840" w:hanging="336" w:firstLineChars="0"/>
        <w:rPr>
          <w:rFonts w:ascii="Arial" w:hAnsi="Arial" w:eastAsia="宋体" w:cs="Arial"/>
        </w:rPr>
      </w:pPr>
      <w:r>
        <w:rPr>
          <w:rFonts w:hint="eastAsia" w:ascii="Arial" w:hAnsi="Arial" w:eastAsia="宋体" w:cs="Arial"/>
        </w:rPr>
        <w:t>隐形眼镜佩戴者应该：</w:t>
      </w:r>
    </w:p>
    <w:p w14:paraId="2BBCF940">
      <w:pPr>
        <w:pStyle w:val="18"/>
        <w:numPr>
          <w:ilvl w:val="2"/>
          <w:numId w:val="9"/>
        </w:numPr>
        <w:snapToGrid w:val="0"/>
        <w:spacing w:after="156" w:afterLines="50" w:line="360" w:lineRule="auto"/>
        <w:ind w:left="1288" w:firstLineChars="0"/>
        <w:rPr>
          <w:rFonts w:ascii="Arial" w:hAnsi="Arial" w:eastAsia="宋体" w:cs="Arial"/>
        </w:rPr>
      </w:pPr>
      <w:r>
        <w:rPr>
          <w:rFonts w:hint="eastAsia" w:ascii="Arial" w:hAnsi="Arial" w:eastAsia="宋体" w:cs="Arial"/>
        </w:rPr>
        <w:t>在基线测量前两周除去软性或透气性隐形眼镜</w:t>
      </w:r>
    </w:p>
    <w:p w14:paraId="1507248B">
      <w:pPr>
        <w:pStyle w:val="18"/>
        <w:numPr>
          <w:ilvl w:val="2"/>
          <w:numId w:val="9"/>
        </w:numPr>
        <w:snapToGrid w:val="0"/>
        <w:spacing w:after="156" w:afterLines="50" w:line="360" w:lineRule="auto"/>
        <w:ind w:left="1288" w:firstLineChars="0"/>
        <w:rPr>
          <w:rFonts w:hint="eastAsia" w:ascii="Arial" w:hAnsi="Arial" w:eastAsia="宋体" w:cs="Arial"/>
        </w:rPr>
      </w:pPr>
      <w:r>
        <w:rPr>
          <w:rFonts w:hint="eastAsia" w:ascii="Arial" w:hAnsi="Arial" w:eastAsia="宋体" w:cs="Arial"/>
        </w:rPr>
        <w:t>在基线测量前三周去除硬性隐形眼镜，并且具有两个中心角膜曲率测量读数和至少一周间隔的两个显性屈光，在任一顶点线上相差不超过</w:t>
      </w:r>
      <w:r>
        <w:rPr>
          <w:rFonts w:ascii="Arial" w:hAnsi="Arial" w:eastAsia="宋体" w:cs="Arial"/>
        </w:rPr>
        <w:t>0.50</w:t>
      </w:r>
      <w:r>
        <w:rPr>
          <w:rFonts w:hint="eastAsia" w:ascii="Arial" w:hAnsi="Arial" w:eastAsia="宋体" w:cs="Arial"/>
        </w:rPr>
        <w:t>屈光度；</w:t>
      </w:r>
      <w:r>
        <w:rPr>
          <w:rFonts w:ascii="Arial" w:hAnsi="Arial" w:eastAsia="宋体" w:cs="Arial"/>
        </w:rPr>
        <w:t xml:space="preserve"> mires</w:t>
      </w:r>
      <w:r>
        <w:rPr>
          <w:rFonts w:hint="eastAsia" w:ascii="Arial" w:hAnsi="Arial" w:eastAsia="宋体" w:cs="Arial"/>
        </w:rPr>
        <w:t>应该是正常的。</w:t>
      </w:r>
    </w:p>
    <w:p w14:paraId="56F78D89">
      <w:pPr>
        <w:pStyle w:val="18"/>
        <w:snapToGrid w:val="0"/>
        <w:spacing w:after="156" w:afterLines="50" w:line="360" w:lineRule="auto"/>
        <w:ind w:left="1510" w:firstLine="0" w:firstLineChars="0"/>
        <w:rPr>
          <w:rFonts w:ascii="Arial" w:hAnsi="Arial" w:eastAsia="宋体" w:cs="Arial"/>
        </w:rPr>
      </w:pPr>
    </w:p>
    <w:p w14:paraId="6B0DD3E5">
      <w:pPr>
        <w:widowControl/>
        <w:jc w:val="left"/>
        <w:rPr>
          <w:rFonts w:ascii="Arial" w:hAnsi="Arial" w:eastAsia="宋体" w:cs="Arial"/>
        </w:rPr>
      </w:pPr>
      <w:r>
        <w:rPr>
          <w:rFonts w:ascii="Arial" w:hAnsi="Arial" w:eastAsia="宋体" w:cs="Arial"/>
        </w:rPr>
        <w:br w:type="page"/>
      </w:r>
    </w:p>
    <w:p w14:paraId="2DE9FDBA">
      <w:pPr>
        <w:pStyle w:val="18"/>
        <w:snapToGrid w:val="0"/>
        <w:spacing w:after="156" w:afterLines="50" w:line="360" w:lineRule="auto"/>
        <w:ind w:left="1510" w:firstLine="0" w:firstLineChars="0"/>
        <w:rPr>
          <w:rFonts w:ascii="Arial" w:hAnsi="Arial" w:eastAsia="宋体" w:cs="Arial"/>
        </w:rPr>
      </w:pPr>
    </w:p>
    <w:p w14:paraId="1697C58E">
      <w:pPr>
        <w:pStyle w:val="18"/>
        <w:numPr>
          <w:ilvl w:val="0"/>
          <w:numId w:val="7"/>
        </w:numPr>
        <w:snapToGrid w:val="0"/>
        <w:spacing w:after="156" w:afterLines="50" w:line="360" w:lineRule="auto"/>
        <w:ind w:left="840" w:leftChars="240" w:hanging="336" w:hangingChars="160"/>
        <w:rPr>
          <w:rFonts w:ascii="Arial" w:hAnsi="Arial" w:eastAsia="宋体" w:cs="Arial"/>
        </w:rPr>
      </w:pPr>
      <w:r>
        <w:rPr>
          <w:rFonts w:hint="eastAsia" w:ascii="Arial" w:hAnsi="Arial" w:eastAsia="宋体" w:cs="Arial"/>
        </w:rPr>
        <w:t>在基线检查前的一年中，显性屈光的球形或圆柱形部分应进展</w:t>
      </w:r>
      <w:r>
        <w:rPr>
          <w:rFonts w:ascii="Arial" w:hAnsi="Arial" w:eastAsia="宋体" w:cs="Arial"/>
        </w:rPr>
        <w:t>0.50</w:t>
      </w:r>
      <w:r>
        <w:rPr>
          <w:rFonts w:hint="eastAsia" w:ascii="Arial" w:hAnsi="Arial" w:eastAsia="宋体" w:cs="Arial"/>
        </w:rPr>
        <w:t>屈光度或更小。</w:t>
      </w:r>
    </w:p>
    <w:p w14:paraId="49136E98">
      <w:pPr>
        <w:pStyle w:val="18"/>
        <w:numPr>
          <w:ilvl w:val="0"/>
          <w:numId w:val="7"/>
        </w:numPr>
        <w:snapToGrid w:val="0"/>
        <w:spacing w:after="156" w:afterLines="50" w:line="360" w:lineRule="auto"/>
        <w:ind w:left="840" w:leftChars="240" w:hanging="336" w:hangingChars="160"/>
        <w:rPr>
          <w:rFonts w:ascii="Arial" w:hAnsi="Arial" w:eastAsia="宋体" w:cs="Arial"/>
        </w:rPr>
      </w:pPr>
      <w:r>
        <w:rPr>
          <w:rFonts w:hint="eastAsia" w:ascii="Arial" w:hAnsi="Arial" w:eastAsia="宋体" w:cs="Arial"/>
        </w:rPr>
        <w:t>受试者应该愿意并且能够在研究期间返回进行随访检查。</w:t>
      </w:r>
    </w:p>
    <w:p w14:paraId="711CF0FD">
      <w:pPr>
        <w:pStyle w:val="18"/>
        <w:numPr>
          <w:ilvl w:val="0"/>
          <w:numId w:val="7"/>
        </w:numPr>
        <w:snapToGrid w:val="0"/>
        <w:spacing w:after="156" w:afterLines="50" w:line="360" w:lineRule="auto"/>
        <w:ind w:left="840" w:leftChars="240" w:hanging="336" w:hangingChars="160"/>
        <w:rPr>
          <w:rFonts w:ascii="Arial" w:hAnsi="Arial" w:eastAsia="宋体" w:cs="Arial"/>
        </w:rPr>
      </w:pPr>
      <w:r>
        <w:rPr>
          <w:rFonts w:hint="eastAsia" w:ascii="Arial" w:hAnsi="Arial" w:eastAsia="宋体" w:cs="Arial"/>
        </w:rPr>
        <w:t>视频应该是正常的。</w:t>
      </w:r>
    </w:p>
    <w:p w14:paraId="168F030D">
      <w:pPr>
        <w:pStyle w:val="18"/>
        <w:numPr>
          <w:ilvl w:val="3"/>
          <w:numId w:val="5"/>
        </w:numPr>
        <w:snapToGrid w:val="0"/>
        <w:spacing w:after="156" w:afterLines="50" w:line="360" w:lineRule="auto"/>
        <w:ind w:left="0" w:firstLine="0" w:firstLineChars="0"/>
        <w:outlineLvl w:val="3"/>
        <w:rPr>
          <w:rFonts w:ascii="Arial" w:hAnsi="Arial" w:eastAsia="宋体" w:cs="Arial"/>
          <w:b/>
        </w:rPr>
      </w:pPr>
      <w:bookmarkStart w:id="24" w:name="_Toc478047079"/>
      <w:r>
        <w:rPr>
          <w:rFonts w:hint="eastAsia" w:ascii="Arial" w:hAnsi="Arial" w:eastAsia="宋体" w:cs="Arial"/>
          <w:b/>
        </w:rPr>
        <w:t>排除标准</w:t>
      </w:r>
      <w:bookmarkEnd w:id="24"/>
    </w:p>
    <w:p w14:paraId="516859B0">
      <w:pPr>
        <w:pStyle w:val="18"/>
        <w:numPr>
          <w:ilvl w:val="1"/>
          <w:numId w:val="10"/>
        </w:numPr>
        <w:snapToGrid w:val="0"/>
        <w:spacing w:after="156" w:afterLines="50" w:line="360" w:lineRule="auto"/>
        <w:ind w:left="840" w:hanging="322" w:firstLineChars="0"/>
        <w:rPr>
          <w:rFonts w:ascii="Arial" w:hAnsi="Arial" w:eastAsia="宋体" w:cs="Arial"/>
        </w:rPr>
      </w:pPr>
      <w:r>
        <w:rPr>
          <w:rFonts w:hint="eastAsia" w:ascii="Arial" w:hAnsi="Arial" w:eastAsia="宋体" w:cs="Arial"/>
        </w:rPr>
        <w:t>任何残留，复发性或活动性眼部疾病或角膜异常</w:t>
      </w:r>
    </w:p>
    <w:p w14:paraId="30776B2B">
      <w:pPr>
        <w:pStyle w:val="18"/>
        <w:numPr>
          <w:ilvl w:val="1"/>
          <w:numId w:val="10"/>
        </w:numPr>
        <w:snapToGrid w:val="0"/>
        <w:spacing w:after="156" w:afterLines="50" w:line="360" w:lineRule="auto"/>
        <w:ind w:left="840" w:hanging="322" w:firstLineChars="0"/>
        <w:rPr>
          <w:rFonts w:ascii="Arial" w:hAnsi="Arial" w:eastAsia="宋体" w:cs="Arial"/>
        </w:rPr>
      </w:pPr>
      <w:r>
        <w:rPr>
          <w:rFonts w:hint="eastAsia" w:ascii="Arial" w:hAnsi="Arial" w:eastAsia="宋体" w:cs="Arial"/>
        </w:rPr>
        <w:t>圆锥角膜的迹象</w:t>
      </w:r>
    </w:p>
    <w:p w14:paraId="12E9ABE4">
      <w:pPr>
        <w:pStyle w:val="18"/>
        <w:numPr>
          <w:ilvl w:val="1"/>
          <w:numId w:val="10"/>
        </w:numPr>
        <w:snapToGrid w:val="0"/>
        <w:spacing w:after="156" w:afterLines="50" w:line="360" w:lineRule="auto"/>
        <w:ind w:left="840" w:hanging="322" w:firstLineChars="0"/>
        <w:rPr>
          <w:rFonts w:ascii="Arial" w:hAnsi="Arial" w:eastAsia="宋体" w:cs="Arial"/>
        </w:rPr>
      </w:pPr>
      <w:r>
        <w:rPr>
          <w:rFonts w:hint="eastAsia" w:ascii="Arial" w:hAnsi="Arial" w:eastAsia="宋体" w:cs="Arial"/>
        </w:rPr>
        <w:t>服用可能影响伤口愈合的系统药物，如皮质类固醇或抗代谢物</w:t>
      </w:r>
    </w:p>
    <w:p w14:paraId="51DC3EB6">
      <w:pPr>
        <w:pStyle w:val="18"/>
        <w:numPr>
          <w:ilvl w:val="1"/>
          <w:numId w:val="10"/>
        </w:numPr>
        <w:snapToGrid w:val="0"/>
        <w:spacing w:after="156" w:afterLines="50" w:line="360" w:lineRule="auto"/>
        <w:ind w:left="840" w:hanging="322" w:firstLineChars="0"/>
        <w:rPr>
          <w:rFonts w:ascii="Arial" w:hAnsi="Arial" w:eastAsia="宋体" w:cs="Arial"/>
        </w:rPr>
      </w:pPr>
      <w:r>
        <w:rPr>
          <w:rFonts w:hint="eastAsia" w:ascii="Arial" w:hAnsi="Arial" w:eastAsia="宋体" w:cs="Arial"/>
        </w:rPr>
        <w:t>免疫缺陷（例如，</w:t>
      </w:r>
      <w:r>
        <w:rPr>
          <w:rFonts w:ascii="Arial" w:hAnsi="Arial" w:eastAsia="宋体" w:cs="Arial"/>
        </w:rPr>
        <w:t>AIDS</w:t>
      </w:r>
      <w:r>
        <w:rPr>
          <w:rFonts w:hint="eastAsia" w:ascii="Arial" w:hAnsi="Arial" w:eastAsia="宋体" w:cs="Arial"/>
        </w:rPr>
        <w:t>，自身免疫疾病）</w:t>
      </w:r>
    </w:p>
    <w:p w14:paraId="36A7DE26">
      <w:pPr>
        <w:pStyle w:val="18"/>
        <w:numPr>
          <w:ilvl w:val="1"/>
          <w:numId w:val="10"/>
        </w:numPr>
        <w:snapToGrid w:val="0"/>
        <w:spacing w:after="156" w:afterLines="50" w:line="360" w:lineRule="auto"/>
        <w:ind w:left="840" w:hanging="322" w:firstLineChars="0"/>
        <w:rPr>
          <w:rFonts w:ascii="Arial" w:hAnsi="Arial" w:eastAsia="宋体" w:cs="Arial"/>
        </w:rPr>
      </w:pPr>
      <w:r>
        <w:rPr>
          <w:rFonts w:hint="eastAsia" w:ascii="Arial" w:hAnsi="Arial" w:eastAsia="宋体" w:cs="Arial"/>
        </w:rPr>
        <w:t>先前进行的眼内任何种类的眼内或角膜手术</w:t>
      </w:r>
    </w:p>
    <w:p w14:paraId="5655DFE6">
      <w:pPr>
        <w:pStyle w:val="18"/>
        <w:numPr>
          <w:ilvl w:val="1"/>
          <w:numId w:val="10"/>
        </w:numPr>
        <w:snapToGrid w:val="0"/>
        <w:spacing w:after="156" w:afterLines="50" w:line="360" w:lineRule="auto"/>
        <w:ind w:left="840" w:hanging="322" w:firstLineChars="0"/>
        <w:rPr>
          <w:rFonts w:ascii="Arial" w:hAnsi="Arial" w:eastAsia="宋体" w:cs="Arial"/>
        </w:rPr>
      </w:pPr>
      <w:r>
        <w:rPr>
          <w:rFonts w:hint="eastAsia" w:ascii="Arial" w:hAnsi="Arial" w:eastAsia="宋体" w:cs="Arial"/>
        </w:rPr>
        <w:t>携带自身免疫性疾病，结缔组织病，临床显着性特应性疾病或糖尿病的诊断</w:t>
      </w:r>
    </w:p>
    <w:p w14:paraId="1C3544CE">
      <w:pPr>
        <w:pStyle w:val="18"/>
        <w:numPr>
          <w:ilvl w:val="0"/>
          <w:numId w:val="11"/>
        </w:numPr>
        <w:snapToGrid w:val="0"/>
        <w:spacing w:after="156" w:afterLines="50" w:line="360" w:lineRule="auto"/>
        <w:ind w:left="840" w:hanging="322" w:firstLineChars="0"/>
        <w:rPr>
          <w:rFonts w:ascii="Arial" w:hAnsi="Arial" w:eastAsia="宋体" w:cs="Arial"/>
        </w:rPr>
      </w:pPr>
      <w:r>
        <w:rPr>
          <w:rFonts w:hint="eastAsia" w:ascii="Arial" w:hAnsi="Arial" w:eastAsia="宋体" w:cs="Arial"/>
        </w:rPr>
        <w:t>不规则轮廓的不稳定中心角膜曲率读数</w:t>
      </w:r>
    </w:p>
    <w:p w14:paraId="4246D927">
      <w:pPr>
        <w:pStyle w:val="18"/>
        <w:numPr>
          <w:ilvl w:val="0"/>
          <w:numId w:val="11"/>
        </w:numPr>
        <w:snapToGrid w:val="0"/>
        <w:spacing w:after="156" w:afterLines="50" w:line="360" w:lineRule="auto"/>
        <w:ind w:left="840" w:hanging="322" w:firstLineChars="0"/>
        <w:rPr>
          <w:rFonts w:ascii="Arial" w:hAnsi="Arial" w:eastAsia="宋体" w:cs="Arial"/>
        </w:rPr>
      </w:pPr>
      <w:r>
        <w:rPr>
          <w:rFonts w:hint="eastAsia" w:ascii="Arial" w:hAnsi="Arial" w:eastAsia="宋体" w:cs="Arial"/>
        </w:rPr>
        <w:t>研究药物的已知敏感性</w:t>
      </w:r>
    </w:p>
    <w:p w14:paraId="0FE318B4">
      <w:pPr>
        <w:pStyle w:val="18"/>
        <w:numPr>
          <w:ilvl w:val="0"/>
          <w:numId w:val="11"/>
        </w:numPr>
        <w:snapToGrid w:val="0"/>
        <w:spacing w:after="156" w:afterLines="50" w:line="360" w:lineRule="auto"/>
        <w:ind w:left="840" w:hanging="322" w:firstLineChars="0"/>
        <w:rPr>
          <w:rFonts w:ascii="Arial" w:hAnsi="Arial" w:eastAsia="宋体" w:cs="Arial"/>
        </w:rPr>
      </w:pPr>
      <w:r>
        <w:rPr>
          <w:rFonts w:hint="eastAsia" w:ascii="Arial" w:hAnsi="Arial" w:eastAsia="宋体" w:cs="Arial"/>
        </w:rPr>
        <w:t>青光眼或眼压</w:t>
      </w:r>
      <w:r>
        <w:rPr>
          <w:rFonts w:ascii="Arial" w:hAnsi="Arial" w:eastAsia="宋体" w:cs="Arial"/>
        </w:rPr>
        <w:t>&gt; 21 mm Hg</w:t>
      </w:r>
      <w:r>
        <w:rPr>
          <w:rFonts w:hint="eastAsia" w:ascii="Arial" w:hAnsi="Arial" w:eastAsia="宋体" w:cs="Arial"/>
        </w:rPr>
        <w:t>的病史。</w:t>
      </w:r>
    </w:p>
    <w:p w14:paraId="1E9B912E">
      <w:pPr>
        <w:pStyle w:val="18"/>
        <w:numPr>
          <w:ilvl w:val="0"/>
          <w:numId w:val="11"/>
        </w:numPr>
        <w:snapToGrid w:val="0"/>
        <w:spacing w:after="156" w:afterLines="50" w:line="360" w:lineRule="auto"/>
        <w:ind w:left="840" w:hanging="322" w:firstLineChars="0"/>
        <w:rPr>
          <w:rFonts w:ascii="Arial" w:hAnsi="Arial" w:eastAsia="宋体" w:cs="Arial"/>
        </w:rPr>
      </w:pPr>
      <w:r>
        <w:rPr>
          <w:rFonts w:hint="eastAsia" w:ascii="Arial" w:hAnsi="Arial" w:eastAsia="宋体" w:cs="Arial"/>
        </w:rPr>
        <w:t>本临床试验研究期间参与其他眼科临床试验。</w:t>
      </w:r>
    </w:p>
    <w:p w14:paraId="68837C3B">
      <w:pPr>
        <w:pStyle w:val="18"/>
        <w:numPr>
          <w:ilvl w:val="0"/>
          <w:numId w:val="11"/>
        </w:numPr>
        <w:snapToGrid w:val="0"/>
        <w:spacing w:after="156" w:afterLines="50" w:line="360" w:lineRule="auto"/>
        <w:ind w:left="840" w:hanging="322" w:firstLineChars="0"/>
        <w:rPr>
          <w:rFonts w:ascii="Arial" w:hAnsi="Arial" w:eastAsia="宋体" w:cs="Arial"/>
        </w:rPr>
      </w:pPr>
      <w:r>
        <w:rPr>
          <w:rFonts w:hint="eastAsia" w:ascii="Arial" w:hAnsi="Arial" w:eastAsia="宋体" w:cs="Arial"/>
        </w:rPr>
        <w:t>单纯性或带状疱疹角膜炎的病史</w:t>
      </w:r>
    </w:p>
    <w:p w14:paraId="16671349">
      <w:pPr>
        <w:pStyle w:val="18"/>
        <w:numPr>
          <w:ilvl w:val="0"/>
          <w:numId w:val="11"/>
        </w:numPr>
        <w:snapToGrid w:val="0"/>
        <w:spacing w:after="156" w:afterLines="50" w:line="360" w:lineRule="auto"/>
        <w:ind w:left="840" w:hanging="322" w:firstLineChars="0"/>
        <w:rPr>
          <w:rFonts w:hint="eastAsia" w:ascii="Arial" w:hAnsi="Arial" w:eastAsia="宋体" w:cs="Arial"/>
        </w:rPr>
      </w:pPr>
      <w:r>
        <w:rPr>
          <w:rFonts w:hint="eastAsia" w:ascii="Arial" w:hAnsi="Arial" w:eastAsia="宋体" w:cs="Arial"/>
        </w:rPr>
        <w:t>本临床试验研究过程中妊娠或哺乳或计划妊娠的妇女。</w:t>
      </w:r>
    </w:p>
    <w:p w14:paraId="4C87F8DA">
      <w:pPr>
        <w:snapToGrid w:val="0"/>
        <w:spacing w:after="156" w:afterLines="50" w:line="360" w:lineRule="auto"/>
        <w:rPr>
          <w:rFonts w:ascii="Arial" w:hAnsi="Arial" w:eastAsia="宋体" w:cs="Arial"/>
        </w:rPr>
      </w:pPr>
    </w:p>
    <w:p w14:paraId="32C8B089">
      <w:pPr>
        <w:widowControl/>
        <w:jc w:val="left"/>
        <w:rPr>
          <w:rFonts w:ascii="Arial" w:hAnsi="Arial" w:eastAsia="宋体" w:cs="Arial"/>
        </w:rPr>
      </w:pPr>
      <w:r>
        <w:rPr>
          <w:rFonts w:ascii="Arial" w:hAnsi="Arial" w:eastAsia="宋体" w:cs="Arial"/>
        </w:rPr>
        <w:br w:type="page"/>
      </w:r>
    </w:p>
    <w:p w14:paraId="68A8006E">
      <w:pPr>
        <w:snapToGrid w:val="0"/>
        <w:spacing w:after="156" w:afterLines="50" w:line="360" w:lineRule="auto"/>
        <w:rPr>
          <w:rFonts w:ascii="Arial" w:hAnsi="Arial" w:eastAsia="宋体" w:cs="Arial"/>
        </w:rPr>
      </w:pPr>
    </w:p>
    <w:p w14:paraId="553B8685">
      <w:pPr>
        <w:pStyle w:val="18"/>
        <w:numPr>
          <w:ilvl w:val="2"/>
          <w:numId w:val="5"/>
        </w:numPr>
        <w:snapToGrid w:val="0"/>
        <w:spacing w:after="156" w:afterLines="50" w:line="360" w:lineRule="auto"/>
        <w:ind w:left="0" w:firstLineChars="0"/>
        <w:outlineLvl w:val="2"/>
        <w:rPr>
          <w:rFonts w:ascii="Arial" w:hAnsi="Arial" w:eastAsia="宋体" w:cs="Arial"/>
          <w:b/>
        </w:rPr>
      </w:pPr>
      <w:bookmarkStart w:id="25" w:name="_Toc478047080"/>
      <w:r>
        <w:rPr>
          <w:rFonts w:hint="eastAsia" w:ascii="Arial" w:hAnsi="Arial" w:eastAsia="宋体" w:cs="Arial"/>
          <w:b/>
        </w:rPr>
        <w:t>研究程序，检查条件和技术</w:t>
      </w:r>
      <w:bookmarkEnd w:id="25"/>
    </w:p>
    <w:p w14:paraId="04B042BF">
      <w:pPr>
        <w:snapToGrid w:val="0"/>
        <w:spacing w:after="156" w:afterLines="50" w:line="360" w:lineRule="auto"/>
        <w:ind w:left="840" w:leftChars="400"/>
        <w:rPr>
          <w:rFonts w:ascii="Arial" w:hAnsi="Arial" w:eastAsia="宋体" w:cs="Arial"/>
        </w:rPr>
      </w:pPr>
      <w:r>
        <w:rPr>
          <w:rFonts w:hint="eastAsia" w:ascii="Arial" w:hAnsi="Arial" w:eastAsia="宋体" w:cs="Arial"/>
        </w:rPr>
        <w:t>应提供研究中使用的每个测试和仪器的详细描述。标准参考文献可用于普遍接受的测试和仪器。然而，应提供测试和仪器上的距离，亮度和其他设置。</w:t>
      </w:r>
    </w:p>
    <w:p w14:paraId="0586FB25">
      <w:pPr>
        <w:pStyle w:val="18"/>
        <w:numPr>
          <w:ilvl w:val="3"/>
          <w:numId w:val="5"/>
        </w:numPr>
        <w:snapToGrid w:val="0"/>
        <w:spacing w:after="156" w:afterLines="50" w:line="360" w:lineRule="auto"/>
        <w:ind w:left="0" w:firstLine="0" w:firstLineChars="0"/>
        <w:outlineLvl w:val="3"/>
        <w:rPr>
          <w:rFonts w:ascii="Arial" w:hAnsi="Arial" w:eastAsia="宋体" w:cs="Arial"/>
          <w:b/>
        </w:rPr>
      </w:pPr>
      <w:bookmarkStart w:id="26" w:name="_Toc478047081"/>
      <w:r>
        <w:rPr>
          <w:rFonts w:hint="eastAsia" w:ascii="Arial" w:hAnsi="Arial" w:eastAsia="宋体" w:cs="Arial"/>
          <w:b/>
        </w:rPr>
        <w:t>术前评估和手术方案</w:t>
      </w:r>
      <w:bookmarkEnd w:id="26"/>
    </w:p>
    <w:p w14:paraId="61682C7E">
      <w:pPr>
        <w:snapToGrid w:val="0"/>
        <w:spacing w:after="156" w:afterLines="50" w:line="360" w:lineRule="auto"/>
        <w:ind w:left="840" w:leftChars="400"/>
        <w:rPr>
          <w:rFonts w:ascii="Arial" w:hAnsi="Arial" w:eastAsia="宋体" w:cs="Arial"/>
        </w:rPr>
      </w:pPr>
      <w:r>
        <w:rPr>
          <w:rFonts w:hint="eastAsia" w:ascii="Arial" w:hAnsi="Arial" w:eastAsia="宋体" w:cs="Arial"/>
        </w:rPr>
        <w:t>术前检查和评估应包括完整的病史和双眼检查。（参见通常进行的具体测试的检查时间表。）</w:t>
      </w:r>
    </w:p>
    <w:p w14:paraId="5D5A7CF9">
      <w:pPr>
        <w:snapToGrid w:val="0"/>
        <w:spacing w:after="156" w:afterLines="50" w:line="360" w:lineRule="auto"/>
        <w:ind w:left="840" w:leftChars="400"/>
        <w:rPr>
          <w:rFonts w:ascii="Arial" w:hAnsi="Arial" w:eastAsia="宋体" w:cs="Arial"/>
        </w:rPr>
      </w:pPr>
      <w:r>
        <w:rPr>
          <w:rFonts w:hint="eastAsia" w:ascii="Arial" w:hAnsi="Arial" w:eastAsia="宋体" w:cs="Arial"/>
        </w:rPr>
        <w:t>术前手术方案应表明每只眼睛的预期矫正和预期屈光结果。此信息应在术前计划方案表上输入。在手术时，外科医生应记录是否有任何偏离该原始决定和原因。应该识别术前变量，例如，对于</w:t>
      </w:r>
      <w:r>
        <w:rPr>
          <w:rFonts w:ascii="Arial" w:hAnsi="Arial" w:eastAsia="宋体" w:cs="Arial"/>
        </w:rPr>
        <w:t>LASIK</w:t>
      </w:r>
      <w:r>
        <w:rPr>
          <w:rFonts w:hint="eastAsia" w:ascii="Arial" w:hAnsi="Arial" w:eastAsia="宋体" w:cs="Arial"/>
        </w:rPr>
        <w:t>，通常识别以下变量：角膜瓣的直径，铰链的宽度，切除的直径，手术诺模图和切除深度。</w:t>
      </w:r>
    </w:p>
    <w:p w14:paraId="69EF79D3">
      <w:pPr>
        <w:pStyle w:val="18"/>
        <w:numPr>
          <w:ilvl w:val="3"/>
          <w:numId w:val="5"/>
        </w:numPr>
        <w:snapToGrid w:val="0"/>
        <w:spacing w:after="156" w:afterLines="50" w:line="360" w:lineRule="auto"/>
        <w:ind w:left="0" w:firstLine="0" w:firstLineChars="0"/>
        <w:outlineLvl w:val="3"/>
        <w:rPr>
          <w:rFonts w:ascii="Arial" w:hAnsi="Arial" w:eastAsia="宋体" w:cs="Arial"/>
          <w:b/>
        </w:rPr>
      </w:pPr>
      <w:bookmarkStart w:id="27" w:name="_Toc478047082"/>
      <w:r>
        <w:rPr>
          <w:rFonts w:hint="eastAsia" w:ascii="Arial" w:hAnsi="Arial" w:eastAsia="宋体" w:cs="Arial"/>
          <w:b/>
        </w:rPr>
        <w:t>手术程序</w:t>
      </w:r>
      <w:bookmarkEnd w:id="27"/>
    </w:p>
    <w:p w14:paraId="53028733">
      <w:pPr>
        <w:snapToGrid w:val="0"/>
        <w:spacing w:after="156" w:afterLines="50" w:line="360" w:lineRule="auto"/>
        <w:ind w:left="840" w:leftChars="400"/>
        <w:rPr>
          <w:rFonts w:hint="eastAsia" w:ascii="Arial" w:hAnsi="Arial" w:eastAsia="宋体" w:cs="Arial"/>
        </w:rPr>
      </w:pPr>
      <w:r>
        <w:rPr>
          <w:rFonts w:hint="eastAsia" w:ascii="Arial" w:hAnsi="Arial" w:eastAsia="宋体" w:cs="Arial"/>
        </w:rPr>
        <w:t>详细描述过程的每个步骤。</w:t>
      </w:r>
    </w:p>
    <w:p w14:paraId="4ABB8BEF">
      <w:pPr>
        <w:snapToGrid w:val="0"/>
        <w:spacing w:after="156" w:afterLines="50" w:line="360" w:lineRule="auto"/>
        <w:ind w:left="840" w:leftChars="400"/>
        <w:rPr>
          <w:rFonts w:hint="eastAsia" w:ascii="Arial" w:hAnsi="Arial" w:eastAsia="宋体" w:cs="Arial"/>
        </w:rPr>
      </w:pPr>
    </w:p>
    <w:p w14:paraId="0A4BB10C">
      <w:pPr>
        <w:pStyle w:val="18"/>
        <w:numPr>
          <w:ilvl w:val="3"/>
          <w:numId w:val="5"/>
        </w:numPr>
        <w:snapToGrid w:val="0"/>
        <w:spacing w:after="156" w:afterLines="50" w:line="360" w:lineRule="auto"/>
        <w:ind w:left="0" w:firstLine="0" w:firstLineChars="0"/>
        <w:outlineLvl w:val="3"/>
        <w:rPr>
          <w:rFonts w:ascii="Arial" w:hAnsi="Arial" w:eastAsia="宋体" w:cs="Arial"/>
          <w:b/>
        </w:rPr>
      </w:pPr>
      <w:r>
        <w:rPr>
          <w:rFonts w:hint="eastAsia" w:ascii="Arial" w:hAnsi="Arial" w:eastAsia="宋体" w:cs="Arial"/>
          <w:b/>
        </w:rPr>
        <w:t>手术报告</w:t>
      </w:r>
    </w:p>
    <w:p w14:paraId="26DB0E11">
      <w:pPr>
        <w:snapToGrid w:val="0"/>
        <w:spacing w:after="156" w:afterLines="50" w:line="360" w:lineRule="auto"/>
        <w:ind w:left="840" w:leftChars="400"/>
        <w:rPr>
          <w:rFonts w:ascii="Arial" w:hAnsi="Arial" w:eastAsia="宋体" w:cs="Arial"/>
        </w:rPr>
      </w:pPr>
      <w:r>
        <w:rPr>
          <w:rFonts w:hint="eastAsia" w:ascii="Arial" w:hAnsi="Arial" w:eastAsia="宋体" w:cs="Arial"/>
        </w:rPr>
        <w:t>对于所有治疗的受试者以及试图进行手术但未完成的受试者的手术报告，无论手术是否中断，在药物治疗之前，期间和之后，应包括关于尝试球形矫正，尝试柱形矫正，激光脉冲数，整个手术时间的信息（对于</w:t>
      </w:r>
      <w:r>
        <w:rPr>
          <w:rFonts w:ascii="Arial" w:hAnsi="Arial" w:eastAsia="宋体" w:cs="Arial"/>
        </w:rPr>
        <w:t>PRK</w:t>
      </w:r>
      <w:r>
        <w:rPr>
          <w:rFonts w:hint="eastAsia" w:ascii="Arial" w:hAnsi="Arial" w:eastAsia="宋体" w:cs="Arial"/>
        </w:rPr>
        <w:t>，从上皮移除到切除的时间应包括在内）。这些手术报告应在每个调查点保存；它们不应提交给</w:t>
      </w:r>
      <w:r>
        <w:rPr>
          <w:rFonts w:ascii="Arial" w:hAnsi="Arial" w:eastAsia="宋体" w:cs="Arial"/>
        </w:rPr>
        <w:t>FDA</w:t>
      </w:r>
      <w:r>
        <w:rPr>
          <w:rFonts w:hint="eastAsia" w:ascii="Arial" w:hAnsi="Arial" w:eastAsia="宋体" w:cs="Arial"/>
        </w:rPr>
        <w:t>。</w:t>
      </w:r>
    </w:p>
    <w:p w14:paraId="4E59DD34">
      <w:pPr>
        <w:pStyle w:val="18"/>
        <w:numPr>
          <w:ilvl w:val="3"/>
          <w:numId w:val="5"/>
        </w:numPr>
        <w:snapToGrid w:val="0"/>
        <w:spacing w:after="156" w:afterLines="50" w:line="360" w:lineRule="auto"/>
        <w:ind w:left="0" w:firstLine="0" w:firstLineChars="0"/>
        <w:outlineLvl w:val="3"/>
        <w:rPr>
          <w:rFonts w:ascii="Arial" w:hAnsi="Arial" w:eastAsia="宋体" w:cs="Arial"/>
          <w:b/>
        </w:rPr>
      </w:pPr>
      <w:r>
        <w:rPr>
          <w:rFonts w:hint="eastAsia" w:ascii="Arial" w:hAnsi="Arial" w:eastAsia="宋体" w:cs="Arial"/>
          <w:b/>
        </w:rPr>
        <w:t>访视时间表</w:t>
      </w:r>
    </w:p>
    <w:p w14:paraId="259C917A">
      <w:pPr>
        <w:snapToGrid w:val="0"/>
        <w:spacing w:after="156" w:afterLines="50" w:line="360" w:lineRule="auto"/>
        <w:ind w:left="840" w:leftChars="400"/>
        <w:rPr>
          <w:rFonts w:ascii="Arial" w:hAnsi="Arial" w:eastAsia="宋体" w:cs="Arial"/>
        </w:rPr>
      </w:pPr>
      <w:r>
        <w:rPr>
          <w:rFonts w:hint="eastAsia" w:ascii="Arial" w:hAnsi="Arial" w:eastAsia="宋体" w:cs="Arial"/>
        </w:rPr>
        <w:t>所有受试者应遵循（特定的持续时间）或直至中止临床研究。目前推荐的随访时间为对于</w:t>
      </w:r>
      <w:r>
        <w:rPr>
          <w:rFonts w:ascii="Arial" w:hAnsi="Arial" w:eastAsia="宋体" w:cs="Arial"/>
        </w:rPr>
        <w:t>PRK</w:t>
      </w:r>
      <w:r>
        <w:rPr>
          <w:rFonts w:hint="eastAsia" w:ascii="Arial" w:hAnsi="Arial" w:eastAsia="宋体" w:cs="Arial"/>
        </w:rPr>
        <w:t>为一（</w:t>
      </w:r>
      <w:r>
        <w:rPr>
          <w:rFonts w:ascii="Arial" w:hAnsi="Arial" w:eastAsia="宋体" w:cs="Arial"/>
        </w:rPr>
        <w:t>1</w:t>
      </w:r>
      <w:r>
        <w:rPr>
          <w:rFonts w:hint="eastAsia" w:ascii="Arial" w:hAnsi="Arial" w:eastAsia="宋体" w:cs="Arial"/>
        </w:rPr>
        <w:t>）年和</w:t>
      </w:r>
      <w:r>
        <w:rPr>
          <w:rFonts w:ascii="Arial" w:hAnsi="Arial" w:eastAsia="宋体" w:cs="Arial"/>
        </w:rPr>
        <w:t>LASIK</w:t>
      </w:r>
      <w:r>
        <w:rPr>
          <w:rFonts w:hint="eastAsia" w:ascii="Arial" w:hAnsi="Arial" w:eastAsia="宋体" w:cs="Arial"/>
        </w:rPr>
        <w:t>为六（</w:t>
      </w:r>
      <w:r>
        <w:rPr>
          <w:rFonts w:ascii="Arial" w:hAnsi="Arial" w:eastAsia="宋体" w:cs="Arial"/>
        </w:rPr>
        <w:t>6</w:t>
      </w:r>
      <w:r>
        <w:rPr>
          <w:rFonts w:hint="eastAsia" w:ascii="Arial" w:hAnsi="Arial" w:eastAsia="宋体" w:cs="Arial"/>
        </w:rPr>
        <w:t>）个月。在此期间，应按照类似于以下时间表对受试者进行评估：</w:t>
      </w:r>
    </w:p>
    <w:p w14:paraId="0171E01F">
      <w:pPr>
        <w:snapToGrid w:val="0"/>
        <w:spacing w:after="156" w:afterLines="50" w:line="360" w:lineRule="auto"/>
        <w:ind w:left="840" w:leftChars="400"/>
        <w:rPr>
          <w:rFonts w:hint="eastAsia" w:ascii="Arial" w:hAnsi="Arial" w:eastAsia="宋体" w:cs="Arial"/>
        </w:rPr>
      </w:pPr>
    </w:p>
    <w:p w14:paraId="538D1226">
      <w:pPr>
        <w:snapToGrid w:val="0"/>
        <w:spacing w:after="156" w:afterLines="50" w:line="360" w:lineRule="auto"/>
        <w:ind w:left="840" w:leftChars="400"/>
        <w:rPr>
          <w:rFonts w:hint="eastAsia" w:ascii="Arial" w:hAnsi="Arial" w:eastAsia="宋体" w:cs="Arial"/>
        </w:rPr>
      </w:pPr>
    </w:p>
    <w:p w14:paraId="66679CAE">
      <w:pPr>
        <w:snapToGrid w:val="0"/>
        <w:spacing w:after="156" w:afterLines="50" w:line="360" w:lineRule="auto"/>
        <w:ind w:left="840" w:leftChars="400"/>
        <w:rPr>
          <w:rFonts w:hint="eastAsia" w:ascii="Arial" w:hAnsi="Arial" w:eastAsia="宋体" w:cs="Arial"/>
        </w:rPr>
      </w:pPr>
    </w:p>
    <w:p w14:paraId="25874F9F">
      <w:pPr>
        <w:snapToGrid w:val="0"/>
        <w:spacing w:after="156" w:afterLines="50" w:line="360" w:lineRule="auto"/>
        <w:ind w:left="840" w:leftChars="400"/>
        <w:rPr>
          <w:rFonts w:hint="eastAsia" w:ascii="Arial" w:hAnsi="Arial" w:eastAsia="宋体" w:cs="Arial"/>
        </w:rPr>
      </w:pPr>
    </w:p>
    <w:p w14:paraId="302C7752">
      <w:pPr>
        <w:snapToGrid w:val="0"/>
        <w:spacing w:after="156" w:afterLines="50" w:line="360" w:lineRule="auto"/>
        <w:ind w:left="840" w:leftChars="400"/>
        <w:rPr>
          <w:rFonts w:hint="eastAsia" w:ascii="Arial" w:hAnsi="Arial" w:eastAsia="宋体" w:cs="Arial"/>
        </w:rPr>
      </w:pPr>
    </w:p>
    <w:p w14:paraId="67BED7F2">
      <w:pPr>
        <w:snapToGrid w:val="0"/>
        <w:spacing w:after="156" w:afterLines="50" w:line="360" w:lineRule="auto"/>
        <w:ind w:left="840" w:leftChars="400"/>
        <w:rPr>
          <w:rFonts w:hint="eastAsia" w:ascii="Arial" w:hAnsi="Arial" w:eastAsia="宋体" w:cs="Arial"/>
        </w:rPr>
      </w:pPr>
    </w:p>
    <w:p w14:paraId="5895892C">
      <w:pPr>
        <w:snapToGrid w:val="0"/>
        <w:spacing w:after="156" w:afterLines="50" w:line="360" w:lineRule="auto"/>
        <w:ind w:left="840" w:leftChars="400"/>
        <w:rPr>
          <w:rFonts w:ascii="Arial" w:hAnsi="Arial" w:eastAsia="宋体" w:cs="Arial"/>
        </w:rPr>
      </w:pPr>
    </w:p>
    <w:p w14:paraId="7071FDA3">
      <w:pPr>
        <w:pStyle w:val="18"/>
        <w:numPr>
          <w:ilvl w:val="3"/>
          <w:numId w:val="5"/>
        </w:numPr>
        <w:snapToGrid w:val="0"/>
        <w:spacing w:after="156" w:afterLines="50" w:line="360" w:lineRule="auto"/>
        <w:ind w:left="0" w:firstLine="0" w:firstLineChars="0"/>
        <w:outlineLvl w:val="3"/>
        <w:rPr>
          <w:rFonts w:ascii="Arial" w:hAnsi="Arial" w:eastAsia="宋体" w:cs="Arial"/>
          <w:b/>
        </w:rPr>
      </w:pPr>
      <w:r>
        <w:rPr>
          <w:rFonts w:ascii="Arial" w:hAnsi="Arial" w:eastAsia="宋体" w:cs="Arial"/>
          <w:b/>
        </w:rPr>
        <w:br w:type="page"/>
      </w:r>
    </w:p>
    <w:p w14:paraId="5DFB5E0F">
      <w:pPr>
        <w:snapToGrid w:val="0"/>
        <w:spacing w:after="156" w:afterLines="50" w:line="360" w:lineRule="auto"/>
        <w:ind w:left="840" w:leftChars="400" w:firstLine="27" w:firstLineChars="13"/>
        <w:rPr>
          <w:rFonts w:ascii="Arial" w:hAnsi="Arial" w:eastAsia="宋体" w:cs="Arial"/>
        </w:rPr>
      </w:pPr>
      <w:r>
        <w:rPr>
          <w:rFonts w:hint="eastAsia" w:ascii="Arial" w:hAnsi="Arial" w:eastAsia="宋体" w:cs="Arial"/>
        </w:rPr>
        <w:t>术前评估</w:t>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hint="eastAsia" w:ascii="Arial" w:hAnsi="Arial" w:eastAsia="宋体" w:cs="Arial"/>
        </w:rPr>
        <w:t>（前</w:t>
      </w:r>
      <w:r>
        <w:rPr>
          <w:rFonts w:ascii="Arial" w:hAnsi="Arial" w:eastAsia="宋体" w:cs="Arial"/>
        </w:rPr>
        <w:t>60</w:t>
      </w:r>
      <w:r>
        <w:rPr>
          <w:rFonts w:hint="eastAsia" w:ascii="MS Mincho" w:hAnsi="MS Mincho" w:eastAsia="宋体" w:cs="MS Mincho"/>
        </w:rPr>
        <w:t>〜</w:t>
      </w:r>
      <w:r>
        <w:rPr>
          <w:rFonts w:hint="eastAsia" w:ascii="Arial" w:hAnsi="Arial" w:eastAsia="宋体" w:cs="Arial"/>
        </w:rPr>
        <w:t>前</w:t>
      </w:r>
      <w:r>
        <w:rPr>
          <w:rFonts w:ascii="Arial" w:hAnsi="Arial" w:eastAsia="宋体" w:cs="Arial"/>
        </w:rPr>
        <w:t>1</w:t>
      </w:r>
      <w:r>
        <w:rPr>
          <w:rFonts w:hint="eastAsia" w:ascii="Arial" w:hAnsi="Arial" w:eastAsia="宋体" w:cs="Arial"/>
        </w:rPr>
        <w:t>天）</w:t>
      </w:r>
    </w:p>
    <w:p w14:paraId="72327E87">
      <w:pPr>
        <w:snapToGrid w:val="0"/>
        <w:spacing w:after="156" w:afterLines="50" w:line="360" w:lineRule="auto"/>
        <w:ind w:left="840" w:leftChars="400" w:firstLine="27" w:firstLineChars="13"/>
        <w:rPr>
          <w:rFonts w:ascii="Arial" w:hAnsi="Arial" w:eastAsia="宋体" w:cs="Arial"/>
        </w:rPr>
      </w:pPr>
      <w:r>
        <w:rPr>
          <w:rFonts w:ascii="Arial" w:hAnsi="Arial" w:eastAsia="宋体" w:cs="Arial"/>
        </w:rPr>
        <w:t>OP /</w:t>
      </w:r>
      <w:r>
        <w:rPr>
          <w:rFonts w:hint="eastAsia" w:ascii="Arial" w:hAnsi="Arial" w:eastAsia="宋体" w:cs="Arial"/>
        </w:rPr>
        <w:t>手术评价</w:t>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hint="eastAsia" w:ascii="Arial" w:hAnsi="Arial" w:eastAsia="宋体" w:cs="Arial"/>
        </w:rPr>
        <w:t>（第</w:t>
      </w:r>
      <w:r>
        <w:rPr>
          <w:rFonts w:ascii="Arial" w:hAnsi="Arial" w:eastAsia="宋体" w:cs="Arial"/>
        </w:rPr>
        <w:t>0</w:t>
      </w:r>
      <w:r>
        <w:rPr>
          <w:rFonts w:hint="eastAsia" w:ascii="Arial" w:hAnsi="Arial" w:eastAsia="宋体" w:cs="Arial"/>
        </w:rPr>
        <w:t>天）</w:t>
      </w:r>
    </w:p>
    <w:p w14:paraId="7741AEEF">
      <w:pPr>
        <w:snapToGrid w:val="0"/>
        <w:spacing w:after="156" w:afterLines="50" w:line="360" w:lineRule="auto"/>
        <w:ind w:left="840" w:leftChars="400" w:firstLine="27" w:firstLineChars="13"/>
        <w:rPr>
          <w:rFonts w:ascii="Arial" w:hAnsi="Arial" w:eastAsia="宋体" w:cs="Arial"/>
        </w:rPr>
      </w:pPr>
      <w:r>
        <w:rPr>
          <w:rFonts w:ascii="Arial" w:hAnsi="Arial" w:eastAsia="宋体" w:cs="Arial"/>
        </w:rPr>
        <w:t>D1 /</w:t>
      </w:r>
      <w:r>
        <w:rPr>
          <w:rFonts w:hint="eastAsia" w:ascii="Arial" w:hAnsi="Arial" w:eastAsia="宋体" w:cs="Arial"/>
        </w:rPr>
        <w:t>第</w:t>
      </w:r>
      <w:r>
        <w:rPr>
          <w:rFonts w:ascii="Arial" w:hAnsi="Arial" w:eastAsia="宋体" w:cs="Arial"/>
        </w:rPr>
        <w:t>1</w:t>
      </w:r>
      <w:r>
        <w:rPr>
          <w:rFonts w:hint="eastAsia" w:ascii="Arial" w:hAnsi="Arial" w:eastAsia="宋体" w:cs="Arial"/>
        </w:rPr>
        <w:t>天</w:t>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hint="eastAsia" w:ascii="Arial" w:hAnsi="Arial" w:eastAsia="宋体" w:cs="Arial"/>
        </w:rPr>
        <w:t>（术后</w:t>
      </w:r>
      <w:r>
        <w:rPr>
          <w:rFonts w:ascii="Arial" w:hAnsi="Arial" w:eastAsia="宋体" w:cs="Arial"/>
        </w:rPr>
        <w:t>24</w:t>
      </w:r>
      <w:r>
        <w:rPr>
          <w:rFonts w:hint="eastAsia" w:ascii="MS Mincho" w:hAnsi="MS Mincho" w:eastAsia="宋体" w:cs="MS Mincho"/>
        </w:rPr>
        <w:t>〜</w:t>
      </w:r>
      <w:r>
        <w:rPr>
          <w:rFonts w:ascii="Arial" w:hAnsi="Arial" w:eastAsia="宋体" w:cs="Arial"/>
        </w:rPr>
        <w:t>36</w:t>
      </w:r>
      <w:r>
        <w:rPr>
          <w:rFonts w:hint="eastAsia" w:ascii="Arial" w:hAnsi="Arial" w:eastAsia="宋体" w:cs="Arial"/>
        </w:rPr>
        <w:t>小时）</w:t>
      </w:r>
    </w:p>
    <w:p w14:paraId="09E10A80">
      <w:pPr>
        <w:snapToGrid w:val="0"/>
        <w:spacing w:after="156" w:afterLines="50" w:line="360" w:lineRule="auto"/>
        <w:ind w:left="840" w:leftChars="400" w:firstLine="27" w:firstLineChars="13"/>
        <w:rPr>
          <w:rFonts w:ascii="Arial" w:hAnsi="Arial" w:eastAsia="宋体" w:cs="Arial"/>
        </w:rPr>
      </w:pPr>
      <w:r>
        <w:rPr>
          <w:rFonts w:ascii="Arial" w:hAnsi="Arial" w:eastAsia="宋体" w:cs="Arial"/>
        </w:rPr>
        <w:t>RE-EP /</w:t>
      </w:r>
      <w:r>
        <w:rPr>
          <w:rFonts w:hint="eastAsia" w:ascii="Arial" w:hAnsi="Arial" w:eastAsia="宋体" w:cs="Arial"/>
        </w:rPr>
        <w:t>观察</w:t>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hint="eastAsia" w:ascii="Arial" w:hAnsi="Arial" w:eastAsia="宋体" w:cs="Arial"/>
        </w:rPr>
        <w:t>（指定频率）直到上皮形成完成（对于</w:t>
      </w:r>
      <w:r>
        <w:rPr>
          <w:rFonts w:ascii="Arial" w:hAnsi="Arial" w:eastAsia="宋体" w:cs="Arial"/>
        </w:rPr>
        <w:t>PRK</w:t>
      </w:r>
      <w:r>
        <w:rPr>
          <w:rFonts w:hint="eastAsia" w:ascii="Arial" w:hAnsi="Arial" w:eastAsia="宋体" w:cs="Arial"/>
        </w:rPr>
        <w:t>）</w:t>
      </w:r>
    </w:p>
    <w:p w14:paraId="23527F17">
      <w:pPr>
        <w:snapToGrid w:val="0"/>
        <w:spacing w:after="156" w:afterLines="50" w:line="360" w:lineRule="auto"/>
        <w:ind w:left="840" w:leftChars="400" w:firstLine="27" w:firstLineChars="13"/>
        <w:rPr>
          <w:rFonts w:ascii="Arial" w:hAnsi="Arial" w:eastAsia="宋体" w:cs="Arial"/>
        </w:rPr>
      </w:pPr>
      <w:r>
        <w:rPr>
          <w:rFonts w:ascii="Arial" w:hAnsi="Arial" w:eastAsia="宋体" w:cs="Arial"/>
        </w:rPr>
        <w:t>W1/</w:t>
      </w:r>
      <w:r>
        <w:rPr>
          <w:rFonts w:hint="eastAsia" w:ascii="Arial" w:hAnsi="Arial" w:eastAsia="宋体" w:cs="Arial"/>
        </w:rPr>
        <w:t>第</w:t>
      </w:r>
      <w:r>
        <w:rPr>
          <w:rFonts w:ascii="Arial" w:hAnsi="Arial" w:eastAsia="宋体" w:cs="Arial"/>
        </w:rPr>
        <w:t>7</w:t>
      </w:r>
      <w:r>
        <w:rPr>
          <w:rFonts w:hint="eastAsia" w:ascii="Arial" w:hAnsi="Arial" w:eastAsia="宋体" w:cs="Arial"/>
        </w:rPr>
        <w:t>天</w:t>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hint="eastAsia" w:ascii="Arial" w:hAnsi="Arial" w:eastAsia="宋体" w:cs="Arial"/>
        </w:rPr>
        <w:t>（</w:t>
      </w:r>
      <w:r>
        <w:rPr>
          <w:rFonts w:ascii="Arial" w:hAnsi="Arial" w:eastAsia="宋体" w:cs="Arial"/>
        </w:rPr>
        <w:t>5</w:t>
      </w:r>
      <w:r>
        <w:rPr>
          <w:rFonts w:hint="eastAsia" w:ascii="Arial" w:hAnsi="Arial" w:eastAsia="宋体" w:cs="Arial"/>
        </w:rPr>
        <w:t>至</w:t>
      </w:r>
      <w:r>
        <w:rPr>
          <w:rFonts w:ascii="Arial" w:hAnsi="Arial" w:eastAsia="宋体" w:cs="Arial"/>
        </w:rPr>
        <w:t>9</w:t>
      </w:r>
      <w:r>
        <w:rPr>
          <w:rFonts w:hint="eastAsia" w:ascii="Arial" w:hAnsi="Arial" w:eastAsia="宋体" w:cs="Arial"/>
        </w:rPr>
        <w:t>天）（用于</w:t>
      </w:r>
      <w:r>
        <w:rPr>
          <w:rFonts w:ascii="Arial" w:hAnsi="Arial" w:eastAsia="宋体" w:cs="Arial"/>
        </w:rPr>
        <w:t>LASIK</w:t>
      </w:r>
      <w:r>
        <w:rPr>
          <w:rFonts w:hint="eastAsia" w:ascii="Arial" w:hAnsi="Arial" w:eastAsia="宋体" w:cs="Arial"/>
        </w:rPr>
        <w:t>）</w:t>
      </w:r>
    </w:p>
    <w:p w14:paraId="31A7970B">
      <w:pPr>
        <w:snapToGrid w:val="0"/>
        <w:spacing w:after="156" w:afterLines="50" w:line="360" w:lineRule="auto"/>
        <w:ind w:left="840" w:leftChars="400" w:firstLine="27" w:firstLineChars="13"/>
        <w:rPr>
          <w:rFonts w:ascii="Arial" w:hAnsi="Arial" w:eastAsia="宋体" w:cs="Arial"/>
        </w:rPr>
      </w:pPr>
      <w:r>
        <w:rPr>
          <w:rFonts w:ascii="Arial" w:hAnsi="Arial" w:eastAsia="宋体" w:cs="Arial"/>
        </w:rPr>
        <w:t>M1 /</w:t>
      </w:r>
      <w:r>
        <w:rPr>
          <w:rFonts w:hint="eastAsia" w:ascii="Arial" w:hAnsi="Arial" w:eastAsia="宋体" w:cs="Arial"/>
        </w:rPr>
        <w:t>第</w:t>
      </w:r>
      <w:r>
        <w:rPr>
          <w:rFonts w:ascii="Arial" w:hAnsi="Arial" w:eastAsia="宋体" w:cs="Arial"/>
        </w:rPr>
        <w:t>1</w:t>
      </w:r>
      <w:r>
        <w:rPr>
          <w:rFonts w:hint="eastAsia" w:ascii="Arial" w:hAnsi="Arial" w:eastAsia="宋体" w:cs="Arial"/>
        </w:rPr>
        <w:t>个月</w:t>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hint="eastAsia" w:ascii="Arial" w:hAnsi="Arial" w:eastAsia="宋体" w:cs="Arial"/>
        </w:rPr>
        <w:t>（术后</w:t>
      </w:r>
      <w:r>
        <w:rPr>
          <w:rFonts w:ascii="Arial" w:hAnsi="Arial" w:eastAsia="宋体" w:cs="Arial"/>
        </w:rPr>
        <w:t>3</w:t>
      </w:r>
      <w:r>
        <w:rPr>
          <w:rFonts w:hint="eastAsia" w:ascii="MS Mincho" w:hAnsi="MS Mincho" w:eastAsia="宋体" w:cs="MS Mincho"/>
        </w:rPr>
        <w:t>〜</w:t>
      </w:r>
      <w:r>
        <w:rPr>
          <w:rFonts w:ascii="Arial" w:hAnsi="Arial" w:eastAsia="宋体" w:cs="Arial"/>
        </w:rPr>
        <w:t>6</w:t>
      </w:r>
      <w:r>
        <w:rPr>
          <w:rFonts w:hint="eastAsia" w:ascii="Arial" w:hAnsi="Arial" w:eastAsia="宋体" w:cs="Arial"/>
        </w:rPr>
        <w:t>周）</w:t>
      </w:r>
    </w:p>
    <w:p w14:paraId="2EFF1AE7">
      <w:pPr>
        <w:snapToGrid w:val="0"/>
        <w:spacing w:after="156" w:afterLines="50" w:line="360" w:lineRule="auto"/>
        <w:ind w:left="840" w:leftChars="400" w:firstLine="27" w:firstLineChars="13"/>
        <w:rPr>
          <w:rFonts w:ascii="Arial" w:hAnsi="Arial" w:eastAsia="宋体" w:cs="Arial"/>
        </w:rPr>
      </w:pPr>
      <w:r>
        <w:rPr>
          <w:rFonts w:ascii="Arial" w:hAnsi="Arial" w:eastAsia="宋体" w:cs="Arial"/>
        </w:rPr>
        <w:t>M3 /</w:t>
      </w:r>
      <w:r>
        <w:rPr>
          <w:rFonts w:hint="eastAsia" w:ascii="Arial" w:hAnsi="Arial" w:eastAsia="宋体" w:cs="Arial"/>
        </w:rPr>
        <w:t>第</w:t>
      </w:r>
      <w:r>
        <w:rPr>
          <w:rFonts w:ascii="Arial" w:hAnsi="Arial" w:eastAsia="宋体" w:cs="Arial"/>
        </w:rPr>
        <w:t>3</w:t>
      </w:r>
      <w:r>
        <w:rPr>
          <w:rFonts w:hint="eastAsia" w:ascii="Arial" w:hAnsi="Arial" w:eastAsia="宋体" w:cs="Arial"/>
        </w:rPr>
        <w:t>个月</w:t>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hint="eastAsia" w:ascii="Arial" w:hAnsi="Arial" w:eastAsia="宋体" w:cs="Arial"/>
        </w:rPr>
        <w:t>（术后</w:t>
      </w:r>
      <w:r>
        <w:rPr>
          <w:rFonts w:ascii="Arial" w:hAnsi="Arial" w:eastAsia="宋体" w:cs="Arial"/>
        </w:rPr>
        <w:t>10</w:t>
      </w:r>
      <w:r>
        <w:rPr>
          <w:rFonts w:hint="eastAsia" w:ascii="Arial" w:hAnsi="Arial" w:eastAsia="宋体" w:cs="Arial"/>
        </w:rPr>
        <w:t>至</w:t>
      </w:r>
      <w:r>
        <w:rPr>
          <w:rFonts w:ascii="Arial" w:hAnsi="Arial" w:eastAsia="宋体" w:cs="Arial"/>
        </w:rPr>
        <w:t>14</w:t>
      </w:r>
      <w:r>
        <w:rPr>
          <w:rFonts w:hint="eastAsia" w:ascii="Arial" w:hAnsi="Arial" w:eastAsia="宋体" w:cs="Arial"/>
        </w:rPr>
        <w:t>周）</w:t>
      </w:r>
    </w:p>
    <w:p w14:paraId="6030FA6F">
      <w:pPr>
        <w:snapToGrid w:val="0"/>
        <w:spacing w:after="156" w:afterLines="50" w:line="360" w:lineRule="auto"/>
        <w:ind w:left="840" w:leftChars="400" w:firstLine="27" w:firstLineChars="13"/>
        <w:rPr>
          <w:rFonts w:ascii="Arial" w:hAnsi="Arial" w:eastAsia="宋体" w:cs="Arial"/>
        </w:rPr>
      </w:pPr>
      <w:r>
        <w:rPr>
          <w:rFonts w:ascii="Arial" w:hAnsi="Arial" w:eastAsia="宋体" w:cs="Arial"/>
        </w:rPr>
        <w:t>M6 /6</w:t>
      </w:r>
      <w:r>
        <w:rPr>
          <w:rFonts w:hint="eastAsia" w:ascii="Arial" w:hAnsi="Arial" w:eastAsia="宋体" w:cs="Arial"/>
        </w:rPr>
        <w:t>个月</w:t>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hint="eastAsia" w:ascii="Arial" w:hAnsi="Arial" w:eastAsia="宋体" w:cs="Arial"/>
        </w:rPr>
        <w:t>（术后</w:t>
      </w:r>
      <w:r>
        <w:rPr>
          <w:rFonts w:ascii="Arial" w:hAnsi="Arial" w:eastAsia="宋体" w:cs="Arial"/>
        </w:rPr>
        <w:t>20</w:t>
      </w:r>
      <w:r>
        <w:rPr>
          <w:rFonts w:hint="eastAsia" w:ascii="MS Mincho" w:hAnsi="MS Mincho" w:eastAsia="宋体" w:cs="MS Mincho"/>
        </w:rPr>
        <w:t>〜</w:t>
      </w:r>
      <w:r>
        <w:rPr>
          <w:rFonts w:ascii="Arial" w:hAnsi="Arial" w:eastAsia="宋体" w:cs="Arial"/>
        </w:rPr>
        <w:t>26</w:t>
      </w:r>
      <w:r>
        <w:rPr>
          <w:rFonts w:hint="eastAsia" w:ascii="Arial" w:hAnsi="Arial" w:eastAsia="宋体" w:cs="Arial"/>
        </w:rPr>
        <w:t>周）</w:t>
      </w:r>
    </w:p>
    <w:p w14:paraId="1E1C65BD">
      <w:pPr>
        <w:snapToGrid w:val="0"/>
        <w:spacing w:after="156" w:afterLines="50" w:line="360" w:lineRule="auto"/>
        <w:ind w:left="840" w:leftChars="400" w:firstLine="27" w:firstLineChars="13"/>
        <w:rPr>
          <w:rFonts w:ascii="Arial" w:hAnsi="Arial" w:eastAsia="宋体" w:cs="Arial"/>
        </w:rPr>
      </w:pPr>
      <w:r>
        <w:rPr>
          <w:rFonts w:ascii="Arial" w:hAnsi="Arial" w:eastAsia="宋体" w:cs="Arial"/>
        </w:rPr>
        <w:t>M9 /9</w:t>
      </w:r>
      <w:r>
        <w:rPr>
          <w:rFonts w:hint="eastAsia" w:ascii="Arial" w:hAnsi="Arial" w:eastAsia="宋体" w:cs="Arial"/>
        </w:rPr>
        <w:t>个月</w:t>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hint="eastAsia" w:ascii="Arial" w:hAnsi="Arial" w:eastAsia="宋体" w:cs="Arial"/>
        </w:rPr>
        <w:t>（术后</w:t>
      </w:r>
      <w:r>
        <w:rPr>
          <w:rFonts w:ascii="Arial" w:hAnsi="Arial" w:eastAsia="宋体" w:cs="Arial"/>
        </w:rPr>
        <w:t>35</w:t>
      </w:r>
      <w:r>
        <w:rPr>
          <w:rFonts w:hint="eastAsia" w:ascii="MS Mincho" w:hAnsi="MS Mincho" w:eastAsia="宋体" w:cs="MS Mincho"/>
        </w:rPr>
        <w:t>〜</w:t>
      </w:r>
      <w:r>
        <w:rPr>
          <w:rFonts w:ascii="Arial" w:hAnsi="Arial" w:eastAsia="宋体" w:cs="Arial"/>
        </w:rPr>
        <w:t>43</w:t>
      </w:r>
      <w:r>
        <w:rPr>
          <w:rFonts w:hint="eastAsia" w:ascii="Arial" w:hAnsi="Arial" w:eastAsia="宋体" w:cs="Arial"/>
        </w:rPr>
        <w:t>周）</w:t>
      </w:r>
    </w:p>
    <w:p w14:paraId="6137A01C">
      <w:pPr>
        <w:snapToGrid w:val="0"/>
        <w:spacing w:after="156" w:afterLines="50" w:line="360" w:lineRule="auto"/>
        <w:ind w:left="840" w:leftChars="400" w:firstLine="27" w:firstLineChars="13"/>
        <w:rPr>
          <w:rFonts w:ascii="Arial" w:hAnsi="Arial" w:eastAsia="宋体" w:cs="Arial"/>
        </w:rPr>
      </w:pPr>
      <w:r>
        <w:rPr>
          <w:rFonts w:ascii="Arial" w:hAnsi="Arial" w:eastAsia="宋体" w:cs="Arial"/>
        </w:rPr>
        <w:t>M12 /12</w:t>
      </w:r>
      <w:r>
        <w:rPr>
          <w:rFonts w:hint="eastAsia" w:ascii="Arial" w:hAnsi="Arial" w:eastAsia="宋体" w:cs="Arial"/>
        </w:rPr>
        <w:t>个月</w:t>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hint="eastAsia" w:ascii="Arial" w:hAnsi="Arial" w:eastAsia="宋体" w:cs="Arial"/>
        </w:rPr>
        <w:t>（术后</w:t>
      </w:r>
      <w:r>
        <w:rPr>
          <w:rFonts w:ascii="Arial" w:hAnsi="Arial" w:eastAsia="宋体" w:cs="Arial"/>
        </w:rPr>
        <w:t>11</w:t>
      </w:r>
      <w:r>
        <w:rPr>
          <w:rFonts w:hint="eastAsia" w:ascii="MS Mincho" w:hAnsi="MS Mincho" w:eastAsia="宋体" w:cs="MS Mincho"/>
        </w:rPr>
        <w:t>〜</w:t>
      </w:r>
      <w:r>
        <w:rPr>
          <w:rFonts w:ascii="Arial" w:hAnsi="Arial" w:eastAsia="宋体" w:cs="Arial"/>
        </w:rPr>
        <w:t>14</w:t>
      </w:r>
      <w:r>
        <w:rPr>
          <w:rFonts w:hint="eastAsia" w:ascii="Arial" w:hAnsi="Arial" w:eastAsia="宋体" w:cs="Arial"/>
        </w:rPr>
        <w:t>个月）</w:t>
      </w:r>
    </w:p>
    <w:p w14:paraId="3F137D09">
      <w:pPr>
        <w:snapToGrid w:val="0"/>
        <w:spacing w:after="156" w:afterLines="50" w:line="360" w:lineRule="auto"/>
        <w:ind w:left="840" w:leftChars="400" w:firstLine="27" w:firstLineChars="13"/>
        <w:rPr>
          <w:rFonts w:ascii="Arial" w:hAnsi="Arial" w:eastAsia="宋体" w:cs="Arial"/>
        </w:rPr>
      </w:pPr>
      <w:r>
        <w:rPr>
          <w:rFonts w:ascii="Arial" w:hAnsi="Arial" w:eastAsia="宋体" w:cs="Arial"/>
        </w:rPr>
        <w:t>M18 /18</w:t>
      </w:r>
      <w:r>
        <w:rPr>
          <w:rFonts w:hint="eastAsia" w:ascii="Arial" w:hAnsi="Arial" w:eastAsia="宋体" w:cs="Arial"/>
        </w:rPr>
        <w:t>个月</w:t>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hint="eastAsia" w:ascii="Arial" w:hAnsi="Arial" w:eastAsia="宋体" w:cs="Arial"/>
        </w:rPr>
        <w:t>（术后</w:t>
      </w:r>
      <w:r>
        <w:rPr>
          <w:rFonts w:ascii="Arial" w:hAnsi="Arial" w:eastAsia="宋体" w:cs="Arial"/>
        </w:rPr>
        <w:t>16</w:t>
      </w:r>
      <w:r>
        <w:rPr>
          <w:rFonts w:hint="eastAsia" w:ascii="Arial" w:hAnsi="Arial" w:eastAsia="宋体" w:cs="Arial"/>
        </w:rPr>
        <w:t>至</w:t>
      </w:r>
      <w:r>
        <w:rPr>
          <w:rFonts w:ascii="Arial" w:hAnsi="Arial" w:eastAsia="宋体" w:cs="Arial"/>
        </w:rPr>
        <w:t>20</w:t>
      </w:r>
      <w:r>
        <w:rPr>
          <w:rFonts w:hint="eastAsia" w:ascii="Arial" w:hAnsi="Arial" w:eastAsia="宋体" w:cs="Arial"/>
        </w:rPr>
        <w:t>个月）</w:t>
      </w:r>
    </w:p>
    <w:p w14:paraId="2FAE8239">
      <w:pPr>
        <w:snapToGrid w:val="0"/>
        <w:spacing w:after="156" w:afterLines="50" w:line="360" w:lineRule="auto"/>
        <w:ind w:left="840" w:leftChars="400" w:firstLine="27" w:firstLineChars="13"/>
        <w:rPr>
          <w:rFonts w:ascii="Arial" w:hAnsi="Arial" w:eastAsia="宋体" w:cs="Arial"/>
        </w:rPr>
      </w:pPr>
      <w:r>
        <w:rPr>
          <w:rFonts w:ascii="Arial" w:hAnsi="Arial" w:eastAsia="宋体" w:cs="Arial"/>
        </w:rPr>
        <w:t>M24 /24</w:t>
      </w:r>
      <w:r>
        <w:rPr>
          <w:rFonts w:hint="eastAsia" w:ascii="Arial" w:hAnsi="Arial" w:eastAsia="宋体" w:cs="Arial"/>
        </w:rPr>
        <w:t>个月</w:t>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hint="eastAsia" w:ascii="Arial" w:hAnsi="Arial" w:eastAsia="宋体" w:cs="Arial"/>
        </w:rPr>
        <w:t>（术后</w:t>
      </w:r>
      <w:r>
        <w:rPr>
          <w:rFonts w:ascii="Arial" w:hAnsi="Arial" w:eastAsia="宋体" w:cs="Arial"/>
        </w:rPr>
        <w:t>22</w:t>
      </w:r>
      <w:r>
        <w:rPr>
          <w:rFonts w:hint="eastAsia" w:ascii="Arial" w:hAnsi="Arial" w:eastAsia="宋体" w:cs="Arial"/>
        </w:rPr>
        <w:t>至</w:t>
      </w:r>
      <w:r>
        <w:rPr>
          <w:rFonts w:ascii="Arial" w:hAnsi="Arial" w:eastAsia="宋体" w:cs="Arial"/>
        </w:rPr>
        <w:t>26</w:t>
      </w:r>
      <w:r>
        <w:rPr>
          <w:rFonts w:hint="eastAsia" w:ascii="Arial" w:hAnsi="Arial" w:eastAsia="宋体" w:cs="Arial"/>
        </w:rPr>
        <w:t>个月）</w:t>
      </w:r>
    </w:p>
    <w:p w14:paraId="3891F247">
      <w:pPr>
        <w:pStyle w:val="18"/>
        <w:numPr>
          <w:ilvl w:val="3"/>
          <w:numId w:val="5"/>
        </w:numPr>
        <w:snapToGrid w:val="0"/>
        <w:spacing w:after="156" w:afterLines="50" w:line="360" w:lineRule="auto"/>
        <w:ind w:left="0" w:firstLine="0" w:firstLineChars="0"/>
        <w:outlineLvl w:val="3"/>
        <w:rPr>
          <w:rFonts w:ascii="Arial" w:hAnsi="Arial" w:eastAsia="宋体" w:cs="Arial"/>
          <w:b/>
        </w:rPr>
      </w:pPr>
      <w:bookmarkStart w:id="28" w:name="_Toc478047085"/>
      <w:r>
        <w:rPr>
          <w:rFonts w:hint="eastAsia" w:ascii="Arial" w:hAnsi="Arial" w:eastAsia="宋体" w:cs="Arial"/>
          <w:b/>
        </w:rPr>
        <w:t>术后评价</w:t>
      </w:r>
      <w:bookmarkEnd w:id="28"/>
    </w:p>
    <w:p w14:paraId="4FBFF94F">
      <w:pPr>
        <w:snapToGrid w:val="0"/>
        <w:spacing w:after="156" w:afterLines="50" w:line="360" w:lineRule="auto"/>
        <w:ind w:left="840" w:leftChars="400"/>
        <w:rPr>
          <w:rFonts w:ascii="Arial" w:hAnsi="Arial" w:eastAsia="宋体" w:cs="Arial"/>
        </w:rPr>
      </w:pPr>
      <w:r>
        <w:rPr>
          <w:rFonts w:hint="eastAsia" w:ascii="Arial" w:hAnsi="Arial" w:eastAsia="宋体" w:cs="Arial"/>
        </w:rPr>
        <w:t>所有检查都应在标准室内照明条件下进行。使用指定睫状肌麻痹的药物。在每次术后检查时，不应向进行检查的受试者提供关于术前检查和先前术后检查的信息，直到术后检查完成。测试应根据检查时间表进行。</w:t>
      </w:r>
    </w:p>
    <w:p w14:paraId="760EE6B1">
      <w:pPr>
        <w:pStyle w:val="18"/>
        <w:numPr>
          <w:ilvl w:val="3"/>
          <w:numId w:val="5"/>
        </w:numPr>
        <w:snapToGrid w:val="0"/>
        <w:spacing w:after="156" w:afterLines="50" w:line="360" w:lineRule="auto"/>
        <w:ind w:left="0" w:firstLine="0" w:firstLineChars="0"/>
        <w:outlineLvl w:val="3"/>
        <w:rPr>
          <w:rFonts w:ascii="Arial" w:hAnsi="Arial" w:eastAsia="宋体" w:cs="Arial"/>
          <w:b/>
        </w:rPr>
      </w:pPr>
      <w:bookmarkStart w:id="29" w:name="_Toc478047086"/>
      <w:r>
        <w:rPr>
          <w:rFonts w:hint="eastAsia" w:ascii="Arial" w:hAnsi="Arial" w:eastAsia="宋体" w:cs="Arial"/>
          <w:b/>
        </w:rPr>
        <w:t>术后给药方案</w:t>
      </w:r>
      <w:bookmarkEnd w:id="29"/>
    </w:p>
    <w:p w14:paraId="17992336">
      <w:pPr>
        <w:snapToGrid w:val="0"/>
        <w:spacing w:after="156" w:afterLines="50" w:line="360" w:lineRule="auto"/>
        <w:ind w:left="840" w:leftChars="400"/>
        <w:rPr>
          <w:rFonts w:ascii="Arial" w:hAnsi="Arial" w:eastAsia="宋体" w:cs="Arial"/>
        </w:rPr>
      </w:pPr>
      <w:r>
        <w:rPr>
          <w:rFonts w:hint="eastAsia" w:ascii="Arial" w:hAnsi="Arial" w:eastAsia="宋体" w:cs="Arial"/>
        </w:rPr>
        <w:t>应详细描述应遵循的术后给药方案。指定是否使用绷带隐形眼镜，以及是否使用抗炎药调节角膜对激光手术的愈合反应。表明如果术后任何时候</w:t>
      </w:r>
      <w:r>
        <w:rPr>
          <w:rFonts w:ascii="Arial" w:hAnsi="Arial" w:eastAsia="宋体" w:cs="Arial"/>
        </w:rPr>
        <w:t>IOP</w:t>
      </w:r>
      <w:r>
        <w:rPr>
          <w:rFonts w:hint="eastAsia" w:ascii="Arial" w:hAnsi="Arial" w:eastAsia="宋体" w:cs="Arial"/>
        </w:rPr>
        <w:t>水平超过</w:t>
      </w:r>
      <w:r>
        <w:rPr>
          <w:rFonts w:ascii="Arial" w:hAnsi="Arial" w:eastAsia="宋体" w:cs="Arial"/>
        </w:rPr>
        <w:t>25 mm Hg</w:t>
      </w:r>
      <w:r>
        <w:rPr>
          <w:rFonts w:hint="eastAsia" w:ascii="Arial" w:hAnsi="Arial" w:eastAsia="宋体" w:cs="Arial"/>
        </w:rPr>
        <w:t>或</w:t>
      </w:r>
      <w:r>
        <w:rPr>
          <w:rFonts w:ascii="Arial" w:hAnsi="Arial" w:eastAsia="宋体" w:cs="Arial"/>
        </w:rPr>
        <w:t>IOP</w:t>
      </w:r>
      <w:r>
        <w:rPr>
          <w:rFonts w:hint="eastAsia" w:ascii="Arial" w:hAnsi="Arial" w:eastAsia="宋体" w:cs="Arial"/>
        </w:rPr>
        <w:t>的变化超过术前基线的</w:t>
      </w:r>
      <w:r>
        <w:rPr>
          <w:rFonts w:ascii="Arial" w:hAnsi="Arial" w:eastAsia="宋体" w:cs="Arial"/>
        </w:rPr>
        <w:t>10 mm Hg</w:t>
      </w:r>
      <w:r>
        <w:rPr>
          <w:rFonts w:hint="eastAsia" w:ascii="Arial" w:hAnsi="Arial" w:eastAsia="宋体" w:cs="Arial"/>
        </w:rPr>
        <w:t>，药物如何改变。</w:t>
      </w:r>
    </w:p>
    <w:p w14:paraId="196C038A">
      <w:pPr>
        <w:snapToGrid w:val="0"/>
        <w:spacing w:line="360" w:lineRule="auto"/>
        <w:jc w:val="center"/>
        <w:rPr>
          <w:rFonts w:ascii="Arial" w:hAnsi="Arial" w:eastAsia="宋体" w:cs="Arial"/>
          <w:b/>
        </w:rPr>
      </w:pPr>
    </w:p>
    <w:p w14:paraId="12C702BA">
      <w:pPr>
        <w:snapToGrid w:val="0"/>
        <w:spacing w:line="360" w:lineRule="auto"/>
        <w:jc w:val="center"/>
        <w:rPr>
          <w:rFonts w:ascii="Arial" w:hAnsi="Arial" w:eastAsia="宋体" w:cs="Arial"/>
          <w:b/>
        </w:rPr>
      </w:pPr>
    </w:p>
    <w:p w14:paraId="22FB794E">
      <w:pPr>
        <w:snapToGrid w:val="0"/>
        <w:spacing w:line="360" w:lineRule="auto"/>
        <w:jc w:val="center"/>
        <w:rPr>
          <w:rFonts w:ascii="Arial" w:hAnsi="Arial" w:eastAsia="宋体" w:cs="Arial"/>
          <w:b/>
        </w:rPr>
      </w:pPr>
    </w:p>
    <w:p w14:paraId="2AE342F0">
      <w:pPr>
        <w:widowControl/>
        <w:spacing w:line="360" w:lineRule="auto"/>
        <w:jc w:val="left"/>
        <w:rPr>
          <w:rFonts w:ascii="Arial" w:hAnsi="Arial" w:eastAsia="宋体" w:cs="Arial"/>
          <w:b/>
        </w:rPr>
      </w:pPr>
      <w:r>
        <w:rPr>
          <w:rFonts w:ascii="Arial" w:hAnsi="Arial" w:eastAsia="宋体" w:cs="Arial"/>
          <w:b/>
        </w:rPr>
        <w:br w:type="page"/>
      </w:r>
    </w:p>
    <w:p w14:paraId="79D32BA9">
      <w:pPr>
        <w:snapToGrid w:val="0"/>
        <w:spacing w:before="312" w:beforeLines="100" w:line="360" w:lineRule="auto"/>
        <w:jc w:val="center"/>
        <w:rPr>
          <w:rFonts w:ascii="Arial" w:hAnsi="Arial" w:eastAsia="宋体" w:cs="Arial"/>
          <w:b/>
          <w:sz w:val="24"/>
          <w:szCs w:val="24"/>
        </w:rPr>
      </w:pPr>
      <w:r>
        <w:rPr>
          <w:rFonts w:ascii="Arial" w:hAnsi="Arial" w:eastAsia="宋体" w:cs="Arial"/>
          <w:b/>
          <w:sz w:val="24"/>
          <w:szCs w:val="24"/>
        </w:rPr>
        <w:br w:type="textWrapping"/>
      </w:r>
      <w:r>
        <w:rPr>
          <w:rFonts w:hint="eastAsia" w:ascii="Arial" w:hAnsi="Arial" w:eastAsia="宋体" w:cs="Arial"/>
          <w:b/>
          <w:sz w:val="24"/>
          <w:szCs w:val="24"/>
        </w:rPr>
        <w:t>检查时间表</w:t>
      </w:r>
    </w:p>
    <w:tbl>
      <w:tblPr>
        <w:tblStyle w:val="1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68"/>
        <w:gridCol w:w="898"/>
        <w:gridCol w:w="567"/>
        <w:gridCol w:w="567"/>
        <w:gridCol w:w="850"/>
        <w:gridCol w:w="567"/>
        <w:gridCol w:w="284"/>
        <w:gridCol w:w="283"/>
        <w:gridCol w:w="567"/>
        <w:gridCol w:w="567"/>
        <w:gridCol w:w="567"/>
        <w:gridCol w:w="567"/>
        <w:gridCol w:w="567"/>
        <w:gridCol w:w="567"/>
        <w:gridCol w:w="587"/>
      </w:tblGrid>
      <w:tr w14:paraId="327233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vAlign w:val="center"/>
          </w:tcPr>
          <w:p w14:paraId="6960320C">
            <w:pPr>
              <w:snapToGrid w:val="0"/>
              <w:spacing w:before="46" w:beforeLines="15" w:line="360" w:lineRule="auto"/>
              <w:jc w:val="center"/>
              <w:rPr>
                <w:rFonts w:ascii="Arial" w:hAnsi="Arial" w:eastAsia="宋体" w:cs="Arial"/>
                <w:sz w:val="18"/>
                <w:szCs w:val="18"/>
              </w:rPr>
            </w:pPr>
          </w:p>
        </w:tc>
        <w:tc>
          <w:tcPr>
            <w:tcW w:w="898" w:type="dxa"/>
            <w:vAlign w:val="center"/>
          </w:tcPr>
          <w:p w14:paraId="3070F58E">
            <w:pPr>
              <w:snapToGrid w:val="0"/>
              <w:spacing w:before="46" w:beforeLines="15" w:line="360" w:lineRule="auto"/>
              <w:jc w:val="center"/>
              <w:rPr>
                <w:rFonts w:ascii="Arial" w:hAnsi="Arial" w:eastAsia="宋体" w:cs="Arial"/>
                <w:sz w:val="18"/>
                <w:szCs w:val="18"/>
              </w:rPr>
            </w:pPr>
            <w:r>
              <w:rPr>
                <w:rFonts w:ascii="Arial" w:hAnsi="Arial" w:eastAsia="宋体" w:cs="Arial"/>
                <w:sz w:val="18"/>
                <w:szCs w:val="18"/>
              </w:rPr>
              <w:t>PRE</w:t>
            </w:r>
            <w:r>
              <w:rPr>
                <w:rFonts w:ascii="Arial" w:hAnsi="Arial" w:eastAsia="宋体" w:cs="Arial"/>
                <w:sz w:val="18"/>
                <w:szCs w:val="18"/>
              </w:rPr>
              <w:br w:type="textWrapping"/>
            </w:r>
            <w:r>
              <w:rPr>
                <w:rFonts w:ascii="Arial" w:hAnsi="Arial" w:eastAsia="宋体" w:cs="Arial"/>
                <w:sz w:val="13"/>
                <w:szCs w:val="13"/>
              </w:rPr>
              <w:t>(</w:t>
            </w:r>
            <w:r>
              <w:rPr>
                <w:rFonts w:hint="eastAsia" w:ascii="Arial" w:hAnsi="Arial" w:eastAsia="宋体" w:cs="Arial"/>
                <w:sz w:val="13"/>
                <w:szCs w:val="13"/>
              </w:rPr>
              <w:t>检查双眼</w:t>
            </w:r>
            <w:r>
              <w:rPr>
                <w:rFonts w:ascii="Arial" w:hAnsi="Arial" w:eastAsia="宋体" w:cs="Arial"/>
                <w:sz w:val="13"/>
                <w:szCs w:val="13"/>
              </w:rPr>
              <w:t>)</w:t>
            </w:r>
          </w:p>
        </w:tc>
        <w:tc>
          <w:tcPr>
            <w:tcW w:w="567" w:type="dxa"/>
            <w:vAlign w:val="center"/>
          </w:tcPr>
          <w:p w14:paraId="7C23F634">
            <w:pPr>
              <w:snapToGrid w:val="0"/>
              <w:spacing w:before="46" w:beforeLines="15" w:line="360" w:lineRule="auto"/>
              <w:jc w:val="center"/>
              <w:rPr>
                <w:rFonts w:ascii="Arial" w:hAnsi="Arial" w:eastAsia="宋体" w:cs="Arial"/>
                <w:sz w:val="18"/>
                <w:szCs w:val="18"/>
              </w:rPr>
            </w:pPr>
            <w:r>
              <w:rPr>
                <w:rFonts w:ascii="Arial" w:hAnsi="Arial" w:eastAsia="宋体" w:cs="Arial"/>
                <w:sz w:val="18"/>
                <w:szCs w:val="18"/>
              </w:rPr>
              <w:t>OP</w:t>
            </w:r>
          </w:p>
        </w:tc>
        <w:tc>
          <w:tcPr>
            <w:tcW w:w="567" w:type="dxa"/>
            <w:vAlign w:val="center"/>
          </w:tcPr>
          <w:p w14:paraId="06C33AC4">
            <w:pPr>
              <w:snapToGrid w:val="0"/>
              <w:spacing w:before="46" w:beforeLines="15" w:line="360" w:lineRule="auto"/>
              <w:jc w:val="center"/>
              <w:rPr>
                <w:rFonts w:ascii="Arial" w:hAnsi="Arial" w:eastAsia="宋体" w:cs="Arial"/>
                <w:sz w:val="18"/>
                <w:szCs w:val="18"/>
              </w:rPr>
            </w:pPr>
            <w:r>
              <w:rPr>
                <w:rFonts w:ascii="Arial" w:hAnsi="Arial" w:eastAsia="宋体" w:cs="Arial"/>
                <w:sz w:val="18"/>
                <w:szCs w:val="18"/>
              </w:rPr>
              <w:t>D1</w:t>
            </w:r>
          </w:p>
        </w:tc>
        <w:tc>
          <w:tcPr>
            <w:tcW w:w="850" w:type="dxa"/>
            <w:vAlign w:val="center"/>
          </w:tcPr>
          <w:p w14:paraId="7930D04A">
            <w:pPr>
              <w:snapToGrid w:val="0"/>
              <w:spacing w:before="46" w:beforeLines="15" w:line="360" w:lineRule="auto"/>
              <w:jc w:val="center"/>
              <w:rPr>
                <w:rFonts w:ascii="Arial" w:hAnsi="Arial" w:eastAsia="宋体" w:cs="Arial"/>
                <w:sz w:val="18"/>
                <w:szCs w:val="18"/>
              </w:rPr>
            </w:pPr>
            <w:r>
              <w:rPr>
                <w:rFonts w:ascii="Arial" w:hAnsi="Arial" w:eastAsia="宋体" w:cs="Arial"/>
                <w:sz w:val="18"/>
                <w:szCs w:val="18"/>
              </w:rPr>
              <w:t>RE-EP</w:t>
            </w:r>
          </w:p>
        </w:tc>
        <w:tc>
          <w:tcPr>
            <w:tcW w:w="567" w:type="dxa"/>
            <w:vAlign w:val="center"/>
          </w:tcPr>
          <w:p w14:paraId="52B90409">
            <w:pPr>
              <w:snapToGrid w:val="0"/>
              <w:spacing w:before="46" w:beforeLines="15" w:line="360" w:lineRule="auto"/>
              <w:jc w:val="center"/>
              <w:rPr>
                <w:rFonts w:ascii="Arial" w:hAnsi="Arial" w:eastAsia="宋体" w:cs="Arial"/>
                <w:sz w:val="18"/>
                <w:szCs w:val="18"/>
              </w:rPr>
            </w:pPr>
            <w:r>
              <w:rPr>
                <w:rFonts w:ascii="Arial" w:hAnsi="Arial" w:eastAsia="宋体" w:cs="Arial"/>
                <w:sz w:val="18"/>
                <w:szCs w:val="18"/>
              </w:rPr>
              <w:t>W1</w:t>
            </w:r>
          </w:p>
        </w:tc>
        <w:tc>
          <w:tcPr>
            <w:tcW w:w="284" w:type="dxa"/>
            <w:vAlign w:val="center"/>
          </w:tcPr>
          <w:p w14:paraId="7A5857E2">
            <w:pPr>
              <w:snapToGrid w:val="0"/>
              <w:spacing w:before="46" w:beforeLines="15" w:line="360" w:lineRule="auto"/>
              <w:jc w:val="center"/>
              <w:rPr>
                <w:rFonts w:ascii="Arial" w:hAnsi="Arial" w:eastAsia="宋体" w:cs="Arial"/>
                <w:sz w:val="18"/>
                <w:szCs w:val="18"/>
              </w:rPr>
            </w:pPr>
          </w:p>
        </w:tc>
        <w:tc>
          <w:tcPr>
            <w:tcW w:w="283" w:type="dxa"/>
            <w:vAlign w:val="center"/>
          </w:tcPr>
          <w:p w14:paraId="08629E23">
            <w:pPr>
              <w:snapToGrid w:val="0"/>
              <w:spacing w:before="46" w:beforeLines="15" w:line="360" w:lineRule="auto"/>
              <w:jc w:val="center"/>
              <w:rPr>
                <w:rFonts w:ascii="Arial" w:hAnsi="Arial" w:eastAsia="宋体" w:cs="Arial"/>
                <w:sz w:val="18"/>
                <w:szCs w:val="18"/>
              </w:rPr>
            </w:pPr>
          </w:p>
        </w:tc>
        <w:tc>
          <w:tcPr>
            <w:tcW w:w="567" w:type="dxa"/>
            <w:vAlign w:val="center"/>
          </w:tcPr>
          <w:p w14:paraId="640032CA">
            <w:pPr>
              <w:snapToGrid w:val="0"/>
              <w:spacing w:before="46" w:beforeLines="15" w:line="360" w:lineRule="auto"/>
              <w:jc w:val="center"/>
              <w:rPr>
                <w:rFonts w:ascii="Arial" w:hAnsi="Arial" w:eastAsia="宋体" w:cs="Arial"/>
                <w:sz w:val="18"/>
                <w:szCs w:val="18"/>
              </w:rPr>
            </w:pPr>
            <w:r>
              <w:rPr>
                <w:rFonts w:ascii="Arial" w:hAnsi="Arial" w:eastAsia="宋体" w:cs="Arial"/>
                <w:sz w:val="18"/>
                <w:szCs w:val="18"/>
              </w:rPr>
              <w:t>M1</w:t>
            </w:r>
          </w:p>
        </w:tc>
        <w:tc>
          <w:tcPr>
            <w:tcW w:w="567" w:type="dxa"/>
            <w:vAlign w:val="center"/>
          </w:tcPr>
          <w:p w14:paraId="1F2B7393">
            <w:pPr>
              <w:snapToGrid w:val="0"/>
              <w:spacing w:before="46" w:beforeLines="15" w:line="360" w:lineRule="auto"/>
              <w:jc w:val="center"/>
              <w:rPr>
                <w:rFonts w:ascii="Arial" w:hAnsi="Arial" w:eastAsia="宋体" w:cs="Arial"/>
                <w:sz w:val="18"/>
                <w:szCs w:val="18"/>
              </w:rPr>
            </w:pPr>
            <w:r>
              <w:rPr>
                <w:rFonts w:ascii="Arial" w:hAnsi="Arial" w:eastAsia="宋体" w:cs="Arial"/>
                <w:sz w:val="18"/>
                <w:szCs w:val="18"/>
              </w:rPr>
              <w:t>M3</w:t>
            </w:r>
          </w:p>
        </w:tc>
        <w:tc>
          <w:tcPr>
            <w:tcW w:w="567" w:type="dxa"/>
            <w:vAlign w:val="center"/>
          </w:tcPr>
          <w:p w14:paraId="15A2FDDC">
            <w:pPr>
              <w:snapToGrid w:val="0"/>
              <w:spacing w:before="46" w:beforeLines="15" w:line="360" w:lineRule="auto"/>
              <w:jc w:val="center"/>
              <w:rPr>
                <w:rFonts w:ascii="Arial" w:hAnsi="Arial" w:eastAsia="宋体" w:cs="Arial"/>
                <w:sz w:val="18"/>
                <w:szCs w:val="18"/>
              </w:rPr>
            </w:pPr>
            <w:r>
              <w:rPr>
                <w:rFonts w:ascii="Arial" w:hAnsi="Arial" w:eastAsia="宋体" w:cs="Arial"/>
                <w:sz w:val="18"/>
                <w:szCs w:val="18"/>
              </w:rPr>
              <w:t>M6</w:t>
            </w:r>
          </w:p>
        </w:tc>
        <w:tc>
          <w:tcPr>
            <w:tcW w:w="567" w:type="dxa"/>
            <w:vAlign w:val="center"/>
          </w:tcPr>
          <w:p w14:paraId="6F8EFAC1">
            <w:pPr>
              <w:snapToGrid w:val="0"/>
              <w:spacing w:before="46" w:beforeLines="15" w:line="360" w:lineRule="auto"/>
              <w:jc w:val="center"/>
              <w:rPr>
                <w:rFonts w:ascii="Arial" w:hAnsi="Arial" w:eastAsia="宋体" w:cs="Arial"/>
                <w:sz w:val="18"/>
                <w:szCs w:val="18"/>
              </w:rPr>
            </w:pPr>
            <w:r>
              <w:rPr>
                <w:rFonts w:ascii="Arial" w:hAnsi="Arial" w:eastAsia="宋体" w:cs="Arial"/>
                <w:sz w:val="18"/>
                <w:szCs w:val="18"/>
              </w:rPr>
              <w:t>M9</w:t>
            </w:r>
          </w:p>
        </w:tc>
        <w:tc>
          <w:tcPr>
            <w:tcW w:w="567" w:type="dxa"/>
            <w:vAlign w:val="center"/>
          </w:tcPr>
          <w:p w14:paraId="7227E0CF">
            <w:pPr>
              <w:snapToGrid w:val="0"/>
              <w:spacing w:before="46" w:beforeLines="15" w:line="360" w:lineRule="auto"/>
              <w:jc w:val="center"/>
              <w:rPr>
                <w:rFonts w:ascii="Arial" w:hAnsi="Arial" w:eastAsia="宋体" w:cs="Arial"/>
                <w:sz w:val="18"/>
                <w:szCs w:val="18"/>
              </w:rPr>
            </w:pPr>
            <w:r>
              <w:rPr>
                <w:rFonts w:ascii="Arial" w:hAnsi="Arial" w:eastAsia="宋体" w:cs="Arial"/>
                <w:sz w:val="18"/>
                <w:szCs w:val="18"/>
              </w:rPr>
              <w:t>M12</w:t>
            </w:r>
          </w:p>
        </w:tc>
        <w:tc>
          <w:tcPr>
            <w:tcW w:w="567" w:type="dxa"/>
            <w:vAlign w:val="center"/>
          </w:tcPr>
          <w:p w14:paraId="3C14073F">
            <w:pPr>
              <w:snapToGrid w:val="0"/>
              <w:spacing w:before="46" w:beforeLines="15" w:line="360" w:lineRule="auto"/>
              <w:jc w:val="center"/>
              <w:rPr>
                <w:rFonts w:ascii="Arial" w:hAnsi="Arial" w:eastAsia="宋体" w:cs="Arial"/>
                <w:sz w:val="18"/>
                <w:szCs w:val="18"/>
              </w:rPr>
            </w:pPr>
            <w:r>
              <w:rPr>
                <w:rFonts w:ascii="Arial" w:hAnsi="Arial" w:eastAsia="宋体" w:cs="Arial"/>
                <w:sz w:val="18"/>
                <w:szCs w:val="18"/>
              </w:rPr>
              <w:t>M18</w:t>
            </w:r>
          </w:p>
        </w:tc>
        <w:tc>
          <w:tcPr>
            <w:tcW w:w="587" w:type="dxa"/>
            <w:vAlign w:val="center"/>
          </w:tcPr>
          <w:p w14:paraId="3628B569">
            <w:pPr>
              <w:snapToGrid w:val="0"/>
              <w:spacing w:before="46" w:beforeLines="15" w:line="360" w:lineRule="auto"/>
              <w:jc w:val="center"/>
              <w:rPr>
                <w:rFonts w:ascii="Arial" w:hAnsi="Arial" w:eastAsia="宋体" w:cs="Arial"/>
                <w:sz w:val="18"/>
                <w:szCs w:val="18"/>
              </w:rPr>
            </w:pPr>
            <w:r>
              <w:rPr>
                <w:rFonts w:ascii="Arial" w:hAnsi="Arial" w:eastAsia="宋体" w:cs="Arial"/>
                <w:sz w:val="18"/>
                <w:szCs w:val="18"/>
              </w:rPr>
              <w:t>M24</w:t>
            </w:r>
          </w:p>
        </w:tc>
      </w:tr>
      <w:tr w14:paraId="33DAC5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vAlign w:val="center"/>
          </w:tcPr>
          <w:p w14:paraId="52C044B9">
            <w:pPr>
              <w:snapToGrid w:val="0"/>
              <w:spacing w:before="46" w:beforeLines="15" w:line="360" w:lineRule="auto"/>
              <w:rPr>
                <w:rFonts w:ascii="Arial" w:hAnsi="Arial" w:eastAsia="宋体" w:cs="Arial"/>
                <w:sz w:val="18"/>
                <w:szCs w:val="18"/>
              </w:rPr>
            </w:pPr>
            <w:r>
              <w:rPr>
                <w:rFonts w:hint="eastAsia" w:ascii="Arial" w:hAnsi="Arial" w:eastAsia="宋体" w:cs="Arial"/>
                <w:sz w:val="18"/>
                <w:szCs w:val="18"/>
              </w:rPr>
              <w:t>患者姓名，检查日期和时间，研究者姓名，受试者</w:t>
            </w:r>
            <w:r>
              <w:rPr>
                <w:rFonts w:ascii="Arial" w:hAnsi="Arial" w:eastAsia="宋体" w:cs="Arial"/>
                <w:sz w:val="18"/>
                <w:szCs w:val="18"/>
              </w:rPr>
              <w:t>ID</w:t>
            </w:r>
            <w:r>
              <w:rPr>
                <w:rFonts w:hint="eastAsia" w:ascii="Arial" w:hAnsi="Arial" w:eastAsia="宋体" w:cs="Arial"/>
                <w:sz w:val="18"/>
                <w:szCs w:val="18"/>
              </w:rPr>
              <w:t>＃</w:t>
            </w:r>
          </w:p>
          <w:p w14:paraId="5C59396F">
            <w:pPr>
              <w:snapToGrid w:val="0"/>
              <w:spacing w:before="46" w:beforeLines="15" w:line="360" w:lineRule="auto"/>
              <w:rPr>
                <w:rFonts w:ascii="Arial" w:hAnsi="Arial" w:eastAsia="宋体" w:cs="Arial"/>
                <w:sz w:val="18"/>
                <w:szCs w:val="18"/>
              </w:rPr>
            </w:pPr>
            <w:r>
              <w:rPr>
                <w:rFonts w:hint="eastAsia" w:ascii="Arial" w:hAnsi="Arial" w:eastAsia="宋体" w:cs="Arial"/>
                <w:sz w:val="18"/>
                <w:szCs w:val="18"/>
              </w:rPr>
              <w:t>手术眼，目前给药</w:t>
            </w:r>
          </w:p>
        </w:tc>
        <w:tc>
          <w:tcPr>
            <w:tcW w:w="898" w:type="dxa"/>
            <w:vAlign w:val="center"/>
          </w:tcPr>
          <w:p w14:paraId="1337BC42">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4F7FB83D">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63F00EFA">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850" w:type="dxa"/>
            <w:vAlign w:val="center"/>
          </w:tcPr>
          <w:p w14:paraId="4827483C">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64099F07">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284" w:type="dxa"/>
            <w:vAlign w:val="center"/>
          </w:tcPr>
          <w:p w14:paraId="6E5DB957">
            <w:pPr>
              <w:snapToGrid w:val="0"/>
              <w:spacing w:before="46" w:beforeLines="15" w:line="360" w:lineRule="auto"/>
              <w:jc w:val="center"/>
              <w:rPr>
                <w:rFonts w:ascii="宋体" w:hAnsi="宋体" w:eastAsia="宋体" w:cs="宋体"/>
                <w:sz w:val="18"/>
                <w:szCs w:val="18"/>
              </w:rPr>
            </w:pPr>
          </w:p>
        </w:tc>
        <w:tc>
          <w:tcPr>
            <w:tcW w:w="283" w:type="dxa"/>
            <w:vAlign w:val="center"/>
          </w:tcPr>
          <w:p w14:paraId="514EBC28">
            <w:pPr>
              <w:snapToGrid w:val="0"/>
              <w:spacing w:before="46" w:beforeLines="15" w:line="360" w:lineRule="auto"/>
              <w:jc w:val="center"/>
              <w:rPr>
                <w:rFonts w:ascii="宋体" w:hAnsi="宋体" w:eastAsia="宋体" w:cs="宋体"/>
                <w:sz w:val="18"/>
                <w:szCs w:val="18"/>
              </w:rPr>
            </w:pPr>
          </w:p>
        </w:tc>
        <w:tc>
          <w:tcPr>
            <w:tcW w:w="567" w:type="dxa"/>
            <w:vAlign w:val="center"/>
          </w:tcPr>
          <w:p w14:paraId="5A2D9704">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4348D867">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4B4BBD06">
            <w:pPr>
              <w:snapToGrid w:val="0"/>
              <w:spacing w:before="46" w:beforeLines="15" w:line="360" w:lineRule="auto"/>
              <w:jc w:val="center"/>
              <w:rPr>
                <w:rFonts w:ascii="Arial" w:hAnsi="Arial" w:eastAsia="宋体" w:cs="Arial"/>
                <w:sz w:val="18"/>
                <w:szCs w:val="18"/>
              </w:rPr>
            </w:pPr>
            <w:bookmarkStart w:id="30" w:name="OLE_LINK10"/>
            <w:bookmarkStart w:id="31" w:name="OLE_LINK11"/>
            <w:r>
              <w:rPr>
                <w:rFonts w:hint="eastAsia" w:ascii="宋体" w:hAnsi="宋体" w:eastAsia="宋体" w:cs="宋体"/>
                <w:sz w:val="18"/>
                <w:szCs w:val="18"/>
              </w:rPr>
              <w:t>╳</w:t>
            </w:r>
            <w:bookmarkEnd w:id="30"/>
            <w:bookmarkEnd w:id="31"/>
          </w:p>
        </w:tc>
        <w:tc>
          <w:tcPr>
            <w:tcW w:w="567" w:type="dxa"/>
            <w:vAlign w:val="center"/>
          </w:tcPr>
          <w:p w14:paraId="6BAF9D78">
            <w:pPr>
              <w:snapToGrid w:val="0"/>
              <w:spacing w:before="46" w:beforeLines="15" w:line="360" w:lineRule="auto"/>
              <w:jc w:val="center"/>
              <w:rPr>
                <w:rFonts w:ascii="Arial" w:hAnsi="Arial" w:eastAsia="宋体" w:cs="Arial"/>
                <w:sz w:val="18"/>
                <w:szCs w:val="18"/>
              </w:rPr>
            </w:pPr>
          </w:p>
        </w:tc>
        <w:tc>
          <w:tcPr>
            <w:tcW w:w="567" w:type="dxa"/>
            <w:vAlign w:val="center"/>
          </w:tcPr>
          <w:p w14:paraId="0CC5F032">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216D443E">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87" w:type="dxa"/>
            <w:vAlign w:val="center"/>
          </w:tcPr>
          <w:p w14:paraId="270A6CAE">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r>
      <w:tr w14:paraId="566F4F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vAlign w:val="center"/>
          </w:tcPr>
          <w:p w14:paraId="66CABFCF">
            <w:pPr>
              <w:snapToGrid w:val="0"/>
              <w:spacing w:before="46" w:beforeLines="15" w:line="360" w:lineRule="auto"/>
              <w:rPr>
                <w:rFonts w:ascii="Arial" w:hAnsi="Arial" w:eastAsia="宋体" w:cs="Arial"/>
                <w:sz w:val="18"/>
                <w:szCs w:val="18"/>
              </w:rPr>
            </w:pPr>
            <w:r>
              <w:rPr>
                <w:rFonts w:hint="eastAsia" w:ascii="Arial" w:hAnsi="Arial" w:eastAsia="宋体" w:cs="Arial"/>
                <w:sz w:val="18"/>
                <w:szCs w:val="18"/>
              </w:rPr>
              <w:t>患者的出生日期，性别，种族，</w:t>
            </w:r>
            <w:r>
              <w:rPr>
                <w:rFonts w:ascii="Arial" w:hAnsi="Arial" w:eastAsia="宋体" w:cs="Arial"/>
                <w:sz w:val="18"/>
                <w:szCs w:val="18"/>
              </w:rPr>
              <w:t>PMHx</w:t>
            </w:r>
            <w:r>
              <w:rPr>
                <w:rFonts w:hint="eastAsia" w:ascii="Arial" w:hAnsi="Arial" w:eastAsia="宋体" w:cs="Arial"/>
                <w:sz w:val="18"/>
                <w:szCs w:val="18"/>
              </w:rPr>
              <w:t>，</w:t>
            </w:r>
            <w:r>
              <w:rPr>
                <w:rFonts w:ascii="Arial" w:hAnsi="Arial" w:eastAsia="宋体" w:cs="Arial"/>
                <w:sz w:val="18"/>
                <w:szCs w:val="18"/>
              </w:rPr>
              <w:t>POHx</w:t>
            </w:r>
            <w:r>
              <w:rPr>
                <w:rFonts w:hint="eastAsia" w:ascii="Arial" w:hAnsi="Arial" w:eastAsia="宋体" w:cs="Arial"/>
                <w:sz w:val="18"/>
                <w:szCs w:val="18"/>
              </w:rPr>
              <w:t>，隐形眼镜</w:t>
            </w:r>
            <w:r>
              <w:rPr>
                <w:rFonts w:ascii="Arial" w:hAnsi="Arial" w:eastAsia="宋体" w:cs="Arial"/>
                <w:sz w:val="18"/>
                <w:szCs w:val="18"/>
              </w:rPr>
              <w:t>hx</w:t>
            </w:r>
            <w:r>
              <w:rPr>
                <w:rFonts w:hint="eastAsia" w:ascii="Arial" w:hAnsi="Arial" w:eastAsia="宋体" w:cs="Arial"/>
                <w:sz w:val="18"/>
                <w:szCs w:val="18"/>
              </w:rPr>
              <w:t>，折射稳定性</w:t>
            </w:r>
          </w:p>
        </w:tc>
        <w:tc>
          <w:tcPr>
            <w:tcW w:w="898" w:type="dxa"/>
            <w:vAlign w:val="center"/>
          </w:tcPr>
          <w:p w14:paraId="31D04A20">
            <w:pPr>
              <w:snapToGrid w:val="0"/>
              <w:spacing w:before="46" w:beforeLines="15" w:line="360" w:lineRule="auto"/>
              <w:jc w:val="center"/>
              <w:rPr>
                <w:rFonts w:ascii="Arial" w:hAnsi="Arial" w:eastAsia="宋体" w:cs="Arial"/>
                <w:sz w:val="18"/>
                <w:szCs w:val="18"/>
              </w:rPr>
            </w:pPr>
            <w:bookmarkStart w:id="32" w:name="OLE_LINK13"/>
            <w:bookmarkStart w:id="33" w:name="OLE_LINK12"/>
            <w:r>
              <w:rPr>
                <w:rFonts w:hint="eastAsia" w:ascii="宋体" w:hAnsi="宋体" w:eastAsia="宋体" w:cs="宋体"/>
                <w:sz w:val="18"/>
                <w:szCs w:val="18"/>
              </w:rPr>
              <w:t>╳</w:t>
            </w:r>
            <w:bookmarkEnd w:id="32"/>
            <w:bookmarkEnd w:id="33"/>
          </w:p>
        </w:tc>
        <w:tc>
          <w:tcPr>
            <w:tcW w:w="567" w:type="dxa"/>
            <w:vAlign w:val="center"/>
          </w:tcPr>
          <w:p w14:paraId="74250251">
            <w:pPr>
              <w:snapToGrid w:val="0"/>
              <w:spacing w:before="46" w:beforeLines="15" w:line="360" w:lineRule="auto"/>
              <w:jc w:val="center"/>
              <w:rPr>
                <w:rFonts w:ascii="Arial" w:hAnsi="Arial" w:eastAsia="宋体" w:cs="Arial"/>
                <w:sz w:val="18"/>
                <w:szCs w:val="18"/>
              </w:rPr>
            </w:pPr>
          </w:p>
        </w:tc>
        <w:tc>
          <w:tcPr>
            <w:tcW w:w="567" w:type="dxa"/>
            <w:vAlign w:val="center"/>
          </w:tcPr>
          <w:p w14:paraId="2D49005E">
            <w:pPr>
              <w:snapToGrid w:val="0"/>
              <w:spacing w:before="46" w:beforeLines="15" w:line="360" w:lineRule="auto"/>
              <w:jc w:val="center"/>
              <w:rPr>
                <w:rFonts w:ascii="Arial" w:hAnsi="Arial" w:eastAsia="宋体" w:cs="Arial"/>
                <w:sz w:val="18"/>
                <w:szCs w:val="18"/>
              </w:rPr>
            </w:pPr>
          </w:p>
        </w:tc>
        <w:tc>
          <w:tcPr>
            <w:tcW w:w="850" w:type="dxa"/>
            <w:vAlign w:val="center"/>
          </w:tcPr>
          <w:p w14:paraId="11B327A8">
            <w:pPr>
              <w:snapToGrid w:val="0"/>
              <w:spacing w:before="46" w:beforeLines="15" w:line="360" w:lineRule="auto"/>
              <w:jc w:val="center"/>
              <w:rPr>
                <w:rFonts w:ascii="Arial" w:hAnsi="Arial" w:eastAsia="宋体" w:cs="Arial"/>
                <w:sz w:val="18"/>
                <w:szCs w:val="18"/>
              </w:rPr>
            </w:pPr>
          </w:p>
        </w:tc>
        <w:tc>
          <w:tcPr>
            <w:tcW w:w="567" w:type="dxa"/>
            <w:vAlign w:val="center"/>
          </w:tcPr>
          <w:p w14:paraId="7F57977D">
            <w:pPr>
              <w:snapToGrid w:val="0"/>
              <w:spacing w:before="46" w:beforeLines="15" w:line="360" w:lineRule="auto"/>
              <w:jc w:val="center"/>
              <w:rPr>
                <w:rFonts w:ascii="Arial" w:hAnsi="Arial" w:eastAsia="宋体" w:cs="Arial"/>
                <w:sz w:val="18"/>
                <w:szCs w:val="18"/>
              </w:rPr>
            </w:pPr>
          </w:p>
        </w:tc>
        <w:tc>
          <w:tcPr>
            <w:tcW w:w="284" w:type="dxa"/>
            <w:vAlign w:val="center"/>
          </w:tcPr>
          <w:p w14:paraId="5069DB25">
            <w:pPr>
              <w:snapToGrid w:val="0"/>
              <w:spacing w:before="46" w:beforeLines="15" w:line="360" w:lineRule="auto"/>
              <w:jc w:val="center"/>
              <w:rPr>
                <w:rFonts w:ascii="Arial" w:hAnsi="Arial" w:eastAsia="宋体" w:cs="Arial"/>
                <w:sz w:val="18"/>
                <w:szCs w:val="18"/>
              </w:rPr>
            </w:pPr>
          </w:p>
        </w:tc>
        <w:tc>
          <w:tcPr>
            <w:tcW w:w="283" w:type="dxa"/>
            <w:vAlign w:val="center"/>
          </w:tcPr>
          <w:p w14:paraId="30E33E0C">
            <w:pPr>
              <w:snapToGrid w:val="0"/>
              <w:spacing w:before="46" w:beforeLines="15" w:line="360" w:lineRule="auto"/>
              <w:jc w:val="center"/>
              <w:rPr>
                <w:rFonts w:ascii="Arial" w:hAnsi="Arial" w:eastAsia="宋体" w:cs="Arial"/>
                <w:sz w:val="18"/>
                <w:szCs w:val="18"/>
              </w:rPr>
            </w:pPr>
          </w:p>
        </w:tc>
        <w:tc>
          <w:tcPr>
            <w:tcW w:w="567" w:type="dxa"/>
            <w:vAlign w:val="center"/>
          </w:tcPr>
          <w:p w14:paraId="5E173C8D">
            <w:pPr>
              <w:snapToGrid w:val="0"/>
              <w:spacing w:before="46" w:beforeLines="15" w:line="360" w:lineRule="auto"/>
              <w:jc w:val="center"/>
              <w:rPr>
                <w:rFonts w:ascii="Arial" w:hAnsi="Arial" w:eastAsia="宋体" w:cs="Arial"/>
                <w:sz w:val="18"/>
                <w:szCs w:val="18"/>
              </w:rPr>
            </w:pPr>
          </w:p>
        </w:tc>
        <w:tc>
          <w:tcPr>
            <w:tcW w:w="567" w:type="dxa"/>
            <w:vAlign w:val="center"/>
          </w:tcPr>
          <w:p w14:paraId="61A7DFBC">
            <w:pPr>
              <w:snapToGrid w:val="0"/>
              <w:spacing w:before="46" w:beforeLines="15" w:line="360" w:lineRule="auto"/>
              <w:jc w:val="center"/>
              <w:rPr>
                <w:rFonts w:ascii="Arial" w:hAnsi="Arial" w:eastAsia="宋体" w:cs="Arial"/>
                <w:sz w:val="18"/>
                <w:szCs w:val="18"/>
              </w:rPr>
            </w:pPr>
          </w:p>
        </w:tc>
        <w:tc>
          <w:tcPr>
            <w:tcW w:w="567" w:type="dxa"/>
            <w:vAlign w:val="center"/>
          </w:tcPr>
          <w:p w14:paraId="2BEE9FAB">
            <w:pPr>
              <w:snapToGrid w:val="0"/>
              <w:spacing w:before="46" w:beforeLines="15" w:line="360" w:lineRule="auto"/>
              <w:jc w:val="center"/>
              <w:rPr>
                <w:rFonts w:ascii="Arial" w:hAnsi="Arial" w:eastAsia="宋体" w:cs="Arial"/>
                <w:sz w:val="18"/>
                <w:szCs w:val="18"/>
              </w:rPr>
            </w:pPr>
          </w:p>
        </w:tc>
        <w:tc>
          <w:tcPr>
            <w:tcW w:w="567" w:type="dxa"/>
            <w:vAlign w:val="center"/>
          </w:tcPr>
          <w:p w14:paraId="353E7D03">
            <w:pPr>
              <w:snapToGrid w:val="0"/>
              <w:spacing w:before="46" w:beforeLines="15" w:line="360" w:lineRule="auto"/>
              <w:jc w:val="center"/>
              <w:rPr>
                <w:rFonts w:ascii="Arial" w:hAnsi="Arial" w:eastAsia="宋体" w:cs="Arial"/>
                <w:sz w:val="18"/>
                <w:szCs w:val="18"/>
              </w:rPr>
            </w:pPr>
          </w:p>
        </w:tc>
        <w:tc>
          <w:tcPr>
            <w:tcW w:w="567" w:type="dxa"/>
            <w:vAlign w:val="center"/>
          </w:tcPr>
          <w:p w14:paraId="20D860DB">
            <w:pPr>
              <w:snapToGrid w:val="0"/>
              <w:spacing w:before="46" w:beforeLines="15" w:line="360" w:lineRule="auto"/>
              <w:jc w:val="center"/>
              <w:rPr>
                <w:rFonts w:ascii="Arial" w:hAnsi="Arial" w:eastAsia="宋体" w:cs="Arial"/>
                <w:sz w:val="18"/>
                <w:szCs w:val="18"/>
              </w:rPr>
            </w:pPr>
          </w:p>
        </w:tc>
        <w:tc>
          <w:tcPr>
            <w:tcW w:w="567" w:type="dxa"/>
            <w:vAlign w:val="center"/>
          </w:tcPr>
          <w:p w14:paraId="4A534D4B">
            <w:pPr>
              <w:snapToGrid w:val="0"/>
              <w:spacing w:before="46" w:beforeLines="15" w:line="360" w:lineRule="auto"/>
              <w:jc w:val="center"/>
              <w:rPr>
                <w:rFonts w:ascii="Arial" w:hAnsi="Arial" w:eastAsia="宋体" w:cs="Arial"/>
                <w:sz w:val="18"/>
                <w:szCs w:val="18"/>
              </w:rPr>
            </w:pPr>
          </w:p>
        </w:tc>
        <w:tc>
          <w:tcPr>
            <w:tcW w:w="587" w:type="dxa"/>
            <w:vAlign w:val="center"/>
          </w:tcPr>
          <w:p w14:paraId="667C0C0C">
            <w:pPr>
              <w:snapToGrid w:val="0"/>
              <w:spacing w:before="46" w:beforeLines="15" w:line="360" w:lineRule="auto"/>
              <w:jc w:val="center"/>
              <w:rPr>
                <w:rFonts w:ascii="Arial" w:hAnsi="Arial" w:eastAsia="宋体" w:cs="Arial"/>
                <w:sz w:val="18"/>
                <w:szCs w:val="18"/>
              </w:rPr>
            </w:pPr>
          </w:p>
        </w:tc>
      </w:tr>
      <w:tr w14:paraId="50630A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vAlign w:val="center"/>
          </w:tcPr>
          <w:p w14:paraId="17923387">
            <w:pPr>
              <w:snapToGrid w:val="0"/>
              <w:spacing w:before="46" w:beforeLines="15" w:line="360" w:lineRule="auto"/>
              <w:rPr>
                <w:rFonts w:ascii="Arial" w:hAnsi="Arial" w:eastAsia="宋体" w:cs="Arial"/>
                <w:sz w:val="18"/>
                <w:szCs w:val="18"/>
              </w:rPr>
            </w:pPr>
            <w:r>
              <w:rPr>
                <w:rFonts w:ascii="Arial" w:hAnsi="Arial" w:eastAsia="宋体" w:cs="Arial"/>
                <w:kern w:val="0"/>
                <w:sz w:val="18"/>
                <w:szCs w:val="18"/>
              </w:rPr>
              <w:t>远离UCVA</w:t>
            </w:r>
          </w:p>
        </w:tc>
        <w:tc>
          <w:tcPr>
            <w:tcW w:w="898" w:type="dxa"/>
            <w:vAlign w:val="center"/>
          </w:tcPr>
          <w:p w14:paraId="0D10F6F2">
            <w:pPr>
              <w:snapToGrid w:val="0"/>
              <w:spacing w:before="46" w:beforeLines="15" w:line="360" w:lineRule="auto"/>
              <w:jc w:val="center"/>
              <w:rPr>
                <w:rFonts w:ascii="Arial" w:hAnsi="Arial" w:eastAsia="宋体" w:cs="Arial"/>
                <w:sz w:val="18"/>
                <w:szCs w:val="18"/>
              </w:rPr>
            </w:pPr>
            <w:bookmarkStart w:id="34" w:name="OLE_LINK14"/>
            <w:bookmarkStart w:id="35" w:name="OLE_LINK15"/>
            <w:r>
              <w:rPr>
                <w:rFonts w:hint="eastAsia" w:ascii="宋体" w:hAnsi="宋体" w:eastAsia="宋体" w:cs="宋体"/>
                <w:sz w:val="18"/>
                <w:szCs w:val="18"/>
              </w:rPr>
              <w:t>╳</w:t>
            </w:r>
            <w:bookmarkEnd w:id="34"/>
            <w:bookmarkEnd w:id="35"/>
          </w:p>
        </w:tc>
        <w:tc>
          <w:tcPr>
            <w:tcW w:w="567" w:type="dxa"/>
            <w:vAlign w:val="center"/>
          </w:tcPr>
          <w:p w14:paraId="086BEB00">
            <w:pPr>
              <w:snapToGrid w:val="0"/>
              <w:spacing w:before="46" w:beforeLines="15" w:line="360" w:lineRule="auto"/>
              <w:jc w:val="center"/>
              <w:rPr>
                <w:rFonts w:ascii="Arial" w:hAnsi="Arial" w:eastAsia="宋体" w:cs="Arial"/>
                <w:sz w:val="18"/>
                <w:szCs w:val="18"/>
              </w:rPr>
            </w:pPr>
          </w:p>
        </w:tc>
        <w:tc>
          <w:tcPr>
            <w:tcW w:w="567" w:type="dxa"/>
            <w:vAlign w:val="center"/>
          </w:tcPr>
          <w:p w14:paraId="318515A1">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850" w:type="dxa"/>
            <w:vAlign w:val="center"/>
          </w:tcPr>
          <w:p w14:paraId="286443DB">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7B1FF44F">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284" w:type="dxa"/>
            <w:vAlign w:val="center"/>
          </w:tcPr>
          <w:p w14:paraId="388F8DE2">
            <w:pPr>
              <w:snapToGrid w:val="0"/>
              <w:spacing w:before="46" w:beforeLines="15" w:line="360" w:lineRule="auto"/>
              <w:jc w:val="center"/>
              <w:rPr>
                <w:rFonts w:ascii="宋体" w:hAnsi="宋体" w:eastAsia="宋体" w:cs="宋体"/>
                <w:sz w:val="18"/>
                <w:szCs w:val="18"/>
              </w:rPr>
            </w:pPr>
          </w:p>
        </w:tc>
        <w:tc>
          <w:tcPr>
            <w:tcW w:w="283" w:type="dxa"/>
            <w:vAlign w:val="center"/>
          </w:tcPr>
          <w:p w14:paraId="088112EE">
            <w:pPr>
              <w:snapToGrid w:val="0"/>
              <w:spacing w:before="46" w:beforeLines="15" w:line="360" w:lineRule="auto"/>
              <w:jc w:val="center"/>
              <w:rPr>
                <w:rFonts w:ascii="宋体" w:hAnsi="宋体" w:eastAsia="宋体" w:cs="宋体"/>
                <w:sz w:val="18"/>
                <w:szCs w:val="18"/>
              </w:rPr>
            </w:pPr>
          </w:p>
        </w:tc>
        <w:tc>
          <w:tcPr>
            <w:tcW w:w="567" w:type="dxa"/>
            <w:vAlign w:val="center"/>
          </w:tcPr>
          <w:p w14:paraId="78850D43">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76A955E1">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21F4423D">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443119E8">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37A23310">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57A9A4AE">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87" w:type="dxa"/>
            <w:vAlign w:val="center"/>
          </w:tcPr>
          <w:p w14:paraId="09D00355">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r>
      <w:tr w14:paraId="7740DF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vAlign w:val="center"/>
          </w:tcPr>
          <w:p w14:paraId="197FF796">
            <w:pPr>
              <w:snapToGrid w:val="0"/>
              <w:spacing w:before="46" w:beforeLines="15" w:line="360" w:lineRule="auto"/>
              <w:rPr>
                <w:rFonts w:ascii="Arial" w:hAnsi="Arial" w:eastAsia="宋体" w:cs="Arial"/>
                <w:sz w:val="18"/>
                <w:szCs w:val="18"/>
              </w:rPr>
            </w:pPr>
            <w:r>
              <w:rPr>
                <w:rFonts w:ascii="Arial" w:hAnsi="Arial" w:eastAsia="宋体" w:cs="Arial"/>
                <w:kern w:val="0"/>
                <w:sz w:val="18"/>
                <w:szCs w:val="18"/>
              </w:rPr>
              <w:t>远离BSCVA</w:t>
            </w:r>
            <w:r>
              <w:rPr>
                <w:rFonts w:ascii="Arial" w:hAnsi="Arial" w:eastAsia="宋体" w:cs="Arial"/>
                <w:kern w:val="0"/>
                <w:sz w:val="18"/>
                <w:szCs w:val="18"/>
                <w:vertAlign w:val="superscript"/>
              </w:rPr>
              <w:t>1</w:t>
            </w:r>
          </w:p>
        </w:tc>
        <w:tc>
          <w:tcPr>
            <w:tcW w:w="898" w:type="dxa"/>
            <w:vAlign w:val="center"/>
          </w:tcPr>
          <w:p w14:paraId="1D4F7841">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16FC24E1">
            <w:pPr>
              <w:snapToGrid w:val="0"/>
              <w:spacing w:before="46" w:beforeLines="15" w:line="360" w:lineRule="auto"/>
              <w:jc w:val="center"/>
              <w:rPr>
                <w:rFonts w:ascii="Arial" w:hAnsi="Arial" w:eastAsia="宋体" w:cs="Arial"/>
                <w:sz w:val="18"/>
                <w:szCs w:val="18"/>
              </w:rPr>
            </w:pPr>
          </w:p>
        </w:tc>
        <w:tc>
          <w:tcPr>
            <w:tcW w:w="567" w:type="dxa"/>
            <w:vAlign w:val="center"/>
          </w:tcPr>
          <w:p w14:paraId="19289C02">
            <w:pPr>
              <w:snapToGrid w:val="0"/>
              <w:spacing w:before="46" w:beforeLines="15" w:line="360" w:lineRule="auto"/>
              <w:jc w:val="center"/>
              <w:rPr>
                <w:rFonts w:ascii="Arial" w:hAnsi="Arial" w:eastAsia="宋体" w:cs="Arial"/>
                <w:sz w:val="18"/>
                <w:szCs w:val="18"/>
              </w:rPr>
            </w:pPr>
          </w:p>
        </w:tc>
        <w:tc>
          <w:tcPr>
            <w:tcW w:w="850" w:type="dxa"/>
            <w:vAlign w:val="center"/>
          </w:tcPr>
          <w:p w14:paraId="077E8E03">
            <w:pPr>
              <w:snapToGrid w:val="0"/>
              <w:spacing w:before="46" w:beforeLines="15" w:line="360" w:lineRule="auto"/>
              <w:jc w:val="center"/>
              <w:rPr>
                <w:rFonts w:ascii="Arial" w:hAnsi="Arial" w:eastAsia="宋体" w:cs="Arial"/>
                <w:sz w:val="18"/>
                <w:szCs w:val="18"/>
              </w:rPr>
            </w:pPr>
          </w:p>
        </w:tc>
        <w:tc>
          <w:tcPr>
            <w:tcW w:w="567" w:type="dxa"/>
            <w:vAlign w:val="center"/>
          </w:tcPr>
          <w:p w14:paraId="1B9E9B8C">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284" w:type="dxa"/>
            <w:vAlign w:val="center"/>
          </w:tcPr>
          <w:p w14:paraId="4ABD47D3">
            <w:pPr>
              <w:snapToGrid w:val="0"/>
              <w:spacing w:before="46" w:beforeLines="15" w:line="360" w:lineRule="auto"/>
              <w:jc w:val="center"/>
              <w:rPr>
                <w:rFonts w:ascii="宋体" w:hAnsi="宋体" w:eastAsia="宋体" w:cs="宋体"/>
                <w:sz w:val="18"/>
                <w:szCs w:val="18"/>
              </w:rPr>
            </w:pPr>
          </w:p>
        </w:tc>
        <w:tc>
          <w:tcPr>
            <w:tcW w:w="283" w:type="dxa"/>
            <w:vAlign w:val="center"/>
          </w:tcPr>
          <w:p w14:paraId="29033B3B">
            <w:pPr>
              <w:snapToGrid w:val="0"/>
              <w:spacing w:before="46" w:beforeLines="15" w:line="360" w:lineRule="auto"/>
              <w:jc w:val="center"/>
              <w:rPr>
                <w:rFonts w:ascii="宋体" w:hAnsi="宋体" w:eastAsia="宋体" w:cs="宋体"/>
                <w:sz w:val="18"/>
                <w:szCs w:val="18"/>
              </w:rPr>
            </w:pPr>
          </w:p>
        </w:tc>
        <w:tc>
          <w:tcPr>
            <w:tcW w:w="567" w:type="dxa"/>
            <w:vAlign w:val="center"/>
          </w:tcPr>
          <w:p w14:paraId="6284AFBE">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29890743">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7552BD26">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056A3729">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3472669B">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4FC5997E">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87" w:type="dxa"/>
            <w:vAlign w:val="center"/>
          </w:tcPr>
          <w:p w14:paraId="45ABDE69">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r>
      <w:tr w14:paraId="768115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vAlign w:val="center"/>
          </w:tcPr>
          <w:p w14:paraId="0F20FAB6">
            <w:pPr>
              <w:snapToGrid w:val="0"/>
              <w:spacing w:before="46" w:beforeLines="15" w:line="360" w:lineRule="auto"/>
              <w:rPr>
                <w:rFonts w:ascii="Arial" w:hAnsi="Arial" w:eastAsia="宋体" w:cs="Arial"/>
                <w:sz w:val="18"/>
                <w:szCs w:val="18"/>
              </w:rPr>
            </w:pPr>
            <w:bookmarkStart w:id="36" w:name="_Hlk476845717"/>
            <w:r>
              <w:rPr>
                <w:rFonts w:ascii="Arial" w:hAnsi="Arial" w:eastAsia="宋体" w:cs="Arial"/>
                <w:sz w:val="18"/>
                <w:szCs w:val="18"/>
              </w:rPr>
              <w:t>显性折射</w:t>
            </w:r>
          </w:p>
        </w:tc>
        <w:tc>
          <w:tcPr>
            <w:tcW w:w="898" w:type="dxa"/>
            <w:vAlign w:val="center"/>
          </w:tcPr>
          <w:p w14:paraId="49DE2703">
            <w:pPr>
              <w:snapToGrid w:val="0"/>
              <w:spacing w:before="46" w:beforeLines="15" w:line="360" w:lineRule="auto"/>
              <w:jc w:val="center"/>
              <w:rPr>
                <w:rFonts w:ascii="Arial" w:hAnsi="Arial" w:eastAsia="宋体" w:cs="Arial"/>
                <w:sz w:val="18"/>
                <w:szCs w:val="18"/>
              </w:rPr>
            </w:pPr>
            <w:bookmarkStart w:id="37" w:name="OLE_LINK16"/>
            <w:bookmarkStart w:id="38" w:name="OLE_LINK17"/>
            <w:r>
              <w:rPr>
                <w:rFonts w:hint="eastAsia" w:ascii="宋体" w:hAnsi="宋体" w:eastAsia="宋体" w:cs="宋体"/>
                <w:sz w:val="18"/>
                <w:szCs w:val="18"/>
              </w:rPr>
              <w:t>╳</w:t>
            </w:r>
            <w:bookmarkEnd w:id="37"/>
            <w:bookmarkEnd w:id="38"/>
          </w:p>
        </w:tc>
        <w:tc>
          <w:tcPr>
            <w:tcW w:w="567" w:type="dxa"/>
            <w:vAlign w:val="center"/>
          </w:tcPr>
          <w:p w14:paraId="5333D249">
            <w:pPr>
              <w:snapToGrid w:val="0"/>
              <w:spacing w:before="46" w:beforeLines="15" w:line="360" w:lineRule="auto"/>
              <w:jc w:val="center"/>
              <w:rPr>
                <w:rFonts w:ascii="Arial" w:hAnsi="Arial" w:eastAsia="宋体" w:cs="Arial"/>
                <w:sz w:val="18"/>
                <w:szCs w:val="18"/>
              </w:rPr>
            </w:pPr>
          </w:p>
        </w:tc>
        <w:tc>
          <w:tcPr>
            <w:tcW w:w="567" w:type="dxa"/>
            <w:vAlign w:val="center"/>
          </w:tcPr>
          <w:p w14:paraId="7EC6D32F">
            <w:pPr>
              <w:snapToGrid w:val="0"/>
              <w:spacing w:before="46" w:beforeLines="15" w:line="360" w:lineRule="auto"/>
              <w:jc w:val="center"/>
              <w:rPr>
                <w:rFonts w:ascii="Arial" w:hAnsi="Arial" w:eastAsia="宋体" w:cs="Arial"/>
                <w:sz w:val="18"/>
                <w:szCs w:val="18"/>
              </w:rPr>
            </w:pPr>
          </w:p>
        </w:tc>
        <w:tc>
          <w:tcPr>
            <w:tcW w:w="850" w:type="dxa"/>
            <w:vAlign w:val="center"/>
          </w:tcPr>
          <w:p w14:paraId="28B853A7">
            <w:pPr>
              <w:snapToGrid w:val="0"/>
              <w:spacing w:before="46" w:beforeLines="15" w:line="360" w:lineRule="auto"/>
              <w:jc w:val="center"/>
              <w:rPr>
                <w:rFonts w:ascii="Arial" w:hAnsi="Arial" w:eastAsia="宋体" w:cs="Arial"/>
                <w:sz w:val="18"/>
                <w:szCs w:val="18"/>
              </w:rPr>
            </w:pPr>
          </w:p>
        </w:tc>
        <w:tc>
          <w:tcPr>
            <w:tcW w:w="567" w:type="dxa"/>
            <w:vAlign w:val="center"/>
          </w:tcPr>
          <w:p w14:paraId="2377D8A0">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284" w:type="dxa"/>
            <w:vAlign w:val="center"/>
          </w:tcPr>
          <w:p w14:paraId="3EE8F708">
            <w:pPr>
              <w:snapToGrid w:val="0"/>
              <w:spacing w:before="46" w:beforeLines="15" w:line="360" w:lineRule="auto"/>
              <w:jc w:val="center"/>
              <w:rPr>
                <w:rFonts w:ascii="宋体" w:hAnsi="宋体" w:eastAsia="宋体" w:cs="宋体"/>
                <w:sz w:val="18"/>
                <w:szCs w:val="18"/>
              </w:rPr>
            </w:pPr>
          </w:p>
        </w:tc>
        <w:tc>
          <w:tcPr>
            <w:tcW w:w="283" w:type="dxa"/>
            <w:vAlign w:val="center"/>
          </w:tcPr>
          <w:p w14:paraId="57018537">
            <w:pPr>
              <w:snapToGrid w:val="0"/>
              <w:spacing w:before="46" w:beforeLines="15" w:line="360" w:lineRule="auto"/>
              <w:jc w:val="center"/>
              <w:rPr>
                <w:rFonts w:ascii="宋体" w:hAnsi="宋体" w:eastAsia="宋体" w:cs="宋体"/>
                <w:sz w:val="18"/>
                <w:szCs w:val="18"/>
              </w:rPr>
            </w:pPr>
          </w:p>
        </w:tc>
        <w:tc>
          <w:tcPr>
            <w:tcW w:w="567" w:type="dxa"/>
            <w:vAlign w:val="center"/>
          </w:tcPr>
          <w:p w14:paraId="16BE61F5">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0E26A918">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3D1B64C8">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10F3C2FA">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05979665">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22E68265">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87" w:type="dxa"/>
            <w:vAlign w:val="center"/>
          </w:tcPr>
          <w:p w14:paraId="6B0CF80F">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r>
      <w:bookmarkEnd w:id="36"/>
      <w:tr w14:paraId="3A7226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vAlign w:val="center"/>
          </w:tcPr>
          <w:p w14:paraId="49CBA19E">
            <w:pPr>
              <w:snapToGrid w:val="0"/>
              <w:spacing w:before="46" w:beforeLines="15" w:line="360" w:lineRule="auto"/>
              <w:rPr>
                <w:rFonts w:ascii="Arial" w:hAnsi="Arial" w:eastAsia="宋体" w:cs="Arial"/>
                <w:sz w:val="18"/>
                <w:szCs w:val="18"/>
              </w:rPr>
            </w:pPr>
            <w:r>
              <w:rPr>
                <w:rFonts w:hint="eastAsia" w:ascii="Arial" w:hAnsi="Arial" w:eastAsia="宋体" w:cs="Arial"/>
                <w:sz w:val="18"/>
                <w:szCs w:val="18"/>
              </w:rPr>
              <w:t>睫状肌麻痹屈光</w:t>
            </w:r>
          </w:p>
        </w:tc>
        <w:tc>
          <w:tcPr>
            <w:tcW w:w="898" w:type="dxa"/>
            <w:vAlign w:val="center"/>
          </w:tcPr>
          <w:p w14:paraId="472F8377">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1C97A365">
            <w:pPr>
              <w:snapToGrid w:val="0"/>
              <w:spacing w:before="46" w:beforeLines="15" w:line="360" w:lineRule="auto"/>
              <w:jc w:val="center"/>
              <w:rPr>
                <w:rFonts w:ascii="Arial" w:hAnsi="Arial" w:eastAsia="宋体" w:cs="Arial"/>
                <w:sz w:val="18"/>
                <w:szCs w:val="18"/>
              </w:rPr>
            </w:pPr>
          </w:p>
        </w:tc>
        <w:tc>
          <w:tcPr>
            <w:tcW w:w="567" w:type="dxa"/>
            <w:vAlign w:val="center"/>
          </w:tcPr>
          <w:p w14:paraId="5BEFB49B">
            <w:pPr>
              <w:snapToGrid w:val="0"/>
              <w:spacing w:before="46" w:beforeLines="15" w:line="360" w:lineRule="auto"/>
              <w:jc w:val="center"/>
              <w:rPr>
                <w:rFonts w:ascii="Arial" w:hAnsi="Arial" w:eastAsia="宋体" w:cs="Arial"/>
                <w:sz w:val="18"/>
                <w:szCs w:val="18"/>
              </w:rPr>
            </w:pPr>
          </w:p>
        </w:tc>
        <w:tc>
          <w:tcPr>
            <w:tcW w:w="850" w:type="dxa"/>
            <w:vAlign w:val="center"/>
          </w:tcPr>
          <w:p w14:paraId="2650B6A7">
            <w:pPr>
              <w:snapToGrid w:val="0"/>
              <w:spacing w:before="46" w:beforeLines="15" w:line="360" w:lineRule="auto"/>
              <w:jc w:val="center"/>
              <w:rPr>
                <w:rFonts w:ascii="Arial" w:hAnsi="Arial" w:eastAsia="宋体" w:cs="Arial"/>
                <w:sz w:val="18"/>
                <w:szCs w:val="18"/>
              </w:rPr>
            </w:pPr>
          </w:p>
        </w:tc>
        <w:tc>
          <w:tcPr>
            <w:tcW w:w="567" w:type="dxa"/>
            <w:vAlign w:val="center"/>
          </w:tcPr>
          <w:p w14:paraId="34B855E2">
            <w:pPr>
              <w:snapToGrid w:val="0"/>
              <w:spacing w:before="46" w:beforeLines="15" w:line="360" w:lineRule="auto"/>
              <w:jc w:val="center"/>
              <w:rPr>
                <w:rFonts w:ascii="Arial" w:hAnsi="Arial" w:eastAsia="宋体" w:cs="Arial"/>
                <w:sz w:val="18"/>
                <w:szCs w:val="18"/>
              </w:rPr>
            </w:pPr>
          </w:p>
        </w:tc>
        <w:tc>
          <w:tcPr>
            <w:tcW w:w="284" w:type="dxa"/>
            <w:vAlign w:val="center"/>
          </w:tcPr>
          <w:p w14:paraId="3757632E">
            <w:pPr>
              <w:snapToGrid w:val="0"/>
              <w:spacing w:before="46" w:beforeLines="15" w:line="360" w:lineRule="auto"/>
              <w:jc w:val="center"/>
              <w:rPr>
                <w:rFonts w:ascii="Arial" w:hAnsi="Arial" w:eastAsia="宋体" w:cs="Arial"/>
                <w:sz w:val="18"/>
                <w:szCs w:val="18"/>
              </w:rPr>
            </w:pPr>
          </w:p>
        </w:tc>
        <w:tc>
          <w:tcPr>
            <w:tcW w:w="283" w:type="dxa"/>
            <w:vAlign w:val="center"/>
          </w:tcPr>
          <w:p w14:paraId="25D2ED94">
            <w:pPr>
              <w:snapToGrid w:val="0"/>
              <w:spacing w:before="46" w:beforeLines="15" w:line="360" w:lineRule="auto"/>
              <w:jc w:val="center"/>
              <w:rPr>
                <w:rFonts w:ascii="Arial" w:hAnsi="Arial" w:eastAsia="宋体" w:cs="Arial"/>
                <w:sz w:val="18"/>
                <w:szCs w:val="18"/>
              </w:rPr>
            </w:pPr>
          </w:p>
        </w:tc>
        <w:tc>
          <w:tcPr>
            <w:tcW w:w="567" w:type="dxa"/>
            <w:vAlign w:val="center"/>
          </w:tcPr>
          <w:p w14:paraId="3BD3B49B">
            <w:pPr>
              <w:snapToGrid w:val="0"/>
              <w:spacing w:before="46" w:beforeLines="15" w:line="360" w:lineRule="auto"/>
              <w:jc w:val="center"/>
              <w:rPr>
                <w:rFonts w:ascii="Arial" w:hAnsi="Arial" w:eastAsia="宋体" w:cs="Arial"/>
                <w:sz w:val="18"/>
                <w:szCs w:val="18"/>
              </w:rPr>
            </w:pPr>
          </w:p>
        </w:tc>
        <w:tc>
          <w:tcPr>
            <w:tcW w:w="567" w:type="dxa"/>
            <w:vAlign w:val="center"/>
          </w:tcPr>
          <w:p w14:paraId="552BA1FB">
            <w:pPr>
              <w:snapToGrid w:val="0"/>
              <w:spacing w:before="46" w:beforeLines="15" w:line="360" w:lineRule="auto"/>
              <w:jc w:val="center"/>
              <w:rPr>
                <w:rFonts w:ascii="Arial" w:hAnsi="Arial" w:eastAsia="宋体" w:cs="Arial"/>
                <w:sz w:val="18"/>
                <w:szCs w:val="18"/>
              </w:rPr>
            </w:pPr>
          </w:p>
        </w:tc>
        <w:tc>
          <w:tcPr>
            <w:tcW w:w="567" w:type="dxa"/>
            <w:vAlign w:val="center"/>
          </w:tcPr>
          <w:p w14:paraId="12FD34F2">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4554095E">
            <w:pPr>
              <w:snapToGrid w:val="0"/>
              <w:spacing w:before="46" w:beforeLines="15" w:line="360" w:lineRule="auto"/>
              <w:jc w:val="center"/>
              <w:rPr>
                <w:rFonts w:ascii="Arial" w:hAnsi="Arial" w:eastAsia="宋体" w:cs="Arial"/>
                <w:sz w:val="18"/>
                <w:szCs w:val="18"/>
              </w:rPr>
            </w:pPr>
          </w:p>
        </w:tc>
        <w:tc>
          <w:tcPr>
            <w:tcW w:w="567" w:type="dxa"/>
            <w:vAlign w:val="center"/>
          </w:tcPr>
          <w:p w14:paraId="3D7F81A5">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1E34B694">
            <w:pPr>
              <w:snapToGrid w:val="0"/>
              <w:spacing w:before="46" w:beforeLines="15" w:line="360" w:lineRule="auto"/>
              <w:jc w:val="center"/>
              <w:rPr>
                <w:rFonts w:ascii="Arial" w:hAnsi="Arial" w:eastAsia="宋体" w:cs="Arial"/>
                <w:sz w:val="18"/>
                <w:szCs w:val="18"/>
              </w:rPr>
            </w:pPr>
          </w:p>
        </w:tc>
        <w:tc>
          <w:tcPr>
            <w:tcW w:w="587" w:type="dxa"/>
            <w:vAlign w:val="center"/>
          </w:tcPr>
          <w:p w14:paraId="4C202DD5">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r>
      <w:tr w14:paraId="7AB618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vAlign w:val="center"/>
          </w:tcPr>
          <w:p w14:paraId="629BFD33">
            <w:pPr>
              <w:snapToGrid w:val="0"/>
              <w:spacing w:before="46" w:beforeLines="15" w:line="360" w:lineRule="auto"/>
              <w:rPr>
                <w:rFonts w:ascii="Arial" w:hAnsi="Arial" w:eastAsia="宋体" w:cs="Arial"/>
                <w:sz w:val="18"/>
                <w:szCs w:val="18"/>
              </w:rPr>
            </w:pPr>
            <w:r>
              <w:rPr>
                <w:rFonts w:ascii="Arial" w:hAnsi="Arial" w:eastAsia="宋体" w:cs="Arial"/>
                <w:kern w:val="0"/>
                <w:sz w:val="18"/>
                <w:szCs w:val="18"/>
              </w:rPr>
              <w:t>靠近UCVA</w:t>
            </w:r>
          </w:p>
        </w:tc>
        <w:tc>
          <w:tcPr>
            <w:tcW w:w="898" w:type="dxa"/>
            <w:vAlign w:val="center"/>
          </w:tcPr>
          <w:p w14:paraId="66643052">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41882587">
            <w:pPr>
              <w:snapToGrid w:val="0"/>
              <w:spacing w:before="46" w:beforeLines="15" w:line="360" w:lineRule="auto"/>
              <w:jc w:val="center"/>
              <w:rPr>
                <w:rFonts w:ascii="Arial" w:hAnsi="Arial" w:eastAsia="宋体" w:cs="Arial"/>
                <w:sz w:val="18"/>
                <w:szCs w:val="18"/>
              </w:rPr>
            </w:pPr>
          </w:p>
        </w:tc>
        <w:tc>
          <w:tcPr>
            <w:tcW w:w="567" w:type="dxa"/>
            <w:vAlign w:val="center"/>
          </w:tcPr>
          <w:p w14:paraId="2B44BF76">
            <w:pPr>
              <w:snapToGrid w:val="0"/>
              <w:spacing w:before="46" w:beforeLines="15" w:line="360" w:lineRule="auto"/>
              <w:jc w:val="center"/>
              <w:rPr>
                <w:rFonts w:ascii="Arial" w:hAnsi="Arial" w:eastAsia="宋体" w:cs="Arial"/>
                <w:sz w:val="18"/>
                <w:szCs w:val="18"/>
              </w:rPr>
            </w:pPr>
          </w:p>
        </w:tc>
        <w:tc>
          <w:tcPr>
            <w:tcW w:w="850" w:type="dxa"/>
            <w:vAlign w:val="center"/>
          </w:tcPr>
          <w:p w14:paraId="5059A861">
            <w:pPr>
              <w:snapToGrid w:val="0"/>
              <w:spacing w:before="46" w:beforeLines="15" w:line="360" w:lineRule="auto"/>
              <w:jc w:val="center"/>
              <w:rPr>
                <w:rFonts w:ascii="Arial" w:hAnsi="Arial" w:eastAsia="宋体" w:cs="Arial"/>
                <w:sz w:val="18"/>
                <w:szCs w:val="18"/>
              </w:rPr>
            </w:pPr>
          </w:p>
        </w:tc>
        <w:tc>
          <w:tcPr>
            <w:tcW w:w="567" w:type="dxa"/>
            <w:vAlign w:val="center"/>
          </w:tcPr>
          <w:p w14:paraId="78D96702">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284" w:type="dxa"/>
            <w:vAlign w:val="center"/>
          </w:tcPr>
          <w:p w14:paraId="34419BAB">
            <w:pPr>
              <w:snapToGrid w:val="0"/>
              <w:spacing w:before="46" w:beforeLines="15" w:line="360" w:lineRule="auto"/>
              <w:jc w:val="center"/>
              <w:rPr>
                <w:rFonts w:ascii="宋体" w:hAnsi="宋体" w:eastAsia="宋体" w:cs="宋体"/>
                <w:sz w:val="18"/>
                <w:szCs w:val="18"/>
              </w:rPr>
            </w:pPr>
          </w:p>
        </w:tc>
        <w:tc>
          <w:tcPr>
            <w:tcW w:w="283" w:type="dxa"/>
            <w:vAlign w:val="center"/>
          </w:tcPr>
          <w:p w14:paraId="0094E48F">
            <w:pPr>
              <w:snapToGrid w:val="0"/>
              <w:spacing w:before="46" w:beforeLines="15" w:line="360" w:lineRule="auto"/>
              <w:jc w:val="center"/>
              <w:rPr>
                <w:rFonts w:ascii="宋体" w:hAnsi="宋体" w:eastAsia="宋体" w:cs="宋体"/>
                <w:sz w:val="18"/>
                <w:szCs w:val="18"/>
              </w:rPr>
            </w:pPr>
          </w:p>
        </w:tc>
        <w:tc>
          <w:tcPr>
            <w:tcW w:w="567" w:type="dxa"/>
            <w:vAlign w:val="center"/>
          </w:tcPr>
          <w:p w14:paraId="172EE45B">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3D2B372C">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788FD0A9">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68CCB953">
            <w:pPr>
              <w:snapToGrid w:val="0"/>
              <w:spacing w:before="46" w:beforeLines="15" w:line="360" w:lineRule="auto"/>
              <w:jc w:val="center"/>
              <w:rPr>
                <w:rFonts w:ascii="Arial" w:hAnsi="Arial" w:eastAsia="宋体" w:cs="Arial"/>
                <w:sz w:val="18"/>
                <w:szCs w:val="18"/>
              </w:rPr>
            </w:pPr>
          </w:p>
        </w:tc>
        <w:tc>
          <w:tcPr>
            <w:tcW w:w="567" w:type="dxa"/>
            <w:vAlign w:val="center"/>
          </w:tcPr>
          <w:p w14:paraId="1019EDE5">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1D2E4D74">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87" w:type="dxa"/>
            <w:vAlign w:val="center"/>
          </w:tcPr>
          <w:p w14:paraId="2CBDFE24">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r>
      <w:tr w14:paraId="5058DA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vAlign w:val="center"/>
          </w:tcPr>
          <w:p w14:paraId="6A04B15E">
            <w:pPr>
              <w:snapToGrid w:val="0"/>
              <w:spacing w:before="46" w:beforeLines="15" w:line="360" w:lineRule="auto"/>
              <w:rPr>
                <w:rFonts w:ascii="Arial" w:hAnsi="Arial" w:eastAsia="宋体" w:cs="Arial"/>
                <w:sz w:val="18"/>
                <w:szCs w:val="18"/>
              </w:rPr>
            </w:pPr>
            <w:bookmarkStart w:id="39" w:name="_Hlk476845858"/>
            <w:r>
              <w:rPr>
                <w:rFonts w:ascii="Arial" w:hAnsi="Arial" w:eastAsia="宋体" w:cs="Arial"/>
                <w:sz w:val="18"/>
                <w:szCs w:val="18"/>
              </w:rPr>
              <w:t>靠近</w:t>
            </w:r>
            <w:r>
              <w:rPr>
                <w:rFonts w:ascii="Arial" w:hAnsi="Arial" w:eastAsia="宋体" w:cs="Arial"/>
                <w:kern w:val="0"/>
                <w:sz w:val="18"/>
                <w:szCs w:val="18"/>
              </w:rPr>
              <w:t>BSCVA</w:t>
            </w:r>
          </w:p>
        </w:tc>
        <w:tc>
          <w:tcPr>
            <w:tcW w:w="898" w:type="dxa"/>
            <w:vAlign w:val="center"/>
          </w:tcPr>
          <w:p w14:paraId="05FF203C">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37303775">
            <w:pPr>
              <w:snapToGrid w:val="0"/>
              <w:spacing w:before="46" w:beforeLines="15" w:line="360" w:lineRule="auto"/>
              <w:jc w:val="center"/>
              <w:rPr>
                <w:rFonts w:ascii="Arial" w:hAnsi="Arial" w:eastAsia="宋体" w:cs="Arial"/>
                <w:sz w:val="18"/>
                <w:szCs w:val="18"/>
              </w:rPr>
            </w:pPr>
          </w:p>
        </w:tc>
        <w:tc>
          <w:tcPr>
            <w:tcW w:w="567" w:type="dxa"/>
            <w:vAlign w:val="center"/>
          </w:tcPr>
          <w:p w14:paraId="710A0346">
            <w:pPr>
              <w:snapToGrid w:val="0"/>
              <w:spacing w:before="46" w:beforeLines="15" w:line="360" w:lineRule="auto"/>
              <w:jc w:val="center"/>
              <w:rPr>
                <w:rFonts w:ascii="Arial" w:hAnsi="Arial" w:eastAsia="宋体" w:cs="Arial"/>
                <w:sz w:val="18"/>
                <w:szCs w:val="18"/>
              </w:rPr>
            </w:pPr>
          </w:p>
        </w:tc>
        <w:tc>
          <w:tcPr>
            <w:tcW w:w="850" w:type="dxa"/>
            <w:vAlign w:val="center"/>
          </w:tcPr>
          <w:p w14:paraId="27C8E87F">
            <w:pPr>
              <w:snapToGrid w:val="0"/>
              <w:spacing w:before="46" w:beforeLines="15" w:line="360" w:lineRule="auto"/>
              <w:jc w:val="center"/>
              <w:rPr>
                <w:rFonts w:ascii="Arial" w:hAnsi="Arial" w:eastAsia="宋体" w:cs="Arial"/>
                <w:sz w:val="18"/>
                <w:szCs w:val="18"/>
              </w:rPr>
            </w:pPr>
          </w:p>
        </w:tc>
        <w:tc>
          <w:tcPr>
            <w:tcW w:w="567" w:type="dxa"/>
            <w:vAlign w:val="center"/>
          </w:tcPr>
          <w:p w14:paraId="0C8BDD94">
            <w:pPr>
              <w:snapToGrid w:val="0"/>
              <w:spacing w:before="46" w:beforeLines="15" w:line="360" w:lineRule="auto"/>
              <w:jc w:val="center"/>
              <w:rPr>
                <w:rFonts w:ascii="Arial" w:hAnsi="Arial" w:eastAsia="宋体" w:cs="Arial"/>
                <w:sz w:val="18"/>
                <w:szCs w:val="18"/>
              </w:rPr>
            </w:pPr>
          </w:p>
        </w:tc>
        <w:tc>
          <w:tcPr>
            <w:tcW w:w="284" w:type="dxa"/>
            <w:vAlign w:val="center"/>
          </w:tcPr>
          <w:p w14:paraId="6BDBE9E2">
            <w:pPr>
              <w:snapToGrid w:val="0"/>
              <w:spacing w:before="46" w:beforeLines="15" w:line="360" w:lineRule="auto"/>
              <w:jc w:val="center"/>
              <w:rPr>
                <w:rFonts w:ascii="Arial" w:hAnsi="Arial" w:eastAsia="宋体" w:cs="Arial"/>
                <w:sz w:val="18"/>
                <w:szCs w:val="18"/>
              </w:rPr>
            </w:pPr>
          </w:p>
        </w:tc>
        <w:tc>
          <w:tcPr>
            <w:tcW w:w="283" w:type="dxa"/>
            <w:vAlign w:val="center"/>
          </w:tcPr>
          <w:p w14:paraId="67C294D5">
            <w:pPr>
              <w:snapToGrid w:val="0"/>
              <w:spacing w:before="46" w:beforeLines="15" w:line="360" w:lineRule="auto"/>
              <w:jc w:val="center"/>
              <w:rPr>
                <w:rFonts w:ascii="Arial" w:hAnsi="Arial" w:eastAsia="宋体" w:cs="Arial"/>
                <w:sz w:val="18"/>
                <w:szCs w:val="18"/>
              </w:rPr>
            </w:pPr>
          </w:p>
        </w:tc>
        <w:tc>
          <w:tcPr>
            <w:tcW w:w="567" w:type="dxa"/>
            <w:vAlign w:val="center"/>
          </w:tcPr>
          <w:p w14:paraId="527BE60A">
            <w:pPr>
              <w:snapToGrid w:val="0"/>
              <w:spacing w:before="46" w:beforeLines="15" w:line="360" w:lineRule="auto"/>
              <w:jc w:val="center"/>
              <w:rPr>
                <w:rFonts w:ascii="Arial" w:hAnsi="Arial" w:eastAsia="宋体" w:cs="Arial"/>
                <w:sz w:val="18"/>
                <w:szCs w:val="18"/>
              </w:rPr>
            </w:pPr>
          </w:p>
        </w:tc>
        <w:tc>
          <w:tcPr>
            <w:tcW w:w="567" w:type="dxa"/>
            <w:vAlign w:val="center"/>
          </w:tcPr>
          <w:p w14:paraId="36FFDD63">
            <w:pPr>
              <w:snapToGrid w:val="0"/>
              <w:spacing w:before="46" w:beforeLines="15" w:line="360" w:lineRule="auto"/>
              <w:jc w:val="center"/>
              <w:rPr>
                <w:rFonts w:ascii="Arial" w:hAnsi="Arial" w:eastAsia="宋体" w:cs="Arial"/>
                <w:sz w:val="18"/>
                <w:szCs w:val="18"/>
              </w:rPr>
            </w:pPr>
          </w:p>
        </w:tc>
        <w:tc>
          <w:tcPr>
            <w:tcW w:w="567" w:type="dxa"/>
            <w:vAlign w:val="center"/>
          </w:tcPr>
          <w:p w14:paraId="2914E5D2">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5BD2A5EB">
            <w:pPr>
              <w:snapToGrid w:val="0"/>
              <w:spacing w:before="46" w:beforeLines="15" w:line="360" w:lineRule="auto"/>
              <w:jc w:val="center"/>
              <w:rPr>
                <w:rFonts w:ascii="Arial" w:hAnsi="Arial" w:eastAsia="宋体" w:cs="Arial"/>
                <w:sz w:val="18"/>
                <w:szCs w:val="18"/>
              </w:rPr>
            </w:pPr>
          </w:p>
        </w:tc>
        <w:tc>
          <w:tcPr>
            <w:tcW w:w="567" w:type="dxa"/>
            <w:vAlign w:val="center"/>
          </w:tcPr>
          <w:p w14:paraId="6E56F211">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3F842F59">
            <w:pPr>
              <w:snapToGrid w:val="0"/>
              <w:spacing w:before="46" w:beforeLines="15" w:line="360" w:lineRule="auto"/>
              <w:jc w:val="center"/>
              <w:rPr>
                <w:rFonts w:ascii="Arial" w:hAnsi="Arial" w:eastAsia="宋体" w:cs="Arial"/>
                <w:sz w:val="18"/>
                <w:szCs w:val="18"/>
              </w:rPr>
            </w:pPr>
          </w:p>
        </w:tc>
        <w:tc>
          <w:tcPr>
            <w:tcW w:w="587" w:type="dxa"/>
            <w:vAlign w:val="center"/>
          </w:tcPr>
          <w:p w14:paraId="2A27B99E">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r>
      <w:bookmarkEnd w:id="39"/>
      <w:tr w14:paraId="19D8E5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vAlign w:val="center"/>
          </w:tcPr>
          <w:p w14:paraId="04B22075">
            <w:pPr>
              <w:snapToGrid w:val="0"/>
              <w:spacing w:before="46" w:beforeLines="15" w:line="360" w:lineRule="auto"/>
              <w:rPr>
                <w:rFonts w:ascii="Arial" w:hAnsi="Arial" w:eastAsia="宋体" w:cs="Arial"/>
                <w:sz w:val="18"/>
                <w:szCs w:val="18"/>
              </w:rPr>
            </w:pPr>
            <w:bookmarkStart w:id="40" w:name="_Hlk476846011"/>
            <w:r>
              <w:rPr>
                <w:rFonts w:ascii="Arial" w:hAnsi="Arial" w:eastAsia="宋体" w:cs="Arial"/>
                <w:sz w:val="18"/>
                <w:szCs w:val="18"/>
              </w:rPr>
              <w:t>IOP</w:t>
            </w:r>
          </w:p>
        </w:tc>
        <w:tc>
          <w:tcPr>
            <w:tcW w:w="898" w:type="dxa"/>
            <w:vAlign w:val="center"/>
          </w:tcPr>
          <w:p w14:paraId="2A00F9B0">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0FE5F60F">
            <w:pPr>
              <w:snapToGrid w:val="0"/>
              <w:spacing w:before="46" w:beforeLines="15" w:line="360" w:lineRule="auto"/>
              <w:jc w:val="center"/>
              <w:rPr>
                <w:rFonts w:ascii="Arial" w:hAnsi="Arial" w:eastAsia="宋体" w:cs="Arial"/>
                <w:sz w:val="18"/>
                <w:szCs w:val="18"/>
              </w:rPr>
            </w:pPr>
          </w:p>
        </w:tc>
        <w:tc>
          <w:tcPr>
            <w:tcW w:w="567" w:type="dxa"/>
            <w:vAlign w:val="center"/>
          </w:tcPr>
          <w:p w14:paraId="1DA9B6E7">
            <w:pPr>
              <w:snapToGrid w:val="0"/>
              <w:spacing w:before="46" w:beforeLines="15" w:line="360" w:lineRule="auto"/>
              <w:jc w:val="center"/>
              <w:rPr>
                <w:rFonts w:ascii="Arial" w:hAnsi="Arial" w:eastAsia="宋体" w:cs="Arial"/>
                <w:sz w:val="18"/>
                <w:szCs w:val="18"/>
              </w:rPr>
            </w:pPr>
          </w:p>
        </w:tc>
        <w:tc>
          <w:tcPr>
            <w:tcW w:w="850" w:type="dxa"/>
            <w:vAlign w:val="center"/>
          </w:tcPr>
          <w:p w14:paraId="0C4E588B">
            <w:pPr>
              <w:snapToGrid w:val="0"/>
              <w:spacing w:before="46" w:beforeLines="15" w:line="360" w:lineRule="auto"/>
              <w:jc w:val="center"/>
              <w:rPr>
                <w:rFonts w:ascii="Arial" w:hAnsi="Arial" w:eastAsia="宋体" w:cs="Arial"/>
                <w:sz w:val="18"/>
                <w:szCs w:val="18"/>
              </w:rPr>
            </w:pPr>
          </w:p>
        </w:tc>
        <w:tc>
          <w:tcPr>
            <w:tcW w:w="567" w:type="dxa"/>
            <w:vAlign w:val="center"/>
          </w:tcPr>
          <w:p w14:paraId="3FFFF587">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284" w:type="dxa"/>
            <w:vAlign w:val="center"/>
          </w:tcPr>
          <w:p w14:paraId="04AE370A">
            <w:pPr>
              <w:snapToGrid w:val="0"/>
              <w:spacing w:before="46" w:beforeLines="15" w:line="360" w:lineRule="auto"/>
              <w:jc w:val="center"/>
              <w:rPr>
                <w:rFonts w:ascii="宋体" w:hAnsi="宋体" w:eastAsia="宋体" w:cs="宋体"/>
                <w:sz w:val="18"/>
                <w:szCs w:val="18"/>
              </w:rPr>
            </w:pPr>
          </w:p>
        </w:tc>
        <w:tc>
          <w:tcPr>
            <w:tcW w:w="283" w:type="dxa"/>
            <w:vAlign w:val="center"/>
          </w:tcPr>
          <w:p w14:paraId="7A7168C7">
            <w:pPr>
              <w:snapToGrid w:val="0"/>
              <w:spacing w:before="46" w:beforeLines="15" w:line="360" w:lineRule="auto"/>
              <w:jc w:val="center"/>
              <w:rPr>
                <w:rFonts w:ascii="宋体" w:hAnsi="宋体" w:eastAsia="宋体" w:cs="宋体"/>
                <w:sz w:val="18"/>
                <w:szCs w:val="18"/>
              </w:rPr>
            </w:pPr>
          </w:p>
        </w:tc>
        <w:tc>
          <w:tcPr>
            <w:tcW w:w="567" w:type="dxa"/>
            <w:vAlign w:val="center"/>
          </w:tcPr>
          <w:p w14:paraId="7E5576F9">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7DC49888">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15C1C171">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768368E2">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7C3EE4AA">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4D90FDE8">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87" w:type="dxa"/>
            <w:vAlign w:val="center"/>
          </w:tcPr>
          <w:p w14:paraId="28676827">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r>
      <w:bookmarkEnd w:id="40"/>
      <w:tr w14:paraId="7ACE04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vAlign w:val="center"/>
          </w:tcPr>
          <w:p w14:paraId="53164F22">
            <w:pPr>
              <w:snapToGrid w:val="0"/>
              <w:spacing w:before="46" w:beforeLines="15" w:line="360" w:lineRule="auto"/>
              <w:rPr>
                <w:rFonts w:ascii="Arial" w:hAnsi="Arial" w:eastAsia="宋体" w:cs="Arial"/>
                <w:sz w:val="18"/>
                <w:szCs w:val="18"/>
              </w:rPr>
            </w:pPr>
            <w:r>
              <w:rPr>
                <w:rFonts w:hint="eastAsia" w:ascii="Arial" w:hAnsi="Arial" w:eastAsia="宋体" w:cs="Arial"/>
                <w:sz w:val="18"/>
                <w:szCs w:val="18"/>
              </w:rPr>
              <w:t>裂隙灯检查</w:t>
            </w:r>
            <w:r>
              <w:rPr>
                <w:rFonts w:ascii="Arial" w:hAnsi="Arial" w:eastAsia="宋体" w:cs="Arial"/>
                <w:sz w:val="18"/>
                <w:szCs w:val="18"/>
                <w:vertAlign w:val="superscript"/>
              </w:rPr>
              <w:t>2</w:t>
            </w:r>
          </w:p>
        </w:tc>
        <w:tc>
          <w:tcPr>
            <w:tcW w:w="898" w:type="dxa"/>
            <w:vAlign w:val="center"/>
          </w:tcPr>
          <w:p w14:paraId="53C255AA">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7CD47A37">
            <w:pPr>
              <w:snapToGrid w:val="0"/>
              <w:spacing w:before="46" w:beforeLines="15" w:line="360" w:lineRule="auto"/>
              <w:jc w:val="center"/>
              <w:rPr>
                <w:rFonts w:ascii="Arial" w:hAnsi="Arial" w:eastAsia="宋体" w:cs="Arial"/>
                <w:sz w:val="18"/>
                <w:szCs w:val="18"/>
              </w:rPr>
            </w:pPr>
          </w:p>
        </w:tc>
        <w:tc>
          <w:tcPr>
            <w:tcW w:w="567" w:type="dxa"/>
            <w:vAlign w:val="center"/>
          </w:tcPr>
          <w:p w14:paraId="2AB55A20">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850" w:type="dxa"/>
            <w:vAlign w:val="center"/>
          </w:tcPr>
          <w:p w14:paraId="56B7644F">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39358299">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284" w:type="dxa"/>
            <w:vAlign w:val="center"/>
          </w:tcPr>
          <w:p w14:paraId="4BAFD7E8">
            <w:pPr>
              <w:snapToGrid w:val="0"/>
              <w:spacing w:before="46" w:beforeLines="15" w:line="360" w:lineRule="auto"/>
              <w:jc w:val="center"/>
              <w:rPr>
                <w:rFonts w:ascii="宋体" w:hAnsi="宋体" w:eastAsia="宋体" w:cs="宋体"/>
                <w:sz w:val="18"/>
                <w:szCs w:val="18"/>
              </w:rPr>
            </w:pPr>
          </w:p>
        </w:tc>
        <w:tc>
          <w:tcPr>
            <w:tcW w:w="283" w:type="dxa"/>
            <w:vAlign w:val="center"/>
          </w:tcPr>
          <w:p w14:paraId="3D969A85">
            <w:pPr>
              <w:snapToGrid w:val="0"/>
              <w:spacing w:before="46" w:beforeLines="15" w:line="360" w:lineRule="auto"/>
              <w:jc w:val="center"/>
              <w:rPr>
                <w:rFonts w:ascii="宋体" w:hAnsi="宋体" w:eastAsia="宋体" w:cs="宋体"/>
                <w:sz w:val="18"/>
                <w:szCs w:val="18"/>
              </w:rPr>
            </w:pPr>
          </w:p>
        </w:tc>
        <w:tc>
          <w:tcPr>
            <w:tcW w:w="567" w:type="dxa"/>
            <w:vAlign w:val="center"/>
          </w:tcPr>
          <w:p w14:paraId="7C0EAEE9">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51927CD4">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5DDDA958">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31FDD989">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6CDE8A9F">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67EC0E56">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87" w:type="dxa"/>
            <w:vAlign w:val="center"/>
          </w:tcPr>
          <w:p w14:paraId="5D000B53">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r>
      <w:tr w14:paraId="7F7D60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vAlign w:val="center"/>
          </w:tcPr>
          <w:p w14:paraId="0FF21262">
            <w:pPr>
              <w:snapToGrid w:val="0"/>
              <w:spacing w:before="46" w:beforeLines="15" w:line="360" w:lineRule="auto"/>
              <w:rPr>
                <w:rFonts w:ascii="Arial" w:hAnsi="Arial" w:eastAsia="宋体" w:cs="Arial"/>
                <w:sz w:val="18"/>
                <w:szCs w:val="18"/>
              </w:rPr>
            </w:pPr>
            <w:r>
              <w:rPr>
                <w:rFonts w:hint="eastAsia" w:ascii="Arial" w:hAnsi="Arial" w:eastAsia="宋体" w:cs="Arial"/>
                <w:sz w:val="18"/>
                <w:szCs w:val="18"/>
              </w:rPr>
              <w:t>瞳孔大小</w:t>
            </w:r>
            <w:r>
              <w:rPr>
                <w:rFonts w:ascii="Arial" w:hAnsi="Arial" w:eastAsia="宋体" w:cs="Arial"/>
                <w:sz w:val="18"/>
                <w:szCs w:val="18"/>
                <w:vertAlign w:val="superscript"/>
              </w:rPr>
              <w:t>3</w:t>
            </w:r>
          </w:p>
        </w:tc>
        <w:tc>
          <w:tcPr>
            <w:tcW w:w="898" w:type="dxa"/>
            <w:vAlign w:val="center"/>
          </w:tcPr>
          <w:p w14:paraId="4C1E7DBC">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3456D74B">
            <w:pPr>
              <w:snapToGrid w:val="0"/>
              <w:spacing w:before="46" w:beforeLines="15" w:line="360" w:lineRule="auto"/>
              <w:jc w:val="center"/>
              <w:rPr>
                <w:rFonts w:ascii="Arial" w:hAnsi="Arial" w:eastAsia="宋体" w:cs="Arial"/>
                <w:sz w:val="18"/>
                <w:szCs w:val="18"/>
              </w:rPr>
            </w:pPr>
          </w:p>
        </w:tc>
        <w:tc>
          <w:tcPr>
            <w:tcW w:w="567" w:type="dxa"/>
            <w:vAlign w:val="center"/>
          </w:tcPr>
          <w:p w14:paraId="7C2BD8B4">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850" w:type="dxa"/>
            <w:vAlign w:val="center"/>
          </w:tcPr>
          <w:p w14:paraId="54DC026C">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37C9858D">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284" w:type="dxa"/>
            <w:vAlign w:val="center"/>
          </w:tcPr>
          <w:p w14:paraId="7BE51232">
            <w:pPr>
              <w:snapToGrid w:val="0"/>
              <w:spacing w:before="46" w:beforeLines="15" w:line="360" w:lineRule="auto"/>
              <w:jc w:val="center"/>
              <w:rPr>
                <w:rFonts w:ascii="宋体" w:hAnsi="宋体" w:eastAsia="宋体" w:cs="宋体"/>
                <w:sz w:val="18"/>
                <w:szCs w:val="18"/>
              </w:rPr>
            </w:pPr>
          </w:p>
        </w:tc>
        <w:tc>
          <w:tcPr>
            <w:tcW w:w="283" w:type="dxa"/>
            <w:vAlign w:val="center"/>
          </w:tcPr>
          <w:p w14:paraId="062554C5">
            <w:pPr>
              <w:snapToGrid w:val="0"/>
              <w:spacing w:before="46" w:beforeLines="15" w:line="360" w:lineRule="auto"/>
              <w:jc w:val="center"/>
              <w:rPr>
                <w:rFonts w:ascii="宋体" w:hAnsi="宋体" w:eastAsia="宋体" w:cs="宋体"/>
                <w:sz w:val="18"/>
                <w:szCs w:val="18"/>
              </w:rPr>
            </w:pPr>
          </w:p>
        </w:tc>
        <w:tc>
          <w:tcPr>
            <w:tcW w:w="567" w:type="dxa"/>
            <w:vAlign w:val="center"/>
          </w:tcPr>
          <w:p w14:paraId="15A32E93">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6C4E2F08">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4C4EC8D3">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110733C7">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1C379F99">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42FB7360">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87" w:type="dxa"/>
            <w:vAlign w:val="center"/>
          </w:tcPr>
          <w:p w14:paraId="2424F87B">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r>
      <w:tr w14:paraId="7F3AC1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vAlign w:val="center"/>
          </w:tcPr>
          <w:p w14:paraId="68CF0747">
            <w:pPr>
              <w:snapToGrid w:val="0"/>
              <w:spacing w:before="46" w:beforeLines="15" w:line="360" w:lineRule="auto"/>
              <w:rPr>
                <w:rFonts w:ascii="Arial" w:hAnsi="Arial" w:eastAsia="宋体" w:cs="Arial"/>
                <w:sz w:val="18"/>
                <w:szCs w:val="18"/>
              </w:rPr>
            </w:pPr>
            <w:r>
              <w:rPr>
                <w:rFonts w:hint="eastAsia" w:ascii="Arial" w:hAnsi="Arial" w:eastAsia="宋体" w:cs="Arial"/>
                <w:sz w:val="18"/>
                <w:szCs w:val="18"/>
              </w:rPr>
              <w:t>扩张基底检查</w:t>
            </w:r>
          </w:p>
        </w:tc>
        <w:tc>
          <w:tcPr>
            <w:tcW w:w="898" w:type="dxa"/>
            <w:vAlign w:val="center"/>
          </w:tcPr>
          <w:p w14:paraId="0EE118F3">
            <w:pPr>
              <w:snapToGrid w:val="0"/>
              <w:spacing w:before="46" w:beforeLines="15" w:line="360" w:lineRule="auto"/>
              <w:jc w:val="center"/>
              <w:rPr>
                <w:rFonts w:ascii="Arial" w:hAnsi="Arial" w:eastAsia="宋体" w:cs="Arial"/>
                <w:sz w:val="18"/>
                <w:szCs w:val="18"/>
              </w:rPr>
            </w:pPr>
            <w:bookmarkStart w:id="41" w:name="OLE_LINK23"/>
            <w:bookmarkStart w:id="42" w:name="OLE_LINK22"/>
            <w:r>
              <w:rPr>
                <w:rFonts w:hint="eastAsia" w:ascii="宋体" w:hAnsi="宋体" w:eastAsia="宋体" w:cs="宋体"/>
                <w:sz w:val="18"/>
                <w:szCs w:val="18"/>
              </w:rPr>
              <w:t>╳</w:t>
            </w:r>
            <w:bookmarkEnd w:id="41"/>
            <w:bookmarkEnd w:id="42"/>
          </w:p>
        </w:tc>
        <w:tc>
          <w:tcPr>
            <w:tcW w:w="567" w:type="dxa"/>
            <w:vAlign w:val="center"/>
          </w:tcPr>
          <w:p w14:paraId="2C5489FC">
            <w:pPr>
              <w:snapToGrid w:val="0"/>
              <w:spacing w:before="46" w:beforeLines="15" w:line="360" w:lineRule="auto"/>
              <w:jc w:val="center"/>
              <w:rPr>
                <w:rFonts w:ascii="Arial" w:hAnsi="Arial" w:eastAsia="宋体" w:cs="Arial"/>
                <w:sz w:val="18"/>
                <w:szCs w:val="18"/>
              </w:rPr>
            </w:pPr>
          </w:p>
        </w:tc>
        <w:tc>
          <w:tcPr>
            <w:tcW w:w="567" w:type="dxa"/>
            <w:vAlign w:val="center"/>
          </w:tcPr>
          <w:p w14:paraId="67AF1893">
            <w:pPr>
              <w:snapToGrid w:val="0"/>
              <w:spacing w:before="46" w:beforeLines="15" w:line="360" w:lineRule="auto"/>
              <w:jc w:val="center"/>
              <w:rPr>
                <w:rFonts w:ascii="Arial" w:hAnsi="Arial" w:eastAsia="宋体" w:cs="Arial"/>
                <w:sz w:val="18"/>
                <w:szCs w:val="18"/>
              </w:rPr>
            </w:pPr>
          </w:p>
        </w:tc>
        <w:tc>
          <w:tcPr>
            <w:tcW w:w="850" w:type="dxa"/>
            <w:vAlign w:val="center"/>
          </w:tcPr>
          <w:p w14:paraId="1C110E81">
            <w:pPr>
              <w:snapToGrid w:val="0"/>
              <w:spacing w:before="46" w:beforeLines="15" w:line="360" w:lineRule="auto"/>
              <w:jc w:val="center"/>
              <w:rPr>
                <w:rFonts w:ascii="Arial" w:hAnsi="Arial" w:eastAsia="宋体" w:cs="Arial"/>
                <w:sz w:val="18"/>
                <w:szCs w:val="18"/>
              </w:rPr>
            </w:pPr>
          </w:p>
        </w:tc>
        <w:tc>
          <w:tcPr>
            <w:tcW w:w="567" w:type="dxa"/>
            <w:vAlign w:val="center"/>
          </w:tcPr>
          <w:p w14:paraId="2423B155">
            <w:pPr>
              <w:snapToGrid w:val="0"/>
              <w:spacing w:before="46" w:beforeLines="15" w:line="360" w:lineRule="auto"/>
              <w:jc w:val="center"/>
              <w:rPr>
                <w:rFonts w:ascii="Arial" w:hAnsi="Arial" w:eastAsia="宋体" w:cs="Arial"/>
                <w:sz w:val="18"/>
                <w:szCs w:val="18"/>
              </w:rPr>
            </w:pPr>
          </w:p>
        </w:tc>
        <w:tc>
          <w:tcPr>
            <w:tcW w:w="284" w:type="dxa"/>
            <w:vAlign w:val="center"/>
          </w:tcPr>
          <w:p w14:paraId="39DC86B6">
            <w:pPr>
              <w:snapToGrid w:val="0"/>
              <w:spacing w:before="46" w:beforeLines="15" w:line="360" w:lineRule="auto"/>
              <w:jc w:val="center"/>
              <w:rPr>
                <w:rFonts w:ascii="Arial" w:hAnsi="Arial" w:eastAsia="宋体" w:cs="Arial"/>
                <w:sz w:val="18"/>
                <w:szCs w:val="18"/>
              </w:rPr>
            </w:pPr>
          </w:p>
        </w:tc>
        <w:tc>
          <w:tcPr>
            <w:tcW w:w="283" w:type="dxa"/>
            <w:vAlign w:val="center"/>
          </w:tcPr>
          <w:p w14:paraId="7CE4390C">
            <w:pPr>
              <w:snapToGrid w:val="0"/>
              <w:spacing w:before="46" w:beforeLines="15" w:line="360" w:lineRule="auto"/>
              <w:jc w:val="center"/>
              <w:rPr>
                <w:rFonts w:ascii="Arial" w:hAnsi="Arial" w:eastAsia="宋体" w:cs="Arial"/>
                <w:sz w:val="18"/>
                <w:szCs w:val="18"/>
              </w:rPr>
            </w:pPr>
          </w:p>
        </w:tc>
        <w:tc>
          <w:tcPr>
            <w:tcW w:w="567" w:type="dxa"/>
            <w:vAlign w:val="center"/>
          </w:tcPr>
          <w:p w14:paraId="0C997BDF">
            <w:pPr>
              <w:snapToGrid w:val="0"/>
              <w:spacing w:before="46" w:beforeLines="15" w:line="360" w:lineRule="auto"/>
              <w:jc w:val="center"/>
              <w:rPr>
                <w:rFonts w:ascii="Arial" w:hAnsi="Arial" w:eastAsia="宋体" w:cs="Arial"/>
                <w:sz w:val="18"/>
                <w:szCs w:val="18"/>
              </w:rPr>
            </w:pPr>
          </w:p>
        </w:tc>
        <w:tc>
          <w:tcPr>
            <w:tcW w:w="567" w:type="dxa"/>
            <w:vAlign w:val="center"/>
          </w:tcPr>
          <w:p w14:paraId="749BE5DD">
            <w:pPr>
              <w:snapToGrid w:val="0"/>
              <w:spacing w:before="46" w:beforeLines="15" w:line="360" w:lineRule="auto"/>
              <w:jc w:val="center"/>
              <w:rPr>
                <w:rFonts w:ascii="Arial" w:hAnsi="Arial" w:eastAsia="宋体" w:cs="Arial"/>
                <w:sz w:val="18"/>
                <w:szCs w:val="18"/>
              </w:rPr>
            </w:pPr>
          </w:p>
        </w:tc>
        <w:tc>
          <w:tcPr>
            <w:tcW w:w="567" w:type="dxa"/>
            <w:vAlign w:val="center"/>
          </w:tcPr>
          <w:p w14:paraId="41919E41">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68E60A04">
            <w:pPr>
              <w:snapToGrid w:val="0"/>
              <w:spacing w:before="46" w:beforeLines="15" w:line="360" w:lineRule="auto"/>
              <w:jc w:val="center"/>
              <w:rPr>
                <w:rFonts w:ascii="Arial" w:hAnsi="Arial" w:eastAsia="宋体" w:cs="Arial"/>
                <w:sz w:val="18"/>
                <w:szCs w:val="18"/>
              </w:rPr>
            </w:pPr>
          </w:p>
        </w:tc>
        <w:tc>
          <w:tcPr>
            <w:tcW w:w="567" w:type="dxa"/>
            <w:vAlign w:val="center"/>
          </w:tcPr>
          <w:p w14:paraId="4A81D6FC">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1A17288D">
            <w:pPr>
              <w:snapToGrid w:val="0"/>
              <w:spacing w:before="46" w:beforeLines="15" w:line="360" w:lineRule="auto"/>
              <w:jc w:val="center"/>
              <w:rPr>
                <w:rFonts w:ascii="Arial" w:hAnsi="Arial" w:eastAsia="宋体" w:cs="Arial"/>
                <w:sz w:val="18"/>
                <w:szCs w:val="18"/>
              </w:rPr>
            </w:pPr>
          </w:p>
        </w:tc>
        <w:tc>
          <w:tcPr>
            <w:tcW w:w="587" w:type="dxa"/>
            <w:vAlign w:val="center"/>
          </w:tcPr>
          <w:p w14:paraId="51E64EE0">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r>
      <w:tr w14:paraId="5D6660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vAlign w:val="center"/>
          </w:tcPr>
          <w:p w14:paraId="5914CAF4">
            <w:pPr>
              <w:snapToGrid w:val="0"/>
              <w:spacing w:before="46" w:beforeLines="15" w:line="360" w:lineRule="auto"/>
              <w:rPr>
                <w:rFonts w:ascii="Arial" w:hAnsi="Arial" w:eastAsia="宋体" w:cs="Arial"/>
                <w:sz w:val="18"/>
                <w:szCs w:val="18"/>
              </w:rPr>
            </w:pPr>
            <w:r>
              <w:rPr>
                <w:rFonts w:hint="eastAsia" w:ascii="Arial" w:hAnsi="Arial" w:eastAsia="宋体" w:cs="Arial"/>
                <w:sz w:val="18"/>
                <w:szCs w:val="18"/>
              </w:rPr>
              <w:t>角膜厚度，角膜曲率，轴向长度</w:t>
            </w:r>
            <w:r>
              <w:rPr>
                <w:rFonts w:ascii="Arial" w:hAnsi="Arial" w:eastAsia="宋体" w:cs="Arial"/>
                <w:sz w:val="18"/>
                <w:szCs w:val="18"/>
                <w:vertAlign w:val="superscript"/>
              </w:rPr>
              <w:t>4</w:t>
            </w:r>
          </w:p>
        </w:tc>
        <w:tc>
          <w:tcPr>
            <w:tcW w:w="898" w:type="dxa"/>
            <w:vAlign w:val="center"/>
          </w:tcPr>
          <w:p w14:paraId="513E0626">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24072E2E">
            <w:pPr>
              <w:snapToGrid w:val="0"/>
              <w:spacing w:before="46" w:beforeLines="15" w:line="360" w:lineRule="auto"/>
              <w:jc w:val="center"/>
              <w:rPr>
                <w:rFonts w:ascii="Arial" w:hAnsi="Arial" w:eastAsia="宋体" w:cs="Arial"/>
                <w:sz w:val="18"/>
                <w:szCs w:val="18"/>
              </w:rPr>
            </w:pPr>
          </w:p>
        </w:tc>
        <w:tc>
          <w:tcPr>
            <w:tcW w:w="567" w:type="dxa"/>
            <w:vAlign w:val="center"/>
          </w:tcPr>
          <w:p w14:paraId="74F0DB28">
            <w:pPr>
              <w:snapToGrid w:val="0"/>
              <w:spacing w:before="46" w:beforeLines="15" w:line="360" w:lineRule="auto"/>
              <w:jc w:val="center"/>
              <w:rPr>
                <w:rFonts w:ascii="Arial" w:hAnsi="Arial" w:eastAsia="宋体" w:cs="Arial"/>
                <w:sz w:val="18"/>
                <w:szCs w:val="18"/>
              </w:rPr>
            </w:pPr>
          </w:p>
        </w:tc>
        <w:tc>
          <w:tcPr>
            <w:tcW w:w="850" w:type="dxa"/>
            <w:vAlign w:val="center"/>
          </w:tcPr>
          <w:p w14:paraId="73408E14">
            <w:pPr>
              <w:snapToGrid w:val="0"/>
              <w:spacing w:before="46" w:beforeLines="15" w:line="360" w:lineRule="auto"/>
              <w:jc w:val="center"/>
              <w:rPr>
                <w:rFonts w:ascii="Arial" w:hAnsi="Arial" w:eastAsia="宋体" w:cs="Arial"/>
                <w:sz w:val="18"/>
                <w:szCs w:val="18"/>
              </w:rPr>
            </w:pPr>
          </w:p>
        </w:tc>
        <w:tc>
          <w:tcPr>
            <w:tcW w:w="567" w:type="dxa"/>
            <w:vAlign w:val="center"/>
          </w:tcPr>
          <w:p w14:paraId="3826A533">
            <w:pPr>
              <w:snapToGrid w:val="0"/>
              <w:spacing w:before="46" w:beforeLines="15" w:line="360" w:lineRule="auto"/>
              <w:jc w:val="center"/>
              <w:rPr>
                <w:rFonts w:ascii="Arial" w:hAnsi="Arial" w:eastAsia="宋体" w:cs="Arial"/>
                <w:sz w:val="18"/>
                <w:szCs w:val="18"/>
              </w:rPr>
            </w:pPr>
          </w:p>
        </w:tc>
        <w:tc>
          <w:tcPr>
            <w:tcW w:w="284" w:type="dxa"/>
            <w:vAlign w:val="center"/>
          </w:tcPr>
          <w:p w14:paraId="0BFB3CAA">
            <w:pPr>
              <w:snapToGrid w:val="0"/>
              <w:spacing w:before="46" w:beforeLines="15" w:line="360" w:lineRule="auto"/>
              <w:jc w:val="center"/>
              <w:rPr>
                <w:rFonts w:ascii="Arial" w:hAnsi="Arial" w:eastAsia="宋体" w:cs="Arial"/>
                <w:sz w:val="18"/>
                <w:szCs w:val="18"/>
              </w:rPr>
            </w:pPr>
          </w:p>
        </w:tc>
        <w:tc>
          <w:tcPr>
            <w:tcW w:w="283" w:type="dxa"/>
            <w:vAlign w:val="center"/>
          </w:tcPr>
          <w:p w14:paraId="6BCD3179">
            <w:pPr>
              <w:snapToGrid w:val="0"/>
              <w:spacing w:before="46" w:beforeLines="15" w:line="360" w:lineRule="auto"/>
              <w:jc w:val="center"/>
              <w:rPr>
                <w:rFonts w:ascii="Arial" w:hAnsi="Arial" w:eastAsia="宋体" w:cs="Arial"/>
                <w:sz w:val="18"/>
                <w:szCs w:val="18"/>
              </w:rPr>
            </w:pPr>
          </w:p>
        </w:tc>
        <w:tc>
          <w:tcPr>
            <w:tcW w:w="567" w:type="dxa"/>
            <w:vAlign w:val="center"/>
          </w:tcPr>
          <w:p w14:paraId="4B1C5BAF">
            <w:pPr>
              <w:snapToGrid w:val="0"/>
              <w:spacing w:before="46" w:beforeLines="15" w:line="360" w:lineRule="auto"/>
              <w:jc w:val="center"/>
              <w:rPr>
                <w:rFonts w:ascii="Arial" w:hAnsi="Arial" w:eastAsia="宋体" w:cs="Arial"/>
                <w:sz w:val="18"/>
                <w:szCs w:val="18"/>
              </w:rPr>
            </w:pPr>
          </w:p>
        </w:tc>
        <w:tc>
          <w:tcPr>
            <w:tcW w:w="567" w:type="dxa"/>
            <w:vAlign w:val="center"/>
          </w:tcPr>
          <w:p w14:paraId="11D00E32">
            <w:pPr>
              <w:snapToGrid w:val="0"/>
              <w:spacing w:before="46" w:beforeLines="15" w:line="360" w:lineRule="auto"/>
              <w:jc w:val="center"/>
              <w:rPr>
                <w:rFonts w:ascii="Arial" w:hAnsi="Arial" w:eastAsia="宋体" w:cs="Arial"/>
                <w:sz w:val="18"/>
                <w:szCs w:val="18"/>
              </w:rPr>
            </w:pPr>
          </w:p>
        </w:tc>
        <w:tc>
          <w:tcPr>
            <w:tcW w:w="567" w:type="dxa"/>
            <w:vAlign w:val="center"/>
          </w:tcPr>
          <w:p w14:paraId="73DACFC1">
            <w:pPr>
              <w:snapToGrid w:val="0"/>
              <w:spacing w:before="46" w:beforeLines="15" w:line="360" w:lineRule="auto"/>
              <w:jc w:val="center"/>
              <w:rPr>
                <w:rFonts w:ascii="Arial" w:hAnsi="Arial" w:eastAsia="宋体" w:cs="Arial"/>
                <w:sz w:val="18"/>
                <w:szCs w:val="18"/>
              </w:rPr>
            </w:pPr>
          </w:p>
        </w:tc>
        <w:tc>
          <w:tcPr>
            <w:tcW w:w="567" w:type="dxa"/>
            <w:vAlign w:val="center"/>
          </w:tcPr>
          <w:p w14:paraId="65EF7AFD">
            <w:pPr>
              <w:snapToGrid w:val="0"/>
              <w:spacing w:before="46" w:beforeLines="15" w:line="360" w:lineRule="auto"/>
              <w:jc w:val="center"/>
              <w:rPr>
                <w:rFonts w:ascii="Arial" w:hAnsi="Arial" w:eastAsia="宋体" w:cs="Arial"/>
                <w:sz w:val="18"/>
                <w:szCs w:val="18"/>
              </w:rPr>
            </w:pPr>
          </w:p>
        </w:tc>
        <w:tc>
          <w:tcPr>
            <w:tcW w:w="567" w:type="dxa"/>
            <w:vAlign w:val="center"/>
          </w:tcPr>
          <w:p w14:paraId="7F4940A8">
            <w:pPr>
              <w:snapToGrid w:val="0"/>
              <w:spacing w:before="46" w:beforeLines="15" w:line="360" w:lineRule="auto"/>
              <w:jc w:val="center"/>
              <w:rPr>
                <w:rFonts w:ascii="Arial" w:hAnsi="Arial" w:eastAsia="宋体" w:cs="Arial"/>
                <w:sz w:val="18"/>
                <w:szCs w:val="18"/>
              </w:rPr>
            </w:pPr>
          </w:p>
        </w:tc>
        <w:tc>
          <w:tcPr>
            <w:tcW w:w="567" w:type="dxa"/>
            <w:vAlign w:val="center"/>
          </w:tcPr>
          <w:p w14:paraId="5B50FFF6">
            <w:pPr>
              <w:snapToGrid w:val="0"/>
              <w:spacing w:before="46" w:beforeLines="15" w:line="360" w:lineRule="auto"/>
              <w:jc w:val="center"/>
              <w:rPr>
                <w:rFonts w:ascii="Arial" w:hAnsi="Arial" w:eastAsia="宋体" w:cs="Arial"/>
                <w:sz w:val="18"/>
                <w:szCs w:val="18"/>
              </w:rPr>
            </w:pPr>
          </w:p>
        </w:tc>
        <w:tc>
          <w:tcPr>
            <w:tcW w:w="587" w:type="dxa"/>
            <w:vAlign w:val="center"/>
          </w:tcPr>
          <w:p w14:paraId="6884893B">
            <w:pPr>
              <w:snapToGrid w:val="0"/>
              <w:spacing w:before="46" w:beforeLines="15" w:line="360" w:lineRule="auto"/>
              <w:jc w:val="center"/>
              <w:rPr>
                <w:rFonts w:ascii="Arial" w:hAnsi="Arial" w:eastAsia="宋体" w:cs="Arial"/>
                <w:sz w:val="18"/>
                <w:szCs w:val="18"/>
              </w:rPr>
            </w:pPr>
          </w:p>
        </w:tc>
      </w:tr>
      <w:tr w14:paraId="612DE8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vAlign w:val="center"/>
          </w:tcPr>
          <w:p w14:paraId="1B6FA3C1">
            <w:pPr>
              <w:snapToGrid w:val="0"/>
              <w:spacing w:before="46" w:beforeLines="15" w:line="360" w:lineRule="auto"/>
              <w:rPr>
                <w:rFonts w:ascii="Arial" w:hAnsi="Arial" w:eastAsia="宋体" w:cs="Arial"/>
                <w:sz w:val="18"/>
                <w:szCs w:val="18"/>
              </w:rPr>
            </w:pPr>
            <w:r>
              <w:rPr>
                <w:rFonts w:ascii="Arial" w:hAnsi="Arial" w:eastAsia="宋体" w:cs="Arial"/>
                <w:sz w:val="18"/>
                <w:szCs w:val="18"/>
              </w:rPr>
              <w:t>形貌</w:t>
            </w:r>
          </w:p>
        </w:tc>
        <w:tc>
          <w:tcPr>
            <w:tcW w:w="898" w:type="dxa"/>
            <w:vAlign w:val="center"/>
          </w:tcPr>
          <w:p w14:paraId="58F155C8">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3672410A">
            <w:pPr>
              <w:snapToGrid w:val="0"/>
              <w:spacing w:before="46" w:beforeLines="15" w:line="360" w:lineRule="auto"/>
              <w:jc w:val="center"/>
              <w:rPr>
                <w:rFonts w:ascii="Arial" w:hAnsi="Arial" w:eastAsia="宋体" w:cs="Arial"/>
                <w:sz w:val="18"/>
                <w:szCs w:val="18"/>
              </w:rPr>
            </w:pPr>
          </w:p>
        </w:tc>
        <w:tc>
          <w:tcPr>
            <w:tcW w:w="567" w:type="dxa"/>
            <w:vAlign w:val="center"/>
          </w:tcPr>
          <w:p w14:paraId="21368736">
            <w:pPr>
              <w:snapToGrid w:val="0"/>
              <w:spacing w:before="46" w:beforeLines="15" w:line="360" w:lineRule="auto"/>
              <w:jc w:val="center"/>
              <w:rPr>
                <w:rFonts w:ascii="Arial" w:hAnsi="Arial" w:eastAsia="宋体" w:cs="Arial"/>
                <w:sz w:val="18"/>
                <w:szCs w:val="18"/>
              </w:rPr>
            </w:pPr>
          </w:p>
        </w:tc>
        <w:tc>
          <w:tcPr>
            <w:tcW w:w="850" w:type="dxa"/>
            <w:vAlign w:val="center"/>
          </w:tcPr>
          <w:p w14:paraId="7CAB0A18">
            <w:pPr>
              <w:snapToGrid w:val="0"/>
              <w:spacing w:before="46" w:beforeLines="15" w:line="360" w:lineRule="auto"/>
              <w:jc w:val="center"/>
              <w:rPr>
                <w:rFonts w:ascii="Arial" w:hAnsi="Arial" w:eastAsia="宋体" w:cs="Arial"/>
                <w:sz w:val="18"/>
                <w:szCs w:val="18"/>
              </w:rPr>
            </w:pPr>
          </w:p>
        </w:tc>
        <w:tc>
          <w:tcPr>
            <w:tcW w:w="567" w:type="dxa"/>
            <w:vAlign w:val="center"/>
          </w:tcPr>
          <w:p w14:paraId="322B7755">
            <w:pPr>
              <w:snapToGrid w:val="0"/>
              <w:spacing w:before="46" w:beforeLines="15" w:line="360" w:lineRule="auto"/>
              <w:jc w:val="center"/>
              <w:rPr>
                <w:rFonts w:ascii="Arial" w:hAnsi="Arial" w:eastAsia="宋体" w:cs="Arial"/>
                <w:sz w:val="18"/>
                <w:szCs w:val="18"/>
              </w:rPr>
            </w:pPr>
          </w:p>
        </w:tc>
        <w:tc>
          <w:tcPr>
            <w:tcW w:w="284" w:type="dxa"/>
            <w:vAlign w:val="center"/>
          </w:tcPr>
          <w:p w14:paraId="3AFFABCF">
            <w:pPr>
              <w:snapToGrid w:val="0"/>
              <w:spacing w:before="46" w:beforeLines="15" w:line="360" w:lineRule="auto"/>
              <w:jc w:val="center"/>
              <w:rPr>
                <w:rFonts w:ascii="宋体" w:hAnsi="宋体" w:eastAsia="宋体" w:cs="宋体"/>
                <w:sz w:val="18"/>
                <w:szCs w:val="18"/>
              </w:rPr>
            </w:pPr>
          </w:p>
        </w:tc>
        <w:tc>
          <w:tcPr>
            <w:tcW w:w="283" w:type="dxa"/>
            <w:vAlign w:val="center"/>
          </w:tcPr>
          <w:p w14:paraId="5B81FC2F">
            <w:pPr>
              <w:snapToGrid w:val="0"/>
              <w:spacing w:before="46" w:beforeLines="15" w:line="360" w:lineRule="auto"/>
              <w:jc w:val="center"/>
              <w:rPr>
                <w:rFonts w:ascii="宋体" w:hAnsi="宋体" w:eastAsia="宋体" w:cs="宋体"/>
                <w:sz w:val="18"/>
                <w:szCs w:val="18"/>
              </w:rPr>
            </w:pPr>
          </w:p>
        </w:tc>
        <w:tc>
          <w:tcPr>
            <w:tcW w:w="567" w:type="dxa"/>
            <w:vAlign w:val="center"/>
          </w:tcPr>
          <w:p w14:paraId="7B9C28A6">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3D943CA6">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637F45A2">
            <w:pPr>
              <w:snapToGrid w:val="0"/>
              <w:spacing w:before="46" w:beforeLines="15" w:line="360" w:lineRule="auto"/>
              <w:jc w:val="center"/>
              <w:rPr>
                <w:rFonts w:ascii="Arial" w:hAnsi="Arial" w:eastAsia="宋体" w:cs="Arial"/>
                <w:sz w:val="18"/>
                <w:szCs w:val="18"/>
              </w:rPr>
            </w:pPr>
            <w:bookmarkStart w:id="43" w:name="OLE_LINK24"/>
            <w:bookmarkStart w:id="44" w:name="OLE_LINK25"/>
            <w:r>
              <w:rPr>
                <w:rFonts w:hint="eastAsia" w:ascii="宋体" w:hAnsi="宋体" w:eastAsia="宋体" w:cs="宋体"/>
                <w:sz w:val="18"/>
                <w:szCs w:val="18"/>
              </w:rPr>
              <w:t>╳</w:t>
            </w:r>
            <w:bookmarkEnd w:id="43"/>
            <w:bookmarkEnd w:id="44"/>
          </w:p>
        </w:tc>
        <w:tc>
          <w:tcPr>
            <w:tcW w:w="567" w:type="dxa"/>
            <w:vAlign w:val="center"/>
          </w:tcPr>
          <w:p w14:paraId="39931F56">
            <w:pPr>
              <w:snapToGrid w:val="0"/>
              <w:spacing w:before="46" w:beforeLines="15" w:line="360" w:lineRule="auto"/>
              <w:jc w:val="center"/>
              <w:rPr>
                <w:rFonts w:ascii="Arial" w:hAnsi="Arial" w:eastAsia="宋体" w:cs="Arial"/>
                <w:sz w:val="18"/>
                <w:szCs w:val="18"/>
              </w:rPr>
            </w:pPr>
          </w:p>
        </w:tc>
        <w:tc>
          <w:tcPr>
            <w:tcW w:w="567" w:type="dxa"/>
            <w:vAlign w:val="center"/>
          </w:tcPr>
          <w:p w14:paraId="5582FB1D">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2DCD60D0">
            <w:pPr>
              <w:snapToGrid w:val="0"/>
              <w:spacing w:before="46" w:beforeLines="15" w:line="360" w:lineRule="auto"/>
              <w:jc w:val="center"/>
              <w:rPr>
                <w:rFonts w:ascii="Arial" w:hAnsi="Arial" w:eastAsia="宋体" w:cs="Arial"/>
                <w:sz w:val="18"/>
                <w:szCs w:val="18"/>
              </w:rPr>
            </w:pPr>
          </w:p>
        </w:tc>
        <w:tc>
          <w:tcPr>
            <w:tcW w:w="587" w:type="dxa"/>
            <w:vAlign w:val="center"/>
          </w:tcPr>
          <w:p w14:paraId="1D2CC7B1">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r>
      <w:tr w14:paraId="572AC7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vAlign w:val="center"/>
          </w:tcPr>
          <w:p w14:paraId="1E625A3A">
            <w:pPr>
              <w:snapToGrid w:val="0"/>
              <w:spacing w:before="46" w:beforeLines="15" w:line="360" w:lineRule="auto"/>
              <w:rPr>
                <w:rFonts w:ascii="Arial" w:hAnsi="Arial" w:eastAsia="宋体" w:cs="Arial"/>
                <w:sz w:val="18"/>
                <w:szCs w:val="18"/>
              </w:rPr>
            </w:pPr>
            <w:r>
              <w:rPr>
                <w:rFonts w:hint="eastAsia" w:ascii="Arial" w:hAnsi="Arial" w:eastAsia="宋体" w:cs="Arial"/>
                <w:sz w:val="18"/>
                <w:szCs w:val="18"/>
              </w:rPr>
              <w:t>患者问卷</w:t>
            </w:r>
            <w:r>
              <w:rPr>
                <w:rFonts w:ascii="Arial" w:hAnsi="Arial" w:eastAsia="宋体" w:cs="Arial"/>
                <w:sz w:val="18"/>
                <w:szCs w:val="18"/>
                <w:vertAlign w:val="superscript"/>
              </w:rPr>
              <w:t>5</w:t>
            </w:r>
          </w:p>
        </w:tc>
        <w:tc>
          <w:tcPr>
            <w:tcW w:w="898" w:type="dxa"/>
            <w:vAlign w:val="center"/>
          </w:tcPr>
          <w:p w14:paraId="57644169">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3150A990">
            <w:pPr>
              <w:snapToGrid w:val="0"/>
              <w:spacing w:before="46" w:beforeLines="15" w:line="360" w:lineRule="auto"/>
              <w:jc w:val="center"/>
              <w:rPr>
                <w:rFonts w:ascii="Arial" w:hAnsi="Arial" w:eastAsia="宋体" w:cs="Arial"/>
                <w:sz w:val="18"/>
                <w:szCs w:val="18"/>
              </w:rPr>
            </w:pPr>
          </w:p>
        </w:tc>
        <w:tc>
          <w:tcPr>
            <w:tcW w:w="567" w:type="dxa"/>
            <w:vAlign w:val="center"/>
          </w:tcPr>
          <w:p w14:paraId="62D944C7">
            <w:pPr>
              <w:snapToGrid w:val="0"/>
              <w:spacing w:before="46" w:beforeLines="15" w:line="360" w:lineRule="auto"/>
              <w:jc w:val="center"/>
              <w:rPr>
                <w:rFonts w:ascii="Arial" w:hAnsi="Arial" w:eastAsia="宋体" w:cs="Arial"/>
                <w:sz w:val="18"/>
                <w:szCs w:val="18"/>
              </w:rPr>
            </w:pPr>
          </w:p>
        </w:tc>
        <w:tc>
          <w:tcPr>
            <w:tcW w:w="850" w:type="dxa"/>
            <w:vAlign w:val="center"/>
          </w:tcPr>
          <w:p w14:paraId="0DE8EBEA">
            <w:pPr>
              <w:snapToGrid w:val="0"/>
              <w:spacing w:before="46" w:beforeLines="15" w:line="360" w:lineRule="auto"/>
              <w:jc w:val="center"/>
              <w:rPr>
                <w:rFonts w:ascii="Arial" w:hAnsi="Arial" w:eastAsia="宋体" w:cs="Arial"/>
                <w:sz w:val="18"/>
                <w:szCs w:val="18"/>
              </w:rPr>
            </w:pPr>
          </w:p>
        </w:tc>
        <w:tc>
          <w:tcPr>
            <w:tcW w:w="567" w:type="dxa"/>
            <w:vAlign w:val="center"/>
          </w:tcPr>
          <w:p w14:paraId="5F9EF9A2">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284" w:type="dxa"/>
            <w:vAlign w:val="center"/>
          </w:tcPr>
          <w:p w14:paraId="4D1D8C5D">
            <w:pPr>
              <w:snapToGrid w:val="0"/>
              <w:spacing w:before="46" w:beforeLines="15" w:line="360" w:lineRule="auto"/>
              <w:jc w:val="center"/>
              <w:rPr>
                <w:rFonts w:ascii="宋体" w:hAnsi="宋体" w:eastAsia="宋体" w:cs="宋体"/>
                <w:sz w:val="18"/>
                <w:szCs w:val="18"/>
              </w:rPr>
            </w:pPr>
          </w:p>
        </w:tc>
        <w:tc>
          <w:tcPr>
            <w:tcW w:w="283" w:type="dxa"/>
            <w:vAlign w:val="center"/>
          </w:tcPr>
          <w:p w14:paraId="61DC7113">
            <w:pPr>
              <w:snapToGrid w:val="0"/>
              <w:spacing w:before="46" w:beforeLines="15" w:line="360" w:lineRule="auto"/>
              <w:jc w:val="center"/>
              <w:rPr>
                <w:rFonts w:ascii="宋体" w:hAnsi="宋体" w:eastAsia="宋体" w:cs="宋体"/>
                <w:sz w:val="18"/>
                <w:szCs w:val="18"/>
              </w:rPr>
            </w:pPr>
          </w:p>
        </w:tc>
        <w:tc>
          <w:tcPr>
            <w:tcW w:w="567" w:type="dxa"/>
            <w:vAlign w:val="center"/>
          </w:tcPr>
          <w:p w14:paraId="778C0E94">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21D994CE">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0D27AB65">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647E777E">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77F6BEB5">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13532AD1">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87" w:type="dxa"/>
            <w:vAlign w:val="center"/>
          </w:tcPr>
          <w:p w14:paraId="258DE5E9">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r>
      <w:tr w14:paraId="45DF50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vAlign w:val="center"/>
          </w:tcPr>
          <w:p w14:paraId="2BD24AC8">
            <w:pPr>
              <w:snapToGrid w:val="0"/>
              <w:spacing w:before="46" w:beforeLines="15" w:line="360" w:lineRule="auto"/>
              <w:rPr>
                <w:rFonts w:ascii="Arial" w:hAnsi="Arial" w:eastAsia="宋体" w:cs="Arial"/>
                <w:sz w:val="18"/>
                <w:szCs w:val="18"/>
              </w:rPr>
            </w:pPr>
            <w:r>
              <w:rPr>
                <w:rFonts w:hint="eastAsia" w:ascii="Arial" w:hAnsi="Arial" w:eastAsia="宋体" w:cs="Arial"/>
                <w:sz w:val="18"/>
                <w:szCs w:val="18"/>
              </w:rPr>
              <w:t>不良事件</w:t>
            </w:r>
            <w:r>
              <w:rPr>
                <w:rFonts w:ascii="Arial" w:hAnsi="Arial" w:eastAsia="宋体" w:cs="Arial"/>
                <w:sz w:val="18"/>
                <w:szCs w:val="18"/>
              </w:rPr>
              <w:t>/</w:t>
            </w:r>
            <w:r>
              <w:rPr>
                <w:rFonts w:hint="eastAsia" w:ascii="Arial" w:hAnsi="Arial" w:eastAsia="宋体" w:cs="Arial"/>
                <w:sz w:val="18"/>
                <w:szCs w:val="18"/>
              </w:rPr>
              <w:t>并发症</w:t>
            </w:r>
          </w:p>
        </w:tc>
        <w:tc>
          <w:tcPr>
            <w:tcW w:w="898" w:type="dxa"/>
            <w:vAlign w:val="center"/>
          </w:tcPr>
          <w:p w14:paraId="76FE889E">
            <w:pPr>
              <w:snapToGrid w:val="0"/>
              <w:spacing w:before="46" w:beforeLines="15" w:line="360" w:lineRule="auto"/>
              <w:jc w:val="center"/>
              <w:rPr>
                <w:rFonts w:ascii="Arial" w:hAnsi="Arial" w:eastAsia="宋体" w:cs="Arial"/>
                <w:sz w:val="18"/>
                <w:szCs w:val="18"/>
              </w:rPr>
            </w:pPr>
          </w:p>
        </w:tc>
        <w:tc>
          <w:tcPr>
            <w:tcW w:w="567" w:type="dxa"/>
            <w:vAlign w:val="center"/>
          </w:tcPr>
          <w:p w14:paraId="280C5963">
            <w:pPr>
              <w:snapToGrid w:val="0"/>
              <w:spacing w:before="46" w:beforeLines="15" w:line="360" w:lineRule="auto"/>
              <w:jc w:val="center"/>
              <w:rPr>
                <w:rFonts w:ascii="Arial" w:hAnsi="Arial" w:eastAsia="宋体" w:cs="Arial"/>
                <w:sz w:val="18"/>
                <w:szCs w:val="18"/>
              </w:rPr>
            </w:pPr>
            <w:bookmarkStart w:id="45" w:name="OLE_LINK28"/>
            <w:bookmarkStart w:id="46" w:name="OLE_LINK29"/>
            <w:r>
              <w:rPr>
                <w:rFonts w:hint="eastAsia" w:ascii="宋体" w:hAnsi="宋体" w:eastAsia="宋体" w:cs="宋体"/>
                <w:sz w:val="18"/>
                <w:szCs w:val="18"/>
              </w:rPr>
              <w:t>╳</w:t>
            </w:r>
            <w:bookmarkEnd w:id="45"/>
            <w:bookmarkEnd w:id="46"/>
          </w:p>
        </w:tc>
        <w:tc>
          <w:tcPr>
            <w:tcW w:w="567" w:type="dxa"/>
            <w:vAlign w:val="center"/>
          </w:tcPr>
          <w:p w14:paraId="618DED53">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850" w:type="dxa"/>
            <w:vAlign w:val="center"/>
          </w:tcPr>
          <w:p w14:paraId="1E6DB011">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339651AA">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284" w:type="dxa"/>
            <w:vAlign w:val="center"/>
          </w:tcPr>
          <w:p w14:paraId="4563FDE4">
            <w:pPr>
              <w:snapToGrid w:val="0"/>
              <w:spacing w:before="46" w:beforeLines="15" w:line="360" w:lineRule="auto"/>
              <w:jc w:val="center"/>
              <w:rPr>
                <w:rFonts w:ascii="宋体" w:hAnsi="宋体" w:eastAsia="宋体" w:cs="宋体"/>
                <w:sz w:val="18"/>
                <w:szCs w:val="18"/>
              </w:rPr>
            </w:pPr>
          </w:p>
        </w:tc>
        <w:tc>
          <w:tcPr>
            <w:tcW w:w="283" w:type="dxa"/>
            <w:vAlign w:val="center"/>
          </w:tcPr>
          <w:p w14:paraId="2B9243D4">
            <w:pPr>
              <w:snapToGrid w:val="0"/>
              <w:spacing w:before="46" w:beforeLines="15" w:line="360" w:lineRule="auto"/>
              <w:jc w:val="center"/>
              <w:rPr>
                <w:rFonts w:ascii="宋体" w:hAnsi="宋体" w:eastAsia="宋体" w:cs="宋体"/>
                <w:sz w:val="18"/>
                <w:szCs w:val="18"/>
              </w:rPr>
            </w:pPr>
          </w:p>
        </w:tc>
        <w:tc>
          <w:tcPr>
            <w:tcW w:w="567" w:type="dxa"/>
            <w:vAlign w:val="center"/>
          </w:tcPr>
          <w:p w14:paraId="18CE50E5">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613B827F">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080B5FFC">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0D6044A1">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4E7560F0">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11088B90">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87" w:type="dxa"/>
            <w:vAlign w:val="center"/>
          </w:tcPr>
          <w:p w14:paraId="6A304FF7">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r>
    </w:tbl>
    <w:p w14:paraId="5FC155E8">
      <w:pPr>
        <w:snapToGrid w:val="0"/>
        <w:spacing w:line="360" w:lineRule="auto"/>
        <w:jc w:val="center"/>
        <w:rPr>
          <w:rFonts w:ascii="Arial" w:hAnsi="Arial" w:eastAsia="宋体" w:cs="Arial"/>
          <w:b/>
        </w:rPr>
      </w:pPr>
    </w:p>
    <w:p w14:paraId="1F7F759B">
      <w:pPr>
        <w:widowControl/>
        <w:spacing w:line="360" w:lineRule="auto"/>
        <w:jc w:val="left"/>
        <w:rPr>
          <w:rFonts w:ascii="Arial" w:hAnsi="Arial" w:eastAsia="宋体" w:cs="Arial"/>
          <w:b/>
        </w:rPr>
      </w:pPr>
      <w:r>
        <w:rPr>
          <w:rFonts w:ascii="Arial" w:hAnsi="Arial" w:eastAsia="宋体" w:cs="Arial"/>
          <w:b/>
        </w:rPr>
        <w:br w:type="page"/>
      </w:r>
    </w:p>
    <w:p w14:paraId="0AE7F059">
      <w:pPr>
        <w:snapToGrid w:val="0"/>
        <w:spacing w:before="624" w:beforeLines="200" w:after="312" w:afterLines="100" w:line="360" w:lineRule="auto"/>
        <w:jc w:val="center"/>
        <w:rPr>
          <w:rFonts w:ascii="Arial" w:hAnsi="Arial" w:eastAsia="宋体" w:cs="Arial"/>
          <w:b/>
        </w:rPr>
      </w:pPr>
      <w:r>
        <w:rPr>
          <w:rFonts w:ascii="Arial" w:hAnsi="Arial" w:eastAsia="宋体" w:cs="Arial"/>
          <w:b/>
        </w:rPr>
        <w:br w:type="textWrapping"/>
      </w:r>
      <w:r>
        <w:rPr>
          <w:rFonts w:hint="eastAsia" w:ascii="Arial" w:hAnsi="Arial" w:eastAsia="宋体" w:cs="Arial"/>
          <w:b/>
        </w:rPr>
        <w:t>检查时间表备注</w:t>
      </w:r>
    </w:p>
    <w:p w14:paraId="3469D7A0">
      <w:pPr>
        <w:pStyle w:val="18"/>
        <w:numPr>
          <w:ilvl w:val="0"/>
          <w:numId w:val="12"/>
        </w:numPr>
        <w:snapToGrid w:val="0"/>
        <w:spacing w:after="156" w:afterLines="50" w:line="360" w:lineRule="auto"/>
        <w:ind w:left="685" w:hanging="684" w:hangingChars="326"/>
        <w:rPr>
          <w:rFonts w:ascii="Arial" w:hAnsi="Arial" w:eastAsia="宋体" w:cs="Arial"/>
        </w:rPr>
      </w:pPr>
      <w:r>
        <w:rPr>
          <w:rFonts w:hint="eastAsia" w:ascii="Arial" w:hAnsi="Arial" w:eastAsia="宋体" w:cs="Arial"/>
        </w:rPr>
        <w:t>如果具有眼镜矫正的视力低于在手术之前获得的≥</w:t>
      </w:r>
      <w:r>
        <w:rPr>
          <w:rFonts w:ascii="Arial" w:hAnsi="Arial" w:eastAsia="宋体" w:cs="Arial"/>
        </w:rPr>
        <w:t>2</w:t>
      </w:r>
      <w:r>
        <w:rPr>
          <w:rFonts w:hint="eastAsia" w:ascii="Arial" w:hAnsi="Arial" w:eastAsia="宋体" w:cs="Arial"/>
        </w:rPr>
        <w:t>线，应当执行超过折射的硬接触透镜以确定不规则散光的效果并且估计最佳可能的矫正视力。</w:t>
      </w:r>
    </w:p>
    <w:p w14:paraId="351193F6">
      <w:pPr>
        <w:pStyle w:val="18"/>
        <w:numPr>
          <w:ilvl w:val="0"/>
          <w:numId w:val="12"/>
        </w:numPr>
        <w:snapToGrid w:val="0"/>
        <w:spacing w:after="156" w:afterLines="50" w:line="360" w:lineRule="auto"/>
        <w:ind w:left="685" w:hanging="684" w:hangingChars="326"/>
        <w:rPr>
          <w:rFonts w:ascii="Arial" w:hAnsi="Arial" w:eastAsia="宋体" w:cs="Arial"/>
        </w:rPr>
      </w:pPr>
      <w:r>
        <w:rPr>
          <w:rFonts w:hint="eastAsia" w:ascii="Arial" w:hAnsi="Arial" w:eastAsia="宋体" w:cs="Arial"/>
        </w:rPr>
        <w:t>裂隙灯检查应包括眼前节的完整检查。角膜应详细检查特定记录和光栅（</w:t>
      </w:r>
      <w:r>
        <w:rPr>
          <w:rFonts w:ascii="Arial" w:hAnsi="Arial" w:eastAsia="宋体" w:cs="Arial"/>
        </w:rPr>
        <w:t>0</w:t>
      </w:r>
      <w:r>
        <w:rPr>
          <w:rFonts w:hint="eastAsia" w:ascii="Arial" w:hAnsi="Arial" w:eastAsia="宋体" w:cs="Arial"/>
        </w:rPr>
        <w:t>至</w:t>
      </w:r>
      <w:r>
        <w:rPr>
          <w:rFonts w:ascii="Arial" w:hAnsi="Arial" w:eastAsia="宋体" w:cs="Arial"/>
        </w:rPr>
        <w:t>4+</w:t>
      </w:r>
      <w:r>
        <w:rPr>
          <w:rFonts w:hint="eastAsia" w:ascii="Arial" w:hAnsi="Arial" w:eastAsia="宋体" w:cs="Arial"/>
        </w:rPr>
        <w:t>标度，</w:t>
      </w:r>
      <w:r>
        <w:rPr>
          <w:rFonts w:ascii="Arial" w:hAnsi="Arial" w:eastAsia="宋体" w:cs="Arial"/>
        </w:rPr>
        <w:t>0 =</w:t>
      </w:r>
      <w:r>
        <w:rPr>
          <w:rFonts w:hint="eastAsia" w:ascii="Arial" w:hAnsi="Arial" w:eastAsia="宋体" w:cs="Arial"/>
        </w:rPr>
        <w:t>清晰）的以下信息：整体角膜透明度，任何异常，例如角膜浸润，层板中的不透明度和皮瓣边缘周围瘢痕的密度（用于</w:t>
      </w:r>
      <w:r>
        <w:rPr>
          <w:rFonts w:ascii="Arial" w:hAnsi="Arial" w:eastAsia="宋体" w:cs="Arial"/>
        </w:rPr>
        <w:t>LASIK</w:t>
      </w:r>
      <w:r>
        <w:rPr>
          <w:rFonts w:hint="eastAsia" w:ascii="Arial" w:hAnsi="Arial" w:eastAsia="宋体" w:cs="Arial"/>
        </w:rPr>
        <w:t>）。</w:t>
      </w:r>
    </w:p>
    <w:p w14:paraId="33772314">
      <w:pPr>
        <w:pStyle w:val="18"/>
        <w:numPr>
          <w:ilvl w:val="0"/>
          <w:numId w:val="12"/>
        </w:numPr>
        <w:snapToGrid w:val="0"/>
        <w:spacing w:after="156" w:afterLines="50" w:line="360" w:lineRule="auto"/>
        <w:ind w:left="685" w:hanging="684" w:hangingChars="326"/>
        <w:rPr>
          <w:rFonts w:ascii="Arial" w:hAnsi="Arial" w:eastAsia="宋体" w:cs="Arial"/>
        </w:rPr>
      </w:pPr>
      <w:r>
        <w:rPr>
          <w:rFonts w:hint="eastAsia" w:ascii="Arial" w:hAnsi="Arial" w:eastAsia="宋体" w:cs="Arial"/>
        </w:rPr>
        <w:t>当</w:t>
      </w:r>
      <w:r>
        <w:rPr>
          <w:rFonts w:ascii="Arial" w:hAnsi="Arial" w:eastAsia="宋体" w:cs="Arial"/>
        </w:rPr>
        <w:t>VA</w:t>
      </w:r>
      <w:r>
        <w:rPr>
          <w:rFonts w:hint="eastAsia" w:ascii="Arial" w:hAnsi="Arial" w:eastAsia="宋体" w:cs="Arial"/>
        </w:rPr>
        <w:t>测量完成时，应该评估瞳孔大小</w:t>
      </w:r>
    </w:p>
    <w:p w14:paraId="594EAD0C">
      <w:pPr>
        <w:pStyle w:val="18"/>
        <w:numPr>
          <w:ilvl w:val="0"/>
          <w:numId w:val="12"/>
        </w:numPr>
        <w:snapToGrid w:val="0"/>
        <w:spacing w:after="156" w:afterLines="50" w:line="360" w:lineRule="auto"/>
        <w:ind w:left="685" w:hanging="684" w:hangingChars="326"/>
        <w:rPr>
          <w:rFonts w:ascii="Arial" w:hAnsi="Arial" w:eastAsia="宋体" w:cs="Arial"/>
        </w:rPr>
      </w:pPr>
      <w:r>
        <w:rPr>
          <w:rFonts w:hint="eastAsia" w:ascii="Arial" w:hAnsi="Arial" w:eastAsia="宋体" w:cs="Arial"/>
        </w:rPr>
        <w:t>如果需要评估术后的异常结果，应在术前评估所有眼睛的角膜厚度，角膜曲率和轴长度</w:t>
      </w:r>
    </w:p>
    <w:p w14:paraId="26020A12">
      <w:pPr>
        <w:pStyle w:val="18"/>
        <w:numPr>
          <w:ilvl w:val="0"/>
          <w:numId w:val="12"/>
        </w:numPr>
        <w:snapToGrid w:val="0"/>
        <w:spacing w:after="156" w:afterLines="50" w:line="360" w:lineRule="auto"/>
        <w:ind w:left="685" w:hanging="684" w:hangingChars="326"/>
        <w:rPr>
          <w:rFonts w:ascii="Arial" w:hAnsi="Arial" w:eastAsia="宋体" w:cs="Arial"/>
        </w:rPr>
      </w:pPr>
      <w:r>
        <w:rPr>
          <w:rFonts w:hint="eastAsia" w:ascii="Arial" w:hAnsi="Arial" w:eastAsia="宋体" w:cs="Arial"/>
        </w:rPr>
        <w:t>问卷应包括有关中光条件（包括但不限于夜间驾驶）的问题。研究结果的分析应该尝试将模糊度与在中光条件下受试者识别的问题相关联。</w:t>
      </w:r>
    </w:p>
    <w:p w14:paraId="3E12A2D4">
      <w:pPr>
        <w:widowControl/>
        <w:spacing w:line="360" w:lineRule="auto"/>
        <w:jc w:val="left"/>
        <w:rPr>
          <w:rFonts w:ascii="Arial" w:hAnsi="Arial" w:eastAsia="宋体" w:cs="Arial"/>
        </w:rPr>
      </w:pPr>
      <w:r>
        <w:rPr>
          <w:rFonts w:ascii="Arial" w:hAnsi="Arial" w:eastAsia="宋体" w:cs="Arial"/>
        </w:rPr>
        <w:br w:type="page"/>
      </w:r>
    </w:p>
    <w:p w14:paraId="7D02181C">
      <w:pPr>
        <w:pStyle w:val="18"/>
        <w:numPr>
          <w:ilvl w:val="2"/>
          <w:numId w:val="5"/>
        </w:numPr>
        <w:snapToGrid w:val="0"/>
        <w:spacing w:after="156" w:afterLines="50" w:line="300" w:lineRule="auto"/>
        <w:ind w:left="0" w:firstLineChars="0"/>
        <w:outlineLvl w:val="2"/>
        <w:rPr>
          <w:rFonts w:ascii="Arial" w:hAnsi="Arial" w:eastAsia="宋体" w:cs="Arial"/>
          <w:b/>
        </w:rPr>
      </w:pPr>
      <w:bookmarkStart w:id="47" w:name="_Toc478047087"/>
      <w:r>
        <w:rPr>
          <w:rFonts w:hint="eastAsia" w:ascii="Arial" w:hAnsi="Arial" w:eastAsia="宋体" w:cs="Arial"/>
          <w:b/>
        </w:rPr>
        <w:t>不良事件和并发症</w:t>
      </w:r>
      <w:bookmarkEnd w:id="47"/>
    </w:p>
    <w:p w14:paraId="1830E9BC">
      <w:pPr>
        <w:snapToGrid w:val="0"/>
        <w:spacing w:after="156" w:afterLines="50" w:line="300" w:lineRule="auto"/>
        <w:ind w:left="420" w:leftChars="199" w:hanging="2"/>
        <w:rPr>
          <w:rFonts w:ascii="Arial" w:hAnsi="Arial" w:eastAsia="宋体" w:cs="Arial"/>
        </w:rPr>
      </w:pPr>
      <w:r>
        <w:rPr>
          <w:rFonts w:hint="eastAsia" w:ascii="Arial" w:hAnsi="Arial" w:eastAsia="宋体" w:cs="Arial"/>
        </w:rPr>
        <w:t>定义为严重和不可预见的不良事件必须在研究者获悉它们的</w:t>
      </w:r>
      <w:r>
        <w:rPr>
          <w:rFonts w:ascii="Arial" w:hAnsi="Arial" w:eastAsia="宋体" w:cs="Arial"/>
        </w:rPr>
        <w:t>10</w:t>
      </w:r>
      <w:r>
        <w:rPr>
          <w:rFonts w:hint="eastAsia" w:ascii="Arial" w:hAnsi="Arial" w:eastAsia="宋体" w:cs="Arial"/>
        </w:rPr>
        <w:t>天内，如果适用，在申办方获悉它们的另外</w:t>
      </w:r>
      <w:r>
        <w:rPr>
          <w:rFonts w:ascii="Arial" w:hAnsi="Arial" w:eastAsia="宋体" w:cs="Arial"/>
        </w:rPr>
        <w:t>10</w:t>
      </w:r>
      <w:r>
        <w:rPr>
          <w:rFonts w:hint="eastAsia" w:ascii="Arial" w:hAnsi="Arial" w:eastAsia="宋体" w:cs="Arial"/>
        </w:rPr>
        <w:t>天内报告给</w:t>
      </w:r>
      <w:r>
        <w:rPr>
          <w:rFonts w:ascii="Arial" w:hAnsi="Arial" w:eastAsia="宋体" w:cs="Arial"/>
        </w:rPr>
        <w:t>FDA</w:t>
      </w:r>
      <w:r>
        <w:rPr>
          <w:rFonts w:hint="eastAsia" w:ascii="Arial" w:hAnsi="Arial" w:eastAsia="宋体" w:cs="Arial"/>
        </w:rPr>
        <w:t>（</w:t>
      </w:r>
      <w:r>
        <w:rPr>
          <w:rFonts w:ascii="Arial" w:hAnsi="Arial" w:eastAsia="宋体" w:cs="Arial"/>
        </w:rPr>
        <w:t>21 CFR 812.150</w:t>
      </w:r>
      <w:r>
        <w:rPr>
          <w:rFonts w:hint="eastAsia" w:ascii="Arial" w:hAnsi="Arial" w:eastAsia="宋体" w:cs="Arial"/>
        </w:rPr>
        <w:t>（</w:t>
      </w:r>
      <w:r>
        <w:rPr>
          <w:rFonts w:ascii="Arial" w:hAnsi="Arial" w:eastAsia="宋体" w:cs="Arial"/>
        </w:rPr>
        <w:t>a</w:t>
      </w:r>
      <w:r>
        <w:rPr>
          <w:rFonts w:hint="eastAsia" w:ascii="Arial" w:hAnsi="Arial" w:eastAsia="宋体" w:cs="Arial"/>
        </w:rPr>
        <w:t>）（</w:t>
      </w:r>
      <w:r>
        <w:rPr>
          <w:rFonts w:ascii="Arial" w:hAnsi="Arial" w:eastAsia="宋体" w:cs="Arial"/>
        </w:rPr>
        <w:t>1</w:t>
      </w:r>
      <w:r>
        <w:rPr>
          <w:rFonts w:hint="eastAsia" w:ascii="Arial" w:hAnsi="Arial" w:eastAsia="宋体" w:cs="Arial"/>
        </w:rPr>
        <w:t>））。（注：关于上市前批准报告要求，请参见</w:t>
      </w:r>
      <w:r>
        <w:rPr>
          <w:rFonts w:ascii="Arial" w:hAnsi="Arial" w:eastAsia="宋体" w:cs="Arial"/>
        </w:rPr>
        <w:t>21 CFR 814</w:t>
      </w:r>
      <w:r>
        <w:rPr>
          <w:rFonts w:hint="eastAsia" w:ascii="Arial" w:hAnsi="Arial" w:eastAsia="宋体" w:cs="Arial"/>
        </w:rPr>
        <w:t>，对于合法销售器械的医疗器械报告，参见</w:t>
      </w:r>
      <w:r>
        <w:rPr>
          <w:rFonts w:ascii="Arial" w:hAnsi="Arial" w:eastAsia="宋体" w:cs="Arial"/>
        </w:rPr>
        <w:t>21 CFR 803</w:t>
      </w:r>
      <w:r>
        <w:rPr>
          <w:rFonts w:hint="eastAsia" w:ascii="Arial" w:hAnsi="Arial" w:eastAsia="宋体" w:cs="Arial"/>
        </w:rPr>
        <w:t>）。</w:t>
      </w:r>
    </w:p>
    <w:p w14:paraId="1F99BFCF">
      <w:pPr>
        <w:snapToGrid w:val="0"/>
        <w:spacing w:after="156" w:afterLines="50" w:line="300" w:lineRule="auto"/>
        <w:ind w:left="422" w:leftChars="200" w:hanging="2"/>
        <w:rPr>
          <w:rFonts w:ascii="Arial" w:hAnsi="Arial" w:eastAsia="宋体" w:cs="Arial"/>
        </w:rPr>
      </w:pPr>
      <w:r>
        <w:rPr>
          <w:rFonts w:hint="eastAsia" w:ascii="Arial" w:hAnsi="Arial" w:eastAsia="宋体" w:cs="Arial"/>
        </w:rPr>
        <w:t>并发症也应记录在案，但个别报告不需要提交给</w:t>
      </w:r>
      <w:r>
        <w:rPr>
          <w:rFonts w:ascii="Arial" w:hAnsi="Arial" w:eastAsia="宋体" w:cs="Arial"/>
        </w:rPr>
        <w:t>FDA</w:t>
      </w:r>
      <w:r>
        <w:rPr>
          <w:rFonts w:hint="eastAsia" w:ascii="Arial" w:hAnsi="Arial" w:eastAsia="宋体" w:cs="Arial"/>
        </w:rPr>
        <w:t>作为</w:t>
      </w:r>
      <w:r>
        <w:rPr>
          <w:rFonts w:ascii="Arial" w:hAnsi="Arial" w:eastAsia="宋体" w:cs="Arial"/>
        </w:rPr>
        <w:t>IDE</w:t>
      </w:r>
      <w:r>
        <w:rPr>
          <w:rFonts w:hint="eastAsia" w:ascii="Arial" w:hAnsi="Arial" w:eastAsia="宋体" w:cs="Arial"/>
        </w:rPr>
        <w:t>过程的一部分。不良事件和并发症可包括但不限于以下列表：</w:t>
      </w:r>
    </w:p>
    <w:p w14:paraId="6CB888B6">
      <w:pPr>
        <w:pStyle w:val="18"/>
        <w:numPr>
          <w:ilvl w:val="3"/>
          <w:numId w:val="5"/>
        </w:numPr>
        <w:snapToGrid w:val="0"/>
        <w:spacing w:after="156" w:afterLines="50" w:line="300" w:lineRule="auto"/>
        <w:ind w:left="0" w:firstLine="0" w:firstLineChars="0"/>
        <w:outlineLvl w:val="3"/>
        <w:rPr>
          <w:rFonts w:ascii="Arial" w:hAnsi="Arial" w:eastAsia="宋体" w:cs="Arial"/>
          <w:b/>
          <w:bCs/>
          <w:kern w:val="0"/>
        </w:rPr>
      </w:pPr>
      <w:bookmarkStart w:id="48" w:name="_Toc478047088"/>
      <w:r>
        <w:rPr>
          <w:rFonts w:hint="eastAsia" w:ascii="Arial" w:hAnsi="Arial" w:eastAsia="宋体" w:cs="Arial"/>
          <w:b/>
          <w:bCs/>
          <w:kern w:val="0"/>
        </w:rPr>
        <w:t>不良事件</w:t>
      </w:r>
      <w:bookmarkEnd w:id="48"/>
    </w:p>
    <w:p w14:paraId="2A82D3BF">
      <w:pPr>
        <w:pStyle w:val="18"/>
        <w:numPr>
          <w:ilvl w:val="1"/>
          <w:numId w:val="13"/>
        </w:numPr>
        <w:snapToGrid w:val="0"/>
        <w:spacing w:after="156" w:afterLines="50" w:line="300" w:lineRule="auto"/>
        <w:ind w:left="406" w:hanging="378" w:firstLineChars="0"/>
        <w:rPr>
          <w:rFonts w:ascii="Arial" w:hAnsi="Arial" w:eastAsia="宋体" w:cs="Arial"/>
        </w:rPr>
      </w:pPr>
      <w:r>
        <w:rPr>
          <w:rFonts w:hint="eastAsia" w:ascii="Arial" w:hAnsi="Arial" w:eastAsia="宋体" w:cs="Arial"/>
        </w:rPr>
        <w:t>角膜浸润或溃疡</w:t>
      </w:r>
    </w:p>
    <w:p w14:paraId="1F46C450">
      <w:pPr>
        <w:pStyle w:val="18"/>
        <w:numPr>
          <w:ilvl w:val="1"/>
          <w:numId w:val="13"/>
        </w:numPr>
        <w:snapToGrid w:val="0"/>
        <w:spacing w:after="156" w:afterLines="50" w:line="300" w:lineRule="auto"/>
        <w:ind w:left="406" w:hanging="378" w:firstLineChars="0"/>
        <w:rPr>
          <w:rFonts w:ascii="Arial" w:hAnsi="Arial" w:eastAsia="宋体" w:cs="Arial"/>
        </w:rPr>
      </w:pPr>
      <w:r>
        <w:rPr>
          <w:rFonts w:hint="eastAsia" w:ascii="Arial" w:hAnsi="Arial" w:eastAsia="宋体" w:cs="Arial"/>
        </w:rPr>
        <w:t>一个月或更长时间的持续性中央角膜上皮缺损（仅限于</w:t>
      </w:r>
      <w:r>
        <w:rPr>
          <w:rFonts w:ascii="Arial" w:hAnsi="Arial" w:eastAsia="宋体" w:cs="Arial"/>
        </w:rPr>
        <w:t>PRK</w:t>
      </w:r>
      <w:r>
        <w:rPr>
          <w:rFonts w:hint="eastAsia" w:ascii="Arial" w:hAnsi="Arial" w:eastAsia="宋体" w:cs="Arial"/>
        </w:rPr>
        <w:t>）</w:t>
      </w:r>
    </w:p>
    <w:p w14:paraId="214187E6">
      <w:pPr>
        <w:pStyle w:val="18"/>
        <w:numPr>
          <w:ilvl w:val="1"/>
          <w:numId w:val="13"/>
        </w:numPr>
        <w:snapToGrid w:val="0"/>
        <w:spacing w:after="156" w:afterLines="50" w:line="300" w:lineRule="auto"/>
        <w:ind w:left="406" w:hanging="378" w:firstLineChars="0"/>
        <w:rPr>
          <w:rFonts w:ascii="Arial" w:hAnsi="Arial" w:eastAsia="宋体" w:cs="Arial"/>
        </w:rPr>
      </w:pPr>
      <w:r>
        <w:rPr>
          <w:rFonts w:hint="eastAsia" w:ascii="Arial" w:hAnsi="Arial" w:eastAsia="宋体" w:cs="Arial"/>
        </w:rPr>
        <w:t>在一个月或以后涉及角膜切除术的任何角膜上皮缺损（仅限于</w:t>
      </w:r>
      <w:r>
        <w:rPr>
          <w:rFonts w:ascii="Arial" w:hAnsi="Arial" w:eastAsia="宋体" w:cs="Arial"/>
        </w:rPr>
        <w:t>LASIK</w:t>
      </w:r>
      <w:r>
        <w:rPr>
          <w:rFonts w:hint="eastAsia" w:ascii="Arial" w:hAnsi="Arial" w:eastAsia="宋体" w:cs="Arial"/>
        </w:rPr>
        <w:t>）</w:t>
      </w:r>
    </w:p>
    <w:p w14:paraId="3A82E875">
      <w:pPr>
        <w:pStyle w:val="18"/>
        <w:numPr>
          <w:ilvl w:val="1"/>
          <w:numId w:val="13"/>
        </w:numPr>
        <w:snapToGrid w:val="0"/>
        <w:spacing w:after="156" w:afterLines="50" w:line="300" w:lineRule="auto"/>
        <w:ind w:left="406" w:hanging="378" w:firstLineChars="0"/>
        <w:rPr>
          <w:rFonts w:ascii="Arial" w:hAnsi="Arial" w:eastAsia="宋体" w:cs="Arial"/>
        </w:rPr>
      </w:pPr>
      <w:r>
        <w:rPr>
          <w:rFonts w:ascii="Arial" w:hAnsi="Arial" w:eastAsia="宋体" w:cs="Arial"/>
        </w:rPr>
        <w:t>I</w:t>
      </w:r>
      <w:r>
        <w:rPr>
          <w:rFonts w:hint="eastAsia" w:ascii="Arial" w:hAnsi="Arial" w:eastAsia="宋体" w:cs="Arial"/>
        </w:rPr>
        <w:t>月或以后角膜水肿（</w:t>
      </w:r>
      <w:r>
        <w:rPr>
          <w:rFonts w:ascii="Arial" w:hAnsi="Arial" w:eastAsia="宋体" w:cs="Arial"/>
        </w:rPr>
        <w:t>LASIK</w:t>
      </w:r>
      <w:r>
        <w:rPr>
          <w:rFonts w:hint="eastAsia" w:ascii="Arial" w:hAnsi="Arial" w:eastAsia="宋体" w:cs="Arial"/>
        </w:rPr>
        <w:t>指定皮瓣或基底）</w:t>
      </w:r>
    </w:p>
    <w:p w14:paraId="25ED4B7A">
      <w:pPr>
        <w:pStyle w:val="18"/>
        <w:numPr>
          <w:ilvl w:val="1"/>
          <w:numId w:val="13"/>
        </w:numPr>
        <w:snapToGrid w:val="0"/>
        <w:spacing w:after="156" w:afterLines="50" w:line="300" w:lineRule="auto"/>
        <w:ind w:left="406" w:hanging="378" w:firstLineChars="0"/>
        <w:rPr>
          <w:rFonts w:ascii="Arial" w:hAnsi="Arial" w:eastAsia="宋体" w:cs="Arial"/>
        </w:rPr>
      </w:pPr>
      <w:r>
        <w:rPr>
          <w:rFonts w:hint="eastAsia" w:ascii="Arial" w:hAnsi="Arial" w:eastAsia="宋体" w:cs="Arial"/>
        </w:rPr>
        <w:t>界面上的上皮（仅限于</w:t>
      </w:r>
      <w:r>
        <w:rPr>
          <w:rFonts w:ascii="Arial" w:hAnsi="Arial" w:eastAsia="宋体" w:cs="Arial"/>
        </w:rPr>
        <w:t>LASIK</w:t>
      </w:r>
      <w:r>
        <w:rPr>
          <w:rFonts w:hint="eastAsia" w:ascii="Arial" w:hAnsi="Arial" w:eastAsia="宋体" w:cs="Arial"/>
        </w:rPr>
        <w:t>）</w:t>
      </w:r>
    </w:p>
    <w:p w14:paraId="0394C757">
      <w:pPr>
        <w:pStyle w:val="18"/>
        <w:numPr>
          <w:ilvl w:val="1"/>
          <w:numId w:val="13"/>
        </w:numPr>
        <w:snapToGrid w:val="0"/>
        <w:spacing w:after="156" w:afterLines="50" w:line="300" w:lineRule="auto"/>
        <w:ind w:left="406" w:hanging="378" w:firstLineChars="0"/>
        <w:rPr>
          <w:rFonts w:ascii="Arial" w:hAnsi="Arial" w:eastAsia="宋体" w:cs="Arial"/>
        </w:rPr>
      </w:pPr>
      <w:r>
        <w:rPr>
          <w:rFonts w:hint="eastAsia" w:ascii="Arial" w:hAnsi="Arial" w:eastAsia="宋体" w:cs="Arial"/>
        </w:rPr>
        <w:t>丢失，皮瓣错位或错位（仅限于</w:t>
      </w:r>
      <w:r>
        <w:rPr>
          <w:rFonts w:ascii="Arial" w:hAnsi="Arial" w:eastAsia="宋体" w:cs="Arial"/>
        </w:rPr>
        <w:t>LASIK</w:t>
      </w:r>
      <w:r>
        <w:rPr>
          <w:rFonts w:hint="eastAsia" w:ascii="Arial" w:hAnsi="Arial" w:eastAsia="宋体" w:cs="Arial"/>
        </w:rPr>
        <w:t>）</w:t>
      </w:r>
    </w:p>
    <w:p w14:paraId="4126FE10">
      <w:pPr>
        <w:pStyle w:val="18"/>
        <w:numPr>
          <w:ilvl w:val="0"/>
          <w:numId w:val="14"/>
        </w:numPr>
        <w:snapToGrid w:val="0"/>
        <w:spacing w:after="156" w:afterLines="50" w:line="300" w:lineRule="auto"/>
        <w:ind w:left="406" w:hanging="378" w:firstLineChars="0"/>
        <w:rPr>
          <w:rFonts w:ascii="Arial" w:hAnsi="Arial" w:eastAsia="宋体" w:cs="Arial"/>
        </w:rPr>
      </w:pPr>
      <w:r>
        <w:rPr>
          <w:rFonts w:hint="eastAsia" w:ascii="Arial" w:hAnsi="Arial" w:eastAsia="宋体" w:cs="Arial"/>
        </w:rPr>
        <w:t>皮瓣的熔化（仅限于</w:t>
      </w:r>
      <w:r>
        <w:rPr>
          <w:rFonts w:ascii="Arial" w:hAnsi="Arial" w:eastAsia="宋体" w:cs="Arial"/>
        </w:rPr>
        <w:t>LASIK</w:t>
      </w:r>
      <w:r>
        <w:rPr>
          <w:rFonts w:hint="eastAsia" w:ascii="Arial" w:hAnsi="Arial" w:eastAsia="宋体" w:cs="Arial"/>
        </w:rPr>
        <w:t>）</w:t>
      </w:r>
    </w:p>
    <w:p w14:paraId="6E39F6A9">
      <w:pPr>
        <w:pStyle w:val="18"/>
        <w:numPr>
          <w:ilvl w:val="0"/>
          <w:numId w:val="14"/>
        </w:numPr>
        <w:snapToGrid w:val="0"/>
        <w:spacing w:after="156" w:afterLines="50" w:line="300" w:lineRule="auto"/>
        <w:ind w:left="406" w:hanging="378" w:firstLineChars="0"/>
        <w:rPr>
          <w:rFonts w:ascii="Arial" w:hAnsi="Arial" w:eastAsia="宋体" w:cs="Arial"/>
        </w:rPr>
      </w:pPr>
      <w:r>
        <w:rPr>
          <w:rFonts w:hint="eastAsia" w:ascii="Arial" w:hAnsi="Arial" w:eastAsia="宋体" w:cs="Arial"/>
        </w:rPr>
        <w:t>未受控的眼压，高于基线</w:t>
      </w:r>
      <w:r>
        <w:rPr>
          <w:rFonts w:ascii="Arial" w:hAnsi="Arial" w:eastAsia="宋体" w:cs="Arial"/>
        </w:rPr>
        <w:t>5 mm HG</w:t>
      </w:r>
      <w:r>
        <w:rPr>
          <w:rFonts w:hint="eastAsia" w:ascii="Arial" w:hAnsi="Arial" w:eastAsia="宋体" w:cs="Arial"/>
        </w:rPr>
        <w:t>，任何读数高于</w:t>
      </w:r>
      <w:r>
        <w:rPr>
          <w:rFonts w:ascii="Arial" w:hAnsi="Arial" w:eastAsia="宋体" w:cs="Arial"/>
        </w:rPr>
        <w:t>25 mm Hg</w:t>
      </w:r>
    </w:p>
    <w:p w14:paraId="32E4350B">
      <w:pPr>
        <w:pStyle w:val="18"/>
        <w:numPr>
          <w:ilvl w:val="0"/>
          <w:numId w:val="14"/>
        </w:numPr>
        <w:snapToGrid w:val="0"/>
        <w:spacing w:after="156" w:afterLines="50" w:line="300" w:lineRule="auto"/>
        <w:ind w:left="406" w:hanging="378" w:firstLineChars="0"/>
        <w:rPr>
          <w:rFonts w:ascii="Arial" w:hAnsi="Arial" w:eastAsia="宋体" w:cs="Arial"/>
        </w:rPr>
      </w:pPr>
      <w:r>
        <w:rPr>
          <w:rFonts w:hint="eastAsia" w:ascii="Arial" w:hAnsi="Arial" w:eastAsia="宋体" w:cs="Arial"/>
        </w:rPr>
        <w:t>超过</w:t>
      </w:r>
      <w:r>
        <w:rPr>
          <w:rFonts w:ascii="Arial" w:hAnsi="Arial" w:eastAsia="宋体" w:cs="Arial"/>
        </w:rPr>
        <w:t>6</w:t>
      </w:r>
      <w:r>
        <w:rPr>
          <w:rFonts w:hint="eastAsia" w:ascii="Arial" w:hAnsi="Arial" w:eastAsia="宋体" w:cs="Arial"/>
        </w:rPr>
        <w:t>个月的模糊的迟发性，损失</w:t>
      </w:r>
      <w:r>
        <w:rPr>
          <w:rFonts w:ascii="Arial" w:hAnsi="Arial" w:eastAsia="宋体" w:cs="Arial"/>
        </w:rPr>
        <w:t>2</w:t>
      </w:r>
      <w:r>
        <w:rPr>
          <w:rFonts w:hint="eastAsia" w:ascii="Arial" w:hAnsi="Arial" w:eastAsia="宋体" w:cs="Arial"/>
        </w:rPr>
        <w:t>条线（</w:t>
      </w:r>
      <w:r>
        <w:rPr>
          <w:rFonts w:ascii="Arial" w:hAnsi="Arial" w:eastAsia="宋体" w:cs="Arial"/>
        </w:rPr>
        <w:t>10</w:t>
      </w:r>
      <w:r>
        <w:rPr>
          <w:rFonts w:hint="eastAsia" w:ascii="Arial" w:hAnsi="Arial" w:eastAsia="宋体" w:cs="Arial"/>
        </w:rPr>
        <w:t>个字母）或更多</w:t>
      </w:r>
      <w:r>
        <w:rPr>
          <w:rFonts w:ascii="Arial" w:hAnsi="Arial" w:eastAsia="宋体" w:cs="Arial"/>
        </w:rPr>
        <w:t>BSCVA</w:t>
      </w:r>
    </w:p>
    <w:p w14:paraId="709D1BB0">
      <w:pPr>
        <w:pStyle w:val="18"/>
        <w:numPr>
          <w:ilvl w:val="0"/>
          <w:numId w:val="14"/>
        </w:numPr>
        <w:snapToGrid w:val="0"/>
        <w:spacing w:after="156" w:afterLines="50" w:line="300" w:lineRule="auto"/>
        <w:ind w:left="406" w:hanging="378" w:firstLineChars="0"/>
        <w:rPr>
          <w:rFonts w:ascii="Arial" w:hAnsi="Arial" w:eastAsia="宋体" w:cs="Arial"/>
        </w:rPr>
      </w:pPr>
      <w:r>
        <w:rPr>
          <w:rFonts w:ascii="Arial" w:hAnsi="Arial" w:eastAsia="宋体" w:cs="Arial"/>
        </w:rPr>
        <w:t>J.6</w:t>
      </w:r>
      <w:r>
        <w:rPr>
          <w:rFonts w:hint="eastAsia" w:ascii="Arial" w:hAnsi="Arial" w:eastAsia="宋体" w:cs="Arial"/>
        </w:rPr>
        <w:t>个月或更长时间，不是由于不规则散光，如硬接触镜片折射所示，减少</w:t>
      </w:r>
      <w:r>
        <w:rPr>
          <w:rFonts w:ascii="Arial" w:hAnsi="Arial" w:eastAsia="宋体" w:cs="Arial"/>
        </w:rPr>
        <w:t>BSCVA&gt; 10</w:t>
      </w:r>
      <w:r>
        <w:rPr>
          <w:rFonts w:hint="eastAsia" w:ascii="Arial" w:hAnsi="Arial" w:eastAsia="宋体" w:cs="Arial"/>
        </w:rPr>
        <w:t>个字母</w:t>
      </w:r>
    </w:p>
    <w:p w14:paraId="361B6D9D">
      <w:pPr>
        <w:pStyle w:val="18"/>
        <w:numPr>
          <w:ilvl w:val="0"/>
          <w:numId w:val="14"/>
        </w:numPr>
        <w:snapToGrid w:val="0"/>
        <w:spacing w:after="156" w:afterLines="50" w:line="300" w:lineRule="auto"/>
        <w:ind w:left="406" w:hanging="378" w:firstLineChars="0"/>
        <w:rPr>
          <w:rFonts w:ascii="Arial" w:hAnsi="Arial" w:eastAsia="宋体" w:cs="Arial"/>
        </w:rPr>
      </w:pPr>
      <w:r>
        <w:rPr>
          <w:rFonts w:hint="eastAsia" w:ascii="Arial" w:hAnsi="Arial" w:eastAsia="宋体" w:cs="Arial"/>
        </w:rPr>
        <w:t>视网膜脱离</w:t>
      </w:r>
    </w:p>
    <w:p w14:paraId="36B0E73E">
      <w:pPr>
        <w:pStyle w:val="18"/>
        <w:numPr>
          <w:ilvl w:val="0"/>
          <w:numId w:val="14"/>
        </w:numPr>
        <w:snapToGrid w:val="0"/>
        <w:spacing w:after="156" w:afterLines="50" w:line="300" w:lineRule="auto"/>
        <w:ind w:left="406" w:hanging="378" w:firstLineChars="0"/>
        <w:rPr>
          <w:rFonts w:ascii="Arial" w:hAnsi="Arial" w:eastAsia="宋体" w:cs="Arial"/>
        </w:rPr>
      </w:pPr>
      <w:r>
        <w:rPr>
          <w:rFonts w:hint="eastAsia" w:ascii="Arial" w:hAnsi="Arial" w:eastAsia="宋体" w:cs="Arial"/>
        </w:rPr>
        <w:t>视网膜血管意外</w:t>
      </w:r>
    </w:p>
    <w:p w14:paraId="4C7B0E4F">
      <w:pPr>
        <w:pStyle w:val="18"/>
        <w:numPr>
          <w:ilvl w:val="3"/>
          <w:numId w:val="5"/>
        </w:numPr>
        <w:snapToGrid w:val="0"/>
        <w:spacing w:after="156" w:afterLines="50" w:line="300" w:lineRule="auto"/>
        <w:ind w:left="0" w:firstLine="0" w:firstLineChars="0"/>
        <w:outlineLvl w:val="3"/>
        <w:rPr>
          <w:rFonts w:ascii="Arial" w:hAnsi="Arial" w:eastAsia="宋体" w:cs="Arial"/>
          <w:b/>
        </w:rPr>
      </w:pPr>
      <w:bookmarkStart w:id="49" w:name="_Toc478047089"/>
      <w:r>
        <w:rPr>
          <w:rFonts w:hint="eastAsia" w:ascii="Arial" w:hAnsi="Arial" w:eastAsia="宋体" w:cs="Arial"/>
          <w:b/>
        </w:rPr>
        <w:t>并发症</w:t>
      </w:r>
      <w:bookmarkEnd w:id="49"/>
    </w:p>
    <w:p w14:paraId="2B3286DB">
      <w:pPr>
        <w:pStyle w:val="18"/>
        <w:numPr>
          <w:ilvl w:val="1"/>
          <w:numId w:val="15"/>
        </w:numPr>
        <w:snapToGrid w:val="0"/>
        <w:spacing w:after="156" w:afterLines="50" w:line="300" w:lineRule="auto"/>
        <w:ind w:left="392" w:hanging="350" w:firstLineChars="0"/>
        <w:rPr>
          <w:rFonts w:ascii="Arial" w:hAnsi="Arial" w:eastAsia="宋体" w:cs="Arial"/>
        </w:rPr>
      </w:pPr>
      <w:r>
        <w:rPr>
          <w:rFonts w:hint="eastAsia" w:ascii="Arial" w:hAnsi="Arial" w:eastAsia="宋体" w:cs="Arial"/>
        </w:rPr>
        <w:t>术后一周至一个月角膜水肿</w:t>
      </w:r>
    </w:p>
    <w:p w14:paraId="61EC462B">
      <w:pPr>
        <w:pStyle w:val="18"/>
        <w:numPr>
          <w:ilvl w:val="1"/>
          <w:numId w:val="15"/>
        </w:numPr>
        <w:snapToGrid w:val="0"/>
        <w:spacing w:after="156" w:afterLines="50" w:line="300" w:lineRule="auto"/>
        <w:ind w:left="392" w:hanging="350" w:firstLineChars="0"/>
        <w:rPr>
          <w:rFonts w:ascii="Arial" w:hAnsi="Arial" w:eastAsia="宋体" w:cs="Arial"/>
        </w:rPr>
      </w:pPr>
      <w:r>
        <w:rPr>
          <w:rFonts w:hint="eastAsia" w:ascii="Arial" w:hAnsi="Arial" w:eastAsia="宋体" w:cs="Arial"/>
        </w:rPr>
        <w:t>在一个月或以后（对于</w:t>
      </w:r>
      <w:r>
        <w:rPr>
          <w:rFonts w:ascii="Arial" w:hAnsi="Arial" w:eastAsia="宋体" w:cs="Arial"/>
        </w:rPr>
        <w:t>LASIK</w:t>
      </w:r>
      <w:r>
        <w:rPr>
          <w:rFonts w:hint="eastAsia" w:ascii="Arial" w:hAnsi="Arial" w:eastAsia="宋体" w:cs="Arial"/>
        </w:rPr>
        <w:t>，缺陷的位置鉴定为在皮瓣上、下或横跨皮瓣）的外周角膜上皮缺损，</w:t>
      </w:r>
    </w:p>
    <w:p w14:paraId="218B1082">
      <w:pPr>
        <w:pStyle w:val="18"/>
        <w:numPr>
          <w:ilvl w:val="1"/>
          <w:numId w:val="15"/>
        </w:numPr>
        <w:snapToGrid w:val="0"/>
        <w:spacing w:after="156" w:afterLines="50" w:line="300" w:lineRule="auto"/>
        <w:ind w:left="392" w:hanging="350" w:firstLineChars="0"/>
        <w:rPr>
          <w:rFonts w:ascii="Arial" w:hAnsi="Arial" w:eastAsia="宋体" w:cs="Arial"/>
        </w:rPr>
      </w:pPr>
      <w:r>
        <w:rPr>
          <w:rFonts w:hint="eastAsia" w:ascii="Arial" w:hAnsi="Arial" w:eastAsia="宋体" w:cs="Arial"/>
        </w:rPr>
        <w:t>界面上的上皮（仅限于</w:t>
      </w:r>
      <w:r>
        <w:rPr>
          <w:rFonts w:ascii="Arial" w:hAnsi="Arial" w:eastAsia="宋体" w:cs="Arial"/>
        </w:rPr>
        <w:t>LASIK</w:t>
      </w:r>
      <w:r>
        <w:rPr>
          <w:rFonts w:hint="eastAsia" w:ascii="Arial" w:hAnsi="Arial" w:eastAsia="宋体" w:cs="Arial"/>
        </w:rPr>
        <w:t>）</w:t>
      </w:r>
    </w:p>
    <w:p w14:paraId="37E0249F">
      <w:pPr>
        <w:pStyle w:val="18"/>
        <w:numPr>
          <w:ilvl w:val="1"/>
          <w:numId w:val="15"/>
        </w:numPr>
        <w:snapToGrid w:val="0"/>
        <w:spacing w:after="156" w:afterLines="50" w:line="300" w:lineRule="auto"/>
        <w:ind w:left="392" w:hanging="350" w:firstLineChars="0"/>
        <w:rPr>
          <w:rFonts w:ascii="Arial" w:hAnsi="Arial" w:eastAsia="宋体" w:cs="Arial"/>
        </w:rPr>
      </w:pPr>
      <w:r>
        <w:rPr>
          <w:rFonts w:hint="eastAsia" w:ascii="Arial" w:hAnsi="Arial" w:eastAsia="宋体" w:cs="Arial"/>
        </w:rPr>
        <w:t>一个月或以后的经常性角膜侵蚀（仅限于</w:t>
      </w:r>
      <w:r>
        <w:rPr>
          <w:rFonts w:ascii="Arial" w:hAnsi="Arial" w:eastAsia="宋体" w:cs="Arial"/>
        </w:rPr>
        <w:t>PRK</w:t>
      </w:r>
      <w:r>
        <w:rPr>
          <w:rFonts w:hint="eastAsia" w:ascii="Arial" w:hAnsi="Arial" w:eastAsia="宋体" w:cs="Arial"/>
        </w:rPr>
        <w:t>）</w:t>
      </w:r>
    </w:p>
    <w:p w14:paraId="21AB791C">
      <w:pPr>
        <w:pStyle w:val="18"/>
        <w:numPr>
          <w:ilvl w:val="1"/>
          <w:numId w:val="15"/>
        </w:numPr>
        <w:snapToGrid w:val="0"/>
        <w:spacing w:after="156" w:afterLines="50" w:line="300" w:lineRule="auto"/>
        <w:ind w:left="392" w:hanging="350" w:firstLineChars="0"/>
        <w:rPr>
          <w:rFonts w:ascii="Arial" w:hAnsi="Arial" w:eastAsia="宋体" w:cs="Arial"/>
        </w:rPr>
      </w:pPr>
      <w:r>
        <w:rPr>
          <w:rFonts w:ascii="Arial" w:hAnsi="Arial" w:eastAsia="宋体" w:cs="Arial"/>
        </w:rPr>
        <w:t>1</w:t>
      </w:r>
      <w:r>
        <w:rPr>
          <w:rFonts w:hint="eastAsia" w:ascii="Arial" w:hAnsi="Arial" w:eastAsia="宋体" w:cs="Arial"/>
        </w:rPr>
        <w:t>个月或以后的异物感觉</w:t>
      </w:r>
    </w:p>
    <w:p w14:paraId="16B9D465">
      <w:pPr>
        <w:pStyle w:val="18"/>
        <w:numPr>
          <w:ilvl w:val="1"/>
          <w:numId w:val="15"/>
        </w:numPr>
        <w:snapToGrid w:val="0"/>
        <w:spacing w:after="156" w:afterLines="50" w:line="300" w:lineRule="auto"/>
        <w:ind w:left="392" w:hanging="350" w:firstLineChars="0"/>
        <w:rPr>
          <w:rFonts w:ascii="Arial" w:hAnsi="Arial" w:eastAsia="宋体" w:cs="Arial"/>
        </w:rPr>
      </w:pPr>
      <w:r>
        <w:rPr>
          <w:rFonts w:hint="eastAsia" w:ascii="Arial" w:hAnsi="Arial" w:eastAsia="宋体" w:cs="Arial"/>
        </w:rPr>
        <w:t>一个月或以后的疼痛</w:t>
      </w:r>
    </w:p>
    <w:p w14:paraId="18DAC401">
      <w:pPr>
        <w:pStyle w:val="18"/>
        <w:numPr>
          <w:ilvl w:val="0"/>
          <w:numId w:val="16"/>
        </w:numPr>
        <w:snapToGrid w:val="0"/>
        <w:spacing w:after="156" w:afterLines="50" w:line="300" w:lineRule="auto"/>
        <w:ind w:left="392" w:hanging="350" w:firstLineChars="0"/>
        <w:rPr>
          <w:rFonts w:ascii="Arial" w:hAnsi="Arial" w:eastAsia="宋体" w:cs="Arial"/>
        </w:rPr>
      </w:pPr>
      <w:r>
        <w:rPr>
          <w:rFonts w:hint="eastAsia" w:ascii="Arial" w:hAnsi="Arial" w:eastAsia="宋体" w:cs="Arial"/>
        </w:rPr>
        <w:t>在手术眼中的怪异</w:t>
      </w:r>
      <w:r>
        <w:rPr>
          <w:rFonts w:ascii="Arial" w:hAnsi="Arial" w:eastAsia="宋体" w:cs="Arial"/>
        </w:rPr>
        <w:t>/</w:t>
      </w:r>
      <w:r>
        <w:rPr>
          <w:rFonts w:hint="eastAsia" w:ascii="Arial" w:hAnsi="Arial" w:eastAsia="宋体" w:cs="Arial"/>
        </w:rPr>
        <w:t>双重图像</w:t>
      </w:r>
    </w:p>
    <w:p w14:paraId="046CAFA4">
      <w:pPr>
        <w:pStyle w:val="18"/>
        <w:numPr>
          <w:ilvl w:val="0"/>
          <w:numId w:val="16"/>
        </w:numPr>
        <w:snapToGrid w:val="0"/>
        <w:spacing w:after="156" w:afterLines="50" w:line="300" w:lineRule="auto"/>
        <w:ind w:left="392" w:hanging="350" w:firstLineChars="0"/>
        <w:rPr>
          <w:rFonts w:ascii="Arial" w:hAnsi="Arial" w:eastAsia="宋体" w:cs="Arial"/>
        </w:rPr>
      </w:pPr>
      <w:r>
        <w:rPr>
          <w:rFonts w:hint="eastAsia" w:ascii="Arial" w:hAnsi="Arial" w:eastAsia="宋体" w:cs="Arial"/>
        </w:rPr>
        <w:t>皮瓣膜不具有最初预期的尺寸和形状，或切片机在切割中停止（仅限于</w:t>
      </w:r>
      <w:r>
        <w:rPr>
          <w:rFonts w:ascii="Arial" w:hAnsi="Arial" w:eastAsia="宋体" w:cs="Arial"/>
        </w:rPr>
        <w:t>LASIK</w:t>
      </w:r>
      <w:r>
        <w:rPr>
          <w:rFonts w:hint="eastAsia" w:ascii="Arial" w:hAnsi="Arial" w:eastAsia="宋体" w:cs="Arial"/>
        </w:rPr>
        <w:t>）</w:t>
      </w:r>
    </w:p>
    <w:p w14:paraId="127B34EA">
      <w:pPr>
        <w:widowControl/>
        <w:spacing w:line="360" w:lineRule="auto"/>
        <w:jc w:val="left"/>
        <w:rPr>
          <w:rFonts w:ascii="Arial" w:hAnsi="Arial" w:eastAsia="宋体" w:cs="Arial"/>
        </w:rPr>
      </w:pPr>
      <w:r>
        <w:rPr>
          <w:rFonts w:ascii="Arial" w:hAnsi="Arial" w:eastAsia="宋体" w:cs="Arial"/>
        </w:rPr>
        <w:br w:type="page"/>
      </w:r>
    </w:p>
    <w:p w14:paraId="18BE5284">
      <w:pPr>
        <w:pStyle w:val="18"/>
        <w:numPr>
          <w:ilvl w:val="2"/>
          <w:numId w:val="5"/>
        </w:numPr>
        <w:snapToGrid w:val="0"/>
        <w:spacing w:after="156" w:afterLines="50" w:line="360" w:lineRule="auto"/>
        <w:ind w:left="0" w:firstLineChars="0"/>
        <w:outlineLvl w:val="2"/>
        <w:rPr>
          <w:rFonts w:ascii="Arial" w:hAnsi="Arial" w:eastAsia="宋体" w:cs="Arial"/>
          <w:b/>
        </w:rPr>
      </w:pPr>
      <w:bookmarkStart w:id="50" w:name="_Toc478047090"/>
      <w:r>
        <w:rPr>
          <w:rFonts w:hint="eastAsia" w:ascii="Arial" w:hAnsi="Arial" w:eastAsia="宋体" w:cs="Arial"/>
          <w:b/>
        </w:rPr>
        <w:t>数据收集和管理</w:t>
      </w:r>
      <w:r>
        <w:rPr>
          <w:rFonts w:ascii="Arial" w:hAnsi="Arial" w:eastAsia="宋体" w:cs="Arial"/>
          <w:b/>
        </w:rPr>
        <w:t>/</w:t>
      </w:r>
      <w:r>
        <w:rPr>
          <w:rFonts w:hint="eastAsia" w:ascii="Arial" w:hAnsi="Arial" w:eastAsia="宋体" w:cs="Arial"/>
          <w:b/>
        </w:rPr>
        <w:t>统计方法</w:t>
      </w:r>
      <w:bookmarkEnd w:id="50"/>
    </w:p>
    <w:p w14:paraId="033CED3C">
      <w:pPr>
        <w:pStyle w:val="18"/>
        <w:numPr>
          <w:ilvl w:val="3"/>
          <w:numId w:val="5"/>
        </w:numPr>
        <w:snapToGrid w:val="0"/>
        <w:spacing w:after="156" w:afterLines="50" w:line="360" w:lineRule="auto"/>
        <w:ind w:left="0" w:firstLine="0" w:firstLineChars="0"/>
        <w:outlineLvl w:val="3"/>
        <w:rPr>
          <w:rFonts w:ascii="Arial" w:hAnsi="Arial" w:eastAsia="宋体" w:cs="Arial"/>
          <w:b/>
          <w:bCs/>
          <w:kern w:val="0"/>
        </w:rPr>
      </w:pPr>
      <w:bookmarkStart w:id="51" w:name="_Toc478047091"/>
      <w:r>
        <w:rPr>
          <w:rFonts w:hint="eastAsia" w:ascii="Arial" w:hAnsi="Arial" w:eastAsia="宋体" w:cs="Arial"/>
          <w:b/>
          <w:bCs/>
          <w:kern w:val="0"/>
        </w:rPr>
        <w:t>样本量</w:t>
      </w:r>
      <w:bookmarkEnd w:id="51"/>
    </w:p>
    <w:p w14:paraId="72A1B5B6">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应选择受试者的样本量以获得结果率的有效统计学上评估。不良事件和并发症的预期发生率应确定样本量的计算。</w:t>
      </w:r>
      <w:r>
        <w:rPr>
          <w:rFonts w:hint="eastAsia" w:ascii="Arial" w:hAnsi="Arial" w:eastAsia="宋体" w:cs="Arial"/>
          <w:bCs/>
          <w:kern w:val="0"/>
          <w:u w:val="single"/>
        </w:rPr>
        <w:t>每个屈光指征的</w:t>
      </w:r>
      <w:r>
        <w:rPr>
          <w:rFonts w:ascii="Arial" w:hAnsi="Arial" w:eastAsia="宋体" w:cs="Arial"/>
          <w:bCs/>
          <w:kern w:val="0"/>
          <w:u w:val="single"/>
        </w:rPr>
        <w:t>300-400</w:t>
      </w:r>
      <w:r>
        <w:rPr>
          <w:rFonts w:hint="eastAsia" w:ascii="Arial" w:hAnsi="Arial" w:eastAsia="宋体" w:cs="Arial"/>
          <w:bCs/>
          <w:kern w:val="0"/>
          <w:u w:val="single"/>
        </w:rPr>
        <w:t>个受试者的样本量通常足以评估上面</w:t>
      </w:r>
      <w:r>
        <w:rPr>
          <w:rFonts w:ascii="Arial" w:hAnsi="Arial" w:eastAsia="宋体" w:cs="Arial"/>
          <w:bCs/>
          <w:kern w:val="0"/>
          <w:u w:val="single"/>
        </w:rPr>
        <w:t>3.2.2</w:t>
      </w:r>
      <w:r>
        <w:rPr>
          <w:rFonts w:hint="eastAsia" w:ascii="Arial" w:hAnsi="Arial" w:eastAsia="宋体" w:cs="Arial"/>
          <w:bCs/>
          <w:kern w:val="0"/>
          <w:u w:val="single"/>
        </w:rPr>
        <w:t>节中列出的安全性和有效性目标</w:t>
      </w:r>
      <w:r>
        <w:rPr>
          <w:rFonts w:hint="eastAsia" w:ascii="Arial" w:hAnsi="Arial" w:eastAsia="宋体" w:cs="Arial"/>
          <w:bCs/>
          <w:kern w:val="0"/>
        </w:rPr>
        <w:t>。使用激光屈光手术进行研究的样本量应该根据预期的不良事件发生率和并发症计算，所述激光器是激光屈光手术在</w:t>
      </w:r>
      <w:r>
        <w:rPr>
          <w:rFonts w:ascii="Arial" w:hAnsi="Arial" w:eastAsia="宋体" w:cs="Arial"/>
          <w:bCs/>
          <w:kern w:val="0"/>
        </w:rPr>
        <w:t>200术</w:t>
      </w:r>
      <w:r>
        <w:rPr>
          <w:rFonts w:hint="eastAsia" w:ascii="Arial" w:hAnsi="Arial" w:eastAsia="宋体" w:cs="Arial"/>
          <w:bCs/>
          <w:kern w:val="0"/>
        </w:rPr>
        <w:t>切除内皮组织或激光大于</w:t>
      </w:r>
      <w:r>
        <w:rPr>
          <w:rFonts w:ascii="Arial" w:hAnsi="Arial" w:eastAsia="宋体" w:cs="Arial"/>
          <w:bCs/>
          <w:kern w:val="0"/>
        </w:rPr>
        <w:t>230mJcm-2</w:t>
      </w:r>
      <w:r>
        <w:rPr>
          <w:rFonts w:hint="eastAsia" w:ascii="Arial" w:hAnsi="Arial" w:eastAsia="宋体" w:cs="Arial"/>
          <w:bCs/>
          <w:kern w:val="0"/>
        </w:rPr>
        <w:t>的或引起其他安全问题的。</w:t>
      </w:r>
    </w:p>
    <w:p w14:paraId="452EC3CA">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用于获得适当样本量的统计计算应由申请人描述。附录</w:t>
      </w:r>
      <w:r>
        <w:rPr>
          <w:rFonts w:ascii="Arial" w:hAnsi="Arial" w:eastAsia="宋体" w:cs="Arial"/>
          <w:bCs/>
          <w:kern w:val="0"/>
        </w:rPr>
        <w:t>C</w:t>
      </w:r>
      <w:r>
        <w:rPr>
          <w:rFonts w:hint="eastAsia" w:ascii="Arial" w:hAnsi="Arial" w:eastAsia="宋体" w:cs="Arial"/>
          <w:bCs/>
          <w:kern w:val="0"/>
        </w:rPr>
        <w:t>仅提供了并发症和不良事件的样本量。对于连续或定量测量数据，基于所需精度（</w:t>
      </w:r>
      <w:r>
        <w:rPr>
          <w:rFonts w:ascii="Arial" w:hAnsi="Arial" w:eastAsia="宋体" w:cs="Arial"/>
          <w:bCs/>
          <w:kern w:val="0"/>
        </w:rPr>
        <w:t>d</w:t>
      </w:r>
      <w:r>
        <w:rPr>
          <w:rFonts w:hint="eastAsia" w:ascii="Arial" w:hAnsi="Arial" w:eastAsia="宋体" w:cs="Arial"/>
          <w:bCs/>
          <w:kern w:val="0"/>
        </w:rPr>
        <w:t>）和高斯假设，一个治疗组的样本量公式为：</w:t>
      </w:r>
    </w:p>
    <w:p w14:paraId="5CB9F9F3">
      <w:pPr>
        <w:snapToGrid w:val="0"/>
        <w:spacing w:after="156" w:afterLines="50" w:line="360" w:lineRule="auto"/>
        <w:ind w:firstLine="714" w:firstLineChars="340"/>
        <w:rPr>
          <w:rFonts w:ascii="Arial" w:hAnsi="Arial" w:eastAsia="宋体" w:cs="Arial"/>
          <w:kern w:val="0"/>
        </w:rPr>
      </w:pPr>
      <w:r>
        <w:rPr>
          <w:rFonts w:hint="eastAsia" w:ascii="Arial" w:hAnsi="Arial" w:eastAsia="宋体" w:cs="Arial"/>
          <w:bCs/>
          <w:kern w:val="0"/>
        </w:rPr>
        <w:t>样本量</w:t>
      </w:r>
      <w:r>
        <w:rPr>
          <w:rFonts w:ascii="Arial" w:hAnsi="Arial" w:eastAsia="宋体" w:cs="Arial"/>
          <w:kern w:val="0"/>
        </w:rPr>
        <w:t>(n) =(</w:t>
      </w:r>
      <w:bookmarkStart w:id="52" w:name="OLE_LINK31"/>
      <w:bookmarkStart w:id="53" w:name="OLE_LINK30"/>
      <w:r>
        <w:rPr>
          <w:rFonts w:ascii="Arial" w:hAnsi="Arial" w:eastAsia="宋体" w:cs="Arial"/>
          <w:kern w:val="0"/>
        </w:rPr>
        <w:t xml:space="preserve"> Z</w:t>
      </w:r>
      <w:r>
        <w:rPr>
          <w:rFonts w:hint="eastAsia" w:ascii="Arial" w:hAnsi="Arial" w:eastAsia="宋体" w:cs="Arial"/>
          <w:kern w:val="0"/>
          <w:vertAlign w:val="subscript"/>
        </w:rPr>
        <w:t>α</w:t>
      </w:r>
      <w:bookmarkEnd w:id="52"/>
      <w:bookmarkEnd w:id="53"/>
      <w:r>
        <w:rPr>
          <w:rFonts w:ascii="Arial" w:hAnsi="Arial" w:eastAsia="宋体" w:cs="Arial"/>
          <w:kern w:val="0"/>
        </w:rPr>
        <w:t>)</w:t>
      </w:r>
      <w:r>
        <w:rPr>
          <w:rFonts w:ascii="Arial" w:hAnsi="Arial" w:eastAsia="宋体" w:cs="Arial"/>
          <w:kern w:val="0"/>
          <w:vertAlign w:val="superscript"/>
        </w:rPr>
        <w:t>2</w:t>
      </w:r>
      <w:r>
        <w:rPr>
          <w:rFonts w:ascii="Arial" w:hAnsi="Arial" w:eastAsia="宋体" w:cs="Arial"/>
          <w:kern w:val="0"/>
        </w:rPr>
        <w:t>×</w:t>
      </w:r>
      <w:bookmarkStart w:id="54" w:name="OLE_LINK32"/>
      <w:r>
        <w:rPr>
          <w:rFonts w:hint="eastAsia" w:ascii="Arial" w:hAnsi="Arial" w:eastAsia="宋体" w:cs="Arial"/>
          <w:kern w:val="0"/>
        </w:rPr>
        <w:t>σ</w:t>
      </w:r>
      <w:r>
        <w:rPr>
          <w:rFonts w:ascii="Arial" w:hAnsi="Arial" w:eastAsia="宋体" w:cs="Arial"/>
          <w:kern w:val="0"/>
          <w:vertAlign w:val="superscript"/>
        </w:rPr>
        <w:t>2</w:t>
      </w:r>
      <w:bookmarkEnd w:id="54"/>
      <w:r>
        <w:rPr>
          <w:rFonts w:ascii="Arial" w:hAnsi="Arial" w:eastAsia="宋体" w:cs="Arial"/>
          <w:kern w:val="0"/>
        </w:rPr>
        <w:t>/d</w:t>
      </w:r>
      <w:r>
        <w:rPr>
          <w:rFonts w:ascii="Arial" w:hAnsi="Arial" w:eastAsia="宋体" w:cs="Arial"/>
          <w:kern w:val="0"/>
          <w:vertAlign w:val="superscript"/>
        </w:rPr>
        <w:t>2</w:t>
      </w:r>
      <w:r>
        <w:rPr>
          <w:rFonts w:ascii="Arial" w:hAnsi="Arial" w:eastAsia="宋体" w:cs="Arial"/>
          <w:kern w:val="0"/>
        </w:rPr>
        <w:t>,</w:t>
      </w:r>
    </w:p>
    <w:p w14:paraId="2865088B">
      <w:pPr>
        <w:snapToGrid w:val="0"/>
        <w:spacing w:after="156" w:afterLines="50" w:line="360" w:lineRule="auto"/>
        <w:ind w:firstLine="1050" w:firstLineChars="500"/>
        <w:rPr>
          <w:rFonts w:ascii="Arial" w:hAnsi="Arial" w:eastAsia="宋体" w:cs="Arial"/>
          <w:kern w:val="0"/>
        </w:rPr>
      </w:pPr>
      <w:r>
        <w:rPr>
          <w:rFonts w:hint="eastAsia" w:ascii="Arial" w:hAnsi="Arial" w:eastAsia="宋体" w:cs="Arial"/>
          <w:kern w:val="0"/>
        </w:rPr>
        <w:t>其中，</w:t>
      </w:r>
      <w:r>
        <w:rPr>
          <w:rFonts w:ascii="Arial" w:hAnsi="Arial" w:eastAsia="宋体" w:cs="Arial"/>
          <w:kern w:val="0"/>
        </w:rPr>
        <w:t xml:space="preserve">  Z</w:t>
      </w:r>
      <w:r>
        <w:rPr>
          <w:rFonts w:hint="eastAsia" w:ascii="Arial" w:hAnsi="Arial" w:eastAsia="宋体" w:cs="Arial"/>
          <w:kern w:val="0"/>
          <w:vertAlign w:val="subscript"/>
        </w:rPr>
        <w:t>α</w:t>
      </w:r>
      <w:r>
        <w:rPr>
          <w:rFonts w:ascii="Arial" w:hAnsi="Arial" w:eastAsia="宋体" w:cs="Arial"/>
          <w:kern w:val="0"/>
        </w:rPr>
        <w:t xml:space="preserve"> = 1.96</w:t>
      </w:r>
      <w:r>
        <w:rPr>
          <w:rFonts w:hint="eastAsia" w:ascii="Arial" w:hAnsi="Arial" w:eastAsia="宋体" w:cs="Arial"/>
          <w:kern w:val="0"/>
        </w:rPr>
        <w:t>，标准化正态偏差对应于</w:t>
      </w:r>
      <w:r>
        <w:rPr>
          <w:rFonts w:ascii="Arial" w:hAnsi="Arial" w:eastAsia="宋体" w:cs="Arial"/>
          <w:kern w:val="0"/>
        </w:rPr>
        <w:t>95</w:t>
      </w:r>
      <w:r>
        <w:rPr>
          <w:rFonts w:hint="eastAsia" w:ascii="Arial" w:hAnsi="Arial" w:eastAsia="宋体" w:cs="Arial"/>
          <w:kern w:val="0"/>
        </w:rPr>
        <w:t>％置信水平；</w:t>
      </w:r>
    </w:p>
    <w:p w14:paraId="72CD49CE">
      <w:pPr>
        <w:snapToGrid w:val="0"/>
        <w:spacing w:after="156" w:afterLines="50" w:line="360" w:lineRule="auto"/>
        <w:ind w:firstLine="1890" w:firstLineChars="900"/>
        <w:rPr>
          <w:rFonts w:ascii="Arial" w:hAnsi="Arial" w:eastAsia="宋体" w:cs="Arial"/>
          <w:bCs/>
          <w:kern w:val="0"/>
        </w:rPr>
      </w:pPr>
      <w:r>
        <w:rPr>
          <w:rFonts w:hint="eastAsia" w:ascii="Arial" w:hAnsi="Arial" w:eastAsia="宋体" w:cs="Arial"/>
          <w:kern w:val="0"/>
        </w:rPr>
        <w:t>σ</w:t>
      </w:r>
      <w:r>
        <w:rPr>
          <w:rFonts w:ascii="Arial" w:hAnsi="Arial" w:eastAsia="宋体" w:cs="Arial"/>
          <w:kern w:val="0"/>
          <w:vertAlign w:val="superscript"/>
        </w:rPr>
        <w:t>2</w:t>
      </w:r>
      <w:r>
        <w:rPr>
          <w:rFonts w:hint="eastAsia" w:ascii="Arial" w:hAnsi="Arial" w:eastAsia="宋体" w:cs="Arial"/>
          <w:bCs/>
          <w:kern w:val="0"/>
        </w:rPr>
        <w:t>是原始数据的方差，可能需要估计；</w:t>
      </w:r>
      <w:r>
        <w:rPr>
          <w:rFonts w:ascii="Arial" w:hAnsi="Arial" w:eastAsia="宋体" w:cs="Arial"/>
          <w:bCs/>
          <w:kern w:val="0"/>
        </w:rPr>
        <w:t xml:space="preserve"> </w:t>
      </w:r>
      <w:r>
        <w:rPr>
          <w:rFonts w:hint="eastAsia" w:ascii="Arial" w:hAnsi="Arial" w:eastAsia="宋体" w:cs="Arial"/>
          <w:bCs/>
          <w:kern w:val="0"/>
        </w:rPr>
        <w:t>和，</w:t>
      </w:r>
    </w:p>
    <w:p w14:paraId="528A2ACB">
      <w:pPr>
        <w:snapToGrid w:val="0"/>
        <w:spacing w:after="156" w:afterLines="50" w:line="360" w:lineRule="auto"/>
        <w:ind w:firstLine="1890" w:firstLineChars="900"/>
        <w:rPr>
          <w:rFonts w:ascii="Arial" w:hAnsi="Arial" w:eastAsia="宋体" w:cs="Arial"/>
          <w:bCs/>
          <w:kern w:val="0"/>
        </w:rPr>
      </w:pPr>
      <w:r>
        <w:rPr>
          <w:rFonts w:ascii="Arial" w:hAnsi="Arial" w:eastAsia="宋体" w:cs="Arial"/>
          <w:bCs/>
          <w:kern w:val="0"/>
        </w:rPr>
        <w:t>d</w:t>
      </w:r>
      <w:r>
        <w:rPr>
          <w:rFonts w:hint="eastAsia" w:ascii="Arial" w:hAnsi="Arial" w:eastAsia="宋体" w:cs="Arial"/>
          <w:bCs/>
          <w:kern w:val="0"/>
        </w:rPr>
        <w:t>是估计值与真实值之间的偏差的期望精度。</w:t>
      </w:r>
    </w:p>
    <w:p w14:paraId="7010057A">
      <w:pPr>
        <w:snapToGrid w:val="0"/>
        <w:spacing w:after="156" w:afterLines="50" w:line="360" w:lineRule="auto"/>
        <w:ind w:firstLine="420" w:firstLineChars="200"/>
        <w:rPr>
          <w:rFonts w:ascii="Arial" w:hAnsi="Arial" w:eastAsia="宋体" w:cs="Arial"/>
          <w:bCs/>
          <w:kern w:val="0"/>
        </w:rPr>
      </w:pPr>
      <w:r>
        <w:rPr>
          <w:rFonts w:hint="eastAsia" w:ascii="Arial" w:hAnsi="Arial" w:eastAsia="宋体" w:cs="Arial"/>
          <w:bCs/>
          <w:kern w:val="0"/>
        </w:rPr>
        <w:t>对于更大的方差或更好的精度（</w:t>
      </w:r>
      <w:r>
        <w:rPr>
          <w:rFonts w:ascii="Arial" w:hAnsi="Arial" w:eastAsia="宋体" w:cs="Arial"/>
          <w:bCs/>
          <w:kern w:val="0"/>
        </w:rPr>
        <w:t>d</w:t>
      </w:r>
      <w:r>
        <w:rPr>
          <w:rFonts w:hint="eastAsia" w:ascii="Arial" w:hAnsi="Arial" w:eastAsia="宋体" w:cs="Arial"/>
          <w:bCs/>
          <w:kern w:val="0"/>
        </w:rPr>
        <w:t>），需要更大的样本量。</w:t>
      </w:r>
    </w:p>
    <w:p w14:paraId="56BD719F">
      <w:pPr>
        <w:pStyle w:val="18"/>
        <w:numPr>
          <w:ilvl w:val="3"/>
          <w:numId w:val="5"/>
        </w:numPr>
        <w:snapToGrid w:val="0"/>
        <w:spacing w:after="156" w:afterLines="50" w:line="360" w:lineRule="auto"/>
        <w:ind w:left="0" w:firstLine="0" w:firstLineChars="0"/>
        <w:outlineLvl w:val="3"/>
        <w:rPr>
          <w:rFonts w:ascii="Arial" w:hAnsi="Arial" w:eastAsia="宋体" w:cs="Arial"/>
          <w:b/>
          <w:bCs/>
          <w:kern w:val="0"/>
        </w:rPr>
      </w:pPr>
      <w:bookmarkStart w:id="55" w:name="_Toc478047092"/>
      <w:r>
        <w:rPr>
          <w:rFonts w:hint="eastAsia" w:ascii="Arial" w:hAnsi="Arial" w:eastAsia="宋体" w:cs="Arial"/>
          <w:b/>
          <w:bCs/>
          <w:kern w:val="0"/>
        </w:rPr>
        <w:t>安全目标的估计</w:t>
      </w:r>
      <w:bookmarkEnd w:id="55"/>
    </w:p>
    <w:p w14:paraId="11B339AF">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由于记录的受试者的临床结局结果和评估的受试者数量将随时间频繁变化，因此在各个随访时间中用于估计安全目标比例的分子和分母的明确定义极为重要。</w:t>
      </w:r>
    </w:p>
    <w:p w14:paraId="33651D38">
      <w:pPr>
        <w:pStyle w:val="18"/>
        <w:numPr>
          <w:ilvl w:val="3"/>
          <w:numId w:val="5"/>
        </w:numPr>
        <w:snapToGrid w:val="0"/>
        <w:spacing w:after="156" w:afterLines="50" w:line="360" w:lineRule="auto"/>
        <w:ind w:left="0" w:firstLine="0" w:firstLineChars="0"/>
        <w:outlineLvl w:val="3"/>
        <w:rPr>
          <w:rFonts w:ascii="Arial" w:hAnsi="Arial" w:eastAsia="宋体" w:cs="Arial"/>
          <w:b/>
          <w:bCs/>
          <w:kern w:val="0"/>
        </w:rPr>
      </w:pPr>
      <w:bookmarkStart w:id="56" w:name="_Toc478047093"/>
      <w:r>
        <w:rPr>
          <w:rFonts w:hint="eastAsia" w:ascii="Arial" w:hAnsi="Arial" w:eastAsia="宋体" w:cs="Arial"/>
          <w:b/>
          <w:bCs/>
          <w:kern w:val="0"/>
        </w:rPr>
        <w:t>有效性目标的估计</w:t>
      </w:r>
      <w:bookmarkEnd w:id="56"/>
    </w:p>
    <w:p w14:paraId="2FB84CC4">
      <w:pPr>
        <w:snapToGrid w:val="0"/>
        <w:spacing w:after="156" w:afterLines="50" w:line="360" w:lineRule="auto"/>
        <w:ind w:left="420" w:leftChars="200"/>
        <w:rPr>
          <w:rFonts w:ascii="Arial" w:hAnsi="Arial" w:eastAsia="宋体" w:cs="Arial"/>
          <w:bCs/>
          <w:spacing w:val="-4"/>
          <w:kern w:val="0"/>
        </w:rPr>
      </w:pPr>
      <w:r>
        <w:rPr>
          <w:rFonts w:hint="eastAsia" w:ascii="Arial" w:hAnsi="Arial" w:eastAsia="宋体" w:cs="Arial"/>
          <w:bCs/>
          <w:spacing w:val="-4"/>
          <w:kern w:val="0"/>
        </w:rPr>
        <w:t>为了估计在治疗后实现未矫正视力（</w:t>
      </w:r>
      <w:r>
        <w:rPr>
          <w:rFonts w:ascii="Arial" w:hAnsi="Arial" w:eastAsia="宋体" w:cs="Arial"/>
          <w:bCs/>
          <w:spacing w:val="-4"/>
          <w:kern w:val="0"/>
        </w:rPr>
        <w:t>UCVA</w:t>
      </w:r>
      <w:r>
        <w:rPr>
          <w:rFonts w:hint="eastAsia" w:ascii="Arial" w:hAnsi="Arial" w:eastAsia="宋体" w:cs="Arial"/>
          <w:bCs/>
          <w:spacing w:val="-4"/>
          <w:kern w:val="0"/>
        </w:rPr>
        <w:t>）为</w:t>
      </w:r>
      <w:r>
        <w:rPr>
          <w:rFonts w:ascii="Arial" w:hAnsi="Arial" w:eastAsia="宋体" w:cs="Arial"/>
          <w:bCs/>
          <w:spacing w:val="-4"/>
          <w:kern w:val="0"/>
        </w:rPr>
        <w:t>20/40</w:t>
      </w:r>
      <w:r>
        <w:rPr>
          <w:rFonts w:hint="eastAsia" w:ascii="Arial" w:hAnsi="Arial" w:eastAsia="宋体" w:cs="Arial"/>
          <w:bCs/>
          <w:spacing w:val="-4"/>
          <w:kern w:val="0"/>
        </w:rPr>
        <w:t>或更好的眼睛比例，应明确规定具体的随访时间。</w:t>
      </w:r>
    </w:p>
    <w:p w14:paraId="2B7B916D">
      <w:pPr>
        <w:snapToGrid w:val="0"/>
        <w:spacing w:after="156" w:afterLines="50" w:line="360" w:lineRule="auto"/>
        <w:ind w:left="420" w:leftChars="200"/>
        <w:rPr>
          <w:rFonts w:hint="eastAsia" w:ascii="Arial" w:hAnsi="Arial" w:eastAsia="宋体" w:cs="Arial"/>
          <w:bCs/>
          <w:kern w:val="0"/>
        </w:rPr>
      </w:pPr>
      <w:r>
        <w:rPr>
          <w:rFonts w:hint="eastAsia" w:ascii="Arial" w:hAnsi="Arial" w:eastAsia="宋体" w:cs="Arial"/>
          <w:bCs/>
          <w:kern w:val="0"/>
        </w:rPr>
        <w:t>应该估计实现±该估计实现和±估计实现的显性折射球面当量（</w:t>
      </w:r>
      <w:r>
        <w:rPr>
          <w:rFonts w:ascii="Arial" w:hAnsi="Arial" w:eastAsia="宋体" w:cs="Arial"/>
          <w:bCs/>
          <w:kern w:val="0"/>
        </w:rPr>
        <w:t>SE</w:t>
      </w:r>
      <w:r>
        <w:rPr>
          <w:rFonts w:hint="eastAsia" w:ascii="Arial" w:hAnsi="Arial" w:eastAsia="宋体" w:cs="Arial"/>
          <w:bCs/>
          <w:kern w:val="0"/>
        </w:rPr>
        <w:t>）的可预测性（尝试与实现）的眼睛的真实比例的</w:t>
      </w:r>
      <w:r>
        <w:rPr>
          <w:rFonts w:ascii="Arial" w:hAnsi="Arial" w:eastAsia="宋体" w:cs="Arial"/>
          <w:bCs/>
          <w:kern w:val="0"/>
        </w:rPr>
        <w:t>95</w:t>
      </w:r>
      <w:r>
        <w:rPr>
          <w:rFonts w:hint="eastAsia" w:ascii="Arial" w:hAnsi="Arial" w:eastAsia="宋体" w:cs="Arial"/>
          <w:bCs/>
          <w:kern w:val="0"/>
        </w:rPr>
        <w:t>％置信区间。然而，将</w:t>
      </w:r>
      <w:r>
        <w:rPr>
          <w:rFonts w:ascii="Arial" w:hAnsi="Arial" w:eastAsia="宋体" w:cs="Arial"/>
          <w:bCs/>
          <w:kern w:val="0"/>
        </w:rPr>
        <w:t>SE</w:t>
      </w:r>
      <w:r>
        <w:rPr>
          <w:rFonts w:hint="eastAsia" w:ascii="Arial" w:hAnsi="Arial" w:eastAsia="宋体" w:cs="Arial"/>
          <w:bCs/>
          <w:kern w:val="0"/>
        </w:rPr>
        <w:t>的原始连续测量转换为二进制（实现与未实现）将失去关于</w:t>
      </w:r>
      <w:r>
        <w:rPr>
          <w:rFonts w:ascii="Arial" w:hAnsi="Arial" w:eastAsia="宋体" w:cs="Arial"/>
          <w:bCs/>
          <w:kern w:val="0"/>
        </w:rPr>
        <w:t>SE</w:t>
      </w:r>
      <w:r>
        <w:rPr>
          <w:rFonts w:hint="eastAsia" w:ascii="Arial" w:hAnsi="Arial" w:eastAsia="宋体" w:cs="Arial"/>
          <w:bCs/>
          <w:kern w:val="0"/>
        </w:rPr>
        <w:t>有效性的有价值信息。另一种分析是使用</w:t>
      </w:r>
      <w:r>
        <w:rPr>
          <w:rFonts w:ascii="Arial" w:hAnsi="Arial" w:eastAsia="宋体" w:cs="Arial"/>
          <w:bCs/>
          <w:kern w:val="0"/>
        </w:rPr>
        <w:t>Student's</w:t>
      </w:r>
      <w:r>
        <w:rPr>
          <w:rFonts w:hint="eastAsia" w:ascii="Arial" w:hAnsi="Arial" w:eastAsia="宋体" w:cs="Arial"/>
          <w:bCs/>
          <w:kern w:val="0"/>
        </w:rPr>
        <w:t>配对</w:t>
      </w:r>
      <w:r>
        <w:rPr>
          <w:rFonts w:ascii="Arial" w:hAnsi="Arial" w:eastAsia="宋体" w:cs="Arial"/>
          <w:bCs/>
          <w:kern w:val="0"/>
        </w:rPr>
        <w:t>t-</w:t>
      </w:r>
      <w:r>
        <w:rPr>
          <w:rFonts w:hint="eastAsia" w:ascii="Arial" w:hAnsi="Arial" w:eastAsia="宋体" w:cs="Arial"/>
          <w:bCs/>
          <w:kern w:val="0"/>
        </w:rPr>
        <w:t>检验，假设正态或高斯分布的</w:t>
      </w:r>
      <w:r>
        <w:rPr>
          <w:rFonts w:ascii="Arial" w:hAnsi="Arial" w:eastAsia="宋体" w:cs="Arial"/>
          <w:bCs/>
          <w:kern w:val="0"/>
        </w:rPr>
        <w:t>SE</w:t>
      </w:r>
      <w:r>
        <w:rPr>
          <w:rFonts w:hint="eastAsia" w:ascii="Arial" w:hAnsi="Arial" w:eastAsia="宋体" w:cs="Arial"/>
          <w:bCs/>
          <w:kern w:val="0"/>
        </w:rPr>
        <w:t>数据或非参数</w:t>
      </w:r>
      <w:r>
        <w:rPr>
          <w:rFonts w:ascii="Arial" w:hAnsi="Arial" w:eastAsia="宋体" w:cs="Arial"/>
          <w:bCs/>
          <w:kern w:val="0"/>
        </w:rPr>
        <w:t>Wilcoxon</w:t>
      </w:r>
      <w:r>
        <w:rPr>
          <w:rFonts w:hint="eastAsia" w:ascii="Arial" w:hAnsi="Arial" w:eastAsia="宋体" w:cs="Arial"/>
          <w:bCs/>
          <w:kern w:val="0"/>
        </w:rPr>
        <w:t>符号秩统计量，以计算尝试和实现结果之间的平均配对差异和真实平均值的相应</w:t>
      </w:r>
      <w:r>
        <w:rPr>
          <w:rFonts w:ascii="Arial" w:hAnsi="Arial" w:eastAsia="宋体" w:cs="Arial"/>
          <w:bCs/>
          <w:kern w:val="0"/>
        </w:rPr>
        <w:t>95</w:t>
      </w:r>
      <w:r>
        <w:rPr>
          <w:rFonts w:hint="eastAsia" w:ascii="Arial" w:hAnsi="Arial" w:eastAsia="宋体" w:cs="Arial"/>
          <w:bCs/>
          <w:kern w:val="0"/>
        </w:rPr>
        <w:t>％置信区间的区别。此类信息可用于临床解释。</w:t>
      </w:r>
      <w:bookmarkStart w:id="57" w:name="OLE_LINK33"/>
      <w:bookmarkStart w:id="58" w:name="OLE_LINK34"/>
      <w:r>
        <w:rPr>
          <w:rFonts w:hint="eastAsia" w:ascii="Arial" w:hAnsi="Arial" w:eastAsia="宋体" w:cs="Arial"/>
          <w:bCs/>
          <w:kern w:val="0"/>
        </w:rPr>
        <w:t>随访时间应具体。</w:t>
      </w:r>
      <w:bookmarkEnd w:id="57"/>
      <w:bookmarkEnd w:id="58"/>
    </w:p>
    <w:p w14:paraId="5842688A">
      <w:pPr>
        <w:snapToGrid w:val="0"/>
        <w:spacing w:after="156" w:afterLines="50" w:line="360" w:lineRule="auto"/>
        <w:ind w:left="420" w:leftChars="200"/>
        <w:rPr>
          <w:rFonts w:ascii="Arial" w:hAnsi="Arial" w:eastAsia="宋体" w:cs="Arial"/>
          <w:bCs/>
          <w:kern w:val="0"/>
        </w:rPr>
      </w:pPr>
    </w:p>
    <w:p w14:paraId="18D1876B">
      <w:pPr>
        <w:widowControl/>
        <w:jc w:val="left"/>
        <w:rPr>
          <w:rFonts w:ascii="Arial" w:hAnsi="Arial" w:eastAsia="宋体" w:cs="Arial"/>
          <w:bCs/>
          <w:kern w:val="0"/>
        </w:rPr>
      </w:pPr>
      <w:r>
        <w:rPr>
          <w:rFonts w:ascii="Arial" w:hAnsi="Arial" w:eastAsia="宋体" w:cs="Arial"/>
          <w:bCs/>
          <w:kern w:val="0"/>
        </w:rPr>
        <w:br w:type="page"/>
      </w:r>
    </w:p>
    <w:p w14:paraId="3945FF21">
      <w:pPr>
        <w:snapToGrid w:val="0"/>
        <w:spacing w:after="156" w:afterLines="50" w:line="360" w:lineRule="auto"/>
        <w:ind w:left="420" w:leftChars="200"/>
        <w:rPr>
          <w:rFonts w:ascii="Arial" w:hAnsi="Arial" w:eastAsia="宋体" w:cs="Arial"/>
          <w:bCs/>
          <w:kern w:val="0"/>
        </w:rPr>
      </w:pPr>
    </w:p>
    <w:p w14:paraId="13F26E4B">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对于实现显性屈光稳定性的眼睛真实比例，以及对于散光校正方案，对于实现最小残余散光的眼睛真实比例，应当估计</w:t>
      </w:r>
      <w:r>
        <w:rPr>
          <w:rFonts w:ascii="Arial" w:hAnsi="Arial" w:eastAsia="宋体" w:cs="Arial"/>
          <w:bCs/>
          <w:kern w:val="0"/>
        </w:rPr>
        <w:t>95</w:t>
      </w:r>
      <w:r>
        <w:rPr>
          <w:rFonts w:hint="eastAsia" w:ascii="Arial" w:hAnsi="Arial" w:eastAsia="宋体" w:cs="Arial"/>
          <w:bCs/>
          <w:kern w:val="0"/>
        </w:rPr>
        <w:t>％置信区间。同样，随访时间应具体。</w:t>
      </w:r>
    </w:p>
    <w:p w14:paraId="57C059A6">
      <w:pPr>
        <w:pStyle w:val="18"/>
        <w:numPr>
          <w:ilvl w:val="3"/>
          <w:numId w:val="5"/>
        </w:numPr>
        <w:snapToGrid w:val="0"/>
        <w:spacing w:after="156" w:afterLines="50" w:line="360" w:lineRule="auto"/>
        <w:ind w:left="0" w:firstLine="0" w:firstLineChars="0"/>
        <w:outlineLvl w:val="3"/>
        <w:rPr>
          <w:rFonts w:ascii="Arial" w:hAnsi="Arial" w:eastAsia="宋体" w:cs="Arial"/>
          <w:b/>
          <w:bCs/>
          <w:kern w:val="0"/>
        </w:rPr>
      </w:pPr>
      <w:bookmarkStart w:id="59" w:name="_Toc478047094"/>
      <w:r>
        <w:rPr>
          <w:rFonts w:hint="eastAsia" w:ascii="Arial" w:hAnsi="Arial" w:eastAsia="宋体" w:cs="Arial"/>
          <w:b/>
          <w:bCs/>
          <w:kern w:val="0"/>
        </w:rPr>
        <w:t>对照组注意事项</w:t>
      </w:r>
      <w:bookmarkEnd w:id="59"/>
    </w:p>
    <w:p w14:paraId="346DC909">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从统计学角度来看，前瞻性，随机化，并行对照试验应比没有任何对照组的试验提供更客观的结果。使用来自与对照组相同的患者的另一只眼可能比根本没有对照组好。在所采用的两个对照组的任一个中，应当考虑随机化和盲态程序以控制观察者在评价临床结局中的偏倚。</w:t>
      </w:r>
    </w:p>
    <w:p w14:paraId="41070AF4">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如果来自同一患者的另一只眼睛用作对照，则可以进行匹配对分析。例如，对于视觉敏锐度，可以在所有研究受试者的每个特定随访时间构建以下</w:t>
      </w:r>
      <w:r>
        <w:rPr>
          <w:rFonts w:ascii="Arial" w:hAnsi="Arial" w:eastAsia="宋体" w:cs="Arial"/>
          <w:bCs/>
          <w:kern w:val="0"/>
        </w:rPr>
        <w:t>k试者</w:t>
      </w:r>
      <w:r>
        <w:rPr>
          <w:rFonts w:hint="eastAsia" w:ascii="Arial" w:hAnsi="Arial" w:eastAsia="宋体" w:cs="Arial"/>
          <w:bCs/>
          <w:kern w:val="0"/>
        </w:rPr>
        <w:t>匹配对表：</w:t>
      </w:r>
    </w:p>
    <w:p w14:paraId="78C79FB0">
      <w:pPr>
        <w:snapToGrid w:val="0"/>
        <w:spacing w:after="156" w:afterLines="50" w:line="360" w:lineRule="auto"/>
        <w:rPr>
          <w:rFonts w:ascii="Arial" w:hAnsi="Arial" w:eastAsia="宋体" w:cs="Arial"/>
          <w:bCs/>
          <w:kern w:val="0"/>
          <w:u w:val="single"/>
        </w:rPr>
      </w:pPr>
      <w:r>
        <w:rPr>
          <w:rFonts w:hint="eastAsia" w:ascii="Arial" w:hAnsi="Arial" w:eastAsia="宋体" w:cs="Arial"/>
          <w:bCs/>
          <w:kern w:val="0"/>
          <w:u w:val="single"/>
        </w:rPr>
        <w:t>激光治疗眼</w:t>
      </w:r>
      <w:r>
        <w:rPr>
          <w:rFonts w:ascii="Arial" w:hAnsi="Arial" w:eastAsia="宋体" w:cs="Arial"/>
          <w:bCs/>
          <w:kern w:val="0"/>
        </w:rPr>
        <w:tab/>
      </w:r>
      <w:r>
        <w:rPr>
          <w:rFonts w:ascii="Arial" w:hAnsi="Arial" w:eastAsia="宋体" w:cs="Arial"/>
          <w:bCs/>
          <w:kern w:val="0"/>
        </w:rPr>
        <w:tab/>
      </w:r>
      <w:r>
        <w:rPr>
          <w:rFonts w:ascii="Arial" w:hAnsi="Arial" w:eastAsia="宋体" w:cs="Arial"/>
          <w:bCs/>
          <w:kern w:val="0"/>
        </w:rPr>
        <w:tab/>
      </w:r>
      <w:r>
        <w:rPr>
          <w:rFonts w:ascii="Arial" w:hAnsi="Arial" w:eastAsia="宋体" w:cs="Arial"/>
          <w:bCs/>
          <w:kern w:val="0"/>
        </w:rPr>
        <w:tab/>
      </w:r>
      <w:r>
        <w:rPr>
          <w:rFonts w:ascii="Arial" w:hAnsi="Arial" w:eastAsia="宋体" w:cs="Arial"/>
          <w:bCs/>
          <w:kern w:val="0"/>
        </w:rPr>
        <w:tab/>
      </w:r>
      <w:r>
        <w:rPr>
          <w:rFonts w:ascii="Arial" w:hAnsi="Arial" w:eastAsia="宋体" w:cs="Arial"/>
          <w:bCs/>
          <w:kern w:val="0"/>
        </w:rPr>
        <w:tab/>
      </w:r>
      <w:r>
        <w:rPr>
          <w:rFonts w:ascii="Arial" w:hAnsi="Arial" w:eastAsia="宋体" w:cs="Arial"/>
          <w:bCs/>
          <w:kern w:val="0"/>
        </w:rPr>
        <w:tab/>
      </w:r>
      <w:r>
        <w:rPr>
          <w:rFonts w:ascii="Arial" w:hAnsi="Arial" w:eastAsia="宋体" w:cs="Arial"/>
          <w:bCs/>
          <w:kern w:val="0"/>
        </w:rPr>
        <w:tab/>
      </w:r>
      <w:r>
        <w:rPr>
          <w:rFonts w:hint="eastAsia" w:ascii="Arial" w:hAnsi="Arial" w:eastAsia="宋体" w:cs="Arial"/>
          <w:bCs/>
          <w:kern w:val="0"/>
          <w:u w:val="single"/>
        </w:rPr>
        <w:t>其他眼睛（对照眼）</w:t>
      </w:r>
    </w:p>
    <w:p w14:paraId="09D83C46">
      <w:pPr>
        <w:snapToGrid w:val="0"/>
        <w:spacing w:after="156" w:afterLines="50" w:line="360" w:lineRule="auto"/>
        <w:ind w:firstLine="1314" w:firstLineChars="626"/>
        <w:rPr>
          <w:rFonts w:ascii="Arial" w:hAnsi="Arial" w:eastAsia="宋体" w:cs="Arial"/>
          <w:bCs/>
          <w:kern w:val="0"/>
        </w:rPr>
      </w:pPr>
      <w:r>
        <w:rPr>
          <w:rFonts w:ascii="Arial" w:hAnsi="Arial" w:eastAsia="宋体" w:cs="Arial"/>
          <w:bCs/>
          <w:kern w:val="0"/>
        </w:rPr>
        <w:t>20/20</w:t>
      </w:r>
      <w:r>
        <w:rPr>
          <w:rFonts w:hint="eastAsia" w:ascii="Arial" w:hAnsi="Arial" w:eastAsia="宋体" w:cs="Arial"/>
          <w:bCs/>
          <w:kern w:val="0"/>
        </w:rPr>
        <w:t>或更好</w:t>
      </w:r>
      <w:bookmarkStart w:id="60" w:name="OLE_LINK35"/>
      <w:bookmarkStart w:id="61" w:name="OLE_LINK36"/>
      <w:r>
        <w:rPr>
          <w:rFonts w:ascii="Arial" w:hAnsi="Arial" w:eastAsia="宋体" w:cs="Arial"/>
          <w:bCs/>
          <w:kern w:val="0"/>
        </w:rPr>
        <w:tab/>
      </w:r>
      <w:r>
        <w:rPr>
          <w:rFonts w:ascii="Arial" w:hAnsi="Arial" w:eastAsia="宋体" w:cs="Arial"/>
          <w:bCs/>
          <w:kern w:val="0"/>
        </w:rPr>
        <w:tab/>
      </w:r>
      <w:r>
        <w:rPr>
          <w:rFonts w:ascii="Arial" w:hAnsi="Arial" w:eastAsia="宋体" w:cs="Arial"/>
          <w:bCs/>
          <w:kern w:val="0"/>
        </w:rPr>
        <w:tab/>
      </w:r>
      <w:r>
        <w:rPr>
          <w:rFonts w:ascii="Arial" w:hAnsi="Arial" w:eastAsia="宋体" w:cs="Arial"/>
          <w:bCs/>
          <w:kern w:val="0"/>
        </w:rPr>
        <w:tab/>
      </w:r>
      <w:r>
        <w:rPr>
          <w:rFonts w:ascii="Arial" w:hAnsi="Arial" w:eastAsia="宋体" w:cs="Arial"/>
          <w:bCs/>
          <w:kern w:val="0"/>
        </w:rPr>
        <w:t>20/25-20/40</w:t>
      </w:r>
      <w:bookmarkEnd w:id="60"/>
      <w:bookmarkEnd w:id="61"/>
      <w:bookmarkStart w:id="62" w:name="OLE_LINK38"/>
      <w:bookmarkStart w:id="63" w:name="OLE_LINK37"/>
      <w:r>
        <w:rPr>
          <w:rFonts w:ascii="Arial" w:hAnsi="Arial" w:eastAsia="宋体" w:cs="Arial"/>
          <w:bCs/>
          <w:kern w:val="0"/>
        </w:rPr>
        <w:tab/>
      </w:r>
      <w:r>
        <w:rPr>
          <w:rFonts w:ascii="Arial" w:hAnsi="Arial" w:eastAsia="宋体" w:cs="Arial"/>
          <w:bCs/>
          <w:kern w:val="0"/>
        </w:rPr>
        <w:tab/>
      </w:r>
      <w:r>
        <w:rPr>
          <w:rFonts w:ascii="Arial" w:hAnsi="Arial" w:eastAsia="宋体" w:cs="Arial"/>
          <w:bCs/>
          <w:kern w:val="0"/>
        </w:rPr>
        <w:tab/>
      </w:r>
      <w:r>
        <w:rPr>
          <w:rFonts w:ascii="Arial" w:hAnsi="Arial" w:eastAsia="宋体" w:cs="Arial"/>
          <w:bCs/>
          <w:kern w:val="0"/>
        </w:rPr>
        <w:tab/>
      </w:r>
      <w:r>
        <w:rPr>
          <w:rFonts w:ascii="Arial" w:hAnsi="Arial" w:eastAsia="宋体" w:cs="Arial"/>
          <w:bCs/>
          <w:kern w:val="0"/>
        </w:rPr>
        <w:t>20/200</w:t>
      </w:r>
      <w:r>
        <w:rPr>
          <w:rFonts w:hint="eastAsia" w:ascii="Arial" w:hAnsi="Arial" w:eastAsia="宋体" w:cs="Arial"/>
          <w:bCs/>
          <w:kern w:val="0"/>
        </w:rPr>
        <w:t>或更差</w:t>
      </w:r>
    </w:p>
    <w:bookmarkEnd w:id="62"/>
    <w:bookmarkEnd w:id="63"/>
    <w:p w14:paraId="4F015288">
      <w:pPr>
        <w:snapToGrid w:val="0"/>
        <w:spacing w:after="156" w:afterLines="50" w:line="360" w:lineRule="auto"/>
        <w:rPr>
          <w:rFonts w:ascii="Arial" w:hAnsi="Arial" w:eastAsia="宋体" w:cs="Arial"/>
        </w:rPr>
      </w:pPr>
      <w:r>
        <w:rPr>
          <w:rFonts w:ascii="Arial" w:hAnsi="Arial" w:eastAsia="宋体" w:cs="Arial"/>
          <w:bCs/>
          <w:kern w:val="0"/>
        </w:rPr>
        <w:t>20/20</w:t>
      </w:r>
      <w:r>
        <w:rPr>
          <w:rFonts w:hint="eastAsia" w:ascii="Arial" w:hAnsi="Arial" w:eastAsia="宋体" w:cs="Arial"/>
          <w:bCs/>
          <w:kern w:val="0"/>
        </w:rPr>
        <w:t>或更好</w:t>
      </w:r>
      <w:r>
        <w:rPr>
          <w:rFonts w:ascii="Arial" w:hAnsi="Arial" w:eastAsia="宋体" w:cs="Arial"/>
          <w:bCs/>
          <w:kern w:val="0"/>
        </w:rPr>
        <w:tab/>
      </w:r>
      <w:r>
        <w:rPr>
          <w:rFonts w:ascii="Arial" w:hAnsi="Arial" w:eastAsia="宋体" w:cs="Arial"/>
          <w:bCs/>
          <w:kern w:val="0"/>
        </w:rPr>
        <w:tab/>
      </w:r>
      <w:r>
        <w:rPr>
          <w:rFonts w:ascii="Arial" w:hAnsi="Arial" w:eastAsia="宋体" w:cs="Arial"/>
          <w:bCs/>
          <w:kern w:val="0"/>
        </w:rPr>
        <w:tab/>
      </w:r>
      <w:r>
        <w:rPr>
          <w:rFonts w:ascii="Arial" w:hAnsi="Arial" w:eastAsia="宋体" w:cs="Arial"/>
          <w:bCs/>
          <w:kern w:val="0"/>
        </w:rPr>
        <w:tab/>
      </w:r>
      <w:r>
        <w:rPr>
          <w:rFonts w:ascii="Arial" w:hAnsi="Arial" w:eastAsia="宋体" w:cs="Arial"/>
          <w:bCs/>
          <w:kern w:val="0"/>
        </w:rPr>
        <w:tab/>
      </w:r>
      <w:r>
        <w:rPr>
          <w:rFonts w:ascii="Arial" w:hAnsi="Arial" w:eastAsia="宋体" w:cs="Arial"/>
          <w:bCs/>
          <w:kern w:val="0"/>
        </w:rPr>
        <w:t xml:space="preserve">20 / 25-20 / 40 </w:t>
      </w:r>
      <w:r>
        <w:rPr>
          <w:rFonts w:hint="eastAsia" w:ascii="Arial" w:hAnsi="Arial" w:eastAsia="宋体" w:cs="Arial"/>
          <w:bCs/>
          <w:kern w:val="0"/>
        </w:rPr>
        <w:t>此处输入配对受试者的数量</w:t>
      </w:r>
    </w:p>
    <w:p w14:paraId="356C1D33">
      <w:pPr>
        <w:snapToGrid w:val="0"/>
        <w:spacing w:after="156" w:afterLines="50" w:line="360" w:lineRule="auto"/>
        <w:rPr>
          <w:rFonts w:ascii="Arial" w:hAnsi="Arial" w:eastAsia="宋体" w:cs="Arial"/>
        </w:rPr>
      </w:pPr>
    </w:p>
    <w:p w14:paraId="738D295F">
      <w:pPr>
        <w:snapToGrid w:val="0"/>
        <w:spacing w:after="156" w:afterLines="50" w:line="360" w:lineRule="auto"/>
        <w:rPr>
          <w:rFonts w:ascii="Arial" w:hAnsi="Arial" w:eastAsia="宋体" w:cs="Arial"/>
        </w:rPr>
      </w:pPr>
    </w:p>
    <w:p w14:paraId="6182C3A4">
      <w:pPr>
        <w:snapToGrid w:val="0"/>
        <w:spacing w:after="156" w:afterLines="50" w:line="360" w:lineRule="auto"/>
        <w:rPr>
          <w:rFonts w:ascii="Arial" w:hAnsi="Arial" w:eastAsia="宋体" w:cs="Arial"/>
        </w:rPr>
      </w:pPr>
      <w:r>
        <w:rPr>
          <w:rFonts w:ascii="Arial" w:hAnsi="Arial" w:eastAsia="宋体" w:cs="Arial"/>
          <w:bCs/>
          <w:kern w:val="0"/>
        </w:rPr>
        <w:t>20/200</w:t>
      </w:r>
      <w:r>
        <w:rPr>
          <w:rFonts w:hint="eastAsia" w:ascii="Arial" w:hAnsi="Arial" w:eastAsia="宋体" w:cs="Arial"/>
          <w:bCs/>
          <w:kern w:val="0"/>
        </w:rPr>
        <w:t>或更差</w:t>
      </w:r>
    </w:p>
    <w:p w14:paraId="67C4EA82">
      <w:pPr>
        <w:snapToGrid w:val="0"/>
        <w:spacing w:after="156" w:afterLines="50" w:line="360" w:lineRule="auto"/>
        <w:ind w:left="420" w:leftChars="200"/>
        <w:rPr>
          <w:rFonts w:hint="eastAsia" w:ascii="Arial" w:hAnsi="Arial" w:eastAsia="宋体" w:cs="Arial"/>
          <w:bCs/>
          <w:kern w:val="0"/>
        </w:rPr>
      </w:pPr>
      <w:r>
        <w:rPr>
          <w:rFonts w:hint="eastAsia" w:ascii="Arial" w:hAnsi="Arial" w:eastAsia="宋体" w:cs="Arial"/>
          <w:bCs/>
          <w:kern w:val="0"/>
        </w:rPr>
        <w:t>可以通过对这些顺序量表数据应用适当的统计分析来测试零假设（无差异）和其他假设（激光治疗的眼睛具有改善的视敏度）。</w:t>
      </w:r>
    </w:p>
    <w:p w14:paraId="5657615F">
      <w:pPr>
        <w:snapToGrid w:val="0"/>
        <w:spacing w:after="156" w:afterLines="50" w:line="360" w:lineRule="auto"/>
        <w:ind w:left="420" w:leftChars="200"/>
        <w:rPr>
          <w:rFonts w:ascii="Arial" w:hAnsi="Arial" w:eastAsia="宋体" w:cs="Arial"/>
          <w:bCs/>
          <w:kern w:val="0"/>
        </w:rPr>
      </w:pPr>
    </w:p>
    <w:p w14:paraId="1C45112E">
      <w:pPr>
        <w:widowControl/>
        <w:jc w:val="left"/>
        <w:rPr>
          <w:rFonts w:ascii="Arial" w:hAnsi="Arial" w:eastAsia="宋体" w:cs="Arial"/>
          <w:bCs/>
          <w:kern w:val="0"/>
        </w:rPr>
      </w:pPr>
      <w:r>
        <w:rPr>
          <w:rFonts w:ascii="Arial" w:hAnsi="Arial" w:eastAsia="宋体" w:cs="Arial"/>
          <w:bCs/>
          <w:kern w:val="0"/>
        </w:rPr>
        <w:br w:type="page"/>
      </w:r>
    </w:p>
    <w:p w14:paraId="54BA927A">
      <w:pPr>
        <w:snapToGrid w:val="0"/>
        <w:spacing w:after="156" w:afterLines="50" w:line="360" w:lineRule="auto"/>
        <w:ind w:left="420" w:leftChars="200"/>
        <w:rPr>
          <w:rFonts w:ascii="Arial" w:hAnsi="Arial" w:eastAsia="宋体" w:cs="Arial"/>
          <w:bCs/>
          <w:kern w:val="0"/>
        </w:rPr>
      </w:pPr>
    </w:p>
    <w:p w14:paraId="596B445A">
      <w:pPr>
        <w:pStyle w:val="18"/>
        <w:numPr>
          <w:ilvl w:val="3"/>
          <w:numId w:val="5"/>
        </w:numPr>
        <w:snapToGrid w:val="0"/>
        <w:spacing w:after="156" w:afterLines="50" w:line="360" w:lineRule="auto"/>
        <w:ind w:left="0" w:firstLine="0" w:firstLineChars="0"/>
        <w:outlineLvl w:val="3"/>
        <w:rPr>
          <w:rFonts w:ascii="Arial" w:hAnsi="Arial" w:eastAsia="宋体" w:cs="Arial"/>
          <w:b/>
          <w:bCs/>
          <w:kern w:val="0"/>
        </w:rPr>
      </w:pPr>
      <w:bookmarkStart w:id="64" w:name="_Toc478047095"/>
      <w:r>
        <w:rPr>
          <w:rFonts w:hint="eastAsia" w:ascii="Arial" w:hAnsi="Arial" w:eastAsia="宋体" w:cs="Arial"/>
          <w:b/>
          <w:bCs/>
          <w:kern w:val="0"/>
        </w:rPr>
        <w:t>责任</w:t>
      </w:r>
      <w:bookmarkEnd w:id="64"/>
    </w:p>
    <w:p w14:paraId="5A0A5FF7">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应该对使用器械治疗的受试者进行详细的问责，以使偏倚在研究中成为一个不重要因素。在一年内，随访损失通常不应超过</w:t>
      </w:r>
      <w:r>
        <w:rPr>
          <w:rFonts w:ascii="Arial" w:hAnsi="Arial" w:eastAsia="宋体" w:cs="Arial"/>
          <w:bCs/>
          <w:kern w:val="0"/>
        </w:rPr>
        <w:t>10.0</w:t>
      </w:r>
      <w:r>
        <w:rPr>
          <w:rFonts w:hint="eastAsia" w:ascii="Arial" w:hAnsi="Arial" w:eastAsia="宋体" w:cs="Arial"/>
          <w:bCs/>
          <w:kern w:val="0"/>
        </w:rPr>
        <w:t>％。如果大量受试者在中间随访时未能出现，但在最后一次随访时重新出现，则不容易进行有效的统计分析。对于一年内</w:t>
      </w:r>
      <w:r>
        <w:rPr>
          <w:rFonts w:ascii="Arial" w:hAnsi="Arial" w:eastAsia="宋体" w:cs="Arial"/>
          <w:bCs/>
          <w:kern w:val="0"/>
        </w:rPr>
        <w:t>10</w:t>
      </w:r>
      <w:r>
        <w:rPr>
          <w:rFonts w:hint="eastAsia" w:ascii="Arial" w:hAnsi="Arial" w:eastAsia="宋体" w:cs="Arial"/>
          <w:bCs/>
          <w:kern w:val="0"/>
        </w:rPr>
        <w:t>％的随访损失，样本量（</w:t>
      </w:r>
      <w:r>
        <w:rPr>
          <w:rFonts w:ascii="Arial" w:hAnsi="Arial" w:eastAsia="宋体" w:cs="Arial"/>
          <w:bCs/>
          <w:kern w:val="0"/>
        </w:rPr>
        <w:t>n</w:t>
      </w:r>
      <w:r>
        <w:rPr>
          <w:rFonts w:hint="eastAsia" w:ascii="Arial" w:hAnsi="Arial" w:eastAsia="宋体" w:cs="Arial"/>
          <w:bCs/>
          <w:kern w:val="0"/>
        </w:rPr>
        <w:t>）通常调整为</w:t>
      </w:r>
      <w:r>
        <w:rPr>
          <w:rFonts w:ascii="Arial" w:hAnsi="Arial" w:eastAsia="宋体" w:cs="Arial"/>
          <w:bCs/>
          <w:kern w:val="0"/>
        </w:rPr>
        <w:t>n'</w:t>
      </w:r>
      <w:r>
        <w:rPr>
          <w:rFonts w:hint="eastAsia" w:ascii="Arial" w:hAnsi="Arial" w:eastAsia="宋体" w:cs="Arial"/>
          <w:bCs/>
          <w:kern w:val="0"/>
        </w:rPr>
        <w:t>：</w:t>
      </w:r>
    </w:p>
    <w:p w14:paraId="2EE360F4">
      <w:pPr>
        <w:snapToGrid w:val="0"/>
        <w:spacing w:after="156" w:afterLines="50" w:line="360" w:lineRule="auto"/>
        <w:ind w:left="420" w:leftChars="200" w:firstLine="237" w:firstLineChars="113"/>
        <w:rPr>
          <w:rFonts w:ascii="Arial" w:hAnsi="Arial" w:eastAsia="宋体" w:cs="Arial"/>
          <w:bCs/>
          <w:kern w:val="0"/>
        </w:rPr>
      </w:pPr>
      <w:r>
        <w:rPr>
          <w:rFonts w:ascii="Arial" w:hAnsi="Arial" w:eastAsia="宋体" w:cs="Arial"/>
          <w:bCs/>
          <w:kern w:val="0"/>
        </w:rPr>
        <w:t xml:space="preserve">n' = n/ (1-0.1) = n/ 0.9, </w:t>
      </w:r>
      <w:r>
        <w:rPr>
          <w:rFonts w:ascii="Arial" w:hAnsi="Arial" w:eastAsia="宋体" w:cs="Arial"/>
          <w:bCs/>
          <w:kern w:val="0"/>
        </w:rPr>
        <w:tab/>
      </w:r>
      <w:r>
        <w:rPr>
          <w:rFonts w:ascii="Arial" w:hAnsi="Arial" w:eastAsia="宋体" w:cs="Arial"/>
          <w:bCs/>
          <w:kern w:val="0"/>
        </w:rPr>
        <w:tab/>
      </w:r>
      <w:r>
        <w:rPr>
          <w:rFonts w:hint="eastAsia" w:ascii="Arial" w:hAnsi="Arial" w:eastAsia="宋体" w:cs="Arial"/>
          <w:bCs/>
          <w:kern w:val="0"/>
        </w:rPr>
        <w:t>其中</w:t>
      </w:r>
      <w:r>
        <w:rPr>
          <w:rFonts w:ascii="Arial" w:hAnsi="Arial" w:eastAsia="宋体" w:cs="Arial"/>
          <w:bCs/>
          <w:kern w:val="0"/>
        </w:rPr>
        <w:t>n</w:t>
      </w:r>
      <w:r>
        <w:rPr>
          <w:rFonts w:hint="eastAsia" w:ascii="Arial" w:hAnsi="Arial" w:eastAsia="宋体" w:cs="Arial"/>
          <w:bCs/>
          <w:kern w:val="0"/>
        </w:rPr>
        <w:t>是基于统计</w:t>
      </w:r>
      <w:r>
        <w:rPr>
          <w:rFonts w:ascii="Arial" w:hAnsi="Arial" w:eastAsia="宋体" w:cs="Arial"/>
          <w:bCs/>
          <w:kern w:val="0"/>
        </w:rPr>
        <w:t>/</w:t>
      </w:r>
      <w:r>
        <w:rPr>
          <w:rFonts w:hint="eastAsia" w:ascii="Arial" w:hAnsi="Arial" w:eastAsia="宋体" w:cs="Arial"/>
          <w:bCs/>
          <w:kern w:val="0"/>
        </w:rPr>
        <w:t>临床考虑的初始估计样本量。</w:t>
      </w:r>
    </w:p>
    <w:p w14:paraId="43F4D43D">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整个随访期间，应尽最大努力跟进最初入组的每位患者。在任何随访期间任何缺失的患者信息将不仅减少研究样本量大小，而且会使当时临床目标的估计产生偏离。所有研究临床有效性和安全性目标，临床重要的患者特征和协变量以及可能影响最终临床结局的其他变量，应该在每个随访时间清楚记录，以便于进一步的统计分析（稍后讨论）。如果有相当比例的受试者错过了他们的计划随访，则不容易进行有效的统计分析。也不容易确定丢失数据的类型，例如由于患者医疗状况或与研究临床目标相关的其他临床重要变量而导致的数据丢失。仅基于可用患者数据的统计分析可能很大程度低估了真实安全性或高估了器械的真实有效性。特别地，如果不使用对照组，则基于在各个随访时间的一个治疗组中少量可评价受试者的趋势分析将不能随时间提供关于真实器械性能的有用信息。</w:t>
      </w:r>
    </w:p>
    <w:p w14:paraId="342620E8">
      <w:pPr>
        <w:snapToGrid w:val="0"/>
        <w:spacing w:after="156" w:afterLines="50" w:line="360" w:lineRule="auto"/>
        <w:ind w:firstLine="420" w:firstLineChars="200"/>
        <w:rPr>
          <w:rFonts w:ascii="Arial" w:hAnsi="Arial" w:eastAsia="宋体" w:cs="Arial"/>
          <w:kern w:val="0"/>
        </w:rPr>
      </w:pPr>
    </w:p>
    <w:p w14:paraId="61C80FAA">
      <w:pPr>
        <w:pStyle w:val="18"/>
        <w:numPr>
          <w:ilvl w:val="3"/>
          <w:numId w:val="5"/>
        </w:numPr>
        <w:snapToGrid w:val="0"/>
        <w:spacing w:after="156" w:afterLines="50" w:line="360" w:lineRule="auto"/>
        <w:ind w:left="0" w:firstLine="0" w:firstLineChars="0"/>
        <w:outlineLvl w:val="3"/>
        <w:rPr>
          <w:rFonts w:ascii="Arial" w:hAnsi="Arial" w:eastAsia="宋体" w:cs="Arial"/>
          <w:b/>
          <w:bCs/>
          <w:kern w:val="0"/>
        </w:rPr>
      </w:pPr>
      <w:bookmarkStart w:id="65" w:name="_Toc478047096"/>
      <w:r>
        <w:rPr>
          <w:rFonts w:hint="eastAsia" w:ascii="Arial" w:hAnsi="Arial" w:eastAsia="宋体" w:cs="Arial"/>
          <w:b/>
          <w:bCs/>
          <w:kern w:val="0"/>
        </w:rPr>
        <w:t>结局注意事项</w:t>
      </w:r>
      <w:bookmarkEnd w:id="65"/>
    </w:p>
    <w:p w14:paraId="24B39F6B">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对于具有和不具有睫状肌麻痹的未矫正远视力的</w:t>
      </w:r>
      <w:r>
        <w:rPr>
          <w:rFonts w:hint="eastAsia" w:ascii="Arial" w:hAnsi="Arial" w:eastAsia="宋体" w:cs="Arial"/>
          <w:b/>
          <w:bCs/>
          <w:kern w:val="0"/>
        </w:rPr>
        <w:t>成功率</w:t>
      </w:r>
      <w:r>
        <w:rPr>
          <w:rFonts w:hint="eastAsia" w:ascii="Arial" w:hAnsi="Arial" w:eastAsia="宋体" w:cs="Arial"/>
          <w:bCs/>
          <w:kern w:val="0"/>
        </w:rPr>
        <w:t>（眼睛的百分比）应该由每个视力线报告并且总结为：</w:t>
      </w:r>
      <w:r>
        <w:rPr>
          <w:rFonts w:ascii="Arial" w:hAnsi="Arial" w:eastAsia="宋体" w:cs="Arial"/>
          <w:bCs/>
          <w:kern w:val="0"/>
        </w:rPr>
        <w:t>20/20</w:t>
      </w:r>
      <w:r>
        <w:rPr>
          <w:rFonts w:hint="eastAsia" w:ascii="Arial" w:hAnsi="Arial" w:eastAsia="宋体" w:cs="Arial"/>
          <w:bCs/>
          <w:kern w:val="0"/>
        </w:rPr>
        <w:t>或更好，</w:t>
      </w:r>
      <w:r>
        <w:rPr>
          <w:rFonts w:ascii="Arial" w:hAnsi="Arial" w:eastAsia="宋体" w:cs="Arial"/>
          <w:bCs/>
          <w:kern w:val="0"/>
        </w:rPr>
        <w:t xml:space="preserve">20 / 25-20 / 40,20 / 50-20 / 100 </w:t>
      </w:r>
      <w:r>
        <w:rPr>
          <w:rFonts w:hint="eastAsia" w:ascii="Arial" w:hAnsi="Arial" w:eastAsia="宋体" w:cs="Arial"/>
          <w:bCs/>
          <w:kern w:val="0"/>
        </w:rPr>
        <w:t>，和</w:t>
      </w:r>
      <w:r>
        <w:rPr>
          <w:rFonts w:ascii="Arial" w:hAnsi="Arial" w:eastAsia="宋体" w:cs="Arial"/>
          <w:bCs/>
          <w:kern w:val="0"/>
        </w:rPr>
        <w:t>20/200</w:t>
      </w:r>
      <w:r>
        <w:rPr>
          <w:rFonts w:hint="eastAsia" w:ascii="Arial" w:hAnsi="Arial" w:eastAsia="宋体" w:cs="Arial"/>
          <w:bCs/>
          <w:kern w:val="0"/>
        </w:rPr>
        <w:t>或更差。每个主要结局的比率将根据年龄和尝试校正进行计算和分层。然后使用多变量模型来识别与可预测性和未矫正视力独立相关的术前和术中因素。</w:t>
      </w:r>
    </w:p>
    <w:p w14:paraId="17A708E6">
      <w:pPr>
        <w:snapToGrid w:val="0"/>
        <w:spacing w:after="156" w:afterLines="50" w:line="360" w:lineRule="auto"/>
        <w:ind w:left="420" w:leftChars="200"/>
        <w:rPr>
          <w:rFonts w:ascii="Arial" w:hAnsi="Arial" w:eastAsia="宋体" w:cs="Arial"/>
          <w:bCs/>
          <w:kern w:val="0"/>
        </w:rPr>
      </w:pPr>
      <w:r>
        <w:rPr>
          <w:rFonts w:hint="eastAsia" w:ascii="Arial" w:hAnsi="Arial" w:eastAsia="宋体" w:cs="Arial"/>
          <w:b/>
          <w:bCs/>
          <w:kern w:val="0"/>
        </w:rPr>
        <w:t>屈光稳定性</w:t>
      </w:r>
      <w:r>
        <w:rPr>
          <w:rFonts w:hint="eastAsia" w:ascii="Arial" w:hAnsi="Arial" w:eastAsia="宋体" w:cs="Arial"/>
          <w:bCs/>
          <w:kern w:val="0"/>
        </w:rPr>
        <w:t>应定义为至少</w:t>
      </w:r>
      <w:r>
        <w:rPr>
          <w:rFonts w:ascii="Arial" w:hAnsi="Arial" w:eastAsia="宋体" w:cs="Arial"/>
          <w:bCs/>
          <w:kern w:val="0"/>
        </w:rPr>
        <w:t>3</w:t>
      </w:r>
      <w:r>
        <w:rPr>
          <w:rFonts w:hint="eastAsia" w:ascii="Arial" w:hAnsi="Arial" w:eastAsia="宋体" w:cs="Arial"/>
          <w:bCs/>
          <w:kern w:val="0"/>
        </w:rPr>
        <w:t>个月间在两次屈光之间进行小于或等于</w:t>
      </w:r>
      <w:r>
        <w:rPr>
          <w:rFonts w:ascii="Arial" w:hAnsi="Arial" w:eastAsia="宋体" w:cs="Arial"/>
          <w:bCs/>
          <w:kern w:val="0"/>
        </w:rPr>
        <w:t>1D</w:t>
      </w:r>
      <w:r>
        <w:rPr>
          <w:rFonts w:hint="eastAsia" w:ascii="Arial" w:hAnsi="Arial" w:eastAsia="宋体" w:cs="Arial"/>
          <w:bCs/>
          <w:kern w:val="0"/>
        </w:rPr>
        <w:t>变化的显性球形等效屈光。应该使用早期人群治疗的第一只眼的可行性研究或连续随访来确定首次达到稳定性的点。</w:t>
      </w:r>
    </w:p>
    <w:p w14:paraId="35D23174">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散光数据的分析，无论是用于校正已有的柱面还是由处理诱发的柱面，都应该包括两种方法。柱面应该独立于球体的测量结果报告，作为预期的对比实现的分布（对于其他折射结果），并伴有轴位移的分布。还应进行向量分析并报告。校准的圆柱形和球形分量的稳定性应随时间进行评估。净散光的绝对和比例变化应按年龄和尝试分层。</w:t>
      </w:r>
    </w:p>
    <w:p w14:paraId="4F4B2A93">
      <w:pPr>
        <w:widowControl/>
        <w:spacing w:line="360" w:lineRule="auto"/>
        <w:jc w:val="left"/>
        <w:rPr>
          <w:rFonts w:ascii="Arial" w:hAnsi="Arial" w:eastAsia="宋体" w:cs="Arial"/>
          <w:bCs/>
          <w:kern w:val="0"/>
        </w:rPr>
      </w:pPr>
      <w:r>
        <w:rPr>
          <w:rFonts w:ascii="Arial" w:hAnsi="Arial" w:eastAsia="宋体" w:cs="Arial"/>
          <w:bCs/>
          <w:kern w:val="0"/>
        </w:rPr>
        <w:br w:type="page"/>
      </w:r>
    </w:p>
    <w:p w14:paraId="5984E1FA">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应当对在同一只眼睛中经历</w:t>
      </w:r>
      <w:r>
        <w:rPr>
          <w:rFonts w:hint="eastAsia" w:ascii="Arial" w:hAnsi="Arial" w:eastAsia="宋体" w:cs="Arial"/>
          <w:b/>
          <w:bCs/>
          <w:kern w:val="0"/>
        </w:rPr>
        <w:t>多于一次</w:t>
      </w:r>
      <w:r>
        <w:rPr>
          <w:rFonts w:hint="eastAsia" w:ascii="Arial" w:hAnsi="Arial" w:eastAsia="宋体" w:cs="Arial"/>
          <w:bCs/>
          <w:kern w:val="0"/>
        </w:rPr>
        <w:t>手术的那些受试者分别进行数据分析。应探讨经历多个手术的眼睛潜在的关联（例如术前屈光）。应该计算经历多次手术的那些眼睛的主要有效性结果，并与经历一次手术的眼睛进行比较。</w:t>
      </w:r>
    </w:p>
    <w:p w14:paraId="74E36AED">
      <w:pPr>
        <w:pStyle w:val="18"/>
        <w:numPr>
          <w:ilvl w:val="3"/>
          <w:numId w:val="5"/>
        </w:numPr>
        <w:snapToGrid w:val="0"/>
        <w:spacing w:after="156" w:afterLines="50" w:line="360" w:lineRule="auto"/>
        <w:ind w:left="0" w:firstLine="0" w:firstLineChars="0"/>
        <w:outlineLvl w:val="3"/>
        <w:rPr>
          <w:rFonts w:ascii="Arial" w:hAnsi="Arial" w:eastAsia="宋体" w:cs="Arial"/>
          <w:b/>
          <w:bCs/>
          <w:kern w:val="0"/>
        </w:rPr>
      </w:pPr>
      <w:bookmarkStart w:id="66" w:name="_Toc478047097"/>
      <w:r>
        <w:rPr>
          <w:rFonts w:hint="eastAsia" w:ascii="Arial" w:hAnsi="Arial" w:eastAsia="宋体" w:cs="Arial"/>
          <w:b/>
          <w:bCs/>
          <w:kern w:val="0"/>
        </w:rPr>
        <w:t>统计分析（同样参见</w:t>
      </w:r>
      <w:r>
        <w:rPr>
          <w:rFonts w:ascii="Arial" w:hAnsi="Arial" w:eastAsia="宋体" w:cs="Arial"/>
          <w:b/>
          <w:bCs/>
          <w:kern w:val="0"/>
        </w:rPr>
        <w:t>3.2.7</w:t>
      </w:r>
      <w:r>
        <w:rPr>
          <w:rFonts w:hint="eastAsia" w:ascii="Arial" w:hAnsi="Arial" w:eastAsia="宋体" w:cs="Arial"/>
          <w:b/>
          <w:bCs/>
          <w:kern w:val="0"/>
        </w:rPr>
        <w:t>的其他部分。）</w:t>
      </w:r>
      <w:bookmarkEnd w:id="66"/>
    </w:p>
    <w:p w14:paraId="5F7829A8">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适当的统计分析是纵向数据分析，以估计临床结局，调整临床重要的患者特征或协变量。广义估计方程（</w:t>
      </w:r>
      <w:r>
        <w:rPr>
          <w:rFonts w:ascii="Arial" w:hAnsi="Arial" w:eastAsia="宋体" w:cs="Arial"/>
          <w:bCs/>
          <w:kern w:val="0"/>
        </w:rPr>
        <w:t>GEE</w:t>
      </w:r>
      <w:r>
        <w:rPr>
          <w:rFonts w:hint="eastAsia" w:ascii="Arial" w:hAnsi="Arial" w:eastAsia="宋体" w:cs="Arial"/>
          <w:bCs/>
          <w:kern w:val="0"/>
        </w:rPr>
        <w:t>）对于此类分析是非常有用。</w:t>
      </w:r>
      <w:r>
        <w:rPr>
          <w:rFonts w:ascii="Arial" w:hAnsi="Arial" w:eastAsia="宋体" w:cs="Arial"/>
          <w:bCs/>
          <w:kern w:val="0"/>
        </w:rPr>
        <w:t>(</w:t>
      </w:r>
      <w:r>
        <w:rPr>
          <w:rFonts w:hint="eastAsia" w:ascii="Arial" w:hAnsi="Arial" w:eastAsia="宋体" w:cs="Arial"/>
          <w:bCs/>
          <w:kern w:val="0"/>
        </w:rPr>
        <w:t>更多细节</w:t>
      </w:r>
      <w:r>
        <w:rPr>
          <w:rFonts w:ascii="Arial" w:hAnsi="Arial" w:eastAsia="宋体" w:cs="Arial"/>
          <w:bCs/>
          <w:kern w:val="0"/>
        </w:rPr>
        <w:t xml:space="preserve"> </w:t>
      </w:r>
      <w:r>
        <w:rPr>
          <w:rFonts w:hint="eastAsia" w:ascii="Arial" w:hAnsi="Arial" w:eastAsia="宋体" w:cs="Arial"/>
          <w:bCs/>
          <w:kern w:val="0"/>
        </w:rPr>
        <w:t>请参见</w:t>
      </w:r>
      <w:r>
        <w:rPr>
          <w:rFonts w:ascii="Arial" w:hAnsi="Arial" w:eastAsia="宋体" w:cs="Arial"/>
          <w:bCs/>
          <w:kern w:val="0"/>
        </w:rPr>
        <w:t>Diggle,</w:t>
      </w:r>
      <w:r>
        <w:rPr>
          <w:rFonts w:hint="eastAsia" w:ascii="Arial" w:hAnsi="Arial" w:eastAsia="宋体" w:cs="Arial"/>
          <w:bCs/>
          <w:kern w:val="0"/>
        </w:rPr>
        <w:t xml:space="preserve"> </w:t>
      </w:r>
      <w:r>
        <w:rPr>
          <w:rFonts w:ascii="Arial" w:hAnsi="Arial" w:eastAsia="宋体" w:cs="Arial"/>
          <w:bCs/>
          <w:kern w:val="0"/>
        </w:rPr>
        <w:t>PJ., Liang, KY., and Zeger, SL. Analysis of Longitudinal Data, Oxford Science Publications, 1994.)</w:t>
      </w:r>
      <w:r>
        <w:rPr>
          <w:rFonts w:hint="eastAsia" w:ascii="Arial" w:hAnsi="Arial" w:eastAsia="宋体" w:cs="Arial"/>
          <w:bCs/>
          <w:kern w:val="0"/>
        </w:rPr>
        <w:t>患者临床数据布局可如下构造：</w:t>
      </w:r>
    </w:p>
    <w:p w14:paraId="786585EA">
      <w:pPr>
        <w:snapToGrid w:val="0"/>
        <w:spacing w:after="156" w:afterLines="50" w:line="360" w:lineRule="auto"/>
        <w:ind w:firstLine="684" w:firstLineChars="326"/>
        <w:rPr>
          <w:rFonts w:ascii="Arial" w:hAnsi="Arial" w:eastAsia="宋体" w:cs="Arial"/>
          <w:bCs/>
          <w:kern w:val="0"/>
        </w:rPr>
      </w:pPr>
      <w:r>
        <w:rPr>
          <w:rFonts w:ascii="Arial" w:hAnsi="Arial" w:eastAsia="宋体" w:cs="Arial"/>
          <w:bCs/>
          <w:kern w:val="0"/>
        </w:rPr>
        <w:t xml:space="preserve">                                   </w:t>
      </w:r>
      <w:r>
        <w:rPr>
          <w:rFonts w:hint="eastAsia" w:ascii="Arial" w:hAnsi="Arial" w:eastAsia="宋体" w:cs="Arial"/>
          <w:bCs/>
          <w:kern w:val="0"/>
        </w:rPr>
        <w:t>术后</w:t>
      </w:r>
    </w:p>
    <w:p w14:paraId="0A5A5CBB">
      <w:pPr>
        <w:snapToGrid w:val="0"/>
        <w:spacing w:after="156" w:afterLines="50" w:line="360" w:lineRule="auto"/>
        <w:ind w:firstLine="684" w:firstLineChars="326"/>
        <w:rPr>
          <w:rFonts w:ascii="Arial" w:hAnsi="Arial" w:eastAsia="宋体" w:cs="Arial"/>
          <w:bCs/>
          <w:kern w:val="0"/>
        </w:rPr>
      </w:pPr>
      <w:r>
        <w:rPr>
          <w:rFonts w:hint="eastAsia" w:ascii="Arial" w:hAnsi="Arial" w:eastAsia="宋体" w:cs="Arial"/>
          <w:bCs/>
          <w:kern w:val="0"/>
        </w:rPr>
        <w:t>患者</w:t>
      </w:r>
      <w:r>
        <w:rPr>
          <w:rFonts w:ascii="Arial" w:hAnsi="Arial" w:eastAsia="宋体" w:cs="Arial"/>
          <w:bCs/>
          <w:kern w:val="0"/>
        </w:rPr>
        <w:t xml:space="preserve">           </w:t>
      </w:r>
      <w:r>
        <w:rPr>
          <w:rFonts w:hint="eastAsia" w:ascii="Arial" w:hAnsi="Arial" w:eastAsia="宋体" w:cs="Arial"/>
          <w:bCs/>
          <w:kern w:val="0"/>
        </w:rPr>
        <w:t>术前</w:t>
      </w:r>
      <w:r>
        <w:rPr>
          <w:rFonts w:ascii="Arial" w:hAnsi="Arial" w:eastAsia="宋体" w:cs="Arial"/>
          <w:bCs/>
          <w:kern w:val="0"/>
        </w:rPr>
        <w:t xml:space="preserve">         </w:t>
      </w:r>
      <w:r>
        <w:rPr>
          <w:rFonts w:hint="eastAsia" w:ascii="Arial" w:hAnsi="Arial" w:eastAsia="宋体" w:cs="Arial"/>
          <w:bCs/>
          <w:kern w:val="0"/>
        </w:rPr>
        <w:t>第一次</w:t>
      </w:r>
      <w:r>
        <w:rPr>
          <w:rFonts w:ascii="Arial" w:hAnsi="Arial" w:eastAsia="宋体" w:cs="Arial"/>
          <w:bCs/>
          <w:kern w:val="0"/>
        </w:rPr>
        <w:t xml:space="preserve">    </w:t>
      </w:r>
      <w:r>
        <w:rPr>
          <w:rFonts w:hint="eastAsia" w:ascii="Arial" w:hAnsi="Arial" w:eastAsia="宋体" w:cs="Arial"/>
          <w:bCs/>
          <w:kern w:val="0"/>
        </w:rPr>
        <w:t>第二次</w:t>
      </w:r>
      <w:r>
        <w:rPr>
          <w:rFonts w:ascii="Arial" w:hAnsi="Arial" w:eastAsia="宋体" w:cs="Arial"/>
          <w:bCs/>
          <w:kern w:val="0"/>
        </w:rPr>
        <w:t xml:space="preserve"> ..... </w:t>
      </w:r>
      <w:r>
        <w:rPr>
          <w:rFonts w:hint="eastAsia" w:ascii="Arial" w:hAnsi="Arial" w:eastAsia="宋体" w:cs="Arial"/>
          <w:bCs/>
          <w:kern w:val="0"/>
        </w:rPr>
        <w:t>最后一次</w:t>
      </w:r>
    </w:p>
    <w:p w14:paraId="0C118A14">
      <w:pPr>
        <w:snapToGrid w:val="0"/>
        <w:spacing w:after="156" w:afterLines="50" w:line="360" w:lineRule="auto"/>
        <w:ind w:firstLine="684" w:firstLineChars="326"/>
        <w:rPr>
          <w:rFonts w:ascii="Arial" w:hAnsi="Arial" w:eastAsia="宋体" w:cs="Arial"/>
          <w:bCs/>
          <w:kern w:val="0"/>
        </w:rPr>
      </w:pPr>
      <w:r>
        <w:rPr>
          <w:rFonts w:ascii="Arial" w:hAnsi="Arial" w:eastAsia="宋体" w:cs="Arial"/>
          <w:kern w:val="0"/>
        </w:rPr>
        <w:t>1        X</w:t>
      </w:r>
      <w:r>
        <w:rPr>
          <w:rFonts w:ascii="Arial" w:hAnsi="Arial" w:eastAsia="宋体" w:cs="Arial"/>
          <w:kern w:val="0"/>
          <w:vertAlign w:val="subscript"/>
        </w:rPr>
        <w:t>1</w:t>
      </w:r>
      <w:r>
        <w:rPr>
          <w:rFonts w:ascii="Arial" w:hAnsi="Arial" w:eastAsia="宋体" w:cs="Arial"/>
          <w:kern w:val="0"/>
        </w:rPr>
        <w:t>,...X</w:t>
      </w:r>
      <w:r>
        <w:rPr>
          <w:rFonts w:ascii="Arial" w:hAnsi="Arial" w:eastAsia="宋体" w:cs="Arial"/>
          <w:kern w:val="0"/>
          <w:vertAlign w:val="subscript"/>
        </w:rPr>
        <w:t>p</w:t>
      </w:r>
      <w:r>
        <w:rPr>
          <w:rFonts w:ascii="Arial" w:hAnsi="Arial" w:eastAsia="宋体" w:cs="Arial"/>
          <w:kern w:val="0"/>
        </w:rPr>
        <w:t xml:space="preserve"> , Y</w:t>
      </w:r>
      <w:r>
        <w:rPr>
          <w:rFonts w:ascii="Arial" w:hAnsi="Arial" w:eastAsia="宋体" w:cs="Arial"/>
          <w:kern w:val="0"/>
          <w:vertAlign w:val="subscript"/>
        </w:rPr>
        <w:t>1</w:t>
      </w:r>
      <w:r>
        <w:rPr>
          <w:rFonts w:ascii="Arial" w:hAnsi="Arial" w:eastAsia="宋体" w:cs="Arial"/>
          <w:kern w:val="0"/>
        </w:rPr>
        <w:t>,...Y</w:t>
      </w:r>
      <w:r>
        <w:rPr>
          <w:rFonts w:ascii="Arial" w:hAnsi="Arial" w:eastAsia="宋体" w:cs="Arial"/>
          <w:kern w:val="0"/>
          <w:vertAlign w:val="subscript"/>
        </w:rPr>
        <w:t>m</w:t>
      </w:r>
      <w:r>
        <w:rPr>
          <w:rFonts w:ascii="Arial" w:hAnsi="Arial" w:eastAsia="宋体" w:cs="Arial"/>
          <w:kern w:val="0"/>
        </w:rPr>
        <w:t xml:space="preserve">              </w:t>
      </w:r>
      <w:r>
        <w:rPr>
          <w:rFonts w:hint="eastAsia" w:ascii="Arial" w:hAnsi="Arial" w:eastAsia="宋体" w:cs="Arial"/>
          <w:kern w:val="0"/>
        </w:rPr>
        <w:t>与</w:t>
      </w:r>
      <w:r>
        <w:rPr>
          <w:rFonts w:ascii="Arial" w:hAnsi="Arial" w:eastAsia="宋体" w:cs="Arial"/>
          <w:kern w:val="0"/>
        </w:rPr>
        <w:t>术前</w:t>
      </w:r>
      <w:r>
        <w:rPr>
          <w:rFonts w:hint="eastAsia" w:ascii="Arial" w:hAnsi="Arial" w:eastAsia="宋体" w:cs="Arial"/>
          <w:kern w:val="0"/>
        </w:rPr>
        <w:t>相同</w:t>
      </w:r>
    </w:p>
    <w:p w14:paraId="05D8E65E">
      <w:pPr>
        <w:autoSpaceDE w:val="0"/>
        <w:autoSpaceDN w:val="0"/>
        <w:adjustRightInd w:val="0"/>
        <w:snapToGrid w:val="0"/>
        <w:spacing w:after="156" w:afterLines="50" w:line="360" w:lineRule="auto"/>
        <w:ind w:firstLine="684" w:firstLineChars="326"/>
        <w:rPr>
          <w:rFonts w:ascii="Arial" w:hAnsi="Arial" w:eastAsia="宋体" w:cs="Arial"/>
          <w:kern w:val="0"/>
        </w:rPr>
      </w:pPr>
      <w:r>
        <w:rPr>
          <w:rFonts w:ascii="Arial" w:hAnsi="Arial" w:eastAsia="宋体" w:cs="Arial"/>
          <w:kern w:val="0"/>
        </w:rPr>
        <w:t>2</w:t>
      </w:r>
    </w:p>
    <w:p w14:paraId="62055370">
      <w:pPr>
        <w:autoSpaceDE w:val="0"/>
        <w:autoSpaceDN w:val="0"/>
        <w:adjustRightInd w:val="0"/>
        <w:snapToGrid w:val="0"/>
        <w:spacing w:after="156" w:afterLines="50" w:line="360" w:lineRule="auto"/>
        <w:ind w:firstLine="684" w:firstLineChars="326"/>
        <w:rPr>
          <w:rFonts w:ascii="Arial" w:hAnsi="Arial" w:eastAsia="宋体" w:cs="Arial"/>
          <w:kern w:val="0"/>
        </w:rPr>
      </w:pPr>
      <w:r>
        <w:rPr>
          <w:rFonts w:ascii="Arial" w:hAnsi="Arial" w:eastAsia="宋体" w:cs="Arial"/>
          <w:kern w:val="0"/>
        </w:rPr>
        <w:t>3</w:t>
      </w:r>
    </w:p>
    <w:p w14:paraId="43B58FD4">
      <w:pPr>
        <w:autoSpaceDE w:val="0"/>
        <w:autoSpaceDN w:val="0"/>
        <w:adjustRightInd w:val="0"/>
        <w:snapToGrid w:val="0"/>
        <w:spacing w:after="156" w:afterLines="50" w:line="360" w:lineRule="auto"/>
        <w:ind w:firstLine="684" w:firstLineChars="326"/>
        <w:rPr>
          <w:rFonts w:ascii="Arial" w:hAnsi="Arial" w:eastAsia="宋体" w:cs="Arial"/>
          <w:kern w:val="0"/>
        </w:rPr>
      </w:pPr>
      <w:r>
        <w:rPr>
          <w:rFonts w:ascii="Arial" w:hAnsi="Arial" w:eastAsia="宋体" w:cs="Arial"/>
          <w:kern w:val="0"/>
        </w:rPr>
        <w:t>.</w:t>
      </w:r>
    </w:p>
    <w:p w14:paraId="0F79DC20">
      <w:pPr>
        <w:autoSpaceDE w:val="0"/>
        <w:autoSpaceDN w:val="0"/>
        <w:adjustRightInd w:val="0"/>
        <w:snapToGrid w:val="0"/>
        <w:spacing w:after="156" w:afterLines="50" w:line="360" w:lineRule="auto"/>
        <w:ind w:firstLine="684" w:firstLineChars="326"/>
        <w:rPr>
          <w:rFonts w:ascii="Arial" w:hAnsi="Arial" w:eastAsia="宋体" w:cs="Arial"/>
          <w:kern w:val="0"/>
        </w:rPr>
      </w:pPr>
      <w:r>
        <w:rPr>
          <w:rFonts w:ascii="Arial" w:hAnsi="Arial" w:eastAsia="宋体" w:cs="Arial"/>
          <w:kern w:val="0"/>
        </w:rPr>
        <w:t>.</w:t>
      </w:r>
    </w:p>
    <w:p w14:paraId="684FBA91">
      <w:pPr>
        <w:autoSpaceDE w:val="0"/>
        <w:autoSpaceDN w:val="0"/>
        <w:adjustRightInd w:val="0"/>
        <w:snapToGrid w:val="0"/>
        <w:spacing w:after="156" w:afterLines="50" w:line="360" w:lineRule="auto"/>
        <w:ind w:firstLine="684" w:firstLineChars="326"/>
        <w:rPr>
          <w:rFonts w:ascii="Arial" w:hAnsi="Arial" w:eastAsia="宋体" w:cs="Arial"/>
          <w:kern w:val="0"/>
        </w:rPr>
      </w:pPr>
      <w:r>
        <w:rPr>
          <w:rFonts w:ascii="Arial" w:hAnsi="Arial" w:eastAsia="宋体" w:cs="Arial"/>
          <w:kern w:val="0"/>
        </w:rPr>
        <w:t>.</w:t>
      </w:r>
    </w:p>
    <w:p w14:paraId="09C6BA7E">
      <w:pPr>
        <w:snapToGrid w:val="0"/>
        <w:spacing w:after="156" w:afterLines="50" w:line="360" w:lineRule="auto"/>
        <w:ind w:firstLine="684" w:firstLineChars="326"/>
        <w:rPr>
          <w:rFonts w:ascii="Arial" w:hAnsi="Arial" w:eastAsia="宋体" w:cs="Arial"/>
          <w:kern w:val="0"/>
        </w:rPr>
      </w:pPr>
      <w:r>
        <w:rPr>
          <w:rFonts w:ascii="Arial" w:hAnsi="Arial" w:eastAsia="宋体" w:cs="Arial"/>
          <w:kern w:val="0"/>
        </w:rPr>
        <w:t>n</w:t>
      </w:r>
    </w:p>
    <w:p w14:paraId="5B497A0A">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在上表布局中，对于每个患者和每个术前和术后随访时间，所有临床上重要的患者特征或协变量（</w:t>
      </w:r>
      <w:r>
        <w:rPr>
          <w:rFonts w:ascii="Arial" w:hAnsi="Arial" w:eastAsia="宋体" w:cs="Arial"/>
          <w:bCs/>
          <w:kern w:val="0"/>
        </w:rPr>
        <w:t>X 1</w:t>
      </w:r>
      <w:r>
        <w:rPr>
          <w:rFonts w:hint="eastAsia" w:ascii="Arial" w:hAnsi="Arial" w:eastAsia="宋体" w:cs="Arial"/>
          <w:bCs/>
          <w:kern w:val="0"/>
        </w:rPr>
        <w:t>，</w:t>
      </w:r>
      <w:r>
        <w:rPr>
          <w:rFonts w:ascii="Arial" w:hAnsi="Arial" w:eastAsia="宋体" w:cs="Arial"/>
          <w:bCs/>
          <w:kern w:val="0"/>
        </w:rPr>
        <w:t>... Xp</w:t>
      </w:r>
      <w:r>
        <w:rPr>
          <w:rFonts w:hint="eastAsia" w:ascii="Arial" w:hAnsi="Arial" w:eastAsia="宋体" w:cs="Arial"/>
          <w:bCs/>
          <w:kern w:val="0"/>
        </w:rPr>
        <w:t>）可以是时间不变的（不随时间改变）或是时间依赖性的（随时间的变化）和临床反应变量（</w:t>
      </w:r>
      <w:r>
        <w:rPr>
          <w:rFonts w:ascii="Arial" w:hAnsi="Arial" w:eastAsia="宋体" w:cs="Arial"/>
          <w:bCs/>
          <w:kern w:val="0"/>
        </w:rPr>
        <w:t>Y1</w:t>
      </w:r>
      <w:r>
        <w:rPr>
          <w:rFonts w:hint="eastAsia" w:ascii="Arial" w:hAnsi="Arial" w:eastAsia="宋体" w:cs="Arial"/>
          <w:bCs/>
          <w:kern w:val="0"/>
        </w:rPr>
        <w:t>，</w:t>
      </w:r>
      <w:r>
        <w:rPr>
          <w:rFonts w:ascii="Arial" w:hAnsi="Arial" w:eastAsia="宋体" w:cs="Arial"/>
          <w:bCs/>
          <w:kern w:val="0"/>
        </w:rPr>
        <w:t>... Ym</w:t>
      </w:r>
      <w:r>
        <w:rPr>
          <w:rFonts w:hint="eastAsia" w:ascii="Arial" w:hAnsi="Arial" w:eastAsia="宋体" w:cs="Arial"/>
          <w:bCs/>
          <w:kern w:val="0"/>
        </w:rPr>
        <w:t>）都应客观记录。诸如</w:t>
      </w:r>
      <w:r>
        <w:rPr>
          <w:rFonts w:ascii="Arial" w:hAnsi="Arial" w:eastAsia="宋体" w:cs="Arial"/>
          <w:bCs/>
          <w:kern w:val="0"/>
        </w:rPr>
        <w:t>GEE</w:t>
      </w:r>
      <w:r>
        <w:rPr>
          <w:rFonts w:hint="eastAsia" w:ascii="Arial" w:hAnsi="Arial" w:eastAsia="宋体" w:cs="Arial"/>
          <w:bCs/>
          <w:kern w:val="0"/>
        </w:rPr>
        <w:t>或广义线性模型（</w:t>
      </w:r>
      <w:r>
        <w:rPr>
          <w:rFonts w:ascii="Arial" w:hAnsi="Arial" w:eastAsia="宋体" w:cs="Arial"/>
          <w:bCs/>
          <w:kern w:val="0"/>
        </w:rPr>
        <w:t>GLM</w:t>
      </w:r>
      <w:r>
        <w:rPr>
          <w:rFonts w:hint="eastAsia" w:ascii="Arial" w:hAnsi="Arial" w:eastAsia="宋体" w:cs="Arial"/>
          <w:bCs/>
          <w:kern w:val="0"/>
        </w:rPr>
        <w:t>）的多变量统计模型可用于在不同时间评估临床结局，同时针对临床重要的患者协变量进行调整。该模型适用于各种类型的数据，例如</w:t>
      </w:r>
    </w:p>
    <w:p w14:paraId="6A1C3B2F">
      <w:pPr>
        <w:widowControl/>
        <w:jc w:val="left"/>
        <w:rPr>
          <w:rFonts w:ascii="Arial" w:hAnsi="Arial" w:eastAsia="宋体" w:cs="Arial"/>
          <w:bCs/>
          <w:kern w:val="0"/>
        </w:rPr>
      </w:pPr>
      <w:r>
        <w:rPr>
          <w:rFonts w:ascii="Arial" w:hAnsi="Arial" w:eastAsia="宋体" w:cs="Arial"/>
          <w:bCs/>
          <w:kern w:val="0"/>
        </w:rPr>
        <w:br w:type="page"/>
      </w:r>
    </w:p>
    <w:p w14:paraId="71A9B484">
      <w:pPr>
        <w:widowControl/>
        <w:jc w:val="left"/>
        <w:rPr>
          <w:rFonts w:ascii="Arial" w:hAnsi="Arial" w:eastAsia="宋体" w:cs="Arial"/>
          <w:bCs/>
          <w:kern w:val="0"/>
        </w:rPr>
      </w:pPr>
    </w:p>
    <w:p w14:paraId="1D0B19D4">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顺序（视力），二元（存在或不存在并发症或不良事件），计数（内皮细胞计数）或定量</w:t>
      </w:r>
      <w:r>
        <w:rPr>
          <w:rFonts w:ascii="Arial" w:hAnsi="Arial" w:eastAsia="宋体" w:cs="Arial"/>
          <w:bCs/>
          <w:kern w:val="0"/>
        </w:rPr>
        <w:t>/</w:t>
      </w:r>
      <w:r>
        <w:rPr>
          <w:rFonts w:hint="eastAsia" w:ascii="Arial" w:hAnsi="Arial" w:eastAsia="宋体" w:cs="Arial"/>
          <w:bCs/>
          <w:kern w:val="0"/>
        </w:rPr>
        <w:t>连续（球形等效）。然而，如果未关注临床重要协变量对临床结局的单一或联合效应，则上述多变量模型的有效性将大大降低。该模型可以解释来自同一患者的重复测量和来自同一患者的多个事件（如有）在随访期间的相关性。</w:t>
      </w:r>
    </w:p>
    <w:p w14:paraId="28509F97">
      <w:pPr>
        <w:pStyle w:val="18"/>
        <w:numPr>
          <w:ilvl w:val="3"/>
          <w:numId w:val="5"/>
        </w:numPr>
        <w:snapToGrid w:val="0"/>
        <w:spacing w:after="156" w:afterLines="50" w:line="360" w:lineRule="auto"/>
        <w:ind w:left="0" w:firstLine="0" w:firstLineChars="0"/>
        <w:outlineLvl w:val="3"/>
        <w:rPr>
          <w:rFonts w:ascii="Arial" w:hAnsi="Arial" w:eastAsia="宋体" w:cs="Arial"/>
          <w:b/>
          <w:bCs/>
          <w:kern w:val="0"/>
        </w:rPr>
      </w:pPr>
      <w:bookmarkStart w:id="67" w:name="_Toc478047098"/>
      <w:r>
        <w:rPr>
          <w:rFonts w:hint="eastAsia" w:ascii="Arial" w:hAnsi="Arial" w:eastAsia="宋体" w:cs="Arial"/>
          <w:b/>
          <w:bCs/>
          <w:kern w:val="0"/>
        </w:rPr>
        <w:t>扩大研究方案</w:t>
      </w:r>
      <w:bookmarkEnd w:id="67"/>
    </w:p>
    <w:p w14:paraId="7DDD601F">
      <w:pPr>
        <w:pStyle w:val="26"/>
        <w:spacing w:after="156" w:line="360" w:lineRule="auto"/>
        <w:ind w:left="991" w:hanging="991" w:hangingChars="470"/>
        <w:rPr>
          <w:bCs w:val="0"/>
        </w:rPr>
      </w:pPr>
      <w:bookmarkStart w:id="68" w:name="_Toc478047099"/>
      <w:r>
        <w:t>3.2.7.8.1</w:t>
      </w:r>
      <w:r>
        <w:rPr>
          <w:b w:val="0"/>
        </w:rPr>
        <w:tab/>
      </w:r>
      <w:r>
        <w:rPr>
          <w:rFonts w:hint="eastAsia"/>
        </w:rPr>
        <w:t>初步研究</w:t>
      </w:r>
      <w:bookmarkEnd w:id="68"/>
    </w:p>
    <w:p w14:paraId="688B5DB9">
      <w:pPr>
        <w:snapToGrid w:val="0"/>
        <w:spacing w:after="156" w:afterLines="50" w:line="360" w:lineRule="auto"/>
        <w:ind w:left="420" w:leftChars="200"/>
        <w:rPr>
          <w:rFonts w:hint="eastAsia" w:ascii="Arial" w:hAnsi="Arial" w:eastAsia="宋体" w:cs="Arial"/>
          <w:bCs/>
          <w:kern w:val="0"/>
        </w:rPr>
      </w:pPr>
      <w:r>
        <w:rPr>
          <w:rFonts w:hint="eastAsia" w:ascii="Arial" w:hAnsi="Arial" w:eastAsia="宋体" w:cs="Arial"/>
          <w:bCs/>
          <w:kern w:val="0"/>
        </w:rPr>
        <w:t>对屈光手术激光器的</w:t>
      </w:r>
      <w:r>
        <w:rPr>
          <w:rFonts w:ascii="Arial" w:hAnsi="Arial" w:eastAsia="宋体" w:cs="Arial"/>
          <w:bCs/>
          <w:kern w:val="0"/>
        </w:rPr>
        <w:t>IDE</w:t>
      </w:r>
      <w:r>
        <w:rPr>
          <w:rFonts w:hint="eastAsia" w:ascii="Arial" w:hAnsi="Arial" w:eastAsia="宋体" w:cs="Arial"/>
          <w:bCs/>
          <w:kern w:val="0"/>
        </w:rPr>
        <w:t>研究应该在一年内获得足够的数据（即，入组受试者）以提交</w:t>
      </w:r>
      <w:r>
        <w:rPr>
          <w:rFonts w:ascii="Arial" w:hAnsi="Arial" w:eastAsia="宋体" w:cs="Arial"/>
          <w:bCs/>
          <w:kern w:val="0"/>
        </w:rPr>
        <w:t>PMA</w:t>
      </w:r>
      <w:r>
        <w:rPr>
          <w:rFonts w:hint="eastAsia" w:ascii="Arial" w:hAnsi="Arial" w:eastAsia="宋体" w:cs="Arial"/>
          <w:bCs/>
          <w:kern w:val="0"/>
        </w:rPr>
        <w:t>。应提交一份计划，说明申请人如何逐步完成该目标的研究。理想的</w:t>
      </w:r>
      <w:r>
        <w:rPr>
          <w:rFonts w:ascii="Arial" w:hAnsi="Arial" w:eastAsia="宋体" w:cs="Arial"/>
          <w:bCs/>
          <w:kern w:val="0"/>
        </w:rPr>
        <w:t>IDE</w:t>
      </w:r>
      <w:r>
        <w:rPr>
          <w:rFonts w:hint="eastAsia" w:ascii="Arial" w:hAnsi="Arial" w:eastAsia="宋体" w:cs="Arial"/>
          <w:bCs/>
          <w:kern w:val="0"/>
        </w:rPr>
        <w:t>研究应该从一个初始受试者队列，没有中断阶段，扩大到申请人的拟定样本量。如果没有发现不利的问题，向</w:t>
      </w:r>
      <w:r>
        <w:rPr>
          <w:rFonts w:ascii="Arial" w:hAnsi="Arial" w:eastAsia="宋体" w:cs="Arial"/>
          <w:bCs/>
          <w:kern w:val="0"/>
        </w:rPr>
        <w:t>FDA</w:t>
      </w:r>
      <w:r>
        <w:rPr>
          <w:rFonts w:hint="eastAsia" w:ascii="Arial" w:hAnsi="Arial" w:eastAsia="宋体" w:cs="Arial"/>
          <w:bCs/>
          <w:kern w:val="0"/>
        </w:rPr>
        <w:t>提交了令人满意的进度报告，以及在达到入组期限前</w:t>
      </w:r>
      <w:r>
        <w:rPr>
          <w:rFonts w:ascii="Arial" w:hAnsi="Arial" w:eastAsia="宋体" w:cs="Arial"/>
          <w:bCs/>
          <w:kern w:val="0"/>
        </w:rPr>
        <w:t>30</w:t>
      </w:r>
      <w:r>
        <w:rPr>
          <w:rFonts w:hint="eastAsia" w:ascii="Arial" w:hAnsi="Arial" w:eastAsia="宋体" w:cs="Arial"/>
          <w:bCs/>
          <w:kern w:val="0"/>
        </w:rPr>
        <w:t>天内提交的研究扩大请求（参见</w:t>
      </w:r>
      <w:r>
        <w:rPr>
          <w:rFonts w:ascii="Arial" w:hAnsi="Arial" w:eastAsia="宋体" w:cs="Arial"/>
          <w:bCs/>
          <w:kern w:val="0"/>
        </w:rPr>
        <w:t>3.2.7.4.4</w:t>
      </w:r>
      <w:r>
        <w:rPr>
          <w:rFonts w:hint="eastAsia" w:ascii="Arial" w:hAnsi="Arial" w:eastAsia="宋体" w:cs="Arial"/>
          <w:bCs/>
          <w:kern w:val="0"/>
        </w:rPr>
        <w:t>），则可以实现研究扩大。</w:t>
      </w:r>
    </w:p>
    <w:p w14:paraId="0EBA3769">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初始受试者的结果可用于估计完整</w:t>
      </w:r>
      <w:r>
        <w:rPr>
          <w:rFonts w:ascii="Arial" w:hAnsi="Arial" w:eastAsia="宋体" w:cs="Arial"/>
          <w:bCs/>
          <w:kern w:val="0"/>
        </w:rPr>
        <w:t>IDE</w:t>
      </w:r>
      <w:r>
        <w:rPr>
          <w:rFonts w:hint="eastAsia" w:ascii="Arial" w:hAnsi="Arial" w:eastAsia="宋体" w:cs="Arial"/>
          <w:bCs/>
          <w:kern w:val="0"/>
        </w:rPr>
        <w:t>研究的样本量。经</w:t>
      </w:r>
      <w:r>
        <w:rPr>
          <w:rFonts w:ascii="Arial" w:hAnsi="Arial" w:eastAsia="宋体" w:cs="Arial"/>
          <w:bCs/>
          <w:kern w:val="0"/>
        </w:rPr>
        <w:t>FDA</w:t>
      </w:r>
      <w:r>
        <w:rPr>
          <w:rFonts w:hint="eastAsia" w:ascii="Arial" w:hAnsi="Arial" w:eastAsia="宋体" w:cs="Arial"/>
          <w:bCs/>
          <w:kern w:val="0"/>
        </w:rPr>
        <w:t>批准用于</w:t>
      </w:r>
      <w:r>
        <w:rPr>
          <w:rFonts w:ascii="Arial" w:hAnsi="Arial" w:eastAsia="宋体" w:cs="Arial"/>
          <w:bCs/>
          <w:kern w:val="0"/>
        </w:rPr>
        <w:t>IDE</w:t>
      </w:r>
      <w:r>
        <w:rPr>
          <w:rFonts w:hint="eastAsia" w:ascii="Arial" w:hAnsi="Arial" w:eastAsia="宋体" w:cs="Arial"/>
          <w:bCs/>
          <w:kern w:val="0"/>
        </w:rPr>
        <w:t>研究的受试者进入初始阶段的样本量基于原始</w:t>
      </w:r>
      <w:r>
        <w:rPr>
          <w:rFonts w:ascii="Arial" w:hAnsi="Arial" w:eastAsia="宋体" w:cs="Arial"/>
          <w:bCs/>
          <w:kern w:val="0"/>
        </w:rPr>
        <w:t>IDE</w:t>
      </w:r>
      <w:r>
        <w:rPr>
          <w:rFonts w:hint="eastAsia" w:ascii="Arial" w:hAnsi="Arial" w:eastAsia="宋体" w:cs="Arial"/>
          <w:bCs/>
          <w:kern w:val="0"/>
        </w:rPr>
        <w:t>应用的完整性，申请人的激光显性安全性以及研究方案的科学质量。</w:t>
      </w:r>
    </w:p>
    <w:p w14:paraId="54D7C5A9">
      <w:pPr>
        <w:pStyle w:val="26"/>
        <w:spacing w:after="156" w:line="360" w:lineRule="auto"/>
        <w:ind w:left="991" w:hanging="991" w:hangingChars="470"/>
        <w:rPr>
          <w:bCs w:val="0"/>
        </w:rPr>
      </w:pPr>
      <w:r>
        <w:t>3.2.7.8.2</w:t>
      </w:r>
      <w:r>
        <w:tab/>
      </w:r>
      <w:r>
        <w:rPr>
          <w:rFonts w:hint="eastAsia"/>
        </w:rPr>
        <w:t>明确的研究阶段非必需</w:t>
      </w:r>
    </w:p>
    <w:p w14:paraId="26B6D65C">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由</w:t>
      </w:r>
      <w:r>
        <w:rPr>
          <w:rFonts w:ascii="Arial" w:hAnsi="Arial" w:eastAsia="宋体" w:cs="Arial"/>
          <w:bCs/>
          <w:kern w:val="0"/>
        </w:rPr>
        <w:t>FDA</w:t>
      </w:r>
      <w:r>
        <w:rPr>
          <w:rFonts w:hint="eastAsia" w:ascii="Arial" w:hAnsi="Arial" w:eastAsia="宋体" w:cs="Arial"/>
          <w:bCs/>
          <w:kern w:val="0"/>
        </w:rPr>
        <w:t>定义的标准化阶段是先前的方法。这些不再是必要的。此外，当试验扩大时，不需要具有一系列临床终点。申办方应该对研究扩大的请求进行计时，以便在批准扩大到下一阶段之前不能达到阶段限制。</w:t>
      </w:r>
      <w:r>
        <w:rPr>
          <w:rFonts w:hint="eastAsia" w:ascii="Arial" w:hAnsi="Arial" w:eastAsia="宋体" w:cs="Arial"/>
          <w:bCs/>
          <w:kern w:val="0"/>
          <w:u w:val="single"/>
        </w:rPr>
        <w:t>然而，</w:t>
      </w:r>
      <w:r>
        <w:rPr>
          <w:rFonts w:ascii="Arial" w:hAnsi="Arial" w:eastAsia="宋体" w:cs="Arial"/>
          <w:bCs/>
          <w:kern w:val="0"/>
          <w:u w:val="single"/>
        </w:rPr>
        <w:t>IDE</w:t>
      </w:r>
      <w:r>
        <w:rPr>
          <w:rFonts w:hint="eastAsia" w:ascii="Arial" w:hAnsi="Arial" w:eastAsia="宋体" w:cs="Arial"/>
          <w:bCs/>
          <w:kern w:val="0"/>
          <w:u w:val="single"/>
        </w:rPr>
        <w:t>研究的每次扩大仍然需要在研究扩大前获得</w:t>
      </w:r>
      <w:r>
        <w:rPr>
          <w:rFonts w:ascii="Arial" w:hAnsi="Arial" w:eastAsia="宋体" w:cs="Arial"/>
          <w:bCs/>
          <w:kern w:val="0"/>
          <w:u w:val="single"/>
        </w:rPr>
        <w:t>FDA</w:t>
      </w:r>
      <w:r>
        <w:rPr>
          <w:rFonts w:hint="eastAsia" w:ascii="Arial" w:hAnsi="Arial" w:eastAsia="宋体" w:cs="Arial"/>
          <w:bCs/>
          <w:kern w:val="0"/>
          <w:u w:val="single"/>
        </w:rPr>
        <w:t>批准。</w:t>
      </w:r>
      <w:r>
        <w:rPr>
          <w:rFonts w:hint="eastAsia" w:ascii="Arial" w:hAnsi="Arial" w:eastAsia="宋体" w:cs="Arial"/>
          <w:bCs/>
          <w:kern w:val="0"/>
        </w:rPr>
        <w:t>此外，申办方可以在临床试验期间的任何时间请求（和接收）对器械中改变的批准，而不必中断试验。目前正在通过明确阶段进行</w:t>
      </w:r>
      <w:r>
        <w:rPr>
          <w:rFonts w:ascii="Arial" w:hAnsi="Arial" w:eastAsia="宋体" w:cs="Arial"/>
          <w:bCs/>
          <w:kern w:val="0"/>
        </w:rPr>
        <w:t>IDE</w:t>
      </w:r>
      <w:r>
        <w:rPr>
          <w:rFonts w:hint="eastAsia" w:ascii="Arial" w:hAnsi="Arial" w:eastAsia="宋体" w:cs="Arial"/>
          <w:bCs/>
          <w:kern w:val="0"/>
        </w:rPr>
        <w:t>研究的申办方应考虑在达到阶段入组期限前提交扩大请求。以下信息应在此类请求中提交至代理机构。</w:t>
      </w:r>
    </w:p>
    <w:p w14:paraId="2B8E2CFF">
      <w:pPr>
        <w:pStyle w:val="26"/>
        <w:spacing w:after="156" w:line="360" w:lineRule="auto"/>
        <w:ind w:left="991" w:hanging="991" w:hangingChars="470"/>
        <w:rPr>
          <w:bCs w:val="0"/>
        </w:rPr>
      </w:pPr>
      <w:r>
        <w:t>3.2.7.8.3</w:t>
      </w:r>
      <w:r>
        <w:tab/>
      </w:r>
      <w:r>
        <w:rPr>
          <w:rFonts w:hint="eastAsia"/>
        </w:rPr>
        <w:t>扩大前需要的信息</w:t>
      </w:r>
    </w:p>
    <w:p w14:paraId="6BB3445F">
      <w:pPr>
        <w:snapToGrid w:val="0"/>
        <w:spacing w:after="156" w:afterLines="50" w:line="360" w:lineRule="auto"/>
        <w:ind w:left="420" w:leftChars="200"/>
        <w:rPr>
          <w:rFonts w:hint="eastAsia" w:ascii="Arial" w:hAnsi="Arial" w:eastAsia="宋体" w:cs="Arial"/>
          <w:bCs/>
          <w:kern w:val="0"/>
        </w:rPr>
      </w:pPr>
    </w:p>
    <w:p w14:paraId="5DE0D16E">
      <w:pPr>
        <w:snapToGrid w:val="0"/>
        <w:spacing w:after="156" w:afterLines="50" w:line="360" w:lineRule="auto"/>
        <w:ind w:left="420" w:leftChars="200"/>
        <w:rPr>
          <w:rFonts w:ascii="Arial" w:hAnsi="Arial" w:eastAsia="宋体" w:cs="Arial"/>
          <w:bCs/>
          <w:kern w:val="0"/>
        </w:rPr>
      </w:pPr>
    </w:p>
    <w:p w14:paraId="65004A18">
      <w:pPr>
        <w:widowControl/>
        <w:spacing w:line="360" w:lineRule="auto"/>
        <w:jc w:val="left"/>
        <w:rPr>
          <w:rFonts w:ascii="Arial" w:hAnsi="Arial" w:eastAsia="宋体" w:cs="Arial"/>
          <w:bCs/>
          <w:kern w:val="0"/>
        </w:rPr>
      </w:pPr>
      <w:r>
        <w:rPr>
          <w:rFonts w:ascii="Arial" w:hAnsi="Arial" w:eastAsia="宋体" w:cs="Arial"/>
          <w:bCs/>
          <w:kern w:val="0"/>
        </w:rPr>
        <w:br w:type="page"/>
      </w:r>
    </w:p>
    <w:p w14:paraId="5A93052A">
      <w:pPr>
        <w:snapToGrid w:val="0"/>
        <w:spacing w:after="156" w:afterLines="50" w:line="360" w:lineRule="auto"/>
        <w:ind w:firstLine="420" w:firstLineChars="200"/>
        <w:rPr>
          <w:rFonts w:ascii="Arial" w:hAnsi="Arial" w:eastAsia="宋体" w:cs="Arial"/>
          <w:bCs/>
          <w:kern w:val="0"/>
        </w:rPr>
      </w:pPr>
      <w:r>
        <w:rPr>
          <w:rFonts w:hint="eastAsia" w:ascii="Arial" w:hAnsi="Arial" w:eastAsia="宋体" w:cs="Arial"/>
          <w:bCs/>
          <w:kern w:val="0"/>
        </w:rPr>
        <w:t>申请人扩大其</w:t>
      </w:r>
      <w:r>
        <w:rPr>
          <w:rFonts w:ascii="Arial" w:hAnsi="Arial" w:eastAsia="宋体" w:cs="Arial"/>
          <w:bCs/>
          <w:kern w:val="0"/>
        </w:rPr>
        <w:t>IDE</w:t>
      </w:r>
      <w:r>
        <w:rPr>
          <w:rFonts w:hint="eastAsia" w:ascii="Arial" w:hAnsi="Arial" w:eastAsia="宋体" w:cs="Arial"/>
          <w:bCs/>
          <w:kern w:val="0"/>
        </w:rPr>
        <w:t>研究的要求应由代理机构批准，前提是：</w:t>
      </w:r>
    </w:p>
    <w:p w14:paraId="2D11D454">
      <w:pPr>
        <w:pStyle w:val="18"/>
        <w:numPr>
          <w:ilvl w:val="0"/>
          <w:numId w:val="17"/>
        </w:numPr>
        <w:snapToGrid w:val="0"/>
        <w:spacing w:after="156" w:afterLines="50" w:line="360" w:lineRule="auto"/>
        <w:ind w:left="0" w:firstLine="420"/>
        <w:rPr>
          <w:rFonts w:ascii="Arial" w:hAnsi="Arial" w:eastAsia="宋体" w:cs="Arial"/>
          <w:bCs/>
          <w:kern w:val="0"/>
        </w:rPr>
      </w:pPr>
      <w:r>
        <w:rPr>
          <w:rFonts w:hint="eastAsia" w:ascii="Arial" w:hAnsi="Arial" w:eastAsia="宋体" w:cs="Arial"/>
          <w:bCs/>
          <w:kern w:val="0"/>
        </w:rPr>
        <w:t>显示合理保证安全性和有效性的进度报告（参见第</w:t>
      </w:r>
      <w:r>
        <w:rPr>
          <w:rFonts w:ascii="Arial" w:hAnsi="Arial" w:eastAsia="宋体" w:cs="Arial"/>
          <w:bCs/>
          <w:kern w:val="0"/>
        </w:rPr>
        <w:t>3.2.1</w:t>
      </w:r>
      <w:r>
        <w:rPr>
          <w:rFonts w:hint="eastAsia" w:ascii="Arial" w:hAnsi="Arial" w:eastAsia="宋体" w:cs="Arial"/>
          <w:bCs/>
          <w:kern w:val="0"/>
        </w:rPr>
        <w:t>和</w:t>
      </w:r>
      <w:r>
        <w:rPr>
          <w:rFonts w:ascii="Arial" w:hAnsi="Arial" w:eastAsia="宋体" w:cs="Arial"/>
          <w:bCs/>
          <w:kern w:val="0"/>
        </w:rPr>
        <w:t>3.2.2</w:t>
      </w:r>
      <w:r>
        <w:rPr>
          <w:rFonts w:hint="eastAsia" w:ascii="Arial" w:hAnsi="Arial" w:eastAsia="宋体" w:cs="Arial"/>
          <w:bCs/>
          <w:kern w:val="0"/>
        </w:rPr>
        <w:t>节）；</w:t>
      </w:r>
    </w:p>
    <w:p w14:paraId="76E6EA99">
      <w:pPr>
        <w:pStyle w:val="18"/>
        <w:numPr>
          <w:ilvl w:val="0"/>
          <w:numId w:val="17"/>
        </w:numPr>
        <w:snapToGrid w:val="0"/>
        <w:spacing w:after="156" w:afterLines="50" w:line="360" w:lineRule="auto"/>
        <w:ind w:left="0" w:firstLine="420"/>
        <w:rPr>
          <w:rFonts w:ascii="Arial" w:hAnsi="Arial" w:eastAsia="宋体" w:cs="Arial"/>
          <w:bCs/>
          <w:kern w:val="0"/>
        </w:rPr>
      </w:pPr>
      <w:r>
        <w:rPr>
          <w:rFonts w:hint="eastAsia" w:ascii="Arial" w:hAnsi="Arial" w:eastAsia="宋体" w:cs="Arial"/>
          <w:bCs/>
          <w:kern w:val="0"/>
        </w:rPr>
        <w:t>及时提交对器械重要方面的充分描述（参见第</w:t>
      </w:r>
      <w:r>
        <w:rPr>
          <w:rFonts w:ascii="Arial" w:hAnsi="Arial" w:eastAsia="宋体" w:cs="Arial"/>
          <w:bCs/>
          <w:kern w:val="0"/>
        </w:rPr>
        <w:t>3.4</w:t>
      </w:r>
      <w:r>
        <w:rPr>
          <w:rFonts w:hint="eastAsia" w:ascii="Arial" w:hAnsi="Arial" w:eastAsia="宋体" w:cs="Arial"/>
          <w:bCs/>
          <w:kern w:val="0"/>
        </w:rPr>
        <w:t>节）；和，</w:t>
      </w:r>
    </w:p>
    <w:p w14:paraId="050E7B55">
      <w:pPr>
        <w:pStyle w:val="18"/>
        <w:numPr>
          <w:ilvl w:val="0"/>
          <w:numId w:val="17"/>
        </w:numPr>
        <w:snapToGrid w:val="0"/>
        <w:spacing w:after="156" w:afterLines="50" w:line="360" w:lineRule="auto"/>
        <w:ind w:left="0" w:firstLine="420"/>
        <w:rPr>
          <w:rFonts w:ascii="Arial" w:hAnsi="Arial" w:eastAsia="宋体" w:cs="Arial"/>
          <w:bCs/>
          <w:kern w:val="0"/>
        </w:rPr>
      </w:pPr>
      <w:r>
        <w:rPr>
          <w:rFonts w:hint="eastAsia" w:ascii="Arial" w:hAnsi="Arial" w:eastAsia="宋体" w:cs="Arial"/>
          <w:bCs/>
          <w:kern w:val="0"/>
        </w:rPr>
        <w:t>事先机构批准研究计划中的所有更改以及在原始</w:t>
      </w:r>
      <w:r>
        <w:rPr>
          <w:rFonts w:ascii="Arial" w:hAnsi="Arial" w:eastAsia="宋体" w:cs="Arial"/>
          <w:bCs/>
          <w:kern w:val="0"/>
        </w:rPr>
        <w:t>IDE</w:t>
      </w:r>
      <w:r>
        <w:rPr>
          <w:rFonts w:hint="eastAsia" w:ascii="Arial" w:hAnsi="Arial" w:eastAsia="宋体" w:cs="Arial"/>
          <w:bCs/>
          <w:kern w:val="0"/>
        </w:rPr>
        <w:t>应用程序中提交的器械。</w:t>
      </w:r>
    </w:p>
    <w:p w14:paraId="3092AE0A">
      <w:pPr>
        <w:pStyle w:val="26"/>
        <w:spacing w:after="156" w:line="360" w:lineRule="auto"/>
        <w:ind w:left="991" w:hanging="991" w:hangingChars="470"/>
        <w:rPr>
          <w:bCs w:val="0"/>
        </w:rPr>
      </w:pPr>
      <w:bookmarkStart w:id="69" w:name="_Toc478047102"/>
      <w:r>
        <w:t>3.2.7.8.4</w:t>
      </w:r>
      <w:r>
        <w:tab/>
      </w:r>
      <w:r>
        <w:rPr>
          <w:rFonts w:hint="eastAsia"/>
        </w:rPr>
        <w:t>预期</w:t>
      </w:r>
      <w:r>
        <w:t>PMA</w:t>
      </w:r>
      <w:r>
        <w:rPr>
          <w:rFonts w:hint="eastAsia"/>
        </w:rPr>
        <w:t>应用</w:t>
      </w:r>
      <w:bookmarkEnd w:id="69"/>
    </w:p>
    <w:p w14:paraId="75E122AC">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未打算提交</w:t>
      </w:r>
      <w:r>
        <w:rPr>
          <w:rFonts w:ascii="Arial" w:hAnsi="Arial" w:eastAsia="宋体" w:cs="Arial"/>
          <w:bCs/>
          <w:kern w:val="0"/>
        </w:rPr>
        <w:t>PMA</w:t>
      </w:r>
      <w:r>
        <w:rPr>
          <w:rFonts w:hint="eastAsia" w:ascii="Arial" w:hAnsi="Arial" w:eastAsia="宋体" w:cs="Arial"/>
          <w:bCs/>
          <w:kern w:val="0"/>
        </w:rPr>
        <w:t>的</w:t>
      </w:r>
      <w:r>
        <w:rPr>
          <w:rFonts w:ascii="Arial" w:hAnsi="Arial" w:eastAsia="宋体" w:cs="Arial"/>
          <w:bCs/>
          <w:kern w:val="0"/>
        </w:rPr>
        <w:t>IDE</w:t>
      </w:r>
      <w:r>
        <w:rPr>
          <w:rFonts w:hint="eastAsia" w:ascii="Arial" w:hAnsi="Arial" w:eastAsia="宋体" w:cs="Arial"/>
          <w:bCs/>
          <w:kern w:val="0"/>
        </w:rPr>
        <w:t>研究的申办方和申办方</w:t>
      </w:r>
      <w:r>
        <w:rPr>
          <w:rFonts w:ascii="Arial" w:hAnsi="Arial" w:eastAsia="宋体" w:cs="Arial"/>
          <w:bCs/>
          <w:kern w:val="0"/>
        </w:rPr>
        <w:t>/</w:t>
      </w:r>
      <w:r>
        <w:rPr>
          <w:rFonts w:hint="eastAsia" w:ascii="Arial" w:hAnsi="Arial" w:eastAsia="宋体" w:cs="Arial"/>
          <w:bCs/>
          <w:kern w:val="0"/>
        </w:rPr>
        <w:t>研究者应该解释为什么不提交</w:t>
      </w:r>
      <w:r>
        <w:rPr>
          <w:rFonts w:ascii="Arial" w:hAnsi="Arial" w:eastAsia="宋体" w:cs="Arial"/>
          <w:bCs/>
          <w:kern w:val="0"/>
        </w:rPr>
        <w:t>PMA</w:t>
      </w:r>
      <w:r>
        <w:rPr>
          <w:rFonts w:hint="eastAsia" w:ascii="Arial" w:hAnsi="Arial" w:eastAsia="宋体" w:cs="Arial"/>
          <w:bCs/>
          <w:kern w:val="0"/>
        </w:rPr>
        <w:t>的原因以及正在进行研究的原因。这些申办方应在两（</w:t>
      </w:r>
      <w:r>
        <w:rPr>
          <w:rFonts w:ascii="Arial" w:hAnsi="Arial" w:eastAsia="宋体" w:cs="Arial"/>
          <w:bCs/>
          <w:kern w:val="0"/>
        </w:rPr>
        <w:t>2</w:t>
      </w:r>
      <w:r>
        <w:rPr>
          <w:rFonts w:hint="eastAsia" w:ascii="Arial" w:hAnsi="Arial" w:eastAsia="宋体" w:cs="Arial"/>
          <w:bCs/>
          <w:kern w:val="0"/>
        </w:rPr>
        <w:t>）年内完成研究。</w:t>
      </w:r>
      <w:r>
        <w:rPr>
          <w:rFonts w:ascii="Arial" w:hAnsi="Arial" w:eastAsia="宋体" w:cs="Arial"/>
          <w:bCs/>
          <w:kern w:val="0"/>
        </w:rPr>
        <w:t xml:space="preserve"> </w:t>
      </w:r>
      <w:r>
        <w:rPr>
          <w:rFonts w:hint="eastAsia" w:ascii="Arial" w:hAnsi="Arial" w:eastAsia="宋体" w:cs="Arial"/>
          <w:bCs/>
          <w:kern w:val="0"/>
        </w:rPr>
        <w:t>在</w:t>
      </w:r>
      <w:r>
        <w:rPr>
          <w:rFonts w:ascii="Arial" w:hAnsi="Arial" w:eastAsia="宋体" w:cs="Arial"/>
          <w:bCs/>
          <w:kern w:val="0"/>
        </w:rPr>
        <w:t>IDE</w:t>
      </w:r>
      <w:r>
        <w:rPr>
          <w:rFonts w:hint="eastAsia" w:ascii="Arial" w:hAnsi="Arial" w:eastAsia="宋体" w:cs="Arial"/>
          <w:bCs/>
          <w:kern w:val="0"/>
        </w:rPr>
        <w:t>研究批准后一（</w:t>
      </w:r>
      <w:r>
        <w:rPr>
          <w:rFonts w:ascii="Arial" w:hAnsi="Arial" w:eastAsia="宋体" w:cs="Arial"/>
          <w:bCs/>
          <w:kern w:val="0"/>
        </w:rPr>
        <w:t>1</w:t>
      </w:r>
      <w:r>
        <w:rPr>
          <w:rFonts w:hint="eastAsia" w:ascii="Arial" w:hAnsi="Arial" w:eastAsia="宋体" w:cs="Arial"/>
          <w:bCs/>
          <w:kern w:val="0"/>
        </w:rPr>
        <w:t>）年内未提交</w:t>
      </w:r>
      <w:r>
        <w:rPr>
          <w:rFonts w:ascii="Arial" w:hAnsi="Arial" w:eastAsia="宋体" w:cs="Arial"/>
          <w:bCs/>
          <w:kern w:val="0"/>
        </w:rPr>
        <w:t>PMA</w:t>
      </w:r>
      <w:r>
        <w:rPr>
          <w:rFonts w:hint="eastAsia" w:ascii="Arial" w:hAnsi="Arial" w:eastAsia="宋体" w:cs="Arial"/>
          <w:bCs/>
          <w:kern w:val="0"/>
        </w:rPr>
        <w:t>申请的申办方应该在两（</w:t>
      </w:r>
      <w:r>
        <w:rPr>
          <w:rFonts w:ascii="Arial" w:hAnsi="Arial" w:eastAsia="宋体" w:cs="Arial"/>
          <w:bCs/>
          <w:kern w:val="0"/>
        </w:rPr>
        <w:t>2</w:t>
      </w:r>
      <w:r>
        <w:rPr>
          <w:rFonts w:hint="eastAsia" w:ascii="Arial" w:hAnsi="Arial" w:eastAsia="宋体" w:cs="Arial"/>
          <w:bCs/>
          <w:kern w:val="0"/>
        </w:rPr>
        <w:t>）年内完成研究。</w:t>
      </w:r>
    </w:p>
    <w:p w14:paraId="5D241667">
      <w:pPr>
        <w:pStyle w:val="18"/>
        <w:numPr>
          <w:ilvl w:val="1"/>
          <w:numId w:val="5"/>
        </w:numPr>
        <w:snapToGrid w:val="0"/>
        <w:spacing w:after="156" w:afterLines="50" w:line="360" w:lineRule="auto"/>
        <w:ind w:left="0" w:firstLine="0" w:firstLineChars="0"/>
        <w:outlineLvl w:val="1"/>
        <w:rPr>
          <w:rFonts w:ascii="Arial" w:hAnsi="Arial" w:eastAsia="宋体" w:cs="Arial"/>
          <w:b/>
          <w:bCs/>
          <w:kern w:val="0"/>
        </w:rPr>
      </w:pPr>
      <w:bookmarkStart w:id="70" w:name="_Toc478047103"/>
      <w:r>
        <w:rPr>
          <w:rFonts w:hint="eastAsia" w:ascii="Arial" w:hAnsi="Arial" w:eastAsia="宋体" w:cs="Arial"/>
          <w:b/>
          <w:bCs/>
          <w:kern w:val="0"/>
        </w:rPr>
        <w:t>风险</w:t>
      </w:r>
      <w:r>
        <w:rPr>
          <w:rFonts w:ascii="Arial" w:hAnsi="Arial" w:eastAsia="宋体" w:cs="Arial"/>
          <w:b/>
          <w:bCs/>
          <w:kern w:val="0"/>
        </w:rPr>
        <w:t>/</w:t>
      </w:r>
      <w:r>
        <w:rPr>
          <w:rFonts w:hint="eastAsia" w:ascii="Arial" w:hAnsi="Arial" w:eastAsia="宋体" w:cs="Arial"/>
          <w:b/>
          <w:bCs/>
          <w:kern w:val="0"/>
        </w:rPr>
        <w:t>收益分析</w:t>
      </w:r>
      <w:bookmarkEnd w:id="70"/>
    </w:p>
    <w:p w14:paraId="18FA0399">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对目视眼执行（</w:t>
      </w:r>
      <w:r>
        <w:rPr>
          <w:rFonts w:ascii="Arial" w:hAnsi="Arial" w:eastAsia="宋体" w:cs="Arial"/>
          <w:bCs/>
          <w:kern w:val="0"/>
        </w:rPr>
        <w:t>PRK / LASIK</w:t>
      </w:r>
      <w:r>
        <w:rPr>
          <w:rFonts w:hint="eastAsia" w:ascii="Arial" w:hAnsi="Arial" w:eastAsia="宋体" w:cs="Arial"/>
          <w:bCs/>
          <w:kern w:val="0"/>
        </w:rPr>
        <w:t>）的风险包括不正确的矫正，最佳矫正视力降低，眩光，晕，异物感觉，角膜瘢痕，角膜溃疡或穿孔，眼内感染，角膜失代偿，持续性角膜水肿，眼前房出血，眼前房积脓，眼内炎，微生物性角膜炎或白内障。此外，该手术的长期风险未知。</w:t>
      </w:r>
      <w:r>
        <w:rPr>
          <w:rFonts w:ascii="Arial" w:hAnsi="Arial" w:eastAsia="宋体" w:cs="Arial"/>
          <w:bCs/>
          <w:kern w:val="0"/>
        </w:rPr>
        <w:t>LASIK</w:t>
      </w:r>
      <w:r>
        <w:rPr>
          <w:rFonts w:hint="eastAsia" w:ascii="Arial" w:hAnsi="Arial" w:eastAsia="宋体" w:cs="Arial"/>
          <w:bCs/>
          <w:kern w:val="0"/>
        </w:rPr>
        <w:t>手术具有与微型角膜刀的特征相关的其他风险。应该讨论为减轻</w:t>
      </w:r>
      <w:r>
        <w:rPr>
          <w:rFonts w:ascii="Arial" w:hAnsi="Arial" w:eastAsia="宋体" w:cs="Arial"/>
          <w:bCs/>
          <w:kern w:val="0"/>
        </w:rPr>
        <w:t>PRK</w:t>
      </w:r>
      <w:r>
        <w:rPr>
          <w:rFonts w:hint="eastAsia" w:ascii="Arial" w:hAnsi="Arial" w:eastAsia="宋体" w:cs="Arial"/>
          <w:bCs/>
          <w:kern w:val="0"/>
        </w:rPr>
        <w:t>或</w:t>
      </w:r>
      <w:r>
        <w:rPr>
          <w:rFonts w:ascii="Arial" w:hAnsi="Arial" w:eastAsia="宋体" w:cs="Arial"/>
          <w:bCs/>
          <w:kern w:val="0"/>
        </w:rPr>
        <w:t>LASIK</w:t>
      </w:r>
      <w:r>
        <w:rPr>
          <w:rFonts w:hint="eastAsia" w:ascii="Arial" w:hAnsi="Arial" w:eastAsia="宋体" w:cs="Arial"/>
          <w:bCs/>
          <w:kern w:val="0"/>
        </w:rPr>
        <w:t>的风险而采取的措施。</w:t>
      </w:r>
    </w:p>
    <w:p w14:paraId="0DFDC16B">
      <w:pPr>
        <w:snapToGrid w:val="0"/>
        <w:spacing w:after="156" w:afterLines="50" w:line="360" w:lineRule="auto"/>
        <w:ind w:left="420" w:leftChars="200"/>
        <w:rPr>
          <w:rFonts w:ascii="Arial" w:hAnsi="Arial" w:eastAsia="宋体" w:cs="Arial"/>
          <w:bCs/>
          <w:spacing w:val="-4"/>
          <w:kern w:val="0"/>
        </w:rPr>
      </w:pPr>
      <w:r>
        <w:rPr>
          <w:rFonts w:ascii="Arial" w:hAnsi="Arial" w:eastAsia="宋体" w:cs="Arial"/>
          <w:bCs/>
          <w:spacing w:val="-4"/>
          <w:kern w:val="0"/>
        </w:rPr>
        <w:t>PRK/LASIK</w:t>
      </w:r>
      <w:r>
        <w:rPr>
          <w:rFonts w:hint="eastAsia" w:ascii="Arial" w:hAnsi="Arial" w:eastAsia="宋体" w:cs="Arial"/>
          <w:bCs/>
          <w:spacing w:val="-4"/>
          <w:kern w:val="0"/>
        </w:rPr>
        <w:t>在证明上述风险的主要好处是可能没有或减少对眼镜和</w:t>
      </w:r>
      <w:r>
        <w:rPr>
          <w:rFonts w:ascii="Arial" w:hAnsi="Arial" w:eastAsia="宋体" w:cs="Arial"/>
          <w:bCs/>
          <w:spacing w:val="-4"/>
          <w:kern w:val="0"/>
        </w:rPr>
        <w:t>/</w:t>
      </w:r>
      <w:r>
        <w:rPr>
          <w:rFonts w:hint="eastAsia" w:ascii="Arial" w:hAnsi="Arial" w:eastAsia="宋体" w:cs="Arial"/>
          <w:bCs/>
          <w:spacing w:val="-4"/>
          <w:kern w:val="0"/>
        </w:rPr>
        <w:t>或隐形眼镜对矫正屈光不正的依赖。</w:t>
      </w:r>
    </w:p>
    <w:p w14:paraId="07E9BB05">
      <w:pPr>
        <w:pStyle w:val="18"/>
        <w:numPr>
          <w:ilvl w:val="1"/>
          <w:numId w:val="5"/>
        </w:numPr>
        <w:snapToGrid w:val="0"/>
        <w:spacing w:after="156" w:afterLines="50" w:line="360" w:lineRule="auto"/>
        <w:ind w:left="0" w:firstLine="0" w:firstLineChars="0"/>
        <w:outlineLvl w:val="1"/>
        <w:rPr>
          <w:rFonts w:ascii="Arial" w:hAnsi="Arial" w:eastAsia="宋体" w:cs="Arial"/>
          <w:b/>
          <w:bCs/>
          <w:kern w:val="0"/>
        </w:rPr>
      </w:pPr>
      <w:bookmarkStart w:id="71" w:name="_Toc478047104"/>
      <w:r>
        <w:rPr>
          <w:rFonts w:hint="eastAsia" w:ascii="Arial" w:hAnsi="Arial" w:eastAsia="宋体" w:cs="Arial"/>
          <w:b/>
          <w:bCs/>
          <w:kern w:val="0"/>
        </w:rPr>
        <w:t>器械描述</w:t>
      </w:r>
      <w:bookmarkEnd w:id="71"/>
    </w:p>
    <w:p w14:paraId="62D69957">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提供器械操作的每个重要组成部分，属性和原理以及研究期间器械的任何预期变化的描述。该描述应该足够详细以允许对器械的功能的透彻理解。它还应确定可归因于器械的受试者的所有重大风险，并应提供证据表明这些风险已可最小化接受。器械描述提供了在临床研究过程中评估器械问题或变化的基础。对于折射激光系统，描述应包括但不限于以下项目：</w:t>
      </w:r>
    </w:p>
    <w:p w14:paraId="402F9C43">
      <w:pPr>
        <w:widowControl/>
        <w:jc w:val="left"/>
        <w:rPr>
          <w:rFonts w:ascii="Arial" w:hAnsi="Arial" w:eastAsia="宋体" w:cs="Arial"/>
          <w:bCs/>
          <w:kern w:val="0"/>
        </w:rPr>
      </w:pPr>
      <w:r>
        <w:rPr>
          <w:rFonts w:ascii="Arial" w:hAnsi="Arial" w:eastAsia="宋体" w:cs="Arial"/>
          <w:bCs/>
          <w:kern w:val="0"/>
        </w:rPr>
        <w:br w:type="page"/>
      </w:r>
    </w:p>
    <w:p w14:paraId="49EEE827">
      <w:pPr>
        <w:snapToGrid w:val="0"/>
        <w:spacing w:after="156" w:afterLines="50" w:line="360" w:lineRule="auto"/>
        <w:ind w:left="420" w:leftChars="200"/>
        <w:rPr>
          <w:rFonts w:ascii="Arial" w:hAnsi="Arial" w:eastAsia="宋体" w:cs="Arial"/>
          <w:bCs/>
          <w:kern w:val="0"/>
        </w:rPr>
      </w:pPr>
    </w:p>
    <w:p w14:paraId="15E026D6">
      <w:pPr>
        <w:pStyle w:val="18"/>
        <w:numPr>
          <w:ilvl w:val="2"/>
          <w:numId w:val="5"/>
        </w:numPr>
        <w:snapToGrid w:val="0"/>
        <w:spacing w:after="156" w:afterLines="50" w:line="360" w:lineRule="auto"/>
        <w:ind w:left="0" w:firstLineChars="0"/>
        <w:outlineLvl w:val="2"/>
        <w:rPr>
          <w:rFonts w:ascii="Arial" w:hAnsi="Arial" w:eastAsia="宋体" w:cs="Arial"/>
          <w:b/>
          <w:bCs/>
          <w:kern w:val="0"/>
        </w:rPr>
      </w:pPr>
      <w:bookmarkStart w:id="72" w:name="_Toc478047105"/>
      <w:r>
        <w:rPr>
          <w:rFonts w:ascii="Arial" w:hAnsi="Arial" w:eastAsia="宋体" w:cs="Arial"/>
          <w:b/>
          <w:bCs/>
          <w:kern w:val="0"/>
        </w:rPr>
        <w:t>IDE</w:t>
      </w:r>
      <w:r>
        <w:rPr>
          <w:rFonts w:hint="eastAsia" w:ascii="Arial" w:hAnsi="Arial" w:eastAsia="宋体" w:cs="Arial"/>
          <w:b/>
          <w:bCs/>
          <w:kern w:val="0"/>
        </w:rPr>
        <w:t>批准前需要的器械信息</w:t>
      </w:r>
      <w:bookmarkEnd w:id="72"/>
    </w:p>
    <w:p w14:paraId="536D521E">
      <w:pPr>
        <w:snapToGrid w:val="0"/>
        <w:spacing w:after="156" w:afterLines="50" w:line="360" w:lineRule="auto"/>
        <w:ind w:firstLine="420" w:firstLineChars="200"/>
        <w:rPr>
          <w:rFonts w:ascii="Arial" w:hAnsi="Arial" w:eastAsia="宋体" w:cs="Arial"/>
          <w:bCs/>
          <w:kern w:val="0"/>
        </w:rPr>
      </w:pPr>
      <w:r>
        <w:rPr>
          <w:rFonts w:ascii="Arial" w:hAnsi="Arial" w:eastAsia="宋体" w:cs="Arial"/>
          <w:bCs/>
          <w:kern w:val="0"/>
        </w:rPr>
        <w:t>IDE</w:t>
      </w:r>
      <w:r>
        <w:rPr>
          <w:rFonts w:hint="eastAsia" w:ascii="Arial" w:hAnsi="Arial" w:eastAsia="宋体" w:cs="Arial"/>
          <w:bCs/>
          <w:kern w:val="0"/>
        </w:rPr>
        <w:t>应用程序批准前，即使是可行性研究，申办方或主办方研究员应提供以下信息：</w:t>
      </w:r>
    </w:p>
    <w:p w14:paraId="01404121">
      <w:pPr>
        <w:pStyle w:val="18"/>
        <w:numPr>
          <w:ilvl w:val="3"/>
          <w:numId w:val="5"/>
        </w:numPr>
        <w:snapToGrid w:val="0"/>
        <w:spacing w:after="156" w:afterLines="50" w:line="360" w:lineRule="auto"/>
        <w:ind w:left="0" w:firstLine="0" w:firstLineChars="0"/>
        <w:outlineLvl w:val="3"/>
        <w:rPr>
          <w:rFonts w:ascii="Arial" w:hAnsi="Arial" w:eastAsia="宋体" w:cs="Arial"/>
          <w:b/>
          <w:bCs/>
          <w:kern w:val="0"/>
        </w:rPr>
      </w:pPr>
      <w:bookmarkStart w:id="73" w:name="_Toc478047106"/>
      <w:r>
        <w:rPr>
          <w:rFonts w:hint="eastAsia" w:ascii="Arial" w:hAnsi="Arial" w:eastAsia="宋体" w:cs="Arial"/>
          <w:b/>
          <w:bCs/>
          <w:kern w:val="0"/>
        </w:rPr>
        <w:t>电气安全</w:t>
      </w:r>
      <w:bookmarkEnd w:id="73"/>
    </w:p>
    <w:p w14:paraId="3C8AC77B">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证明该器械符合公认的国家或国际医疗器械电气安全性标准（例如，美国保险商实验室，</w:t>
      </w:r>
      <w:r>
        <w:rPr>
          <w:rFonts w:ascii="Arial" w:hAnsi="Arial" w:eastAsia="宋体" w:cs="Arial"/>
          <w:bCs/>
          <w:kern w:val="0"/>
        </w:rPr>
        <w:t>UL544 76</w:t>
      </w:r>
      <w:r>
        <w:rPr>
          <w:rFonts w:hint="eastAsia" w:ascii="Arial" w:hAnsi="Arial" w:eastAsia="宋体" w:cs="Arial"/>
          <w:bCs/>
          <w:kern w:val="0"/>
        </w:rPr>
        <w:t>；</w:t>
      </w:r>
      <w:r>
        <w:rPr>
          <w:rFonts w:ascii="Arial" w:hAnsi="Arial" w:eastAsia="宋体" w:cs="Arial"/>
          <w:bCs/>
          <w:kern w:val="0"/>
        </w:rPr>
        <w:t xml:space="preserve"> </w:t>
      </w:r>
      <w:r>
        <w:rPr>
          <w:rFonts w:hint="eastAsia" w:ascii="Arial" w:hAnsi="Arial" w:eastAsia="宋体" w:cs="Arial"/>
          <w:bCs/>
          <w:kern w:val="0"/>
        </w:rPr>
        <w:t>加拿大标准协会，</w:t>
      </w:r>
      <w:r>
        <w:rPr>
          <w:rFonts w:ascii="Arial" w:hAnsi="Arial" w:eastAsia="宋体" w:cs="Arial"/>
          <w:bCs/>
          <w:kern w:val="0"/>
        </w:rPr>
        <w:t>C22.2 No.125-M1984</w:t>
      </w:r>
      <w:r>
        <w:rPr>
          <w:rFonts w:hint="eastAsia" w:ascii="Arial" w:hAnsi="Arial" w:eastAsia="宋体" w:cs="Arial"/>
          <w:bCs/>
          <w:kern w:val="0"/>
        </w:rPr>
        <w:t>；</w:t>
      </w:r>
      <w:r>
        <w:rPr>
          <w:rFonts w:ascii="Arial" w:hAnsi="Arial" w:eastAsia="宋体" w:cs="Arial"/>
          <w:bCs/>
          <w:kern w:val="0"/>
        </w:rPr>
        <w:t xml:space="preserve"> </w:t>
      </w:r>
      <w:r>
        <w:rPr>
          <w:rFonts w:hint="eastAsia" w:ascii="Arial" w:hAnsi="Arial" w:eastAsia="宋体" w:cs="Arial"/>
          <w:bCs/>
          <w:kern w:val="0"/>
        </w:rPr>
        <w:t>英国标准学会，</w:t>
      </w:r>
      <w:r>
        <w:rPr>
          <w:rFonts w:ascii="Arial" w:hAnsi="Arial" w:eastAsia="宋体" w:cs="Arial"/>
          <w:bCs/>
          <w:kern w:val="0"/>
        </w:rPr>
        <w:t>BS 5724</w:t>
      </w:r>
      <w:r>
        <w:rPr>
          <w:rFonts w:hint="eastAsia" w:ascii="Arial" w:hAnsi="Arial" w:eastAsia="宋体" w:cs="Arial"/>
          <w:bCs/>
          <w:kern w:val="0"/>
        </w:rPr>
        <w:t>；</w:t>
      </w:r>
      <w:r>
        <w:rPr>
          <w:rFonts w:ascii="Arial" w:hAnsi="Arial" w:eastAsia="宋体" w:cs="Arial"/>
          <w:bCs/>
          <w:kern w:val="0"/>
        </w:rPr>
        <w:t xml:space="preserve"> </w:t>
      </w:r>
      <w:r>
        <w:rPr>
          <w:rFonts w:hint="eastAsia" w:ascii="Arial" w:hAnsi="Arial" w:eastAsia="宋体" w:cs="Arial"/>
          <w:bCs/>
          <w:kern w:val="0"/>
        </w:rPr>
        <w:t>国际电工技术委员会，</w:t>
      </w:r>
      <w:r>
        <w:rPr>
          <w:rFonts w:ascii="Arial" w:hAnsi="Arial" w:eastAsia="宋体" w:cs="Arial"/>
          <w:bCs/>
          <w:kern w:val="0"/>
        </w:rPr>
        <w:t xml:space="preserve"> IEC 601-1-2</w:t>
      </w:r>
      <w:r>
        <w:rPr>
          <w:rFonts w:hint="eastAsia" w:ascii="Arial" w:hAnsi="Arial" w:eastAsia="宋体" w:cs="Arial"/>
          <w:bCs/>
          <w:kern w:val="0"/>
        </w:rPr>
        <w:t>；日本工业标准，</w:t>
      </w:r>
      <w:r>
        <w:rPr>
          <w:rFonts w:ascii="Arial" w:hAnsi="Arial" w:eastAsia="宋体" w:cs="Arial"/>
          <w:bCs/>
          <w:kern w:val="0"/>
        </w:rPr>
        <w:t>JIS T1001</w:t>
      </w:r>
      <w:r>
        <w:rPr>
          <w:rFonts w:hint="eastAsia" w:ascii="Arial" w:hAnsi="Arial" w:eastAsia="宋体" w:cs="Arial"/>
          <w:bCs/>
          <w:kern w:val="0"/>
        </w:rPr>
        <w:t>）；</w:t>
      </w:r>
    </w:p>
    <w:p w14:paraId="74861483">
      <w:pPr>
        <w:pStyle w:val="18"/>
        <w:numPr>
          <w:ilvl w:val="3"/>
          <w:numId w:val="5"/>
        </w:numPr>
        <w:snapToGrid w:val="0"/>
        <w:spacing w:after="156" w:afterLines="50" w:line="360" w:lineRule="auto"/>
        <w:ind w:left="0" w:firstLine="0" w:firstLineChars="0"/>
        <w:outlineLvl w:val="3"/>
        <w:rPr>
          <w:rFonts w:ascii="Arial" w:hAnsi="Arial" w:eastAsia="宋体" w:cs="Arial"/>
          <w:b/>
        </w:rPr>
      </w:pPr>
      <w:bookmarkStart w:id="74" w:name="_Toc478047107"/>
      <w:r>
        <w:rPr>
          <w:rFonts w:hint="eastAsia" w:ascii="Arial" w:hAnsi="Arial" w:eastAsia="宋体" w:cs="Arial"/>
          <w:b/>
        </w:rPr>
        <w:t>功能禁用</w:t>
      </w:r>
      <w:bookmarkEnd w:id="74"/>
    </w:p>
    <w:p w14:paraId="271E136F">
      <w:pPr>
        <w:snapToGrid w:val="0"/>
        <w:spacing w:after="156" w:afterLines="50" w:line="360" w:lineRule="auto"/>
        <w:ind w:firstLine="420" w:firstLineChars="200"/>
        <w:rPr>
          <w:rFonts w:ascii="Arial" w:hAnsi="Arial" w:eastAsia="宋体" w:cs="Arial"/>
        </w:rPr>
      </w:pPr>
      <w:r>
        <w:rPr>
          <w:rFonts w:hint="eastAsia" w:ascii="Arial" w:hAnsi="Arial" w:eastAsia="宋体" w:cs="Arial"/>
        </w:rPr>
        <w:t>对</w:t>
      </w:r>
      <w:r>
        <w:rPr>
          <w:rFonts w:ascii="Arial" w:hAnsi="Arial" w:eastAsia="宋体" w:cs="Arial"/>
        </w:rPr>
        <w:t>IDE</w:t>
      </w:r>
      <w:r>
        <w:rPr>
          <w:rFonts w:hint="eastAsia" w:ascii="Arial" w:hAnsi="Arial" w:eastAsia="宋体" w:cs="Arial"/>
        </w:rPr>
        <w:t>研究启用和禁用的所有硬件，固件和软件的功能详细说明；</w:t>
      </w:r>
    </w:p>
    <w:p w14:paraId="2E3C2BAC">
      <w:pPr>
        <w:pStyle w:val="18"/>
        <w:numPr>
          <w:ilvl w:val="3"/>
          <w:numId w:val="5"/>
        </w:numPr>
        <w:snapToGrid w:val="0"/>
        <w:spacing w:after="156" w:afterLines="50" w:line="360" w:lineRule="auto"/>
        <w:ind w:left="0" w:firstLine="0" w:firstLineChars="0"/>
        <w:outlineLvl w:val="3"/>
        <w:rPr>
          <w:rFonts w:ascii="Arial" w:hAnsi="Arial" w:eastAsia="宋体" w:cs="Arial"/>
          <w:b/>
        </w:rPr>
      </w:pPr>
      <w:bookmarkStart w:id="75" w:name="_Toc478047108"/>
      <w:r>
        <w:rPr>
          <w:rFonts w:hint="eastAsia" w:ascii="Arial" w:hAnsi="Arial" w:eastAsia="宋体" w:cs="Arial"/>
          <w:b/>
        </w:rPr>
        <w:t>关键工程方面</w:t>
      </w:r>
      <w:bookmarkEnd w:id="75"/>
    </w:p>
    <w:p w14:paraId="3290A076">
      <w:pPr>
        <w:snapToGrid w:val="0"/>
        <w:spacing w:after="156" w:afterLines="50" w:line="360" w:lineRule="auto"/>
        <w:ind w:firstLine="420" w:firstLineChars="200"/>
        <w:rPr>
          <w:rFonts w:ascii="Arial" w:hAnsi="Arial" w:eastAsia="宋体" w:cs="Arial"/>
        </w:rPr>
      </w:pPr>
      <w:r>
        <w:rPr>
          <w:rFonts w:hint="eastAsia" w:ascii="Arial" w:hAnsi="Arial" w:eastAsia="宋体" w:cs="Arial"/>
        </w:rPr>
        <w:t>应提交对器械的以下关键工程方面的详细科学和技术分析。</w:t>
      </w:r>
    </w:p>
    <w:p w14:paraId="66FA8A9C">
      <w:pPr>
        <w:pStyle w:val="18"/>
        <w:numPr>
          <w:ilvl w:val="0"/>
          <w:numId w:val="18"/>
        </w:numPr>
        <w:snapToGrid w:val="0"/>
        <w:spacing w:after="156" w:afterLines="50" w:line="360" w:lineRule="auto"/>
        <w:ind w:left="881" w:leftChars="193" w:hanging="476" w:hangingChars="227"/>
        <w:rPr>
          <w:rFonts w:ascii="Arial" w:hAnsi="Arial" w:eastAsia="宋体" w:cs="Arial"/>
        </w:rPr>
      </w:pPr>
      <w:r>
        <w:rPr>
          <w:rFonts w:hint="eastAsia" w:ascii="Arial" w:hAnsi="Arial" w:eastAsia="宋体" w:cs="Arial"/>
        </w:rPr>
        <w:t>提供用于治疗屈光不正（即，近视，散光和远视）的切除模式的详细描述和分析非常重要。这些描述和分析应该包括新的角膜表面演变的叙述和图形描写。描述应包括但不限于用于改变角膜形状的所有遮片，环，新月体，隔膜，多区，多通道和扫描图案的详细图和说明。应清楚地描述和解释表面和基质内切除模式之间的任何差异。</w:t>
      </w:r>
    </w:p>
    <w:p w14:paraId="7FE1208F">
      <w:pPr>
        <w:pStyle w:val="18"/>
        <w:numPr>
          <w:ilvl w:val="0"/>
          <w:numId w:val="18"/>
        </w:numPr>
        <w:snapToGrid w:val="0"/>
        <w:spacing w:after="156" w:afterLines="50" w:line="360" w:lineRule="auto"/>
        <w:ind w:left="881" w:leftChars="193" w:hanging="476" w:hangingChars="227"/>
        <w:rPr>
          <w:rFonts w:ascii="Arial" w:hAnsi="Arial" w:eastAsia="宋体" w:cs="Arial"/>
        </w:rPr>
      </w:pPr>
      <w:r>
        <w:rPr>
          <w:rFonts w:hint="eastAsia" w:ascii="Arial" w:hAnsi="Arial" w:eastAsia="宋体" w:cs="Arial"/>
        </w:rPr>
        <w:t>应详细描述激光器的特性。</w:t>
      </w:r>
      <w:r>
        <w:rPr>
          <w:rFonts w:ascii="Arial" w:hAnsi="Arial" w:eastAsia="宋体" w:cs="Arial"/>
        </w:rPr>
        <w:t xml:space="preserve"> </w:t>
      </w:r>
      <w:r>
        <w:rPr>
          <w:rFonts w:hint="eastAsia" w:ascii="Arial" w:hAnsi="Arial" w:eastAsia="宋体" w:cs="Arial"/>
        </w:rPr>
        <w:t>激光器的描述应包括但不限于类型（例如，准分子），频率转换方法（如果适用），冷却方法，激光腔输出，波长（包括固态激光器的基波和次波长）</w:t>
      </w:r>
      <w:r>
        <w:rPr>
          <w:rFonts w:ascii="Arial" w:hAnsi="Arial" w:eastAsia="宋体" w:cs="Arial"/>
        </w:rPr>
        <w:t xml:space="preserve"> </w:t>
      </w:r>
      <w:r>
        <w:rPr>
          <w:rFonts w:hint="eastAsia" w:ascii="Arial" w:hAnsi="Arial" w:eastAsia="宋体" w:cs="Arial"/>
        </w:rPr>
        <w:t>，脉冲重复率，脉冲宽度（持续时间，半高全宽），脉冲能量，空间维度和光束发散。</w:t>
      </w:r>
    </w:p>
    <w:p w14:paraId="5F34D962">
      <w:pPr>
        <w:widowControl/>
        <w:jc w:val="left"/>
        <w:rPr>
          <w:rFonts w:ascii="Arial" w:hAnsi="Arial" w:eastAsia="宋体" w:cs="Arial"/>
        </w:rPr>
      </w:pPr>
      <w:r>
        <w:rPr>
          <w:rFonts w:ascii="Arial" w:hAnsi="Arial" w:eastAsia="宋体" w:cs="Arial"/>
        </w:rPr>
        <w:br w:type="page"/>
      </w:r>
    </w:p>
    <w:p w14:paraId="5C360190">
      <w:pPr>
        <w:pStyle w:val="18"/>
        <w:numPr>
          <w:ilvl w:val="0"/>
          <w:numId w:val="18"/>
        </w:numPr>
        <w:snapToGrid w:val="0"/>
        <w:spacing w:after="156" w:afterLines="50" w:line="360" w:lineRule="auto"/>
        <w:ind w:left="881" w:leftChars="193" w:hanging="476" w:hangingChars="227"/>
        <w:rPr>
          <w:rFonts w:ascii="Arial" w:hAnsi="Arial" w:eastAsia="宋体" w:cs="Arial"/>
        </w:rPr>
      </w:pPr>
      <w:r>
        <w:rPr>
          <w:rFonts w:hint="eastAsia" w:ascii="Arial" w:hAnsi="Arial" w:eastAsia="宋体" w:cs="Arial"/>
        </w:rPr>
        <w:t>应提供波束校准方法，校准时间表以及如何根据</w:t>
      </w:r>
      <w:r>
        <w:rPr>
          <w:rFonts w:ascii="Arial" w:hAnsi="Arial" w:eastAsia="宋体" w:cs="Arial"/>
        </w:rPr>
        <w:t>PMA</w:t>
      </w:r>
      <w:r>
        <w:rPr>
          <w:rFonts w:hint="eastAsia" w:ascii="Arial" w:hAnsi="Arial" w:eastAsia="宋体" w:cs="Arial"/>
        </w:rPr>
        <w:t>批准后器械可能使用频率的估计得出时间表的叙述性描述。</w:t>
      </w:r>
    </w:p>
    <w:p w14:paraId="0B44D902">
      <w:pPr>
        <w:pStyle w:val="18"/>
        <w:numPr>
          <w:ilvl w:val="0"/>
          <w:numId w:val="18"/>
        </w:numPr>
        <w:snapToGrid w:val="0"/>
        <w:spacing w:after="156" w:afterLines="50" w:line="360" w:lineRule="auto"/>
        <w:ind w:left="881" w:leftChars="193" w:hanging="476" w:hangingChars="227"/>
        <w:rPr>
          <w:rFonts w:ascii="Arial" w:hAnsi="Arial" w:eastAsia="宋体" w:cs="Arial"/>
        </w:rPr>
      </w:pPr>
      <w:r>
        <w:rPr>
          <w:rFonts w:hint="eastAsia" w:ascii="Arial" w:hAnsi="Arial" w:eastAsia="宋体" w:cs="Arial"/>
        </w:rPr>
        <w:t>应提供详细的系统危害分析，包括但不限于以下信息。</w:t>
      </w:r>
      <w:r>
        <w:rPr>
          <w:rFonts w:ascii="Arial" w:hAnsi="Arial" w:eastAsia="宋体" w:cs="Arial"/>
        </w:rPr>
        <w:t xml:space="preserve"> </w:t>
      </w:r>
      <w:r>
        <w:rPr>
          <w:rFonts w:hint="eastAsia" w:ascii="Arial" w:hAnsi="Arial" w:eastAsia="宋体" w:cs="Arial"/>
        </w:rPr>
        <w:t>每当在器械中进行改变时，修改信息并重新提交给</w:t>
      </w:r>
      <w:r>
        <w:rPr>
          <w:rFonts w:ascii="Arial" w:hAnsi="Arial" w:eastAsia="宋体" w:cs="Arial"/>
        </w:rPr>
        <w:t>FDA</w:t>
      </w:r>
      <w:r>
        <w:rPr>
          <w:rFonts w:hint="eastAsia" w:ascii="Arial" w:hAnsi="Arial" w:eastAsia="宋体" w:cs="Arial"/>
        </w:rPr>
        <w:t>。</w:t>
      </w:r>
    </w:p>
    <w:p w14:paraId="4843719B">
      <w:pPr>
        <w:pStyle w:val="18"/>
        <w:numPr>
          <w:ilvl w:val="0"/>
          <w:numId w:val="19"/>
        </w:numPr>
        <w:snapToGrid w:val="0"/>
        <w:spacing w:after="156" w:afterLines="50" w:line="360" w:lineRule="auto"/>
        <w:ind w:left="1482" w:leftChars="440" w:hanging="558" w:hangingChars="266"/>
        <w:rPr>
          <w:rFonts w:ascii="Arial" w:hAnsi="Arial" w:eastAsia="宋体" w:cs="Arial"/>
        </w:rPr>
      </w:pPr>
      <w:r>
        <w:rPr>
          <w:rFonts w:hint="eastAsia" w:ascii="Arial" w:hAnsi="Arial" w:eastAsia="宋体" w:cs="Arial"/>
        </w:rPr>
        <w:t>对那些关键子系统的故障或失灵可能导致视觉影响问题或功能上显著的屈光矫正误差的自上而下（故障树）危险分析，例如，防止过度切除深度和维持激光参数的故障安全机制，防止脚踏板故障，数据输入保护使误差最小化以计算切除深度，微型角膜刀特征和</w:t>
      </w:r>
      <w:r>
        <w:rPr>
          <w:rFonts w:ascii="Arial" w:hAnsi="Arial" w:eastAsia="宋体" w:cs="Arial"/>
        </w:rPr>
        <w:t>SOP</w:t>
      </w:r>
      <w:r>
        <w:rPr>
          <w:rFonts w:hint="eastAsia" w:ascii="Arial" w:hAnsi="Arial" w:eastAsia="宋体" w:cs="Arial"/>
        </w:rPr>
        <w:t>，光轴性特征，固定，眼睛跟踪和可变孔径。</w:t>
      </w:r>
    </w:p>
    <w:p w14:paraId="2E7E597F">
      <w:pPr>
        <w:pStyle w:val="18"/>
        <w:numPr>
          <w:ilvl w:val="0"/>
          <w:numId w:val="19"/>
        </w:numPr>
        <w:snapToGrid w:val="0"/>
        <w:spacing w:after="156" w:afterLines="50" w:line="360" w:lineRule="auto"/>
        <w:ind w:left="1482" w:leftChars="440" w:hanging="558" w:hangingChars="266"/>
        <w:rPr>
          <w:rFonts w:ascii="Arial" w:hAnsi="Arial" w:eastAsia="宋体" w:cs="Arial"/>
        </w:rPr>
      </w:pPr>
      <w:r>
        <w:rPr>
          <w:rFonts w:hint="eastAsia" w:ascii="Arial" w:hAnsi="Arial" w:eastAsia="宋体" w:cs="Arial"/>
        </w:rPr>
        <w:t>所有安全关键和安全相关功能的故障模式，以及如何通过硬件，固件，软件或用户培训来减轻，消除或控制它们。</w:t>
      </w:r>
      <w:r>
        <w:rPr>
          <w:rFonts w:ascii="Arial" w:hAnsi="Arial" w:eastAsia="宋体" w:cs="Arial"/>
        </w:rPr>
        <w:t xml:space="preserve"> </w:t>
      </w:r>
      <w:r>
        <w:rPr>
          <w:rFonts w:hint="eastAsia" w:ascii="Arial" w:hAnsi="Arial" w:eastAsia="宋体" w:cs="Arial"/>
        </w:rPr>
        <w:t>应描述用于验证故障模式控制的所有程序，并且应确定由软件控制的任何性能规范。</w:t>
      </w:r>
    </w:p>
    <w:p w14:paraId="3D458E74">
      <w:pPr>
        <w:pStyle w:val="18"/>
        <w:numPr>
          <w:ilvl w:val="0"/>
          <w:numId w:val="19"/>
        </w:numPr>
        <w:snapToGrid w:val="0"/>
        <w:spacing w:after="156" w:afterLines="50" w:line="360" w:lineRule="auto"/>
        <w:ind w:left="1482" w:leftChars="440" w:hanging="558" w:hangingChars="266"/>
        <w:rPr>
          <w:rFonts w:ascii="Arial" w:hAnsi="Arial" w:eastAsia="宋体" w:cs="Arial"/>
        </w:rPr>
      </w:pPr>
      <w:r>
        <w:rPr>
          <w:rFonts w:hint="eastAsia" w:ascii="Arial" w:hAnsi="Arial" w:eastAsia="宋体" w:cs="Arial"/>
        </w:rPr>
        <w:t>所有安全关键软件功能。</w:t>
      </w:r>
      <w:r>
        <w:rPr>
          <w:rFonts w:ascii="Arial" w:hAnsi="Arial" w:eastAsia="宋体" w:cs="Arial"/>
        </w:rPr>
        <w:t xml:space="preserve"> </w:t>
      </w:r>
      <w:r>
        <w:rPr>
          <w:rFonts w:hint="eastAsia" w:ascii="Arial" w:hAnsi="Arial" w:eastAsia="宋体" w:cs="Arial"/>
        </w:rPr>
        <w:t>安全关键软件功能是其故障会产生危险的任何软件功能。</w:t>
      </w:r>
    </w:p>
    <w:p w14:paraId="76180963">
      <w:pPr>
        <w:pStyle w:val="18"/>
        <w:numPr>
          <w:ilvl w:val="0"/>
          <w:numId w:val="19"/>
        </w:numPr>
        <w:snapToGrid w:val="0"/>
        <w:spacing w:after="156" w:afterLines="50" w:line="360" w:lineRule="auto"/>
        <w:ind w:left="1482" w:leftChars="440" w:hanging="558" w:hangingChars="266"/>
        <w:rPr>
          <w:rFonts w:ascii="Arial" w:hAnsi="Arial" w:eastAsia="宋体" w:cs="Arial"/>
        </w:rPr>
      </w:pPr>
      <w:r>
        <w:rPr>
          <w:rFonts w:hint="eastAsia" w:ascii="Arial" w:hAnsi="Arial" w:eastAsia="宋体" w:cs="Arial"/>
        </w:rPr>
        <w:t>所有安全相关的软件要求。</w:t>
      </w:r>
      <w:r>
        <w:rPr>
          <w:rFonts w:ascii="Arial" w:hAnsi="Arial" w:eastAsia="宋体" w:cs="Arial"/>
        </w:rPr>
        <w:t xml:space="preserve"> </w:t>
      </w:r>
      <w:r>
        <w:rPr>
          <w:rFonts w:hint="eastAsia" w:ascii="Arial" w:hAnsi="Arial" w:eastAsia="宋体" w:cs="Arial"/>
        </w:rPr>
        <w:t>安全相关软件要求是设计中包含的软件要求，用于减轻危害分析中确定的特定危险。</w:t>
      </w:r>
    </w:p>
    <w:p w14:paraId="3AC2BE67">
      <w:pPr>
        <w:pStyle w:val="18"/>
        <w:numPr>
          <w:ilvl w:val="0"/>
          <w:numId w:val="19"/>
        </w:numPr>
        <w:snapToGrid w:val="0"/>
        <w:spacing w:after="156" w:afterLines="50" w:line="360" w:lineRule="auto"/>
        <w:ind w:left="1482" w:leftChars="440" w:hanging="558" w:hangingChars="266"/>
        <w:rPr>
          <w:rFonts w:ascii="Arial" w:hAnsi="Arial" w:eastAsia="宋体" w:cs="Arial"/>
        </w:rPr>
      </w:pPr>
      <w:r>
        <w:rPr>
          <w:rFonts w:hint="eastAsia" w:ascii="Arial" w:hAnsi="Arial" w:eastAsia="宋体" w:cs="Arial"/>
        </w:rPr>
        <w:t>将由现有（</w:t>
      </w:r>
      <w:r>
        <w:rPr>
          <w:rFonts w:ascii="Arial" w:hAnsi="Arial" w:eastAsia="宋体" w:cs="Arial"/>
        </w:rPr>
        <w:t>OTS</w:t>
      </w:r>
      <w:r>
        <w:rPr>
          <w:rFonts w:hint="eastAsia" w:ascii="Arial" w:hAnsi="Arial" w:eastAsia="宋体" w:cs="Arial"/>
        </w:rPr>
        <w:t>）软件实施或控制的所有安全相关软件要求或安全关键软件功能。</w:t>
      </w:r>
    </w:p>
    <w:p w14:paraId="01CCBCA0">
      <w:pPr>
        <w:pStyle w:val="18"/>
        <w:numPr>
          <w:ilvl w:val="2"/>
          <w:numId w:val="5"/>
        </w:numPr>
        <w:snapToGrid w:val="0"/>
        <w:spacing w:after="156" w:afterLines="50" w:line="360" w:lineRule="auto"/>
        <w:ind w:left="0" w:firstLineChars="0"/>
        <w:outlineLvl w:val="2"/>
        <w:rPr>
          <w:rFonts w:ascii="Arial" w:hAnsi="Arial" w:eastAsia="宋体" w:cs="Arial"/>
          <w:b/>
        </w:rPr>
      </w:pPr>
      <w:bookmarkStart w:id="76" w:name="_Toc478047109"/>
      <w:r>
        <w:rPr>
          <w:rFonts w:hint="eastAsia" w:ascii="Arial" w:hAnsi="Arial" w:eastAsia="宋体" w:cs="Arial"/>
          <w:b/>
        </w:rPr>
        <w:t>在批准（或扩大）超过</w:t>
      </w:r>
      <w:r>
        <w:rPr>
          <w:rFonts w:ascii="Arial" w:hAnsi="Arial" w:eastAsia="宋体" w:cs="Arial"/>
          <w:b/>
        </w:rPr>
        <w:t>20</w:t>
      </w:r>
      <w:r>
        <w:rPr>
          <w:rFonts w:hint="eastAsia" w:ascii="Arial" w:hAnsi="Arial" w:eastAsia="宋体" w:cs="Arial"/>
          <w:b/>
        </w:rPr>
        <w:t>例受试者的</w:t>
      </w:r>
      <w:r>
        <w:rPr>
          <w:rFonts w:ascii="Arial" w:hAnsi="Arial" w:eastAsia="宋体" w:cs="Arial"/>
          <w:b/>
        </w:rPr>
        <w:t>IDE</w:t>
      </w:r>
      <w:r>
        <w:rPr>
          <w:rFonts w:hint="eastAsia" w:ascii="Arial" w:hAnsi="Arial" w:eastAsia="宋体" w:cs="Arial"/>
          <w:b/>
        </w:rPr>
        <w:t>研究前所需的器械信息</w:t>
      </w:r>
      <w:bookmarkEnd w:id="76"/>
    </w:p>
    <w:p w14:paraId="316903D2">
      <w:pPr>
        <w:widowControl/>
        <w:spacing w:line="360" w:lineRule="auto"/>
        <w:jc w:val="left"/>
        <w:rPr>
          <w:rFonts w:ascii="Arial" w:hAnsi="Arial" w:eastAsia="宋体" w:cs="Arial"/>
          <w:b/>
        </w:rPr>
      </w:pPr>
      <w:r>
        <w:rPr>
          <w:rFonts w:ascii="Arial" w:hAnsi="Arial" w:eastAsia="宋体" w:cs="Arial"/>
          <w:b/>
        </w:rPr>
        <w:br w:type="page"/>
      </w:r>
    </w:p>
    <w:p w14:paraId="1D927A18">
      <w:pPr>
        <w:pStyle w:val="18"/>
        <w:numPr>
          <w:ilvl w:val="3"/>
          <w:numId w:val="5"/>
        </w:numPr>
        <w:snapToGrid w:val="0"/>
        <w:spacing w:after="156" w:afterLines="50" w:line="360" w:lineRule="auto"/>
        <w:ind w:left="0" w:firstLine="0" w:firstLineChars="0"/>
        <w:outlineLvl w:val="3"/>
        <w:rPr>
          <w:rFonts w:ascii="Arial" w:hAnsi="Arial" w:eastAsia="宋体" w:cs="Arial"/>
          <w:b/>
        </w:rPr>
      </w:pPr>
      <w:bookmarkStart w:id="77" w:name="_Toc478047110"/>
      <w:r>
        <w:rPr>
          <w:rFonts w:hint="eastAsia" w:ascii="Arial" w:hAnsi="Arial" w:eastAsia="宋体" w:cs="Arial"/>
          <w:b/>
        </w:rPr>
        <w:t>扩大前的器械问题和更改说明</w:t>
      </w:r>
      <w:bookmarkEnd w:id="77"/>
    </w:p>
    <w:p w14:paraId="1B56D40B">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应提交没有主要器械故障或其令人满意的解决方案的证据。在可行性研究的扩大中批准的受试者数量和中心将取决于对任何问题的充分描述和解决方案，并记录在其文件中。可行性研究应根据需要提交并根据具体情况进行评估。关键功能或激光输出中的工程变化应由申办方描述，并在任何扩大到更大的临床试验前由</w:t>
      </w:r>
      <w:r>
        <w:rPr>
          <w:rFonts w:ascii="Arial" w:hAnsi="Arial" w:eastAsia="宋体" w:cs="Arial"/>
          <w:bCs/>
          <w:kern w:val="0"/>
        </w:rPr>
        <w:t>FDA</w:t>
      </w:r>
      <w:r>
        <w:rPr>
          <w:rFonts w:hint="eastAsia" w:ascii="Arial" w:hAnsi="Arial" w:eastAsia="宋体" w:cs="Arial"/>
          <w:bCs/>
          <w:kern w:val="0"/>
        </w:rPr>
        <w:t>评估和批准。</w:t>
      </w:r>
    </w:p>
    <w:p w14:paraId="37369F78">
      <w:pPr>
        <w:pStyle w:val="18"/>
        <w:numPr>
          <w:ilvl w:val="3"/>
          <w:numId w:val="5"/>
        </w:numPr>
        <w:snapToGrid w:val="0"/>
        <w:spacing w:after="156" w:afterLines="50" w:line="360" w:lineRule="auto"/>
        <w:ind w:left="0" w:firstLine="0" w:firstLineChars="0"/>
        <w:outlineLvl w:val="3"/>
        <w:rPr>
          <w:rFonts w:ascii="Arial" w:hAnsi="Arial" w:eastAsia="宋体" w:cs="Arial"/>
          <w:b/>
          <w:bCs/>
          <w:kern w:val="0"/>
        </w:rPr>
      </w:pPr>
      <w:bookmarkStart w:id="78" w:name="_Toc478047111"/>
      <w:r>
        <w:rPr>
          <w:rFonts w:hint="eastAsia" w:ascii="Arial" w:hAnsi="Arial" w:eastAsia="宋体" w:cs="Arial"/>
          <w:b/>
          <w:bCs/>
          <w:kern w:val="0"/>
        </w:rPr>
        <w:t>扩大之前充分的工程描述</w:t>
      </w:r>
      <w:bookmarkEnd w:id="78"/>
    </w:p>
    <w:p w14:paraId="0D6FA388">
      <w:pPr>
        <w:snapToGrid w:val="0"/>
        <w:spacing w:after="156" w:afterLines="50" w:line="360" w:lineRule="auto"/>
        <w:ind w:firstLine="420" w:firstLineChars="200"/>
        <w:rPr>
          <w:rFonts w:ascii="Arial" w:hAnsi="Arial" w:eastAsia="宋体" w:cs="Arial"/>
          <w:bCs/>
          <w:kern w:val="0"/>
        </w:rPr>
      </w:pPr>
      <w:r>
        <w:rPr>
          <w:rFonts w:hint="eastAsia" w:ascii="Arial" w:hAnsi="Arial" w:eastAsia="宋体" w:cs="Arial"/>
          <w:bCs/>
          <w:kern w:val="0"/>
        </w:rPr>
        <w:t>应提供器械的以下工程描述，以便于解决器械问题并评估硬件，固件和软件的更改。</w:t>
      </w:r>
    </w:p>
    <w:p w14:paraId="3C58E4C3">
      <w:pPr>
        <w:pStyle w:val="18"/>
        <w:numPr>
          <w:ilvl w:val="0"/>
          <w:numId w:val="20"/>
        </w:numPr>
        <w:snapToGrid w:val="0"/>
        <w:spacing w:after="156" w:afterLines="50" w:line="360" w:lineRule="auto"/>
        <w:ind w:left="924" w:leftChars="207" w:hanging="489" w:hangingChars="233"/>
        <w:rPr>
          <w:rFonts w:ascii="Arial" w:hAnsi="Arial" w:eastAsia="宋体" w:cs="Arial"/>
          <w:bCs/>
          <w:kern w:val="0"/>
        </w:rPr>
      </w:pPr>
      <w:r>
        <w:rPr>
          <w:rFonts w:hint="eastAsia" w:ascii="Arial" w:hAnsi="Arial" w:eastAsia="宋体" w:cs="Arial"/>
          <w:bCs/>
          <w:kern w:val="0"/>
        </w:rPr>
        <w:t>提供以下子系统和组件的叙述性描述（带图）：</w:t>
      </w:r>
    </w:p>
    <w:p w14:paraId="1056948A">
      <w:pPr>
        <w:pStyle w:val="18"/>
        <w:numPr>
          <w:ilvl w:val="0"/>
          <w:numId w:val="21"/>
        </w:numPr>
        <w:snapToGrid w:val="0"/>
        <w:spacing w:after="156" w:afterLines="50" w:line="360" w:lineRule="auto"/>
        <w:ind w:left="0" w:firstLine="924" w:firstLineChars="440"/>
        <w:rPr>
          <w:rFonts w:ascii="Arial" w:hAnsi="Arial" w:eastAsia="宋体" w:cs="Arial"/>
          <w:bCs/>
          <w:kern w:val="0"/>
        </w:rPr>
      </w:pPr>
      <w:r>
        <w:rPr>
          <w:rFonts w:hint="eastAsia" w:ascii="Arial" w:hAnsi="Arial" w:eastAsia="宋体" w:cs="Arial"/>
          <w:bCs/>
          <w:kern w:val="0"/>
        </w:rPr>
        <w:t>光学系统，包括治疗激光的光束路径和特性，瞄准系统和角膜对准系统；</w:t>
      </w:r>
    </w:p>
    <w:p w14:paraId="02C41A62">
      <w:pPr>
        <w:pStyle w:val="18"/>
        <w:numPr>
          <w:ilvl w:val="0"/>
          <w:numId w:val="21"/>
        </w:numPr>
        <w:snapToGrid w:val="0"/>
        <w:spacing w:after="156" w:afterLines="50" w:line="360" w:lineRule="auto"/>
        <w:ind w:left="0" w:firstLine="924" w:firstLineChars="440"/>
        <w:rPr>
          <w:rFonts w:ascii="Arial" w:hAnsi="Arial" w:eastAsia="宋体" w:cs="Arial"/>
          <w:bCs/>
          <w:kern w:val="0"/>
        </w:rPr>
      </w:pPr>
      <w:r>
        <w:rPr>
          <w:rFonts w:hint="eastAsia" w:ascii="Arial" w:hAnsi="Arial" w:eastAsia="宋体" w:cs="Arial"/>
          <w:bCs/>
          <w:kern w:val="0"/>
        </w:rPr>
        <w:t>操作显微镜子系统，包括几何和眼睛照明水平；</w:t>
      </w:r>
      <w:r>
        <w:rPr>
          <w:rFonts w:ascii="Arial" w:hAnsi="Arial" w:eastAsia="宋体" w:cs="Arial"/>
          <w:bCs/>
          <w:kern w:val="0"/>
        </w:rPr>
        <w:t xml:space="preserve"> </w:t>
      </w:r>
      <w:r>
        <w:rPr>
          <w:rFonts w:hint="eastAsia" w:ascii="Arial" w:hAnsi="Arial" w:eastAsia="宋体" w:cs="Arial"/>
          <w:bCs/>
          <w:kern w:val="0"/>
        </w:rPr>
        <w:t>和，</w:t>
      </w:r>
    </w:p>
    <w:p w14:paraId="5A4D7A9E">
      <w:pPr>
        <w:pStyle w:val="18"/>
        <w:numPr>
          <w:ilvl w:val="0"/>
          <w:numId w:val="21"/>
        </w:numPr>
        <w:snapToGrid w:val="0"/>
        <w:spacing w:after="156" w:afterLines="50" w:line="360" w:lineRule="auto"/>
        <w:ind w:left="0" w:firstLine="924" w:firstLineChars="440"/>
        <w:rPr>
          <w:rFonts w:ascii="Arial" w:hAnsi="Arial" w:eastAsia="宋体" w:cs="Arial"/>
          <w:bCs/>
          <w:kern w:val="0"/>
        </w:rPr>
      </w:pPr>
      <w:r>
        <w:rPr>
          <w:rFonts w:hint="eastAsia" w:ascii="Arial" w:hAnsi="Arial" w:eastAsia="宋体" w:cs="Arial"/>
          <w:bCs/>
          <w:kern w:val="0"/>
        </w:rPr>
        <w:t>用于在线监测和调整激光束通量的子系统；</w:t>
      </w:r>
    </w:p>
    <w:p w14:paraId="489F3B65">
      <w:pPr>
        <w:pStyle w:val="18"/>
        <w:numPr>
          <w:ilvl w:val="0"/>
          <w:numId w:val="21"/>
        </w:numPr>
        <w:snapToGrid w:val="0"/>
        <w:spacing w:after="156" w:afterLines="50" w:line="360" w:lineRule="auto"/>
        <w:ind w:left="0" w:firstLine="924" w:firstLineChars="440"/>
        <w:rPr>
          <w:rFonts w:ascii="Arial" w:hAnsi="Arial" w:eastAsia="宋体" w:cs="Arial"/>
          <w:bCs/>
          <w:kern w:val="0"/>
        </w:rPr>
      </w:pPr>
      <w:r>
        <w:rPr>
          <w:rFonts w:hint="eastAsia" w:ascii="Arial" w:hAnsi="Arial" w:eastAsia="宋体" w:cs="Arial"/>
          <w:bCs/>
          <w:kern w:val="0"/>
        </w:rPr>
        <w:t>叙述性光学元件描述，包括：</w:t>
      </w:r>
    </w:p>
    <w:p w14:paraId="2C31F447">
      <w:pPr>
        <w:pStyle w:val="18"/>
        <w:numPr>
          <w:ilvl w:val="0"/>
          <w:numId w:val="22"/>
        </w:numPr>
        <w:snapToGrid w:val="0"/>
        <w:spacing w:after="156" w:afterLines="50" w:line="360" w:lineRule="auto"/>
        <w:ind w:left="0" w:firstLine="1287" w:firstLineChars="613"/>
        <w:rPr>
          <w:rFonts w:ascii="Arial" w:hAnsi="Arial" w:eastAsia="宋体" w:cs="Arial"/>
          <w:bCs/>
          <w:kern w:val="0"/>
        </w:rPr>
      </w:pPr>
      <w:r>
        <w:rPr>
          <w:rFonts w:hint="eastAsia" w:ascii="Arial" w:hAnsi="Arial" w:eastAsia="宋体" w:cs="Arial"/>
          <w:bCs/>
          <w:kern w:val="0"/>
        </w:rPr>
        <w:t>组件类型（例如，镜，透镜，束流收集器，晶体）</w:t>
      </w:r>
    </w:p>
    <w:p w14:paraId="58CE8925">
      <w:pPr>
        <w:pStyle w:val="18"/>
        <w:numPr>
          <w:ilvl w:val="0"/>
          <w:numId w:val="22"/>
        </w:numPr>
        <w:snapToGrid w:val="0"/>
        <w:spacing w:after="156" w:afterLines="50" w:line="360" w:lineRule="auto"/>
        <w:ind w:left="0" w:firstLine="1287" w:firstLineChars="613"/>
        <w:rPr>
          <w:rFonts w:ascii="Arial" w:hAnsi="Arial" w:eastAsia="宋体" w:cs="Arial"/>
          <w:bCs/>
          <w:kern w:val="0"/>
        </w:rPr>
      </w:pPr>
      <w:r>
        <w:rPr>
          <w:rFonts w:hint="eastAsia" w:ascii="Arial" w:hAnsi="Arial" w:eastAsia="宋体" w:cs="Arial"/>
          <w:bCs/>
          <w:kern w:val="0"/>
        </w:rPr>
        <w:t>材料（例如，石英）</w:t>
      </w:r>
    </w:p>
    <w:p w14:paraId="6AFBE1A3">
      <w:pPr>
        <w:pStyle w:val="18"/>
        <w:numPr>
          <w:ilvl w:val="0"/>
          <w:numId w:val="22"/>
        </w:numPr>
        <w:snapToGrid w:val="0"/>
        <w:spacing w:after="156" w:afterLines="50" w:line="360" w:lineRule="auto"/>
        <w:ind w:left="0" w:firstLine="1287" w:firstLineChars="613"/>
        <w:rPr>
          <w:rFonts w:ascii="Arial" w:hAnsi="Arial" w:eastAsia="宋体" w:cs="Arial"/>
          <w:bCs/>
          <w:kern w:val="0"/>
        </w:rPr>
      </w:pPr>
      <w:r>
        <w:rPr>
          <w:rFonts w:hint="eastAsia" w:ascii="Arial" w:hAnsi="Arial" w:eastAsia="宋体" w:cs="Arial"/>
          <w:bCs/>
          <w:kern w:val="0"/>
        </w:rPr>
        <w:t>涂层（如果适用）</w:t>
      </w:r>
    </w:p>
    <w:p w14:paraId="69E80F2A">
      <w:pPr>
        <w:pStyle w:val="18"/>
        <w:numPr>
          <w:ilvl w:val="0"/>
          <w:numId w:val="22"/>
        </w:numPr>
        <w:snapToGrid w:val="0"/>
        <w:spacing w:after="156" w:afterLines="50" w:line="360" w:lineRule="auto"/>
        <w:ind w:left="0" w:firstLine="1287" w:firstLineChars="613"/>
        <w:rPr>
          <w:rFonts w:ascii="Arial" w:hAnsi="Arial" w:eastAsia="宋体" w:cs="Arial"/>
          <w:bCs/>
          <w:kern w:val="0"/>
        </w:rPr>
      </w:pPr>
      <w:r>
        <w:rPr>
          <w:rFonts w:hint="eastAsia" w:ascii="Arial" w:hAnsi="Arial" w:eastAsia="宋体" w:cs="Arial"/>
          <w:bCs/>
          <w:kern w:val="0"/>
        </w:rPr>
        <w:t>对辐射损伤的阈值</w:t>
      </w:r>
    </w:p>
    <w:p w14:paraId="03C21610">
      <w:pPr>
        <w:pStyle w:val="18"/>
        <w:numPr>
          <w:ilvl w:val="0"/>
          <w:numId w:val="22"/>
        </w:numPr>
        <w:snapToGrid w:val="0"/>
        <w:spacing w:after="156" w:afterLines="50" w:line="360" w:lineRule="auto"/>
        <w:ind w:left="0" w:firstLine="1287" w:firstLineChars="613"/>
        <w:rPr>
          <w:rFonts w:ascii="Arial" w:hAnsi="Arial" w:eastAsia="宋体" w:cs="Arial"/>
          <w:bCs/>
          <w:kern w:val="0"/>
        </w:rPr>
      </w:pPr>
      <w:r>
        <w:rPr>
          <w:rFonts w:hint="eastAsia" w:ascii="Arial" w:hAnsi="Arial" w:eastAsia="宋体" w:cs="Arial"/>
          <w:bCs/>
          <w:kern w:val="0"/>
        </w:rPr>
        <w:t>光学性能（如适当），例如焦距，净光圈，反射率，透射率，晶体转换效率和吸收。</w:t>
      </w:r>
    </w:p>
    <w:p w14:paraId="6F15543C">
      <w:pPr>
        <w:pStyle w:val="18"/>
        <w:numPr>
          <w:ilvl w:val="0"/>
          <w:numId w:val="21"/>
        </w:numPr>
        <w:snapToGrid w:val="0"/>
        <w:spacing w:after="156" w:afterLines="50" w:line="360" w:lineRule="auto"/>
        <w:ind w:left="1287" w:leftChars="446" w:hanging="350" w:hangingChars="167"/>
        <w:rPr>
          <w:rFonts w:hint="eastAsia" w:ascii="Arial" w:hAnsi="Arial" w:eastAsia="宋体" w:cs="Arial"/>
          <w:bCs/>
          <w:kern w:val="0"/>
        </w:rPr>
      </w:pPr>
      <w:r>
        <w:rPr>
          <w:rFonts w:hint="eastAsia" w:ascii="Arial" w:hAnsi="Arial" w:eastAsia="宋体" w:cs="Arial"/>
          <w:bCs/>
          <w:kern w:val="0"/>
        </w:rPr>
        <w:t>波束调制（例如，扫描，掩蔽等）的力学。</w:t>
      </w:r>
    </w:p>
    <w:p w14:paraId="1C3529E6">
      <w:pPr>
        <w:snapToGrid w:val="0"/>
        <w:spacing w:after="156" w:afterLines="50" w:line="360" w:lineRule="auto"/>
        <w:rPr>
          <w:rFonts w:ascii="Arial" w:hAnsi="Arial" w:eastAsia="宋体" w:cs="Arial"/>
          <w:bCs/>
          <w:kern w:val="0"/>
        </w:rPr>
      </w:pPr>
    </w:p>
    <w:p w14:paraId="1B28A108">
      <w:pPr>
        <w:widowControl/>
        <w:jc w:val="left"/>
        <w:rPr>
          <w:rFonts w:ascii="Arial" w:hAnsi="Arial" w:eastAsia="宋体" w:cs="Arial"/>
          <w:bCs/>
          <w:kern w:val="0"/>
        </w:rPr>
      </w:pPr>
      <w:r>
        <w:rPr>
          <w:rFonts w:ascii="Arial" w:hAnsi="Arial" w:eastAsia="宋体" w:cs="Arial"/>
          <w:bCs/>
          <w:kern w:val="0"/>
        </w:rPr>
        <w:br w:type="page"/>
      </w:r>
    </w:p>
    <w:p w14:paraId="6E0C22AA">
      <w:pPr>
        <w:snapToGrid w:val="0"/>
        <w:spacing w:after="156" w:afterLines="50" w:line="360" w:lineRule="auto"/>
        <w:rPr>
          <w:rFonts w:ascii="Arial" w:hAnsi="Arial" w:eastAsia="宋体" w:cs="Arial"/>
          <w:bCs/>
          <w:kern w:val="0"/>
        </w:rPr>
      </w:pPr>
    </w:p>
    <w:p w14:paraId="07ACFDF5">
      <w:pPr>
        <w:pStyle w:val="18"/>
        <w:numPr>
          <w:ilvl w:val="0"/>
          <w:numId w:val="21"/>
        </w:numPr>
        <w:snapToGrid w:val="0"/>
        <w:spacing w:after="156" w:afterLines="50" w:line="360" w:lineRule="auto"/>
        <w:ind w:left="1287" w:leftChars="446" w:hanging="350" w:hangingChars="167"/>
        <w:rPr>
          <w:rFonts w:ascii="Arial" w:hAnsi="Arial" w:eastAsia="宋体" w:cs="Arial"/>
          <w:bCs/>
          <w:kern w:val="0"/>
        </w:rPr>
      </w:pPr>
      <w:r>
        <w:rPr>
          <w:rFonts w:hint="eastAsia" w:ascii="Arial" w:hAnsi="Arial" w:eastAsia="宋体" w:cs="Arial"/>
          <w:bCs/>
          <w:kern w:val="0"/>
        </w:rPr>
        <w:t>在处理平面处的光束特性，例如总能量，光束轮廓（横跨光束的注量）和位置精度（对于扫描系统），在适用的情况下指定可变性。</w:t>
      </w:r>
    </w:p>
    <w:p w14:paraId="56FB1F27">
      <w:pPr>
        <w:pStyle w:val="18"/>
        <w:numPr>
          <w:ilvl w:val="0"/>
          <w:numId w:val="21"/>
        </w:numPr>
        <w:snapToGrid w:val="0"/>
        <w:spacing w:after="156" w:afterLines="50" w:line="360" w:lineRule="auto"/>
        <w:ind w:left="1287" w:leftChars="446" w:hanging="350" w:hangingChars="167"/>
        <w:rPr>
          <w:rFonts w:ascii="Arial" w:hAnsi="Arial" w:eastAsia="宋体" w:cs="Arial"/>
          <w:bCs/>
          <w:kern w:val="0"/>
        </w:rPr>
      </w:pPr>
      <w:r>
        <w:rPr>
          <w:rFonts w:hint="eastAsia" w:ascii="Arial" w:hAnsi="Arial" w:eastAsia="宋体" w:cs="Arial"/>
          <w:bCs/>
          <w:kern w:val="0"/>
        </w:rPr>
        <w:t>激光输出和光束特性的反馈控制。</w:t>
      </w:r>
    </w:p>
    <w:p w14:paraId="19B7B59F">
      <w:pPr>
        <w:pStyle w:val="18"/>
        <w:numPr>
          <w:ilvl w:val="0"/>
          <w:numId w:val="21"/>
        </w:numPr>
        <w:snapToGrid w:val="0"/>
        <w:spacing w:after="156" w:afterLines="50" w:line="360" w:lineRule="auto"/>
        <w:ind w:left="1287" w:leftChars="446" w:hanging="350" w:hangingChars="167"/>
        <w:rPr>
          <w:rFonts w:ascii="Arial" w:hAnsi="Arial" w:eastAsia="宋体" w:cs="Arial"/>
          <w:bCs/>
          <w:kern w:val="0"/>
        </w:rPr>
      </w:pPr>
      <w:r>
        <w:rPr>
          <w:rFonts w:hint="eastAsia" w:ascii="Arial" w:hAnsi="Arial" w:eastAsia="宋体" w:cs="Arial"/>
          <w:bCs/>
          <w:kern w:val="0"/>
        </w:rPr>
        <w:t>角膜对准精度（眼中心和眼稳定技术）。</w:t>
      </w:r>
    </w:p>
    <w:p w14:paraId="4B1CA30F">
      <w:pPr>
        <w:pStyle w:val="18"/>
        <w:numPr>
          <w:ilvl w:val="0"/>
          <w:numId w:val="21"/>
        </w:numPr>
        <w:snapToGrid w:val="0"/>
        <w:spacing w:after="156" w:afterLines="50" w:line="360" w:lineRule="auto"/>
        <w:ind w:left="1287" w:leftChars="446" w:hanging="350" w:hangingChars="167"/>
        <w:rPr>
          <w:rFonts w:ascii="Arial" w:hAnsi="Arial" w:eastAsia="宋体" w:cs="Arial"/>
          <w:bCs/>
          <w:kern w:val="0"/>
        </w:rPr>
      </w:pPr>
      <w:r>
        <w:rPr>
          <w:rFonts w:hint="eastAsia" w:ascii="Arial" w:hAnsi="Arial" w:eastAsia="宋体" w:cs="Arial"/>
          <w:bCs/>
          <w:kern w:val="0"/>
        </w:rPr>
        <w:t>机械系统，包括：</w:t>
      </w:r>
    </w:p>
    <w:p w14:paraId="66D57223">
      <w:pPr>
        <w:pStyle w:val="18"/>
        <w:numPr>
          <w:ilvl w:val="0"/>
          <w:numId w:val="23"/>
        </w:numPr>
        <w:snapToGrid w:val="0"/>
        <w:spacing w:after="156" w:afterLines="50" w:line="360" w:lineRule="auto"/>
        <w:ind w:left="1707" w:leftChars="613" w:hanging="420" w:hangingChars="200"/>
        <w:rPr>
          <w:rFonts w:ascii="Arial" w:hAnsi="Arial" w:eastAsia="宋体" w:cs="Arial"/>
          <w:bCs/>
          <w:kern w:val="0"/>
        </w:rPr>
      </w:pPr>
      <w:r>
        <w:rPr>
          <w:rFonts w:hint="eastAsia" w:ascii="Arial" w:hAnsi="Arial" w:eastAsia="宋体" w:cs="Arial"/>
          <w:bCs/>
          <w:kern w:val="0"/>
        </w:rPr>
        <w:t>服从校准和光轴性规定；</w:t>
      </w:r>
    </w:p>
    <w:p w14:paraId="631F5DC5">
      <w:pPr>
        <w:pStyle w:val="18"/>
        <w:numPr>
          <w:ilvl w:val="0"/>
          <w:numId w:val="23"/>
        </w:numPr>
        <w:snapToGrid w:val="0"/>
        <w:spacing w:after="156" w:afterLines="50" w:line="360" w:lineRule="auto"/>
        <w:ind w:left="1707" w:leftChars="613" w:hanging="420" w:hangingChars="200"/>
        <w:rPr>
          <w:rFonts w:ascii="Arial" w:hAnsi="Arial" w:eastAsia="宋体" w:cs="Arial"/>
          <w:bCs/>
          <w:kern w:val="0"/>
        </w:rPr>
      </w:pPr>
      <w:r>
        <w:rPr>
          <w:rFonts w:hint="eastAsia" w:ascii="Arial" w:hAnsi="Arial" w:eastAsia="宋体" w:cs="Arial"/>
          <w:bCs/>
          <w:kern w:val="0"/>
        </w:rPr>
        <w:t>气体处理，控制和监测系统；</w:t>
      </w:r>
    </w:p>
    <w:p w14:paraId="61B0640B">
      <w:pPr>
        <w:pStyle w:val="18"/>
        <w:numPr>
          <w:ilvl w:val="0"/>
          <w:numId w:val="23"/>
        </w:numPr>
        <w:snapToGrid w:val="0"/>
        <w:spacing w:after="156" w:afterLines="50" w:line="360" w:lineRule="auto"/>
        <w:ind w:left="1707" w:leftChars="613" w:hanging="420" w:hangingChars="200"/>
        <w:rPr>
          <w:rFonts w:ascii="Arial" w:hAnsi="Arial" w:eastAsia="宋体" w:cs="Arial"/>
          <w:bCs/>
          <w:kern w:val="0"/>
        </w:rPr>
      </w:pPr>
      <w:r>
        <w:rPr>
          <w:rFonts w:hint="eastAsia" w:ascii="Arial" w:hAnsi="Arial" w:eastAsia="宋体" w:cs="Arial"/>
          <w:bCs/>
          <w:kern w:val="0"/>
        </w:rPr>
        <w:t>手动控制系统；</w:t>
      </w:r>
    </w:p>
    <w:p w14:paraId="5EFD62B3">
      <w:pPr>
        <w:pStyle w:val="18"/>
        <w:numPr>
          <w:ilvl w:val="0"/>
          <w:numId w:val="23"/>
        </w:numPr>
        <w:snapToGrid w:val="0"/>
        <w:spacing w:after="156" w:afterLines="50" w:line="360" w:lineRule="auto"/>
        <w:ind w:left="1707" w:leftChars="613" w:hanging="420" w:hangingChars="200"/>
        <w:rPr>
          <w:rFonts w:hint="eastAsia" w:ascii="Arial" w:hAnsi="Arial" w:eastAsia="宋体" w:cs="Arial"/>
          <w:bCs/>
          <w:kern w:val="0"/>
        </w:rPr>
      </w:pPr>
      <w:r>
        <w:rPr>
          <w:rFonts w:hint="eastAsia" w:ascii="Arial" w:hAnsi="Arial" w:eastAsia="宋体" w:cs="Arial"/>
          <w:bCs/>
          <w:kern w:val="0"/>
        </w:rPr>
        <w:t>用于控制激光束配置的快门。</w:t>
      </w:r>
    </w:p>
    <w:p w14:paraId="7F77AE0D">
      <w:pPr>
        <w:pStyle w:val="18"/>
        <w:numPr>
          <w:ilvl w:val="0"/>
          <w:numId w:val="21"/>
        </w:numPr>
        <w:snapToGrid w:val="0"/>
        <w:spacing w:after="156" w:afterLines="50" w:line="360" w:lineRule="auto"/>
        <w:ind w:left="1329" w:leftChars="446" w:hanging="392" w:hangingChars="187"/>
        <w:rPr>
          <w:rFonts w:ascii="Arial" w:hAnsi="Arial" w:eastAsia="宋体" w:cs="Arial"/>
          <w:bCs/>
          <w:kern w:val="0"/>
        </w:rPr>
      </w:pPr>
      <w:r>
        <w:rPr>
          <w:rFonts w:hint="eastAsia" w:ascii="Arial" w:hAnsi="Arial" w:eastAsia="宋体" w:cs="Arial"/>
          <w:bCs/>
          <w:kern w:val="0"/>
        </w:rPr>
        <w:t>软件系统，包括：</w:t>
      </w:r>
    </w:p>
    <w:p w14:paraId="5ACC9FE6">
      <w:pPr>
        <w:pStyle w:val="18"/>
        <w:numPr>
          <w:ilvl w:val="0"/>
          <w:numId w:val="24"/>
        </w:numPr>
        <w:snapToGrid w:val="0"/>
        <w:spacing w:after="156" w:afterLines="50" w:line="360" w:lineRule="auto"/>
        <w:ind w:left="1693" w:leftChars="606" w:hanging="420" w:hangingChars="200"/>
        <w:rPr>
          <w:rFonts w:ascii="Arial" w:hAnsi="Arial" w:eastAsia="宋体" w:cs="Arial"/>
          <w:bCs/>
          <w:kern w:val="0"/>
        </w:rPr>
      </w:pPr>
      <w:r>
        <w:rPr>
          <w:rFonts w:hint="eastAsia" w:ascii="Arial" w:hAnsi="Arial" w:eastAsia="宋体" w:cs="Arial"/>
          <w:bCs/>
          <w:kern w:val="0"/>
        </w:rPr>
        <w:t>器械的软件生命周期的描述和流程图。不应提交软件生命周期的标准操作程序和记录；</w:t>
      </w:r>
      <w:r>
        <w:rPr>
          <w:rFonts w:ascii="Arial" w:hAnsi="Arial" w:eastAsia="宋体" w:cs="Arial"/>
          <w:bCs/>
          <w:kern w:val="0"/>
        </w:rPr>
        <w:t xml:space="preserve"> </w:t>
      </w:r>
      <w:r>
        <w:rPr>
          <w:rFonts w:hint="eastAsia" w:ascii="Arial" w:hAnsi="Arial" w:eastAsia="宋体" w:cs="Arial"/>
          <w:bCs/>
          <w:kern w:val="0"/>
        </w:rPr>
        <w:t>但是，应根据要求可供使用。</w:t>
      </w:r>
    </w:p>
    <w:p w14:paraId="410A07BF">
      <w:pPr>
        <w:pStyle w:val="18"/>
        <w:numPr>
          <w:ilvl w:val="0"/>
          <w:numId w:val="24"/>
        </w:numPr>
        <w:snapToGrid w:val="0"/>
        <w:spacing w:after="156" w:afterLines="50" w:line="360" w:lineRule="auto"/>
        <w:ind w:left="1693" w:leftChars="606" w:hanging="420" w:hangingChars="200"/>
        <w:rPr>
          <w:rFonts w:ascii="Arial" w:hAnsi="Arial" w:eastAsia="宋体" w:cs="Arial"/>
          <w:bCs/>
          <w:kern w:val="0"/>
        </w:rPr>
      </w:pPr>
      <w:r>
        <w:rPr>
          <w:rFonts w:hint="eastAsia" w:ascii="Arial" w:hAnsi="Arial" w:eastAsia="宋体" w:cs="Arial"/>
          <w:bCs/>
          <w:kern w:val="0"/>
        </w:rPr>
        <w:t>关于软件功能以及软件如何与硬件交互的流程图和叙述。</w:t>
      </w:r>
      <w:r>
        <w:rPr>
          <w:rFonts w:ascii="Arial" w:hAnsi="Arial" w:eastAsia="宋体" w:cs="Arial"/>
          <w:bCs/>
          <w:kern w:val="0"/>
        </w:rPr>
        <w:t xml:space="preserve"> </w:t>
      </w:r>
      <w:r>
        <w:rPr>
          <w:rFonts w:hint="eastAsia" w:ascii="Arial" w:hAnsi="Arial" w:eastAsia="宋体" w:cs="Arial"/>
          <w:bCs/>
          <w:kern w:val="0"/>
        </w:rPr>
        <w:t>概述用于验证和确认安全关键软件的测试程序和通过标准。</w:t>
      </w:r>
    </w:p>
    <w:p w14:paraId="6FA10FEF">
      <w:pPr>
        <w:pStyle w:val="18"/>
        <w:numPr>
          <w:ilvl w:val="0"/>
          <w:numId w:val="24"/>
        </w:numPr>
        <w:snapToGrid w:val="0"/>
        <w:spacing w:after="156" w:afterLines="50" w:line="360" w:lineRule="auto"/>
        <w:ind w:left="1693" w:leftChars="606" w:hanging="420" w:hangingChars="200"/>
        <w:rPr>
          <w:rFonts w:ascii="Arial" w:hAnsi="Arial" w:eastAsia="宋体" w:cs="Arial"/>
          <w:bCs/>
          <w:kern w:val="0"/>
        </w:rPr>
      </w:pPr>
      <w:r>
        <w:rPr>
          <w:rFonts w:hint="eastAsia" w:ascii="Arial" w:hAnsi="Arial" w:eastAsia="宋体" w:cs="Arial"/>
          <w:bCs/>
          <w:kern w:val="0"/>
        </w:rPr>
        <w:t>认证：如果软件设计，开发和维护系统已经过国际或国家标准认证，请指明哪个标准并提供执行认证的组织名称。</w:t>
      </w:r>
    </w:p>
    <w:p w14:paraId="163DED3B">
      <w:pPr>
        <w:pStyle w:val="18"/>
        <w:numPr>
          <w:ilvl w:val="3"/>
          <w:numId w:val="5"/>
        </w:numPr>
        <w:snapToGrid w:val="0"/>
        <w:spacing w:after="156" w:afterLines="50" w:line="360" w:lineRule="auto"/>
        <w:ind w:left="0" w:firstLine="0" w:firstLineChars="0"/>
        <w:outlineLvl w:val="3"/>
        <w:rPr>
          <w:rFonts w:ascii="Arial" w:hAnsi="Arial" w:eastAsia="宋体" w:cs="Arial"/>
          <w:b/>
          <w:bCs/>
          <w:kern w:val="0"/>
        </w:rPr>
      </w:pPr>
      <w:r>
        <w:rPr>
          <w:rFonts w:hint="eastAsia" w:ascii="Arial" w:hAnsi="Arial" w:eastAsia="宋体" w:cs="Arial"/>
          <w:b/>
          <w:bCs/>
          <w:kern w:val="0"/>
        </w:rPr>
        <w:t>扩大前的系统验证</w:t>
      </w:r>
    </w:p>
    <w:p w14:paraId="646C6F68">
      <w:pPr>
        <w:snapToGrid w:val="0"/>
        <w:spacing w:after="156" w:afterLines="50" w:line="360" w:lineRule="auto"/>
        <w:ind w:left="991" w:leftChars="202" w:hanging="567" w:hangingChars="270"/>
        <w:rPr>
          <w:rFonts w:ascii="Arial" w:hAnsi="Arial" w:eastAsia="宋体" w:cs="Arial"/>
          <w:bCs/>
          <w:kern w:val="0"/>
        </w:rPr>
      </w:pPr>
      <w:r>
        <w:rPr>
          <w:rFonts w:ascii="Arial" w:hAnsi="Arial" w:eastAsia="宋体" w:cs="Arial"/>
          <w:bCs/>
          <w:kern w:val="0"/>
        </w:rPr>
        <w:t>A</w:t>
      </w:r>
      <w:r>
        <w:rPr>
          <w:rFonts w:hint="eastAsia" w:ascii="Arial" w:hAnsi="Arial" w:eastAsia="宋体" w:cs="Arial"/>
          <w:bCs/>
          <w:kern w:val="0"/>
        </w:rPr>
        <w:t>．识别系统验证期间的问题，这将在以后的系统修订或升级期间更正。</w:t>
      </w:r>
    </w:p>
    <w:p w14:paraId="50EBA70A">
      <w:pPr>
        <w:snapToGrid w:val="0"/>
        <w:spacing w:after="156" w:afterLines="50" w:line="360" w:lineRule="auto"/>
        <w:ind w:left="780" w:leftChars="195" w:hanging="371" w:hangingChars="177"/>
        <w:rPr>
          <w:rFonts w:ascii="Arial" w:hAnsi="Arial" w:eastAsia="宋体" w:cs="Arial"/>
          <w:bCs/>
          <w:kern w:val="0"/>
        </w:rPr>
      </w:pPr>
      <w:r>
        <w:rPr>
          <w:rFonts w:ascii="Arial" w:hAnsi="Arial" w:eastAsia="宋体" w:cs="Arial"/>
          <w:bCs/>
          <w:kern w:val="0"/>
        </w:rPr>
        <w:t>B</w:t>
      </w:r>
      <w:r>
        <w:rPr>
          <w:rFonts w:hint="eastAsia" w:ascii="Arial" w:hAnsi="Arial" w:eastAsia="宋体" w:cs="Arial"/>
          <w:bCs/>
          <w:kern w:val="0"/>
        </w:rPr>
        <w:t>．表明当前（通过标记，培训，临时修订等）如何处理这些问题，以及如何在以后的系统修订或升级期间更正这些问题。</w:t>
      </w:r>
    </w:p>
    <w:p w14:paraId="41FCC96F">
      <w:pPr>
        <w:snapToGrid w:val="0"/>
        <w:spacing w:after="156" w:afterLines="50" w:line="360" w:lineRule="auto"/>
        <w:rPr>
          <w:rFonts w:ascii="Arial" w:hAnsi="Arial" w:eastAsia="宋体" w:cs="Arial"/>
          <w:bCs/>
          <w:kern w:val="0"/>
        </w:rPr>
      </w:pPr>
    </w:p>
    <w:p w14:paraId="1AD2656E">
      <w:pPr>
        <w:widowControl/>
        <w:spacing w:line="360" w:lineRule="auto"/>
        <w:jc w:val="left"/>
        <w:rPr>
          <w:rFonts w:hint="eastAsia" w:ascii="Arial" w:hAnsi="Arial" w:eastAsia="宋体" w:cs="Arial"/>
          <w:bCs/>
          <w:kern w:val="0"/>
        </w:rPr>
      </w:pPr>
      <w:r>
        <w:rPr>
          <w:rFonts w:ascii="Arial" w:hAnsi="Arial" w:eastAsia="宋体" w:cs="Arial"/>
          <w:bCs/>
          <w:kern w:val="0"/>
        </w:rPr>
        <w:br w:type="page"/>
      </w:r>
    </w:p>
    <w:p w14:paraId="0CA00AFD">
      <w:pPr>
        <w:widowControl/>
        <w:spacing w:line="360" w:lineRule="auto"/>
        <w:jc w:val="left"/>
        <w:rPr>
          <w:rFonts w:hint="eastAsia" w:ascii="Arial" w:hAnsi="Arial" w:eastAsia="宋体" w:cs="Arial"/>
          <w:bCs/>
          <w:kern w:val="0"/>
        </w:rPr>
      </w:pPr>
    </w:p>
    <w:p w14:paraId="423272F0">
      <w:pPr>
        <w:widowControl/>
        <w:spacing w:line="360" w:lineRule="auto"/>
        <w:jc w:val="left"/>
        <w:rPr>
          <w:rFonts w:ascii="Arial" w:hAnsi="Arial" w:eastAsia="宋体" w:cs="Arial"/>
          <w:bCs/>
          <w:kern w:val="0"/>
        </w:rPr>
      </w:pPr>
    </w:p>
    <w:p w14:paraId="6FCE56E4">
      <w:pPr>
        <w:pStyle w:val="18"/>
        <w:numPr>
          <w:ilvl w:val="2"/>
          <w:numId w:val="5"/>
        </w:numPr>
        <w:snapToGrid w:val="0"/>
        <w:spacing w:after="156" w:afterLines="50" w:line="360" w:lineRule="auto"/>
        <w:ind w:left="0" w:firstLineChars="0"/>
        <w:outlineLvl w:val="2"/>
        <w:rPr>
          <w:rFonts w:ascii="Arial" w:hAnsi="Arial" w:eastAsia="宋体" w:cs="Arial"/>
          <w:b/>
          <w:bCs/>
          <w:kern w:val="0"/>
        </w:rPr>
      </w:pPr>
      <w:bookmarkStart w:id="79" w:name="_Toc478047113"/>
      <w:r>
        <w:rPr>
          <w:rFonts w:ascii="Arial" w:hAnsi="Arial" w:eastAsia="宋体" w:cs="Arial"/>
          <w:b/>
          <w:bCs/>
          <w:kern w:val="0"/>
        </w:rPr>
        <w:t>PMA</w:t>
      </w:r>
      <w:r>
        <w:rPr>
          <w:rFonts w:hint="eastAsia" w:ascii="Arial" w:hAnsi="Arial" w:eastAsia="宋体" w:cs="Arial"/>
          <w:b/>
          <w:bCs/>
          <w:kern w:val="0"/>
        </w:rPr>
        <w:t>批准前需要的器械信息</w:t>
      </w:r>
      <w:bookmarkEnd w:id="79"/>
    </w:p>
    <w:p w14:paraId="3154589A">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理想地</w:t>
      </w:r>
      <w:r>
        <w:rPr>
          <w:rFonts w:ascii="Arial" w:hAnsi="Arial" w:eastAsia="宋体" w:cs="Arial"/>
          <w:bCs/>
          <w:kern w:val="0"/>
        </w:rPr>
        <w:t>IDE</w:t>
      </w:r>
      <w:r>
        <w:rPr>
          <w:rFonts w:hint="eastAsia" w:ascii="Arial" w:hAnsi="Arial" w:eastAsia="宋体" w:cs="Arial"/>
          <w:bCs/>
          <w:kern w:val="0"/>
        </w:rPr>
        <w:t>提交应包含</w:t>
      </w:r>
      <w:r>
        <w:rPr>
          <w:rFonts w:ascii="Arial" w:hAnsi="Arial" w:eastAsia="宋体" w:cs="Arial"/>
          <w:bCs/>
          <w:kern w:val="0"/>
        </w:rPr>
        <w:t>PMA</w:t>
      </w:r>
      <w:r>
        <w:rPr>
          <w:rFonts w:hint="eastAsia" w:ascii="Arial" w:hAnsi="Arial" w:eastAsia="宋体" w:cs="Arial"/>
          <w:bCs/>
          <w:kern w:val="0"/>
        </w:rPr>
        <w:t>提交所需的所有工程信息；</w:t>
      </w:r>
      <w:r>
        <w:rPr>
          <w:rFonts w:ascii="Arial" w:hAnsi="Arial" w:eastAsia="宋体" w:cs="Arial"/>
          <w:bCs/>
          <w:kern w:val="0"/>
        </w:rPr>
        <w:t xml:space="preserve"> </w:t>
      </w:r>
      <w:r>
        <w:rPr>
          <w:rFonts w:hint="eastAsia" w:ascii="Arial" w:hAnsi="Arial" w:eastAsia="宋体" w:cs="Arial"/>
          <w:bCs/>
          <w:kern w:val="0"/>
        </w:rPr>
        <w:t>然而，鉴于器械的研究状态，以下信息可以在研究扩大时提交。</w:t>
      </w:r>
    </w:p>
    <w:p w14:paraId="143B37B8">
      <w:pPr>
        <w:pStyle w:val="18"/>
        <w:numPr>
          <w:ilvl w:val="0"/>
          <w:numId w:val="25"/>
        </w:numPr>
        <w:snapToGrid w:val="0"/>
        <w:spacing w:after="156" w:afterLines="50" w:line="360" w:lineRule="auto"/>
        <w:ind w:left="783" w:leftChars="206" w:hanging="350" w:hangingChars="167"/>
        <w:rPr>
          <w:rFonts w:ascii="Arial" w:hAnsi="Arial" w:eastAsia="宋体" w:cs="Arial"/>
          <w:bCs/>
          <w:kern w:val="0"/>
        </w:rPr>
      </w:pPr>
      <w:r>
        <w:rPr>
          <w:rFonts w:hint="eastAsia" w:ascii="Arial" w:hAnsi="Arial" w:eastAsia="宋体" w:cs="Arial"/>
          <w:bCs/>
          <w:kern w:val="0"/>
        </w:rPr>
        <w:t>由于</w:t>
      </w:r>
      <w:r>
        <w:rPr>
          <w:rFonts w:ascii="Arial" w:hAnsi="Arial" w:eastAsia="宋体" w:cs="Arial"/>
          <w:bCs/>
          <w:kern w:val="0"/>
        </w:rPr>
        <w:t>PMA</w:t>
      </w:r>
      <w:r>
        <w:rPr>
          <w:rFonts w:hint="eastAsia" w:ascii="Arial" w:hAnsi="Arial" w:eastAsia="宋体" w:cs="Arial"/>
          <w:bCs/>
          <w:kern w:val="0"/>
        </w:rPr>
        <w:t>批准条件锁定或停止的所有硬件，固件和软件功能的详细说明。如果在国内销售的器械上提供的硬件，固件和软件功能与国际销售的不同，则应描述库存控制，并保持记录。</w:t>
      </w:r>
    </w:p>
    <w:p w14:paraId="20F8C7FA">
      <w:pPr>
        <w:pStyle w:val="18"/>
        <w:numPr>
          <w:ilvl w:val="0"/>
          <w:numId w:val="25"/>
        </w:numPr>
        <w:snapToGrid w:val="0"/>
        <w:spacing w:after="156" w:afterLines="50" w:line="360" w:lineRule="auto"/>
        <w:ind w:left="783" w:leftChars="206" w:hanging="350" w:hangingChars="167"/>
        <w:rPr>
          <w:rFonts w:ascii="Arial" w:hAnsi="Arial" w:eastAsia="宋体" w:cs="Arial"/>
          <w:bCs/>
          <w:kern w:val="0"/>
        </w:rPr>
      </w:pPr>
      <w:r>
        <w:rPr>
          <w:rFonts w:hint="eastAsia" w:ascii="Arial" w:hAnsi="Arial" w:eastAsia="宋体" w:cs="Arial"/>
          <w:bCs/>
          <w:kern w:val="0"/>
        </w:rPr>
        <w:t>激光和其他电气医疗器械之间的推荐间隔距离（见下面的注释），或指定其激光器应该放置在远离其他电气医疗器械的单独设施中，并在所有标签中提供激光对可植入医疗器械影响的警告的指示是未知的。</w:t>
      </w:r>
    </w:p>
    <w:p w14:paraId="01820596">
      <w:pPr>
        <w:snapToGrid w:val="0"/>
        <w:spacing w:after="156" w:afterLines="50" w:line="360" w:lineRule="auto"/>
        <w:ind w:left="1244" w:leftChars="585" w:hanging="16" w:hangingChars="8"/>
        <w:rPr>
          <w:rFonts w:ascii="Arial" w:hAnsi="Arial" w:eastAsia="宋体" w:cs="Arial"/>
          <w:bCs/>
          <w:kern w:val="0"/>
        </w:rPr>
      </w:pPr>
      <w:r>
        <w:rPr>
          <w:rFonts w:hint="eastAsia" w:ascii="Arial" w:hAnsi="Arial" w:eastAsia="宋体" w:cs="Arial"/>
          <w:bCs/>
          <w:kern w:val="0"/>
        </w:rPr>
        <w:t>注意：间隔距离由电磁能量不大于</w:t>
      </w:r>
      <w:r>
        <w:rPr>
          <w:rFonts w:ascii="Arial" w:hAnsi="Arial" w:eastAsia="宋体" w:cs="Arial"/>
          <w:bCs/>
          <w:kern w:val="0"/>
        </w:rPr>
        <w:t>3 V / m</w:t>
      </w:r>
      <w:r>
        <w:rPr>
          <w:rFonts w:hint="eastAsia" w:ascii="Arial" w:hAnsi="Arial" w:eastAsia="宋体" w:cs="Arial"/>
          <w:bCs/>
          <w:kern w:val="0"/>
        </w:rPr>
        <w:t>的激光器的最远点（各个方向上的点）确定，测量如下：（</w:t>
      </w:r>
      <w:r>
        <w:rPr>
          <w:rFonts w:ascii="Arial" w:hAnsi="Arial" w:eastAsia="宋体" w:cs="Arial"/>
          <w:bCs/>
          <w:kern w:val="0"/>
        </w:rPr>
        <w:t>a</w:t>
      </w:r>
      <w:r>
        <w:rPr>
          <w:rFonts w:hint="eastAsia" w:ascii="Arial" w:hAnsi="Arial" w:eastAsia="宋体" w:cs="Arial"/>
          <w:bCs/>
          <w:kern w:val="0"/>
        </w:rPr>
        <w:t>）使用</w:t>
      </w:r>
      <w:r>
        <w:rPr>
          <w:rFonts w:ascii="Arial" w:hAnsi="Arial" w:eastAsia="宋体" w:cs="Arial"/>
          <w:bCs/>
          <w:kern w:val="0"/>
        </w:rPr>
        <w:t>IEC CISPR 11</w:t>
      </w:r>
      <w:r>
        <w:rPr>
          <w:rFonts w:hint="eastAsia" w:ascii="Arial" w:hAnsi="Arial" w:eastAsia="宋体" w:cs="Arial"/>
          <w:bCs/>
          <w:kern w:val="0"/>
        </w:rPr>
        <w:t>和</w:t>
      </w:r>
      <w:r>
        <w:rPr>
          <w:rFonts w:ascii="Arial" w:hAnsi="Arial" w:eastAsia="宋体" w:cs="Arial"/>
          <w:bCs/>
          <w:kern w:val="0"/>
        </w:rPr>
        <w:t>16</w:t>
      </w:r>
      <w:r>
        <w:rPr>
          <w:rFonts w:hint="eastAsia" w:ascii="Arial" w:hAnsi="Arial" w:eastAsia="宋体" w:cs="Arial"/>
          <w:bCs/>
          <w:kern w:val="0"/>
        </w:rPr>
        <w:t>中描述的技术和设备，</w:t>
      </w:r>
      <w:bookmarkStart w:id="80" w:name="OLE_LINK18"/>
      <w:bookmarkStart w:id="81" w:name="OLE_LINK19"/>
      <w:r>
        <w:rPr>
          <w:rFonts w:hint="eastAsia" w:ascii="Arial" w:hAnsi="Arial" w:eastAsia="宋体" w:cs="Arial"/>
          <w:bCs/>
          <w:kern w:val="0"/>
        </w:rPr>
        <w:t>（</w:t>
      </w:r>
      <w:r>
        <w:rPr>
          <w:rFonts w:ascii="Arial" w:hAnsi="Arial" w:eastAsia="宋体" w:cs="Arial"/>
          <w:bCs/>
          <w:kern w:val="0"/>
        </w:rPr>
        <w:t>b</w:t>
      </w:r>
      <w:r>
        <w:rPr>
          <w:rFonts w:hint="eastAsia" w:ascii="Arial" w:hAnsi="Arial" w:eastAsia="宋体" w:cs="Arial"/>
          <w:bCs/>
          <w:kern w:val="0"/>
        </w:rPr>
        <w:t>）</w:t>
      </w:r>
      <w:bookmarkEnd w:id="80"/>
      <w:bookmarkEnd w:id="81"/>
      <w:r>
        <w:rPr>
          <w:rFonts w:hint="eastAsia" w:ascii="Arial" w:hAnsi="Arial" w:eastAsia="宋体" w:cs="Arial"/>
          <w:bCs/>
          <w:kern w:val="0"/>
        </w:rPr>
        <w:t>对于从</w:t>
      </w:r>
      <w:r>
        <w:rPr>
          <w:rFonts w:ascii="Arial" w:hAnsi="Arial" w:eastAsia="宋体" w:cs="Arial"/>
          <w:bCs/>
          <w:kern w:val="0"/>
        </w:rPr>
        <w:t>26MHz</w:t>
      </w:r>
      <w:r>
        <w:rPr>
          <w:rFonts w:hint="eastAsia" w:ascii="Arial" w:hAnsi="Arial" w:eastAsia="宋体" w:cs="Arial"/>
          <w:bCs/>
          <w:kern w:val="0"/>
        </w:rPr>
        <w:t>到</w:t>
      </w:r>
      <w:r>
        <w:rPr>
          <w:rFonts w:ascii="Arial" w:hAnsi="Arial" w:eastAsia="宋体" w:cs="Arial"/>
          <w:bCs/>
          <w:kern w:val="0"/>
        </w:rPr>
        <w:t>1GHz</w:t>
      </w:r>
      <w:r>
        <w:rPr>
          <w:rFonts w:hint="eastAsia" w:ascii="Arial" w:hAnsi="Arial" w:eastAsia="宋体" w:cs="Arial"/>
          <w:bCs/>
          <w:kern w:val="0"/>
        </w:rPr>
        <w:t>的频率，（</w:t>
      </w:r>
      <w:r>
        <w:rPr>
          <w:rFonts w:ascii="Arial" w:hAnsi="Arial" w:eastAsia="宋体" w:cs="Arial"/>
          <w:bCs/>
          <w:kern w:val="0"/>
        </w:rPr>
        <w:t>c</w:t>
      </w:r>
      <w:r>
        <w:rPr>
          <w:rFonts w:hint="eastAsia" w:ascii="Arial" w:hAnsi="Arial" w:eastAsia="宋体" w:cs="Arial"/>
          <w:bCs/>
          <w:kern w:val="0"/>
        </w:rPr>
        <w:t>）并且当激光器发射时。</w:t>
      </w:r>
    </w:p>
    <w:p w14:paraId="3BA954FD">
      <w:pPr>
        <w:pStyle w:val="18"/>
        <w:numPr>
          <w:ilvl w:val="0"/>
          <w:numId w:val="26"/>
        </w:numPr>
        <w:snapToGrid w:val="0"/>
        <w:spacing w:after="156" w:afterLines="50" w:line="360" w:lineRule="auto"/>
        <w:ind w:left="812" w:hanging="392" w:firstLineChars="0"/>
        <w:rPr>
          <w:rFonts w:ascii="Arial" w:hAnsi="Arial" w:eastAsia="宋体" w:cs="Arial"/>
          <w:bCs/>
          <w:kern w:val="0"/>
        </w:rPr>
      </w:pPr>
      <w:r>
        <w:rPr>
          <w:rFonts w:hint="eastAsia" w:ascii="Arial" w:hAnsi="Arial" w:eastAsia="宋体" w:cs="Arial"/>
          <w:bCs/>
          <w:kern w:val="0"/>
        </w:rPr>
        <w:t>关于器械符合药品生产质量管理规范的信息；</w:t>
      </w:r>
    </w:p>
    <w:p w14:paraId="34646C8C">
      <w:pPr>
        <w:pStyle w:val="18"/>
        <w:numPr>
          <w:ilvl w:val="0"/>
          <w:numId w:val="26"/>
        </w:numPr>
        <w:snapToGrid w:val="0"/>
        <w:spacing w:after="156" w:afterLines="50" w:line="360" w:lineRule="auto"/>
        <w:ind w:left="812" w:hanging="392" w:firstLineChars="0"/>
        <w:rPr>
          <w:rFonts w:ascii="Arial" w:hAnsi="Arial" w:eastAsia="宋体" w:cs="Arial"/>
          <w:bCs/>
          <w:kern w:val="0"/>
        </w:rPr>
      </w:pPr>
      <w:r>
        <w:rPr>
          <w:rFonts w:hint="eastAsia" w:ascii="Arial" w:hAnsi="Arial" w:eastAsia="宋体" w:cs="Arial"/>
          <w:bCs/>
          <w:kern w:val="0"/>
        </w:rPr>
        <w:t>详细的工程信息，以确保有足够的维护程序；</w:t>
      </w:r>
    </w:p>
    <w:p w14:paraId="2FBE78B8">
      <w:pPr>
        <w:pStyle w:val="18"/>
        <w:numPr>
          <w:ilvl w:val="0"/>
          <w:numId w:val="26"/>
        </w:numPr>
        <w:snapToGrid w:val="0"/>
        <w:spacing w:after="156" w:afterLines="50" w:line="360" w:lineRule="auto"/>
        <w:ind w:left="812" w:hanging="392" w:firstLineChars="0"/>
        <w:rPr>
          <w:rFonts w:ascii="Arial" w:hAnsi="Arial" w:eastAsia="宋体" w:cs="Arial"/>
          <w:bCs/>
          <w:kern w:val="0"/>
        </w:rPr>
      </w:pPr>
      <w:r>
        <w:rPr>
          <w:rFonts w:hint="eastAsia" w:ascii="Arial" w:hAnsi="Arial" w:eastAsia="宋体" w:cs="Arial"/>
          <w:bCs/>
          <w:kern w:val="0"/>
        </w:rPr>
        <w:t>模型可比性应该通过比较替换模型的规格与较早的模型在处理平面上的治疗方法和光束特性，根据需要补充治疗平面处的束特性的测量来建立。如果存在重大安全和有效性问题，可要求验证性临床数据。</w:t>
      </w:r>
    </w:p>
    <w:p w14:paraId="67C0293A">
      <w:pPr>
        <w:snapToGrid w:val="0"/>
        <w:spacing w:after="156" w:afterLines="50" w:line="360" w:lineRule="auto"/>
        <w:rPr>
          <w:rFonts w:ascii="Arial" w:hAnsi="Arial" w:eastAsia="宋体" w:cs="Arial"/>
          <w:bCs/>
          <w:kern w:val="0"/>
        </w:rPr>
      </w:pPr>
      <w:r>
        <w:rPr>
          <w:rFonts w:hint="eastAsia" w:ascii="Arial" w:hAnsi="Arial" w:eastAsia="宋体" w:cs="Arial"/>
          <w:bCs/>
          <w:kern w:val="0"/>
        </w:rPr>
        <w:t>注：</w:t>
      </w:r>
      <w:r>
        <w:rPr>
          <w:rFonts w:ascii="Arial" w:hAnsi="Arial" w:eastAsia="宋体" w:cs="Arial"/>
          <w:bCs/>
          <w:kern w:val="0"/>
        </w:rPr>
        <w:t>IDE</w:t>
      </w:r>
      <w:r>
        <w:rPr>
          <w:rFonts w:hint="eastAsia" w:ascii="Arial" w:hAnsi="Arial" w:eastAsia="宋体" w:cs="Arial"/>
          <w:bCs/>
          <w:kern w:val="0"/>
        </w:rPr>
        <w:t>研究的数据本身并不表明制造商可以根据药品生产质量管理规范（</w:t>
      </w:r>
      <w:r>
        <w:rPr>
          <w:rFonts w:ascii="Arial" w:hAnsi="Arial" w:eastAsia="宋体" w:cs="Arial"/>
          <w:bCs/>
          <w:kern w:val="0"/>
        </w:rPr>
        <w:t>GMP</w:t>
      </w:r>
      <w:r>
        <w:rPr>
          <w:rFonts w:hint="eastAsia" w:ascii="Arial" w:hAnsi="Arial" w:eastAsia="宋体" w:cs="Arial"/>
          <w:bCs/>
          <w:kern w:val="0"/>
        </w:rPr>
        <w:t>）可靠地制造器械。</w:t>
      </w:r>
    </w:p>
    <w:p w14:paraId="0B246E8B">
      <w:pPr>
        <w:snapToGrid w:val="0"/>
        <w:spacing w:after="156" w:afterLines="50" w:line="360" w:lineRule="auto"/>
        <w:rPr>
          <w:rFonts w:ascii="Arial" w:hAnsi="Arial" w:eastAsia="宋体" w:cs="Arial"/>
          <w:bCs/>
          <w:kern w:val="0"/>
        </w:rPr>
      </w:pPr>
    </w:p>
    <w:p w14:paraId="18B82C9E">
      <w:pPr>
        <w:snapToGrid w:val="0"/>
        <w:spacing w:after="156" w:afterLines="50" w:line="360" w:lineRule="auto"/>
        <w:rPr>
          <w:rFonts w:ascii="Arial" w:hAnsi="Arial" w:eastAsia="宋体" w:cs="Arial"/>
          <w:bCs/>
          <w:kern w:val="0"/>
        </w:rPr>
      </w:pPr>
    </w:p>
    <w:p w14:paraId="28704D8B">
      <w:pPr>
        <w:snapToGrid w:val="0"/>
        <w:spacing w:after="156" w:afterLines="50" w:line="360" w:lineRule="auto"/>
        <w:rPr>
          <w:rFonts w:ascii="Arial" w:hAnsi="Arial" w:eastAsia="宋体" w:cs="Arial"/>
          <w:bCs/>
          <w:kern w:val="0"/>
        </w:rPr>
      </w:pPr>
    </w:p>
    <w:p w14:paraId="50ACC143">
      <w:pPr>
        <w:pStyle w:val="2"/>
        <w:pageBreakBefore/>
        <w:snapToGrid w:val="0"/>
        <w:spacing w:after="156" w:afterLines="50" w:line="360" w:lineRule="auto"/>
        <w:jc w:val="center"/>
        <w:rPr>
          <w:rFonts w:ascii="Arial" w:hAnsi="Arial" w:eastAsia="宋体" w:cs="Arial"/>
          <w:kern w:val="0"/>
          <w:sz w:val="24"/>
          <w:szCs w:val="24"/>
        </w:rPr>
      </w:pPr>
      <w:bookmarkStart w:id="82" w:name="_Toc478047114"/>
      <w:r>
        <w:rPr>
          <w:rFonts w:hint="eastAsia" w:ascii="Arial" w:hAnsi="Arial" w:eastAsia="宋体" w:cs="Arial"/>
          <w:kern w:val="0"/>
          <w:sz w:val="24"/>
          <w:szCs w:val="24"/>
        </w:rPr>
        <w:t>附录</w:t>
      </w:r>
      <w:r>
        <w:rPr>
          <w:rFonts w:ascii="Arial" w:hAnsi="Arial" w:eastAsia="宋体" w:cs="Arial"/>
          <w:kern w:val="0"/>
          <w:sz w:val="24"/>
          <w:szCs w:val="24"/>
        </w:rPr>
        <w:t>A</w:t>
      </w:r>
      <w:r>
        <w:rPr>
          <w:rFonts w:ascii="Arial" w:hAnsi="Arial" w:eastAsia="宋体" w:cs="Arial"/>
          <w:kern w:val="0"/>
          <w:sz w:val="24"/>
          <w:szCs w:val="24"/>
        </w:rPr>
        <w:br w:type="textWrapping"/>
      </w:r>
      <w:r>
        <w:rPr>
          <w:rFonts w:ascii="Arial" w:hAnsi="Arial" w:eastAsia="宋体" w:cs="Arial"/>
          <w:kern w:val="0"/>
          <w:sz w:val="24"/>
          <w:szCs w:val="24"/>
        </w:rPr>
        <w:t>IDE</w:t>
      </w:r>
      <w:r>
        <w:rPr>
          <w:rFonts w:hint="eastAsia" w:ascii="Arial" w:hAnsi="Arial" w:eastAsia="宋体" w:cs="Arial"/>
          <w:kern w:val="0"/>
          <w:sz w:val="24"/>
          <w:szCs w:val="24"/>
        </w:rPr>
        <w:t>应用程序的监管要求摘要</w:t>
      </w:r>
      <w:bookmarkEnd w:id="82"/>
    </w:p>
    <w:p w14:paraId="3B903639">
      <w:pPr>
        <w:snapToGrid w:val="0"/>
        <w:spacing w:after="156" w:afterLines="50" w:line="360" w:lineRule="auto"/>
        <w:rPr>
          <w:rFonts w:ascii="Arial" w:hAnsi="Arial" w:eastAsia="宋体" w:cs="Arial"/>
          <w:bCs/>
          <w:kern w:val="0"/>
        </w:rPr>
      </w:pPr>
      <w:r>
        <w:rPr>
          <w:rFonts w:hint="eastAsia" w:ascii="Arial" w:hAnsi="Arial" w:eastAsia="宋体" w:cs="Arial"/>
          <w:bCs/>
          <w:kern w:val="0"/>
        </w:rPr>
        <w:t>如</w:t>
      </w:r>
      <w:r>
        <w:rPr>
          <w:rFonts w:ascii="Arial" w:hAnsi="Arial" w:eastAsia="宋体" w:cs="Arial"/>
          <w:bCs/>
          <w:kern w:val="0"/>
        </w:rPr>
        <w:t>CFR 21 812.20</w:t>
      </w:r>
      <w:r>
        <w:rPr>
          <w:rFonts w:hint="eastAsia" w:ascii="Arial" w:hAnsi="Arial" w:eastAsia="宋体" w:cs="Arial"/>
          <w:bCs/>
          <w:kern w:val="0"/>
        </w:rPr>
        <w:t>（</w:t>
      </w:r>
      <w:r>
        <w:rPr>
          <w:rFonts w:ascii="Arial" w:hAnsi="Arial" w:eastAsia="宋体" w:cs="Arial"/>
          <w:bCs/>
          <w:kern w:val="0"/>
        </w:rPr>
        <w:t>b</w:t>
      </w:r>
      <w:r>
        <w:rPr>
          <w:rFonts w:hint="eastAsia" w:ascii="Arial" w:hAnsi="Arial" w:eastAsia="宋体" w:cs="Arial"/>
          <w:bCs/>
          <w:kern w:val="0"/>
        </w:rPr>
        <w:t>）所概述，</w:t>
      </w:r>
      <w:r>
        <w:rPr>
          <w:rFonts w:ascii="Arial" w:hAnsi="Arial" w:eastAsia="宋体" w:cs="Arial"/>
          <w:bCs/>
          <w:kern w:val="0"/>
        </w:rPr>
        <w:t>IDE</w:t>
      </w:r>
      <w:r>
        <w:rPr>
          <w:rFonts w:hint="eastAsia" w:ascii="Arial" w:hAnsi="Arial" w:eastAsia="宋体" w:cs="Arial"/>
          <w:bCs/>
          <w:kern w:val="0"/>
        </w:rPr>
        <w:t>应用程序必须按以下顺序包括：</w:t>
      </w:r>
    </w:p>
    <w:p w14:paraId="14CDFD1A">
      <w:pPr>
        <w:pStyle w:val="18"/>
        <w:numPr>
          <w:ilvl w:val="0"/>
          <w:numId w:val="27"/>
        </w:numPr>
        <w:snapToGrid w:val="0"/>
        <w:spacing w:after="156" w:afterLines="50" w:line="360" w:lineRule="auto"/>
        <w:ind w:left="0" w:firstLine="0" w:firstLineChars="0"/>
        <w:rPr>
          <w:rFonts w:ascii="Arial" w:hAnsi="Arial" w:eastAsia="宋体" w:cs="Arial"/>
          <w:b/>
          <w:bCs/>
          <w:kern w:val="0"/>
        </w:rPr>
      </w:pPr>
      <w:r>
        <w:rPr>
          <w:rFonts w:hint="eastAsia" w:ascii="Arial" w:hAnsi="Arial" w:eastAsia="宋体" w:cs="Arial"/>
          <w:b/>
          <w:bCs/>
          <w:kern w:val="0"/>
        </w:rPr>
        <w:t>申办方或申办方</w:t>
      </w:r>
      <w:r>
        <w:rPr>
          <w:rFonts w:ascii="Arial" w:hAnsi="Arial" w:eastAsia="宋体" w:cs="Arial"/>
          <w:b/>
          <w:bCs/>
          <w:kern w:val="0"/>
        </w:rPr>
        <w:t>-</w:t>
      </w:r>
      <w:r>
        <w:rPr>
          <w:rFonts w:hint="eastAsia" w:ascii="Arial" w:hAnsi="Arial" w:eastAsia="宋体" w:cs="Arial"/>
          <w:b/>
          <w:bCs/>
          <w:kern w:val="0"/>
        </w:rPr>
        <w:t>研究者的姓名和地址。</w:t>
      </w:r>
    </w:p>
    <w:p w14:paraId="47B53776">
      <w:pPr>
        <w:pStyle w:val="18"/>
        <w:numPr>
          <w:ilvl w:val="0"/>
          <w:numId w:val="27"/>
        </w:numPr>
        <w:snapToGrid w:val="0"/>
        <w:spacing w:after="156" w:afterLines="50" w:line="360" w:lineRule="auto"/>
        <w:ind w:left="0" w:firstLine="0" w:firstLineChars="0"/>
        <w:rPr>
          <w:rFonts w:ascii="Arial" w:hAnsi="Arial" w:eastAsia="宋体" w:cs="Arial"/>
          <w:b/>
          <w:bCs/>
          <w:kern w:val="0"/>
        </w:rPr>
      </w:pPr>
      <w:r>
        <w:rPr>
          <w:rFonts w:hint="eastAsia" w:ascii="Arial" w:hAnsi="Arial" w:eastAsia="宋体" w:cs="Arial"/>
          <w:b/>
          <w:bCs/>
          <w:kern w:val="0"/>
        </w:rPr>
        <w:t>先前研究报告。</w:t>
      </w:r>
    </w:p>
    <w:p w14:paraId="5FC6D7AF">
      <w:pPr>
        <w:pStyle w:val="18"/>
        <w:snapToGrid w:val="0"/>
        <w:spacing w:after="156" w:afterLines="50" w:line="360" w:lineRule="auto"/>
        <w:ind w:left="420" w:leftChars="200" w:firstLine="0" w:firstLineChars="0"/>
        <w:rPr>
          <w:rFonts w:ascii="Arial" w:hAnsi="Arial" w:eastAsia="宋体" w:cs="Arial"/>
          <w:bCs/>
          <w:kern w:val="0"/>
        </w:rPr>
      </w:pPr>
      <w:r>
        <w:rPr>
          <w:rFonts w:hint="eastAsia" w:ascii="Arial" w:hAnsi="Arial" w:eastAsia="宋体" w:cs="Arial"/>
          <w:bCs/>
          <w:kern w:val="0"/>
        </w:rPr>
        <w:t>先前研究报告必须包括器械的所有先前的实验室、动物和临床检测的完整报告（</w:t>
      </w:r>
      <w:r>
        <w:rPr>
          <w:rFonts w:ascii="Arial" w:hAnsi="Arial" w:eastAsia="宋体" w:cs="Arial"/>
          <w:bCs/>
          <w:kern w:val="0"/>
        </w:rPr>
        <w:t>CFR 21 812.27</w:t>
      </w:r>
      <w:r>
        <w:rPr>
          <w:rFonts w:hint="eastAsia" w:ascii="Arial" w:hAnsi="Arial" w:eastAsia="宋体" w:cs="Arial"/>
          <w:bCs/>
          <w:kern w:val="0"/>
        </w:rPr>
        <w:t>）。此外，报告必须包括：</w:t>
      </w:r>
    </w:p>
    <w:p w14:paraId="0E1B47C8">
      <w:pPr>
        <w:pStyle w:val="18"/>
        <w:numPr>
          <w:ilvl w:val="0"/>
          <w:numId w:val="28"/>
        </w:numPr>
        <w:snapToGrid w:val="0"/>
        <w:spacing w:after="156" w:afterLines="50" w:line="360" w:lineRule="auto"/>
        <w:ind w:left="909" w:leftChars="193" w:hanging="504" w:hangingChars="240"/>
        <w:rPr>
          <w:rFonts w:ascii="Arial" w:hAnsi="Arial" w:eastAsia="宋体" w:cs="Arial"/>
          <w:bCs/>
          <w:kern w:val="0"/>
        </w:rPr>
      </w:pPr>
      <w:r>
        <w:rPr>
          <w:rFonts w:hint="eastAsia" w:ascii="Arial" w:hAnsi="Arial" w:eastAsia="宋体" w:cs="Arial"/>
          <w:bCs/>
          <w:kern w:val="0"/>
        </w:rPr>
        <w:t>出版物：与评估器械安全性和有效性相关的所有出版物的书目，无论是反对的还是支持性的；</w:t>
      </w:r>
    </w:p>
    <w:p w14:paraId="74DCBF24">
      <w:pPr>
        <w:pStyle w:val="18"/>
        <w:numPr>
          <w:ilvl w:val="0"/>
          <w:numId w:val="28"/>
        </w:numPr>
        <w:snapToGrid w:val="0"/>
        <w:spacing w:after="156" w:afterLines="50" w:line="360" w:lineRule="auto"/>
        <w:ind w:left="909" w:leftChars="193" w:hanging="504" w:hangingChars="240"/>
        <w:rPr>
          <w:rFonts w:ascii="Arial" w:hAnsi="Arial" w:eastAsia="宋体" w:cs="Arial"/>
          <w:bCs/>
          <w:kern w:val="0"/>
        </w:rPr>
      </w:pPr>
      <w:r>
        <w:rPr>
          <w:rFonts w:hint="eastAsia" w:ascii="Arial" w:hAnsi="Arial" w:eastAsia="宋体" w:cs="Arial"/>
          <w:bCs/>
          <w:kern w:val="0"/>
        </w:rPr>
        <w:t>未公开的信息：与器械的安全性和有效性的评估相关的所有未发布信息的摘要，无论是反对的还是支持性的；</w:t>
      </w:r>
    </w:p>
    <w:p w14:paraId="6EEC68B8">
      <w:pPr>
        <w:pStyle w:val="18"/>
        <w:numPr>
          <w:ilvl w:val="0"/>
          <w:numId w:val="28"/>
        </w:numPr>
        <w:snapToGrid w:val="0"/>
        <w:spacing w:after="156" w:afterLines="50" w:line="360" w:lineRule="auto"/>
        <w:ind w:left="909" w:leftChars="193" w:hanging="504" w:hangingChars="240"/>
        <w:rPr>
          <w:rFonts w:ascii="Arial" w:hAnsi="Arial" w:eastAsia="宋体" w:cs="Arial"/>
          <w:bCs/>
          <w:kern w:val="0"/>
        </w:rPr>
      </w:pPr>
      <w:r>
        <w:rPr>
          <w:rFonts w:hint="eastAsia" w:ascii="Arial" w:hAnsi="Arial" w:eastAsia="宋体" w:cs="Arial"/>
          <w:bCs/>
          <w:kern w:val="0"/>
        </w:rPr>
        <w:t>不良信息：所有已发表和未发表的与器械有关的不良信息的副本；和</w:t>
      </w:r>
    </w:p>
    <w:p w14:paraId="46579669">
      <w:pPr>
        <w:pStyle w:val="18"/>
        <w:numPr>
          <w:ilvl w:val="0"/>
          <w:numId w:val="28"/>
        </w:numPr>
        <w:snapToGrid w:val="0"/>
        <w:spacing w:after="156" w:afterLines="50" w:line="360" w:lineRule="auto"/>
        <w:ind w:left="909" w:leftChars="193" w:hanging="504" w:hangingChars="240"/>
        <w:rPr>
          <w:rFonts w:ascii="Arial" w:hAnsi="Arial" w:eastAsia="宋体" w:cs="Arial"/>
          <w:bCs/>
          <w:kern w:val="0"/>
        </w:rPr>
      </w:pPr>
      <w:r>
        <w:rPr>
          <w:rFonts w:ascii="Arial" w:hAnsi="Arial" w:eastAsia="宋体" w:cs="Arial"/>
          <w:bCs/>
          <w:kern w:val="0"/>
        </w:rPr>
        <w:t>GLP</w:t>
      </w:r>
      <w:r>
        <w:rPr>
          <w:rFonts w:hint="eastAsia" w:ascii="Arial" w:hAnsi="Arial" w:eastAsia="宋体" w:cs="Arial"/>
          <w:bCs/>
          <w:kern w:val="0"/>
        </w:rPr>
        <w:t>合规声明：如果提供非临床实验室数据，则声明此类研究已按照药品非临床研究质量管理规范（</w:t>
      </w:r>
      <w:r>
        <w:rPr>
          <w:rFonts w:ascii="Arial" w:hAnsi="Arial" w:eastAsia="宋体" w:cs="Arial"/>
          <w:bCs/>
          <w:kern w:val="0"/>
        </w:rPr>
        <w:t>GLP</w:t>
      </w:r>
      <w:r>
        <w:rPr>
          <w:rFonts w:hint="eastAsia" w:ascii="Arial" w:hAnsi="Arial" w:eastAsia="宋体" w:cs="Arial"/>
          <w:bCs/>
          <w:kern w:val="0"/>
        </w:rPr>
        <w:t>）法规（</w:t>
      </w:r>
      <w:r>
        <w:rPr>
          <w:rFonts w:ascii="Arial" w:hAnsi="Arial" w:eastAsia="宋体" w:cs="Arial"/>
          <w:bCs/>
          <w:kern w:val="0"/>
        </w:rPr>
        <w:t>CFR 21 58</w:t>
      </w:r>
      <w:r>
        <w:rPr>
          <w:rFonts w:hint="eastAsia" w:ascii="Arial" w:hAnsi="Arial" w:eastAsia="宋体" w:cs="Arial"/>
          <w:bCs/>
          <w:kern w:val="0"/>
        </w:rPr>
        <w:t>；另见</w:t>
      </w:r>
      <w:r>
        <w:rPr>
          <w:rFonts w:ascii="Arial" w:hAnsi="Arial" w:eastAsia="宋体" w:cs="Arial"/>
          <w:bCs/>
          <w:kern w:val="0"/>
        </w:rPr>
        <w:t>IDE</w:t>
      </w:r>
      <w:r>
        <w:rPr>
          <w:rFonts w:hint="eastAsia" w:ascii="Arial" w:hAnsi="Arial" w:eastAsia="宋体" w:cs="Arial"/>
          <w:bCs/>
          <w:kern w:val="0"/>
        </w:rPr>
        <w:t>手册附录</w:t>
      </w:r>
      <w:r>
        <w:rPr>
          <w:rFonts w:ascii="Arial" w:hAnsi="Arial" w:eastAsia="宋体" w:cs="Arial"/>
          <w:bCs/>
          <w:kern w:val="0"/>
        </w:rPr>
        <w:t>H</w:t>
      </w:r>
      <w:r>
        <w:rPr>
          <w:rFonts w:hint="eastAsia" w:ascii="Arial" w:hAnsi="Arial" w:eastAsia="宋体" w:cs="Arial"/>
          <w:bCs/>
          <w:kern w:val="0"/>
        </w:rPr>
        <w:t>）进行。如果研究未按照</w:t>
      </w:r>
      <w:r>
        <w:rPr>
          <w:rFonts w:ascii="Arial" w:hAnsi="Arial" w:eastAsia="宋体" w:cs="Arial"/>
          <w:bCs/>
          <w:kern w:val="0"/>
        </w:rPr>
        <w:t>GLP</w:t>
      </w:r>
      <w:r>
        <w:rPr>
          <w:rFonts w:hint="eastAsia" w:ascii="Arial" w:hAnsi="Arial" w:eastAsia="宋体" w:cs="Arial"/>
          <w:bCs/>
          <w:kern w:val="0"/>
        </w:rPr>
        <w:t>法规进行，请简要说明不合规的原因。</w:t>
      </w:r>
    </w:p>
    <w:p w14:paraId="3BE2FDBB">
      <w:pPr>
        <w:pStyle w:val="18"/>
        <w:numPr>
          <w:ilvl w:val="0"/>
          <w:numId w:val="27"/>
        </w:numPr>
        <w:snapToGrid w:val="0"/>
        <w:spacing w:after="156" w:afterLines="50" w:line="360" w:lineRule="auto"/>
        <w:ind w:left="0" w:firstLine="0" w:firstLineChars="0"/>
        <w:rPr>
          <w:rFonts w:ascii="Arial" w:hAnsi="Arial" w:eastAsia="宋体" w:cs="Arial"/>
          <w:b/>
          <w:bCs/>
          <w:kern w:val="0"/>
        </w:rPr>
      </w:pPr>
      <w:r>
        <w:rPr>
          <w:rFonts w:hint="eastAsia" w:ascii="Arial" w:hAnsi="Arial" w:eastAsia="宋体" w:cs="Arial"/>
          <w:b/>
          <w:bCs/>
          <w:kern w:val="0"/>
        </w:rPr>
        <w:t>研究计划</w:t>
      </w:r>
    </w:p>
    <w:p w14:paraId="640682D6">
      <w:pPr>
        <w:snapToGrid w:val="0"/>
        <w:spacing w:after="156" w:afterLines="50" w:line="360" w:lineRule="auto"/>
        <w:ind w:firstLine="420" w:firstLineChars="200"/>
        <w:rPr>
          <w:rFonts w:ascii="Arial" w:hAnsi="Arial" w:eastAsia="宋体" w:cs="Arial"/>
          <w:bCs/>
          <w:kern w:val="0"/>
        </w:rPr>
      </w:pPr>
      <w:r>
        <w:rPr>
          <w:rFonts w:hint="eastAsia" w:ascii="Arial" w:hAnsi="Arial" w:eastAsia="宋体" w:cs="Arial"/>
          <w:bCs/>
          <w:kern w:val="0"/>
        </w:rPr>
        <w:t>研究计划应包括以下所列顺序的项目：</w:t>
      </w:r>
    </w:p>
    <w:p w14:paraId="6148407E">
      <w:pPr>
        <w:pStyle w:val="18"/>
        <w:numPr>
          <w:ilvl w:val="0"/>
          <w:numId w:val="29"/>
        </w:numPr>
        <w:snapToGrid w:val="0"/>
        <w:spacing w:after="156" w:afterLines="50" w:line="360" w:lineRule="auto"/>
        <w:ind w:left="909" w:leftChars="193" w:hanging="504" w:hangingChars="240"/>
        <w:rPr>
          <w:rFonts w:ascii="Arial" w:hAnsi="Arial" w:eastAsia="宋体" w:cs="Arial"/>
          <w:bCs/>
          <w:kern w:val="0"/>
        </w:rPr>
      </w:pPr>
      <w:r>
        <w:rPr>
          <w:rFonts w:hint="eastAsia" w:ascii="Arial" w:hAnsi="Arial" w:eastAsia="宋体" w:cs="Arial"/>
          <w:bCs/>
          <w:kern w:val="0"/>
        </w:rPr>
        <w:t>目的，器械的名称和预期用途以及研究的目标和持续时间。</w:t>
      </w:r>
    </w:p>
    <w:p w14:paraId="3EC2039D">
      <w:pPr>
        <w:pStyle w:val="18"/>
        <w:numPr>
          <w:ilvl w:val="0"/>
          <w:numId w:val="29"/>
        </w:numPr>
        <w:snapToGrid w:val="0"/>
        <w:spacing w:after="156" w:afterLines="50" w:line="360" w:lineRule="auto"/>
        <w:ind w:left="909" w:leftChars="193" w:hanging="504" w:hangingChars="240"/>
        <w:rPr>
          <w:rFonts w:ascii="Arial" w:hAnsi="Arial" w:eastAsia="宋体" w:cs="Arial"/>
          <w:bCs/>
          <w:kern w:val="0"/>
        </w:rPr>
      </w:pPr>
      <w:r>
        <w:rPr>
          <w:rFonts w:hint="eastAsia" w:ascii="Arial" w:hAnsi="Arial" w:eastAsia="宋体" w:cs="Arial"/>
          <w:bCs/>
          <w:kern w:val="0"/>
        </w:rPr>
        <w:t>方案，所使用的方法描述和展示其稳健性的分析。</w:t>
      </w:r>
    </w:p>
    <w:p w14:paraId="5DB26A74">
      <w:pPr>
        <w:pStyle w:val="18"/>
        <w:numPr>
          <w:ilvl w:val="0"/>
          <w:numId w:val="29"/>
        </w:numPr>
        <w:snapToGrid w:val="0"/>
        <w:spacing w:after="156" w:afterLines="50" w:line="360" w:lineRule="auto"/>
        <w:ind w:left="909" w:leftChars="193" w:hanging="504" w:hangingChars="240"/>
        <w:rPr>
          <w:rFonts w:hint="eastAsia" w:ascii="Arial" w:hAnsi="Arial" w:eastAsia="宋体" w:cs="Arial"/>
          <w:bCs/>
          <w:kern w:val="0"/>
        </w:rPr>
      </w:pPr>
      <w:r>
        <w:rPr>
          <w:rFonts w:hint="eastAsia" w:ascii="Arial" w:hAnsi="Arial" w:eastAsia="宋体" w:cs="Arial"/>
          <w:bCs/>
          <w:kern w:val="0"/>
        </w:rPr>
        <w:t>风险分析，描述和分析所有对受试者增加的风险，以及如何使这些风险最小化；</w:t>
      </w:r>
      <w:r>
        <w:rPr>
          <w:rFonts w:ascii="Arial" w:hAnsi="Arial" w:eastAsia="宋体" w:cs="Arial"/>
          <w:bCs/>
          <w:kern w:val="0"/>
        </w:rPr>
        <w:t xml:space="preserve"> </w:t>
      </w:r>
      <w:r>
        <w:rPr>
          <w:rFonts w:hint="eastAsia" w:ascii="Arial" w:hAnsi="Arial" w:eastAsia="宋体" w:cs="Arial"/>
          <w:bCs/>
          <w:kern w:val="0"/>
        </w:rPr>
        <w:t>研究的理由；</w:t>
      </w:r>
      <w:r>
        <w:rPr>
          <w:rFonts w:ascii="Arial" w:hAnsi="Arial" w:eastAsia="宋体" w:cs="Arial"/>
          <w:bCs/>
          <w:kern w:val="0"/>
        </w:rPr>
        <w:t xml:space="preserve"> </w:t>
      </w:r>
      <w:r>
        <w:rPr>
          <w:rFonts w:hint="eastAsia" w:ascii="Arial" w:hAnsi="Arial" w:eastAsia="宋体" w:cs="Arial"/>
          <w:bCs/>
          <w:kern w:val="0"/>
        </w:rPr>
        <w:t>以及受试者群体的描述，包括数量，年龄，性别和状况。</w:t>
      </w:r>
    </w:p>
    <w:p w14:paraId="1F275533">
      <w:pPr>
        <w:snapToGrid w:val="0"/>
        <w:spacing w:after="156" w:afterLines="50" w:line="360" w:lineRule="auto"/>
        <w:rPr>
          <w:rFonts w:ascii="Arial" w:hAnsi="Arial" w:eastAsia="宋体" w:cs="Arial"/>
          <w:bCs/>
          <w:kern w:val="0"/>
        </w:rPr>
      </w:pPr>
    </w:p>
    <w:p w14:paraId="118524AB">
      <w:pPr>
        <w:widowControl/>
        <w:jc w:val="left"/>
        <w:rPr>
          <w:rFonts w:ascii="Arial" w:hAnsi="Arial" w:eastAsia="宋体" w:cs="Arial"/>
          <w:bCs/>
          <w:kern w:val="0"/>
        </w:rPr>
      </w:pPr>
      <w:r>
        <w:rPr>
          <w:rFonts w:ascii="Arial" w:hAnsi="Arial" w:eastAsia="宋体" w:cs="Arial"/>
          <w:bCs/>
          <w:kern w:val="0"/>
        </w:rPr>
        <w:br w:type="page"/>
      </w:r>
    </w:p>
    <w:p w14:paraId="5A289CFF">
      <w:pPr>
        <w:snapToGrid w:val="0"/>
        <w:spacing w:after="156" w:afterLines="50" w:line="360" w:lineRule="auto"/>
        <w:rPr>
          <w:rFonts w:ascii="Arial" w:hAnsi="Arial" w:eastAsia="宋体" w:cs="Arial"/>
          <w:bCs/>
          <w:kern w:val="0"/>
        </w:rPr>
      </w:pPr>
    </w:p>
    <w:p w14:paraId="1CD40337">
      <w:pPr>
        <w:pStyle w:val="18"/>
        <w:numPr>
          <w:ilvl w:val="0"/>
          <w:numId w:val="29"/>
        </w:numPr>
        <w:snapToGrid w:val="0"/>
        <w:spacing w:after="156" w:afterLines="50" w:line="360" w:lineRule="auto"/>
        <w:ind w:left="909" w:leftChars="193" w:hanging="504" w:hangingChars="240"/>
        <w:rPr>
          <w:rFonts w:ascii="Arial" w:hAnsi="Arial" w:eastAsia="宋体" w:cs="Arial"/>
          <w:bCs/>
          <w:kern w:val="0"/>
        </w:rPr>
      </w:pPr>
      <w:r>
        <w:rPr>
          <w:rFonts w:hint="eastAsia" w:ascii="Arial" w:hAnsi="Arial" w:eastAsia="宋体" w:cs="Arial"/>
          <w:bCs/>
          <w:kern w:val="0"/>
        </w:rPr>
        <w:t>器械描述。器械的每个重要组成部分，成分，性能和操作原理以及研究期间器械的任何预期变化的描述。</w:t>
      </w:r>
    </w:p>
    <w:p w14:paraId="18F8FCB0">
      <w:pPr>
        <w:pStyle w:val="18"/>
        <w:numPr>
          <w:ilvl w:val="0"/>
          <w:numId w:val="29"/>
        </w:numPr>
        <w:snapToGrid w:val="0"/>
        <w:spacing w:after="156" w:afterLines="50" w:line="360" w:lineRule="auto"/>
        <w:ind w:left="909" w:leftChars="193" w:hanging="504" w:hangingChars="240"/>
        <w:rPr>
          <w:rFonts w:ascii="Arial" w:hAnsi="Arial" w:eastAsia="宋体" w:cs="Arial"/>
          <w:bCs/>
          <w:kern w:val="0"/>
        </w:rPr>
      </w:pPr>
      <w:r>
        <w:rPr>
          <w:rFonts w:hint="eastAsia" w:ascii="Arial" w:hAnsi="Arial" w:eastAsia="宋体" w:cs="Arial"/>
          <w:bCs/>
          <w:kern w:val="0"/>
        </w:rPr>
        <w:t>监查程序。</w:t>
      </w:r>
      <w:r>
        <w:rPr>
          <w:rFonts w:ascii="Arial" w:hAnsi="Arial" w:eastAsia="宋体" w:cs="Arial"/>
          <w:bCs/>
          <w:kern w:val="0"/>
        </w:rPr>
        <w:t xml:space="preserve"> </w:t>
      </w:r>
      <w:r>
        <w:rPr>
          <w:rFonts w:hint="eastAsia" w:ascii="Arial" w:hAnsi="Arial" w:eastAsia="宋体" w:cs="Arial"/>
          <w:bCs/>
          <w:kern w:val="0"/>
        </w:rPr>
        <w:t>申办方监查研究的书面程序以及每个监查员的姓名和地址（参见</w:t>
      </w:r>
      <w:r>
        <w:rPr>
          <w:rFonts w:ascii="Arial" w:hAnsi="Arial" w:eastAsia="宋体" w:cs="Arial"/>
          <w:bCs/>
          <w:kern w:val="0"/>
        </w:rPr>
        <w:t>IDE</w:t>
      </w:r>
      <w:r>
        <w:rPr>
          <w:rFonts w:hint="eastAsia" w:ascii="Arial" w:hAnsi="Arial" w:eastAsia="宋体" w:cs="Arial"/>
          <w:bCs/>
          <w:kern w:val="0"/>
        </w:rPr>
        <w:t>手册第</w:t>
      </w:r>
      <w:r>
        <w:rPr>
          <w:rFonts w:ascii="Arial" w:hAnsi="Arial" w:eastAsia="宋体" w:cs="Arial"/>
          <w:bCs/>
          <w:kern w:val="0"/>
        </w:rPr>
        <w:t>5</w:t>
      </w:r>
      <w:r>
        <w:rPr>
          <w:rFonts w:hint="eastAsia" w:ascii="Arial" w:hAnsi="Arial" w:eastAsia="宋体" w:cs="Arial"/>
          <w:bCs/>
          <w:kern w:val="0"/>
        </w:rPr>
        <w:t>章）。</w:t>
      </w:r>
    </w:p>
    <w:p w14:paraId="7A17EB3B">
      <w:pPr>
        <w:pStyle w:val="18"/>
        <w:numPr>
          <w:ilvl w:val="0"/>
          <w:numId w:val="27"/>
        </w:numPr>
        <w:snapToGrid w:val="0"/>
        <w:spacing w:after="156" w:afterLines="50" w:line="360" w:lineRule="auto"/>
        <w:ind w:left="0" w:firstLine="0" w:firstLineChars="0"/>
        <w:rPr>
          <w:rFonts w:ascii="Arial" w:hAnsi="Arial" w:eastAsia="宋体" w:cs="Arial"/>
          <w:b/>
          <w:bCs/>
          <w:kern w:val="0"/>
        </w:rPr>
      </w:pPr>
      <w:r>
        <w:rPr>
          <w:rFonts w:hint="eastAsia" w:ascii="Arial" w:hAnsi="Arial" w:eastAsia="宋体" w:cs="Arial"/>
          <w:b/>
          <w:bCs/>
          <w:kern w:val="0"/>
        </w:rPr>
        <w:t>制造说明。</w:t>
      </w:r>
    </w:p>
    <w:p w14:paraId="5FED9140">
      <w:pPr>
        <w:snapToGrid w:val="0"/>
        <w:spacing w:after="156" w:afterLines="50" w:line="360" w:lineRule="auto"/>
        <w:ind w:firstLine="420" w:firstLineChars="200"/>
        <w:rPr>
          <w:rFonts w:ascii="Arial" w:hAnsi="Arial" w:eastAsia="宋体" w:cs="Arial"/>
          <w:bCs/>
          <w:kern w:val="0"/>
        </w:rPr>
      </w:pPr>
      <w:r>
        <w:rPr>
          <w:rFonts w:hint="eastAsia" w:ascii="Arial" w:hAnsi="Arial" w:eastAsia="宋体" w:cs="Arial"/>
          <w:bCs/>
          <w:kern w:val="0"/>
        </w:rPr>
        <w:t>足够详细的描述了用于制造器械所使用的方法，设施和控制，以允许判断在其制造中使用的质量控制。</w:t>
      </w:r>
    </w:p>
    <w:p w14:paraId="049D6B01">
      <w:pPr>
        <w:pStyle w:val="18"/>
        <w:numPr>
          <w:ilvl w:val="0"/>
          <w:numId w:val="27"/>
        </w:numPr>
        <w:snapToGrid w:val="0"/>
        <w:spacing w:after="156" w:afterLines="50" w:line="360" w:lineRule="auto"/>
        <w:ind w:left="0" w:firstLine="0" w:firstLineChars="0"/>
        <w:rPr>
          <w:rFonts w:ascii="Arial" w:hAnsi="Arial" w:eastAsia="宋体" w:cs="Arial"/>
          <w:b/>
          <w:bCs/>
          <w:kern w:val="0"/>
        </w:rPr>
      </w:pPr>
      <w:r>
        <w:rPr>
          <w:rFonts w:hint="eastAsia" w:ascii="Arial" w:hAnsi="Arial" w:eastAsia="宋体" w:cs="Arial"/>
          <w:b/>
          <w:bCs/>
          <w:kern w:val="0"/>
        </w:rPr>
        <w:t>研究者方案：</w:t>
      </w:r>
    </w:p>
    <w:p w14:paraId="25ED41D5">
      <w:pPr>
        <w:pStyle w:val="18"/>
        <w:numPr>
          <w:ilvl w:val="0"/>
          <w:numId w:val="30"/>
        </w:numPr>
        <w:snapToGrid w:val="0"/>
        <w:spacing w:after="156" w:afterLines="50" w:line="360" w:lineRule="auto"/>
        <w:ind w:left="936" w:leftChars="200" w:hanging="516" w:hangingChars="246"/>
        <w:rPr>
          <w:rFonts w:ascii="Arial" w:hAnsi="Arial" w:eastAsia="宋体" w:cs="Arial"/>
          <w:bCs/>
          <w:kern w:val="0"/>
        </w:rPr>
      </w:pPr>
      <w:r>
        <w:rPr>
          <w:rFonts w:hint="eastAsia" w:ascii="Arial" w:hAnsi="Arial" w:eastAsia="宋体" w:cs="Arial"/>
          <w:bCs/>
          <w:kern w:val="0"/>
        </w:rPr>
        <w:t>研究者签署的研究者方案示例</w:t>
      </w:r>
    </w:p>
    <w:p w14:paraId="1678CCE1">
      <w:pPr>
        <w:pStyle w:val="18"/>
        <w:numPr>
          <w:ilvl w:val="0"/>
          <w:numId w:val="30"/>
        </w:numPr>
        <w:snapToGrid w:val="0"/>
        <w:spacing w:after="156" w:afterLines="50" w:line="360" w:lineRule="auto"/>
        <w:ind w:left="936" w:leftChars="200" w:hanging="516" w:hangingChars="246"/>
        <w:rPr>
          <w:rFonts w:hint="eastAsia" w:ascii="Arial" w:hAnsi="Arial" w:eastAsia="宋体" w:cs="Arial"/>
          <w:bCs/>
          <w:kern w:val="0"/>
        </w:rPr>
      </w:pPr>
      <w:r>
        <w:rPr>
          <w:rFonts w:hint="eastAsia" w:ascii="Arial" w:hAnsi="Arial" w:eastAsia="宋体" w:cs="Arial"/>
          <w:bCs/>
          <w:kern w:val="0"/>
        </w:rPr>
        <w:t>所有研究者的姓名和地址列表</w:t>
      </w:r>
    </w:p>
    <w:p w14:paraId="53A3E318">
      <w:pPr>
        <w:pStyle w:val="18"/>
        <w:numPr>
          <w:ilvl w:val="0"/>
          <w:numId w:val="30"/>
        </w:numPr>
        <w:snapToGrid w:val="0"/>
        <w:spacing w:after="156" w:afterLines="50" w:line="360" w:lineRule="auto"/>
        <w:ind w:left="936" w:leftChars="200" w:hanging="516" w:hangingChars="246"/>
        <w:rPr>
          <w:rFonts w:ascii="Arial" w:hAnsi="Arial" w:eastAsia="宋体" w:cs="Arial"/>
          <w:bCs/>
          <w:kern w:val="0"/>
        </w:rPr>
      </w:pPr>
      <w:r>
        <w:rPr>
          <w:rFonts w:hint="eastAsia" w:ascii="Arial" w:hAnsi="Arial" w:eastAsia="宋体" w:cs="Arial"/>
          <w:bCs/>
          <w:kern w:val="0"/>
        </w:rPr>
        <w:t>认证：</w:t>
      </w:r>
    </w:p>
    <w:p w14:paraId="78B6AF52">
      <w:pPr>
        <w:pStyle w:val="18"/>
        <w:numPr>
          <w:ilvl w:val="0"/>
          <w:numId w:val="31"/>
        </w:numPr>
        <w:snapToGrid w:val="0"/>
        <w:spacing w:after="156" w:afterLines="50" w:line="360" w:lineRule="auto"/>
        <w:ind w:left="1204" w:hanging="266" w:firstLineChars="0"/>
        <w:rPr>
          <w:rFonts w:ascii="Arial" w:hAnsi="Arial" w:eastAsia="宋体" w:cs="Arial"/>
          <w:bCs/>
          <w:kern w:val="0"/>
        </w:rPr>
      </w:pPr>
      <w:r>
        <w:rPr>
          <w:rFonts w:hint="eastAsia" w:ascii="Arial" w:hAnsi="Arial" w:eastAsia="宋体" w:cs="Arial"/>
          <w:bCs/>
          <w:kern w:val="0"/>
        </w:rPr>
        <w:t>所有研究人员已签署协议；</w:t>
      </w:r>
    </w:p>
    <w:p w14:paraId="62A46272">
      <w:pPr>
        <w:pStyle w:val="18"/>
        <w:numPr>
          <w:ilvl w:val="0"/>
          <w:numId w:val="31"/>
        </w:numPr>
        <w:snapToGrid w:val="0"/>
        <w:spacing w:after="156" w:afterLines="50" w:line="360" w:lineRule="auto"/>
        <w:ind w:left="1204" w:hanging="224" w:firstLineChars="0"/>
        <w:rPr>
          <w:rFonts w:ascii="Arial" w:hAnsi="Arial" w:eastAsia="宋体" w:cs="Arial"/>
          <w:bCs/>
          <w:kern w:val="0"/>
        </w:rPr>
      </w:pPr>
      <w:r>
        <w:rPr>
          <w:rFonts w:hint="eastAsia" w:ascii="Arial" w:hAnsi="Arial" w:eastAsia="宋体" w:cs="Arial"/>
          <w:bCs/>
          <w:kern w:val="0"/>
        </w:rPr>
        <w:t>研究者名单包括研究中的所有研究者；</w:t>
      </w:r>
    </w:p>
    <w:p w14:paraId="6EE1A57F">
      <w:pPr>
        <w:pStyle w:val="18"/>
        <w:numPr>
          <w:ilvl w:val="0"/>
          <w:numId w:val="31"/>
        </w:numPr>
        <w:snapToGrid w:val="0"/>
        <w:spacing w:after="156" w:afterLines="50" w:line="360" w:lineRule="auto"/>
        <w:ind w:left="1204" w:hanging="224" w:firstLineChars="0"/>
        <w:rPr>
          <w:rFonts w:ascii="Arial" w:hAnsi="Arial" w:eastAsia="宋体" w:cs="Arial"/>
          <w:bCs/>
          <w:kern w:val="0"/>
        </w:rPr>
      </w:pPr>
      <w:r>
        <w:rPr>
          <w:rFonts w:hint="eastAsia" w:ascii="Arial" w:hAnsi="Arial" w:eastAsia="宋体" w:cs="Arial"/>
          <w:bCs/>
          <w:kern w:val="0"/>
        </w:rPr>
        <w:t>新研究者应在加入研究前签署协议。</w:t>
      </w:r>
    </w:p>
    <w:p w14:paraId="495D8BDB">
      <w:pPr>
        <w:pStyle w:val="18"/>
        <w:numPr>
          <w:ilvl w:val="0"/>
          <w:numId w:val="27"/>
        </w:numPr>
        <w:snapToGrid w:val="0"/>
        <w:spacing w:after="156" w:afterLines="50" w:line="360" w:lineRule="auto"/>
        <w:ind w:left="0" w:firstLine="0" w:firstLineChars="0"/>
        <w:rPr>
          <w:rFonts w:ascii="Arial" w:hAnsi="Arial" w:eastAsia="宋体" w:cs="Arial"/>
          <w:b/>
          <w:bCs/>
          <w:kern w:val="0"/>
        </w:rPr>
      </w:pPr>
      <w:r>
        <w:rPr>
          <w:rFonts w:hint="eastAsia" w:ascii="Arial" w:hAnsi="Arial" w:eastAsia="宋体" w:cs="Arial"/>
          <w:b/>
          <w:bCs/>
          <w:kern w:val="0"/>
        </w:rPr>
        <w:t>机构审查委员会（</w:t>
      </w:r>
      <w:r>
        <w:rPr>
          <w:rFonts w:ascii="Arial" w:hAnsi="Arial" w:eastAsia="宋体" w:cs="Arial"/>
          <w:b/>
          <w:bCs/>
          <w:kern w:val="0"/>
        </w:rPr>
        <w:t>IRB</w:t>
      </w:r>
      <w:r>
        <w:rPr>
          <w:rFonts w:hint="eastAsia" w:ascii="Arial" w:hAnsi="Arial" w:eastAsia="宋体" w:cs="Arial"/>
          <w:b/>
          <w:bCs/>
          <w:kern w:val="0"/>
        </w:rPr>
        <w:t>）协议：</w:t>
      </w:r>
    </w:p>
    <w:p w14:paraId="2B10AAAA">
      <w:pPr>
        <w:pStyle w:val="18"/>
        <w:numPr>
          <w:ilvl w:val="0"/>
          <w:numId w:val="32"/>
        </w:numPr>
        <w:snapToGrid w:val="0"/>
        <w:spacing w:after="156" w:afterLines="50" w:line="360" w:lineRule="auto"/>
        <w:ind w:left="936" w:leftChars="199" w:hanging="518" w:hangingChars="247"/>
        <w:rPr>
          <w:rFonts w:ascii="Arial" w:hAnsi="Arial" w:eastAsia="宋体" w:cs="Arial"/>
          <w:bCs/>
          <w:kern w:val="0"/>
        </w:rPr>
      </w:pPr>
      <w:r>
        <w:rPr>
          <w:rFonts w:hint="eastAsia" w:ascii="Arial" w:hAnsi="Arial" w:eastAsia="宋体" w:cs="Arial"/>
          <w:bCs/>
          <w:kern w:val="0"/>
        </w:rPr>
        <w:t>审查研究的每个</w:t>
      </w:r>
      <w:r>
        <w:rPr>
          <w:rFonts w:ascii="Arial" w:hAnsi="Arial" w:eastAsia="宋体" w:cs="Arial"/>
          <w:bCs/>
          <w:kern w:val="0"/>
        </w:rPr>
        <w:t>IRB</w:t>
      </w:r>
      <w:r>
        <w:rPr>
          <w:rFonts w:hint="eastAsia" w:ascii="Arial" w:hAnsi="Arial" w:eastAsia="宋体" w:cs="Arial"/>
          <w:bCs/>
          <w:kern w:val="0"/>
        </w:rPr>
        <w:t>的名称，地址和主席名单；</w:t>
      </w:r>
    </w:p>
    <w:p w14:paraId="68FB0254">
      <w:pPr>
        <w:pStyle w:val="18"/>
        <w:numPr>
          <w:ilvl w:val="0"/>
          <w:numId w:val="32"/>
        </w:numPr>
        <w:snapToGrid w:val="0"/>
        <w:spacing w:after="156" w:afterLines="50" w:line="360" w:lineRule="auto"/>
        <w:ind w:left="936" w:leftChars="199" w:hanging="518" w:hangingChars="247"/>
        <w:rPr>
          <w:rFonts w:ascii="Arial" w:hAnsi="Arial" w:eastAsia="宋体" w:cs="Arial"/>
          <w:bCs/>
          <w:kern w:val="0"/>
        </w:rPr>
      </w:pPr>
      <w:r>
        <w:rPr>
          <w:rFonts w:hint="eastAsia" w:ascii="Arial" w:hAnsi="Arial" w:eastAsia="宋体" w:cs="Arial"/>
          <w:bCs/>
          <w:kern w:val="0"/>
        </w:rPr>
        <w:t>认证每个</w:t>
      </w:r>
      <w:r>
        <w:rPr>
          <w:rFonts w:ascii="Arial" w:hAnsi="Arial" w:eastAsia="宋体" w:cs="Arial"/>
          <w:bCs/>
          <w:kern w:val="0"/>
        </w:rPr>
        <w:t>IRB</w:t>
      </w:r>
      <w:r>
        <w:rPr>
          <w:rFonts w:hint="eastAsia" w:ascii="Arial" w:hAnsi="Arial" w:eastAsia="宋体" w:cs="Arial"/>
          <w:bCs/>
          <w:kern w:val="0"/>
        </w:rPr>
        <w:t>的活动。</w:t>
      </w:r>
    </w:p>
    <w:p w14:paraId="53D2ECB7">
      <w:pPr>
        <w:pStyle w:val="18"/>
        <w:numPr>
          <w:ilvl w:val="0"/>
          <w:numId w:val="27"/>
        </w:numPr>
        <w:snapToGrid w:val="0"/>
        <w:spacing w:after="156" w:afterLines="50" w:line="360" w:lineRule="auto"/>
        <w:ind w:left="0" w:firstLine="0" w:firstLineChars="0"/>
        <w:rPr>
          <w:rFonts w:ascii="Arial" w:hAnsi="Arial" w:eastAsia="宋体" w:cs="Arial"/>
          <w:b/>
          <w:bCs/>
          <w:kern w:val="0"/>
        </w:rPr>
      </w:pPr>
      <w:r>
        <w:rPr>
          <w:rFonts w:hint="eastAsia" w:ascii="Arial" w:hAnsi="Arial" w:eastAsia="宋体" w:cs="Arial"/>
          <w:b/>
          <w:bCs/>
          <w:kern w:val="0"/>
        </w:rPr>
        <w:t>其他参与机构：</w:t>
      </w:r>
    </w:p>
    <w:p w14:paraId="4CCFFD51">
      <w:pPr>
        <w:snapToGrid w:val="0"/>
        <w:spacing w:after="156" w:afterLines="50" w:line="360" w:lineRule="auto"/>
        <w:ind w:firstLine="447" w:firstLineChars="213"/>
        <w:rPr>
          <w:rFonts w:ascii="Arial" w:hAnsi="Arial" w:eastAsia="宋体" w:cs="Arial"/>
          <w:bCs/>
          <w:kern w:val="0"/>
        </w:rPr>
      </w:pPr>
      <w:r>
        <w:rPr>
          <w:rFonts w:hint="eastAsia" w:ascii="Arial" w:hAnsi="Arial" w:eastAsia="宋体" w:cs="Arial"/>
          <w:bCs/>
          <w:kern w:val="0"/>
        </w:rPr>
        <w:t>进行一部分研究的任何机构的名称和地址，在上文</w:t>
      </w:r>
      <w:r>
        <w:rPr>
          <w:rFonts w:ascii="Arial" w:hAnsi="Arial" w:eastAsia="宋体" w:cs="Arial"/>
          <w:bCs/>
          <w:kern w:val="0"/>
        </w:rPr>
        <w:t>6</w:t>
      </w:r>
      <w:r>
        <w:rPr>
          <w:rFonts w:hint="eastAsia" w:ascii="Arial" w:hAnsi="Arial" w:eastAsia="宋体" w:cs="Arial"/>
          <w:bCs/>
          <w:kern w:val="0"/>
        </w:rPr>
        <w:t>中未确定。</w:t>
      </w:r>
    </w:p>
    <w:p w14:paraId="03A6692B">
      <w:pPr>
        <w:pStyle w:val="18"/>
        <w:numPr>
          <w:ilvl w:val="0"/>
          <w:numId w:val="27"/>
        </w:numPr>
        <w:snapToGrid w:val="0"/>
        <w:spacing w:after="156" w:afterLines="50" w:line="360" w:lineRule="auto"/>
        <w:ind w:left="0" w:firstLine="0" w:firstLineChars="0"/>
        <w:rPr>
          <w:rFonts w:ascii="Arial" w:hAnsi="Arial" w:eastAsia="宋体" w:cs="Arial"/>
          <w:b/>
          <w:bCs/>
          <w:kern w:val="0"/>
        </w:rPr>
      </w:pPr>
      <w:r>
        <w:rPr>
          <w:rFonts w:hint="eastAsia" w:ascii="Arial" w:hAnsi="Arial" w:eastAsia="宋体" w:cs="Arial"/>
          <w:b/>
          <w:bCs/>
          <w:kern w:val="0"/>
        </w:rPr>
        <w:t>销售价格。</w:t>
      </w:r>
    </w:p>
    <w:p w14:paraId="68A80B69">
      <w:pPr>
        <w:snapToGrid w:val="0"/>
        <w:spacing w:after="156" w:afterLines="50" w:line="360" w:lineRule="auto"/>
        <w:ind w:firstLine="447" w:firstLineChars="213"/>
        <w:rPr>
          <w:rFonts w:ascii="Arial" w:hAnsi="Arial" w:eastAsia="宋体" w:cs="Arial"/>
          <w:bCs/>
          <w:kern w:val="0"/>
        </w:rPr>
      </w:pPr>
      <w:r>
        <w:rPr>
          <w:rFonts w:hint="eastAsia" w:ascii="Arial" w:hAnsi="Arial" w:eastAsia="宋体" w:cs="Arial"/>
          <w:bCs/>
          <w:kern w:val="0"/>
        </w:rPr>
        <w:t>如果器械将出售，要收取的金额并解释为什么销售不会构成商业化。</w:t>
      </w:r>
    </w:p>
    <w:p w14:paraId="3C1E2FCA">
      <w:pPr>
        <w:snapToGrid w:val="0"/>
        <w:spacing w:after="156" w:afterLines="50" w:line="360" w:lineRule="auto"/>
        <w:rPr>
          <w:rFonts w:hint="eastAsia" w:ascii="Arial" w:hAnsi="Arial" w:eastAsia="宋体" w:cs="Arial"/>
          <w:bCs/>
          <w:kern w:val="0"/>
        </w:rPr>
      </w:pPr>
    </w:p>
    <w:p w14:paraId="09717944">
      <w:pPr>
        <w:snapToGrid w:val="0"/>
        <w:spacing w:after="156" w:afterLines="50" w:line="360" w:lineRule="auto"/>
        <w:rPr>
          <w:rFonts w:ascii="Arial" w:hAnsi="Arial" w:eastAsia="宋体" w:cs="Arial"/>
          <w:bCs/>
          <w:kern w:val="0"/>
        </w:rPr>
      </w:pPr>
    </w:p>
    <w:p w14:paraId="5007B74A">
      <w:pPr>
        <w:widowControl/>
        <w:spacing w:line="360" w:lineRule="auto"/>
        <w:jc w:val="left"/>
        <w:rPr>
          <w:rFonts w:ascii="Arial" w:hAnsi="Arial" w:eastAsia="宋体" w:cs="Arial"/>
          <w:bCs/>
          <w:kern w:val="0"/>
        </w:rPr>
      </w:pPr>
      <w:r>
        <w:rPr>
          <w:rFonts w:ascii="Arial" w:hAnsi="Arial" w:eastAsia="宋体" w:cs="Arial"/>
          <w:bCs/>
          <w:kern w:val="0"/>
        </w:rPr>
        <w:br w:type="page"/>
      </w:r>
    </w:p>
    <w:p w14:paraId="728586D1">
      <w:pPr>
        <w:snapToGrid w:val="0"/>
        <w:spacing w:after="156" w:afterLines="50" w:line="360" w:lineRule="auto"/>
        <w:ind w:firstLine="447" w:firstLineChars="213"/>
        <w:rPr>
          <w:rFonts w:ascii="Arial" w:hAnsi="Arial" w:eastAsia="宋体" w:cs="Arial"/>
          <w:bCs/>
          <w:kern w:val="0"/>
        </w:rPr>
      </w:pPr>
    </w:p>
    <w:p w14:paraId="00299A03">
      <w:pPr>
        <w:pStyle w:val="18"/>
        <w:numPr>
          <w:ilvl w:val="0"/>
          <w:numId w:val="27"/>
        </w:numPr>
        <w:snapToGrid w:val="0"/>
        <w:spacing w:after="156" w:afterLines="50" w:line="360" w:lineRule="auto"/>
        <w:ind w:left="0" w:firstLine="0" w:firstLineChars="0"/>
        <w:rPr>
          <w:rFonts w:ascii="Arial" w:hAnsi="Arial" w:eastAsia="宋体" w:cs="Arial"/>
          <w:b/>
          <w:bCs/>
          <w:kern w:val="0"/>
        </w:rPr>
      </w:pPr>
      <w:r>
        <w:rPr>
          <w:rFonts w:hint="eastAsia" w:ascii="Arial" w:hAnsi="Arial" w:eastAsia="宋体" w:cs="Arial"/>
          <w:b/>
          <w:bCs/>
          <w:kern w:val="0"/>
        </w:rPr>
        <w:t>环境评估。</w:t>
      </w:r>
    </w:p>
    <w:p w14:paraId="543FF83D">
      <w:pPr>
        <w:snapToGrid w:val="0"/>
        <w:spacing w:after="156" w:afterLines="50" w:line="360" w:lineRule="auto"/>
        <w:ind w:firstLine="447" w:firstLineChars="213"/>
        <w:rPr>
          <w:rFonts w:ascii="Arial" w:hAnsi="Arial" w:eastAsia="宋体" w:cs="Arial"/>
          <w:bCs/>
          <w:kern w:val="0"/>
        </w:rPr>
      </w:pPr>
      <w:r>
        <w:rPr>
          <w:rFonts w:hint="eastAsia" w:ascii="Arial" w:hAnsi="Arial" w:eastAsia="宋体" w:cs="Arial"/>
          <w:bCs/>
          <w:kern w:val="0"/>
        </w:rPr>
        <w:t>环境评估文件（</w:t>
      </w:r>
      <w:r>
        <w:rPr>
          <w:rFonts w:ascii="Arial" w:hAnsi="Arial" w:eastAsia="宋体" w:cs="Arial"/>
          <w:bCs/>
          <w:kern w:val="0"/>
        </w:rPr>
        <w:t>CFR 21 25.31</w:t>
      </w:r>
      <w:r>
        <w:rPr>
          <w:rFonts w:hint="eastAsia" w:ascii="Arial" w:hAnsi="Arial" w:eastAsia="宋体" w:cs="Arial"/>
          <w:bCs/>
          <w:kern w:val="0"/>
        </w:rPr>
        <w:t>）或对此要求进行无条件排除的声明（</w:t>
      </w:r>
      <w:r>
        <w:rPr>
          <w:rFonts w:ascii="Arial" w:hAnsi="Arial" w:eastAsia="宋体" w:cs="Arial"/>
          <w:bCs/>
          <w:kern w:val="0"/>
        </w:rPr>
        <w:t>CFR 21 25.24e</w:t>
      </w:r>
      <w:r>
        <w:rPr>
          <w:rFonts w:hint="eastAsia" w:ascii="Arial" w:hAnsi="Arial" w:eastAsia="宋体" w:cs="Arial"/>
          <w:bCs/>
          <w:kern w:val="0"/>
        </w:rPr>
        <w:t>（</w:t>
      </w:r>
      <w:r>
        <w:rPr>
          <w:rFonts w:ascii="Arial" w:hAnsi="Arial" w:eastAsia="宋体" w:cs="Arial"/>
          <w:bCs/>
          <w:kern w:val="0"/>
        </w:rPr>
        <w:t>7</w:t>
      </w:r>
      <w:r>
        <w:rPr>
          <w:rFonts w:hint="eastAsia" w:ascii="Arial" w:hAnsi="Arial" w:eastAsia="宋体" w:cs="Arial"/>
          <w:bCs/>
          <w:kern w:val="0"/>
        </w:rPr>
        <w:t>））。</w:t>
      </w:r>
    </w:p>
    <w:p w14:paraId="7F924440">
      <w:pPr>
        <w:pStyle w:val="18"/>
        <w:numPr>
          <w:ilvl w:val="0"/>
          <w:numId w:val="27"/>
        </w:numPr>
        <w:snapToGrid w:val="0"/>
        <w:spacing w:after="156" w:afterLines="50" w:line="360" w:lineRule="auto"/>
        <w:ind w:left="0" w:firstLine="0" w:firstLineChars="0"/>
        <w:rPr>
          <w:rFonts w:ascii="Arial" w:hAnsi="Arial" w:eastAsia="宋体" w:cs="Arial"/>
          <w:b/>
          <w:bCs/>
          <w:kern w:val="0"/>
        </w:rPr>
      </w:pPr>
      <w:r>
        <w:rPr>
          <w:rFonts w:hint="eastAsia" w:ascii="Arial" w:hAnsi="Arial" w:eastAsia="宋体" w:cs="Arial"/>
          <w:b/>
          <w:bCs/>
          <w:kern w:val="0"/>
        </w:rPr>
        <w:t>标签。</w:t>
      </w:r>
    </w:p>
    <w:p w14:paraId="20AB0FEF">
      <w:pPr>
        <w:snapToGrid w:val="0"/>
        <w:spacing w:after="156" w:afterLines="50" w:line="360" w:lineRule="auto"/>
        <w:ind w:firstLine="447" w:firstLineChars="213"/>
        <w:rPr>
          <w:rFonts w:ascii="Arial" w:hAnsi="Arial" w:eastAsia="宋体" w:cs="Arial"/>
          <w:bCs/>
          <w:kern w:val="0"/>
        </w:rPr>
      </w:pPr>
      <w:r>
        <w:rPr>
          <w:rFonts w:hint="eastAsia" w:ascii="Arial" w:hAnsi="Arial" w:eastAsia="宋体" w:cs="Arial"/>
          <w:bCs/>
          <w:kern w:val="0"/>
        </w:rPr>
        <w:t>器械所有标签的副本</w:t>
      </w:r>
    </w:p>
    <w:p w14:paraId="554E6E69">
      <w:pPr>
        <w:pStyle w:val="18"/>
        <w:numPr>
          <w:ilvl w:val="0"/>
          <w:numId w:val="27"/>
        </w:numPr>
        <w:snapToGrid w:val="0"/>
        <w:spacing w:after="156" w:afterLines="50" w:line="360" w:lineRule="auto"/>
        <w:ind w:left="0" w:firstLine="0" w:firstLineChars="0"/>
        <w:rPr>
          <w:rFonts w:ascii="Arial" w:hAnsi="Arial" w:eastAsia="宋体" w:cs="Arial"/>
          <w:b/>
          <w:bCs/>
          <w:kern w:val="0"/>
        </w:rPr>
      </w:pPr>
      <w:r>
        <w:rPr>
          <w:rFonts w:hint="eastAsia" w:ascii="Arial" w:hAnsi="Arial" w:eastAsia="宋体" w:cs="Arial"/>
          <w:b/>
          <w:bCs/>
          <w:kern w:val="0"/>
        </w:rPr>
        <w:t>知情同意书。</w:t>
      </w:r>
    </w:p>
    <w:p w14:paraId="78B04E45">
      <w:pPr>
        <w:snapToGrid w:val="0"/>
        <w:spacing w:after="156" w:afterLines="50" w:line="360" w:lineRule="auto"/>
        <w:ind w:firstLine="447" w:firstLineChars="213"/>
        <w:rPr>
          <w:rFonts w:ascii="Arial" w:hAnsi="Arial" w:eastAsia="宋体" w:cs="Arial"/>
          <w:bCs/>
          <w:kern w:val="0"/>
        </w:rPr>
      </w:pPr>
      <w:r>
        <w:rPr>
          <w:rFonts w:hint="eastAsia" w:ascii="Arial" w:hAnsi="Arial" w:eastAsia="宋体" w:cs="Arial"/>
          <w:bCs/>
          <w:kern w:val="0"/>
        </w:rPr>
        <w:t>向受试者提供获得知情同意的所有形式和信息材料的副本。</w:t>
      </w:r>
    </w:p>
    <w:p w14:paraId="0F7ED2E7">
      <w:pPr>
        <w:pStyle w:val="18"/>
        <w:snapToGrid w:val="0"/>
        <w:spacing w:after="156" w:afterLines="50" w:line="360" w:lineRule="auto"/>
        <w:ind w:firstLine="0" w:firstLineChars="0"/>
        <w:rPr>
          <w:rFonts w:ascii="Arial" w:hAnsi="Arial" w:eastAsia="宋体" w:cs="Arial"/>
          <w:bCs/>
          <w:kern w:val="0"/>
        </w:rPr>
      </w:pPr>
    </w:p>
    <w:p w14:paraId="27F1FC39">
      <w:pPr>
        <w:pStyle w:val="18"/>
        <w:snapToGrid w:val="0"/>
        <w:spacing w:after="50" w:line="360" w:lineRule="auto"/>
        <w:ind w:firstLine="0" w:firstLineChars="0"/>
        <w:rPr>
          <w:rFonts w:ascii="Arial" w:hAnsi="Arial" w:eastAsia="宋体" w:cs="Arial"/>
          <w:bCs/>
          <w:kern w:val="0"/>
        </w:rPr>
      </w:pPr>
    </w:p>
    <w:p w14:paraId="20577773">
      <w:pPr>
        <w:pStyle w:val="18"/>
        <w:snapToGrid w:val="0"/>
        <w:spacing w:after="50" w:line="360" w:lineRule="auto"/>
        <w:ind w:firstLine="0" w:firstLineChars="0"/>
        <w:rPr>
          <w:rFonts w:ascii="Arial" w:hAnsi="Arial" w:eastAsia="宋体" w:cs="Arial"/>
          <w:bCs/>
          <w:kern w:val="0"/>
        </w:rPr>
      </w:pPr>
    </w:p>
    <w:p w14:paraId="4194B2B5">
      <w:pPr>
        <w:pStyle w:val="18"/>
        <w:pageBreakBefore/>
        <w:snapToGrid w:val="0"/>
        <w:spacing w:after="50" w:line="360" w:lineRule="auto"/>
        <w:ind w:firstLine="0" w:firstLineChars="0"/>
        <w:jc w:val="center"/>
        <w:outlineLvl w:val="0"/>
        <w:rPr>
          <w:rFonts w:ascii="Arial" w:hAnsi="Arial" w:eastAsia="宋体" w:cs="Arial"/>
          <w:b/>
          <w:bCs/>
          <w:kern w:val="0"/>
          <w:sz w:val="24"/>
          <w:szCs w:val="24"/>
        </w:rPr>
      </w:pPr>
      <w:bookmarkStart w:id="83" w:name="_Toc478047115"/>
      <w:r>
        <w:rPr>
          <w:rFonts w:hint="eastAsia" w:ascii="Arial" w:hAnsi="Arial" w:eastAsia="宋体" w:cs="Arial"/>
          <w:b/>
          <w:bCs/>
          <w:kern w:val="0"/>
          <w:sz w:val="24"/>
          <w:szCs w:val="24"/>
        </w:rPr>
        <w:t>附录</w:t>
      </w:r>
      <w:r>
        <w:rPr>
          <w:rFonts w:ascii="Arial" w:hAnsi="Arial" w:eastAsia="宋体" w:cs="Arial"/>
          <w:b/>
          <w:bCs/>
          <w:kern w:val="0"/>
          <w:sz w:val="24"/>
          <w:szCs w:val="24"/>
        </w:rPr>
        <w:t>B</w:t>
      </w:r>
      <w:r>
        <w:rPr>
          <w:rFonts w:ascii="Arial" w:hAnsi="Arial" w:eastAsia="宋体" w:cs="Arial"/>
          <w:b/>
          <w:bCs/>
          <w:kern w:val="0"/>
          <w:sz w:val="24"/>
          <w:szCs w:val="24"/>
        </w:rPr>
        <w:br w:type="textWrapping"/>
      </w:r>
      <w:r>
        <w:rPr>
          <w:rFonts w:hint="eastAsia" w:ascii="Arial" w:hAnsi="Arial" w:eastAsia="宋体" w:cs="Arial"/>
          <w:b/>
          <w:bCs/>
          <w:kern w:val="0"/>
          <w:sz w:val="24"/>
          <w:szCs w:val="24"/>
        </w:rPr>
        <w:t>用于屈光手术激光器的对比灵敏度和眩光测试</w:t>
      </w:r>
      <w:bookmarkEnd w:id="83"/>
    </w:p>
    <w:p w14:paraId="173BBBD7">
      <w:pPr>
        <w:snapToGrid w:val="0"/>
        <w:spacing w:after="50" w:line="360" w:lineRule="auto"/>
        <w:rPr>
          <w:rFonts w:ascii="Arial" w:hAnsi="Arial" w:eastAsia="宋体" w:cs="Arial"/>
          <w:bCs/>
          <w:kern w:val="0"/>
        </w:rPr>
      </w:pPr>
      <w:r>
        <w:rPr>
          <w:rFonts w:hint="eastAsia" w:ascii="Arial" w:hAnsi="Arial" w:eastAsia="宋体" w:cs="Arial"/>
          <w:bCs/>
          <w:kern w:val="0"/>
        </w:rPr>
        <w:t>如果他们同意在其标签中加入预防性陈述，大意为在不利的可见度条件下，例如在夜间或恶劣的天气驾驶相遇，</w:t>
      </w:r>
      <w:r>
        <w:rPr>
          <w:rFonts w:ascii="Arial" w:hAnsi="Arial" w:eastAsia="宋体" w:cs="Arial"/>
          <w:bCs/>
          <w:kern w:val="0"/>
        </w:rPr>
        <w:t>PRK</w:t>
      </w:r>
      <w:r>
        <w:rPr>
          <w:rFonts w:hint="eastAsia" w:ascii="Arial" w:hAnsi="Arial" w:eastAsia="宋体" w:cs="Arial"/>
          <w:bCs/>
          <w:kern w:val="0"/>
        </w:rPr>
        <w:t>（</w:t>
      </w:r>
      <w:r>
        <w:rPr>
          <w:rFonts w:ascii="Arial" w:hAnsi="Arial" w:eastAsia="宋体" w:cs="Arial"/>
          <w:bCs/>
          <w:kern w:val="0"/>
        </w:rPr>
        <w:t>LASIK</w:t>
      </w:r>
      <w:r>
        <w:rPr>
          <w:rFonts w:hint="eastAsia" w:ascii="Arial" w:hAnsi="Arial" w:eastAsia="宋体" w:cs="Arial"/>
          <w:bCs/>
          <w:kern w:val="0"/>
        </w:rPr>
        <w:t>）可能损害或视觉性能失灵，屈光激光器的</w:t>
      </w:r>
      <w:r>
        <w:rPr>
          <w:rFonts w:ascii="Arial" w:hAnsi="Arial" w:eastAsia="宋体" w:cs="Arial"/>
          <w:bCs/>
          <w:kern w:val="0"/>
        </w:rPr>
        <w:t>IDE</w:t>
      </w:r>
      <w:r>
        <w:rPr>
          <w:rFonts w:hint="eastAsia" w:ascii="Arial" w:hAnsi="Arial" w:eastAsia="宋体" w:cs="Arial"/>
          <w:bCs/>
          <w:kern w:val="0"/>
        </w:rPr>
        <w:t>研究的申办方可以选择不进行对比敏感度和眩光测试。对于低至中度近视（</w:t>
      </w:r>
      <w:r>
        <w:rPr>
          <w:rFonts w:ascii="Arial" w:hAnsi="Arial" w:eastAsia="宋体" w:cs="Arial"/>
          <w:bCs/>
          <w:kern w:val="0"/>
        </w:rPr>
        <w:t>&lt;-7</w:t>
      </w:r>
      <w:r>
        <w:rPr>
          <w:rFonts w:hint="eastAsia" w:ascii="Arial" w:hAnsi="Arial" w:eastAsia="宋体" w:cs="Arial"/>
          <w:bCs/>
          <w:kern w:val="0"/>
        </w:rPr>
        <w:t>屈光度）和</w:t>
      </w:r>
      <w:r>
        <w:rPr>
          <w:rFonts w:ascii="Arial" w:hAnsi="Arial" w:eastAsia="宋体" w:cs="Arial"/>
          <w:bCs/>
          <w:kern w:val="0"/>
        </w:rPr>
        <w:t>6mm</w:t>
      </w:r>
      <w:r>
        <w:rPr>
          <w:rFonts w:hint="eastAsia" w:ascii="Arial" w:hAnsi="Arial" w:eastAsia="宋体" w:cs="Arial"/>
          <w:bCs/>
          <w:kern w:val="0"/>
        </w:rPr>
        <w:t>直径的中心光学切除区的指示，以下是通常预防语言的示例：</w:t>
      </w:r>
    </w:p>
    <w:p w14:paraId="680441F6">
      <w:pPr>
        <w:snapToGrid w:val="0"/>
        <w:spacing w:after="50" w:line="360" w:lineRule="auto"/>
        <w:ind w:left="1006" w:hanging="1006" w:hangingChars="477"/>
        <w:rPr>
          <w:rFonts w:ascii="Arial" w:hAnsi="Arial" w:eastAsia="宋体" w:cs="Arial"/>
          <w:bCs/>
          <w:kern w:val="0"/>
        </w:rPr>
      </w:pPr>
      <w:bookmarkStart w:id="84" w:name="OLE_LINK26"/>
      <w:bookmarkStart w:id="85" w:name="OLE_LINK27"/>
      <w:r>
        <w:rPr>
          <w:rFonts w:hint="eastAsia" w:ascii="Arial" w:hAnsi="Arial" w:eastAsia="宋体" w:cs="Arial"/>
          <w:b/>
          <w:bCs/>
          <w:kern w:val="0"/>
        </w:rPr>
        <w:t>注意事项</w:t>
      </w:r>
      <w:r>
        <w:rPr>
          <w:rFonts w:hint="eastAsia" w:ascii="Arial" w:hAnsi="Arial" w:eastAsia="宋体" w:cs="Arial"/>
          <w:bCs/>
          <w:kern w:val="0"/>
        </w:rPr>
        <w:t>：虽然</w:t>
      </w:r>
      <w:r>
        <w:rPr>
          <w:rFonts w:ascii="Arial" w:hAnsi="Arial" w:eastAsia="宋体" w:cs="Arial"/>
          <w:bCs/>
          <w:kern w:val="0"/>
        </w:rPr>
        <w:t>PRK</w:t>
      </w:r>
      <w:r>
        <w:rPr>
          <w:rFonts w:hint="eastAsia" w:ascii="Arial" w:hAnsi="Arial" w:eastAsia="宋体" w:cs="Arial"/>
          <w:bCs/>
          <w:kern w:val="0"/>
        </w:rPr>
        <w:t>（</w:t>
      </w:r>
      <w:r>
        <w:rPr>
          <w:rFonts w:ascii="Arial" w:hAnsi="Arial" w:eastAsia="宋体" w:cs="Arial"/>
          <w:bCs/>
          <w:kern w:val="0"/>
        </w:rPr>
        <w:t>LASIK</w:t>
      </w:r>
      <w:r>
        <w:rPr>
          <w:rFonts w:hint="eastAsia" w:ascii="Arial" w:hAnsi="Arial" w:eastAsia="宋体" w:cs="Arial"/>
          <w:bCs/>
          <w:kern w:val="0"/>
        </w:rPr>
        <w:t>）对于在不良照明条件下的视觉性能的影响尚未确定，但是在诸如昏暗的光，雨，雪，雾或夜晚眩光的条件下，可能会发现看起来比通常更困难。</w:t>
      </w:r>
    </w:p>
    <w:bookmarkEnd w:id="84"/>
    <w:bookmarkEnd w:id="85"/>
    <w:p w14:paraId="7A53E638">
      <w:pPr>
        <w:snapToGrid w:val="0"/>
        <w:spacing w:after="50" w:line="360" w:lineRule="auto"/>
        <w:rPr>
          <w:rFonts w:ascii="Arial" w:hAnsi="Arial" w:eastAsia="宋体" w:cs="Arial"/>
          <w:bCs/>
          <w:kern w:val="0"/>
        </w:rPr>
      </w:pPr>
      <w:r>
        <w:rPr>
          <w:rFonts w:hint="eastAsia" w:ascii="Arial" w:hAnsi="Arial" w:eastAsia="宋体" w:cs="Arial"/>
          <w:bCs/>
          <w:kern w:val="0"/>
        </w:rPr>
        <w:t>允许预防标签代替对比敏感度和眩光研究的理由是，在标准明视条件下的对比敏感度数据可从几个来源获得，并且这些数据一致地显示对于低至中度近视的</w:t>
      </w:r>
      <w:r>
        <w:rPr>
          <w:rFonts w:ascii="Arial" w:hAnsi="Arial" w:eastAsia="宋体" w:cs="Arial"/>
          <w:bCs/>
          <w:kern w:val="0"/>
        </w:rPr>
        <w:t>PRK</w:t>
      </w:r>
      <w:r>
        <w:rPr>
          <w:rFonts w:hint="eastAsia" w:ascii="Arial" w:hAnsi="Arial" w:eastAsia="宋体" w:cs="Arial"/>
          <w:bCs/>
          <w:kern w:val="0"/>
        </w:rPr>
        <w:t>统计学上关联显著但与对比敏感度损失较小。该损失在高可见度条件下在功能上不是显着的，但是可以预测在低能见度条件下损害视觉性能。这种理由可能不适用于引起新的安全问题并且没有对比敏感度和眩光数据可用的其它指示，或者不适用于具有其它输出特性的激光器。当治疗的光学特性预测比由</w:t>
      </w:r>
      <w:r>
        <w:rPr>
          <w:rFonts w:ascii="Arial" w:hAnsi="Arial" w:eastAsia="宋体" w:cs="Arial"/>
          <w:bCs/>
          <w:kern w:val="0"/>
        </w:rPr>
        <w:t>PRK</w:t>
      </w:r>
      <w:r>
        <w:rPr>
          <w:rFonts w:hint="eastAsia" w:ascii="Arial" w:hAnsi="Arial" w:eastAsia="宋体" w:cs="Arial"/>
          <w:bCs/>
          <w:kern w:val="0"/>
        </w:rPr>
        <w:t>对</w:t>
      </w:r>
      <w:r>
        <w:rPr>
          <w:rFonts w:ascii="Arial" w:hAnsi="Arial" w:eastAsia="宋体" w:cs="Arial"/>
          <w:bCs/>
          <w:kern w:val="0"/>
        </w:rPr>
        <w:t>-1</w:t>
      </w:r>
      <w:r>
        <w:rPr>
          <w:rFonts w:hint="eastAsia" w:ascii="Arial" w:hAnsi="Arial" w:eastAsia="宋体" w:cs="Arial"/>
          <w:bCs/>
          <w:kern w:val="0"/>
        </w:rPr>
        <w:t>至</w:t>
      </w:r>
      <w:r>
        <w:rPr>
          <w:rFonts w:ascii="Arial" w:hAnsi="Arial" w:eastAsia="宋体" w:cs="Arial"/>
          <w:bCs/>
          <w:kern w:val="0"/>
        </w:rPr>
        <w:t>-7D</w:t>
      </w:r>
      <w:r>
        <w:rPr>
          <w:rFonts w:hint="eastAsia" w:ascii="Arial" w:hAnsi="Arial" w:eastAsia="宋体" w:cs="Arial"/>
          <w:bCs/>
          <w:kern w:val="0"/>
        </w:rPr>
        <w:t>近视产生的视网膜图像更差时，将需要与相应预测的最坏情况性能损失更强的预防标记。以下是应该考虑子研究的治疗特征的实例。</w:t>
      </w:r>
      <w:r>
        <w:rPr>
          <w:rFonts w:ascii="Arial" w:hAnsi="Arial" w:eastAsia="宋体" w:cs="Arial"/>
          <w:bCs/>
          <w:kern w:val="0"/>
        </w:rPr>
        <w:t xml:space="preserve"> </w:t>
      </w:r>
      <w:r>
        <w:rPr>
          <w:rFonts w:hint="eastAsia" w:ascii="Arial" w:hAnsi="Arial" w:eastAsia="宋体" w:cs="Arial"/>
          <w:bCs/>
          <w:kern w:val="0"/>
        </w:rPr>
        <w:t>注意实施例</w:t>
      </w:r>
      <w:r>
        <w:rPr>
          <w:rFonts w:ascii="Arial" w:hAnsi="Arial" w:eastAsia="宋体" w:cs="Arial"/>
          <w:bCs/>
          <w:kern w:val="0"/>
        </w:rPr>
        <w:t>a-c</w:t>
      </w:r>
      <w:r>
        <w:rPr>
          <w:rFonts w:hint="eastAsia" w:ascii="Arial" w:hAnsi="Arial" w:eastAsia="宋体" w:cs="Arial"/>
          <w:bCs/>
          <w:kern w:val="0"/>
        </w:rPr>
        <w:t>同样适用于表面</w:t>
      </w:r>
      <w:r>
        <w:rPr>
          <w:rFonts w:ascii="Arial" w:hAnsi="Arial" w:eastAsia="宋体" w:cs="Arial"/>
          <w:bCs/>
          <w:kern w:val="0"/>
        </w:rPr>
        <w:t>PRK</w:t>
      </w:r>
      <w:r>
        <w:rPr>
          <w:rFonts w:hint="eastAsia" w:ascii="Arial" w:hAnsi="Arial" w:eastAsia="宋体" w:cs="Arial"/>
          <w:bCs/>
          <w:kern w:val="0"/>
        </w:rPr>
        <w:t>和基质内</w:t>
      </w:r>
      <w:r>
        <w:rPr>
          <w:rFonts w:ascii="Arial" w:hAnsi="Arial" w:eastAsia="宋体" w:cs="Arial"/>
          <w:bCs/>
          <w:kern w:val="0"/>
        </w:rPr>
        <w:t>PRK</w:t>
      </w:r>
      <w:r>
        <w:rPr>
          <w:rFonts w:hint="eastAsia" w:ascii="Arial" w:hAnsi="Arial" w:eastAsia="宋体" w:cs="Arial"/>
          <w:bCs/>
          <w:kern w:val="0"/>
        </w:rPr>
        <w:t>（</w:t>
      </w:r>
      <w:r>
        <w:rPr>
          <w:rFonts w:ascii="Arial" w:hAnsi="Arial" w:eastAsia="宋体" w:cs="Arial"/>
          <w:bCs/>
          <w:kern w:val="0"/>
        </w:rPr>
        <w:t>LASIK</w:t>
      </w:r>
      <w:r>
        <w:rPr>
          <w:rFonts w:hint="eastAsia" w:ascii="Arial" w:hAnsi="Arial" w:eastAsia="宋体" w:cs="Arial"/>
          <w:bCs/>
          <w:kern w:val="0"/>
        </w:rPr>
        <w:t>）。</w:t>
      </w:r>
    </w:p>
    <w:p w14:paraId="0630CCE3">
      <w:pPr>
        <w:pStyle w:val="18"/>
        <w:numPr>
          <w:ilvl w:val="0"/>
          <w:numId w:val="33"/>
        </w:numPr>
        <w:snapToGrid w:val="0"/>
        <w:spacing w:after="50" w:line="360" w:lineRule="auto"/>
        <w:ind w:left="0" w:firstLine="0" w:firstLineChars="0"/>
        <w:rPr>
          <w:rFonts w:ascii="Arial" w:hAnsi="Arial" w:eastAsia="宋体" w:cs="Arial"/>
          <w:bCs/>
          <w:kern w:val="0"/>
        </w:rPr>
      </w:pPr>
      <w:r>
        <w:rPr>
          <w:rFonts w:hint="eastAsia" w:ascii="Arial" w:hAnsi="Arial" w:eastAsia="宋体" w:cs="Arial"/>
          <w:bCs/>
          <w:kern w:val="0"/>
        </w:rPr>
        <w:t>光学切除区小于</w:t>
      </w:r>
      <w:r>
        <w:rPr>
          <w:rFonts w:ascii="Arial" w:hAnsi="Arial" w:eastAsia="宋体" w:cs="Arial"/>
          <w:bCs/>
          <w:kern w:val="0"/>
        </w:rPr>
        <w:t>6mm</w:t>
      </w:r>
      <w:r>
        <w:rPr>
          <w:rFonts w:hint="eastAsia" w:ascii="Arial" w:hAnsi="Arial" w:eastAsia="宋体" w:cs="Arial"/>
          <w:bCs/>
          <w:kern w:val="0"/>
        </w:rPr>
        <w:t>。</w:t>
      </w:r>
    </w:p>
    <w:p w14:paraId="539B89B9">
      <w:pPr>
        <w:pStyle w:val="18"/>
        <w:numPr>
          <w:ilvl w:val="0"/>
          <w:numId w:val="33"/>
        </w:numPr>
        <w:snapToGrid w:val="0"/>
        <w:spacing w:after="50" w:line="360" w:lineRule="auto"/>
        <w:ind w:left="0" w:firstLine="0" w:firstLineChars="0"/>
        <w:rPr>
          <w:rFonts w:ascii="Arial" w:hAnsi="Arial" w:eastAsia="宋体" w:cs="Arial"/>
          <w:bCs/>
          <w:kern w:val="0"/>
        </w:rPr>
      </w:pPr>
      <w:r>
        <w:rPr>
          <w:rFonts w:hint="eastAsia" w:ascii="Arial" w:hAnsi="Arial" w:eastAsia="宋体" w:cs="Arial"/>
          <w:bCs/>
          <w:kern w:val="0"/>
        </w:rPr>
        <w:t>多区域切除，其中过渡区在</w:t>
      </w:r>
      <w:r>
        <w:rPr>
          <w:rFonts w:ascii="Arial" w:hAnsi="Arial" w:eastAsia="宋体" w:cs="Arial"/>
          <w:bCs/>
          <w:kern w:val="0"/>
        </w:rPr>
        <w:t>6mm</w:t>
      </w:r>
      <w:r>
        <w:rPr>
          <w:rFonts w:hint="eastAsia" w:ascii="Arial" w:hAnsi="Arial" w:eastAsia="宋体" w:cs="Arial"/>
          <w:bCs/>
          <w:kern w:val="0"/>
        </w:rPr>
        <w:t>内</w:t>
      </w:r>
    </w:p>
    <w:p w14:paraId="10673ACC">
      <w:pPr>
        <w:pStyle w:val="18"/>
        <w:numPr>
          <w:ilvl w:val="0"/>
          <w:numId w:val="33"/>
        </w:numPr>
        <w:snapToGrid w:val="0"/>
        <w:spacing w:after="50" w:line="360" w:lineRule="auto"/>
        <w:ind w:left="0" w:firstLine="0" w:firstLineChars="0"/>
        <w:rPr>
          <w:rFonts w:ascii="Arial" w:hAnsi="Arial" w:eastAsia="宋体" w:cs="Arial"/>
          <w:bCs/>
          <w:kern w:val="0"/>
        </w:rPr>
      </w:pPr>
      <w:r>
        <w:rPr>
          <w:rFonts w:hint="eastAsia" w:ascii="Arial" w:hAnsi="Arial" w:eastAsia="宋体" w:cs="Arial"/>
          <w:bCs/>
          <w:kern w:val="0"/>
        </w:rPr>
        <w:t>散光矫正导致非球面角膜形状</w:t>
      </w:r>
    </w:p>
    <w:p w14:paraId="62D966AC">
      <w:pPr>
        <w:snapToGrid w:val="0"/>
        <w:spacing w:after="50" w:line="360" w:lineRule="auto"/>
        <w:rPr>
          <w:rFonts w:ascii="Arial" w:hAnsi="Arial" w:eastAsia="宋体" w:cs="Arial"/>
          <w:bCs/>
          <w:kern w:val="0"/>
        </w:rPr>
      </w:pPr>
      <w:r>
        <w:rPr>
          <w:rFonts w:hint="eastAsia" w:ascii="Arial" w:hAnsi="Arial" w:eastAsia="宋体" w:cs="Arial"/>
          <w:bCs/>
          <w:kern w:val="0"/>
        </w:rPr>
        <w:t>可能的预防措施的例子如下：</w:t>
      </w:r>
    </w:p>
    <w:p w14:paraId="722940CE">
      <w:pPr>
        <w:snapToGrid w:val="0"/>
        <w:spacing w:after="50" w:line="360" w:lineRule="auto"/>
        <w:ind w:left="1005" w:leftChars="14" w:hanging="976" w:hangingChars="463"/>
        <w:rPr>
          <w:rFonts w:ascii="Arial" w:hAnsi="Arial" w:eastAsia="宋体" w:cs="Arial"/>
          <w:bCs/>
          <w:kern w:val="0"/>
        </w:rPr>
      </w:pPr>
      <w:r>
        <w:rPr>
          <w:rFonts w:hint="eastAsia" w:ascii="Arial" w:hAnsi="Arial" w:eastAsia="宋体" w:cs="Arial"/>
          <w:b/>
          <w:bCs/>
          <w:kern w:val="0"/>
        </w:rPr>
        <w:t>注意事项</w:t>
      </w:r>
      <w:r>
        <w:rPr>
          <w:rFonts w:hint="eastAsia" w:ascii="Arial" w:hAnsi="Arial" w:eastAsia="宋体" w:cs="Arial"/>
          <w:bCs/>
          <w:kern w:val="0"/>
        </w:rPr>
        <w:t>：虽然</w:t>
      </w:r>
      <w:r>
        <w:rPr>
          <w:rFonts w:ascii="Arial" w:hAnsi="Arial" w:eastAsia="宋体" w:cs="Arial"/>
          <w:bCs/>
          <w:kern w:val="0"/>
        </w:rPr>
        <w:t>PRK</w:t>
      </w:r>
      <w:r>
        <w:rPr>
          <w:rFonts w:hint="eastAsia" w:ascii="Arial" w:hAnsi="Arial" w:eastAsia="宋体" w:cs="Arial"/>
          <w:bCs/>
          <w:kern w:val="0"/>
        </w:rPr>
        <w:t>（</w:t>
      </w:r>
      <w:r>
        <w:rPr>
          <w:rFonts w:ascii="Arial" w:hAnsi="Arial" w:eastAsia="宋体" w:cs="Arial"/>
          <w:bCs/>
          <w:kern w:val="0"/>
        </w:rPr>
        <w:t>LASIK</w:t>
      </w:r>
      <w:r>
        <w:rPr>
          <w:rFonts w:hint="eastAsia" w:ascii="Arial" w:hAnsi="Arial" w:eastAsia="宋体" w:cs="Arial"/>
          <w:bCs/>
          <w:kern w:val="0"/>
        </w:rPr>
        <w:t>）对于在不良照明条件下的视觉性能的影响尚未确定，但是在诸如昏暗的光，雨，雪，雾或夜晚眩光的条件下，可能会发现看起来比通常更困难。</w:t>
      </w:r>
    </w:p>
    <w:p w14:paraId="2FDD43C0">
      <w:pPr>
        <w:snapToGrid w:val="0"/>
        <w:spacing w:after="50" w:line="360" w:lineRule="auto"/>
        <w:rPr>
          <w:rFonts w:ascii="Arial" w:hAnsi="Arial" w:eastAsia="宋体" w:cs="Arial"/>
          <w:bCs/>
          <w:kern w:val="0"/>
        </w:rPr>
      </w:pPr>
      <w:r>
        <w:rPr>
          <w:rFonts w:hint="eastAsia" w:ascii="Arial" w:hAnsi="Arial" w:eastAsia="宋体" w:cs="Arial"/>
          <w:bCs/>
          <w:kern w:val="0"/>
        </w:rPr>
        <w:t>申办方可以试图证明排除预防标签是合理的，在有和没有眩光的中间照明条件下进行对比敏感度子研究。对比敏感度测试的背景亮度应该降低到小于</w:t>
      </w:r>
      <w:r>
        <w:rPr>
          <w:rFonts w:ascii="Arial" w:hAnsi="Arial" w:eastAsia="宋体" w:cs="Arial"/>
          <w:bCs/>
          <w:kern w:val="0"/>
        </w:rPr>
        <w:t>3cd / m 2</w:t>
      </w:r>
      <w:r>
        <w:rPr>
          <w:rFonts w:hint="eastAsia" w:ascii="Arial" w:hAnsi="Arial" w:eastAsia="宋体" w:cs="Arial"/>
          <w:bCs/>
          <w:kern w:val="0"/>
        </w:rPr>
        <w:t>（优选约</w:t>
      </w:r>
      <w:r>
        <w:rPr>
          <w:rFonts w:ascii="Arial" w:hAnsi="Arial" w:eastAsia="宋体" w:cs="Arial"/>
          <w:bCs/>
          <w:kern w:val="0"/>
        </w:rPr>
        <w:t>0.2cd/m 2</w:t>
      </w:r>
      <w:r>
        <w:rPr>
          <w:rFonts w:hint="eastAsia" w:ascii="Arial" w:hAnsi="Arial" w:eastAsia="宋体" w:cs="Arial"/>
          <w:bCs/>
          <w:kern w:val="0"/>
        </w:rPr>
        <w:t>），并且环境照度应该更低。</w:t>
      </w:r>
    </w:p>
    <w:p w14:paraId="1206A964">
      <w:pPr>
        <w:widowControl/>
        <w:jc w:val="left"/>
        <w:rPr>
          <w:rFonts w:ascii="Arial" w:hAnsi="Arial" w:eastAsia="宋体" w:cs="Arial"/>
          <w:bCs/>
          <w:kern w:val="0"/>
        </w:rPr>
      </w:pPr>
      <w:r>
        <w:rPr>
          <w:rFonts w:ascii="Arial" w:hAnsi="Arial" w:eastAsia="宋体" w:cs="Arial"/>
          <w:bCs/>
          <w:kern w:val="0"/>
        </w:rPr>
        <w:br w:type="page"/>
      </w:r>
    </w:p>
    <w:p w14:paraId="4BF3F6C2">
      <w:pPr>
        <w:widowControl/>
        <w:jc w:val="left"/>
        <w:rPr>
          <w:rFonts w:ascii="Arial" w:hAnsi="Arial" w:eastAsia="宋体" w:cs="Arial"/>
          <w:bCs/>
          <w:kern w:val="0"/>
        </w:rPr>
      </w:pPr>
    </w:p>
    <w:p w14:paraId="79654184">
      <w:pPr>
        <w:snapToGrid w:val="0"/>
        <w:spacing w:after="50" w:line="360" w:lineRule="auto"/>
        <w:rPr>
          <w:rFonts w:ascii="Arial" w:hAnsi="Arial" w:eastAsia="宋体" w:cs="Arial"/>
          <w:bCs/>
          <w:kern w:val="0"/>
        </w:rPr>
      </w:pPr>
      <w:r>
        <w:rPr>
          <w:rFonts w:hint="eastAsia" w:ascii="Arial" w:hAnsi="Arial" w:eastAsia="宋体" w:cs="Arial"/>
          <w:bCs/>
          <w:kern w:val="0"/>
        </w:rPr>
        <w:t>测试目标可能是光栅对比灵敏度图或低对比度字母灵敏度图。为了限制瞳孔收缩并且在测试图上保持均匀的眩光条件，眩光源应该是围绕图表对称地定位的两个或更多个小斑点的阵列。眩光源应足够亮，以显着降低具有正常角膜和正常视力的年轻成人受试者的对比敏感度。如果不能实现上述条件，则如果受试者的瞳孔扩张并且满足上述亮度标准，则</w:t>
      </w:r>
      <w:r>
        <w:rPr>
          <w:rFonts w:ascii="Arial" w:hAnsi="Arial" w:eastAsia="宋体" w:cs="Arial"/>
          <w:bCs/>
          <w:kern w:val="0"/>
        </w:rPr>
        <w:t>BAT</w:t>
      </w:r>
      <w:r>
        <w:rPr>
          <w:rFonts w:hint="eastAsia" w:ascii="Arial" w:hAnsi="Arial" w:eastAsia="宋体" w:cs="Arial"/>
          <w:bCs/>
          <w:kern w:val="0"/>
        </w:rPr>
        <w:t>可以用作替代性眩光源。对照数据可以从预先</w:t>
      </w:r>
      <w:r>
        <w:rPr>
          <w:rFonts w:ascii="Arial" w:hAnsi="Arial" w:eastAsia="宋体" w:cs="Arial"/>
          <w:bCs/>
          <w:kern w:val="0"/>
        </w:rPr>
        <w:t>PRK</w:t>
      </w:r>
      <w:r>
        <w:rPr>
          <w:rFonts w:hint="eastAsia" w:ascii="Arial" w:hAnsi="Arial" w:eastAsia="宋体" w:cs="Arial"/>
          <w:bCs/>
          <w:kern w:val="0"/>
        </w:rPr>
        <w:t>受试者获得，或者（优选）从具有与术后测试受试者相同的年龄，性别和屈光不正分布的正常受试者的样品中获得。受试者群体应当足够大以检测具有</w:t>
      </w:r>
      <w:r>
        <w:rPr>
          <w:rFonts w:ascii="Arial" w:hAnsi="Arial" w:eastAsia="宋体" w:cs="Arial"/>
          <w:bCs/>
          <w:kern w:val="0"/>
        </w:rPr>
        <w:t>80</w:t>
      </w:r>
      <w:r>
        <w:rPr>
          <w:rFonts w:hint="eastAsia" w:ascii="Arial" w:hAnsi="Arial" w:eastAsia="宋体" w:cs="Arial"/>
          <w:bCs/>
          <w:kern w:val="0"/>
        </w:rPr>
        <w:t>％功率的</w:t>
      </w:r>
      <w:r>
        <w:rPr>
          <w:rFonts w:ascii="Arial" w:hAnsi="Arial" w:eastAsia="宋体" w:cs="Arial"/>
          <w:bCs/>
          <w:kern w:val="0"/>
        </w:rPr>
        <w:t>0.1</w:t>
      </w:r>
      <w:r>
        <w:rPr>
          <w:rFonts w:hint="eastAsia" w:ascii="Arial" w:hAnsi="Arial" w:eastAsia="宋体" w:cs="Arial"/>
          <w:bCs/>
          <w:kern w:val="0"/>
        </w:rPr>
        <w:t>对数对比灵敏度差异（例如，如果标准偏差为</w:t>
      </w:r>
      <w:r>
        <w:rPr>
          <w:rFonts w:ascii="Arial" w:hAnsi="Arial" w:eastAsia="宋体" w:cs="Arial"/>
          <w:bCs/>
          <w:kern w:val="0"/>
        </w:rPr>
        <w:t>0.3log</w:t>
      </w:r>
      <w:r>
        <w:rPr>
          <w:rFonts w:hint="eastAsia" w:ascii="Arial" w:hAnsi="Arial" w:eastAsia="宋体" w:cs="Arial"/>
          <w:bCs/>
          <w:kern w:val="0"/>
        </w:rPr>
        <w:t>单位，将需要约</w:t>
      </w:r>
      <w:r>
        <w:rPr>
          <w:rFonts w:ascii="Arial" w:hAnsi="Arial" w:eastAsia="宋体" w:cs="Arial"/>
          <w:bCs/>
          <w:kern w:val="0"/>
        </w:rPr>
        <w:t>80</w:t>
      </w:r>
      <w:r>
        <w:rPr>
          <w:rFonts w:hint="eastAsia" w:ascii="Arial" w:hAnsi="Arial" w:eastAsia="宋体" w:cs="Arial"/>
          <w:bCs/>
          <w:kern w:val="0"/>
        </w:rPr>
        <w:t>个受试者来满足该目标）。术后测试应当在视觉功能稳定后进行。</w:t>
      </w:r>
    </w:p>
    <w:p w14:paraId="7EDA4EB1">
      <w:pPr>
        <w:snapToGrid w:val="0"/>
        <w:spacing w:after="50" w:line="360" w:lineRule="auto"/>
        <w:ind w:left="1020" w:hanging="1020" w:hangingChars="484"/>
        <w:rPr>
          <w:rFonts w:ascii="Arial" w:hAnsi="Arial" w:eastAsia="宋体" w:cs="Arial"/>
          <w:bCs/>
          <w:kern w:val="0"/>
        </w:rPr>
      </w:pPr>
      <w:r>
        <w:rPr>
          <w:rFonts w:hint="eastAsia" w:ascii="Arial" w:hAnsi="Arial" w:eastAsia="宋体" w:cs="Arial"/>
          <w:b/>
          <w:bCs/>
          <w:kern w:val="0"/>
        </w:rPr>
        <w:t>重要提示：</w:t>
      </w:r>
      <w:r>
        <w:rPr>
          <w:rFonts w:hint="eastAsia" w:ascii="Arial" w:hAnsi="Arial" w:eastAsia="宋体" w:cs="Arial"/>
          <w:bCs/>
          <w:kern w:val="0"/>
        </w:rPr>
        <w:t>在</w:t>
      </w:r>
      <w:r>
        <w:rPr>
          <w:rFonts w:ascii="Arial" w:hAnsi="Arial" w:eastAsia="宋体" w:cs="Arial"/>
          <w:bCs/>
          <w:kern w:val="0"/>
        </w:rPr>
        <w:t>PMA</w:t>
      </w:r>
      <w:r>
        <w:rPr>
          <w:rFonts w:hint="eastAsia" w:ascii="Arial" w:hAnsi="Arial" w:eastAsia="宋体" w:cs="Arial"/>
          <w:bCs/>
          <w:kern w:val="0"/>
        </w:rPr>
        <w:t>批准（或批准后）前，</w:t>
      </w:r>
      <w:r>
        <w:rPr>
          <w:rFonts w:ascii="Arial" w:hAnsi="Arial" w:eastAsia="宋体" w:cs="Arial"/>
          <w:bCs/>
          <w:kern w:val="0"/>
        </w:rPr>
        <w:t>FDA</w:t>
      </w:r>
      <w:r>
        <w:rPr>
          <w:rFonts w:hint="eastAsia" w:ascii="Arial" w:hAnsi="Arial" w:eastAsia="宋体" w:cs="Arial"/>
          <w:bCs/>
          <w:kern w:val="0"/>
        </w:rPr>
        <w:t>可以要求任何激光屈光手术器械和指示（如果数据来自</w:t>
      </w:r>
      <w:r>
        <w:rPr>
          <w:rFonts w:ascii="Arial" w:hAnsi="Arial" w:eastAsia="宋体" w:cs="Arial"/>
          <w:bCs/>
          <w:kern w:val="0"/>
        </w:rPr>
        <w:t>IDE</w:t>
      </w:r>
      <w:r>
        <w:rPr>
          <w:rFonts w:hint="eastAsia" w:ascii="Arial" w:hAnsi="Arial" w:eastAsia="宋体" w:cs="Arial"/>
          <w:bCs/>
          <w:kern w:val="0"/>
        </w:rPr>
        <w:t>研究或其他科学研究）的对比敏感度和眩光研究，以表明视觉功能可能被充分削弱以危及受试者的安全。</w:t>
      </w:r>
    </w:p>
    <w:p w14:paraId="4BE79CC0">
      <w:pPr>
        <w:pStyle w:val="18"/>
        <w:pageBreakBefore/>
        <w:snapToGrid w:val="0"/>
        <w:spacing w:line="360" w:lineRule="auto"/>
        <w:ind w:firstLine="0" w:firstLineChars="0"/>
        <w:jc w:val="center"/>
        <w:outlineLvl w:val="0"/>
        <w:rPr>
          <w:rFonts w:ascii="Arial" w:hAnsi="Arial" w:eastAsia="宋体" w:cs="Arial"/>
          <w:b/>
          <w:bCs/>
          <w:kern w:val="0"/>
          <w:sz w:val="24"/>
          <w:szCs w:val="24"/>
        </w:rPr>
      </w:pPr>
      <w:bookmarkStart w:id="86" w:name="_Toc478047116"/>
      <w:r>
        <w:rPr>
          <w:rFonts w:hint="eastAsia" w:ascii="Arial" w:hAnsi="Arial" w:eastAsia="宋体" w:cs="Arial"/>
          <w:b/>
          <w:bCs/>
          <w:kern w:val="0"/>
          <w:sz w:val="24"/>
          <w:szCs w:val="24"/>
        </w:rPr>
        <w:t>附录</w:t>
      </w:r>
      <w:r>
        <w:rPr>
          <w:rFonts w:ascii="Arial" w:hAnsi="Arial" w:eastAsia="宋体" w:cs="Arial"/>
          <w:b/>
          <w:bCs/>
          <w:kern w:val="0"/>
          <w:sz w:val="24"/>
          <w:szCs w:val="24"/>
        </w:rPr>
        <w:t>C</w:t>
      </w:r>
      <w:r>
        <w:rPr>
          <w:rFonts w:hint="eastAsia" w:ascii="Arial" w:hAnsi="Arial" w:eastAsia="宋体" w:cs="Arial"/>
          <w:b/>
          <w:bCs/>
          <w:kern w:val="0"/>
          <w:sz w:val="24"/>
          <w:szCs w:val="24"/>
        </w:rPr>
        <w:t>：置信区间表</w:t>
      </w:r>
      <w:bookmarkEnd w:id="86"/>
    </w:p>
    <w:p w14:paraId="611186F1">
      <w:pPr>
        <w:snapToGrid w:val="0"/>
        <w:spacing w:line="360" w:lineRule="auto"/>
        <w:ind w:firstLine="27" w:firstLineChars="13"/>
        <w:rPr>
          <w:rFonts w:ascii="Arial" w:hAnsi="Arial" w:eastAsia="宋体" w:cs="Arial"/>
          <w:bCs/>
          <w:kern w:val="0"/>
        </w:rPr>
      </w:pPr>
      <w:r>
        <w:rPr>
          <w:rFonts w:hint="eastAsia" w:ascii="Arial" w:hAnsi="Arial" w:eastAsia="宋体" w:cs="Arial"/>
          <w:bCs/>
          <w:kern w:val="0"/>
        </w:rPr>
        <w:t>对于给定样本量（受试者数量）和观察到的并发症病例数，双侧和单侧</w:t>
      </w:r>
      <w:r>
        <w:rPr>
          <w:rFonts w:ascii="Arial" w:hAnsi="Arial" w:eastAsia="宋体" w:cs="Arial"/>
          <w:bCs/>
          <w:kern w:val="0"/>
        </w:rPr>
        <w:t>95</w:t>
      </w:r>
      <w:r>
        <w:rPr>
          <w:rFonts w:hint="eastAsia" w:ascii="Arial" w:hAnsi="Arial" w:eastAsia="宋体" w:cs="Arial"/>
          <w:bCs/>
          <w:kern w:val="0"/>
        </w:rPr>
        <w:t>％置信上限（最坏情况）为并发症百分比</w:t>
      </w:r>
      <w:r>
        <w:rPr>
          <w:rFonts w:ascii="Arial" w:hAnsi="Arial" w:eastAsia="宋体" w:cs="Arial"/>
          <w:bCs/>
          <w:kern w:val="0"/>
        </w:rPr>
        <w:t>*</w:t>
      </w:r>
      <w:r>
        <w:rPr>
          <w:rFonts w:hint="eastAsia" w:ascii="Arial" w:hAnsi="Arial" w:eastAsia="宋体" w:cs="Arial"/>
          <w:bCs/>
          <w:kern w:val="0"/>
        </w:rPr>
        <w:t>。（</w:t>
      </w:r>
      <w:r>
        <w:rPr>
          <w:rFonts w:ascii="Arial" w:hAnsi="Arial" w:eastAsia="宋体" w:cs="Arial"/>
          <w:bCs/>
          <w:kern w:val="0"/>
        </w:rPr>
        <w:t>*</w:t>
      </w:r>
      <w:r>
        <w:rPr>
          <w:rFonts w:hint="eastAsia" w:ascii="Arial" w:hAnsi="Arial" w:eastAsia="宋体" w:cs="Arial"/>
          <w:bCs/>
          <w:kern w:val="0"/>
        </w:rPr>
        <w:t>由二项式概率分布计算）</w:t>
      </w:r>
    </w:p>
    <w:tbl>
      <w:tblPr>
        <w:tblStyle w:val="15"/>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52"/>
        <w:gridCol w:w="1385"/>
        <w:gridCol w:w="2257"/>
        <w:gridCol w:w="1665"/>
        <w:gridCol w:w="1665"/>
      </w:tblGrid>
      <w:tr w14:paraId="79AF9DA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Borders>
              <w:top w:val="single" w:color="auto" w:sz="4" w:space="0"/>
              <w:bottom w:val="single" w:color="auto" w:sz="4" w:space="0"/>
            </w:tcBorders>
          </w:tcPr>
          <w:p w14:paraId="2EF635BB">
            <w:pPr>
              <w:snapToGrid w:val="0"/>
              <w:spacing w:line="240" w:lineRule="exact"/>
              <w:rPr>
                <w:rFonts w:ascii="Arial" w:hAnsi="Arial" w:eastAsia="宋体" w:cs="Arial"/>
                <w:sz w:val="18"/>
                <w:szCs w:val="18"/>
              </w:rPr>
            </w:pPr>
            <w:r>
              <w:rPr>
                <w:rFonts w:hint="eastAsia" w:ascii="Arial" w:hAnsi="Arial" w:eastAsia="宋体" w:cs="Arial"/>
                <w:sz w:val="18"/>
                <w:szCs w:val="18"/>
              </w:rPr>
              <w:t>样本量</w:t>
            </w:r>
            <w:r>
              <w:rPr>
                <w:rFonts w:ascii="Arial" w:hAnsi="Arial" w:eastAsia="宋体" w:cs="Arial"/>
                <w:sz w:val="18"/>
                <w:szCs w:val="18"/>
              </w:rPr>
              <w:br w:type="textWrapping"/>
            </w:r>
            <w:r>
              <w:rPr>
                <w:rFonts w:hint="eastAsia" w:ascii="Arial" w:hAnsi="Arial" w:eastAsia="宋体" w:cs="Arial"/>
                <w:sz w:val="18"/>
                <w:szCs w:val="18"/>
              </w:rPr>
              <w:t>（</w:t>
            </w:r>
            <w:r>
              <w:rPr>
                <w:rFonts w:ascii="Arial" w:hAnsi="Arial" w:eastAsia="宋体" w:cs="Arial"/>
                <w:sz w:val="18"/>
                <w:szCs w:val="18"/>
              </w:rPr>
              <w:t>n</w:t>
            </w:r>
            <w:r>
              <w:rPr>
                <w:rFonts w:hint="eastAsia" w:ascii="Arial" w:hAnsi="Arial" w:eastAsia="宋体" w:cs="Arial"/>
                <w:sz w:val="18"/>
                <w:szCs w:val="18"/>
              </w:rPr>
              <w:t>）</w:t>
            </w:r>
          </w:p>
        </w:tc>
        <w:tc>
          <w:tcPr>
            <w:tcW w:w="1385" w:type="dxa"/>
            <w:tcBorders>
              <w:top w:val="single" w:color="auto" w:sz="4" w:space="0"/>
              <w:bottom w:val="single" w:color="auto" w:sz="4" w:space="0"/>
            </w:tcBorders>
          </w:tcPr>
          <w:p w14:paraId="5C162E73">
            <w:pPr>
              <w:snapToGrid w:val="0"/>
              <w:spacing w:line="240" w:lineRule="exact"/>
              <w:rPr>
                <w:rFonts w:ascii="Arial" w:hAnsi="Arial" w:eastAsia="宋体" w:cs="Arial"/>
                <w:sz w:val="18"/>
                <w:szCs w:val="18"/>
              </w:rPr>
            </w:pPr>
            <w:r>
              <w:rPr>
                <w:rFonts w:hint="eastAsia" w:ascii="Arial" w:hAnsi="Arial" w:eastAsia="宋体" w:cs="Arial"/>
                <w:sz w:val="18"/>
                <w:szCs w:val="18"/>
              </w:rPr>
              <w:t>病例数</w:t>
            </w:r>
            <w:r>
              <w:rPr>
                <w:rFonts w:ascii="Arial" w:hAnsi="Arial" w:eastAsia="宋体" w:cs="Arial"/>
                <w:sz w:val="18"/>
                <w:szCs w:val="18"/>
              </w:rPr>
              <w:br w:type="textWrapping"/>
            </w:r>
            <w:r>
              <w:rPr>
                <w:rFonts w:hint="eastAsia" w:ascii="Arial" w:hAnsi="Arial" w:eastAsia="宋体" w:cs="Arial"/>
                <w:sz w:val="18"/>
                <w:szCs w:val="18"/>
              </w:rPr>
              <w:t>（</w:t>
            </w:r>
            <w:r>
              <w:rPr>
                <w:rFonts w:ascii="Arial" w:hAnsi="Arial" w:eastAsia="宋体" w:cs="Arial"/>
                <w:sz w:val="18"/>
                <w:szCs w:val="18"/>
              </w:rPr>
              <w:t>x</w:t>
            </w:r>
            <w:r>
              <w:rPr>
                <w:rFonts w:hint="eastAsia" w:ascii="Arial" w:hAnsi="Arial" w:eastAsia="宋体" w:cs="Arial"/>
                <w:sz w:val="18"/>
                <w:szCs w:val="18"/>
              </w:rPr>
              <w:t>）</w:t>
            </w:r>
          </w:p>
        </w:tc>
        <w:tc>
          <w:tcPr>
            <w:tcW w:w="2257" w:type="dxa"/>
            <w:tcBorders>
              <w:top w:val="single" w:color="auto" w:sz="4" w:space="0"/>
              <w:bottom w:val="single" w:color="auto" w:sz="4" w:space="0"/>
            </w:tcBorders>
          </w:tcPr>
          <w:p w14:paraId="66A8F9F6">
            <w:pPr>
              <w:snapToGrid w:val="0"/>
              <w:spacing w:line="240" w:lineRule="exact"/>
              <w:rPr>
                <w:rFonts w:ascii="Arial" w:hAnsi="Arial" w:eastAsia="宋体" w:cs="Arial"/>
                <w:sz w:val="18"/>
                <w:szCs w:val="18"/>
              </w:rPr>
            </w:pPr>
            <w:r>
              <w:rPr>
                <w:rFonts w:hint="eastAsia" w:ascii="Arial" w:hAnsi="Arial" w:eastAsia="宋体" w:cs="Arial"/>
                <w:sz w:val="18"/>
                <w:szCs w:val="18"/>
              </w:rPr>
              <w:t>观察的并发症</w:t>
            </w:r>
            <w:r>
              <w:rPr>
                <w:rFonts w:ascii="Arial" w:hAnsi="Arial" w:eastAsia="宋体" w:cs="Arial"/>
                <w:sz w:val="18"/>
                <w:szCs w:val="18"/>
              </w:rPr>
              <w:br w:type="textWrapping"/>
            </w:r>
            <w:r>
              <w:rPr>
                <w:rFonts w:hint="eastAsia" w:ascii="Arial" w:hAnsi="Arial" w:eastAsia="宋体" w:cs="Arial"/>
                <w:sz w:val="18"/>
                <w:szCs w:val="18"/>
              </w:rPr>
              <w:t>百分比（</w:t>
            </w:r>
            <w:r>
              <w:rPr>
                <w:rFonts w:ascii="Arial" w:hAnsi="Arial" w:eastAsia="宋体" w:cs="Arial"/>
                <w:sz w:val="18"/>
                <w:szCs w:val="18"/>
              </w:rPr>
              <w:t>%</w:t>
            </w:r>
            <w:r>
              <w:rPr>
                <w:rFonts w:hint="eastAsia" w:ascii="Arial" w:hAnsi="Arial" w:eastAsia="宋体" w:cs="Arial"/>
                <w:sz w:val="18"/>
                <w:szCs w:val="18"/>
              </w:rPr>
              <w:t>）</w:t>
            </w:r>
          </w:p>
        </w:tc>
        <w:tc>
          <w:tcPr>
            <w:tcW w:w="1665" w:type="dxa"/>
            <w:tcBorders>
              <w:top w:val="single" w:color="auto" w:sz="4" w:space="0"/>
              <w:bottom w:val="single" w:color="auto" w:sz="4" w:space="0"/>
            </w:tcBorders>
          </w:tcPr>
          <w:p w14:paraId="2938F8FE">
            <w:pPr>
              <w:snapToGrid w:val="0"/>
              <w:spacing w:line="240" w:lineRule="exact"/>
              <w:rPr>
                <w:rFonts w:ascii="Arial" w:hAnsi="Arial" w:eastAsia="宋体" w:cs="Arial"/>
                <w:sz w:val="18"/>
                <w:szCs w:val="18"/>
              </w:rPr>
            </w:pPr>
            <w:r>
              <w:rPr>
                <w:rFonts w:hint="eastAsia" w:ascii="Arial" w:hAnsi="Arial" w:eastAsia="宋体" w:cs="Arial"/>
                <w:sz w:val="18"/>
                <w:szCs w:val="18"/>
              </w:rPr>
              <w:t>双侧</w:t>
            </w:r>
            <w:r>
              <w:rPr>
                <w:rFonts w:ascii="Arial" w:hAnsi="Arial" w:eastAsia="宋体" w:cs="Arial"/>
                <w:sz w:val="18"/>
                <w:szCs w:val="18"/>
              </w:rPr>
              <w:t>95%</w:t>
            </w:r>
            <w:r>
              <w:rPr>
                <w:rFonts w:ascii="Arial" w:hAnsi="Arial" w:eastAsia="宋体" w:cs="Arial"/>
                <w:sz w:val="18"/>
                <w:szCs w:val="18"/>
              </w:rPr>
              <w:br w:type="textWrapping"/>
            </w:r>
            <w:r>
              <w:rPr>
                <w:rFonts w:hint="eastAsia" w:ascii="Arial" w:hAnsi="Arial" w:eastAsia="宋体" w:cs="Arial"/>
                <w:sz w:val="18"/>
                <w:szCs w:val="18"/>
              </w:rPr>
              <w:t>置信区间（</w:t>
            </w:r>
            <w:r>
              <w:rPr>
                <w:rFonts w:ascii="Arial" w:hAnsi="Arial" w:eastAsia="宋体" w:cs="Arial"/>
                <w:sz w:val="18"/>
                <w:szCs w:val="18"/>
              </w:rPr>
              <w:t>%</w:t>
            </w:r>
            <w:r>
              <w:rPr>
                <w:rFonts w:hint="eastAsia" w:ascii="Arial" w:hAnsi="Arial" w:eastAsia="宋体" w:cs="Arial"/>
                <w:sz w:val="18"/>
                <w:szCs w:val="18"/>
              </w:rPr>
              <w:t>）</w:t>
            </w:r>
          </w:p>
        </w:tc>
        <w:tc>
          <w:tcPr>
            <w:tcW w:w="1665" w:type="dxa"/>
            <w:tcBorders>
              <w:top w:val="single" w:color="auto" w:sz="4" w:space="0"/>
              <w:bottom w:val="single" w:color="auto" w:sz="4" w:space="0"/>
            </w:tcBorders>
          </w:tcPr>
          <w:p w14:paraId="63EF61C2">
            <w:pPr>
              <w:snapToGrid w:val="0"/>
              <w:spacing w:line="240" w:lineRule="exact"/>
              <w:rPr>
                <w:rFonts w:ascii="Arial" w:hAnsi="Arial" w:eastAsia="宋体" w:cs="Arial"/>
                <w:sz w:val="18"/>
                <w:szCs w:val="18"/>
              </w:rPr>
            </w:pPr>
            <w:r>
              <w:rPr>
                <w:rFonts w:hint="eastAsia" w:ascii="Arial" w:hAnsi="Arial" w:eastAsia="宋体" w:cs="Arial"/>
                <w:sz w:val="18"/>
                <w:szCs w:val="18"/>
              </w:rPr>
              <w:t>单侧</w:t>
            </w:r>
            <w:r>
              <w:rPr>
                <w:rFonts w:ascii="Arial" w:hAnsi="Arial" w:eastAsia="宋体" w:cs="Arial"/>
                <w:sz w:val="18"/>
                <w:szCs w:val="18"/>
              </w:rPr>
              <w:t>95%</w:t>
            </w:r>
            <w:r>
              <w:rPr>
                <w:rFonts w:ascii="Arial" w:hAnsi="Arial" w:eastAsia="宋体" w:cs="Arial"/>
                <w:sz w:val="18"/>
                <w:szCs w:val="18"/>
              </w:rPr>
              <w:br w:type="textWrapping"/>
            </w:r>
            <w:r>
              <w:rPr>
                <w:rFonts w:hint="eastAsia" w:ascii="Arial" w:hAnsi="Arial" w:eastAsia="宋体" w:cs="Arial"/>
                <w:sz w:val="18"/>
                <w:szCs w:val="18"/>
              </w:rPr>
              <w:t>置信区间上限</w:t>
            </w:r>
          </w:p>
        </w:tc>
      </w:tr>
      <w:tr w14:paraId="65FE60E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Borders>
              <w:top w:val="single" w:color="auto" w:sz="4" w:space="0"/>
            </w:tcBorders>
          </w:tcPr>
          <w:p w14:paraId="3BB8F328">
            <w:pPr>
              <w:snapToGrid w:val="0"/>
              <w:spacing w:line="240" w:lineRule="exact"/>
              <w:rPr>
                <w:rFonts w:ascii="Arial" w:hAnsi="Arial" w:eastAsia="宋体" w:cs="Arial"/>
                <w:sz w:val="18"/>
                <w:szCs w:val="18"/>
              </w:rPr>
            </w:pPr>
            <w:r>
              <w:rPr>
                <w:rFonts w:ascii="Arial" w:hAnsi="Arial" w:eastAsia="宋体" w:cs="Arial"/>
                <w:sz w:val="18"/>
                <w:szCs w:val="18"/>
              </w:rPr>
              <w:t>100</w:t>
            </w:r>
          </w:p>
        </w:tc>
        <w:tc>
          <w:tcPr>
            <w:tcW w:w="1385" w:type="dxa"/>
            <w:tcBorders>
              <w:top w:val="single" w:color="auto" w:sz="4" w:space="0"/>
            </w:tcBorders>
          </w:tcPr>
          <w:p w14:paraId="518EB722">
            <w:pPr>
              <w:snapToGrid w:val="0"/>
              <w:spacing w:line="240" w:lineRule="exact"/>
              <w:rPr>
                <w:rFonts w:ascii="Arial" w:hAnsi="Arial" w:eastAsia="宋体" w:cs="Arial"/>
                <w:sz w:val="18"/>
                <w:szCs w:val="18"/>
              </w:rPr>
            </w:pPr>
            <w:r>
              <w:rPr>
                <w:rFonts w:ascii="Arial" w:hAnsi="Arial" w:eastAsia="宋体" w:cs="Arial"/>
                <w:sz w:val="18"/>
                <w:szCs w:val="18"/>
              </w:rPr>
              <w:t>0</w:t>
            </w:r>
          </w:p>
        </w:tc>
        <w:tc>
          <w:tcPr>
            <w:tcW w:w="2257" w:type="dxa"/>
            <w:tcBorders>
              <w:top w:val="single" w:color="auto" w:sz="4" w:space="0"/>
            </w:tcBorders>
          </w:tcPr>
          <w:p w14:paraId="7B64CE56">
            <w:pPr>
              <w:snapToGrid w:val="0"/>
              <w:spacing w:line="240" w:lineRule="exact"/>
              <w:rPr>
                <w:rFonts w:ascii="Arial" w:hAnsi="Arial" w:eastAsia="宋体" w:cs="Arial"/>
                <w:sz w:val="18"/>
                <w:szCs w:val="18"/>
              </w:rPr>
            </w:pPr>
            <w:r>
              <w:rPr>
                <w:rFonts w:ascii="Arial" w:hAnsi="Arial" w:eastAsia="宋体" w:cs="Arial"/>
                <w:sz w:val="18"/>
                <w:szCs w:val="18"/>
              </w:rPr>
              <w:t>0</w:t>
            </w:r>
          </w:p>
        </w:tc>
        <w:tc>
          <w:tcPr>
            <w:tcW w:w="1665" w:type="dxa"/>
            <w:tcBorders>
              <w:top w:val="single" w:color="auto" w:sz="4" w:space="0"/>
            </w:tcBorders>
          </w:tcPr>
          <w:p w14:paraId="70352319">
            <w:pPr>
              <w:snapToGrid w:val="0"/>
              <w:spacing w:line="240" w:lineRule="exact"/>
              <w:ind w:right="-218" w:rightChars="-104"/>
              <w:rPr>
                <w:rFonts w:ascii="Arial" w:hAnsi="Arial" w:eastAsia="宋体" w:cs="Arial"/>
                <w:sz w:val="18"/>
                <w:szCs w:val="18"/>
              </w:rPr>
            </w:pPr>
            <w:r>
              <w:rPr>
                <w:rFonts w:ascii="Arial" w:hAnsi="Arial" w:eastAsia="宋体" w:cs="Arial"/>
                <w:sz w:val="18"/>
                <w:szCs w:val="18"/>
              </w:rPr>
              <w:t>0,     3.62</w:t>
            </w:r>
          </w:p>
        </w:tc>
        <w:tc>
          <w:tcPr>
            <w:tcW w:w="1665" w:type="dxa"/>
            <w:tcBorders>
              <w:top w:val="single" w:color="auto" w:sz="4" w:space="0"/>
            </w:tcBorders>
          </w:tcPr>
          <w:p w14:paraId="7AEF8D6A">
            <w:pPr>
              <w:snapToGrid w:val="0"/>
              <w:spacing w:line="240" w:lineRule="exact"/>
              <w:rPr>
                <w:rFonts w:ascii="Arial" w:hAnsi="Arial" w:eastAsia="宋体" w:cs="Arial"/>
                <w:sz w:val="18"/>
                <w:szCs w:val="18"/>
              </w:rPr>
            </w:pPr>
            <w:r>
              <w:rPr>
                <w:rFonts w:ascii="Arial" w:hAnsi="Arial" w:eastAsia="宋体" w:cs="Arial"/>
                <w:sz w:val="18"/>
                <w:szCs w:val="18"/>
              </w:rPr>
              <w:t>2.95</w:t>
            </w:r>
          </w:p>
        </w:tc>
      </w:tr>
      <w:tr w14:paraId="561E7AA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6FB43F80">
            <w:pPr>
              <w:snapToGrid w:val="0"/>
              <w:spacing w:line="240" w:lineRule="exact"/>
              <w:rPr>
                <w:rFonts w:ascii="Arial" w:hAnsi="Arial" w:eastAsia="宋体" w:cs="Arial"/>
                <w:sz w:val="18"/>
                <w:szCs w:val="18"/>
              </w:rPr>
            </w:pPr>
          </w:p>
        </w:tc>
        <w:tc>
          <w:tcPr>
            <w:tcW w:w="1385" w:type="dxa"/>
          </w:tcPr>
          <w:p w14:paraId="3B830B60">
            <w:pPr>
              <w:snapToGrid w:val="0"/>
              <w:spacing w:line="240" w:lineRule="exact"/>
              <w:rPr>
                <w:rFonts w:ascii="Arial" w:hAnsi="Arial" w:eastAsia="宋体" w:cs="Arial"/>
                <w:sz w:val="18"/>
                <w:szCs w:val="18"/>
              </w:rPr>
            </w:pPr>
            <w:r>
              <w:rPr>
                <w:rFonts w:ascii="Arial" w:hAnsi="Arial" w:eastAsia="宋体" w:cs="Arial"/>
                <w:sz w:val="18"/>
                <w:szCs w:val="18"/>
              </w:rPr>
              <w:t>1</w:t>
            </w:r>
          </w:p>
        </w:tc>
        <w:tc>
          <w:tcPr>
            <w:tcW w:w="2257" w:type="dxa"/>
          </w:tcPr>
          <w:p w14:paraId="2D354D07">
            <w:pPr>
              <w:snapToGrid w:val="0"/>
              <w:spacing w:line="240" w:lineRule="exact"/>
              <w:rPr>
                <w:rFonts w:ascii="Arial" w:hAnsi="Arial" w:eastAsia="宋体" w:cs="Arial"/>
                <w:sz w:val="18"/>
                <w:szCs w:val="18"/>
              </w:rPr>
            </w:pPr>
            <w:r>
              <w:rPr>
                <w:rFonts w:ascii="Arial" w:hAnsi="Arial" w:eastAsia="宋体" w:cs="Arial"/>
                <w:sz w:val="18"/>
                <w:szCs w:val="18"/>
              </w:rPr>
              <w:t>1</w:t>
            </w:r>
          </w:p>
        </w:tc>
        <w:tc>
          <w:tcPr>
            <w:tcW w:w="1665" w:type="dxa"/>
          </w:tcPr>
          <w:p w14:paraId="412DCCC3">
            <w:pPr>
              <w:snapToGrid w:val="0"/>
              <w:spacing w:line="240" w:lineRule="exact"/>
              <w:rPr>
                <w:rFonts w:ascii="Arial" w:hAnsi="Arial" w:eastAsia="宋体" w:cs="Arial"/>
                <w:sz w:val="18"/>
                <w:szCs w:val="18"/>
              </w:rPr>
            </w:pPr>
            <w:r>
              <w:rPr>
                <w:rFonts w:ascii="Arial" w:hAnsi="Arial" w:eastAsia="宋体" w:cs="Arial"/>
                <w:sz w:val="18"/>
                <w:szCs w:val="18"/>
              </w:rPr>
              <w:t>0.03,  5.45</w:t>
            </w:r>
          </w:p>
        </w:tc>
        <w:tc>
          <w:tcPr>
            <w:tcW w:w="1665" w:type="dxa"/>
          </w:tcPr>
          <w:p w14:paraId="4C5DB9B5">
            <w:pPr>
              <w:snapToGrid w:val="0"/>
              <w:spacing w:line="240" w:lineRule="exact"/>
              <w:rPr>
                <w:rFonts w:ascii="Arial" w:hAnsi="Arial" w:eastAsia="宋体" w:cs="Arial"/>
                <w:sz w:val="18"/>
                <w:szCs w:val="18"/>
              </w:rPr>
            </w:pPr>
            <w:r>
              <w:rPr>
                <w:rFonts w:ascii="Arial" w:hAnsi="Arial" w:eastAsia="宋体" w:cs="Arial"/>
                <w:sz w:val="18"/>
                <w:szCs w:val="18"/>
              </w:rPr>
              <w:t>4.66</w:t>
            </w:r>
          </w:p>
        </w:tc>
      </w:tr>
      <w:tr w14:paraId="50C5204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6FB48E1E">
            <w:pPr>
              <w:snapToGrid w:val="0"/>
              <w:spacing w:line="240" w:lineRule="exact"/>
              <w:rPr>
                <w:rFonts w:ascii="Arial" w:hAnsi="Arial" w:eastAsia="宋体" w:cs="Arial"/>
                <w:sz w:val="18"/>
                <w:szCs w:val="18"/>
              </w:rPr>
            </w:pPr>
          </w:p>
        </w:tc>
        <w:tc>
          <w:tcPr>
            <w:tcW w:w="1385" w:type="dxa"/>
          </w:tcPr>
          <w:p w14:paraId="237534DD">
            <w:pPr>
              <w:snapToGrid w:val="0"/>
              <w:spacing w:line="240" w:lineRule="exact"/>
              <w:rPr>
                <w:rFonts w:ascii="Arial" w:hAnsi="Arial" w:eastAsia="宋体" w:cs="Arial"/>
                <w:sz w:val="18"/>
                <w:szCs w:val="18"/>
              </w:rPr>
            </w:pPr>
            <w:r>
              <w:rPr>
                <w:rFonts w:ascii="Arial" w:hAnsi="Arial" w:eastAsia="宋体" w:cs="Arial"/>
                <w:sz w:val="18"/>
                <w:szCs w:val="18"/>
              </w:rPr>
              <w:t>2</w:t>
            </w:r>
          </w:p>
        </w:tc>
        <w:tc>
          <w:tcPr>
            <w:tcW w:w="2257" w:type="dxa"/>
          </w:tcPr>
          <w:p w14:paraId="459DF081">
            <w:pPr>
              <w:snapToGrid w:val="0"/>
              <w:spacing w:line="240" w:lineRule="exact"/>
              <w:rPr>
                <w:rFonts w:ascii="Arial" w:hAnsi="Arial" w:eastAsia="宋体" w:cs="Arial"/>
                <w:sz w:val="18"/>
                <w:szCs w:val="18"/>
              </w:rPr>
            </w:pPr>
            <w:r>
              <w:rPr>
                <w:rFonts w:ascii="Arial" w:hAnsi="Arial" w:eastAsia="宋体" w:cs="Arial"/>
                <w:sz w:val="18"/>
                <w:szCs w:val="18"/>
              </w:rPr>
              <w:t>2</w:t>
            </w:r>
          </w:p>
        </w:tc>
        <w:tc>
          <w:tcPr>
            <w:tcW w:w="1665" w:type="dxa"/>
          </w:tcPr>
          <w:p w14:paraId="618553DC">
            <w:pPr>
              <w:snapToGrid w:val="0"/>
              <w:spacing w:line="240" w:lineRule="exact"/>
              <w:rPr>
                <w:rFonts w:ascii="Arial" w:hAnsi="Arial" w:eastAsia="宋体" w:cs="Arial"/>
                <w:sz w:val="18"/>
                <w:szCs w:val="18"/>
              </w:rPr>
            </w:pPr>
            <w:r>
              <w:rPr>
                <w:rFonts w:ascii="Arial" w:hAnsi="Arial" w:eastAsia="宋体" w:cs="Arial"/>
                <w:sz w:val="18"/>
                <w:szCs w:val="18"/>
              </w:rPr>
              <w:t>0.24</w:t>
            </w:r>
            <w:r>
              <w:rPr>
                <w:rFonts w:hint="eastAsia" w:ascii="Arial" w:hAnsi="Arial" w:eastAsia="宋体" w:cs="Arial"/>
                <w:sz w:val="18"/>
                <w:szCs w:val="18"/>
              </w:rPr>
              <w:t xml:space="preserve">， </w:t>
            </w:r>
            <w:r>
              <w:rPr>
                <w:rFonts w:ascii="Arial" w:hAnsi="Arial" w:eastAsia="宋体" w:cs="Arial"/>
                <w:sz w:val="18"/>
                <w:szCs w:val="18"/>
              </w:rPr>
              <w:t>7.04</w:t>
            </w:r>
          </w:p>
        </w:tc>
        <w:tc>
          <w:tcPr>
            <w:tcW w:w="1665" w:type="dxa"/>
          </w:tcPr>
          <w:p w14:paraId="005F6D4D">
            <w:pPr>
              <w:snapToGrid w:val="0"/>
              <w:spacing w:line="240" w:lineRule="exact"/>
              <w:rPr>
                <w:rFonts w:ascii="Arial" w:hAnsi="Arial" w:eastAsia="宋体" w:cs="Arial"/>
                <w:sz w:val="18"/>
                <w:szCs w:val="18"/>
              </w:rPr>
            </w:pPr>
            <w:r>
              <w:rPr>
                <w:rFonts w:ascii="Arial" w:hAnsi="Arial" w:eastAsia="宋体" w:cs="Arial"/>
                <w:sz w:val="18"/>
                <w:szCs w:val="18"/>
              </w:rPr>
              <w:t>6.16</w:t>
            </w:r>
          </w:p>
        </w:tc>
      </w:tr>
      <w:tr w14:paraId="0E7F81C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5FE5E442">
            <w:pPr>
              <w:snapToGrid w:val="0"/>
              <w:spacing w:line="240" w:lineRule="exact"/>
              <w:rPr>
                <w:rFonts w:ascii="Arial" w:hAnsi="Arial" w:eastAsia="宋体" w:cs="Arial"/>
                <w:sz w:val="18"/>
                <w:szCs w:val="18"/>
              </w:rPr>
            </w:pPr>
          </w:p>
        </w:tc>
        <w:tc>
          <w:tcPr>
            <w:tcW w:w="1385" w:type="dxa"/>
          </w:tcPr>
          <w:p w14:paraId="56566980">
            <w:pPr>
              <w:snapToGrid w:val="0"/>
              <w:spacing w:line="240" w:lineRule="exact"/>
              <w:rPr>
                <w:rFonts w:ascii="Arial" w:hAnsi="Arial" w:eastAsia="宋体" w:cs="Arial"/>
                <w:sz w:val="18"/>
                <w:szCs w:val="18"/>
              </w:rPr>
            </w:pPr>
            <w:r>
              <w:rPr>
                <w:rFonts w:ascii="Arial" w:hAnsi="Arial" w:eastAsia="宋体" w:cs="Arial"/>
                <w:sz w:val="18"/>
                <w:szCs w:val="18"/>
              </w:rPr>
              <w:t>3</w:t>
            </w:r>
          </w:p>
        </w:tc>
        <w:tc>
          <w:tcPr>
            <w:tcW w:w="2257" w:type="dxa"/>
          </w:tcPr>
          <w:p w14:paraId="12947F3E">
            <w:pPr>
              <w:snapToGrid w:val="0"/>
              <w:spacing w:line="240" w:lineRule="exact"/>
              <w:rPr>
                <w:rFonts w:ascii="Arial" w:hAnsi="Arial" w:eastAsia="宋体" w:cs="Arial"/>
                <w:sz w:val="18"/>
                <w:szCs w:val="18"/>
              </w:rPr>
            </w:pPr>
            <w:r>
              <w:rPr>
                <w:rFonts w:ascii="Arial" w:hAnsi="Arial" w:eastAsia="宋体" w:cs="Arial"/>
                <w:sz w:val="18"/>
                <w:szCs w:val="18"/>
              </w:rPr>
              <w:t>3</w:t>
            </w:r>
          </w:p>
        </w:tc>
        <w:tc>
          <w:tcPr>
            <w:tcW w:w="1665" w:type="dxa"/>
          </w:tcPr>
          <w:p w14:paraId="5BF365BD">
            <w:pPr>
              <w:snapToGrid w:val="0"/>
              <w:spacing w:line="240" w:lineRule="exact"/>
              <w:rPr>
                <w:rFonts w:ascii="Arial" w:hAnsi="Arial" w:eastAsia="宋体" w:cs="Arial"/>
                <w:sz w:val="18"/>
                <w:szCs w:val="18"/>
              </w:rPr>
            </w:pPr>
            <w:r>
              <w:rPr>
                <w:rFonts w:ascii="Arial" w:hAnsi="Arial" w:eastAsia="宋体" w:cs="Arial"/>
                <w:sz w:val="18"/>
                <w:szCs w:val="18"/>
              </w:rPr>
              <w:t>0.62</w:t>
            </w:r>
            <w:r>
              <w:rPr>
                <w:rFonts w:hint="eastAsia" w:ascii="Arial" w:hAnsi="Arial" w:eastAsia="宋体" w:cs="Arial"/>
                <w:sz w:val="18"/>
                <w:szCs w:val="18"/>
              </w:rPr>
              <w:t xml:space="preserve">， </w:t>
            </w:r>
            <w:r>
              <w:rPr>
                <w:rFonts w:ascii="Arial" w:hAnsi="Arial" w:eastAsia="宋体" w:cs="Arial"/>
                <w:sz w:val="18"/>
                <w:szCs w:val="18"/>
              </w:rPr>
              <w:t>8.52</w:t>
            </w:r>
          </w:p>
        </w:tc>
        <w:tc>
          <w:tcPr>
            <w:tcW w:w="1665" w:type="dxa"/>
          </w:tcPr>
          <w:p w14:paraId="46D0FA81">
            <w:pPr>
              <w:snapToGrid w:val="0"/>
              <w:spacing w:line="240" w:lineRule="exact"/>
              <w:rPr>
                <w:rFonts w:ascii="Arial" w:hAnsi="Arial" w:eastAsia="宋体" w:cs="Arial"/>
                <w:sz w:val="18"/>
                <w:szCs w:val="18"/>
              </w:rPr>
            </w:pPr>
            <w:r>
              <w:rPr>
                <w:rFonts w:ascii="Arial" w:hAnsi="Arial" w:eastAsia="宋体" w:cs="Arial"/>
                <w:sz w:val="18"/>
                <w:szCs w:val="18"/>
              </w:rPr>
              <w:t>7.57</w:t>
            </w:r>
          </w:p>
        </w:tc>
      </w:tr>
      <w:tr w14:paraId="13D6892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7BAA66F7">
            <w:pPr>
              <w:snapToGrid w:val="0"/>
              <w:spacing w:line="240" w:lineRule="exact"/>
              <w:rPr>
                <w:rFonts w:ascii="Arial" w:hAnsi="Arial" w:eastAsia="宋体" w:cs="Arial"/>
                <w:sz w:val="18"/>
                <w:szCs w:val="18"/>
              </w:rPr>
            </w:pPr>
          </w:p>
        </w:tc>
        <w:tc>
          <w:tcPr>
            <w:tcW w:w="1385" w:type="dxa"/>
          </w:tcPr>
          <w:p w14:paraId="2339FCCE">
            <w:pPr>
              <w:snapToGrid w:val="0"/>
              <w:spacing w:line="240" w:lineRule="exact"/>
              <w:rPr>
                <w:rFonts w:ascii="Arial" w:hAnsi="Arial" w:eastAsia="宋体" w:cs="Arial"/>
                <w:sz w:val="18"/>
                <w:szCs w:val="18"/>
              </w:rPr>
            </w:pPr>
            <w:r>
              <w:rPr>
                <w:rFonts w:ascii="Arial" w:hAnsi="Arial" w:eastAsia="宋体" w:cs="Arial"/>
                <w:sz w:val="18"/>
                <w:szCs w:val="18"/>
              </w:rPr>
              <w:t>4</w:t>
            </w:r>
          </w:p>
        </w:tc>
        <w:tc>
          <w:tcPr>
            <w:tcW w:w="2257" w:type="dxa"/>
          </w:tcPr>
          <w:p w14:paraId="3B76B4D7">
            <w:pPr>
              <w:snapToGrid w:val="0"/>
              <w:spacing w:line="240" w:lineRule="exact"/>
              <w:rPr>
                <w:rFonts w:ascii="Arial" w:hAnsi="Arial" w:eastAsia="宋体" w:cs="Arial"/>
                <w:sz w:val="18"/>
                <w:szCs w:val="18"/>
              </w:rPr>
            </w:pPr>
            <w:r>
              <w:rPr>
                <w:rFonts w:ascii="Arial" w:hAnsi="Arial" w:eastAsia="宋体" w:cs="Arial"/>
                <w:sz w:val="18"/>
                <w:szCs w:val="18"/>
              </w:rPr>
              <w:t>4</w:t>
            </w:r>
          </w:p>
        </w:tc>
        <w:tc>
          <w:tcPr>
            <w:tcW w:w="1665" w:type="dxa"/>
          </w:tcPr>
          <w:p w14:paraId="3A52274F">
            <w:pPr>
              <w:snapToGrid w:val="0"/>
              <w:spacing w:line="240" w:lineRule="exact"/>
              <w:rPr>
                <w:rFonts w:ascii="Arial" w:hAnsi="Arial" w:eastAsia="宋体" w:cs="Arial"/>
                <w:sz w:val="18"/>
                <w:szCs w:val="18"/>
              </w:rPr>
            </w:pPr>
            <w:r>
              <w:rPr>
                <w:rFonts w:ascii="Arial" w:hAnsi="Arial" w:eastAsia="宋体" w:cs="Arial"/>
                <w:sz w:val="18"/>
                <w:szCs w:val="18"/>
              </w:rPr>
              <w:t>1.10</w:t>
            </w:r>
            <w:r>
              <w:rPr>
                <w:rFonts w:hint="eastAsia" w:ascii="Arial" w:hAnsi="Arial" w:eastAsia="宋体" w:cs="Arial"/>
                <w:sz w:val="18"/>
                <w:szCs w:val="18"/>
              </w:rPr>
              <w:t xml:space="preserve">， </w:t>
            </w:r>
            <w:r>
              <w:rPr>
                <w:rFonts w:ascii="Arial" w:hAnsi="Arial" w:eastAsia="宋体" w:cs="Arial"/>
                <w:sz w:val="18"/>
                <w:szCs w:val="18"/>
              </w:rPr>
              <w:t>9.93</w:t>
            </w:r>
          </w:p>
        </w:tc>
        <w:tc>
          <w:tcPr>
            <w:tcW w:w="1665" w:type="dxa"/>
          </w:tcPr>
          <w:p w14:paraId="1BC2C3E8">
            <w:pPr>
              <w:snapToGrid w:val="0"/>
              <w:spacing w:line="240" w:lineRule="exact"/>
              <w:rPr>
                <w:rFonts w:ascii="Arial" w:hAnsi="Arial" w:eastAsia="宋体" w:cs="Arial"/>
                <w:sz w:val="18"/>
                <w:szCs w:val="18"/>
              </w:rPr>
            </w:pPr>
            <w:r>
              <w:rPr>
                <w:rFonts w:ascii="Arial" w:hAnsi="Arial" w:eastAsia="宋体" w:cs="Arial"/>
                <w:sz w:val="18"/>
                <w:szCs w:val="18"/>
              </w:rPr>
              <w:t>8.92</w:t>
            </w:r>
          </w:p>
        </w:tc>
      </w:tr>
      <w:tr w14:paraId="1A91B99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5EA1E34C">
            <w:pPr>
              <w:snapToGrid w:val="0"/>
              <w:spacing w:line="240" w:lineRule="exact"/>
              <w:rPr>
                <w:rFonts w:ascii="Arial" w:hAnsi="Arial" w:eastAsia="宋体" w:cs="Arial"/>
                <w:sz w:val="18"/>
                <w:szCs w:val="18"/>
              </w:rPr>
            </w:pPr>
          </w:p>
        </w:tc>
        <w:tc>
          <w:tcPr>
            <w:tcW w:w="1385" w:type="dxa"/>
          </w:tcPr>
          <w:p w14:paraId="2DB1CAB1">
            <w:pPr>
              <w:snapToGrid w:val="0"/>
              <w:spacing w:line="240" w:lineRule="exact"/>
              <w:rPr>
                <w:rFonts w:ascii="Arial" w:hAnsi="Arial" w:eastAsia="宋体" w:cs="Arial"/>
                <w:sz w:val="18"/>
                <w:szCs w:val="18"/>
              </w:rPr>
            </w:pPr>
            <w:r>
              <w:rPr>
                <w:rFonts w:ascii="Arial" w:hAnsi="Arial" w:eastAsia="宋体" w:cs="Arial"/>
                <w:sz w:val="18"/>
                <w:szCs w:val="18"/>
              </w:rPr>
              <w:t>5</w:t>
            </w:r>
          </w:p>
        </w:tc>
        <w:tc>
          <w:tcPr>
            <w:tcW w:w="2257" w:type="dxa"/>
          </w:tcPr>
          <w:p w14:paraId="05A63943">
            <w:pPr>
              <w:snapToGrid w:val="0"/>
              <w:spacing w:line="240" w:lineRule="exact"/>
              <w:rPr>
                <w:rFonts w:ascii="Arial" w:hAnsi="Arial" w:eastAsia="宋体" w:cs="Arial"/>
                <w:sz w:val="18"/>
                <w:szCs w:val="18"/>
              </w:rPr>
            </w:pPr>
            <w:r>
              <w:rPr>
                <w:rFonts w:ascii="Arial" w:hAnsi="Arial" w:eastAsia="宋体" w:cs="Arial"/>
                <w:sz w:val="18"/>
                <w:szCs w:val="18"/>
              </w:rPr>
              <w:t>5</w:t>
            </w:r>
          </w:p>
        </w:tc>
        <w:tc>
          <w:tcPr>
            <w:tcW w:w="1665" w:type="dxa"/>
          </w:tcPr>
          <w:p w14:paraId="60A06F48">
            <w:pPr>
              <w:snapToGrid w:val="0"/>
              <w:spacing w:line="240" w:lineRule="exact"/>
              <w:rPr>
                <w:rFonts w:ascii="Arial" w:hAnsi="Arial" w:eastAsia="宋体" w:cs="Arial"/>
                <w:sz w:val="18"/>
                <w:szCs w:val="18"/>
              </w:rPr>
            </w:pPr>
            <w:r>
              <w:rPr>
                <w:rFonts w:ascii="Arial" w:hAnsi="Arial" w:eastAsia="宋体" w:cs="Arial"/>
                <w:sz w:val="18"/>
                <w:szCs w:val="18"/>
              </w:rPr>
              <w:t>1.64</w:t>
            </w:r>
            <w:r>
              <w:rPr>
                <w:rFonts w:hint="eastAsia" w:ascii="Arial" w:hAnsi="Arial" w:eastAsia="宋体" w:cs="Arial"/>
                <w:sz w:val="18"/>
                <w:szCs w:val="18"/>
              </w:rPr>
              <w:t xml:space="preserve">， </w:t>
            </w:r>
            <w:r>
              <w:rPr>
                <w:rFonts w:ascii="Arial" w:hAnsi="Arial" w:eastAsia="宋体" w:cs="Arial"/>
                <w:sz w:val="18"/>
                <w:szCs w:val="18"/>
              </w:rPr>
              <w:t>11.28</w:t>
            </w:r>
          </w:p>
        </w:tc>
        <w:tc>
          <w:tcPr>
            <w:tcW w:w="1665" w:type="dxa"/>
          </w:tcPr>
          <w:p w14:paraId="56AB032A">
            <w:pPr>
              <w:snapToGrid w:val="0"/>
              <w:spacing w:line="240" w:lineRule="exact"/>
              <w:rPr>
                <w:rFonts w:ascii="Arial" w:hAnsi="Arial" w:eastAsia="宋体" w:cs="Arial"/>
                <w:sz w:val="18"/>
                <w:szCs w:val="18"/>
              </w:rPr>
            </w:pPr>
            <w:r>
              <w:rPr>
                <w:rFonts w:ascii="Arial" w:hAnsi="Arial" w:eastAsia="宋体" w:cs="Arial"/>
                <w:sz w:val="18"/>
                <w:szCs w:val="18"/>
              </w:rPr>
              <w:t>10.23</w:t>
            </w:r>
          </w:p>
        </w:tc>
      </w:tr>
      <w:tr w14:paraId="1FA2BFB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5F134054">
            <w:pPr>
              <w:snapToGrid w:val="0"/>
              <w:spacing w:line="240" w:lineRule="exact"/>
              <w:rPr>
                <w:rFonts w:ascii="Arial" w:hAnsi="Arial" w:eastAsia="宋体" w:cs="Arial"/>
                <w:sz w:val="18"/>
                <w:szCs w:val="18"/>
              </w:rPr>
            </w:pPr>
          </w:p>
        </w:tc>
        <w:tc>
          <w:tcPr>
            <w:tcW w:w="1385" w:type="dxa"/>
          </w:tcPr>
          <w:p w14:paraId="70999C0C">
            <w:pPr>
              <w:snapToGrid w:val="0"/>
              <w:spacing w:line="240" w:lineRule="exact"/>
              <w:rPr>
                <w:rFonts w:ascii="Arial" w:hAnsi="Arial" w:eastAsia="宋体" w:cs="Arial"/>
                <w:sz w:val="18"/>
                <w:szCs w:val="18"/>
              </w:rPr>
            </w:pPr>
          </w:p>
        </w:tc>
        <w:tc>
          <w:tcPr>
            <w:tcW w:w="2257" w:type="dxa"/>
          </w:tcPr>
          <w:p w14:paraId="47646D42">
            <w:pPr>
              <w:snapToGrid w:val="0"/>
              <w:spacing w:line="240" w:lineRule="exact"/>
              <w:rPr>
                <w:rFonts w:ascii="Arial" w:hAnsi="Arial" w:eastAsia="宋体" w:cs="Arial"/>
                <w:sz w:val="18"/>
                <w:szCs w:val="18"/>
              </w:rPr>
            </w:pPr>
          </w:p>
        </w:tc>
        <w:tc>
          <w:tcPr>
            <w:tcW w:w="1665" w:type="dxa"/>
          </w:tcPr>
          <w:p w14:paraId="1F86EA3B">
            <w:pPr>
              <w:snapToGrid w:val="0"/>
              <w:spacing w:line="240" w:lineRule="exact"/>
              <w:rPr>
                <w:rFonts w:ascii="Arial" w:hAnsi="Arial" w:eastAsia="宋体" w:cs="Arial"/>
                <w:sz w:val="18"/>
                <w:szCs w:val="18"/>
              </w:rPr>
            </w:pPr>
          </w:p>
        </w:tc>
        <w:tc>
          <w:tcPr>
            <w:tcW w:w="1665" w:type="dxa"/>
          </w:tcPr>
          <w:p w14:paraId="65094E26">
            <w:pPr>
              <w:snapToGrid w:val="0"/>
              <w:spacing w:line="240" w:lineRule="exact"/>
              <w:rPr>
                <w:rFonts w:ascii="Arial" w:hAnsi="Arial" w:eastAsia="宋体" w:cs="Arial"/>
                <w:sz w:val="18"/>
                <w:szCs w:val="18"/>
              </w:rPr>
            </w:pPr>
          </w:p>
        </w:tc>
      </w:tr>
      <w:tr w14:paraId="0CB106F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21C87613">
            <w:pPr>
              <w:snapToGrid w:val="0"/>
              <w:spacing w:line="240" w:lineRule="exact"/>
              <w:rPr>
                <w:rFonts w:ascii="Arial" w:hAnsi="Arial" w:eastAsia="宋体" w:cs="Arial"/>
                <w:sz w:val="18"/>
                <w:szCs w:val="18"/>
              </w:rPr>
            </w:pPr>
            <w:r>
              <w:rPr>
                <w:rFonts w:ascii="Arial" w:hAnsi="Arial" w:eastAsia="宋体" w:cs="Arial"/>
                <w:sz w:val="18"/>
                <w:szCs w:val="18"/>
              </w:rPr>
              <w:t>200</w:t>
            </w:r>
          </w:p>
        </w:tc>
        <w:tc>
          <w:tcPr>
            <w:tcW w:w="1385" w:type="dxa"/>
          </w:tcPr>
          <w:p w14:paraId="18B80598">
            <w:pPr>
              <w:snapToGrid w:val="0"/>
              <w:spacing w:line="240" w:lineRule="exact"/>
              <w:rPr>
                <w:rFonts w:ascii="Arial" w:hAnsi="Arial" w:eastAsia="宋体" w:cs="Arial"/>
                <w:sz w:val="18"/>
                <w:szCs w:val="18"/>
              </w:rPr>
            </w:pPr>
            <w:r>
              <w:rPr>
                <w:rFonts w:ascii="Arial" w:hAnsi="Arial" w:eastAsia="宋体" w:cs="Arial"/>
                <w:sz w:val="18"/>
                <w:szCs w:val="18"/>
              </w:rPr>
              <w:t>0</w:t>
            </w:r>
          </w:p>
        </w:tc>
        <w:tc>
          <w:tcPr>
            <w:tcW w:w="2257" w:type="dxa"/>
          </w:tcPr>
          <w:p w14:paraId="1B270CEC">
            <w:pPr>
              <w:snapToGrid w:val="0"/>
              <w:spacing w:line="240" w:lineRule="exact"/>
              <w:rPr>
                <w:rFonts w:ascii="Arial" w:hAnsi="Arial" w:eastAsia="宋体" w:cs="Arial"/>
                <w:sz w:val="18"/>
                <w:szCs w:val="18"/>
              </w:rPr>
            </w:pPr>
            <w:r>
              <w:rPr>
                <w:rFonts w:ascii="Arial" w:hAnsi="Arial" w:eastAsia="宋体" w:cs="Arial"/>
                <w:sz w:val="18"/>
                <w:szCs w:val="18"/>
              </w:rPr>
              <w:t>0</w:t>
            </w:r>
          </w:p>
        </w:tc>
        <w:tc>
          <w:tcPr>
            <w:tcW w:w="1665" w:type="dxa"/>
          </w:tcPr>
          <w:p w14:paraId="0DA9A5AF">
            <w:pPr>
              <w:tabs>
                <w:tab w:val="left" w:pos="676"/>
              </w:tabs>
              <w:snapToGrid w:val="0"/>
              <w:spacing w:line="240" w:lineRule="exact"/>
              <w:rPr>
                <w:rFonts w:ascii="Arial" w:hAnsi="Arial" w:eastAsia="宋体" w:cs="Arial"/>
                <w:sz w:val="18"/>
                <w:szCs w:val="18"/>
              </w:rPr>
            </w:pPr>
            <w:r>
              <w:rPr>
                <w:rFonts w:ascii="Arial" w:hAnsi="Arial" w:eastAsia="宋体" w:cs="Arial"/>
                <w:sz w:val="18"/>
                <w:szCs w:val="18"/>
              </w:rPr>
              <w:t>0,     1.83</w:t>
            </w:r>
          </w:p>
        </w:tc>
        <w:tc>
          <w:tcPr>
            <w:tcW w:w="1665" w:type="dxa"/>
          </w:tcPr>
          <w:p w14:paraId="623B0DB5">
            <w:pPr>
              <w:snapToGrid w:val="0"/>
              <w:spacing w:line="240" w:lineRule="exact"/>
              <w:rPr>
                <w:rFonts w:ascii="Arial" w:hAnsi="Arial" w:eastAsia="宋体" w:cs="Arial"/>
                <w:sz w:val="18"/>
                <w:szCs w:val="18"/>
              </w:rPr>
            </w:pPr>
            <w:r>
              <w:rPr>
                <w:rFonts w:ascii="Arial" w:hAnsi="Arial" w:eastAsia="宋体" w:cs="Arial"/>
                <w:sz w:val="18"/>
                <w:szCs w:val="18"/>
              </w:rPr>
              <w:t>1.49</w:t>
            </w:r>
          </w:p>
        </w:tc>
      </w:tr>
      <w:tr w14:paraId="019FD6D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4BCCEE05">
            <w:pPr>
              <w:snapToGrid w:val="0"/>
              <w:spacing w:line="240" w:lineRule="exact"/>
              <w:rPr>
                <w:rFonts w:ascii="Arial" w:hAnsi="Arial" w:eastAsia="宋体" w:cs="Arial"/>
                <w:sz w:val="18"/>
                <w:szCs w:val="18"/>
              </w:rPr>
            </w:pPr>
          </w:p>
        </w:tc>
        <w:tc>
          <w:tcPr>
            <w:tcW w:w="1385" w:type="dxa"/>
          </w:tcPr>
          <w:p w14:paraId="5A1659CB">
            <w:pPr>
              <w:snapToGrid w:val="0"/>
              <w:spacing w:line="240" w:lineRule="exact"/>
              <w:rPr>
                <w:rFonts w:ascii="Arial" w:hAnsi="Arial" w:eastAsia="宋体" w:cs="Arial"/>
                <w:sz w:val="18"/>
                <w:szCs w:val="18"/>
              </w:rPr>
            </w:pPr>
            <w:r>
              <w:rPr>
                <w:rFonts w:ascii="Arial" w:hAnsi="Arial" w:eastAsia="宋体" w:cs="Arial"/>
                <w:sz w:val="18"/>
                <w:szCs w:val="18"/>
              </w:rPr>
              <w:t>2</w:t>
            </w:r>
          </w:p>
        </w:tc>
        <w:tc>
          <w:tcPr>
            <w:tcW w:w="2257" w:type="dxa"/>
          </w:tcPr>
          <w:p w14:paraId="0B7EA15F">
            <w:pPr>
              <w:snapToGrid w:val="0"/>
              <w:spacing w:line="240" w:lineRule="exact"/>
              <w:rPr>
                <w:rFonts w:ascii="Arial" w:hAnsi="Arial" w:eastAsia="宋体" w:cs="Arial"/>
                <w:sz w:val="18"/>
                <w:szCs w:val="18"/>
              </w:rPr>
            </w:pPr>
            <w:r>
              <w:rPr>
                <w:rFonts w:ascii="Arial" w:hAnsi="Arial" w:eastAsia="宋体" w:cs="Arial"/>
                <w:sz w:val="18"/>
                <w:szCs w:val="18"/>
              </w:rPr>
              <w:t>1</w:t>
            </w:r>
          </w:p>
        </w:tc>
        <w:tc>
          <w:tcPr>
            <w:tcW w:w="1665" w:type="dxa"/>
          </w:tcPr>
          <w:p w14:paraId="0826BCEA">
            <w:pPr>
              <w:snapToGrid w:val="0"/>
              <w:spacing w:line="240" w:lineRule="exact"/>
              <w:rPr>
                <w:rFonts w:ascii="Arial" w:hAnsi="Arial" w:eastAsia="宋体" w:cs="Arial"/>
                <w:sz w:val="18"/>
                <w:szCs w:val="18"/>
              </w:rPr>
            </w:pPr>
            <w:r>
              <w:rPr>
                <w:rFonts w:ascii="Arial" w:hAnsi="Arial" w:eastAsia="宋体" w:cs="Arial"/>
                <w:sz w:val="18"/>
                <w:szCs w:val="18"/>
              </w:rPr>
              <w:t>0.12,   3.57</w:t>
            </w:r>
          </w:p>
        </w:tc>
        <w:tc>
          <w:tcPr>
            <w:tcW w:w="1665" w:type="dxa"/>
          </w:tcPr>
          <w:p w14:paraId="66B066FB">
            <w:pPr>
              <w:snapToGrid w:val="0"/>
              <w:spacing w:line="240" w:lineRule="exact"/>
              <w:rPr>
                <w:rFonts w:ascii="Arial" w:hAnsi="Arial" w:eastAsia="宋体" w:cs="Arial"/>
                <w:sz w:val="18"/>
                <w:szCs w:val="18"/>
              </w:rPr>
            </w:pPr>
            <w:r>
              <w:rPr>
                <w:rFonts w:ascii="Arial" w:hAnsi="Arial" w:eastAsia="宋体" w:cs="Arial"/>
                <w:sz w:val="18"/>
                <w:szCs w:val="18"/>
              </w:rPr>
              <w:t>3.11</w:t>
            </w:r>
          </w:p>
        </w:tc>
      </w:tr>
      <w:tr w14:paraId="4FA2F0F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7FC8DA96">
            <w:pPr>
              <w:snapToGrid w:val="0"/>
              <w:spacing w:line="240" w:lineRule="exact"/>
              <w:rPr>
                <w:rFonts w:ascii="Arial" w:hAnsi="Arial" w:eastAsia="宋体" w:cs="Arial"/>
                <w:sz w:val="18"/>
                <w:szCs w:val="18"/>
              </w:rPr>
            </w:pPr>
          </w:p>
        </w:tc>
        <w:tc>
          <w:tcPr>
            <w:tcW w:w="1385" w:type="dxa"/>
          </w:tcPr>
          <w:p w14:paraId="61531C7E">
            <w:pPr>
              <w:snapToGrid w:val="0"/>
              <w:spacing w:line="240" w:lineRule="exact"/>
              <w:rPr>
                <w:rFonts w:ascii="Arial" w:hAnsi="Arial" w:eastAsia="宋体" w:cs="Arial"/>
                <w:sz w:val="18"/>
                <w:szCs w:val="18"/>
              </w:rPr>
            </w:pPr>
            <w:r>
              <w:rPr>
                <w:rFonts w:ascii="Arial" w:hAnsi="Arial" w:eastAsia="宋体" w:cs="Arial"/>
                <w:sz w:val="18"/>
                <w:szCs w:val="18"/>
              </w:rPr>
              <w:t>4</w:t>
            </w:r>
          </w:p>
        </w:tc>
        <w:tc>
          <w:tcPr>
            <w:tcW w:w="2257" w:type="dxa"/>
          </w:tcPr>
          <w:p w14:paraId="55F84B4E">
            <w:pPr>
              <w:snapToGrid w:val="0"/>
              <w:spacing w:line="240" w:lineRule="exact"/>
              <w:rPr>
                <w:rFonts w:ascii="Arial" w:hAnsi="Arial" w:eastAsia="宋体" w:cs="Arial"/>
                <w:sz w:val="18"/>
                <w:szCs w:val="18"/>
              </w:rPr>
            </w:pPr>
            <w:r>
              <w:rPr>
                <w:rFonts w:ascii="Arial" w:hAnsi="Arial" w:eastAsia="宋体" w:cs="Arial"/>
                <w:sz w:val="18"/>
                <w:szCs w:val="18"/>
              </w:rPr>
              <w:t>2</w:t>
            </w:r>
          </w:p>
        </w:tc>
        <w:tc>
          <w:tcPr>
            <w:tcW w:w="1665" w:type="dxa"/>
          </w:tcPr>
          <w:p w14:paraId="27D68CCA">
            <w:pPr>
              <w:snapToGrid w:val="0"/>
              <w:spacing w:line="240" w:lineRule="exact"/>
              <w:rPr>
                <w:rFonts w:ascii="Arial" w:hAnsi="Arial" w:eastAsia="宋体" w:cs="Arial"/>
                <w:sz w:val="18"/>
                <w:szCs w:val="18"/>
              </w:rPr>
            </w:pPr>
            <w:r>
              <w:rPr>
                <w:rFonts w:ascii="Arial" w:hAnsi="Arial" w:eastAsia="宋体" w:cs="Arial"/>
                <w:sz w:val="18"/>
                <w:szCs w:val="18"/>
              </w:rPr>
              <w:t>0.55,   5.04</w:t>
            </w:r>
          </w:p>
        </w:tc>
        <w:tc>
          <w:tcPr>
            <w:tcW w:w="1665" w:type="dxa"/>
          </w:tcPr>
          <w:p w14:paraId="0B996DFD">
            <w:pPr>
              <w:snapToGrid w:val="0"/>
              <w:spacing w:line="240" w:lineRule="exact"/>
              <w:rPr>
                <w:rFonts w:ascii="Arial" w:hAnsi="Arial" w:eastAsia="宋体" w:cs="Arial"/>
                <w:sz w:val="18"/>
                <w:szCs w:val="18"/>
              </w:rPr>
            </w:pPr>
            <w:r>
              <w:rPr>
                <w:rFonts w:ascii="Arial" w:hAnsi="Arial" w:eastAsia="宋体" w:cs="Arial"/>
                <w:sz w:val="18"/>
                <w:szCs w:val="18"/>
              </w:rPr>
              <w:t>4.52</w:t>
            </w:r>
          </w:p>
        </w:tc>
      </w:tr>
      <w:tr w14:paraId="1D76F6F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1C354E1C">
            <w:pPr>
              <w:snapToGrid w:val="0"/>
              <w:spacing w:line="240" w:lineRule="exact"/>
              <w:rPr>
                <w:rFonts w:ascii="Arial" w:hAnsi="Arial" w:eastAsia="宋体" w:cs="Arial"/>
                <w:sz w:val="18"/>
                <w:szCs w:val="18"/>
              </w:rPr>
            </w:pPr>
          </w:p>
        </w:tc>
        <w:tc>
          <w:tcPr>
            <w:tcW w:w="1385" w:type="dxa"/>
          </w:tcPr>
          <w:p w14:paraId="37BCDB08">
            <w:pPr>
              <w:snapToGrid w:val="0"/>
              <w:spacing w:line="240" w:lineRule="exact"/>
              <w:rPr>
                <w:rFonts w:ascii="Arial" w:hAnsi="Arial" w:eastAsia="宋体" w:cs="Arial"/>
                <w:sz w:val="18"/>
                <w:szCs w:val="18"/>
              </w:rPr>
            </w:pPr>
            <w:r>
              <w:rPr>
                <w:rFonts w:ascii="Arial" w:hAnsi="Arial" w:eastAsia="宋体" w:cs="Arial"/>
                <w:sz w:val="18"/>
                <w:szCs w:val="18"/>
              </w:rPr>
              <w:t>6</w:t>
            </w:r>
          </w:p>
        </w:tc>
        <w:tc>
          <w:tcPr>
            <w:tcW w:w="2257" w:type="dxa"/>
          </w:tcPr>
          <w:p w14:paraId="49BDA205">
            <w:pPr>
              <w:snapToGrid w:val="0"/>
              <w:spacing w:line="240" w:lineRule="exact"/>
              <w:rPr>
                <w:rFonts w:ascii="Arial" w:hAnsi="Arial" w:eastAsia="宋体" w:cs="Arial"/>
                <w:sz w:val="18"/>
                <w:szCs w:val="18"/>
              </w:rPr>
            </w:pPr>
            <w:r>
              <w:rPr>
                <w:rFonts w:ascii="Arial" w:hAnsi="Arial" w:eastAsia="宋体" w:cs="Arial"/>
                <w:sz w:val="18"/>
                <w:szCs w:val="18"/>
              </w:rPr>
              <w:t>3</w:t>
            </w:r>
          </w:p>
        </w:tc>
        <w:tc>
          <w:tcPr>
            <w:tcW w:w="1665" w:type="dxa"/>
          </w:tcPr>
          <w:p w14:paraId="354EEFF3">
            <w:pPr>
              <w:snapToGrid w:val="0"/>
              <w:spacing w:line="240" w:lineRule="exact"/>
              <w:rPr>
                <w:rFonts w:ascii="Arial" w:hAnsi="Arial" w:eastAsia="宋体" w:cs="Arial"/>
                <w:sz w:val="18"/>
                <w:szCs w:val="18"/>
              </w:rPr>
            </w:pPr>
            <w:r>
              <w:rPr>
                <w:rFonts w:ascii="Arial" w:hAnsi="Arial" w:eastAsia="宋体" w:cs="Arial"/>
                <w:sz w:val="18"/>
                <w:szCs w:val="18"/>
              </w:rPr>
              <w:t>1.11,   6.42</w:t>
            </w:r>
          </w:p>
        </w:tc>
        <w:tc>
          <w:tcPr>
            <w:tcW w:w="1665" w:type="dxa"/>
          </w:tcPr>
          <w:p w14:paraId="58F79753">
            <w:pPr>
              <w:snapToGrid w:val="0"/>
              <w:spacing w:line="240" w:lineRule="exact"/>
              <w:rPr>
                <w:rFonts w:ascii="Arial" w:hAnsi="Arial" w:eastAsia="宋体" w:cs="Arial"/>
                <w:sz w:val="18"/>
                <w:szCs w:val="18"/>
              </w:rPr>
            </w:pPr>
            <w:r>
              <w:rPr>
                <w:rFonts w:ascii="Arial" w:hAnsi="Arial" w:eastAsia="宋体" w:cs="Arial"/>
                <w:sz w:val="18"/>
                <w:szCs w:val="18"/>
              </w:rPr>
              <w:t>5.83</w:t>
            </w:r>
          </w:p>
        </w:tc>
      </w:tr>
      <w:tr w14:paraId="18C6587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30EAB498">
            <w:pPr>
              <w:snapToGrid w:val="0"/>
              <w:spacing w:line="240" w:lineRule="exact"/>
              <w:rPr>
                <w:rFonts w:ascii="Arial" w:hAnsi="Arial" w:eastAsia="宋体" w:cs="Arial"/>
                <w:sz w:val="18"/>
                <w:szCs w:val="18"/>
              </w:rPr>
            </w:pPr>
          </w:p>
        </w:tc>
        <w:tc>
          <w:tcPr>
            <w:tcW w:w="1385" w:type="dxa"/>
          </w:tcPr>
          <w:p w14:paraId="2F38AFAC">
            <w:pPr>
              <w:snapToGrid w:val="0"/>
              <w:spacing w:line="240" w:lineRule="exact"/>
              <w:rPr>
                <w:rFonts w:ascii="Arial" w:hAnsi="Arial" w:eastAsia="宋体" w:cs="Arial"/>
                <w:sz w:val="18"/>
                <w:szCs w:val="18"/>
              </w:rPr>
            </w:pPr>
            <w:r>
              <w:rPr>
                <w:rFonts w:ascii="Arial" w:hAnsi="Arial" w:eastAsia="宋体" w:cs="Arial"/>
                <w:sz w:val="18"/>
                <w:szCs w:val="18"/>
              </w:rPr>
              <w:t>8</w:t>
            </w:r>
          </w:p>
        </w:tc>
        <w:tc>
          <w:tcPr>
            <w:tcW w:w="2257" w:type="dxa"/>
          </w:tcPr>
          <w:p w14:paraId="5B1DB8D1">
            <w:pPr>
              <w:snapToGrid w:val="0"/>
              <w:spacing w:line="240" w:lineRule="exact"/>
              <w:rPr>
                <w:rFonts w:ascii="Arial" w:hAnsi="Arial" w:eastAsia="宋体" w:cs="Arial"/>
                <w:sz w:val="18"/>
                <w:szCs w:val="18"/>
              </w:rPr>
            </w:pPr>
            <w:r>
              <w:rPr>
                <w:rFonts w:ascii="Arial" w:hAnsi="Arial" w:eastAsia="宋体" w:cs="Arial"/>
                <w:sz w:val="18"/>
                <w:szCs w:val="18"/>
              </w:rPr>
              <w:t>4</w:t>
            </w:r>
          </w:p>
        </w:tc>
        <w:tc>
          <w:tcPr>
            <w:tcW w:w="1665" w:type="dxa"/>
          </w:tcPr>
          <w:p w14:paraId="3072A0D4">
            <w:pPr>
              <w:snapToGrid w:val="0"/>
              <w:spacing w:line="240" w:lineRule="exact"/>
              <w:rPr>
                <w:rFonts w:ascii="Arial" w:hAnsi="Arial" w:eastAsia="宋体" w:cs="Arial"/>
                <w:sz w:val="18"/>
                <w:szCs w:val="18"/>
              </w:rPr>
            </w:pPr>
            <w:r>
              <w:rPr>
                <w:rFonts w:ascii="Arial" w:hAnsi="Arial" w:eastAsia="宋体" w:cs="Arial"/>
                <w:sz w:val="18"/>
                <w:szCs w:val="18"/>
              </w:rPr>
              <w:t>1.74,   7.73</w:t>
            </w:r>
          </w:p>
        </w:tc>
        <w:tc>
          <w:tcPr>
            <w:tcW w:w="1665" w:type="dxa"/>
          </w:tcPr>
          <w:p w14:paraId="0ABC8B53">
            <w:pPr>
              <w:snapToGrid w:val="0"/>
              <w:spacing w:line="240" w:lineRule="exact"/>
              <w:rPr>
                <w:rFonts w:ascii="Arial" w:hAnsi="Arial" w:eastAsia="宋体" w:cs="Arial"/>
                <w:sz w:val="18"/>
                <w:szCs w:val="18"/>
              </w:rPr>
            </w:pPr>
            <w:r>
              <w:rPr>
                <w:rFonts w:ascii="Arial" w:hAnsi="Arial" w:eastAsia="宋体" w:cs="Arial"/>
                <w:sz w:val="18"/>
                <w:szCs w:val="18"/>
              </w:rPr>
              <w:t>7.10</w:t>
            </w:r>
          </w:p>
        </w:tc>
      </w:tr>
      <w:tr w14:paraId="59C6C8F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77225869">
            <w:pPr>
              <w:snapToGrid w:val="0"/>
              <w:spacing w:line="240" w:lineRule="exact"/>
              <w:rPr>
                <w:rFonts w:ascii="Arial" w:hAnsi="Arial" w:eastAsia="宋体" w:cs="Arial"/>
                <w:sz w:val="18"/>
                <w:szCs w:val="18"/>
              </w:rPr>
            </w:pPr>
          </w:p>
        </w:tc>
        <w:tc>
          <w:tcPr>
            <w:tcW w:w="1385" w:type="dxa"/>
          </w:tcPr>
          <w:p w14:paraId="309DCD3B">
            <w:pPr>
              <w:snapToGrid w:val="0"/>
              <w:spacing w:line="240" w:lineRule="exact"/>
              <w:rPr>
                <w:rFonts w:ascii="Arial" w:hAnsi="Arial" w:eastAsia="宋体" w:cs="Arial"/>
                <w:sz w:val="18"/>
                <w:szCs w:val="18"/>
              </w:rPr>
            </w:pPr>
            <w:r>
              <w:rPr>
                <w:rFonts w:ascii="Arial" w:hAnsi="Arial" w:eastAsia="宋体" w:cs="Arial"/>
                <w:sz w:val="18"/>
                <w:szCs w:val="18"/>
              </w:rPr>
              <w:t>10</w:t>
            </w:r>
          </w:p>
        </w:tc>
        <w:tc>
          <w:tcPr>
            <w:tcW w:w="2257" w:type="dxa"/>
          </w:tcPr>
          <w:p w14:paraId="19E26170">
            <w:pPr>
              <w:snapToGrid w:val="0"/>
              <w:spacing w:line="240" w:lineRule="exact"/>
              <w:rPr>
                <w:rFonts w:ascii="Arial" w:hAnsi="Arial" w:eastAsia="宋体" w:cs="Arial"/>
                <w:sz w:val="18"/>
                <w:szCs w:val="18"/>
              </w:rPr>
            </w:pPr>
            <w:r>
              <w:rPr>
                <w:rFonts w:ascii="Arial" w:hAnsi="Arial" w:eastAsia="宋体" w:cs="Arial"/>
                <w:sz w:val="18"/>
                <w:szCs w:val="18"/>
              </w:rPr>
              <w:t>5</w:t>
            </w:r>
          </w:p>
        </w:tc>
        <w:tc>
          <w:tcPr>
            <w:tcW w:w="1665" w:type="dxa"/>
          </w:tcPr>
          <w:p w14:paraId="6CD84A7C">
            <w:pPr>
              <w:snapToGrid w:val="0"/>
              <w:spacing w:line="240" w:lineRule="exact"/>
              <w:rPr>
                <w:rFonts w:ascii="Arial" w:hAnsi="Arial" w:eastAsia="宋体" w:cs="Arial"/>
                <w:sz w:val="18"/>
                <w:szCs w:val="18"/>
              </w:rPr>
            </w:pPr>
            <w:r>
              <w:rPr>
                <w:rFonts w:ascii="Arial" w:hAnsi="Arial" w:eastAsia="宋体" w:cs="Arial"/>
                <w:sz w:val="18"/>
                <w:szCs w:val="18"/>
              </w:rPr>
              <w:t>2.42,   9.00</w:t>
            </w:r>
          </w:p>
        </w:tc>
        <w:tc>
          <w:tcPr>
            <w:tcW w:w="1665" w:type="dxa"/>
          </w:tcPr>
          <w:p w14:paraId="429F5C90">
            <w:pPr>
              <w:snapToGrid w:val="0"/>
              <w:spacing w:line="240" w:lineRule="exact"/>
              <w:rPr>
                <w:rFonts w:ascii="Arial" w:hAnsi="Arial" w:eastAsia="宋体" w:cs="Arial"/>
                <w:sz w:val="18"/>
                <w:szCs w:val="18"/>
              </w:rPr>
            </w:pPr>
            <w:r>
              <w:rPr>
                <w:rFonts w:ascii="Arial" w:hAnsi="Arial" w:eastAsia="宋体" w:cs="Arial"/>
                <w:sz w:val="18"/>
                <w:szCs w:val="18"/>
              </w:rPr>
              <w:t>8.33</w:t>
            </w:r>
          </w:p>
        </w:tc>
      </w:tr>
      <w:tr w14:paraId="4DF49FE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03B30EBB">
            <w:pPr>
              <w:snapToGrid w:val="0"/>
              <w:spacing w:line="240" w:lineRule="exact"/>
              <w:rPr>
                <w:rFonts w:ascii="Arial" w:hAnsi="Arial" w:eastAsia="宋体" w:cs="Arial"/>
                <w:sz w:val="18"/>
                <w:szCs w:val="18"/>
              </w:rPr>
            </w:pPr>
          </w:p>
        </w:tc>
        <w:tc>
          <w:tcPr>
            <w:tcW w:w="1385" w:type="dxa"/>
          </w:tcPr>
          <w:p w14:paraId="5E26A43C">
            <w:pPr>
              <w:snapToGrid w:val="0"/>
              <w:spacing w:line="240" w:lineRule="exact"/>
              <w:rPr>
                <w:rFonts w:ascii="Arial" w:hAnsi="Arial" w:eastAsia="宋体" w:cs="Arial"/>
                <w:sz w:val="18"/>
                <w:szCs w:val="18"/>
              </w:rPr>
            </w:pPr>
          </w:p>
        </w:tc>
        <w:tc>
          <w:tcPr>
            <w:tcW w:w="2257" w:type="dxa"/>
          </w:tcPr>
          <w:p w14:paraId="70701121">
            <w:pPr>
              <w:snapToGrid w:val="0"/>
              <w:spacing w:line="240" w:lineRule="exact"/>
              <w:rPr>
                <w:rFonts w:ascii="Arial" w:hAnsi="Arial" w:eastAsia="宋体" w:cs="Arial"/>
                <w:sz w:val="18"/>
                <w:szCs w:val="18"/>
              </w:rPr>
            </w:pPr>
          </w:p>
        </w:tc>
        <w:tc>
          <w:tcPr>
            <w:tcW w:w="1665" w:type="dxa"/>
          </w:tcPr>
          <w:p w14:paraId="723EC408">
            <w:pPr>
              <w:snapToGrid w:val="0"/>
              <w:spacing w:line="240" w:lineRule="exact"/>
              <w:rPr>
                <w:rFonts w:ascii="Arial" w:hAnsi="Arial" w:eastAsia="宋体" w:cs="Arial"/>
                <w:sz w:val="18"/>
                <w:szCs w:val="18"/>
              </w:rPr>
            </w:pPr>
          </w:p>
        </w:tc>
        <w:tc>
          <w:tcPr>
            <w:tcW w:w="1665" w:type="dxa"/>
          </w:tcPr>
          <w:p w14:paraId="2278D62D">
            <w:pPr>
              <w:snapToGrid w:val="0"/>
              <w:spacing w:line="240" w:lineRule="exact"/>
              <w:rPr>
                <w:rFonts w:ascii="Arial" w:hAnsi="Arial" w:eastAsia="宋体" w:cs="Arial"/>
                <w:sz w:val="18"/>
                <w:szCs w:val="18"/>
              </w:rPr>
            </w:pPr>
          </w:p>
        </w:tc>
      </w:tr>
      <w:tr w14:paraId="5E9E7FA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7F7D22B4">
            <w:pPr>
              <w:snapToGrid w:val="0"/>
              <w:spacing w:line="240" w:lineRule="exact"/>
              <w:rPr>
                <w:rFonts w:ascii="Arial" w:hAnsi="Arial" w:eastAsia="宋体" w:cs="Arial"/>
                <w:sz w:val="18"/>
                <w:szCs w:val="18"/>
              </w:rPr>
            </w:pPr>
            <w:r>
              <w:rPr>
                <w:rFonts w:ascii="Arial" w:hAnsi="Arial" w:eastAsia="宋体" w:cs="Arial"/>
                <w:sz w:val="18"/>
                <w:szCs w:val="18"/>
              </w:rPr>
              <w:t>300</w:t>
            </w:r>
          </w:p>
        </w:tc>
        <w:tc>
          <w:tcPr>
            <w:tcW w:w="1385" w:type="dxa"/>
          </w:tcPr>
          <w:p w14:paraId="1EE327EB">
            <w:pPr>
              <w:snapToGrid w:val="0"/>
              <w:spacing w:line="240" w:lineRule="exact"/>
              <w:rPr>
                <w:rFonts w:ascii="Arial" w:hAnsi="Arial" w:eastAsia="宋体" w:cs="Arial"/>
                <w:sz w:val="18"/>
                <w:szCs w:val="18"/>
              </w:rPr>
            </w:pPr>
            <w:r>
              <w:rPr>
                <w:rFonts w:ascii="Arial" w:hAnsi="Arial" w:eastAsia="宋体" w:cs="Arial"/>
                <w:sz w:val="18"/>
                <w:szCs w:val="18"/>
              </w:rPr>
              <w:t>0</w:t>
            </w:r>
          </w:p>
        </w:tc>
        <w:tc>
          <w:tcPr>
            <w:tcW w:w="2257" w:type="dxa"/>
          </w:tcPr>
          <w:p w14:paraId="427CC2B8">
            <w:pPr>
              <w:snapToGrid w:val="0"/>
              <w:spacing w:line="240" w:lineRule="exact"/>
              <w:rPr>
                <w:rFonts w:ascii="Arial" w:hAnsi="Arial" w:eastAsia="宋体" w:cs="Arial"/>
                <w:sz w:val="18"/>
                <w:szCs w:val="18"/>
              </w:rPr>
            </w:pPr>
            <w:r>
              <w:rPr>
                <w:rFonts w:ascii="Arial" w:hAnsi="Arial" w:eastAsia="宋体" w:cs="Arial"/>
                <w:sz w:val="18"/>
                <w:szCs w:val="18"/>
              </w:rPr>
              <w:t>0</w:t>
            </w:r>
          </w:p>
        </w:tc>
        <w:tc>
          <w:tcPr>
            <w:tcW w:w="1665" w:type="dxa"/>
          </w:tcPr>
          <w:p w14:paraId="246B36CD">
            <w:pPr>
              <w:snapToGrid w:val="0"/>
              <w:spacing w:line="240" w:lineRule="exact"/>
              <w:rPr>
                <w:rFonts w:ascii="Arial" w:hAnsi="Arial" w:eastAsia="宋体" w:cs="Arial"/>
                <w:sz w:val="18"/>
                <w:szCs w:val="18"/>
              </w:rPr>
            </w:pPr>
            <w:r>
              <w:rPr>
                <w:rFonts w:ascii="Arial" w:hAnsi="Arial" w:eastAsia="宋体" w:cs="Arial"/>
                <w:sz w:val="18"/>
                <w:szCs w:val="18"/>
              </w:rPr>
              <w:t>0,      1.22</w:t>
            </w:r>
          </w:p>
        </w:tc>
        <w:tc>
          <w:tcPr>
            <w:tcW w:w="1665" w:type="dxa"/>
          </w:tcPr>
          <w:p w14:paraId="69300493">
            <w:pPr>
              <w:snapToGrid w:val="0"/>
              <w:spacing w:line="240" w:lineRule="exact"/>
              <w:rPr>
                <w:rFonts w:ascii="Arial" w:hAnsi="Arial" w:eastAsia="宋体" w:cs="Arial"/>
                <w:sz w:val="18"/>
                <w:szCs w:val="18"/>
              </w:rPr>
            </w:pPr>
            <w:r>
              <w:rPr>
                <w:rFonts w:ascii="Arial" w:hAnsi="Arial" w:eastAsia="宋体" w:cs="Arial"/>
                <w:sz w:val="18"/>
                <w:szCs w:val="18"/>
              </w:rPr>
              <w:t>0.99</w:t>
            </w:r>
          </w:p>
        </w:tc>
      </w:tr>
      <w:tr w14:paraId="60F0DA9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4F0F2FE1">
            <w:pPr>
              <w:snapToGrid w:val="0"/>
              <w:spacing w:line="240" w:lineRule="exact"/>
              <w:rPr>
                <w:rFonts w:ascii="Arial" w:hAnsi="Arial" w:eastAsia="宋体" w:cs="Arial"/>
                <w:sz w:val="18"/>
                <w:szCs w:val="18"/>
              </w:rPr>
            </w:pPr>
          </w:p>
        </w:tc>
        <w:tc>
          <w:tcPr>
            <w:tcW w:w="1385" w:type="dxa"/>
          </w:tcPr>
          <w:p w14:paraId="6310D007">
            <w:pPr>
              <w:snapToGrid w:val="0"/>
              <w:spacing w:line="240" w:lineRule="exact"/>
              <w:rPr>
                <w:rFonts w:ascii="Arial" w:hAnsi="Arial" w:eastAsia="宋体" w:cs="Arial"/>
                <w:sz w:val="18"/>
                <w:szCs w:val="18"/>
              </w:rPr>
            </w:pPr>
            <w:r>
              <w:rPr>
                <w:rFonts w:ascii="Arial" w:hAnsi="Arial" w:eastAsia="宋体" w:cs="Arial"/>
                <w:sz w:val="18"/>
                <w:szCs w:val="18"/>
              </w:rPr>
              <w:t>3</w:t>
            </w:r>
          </w:p>
        </w:tc>
        <w:tc>
          <w:tcPr>
            <w:tcW w:w="2257" w:type="dxa"/>
          </w:tcPr>
          <w:p w14:paraId="4378CAD9">
            <w:pPr>
              <w:snapToGrid w:val="0"/>
              <w:spacing w:line="240" w:lineRule="exact"/>
              <w:rPr>
                <w:rFonts w:ascii="Arial" w:hAnsi="Arial" w:eastAsia="宋体" w:cs="Arial"/>
                <w:sz w:val="18"/>
                <w:szCs w:val="18"/>
              </w:rPr>
            </w:pPr>
            <w:r>
              <w:rPr>
                <w:rFonts w:ascii="Arial" w:hAnsi="Arial" w:eastAsia="宋体" w:cs="Arial"/>
                <w:sz w:val="18"/>
                <w:szCs w:val="18"/>
              </w:rPr>
              <w:t>1</w:t>
            </w:r>
          </w:p>
        </w:tc>
        <w:tc>
          <w:tcPr>
            <w:tcW w:w="1665" w:type="dxa"/>
          </w:tcPr>
          <w:p w14:paraId="47CC8520">
            <w:pPr>
              <w:snapToGrid w:val="0"/>
              <w:spacing w:line="240" w:lineRule="exact"/>
              <w:rPr>
                <w:rFonts w:ascii="Arial" w:hAnsi="Arial" w:eastAsia="宋体" w:cs="Arial"/>
                <w:sz w:val="18"/>
                <w:szCs w:val="18"/>
              </w:rPr>
            </w:pPr>
            <w:r>
              <w:rPr>
                <w:rFonts w:ascii="Arial" w:hAnsi="Arial" w:eastAsia="宋体" w:cs="Arial"/>
                <w:sz w:val="18"/>
                <w:szCs w:val="18"/>
              </w:rPr>
              <w:t>0.21,   2.89</w:t>
            </w:r>
          </w:p>
        </w:tc>
        <w:tc>
          <w:tcPr>
            <w:tcW w:w="1665" w:type="dxa"/>
          </w:tcPr>
          <w:p w14:paraId="16664A6A">
            <w:pPr>
              <w:snapToGrid w:val="0"/>
              <w:spacing w:line="240" w:lineRule="exact"/>
              <w:rPr>
                <w:rFonts w:ascii="Arial" w:hAnsi="Arial" w:eastAsia="宋体" w:cs="Arial"/>
                <w:sz w:val="18"/>
                <w:szCs w:val="18"/>
              </w:rPr>
            </w:pPr>
            <w:r>
              <w:rPr>
                <w:rFonts w:ascii="Arial" w:hAnsi="Arial" w:eastAsia="宋体" w:cs="Arial"/>
                <w:sz w:val="18"/>
                <w:szCs w:val="18"/>
              </w:rPr>
              <w:t>2.56</w:t>
            </w:r>
          </w:p>
        </w:tc>
      </w:tr>
      <w:tr w14:paraId="445C624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25DE6476">
            <w:pPr>
              <w:snapToGrid w:val="0"/>
              <w:spacing w:line="240" w:lineRule="exact"/>
              <w:rPr>
                <w:rFonts w:ascii="Arial" w:hAnsi="Arial" w:eastAsia="宋体" w:cs="Arial"/>
                <w:sz w:val="18"/>
                <w:szCs w:val="18"/>
              </w:rPr>
            </w:pPr>
          </w:p>
        </w:tc>
        <w:tc>
          <w:tcPr>
            <w:tcW w:w="1385" w:type="dxa"/>
          </w:tcPr>
          <w:p w14:paraId="23B60FC0">
            <w:pPr>
              <w:snapToGrid w:val="0"/>
              <w:spacing w:line="240" w:lineRule="exact"/>
              <w:rPr>
                <w:rFonts w:ascii="Arial" w:hAnsi="Arial" w:eastAsia="宋体" w:cs="Arial"/>
                <w:sz w:val="18"/>
                <w:szCs w:val="18"/>
              </w:rPr>
            </w:pPr>
            <w:r>
              <w:rPr>
                <w:rFonts w:ascii="Arial" w:hAnsi="Arial" w:eastAsia="宋体" w:cs="Arial"/>
                <w:sz w:val="18"/>
                <w:szCs w:val="18"/>
              </w:rPr>
              <w:t>6</w:t>
            </w:r>
          </w:p>
        </w:tc>
        <w:tc>
          <w:tcPr>
            <w:tcW w:w="2257" w:type="dxa"/>
          </w:tcPr>
          <w:p w14:paraId="50309799">
            <w:pPr>
              <w:snapToGrid w:val="0"/>
              <w:spacing w:line="240" w:lineRule="exact"/>
              <w:rPr>
                <w:rFonts w:ascii="Arial" w:hAnsi="Arial" w:eastAsia="宋体" w:cs="Arial"/>
                <w:sz w:val="18"/>
                <w:szCs w:val="18"/>
              </w:rPr>
            </w:pPr>
            <w:r>
              <w:rPr>
                <w:rFonts w:ascii="Arial" w:hAnsi="Arial" w:eastAsia="宋体" w:cs="Arial"/>
                <w:sz w:val="18"/>
                <w:szCs w:val="18"/>
              </w:rPr>
              <w:t>2</w:t>
            </w:r>
          </w:p>
        </w:tc>
        <w:tc>
          <w:tcPr>
            <w:tcW w:w="1665" w:type="dxa"/>
          </w:tcPr>
          <w:p w14:paraId="7F7042BA">
            <w:pPr>
              <w:snapToGrid w:val="0"/>
              <w:spacing w:line="240" w:lineRule="exact"/>
              <w:rPr>
                <w:rFonts w:ascii="Arial" w:hAnsi="Arial" w:eastAsia="宋体" w:cs="Arial"/>
                <w:sz w:val="18"/>
                <w:szCs w:val="18"/>
              </w:rPr>
            </w:pPr>
            <w:r>
              <w:rPr>
                <w:rFonts w:ascii="Arial" w:hAnsi="Arial" w:eastAsia="宋体" w:cs="Arial"/>
                <w:sz w:val="18"/>
                <w:szCs w:val="18"/>
              </w:rPr>
              <w:t>0.74,   4.30</w:t>
            </w:r>
          </w:p>
        </w:tc>
        <w:tc>
          <w:tcPr>
            <w:tcW w:w="1665" w:type="dxa"/>
          </w:tcPr>
          <w:p w14:paraId="2A5F0BBF">
            <w:pPr>
              <w:snapToGrid w:val="0"/>
              <w:spacing w:line="240" w:lineRule="exact"/>
              <w:rPr>
                <w:rFonts w:ascii="Arial" w:hAnsi="Arial" w:eastAsia="宋体" w:cs="Arial"/>
                <w:sz w:val="18"/>
                <w:szCs w:val="18"/>
              </w:rPr>
            </w:pPr>
            <w:r>
              <w:rPr>
                <w:rFonts w:ascii="Arial" w:hAnsi="Arial" w:eastAsia="宋体" w:cs="Arial"/>
                <w:sz w:val="18"/>
                <w:szCs w:val="18"/>
              </w:rPr>
              <w:t>3.91</w:t>
            </w:r>
          </w:p>
        </w:tc>
      </w:tr>
      <w:tr w14:paraId="5D8F1D2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04D40F34">
            <w:pPr>
              <w:snapToGrid w:val="0"/>
              <w:spacing w:line="240" w:lineRule="exact"/>
              <w:rPr>
                <w:rFonts w:ascii="Arial" w:hAnsi="Arial" w:eastAsia="宋体" w:cs="Arial"/>
                <w:sz w:val="18"/>
                <w:szCs w:val="18"/>
              </w:rPr>
            </w:pPr>
          </w:p>
        </w:tc>
        <w:tc>
          <w:tcPr>
            <w:tcW w:w="1385" w:type="dxa"/>
          </w:tcPr>
          <w:p w14:paraId="20CABFE0">
            <w:pPr>
              <w:snapToGrid w:val="0"/>
              <w:spacing w:line="240" w:lineRule="exact"/>
              <w:rPr>
                <w:rFonts w:ascii="Arial" w:hAnsi="Arial" w:eastAsia="宋体" w:cs="Arial"/>
                <w:sz w:val="18"/>
                <w:szCs w:val="18"/>
              </w:rPr>
            </w:pPr>
            <w:r>
              <w:rPr>
                <w:rFonts w:ascii="Arial" w:hAnsi="Arial" w:eastAsia="宋体" w:cs="Arial"/>
                <w:sz w:val="18"/>
                <w:szCs w:val="18"/>
              </w:rPr>
              <w:t>9</w:t>
            </w:r>
          </w:p>
        </w:tc>
        <w:tc>
          <w:tcPr>
            <w:tcW w:w="2257" w:type="dxa"/>
          </w:tcPr>
          <w:p w14:paraId="3659F2CA">
            <w:pPr>
              <w:snapToGrid w:val="0"/>
              <w:spacing w:line="240" w:lineRule="exact"/>
              <w:rPr>
                <w:rFonts w:ascii="Arial" w:hAnsi="Arial" w:eastAsia="宋体" w:cs="Arial"/>
                <w:sz w:val="18"/>
                <w:szCs w:val="18"/>
              </w:rPr>
            </w:pPr>
            <w:r>
              <w:rPr>
                <w:rFonts w:ascii="Arial" w:hAnsi="Arial" w:eastAsia="宋体" w:cs="Arial"/>
                <w:sz w:val="18"/>
                <w:szCs w:val="18"/>
              </w:rPr>
              <w:t>3</w:t>
            </w:r>
          </w:p>
        </w:tc>
        <w:tc>
          <w:tcPr>
            <w:tcW w:w="1665" w:type="dxa"/>
          </w:tcPr>
          <w:p w14:paraId="1B7E47D9">
            <w:pPr>
              <w:snapToGrid w:val="0"/>
              <w:spacing w:line="240" w:lineRule="exact"/>
              <w:rPr>
                <w:rFonts w:ascii="Arial" w:hAnsi="Arial" w:eastAsia="宋体" w:cs="Arial"/>
                <w:sz w:val="18"/>
                <w:szCs w:val="18"/>
              </w:rPr>
            </w:pPr>
            <w:r>
              <w:rPr>
                <w:rFonts w:ascii="Arial" w:hAnsi="Arial" w:eastAsia="宋体" w:cs="Arial"/>
                <w:sz w:val="18"/>
                <w:szCs w:val="18"/>
              </w:rPr>
              <w:t>1.38,   5.62</w:t>
            </w:r>
          </w:p>
        </w:tc>
        <w:tc>
          <w:tcPr>
            <w:tcW w:w="1665" w:type="dxa"/>
          </w:tcPr>
          <w:p w14:paraId="288CC189">
            <w:pPr>
              <w:snapToGrid w:val="0"/>
              <w:spacing w:line="240" w:lineRule="exact"/>
              <w:rPr>
                <w:rFonts w:ascii="Arial" w:hAnsi="Arial" w:eastAsia="宋体" w:cs="Arial"/>
                <w:sz w:val="18"/>
                <w:szCs w:val="18"/>
              </w:rPr>
            </w:pPr>
            <w:r>
              <w:rPr>
                <w:rFonts w:ascii="Arial" w:hAnsi="Arial" w:eastAsia="宋体" w:cs="Arial"/>
                <w:sz w:val="18"/>
                <w:szCs w:val="18"/>
              </w:rPr>
              <w:t>5.18</w:t>
            </w:r>
          </w:p>
        </w:tc>
      </w:tr>
      <w:tr w14:paraId="549222B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53926E2D">
            <w:pPr>
              <w:snapToGrid w:val="0"/>
              <w:spacing w:line="240" w:lineRule="exact"/>
              <w:rPr>
                <w:rFonts w:ascii="Arial" w:hAnsi="Arial" w:eastAsia="宋体" w:cs="Arial"/>
                <w:sz w:val="18"/>
                <w:szCs w:val="18"/>
              </w:rPr>
            </w:pPr>
          </w:p>
        </w:tc>
        <w:tc>
          <w:tcPr>
            <w:tcW w:w="1385" w:type="dxa"/>
          </w:tcPr>
          <w:p w14:paraId="3B343112">
            <w:pPr>
              <w:snapToGrid w:val="0"/>
              <w:spacing w:line="240" w:lineRule="exact"/>
              <w:rPr>
                <w:rFonts w:ascii="Arial" w:hAnsi="Arial" w:eastAsia="宋体" w:cs="Arial"/>
                <w:sz w:val="18"/>
                <w:szCs w:val="18"/>
              </w:rPr>
            </w:pPr>
            <w:r>
              <w:rPr>
                <w:rFonts w:ascii="Arial" w:hAnsi="Arial" w:eastAsia="宋体" w:cs="Arial"/>
                <w:sz w:val="18"/>
                <w:szCs w:val="18"/>
              </w:rPr>
              <w:t>12</w:t>
            </w:r>
          </w:p>
        </w:tc>
        <w:tc>
          <w:tcPr>
            <w:tcW w:w="2257" w:type="dxa"/>
          </w:tcPr>
          <w:p w14:paraId="721BAD34">
            <w:pPr>
              <w:snapToGrid w:val="0"/>
              <w:spacing w:line="240" w:lineRule="exact"/>
              <w:rPr>
                <w:rFonts w:ascii="Arial" w:hAnsi="Arial" w:eastAsia="宋体" w:cs="Arial"/>
                <w:sz w:val="18"/>
                <w:szCs w:val="18"/>
              </w:rPr>
            </w:pPr>
            <w:r>
              <w:rPr>
                <w:rFonts w:ascii="Arial" w:hAnsi="Arial" w:eastAsia="宋体" w:cs="Arial"/>
                <w:sz w:val="18"/>
                <w:szCs w:val="18"/>
              </w:rPr>
              <w:t>4</w:t>
            </w:r>
          </w:p>
        </w:tc>
        <w:tc>
          <w:tcPr>
            <w:tcW w:w="1665" w:type="dxa"/>
          </w:tcPr>
          <w:p w14:paraId="57DD0D5D">
            <w:pPr>
              <w:snapToGrid w:val="0"/>
              <w:spacing w:line="240" w:lineRule="exact"/>
              <w:rPr>
                <w:rFonts w:ascii="Arial" w:hAnsi="Arial" w:eastAsia="宋体" w:cs="Arial"/>
                <w:sz w:val="18"/>
                <w:szCs w:val="18"/>
              </w:rPr>
            </w:pPr>
            <w:r>
              <w:rPr>
                <w:rFonts w:ascii="Arial" w:hAnsi="Arial" w:eastAsia="宋体" w:cs="Arial"/>
                <w:sz w:val="18"/>
                <w:szCs w:val="18"/>
              </w:rPr>
              <w:t>2.08,   6.88</w:t>
            </w:r>
          </w:p>
        </w:tc>
        <w:tc>
          <w:tcPr>
            <w:tcW w:w="1665" w:type="dxa"/>
          </w:tcPr>
          <w:p w14:paraId="1D7B5937">
            <w:pPr>
              <w:snapToGrid w:val="0"/>
              <w:spacing w:line="240" w:lineRule="exact"/>
              <w:rPr>
                <w:rFonts w:ascii="Arial" w:hAnsi="Arial" w:eastAsia="宋体" w:cs="Arial"/>
                <w:sz w:val="18"/>
                <w:szCs w:val="18"/>
              </w:rPr>
            </w:pPr>
            <w:r>
              <w:rPr>
                <w:rFonts w:ascii="Arial" w:hAnsi="Arial" w:eastAsia="宋体" w:cs="Arial"/>
                <w:sz w:val="18"/>
                <w:szCs w:val="18"/>
              </w:rPr>
              <w:t>6.40</w:t>
            </w:r>
          </w:p>
        </w:tc>
      </w:tr>
      <w:tr w14:paraId="431942D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01EA6025">
            <w:pPr>
              <w:snapToGrid w:val="0"/>
              <w:spacing w:line="240" w:lineRule="exact"/>
              <w:rPr>
                <w:rFonts w:ascii="Arial" w:hAnsi="Arial" w:eastAsia="宋体" w:cs="Arial"/>
                <w:sz w:val="18"/>
                <w:szCs w:val="18"/>
              </w:rPr>
            </w:pPr>
          </w:p>
        </w:tc>
        <w:tc>
          <w:tcPr>
            <w:tcW w:w="1385" w:type="dxa"/>
          </w:tcPr>
          <w:p w14:paraId="64BC0442">
            <w:pPr>
              <w:snapToGrid w:val="0"/>
              <w:spacing w:line="240" w:lineRule="exact"/>
              <w:rPr>
                <w:rFonts w:ascii="Arial" w:hAnsi="Arial" w:eastAsia="宋体" w:cs="Arial"/>
                <w:sz w:val="18"/>
                <w:szCs w:val="18"/>
              </w:rPr>
            </w:pPr>
            <w:r>
              <w:rPr>
                <w:rFonts w:ascii="Arial" w:hAnsi="Arial" w:eastAsia="宋体" w:cs="Arial"/>
                <w:sz w:val="18"/>
                <w:szCs w:val="18"/>
              </w:rPr>
              <w:t>15</w:t>
            </w:r>
          </w:p>
        </w:tc>
        <w:tc>
          <w:tcPr>
            <w:tcW w:w="2257" w:type="dxa"/>
          </w:tcPr>
          <w:p w14:paraId="2A302F8A">
            <w:pPr>
              <w:snapToGrid w:val="0"/>
              <w:spacing w:line="240" w:lineRule="exact"/>
              <w:rPr>
                <w:rFonts w:ascii="Arial" w:hAnsi="Arial" w:eastAsia="宋体" w:cs="Arial"/>
                <w:sz w:val="18"/>
                <w:szCs w:val="18"/>
              </w:rPr>
            </w:pPr>
            <w:r>
              <w:rPr>
                <w:rFonts w:ascii="Arial" w:hAnsi="Arial" w:eastAsia="宋体" w:cs="Arial"/>
                <w:sz w:val="18"/>
                <w:szCs w:val="18"/>
              </w:rPr>
              <w:t>5</w:t>
            </w:r>
          </w:p>
        </w:tc>
        <w:tc>
          <w:tcPr>
            <w:tcW w:w="1665" w:type="dxa"/>
          </w:tcPr>
          <w:p w14:paraId="3322CC08">
            <w:pPr>
              <w:snapToGrid w:val="0"/>
              <w:spacing w:line="240" w:lineRule="exact"/>
              <w:rPr>
                <w:rFonts w:ascii="Arial" w:hAnsi="Arial" w:eastAsia="宋体" w:cs="Arial"/>
                <w:sz w:val="18"/>
                <w:szCs w:val="18"/>
              </w:rPr>
            </w:pPr>
            <w:r>
              <w:rPr>
                <w:rFonts w:ascii="Arial" w:hAnsi="Arial" w:eastAsia="宋体" w:cs="Arial"/>
                <w:sz w:val="18"/>
                <w:szCs w:val="18"/>
              </w:rPr>
              <w:t>2.83,   8.11</w:t>
            </w:r>
          </w:p>
        </w:tc>
        <w:tc>
          <w:tcPr>
            <w:tcW w:w="1665" w:type="dxa"/>
          </w:tcPr>
          <w:p w14:paraId="597F1DD0">
            <w:pPr>
              <w:snapToGrid w:val="0"/>
              <w:spacing w:line="240" w:lineRule="exact"/>
              <w:rPr>
                <w:rFonts w:ascii="Arial" w:hAnsi="Arial" w:eastAsia="宋体" w:cs="Arial"/>
                <w:sz w:val="18"/>
                <w:szCs w:val="18"/>
              </w:rPr>
            </w:pPr>
            <w:r>
              <w:rPr>
                <w:rFonts w:ascii="Arial" w:hAnsi="Arial" w:eastAsia="宋体" w:cs="Arial"/>
                <w:sz w:val="18"/>
                <w:szCs w:val="18"/>
              </w:rPr>
              <w:t>7.59</w:t>
            </w:r>
          </w:p>
        </w:tc>
      </w:tr>
      <w:tr w14:paraId="3EC959A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1602B136">
            <w:pPr>
              <w:snapToGrid w:val="0"/>
              <w:spacing w:line="240" w:lineRule="exact"/>
              <w:rPr>
                <w:rFonts w:ascii="Arial" w:hAnsi="Arial" w:eastAsia="宋体" w:cs="Arial"/>
                <w:sz w:val="18"/>
                <w:szCs w:val="18"/>
              </w:rPr>
            </w:pPr>
          </w:p>
        </w:tc>
        <w:tc>
          <w:tcPr>
            <w:tcW w:w="1385" w:type="dxa"/>
          </w:tcPr>
          <w:p w14:paraId="3FA2E11D">
            <w:pPr>
              <w:snapToGrid w:val="0"/>
              <w:spacing w:line="240" w:lineRule="exact"/>
              <w:rPr>
                <w:rFonts w:ascii="Arial" w:hAnsi="Arial" w:eastAsia="宋体" w:cs="Arial"/>
                <w:sz w:val="18"/>
                <w:szCs w:val="18"/>
              </w:rPr>
            </w:pPr>
          </w:p>
        </w:tc>
        <w:tc>
          <w:tcPr>
            <w:tcW w:w="2257" w:type="dxa"/>
          </w:tcPr>
          <w:p w14:paraId="39F5D152">
            <w:pPr>
              <w:snapToGrid w:val="0"/>
              <w:spacing w:line="240" w:lineRule="exact"/>
              <w:rPr>
                <w:rFonts w:ascii="Arial" w:hAnsi="Arial" w:eastAsia="宋体" w:cs="Arial"/>
                <w:sz w:val="18"/>
                <w:szCs w:val="18"/>
              </w:rPr>
            </w:pPr>
          </w:p>
        </w:tc>
        <w:tc>
          <w:tcPr>
            <w:tcW w:w="1665" w:type="dxa"/>
          </w:tcPr>
          <w:p w14:paraId="11044897">
            <w:pPr>
              <w:snapToGrid w:val="0"/>
              <w:spacing w:line="240" w:lineRule="exact"/>
              <w:rPr>
                <w:rFonts w:ascii="Arial" w:hAnsi="Arial" w:eastAsia="宋体" w:cs="Arial"/>
                <w:sz w:val="18"/>
                <w:szCs w:val="18"/>
              </w:rPr>
            </w:pPr>
          </w:p>
        </w:tc>
        <w:tc>
          <w:tcPr>
            <w:tcW w:w="1665" w:type="dxa"/>
          </w:tcPr>
          <w:p w14:paraId="5685B286">
            <w:pPr>
              <w:snapToGrid w:val="0"/>
              <w:spacing w:line="240" w:lineRule="exact"/>
              <w:rPr>
                <w:rFonts w:ascii="Arial" w:hAnsi="Arial" w:eastAsia="宋体" w:cs="Arial"/>
                <w:sz w:val="18"/>
                <w:szCs w:val="18"/>
              </w:rPr>
            </w:pPr>
          </w:p>
        </w:tc>
      </w:tr>
      <w:tr w14:paraId="1C4DE7A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3EE638FB">
            <w:pPr>
              <w:snapToGrid w:val="0"/>
              <w:spacing w:line="240" w:lineRule="exact"/>
              <w:rPr>
                <w:rFonts w:ascii="Arial" w:hAnsi="Arial" w:eastAsia="宋体" w:cs="Arial"/>
                <w:sz w:val="18"/>
                <w:szCs w:val="18"/>
              </w:rPr>
            </w:pPr>
            <w:r>
              <w:rPr>
                <w:rFonts w:ascii="Arial" w:hAnsi="Arial" w:eastAsia="宋体" w:cs="Arial"/>
                <w:sz w:val="18"/>
                <w:szCs w:val="18"/>
              </w:rPr>
              <w:t>400</w:t>
            </w:r>
          </w:p>
        </w:tc>
        <w:tc>
          <w:tcPr>
            <w:tcW w:w="1385" w:type="dxa"/>
          </w:tcPr>
          <w:p w14:paraId="0E8FFBFC">
            <w:pPr>
              <w:snapToGrid w:val="0"/>
              <w:spacing w:line="240" w:lineRule="exact"/>
              <w:rPr>
                <w:rFonts w:ascii="Arial" w:hAnsi="Arial" w:eastAsia="宋体" w:cs="Arial"/>
                <w:sz w:val="18"/>
                <w:szCs w:val="18"/>
              </w:rPr>
            </w:pPr>
            <w:r>
              <w:rPr>
                <w:rFonts w:ascii="Arial" w:hAnsi="Arial" w:eastAsia="宋体" w:cs="Arial"/>
                <w:sz w:val="18"/>
                <w:szCs w:val="18"/>
              </w:rPr>
              <w:t>0</w:t>
            </w:r>
          </w:p>
        </w:tc>
        <w:tc>
          <w:tcPr>
            <w:tcW w:w="2257" w:type="dxa"/>
          </w:tcPr>
          <w:p w14:paraId="507BA51D">
            <w:pPr>
              <w:snapToGrid w:val="0"/>
              <w:spacing w:line="240" w:lineRule="exact"/>
              <w:rPr>
                <w:rFonts w:ascii="Arial" w:hAnsi="Arial" w:eastAsia="宋体" w:cs="Arial"/>
                <w:sz w:val="18"/>
                <w:szCs w:val="18"/>
              </w:rPr>
            </w:pPr>
            <w:r>
              <w:rPr>
                <w:rFonts w:ascii="Arial" w:hAnsi="Arial" w:eastAsia="宋体" w:cs="Arial"/>
                <w:sz w:val="18"/>
                <w:szCs w:val="18"/>
              </w:rPr>
              <w:t>0</w:t>
            </w:r>
          </w:p>
        </w:tc>
        <w:tc>
          <w:tcPr>
            <w:tcW w:w="1665" w:type="dxa"/>
          </w:tcPr>
          <w:p w14:paraId="47D84A23">
            <w:pPr>
              <w:snapToGrid w:val="0"/>
              <w:spacing w:line="240" w:lineRule="exact"/>
              <w:rPr>
                <w:rFonts w:ascii="Arial" w:hAnsi="Arial" w:eastAsia="宋体" w:cs="Arial"/>
                <w:sz w:val="18"/>
                <w:szCs w:val="18"/>
              </w:rPr>
            </w:pPr>
            <w:r>
              <w:rPr>
                <w:rFonts w:ascii="Arial" w:hAnsi="Arial" w:eastAsia="宋体" w:cs="Arial"/>
                <w:sz w:val="18"/>
                <w:szCs w:val="18"/>
              </w:rPr>
              <w:t>0,      0.92</w:t>
            </w:r>
          </w:p>
        </w:tc>
        <w:tc>
          <w:tcPr>
            <w:tcW w:w="1665" w:type="dxa"/>
          </w:tcPr>
          <w:p w14:paraId="1456A268">
            <w:pPr>
              <w:snapToGrid w:val="0"/>
              <w:spacing w:line="240" w:lineRule="exact"/>
              <w:rPr>
                <w:rFonts w:ascii="Arial" w:hAnsi="Arial" w:eastAsia="宋体" w:cs="Arial"/>
                <w:sz w:val="18"/>
                <w:szCs w:val="18"/>
              </w:rPr>
            </w:pPr>
            <w:r>
              <w:rPr>
                <w:rFonts w:ascii="Arial" w:hAnsi="Arial" w:eastAsia="宋体" w:cs="Arial"/>
                <w:sz w:val="18"/>
                <w:szCs w:val="18"/>
              </w:rPr>
              <w:t>0.75</w:t>
            </w:r>
          </w:p>
        </w:tc>
      </w:tr>
      <w:tr w14:paraId="3A3010F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7AD36FD5">
            <w:pPr>
              <w:snapToGrid w:val="0"/>
              <w:spacing w:line="240" w:lineRule="exact"/>
              <w:rPr>
                <w:rFonts w:ascii="Arial" w:hAnsi="Arial" w:eastAsia="宋体" w:cs="Arial"/>
                <w:sz w:val="18"/>
                <w:szCs w:val="18"/>
              </w:rPr>
            </w:pPr>
          </w:p>
        </w:tc>
        <w:tc>
          <w:tcPr>
            <w:tcW w:w="1385" w:type="dxa"/>
          </w:tcPr>
          <w:p w14:paraId="4F57010C">
            <w:pPr>
              <w:snapToGrid w:val="0"/>
              <w:spacing w:line="240" w:lineRule="exact"/>
              <w:rPr>
                <w:rFonts w:ascii="Arial" w:hAnsi="Arial" w:eastAsia="宋体" w:cs="Arial"/>
                <w:sz w:val="18"/>
                <w:szCs w:val="18"/>
              </w:rPr>
            </w:pPr>
            <w:r>
              <w:rPr>
                <w:rFonts w:ascii="Arial" w:hAnsi="Arial" w:eastAsia="宋体" w:cs="Arial"/>
                <w:sz w:val="18"/>
                <w:szCs w:val="18"/>
              </w:rPr>
              <w:t>4</w:t>
            </w:r>
          </w:p>
        </w:tc>
        <w:tc>
          <w:tcPr>
            <w:tcW w:w="2257" w:type="dxa"/>
          </w:tcPr>
          <w:p w14:paraId="05A4591B">
            <w:pPr>
              <w:snapToGrid w:val="0"/>
              <w:spacing w:line="240" w:lineRule="exact"/>
              <w:rPr>
                <w:rFonts w:ascii="Arial" w:hAnsi="Arial" w:eastAsia="宋体" w:cs="Arial"/>
                <w:sz w:val="18"/>
                <w:szCs w:val="18"/>
              </w:rPr>
            </w:pPr>
            <w:r>
              <w:rPr>
                <w:rFonts w:ascii="Arial" w:hAnsi="Arial" w:eastAsia="宋体" w:cs="Arial"/>
                <w:sz w:val="18"/>
                <w:szCs w:val="18"/>
              </w:rPr>
              <w:t>1</w:t>
            </w:r>
          </w:p>
        </w:tc>
        <w:tc>
          <w:tcPr>
            <w:tcW w:w="1665" w:type="dxa"/>
          </w:tcPr>
          <w:p w14:paraId="02539D75">
            <w:pPr>
              <w:snapToGrid w:val="0"/>
              <w:spacing w:line="240" w:lineRule="exact"/>
              <w:rPr>
                <w:rFonts w:ascii="Arial" w:hAnsi="Arial" w:eastAsia="宋体" w:cs="Arial"/>
                <w:sz w:val="18"/>
                <w:szCs w:val="18"/>
              </w:rPr>
            </w:pPr>
            <w:r>
              <w:rPr>
                <w:rFonts w:ascii="Arial" w:hAnsi="Arial" w:eastAsia="宋体" w:cs="Arial"/>
                <w:sz w:val="18"/>
                <w:szCs w:val="18"/>
              </w:rPr>
              <w:t>0.27,   2.54</w:t>
            </w:r>
          </w:p>
        </w:tc>
        <w:tc>
          <w:tcPr>
            <w:tcW w:w="1665" w:type="dxa"/>
          </w:tcPr>
          <w:p w14:paraId="5A36A69F">
            <w:pPr>
              <w:snapToGrid w:val="0"/>
              <w:spacing w:line="240" w:lineRule="exact"/>
              <w:rPr>
                <w:rFonts w:ascii="Arial" w:hAnsi="Arial" w:eastAsia="宋体" w:cs="Arial"/>
                <w:sz w:val="18"/>
                <w:szCs w:val="18"/>
              </w:rPr>
            </w:pPr>
            <w:r>
              <w:rPr>
                <w:rFonts w:ascii="Arial" w:hAnsi="Arial" w:eastAsia="宋体" w:cs="Arial"/>
                <w:sz w:val="18"/>
                <w:szCs w:val="18"/>
              </w:rPr>
              <w:t>2.27</w:t>
            </w:r>
          </w:p>
        </w:tc>
      </w:tr>
      <w:tr w14:paraId="0A1C527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524DF01A">
            <w:pPr>
              <w:snapToGrid w:val="0"/>
              <w:spacing w:line="240" w:lineRule="exact"/>
              <w:rPr>
                <w:rFonts w:ascii="Arial" w:hAnsi="Arial" w:eastAsia="宋体" w:cs="Arial"/>
                <w:sz w:val="18"/>
                <w:szCs w:val="18"/>
              </w:rPr>
            </w:pPr>
          </w:p>
        </w:tc>
        <w:tc>
          <w:tcPr>
            <w:tcW w:w="1385" w:type="dxa"/>
          </w:tcPr>
          <w:p w14:paraId="00FA814E">
            <w:pPr>
              <w:snapToGrid w:val="0"/>
              <w:spacing w:line="240" w:lineRule="exact"/>
              <w:rPr>
                <w:rFonts w:ascii="Arial" w:hAnsi="Arial" w:eastAsia="宋体" w:cs="Arial"/>
                <w:sz w:val="18"/>
                <w:szCs w:val="18"/>
              </w:rPr>
            </w:pPr>
            <w:r>
              <w:rPr>
                <w:rFonts w:ascii="Arial" w:hAnsi="Arial" w:eastAsia="宋体" w:cs="Arial"/>
                <w:sz w:val="18"/>
                <w:szCs w:val="18"/>
              </w:rPr>
              <w:t>8</w:t>
            </w:r>
          </w:p>
        </w:tc>
        <w:tc>
          <w:tcPr>
            <w:tcW w:w="2257" w:type="dxa"/>
          </w:tcPr>
          <w:p w14:paraId="23DA2B80">
            <w:pPr>
              <w:snapToGrid w:val="0"/>
              <w:spacing w:line="240" w:lineRule="exact"/>
              <w:rPr>
                <w:rFonts w:ascii="Arial" w:hAnsi="Arial" w:eastAsia="宋体" w:cs="Arial"/>
                <w:sz w:val="18"/>
                <w:szCs w:val="18"/>
              </w:rPr>
            </w:pPr>
            <w:r>
              <w:rPr>
                <w:rFonts w:ascii="Arial" w:hAnsi="Arial" w:eastAsia="宋体" w:cs="Arial"/>
                <w:sz w:val="18"/>
                <w:szCs w:val="18"/>
              </w:rPr>
              <w:t>2</w:t>
            </w:r>
          </w:p>
        </w:tc>
        <w:tc>
          <w:tcPr>
            <w:tcW w:w="1665" w:type="dxa"/>
          </w:tcPr>
          <w:p w14:paraId="6AD50A67">
            <w:pPr>
              <w:snapToGrid w:val="0"/>
              <w:spacing w:line="240" w:lineRule="exact"/>
              <w:rPr>
                <w:rFonts w:ascii="Arial" w:hAnsi="Arial" w:eastAsia="宋体" w:cs="Arial"/>
                <w:sz w:val="18"/>
                <w:szCs w:val="18"/>
              </w:rPr>
            </w:pPr>
            <w:r>
              <w:rPr>
                <w:rFonts w:ascii="Arial" w:hAnsi="Arial" w:eastAsia="宋体" w:cs="Arial"/>
                <w:sz w:val="18"/>
                <w:szCs w:val="18"/>
              </w:rPr>
              <w:t>0.87,   3.90</w:t>
            </w:r>
          </w:p>
        </w:tc>
        <w:tc>
          <w:tcPr>
            <w:tcW w:w="1665" w:type="dxa"/>
          </w:tcPr>
          <w:p w14:paraId="162BDBAF">
            <w:pPr>
              <w:snapToGrid w:val="0"/>
              <w:spacing w:line="240" w:lineRule="exact"/>
              <w:rPr>
                <w:rFonts w:ascii="Arial" w:hAnsi="Arial" w:eastAsia="宋体" w:cs="Arial"/>
                <w:sz w:val="18"/>
                <w:szCs w:val="18"/>
              </w:rPr>
            </w:pPr>
            <w:r>
              <w:rPr>
                <w:rFonts w:ascii="Arial" w:hAnsi="Arial" w:eastAsia="宋体" w:cs="Arial"/>
                <w:sz w:val="18"/>
                <w:szCs w:val="18"/>
              </w:rPr>
              <w:t>3.58</w:t>
            </w:r>
          </w:p>
        </w:tc>
      </w:tr>
      <w:tr w14:paraId="588BD19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02B8EE9A">
            <w:pPr>
              <w:snapToGrid w:val="0"/>
              <w:spacing w:line="240" w:lineRule="exact"/>
              <w:rPr>
                <w:rFonts w:ascii="Arial" w:hAnsi="Arial" w:eastAsia="宋体" w:cs="Arial"/>
                <w:sz w:val="18"/>
                <w:szCs w:val="18"/>
              </w:rPr>
            </w:pPr>
          </w:p>
        </w:tc>
        <w:tc>
          <w:tcPr>
            <w:tcW w:w="1385" w:type="dxa"/>
          </w:tcPr>
          <w:p w14:paraId="1C05A0D7">
            <w:pPr>
              <w:snapToGrid w:val="0"/>
              <w:spacing w:line="240" w:lineRule="exact"/>
              <w:rPr>
                <w:rFonts w:ascii="Arial" w:hAnsi="Arial" w:eastAsia="宋体" w:cs="Arial"/>
                <w:sz w:val="18"/>
                <w:szCs w:val="18"/>
              </w:rPr>
            </w:pPr>
            <w:r>
              <w:rPr>
                <w:rFonts w:ascii="Arial" w:hAnsi="Arial" w:eastAsia="宋体" w:cs="Arial"/>
                <w:sz w:val="18"/>
                <w:szCs w:val="18"/>
              </w:rPr>
              <w:t>12</w:t>
            </w:r>
          </w:p>
        </w:tc>
        <w:tc>
          <w:tcPr>
            <w:tcW w:w="2257" w:type="dxa"/>
          </w:tcPr>
          <w:p w14:paraId="1E9858C9">
            <w:pPr>
              <w:snapToGrid w:val="0"/>
              <w:spacing w:line="240" w:lineRule="exact"/>
              <w:rPr>
                <w:rFonts w:ascii="Arial" w:hAnsi="Arial" w:eastAsia="宋体" w:cs="Arial"/>
                <w:sz w:val="18"/>
                <w:szCs w:val="18"/>
              </w:rPr>
            </w:pPr>
            <w:r>
              <w:rPr>
                <w:rFonts w:ascii="Arial" w:hAnsi="Arial" w:eastAsia="宋体" w:cs="Arial"/>
                <w:sz w:val="18"/>
                <w:szCs w:val="18"/>
              </w:rPr>
              <w:t>3</w:t>
            </w:r>
          </w:p>
        </w:tc>
        <w:tc>
          <w:tcPr>
            <w:tcW w:w="1665" w:type="dxa"/>
          </w:tcPr>
          <w:p w14:paraId="4875A9DC">
            <w:pPr>
              <w:snapToGrid w:val="0"/>
              <w:spacing w:line="240" w:lineRule="exact"/>
              <w:rPr>
                <w:rFonts w:ascii="Arial" w:hAnsi="Arial" w:eastAsia="宋体" w:cs="Arial"/>
                <w:sz w:val="18"/>
                <w:szCs w:val="18"/>
              </w:rPr>
            </w:pPr>
            <w:r>
              <w:rPr>
                <w:rFonts w:ascii="Arial" w:hAnsi="Arial" w:eastAsia="宋体" w:cs="Arial"/>
                <w:sz w:val="18"/>
                <w:szCs w:val="18"/>
              </w:rPr>
              <w:t>1.56,   5.18</w:t>
            </w:r>
          </w:p>
        </w:tc>
        <w:tc>
          <w:tcPr>
            <w:tcW w:w="1665" w:type="dxa"/>
          </w:tcPr>
          <w:p w14:paraId="027C21D2">
            <w:pPr>
              <w:snapToGrid w:val="0"/>
              <w:spacing w:line="240" w:lineRule="exact"/>
              <w:rPr>
                <w:rFonts w:ascii="Arial" w:hAnsi="Arial" w:eastAsia="宋体" w:cs="Arial"/>
                <w:sz w:val="18"/>
                <w:szCs w:val="18"/>
              </w:rPr>
            </w:pPr>
            <w:r>
              <w:rPr>
                <w:rFonts w:ascii="Arial" w:hAnsi="Arial" w:eastAsia="宋体" w:cs="Arial"/>
                <w:sz w:val="18"/>
                <w:szCs w:val="18"/>
              </w:rPr>
              <w:t>4.82</w:t>
            </w:r>
          </w:p>
        </w:tc>
      </w:tr>
      <w:tr w14:paraId="6BE0EC2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57EF3980">
            <w:pPr>
              <w:snapToGrid w:val="0"/>
              <w:spacing w:line="240" w:lineRule="exact"/>
              <w:rPr>
                <w:rFonts w:ascii="Arial" w:hAnsi="Arial" w:eastAsia="宋体" w:cs="Arial"/>
                <w:sz w:val="18"/>
                <w:szCs w:val="18"/>
              </w:rPr>
            </w:pPr>
          </w:p>
        </w:tc>
        <w:tc>
          <w:tcPr>
            <w:tcW w:w="1385" w:type="dxa"/>
          </w:tcPr>
          <w:p w14:paraId="1718A217">
            <w:pPr>
              <w:snapToGrid w:val="0"/>
              <w:spacing w:line="240" w:lineRule="exact"/>
              <w:rPr>
                <w:rFonts w:ascii="Arial" w:hAnsi="Arial" w:eastAsia="宋体" w:cs="Arial"/>
                <w:sz w:val="18"/>
                <w:szCs w:val="18"/>
              </w:rPr>
            </w:pPr>
            <w:r>
              <w:rPr>
                <w:rFonts w:ascii="Arial" w:hAnsi="Arial" w:eastAsia="宋体" w:cs="Arial"/>
                <w:sz w:val="18"/>
                <w:szCs w:val="18"/>
              </w:rPr>
              <w:t>16</w:t>
            </w:r>
          </w:p>
        </w:tc>
        <w:tc>
          <w:tcPr>
            <w:tcW w:w="2257" w:type="dxa"/>
          </w:tcPr>
          <w:p w14:paraId="02A4C742">
            <w:pPr>
              <w:snapToGrid w:val="0"/>
              <w:spacing w:line="240" w:lineRule="exact"/>
              <w:rPr>
                <w:rFonts w:ascii="Arial" w:hAnsi="Arial" w:eastAsia="宋体" w:cs="Arial"/>
                <w:sz w:val="18"/>
                <w:szCs w:val="18"/>
              </w:rPr>
            </w:pPr>
            <w:r>
              <w:rPr>
                <w:rFonts w:ascii="Arial" w:hAnsi="Arial" w:eastAsia="宋体" w:cs="Arial"/>
                <w:sz w:val="18"/>
                <w:szCs w:val="18"/>
              </w:rPr>
              <w:t>4</w:t>
            </w:r>
          </w:p>
        </w:tc>
        <w:tc>
          <w:tcPr>
            <w:tcW w:w="1665" w:type="dxa"/>
          </w:tcPr>
          <w:p w14:paraId="6321F4B0">
            <w:pPr>
              <w:snapToGrid w:val="0"/>
              <w:spacing w:line="240" w:lineRule="exact"/>
              <w:rPr>
                <w:rFonts w:ascii="Arial" w:hAnsi="Arial" w:eastAsia="宋体" w:cs="Arial"/>
                <w:sz w:val="18"/>
                <w:szCs w:val="18"/>
              </w:rPr>
            </w:pPr>
            <w:r>
              <w:rPr>
                <w:rFonts w:ascii="Arial" w:hAnsi="Arial" w:eastAsia="宋体" w:cs="Arial"/>
                <w:sz w:val="18"/>
                <w:szCs w:val="18"/>
              </w:rPr>
              <w:t>2.30,   6.41</w:t>
            </w:r>
          </w:p>
        </w:tc>
        <w:tc>
          <w:tcPr>
            <w:tcW w:w="1665" w:type="dxa"/>
          </w:tcPr>
          <w:p w14:paraId="4F8DA0F3">
            <w:pPr>
              <w:snapToGrid w:val="0"/>
              <w:spacing w:line="240" w:lineRule="exact"/>
              <w:rPr>
                <w:rFonts w:ascii="Arial" w:hAnsi="Arial" w:eastAsia="宋体" w:cs="Arial"/>
                <w:sz w:val="18"/>
                <w:szCs w:val="18"/>
              </w:rPr>
            </w:pPr>
            <w:r>
              <w:rPr>
                <w:rFonts w:ascii="Arial" w:hAnsi="Arial" w:eastAsia="宋体" w:cs="Arial"/>
                <w:sz w:val="18"/>
                <w:szCs w:val="18"/>
              </w:rPr>
              <w:t>6.01</w:t>
            </w:r>
          </w:p>
        </w:tc>
      </w:tr>
      <w:tr w14:paraId="11071B6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5D7E276F">
            <w:pPr>
              <w:snapToGrid w:val="0"/>
              <w:spacing w:line="240" w:lineRule="exact"/>
              <w:rPr>
                <w:rFonts w:ascii="Arial" w:hAnsi="Arial" w:eastAsia="宋体" w:cs="Arial"/>
                <w:sz w:val="18"/>
                <w:szCs w:val="18"/>
              </w:rPr>
            </w:pPr>
          </w:p>
        </w:tc>
        <w:tc>
          <w:tcPr>
            <w:tcW w:w="1385" w:type="dxa"/>
          </w:tcPr>
          <w:p w14:paraId="454C8B63">
            <w:pPr>
              <w:snapToGrid w:val="0"/>
              <w:spacing w:line="240" w:lineRule="exact"/>
              <w:rPr>
                <w:rFonts w:ascii="Arial" w:hAnsi="Arial" w:eastAsia="宋体" w:cs="Arial"/>
                <w:sz w:val="18"/>
                <w:szCs w:val="18"/>
              </w:rPr>
            </w:pPr>
            <w:r>
              <w:rPr>
                <w:rFonts w:ascii="Arial" w:hAnsi="Arial" w:eastAsia="宋体" w:cs="Arial"/>
                <w:sz w:val="18"/>
                <w:szCs w:val="18"/>
              </w:rPr>
              <w:t>20</w:t>
            </w:r>
          </w:p>
        </w:tc>
        <w:tc>
          <w:tcPr>
            <w:tcW w:w="2257" w:type="dxa"/>
          </w:tcPr>
          <w:p w14:paraId="1E165531">
            <w:pPr>
              <w:snapToGrid w:val="0"/>
              <w:spacing w:line="240" w:lineRule="exact"/>
              <w:rPr>
                <w:rFonts w:ascii="Arial" w:hAnsi="Arial" w:eastAsia="宋体" w:cs="Arial"/>
                <w:sz w:val="18"/>
                <w:szCs w:val="18"/>
              </w:rPr>
            </w:pPr>
            <w:r>
              <w:rPr>
                <w:rFonts w:ascii="Arial" w:hAnsi="Arial" w:eastAsia="宋体" w:cs="Arial"/>
                <w:sz w:val="18"/>
                <w:szCs w:val="18"/>
              </w:rPr>
              <w:t>5</w:t>
            </w:r>
          </w:p>
        </w:tc>
        <w:tc>
          <w:tcPr>
            <w:tcW w:w="1665" w:type="dxa"/>
          </w:tcPr>
          <w:p w14:paraId="594BE353">
            <w:pPr>
              <w:snapToGrid w:val="0"/>
              <w:spacing w:line="240" w:lineRule="exact"/>
              <w:rPr>
                <w:rFonts w:ascii="Arial" w:hAnsi="Arial" w:eastAsia="宋体" w:cs="Arial"/>
                <w:sz w:val="18"/>
                <w:szCs w:val="18"/>
              </w:rPr>
            </w:pPr>
            <w:r>
              <w:rPr>
                <w:rFonts w:ascii="Arial" w:hAnsi="Arial" w:eastAsia="宋体" w:cs="Arial"/>
                <w:sz w:val="18"/>
                <w:szCs w:val="18"/>
              </w:rPr>
              <w:t>3.08,   7.62</w:t>
            </w:r>
          </w:p>
        </w:tc>
        <w:tc>
          <w:tcPr>
            <w:tcW w:w="1665" w:type="dxa"/>
          </w:tcPr>
          <w:p w14:paraId="4AA3047C">
            <w:pPr>
              <w:snapToGrid w:val="0"/>
              <w:spacing w:line="240" w:lineRule="exact"/>
              <w:rPr>
                <w:rFonts w:ascii="Arial" w:hAnsi="Arial" w:eastAsia="宋体" w:cs="Arial"/>
                <w:sz w:val="18"/>
                <w:szCs w:val="18"/>
              </w:rPr>
            </w:pPr>
            <w:r>
              <w:rPr>
                <w:rFonts w:ascii="Arial" w:hAnsi="Arial" w:eastAsia="宋体" w:cs="Arial"/>
                <w:sz w:val="18"/>
                <w:szCs w:val="18"/>
              </w:rPr>
              <w:t>7.18</w:t>
            </w:r>
          </w:p>
        </w:tc>
      </w:tr>
      <w:tr w14:paraId="61FD4B7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3D92F95F">
            <w:pPr>
              <w:snapToGrid w:val="0"/>
              <w:spacing w:line="240" w:lineRule="exact"/>
              <w:rPr>
                <w:rFonts w:ascii="Arial" w:hAnsi="Arial" w:eastAsia="宋体" w:cs="Arial"/>
                <w:sz w:val="18"/>
                <w:szCs w:val="18"/>
              </w:rPr>
            </w:pPr>
          </w:p>
        </w:tc>
        <w:tc>
          <w:tcPr>
            <w:tcW w:w="1385" w:type="dxa"/>
          </w:tcPr>
          <w:p w14:paraId="5BBC3A3C">
            <w:pPr>
              <w:snapToGrid w:val="0"/>
              <w:spacing w:line="240" w:lineRule="exact"/>
              <w:rPr>
                <w:rFonts w:ascii="Arial" w:hAnsi="Arial" w:eastAsia="宋体" w:cs="Arial"/>
                <w:sz w:val="18"/>
                <w:szCs w:val="18"/>
              </w:rPr>
            </w:pPr>
          </w:p>
        </w:tc>
        <w:tc>
          <w:tcPr>
            <w:tcW w:w="2257" w:type="dxa"/>
          </w:tcPr>
          <w:p w14:paraId="3F6FBE62">
            <w:pPr>
              <w:snapToGrid w:val="0"/>
              <w:spacing w:line="240" w:lineRule="exact"/>
              <w:rPr>
                <w:rFonts w:ascii="Arial" w:hAnsi="Arial" w:eastAsia="宋体" w:cs="Arial"/>
                <w:sz w:val="18"/>
                <w:szCs w:val="18"/>
              </w:rPr>
            </w:pPr>
          </w:p>
        </w:tc>
        <w:tc>
          <w:tcPr>
            <w:tcW w:w="1665" w:type="dxa"/>
          </w:tcPr>
          <w:p w14:paraId="2B298D24">
            <w:pPr>
              <w:snapToGrid w:val="0"/>
              <w:spacing w:line="240" w:lineRule="exact"/>
              <w:rPr>
                <w:rFonts w:ascii="Arial" w:hAnsi="Arial" w:eastAsia="宋体" w:cs="Arial"/>
                <w:sz w:val="18"/>
                <w:szCs w:val="18"/>
              </w:rPr>
            </w:pPr>
          </w:p>
        </w:tc>
        <w:tc>
          <w:tcPr>
            <w:tcW w:w="1665" w:type="dxa"/>
          </w:tcPr>
          <w:p w14:paraId="59D438CD">
            <w:pPr>
              <w:snapToGrid w:val="0"/>
              <w:spacing w:line="240" w:lineRule="exact"/>
              <w:rPr>
                <w:rFonts w:ascii="Arial" w:hAnsi="Arial" w:eastAsia="宋体" w:cs="Arial"/>
                <w:sz w:val="18"/>
                <w:szCs w:val="18"/>
              </w:rPr>
            </w:pPr>
          </w:p>
        </w:tc>
      </w:tr>
      <w:tr w14:paraId="2B8124F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4595623C">
            <w:pPr>
              <w:snapToGrid w:val="0"/>
              <w:spacing w:line="240" w:lineRule="exact"/>
              <w:rPr>
                <w:rFonts w:ascii="Arial" w:hAnsi="Arial" w:eastAsia="宋体" w:cs="Arial"/>
                <w:sz w:val="18"/>
                <w:szCs w:val="18"/>
              </w:rPr>
            </w:pPr>
            <w:r>
              <w:rPr>
                <w:rFonts w:ascii="Arial" w:hAnsi="Arial" w:eastAsia="宋体" w:cs="Arial"/>
                <w:sz w:val="18"/>
                <w:szCs w:val="18"/>
              </w:rPr>
              <w:t>500</w:t>
            </w:r>
          </w:p>
        </w:tc>
        <w:tc>
          <w:tcPr>
            <w:tcW w:w="1385" w:type="dxa"/>
          </w:tcPr>
          <w:p w14:paraId="75F9360D">
            <w:pPr>
              <w:snapToGrid w:val="0"/>
              <w:spacing w:line="240" w:lineRule="exact"/>
              <w:rPr>
                <w:rFonts w:ascii="Arial" w:hAnsi="Arial" w:eastAsia="宋体" w:cs="Arial"/>
                <w:sz w:val="18"/>
                <w:szCs w:val="18"/>
              </w:rPr>
            </w:pPr>
            <w:r>
              <w:rPr>
                <w:rFonts w:ascii="Arial" w:hAnsi="Arial" w:eastAsia="宋体" w:cs="Arial"/>
                <w:sz w:val="18"/>
                <w:szCs w:val="18"/>
              </w:rPr>
              <w:t>0</w:t>
            </w:r>
          </w:p>
        </w:tc>
        <w:tc>
          <w:tcPr>
            <w:tcW w:w="2257" w:type="dxa"/>
          </w:tcPr>
          <w:p w14:paraId="02AA2C96">
            <w:pPr>
              <w:snapToGrid w:val="0"/>
              <w:spacing w:line="240" w:lineRule="exact"/>
              <w:rPr>
                <w:rFonts w:ascii="Arial" w:hAnsi="Arial" w:eastAsia="宋体" w:cs="Arial"/>
                <w:sz w:val="18"/>
                <w:szCs w:val="18"/>
              </w:rPr>
            </w:pPr>
            <w:r>
              <w:rPr>
                <w:rFonts w:ascii="Arial" w:hAnsi="Arial" w:eastAsia="宋体" w:cs="Arial"/>
                <w:sz w:val="18"/>
                <w:szCs w:val="18"/>
              </w:rPr>
              <w:t>0</w:t>
            </w:r>
          </w:p>
        </w:tc>
        <w:tc>
          <w:tcPr>
            <w:tcW w:w="1665" w:type="dxa"/>
          </w:tcPr>
          <w:p w14:paraId="7D3BA2FA">
            <w:pPr>
              <w:snapToGrid w:val="0"/>
              <w:spacing w:line="240" w:lineRule="exact"/>
              <w:rPr>
                <w:rFonts w:ascii="Arial" w:hAnsi="Arial" w:eastAsia="宋体" w:cs="Arial"/>
                <w:sz w:val="18"/>
                <w:szCs w:val="18"/>
              </w:rPr>
            </w:pPr>
            <w:r>
              <w:rPr>
                <w:rFonts w:ascii="Arial" w:hAnsi="Arial" w:eastAsia="宋体" w:cs="Arial"/>
                <w:sz w:val="18"/>
                <w:szCs w:val="18"/>
              </w:rPr>
              <w:t>0,      0.74</w:t>
            </w:r>
          </w:p>
        </w:tc>
        <w:tc>
          <w:tcPr>
            <w:tcW w:w="1665" w:type="dxa"/>
          </w:tcPr>
          <w:p w14:paraId="046A0DB3">
            <w:pPr>
              <w:snapToGrid w:val="0"/>
              <w:spacing w:line="240" w:lineRule="exact"/>
              <w:rPr>
                <w:rFonts w:ascii="Arial" w:hAnsi="Arial" w:eastAsia="宋体" w:cs="Arial"/>
                <w:sz w:val="18"/>
                <w:szCs w:val="18"/>
              </w:rPr>
            </w:pPr>
            <w:r>
              <w:rPr>
                <w:rFonts w:ascii="Arial" w:hAnsi="Arial" w:eastAsia="宋体" w:cs="Arial"/>
                <w:sz w:val="18"/>
                <w:szCs w:val="18"/>
              </w:rPr>
              <w:t>0.60</w:t>
            </w:r>
          </w:p>
        </w:tc>
      </w:tr>
      <w:tr w14:paraId="4578947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14B04C60">
            <w:pPr>
              <w:snapToGrid w:val="0"/>
              <w:spacing w:line="240" w:lineRule="exact"/>
              <w:rPr>
                <w:rFonts w:ascii="Arial" w:hAnsi="Arial" w:eastAsia="宋体" w:cs="Arial"/>
                <w:sz w:val="18"/>
                <w:szCs w:val="18"/>
              </w:rPr>
            </w:pPr>
          </w:p>
        </w:tc>
        <w:tc>
          <w:tcPr>
            <w:tcW w:w="1385" w:type="dxa"/>
          </w:tcPr>
          <w:p w14:paraId="65B7498C">
            <w:pPr>
              <w:snapToGrid w:val="0"/>
              <w:spacing w:line="240" w:lineRule="exact"/>
              <w:rPr>
                <w:rFonts w:ascii="Arial" w:hAnsi="Arial" w:eastAsia="宋体" w:cs="Arial"/>
                <w:sz w:val="18"/>
                <w:szCs w:val="18"/>
              </w:rPr>
            </w:pPr>
            <w:r>
              <w:rPr>
                <w:rFonts w:ascii="Arial" w:hAnsi="Arial" w:eastAsia="宋体" w:cs="Arial"/>
                <w:sz w:val="18"/>
                <w:szCs w:val="18"/>
              </w:rPr>
              <w:t>5</w:t>
            </w:r>
          </w:p>
        </w:tc>
        <w:tc>
          <w:tcPr>
            <w:tcW w:w="2257" w:type="dxa"/>
          </w:tcPr>
          <w:p w14:paraId="65C4DD7F">
            <w:pPr>
              <w:snapToGrid w:val="0"/>
              <w:spacing w:line="240" w:lineRule="exact"/>
              <w:rPr>
                <w:rFonts w:ascii="Arial" w:hAnsi="Arial" w:eastAsia="宋体" w:cs="Arial"/>
                <w:sz w:val="18"/>
                <w:szCs w:val="18"/>
              </w:rPr>
            </w:pPr>
            <w:r>
              <w:rPr>
                <w:rFonts w:ascii="Arial" w:hAnsi="Arial" w:eastAsia="宋体" w:cs="Arial"/>
                <w:sz w:val="18"/>
                <w:szCs w:val="18"/>
              </w:rPr>
              <w:t>1</w:t>
            </w:r>
          </w:p>
        </w:tc>
        <w:tc>
          <w:tcPr>
            <w:tcW w:w="1665" w:type="dxa"/>
          </w:tcPr>
          <w:p w14:paraId="68A1E30E">
            <w:pPr>
              <w:snapToGrid w:val="0"/>
              <w:spacing w:line="240" w:lineRule="exact"/>
              <w:rPr>
                <w:rFonts w:ascii="Arial" w:hAnsi="Arial" w:eastAsia="宋体" w:cs="Arial"/>
                <w:sz w:val="18"/>
                <w:szCs w:val="18"/>
              </w:rPr>
            </w:pPr>
            <w:r>
              <w:rPr>
                <w:rFonts w:ascii="Arial" w:hAnsi="Arial" w:eastAsia="宋体" w:cs="Arial"/>
                <w:sz w:val="18"/>
                <w:szCs w:val="18"/>
              </w:rPr>
              <w:t>0.33,  2.32</w:t>
            </w:r>
          </w:p>
        </w:tc>
        <w:tc>
          <w:tcPr>
            <w:tcW w:w="1665" w:type="dxa"/>
          </w:tcPr>
          <w:p w14:paraId="7E8D294F">
            <w:pPr>
              <w:snapToGrid w:val="0"/>
              <w:spacing w:line="240" w:lineRule="exact"/>
              <w:rPr>
                <w:rFonts w:ascii="Arial" w:hAnsi="Arial" w:eastAsia="宋体" w:cs="Arial"/>
                <w:sz w:val="18"/>
                <w:szCs w:val="18"/>
              </w:rPr>
            </w:pPr>
            <w:r>
              <w:rPr>
                <w:rFonts w:ascii="Arial" w:hAnsi="Arial" w:eastAsia="宋体" w:cs="Arial"/>
                <w:sz w:val="18"/>
                <w:szCs w:val="18"/>
              </w:rPr>
              <w:t>2.09</w:t>
            </w:r>
          </w:p>
        </w:tc>
      </w:tr>
      <w:tr w14:paraId="5A26CB1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349D6CD5">
            <w:pPr>
              <w:snapToGrid w:val="0"/>
              <w:spacing w:line="240" w:lineRule="exact"/>
              <w:rPr>
                <w:rFonts w:ascii="Arial" w:hAnsi="Arial" w:eastAsia="宋体" w:cs="Arial"/>
                <w:sz w:val="18"/>
                <w:szCs w:val="18"/>
              </w:rPr>
            </w:pPr>
          </w:p>
        </w:tc>
        <w:tc>
          <w:tcPr>
            <w:tcW w:w="1385" w:type="dxa"/>
          </w:tcPr>
          <w:p w14:paraId="31AC9F0A">
            <w:pPr>
              <w:snapToGrid w:val="0"/>
              <w:spacing w:line="240" w:lineRule="exact"/>
              <w:rPr>
                <w:rFonts w:ascii="Arial" w:hAnsi="Arial" w:eastAsia="宋体" w:cs="Arial"/>
                <w:sz w:val="18"/>
                <w:szCs w:val="18"/>
              </w:rPr>
            </w:pPr>
            <w:r>
              <w:rPr>
                <w:rFonts w:ascii="Arial" w:hAnsi="Arial" w:eastAsia="宋体" w:cs="Arial"/>
                <w:sz w:val="18"/>
                <w:szCs w:val="18"/>
              </w:rPr>
              <w:t>10</w:t>
            </w:r>
          </w:p>
        </w:tc>
        <w:tc>
          <w:tcPr>
            <w:tcW w:w="2257" w:type="dxa"/>
          </w:tcPr>
          <w:p w14:paraId="65E456CF">
            <w:pPr>
              <w:snapToGrid w:val="0"/>
              <w:spacing w:line="240" w:lineRule="exact"/>
              <w:rPr>
                <w:rFonts w:ascii="Arial" w:hAnsi="Arial" w:eastAsia="宋体" w:cs="Arial"/>
                <w:sz w:val="18"/>
                <w:szCs w:val="18"/>
              </w:rPr>
            </w:pPr>
            <w:r>
              <w:rPr>
                <w:rFonts w:ascii="Arial" w:hAnsi="Arial" w:eastAsia="宋体" w:cs="Arial"/>
                <w:sz w:val="18"/>
                <w:szCs w:val="18"/>
              </w:rPr>
              <w:t>2</w:t>
            </w:r>
          </w:p>
        </w:tc>
        <w:tc>
          <w:tcPr>
            <w:tcW w:w="1665" w:type="dxa"/>
          </w:tcPr>
          <w:p w14:paraId="3DFB3A45">
            <w:pPr>
              <w:snapToGrid w:val="0"/>
              <w:spacing w:line="240" w:lineRule="exact"/>
              <w:rPr>
                <w:rFonts w:ascii="Arial" w:hAnsi="Arial" w:eastAsia="宋体" w:cs="Arial"/>
                <w:sz w:val="18"/>
                <w:szCs w:val="18"/>
              </w:rPr>
            </w:pPr>
            <w:r>
              <w:rPr>
                <w:rFonts w:ascii="Arial" w:hAnsi="Arial" w:eastAsia="宋体" w:cs="Arial"/>
                <w:sz w:val="18"/>
                <w:szCs w:val="18"/>
              </w:rPr>
              <w:t>0.96,  3.65</w:t>
            </w:r>
          </w:p>
        </w:tc>
        <w:tc>
          <w:tcPr>
            <w:tcW w:w="1665" w:type="dxa"/>
          </w:tcPr>
          <w:p w14:paraId="0D2BD63C">
            <w:pPr>
              <w:snapToGrid w:val="0"/>
              <w:spacing w:line="240" w:lineRule="exact"/>
              <w:rPr>
                <w:rFonts w:ascii="Arial" w:hAnsi="Arial" w:eastAsia="宋体" w:cs="Arial"/>
                <w:sz w:val="18"/>
                <w:szCs w:val="18"/>
              </w:rPr>
            </w:pPr>
            <w:r>
              <w:rPr>
                <w:rFonts w:ascii="Arial" w:hAnsi="Arial" w:eastAsia="宋体" w:cs="Arial"/>
                <w:sz w:val="18"/>
                <w:szCs w:val="18"/>
              </w:rPr>
              <w:t>3.37</w:t>
            </w:r>
          </w:p>
        </w:tc>
      </w:tr>
      <w:tr w14:paraId="017E150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7B67E614">
            <w:pPr>
              <w:snapToGrid w:val="0"/>
              <w:spacing w:line="240" w:lineRule="exact"/>
              <w:rPr>
                <w:rFonts w:ascii="Arial" w:hAnsi="Arial" w:eastAsia="宋体" w:cs="Arial"/>
                <w:sz w:val="18"/>
                <w:szCs w:val="18"/>
              </w:rPr>
            </w:pPr>
          </w:p>
        </w:tc>
        <w:tc>
          <w:tcPr>
            <w:tcW w:w="1385" w:type="dxa"/>
          </w:tcPr>
          <w:p w14:paraId="07FF4D42">
            <w:pPr>
              <w:snapToGrid w:val="0"/>
              <w:spacing w:line="240" w:lineRule="exact"/>
              <w:rPr>
                <w:rFonts w:ascii="Arial" w:hAnsi="Arial" w:eastAsia="宋体" w:cs="Arial"/>
                <w:sz w:val="18"/>
                <w:szCs w:val="18"/>
              </w:rPr>
            </w:pPr>
            <w:r>
              <w:rPr>
                <w:rFonts w:ascii="Arial" w:hAnsi="Arial" w:eastAsia="宋体" w:cs="Arial"/>
                <w:sz w:val="18"/>
                <w:szCs w:val="18"/>
              </w:rPr>
              <w:t>15</w:t>
            </w:r>
          </w:p>
        </w:tc>
        <w:tc>
          <w:tcPr>
            <w:tcW w:w="2257" w:type="dxa"/>
          </w:tcPr>
          <w:p w14:paraId="5261E8D5">
            <w:pPr>
              <w:snapToGrid w:val="0"/>
              <w:spacing w:line="240" w:lineRule="exact"/>
              <w:rPr>
                <w:rFonts w:ascii="Arial" w:hAnsi="Arial" w:eastAsia="宋体" w:cs="Arial"/>
                <w:sz w:val="18"/>
                <w:szCs w:val="18"/>
              </w:rPr>
            </w:pPr>
            <w:r>
              <w:rPr>
                <w:rFonts w:ascii="Arial" w:hAnsi="Arial" w:eastAsia="宋体" w:cs="Arial"/>
                <w:sz w:val="18"/>
                <w:szCs w:val="18"/>
              </w:rPr>
              <w:t>3</w:t>
            </w:r>
          </w:p>
        </w:tc>
        <w:tc>
          <w:tcPr>
            <w:tcW w:w="1665" w:type="dxa"/>
          </w:tcPr>
          <w:p w14:paraId="0DE1AFEB">
            <w:pPr>
              <w:snapToGrid w:val="0"/>
              <w:spacing w:line="240" w:lineRule="exact"/>
              <w:rPr>
                <w:rFonts w:ascii="Arial" w:hAnsi="Arial" w:eastAsia="宋体" w:cs="Arial"/>
                <w:sz w:val="18"/>
                <w:szCs w:val="18"/>
              </w:rPr>
            </w:pPr>
            <w:r>
              <w:rPr>
                <w:rFonts w:ascii="Arial" w:hAnsi="Arial" w:eastAsia="宋体" w:cs="Arial"/>
                <w:sz w:val="18"/>
                <w:szCs w:val="18"/>
              </w:rPr>
              <w:t>1.69,  4.90</w:t>
            </w:r>
          </w:p>
        </w:tc>
        <w:tc>
          <w:tcPr>
            <w:tcW w:w="1665" w:type="dxa"/>
          </w:tcPr>
          <w:p w14:paraId="3D31EE0F">
            <w:pPr>
              <w:snapToGrid w:val="0"/>
              <w:spacing w:line="240" w:lineRule="exact"/>
              <w:rPr>
                <w:rFonts w:ascii="Arial" w:hAnsi="Arial" w:eastAsia="宋体" w:cs="Arial"/>
                <w:sz w:val="18"/>
                <w:szCs w:val="18"/>
              </w:rPr>
            </w:pPr>
            <w:r>
              <w:rPr>
                <w:rFonts w:ascii="Arial" w:hAnsi="Arial" w:eastAsia="宋体" w:cs="Arial"/>
                <w:sz w:val="18"/>
                <w:szCs w:val="18"/>
              </w:rPr>
              <w:t>4.58</w:t>
            </w:r>
          </w:p>
        </w:tc>
      </w:tr>
      <w:tr w14:paraId="454ED53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771E0701">
            <w:pPr>
              <w:snapToGrid w:val="0"/>
              <w:spacing w:line="240" w:lineRule="exact"/>
              <w:rPr>
                <w:rFonts w:ascii="Arial" w:hAnsi="Arial" w:eastAsia="宋体" w:cs="Arial"/>
                <w:sz w:val="18"/>
                <w:szCs w:val="18"/>
              </w:rPr>
            </w:pPr>
          </w:p>
        </w:tc>
        <w:tc>
          <w:tcPr>
            <w:tcW w:w="1385" w:type="dxa"/>
          </w:tcPr>
          <w:p w14:paraId="5CC67424">
            <w:pPr>
              <w:snapToGrid w:val="0"/>
              <w:spacing w:line="240" w:lineRule="exact"/>
              <w:rPr>
                <w:rFonts w:ascii="Arial" w:hAnsi="Arial" w:eastAsia="宋体" w:cs="Arial"/>
                <w:sz w:val="18"/>
                <w:szCs w:val="18"/>
              </w:rPr>
            </w:pPr>
            <w:r>
              <w:rPr>
                <w:rFonts w:ascii="Arial" w:hAnsi="Arial" w:eastAsia="宋体" w:cs="Arial"/>
                <w:sz w:val="18"/>
                <w:szCs w:val="18"/>
              </w:rPr>
              <w:t>20</w:t>
            </w:r>
          </w:p>
        </w:tc>
        <w:tc>
          <w:tcPr>
            <w:tcW w:w="2257" w:type="dxa"/>
          </w:tcPr>
          <w:p w14:paraId="66E6730D">
            <w:pPr>
              <w:snapToGrid w:val="0"/>
              <w:spacing w:line="240" w:lineRule="exact"/>
              <w:rPr>
                <w:rFonts w:ascii="Arial" w:hAnsi="Arial" w:eastAsia="宋体" w:cs="Arial"/>
                <w:sz w:val="18"/>
                <w:szCs w:val="18"/>
              </w:rPr>
            </w:pPr>
            <w:r>
              <w:rPr>
                <w:rFonts w:ascii="Arial" w:hAnsi="Arial" w:eastAsia="宋体" w:cs="Arial"/>
                <w:sz w:val="18"/>
                <w:szCs w:val="18"/>
              </w:rPr>
              <w:t>4</w:t>
            </w:r>
          </w:p>
        </w:tc>
        <w:tc>
          <w:tcPr>
            <w:tcW w:w="1665" w:type="dxa"/>
          </w:tcPr>
          <w:p w14:paraId="363A8BDF">
            <w:pPr>
              <w:snapToGrid w:val="0"/>
              <w:spacing w:line="240" w:lineRule="exact"/>
              <w:rPr>
                <w:rFonts w:ascii="Arial" w:hAnsi="Arial" w:eastAsia="宋体" w:cs="Arial"/>
                <w:sz w:val="18"/>
                <w:szCs w:val="18"/>
              </w:rPr>
            </w:pPr>
            <w:r>
              <w:rPr>
                <w:rFonts w:ascii="Arial" w:hAnsi="Arial" w:eastAsia="宋体" w:cs="Arial"/>
                <w:sz w:val="18"/>
                <w:szCs w:val="18"/>
              </w:rPr>
              <w:t>2.46,  6.11</w:t>
            </w:r>
          </w:p>
        </w:tc>
        <w:tc>
          <w:tcPr>
            <w:tcW w:w="1665" w:type="dxa"/>
          </w:tcPr>
          <w:p w14:paraId="58B85929">
            <w:pPr>
              <w:snapToGrid w:val="0"/>
              <w:spacing w:line="240" w:lineRule="exact"/>
              <w:rPr>
                <w:rFonts w:ascii="Arial" w:hAnsi="Arial" w:eastAsia="宋体" w:cs="Arial"/>
                <w:sz w:val="18"/>
                <w:szCs w:val="18"/>
              </w:rPr>
            </w:pPr>
            <w:r>
              <w:rPr>
                <w:rFonts w:ascii="Arial" w:hAnsi="Arial" w:eastAsia="宋体" w:cs="Arial"/>
                <w:sz w:val="18"/>
                <w:szCs w:val="18"/>
              </w:rPr>
              <w:t>5.76</w:t>
            </w:r>
          </w:p>
        </w:tc>
      </w:tr>
      <w:tr w14:paraId="1B5D6A8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295AD541">
            <w:pPr>
              <w:snapToGrid w:val="0"/>
              <w:spacing w:line="240" w:lineRule="exact"/>
              <w:rPr>
                <w:rFonts w:ascii="Arial" w:hAnsi="Arial" w:eastAsia="宋体" w:cs="Arial"/>
                <w:sz w:val="18"/>
                <w:szCs w:val="18"/>
              </w:rPr>
            </w:pPr>
          </w:p>
        </w:tc>
        <w:tc>
          <w:tcPr>
            <w:tcW w:w="1385" w:type="dxa"/>
          </w:tcPr>
          <w:p w14:paraId="5346500E">
            <w:pPr>
              <w:snapToGrid w:val="0"/>
              <w:spacing w:line="240" w:lineRule="exact"/>
              <w:rPr>
                <w:rFonts w:ascii="Arial" w:hAnsi="Arial" w:eastAsia="宋体" w:cs="Arial"/>
                <w:sz w:val="18"/>
                <w:szCs w:val="18"/>
              </w:rPr>
            </w:pPr>
            <w:r>
              <w:rPr>
                <w:rFonts w:ascii="Arial" w:hAnsi="Arial" w:eastAsia="宋体" w:cs="Arial"/>
                <w:sz w:val="18"/>
                <w:szCs w:val="18"/>
              </w:rPr>
              <w:t>25</w:t>
            </w:r>
          </w:p>
        </w:tc>
        <w:tc>
          <w:tcPr>
            <w:tcW w:w="2257" w:type="dxa"/>
          </w:tcPr>
          <w:p w14:paraId="70072671">
            <w:pPr>
              <w:snapToGrid w:val="0"/>
              <w:spacing w:line="240" w:lineRule="exact"/>
              <w:rPr>
                <w:rFonts w:ascii="Arial" w:hAnsi="Arial" w:eastAsia="宋体" w:cs="Arial"/>
                <w:sz w:val="18"/>
                <w:szCs w:val="18"/>
              </w:rPr>
            </w:pPr>
            <w:r>
              <w:rPr>
                <w:rFonts w:ascii="Arial" w:hAnsi="Arial" w:eastAsia="宋体" w:cs="Arial"/>
                <w:sz w:val="18"/>
                <w:szCs w:val="18"/>
              </w:rPr>
              <w:t>5</w:t>
            </w:r>
          </w:p>
        </w:tc>
        <w:tc>
          <w:tcPr>
            <w:tcW w:w="1665" w:type="dxa"/>
          </w:tcPr>
          <w:p w14:paraId="419A04C7">
            <w:pPr>
              <w:snapToGrid w:val="0"/>
              <w:spacing w:line="240" w:lineRule="exact"/>
              <w:rPr>
                <w:rFonts w:ascii="Arial" w:hAnsi="Arial" w:eastAsia="宋体" w:cs="Arial"/>
                <w:sz w:val="18"/>
                <w:szCs w:val="18"/>
              </w:rPr>
            </w:pPr>
            <w:r>
              <w:rPr>
                <w:rFonts w:ascii="Arial" w:hAnsi="Arial" w:eastAsia="宋体" w:cs="Arial"/>
                <w:sz w:val="18"/>
                <w:szCs w:val="18"/>
              </w:rPr>
              <w:t>3.26,  7.29</w:t>
            </w:r>
          </w:p>
        </w:tc>
        <w:tc>
          <w:tcPr>
            <w:tcW w:w="1665" w:type="dxa"/>
          </w:tcPr>
          <w:p w14:paraId="5B2F2898">
            <w:pPr>
              <w:snapToGrid w:val="0"/>
              <w:spacing w:line="240" w:lineRule="exact"/>
              <w:rPr>
                <w:rFonts w:ascii="Arial" w:hAnsi="Arial" w:eastAsia="宋体" w:cs="Arial"/>
                <w:sz w:val="18"/>
                <w:szCs w:val="18"/>
              </w:rPr>
            </w:pPr>
            <w:r>
              <w:rPr>
                <w:rFonts w:ascii="Arial" w:hAnsi="Arial" w:eastAsia="宋体" w:cs="Arial"/>
                <w:sz w:val="18"/>
                <w:szCs w:val="18"/>
              </w:rPr>
              <w:t>6.91</w:t>
            </w:r>
          </w:p>
        </w:tc>
      </w:tr>
    </w:tbl>
    <w:p w14:paraId="11D03130">
      <w:pPr>
        <w:pStyle w:val="18"/>
        <w:pageBreakBefore/>
        <w:snapToGrid w:val="0"/>
        <w:spacing w:after="156" w:afterLines="50" w:line="360" w:lineRule="auto"/>
        <w:ind w:firstLine="0" w:firstLineChars="0"/>
        <w:jc w:val="center"/>
        <w:outlineLvl w:val="0"/>
        <w:rPr>
          <w:rFonts w:ascii="Arial" w:hAnsi="Arial" w:eastAsia="宋体" w:cs="Arial"/>
          <w:b/>
          <w:bCs/>
          <w:kern w:val="0"/>
          <w:sz w:val="24"/>
          <w:szCs w:val="24"/>
        </w:rPr>
      </w:pPr>
      <w:r>
        <w:rPr>
          <w:rFonts w:ascii="Arial" w:hAnsi="Arial" w:eastAsia="宋体" w:cs="Arial"/>
          <w:b/>
          <w:bCs/>
          <w:kern w:val="0"/>
          <w:sz w:val="24"/>
          <w:szCs w:val="24"/>
        </w:rPr>
        <w:br w:type="textWrapping"/>
      </w:r>
      <w:bookmarkStart w:id="87" w:name="_Toc478047117"/>
      <w:r>
        <w:rPr>
          <w:rFonts w:ascii="Arial" w:hAnsi="Arial" w:eastAsia="宋体" w:cs="Arial"/>
          <w:b/>
          <w:bCs/>
          <w:kern w:val="0"/>
          <w:sz w:val="24"/>
          <w:szCs w:val="24"/>
        </w:rPr>
        <w:t>附录D</w:t>
      </w:r>
      <w:r>
        <w:rPr>
          <w:rFonts w:ascii="Arial" w:hAnsi="Arial" w:eastAsia="宋体" w:cs="Arial"/>
          <w:b/>
          <w:bCs/>
          <w:kern w:val="0"/>
          <w:sz w:val="24"/>
          <w:szCs w:val="24"/>
        </w:rPr>
        <w:br w:type="textWrapping"/>
      </w:r>
      <w:r>
        <w:rPr>
          <w:rFonts w:hint="eastAsia" w:ascii="Arial" w:hAnsi="Arial" w:eastAsia="宋体" w:cs="Arial"/>
          <w:b/>
          <w:bCs/>
          <w:kern w:val="0"/>
          <w:sz w:val="24"/>
          <w:szCs w:val="24"/>
        </w:rPr>
        <w:t>机构对</w:t>
      </w:r>
      <w:r>
        <w:rPr>
          <w:rFonts w:ascii="Arial" w:hAnsi="Arial" w:eastAsia="宋体" w:cs="Arial"/>
          <w:b/>
          <w:bCs/>
          <w:kern w:val="0"/>
          <w:sz w:val="24"/>
          <w:szCs w:val="24"/>
        </w:rPr>
        <w:t>IDE</w:t>
      </w:r>
      <w:r>
        <w:rPr>
          <w:rFonts w:hint="eastAsia" w:ascii="Arial" w:hAnsi="Arial" w:eastAsia="宋体" w:cs="Arial"/>
          <w:b/>
          <w:bCs/>
          <w:kern w:val="0"/>
          <w:sz w:val="24"/>
          <w:szCs w:val="24"/>
        </w:rPr>
        <w:t>提交的决定</w:t>
      </w:r>
      <w:bookmarkEnd w:id="87"/>
    </w:p>
    <w:p w14:paraId="3650F5E0">
      <w:pPr>
        <w:snapToGrid w:val="0"/>
        <w:spacing w:after="156" w:afterLines="50" w:line="360" w:lineRule="auto"/>
        <w:rPr>
          <w:rFonts w:ascii="Arial" w:hAnsi="Arial" w:eastAsia="宋体" w:cs="Arial"/>
          <w:b/>
          <w:bCs/>
          <w:kern w:val="0"/>
        </w:rPr>
      </w:pPr>
      <w:r>
        <w:rPr>
          <w:rFonts w:hint="eastAsia" w:ascii="Arial" w:hAnsi="Arial" w:eastAsia="宋体" w:cs="Arial"/>
          <w:b/>
          <w:bCs/>
          <w:kern w:val="0"/>
        </w:rPr>
        <w:t>反对</w:t>
      </w:r>
      <w:r>
        <w:rPr>
          <w:rFonts w:ascii="Arial" w:hAnsi="Arial" w:eastAsia="宋体" w:cs="Arial"/>
          <w:b/>
          <w:bCs/>
          <w:kern w:val="0"/>
        </w:rPr>
        <w:t xml:space="preserve"> (812.30(b)).</w:t>
      </w:r>
    </w:p>
    <w:p w14:paraId="75ACD8FD">
      <w:pPr>
        <w:snapToGrid w:val="0"/>
        <w:spacing w:after="156" w:afterLines="50" w:line="360" w:lineRule="auto"/>
        <w:ind w:firstLine="420" w:firstLineChars="200"/>
        <w:rPr>
          <w:rFonts w:ascii="Arial" w:hAnsi="Arial" w:eastAsia="宋体" w:cs="Arial"/>
        </w:rPr>
      </w:pPr>
      <w:r>
        <w:rPr>
          <w:rFonts w:hint="eastAsia" w:ascii="Arial" w:hAnsi="Arial" w:eastAsia="宋体" w:cs="Arial"/>
        </w:rPr>
        <w:t>“不批准或撤回的理由。如果</w:t>
      </w:r>
      <w:r>
        <w:rPr>
          <w:rFonts w:ascii="Arial" w:hAnsi="Arial" w:eastAsia="宋体" w:cs="Arial"/>
        </w:rPr>
        <w:t>FDA</w:t>
      </w:r>
      <w:r>
        <w:rPr>
          <w:rFonts w:hint="eastAsia" w:ascii="Arial" w:hAnsi="Arial" w:eastAsia="宋体" w:cs="Arial"/>
        </w:rPr>
        <w:t>发现以下情况，</w:t>
      </w:r>
      <w:r>
        <w:rPr>
          <w:rFonts w:ascii="Arial" w:hAnsi="Arial" w:eastAsia="宋体" w:cs="Arial"/>
        </w:rPr>
        <w:t>FDA</w:t>
      </w:r>
      <w:r>
        <w:rPr>
          <w:rFonts w:hint="eastAsia" w:ascii="Arial" w:hAnsi="Arial" w:eastAsia="宋体" w:cs="Arial"/>
        </w:rPr>
        <w:t>可能会拒绝或撤销申请的批准：</w:t>
      </w:r>
    </w:p>
    <w:p w14:paraId="6A1EBD9C">
      <w:pPr>
        <w:pStyle w:val="18"/>
        <w:numPr>
          <w:ilvl w:val="0"/>
          <w:numId w:val="34"/>
        </w:numPr>
        <w:snapToGrid w:val="0"/>
        <w:spacing w:after="156" w:afterLines="50" w:line="360" w:lineRule="auto"/>
        <w:ind w:left="1203" w:leftChars="233" w:hanging="714" w:hangingChars="340"/>
        <w:rPr>
          <w:rFonts w:ascii="Arial" w:hAnsi="Arial" w:eastAsia="宋体" w:cs="Arial"/>
        </w:rPr>
      </w:pPr>
      <w:r>
        <w:rPr>
          <w:rFonts w:hint="eastAsia" w:ascii="Arial" w:hAnsi="Arial" w:eastAsia="宋体" w:cs="Arial"/>
        </w:rPr>
        <w:t>未能遵守本部分或法案，任何其他适用法规或法律，或</w:t>
      </w:r>
      <w:r>
        <w:rPr>
          <w:rFonts w:ascii="Arial" w:hAnsi="Arial" w:eastAsia="宋体" w:cs="Arial"/>
        </w:rPr>
        <w:t>IRB</w:t>
      </w:r>
      <w:r>
        <w:rPr>
          <w:rFonts w:hint="eastAsia" w:ascii="Arial" w:hAnsi="Arial" w:eastAsia="宋体" w:cs="Arial"/>
        </w:rPr>
        <w:t>和</w:t>
      </w:r>
      <w:r>
        <w:rPr>
          <w:rFonts w:ascii="Arial" w:hAnsi="Arial" w:eastAsia="宋体" w:cs="Arial"/>
        </w:rPr>
        <w:t>FDA</w:t>
      </w:r>
      <w:r>
        <w:rPr>
          <w:rFonts w:hint="eastAsia" w:ascii="Arial" w:hAnsi="Arial" w:eastAsia="宋体" w:cs="Arial"/>
        </w:rPr>
        <w:t>所规定的任何批准条件的任何要求。</w:t>
      </w:r>
    </w:p>
    <w:p w14:paraId="5C0EF48C">
      <w:pPr>
        <w:pStyle w:val="18"/>
        <w:numPr>
          <w:ilvl w:val="0"/>
          <w:numId w:val="34"/>
        </w:numPr>
        <w:snapToGrid w:val="0"/>
        <w:spacing w:after="156" w:afterLines="50" w:line="360" w:lineRule="auto"/>
        <w:ind w:left="1203" w:leftChars="233" w:hanging="714" w:hangingChars="340"/>
        <w:rPr>
          <w:rFonts w:ascii="Arial" w:hAnsi="Arial" w:eastAsia="宋体" w:cs="Arial"/>
        </w:rPr>
      </w:pPr>
      <w:r>
        <w:rPr>
          <w:rFonts w:hint="eastAsia" w:ascii="Arial" w:hAnsi="Arial" w:eastAsia="宋体" w:cs="Arial"/>
        </w:rPr>
        <w:t>申请或报告包含关于重大事实的不真实陈述，或省略本部分所要求的重要资料。</w:t>
      </w:r>
    </w:p>
    <w:p w14:paraId="0B7AA72D">
      <w:pPr>
        <w:pStyle w:val="18"/>
        <w:numPr>
          <w:ilvl w:val="0"/>
          <w:numId w:val="34"/>
        </w:numPr>
        <w:snapToGrid w:val="0"/>
        <w:spacing w:after="156" w:afterLines="50" w:line="360" w:lineRule="auto"/>
        <w:ind w:left="1203" w:leftChars="233" w:hanging="714" w:hangingChars="340"/>
        <w:rPr>
          <w:rFonts w:ascii="Arial" w:hAnsi="Arial" w:eastAsia="宋体" w:cs="Arial"/>
        </w:rPr>
      </w:pPr>
      <w:r>
        <w:rPr>
          <w:rFonts w:hint="eastAsia" w:ascii="Arial" w:hAnsi="Arial" w:eastAsia="宋体" w:cs="Arial"/>
        </w:rPr>
        <w:t>申办方未能按照</w:t>
      </w:r>
      <w:r>
        <w:rPr>
          <w:rFonts w:ascii="Arial" w:hAnsi="Arial" w:eastAsia="宋体" w:cs="Arial"/>
        </w:rPr>
        <w:t>FDA</w:t>
      </w:r>
      <w:r>
        <w:rPr>
          <w:rFonts w:hint="eastAsia" w:ascii="Arial" w:hAnsi="Arial" w:eastAsia="宋体" w:cs="Arial"/>
        </w:rPr>
        <w:t>规定的时间回复对其他信息的请求。</w:t>
      </w:r>
    </w:p>
    <w:p w14:paraId="3F6632C0">
      <w:pPr>
        <w:pStyle w:val="18"/>
        <w:numPr>
          <w:ilvl w:val="0"/>
          <w:numId w:val="34"/>
        </w:numPr>
        <w:snapToGrid w:val="0"/>
        <w:spacing w:after="156" w:afterLines="50" w:line="360" w:lineRule="auto"/>
        <w:ind w:left="1203" w:leftChars="233" w:hanging="714" w:hangingChars="340"/>
        <w:rPr>
          <w:rFonts w:ascii="Arial" w:hAnsi="Arial" w:eastAsia="宋体" w:cs="Arial"/>
        </w:rPr>
      </w:pPr>
      <w:r>
        <w:rPr>
          <w:rFonts w:hint="eastAsia" w:ascii="Arial" w:hAnsi="Arial" w:eastAsia="宋体" w:cs="Arial"/>
        </w:rPr>
        <w:t>有理由相信，对受试者的风险未超过对受试者的预期益处和所获知识的重要性，或知情同意不充分，或研究在科学上不健全，或有理由相信所使用的器械是无效的。</w:t>
      </w:r>
    </w:p>
    <w:p w14:paraId="005AC466">
      <w:pPr>
        <w:pStyle w:val="18"/>
        <w:numPr>
          <w:ilvl w:val="0"/>
          <w:numId w:val="34"/>
        </w:numPr>
        <w:snapToGrid w:val="0"/>
        <w:spacing w:after="156" w:afterLines="50" w:line="360" w:lineRule="auto"/>
        <w:ind w:left="1203" w:leftChars="233" w:hanging="714" w:hangingChars="340"/>
        <w:rPr>
          <w:rFonts w:ascii="Arial" w:hAnsi="Arial" w:eastAsia="宋体" w:cs="Arial"/>
        </w:rPr>
      </w:pPr>
      <w:r>
        <w:rPr>
          <w:rFonts w:hint="eastAsia" w:ascii="Arial" w:hAnsi="Arial" w:eastAsia="宋体" w:cs="Arial"/>
        </w:rPr>
        <w:t>由于器械的使用方式或以下方面的不足，开始或继续研究是不合理的：</w:t>
      </w:r>
    </w:p>
    <w:p w14:paraId="475BE6B0">
      <w:pPr>
        <w:snapToGrid w:val="0"/>
        <w:spacing w:after="156" w:afterLines="50" w:line="360" w:lineRule="auto"/>
        <w:ind w:firstLine="1230" w:firstLineChars="586"/>
        <w:rPr>
          <w:rFonts w:ascii="Arial" w:hAnsi="Arial" w:eastAsia="宋体" w:cs="Arial"/>
        </w:rPr>
      </w:pPr>
      <w:r>
        <w:rPr>
          <w:rFonts w:hint="eastAsia" w:ascii="Arial" w:hAnsi="Arial" w:eastAsia="宋体" w:cs="Arial"/>
        </w:rPr>
        <w:t>（</w:t>
      </w:r>
      <w:r>
        <w:rPr>
          <w:rFonts w:hint="eastAsia" w:ascii="宋体" w:hAnsi="宋体" w:eastAsia="宋体" w:cs="宋体"/>
        </w:rPr>
        <w:t>Ⅰ</w:t>
      </w:r>
      <w:r>
        <w:rPr>
          <w:rFonts w:hint="eastAsia" w:ascii="Arial" w:hAnsi="Arial" w:eastAsia="宋体" w:cs="Arial"/>
        </w:rPr>
        <w:t>）先前研究或研究计划的报告。</w:t>
      </w:r>
    </w:p>
    <w:p w14:paraId="4BBC2D0B">
      <w:pPr>
        <w:snapToGrid w:val="0"/>
        <w:spacing w:after="156" w:afterLines="50" w:line="360" w:lineRule="auto"/>
        <w:ind w:firstLine="1183" w:firstLineChars="586"/>
        <w:rPr>
          <w:rFonts w:ascii="Arial" w:hAnsi="Arial" w:eastAsia="宋体" w:cs="Arial"/>
          <w:spacing w:val="-4"/>
        </w:rPr>
      </w:pPr>
      <w:r>
        <w:rPr>
          <w:rFonts w:hint="eastAsia" w:ascii="Arial" w:hAnsi="Arial" w:eastAsia="宋体" w:cs="Arial"/>
          <w:spacing w:val="-4"/>
        </w:rPr>
        <w:t>（</w:t>
      </w:r>
      <w:r>
        <w:rPr>
          <w:rFonts w:ascii="Arial" w:hAnsi="Arial" w:eastAsia="宋体" w:cs="Arial"/>
          <w:spacing w:val="-4"/>
        </w:rPr>
        <w:t>ii</w:t>
      </w:r>
      <w:r>
        <w:rPr>
          <w:rFonts w:hint="eastAsia" w:ascii="Arial" w:hAnsi="Arial" w:eastAsia="宋体" w:cs="Arial"/>
          <w:spacing w:val="-4"/>
        </w:rPr>
        <w:t>）用于制造，加工，包装，存储以及在适当情况下安装器械所使用的方法，设施和控制，或</w:t>
      </w:r>
    </w:p>
    <w:p w14:paraId="40F65009">
      <w:pPr>
        <w:snapToGrid w:val="0"/>
        <w:spacing w:after="156" w:afterLines="50" w:line="360" w:lineRule="auto"/>
        <w:ind w:firstLine="1230" w:firstLineChars="586"/>
        <w:rPr>
          <w:rFonts w:ascii="Arial" w:hAnsi="Arial" w:eastAsia="宋体" w:cs="Arial"/>
        </w:rPr>
      </w:pPr>
      <w:r>
        <w:rPr>
          <w:rFonts w:hint="eastAsia" w:ascii="Arial" w:hAnsi="Arial" w:eastAsia="宋体" w:cs="Arial"/>
        </w:rPr>
        <w:t>（</w:t>
      </w:r>
      <w:r>
        <w:rPr>
          <w:rFonts w:ascii="Arial" w:hAnsi="Arial" w:eastAsia="宋体" w:cs="Arial"/>
        </w:rPr>
        <w:t>iii</w:t>
      </w:r>
      <w:r>
        <w:rPr>
          <w:rFonts w:hint="eastAsia" w:ascii="Arial" w:hAnsi="Arial" w:eastAsia="宋体" w:cs="Arial"/>
        </w:rPr>
        <w:t>）研究的监查和审查。”</w:t>
      </w:r>
    </w:p>
    <w:p w14:paraId="433DE0AD">
      <w:pPr>
        <w:snapToGrid w:val="0"/>
        <w:spacing w:after="156" w:afterLines="50" w:line="360" w:lineRule="auto"/>
        <w:rPr>
          <w:rFonts w:ascii="Arial" w:hAnsi="Arial" w:eastAsia="宋体" w:cs="Arial"/>
          <w:b/>
        </w:rPr>
      </w:pPr>
      <w:r>
        <w:rPr>
          <w:rFonts w:hint="eastAsia" w:ascii="Arial" w:hAnsi="Arial" w:eastAsia="宋体" w:cs="Arial"/>
          <w:b/>
        </w:rPr>
        <w:t>有条件的批准</w:t>
      </w:r>
    </w:p>
    <w:p w14:paraId="6D321E10">
      <w:pPr>
        <w:snapToGrid w:val="0"/>
        <w:spacing w:after="156" w:afterLines="50" w:line="360" w:lineRule="auto"/>
        <w:ind w:left="336" w:leftChars="160" w:firstLine="84" w:firstLineChars="40"/>
        <w:rPr>
          <w:rFonts w:ascii="Arial" w:hAnsi="Arial" w:eastAsia="宋体" w:cs="Arial"/>
        </w:rPr>
      </w:pPr>
      <w:r>
        <w:rPr>
          <w:rFonts w:ascii="Arial" w:hAnsi="Arial" w:eastAsia="宋体" w:cs="Arial"/>
        </w:rPr>
        <w:t>IDE</w:t>
      </w:r>
      <w:r>
        <w:rPr>
          <w:rFonts w:hint="eastAsia" w:ascii="Arial" w:hAnsi="Arial" w:eastAsia="宋体" w:cs="Arial"/>
        </w:rPr>
        <w:t>应用程序应该由机构有条件地批准，只有当机构确定研究计划（参见第</w:t>
      </w:r>
      <w:r>
        <w:rPr>
          <w:rFonts w:ascii="Arial" w:hAnsi="Arial" w:eastAsia="宋体" w:cs="Arial"/>
        </w:rPr>
        <w:t>3.1,3.2</w:t>
      </w:r>
      <w:r>
        <w:rPr>
          <w:rFonts w:hint="eastAsia" w:ascii="Arial" w:hAnsi="Arial" w:eastAsia="宋体" w:cs="Arial"/>
        </w:rPr>
        <w:t>和</w:t>
      </w:r>
      <w:r>
        <w:rPr>
          <w:rFonts w:ascii="Arial" w:hAnsi="Arial" w:eastAsia="宋体" w:cs="Arial"/>
        </w:rPr>
        <w:t>3.3</w:t>
      </w:r>
      <w:r>
        <w:rPr>
          <w:rFonts w:hint="eastAsia" w:ascii="Arial" w:hAnsi="Arial" w:eastAsia="宋体" w:cs="Arial"/>
        </w:rPr>
        <w:t>节）和器械（参见第</w:t>
      </w:r>
      <w:r>
        <w:rPr>
          <w:rFonts w:ascii="Arial" w:hAnsi="Arial" w:eastAsia="宋体" w:cs="Arial"/>
        </w:rPr>
        <w:t>3.4</w:t>
      </w:r>
      <w:r>
        <w:rPr>
          <w:rFonts w:hint="eastAsia" w:ascii="Arial" w:hAnsi="Arial" w:eastAsia="宋体" w:cs="Arial"/>
        </w:rPr>
        <w:t>节）的描述不充分时，但在</w:t>
      </w:r>
      <w:r>
        <w:rPr>
          <w:rFonts w:ascii="Arial" w:hAnsi="Arial" w:eastAsia="宋体" w:cs="Arial"/>
        </w:rPr>
        <w:t>45</w:t>
      </w:r>
      <w:r>
        <w:rPr>
          <w:rFonts w:hint="eastAsia" w:ascii="Arial" w:hAnsi="Arial" w:eastAsia="宋体" w:cs="Arial"/>
        </w:rPr>
        <w:t>天的条件批准期间不危及治疗的受试者的权利和安全；</w:t>
      </w:r>
    </w:p>
    <w:p w14:paraId="45277867">
      <w:pPr>
        <w:snapToGrid w:val="0"/>
        <w:spacing w:after="156" w:afterLines="50" w:line="360" w:lineRule="auto"/>
        <w:ind w:firstLine="420" w:firstLineChars="200"/>
        <w:rPr>
          <w:rFonts w:ascii="Arial" w:hAnsi="Arial" w:eastAsia="宋体" w:cs="Arial"/>
        </w:rPr>
      </w:pPr>
    </w:p>
    <w:p w14:paraId="71F4A83E">
      <w:pPr>
        <w:widowControl/>
        <w:jc w:val="left"/>
        <w:rPr>
          <w:rFonts w:ascii="Arial" w:hAnsi="Arial" w:eastAsia="宋体" w:cs="Arial"/>
        </w:rPr>
      </w:pPr>
      <w:r>
        <w:rPr>
          <w:rFonts w:ascii="Arial" w:hAnsi="Arial" w:eastAsia="宋体" w:cs="Arial"/>
        </w:rPr>
        <w:br w:type="page"/>
      </w:r>
    </w:p>
    <w:p w14:paraId="6BDBF597">
      <w:pPr>
        <w:snapToGrid w:val="0"/>
        <w:spacing w:after="156" w:afterLines="50" w:line="360" w:lineRule="auto"/>
        <w:ind w:firstLine="420" w:firstLineChars="200"/>
        <w:rPr>
          <w:rFonts w:ascii="Arial" w:hAnsi="Arial" w:eastAsia="宋体" w:cs="Arial"/>
        </w:rPr>
      </w:pPr>
    </w:p>
    <w:p w14:paraId="206C3EE2">
      <w:pPr>
        <w:snapToGrid w:val="0"/>
        <w:spacing w:after="156" w:afterLines="50" w:line="360" w:lineRule="auto"/>
        <w:rPr>
          <w:rFonts w:ascii="Arial" w:hAnsi="Arial" w:eastAsia="宋体" w:cs="Arial"/>
          <w:b/>
        </w:rPr>
      </w:pPr>
      <w:r>
        <w:rPr>
          <w:rFonts w:hint="eastAsia" w:ascii="Arial" w:hAnsi="Arial" w:eastAsia="宋体" w:cs="Arial"/>
          <w:b/>
        </w:rPr>
        <w:t>批准</w:t>
      </w:r>
    </w:p>
    <w:p w14:paraId="7FC87C91">
      <w:pPr>
        <w:snapToGrid w:val="0"/>
        <w:spacing w:after="156" w:afterLines="50" w:line="360" w:lineRule="auto"/>
        <w:ind w:left="405" w:leftChars="193" w:firstLine="8" w:firstLineChars="4"/>
        <w:rPr>
          <w:rFonts w:ascii="Arial" w:hAnsi="Arial" w:eastAsia="宋体" w:cs="Arial"/>
        </w:rPr>
      </w:pPr>
      <w:r>
        <w:rPr>
          <w:rFonts w:hint="eastAsia" w:ascii="Arial" w:hAnsi="Arial" w:eastAsia="宋体" w:cs="Arial"/>
        </w:rPr>
        <w:t>原始</w:t>
      </w:r>
      <w:r>
        <w:rPr>
          <w:rFonts w:ascii="Arial" w:hAnsi="Arial" w:eastAsia="宋体" w:cs="Arial"/>
        </w:rPr>
        <w:t>IDE</w:t>
      </w:r>
      <w:r>
        <w:rPr>
          <w:rFonts w:hint="eastAsia" w:ascii="Arial" w:hAnsi="Arial" w:eastAsia="宋体" w:cs="Arial"/>
        </w:rPr>
        <w:t>提交的机构批准（包括条件性批准）应确定提交中的问题领域，这可能危及</w:t>
      </w:r>
      <w:r>
        <w:rPr>
          <w:rFonts w:ascii="Arial" w:hAnsi="Arial" w:eastAsia="宋体" w:cs="Arial"/>
        </w:rPr>
        <w:t>FDA</w:t>
      </w:r>
      <w:r>
        <w:rPr>
          <w:rFonts w:hint="eastAsia" w:ascii="Arial" w:hAnsi="Arial" w:eastAsia="宋体" w:cs="Arial"/>
        </w:rPr>
        <w:t>以后确定该数据不构成“有效的科学证据”。机构应通过参考广泛的主题，并在可能的情况下确定这些问题的具体细节。在</w:t>
      </w:r>
      <w:r>
        <w:rPr>
          <w:rFonts w:ascii="Arial" w:hAnsi="Arial" w:eastAsia="宋体" w:cs="Arial"/>
        </w:rPr>
        <w:t>IDE</w:t>
      </w:r>
      <w:r>
        <w:rPr>
          <w:rFonts w:hint="eastAsia" w:ascii="Arial" w:hAnsi="Arial" w:eastAsia="宋体" w:cs="Arial"/>
        </w:rPr>
        <w:t>研究期间生成的数据的科学有效性是申办方的责任。</w:t>
      </w:r>
    </w:p>
    <w:p w14:paraId="4EA2B1A2">
      <w:pPr>
        <w:snapToGrid w:val="0"/>
        <w:spacing w:after="156" w:afterLines="50" w:line="360" w:lineRule="auto"/>
        <w:ind w:left="336" w:leftChars="160" w:firstLine="84" w:firstLineChars="40"/>
        <w:rPr>
          <w:rFonts w:ascii="Arial" w:hAnsi="Arial" w:eastAsia="宋体" w:cs="Arial"/>
        </w:rPr>
      </w:pPr>
    </w:p>
    <w:p w14:paraId="166E29D0">
      <w:pPr>
        <w:snapToGrid w:val="0"/>
        <w:spacing w:line="360" w:lineRule="auto"/>
        <w:rPr>
          <w:rFonts w:hint="eastAsia" w:eastAsia="宋体"/>
          <w:lang w:eastAsia="zh-CN"/>
        </w:rPr>
      </w:pPr>
    </w:p>
    <w:p w14:paraId="593CF72E">
      <w:pPr>
        <w:snapToGrid w:val="0"/>
        <w:spacing w:line="360" w:lineRule="auto"/>
        <w:jc w:val="center"/>
        <w:rPr>
          <w:rFonts w:hint="eastAsia" w:eastAsia="宋体"/>
          <w:lang w:eastAsia="zh-CN"/>
        </w:rPr>
      </w:pPr>
    </w:p>
    <w:p w14:paraId="3B86C23B">
      <w:pPr>
        <w:snapToGrid w:val="0"/>
        <w:spacing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6" w:h="16838"/>
      <w:pgMar w:top="1134" w:right="1134" w:bottom="1134" w:left="1134"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89645">
    <w:pPr>
      <w:pStyle w:val="8"/>
      <w:wordWrap w:val="0"/>
      <w:ind w:right="139" w:rightChars="66"/>
      <w:jc w:val="right"/>
      <w:rPr>
        <w:rFonts w:ascii="Arial" w:hAnsi="Arial" w:eastAsia="宋体" w:cs="Arial"/>
        <w:sz w:val="21"/>
        <w:szCs w:val="21"/>
      </w:rPr>
    </w:pPr>
    <w:r>
      <w:rPr>
        <w:rFonts w:ascii="Arial" w:hAnsi="Arial" w:eastAsia="宋体" w:cs="Arial"/>
        <w:i/>
        <w:sz w:val="21"/>
        <w:szCs w:val="21"/>
      </w:rPr>
      <w:t xml:space="preserve">对于所需的部分，请参见附录A和CFR 21 812.20（b）。               </w:t>
    </w:r>
    <w:r>
      <w:rPr>
        <w:rFonts w:ascii="Arial" w:hAnsi="Arial" w:eastAsia="宋体" w:cs="Arial"/>
        <w:sz w:val="21"/>
        <w:szCs w:val="21"/>
      </w:rPr>
      <w:t xml:space="preserve">                     </w:t>
    </w:r>
    <w:r>
      <w:rPr>
        <w:rFonts w:ascii="Arial" w:hAnsi="Arial" w:eastAsia="宋体" w:cs="Arial"/>
        <w:sz w:val="21"/>
        <w:szCs w:val="21"/>
      </w:rPr>
      <w:fldChar w:fldCharType="begin"/>
    </w:r>
    <w:r>
      <w:rPr>
        <w:rFonts w:ascii="Arial" w:hAnsi="Arial" w:eastAsia="宋体" w:cs="Arial"/>
        <w:sz w:val="21"/>
        <w:szCs w:val="21"/>
      </w:rPr>
      <w:instrText xml:space="preserve">PAGE   \* MERGEFORMAT</w:instrText>
    </w:r>
    <w:r>
      <w:rPr>
        <w:rFonts w:ascii="Arial" w:hAnsi="Arial" w:eastAsia="宋体" w:cs="Arial"/>
        <w:sz w:val="21"/>
        <w:szCs w:val="21"/>
      </w:rPr>
      <w:fldChar w:fldCharType="separate"/>
    </w:r>
    <w:r>
      <w:rPr>
        <w:rFonts w:ascii="Arial" w:hAnsi="Arial" w:eastAsia="宋体" w:cs="Arial"/>
        <w:sz w:val="21"/>
        <w:szCs w:val="21"/>
        <w:lang w:val="zh-CN"/>
      </w:rPr>
      <w:t>31</w:t>
    </w:r>
    <w:r>
      <w:rPr>
        <w:rFonts w:ascii="Arial" w:hAnsi="Arial" w:eastAsia="宋体" w:cs="Arial"/>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65FA5">
    <w:pPr>
      <w:pStyle w:val="9"/>
      <w:pBdr>
        <w:bottom w:val="none" w:color="auto" w:sz="0" w:space="0"/>
      </w:pBdr>
      <w:jc w:val="left"/>
      <w:rPr>
        <w:rFonts w:ascii="Arial" w:hAnsi="Arial" w:eastAsia="宋体" w:cs="Arial"/>
        <w:sz w:val="15"/>
        <w:szCs w:val="15"/>
      </w:rPr>
    </w:pPr>
    <w:r>
      <w:rPr>
        <w:rFonts w:ascii="Arial" w:hAnsi="Arial" w:eastAsia="宋体" w:cs="Arial"/>
        <w:sz w:val="15"/>
        <w:szCs w:val="15"/>
      </w:rPr>
      <w:t>CDRH,FDA       1996</w:t>
    </w:r>
    <w:r>
      <w:rPr>
        <w:rFonts w:hint="eastAsia" w:ascii="Arial" w:hAnsi="Arial" w:eastAsia="宋体" w:cs="Arial"/>
        <w:sz w:val="15"/>
        <w:szCs w:val="15"/>
      </w:rPr>
      <w:t>年</w:t>
    </w:r>
    <w:r>
      <w:rPr>
        <w:rFonts w:ascii="Arial" w:hAnsi="Arial" w:eastAsia="宋体" w:cs="Arial"/>
        <w:sz w:val="15"/>
        <w:szCs w:val="15"/>
      </w:rPr>
      <w:t>10</w:t>
    </w:r>
    <w:r>
      <w:rPr>
        <w:rFonts w:hint="eastAsia" w:ascii="Arial" w:hAnsi="Arial" w:eastAsia="宋体" w:cs="Arial"/>
        <w:sz w:val="15"/>
        <w:szCs w:val="15"/>
      </w:rPr>
      <w:t>月</w:t>
    </w:r>
    <w:r>
      <w:rPr>
        <w:rFonts w:ascii="Arial" w:hAnsi="Arial" w:eastAsia="宋体" w:cs="Arial"/>
        <w:sz w:val="15"/>
        <w:szCs w:val="15"/>
      </w:rPr>
      <w:t>10</w:t>
    </w:r>
    <w:r>
      <w:rPr>
        <w:rFonts w:hint="eastAsia" w:ascii="Arial" w:hAnsi="Arial" w:eastAsia="宋体" w:cs="Arial"/>
        <w:sz w:val="15"/>
        <w:szCs w:val="15"/>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440DF"/>
    <w:multiLevelType w:val="multilevel"/>
    <w:tmpl w:val="00A440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7B46F7"/>
    <w:multiLevelType w:val="multilevel"/>
    <w:tmpl w:val="067B46F7"/>
    <w:lvl w:ilvl="0" w:tentative="0">
      <w:start w:val="1"/>
      <w:numFmt w:val="lowerLetter"/>
      <w:lvlText w:val="%1．"/>
      <w:lvlJc w:val="left"/>
      <w:pPr>
        <w:ind w:left="465" w:hanging="4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BA55D0E"/>
    <w:multiLevelType w:val="multilevel"/>
    <w:tmpl w:val="0BA55D0E"/>
    <w:lvl w:ilvl="0" w:tentative="0">
      <w:start w:val="7"/>
      <w:numFmt w:val="upperLetter"/>
      <w:lvlText w:val="%1."/>
      <w:lvlJc w:val="left"/>
      <w:pPr>
        <w:ind w:left="193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FE60BFE"/>
    <w:multiLevelType w:val="multilevel"/>
    <w:tmpl w:val="0FE60BFE"/>
    <w:lvl w:ilvl="0" w:tentative="0">
      <w:start w:val="1"/>
      <w:numFmt w:val="decimal"/>
      <w:lvlText w:val="%1."/>
      <w:lvlJc w:val="left"/>
      <w:pPr>
        <w:ind w:left="1090" w:hanging="420"/>
      </w:pPr>
    </w:lvl>
    <w:lvl w:ilvl="1" w:tentative="0">
      <w:start w:val="1"/>
      <w:numFmt w:val="lowerLetter"/>
      <w:lvlText w:val="%2)"/>
      <w:lvlJc w:val="left"/>
      <w:pPr>
        <w:ind w:left="1510" w:hanging="420"/>
      </w:pPr>
    </w:lvl>
    <w:lvl w:ilvl="2" w:tentative="0">
      <w:start w:val="1"/>
      <w:numFmt w:val="decimal"/>
      <w:lvlText w:val="%3."/>
      <w:lvlJc w:val="left"/>
      <w:pPr>
        <w:ind w:left="1930" w:hanging="420"/>
      </w:pPr>
    </w:lvl>
    <w:lvl w:ilvl="3" w:tentative="0">
      <w:start w:val="1"/>
      <w:numFmt w:val="decimal"/>
      <w:lvlText w:val="%4."/>
      <w:lvlJc w:val="left"/>
      <w:pPr>
        <w:ind w:left="2350" w:hanging="420"/>
      </w:pPr>
    </w:lvl>
    <w:lvl w:ilvl="4" w:tentative="0">
      <w:start w:val="1"/>
      <w:numFmt w:val="lowerLetter"/>
      <w:lvlText w:val="%5)"/>
      <w:lvlJc w:val="left"/>
      <w:pPr>
        <w:ind w:left="2770" w:hanging="420"/>
      </w:pPr>
    </w:lvl>
    <w:lvl w:ilvl="5" w:tentative="0">
      <w:start w:val="1"/>
      <w:numFmt w:val="lowerRoman"/>
      <w:lvlText w:val="%6."/>
      <w:lvlJc w:val="right"/>
      <w:pPr>
        <w:ind w:left="3190" w:hanging="420"/>
      </w:pPr>
    </w:lvl>
    <w:lvl w:ilvl="6" w:tentative="0">
      <w:start w:val="1"/>
      <w:numFmt w:val="decimal"/>
      <w:lvlText w:val="%7."/>
      <w:lvlJc w:val="left"/>
      <w:pPr>
        <w:ind w:left="3610" w:hanging="420"/>
      </w:pPr>
    </w:lvl>
    <w:lvl w:ilvl="7" w:tentative="0">
      <w:start w:val="1"/>
      <w:numFmt w:val="lowerLetter"/>
      <w:lvlText w:val="%8)"/>
      <w:lvlJc w:val="left"/>
      <w:pPr>
        <w:ind w:left="4030" w:hanging="420"/>
      </w:pPr>
    </w:lvl>
    <w:lvl w:ilvl="8" w:tentative="0">
      <w:start w:val="1"/>
      <w:numFmt w:val="lowerRoman"/>
      <w:lvlText w:val="%9."/>
      <w:lvlJc w:val="right"/>
      <w:pPr>
        <w:ind w:left="4450" w:hanging="420"/>
      </w:pPr>
    </w:lvl>
  </w:abstractNum>
  <w:abstractNum w:abstractNumId="4">
    <w:nsid w:val="13AA073B"/>
    <w:multiLevelType w:val="multilevel"/>
    <w:tmpl w:val="13AA073B"/>
    <w:lvl w:ilvl="0" w:tentative="0">
      <w:start w:val="1"/>
      <w:numFmt w:val="upperLetter"/>
      <w:lvlText w:val="%1."/>
      <w:lvlJc w:val="left"/>
      <w:pPr>
        <w:ind w:left="1512" w:hanging="420"/>
      </w:pPr>
    </w:lvl>
    <w:lvl w:ilvl="1" w:tentative="0">
      <w:start w:val="1"/>
      <w:numFmt w:val="upperLetter"/>
      <w:lvlText w:val="%2."/>
      <w:lvlJc w:val="left"/>
      <w:pPr>
        <w:ind w:left="1932" w:hanging="420"/>
      </w:pPr>
    </w:lvl>
    <w:lvl w:ilvl="2" w:tentative="0">
      <w:start w:val="1"/>
      <w:numFmt w:val="lowerRoman"/>
      <w:lvlText w:val="%3."/>
      <w:lvlJc w:val="right"/>
      <w:pPr>
        <w:ind w:left="2352" w:hanging="420"/>
      </w:pPr>
    </w:lvl>
    <w:lvl w:ilvl="3" w:tentative="0">
      <w:start w:val="1"/>
      <w:numFmt w:val="decimal"/>
      <w:lvlText w:val="%4."/>
      <w:lvlJc w:val="left"/>
      <w:pPr>
        <w:ind w:left="2772" w:hanging="420"/>
      </w:pPr>
    </w:lvl>
    <w:lvl w:ilvl="4" w:tentative="0">
      <w:start w:val="1"/>
      <w:numFmt w:val="lowerLetter"/>
      <w:lvlText w:val="%5)"/>
      <w:lvlJc w:val="left"/>
      <w:pPr>
        <w:ind w:left="3192" w:hanging="420"/>
      </w:pPr>
    </w:lvl>
    <w:lvl w:ilvl="5" w:tentative="0">
      <w:start w:val="1"/>
      <w:numFmt w:val="lowerRoman"/>
      <w:lvlText w:val="%6."/>
      <w:lvlJc w:val="right"/>
      <w:pPr>
        <w:ind w:left="3612" w:hanging="420"/>
      </w:pPr>
    </w:lvl>
    <w:lvl w:ilvl="6" w:tentative="0">
      <w:start w:val="1"/>
      <w:numFmt w:val="decimal"/>
      <w:lvlText w:val="%7."/>
      <w:lvlJc w:val="left"/>
      <w:pPr>
        <w:ind w:left="4032" w:hanging="420"/>
      </w:pPr>
    </w:lvl>
    <w:lvl w:ilvl="7" w:tentative="0">
      <w:start w:val="1"/>
      <w:numFmt w:val="lowerLetter"/>
      <w:lvlText w:val="%8)"/>
      <w:lvlJc w:val="left"/>
      <w:pPr>
        <w:ind w:left="4452" w:hanging="420"/>
      </w:pPr>
    </w:lvl>
    <w:lvl w:ilvl="8" w:tentative="0">
      <w:start w:val="1"/>
      <w:numFmt w:val="lowerRoman"/>
      <w:lvlText w:val="%9."/>
      <w:lvlJc w:val="right"/>
      <w:pPr>
        <w:ind w:left="4872" w:hanging="420"/>
      </w:pPr>
    </w:lvl>
  </w:abstractNum>
  <w:abstractNum w:abstractNumId="5">
    <w:nsid w:val="1BA247E6"/>
    <w:multiLevelType w:val="multilevel"/>
    <w:tmpl w:val="1BA247E6"/>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E474B21"/>
    <w:multiLevelType w:val="multilevel"/>
    <w:tmpl w:val="1E474B21"/>
    <w:lvl w:ilvl="0" w:tentative="0">
      <w:start w:val="1"/>
      <w:numFmt w:val="upperLetter"/>
      <w:lvlText w:val="%1."/>
      <w:lvlJc w:val="left"/>
      <w:pPr>
        <w:ind w:left="1092" w:hanging="420"/>
      </w:pPr>
    </w:lvl>
    <w:lvl w:ilvl="1" w:tentative="0">
      <w:start w:val="1"/>
      <w:numFmt w:val="upperLetter"/>
      <w:lvlText w:val="%2."/>
      <w:lvlJc w:val="left"/>
      <w:pPr>
        <w:ind w:left="1512" w:hanging="420"/>
      </w:pPr>
    </w:lvl>
    <w:lvl w:ilvl="2" w:tentative="0">
      <w:start w:val="1"/>
      <w:numFmt w:val="decimal"/>
      <w:lvlText w:val="%3."/>
      <w:lvlJc w:val="left"/>
      <w:pPr>
        <w:ind w:left="1872" w:hanging="360"/>
      </w:pPr>
      <w:rPr>
        <w:rFonts w:hint="default"/>
      </w:r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abstractNum w:abstractNumId="7">
    <w:nsid w:val="24522765"/>
    <w:multiLevelType w:val="multilevel"/>
    <w:tmpl w:val="24522765"/>
    <w:lvl w:ilvl="0" w:tentative="0">
      <w:start w:val="3"/>
      <w:numFmt w:val="upperLetter"/>
      <w:lvlText w:val="%1."/>
      <w:lvlJc w:val="left"/>
      <w:pPr>
        <w:ind w:left="277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A0112E0"/>
    <w:multiLevelType w:val="multilevel"/>
    <w:tmpl w:val="2A0112E0"/>
    <w:lvl w:ilvl="0" w:tentative="0">
      <w:start w:val="1"/>
      <w:numFmt w:val="upp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A693DCC"/>
    <w:multiLevelType w:val="multilevel"/>
    <w:tmpl w:val="2A693DCC"/>
    <w:lvl w:ilvl="0" w:tentative="0">
      <w:start w:val="3"/>
      <w:numFmt w:val="decimal"/>
      <w:lvlText w:val="%1"/>
      <w:lvlJc w:val="left"/>
      <w:pPr>
        <w:ind w:left="360" w:hanging="360"/>
      </w:pPr>
      <w:rPr>
        <w:rFonts w:hint="default"/>
      </w:rPr>
    </w:lvl>
    <w:lvl w:ilvl="1" w:tentative="0">
      <w:start w:val="1"/>
      <w:numFmt w:val="decimal"/>
      <w:lvlText w:val="%1.%2"/>
      <w:lvlJc w:val="left"/>
      <w:pPr>
        <w:ind w:left="990" w:hanging="360"/>
      </w:pPr>
      <w:rPr>
        <w:rFonts w:hint="default"/>
      </w:rPr>
    </w:lvl>
    <w:lvl w:ilvl="2" w:tentative="0">
      <w:start w:val="1"/>
      <w:numFmt w:val="decimal"/>
      <w:lvlText w:val="%1.%2.%3"/>
      <w:lvlJc w:val="left"/>
      <w:pPr>
        <w:ind w:left="567" w:firstLine="0"/>
      </w:pPr>
      <w:rPr>
        <w:rFonts w:hint="default"/>
      </w:rPr>
    </w:lvl>
    <w:lvl w:ilvl="3" w:tentative="0">
      <w:start w:val="1"/>
      <w:numFmt w:val="decimal"/>
      <w:lvlText w:val="%1.%2.%3.%4"/>
      <w:lvlJc w:val="left"/>
      <w:pPr>
        <w:ind w:left="-48" w:firstLine="756"/>
      </w:pPr>
      <w:rPr>
        <w:rFonts w:hint="default"/>
      </w:rPr>
    </w:lvl>
    <w:lvl w:ilvl="4" w:tentative="0">
      <w:start w:val="1"/>
      <w:numFmt w:val="decimal"/>
      <w:lvlText w:val="%1.%2.%3.%4.%5"/>
      <w:lvlJc w:val="left"/>
      <w:pPr>
        <w:ind w:left="3600" w:hanging="1080"/>
      </w:pPr>
      <w:rPr>
        <w:rFonts w:hint="default"/>
      </w:rPr>
    </w:lvl>
    <w:lvl w:ilvl="5" w:tentative="0">
      <w:start w:val="1"/>
      <w:numFmt w:val="decimal"/>
      <w:lvlText w:val="%1.%2.%3.%4.%5.%6"/>
      <w:lvlJc w:val="left"/>
      <w:pPr>
        <w:ind w:left="4590" w:hanging="1440"/>
      </w:pPr>
      <w:rPr>
        <w:rFonts w:hint="default"/>
      </w:rPr>
    </w:lvl>
    <w:lvl w:ilvl="6" w:tentative="0">
      <w:start w:val="1"/>
      <w:numFmt w:val="decimal"/>
      <w:lvlText w:val="%1.%2.%3.%4.%5.%6.%7"/>
      <w:lvlJc w:val="left"/>
      <w:pPr>
        <w:ind w:left="5220" w:hanging="1440"/>
      </w:pPr>
      <w:rPr>
        <w:rFonts w:hint="default"/>
      </w:rPr>
    </w:lvl>
    <w:lvl w:ilvl="7" w:tentative="0">
      <w:start w:val="1"/>
      <w:numFmt w:val="decimal"/>
      <w:lvlText w:val="%1.%2.%3.%4.%5.%6.%7.%8"/>
      <w:lvlJc w:val="left"/>
      <w:pPr>
        <w:ind w:left="6210" w:hanging="1800"/>
      </w:pPr>
      <w:rPr>
        <w:rFonts w:hint="default"/>
      </w:rPr>
    </w:lvl>
    <w:lvl w:ilvl="8" w:tentative="0">
      <w:start w:val="1"/>
      <w:numFmt w:val="decimal"/>
      <w:lvlText w:val="%1.%2.%3.%4.%5.%6.%7.%8.%9"/>
      <w:lvlJc w:val="left"/>
      <w:pPr>
        <w:ind w:left="6840" w:hanging="1800"/>
      </w:pPr>
      <w:rPr>
        <w:rFonts w:hint="default"/>
      </w:rPr>
    </w:lvl>
  </w:abstractNum>
  <w:abstractNum w:abstractNumId="10">
    <w:nsid w:val="311E056D"/>
    <w:multiLevelType w:val="multilevel"/>
    <w:tmpl w:val="311E056D"/>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856016E"/>
    <w:multiLevelType w:val="multilevel"/>
    <w:tmpl w:val="3856016E"/>
    <w:lvl w:ilvl="0" w:tentative="0">
      <w:start w:val="1"/>
      <w:numFmt w:val="upperLetter"/>
      <w:lvlText w:val="%1."/>
      <w:lvlJc w:val="left"/>
      <w:pPr>
        <w:ind w:left="2352" w:hanging="420"/>
      </w:pPr>
    </w:lvl>
    <w:lvl w:ilvl="1" w:tentative="0">
      <w:start w:val="1"/>
      <w:numFmt w:val="upperLetter"/>
      <w:lvlText w:val="%2."/>
      <w:lvlJc w:val="left"/>
      <w:pPr>
        <w:ind w:left="2772" w:hanging="420"/>
      </w:pPr>
    </w:lvl>
    <w:lvl w:ilvl="2" w:tentative="0">
      <w:start w:val="1"/>
      <w:numFmt w:val="lowerRoman"/>
      <w:lvlText w:val="%3."/>
      <w:lvlJc w:val="right"/>
      <w:pPr>
        <w:ind w:left="3192" w:hanging="420"/>
      </w:pPr>
    </w:lvl>
    <w:lvl w:ilvl="3" w:tentative="0">
      <w:start w:val="1"/>
      <w:numFmt w:val="decimal"/>
      <w:lvlText w:val="%4."/>
      <w:lvlJc w:val="left"/>
      <w:pPr>
        <w:ind w:left="3612" w:hanging="420"/>
      </w:pPr>
    </w:lvl>
    <w:lvl w:ilvl="4" w:tentative="0">
      <w:start w:val="1"/>
      <w:numFmt w:val="lowerLetter"/>
      <w:lvlText w:val="%5)"/>
      <w:lvlJc w:val="left"/>
      <w:pPr>
        <w:ind w:left="4032" w:hanging="420"/>
      </w:pPr>
    </w:lvl>
    <w:lvl w:ilvl="5" w:tentative="0">
      <w:start w:val="1"/>
      <w:numFmt w:val="lowerRoman"/>
      <w:lvlText w:val="%6."/>
      <w:lvlJc w:val="right"/>
      <w:pPr>
        <w:ind w:left="4452" w:hanging="420"/>
      </w:pPr>
    </w:lvl>
    <w:lvl w:ilvl="6" w:tentative="0">
      <w:start w:val="1"/>
      <w:numFmt w:val="decimal"/>
      <w:lvlText w:val="%7."/>
      <w:lvlJc w:val="left"/>
      <w:pPr>
        <w:ind w:left="4872" w:hanging="420"/>
      </w:pPr>
    </w:lvl>
    <w:lvl w:ilvl="7" w:tentative="0">
      <w:start w:val="1"/>
      <w:numFmt w:val="lowerLetter"/>
      <w:lvlText w:val="%8)"/>
      <w:lvlJc w:val="left"/>
      <w:pPr>
        <w:ind w:left="5292" w:hanging="420"/>
      </w:pPr>
    </w:lvl>
    <w:lvl w:ilvl="8" w:tentative="0">
      <w:start w:val="1"/>
      <w:numFmt w:val="lowerRoman"/>
      <w:lvlText w:val="%9."/>
      <w:lvlJc w:val="right"/>
      <w:pPr>
        <w:ind w:left="5712" w:hanging="420"/>
      </w:pPr>
    </w:lvl>
  </w:abstractNum>
  <w:abstractNum w:abstractNumId="12">
    <w:nsid w:val="39A945D6"/>
    <w:multiLevelType w:val="multilevel"/>
    <w:tmpl w:val="39A945D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68B020B"/>
    <w:multiLevelType w:val="multilevel"/>
    <w:tmpl w:val="468B020B"/>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73A46AB"/>
    <w:multiLevelType w:val="multilevel"/>
    <w:tmpl w:val="473A46A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B292B0A"/>
    <w:multiLevelType w:val="multilevel"/>
    <w:tmpl w:val="4B292B0A"/>
    <w:lvl w:ilvl="0" w:tentative="0">
      <w:start w:val="7"/>
      <w:numFmt w:val="upperLetter"/>
      <w:lvlText w:val="%1."/>
      <w:lvlJc w:val="left"/>
      <w:pPr>
        <w:ind w:left="1932" w:hanging="420"/>
      </w:pPr>
      <w:rPr>
        <w:rFonts w:hint="eastAsia"/>
      </w:rPr>
    </w:lvl>
    <w:lvl w:ilvl="1" w:tentative="0">
      <w:start w:val="1"/>
      <w:numFmt w:val="upperLetter"/>
      <w:lvlText w:val="%2."/>
      <w:lvlJc w:val="left"/>
      <w:pPr>
        <w:ind w:left="2352" w:hanging="420"/>
      </w:pPr>
    </w:lvl>
    <w:lvl w:ilvl="2" w:tentative="0">
      <w:start w:val="1"/>
      <w:numFmt w:val="lowerRoman"/>
      <w:lvlText w:val="%3."/>
      <w:lvlJc w:val="right"/>
      <w:pPr>
        <w:ind w:left="2772" w:hanging="420"/>
      </w:pPr>
    </w:lvl>
    <w:lvl w:ilvl="3" w:tentative="0">
      <w:start w:val="1"/>
      <w:numFmt w:val="decimal"/>
      <w:lvlText w:val="%4."/>
      <w:lvlJc w:val="left"/>
      <w:pPr>
        <w:ind w:left="3192" w:hanging="420"/>
      </w:pPr>
    </w:lvl>
    <w:lvl w:ilvl="4" w:tentative="0">
      <w:start w:val="1"/>
      <w:numFmt w:val="lowerLetter"/>
      <w:lvlText w:val="%5)"/>
      <w:lvlJc w:val="left"/>
      <w:pPr>
        <w:ind w:left="3612" w:hanging="420"/>
      </w:pPr>
    </w:lvl>
    <w:lvl w:ilvl="5" w:tentative="0">
      <w:start w:val="1"/>
      <w:numFmt w:val="lowerRoman"/>
      <w:lvlText w:val="%6."/>
      <w:lvlJc w:val="right"/>
      <w:pPr>
        <w:ind w:left="4032" w:hanging="420"/>
      </w:pPr>
    </w:lvl>
    <w:lvl w:ilvl="6" w:tentative="0">
      <w:start w:val="1"/>
      <w:numFmt w:val="decimal"/>
      <w:lvlText w:val="%7."/>
      <w:lvlJc w:val="left"/>
      <w:pPr>
        <w:ind w:left="4452" w:hanging="420"/>
      </w:pPr>
    </w:lvl>
    <w:lvl w:ilvl="7" w:tentative="0">
      <w:start w:val="1"/>
      <w:numFmt w:val="lowerLetter"/>
      <w:lvlText w:val="%8)"/>
      <w:lvlJc w:val="left"/>
      <w:pPr>
        <w:ind w:left="4872" w:hanging="420"/>
      </w:pPr>
    </w:lvl>
    <w:lvl w:ilvl="8" w:tentative="0">
      <w:start w:val="1"/>
      <w:numFmt w:val="lowerRoman"/>
      <w:lvlText w:val="%9."/>
      <w:lvlJc w:val="right"/>
      <w:pPr>
        <w:ind w:left="5292" w:hanging="420"/>
      </w:pPr>
    </w:lvl>
  </w:abstractNum>
  <w:abstractNum w:abstractNumId="16">
    <w:nsid w:val="553A5AD3"/>
    <w:multiLevelType w:val="multilevel"/>
    <w:tmpl w:val="553A5AD3"/>
    <w:lvl w:ilvl="0" w:tentative="0">
      <w:start w:val="1"/>
      <w:numFmt w:val="lowerLetter"/>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7">
    <w:nsid w:val="58FD347F"/>
    <w:multiLevelType w:val="multilevel"/>
    <w:tmpl w:val="58FD347F"/>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93D4308"/>
    <w:multiLevelType w:val="multilevel"/>
    <w:tmpl w:val="593D4308"/>
    <w:lvl w:ilvl="0" w:tentative="0">
      <w:start w:val="1"/>
      <w:numFmt w:val="upperLetter"/>
      <w:lvlText w:val="%1．"/>
      <w:lvlJc w:val="left"/>
      <w:pPr>
        <w:ind w:left="1068" w:hanging="360"/>
      </w:pPr>
      <w:rPr>
        <w:rFonts w:hint="default"/>
      </w:rPr>
    </w:lvl>
    <w:lvl w:ilvl="1" w:tentative="0">
      <w:start w:val="1"/>
      <w:numFmt w:val="lowerLetter"/>
      <w:lvlText w:val="%2)"/>
      <w:lvlJc w:val="left"/>
      <w:pPr>
        <w:ind w:left="981" w:hanging="420"/>
      </w:pPr>
    </w:lvl>
    <w:lvl w:ilvl="2" w:tentative="0">
      <w:start w:val="1"/>
      <w:numFmt w:val="lowerRoman"/>
      <w:lvlText w:val="%3."/>
      <w:lvlJc w:val="right"/>
      <w:pPr>
        <w:ind w:left="1401" w:hanging="420"/>
      </w:pPr>
    </w:lvl>
    <w:lvl w:ilvl="3" w:tentative="0">
      <w:start w:val="1"/>
      <w:numFmt w:val="decimal"/>
      <w:lvlText w:val="%4."/>
      <w:lvlJc w:val="left"/>
      <w:pPr>
        <w:ind w:left="1821" w:hanging="420"/>
      </w:pPr>
    </w:lvl>
    <w:lvl w:ilvl="4" w:tentative="0">
      <w:start w:val="1"/>
      <w:numFmt w:val="lowerLetter"/>
      <w:lvlText w:val="%5)"/>
      <w:lvlJc w:val="left"/>
      <w:pPr>
        <w:ind w:left="2241" w:hanging="420"/>
      </w:pPr>
    </w:lvl>
    <w:lvl w:ilvl="5" w:tentative="0">
      <w:start w:val="1"/>
      <w:numFmt w:val="lowerRoman"/>
      <w:lvlText w:val="%6."/>
      <w:lvlJc w:val="right"/>
      <w:pPr>
        <w:ind w:left="2661" w:hanging="420"/>
      </w:pPr>
    </w:lvl>
    <w:lvl w:ilvl="6" w:tentative="0">
      <w:start w:val="1"/>
      <w:numFmt w:val="decimal"/>
      <w:lvlText w:val="%7."/>
      <w:lvlJc w:val="left"/>
      <w:pPr>
        <w:ind w:left="3081" w:hanging="420"/>
      </w:pPr>
    </w:lvl>
    <w:lvl w:ilvl="7" w:tentative="0">
      <w:start w:val="1"/>
      <w:numFmt w:val="lowerLetter"/>
      <w:lvlText w:val="%8)"/>
      <w:lvlJc w:val="left"/>
      <w:pPr>
        <w:ind w:left="3501" w:hanging="420"/>
      </w:pPr>
    </w:lvl>
    <w:lvl w:ilvl="8" w:tentative="0">
      <w:start w:val="1"/>
      <w:numFmt w:val="lowerRoman"/>
      <w:lvlText w:val="%9."/>
      <w:lvlJc w:val="right"/>
      <w:pPr>
        <w:ind w:left="3921" w:hanging="420"/>
      </w:pPr>
    </w:lvl>
  </w:abstractNum>
  <w:abstractNum w:abstractNumId="19">
    <w:nsid w:val="59D222C0"/>
    <w:multiLevelType w:val="multilevel"/>
    <w:tmpl w:val="59D222C0"/>
    <w:lvl w:ilvl="0" w:tentative="0">
      <w:start w:val="7"/>
      <w:numFmt w:val="upperLetter"/>
      <w:lvlText w:val="%1."/>
      <w:lvlJc w:val="left"/>
      <w:pPr>
        <w:ind w:left="277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EFE00D0"/>
    <w:multiLevelType w:val="multilevel"/>
    <w:tmpl w:val="5EFE00D0"/>
    <w:lvl w:ilvl="0" w:tentative="0">
      <w:start w:val="7"/>
      <w:numFmt w:val="upp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53203DF"/>
    <w:multiLevelType w:val="multilevel"/>
    <w:tmpl w:val="653203DF"/>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56B0AFD"/>
    <w:multiLevelType w:val="multilevel"/>
    <w:tmpl w:val="656B0AFD"/>
    <w:lvl w:ilvl="0" w:tentative="0">
      <w:start w:val="1"/>
      <w:numFmt w:val="decimal"/>
      <w:lvlText w:val="（%1）"/>
      <w:lvlJc w:val="left"/>
      <w:pPr>
        <w:ind w:left="4265" w:hanging="720"/>
      </w:pPr>
      <w:rPr>
        <w:rFonts w:hint="default"/>
      </w:rPr>
    </w:lvl>
    <w:lvl w:ilvl="1" w:tentative="0">
      <w:start w:val="1"/>
      <w:numFmt w:val="lowerLetter"/>
      <w:lvlText w:val="%2)"/>
      <w:lvlJc w:val="left"/>
      <w:pPr>
        <w:ind w:left="4385" w:hanging="420"/>
      </w:pPr>
    </w:lvl>
    <w:lvl w:ilvl="2" w:tentative="0">
      <w:start w:val="1"/>
      <w:numFmt w:val="lowerRoman"/>
      <w:lvlText w:val="%3."/>
      <w:lvlJc w:val="right"/>
      <w:pPr>
        <w:ind w:left="4805" w:hanging="420"/>
      </w:pPr>
    </w:lvl>
    <w:lvl w:ilvl="3" w:tentative="0">
      <w:start w:val="1"/>
      <w:numFmt w:val="decimal"/>
      <w:lvlText w:val="%4."/>
      <w:lvlJc w:val="left"/>
      <w:pPr>
        <w:ind w:left="5225" w:hanging="420"/>
      </w:pPr>
    </w:lvl>
    <w:lvl w:ilvl="4" w:tentative="0">
      <w:start w:val="1"/>
      <w:numFmt w:val="lowerLetter"/>
      <w:lvlText w:val="%5)"/>
      <w:lvlJc w:val="left"/>
      <w:pPr>
        <w:ind w:left="5645" w:hanging="420"/>
      </w:pPr>
    </w:lvl>
    <w:lvl w:ilvl="5" w:tentative="0">
      <w:start w:val="1"/>
      <w:numFmt w:val="lowerRoman"/>
      <w:lvlText w:val="%6."/>
      <w:lvlJc w:val="right"/>
      <w:pPr>
        <w:ind w:left="6065" w:hanging="420"/>
      </w:pPr>
    </w:lvl>
    <w:lvl w:ilvl="6" w:tentative="0">
      <w:start w:val="1"/>
      <w:numFmt w:val="decimal"/>
      <w:lvlText w:val="%7."/>
      <w:lvlJc w:val="left"/>
      <w:pPr>
        <w:ind w:left="6485" w:hanging="420"/>
      </w:pPr>
    </w:lvl>
    <w:lvl w:ilvl="7" w:tentative="0">
      <w:start w:val="1"/>
      <w:numFmt w:val="lowerLetter"/>
      <w:lvlText w:val="%8)"/>
      <w:lvlJc w:val="left"/>
      <w:pPr>
        <w:ind w:left="6905" w:hanging="420"/>
      </w:pPr>
    </w:lvl>
    <w:lvl w:ilvl="8" w:tentative="0">
      <w:start w:val="1"/>
      <w:numFmt w:val="lowerRoman"/>
      <w:lvlText w:val="%9."/>
      <w:lvlJc w:val="right"/>
      <w:pPr>
        <w:ind w:left="7325" w:hanging="420"/>
      </w:pPr>
    </w:lvl>
  </w:abstractNum>
  <w:abstractNum w:abstractNumId="23">
    <w:nsid w:val="6833388E"/>
    <w:multiLevelType w:val="multilevel"/>
    <w:tmpl w:val="6833388E"/>
    <w:lvl w:ilvl="0" w:tentative="0">
      <w:start w:val="1"/>
      <w:numFmt w:val="upperLetter"/>
      <w:lvlText w:val="%1."/>
      <w:lvlJc w:val="left"/>
      <w:pPr>
        <w:ind w:left="927"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93F6744"/>
    <w:multiLevelType w:val="multilevel"/>
    <w:tmpl w:val="693F6744"/>
    <w:lvl w:ilvl="0" w:tentative="0">
      <w:start w:val="1"/>
      <w:numFmt w:val="decimal"/>
      <w:lvlText w:val="%1.0"/>
      <w:lvlJc w:val="left"/>
      <w:pPr>
        <w:ind w:left="630" w:hanging="420"/>
      </w:pPr>
      <w:rPr>
        <w:rFonts w:hint="eastAsia"/>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5">
    <w:nsid w:val="6CBB030B"/>
    <w:multiLevelType w:val="multilevel"/>
    <w:tmpl w:val="6CBB030B"/>
    <w:lvl w:ilvl="0" w:tentative="0">
      <w:start w:val="1"/>
      <w:numFmt w:val="lowerRoman"/>
      <w:lvlText w:val="%1."/>
      <w:lvlJc w:val="right"/>
      <w:pPr>
        <w:ind w:left="1315" w:hanging="420"/>
      </w:pPr>
    </w:lvl>
    <w:lvl w:ilvl="1" w:tentative="0">
      <w:start w:val="1"/>
      <w:numFmt w:val="lowerLetter"/>
      <w:lvlText w:val="%2)"/>
      <w:lvlJc w:val="left"/>
      <w:pPr>
        <w:ind w:left="1735" w:hanging="420"/>
      </w:pPr>
    </w:lvl>
    <w:lvl w:ilvl="2" w:tentative="0">
      <w:start w:val="1"/>
      <w:numFmt w:val="lowerRoman"/>
      <w:lvlText w:val="%3."/>
      <w:lvlJc w:val="right"/>
      <w:pPr>
        <w:ind w:left="2155" w:hanging="420"/>
      </w:pPr>
    </w:lvl>
    <w:lvl w:ilvl="3" w:tentative="0">
      <w:start w:val="1"/>
      <w:numFmt w:val="decimal"/>
      <w:lvlText w:val="%4."/>
      <w:lvlJc w:val="left"/>
      <w:pPr>
        <w:ind w:left="2575" w:hanging="420"/>
      </w:pPr>
    </w:lvl>
    <w:lvl w:ilvl="4" w:tentative="0">
      <w:start w:val="1"/>
      <w:numFmt w:val="lowerLetter"/>
      <w:lvlText w:val="%5)"/>
      <w:lvlJc w:val="left"/>
      <w:pPr>
        <w:ind w:left="2995" w:hanging="420"/>
      </w:pPr>
    </w:lvl>
    <w:lvl w:ilvl="5" w:tentative="0">
      <w:start w:val="1"/>
      <w:numFmt w:val="lowerRoman"/>
      <w:lvlText w:val="%6."/>
      <w:lvlJc w:val="right"/>
      <w:pPr>
        <w:ind w:left="3415" w:hanging="420"/>
      </w:pPr>
    </w:lvl>
    <w:lvl w:ilvl="6" w:tentative="0">
      <w:start w:val="1"/>
      <w:numFmt w:val="decimal"/>
      <w:lvlText w:val="%7."/>
      <w:lvlJc w:val="left"/>
      <w:pPr>
        <w:ind w:left="3835" w:hanging="420"/>
      </w:pPr>
    </w:lvl>
    <w:lvl w:ilvl="7" w:tentative="0">
      <w:start w:val="1"/>
      <w:numFmt w:val="lowerLetter"/>
      <w:lvlText w:val="%8)"/>
      <w:lvlJc w:val="left"/>
      <w:pPr>
        <w:ind w:left="4255" w:hanging="420"/>
      </w:pPr>
    </w:lvl>
    <w:lvl w:ilvl="8" w:tentative="0">
      <w:start w:val="1"/>
      <w:numFmt w:val="lowerRoman"/>
      <w:lvlText w:val="%9."/>
      <w:lvlJc w:val="right"/>
      <w:pPr>
        <w:ind w:left="4675" w:hanging="420"/>
      </w:pPr>
    </w:lvl>
  </w:abstractNum>
  <w:abstractNum w:abstractNumId="26">
    <w:nsid w:val="70BB1094"/>
    <w:multiLevelType w:val="multilevel"/>
    <w:tmpl w:val="70BB10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3317A72"/>
    <w:multiLevelType w:val="multilevel"/>
    <w:tmpl w:val="73317A72"/>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37F1873"/>
    <w:multiLevelType w:val="multilevel"/>
    <w:tmpl w:val="737F1873"/>
    <w:lvl w:ilvl="0" w:tentative="0">
      <w:start w:val="1"/>
      <w:numFmt w:val="lowerLetter"/>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9">
    <w:nsid w:val="76E15A66"/>
    <w:multiLevelType w:val="multilevel"/>
    <w:tmpl w:val="76E15A66"/>
    <w:lvl w:ilvl="0" w:tentative="0">
      <w:start w:val="1"/>
      <w:numFmt w:val="upperLetter"/>
      <w:lvlText w:val="%1."/>
      <w:lvlJc w:val="left"/>
      <w:pPr>
        <w:ind w:left="360" w:hanging="360"/>
      </w:pPr>
      <w:rPr>
        <w:rFonts w:hint="default"/>
      </w:rPr>
    </w:lvl>
    <w:lvl w:ilvl="1" w:tentative="0">
      <w:start w:val="1"/>
      <w:numFmt w:val="upp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7584DE0"/>
    <w:multiLevelType w:val="multilevel"/>
    <w:tmpl w:val="77584DE0"/>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7E72AFA"/>
    <w:multiLevelType w:val="multilevel"/>
    <w:tmpl w:val="77E72AFA"/>
    <w:lvl w:ilvl="0" w:tentative="0">
      <w:start w:val="2"/>
      <w:numFmt w:val="decimal"/>
      <w:lvlText w:val="%1"/>
      <w:lvlJc w:val="left"/>
      <w:pPr>
        <w:ind w:left="360" w:hanging="360"/>
      </w:pPr>
      <w:rPr>
        <w:rFonts w:hint="default"/>
      </w:rPr>
    </w:lvl>
    <w:lvl w:ilvl="1" w:tentative="0">
      <w:start w:val="1"/>
      <w:numFmt w:val="decimal"/>
      <w:lvlText w:val="%1.%2"/>
      <w:lvlJc w:val="left"/>
      <w:pPr>
        <w:ind w:left="990" w:hanging="360"/>
      </w:pPr>
      <w:rPr>
        <w:rFonts w:hint="default"/>
      </w:rPr>
    </w:lvl>
    <w:lvl w:ilvl="2" w:tentative="0">
      <w:start w:val="1"/>
      <w:numFmt w:val="decimal"/>
      <w:lvlText w:val="%1.%2.%3"/>
      <w:lvlJc w:val="left"/>
      <w:pPr>
        <w:ind w:left="1980" w:hanging="720"/>
      </w:pPr>
      <w:rPr>
        <w:rFonts w:hint="default"/>
      </w:rPr>
    </w:lvl>
    <w:lvl w:ilvl="3" w:tentative="0">
      <w:start w:val="1"/>
      <w:numFmt w:val="decimal"/>
      <w:lvlText w:val="%1.%2.%3.%4"/>
      <w:lvlJc w:val="left"/>
      <w:pPr>
        <w:ind w:left="2970" w:hanging="1080"/>
      </w:pPr>
      <w:rPr>
        <w:rFonts w:hint="default"/>
      </w:rPr>
    </w:lvl>
    <w:lvl w:ilvl="4" w:tentative="0">
      <w:start w:val="1"/>
      <w:numFmt w:val="decimal"/>
      <w:lvlText w:val="%1.%2.%3.%4.%5"/>
      <w:lvlJc w:val="left"/>
      <w:pPr>
        <w:ind w:left="3600" w:hanging="1080"/>
      </w:pPr>
      <w:rPr>
        <w:rFonts w:hint="default"/>
      </w:rPr>
    </w:lvl>
    <w:lvl w:ilvl="5" w:tentative="0">
      <w:start w:val="1"/>
      <w:numFmt w:val="decimal"/>
      <w:lvlText w:val="%1.%2.%3.%4.%5.%6"/>
      <w:lvlJc w:val="left"/>
      <w:pPr>
        <w:ind w:left="4590" w:hanging="1440"/>
      </w:pPr>
      <w:rPr>
        <w:rFonts w:hint="default"/>
      </w:rPr>
    </w:lvl>
    <w:lvl w:ilvl="6" w:tentative="0">
      <w:start w:val="1"/>
      <w:numFmt w:val="decimal"/>
      <w:lvlText w:val="%1.%2.%3.%4.%5.%6.%7"/>
      <w:lvlJc w:val="left"/>
      <w:pPr>
        <w:ind w:left="5220" w:hanging="1440"/>
      </w:pPr>
      <w:rPr>
        <w:rFonts w:hint="default"/>
      </w:rPr>
    </w:lvl>
    <w:lvl w:ilvl="7" w:tentative="0">
      <w:start w:val="1"/>
      <w:numFmt w:val="decimal"/>
      <w:lvlText w:val="%1.%2.%3.%4.%5.%6.%7.%8"/>
      <w:lvlJc w:val="left"/>
      <w:pPr>
        <w:ind w:left="6210" w:hanging="1800"/>
      </w:pPr>
      <w:rPr>
        <w:rFonts w:hint="default"/>
      </w:rPr>
    </w:lvl>
    <w:lvl w:ilvl="8" w:tentative="0">
      <w:start w:val="1"/>
      <w:numFmt w:val="decimal"/>
      <w:lvlText w:val="%1.%2.%3.%4.%5.%6.%7.%8.%9"/>
      <w:lvlJc w:val="left"/>
      <w:pPr>
        <w:ind w:left="6840" w:hanging="1800"/>
      </w:pPr>
      <w:rPr>
        <w:rFonts w:hint="default"/>
      </w:rPr>
    </w:lvl>
  </w:abstractNum>
  <w:abstractNum w:abstractNumId="32">
    <w:nsid w:val="7D1D1DA8"/>
    <w:multiLevelType w:val="multilevel"/>
    <w:tmpl w:val="7D1D1DA8"/>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F4E1665"/>
    <w:multiLevelType w:val="multilevel"/>
    <w:tmpl w:val="7F4E166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4"/>
  </w:num>
  <w:num w:numId="2">
    <w:abstractNumId w:val="31"/>
  </w:num>
  <w:num w:numId="3">
    <w:abstractNumId w:val="18"/>
  </w:num>
  <w:num w:numId="4">
    <w:abstractNumId w:val="23"/>
  </w:num>
  <w:num w:numId="5">
    <w:abstractNumId w:val="9"/>
  </w:num>
  <w:num w:numId="6">
    <w:abstractNumId w:val="5"/>
  </w:num>
  <w:num w:numId="7">
    <w:abstractNumId w:val="29"/>
  </w:num>
  <w:num w:numId="8">
    <w:abstractNumId w:val="6"/>
  </w:num>
  <w:num w:numId="9">
    <w:abstractNumId w:val="3"/>
  </w:num>
  <w:num w:numId="10">
    <w:abstractNumId w:val="4"/>
  </w:num>
  <w:num w:numId="11">
    <w:abstractNumId w:val="2"/>
  </w:num>
  <w:num w:numId="12">
    <w:abstractNumId w:val="13"/>
  </w:num>
  <w:num w:numId="13">
    <w:abstractNumId w:val="15"/>
  </w:num>
  <w:num w:numId="14">
    <w:abstractNumId w:val="20"/>
  </w:num>
  <w:num w:numId="15">
    <w:abstractNumId w:val="11"/>
  </w:num>
  <w:num w:numId="16">
    <w:abstractNumId w:val="19"/>
  </w:num>
  <w:num w:numId="17">
    <w:abstractNumId w:val="30"/>
  </w:num>
  <w:num w:numId="18">
    <w:abstractNumId w:val="32"/>
  </w:num>
  <w:num w:numId="19">
    <w:abstractNumId w:val="0"/>
  </w:num>
  <w:num w:numId="20">
    <w:abstractNumId w:val="21"/>
  </w:num>
  <w:num w:numId="21">
    <w:abstractNumId w:val="33"/>
  </w:num>
  <w:num w:numId="22">
    <w:abstractNumId w:val="28"/>
  </w:num>
  <w:num w:numId="23">
    <w:abstractNumId w:val="1"/>
  </w:num>
  <w:num w:numId="24">
    <w:abstractNumId w:val="14"/>
  </w:num>
  <w:num w:numId="25">
    <w:abstractNumId w:val="8"/>
  </w:num>
  <w:num w:numId="26">
    <w:abstractNumId w:val="7"/>
  </w:num>
  <w:num w:numId="27">
    <w:abstractNumId w:val="26"/>
  </w:num>
  <w:num w:numId="28">
    <w:abstractNumId w:val="16"/>
  </w:num>
  <w:num w:numId="29">
    <w:abstractNumId w:val="27"/>
  </w:num>
  <w:num w:numId="30">
    <w:abstractNumId w:val="10"/>
  </w:num>
  <w:num w:numId="31">
    <w:abstractNumId w:val="25"/>
  </w:num>
  <w:num w:numId="32">
    <w:abstractNumId w:val="17"/>
  </w:num>
  <w:num w:numId="33">
    <w:abstractNumId w:val="12"/>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A5A"/>
    <w:rsid w:val="00002336"/>
    <w:rsid w:val="00002E8D"/>
    <w:rsid w:val="0000339C"/>
    <w:rsid w:val="0000388E"/>
    <w:rsid w:val="00004A7B"/>
    <w:rsid w:val="000123FD"/>
    <w:rsid w:val="00012601"/>
    <w:rsid w:val="000254AB"/>
    <w:rsid w:val="00026429"/>
    <w:rsid w:val="000332B8"/>
    <w:rsid w:val="00035150"/>
    <w:rsid w:val="000462FB"/>
    <w:rsid w:val="00051CCB"/>
    <w:rsid w:val="00052F10"/>
    <w:rsid w:val="000608E7"/>
    <w:rsid w:val="00060D63"/>
    <w:rsid w:val="000665EA"/>
    <w:rsid w:val="000666DC"/>
    <w:rsid w:val="000673AA"/>
    <w:rsid w:val="000742FF"/>
    <w:rsid w:val="00075811"/>
    <w:rsid w:val="00076F5D"/>
    <w:rsid w:val="00077786"/>
    <w:rsid w:val="00081A0A"/>
    <w:rsid w:val="0008397A"/>
    <w:rsid w:val="00083C14"/>
    <w:rsid w:val="00085536"/>
    <w:rsid w:val="000917DB"/>
    <w:rsid w:val="0009240F"/>
    <w:rsid w:val="000926B4"/>
    <w:rsid w:val="00097222"/>
    <w:rsid w:val="000A3B0C"/>
    <w:rsid w:val="000B3E84"/>
    <w:rsid w:val="000B5C99"/>
    <w:rsid w:val="000B6766"/>
    <w:rsid w:val="000C781A"/>
    <w:rsid w:val="000D0784"/>
    <w:rsid w:val="000D15E3"/>
    <w:rsid w:val="000D2E02"/>
    <w:rsid w:val="000E2253"/>
    <w:rsid w:val="000E6997"/>
    <w:rsid w:val="000E6F1A"/>
    <w:rsid w:val="000F4896"/>
    <w:rsid w:val="000F513F"/>
    <w:rsid w:val="000F5516"/>
    <w:rsid w:val="000F756D"/>
    <w:rsid w:val="00110AFE"/>
    <w:rsid w:val="001137FB"/>
    <w:rsid w:val="00121EDD"/>
    <w:rsid w:val="00122DAD"/>
    <w:rsid w:val="00124E94"/>
    <w:rsid w:val="001251E5"/>
    <w:rsid w:val="001256B8"/>
    <w:rsid w:val="00125B84"/>
    <w:rsid w:val="00130A3E"/>
    <w:rsid w:val="00131DA2"/>
    <w:rsid w:val="00135291"/>
    <w:rsid w:val="001361B6"/>
    <w:rsid w:val="00143CB5"/>
    <w:rsid w:val="001527F4"/>
    <w:rsid w:val="00153D50"/>
    <w:rsid w:val="00164176"/>
    <w:rsid w:val="00167492"/>
    <w:rsid w:val="0017201C"/>
    <w:rsid w:val="001839C4"/>
    <w:rsid w:val="001903D0"/>
    <w:rsid w:val="00195CC0"/>
    <w:rsid w:val="00196E82"/>
    <w:rsid w:val="00197ED7"/>
    <w:rsid w:val="001A13A2"/>
    <w:rsid w:val="001A24DC"/>
    <w:rsid w:val="001A2F26"/>
    <w:rsid w:val="001A34EA"/>
    <w:rsid w:val="001A5340"/>
    <w:rsid w:val="001A54B3"/>
    <w:rsid w:val="001C0F0F"/>
    <w:rsid w:val="001E73EA"/>
    <w:rsid w:val="001F1B1D"/>
    <w:rsid w:val="001F5ABA"/>
    <w:rsid w:val="00217926"/>
    <w:rsid w:val="00221625"/>
    <w:rsid w:val="0022336E"/>
    <w:rsid w:val="00224A4A"/>
    <w:rsid w:val="00225642"/>
    <w:rsid w:val="00231801"/>
    <w:rsid w:val="00234008"/>
    <w:rsid w:val="00234BE5"/>
    <w:rsid w:val="00240EAA"/>
    <w:rsid w:val="00244A66"/>
    <w:rsid w:val="00255241"/>
    <w:rsid w:val="0025582B"/>
    <w:rsid w:val="00264D47"/>
    <w:rsid w:val="00272834"/>
    <w:rsid w:val="00273E87"/>
    <w:rsid w:val="002855E1"/>
    <w:rsid w:val="002938D3"/>
    <w:rsid w:val="002968AC"/>
    <w:rsid w:val="002A66FF"/>
    <w:rsid w:val="002B3BC0"/>
    <w:rsid w:val="002B571F"/>
    <w:rsid w:val="002B6136"/>
    <w:rsid w:val="002B6C3C"/>
    <w:rsid w:val="002D288A"/>
    <w:rsid w:val="002D4FA6"/>
    <w:rsid w:val="002D6629"/>
    <w:rsid w:val="002F01E5"/>
    <w:rsid w:val="002F1221"/>
    <w:rsid w:val="002F3D4F"/>
    <w:rsid w:val="002F4DC0"/>
    <w:rsid w:val="002F5B51"/>
    <w:rsid w:val="002F7616"/>
    <w:rsid w:val="003004CE"/>
    <w:rsid w:val="00301090"/>
    <w:rsid w:val="0030144B"/>
    <w:rsid w:val="00302852"/>
    <w:rsid w:val="0030558F"/>
    <w:rsid w:val="0031103E"/>
    <w:rsid w:val="00312D3E"/>
    <w:rsid w:val="00314B61"/>
    <w:rsid w:val="003160D9"/>
    <w:rsid w:val="00316824"/>
    <w:rsid w:val="0031730E"/>
    <w:rsid w:val="0033016F"/>
    <w:rsid w:val="00330376"/>
    <w:rsid w:val="003350EA"/>
    <w:rsid w:val="0033701C"/>
    <w:rsid w:val="0033766F"/>
    <w:rsid w:val="00351991"/>
    <w:rsid w:val="003562D9"/>
    <w:rsid w:val="00361DC1"/>
    <w:rsid w:val="00364506"/>
    <w:rsid w:val="0037574C"/>
    <w:rsid w:val="00376630"/>
    <w:rsid w:val="00380235"/>
    <w:rsid w:val="00381AF0"/>
    <w:rsid w:val="00381ED0"/>
    <w:rsid w:val="00387654"/>
    <w:rsid w:val="003907D3"/>
    <w:rsid w:val="003912B8"/>
    <w:rsid w:val="003916AB"/>
    <w:rsid w:val="00393BE5"/>
    <w:rsid w:val="003A4D9C"/>
    <w:rsid w:val="003A7674"/>
    <w:rsid w:val="003B3248"/>
    <w:rsid w:val="003C0154"/>
    <w:rsid w:val="003C0DAE"/>
    <w:rsid w:val="003C0E0F"/>
    <w:rsid w:val="003C20E7"/>
    <w:rsid w:val="003C29FC"/>
    <w:rsid w:val="003D0919"/>
    <w:rsid w:val="003D1913"/>
    <w:rsid w:val="003D3959"/>
    <w:rsid w:val="003D3D41"/>
    <w:rsid w:val="003D74ED"/>
    <w:rsid w:val="003E4700"/>
    <w:rsid w:val="003E78AA"/>
    <w:rsid w:val="003F27F5"/>
    <w:rsid w:val="003F27F8"/>
    <w:rsid w:val="003F551D"/>
    <w:rsid w:val="003F6097"/>
    <w:rsid w:val="004019BE"/>
    <w:rsid w:val="0040327E"/>
    <w:rsid w:val="00403AB8"/>
    <w:rsid w:val="0041081B"/>
    <w:rsid w:val="0041324A"/>
    <w:rsid w:val="00413F32"/>
    <w:rsid w:val="00423258"/>
    <w:rsid w:val="0042381B"/>
    <w:rsid w:val="004276BA"/>
    <w:rsid w:val="0043211B"/>
    <w:rsid w:val="00432869"/>
    <w:rsid w:val="00433E00"/>
    <w:rsid w:val="0044166E"/>
    <w:rsid w:val="004457FC"/>
    <w:rsid w:val="00447375"/>
    <w:rsid w:val="004514F7"/>
    <w:rsid w:val="00455D59"/>
    <w:rsid w:val="00460955"/>
    <w:rsid w:val="0046285A"/>
    <w:rsid w:val="00462953"/>
    <w:rsid w:val="00466D71"/>
    <w:rsid w:val="00470AF0"/>
    <w:rsid w:val="00470F1A"/>
    <w:rsid w:val="004740B8"/>
    <w:rsid w:val="004770FA"/>
    <w:rsid w:val="0047772D"/>
    <w:rsid w:val="00480249"/>
    <w:rsid w:val="0048363D"/>
    <w:rsid w:val="00493280"/>
    <w:rsid w:val="004A1739"/>
    <w:rsid w:val="004A1D26"/>
    <w:rsid w:val="004A6A6F"/>
    <w:rsid w:val="004B236C"/>
    <w:rsid w:val="004B6570"/>
    <w:rsid w:val="004C0C67"/>
    <w:rsid w:val="004D0413"/>
    <w:rsid w:val="004D6980"/>
    <w:rsid w:val="004E06F5"/>
    <w:rsid w:val="004E2244"/>
    <w:rsid w:val="004E3828"/>
    <w:rsid w:val="004E3CAA"/>
    <w:rsid w:val="004E3EB0"/>
    <w:rsid w:val="004E6C7C"/>
    <w:rsid w:val="004F2A49"/>
    <w:rsid w:val="004F69CA"/>
    <w:rsid w:val="004F7DC3"/>
    <w:rsid w:val="00500A83"/>
    <w:rsid w:val="0050600B"/>
    <w:rsid w:val="00507D23"/>
    <w:rsid w:val="00513731"/>
    <w:rsid w:val="00521001"/>
    <w:rsid w:val="00527506"/>
    <w:rsid w:val="00527829"/>
    <w:rsid w:val="00530031"/>
    <w:rsid w:val="00543B60"/>
    <w:rsid w:val="00555163"/>
    <w:rsid w:val="0055694F"/>
    <w:rsid w:val="005578F2"/>
    <w:rsid w:val="00557F58"/>
    <w:rsid w:val="00561642"/>
    <w:rsid w:val="00561655"/>
    <w:rsid w:val="00571749"/>
    <w:rsid w:val="00577065"/>
    <w:rsid w:val="00580341"/>
    <w:rsid w:val="005910E0"/>
    <w:rsid w:val="00592424"/>
    <w:rsid w:val="005941CC"/>
    <w:rsid w:val="00594990"/>
    <w:rsid w:val="005B0981"/>
    <w:rsid w:val="005B6C3B"/>
    <w:rsid w:val="005B6EB8"/>
    <w:rsid w:val="005C0F62"/>
    <w:rsid w:val="005C2E3E"/>
    <w:rsid w:val="005C5AA7"/>
    <w:rsid w:val="005D14AE"/>
    <w:rsid w:val="005D537C"/>
    <w:rsid w:val="005D5B9B"/>
    <w:rsid w:val="005D6100"/>
    <w:rsid w:val="005E1E06"/>
    <w:rsid w:val="005E4F9A"/>
    <w:rsid w:val="005E681F"/>
    <w:rsid w:val="005E70F3"/>
    <w:rsid w:val="005F162D"/>
    <w:rsid w:val="005F278F"/>
    <w:rsid w:val="005F4AA7"/>
    <w:rsid w:val="006029E4"/>
    <w:rsid w:val="00604704"/>
    <w:rsid w:val="00604ABD"/>
    <w:rsid w:val="00607AF6"/>
    <w:rsid w:val="00607CA0"/>
    <w:rsid w:val="006113AA"/>
    <w:rsid w:val="006130F2"/>
    <w:rsid w:val="006177C6"/>
    <w:rsid w:val="00620BE9"/>
    <w:rsid w:val="006234C8"/>
    <w:rsid w:val="006244E4"/>
    <w:rsid w:val="00641048"/>
    <w:rsid w:val="00641F3C"/>
    <w:rsid w:val="006437D4"/>
    <w:rsid w:val="0064455E"/>
    <w:rsid w:val="00646753"/>
    <w:rsid w:val="00653C57"/>
    <w:rsid w:val="00655C31"/>
    <w:rsid w:val="00656B6E"/>
    <w:rsid w:val="0065729B"/>
    <w:rsid w:val="00662F33"/>
    <w:rsid w:val="00662FC2"/>
    <w:rsid w:val="006637BC"/>
    <w:rsid w:val="00673272"/>
    <w:rsid w:val="00674600"/>
    <w:rsid w:val="006750FD"/>
    <w:rsid w:val="006800BF"/>
    <w:rsid w:val="00681AD3"/>
    <w:rsid w:val="00681E98"/>
    <w:rsid w:val="006833A9"/>
    <w:rsid w:val="0068445B"/>
    <w:rsid w:val="0068558D"/>
    <w:rsid w:val="0069442F"/>
    <w:rsid w:val="00696740"/>
    <w:rsid w:val="006A06C2"/>
    <w:rsid w:val="006A2B7F"/>
    <w:rsid w:val="006B0514"/>
    <w:rsid w:val="006B1AFF"/>
    <w:rsid w:val="006C1261"/>
    <w:rsid w:val="006C7E70"/>
    <w:rsid w:val="006D23EF"/>
    <w:rsid w:val="006D31AC"/>
    <w:rsid w:val="006D6F35"/>
    <w:rsid w:val="006D7ED4"/>
    <w:rsid w:val="006E4169"/>
    <w:rsid w:val="006E6ACB"/>
    <w:rsid w:val="006F1D3E"/>
    <w:rsid w:val="006F286A"/>
    <w:rsid w:val="006F478C"/>
    <w:rsid w:val="00705A36"/>
    <w:rsid w:val="00710FE8"/>
    <w:rsid w:val="00713127"/>
    <w:rsid w:val="00714F51"/>
    <w:rsid w:val="00731A51"/>
    <w:rsid w:val="00732447"/>
    <w:rsid w:val="00733C26"/>
    <w:rsid w:val="007370A9"/>
    <w:rsid w:val="00742B01"/>
    <w:rsid w:val="00743306"/>
    <w:rsid w:val="00746CE8"/>
    <w:rsid w:val="0074756D"/>
    <w:rsid w:val="00750823"/>
    <w:rsid w:val="007535F1"/>
    <w:rsid w:val="00756637"/>
    <w:rsid w:val="007638B6"/>
    <w:rsid w:val="007740F1"/>
    <w:rsid w:val="007759B5"/>
    <w:rsid w:val="00775AF0"/>
    <w:rsid w:val="00781529"/>
    <w:rsid w:val="00784688"/>
    <w:rsid w:val="00785CA7"/>
    <w:rsid w:val="00785D90"/>
    <w:rsid w:val="00786D32"/>
    <w:rsid w:val="00790246"/>
    <w:rsid w:val="00794EDC"/>
    <w:rsid w:val="007A4EBD"/>
    <w:rsid w:val="007A6F82"/>
    <w:rsid w:val="007B580C"/>
    <w:rsid w:val="007C00F9"/>
    <w:rsid w:val="007D7344"/>
    <w:rsid w:val="007E07C9"/>
    <w:rsid w:val="007E1DB9"/>
    <w:rsid w:val="007E2868"/>
    <w:rsid w:val="007E3157"/>
    <w:rsid w:val="007E39BD"/>
    <w:rsid w:val="007E3E00"/>
    <w:rsid w:val="007E431A"/>
    <w:rsid w:val="007F07E2"/>
    <w:rsid w:val="007F244A"/>
    <w:rsid w:val="00802968"/>
    <w:rsid w:val="00813C75"/>
    <w:rsid w:val="0082275C"/>
    <w:rsid w:val="00833F96"/>
    <w:rsid w:val="00836A8E"/>
    <w:rsid w:val="008475D6"/>
    <w:rsid w:val="00851BA1"/>
    <w:rsid w:val="00856397"/>
    <w:rsid w:val="00857B59"/>
    <w:rsid w:val="008728A7"/>
    <w:rsid w:val="00876DF6"/>
    <w:rsid w:val="00881337"/>
    <w:rsid w:val="00881914"/>
    <w:rsid w:val="00890823"/>
    <w:rsid w:val="008975E9"/>
    <w:rsid w:val="008A0AA7"/>
    <w:rsid w:val="008A271B"/>
    <w:rsid w:val="008A28BB"/>
    <w:rsid w:val="008A47A5"/>
    <w:rsid w:val="008A598E"/>
    <w:rsid w:val="008B2941"/>
    <w:rsid w:val="008B497C"/>
    <w:rsid w:val="008B66DE"/>
    <w:rsid w:val="008C1130"/>
    <w:rsid w:val="008C214B"/>
    <w:rsid w:val="008D183B"/>
    <w:rsid w:val="008D1D0C"/>
    <w:rsid w:val="008D514A"/>
    <w:rsid w:val="008E0828"/>
    <w:rsid w:val="008E09A1"/>
    <w:rsid w:val="008F2BD5"/>
    <w:rsid w:val="008F3A6C"/>
    <w:rsid w:val="008F3C2A"/>
    <w:rsid w:val="008F3C78"/>
    <w:rsid w:val="008F4427"/>
    <w:rsid w:val="008F49C8"/>
    <w:rsid w:val="00901D69"/>
    <w:rsid w:val="00905F7C"/>
    <w:rsid w:val="00914CCC"/>
    <w:rsid w:val="00917379"/>
    <w:rsid w:val="009177DF"/>
    <w:rsid w:val="009211BA"/>
    <w:rsid w:val="0092178B"/>
    <w:rsid w:val="009218BC"/>
    <w:rsid w:val="009231C4"/>
    <w:rsid w:val="009238D7"/>
    <w:rsid w:val="00930408"/>
    <w:rsid w:val="00935171"/>
    <w:rsid w:val="00943367"/>
    <w:rsid w:val="00943E61"/>
    <w:rsid w:val="00953376"/>
    <w:rsid w:val="00962EA6"/>
    <w:rsid w:val="009668C6"/>
    <w:rsid w:val="0097600A"/>
    <w:rsid w:val="0097628C"/>
    <w:rsid w:val="00976A73"/>
    <w:rsid w:val="00984DAC"/>
    <w:rsid w:val="0098739D"/>
    <w:rsid w:val="00994DD6"/>
    <w:rsid w:val="009B39DA"/>
    <w:rsid w:val="009B5BFB"/>
    <w:rsid w:val="009B6EE4"/>
    <w:rsid w:val="009C1DD1"/>
    <w:rsid w:val="009C33FC"/>
    <w:rsid w:val="009C719E"/>
    <w:rsid w:val="009D01CE"/>
    <w:rsid w:val="009D150F"/>
    <w:rsid w:val="009D36B9"/>
    <w:rsid w:val="009D4251"/>
    <w:rsid w:val="009D7E43"/>
    <w:rsid w:val="009E0F7E"/>
    <w:rsid w:val="009E57ED"/>
    <w:rsid w:val="009F293F"/>
    <w:rsid w:val="009F741E"/>
    <w:rsid w:val="009F77CC"/>
    <w:rsid w:val="009F7895"/>
    <w:rsid w:val="00A013CD"/>
    <w:rsid w:val="00A06986"/>
    <w:rsid w:val="00A0709F"/>
    <w:rsid w:val="00A11BA2"/>
    <w:rsid w:val="00A26987"/>
    <w:rsid w:val="00A32767"/>
    <w:rsid w:val="00A41EBD"/>
    <w:rsid w:val="00A42C18"/>
    <w:rsid w:val="00A44A4A"/>
    <w:rsid w:val="00A55FFB"/>
    <w:rsid w:val="00A565BD"/>
    <w:rsid w:val="00A608B6"/>
    <w:rsid w:val="00A64E2C"/>
    <w:rsid w:val="00A653B4"/>
    <w:rsid w:val="00A67E52"/>
    <w:rsid w:val="00A70AFB"/>
    <w:rsid w:val="00A71FF9"/>
    <w:rsid w:val="00A80648"/>
    <w:rsid w:val="00A80B41"/>
    <w:rsid w:val="00A83FF9"/>
    <w:rsid w:val="00A842AA"/>
    <w:rsid w:val="00A85636"/>
    <w:rsid w:val="00A86860"/>
    <w:rsid w:val="00A87C16"/>
    <w:rsid w:val="00A977D4"/>
    <w:rsid w:val="00AA1B1B"/>
    <w:rsid w:val="00AA36BE"/>
    <w:rsid w:val="00AA6223"/>
    <w:rsid w:val="00AB158E"/>
    <w:rsid w:val="00AB4E5E"/>
    <w:rsid w:val="00AB7D69"/>
    <w:rsid w:val="00AB7EF1"/>
    <w:rsid w:val="00AC21ED"/>
    <w:rsid w:val="00AD391C"/>
    <w:rsid w:val="00AE0396"/>
    <w:rsid w:val="00AE507D"/>
    <w:rsid w:val="00AF6DFE"/>
    <w:rsid w:val="00AF72F0"/>
    <w:rsid w:val="00B038F8"/>
    <w:rsid w:val="00B10063"/>
    <w:rsid w:val="00B10197"/>
    <w:rsid w:val="00B14630"/>
    <w:rsid w:val="00B16336"/>
    <w:rsid w:val="00B17A11"/>
    <w:rsid w:val="00B31DC5"/>
    <w:rsid w:val="00B32AB4"/>
    <w:rsid w:val="00B32F7D"/>
    <w:rsid w:val="00B3779E"/>
    <w:rsid w:val="00B42AD9"/>
    <w:rsid w:val="00B42F6D"/>
    <w:rsid w:val="00B4355D"/>
    <w:rsid w:val="00B44178"/>
    <w:rsid w:val="00B45872"/>
    <w:rsid w:val="00B54853"/>
    <w:rsid w:val="00B548A6"/>
    <w:rsid w:val="00B60450"/>
    <w:rsid w:val="00B61C08"/>
    <w:rsid w:val="00B63A5A"/>
    <w:rsid w:val="00B64C84"/>
    <w:rsid w:val="00B65DDF"/>
    <w:rsid w:val="00B7239E"/>
    <w:rsid w:val="00B7337F"/>
    <w:rsid w:val="00B7348C"/>
    <w:rsid w:val="00B900ED"/>
    <w:rsid w:val="00B91D05"/>
    <w:rsid w:val="00B96014"/>
    <w:rsid w:val="00BA519E"/>
    <w:rsid w:val="00BA730A"/>
    <w:rsid w:val="00BB2BFE"/>
    <w:rsid w:val="00BB4A2D"/>
    <w:rsid w:val="00BB57CB"/>
    <w:rsid w:val="00BB6B18"/>
    <w:rsid w:val="00BC0230"/>
    <w:rsid w:val="00BC0EDB"/>
    <w:rsid w:val="00BC406F"/>
    <w:rsid w:val="00BC622E"/>
    <w:rsid w:val="00BC6486"/>
    <w:rsid w:val="00BD251C"/>
    <w:rsid w:val="00BD7927"/>
    <w:rsid w:val="00BE0053"/>
    <w:rsid w:val="00BE0109"/>
    <w:rsid w:val="00BE2553"/>
    <w:rsid w:val="00BE4D49"/>
    <w:rsid w:val="00BF1DBE"/>
    <w:rsid w:val="00BF4C82"/>
    <w:rsid w:val="00BF5669"/>
    <w:rsid w:val="00C04B6C"/>
    <w:rsid w:val="00C053D3"/>
    <w:rsid w:val="00C121BE"/>
    <w:rsid w:val="00C13222"/>
    <w:rsid w:val="00C20CE3"/>
    <w:rsid w:val="00C21DD9"/>
    <w:rsid w:val="00C22D55"/>
    <w:rsid w:val="00C30DCE"/>
    <w:rsid w:val="00C334A8"/>
    <w:rsid w:val="00C375E8"/>
    <w:rsid w:val="00C42207"/>
    <w:rsid w:val="00C43442"/>
    <w:rsid w:val="00C45D83"/>
    <w:rsid w:val="00C5187E"/>
    <w:rsid w:val="00C518E9"/>
    <w:rsid w:val="00C5796E"/>
    <w:rsid w:val="00C57DB6"/>
    <w:rsid w:val="00C63322"/>
    <w:rsid w:val="00C63DD1"/>
    <w:rsid w:val="00C664CF"/>
    <w:rsid w:val="00C846CA"/>
    <w:rsid w:val="00C85A21"/>
    <w:rsid w:val="00C9688C"/>
    <w:rsid w:val="00C9703B"/>
    <w:rsid w:val="00CA1200"/>
    <w:rsid w:val="00CA536A"/>
    <w:rsid w:val="00CA7C54"/>
    <w:rsid w:val="00CB4820"/>
    <w:rsid w:val="00CB4BEF"/>
    <w:rsid w:val="00CC178A"/>
    <w:rsid w:val="00CC6E5E"/>
    <w:rsid w:val="00CC7E13"/>
    <w:rsid w:val="00CD0F0B"/>
    <w:rsid w:val="00CD24BE"/>
    <w:rsid w:val="00CE048E"/>
    <w:rsid w:val="00CE4A10"/>
    <w:rsid w:val="00CF21F1"/>
    <w:rsid w:val="00CF7203"/>
    <w:rsid w:val="00CF7FDC"/>
    <w:rsid w:val="00D0200D"/>
    <w:rsid w:val="00D038DC"/>
    <w:rsid w:val="00D04700"/>
    <w:rsid w:val="00D16FB5"/>
    <w:rsid w:val="00D2173C"/>
    <w:rsid w:val="00D22512"/>
    <w:rsid w:val="00D33B51"/>
    <w:rsid w:val="00D34C9F"/>
    <w:rsid w:val="00D36F06"/>
    <w:rsid w:val="00D37CAC"/>
    <w:rsid w:val="00D37F49"/>
    <w:rsid w:val="00D41DCD"/>
    <w:rsid w:val="00D47ABC"/>
    <w:rsid w:val="00D57780"/>
    <w:rsid w:val="00D578AD"/>
    <w:rsid w:val="00D61AD2"/>
    <w:rsid w:val="00D6229F"/>
    <w:rsid w:val="00D73678"/>
    <w:rsid w:val="00D74EFD"/>
    <w:rsid w:val="00D768CF"/>
    <w:rsid w:val="00D877ED"/>
    <w:rsid w:val="00D93490"/>
    <w:rsid w:val="00D9713B"/>
    <w:rsid w:val="00DB54D5"/>
    <w:rsid w:val="00DB654F"/>
    <w:rsid w:val="00DC36B4"/>
    <w:rsid w:val="00DD2925"/>
    <w:rsid w:val="00DE228D"/>
    <w:rsid w:val="00DE2A10"/>
    <w:rsid w:val="00DE2F1B"/>
    <w:rsid w:val="00DE6299"/>
    <w:rsid w:val="00DF13AA"/>
    <w:rsid w:val="00DF6FD3"/>
    <w:rsid w:val="00E01C78"/>
    <w:rsid w:val="00E01EDD"/>
    <w:rsid w:val="00E03325"/>
    <w:rsid w:val="00E04972"/>
    <w:rsid w:val="00E04C49"/>
    <w:rsid w:val="00E04CB5"/>
    <w:rsid w:val="00E151E9"/>
    <w:rsid w:val="00E15814"/>
    <w:rsid w:val="00E23DAC"/>
    <w:rsid w:val="00E32513"/>
    <w:rsid w:val="00E330F5"/>
    <w:rsid w:val="00E334A3"/>
    <w:rsid w:val="00E35266"/>
    <w:rsid w:val="00E3582E"/>
    <w:rsid w:val="00E4041F"/>
    <w:rsid w:val="00E52AC4"/>
    <w:rsid w:val="00E5348E"/>
    <w:rsid w:val="00E54A81"/>
    <w:rsid w:val="00E54C59"/>
    <w:rsid w:val="00E56638"/>
    <w:rsid w:val="00E57FE3"/>
    <w:rsid w:val="00E60A23"/>
    <w:rsid w:val="00E672F8"/>
    <w:rsid w:val="00E67C80"/>
    <w:rsid w:val="00E73ACD"/>
    <w:rsid w:val="00E74A77"/>
    <w:rsid w:val="00E7640F"/>
    <w:rsid w:val="00E82BD6"/>
    <w:rsid w:val="00E84619"/>
    <w:rsid w:val="00E860D3"/>
    <w:rsid w:val="00E9008D"/>
    <w:rsid w:val="00E93AB4"/>
    <w:rsid w:val="00E94542"/>
    <w:rsid w:val="00E96EB3"/>
    <w:rsid w:val="00EA4096"/>
    <w:rsid w:val="00EA769E"/>
    <w:rsid w:val="00EB2E88"/>
    <w:rsid w:val="00EB3C46"/>
    <w:rsid w:val="00EC4CAC"/>
    <w:rsid w:val="00EC65B9"/>
    <w:rsid w:val="00ED18C4"/>
    <w:rsid w:val="00ED1D89"/>
    <w:rsid w:val="00EE2360"/>
    <w:rsid w:val="00EE407D"/>
    <w:rsid w:val="00EF1912"/>
    <w:rsid w:val="00F03564"/>
    <w:rsid w:val="00F042FE"/>
    <w:rsid w:val="00F04887"/>
    <w:rsid w:val="00F10D06"/>
    <w:rsid w:val="00F125D6"/>
    <w:rsid w:val="00F24D56"/>
    <w:rsid w:val="00F2628D"/>
    <w:rsid w:val="00F30A4B"/>
    <w:rsid w:val="00F3480A"/>
    <w:rsid w:val="00F37983"/>
    <w:rsid w:val="00F37B39"/>
    <w:rsid w:val="00F37E96"/>
    <w:rsid w:val="00F425FC"/>
    <w:rsid w:val="00F43B91"/>
    <w:rsid w:val="00F44325"/>
    <w:rsid w:val="00F50048"/>
    <w:rsid w:val="00F55855"/>
    <w:rsid w:val="00F569F1"/>
    <w:rsid w:val="00F57271"/>
    <w:rsid w:val="00F6055A"/>
    <w:rsid w:val="00F6305B"/>
    <w:rsid w:val="00F63551"/>
    <w:rsid w:val="00F658CD"/>
    <w:rsid w:val="00F70639"/>
    <w:rsid w:val="00F753CF"/>
    <w:rsid w:val="00F76603"/>
    <w:rsid w:val="00F844E2"/>
    <w:rsid w:val="00F84DB5"/>
    <w:rsid w:val="00F941EF"/>
    <w:rsid w:val="00F947EE"/>
    <w:rsid w:val="00F96183"/>
    <w:rsid w:val="00FA0110"/>
    <w:rsid w:val="00FA1F1C"/>
    <w:rsid w:val="00FA2487"/>
    <w:rsid w:val="00FA5C0D"/>
    <w:rsid w:val="00FA6681"/>
    <w:rsid w:val="00FB04C9"/>
    <w:rsid w:val="00FB1C98"/>
    <w:rsid w:val="00FB36DD"/>
    <w:rsid w:val="00FB7CD8"/>
    <w:rsid w:val="00FC7227"/>
    <w:rsid w:val="00FE207A"/>
    <w:rsid w:val="00FE2AF8"/>
    <w:rsid w:val="00FE4092"/>
    <w:rsid w:val="00FE57A4"/>
    <w:rsid w:val="00FE7D81"/>
    <w:rsid w:val="00FF55C9"/>
    <w:rsid w:val="00FF7732"/>
    <w:rsid w:val="494B5F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name="toc 5"/>
    <w:lsdException w:uiPriority="39" w:name="toc 6"/>
    <w:lsdException w:uiPriority="39" w:name="toc 7"/>
    <w:lsdException w:qFormat="1"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4"/>
    <w:basedOn w:val="1"/>
    <w:next w:val="1"/>
    <w:link w:val="2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toc 5"/>
    <w:basedOn w:val="1"/>
    <w:next w:val="1"/>
    <w:autoRedefine/>
    <w:semiHidden/>
    <w:unhideWhenUsed/>
    <w:qFormat/>
    <w:uiPriority w:val="39"/>
    <w:pPr>
      <w:ind w:left="1680" w:leftChars="800"/>
    </w:pPr>
  </w:style>
  <w:style w:type="paragraph" w:styleId="5">
    <w:name w:val="toc 3"/>
    <w:basedOn w:val="1"/>
    <w:next w:val="1"/>
    <w:autoRedefine/>
    <w:unhideWhenUsed/>
    <w:qFormat/>
    <w:uiPriority w:val="39"/>
    <w:pPr>
      <w:ind w:left="840" w:leftChars="400"/>
    </w:pPr>
  </w:style>
  <w:style w:type="paragraph" w:styleId="6">
    <w:name w:val="toc 8"/>
    <w:basedOn w:val="1"/>
    <w:next w:val="1"/>
    <w:autoRedefine/>
    <w:semiHidden/>
    <w:unhideWhenUsed/>
    <w:qFormat/>
    <w:uiPriority w:val="39"/>
    <w:pPr>
      <w:ind w:left="2940" w:leftChars="1400"/>
    </w:p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style>
  <w:style w:type="paragraph" w:styleId="11">
    <w:name w:val="toc 4"/>
    <w:basedOn w:val="1"/>
    <w:next w:val="1"/>
    <w:autoRedefine/>
    <w:unhideWhenUsed/>
    <w:qFormat/>
    <w:uiPriority w:val="39"/>
    <w:pPr>
      <w:ind w:left="1260" w:leftChars="600"/>
    </w:pPr>
  </w:style>
  <w:style w:type="paragraph" w:styleId="12">
    <w:name w:val="toc 2"/>
    <w:basedOn w:val="1"/>
    <w:next w:val="1"/>
    <w:autoRedefine/>
    <w:unhideWhenUsed/>
    <w:qFormat/>
    <w:uiPriority w:val="39"/>
    <w:pPr>
      <w:ind w:left="420" w:leftChars="200"/>
    </w:pPr>
  </w:style>
  <w:style w:type="paragraph" w:styleId="13">
    <w:name w:val="Title"/>
    <w:basedOn w:val="1"/>
    <w:next w:val="1"/>
    <w:link w:val="25"/>
    <w:qFormat/>
    <w:uiPriority w:val="10"/>
    <w:pPr>
      <w:spacing w:before="240" w:after="60"/>
      <w:jc w:val="center"/>
      <w:outlineLvl w:val="0"/>
    </w:pPr>
    <w:rPr>
      <w:rFonts w:eastAsia="宋体" w:asciiTheme="majorHAnsi" w:hAnsiTheme="majorHAnsi" w:cstheme="majorBidi"/>
      <w:b/>
      <w:bCs/>
      <w:sz w:val="32"/>
      <w:szCs w:val="32"/>
    </w:rPr>
  </w:style>
  <w:style w:type="table" w:styleId="15">
    <w:name w:val="Table Grid"/>
    <w:basedOn w:val="1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paragraph" w:styleId="18">
    <w:name w:val="List Paragraph"/>
    <w:basedOn w:val="1"/>
    <w:qFormat/>
    <w:uiPriority w:val="34"/>
    <w:pPr>
      <w:ind w:firstLine="420" w:firstLineChars="200"/>
    </w:pPr>
  </w:style>
  <w:style w:type="character" w:customStyle="1" w:styleId="19">
    <w:name w:val="页眉 Char"/>
    <w:basedOn w:val="16"/>
    <w:link w:val="9"/>
    <w:qFormat/>
    <w:uiPriority w:val="99"/>
    <w:rPr>
      <w:sz w:val="18"/>
      <w:szCs w:val="18"/>
    </w:rPr>
  </w:style>
  <w:style w:type="character" w:customStyle="1" w:styleId="20">
    <w:name w:val="页脚 Char"/>
    <w:basedOn w:val="16"/>
    <w:link w:val="8"/>
    <w:uiPriority w:val="99"/>
    <w:rPr>
      <w:sz w:val="18"/>
      <w:szCs w:val="18"/>
    </w:rPr>
  </w:style>
  <w:style w:type="character" w:customStyle="1" w:styleId="21">
    <w:name w:val="批注框文本 Char"/>
    <w:basedOn w:val="16"/>
    <w:link w:val="7"/>
    <w:semiHidden/>
    <w:qFormat/>
    <w:uiPriority w:val="99"/>
    <w:rPr>
      <w:sz w:val="18"/>
      <w:szCs w:val="18"/>
    </w:rPr>
  </w:style>
  <w:style w:type="character" w:customStyle="1" w:styleId="22">
    <w:name w:val="标题 1 Char"/>
    <w:basedOn w:val="16"/>
    <w:link w:val="2"/>
    <w:qFormat/>
    <w:uiPriority w:val="9"/>
    <w:rPr>
      <w:b/>
      <w:bCs/>
      <w:kern w:val="44"/>
      <w:sz w:val="44"/>
      <w:szCs w:val="44"/>
    </w:rPr>
  </w:style>
  <w:style w:type="paragraph" w:customStyle="1" w:styleId="2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4">
    <w:name w:val="标题 4 Char"/>
    <w:basedOn w:val="16"/>
    <w:link w:val="3"/>
    <w:semiHidden/>
    <w:qFormat/>
    <w:uiPriority w:val="9"/>
    <w:rPr>
      <w:rFonts w:asciiTheme="majorHAnsi" w:hAnsiTheme="majorHAnsi" w:eastAsiaTheme="majorEastAsia" w:cstheme="majorBidi"/>
      <w:b/>
      <w:bCs/>
      <w:sz w:val="28"/>
      <w:szCs w:val="28"/>
    </w:rPr>
  </w:style>
  <w:style w:type="character" w:customStyle="1" w:styleId="25">
    <w:name w:val="标题 Char"/>
    <w:basedOn w:val="16"/>
    <w:link w:val="13"/>
    <w:qFormat/>
    <w:uiPriority w:val="10"/>
    <w:rPr>
      <w:rFonts w:eastAsia="宋体" w:asciiTheme="majorHAnsi" w:hAnsiTheme="majorHAnsi" w:cstheme="majorBidi"/>
      <w:b/>
      <w:bCs/>
      <w:sz w:val="32"/>
      <w:szCs w:val="32"/>
    </w:rPr>
  </w:style>
  <w:style w:type="paragraph" w:customStyle="1" w:styleId="26">
    <w:name w:val="列出段落2"/>
    <w:basedOn w:val="1"/>
    <w:next w:val="18"/>
    <w:link w:val="27"/>
    <w:qFormat/>
    <w:uiPriority w:val="0"/>
    <w:pPr>
      <w:snapToGrid w:val="0"/>
      <w:spacing w:after="50" w:afterLines="50"/>
      <w:ind w:left="134" w:hanging="134" w:hangingChars="134"/>
      <w:outlineLvl w:val="3"/>
    </w:pPr>
    <w:rPr>
      <w:rFonts w:ascii="Arial" w:hAnsi="Arial" w:eastAsia="宋体" w:cs="Arial"/>
      <w:b/>
      <w:bCs/>
      <w:kern w:val="0"/>
    </w:rPr>
  </w:style>
  <w:style w:type="character" w:customStyle="1" w:styleId="27">
    <w:name w:val="列出段落2 Char"/>
    <w:basedOn w:val="24"/>
    <w:link w:val="26"/>
    <w:uiPriority w:val="0"/>
    <w:rPr>
      <w:rFonts w:ascii="Arial" w:hAnsi="Arial" w:eastAsia="宋体" w:cs="Arial"/>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746A83B-C69F-4376-9870-C161F60575E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13507</Words>
  <Characters>15357</Characters>
  <Lines>147</Lines>
  <Paragraphs>41</Paragraphs>
  <TotalTime>0</TotalTime>
  <ScaleCrop>false</ScaleCrop>
  <LinksUpToDate>false</LinksUpToDate>
  <CharactersWithSpaces>15982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2017-03-25T08:23:00Z</dcterms:created>
  <dc:creator>daphne&amp;will</dc:creator>
  <cp:lastModifiedBy>太极箫客</cp:lastModifiedBy>
  <dcterms:modified xsi:type="dcterms:W3CDTF">2025-08-14T06:15:27Z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2F49F599CA1A4C4CB4A8D3B23F1C4B76_12</vt:lpwstr>
  </property>
</Properties>
</file>