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E6912">
      <w:pPr>
        <w:snapToGrid w:val="0"/>
        <w:spacing w:after="156" w:afterLines="50" w:line="300" w:lineRule="auto"/>
        <w:jc w:val="center"/>
        <w:rPr>
          <w:rFonts w:ascii="Arial" w:hAnsi="Arial" w:eastAsia="宋体" w:cs="Arial"/>
          <w:b/>
          <w:sz w:val="48"/>
          <w:szCs w:val="48"/>
        </w:rPr>
      </w:pPr>
      <w:bookmarkStart w:id="53" w:name="_GoBack"/>
      <w:bookmarkEnd w:id="53"/>
      <w:r>
        <w:rPr>
          <w:rFonts w:ascii="Arial" w:hAnsi="Arial" w:eastAsia="宋体" w:cs="Arial"/>
          <w:b/>
          <w:sz w:val="48"/>
          <w:szCs w:val="4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470535</wp:posOffset>
                </wp:positionV>
                <wp:extent cx="60820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0818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7.05pt;height:0pt;width:478.9pt;z-index:251659264;mso-width-relative:page;mso-height-relative:page;" filled="f" stroked="t" coordsize="21600,21600" o:gfxdata="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zdh70wAAAAYBAAAPAAAAAAAAAAEAIAAA&#10;ACIAAABkcnMvZG93bnJldi54bWxQSwECFAAUAAAACACHTuJAT8ddEtgBAACaAwAADgAAAAAAAAAB&#10;ACAAAAAiAQAAZHJzL2Uyb0RvYy54bWxQSwUGAAAAAAYABgBZAQAAbAUAAAAA&#10;">
                <v:fill on="f" focussize="0,0"/>
                <v:stroke color="#000000 [3213]" joinstyle="round"/>
                <v:imagedata o:title=""/>
                <o:lock v:ext="edit" aspectratio="f"/>
              </v:line>
            </w:pict>
          </mc:Fallback>
        </mc:AlternateContent>
      </w:r>
      <w:r>
        <w:rPr>
          <w:rFonts w:ascii="Arial" w:hAnsi="Arial" w:eastAsia="宋体" w:cs="Arial"/>
          <w:b/>
          <w:sz w:val="48"/>
          <w:szCs w:val="48"/>
        </w:rPr>
        <w:t>输液泵产品生命周期</w:t>
      </w:r>
    </w:p>
    <w:p w14:paraId="793FF5F9">
      <w:pPr>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w:t>行业和FDA员工指南</w:t>
      </w:r>
    </w:p>
    <w:p w14:paraId="001E7AA4">
      <w:pPr>
        <w:snapToGrid w:val="0"/>
        <w:spacing w:after="156" w:afterLines="50" w:line="300" w:lineRule="auto"/>
        <w:jc w:val="center"/>
        <w:rPr>
          <w:rFonts w:ascii="Arial" w:hAnsi="Arial" w:eastAsia="宋体" w:cs="Arial"/>
          <w:b/>
        </w:rPr>
      </w:pPr>
      <w:r>
        <w:rPr>
          <w:rFonts w:ascii="Arial" w:hAnsi="Arial" w:eastAsia="宋体" w:cs="Arial"/>
          <w:b/>
        </w:rPr>
        <w:t>文件发布</w:t>
      </w:r>
      <w:r>
        <w:rPr>
          <w:rFonts w:hint="eastAsia" w:ascii="Arial" w:hAnsi="Arial" w:eastAsia="宋体" w:cs="Arial"/>
          <w:b/>
        </w:rPr>
        <w:t>日期：</w:t>
      </w:r>
      <w:r>
        <w:rPr>
          <w:rFonts w:ascii="Arial" w:hAnsi="Arial" w:eastAsia="宋体" w:cs="Arial"/>
          <w:b/>
        </w:rPr>
        <w:t>2014年12月2日</w:t>
      </w:r>
    </w:p>
    <w:p w14:paraId="6ACCEDBE">
      <w:pPr>
        <w:snapToGrid w:val="0"/>
        <w:spacing w:after="156" w:afterLines="50" w:line="300" w:lineRule="auto"/>
        <w:jc w:val="center"/>
        <w:rPr>
          <w:rFonts w:ascii="Arial" w:hAnsi="Arial" w:eastAsia="宋体" w:cs="Arial"/>
          <w:b/>
        </w:rPr>
      </w:pPr>
      <w:r>
        <w:rPr>
          <w:rFonts w:ascii="Arial" w:hAnsi="Arial" w:eastAsia="宋体" w:cs="Arial"/>
          <w:b/>
        </w:rPr>
        <w:t>本文件草案发布于2010年4月23日。</w:t>
      </w:r>
    </w:p>
    <w:p w14:paraId="5349D2C8">
      <w:pPr>
        <w:snapToGrid w:val="0"/>
        <w:spacing w:after="156" w:afterLines="50" w:line="300" w:lineRule="auto"/>
        <w:jc w:val="center"/>
        <w:rPr>
          <w:rFonts w:ascii="Arial" w:hAnsi="Arial" w:eastAsia="宋体" w:cs="Arial"/>
          <w:b/>
        </w:rPr>
      </w:pPr>
      <w:r>
        <w:rPr>
          <w:rFonts w:ascii="Arial" w:hAnsi="Arial" w:eastAsia="宋体" w:cs="Arial"/>
          <w:b/>
        </w:rPr>
        <w:t>本文件取代1993年3月发布的</w:t>
      </w:r>
      <w:r>
        <w:rPr>
          <w:rFonts w:hint="eastAsia" w:ascii="宋体" w:hAnsi="宋体" w:eastAsia="宋体" w:cs="Arial"/>
          <w:b/>
        </w:rPr>
        <w:t>《</w:t>
      </w:r>
      <w:r>
        <w:rPr>
          <w:rFonts w:ascii="Arial" w:hAnsi="Arial" w:eastAsia="宋体" w:cs="Arial"/>
          <w:b/>
        </w:rPr>
        <w:t>外部输液泵上市前通告[510（k）]提交材料指南</w:t>
      </w:r>
      <w:r>
        <w:rPr>
          <w:rFonts w:hint="eastAsia" w:ascii="宋体" w:hAnsi="宋体" w:eastAsia="宋体" w:cs="Arial"/>
          <w:b/>
        </w:rPr>
        <w:t>》</w:t>
      </w:r>
      <w:r>
        <w:rPr>
          <w:rFonts w:ascii="Arial" w:hAnsi="Arial" w:eastAsia="宋体" w:cs="Arial"/>
          <w:b/>
        </w:rPr>
        <w:t>。</w:t>
      </w:r>
    </w:p>
    <w:p w14:paraId="3A3FDD5B">
      <w:pPr>
        <w:snapToGrid w:val="0"/>
        <w:spacing w:after="156" w:afterLines="50" w:line="300" w:lineRule="auto"/>
        <w:jc w:val="center"/>
        <w:rPr>
          <w:rFonts w:ascii="Arial" w:hAnsi="Arial" w:eastAsia="宋体" w:cs="Arial"/>
        </w:rPr>
      </w:pPr>
      <w:r>
        <w:rPr>
          <w:rFonts w:ascii="Arial" w:hAnsi="Arial" w:eastAsia="宋体" w:cs="Arial"/>
        </w:rPr>
        <w:t>OMB控制编号：0910-0766</w:t>
      </w:r>
    </w:p>
    <w:p w14:paraId="614BAD6C">
      <w:pPr>
        <w:snapToGrid w:val="0"/>
        <w:spacing w:after="156" w:afterLines="50" w:line="300" w:lineRule="auto"/>
        <w:jc w:val="center"/>
        <w:rPr>
          <w:rFonts w:ascii="Arial" w:hAnsi="Arial" w:eastAsia="宋体" w:cs="Arial"/>
        </w:rPr>
      </w:pPr>
      <w:r>
        <w:rPr>
          <w:rFonts w:hint="eastAsia" w:ascii="Arial" w:hAnsi="Arial" w:eastAsia="宋体" w:cs="Arial"/>
        </w:rPr>
        <w:t>有效期限</w:t>
      </w:r>
      <w:r>
        <w:rPr>
          <w:rFonts w:ascii="Arial" w:hAnsi="Arial" w:eastAsia="宋体" w:cs="Arial"/>
        </w:rPr>
        <w:t>：</w:t>
      </w:r>
      <w:r>
        <w:rPr>
          <w:rFonts w:hint="eastAsia" w:ascii="Arial" w:hAnsi="Arial" w:eastAsia="宋体" w:cs="Arial"/>
        </w:rPr>
        <w:t>2017年5月31日</w:t>
      </w:r>
    </w:p>
    <w:p w14:paraId="46CFD40D">
      <w:pPr>
        <w:snapToGrid w:val="0"/>
        <w:spacing w:after="156" w:afterLines="50" w:line="300" w:lineRule="auto"/>
        <w:rPr>
          <w:rFonts w:ascii="Arial" w:hAnsi="Arial" w:eastAsia="宋体" w:cs="Arial"/>
          <w:szCs w:val="21"/>
        </w:rPr>
      </w:pPr>
      <w:r>
        <w:rPr>
          <w:rFonts w:ascii="Arial" w:hAnsi="Arial" w:eastAsia="宋体" w:cs="Arial"/>
          <w:szCs w:val="21"/>
        </w:rPr>
        <w:t>有关本文档的问题，请致电301-796-6294或电子邮件</w:t>
      </w:r>
      <w:r>
        <w:rPr>
          <w:rStyle w:val="12"/>
          <w:rFonts w:ascii="Arial" w:hAnsi="Arial" w:eastAsia="宋体" w:cs="Arial"/>
          <w:kern w:val="0"/>
          <w:szCs w:val="21"/>
        </w:rPr>
        <w:t>alan.stevens@fda.hhs.gov</w:t>
      </w:r>
      <w:r>
        <w:rPr>
          <w:rFonts w:ascii="Arial" w:hAnsi="Arial" w:eastAsia="宋体" w:cs="Arial"/>
          <w:szCs w:val="21"/>
        </w:rPr>
        <w:t>联系综合医院器械部，器械评估办公室的Alan Stevens。</w:t>
      </w:r>
    </w:p>
    <w:p w14:paraId="77B2C47D">
      <w:pPr>
        <w:snapToGrid w:val="0"/>
        <w:spacing w:after="156" w:afterLines="50" w:line="300" w:lineRule="auto"/>
        <w:rPr>
          <w:rFonts w:ascii="Arial" w:hAnsi="Arial" w:eastAsia="宋体" w:cs="Arial"/>
          <w:szCs w:val="21"/>
        </w:rPr>
      </w:pPr>
      <w:r>
        <w:rPr>
          <w:rFonts w:ascii="Arial" w:hAnsi="Arial" w:eastAsia="宋体" w:cs="Arial"/>
          <w:szCs w:val="21"/>
        </w:rPr>
        <w:t>有关安全保证</w:t>
      </w:r>
      <w:r>
        <w:rPr>
          <w:rFonts w:hint="eastAsia" w:ascii="Arial" w:hAnsi="Arial" w:eastAsia="宋体" w:cs="Arial"/>
          <w:szCs w:val="21"/>
        </w:rPr>
        <w:t>情况</w:t>
      </w:r>
      <w:r>
        <w:rPr>
          <w:rFonts w:ascii="Arial" w:hAnsi="Arial" w:eastAsia="宋体" w:cs="Arial"/>
          <w:szCs w:val="21"/>
        </w:rPr>
        <w:t>的问题，请致电301-796-2585或通过电子邮件至</w:t>
      </w:r>
      <w:r>
        <w:rPr>
          <w:rFonts w:ascii="Arial" w:hAnsi="Arial" w:eastAsia="宋体" w:cs="Arial"/>
          <w:color w:val="0000FF"/>
          <w:szCs w:val="21"/>
          <w:u w:val="single"/>
        </w:rPr>
        <w:t>richard.chapman@fda.hhs.gov</w:t>
      </w:r>
      <w:r>
        <w:rPr>
          <w:rFonts w:ascii="Arial" w:hAnsi="Arial" w:eastAsia="宋体" w:cs="Arial"/>
          <w:szCs w:val="21"/>
        </w:rPr>
        <w:t>联系综合医院器械部，器械评估办公室Richard Chapman。</w:t>
      </w:r>
    </w:p>
    <w:p w14:paraId="4C8716FF">
      <w:pPr>
        <w:pStyle w:val="14"/>
        <w:snapToGrid w:val="0"/>
        <w:spacing w:after="156" w:afterLines="50" w:line="300" w:lineRule="auto"/>
        <w:jc w:val="both"/>
        <w:rPr>
          <w:rFonts w:ascii="Arial" w:hAnsi="Arial" w:eastAsia="宋体" w:cs="Arial"/>
          <w:sz w:val="21"/>
          <w:szCs w:val="21"/>
        </w:rPr>
      </w:pPr>
      <w:r>
        <w:rPr>
          <w:rFonts w:ascii="Arial" w:hAnsi="Arial" w:eastAsia="宋体" w:cs="Arial"/>
          <w:sz w:val="21"/>
          <w:szCs w:val="21"/>
        </w:rPr>
        <w:t>有关</w:t>
      </w:r>
      <w:r>
        <w:rPr>
          <w:rFonts w:hint="eastAsia" w:ascii="Arial" w:hAnsi="Arial" w:eastAsia="宋体" w:cs="Arial"/>
          <w:sz w:val="21"/>
          <w:szCs w:val="21"/>
        </w:rPr>
        <w:t>许可前</w:t>
      </w:r>
      <w:r>
        <w:rPr>
          <w:rFonts w:ascii="Arial" w:hAnsi="Arial" w:eastAsia="宋体" w:cs="Arial"/>
          <w:sz w:val="21"/>
          <w:szCs w:val="21"/>
        </w:rPr>
        <w:t>检查的问题，请联系呼吸系统，耳鼻喉科，传染病控制综合医院和眼科器械部门，法规办公室的Francisco Vicenty，</w:t>
      </w:r>
      <w:r>
        <w:fldChar w:fldCharType="begin"/>
      </w:r>
      <w:r>
        <w:instrText xml:space="preserve"> HYPERLINK "mailto:电话301-796-5770或发送电子邮件至francisco.vicenty@fda.hhs.gov" </w:instrText>
      </w:r>
      <w:r>
        <w:fldChar w:fldCharType="separate"/>
      </w:r>
      <w:r>
        <w:rPr>
          <w:rStyle w:val="12"/>
          <w:rFonts w:ascii="Arial" w:hAnsi="Arial" w:eastAsia="宋体" w:cs="Arial"/>
          <w:sz w:val="21"/>
          <w:szCs w:val="21"/>
        </w:rPr>
        <w:t>电话301-796-5770或</w:t>
      </w:r>
      <w:r>
        <w:rPr>
          <w:rStyle w:val="12"/>
          <w:rFonts w:hint="eastAsia" w:ascii="Arial" w:hAnsi="Arial" w:eastAsia="宋体" w:cs="Arial"/>
          <w:sz w:val="21"/>
          <w:szCs w:val="21"/>
        </w:rPr>
        <w:t>发送</w:t>
      </w:r>
      <w:r>
        <w:rPr>
          <w:rStyle w:val="12"/>
          <w:rFonts w:ascii="Arial" w:hAnsi="Arial" w:eastAsia="宋体" w:cs="Arial"/>
          <w:sz w:val="21"/>
          <w:szCs w:val="21"/>
        </w:rPr>
        <w:t>电子邮件至francisco.vicenty@fda.hhs.gov</w:t>
      </w:r>
      <w:r>
        <w:rPr>
          <w:rStyle w:val="12"/>
          <w:rFonts w:ascii="Arial" w:hAnsi="Arial" w:eastAsia="宋体" w:cs="Arial"/>
          <w:sz w:val="21"/>
          <w:szCs w:val="21"/>
        </w:rPr>
        <w:fldChar w:fldCharType="end"/>
      </w:r>
      <w:r>
        <w:rPr>
          <w:rFonts w:ascii="Arial" w:hAnsi="Arial" w:eastAsia="宋体" w:cs="Arial"/>
          <w:sz w:val="21"/>
          <w:szCs w:val="21"/>
        </w:rPr>
        <w:t>。</w:t>
      </w:r>
    </w:p>
    <w:p w14:paraId="70811FA5">
      <w:pPr>
        <w:pStyle w:val="14"/>
        <w:snapToGrid w:val="0"/>
        <w:spacing w:after="156" w:afterLines="50" w:line="300" w:lineRule="auto"/>
        <w:rPr>
          <w:rFonts w:ascii="Arial" w:hAnsi="Arial" w:eastAsia="宋体" w:cs="Arial"/>
          <w:sz w:val="21"/>
          <w:szCs w:val="21"/>
        </w:rPr>
      </w:pPr>
      <w:r>
        <w:rPr>
          <w:rFonts w:ascii="Arial" w:hAnsi="Arial" w:eastAsia="宋体" w:cs="Arial"/>
          <w:sz w:val="21"/>
          <w:szCs w:val="21"/>
        </w:rPr>
        <w:t>有关制造商报告要求的问题，请联系Sharon Kapsch，电话：</w:t>
      </w:r>
      <w:r>
        <w:fldChar w:fldCharType="begin"/>
      </w:r>
      <w:r>
        <w:instrText xml:space="preserve"> HYPERLINK "mailto:301-796-6104或电子邮件sharon.kapsch@fda.hhs.gov" </w:instrText>
      </w:r>
      <w:r>
        <w:fldChar w:fldCharType="separate"/>
      </w:r>
      <w:r>
        <w:rPr>
          <w:rStyle w:val="12"/>
          <w:rFonts w:ascii="Arial" w:hAnsi="Arial" w:eastAsia="宋体" w:cs="Arial"/>
          <w:sz w:val="21"/>
          <w:szCs w:val="21"/>
        </w:rPr>
        <w:t>301-796-6104</w:t>
      </w:r>
      <w:r>
        <w:rPr>
          <w:rStyle w:val="12"/>
          <w:rFonts w:hint="eastAsia" w:ascii="Arial" w:hAnsi="Arial" w:eastAsia="宋体" w:cs="Arial"/>
          <w:sz w:val="21"/>
          <w:szCs w:val="21"/>
        </w:rPr>
        <w:t>或电子邮件</w:t>
      </w:r>
      <w:r>
        <w:rPr>
          <w:rStyle w:val="12"/>
          <w:rFonts w:ascii="Arial" w:hAnsi="Arial" w:eastAsia="宋体" w:cs="Arial"/>
          <w:sz w:val="21"/>
          <w:szCs w:val="21"/>
        </w:rPr>
        <w:t>sharon.kapsch@fda.hhs.gov</w:t>
      </w:r>
      <w:r>
        <w:rPr>
          <w:rStyle w:val="12"/>
          <w:rFonts w:ascii="Arial" w:hAnsi="Arial" w:eastAsia="宋体" w:cs="Arial"/>
          <w:sz w:val="21"/>
          <w:szCs w:val="21"/>
        </w:rPr>
        <w:fldChar w:fldCharType="end"/>
      </w:r>
      <w:r>
        <w:rPr>
          <w:rFonts w:ascii="Arial" w:hAnsi="Arial" w:eastAsia="宋体" w:cs="Arial"/>
          <w:sz w:val="21"/>
          <w:szCs w:val="21"/>
        </w:rPr>
        <w:t>。</w:t>
      </w:r>
    </w:p>
    <w:p w14:paraId="6A315E2B">
      <w:pPr>
        <w:pStyle w:val="14"/>
        <w:snapToGrid w:val="0"/>
        <w:spacing w:after="156" w:afterLines="50" w:line="300" w:lineRule="auto"/>
        <w:jc w:val="both"/>
        <w:rPr>
          <w:rFonts w:ascii="Arial" w:hAnsi="Arial" w:eastAsia="宋体" w:cs="Arial"/>
          <w:b/>
          <w:sz w:val="21"/>
          <w:szCs w:val="21"/>
        </w:rPr>
      </w:pPr>
    </w:p>
    <w:p w14:paraId="04578E6F">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130175</wp:posOffset>
                </wp:positionV>
                <wp:extent cx="1571625" cy="1304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7162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7C0C6">
                            <w:r>
                              <w:drawing>
                                <wp:inline distT="0" distB="0" distL="0" distR="0">
                                  <wp:extent cx="923925" cy="952500"/>
                                  <wp:effectExtent l="0" t="0" r="952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10.25pt;height:102.75pt;width:123.75pt;z-index:251660288;mso-width-relative:page;mso-height-relative:page;" filled="f" stroked="f" coordsize="21600,21600" o:gfxdata="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XwDta2AAAAAgBAAAPAAAAAAAAAAEAIAAAACIA&#10;AABkcnMvZG93bnJldi54bWxQSwECFAAUAAAACACHTuJAYQ617UICAAB1BAAADgAAAAAAAAABACAA&#10;AAAnAQAAZHJzL2Uyb0RvYy54bWxQSwUGAAAAAAYABgBZAQAA2wUAAAAA&#10;">
                <v:fill on="f" focussize="0,0"/>
                <v:stroke on="f" weight="0.5pt"/>
                <v:imagedata o:title=""/>
                <o:lock v:ext="edit" aspectratio="f"/>
                <v:textbox>
                  <w:txbxContent>
                    <w:p w14:paraId="4A27C0C6">
                      <w:r>
                        <w:drawing>
                          <wp:inline distT="0" distB="0" distL="0" distR="0">
                            <wp:extent cx="923925" cy="952500"/>
                            <wp:effectExtent l="0" t="0" r="952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inline>
                        </w:drawing>
                      </w:r>
                    </w:p>
                  </w:txbxContent>
                </v:textbox>
              </v:shape>
            </w:pict>
          </mc:Fallback>
        </mc:AlternateContent>
      </w:r>
      <w:r>
        <w:rPr>
          <w:rFonts w:ascii="Arial" w:hAnsi="Arial" w:eastAsia="宋体" w:cs="Arial"/>
          <w:b/>
          <w:sz w:val="21"/>
          <w:szCs w:val="21"/>
        </w:rPr>
        <w:t>美国</w:t>
      </w:r>
      <w:r>
        <w:rPr>
          <w:rFonts w:hint="eastAsia" w:ascii="Arial" w:hAnsi="Arial" w:eastAsia="宋体" w:cs="Arial"/>
          <w:b/>
          <w:sz w:val="21"/>
          <w:szCs w:val="21"/>
        </w:rPr>
        <w:t>卫生与公众服务部</w:t>
      </w:r>
    </w:p>
    <w:p w14:paraId="2F019583">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食品药品监督管理局</w:t>
      </w:r>
    </w:p>
    <w:p w14:paraId="6A1DA94F">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器械与放射健康中心</w:t>
      </w:r>
    </w:p>
    <w:p w14:paraId="6E3B965B">
      <w:pPr>
        <w:pStyle w:val="14"/>
        <w:snapToGrid w:val="0"/>
        <w:spacing w:after="156" w:afterLines="50" w:line="300" w:lineRule="auto"/>
        <w:jc w:val="right"/>
        <w:rPr>
          <w:rFonts w:ascii="Arial" w:hAnsi="Arial" w:eastAsia="宋体" w:cs="Arial"/>
          <w:b/>
          <w:sz w:val="21"/>
          <w:szCs w:val="21"/>
        </w:rPr>
      </w:pPr>
    </w:p>
    <w:p w14:paraId="42824073">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器械评估办公室</w:t>
      </w:r>
    </w:p>
    <w:p w14:paraId="62A7865C">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综合医院麻醉科</w:t>
      </w:r>
      <w:r>
        <w:rPr>
          <w:rFonts w:hint="eastAsia" w:ascii="Arial" w:hAnsi="Arial" w:eastAsia="宋体" w:cs="Arial"/>
          <w:b/>
          <w:sz w:val="21"/>
          <w:szCs w:val="21"/>
        </w:rPr>
        <w:t>，</w:t>
      </w:r>
    </w:p>
    <w:p w14:paraId="45D37772">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呼吸，感染控制和</w:t>
      </w:r>
    </w:p>
    <w:p w14:paraId="5FE5B0CB">
      <w:pPr>
        <w:pStyle w:val="14"/>
        <w:snapToGrid w:val="0"/>
        <w:spacing w:after="156" w:afterLines="50" w:line="300" w:lineRule="auto"/>
        <w:jc w:val="right"/>
        <w:rPr>
          <w:rFonts w:ascii="Arial" w:hAnsi="Arial" w:eastAsia="宋体" w:cs="Arial"/>
          <w:b/>
          <w:sz w:val="21"/>
          <w:szCs w:val="21"/>
        </w:rPr>
      </w:pPr>
      <w:r>
        <w:rPr>
          <w:rFonts w:ascii="Arial" w:hAnsi="Arial" w:eastAsia="宋体" w:cs="Arial"/>
          <w:b/>
          <w:sz w:val="21"/>
          <w:szCs w:val="21"/>
        </w:rPr>
        <w:t>牙科器械</w:t>
      </w:r>
    </w:p>
    <w:p w14:paraId="0E65C9FF">
      <w:pPr>
        <w:pStyle w:val="14"/>
        <w:snapToGrid w:val="0"/>
        <w:spacing w:after="156" w:afterLines="50" w:line="300" w:lineRule="auto"/>
        <w:jc w:val="right"/>
        <w:rPr>
          <w:rFonts w:ascii="Arial" w:hAnsi="Arial" w:eastAsia="宋体" w:cs="Arial"/>
          <w:b/>
        </w:rPr>
      </w:pPr>
      <w:r>
        <w:rPr>
          <w:rFonts w:ascii="Arial" w:hAnsi="Arial" w:eastAsia="宋体" w:cs="Arial"/>
          <w:b/>
          <w:sz w:val="21"/>
          <w:szCs w:val="21"/>
        </w:rPr>
        <w:t>综合医院器械科</w:t>
      </w:r>
    </w:p>
    <w:p w14:paraId="0D6043C9">
      <w:pPr>
        <w:snapToGrid w:val="0"/>
        <w:spacing w:after="156" w:afterLines="50" w:line="300" w:lineRule="auto"/>
        <w:rPr>
          <w:rFonts w:ascii="Arial" w:hAnsi="Arial" w:eastAsia="宋体" w:cs="Arial"/>
        </w:rPr>
      </w:pPr>
    </w:p>
    <w:p w14:paraId="1C0A1199">
      <w:pPr>
        <w:snapToGrid w:val="0"/>
        <w:spacing w:after="156" w:afterLines="50" w:line="300" w:lineRule="auto"/>
        <w:rPr>
          <w:rFonts w:ascii="Arial" w:hAnsi="Arial" w:eastAsia="宋体" w:cs="Arial"/>
          <w:b/>
          <w:szCs w:val="21"/>
        </w:rPr>
        <w:sectPr>
          <w:pgSz w:w="11906" w:h="16838"/>
          <w:pgMar w:top="1134" w:right="1134" w:bottom="1134" w:left="1134" w:header="851" w:footer="992" w:gutter="0"/>
          <w:cols w:space="425" w:num="1"/>
          <w:docGrid w:type="lines" w:linePitch="312" w:charSpace="0"/>
        </w:sectPr>
      </w:pPr>
    </w:p>
    <w:p w14:paraId="6B655C1C">
      <w:pPr>
        <w:snapToGrid w:val="0"/>
        <w:spacing w:after="156" w:afterLines="50" w:line="300" w:lineRule="auto"/>
        <w:jc w:val="center"/>
        <w:rPr>
          <w:rFonts w:ascii="Arial" w:hAnsi="Arial" w:eastAsia="宋体" w:cs="Arial"/>
          <w:b/>
          <w:sz w:val="32"/>
          <w:szCs w:val="32"/>
        </w:rPr>
      </w:pPr>
      <w:r>
        <w:rPr>
          <w:rFonts w:hint="eastAsia" w:ascii="Arial" w:hAnsi="Arial" w:eastAsia="宋体" w:cs="Arial"/>
          <w:b/>
          <w:sz w:val="32"/>
          <w:szCs w:val="32"/>
        </w:rPr>
        <w:t>序</w:t>
      </w:r>
      <w:r>
        <w:rPr>
          <w:rFonts w:ascii="Arial" w:hAnsi="Arial" w:eastAsia="宋体" w:cs="Arial"/>
          <w:b/>
          <w:sz w:val="32"/>
          <w:szCs w:val="32"/>
        </w:rPr>
        <w:t>言</w:t>
      </w:r>
    </w:p>
    <w:p w14:paraId="4EB4349D">
      <w:pPr>
        <w:snapToGrid w:val="0"/>
        <w:spacing w:after="156" w:afterLines="50" w:line="300" w:lineRule="auto"/>
        <w:rPr>
          <w:rFonts w:ascii="Arial" w:hAnsi="Arial" w:eastAsia="宋体" w:cs="Arial"/>
          <w:b/>
          <w:sz w:val="28"/>
          <w:szCs w:val="28"/>
        </w:rPr>
      </w:pPr>
      <w:r>
        <w:rPr>
          <w:rFonts w:ascii="Arial" w:hAnsi="Arial" w:eastAsia="宋体" w:cs="Arial"/>
          <w:b/>
          <w:sz w:val="28"/>
          <w:szCs w:val="28"/>
        </w:rPr>
        <w:t>公众评论</w:t>
      </w:r>
    </w:p>
    <w:p w14:paraId="7FF714D6">
      <w:pPr>
        <w:snapToGrid w:val="0"/>
        <w:spacing w:after="156" w:afterLines="50" w:line="300" w:lineRule="auto"/>
        <w:rPr>
          <w:rFonts w:ascii="Arial" w:hAnsi="Arial" w:eastAsia="宋体" w:cs="Arial"/>
          <w:szCs w:val="21"/>
        </w:rPr>
      </w:pPr>
      <w:r>
        <w:rPr>
          <w:rFonts w:ascii="Arial" w:hAnsi="Arial" w:eastAsia="宋体" w:cs="Arial"/>
          <w:szCs w:val="21"/>
        </w:rPr>
        <w:t>贵公司可以随时提交电子评论和建议到</w:t>
      </w:r>
      <w:r>
        <w:rPr>
          <w:rStyle w:val="12"/>
          <w:rFonts w:ascii="Arial" w:hAnsi="Arial" w:eastAsia="宋体" w:cs="Arial"/>
          <w:szCs w:val="21"/>
        </w:rPr>
        <w:t>http://www.regulations.gov</w:t>
      </w:r>
      <w:r>
        <w:rPr>
          <w:rFonts w:ascii="Arial" w:hAnsi="Arial" w:eastAsia="宋体" w:cs="Arial"/>
          <w:szCs w:val="21"/>
        </w:rPr>
        <w:t>，供</w:t>
      </w:r>
      <w:r>
        <w:rPr>
          <w:rFonts w:hint="eastAsia" w:ascii="Arial" w:hAnsi="Arial" w:eastAsia="宋体" w:cs="Arial"/>
          <w:szCs w:val="21"/>
        </w:rPr>
        <w:t>部门审议</w:t>
      </w:r>
      <w:r>
        <w:rPr>
          <w:rFonts w:ascii="Arial" w:hAnsi="Arial" w:eastAsia="宋体" w:cs="Arial"/>
          <w:szCs w:val="21"/>
        </w:rPr>
        <w:t>。向食品药品监督管理局，</w:t>
      </w:r>
      <w:r>
        <w:rPr>
          <w:rFonts w:hint="eastAsia" w:ascii="Arial" w:hAnsi="Arial" w:eastAsia="宋体" w:cs="Arial"/>
          <w:szCs w:val="21"/>
        </w:rPr>
        <w:t>文档</w:t>
      </w:r>
      <w:r>
        <w:rPr>
          <w:rFonts w:ascii="Arial" w:hAnsi="Arial" w:eastAsia="宋体" w:cs="Arial"/>
          <w:szCs w:val="21"/>
        </w:rPr>
        <w:t>管理部，5630 Fishers Lane，Room 1061，（HFA-305），Rockville，MD，20852提交书面意见。用</w:t>
      </w:r>
      <w:r>
        <w:rPr>
          <w:rFonts w:hint="eastAsia" w:ascii="Arial" w:hAnsi="Arial" w:eastAsia="宋体" w:cs="Arial"/>
          <w:szCs w:val="21"/>
        </w:rPr>
        <w:t>文档</w:t>
      </w:r>
      <w:r>
        <w:rPr>
          <w:rFonts w:ascii="Arial" w:hAnsi="Arial" w:eastAsia="宋体" w:cs="Arial"/>
          <w:szCs w:val="21"/>
        </w:rPr>
        <w:t>号FDA-2010-D-0194识别所有</w:t>
      </w:r>
      <w:r>
        <w:rPr>
          <w:rFonts w:hint="eastAsia" w:ascii="Arial" w:hAnsi="Arial" w:eastAsia="宋体" w:cs="Arial"/>
          <w:szCs w:val="21"/>
        </w:rPr>
        <w:t>评论</w:t>
      </w:r>
      <w:r>
        <w:rPr>
          <w:rFonts w:ascii="Arial" w:hAnsi="Arial" w:eastAsia="宋体" w:cs="Arial"/>
          <w:szCs w:val="21"/>
        </w:rPr>
        <w:t>。</w:t>
      </w:r>
      <w:r>
        <w:rPr>
          <w:rFonts w:hint="eastAsia" w:ascii="Arial" w:hAnsi="Arial" w:eastAsia="宋体" w:cs="Arial"/>
          <w:szCs w:val="21"/>
        </w:rPr>
        <w:t>可能直到文件下次修订或更新时，评论才会被机构受理。</w:t>
      </w:r>
    </w:p>
    <w:p w14:paraId="56E4C60E">
      <w:pPr>
        <w:snapToGrid w:val="0"/>
        <w:spacing w:after="156" w:afterLines="50" w:line="300" w:lineRule="auto"/>
        <w:rPr>
          <w:rFonts w:ascii="Arial" w:hAnsi="Arial" w:eastAsia="宋体" w:cs="Arial"/>
          <w:b/>
          <w:sz w:val="28"/>
          <w:szCs w:val="28"/>
        </w:rPr>
      </w:pPr>
      <w:r>
        <w:rPr>
          <w:rFonts w:ascii="Arial" w:hAnsi="Arial" w:eastAsia="宋体" w:cs="Arial"/>
          <w:b/>
          <w:sz w:val="28"/>
          <w:szCs w:val="28"/>
        </w:rPr>
        <w:t>其他副本</w:t>
      </w:r>
    </w:p>
    <w:p w14:paraId="7DB43157">
      <w:pPr>
        <w:snapToGrid w:val="0"/>
        <w:spacing w:after="156" w:afterLines="50" w:line="300" w:lineRule="auto"/>
        <w:rPr>
          <w:rFonts w:ascii="Arial" w:hAnsi="Arial" w:eastAsia="宋体" w:cs="Arial"/>
          <w:szCs w:val="21"/>
        </w:rPr>
      </w:pPr>
      <w:r>
        <w:rPr>
          <w:rFonts w:ascii="Arial" w:hAnsi="Arial" w:eastAsia="宋体" w:cs="Arial"/>
          <w:szCs w:val="21"/>
        </w:rPr>
        <w:t>可从互联网获得其他副本。贵公司还可以向</w:t>
      </w:r>
      <w:r>
        <w:rPr>
          <w:rStyle w:val="12"/>
          <w:rFonts w:ascii="Arial" w:hAnsi="Arial" w:eastAsia="宋体" w:cs="Arial"/>
          <w:szCs w:val="21"/>
        </w:rPr>
        <w:t xml:space="preserve">CDRH-Guidance@fda.hhs.gov </w:t>
      </w:r>
      <w:r>
        <w:rPr>
          <w:rFonts w:ascii="Arial" w:hAnsi="Arial" w:eastAsia="宋体" w:cs="Arial"/>
          <w:szCs w:val="21"/>
        </w:rPr>
        <w:t>发送电子邮件请求，以收到</w:t>
      </w:r>
      <w:r>
        <w:rPr>
          <w:rFonts w:hint="eastAsia" w:ascii="Arial" w:hAnsi="Arial" w:eastAsia="宋体" w:cs="Arial"/>
          <w:szCs w:val="21"/>
        </w:rPr>
        <w:t>指南</w:t>
      </w:r>
      <w:r>
        <w:rPr>
          <w:rFonts w:ascii="Arial" w:hAnsi="Arial" w:eastAsia="宋体" w:cs="Arial"/>
          <w:szCs w:val="21"/>
        </w:rPr>
        <w:t>的电子副本。请使用文档编号1694来确定贵公司要求的指南。</w:t>
      </w:r>
    </w:p>
    <w:p w14:paraId="129B57E3">
      <w:pPr>
        <w:snapToGrid w:val="0"/>
        <w:spacing w:after="156" w:afterLines="50" w:line="300" w:lineRule="auto"/>
        <w:rPr>
          <w:rFonts w:ascii="Arial" w:hAnsi="Arial" w:eastAsia="宋体" w:cs="Arial"/>
          <w:szCs w:val="21"/>
        </w:rPr>
      </w:pPr>
    </w:p>
    <w:p w14:paraId="412A0435">
      <w:pPr>
        <w:snapToGrid w:val="0"/>
        <w:spacing w:after="156" w:afterLines="50" w:line="300" w:lineRule="auto"/>
        <w:rPr>
          <w:rFonts w:ascii="Arial" w:hAnsi="Arial" w:eastAsia="宋体" w:cs="Arial"/>
          <w:szCs w:val="21"/>
        </w:rPr>
      </w:pPr>
    </w:p>
    <w:p w14:paraId="482AC55F">
      <w:pPr>
        <w:snapToGrid w:val="0"/>
        <w:spacing w:after="156" w:afterLines="50" w:line="300" w:lineRule="auto"/>
        <w:rPr>
          <w:rFonts w:ascii="Arial" w:hAnsi="Arial" w:eastAsia="宋体" w:cs="Arial"/>
          <w:szCs w:val="21"/>
        </w:rPr>
      </w:pPr>
    </w:p>
    <w:p w14:paraId="438B340C">
      <w:pPr>
        <w:snapToGrid w:val="0"/>
        <w:spacing w:after="156" w:afterLines="50" w:line="300" w:lineRule="auto"/>
        <w:rPr>
          <w:rFonts w:ascii="Arial" w:hAnsi="Arial" w:eastAsia="宋体" w:cs="Arial"/>
          <w:szCs w:val="21"/>
        </w:rPr>
      </w:pPr>
    </w:p>
    <w:p w14:paraId="0ABBC84E">
      <w:pPr>
        <w:snapToGrid w:val="0"/>
        <w:spacing w:after="156" w:afterLines="50" w:line="300" w:lineRule="auto"/>
        <w:rPr>
          <w:rFonts w:ascii="Arial" w:hAnsi="Arial" w:eastAsia="宋体" w:cs="Arial"/>
          <w:szCs w:val="21"/>
        </w:rPr>
      </w:pPr>
    </w:p>
    <w:p w14:paraId="2C4FC358">
      <w:pPr>
        <w:snapToGrid w:val="0"/>
        <w:spacing w:after="156" w:afterLines="50" w:line="300" w:lineRule="auto"/>
        <w:rPr>
          <w:rFonts w:ascii="Arial" w:hAnsi="Arial" w:eastAsia="宋体" w:cs="Arial"/>
          <w:szCs w:val="21"/>
        </w:rPr>
      </w:pPr>
    </w:p>
    <w:p w14:paraId="310A6F7F">
      <w:pPr>
        <w:snapToGrid w:val="0"/>
        <w:spacing w:after="156" w:afterLines="50" w:line="300" w:lineRule="auto"/>
        <w:rPr>
          <w:rFonts w:ascii="Arial" w:hAnsi="Arial" w:eastAsia="宋体" w:cs="Arial"/>
          <w:szCs w:val="21"/>
        </w:rPr>
      </w:pPr>
    </w:p>
    <w:p w14:paraId="3C0328CE">
      <w:pPr>
        <w:snapToGrid w:val="0"/>
        <w:spacing w:after="156" w:afterLines="50" w:line="300" w:lineRule="auto"/>
        <w:rPr>
          <w:rFonts w:ascii="Arial" w:hAnsi="Arial" w:eastAsia="宋体" w:cs="Arial"/>
          <w:szCs w:val="21"/>
        </w:rPr>
      </w:pPr>
    </w:p>
    <w:p w14:paraId="4516EDE6">
      <w:pPr>
        <w:snapToGrid w:val="0"/>
        <w:spacing w:after="156" w:afterLines="50" w:line="300" w:lineRule="auto"/>
        <w:rPr>
          <w:rFonts w:ascii="Arial" w:hAnsi="Arial" w:eastAsia="宋体" w:cs="Arial"/>
          <w:szCs w:val="21"/>
        </w:rPr>
      </w:pPr>
    </w:p>
    <w:p w14:paraId="678CE89F">
      <w:pPr>
        <w:snapToGrid w:val="0"/>
        <w:spacing w:after="156" w:afterLines="50" w:line="300" w:lineRule="auto"/>
        <w:rPr>
          <w:rFonts w:ascii="Arial" w:hAnsi="Arial" w:eastAsia="宋体" w:cs="Arial"/>
          <w:szCs w:val="21"/>
        </w:rPr>
      </w:pPr>
    </w:p>
    <w:p w14:paraId="11FE46FC">
      <w:pPr>
        <w:snapToGrid w:val="0"/>
        <w:spacing w:after="156" w:afterLines="50" w:line="300" w:lineRule="auto"/>
        <w:rPr>
          <w:rFonts w:ascii="Arial" w:hAnsi="Arial" w:eastAsia="宋体" w:cs="Arial"/>
          <w:szCs w:val="21"/>
        </w:rPr>
      </w:pPr>
    </w:p>
    <w:p w14:paraId="343E6217">
      <w:pPr>
        <w:snapToGrid w:val="0"/>
        <w:spacing w:after="156" w:afterLines="50" w:line="300" w:lineRule="auto"/>
        <w:rPr>
          <w:rFonts w:ascii="Arial" w:hAnsi="Arial" w:eastAsia="宋体" w:cs="Arial"/>
          <w:szCs w:val="21"/>
        </w:rPr>
      </w:pPr>
    </w:p>
    <w:p w14:paraId="5017C7DF">
      <w:pPr>
        <w:snapToGrid w:val="0"/>
        <w:spacing w:after="156" w:afterLines="50" w:line="300" w:lineRule="auto"/>
        <w:rPr>
          <w:rFonts w:ascii="Arial" w:hAnsi="Arial" w:eastAsia="宋体" w:cs="Arial"/>
          <w:szCs w:val="21"/>
        </w:rPr>
      </w:pPr>
    </w:p>
    <w:p w14:paraId="46230427">
      <w:pPr>
        <w:snapToGrid w:val="0"/>
        <w:spacing w:after="156" w:afterLines="50" w:line="300" w:lineRule="auto"/>
        <w:rPr>
          <w:rFonts w:ascii="Arial" w:hAnsi="Arial" w:eastAsia="宋体" w:cs="Arial"/>
          <w:szCs w:val="21"/>
        </w:rPr>
      </w:pPr>
    </w:p>
    <w:p w14:paraId="30EA6457">
      <w:pPr>
        <w:snapToGrid w:val="0"/>
        <w:spacing w:after="156" w:afterLines="50" w:line="300" w:lineRule="auto"/>
        <w:rPr>
          <w:rFonts w:ascii="Arial" w:hAnsi="Arial" w:eastAsia="宋体" w:cs="Arial"/>
          <w:szCs w:val="21"/>
        </w:rPr>
      </w:pPr>
    </w:p>
    <w:p w14:paraId="19CF5B12">
      <w:pPr>
        <w:snapToGrid w:val="0"/>
        <w:spacing w:after="156" w:afterLines="50" w:line="300" w:lineRule="auto"/>
        <w:rPr>
          <w:rFonts w:ascii="Arial" w:hAnsi="Arial" w:eastAsia="宋体" w:cs="Arial"/>
          <w:szCs w:val="21"/>
        </w:rPr>
      </w:pPr>
    </w:p>
    <w:p w14:paraId="30858596">
      <w:pPr>
        <w:snapToGrid w:val="0"/>
        <w:spacing w:after="156" w:afterLines="50" w:line="300" w:lineRule="auto"/>
        <w:rPr>
          <w:rFonts w:ascii="Arial" w:hAnsi="Arial" w:eastAsia="宋体" w:cs="Arial"/>
          <w:szCs w:val="21"/>
        </w:rPr>
      </w:pPr>
    </w:p>
    <w:p w14:paraId="3AA7854A">
      <w:pPr>
        <w:snapToGrid w:val="0"/>
        <w:spacing w:after="156" w:afterLines="50" w:line="300" w:lineRule="auto"/>
        <w:rPr>
          <w:rFonts w:ascii="Arial" w:hAnsi="Arial" w:eastAsia="宋体" w:cs="Arial"/>
          <w:szCs w:val="21"/>
        </w:rPr>
      </w:pPr>
    </w:p>
    <w:p w14:paraId="2AC28C65">
      <w:pPr>
        <w:snapToGrid w:val="0"/>
        <w:spacing w:after="156" w:afterLines="50" w:line="300" w:lineRule="auto"/>
        <w:rPr>
          <w:rFonts w:ascii="Arial" w:hAnsi="Arial" w:eastAsia="宋体" w:cs="Arial"/>
          <w:szCs w:val="21"/>
        </w:rPr>
      </w:pPr>
    </w:p>
    <w:p w14:paraId="1DE9AF48">
      <w:pPr>
        <w:snapToGrid w:val="0"/>
        <w:spacing w:after="156" w:afterLines="50" w:line="300" w:lineRule="auto"/>
        <w:rPr>
          <w:rFonts w:ascii="Arial" w:hAnsi="Arial" w:eastAsia="宋体" w:cs="Arial"/>
          <w:szCs w:val="21"/>
        </w:rPr>
      </w:pPr>
    </w:p>
    <w:p w14:paraId="194142A8">
      <w:pPr>
        <w:snapToGrid w:val="0"/>
        <w:spacing w:after="156" w:afterLines="50" w:line="300" w:lineRule="auto"/>
        <w:rPr>
          <w:rFonts w:ascii="Arial" w:hAnsi="Arial" w:eastAsia="宋体" w:cs="Arial"/>
          <w:szCs w:val="21"/>
        </w:rPr>
      </w:pPr>
    </w:p>
    <w:sdt>
      <w:sdtPr>
        <w:rPr>
          <w:rFonts w:ascii="Arial" w:hAnsi="Arial" w:eastAsia="宋体" w:cs="Arial"/>
          <w:b w:val="0"/>
          <w:bCs w:val="0"/>
          <w:color w:val="auto"/>
          <w:kern w:val="2"/>
          <w:sz w:val="21"/>
          <w:szCs w:val="21"/>
          <w:lang w:val="zh-CN"/>
        </w:rPr>
        <w:id w:val="-100189318"/>
        <w:docPartObj>
          <w:docPartGallery w:val="Table of Contents"/>
          <w:docPartUnique/>
        </w:docPartObj>
      </w:sdtPr>
      <w:sdtEndPr>
        <w:rPr>
          <w:rFonts w:ascii="Arial" w:hAnsi="Arial" w:eastAsia="宋体" w:cs="Arial"/>
          <w:b w:val="0"/>
          <w:bCs w:val="0"/>
          <w:color w:val="auto"/>
          <w:kern w:val="2"/>
          <w:sz w:val="21"/>
          <w:szCs w:val="21"/>
          <w:lang w:val="zh-CN"/>
        </w:rPr>
      </w:sdtEndPr>
      <w:sdtContent>
        <w:p w14:paraId="780949CA">
          <w:pPr>
            <w:pStyle w:val="22"/>
            <w:keepNext w:val="0"/>
            <w:keepLines w:val="0"/>
            <w:widowControl w:val="0"/>
            <w:snapToGrid w:val="0"/>
            <w:spacing w:line="300" w:lineRule="auto"/>
            <w:jc w:val="center"/>
            <w:rPr>
              <w:rFonts w:ascii="Arial" w:hAnsi="Arial" w:eastAsia="宋体" w:cs="Arial"/>
              <w:color w:val="auto"/>
              <w:sz w:val="32"/>
              <w:szCs w:val="32"/>
            </w:rPr>
          </w:pPr>
          <w:r>
            <w:rPr>
              <w:rFonts w:ascii="Arial" w:hAnsi="Arial" w:eastAsia="宋体" w:cs="Arial"/>
              <w:color w:val="auto"/>
              <w:sz w:val="32"/>
              <w:szCs w:val="32"/>
              <w:lang w:val="zh-CN"/>
            </w:rPr>
            <w:t>目录</w:t>
          </w:r>
        </w:p>
        <w:p w14:paraId="0629C1AC">
          <w:pPr>
            <w:pStyle w:val="6"/>
            <w:tabs>
              <w:tab w:val="left" w:pos="420"/>
              <w:tab w:val="right" w:leader="dot" w:pos="9628"/>
            </w:tabs>
            <w:rPr>
              <w:rFonts w:ascii="Arial" w:hAnsi="Arial" w:eastAsia="宋体" w:cs="Arial"/>
            </w:rPr>
          </w:pPr>
          <w:r>
            <w:rPr>
              <w:rFonts w:ascii="Arial" w:hAnsi="Arial" w:eastAsia="宋体" w:cs="Arial"/>
              <w:szCs w:val="21"/>
            </w:rPr>
            <w:fldChar w:fldCharType="begin"/>
          </w:r>
          <w:r>
            <w:rPr>
              <w:rFonts w:ascii="Arial" w:hAnsi="Arial" w:eastAsia="宋体" w:cs="Arial"/>
              <w:szCs w:val="21"/>
            </w:rPr>
            <w:instrText xml:space="preserve"> TOC \o "1-3" \h \z \u </w:instrText>
          </w:r>
          <w:r>
            <w:rPr>
              <w:rFonts w:ascii="Arial" w:hAnsi="Arial" w:eastAsia="宋体" w:cs="Arial"/>
              <w:szCs w:val="21"/>
            </w:rPr>
            <w:fldChar w:fldCharType="separate"/>
          </w:r>
          <w:r>
            <w:fldChar w:fldCharType="begin"/>
          </w:r>
          <w:r>
            <w:instrText xml:space="preserve"> HYPERLINK \l "_Toc483237541" </w:instrText>
          </w:r>
          <w:r>
            <w:fldChar w:fldCharType="separate"/>
          </w:r>
          <w:r>
            <w:rPr>
              <w:rStyle w:val="12"/>
              <w:rFonts w:ascii="Arial" w:hAnsi="Arial" w:eastAsia="宋体" w:cs="Arial"/>
              <w:b/>
            </w:rPr>
            <w:t>1.</w:t>
          </w:r>
          <w:r>
            <w:rPr>
              <w:rFonts w:ascii="Arial" w:hAnsi="Arial" w:eastAsia="宋体" w:cs="Arial"/>
            </w:rPr>
            <w:tab/>
          </w:r>
          <w:r>
            <w:rPr>
              <w:rStyle w:val="12"/>
              <w:rFonts w:ascii="Arial" w:hAnsi="Arial" w:eastAsia="宋体" w:cs="Arial"/>
              <w:b/>
            </w:rPr>
            <w:t>前言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_Toc483237541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9C125B8">
          <w:pPr>
            <w:pStyle w:val="6"/>
            <w:tabs>
              <w:tab w:val="left" w:pos="420"/>
              <w:tab w:val="right" w:leader="dot" w:pos="9628"/>
            </w:tabs>
            <w:rPr>
              <w:rFonts w:ascii="Arial" w:hAnsi="Arial" w:eastAsia="宋体" w:cs="Arial"/>
            </w:rPr>
          </w:pPr>
          <w:r>
            <w:fldChar w:fldCharType="begin"/>
          </w:r>
          <w:r>
            <w:instrText xml:space="preserve"> HYPERLINK \l "_Toc483237542" </w:instrText>
          </w:r>
          <w:r>
            <w:fldChar w:fldCharType="separate"/>
          </w:r>
          <w:r>
            <w:rPr>
              <w:rStyle w:val="12"/>
              <w:rFonts w:ascii="Arial" w:hAnsi="Arial" w:eastAsia="宋体" w:cs="Arial"/>
              <w:b/>
            </w:rPr>
            <w:t>2.</w:t>
          </w:r>
          <w:r>
            <w:rPr>
              <w:rFonts w:ascii="Arial" w:hAnsi="Arial" w:eastAsia="宋体" w:cs="Arial"/>
            </w:rPr>
            <w:tab/>
          </w:r>
          <w:r>
            <w:rPr>
              <w:rStyle w:val="12"/>
              <w:rFonts w:ascii="Arial" w:hAnsi="Arial" w:eastAsia="宋体" w:cs="Arial"/>
              <w:b/>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_Toc483237542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7961613A">
          <w:pPr>
            <w:pStyle w:val="6"/>
            <w:tabs>
              <w:tab w:val="left" w:pos="420"/>
              <w:tab w:val="right" w:leader="dot" w:pos="9628"/>
            </w:tabs>
            <w:rPr>
              <w:rFonts w:ascii="Arial" w:hAnsi="Arial" w:eastAsia="宋体" w:cs="Arial"/>
            </w:rPr>
          </w:pPr>
          <w:r>
            <w:fldChar w:fldCharType="begin"/>
          </w:r>
          <w:r>
            <w:instrText xml:space="preserve"> HYPERLINK \l "_Toc483237543" </w:instrText>
          </w:r>
          <w:r>
            <w:fldChar w:fldCharType="separate"/>
          </w:r>
          <w:r>
            <w:rPr>
              <w:rStyle w:val="12"/>
              <w:rFonts w:ascii="Arial" w:hAnsi="Arial" w:eastAsia="宋体" w:cs="Arial"/>
              <w:b/>
            </w:rPr>
            <w:t>3.</w:t>
          </w:r>
          <w:r>
            <w:rPr>
              <w:rFonts w:ascii="Arial" w:hAnsi="Arial" w:eastAsia="宋体" w:cs="Arial"/>
            </w:rPr>
            <w:tab/>
          </w:r>
          <w:r>
            <w:rPr>
              <w:rStyle w:val="12"/>
              <w:rFonts w:ascii="Arial" w:hAnsi="Arial" w:eastAsia="宋体" w:cs="Arial"/>
              <w:b/>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_Toc483237543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5C4DB09F">
          <w:pPr>
            <w:pStyle w:val="6"/>
            <w:tabs>
              <w:tab w:val="left" w:pos="420"/>
              <w:tab w:val="right" w:leader="dot" w:pos="9628"/>
            </w:tabs>
            <w:rPr>
              <w:rFonts w:ascii="Arial" w:hAnsi="Arial" w:eastAsia="宋体" w:cs="Arial"/>
            </w:rPr>
          </w:pPr>
          <w:r>
            <w:fldChar w:fldCharType="begin"/>
          </w:r>
          <w:r>
            <w:instrText xml:space="preserve"> HYPERLINK \l "_Toc483237544" </w:instrText>
          </w:r>
          <w:r>
            <w:fldChar w:fldCharType="separate"/>
          </w:r>
          <w:r>
            <w:rPr>
              <w:rStyle w:val="12"/>
              <w:rFonts w:ascii="Arial" w:hAnsi="Arial" w:eastAsia="宋体" w:cs="Arial"/>
              <w:b/>
            </w:rPr>
            <w:t>4.</w:t>
          </w:r>
          <w:r>
            <w:rPr>
              <w:rFonts w:ascii="Arial" w:hAnsi="Arial" w:eastAsia="宋体" w:cs="Arial"/>
            </w:rPr>
            <w:tab/>
          </w:r>
          <w:r>
            <w:rPr>
              <w:rStyle w:val="12"/>
              <w:rFonts w:ascii="Arial" w:hAnsi="Arial" w:eastAsia="宋体" w:cs="Arial"/>
              <w:b/>
            </w:rPr>
            <w:t>器械描述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_Toc483237544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67A13876">
          <w:pPr>
            <w:pStyle w:val="6"/>
            <w:tabs>
              <w:tab w:val="left" w:pos="420"/>
              <w:tab w:val="right" w:leader="dot" w:pos="9628"/>
            </w:tabs>
            <w:rPr>
              <w:rFonts w:ascii="Arial" w:hAnsi="Arial" w:eastAsia="宋体" w:cs="Arial"/>
            </w:rPr>
          </w:pPr>
          <w:r>
            <w:fldChar w:fldCharType="begin"/>
          </w:r>
          <w:r>
            <w:instrText xml:space="preserve"> HYPERLINK \l "_Toc483237545" </w:instrText>
          </w:r>
          <w:r>
            <w:fldChar w:fldCharType="separate"/>
          </w:r>
          <w:r>
            <w:rPr>
              <w:rStyle w:val="12"/>
              <w:rFonts w:ascii="Arial" w:hAnsi="Arial" w:eastAsia="宋体" w:cs="Arial"/>
              <w:b/>
            </w:rPr>
            <w:t>5.</w:t>
          </w:r>
          <w:r>
            <w:rPr>
              <w:rFonts w:ascii="Arial" w:hAnsi="Arial" w:eastAsia="宋体" w:cs="Arial"/>
            </w:rPr>
            <w:tab/>
          </w:r>
          <w:r>
            <w:rPr>
              <w:rStyle w:val="12"/>
              <w:rFonts w:ascii="Arial" w:hAnsi="Arial" w:eastAsia="宋体" w:cs="Arial"/>
              <w:b/>
            </w:rPr>
            <w:t>安全保证实例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_Toc483237545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688B2DF2">
          <w:pPr>
            <w:pStyle w:val="8"/>
            <w:tabs>
              <w:tab w:val="left" w:pos="1050"/>
              <w:tab w:val="right" w:leader="dot" w:pos="9628"/>
            </w:tabs>
            <w:rPr>
              <w:rFonts w:ascii="Arial" w:hAnsi="Arial" w:eastAsia="宋体" w:cs="Arial"/>
            </w:rPr>
          </w:pPr>
          <w:r>
            <w:fldChar w:fldCharType="begin"/>
          </w:r>
          <w:r>
            <w:instrText xml:space="preserve"> HYPERLINK \l "_Toc483237546" </w:instrText>
          </w:r>
          <w:r>
            <w:fldChar w:fldCharType="separate"/>
          </w:r>
          <w:r>
            <w:rPr>
              <w:rStyle w:val="12"/>
              <w:rFonts w:ascii="Arial" w:hAnsi="Arial" w:eastAsia="宋体" w:cs="Arial"/>
              <w:b/>
            </w:rPr>
            <w:t>A.</w:t>
          </w:r>
          <w:r>
            <w:rPr>
              <w:rFonts w:ascii="Arial" w:hAnsi="Arial" w:eastAsia="宋体" w:cs="Arial"/>
            </w:rPr>
            <w:tab/>
          </w:r>
          <w:r>
            <w:rPr>
              <w:rStyle w:val="12"/>
              <w:rFonts w:ascii="Arial" w:hAnsi="Arial" w:eastAsia="宋体" w:cs="Arial"/>
              <w:b/>
            </w:rPr>
            <w:t>安全实例开发的一般注意事项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_Toc483237546 \h </w:instrText>
          </w:r>
          <w:r>
            <w:rPr>
              <w:rFonts w:ascii="Arial" w:hAnsi="Arial" w:eastAsia="宋体" w:cs="Arial"/>
            </w:rPr>
            <w:fldChar w:fldCharType="separate"/>
          </w:r>
          <w:r>
            <w:rPr>
              <w:rFonts w:ascii="Arial" w:hAnsi="Arial" w:eastAsia="宋体" w:cs="Arial"/>
            </w:rPr>
            <w:t>10</w:t>
          </w:r>
          <w:r>
            <w:rPr>
              <w:rFonts w:ascii="Arial" w:hAnsi="Arial" w:eastAsia="宋体" w:cs="Arial"/>
            </w:rPr>
            <w:fldChar w:fldCharType="end"/>
          </w:r>
          <w:r>
            <w:rPr>
              <w:rFonts w:ascii="Arial" w:hAnsi="Arial" w:eastAsia="宋体" w:cs="Arial"/>
            </w:rPr>
            <w:fldChar w:fldCharType="end"/>
          </w:r>
        </w:p>
        <w:p w14:paraId="286AD943">
          <w:pPr>
            <w:pStyle w:val="8"/>
            <w:tabs>
              <w:tab w:val="left" w:pos="1050"/>
              <w:tab w:val="right" w:leader="dot" w:pos="9628"/>
            </w:tabs>
            <w:rPr>
              <w:rFonts w:ascii="Arial" w:hAnsi="Arial" w:eastAsia="宋体" w:cs="Arial"/>
            </w:rPr>
          </w:pPr>
          <w:r>
            <w:fldChar w:fldCharType="begin"/>
          </w:r>
          <w:r>
            <w:instrText xml:space="preserve"> HYPERLINK \l "_Toc483237547" </w:instrText>
          </w:r>
          <w:r>
            <w:fldChar w:fldCharType="separate"/>
          </w:r>
          <w:r>
            <w:rPr>
              <w:rStyle w:val="12"/>
              <w:rFonts w:ascii="Arial" w:hAnsi="Arial" w:eastAsia="宋体" w:cs="Arial"/>
              <w:b/>
            </w:rPr>
            <w:t>B.</w:t>
          </w:r>
          <w:r>
            <w:rPr>
              <w:rFonts w:ascii="Arial" w:hAnsi="Arial" w:eastAsia="宋体" w:cs="Arial"/>
            </w:rPr>
            <w:tab/>
          </w:r>
          <w:r>
            <w:rPr>
              <w:rStyle w:val="12"/>
              <w:rFonts w:ascii="Arial" w:hAnsi="Arial" w:eastAsia="宋体" w:cs="Arial"/>
              <w:b/>
            </w:rPr>
            <w:t>危害分析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_Toc483237547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340B89E2">
          <w:pPr>
            <w:pStyle w:val="8"/>
            <w:tabs>
              <w:tab w:val="left" w:pos="1050"/>
              <w:tab w:val="right" w:leader="dot" w:pos="9628"/>
            </w:tabs>
            <w:rPr>
              <w:rFonts w:ascii="Arial" w:hAnsi="Arial" w:eastAsia="宋体" w:cs="Arial"/>
            </w:rPr>
          </w:pPr>
          <w:r>
            <w:fldChar w:fldCharType="begin"/>
          </w:r>
          <w:r>
            <w:instrText xml:space="preserve"> HYPERLINK \l "_Toc483237548" </w:instrText>
          </w:r>
          <w:r>
            <w:fldChar w:fldCharType="separate"/>
          </w:r>
          <w:r>
            <w:rPr>
              <w:rStyle w:val="12"/>
              <w:rFonts w:ascii="Arial" w:hAnsi="Arial" w:eastAsia="宋体" w:cs="Arial"/>
              <w:b/>
            </w:rPr>
            <w:t>C.</w:t>
          </w:r>
          <w:r>
            <w:rPr>
              <w:rFonts w:ascii="Arial" w:hAnsi="Arial" w:eastAsia="宋体" w:cs="Arial"/>
            </w:rPr>
            <w:tab/>
          </w:r>
          <w:r>
            <w:rPr>
              <w:rStyle w:val="12"/>
              <w:rFonts w:ascii="Arial" w:hAnsi="Arial" w:eastAsia="宋体" w:cs="Arial"/>
              <w:b/>
            </w:rPr>
            <w:t>性能测试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_Toc483237548 \h </w:instrText>
          </w:r>
          <w:r>
            <w:rPr>
              <w:rFonts w:ascii="Arial" w:hAnsi="Arial" w:eastAsia="宋体" w:cs="Arial"/>
            </w:rPr>
            <w:fldChar w:fldCharType="separate"/>
          </w:r>
          <w:r>
            <w:rPr>
              <w:rFonts w:ascii="Arial" w:hAnsi="Arial" w:eastAsia="宋体" w:cs="Arial"/>
            </w:rPr>
            <w:t>17</w:t>
          </w:r>
          <w:r>
            <w:rPr>
              <w:rFonts w:ascii="Arial" w:hAnsi="Arial" w:eastAsia="宋体" w:cs="Arial"/>
            </w:rPr>
            <w:fldChar w:fldCharType="end"/>
          </w:r>
          <w:r>
            <w:rPr>
              <w:rFonts w:ascii="Arial" w:hAnsi="Arial" w:eastAsia="宋体" w:cs="Arial"/>
            </w:rPr>
            <w:fldChar w:fldCharType="end"/>
          </w:r>
        </w:p>
        <w:p w14:paraId="6FCCD18B">
          <w:pPr>
            <w:pStyle w:val="8"/>
            <w:tabs>
              <w:tab w:val="left" w:pos="1050"/>
              <w:tab w:val="right" w:leader="dot" w:pos="9628"/>
            </w:tabs>
            <w:rPr>
              <w:rFonts w:ascii="Arial" w:hAnsi="Arial" w:eastAsia="宋体" w:cs="Arial"/>
            </w:rPr>
          </w:pPr>
          <w:r>
            <w:fldChar w:fldCharType="begin"/>
          </w:r>
          <w:r>
            <w:instrText xml:space="preserve"> HYPERLINK \l "_Toc483237549" </w:instrText>
          </w:r>
          <w:r>
            <w:fldChar w:fldCharType="separate"/>
          </w:r>
          <w:r>
            <w:rPr>
              <w:rStyle w:val="12"/>
              <w:rFonts w:ascii="Arial" w:hAnsi="Arial" w:eastAsia="宋体" w:cs="Arial"/>
              <w:b/>
            </w:rPr>
            <w:t>D.</w:t>
          </w:r>
          <w:r>
            <w:rPr>
              <w:rFonts w:ascii="Arial" w:hAnsi="Arial" w:eastAsia="宋体" w:cs="Arial"/>
            </w:rPr>
            <w:tab/>
          </w:r>
          <w:r>
            <w:rPr>
              <w:rStyle w:val="12"/>
              <w:rFonts w:ascii="Arial" w:hAnsi="Arial" w:eastAsia="宋体" w:cs="Arial"/>
              <w:b/>
            </w:rPr>
            <w:t>标识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_Toc483237549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6198A407">
          <w:pPr>
            <w:pStyle w:val="8"/>
            <w:tabs>
              <w:tab w:val="left" w:pos="840"/>
              <w:tab w:val="right" w:leader="dot" w:pos="9628"/>
            </w:tabs>
            <w:rPr>
              <w:rFonts w:ascii="Arial" w:hAnsi="Arial" w:eastAsia="宋体" w:cs="Arial"/>
            </w:rPr>
          </w:pPr>
          <w:r>
            <w:fldChar w:fldCharType="begin"/>
          </w:r>
          <w:r>
            <w:instrText xml:space="preserve"> HYPERLINK \l "_Toc483237550" </w:instrText>
          </w:r>
          <w:r>
            <w:fldChar w:fldCharType="separate"/>
          </w:r>
          <w:r>
            <w:rPr>
              <w:rStyle w:val="12"/>
              <w:rFonts w:ascii="Arial" w:hAnsi="Arial" w:eastAsia="宋体" w:cs="Arial"/>
              <w:b/>
            </w:rPr>
            <w:t>E.</w:t>
          </w:r>
          <w:r>
            <w:rPr>
              <w:rFonts w:ascii="Arial" w:hAnsi="Arial" w:eastAsia="宋体" w:cs="Arial"/>
            </w:rPr>
            <w:tab/>
          </w:r>
          <w:r>
            <w:rPr>
              <w:rStyle w:val="12"/>
              <w:rFonts w:ascii="Arial" w:hAnsi="Arial" w:eastAsia="宋体" w:cs="Arial"/>
              <w:b/>
              <w:iCs/>
            </w:rPr>
            <w:t>警报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_Toc483237550 \h </w:instrText>
          </w:r>
          <w:r>
            <w:rPr>
              <w:rFonts w:ascii="Arial" w:hAnsi="Arial" w:eastAsia="宋体" w:cs="Arial"/>
            </w:rPr>
            <w:fldChar w:fldCharType="separate"/>
          </w:r>
          <w:r>
            <w:rPr>
              <w:rFonts w:ascii="Arial" w:hAnsi="Arial" w:eastAsia="宋体" w:cs="Arial"/>
            </w:rPr>
            <w:t>32</w:t>
          </w:r>
          <w:r>
            <w:rPr>
              <w:rFonts w:ascii="Arial" w:hAnsi="Arial" w:eastAsia="宋体" w:cs="Arial"/>
            </w:rPr>
            <w:fldChar w:fldCharType="end"/>
          </w:r>
          <w:r>
            <w:rPr>
              <w:rFonts w:ascii="Arial" w:hAnsi="Arial" w:eastAsia="宋体" w:cs="Arial"/>
            </w:rPr>
            <w:fldChar w:fldCharType="end"/>
          </w:r>
        </w:p>
        <w:p w14:paraId="784A72AC">
          <w:pPr>
            <w:pStyle w:val="8"/>
            <w:tabs>
              <w:tab w:val="left" w:pos="840"/>
              <w:tab w:val="right" w:leader="dot" w:pos="9628"/>
            </w:tabs>
            <w:rPr>
              <w:rFonts w:ascii="Arial" w:hAnsi="Arial" w:eastAsia="宋体" w:cs="Arial"/>
            </w:rPr>
          </w:pPr>
          <w:r>
            <w:fldChar w:fldCharType="begin"/>
          </w:r>
          <w:r>
            <w:instrText xml:space="preserve"> HYPERLINK \l "_Toc483237551" </w:instrText>
          </w:r>
          <w:r>
            <w:fldChar w:fldCharType="separate"/>
          </w:r>
          <w:r>
            <w:rPr>
              <w:rStyle w:val="12"/>
              <w:rFonts w:ascii="Arial" w:hAnsi="Arial" w:eastAsia="宋体" w:cs="Arial"/>
              <w:b/>
            </w:rPr>
            <w:t>F.</w:t>
          </w:r>
          <w:r>
            <w:rPr>
              <w:rFonts w:ascii="Arial" w:hAnsi="Arial" w:eastAsia="宋体" w:cs="Arial"/>
            </w:rPr>
            <w:tab/>
          </w:r>
          <w:r>
            <w:rPr>
              <w:rStyle w:val="12"/>
              <w:rFonts w:ascii="Arial" w:hAnsi="Arial" w:eastAsia="宋体" w:cs="Arial"/>
              <w:b/>
            </w:rPr>
            <w:t>安全控制机制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_Toc483237551 \h </w:instrText>
          </w:r>
          <w:r>
            <w:rPr>
              <w:rFonts w:ascii="Arial" w:hAnsi="Arial" w:eastAsia="宋体" w:cs="Arial"/>
            </w:rPr>
            <w:fldChar w:fldCharType="separate"/>
          </w:r>
          <w:r>
            <w:rPr>
              <w:rFonts w:ascii="Arial" w:hAnsi="Arial" w:eastAsia="宋体" w:cs="Arial"/>
            </w:rPr>
            <w:t>32</w:t>
          </w:r>
          <w:r>
            <w:rPr>
              <w:rFonts w:ascii="Arial" w:hAnsi="Arial" w:eastAsia="宋体" w:cs="Arial"/>
            </w:rPr>
            <w:fldChar w:fldCharType="end"/>
          </w:r>
          <w:r>
            <w:rPr>
              <w:rFonts w:ascii="Arial" w:hAnsi="Arial" w:eastAsia="宋体" w:cs="Arial"/>
            </w:rPr>
            <w:fldChar w:fldCharType="end"/>
          </w:r>
        </w:p>
        <w:p w14:paraId="32BB1C1D">
          <w:pPr>
            <w:pStyle w:val="6"/>
            <w:tabs>
              <w:tab w:val="left" w:pos="420"/>
              <w:tab w:val="right" w:leader="dot" w:pos="9628"/>
            </w:tabs>
            <w:rPr>
              <w:rFonts w:ascii="Arial" w:hAnsi="Arial" w:eastAsia="宋体" w:cs="Arial"/>
            </w:rPr>
          </w:pPr>
          <w:r>
            <w:fldChar w:fldCharType="begin"/>
          </w:r>
          <w:r>
            <w:instrText xml:space="preserve"> HYPERLINK \l "_Toc483237552" </w:instrText>
          </w:r>
          <w:r>
            <w:fldChar w:fldCharType="separate"/>
          </w:r>
          <w:r>
            <w:rPr>
              <w:rStyle w:val="12"/>
              <w:rFonts w:ascii="Arial" w:hAnsi="Arial" w:eastAsia="宋体" w:cs="Arial"/>
              <w:b/>
            </w:rPr>
            <w:t>6.</w:t>
          </w:r>
          <w:r>
            <w:rPr>
              <w:rFonts w:ascii="Arial" w:hAnsi="Arial" w:eastAsia="宋体" w:cs="Arial"/>
            </w:rPr>
            <w:tab/>
          </w:r>
          <w:r>
            <w:rPr>
              <w:rStyle w:val="12"/>
              <w:rFonts w:ascii="Arial" w:hAnsi="Arial" w:eastAsia="宋体" w:cs="Arial"/>
              <w:b/>
            </w:rPr>
            <w:t>输液泵制造商的510（k）预检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_Toc483237552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rPr>
            <w:fldChar w:fldCharType="end"/>
          </w:r>
        </w:p>
        <w:p w14:paraId="597E2D7D">
          <w:pPr>
            <w:pStyle w:val="6"/>
            <w:tabs>
              <w:tab w:val="left" w:pos="420"/>
              <w:tab w:val="right" w:leader="dot" w:pos="9628"/>
            </w:tabs>
            <w:rPr>
              <w:rFonts w:ascii="Arial" w:hAnsi="Arial" w:eastAsia="宋体" w:cs="Arial"/>
            </w:rPr>
          </w:pPr>
          <w:r>
            <w:fldChar w:fldCharType="begin"/>
          </w:r>
          <w:r>
            <w:instrText xml:space="preserve"> HYPERLINK \l "_Toc483237553" </w:instrText>
          </w:r>
          <w:r>
            <w:fldChar w:fldCharType="separate"/>
          </w:r>
          <w:r>
            <w:rPr>
              <w:rStyle w:val="12"/>
              <w:rFonts w:ascii="Arial" w:hAnsi="Arial" w:eastAsia="宋体" w:cs="Arial"/>
              <w:b/>
            </w:rPr>
            <w:t>7.</w:t>
          </w:r>
          <w:r>
            <w:rPr>
              <w:rFonts w:ascii="Arial" w:hAnsi="Arial" w:eastAsia="宋体" w:cs="Arial"/>
            </w:rPr>
            <w:tab/>
          </w:r>
          <w:r>
            <w:rPr>
              <w:rStyle w:val="12"/>
              <w:rFonts w:ascii="Arial" w:hAnsi="Arial" w:eastAsia="宋体" w:cs="Arial"/>
              <w:b/>
            </w:rPr>
            <w:t>输液泵上市后监管</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_Toc483237553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3D5EEB8C">
          <w:pPr>
            <w:pStyle w:val="6"/>
            <w:tabs>
              <w:tab w:val="left" w:pos="420"/>
              <w:tab w:val="right" w:leader="dot" w:pos="9628"/>
            </w:tabs>
            <w:rPr>
              <w:rFonts w:ascii="Arial" w:hAnsi="Arial" w:eastAsia="宋体" w:cs="Arial"/>
            </w:rPr>
          </w:pPr>
          <w:r>
            <w:fldChar w:fldCharType="begin"/>
          </w:r>
          <w:r>
            <w:instrText xml:space="preserve"> HYPERLINK \l "_Toc483237554" </w:instrText>
          </w:r>
          <w:r>
            <w:fldChar w:fldCharType="separate"/>
          </w:r>
          <w:r>
            <w:rPr>
              <w:rStyle w:val="12"/>
              <w:rFonts w:ascii="Arial" w:hAnsi="Arial" w:eastAsia="宋体" w:cs="Arial"/>
              <w:b/>
            </w:rPr>
            <w:t>8.</w:t>
          </w:r>
          <w:r>
            <w:rPr>
              <w:rFonts w:ascii="Arial" w:hAnsi="Arial" w:eastAsia="宋体" w:cs="Arial"/>
            </w:rPr>
            <w:tab/>
          </w:r>
          <w:r>
            <w:rPr>
              <w:rStyle w:val="12"/>
              <w:rFonts w:ascii="Arial" w:hAnsi="Arial" w:eastAsia="宋体" w:cs="Arial"/>
              <w:b/>
            </w:rPr>
            <w:t>1995年“文书削减法”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_Toc483237554 \h </w:instrText>
          </w:r>
          <w:r>
            <w:rPr>
              <w:rFonts w:ascii="Arial" w:hAnsi="Arial" w:eastAsia="宋体" w:cs="Arial"/>
            </w:rPr>
            <w:fldChar w:fldCharType="separate"/>
          </w:r>
          <w:r>
            <w:rPr>
              <w:rFonts w:ascii="Arial" w:hAnsi="Arial" w:eastAsia="宋体" w:cs="Arial"/>
            </w:rPr>
            <w:t>36</w:t>
          </w:r>
          <w:r>
            <w:rPr>
              <w:rFonts w:ascii="Arial" w:hAnsi="Arial" w:eastAsia="宋体" w:cs="Arial"/>
            </w:rPr>
            <w:fldChar w:fldCharType="end"/>
          </w:r>
          <w:r>
            <w:rPr>
              <w:rFonts w:ascii="Arial" w:hAnsi="Arial" w:eastAsia="宋体" w:cs="Arial"/>
            </w:rPr>
            <w:fldChar w:fldCharType="end"/>
          </w:r>
        </w:p>
        <w:p w14:paraId="0163E3BC">
          <w:pPr>
            <w:snapToGrid w:val="0"/>
            <w:spacing w:line="300" w:lineRule="auto"/>
            <w:rPr>
              <w:rFonts w:ascii="Arial" w:hAnsi="Arial" w:eastAsia="宋体" w:cs="Arial"/>
              <w:szCs w:val="21"/>
            </w:rPr>
          </w:pPr>
          <w:r>
            <w:rPr>
              <w:rFonts w:ascii="Arial" w:hAnsi="Arial" w:eastAsia="宋体" w:cs="Arial"/>
              <w:b/>
              <w:bCs/>
              <w:szCs w:val="21"/>
              <w:lang w:val="zh-CN"/>
            </w:rPr>
            <w:fldChar w:fldCharType="end"/>
          </w:r>
        </w:p>
      </w:sdtContent>
    </w:sdt>
    <w:p w14:paraId="7DC41201">
      <w:pPr>
        <w:snapToGrid w:val="0"/>
        <w:spacing w:after="156" w:afterLines="50" w:line="300" w:lineRule="auto"/>
        <w:rPr>
          <w:rFonts w:ascii="Arial" w:hAnsi="Arial" w:eastAsia="宋体" w:cs="Arial"/>
          <w:szCs w:val="21"/>
        </w:rPr>
      </w:pPr>
    </w:p>
    <w:p w14:paraId="07A5669E">
      <w:pPr>
        <w:snapToGrid w:val="0"/>
        <w:spacing w:after="156" w:afterLines="50" w:line="300" w:lineRule="auto"/>
        <w:rPr>
          <w:rFonts w:ascii="Arial" w:hAnsi="Arial" w:eastAsia="宋体" w:cs="Arial"/>
          <w:szCs w:val="21"/>
        </w:rPr>
      </w:pPr>
    </w:p>
    <w:p w14:paraId="453F7220">
      <w:pPr>
        <w:snapToGrid w:val="0"/>
        <w:spacing w:after="156" w:afterLines="50" w:line="300" w:lineRule="auto"/>
        <w:rPr>
          <w:rFonts w:ascii="Arial" w:hAnsi="Arial" w:eastAsia="宋体" w:cs="Arial"/>
          <w:szCs w:val="21"/>
        </w:rPr>
      </w:pPr>
    </w:p>
    <w:p w14:paraId="2BC4AE79">
      <w:pPr>
        <w:snapToGrid w:val="0"/>
        <w:spacing w:after="156" w:afterLines="50" w:line="300" w:lineRule="auto"/>
        <w:rPr>
          <w:rFonts w:ascii="Arial" w:hAnsi="Arial" w:eastAsia="宋体" w:cs="Arial"/>
          <w:szCs w:val="21"/>
        </w:rPr>
      </w:pPr>
    </w:p>
    <w:p w14:paraId="60E221A0">
      <w:pPr>
        <w:snapToGrid w:val="0"/>
        <w:spacing w:after="156" w:afterLines="50" w:line="300" w:lineRule="auto"/>
        <w:rPr>
          <w:rFonts w:ascii="Arial" w:hAnsi="Arial" w:eastAsia="宋体" w:cs="Arial"/>
          <w:szCs w:val="21"/>
        </w:rPr>
      </w:pPr>
    </w:p>
    <w:p w14:paraId="2FE83CEC">
      <w:pPr>
        <w:snapToGrid w:val="0"/>
        <w:spacing w:after="156" w:afterLines="50" w:line="300" w:lineRule="auto"/>
        <w:rPr>
          <w:rFonts w:ascii="Arial" w:hAnsi="Arial" w:eastAsia="宋体" w:cs="Arial"/>
          <w:szCs w:val="21"/>
        </w:rPr>
      </w:pPr>
    </w:p>
    <w:p w14:paraId="7325C2B7">
      <w:pPr>
        <w:snapToGrid w:val="0"/>
        <w:spacing w:after="156" w:afterLines="50" w:line="300" w:lineRule="auto"/>
        <w:rPr>
          <w:rFonts w:ascii="Arial" w:hAnsi="Arial" w:eastAsia="宋体" w:cs="Arial"/>
          <w:szCs w:val="21"/>
        </w:rPr>
      </w:pPr>
    </w:p>
    <w:p w14:paraId="10229583">
      <w:pPr>
        <w:snapToGrid w:val="0"/>
        <w:spacing w:after="156" w:afterLines="50" w:line="300" w:lineRule="auto"/>
        <w:rPr>
          <w:rFonts w:ascii="Arial" w:hAnsi="Arial" w:eastAsia="宋体" w:cs="Arial"/>
          <w:szCs w:val="21"/>
        </w:rPr>
      </w:pPr>
    </w:p>
    <w:p w14:paraId="19108DFF">
      <w:pPr>
        <w:snapToGrid w:val="0"/>
        <w:spacing w:after="156" w:afterLines="50" w:line="300" w:lineRule="auto"/>
        <w:rPr>
          <w:rFonts w:ascii="Arial" w:hAnsi="Arial" w:eastAsia="宋体" w:cs="Arial"/>
          <w:szCs w:val="21"/>
        </w:rPr>
      </w:pPr>
    </w:p>
    <w:p w14:paraId="36CAD07D">
      <w:pPr>
        <w:snapToGrid w:val="0"/>
        <w:spacing w:after="156" w:afterLines="50" w:line="300" w:lineRule="auto"/>
        <w:rPr>
          <w:rFonts w:ascii="Arial" w:hAnsi="Arial" w:eastAsia="宋体" w:cs="Arial"/>
          <w:szCs w:val="21"/>
        </w:rPr>
      </w:pPr>
    </w:p>
    <w:p w14:paraId="39AD4C79">
      <w:pPr>
        <w:snapToGrid w:val="0"/>
        <w:spacing w:after="156" w:afterLines="50" w:line="300" w:lineRule="auto"/>
        <w:rPr>
          <w:rFonts w:ascii="Arial" w:hAnsi="Arial" w:eastAsia="宋体" w:cs="Arial"/>
          <w:szCs w:val="21"/>
        </w:rPr>
      </w:pPr>
    </w:p>
    <w:p w14:paraId="64C82791">
      <w:pPr>
        <w:snapToGrid w:val="0"/>
        <w:spacing w:after="156" w:afterLines="50" w:line="300" w:lineRule="auto"/>
        <w:rPr>
          <w:rFonts w:ascii="Arial" w:hAnsi="Arial" w:eastAsia="宋体" w:cs="Arial"/>
          <w:szCs w:val="21"/>
        </w:rPr>
      </w:pPr>
    </w:p>
    <w:p w14:paraId="4562DFC4">
      <w:pPr>
        <w:snapToGrid w:val="0"/>
        <w:spacing w:after="156" w:afterLines="50" w:line="300" w:lineRule="auto"/>
        <w:rPr>
          <w:rFonts w:ascii="Arial" w:hAnsi="Arial" w:eastAsia="宋体" w:cs="Arial"/>
          <w:szCs w:val="21"/>
        </w:rPr>
      </w:pPr>
    </w:p>
    <w:p w14:paraId="766537E9">
      <w:pPr>
        <w:snapToGrid w:val="0"/>
        <w:spacing w:after="156" w:afterLines="50" w:line="300" w:lineRule="auto"/>
        <w:rPr>
          <w:rFonts w:ascii="Arial" w:hAnsi="Arial" w:eastAsia="宋体" w:cs="Arial"/>
          <w:szCs w:val="21"/>
        </w:rPr>
      </w:pPr>
    </w:p>
    <w:p w14:paraId="4AA6056C">
      <w:pPr>
        <w:snapToGrid w:val="0"/>
        <w:spacing w:after="156" w:afterLines="50" w:line="300" w:lineRule="auto"/>
        <w:rPr>
          <w:rFonts w:ascii="Arial" w:hAnsi="Arial" w:eastAsia="宋体" w:cs="Arial"/>
          <w:szCs w:val="21"/>
        </w:rPr>
      </w:pPr>
    </w:p>
    <w:p w14:paraId="0434B157">
      <w:pPr>
        <w:widowControl/>
        <w:jc w:val="left"/>
        <w:rPr>
          <w:rFonts w:ascii="Arial" w:hAnsi="Arial" w:eastAsia="宋体" w:cs="Arial"/>
          <w:b/>
          <w:sz w:val="48"/>
          <w:szCs w:val="48"/>
        </w:rPr>
      </w:pPr>
      <w:bookmarkStart w:id="0" w:name="OLE_LINK15"/>
      <w:bookmarkStart w:id="1" w:name="OLE_LINK16"/>
      <w:r>
        <w:rPr>
          <w:rFonts w:ascii="Arial" w:hAnsi="Arial" w:eastAsia="宋体" w:cs="Arial"/>
          <w:b/>
          <w:sz w:val="48"/>
          <w:szCs w:val="48"/>
        </w:rPr>
        <w:br w:type="page"/>
      </w:r>
    </w:p>
    <w:p w14:paraId="3456CAC9">
      <w:pPr>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443230</wp:posOffset>
                </wp:positionV>
                <wp:extent cx="6124575" cy="0"/>
                <wp:effectExtent l="0" t="0" r="28575" b="19050"/>
                <wp:wrapNone/>
                <wp:docPr id="9" name="直接连接符 9"/>
                <wp:cNvGraphicFramePr/>
                <a:graphic xmlns:a="http://schemas.openxmlformats.org/drawingml/2006/main">
                  <a:graphicData uri="http://schemas.microsoft.com/office/word/2010/wordprocessingShape">
                    <wps:wsp>
                      <wps:cNvCnPr/>
                      <wps:spPr>
                        <a:xfrm>
                          <a:off x="0" y="0"/>
                          <a:ext cx="6124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34.9pt;height:0pt;width:482.25pt;z-index:251661312;mso-width-relative:page;mso-height-relative:page;" filled="f" stroked="t" coordsize="21600,21600" o:gfxdata="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Q75bXWAAAACAEAAA8AAAAAAAAAAQAg&#10;AAAAIgAAAGRycy9kb3ducmV2LnhtbFBLAQIUABQAAAAIAIdO4kCyNAWR1wEAAJoDAAAOAAAAAAAA&#10;AAEAIAAAACUBAABkcnMvZTJvRG9jLnhtbFBLBQYAAAAABgAGAFkBAABuBQAAAAA=&#10;">
                <v:fill on="f" focussize="0,0"/>
                <v:stroke color="#000000 [3213]" joinstyle="round"/>
                <v:imagedata o:title=""/>
                <o:lock v:ext="edit" aspectratio="f"/>
              </v:line>
            </w:pict>
          </mc:Fallback>
        </mc:AlternateContent>
      </w:r>
      <w:r>
        <w:rPr>
          <w:rFonts w:ascii="Arial" w:hAnsi="Arial" w:eastAsia="宋体" w:cs="Arial"/>
          <w:b/>
          <w:sz w:val="48"/>
          <w:szCs w:val="48"/>
        </w:rPr>
        <w:t>输液泵</w:t>
      </w:r>
      <w:bookmarkEnd w:id="0"/>
      <w:bookmarkEnd w:id="1"/>
      <w:r>
        <w:rPr>
          <w:rFonts w:ascii="Arial" w:hAnsi="Arial" w:eastAsia="宋体" w:cs="Arial"/>
          <w:b/>
          <w:sz w:val="48"/>
          <w:szCs w:val="48"/>
        </w:rPr>
        <w:t>产品生命周期</w:t>
      </w:r>
    </w:p>
    <w:p w14:paraId="09B81637">
      <w:pPr>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w:t>行业和FDA员工指南</w:t>
      </w:r>
    </w:p>
    <w:p w14:paraId="0E9E7A0D">
      <w:pPr>
        <w:pBdr>
          <w:top w:val="single" w:color="auto" w:sz="36" w:space="1"/>
          <w:left w:val="single" w:color="auto" w:sz="36" w:space="1"/>
          <w:bottom w:val="single" w:color="auto" w:sz="36" w:space="1"/>
          <w:right w:val="single" w:color="auto" w:sz="36" w:space="4"/>
        </w:pBdr>
        <w:spacing w:line="280" w:lineRule="exact"/>
        <w:rPr>
          <w:i/>
          <w:szCs w:val="21"/>
        </w:rPr>
      </w:pPr>
      <w:r>
        <w:rPr>
          <w:rFonts w:hint="eastAsia"/>
          <w:i/>
          <w:szCs w:val="21"/>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适当的电话号码。</w:t>
      </w:r>
    </w:p>
    <w:p w14:paraId="693B5917">
      <w:pPr>
        <w:snapToGrid w:val="0"/>
        <w:spacing w:after="156" w:afterLines="50" w:line="300" w:lineRule="auto"/>
        <w:rPr>
          <w:rFonts w:ascii="Arial" w:hAnsi="Arial" w:eastAsia="宋体" w:cs="Arial"/>
          <w:b/>
          <w:szCs w:val="21"/>
        </w:rPr>
      </w:pPr>
    </w:p>
    <w:p w14:paraId="39C349B0">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2" w:name="_Toc483237541"/>
      <w:r>
        <w:rPr>
          <w:rFonts w:ascii="Arial" w:hAnsi="Arial" w:eastAsia="宋体" w:cs="Arial"/>
          <w:b/>
          <w:sz w:val="28"/>
          <w:szCs w:val="28"/>
        </w:rPr>
        <w:t>前言</w:t>
      </w:r>
      <w:bookmarkEnd w:id="2"/>
    </w:p>
    <w:p w14:paraId="0D2409FB">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食品药品监督管理局（FDA）制定了本指导性文件，协助行业输液泵的上市前提交材料的准备，并确定制造商在整个产品生命周期中应</w:t>
      </w:r>
      <w:r>
        <w:rPr>
          <w:rFonts w:hint="eastAsia" w:ascii="Arial" w:hAnsi="Arial" w:eastAsia="宋体" w:cs="Arial"/>
          <w:szCs w:val="21"/>
        </w:rPr>
        <w:t>解决</w:t>
      </w:r>
      <w:r>
        <w:rPr>
          <w:rFonts w:ascii="Arial" w:hAnsi="Arial" w:eastAsia="宋体" w:cs="Arial"/>
          <w:szCs w:val="21"/>
        </w:rPr>
        <w:t>的器械特征。如21 CFR 880.5725所述，输液泵</w:t>
      </w:r>
      <w:r>
        <w:rPr>
          <w:rFonts w:hint="eastAsia" w:ascii="Arial" w:hAnsi="Arial" w:eastAsia="宋体" w:cs="Arial"/>
          <w:szCs w:val="21"/>
        </w:rPr>
        <w:t>预期</w:t>
      </w:r>
      <w:r>
        <w:rPr>
          <w:rFonts w:ascii="Arial" w:hAnsi="Arial" w:eastAsia="宋体" w:cs="Arial"/>
          <w:szCs w:val="21"/>
        </w:rPr>
        <w:t>用于医疗机构，以可控的方式将液体</w:t>
      </w:r>
      <w:r>
        <w:rPr>
          <w:rStyle w:val="13"/>
          <w:rFonts w:ascii="Arial" w:hAnsi="Arial" w:eastAsia="宋体" w:cs="Arial"/>
          <w:szCs w:val="21"/>
        </w:rPr>
        <w:footnoteReference w:id="0"/>
      </w:r>
      <w:r>
        <w:rPr>
          <w:rFonts w:ascii="Arial" w:hAnsi="Arial" w:eastAsia="宋体" w:cs="Arial"/>
          <w:szCs w:val="21"/>
        </w:rPr>
        <w:t>泵入患者</w:t>
      </w:r>
      <w:r>
        <w:rPr>
          <w:rStyle w:val="13"/>
          <w:rFonts w:ascii="Arial" w:hAnsi="Arial" w:eastAsia="宋体" w:cs="Arial"/>
          <w:szCs w:val="21"/>
        </w:rPr>
        <w:footnoteReference w:id="1"/>
      </w:r>
      <w:r>
        <w:rPr>
          <w:rFonts w:ascii="Arial" w:hAnsi="Arial" w:eastAsia="宋体" w:cs="Arial"/>
          <w:szCs w:val="21"/>
        </w:rPr>
        <w:t>。</w:t>
      </w:r>
    </w:p>
    <w:p w14:paraId="46CD1A51">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本指南中的建议旨在提高输液泵的质量，以减少与其使用相关的召回次数和不良事件。FDA认为，这些建议将有助于缓解目前的风险，并减少与输液泵相关的未来风险。</w:t>
      </w:r>
    </w:p>
    <w:p w14:paraId="516432D8">
      <w:pPr>
        <w:pStyle w:val="17"/>
        <w:snapToGrid w:val="0"/>
        <w:spacing w:after="156" w:afterLines="50" w:line="300" w:lineRule="auto"/>
        <w:ind w:left="360" w:firstLine="0" w:firstLineChars="0"/>
        <w:rPr>
          <w:rFonts w:ascii="Arial" w:hAnsi="Arial" w:eastAsia="宋体" w:cs="Arial"/>
          <w:szCs w:val="21"/>
        </w:rPr>
      </w:pPr>
      <w:r>
        <w:rPr>
          <w:rFonts w:hint="eastAsia" w:ascii="Arial" w:hAnsi="Arial" w:eastAsia="宋体" w:cs="Arial"/>
          <w:szCs w:val="21"/>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0FC43045">
      <w:pPr>
        <w:widowControl/>
        <w:jc w:val="left"/>
        <w:rPr>
          <w:rFonts w:ascii="Arial" w:hAnsi="Arial" w:eastAsia="宋体" w:cs="Arial"/>
          <w:b/>
          <w:sz w:val="28"/>
          <w:szCs w:val="28"/>
        </w:rPr>
      </w:pPr>
      <w:r>
        <w:rPr>
          <w:rFonts w:ascii="Arial" w:hAnsi="Arial" w:eastAsia="宋体" w:cs="Arial"/>
          <w:b/>
          <w:sz w:val="28"/>
          <w:szCs w:val="28"/>
        </w:rPr>
        <w:br w:type="page"/>
      </w:r>
    </w:p>
    <w:p w14:paraId="6198F060">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3" w:name="_Toc483237542"/>
      <w:r>
        <w:rPr>
          <w:rFonts w:ascii="Arial" w:hAnsi="Arial" w:eastAsia="宋体" w:cs="Arial"/>
          <w:b/>
          <w:sz w:val="28"/>
          <w:szCs w:val="28"/>
        </w:rPr>
        <w:t>背景</w:t>
      </w:r>
      <w:bookmarkEnd w:id="3"/>
    </w:p>
    <w:p w14:paraId="672C5A9F">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FDA已经对不同制造商的输液泵进行广泛评估，并且发现器械软件、人为因素、可靠性和制造问题。根据报告的不良事件和召回的评估，FDA认为通过改进这些器械的设计验证和确认过程可以避免许多伤害和不良事件。最常见报告的输液泵器械问题是：软件错误信息、人为因素（例如与使用说明书、培训和其他用户界面问题相关的错误使用）、组件损坏、电池故障、报警故障、过多输液和过少输液。在一些报告中，制造商无法确定或识别问题，并将问题报告为</w:t>
      </w:r>
      <w:r>
        <w:rPr>
          <w:rFonts w:ascii="宋体" w:hAnsi="宋体" w:eastAsia="宋体" w:cs="Arial"/>
          <w:szCs w:val="21"/>
        </w:rPr>
        <w:t>“</w:t>
      </w:r>
      <w:r>
        <w:rPr>
          <w:rFonts w:ascii="Arial" w:hAnsi="Arial" w:eastAsia="宋体" w:cs="Arial"/>
          <w:szCs w:val="21"/>
        </w:rPr>
        <w:t>未知</w:t>
      </w:r>
      <w:r>
        <w:rPr>
          <w:rFonts w:ascii="宋体" w:hAnsi="宋体" w:eastAsia="宋体" w:cs="Arial"/>
          <w:szCs w:val="21"/>
        </w:rPr>
        <w:t>”</w:t>
      </w:r>
      <w:r>
        <w:rPr>
          <w:rFonts w:ascii="Arial" w:hAnsi="Arial" w:eastAsia="宋体" w:cs="Arial"/>
          <w:szCs w:val="21"/>
        </w:rPr>
        <w:t>。随后的分析显示，许多</w:t>
      </w:r>
      <w:r>
        <w:rPr>
          <w:rFonts w:hint="eastAsia" w:ascii="Arial" w:hAnsi="Arial" w:eastAsia="宋体" w:cs="Arial"/>
          <w:szCs w:val="21"/>
        </w:rPr>
        <w:t>问题</w:t>
      </w:r>
      <w:r>
        <w:rPr>
          <w:rFonts w:ascii="Arial" w:hAnsi="Arial" w:eastAsia="宋体" w:cs="Arial"/>
          <w:szCs w:val="21"/>
        </w:rPr>
        <w:t>与设计过程中可能会纠正的设计问题有关。本指南旨在提高输液泵的质量，从而降低这些问题的发生率。</w:t>
      </w:r>
    </w:p>
    <w:p w14:paraId="6C803E62">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4" w:name="_Toc483237543"/>
      <w:r>
        <w:rPr>
          <w:rFonts w:ascii="Arial" w:hAnsi="Arial" w:eastAsia="宋体" w:cs="Arial"/>
          <w:b/>
          <w:sz w:val="28"/>
          <w:szCs w:val="28"/>
        </w:rPr>
        <w:t>范围</w:t>
      </w:r>
      <w:bookmarkEnd w:id="4"/>
    </w:p>
    <w:p w14:paraId="71E7A63D">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本文件的范围仅限于分类为</w:t>
      </w:r>
      <w:r>
        <w:rPr>
          <w:rFonts w:ascii="宋体" w:hAnsi="宋体" w:eastAsia="宋体" w:cs="Arial"/>
          <w:szCs w:val="21"/>
        </w:rPr>
        <w:t>“</w:t>
      </w:r>
      <w:r>
        <w:rPr>
          <w:rFonts w:ascii="Arial" w:hAnsi="Arial" w:eastAsia="宋体" w:cs="Arial"/>
          <w:szCs w:val="21"/>
        </w:rPr>
        <w:t>21 CFR 880.5725</w:t>
      </w:r>
      <w:r>
        <w:rPr>
          <w:rFonts w:ascii="宋体" w:hAnsi="宋体" w:eastAsia="宋体" w:cs="Arial"/>
          <w:szCs w:val="21"/>
        </w:rPr>
        <w:t>”</w:t>
      </w:r>
      <w:r>
        <w:rPr>
          <w:rFonts w:ascii="Arial" w:hAnsi="Arial" w:eastAsia="宋体" w:cs="Arial"/>
          <w:szCs w:val="21"/>
        </w:rPr>
        <w:t>的II类器械，其中包括表1所列产品代码的器械。列出的产品代码是目前在21 CFR 880.5725范围内的产品代码。按照本指南公布后的21 CFR 880.5725下创建的未来产品代码分类的器械在本指导性文件的范围内。</w:t>
      </w:r>
    </w:p>
    <w:p w14:paraId="42ABCC02">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值得注意的是，作为III类系统一部分提交的输液泵需要经过上市前批准申请（PMA）途径。虽然本指南可能提供有关输液泵作为PMA提交</w:t>
      </w:r>
      <w:r>
        <w:rPr>
          <w:rFonts w:hint="eastAsia" w:ascii="Arial" w:hAnsi="Arial" w:eastAsia="宋体" w:cs="Arial"/>
          <w:szCs w:val="21"/>
        </w:rPr>
        <w:t>的</w:t>
      </w:r>
      <w:r>
        <w:rPr>
          <w:rFonts w:ascii="Arial" w:hAnsi="Arial" w:eastAsia="宋体" w:cs="Arial"/>
          <w:szCs w:val="21"/>
        </w:rPr>
        <w:t>一部分所要考虑</w:t>
      </w:r>
      <w:r>
        <w:rPr>
          <w:rFonts w:hint="eastAsia" w:ascii="Arial" w:hAnsi="Arial" w:eastAsia="宋体" w:cs="Arial"/>
          <w:szCs w:val="21"/>
        </w:rPr>
        <w:t>内容</w:t>
      </w:r>
      <w:r>
        <w:rPr>
          <w:rFonts w:ascii="Arial" w:hAnsi="Arial" w:eastAsia="宋体" w:cs="Arial"/>
          <w:szCs w:val="21"/>
        </w:rPr>
        <w:t>的有价值信息，例如</w:t>
      </w:r>
      <w:r>
        <w:rPr>
          <w:rFonts w:hint="eastAsia" w:ascii="Arial" w:hAnsi="Arial" w:eastAsia="宋体" w:cs="Arial"/>
          <w:szCs w:val="21"/>
        </w:rPr>
        <w:t>危害</w:t>
      </w:r>
      <w:r>
        <w:rPr>
          <w:rFonts w:ascii="Arial" w:hAnsi="Arial" w:eastAsia="宋体" w:cs="Arial"/>
          <w:szCs w:val="21"/>
        </w:rPr>
        <w:t>识别和危害处境的来源，但不是本指南中所提及</w:t>
      </w:r>
      <w:r>
        <w:rPr>
          <w:rFonts w:hint="eastAsia" w:ascii="Arial" w:hAnsi="Arial" w:eastAsia="宋体" w:cs="Arial"/>
          <w:szCs w:val="21"/>
        </w:rPr>
        <w:t>和</w:t>
      </w:r>
      <w:r>
        <w:rPr>
          <w:rFonts w:ascii="Arial" w:hAnsi="Arial" w:eastAsia="宋体" w:cs="Arial"/>
          <w:szCs w:val="21"/>
        </w:rPr>
        <w:t>建议510（k）提交的所有项目都与PMA提交有关。另外，PMA需要的其他项目不会作为510（k）提交材料的一部分。</w:t>
      </w:r>
    </w:p>
    <w:p w14:paraId="7CFC0483">
      <w:pPr>
        <w:pStyle w:val="17"/>
        <w:snapToGrid w:val="0"/>
        <w:spacing w:after="156" w:afterLines="50" w:line="300" w:lineRule="auto"/>
        <w:ind w:left="360" w:firstLine="0" w:firstLineChars="0"/>
        <w:rPr>
          <w:rFonts w:ascii="Arial" w:hAnsi="Arial" w:eastAsia="宋体" w:cs="Arial"/>
          <w:b/>
          <w:bCs/>
          <w:szCs w:val="21"/>
        </w:rPr>
      </w:pPr>
      <w:r>
        <w:rPr>
          <w:rFonts w:ascii="Arial" w:hAnsi="Arial" w:eastAsia="宋体" w:cs="Arial"/>
          <w:b/>
          <w:bCs/>
          <w:szCs w:val="21"/>
        </w:rPr>
        <w:t>§ 880.5725输液泵</w:t>
      </w:r>
    </w:p>
    <w:p w14:paraId="213B80D1">
      <w:pPr>
        <w:pStyle w:val="17"/>
        <w:numPr>
          <w:ilvl w:val="0"/>
          <w:numId w:val="2"/>
        </w:numPr>
        <w:snapToGrid w:val="0"/>
        <w:spacing w:after="156" w:afterLines="50" w:line="300" w:lineRule="auto"/>
        <w:ind w:firstLineChars="0"/>
        <w:rPr>
          <w:rFonts w:ascii="Arial" w:hAnsi="Arial" w:eastAsia="宋体" w:cs="Arial"/>
          <w:b/>
          <w:szCs w:val="21"/>
        </w:rPr>
      </w:pPr>
      <w:r>
        <w:rPr>
          <w:rFonts w:hint="eastAsia" w:ascii="Arial" w:hAnsi="Arial" w:eastAsia="宋体" w:cs="Arial"/>
          <w:b/>
          <w:szCs w:val="21"/>
        </w:rPr>
        <w:t>鉴别。输液泵是一种用于医疗设施中的器械，以受控方式将液体输送到患者体内。该器械可以使用活塞泵、滚子泵或蠕动泵，并且可以是电动或机械驱动。该器械还可以使用恒定的力来驱动</w:t>
      </w:r>
      <w:r>
        <w:rPr>
          <w:rFonts w:ascii="Arial" w:hAnsi="Arial" w:eastAsia="宋体" w:cs="Arial"/>
          <w:b/>
          <w:szCs w:val="21"/>
        </w:rPr>
        <w:t>液体</w:t>
      </w:r>
      <w:r>
        <w:rPr>
          <w:rFonts w:hint="eastAsia" w:ascii="Arial" w:hAnsi="Arial" w:eastAsia="宋体" w:cs="Arial"/>
          <w:b/>
          <w:szCs w:val="21"/>
        </w:rPr>
        <w:t>通过特定流速的窄管。该器械可以包括检测输液管线的故障状况，例如进入空气或堵塞，并启动警报的方式。</w:t>
      </w:r>
    </w:p>
    <w:p w14:paraId="0B80766F">
      <w:pPr>
        <w:pStyle w:val="17"/>
        <w:numPr>
          <w:ilvl w:val="0"/>
          <w:numId w:val="2"/>
        </w:numPr>
        <w:snapToGrid w:val="0"/>
        <w:spacing w:after="156" w:afterLines="50" w:line="300" w:lineRule="auto"/>
        <w:ind w:firstLineChars="0"/>
        <w:rPr>
          <w:rFonts w:ascii="Arial" w:hAnsi="Arial" w:eastAsia="宋体" w:cs="Arial"/>
          <w:b/>
          <w:szCs w:val="21"/>
        </w:rPr>
      </w:pPr>
      <w:r>
        <w:rPr>
          <w:rFonts w:hint="eastAsia" w:ascii="Arial" w:hAnsi="Arial" w:eastAsia="宋体" w:cs="Arial"/>
          <w:b/>
          <w:szCs w:val="21"/>
        </w:rPr>
        <w:t>分类。Ⅱ类（性能标准）。</w:t>
      </w:r>
    </w:p>
    <w:p w14:paraId="5C32298F">
      <w:pPr>
        <w:pStyle w:val="17"/>
        <w:snapToGrid w:val="0"/>
        <w:spacing w:after="156" w:afterLines="50" w:line="300" w:lineRule="auto"/>
        <w:ind w:firstLine="348" w:firstLineChars="165"/>
        <w:rPr>
          <w:rFonts w:ascii="Arial" w:hAnsi="Arial" w:eastAsia="宋体" w:cs="Arial"/>
          <w:b/>
          <w:szCs w:val="21"/>
        </w:rPr>
      </w:pPr>
      <w:r>
        <w:rPr>
          <w:rFonts w:ascii="Arial" w:hAnsi="Arial" w:eastAsia="宋体" w:cs="Arial"/>
          <w:b/>
          <w:szCs w:val="21"/>
        </w:rPr>
        <w:t>表1</w:t>
      </w:r>
    </w:p>
    <w:tbl>
      <w:tblPr>
        <w:tblStyle w:val="1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5862"/>
      </w:tblGrid>
      <w:tr w14:paraId="0793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0" w:type="dxa"/>
            <w:vAlign w:val="center"/>
          </w:tcPr>
          <w:p w14:paraId="64CB8B31">
            <w:pPr>
              <w:pStyle w:val="17"/>
              <w:snapToGrid w:val="0"/>
              <w:spacing w:before="46" w:beforeLines="15" w:after="46" w:afterLines="15" w:line="240" w:lineRule="exact"/>
              <w:ind w:firstLine="0" w:firstLineChars="0"/>
              <w:rPr>
                <w:rFonts w:ascii="Arial" w:hAnsi="Arial" w:eastAsia="宋体" w:cs="Arial"/>
                <w:b/>
                <w:szCs w:val="21"/>
              </w:rPr>
            </w:pPr>
            <w:r>
              <w:rPr>
                <w:rFonts w:ascii="Arial" w:hAnsi="Arial" w:eastAsia="宋体" w:cs="Arial"/>
                <w:b/>
                <w:szCs w:val="21"/>
              </w:rPr>
              <w:t>产品代码</w:t>
            </w:r>
          </w:p>
        </w:tc>
        <w:tc>
          <w:tcPr>
            <w:tcW w:w="5862" w:type="dxa"/>
            <w:vAlign w:val="center"/>
          </w:tcPr>
          <w:p w14:paraId="43E8349A">
            <w:pPr>
              <w:pStyle w:val="17"/>
              <w:snapToGrid w:val="0"/>
              <w:spacing w:before="46" w:beforeLines="15" w:after="46" w:afterLines="15" w:line="240" w:lineRule="exact"/>
              <w:ind w:firstLine="0" w:firstLineChars="0"/>
              <w:rPr>
                <w:rFonts w:ascii="Arial" w:hAnsi="Arial" w:eastAsia="宋体" w:cs="Arial"/>
                <w:b/>
                <w:szCs w:val="21"/>
              </w:rPr>
            </w:pPr>
            <w:r>
              <w:rPr>
                <w:rFonts w:ascii="Arial" w:hAnsi="Arial" w:eastAsia="宋体" w:cs="Arial"/>
                <w:b/>
                <w:szCs w:val="21"/>
              </w:rPr>
              <w:t>描述</w:t>
            </w:r>
          </w:p>
        </w:tc>
      </w:tr>
      <w:tr w14:paraId="0E81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004306AB">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FRN</w:t>
            </w:r>
          </w:p>
        </w:tc>
        <w:tc>
          <w:tcPr>
            <w:tcW w:w="5862" w:type="dxa"/>
            <w:vAlign w:val="center"/>
          </w:tcPr>
          <w:p w14:paraId="6D65C29C">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输液泵</w:t>
            </w:r>
          </w:p>
        </w:tc>
      </w:tr>
      <w:tr w14:paraId="3058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5EB34387">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MEA</w:t>
            </w:r>
          </w:p>
        </w:tc>
        <w:tc>
          <w:tcPr>
            <w:tcW w:w="5862" w:type="dxa"/>
            <w:vAlign w:val="center"/>
          </w:tcPr>
          <w:p w14:paraId="0DCB9E05">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患者自控镇痛（PCA）输液泵</w:t>
            </w:r>
          </w:p>
        </w:tc>
      </w:tr>
      <w:tr w14:paraId="6B29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292C61B3">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MEB</w:t>
            </w:r>
          </w:p>
        </w:tc>
        <w:tc>
          <w:tcPr>
            <w:tcW w:w="5862" w:type="dxa"/>
            <w:vAlign w:val="center"/>
          </w:tcPr>
          <w:p w14:paraId="1BD90251">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弹性输液泵</w:t>
            </w:r>
          </w:p>
        </w:tc>
      </w:tr>
      <w:tr w14:paraId="3AFD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2332111C">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LZG</w:t>
            </w:r>
          </w:p>
        </w:tc>
        <w:tc>
          <w:tcPr>
            <w:tcW w:w="5862" w:type="dxa"/>
            <w:vAlign w:val="center"/>
          </w:tcPr>
          <w:p w14:paraId="2C255B63">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胰岛素输液泵</w:t>
            </w:r>
          </w:p>
        </w:tc>
      </w:tr>
      <w:tr w14:paraId="18BD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4D0B7B95">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OPP</w:t>
            </w:r>
          </w:p>
        </w:tc>
        <w:tc>
          <w:tcPr>
            <w:tcW w:w="5862" w:type="dxa"/>
            <w:vAlign w:val="center"/>
          </w:tcPr>
          <w:p w14:paraId="72CA22F9">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胰岛素推注输液泵</w:t>
            </w:r>
          </w:p>
        </w:tc>
      </w:tr>
      <w:tr w14:paraId="0F0C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59E3968A">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LZH</w:t>
            </w:r>
          </w:p>
        </w:tc>
        <w:tc>
          <w:tcPr>
            <w:tcW w:w="5862" w:type="dxa"/>
            <w:vAlign w:val="center"/>
          </w:tcPr>
          <w:p w14:paraId="7DDBF1DA">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肠内输液泵</w:t>
            </w:r>
          </w:p>
        </w:tc>
      </w:tr>
      <w:tr w14:paraId="25C6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6C30E188">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MRZ</w:t>
            </w:r>
          </w:p>
        </w:tc>
        <w:tc>
          <w:tcPr>
            <w:tcW w:w="5862" w:type="dxa"/>
            <w:vAlign w:val="center"/>
          </w:tcPr>
          <w:p w14:paraId="01808722">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输液泵附件</w:t>
            </w:r>
          </w:p>
        </w:tc>
      </w:tr>
      <w:tr w14:paraId="5435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14:paraId="37E02A0B">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PHC</w:t>
            </w:r>
          </w:p>
        </w:tc>
        <w:tc>
          <w:tcPr>
            <w:tcW w:w="5862" w:type="dxa"/>
            <w:vAlign w:val="center"/>
          </w:tcPr>
          <w:p w14:paraId="31FF2AE0">
            <w:pPr>
              <w:pStyle w:val="17"/>
              <w:snapToGrid w:val="0"/>
              <w:spacing w:before="46" w:beforeLines="15" w:after="46" w:afterLines="15" w:line="240" w:lineRule="exact"/>
              <w:ind w:firstLine="0" w:firstLineChars="0"/>
              <w:rPr>
                <w:rFonts w:ascii="Arial" w:hAnsi="Arial" w:eastAsia="宋体" w:cs="Arial"/>
                <w:szCs w:val="21"/>
              </w:rPr>
            </w:pPr>
            <w:r>
              <w:rPr>
                <w:rFonts w:ascii="Arial" w:hAnsi="Arial" w:eastAsia="宋体" w:cs="Arial"/>
                <w:szCs w:val="21"/>
              </w:rPr>
              <w:t>输液安全管理软件</w:t>
            </w:r>
          </w:p>
        </w:tc>
      </w:tr>
    </w:tbl>
    <w:p w14:paraId="43F2BAF7">
      <w:pPr>
        <w:pStyle w:val="17"/>
        <w:snapToGrid w:val="0"/>
        <w:spacing w:after="156" w:afterLines="50" w:line="300" w:lineRule="auto"/>
        <w:ind w:left="1080" w:firstLine="0" w:firstLineChars="0"/>
        <w:rPr>
          <w:rFonts w:ascii="Arial" w:hAnsi="Arial" w:eastAsia="宋体" w:cs="Arial"/>
          <w:szCs w:val="21"/>
        </w:rPr>
      </w:pPr>
    </w:p>
    <w:p w14:paraId="6250B2E8">
      <w:pPr>
        <w:widowControl/>
        <w:jc w:val="left"/>
        <w:rPr>
          <w:rFonts w:ascii="Arial" w:hAnsi="Arial" w:eastAsia="宋体" w:cs="Arial"/>
          <w:szCs w:val="21"/>
        </w:rPr>
      </w:pPr>
      <w:r>
        <w:rPr>
          <w:rFonts w:ascii="Arial" w:hAnsi="Arial" w:eastAsia="宋体" w:cs="Arial"/>
          <w:szCs w:val="21"/>
        </w:rPr>
        <w:br w:type="page"/>
      </w:r>
    </w:p>
    <w:p w14:paraId="7D56596A">
      <w:pPr>
        <w:pStyle w:val="17"/>
        <w:snapToGrid w:val="0"/>
        <w:spacing w:after="156" w:afterLines="50" w:line="300" w:lineRule="auto"/>
        <w:ind w:left="1080" w:firstLine="0" w:firstLineChars="0"/>
        <w:rPr>
          <w:rFonts w:ascii="Arial" w:hAnsi="Arial" w:eastAsia="宋体" w:cs="Arial"/>
          <w:szCs w:val="21"/>
        </w:rPr>
      </w:pPr>
      <w:r>
        <w:rPr>
          <w:rFonts w:ascii="Arial" w:hAnsi="Arial" w:eastAsia="宋体" w:cs="Arial"/>
          <w:szCs w:val="21"/>
        </w:rPr>
        <w:t>在本指导性文件中，FDA定义了</w:t>
      </w:r>
      <w:r>
        <w:rPr>
          <w:rFonts w:ascii="Arial" w:hAnsi="Arial" w:eastAsia="宋体" w:cs="Arial"/>
          <w:b/>
          <w:szCs w:val="21"/>
        </w:rPr>
        <w:t>输液泵系统</w:t>
      </w:r>
      <w:r>
        <w:rPr>
          <w:rFonts w:ascii="Arial" w:hAnsi="Arial" w:eastAsia="宋体" w:cs="Arial"/>
          <w:szCs w:val="21"/>
        </w:rPr>
        <w:t>包括：</w:t>
      </w:r>
    </w:p>
    <w:p w14:paraId="2EAA6A51">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输液泵；</w:t>
      </w:r>
    </w:p>
    <w:p w14:paraId="380D280F">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用于来自并包括药物储存器或液体源容器（例如，袋，盒，小瓶，注射器），输液器，延伸套，过滤器和阀，夹持器，直到并包括患者连接的完整液体通道的液体输注装置；</w:t>
      </w:r>
    </w:p>
    <w:p w14:paraId="764EDC3A">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组件和附件（如电源线，无线控制器）；</w:t>
      </w:r>
    </w:p>
    <w:p w14:paraId="1DF17568">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网络（即物理或无线连接到输液泵的任何器械或系统）；</w:t>
      </w:r>
    </w:p>
    <w:p w14:paraId="792A2101">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患者；</w:t>
      </w:r>
    </w:p>
    <w:p w14:paraId="43110736">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使用环境（如临床环境，温度，湿度）；</w:t>
      </w:r>
      <w:r>
        <w:rPr>
          <w:rFonts w:hint="eastAsia" w:ascii="Arial" w:hAnsi="Arial" w:eastAsia="宋体" w:cs="Arial"/>
          <w:szCs w:val="21"/>
        </w:rPr>
        <w:t>以及</w:t>
      </w:r>
    </w:p>
    <w:p w14:paraId="2BCAA410">
      <w:pPr>
        <w:pStyle w:val="17"/>
        <w:numPr>
          <w:ilvl w:val="0"/>
          <w:numId w:val="3"/>
        </w:numPr>
        <w:snapToGrid w:val="0"/>
        <w:spacing w:after="156" w:afterLines="50" w:line="300" w:lineRule="auto"/>
        <w:ind w:firstLineChars="0"/>
        <w:rPr>
          <w:rFonts w:ascii="Arial" w:hAnsi="Arial" w:eastAsia="宋体" w:cs="Arial"/>
          <w:szCs w:val="21"/>
        </w:rPr>
      </w:pPr>
      <w:r>
        <w:rPr>
          <w:rFonts w:ascii="Arial" w:hAnsi="Arial" w:eastAsia="宋体" w:cs="Arial"/>
          <w:szCs w:val="21"/>
        </w:rPr>
        <w:t>用户（例如，医疗保健提供者，普通用户，生物医学技术人员）。</w:t>
      </w:r>
    </w:p>
    <w:p w14:paraId="64CE0710">
      <w:pPr>
        <w:snapToGrid w:val="0"/>
        <w:spacing w:after="156" w:afterLines="50" w:line="300" w:lineRule="auto"/>
        <w:ind w:left="1080"/>
        <w:rPr>
          <w:rFonts w:ascii="Arial" w:hAnsi="Arial" w:eastAsia="宋体" w:cs="Arial"/>
          <w:szCs w:val="21"/>
        </w:rPr>
      </w:pPr>
      <w:r>
        <w:rPr>
          <w:rFonts w:ascii="Arial" w:hAnsi="Arial" w:eastAsia="宋体" w:cs="Arial"/>
          <w:szCs w:val="21"/>
        </w:rPr>
        <w:t>如果贵公司打算提供或推荐特定的一次性功能器械用于输液泵，如输液器或输液盒，无论是由贵公司还是另一家公司生产，贵公司应该识别这些器械以及器械是否合法销售。请注意，</w:t>
      </w:r>
      <w:r>
        <w:rPr>
          <w:rFonts w:hint="eastAsia" w:ascii="Arial" w:hAnsi="Arial" w:eastAsia="宋体" w:cs="Arial"/>
          <w:szCs w:val="21"/>
        </w:rPr>
        <w:t>在</w:t>
      </w:r>
      <w:r>
        <w:rPr>
          <w:rFonts w:ascii="Arial" w:hAnsi="Arial" w:eastAsia="宋体" w:cs="Arial"/>
          <w:szCs w:val="21"/>
        </w:rPr>
        <w:t>本指导性文件</w:t>
      </w:r>
      <w:r>
        <w:rPr>
          <w:rFonts w:hint="eastAsia" w:ascii="Arial" w:hAnsi="Arial" w:eastAsia="宋体" w:cs="Arial"/>
          <w:szCs w:val="21"/>
        </w:rPr>
        <w:t>中</w:t>
      </w:r>
      <w:r>
        <w:rPr>
          <w:rFonts w:ascii="Arial" w:hAnsi="Arial" w:eastAsia="宋体" w:cs="Arial"/>
          <w:szCs w:val="21"/>
        </w:rPr>
        <w:t>，FDA认为这种一次性装置是输液泵系统的一部分。贵公司的器械应该被评估为一个系统，评估的重点是贵公司的产品及其在输液泵系统环境下的性能。</w:t>
      </w:r>
    </w:p>
    <w:p w14:paraId="7FD033DB">
      <w:pPr>
        <w:snapToGrid w:val="0"/>
        <w:spacing w:after="156" w:afterLines="50" w:line="300" w:lineRule="auto"/>
        <w:ind w:left="1080"/>
        <w:jc w:val="left"/>
        <w:rPr>
          <w:rFonts w:ascii="Arial" w:hAnsi="Arial" w:eastAsia="宋体" w:cs="Arial"/>
          <w:szCs w:val="21"/>
        </w:rPr>
      </w:pPr>
      <w:r>
        <w:rPr>
          <w:rFonts w:ascii="Arial" w:hAnsi="Arial" w:eastAsia="宋体" w:cs="Arial"/>
          <w:szCs w:val="21"/>
        </w:rPr>
        <w:t>在一些情况下，输注泵与其输送的液体结合可以被认为是组合产品。参见21 CFR 3.2（e）。如果作为组合产品销售，则可能需要针对组合产品处理其他监管要求。有关组合产品的其他信息，请通过</w:t>
      </w:r>
      <w:r>
        <w:rPr>
          <w:rStyle w:val="12"/>
          <w:rFonts w:ascii="Arial" w:hAnsi="Arial" w:eastAsia="宋体" w:cs="Arial"/>
          <w:kern w:val="0"/>
          <w:szCs w:val="21"/>
        </w:rPr>
        <w:t>combination@fda.gov</w:t>
      </w:r>
      <w:r>
        <w:rPr>
          <w:rFonts w:ascii="Arial" w:hAnsi="Arial" w:eastAsia="宋体" w:cs="Arial"/>
          <w:szCs w:val="21"/>
        </w:rPr>
        <w:t>联系组合产品办公室（OCP），或者访问</w:t>
      </w:r>
      <w:r>
        <w:rPr>
          <w:rStyle w:val="12"/>
          <w:rFonts w:ascii="Arial" w:hAnsi="Arial" w:eastAsia="宋体" w:cs="Arial"/>
          <w:kern w:val="0"/>
          <w:szCs w:val="21"/>
        </w:rPr>
        <w:t>http://www.fda.gov/combinationproducts/default.htm</w:t>
      </w:r>
      <w:r>
        <w:rPr>
          <w:rFonts w:ascii="Arial" w:hAnsi="Arial" w:eastAsia="宋体" w:cs="Arial"/>
          <w:szCs w:val="21"/>
        </w:rPr>
        <w:t>上的OCP网页。</w:t>
      </w:r>
    </w:p>
    <w:p w14:paraId="14B7F27A">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5" w:name="_Toc483237544"/>
      <w:r>
        <w:rPr>
          <w:rFonts w:ascii="Arial" w:hAnsi="Arial" w:eastAsia="宋体" w:cs="Arial"/>
          <w:b/>
          <w:sz w:val="28"/>
          <w:szCs w:val="28"/>
        </w:rPr>
        <w:t>器械描述</w:t>
      </w:r>
      <w:bookmarkEnd w:id="5"/>
    </w:p>
    <w:p w14:paraId="47430EB4">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我们建议贵公司通过</w:t>
      </w:r>
      <w:r>
        <w:rPr>
          <w:rFonts w:ascii="Arial" w:hAnsi="Arial" w:eastAsia="宋体" w:cs="Arial"/>
          <w:b/>
          <w:szCs w:val="21"/>
        </w:rPr>
        <w:t>第3节范围</w:t>
      </w:r>
      <w:r>
        <w:rPr>
          <w:rFonts w:ascii="Arial" w:hAnsi="Arial" w:eastAsia="宋体" w:cs="Arial"/>
          <w:szCs w:val="21"/>
        </w:rPr>
        <w:t>中描述的法规和产品代码识别器械。在贵公司的510（k）提交材料中，贵公司必须提供声明，按照21 CFR 807.87（f）的要求</w:t>
      </w:r>
      <w:r>
        <w:rPr>
          <w:rFonts w:hint="eastAsia" w:ascii="Arial" w:hAnsi="Arial" w:eastAsia="宋体" w:cs="Arial"/>
          <w:szCs w:val="21"/>
        </w:rPr>
        <w:t>，</w:t>
      </w:r>
      <w:r>
        <w:rPr>
          <w:rFonts w:ascii="Arial" w:hAnsi="Arial" w:eastAsia="宋体" w:cs="Arial"/>
          <w:szCs w:val="21"/>
        </w:rPr>
        <w:t>贵公司的器械类似于和/或与商业</w:t>
      </w:r>
      <w:r>
        <w:rPr>
          <w:rFonts w:hint="eastAsia" w:ascii="Arial" w:hAnsi="Arial" w:eastAsia="宋体" w:cs="Arial"/>
          <w:szCs w:val="21"/>
        </w:rPr>
        <w:t>分销</w:t>
      </w:r>
      <w:r>
        <w:rPr>
          <w:rFonts w:ascii="Arial" w:hAnsi="Arial" w:eastAsia="宋体" w:cs="Arial"/>
          <w:szCs w:val="21"/>
        </w:rPr>
        <w:t>中的其他类似类型产品不同，并附有数据</w:t>
      </w:r>
      <w:r>
        <w:rPr>
          <w:rFonts w:hint="eastAsia" w:ascii="Arial" w:hAnsi="Arial" w:eastAsia="宋体" w:cs="Arial"/>
          <w:szCs w:val="21"/>
        </w:rPr>
        <w:t>来</w:t>
      </w:r>
      <w:r>
        <w:rPr>
          <w:rFonts w:ascii="Arial" w:hAnsi="Arial" w:eastAsia="宋体" w:cs="Arial"/>
          <w:szCs w:val="21"/>
        </w:rPr>
        <w:t>支持该声明。只要</w:t>
      </w:r>
      <w:r>
        <w:rPr>
          <w:rFonts w:hint="eastAsia" w:ascii="Arial" w:hAnsi="Arial" w:eastAsia="宋体" w:cs="Arial"/>
          <w:szCs w:val="21"/>
        </w:rPr>
        <w:t>可以</w:t>
      </w:r>
      <w:r>
        <w:rPr>
          <w:rFonts w:ascii="Arial" w:hAnsi="Arial" w:eastAsia="宋体" w:cs="Arial"/>
          <w:szCs w:val="21"/>
        </w:rPr>
        <w:t>，并列比较是可取的。</w:t>
      </w:r>
    </w:p>
    <w:p w14:paraId="4C081513">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除了根据21 CFR 807.87提供上市前通告提交材料所需的信息外，还应包括以下有关器械的描述性信息：</w:t>
      </w:r>
    </w:p>
    <w:p w14:paraId="5F97383D">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明确说明适应症。适应症应该解决：</w:t>
      </w:r>
    </w:p>
    <w:p w14:paraId="51B3FC4C">
      <w:pPr>
        <w:pStyle w:val="17"/>
        <w:numPr>
          <w:ilvl w:val="0"/>
          <w:numId w:val="5"/>
        </w:numPr>
        <w:snapToGrid w:val="0"/>
        <w:spacing w:after="156" w:afterLines="50" w:line="300" w:lineRule="auto"/>
        <w:ind w:firstLineChars="0"/>
        <w:rPr>
          <w:rFonts w:ascii="Arial" w:hAnsi="Arial" w:eastAsia="宋体" w:cs="Arial"/>
          <w:szCs w:val="21"/>
        </w:rPr>
      </w:pPr>
      <w:r>
        <w:rPr>
          <w:rFonts w:ascii="Arial" w:hAnsi="Arial" w:eastAsia="宋体" w:cs="Arial"/>
          <w:szCs w:val="21"/>
        </w:rPr>
        <w:t>预期使用环境；</w:t>
      </w:r>
    </w:p>
    <w:p w14:paraId="0FED2EA8">
      <w:pPr>
        <w:pStyle w:val="17"/>
        <w:numPr>
          <w:ilvl w:val="0"/>
          <w:numId w:val="5"/>
        </w:numPr>
        <w:snapToGrid w:val="0"/>
        <w:spacing w:after="156" w:afterLines="50" w:line="300" w:lineRule="auto"/>
        <w:ind w:firstLineChars="0"/>
        <w:rPr>
          <w:rFonts w:ascii="Arial" w:hAnsi="Arial" w:eastAsia="宋体" w:cs="Arial"/>
          <w:szCs w:val="21"/>
        </w:rPr>
      </w:pPr>
      <w:r>
        <w:rPr>
          <w:rFonts w:ascii="Arial" w:hAnsi="Arial" w:eastAsia="宋体" w:cs="Arial"/>
          <w:szCs w:val="21"/>
        </w:rPr>
        <w:t>用于输注的预期给药途径；</w:t>
      </w:r>
    </w:p>
    <w:p w14:paraId="18EFAE2D">
      <w:pPr>
        <w:pStyle w:val="17"/>
        <w:numPr>
          <w:ilvl w:val="0"/>
          <w:numId w:val="5"/>
        </w:numPr>
        <w:snapToGrid w:val="0"/>
        <w:spacing w:after="156" w:afterLines="50" w:line="300" w:lineRule="auto"/>
        <w:ind w:firstLineChars="0"/>
        <w:rPr>
          <w:rFonts w:ascii="Arial" w:hAnsi="Arial" w:eastAsia="宋体" w:cs="Arial"/>
          <w:szCs w:val="21"/>
        </w:rPr>
      </w:pPr>
      <w:r>
        <w:rPr>
          <w:rFonts w:ascii="Arial" w:hAnsi="Arial" w:eastAsia="宋体" w:cs="Arial"/>
          <w:szCs w:val="21"/>
        </w:rPr>
        <w:t>输液泵的任何具体用途（例如，PCA是普遍接受的具体用途）；</w:t>
      </w:r>
      <w:r>
        <w:rPr>
          <w:rFonts w:hint="eastAsia" w:ascii="Arial" w:hAnsi="Arial" w:eastAsia="宋体" w:cs="Arial"/>
          <w:szCs w:val="21"/>
        </w:rPr>
        <w:t>以及</w:t>
      </w:r>
    </w:p>
    <w:p w14:paraId="27DD82BA">
      <w:pPr>
        <w:pStyle w:val="17"/>
        <w:numPr>
          <w:ilvl w:val="0"/>
          <w:numId w:val="5"/>
        </w:numPr>
        <w:snapToGrid w:val="0"/>
        <w:spacing w:after="156" w:afterLines="50" w:line="300" w:lineRule="auto"/>
        <w:ind w:firstLineChars="0"/>
        <w:rPr>
          <w:rFonts w:ascii="Arial" w:hAnsi="Arial" w:eastAsia="宋体" w:cs="Arial"/>
          <w:szCs w:val="21"/>
        </w:rPr>
      </w:pPr>
      <w:r>
        <w:rPr>
          <w:rFonts w:hint="eastAsia" w:ascii="Arial" w:hAnsi="Arial" w:eastAsia="宋体" w:cs="Arial"/>
          <w:szCs w:val="21"/>
        </w:rPr>
        <w:t>指明的</w:t>
      </w:r>
      <w:r>
        <w:rPr>
          <w:rFonts w:ascii="Arial" w:hAnsi="Arial" w:eastAsia="宋体" w:cs="Arial"/>
          <w:szCs w:val="21"/>
        </w:rPr>
        <w:t>治疗人群。</w:t>
      </w:r>
    </w:p>
    <w:p w14:paraId="18B25DE6">
      <w:pPr>
        <w:widowControl/>
        <w:jc w:val="left"/>
        <w:rPr>
          <w:rFonts w:ascii="Arial" w:hAnsi="Arial" w:eastAsia="宋体" w:cs="Arial"/>
          <w:szCs w:val="21"/>
        </w:rPr>
      </w:pPr>
      <w:r>
        <w:rPr>
          <w:rFonts w:ascii="Arial" w:hAnsi="Arial" w:eastAsia="宋体" w:cs="Arial"/>
          <w:szCs w:val="21"/>
        </w:rPr>
        <w:br w:type="page"/>
      </w:r>
    </w:p>
    <w:p w14:paraId="0926386B">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FDA建议提交材料包括以工程术语定义器械（即功能，性能和界面特性）的设计输入和输出过程产生的文档</w:t>
      </w:r>
      <w:r>
        <w:rPr>
          <w:rStyle w:val="13"/>
          <w:rFonts w:ascii="Arial" w:hAnsi="Arial" w:eastAsia="宋体" w:cs="Arial"/>
          <w:szCs w:val="21"/>
        </w:rPr>
        <w:footnoteReference w:id="2"/>
      </w:r>
      <w:r>
        <w:rPr>
          <w:rFonts w:ascii="Arial" w:hAnsi="Arial" w:eastAsia="宋体" w:cs="Arial"/>
          <w:szCs w:val="21"/>
        </w:rPr>
        <w:t>。可能</w:t>
      </w:r>
      <w:r>
        <w:rPr>
          <w:rFonts w:hint="eastAsia" w:ascii="Arial" w:hAnsi="Arial" w:eastAsia="宋体" w:cs="Arial"/>
          <w:szCs w:val="21"/>
        </w:rPr>
        <w:t>需要</w:t>
      </w:r>
      <w:r>
        <w:rPr>
          <w:rFonts w:ascii="Arial" w:hAnsi="Arial" w:eastAsia="宋体" w:cs="Arial"/>
          <w:szCs w:val="21"/>
        </w:rPr>
        <w:t>几种文件，涵盖该系统的主要硬件和软件组件。</w:t>
      </w:r>
    </w:p>
    <w:p w14:paraId="67E3EC14">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提供该泵及其功能组件和附件的详细说明（包括适当的组装图、材料清单、原理图和/或质量标准控制文件），包括：</w:t>
      </w:r>
    </w:p>
    <w:p w14:paraId="4F5250DC">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输液</w:t>
      </w:r>
      <w:r>
        <w:rPr>
          <w:rFonts w:hint="eastAsia" w:ascii="Arial" w:hAnsi="Arial" w:eastAsia="宋体" w:cs="Arial"/>
          <w:szCs w:val="21"/>
        </w:rPr>
        <w:t>输送</w:t>
      </w:r>
      <w:r>
        <w:rPr>
          <w:rFonts w:ascii="Arial" w:hAnsi="Arial" w:eastAsia="宋体" w:cs="Arial"/>
          <w:szCs w:val="21"/>
        </w:rPr>
        <w:t>机制；</w:t>
      </w:r>
    </w:p>
    <w:p w14:paraId="3722F004">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推注机制；</w:t>
      </w:r>
    </w:p>
    <w:p w14:paraId="3DDF0E75">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药物容器；</w:t>
      </w:r>
    </w:p>
    <w:p w14:paraId="6EDECA79">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泵管和连接器（内置或在泵外部）；</w:t>
      </w:r>
    </w:p>
    <w:p w14:paraId="4AFA7088">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由编程单元、显示单元、音频和触觉通知单元组成的用户界面；</w:t>
      </w:r>
    </w:p>
    <w:p w14:paraId="4BD7BC41">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电源；</w:t>
      </w:r>
    </w:p>
    <w:p w14:paraId="53B1D4B9">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泵电池和充电和监视电池的电路；</w:t>
      </w:r>
      <w:r>
        <w:rPr>
          <w:rFonts w:hint="eastAsia" w:ascii="Arial" w:hAnsi="Arial" w:eastAsia="宋体" w:cs="Arial"/>
          <w:szCs w:val="21"/>
        </w:rPr>
        <w:t>以及</w:t>
      </w:r>
    </w:p>
    <w:p w14:paraId="62266A01">
      <w:pPr>
        <w:pStyle w:val="17"/>
        <w:numPr>
          <w:ilvl w:val="0"/>
          <w:numId w:val="6"/>
        </w:numPr>
        <w:snapToGrid w:val="0"/>
        <w:spacing w:after="156" w:afterLines="50" w:line="300" w:lineRule="auto"/>
        <w:ind w:firstLineChars="0"/>
        <w:rPr>
          <w:rFonts w:ascii="Arial" w:hAnsi="Arial" w:eastAsia="宋体" w:cs="Arial"/>
          <w:szCs w:val="21"/>
        </w:rPr>
      </w:pPr>
      <w:r>
        <w:rPr>
          <w:rFonts w:ascii="Arial" w:hAnsi="Arial" w:eastAsia="宋体" w:cs="Arial"/>
          <w:szCs w:val="21"/>
        </w:rPr>
        <w:t>通信接口，包括网络组件和与其他器械和系统的接口。</w:t>
      </w:r>
    </w:p>
    <w:p w14:paraId="5F82187D">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贵公司应该描述输液泵的操作原理（即器械如何实现其预期用途的科学原理）。</w:t>
      </w:r>
    </w:p>
    <w:p w14:paraId="0A895154">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如果输液泵被标记为与特定器械、药物或生物制品一起使用，则产品的标签应该是一致的，贵公司应该为该参考器械、药物或生物制剂提供FDA批准的标签</w:t>
      </w:r>
      <w:r>
        <w:rPr>
          <w:rStyle w:val="13"/>
          <w:rFonts w:ascii="Arial" w:hAnsi="Arial" w:eastAsia="宋体" w:cs="Arial"/>
          <w:szCs w:val="21"/>
        </w:rPr>
        <w:footnoteReference w:id="3"/>
      </w:r>
      <w:r>
        <w:rPr>
          <w:rFonts w:ascii="Arial" w:hAnsi="Arial" w:eastAsia="宋体" w:cs="Arial"/>
          <w:szCs w:val="21"/>
        </w:rPr>
        <w:t>。</w:t>
      </w:r>
    </w:p>
    <w:p w14:paraId="48D416EE">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对于贵公司的预期用途声明中确定的每个给药途径，应该确定合法销售的药物或生物制品，以证明至少有一种此类产品被批准或许可通过泵输送用于</w:t>
      </w:r>
      <w:r>
        <w:rPr>
          <w:rFonts w:hint="eastAsia" w:ascii="Arial" w:hAnsi="Arial" w:eastAsia="宋体" w:cs="Arial"/>
          <w:szCs w:val="21"/>
        </w:rPr>
        <w:t>拟定</w:t>
      </w:r>
      <w:r>
        <w:rPr>
          <w:rFonts w:ascii="Arial" w:hAnsi="Arial" w:eastAsia="宋体" w:cs="Arial"/>
          <w:szCs w:val="21"/>
        </w:rPr>
        <w:t>给药途径，并以建议的剂量给药。贵公司应该提供FDA批准的确定药物或生物制剂的</w:t>
      </w:r>
      <w:r>
        <w:rPr>
          <w:rFonts w:hint="eastAsia" w:ascii="Arial" w:hAnsi="Arial" w:eastAsia="宋体" w:cs="Arial"/>
          <w:szCs w:val="21"/>
        </w:rPr>
        <w:t>拟定</w:t>
      </w:r>
      <w:r>
        <w:rPr>
          <w:rFonts w:ascii="Arial" w:hAnsi="Arial" w:eastAsia="宋体" w:cs="Arial"/>
          <w:szCs w:val="21"/>
        </w:rPr>
        <w:t>给药途径标签。</w:t>
      </w:r>
    </w:p>
    <w:p w14:paraId="16E9C509">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如果贵公司的输液泵预期用于运输或移动式使用，则应描述</w:t>
      </w:r>
      <w:r>
        <w:rPr>
          <w:rFonts w:hint="eastAsia" w:ascii="Arial" w:hAnsi="Arial" w:eastAsia="宋体" w:cs="Arial"/>
          <w:szCs w:val="21"/>
        </w:rPr>
        <w:t>其</w:t>
      </w:r>
      <w:r>
        <w:rPr>
          <w:rFonts w:ascii="Arial" w:hAnsi="Arial" w:eastAsia="宋体" w:cs="Arial"/>
          <w:szCs w:val="21"/>
        </w:rPr>
        <w:t>是如何设计用于移动性、各种环境条件（例如，水暴露，高度，电磁干扰）和坚固性。</w:t>
      </w:r>
    </w:p>
    <w:p w14:paraId="5FD67ABA">
      <w:pPr>
        <w:pStyle w:val="17"/>
        <w:numPr>
          <w:ilvl w:val="0"/>
          <w:numId w:val="4"/>
        </w:numPr>
        <w:snapToGrid w:val="0"/>
        <w:spacing w:line="300" w:lineRule="auto"/>
        <w:ind w:left="777" w:firstLineChars="0"/>
        <w:jc w:val="left"/>
        <w:rPr>
          <w:rStyle w:val="12"/>
          <w:rFonts w:ascii="Arial" w:hAnsi="Arial" w:eastAsia="宋体" w:cs="Arial"/>
          <w:color w:val="auto"/>
          <w:szCs w:val="21"/>
          <w:u w:val="none"/>
        </w:rPr>
      </w:pPr>
      <w:r>
        <w:rPr>
          <w:rFonts w:ascii="Arial" w:hAnsi="Arial" w:eastAsia="宋体" w:cs="Arial"/>
          <w:szCs w:val="21"/>
        </w:rPr>
        <w:t>如果贵公司的输液泵预期用于外行使用，贵公司应该描述该器械如何设计为被通常具有有限的或没有临床背景的普通用户使用，以及如何缓解由于外行使用而产生的危害。建议贵公司参考FDA的</w:t>
      </w:r>
      <w:r>
        <w:rPr>
          <w:rFonts w:hint="eastAsia" w:ascii="Arial" w:hAnsi="Arial" w:eastAsia="宋体" w:cs="Arial"/>
          <w:szCs w:val="21"/>
        </w:rPr>
        <w:t>《</w:t>
      </w:r>
      <w:r>
        <w:rPr>
          <w:rStyle w:val="12"/>
          <w:rFonts w:ascii="Arial" w:hAnsi="Arial" w:eastAsia="宋体" w:cs="Arial"/>
          <w:kern w:val="0"/>
          <w:szCs w:val="21"/>
        </w:rPr>
        <w:t>医疗器械患者标签指南</w:t>
      </w:r>
      <w:r>
        <w:rPr>
          <w:rFonts w:hint="eastAsia" w:ascii="Arial" w:hAnsi="Arial" w:eastAsia="宋体" w:cs="Arial"/>
          <w:szCs w:val="21"/>
        </w:rPr>
        <w:t>》</w:t>
      </w:r>
    </w:p>
    <w:p w14:paraId="4C791174">
      <w:pPr>
        <w:pStyle w:val="17"/>
        <w:snapToGrid w:val="0"/>
        <w:spacing w:after="156" w:afterLines="50" w:line="300" w:lineRule="auto"/>
        <w:ind w:left="780" w:firstLine="0" w:firstLineChars="0"/>
        <w:jc w:val="left"/>
        <w:rPr>
          <w:rFonts w:ascii="Arial" w:hAnsi="Arial" w:eastAsia="宋体" w:cs="Arial"/>
          <w:szCs w:val="21"/>
        </w:rPr>
      </w:pPr>
      <w:r>
        <w:rPr>
          <w:rStyle w:val="12"/>
          <w:rFonts w:hint="eastAsia" w:ascii="Arial" w:hAnsi="Arial" w:eastAsia="宋体" w:cs="Arial"/>
          <w:color w:val="auto"/>
          <w:kern w:val="0"/>
          <w:szCs w:val="21"/>
          <w:u w:val="none"/>
        </w:rPr>
        <w:t>（</w:t>
      </w:r>
      <w:r>
        <w:rPr>
          <w:rStyle w:val="12"/>
          <w:rFonts w:ascii="Arial" w:hAnsi="Arial" w:eastAsia="宋体" w:cs="Arial"/>
          <w:kern w:val="0"/>
          <w:szCs w:val="21"/>
        </w:rPr>
        <w:t>http://www.fda.gov/MedicalDevices/DeviceRegulationandGuidance/GuidanceDocuments/ucm070782.htm</w:t>
      </w:r>
      <w:r>
        <w:rPr>
          <w:rStyle w:val="12"/>
          <w:rFonts w:hint="eastAsia" w:ascii="Arial" w:hAnsi="Arial" w:eastAsia="宋体" w:cs="Arial"/>
          <w:color w:val="auto"/>
          <w:kern w:val="0"/>
          <w:szCs w:val="21"/>
          <w:u w:val="none"/>
        </w:rPr>
        <w:t>）。</w:t>
      </w:r>
      <w:r>
        <w:rPr>
          <w:rFonts w:ascii="Arial" w:hAnsi="Arial" w:eastAsia="宋体" w:cs="Arial"/>
          <w:szCs w:val="21"/>
        </w:rPr>
        <w:t>FDA发布了关于这一主题的指导草案，</w:t>
      </w:r>
      <w:r>
        <w:rPr>
          <w:rFonts w:hint="eastAsia" w:ascii="Arial" w:hAnsi="Arial" w:eastAsia="宋体" w:cs="Arial"/>
          <w:szCs w:val="21"/>
        </w:rPr>
        <w:t>《</w:t>
      </w:r>
      <w:r>
        <w:rPr>
          <w:rStyle w:val="12"/>
          <w:rFonts w:ascii="Arial" w:hAnsi="Arial" w:eastAsia="宋体" w:cs="Arial"/>
          <w:szCs w:val="21"/>
        </w:rPr>
        <w:t>对行业和食品药品监督管理局的员工指导草案-应用人为因素和可用性工程优化医疗器械设计</w:t>
      </w:r>
      <w:r>
        <w:rPr>
          <w:rFonts w:hint="eastAsia" w:ascii="Arial" w:hAnsi="Arial" w:eastAsia="宋体" w:cs="Arial"/>
          <w:szCs w:val="21"/>
        </w:rPr>
        <w:t>》</w:t>
      </w:r>
      <w:r>
        <w:rPr>
          <w:rStyle w:val="12"/>
          <w:rFonts w:ascii="Arial" w:hAnsi="Arial" w:eastAsia="宋体" w:cs="Arial"/>
          <w:color w:val="auto"/>
          <w:szCs w:val="21"/>
          <w:u w:val="none"/>
        </w:rPr>
        <w:t>（</w:t>
      </w:r>
      <w:r>
        <w:fldChar w:fldCharType="begin"/>
      </w:r>
      <w:r>
        <w:instrText xml:space="preserve"> HYPERLINK "http://www.fda.gov/MedicalDevices/DeviceRegulationandGuidance/GuidanceDocuments/ucm259760.htm" </w:instrText>
      </w:r>
      <w:r>
        <w:fldChar w:fldCharType="separate"/>
      </w:r>
      <w:r>
        <w:rPr>
          <w:rStyle w:val="12"/>
          <w:rFonts w:ascii="Arial" w:hAnsi="Arial" w:eastAsia="宋体" w:cs="Arial"/>
          <w:szCs w:val="21"/>
        </w:rPr>
        <w:t>http://www.fda.gov/MedicalDevices/DeviceRegulationandGuidance/GuidanceDocuments/ucm259760.htm</w:t>
      </w:r>
      <w:r>
        <w:rPr>
          <w:rStyle w:val="12"/>
          <w:rFonts w:ascii="Arial" w:hAnsi="Arial" w:eastAsia="宋体" w:cs="Arial"/>
          <w:szCs w:val="21"/>
        </w:rPr>
        <w:fldChar w:fldCharType="end"/>
      </w:r>
      <w:r>
        <w:rPr>
          <w:rStyle w:val="12"/>
          <w:rFonts w:ascii="Arial" w:hAnsi="Arial" w:eastAsia="宋体" w:cs="Arial"/>
          <w:color w:val="auto"/>
          <w:szCs w:val="21"/>
          <w:u w:val="none"/>
        </w:rPr>
        <w:t>）</w:t>
      </w:r>
      <w:r>
        <w:rPr>
          <w:rFonts w:hint="eastAsia" w:ascii="Arial" w:hAnsi="Arial" w:eastAsia="宋体" w:cs="Arial"/>
          <w:szCs w:val="21"/>
        </w:rPr>
        <w:t>。</w:t>
      </w:r>
      <w:r>
        <w:rPr>
          <w:rFonts w:ascii="Arial" w:hAnsi="Arial" w:eastAsia="宋体" w:cs="Arial"/>
          <w:szCs w:val="21"/>
        </w:rPr>
        <w:t>最终确定后，</w:t>
      </w:r>
      <w:r>
        <w:rPr>
          <w:rFonts w:hint="eastAsia" w:ascii="Arial" w:hAnsi="Arial" w:eastAsia="宋体" w:cs="Arial"/>
          <w:szCs w:val="21"/>
        </w:rPr>
        <w:t>本指南代表FDA对此主题的最新见解</w:t>
      </w:r>
      <w:r>
        <w:rPr>
          <w:rFonts w:ascii="Arial" w:hAnsi="Arial" w:eastAsia="宋体" w:cs="Arial"/>
          <w:szCs w:val="21"/>
        </w:rPr>
        <w:t>。http：//www.fda.gov/downloads/medicaldevices/deviceregulationandguidance/guidancedocuments/ucm259760.pdf</w:t>
      </w:r>
    </w:p>
    <w:p w14:paraId="55866DBC">
      <w:pPr>
        <w:widowControl/>
        <w:jc w:val="left"/>
        <w:rPr>
          <w:rFonts w:ascii="Arial" w:hAnsi="Arial" w:eastAsia="宋体" w:cs="Arial"/>
          <w:szCs w:val="21"/>
        </w:rPr>
      </w:pPr>
      <w:r>
        <w:rPr>
          <w:rFonts w:ascii="Arial" w:hAnsi="Arial" w:eastAsia="宋体" w:cs="Arial"/>
          <w:szCs w:val="21"/>
        </w:rPr>
        <w:br w:type="page"/>
      </w:r>
    </w:p>
    <w:p w14:paraId="40C1C736">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贵公司应该说明贵公司的器械是否能够远程控制，并描述为了解决危害而采取的措施。</w:t>
      </w:r>
    </w:p>
    <w:p w14:paraId="01CCB45E">
      <w:pPr>
        <w:pStyle w:val="17"/>
        <w:numPr>
          <w:ilvl w:val="0"/>
          <w:numId w:val="4"/>
        </w:numPr>
        <w:snapToGrid w:val="0"/>
        <w:spacing w:after="156" w:afterLines="50" w:line="300" w:lineRule="auto"/>
        <w:ind w:firstLineChars="0"/>
        <w:jc w:val="left"/>
        <w:rPr>
          <w:rFonts w:ascii="Arial" w:hAnsi="Arial" w:eastAsia="宋体" w:cs="Arial"/>
          <w:szCs w:val="21"/>
        </w:rPr>
      </w:pPr>
      <w:r>
        <w:rPr>
          <w:rFonts w:ascii="Arial" w:hAnsi="Arial" w:eastAsia="宋体" w:cs="Arial"/>
          <w:szCs w:val="21"/>
        </w:rPr>
        <w:t>如果贵公司的输液泵包含或预期包含射频（RF）无线技术（例如IEEE 802.11，蓝牙，Zigbee），则应包括有关射频无线技术和特性的信息，射频无线技术的使用和功能 （例如，远程监视或控制，软件更新），要输送的数据包括无线传输的任何报警、所需的服务质量（QoS），无线安全措施和协议</w:t>
      </w:r>
      <w:r>
        <w:rPr>
          <w:rFonts w:hint="eastAsia" w:ascii="Arial" w:hAnsi="Arial" w:eastAsia="宋体" w:cs="Arial"/>
          <w:szCs w:val="21"/>
        </w:rPr>
        <w:t>以及与其他</w:t>
      </w:r>
      <w:r>
        <w:rPr>
          <w:rFonts w:ascii="Arial" w:hAnsi="Arial" w:eastAsia="宋体" w:cs="Arial"/>
          <w:szCs w:val="21"/>
        </w:rPr>
        <w:t>射频</w:t>
      </w:r>
      <w:r>
        <w:rPr>
          <w:rFonts w:hint="eastAsia" w:ascii="Arial" w:hAnsi="Arial" w:eastAsia="宋体" w:cs="Arial"/>
          <w:szCs w:val="21"/>
        </w:rPr>
        <w:t>无线技术共存和无线技术的电磁兼容性有关的任何限制或局限性</w:t>
      </w:r>
      <w:r>
        <w:rPr>
          <w:rFonts w:ascii="Arial" w:hAnsi="Arial" w:eastAsia="宋体" w:cs="Arial"/>
          <w:szCs w:val="21"/>
        </w:rPr>
        <w:t>。请参阅FDA的</w:t>
      </w:r>
      <w:r>
        <w:rPr>
          <w:rFonts w:hint="eastAsia" w:ascii="Arial" w:hAnsi="Arial" w:eastAsia="宋体" w:cs="Arial"/>
          <w:szCs w:val="21"/>
        </w:rPr>
        <w:t>《</w:t>
      </w:r>
      <w:r>
        <w:rPr>
          <w:rStyle w:val="12"/>
          <w:rFonts w:ascii="Arial" w:hAnsi="Arial" w:eastAsia="宋体" w:cs="Arial"/>
          <w:szCs w:val="21"/>
        </w:rPr>
        <w:t>医疗器械无线电技术指南</w:t>
      </w:r>
      <w:r>
        <w:rPr>
          <w:rFonts w:hint="eastAsia" w:ascii="Arial" w:hAnsi="Arial" w:eastAsia="宋体" w:cs="Arial"/>
          <w:szCs w:val="21"/>
        </w:rPr>
        <w:t>》</w:t>
      </w:r>
      <w:r>
        <w:rPr>
          <w:rFonts w:ascii="Arial" w:hAnsi="Arial" w:eastAsia="宋体" w:cs="Arial"/>
          <w:szCs w:val="21"/>
          <w:u w:val="single"/>
        </w:rPr>
        <w:t>（</w:t>
      </w:r>
      <w:r>
        <w:fldChar w:fldCharType="begin"/>
      </w:r>
      <w:r>
        <w:instrText xml:space="preserve"> HYPERLINK "http://www.fda.gov/medicaldevices/deviceregulationandguidance/guidancedocuments/ucm077210.htm" </w:instrText>
      </w:r>
      <w:r>
        <w:fldChar w:fldCharType="separate"/>
      </w:r>
      <w:r>
        <w:rPr>
          <w:rStyle w:val="12"/>
          <w:rFonts w:ascii="Arial" w:hAnsi="Arial" w:eastAsia="宋体" w:cs="Arial"/>
          <w:szCs w:val="21"/>
        </w:rPr>
        <w:t>http://www.fda.gov/medicaldevices/deviceregulationandguidance/guidancedocuments/ucm077210.htm</w:t>
      </w:r>
      <w:r>
        <w:rPr>
          <w:rStyle w:val="12"/>
          <w:rFonts w:ascii="Arial" w:hAnsi="Arial" w:eastAsia="宋体" w:cs="Arial"/>
          <w:szCs w:val="21"/>
        </w:rPr>
        <w:fldChar w:fldCharType="end"/>
      </w:r>
      <w:r>
        <w:rPr>
          <w:rFonts w:ascii="Arial" w:hAnsi="Arial" w:eastAsia="宋体" w:cs="Arial"/>
          <w:szCs w:val="21"/>
          <w:u w:val="single"/>
        </w:rPr>
        <w:t>）</w:t>
      </w:r>
      <w:r>
        <w:rPr>
          <w:rFonts w:ascii="Arial" w:hAnsi="Arial" w:eastAsia="宋体" w:cs="Arial"/>
          <w:szCs w:val="21"/>
        </w:rPr>
        <w:t>。</w:t>
      </w:r>
    </w:p>
    <w:p w14:paraId="3DA1EFEA">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如果贵公司的输液泵包含软件，请提供软件设计的详细说明，包括关键要素，例如：</w:t>
      </w:r>
    </w:p>
    <w:p w14:paraId="5A020084">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药物库或其他剂量误差减少机制；</w:t>
      </w:r>
    </w:p>
    <w:p w14:paraId="018BCDAE">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实时时钟（RTC）；</w:t>
      </w:r>
    </w:p>
    <w:p w14:paraId="77D929F7">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电路板存储器；</w:t>
      </w:r>
    </w:p>
    <w:p w14:paraId="64A69AA9">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泵记录；</w:t>
      </w:r>
    </w:p>
    <w:p w14:paraId="4349B552">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报警处理器；</w:t>
      </w:r>
      <w:r>
        <w:rPr>
          <w:rFonts w:hint="eastAsia" w:ascii="Arial" w:hAnsi="Arial" w:eastAsia="宋体" w:cs="Arial"/>
          <w:szCs w:val="21"/>
        </w:rPr>
        <w:t>以及</w:t>
      </w:r>
    </w:p>
    <w:p w14:paraId="5FADE5C0">
      <w:pPr>
        <w:pStyle w:val="17"/>
        <w:numPr>
          <w:ilvl w:val="0"/>
          <w:numId w:val="7"/>
        </w:numPr>
        <w:snapToGrid w:val="0"/>
        <w:spacing w:after="156" w:afterLines="50" w:line="300" w:lineRule="auto"/>
        <w:ind w:firstLineChars="0"/>
        <w:rPr>
          <w:rFonts w:ascii="Arial" w:hAnsi="Arial" w:eastAsia="宋体" w:cs="Arial"/>
          <w:szCs w:val="21"/>
        </w:rPr>
      </w:pPr>
      <w:r>
        <w:rPr>
          <w:rFonts w:ascii="Arial" w:hAnsi="Arial" w:eastAsia="宋体" w:cs="Arial"/>
          <w:szCs w:val="21"/>
        </w:rPr>
        <w:t>监视时钟。</w:t>
      </w:r>
    </w:p>
    <w:p w14:paraId="6734498C">
      <w:pPr>
        <w:pStyle w:val="17"/>
        <w:numPr>
          <w:ilvl w:val="0"/>
          <w:numId w:val="4"/>
        </w:numPr>
        <w:snapToGrid w:val="0"/>
        <w:spacing w:after="156" w:afterLines="50" w:line="300" w:lineRule="auto"/>
        <w:ind w:firstLineChars="0"/>
        <w:rPr>
          <w:rFonts w:ascii="Arial" w:hAnsi="Arial" w:eastAsia="宋体" w:cs="Arial"/>
          <w:szCs w:val="21"/>
        </w:rPr>
      </w:pPr>
      <w:r>
        <w:rPr>
          <w:rFonts w:hint="eastAsia" w:ascii="Arial" w:hAnsi="Arial" w:eastAsia="宋体" w:cs="Arial"/>
          <w:szCs w:val="21"/>
        </w:rPr>
        <w:t>贵公司应该描述贵公司的器械与医院信息管理系统或其他器械之间的任何通信。</w:t>
      </w:r>
    </w:p>
    <w:p w14:paraId="25E324B9">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贵公司应该描述泵的用户界面组件，包括键盘、控制菜单、数据输入屏幕、显示屏、指示灯、报警器、听觉和触觉反馈、输液器、输液盒、自由流动防止机制、输液管、闩锁，泵门或可以操纵物理泵的其他部件或附件。</w:t>
      </w:r>
    </w:p>
    <w:p w14:paraId="69FB28AF">
      <w:pPr>
        <w:pStyle w:val="17"/>
        <w:numPr>
          <w:ilvl w:val="0"/>
          <w:numId w:val="4"/>
        </w:numPr>
        <w:snapToGrid w:val="0"/>
        <w:spacing w:after="156" w:afterLines="50" w:line="300" w:lineRule="auto"/>
        <w:ind w:firstLineChars="0"/>
        <w:rPr>
          <w:rFonts w:ascii="Arial" w:hAnsi="Arial" w:eastAsia="宋体" w:cs="Arial"/>
          <w:szCs w:val="21"/>
        </w:rPr>
      </w:pPr>
      <w:r>
        <w:rPr>
          <w:rFonts w:ascii="Arial" w:hAnsi="Arial" w:eastAsia="宋体" w:cs="Arial"/>
          <w:szCs w:val="21"/>
        </w:rPr>
        <w:t>贵公司应该描述如何销售该器械（例如无菌，一次性使用，多</w:t>
      </w:r>
      <w:r>
        <w:rPr>
          <w:rFonts w:hint="eastAsia" w:ascii="Arial" w:hAnsi="Arial" w:eastAsia="宋体" w:cs="Arial"/>
          <w:szCs w:val="21"/>
        </w:rPr>
        <w:t>患者</w:t>
      </w:r>
      <w:r>
        <w:rPr>
          <w:rFonts w:ascii="Arial" w:hAnsi="Arial" w:eastAsia="宋体" w:cs="Arial"/>
          <w:szCs w:val="21"/>
        </w:rPr>
        <w:t>使用，家庭使用）。</w:t>
      </w:r>
    </w:p>
    <w:p w14:paraId="373A5E13">
      <w:pPr>
        <w:snapToGrid w:val="0"/>
        <w:spacing w:after="156" w:afterLines="50" w:line="300" w:lineRule="auto"/>
        <w:ind w:left="360"/>
        <w:rPr>
          <w:rFonts w:ascii="Arial" w:hAnsi="Arial" w:eastAsia="宋体" w:cs="Arial"/>
          <w:szCs w:val="21"/>
        </w:rPr>
      </w:pPr>
      <w:r>
        <w:rPr>
          <w:rFonts w:ascii="Arial" w:hAnsi="Arial" w:eastAsia="宋体" w:cs="Arial"/>
          <w:szCs w:val="21"/>
        </w:rPr>
        <w:t>除了提供上述要求的描述</w:t>
      </w:r>
      <w:r>
        <w:rPr>
          <w:rFonts w:hint="eastAsia" w:ascii="Arial" w:hAnsi="Arial" w:eastAsia="宋体" w:cs="Arial"/>
          <w:szCs w:val="21"/>
        </w:rPr>
        <w:t>性</w:t>
      </w:r>
      <w:r>
        <w:rPr>
          <w:rFonts w:ascii="Arial" w:hAnsi="Arial" w:eastAsia="宋体" w:cs="Arial"/>
          <w:szCs w:val="21"/>
        </w:rPr>
        <w:t>信息之外，我们建议贵公司提供器械与合法销售器械的比较表格。该表应包括以下内容：</w:t>
      </w:r>
    </w:p>
    <w:p w14:paraId="5E8A0AEA">
      <w:pPr>
        <w:pStyle w:val="17"/>
        <w:numPr>
          <w:ilvl w:val="0"/>
          <w:numId w:val="8"/>
        </w:numPr>
        <w:snapToGrid w:val="0"/>
        <w:spacing w:after="156" w:afterLines="50" w:line="300" w:lineRule="auto"/>
        <w:ind w:firstLineChars="0"/>
        <w:rPr>
          <w:rFonts w:ascii="Arial" w:hAnsi="Arial" w:eastAsia="宋体" w:cs="Arial"/>
          <w:szCs w:val="21"/>
        </w:rPr>
      </w:pPr>
      <w:r>
        <w:rPr>
          <w:rFonts w:ascii="Arial" w:hAnsi="Arial" w:eastAsia="宋体" w:cs="Arial"/>
          <w:szCs w:val="21"/>
        </w:rPr>
        <w:t>每个器械的使用说明书，包括器械所针对的患者人群（即，新生儿，婴儿，儿科，成人）和预期使用环境。</w:t>
      </w:r>
    </w:p>
    <w:p w14:paraId="4EAAD0DF">
      <w:pPr>
        <w:pStyle w:val="17"/>
        <w:numPr>
          <w:ilvl w:val="0"/>
          <w:numId w:val="8"/>
        </w:numPr>
        <w:snapToGrid w:val="0"/>
        <w:spacing w:after="156" w:afterLines="50" w:line="300" w:lineRule="auto"/>
        <w:ind w:firstLineChars="0"/>
        <w:rPr>
          <w:rFonts w:ascii="Arial" w:hAnsi="Arial" w:eastAsia="宋体" w:cs="Arial"/>
          <w:szCs w:val="21"/>
        </w:rPr>
      </w:pPr>
      <w:r>
        <w:rPr>
          <w:rFonts w:ascii="Arial" w:hAnsi="Arial" w:eastAsia="宋体" w:cs="Arial"/>
          <w:szCs w:val="21"/>
        </w:rPr>
        <w:t>该器械的质量标准，包括但不限于流量精度质量标准、堵塞报警时间、尺寸、重量、防护等级、功率和输送单位。</w:t>
      </w:r>
    </w:p>
    <w:p w14:paraId="492C2C65">
      <w:pPr>
        <w:pStyle w:val="17"/>
        <w:numPr>
          <w:ilvl w:val="0"/>
          <w:numId w:val="8"/>
        </w:numPr>
        <w:snapToGrid w:val="0"/>
        <w:spacing w:after="156" w:afterLines="50" w:line="300" w:lineRule="auto"/>
        <w:ind w:firstLineChars="0"/>
        <w:rPr>
          <w:rFonts w:ascii="Arial" w:hAnsi="Arial" w:eastAsia="宋体" w:cs="Arial"/>
          <w:szCs w:val="21"/>
        </w:rPr>
      </w:pPr>
      <w:r>
        <w:rPr>
          <w:rFonts w:ascii="Arial" w:hAnsi="Arial" w:eastAsia="宋体" w:cs="Arial"/>
          <w:szCs w:val="21"/>
        </w:rPr>
        <w:t>该器械的技术特点。</w:t>
      </w:r>
    </w:p>
    <w:p w14:paraId="33D1909C">
      <w:pPr>
        <w:widowControl/>
        <w:jc w:val="left"/>
        <w:rPr>
          <w:rFonts w:ascii="Arial" w:hAnsi="Arial" w:eastAsia="宋体" w:cs="Arial"/>
          <w:szCs w:val="21"/>
        </w:rPr>
      </w:pPr>
      <w:r>
        <w:rPr>
          <w:rFonts w:ascii="Arial" w:hAnsi="Arial" w:eastAsia="宋体" w:cs="Arial"/>
          <w:szCs w:val="21"/>
        </w:rPr>
        <w:br w:type="page"/>
      </w:r>
    </w:p>
    <w:p w14:paraId="2AE95498">
      <w:pPr>
        <w:snapToGrid w:val="0"/>
        <w:spacing w:after="156" w:afterLines="50" w:line="300" w:lineRule="auto"/>
        <w:ind w:left="360"/>
        <w:rPr>
          <w:rFonts w:ascii="Arial" w:hAnsi="Arial" w:eastAsia="宋体" w:cs="Arial"/>
          <w:szCs w:val="21"/>
        </w:rPr>
      </w:pPr>
      <w:r>
        <w:rPr>
          <w:rFonts w:ascii="Arial" w:hAnsi="Arial" w:eastAsia="宋体" w:cs="Arial"/>
          <w:szCs w:val="21"/>
        </w:rPr>
        <w:t>贵公司应该描述技术的差异如何影响器械安全性和性能的不同。</w:t>
      </w:r>
    </w:p>
    <w:p w14:paraId="4E9929C8">
      <w:pPr>
        <w:pStyle w:val="17"/>
        <w:numPr>
          <w:ilvl w:val="0"/>
          <w:numId w:val="1"/>
        </w:numPr>
        <w:snapToGrid w:val="0"/>
        <w:spacing w:after="156" w:afterLines="50" w:line="300" w:lineRule="auto"/>
        <w:ind w:firstLineChars="0"/>
        <w:outlineLvl w:val="0"/>
        <w:rPr>
          <w:rFonts w:ascii="Arial" w:hAnsi="Arial" w:eastAsia="宋体" w:cs="Arial"/>
          <w:b/>
          <w:sz w:val="28"/>
          <w:szCs w:val="28"/>
        </w:rPr>
      </w:pPr>
      <w:r>
        <w:rPr>
          <w:rFonts w:ascii="Arial" w:hAnsi="Arial" w:eastAsia="宋体" w:cs="Arial"/>
          <w:b/>
          <w:sz w:val="28"/>
          <w:szCs w:val="28"/>
        </w:rPr>
        <w:t>安全保证实例</w:t>
      </w:r>
    </w:p>
    <w:p w14:paraId="4E8D1DE5">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输液泵510（k）提交材料通常包括与</w:t>
      </w:r>
      <w:bookmarkStart w:id="6" w:name="OLE_LINK2"/>
      <w:bookmarkStart w:id="7" w:name="OLE_LINK1"/>
      <w:r>
        <w:rPr>
          <w:rFonts w:hint="eastAsia" w:ascii="Arial" w:hAnsi="Arial" w:eastAsia="宋体" w:cs="Arial"/>
          <w:szCs w:val="21"/>
        </w:rPr>
        <w:t>比较器械</w:t>
      </w:r>
      <w:bookmarkEnd w:id="6"/>
      <w:bookmarkEnd w:id="7"/>
      <w:r>
        <w:rPr>
          <w:rFonts w:ascii="Arial" w:hAnsi="Arial" w:eastAsia="宋体" w:cs="Arial"/>
          <w:szCs w:val="21"/>
        </w:rPr>
        <w:t>相比对软件、材料、设计、性能或其他特征的更改或修改。因此，FDA预计大多数新型器械（以及大多数更改或修改的器械</w:t>
      </w:r>
      <w:r>
        <w:rPr>
          <w:rStyle w:val="13"/>
          <w:rFonts w:ascii="Arial" w:hAnsi="Arial" w:eastAsia="宋体" w:cs="Arial"/>
          <w:szCs w:val="21"/>
        </w:rPr>
        <w:footnoteReference w:id="4"/>
      </w:r>
      <w:r>
        <w:rPr>
          <w:rFonts w:ascii="Arial" w:hAnsi="Arial" w:eastAsia="宋体" w:cs="Arial"/>
          <w:szCs w:val="21"/>
        </w:rPr>
        <w:t>）将与合法销售的</w:t>
      </w:r>
      <w:r>
        <w:rPr>
          <w:rFonts w:hint="eastAsia" w:ascii="Arial" w:hAnsi="Arial" w:eastAsia="宋体" w:cs="Arial"/>
          <w:szCs w:val="21"/>
        </w:rPr>
        <w:t>比较</w:t>
      </w:r>
      <w:r>
        <w:rPr>
          <w:rFonts w:ascii="Arial" w:hAnsi="Arial" w:eastAsia="宋体" w:cs="Arial"/>
          <w:szCs w:val="21"/>
        </w:rPr>
        <w:t>器械的技术特</w:t>
      </w:r>
      <w:r>
        <w:rPr>
          <w:rFonts w:hint="eastAsia" w:ascii="Arial" w:hAnsi="Arial" w:eastAsia="宋体" w:cs="Arial"/>
          <w:szCs w:val="21"/>
        </w:rPr>
        <w:t>有</w:t>
      </w:r>
      <w:r>
        <w:rPr>
          <w:rFonts w:ascii="Arial" w:hAnsi="Arial" w:eastAsia="宋体" w:cs="Arial"/>
          <w:szCs w:val="21"/>
        </w:rPr>
        <w:t>差异，即使具有相同的预期用途。根据</w:t>
      </w:r>
      <w:r>
        <w:rPr>
          <w:rFonts w:hint="eastAsia" w:ascii="宋体" w:hAnsi="宋体" w:eastAsia="宋体" w:cs="Arial"/>
          <w:szCs w:val="21"/>
        </w:rPr>
        <w:t>《</w:t>
      </w:r>
      <w:r>
        <w:rPr>
          <w:rFonts w:ascii="Arial" w:hAnsi="Arial" w:eastAsia="宋体" w:cs="Arial"/>
          <w:szCs w:val="21"/>
        </w:rPr>
        <w:t>联邦食品</w:t>
      </w:r>
      <w:r>
        <w:rPr>
          <w:rFonts w:hint="eastAsia" w:ascii="Arial" w:hAnsi="Arial" w:eastAsia="宋体" w:cs="Arial"/>
          <w:szCs w:val="21"/>
        </w:rPr>
        <w:t>、</w:t>
      </w:r>
      <w:r>
        <w:rPr>
          <w:rFonts w:ascii="Arial" w:hAnsi="Arial" w:eastAsia="宋体" w:cs="Arial"/>
          <w:szCs w:val="21"/>
        </w:rPr>
        <w:t>药品和化妆品法案</w:t>
      </w:r>
      <w:r>
        <w:rPr>
          <w:rFonts w:hint="eastAsia" w:ascii="宋体" w:hAnsi="宋体" w:eastAsia="宋体" w:cs="Arial"/>
          <w:szCs w:val="21"/>
        </w:rPr>
        <w:t>》</w:t>
      </w:r>
      <w:r>
        <w:rPr>
          <w:rFonts w:ascii="Arial" w:hAnsi="Arial" w:eastAsia="宋体" w:cs="Arial"/>
          <w:szCs w:val="21"/>
        </w:rPr>
        <w:t>（FD&amp;C法案）第513（i）条，实质等同性的确定将取决于提交的信息，包括适当的临床或科学数据，证明新型或修改的器械作为合法销售的</w:t>
      </w:r>
      <w:r>
        <w:rPr>
          <w:rFonts w:hint="eastAsia" w:ascii="Arial" w:hAnsi="Arial" w:eastAsia="宋体" w:cs="Arial"/>
          <w:szCs w:val="21"/>
        </w:rPr>
        <w:t>比较器械</w:t>
      </w:r>
      <w:r>
        <w:rPr>
          <w:rFonts w:ascii="Arial" w:hAnsi="Arial" w:eastAsia="宋体" w:cs="Arial"/>
          <w:szCs w:val="21"/>
        </w:rPr>
        <w:t>是安全有效的，与</w:t>
      </w:r>
      <w:r>
        <w:rPr>
          <w:rFonts w:hint="eastAsia" w:ascii="Arial" w:hAnsi="Arial" w:eastAsia="宋体" w:cs="Arial"/>
          <w:szCs w:val="21"/>
        </w:rPr>
        <w:t>比较</w:t>
      </w:r>
      <w:r>
        <w:rPr>
          <w:rFonts w:ascii="Arial" w:hAnsi="Arial" w:eastAsia="宋体" w:cs="Arial"/>
          <w:szCs w:val="21"/>
        </w:rPr>
        <w:t>器械相比不会产生不同的安全性和有效性问题。</w:t>
      </w:r>
    </w:p>
    <w:p w14:paraId="7819EAF6">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在确定贵公司新型、</w:t>
      </w:r>
      <w:r>
        <w:rPr>
          <w:rFonts w:hint="eastAsia" w:ascii="Arial" w:hAnsi="Arial" w:eastAsia="宋体" w:cs="Arial"/>
          <w:szCs w:val="21"/>
        </w:rPr>
        <w:t>变更</w:t>
      </w:r>
      <w:r>
        <w:rPr>
          <w:rFonts w:ascii="Arial" w:hAnsi="Arial" w:eastAsia="宋体" w:cs="Arial"/>
          <w:szCs w:val="21"/>
        </w:rPr>
        <w:t>或修改的输液泵是实质等同性时，FDA建议贵公司通过称为安全保证实例的框架提交贵公司的信息</w:t>
      </w:r>
      <w:r>
        <w:rPr>
          <w:rStyle w:val="13"/>
          <w:rFonts w:ascii="Arial" w:hAnsi="Arial" w:eastAsia="宋体" w:cs="Arial"/>
          <w:szCs w:val="21"/>
        </w:rPr>
        <w:footnoteReference w:id="5"/>
      </w:r>
      <w:r>
        <w:rPr>
          <w:rFonts w:ascii="Arial" w:hAnsi="Arial" w:eastAsia="宋体" w:cs="Arial"/>
          <w:szCs w:val="21"/>
        </w:rPr>
        <w:t>。</w:t>
      </w:r>
    </w:p>
    <w:p w14:paraId="21337972">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安全保证实例（或安全实例）由结构性论证组成，由一系列有效的科学证据支持，提供输液泵在其使用环境中充分解决与其预期用途相关危害的有组织实例。该论证应该与输液泵潜在的风险、输液泵的复杂性以及对已确定的风险和缓解措施的熟悉程度相称。</w:t>
      </w:r>
    </w:p>
    <w:p w14:paraId="15A7EA9B">
      <w:pPr>
        <w:widowControl/>
        <w:jc w:val="left"/>
        <w:rPr>
          <w:rFonts w:ascii="Arial" w:hAnsi="Arial" w:eastAsia="宋体" w:cs="Arial"/>
          <w:szCs w:val="21"/>
        </w:rPr>
      </w:pPr>
      <w:r>
        <w:rPr>
          <w:rFonts w:ascii="Arial" w:hAnsi="Arial" w:eastAsia="宋体" w:cs="Arial"/>
          <w:szCs w:val="21"/>
        </w:rPr>
        <w:br w:type="page"/>
      </w:r>
    </w:p>
    <w:p w14:paraId="3D80F71B">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安全实例是器械</w:t>
      </w:r>
      <w:r>
        <w:rPr>
          <w:rFonts w:hint="eastAsia" w:ascii="Arial" w:hAnsi="Arial" w:eastAsia="宋体" w:cs="Arial"/>
          <w:szCs w:val="21"/>
        </w:rPr>
        <w:t>特有</w:t>
      </w:r>
      <w:r>
        <w:rPr>
          <w:rFonts w:ascii="Arial" w:hAnsi="Arial" w:eastAsia="宋体" w:cs="Arial"/>
          <w:szCs w:val="21"/>
        </w:rPr>
        <w:t>的，并且取决于制造商规定的设计要求</w:t>
      </w:r>
      <w:r>
        <w:rPr>
          <w:rStyle w:val="13"/>
          <w:rFonts w:ascii="Arial" w:hAnsi="Arial" w:eastAsia="宋体" w:cs="Arial"/>
          <w:szCs w:val="21"/>
        </w:rPr>
        <w:footnoteReference w:id="6"/>
      </w:r>
      <w:r>
        <w:rPr>
          <w:rFonts w:ascii="Arial" w:hAnsi="Arial" w:eastAsia="宋体" w:cs="Arial"/>
          <w:szCs w:val="21"/>
        </w:rPr>
        <w:t>，相关危害</w:t>
      </w:r>
      <w:r>
        <w:rPr>
          <w:rFonts w:hint="eastAsia" w:ascii="Arial" w:hAnsi="Arial" w:eastAsia="宋体" w:cs="Arial"/>
          <w:szCs w:val="21"/>
        </w:rPr>
        <w:t>、</w:t>
      </w:r>
      <w:r>
        <w:rPr>
          <w:rFonts w:ascii="Arial" w:hAnsi="Arial" w:eastAsia="宋体" w:cs="Arial"/>
          <w:szCs w:val="21"/>
        </w:rPr>
        <w:t>设计质量标准和其他设计控制文件。因此，任何新开发的器械应具有其独特的安全实例。如果贵公司提交了510（k）修改</w:t>
      </w:r>
      <w:r>
        <w:rPr>
          <w:rFonts w:hint="eastAsia" w:ascii="Arial" w:hAnsi="Arial" w:eastAsia="宋体" w:cs="Arial"/>
          <w:szCs w:val="21"/>
        </w:rPr>
        <w:t>为</w:t>
      </w:r>
      <w:r>
        <w:rPr>
          <w:rFonts w:ascii="Arial" w:hAnsi="Arial" w:eastAsia="宋体" w:cs="Arial"/>
          <w:szCs w:val="21"/>
        </w:rPr>
        <w:t>合法销售而没有安全实例的输液泵，贵公司应该开发并提交贵公司输液泵的安全实例。</w:t>
      </w:r>
    </w:p>
    <w:p w14:paraId="42B21452">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安全保证实例最好与该器械的</w:t>
      </w:r>
      <w:r>
        <w:rPr>
          <w:rFonts w:hint="eastAsia" w:ascii="Arial" w:hAnsi="Arial" w:eastAsia="宋体" w:cs="Arial"/>
          <w:szCs w:val="21"/>
        </w:rPr>
        <w:t>开发</w:t>
      </w:r>
      <w:r>
        <w:rPr>
          <w:rFonts w:ascii="Arial" w:hAnsi="Arial" w:eastAsia="宋体" w:cs="Arial"/>
          <w:szCs w:val="21"/>
        </w:rPr>
        <w:t>同步发展。与该器械一起构建安全实例不仅可以提供更好的安全控制、声明、论据和证据，如果确定完成的设计不够安全，可能会降低回顾缓解的成本。</w:t>
      </w:r>
    </w:p>
    <w:p w14:paraId="0D5DB354">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鼓励贵公司使用先前开发的输液泵高级安全实例结构或模式。过去的安全保证实例是有用的</w:t>
      </w:r>
      <w:r>
        <w:rPr>
          <w:rFonts w:hint="eastAsia" w:ascii="Arial" w:hAnsi="Arial" w:eastAsia="宋体" w:cs="Arial"/>
          <w:szCs w:val="21"/>
        </w:rPr>
        <w:t>示例</w:t>
      </w:r>
      <w:r>
        <w:rPr>
          <w:rFonts w:ascii="Arial" w:hAnsi="Arial" w:eastAsia="宋体" w:cs="Arial"/>
          <w:szCs w:val="21"/>
        </w:rPr>
        <w:t>，可能为开发框架提供依据。但是，贵公司应确保以前使用的任何实例适用于正在开发的系统。</w:t>
      </w:r>
    </w:p>
    <w:p w14:paraId="56D6E841">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为了最大限度地发挥安全实例的优势，贵公司应在输液泵的整个使用寿命期间保持和完善贵公司的安全实例。在开发、维护和改进安全实例时，贵公司应该在安全实例内解决输液泵的整个生命周期。</w:t>
      </w:r>
    </w:p>
    <w:p w14:paraId="528F19F7">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FDA不规定用于开发贵公司的安全实例的格式或演示风格。本指导性文件中的建议旨在提供协助并有助于开发和记录安全实例。</w:t>
      </w:r>
    </w:p>
    <w:p w14:paraId="52C89497">
      <w:pPr>
        <w:pStyle w:val="17"/>
        <w:snapToGrid w:val="0"/>
        <w:spacing w:after="156" w:afterLines="50" w:line="300" w:lineRule="auto"/>
        <w:ind w:left="360" w:firstLine="0" w:firstLineChars="0"/>
        <w:rPr>
          <w:rFonts w:ascii="Arial" w:hAnsi="Arial" w:eastAsia="宋体" w:cs="Arial"/>
          <w:szCs w:val="21"/>
        </w:rPr>
      </w:pPr>
      <w:r>
        <w:rPr>
          <w:rFonts w:ascii="Arial" w:hAnsi="Arial" w:eastAsia="宋体" w:cs="Arial"/>
          <w:szCs w:val="21"/>
        </w:rPr>
        <w:t>第5A节提供了有关开发安全实例的指导，第5B节-第5F节为组成安全实例内容的要素提供指导。</w:t>
      </w:r>
    </w:p>
    <w:p w14:paraId="1D524891">
      <w:pPr>
        <w:pStyle w:val="17"/>
        <w:numPr>
          <w:ilvl w:val="0"/>
          <w:numId w:val="9"/>
        </w:numPr>
        <w:snapToGrid w:val="0"/>
        <w:spacing w:after="156" w:afterLines="50" w:line="300" w:lineRule="auto"/>
        <w:ind w:firstLineChars="0"/>
        <w:outlineLvl w:val="1"/>
        <w:rPr>
          <w:rFonts w:ascii="Arial" w:hAnsi="Arial" w:eastAsia="宋体" w:cs="Arial"/>
          <w:b/>
          <w:sz w:val="28"/>
          <w:szCs w:val="28"/>
        </w:rPr>
      </w:pPr>
      <w:bookmarkStart w:id="8" w:name="_Toc483237546"/>
      <w:r>
        <w:rPr>
          <w:rFonts w:ascii="Arial" w:hAnsi="Arial" w:eastAsia="宋体" w:cs="Arial"/>
          <w:b/>
          <w:sz w:val="28"/>
          <w:szCs w:val="28"/>
        </w:rPr>
        <w:t>安全实例开发的一般注意事项</w:t>
      </w:r>
      <w:bookmarkEnd w:id="8"/>
    </w:p>
    <w:p w14:paraId="3074592E">
      <w:pPr>
        <w:pStyle w:val="17"/>
        <w:snapToGrid w:val="0"/>
        <w:spacing w:after="156" w:afterLines="50" w:line="300" w:lineRule="auto"/>
        <w:ind w:left="720" w:firstLine="0" w:firstLineChars="0"/>
        <w:rPr>
          <w:rFonts w:ascii="Arial" w:hAnsi="Arial" w:eastAsia="宋体" w:cs="Arial"/>
          <w:szCs w:val="21"/>
        </w:rPr>
      </w:pPr>
      <w:r>
        <w:rPr>
          <w:rFonts w:ascii="Arial" w:hAnsi="Arial" w:eastAsia="宋体" w:cs="Arial"/>
          <w:b/>
          <w:szCs w:val="21"/>
        </w:rPr>
        <w:t>安全保证实例</w:t>
      </w:r>
      <w:r>
        <w:rPr>
          <w:rFonts w:ascii="Arial" w:hAnsi="Arial" w:eastAsia="宋体" w:cs="Arial"/>
          <w:szCs w:val="21"/>
        </w:rPr>
        <w:t>的三个主要要素是：</w:t>
      </w:r>
    </w:p>
    <w:p w14:paraId="465BE345">
      <w:pPr>
        <w:pStyle w:val="17"/>
        <w:numPr>
          <w:ilvl w:val="0"/>
          <w:numId w:val="10"/>
        </w:numPr>
        <w:snapToGrid w:val="0"/>
        <w:spacing w:after="156" w:afterLines="50" w:line="300" w:lineRule="auto"/>
        <w:ind w:firstLineChars="0"/>
        <w:rPr>
          <w:rFonts w:ascii="Arial" w:hAnsi="Arial" w:eastAsia="宋体" w:cs="Arial"/>
          <w:szCs w:val="21"/>
        </w:rPr>
      </w:pPr>
      <w:r>
        <w:rPr>
          <w:rFonts w:ascii="Arial" w:hAnsi="Arial" w:eastAsia="宋体" w:cs="Arial"/>
          <w:b/>
          <w:szCs w:val="21"/>
        </w:rPr>
        <w:t>声明</w:t>
      </w:r>
      <w:r>
        <w:rPr>
          <w:rFonts w:ascii="Arial" w:hAnsi="Arial" w:eastAsia="宋体" w:cs="Arial"/>
          <w:szCs w:val="21"/>
        </w:rPr>
        <w:t>：关于系统或某个子系统的属性的声明。</w:t>
      </w:r>
    </w:p>
    <w:p w14:paraId="4B8B5D7C">
      <w:pPr>
        <w:pStyle w:val="17"/>
        <w:numPr>
          <w:ilvl w:val="0"/>
          <w:numId w:val="10"/>
        </w:numPr>
        <w:snapToGrid w:val="0"/>
        <w:spacing w:after="156" w:afterLines="50" w:line="300" w:lineRule="auto"/>
        <w:ind w:firstLineChars="0"/>
        <w:rPr>
          <w:rFonts w:ascii="Arial" w:hAnsi="Arial" w:eastAsia="宋体" w:cs="Arial"/>
          <w:szCs w:val="21"/>
        </w:rPr>
      </w:pPr>
      <w:r>
        <w:rPr>
          <w:rFonts w:ascii="Arial" w:hAnsi="Arial" w:eastAsia="宋体" w:cs="Arial"/>
          <w:b/>
          <w:szCs w:val="21"/>
        </w:rPr>
        <w:t>论点：</w:t>
      </w:r>
      <w:r>
        <w:rPr>
          <w:rFonts w:ascii="Arial" w:hAnsi="Arial" w:eastAsia="宋体" w:cs="Arial"/>
          <w:szCs w:val="21"/>
        </w:rPr>
        <w:t>将证据</w:t>
      </w:r>
      <w:r>
        <w:rPr>
          <w:rFonts w:hint="eastAsia" w:ascii="Arial" w:hAnsi="Arial" w:eastAsia="宋体" w:cs="Arial"/>
          <w:szCs w:val="21"/>
        </w:rPr>
        <w:t>和</w:t>
      </w:r>
      <w:r>
        <w:rPr>
          <w:rFonts w:ascii="Arial" w:hAnsi="Arial" w:eastAsia="宋体" w:cs="Arial"/>
          <w:szCs w:val="21"/>
        </w:rPr>
        <w:t>声明</w:t>
      </w:r>
      <w:r>
        <w:rPr>
          <w:rFonts w:hint="eastAsia" w:ascii="Arial" w:hAnsi="Arial" w:eastAsia="宋体" w:cs="Arial"/>
          <w:szCs w:val="21"/>
        </w:rPr>
        <w:t>联系起来</w:t>
      </w:r>
      <w:r>
        <w:rPr>
          <w:rFonts w:ascii="Arial" w:hAnsi="Arial" w:eastAsia="宋体" w:cs="Arial"/>
          <w:szCs w:val="21"/>
        </w:rPr>
        <w:t>。论点可以是确定性的、概率的或定性的。这个论点描述了正在证明或确定的内容，确定贵公司所要求的证据项目，以及证据足以满足声明的理由（推理，原理）。论点也可能引入需要进一步论证的次级声明或假设。除了证明证据足以满足声明之外，这一论点也应该</w:t>
      </w:r>
      <w:r>
        <w:rPr>
          <w:rFonts w:hint="eastAsia" w:ascii="Arial" w:hAnsi="Arial" w:eastAsia="宋体" w:cs="Arial"/>
          <w:szCs w:val="21"/>
        </w:rPr>
        <w:t>加强</w:t>
      </w:r>
      <w:r>
        <w:rPr>
          <w:rFonts w:ascii="Arial" w:hAnsi="Arial" w:eastAsia="宋体" w:cs="Arial"/>
          <w:szCs w:val="21"/>
        </w:rPr>
        <w:t>证据</w:t>
      </w:r>
      <w:r>
        <w:rPr>
          <w:rFonts w:hint="eastAsia" w:ascii="Arial" w:hAnsi="Arial" w:eastAsia="宋体" w:cs="Arial"/>
          <w:szCs w:val="21"/>
        </w:rPr>
        <w:t>充足性</w:t>
      </w:r>
      <w:r>
        <w:rPr>
          <w:rFonts w:ascii="Arial" w:hAnsi="Arial" w:eastAsia="宋体" w:cs="Arial"/>
          <w:szCs w:val="21"/>
        </w:rPr>
        <w:t>的</w:t>
      </w:r>
      <w:r>
        <w:rPr>
          <w:rFonts w:hint="eastAsia" w:ascii="Arial" w:hAnsi="Arial" w:eastAsia="宋体" w:cs="Arial"/>
          <w:szCs w:val="21"/>
        </w:rPr>
        <w:t>可信度</w:t>
      </w:r>
      <w:r>
        <w:rPr>
          <w:rFonts w:ascii="Arial" w:hAnsi="Arial" w:eastAsia="宋体" w:cs="Arial"/>
          <w:szCs w:val="21"/>
        </w:rPr>
        <w:t>。</w:t>
      </w:r>
    </w:p>
    <w:p w14:paraId="5CD51D12">
      <w:pPr>
        <w:widowControl/>
        <w:jc w:val="left"/>
        <w:rPr>
          <w:rFonts w:ascii="Arial" w:hAnsi="Arial" w:eastAsia="宋体" w:cs="Arial"/>
          <w:b/>
          <w:szCs w:val="21"/>
        </w:rPr>
      </w:pPr>
      <w:r>
        <w:rPr>
          <w:rFonts w:ascii="Arial" w:hAnsi="Arial" w:eastAsia="宋体" w:cs="Arial"/>
          <w:b/>
          <w:szCs w:val="21"/>
        </w:rPr>
        <w:br w:type="page"/>
      </w:r>
    </w:p>
    <w:p w14:paraId="4BD1C9A8">
      <w:pPr>
        <w:pStyle w:val="17"/>
        <w:numPr>
          <w:ilvl w:val="0"/>
          <w:numId w:val="10"/>
        </w:numPr>
        <w:snapToGrid w:val="0"/>
        <w:spacing w:after="156" w:afterLines="50" w:line="300" w:lineRule="auto"/>
        <w:ind w:firstLineChars="0"/>
        <w:rPr>
          <w:rFonts w:ascii="Arial" w:hAnsi="Arial" w:eastAsia="宋体" w:cs="Arial"/>
          <w:szCs w:val="21"/>
        </w:rPr>
      </w:pPr>
      <w:r>
        <w:rPr>
          <w:rFonts w:ascii="Arial" w:hAnsi="Arial" w:eastAsia="宋体" w:cs="Arial"/>
          <w:b/>
          <w:szCs w:val="21"/>
        </w:rPr>
        <w:t>证据</w:t>
      </w:r>
      <w:r>
        <w:rPr>
          <w:rFonts w:ascii="Arial" w:hAnsi="Arial" w:eastAsia="宋体" w:cs="Arial"/>
          <w:szCs w:val="21"/>
        </w:rPr>
        <w:t>：证明该论点有效性的信息。可以包括事实（例如，基于观察或确定的科学原理）、分析、研究结论、测试数据和专家意见。</w:t>
      </w:r>
    </w:p>
    <w:p w14:paraId="42926B3F">
      <w:pPr>
        <w:pStyle w:val="19"/>
        <w:snapToGrid w:val="0"/>
        <w:spacing w:after="156" w:afterLines="50" w:line="300" w:lineRule="auto"/>
        <w:rPr>
          <w:rFonts w:ascii="Arial" w:hAnsi="Arial" w:eastAsia="宋体" w:cs="Arial"/>
          <w:szCs w:val="21"/>
        </w:rPr>
      </w:pPr>
      <w:r>
        <w:rPr>
          <w:rFonts w:ascii="Arial" w:hAnsi="Arial" w:eastAsia="宋体" w:cs="Arial"/>
          <w:szCs w:val="21"/>
        </w:rPr>
        <w:t>安全实例的这些要素提供了一个论点，即器械造成的危害已得到了充分的解决。这是通过透彻分析危害和实施适当控制来解决危害的。</w:t>
      </w:r>
    </w:p>
    <w:p w14:paraId="088B925D">
      <w:pPr>
        <w:pStyle w:val="19"/>
        <w:snapToGrid w:val="0"/>
        <w:spacing w:after="156" w:afterLines="50" w:line="300" w:lineRule="auto"/>
        <w:rPr>
          <w:rFonts w:ascii="Arial" w:hAnsi="Arial" w:eastAsia="宋体" w:cs="Arial"/>
          <w:szCs w:val="21"/>
        </w:rPr>
      </w:pPr>
      <w:r>
        <w:rPr>
          <w:rFonts w:ascii="Arial" w:hAnsi="Arial" w:eastAsia="宋体" w:cs="Arial"/>
          <w:szCs w:val="21"/>
        </w:rPr>
        <w:t>在单个安全实例中，将有多层次的声明和论点，随着安全实例接近证据水平，特异性水平越来越高。贵公司的安全实例应为输液泵安全性提出要求。特定输液泵的安全实例应包括以下内容：</w:t>
      </w:r>
    </w:p>
    <w:p w14:paraId="114692F9">
      <w:pPr>
        <w:pStyle w:val="19"/>
        <w:numPr>
          <w:ilvl w:val="0"/>
          <w:numId w:val="11"/>
        </w:numPr>
        <w:snapToGrid w:val="0"/>
        <w:spacing w:after="156" w:afterLines="50" w:line="300" w:lineRule="auto"/>
        <w:rPr>
          <w:rFonts w:ascii="Arial" w:hAnsi="Arial" w:eastAsia="宋体" w:cs="Arial"/>
          <w:szCs w:val="21"/>
        </w:rPr>
      </w:pPr>
      <w:r>
        <w:rPr>
          <w:rFonts w:ascii="Arial" w:hAnsi="Arial" w:eastAsia="宋体" w:cs="Arial"/>
          <w:szCs w:val="21"/>
        </w:rPr>
        <w:t>使用该器械的人员是有代表性的或预期用户；</w:t>
      </w:r>
      <w:r>
        <w:rPr>
          <w:rFonts w:hint="eastAsia" w:ascii="Arial" w:hAnsi="Arial" w:eastAsia="宋体" w:cs="Arial"/>
          <w:szCs w:val="21"/>
        </w:rPr>
        <w:t>以及</w:t>
      </w:r>
    </w:p>
    <w:p w14:paraId="2FC9BBD1">
      <w:pPr>
        <w:pStyle w:val="19"/>
        <w:numPr>
          <w:ilvl w:val="0"/>
          <w:numId w:val="11"/>
        </w:numPr>
        <w:snapToGrid w:val="0"/>
        <w:spacing w:after="156" w:afterLines="50" w:line="300" w:lineRule="auto"/>
        <w:rPr>
          <w:rFonts w:ascii="Arial" w:hAnsi="Arial" w:eastAsia="宋体" w:cs="Arial"/>
          <w:szCs w:val="21"/>
        </w:rPr>
      </w:pPr>
      <w:r>
        <w:rPr>
          <w:rFonts w:ascii="Arial" w:hAnsi="Arial" w:eastAsia="宋体" w:cs="Arial"/>
          <w:szCs w:val="21"/>
        </w:rPr>
        <w:t>该器械的使用条件，包括在器械的标签或广告中规定、推荐或建议的使用条件，以及其他预期的使用条件。</w:t>
      </w:r>
    </w:p>
    <w:p w14:paraId="3EED1AA8">
      <w:pPr>
        <w:pStyle w:val="19"/>
        <w:snapToGrid w:val="0"/>
        <w:spacing w:after="156" w:afterLines="50" w:line="300" w:lineRule="auto"/>
        <w:rPr>
          <w:rFonts w:ascii="Arial" w:hAnsi="Arial" w:eastAsia="宋体" w:cs="Arial"/>
          <w:szCs w:val="21"/>
        </w:rPr>
      </w:pPr>
      <w:r>
        <w:rPr>
          <w:rFonts w:ascii="Arial" w:hAnsi="Arial" w:eastAsia="宋体" w:cs="Arial"/>
          <w:szCs w:val="21"/>
        </w:rPr>
        <w:t>然后，安全实例应</w:t>
      </w:r>
      <w:r>
        <w:rPr>
          <w:rFonts w:hint="eastAsia" w:ascii="Arial" w:hAnsi="Arial" w:eastAsia="宋体" w:cs="Arial"/>
          <w:szCs w:val="21"/>
        </w:rPr>
        <w:t>发展</w:t>
      </w:r>
      <w:r>
        <w:rPr>
          <w:rFonts w:ascii="Arial" w:hAnsi="Arial" w:eastAsia="宋体" w:cs="Arial"/>
          <w:szCs w:val="21"/>
        </w:rPr>
        <w:t>到确定器械危害在其使用范围内得到充分解决</w:t>
      </w:r>
      <w:r>
        <w:rPr>
          <w:rFonts w:hint="eastAsia" w:ascii="Arial" w:hAnsi="Arial" w:eastAsia="宋体" w:cs="Arial"/>
          <w:szCs w:val="21"/>
        </w:rPr>
        <w:t>的</w:t>
      </w:r>
      <w:r>
        <w:rPr>
          <w:rFonts w:ascii="Arial" w:hAnsi="Arial" w:eastAsia="宋体" w:cs="Arial"/>
          <w:szCs w:val="21"/>
        </w:rPr>
        <w:t>因素，并通过证据证明有效实施危害缓解。</w:t>
      </w:r>
    </w:p>
    <w:p w14:paraId="0C0B086F">
      <w:pPr>
        <w:pStyle w:val="19"/>
        <w:snapToGrid w:val="0"/>
        <w:spacing w:after="156" w:afterLines="50" w:line="300" w:lineRule="auto"/>
        <w:rPr>
          <w:rFonts w:ascii="Arial" w:hAnsi="Arial" w:eastAsia="宋体" w:cs="Arial"/>
          <w:szCs w:val="21"/>
        </w:rPr>
      </w:pPr>
      <w:r>
        <w:rPr>
          <w:rFonts w:ascii="Arial" w:hAnsi="Arial" w:eastAsia="宋体" w:cs="Arial"/>
          <w:szCs w:val="21"/>
        </w:rPr>
        <w:t>以下建议基于我们审查安全实例的经验。</w:t>
      </w:r>
    </w:p>
    <w:p w14:paraId="6B081145">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证明危害分析过程完整性的独立论证结构，包括确保安全实例中的危害</w:t>
      </w:r>
      <w:r>
        <w:rPr>
          <w:rFonts w:hint="eastAsia" w:ascii="Arial" w:hAnsi="Arial" w:eastAsia="宋体" w:cs="Arial"/>
          <w:szCs w:val="21"/>
        </w:rPr>
        <w:t>是准确完整</w:t>
      </w:r>
      <w:r>
        <w:rPr>
          <w:rFonts w:ascii="Arial" w:hAnsi="Arial" w:eastAsia="宋体" w:cs="Arial"/>
          <w:szCs w:val="21"/>
        </w:rPr>
        <w:t>的技术、程序和结果。这个概念通常被称为有把握的实例。</w:t>
      </w:r>
    </w:p>
    <w:p w14:paraId="56B32AAE">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根据输液泵的复杂性，为某些领域提供具体的论点结构是有用的，如软件、人为因素和可靠性。</w:t>
      </w:r>
    </w:p>
    <w:p w14:paraId="5B1B3F2B">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论点应包括选择安全控制验收标准的理由。这些可以直接整合到安全实例中。</w:t>
      </w:r>
    </w:p>
    <w:p w14:paraId="15C7C5F3">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对于证明所有已识别的危害处境至少有一个相应的控制并且所有控制已经在最终器械设计中进行验证和确认的可追溯性分析是有用的。</w:t>
      </w:r>
    </w:p>
    <w:p w14:paraId="1BB850CD">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有常用的安全实例格式。如果贵公司选择使用自己的格式提交安全实例，我们建议贵公司提供执行摘要</w:t>
      </w:r>
      <w:r>
        <w:rPr>
          <w:rFonts w:hint="eastAsia" w:ascii="Arial" w:hAnsi="Arial" w:eastAsia="宋体" w:cs="Arial"/>
          <w:szCs w:val="21"/>
        </w:rPr>
        <w:t>来</w:t>
      </w:r>
      <w:r>
        <w:rPr>
          <w:rFonts w:ascii="Arial" w:hAnsi="Arial" w:eastAsia="宋体" w:cs="Arial"/>
          <w:szCs w:val="21"/>
        </w:rPr>
        <w:t>协助FDA</w:t>
      </w:r>
      <w:r>
        <w:rPr>
          <w:rFonts w:hint="eastAsia" w:ascii="Arial" w:hAnsi="Arial" w:eastAsia="宋体" w:cs="Arial"/>
          <w:szCs w:val="21"/>
        </w:rPr>
        <w:t>理解</w:t>
      </w:r>
      <w:r>
        <w:rPr>
          <w:rFonts w:ascii="Arial" w:hAnsi="Arial" w:eastAsia="宋体" w:cs="Arial"/>
          <w:szCs w:val="21"/>
        </w:rPr>
        <w:t>贵公司的安全实例。</w:t>
      </w:r>
    </w:p>
    <w:p w14:paraId="49CA40A1">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FDA对安全实例的审查包括使用上市后数据来确认安全实例论点的有效性。贵公司可能会发现在内部审查过程中进行类似的练习很有用。</w:t>
      </w:r>
    </w:p>
    <w:p w14:paraId="7F9ADEF3">
      <w:pPr>
        <w:widowControl/>
        <w:jc w:val="left"/>
        <w:rPr>
          <w:rFonts w:ascii="Arial" w:hAnsi="Arial" w:eastAsia="宋体" w:cs="Arial"/>
          <w:szCs w:val="21"/>
        </w:rPr>
      </w:pPr>
      <w:r>
        <w:rPr>
          <w:rFonts w:ascii="Arial" w:hAnsi="Arial" w:eastAsia="宋体" w:cs="Arial"/>
          <w:szCs w:val="21"/>
        </w:rPr>
        <w:br w:type="page"/>
      </w:r>
    </w:p>
    <w:p w14:paraId="41EFAA7D">
      <w:pPr>
        <w:pStyle w:val="19"/>
        <w:numPr>
          <w:ilvl w:val="0"/>
          <w:numId w:val="12"/>
        </w:numPr>
        <w:snapToGrid w:val="0"/>
        <w:spacing w:after="156" w:afterLines="50" w:line="300" w:lineRule="auto"/>
        <w:rPr>
          <w:rFonts w:ascii="Arial" w:hAnsi="Arial" w:eastAsia="宋体" w:cs="Arial"/>
          <w:szCs w:val="21"/>
        </w:rPr>
      </w:pPr>
      <w:r>
        <w:rPr>
          <w:rFonts w:ascii="Arial" w:hAnsi="Arial" w:eastAsia="宋体" w:cs="Arial"/>
          <w:szCs w:val="21"/>
        </w:rPr>
        <w:t>制造商已经受益于早期与FDA交流</w:t>
      </w:r>
      <w:r>
        <w:rPr>
          <w:rFonts w:hint="eastAsia" w:ascii="Arial" w:hAnsi="Arial" w:eastAsia="宋体" w:cs="Arial"/>
          <w:szCs w:val="21"/>
        </w:rPr>
        <w:t>关于</w:t>
      </w:r>
      <w:r>
        <w:rPr>
          <w:rFonts w:ascii="Arial" w:hAnsi="Arial" w:eastAsia="宋体" w:cs="Arial"/>
          <w:szCs w:val="21"/>
        </w:rPr>
        <w:t>安全实例</w:t>
      </w:r>
      <w:r>
        <w:rPr>
          <w:rFonts w:hint="eastAsia" w:ascii="Arial" w:hAnsi="Arial" w:eastAsia="宋体" w:cs="Arial"/>
          <w:szCs w:val="21"/>
        </w:rPr>
        <w:t>的</w:t>
      </w:r>
      <w:r>
        <w:rPr>
          <w:rFonts w:ascii="Arial" w:hAnsi="Arial" w:eastAsia="宋体" w:cs="Arial"/>
          <w:szCs w:val="21"/>
        </w:rPr>
        <w:t>开发。FDA的反馈可以通过预提交材料的过程获得。请参阅FDA的指南，</w:t>
      </w:r>
      <w:bookmarkStart w:id="9" w:name="OLE_LINK29"/>
      <w:bookmarkStart w:id="10" w:name="OLE_LINK30"/>
      <w:r>
        <w:rPr>
          <w:rStyle w:val="12"/>
          <w:rFonts w:ascii="Arial" w:hAnsi="Arial" w:eastAsia="宋体" w:cs="Arial"/>
          <w:i/>
          <w:szCs w:val="21"/>
        </w:rPr>
        <w:t>医疗器械提交材料反馈要求：预提交材料计划和与FDA人员会议指南</w:t>
      </w:r>
      <w:bookmarkEnd w:id="9"/>
      <w:bookmarkEnd w:id="10"/>
      <w:r>
        <w:rPr>
          <w:rFonts w:ascii="Arial" w:hAnsi="Arial" w:eastAsia="宋体" w:cs="Arial"/>
          <w:szCs w:val="21"/>
        </w:rPr>
        <w:t>（</w:t>
      </w:r>
      <w:r>
        <w:fldChar w:fldCharType="begin"/>
      </w:r>
      <w:r>
        <w:instrText xml:space="preserve"> HYPERLINK "http://www.fda.gov/downloads/MedicalDevices/DeviceRegulationandGuidance/GuidanceDocuments/UCM311176.pdf" </w:instrText>
      </w:r>
      <w:r>
        <w:fldChar w:fldCharType="separate"/>
      </w:r>
      <w:r>
        <w:rPr>
          <w:rStyle w:val="12"/>
          <w:rFonts w:ascii="Arial" w:hAnsi="Arial" w:eastAsia="宋体" w:cs="Arial"/>
          <w:szCs w:val="21"/>
        </w:rPr>
        <w:t>http://www.fda.gov/downloads/MedicalDevices/DeviceRegulationandGuidance/GuidanceDocuments/UCM311176.pdf</w:t>
      </w:r>
      <w:r>
        <w:rPr>
          <w:rStyle w:val="12"/>
          <w:rFonts w:ascii="Arial" w:hAnsi="Arial" w:eastAsia="宋体" w:cs="Arial"/>
          <w:szCs w:val="21"/>
        </w:rPr>
        <w:fldChar w:fldCharType="end"/>
      </w:r>
      <w:r>
        <w:rPr>
          <w:rFonts w:ascii="Arial" w:hAnsi="Arial" w:eastAsia="宋体" w:cs="Arial"/>
          <w:szCs w:val="21"/>
        </w:rPr>
        <w:t>）</w:t>
      </w:r>
      <w:r>
        <w:rPr>
          <w:rFonts w:hint="eastAsia" w:ascii="Arial" w:hAnsi="Arial" w:eastAsia="宋体" w:cs="Arial"/>
          <w:szCs w:val="21"/>
        </w:rPr>
        <w:t>。</w:t>
      </w:r>
    </w:p>
    <w:p w14:paraId="5693671B">
      <w:pPr>
        <w:pStyle w:val="19"/>
        <w:numPr>
          <w:ilvl w:val="0"/>
          <w:numId w:val="9"/>
        </w:numPr>
        <w:snapToGrid w:val="0"/>
        <w:spacing w:after="156" w:afterLines="50" w:line="300" w:lineRule="auto"/>
        <w:outlineLvl w:val="1"/>
        <w:rPr>
          <w:rFonts w:ascii="Arial" w:hAnsi="Arial" w:eastAsia="宋体" w:cs="Arial"/>
          <w:b/>
          <w:sz w:val="28"/>
          <w:szCs w:val="28"/>
        </w:rPr>
      </w:pPr>
      <w:bookmarkStart w:id="11" w:name="_Toc483237547"/>
      <w:r>
        <w:rPr>
          <w:rFonts w:ascii="Arial" w:hAnsi="Arial" w:eastAsia="宋体" w:cs="Arial"/>
          <w:b/>
          <w:sz w:val="28"/>
          <w:szCs w:val="28"/>
        </w:rPr>
        <w:t>危害分析</w:t>
      </w:r>
      <w:bookmarkEnd w:id="11"/>
    </w:p>
    <w:p w14:paraId="60F0C3EA">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危害分析的目的是确定危害及该危害的潜在原因。具体来说，目的是确定用户或患者暴露于潜在伤害源的情况。</w:t>
      </w:r>
    </w:p>
    <w:p w14:paraId="4EA7AA5D">
      <w:pPr>
        <w:pStyle w:val="19"/>
        <w:snapToGrid w:val="0"/>
        <w:spacing w:after="156" w:afterLines="50" w:line="300" w:lineRule="auto"/>
        <w:ind w:left="720"/>
        <w:rPr>
          <w:rFonts w:ascii="Arial" w:hAnsi="Arial" w:eastAsia="宋体" w:cs="Arial"/>
          <w:szCs w:val="21"/>
        </w:rPr>
      </w:pPr>
      <w:r>
        <w:rPr>
          <w:rFonts w:ascii="Arial" w:hAnsi="Arial" w:eastAsia="宋体" w:cs="Arial"/>
          <w:szCs w:val="21"/>
        </w:rPr>
        <w:t>FDA已经确定输液泵系统危害，如表2所示。贵公司的安全实例应提供论点，证明贵公司的器械已经充分解决了这些系统危害的原因。</w:t>
      </w:r>
    </w:p>
    <w:p w14:paraId="1C7DF727">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表2-输液泵系统危害</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1"/>
        <w:gridCol w:w="3901"/>
      </w:tblGrid>
      <w:tr w14:paraId="01F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619B9B6D">
            <w:pPr>
              <w:pStyle w:val="19"/>
              <w:snapToGrid w:val="0"/>
              <w:spacing w:before="46" w:beforeLines="15" w:after="46" w:afterLines="15" w:line="240" w:lineRule="exact"/>
              <w:rPr>
                <w:rFonts w:ascii="Arial" w:hAnsi="Arial" w:eastAsia="宋体" w:cs="Arial"/>
                <w:b/>
                <w:szCs w:val="21"/>
              </w:rPr>
            </w:pPr>
            <w:r>
              <w:rPr>
                <w:rFonts w:ascii="Arial" w:hAnsi="Arial" w:eastAsia="宋体" w:cs="Arial"/>
                <w:b/>
                <w:szCs w:val="21"/>
              </w:rPr>
              <w:t>输液泵系统危害</w:t>
            </w:r>
          </w:p>
        </w:tc>
        <w:tc>
          <w:tcPr>
            <w:tcW w:w="3901" w:type="dxa"/>
          </w:tcPr>
          <w:p w14:paraId="46DA9759">
            <w:pPr>
              <w:pStyle w:val="19"/>
              <w:snapToGrid w:val="0"/>
              <w:spacing w:before="46" w:beforeLines="15" w:after="46" w:afterLines="15" w:line="240" w:lineRule="exact"/>
              <w:rPr>
                <w:rFonts w:ascii="Arial" w:hAnsi="Arial" w:eastAsia="宋体" w:cs="Arial"/>
                <w:b/>
                <w:szCs w:val="21"/>
              </w:rPr>
            </w:pPr>
            <w:r>
              <w:rPr>
                <w:rFonts w:ascii="Arial" w:hAnsi="Arial" w:eastAsia="宋体" w:cs="Arial"/>
                <w:b/>
                <w:szCs w:val="21"/>
              </w:rPr>
              <w:t>系统危害定义</w:t>
            </w:r>
          </w:p>
        </w:tc>
      </w:tr>
      <w:tr w14:paraId="46E0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3553BEB1">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输液错误</w:t>
            </w:r>
          </w:p>
        </w:tc>
        <w:tc>
          <w:tcPr>
            <w:tcW w:w="3901" w:type="dxa"/>
          </w:tcPr>
          <w:p w14:paraId="0965C991">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尝试</w:t>
            </w:r>
            <w:r>
              <w:rPr>
                <w:rFonts w:hint="eastAsia" w:ascii="Arial" w:hAnsi="Arial" w:eastAsia="宋体" w:cs="Arial"/>
                <w:szCs w:val="21"/>
              </w:rPr>
              <w:t>进行</w:t>
            </w:r>
            <w:r>
              <w:rPr>
                <w:rFonts w:ascii="Arial" w:hAnsi="Arial" w:eastAsia="宋体" w:cs="Arial"/>
                <w:szCs w:val="21"/>
              </w:rPr>
              <w:t>预期的药物选择和输送，但未能在适当的时间、剂量、体积、患者或解剖或生理位置</w:t>
            </w:r>
            <w:r>
              <w:rPr>
                <w:rFonts w:hint="eastAsia" w:ascii="Arial" w:hAnsi="Arial" w:eastAsia="宋体" w:cs="Arial"/>
                <w:szCs w:val="21"/>
              </w:rPr>
              <w:t>的</w:t>
            </w:r>
            <w:r>
              <w:rPr>
                <w:rFonts w:ascii="Arial" w:hAnsi="Arial" w:eastAsia="宋体" w:cs="Arial"/>
                <w:szCs w:val="21"/>
              </w:rPr>
              <w:t>标准</w:t>
            </w:r>
            <w:r>
              <w:rPr>
                <w:rFonts w:hint="eastAsia" w:ascii="Arial" w:hAnsi="Arial" w:eastAsia="宋体" w:cs="Arial"/>
                <w:szCs w:val="21"/>
              </w:rPr>
              <w:t>下</w:t>
            </w:r>
            <w:r>
              <w:rPr>
                <w:rFonts w:ascii="Arial" w:hAnsi="Arial" w:eastAsia="宋体" w:cs="Arial"/>
                <w:szCs w:val="21"/>
              </w:rPr>
              <w:t>输送。这可能包括过多输送、过少输送或延迟输送情况。</w:t>
            </w:r>
          </w:p>
        </w:tc>
      </w:tr>
      <w:tr w14:paraId="43F5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1D24DC64">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治疗不正确</w:t>
            </w:r>
          </w:p>
        </w:tc>
        <w:tc>
          <w:tcPr>
            <w:tcW w:w="3901" w:type="dxa"/>
          </w:tcPr>
          <w:p w14:paraId="7E2BDAFB">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由于选择输送错误的物质，未能选择或提供预期的药物。</w:t>
            </w:r>
          </w:p>
        </w:tc>
      </w:tr>
      <w:tr w14:paraId="6A2F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152DBE33">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生物/化学污染</w:t>
            </w:r>
          </w:p>
        </w:tc>
        <w:tc>
          <w:tcPr>
            <w:tcW w:w="3901" w:type="dxa"/>
          </w:tcPr>
          <w:p w14:paraId="18B5E593">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意外接触生物或化学物质或非预期的患者，或对预期生物或化学物质的生理反应。</w:t>
            </w:r>
          </w:p>
        </w:tc>
      </w:tr>
      <w:tr w14:paraId="6CC6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41059DA2">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创伤性损伤</w:t>
            </w:r>
          </w:p>
        </w:tc>
        <w:tc>
          <w:tcPr>
            <w:tcW w:w="3901" w:type="dxa"/>
          </w:tcPr>
          <w:p w14:paraId="6F738E39">
            <w:pPr>
              <w:pStyle w:val="19"/>
              <w:snapToGrid w:val="0"/>
              <w:spacing w:before="46" w:beforeLines="15" w:after="46" w:afterLines="15" w:line="240" w:lineRule="exact"/>
              <w:rPr>
                <w:rFonts w:ascii="Arial" w:hAnsi="Arial" w:eastAsia="宋体" w:cs="Arial"/>
                <w:szCs w:val="21"/>
              </w:rPr>
            </w:pPr>
            <w:r>
              <w:rPr>
                <w:rFonts w:ascii="Arial" w:hAnsi="Arial" w:eastAsia="宋体" w:cs="Arial"/>
                <w:szCs w:val="21"/>
              </w:rPr>
              <w:t>烧伤、切割、擦伤、</w:t>
            </w:r>
            <w:r>
              <w:rPr>
                <w:rFonts w:hint="eastAsia" w:ascii="Arial" w:hAnsi="Arial" w:eastAsia="宋体" w:cs="Arial"/>
                <w:szCs w:val="21"/>
              </w:rPr>
              <w:t>气泡栓塞</w:t>
            </w:r>
            <w:r>
              <w:rPr>
                <w:rFonts w:ascii="Arial" w:hAnsi="Arial" w:eastAsia="宋体" w:cs="Arial"/>
                <w:szCs w:val="21"/>
              </w:rPr>
              <w:t>、电击等</w:t>
            </w:r>
          </w:p>
        </w:tc>
      </w:tr>
    </w:tbl>
    <w:p w14:paraId="7C1DE4F2">
      <w:pPr>
        <w:pStyle w:val="19"/>
        <w:snapToGrid w:val="0"/>
        <w:spacing w:before="156" w:beforeLines="50" w:after="156" w:afterLines="50" w:line="300" w:lineRule="auto"/>
        <w:ind w:left="720"/>
        <w:rPr>
          <w:rFonts w:ascii="Arial" w:hAnsi="Arial" w:eastAsia="宋体" w:cs="Arial"/>
          <w:szCs w:val="21"/>
        </w:rPr>
      </w:pPr>
      <w:r>
        <w:rPr>
          <w:rFonts w:ascii="Arial" w:hAnsi="Arial" w:eastAsia="宋体" w:cs="Arial"/>
          <w:szCs w:val="21"/>
        </w:rPr>
        <w:t>在开发安全实例时，贵公司应该为输液泵提供危害分析，确定系统危害的原因。所有危害应在该器械所代表或预期的使用背景</w:t>
      </w:r>
      <w:r>
        <w:rPr>
          <w:rFonts w:hint="eastAsia" w:ascii="Arial" w:hAnsi="Arial" w:eastAsia="宋体" w:cs="Arial"/>
          <w:szCs w:val="21"/>
        </w:rPr>
        <w:t>和</w:t>
      </w:r>
      <w:r>
        <w:rPr>
          <w:rFonts w:ascii="Arial" w:hAnsi="Arial" w:eastAsia="宋体" w:cs="Arial"/>
          <w:szCs w:val="21"/>
        </w:rPr>
        <w:t>该器械的使用条件下进行评估，包括在器械的标签或广告中规定、推荐或建议的使用条件，以及其他预期使用条件。</w:t>
      </w:r>
    </w:p>
    <w:p w14:paraId="18FACD73">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当识别危害时，应考虑以下危害：</w:t>
      </w:r>
    </w:p>
    <w:p w14:paraId="481D61BD">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系统和随机故障；</w:t>
      </w:r>
    </w:p>
    <w:p w14:paraId="405451A4">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由于操作使用期间正常或异常使用而导致的故障，包括导致故障的使用顺序；</w:t>
      </w:r>
    </w:p>
    <w:p w14:paraId="221268FA">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可预见的误用；</w:t>
      </w:r>
    </w:p>
    <w:p w14:paraId="15B50A5E">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共因故障；</w:t>
      </w:r>
    </w:p>
    <w:p w14:paraId="68C165F8">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由系统、子系统或组件交互引起的故障；</w:t>
      </w:r>
    </w:p>
    <w:p w14:paraId="131D23FF">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操作环境；</w:t>
      </w:r>
    </w:p>
    <w:p w14:paraId="48034A04">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能源资源（例如机械能、电能、磁能、热能）；</w:t>
      </w:r>
    </w:p>
    <w:p w14:paraId="1F70424A">
      <w:pPr>
        <w:widowControl/>
        <w:jc w:val="left"/>
        <w:rPr>
          <w:rFonts w:ascii="Arial" w:hAnsi="Arial" w:eastAsia="宋体" w:cs="Arial"/>
          <w:szCs w:val="21"/>
        </w:rPr>
      </w:pPr>
      <w:r>
        <w:rPr>
          <w:rFonts w:ascii="Arial" w:hAnsi="Arial" w:eastAsia="宋体" w:cs="Arial"/>
          <w:szCs w:val="21"/>
        </w:rPr>
        <w:br w:type="page"/>
      </w:r>
    </w:p>
    <w:p w14:paraId="5459B205">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接触化学或生物物质；</w:t>
      </w:r>
    </w:p>
    <w:p w14:paraId="2E02712B">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故意和无意的安全漏洞；</w:t>
      </w:r>
    </w:p>
    <w:p w14:paraId="554E23E1">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人为因素；</w:t>
      </w:r>
    </w:p>
    <w:p w14:paraId="78274405">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储藏和运输；</w:t>
      </w:r>
      <w:r>
        <w:rPr>
          <w:rFonts w:hint="eastAsia" w:ascii="Arial" w:hAnsi="Arial" w:eastAsia="宋体" w:cs="Arial"/>
          <w:szCs w:val="21"/>
        </w:rPr>
        <w:t>以及</w:t>
      </w:r>
    </w:p>
    <w:p w14:paraId="0F6827CF">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维护。</w:t>
      </w:r>
    </w:p>
    <w:p w14:paraId="70109660">
      <w:pPr>
        <w:pStyle w:val="19"/>
        <w:snapToGrid w:val="0"/>
        <w:spacing w:after="156" w:afterLines="50" w:line="300" w:lineRule="auto"/>
        <w:ind w:left="720"/>
        <w:rPr>
          <w:rFonts w:ascii="Arial" w:hAnsi="Arial" w:eastAsia="宋体" w:cs="Arial"/>
          <w:szCs w:val="21"/>
        </w:rPr>
      </w:pPr>
      <w:r>
        <w:rPr>
          <w:rFonts w:ascii="Arial" w:hAnsi="Arial" w:eastAsia="宋体" w:cs="Arial"/>
          <w:szCs w:val="21"/>
        </w:rPr>
        <w:t>除了利用危害分析技术，例如ISO 14971（如故障树分析，初步危害分析，危害和可操作性研究，危害分析和关键控制点，故障模式和影响分析）中确定的危害分析技术，贵公司还应考虑使用类似的输液泵信息作为危害分析的一部分，包括已发表的文献，客户投诉，医疗器械报告（MDR），召回数据库，用户反馈和其他相关来源。</w:t>
      </w:r>
    </w:p>
    <w:p w14:paraId="63B0DC09">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在表3-10中，FDA提供了危害的示例以及可能导致危害情况发生</w:t>
      </w:r>
      <w:r>
        <w:rPr>
          <w:rFonts w:hint="eastAsia" w:ascii="Arial" w:hAnsi="Arial" w:eastAsia="宋体" w:cs="Arial"/>
          <w:szCs w:val="21"/>
        </w:rPr>
        <w:t>的</w:t>
      </w:r>
      <w:r>
        <w:rPr>
          <w:rFonts w:ascii="Arial" w:hAnsi="Arial" w:eastAsia="宋体" w:cs="Arial"/>
          <w:szCs w:val="21"/>
        </w:rPr>
        <w:t>原因。FDA确定特定危害情况及其原因的目的是为贵公司自己进行分析提供示例框架。贵公司应该对输液泵进行彻底的分析，以确定贵公司器械的任何其他危害情况以及可能导致任何危害情况的可预见事件序列。器械的单个泵设计、环境条件和使用条件将决定应该识别和</w:t>
      </w:r>
      <w:r>
        <w:rPr>
          <w:rFonts w:hint="eastAsia" w:ascii="Arial" w:hAnsi="Arial" w:eastAsia="宋体" w:cs="Arial"/>
          <w:szCs w:val="21"/>
        </w:rPr>
        <w:t>缓解的</w:t>
      </w:r>
      <w:r>
        <w:rPr>
          <w:rFonts w:ascii="Arial" w:hAnsi="Arial" w:eastAsia="宋体" w:cs="Arial"/>
          <w:szCs w:val="21"/>
        </w:rPr>
        <w:t>危害。</w:t>
      </w:r>
    </w:p>
    <w:p w14:paraId="3C5AF6CC">
      <w:pPr>
        <w:pStyle w:val="19"/>
        <w:snapToGrid w:val="0"/>
        <w:spacing w:after="156" w:afterLines="50" w:line="300" w:lineRule="auto"/>
        <w:ind w:left="720"/>
        <w:rPr>
          <w:rFonts w:ascii="Arial" w:hAnsi="Arial" w:eastAsia="宋体" w:cs="Arial"/>
          <w:szCs w:val="21"/>
        </w:rPr>
      </w:pPr>
      <w:r>
        <w:rPr>
          <w:rFonts w:ascii="Arial" w:hAnsi="Arial" w:eastAsia="宋体" w:cs="Arial"/>
          <w:szCs w:val="21"/>
        </w:rPr>
        <w:t>FDA建议危害分析包括在所有器械使用方面（例如药物装载、启动、编程、输注）中识别每个危害情况的起始</w:t>
      </w:r>
      <w:bookmarkStart w:id="12" w:name="OLE_LINK31"/>
      <w:bookmarkStart w:id="13" w:name="OLE_LINK32"/>
      <w:r>
        <w:rPr>
          <w:rFonts w:ascii="Arial" w:hAnsi="Arial" w:eastAsia="宋体" w:cs="Arial"/>
          <w:szCs w:val="21"/>
        </w:rPr>
        <w:t>事件和事</w:t>
      </w:r>
      <w:bookmarkEnd w:id="12"/>
      <w:bookmarkEnd w:id="13"/>
      <w:r>
        <w:rPr>
          <w:rFonts w:ascii="Arial" w:hAnsi="Arial" w:eastAsia="宋体" w:cs="Arial"/>
          <w:szCs w:val="21"/>
        </w:rPr>
        <w:t>件序列的过程。</w:t>
      </w:r>
    </w:p>
    <w:p w14:paraId="6B721BFA">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危害情况来源：</w:t>
      </w:r>
    </w:p>
    <w:p w14:paraId="72450D47">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操作（表3）</w:t>
      </w:r>
    </w:p>
    <w:p w14:paraId="0953533C">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环境（表4）</w:t>
      </w:r>
    </w:p>
    <w:p w14:paraId="1E726E9E">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电气（表5）</w:t>
      </w:r>
    </w:p>
    <w:p w14:paraId="45DEA6A4">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硬件（表6）</w:t>
      </w:r>
    </w:p>
    <w:p w14:paraId="315BC058">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软件（表7）</w:t>
      </w:r>
    </w:p>
    <w:p w14:paraId="767847CD">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机械（表8）</w:t>
      </w:r>
    </w:p>
    <w:p w14:paraId="5E553FB8">
      <w:pPr>
        <w:pStyle w:val="19"/>
        <w:numPr>
          <w:ilvl w:val="0"/>
          <w:numId w:val="13"/>
        </w:numPr>
        <w:snapToGrid w:val="0"/>
        <w:spacing w:line="300" w:lineRule="auto"/>
        <w:rPr>
          <w:rFonts w:ascii="Arial" w:hAnsi="Arial" w:eastAsia="宋体" w:cs="Arial"/>
          <w:szCs w:val="21"/>
        </w:rPr>
      </w:pPr>
      <w:r>
        <w:rPr>
          <w:rFonts w:ascii="Arial" w:hAnsi="Arial" w:eastAsia="宋体" w:cs="Arial"/>
          <w:szCs w:val="21"/>
        </w:rPr>
        <w:t>生物和化学（表9）</w:t>
      </w:r>
    </w:p>
    <w:p w14:paraId="3CB858FA">
      <w:pPr>
        <w:pStyle w:val="19"/>
        <w:numPr>
          <w:ilvl w:val="0"/>
          <w:numId w:val="13"/>
        </w:numPr>
        <w:snapToGrid w:val="0"/>
        <w:spacing w:after="156" w:afterLines="50" w:line="300" w:lineRule="auto"/>
        <w:rPr>
          <w:rFonts w:ascii="Arial" w:hAnsi="Arial" w:eastAsia="宋体" w:cs="Arial"/>
          <w:szCs w:val="21"/>
        </w:rPr>
      </w:pPr>
      <w:r>
        <w:rPr>
          <w:rFonts w:ascii="Arial" w:hAnsi="Arial" w:eastAsia="宋体" w:cs="Arial"/>
          <w:szCs w:val="21"/>
        </w:rPr>
        <w:t>使用（表10）</w:t>
      </w:r>
    </w:p>
    <w:p w14:paraId="344037CF">
      <w:pPr>
        <w:pStyle w:val="19"/>
        <w:snapToGrid w:val="0"/>
        <w:spacing w:line="300" w:lineRule="auto"/>
        <w:ind w:left="720"/>
        <w:rPr>
          <w:rFonts w:ascii="Arial" w:hAnsi="Arial" w:eastAsia="宋体" w:cs="Arial"/>
          <w:b/>
          <w:szCs w:val="21"/>
        </w:rPr>
      </w:pPr>
      <w:r>
        <w:rPr>
          <w:rFonts w:ascii="Arial" w:hAnsi="Arial" w:eastAsia="宋体" w:cs="Arial"/>
          <w:b/>
          <w:szCs w:val="21"/>
        </w:rPr>
        <w:t>表3 –操作来源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3911"/>
      </w:tblGrid>
      <w:tr w14:paraId="4598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6D92CF49">
            <w:pPr>
              <w:pStyle w:val="19"/>
              <w:snapToGrid w:val="0"/>
              <w:spacing w:before="31" w:beforeLines="10" w:after="31" w:afterLines="10" w:line="240" w:lineRule="exact"/>
              <w:jc w:val="center"/>
              <w:rPr>
                <w:rFonts w:ascii="Arial" w:hAnsi="Arial" w:eastAsia="宋体" w:cs="Arial"/>
                <w:b/>
                <w:sz w:val="18"/>
                <w:szCs w:val="18"/>
              </w:rPr>
            </w:pPr>
            <w:bookmarkStart w:id="14" w:name="OLE_LINK4"/>
            <w:bookmarkStart w:id="15" w:name="OLE_LINK3"/>
            <w:r>
              <w:rPr>
                <w:rFonts w:ascii="Arial" w:hAnsi="Arial" w:eastAsia="宋体" w:cs="Arial"/>
                <w:b/>
                <w:sz w:val="18"/>
                <w:szCs w:val="18"/>
              </w:rPr>
              <w:t>危害</w:t>
            </w:r>
          </w:p>
        </w:tc>
        <w:tc>
          <w:tcPr>
            <w:tcW w:w="3911" w:type="dxa"/>
          </w:tcPr>
          <w:p w14:paraId="5626089A">
            <w:pPr>
              <w:pStyle w:val="19"/>
              <w:snapToGrid w:val="0"/>
              <w:spacing w:before="31" w:beforeLines="10" w:after="31" w:afterLines="10" w:line="240" w:lineRule="exact"/>
              <w:jc w:val="center"/>
              <w:rPr>
                <w:rFonts w:ascii="Arial" w:hAnsi="Arial" w:eastAsia="宋体" w:cs="Arial"/>
                <w:b/>
                <w:sz w:val="18"/>
                <w:szCs w:val="18"/>
              </w:rPr>
            </w:pPr>
            <w:r>
              <w:rPr>
                <w:rFonts w:ascii="Arial" w:hAnsi="Arial" w:eastAsia="宋体" w:cs="Arial"/>
                <w:b/>
                <w:sz w:val="18"/>
                <w:szCs w:val="18"/>
              </w:rPr>
              <w:t>潜在原因</w:t>
            </w:r>
          </w:p>
        </w:tc>
      </w:tr>
      <w:bookmarkEnd w:id="14"/>
      <w:bookmarkEnd w:id="15"/>
      <w:tr w14:paraId="13EB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3988733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输液线中有空气</w:t>
            </w:r>
          </w:p>
        </w:tc>
        <w:tc>
          <w:tcPr>
            <w:tcW w:w="3911" w:type="dxa"/>
          </w:tcPr>
          <w:p w14:paraId="6EE1425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启动过程不正确/不完整</w:t>
            </w:r>
          </w:p>
        </w:tc>
      </w:tr>
      <w:tr w14:paraId="5E1F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6EA61502">
            <w:pPr>
              <w:pStyle w:val="19"/>
              <w:snapToGrid w:val="0"/>
              <w:spacing w:before="31" w:beforeLines="10" w:after="31" w:afterLines="10" w:line="240" w:lineRule="exact"/>
              <w:rPr>
                <w:rFonts w:ascii="Arial" w:hAnsi="Arial" w:eastAsia="宋体" w:cs="Arial"/>
                <w:sz w:val="18"/>
                <w:szCs w:val="18"/>
              </w:rPr>
            </w:pPr>
          </w:p>
        </w:tc>
        <w:tc>
          <w:tcPr>
            <w:tcW w:w="3911" w:type="dxa"/>
          </w:tcPr>
          <w:p w14:paraId="7CA51EE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输送路径破损、松动或未密封</w:t>
            </w:r>
          </w:p>
        </w:tc>
      </w:tr>
      <w:tr w14:paraId="5FCC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05588EDA">
            <w:pPr>
              <w:pStyle w:val="19"/>
              <w:snapToGrid w:val="0"/>
              <w:spacing w:before="31" w:beforeLines="10" w:after="31" w:afterLines="10" w:line="240" w:lineRule="exact"/>
              <w:rPr>
                <w:rFonts w:ascii="Arial" w:hAnsi="Arial" w:eastAsia="宋体" w:cs="Arial"/>
                <w:sz w:val="18"/>
                <w:szCs w:val="18"/>
              </w:rPr>
            </w:pPr>
          </w:p>
        </w:tc>
        <w:tc>
          <w:tcPr>
            <w:tcW w:w="3911" w:type="dxa"/>
          </w:tcPr>
          <w:p w14:paraId="36E9A2E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泵不能释放气体或空气</w:t>
            </w:r>
          </w:p>
        </w:tc>
      </w:tr>
      <w:tr w14:paraId="5E9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25BB3C68">
            <w:pPr>
              <w:pStyle w:val="19"/>
              <w:snapToGrid w:val="0"/>
              <w:spacing w:before="31" w:beforeLines="10" w:after="31" w:afterLines="10" w:line="240" w:lineRule="exact"/>
              <w:rPr>
                <w:rFonts w:ascii="Arial" w:hAnsi="Arial" w:eastAsia="宋体" w:cs="Arial"/>
                <w:sz w:val="18"/>
                <w:szCs w:val="18"/>
              </w:rPr>
            </w:pPr>
          </w:p>
        </w:tc>
        <w:tc>
          <w:tcPr>
            <w:tcW w:w="3911" w:type="dxa"/>
          </w:tcPr>
          <w:p w14:paraId="70B404C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泵匹配不兼容的输液器</w:t>
            </w:r>
          </w:p>
        </w:tc>
      </w:tr>
      <w:tr w14:paraId="2F67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4B303A4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堵塞</w:t>
            </w:r>
          </w:p>
        </w:tc>
        <w:tc>
          <w:tcPr>
            <w:tcW w:w="3911" w:type="dxa"/>
          </w:tcPr>
          <w:p w14:paraId="7DF1099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输送路径被堵塞，例如管扭结</w:t>
            </w:r>
          </w:p>
        </w:tc>
      </w:tr>
      <w:tr w14:paraId="64EF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6BFC49AA">
            <w:pPr>
              <w:pStyle w:val="19"/>
              <w:snapToGrid w:val="0"/>
              <w:spacing w:before="31" w:beforeLines="10" w:after="31" w:afterLines="10" w:line="240" w:lineRule="exact"/>
              <w:rPr>
                <w:rFonts w:ascii="Arial" w:hAnsi="Arial" w:eastAsia="宋体" w:cs="Arial"/>
                <w:sz w:val="18"/>
                <w:szCs w:val="18"/>
              </w:rPr>
            </w:pPr>
          </w:p>
        </w:tc>
        <w:tc>
          <w:tcPr>
            <w:tcW w:w="3911" w:type="dxa"/>
          </w:tcPr>
          <w:p w14:paraId="6992859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输送路径内的化学沉淀</w:t>
            </w:r>
          </w:p>
        </w:tc>
      </w:tr>
      <w:tr w14:paraId="6DAB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4A5D6CA1">
            <w:pPr>
              <w:pStyle w:val="19"/>
              <w:snapToGrid w:val="0"/>
              <w:spacing w:before="31" w:beforeLines="10" w:after="31" w:afterLines="10" w:line="240" w:lineRule="exact"/>
              <w:rPr>
                <w:rFonts w:ascii="Arial" w:hAnsi="Arial" w:eastAsia="宋体" w:cs="Arial"/>
                <w:sz w:val="18"/>
                <w:szCs w:val="18"/>
              </w:rPr>
            </w:pPr>
          </w:p>
        </w:tc>
        <w:tc>
          <w:tcPr>
            <w:tcW w:w="3911" w:type="dxa"/>
          </w:tcPr>
          <w:p w14:paraId="0295E2B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堵塞后出现栓塞</w:t>
            </w:r>
          </w:p>
        </w:tc>
      </w:tr>
      <w:tr w14:paraId="4BA1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494BCF7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不受控制的流</w:t>
            </w:r>
            <w:r>
              <w:rPr>
                <w:rFonts w:hint="eastAsia" w:ascii="Arial" w:hAnsi="Arial" w:eastAsia="宋体" w:cs="Arial"/>
                <w:sz w:val="18"/>
                <w:szCs w:val="18"/>
              </w:rPr>
              <w:t>动</w:t>
            </w:r>
            <w:r>
              <w:rPr>
                <w:rFonts w:ascii="Arial" w:hAnsi="Arial" w:eastAsia="宋体" w:cs="Arial"/>
                <w:sz w:val="18"/>
                <w:szCs w:val="18"/>
              </w:rPr>
              <w:t>（例如</w:t>
            </w:r>
            <w:r>
              <w:rPr>
                <w:rFonts w:hint="eastAsia" w:ascii="Arial" w:hAnsi="Arial" w:eastAsia="宋体" w:cs="Arial"/>
                <w:sz w:val="18"/>
                <w:szCs w:val="18"/>
              </w:rPr>
              <w:t>自由流动</w:t>
            </w:r>
            <w:r>
              <w:rPr>
                <w:rFonts w:ascii="Arial" w:hAnsi="Arial" w:eastAsia="宋体" w:cs="Arial"/>
                <w:sz w:val="18"/>
                <w:szCs w:val="18"/>
              </w:rPr>
              <w:t>）</w:t>
            </w:r>
          </w:p>
        </w:tc>
        <w:tc>
          <w:tcPr>
            <w:tcW w:w="3911" w:type="dxa"/>
          </w:tcPr>
          <w:p w14:paraId="3239081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输送路径中的阀门损坏</w:t>
            </w:r>
          </w:p>
        </w:tc>
      </w:tr>
      <w:tr w14:paraId="045F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1ACB22E1">
            <w:pPr>
              <w:pStyle w:val="19"/>
              <w:snapToGrid w:val="0"/>
              <w:spacing w:before="31" w:beforeLines="10" w:after="31" w:afterLines="10" w:line="240" w:lineRule="exact"/>
              <w:rPr>
                <w:rFonts w:ascii="Arial" w:hAnsi="Arial" w:eastAsia="宋体" w:cs="Arial"/>
                <w:sz w:val="18"/>
                <w:szCs w:val="18"/>
              </w:rPr>
            </w:pPr>
          </w:p>
        </w:tc>
        <w:tc>
          <w:tcPr>
            <w:tcW w:w="3911" w:type="dxa"/>
          </w:tcPr>
          <w:p w14:paraId="188D816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泵的位置比输注位置高得多，导致</w:t>
            </w:r>
            <w:bookmarkStart w:id="16" w:name="OLE_LINK33"/>
            <w:r>
              <w:rPr>
                <w:rFonts w:hint="eastAsia" w:ascii="Arial" w:hAnsi="Arial" w:eastAsia="宋体" w:cs="Arial"/>
                <w:sz w:val="18"/>
                <w:szCs w:val="18"/>
              </w:rPr>
              <w:t>非故意</w:t>
            </w:r>
            <w:bookmarkEnd w:id="16"/>
            <w:r>
              <w:rPr>
                <w:rFonts w:ascii="Arial" w:hAnsi="Arial" w:eastAsia="宋体" w:cs="Arial"/>
                <w:sz w:val="18"/>
                <w:szCs w:val="18"/>
              </w:rPr>
              <w:t>的药物流动</w:t>
            </w:r>
          </w:p>
        </w:tc>
      </w:tr>
      <w:tr w14:paraId="6B4D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5E616997">
            <w:pPr>
              <w:pStyle w:val="19"/>
              <w:snapToGrid w:val="0"/>
              <w:spacing w:before="31" w:beforeLines="10" w:after="31" w:afterLines="10" w:line="240" w:lineRule="exact"/>
              <w:rPr>
                <w:rFonts w:ascii="Arial" w:hAnsi="Arial" w:eastAsia="宋体" w:cs="Arial"/>
                <w:sz w:val="18"/>
                <w:szCs w:val="18"/>
              </w:rPr>
            </w:pPr>
          </w:p>
        </w:tc>
        <w:tc>
          <w:tcPr>
            <w:tcW w:w="3911" w:type="dxa"/>
          </w:tcPr>
          <w:p w14:paraId="33EFC37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输送路径损坏，在路径上产生通气，</w:t>
            </w:r>
            <w:r>
              <w:rPr>
                <w:rFonts w:hint="eastAsia" w:ascii="Arial" w:hAnsi="Arial" w:eastAsia="宋体" w:cs="Arial"/>
                <w:sz w:val="18"/>
                <w:szCs w:val="18"/>
              </w:rPr>
              <w:t>造成非故意的</w:t>
            </w:r>
            <w:r>
              <w:rPr>
                <w:rFonts w:ascii="Arial" w:hAnsi="Arial" w:eastAsia="宋体" w:cs="Arial"/>
                <w:sz w:val="18"/>
                <w:szCs w:val="18"/>
              </w:rPr>
              <w:t>重力流动</w:t>
            </w:r>
          </w:p>
        </w:tc>
      </w:tr>
      <w:tr w14:paraId="53A5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4B90B09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反向流动</w:t>
            </w:r>
          </w:p>
          <w:p w14:paraId="25C1654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（例如逆流）</w:t>
            </w:r>
          </w:p>
        </w:tc>
        <w:tc>
          <w:tcPr>
            <w:tcW w:w="3911" w:type="dxa"/>
          </w:tcPr>
          <w:p w14:paraId="27E5EBB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泵的位置比输注位置低得多，导致泵发生虹吸</w:t>
            </w:r>
          </w:p>
        </w:tc>
      </w:tr>
      <w:tr w14:paraId="2BA9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7CD70443">
            <w:pPr>
              <w:pStyle w:val="19"/>
              <w:snapToGrid w:val="0"/>
              <w:spacing w:before="31" w:beforeLines="10" w:after="31" w:afterLines="10" w:line="240" w:lineRule="exact"/>
              <w:rPr>
                <w:rFonts w:ascii="Arial" w:hAnsi="Arial" w:eastAsia="宋体" w:cs="Arial"/>
                <w:sz w:val="18"/>
                <w:szCs w:val="18"/>
              </w:rPr>
            </w:pPr>
          </w:p>
        </w:tc>
        <w:tc>
          <w:tcPr>
            <w:tcW w:w="3911" w:type="dxa"/>
          </w:tcPr>
          <w:p w14:paraId="791757A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输送路径损坏，在路径上形成一个通气道，转移</w:t>
            </w:r>
            <w:r>
              <w:rPr>
                <w:rFonts w:hint="eastAsia" w:ascii="Arial" w:hAnsi="Arial" w:eastAsia="宋体" w:cs="Arial"/>
                <w:sz w:val="18"/>
                <w:szCs w:val="18"/>
              </w:rPr>
              <w:t>流向</w:t>
            </w:r>
            <w:r>
              <w:rPr>
                <w:rFonts w:ascii="Arial" w:hAnsi="Arial" w:eastAsia="宋体" w:cs="Arial"/>
                <w:sz w:val="18"/>
                <w:szCs w:val="18"/>
              </w:rPr>
              <w:t>用户的刻意药物流</w:t>
            </w:r>
          </w:p>
        </w:tc>
      </w:tr>
      <w:tr w14:paraId="547C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1746045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由于用户请求过多推注而导致过度的推注</w:t>
            </w:r>
          </w:p>
        </w:tc>
        <w:tc>
          <w:tcPr>
            <w:tcW w:w="3911" w:type="dxa"/>
          </w:tcPr>
          <w:p w14:paraId="5625529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推注历史记录已损坏，使得用户无法跟踪以前接收到的推注</w:t>
            </w:r>
          </w:p>
        </w:tc>
      </w:tr>
      <w:tr w14:paraId="1ADE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00D9046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程序化的推注剂量在其规定的持续时间内不均匀地输送</w:t>
            </w:r>
          </w:p>
        </w:tc>
        <w:tc>
          <w:tcPr>
            <w:tcW w:w="3911" w:type="dxa"/>
          </w:tcPr>
          <w:p w14:paraId="408606A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算法错误</w:t>
            </w:r>
          </w:p>
        </w:tc>
      </w:tr>
      <w:tr w14:paraId="1E74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7A74BE03">
            <w:pPr>
              <w:pStyle w:val="19"/>
              <w:snapToGrid w:val="0"/>
              <w:spacing w:before="31" w:beforeLines="10" w:after="31" w:afterLines="10" w:line="240" w:lineRule="exact"/>
              <w:rPr>
                <w:rFonts w:ascii="Arial" w:hAnsi="Arial" w:eastAsia="宋体" w:cs="Arial"/>
                <w:sz w:val="18"/>
                <w:szCs w:val="18"/>
              </w:rPr>
            </w:pPr>
          </w:p>
        </w:tc>
        <w:tc>
          <w:tcPr>
            <w:tcW w:w="3911" w:type="dxa"/>
          </w:tcPr>
          <w:p w14:paraId="7B1B0B8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泵电机不按预期运行</w:t>
            </w:r>
          </w:p>
        </w:tc>
      </w:tr>
      <w:tr w14:paraId="3CA4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465D64C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渗透泄漏</w:t>
            </w:r>
          </w:p>
        </w:tc>
        <w:tc>
          <w:tcPr>
            <w:tcW w:w="3911" w:type="dxa"/>
          </w:tcPr>
          <w:p w14:paraId="46F2922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输送路径部分之间的连接松动</w:t>
            </w:r>
          </w:p>
        </w:tc>
      </w:tr>
      <w:tr w14:paraId="387A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0F6377F9">
            <w:pPr>
              <w:pStyle w:val="19"/>
              <w:snapToGrid w:val="0"/>
              <w:spacing w:before="31" w:beforeLines="10" w:after="31" w:afterLines="10" w:line="240" w:lineRule="exact"/>
              <w:rPr>
                <w:rFonts w:ascii="Arial" w:hAnsi="Arial" w:eastAsia="宋体" w:cs="Arial"/>
                <w:sz w:val="18"/>
                <w:szCs w:val="18"/>
              </w:rPr>
            </w:pPr>
          </w:p>
        </w:tc>
        <w:tc>
          <w:tcPr>
            <w:tcW w:w="3911" w:type="dxa"/>
          </w:tcPr>
          <w:p w14:paraId="4E2A9AF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药物储存器破损</w:t>
            </w:r>
          </w:p>
        </w:tc>
      </w:tr>
      <w:tr w14:paraId="0F16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restart"/>
          </w:tcPr>
          <w:p w14:paraId="656084B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实际流速与编程输注速度不符</w:t>
            </w:r>
          </w:p>
        </w:tc>
        <w:tc>
          <w:tcPr>
            <w:tcW w:w="3911" w:type="dxa"/>
          </w:tcPr>
          <w:p w14:paraId="37AB56E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泵内的空气压力远低于环境大气压力</w:t>
            </w:r>
          </w:p>
        </w:tc>
      </w:tr>
      <w:tr w14:paraId="34BD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vMerge w:val="continue"/>
          </w:tcPr>
          <w:p w14:paraId="0C0231DD">
            <w:pPr>
              <w:pStyle w:val="19"/>
              <w:snapToGrid w:val="0"/>
              <w:spacing w:before="31" w:beforeLines="10" w:after="31" w:afterLines="10" w:line="240" w:lineRule="exact"/>
              <w:rPr>
                <w:rFonts w:ascii="Arial" w:hAnsi="Arial" w:eastAsia="宋体" w:cs="Arial"/>
                <w:sz w:val="18"/>
                <w:szCs w:val="18"/>
              </w:rPr>
            </w:pPr>
          </w:p>
        </w:tc>
        <w:tc>
          <w:tcPr>
            <w:tcW w:w="3911" w:type="dxa"/>
          </w:tcPr>
          <w:p w14:paraId="509ADEB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泵送机构超出校准</w:t>
            </w:r>
          </w:p>
        </w:tc>
      </w:tr>
      <w:tr w14:paraId="0C43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4D4FCEF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在正常的泵使用期间药物储存器被分离</w:t>
            </w:r>
          </w:p>
        </w:tc>
        <w:tc>
          <w:tcPr>
            <w:tcW w:w="3911" w:type="dxa"/>
          </w:tcPr>
          <w:p w14:paraId="7A2EF18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药物储存器破损或打开</w:t>
            </w:r>
          </w:p>
        </w:tc>
      </w:tr>
    </w:tbl>
    <w:p w14:paraId="31AFFC28">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表4.环境来源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092D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121F9A70">
            <w:pPr>
              <w:pStyle w:val="19"/>
              <w:snapToGrid w:val="0"/>
              <w:spacing w:line="300" w:lineRule="auto"/>
              <w:jc w:val="center"/>
              <w:rPr>
                <w:rFonts w:ascii="Arial" w:hAnsi="Arial" w:eastAsia="宋体" w:cs="Arial"/>
                <w:b/>
                <w:sz w:val="18"/>
                <w:szCs w:val="18"/>
              </w:rPr>
            </w:pPr>
            <w:bookmarkStart w:id="17" w:name="OLE_LINK5"/>
            <w:r>
              <w:rPr>
                <w:rFonts w:ascii="Arial" w:hAnsi="Arial" w:eastAsia="宋体" w:cs="Arial"/>
                <w:b/>
                <w:sz w:val="18"/>
                <w:szCs w:val="18"/>
              </w:rPr>
              <w:t>危害</w:t>
            </w:r>
          </w:p>
        </w:tc>
        <w:tc>
          <w:tcPr>
            <w:tcW w:w="3911" w:type="dxa"/>
            <w:gridSpan w:val="2"/>
          </w:tcPr>
          <w:p w14:paraId="53FFCBB3">
            <w:pPr>
              <w:pStyle w:val="19"/>
              <w:snapToGrid w:val="0"/>
              <w:spacing w:line="300" w:lineRule="auto"/>
              <w:jc w:val="center"/>
              <w:rPr>
                <w:rFonts w:ascii="Arial" w:hAnsi="Arial" w:eastAsia="宋体" w:cs="Arial"/>
                <w:b/>
                <w:sz w:val="18"/>
                <w:szCs w:val="18"/>
              </w:rPr>
            </w:pPr>
            <w:r>
              <w:rPr>
                <w:rFonts w:ascii="Arial" w:hAnsi="Arial" w:eastAsia="宋体" w:cs="Arial"/>
                <w:b/>
                <w:sz w:val="18"/>
                <w:szCs w:val="18"/>
              </w:rPr>
              <w:t>潜在原因</w:t>
            </w:r>
          </w:p>
        </w:tc>
      </w:tr>
      <w:bookmarkEnd w:id="17"/>
      <w:tr w14:paraId="338E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5D5AE437">
            <w:pPr>
              <w:pStyle w:val="19"/>
              <w:snapToGrid w:val="0"/>
              <w:spacing w:line="300" w:lineRule="auto"/>
              <w:rPr>
                <w:rFonts w:ascii="Arial" w:hAnsi="Arial" w:eastAsia="宋体" w:cs="Arial"/>
                <w:sz w:val="18"/>
                <w:szCs w:val="18"/>
              </w:rPr>
            </w:pPr>
            <w:r>
              <w:rPr>
                <w:rFonts w:ascii="Arial" w:hAnsi="Arial" w:eastAsia="宋体" w:cs="Arial"/>
                <w:sz w:val="18"/>
                <w:szCs w:val="18"/>
              </w:rPr>
              <w:t>操作失败/泵故障</w:t>
            </w:r>
          </w:p>
        </w:tc>
        <w:tc>
          <w:tcPr>
            <w:tcW w:w="3901" w:type="dxa"/>
          </w:tcPr>
          <w:p w14:paraId="33C87B39">
            <w:pPr>
              <w:pStyle w:val="19"/>
              <w:snapToGrid w:val="0"/>
              <w:spacing w:line="300" w:lineRule="auto"/>
              <w:rPr>
                <w:rFonts w:ascii="Arial" w:hAnsi="Arial" w:eastAsia="宋体" w:cs="Arial"/>
                <w:sz w:val="18"/>
                <w:szCs w:val="18"/>
              </w:rPr>
            </w:pPr>
            <w:r>
              <w:rPr>
                <w:rFonts w:ascii="Arial" w:hAnsi="Arial" w:eastAsia="宋体" w:cs="Arial"/>
                <w:sz w:val="18"/>
                <w:szCs w:val="18"/>
              </w:rPr>
              <w:t>温度/湿度/大气压力过高或过低</w:t>
            </w:r>
          </w:p>
        </w:tc>
      </w:tr>
      <w:tr w14:paraId="5E54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70390FE">
            <w:pPr>
              <w:pStyle w:val="19"/>
              <w:snapToGrid w:val="0"/>
              <w:spacing w:line="300" w:lineRule="auto"/>
              <w:rPr>
                <w:rFonts w:ascii="Arial" w:hAnsi="Arial" w:eastAsia="宋体" w:cs="Arial"/>
                <w:sz w:val="18"/>
                <w:szCs w:val="18"/>
              </w:rPr>
            </w:pPr>
            <w:r>
              <w:rPr>
                <w:rFonts w:ascii="Arial" w:hAnsi="Arial" w:eastAsia="宋体" w:cs="Arial"/>
                <w:sz w:val="18"/>
                <w:szCs w:val="18"/>
              </w:rPr>
              <w:t>泵暴露于病原体、过敏原或其他有害物质</w:t>
            </w:r>
          </w:p>
        </w:tc>
        <w:tc>
          <w:tcPr>
            <w:tcW w:w="3901" w:type="dxa"/>
          </w:tcPr>
          <w:p w14:paraId="73223E7B">
            <w:pPr>
              <w:pStyle w:val="19"/>
              <w:snapToGrid w:val="0"/>
              <w:spacing w:line="300" w:lineRule="auto"/>
              <w:rPr>
                <w:rFonts w:ascii="Arial" w:hAnsi="Arial" w:eastAsia="宋体" w:cs="Arial"/>
                <w:sz w:val="18"/>
                <w:szCs w:val="18"/>
              </w:rPr>
            </w:pPr>
            <w:r>
              <w:rPr>
                <w:rFonts w:ascii="Arial" w:hAnsi="Arial" w:eastAsia="宋体" w:cs="Arial"/>
                <w:sz w:val="18"/>
                <w:szCs w:val="18"/>
              </w:rPr>
              <w:t>由于溢出/暴露于毒素而污染</w:t>
            </w:r>
          </w:p>
        </w:tc>
      </w:tr>
      <w:tr w14:paraId="0C63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AAE1F50">
            <w:pPr>
              <w:pStyle w:val="19"/>
              <w:snapToGrid w:val="0"/>
              <w:spacing w:line="300" w:lineRule="auto"/>
              <w:rPr>
                <w:rFonts w:ascii="Arial" w:hAnsi="Arial" w:eastAsia="宋体" w:cs="Arial"/>
                <w:sz w:val="18"/>
                <w:szCs w:val="18"/>
              </w:rPr>
            </w:pPr>
          </w:p>
        </w:tc>
        <w:tc>
          <w:tcPr>
            <w:tcW w:w="3901" w:type="dxa"/>
          </w:tcPr>
          <w:p w14:paraId="7DA1B062">
            <w:pPr>
              <w:pStyle w:val="19"/>
              <w:snapToGrid w:val="0"/>
              <w:spacing w:line="300" w:lineRule="auto"/>
              <w:rPr>
                <w:rFonts w:ascii="Arial" w:hAnsi="Arial" w:eastAsia="宋体" w:cs="Arial"/>
                <w:sz w:val="18"/>
                <w:szCs w:val="18"/>
              </w:rPr>
            </w:pPr>
            <w:r>
              <w:rPr>
                <w:rFonts w:ascii="Arial" w:hAnsi="Arial" w:eastAsia="宋体" w:cs="Arial"/>
                <w:sz w:val="18"/>
                <w:szCs w:val="18"/>
              </w:rPr>
              <w:t>电池泄露</w:t>
            </w:r>
          </w:p>
        </w:tc>
      </w:tr>
      <w:tr w14:paraId="522E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3215CB58">
            <w:pPr>
              <w:pStyle w:val="19"/>
              <w:snapToGrid w:val="0"/>
              <w:spacing w:line="300" w:lineRule="auto"/>
              <w:rPr>
                <w:rFonts w:ascii="Arial" w:hAnsi="Arial" w:eastAsia="宋体" w:cs="Arial"/>
                <w:sz w:val="18"/>
                <w:szCs w:val="18"/>
              </w:rPr>
            </w:pPr>
            <w:r>
              <w:rPr>
                <w:rFonts w:ascii="Arial" w:hAnsi="Arial" w:eastAsia="宋体" w:cs="Arial"/>
                <w:sz w:val="18"/>
                <w:szCs w:val="18"/>
              </w:rPr>
              <w:t>由于电磁干扰（EMI）引起的泵中断/故障</w:t>
            </w:r>
          </w:p>
        </w:tc>
        <w:tc>
          <w:tcPr>
            <w:tcW w:w="3901" w:type="dxa"/>
          </w:tcPr>
          <w:p w14:paraId="65CEA2B3">
            <w:pPr>
              <w:pStyle w:val="19"/>
              <w:snapToGrid w:val="0"/>
              <w:spacing w:line="300" w:lineRule="auto"/>
              <w:rPr>
                <w:rFonts w:ascii="Arial" w:hAnsi="Arial" w:eastAsia="宋体" w:cs="Arial"/>
                <w:sz w:val="18"/>
                <w:szCs w:val="18"/>
              </w:rPr>
            </w:pPr>
            <w:r>
              <w:rPr>
                <w:rFonts w:ascii="Arial" w:hAnsi="Arial" w:eastAsia="宋体" w:cs="Arial"/>
                <w:sz w:val="18"/>
                <w:szCs w:val="18"/>
              </w:rPr>
              <w:t>电磁干扰与以下相关：</w:t>
            </w:r>
          </w:p>
          <w:p w14:paraId="2CDAB906">
            <w:pPr>
              <w:pStyle w:val="19"/>
              <w:numPr>
                <w:ilvl w:val="0"/>
                <w:numId w:val="14"/>
              </w:numPr>
              <w:snapToGrid w:val="0"/>
              <w:spacing w:line="300" w:lineRule="auto"/>
              <w:rPr>
                <w:rFonts w:ascii="Arial" w:hAnsi="Arial" w:eastAsia="宋体" w:cs="Arial"/>
                <w:sz w:val="18"/>
                <w:szCs w:val="18"/>
              </w:rPr>
            </w:pPr>
            <w:r>
              <w:rPr>
                <w:rFonts w:ascii="Arial" w:hAnsi="Arial" w:eastAsia="宋体" w:cs="Arial"/>
                <w:sz w:val="18"/>
                <w:szCs w:val="18"/>
              </w:rPr>
              <w:t>射频（RF）发射器，例如移动无线电，手机</w:t>
            </w:r>
          </w:p>
          <w:p w14:paraId="10155DF4">
            <w:pPr>
              <w:pStyle w:val="19"/>
              <w:numPr>
                <w:ilvl w:val="0"/>
                <w:numId w:val="14"/>
              </w:numPr>
              <w:snapToGrid w:val="0"/>
              <w:spacing w:line="300" w:lineRule="auto"/>
              <w:rPr>
                <w:rFonts w:ascii="Arial" w:hAnsi="Arial" w:eastAsia="宋体" w:cs="Arial"/>
                <w:sz w:val="18"/>
                <w:szCs w:val="18"/>
              </w:rPr>
            </w:pPr>
            <w:r>
              <w:rPr>
                <w:rFonts w:ascii="Arial" w:hAnsi="Arial" w:eastAsia="宋体" w:cs="Arial"/>
                <w:sz w:val="18"/>
                <w:szCs w:val="18"/>
              </w:rPr>
              <w:t>静电放电（ESD）</w:t>
            </w:r>
          </w:p>
          <w:p w14:paraId="41DE2C0A">
            <w:pPr>
              <w:pStyle w:val="19"/>
              <w:numPr>
                <w:ilvl w:val="0"/>
                <w:numId w:val="14"/>
              </w:numPr>
              <w:snapToGrid w:val="0"/>
              <w:spacing w:line="300" w:lineRule="auto"/>
              <w:rPr>
                <w:rFonts w:ascii="Arial" w:hAnsi="Arial" w:eastAsia="宋体" w:cs="Arial"/>
                <w:sz w:val="18"/>
                <w:szCs w:val="18"/>
              </w:rPr>
            </w:pPr>
            <w:r>
              <w:rPr>
                <w:rFonts w:ascii="Arial" w:hAnsi="Arial" w:eastAsia="宋体" w:cs="Arial"/>
                <w:sz w:val="18"/>
                <w:szCs w:val="18"/>
              </w:rPr>
              <w:t>传导RF，例如通过电力线</w:t>
            </w:r>
          </w:p>
          <w:p w14:paraId="7191FED8">
            <w:pPr>
              <w:pStyle w:val="19"/>
              <w:numPr>
                <w:ilvl w:val="0"/>
                <w:numId w:val="14"/>
              </w:numPr>
              <w:snapToGrid w:val="0"/>
              <w:spacing w:line="300" w:lineRule="auto"/>
              <w:rPr>
                <w:rFonts w:ascii="Arial" w:hAnsi="Arial" w:eastAsia="宋体" w:cs="Arial"/>
                <w:sz w:val="18"/>
                <w:szCs w:val="18"/>
              </w:rPr>
            </w:pPr>
            <w:r>
              <w:rPr>
                <w:rFonts w:ascii="Arial" w:hAnsi="Arial" w:eastAsia="宋体" w:cs="Arial"/>
                <w:sz w:val="18"/>
                <w:szCs w:val="18"/>
              </w:rPr>
              <w:t>交流电源质量差，例如电压冲击或下降。</w:t>
            </w:r>
          </w:p>
          <w:p w14:paraId="364125B7">
            <w:pPr>
              <w:pStyle w:val="19"/>
              <w:snapToGrid w:val="0"/>
              <w:spacing w:line="300" w:lineRule="auto"/>
              <w:ind w:left="420"/>
              <w:rPr>
                <w:rFonts w:ascii="Arial" w:hAnsi="Arial" w:eastAsia="宋体" w:cs="Arial"/>
                <w:sz w:val="18"/>
                <w:szCs w:val="18"/>
              </w:rPr>
            </w:pPr>
            <w:r>
              <w:rPr>
                <w:rFonts w:ascii="Arial" w:hAnsi="Arial" w:eastAsia="宋体" w:cs="Arial"/>
                <w:sz w:val="18"/>
                <w:szCs w:val="18"/>
              </w:rPr>
              <w:t>磁场：例如电动机，动力线</w:t>
            </w:r>
          </w:p>
        </w:tc>
      </w:tr>
      <w:tr w14:paraId="0C40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02BB870">
            <w:pPr>
              <w:pStyle w:val="19"/>
              <w:snapToGrid w:val="0"/>
              <w:spacing w:line="300" w:lineRule="auto"/>
              <w:rPr>
                <w:rFonts w:ascii="Arial" w:hAnsi="Arial" w:eastAsia="宋体" w:cs="Arial"/>
                <w:sz w:val="18"/>
                <w:szCs w:val="18"/>
              </w:rPr>
            </w:pPr>
          </w:p>
        </w:tc>
        <w:tc>
          <w:tcPr>
            <w:tcW w:w="3901" w:type="dxa"/>
          </w:tcPr>
          <w:p w14:paraId="1342F884">
            <w:pPr>
              <w:pStyle w:val="19"/>
              <w:snapToGrid w:val="0"/>
              <w:spacing w:line="300" w:lineRule="auto"/>
              <w:rPr>
                <w:rFonts w:ascii="Arial" w:hAnsi="Arial" w:eastAsia="宋体" w:cs="Arial"/>
                <w:sz w:val="18"/>
                <w:szCs w:val="18"/>
              </w:rPr>
            </w:pPr>
          </w:p>
        </w:tc>
      </w:tr>
      <w:tr w14:paraId="1C0C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3B212F3">
            <w:pPr>
              <w:pStyle w:val="19"/>
              <w:snapToGrid w:val="0"/>
              <w:spacing w:line="300" w:lineRule="auto"/>
              <w:rPr>
                <w:rFonts w:ascii="Arial" w:hAnsi="Arial" w:eastAsia="宋体" w:cs="Arial"/>
                <w:sz w:val="18"/>
                <w:szCs w:val="18"/>
              </w:rPr>
            </w:pPr>
          </w:p>
        </w:tc>
        <w:tc>
          <w:tcPr>
            <w:tcW w:w="3901" w:type="dxa"/>
          </w:tcPr>
          <w:p w14:paraId="74F200BE">
            <w:pPr>
              <w:pStyle w:val="19"/>
              <w:snapToGrid w:val="0"/>
              <w:spacing w:line="300" w:lineRule="auto"/>
              <w:rPr>
                <w:rFonts w:ascii="Arial" w:hAnsi="Arial" w:eastAsia="宋体" w:cs="Arial"/>
                <w:sz w:val="18"/>
                <w:szCs w:val="18"/>
              </w:rPr>
            </w:pPr>
            <w:r>
              <w:rPr>
                <w:rFonts w:ascii="Arial" w:hAnsi="Arial" w:eastAsia="宋体" w:cs="Arial"/>
                <w:sz w:val="18"/>
                <w:szCs w:val="18"/>
              </w:rPr>
              <w:t>屏蔽，滤波或其他电磁兼容性（EMC）设计或缓解不足</w:t>
            </w:r>
          </w:p>
        </w:tc>
      </w:tr>
    </w:tbl>
    <w:p w14:paraId="3250158E">
      <w:pPr>
        <w:pStyle w:val="19"/>
        <w:snapToGrid w:val="0"/>
        <w:spacing w:before="100" w:beforeAutospacing="1" w:line="300" w:lineRule="auto"/>
        <w:ind w:left="720"/>
        <w:rPr>
          <w:rFonts w:ascii="Arial" w:hAnsi="Arial" w:eastAsia="宋体" w:cs="Arial"/>
          <w:b/>
          <w:szCs w:val="21"/>
        </w:rPr>
      </w:pPr>
      <w:r>
        <w:rPr>
          <w:rFonts w:ascii="Arial" w:hAnsi="Arial" w:eastAsia="宋体" w:cs="Arial"/>
          <w:b/>
          <w:szCs w:val="21"/>
        </w:rPr>
        <w:t>表5.电气来源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7B0C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34CA3233">
            <w:pPr>
              <w:pStyle w:val="19"/>
              <w:snapToGrid w:val="0"/>
              <w:spacing w:before="31" w:beforeLines="10" w:after="31" w:afterLines="10" w:line="240" w:lineRule="exact"/>
              <w:jc w:val="center"/>
              <w:rPr>
                <w:rFonts w:ascii="Arial" w:hAnsi="Arial" w:eastAsia="宋体" w:cs="Arial"/>
                <w:b/>
                <w:sz w:val="18"/>
                <w:szCs w:val="18"/>
              </w:rPr>
            </w:pPr>
            <w:bookmarkStart w:id="18" w:name="OLE_LINK7"/>
            <w:bookmarkStart w:id="19" w:name="OLE_LINK6"/>
            <w:bookmarkStart w:id="20" w:name="OLE_LINK10"/>
            <w:r>
              <w:rPr>
                <w:rFonts w:ascii="Arial" w:hAnsi="Arial" w:eastAsia="宋体" w:cs="Arial"/>
                <w:b/>
                <w:sz w:val="18"/>
                <w:szCs w:val="18"/>
              </w:rPr>
              <w:t>危害</w:t>
            </w:r>
          </w:p>
        </w:tc>
        <w:tc>
          <w:tcPr>
            <w:tcW w:w="3911" w:type="dxa"/>
            <w:gridSpan w:val="2"/>
          </w:tcPr>
          <w:p w14:paraId="036F16D1">
            <w:pPr>
              <w:pStyle w:val="19"/>
              <w:snapToGrid w:val="0"/>
              <w:spacing w:before="31" w:beforeLines="10" w:after="31" w:afterLines="10" w:line="240" w:lineRule="exact"/>
              <w:jc w:val="center"/>
              <w:rPr>
                <w:rFonts w:ascii="Arial" w:hAnsi="Arial" w:eastAsia="宋体" w:cs="Arial"/>
                <w:b/>
                <w:sz w:val="18"/>
                <w:szCs w:val="18"/>
              </w:rPr>
            </w:pPr>
            <w:r>
              <w:rPr>
                <w:rFonts w:ascii="Arial" w:hAnsi="Arial" w:eastAsia="宋体" w:cs="Arial"/>
                <w:b/>
                <w:sz w:val="18"/>
                <w:szCs w:val="18"/>
              </w:rPr>
              <w:t>潜在原因</w:t>
            </w:r>
          </w:p>
        </w:tc>
      </w:tr>
      <w:bookmarkEnd w:id="18"/>
      <w:bookmarkEnd w:id="19"/>
      <w:bookmarkEnd w:id="20"/>
      <w:tr w14:paraId="4213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6B2993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过热</w:t>
            </w:r>
          </w:p>
        </w:tc>
        <w:tc>
          <w:tcPr>
            <w:tcW w:w="3901" w:type="dxa"/>
          </w:tcPr>
          <w:p w14:paraId="1892ABF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器械之间的互连不正确或松动</w:t>
            </w:r>
          </w:p>
        </w:tc>
      </w:tr>
      <w:tr w14:paraId="116A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E4A9201">
            <w:pPr>
              <w:pStyle w:val="19"/>
              <w:snapToGrid w:val="0"/>
              <w:spacing w:before="31" w:beforeLines="10" w:after="31" w:afterLines="10" w:line="240" w:lineRule="exact"/>
              <w:rPr>
                <w:rFonts w:ascii="Arial" w:hAnsi="Arial" w:eastAsia="宋体" w:cs="Arial"/>
                <w:sz w:val="18"/>
                <w:szCs w:val="18"/>
              </w:rPr>
            </w:pPr>
          </w:p>
        </w:tc>
        <w:tc>
          <w:tcPr>
            <w:tcW w:w="3901" w:type="dxa"/>
          </w:tcPr>
          <w:p w14:paraId="39AB057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供应处理器充电太高</w:t>
            </w:r>
          </w:p>
        </w:tc>
      </w:tr>
      <w:tr w14:paraId="31C3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0E62B69">
            <w:pPr>
              <w:pStyle w:val="19"/>
              <w:snapToGrid w:val="0"/>
              <w:spacing w:before="31" w:beforeLines="10" w:after="31" w:afterLines="10" w:line="240" w:lineRule="exact"/>
              <w:rPr>
                <w:rFonts w:ascii="Arial" w:hAnsi="Arial" w:eastAsia="宋体" w:cs="Arial"/>
                <w:sz w:val="18"/>
                <w:szCs w:val="18"/>
              </w:rPr>
            </w:pPr>
          </w:p>
        </w:tc>
        <w:tc>
          <w:tcPr>
            <w:tcW w:w="3901" w:type="dxa"/>
          </w:tcPr>
          <w:p w14:paraId="087CC18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冷却/散热不良</w:t>
            </w:r>
          </w:p>
        </w:tc>
      </w:tr>
      <w:tr w14:paraId="4106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5EE7399">
            <w:pPr>
              <w:pStyle w:val="19"/>
              <w:snapToGrid w:val="0"/>
              <w:spacing w:before="31" w:beforeLines="10" w:after="31" w:afterLines="10" w:line="240" w:lineRule="exact"/>
              <w:rPr>
                <w:rFonts w:ascii="Arial" w:hAnsi="Arial" w:eastAsia="宋体" w:cs="Arial"/>
                <w:sz w:val="18"/>
                <w:szCs w:val="18"/>
              </w:rPr>
            </w:pPr>
          </w:p>
        </w:tc>
        <w:tc>
          <w:tcPr>
            <w:tcW w:w="3901" w:type="dxa"/>
          </w:tcPr>
          <w:p w14:paraId="6D250037">
            <w:pPr>
              <w:pStyle w:val="19"/>
              <w:snapToGrid w:val="0"/>
              <w:spacing w:before="31" w:beforeLines="10" w:after="31" w:afterLines="10" w:line="240" w:lineRule="exact"/>
              <w:rPr>
                <w:rFonts w:ascii="Arial" w:hAnsi="Arial" w:eastAsia="宋体" w:cs="Arial"/>
                <w:sz w:val="18"/>
                <w:szCs w:val="18"/>
              </w:rPr>
            </w:pPr>
          </w:p>
        </w:tc>
      </w:tr>
      <w:tr w14:paraId="06C1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503D2F1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充电错误</w:t>
            </w:r>
          </w:p>
        </w:tc>
        <w:tc>
          <w:tcPr>
            <w:tcW w:w="3901" w:type="dxa"/>
          </w:tcPr>
          <w:p w14:paraId="28DCE4F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电池不能充电</w:t>
            </w:r>
          </w:p>
        </w:tc>
      </w:tr>
      <w:tr w14:paraId="1AAC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2D4B266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电源电压误差</w:t>
            </w:r>
          </w:p>
        </w:tc>
        <w:tc>
          <w:tcPr>
            <w:tcW w:w="3901" w:type="dxa"/>
          </w:tcPr>
          <w:p w14:paraId="466C1A5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交流电压超过限制</w:t>
            </w:r>
          </w:p>
        </w:tc>
      </w:tr>
      <w:tr w14:paraId="0293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BADE8DE">
            <w:pPr>
              <w:pStyle w:val="19"/>
              <w:snapToGrid w:val="0"/>
              <w:spacing w:before="31" w:beforeLines="10" w:after="31" w:afterLines="10" w:line="240" w:lineRule="exact"/>
              <w:rPr>
                <w:rFonts w:ascii="Arial" w:hAnsi="Arial" w:eastAsia="宋体" w:cs="Arial"/>
                <w:sz w:val="18"/>
                <w:szCs w:val="18"/>
              </w:rPr>
            </w:pPr>
          </w:p>
        </w:tc>
        <w:tc>
          <w:tcPr>
            <w:tcW w:w="3901" w:type="dxa"/>
          </w:tcPr>
          <w:p w14:paraId="37E0931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电池组电压超过限制</w:t>
            </w:r>
          </w:p>
        </w:tc>
      </w:tr>
      <w:tr w14:paraId="697E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7D87BD0">
            <w:pPr>
              <w:pStyle w:val="19"/>
              <w:snapToGrid w:val="0"/>
              <w:spacing w:before="31" w:beforeLines="10" w:after="31" w:afterLines="10" w:line="240" w:lineRule="exact"/>
              <w:rPr>
                <w:rFonts w:ascii="Arial" w:hAnsi="Arial" w:eastAsia="宋体" w:cs="Arial"/>
                <w:sz w:val="18"/>
                <w:szCs w:val="18"/>
              </w:rPr>
            </w:pPr>
          </w:p>
        </w:tc>
        <w:tc>
          <w:tcPr>
            <w:tcW w:w="3901" w:type="dxa"/>
          </w:tcPr>
          <w:p w14:paraId="6844EA1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电池耗尽</w:t>
            </w:r>
          </w:p>
        </w:tc>
      </w:tr>
      <w:tr w14:paraId="3ABC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A3D8A04">
            <w:pPr>
              <w:pStyle w:val="19"/>
              <w:snapToGrid w:val="0"/>
              <w:spacing w:before="31" w:beforeLines="10" w:after="31" w:afterLines="10" w:line="240" w:lineRule="exact"/>
              <w:rPr>
                <w:rFonts w:ascii="Arial" w:hAnsi="Arial" w:eastAsia="宋体" w:cs="Arial"/>
                <w:sz w:val="18"/>
                <w:szCs w:val="18"/>
              </w:rPr>
            </w:pPr>
          </w:p>
        </w:tc>
        <w:tc>
          <w:tcPr>
            <w:tcW w:w="3901" w:type="dxa"/>
          </w:tcPr>
          <w:p w14:paraId="0B17197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电压转换失败</w:t>
            </w:r>
          </w:p>
        </w:tc>
      </w:tr>
      <w:tr w14:paraId="2E3E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795DFF8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电池故障</w:t>
            </w:r>
          </w:p>
        </w:tc>
        <w:tc>
          <w:tcPr>
            <w:tcW w:w="3901" w:type="dxa"/>
          </w:tcPr>
          <w:p w14:paraId="64D0981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电池电压太低</w:t>
            </w:r>
          </w:p>
        </w:tc>
      </w:tr>
      <w:tr w14:paraId="65A4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A6DE0AE">
            <w:pPr>
              <w:pStyle w:val="19"/>
              <w:snapToGrid w:val="0"/>
              <w:spacing w:before="31" w:beforeLines="10" w:after="31" w:afterLines="10" w:line="240" w:lineRule="exact"/>
              <w:rPr>
                <w:rFonts w:ascii="Arial" w:hAnsi="Arial" w:eastAsia="宋体" w:cs="Arial"/>
                <w:sz w:val="18"/>
                <w:szCs w:val="18"/>
              </w:rPr>
            </w:pPr>
          </w:p>
        </w:tc>
        <w:tc>
          <w:tcPr>
            <w:tcW w:w="3901" w:type="dxa"/>
          </w:tcPr>
          <w:p w14:paraId="362BEC5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电池耗尽</w:t>
            </w:r>
          </w:p>
        </w:tc>
      </w:tr>
      <w:tr w14:paraId="505E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B458386">
            <w:pPr>
              <w:pStyle w:val="19"/>
              <w:snapToGrid w:val="0"/>
              <w:spacing w:before="31" w:beforeLines="10" w:after="31" w:afterLines="10" w:line="240" w:lineRule="exact"/>
              <w:rPr>
                <w:rFonts w:ascii="Arial" w:hAnsi="Arial" w:eastAsia="宋体" w:cs="Arial"/>
                <w:sz w:val="18"/>
                <w:szCs w:val="18"/>
              </w:rPr>
            </w:pPr>
          </w:p>
        </w:tc>
        <w:tc>
          <w:tcPr>
            <w:tcW w:w="3901" w:type="dxa"/>
          </w:tcPr>
          <w:p w14:paraId="055854D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电池过度充电</w:t>
            </w:r>
          </w:p>
        </w:tc>
      </w:tr>
      <w:tr w14:paraId="7BA7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D39DE8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泄漏电流过高</w:t>
            </w:r>
          </w:p>
        </w:tc>
        <w:tc>
          <w:tcPr>
            <w:tcW w:w="3901" w:type="dxa"/>
          </w:tcPr>
          <w:p w14:paraId="7A1787A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屏蔽不充分</w:t>
            </w:r>
          </w:p>
        </w:tc>
      </w:tr>
      <w:tr w14:paraId="67CE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0414156">
            <w:pPr>
              <w:pStyle w:val="19"/>
              <w:snapToGrid w:val="0"/>
              <w:spacing w:before="31" w:beforeLines="10" w:after="31" w:afterLines="10" w:line="240" w:lineRule="exact"/>
              <w:rPr>
                <w:rFonts w:ascii="Arial" w:hAnsi="Arial" w:eastAsia="宋体" w:cs="Arial"/>
                <w:sz w:val="18"/>
                <w:szCs w:val="18"/>
              </w:rPr>
            </w:pPr>
          </w:p>
        </w:tc>
        <w:tc>
          <w:tcPr>
            <w:tcW w:w="3901" w:type="dxa"/>
          </w:tcPr>
          <w:p w14:paraId="1D9467B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短路</w:t>
            </w:r>
          </w:p>
        </w:tc>
      </w:tr>
    </w:tbl>
    <w:p w14:paraId="39265D46">
      <w:r>
        <w:br w:type="page"/>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1"/>
        <w:gridCol w:w="3901"/>
      </w:tblGrid>
      <w:tr w14:paraId="6306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vMerge w:val="restart"/>
          </w:tcPr>
          <w:p w14:paraId="75D1C19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电路故障</w:t>
            </w:r>
          </w:p>
        </w:tc>
        <w:tc>
          <w:tcPr>
            <w:tcW w:w="3901" w:type="dxa"/>
          </w:tcPr>
          <w:p w14:paraId="2F42D55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短路</w:t>
            </w:r>
          </w:p>
        </w:tc>
      </w:tr>
      <w:tr w14:paraId="3190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vMerge w:val="continue"/>
          </w:tcPr>
          <w:p w14:paraId="483890B2">
            <w:pPr>
              <w:pStyle w:val="19"/>
              <w:snapToGrid w:val="0"/>
              <w:spacing w:before="31" w:beforeLines="10" w:after="31" w:afterLines="10" w:line="240" w:lineRule="exact"/>
              <w:rPr>
                <w:rFonts w:ascii="Arial" w:hAnsi="Arial" w:eastAsia="宋体" w:cs="Arial"/>
                <w:sz w:val="18"/>
                <w:szCs w:val="18"/>
              </w:rPr>
            </w:pPr>
          </w:p>
        </w:tc>
        <w:tc>
          <w:tcPr>
            <w:tcW w:w="3901" w:type="dxa"/>
          </w:tcPr>
          <w:p w14:paraId="2F36DFF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高阻抗</w:t>
            </w:r>
          </w:p>
        </w:tc>
      </w:tr>
      <w:tr w14:paraId="160A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vMerge w:val="continue"/>
          </w:tcPr>
          <w:p w14:paraId="632E6005">
            <w:pPr>
              <w:pStyle w:val="19"/>
              <w:snapToGrid w:val="0"/>
              <w:spacing w:before="31" w:beforeLines="10" w:after="31" w:afterLines="10" w:line="240" w:lineRule="exact"/>
              <w:rPr>
                <w:rFonts w:ascii="Arial" w:hAnsi="Arial" w:eastAsia="宋体" w:cs="Arial"/>
                <w:sz w:val="18"/>
                <w:szCs w:val="18"/>
              </w:rPr>
            </w:pPr>
          </w:p>
        </w:tc>
        <w:tc>
          <w:tcPr>
            <w:tcW w:w="3901" w:type="dxa"/>
          </w:tcPr>
          <w:p w14:paraId="3336D4C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低阻抗</w:t>
            </w:r>
          </w:p>
        </w:tc>
      </w:tr>
      <w:tr w14:paraId="107A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vMerge w:val="continue"/>
          </w:tcPr>
          <w:p w14:paraId="5A51A022">
            <w:pPr>
              <w:pStyle w:val="19"/>
              <w:snapToGrid w:val="0"/>
              <w:spacing w:before="31" w:beforeLines="10" w:after="31" w:afterLines="10" w:line="240" w:lineRule="exact"/>
              <w:rPr>
                <w:rFonts w:ascii="Arial" w:hAnsi="Arial" w:eastAsia="宋体" w:cs="Arial"/>
                <w:sz w:val="18"/>
                <w:szCs w:val="18"/>
              </w:rPr>
            </w:pPr>
          </w:p>
        </w:tc>
        <w:tc>
          <w:tcPr>
            <w:tcW w:w="3901" w:type="dxa"/>
          </w:tcPr>
          <w:p w14:paraId="0BF6702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导电，腐蚀性液体侵入</w:t>
            </w:r>
          </w:p>
        </w:tc>
      </w:tr>
      <w:tr w14:paraId="754A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14:paraId="48F14A6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电磁兼容性</w:t>
            </w:r>
          </w:p>
        </w:tc>
        <w:tc>
          <w:tcPr>
            <w:tcW w:w="3901" w:type="dxa"/>
          </w:tcPr>
          <w:p w14:paraId="784A425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电磁干扰（EMI）[**见表4]</w:t>
            </w:r>
          </w:p>
        </w:tc>
      </w:tr>
    </w:tbl>
    <w:p w14:paraId="48C1A52F">
      <w:pPr>
        <w:pStyle w:val="19"/>
        <w:tabs>
          <w:tab w:val="left" w:pos="2727"/>
        </w:tabs>
        <w:snapToGrid w:val="0"/>
        <w:spacing w:before="312" w:beforeLines="100" w:line="300" w:lineRule="auto"/>
        <w:ind w:left="720"/>
        <w:rPr>
          <w:rFonts w:ascii="Arial" w:hAnsi="Arial" w:eastAsia="宋体" w:cs="Arial"/>
          <w:b/>
          <w:szCs w:val="21"/>
        </w:rPr>
      </w:pPr>
      <w:r>
        <w:rPr>
          <w:rFonts w:ascii="Arial" w:hAnsi="Arial" w:eastAsia="宋体" w:cs="Arial"/>
          <w:b/>
          <w:szCs w:val="21"/>
        </w:rPr>
        <w:t>表6</w:t>
      </w:r>
      <w:r>
        <w:rPr>
          <w:rFonts w:ascii="Arial" w:hAnsi="Arial" w:eastAsia="宋体" w:cs="Arial"/>
          <w:b/>
          <w:bCs/>
          <w:szCs w:val="21"/>
        </w:rPr>
        <w:t>–</w:t>
      </w:r>
      <w:r>
        <w:rPr>
          <w:rFonts w:ascii="Arial" w:hAnsi="Arial" w:eastAsia="宋体" w:cs="Arial"/>
          <w:b/>
          <w:szCs w:val="21"/>
        </w:rPr>
        <w:t>硬件来源</w:t>
      </w:r>
      <w:r>
        <w:rPr>
          <w:rFonts w:ascii="Arial" w:hAnsi="Arial" w:eastAsia="宋体" w:cs="Arial"/>
          <w:b/>
          <w:szCs w:val="21"/>
        </w:rPr>
        <w:tab/>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08E9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91" w:type="dxa"/>
          </w:tcPr>
          <w:p w14:paraId="36D6D973">
            <w:pPr>
              <w:pStyle w:val="19"/>
              <w:snapToGrid w:val="0"/>
              <w:spacing w:before="15" w:beforeLines="5" w:after="15" w:afterLines="5" w:line="240" w:lineRule="exact"/>
              <w:jc w:val="center"/>
              <w:rPr>
                <w:rFonts w:ascii="Arial" w:hAnsi="Arial" w:eastAsia="宋体" w:cs="Arial"/>
                <w:b/>
                <w:sz w:val="18"/>
                <w:szCs w:val="18"/>
              </w:rPr>
            </w:pPr>
            <w:r>
              <w:rPr>
                <w:rFonts w:ascii="Arial" w:hAnsi="Arial" w:eastAsia="宋体" w:cs="Arial"/>
                <w:b/>
                <w:sz w:val="18"/>
                <w:szCs w:val="18"/>
              </w:rPr>
              <w:t>危害</w:t>
            </w:r>
          </w:p>
        </w:tc>
        <w:tc>
          <w:tcPr>
            <w:tcW w:w="3911" w:type="dxa"/>
            <w:gridSpan w:val="2"/>
          </w:tcPr>
          <w:p w14:paraId="7DA3FD6B">
            <w:pPr>
              <w:pStyle w:val="19"/>
              <w:snapToGrid w:val="0"/>
              <w:spacing w:before="15" w:beforeLines="5" w:after="15" w:afterLines="5" w:line="240" w:lineRule="exact"/>
              <w:jc w:val="center"/>
              <w:rPr>
                <w:rFonts w:ascii="Arial" w:hAnsi="Arial" w:eastAsia="宋体" w:cs="Arial"/>
                <w:b/>
                <w:sz w:val="18"/>
                <w:szCs w:val="18"/>
              </w:rPr>
            </w:pPr>
            <w:r>
              <w:rPr>
                <w:rFonts w:ascii="Arial" w:hAnsi="Arial" w:eastAsia="宋体" w:cs="Arial"/>
                <w:b/>
                <w:sz w:val="18"/>
                <w:szCs w:val="18"/>
              </w:rPr>
              <w:t>潜在原因</w:t>
            </w:r>
          </w:p>
        </w:tc>
      </w:tr>
      <w:tr w14:paraId="20C8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B738180">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系统错误</w:t>
            </w:r>
          </w:p>
        </w:tc>
        <w:tc>
          <w:tcPr>
            <w:tcW w:w="3901" w:type="dxa"/>
          </w:tcPr>
          <w:p w14:paraId="6C6954CD">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组件故障</w:t>
            </w:r>
          </w:p>
        </w:tc>
      </w:tr>
      <w:tr w14:paraId="5433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3EBB4DF">
            <w:pPr>
              <w:pStyle w:val="19"/>
              <w:snapToGrid w:val="0"/>
              <w:spacing w:before="15" w:beforeLines="5" w:after="15" w:afterLines="5" w:line="240" w:lineRule="exact"/>
              <w:rPr>
                <w:rFonts w:ascii="Arial" w:hAnsi="Arial" w:eastAsia="宋体" w:cs="Arial"/>
                <w:sz w:val="18"/>
                <w:szCs w:val="18"/>
              </w:rPr>
            </w:pPr>
          </w:p>
        </w:tc>
        <w:tc>
          <w:tcPr>
            <w:tcW w:w="3901" w:type="dxa"/>
          </w:tcPr>
          <w:p w14:paraId="5BE0982D">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泵组件之间的同步误差</w:t>
            </w:r>
          </w:p>
        </w:tc>
      </w:tr>
      <w:tr w14:paraId="73B3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E9B1297">
            <w:pPr>
              <w:pStyle w:val="19"/>
              <w:snapToGrid w:val="0"/>
              <w:spacing w:before="15" w:beforeLines="5" w:after="15" w:afterLines="5" w:line="240" w:lineRule="exact"/>
              <w:rPr>
                <w:rFonts w:ascii="Arial" w:hAnsi="Arial" w:eastAsia="宋体" w:cs="Arial"/>
                <w:sz w:val="18"/>
                <w:szCs w:val="18"/>
              </w:rPr>
            </w:pPr>
          </w:p>
        </w:tc>
        <w:tc>
          <w:tcPr>
            <w:tcW w:w="3901" w:type="dxa"/>
          </w:tcPr>
          <w:p w14:paraId="3ADDA530">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监视器故障</w:t>
            </w:r>
          </w:p>
        </w:tc>
      </w:tr>
      <w:tr w14:paraId="4F82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0DBAF99">
            <w:pPr>
              <w:pStyle w:val="19"/>
              <w:snapToGrid w:val="0"/>
              <w:spacing w:before="15" w:beforeLines="5" w:after="15" w:afterLines="5" w:line="240" w:lineRule="exact"/>
              <w:rPr>
                <w:rFonts w:ascii="Arial" w:hAnsi="Arial" w:eastAsia="宋体" w:cs="Arial"/>
                <w:sz w:val="18"/>
                <w:szCs w:val="18"/>
              </w:rPr>
            </w:pPr>
          </w:p>
        </w:tc>
        <w:tc>
          <w:tcPr>
            <w:tcW w:w="3901" w:type="dxa"/>
          </w:tcPr>
          <w:p w14:paraId="3F6DFBAD">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未达到可靠性质量标准</w:t>
            </w:r>
          </w:p>
        </w:tc>
      </w:tr>
      <w:tr w14:paraId="491F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47ECAC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网络错误</w:t>
            </w:r>
          </w:p>
        </w:tc>
        <w:tc>
          <w:tcPr>
            <w:tcW w:w="3901" w:type="dxa"/>
          </w:tcPr>
          <w:p w14:paraId="6178ACF2">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网络拥塞</w:t>
            </w:r>
          </w:p>
        </w:tc>
      </w:tr>
      <w:tr w14:paraId="7304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9B8E587">
            <w:pPr>
              <w:pStyle w:val="19"/>
              <w:snapToGrid w:val="0"/>
              <w:spacing w:before="15" w:beforeLines="5" w:after="15" w:afterLines="5" w:line="240" w:lineRule="exact"/>
              <w:rPr>
                <w:rFonts w:ascii="Arial" w:hAnsi="Arial" w:eastAsia="宋体" w:cs="Arial"/>
                <w:sz w:val="18"/>
                <w:szCs w:val="18"/>
              </w:rPr>
            </w:pPr>
          </w:p>
        </w:tc>
        <w:tc>
          <w:tcPr>
            <w:tcW w:w="3901" w:type="dxa"/>
          </w:tcPr>
          <w:p w14:paraId="1BE9C5BA">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通讯问题</w:t>
            </w:r>
          </w:p>
        </w:tc>
      </w:tr>
      <w:tr w14:paraId="073A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2A1F433">
            <w:pPr>
              <w:pStyle w:val="19"/>
              <w:snapToGrid w:val="0"/>
              <w:spacing w:before="15" w:beforeLines="5" w:after="15" w:afterLines="5" w:line="240" w:lineRule="exact"/>
              <w:rPr>
                <w:rFonts w:ascii="Arial" w:hAnsi="Arial" w:eastAsia="宋体" w:cs="Arial"/>
                <w:sz w:val="18"/>
                <w:szCs w:val="18"/>
              </w:rPr>
            </w:pPr>
          </w:p>
        </w:tc>
        <w:tc>
          <w:tcPr>
            <w:tcW w:w="3901" w:type="dxa"/>
          </w:tcPr>
          <w:p w14:paraId="56D8BE0F">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没有（无线电）信号</w:t>
            </w:r>
          </w:p>
        </w:tc>
      </w:tr>
      <w:tr w14:paraId="335D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DD75641">
            <w:pPr>
              <w:pStyle w:val="19"/>
              <w:snapToGrid w:val="0"/>
              <w:spacing w:before="15" w:beforeLines="5" w:after="15" w:afterLines="5" w:line="240" w:lineRule="exact"/>
              <w:rPr>
                <w:rFonts w:ascii="Arial" w:hAnsi="Arial" w:eastAsia="宋体" w:cs="Arial"/>
                <w:sz w:val="18"/>
                <w:szCs w:val="18"/>
              </w:rPr>
            </w:pPr>
          </w:p>
        </w:tc>
        <w:tc>
          <w:tcPr>
            <w:tcW w:w="3901" w:type="dxa"/>
          </w:tcPr>
          <w:p w14:paraId="2AD72D40">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泵与网络/集成器械不兼容</w:t>
            </w:r>
          </w:p>
        </w:tc>
      </w:tr>
      <w:tr w14:paraId="2EA0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B3BE57F">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内存故障</w:t>
            </w:r>
          </w:p>
        </w:tc>
        <w:tc>
          <w:tcPr>
            <w:tcW w:w="3901" w:type="dxa"/>
          </w:tcPr>
          <w:p w14:paraId="732A5055">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尝试写入内存失败</w:t>
            </w:r>
          </w:p>
        </w:tc>
      </w:tr>
      <w:tr w14:paraId="4297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212A499">
            <w:pPr>
              <w:pStyle w:val="19"/>
              <w:snapToGrid w:val="0"/>
              <w:spacing w:before="15" w:beforeLines="5" w:after="15" w:afterLines="5" w:line="240" w:lineRule="exact"/>
              <w:rPr>
                <w:rFonts w:ascii="Arial" w:hAnsi="Arial" w:eastAsia="宋体" w:cs="Arial"/>
                <w:sz w:val="18"/>
                <w:szCs w:val="18"/>
              </w:rPr>
            </w:pPr>
          </w:p>
        </w:tc>
        <w:tc>
          <w:tcPr>
            <w:tcW w:w="3901" w:type="dxa"/>
          </w:tcPr>
          <w:p w14:paraId="19CFA643">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临界值数据完整性错误</w:t>
            </w:r>
          </w:p>
        </w:tc>
      </w:tr>
      <w:tr w14:paraId="046C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D9AF02F">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误报警</w:t>
            </w:r>
          </w:p>
        </w:tc>
        <w:tc>
          <w:tcPr>
            <w:tcW w:w="3901" w:type="dxa"/>
          </w:tcPr>
          <w:p w14:paraId="72DFF2EE">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错误监视中断</w:t>
            </w:r>
          </w:p>
        </w:tc>
      </w:tr>
      <w:tr w14:paraId="31FE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C46A1D9">
            <w:pPr>
              <w:pStyle w:val="19"/>
              <w:snapToGrid w:val="0"/>
              <w:spacing w:before="15" w:beforeLines="5" w:after="15" w:afterLines="5" w:line="240" w:lineRule="exact"/>
              <w:rPr>
                <w:rFonts w:ascii="Arial" w:hAnsi="Arial" w:eastAsia="宋体" w:cs="Arial"/>
                <w:sz w:val="18"/>
                <w:szCs w:val="18"/>
              </w:rPr>
            </w:pPr>
          </w:p>
        </w:tc>
        <w:tc>
          <w:tcPr>
            <w:tcW w:w="3901" w:type="dxa"/>
          </w:tcPr>
          <w:p w14:paraId="73D3E223">
            <w:pPr>
              <w:pStyle w:val="19"/>
              <w:snapToGrid w:val="0"/>
              <w:spacing w:before="15" w:beforeLines="5" w:after="15" w:afterLines="5" w:line="240" w:lineRule="exact"/>
              <w:rPr>
                <w:rFonts w:ascii="Arial" w:hAnsi="Arial" w:eastAsia="宋体" w:cs="Arial"/>
                <w:sz w:val="18"/>
                <w:szCs w:val="18"/>
              </w:rPr>
            </w:pPr>
            <w:bookmarkStart w:id="21" w:name="OLE_LINK8"/>
            <w:bookmarkStart w:id="22" w:name="OLE_LINK9"/>
            <w:r>
              <w:rPr>
                <w:rFonts w:ascii="Arial" w:hAnsi="Arial" w:eastAsia="宋体" w:cs="Arial"/>
                <w:sz w:val="18"/>
                <w:szCs w:val="18"/>
              </w:rPr>
              <w:t>器械或传感器</w:t>
            </w:r>
            <w:bookmarkEnd w:id="21"/>
            <w:bookmarkEnd w:id="22"/>
            <w:r>
              <w:rPr>
                <w:rFonts w:ascii="Arial" w:hAnsi="Arial" w:eastAsia="宋体" w:cs="Arial"/>
                <w:sz w:val="18"/>
                <w:szCs w:val="18"/>
              </w:rPr>
              <w:t>受到污染</w:t>
            </w:r>
          </w:p>
        </w:tc>
      </w:tr>
      <w:tr w14:paraId="234A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5AC710E">
            <w:pPr>
              <w:pStyle w:val="19"/>
              <w:snapToGrid w:val="0"/>
              <w:spacing w:before="15" w:beforeLines="5" w:after="15" w:afterLines="5" w:line="240" w:lineRule="exact"/>
              <w:rPr>
                <w:rFonts w:ascii="Arial" w:hAnsi="Arial" w:eastAsia="宋体" w:cs="Arial"/>
                <w:sz w:val="18"/>
                <w:szCs w:val="18"/>
              </w:rPr>
            </w:pPr>
          </w:p>
        </w:tc>
        <w:tc>
          <w:tcPr>
            <w:tcW w:w="3901" w:type="dxa"/>
          </w:tcPr>
          <w:p w14:paraId="527B3D7E">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器械或传感器缺乏校准</w:t>
            </w:r>
          </w:p>
        </w:tc>
      </w:tr>
      <w:tr w14:paraId="3E79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026F4A36">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不报警</w:t>
            </w:r>
          </w:p>
        </w:tc>
        <w:tc>
          <w:tcPr>
            <w:tcW w:w="3901" w:type="dxa"/>
          </w:tcPr>
          <w:p w14:paraId="2DBEB1C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传感器故障</w:t>
            </w:r>
          </w:p>
        </w:tc>
      </w:tr>
      <w:tr w14:paraId="4FF4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25218212">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输入的剂量值不正确</w:t>
            </w:r>
          </w:p>
        </w:tc>
        <w:tc>
          <w:tcPr>
            <w:tcW w:w="3901" w:type="dxa"/>
          </w:tcPr>
          <w:p w14:paraId="0865B25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关键防跳失防范失败</w:t>
            </w:r>
          </w:p>
        </w:tc>
      </w:tr>
    </w:tbl>
    <w:p w14:paraId="7DA7FE14">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表7-软件来源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1586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4D9381BC">
            <w:pPr>
              <w:pStyle w:val="19"/>
              <w:snapToGrid w:val="0"/>
              <w:spacing w:before="15" w:beforeLines="5" w:after="15" w:afterLines="5" w:line="240" w:lineRule="exact"/>
              <w:jc w:val="center"/>
              <w:rPr>
                <w:rFonts w:ascii="Arial" w:hAnsi="Arial" w:eastAsia="宋体" w:cs="Arial"/>
                <w:b/>
                <w:sz w:val="18"/>
                <w:szCs w:val="18"/>
              </w:rPr>
            </w:pPr>
            <w:bookmarkStart w:id="23" w:name="OLE_LINK18"/>
            <w:bookmarkStart w:id="24" w:name="OLE_LINK17"/>
            <w:r>
              <w:rPr>
                <w:rFonts w:ascii="Arial" w:hAnsi="Arial" w:eastAsia="宋体" w:cs="Arial"/>
                <w:b/>
                <w:sz w:val="18"/>
                <w:szCs w:val="18"/>
              </w:rPr>
              <w:t>危害</w:t>
            </w:r>
          </w:p>
        </w:tc>
        <w:tc>
          <w:tcPr>
            <w:tcW w:w="3911" w:type="dxa"/>
            <w:gridSpan w:val="2"/>
          </w:tcPr>
          <w:p w14:paraId="6E59B1E9">
            <w:pPr>
              <w:pStyle w:val="19"/>
              <w:snapToGrid w:val="0"/>
              <w:spacing w:before="15" w:beforeLines="5" w:after="15" w:afterLines="5" w:line="240" w:lineRule="exact"/>
              <w:jc w:val="center"/>
              <w:rPr>
                <w:rFonts w:ascii="Arial" w:hAnsi="Arial" w:eastAsia="宋体" w:cs="Arial"/>
                <w:b/>
                <w:sz w:val="18"/>
                <w:szCs w:val="18"/>
              </w:rPr>
            </w:pPr>
            <w:r>
              <w:rPr>
                <w:rFonts w:ascii="Arial" w:hAnsi="Arial" w:eastAsia="宋体" w:cs="Arial"/>
                <w:b/>
                <w:sz w:val="18"/>
                <w:szCs w:val="18"/>
              </w:rPr>
              <w:t>潜在原因</w:t>
            </w:r>
          </w:p>
        </w:tc>
      </w:tr>
      <w:bookmarkEnd w:id="23"/>
      <w:bookmarkEnd w:id="24"/>
      <w:tr w14:paraId="6F95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94A6551">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数据误差</w:t>
            </w:r>
          </w:p>
        </w:tc>
        <w:tc>
          <w:tcPr>
            <w:tcW w:w="3901" w:type="dxa"/>
          </w:tcPr>
          <w:p w14:paraId="464C5695">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备份失败</w:t>
            </w:r>
          </w:p>
        </w:tc>
      </w:tr>
      <w:tr w14:paraId="2B0E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742BBD9">
            <w:pPr>
              <w:pStyle w:val="19"/>
              <w:snapToGrid w:val="0"/>
              <w:spacing w:before="15" w:beforeLines="5" w:after="15" w:afterLines="5" w:line="240" w:lineRule="exact"/>
              <w:rPr>
                <w:rFonts w:ascii="Arial" w:hAnsi="Arial" w:eastAsia="宋体" w:cs="Arial"/>
                <w:sz w:val="18"/>
                <w:szCs w:val="18"/>
              </w:rPr>
            </w:pPr>
            <w:bookmarkStart w:id="25" w:name="_Hlk479366389"/>
          </w:p>
        </w:tc>
        <w:tc>
          <w:tcPr>
            <w:tcW w:w="3901" w:type="dxa"/>
          </w:tcPr>
          <w:p w14:paraId="2044E237">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数据存储/恢复错误</w:t>
            </w:r>
          </w:p>
        </w:tc>
      </w:tr>
      <w:bookmarkEnd w:id="25"/>
      <w:tr w14:paraId="08A3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62BD566">
            <w:pPr>
              <w:pStyle w:val="19"/>
              <w:snapToGrid w:val="0"/>
              <w:spacing w:before="15" w:beforeLines="5" w:after="15" w:afterLines="5" w:line="240" w:lineRule="exact"/>
              <w:rPr>
                <w:rFonts w:ascii="Arial" w:hAnsi="Arial" w:eastAsia="宋体" w:cs="Arial"/>
                <w:sz w:val="18"/>
                <w:szCs w:val="18"/>
              </w:rPr>
            </w:pPr>
          </w:p>
        </w:tc>
        <w:tc>
          <w:tcPr>
            <w:tcW w:w="3901" w:type="dxa"/>
          </w:tcPr>
          <w:p w14:paraId="5C7CB64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通讯问题</w:t>
            </w:r>
          </w:p>
        </w:tc>
      </w:tr>
      <w:tr w14:paraId="6F67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2107DB1">
            <w:pPr>
              <w:pStyle w:val="19"/>
              <w:snapToGrid w:val="0"/>
              <w:spacing w:before="15" w:beforeLines="5" w:after="15" w:afterLines="5" w:line="240" w:lineRule="exact"/>
              <w:rPr>
                <w:rFonts w:ascii="Arial" w:hAnsi="Arial" w:eastAsia="宋体" w:cs="Arial"/>
                <w:sz w:val="18"/>
                <w:szCs w:val="18"/>
              </w:rPr>
            </w:pPr>
            <w:bookmarkStart w:id="26" w:name="OLE_LINK13"/>
            <w:bookmarkStart w:id="27" w:name="OLE_LINK14"/>
            <w:r>
              <w:rPr>
                <w:rFonts w:ascii="Arial" w:hAnsi="Arial" w:eastAsia="宋体" w:cs="Arial"/>
                <w:sz w:val="18"/>
                <w:szCs w:val="18"/>
              </w:rPr>
              <w:t>软件运行时间错误</w:t>
            </w:r>
            <w:bookmarkEnd w:id="26"/>
            <w:bookmarkEnd w:id="27"/>
          </w:p>
        </w:tc>
        <w:tc>
          <w:tcPr>
            <w:tcW w:w="3901" w:type="dxa"/>
          </w:tcPr>
          <w:p w14:paraId="50A1DF47">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缓冲液溢出/下溢</w:t>
            </w:r>
          </w:p>
        </w:tc>
      </w:tr>
      <w:tr w14:paraId="7B27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371A107">
            <w:pPr>
              <w:pStyle w:val="19"/>
              <w:snapToGrid w:val="0"/>
              <w:spacing w:before="15" w:beforeLines="5" w:after="15" w:afterLines="5" w:line="240" w:lineRule="exact"/>
              <w:rPr>
                <w:rFonts w:ascii="Arial" w:hAnsi="Arial" w:eastAsia="宋体" w:cs="Arial"/>
                <w:sz w:val="18"/>
                <w:szCs w:val="18"/>
              </w:rPr>
            </w:pPr>
          </w:p>
        </w:tc>
        <w:tc>
          <w:tcPr>
            <w:tcW w:w="3901" w:type="dxa"/>
          </w:tcPr>
          <w:p w14:paraId="706D70BE">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空指针解除参考</w:t>
            </w:r>
          </w:p>
        </w:tc>
      </w:tr>
      <w:tr w14:paraId="28B5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5803891">
            <w:pPr>
              <w:pStyle w:val="19"/>
              <w:snapToGrid w:val="0"/>
              <w:spacing w:before="15" w:beforeLines="5" w:after="15" w:afterLines="5" w:line="240" w:lineRule="exact"/>
              <w:rPr>
                <w:rFonts w:ascii="Arial" w:hAnsi="Arial" w:eastAsia="宋体" w:cs="Arial"/>
                <w:sz w:val="18"/>
                <w:szCs w:val="18"/>
              </w:rPr>
            </w:pPr>
          </w:p>
        </w:tc>
        <w:tc>
          <w:tcPr>
            <w:tcW w:w="3901" w:type="dxa"/>
          </w:tcPr>
          <w:p w14:paraId="511A155D">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内存泄露</w:t>
            </w:r>
          </w:p>
        </w:tc>
      </w:tr>
      <w:tr w14:paraId="3FF4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863F0E7">
            <w:pPr>
              <w:pStyle w:val="19"/>
              <w:snapToGrid w:val="0"/>
              <w:spacing w:before="15" w:beforeLines="5" w:after="15" w:afterLines="5" w:line="240" w:lineRule="exact"/>
              <w:rPr>
                <w:rFonts w:ascii="Arial" w:hAnsi="Arial" w:eastAsia="宋体" w:cs="Arial"/>
                <w:sz w:val="18"/>
                <w:szCs w:val="18"/>
              </w:rPr>
            </w:pPr>
          </w:p>
        </w:tc>
        <w:tc>
          <w:tcPr>
            <w:tcW w:w="3901" w:type="dxa"/>
          </w:tcPr>
          <w:p w14:paraId="7B37AE1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变量未初始化</w:t>
            </w:r>
          </w:p>
        </w:tc>
      </w:tr>
      <w:tr w14:paraId="3B81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2FF112F">
            <w:pPr>
              <w:pStyle w:val="19"/>
              <w:snapToGrid w:val="0"/>
              <w:spacing w:before="15" w:beforeLines="5" w:after="15" w:afterLines="5" w:line="240" w:lineRule="exact"/>
              <w:rPr>
                <w:rFonts w:ascii="Arial" w:hAnsi="Arial" w:eastAsia="宋体" w:cs="Arial"/>
                <w:sz w:val="18"/>
                <w:szCs w:val="18"/>
              </w:rPr>
            </w:pPr>
          </w:p>
        </w:tc>
        <w:tc>
          <w:tcPr>
            <w:tcW w:w="3901" w:type="dxa"/>
          </w:tcPr>
          <w:p w14:paraId="2F3878CC">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动态链接不正确</w:t>
            </w:r>
          </w:p>
        </w:tc>
      </w:tr>
      <w:tr w14:paraId="673C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29DCBA5">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系统故障</w:t>
            </w:r>
          </w:p>
        </w:tc>
        <w:tc>
          <w:tcPr>
            <w:tcW w:w="3901" w:type="dxa"/>
          </w:tcPr>
          <w:p w14:paraId="5443592F">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软件运行时间错误</w:t>
            </w:r>
          </w:p>
        </w:tc>
      </w:tr>
      <w:tr w14:paraId="7139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5129D3F">
            <w:pPr>
              <w:pStyle w:val="19"/>
              <w:snapToGrid w:val="0"/>
              <w:spacing w:before="15" w:beforeLines="5" w:after="15" w:afterLines="5" w:line="240" w:lineRule="exact"/>
              <w:rPr>
                <w:rFonts w:ascii="Arial" w:hAnsi="Arial" w:eastAsia="宋体" w:cs="Arial"/>
                <w:sz w:val="18"/>
                <w:szCs w:val="18"/>
              </w:rPr>
            </w:pPr>
          </w:p>
        </w:tc>
        <w:tc>
          <w:tcPr>
            <w:tcW w:w="3901" w:type="dxa"/>
          </w:tcPr>
          <w:p w14:paraId="270E4E12">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通讯错误</w:t>
            </w:r>
          </w:p>
        </w:tc>
      </w:tr>
      <w:tr w14:paraId="5D75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D7A35F7">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损坏的输液指令</w:t>
            </w:r>
          </w:p>
        </w:tc>
        <w:tc>
          <w:tcPr>
            <w:tcW w:w="3901" w:type="dxa"/>
          </w:tcPr>
          <w:p w14:paraId="661AC1FC">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数据存储/恢复错误</w:t>
            </w:r>
          </w:p>
        </w:tc>
      </w:tr>
      <w:tr w14:paraId="0002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14813E7">
            <w:pPr>
              <w:pStyle w:val="19"/>
              <w:snapToGrid w:val="0"/>
              <w:spacing w:before="15" w:beforeLines="5" w:after="15" w:afterLines="5" w:line="240" w:lineRule="exact"/>
              <w:rPr>
                <w:rFonts w:ascii="Arial" w:hAnsi="Arial" w:eastAsia="宋体" w:cs="Arial"/>
                <w:sz w:val="18"/>
                <w:szCs w:val="18"/>
              </w:rPr>
            </w:pPr>
          </w:p>
        </w:tc>
        <w:tc>
          <w:tcPr>
            <w:tcW w:w="3901" w:type="dxa"/>
          </w:tcPr>
          <w:p w14:paraId="4D9EB63B">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通讯问题</w:t>
            </w:r>
          </w:p>
        </w:tc>
      </w:tr>
      <w:tr w14:paraId="509C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717A8C35">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泵不能静音</w:t>
            </w:r>
          </w:p>
        </w:tc>
        <w:tc>
          <w:tcPr>
            <w:tcW w:w="3901" w:type="dxa"/>
          </w:tcPr>
          <w:p w14:paraId="405311F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报警优先级设置不正确</w:t>
            </w:r>
          </w:p>
        </w:tc>
      </w:tr>
      <w:tr w14:paraId="4AA7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6F3394B">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软件版本不正确</w:t>
            </w:r>
          </w:p>
        </w:tc>
        <w:tc>
          <w:tcPr>
            <w:tcW w:w="3901" w:type="dxa"/>
          </w:tcPr>
          <w:p w14:paraId="62265A39">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软件更新没有安装</w:t>
            </w:r>
          </w:p>
        </w:tc>
      </w:tr>
      <w:tr w14:paraId="3D19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19940F4">
            <w:pPr>
              <w:pStyle w:val="19"/>
              <w:snapToGrid w:val="0"/>
              <w:spacing w:before="15" w:beforeLines="5" w:after="15" w:afterLines="5" w:line="240" w:lineRule="exact"/>
              <w:rPr>
                <w:rFonts w:ascii="Arial" w:hAnsi="Arial" w:eastAsia="宋体" w:cs="Arial"/>
                <w:sz w:val="18"/>
                <w:szCs w:val="18"/>
              </w:rPr>
            </w:pPr>
          </w:p>
        </w:tc>
        <w:tc>
          <w:tcPr>
            <w:tcW w:w="3901" w:type="dxa"/>
          </w:tcPr>
          <w:p w14:paraId="2E8996AE">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加载不正确的药物库</w:t>
            </w:r>
          </w:p>
        </w:tc>
      </w:tr>
      <w:tr w14:paraId="5A14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36C37CB">
            <w:pPr>
              <w:pStyle w:val="19"/>
              <w:snapToGrid w:val="0"/>
              <w:spacing w:before="15" w:beforeLines="5" w:after="15" w:afterLines="5" w:line="240" w:lineRule="exact"/>
              <w:rPr>
                <w:rFonts w:ascii="Arial" w:hAnsi="Arial" w:eastAsia="宋体" w:cs="Arial"/>
                <w:sz w:val="18"/>
                <w:szCs w:val="18"/>
              </w:rPr>
            </w:pPr>
          </w:p>
        </w:tc>
        <w:tc>
          <w:tcPr>
            <w:tcW w:w="3901" w:type="dxa"/>
          </w:tcPr>
          <w:p w14:paraId="276B1828">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安装不正确的版本</w:t>
            </w:r>
          </w:p>
        </w:tc>
      </w:tr>
      <w:tr w14:paraId="2F96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2C80786D">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无报警/误报警</w:t>
            </w:r>
          </w:p>
        </w:tc>
        <w:tc>
          <w:tcPr>
            <w:tcW w:w="3901" w:type="dxa"/>
          </w:tcPr>
          <w:p w14:paraId="214965C9">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传感器故障</w:t>
            </w:r>
          </w:p>
        </w:tc>
      </w:tr>
      <w:tr w14:paraId="7D95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83812E9">
            <w:pPr>
              <w:pStyle w:val="19"/>
              <w:snapToGrid w:val="0"/>
              <w:spacing w:before="15" w:beforeLines="5" w:after="15" w:afterLines="5" w:line="240" w:lineRule="exact"/>
              <w:rPr>
                <w:rFonts w:ascii="Arial" w:hAnsi="Arial" w:eastAsia="宋体" w:cs="Arial"/>
                <w:sz w:val="18"/>
                <w:szCs w:val="18"/>
              </w:rPr>
            </w:pPr>
          </w:p>
        </w:tc>
        <w:tc>
          <w:tcPr>
            <w:tcW w:w="3901" w:type="dxa"/>
          </w:tcPr>
          <w:p w14:paraId="4A6A20BD">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报警优先级设置不正确</w:t>
            </w:r>
          </w:p>
        </w:tc>
      </w:tr>
      <w:tr w14:paraId="0EFD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1AC445A">
            <w:pPr>
              <w:pStyle w:val="19"/>
              <w:snapToGrid w:val="0"/>
              <w:spacing w:before="15" w:beforeLines="5" w:after="15" w:afterLines="5" w:line="240" w:lineRule="exact"/>
              <w:rPr>
                <w:rFonts w:ascii="Arial" w:hAnsi="Arial" w:eastAsia="宋体" w:cs="Arial"/>
                <w:sz w:val="18"/>
                <w:szCs w:val="18"/>
              </w:rPr>
            </w:pPr>
          </w:p>
        </w:tc>
        <w:tc>
          <w:tcPr>
            <w:tcW w:w="3901" w:type="dxa"/>
          </w:tcPr>
          <w:p w14:paraId="4B1F98A4">
            <w:pPr>
              <w:pStyle w:val="19"/>
              <w:snapToGrid w:val="0"/>
              <w:spacing w:before="15" w:beforeLines="5" w:after="15" w:afterLines="5" w:line="240" w:lineRule="exact"/>
              <w:rPr>
                <w:rFonts w:ascii="Arial" w:hAnsi="Arial" w:eastAsia="宋体" w:cs="Arial"/>
                <w:sz w:val="18"/>
                <w:szCs w:val="18"/>
              </w:rPr>
            </w:pPr>
            <w:r>
              <w:rPr>
                <w:rFonts w:ascii="Arial" w:hAnsi="Arial" w:eastAsia="宋体" w:cs="Arial"/>
                <w:sz w:val="18"/>
                <w:szCs w:val="18"/>
              </w:rPr>
              <w:t>报警阈值设置不正确</w:t>
            </w:r>
          </w:p>
        </w:tc>
      </w:tr>
    </w:tbl>
    <w:p w14:paraId="61B1DA84">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表8-机械来源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7BAE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340C26EB">
            <w:pPr>
              <w:pStyle w:val="19"/>
              <w:snapToGrid w:val="0"/>
              <w:spacing w:before="31" w:beforeLines="10" w:after="31" w:afterLines="10" w:line="240" w:lineRule="exact"/>
              <w:jc w:val="center"/>
              <w:rPr>
                <w:rFonts w:ascii="Arial" w:hAnsi="Arial" w:eastAsia="宋体" w:cs="Arial"/>
                <w:b/>
                <w:sz w:val="18"/>
                <w:szCs w:val="18"/>
              </w:rPr>
            </w:pPr>
            <w:bookmarkStart w:id="28" w:name="OLE_LINK19"/>
            <w:bookmarkStart w:id="29" w:name="OLE_LINK20"/>
            <w:r>
              <w:rPr>
                <w:rFonts w:ascii="Arial" w:hAnsi="Arial" w:eastAsia="宋体" w:cs="Arial"/>
                <w:b/>
                <w:sz w:val="18"/>
                <w:szCs w:val="18"/>
              </w:rPr>
              <w:t>危害</w:t>
            </w:r>
          </w:p>
        </w:tc>
        <w:tc>
          <w:tcPr>
            <w:tcW w:w="3911" w:type="dxa"/>
            <w:gridSpan w:val="2"/>
          </w:tcPr>
          <w:p w14:paraId="34D682A7">
            <w:pPr>
              <w:pStyle w:val="19"/>
              <w:snapToGrid w:val="0"/>
              <w:spacing w:before="31" w:beforeLines="10" w:after="31" w:afterLines="10" w:line="240" w:lineRule="exact"/>
              <w:jc w:val="center"/>
              <w:rPr>
                <w:rFonts w:ascii="Arial" w:hAnsi="Arial" w:eastAsia="宋体" w:cs="Arial"/>
                <w:b/>
                <w:sz w:val="18"/>
                <w:szCs w:val="18"/>
              </w:rPr>
            </w:pPr>
            <w:r>
              <w:rPr>
                <w:rFonts w:ascii="Arial" w:hAnsi="Arial" w:eastAsia="宋体" w:cs="Arial"/>
                <w:b/>
                <w:sz w:val="18"/>
                <w:szCs w:val="18"/>
              </w:rPr>
              <w:t>潜在原因</w:t>
            </w:r>
          </w:p>
        </w:tc>
      </w:tr>
      <w:bookmarkEnd w:id="28"/>
      <w:bookmarkEnd w:id="29"/>
      <w:tr w14:paraId="0C47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20037F5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无法设定剂量，启动/停止/复位泵，静音报警</w:t>
            </w:r>
          </w:p>
        </w:tc>
        <w:tc>
          <w:tcPr>
            <w:tcW w:w="3901" w:type="dxa"/>
          </w:tcPr>
          <w:p w14:paraId="18E0A67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部分破损（例如，坏的键盘）</w:t>
            </w:r>
          </w:p>
        </w:tc>
      </w:tr>
      <w:tr w14:paraId="0B9A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182255C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输入的剂量值不正确</w:t>
            </w:r>
          </w:p>
        </w:tc>
        <w:tc>
          <w:tcPr>
            <w:tcW w:w="3901" w:type="dxa"/>
          </w:tcPr>
          <w:p w14:paraId="0CADF6C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键盘卡住/压低</w:t>
            </w:r>
          </w:p>
        </w:tc>
      </w:tr>
      <w:tr w14:paraId="7494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126EB14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不能报警</w:t>
            </w:r>
          </w:p>
        </w:tc>
        <w:tc>
          <w:tcPr>
            <w:tcW w:w="3901" w:type="dxa"/>
          </w:tcPr>
          <w:p w14:paraId="2E976C5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扬声器/音频单元故障</w:t>
            </w:r>
          </w:p>
        </w:tc>
      </w:tr>
      <w:tr w14:paraId="1970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021F1D9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泵的物理损伤</w:t>
            </w:r>
          </w:p>
        </w:tc>
        <w:tc>
          <w:tcPr>
            <w:tcW w:w="3901" w:type="dxa"/>
          </w:tcPr>
          <w:p w14:paraId="351FA9C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来自不同来源的压力：随机冲击（例如跌落器械），振动，剪切，疲劳，断裂，断裂，磨损以及温度或应力引起的变形</w:t>
            </w:r>
          </w:p>
        </w:tc>
      </w:tr>
      <w:tr w14:paraId="3C2A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438713A">
            <w:pPr>
              <w:pStyle w:val="19"/>
              <w:snapToGrid w:val="0"/>
              <w:spacing w:before="31" w:beforeLines="10" w:after="31" w:afterLines="10" w:line="240" w:lineRule="exact"/>
              <w:rPr>
                <w:rFonts w:ascii="Arial" w:hAnsi="Arial" w:eastAsia="宋体" w:cs="Arial"/>
                <w:sz w:val="18"/>
                <w:szCs w:val="18"/>
              </w:rPr>
            </w:pPr>
          </w:p>
        </w:tc>
        <w:tc>
          <w:tcPr>
            <w:tcW w:w="3901" w:type="dxa"/>
          </w:tcPr>
          <w:p w14:paraId="5A1DA9B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液体进入</w:t>
            </w:r>
          </w:p>
        </w:tc>
      </w:tr>
      <w:tr w14:paraId="51E6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21EF664">
            <w:pPr>
              <w:pStyle w:val="19"/>
              <w:snapToGrid w:val="0"/>
              <w:spacing w:before="31" w:beforeLines="10" w:after="31" w:afterLines="10" w:line="240" w:lineRule="exact"/>
              <w:rPr>
                <w:rFonts w:ascii="Arial" w:hAnsi="Arial" w:eastAsia="宋体" w:cs="Arial"/>
                <w:sz w:val="18"/>
                <w:szCs w:val="18"/>
              </w:rPr>
            </w:pPr>
          </w:p>
        </w:tc>
        <w:tc>
          <w:tcPr>
            <w:tcW w:w="3901" w:type="dxa"/>
          </w:tcPr>
          <w:p w14:paraId="4DCB92F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损坏电源线</w:t>
            </w:r>
          </w:p>
        </w:tc>
      </w:tr>
      <w:tr w14:paraId="36BF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4018EB6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泵停止输送</w:t>
            </w:r>
          </w:p>
        </w:tc>
        <w:tc>
          <w:tcPr>
            <w:tcW w:w="3901" w:type="dxa"/>
          </w:tcPr>
          <w:p w14:paraId="074DD39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泵电机故障</w:t>
            </w:r>
          </w:p>
          <w:p w14:paraId="53154CC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泵不能做功</w:t>
            </w:r>
          </w:p>
        </w:tc>
      </w:tr>
    </w:tbl>
    <w:p w14:paraId="485FB501">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表9-生物和化学来源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0ADC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1EC95FC6">
            <w:pPr>
              <w:pStyle w:val="19"/>
              <w:snapToGrid w:val="0"/>
              <w:spacing w:before="31" w:beforeLines="10" w:after="31" w:afterLines="10" w:line="240" w:lineRule="exact"/>
              <w:rPr>
                <w:rFonts w:ascii="Arial" w:hAnsi="Arial" w:eastAsia="宋体" w:cs="Arial"/>
                <w:b/>
                <w:sz w:val="18"/>
                <w:szCs w:val="18"/>
              </w:rPr>
            </w:pPr>
            <w:bookmarkStart w:id="30" w:name="OLE_LINK24"/>
            <w:bookmarkStart w:id="31" w:name="OLE_LINK23"/>
            <w:r>
              <w:rPr>
                <w:rFonts w:ascii="Arial" w:hAnsi="Arial" w:eastAsia="宋体" w:cs="Arial"/>
                <w:b/>
                <w:sz w:val="18"/>
                <w:szCs w:val="18"/>
              </w:rPr>
              <w:t>危害</w:t>
            </w:r>
          </w:p>
        </w:tc>
        <w:tc>
          <w:tcPr>
            <w:tcW w:w="3911" w:type="dxa"/>
            <w:gridSpan w:val="2"/>
          </w:tcPr>
          <w:p w14:paraId="2F5B8D61">
            <w:pPr>
              <w:pStyle w:val="19"/>
              <w:snapToGrid w:val="0"/>
              <w:spacing w:before="31" w:beforeLines="10" w:after="31" w:afterLines="10" w:line="240" w:lineRule="exact"/>
              <w:rPr>
                <w:rFonts w:ascii="Arial" w:hAnsi="Arial" w:eastAsia="宋体" w:cs="Arial"/>
                <w:b/>
                <w:sz w:val="18"/>
                <w:szCs w:val="18"/>
              </w:rPr>
            </w:pPr>
            <w:r>
              <w:rPr>
                <w:rFonts w:ascii="Arial" w:hAnsi="Arial" w:eastAsia="宋体" w:cs="Arial"/>
                <w:b/>
                <w:sz w:val="18"/>
                <w:szCs w:val="18"/>
              </w:rPr>
              <w:t>潜在原因</w:t>
            </w:r>
          </w:p>
        </w:tc>
      </w:tr>
      <w:bookmarkEnd w:id="30"/>
      <w:bookmarkEnd w:id="31"/>
      <w:tr w14:paraId="0A99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38F0B6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泵暴露于病原体、过敏原或其他感染性物质</w:t>
            </w:r>
          </w:p>
        </w:tc>
        <w:tc>
          <w:tcPr>
            <w:tcW w:w="3901" w:type="dxa"/>
          </w:tcPr>
          <w:p w14:paraId="5E3098FC">
            <w:pPr>
              <w:pStyle w:val="19"/>
              <w:snapToGrid w:val="0"/>
              <w:spacing w:before="31" w:beforeLines="10" w:after="31" w:afterLines="10" w:line="240" w:lineRule="exact"/>
              <w:rPr>
                <w:rFonts w:ascii="Arial" w:hAnsi="Arial" w:eastAsia="宋体" w:cs="Arial"/>
                <w:sz w:val="18"/>
                <w:szCs w:val="18"/>
              </w:rPr>
            </w:pPr>
            <w:bookmarkStart w:id="32" w:name="OLE_LINK21"/>
            <w:bookmarkStart w:id="33" w:name="OLE_LINK22"/>
            <w:r>
              <w:rPr>
                <w:rFonts w:ascii="Arial" w:hAnsi="Arial" w:eastAsia="宋体" w:cs="Arial"/>
                <w:sz w:val="18"/>
                <w:szCs w:val="18"/>
              </w:rPr>
              <w:t>器械清洁不充分</w:t>
            </w:r>
            <w:bookmarkEnd w:id="32"/>
            <w:bookmarkEnd w:id="33"/>
          </w:p>
        </w:tc>
      </w:tr>
      <w:tr w14:paraId="41B1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4F16CFA">
            <w:pPr>
              <w:pStyle w:val="19"/>
              <w:snapToGrid w:val="0"/>
              <w:spacing w:before="31" w:beforeLines="10" w:after="31" w:afterLines="10" w:line="240" w:lineRule="exact"/>
              <w:rPr>
                <w:rFonts w:ascii="Arial" w:hAnsi="Arial" w:eastAsia="宋体" w:cs="Arial"/>
                <w:sz w:val="18"/>
                <w:szCs w:val="18"/>
              </w:rPr>
            </w:pPr>
          </w:p>
        </w:tc>
        <w:tc>
          <w:tcPr>
            <w:tcW w:w="3901" w:type="dxa"/>
          </w:tcPr>
          <w:p w14:paraId="428F701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器械被血液或渗出物污染</w:t>
            </w:r>
          </w:p>
        </w:tc>
      </w:tr>
      <w:tr w14:paraId="31E4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4133F3A">
            <w:pPr>
              <w:pStyle w:val="19"/>
              <w:snapToGrid w:val="0"/>
              <w:spacing w:before="31" w:beforeLines="10" w:after="31" w:afterLines="10" w:line="240" w:lineRule="exact"/>
              <w:rPr>
                <w:rFonts w:ascii="Arial" w:hAnsi="Arial" w:eastAsia="宋体" w:cs="Arial"/>
                <w:sz w:val="18"/>
                <w:szCs w:val="18"/>
              </w:rPr>
            </w:pPr>
          </w:p>
        </w:tc>
        <w:tc>
          <w:tcPr>
            <w:tcW w:w="3901" w:type="dxa"/>
          </w:tcPr>
          <w:p w14:paraId="46A3FFD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冲洗故障</w:t>
            </w:r>
          </w:p>
        </w:tc>
      </w:tr>
      <w:tr w14:paraId="6319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E59A0C9">
            <w:pPr>
              <w:pStyle w:val="19"/>
              <w:snapToGrid w:val="0"/>
              <w:spacing w:before="31" w:beforeLines="10" w:after="31" w:afterLines="10" w:line="240" w:lineRule="exact"/>
              <w:rPr>
                <w:rFonts w:ascii="Arial" w:hAnsi="Arial" w:eastAsia="宋体" w:cs="Arial"/>
                <w:sz w:val="18"/>
                <w:szCs w:val="18"/>
              </w:rPr>
            </w:pPr>
          </w:p>
        </w:tc>
        <w:tc>
          <w:tcPr>
            <w:tcW w:w="3901" w:type="dxa"/>
          </w:tcPr>
          <w:p w14:paraId="61161A7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泵连接到非无菌输液器或储液器</w:t>
            </w:r>
          </w:p>
        </w:tc>
      </w:tr>
      <w:tr w14:paraId="00E9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5A55910F">
            <w:pPr>
              <w:pStyle w:val="19"/>
              <w:snapToGrid w:val="0"/>
              <w:spacing w:before="31" w:beforeLines="10" w:after="31" w:afterLines="10" w:line="240" w:lineRule="exact"/>
              <w:rPr>
                <w:rFonts w:ascii="Arial" w:hAnsi="Arial" w:eastAsia="宋体" w:cs="Arial"/>
                <w:sz w:val="18"/>
                <w:szCs w:val="18"/>
              </w:rPr>
            </w:pPr>
          </w:p>
        </w:tc>
        <w:tc>
          <w:tcPr>
            <w:tcW w:w="3901" w:type="dxa"/>
          </w:tcPr>
          <w:p w14:paraId="3465C11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泵的包装在使用前被损坏</w:t>
            </w:r>
          </w:p>
        </w:tc>
      </w:tr>
      <w:tr w14:paraId="4764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55A9320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输液部位感染</w:t>
            </w:r>
          </w:p>
        </w:tc>
        <w:tc>
          <w:tcPr>
            <w:tcW w:w="3901" w:type="dxa"/>
          </w:tcPr>
          <w:p w14:paraId="024626BC">
            <w:pPr>
              <w:pStyle w:val="19"/>
              <w:snapToGrid w:val="0"/>
              <w:spacing w:before="31" w:beforeLines="10" w:after="31" w:afterLines="10" w:line="240" w:lineRule="exact"/>
              <w:rPr>
                <w:rFonts w:ascii="Arial" w:hAnsi="Arial" w:eastAsia="宋体" w:cs="Arial"/>
                <w:spacing w:val="-4"/>
                <w:sz w:val="18"/>
                <w:szCs w:val="18"/>
              </w:rPr>
            </w:pPr>
            <w:r>
              <w:rPr>
                <w:rFonts w:ascii="Arial" w:hAnsi="Arial" w:eastAsia="宋体" w:cs="Arial"/>
                <w:spacing w:val="-4"/>
                <w:sz w:val="18"/>
                <w:szCs w:val="18"/>
              </w:rPr>
              <w:t>用户是输液器或输液器粘合剂的局部皮肤反应</w:t>
            </w:r>
          </w:p>
        </w:tc>
      </w:tr>
      <w:tr w14:paraId="260D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09E5D16">
            <w:pPr>
              <w:pStyle w:val="19"/>
              <w:snapToGrid w:val="0"/>
              <w:spacing w:before="31" w:beforeLines="10" w:after="31" w:afterLines="10" w:line="240" w:lineRule="exact"/>
              <w:rPr>
                <w:rFonts w:ascii="Arial" w:hAnsi="Arial" w:eastAsia="宋体" w:cs="Arial"/>
                <w:sz w:val="18"/>
                <w:szCs w:val="18"/>
              </w:rPr>
            </w:pPr>
          </w:p>
        </w:tc>
        <w:tc>
          <w:tcPr>
            <w:tcW w:w="3901" w:type="dxa"/>
          </w:tcPr>
          <w:p w14:paraId="549CB10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用户不能旋转输注部位</w:t>
            </w:r>
          </w:p>
        </w:tc>
      </w:tr>
      <w:tr w14:paraId="5F64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3E06371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输送路径内的化学沉淀</w:t>
            </w:r>
          </w:p>
        </w:tc>
        <w:tc>
          <w:tcPr>
            <w:tcW w:w="3901" w:type="dxa"/>
          </w:tcPr>
          <w:p w14:paraId="60E1499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器械清洁不充分</w:t>
            </w:r>
          </w:p>
        </w:tc>
      </w:tr>
      <w:tr w14:paraId="7CC2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F865576">
            <w:pPr>
              <w:pStyle w:val="19"/>
              <w:snapToGrid w:val="0"/>
              <w:spacing w:before="31" w:beforeLines="10" w:after="31" w:afterLines="10" w:line="240" w:lineRule="exact"/>
              <w:rPr>
                <w:rFonts w:ascii="Arial" w:hAnsi="Arial" w:eastAsia="宋体" w:cs="Arial"/>
                <w:sz w:val="18"/>
                <w:szCs w:val="18"/>
              </w:rPr>
            </w:pPr>
          </w:p>
        </w:tc>
        <w:tc>
          <w:tcPr>
            <w:tcW w:w="3901" w:type="dxa"/>
          </w:tcPr>
          <w:p w14:paraId="16367FB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药物与器械材料不兼容</w:t>
            </w:r>
          </w:p>
        </w:tc>
      </w:tr>
      <w:tr w14:paraId="60E7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F3CD3D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泵的物理性损伤</w:t>
            </w:r>
          </w:p>
        </w:tc>
        <w:tc>
          <w:tcPr>
            <w:tcW w:w="3901" w:type="dxa"/>
          </w:tcPr>
          <w:p w14:paraId="3F98642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器械清洁或消毒不足</w:t>
            </w:r>
          </w:p>
        </w:tc>
      </w:tr>
      <w:tr w14:paraId="2EF9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B527B1E">
            <w:pPr>
              <w:pStyle w:val="19"/>
              <w:snapToGrid w:val="0"/>
              <w:spacing w:before="31" w:beforeLines="10" w:after="31" w:afterLines="10" w:line="240" w:lineRule="exact"/>
              <w:rPr>
                <w:rFonts w:ascii="Arial" w:hAnsi="Arial" w:eastAsia="宋体" w:cs="Arial"/>
                <w:sz w:val="18"/>
                <w:szCs w:val="18"/>
              </w:rPr>
            </w:pPr>
          </w:p>
        </w:tc>
        <w:tc>
          <w:tcPr>
            <w:tcW w:w="3901" w:type="dxa"/>
          </w:tcPr>
          <w:p w14:paraId="276C514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药物吸附对器械材料的损害</w:t>
            </w:r>
          </w:p>
        </w:tc>
      </w:tr>
      <w:tr w14:paraId="1CC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14A01C9">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药物效力丧失</w:t>
            </w:r>
          </w:p>
        </w:tc>
        <w:tc>
          <w:tcPr>
            <w:tcW w:w="3901" w:type="dxa"/>
          </w:tcPr>
          <w:p w14:paraId="372C9FA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由于器械材料的不兼容性，器械材料对药物的吸附</w:t>
            </w:r>
          </w:p>
        </w:tc>
      </w:tr>
      <w:tr w14:paraId="3FD9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6CC6E62">
            <w:pPr>
              <w:pStyle w:val="19"/>
              <w:snapToGrid w:val="0"/>
              <w:spacing w:before="31" w:beforeLines="10" w:after="31" w:afterLines="10" w:line="240" w:lineRule="exact"/>
              <w:rPr>
                <w:rFonts w:ascii="Arial" w:hAnsi="Arial" w:eastAsia="宋体" w:cs="Arial"/>
                <w:sz w:val="18"/>
                <w:szCs w:val="18"/>
              </w:rPr>
            </w:pPr>
          </w:p>
        </w:tc>
        <w:tc>
          <w:tcPr>
            <w:tcW w:w="3901" w:type="dxa"/>
          </w:tcPr>
          <w:p w14:paraId="68E6E7F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温度超过药物质量标准</w:t>
            </w:r>
          </w:p>
        </w:tc>
      </w:tr>
      <w:tr w14:paraId="00A2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4EF8C07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毒性</w:t>
            </w:r>
          </w:p>
        </w:tc>
        <w:tc>
          <w:tcPr>
            <w:tcW w:w="3901" w:type="dxa"/>
          </w:tcPr>
          <w:p w14:paraId="393BD11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构造材料不是生物相容</w:t>
            </w:r>
          </w:p>
        </w:tc>
      </w:tr>
      <w:tr w14:paraId="15FF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C2A58BA">
            <w:pPr>
              <w:pStyle w:val="19"/>
              <w:snapToGrid w:val="0"/>
              <w:spacing w:before="31" w:beforeLines="10" w:after="31" w:afterLines="10" w:line="240" w:lineRule="exact"/>
              <w:rPr>
                <w:rFonts w:ascii="Arial" w:hAnsi="Arial" w:eastAsia="宋体" w:cs="Arial"/>
                <w:sz w:val="18"/>
                <w:szCs w:val="18"/>
              </w:rPr>
            </w:pPr>
          </w:p>
        </w:tc>
        <w:tc>
          <w:tcPr>
            <w:tcW w:w="3901" w:type="dxa"/>
          </w:tcPr>
          <w:p w14:paraId="689FB59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药物从器械中浸出化学品</w:t>
            </w:r>
          </w:p>
        </w:tc>
      </w:tr>
      <w:tr w14:paraId="7673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CCB543A">
            <w:pPr>
              <w:pStyle w:val="19"/>
              <w:snapToGrid w:val="0"/>
              <w:spacing w:before="31" w:beforeLines="10" w:after="31" w:afterLines="10" w:line="240" w:lineRule="exact"/>
              <w:rPr>
                <w:rFonts w:ascii="Arial" w:hAnsi="Arial" w:eastAsia="宋体" w:cs="Arial"/>
                <w:sz w:val="18"/>
                <w:szCs w:val="18"/>
              </w:rPr>
            </w:pPr>
          </w:p>
        </w:tc>
        <w:tc>
          <w:tcPr>
            <w:tcW w:w="3901" w:type="dxa"/>
          </w:tcPr>
          <w:p w14:paraId="3ACD6A2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存在天然橡胶胶乳</w:t>
            </w:r>
          </w:p>
        </w:tc>
      </w:tr>
    </w:tbl>
    <w:p w14:paraId="4528B06D">
      <w:pPr>
        <w:pStyle w:val="19"/>
        <w:snapToGrid w:val="0"/>
        <w:spacing w:before="312" w:beforeLines="100" w:line="300" w:lineRule="auto"/>
        <w:ind w:left="720"/>
        <w:rPr>
          <w:rFonts w:ascii="Arial" w:hAnsi="Arial" w:eastAsia="宋体" w:cs="Arial"/>
          <w:b/>
          <w:szCs w:val="21"/>
        </w:rPr>
      </w:pPr>
      <w:r>
        <w:rPr>
          <w:rFonts w:ascii="Arial" w:hAnsi="Arial" w:eastAsia="宋体" w:cs="Arial"/>
          <w:b/>
          <w:szCs w:val="21"/>
        </w:rPr>
        <w:t>表10-使用来源</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0"/>
        <w:gridCol w:w="3901"/>
      </w:tblGrid>
      <w:tr w14:paraId="590D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1" w:type="dxa"/>
          </w:tcPr>
          <w:p w14:paraId="614379E6">
            <w:pPr>
              <w:pStyle w:val="19"/>
              <w:snapToGrid w:val="0"/>
              <w:spacing w:before="31" w:beforeLines="10" w:after="31" w:afterLines="10" w:line="240" w:lineRule="exact"/>
              <w:rPr>
                <w:rFonts w:ascii="Arial" w:hAnsi="Arial" w:eastAsia="宋体" w:cs="Arial"/>
                <w:b/>
                <w:sz w:val="18"/>
                <w:szCs w:val="18"/>
              </w:rPr>
            </w:pPr>
            <w:r>
              <w:rPr>
                <w:rFonts w:ascii="Arial" w:hAnsi="Arial" w:eastAsia="宋体" w:cs="Arial"/>
                <w:b/>
                <w:sz w:val="18"/>
                <w:szCs w:val="18"/>
              </w:rPr>
              <w:t>危害</w:t>
            </w:r>
          </w:p>
        </w:tc>
        <w:tc>
          <w:tcPr>
            <w:tcW w:w="3911" w:type="dxa"/>
            <w:gridSpan w:val="2"/>
          </w:tcPr>
          <w:p w14:paraId="36C10F9E">
            <w:pPr>
              <w:pStyle w:val="19"/>
              <w:snapToGrid w:val="0"/>
              <w:spacing w:before="31" w:beforeLines="10" w:after="31" w:afterLines="10" w:line="240" w:lineRule="exact"/>
              <w:rPr>
                <w:rFonts w:ascii="Arial" w:hAnsi="Arial" w:eastAsia="宋体" w:cs="Arial"/>
                <w:b/>
                <w:sz w:val="18"/>
                <w:szCs w:val="18"/>
              </w:rPr>
            </w:pPr>
            <w:r>
              <w:rPr>
                <w:rFonts w:ascii="Arial" w:hAnsi="Arial" w:eastAsia="宋体" w:cs="Arial"/>
                <w:b/>
                <w:sz w:val="18"/>
                <w:szCs w:val="18"/>
              </w:rPr>
              <w:t>潜在原因</w:t>
            </w:r>
          </w:p>
        </w:tc>
      </w:tr>
      <w:tr w14:paraId="4399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0FD2DAE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用户不了解如何启动泵运行</w:t>
            </w:r>
          </w:p>
          <w:p w14:paraId="02B5098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注意：特别适用于普通用户</w:t>
            </w:r>
          </w:p>
        </w:tc>
        <w:tc>
          <w:tcPr>
            <w:tcW w:w="3901" w:type="dxa"/>
          </w:tcPr>
          <w:p w14:paraId="18695BD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用户界面设计令人困惑</w:t>
            </w:r>
          </w:p>
        </w:tc>
      </w:tr>
      <w:tr w14:paraId="28A0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6CA1C4B">
            <w:pPr>
              <w:pStyle w:val="19"/>
              <w:snapToGrid w:val="0"/>
              <w:spacing w:before="31" w:beforeLines="10" w:after="31" w:afterLines="10" w:line="240" w:lineRule="exact"/>
              <w:rPr>
                <w:rFonts w:ascii="Arial" w:hAnsi="Arial" w:eastAsia="宋体" w:cs="Arial"/>
                <w:sz w:val="18"/>
                <w:szCs w:val="18"/>
              </w:rPr>
            </w:pPr>
          </w:p>
        </w:tc>
        <w:tc>
          <w:tcPr>
            <w:tcW w:w="3901" w:type="dxa"/>
          </w:tcPr>
          <w:p w14:paraId="791143A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用户被泵操作困惑</w:t>
            </w:r>
          </w:p>
        </w:tc>
      </w:tr>
      <w:tr w14:paraId="5D5F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A98829A">
            <w:pPr>
              <w:pStyle w:val="19"/>
              <w:snapToGrid w:val="0"/>
              <w:spacing w:before="31" w:beforeLines="10" w:after="31" w:afterLines="10" w:line="240" w:lineRule="exact"/>
              <w:rPr>
                <w:rFonts w:ascii="Arial" w:hAnsi="Arial" w:eastAsia="宋体" w:cs="Arial"/>
                <w:sz w:val="18"/>
                <w:szCs w:val="18"/>
              </w:rPr>
            </w:pPr>
          </w:p>
        </w:tc>
        <w:tc>
          <w:tcPr>
            <w:tcW w:w="3901" w:type="dxa"/>
          </w:tcPr>
          <w:p w14:paraId="58DBA56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使用说明书不足或缺乏</w:t>
            </w:r>
          </w:p>
        </w:tc>
      </w:tr>
      <w:tr w14:paraId="7E95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C912DD6">
            <w:pPr>
              <w:pStyle w:val="19"/>
              <w:snapToGrid w:val="0"/>
              <w:spacing w:before="31" w:beforeLines="10" w:after="31" w:afterLines="10" w:line="240" w:lineRule="exact"/>
              <w:rPr>
                <w:rFonts w:ascii="Arial" w:hAnsi="Arial" w:eastAsia="宋体" w:cs="Arial"/>
                <w:sz w:val="18"/>
                <w:szCs w:val="18"/>
              </w:rPr>
            </w:pPr>
          </w:p>
        </w:tc>
        <w:tc>
          <w:tcPr>
            <w:tcW w:w="3901" w:type="dxa"/>
          </w:tcPr>
          <w:p w14:paraId="0D3EC6C5">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训练不足或缺乏</w:t>
            </w:r>
          </w:p>
        </w:tc>
      </w:tr>
      <w:tr w14:paraId="57AE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07D0DE9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泵的编程不正确</w:t>
            </w:r>
          </w:p>
        </w:tc>
        <w:tc>
          <w:tcPr>
            <w:tcW w:w="3901" w:type="dxa"/>
          </w:tcPr>
          <w:p w14:paraId="5E31ED72">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次要输液不能由用户正确启动</w:t>
            </w:r>
          </w:p>
        </w:tc>
      </w:tr>
      <w:tr w14:paraId="2023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01864075">
            <w:pPr>
              <w:pStyle w:val="19"/>
              <w:snapToGrid w:val="0"/>
              <w:spacing w:before="31" w:beforeLines="10" w:after="31" w:afterLines="10" w:line="240" w:lineRule="exact"/>
              <w:rPr>
                <w:rFonts w:ascii="Arial" w:hAnsi="Arial" w:eastAsia="宋体" w:cs="Arial"/>
                <w:sz w:val="18"/>
                <w:szCs w:val="18"/>
              </w:rPr>
            </w:pPr>
          </w:p>
        </w:tc>
        <w:tc>
          <w:tcPr>
            <w:tcW w:w="3901" w:type="dxa"/>
          </w:tcPr>
          <w:p w14:paraId="38E829C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使用说明书令用户感到困惑</w:t>
            </w:r>
          </w:p>
        </w:tc>
      </w:tr>
      <w:tr w14:paraId="063A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99F3B1F">
            <w:pPr>
              <w:pStyle w:val="19"/>
              <w:snapToGrid w:val="0"/>
              <w:spacing w:before="31" w:beforeLines="10" w:after="31" w:afterLines="10" w:line="240" w:lineRule="exact"/>
              <w:rPr>
                <w:rFonts w:ascii="Arial" w:hAnsi="Arial" w:eastAsia="宋体" w:cs="Arial"/>
                <w:sz w:val="18"/>
                <w:szCs w:val="18"/>
              </w:rPr>
            </w:pPr>
          </w:p>
        </w:tc>
        <w:tc>
          <w:tcPr>
            <w:tcW w:w="3901" w:type="dxa"/>
          </w:tcPr>
          <w:p w14:paraId="00F358E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用户输入不正确的配置参数（例如，血糖读数，药物浓度）</w:t>
            </w:r>
          </w:p>
        </w:tc>
      </w:tr>
      <w:tr w14:paraId="7D74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1E779169">
            <w:pPr>
              <w:pStyle w:val="19"/>
              <w:snapToGrid w:val="0"/>
              <w:spacing w:before="31" w:beforeLines="10" w:after="31" w:afterLines="10" w:line="240" w:lineRule="exact"/>
              <w:rPr>
                <w:rFonts w:ascii="Arial" w:hAnsi="Arial" w:eastAsia="宋体" w:cs="Arial"/>
                <w:sz w:val="18"/>
                <w:szCs w:val="18"/>
              </w:rPr>
            </w:pPr>
          </w:p>
        </w:tc>
        <w:tc>
          <w:tcPr>
            <w:tcW w:w="3901" w:type="dxa"/>
          </w:tcPr>
          <w:p w14:paraId="21BF984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用户意外触摸泵控制台，按错误的键，或双击键，更改或错误地编程泵设置</w:t>
            </w:r>
          </w:p>
        </w:tc>
      </w:tr>
      <w:tr w14:paraId="7F83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F38732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输液过早停止</w:t>
            </w:r>
          </w:p>
        </w:tc>
        <w:tc>
          <w:tcPr>
            <w:tcW w:w="3901" w:type="dxa"/>
          </w:tcPr>
          <w:p w14:paraId="054FA95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用户在暂停之后忘记恢复泵</w:t>
            </w:r>
          </w:p>
        </w:tc>
      </w:tr>
      <w:tr w14:paraId="5EAD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E6DDBC9">
            <w:pPr>
              <w:pStyle w:val="19"/>
              <w:snapToGrid w:val="0"/>
              <w:spacing w:before="31" w:beforeLines="10" w:after="31" w:afterLines="10" w:line="240" w:lineRule="exact"/>
              <w:rPr>
                <w:rFonts w:ascii="Arial" w:hAnsi="Arial" w:eastAsia="宋体" w:cs="Arial"/>
                <w:sz w:val="18"/>
                <w:szCs w:val="18"/>
              </w:rPr>
            </w:pPr>
          </w:p>
        </w:tc>
        <w:tc>
          <w:tcPr>
            <w:tcW w:w="3901" w:type="dxa"/>
          </w:tcPr>
          <w:p w14:paraId="2152D9E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用户不知道电池容量，并没有注意到状态不足</w:t>
            </w:r>
          </w:p>
        </w:tc>
      </w:tr>
      <w:tr w14:paraId="7630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085806C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用户无法检测或了解泵通知</w:t>
            </w:r>
          </w:p>
        </w:tc>
        <w:tc>
          <w:tcPr>
            <w:tcW w:w="3901" w:type="dxa"/>
          </w:tcPr>
          <w:p w14:paraId="181E2F3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背景噪声或烦扰报警使用户无法检测或忽略</w:t>
            </w:r>
          </w:p>
        </w:tc>
      </w:tr>
      <w:tr w14:paraId="6590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52D5C47">
            <w:pPr>
              <w:pStyle w:val="19"/>
              <w:snapToGrid w:val="0"/>
              <w:spacing w:before="31" w:beforeLines="10" w:after="31" w:afterLines="10" w:line="240" w:lineRule="exact"/>
              <w:rPr>
                <w:rFonts w:ascii="Arial" w:hAnsi="Arial" w:eastAsia="宋体" w:cs="Arial"/>
                <w:sz w:val="18"/>
                <w:szCs w:val="18"/>
              </w:rPr>
            </w:pPr>
          </w:p>
        </w:tc>
        <w:tc>
          <w:tcPr>
            <w:tcW w:w="3901" w:type="dxa"/>
          </w:tcPr>
          <w:p w14:paraId="6832AB6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用户有意或无意地取消泵的扬声器或其他音频输出</w:t>
            </w:r>
          </w:p>
        </w:tc>
      </w:tr>
      <w:tr w14:paraId="3239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6F3B5CD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药物或浓度错误被送达</w:t>
            </w:r>
          </w:p>
        </w:tc>
        <w:tc>
          <w:tcPr>
            <w:tcW w:w="3901" w:type="dxa"/>
          </w:tcPr>
          <w:p w14:paraId="49E04D7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用户将泵设置不正确的药物或浓度不正确</w:t>
            </w:r>
          </w:p>
        </w:tc>
      </w:tr>
      <w:tr w14:paraId="19E1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021FCCB1">
            <w:pPr>
              <w:pStyle w:val="19"/>
              <w:snapToGrid w:val="0"/>
              <w:spacing w:before="31" w:beforeLines="10" w:after="31" w:afterLines="10" w:line="240" w:lineRule="exact"/>
              <w:rPr>
                <w:rFonts w:ascii="Arial" w:hAnsi="Arial" w:eastAsia="宋体" w:cs="Arial"/>
                <w:sz w:val="18"/>
                <w:szCs w:val="18"/>
              </w:rPr>
            </w:pPr>
          </w:p>
        </w:tc>
        <w:tc>
          <w:tcPr>
            <w:tcW w:w="3901" w:type="dxa"/>
          </w:tcPr>
          <w:p w14:paraId="10BFAEDB">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药物是正确的，但用户进入泵不正确的浓度或递送率</w:t>
            </w:r>
          </w:p>
        </w:tc>
      </w:tr>
      <w:tr w14:paraId="23F7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25F4F20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物理设置，如管路布置或选择合适的管路组合是不正确的</w:t>
            </w:r>
          </w:p>
        </w:tc>
        <w:tc>
          <w:tcPr>
            <w:tcW w:w="3901" w:type="dxa"/>
          </w:tcPr>
          <w:p w14:paraId="03CB4A4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用户认为正在输液，但不是</w:t>
            </w:r>
          </w:p>
        </w:tc>
      </w:tr>
      <w:tr w14:paraId="73E4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23DE434">
            <w:pPr>
              <w:pStyle w:val="19"/>
              <w:snapToGrid w:val="0"/>
              <w:spacing w:before="31" w:beforeLines="10" w:after="31" w:afterLines="10" w:line="240" w:lineRule="exact"/>
              <w:rPr>
                <w:rFonts w:ascii="Arial" w:hAnsi="Arial" w:eastAsia="宋体" w:cs="Arial"/>
                <w:sz w:val="18"/>
                <w:szCs w:val="18"/>
              </w:rPr>
            </w:pPr>
          </w:p>
        </w:tc>
        <w:tc>
          <w:tcPr>
            <w:tcW w:w="3901" w:type="dxa"/>
          </w:tcPr>
          <w:p w14:paraId="2A8D355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用户需要执行超出用户期望或功能的编程任务序列</w:t>
            </w:r>
          </w:p>
        </w:tc>
      </w:tr>
      <w:tr w14:paraId="1AA9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A8972D1">
            <w:pPr>
              <w:pStyle w:val="19"/>
              <w:snapToGrid w:val="0"/>
              <w:spacing w:before="31" w:beforeLines="10" w:after="31" w:afterLines="10" w:line="240" w:lineRule="exact"/>
              <w:rPr>
                <w:rFonts w:ascii="Arial" w:hAnsi="Arial" w:eastAsia="宋体" w:cs="Arial"/>
                <w:sz w:val="18"/>
                <w:szCs w:val="18"/>
              </w:rPr>
            </w:pPr>
          </w:p>
        </w:tc>
        <w:tc>
          <w:tcPr>
            <w:tcW w:w="3901" w:type="dxa"/>
          </w:tcPr>
          <w:p w14:paraId="5B3DCED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用户对泵设置，故障排除或操作任务感到困惑</w:t>
            </w:r>
          </w:p>
        </w:tc>
      </w:tr>
      <w:tr w14:paraId="5AE7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894F640">
            <w:pPr>
              <w:pStyle w:val="19"/>
              <w:snapToGrid w:val="0"/>
              <w:spacing w:before="31" w:beforeLines="10" w:after="31" w:afterLines="10" w:line="240" w:lineRule="exact"/>
              <w:rPr>
                <w:rFonts w:ascii="Arial" w:hAnsi="Arial" w:eastAsia="宋体" w:cs="Arial"/>
                <w:sz w:val="18"/>
                <w:szCs w:val="18"/>
              </w:rPr>
            </w:pPr>
          </w:p>
        </w:tc>
        <w:tc>
          <w:tcPr>
            <w:tcW w:w="3901" w:type="dxa"/>
          </w:tcPr>
          <w:p w14:paraId="55AFD1F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泵组件的物理设置对用户而言是具有挑战性的</w:t>
            </w:r>
          </w:p>
        </w:tc>
      </w:tr>
      <w:tr w14:paraId="3CE7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5C53D92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w:t>
            </w:r>
            <w:r>
              <w:rPr>
                <w:rFonts w:ascii="宋体" w:hAnsi="宋体" w:eastAsia="宋体" w:cs="Arial"/>
                <w:sz w:val="18"/>
                <w:szCs w:val="18"/>
              </w:rPr>
              <w:t>“</w:t>
            </w:r>
            <w:r>
              <w:rPr>
                <w:rFonts w:ascii="Arial" w:hAnsi="Arial" w:eastAsia="宋体" w:cs="Arial"/>
                <w:sz w:val="18"/>
                <w:szCs w:val="18"/>
              </w:rPr>
              <w:t>绕行</w:t>
            </w:r>
            <w:r>
              <w:rPr>
                <w:rFonts w:ascii="宋体" w:hAnsi="宋体" w:eastAsia="宋体" w:cs="Arial"/>
                <w:sz w:val="18"/>
                <w:szCs w:val="18"/>
              </w:rPr>
              <w:t>”</w:t>
            </w:r>
            <w:r>
              <w:rPr>
                <w:rFonts w:ascii="Arial" w:hAnsi="Arial" w:eastAsia="宋体" w:cs="Arial"/>
                <w:sz w:val="18"/>
                <w:szCs w:val="18"/>
              </w:rPr>
              <w:t>或</w:t>
            </w:r>
            <w:r>
              <w:rPr>
                <w:rFonts w:ascii="宋体" w:hAnsi="宋体" w:eastAsia="宋体" w:cs="Arial"/>
                <w:sz w:val="18"/>
                <w:szCs w:val="18"/>
              </w:rPr>
              <w:t>“</w:t>
            </w:r>
            <w:r>
              <w:rPr>
                <w:rFonts w:ascii="Arial" w:hAnsi="Arial" w:eastAsia="宋体" w:cs="Arial"/>
                <w:sz w:val="18"/>
                <w:szCs w:val="18"/>
              </w:rPr>
              <w:t>绕过</w:t>
            </w:r>
            <w:r>
              <w:rPr>
                <w:rFonts w:ascii="宋体" w:hAnsi="宋体" w:eastAsia="宋体" w:cs="Arial"/>
                <w:sz w:val="18"/>
                <w:szCs w:val="18"/>
              </w:rPr>
              <w:t>”</w:t>
            </w:r>
            <w:r>
              <w:rPr>
                <w:rFonts w:ascii="Arial" w:hAnsi="Arial" w:eastAsia="宋体" w:cs="Arial"/>
                <w:sz w:val="18"/>
                <w:szCs w:val="18"/>
              </w:rPr>
              <w:t>药物/剂量参数的软件限制。</w:t>
            </w:r>
          </w:p>
        </w:tc>
        <w:tc>
          <w:tcPr>
            <w:tcW w:w="3901" w:type="dxa"/>
          </w:tcPr>
          <w:p w14:paraId="34866DE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软件配置，可能是用户定义的配置，不适用于当前的处理，用户被迫</w:t>
            </w:r>
            <w:r>
              <w:rPr>
                <w:rFonts w:ascii="宋体" w:hAnsi="宋体" w:eastAsia="宋体" w:cs="Arial"/>
                <w:sz w:val="18"/>
                <w:szCs w:val="18"/>
              </w:rPr>
              <w:t>“</w:t>
            </w:r>
            <w:r>
              <w:rPr>
                <w:rFonts w:ascii="Arial" w:hAnsi="Arial" w:eastAsia="宋体" w:cs="Arial"/>
                <w:sz w:val="18"/>
                <w:szCs w:val="18"/>
              </w:rPr>
              <w:t>绕行</w:t>
            </w:r>
            <w:r>
              <w:rPr>
                <w:rFonts w:ascii="宋体" w:hAnsi="宋体" w:eastAsia="宋体" w:cs="Arial"/>
                <w:sz w:val="18"/>
                <w:szCs w:val="18"/>
              </w:rPr>
              <w:t>”</w:t>
            </w:r>
            <w:r>
              <w:rPr>
                <w:rFonts w:ascii="Arial" w:hAnsi="Arial" w:eastAsia="宋体" w:cs="Arial"/>
                <w:sz w:val="18"/>
                <w:szCs w:val="18"/>
              </w:rPr>
              <w:t>或</w:t>
            </w:r>
            <w:r>
              <w:rPr>
                <w:rFonts w:ascii="宋体" w:hAnsi="宋体" w:eastAsia="宋体" w:cs="Arial"/>
                <w:sz w:val="18"/>
                <w:szCs w:val="18"/>
              </w:rPr>
              <w:t>“</w:t>
            </w:r>
            <w:r>
              <w:rPr>
                <w:rFonts w:ascii="Arial" w:hAnsi="Arial" w:eastAsia="宋体" w:cs="Arial"/>
                <w:sz w:val="18"/>
                <w:szCs w:val="18"/>
              </w:rPr>
              <w:t>绕过</w:t>
            </w:r>
            <w:r>
              <w:rPr>
                <w:rFonts w:ascii="宋体" w:hAnsi="宋体" w:eastAsia="宋体" w:cs="Arial"/>
                <w:sz w:val="18"/>
                <w:szCs w:val="18"/>
              </w:rPr>
              <w:t>”</w:t>
            </w:r>
          </w:p>
        </w:tc>
      </w:tr>
      <w:tr w14:paraId="40C1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FA814C5">
            <w:pPr>
              <w:pStyle w:val="19"/>
              <w:snapToGrid w:val="0"/>
              <w:spacing w:before="31" w:beforeLines="10" w:after="31" w:afterLines="10" w:line="240" w:lineRule="exact"/>
              <w:rPr>
                <w:rFonts w:ascii="Arial" w:hAnsi="Arial" w:eastAsia="宋体" w:cs="Arial"/>
                <w:sz w:val="18"/>
                <w:szCs w:val="18"/>
              </w:rPr>
            </w:pPr>
          </w:p>
        </w:tc>
        <w:tc>
          <w:tcPr>
            <w:tcW w:w="3901" w:type="dxa"/>
          </w:tcPr>
          <w:p w14:paraId="0AF7B93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经常需要</w:t>
            </w:r>
            <w:r>
              <w:rPr>
                <w:rFonts w:ascii="宋体" w:hAnsi="宋体" w:eastAsia="宋体" w:cs="Arial"/>
                <w:sz w:val="18"/>
                <w:szCs w:val="18"/>
              </w:rPr>
              <w:t>“</w:t>
            </w:r>
            <w:r>
              <w:rPr>
                <w:rFonts w:ascii="Arial" w:hAnsi="Arial" w:eastAsia="宋体" w:cs="Arial"/>
                <w:sz w:val="18"/>
                <w:szCs w:val="18"/>
              </w:rPr>
              <w:t>绕行</w:t>
            </w:r>
            <w:r>
              <w:rPr>
                <w:rFonts w:ascii="宋体" w:hAnsi="宋体" w:eastAsia="宋体" w:cs="Arial"/>
                <w:sz w:val="18"/>
                <w:szCs w:val="18"/>
              </w:rPr>
              <w:t>”</w:t>
            </w:r>
            <w:r>
              <w:rPr>
                <w:rFonts w:ascii="Arial" w:hAnsi="Arial" w:eastAsia="宋体" w:cs="Arial"/>
                <w:sz w:val="18"/>
                <w:szCs w:val="18"/>
              </w:rPr>
              <w:t>或</w:t>
            </w:r>
            <w:r>
              <w:rPr>
                <w:rFonts w:ascii="宋体" w:hAnsi="宋体" w:eastAsia="宋体" w:cs="Arial"/>
                <w:sz w:val="18"/>
                <w:szCs w:val="18"/>
              </w:rPr>
              <w:t>“</w:t>
            </w:r>
            <w:r>
              <w:rPr>
                <w:rFonts w:ascii="Arial" w:hAnsi="Arial" w:eastAsia="宋体" w:cs="Arial"/>
                <w:sz w:val="18"/>
                <w:szCs w:val="18"/>
              </w:rPr>
              <w:t>绕过</w:t>
            </w:r>
            <w:r>
              <w:rPr>
                <w:rFonts w:ascii="宋体" w:hAnsi="宋体" w:eastAsia="宋体" w:cs="Arial"/>
                <w:sz w:val="18"/>
                <w:szCs w:val="18"/>
              </w:rPr>
              <w:t>”</w:t>
            </w:r>
            <w:r>
              <w:rPr>
                <w:rFonts w:ascii="Arial" w:hAnsi="Arial" w:eastAsia="宋体" w:cs="Arial"/>
                <w:sz w:val="18"/>
                <w:szCs w:val="18"/>
              </w:rPr>
              <w:t>要求，因此用户不会展示限制</w:t>
            </w:r>
          </w:p>
        </w:tc>
      </w:tr>
      <w:tr w14:paraId="0A3C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1D866301">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用户忽略或误解软件生成的</w:t>
            </w:r>
            <w:r>
              <w:rPr>
                <w:rFonts w:ascii="宋体" w:hAnsi="宋体" w:eastAsia="宋体" w:cs="Arial"/>
                <w:sz w:val="18"/>
                <w:szCs w:val="18"/>
              </w:rPr>
              <w:t>“</w:t>
            </w:r>
            <w:r>
              <w:rPr>
                <w:rFonts w:ascii="Arial" w:hAnsi="Arial" w:eastAsia="宋体" w:cs="Arial"/>
                <w:sz w:val="18"/>
                <w:szCs w:val="18"/>
              </w:rPr>
              <w:t>警报</w:t>
            </w:r>
            <w:r>
              <w:rPr>
                <w:rFonts w:ascii="宋体" w:hAnsi="宋体" w:eastAsia="宋体" w:cs="Arial"/>
                <w:sz w:val="18"/>
                <w:szCs w:val="18"/>
              </w:rPr>
              <w:t>”</w:t>
            </w:r>
          </w:p>
        </w:tc>
        <w:tc>
          <w:tcPr>
            <w:tcW w:w="3901" w:type="dxa"/>
          </w:tcPr>
          <w:p w14:paraId="62E55AE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经常显示警报，用户忽略警报</w:t>
            </w:r>
          </w:p>
        </w:tc>
      </w:tr>
      <w:tr w14:paraId="1A25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B09800F">
            <w:pPr>
              <w:pStyle w:val="19"/>
              <w:snapToGrid w:val="0"/>
              <w:spacing w:before="31" w:beforeLines="10" w:after="31" w:afterLines="10" w:line="240" w:lineRule="exact"/>
              <w:rPr>
                <w:rFonts w:ascii="Arial" w:hAnsi="Arial" w:eastAsia="宋体" w:cs="Arial"/>
                <w:sz w:val="18"/>
                <w:szCs w:val="18"/>
              </w:rPr>
            </w:pPr>
          </w:p>
        </w:tc>
        <w:tc>
          <w:tcPr>
            <w:tcW w:w="3901" w:type="dxa"/>
          </w:tcPr>
          <w:p w14:paraId="402AB946">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警报声明对于状况没有足够的有意义或适当的信息，用户不了解如</w:t>
            </w:r>
            <w:bookmarkStart w:id="34" w:name="OLE_LINK34"/>
            <w:bookmarkStart w:id="35" w:name="OLE_LINK35"/>
            <w:r>
              <w:rPr>
                <w:rFonts w:ascii="Arial" w:hAnsi="Arial" w:eastAsia="宋体" w:cs="Arial"/>
                <w:sz w:val="18"/>
                <w:szCs w:val="18"/>
              </w:rPr>
              <w:t>何回应</w:t>
            </w:r>
            <w:bookmarkEnd w:id="34"/>
            <w:bookmarkEnd w:id="35"/>
          </w:p>
        </w:tc>
      </w:tr>
      <w:tr w14:paraId="0DE0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7B1FE6A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用户曲解或误解泵状态或运行模式</w:t>
            </w:r>
          </w:p>
        </w:tc>
        <w:tc>
          <w:tcPr>
            <w:tcW w:w="3901" w:type="dxa"/>
          </w:tcPr>
          <w:p w14:paraId="4BCB9F0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泵的运行方式与预期不同</w:t>
            </w:r>
          </w:p>
        </w:tc>
      </w:tr>
      <w:tr w14:paraId="47B2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4E8B6CA4">
            <w:pPr>
              <w:pStyle w:val="19"/>
              <w:snapToGrid w:val="0"/>
              <w:spacing w:before="31" w:beforeLines="10" w:after="31" w:afterLines="10" w:line="240" w:lineRule="exact"/>
              <w:rPr>
                <w:rFonts w:ascii="Arial" w:hAnsi="Arial" w:eastAsia="宋体" w:cs="Arial"/>
                <w:sz w:val="18"/>
                <w:szCs w:val="18"/>
              </w:rPr>
            </w:pPr>
          </w:p>
        </w:tc>
        <w:tc>
          <w:tcPr>
            <w:tcW w:w="3901" w:type="dxa"/>
          </w:tcPr>
          <w:p w14:paraId="18807947">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泵的运行模式指示不存在或没有有效的通讯</w:t>
            </w:r>
          </w:p>
        </w:tc>
      </w:tr>
      <w:tr w14:paraId="20A1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2668E7ED">
            <w:pPr>
              <w:pStyle w:val="19"/>
              <w:snapToGrid w:val="0"/>
              <w:spacing w:before="31" w:beforeLines="10" w:after="31" w:afterLines="10" w:line="240" w:lineRule="exact"/>
              <w:rPr>
                <w:rFonts w:ascii="Arial" w:hAnsi="Arial" w:eastAsia="宋体" w:cs="Arial"/>
                <w:sz w:val="18"/>
                <w:szCs w:val="18"/>
              </w:rPr>
            </w:pPr>
          </w:p>
        </w:tc>
        <w:tc>
          <w:tcPr>
            <w:tcW w:w="3901" w:type="dxa"/>
          </w:tcPr>
          <w:p w14:paraId="5F1D4974">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显示字符不可区分，用户无法正确读取</w:t>
            </w:r>
          </w:p>
        </w:tc>
      </w:tr>
      <w:tr w14:paraId="4E45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28583C5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泵已断开</w:t>
            </w:r>
            <w:r>
              <w:rPr>
                <w:rFonts w:hint="eastAsia" w:ascii="Arial" w:hAnsi="Arial" w:eastAsia="宋体" w:cs="Arial"/>
                <w:sz w:val="18"/>
                <w:szCs w:val="18"/>
              </w:rPr>
              <w:t>连接</w:t>
            </w:r>
          </w:p>
        </w:tc>
        <w:tc>
          <w:tcPr>
            <w:tcW w:w="3901" w:type="dxa"/>
          </w:tcPr>
          <w:p w14:paraId="03A4C0EA">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用户的操作会导致泵与患者或电源意外断开连接</w:t>
            </w:r>
          </w:p>
        </w:tc>
      </w:tr>
      <w:tr w14:paraId="1345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331C3BF8">
            <w:pPr>
              <w:pStyle w:val="19"/>
              <w:snapToGrid w:val="0"/>
              <w:spacing w:before="31" w:beforeLines="10" w:after="31" w:afterLines="10" w:line="240" w:lineRule="exact"/>
              <w:rPr>
                <w:rFonts w:ascii="Arial" w:hAnsi="Arial" w:eastAsia="宋体" w:cs="Arial"/>
                <w:sz w:val="18"/>
                <w:szCs w:val="18"/>
              </w:rPr>
            </w:pPr>
          </w:p>
        </w:tc>
        <w:tc>
          <w:tcPr>
            <w:tcW w:w="3901" w:type="dxa"/>
          </w:tcPr>
          <w:p w14:paraId="02E70B6E">
            <w:pPr>
              <w:pStyle w:val="19"/>
              <w:snapToGrid w:val="0"/>
              <w:spacing w:before="31" w:beforeLines="10" w:after="31" w:afterLines="10" w:line="240" w:lineRule="exact"/>
              <w:rPr>
                <w:rFonts w:ascii="Arial" w:hAnsi="Arial" w:eastAsia="宋体" w:cs="Arial"/>
                <w:sz w:val="18"/>
                <w:szCs w:val="18"/>
              </w:rPr>
            </w:pPr>
            <w:bookmarkStart w:id="36" w:name="OLE_LINK25"/>
            <w:bookmarkStart w:id="37" w:name="OLE_LINK26"/>
            <w:r>
              <w:rPr>
                <w:rFonts w:ascii="Arial" w:hAnsi="Arial" w:eastAsia="宋体" w:cs="Arial"/>
                <w:sz w:val="18"/>
                <w:szCs w:val="18"/>
              </w:rPr>
              <w:t>儿童，宠物，害虫或寄生虫会干预或损坏泵组件</w:t>
            </w:r>
            <w:bookmarkEnd w:id="36"/>
            <w:bookmarkEnd w:id="37"/>
          </w:p>
        </w:tc>
      </w:tr>
      <w:tr w14:paraId="7296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10A7BB23">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由于用户太多的推注请求而导致过度的推注</w:t>
            </w:r>
          </w:p>
        </w:tc>
        <w:tc>
          <w:tcPr>
            <w:tcW w:w="3901" w:type="dxa"/>
          </w:tcPr>
          <w:p w14:paraId="116E39B8">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用户忘记以前收到的推注或不等待足够长的时间以便先前的推注充分发挥作用</w:t>
            </w:r>
          </w:p>
        </w:tc>
      </w:tr>
      <w:tr w14:paraId="5738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78242B6E">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（药物）泄露</w:t>
            </w:r>
          </w:p>
        </w:tc>
        <w:tc>
          <w:tcPr>
            <w:tcW w:w="3901" w:type="dxa"/>
          </w:tcPr>
          <w:p w14:paraId="6F3E876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用户不正确地断开泵</w:t>
            </w:r>
          </w:p>
        </w:tc>
      </w:tr>
      <w:tr w14:paraId="154D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54AF98F4">
            <w:pPr>
              <w:pStyle w:val="19"/>
              <w:snapToGrid w:val="0"/>
              <w:spacing w:before="31" w:beforeLines="10" w:after="31" w:afterLines="10" w:line="240" w:lineRule="exact"/>
              <w:rPr>
                <w:rFonts w:ascii="Arial" w:hAnsi="Arial" w:eastAsia="宋体" w:cs="Arial"/>
                <w:sz w:val="18"/>
                <w:szCs w:val="18"/>
              </w:rPr>
            </w:pPr>
          </w:p>
        </w:tc>
        <w:tc>
          <w:tcPr>
            <w:tcW w:w="3901" w:type="dxa"/>
          </w:tcPr>
          <w:p w14:paraId="2C750DA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儿童，宠物，害虫或寄生虫会干预或损坏泵组件</w:t>
            </w:r>
          </w:p>
        </w:tc>
      </w:tr>
      <w:tr w14:paraId="2B07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tcPr>
          <w:p w14:paraId="0DEBD7E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在正常的泵使用期间药物储存器被分离</w:t>
            </w:r>
          </w:p>
        </w:tc>
        <w:tc>
          <w:tcPr>
            <w:tcW w:w="3901" w:type="dxa"/>
          </w:tcPr>
          <w:p w14:paraId="136414B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用户的动作导致储存器被断开</w:t>
            </w:r>
          </w:p>
        </w:tc>
      </w:tr>
      <w:tr w14:paraId="306F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restart"/>
          </w:tcPr>
          <w:p w14:paraId="6A2058A0">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干预（例如，由家庭使用期间的患者调整药物递送）</w:t>
            </w:r>
          </w:p>
        </w:tc>
        <w:tc>
          <w:tcPr>
            <w:tcW w:w="3901" w:type="dxa"/>
          </w:tcPr>
          <w:p w14:paraId="6F23A78F">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未经授权干预泵设置</w:t>
            </w:r>
          </w:p>
        </w:tc>
      </w:tr>
      <w:tr w14:paraId="7AF4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619D91AF">
            <w:pPr>
              <w:pStyle w:val="19"/>
              <w:snapToGrid w:val="0"/>
              <w:spacing w:before="31" w:beforeLines="10" w:after="31" w:afterLines="10" w:line="240" w:lineRule="exact"/>
              <w:rPr>
                <w:rFonts w:ascii="Arial" w:hAnsi="Arial" w:eastAsia="宋体" w:cs="Arial"/>
                <w:sz w:val="18"/>
                <w:szCs w:val="18"/>
              </w:rPr>
            </w:pPr>
          </w:p>
        </w:tc>
        <w:tc>
          <w:tcPr>
            <w:tcW w:w="3901" w:type="dxa"/>
          </w:tcPr>
          <w:p w14:paraId="79493D5D">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输液期间打开面板/门</w:t>
            </w:r>
          </w:p>
        </w:tc>
      </w:tr>
      <w:tr w14:paraId="50D5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gridSpan w:val="2"/>
            <w:vMerge w:val="continue"/>
          </w:tcPr>
          <w:p w14:paraId="74353739">
            <w:pPr>
              <w:pStyle w:val="19"/>
              <w:snapToGrid w:val="0"/>
              <w:spacing w:before="31" w:beforeLines="10" w:after="31" w:afterLines="10" w:line="240" w:lineRule="exact"/>
              <w:rPr>
                <w:rFonts w:ascii="Arial" w:hAnsi="Arial" w:eastAsia="宋体" w:cs="Arial"/>
                <w:sz w:val="18"/>
                <w:szCs w:val="18"/>
              </w:rPr>
            </w:pPr>
          </w:p>
        </w:tc>
        <w:tc>
          <w:tcPr>
            <w:tcW w:w="3901" w:type="dxa"/>
          </w:tcPr>
          <w:p w14:paraId="7CF2A65C">
            <w:pPr>
              <w:pStyle w:val="19"/>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开始输液时打开门</w:t>
            </w:r>
          </w:p>
        </w:tc>
      </w:tr>
    </w:tbl>
    <w:p w14:paraId="7ECB8BD1">
      <w:pPr>
        <w:pStyle w:val="19"/>
        <w:numPr>
          <w:ilvl w:val="0"/>
          <w:numId w:val="9"/>
        </w:numPr>
        <w:snapToGrid w:val="0"/>
        <w:spacing w:before="312" w:beforeLines="100" w:after="156" w:afterLines="50" w:line="300" w:lineRule="auto"/>
        <w:ind w:left="714" w:hanging="357"/>
        <w:outlineLvl w:val="1"/>
        <w:rPr>
          <w:rFonts w:ascii="Arial" w:hAnsi="Arial" w:eastAsia="宋体" w:cs="Arial"/>
          <w:b/>
          <w:sz w:val="28"/>
          <w:szCs w:val="28"/>
        </w:rPr>
      </w:pPr>
      <w:bookmarkStart w:id="38" w:name="_Toc483237548"/>
      <w:r>
        <w:rPr>
          <w:rFonts w:ascii="Arial" w:hAnsi="Arial" w:eastAsia="宋体" w:cs="Arial"/>
          <w:b/>
          <w:sz w:val="28"/>
          <w:szCs w:val="28"/>
        </w:rPr>
        <w:t>性能测试</w:t>
      </w:r>
      <w:bookmarkEnd w:id="38"/>
    </w:p>
    <w:p w14:paraId="46CE8266">
      <w:pPr>
        <w:pStyle w:val="19"/>
        <w:snapToGrid w:val="0"/>
        <w:spacing w:after="156" w:afterLines="50" w:line="300" w:lineRule="auto"/>
        <w:ind w:left="720"/>
        <w:rPr>
          <w:rFonts w:ascii="Arial" w:hAnsi="Arial" w:eastAsia="宋体" w:cs="Arial"/>
          <w:szCs w:val="21"/>
        </w:rPr>
      </w:pPr>
      <w:r>
        <w:rPr>
          <w:rFonts w:ascii="Arial" w:hAnsi="Arial" w:eastAsia="宋体" w:cs="Arial"/>
          <w:szCs w:val="21"/>
        </w:rPr>
        <w:t>验证/确认泵设计的性能测试应确保</w:t>
      </w:r>
      <w:r>
        <w:rPr>
          <w:rFonts w:hint="eastAsia" w:ascii="Arial" w:hAnsi="Arial" w:eastAsia="宋体" w:cs="Arial"/>
          <w:szCs w:val="21"/>
        </w:rPr>
        <w:t>已</w:t>
      </w:r>
      <w:r>
        <w:rPr>
          <w:rFonts w:ascii="Arial" w:hAnsi="Arial" w:eastAsia="宋体" w:cs="Arial"/>
          <w:szCs w:val="21"/>
        </w:rPr>
        <w:t>满足相关的安全实例声明。这包括对统计内容（假设、分析、样本量和抽样，功率）、控制、偏差最小化、测试参数（终点），随访和评估标准的特别关注。</w:t>
      </w:r>
    </w:p>
    <w:p w14:paraId="31F5AAD0">
      <w:pPr>
        <w:pStyle w:val="19"/>
        <w:snapToGrid w:val="0"/>
        <w:spacing w:after="156" w:afterLines="50" w:line="300" w:lineRule="auto"/>
        <w:ind w:left="720"/>
        <w:rPr>
          <w:rFonts w:ascii="Arial" w:hAnsi="Arial" w:eastAsia="宋体" w:cs="Arial"/>
          <w:szCs w:val="21"/>
        </w:rPr>
      </w:pPr>
      <w:r>
        <w:rPr>
          <w:rFonts w:ascii="Arial" w:hAnsi="Arial" w:eastAsia="宋体" w:cs="Arial"/>
          <w:szCs w:val="21"/>
        </w:rPr>
        <w:t>该性能测试应使用</w:t>
      </w:r>
      <w:r>
        <w:rPr>
          <w:rFonts w:hint="eastAsia" w:ascii="Arial" w:hAnsi="Arial" w:eastAsia="宋体" w:cs="Arial"/>
          <w:szCs w:val="21"/>
        </w:rPr>
        <w:t>预期</w:t>
      </w:r>
      <w:r>
        <w:rPr>
          <w:rFonts w:ascii="Arial" w:hAnsi="Arial" w:eastAsia="宋体" w:cs="Arial"/>
          <w:szCs w:val="21"/>
        </w:rPr>
        <w:t>与贵公司器械一起使用的完整输液泵系统进行。应对系统的每个可用结构进行验证和确认。如果使用代表性结构进行验证或确认活动，则应描述收集</w:t>
      </w:r>
      <w:r>
        <w:rPr>
          <w:rFonts w:hint="eastAsia" w:ascii="Arial" w:hAnsi="Arial" w:eastAsia="宋体" w:cs="Arial"/>
          <w:szCs w:val="21"/>
        </w:rPr>
        <w:t>到的</w:t>
      </w:r>
      <w:r>
        <w:rPr>
          <w:rFonts w:ascii="Arial" w:hAnsi="Arial" w:eastAsia="宋体" w:cs="Arial"/>
          <w:szCs w:val="21"/>
        </w:rPr>
        <w:t>数据与未经验证或确认活动</w:t>
      </w:r>
      <w:r>
        <w:rPr>
          <w:rFonts w:hint="eastAsia" w:ascii="Arial" w:hAnsi="Arial" w:eastAsia="宋体" w:cs="Arial"/>
          <w:szCs w:val="21"/>
        </w:rPr>
        <w:t>配置</w:t>
      </w:r>
      <w:r>
        <w:rPr>
          <w:rFonts w:ascii="Arial" w:hAnsi="Arial" w:eastAsia="宋体" w:cs="Arial"/>
          <w:szCs w:val="21"/>
        </w:rPr>
        <w:t>相关</w:t>
      </w:r>
      <w:r>
        <w:rPr>
          <w:rFonts w:hint="eastAsia" w:ascii="Arial" w:hAnsi="Arial" w:eastAsia="宋体" w:cs="Arial"/>
          <w:szCs w:val="21"/>
        </w:rPr>
        <w:t>的方法</w:t>
      </w:r>
      <w:r>
        <w:rPr>
          <w:rFonts w:ascii="Arial" w:hAnsi="Arial" w:eastAsia="宋体" w:cs="Arial"/>
          <w:szCs w:val="21"/>
        </w:rPr>
        <w:t>。</w:t>
      </w:r>
    </w:p>
    <w:p w14:paraId="2883B98F">
      <w:pPr>
        <w:widowControl/>
        <w:jc w:val="left"/>
        <w:rPr>
          <w:rFonts w:ascii="Arial" w:hAnsi="Arial" w:eastAsia="宋体" w:cs="Arial"/>
          <w:szCs w:val="21"/>
        </w:rPr>
      </w:pPr>
      <w:r>
        <w:rPr>
          <w:rFonts w:ascii="Arial" w:hAnsi="Arial" w:eastAsia="宋体" w:cs="Arial"/>
          <w:szCs w:val="21"/>
        </w:rPr>
        <w:br w:type="page"/>
      </w:r>
    </w:p>
    <w:p w14:paraId="4712CC42">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支持特定输液泵适应症和技术所需的证据数量和类型各不相同。应该确定贵公司依赖的所有证据来支持贵公司的安全性和有效性声明，并提供所选证据完整的</w:t>
      </w:r>
      <w:r>
        <w:rPr>
          <w:rFonts w:hint="eastAsia" w:ascii="Arial" w:hAnsi="Arial" w:eastAsia="宋体" w:cs="Arial"/>
          <w:szCs w:val="21"/>
        </w:rPr>
        <w:t>可信度</w:t>
      </w:r>
      <w:r>
        <w:rPr>
          <w:rFonts w:ascii="Arial" w:hAnsi="Arial" w:eastAsia="宋体" w:cs="Arial"/>
          <w:szCs w:val="21"/>
        </w:rPr>
        <w:t>。</w:t>
      </w:r>
    </w:p>
    <w:p w14:paraId="2259BCF7">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上市前通告（510（k））应包括为支持贵公司安全实例而提交的所有设计验证性能测试活动的以下信息：</w:t>
      </w:r>
    </w:p>
    <w:p w14:paraId="0F9B4CCC">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确认该器械设计要求的描述，包括器械正常运行至关重要</w:t>
      </w:r>
      <w:r>
        <w:rPr>
          <w:rFonts w:hint="eastAsia" w:ascii="Arial" w:hAnsi="Arial" w:eastAsia="宋体" w:cs="Arial"/>
          <w:szCs w:val="21"/>
        </w:rPr>
        <w:t>的原因</w:t>
      </w:r>
      <w:r>
        <w:rPr>
          <w:rFonts w:ascii="Arial" w:hAnsi="Arial" w:eastAsia="宋体" w:cs="Arial"/>
          <w:szCs w:val="21"/>
        </w:rPr>
        <w:t>；</w:t>
      </w:r>
    </w:p>
    <w:p w14:paraId="31B61F5B">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被测单元的描述及其与最终成品器械的关系；</w:t>
      </w:r>
    </w:p>
    <w:p w14:paraId="7058FF4F">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如果适用，在设计验证活动期间使用原型或</w:t>
      </w:r>
      <w:r>
        <w:rPr>
          <w:rFonts w:ascii="宋体" w:hAnsi="宋体" w:eastAsia="宋体" w:cs="Arial"/>
          <w:szCs w:val="21"/>
        </w:rPr>
        <w:t>“</w:t>
      </w:r>
      <w:r>
        <w:rPr>
          <w:rFonts w:ascii="Arial" w:hAnsi="Arial" w:eastAsia="宋体" w:cs="Arial"/>
          <w:szCs w:val="21"/>
        </w:rPr>
        <w:t>产品等效性</w:t>
      </w:r>
      <w:r>
        <w:rPr>
          <w:rFonts w:ascii="宋体" w:hAnsi="宋体" w:eastAsia="宋体" w:cs="Arial"/>
          <w:szCs w:val="21"/>
        </w:rPr>
        <w:t>”</w:t>
      </w:r>
      <w:r>
        <w:rPr>
          <w:rFonts w:ascii="Arial" w:hAnsi="Arial" w:eastAsia="宋体" w:cs="Arial"/>
          <w:szCs w:val="21"/>
        </w:rPr>
        <w:t>器械或</w:t>
      </w:r>
      <w:r>
        <w:rPr>
          <w:rFonts w:hint="eastAsia" w:ascii="Arial" w:hAnsi="Arial" w:eastAsia="宋体" w:cs="Arial"/>
          <w:szCs w:val="21"/>
        </w:rPr>
        <w:t>部件</w:t>
      </w:r>
      <w:r>
        <w:rPr>
          <w:rFonts w:ascii="Arial" w:hAnsi="Arial" w:eastAsia="宋体" w:cs="Arial"/>
          <w:szCs w:val="21"/>
        </w:rPr>
        <w:t>的理由；</w:t>
      </w:r>
    </w:p>
    <w:p w14:paraId="1C7D3A14">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明确声明验证活动的验收标准；</w:t>
      </w:r>
    </w:p>
    <w:p w14:paraId="78642EB0">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验证方法的详细描述，包括适当测试仪器的图纸和描述；</w:t>
      </w:r>
    </w:p>
    <w:p w14:paraId="3A677779">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如果适用，验证测试设置如何模拟实际临床使用条件的说明；</w:t>
      </w:r>
    </w:p>
    <w:p w14:paraId="4021C836">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验证活动的结果；</w:t>
      </w:r>
    </w:p>
    <w:p w14:paraId="38D3CCD7">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对验证活动结果的分析；</w:t>
      </w:r>
      <w:r>
        <w:rPr>
          <w:rFonts w:hint="eastAsia" w:ascii="Arial" w:hAnsi="Arial" w:eastAsia="宋体" w:cs="Arial"/>
          <w:szCs w:val="21"/>
        </w:rPr>
        <w:t>以及</w:t>
      </w:r>
    </w:p>
    <w:p w14:paraId="2747FDA0">
      <w:pPr>
        <w:pStyle w:val="19"/>
        <w:numPr>
          <w:ilvl w:val="0"/>
          <w:numId w:val="15"/>
        </w:numPr>
        <w:snapToGrid w:val="0"/>
        <w:spacing w:after="156" w:afterLines="50" w:line="300" w:lineRule="auto"/>
        <w:ind w:left="1526" w:hanging="392"/>
        <w:rPr>
          <w:rFonts w:ascii="Arial" w:hAnsi="Arial" w:eastAsia="宋体" w:cs="Arial"/>
          <w:szCs w:val="21"/>
        </w:rPr>
      </w:pPr>
      <w:r>
        <w:rPr>
          <w:rFonts w:ascii="Arial" w:hAnsi="Arial" w:eastAsia="宋体" w:cs="Arial"/>
          <w:szCs w:val="21"/>
        </w:rPr>
        <w:t>从验证活动中得出任何结论的明确声明。</w:t>
      </w:r>
    </w:p>
    <w:p w14:paraId="061D9AA8">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上市前通告应表征用户人数、使用环境，并为所有设计验证性能测试活动包括以下信息：</w:t>
      </w:r>
    </w:p>
    <w:p w14:paraId="09FECEB0">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为解决用户</w:t>
      </w:r>
      <w:r>
        <w:rPr>
          <w:rFonts w:hint="eastAsia" w:ascii="Arial" w:hAnsi="Arial" w:eastAsia="宋体" w:cs="Arial"/>
          <w:szCs w:val="21"/>
        </w:rPr>
        <w:t>需求</w:t>
      </w:r>
      <w:r>
        <w:rPr>
          <w:rFonts w:ascii="Arial" w:hAnsi="Arial" w:eastAsia="宋体" w:cs="Arial"/>
          <w:szCs w:val="21"/>
        </w:rPr>
        <w:t>或预期用途而实施的设计要求</w:t>
      </w:r>
      <w:r>
        <w:rPr>
          <w:rFonts w:hint="eastAsia" w:ascii="Arial" w:hAnsi="Arial" w:eastAsia="宋体" w:cs="Arial"/>
          <w:szCs w:val="21"/>
        </w:rPr>
        <w:t>（</w:t>
      </w:r>
      <w:r>
        <w:rPr>
          <w:rFonts w:ascii="Arial" w:hAnsi="Arial" w:eastAsia="宋体" w:cs="Arial"/>
          <w:szCs w:val="21"/>
        </w:rPr>
        <w:t>正在</w:t>
      </w:r>
      <w:r>
        <w:rPr>
          <w:rFonts w:hint="eastAsia" w:ascii="Arial" w:hAnsi="Arial" w:eastAsia="宋体" w:cs="Arial"/>
          <w:szCs w:val="21"/>
        </w:rPr>
        <w:t>受</w:t>
      </w:r>
      <w:r>
        <w:rPr>
          <w:rFonts w:ascii="Arial" w:hAnsi="Arial" w:eastAsia="宋体" w:cs="Arial"/>
          <w:szCs w:val="21"/>
        </w:rPr>
        <w:t>验证</w:t>
      </w:r>
      <w:r>
        <w:rPr>
          <w:rFonts w:hint="eastAsia" w:ascii="Arial" w:hAnsi="Arial" w:eastAsia="宋体" w:cs="Arial"/>
          <w:szCs w:val="21"/>
        </w:rPr>
        <w:t>）</w:t>
      </w:r>
      <w:r>
        <w:rPr>
          <w:rFonts w:ascii="Arial" w:hAnsi="Arial" w:eastAsia="宋体" w:cs="Arial"/>
          <w:szCs w:val="21"/>
        </w:rPr>
        <w:t>的描述；</w:t>
      </w:r>
    </w:p>
    <w:p w14:paraId="34169219">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在设计验证活动期间使用的单元的描述及其与最终成品的关系；</w:t>
      </w:r>
    </w:p>
    <w:p w14:paraId="26D08022">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如果适用，在设计验证活动期间使用原型或</w:t>
      </w:r>
      <w:r>
        <w:rPr>
          <w:rFonts w:ascii="宋体" w:hAnsi="宋体" w:eastAsia="宋体" w:cs="Arial"/>
          <w:szCs w:val="21"/>
        </w:rPr>
        <w:t>“</w:t>
      </w:r>
      <w:r>
        <w:rPr>
          <w:rFonts w:ascii="Arial" w:hAnsi="Arial" w:eastAsia="宋体" w:cs="Arial"/>
          <w:szCs w:val="21"/>
        </w:rPr>
        <w:t>产品等效</w:t>
      </w:r>
      <w:r>
        <w:rPr>
          <w:rFonts w:ascii="宋体" w:hAnsi="宋体" w:eastAsia="宋体" w:cs="Arial"/>
          <w:szCs w:val="21"/>
        </w:rPr>
        <w:t>”</w:t>
      </w:r>
      <w:r>
        <w:rPr>
          <w:rFonts w:ascii="Arial" w:hAnsi="Arial" w:eastAsia="宋体" w:cs="Arial"/>
          <w:szCs w:val="21"/>
        </w:rPr>
        <w:t>器械的理由；</w:t>
      </w:r>
    </w:p>
    <w:p w14:paraId="171F4AF9">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详细说明验证活动如何模拟实际临床和/或家庭使用（或实际使用条件的描述）；</w:t>
      </w:r>
    </w:p>
    <w:p w14:paraId="7551FBA1">
      <w:pPr>
        <w:widowControl/>
        <w:jc w:val="left"/>
        <w:rPr>
          <w:rFonts w:ascii="Arial" w:hAnsi="Arial" w:eastAsia="宋体" w:cs="Arial"/>
          <w:szCs w:val="21"/>
        </w:rPr>
      </w:pPr>
      <w:r>
        <w:rPr>
          <w:rFonts w:ascii="Arial" w:hAnsi="Arial" w:eastAsia="宋体" w:cs="Arial"/>
          <w:szCs w:val="21"/>
        </w:rPr>
        <w:br w:type="page"/>
      </w:r>
    </w:p>
    <w:p w14:paraId="50EF4A7E">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验证活动验收标准的明确声明；</w:t>
      </w:r>
    </w:p>
    <w:p w14:paraId="02A3964D">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使用的验证活动的方法/方案；</w:t>
      </w:r>
    </w:p>
    <w:p w14:paraId="0040FF4C">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设计验证活动的结果；</w:t>
      </w:r>
    </w:p>
    <w:p w14:paraId="1BD6E7B5">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设计验证活动结果分析；</w:t>
      </w:r>
      <w:r>
        <w:rPr>
          <w:rFonts w:hint="eastAsia" w:ascii="Arial" w:hAnsi="Arial" w:eastAsia="宋体" w:cs="Arial"/>
          <w:szCs w:val="21"/>
        </w:rPr>
        <w:t>以及</w:t>
      </w:r>
    </w:p>
    <w:p w14:paraId="177C6BA0">
      <w:pPr>
        <w:pStyle w:val="19"/>
        <w:numPr>
          <w:ilvl w:val="0"/>
          <w:numId w:val="16"/>
        </w:numPr>
        <w:snapToGrid w:val="0"/>
        <w:spacing w:after="156" w:afterLines="50" w:line="300" w:lineRule="auto"/>
        <w:ind w:left="1526" w:hanging="392"/>
        <w:rPr>
          <w:rFonts w:ascii="Arial" w:hAnsi="Arial" w:eastAsia="宋体" w:cs="Arial"/>
          <w:szCs w:val="21"/>
        </w:rPr>
      </w:pPr>
      <w:r>
        <w:rPr>
          <w:rFonts w:ascii="Arial" w:hAnsi="Arial" w:eastAsia="宋体" w:cs="Arial"/>
          <w:szCs w:val="21"/>
        </w:rPr>
        <w:t>从设计验证活动中得出任何结论的明确声明。</w:t>
      </w:r>
    </w:p>
    <w:p w14:paraId="772E78AD">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使用的标准</w:t>
      </w:r>
    </w:p>
    <w:p w14:paraId="14C4F75F">
      <w:pPr>
        <w:pStyle w:val="19"/>
        <w:snapToGrid w:val="0"/>
        <w:spacing w:after="156" w:afterLines="50" w:line="300" w:lineRule="auto"/>
        <w:ind w:left="720"/>
        <w:jc w:val="left"/>
        <w:rPr>
          <w:rFonts w:ascii="Arial" w:hAnsi="Arial" w:eastAsia="宋体" w:cs="Arial"/>
          <w:szCs w:val="21"/>
        </w:rPr>
      </w:pPr>
      <w:r>
        <w:rPr>
          <w:rFonts w:ascii="Arial" w:hAnsi="Arial" w:eastAsia="宋体" w:cs="Arial"/>
          <w:szCs w:val="21"/>
        </w:rPr>
        <w:t>我们鼓励贵公司利用任何FDA认可的标准，并提供声明或符合性声明，如FDA</w:t>
      </w:r>
      <w:r>
        <w:rPr>
          <w:rFonts w:hint="eastAsia" w:ascii="Arial" w:hAnsi="Arial" w:eastAsia="宋体" w:cs="Arial"/>
          <w:szCs w:val="21"/>
        </w:rPr>
        <w:t>指南《</w:t>
      </w:r>
      <w:r>
        <w:rPr>
          <w:rStyle w:val="12"/>
          <w:rFonts w:hint="eastAsia" w:ascii="Arial" w:hAnsi="Arial" w:eastAsia="宋体" w:cs="Arial"/>
          <w:szCs w:val="21"/>
        </w:rPr>
        <w:t>进行实质等同性测定使用标准</w:t>
      </w:r>
      <w:r>
        <w:rPr>
          <w:rFonts w:hint="eastAsia" w:ascii="Arial" w:hAnsi="Arial" w:eastAsia="宋体" w:cs="Arial"/>
          <w:szCs w:val="21"/>
        </w:rPr>
        <w:t>》</w:t>
      </w:r>
      <w:r>
        <w:rPr>
          <w:rStyle w:val="12"/>
          <w:rFonts w:hint="eastAsia" w:ascii="Arial" w:hAnsi="Arial" w:eastAsia="宋体" w:cs="Arial"/>
          <w:color w:val="auto"/>
          <w:szCs w:val="21"/>
          <w:u w:val="none"/>
        </w:rPr>
        <w:t>所述</w:t>
      </w:r>
      <w:r>
        <w:rPr>
          <w:rFonts w:ascii="Arial" w:hAnsi="Arial" w:eastAsia="宋体" w:cs="Arial"/>
          <w:color w:val="330E8E"/>
          <w:szCs w:val="21"/>
        </w:rPr>
        <w:t>（</w:t>
      </w:r>
      <w:r>
        <w:fldChar w:fldCharType="begin"/>
      </w:r>
      <w:r>
        <w:instrText xml:space="preserve"> HYPERLINK "http://www.fda.gov/MedicalDevices/DeviceRegulationandGuidance/GuidanceDocuments/ucm073752.htm" </w:instrText>
      </w:r>
      <w:r>
        <w:fldChar w:fldCharType="separate"/>
      </w:r>
      <w:r>
        <w:rPr>
          <w:rStyle w:val="12"/>
          <w:rFonts w:ascii="Arial" w:hAnsi="Arial" w:eastAsia="宋体" w:cs="Arial"/>
          <w:szCs w:val="21"/>
        </w:rPr>
        <w:t>http://www.fda.gov/MedicalDevices/DeviceRegulationandGuidance/GuidanceDocuments/ucm073752.htm</w:t>
      </w:r>
      <w:r>
        <w:rPr>
          <w:rStyle w:val="12"/>
          <w:rFonts w:ascii="Arial" w:hAnsi="Arial" w:eastAsia="宋体" w:cs="Arial"/>
          <w:szCs w:val="21"/>
        </w:rPr>
        <w:fldChar w:fldCharType="end"/>
      </w:r>
      <w:r>
        <w:rPr>
          <w:rFonts w:ascii="Arial" w:hAnsi="Arial" w:eastAsia="宋体" w:cs="Arial"/>
          <w:color w:val="330E8E"/>
          <w:szCs w:val="21"/>
        </w:rPr>
        <w:t>）。</w:t>
      </w:r>
      <w:r>
        <w:rPr>
          <w:rStyle w:val="13"/>
          <w:rFonts w:ascii="Arial" w:hAnsi="Arial" w:eastAsia="宋体" w:cs="Arial"/>
          <w:szCs w:val="21"/>
        </w:rPr>
        <w:footnoteReference w:id="7"/>
      </w:r>
    </w:p>
    <w:p w14:paraId="24245229">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本指导性文件中对标准的引用并不意味着必须遵守此标准，也不一定适用于贵公司的具体器械。贵公司的安全保证实例应该解决任何标准的适用性</w:t>
      </w:r>
      <w:r>
        <w:rPr>
          <w:rFonts w:hint="eastAsia" w:ascii="Arial" w:hAnsi="Arial" w:eastAsia="宋体" w:cs="Arial"/>
          <w:szCs w:val="21"/>
        </w:rPr>
        <w:t>来</w:t>
      </w:r>
      <w:r>
        <w:rPr>
          <w:rFonts w:ascii="Arial" w:hAnsi="Arial" w:eastAsia="宋体" w:cs="Arial"/>
          <w:szCs w:val="21"/>
        </w:rPr>
        <w:t>支持输液泵的清洁。</w:t>
      </w:r>
    </w:p>
    <w:p w14:paraId="77A08917">
      <w:pPr>
        <w:pStyle w:val="19"/>
        <w:snapToGrid w:val="0"/>
        <w:spacing w:after="156" w:afterLines="50" w:line="300" w:lineRule="auto"/>
        <w:ind w:left="720"/>
        <w:rPr>
          <w:rFonts w:ascii="Arial" w:hAnsi="Arial" w:eastAsia="宋体" w:cs="Arial"/>
          <w:szCs w:val="21"/>
        </w:rPr>
      </w:pPr>
      <w:r>
        <w:rPr>
          <w:rFonts w:ascii="Arial" w:hAnsi="Arial" w:eastAsia="宋体" w:cs="Arial"/>
          <w:szCs w:val="21"/>
        </w:rPr>
        <w:t>安全实例不必遵循规定</w:t>
      </w:r>
      <w:r>
        <w:rPr>
          <w:rFonts w:hint="eastAsia" w:ascii="Arial" w:hAnsi="Arial" w:eastAsia="宋体" w:cs="Arial"/>
          <w:szCs w:val="21"/>
        </w:rPr>
        <w:t>的</w:t>
      </w:r>
      <w:r>
        <w:rPr>
          <w:rFonts w:ascii="Arial" w:hAnsi="Arial" w:eastAsia="宋体" w:cs="Arial"/>
          <w:szCs w:val="21"/>
        </w:rPr>
        <w:t>或</w:t>
      </w:r>
      <w:r>
        <w:rPr>
          <w:rFonts w:hint="eastAsia" w:ascii="Arial" w:hAnsi="Arial" w:eastAsia="宋体" w:cs="Arial"/>
          <w:szCs w:val="21"/>
        </w:rPr>
        <w:t>单个</w:t>
      </w:r>
      <w:r>
        <w:rPr>
          <w:rFonts w:ascii="Arial" w:hAnsi="Arial" w:eastAsia="宋体" w:cs="Arial"/>
          <w:szCs w:val="21"/>
        </w:rPr>
        <w:t>格式。类似地，ISO 14971规定风险管理文件可以是任何格式。因此，我们鼓励贵公司利用现有的风险管理活动，避免贵公司安全实例的开发和记录重复。</w:t>
      </w:r>
    </w:p>
    <w:p w14:paraId="56C3DE72">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操作安全</w:t>
      </w:r>
    </w:p>
    <w:p w14:paraId="139AB1ED">
      <w:pPr>
        <w:pStyle w:val="19"/>
        <w:snapToGrid w:val="0"/>
        <w:spacing w:after="156" w:afterLines="50" w:line="300" w:lineRule="auto"/>
        <w:ind w:left="720" w:firstLine="420"/>
        <w:rPr>
          <w:rFonts w:ascii="Arial" w:hAnsi="Arial" w:eastAsia="宋体" w:cs="Arial"/>
          <w:b/>
          <w:szCs w:val="21"/>
        </w:rPr>
      </w:pPr>
      <w:r>
        <w:rPr>
          <w:rFonts w:ascii="Arial" w:hAnsi="Arial" w:eastAsia="宋体" w:cs="Arial"/>
          <w:b/>
          <w:szCs w:val="21"/>
        </w:rPr>
        <w:t>输液准确度</w:t>
      </w:r>
    </w:p>
    <w:p w14:paraId="5ABC766C">
      <w:pPr>
        <w:pStyle w:val="19"/>
        <w:snapToGrid w:val="0"/>
        <w:spacing w:after="156" w:afterLines="50" w:line="300" w:lineRule="auto"/>
        <w:ind w:left="1134" w:firstLine="12"/>
        <w:rPr>
          <w:rFonts w:ascii="Arial" w:hAnsi="Arial" w:eastAsia="宋体" w:cs="Arial"/>
          <w:szCs w:val="21"/>
        </w:rPr>
      </w:pPr>
      <w:r>
        <w:rPr>
          <w:rFonts w:ascii="Arial" w:hAnsi="Arial" w:eastAsia="宋体" w:cs="Arial"/>
          <w:szCs w:val="21"/>
        </w:rPr>
        <w:t>输液准确度质量标准应适合于该器械的预期用途，测试应反映该器械的使用条件。安全实例应包括说明输液准确度质量标准如何适用于使用研究范围的适应症的论点，包括</w:t>
      </w:r>
      <w:bookmarkStart w:id="39" w:name="OLE_LINK36"/>
      <w:bookmarkStart w:id="40" w:name="OLE_LINK37"/>
      <w:r>
        <w:rPr>
          <w:rFonts w:ascii="Arial" w:hAnsi="Arial" w:eastAsia="宋体" w:cs="Arial"/>
          <w:szCs w:val="21"/>
        </w:rPr>
        <w:t>系统</w:t>
      </w:r>
      <w:bookmarkEnd w:id="39"/>
      <w:bookmarkEnd w:id="40"/>
      <w:r>
        <w:rPr>
          <w:rFonts w:ascii="Arial" w:hAnsi="Arial" w:eastAsia="宋体" w:cs="Arial"/>
          <w:szCs w:val="21"/>
        </w:rPr>
        <w:t>中将要输注液体的治疗范围，系统</w:t>
      </w:r>
      <w:r>
        <w:rPr>
          <w:rFonts w:hint="eastAsia" w:ascii="Arial" w:hAnsi="Arial" w:eastAsia="宋体" w:cs="Arial"/>
          <w:szCs w:val="21"/>
        </w:rPr>
        <w:t>应明确具体</w:t>
      </w:r>
      <w:r>
        <w:rPr>
          <w:rFonts w:ascii="Arial" w:hAnsi="Arial" w:eastAsia="宋体" w:cs="Arial"/>
          <w:szCs w:val="21"/>
        </w:rPr>
        <w:t>液体。在开发和验证准确度质量标准时，应考虑定义准确度质量标准的流量和时间长短。</w:t>
      </w:r>
    </w:p>
    <w:p w14:paraId="21CA2EB6">
      <w:pPr>
        <w:pStyle w:val="19"/>
        <w:snapToGrid w:val="0"/>
        <w:spacing w:after="156" w:afterLines="50" w:line="300" w:lineRule="auto"/>
        <w:ind w:left="1134" w:firstLine="12"/>
        <w:rPr>
          <w:rFonts w:ascii="Arial" w:hAnsi="Arial" w:eastAsia="宋体" w:cs="Arial"/>
          <w:szCs w:val="21"/>
        </w:rPr>
      </w:pPr>
      <w:r>
        <w:rPr>
          <w:rFonts w:ascii="Arial" w:hAnsi="Arial" w:eastAsia="宋体" w:cs="Arial"/>
          <w:szCs w:val="21"/>
        </w:rPr>
        <w:t>应对系统的每个可用结构进行测试，即使代表性结构的测试也可以接受。在提供代表性测试的情况下，贵公司应该描述收集的数据如何与未经测试的结构相关。在确定结构是否具有代表性时，贵公司应该确定可能影响输液准确度的器械特性。应考虑的一些特征示例包括：</w:t>
      </w:r>
    </w:p>
    <w:p w14:paraId="19CB6C8D">
      <w:pPr>
        <w:pStyle w:val="19"/>
        <w:numPr>
          <w:ilvl w:val="0"/>
          <w:numId w:val="17"/>
        </w:numPr>
        <w:snapToGrid w:val="0"/>
        <w:spacing w:after="156" w:afterLines="50" w:line="300" w:lineRule="auto"/>
        <w:rPr>
          <w:rFonts w:ascii="Arial" w:hAnsi="Arial" w:eastAsia="宋体" w:cs="Arial"/>
          <w:szCs w:val="21"/>
        </w:rPr>
      </w:pPr>
      <w:r>
        <w:rPr>
          <w:rFonts w:ascii="Arial" w:hAnsi="Arial" w:eastAsia="宋体" w:cs="Arial"/>
          <w:szCs w:val="21"/>
        </w:rPr>
        <w:t>输液器：输液器上的流量限制器械的长度、直径、数量和类型，接入点的数量和相对位置。</w:t>
      </w:r>
    </w:p>
    <w:p w14:paraId="5EE64140">
      <w:pPr>
        <w:widowControl/>
        <w:jc w:val="left"/>
        <w:rPr>
          <w:rFonts w:ascii="Arial" w:hAnsi="Arial" w:eastAsia="宋体" w:cs="Arial"/>
          <w:szCs w:val="21"/>
        </w:rPr>
      </w:pPr>
      <w:r>
        <w:rPr>
          <w:rFonts w:ascii="Arial" w:hAnsi="Arial" w:eastAsia="宋体" w:cs="Arial"/>
          <w:szCs w:val="21"/>
        </w:rPr>
        <w:br w:type="page"/>
      </w:r>
    </w:p>
    <w:p w14:paraId="58CCD3BE">
      <w:pPr>
        <w:pStyle w:val="19"/>
        <w:numPr>
          <w:ilvl w:val="0"/>
          <w:numId w:val="17"/>
        </w:numPr>
        <w:snapToGrid w:val="0"/>
        <w:spacing w:line="300" w:lineRule="auto"/>
        <w:rPr>
          <w:rFonts w:ascii="Arial" w:hAnsi="Arial" w:eastAsia="宋体" w:cs="Arial"/>
          <w:szCs w:val="21"/>
        </w:rPr>
      </w:pPr>
      <w:r>
        <w:rPr>
          <w:rFonts w:ascii="Arial" w:hAnsi="Arial" w:eastAsia="宋体" w:cs="Arial"/>
          <w:szCs w:val="21"/>
        </w:rPr>
        <w:t>药物储存器：尺寸、相对于泵的位置。</w:t>
      </w:r>
    </w:p>
    <w:p w14:paraId="3F2DCEE0">
      <w:pPr>
        <w:pStyle w:val="19"/>
        <w:numPr>
          <w:ilvl w:val="0"/>
          <w:numId w:val="17"/>
        </w:numPr>
        <w:snapToGrid w:val="0"/>
        <w:spacing w:after="156" w:afterLines="50" w:line="300" w:lineRule="auto"/>
        <w:rPr>
          <w:rFonts w:ascii="Arial" w:hAnsi="Arial" w:eastAsia="宋体" w:cs="Arial"/>
          <w:szCs w:val="21"/>
        </w:rPr>
      </w:pPr>
      <w:r>
        <w:rPr>
          <w:rFonts w:ascii="Arial" w:hAnsi="Arial" w:eastAsia="宋体" w:cs="Arial"/>
          <w:szCs w:val="21"/>
        </w:rPr>
        <w:t>泵型号/结构：流量限制，体积限制。</w:t>
      </w:r>
    </w:p>
    <w:p w14:paraId="5D2B9952">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对于按贵公司的要求旨在维持恒定设定流量的泵，该数据应证明该器械可以保持对指定范围内输液的过程中完成一系列流量的准确度。测试应证明在操作参数极限情况下遵守质量标准。</w:t>
      </w:r>
    </w:p>
    <w:p w14:paraId="1E5877D0">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不保持恒定流量的泵，应使用测试结果来产生代表性的流量分布。该代表性流量分布应包含在器械标签中。测试应包括在最小、中间和最大流速下对输注输送准确度的评估。贵公司应该提供选择中间流量的理由。</w:t>
      </w:r>
    </w:p>
    <w:p w14:paraId="64FC423A">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对于能够进行推注的泵，测试结果应证明推注在质量标准范围内的准确度。测试应该代表使用推注药物的方式，并应包括在最小和最大推注剂量下的推注准确度评估。</w:t>
      </w:r>
    </w:p>
    <w:p w14:paraId="50144AAA">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测试还应证明，尽管环境温度、液体温度、压力（例如，头部高度，反压，大气压力）或液体粘度发生变化该器械可以保持指定的流量特性，根据该器械的预期用途期望</w:t>
      </w:r>
      <w:r>
        <w:rPr>
          <w:rFonts w:hint="eastAsia" w:ascii="Arial" w:hAnsi="Arial" w:eastAsia="宋体" w:cs="Arial"/>
          <w:szCs w:val="21"/>
        </w:rPr>
        <w:t>器械可合理地达到</w:t>
      </w:r>
      <w:r>
        <w:rPr>
          <w:rFonts w:ascii="Arial" w:hAnsi="Arial" w:eastAsia="宋体" w:cs="Arial"/>
          <w:szCs w:val="21"/>
        </w:rPr>
        <w:t>此特性。这些因素的影响应该在标签中定量讨论，以便用户</w:t>
      </w:r>
      <w:r>
        <w:rPr>
          <w:rFonts w:hint="eastAsia" w:ascii="Arial" w:hAnsi="Arial" w:eastAsia="宋体" w:cs="Arial"/>
          <w:szCs w:val="21"/>
        </w:rPr>
        <w:t>知晓</w:t>
      </w:r>
      <w:r>
        <w:rPr>
          <w:rFonts w:ascii="Arial" w:hAnsi="Arial" w:eastAsia="宋体" w:cs="Arial"/>
          <w:szCs w:val="21"/>
        </w:rPr>
        <w:t>。</w:t>
      </w:r>
    </w:p>
    <w:p w14:paraId="046C33E4">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可靠性分析</w:t>
      </w:r>
    </w:p>
    <w:p w14:paraId="25B62A06">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可靠性包括组件和系统水平分析。贵公司应该对输液泵系统的可靠性进行分析。分析应包括系统的可靠性质量标准和完成的可靠性活动的描述，验证和确认质量标准是否得到满足（例如，设计分析，测试计划和测试报告）。作为安全保证实例的一部分，分析和相关活动可以采取要求、论据或证据的形式。</w:t>
      </w:r>
    </w:p>
    <w:p w14:paraId="241FCF82">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环境安全</w:t>
      </w:r>
    </w:p>
    <w:p w14:paraId="0B39C1F4">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适用标准</w:t>
      </w:r>
    </w:p>
    <w:p w14:paraId="1FEF642F">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我们建议贵公司的器械符合适用的环境安全标准。在贵公司的510（k）提交材料中，贵公司应提供数据或文档</w:t>
      </w:r>
      <w:r>
        <w:rPr>
          <w:rFonts w:hint="eastAsia" w:ascii="Arial" w:hAnsi="Arial" w:eastAsia="宋体" w:cs="Arial"/>
          <w:szCs w:val="21"/>
        </w:rPr>
        <w:t>，</w:t>
      </w:r>
      <w:r>
        <w:rPr>
          <w:rFonts w:ascii="Arial" w:hAnsi="Arial" w:eastAsia="宋体" w:cs="Arial"/>
          <w:szCs w:val="21"/>
        </w:rPr>
        <w:t>证明贵公司的器械符合适用的安全标准。有关环境安全的电磁兼容性（EMC）方面，请参见下文。</w:t>
      </w:r>
    </w:p>
    <w:p w14:paraId="14CC47D5">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31A4A84A">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用于特定输液泵的环境标准应适用于预期用途的环境。例如，家用泵的环境危害可能不同于</w:t>
      </w:r>
      <w:r>
        <w:rPr>
          <w:rFonts w:hint="eastAsia" w:ascii="Arial" w:hAnsi="Arial" w:eastAsia="宋体" w:cs="Arial"/>
          <w:szCs w:val="21"/>
        </w:rPr>
        <w:t>预期</w:t>
      </w:r>
      <w:r>
        <w:rPr>
          <w:rFonts w:ascii="Arial" w:hAnsi="Arial" w:eastAsia="宋体" w:cs="Arial"/>
          <w:szCs w:val="21"/>
        </w:rPr>
        <w:t>用于医疗机构的泵的危害。因此，我们建议贵公司全面地表征贵公司的输液泵潜在的环境危害范围，并制定适当的策略来控制危害。</w:t>
      </w:r>
    </w:p>
    <w:p w14:paraId="12537FEA">
      <w:pPr>
        <w:widowControl/>
        <w:jc w:val="left"/>
        <w:rPr>
          <w:rFonts w:ascii="Arial" w:hAnsi="Arial" w:eastAsia="宋体" w:cs="Arial"/>
          <w:szCs w:val="21"/>
        </w:rPr>
      </w:pPr>
      <w:r>
        <w:rPr>
          <w:rFonts w:ascii="Arial" w:hAnsi="Arial" w:eastAsia="宋体" w:cs="Arial"/>
          <w:szCs w:val="21"/>
        </w:rPr>
        <w:br w:type="page"/>
      </w:r>
    </w:p>
    <w:p w14:paraId="2DB52C3B">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贵公司的安全保证实例应确定并减轻环境危害。贵公司应该描述使用环境，并</w:t>
      </w:r>
      <w:r>
        <w:rPr>
          <w:rFonts w:hint="eastAsia" w:ascii="Arial" w:hAnsi="Arial" w:eastAsia="宋体" w:cs="Arial"/>
          <w:szCs w:val="21"/>
        </w:rPr>
        <w:t>确定</w:t>
      </w:r>
      <w:r>
        <w:rPr>
          <w:rFonts w:ascii="Arial" w:hAnsi="Arial" w:eastAsia="宋体" w:cs="Arial"/>
          <w:szCs w:val="21"/>
        </w:rPr>
        <w:t>支持在其环境中使用输液泵</w:t>
      </w:r>
      <w:r>
        <w:rPr>
          <w:rFonts w:hint="eastAsia" w:ascii="Arial" w:hAnsi="Arial" w:eastAsia="宋体" w:cs="Arial"/>
          <w:szCs w:val="21"/>
        </w:rPr>
        <w:t>的</w:t>
      </w:r>
      <w:r>
        <w:rPr>
          <w:rFonts w:ascii="Arial" w:hAnsi="Arial" w:eastAsia="宋体" w:cs="Arial"/>
          <w:szCs w:val="21"/>
        </w:rPr>
        <w:t>措施。</w:t>
      </w:r>
    </w:p>
    <w:p w14:paraId="606D0313">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电气器械安全</w:t>
      </w:r>
    </w:p>
    <w:p w14:paraId="2E5C9B6E">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适用标准</w:t>
      </w:r>
    </w:p>
    <w:p w14:paraId="544424B6">
      <w:pPr>
        <w:pStyle w:val="19"/>
        <w:snapToGrid w:val="0"/>
        <w:spacing w:after="156" w:afterLines="50" w:line="300" w:lineRule="auto"/>
        <w:ind w:left="1140"/>
        <w:jc w:val="left"/>
        <w:rPr>
          <w:rStyle w:val="12"/>
          <w:rFonts w:ascii="Arial" w:hAnsi="Arial" w:eastAsia="宋体" w:cs="Arial"/>
          <w:color w:val="auto"/>
          <w:szCs w:val="21"/>
          <w:u w:val="none"/>
        </w:rPr>
      </w:pPr>
      <w:r>
        <w:rPr>
          <w:rFonts w:ascii="Arial" w:hAnsi="Arial" w:eastAsia="宋体" w:cs="Arial"/>
          <w:szCs w:val="21"/>
        </w:rPr>
        <w:t>我们建议贵公司的器械符合ANSI / AAMI ES60601-1：2012标准中的适用标准，题为</w:t>
      </w:r>
      <w:r>
        <w:rPr>
          <w:rFonts w:hint="eastAsia" w:ascii="宋体" w:hAnsi="宋体" w:eastAsia="宋体" w:cs="Arial"/>
          <w:szCs w:val="21"/>
        </w:rPr>
        <w:t>《</w:t>
      </w:r>
      <w:r>
        <w:rPr>
          <w:rFonts w:ascii="Arial" w:hAnsi="Arial" w:eastAsia="宋体" w:cs="Arial"/>
          <w:szCs w:val="21"/>
        </w:rPr>
        <w:t>医疗电气器械-第I部分：基本安全和基本性能的一般要求</w:t>
      </w:r>
      <w:r>
        <w:rPr>
          <w:rFonts w:hint="eastAsia" w:ascii="宋体" w:hAnsi="宋体" w:eastAsia="宋体" w:cs="Arial"/>
          <w:szCs w:val="21"/>
        </w:rPr>
        <w:t>》</w:t>
      </w:r>
      <w:r>
        <w:rPr>
          <w:rFonts w:ascii="Arial" w:hAnsi="Arial" w:eastAsia="宋体" w:cs="Arial"/>
          <w:szCs w:val="21"/>
        </w:rPr>
        <w:t>。在贵公司的510（k）提交材料中，应该提供数据或文档</w:t>
      </w:r>
      <w:r>
        <w:rPr>
          <w:rFonts w:hint="eastAsia" w:ascii="Arial" w:hAnsi="Arial" w:eastAsia="宋体" w:cs="Arial"/>
          <w:szCs w:val="21"/>
        </w:rPr>
        <w:t>来</w:t>
      </w:r>
      <w:r>
        <w:rPr>
          <w:rFonts w:ascii="Arial" w:hAnsi="Arial" w:eastAsia="宋体" w:cs="Arial"/>
          <w:szCs w:val="21"/>
        </w:rPr>
        <w:t>证明贵公司的器械符合适用标准。我们建议家用主电源器械应安全运行，不需要ANSI / AAMI ES60601-1：2012，3.14，II类中定义的接地保护。也参见FDA的</w:t>
      </w:r>
      <w:r>
        <w:rPr>
          <w:rFonts w:hint="eastAsia" w:ascii="Arial" w:hAnsi="Arial" w:eastAsia="宋体" w:cs="Arial"/>
          <w:szCs w:val="21"/>
        </w:rPr>
        <w:t>指南《</w:t>
      </w:r>
      <w:r>
        <w:rPr>
          <w:rStyle w:val="12"/>
          <w:rFonts w:ascii="Arial" w:hAnsi="Arial" w:eastAsia="宋体" w:cs="Arial"/>
          <w:szCs w:val="21"/>
        </w:rPr>
        <w:t>家庭用医疗器械的设计注意事项</w:t>
      </w:r>
      <w:r>
        <w:rPr>
          <w:rFonts w:hint="eastAsia" w:ascii="Arial" w:hAnsi="Arial" w:eastAsia="宋体" w:cs="Arial"/>
          <w:szCs w:val="21"/>
        </w:rPr>
        <w:t>》</w:t>
      </w:r>
      <w:r>
        <w:rPr>
          <w:rStyle w:val="12"/>
          <w:rFonts w:ascii="Arial" w:hAnsi="Arial" w:eastAsia="宋体" w:cs="Arial"/>
          <w:szCs w:val="21"/>
        </w:rPr>
        <w:t>（http://www.fda.gov/downloads/MedicalDevices/DeviceRegulationandGuidance/GuidanceDocuments/UCM331681.pdf）</w:t>
      </w:r>
      <w:r>
        <w:rPr>
          <w:rStyle w:val="12"/>
          <w:rFonts w:hint="eastAsia" w:ascii="Arial" w:hAnsi="Arial" w:eastAsia="宋体" w:cs="Arial"/>
          <w:color w:val="auto"/>
          <w:szCs w:val="21"/>
          <w:u w:val="none"/>
        </w:rPr>
        <w:t>。</w:t>
      </w:r>
    </w:p>
    <w:p w14:paraId="7069B5D5">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电磁兼容性</w:t>
      </w:r>
    </w:p>
    <w:p w14:paraId="3C7CB03E">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贵公司的输液泵包含任何电气元件，贵公司应该在510（k）提交材料信息中包含证明该器械在其预期使用环境中的EMC。EMC是指器械在其预期的使用环境（豁免）中正常运行，而不会在该环境（辐射）中引入有害电磁干扰的能力。我们建议贵公司的输液泵设计和测试参考IEC 60601-1-2：2014标题为医疗电气器械-基本安全和基本性能的一般要求–并行标准：电磁干扰-要求和测试，</w:t>
      </w:r>
      <w:r>
        <w:rPr>
          <w:rStyle w:val="13"/>
          <w:rFonts w:ascii="Arial" w:hAnsi="Arial" w:eastAsia="宋体" w:cs="Arial"/>
          <w:szCs w:val="21"/>
        </w:rPr>
        <w:footnoteReference w:id="8"/>
      </w:r>
      <w:r>
        <w:rPr>
          <w:rFonts w:ascii="Arial" w:hAnsi="Arial" w:eastAsia="宋体" w:cs="Arial"/>
          <w:szCs w:val="21"/>
        </w:rPr>
        <w:t>或IEC 60601-1-2：2007，标题为医疗电气器械-基本安全和基本性能的一般要求–并行标准：电磁兼容性-要求和测试</w:t>
      </w:r>
      <w:r>
        <w:rPr>
          <w:rStyle w:val="13"/>
          <w:rFonts w:ascii="Arial" w:hAnsi="Arial" w:eastAsia="宋体" w:cs="Arial"/>
          <w:szCs w:val="21"/>
        </w:rPr>
        <w:footnoteReference w:id="9"/>
      </w:r>
      <w:r>
        <w:rPr>
          <w:rFonts w:ascii="Arial" w:hAnsi="Arial" w:eastAsia="宋体" w:cs="Arial"/>
          <w:szCs w:val="21"/>
        </w:rPr>
        <w:t>。或者，可以参考这些标准的ANSI / AAMI / IEC版本。除了符合这些适用标准之一的证据之外，还应在贵公司向FDA提交的上市前提交材料总结信息中说明以下内容：</w:t>
      </w:r>
    </w:p>
    <w:p w14:paraId="0B046EBF">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进行的测试以及完成</w:t>
      </w:r>
      <w:r>
        <w:rPr>
          <w:rFonts w:hint="eastAsia" w:ascii="Arial" w:hAnsi="Arial" w:eastAsia="宋体" w:cs="Arial"/>
          <w:szCs w:val="21"/>
        </w:rPr>
        <w:t>方法</w:t>
      </w:r>
      <w:r>
        <w:rPr>
          <w:rFonts w:ascii="Arial" w:hAnsi="Arial" w:eastAsia="宋体" w:cs="Arial"/>
          <w:szCs w:val="21"/>
        </w:rPr>
        <w:t>；</w:t>
      </w:r>
    </w:p>
    <w:p w14:paraId="78D60D0F">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测试的器械功能和模式；</w:t>
      </w:r>
    </w:p>
    <w:p w14:paraId="3E66A50E">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所使用的器械</w:t>
      </w:r>
      <w:r>
        <w:rPr>
          <w:rFonts w:hint="eastAsia" w:ascii="Arial" w:hAnsi="Arial" w:eastAsia="宋体" w:cs="Arial"/>
          <w:szCs w:val="21"/>
        </w:rPr>
        <w:t>具体</w:t>
      </w:r>
      <w:r>
        <w:rPr>
          <w:rFonts w:ascii="Arial" w:hAnsi="Arial" w:eastAsia="宋体" w:cs="Arial"/>
          <w:szCs w:val="21"/>
        </w:rPr>
        <w:t>通过/失败标准，包括被确定为基本性能的性能；</w:t>
      </w:r>
    </w:p>
    <w:p w14:paraId="63708CC7">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参考标准和任何偏差或限额；</w:t>
      </w:r>
    </w:p>
    <w:p w14:paraId="02208B7A">
      <w:pPr>
        <w:pStyle w:val="19"/>
        <w:numPr>
          <w:ilvl w:val="0"/>
          <w:numId w:val="18"/>
        </w:numPr>
        <w:snapToGrid w:val="0"/>
        <w:spacing w:line="300" w:lineRule="auto"/>
        <w:rPr>
          <w:rFonts w:ascii="Arial" w:hAnsi="Arial" w:eastAsia="宋体" w:cs="Arial"/>
          <w:szCs w:val="21"/>
        </w:rPr>
      </w:pPr>
      <w:r>
        <w:rPr>
          <w:rFonts w:ascii="Arial" w:hAnsi="Arial" w:eastAsia="宋体" w:cs="Arial"/>
          <w:szCs w:val="21"/>
        </w:rPr>
        <w:t>通过测试所需的任何器械修改；</w:t>
      </w:r>
      <w:r>
        <w:rPr>
          <w:rFonts w:hint="eastAsia" w:ascii="Arial" w:hAnsi="Arial" w:eastAsia="宋体" w:cs="Arial"/>
          <w:szCs w:val="21"/>
        </w:rPr>
        <w:t>以及</w:t>
      </w:r>
    </w:p>
    <w:p w14:paraId="5CD386F3">
      <w:pPr>
        <w:pStyle w:val="19"/>
        <w:numPr>
          <w:ilvl w:val="0"/>
          <w:numId w:val="18"/>
        </w:numPr>
        <w:snapToGrid w:val="0"/>
        <w:spacing w:after="156" w:afterLines="50" w:line="300" w:lineRule="auto"/>
        <w:rPr>
          <w:rFonts w:ascii="Arial" w:hAnsi="Arial" w:eastAsia="宋体" w:cs="Arial"/>
          <w:szCs w:val="21"/>
        </w:rPr>
      </w:pPr>
      <w:r>
        <w:rPr>
          <w:rFonts w:ascii="Arial" w:hAnsi="Arial" w:eastAsia="宋体" w:cs="Arial"/>
          <w:szCs w:val="21"/>
        </w:rPr>
        <w:t>适当标识。</w:t>
      </w:r>
    </w:p>
    <w:p w14:paraId="69B1DFED">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器械制造商应根据预期使用环境中存在的风险考虑适当的测试水平。根据使用环境，可能需要提高抗扰度测试水平，特别是如果参考IEC和ANSI / AAMI / IEC 60601-1-2：2007标准中规定的一般抗扰度测试进行测试</w:t>
      </w:r>
      <w:r>
        <w:rPr>
          <w:rStyle w:val="13"/>
          <w:rFonts w:ascii="Arial" w:hAnsi="Arial" w:eastAsia="宋体" w:cs="Arial"/>
          <w:szCs w:val="21"/>
        </w:rPr>
        <w:footnoteReference w:id="10"/>
      </w:r>
      <w:r>
        <w:rPr>
          <w:rFonts w:ascii="Arial" w:hAnsi="Arial" w:eastAsia="宋体" w:cs="Arial"/>
          <w:szCs w:val="21"/>
        </w:rPr>
        <w:t>。</w:t>
      </w:r>
    </w:p>
    <w:p w14:paraId="04C56138">
      <w:pPr>
        <w:widowControl/>
        <w:jc w:val="left"/>
        <w:rPr>
          <w:rFonts w:ascii="Arial" w:hAnsi="Arial" w:eastAsia="宋体" w:cs="Arial"/>
          <w:szCs w:val="21"/>
        </w:rPr>
      </w:pPr>
      <w:r>
        <w:rPr>
          <w:rFonts w:ascii="Arial" w:hAnsi="Arial" w:eastAsia="宋体" w:cs="Arial"/>
          <w:szCs w:val="21"/>
        </w:rPr>
        <w:br w:type="page"/>
      </w:r>
    </w:p>
    <w:p w14:paraId="146F706E">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还应该评估具有常见干扰源器械的EMC，这些干扰源可能在使用位置并可能干扰医疗器械的性能。这些来源可以包括大型电动机，附近的无线电和电视发射机、雷达、防盗系统（包括标签去激活器），立体声扬声器和射频识别（RFID）。</w:t>
      </w:r>
    </w:p>
    <w:p w14:paraId="6979B475">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射频无线技术</w:t>
      </w:r>
    </w:p>
    <w:p w14:paraId="4703F2E8">
      <w:pPr>
        <w:pStyle w:val="19"/>
        <w:snapToGrid w:val="0"/>
        <w:spacing w:line="300" w:lineRule="auto"/>
        <w:ind w:left="1140"/>
        <w:rPr>
          <w:rStyle w:val="12"/>
          <w:rFonts w:ascii="Arial" w:hAnsi="Arial" w:eastAsia="宋体" w:cs="Arial"/>
          <w:szCs w:val="21"/>
        </w:rPr>
      </w:pPr>
      <w:r>
        <w:rPr>
          <w:rFonts w:ascii="Arial" w:hAnsi="Arial" w:eastAsia="宋体" w:cs="Arial"/>
          <w:szCs w:val="21"/>
        </w:rPr>
        <w:t>如果贵公司的提交材料包括射频（RF）技术，则应在510（k）提交材料中包含RF使用的完整说明。即使射频无线技术的应用符合适用的技术标准和联邦通信委员会的规定，也将存在医疗器械的安全性和有效性</w:t>
      </w:r>
      <w:r>
        <w:rPr>
          <w:rFonts w:hint="eastAsia" w:ascii="Arial" w:hAnsi="Arial" w:eastAsia="宋体" w:cs="Arial"/>
          <w:szCs w:val="21"/>
        </w:rPr>
        <w:t>问题</w:t>
      </w:r>
      <w:r>
        <w:rPr>
          <w:rFonts w:ascii="Arial" w:hAnsi="Arial" w:eastAsia="宋体" w:cs="Arial"/>
          <w:szCs w:val="21"/>
        </w:rPr>
        <w:t>。有关可能危害的详细信息，请参阅FDA关于射频无线技术</w:t>
      </w:r>
      <w:r>
        <w:rPr>
          <w:rStyle w:val="12"/>
          <w:rFonts w:ascii="Arial" w:hAnsi="Arial" w:eastAsia="宋体" w:cs="Arial"/>
          <w:color w:val="auto"/>
          <w:szCs w:val="21"/>
          <w:u w:val="none"/>
        </w:rPr>
        <w:t>的指南</w:t>
      </w:r>
      <w:r>
        <w:rPr>
          <w:rFonts w:ascii="Arial" w:hAnsi="Arial" w:eastAsia="宋体" w:cs="Arial"/>
          <w:szCs w:val="21"/>
        </w:rPr>
        <w:t>，</w:t>
      </w:r>
      <w:r>
        <w:rPr>
          <w:rStyle w:val="12"/>
          <w:rFonts w:hint="eastAsia" w:ascii="Arial" w:hAnsi="Arial" w:eastAsia="宋体" w:cs="Arial"/>
          <w:szCs w:val="21"/>
        </w:rPr>
        <w:t>医疗器械中的</w:t>
      </w:r>
      <w:r>
        <w:rPr>
          <w:rStyle w:val="12"/>
          <w:rFonts w:ascii="Arial" w:hAnsi="Arial" w:eastAsia="宋体" w:cs="Arial"/>
          <w:szCs w:val="21"/>
        </w:rPr>
        <w:t>射频</w:t>
      </w:r>
      <w:r>
        <w:rPr>
          <w:rStyle w:val="12"/>
          <w:rFonts w:hint="eastAsia" w:ascii="Arial" w:hAnsi="Arial" w:eastAsia="宋体" w:cs="Arial"/>
          <w:szCs w:val="21"/>
        </w:rPr>
        <w:t>无线技术</w:t>
      </w:r>
    </w:p>
    <w:p w14:paraId="49B48353">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w:t>
      </w:r>
      <w:r>
        <w:fldChar w:fldCharType="begin"/>
      </w:r>
      <w:r>
        <w:instrText xml:space="preserve"> HYPERLINK "http://www.fda.gov/medicaldevices/deviceregulationandguidance/guidancedocuments/ucm077210.htm" </w:instrText>
      </w:r>
      <w:r>
        <w:fldChar w:fldCharType="separate"/>
      </w:r>
      <w:r>
        <w:rPr>
          <w:rStyle w:val="12"/>
          <w:rFonts w:ascii="Arial" w:hAnsi="Arial" w:eastAsia="宋体" w:cs="Arial"/>
          <w:szCs w:val="21"/>
        </w:rPr>
        <w:t>http://www.fda.gov/medicaldevices/deviceregulationandguidance/guidancedocuments/ucm077210.htm</w:t>
      </w:r>
      <w:r>
        <w:rPr>
          <w:rStyle w:val="12"/>
          <w:rFonts w:ascii="Arial" w:hAnsi="Arial" w:eastAsia="宋体" w:cs="Arial"/>
          <w:szCs w:val="21"/>
        </w:rPr>
        <w:fldChar w:fldCharType="end"/>
      </w:r>
      <w:r>
        <w:rPr>
          <w:rFonts w:ascii="Arial" w:hAnsi="Arial" w:eastAsia="宋体" w:cs="Arial"/>
          <w:szCs w:val="21"/>
        </w:rPr>
        <w:t>）。在510（k）中应该处理的特殊要点包括所需的服务质量、数据完整性、共存性、安全性和EMC。由于在相同频率范围内运用的射频无线技术的使用增加，贵公司应通过与射频无线技术的其他常见应用（可预期在使用环境中使用）进行测试来解决射频无线共存问题。测试还应解决两个或多个输液器械在近距离无线操作的能力。</w:t>
      </w:r>
    </w:p>
    <w:p w14:paraId="565B3DC8">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硬件安全</w:t>
      </w:r>
    </w:p>
    <w:p w14:paraId="68E458D3">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适用标准</w:t>
      </w:r>
    </w:p>
    <w:p w14:paraId="31B65AD6">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我们建议贵公司的器械符合IEC 60601-1的硬件安全标准。在贵公司的510（k）提交材料中，贵公司应提供证明器械符合硬件安全标准的数据或文档。</w:t>
      </w:r>
    </w:p>
    <w:p w14:paraId="1131D073">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软件安全</w:t>
      </w:r>
    </w:p>
    <w:p w14:paraId="3A586721">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适用的FDA指南和标准</w:t>
      </w:r>
    </w:p>
    <w:p w14:paraId="4A8A8C09">
      <w:pPr>
        <w:pStyle w:val="19"/>
        <w:snapToGrid w:val="0"/>
        <w:spacing w:line="300" w:lineRule="auto"/>
        <w:ind w:left="1140"/>
        <w:rPr>
          <w:rStyle w:val="12"/>
          <w:rFonts w:ascii="Arial" w:hAnsi="Arial" w:eastAsia="宋体" w:cs="Arial"/>
          <w:szCs w:val="21"/>
        </w:rPr>
      </w:pPr>
      <w:r>
        <w:rPr>
          <w:rFonts w:ascii="Arial" w:hAnsi="Arial" w:eastAsia="宋体" w:cs="Arial"/>
          <w:szCs w:val="21"/>
        </w:rPr>
        <w:t>有关贵公司应该在510（k）提交材料中提供的软件文档的讨论</w:t>
      </w:r>
      <w:r>
        <w:rPr>
          <w:rFonts w:hint="eastAsia" w:ascii="Arial" w:hAnsi="Arial" w:eastAsia="宋体" w:cs="Arial"/>
          <w:szCs w:val="21"/>
        </w:rPr>
        <w:t>，</w:t>
      </w:r>
      <w:r>
        <w:rPr>
          <w:rFonts w:ascii="Arial" w:hAnsi="Arial" w:eastAsia="宋体" w:cs="Arial"/>
          <w:szCs w:val="21"/>
        </w:rPr>
        <w:t>请参阅FDA</w:t>
      </w:r>
      <w:r>
        <w:rPr>
          <w:rStyle w:val="12"/>
          <w:rFonts w:hint="eastAsia" w:ascii="Arial" w:hAnsi="Arial" w:eastAsia="宋体" w:cs="Arial"/>
          <w:szCs w:val="21"/>
        </w:rPr>
        <w:t>关于医疗器械软件上市前提交材料的指南</w:t>
      </w:r>
    </w:p>
    <w:p w14:paraId="5DE52F37">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w:t>
      </w:r>
      <w:r>
        <w:fldChar w:fldCharType="begin"/>
      </w:r>
      <w:r>
        <w:instrText xml:space="preserve"> HYPERLINK "http://www.fda.gov/MedicalDevices/DeviceRegulationandGuidance/GuidanceDocuments/ucm089543.htm" </w:instrText>
      </w:r>
      <w:r>
        <w:fldChar w:fldCharType="separate"/>
      </w:r>
      <w:r>
        <w:rPr>
          <w:rStyle w:val="12"/>
          <w:rFonts w:ascii="Arial" w:hAnsi="Arial" w:eastAsia="宋体" w:cs="Arial"/>
          <w:szCs w:val="21"/>
        </w:rPr>
        <w:t>http://www.fda.gov/MedicalDevices/DeviceRegulationandGuidance/GuidanceDocuments/ucm089543.htm</w:t>
      </w:r>
      <w:r>
        <w:rPr>
          <w:rStyle w:val="12"/>
          <w:rFonts w:ascii="Arial" w:hAnsi="Arial" w:eastAsia="宋体" w:cs="Arial"/>
          <w:szCs w:val="21"/>
        </w:rPr>
        <w:fldChar w:fldCharType="end"/>
      </w:r>
      <w:r>
        <w:rPr>
          <w:rFonts w:ascii="Arial" w:hAnsi="Arial" w:eastAsia="宋体" w:cs="Arial"/>
          <w:szCs w:val="21"/>
        </w:rPr>
        <w:t>）。我们通常认为输液泵是软件审查的</w:t>
      </w:r>
      <w:r>
        <w:rPr>
          <w:rFonts w:ascii="宋体" w:hAnsi="宋体" w:eastAsia="宋体" w:cs="Arial"/>
          <w:szCs w:val="21"/>
        </w:rPr>
        <w:t>“</w:t>
      </w:r>
      <w:r>
        <w:rPr>
          <w:rFonts w:hint="eastAsia" w:ascii="Arial" w:hAnsi="Arial" w:eastAsia="宋体" w:cs="Arial"/>
          <w:szCs w:val="21"/>
        </w:rPr>
        <w:t>重大</w:t>
      </w:r>
      <w:r>
        <w:rPr>
          <w:rFonts w:ascii="宋体" w:hAnsi="宋体" w:eastAsia="宋体" w:cs="Arial"/>
          <w:szCs w:val="21"/>
        </w:rPr>
        <w:t>”</w:t>
      </w:r>
      <w:r>
        <w:rPr>
          <w:rFonts w:ascii="Arial" w:hAnsi="Arial" w:eastAsia="宋体" w:cs="Arial"/>
          <w:szCs w:val="21"/>
        </w:rPr>
        <w:t>关切程度。</w:t>
      </w:r>
    </w:p>
    <w:p w14:paraId="4C92E578">
      <w:pPr>
        <w:pStyle w:val="19"/>
        <w:snapToGrid w:val="0"/>
        <w:spacing w:line="300" w:lineRule="auto"/>
        <w:ind w:left="1140"/>
        <w:rPr>
          <w:rFonts w:ascii="Arial" w:hAnsi="Arial" w:eastAsia="宋体" w:cs="Arial"/>
          <w:szCs w:val="21"/>
        </w:rPr>
      </w:pPr>
      <w:r>
        <w:rPr>
          <w:rFonts w:ascii="Arial" w:hAnsi="Arial" w:eastAsia="宋体" w:cs="Arial"/>
          <w:szCs w:val="21"/>
        </w:rPr>
        <w:t>如果该器械包含现成的软件，贵公司应该提供FDA的</w:t>
      </w:r>
      <w:r>
        <w:rPr>
          <w:rStyle w:val="12"/>
          <w:rFonts w:ascii="Arial" w:hAnsi="Arial" w:eastAsia="宋体" w:cs="Arial"/>
          <w:szCs w:val="21"/>
        </w:rPr>
        <w:t>医疗器械中现成软件使用</w:t>
      </w:r>
      <w:r>
        <w:rPr>
          <w:rStyle w:val="12"/>
          <w:rFonts w:hint="eastAsia" w:ascii="Arial" w:hAnsi="Arial" w:eastAsia="宋体" w:cs="Arial"/>
          <w:szCs w:val="21"/>
        </w:rPr>
        <w:t>的行业，</w:t>
      </w:r>
      <w:r>
        <w:rPr>
          <w:rStyle w:val="12"/>
          <w:rFonts w:ascii="Arial" w:hAnsi="Arial" w:eastAsia="宋体" w:cs="Arial"/>
          <w:szCs w:val="21"/>
        </w:rPr>
        <w:t>FDA</w:t>
      </w:r>
      <w:r>
        <w:rPr>
          <w:rStyle w:val="12"/>
          <w:rFonts w:hint="eastAsia" w:ascii="Arial" w:hAnsi="Arial" w:eastAsia="宋体" w:cs="Arial"/>
          <w:szCs w:val="21"/>
        </w:rPr>
        <w:t>审查员和合规性</w:t>
      </w:r>
      <w:r>
        <w:rPr>
          <w:rStyle w:val="12"/>
          <w:rFonts w:ascii="Arial" w:hAnsi="Arial" w:eastAsia="宋体" w:cs="Arial"/>
          <w:szCs w:val="21"/>
        </w:rPr>
        <w:t>指南</w:t>
      </w:r>
      <w:r>
        <w:rPr>
          <w:rFonts w:ascii="Arial" w:hAnsi="Arial" w:eastAsia="宋体" w:cs="Arial"/>
          <w:szCs w:val="21"/>
        </w:rPr>
        <w:t>建议的其他信息</w:t>
      </w:r>
    </w:p>
    <w:p w14:paraId="2C64D0A7">
      <w:pPr>
        <w:pStyle w:val="19"/>
        <w:snapToGrid w:val="0"/>
        <w:spacing w:after="156" w:afterLines="50" w:line="300" w:lineRule="auto"/>
        <w:ind w:left="1140"/>
        <w:rPr>
          <w:rStyle w:val="12"/>
          <w:rFonts w:ascii="Arial" w:hAnsi="Arial" w:eastAsia="宋体" w:cs="Arial"/>
          <w:szCs w:val="21"/>
        </w:rPr>
      </w:pPr>
      <w:r>
        <w:rPr>
          <w:rStyle w:val="12"/>
          <w:rFonts w:ascii="Arial" w:hAnsi="Arial" w:eastAsia="宋体" w:cs="Arial"/>
          <w:szCs w:val="21"/>
        </w:rPr>
        <w:t>（http://www.fda.gov/MedicalDevices/DeviceRegulationandGuidance/GuidanceDocuments/ucm073779.htm）</w:t>
      </w:r>
      <w:r>
        <w:t>。</w:t>
      </w:r>
    </w:p>
    <w:p w14:paraId="067FDF7A">
      <w:pPr>
        <w:widowControl/>
        <w:jc w:val="left"/>
        <w:rPr>
          <w:rFonts w:ascii="Arial" w:hAnsi="Arial" w:eastAsia="宋体" w:cs="Arial"/>
          <w:b/>
          <w:szCs w:val="21"/>
        </w:rPr>
      </w:pPr>
      <w:r>
        <w:rPr>
          <w:rFonts w:ascii="Arial" w:hAnsi="Arial" w:eastAsia="宋体" w:cs="Arial"/>
          <w:b/>
          <w:szCs w:val="21"/>
        </w:rPr>
        <w:br w:type="page"/>
      </w:r>
    </w:p>
    <w:p w14:paraId="39B13450">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3FE975CF">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贵公司应该提供对输液泵系统中所有软件的静态分析。</w:t>
      </w:r>
    </w:p>
    <w:p w14:paraId="6A722E41">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当提供未解决的异常现象列表时，贵公司应该</w:t>
      </w:r>
      <w:r>
        <w:rPr>
          <w:rFonts w:hint="eastAsia" w:ascii="Arial" w:hAnsi="Arial" w:eastAsia="宋体" w:cs="Arial"/>
          <w:szCs w:val="21"/>
        </w:rPr>
        <w:t>为</w:t>
      </w:r>
      <w:r>
        <w:rPr>
          <w:rFonts w:ascii="Arial" w:hAnsi="Arial" w:eastAsia="宋体" w:cs="Arial"/>
          <w:szCs w:val="21"/>
        </w:rPr>
        <w:t>每个未解决的异常现象包括以下信息：</w:t>
      </w:r>
    </w:p>
    <w:p w14:paraId="5B24D95A">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从症状的角度描述异常情况及其表现。</w:t>
      </w:r>
    </w:p>
    <w:p w14:paraId="2EE7EC68">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代码中发生异常的位置。</w:t>
      </w:r>
    </w:p>
    <w:p w14:paraId="2CD5F140">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关于如何修复异常代码的描述。</w:t>
      </w:r>
    </w:p>
    <w:p w14:paraId="34DE4817">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搜索软件源代码的其他可能异常实例。例如，如果问题是数组中的离一误差，则提供证据表明检查了所有阵列是否有离一误差。</w:t>
      </w:r>
    </w:p>
    <w:p w14:paraId="429C7199">
      <w:pPr>
        <w:pStyle w:val="19"/>
        <w:numPr>
          <w:ilvl w:val="0"/>
          <w:numId w:val="19"/>
        </w:numPr>
        <w:snapToGrid w:val="0"/>
        <w:spacing w:line="300" w:lineRule="auto"/>
        <w:ind w:left="1806" w:hanging="356"/>
        <w:rPr>
          <w:rFonts w:ascii="Arial" w:hAnsi="Arial" w:eastAsia="宋体" w:cs="Arial"/>
          <w:szCs w:val="21"/>
        </w:rPr>
      </w:pPr>
      <w:r>
        <w:rPr>
          <w:rFonts w:ascii="Arial" w:hAnsi="Arial" w:eastAsia="宋体" w:cs="Arial"/>
          <w:szCs w:val="21"/>
        </w:rPr>
        <w:t>提供证据表明，执行耦合分析</w:t>
      </w:r>
      <w:r>
        <w:rPr>
          <w:rFonts w:hint="eastAsia" w:ascii="Arial" w:hAnsi="Arial" w:eastAsia="宋体" w:cs="Arial"/>
          <w:szCs w:val="21"/>
        </w:rPr>
        <w:t>来</w:t>
      </w:r>
      <w:r>
        <w:rPr>
          <w:rFonts w:ascii="Arial" w:hAnsi="Arial" w:eastAsia="宋体" w:cs="Arial"/>
          <w:szCs w:val="21"/>
        </w:rPr>
        <w:t>识别访问异常代码的所有软件部分，并且访问此异常代码不会出现任何问题。</w:t>
      </w:r>
    </w:p>
    <w:p w14:paraId="0EADEBCD">
      <w:pPr>
        <w:pStyle w:val="19"/>
        <w:numPr>
          <w:ilvl w:val="0"/>
          <w:numId w:val="19"/>
        </w:numPr>
        <w:snapToGrid w:val="0"/>
        <w:spacing w:after="156" w:afterLines="50" w:line="300" w:lineRule="auto"/>
        <w:ind w:left="1806" w:hanging="356"/>
        <w:rPr>
          <w:rFonts w:ascii="Arial" w:hAnsi="Arial" w:eastAsia="宋体" w:cs="Arial"/>
          <w:szCs w:val="21"/>
        </w:rPr>
      </w:pPr>
      <w:r>
        <w:rPr>
          <w:rFonts w:ascii="Arial" w:hAnsi="Arial" w:eastAsia="宋体" w:cs="Arial"/>
          <w:szCs w:val="21"/>
        </w:rPr>
        <w:t>解释如果发生异常不会导致</w:t>
      </w:r>
      <w:r>
        <w:rPr>
          <w:rFonts w:hint="eastAsia" w:ascii="Arial" w:hAnsi="Arial" w:eastAsia="宋体" w:cs="Arial"/>
          <w:szCs w:val="21"/>
        </w:rPr>
        <w:t>损害的原因</w:t>
      </w:r>
      <w:r>
        <w:rPr>
          <w:rFonts w:ascii="Arial" w:hAnsi="Arial" w:eastAsia="宋体" w:cs="Arial"/>
          <w:szCs w:val="21"/>
        </w:rPr>
        <w:t>。如果提供的理由不是为了纠正异常情况，贵公司应该提供任何计划或时间表来纠正问题。</w:t>
      </w:r>
    </w:p>
    <w:p w14:paraId="28E8DFB9">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信息安全性</w:t>
      </w:r>
    </w:p>
    <w:p w14:paraId="1492A824">
      <w:pPr>
        <w:pStyle w:val="19"/>
        <w:snapToGrid w:val="0"/>
        <w:spacing w:line="300" w:lineRule="auto"/>
        <w:ind w:left="1140"/>
        <w:rPr>
          <w:rStyle w:val="12"/>
          <w:rFonts w:ascii="Arial" w:hAnsi="Arial" w:eastAsia="宋体" w:cs="Arial"/>
        </w:rPr>
      </w:pPr>
      <w:r>
        <w:rPr>
          <w:rFonts w:ascii="Arial" w:hAnsi="Arial" w:eastAsia="宋体" w:cs="Arial"/>
          <w:szCs w:val="21"/>
        </w:rPr>
        <w:t>我们建议贵公司描述软件如何解决与安全性和有效性有关的信息安全。信息安全是防止修改、误用或拒绝使用或未经授权使用从器械存储、访问或传输到外部接收器的信息的过程。我们建议贵公司的510（k）包括证明贵公司器械设计涉及以下四个信息安全组件的文档：保密性、完整性、可用性及可追究性（CIAA）。请参阅FDA关于医疗器械网络安全的</w:t>
      </w:r>
      <w:r>
        <w:rPr>
          <w:rFonts w:hint="eastAsia" w:ascii="Arial" w:hAnsi="Arial" w:eastAsia="宋体" w:cs="Arial"/>
          <w:szCs w:val="21"/>
        </w:rPr>
        <w:t>指南</w:t>
      </w:r>
      <w:r>
        <w:rPr>
          <w:rFonts w:ascii="Arial" w:hAnsi="Arial" w:eastAsia="宋体" w:cs="Arial"/>
          <w:szCs w:val="21"/>
        </w:rPr>
        <w:t>，</w:t>
      </w:r>
      <w:r>
        <w:rPr>
          <w:rStyle w:val="12"/>
          <w:rFonts w:hint="eastAsia" w:ascii="Arial" w:hAnsi="Arial" w:eastAsia="宋体" w:cs="Arial"/>
        </w:rPr>
        <w:t>医疗器械网络安全管理的上市前提交材料</w:t>
      </w:r>
    </w:p>
    <w:p w14:paraId="39110DDB">
      <w:pPr>
        <w:pStyle w:val="19"/>
        <w:snapToGrid w:val="0"/>
        <w:spacing w:after="156" w:afterLines="50" w:line="300" w:lineRule="auto"/>
        <w:ind w:left="1140"/>
        <w:rPr>
          <w:rStyle w:val="12"/>
          <w:rFonts w:ascii="Arial" w:hAnsi="Arial" w:eastAsia="宋体" w:cs="Arial"/>
          <w:szCs w:val="21"/>
        </w:rPr>
      </w:pPr>
      <w:r>
        <w:rPr>
          <w:rStyle w:val="12"/>
          <w:rFonts w:ascii="Arial" w:hAnsi="Arial" w:eastAsia="宋体" w:cs="Arial"/>
          <w:szCs w:val="21"/>
        </w:rPr>
        <w:t>（http://www.fda.gov/downloads/MedicalDevices/DeviceRegulationandGuidance/GuidanceDocuments/UCM356190.pdf）</w:t>
      </w:r>
      <w:r>
        <w:rPr>
          <w:rStyle w:val="12"/>
          <w:rFonts w:hint="eastAsia" w:ascii="Arial" w:hAnsi="Arial" w:eastAsia="宋体" w:cs="Arial"/>
          <w:color w:val="auto"/>
          <w:szCs w:val="21"/>
          <w:u w:val="none"/>
        </w:rPr>
        <w:t>。</w:t>
      </w:r>
    </w:p>
    <w:p w14:paraId="10E7EC85">
      <w:pPr>
        <w:pStyle w:val="19"/>
        <w:numPr>
          <w:ilvl w:val="0"/>
          <w:numId w:val="20"/>
        </w:numPr>
        <w:snapToGrid w:val="0"/>
        <w:spacing w:after="156" w:afterLines="50" w:line="300" w:lineRule="auto"/>
        <w:rPr>
          <w:rFonts w:ascii="Arial" w:hAnsi="Arial" w:eastAsia="宋体" w:cs="Arial"/>
          <w:b/>
          <w:szCs w:val="21"/>
        </w:rPr>
      </w:pPr>
      <w:r>
        <w:rPr>
          <w:rFonts w:ascii="Arial" w:hAnsi="Arial" w:eastAsia="宋体" w:cs="Arial"/>
          <w:b/>
          <w:szCs w:val="21"/>
        </w:rPr>
        <w:t>保密性</w:t>
      </w:r>
      <w:r>
        <w:rPr>
          <w:rFonts w:ascii="Arial" w:hAnsi="Arial" w:eastAsia="宋体" w:cs="Arial"/>
          <w:szCs w:val="21"/>
        </w:rPr>
        <w:t>意味着数据、信息或系统结构只能在授权的时间和授权的方式对授权的人员、实体和进程进行访问，从而有助于确保数据和系统的安全。（确保没有未经授权的用户可以访问该信息。）</w:t>
      </w:r>
    </w:p>
    <w:p w14:paraId="24D5D08C">
      <w:pPr>
        <w:pStyle w:val="19"/>
        <w:numPr>
          <w:ilvl w:val="0"/>
          <w:numId w:val="20"/>
        </w:numPr>
        <w:snapToGrid w:val="0"/>
        <w:spacing w:after="156" w:afterLines="50" w:line="300" w:lineRule="auto"/>
        <w:rPr>
          <w:rFonts w:ascii="Arial" w:hAnsi="Arial" w:eastAsia="宋体" w:cs="Arial"/>
          <w:b/>
          <w:szCs w:val="21"/>
        </w:rPr>
      </w:pPr>
      <w:r>
        <w:rPr>
          <w:rFonts w:ascii="Arial" w:hAnsi="Arial" w:eastAsia="宋体" w:cs="Arial"/>
          <w:b/>
          <w:szCs w:val="21"/>
        </w:rPr>
        <w:t>完整性</w:t>
      </w:r>
      <w:r>
        <w:rPr>
          <w:rFonts w:ascii="Arial" w:hAnsi="Arial" w:eastAsia="宋体" w:cs="Arial"/>
          <w:szCs w:val="21"/>
        </w:rPr>
        <w:t>意味着数据和信息准确完整，没有被不正确地修改。</w:t>
      </w:r>
    </w:p>
    <w:p w14:paraId="6453E2AF">
      <w:pPr>
        <w:pStyle w:val="19"/>
        <w:numPr>
          <w:ilvl w:val="0"/>
          <w:numId w:val="20"/>
        </w:numPr>
        <w:snapToGrid w:val="0"/>
        <w:spacing w:after="156" w:afterLines="50" w:line="300" w:lineRule="auto"/>
        <w:rPr>
          <w:rFonts w:ascii="Arial" w:hAnsi="Arial" w:eastAsia="宋体" w:cs="Arial"/>
          <w:szCs w:val="21"/>
        </w:rPr>
      </w:pPr>
      <w:r>
        <w:rPr>
          <w:rFonts w:ascii="Arial" w:hAnsi="Arial" w:eastAsia="宋体" w:cs="Arial"/>
          <w:b/>
          <w:szCs w:val="21"/>
        </w:rPr>
        <w:t>可用性</w:t>
      </w:r>
      <w:r>
        <w:rPr>
          <w:rFonts w:ascii="Arial" w:hAnsi="Arial" w:eastAsia="宋体" w:cs="Arial"/>
          <w:szCs w:val="21"/>
        </w:rPr>
        <w:t>意味着数据信息和信息系统可以以所需的方式及时获取和使用。（保证信息在需要时可用）</w:t>
      </w:r>
    </w:p>
    <w:p w14:paraId="25B459D4">
      <w:pPr>
        <w:widowControl/>
        <w:jc w:val="left"/>
        <w:rPr>
          <w:rFonts w:ascii="Arial" w:hAnsi="Arial" w:eastAsia="宋体" w:cs="Arial"/>
          <w:b/>
          <w:szCs w:val="21"/>
        </w:rPr>
      </w:pPr>
      <w:r>
        <w:rPr>
          <w:rFonts w:ascii="Arial" w:hAnsi="Arial" w:eastAsia="宋体" w:cs="Arial"/>
          <w:b/>
          <w:szCs w:val="21"/>
        </w:rPr>
        <w:br w:type="page"/>
      </w:r>
    </w:p>
    <w:p w14:paraId="3D9A159D">
      <w:pPr>
        <w:pStyle w:val="19"/>
        <w:numPr>
          <w:ilvl w:val="0"/>
          <w:numId w:val="20"/>
        </w:numPr>
        <w:snapToGrid w:val="0"/>
        <w:spacing w:after="156" w:afterLines="50" w:line="300" w:lineRule="auto"/>
        <w:rPr>
          <w:rFonts w:ascii="Arial" w:hAnsi="Arial" w:eastAsia="宋体" w:cs="Arial"/>
          <w:szCs w:val="21"/>
        </w:rPr>
      </w:pPr>
      <w:r>
        <w:rPr>
          <w:rFonts w:ascii="Arial" w:hAnsi="Arial" w:eastAsia="宋体" w:cs="Arial"/>
          <w:b/>
          <w:szCs w:val="21"/>
        </w:rPr>
        <w:t>可追究性</w:t>
      </w:r>
      <w:r>
        <w:rPr>
          <w:rFonts w:ascii="Arial" w:hAnsi="Arial" w:eastAsia="宋体" w:cs="Arial"/>
          <w:szCs w:val="21"/>
        </w:rPr>
        <w:t>意味着授权用户在访问之前被识别和认证。</w:t>
      </w:r>
    </w:p>
    <w:p w14:paraId="0F649173">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网络</w:t>
      </w:r>
    </w:p>
    <w:p w14:paraId="487BD7A3">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如果贵公司的输液泵是</w:t>
      </w:r>
      <w:r>
        <w:rPr>
          <w:rFonts w:hint="eastAsia" w:ascii="Arial" w:hAnsi="Arial" w:eastAsia="宋体" w:cs="Arial"/>
          <w:szCs w:val="21"/>
        </w:rPr>
        <w:t>实物联网</w:t>
      </w:r>
      <w:r>
        <w:rPr>
          <w:rFonts w:ascii="Arial" w:hAnsi="Arial" w:eastAsia="宋体" w:cs="Arial"/>
          <w:szCs w:val="21"/>
        </w:rPr>
        <w:t>或无线</w:t>
      </w:r>
      <w:r>
        <w:rPr>
          <w:rFonts w:hint="eastAsia" w:ascii="Arial" w:hAnsi="Arial" w:eastAsia="宋体" w:cs="Arial"/>
          <w:szCs w:val="21"/>
        </w:rPr>
        <w:t>联网</w:t>
      </w:r>
      <w:r>
        <w:rPr>
          <w:rFonts w:ascii="Arial" w:hAnsi="Arial" w:eastAsia="宋体" w:cs="Arial"/>
          <w:szCs w:val="21"/>
        </w:rPr>
        <w:t>（例如，医院信息系统），贵公司应该在510（k）中包含描述允许网络访问输液泵的信息。在贵公司安全实例中，贵公司应该确定网络连接/能力如何导致输液泵系统危害（例如输液输送错误，不正确的治疗，污染或创伤性损伤）的表现，并为如何充分解决这些问题提供支持性论据。</w:t>
      </w:r>
    </w:p>
    <w:p w14:paraId="06099714">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剂量算法</w:t>
      </w:r>
    </w:p>
    <w:p w14:paraId="351FA3D7">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对于包含</w:t>
      </w:r>
      <w:r>
        <w:rPr>
          <w:rFonts w:hint="eastAsia" w:ascii="Arial" w:hAnsi="Arial" w:eastAsia="宋体" w:cs="Arial"/>
          <w:szCs w:val="21"/>
        </w:rPr>
        <w:t>预期</w:t>
      </w:r>
      <w:r>
        <w:rPr>
          <w:rFonts w:ascii="Arial" w:hAnsi="Arial" w:eastAsia="宋体" w:cs="Arial"/>
          <w:szCs w:val="21"/>
        </w:rPr>
        <w:t>提供剂量建议算法的输液泵，我们建议贵公司在510（k）提交材料中包括以下信息：</w:t>
      </w:r>
    </w:p>
    <w:p w14:paraId="3F335AB9">
      <w:pPr>
        <w:pStyle w:val="19"/>
        <w:numPr>
          <w:ilvl w:val="0"/>
          <w:numId w:val="21"/>
        </w:numPr>
        <w:snapToGrid w:val="0"/>
        <w:spacing w:after="156" w:afterLines="50" w:line="300" w:lineRule="auto"/>
        <w:rPr>
          <w:rFonts w:ascii="Arial" w:hAnsi="Arial" w:eastAsia="宋体" w:cs="Arial"/>
          <w:szCs w:val="21"/>
        </w:rPr>
      </w:pPr>
      <w:r>
        <w:rPr>
          <w:rFonts w:ascii="Arial" w:hAnsi="Arial" w:eastAsia="宋体" w:cs="Arial"/>
          <w:szCs w:val="21"/>
        </w:rPr>
        <w:t>贵公司器械中使用的计量算法。</w:t>
      </w:r>
    </w:p>
    <w:p w14:paraId="1B2135B7">
      <w:pPr>
        <w:pStyle w:val="19"/>
        <w:numPr>
          <w:ilvl w:val="0"/>
          <w:numId w:val="21"/>
        </w:numPr>
        <w:snapToGrid w:val="0"/>
        <w:spacing w:after="156" w:afterLines="50" w:line="300" w:lineRule="auto"/>
        <w:rPr>
          <w:rFonts w:ascii="Arial" w:hAnsi="Arial" w:eastAsia="宋体" w:cs="Arial"/>
          <w:szCs w:val="21"/>
        </w:rPr>
      </w:pPr>
      <w:r>
        <w:rPr>
          <w:rFonts w:ascii="Arial" w:hAnsi="Arial" w:eastAsia="宋体" w:cs="Arial"/>
          <w:szCs w:val="21"/>
        </w:rPr>
        <w:t>对于每个确定的算法，应该以符号形式包含算法，定义每个算法中的所有参数，并确定最终用户可以修改</w:t>
      </w:r>
      <w:r>
        <w:rPr>
          <w:rFonts w:hint="eastAsia" w:ascii="Arial" w:hAnsi="Arial" w:eastAsia="宋体" w:cs="Arial"/>
          <w:szCs w:val="21"/>
        </w:rPr>
        <w:t>的</w:t>
      </w:r>
      <w:r>
        <w:rPr>
          <w:rFonts w:ascii="Arial" w:hAnsi="Arial" w:eastAsia="宋体" w:cs="Arial"/>
          <w:szCs w:val="21"/>
        </w:rPr>
        <w:t>参数。</w:t>
      </w:r>
    </w:p>
    <w:p w14:paraId="35C5B2A5">
      <w:pPr>
        <w:pStyle w:val="19"/>
        <w:numPr>
          <w:ilvl w:val="0"/>
          <w:numId w:val="21"/>
        </w:numPr>
        <w:snapToGrid w:val="0"/>
        <w:spacing w:after="156" w:afterLines="50" w:line="300" w:lineRule="auto"/>
        <w:rPr>
          <w:rFonts w:ascii="Arial" w:hAnsi="Arial" w:eastAsia="宋体" w:cs="Arial"/>
          <w:szCs w:val="21"/>
        </w:rPr>
      </w:pPr>
      <w:r>
        <w:rPr>
          <w:rFonts w:ascii="Arial" w:hAnsi="Arial" w:eastAsia="宋体" w:cs="Arial"/>
          <w:szCs w:val="21"/>
        </w:rPr>
        <w:t>对于每个确定的算法，贵公司应该包含为什么认为该算法适合于预期患者群体的临床数据或其他理由（例如，通过科学文献）。</w:t>
      </w:r>
    </w:p>
    <w:p w14:paraId="5D8FC51A">
      <w:pPr>
        <w:pStyle w:val="19"/>
        <w:numPr>
          <w:ilvl w:val="0"/>
          <w:numId w:val="21"/>
        </w:numPr>
        <w:snapToGrid w:val="0"/>
        <w:spacing w:after="156" w:afterLines="50" w:line="300" w:lineRule="auto"/>
        <w:rPr>
          <w:rFonts w:ascii="Arial" w:hAnsi="Arial" w:eastAsia="宋体" w:cs="Arial"/>
          <w:szCs w:val="21"/>
        </w:rPr>
      </w:pPr>
      <w:r>
        <w:rPr>
          <w:rFonts w:ascii="Arial" w:hAnsi="Arial" w:eastAsia="宋体" w:cs="Arial"/>
          <w:szCs w:val="21"/>
        </w:rPr>
        <w:t>每个算法都应在软件文档中进行验证和确认，显示剂量计算器进行的计算是正确的，并且此数据应包含在贵公司的提交材料中。</w:t>
      </w:r>
    </w:p>
    <w:p w14:paraId="4A0FFEE3">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机械安全</w:t>
      </w:r>
    </w:p>
    <w:p w14:paraId="17E155E0">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适用标准</w:t>
      </w:r>
    </w:p>
    <w:p w14:paraId="36903FFE">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我们建议贵公司的器械符合IEC 60601-1的机械安全标准。</w:t>
      </w:r>
    </w:p>
    <w:p w14:paraId="377B1EEF">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2E1D168D">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贵公司应该考虑可能施加在输液泵上的机械力来源，或者输液泵可能会施加在其他物体上导致危害</w:t>
      </w:r>
      <w:r>
        <w:rPr>
          <w:rFonts w:hint="eastAsia" w:ascii="Arial" w:hAnsi="Arial" w:eastAsia="宋体" w:cs="Arial"/>
          <w:szCs w:val="21"/>
        </w:rPr>
        <w:t>处境的</w:t>
      </w:r>
      <w:r>
        <w:rPr>
          <w:rFonts w:ascii="Arial" w:hAnsi="Arial" w:eastAsia="宋体" w:cs="Arial"/>
          <w:szCs w:val="21"/>
        </w:rPr>
        <w:t>机械力来源。贵公司提供的证据应表明机械危害的来源受到控制且控制措施是有效的。</w:t>
      </w:r>
    </w:p>
    <w:p w14:paraId="7318A730">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生物安全性</w:t>
      </w:r>
    </w:p>
    <w:p w14:paraId="78D5555C">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生物相容性</w:t>
      </w:r>
    </w:p>
    <w:p w14:paraId="78F6ADDE">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适用的FDA指南</w:t>
      </w:r>
    </w:p>
    <w:p w14:paraId="7839496C">
      <w:pPr>
        <w:pStyle w:val="19"/>
        <w:snapToGrid w:val="0"/>
        <w:spacing w:after="156" w:afterLines="50" w:line="300" w:lineRule="auto"/>
        <w:ind w:left="1140"/>
        <w:jc w:val="left"/>
        <w:rPr>
          <w:rFonts w:ascii="Arial" w:hAnsi="Arial" w:eastAsia="宋体" w:cs="Arial"/>
          <w:szCs w:val="21"/>
        </w:rPr>
      </w:pPr>
      <w:r>
        <w:rPr>
          <w:rFonts w:ascii="Arial" w:hAnsi="Arial" w:eastAsia="宋体" w:cs="Arial"/>
          <w:szCs w:val="21"/>
        </w:rPr>
        <w:t>有关生物相容性的信息，请参阅</w:t>
      </w:r>
      <w:r>
        <w:rPr>
          <w:rStyle w:val="12"/>
          <w:rFonts w:ascii="Arial" w:hAnsi="Arial" w:eastAsia="宋体" w:cs="Arial"/>
        </w:rPr>
        <w:t>使用</w:t>
      </w:r>
      <w:r>
        <w:rPr>
          <w:rStyle w:val="12"/>
          <w:rFonts w:hint="eastAsia" w:ascii="Arial" w:hAnsi="Arial" w:eastAsia="宋体" w:cs="Arial"/>
        </w:rPr>
        <w:t>国际标准</w:t>
      </w:r>
      <w:r>
        <w:rPr>
          <w:rStyle w:val="12"/>
          <w:rFonts w:ascii="Arial" w:hAnsi="Arial" w:eastAsia="宋体" w:cs="Arial"/>
        </w:rPr>
        <w:t>ISO-10993</w:t>
      </w:r>
      <w:r>
        <w:rPr>
          <w:rStyle w:val="12"/>
          <w:rFonts w:hint="eastAsia" w:ascii="Arial" w:hAnsi="Arial" w:eastAsia="宋体" w:cs="Arial"/>
        </w:rPr>
        <w:t>，医疗器械的生物学评估第</w:t>
      </w:r>
      <w:r>
        <w:rPr>
          <w:rStyle w:val="12"/>
          <w:rFonts w:ascii="Arial" w:hAnsi="Arial" w:eastAsia="宋体" w:cs="Arial"/>
        </w:rPr>
        <w:t>1</w:t>
      </w:r>
      <w:r>
        <w:rPr>
          <w:rStyle w:val="12"/>
          <w:rFonts w:hint="eastAsia" w:ascii="Arial" w:hAnsi="Arial" w:eastAsia="宋体" w:cs="Arial"/>
        </w:rPr>
        <w:t>部分：评估和测试（替换编号</w:t>
      </w:r>
      <w:r>
        <w:rPr>
          <w:rStyle w:val="12"/>
          <w:rFonts w:ascii="Arial" w:hAnsi="Arial" w:eastAsia="宋体" w:cs="Arial"/>
        </w:rPr>
        <w:t>G87-1</w:t>
      </w:r>
      <w:r>
        <w:rPr>
          <w:rStyle w:val="12"/>
          <w:rFonts w:hint="eastAsia" w:ascii="Arial" w:hAnsi="Arial" w:eastAsia="宋体" w:cs="Arial"/>
        </w:rPr>
        <w:t>编号</w:t>
      </w:r>
      <w:r>
        <w:rPr>
          <w:rStyle w:val="12"/>
          <w:rFonts w:ascii="Arial" w:hAnsi="Arial" w:eastAsia="宋体" w:cs="Arial"/>
        </w:rPr>
        <w:t>8294</w:t>
      </w:r>
      <w:r>
        <w:rPr>
          <w:rStyle w:val="12"/>
          <w:rFonts w:hint="eastAsia" w:ascii="Arial" w:hAnsi="Arial" w:eastAsia="宋体" w:cs="Arial"/>
        </w:rPr>
        <w:t>）（蓝皮书备忘录）</w:t>
      </w:r>
      <w:r>
        <w:rPr>
          <w:rStyle w:val="12"/>
          <w:rFonts w:hint="eastAsia" w:ascii="Arial" w:hAnsi="Arial" w:eastAsia="宋体" w:cs="Arial"/>
          <w:color w:val="auto"/>
          <w:u w:val="none"/>
        </w:rPr>
        <w:t>（</w:t>
      </w:r>
      <w:r>
        <w:rPr>
          <w:rStyle w:val="12"/>
          <w:rFonts w:ascii="Arial" w:hAnsi="Arial" w:eastAsia="宋体" w:cs="Arial"/>
        </w:rPr>
        <w:t>http://www.fda.gov/MedicalDevices/DeviceRegulationandGuidance/GuidanceDocuments/ucm080735.htm</w:t>
      </w:r>
      <w:r>
        <w:rPr>
          <w:rStyle w:val="12"/>
          <w:rFonts w:hint="eastAsia" w:ascii="Arial" w:hAnsi="Arial" w:eastAsia="宋体" w:cs="Arial"/>
          <w:color w:val="auto"/>
          <w:u w:val="none"/>
        </w:rPr>
        <w:t>）</w:t>
      </w:r>
      <w:r>
        <w:rPr>
          <w:rStyle w:val="13"/>
          <w:rFonts w:ascii="Arial" w:hAnsi="Arial" w:eastAsia="宋体" w:cs="Arial"/>
          <w:szCs w:val="21"/>
        </w:rPr>
        <w:footnoteReference w:id="11"/>
      </w:r>
      <w:r>
        <w:rPr>
          <w:rFonts w:ascii="Arial" w:hAnsi="Arial" w:eastAsia="宋体" w:cs="Arial"/>
          <w:szCs w:val="21"/>
        </w:rPr>
        <w:t>。</w:t>
      </w:r>
    </w:p>
    <w:p w14:paraId="4F24E507">
      <w:pPr>
        <w:widowControl/>
        <w:jc w:val="left"/>
        <w:rPr>
          <w:rFonts w:ascii="Arial" w:hAnsi="Arial" w:eastAsia="宋体" w:cs="Arial"/>
          <w:szCs w:val="21"/>
        </w:rPr>
      </w:pPr>
    </w:p>
    <w:p w14:paraId="07669EF4">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的输液泵可能是由已经在文献中被化学和物理学表征的材料制成，并且具有长期的安全使用历史。我们建议，如果贵公司不认为参考的生物相容性指导性文件或下面讨论的材料特性测试中提出的测试适用或适当，贵公司应该提供省略这些测试</w:t>
      </w:r>
      <w:r>
        <w:rPr>
          <w:rFonts w:hint="eastAsia" w:ascii="Arial" w:hAnsi="Arial" w:eastAsia="宋体" w:cs="Arial"/>
          <w:szCs w:val="21"/>
        </w:rPr>
        <w:t>的</w:t>
      </w:r>
      <w:r>
        <w:rPr>
          <w:rFonts w:ascii="Arial" w:hAnsi="Arial" w:eastAsia="宋体" w:cs="Arial"/>
          <w:szCs w:val="21"/>
        </w:rPr>
        <w:t>足够理由。在这种情况下，FDA建议在合法销售的</w:t>
      </w:r>
      <w:r>
        <w:rPr>
          <w:rFonts w:hint="eastAsia" w:ascii="Arial" w:hAnsi="Arial" w:eastAsia="宋体" w:cs="Arial"/>
          <w:szCs w:val="21"/>
        </w:rPr>
        <w:t>比较器械</w:t>
      </w:r>
      <w:r>
        <w:rPr>
          <w:rFonts w:ascii="Arial" w:hAnsi="Arial" w:eastAsia="宋体" w:cs="Arial"/>
          <w:szCs w:val="21"/>
        </w:rPr>
        <w:t>或具有可比较的患者暴露的合法销售器械中记录特定材料的使用情况，支持省略推荐的测试。</w:t>
      </w:r>
    </w:p>
    <w:p w14:paraId="3FA9521D">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为了根据与</w:t>
      </w:r>
      <w:r>
        <w:rPr>
          <w:rFonts w:hint="eastAsia" w:ascii="Arial" w:hAnsi="Arial" w:eastAsia="宋体" w:cs="Arial"/>
          <w:szCs w:val="21"/>
        </w:rPr>
        <w:t>比较器械</w:t>
      </w:r>
      <w:r>
        <w:rPr>
          <w:rFonts w:ascii="Arial" w:hAnsi="Arial" w:eastAsia="宋体" w:cs="Arial"/>
          <w:szCs w:val="21"/>
        </w:rPr>
        <w:t>的等价性进行生物安全性论证，贵公司应该证明管理的路线，施工/加工和后期制造</w:t>
      </w:r>
      <w:r>
        <w:rPr>
          <w:rFonts w:hint="eastAsia" w:ascii="Arial" w:hAnsi="Arial" w:eastAsia="宋体" w:cs="Arial"/>
          <w:szCs w:val="21"/>
        </w:rPr>
        <w:t>剩余</w:t>
      </w:r>
      <w:r>
        <w:rPr>
          <w:rFonts w:ascii="Arial" w:hAnsi="Arial" w:eastAsia="宋体" w:cs="Arial"/>
          <w:szCs w:val="21"/>
        </w:rPr>
        <w:t>的材料与用于类似预期用途和人群的参考</w:t>
      </w:r>
      <w:r>
        <w:rPr>
          <w:rFonts w:hint="eastAsia" w:ascii="Arial" w:hAnsi="Arial" w:eastAsia="宋体" w:cs="Arial"/>
          <w:szCs w:val="21"/>
        </w:rPr>
        <w:t>比较</w:t>
      </w:r>
      <w:r>
        <w:rPr>
          <w:rFonts w:ascii="Arial" w:hAnsi="Arial" w:eastAsia="宋体" w:cs="Arial"/>
          <w:szCs w:val="21"/>
        </w:rPr>
        <w:t>器械相同。</w:t>
      </w:r>
    </w:p>
    <w:p w14:paraId="7686C714">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226835F3">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输液泵包括与患者或用户接触的组件。贵公司应该评估与患者或用户直接或间接接触的组件中材料的生物相容性，并在510（k）提交材料中报告结果。</w:t>
      </w:r>
    </w:p>
    <w:p w14:paraId="2F01A3E1">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贵公司应该对最终</w:t>
      </w:r>
      <w:r>
        <w:rPr>
          <w:rFonts w:hint="eastAsia" w:ascii="Arial" w:hAnsi="Arial" w:eastAsia="宋体" w:cs="Arial"/>
          <w:szCs w:val="21"/>
        </w:rPr>
        <w:t>的</w:t>
      </w:r>
      <w:r>
        <w:rPr>
          <w:rFonts w:ascii="Arial" w:hAnsi="Arial" w:eastAsia="宋体" w:cs="Arial"/>
          <w:szCs w:val="21"/>
        </w:rPr>
        <w:t>成品液体接触器械组件提供化学和颗粒</w:t>
      </w:r>
      <w:r>
        <w:rPr>
          <w:rFonts w:hint="eastAsia" w:ascii="Arial" w:hAnsi="Arial" w:eastAsia="宋体" w:cs="Arial"/>
          <w:szCs w:val="21"/>
        </w:rPr>
        <w:t>表征</w:t>
      </w:r>
      <w:r>
        <w:rPr>
          <w:rFonts w:ascii="Arial" w:hAnsi="Arial" w:eastAsia="宋体" w:cs="Arial"/>
          <w:szCs w:val="21"/>
        </w:rPr>
        <w:t>，证明与器械相关的残留物的危害风险相当低。对于评估，我们建议如下：</w:t>
      </w:r>
    </w:p>
    <w:p w14:paraId="58F95D8D">
      <w:pPr>
        <w:pStyle w:val="19"/>
        <w:numPr>
          <w:ilvl w:val="0"/>
          <w:numId w:val="22"/>
        </w:numPr>
        <w:snapToGrid w:val="0"/>
        <w:spacing w:after="156" w:afterLines="50" w:line="300" w:lineRule="auto"/>
        <w:ind w:left="1778" w:hanging="294"/>
        <w:rPr>
          <w:rFonts w:ascii="Arial" w:hAnsi="Arial" w:eastAsia="宋体" w:cs="Arial"/>
          <w:szCs w:val="21"/>
        </w:rPr>
      </w:pPr>
      <w:r>
        <w:rPr>
          <w:rFonts w:ascii="Arial" w:hAnsi="Arial" w:eastAsia="宋体" w:cs="Arial"/>
          <w:szCs w:val="21"/>
        </w:rPr>
        <w:t>对于与器械相关的化学残留特征，因为不可能使用与液体接触泵表面相互作用的所有液体</w:t>
      </w:r>
      <w:r>
        <w:rPr>
          <w:rFonts w:hint="eastAsia" w:ascii="Arial" w:hAnsi="Arial" w:eastAsia="宋体" w:cs="Arial"/>
          <w:szCs w:val="21"/>
        </w:rPr>
        <w:t>，</w:t>
      </w:r>
      <w:r>
        <w:rPr>
          <w:rFonts w:ascii="Arial" w:hAnsi="Arial" w:eastAsia="宋体" w:cs="Arial"/>
          <w:szCs w:val="21"/>
        </w:rPr>
        <w:t>机构建议根据样品制备的极性谱，使用代表性溶剂进行浸出物和可萃取物（L&amp;E）研究。L&amp;E研究的样品制备应基于最坏情况，即极限提取条件。建议使用适用的参考化学品库来定性和定量评估器械相关残留物。详细</w:t>
      </w:r>
      <w:r>
        <w:rPr>
          <w:rFonts w:hint="eastAsia" w:ascii="Arial" w:hAnsi="Arial" w:eastAsia="宋体" w:cs="Arial"/>
          <w:szCs w:val="21"/>
        </w:rPr>
        <w:t>的</w:t>
      </w:r>
      <w:r>
        <w:rPr>
          <w:rFonts w:ascii="Arial" w:hAnsi="Arial" w:eastAsia="宋体" w:cs="Arial"/>
          <w:szCs w:val="21"/>
        </w:rPr>
        <w:t>研究报告</w:t>
      </w:r>
      <w:r>
        <w:rPr>
          <w:rFonts w:hint="eastAsia" w:ascii="Arial" w:hAnsi="Arial" w:eastAsia="宋体" w:cs="Arial"/>
          <w:szCs w:val="21"/>
        </w:rPr>
        <w:t>表明了</w:t>
      </w:r>
      <w:r>
        <w:rPr>
          <w:rFonts w:ascii="Arial" w:hAnsi="Arial" w:eastAsia="宋体" w:cs="Arial"/>
          <w:szCs w:val="21"/>
        </w:rPr>
        <w:t>样品制备、分析方法、化学特性中使用的特定溶剂和提取条件的理由以及定量提取分布</w:t>
      </w:r>
      <w:r>
        <w:rPr>
          <w:rFonts w:hint="eastAsia" w:ascii="Arial" w:hAnsi="Arial" w:eastAsia="宋体" w:cs="Arial"/>
          <w:szCs w:val="21"/>
        </w:rPr>
        <w:t>，</w:t>
      </w:r>
      <w:r>
        <w:rPr>
          <w:rFonts w:ascii="Arial" w:hAnsi="Arial" w:eastAsia="宋体" w:cs="Arial"/>
          <w:szCs w:val="21"/>
        </w:rPr>
        <w:t>建议用于评估器械相关化学残留。对于L&amp;E研究，我们建议贵公司考虑ISO 10993-18医疗器械的生物学评估-第18部分：材料的</w:t>
      </w:r>
      <w:bookmarkStart w:id="41" w:name="OLE_LINK38"/>
      <w:bookmarkStart w:id="42" w:name="OLE_LINK39"/>
      <w:r>
        <w:rPr>
          <w:rFonts w:ascii="Arial" w:hAnsi="Arial" w:eastAsia="宋体" w:cs="Arial"/>
          <w:szCs w:val="21"/>
        </w:rPr>
        <w:t>化学</w:t>
      </w:r>
      <w:bookmarkEnd w:id="41"/>
      <w:bookmarkEnd w:id="42"/>
      <w:r>
        <w:rPr>
          <w:rFonts w:ascii="Arial" w:hAnsi="Arial" w:eastAsia="宋体" w:cs="Arial"/>
          <w:szCs w:val="21"/>
        </w:rPr>
        <w:t>特性，2005版。</w:t>
      </w:r>
    </w:p>
    <w:p w14:paraId="5FC92F64">
      <w:pPr>
        <w:pStyle w:val="19"/>
        <w:numPr>
          <w:ilvl w:val="0"/>
          <w:numId w:val="22"/>
        </w:numPr>
        <w:snapToGrid w:val="0"/>
        <w:spacing w:after="156" w:afterLines="50" w:line="300" w:lineRule="auto"/>
        <w:ind w:left="1778" w:hanging="294"/>
        <w:rPr>
          <w:rFonts w:ascii="Arial" w:hAnsi="Arial" w:eastAsia="宋体" w:cs="Arial"/>
          <w:szCs w:val="21"/>
        </w:rPr>
      </w:pPr>
      <w:r>
        <w:rPr>
          <w:rFonts w:ascii="Arial" w:hAnsi="Arial" w:eastAsia="宋体" w:cs="Arial"/>
          <w:szCs w:val="21"/>
        </w:rPr>
        <w:t>对于与器械相关的颗粒物评估，贵公司应该遵循目前的USP &lt;788&gt;注射剂中的颗粒物质。FDA认为USP &lt;788&gt;仅限于微米颗粒的评估。</w:t>
      </w:r>
    </w:p>
    <w:p w14:paraId="0FFF691D">
      <w:pPr>
        <w:widowControl/>
        <w:jc w:val="left"/>
        <w:rPr>
          <w:rFonts w:ascii="Arial" w:hAnsi="Arial" w:eastAsia="宋体" w:cs="Arial"/>
          <w:szCs w:val="21"/>
        </w:rPr>
      </w:pPr>
      <w:r>
        <w:rPr>
          <w:rFonts w:ascii="Arial" w:hAnsi="Arial" w:eastAsia="宋体" w:cs="Arial"/>
          <w:szCs w:val="21"/>
        </w:rPr>
        <w:br w:type="page"/>
      </w:r>
    </w:p>
    <w:p w14:paraId="42B3395F">
      <w:pPr>
        <w:pStyle w:val="19"/>
        <w:numPr>
          <w:ilvl w:val="0"/>
          <w:numId w:val="22"/>
        </w:numPr>
        <w:snapToGrid w:val="0"/>
        <w:spacing w:after="156" w:afterLines="50" w:line="300" w:lineRule="auto"/>
        <w:ind w:left="1778" w:hanging="294"/>
        <w:rPr>
          <w:rFonts w:ascii="Arial" w:hAnsi="Arial" w:eastAsia="宋体" w:cs="Arial"/>
          <w:szCs w:val="21"/>
        </w:rPr>
      </w:pPr>
      <w:r>
        <w:rPr>
          <w:rFonts w:hint="eastAsia" w:ascii="Arial" w:hAnsi="Arial" w:eastAsia="宋体" w:cs="Arial"/>
          <w:szCs w:val="21"/>
        </w:rPr>
        <w:t>仅仅有</w:t>
      </w:r>
      <w:r>
        <w:rPr>
          <w:rFonts w:ascii="Arial" w:hAnsi="Arial" w:eastAsia="宋体" w:cs="Arial"/>
          <w:szCs w:val="21"/>
        </w:rPr>
        <w:t>与器械相关的残留特性可能无法提供与器械相关残留物的危害风险的适当信息。机构建议</w:t>
      </w:r>
      <w:r>
        <w:rPr>
          <w:rFonts w:hint="eastAsia" w:ascii="Arial" w:hAnsi="Arial" w:eastAsia="宋体" w:cs="Arial"/>
          <w:szCs w:val="21"/>
        </w:rPr>
        <w:t>，</w:t>
      </w:r>
      <w:r>
        <w:rPr>
          <w:rFonts w:ascii="Arial" w:hAnsi="Arial" w:eastAsia="宋体" w:cs="Arial"/>
          <w:szCs w:val="21"/>
        </w:rPr>
        <w:t>根据接触途径</w:t>
      </w:r>
      <w:r>
        <w:rPr>
          <w:rFonts w:hint="eastAsia" w:ascii="Arial" w:hAnsi="Arial" w:eastAsia="宋体" w:cs="Arial"/>
          <w:szCs w:val="21"/>
        </w:rPr>
        <w:t>、</w:t>
      </w:r>
      <w:r>
        <w:rPr>
          <w:rFonts w:ascii="Arial" w:hAnsi="Arial" w:eastAsia="宋体" w:cs="Arial"/>
          <w:szCs w:val="21"/>
        </w:rPr>
        <w:t>毒素动力学和毒效动力学以及允许限度</w:t>
      </w:r>
      <w:r>
        <w:rPr>
          <w:rFonts w:hint="eastAsia" w:ascii="Arial" w:hAnsi="Arial" w:eastAsia="宋体" w:cs="Arial"/>
          <w:szCs w:val="21"/>
        </w:rPr>
        <w:t>，在</w:t>
      </w:r>
      <w:r>
        <w:rPr>
          <w:rFonts w:ascii="Arial" w:hAnsi="Arial" w:eastAsia="宋体" w:cs="Arial"/>
          <w:szCs w:val="21"/>
        </w:rPr>
        <w:t>适用新器械的预期人群</w:t>
      </w:r>
      <w:r>
        <w:rPr>
          <w:rFonts w:hint="eastAsia" w:ascii="Arial" w:hAnsi="Arial" w:eastAsia="宋体" w:cs="Arial"/>
          <w:szCs w:val="21"/>
        </w:rPr>
        <w:t>中</w:t>
      </w:r>
      <w:r>
        <w:rPr>
          <w:rFonts w:ascii="Arial" w:hAnsi="Arial" w:eastAsia="宋体" w:cs="Arial"/>
          <w:szCs w:val="21"/>
        </w:rPr>
        <w:t>进行器械</w:t>
      </w:r>
      <w:r>
        <w:rPr>
          <w:rFonts w:hint="eastAsia" w:ascii="Arial" w:hAnsi="Arial" w:eastAsia="宋体" w:cs="Arial"/>
          <w:szCs w:val="21"/>
        </w:rPr>
        <w:t>相关</w:t>
      </w:r>
      <w:r>
        <w:rPr>
          <w:rFonts w:ascii="Arial" w:hAnsi="Arial" w:eastAsia="宋体" w:cs="Arial"/>
          <w:szCs w:val="21"/>
        </w:rPr>
        <w:t>残留物的全面风险评估。</w:t>
      </w:r>
    </w:p>
    <w:p w14:paraId="50D20E84">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灭菌</w:t>
      </w:r>
    </w:p>
    <w:p w14:paraId="7F98A4A4">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适用的FDA指南</w:t>
      </w:r>
    </w:p>
    <w:p w14:paraId="7D8A50FA">
      <w:pPr>
        <w:pStyle w:val="19"/>
        <w:snapToGrid w:val="0"/>
        <w:spacing w:after="156" w:afterLines="50" w:line="300" w:lineRule="auto"/>
        <w:ind w:left="1140"/>
        <w:jc w:val="left"/>
        <w:rPr>
          <w:rFonts w:ascii="Arial" w:hAnsi="Arial" w:eastAsia="宋体" w:cs="Arial"/>
          <w:szCs w:val="21"/>
        </w:rPr>
      </w:pPr>
      <w:r>
        <w:rPr>
          <w:rFonts w:ascii="Arial" w:hAnsi="Arial" w:eastAsia="宋体" w:cs="Arial"/>
          <w:szCs w:val="21"/>
        </w:rPr>
        <w:t>贵公司应该提供FDA推荐的适当文件</w:t>
      </w:r>
      <w:r>
        <w:rPr>
          <w:rFonts w:hint="eastAsia" w:ascii="Arial" w:hAnsi="Arial" w:eastAsia="宋体" w:cs="Arial"/>
          <w:szCs w:val="21"/>
        </w:rPr>
        <w:t>，</w:t>
      </w:r>
      <w:r>
        <w:rPr>
          <w:rStyle w:val="12"/>
          <w:rFonts w:ascii="Arial" w:hAnsi="Arial" w:eastAsia="宋体" w:cs="Arial"/>
        </w:rPr>
        <w:t>更新510（k）无菌审查指南</w:t>
      </w:r>
      <w:r>
        <w:rPr>
          <w:rFonts w:ascii="Arial" w:hAnsi="Arial" w:eastAsia="宋体" w:cs="Arial"/>
          <w:szCs w:val="21"/>
        </w:rPr>
        <w:t>K90-1。（</w:t>
      </w:r>
      <w:r>
        <w:fldChar w:fldCharType="begin"/>
      </w:r>
      <w:r>
        <w:instrText xml:space="preserve"> HYPERLINK "http://www.fda.gov/MedicalDevices/DeviceRegulationandGuidance/GuidanceDocuments/ucm072783.htm" </w:instrText>
      </w:r>
      <w:r>
        <w:fldChar w:fldCharType="separate"/>
      </w:r>
      <w:r>
        <w:rPr>
          <w:rStyle w:val="12"/>
          <w:rFonts w:ascii="Arial" w:hAnsi="Arial" w:eastAsia="宋体" w:cs="Arial"/>
          <w:szCs w:val="21"/>
        </w:rPr>
        <w:t>http://www.fda.gov/MedicalDevices/DeviceRegulationandGuidance/GuidanceDocuments/ucm072783.htm</w:t>
      </w:r>
      <w:r>
        <w:rPr>
          <w:rStyle w:val="12"/>
          <w:rFonts w:ascii="Arial" w:hAnsi="Arial" w:eastAsia="宋体" w:cs="Arial"/>
          <w:szCs w:val="21"/>
        </w:rPr>
        <w:fldChar w:fldCharType="end"/>
      </w:r>
      <w:r>
        <w:rPr>
          <w:rFonts w:ascii="Arial" w:hAnsi="Arial" w:eastAsia="宋体" w:cs="Arial"/>
          <w:szCs w:val="21"/>
        </w:rPr>
        <w:t>）。</w:t>
      </w:r>
    </w:p>
    <w:p w14:paraId="09B039CE">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重复使用</w:t>
      </w:r>
    </w:p>
    <w:p w14:paraId="3F3E5F31">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用于多名患者重复使用的输液泵和附件应在该器械标签中包括清洁和消毒器械的说明。此外，在适当的情况下，请考虑在贵公司提交材料</w:t>
      </w:r>
      <w:r>
        <w:rPr>
          <w:rFonts w:hint="eastAsia" w:ascii="Arial" w:hAnsi="Arial" w:eastAsia="宋体" w:cs="Arial"/>
          <w:szCs w:val="21"/>
        </w:rPr>
        <w:t>和标签中明确</w:t>
      </w:r>
      <w:r>
        <w:rPr>
          <w:rFonts w:ascii="Arial" w:hAnsi="Arial" w:eastAsia="宋体" w:cs="Arial"/>
          <w:szCs w:val="21"/>
        </w:rPr>
        <w:t>器械可以重复使用的次数，并附上支持性信息（参见下面的</w:t>
      </w:r>
      <w:r>
        <w:rPr>
          <w:rFonts w:ascii="Arial" w:hAnsi="Arial" w:eastAsia="宋体" w:cs="Arial"/>
          <w:b/>
          <w:szCs w:val="21"/>
        </w:rPr>
        <w:t>货架寿命</w:t>
      </w:r>
      <w:r>
        <w:rPr>
          <w:rFonts w:ascii="Arial" w:hAnsi="Arial" w:eastAsia="宋体" w:cs="Arial"/>
          <w:szCs w:val="21"/>
        </w:rPr>
        <w:t>）。</w:t>
      </w:r>
    </w:p>
    <w:p w14:paraId="2656A49C">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如果标签中建议对器械进行清洁或高级别消毒，则应提供验证以证明这种清洁或高级别消毒程序是足够的。贵公司还应该证明，在清洁或高级别消毒后，器械将按照预期继续执行。</w:t>
      </w:r>
    </w:p>
    <w:p w14:paraId="6CAE2612">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许多输液泵在家庭环境中使用。如果贵公司的泵用于家庭使用，则应在标签中</w:t>
      </w:r>
      <w:r>
        <w:rPr>
          <w:rFonts w:hint="eastAsia" w:ascii="Arial" w:hAnsi="Arial" w:eastAsia="宋体" w:cs="Arial"/>
          <w:szCs w:val="21"/>
        </w:rPr>
        <w:t>明确</w:t>
      </w:r>
      <w:r>
        <w:rPr>
          <w:rFonts w:ascii="Arial" w:hAnsi="Arial" w:eastAsia="宋体" w:cs="Arial"/>
          <w:szCs w:val="21"/>
        </w:rPr>
        <w:t>一般家庭用户用于清洁器械随时可用的清洁剂/产品类型。贵公司的提交材料中应提供这些程序的</w:t>
      </w:r>
      <w:r>
        <w:rPr>
          <w:rFonts w:hint="eastAsia" w:ascii="Arial" w:hAnsi="Arial" w:eastAsia="宋体" w:cs="Arial"/>
          <w:szCs w:val="21"/>
        </w:rPr>
        <w:t>确认</w:t>
      </w:r>
      <w:r>
        <w:rPr>
          <w:rFonts w:ascii="Arial" w:hAnsi="Arial" w:eastAsia="宋体" w:cs="Arial"/>
          <w:szCs w:val="21"/>
        </w:rPr>
        <w:t>。</w:t>
      </w:r>
    </w:p>
    <w:p w14:paraId="1B3B545D">
      <w:pPr>
        <w:pStyle w:val="19"/>
        <w:snapToGrid w:val="0"/>
        <w:spacing w:line="300" w:lineRule="auto"/>
        <w:ind w:left="1140"/>
        <w:rPr>
          <w:rStyle w:val="12"/>
          <w:rFonts w:ascii="Arial" w:hAnsi="Arial" w:eastAsia="宋体" w:cs="Arial"/>
        </w:rPr>
      </w:pPr>
      <w:r>
        <w:rPr>
          <w:rFonts w:ascii="Arial" w:hAnsi="Arial" w:eastAsia="宋体" w:cs="Arial"/>
          <w:szCs w:val="21"/>
        </w:rPr>
        <w:t>为了证明贵公司器械在清洁或消毒后符合性能质量标准，贵公司应该提供按照标签在适当</w:t>
      </w:r>
      <w:r>
        <w:rPr>
          <w:rFonts w:hint="eastAsia" w:ascii="Arial" w:hAnsi="Arial" w:eastAsia="宋体" w:cs="Arial"/>
          <w:szCs w:val="21"/>
        </w:rPr>
        <w:t>次数的</w:t>
      </w:r>
      <w:r>
        <w:rPr>
          <w:rFonts w:ascii="Arial" w:hAnsi="Arial" w:eastAsia="宋体" w:cs="Arial"/>
          <w:szCs w:val="21"/>
        </w:rPr>
        <w:t>清洁或消毒循环前后</w:t>
      </w:r>
      <w:r>
        <w:rPr>
          <w:rFonts w:hint="eastAsia" w:ascii="Arial" w:hAnsi="Arial" w:eastAsia="宋体" w:cs="Arial"/>
          <w:szCs w:val="21"/>
        </w:rPr>
        <w:t>的台架</w:t>
      </w:r>
      <w:r>
        <w:rPr>
          <w:rFonts w:ascii="Arial" w:hAnsi="Arial" w:eastAsia="宋体" w:cs="Arial"/>
          <w:szCs w:val="21"/>
        </w:rPr>
        <w:t>数据。FDA已经</w:t>
      </w:r>
      <w:r>
        <w:rPr>
          <w:rFonts w:hint="eastAsia" w:ascii="Arial" w:hAnsi="Arial" w:eastAsia="宋体" w:cs="Arial"/>
          <w:szCs w:val="21"/>
        </w:rPr>
        <w:t>制定</w:t>
      </w:r>
      <w:r>
        <w:rPr>
          <w:rFonts w:ascii="Arial" w:hAnsi="Arial" w:eastAsia="宋体" w:cs="Arial"/>
          <w:szCs w:val="21"/>
        </w:rPr>
        <w:t>了指导草案，讨论使用清洁或消毒方法</w:t>
      </w:r>
      <w:r>
        <w:rPr>
          <w:rFonts w:hint="eastAsia" w:ascii="Arial" w:hAnsi="Arial" w:eastAsia="宋体" w:cs="Arial"/>
          <w:szCs w:val="21"/>
        </w:rPr>
        <w:t>的贴标</w:t>
      </w:r>
      <w:r>
        <w:rPr>
          <w:rFonts w:ascii="Arial" w:hAnsi="Arial" w:eastAsia="宋体" w:cs="Arial"/>
          <w:szCs w:val="21"/>
        </w:rPr>
        <w:t>器械，</w:t>
      </w:r>
      <w:r>
        <w:rPr>
          <w:rStyle w:val="12"/>
          <w:rFonts w:hint="eastAsia" w:ascii="Arial" w:hAnsi="Arial" w:eastAsia="宋体" w:cs="Arial"/>
        </w:rPr>
        <w:t>在医疗机构中处理</w:t>
      </w:r>
      <w:r>
        <w:rPr>
          <w:rStyle w:val="12"/>
          <w:rFonts w:ascii="Arial" w:hAnsi="Arial" w:eastAsia="宋体" w:cs="Arial"/>
        </w:rPr>
        <w:t>/</w:t>
      </w:r>
      <w:r>
        <w:rPr>
          <w:rStyle w:val="12"/>
          <w:rFonts w:hint="eastAsia" w:ascii="Arial" w:hAnsi="Arial" w:eastAsia="宋体" w:cs="Arial"/>
        </w:rPr>
        <w:t>再处理医疗器械：验证方法和标签</w:t>
      </w:r>
    </w:p>
    <w:p w14:paraId="771B2A20">
      <w:pPr>
        <w:pStyle w:val="19"/>
        <w:snapToGrid w:val="0"/>
        <w:spacing w:line="300" w:lineRule="auto"/>
        <w:ind w:left="1140"/>
        <w:rPr>
          <w:rFonts w:ascii="Arial" w:hAnsi="Arial" w:eastAsia="宋体" w:cs="Arial"/>
          <w:szCs w:val="21"/>
        </w:rPr>
      </w:pPr>
      <w:r>
        <w:rPr>
          <w:rStyle w:val="12"/>
          <w:rFonts w:ascii="Arial" w:hAnsi="Arial" w:eastAsia="宋体" w:cs="Arial"/>
        </w:rPr>
        <w:t>（http://www.fda.gov/MedicalDevices/DeviceRegulationandGuidance/GuidanceDocuments/ucm253010.htm）</w:t>
      </w:r>
      <w:r>
        <w:rPr>
          <w:rFonts w:ascii="Arial" w:hAnsi="Arial" w:eastAsia="宋体" w:cs="Arial"/>
          <w:szCs w:val="21"/>
        </w:rPr>
        <w:t>。最终确定后，</w:t>
      </w:r>
      <w:r>
        <w:rPr>
          <w:rFonts w:hint="eastAsia" w:ascii="Arial" w:hAnsi="Arial" w:eastAsia="宋体" w:cs="Arial"/>
          <w:szCs w:val="21"/>
        </w:rPr>
        <w:t>本指南代表FDA对此主题的最新见解。</w:t>
      </w:r>
    </w:p>
    <w:p w14:paraId="1DFE6A33">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货架寿命</w:t>
      </w:r>
    </w:p>
    <w:p w14:paraId="3BF22730">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如果贵公司特定输液泵含有可能会随时间降解的无菌成分或材料，我们建议贵公司在包装上加入货架寿命。</w:t>
      </w:r>
    </w:p>
    <w:p w14:paraId="243309F5">
      <w:pPr>
        <w:pStyle w:val="19"/>
        <w:snapToGrid w:val="0"/>
        <w:spacing w:after="156" w:afterLines="50" w:line="300" w:lineRule="auto"/>
        <w:ind w:left="1140"/>
        <w:jc w:val="left"/>
        <w:rPr>
          <w:rFonts w:ascii="Arial" w:hAnsi="Arial" w:eastAsia="宋体" w:cs="Arial"/>
          <w:szCs w:val="21"/>
        </w:rPr>
      </w:pPr>
      <w:r>
        <w:rPr>
          <w:rFonts w:ascii="Arial" w:hAnsi="Arial" w:eastAsia="宋体" w:cs="Arial"/>
          <w:szCs w:val="21"/>
        </w:rPr>
        <w:t>我们建议贵公司提供数据证明贵公司特定输液泵的无菌性和性能在任何指定的货架寿命内均可维持。如果使用加速测试方法，则应提供验证测试方法是否准确模拟器械实时状况的信息。有关其他信息，请参阅FDA的指南</w:t>
      </w:r>
      <w:r>
        <w:rPr>
          <w:rStyle w:val="12"/>
          <w:rFonts w:hint="eastAsia" w:ascii="Arial" w:hAnsi="Arial" w:eastAsia="宋体" w:cs="Arial"/>
        </w:rPr>
        <w:t>医疗器械的货架寿命</w:t>
      </w:r>
      <w:r>
        <w:rPr>
          <w:rFonts w:ascii="Arial" w:hAnsi="Arial" w:eastAsia="宋体" w:cs="Arial"/>
          <w:szCs w:val="21"/>
        </w:rPr>
        <w:t>（</w:t>
      </w:r>
      <w:r>
        <w:fldChar w:fldCharType="begin"/>
      </w:r>
      <w:r>
        <w:instrText xml:space="preserve"> HYPERLINK "http://www.fda.gov/downloads/MedicalDevices/DeviceRegulationandGuidance/GuidanceDocuments/UCM081366.pdf" </w:instrText>
      </w:r>
      <w:r>
        <w:fldChar w:fldCharType="separate"/>
      </w:r>
      <w:r>
        <w:rPr>
          <w:rStyle w:val="12"/>
          <w:rFonts w:ascii="Arial" w:hAnsi="Arial" w:eastAsia="宋体" w:cs="Arial"/>
          <w:szCs w:val="21"/>
        </w:rPr>
        <w:t>http://www.fda.gov/downloads/MedicalDevices/DeviceRegulationandGuidance/GuidanceDocuments/UCM081366.pdf</w:t>
      </w:r>
      <w:r>
        <w:rPr>
          <w:rStyle w:val="12"/>
          <w:rFonts w:ascii="Arial" w:hAnsi="Arial" w:eastAsia="宋体" w:cs="Arial"/>
          <w:szCs w:val="21"/>
        </w:rPr>
        <w:fldChar w:fldCharType="end"/>
      </w:r>
      <w:r>
        <w:rPr>
          <w:rFonts w:ascii="Arial" w:hAnsi="Arial" w:eastAsia="宋体" w:cs="Arial"/>
          <w:szCs w:val="21"/>
        </w:rPr>
        <w:t>）。</w:t>
      </w:r>
    </w:p>
    <w:p w14:paraId="690DBB42">
      <w:pPr>
        <w:widowControl/>
        <w:jc w:val="left"/>
        <w:rPr>
          <w:rFonts w:ascii="Arial" w:hAnsi="Arial" w:eastAsia="宋体" w:cs="Arial"/>
          <w:b/>
          <w:szCs w:val="21"/>
        </w:rPr>
      </w:pPr>
      <w:r>
        <w:rPr>
          <w:rFonts w:ascii="Arial" w:hAnsi="Arial" w:eastAsia="宋体" w:cs="Arial"/>
          <w:b/>
          <w:szCs w:val="21"/>
        </w:rPr>
        <w:br w:type="page"/>
      </w:r>
    </w:p>
    <w:p w14:paraId="6FDAFFB0">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药物/生物制品的稳定性和相容性</w:t>
      </w:r>
    </w:p>
    <w:p w14:paraId="04E30530">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如果贵公司的输液泵用于</w:t>
      </w:r>
      <w:r>
        <w:rPr>
          <w:rFonts w:hint="eastAsia" w:ascii="Arial" w:hAnsi="Arial" w:eastAsia="宋体" w:cs="Arial"/>
          <w:szCs w:val="21"/>
        </w:rPr>
        <w:t>输送</w:t>
      </w:r>
      <w:r>
        <w:rPr>
          <w:rFonts w:ascii="Arial" w:hAnsi="Arial" w:eastAsia="宋体" w:cs="Arial"/>
          <w:szCs w:val="21"/>
        </w:rPr>
        <w:t>特定类型的药物或生物制品，贵公司应该验证和确认输液泵系统不会对输送的药物或生物制品产生不利影响，并且这些产品不会对贵公司的输液泵系统产生不利影响</w:t>
      </w:r>
      <w:r>
        <w:rPr>
          <w:rStyle w:val="13"/>
          <w:rFonts w:ascii="Arial" w:hAnsi="Arial" w:eastAsia="宋体" w:cs="Arial"/>
          <w:szCs w:val="21"/>
        </w:rPr>
        <w:footnoteReference w:id="12"/>
      </w:r>
      <w:r>
        <w:rPr>
          <w:rFonts w:ascii="Arial" w:hAnsi="Arial" w:eastAsia="宋体" w:cs="Arial"/>
          <w:szCs w:val="21"/>
        </w:rPr>
        <w:t>。</w:t>
      </w:r>
    </w:p>
    <w:p w14:paraId="63C18385">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如本文件的标签建议中所述，贵公司应该确定与器械一起使用所评估的特定药物或生物制品。</w:t>
      </w:r>
    </w:p>
    <w:p w14:paraId="3203961B">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使用安全性</w:t>
      </w:r>
    </w:p>
    <w:p w14:paraId="2559D528">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适用的FDA指南和标准</w:t>
      </w:r>
    </w:p>
    <w:p w14:paraId="61E1537C">
      <w:pPr>
        <w:pStyle w:val="19"/>
        <w:snapToGrid w:val="0"/>
        <w:spacing w:line="300" w:lineRule="auto"/>
        <w:ind w:left="1140"/>
        <w:rPr>
          <w:rStyle w:val="12"/>
          <w:rFonts w:ascii="Arial" w:hAnsi="Arial" w:eastAsia="宋体" w:cs="Arial"/>
        </w:rPr>
      </w:pPr>
      <w:r>
        <w:rPr>
          <w:rFonts w:ascii="Arial" w:hAnsi="Arial" w:eastAsia="宋体" w:cs="Arial"/>
          <w:szCs w:val="21"/>
        </w:rPr>
        <w:t>有关使用安全性的更多信息，请参阅FDA的</w:t>
      </w:r>
      <w:r>
        <w:rPr>
          <w:rFonts w:hint="eastAsia" w:ascii="Arial" w:hAnsi="Arial" w:eastAsia="宋体" w:cs="Arial"/>
          <w:szCs w:val="21"/>
        </w:rPr>
        <w:t>指南</w:t>
      </w:r>
      <w:r>
        <w:rPr>
          <w:rFonts w:ascii="Arial" w:hAnsi="Arial" w:eastAsia="宋体" w:cs="Arial"/>
          <w:szCs w:val="21"/>
        </w:rPr>
        <w:t>，</w:t>
      </w:r>
      <w:r>
        <w:rPr>
          <w:rStyle w:val="12"/>
          <w:rFonts w:hint="eastAsia" w:ascii="Arial" w:hAnsi="Arial" w:eastAsia="宋体" w:cs="Arial"/>
        </w:rPr>
        <w:t>家庭用医疗器械的设计注意事项</w:t>
      </w:r>
    </w:p>
    <w:p w14:paraId="10B71CF9">
      <w:pPr>
        <w:pStyle w:val="19"/>
        <w:snapToGrid w:val="0"/>
        <w:spacing w:line="300" w:lineRule="auto"/>
        <w:ind w:left="1140"/>
        <w:rPr>
          <w:rFonts w:ascii="Arial" w:hAnsi="Arial" w:eastAsia="宋体" w:cs="Arial"/>
          <w:szCs w:val="21"/>
        </w:rPr>
      </w:pPr>
      <w:r>
        <w:rPr>
          <w:rFonts w:ascii="Arial" w:hAnsi="Arial" w:eastAsia="宋体" w:cs="Arial"/>
          <w:szCs w:val="21"/>
        </w:rPr>
        <w:t>（</w:t>
      </w:r>
      <w:r>
        <w:fldChar w:fldCharType="begin"/>
      </w:r>
      <w:r>
        <w:instrText xml:space="preserve"> HYPERLINK "http://www.fda.gov/downloads/MedicalDevices/DeviceRegulationandGuidance/GuidanceDocuments/UCM331681.pdf" </w:instrText>
      </w:r>
      <w:r>
        <w:fldChar w:fldCharType="separate"/>
      </w:r>
      <w:r>
        <w:rPr>
          <w:rStyle w:val="12"/>
          <w:rFonts w:ascii="Arial" w:hAnsi="Arial" w:eastAsia="宋体" w:cs="Arial"/>
          <w:color w:val="auto"/>
          <w:szCs w:val="21"/>
          <w:u w:val="none"/>
        </w:rPr>
        <w:t>http://www.fda.gov/downloads/MedicalDevices/DeviceRegulationandGuidance/GuidanceDocuments/UCM331681.pdf</w:t>
      </w:r>
      <w:r>
        <w:rPr>
          <w:rStyle w:val="12"/>
          <w:rFonts w:ascii="Arial" w:hAnsi="Arial" w:eastAsia="宋体" w:cs="Arial"/>
          <w:color w:val="auto"/>
          <w:szCs w:val="21"/>
          <w:u w:val="none"/>
        </w:rPr>
        <w:fldChar w:fldCharType="end"/>
      </w:r>
      <w:r>
        <w:rPr>
          <w:rFonts w:ascii="Arial" w:hAnsi="Arial" w:eastAsia="宋体" w:cs="Arial"/>
          <w:szCs w:val="21"/>
        </w:rPr>
        <w:t>）。</w:t>
      </w:r>
    </w:p>
    <w:p w14:paraId="5232B896">
      <w:pPr>
        <w:pStyle w:val="19"/>
        <w:snapToGrid w:val="0"/>
        <w:spacing w:line="300" w:lineRule="auto"/>
        <w:ind w:left="1140"/>
        <w:rPr>
          <w:rStyle w:val="12"/>
          <w:rFonts w:ascii="Arial" w:hAnsi="Arial" w:eastAsia="宋体" w:cs="Arial"/>
        </w:rPr>
      </w:pPr>
      <w:r>
        <w:rPr>
          <w:rFonts w:ascii="Arial" w:hAnsi="Arial" w:eastAsia="宋体" w:cs="Arial"/>
          <w:szCs w:val="21"/>
        </w:rPr>
        <w:t>此外，FDA还发布了此主题</w:t>
      </w:r>
      <w:r>
        <w:rPr>
          <w:rFonts w:hint="eastAsia" w:ascii="Arial" w:hAnsi="Arial" w:eastAsia="宋体" w:cs="Arial"/>
          <w:szCs w:val="21"/>
        </w:rPr>
        <w:t>的指南草案</w:t>
      </w:r>
      <w:r>
        <w:rPr>
          <w:rFonts w:ascii="Arial" w:hAnsi="Arial" w:eastAsia="宋体" w:cs="Arial"/>
          <w:szCs w:val="21"/>
        </w:rPr>
        <w:t>，</w:t>
      </w:r>
      <w:r>
        <w:rPr>
          <w:rStyle w:val="12"/>
          <w:rFonts w:hint="eastAsia" w:ascii="Arial" w:hAnsi="Arial" w:eastAsia="宋体" w:cs="Arial"/>
        </w:rPr>
        <w:t>应用人为因素和可用性工程优化医疗器械设计</w:t>
      </w:r>
    </w:p>
    <w:p w14:paraId="3E506FF5">
      <w:pPr>
        <w:pStyle w:val="19"/>
        <w:snapToGrid w:val="0"/>
        <w:spacing w:line="300" w:lineRule="auto"/>
        <w:ind w:left="1140"/>
        <w:rPr>
          <w:rFonts w:ascii="Arial" w:hAnsi="Arial" w:eastAsia="宋体" w:cs="Arial"/>
          <w:szCs w:val="21"/>
        </w:rPr>
      </w:pPr>
      <w:r>
        <w:rPr>
          <w:rStyle w:val="12"/>
          <w:rFonts w:hint="eastAsia" w:ascii="Arial" w:hAnsi="Arial" w:eastAsia="宋体" w:cs="Arial"/>
          <w:color w:val="auto"/>
          <w:u w:val="none"/>
        </w:rPr>
        <w:t>（</w:t>
      </w:r>
      <w:r>
        <w:rPr>
          <w:rStyle w:val="12"/>
          <w:rFonts w:ascii="Arial" w:hAnsi="Arial" w:eastAsia="宋体" w:cs="Arial"/>
        </w:rPr>
        <w:t>http://www.fda.gov/MedicalDevices/DeviceRegulationandGuidance/GuidanceDocuments/ucm484345.htm</w:t>
      </w:r>
      <w:r>
        <w:rPr>
          <w:rStyle w:val="12"/>
          <w:rFonts w:hint="eastAsia" w:ascii="Arial" w:hAnsi="Arial" w:eastAsia="宋体" w:cs="Arial"/>
          <w:color w:val="auto"/>
          <w:u w:val="none"/>
        </w:rPr>
        <w:t>）。</w:t>
      </w:r>
      <w:r>
        <w:rPr>
          <w:rFonts w:ascii="Arial" w:hAnsi="Arial" w:eastAsia="宋体" w:cs="Arial"/>
          <w:szCs w:val="21"/>
        </w:rPr>
        <w:t>最终确定后，</w:t>
      </w:r>
      <w:r>
        <w:rPr>
          <w:rFonts w:hint="eastAsia" w:ascii="Arial" w:hAnsi="Arial" w:eastAsia="宋体" w:cs="Arial"/>
          <w:szCs w:val="21"/>
        </w:rPr>
        <w:t>本指南代表FDA对此主题的最新见解</w:t>
      </w:r>
      <w:r>
        <w:rPr>
          <w:rFonts w:ascii="Arial" w:hAnsi="Arial" w:eastAsia="宋体" w:cs="Arial"/>
          <w:szCs w:val="21"/>
        </w:rPr>
        <w:t>。</w:t>
      </w:r>
    </w:p>
    <w:p w14:paraId="61E445FE">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我们鼓励使用FDA认可的</w:t>
      </w:r>
      <w:r>
        <w:rPr>
          <w:rFonts w:hint="eastAsia" w:ascii="Arial" w:hAnsi="Arial" w:eastAsia="宋体" w:cs="Arial"/>
          <w:szCs w:val="21"/>
        </w:rPr>
        <w:t>下列</w:t>
      </w:r>
      <w:r>
        <w:rPr>
          <w:rFonts w:ascii="Arial" w:hAnsi="Arial" w:eastAsia="宋体" w:cs="Arial"/>
          <w:szCs w:val="21"/>
        </w:rPr>
        <w:t>标准</w:t>
      </w:r>
      <w:r>
        <w:rPr>
          <w:rFonts w:hint="eastAsia" w:ascii="Arial" w:hAnsi="Arial" w:eastAsia="宋体" w:cs="Arial"/>
          <w:szCs w:val="21"/>
        </w:rPr>
        <w:t>：</w:t>
      </w:r>
    </w:p>
    <w:p w14:paraId="595F50EF">
      <w:pPr>
        <w:pStyle w:val="19"/>
        <w:numPr>
          <w:ilvl w:val="0"/>
          <w:numId w:val="23"/>
        </w:numPr>
        <w:snapToGrid w:val="0"/>
        <w:spacing w:after="156" w:afterLines="50" w:line="300" w:lineRule="auto"/>
        <w:rPr>
          <w:rFonts w:ascii="Arial" w:hAnsi="Arial" w:eastAsia="宋体" w:cs="Arial"/>
          <w:szCs w:val="21"/>
        </w:rPr>
      </w:pPr>
      <w:r>
        <w:rPr>
          <w:rFonts w:ascii="Arial" w:hAnsi="Arial" w:eastAsia="宋体" w:cs="Arial"/>
          <w:szCs w:val="21"/>
        </w:rPr>
        <w:t>AAMI ANSI HE75医疗器械设计；和</w:t>
      </w:r>
    </w:p>
    <w:p w14:paraId="6EA56FC3">
      <w:pPr>
        <w:pStyle w:val="19"/>
        <w:numPr>
          <w:ilvl w:val="0"/>
          <w:numId w:val="23"/>
        </w:numPr>
        <w:snapToGrid w:val="0"/>
        <w:spacing w:after="156" w:afterLines="50" w:line="300" w:lineRule="auto"/>
        <w:rPr>
          <w:rFonts w:ascii="Arial" w:hAnsi="Arial" w:eastAsia="宋体" w:cs="Arial"/>
          <w:szCs w:val="21"/>
        </w:rPr>
      </w:pPr>
      <w:r>
        <w:rPr>
          <w:rFonts w:ascii="Arial" w:hAnsi="Arial" w:eastAsia="宋体" w:cs="Arial"/>
          <w:szCs w:val="21"/>
        </w:rPr>
        <w:t>IEC 62366，医疗器械-医疗器械的可用性工程应用。（</w:t>
      </w:r>
      <w:r>
        <w:rPr>
          <w:rFonts w:hint="eastAsia" w:ascii="Arial" w:hAnsi="Arial" w:eastAsia="宋体" w:cs="Arial"/>
          <w:szCs w:val="21"/>
        </w:rPr>
        <w:t>通用</w:t>
      </w:r>
      <w:r>
        <w:rPr>
          <w:rFonts w:ascii="Arial" w:hAnsi="Arial" w:eastAsia="宋体" w:cs="Arial"/>
          <w:szCs w:val="21"/>
        </w:rPr>
        <w:t>）。</w:t>
      </w:r>
    </w:p>
    <w:p w14:paraId="0598E6AC">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总论</w:t>
      </w:r>
    </w:p>
    <w:p w14:paraId="0C4B42E3">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与器械有关的事件和召回事件报告显示，由于泵的用户界面设计缺陷造成的使用错误模式导致</w:t>
      </w:r>
      <w:r>
        <w:rPr>
          <w:rFonts w:hint="eastAsia" w:ascii="Arial" w:hAnsi="Arial" w:eastAsia="宋体" w:cs="Arial"/>
          <w:szCs w:val="21"/>
        </w:rPr>
        <w:t>了</w:t>
      </w:r>
      <w:r>
        <w:rPr>
          <w:rFonts w:ascii="Arial" w:hAnsi="Arial" w:eastAsia="宋体" w:cs="Arial"/>
          <w:szCs w:val="21"/>
        </w:rPr>
        <w:t>患者损害。术语</w:t>
      </w:r>
      <w:r>
        <w:rPr>
          <w:rFonts w:ascii="宋体" w:hAnsi="宋体" w:eastAsia="宋体" w:cs="Arial"/>
          <w:szCs w:val="21"/>
        </w:rPr>
        <w:t>“</w:t>
      </w:r>
      <w:r>
        <w:rPr>
          <w:rFonts w:ascii="Arial" w:hAnsi="Arial" w:eastAsia="宋体" w:cs="Arial"/>
          <w:szCs w:val="21"/>
        </w:rPr>
        <w:t>用户界面</w:t>
      </w:r>
      <w:r>
        <w:rPr>
          <w:rFonts w:ascii="宋体" w:hAnsi="宋体" w:eastAsia="宋体" w:cs="Arial"/>
          <w:szCs w:val="21"/>
        </w:rPr>
        <w:t>”</w:t>
      </w:r>
      <w:r>
        <w:rPr>
          <w:rFonts w:ascii="Arial" w:hAnsi="Arial" w:eastAsia="宋体" w:cs="Arial"/>
          <w:szCs w:val="21"/>
        </w:rPr>
        <w:t>表示与用户交互的所有泵</w:t>
      </w:r>
      <w:r>
        <w:rPr>
          <w:rFonts w:hint="eastAsia" w:ascii="Arial" w:hAnsi="Arial" w:eastAsia="宋体" w:cs="Arial"/>
          <w:szCs w:val="21"/>
        </w:rPr>
        <w:t>部件</w:t>
      </w:r>
      <w:r>
        <w:rPr>
          <w:rFonts w:ascii="Arial" w:hAnsi="Arial" w:eastAsia="宋体" w:cs="Arial"/>
          <w:szCs w:val="21"/>
        </w:rPr>
        <w:t>，例如：</w:t>
      </w:r>
    </w:p>
    <w:p w14:paraId="3DE21350">
      <w:pPr>
        <w:pStyle w:val="19"/>
        <w:numPr>
          <w:ilvl w:val="0"/>
          <w:numId w:val="24"/>
        </w:numPr>
        <w:snapToGrid w:val="0"/>
        <w:spacing w:after="156" w:afterLines="50" w:line="300" w:lineRule="auto"/>
        <w:rPr>
          <w:rFonts w:ascii="Arial" w:hAnsi="Arial" w:eastAsia="宋体" w:cs="Arial"/>
          <w:szCs w:val="21"/>
        </w:rPr>
      </w:pPr>
      <w:r>
        <w:rPr>
          <w:rFonts w:ascii="Arial" w:hAnsi="Arial" w:eastAsia="宋体" w:cs="Arial"/>
          <w:szCs w:val="21"/>
        </w:rPr>
        <w:t>键盘和/或控制机制；</w:t>
      </w:r>
    </w:p>
    <w:p w14:paraId="77001BB0">
      <w:pPr>
        <w:pStyle w:val="19"/>
        <w:numPr>
          <w:ilvl w:val="0"/>
          <w:numId w:val="24"/>
        </w:numPr>
        <w:snapToGrid w:val="0"/>
        <w:spacing w:after="156" w:afterLines="50" w:line="300" w:lineRule="auto"/>
        <w:rPr>
          <w:rFonts w:ascii="Arial" w:hAnsi="Arial" w:eastAsia="宋体" w:cs="Arial"/>
          <w:szCs w:val="21"/>
        </w:rPr>
      </w:pPr>
      <w:r>
        <w:rPr>
          <w:rFonts w:ascii="Arial" w:hAnsi="Arial" w:eastAsia="宋体" w:cs="Arial"/>
          <w:szCs w:val="21"/>
        </w:rPr>
        <w:t>反馈机制（听觉报警，视觉报警，指示灯和发给用户</w:t>
      </w:r>
      <w:r>
        <w:rPr>
          <w:rFonts w:hint="eastAsia" w:ascii="Arial" w:hAnsi="Arial" w:eastAsia="宋体" w:cs="Arial"/>
          <w:szCs w:val="21"/>
        </w:rPr>
        <w:t>的</w:t>
      </w:r>
      <w:r>
        <w:rPr>
          <w:rFonts w:ascii="Arial" w:hAnsi="Arial" w:eastAsia="宋体" w:cs="Arial"/>
          <w:szCs w:val="21"/>
        </w:rPr>
        <w:t>其他消息）；</w:t>
      </w:r>
    </w:p>
    <w:p w14:paraId="32292F01">
      <w:pPr>
        <w:pStyle w:val="19"/>
        <w:numPr>
          <w:ilvl w:val="0"/>
          <w:numId w:val="24"/>
        </w:numPr>
        <w:snapToGrid w:val="0"/>
        <w:spacing w:after="156" w:afterLines="50" w:line="300" w:lineRule="auto"/>
        <w:rPr>
          <w:rFonts w:ascii="Arial" w:hAnsi="Arial" w:eastAsia="宋体" w:cs="Arial"/>
          <w:szCs w:val="21"/>
        </w:rPr>
      </w:pPr>
      <w:r>
        <w:rPr>
          <w:rFonts w:ascii="Arial" w:hAnsi="Arial" w:eastAsia="宋体" w:cs="Arial"/>
          <w:szCs w:val="21"/>
        </w:rPr>
        <w:t>用户界面图形的设计，包括对用户操作的响应，如听觉和视觉反馈以及对泵操作或编程的变化；</w:t>
      </w:r>
      <w:r>
        <w:rPr>
          <w:rFonts w:hint="eastAsia" w:ascii="Arial" w:hAnsi="Arial" w:eastAsia="宋体" w:cs="Arial"/>
          <w:szCs w:val="21"/>
        </w:rPr>
        <w:t>以及</w:t>
      </w:r>
    </w:p>
    <w:p w14:paraId="7D2C72E8">
      <w:pPr>
        <w:pStyle w:val="19"/>
        <w:numPr>
          <w:ilvl w:val="0"/>
          <w:numId w:val="24"/>
        </w:numPr>
        <w:snapToGrid w:val="0"/>
        <w:spacing w:after="156" w:afterLines="50" w:line="300" w:lineRule="auto"/>
        <w:rPr>
          <w:rFonts w:ascii="Arial" w:hAnsi="Arial" w:eastAsia="宋体" w:cs="Arial"/>
          <w:szCs w:val="21"/>
        </w:rPr>
      </w:pPr>
      <w:r>
        <w:rPr>
          <w:rFonts w:ascii="Arial" w:hAnsi="Arial" w:eastAsia="宋体" w:cs="Arial"/>
          <w:szCs w:val="21"/>
        </w:rPr>
        <w:t>使用说明书。</w:t>
      </w:r>
    </w:p>
    <w:p w14:paraId="361DAC0F">
      <w:pPr>
        <w:widowControl/>
        <w:jc w:val="left"/>
        <w:rPr>
          <w:rFonts w:ascii="Arial" w:hAnsi="Arial" w:eastAsia="宋体" w:cs="Arial"/>
          <w:szCs w:val="21"/>
        </w:rPr>
      </w:pPr>
      <w:r>
        <w:rPr>
          <w:rFonts w:ascii="Arial" w:hAnsi="Arial" w:eastAsia="宋体" w:cs="Arial"/>
          <w:szCs w:val="21"/>
        </w:rPr>
        <w:br w:type="page"/>
      </w:r>
    </w:p>
    <w:p w14:paraId="1F47C1E9">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与使用泵相关的使用危害是一种独特的危害形式，即使在泵根据其质量标准进行操作时也可能存在。这些危害通常不包括由于以前已知或合理预期的机械、电气或软件组件故障而导致的故障，而在于</w:t>
      </w:r>
      <w:r>
        <w:rPr>
          <w:rFonts w:hint="eastAsia" w:ascii="Arial" w:hAnsi="Arial" w:eastAsia="宋体" w:cs="Arial"/>
          <w:szCs w:val="21"/>
        </w:rPr>
        <w:t>这</w:t>
      </w:r>
      <w:r>
        <w:rPr>
          <w:rFonts w:ascii="Arial" w:hAnsi="Arial" w:eastAsia="宋体" w:cs="Arial"/>
          <w:szCs w:val="21"/>
        </w:rPr>
        <w:t>是</w:t>
      </w:r>
      <w:r>
        <w:rPr>
          <w:rFonts w:hint="eastAsia" w:ascii="Arial" w:hAnsi="Arial" w:eastAsia="宋体" w:cs="Arial"/>
          <w:szCs w:val="21"/>
        </w:rPr>
        <w:t>由于</w:t>
      </w:r>
      <w:r>
        <w:rPr>
          <w:rFonts w:ascii="Arial" w:hAnsi="Arial" w:eastAsia="宋体" w:cs="Arial"/>
          <w:szCs w:val="21"/>
        </w:rPr>
        <w:t>与操作人员的相互作用产生的故障。</w:t>
      </w:r>
    </w:p>
    <w:p w14:paraId="7EC2B797">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解决人为因素/可用性问题危害分析的其他考虑因素应包括：</w:t>
      </w:r>
    </w:p>
    <w:p w14:paraId="7F16030C">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操作员（用户）界面组件的功能和操作，包括操作的整体逻辑（用户和器械组件与用户界面之间的交互）；</w:t>
      </w:r>
    </w:p>
    <w:p w14:paraId="56E52232">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用户界面组件的安排用于用户与器械的基本交互；</w:t>
      </w:r>
    </w:p>
    <w:p w14:paraId="50F49ACC">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与非典型用户操作或技术相关的潜在错误；</w:t>
      </w:r>
    </w:p>
    <w:p w14:paraId="703410D4">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视觉信息的易读性，包括器械标签和显示器；</w:t>
      </w:r>
    </w:p>
    <w:p w14:paraId="216376A8">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听觉信息</w:t>
      </w:r>
      <w:r>
        <w:rPr>
          <w:rFonts w:hint="eastAsia" w:ascii="Arial" w:hAnsi="Arial" w:eastAsia="宋体" w:cs="Arial"/>
          <w:szCs w:val="21"/>
        </w:rPr>
        <w:t>的可听性</w:t>
      </w:r>
      <w:r>
        <w:rPr>
          <w:rFonts w:ascii="Arial" w:hAnsi="Arial" w:eastAsia="宋体" w:cs="Arial"/>
          <w:szCs w:val="21"/>
        </w:rPr>
        <w:t>，包括不同的报警音；</w:t>
      </w:r>
    </w:p>
    <w:p w14:paraId="56C0CA57">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与操作者可用的各种可能设置或输入相关的潜在困难；</w:t>
      </w:r>
    </w:p>
    <w:p w14:paraId="3F59281A">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与关键治疗参数的输入，选择或修改相关的潜在错误；</w:t>
      </w:r>
    </w:p>
    <w:p w14:paraId="4947E185">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与非标准或异常参数设置或默认值相关的潜在错误；</w:t>
      </w:r>
    </w:p>
    <w:p w14:paraId="16F28285">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数据传输和通信不准确；</w:t>
      </w:r>
    </w:p>
    <w:p w14:paraId="66CB72CD">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由于非标准，不熟悉或不明确的</w:t>
      </w:r>
      <w:r>
        <w:rPr>
          <w:rFonts w:hint="eastAsia" w:ascii="Arial" w:hAnsi="Arial" w:eastAsia="宋体" w:cs="Arial"/>
          <w:szCs w:val="21"/>
        </w:rPr>
        <w:t>规定</w:t>
      </w:r>
      <w:r>
        <w:rPr>
          <w:rFonts w:ascii="Arial" w:hAnsi="Arial" w:eastAsia="宋体" w:cs="Arial"/>
          <w:szCs w:val="21"/>
        </w:rPr>
        <w:t>或缩写而引起的潜在混淆；</w:t>
      </w:r>
      <w:r>
        <w:rPr>
          <w:rFonts w:hint="eastAsia" w:ascii="Arial" w:hAnsi="Arial" w:eastAsia="宋体" w:cs="Arial"/>
          <w:szCs w:val="21"/>
        </w:rPr>
        <w:t>以及</w:t>
      </w:r>
    </w:p>
    <w:p w14:paraId="24C09769">
      <w:pPr>
        <w:pStyle w:val="19"/>
        <w:numPr>
          <w:ilvl w:val="0"/>
          <w:numId w:val="25"/>
        </w:numPr>
        <w:snapToGrid w:val="0"/>
        <w:spacing w:after="156" w:afterLines="50" w:line="300" w:lineRule="auto"/>
        <w:rPr>
          <w:rFonts w:ascii="Arial" w:hAnsi="Arial" w:eastAsia="宋体" w:cs="Arial"/>
          <w:szCs w:val="21"/>
        </w:rPr>
      </w:pPr>
      <w:r>
        <w:rPr>
          <w:rFonts w:ascii="Arial" w:hAnsi="Arial" w:eastAsia="宋体" w:cs="Arial"/>
          <w:szCs w:val="21"/>
        </w:rPr>
        <w:t>由于非标准，模糊或不充分的报警条件或信息报文引起的潜在混淆。</w:t>
      </w:r>
    </w:p>
    <w:p w14:paraId="15929307">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人为因素确认研究报告</w:t>
      </w:r>
    </w:p>
    <w:p w14:paraId="471A418F">
      <w:pPr>
        <w:pStyle w:val="19"/>
        <w:snapToGrid w:val="0"/>
        <w:spacing w:line="300" w:lineRule="auto"/>
        <w:ind w:left="1140"/>
        <w:rPr>
          <w:rStyle w:val="12"/>
          <w:rFonts w:ascii="Arial" w:hAnsi="Arial" w:eastAsia="宋体" w:cs="Arial"/>
        </w:rPr>
      </w:pPr>
      <w:r>
        <w:rPr>
          <w:rFonts w:ascii="Arial" w:hAnsi="Arial" w:eastAsia="宋体" w:cs="Arial"/>
          <w:szCs w:val="21"/>
        </w:rPr>
        <w:t>提交的内容应包括人为因素确认研究报告，确认产品-用户界面的设计。有关人为因素设计优化的更多信息，请参阅FDA</w:t>
      </w:r>
      <w:r>
        <w:rPr>
          <w:rStyle w:val="12"/>
          <w:rFonts w:hint="eastAsia" w:ascii="Arial" w:hAnsi="Arial" w:eastAsia="宋体" w:cs="Arial"/>
        </w:rPr>
        <w:t>行业和食品药品监督管理局员工指南草案</w:t>
      </w:r>
      <w:r>
        <w:rPr>
          <w:rStyle w:val="12"/>
          <w:rFonts w:ascii="Arial" w:hAnsi="Arial" w:eastAsia="宋体" w:cs="Arial"/>
        </w:rPr>
        <w:t>-</w:t>
      </w:r>
      <w:r>
        <w:rPr>
          <w:rStyle w:val="12"/>
          <w:rFonts w:hint="eastAsia" w:ascii="Arial" w:hAnsi="Arial" w:eastAsia="宋体" w:cs="Arial"/>
        </w:rPr>
        <w:t>应用人为因素和可用性工程优化医疗器械设计</w:t>
      </w:r>
    </w:p>
    <w:p w14:paraId="7AA51DCF">
      <w:pPr>
        <w:pStyle w:val="19"/>
        <w:snapToGrid w:val="0"/>
        <w:spacing w:line="300" w:lineRule="auto"/>
        <w:ind w:left="1140"/>
        <w:rPr>
          <w:rFonts w:ascii="Arial" w:hAnsi="Arial" w:eastAsia="宋体" w:cs="Arial"/>
          <w:szCs w:val="21"/>
        </w:rPr>
      </w:pPr>
      <w:r>
        <w:rPr>
          <w:rFonts w:ascii="Arial" w:hAnsi="Arial" w:eastAsia="宋体" w:cs="Arial"/>
          <w:szCs w:val="21"/>
        </w:rPr>
        <w:t>（</w:t>
      </w:r>
      <w:r>
        <w:fldChar w:fldCharType="begin"/>
      </w:r>
      <w:r>
        <w:instrText xml:space="preserve"> HYPERLINK "http://www.fda.gov/MedicalDevices/DeviceRegulationandGuidance/GuidanceDocuments/ucm259760.htm" </w:instrText>
      </w:r>
      <w:r>
        <w:fldChar w:fldCharType="separate"/>
      </w:r>
      <w:r>
        <w:rPr>
          <w:rStyle w:val="12"/>
          <w:rFonts w:ascii="Arial" w:hAnsi="Arial" w:eastAsia="宋体" w:cs="Arial"/>
          <w:szCs w:val="21"/>
        </w:rPr>
        <w:t>http://www.fda.gov/MedicalDevices/DeviceRegulationandGuidance/GuidanceDocuments/ucm259760.htm</w:t>
      </w:r>
      <w:r>
        <w:rPr>
          <w:rStyle w:val="12"/>
          <w:rFonts w:ascii="Arial" w:hAnsi="Arial" w:eastAsia="宋体" w:cs="Arial"/>
          <w:szCs w:val="21"/>
        </w:rPr>
        <w:fldChar w:fldCharType="end"/>
      </w:r>
      <w:r>
        <w:rPr>
          <w:rFonts w:ascii="Arial" w:hAnsi="Arial" w:eastAsia="宋体" w:cs="Arial"/>
          <w:szCs w:val="21"/>
        </w:rPr>
        <w:t>）。</w:t>
      </w:r>
    </w:p>
    <w:p w14:paraId="5F4D36D5">
      <w:pPr>
        <w:pStyle w:val="19"/>
        <w:snapToGrid w:val="0"/>
        <w:spacing w:after="156" w:afterLines="50" w:line="300" w:lineRule="auto"/>
        <w:ind w:left="1140"/>
        <w:rPr>
          <w:rFonts w:ascii="Arial" w:hAnsi="Arial" w:eastAsia="宋体" w:cs="Arial"/>
          <w:b/>
          <w:szCs w:val="21"/>
        </w:rPr>
      </w:pPr>
      <w:r>
        <w:rPr>
          <w:rFonts w:ascii="Arial" w:hAnsi="Arial" w:eastAsia="宋体" w:cs="Arial"/>
          <w:b/>
          <w:szCs w:val="21"/>
        </w:rPr>
        <w:t>临床研究</w:t>
      </w:r>
    </w:p>
    <w:p w14:paraId="55758595">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安全保证实例报告应包括证明危害处境控制有效的证据。除了模拟使用研究之外，这可能包括对输液泵</w:t>
      </w:r>
      <w:r>
        <w:rPr>
          <w:rFonts w:hint="eastAsia" w:ascii="Arial" w:hAnsi="Arial" w:eastAsia="宋体" w:cs="Arial"/>
          <w:szCs w:val="21"/>
        </w:rPr>
        <w:t>在</w:t>
      </w:r>
      <w:r>
        <w:rPr>
          <w:rFonts w:ascii="Arial" w:hAnsi="Arial" w:eastAsia="宋体" w:cs="Arial"/>
          <w:szCs w:val="21"/>
        </w:rPr>
        <w:t>实际临床使用条件下的评估。</w:t>
      </w:r>
    </w:p>
    <w:p w14:paraId="112F279B">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在安全保证实例报告的开发过程中，贵公司应该考虑器械</w:t>
      </w:r>
      <w:r>
        <w:rPr>
          <w:rFonts w:hint="eastAsia" w:ascii="Arial" w:hAnsi="Arial" w:eastAsia="宋体" w:cs="Arial"/>
          <w:szCs w:val="21"/>
        </w:rPr>
        <w:t>的</w:t>
      </w:r>
      <w:r>
        <w:rPr>
          <w:rFonts w:ascii="Arial" w:hAnsi="Arial" w:eastAsia="宋体" w:cs="Arial"/>
          <w:szCs w:val="21"/>
        </w:rPr>
        <w:t>适应症和技术。验证器械预期用途的适当证据应包括在安全实例报告中。如果信息不存在，仅在模拟使用研究的基础上提供足够的安全性论据（例如，与</w:t>
      </w:r>
      <w:r>
        <w:rPr>
          <w:rFonts w:hint="eastAsia" w:ascii="Arial" w:hAnsi="Arial" w:eastAsia="宋体" w:cs="Arial"/>
          <w:szCs w:val="21"/>
        </w:rPr>
        <w:t>比较</w:t>
      </w:r>
      <w:r>
        <w:rPr>
          <w:rFonts w:ascii="Arial" w:hAnsi="Arial" w:eastAsia="宋体" w:cs="Arial"/>
          <w:szCs w:val="21"/>
        </w:rPr>
        <w:t>器械相比具有不同的技术特性），FDA建议对该器械进行临床研究。</w:t>
      </w:r>
    </w:p>
    <w:p w14:paraId="57930328">
      <w:pPr>
        <w:widowControl/>
        <w:jc w:val="left"/>
        <w:rPr>
          <w:rFonts w:ascii="Arial" w:hAnsi="Arial" w:eastAsia="宋体" w:cs="Arial"/>
          <w:szCs w:val="21"/>
        </w:rPr>
      </w:pPr>
      <w:r>
        <w:rPr>
          <w:rFonts w:ascii="Arial" w:hAnsi="Arial" w:eastAsia="宋体" w:cs="Arial"/>
          <w:szCs w:val="21"/>
        </w:rPr>
        <w:br w:type="page"/>
      </w:r>
    </w:p>
    <w:p w14:paraId="7E0E588D">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FDA已经确定输液泵是21 CFR 812.3（m）中定义的重要风险器械，因此，任何临床研究必须根据批准的研究器械豁免（IDE）进行。21 CFR 812.20（a）。这种研究的申办方不得在FDA批准IDE申请（21 CFR 812.20（a）（2）和812.42）之前开始进行临床研究，临床研究必须符合以下要求：</w:t>
      </w:r>
    </w:p>
    <w:p w14:paraId="0570DF25">
      <w:pPr>
        <w:pStyle w:val="19"/>
        <w:numPr>
          <w:ilvl w:val="0"/>
          <w:numId w:val="26"/>
        </w:numPr>
        <w:snapToGrid w:val="0"/>
        <w:spacing w:after="156" w:afterLines="50" w:line="300" w:lineRule="auto"/>
        <w:rPr>
          <w:rFonts w:ascii="Arial" w:hAnsi="Arial" w:eastAsia="宋体" w:cs="Arial"/>
          <w:szCs w:val="21"/>
        </w:rPr>
      </w:pPr>
      <w:r>
        <w:rPr>
          <w:rFonts w:ascii="Arial" w:hAnsi="Arial" w:eastAsia="宋体" w:cs="Arial"/>
          <w:szCs w:val="21"/>
        </w:rPr>
        <w:t>IDE要求，21 CFR</w:t>
      </w:r>
      <w:r>
        <w:rPr>
          <w:rFonts w:hint="eastAsia" w:ascii="Arial" w:hAnsi="Arial" w:eastAsia="宋体" w:cs="Arial"/>
          <w:szCs w:val="21"/>
        </w:rPr>
        <w:t>第</w:t>
      </w:r>
      <w:r>
        <w:rPr>
          <w:rFonts w:ascii="Arial" w:hAnsi="Arial" w:eastAsia="宋体" w:cs="Arial"/>
          <w:szCs w:val="21"/>
        </w:rPr>
        <w:t>812</w:t>
      </w:r>
      <w:r>
        <w:rPr>
          <w:rFonts w:hint="eastAsia" w:ascii="Arial" w:hAnsi="Arial" w:eastAsia="宋体" w:cs="Arial"/>
          <w:szCs w:val="21"/>
        </w:rPr>
        <w:t>部分</w:t>
      </w:r>
      <w:r>
        <w:rPr>
          <w:rFonts w:ascii="Arial" w:hAnsi="Arial" w:eastAsia="宋体" w:cs="Arial"/>
          <w:szCs w:val="21"/>
        </w:rPr>
        <w:t>（21 CFR 812.2（a））；</w:t>
      </w:r>
    </w:p>
    <w:p w14:paraId="1A76C84A">
      <w:pPr>
        <w:pStyle w:val="19"/>
        <w:numPr>
          <w:ilvl w:val="0"/>
          <w:numId w:val="26"/>
        </w:numPr>
        <w:snapToGrid w:val="0"/>
        <w:spacing w:after="156" w:afterLines="50" w:line="300" w:lineRule="auto"/>
        <w:rPr>
          <w:rFonts w:ascii="Arial" w:hAnsi="Arial" w:eastAsia="宋体" w:cs="Arial"/>
          <w:szCs w:val="21"/>
        </w:rPr>
      </w:pPr>
      <w:r>
        <w:rPr>
          <w:rFonts w:ascii="Arial" w:hAnsi="Arial" w:eastAsia="宋体" w:cs="Arial"/>
          <w:szCs w:val="21"/>
        </w:rPr>
        <w:t>机构审查委员会（IRB）要求，21 CFR第56部分（21 CFR第812部分，D部分）；</w:t>
      </w:r>
      <w:r>
        <w:rPr>
          <w:rFonts w:hint="eastAsia" w:ascii="Arial" w:hAnsi="Arial" w:eastAsia="宋体" w:cs="Arial"/>
          <w:szCs w:val="21"/>
        </w:rPr>
        <w:t>以及</w:t>
      </w:r>
    </w:p>
    <w:p w14:paraId="1480865A">
      <w:pPr>
        <w:pStyle w:val="19"/>
        <w:numPr>
          <w:ilvl w:val="0"/>
          <w:numId w:val="26"/>
        </w:numPr>
        <w:snapToGrid w:val="0"/>
        <w:spacing w:after="156" w:afterLines="50" w:line="300" w:lineRule="auto"/>
        <w:rPr>
          <w:rFonts w:ascii="Arial" w:hAnsi="Arial" w:eastAsia="宋体" w:cs="Arial"/>
          <w:szCs w:val="21"/>
        </w:rPr>
      </w:pPr>
      <w:r>
        <w:rPr>
          <w:rFonts w:ascii="Arial" w:hAnsi="Arial" w:eastAsia="宋体" w:cs="Arial"/>
          <w:szCs w:val="21"/>
        </w:rPr>
        <w:t>知情同意书要求，21 CFR第50部分（21 CFR 812.100）。</w:t>
      </w:r>
    </w:p>
    <w:p w14:paraId="35860A41">
      <w:pPr>
        <w:pStyle w:val="19"/>
        <w:numPr>
          <w:ilvl w:val="0"/>
          <w:numId w:val="9"/>
        </w:numPr>
        <w:snapToGrid w:val="0"/>
        <w:spacing w:after="156" w:afterLines="50" w:line="300" w:lineRule="auto"/>
        <w:outlineLvl w:val="1"/>
        <w:rPr>
          <w:rFonts w:ascii="Arial" w:hAnsi="Arial" w:eastAsia="宋体" w:cs="Arial"/>
          <w:b/>
          <w:sz w:val="28"/>
          <w:szCs w:val="28"/>
        </w:rPr>
      </w:pPr>
      <w:bookmarkStart w:id="43" w:name="_Toc483237549"/>
      <w:r>
        <w:rPr>
          <w:rFonts w:ascii="Arial" w:hAnsi="Arial" w:eastAsia="宋体" w:cs="Arial"/>
          <w:b/>
          <w:sz w:val="28"/>
          <w:szCs w:val="28"/>
        </w:rPr>
        <w:t>标识</w:t>
      </w:r>
      <w:bookmarkEnd w:id="43"/>
    </w:p>
    <w:p w14:paraId="0CD9157A">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根据21 CFR 807.87（e）的要求，上市前通告必须包括足以描述该器械预期用途及使用</w:t>
      </w:r>
      <w:r>
        <w:rPr>
          <w:rFonts w:hint="eastAsia" w:ascii="Arial" w:hAnsi="Arial" w:eastAsia="宋体" w:cs="Arial"/>
          <w:szCs w:val="21"/>
        </w:rPr>
        <w:t>说明</w:t>
      </w:r>
      <w:r>
        <w:rPr>
          <w:rFonts w:ascii="Arial" w:hAnsi="Arial" w:eastAsia="宋体" w:cs="Arial"/>
          <w:szCs w:val="21"/>
        </w:rPr>
        <w:t>的建议标签、标识和广告。如适用，应提供照片或图纸。以下建议旨在帮助贵公司准备符合21 CFR第801部分要求的标签和标识。</w:t>
      </w:r>
    </w:p>
    <w:p w14:paraId="79DD105F">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我们建议贵公司提供明确的使用说明书，描述特定器械的技术特性以及如何使用该器械。</w:t>
      </w:r>
    </w:p>
    <w:p w14:paraId="38B889F2">
      <w:pPr>
        <w:pStyle w:val="19"/>
        <w:snapToGrid w:val="0"/>
        <w:spacing w:after="156" w:afterLines="50" w:line="300" w:lineRule="auto"/>
        <w:ind w:left="720"/>
        <w:rPr>
          <w:rFonts w:ascii="Arial" w:hAnsi="Arial" w:eastAsia="宋体" w:cs="Arial"/>
          <w:szCs w:val="21"/>
        </w:rPr>
      </w:pPr>
      <w:r>
        <w:rPr>
          <w:rFonts w:ascii="Arial" w:hAnsi="Arial" w:eastAsia="宋体" w:cs="Arial"/>
          <w:szCs w:val="21"/>
        </w:rPr>
        <w:t>我们建议代表性用户对使用说明书进行评估，以确保泵的使用和维护关键方面得到明确和完整的沟通。结果应该是贵公司的510（k）提交材料的一部分。</w:t>
      </w:r>
    </w:p>
    <w:p w14:paraId="4DBD89D9">
      <w:pPr>
        <w:pStyle w:val="19"/>
        <w:snapToGrid w:val="0"/>
        <w:spacing w:after="156" w:afterLines="50" w:line="300" w:lineRule="auto"/>
        <w:ind w:left="720"/>
        <w:rPr>
          <w:rFonts w:ascii="Arial" w:hAnsi="Arial" w:eastAsia="宋体" w:cs="Arial"/>
          <w:b/>
          <w:szCs w:val="21"/>
        </w:rPr>
      </w:pPr>
      <w:r>
        <w:rPr>
          <w:rFonts w:ascii="Arial" w:hAnsi="Arial" w:eastAsia="宋体" w:cs="Arial"/>
          <w:b/>
          <w:szCs w:val="21"/>
        </w:rPr>
        <w:t>使用说明书</w:t>
      </w:r>
    </w:p>
    <w:p w14:paraId="259A2792">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作为处方器械，输液泵是不安全的，除非在法律许可的执业医师指导下使用这种器械，因此根据21 CFR 801.109的要求必须在标签中包括某些信息</w:t>
      </w:r>
      <w:r>
        <w:rPr>
          <w:rFonts w:hint="eastAsia" w:ascii="Arial" w:hAnsi="Arial" w:eastAsia="宋体" w:cs="Arial"/>
          <w:szCs w:val="21"/>
        </w:rPr>
        <w:t>，以便</w:t>
      </w:r>
      <w:r>
        <w:rPr>
          <w:rFonts w:ascii="Arial" w:hAnsi="Arial" w:eastAsia="宋体" w:cs="Arial"/>
          <w:szCs w:val="21"/>
        </w:rPr>
        <w:t>安全使用该器械并按其预期目的使用。标签必须包括医疗专业人员安全使用器械的足够信息，包括适应症、作用、途径、方法、频率和施用期限以及任何相关危害、禁忌症、不良反应和预防措施，符合21 CFR 801.109的要求 。</w:t>
      </w:r>
    </w:p>
    <w:p w14:paraId="3827FBB7">
      <w:pPr>
        <w:pStyle w:val="19"/>
        <w:snapToGrid w:val="0"/>
        <w:spacing w:after="156" w:afterLines="50" w:line="300" w:lineRule="auto"/>
        <w:ind w:left="720"/>
        <w:rPr>
          <w:rFonts w:ascii="Arial" w:hAnsi="Arial" w:eastAsia="宋体" w:cs="Arial"/>
          <w:szCs w:val="21"/>
        </w:rPr>
      </w:pPr>
      <w:r>
        <w:rPr>
          <w:rFonts w:ascii="Arial" w:hAnsi="Arial" w:eastAsia="宋体" w:cs="Arial"/>
          <w:szCs w:val="21"/>
        </w:rPr>
        <w:t>除了21 CFR 801.109中的标签要求，包括根据21 CFR 801.109（b）（1）要求的处方声明外，FDA建议标签包含以下信息：</w:t>
      </w:r>
    </w:p>
    <w:p w14:paraId="1C8ECB5A">
      <w:pPr>
        <w:pStyle w:val="19"/>
        <w:numPr>
          <w:ilvl w:val="0"/>
          <w:numId w:val="27"/>
        </w:numPr>
        <w:snapToGrid w:val="0"/>
        <w:spacing w:after="156" w:afterLines="50" w:line="300" w:lineRule="auto"/>
        <w:rPr>
          <w:rFonts w:ascii="Arial" w:hAnsi="Arial" w:eastAsia="宋体" w:cs="Arial"/>
          <w:szCs w:val="21"/>
        </w:rPr>
      </w:pPr>
      <w:r>
        <w:rPr>
          <w:rFonts w:hint="eastAsia" w:ascii="Arial" w:hAnsi="Arial" w:eastAsia="宋体" w:cs="Arial"/>
          <w:szCs w:val="21"/>
        </w:rPr>
        <w:t>适应症</w:t>
      </w:r>
      <w:r>
        <w:rPr>
          <w:rFonts w:ascii="Arial" w:hAnsi="Arial" w:eastAsia="宋体" w:cs="Arial"/>
          <w:szCs w:val="21"/>
        </w:rPr>
        <w:t>包括：</w:t>
      </w:r>
    </w:p>
    <w:p w14:paraId="26EC831A">
      <w:pPr>
        <w:pStyle w:val="19"/>
        <w:numPr>
          <w:ilvl w:val="0"/>
          <w:numId w:val="28"/>
        </w:numPr>
        <w:snapToGrid w:val="0"/>
        <w:spacing w:after="156" w:afterLines="50" w:line="300" w:lineRule="auto"/>
        <w:rPr>
          <w:rFonts w:ascii="Arial" w:hAnsi="Arial" w:eastAsia="宋体" w:cs="Arial"/>
          <w:szCs w:val="21"/>
        </w:rPr>
      </w:pPr>
      <w:r>
        <w:rPr>
          <w:rFonts w:ascii="Arial" w:hAnsi="Arial" w:eastAsia="宋体" w:cs="Arial"/>
          <w:szCs w:val="21"/>
        </w:rPr>
        <w:t>确定提交材料支持的液体或液体类型；</w:t>
      </w:r>
    </w:p>
    <w:p w14:paraId="7147B437">
      <w:pPr>
        <w:widowControl/>
        <w:jc w:val="left"/>
        <w:rPr>
          <w:rFonts w:ascii="Arial" w:hAnsi="Arial" w:eastAsia="宋体" w:cs="Arial"/>
          <w:szCs w:val="21"/>
        </w:rPr>
      </w:pPr>
      <w:r>
        <w:rPr>
          <w:rFonts w:ascii="Arial" w:hAnsi="Arial" w:eastAsia="宋体" w:cs="Arial"/>
          <w:szCs w:val="21"/>
        </w:rPr>
        <w:br w:type="page"/>
      </w:r>
    </w:p>
    <w:p w14:paraId="448EDCF7">
      <w:pPr>
        <w:pStyle w:val="19"/>
        <w:numPr>
          <w:ilvl w:val="0"/>
          <w:numId w:val="28"/>
        </w:numPr>
        <w:snapToGrid w:val="0"/>
        <w:spacing w:line="300" w:lineRule="auto"/>
        <w:ind w:left="1599"/>
        <w:rPr>
          <w:rFonts w:ascii="Arial" w:hAnsi="Arial" w:eastAsia="宋体" w:cs="Arial"/>
          <w:szCs w:val="21"/>
        </w:rPr>
      </w:pPr>
      <w:r>
        <w:rPr>
          <w:rFonts w:ascii="Arial" w:hAnsi="Arial" w:eastAsia="宋体" w:cs="Arial"/>
          <w:szCs w:val="21"/>
        </w:rPr>
        <w:t>使用环境；</w:t>
      </w:r>
    </w:p>
    <w:p w14:paraId="2D350330">
      <w:pPr>
        <w:pStyle w:val="19"/>
        <w:numPr>
          <w:ilvl w:val="0"/>
          <w:numId w:val="28"/>
        </w:numPr>
        <w:snapToGrid w:val="0"/>
        <w:spacing w:line="300" w:lineRule="auto"/>
        <w:ind w:left="1599"/>
        <w:rPr>
          <w:rFonts w:ascii="Arial" w:hAnsi="Arial" w:eastAsia="宋体" w:cs="Arial"/>
          <w:szCs w:val="21"/>
        </w:rPr>
      </w:pPr>
      <w:r>
        <w:rPr>
          <w:rFonts w:ascii="Arial" w:hAnsi="Arial" w:eastAsia="宋体" w:cs="Arial"/>
          <w:szCs w:val="21"/>
        </w:rPr>
        <w:t>输液给药途径；</w:t>
      </w:r>
    </w:p>
    <w:p w14:paraId="69A75348">
      <w:pPr>
        <w:pStyle w:val="19"/>
        <w:numPr>
          <w:ilvl w:val="0"/>
          <w:numId w:val="28"/>
        </w:numPr>
        <w:snapToGrid w:val="0"/>
        <w:spacing w:after="156" w:afterLines="50" w:line="300" w:lineRule="auto"/>
        <w:rPr>
          <w:rFonts w:ascii="Arial" w:hAnsi="Arial" w:eastAsia="宋体" w:cs="Arial"/>
          <w:szCs w:val="21"/>
        </w:rPr>
      </w:pPr>
      <w:r>
        <w:rPr>
          <w:rFonts w:hint="eastAsia" w:ascii="Arial" w:hAnsi="Arial" w:eastAsia="宋体" w:cs="Arial"/>
          <w:szCs w:val="21"/>
        </w:rPr>
        <w:t>明确</w:t>
      </w:r>
      <w:r>
        <w:rPr>
          <w:rFonts w:ascii="Arial" w:hAnsi="Arial" w:eastAsia="宋体" w:cs="Arial"/>
          <w:szCs w:val="21"/>
        </w:rPr>
        <w:t>治疗人群。</w:t>
      </w:r>
    </w:p>
    <w:p w14:paraId="3888641F">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可再使用的输液泵和附件的清洁和消毒说明。如果在家中使用泵，请确定公众可以使用</w:t>
      </w:r>
      <w:r>
        <w:rPr>
          <w:rFonts w:hint="eastAsia" w:ascii="Arial" w:hAnsi="Arial" w:eastAsia="宋体" w:cs="Arial"/>
          <w:szCs w:val="21"/>
        </w:rPr>
        <w:t>的</w:t>
      </w:r>
      <w:r>
        <w:rPr>
          <w:rFonts w:ascii="Arial" w:hAnsi="Arial" w:eastAsia="宋体" w:cs="Arial"/>
          <w:szCs w:val="21"/>
        </w:rPr>
        <w:t>器械再使用（清洁和消毒）清洁和消毒剂。</w:t>
      </w:r>
    </w:p>
    <w:p w14:paraId="24973D1D">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报警极限和范围。</w:t>
      </w:r>
    </w:p>
    <w:p w14:paraId="5F745563">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默认设置。</w:t>
      </w:r>
    </w:p>
    <w:p w14:paraId="493D917F">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用户界面的完整表示，包括屏幕和数据字段的详细描述以及如何使用来完成泵的所有临床应用和可能的配置。</w:t>
      </w:r>
    </w:p>
    <w:p w14:paraId="4F88D7E6">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任何适用于该泵的专用管理设置或输液器的质量标准和/或特定型号的识别。</w:t>
      </w:r>
    </w:p>
    <w:p w14:paraId="1D656630">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识别储存器容量，可选择的流速和配置以及输注完成后残留的液体体积。</w:t>
      </w:r>
    </w:p>
    <w:p w14:paraId="20579B3E">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描述可能影响流量准确度的任何因素，例如环境温度、液体温度、压力（例如，头部高度，背压，大气压力）、液体粘度或流速或推注输送的变化（例如，滴定药物时）。</w:t>
      </w:r>
    </w:p>
    <w:p w14:paraId="567949EB">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在可选择的流量和推注体积的范围内定义准确度质量标准。这可能包括以下信息：</w:t>
      </w:r>
    </w:p>
    <w:p w14:paraId="6FCA3363">
      <w:pPr>
        <w:pStyle w:val="19"/>
        <w:numPr>
          <w:ilvl w:val="0"/>
          <w:numId w:val="29"/>
        </w:numPr>
        <w:snapToGrid w:val="0"/>
        <w:spacing w:after="156" w:afterLines="50" w:line="300" w:lineRule="auto"/>
        <w:rPr>
          <w:rFonts w:ascii="Arial" w:hAnsi="Arial" w:eastAsia="宋体" w:cs="Arial"/>
          <w:szCs w:val="21"/>
        </w:rPr>
      </w:pPr>
      <w:r>
        <w:rPr>
          <w:rFonts w:ascii="Arial" w:hAnsi="Arial" w:eastAsia="宋体" w:cs="Arial"/>
          <w:szCs w:val="21"/>
        </w:rPr>
        <w:t>指定准确度的时间段；</w:t>
      </w:r>
    </w:p>
    <w:p w14:paraId="55F37246">
      <w:pPr>
        <w:pStyle w:val="19"/>
        <w:numPr>
          <w:ilvl w:val="0"/>
          <w:numId w:val="29"/>
        </w:numPr>
        <w:snapToGrid w:val="0"/>
        <w:spacing w:after="156" w:afterLines="50" w:line="300" w:lineRule="auto"/>
        <w:rPr>
          <w:rFonts w:ascii="Arial" w:hAnsi="Arial" w:eastAsia="宋体" w:cs="Arial"/>
          <w:szCs w:val="21"/>
        </w:rPr>
      </w:pPr>
      <w:r>
        <w:rPr>
          <w:rFonts w:ascii="Arial" w:hAnsi="Arial" w:eastAsia="宋体" w:cs="Arial"/>
          <w:szCs w:val="21"/>
        </w:rPr>
        <w:t>达到稳态流量准确度的时间；</w:t>
      </w:r>
      <w:r>
        <w:rPr>
          <w:rFonts w:hint="eastAsia" w:ascii="Arial" w:hAnsi="Arial" w:eastAsia="宋体" w:cs="Arial"/>
          <w:szCs w:val="21"/>
        </w:rPr>
        <w:t>以及</w:t>
      </w:r>
    </w:p>
    <w:p w14:paraId="6566F08E">
      <w:pPr>
        <w:pStyle w:val="19"/>
        <w:numPr>
          <w:ilvl w:val="0"/>
          <w:numId w:val="29"/>
        </w:numPr>
        <w:snapToGrid w:val="0"/>
        <w:spacing w:after="156" w:afterLines="50" w:line="300" w:lineRule="auto"/>
        <w:rPr>
          <w:rFonts w:ascii="Arial" w:hAnsi="Arial" w:eastAsia="宋体" w:cs="Arial"/>
          <w:szCs w:val="21"/>
        </w:rPr>
      </w:pPr>
      <w:r>
        <w:rPr>
          <w:rFonts w:ascii="Arial" w:hAnsi="Arial" w:eastAsia="宋体" w:cs="Arial"/>
          <w:szCs w:val="21"/>
        </w:rPr>
        <w:t>输液速率变化或推注给药准确度的影响。</w:t>
      </w:r>
    </w:p>
    <w:p w14:paraId="458D7AB5">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如适用，定义推注剂量。</w:t>
      </w:r>
    </w:p>
    <w:p w14:paraId="2E395C4E">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如预期用途所示，在器械标签中发现的用泵所输送液体的描述，其中列出了测试产品（例如血液制品，肠内给料和脂质，细胞毒性药物或</w:t>
      </w:r>
      <w:r>
        <w:rPr>
          <w:rFonts w:hint="eastAsia" w:ascii="Arial" w:hAnsi="Arial" w:eastAsia="宋体" w:cs="Arial"/>
          <w:szCs w:val="21"/>
        </w:rPr>
        <w:t>其</w:t>
      </w:r>
      <w:r>
        <w:rPr>
          <w:rFonts w:ascii="Arial" w:hAnsi="Arial" w:eastAsia="宋体" w:cs="Arial"/>
          <w:szCs w:val="21"/>
        </w:rPr>
        <w:t>特性）。在警告或禁忌症部分，请列出与输液泵不兼容的已知液体特性。</w:t>
      </w:r>
    </w:p>
    <w:p w14:paraId="1250C5B3">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为器械所有功能的准备和使用提供全面的说明。</w:t>
      </w:r>
    </w:p>
    <w:p w14:paraId="2D3F365B">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描述可用于确认器械对所有相关</w:t>
      </w:r>
      <w:r>
        <w:rPr>
          <w:rFonts w:hint="eastAsia" w:ascii="Arial" w:hAnsi="Arial" w:eastAsia="宋体" w:cs="Arial"/>
          <w:szCs w:val="21"/>
        </w:rPr>
        <w:t>输送</w:t>
      </w:r>
      <w:r>
        <w:rPr>
          <w:rFonts w:ascii="Arial" w:hAnsi="Arial" w:eastAsia="宋体" w:cs="Arial"/>
          <w:szCs w:val="21"/>
        </w:rPr>
        <w:t>功能进行校准的一种方法或多种方法。</w:t>
      </w:r>
    </w:p>
    <w:p w14:paraId="64A942D3">
      <w:pPr>
        <w:widowControl/>
        <w:jc w:val="left"/>
        <w:rPr>
          <w:rFonts w:ascii="Arial" w:hAnsi="Arial" w:eastAsia="宋体" w:cs="Arial"/>
          <w:szCs w:val="21"/>
        </w:rPr>
      </w:pPr>
      <w:r>
        <w:rPr>
          <w:rFonts w:ascii="Arial" w:hAnsi="Arial" w:eastAsia="宋体" w:cs="Arial"/>
          <w:szCs w:val="21"/>
        </w:rPr>
        <w:br w:type="page"/>
      </w:r>
    </w:p>
    <w:p w14:paraId="6C4383A0">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当提供报警或信息报文时，描述所有报警或信息报文以及建议措施。</w:t>
      </w:r>
    </w:p>
    <w:p w14:paraId="3AEAECB6">
      <w:pPr>
        <w:pStyle w:val="19"/>
        <w:snapToGrid w:val="0"/>
        <w:spacing w:after="156" w:afterLines="50" w:line="300" w:lineRule="auto"/>
        <w:ind w:left="1140"/>
        <w:rPr>
          <w:rFonts w:ascii="Arial" w:hAnsi="Arial" w:eastAsia="宋体" w:cs="Arial"/>
          <w:szCs w:val="21"/>
        </w:rPr>
      </w:pPr>
      <w:r>
        <w:rPr>
          <w:rFonts w:ascii="Arial" w:hAnsi="Arial" w:eastAsia="宋体" w:cs="Arial"/>
          <w:szCs w:val="21"/>
        </w:rPr>
        <w:t>对于含有储存器、容器或与输入药物或生物制品接触</w:t>
      </w:r>
      <w:r>
        <w:rPr>
          <w:rFonts w:hint="eastAsia" w:ascii="Arial" w:hAnsi="Arial" w:eastAsia="宋体" w:cs="Arial"/>
          <w:szCs w:val="21"/>
        </w:rPr>
        <w:t>的</w:t>
      </w:r>
      <w:r>
        <w:rPr>
          <w:rFonts w:ascii="Arial" w:hAnsi="Arial" w:eastAsia="宋体" w:cs="Arial"/>
          <w:szCs w:val="21"/>
        </w:rPr>
        <w:t>其他</w:t>
      </w:r>
      <w:r>
        <w:rPr>
          <w:rFonts w:hint="eastAsia" w:ascii="Arial" w:hAnsi="Arial" w:eastAsia="宋体" w:cs="Arial"/>
          <w:szCs w:val="21"/>
        </w:rPr>
        <w:t>部件</w:t>
      </w:r>
      <w:r>
        <w:rPr>
          <w:rFonts w:ascii="Arial" w:hAnsi="Arial" w:eastAsia="宋体" w:cs="Arial"/>
          <w:szCs w:val="21"/>
        </w:rPr>
        <w:t>的输液泵，包括有关这些液体与器械的稳定性和相容性的信息</w:t>
      </w:r>
      <w:r>
        <w:rPr>
          <w:rStyle w:val="13"/>
          <w:rFonts w:ascii="Arial" w:hAnsi="Arial" w:eastAsia="宋体" w:cs="Arial"/>
          <w:szCs w:val="21"/>
        </w:rPr>
        <w:footnoteReference w:id="13"/>
      </w:r>
      <w:r>
        <w:rPr>
          <w:rFonts w:ascii="Arial" w:hAnsi="Arial" w:eastAsia="宋体" w:cs="Arial"/>
          <w:szCs w:val="21"/>
        </w:rPr>
        <w:t>。</w:t>
      </w:r>
    </w:p>
    <w:p w14:paraId="59C3B76B">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关于液体的输液泵使用的所有建议应符合FDA批准的液体产品标识。</w:t>
      </w:r>
    </w:p>
    <w:p w14:paraId="1DCED3B3">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贵公司器械上关于诊断程序中使用安全性的警告声明，如磁共振成像（MRI），x射线，计算机断层扫描（CT）或超声。</w:t>
      </w:r>
    </w:p>
    <w:p w14:paraId="50BF8B50">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标识应包括与EMC相关的所有建议信息，包括参考相应的标准，如IEC 60601-1-2。</w:t>
      </w:r>
    </w:p>
    <w:p w14:paraId="722CE952">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对于具有射频无线技术功能的器械，标识应包括确切的射频无线技术内置或能够与器械使用的信息。该信息应包含有关技术（例如IEEE 802.11b），运行频率和范围，所要求功能的服务质量，数据完整性，射频无线技术的建议安全措施（例如WPA2），共存和任何限制（例如RF器械之间的距离，EMC限制）的</w:t>
      </w:r>
      <w:r>
        <w:rPr>
          <w:rFonts w:hint="eastAsia" w:ascii="Arial" w:hAnsi="Arial" w:eastAsia="宋体" w:cs="Arial"/>
          <w:szCs w:val="21"/>
        </w:rPr>
        <w:t>具体内容</w:t>
      </w:r>
      <w:r>
        <w:rPr>
          <w:rFonts w:ascii="Arial" w:hAnsi="Arial" w:eastAsia="宋体" w:cs="Arial"/>
          <w:szCs w:val="21"/>
        </w:rPr>
        <w:t>。</w:t>
      </w:r>
    </w:p>
    <w:p w14:paraId="0B3A6457">
      <w:pPr>
        <w:pStyle w:val="19"/>
        <w:numPr>
          <w:ilvl w:val="0"/>
          <w:numId w:val="27"/>
        </w:numPr>
        <w:snapToGrid w:val="0"/>
        <w:spacing w:after="156" w:afterLines="50" w:line="300" w:lineRule="auto"/>
        <w:rPr>
          <w:rFonts w:ascii="Arial" w:hAnsi="Arial" w:eastAsia="宋体" w:cs="Arial"/>
          <w:szCs w:val="21"/>
        </w:rPr>
      </w:pPr>
      <w:r>
        <w:rPr>
          <w:rFonts w:ascii="Arial" w:hAnsi="Arial" w:eastAsia="宋体" w:cs="Arial"/>
          <w:szCs w:val="21"/>
        </w:rPr>
        <w:t>如果泵设计为由具有特定残疾的个人使用，则应在标识中描述这些残疾。</w:t>
      </w:r>
    </w:p>
    <w:p w14:paraId="21200F85">
      <w:pPr>
        <w:pStyle w:val="19"/>
        <w:snapToGrid w:val="0"/>
        <w:spacing w:after="156" w:afterLines="50" w:line="300" w:lineRule="auto"/>
        <w:ind w:left="720"/>
        <w:rPr>
          <w:rFonts w:ascii="Arial" w:hAnsi="Arial" w:eastAsia="宋体" w:cs="Arial"/>
          <w:b/>
          <w:sz w:val="28"/>
          <w:szCs w:val="28"/>
        </w:rPr>
      </w:pPr>
      <w:r>
        <w:rPr>
          <w:rFonts w:ascii="Arial" w:hAnsi="Arial" w:eastAsia="宋体" w:cs="Arial"/>
          <w:b/>
          <w:sz w:val="28"/>
          <w:szCs w:val="28"/>
        </w:rPr>
        <w:t>家庭使用标识</w:t>
      </w:r>
    </w:p>
    <w:p w14:paraId="4D527F0A">
      <w:pPr>
        <w:pStyle w:val="19"/>
        <w:snapToGrid w:val="0"/>
        <w:spacing w:line="300" w:lineRule="auto"/>
        <w:ind w:left="720"/>
        <w:rPr>
          <w:rStyle w:val="12"/>
          <w:rFonts w:ascii="Arial" w:hAnsi="Arial" w:eastAsia="宋体" w:cs="Arial"/>
          <w:i/>
          <w:iCs/>
        </w:rPr>
      </w:pPr>
      <w:r>
        <w:rPr>
          <w:rFonts w:ascii="Arial" w:hAnsi="Arial" w:eastAsia="宋体" w:cs="Arial"/>
          <w:szCs w:val="21"/>
        </w:rPr>
        <w:t>我们建议所有输液泵标签</w:t>
      </w:r>
      <w:r>
        <w:rPr>
          <w:rFonts w:hint="eastAsia" w:ascii="Arial" w:hAnsi="Arial" w:eastAsia="宋体" w:cs="Arial"/>
          <w:szCs w:val="21"/>
        </w:rPr>
        <w:t>明确</w:t>
      </w:r>
      <w:r>
        <w:rPr>
          <w:rFonts w:ascii="Arial" w:hAnsi="Arial" w:eastAsia="宋体" w:cs="Arial"/>
          <w:szCs w:val="21"/>
        </w:rPr>
        <w:t>泵的预期使用环境。用于家庭使用的输液泵还应包括适用于</w:t>
      </w:r>
      <w:bookmarkStart w:id="44" w:name="OLE_LINK40"/>
      <w:bookmarkStart w:id="45" w:name="OLE_LINK41"/>
      <w:r>
        <w:rPr>
          <w:rFonts w:ascii="Arial" w:hAnsi="Arial" w:eastAsia="宋体" w:cs="Arial"/>
          <w:szCs w:val="21"/>
        </w:rPr>
        <w:t>普通用户</w:t>
      </w:r>
      <w:bookmarkEnd w:id="44"/>
      <w:bookmarkEnd w:id="45"/>
      <w:r>
        <w:rPr>
          <w:rFonts w:ascii="Arial" w:hAnsi="Arial" w:eastAsia="宋体" w:cs="Arial"/>
          <w:szCs w:val="21"/>
        </w:rPr>
        <w:t>的使用说明书，</w:t>
      </w:r>
      <w:r>
        <w:rPr>
          <w:rFonts w:hint="eastAsia" w:ascii="Arial" w:hAnsi="Arial" w:eastAsia="宋体" w:cs="Arial"/>
          <w:szCs w:val="21"/>
        </w:rPr>
        <w:t>这些</w:t>
      </w:r>
      <w:r>
        <w:rPr>
          <w:rFonts w:ascii="Arial" w:hAnsi="Arial" w:eastAsia="宋体" w:cs="Arial"/>
          <w:szCs w:val="21"/>
        </w:rPr>
        <w:t>普通用户将从医疗保健提供者接收</w:t>
      </w:r>
      <w:r>
        <w:rPr>
          <w:rFonts w:hint="eastAsia" w:ascii="Arial" w:hAnsi="Arial" w:eastAsia="宋体" w:cs="Arial"/>
          <w:szCs w:val="21"/>
        </w:rPr>
        <w:t>或订购</w:t>
      </w:r>
      <w:r>
        <w:rPr>
          <w:rFonts w:ascii="Arial" w:hAnsi="Arial" w:eastAsia="宋体" w:cs="Arial"/>
          <w:szCs w:val="21"/>
        </w:rPr>
        <w:t>器械，并在许可执业者的监督下使用该器械</w:t>
      </w:r>
      <w:r>
        <w:rPr>
          <w:rStyle w:val="13"/>
          <w:rFonts w:ascii="Arial" w:hAnsi="Arial" w:eastAsia="宋体" w:cs="Arial"/>
          <w:szCs w:val="21"/>
        </w:rPr>
        <w:footnoteReference w:id="14"/>
      </w:r>
      <w:r>
        <w:rPr>
          <w:rFonts w:ascii="Arial" w:hAnsi="Arial" w:eastAsia="宋体" w:cs="Arial"/>
          <w:szCs w:val="21"/>
        </w:rPr>
        <w:t>。这些使用说明书应包含上述</w:t>
      </w:r>
      <w:r>
        <w:rPr>
          <w:rFonts w:ascii="宋体" w:hAnsi="宋体" w:eastAsia="宋体" w:cs="Arial"/>
          <w:szCs w:val="21"/>
        </w:rPr>
        <w:t>“</w:t>
      </w:r>
      <w:r>
        <w:rPr>
          <w:rFonts w:ascii="Arial" w:hAnsi="Arial" w:eastAsia="宋体" w:cs="Arial"/>
          <w:szCs w:val="21"/>
        </w:rPr>
        <w:t>使用</w:t>
      </w:r>
      <w:r>
        <w:rPr>
          <w:rFonts w:hint="eastAsia" w:ascii="Arial" w:hAnsi="Arial" w:eastAsia="宋体" w:cs="Arial"/>
          <w:szCs w:val="21"/>
        </w:rPr>
        <w:t>说明书</w:t>
      </w:r>
      <w:r>
        <w:rPr>
          <w:rFonts w:ascii="宋体" w:hAnsi="宋体" w:eastAsia="宋体" w:cs="Arial"/>
          <w:szCs w:val="21"/>
        </w:rPr>
        <w:t>”</w:t>
      </w:r>
      <w:r>
        <w:rPr>
          <w:rFonts w:ascii="Arial" w:hAnsi="Arial" w:eastAsia="宋体" w:cs="Arial"/>
          <w:szCs w:val="21"/>
        </w:rPr>
        <w:t>部分建议的信息。如果器械标识错位或丢失，家庭护理泵应包括用于用户支持</w:t>
      </w:r>
      <w:r>
        <w:rPr>
          <w:rFonts w:hint="eastAsia" w:ascii="Arial" w:hAnsi="Arial" w:eastAsia="宋体" w:cs="Arial"/>
          <w:szCs w:val="21"/>
        </w:rPr>
        <w:t>的</w:t>
      </w:r>
      <w:r>
        <w:rPr>
          <w:rFonts w:ascii="Arial" w:hAnsi="Arial" w:eastAsia="宋体" w:cs="Arial"/>
          <w:szCs w:val="21"/>
        </w:rPr>
        <w:t>器械制造商免费电话号码。另见FDA指南</w:t>
      </w:r>
      <w:r>
        <w:rPr>
          <w:rStyle w:val="12"/>
          <w:rFonts w:hint="eastAsia" w:ascii="Arial" w:hAnsi="Arial" w:eastAsia="宋体" w:cs="Arial"/>
          <w:iCs/>
        </w:rPr>
        <w:t>家庭用医疗器械的设计注意事项</w:t>
      </w:r>
    </w:p>
    <w:p w14:paraId="157D0E90">
      <w:pPr>
        <w:pStyle w:val="19"/>
        <w:snapToGrid w:val="0"/>
        <w:spacing w:line="300" w:lineRule="auto"/>
        <w:ind w:left="720"/>
        <w:rPr>
          <w:rFonts w:ascii="Arial" w:hAnsi="Arial" w:eastAsia="宋体" w:cs="Arial"/>
          <w:i/>
          <w:iCs/>
          <w:szCs w:val="21"/>
          <w:u w:val="single"/>
        </w:rPr>
      </w:pPr>
      <w:r>
        <w:rPr>
          <w:rFonts w:ascii="Arial" w:hAnsi="Arial" w:eastAsia="宋体" w:cs="Arial"/>
          <w:i/>
          <w:iCs/>
          <w:szCs w:val="21"/>
        </w:rPr>
        <w:t>（</w:t>
      </w:r>
      <w:r>
        <w:fldChar w:fldCharType="begin"/>
      </w:r>
      <w:r>
        <w:instrText xml:space="preserve"> HYPERLINK "http://www.fda.gov/downloads/MedicalDevices/DeviceRegulationandGuidance/GuidanceDocuments/UCM331681.pdf" </w:instrText>
      </w:r>
      <w:r>
        <w:fldChar w:fldCharType="separate"/>
      </w:r>
      <w:r>
        <w:rPr>
          <w:rStyle w:val="12"/>
          <w:rFonts w:ascii="Arial" w:hAnsi="Arial" w:eastAsia="宋体" w:cs="Arial"/>
          <w:i/>
          <w:iCs/>
          <w:color w:val="auto"/>
          <w:szCs w:val="21"/>
          <w:u w:val="none"/>
        </w:rPr>
        <w:t>http://www.fda.gov/downloads/MedicalDevices/DeviceRegulationandGuidance/GuidanceDocuments/UCM331681.pdf</w:t>
      </w:r>
      <w:r>
        <w:rPr>
          <w:rStyle w:val="12"/>
          <w:rFonts w:ascii="Arial" w:hAnsi="Arial" w:eastAsia="宋体" w:cs="Arial"/>
          <w:i/>
          <w:iCs/>
          <w:color w:val="auto"/>
          <w:szCs w:val="21"/>
          <w:u w:val="none"/>
        </w:rPr>
        <w:fldChar w:fldCharType="end"/>
      </w:r>
      <w:r>
        <w:rPr>
          <w:rFonts w:ascii="Arial" w:hAnsi="Arial" w:eastAsia="宋体" w:cs="Arial"/>
          <w:i/>
          <w:iCs/>
          <w:szCs w:val="21"/>
        </w:rPr>
        <w:t>）。</w:t>
      </w:r>
    </w:p>
    <w:p w14:paraId="143E8790">
      <w:pPr>
        <w:widowControl/>
        <w:jc w:val="left"/>
        <w:rPr>
          <w:rFonts w:ascii="Arial" w:hAnsi="Arial" w:eastAsia="宋体" w:cs="Arial"/>
          <w:b/>
          <w:iCs/>
          <w:sz w:val="28"/>
          <w:szCs w:val="28"/>
        </w:rPr>
      </w:pPr>
      <w:r>
        <w:rPr>
          <w:rFonts w:ascii="Arial" w:hAnsi="Arial" w:eastAsia="宋体" w:cs="Arial"/>
          <w:b/>
          <w:iCs/>
          <w:sz w:val="28"/>
          <w:szCs w:val="28"/>
        </w:rPr>
        <w:br w:type="page"/>
      </w:r>
    </w:p>
    <w:p w14:paraId="3C80E169">
      <w:pPr>
        <w:pStyle w:val="19"/>
        <w:numPr>
          <w:ilvl w:val="0"/>
          <w:numId w:val="9"/>
        </w:numPr>
        <w:snapToGrid w:val="0"/>
        <w:spacing w:after="156" w:afterLines="50" w:line="300" w:lineRule="auto"/>
        <w:outlineLvl w:val="1"/>
        <w:rPr>
          <w:rFonts w:ascii="Arial" w:hAnsi="Arial" w:eastAsia="宋体" w:cs="Arial"/>
          <w:b/>
          <w:sz w:val="28"/>
          <w:szCs w:val="28"/>
        </w:rPr>
      </w:pPr>
      <w:bookmarkStart w:id="46" w:name="_Toc483237550"/>
      <w:r>
        <w:rPr>
          <w:rFonts w:ascii="Arial" w:hAnsi="Arial" w:eastAsia="宋体" w:cs="Arial"/>
          <w:b/>
          <w:iCs/>
          <w:sz w:val="28"/>
          <w:szCs w:val="28"/>
        </w:rPr>
        <w:t>警报</w:t>
      </w:r>
      <w:bookmarkEnd w:id="46"/>
    </w:p>
    <w:p w14:paraId="6A0E81D2">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为了应对危害处境，泵可以发出警报。每个警报应明确提醒用户。我们建议贵公司的器械符合IEC 60601-1-8标准：医疗电气器械-第1-8部分：安全的一般要求–并行标准：警报系统。在安全保证的情况下，应使用警报作为危害控制机制。贵公司还应该解决与假阳性和假阴性警报相关的输液输送错误的任何风险。</w:t>
      </w:r>
    </w:p>
    <w:p w14:paraId="3A7E6365">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一个或多个危害可能会触发警报，包括但不限于：</w:t>
      </w:r>
    </w:p>
    <w:p w14:paraId="367C2CBD">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闭塞（供应侧和患者侧）；</w:t>
      </w:r>
    </w:p>
    <w:p w14:paraId="1F0B6D0A">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气泡混入；</w:t>
      </w:r>
    </w:p>
    <w:p w14:paraId="472A8C01">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自由流动/液体流动不</w:t>
      </w:r>
      <w:r>
        <w:rPr>
          <w:rFonts w:hint="eastAsia" w:ascii="Arial" w:hAnsi="Arial" w:eastAsia="宋体" w:cs="Arial"/>
          <w:szCs w:val="21"/>
        </w:rPr>
        <w:t>当</w:t>
      </w:r>
      <w:r>
        <w:rPr>
          <w:rFonts w:ascii="Arial" w:hAnsi="Arial" w:eastAsia="宋体" w:cs="Arial"/>
          <w:szCs w:val="21"/>
        </w:rPr>
        <w:t>；</w:t>
      </w:r>
    </w:p>
    <w:p w14:paraId="6FE4D640">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耗尽电池或无电；</w:t>
      </w:r>
    </w:p>
    <w:p w14:paraId="1A3C531C">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有缺陷的电池；</w:t>
      </w:r>
    </w:p>
    <w:p w14:paraId="40A8A837">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储存器水位低或空；</w:t>
      </w:r>
    </w:p>
    <w:p w14:paraId="3509EA42">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无储存器；</w:t>
      </w:r>
    </w:p>
    <w:p w14:paraId="4A5C805D">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剂量限制/超出极限；</w:t>
      </w:r>
    </w:p>
    <w:p w14:paraId="0B5D5B1B">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面板解锁/门打开；</w:t>
      </w:r>
    </w:p>
    <w:p w14:paraId="65CFEE92">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按键警报；</w:t>
      </w:r>
    </w:p>
    <w:p w14:paraId="4C7F9219">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开机自检（POST）故障-当其中一个POST测试失败时发出；</w:t>
      </w:r>
    </w:p>
    <w:p w14:paraId="5A1220E1">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ROM / RAM CRC 测试失败；</w:t>
      </w:r>
    </w:p>
    <w:p w14:paraId="67B6E4FB">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声音测试失败；</w:t>
      </w:r>
    </w:p>
    <w:p w14:paraId="38687D49">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泵机制故障；</w:t>
      </w:r>
    </w:p>
    <w:p w14:paraId="5EAF608B">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监测警报–监测定时器到期时发出；</w:t>
      </w:r>
    </w:p>
    <w:p w14:paraId="3B7DDE49">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过热；</w:t>
      </w:r>
    </w:p>
    <w:p w14:paraId="189B648E">
      <w:pPr>
        <w:pStyle w:val="19"/>
        <w:numPr>
          <w:ilvl w:val="0"/>
          <w:numId w:val="30"/>
        </w:numPr>
        <w:snapToGrid w:val="0"/>
        <w:spacing w:line="300" w:lineRule="auto"/>
        <w:ind w:left="1356"/>
        <w:rPr>
          <w:rFonts w:ascii="Arial" w:hAnsi="Arial" w:eastAsia="宋体" w:cs="Arial"/>
          <w:szCs w:val="21"/>
        </w:rPr>
      </w:pPr>
      <w:r>
        <w:rPr>
          <w:rFonts w:ascii="Arial" w:hAnsi="Arial" w:eastAsia="宋体" w:cs="Arial"/>
          <w:szCs w:val="21"/>
        </w:rPr>
        <w:t>药品库不匹配；</w:t>
      </w:r>
      <w:r>
        <w:rPr>
          <w:rFonts w:hint="eastAsia" w:ascii="Arial" w:hAnsi="Arial" w:eastAsia="宋体" w:cs="Arial"/>
          <w:szCs w:val="21"/>
        </w:rPr>
        <w:t>以及</w:t>
      </w:r>
    </w:p>
    <w:p w14:paraId="34B205E4">
      <w:pPr>
        <w:pStyle w:val="19"/>
        <w:numPr>
          <w:ilvl w:val="0"/>
          <w:numId w:val="30"/>
        </w:numPr>
        <w:snapToGrid w:val="0"/>
        <w:spacing w:after="156" w:afterLines="50" w:line="300" w:lineRule="auto"/>
        <w:ind w:left="1358"/>
        <w:rPr>
          <w:rFonts w:ascii="Arial" w:hAnsi="Arial" w:eastAsia="宋体" w:cs="Arial"/>
          <w:szCs w:val="21"/>
        </w:rPr>
      </w:pPr>
      <w:r>
        <w:rPr>
          <w:rFonts w:ascii="Arial" w:hAnsi="Arial" w:eastAsia="宋体" w:cs="Arial"/>
          <w:szCs w:val="21"/>
        </w:rPr>
        <w:t>输液器未正确装入。</w:t>
      </w:r>
    </w:p>
    <w:p w14:paraId="50258E24">
      <w:pPr>
        <w:pStyle w:val="19"/>
        <w:numPr>
          <w:ilvl w:val="0"/>
          <w:numId w:val="9"/>
        </w:numPr>
        <w:snapToGrid w:val="0"/>
        <w:spacing w:after="156" w:afterLines="50" w:line="300" w:lineRule="auto"/>
        <w:outlineLvl w:val="1"/>
        <w:rPr>
          <w:rFonts w:ascii="Arial" w:hAnsi="Arial" w:eastAsia="宋体" w:cs="Arial"/>
          <w:b/>
          <w:sz w:val="28"/>
          <w:szCs w:val="28"/>
        </w:rPr>
      </w:pPr>
      <w:bookmarkStart w:id="47" w:name="_Toc483237551"/>
      <w:r>
        <w:rPr>
          <w:rFonts w:ascii="Arial" w:hAnsi="Arial" w:eastAsia="宋体" w:cs="Arial"/>
          <w:b/>
          <w:sz w:val="28"/>
          <w:szCs w:val="28"/>
        </w:rPr>
        <w:t>安全控制机制</w:t>
      </w:r>
      <w:bookmarkEnd w:id="47"/>
    </w:p>
    <w:p w14:paraId="1AFCD020">
      <w:pPr>
        <w:pStyle w:val="19"/>
        <w:snapToGrid w:val="0"/>
        <w:spacing w:after="156" w:afterLines="50" w:line="300" w:lineRule="auto"/>
        <w:ind w:left="720"/>
        <w:rPr>
          <w:rFonts w:ascii="Arial" w:hAnsi="Arial" w:eastAsia="宋体" w:cs="Arial"/>
          <w:szCs w:val="21"/>
        </w:rPr>
      </w:pPr>
      <w:r>
        <w:rPr>
          <w:rFonts w:ascii="Arial" w:hAnsi="Arial" w:eastAsia="宋体" w:cs="Arial"/>
          <w:szCs w:val="21"/>
        </w:rPr>
        <w:t>输液泵可具有防止或检测危害处境的安全控制机制。这些可能包括但不限于：</w:t>
      </w:r>
    </w:p>
    <w:p w14:paraId="07771C5B">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开机自检（POST）检查-在泵启动或初始化期间执行；</w:t>
      </w:r>
    </w:p>
    <w:p w14:paraId="60093EF4">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电池检测；</w:t>
      </w:r>
    </w:p>
    <w:p w14:paraId="347F43EA">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卡键检测；</w:t>
      </w:r>
    </w:p>
    <w:p w14:paraId="14060F43">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声音检测；</w:t>
      </w:r>
    </w:p>
    <w:p w14:paraId="7D8F4E2C">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泵机制故障检测；</w:t>
      </w:r>
    </w:p>
    <w:p w14:paraId="6FB7A376">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监视中断检测；</w:t>
      </w:r>
    </w:p>
    <w:p w14:paraId="58156E41">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（定期）系统检查-包括CPU检测和ROM / RAM CRC检测；</w:t>
      </w:r>
    </w:p>
    <w:p w14:paraId="28F044D1">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空气检测传感器；</w:t>
      </w:r>
    </w:p>
    <w:p w14:paraId="09167485">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环境监测传感器；</w:t>
      </w:r>
    </w:p>
    <w:p w14:paraId="77240583">
      <w:pPr>
        <w:pStyle w:val="19"/>
        <w:numPr>
          <w:ilvl w:val="0"/>
          <w:numId w:val="31"/>
        </w:numPr>
        <w:snapToGrid w:val="0"/>
        <w:spacing w:line="300" w:lineRule="auto"/>
        <w:rPr>
          <w:rFonts w:ascii="Arial" w:hAnsi="Arial" w:eastAsia="宋体" w:cs="Arial"/>
          <w:szCs w:val="21"/>
        </w:rPr>
      </w:pPr>
      <w:r>
        <w:rPr>
          <w:rFonts w:ascii="Arial" w:hAnsi="Arial" w:eastAsia="宋体" w:cs="Arial"/>
          <w:szCs w:val="21"/>
        </w:rPr>
        <w:t>传感器检查-检查连接到泵的传感器的正常功能（如果有）；</w:t>
      </w:r>
      <w:r>
        <w:rPr>
          <w:rFonts w:hint="eastAsia" w:ascii="Arial" w:hAnsi="Arial" w:eastAsia="宋体" w:cs="Arial"/>
          <w:szCs w:val="21"/>
        </w:rPr>
        <w:t>以及</w:t>
      </w:r>
    </w:p>
    <w:p w14:paraId="0839326E">
      <w:pPr>
        <w:pStyle w:val="19"/>
        <w:numPr>
          <w:ilvl w:val="0"/>
          <w:numId w:val="31"/>
        </w:numPr>
        <w:snapToGrid w:val="0"/>
        <w:spacing w:after="156" w:afterLines="50" w:line="300" w:lineRule="auto"/>
        <w:rPr>
          <w:rFonts w:ascii="Arial" w:hAnsi="Arial" w:eastAsia="宋体" w:cs="Arial"/>
          <w:szCs w:val="21"/>
        </w:rPr>
      </w:pPr>
      <w:r>
        <w:rPr>
          <w:rFonts w:ascii="Arial" w:hAnsi="Arial" w:eastAsia="宋体" w:cs="Arial"/>
          <w:szCs w:val="21"/>
        </w:rPr>
        <w:t>剂量误差减少检查。</w:t>
      </w:r>
    </w:p>
    <w:p w14:paraId="4CE828A1">
      <w:pPr>
        <w:widowControl/>
        <w:jc w:val="left"/>
        <w:rPr>
          <w:rFonts w:ascii="Arial" w:hAnsi="Arial" w:eastAsia="宋体" w:cs="Arial"/>
          <w:szCs w:val="21"/>
        </w:rPr>
      </w:pPr>
      <w:r>
        <w:rPr>
          <w:rFonts w:ascii="Arial" w:hAnsi="Arial" w:eastAsia="宋体" w:cs="Arial"/>
          <w:szCs w:val="21"/>
        </w:rPr>
        <w:br w:type="page"/>
      </w:r>
    </w:p>
    <w:p w14:paraId="23A280C1">
      <w:pPr>
        <w:pStyle w:val="19"/>
        <w:snapToGrid w:val="0"/>
        <w:spacing w:after="156" w:afterLines="50" w:line="300" w:lineRule="auto"/>
        <w:ind w:left="720"/>
        <w:rPr>
          <w:rFonts w:ascii="Arial" w:hAnsi="Arial" w:eastAsia="宋体" w:cs="Arial"/>
          <w:szCs w:val="21"/>
        </w:rPr>
      </w:pPr>
      <w:r>
        <w:rPr>
          <w:rFonts w:ascii="Arial" w:hAnsi="Arial" w:eastAsia="宋体" w:cs="Arial"/>
          <w:szCs w:val="21"/>
        </w:rPr>
        <w:t>任何安全管理机制的正确实施应予以验证和确认。</w:t>
      </w:r>
    </w:p>
    <w:p w14:paraId="45A0C153">
      <w:pPr>
        <w:pStyle w:val="19"/>
        <w:snapToGrid w:val="0"/>
        <w:spacing w:after="156" w:afterLines="50" w:line="300" w:lineRule="auto"/>
        <w:ind w:left="720"/>
        <w:rPr>
          <w:rFonts w:ascii="Arial" w:hAnsi="Arial" w:eastAsia="宋体" w:cs="Arial"/>
          <w:szCs w:val="21"/>
        </w:rPr>
      </w:pPr>
      <w:r>
        <w:rPr>
          <w:rFonts w:ascii="Arial" w:hAnsi="Arial" w:eastAsia="宋体" w:cs="Arial"/>
          <w:szCs w:val="21"/>
        </w:rPr>
        <w:t>贵公司的安全实例也应该解决安全控制机制本身发起的危害处境</w:t>
      </w:r>
      <w:r>
        <w:rPr>
          <w:rStyle w:val="13"/>
          <w:rFonts w:ascii="Arial" w:hAnsi="Arial" w:eastAsia="宋体" w:cs="Arial"/>
          <w:szCs w:val="21"/>
        </w:rPr>
        <w:footnoteReference w:id="15"/>
      </w:r>
      <w:r>
        <w:rPr>
          <w:rFonts w:ascii="Arial" w:hAnsi="Arial" w:eastAsia="宋体" w:cs="Arial"/>
          <w:szCs w:val="21"/>
        </w:rPr>
        <w:t>。安全控制机制分析应解决并缓解以下问题：</w:t>
      </w:r>
    </w:p>
    <w:p w14:paraId="2CD05B09">
      <w:pPr>
        <w:pStyle w:val="19"/>
        <w:numPr>
          <w:ilvl w:val="0"/>
          <w:numId w:val="32"/>
        </w:numPr>
        <w:snapToGrid w:val="0"/>
        <w:spacing w:after="156" w:afterLines="50" w:line="300" w:lineRule="auto"/>
        <w:rPr>
          <w:rFonts w:ascii="Arial" w:hAnsi="Arial" w:eastAsia="宋体" w:cs="Arial"/>
          <w:szCs w:val="21"/>
        </w:rPr>
      </w:pPr>
      <w:r>
        <w:rPr>
          <w:rFonts w:ascii="Arial" w:hAnsi="Arial" w:eastAsia="宋体" w:cs="Arial"/>
          <w:szCs w:val="21"/>
        </w:rPr>
        <w:t>没有提供或遵循安全控制机制</w:t>
      </w:r>
      <w:r>
        <w:rPr>
          <w:rFonts w:hint="eastAsia" w:ascii="Arial" w:hAnsi="Arial" w:eastAsia="宋体" w:cs="Arial"/>
          <w:szCs w:val="21"/>
        </w:rPr>
        <w:t>措施</w:t>
      </w:r>
      <w:r>
        <w:rPr>
          <w:rFonts w:ascii="Arial" w:hAnsi="Arial" w:eastAsia="宋体" w:cs="Arial"/>
          <w:szCs w:val="21"/>
        </w:rPr>
        <w:t>；</w:t>
      </w:r>
    </w:p>
    <w:p w14:paraId="3CD5AA5A">
      <w:pPr>
        <w:pStyle w:val="19"/>
        <w:numPr>
          <w:ilvl w:val="0"/>
          <w:numId w:val="32"/>
        </w:numPr>
        <w:snapToGrid w:val="0"/>
        <w:spacing w:after="156" w:afterLines="50" w:line="300" w:lineRule="auto"/>
        <w:rPr>
          <w:rFonts w:ascii="Arial" w:hAnsi="Arial" w:eastAsia="宋体" w:cs="Arial"/>
          <w:szCs w:val="21"/>
        </w:rPr>
      </w:pPr>
      <w:r>
        <w:rPr>
          <w:rFonts w:ascii="Arial" w:hAnsi="Arial" w:eastAsia="宋体" w:cs="Arial"/>
          <w:szCs w:val="21"/>
        </w:rPr>
        <w:t>安全控制机制所产生的行动是不安全的，导致危害处境；</w:t>
      </w:r>
    </w:p>
    <w:p w14:paraId="61244E8F">
      <w:pPr>
        <w:pStyle w:val="19"/>
        <w:numPr>
          <w:ilvl w:val="0"/>
          <w:numId w:val="32"/>
        </w:numPr>
        <w:snapToGrid w:val="0"/>
        <w:spacing w:after="156" w:afterLines="50" w:line="300" w:lineRule="auto"/>
        <w:rPr>
          <w:rFonts w:ascii="Arial" w:hAnsi="Arial" w:eastAsia="宋体" w:cs="Arial"/>
          <w:szCs w:val="21"/>
        </w:rPr>
      </w:pPr>
      <w:r>
        <w:rPr>
          <w:rFonts w:ascii="Arial" w:hAnsi="Arial" w:eastAsia="宋体" w:cs="Arial"/>
          <w:szCs w:val="21"/>
        </w:rPr>
        <w:t>安全控制机制的作用太早，太迟或者顺序错误。</w:t>
      </w:r>
    </w:p>
    <w:p w14:paraId="46DB2E4A">
      <w:pPr>
        <w:pStyle w:val="19"/>
        <w:numPr>
          <w:ilvl w:val="0"/>
          <w:numId w:val="32"/>
        </w:numPr>
        <w:snapToGrid w:val="0"/>
        <w:spacing w:after="156" w:afterLines="50" w:line="300" w:lineRule="auto"/>
        <w:rPr>
          <w:rFonts w:ascii="Arial" w:hAnsi="Arial" w:eastAsia="宋体" w:cs="Arial"/>
          <w:szCs w:val="21"/>
        </w:rPr>
      </w:pPr>
      <w:r>
        <w:rPr>
          <w:rFonts w:ascii="Arial" w:hAnsi="Arial" w:eastAsia="宋体" w:cs="Arial"/>
          <w:szCs w:val="21"/>
        </w:rPr>
        <w:t>安全控制机构</w:t>
      </w:r>
      <w:r>
        <w:rPr>
          <w:rFonts w:hint="eastAsia" w:ascii="Arial" w:hAnsi="Arial" w:eastAsia="宋体" w:cs="Arial"/>
          <w:szCs w:val="21"/>
        </w:rPr>
        <w:t>措施</w:t>
      </w:r>
      <w:r>
        <w:rPr>
          <w:rFonts w:ascii="Arial" w:hAnsi="Arial" w:eastAsia="宋体" w:cs="Arial"/>
          <w:szCs w:val="21"/>
        </w:rPr>
        <w:t>过早停止或施加时间过长。</w:t>
      </w:r>
    </w:p>
    <w:p w14:paraId="41ACA8C5">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48" w:name="_Toc483237552"/>
      <w:r>
        <w:rPr>
          <w:rFonts w:ascii="Arial" w:hAnsi="Arial" w:eastAsia="宋体" w:cs="Arial"/>
          <w:b/>
          <w:sz w:val="28"/>
          <w:szCs w:val="28"/>
        </w:rPr>
        <w:t>输液泵制造商的510（k）预检</w:t>
      </w:r>
      <w:bookmarkEnd w:id="48"/>
    </w:p>
    <w:p w14:paraId="54A5C889">
      <w:pPr>
        <w:pStyle w:val="19"/>
        <w:snapToGrid w:val="0"/>
        <w:spacing w:after="156" w:afterLines="50" w:line="300" w:lineRule="auto"/>
        <w:ind w:left="360"/>
        <w:rPr>
          <w:rFonts w:ascii="Arial" w:hAnsi="Arial" w:eastAsia="宋体" w:cs="Arial"/>
          <w:szCs w:val="21"/>
        </w:rPr>
      </w:pPr>
      <w:r>
        <w:rPr>
          <w:rFonts w:ascii="Arial" w:hAnsi="Arial" w:eastAsia="宋体" w:cs="Arial"/>
          <w:szCs w:val="21"/>
        </w:rPr>
        <w:t>FDA可以对输液泵制造商进行预检。</w:t>
      </w:r>
    </w:p>
    <w:p w14:paraId="63462506">
      <w:pPr>
        <w:pStyle w:val="19"/>
        <w:snapToGrid w:val="0"/>
        <w:spacing w:after="156" w:afterLines="50" w:line="300" w:lineRule="auto"/>
        <w:ind w:left="360"/>
        <w:rPr>
          <w:rFonts w:ascii="Arial" w:hAnsi="Arial" w:eastAsia="宋体" w:cs="Arial"/>
          <w:szCs w:val="21"/>
        </w:rPr>
      </w:pPr>
      <w:r>
        <w:rPr>
          <w:rFonts w:ascii="Arial" w:hAnsi="Arial" w:eastAsia="宋体" w:cs="Arial"/>
          <w:szCs w:val="21"/>
        </w:rPr>
        <w:t>自2003年以来，FDA已经发现与输液泵相关的I类召回</w:t>
      </w:r>
      <w:r>
        <w:rPr>
          <w:rStyle w:val="13"/>
          <w:rFonts w:ascii="Arial" w:hAnsi="Arial" w:eastAsia="宋体" w:cs="Arial"/>
          <w:szCs w:val="21"/>
        </w:rPr>
        <w:footnoteReference w:id="16"/>
      </w:r>
      <w:r>
        <w:rPr>
          <w:rFonts w:ascii="Arial" w:hAnsi="Arial" w:eastAsia="宋体" w:cs="Arial"/>
          <w:szCs w:val="21"/>
        </w:rPr>
        <w:t>的数量急剧增加。FDA还收到与使用输液泵相关消费者的许多MDR和投诉。这些召回和MDR表明，输液泵制造商可能在其制造厂没有执行充分的质量体系。随后的FDA检查在这些情况下经常发现违反质量体系法规行为。因此，FDA认为可能需要进行预检查</w:t>
      </w:r>
      <w:r>
        <w:rPr>
          <w:rFonts w:hint="eastAsia" w:ascii="Arial" w:hAnsi="Arial" w:eastAsia="宋体" w:cs="Arial"/>
          <w:szCs w:val="21"/>
        </w:rPr>
        <w:t>，</w:t>
      </w:r>
      <w:r>
        <w:rPr>
          <w:rFonts w:ascii="Arial" w:hAnsi="Arial" w:eastAsia="宋体" w:cs="Arial"/>
          <w:szCs w:val="21"/>
        </w:rPr>
        <w:t>减少与使用这些器械相关的严重不良事件。</w:t>
      </w:r>
    </w:p>
    <w:p w14:paraId="0FBE6147">
      <w:pPr>
        <w:pStyle w:val="19"/>
        <w:snapToGrid w:val="0"/>
        <w:spacing w:after="156" w:afterLines="50" w:line="300" w:lineRule="auto"/>
        <w:ind w:left="360"/>
        <w:rPr>
          <w:rFonts w:ascii="Arial" w:hAnsi="Arial" w:eastAsia="宋体" w:cs="Arial"/>
          <w:szCs w:val="21"/>
        </w:rPr>
      </w:pPr>
      <w:r>
        <w:rPr>
          <w:rFonts w:ascii="Arial" w:hAnsi="Arial" w:eastAsia="宋体" w:cs="Arial"/>
          <w:szCs w:val="21"/>
        </w:rPr>
        <w:t>在确定是否需要进行预检查时，FDA可能会考虑以下因素：</w:t>
      </w:r>
    </w:p>
    <w:p w14:paraId="2F2315CB">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是一种具有新技术特征的器械；</w:t>
      </w:r>
    </w:p>
    <w:p w14:paraId="125B937F">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过去两年没有对该设施进行检查；</w:t>
      </w:r>
    </w:p>
    <w:p w14:paraId="0A92E4E4">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过去两年已经进行检查，但没有涵盖类似的制造过程和产品；</w:t>
      </w:r>
    </w:p>
    <w:p w14:paraId="378EC0C2">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两年内进行检查，分类为自愿行动（VAI）或指定的官方行动（OAI）；或者</w:t>
      </w:r>
    </w:p>
    <w:p w14:paraId="716E0508">
      <w:pPr>
        <w:pStyle w:val="19"/>
        <w:numPr>
          <w:ilvl w:val="0"/>
          <w:numId w:val="33"/>
        </w:numPr>
        <w:snapToGrid w:val="0"/>
        <w:spacing w:after="156" w:afterLines="50" w:line="300" w:lineRule="auto"/>
        <w:rPr>
          <w:rFonts w:ascii="Arial" w:hAnsi="Arial" w:eastAsia="宋体" w:cs="Arial"/>
          <w:szCs w:val="21"/>
        </w:rPr>
      </w:pPr>
      <w:r>
        <w:rPr>
          <w:rFonts w:ascii="Arial" w:hAnsi="Arial" w:eastAsia="宋体" w:cs="Arial"/>
          <w:szCs w:val="21"/>
        </w:rPr>
        <w:t>提交材料 510（k）用于更改器械以解决故障或上市</w:t>
      </w:r>
      <w:r>
        <w:rPr>
          <w:rFonts w:hint="eastAsia" w:ascii="Arial" w:hAnsi="Arial" w:eastAsia="宋体" w:cs="Arial"/>
          <w:szCs w:val="21"/>
        </w:rPr>
        <w:t>后</w:t>
      </w:r>
      <w:r>
        <w:rPr>
          <w:rFonts w:ascii="Arial" w:hAnsi="Arial" w:eastAsia="宋体" w:cs="Arial"/>
          <w:szCs w:val="21"/>
        </w:rPr>
        <w:t>器械</w:t>
      </w:r>
      <w:r>
        <w:rPr>
          <w:rFonts w:hint="eastAsia" w:ascii="Arial" w:hAnsi="Arial" w:eastAsia="宋体" w:cs="Arial"/>
          <w:szCs w:val="21"/>
        </w:rPr>
        <w:t>的</w:t>
      </w:r>
      <w:r>
        <w:rPr>
          <w:rFonts w:ascii="Arial" w:hAnsi="Arial" w:eastAsia="宋体" w:cs="Arial"/>
          <w:szCs w:val="21"/>
        </w:rPr>
        <w:t>故障报告。</w:t>
      </w:r>
    </w:p>
    <w:p w14:paraId="338BE6F5">
      <w:pPr>
        <w:widowControl/>
        <w:jc w:val="left"/>
        <w:rPr>
          <w:rFonts w:ascii="Arial" w:hAnsi="Arial" w:eastAsia="宋体" w:cs="Arial"/>
          <w:szCs w:val="21"/>
        </w:rPr>
      </w:pPr>
      <w:r>
        <w:rPr>
          <w:rFonts w:ascii="Arial" w:hAnsi="Arial" w:eastAsia="宋体" w:cs="Arial"/>
          <w:szCs w:val="21"/>
        </w:rPr>
        <w:br w:type="page"/>
      </w:r>
    </w:p>
    <w:p w14:paraId="15F8E81F">
      <w:pPr>
        <w:pStyle w:val="19"/>
        <w:snapToGrid w:val="0"/>
        <w:spacing w:after="156" w:afterLines="50" w:line="300" w:lineRule="auto"/>
        <w:ind w:left="360"/>
        <w:rPr>
          <w:rFonts w:ascii="Arial" w:hAnsi="Arial" w:eastAsia="宋体" w:cs="Arial"/>
          <w:szCs w:val="21"/>
        </w:rPr>
      </w:pPr>
      <w:r>
        <w:rPr>
          <w:rFonts w:ascii="Arial" w:hAnsi="Arial" w:eastAsia="宋体" w:cs="Arial"/>
          <w:szCs w:val="21"/>
        </w:rPr>
        <w:t>当需要进行预检查时，FDA打算根据合规计划指导手册7382.845，医疗器械制造商的检查进行二级综合检查。这次检查将包括审查贵公司的MDR程序和过程。</w:t>
      </w:r>
    </w:p>
    <w:p w14:paraId="362ED173">
      <w:pPr>
        <w:pStyle w:val="19"/>
        <w:snapToGrid w:val="0"/>
        <w:spacing w:after="156" w:afterLines="50" w:line="300" w:lineRule="auto"/>
        <w:ind w:left="360"/>
        <w:rPr>
          <w:rFonts w:ascii="Arial" w:hAnsi="Arial" w:eastAsia="宋体" w:cs="Arial"/>
          <w:szCs w:val="21"/>
        </w:rPr>
      </w:pPr>
      <w:r>
        <w:rPr>
          <w:rFonts w:ascii="Arial" w:hAnsi="Arial" w:eastAsia="宋体" w:cs="Arial"/>
          <w:szCs w:val="21"/>
        </w:rPr>
        <w:t>FDA发现这些产品未能遵守质量体系法规（21 CFR第820部分）</w:t>
      </w:r>
      <w:r>
        <w:rPr>
          <w:rFonts w:hint="eastAsia" w:ascii="Arial" w:hAnsi="Arial" w:eastAsia="宋体" w:cs="Arial"/>
          <w:szCs w:val="21"/>
        </w:rPr>
        <w:t>有</w:t>
      </w:r>
      <w:r>
        <w:rPr>
          <w:rFonts w:ascii="Arial" w:hAnsi="Arial" w:eastAsia="宋体" w:cs="Arial"/>
          <w:szCs w:val="21"/>
        </w:rPr>
        <w:t>很大</w:t>
      </w:r>
      <w:r>
        <w:rPr>
          <w:rFonts w:hint="eastAsia" w:ascii="Arial" w:hAnsi="Arial" w:eastAsia="宋体" w:cs="Arial"/>
          <w:szCs w:val="21"/>
        </w:rPr>
        <w:t>的</w:t>
      </w:r>
      <w:r>
        <w:rPr>
          <w:rFonts w:ascii="Arial" w:hAnsi="Arial" w:eastAsia="宋体" w:cs="Arial"/>
          <w:szCs w:val="21"/>
        </w:rPr>
        <w:t>可能会潜在</w:t>
      </w:r>
      <w:r>
        <w:rPr>
          <w:rFonts w:hint="eastAsia" w:ascii="Arial" w:hAnsi="Arial" w:eastAsia="宋体" w:cs="Arial"/>
          <w:szCs w:val="21"/>
        </w:rPr>
        <w:t>地</w:t>
      </w:r>
      <w:r>
        <w:rPr>
          <w:rFonts w:ascii="Arial" w:hAnsi="Arial" w:eastAsia="宋体" w:cs="Arial"/>
          <w:szCs w:val="21"/>
        </w:rPr>
        <w:t>对人体健康造成严重威胁。因此，根据</w:t>
      </w:r>
      <w:r>
        <w:rPr>
          <w:rFonts w:ascii="宋体" w:hAnsi="宋体" w:eastAsia="宋体" w:cs="Arial"/>
          <w:szCs w:val="21"/>
        </w:rPr>
        <w:t>“</w:t>
      </w:r>
      <w:r>
        <w:rPr>
          <w:rFonts w:ascii="Arial" w:hAnsi="Arial" w:eastAsia="宋体" w:cs="Arial"/>
          <w:szCs w:val="21"/>
        </w:rPr>
        <w:t>FD&amp;C法</w:t>
      </w:r>
      <w:r>
        <w:rPr>
          <w:rFonts w:ascii="宋体" w:hAnsi="宋体" w:eastAsia="宋体" w:cs="Arial"/>
          <w:szCs w:val="21"/>
        </w:rPr>
        <w:t>”</w:t>
      </w:r>
      <w:r>
        <w:rPr>
          <w:rFonts w:ascii="Arial" w:hAnsi="Arial" w:eastAsia="宋体" w:cs="Arial"/>
          <w:szCs w:val="21"/>
        </w:rPr>
        <w:t>第513（f）（5）条，FDA可以根据预检查的结果，否定本指南涵盖的输液泵许可510（k）提交材料。</w:t>
      </w:r>
    </w:p>
    <w:p w14:paraId="1D7A7CB9">
      <w:pPr>
        <w:pStyle w:val="17"/>
        <w:numPr>
          <w:ilvl w:val="0"/>
          <w:numId w:val="1"/>
        </w:numPr>
        <w:snapToGrid w:val="0"/>
        <w:spacing w:after="156" w:afterLines="50" w:line="300" w:lineRule="auto"/>
        <w:ind w:firstLineChars="0"/>
        <w:outlineLvl w:val="0"/>
        <w:rPr>
          <w:rFonts w:ascii="Arial" w:hAnsi="Arial" w:eastAsia="宋体" w:cs="Arial"/>
          <w:b/>
          <w:sz w:val="28"/>
          <w:szCs w:val="28"/>
        </w:rPr>
      </w:pPr>
      <w:bookmarkStart w:id="49" w:name="_Toc483237553"/>
      <w:r>
        <w:rPr>
          <w:rFonts w:ascii="Arial" w:hAnsi="Arial" w:eastAsia="宋体" w:cs="Arial"/>
          <w:b/>
          <w:sz w:val="28"/>
          <w:szCs w:val="28"/>
        </w:rPr>
        <w:t>输液泵</w:t>
      </w:r>
      <w:bookmarkEnd w:id="49"/>
      <w:r>
        <w:rPr>
          <w:rFonts w:ascii="Arial" w:hAnsi="Arial" w:eastAsia="宋体" w:cs="Arial"/>
          <w:b/>
          <w:sz w:val="28"/>
          <w:szCs w:val="28"/>
        </w:rPr>
        <w:t>上市后监管</w:t>
      </w:r>
    </w:p>
    <w:p w14:paraId="683AF786">
      <w:pPr>
        <w:pStyle w:val="19"/>
        <w:snapToGrid w:val="0"/>
        <w:spacing w:after="156" w:afterLines="50" w:line="300" w:lineRule="auto"/>
        <w:ind w:left="360"/>
        <w:rPr>
          <w:rFonts w:ascii="Arial" w:hAnsi="Arial" w:eastAsia="宋体" w:cs="Arial"/>
          <w:b/>
          <w:szCs w:val="21"/>
        </w:rPr>
      </w:pPr>
      <w:r>
        <w:rPr>
          <w:rFonts w:ascii="Arial" w:hAnsi="Arial" w:eastAsia="宋体" w:cs="Arial"/>
          <w:b/>
          <w:szCs w:val="21"/>
        </w:rPr>
        <w:t>制造商报告要求</w:t>
      </w:r>
    </w:p>
    <w:p w14:paraId="4E6B180F">
      <w:pPr>
        <w:pStyle w:val="19"/>
        <w:snapToGrid w:val="0"/>
        <w:spacing w:after="156" w:afterLines="50" w:line="300" w:lineRule="auto"/>
        <w:ind w:left="360"/>
        <w:rPr>
          <w:rFonts w:ascii="Arial" w:hAnsi="Arial" w:eastAsia="宋体" w:cs="Arial"/>
          <w:szCs w:val="21"/>
        </w:rPr>
      </w:pPr>
      <w:r>
        <w:rPr>
          <w:rFonts w:ascii="Arial" w:hAnsi="Arial" w:eastAsia="宋体" w:cs="Arial"/>
          <w:szCs w:val="21"/>
        </w:rPr>
        <w:t>输液泵制造商须遵守21 CFR第803部分的MDR法规。只要制造商了解</w:t>
      </w:r>
      <w:r>
        <w:rPr>
          <w:rFonts w:hint="eastAsia" w:ascii="Arial" w:hAnsi="Arial" w:eastAsia="宋体" w:cs="Arial"/>
          <w:szCs w:val="21"/>
        </w:rPr>
        <w:t>来自</w:t>
      </w:r>
      <w:r>
        <w:rPr>
          <w:rFonts w:ascii="Arial" w:hAnsi="Arial" w:eastAsia="宋体" w:cs="Arial"/>
          <w:szCs w:val="21"/>
        </w:rPr>
        <w:t>任何来源</w:t>
      </w:r>
      <w:r>
        <w:rPr>
          <w:rFonts w:hint="eastAsia" w:ascii="Arial" w:hAnsi="Arial" w:eastAsia="宋体" w:cs="Arial"/>
          <w:szCs w:val="21"/>
        </w:rPr>
        <w:t>的</w:t>
      </w:r>
      <w:r>
        <w:rPr>
          <w:rFonts w:ascii="Arial" w:hAnsi="Arial" w:eastAsia="宋体" w:cs="Arial"/>
          <w:szCs w:val="21"/>
        </w:rPr>
        <w:t>信息，MDR法规（21 CFR 803.50）要求制造商向FDA提交报告</w:t>
      </w:r>
      <w:r>
        <w:rPr>
          <w:rFonts w:hint="eastAsia" w:ascii="Arial" w:hAnsi="Arial" w:eastAsia="宋体" w:cs="Arial"/>
          <w:szCs w:val="21"/>
        </w:rPr>
        <w:t>，</w:t>
      </w:r>
      <w:r>
        <w:rPr>
          <w:rFonts w:ascii="Arial" w:hAnsi="Arial" w:eastAsia="宋体" w:cs="Arial"/>
          <w:szCs w:val="21"/>
        </w:rPr>
        <w:t>信息</w:t>
      </w:r>
      <w:r>
        <w:rPr>
          <w:rFonts w:hint="eastAsia" w:ascii="Arial" w:hAnsi="Arial" w:eastAsia="宋体" w:cs="Arial"/>
          <w:szCs w:val="21"/>
        </w:rPr>
        <w:t>应</w:t>
      </w:r>
      <w:r>
        <w:rPr>
          <w:rFonts w:ascii="Arial" w:hAnsi="Arial" w:eastAsia="宋体" w:cs="Arial"/>
          <w:szCs w:val="21"/>
        </w:rPr>
        <w:t>合理</w:t>
      </w:r>
      <w:r>
        <w:rPr>
          <w:rFonts w:hint="eastAsia" w:ascii="Arial" w:hAnsi="Arial" w:eastAsia="宋体" w:cs="Arial"/>
          <w:szCs w:val="21"/>
        </w:rPr>
        <w:t>表明</w:t>
      </w:r>
      <w:r>
        <w:rPr>
          <w:rFonts w:ascii="Arial" w:hAnsi="Arial" w:eastAsia="宋体" w:cs="Arial"/>
          <w:szCs w:val="21"/>
        </w:rPr>
        <w:t>其器械：</w:t>
      </w:r>
    </w:p>
    <w:p w14:paraId="338055BB">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可能引起或造成死亡或重伤；或者</w:t>
      </w:r>
    </w:p>
    <w:p w14:paraId="09FEB730">
      <w:pPr>
        <w:pStyle w:val="19"/>
        <w:numPr>
          <w:ilvl w:val="0"/>
          <w:numId w:val="34"/>
        </w:numPr>
        <w:snapToGrid w:val="0"/>
        <w:spacing w:after="156" w:afterLines="50" w:line="300" w:lineRule="auto"/>
        <w:ind w:left="1134"/>
        <w:rPr>
          <w:rFonts w:ascii="Arial" w:hAnsi="Arial" w:eastAsia="宋体" w:cs="Arial"/>
          <w:szCs w:val="21"/>
        </w:rPr>
      </w:pPr>
      <w:r>
        <w:rPr>
          <w:rFonts w:ascii="Arial" w:hAnsi="Arial" w:eastAsia="宋体" w:cs="Arial"/>
          <w:szCs w:val="21"/>
        </w:rPr>
        <w:t>如果发生过故障的制造商所销售的器械或类似器械再次发生故障</w:t>
      </w:r>
      <w:r>
        <w:rPr>
          <w:rFonts w:hint="eastAsia" w:ascii="Arial" w:hAnsi="Arial" w:eastAsia="宋体" w:cs="Arial"/>
          <w:szCs w:val="21"/>
        </w:rPr>
        <w:t>，</w:t>
      </w:r>
      <w:r>
        <w:rPr>
          <w:rFonts w:ascii="Arial" w:hAnsi="Arial" w:eastAsia="宋体" w:cs="Arial"/>
          <w:szCs w:val="21"/>
        </w:rPr>
        <w:t>可能会导致死亡或重伤。</w:t>
      </w:r>
    </w:p>
    <w:p w14:paraId="76239848">
      <w:pPr>
        <w:pStyle w:val="19"/>
        <w:snapToGrid w:val="0"/>
        <w:spacing w:after="156" w:afterLines="50" w:line="300" w:lineRule="auto"/>
        <w:ind w:left="360"/>
        <w:rPr>
          <w:rFonts w:ascii="Arial" w:hAnsi="Arial" w:eastAsia="宋体" w:cs="Arial"/>
          <w:szCs w:val="21"/>
        </w:rPr>
      </w:pPr>
      <w:r>
        <w:rPr>
          <w:rFonts w:ascii="Arial" w:hAnsi="Arial" w:eastAsia="宋体" w:cs="Arial"/>
          <w:szCs w:val="21"/>
        </w:rPr>
        <w:t>MDR法规还包括医疗器械用户设施（如医院，疗养院）和医疗器械进口商的报告和记录保存要求以及医疗器械分销商的器械投诉记录保存要求。</w:t>
      </w:r>
    </w:p>
    <w:p w14:paraId="2DE3B93E">
      <w:pPr>
        <w:pStyle w:val="19"/>
        <w:snapToGrid w:val="0"/>
        <w:spacing w:after="156" w:afterLines="50" w:line="300" w:lineRule="auto"/>
        <w:ind w:left="360"/>
        <w:rPr>
          <w:rFonts w:ascii="Arial" w:hAnsi="Arial" w:eastAsia="宋体" w:cs="Arial"/>
          <w:szCs w:val="21"/>
        </w:rPr>
      </w:pPr>
      <w:r>
        <w:rPr>
          <w:rFonts w:ascii="Arial" w:hAnsi="Arial" w:eastAsia="宋体" w:cs="Arial"/>
          <w:szCs w:val="21"/>
        </w:rPr>
        <w:t>制造商（21 CFR 803.3中定义）必须符合21 CFR第803部分，其中包括以下内容：</w:t>
      </w:r>
    </w:p>
    <w:p w14:paraId="57F8AA38">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提交涉及其医疗器械的MDR可报告事件，如21 CFR 803.50和803.52所述；</w:t>
      </w:r>
    </w:p>
    <w:p w14:paraId="3C8608E1">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提交5天报告，如21 CFR 803.53中所述；</w:t>
      </w:r>
    </w:p>
    <w:p w14:paraId="18D3C7B4">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提交补充报告，如21 CFR 803.56所述；</w:t>
      </w:r>
    </w:p>
    <w:p w14:paraId="0C46C9D1">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按照21 CFR 803.17的要求，制定、维护和实施书面程序，以及时有效地识别、沟通和评估可能受MDR要求的事件，以及标准化审查流程，以确定事件何时符合21 CFR第803部分的报告标准；</w:t>
      </w:r>
    </w:p>
    <w:p w14:paraId="1F1F5034">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根据21 CFR 803.50（b）（3）的要求对每个事件进行调查并评估事件的原因，以及</w:t>
      </w:r>
    </w:p>
    <w:p w14:paraId="475B612C">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建立和维护MDR事件文件，清楚地标识所有MDR事件文件，并根据21 CFR 803.18的要求，维护文件以便于及时访问。</w:t>
      </w:r>
    </w:p>
    <w:p w14:paraId="1C45B1C5">
      <w:pPr>
        <w:widowControl/>
        <w:jc w:val="left"/>
        <w:rPr>
          <w:rFonts w:ascii="Arial" w:hAnsi="Arial" w:eastAsia="宋体" w:cs="Arial"/>
          <w:szCs w:val="21"/>
        </w:rPr>
      </w:pPr>
      <w:r>
        <w:rPr>
          <w:rFonts w:ascii="Arial" w:hAnsi="Arial" w:eastAsia="宋体" w:cs="Arial"/>
          <w:szCs w:val="21"/>
        </w:rPr>
        <w:br w:type="page"/>
      </w:r>
    </w:p>
    <w:p w14:paraId="0A99273E">
      <w:pPr>
        <w:pStyle w:val="19"/>
        <w:snapToGrid w:val="0"/>
        <w:spacing w:after="156" w:afterLines="50" w:line="300" w:lineRule="auto"/>
        <w:ind w:left="360"/>
        <w:rPr>
          <w:rFonts w:ascii="Arial" w:hAnsi="Arial" w:eastAsia="宋体" w:cs="Arial"/>
          <w:szCs w:val="21"/>
        </w:rPr>
      </w:pPr>
      <w:r>
        <w:rPr>
          <w:rFonts w:ascii="Arial" w:hAnsi="Arial" w:eastAsia="宋体" w:cs="Arial"/>
          <w:szCs w:val="21"/>
        </w:rPr>
        <w:t>MDR报告（FDA表格3500A）必须包含制造商已知或合理知道的21 CFR 803.52中描述的所有信息。根据21 CFR 803.50（b），合理已知的信息包括制造商的任何信息：</w:t>
      </w:r>
    </w:p>
    <w:p w14:paraId="412EF1A4">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可以通过联系用户设施，进口商或其他最初通讯员获得；</w:t>
      </w:r>
    </w:p>
    <w:p w14:paraId="103B9EEF">
      <w:pPr>
        <w:pStyle w:val="19"/>
        <w:numPr>
          <w:ilvl w:val="0"/>
          <w:numId w:val="34"/>
        </w:numPr>
        <w:snapToGrid w:val="0"/>
        <w:spacing w:line="300" w:lineRule="auto"/>
        <w:ind w:left="1134"/>
        <w:rPr>
          <w:rFonts w:ascii="Arial" w:hAnsi="Arial" w:eastAsia="宋体" w:cs="Arial"/>
          <w:szCs w:val="21"/>
        </w:rPr>
      </w:pPr>
      <w:r>
        <w:rPr>
          <w:rFonts w:ascii="Arial" w:hAnsi="Arial" w:eastAsia="宋体" w:cs="Arial"/>
          <w:szCs w:val="21"/>
        </w:rPr>
        <w:t>是否属于</w:t>
      </w:r>
      <w:r>
        <w:rPr>
          <w:rFonts w:hint="eastAsia" w:ascii="Arial" w:hAnsi="Arial" w:eastAsia="宋体" w:cs="Arial"/>
          <w:szCs w:val="21"/>
        </w:rPr>
        <w:t>；</w:t>
      </w:r>
      <w:r>
        <w:rPr>
          <w:rFonts w:ascii="Arial" w:hAnsi="Arial" w:eastAsia="宋体" w:cs="Arial"/>
          <w:szCs w:val="21"/>
        </w:rPr>
        <w:t>或者</w:t>
      </w:r>
    </w:p>
    <w:p w14:paraId="1A999BF5">
      <w:pPr>
        <w:pStyle w:val="19"/>
        <w:numPr>
          <w:ilvl w:val="0"/>
          <w:numId w:val="34"/>
        </w:numPr>
        <w:snapToGrid w:val="0"/>
        <w:spacing w:after="156" w:afterLines="50" w:line="300" w:lineRule="auto"/>
        <w:ind w:left="1134"/>
        <w:rPr>
          <w:rFonts w:ascii="Arial" w:hAnsi="Arial" w:eastAsia="宋体" w:cs="Arial"/>
          <w:szCs w:val="21"/>
        </w:rPr>
      </w:pPr>
      <w:r>
        <w:rPr>
          <w:rFonts w:ascii="Arial" w:hAnsi="Arial" w:eastAsia="宋体" w:cs="Arial"/>
          <w:szCs w:val="21"/>
        </w:rPr>
        <w:t>可以通过该器械的分析、测试或其他评估获得。</w:t>
      </w:r>
    </w:p>
    <w:p w14:paraId="75341D6A">
      <w:pPr>
        <w:pStyle w:val="19"/>
        <w:snapToGrid w:val="0"/>
        <w:spacing w:after="156" w:afterLines="50" w:line="300" w:lineRule="auto"/>
        <w:ind w:left="360"/>
        <w:jc w:val="left"/>
        <w:rPr>
          <w:rFonts w:ascii="Arial" w:hAnsi="Arial" w:eastAsia="宋体" w:cs="Arial"/>
          <w:szCs w:val="21"/>
        </w:rPr>
      </w:pPr>
      <w:r>
        <w:rPr>
          <w:rFonts w:ascii="Arial" w:hAnsi="Arial" w:eastAsia="宋体" w:cs="Arial"/>
          <w:szCs w:val="21"/>
        </w:rPr>
        <w:t>FDA表格3500A，填写表格特定项目的说明和编码手册可以在以下网址找到：</w:t>
      </w:r>
      <w:r>
        <w:fldChar w:fldCharType="begin"/>
      </w:r>
      <w:r>
        <w:instrText xml:space="preserve"> HYPERLINK "http://www.fda.gov/downloads/Safety/MedWatch/HowToReport/DownloadForms/UCM387002.pdf" </w:instrText>
      </w:r>
      <w:r>
        <w:fldChar w:fldCharType="separate"/>
      </w:r>
      <w:r>
        <w:rPr>
          <w:rStyle w:val="12"/>
          <w:rFonts w:ascii="Arial" w:hAnsi="Arial" w:eastAsia="宋体" w:cs="Arial"/>
          <w:szCs w:val="21"/>
        </w:rPr>
        <w:t>http://www.fda.gov/downloads/Safety/MedWatch/HowToReport/DownloadForms/UCM387002.pdf</w:t>
      </w:r>
      <w:r>
        <w:rPr>
          <w:rStyle w:val="12"/>
          <w:rFonts w:ascii="Arial" w:hAnsi="Arial" w:eastAsia="宋体" w:cs="Arial"/>
          <w:szCs w:val="21"/>
        </w:rPr>
        <w:fldChar w:fldCharType="end"/>
      </w:r>
      <w:r>
        <w:rPr>
          <w:rFonts w:ascii="Arial" w:hAnsi="Arial" w:eastAsia="宋体" w:cs="Arial"/>
          <w:szCs w:val="21"/>
        </w:rPr>
        <w:t>。</w:t>
      </w:r>
    </w:p>
    <w:p w14:paraId="61B69504">
      <w:pPr>
        <w:pStyle w:val="19"/>
        <w:snapToGrid w:val="0"/>
        <w:spacing w:after="156" w:afterLines="50" w:line="300" w:lineRule="auto"/>
        <w:ind w:left="360"/>
        <w:jc w:val="left"/>
        <w:rPr>
          <w:rFonts w:ascii="Arial" w:hAnsi="Arial" w:eastAsia="宋体" w:cs="Arial"/>
          <w:szCs w:val="21"/>
        </w:rPr>
      </w:pPr>
      <w:r>
        <w:rPr>
          <w:rFonts w:ascii="Arial" w:hAnsi="Arial" w:eastAsia="宋体" w:cs="Arial"/>
          <w:szCs w:val="21"/>
        </w:rPr>
        <w:t>有关MDR</w:t>
      </w:r>
      <w:r>
        <w:rPr>
          <w:rFonts w:hint="eastAsia" w:ascii="Arial" w:hAnsi="Arial" w:eastAsia="宋体" w:cs="Arial"/>
          <w:szCs w:val="21"/>
        </w:rPr>
        <w:t>法规</w:t>
      </w:r>
      <w:r>
        <w:rPr>
          <w:rFonts w:ascii="Arial" w:hAnsi="Arial" w:eastAsia="宋体" w:cs="Arial"/>
          <w:szCs w:val="21"/>
        </w:rPr>
        <w:t>和报告要求的其他</w:t>
      </w:r>
      <w:r>
        <w:rPr>
          <w:rFonts w:hint="eastAsia" w:ascii="Arial" w:hAnsi="Arial" w:eastAsia="宋体" w:cs="Arial"/>
          <w:szCs w:val="21"/>
        </w:rPr>
        <w:t>指南</w:t>
      </w:r>
      <w:r>
        <w:rPr>
          <w:rFonts w:ascii="Arial" w:hAnsi="Arial" w:eastAsia="宋体" w:cs="Arial"/>
          <w:szCs w:val="21"/>
        </w:rPr>
        <w:t>，请参阅FDA的</w:t>
      </w:r>
      <w:r>
        <w:rPr>
          <w:rFonts w:hint="eastAsia" w:ascii="Arial" w:hAnsi="Arial" w:eastAsia="宋体" w:cs="Arial"/>
          <w:szCs w:val="21"/>
        </w:rPr>
        <w:t>指南</w:t>
      </w:r>
      <w:r>
        <w:rPr>
          <w:rFonts w:ascii="宋体" w:hAnsi="宋体" w:eastAsia="宋体" w:cs="Arial"/>
          <w:szCs w:val="21"/>
        </w:rPr>
        <w:t>“</w:t>
      </w:r>
      <w:r>
        <w:rPr>
          <w:rFonts w:hint="eastAsia" w:ascii="Arial" w:hAnsi="Arial" w:eastAsia="宋体" w:cs="Arial"/>
          <w:color w:val="0000FF"/>
          <w:szCs w:val="21"/>
          <w:u w:val="single"/>
        </w:rPr>
        <w:t>制造商的医疗器械报告</w:t>
      </w:r>
      <w:r>
        <w:rPr>
          <w:rFonts w:ascii="宋体" w:hAnsi="宋体" w:eastAsia="宋体" w:cs="Arial"/>
          <w:szCs w:val="21"/>
        </w:rPr>
        <w:t>”</w:t>
      </w:r>
      <w:r>
        <w:rPr>
          <w:rFonts w:ascii="Arial" w:hAnsi="Arial" w:eastAsia="宋体" w:cs="Arial"/>
          <w:szCs w:val="21"/>
        </w:rPr>
        <w:t>（</w:t>
      </w:r>
      <w:r>
        <w:fldChar w:fldCharType="begin"/>
      </w:r>
      <w:r>
        <w:instrText xml:space="preserve"> HYPERLINK "http://www.fda.gov/MedicalDevices/DeviceRegulationandGuidance/GuidanceDocuments/ucm094529.htm" </w:instrText>
      </w:r>
      <w:r>
        <w:fldChar w:fldCharType="separate"/>
      </w:r>
      <w:r>
        <w:rPr>
          <w:rStyle w:val="12"/>
          <w:rFonts w:ascii="Arial" w:hAnsi="Arial" w:eastAsia="宋体" w:cs="Arial"/>
          <w:szCs w:val="21"/>
        </w:rPr>
        <w:t>http://www.fda.gov/MedicalDevices/DeviceRegulationandGuidance/GuidanceDocuments/ucm094529.htm</w:t>
      </w:r>
      <w:r>
        <w:rPr>
          <w:rStyle w:val="12"/>
          <w:rFonts w:ascii="Arial" w:hAnsi="Arial" w:eastAsia="宋体" w:cs="Arial"/>
          <w:szCs w:val="21"/>
        </w:rPr>
        <w:fldChar w:fldCharType="end"/>
      </w:r>
      <w:r>
        <w:rPr>
          <w:rFonts w:ascii="Arial" w:hAnsi="Arial" w:eastAsia="宋体" w:cs="Arial"/>
          <w:szCs w:val="21"/>
        </w:rPr>
        <w:t>）。</w:t>
      </w:r>
    </w:p>
    <w:p w14:paraId="025C99AD">
      <w:pPr>
        <w:pStyle w:val="19"/>
        <w:snapToGrid w:val="0"/>
        <w:spacing w:after="156" w:afterLines="50" w:line="300" w:lineRule="auto"/>
        <w:ind w:left="360"/>
        <w:rPr>
          <w:rFonts w:ascii="Arial" w:hAnsi="Arial" w:eastAsia="宋体" w:cs="Arial"/>
          <w:b/>
          <w:sz w:val="28"/>
          <w:szCs w:val="28"/>
        </w:rPr>
      </w:pPr>
      <w:r>
        <w:rPr>
          <w:rFonts w:ascii="Arial" w:hAnsi="Arial" w:eastAsia="宋体" w:cs="Arial"/>
          <w:b/>
          <w:sz w:val="28"/>
          <w:szCs w:val="28"/>
        </w:rPr>
        <w:t>来自制造商的常见输液泵可报告问题</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3080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936FB74">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是否需要提交导致药物治疗延迟的功能异常的MDR报告？</w:t>
            </w:r>
          </w:p>
        </w:tc>
        <w:tc>
          <w:tcPr>
            <w:tcW w:w="2500" w:type="pct"/>
          </w:tcPr>
          <w:p w14:paraId="1D858FEF">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如果信息合理地表明贵公司器械可能导致或造成死亡或严重伤害，或发生故障，并且所销售的器械或类似器械可能会导致或造成死亡或严重伤害，如果故障再次发生，那么这被认为是可报告的事件。21 CFR 803.3和803.50。</w:t>
            </w:r>
          </w:p>
        </w:tc>
      </w:tr>
      <w:tr w14:paraId="630C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0571A63">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我们的输液泵具有故障安全功能。由于我们在泵中有这个功能，当有器械故障时，是否必须提交MDR报告？</w:t>
            </w:r>
          </w:p>
        </w:tc>
        <w:tc>
          <w:tcPr>
            <w:tcW w:w="2500" w:type="pct"/>
          </w:tcPr>
          <w:p w14:paraId="6E2A4F14">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根据21 CFR第803部分，具有故障安全功能的事实并不能消除贵公司的义务。根据21 CFR 803.17的要求，贵公司必须制定、维护和实施书面程序，以及时有效地识别、沟通和评估可能受MDR要求的事件，以及当事件符合21 CFR第803部分报告</w:t>
            </w:r>
            <w:r>
              <w:rPr>
                <w:rFonts w:hint="eastAsia" w:ascii="Arial" w:hAnsi="Arial" w:eastAsia="宋体" w:cs="Arial"/>
                <w:szCs w:val="21"/>
              </w:rPr>
              <w:t>的</w:t>
            </w:r>
            <w:r>
              <w:rPr>
                <w:rFonts w:ascii="Arial" w:hAnsi="Arial" w:eastAsia="宋体" w:cs="Arial"/>
                <w:szCs w:val="21"/>
              </w:rPr>
              <w:t>标准</w:t>
            </w:r>
            <w:r>
              <w:rPr>
                <w:rFonts w:hint="eastAsia" w:ascii="Arial" w:hAnsi="Arial" w:eastAsia="宋体" w:cs="Arial"/>
                <w:szCs w:val="21"/>
              </w:rPr>
              <w:t>时所</w:t>
            </w:r>
            <w:r>
              <w:rPr>
                <w:rFonts w:ascii="Arial" w:hAnsi="Arial" w:eastAsia="宋体" w:cs="Arial"/>
                <w:szCs w:val="21"/>
              </w:rPr>
              <w:t>确定</w:t>
            </w:r>
            <w:r>
              <w:rPr>
                <w:rFonts w:hint="eastAsia" w:ascii="Arial" w:hAnsi="Arial" w:eastAsia="宋体" w:cs="Arial"/>
                <w:szCs w:val="21"/>
              </w:rPr>
              <w:t>的</w:t>
            </w:r>
            <w:r>
              <w:rPr>
                <w:rFonts w:ascii="Arial" w:hAnsi="Arial" w:eastAsia="宋体" w:cs="Arial"/>
                <w:szCs w:val="21"/>
              </w:rPr>
              <w:t>标准化审查流程。</w:t>
            </w:r>
          </w:p>
        </w:tc>
      </w:tr>
    </w:tbl>
    <w:p w14:paraId="6428950B">
      <w:r>
        <w:br w:type="page"/>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3C18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D87F48F">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企业需要</w:t>
            </w:r>
            <w:r>
              <w:rPr>
                <w:rFonts w:hint="eastAsia" w:ascii="Arial" w:hAnsi="Arial" w:eastAsia="宋体" w:cs="Arial"/>
                <w:szCs w:val="21"/>
              </w:rPr>
              <w:t>做</w:t>
            </w:r>
            <w:r>
              <w:rPr>
                <w:rFonts w:ascii="Arial" w:hAnsi="Arial" w:eastAsia="宋体" w:cs="Arial"/>
                <w:szCs w:val="21"/>
              </w:rPr>
              <w:t>多少努力才能获得更多信息和/或器械？</w:t>
            </w:r>
          </w:p>
        </w:tc>
        <w:tc>
          <w:tcPr>
            <w:tcW w:w="2500" w:type="pct"/>
          </w:tcPr>
          <w:p w14:paraId="6CAF74B1">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对器械进行分析、测试和评估是非常重要的，以便对所报告的事件的根本原因进行彻底调查，并确定器械故障是否</w:t>
            </w:r>
            <w:r>
              <w:rPr>
                <w:rFonts w:hint="eastAsia" w:ascii="Arial" w:hAnsi="Arial" w:eastAsia="宋体" w:cs="Arial"/>
                <w:szCs w:val="21"/>
              </w:rPr>
              <w:t>导致</w:t>
            </w:r>
            <w:r>
              <w:rPr>
                <w:rFonts w:ascii="Arial" w:hAnsi="Arial" w:eastAsia="宋体" w:cs="Arial"/>
                <w:szCs w:val="21"/>
              </w:rPr>
              <w:t>事件发生。21 CFR 803.50（b）。</w:t>
            </w:r>
          </w:p>
          <w:p w14:paraId="44CF8160">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如果贵公司的报告省略了任何所需的信息，贵公司必须解释为什么没有提供此信息以及为获得此信息而采取的步骤。21 CFR 803.52（f）（11）（iii）。</w:t>
            </w:r>
          </w:p>
        </w:tc>
      </w:tr>
      <w:tr w14:paraId="53F1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2931FB8">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需要多少细节来描述事件？</w:t>
            </w:r>
          </w:p>
        </w:tc>
        <w:tc>
          <w:tcPr>
            <w:tcW w:w="2500" w:type="pct"/>
          </w:tcPr>
          <w:p w14:paraId="2020DD34">
            <w:pPr>
              <w:pStyle w:val="19"/>
              <w:snapToGrid w:val="0"/>
              <w:spacing w:before="46" w:beforeLines="15" w:after="46" w:afterLines="15" w:line="280" w:lineRule="exact"/>
              <w:rPr>
                <w:rFonts w:ascii="Arial" w:hAnsi="Arial" w:eastAsia="宋体" w:cs="Arial"/>
                <w:szCs w:val="21"/>
              </w:rPr>
            </w:pPr>
            <w:r>
              <w:rPr>
                <w:rFonts w:ascii="Arial" w:hAnsi="Arial" w:eastAsia="宋体" w:cs="Arial"/>
                <w:szCs w:val="21"/>
              </w:rPr>
              <w:t>MDR报告（FDA表格3500A）必须包含制造商已知或</w:t>
            </w:r>
            <w:r>
              <w:rPr>
                <w:rFonts w:hint="eastAsia" w:ascii="Arial" w:hAnsi="Arial" w:eastAsia="宋体" w:cs="Arial"/>
                <w:szCs w:val="21"/>
              </w:rPr>
              <w:t>理应</w:t>
            </w:r>
            <w:r>
              <w:rPr>
                <w:rFonts w:ascii="Arial" w:hAnsi="Arial" w:eastAsia="宋体" w:cs="Arial"/>
                <w:szCs w:val="21"/>
              </w:rPr>
              <w:t>知道的21 CFR 803.52中描述的所有信息，包括但不限于：如何涉及器械，问题性质，任何所需的患者治疗 ，归因于不良事件的结果以及可能影响事件的任何环境条件。21 CFR 803.52。</w:t>
            </w:r>
          </w:p>
        </w:tc>
      </w:tr>
    </w:tbl>
    <w:p w14:paraId="4DFBEEB6">
      <w:pPr>
        <w:pStyle w:val="17"/>
        <w:numPr>
          <w:ilvl w:val="0"/>
          <w:numId w:val="1"/>
        </w:numPr>
        <w:snapToGrid w:val="0"/>
        <w:spacing w:before="624" w:beforeLines="200" w:after="156" w:afterLines="50" w:line="300" w:lineRule="auto"/>
        <w:ind w:left="357" w:hanging="357" w:firstLineChars="0"/>
        <w:outlineLvl w:val="0"/>
        <w:rPr>
          <w:rFonts w:ascii="宋体" w:hAnsi="宋体" w:eastAsia="宋体" w:cs="Arial"/>
          <w:b/>
          <w:sz w:val="28"/>
          <w:szCs w:val="28"/>
        </w:rPr>
      </w:pPr>
      <w:bookmarkStart w:id="50" w:name="_Toc483237554"/>
      <w:r>
        <w:rPr>
          <w:rFonts w:ascii="Arial" w:hAnsi="Arial" w:eastAsia="宋体" w:cs="Arial"/>
          <w:b/>
          <w:sz w:val="28"/>
          <w:szCs w:val="28"/>
        </w:rPr>
        <w:t>1995年</w:t>
      </w:r>
      <w:r>
        <w:rPr>
          <w:rFonts w:hint="eastAsia" w:ascii="宋体" w:hAnsi="宋体" w:eastAsia="宋体" w:cs="Arial"/>
          <w:b/>
          <w:sz w:val="28"/>
          <w:szCs w:val="28"/>
        </w:rPr>
        <w:t>《</w:t>
      </w:r>
      <w:r>
        <w:rPr>
          <w:rFonts w:ascii="宋体" w:hAnsi="宋体" w:eastAsia="宋体" w:cs="Arial"/>
          <w:b/>
          <w:sz w:val="28"/>
          <w:szCs w:val="28"/>
        </w:rPr>
        <w:t>文书削减法</w:t>
      </w:r>
      <w:r>
        <w:rPr>
          <w:rFonts w:hint="eastAsia" w:ascii="宋体" w:hAnsi="宋体" w:eastAsia="宋体" w:cs="Arial"/>
          <w:b/>
          <w:sz w:val="28"/>
          <w:szCs w:val="28"/>
        </w:rPr>
        <w:t>》</w:t>
      </w:r>
      <w:bookmarkEnd w:id="50"/>
    </w:p>
    <w:p w14:paraId="4B62F414">
      <w:pPr>
        <w:pStyle w:val="19"/>
        <w:snapToGrid w:val="0"/>
        <w:spacing w:after="156" w:afterLines="50" w:line="300" w:lineRule="auto"/>
        <w:ind w:left="360"/>
        <w:rPr>
          <w:rFonts w:ascii="Arial" w:hAnsi="Arial" w:eastAsia="宋体" w:cs="Arial"/>
          <w:szCs w:val="21"/>
        </w:rPr>
      </w:pPr>
      <w:r>
        <w:rPr>
          <w:rFonts w:ascii="Arial" w:hAnsi="Arial" w:eastAsia="宋体" w:cs="Arial"/>
          <w:szCs w:val="21"/>
        </w:rPr>
        <w:t>本指南包含管理和预算办公室（OMB）根据1995年</w:t>
      </w:r>
      <w:r>
        <w:rPr>
          <w:rFonts w:hint="eastAsia" w:ascii="宋体" w:hAnsi="宋体" w:eastAsia="宋体" w:cs="Arial"/>
          <w:szCs w:val="21"/>
        </w:rPr>
        <w:t>《</w:t>
      </w:r>
      <w:r>
        <w:rPr>
          <w:rFonts w:ascii="Arial" w:hAnsi="Arial" w:eastAsia="宋体" w:cs="Arial"/>
          <w:szCs w:val="21"/>
        </w:rPr>
        <w:t>文书削减法</w:t>
      </w:r>
      <w:r>
        <w:rPr>
          <w:rFonts w:hint="eastAsia" w:ascii="宋体" w:hAnsi="宋体" w:eastAsia="宋体" w:cs="Arial"/>
          <w:szCs w:val="21"/>
        </w:rPr>
        <w:t>》</w:t>
      </w:r>
      <w:r>
        <w:rPr>
          <w:rFonts w:ascii="Arial" w:hAnsi="Arial" w:eastAsia="宋体" w:cs="Arial"/>
          <w:szCs w:val="21"/>
        </w:rPr>
        <w:t>（44 U.S.C. 3501-3520）进行审查的信息收集条款。</w:t>
      </w:r>
    </w:p>
    <w:p w14:paraId="23F7A16F">
      <w:pPr>
        <w:pStyle w:val="19"/>
        <w:snapToGrid w:val="0"/>
        <w:spacing w:after="156" w:afterLines="50" w:line="300" w:lineRule="auto"/>
        <w:ind w:left="360"/>
        <w:rPr>
          <w:rFonts w:ascii="Arial" w:hAnsi="Arial" w:eastAsia="宋体" w:cs="Arial"/>
          <w:szCs w:val="21"/>
        </w:rPr>
      </w:pPr>
      <w:r>
        <w:rPr>
          <w:rFonts w:ascii="Arial" w:hAnsi="Arial" w:eastAsia="宋体" w:cs="Arial"/>
          <w:szCs w:val="21"/>
        </w:rPr>
        <w:t>完成此信息收集所需的时间估计为平均每个响应一小时，包括审查说明书的时间，搜索现有数据源，收集所需的数据，并完成和审查信息收集。发送关于此负担估算的意见或减轻这种负担的建议至：</w:t>
      </w:r>
    </w:p>
    <w:p w14:paraId="64B81CA8">
      <w:pPr>
        <w:pStyle w:val="19"/>
        <w:snapToGrid w:val="0"/>
        <w:spacing w:line="300" w:lineRule="auto"/>
        <w:ind w:left="357"/>
        <w:rPr>
          <w:rFonts w:ascii="Arial" w:hAnsi="Arial" w:eastAsia="宋体" w:cs="Arial"/>
          <w:szCs w:val="21"/>
        </w:rPr>
      </w:pPr>
      <w:r>
        <w:rPr>
          <w:rFonts w:hint="eastAsia" w:ascii="Arial" w:hAnsi="Arial" w:eastAsia="宋体" w:cs="Arial"/>
          <w:szCs w:val="21"/>
        </w:rPr>
        <w:t>卫生与公众服务部</w:t>
      </w:r>
    </w:p>
    <w:p w14:paraId="0C55ADDF">
      <w:pPr>
        <w:pStyle w:val="19"/>
        <w:snapToGrid w:val="0"/>
        <w:spacing w:line="300" w:lineRule="auto"/>
        <w:ind w:left="357"/>
        <w:rPr>
          <w:rFonts w:ascii="Arial" w:hAnsi="Arial" w:eastAsia="宋体" w:cs="Arial"/>
          <w:szCs w:val="21"/>
        </w:rPr>
      </w:pPr>
      <w:r>
        <w:rPr>
          <w:rFonts w:ascii="Arial" w:hAnsi="Arial" w:eastAsia="宋体" w:cs="Arial"/>
          <w:szCs w:val="21"/>
        </w:rPr>
        <w:t>食品药品监督管理局</w:t>
      </w:r>
    </w:p>
    <w:p w14:paraId="3AA02A71">
      <w:pPr>
        <w:pStyle w:val="19"/>
        <w:snapToGrid w:val="0"/>
        <w:spacing w:line="300" w:lineRule="auto"/>
        <w:ind w:left="357"/>
        <w:rPr>
          <w:rFonts w:ascii="Arial" w:hAnsi="Arial" w:eastAsia="宋体" w:cs="Arial"/>
          <w:szCs w:val="21"/>
        </w:rPr>
      </w:pPr>
      <w:r>
        <w:rPr>
          <w:rFonts w:ascii="Arial" w:hAnsi="Arial" w:eastAsia="宋体" w:cs="Arial"/>
          <w:szCs w:val="21"/>
        </w:rPr>
        <w:t>首席信息官办公室</w:t>
      </w:r>
    </w:p>
    <w:p w14:paraId="14132292">
      <w:pPr>
        <w:pStyle w:val="19"/>
        <w:snapToGrid w:val="0"/>
        <w:spacing w:line="300" w:lineRule="auto"/>
        <w:ind w:left="357"/>
        <w:rPr>
          <w:rFonts w:ascii="Arial" w:hAnsi="Arial" w:eastAsia="宋体" w:cs="Arial"/>
          <w:szCs w:val="21"/>
        </w:rPr>
      </w:pPr>
      <w:r>
        <w:rPr>
          <w:rFonts w:ascii="Arial" w:hAnsi="Arial" w:eastAsia="宋体" w:cs="Arial"/>
          <w:szCs w:val="21"/>
        </w:rPr>
        <w:t>文书削减法（PRA）员工</w:t>
      </w:r>
    </w:p>
    <w:p w14:paraId="3A32CEB4">
      <w:pPr>
        <w:pStyle w:val="19"/>
        <w:snapToGrid w:val="0"/>
        <w:spacing w:after="156" w:afterLines="50" w:line="300" w:lineRule="auto"/>
        <w:ind w:left="360"/>
        <w:rPr>
          <w:rStyle w:val="12"/>
          <w:rFonts w:ascii="Arial" w:hAnsi="Arial" w:eastAsia="宋体" w:cs="Arial"/>
        </w:rPr>
      </w:pPr>
      <w:r>
        <w:rPr>
          <w:rStyle w:val="12"/>
          <w:rFonts w:ascii="Arial" w:hAnsi="Arial" w:eastAsia="宋体" w:cs="Arial"/>
        </w:rPr>
        <w:t xml:space="preserve">PRAStaff@fda.hhs.gov </w:t>
      </w:r>
    </w:p>
    <w:p w14:paraId="011E85EA">
      <w:pPr>
        <w:pStyle w:val="19"/>
        <w:snapToGrid w:val="0"/>
        <w:spacing w:after="156" w:afterLines="50" w:line="300" w:lineRule="auto"/>
        <w:ind w:left="360"/>
        <w:rPr>
          <w:rFonts w:ascii="Arial" w:hAnsi="Arial" w:eastAsia="宋体" w:cs="Arial"/>
          <w:szCs w:val="21"/>
        </w:rPr>
      </w:pPr>
      <w:r>
        <w:rPr>
          <w:rFonts w:ascii="Arial" w:hAnsi="Arial" w:eastAsia="宋体" w:cs="Arial"/>
          <w:szCs w:val="21"/>
        </w:rPr>
        <w:t>本指南还涉及FDA规定的先前批准的信息收集。21 CFR第803部分中的信息收集根据OMB控制编号0910-0437批准；21 CFR 801部分的信息收集根据OMB控制编号0910-0485批准；21 CFR部分812中的信息收集根据OMB控制编号0910-0078批准；21 CFR第807部分E部分的信息收集根据OMB控制编号0910-0120批准；21 CFR部分820中的信息收集根据OMB控制编号0910-0073批准；21 CFR第822部分中的信息收集根据OMB控制编号0910-0449批准；21 CFR 56.115中的信息收集根据OMB控制编号0910-0130</w:t>
      </w:r>
      <w:bookmarkStart w:id="51" w:name="OLE_LINK43"/>
      <w:bookmarkStart w:id="52" w:name="OLE_LINK42"/>
      <w:r>
        <w:rPr>
          <w:rFonts w:ascii="Arial" w:hAnsi="Arial" w:eastAsia="宋体" w:cs="Arial"/>
          <w:szCs w:val="21"/>
        </w:rPr>
        <w:t>批准</w:t>
      </w:r>
      <w:bookmarkEnd w:id="51"/>
      <w:bookmarkEnd w:id="52"/>
      <w:r>
        <w:rPr>
          <w:rFonts w:ascii="Arial" w:hAnsi="Arial" w:eastAsia="宋体" w:cs="Arial"/>
          <w:szCs w:val="21"/>
        </w:rPr>
        <w:t>。</w:t>
      </w:r>
    </w:p>
    <w:p w14:paraId="2685E4DE">
      <w:pPr>
        <w:widowControl/>
        <w:jc w:val="left"/>
        <w:rPr>
          <w:rFonts w:ascii="Arial" w:hAnsi="Arial" w:eastAsia="宋体" w:cs="Arial"/>
          <w:szCs w:val="21"/>
        </w:rPr>
      </w:pPr>
      <w:r>
        <w:rPr>
          <w:rFonts w:ascii="Arial" w:hAnsi="Arial" w:eastAsia="宋体" w:cs="Arial"/>
          <w:szCs w:val="21"/>
        </w:rPr>
        <w:br w:type="page"/>
      </w:r>
    </w:p>
    <w:p w14:paraId="1D695950">
      <w:pPr>
        <w:pStyle w:val="19"/>
        <w:snapToGrid w:val="0"/>
        <w:spacing w:after="156" w:afterLines="50" w:line="300" w:lineRule="auto"/>
        <w:ind w:left="360"/>
        <w:rPr>
          <w:rFonts w:ascii="Arial" w:hAnsi="Arial" w:eastAsia="宋体" w:cs="Arial"/>
          <w:szCs w:val="21"/>
        </w:rPr>
      </w:pPr>
      <w:r>
        <w:rPr>
          <w:rFonts w:ascii="Arial" w:hAnsi="Arial" w:eastAsia="宋体" w:cs="Arial"/>
          <w:szCs w:val="21"/>
        </w:rPr>
        <w:t>除非显示当前有效的OMB控制编号，否则机构可能不会进行或发起且个人不需要回复信息收集。安全保证实例信息收集的OMB控制编号为0910-0766。</w:t>
      </w:r>
    </w:p>
    <w:p w14:paraId="7C80C380">
      <w:pPr>
        <w:pStyle w:val="19"/>
        <w:snapToGrid w:val="0"/>
        <w:spacing w:after="156" w:afterLines="50" w:line="300" w:lineRule="auto"/>
        <w:ind w:left="360"/>
        <w:rPr>
          <w:rFonts w:ascii="Arial" w:hAnsi="Arial" w:eastAsia="宋体" w:cs="Arial"/>
          <w:sz w:val="23"/>
          <w:szCs w:val="23"/>
        </w:rPr>
      </w:pPr>
    </w:p>
    <w:p w14:paraId="70AEAF91">
      <w:pPr>
        <w:snapToGrid w:val="0"/>
        <w:spacing w:after="156" w:afterLines="50" w:line="300" w:lineRule="auto"/>
        <w:rPr>
          <w:rFonts w:ascii="Arial" w:hAnsi="Arial" w:eastAsia="宋体" w:cs="Arial"/>
        </w:rPr>
      </w:pPr>
    </w:p>
    <w:p w14:paraId="0F244AE3">
      <w:pPr>
        <w:snapToGrid w:val="0"/>
        <w:spacing w:after="156" w:afterLines="50" w:line="300" w:lineRule="auto"/>
        <w:jc w:val="center"/>
        <w:rPr>
          <w:ins w:id="0" w:author="太极箫客" w:date="2025-08-14T14:15:23Z"/>
          <w:rFonts w:hint="eastAsia" w:eastAsia="宋体"/>
          <w:lang w:eastAsia="zh-CN"/>
        </w:rPr>
      </w:pPr>
    </w:p>
    <w:p w14:paraId="658CA4EF">
      <w:pPr>
        <w:snapToGrid w:val="0"/>
        <w:spacing w:after="156" w:afterLines="50" w:line="300" w:lineRule="auto"/>
        <w:jc w:val="center"/>
        <w:rPr>
          <w:ins w:id="1" w:author="太极箫客" w:date="2025-08-14T14:15:24Z"/>
          <w:rFonts w:hint="eastAsia" w:eastAsia="宋体"/>
          <w:lang w:eastAsia="zh-CN"/>
        </w:rPr>
      </w:pPr>
    </w:p>
    <w:p w14:paraId="2F2CDDBA">
      <w:pPr>
        <w:snapToGrid w:val="0"/>
        <w:spacing w:after="156" w:afterLines="50" w:line="300" w:lineRule="auto"/>
        <w:jc w:val="center"/>
        <w:rPr>
          <w:ins w:id="2" w:author="太极箫客" w:date="2025-08-14T14:15:23Z"/>
          <w:rFonts w:hint="eastAsia" w:eastAsia="宋体"/>
          <w:lang w:eastAsia="zh-CN"/>
        </w:rPr>
      </w:pPr>
      <w:ins w:id="3" w:author="太极箫客" w:date="2025-08-14T14:15:24Z">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8"/>
                      <a:stretch>
                        <a:fillRect/>
                      </a:stretch>
                    </pic:blipFill>
                    <pic:spPr>
                      <a:xfrm>
                        <a:off x="0" y="0"/>
                        <a:ext cx="5210175" cy="7343775"/>
                      </a:xfrm>
                      <a:prstGeom prst="rect">
                        <a:avLst/>
                      </a:prstGeom>
                    </pic:spPr>
                  </pic:pic>
                </a:graphicData>
              </a:graphic>
            </wp:inline>
          </w:drawing>
        </w:r>
      </w:ins>
    </w:p>
    <w:sectPr>
      <w:headerReference r:id="rId4" w:type="default"/>
      <w:footerReference r:id="rId5"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563991251"/>
      <w:docPartObj>
        <w:docPartGallery w:val="AutoText"/>
      </w:docPartObj>
    </w:sdtPr>
    <w:sdtEndPr>
      <w:rPr>
        <w:rFonts w:ascii="Arial" w:hAnsi="Arial" w:cs="Arial"/>
        <w:sz w:val="21"/>
        <w:szCs w:val="21"/>
      </w:rPr>
    </w:sdtEndPr>
    <w:sdtContent>
      <w:p w14:paraId="04E11909">
        <w:pPr>
          <w:pStyle w:val="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37</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11088EE1">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hint="eastAsia" w:ascii="Arial" w:hAnsi="Arial" w:eastAsia="宋体" w:cs="Arial"/>
        </w:rPr>
        <w:t>在</w:t>
      </w:r>
      <w:r>
        <w:rPr>
          <w:rFonts w:ascii="Arial" w:hAnsi="Arial" w:eastAsia="宋体" w:cs="Arial"/>
        </w:rPr>
        <w:t>本指南</w:t>
      </w:r>
      <w:r>
        <w:rPr>
          <w:rFonts w:hint="eastAsia" w:ascii="Arial" w:hAnsi="Arial" w:eastAsia="宋体" w:cs="Arial"/>
        </w:rPr>
        <w:t>中</w:t>
      </w:r>
      <w:r>
        <w:rPr>
          <w:rFonts w:ascii="Arial" w:hAnsi="Arial" w:eastAsia="宋体" w:cs="Arial"/>
        </w:rPr>
        <w:t>，术语</w:t>
      </w:r>
      <w:r>
        <w:rPr>
          <w:rFonts w:ascii="宋体" w:hAnsi="宋体" w:eastAsia="宋体" w:cs="Arial"/>
        </w:rPr>
        <w:t>“</w:t>
      </w:r>
      <w:r>
        <w:rPr>
          <w:rFonts w:ascii="Arial" w:hAnsi="Arial" w:eastAsia="宋体" w:cs="Arial"/>
        </w:rPr>
        <w:t>液体</w:t>
      </w:r>
      <w:r>
        <w:rPr>
          <w:rFonts w:ascii="宋体" w:hAnsi="宋体" w:eastAsia="宋体" w:cs="Arial"/>
        </w:rPr>
        <w:t>”</w:t>
      </w:r>
      <w:r>
        <w:rPr>
          <w:rFonts w:ascii="Arial" w:hAnsi="Arial" w:eastAsia="宋体" w:cs="Arial"/>
        </w:rPr>
        <w:t>是指FDA批准的药物和许可的生物制品。</w:t>
      </w:r>
    </w:p>
  </w:footnote>
  <w:footnote w:id="1">
    <w:p w14:paraId="49DD2CB7">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本指南还包括旨在供家庭或其他地方的外行使用的处方输液泵的建议。在本指南中，</w:t>
      </w:r>
      <w:r>
        <w:rPr>
          <w:rFonts w:ascii="宋体" w:hAnsi="宋体" w:eastAsia="宋体" w:cs="Arial"/>
        </w:rPr>
        <w:t>“</w:t>
      </w:r>
      <w:r>
        <w:rPr>
          <w:rFonts w:ascii="Arial" w:hAnsi="Arial" w:eastAsia="宋体" w:cs="Arial"/>
        </w:rPr>
        <w:t>普通用户</w:t>
      </w:r>
      <w:r>
        <w:rPr>
          <w:rFonts w:ascii="宋体" w:hAnsi="宋体" w:eastAsia="宋体" w:cs="Arial"/>
        </w:rPr>
        <w:t>”</w:t>
      </w:r>
      <w:r>
        <w:rPr>
          <w:rFonts w:ascii="Arial" w:hAnsi="Arial" w:eastAsia="宋体" w:cs="Arial"/>
        </w:rPr>
        <w:t>或</w:t>
      </w:r>
      <w:r>
        <w:rPr>
          <w:rFonts w:ascii="宋体" w:hAnsi="宋体" w:eastAsia="宋体" w:cs="Arial"/>
        </w:rPr>
        <w:t>“</w:t>
      </w:r>
      <w:r>
        <w:rPr>
          <w:rFonts w:ascii="Arial" w:hAnsi="Arial" w:eastAsia="宋体" w:cs="Arial"/>
        </w:rPr>
        <w:t>家庭用户</w:t>
      </w:r>
      <w:r>
        <w:rPr>
          <w:rFonts w:ascii="宋体" w:hAnsi="宋体" w:eastAsia="宋体" w:cs="Arial"/>
        </w:rPr>
        <w:t>”</w:t>
      </w:r>
      <w:r>
        <w:rPr>
          <w:rFonts w:ascii="Arial" w:hAnsi="Arial" w:eastAsia="宋体" w:cs="Arial"/>
        </w:rPr>
        <w:t>是从医疗保健提供者或类似医疗保健提供者接收输液泵的用户，以及在医疗保健机构以外的任何环境下在许可执业医师的监督下使用输液泵的用户，包括家里。</w:t>
      </w:r>
    </w:p>
  </w:footnote>
  <w:footnote w:id="2">
    <w:p w14:paraId="14E29AE7">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hint="eastAsia" w:ascii="Arial" w:hAnsi="Arial" w:eastAsia="宋体" w:cs="Arial"/>
        </w:rPr>
        <w:t>贵</w:t>
      </w:r>
      <w:r>
        <w:rPr>
          <w:rFonts w:ascii="Arial" w:hAnsi="Arial" w:eastAsia="宋体" w:cs="Arial"/>
        </w:rPr>
        <w:t>公司可以将这些文件称为</w:t>
      </w:r>
      <w:r>
        <w:rPr>
          <w:rFonts w:ascii="宋体" w:hAnsi="宋体" w:eastAsia="宋体" w:cs="Arial"/>
        </w:rPr>
        <w:t>“</w:t>
      </w:r>
      <w:r>
        <w:rPr>
          <w:rFonts w:ascii="Arial" w:hAnsi="Arial" w:eastAsia="宋体" w:cs="Arial"/>
        </w:rPr>
        <w:t>系统规范</w:t>
      </w:r>
      <w:r>
        <w:rPr>
          <w:rFonts w:ascii="宋体" w:hAnsi="宋体" w:eastAsia="宋体" w:cs="Arial"/>
        </w:rPr>
        <w:t>”</w:t>
      </w:r>
      <w:r>
        <w:rPr>
          <w:rFonts w:ascii="Arial" w:hAnsi="Arial" w:eastAsia="宋体" w:cs="Arial"/>
        </w:rPr>
        <w:t>，</w:t>
      </w:r>
      <w:r>
        <w:rPr>
          <w:rFonts w:ascii="宋体" w:hAnsi="宋体" w:eastAsia="宋体" w:cs="Arial"/>
        </w:rPr>
        <w:t>“</w:t>
      </w:r>
      <w:r>
        <w:rPr>
          <w:rFonts w:ascii="Arial" w:hAnsi="Arial" w:eastAsia="宋体" w:cs="Arial"/>
        </w:rPr>
        <w:t>设计要求</w:t>
      </w:r>
      <w:r>
        <w:rPr>
          <w:rFonts w:ascii="宋体" w:hAnsi="宋体" w:eastAsia="宋体" w:cs="Arial"/>
        </w:rPr>
        <w:t>”</w:t>
      </w:r>
      <w:r>
        <w:rPr>
          <w:rFonts w:ascii="Arial" w:hAnsi="Arial" w:eastAsia="宋体" w:cs="Arial"/>
        </w:rPr>
        <w:t>，</w:t>
      </w:r>
      <w:r>
        <w:rPr>
          <w:rFonts w:ascii="宋体" w:hAnsi="宋体" w:eastAsia="宋体" w:cs="Arial"/>
        </w:rPr>
        <w:t>“</w:t>
      </w:r>
      <w:r>
        <w:rPr>
          <w:rFonts w:ascii="Arial" w:hAnsi="Arial" w:eastAsia="宋体" w:cs="Arial"/>
        </w:rPr>
        <w:t>要求规范</w:t>
      </w:r>
      <w:r>
        <w:rPr>
          <w:rFonts w:ascii="宋体" w:hAnsi="宋体" w:eastAsia="宋体" w:cs="Arial"/>
        </w:rPr>
        <w:t>”</w:t>
      </w:r>
      <w:r>
        <w:rPr>
          <w:rFonts w:ascii="Arial" w:hAnsi="Arial" w:eastAsia="宋体" w:cs="Arial"/>
        </w:rPr>
        <w:t>或其他类似的名称。</w:t>
      </w:r>
    </w:p>
  </w:footnote>
  <w:footnote w:id="3">
    <w:p w14:paraId="571A261B">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FDA将考虑输液泵和特定药物或生物产品是否构成21 CFR 3.2（e）中定义的组合产品。</w:t>
      </w:r>
    </w:p>
  </w:footnote>
  <w:footnote w:id="4">
    <w:p w14:paraId="24B37DD8">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根据FDA对这些器械的分析，FDA预计输注泵的大部分</w:t>
      </w:r>
      <w:r>
        <w:rPr>
          <w:rFonts w:hint="eastAsia" w:ascii="Arial" w:hAnsi="Arial" w:eastAsia="宋体" w:cs="Arial"/>
        </w:rPr>
        <w:t>变更</w:t>
      </w:r>
      <w:r>
        <w:rPr>
          <w:rFonts w:ascii="Arial" w:hAnsi="Arial" w:eastAsia="宋体" w:cs="Arial"/>
        </w:rPr>
        <w:t>或修改可能会严重影响器械的安全性或有效性，因此需要提交新的510（k）。</w:t>
      </w:r>
      <w:r>
        <w:rPr>
          <w:rFonts w:hint="eastAsia" w:ascii="Arial" w:hAnsi="Arial" w:eastAsia="宋体" w:cs="Arial"/>
        </w:rPr>
        <w:t>参见</w:t>
      </w:r>
      <w:r>
        <w:rPr>
          <w:rFonts w:ascii="Arial" w:hAnsi="Arial" w:eastAsia="宋体" w:cs="Arial"/>
        </w:rPr>
        <w:t xml:space="preserve"> 21 CFR 807.81（a)（3)</w:t>
      </w:r>
      <w:r>
        <w:rPr>
          <w:rFonts w:hint="eastAsia" w:ascii="Arial" w:hAnsi="Arial" w:eastAsia="宋体" w:cs="Arial"/>
        </w:rPr>
        <w:t>。请注意，对</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）许可器械的预期用途或技术的更改可能会使器械与合法销售的比较器械基本上不相等（</w:t>
      </w:r>
      <w:r>
        <w:rPr>
          <w:rFonts w:ascii="Arial" w:hAnsi="Arial" w:eastAsia="宋体" w:cs="Arial"/>
        </w:rPr>
        <w:t>NSE</w:t>
      </w:r>
      <w:r>
        <w:rPr>
          <w:rFonts w:hint="eastAsia" w:ascii="Arial" w:hAnsi="Arial" w:eastAsia="宋体" w:cs="Arial"/>
        </w:rPr>
        <w:t>）。有关实质等同性和</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）提交材料的详细信息，请参阅</w:t>
      </w:r>
      <w:r>
        <w:rPr>
          <w:rFonts w:ascii="Arial" w:hAnsi="Arial" w:eastAsia="宋体" w:cs="Arial"/>
        </w:rPr>
        <w:t>FDA</w:t>
      </w:r>
      <w:r>
        <w:rPr>
          <w:rFonts w:hint="eastAsia" w:ascii="Arial" w:hAnsi="Arial" w:eastAsia="宋体" w:cs="Arial"/>
        </w:rPr>
        <w:t>题为</w:t>
      </w:r>
      <w:r>
        <w:rPr>
          <w:rFonts w:hint="eastAsia" w:ascii="宋体" w:hAnsi="宋体" w:eastAsia="宋体" w:cs="Arial"/>
        </w:rPr>
        <w:t>《</w:t>
      </w:r>
      <w:r>
        <w:rPr>
          <w:rFonts w:ascii="Arial" w:hAnsi="Arial" w:eastAsia="宋体" w:cs="Arial"/>
          <w:color w:val="0000FF"/>
          <w:u w:val="single"/>
        </w:rPr>
        <w:t>510</w:t>
      </w:r>
      <w:r>
        <w:rPr>
          <w:rFonts w:hint="eastAsia" w:ascii="Arial" w:hAnsi="Arial" w:eastAsia="宋体" w:cs="Arial"/>
          <w:color w:val="0000FF"/>
          <w:u w:val="single"/>
        </w:rPr>
        <w:t>（</w:t>
      </w:r>
      <w:r>
        <w:rPr>
          <w:rFonts w:ascii="Arial" w:hAnsi="Arial" w:eastAsia="宋体" w:cs="Arial"/>
          <w:color w:val="0000FF"/>
          <w:u w:val="single"/>
        </w:rPr>
        <w:t>k</w:t>
      </w:r>
      <w:r>
        <w:rPr>
          <w:rFonts w:hint="eastAsia" w:ascii="Arial" w:hAnsi="Arial" w:eastAsia="宋体" w:cs="Arial"/>
          <w:color w:val="0000FF"/>
          <w:u w:val="single"/>
        </w:rPr>
        <w:t>）程序：评估上市前通告中的实质等同性</w:t>
      </w:r>
      <w:r>
        <w:rPr>
          <w:rFonts w:hint="eastAsia" w:ascii="宋体" w:hAnsi="宋体" w:eastAsia="宋体" w:cs="Arial"/>
        </w:rPr>
        <w:t>》</w:t>
      </w:r>
      <w:r>
        <w:rPr>
          <w:rFonts w:ascii="Arial" w:hAnsi="Arial" w:eastAsia="宋体" w:cs="Arial"/>
          <w:color w:val="0000FF"/>
        </w:rPr>
        <w:t>[510</w:t>
      </w:r>
      <w:r>
        <w:rPr>
          <w:rFonts w:hint="eastAsia" w:ascii="Arial" w:hAnsi="Arial" w:eastAsia="宋体" w:cs="Arial"/>
          <w:color w:val="0000FF"/>
        </w:rPr>
        <w:t>（</w:t>
      </w:r>
      <w:r>
        <w:rPr>
          <w:rFonts w:ascii="Arial" w:hAnsi="Arial" w:eastAsia="宋体" w:cs="Arial"/>
          <w:color w:val="0000FF"/>
        </w:rPr>
        <w:t>k</w:t>
      </w:r>
      <w:r>
        <w:rPr>
          <w:rFonts w:hint="eastAsia" w:ascii="Arial" w:hAnsi="Arial" w:eastAsia="宋体" w:cs="Arial"/>
          <w:color w:val="0000FF"/>
        </w:rPr>
        <w:t>）</w:t>
      </w:r>
      <w:r>
        <w:rPr>
          <w:rFonts w:ascii="Arial" w:hAnsi="Arial" w:eastAsia="宋体" w:cs="Arial"/>
          <w:color w:val="0000FF"/>
        </w:rPr>
        <w:t>]</w:t>
      </w:r>
      <w:r>
        <w:rPr>
          <w:rFonts w:hint="eastAsia" w:ascii="Arial" w:hAnsi="Arial" w:eastAsia="宋体" w:cs="Arial"/>
        </w:rPr>
        <w:t>的指南</w:t>
      </w:r>
      <w:r>
        <w:rPr>
          <w:rFonts w:ascii="Arial" w:hAnsi="Arial" w:eastAsia="宋体" w:cs="Arial"/>
        </w:rPr>
        <w:t>（</w:t>
      </w:r>
      <w:r>
        <w:rPr>
          <w:rFonts w:ascii="Arial" w:hAnsi="Arial" w:eastAsia="宋体" w:cs="Arial"/>
          <w:color w:val="0000FF"/>
          <w:u w:val="single"/>
        </w:rPr>
        <w:t>http://www.fda.gov/downloads/MedicalDevices//UCM284443.pdf</w:t>
      </w:r>
      <w:r>
        <w:rPr>
          <w:rFonts w:ascii="Arial" w:hAnsi="Arial" w:eastAsia="宋体" w:cs="Arial"/>
        </w:rPr>
        <w:t>)</w:t>
      </w:r>
      <w:r>
        <w:rPr>
          <w:rFonts w:hint="eastAsia" w:ascii="Arial" w:hAnsi="Arial" w:eastAsia="宋体" w:cs="Arial"/>
        </w:rPr>
        <w:t>。因此，除非根据</w:t>
      </w:r>
      <w:r>
        <w:rPr>
          <w:rFonts w:hint="eastAsia" w:ascii="宋体" w:hAnsi="宋体" w:eastAsia="宋体" w:cs="Arial"/>
        </w:rPr>
        <w:t>《</w:t>
      </w:r>
      <w:r>
        <w:rPr>
          <w:rFonts w:hint="eastAsia" w:ascii="Arial" w:hAnsi="Arial" w:eastAsia="宋体" w:cs="Arial"/>
        </w:rPr>
        <w:t>联邦食品、药品和化妆品法案</w:t>
      </w:r>
      <w:r>
        <w:rPr>
          <w:rFonts w:hint="eastAsia" w:ascii="宋体" w:hAnsi="宋体" w:eastAsia="宋体" w:cs="Arial"/>
        </w:rPr>
        <w:t>》</w:t>
      </w:r>
      <w:r>
        <w:rPr>
          <w:rFonts w:hint="eastAsia" w:ascii="Arial" w:hAnsi="Arial" w:eastAsia="宋体" w:cs="Arial"/>
        </w:rPr>
        <w:t>第</w:t>
      </w:r>
      <w:r>
        <w:rPr>
          <w:rFonts w:ascii="Arial" w:hAnsi="Arial" w:eastAsia="宋体" w:cs="Arial"/>
        </w:rPr>
        <w:t>513</w:t>
      </w:r>
      <w:r>
        <w:rPr>
          <w:rFonts w:hint="eastAsia" w:ascii="Arial" w:hAnsi="Arial" w:eastAsia="宋体" w:cs="Arial"/>
        </w:rPr>
        <w:t>条将该器械重新分类，否则任何此类器械可能是</w:t>
      </w:r>
      <w:r>
        <w:rPr>
          <w:rFonts w:ascii="Arial" w:hAnsi="Arial" w:eastAsia="宋体" w:cs="Arial"/>
        </w:rPr>
        <w:t>III</w:t>
      </w:r>
      <w:r>
        <w:rPr>
          <w:rFonts w:hint="eastAsia" w:ascii="Arial" w:hAnsi="Arial" w:eastAsia="宋体" w:cs="Arial"/>
        </w:rPr>
        <w:t>类器械并且需要上市前批准申请（</w:t>
      </w:r>
      <w:r>
        <w:rPr>
          <w:rFonts w:ascii="Arial" w:hAnsi="Arial" w:eastAsia="宋体" w:cs="Arial"/>
        </w:rPr>
        <w:t>PMA</w:t>
      </w:r>
      <w:r>
        <w:rPr>
          <w:rFonts w:hint="eastAsia" w:ascii="Arial" w:hAnsi="Arial" w:eastAsia="宋体" w:cs="Arial"/>
        </w:rPr>
        <w:t>）。</w:t>
      </w:r>
    </w:p>
  </w:footnote>
  <w:footnote w:id="5">
    <w:p w14:paraId="0DD29802">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有关</w:t>
      </w:r>
      <w:r>
        <w:rPr>
          <w:rFonts w:hint="eastAsia" w:ascii="Arial" w:hAnsi="Arial" w:eastAsia="宋体" w:cs="Arial"/>
        </w:rPr>
        <w:t>保证实例</w:t>
      </w:r>
      <w:r>
        <w:rPr>
          <w:rFonts w:ascii="Arial" w:hAnsi="Arial" w:eastAsia="宋体" w:cs="Arial"/>
        </w:rPr>
        <w:t>报告的更多信息，请参见，例如：Graydon</w:t>
      </w:r>
      <w:r>
        <w:rPr>
          <w:rFonts w:hint="eastAsia" w:ascii="Arial" w:hAnsi="Arial" w:eastAsia="宋体" w:cs="Arial"/>
        </w:rPr>
        <w:t>，</w:t>
      </w:r>
      <w:r>
        <w:rPr>
          <w:rFonts w:ascii="Arial" w:hAnsi="Arial" w:eastAsia="宋体" w:cs="Arial"/>
        </w:rPr>
        <w:t>P.</w:t>
      </w:r>
      <w:r>
        <w:rPr>
          <w:rFonts w:hint="eastAsia" w:ascii="Arial" w:hAnsi="Arial" w:eastAsia="宋体" w:cs="Arial"/>
        </w:rPr>
        <w:t>，</w:t>
      </w:r>
      <w:r>
        <w:rPr>
          <w:rFonts w:ascii="Arial" w:hAnsi="Arial" w:eastAsia="宋体" w:cs="Arial"/>
        </w:rPr>
        <w:t>J. Knight</w:t>
      </w:r>
      <w:r>
        <w:rPr>
          <w:rFonts w:hint="eastAsia" w:ascii="Arial" w:hAnsi="Arial" w:eastAsia="宋体" w:cs="Arial"/>
        </w:rPr>
        <w:t>和</w:t>
      </w:r>
      <w:r>
        <w:rPr>
          <w:rFonts w:ascii="Arial" w:hAnsi="Arial" w:eastAsia="宋体" w:cs="Arial"/>
        </w:rPr>
        <w:t>E. Strunk</w:t>
      </w:r>
      <w:r>
        <w:rPr>
          <w:rFonts w:hint="eastAsia" w:ascii="Arial" w:hAnsi="Arial" w:eastAsia="宋体" w:cs="Arial"/>
        </w:rPr>
        <w:t>，</w:t>
      </w:r>
      <w:r>
        <w:rPr>
          <w:rFonts w:hint="eastAsia" w:ascii="宋体" w:hAnsi="宋体" w:eastAsia="宋体" w:cs="Arial"/>
        </w:rPr>
        <w:t>《</w:t>
      </w:r>
      <w:r>
        <w:rPr>
          <w:rFonts w:ascii="Arial" w:hAnsi="Arial" w:eastAsia="宋体" w:cs="Arial"/>
        </w:rPr>
        <w:t>基于关键系统发展</w:t>
      </w:r>
      <w:r>
        <w:rPr>
          <w:rFonts w:hint="eastAsia" w:ascii="Arial" w:hAnsi="Arial" w:eastAsia="宋体" w:cs="Arial"/>
        </w:rPr>
        <w:t>的</w:t>
      </w:r>
      <w:r>
        <w:rPr>
          <w:rFonts w:ascii="Arial" w:hAnsi="Arial" w:eastAsia="宋体" w:cs="Arial"/>
        </w:rPr>
        <w:t>保障</w:t>
      </w:r>
      <w:r>
        <w:rPr>
          <w:rFonts w:hint="eastAsia" w:ascii="宋体" w:hAnsi="宋体" w:eastAsia="宋体" w:cs="Arial"/>
        </w:rPr>
        <w:t>》</w:t>
      </w:r>
      <w:r>
        <w:rPr>
          <w:rFonts w:hint="eastAsia" w:ascii="Arial" w:hAnsi="Arial" w:eastAsia="宋体" w:cs="Arial"/>
        </w:rPr>
        <w:t>第</w:t>
      </w:r>
      <w:r>
        <w:rPr>
          <w:rFonts w:ascii="Arial" w:hAnsi="Arial" w:eastAsia="宋体" w:cs="Arial"/>
        </w:rPr>
        <w:t>37</w:t>
      </w:r>
      <w:r>
        <w:rPr>
          <w:rFonts w:hint="eastAsia" w:ascii="Arial" w:hAnsi="Arial" w:eastAsia="宋体" w:cs="Arial"/>
        </w:rPr>
        <w:t>届国际可靠系统和网络年会，</w:t>
      </w:r>
      <w:r>
        <w:rPr>
          <w:rFonts w:ascii="Arial" w:hAnsi="Arial" w:eastAsia="宋体" w:cs="Arial"/>
        </w:rPr>
        <w:t>Edinburgh, U.K., 2007</w:t>
      </w:r>
      <w:r>
        <w:rPr>
          <w:rFonts w:hint="eastAsia" w:ascii="Arial" w:hAnsi="Arial" w:eastAsia="宋体" w:cs="Arial"/>
        </w:rPr>
        <w:t>；</w:t>
      </w:r>
      <w:r>
        <w:rPr>
          <w:rFonts w:ascii="Arial" w:hAnsi="Arial" w:eastAsia="宋体" w:cs="Arial"/>
        </w:rPr>
        <w:t>Kelly, T.,</w:t>
      </w:r>
      <w:r>
        <w:rPr>
          <w:rFonts w:hint="eastAsia" w:ascii="Arial" w:hAnsi="Arial" w:eastAsia="宋体" w:cs="Arial"/>
        </w:rPr>
        <w:t>争议安全</w:t>
      </w:r>
      <w:r>
        <w:rPr>
          <w:rFonts w:ascii="Arial" w:hAnsi="Arial" w:eastAsia="宋体" w:cs="Arial"/>
        </w:rPr>
        <w:t>-</w:t>
      </w:r>
      <w:r>
        <w:rPr>
          <w:rFonts w:hint="eastAsia" w:ascii="Arial" w:hAnsi="Arial" w:eastAsia="宋体" w:cs="Arial"/>
        </w:rPr>
        <w:t>管理安全实例的系统方法，博士论文，</w:t>
      </w:r>
      <w:r>
        <w:rPr>
          <w:rFonts w:ascii="Arial" w:hAnsi="Arial" w:eastAsia="宋体" w:cs="Arial"/>
        </w:rPr>
        <w:t>University of York, U.K., 1998</w:t>
      </w:r>
      <w:r>
        <w:rPr>
          <w:rFonts w:hint="eastAsia" w:ascii="Arial" w:hAnsi="Arial" w:eastAsia="宋体" w:cs="Arial"/>
        </w:rPr>
        <w:t>；</w:t>
      </w:r>
      <w:r>
        <w:rPr>
          <w:rFonts w:ascii="Arial" w:hAnsi="Arial" w:eastAsia="宋体" w:cs="Arial"/>
        </w:rPr>
        <w:t>Kelly, T.,</w:t>
      </w:r>
      <w:r>
        <w:rPr>
          <w:rFonts w:hint="eastAsia" w:ascii="Arial" w:hAnsi="Arial" w:eastAsia="宋体" w:cs="Arial"/>
        </w:rPr>
        <w:t>审查保证论证</w:t>
      </w:r>
      <w:r>
        <w:rPr>
          <w:rFonts w:ascii="Arial" w:hAnsi="Arial" w:eastAsia="宋体" w:cs="Arial"/>
        </w:rPr>
        <w:t>-</w:t>
      </w:r>
      <w:r>
        <w:rPr>
          <w:rFonts w:hint="eastAsia" w:ascii="Arial" w:hAnsi="Arial" w:eastAsia="宋体" w:cs="Arial"/>
        </w:rPr>
        <w:t>循序渐进</w:t>
      </w:r>
      <w:r>
        <w:rPr>
          <w:rFonts w:hint="eastAsia" w:ascii="宋体" w:hAnsi="宋体" w:eastAsia="宋体" w:cs="Arial"/>
        </w:rPr>
        <w:t>，</w:t>
      </w:r>
      <w:r>
        <w:rPr>
          <w:rFonts w:hint="eastAsia" w:ascii="Arial" w:hAnsi="Arial" w:eastAsia="宋体" w:cs="Arial"/>
        </w:rPr>
        <w:t>安全保障案例研讨会</w:t>
      </w:r>
      <w:r>
        <w:rPr>
          <w:rFonts w:ascii="Arial" w:hAnsi="Arial" w:eastAsia="宋体" w:cs="Arial"/>
        </w:rPr>
        <w:t>-</w:t>
      </w:r>
      <w:r>
        <w:rPr>
          <w:rFonts w:hint="eastAsia" w:ascii="Arial" w:hAnsi="Arial" w:eastAsia="宋体" w:cs="Arial"/>
        </w:rPr>
        <w:t>指标挑战，可靠的系统和网络，</w:t>
      </w:r>
      <w:r>
        <w:rPr>
          <w:rFonts w:ascii="Arial" w:hAnsi="Arial" w:eastAsia="宋体" w:cs="Arial"/>
        </w:rPr>
        <w:t>2007</w:t>
      </w:r>
      <w:r>
        <w:rPr>
          <w:rFonts w:hint="eastAsia" w:ascii="Arial" w:hAnsi="Arial" w:eastAsia="宋体" w:cs="Arial"/>
        </w:rPr>
        <w:t>年</w:t>
      </w:r>
      <w:r>
        <w:rPr>
          <w:rFonts w:ascii="Arial" w:hAnsi="Arial" w:eastAsia="宋体" w:cs="Arial"/>
        </w:rPr>
        <w:t>7</w:t>
      </w:r>
      <w:r>
        <w:rPr>
          <w:rFonts w:hint="eastAsia" w:ascii="Arial" w:hAnsi="Arial" w:eastAsia="宋体" w:cs="Arial"/>
        </w:rPr>
        <w:t>月；</w:t>
      </w:r>
      <w:r>
        <w:rPr>
          <w:rFonts w:ascii="Arial" w:hAnsi="Arial" w:eastAsia="宋体" w:cs="Arial"/>
        </w:rPr>
        <w:t xml:space="preserve">Kelly, Tim, </w:t>
      </w:r>
      <w:r>
        <w:rPr>
          <w:rFonts w:hint="eastAsia" w:ascii="Arial" w:hAnsi="Arial" w:eastAsia="宋体" w:cs="Arial"/>
        </w:rPr>
        <w:t>和</w:t>
      </w:r>
      <w:r>
        <w:rPr>
          <w:rFonts w:ascii="Arial" w:hAnsi="Arial" w:eastAsia="宋体" w:cs="Arial"/>
        </w:rPr>
        <w:t xml:space="preserve"> J. McDermid</w:t>
      </w:r>
      <w:r>
        <w:rPr>
          <w:rFonts w:hint="eastAsia" w:ascii="Arial" w:hAnsi="Arial" w:eastAsia="宋体" w:cs="Arial"/>
        </w:rPr>
        <w:t>，安全案例模式</w:t>
      </w:r>
      <w:r>
        <w:rPr>
          <w:rFonts w:ascii="Arial" w:hAnsi="Arial" w:eastAsia="宋体" w:cs="Arial"/>
        </w:rPr>
        <w:t>-</w:t>
      </w:r>
      <w:r>
        <w:rPr>
          <w:rFonts w:hint="eastAsia" w:ascii="Arial" w:hAnsi="Arial" w:eastAsia="宋体" w:cs="Arial"/>
        </w:rPr>
        <w:t>重用成功的论据，</w:t>
      </w:r>
      <w:r>
        <w:rPr>
          <w:rFonts w:ascii="Arial" w:hAnsi="Arial" w:eastAsia="宋体" w:cs="Arial"/>
        </w:rPr>
        <w:t>IEE</w:t>
      </w:r>
      <w:r>
        <w:rPr>
          <w:rFonts w:hint="eastAsia" w:ascii="Arial" w:hAnsi="Arial" w:eastAsia="宋体" w:cs="Arial"/>
        </w:rPr>
        <w:t>关于理解模式的讨论会及其在系统工程中的应用，</w:t>
      </w:r>
      <w:r>
        <w:rPr>
          <w:rFonts w:ascii="Arial" w:hAnsi="Arial" w:eastAsia="宋体" w:cs="Arial"/>
        </w:rPr>
        <w:t>London, 1998</w:t>
      </w:r>
      <w:r>
        <w:rPr>
          <w:rFonts w:hint="eastAsia" w:ascii="Arial" w:hAnsi="Arial" w:eastAsia="宋体" w:cs="Arial"/>
        </w:rPr>
        <w:t>年</w:t>
      </w:r>
      <w:r>
        <w:rPr>
          <w:rFonts w:ascii="Arial" w:hAnsi="Arial" w:eastAsia="宋体" w:cs="Arial"/>
        </w:rPr>
        <w:t>4</w:t>
      </w:r>
      <w:r>
        <w:rPr>
          <w:rFonts w:hint="eastAsia" w:ascii="Arial" w:hAnsi="Arial" w:eastAsia="宋体" w:cs="Arial"/>
        </w:rPr>
        <w:t>月；</w:t>
      </w:r>
      <w:r>
        <w:rPr>
          <w:rFonts w:ascii="Arial" w:hAnsi="Arial" w:eastAsia="宋体" w:cs="Arial"/>
        </w:rPr>
        <w:t xml:space="preserve">Weinstock, Charles B. </w:t>
      </w:r>
      <w:r>
        <w:rPr>
          <w:rFonts w:hint="eastAsia" w:ascii="Arial" w:hAnsi="Arial" w:eastAsia="宋体" w:cs="Arial"/>
        </w:rPr>
        <w:t>和</w:t>
      </w:r>
      <w:r>
        <w:rPr>
          <w:rFonts w:ascii="Arial" w:hAnsi="Arial" w:eastAsia="宋体" w:cs="Arial"/>
        </w:rPr>
        <w:t xml:space="preserve"> Goodenough, John B.</w:t>
      </w:r>
      <w:r>
        <w:rPr>
          <w:rFonts w:hint="eastAsia" w:ascii="Arial" w:hAnsi="Arial" w:eastAsia="宋体" w:cs="Arial"/>
        </w:rPr>
        <w:t>，医疗器械保证案例实践</w:t>
      </w:r>
      <w:r>
        <w:rPr>
          <w:rFonts w:hint="eastAsia" w:ascii="宋体" w:hAnsi="宋体" w:eastAsia="宋体" w:cs="Arial"/>
        </w:rPr>
        <w:t>，</w:t>
      </w:r>
      <w:r>
        <w:rPr>
          <w:rFonts w:hint="eastAsia" w:ascii="Arial" w:hAnsi="Arial" w:eastAsia="宋体" w:cs="Arial"/>
        </w:rPr>
        <w:t>卡内基梅隆软件工程研究所，</w:t>
      </w:r>
      <w:r>
        <w:rPr>
          <w:rFonts w:ascii="Arial" w:hAnsi="Arial" w:eastAsia="宋体" w:cs="Arial"/>
        </w:rPr>
        <w:t>2009</w:t>
      </w:r>
      <w:r>
        <w:rPr>
          <w:rFonts w:hint="eastAsia" w:ascii="Arial" w:hAnsi="Arial" w:eastAsia="宋体" w:cs="Arial"/>
        </w:rPr>
        <w:t>年</w:t>
      </w:r>
      <w:r>
        <w:rPr>
          <w:rFonts w:ascii="Arial" w:hAnsi="Arial" w:eastAsia="宋体" w:cs="Arial"/>
        </w:rPr>
        <w:t>10</w:t>
      </w:r>
      <w:r>
        <w:rPr>
          <w:rFonts w:hint="eastAsia" w:ascii="Arial" w:hAnsi="Arial" w:eastAsia="宋体" w:cs="Arial"/>
        </w:rPr>
        <w:t>月；</w:t>
      </w:r>
      <w:r>
        <w:rPr>
          <w:rFonts w:ascii="Arial" w:hAnsi="Arial" w:eastAsia="宋体" w:cs="Arial"/>
        </w:rPr>
        <w:t>Hawkins, Richard</w:t>
      </w:r>
      <w:r>
        <w:rPr>
          <w:rFonts w:hint="eastAsia" w:ascii="Arial" w:hAnsi="Arial" w:eastAsia="宋体" w:cs="Arial"/>
        </w:rPr>
        <w:t>等，创造清晰的安全论据的新方法，安全关键系统研讨会，</w:t>
      </w:r>
      <w:r>
        <w:rPr>
          <w:rFonts w:ascii="Arial" w:hAnsi="Arial" w:eastAsia="宋体" w:cs="Arial"/>
        </w:rPr>
        <w:t>Southampton, UK,2011</w:t>
      </w:r>
      <w:r>
        <w:rPr>
          <w:rFonts w:hint="eastAsia" w:ascii="Arial" w:hAnsi="Arial" w:eastAsia="宋体" w:cs="Arial"/>
        </w:rPr>
        <w:t>年</w:t>
      </w:r>
      <w:r>
        <w:rPr>
          <w:rFonts w:ascii="Arial" w:hAnsi="Arial" w:eastAsia="宋体" w:cs="Arial"/>
        </w:rPr>
        <w:t>2</w:t>
      </w:r>
      <w:r>
        <w:rPr>
          <w:rFonts w:hint="eastAsia" w:ascii="Arial" w:hAnsi="Arial" w:eastAsia="宋体" w:cs="Arial"/>
        </w:rPr>
        <w:t>月；英国国防部，国防标准</w:t>
      </w:r>
      <w:r>
        <w:rPr>
          <w:rFonts w:ascii="Arial" w:hAnsi="Arial" w:eastAsia="宋体" w:cs="Arial"/>
        </w:rPr>
        <w:t>00-56</w:t>
      </w:r>
      <w:r>
        <w:rPr>
          <w:rFonts w:hint="eastAsia" w:ascii="Arial" w:hAnsi="Arial" w:eastAsia="宋体" w:cs="Arial"/>
        </w:rPr>
        <w:t>，国防系统的安全管理要求</w:t>
      </w:r>
      <w:r>
        <w:rPr>
          <w:rFonts w:ascii="Arial" w:hAnsi="Arial" w:eastAsia="宋体" w:cs="Arial"/>
        </w:rPr>
        <w:t>-</w:t>
      </w:r>
      <w:r>
        <w:rPr>
          <w:rFonts w:hint="eastAsia" w:ascii="Arial" w:hAnsi="Arial" w:eastAsia="宋体" w:cs="Arial"/>
        </w:rPr>
        <w:t>第</w:t>
      </w:r>
      <w:r>
        <w:rPr>
          <w:rFonts w:ascii="Arial" w:hAnsi="Arial" w:eastAsia="宋体" w:cs="Arial"/>
        </w:rPr>
        <w:t>1</w:t>
      </w:r>
      <w:r>
        <w:rPr>
          <w:rFonts w:hint="eastAsia" w:ascii="Arial" w:hAnsi="Arial" w:eastAsia="宋体" w:cs="Arial"/>
        </w:rPr>
        <w:t>部分和第</w:t>
      </w:r>
      <w:r>
        <w:rPr>
          <w:rFonts w:ascii="Arial" w:hAnsi="Arial" w:eastAsia="宋体" w:cs="Arial"/>
        </w:rPr>
        <w:t>2</w:t>
      </w:r>
      <w:r>
        <w:rPr>
          <w:rFonts w:hint="eastAsia" w:ascii="Arial" w:hAnsi="Arial" w:eastAsia="宋体" w:cs="Arial"/>
        </w:rPr>
        <w:t>部分，</w:t>
      </w:r>
      <w:r>
        <w:rPr>
          <w:rFonts w:ascii="Arial" w:hAnsi="Arial" w:eastAsia="宋体" w:cs="Arial"/>
        </w:rPr>
        <w:t>2007</w:t>
      </w:r>
      <w:r>
        <w:rPr>
          <w:rFonts w:hint="eastAsia" w:ascii="Arial" w:hAnsi="Arial" w:eastAsia="宋体" w:cs="Arial"/>
        </w:rPr>
        <w:t>年</w:t>
      </w:r>
      <w:r>
        <w:rPr>
          <w:rFonts w:ascii="Arial" w:hAnsi="Arial" w:eastAsia="宋体" w:cs="Arial"/>
        </w:rPr>
        <w:t>6</w:t>
      </w:r>
      <w:r>
        <w:rPr>
          <w:rFonts w:hint="eastAsia" w:ascii="Arial" w:hAnsi="Arial" w:eastAsia="宋体" w:cs="Arial"/>
        </w:rPr>
        <w:t>月。</w:t>
      </w:r>
    </w:p>
  </w:footnote>
  <w:footnote w:id="6">
    <w:p w14:paraId="326AD4AD">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在本指导性文件中，术语</w:t>
      </w:r>
      <w:r>
        <w:rPr>
          <w:rFonts w:ascii="宋体" w:hAnsi="宋体" w:eastAsia="宋体" w:cs="Arial"/>
        </w:rPr>
        <w:t>“</w:t>
      </w:r>
      <w:r>
        <w:rPr>
          <w:rFonts w:ascii="Arial" w:hAnsi="Arial" w:eastAsia="宋体" w:cs="Arial"/>
        </w:rPr>
        <w:t>设计要求</w:t>
      </w:r>
      <w:r>
        <w:rPr>
          <w:rFonts w:ascii="宋体" w:hAnsi="宋体" w:eastAsia="宋体" w:cs="Arial"/>
        </w:rPr>
        <w:t>”</w:t>
      </w:r>
      <w:r>
        <w:rPr>
          <w:rFonts w:ascii="Arial" w:hAnsi="Arial" w:eastAsia="宋体" w:cs="Arial"/>
        </w:rPr>
        <w:t>与21 CFR第820部分的子部分C</w:t>
      </w:r>
      <w:r>
        <w:rPr>
          <w:rFonts w:hint="eastAsia" w:ascii="Arial" w:hAnsi="Arial" w:eastAsia="宋体" w:cs="Arial"/>
        </w:rPr>
        <w:t>一同</w:t>
      </w:r>
      <w:r>
        <w:rPr>
          <w:rFonts w:ascii="Arial" w:hAnsi="Arial" w:eastAsia="宋体" w:cs="Arial"/>
        </w:rPr>
        <w:t>使用。</w:t>
      </w:r>
    </w:p>
  </w:footnote>
  <w:footnote w:id="7">
    <w:p w14:paraId="7B1D9866">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有关FDA认可的共识标准的更多信息，请参见</w:t>
      </w:r>
      <w:r>
        <w:rPr>
          <w:rStyle w:val="12"/>
          <w:rFonts w:ascii="Arial" w:hAnsi="Arial" w:eastAsia="宋体" w:cs="Arial"/>
          <w:sz w:val="20"/>
          <w:szCs w:val="23"/>
        </w:rPr>
        <w:t>www.accessdata.fda.gov/scripts/cdrh/cfdocs/cfStandards/search.cfm</w:t>
      </w:r>
      <w:r>
        <w:rPr>
          <w:rStyle w:val="12"/>
          <w:rFonts w:ascii="Arial" w:hAnsi="Arial" w:eastAsia="宋体" w:cs="Arial"/>
          <w:color w:val="auto"/>
          <w:sz w:val="20"/>
          <w:szCs w:val="23"/>
          <w:u w:val="none"/>
        </w:rPr>
        <w:t>。</w:t>
      </w:r>
    </w:p>
  </w:footnote>
  <w:footnote w:id="8">
    <w:p w14:paraId="69101588">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对2014年版IEC 60601-1-2的FDA认可可在</w:t>
      </w:r>
      <w:r>
        <w:fldChar w:fldCharType="begin"/>
      </w:r>
      <w:r>
        <w:instrText xml:space="preserve"> HYPERLINK "http://www.accessdata.fda.gov/scripts/cdrh/cfdocs/cfStandards/detail.cfm?standard__identification_no=32631" </w:instrText>
      </w:r>
      <w:r>
        <w:fldChar w:fldCharType="separate"/>
      </w:r>
      <w:r>
        <w:rPr>
          <w:rStyle w:val="12"/>
          <w:rFonts w:ascii="Arial" w:hAnsi="Arial" w:eastAsia="宋体" w:cs="Arial"/>
        </w:rPr>
        <w:t>http://www.accessdata.fda.gov/scripts/cdrh/cfdocs/cfStandards/detail.cfm?standard__identification_no=32631</w:t>
      </w:r>
      <w:r>
        <w:rPr>
          <w:rStyle w:val="12"/>
          <w:rFonts w:ascii="Arial" w:hAnsi="Arial" w:eastAsia="宋体" w:cs="Arial"/>
        </w:rPr>
        <w:fldChar w:fldCharType="end"/>
      </w:r>
      <w:r>
        <w:rPr>
          <w:rFonts w:hint="eastAsia" w:ascii="Arial" w:hAnsi="Arial" w:eastAsia="宋体" w:cs="Arial"/>
        </w:rPr>
        <w:t>获得。请注意如</w:t>
      </w:r>
      <w:r>
        <w:rPr>
          <w:rFonts w:ascii="Arial" w:hAnsi="Arial" w:eastAsia="宋体" w:cs="Arial"/>
        </w:rPr>
        <w:t>FDA</w:t>
      </w:r>
      <w:r>
        <w:rPr>
          <w:rFonts w:hint="eastAsia" w:ascii="Arial" w:hAnsi="Arial" w:eastAsia="宋体" w:cs="Arial"/>
        </w:rPr>
        <w:t>认可的</w:t>
      </w:r>
      <w:r>
        <w:rPr>
          <w:rFonts w:ascii="Arial" w:hAnsi="Arial" w:eastAsia="宋体" w:cs="Arial"/>
        </w:rPr>
        <w:t>2014</w:t>
      </w:r>
      <w:r>
        <w:rPr>
          <w:rFonts w:hint="eastAsia" w:ascii="Arial" w:hAnsi="Arial" w:eastAsia="宋体" w:cs="Arial"/>
        </w:rPr>
        <w:t>年版本的</w:t>
      </w:r>
      <w:r>
        <w:rPr>
          <w:rFonts w:ascii="Arial" w:hAnsi="Arial" w:eastAsia="宋体" w:cs="Arial"/>
        </w:rPr>
        <w:t>IEC 60601-1-2</w:t>
      </w:r>
      <w:r>
        <w:rPr>
          <w:rFonts w:hint="eastAsia" w:ascii="Arial" w:hAnsi="Arial" w:eastAsia="宋体" w:cs="Arial"/>
        </w:rPr>
        <w:t>标准包含到</w:t>
      </w:r>
      <w:r>
        <w:rPr>
          <w:rFonts w:ascii="Arial" w:hAnsi="Arial" w:eastAsia="宋体" w:cs="Arial"/>
        </w:rPr>
        <w:t>2017</w:t>
      </w:r>
      <w:r>
        <w:rPr>
          <w:rFonts w:hint="eastAsia" w:ascii="Arial" w:hAnsi="Arial" w:eastAsia="宋体" w:cs="Arial"/>
        </w:rPr>
        <w:t>年</w:t>
      </w:r>
      <w:r>
        <w:rPr>
          <w:rFonts w:ascii="Arial" w:hAnsi="Arial" w:eastAsia="宋体" w:cs="Arial"/>
        </w:rPr>
        <w:t>4</w:t>
      </w:r>
      <w:r>
        <w:rPr>
          <w:rFonts w:hint="eastAsia" w:ascii="Arial" w:hAnsi="Arial" w:eastAsia="宋体" w:cs="Arial"/>
        </w:rPr>
        <w:t>月</w:t>
      </w:r>
      <w:r>
        <w:rPr>
          <w:rFonts w:ascii="Arial" w:hAnsi="Arial" w:eastAsia="宋体" w:cs="Arial"/>
        </w:rPr>
        <w:t>2</w:t>
      </w:r>
      <w:r>
        <w:rPr>
          <w:rFonts w:hint="eastAsia" w:ascii="Arial" w:hAnsi="Arial" w:eastAsia="宋体" w:cs="Arial"/>
        </w:rPr>
        <w:t>日的过渡期。</w:t>
      </w:r>
    </w:p>
  </w:footnote>
  <w:footnote w:id="9">
    <w:p w14:paraId="0381476A">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hint="eastAsia" w:ascii="Arial" w:hAnsi="Arial" w:eastAsia="宋体" w:cs="Arial"/>
        </w:rPr>
        <w:t>对</w:t>
      </w:r>
      <w:r>
        <w:rPr>
          <w:rFonts w:ascii="Arial" w:hAnsi="Arial" w:eastAsia="宋体" w:cs="Arial"/>
        </w:rPr>
        <w:t>2007</w:t>
      </w:r>
      <w:r>
        <w:rPr>
          <w:rFonts w:hint="eastAsia" w:ascii="Arial" w:hAnsi="Arial" w:eastAsia="宋体" w:cs="Arial"/>
        </w:rPr>
        <w:t>年版</w:t>
      </w:r>
      <w:r>
        <w:rPr>
          <w:rFonts w:ascii="Arial" w:hAnsi="Arial" w:eastAsia="宋体" w:cs="Arial"/>
        </w:rPr>
        <w:t>IEC 60601-1-2</w:t>
      </w:r>
      <w:r>
        <w:rPr>
          <w:rFonts w:hint="eastAsia" w:ascii="Arial" w:hAnsi="Arial" w:eastAsia="宋体" w:cs="Arial"/>
        </w:rPr>
        <w:t>的</w:t>
      </w:r>
      <w:r>
        <w:rPr>
          <w:rFonts w:ascii="Arial" w:hAnsi="Arial" w:eastAsia="宋体" w:cs="Arial"/>
        </w:rPr>
        <w:t>FDA</w:t>
      </w:r>
      <w:r>
        <w:rPr>
          <w:rFonts w:hint="eastAsia" w:ascii="Arial" w:hAnsi="Arial" w:eastAsia="宋体" w:cs="Arial"/>
        </w:rPr>
        <w:t>认可可在</w:t>
      </w:r>
      <w:r>
        <w:fldChar w:fldCharType="begin"/>
      </w:r>
      <w:r>
        <w:instrText xml:space="preserve"> HYPERLINK "http://www.accessdata.fda.gov/scripts/cdrh/cfdocs/cfStandards/detail.cfm?standard__identification_no=32628" </w:instrText>
      </w:r>
      <w:r>
        <w:fldChar w:fldCharType="separate"/>
      </w:r>
      <w:r>
        <w:rPr>
          <w:rStyle w:val="12"/>
          <w:rFonts w:ascii="Arial" w:hAnsi="Arial" w:eastAsia="宋体" w:cs="Arial"/>
        </w:rPr>
        <w:t>http://www.accessdata.fda.gov/scripts/cdrh/cfdocs/cfStandards/detail.cfm?standard__identification_no=32628</w:t>
      </w:r>
      <w:r>
        <w:rPr>
          <w:rStyle w:val="12"/>
          <w:rFonts w:ascii="Arial" w:hAnsi="Arial" w:eastAsia="宋体" w:cs="Arial"/>
        </w:rPr>
        <w:fldChar w:fldCharType="end"/>
      </w:r>
      <w:r>
        <w:rPr>
          <w:rFonts w:hint="eastAsia" w:ascii="Arial" w:hAnsi="Arial" w:eastAsia="宋体" w:cs="Arial"/>
        </w:rPr>
        <w:t>获得。</w:t>
      </w:r>
    </w:p>
  </w:footnote>
  <w:footnote w:id="10">
    <w:p w14:paraId="439222A2">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由于例如家庭医疗保健环境中的电磁干扰程度可能会超过IEC和ANSI / AAMI / IEC 60601-1-2：2007规定的医院环境的默认测试级别，如果</w:t>
      </w:r>
      <w:r>
        <w:rPr>
          <w:rFonts w:hint="eastAsia" w:ascii="Arial" w:hAnsi="Arial" w:eastAsia="宋体" w:cs="Arial"/>
        </w:rPr>
        <w:t>贵公司</w:t>
      </w:r>
      <w:r>
        <w:rPr>
          <w:rFonts w:ascii="Arial" w:hAnsi="Arial" w:eastAsia="宋体" w:cs="Arial"/>
        </w:rPr>
        <w:t>器械被指定为家庭使用或在运输中使用，应该</w:t>
      </w:r>
      <w:r>
        <w:rPr>
          <w:rFonts w:hint="eastAsia" w:ascii="Arial" w:hAnsi="Arial" w:eastAsia="宋体" w:cs="Arial"/>
        </w:rPr>
        <w:t>将</w:t>
      </w:r>
      <w:r>
        <w:rPr>
          <w:rFonts w:ascii="Arial" w:hAnsi="Arial" w:eastAsia="宋体" w:cs="Arial"/>
        </w:rPr>
        <w:t>器械设计</w:t>
      </w:r>
      <w:r>
        <w:rPr>
          <w:rFonts w:hint="eastAsia" w:ascii="Arial" w:hAnsi="Arial" w:eastAsia="宋体" w:cs="Arial"/>
        </w:rPr>
        <w:t>为</w:t>
      </w:r>
      <w:r>
        <w:rPr>
          <w:rFonts w:ascii="Arial" w:hAnsi="Arial" w:eastAsia="宋体" w:cs="Arial"/>
        </w:rPr>
        <w:t>预期在这些环境中免受干扰水平。</w:t>
      </w:r>
    </w:p>
  </w:footnote>
  <w:footnote w:id="11">
    <w:p w14:paraId="7ABE97AA">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FDA已经发布了关于使用ISO 10993测试生物相容性医疗器械的指南草案，</w:t>
      </w:r>
      <w:r>
        <w:rPr>
          <w:rStyle w:val="12"/>
          <w:rFonts w:ascii="Arial" w:hAnsi="Arial" w:eastAsia="宋体" w:cs="Arial"/>
        </w:rPr>
        <w:t xml:space="preserve">使用国际标准ISO 10993，医疗器械的生物学评估第1部分：评估和测试（http://www.fda.gov/downloads/MedicalDevices/DeviceRegulationandGuidance/GuidanceDocuments/UCM348890.pdf). </w:t>
      </w:r>
      <w:r>
        <w:rPr>
          <w:rFonts w:ascii="Arial" w:hAnsi="Arial" w:eastAsia="宋体" w:cs="Arial"/>
        </w:rPr>
        <w:t>当最终确定后，本指南将代表FDA对此主题的</w:t>
      </w:r>
      <w:r>
        <w:rPr>
          <w:rFonts w:hint="eastAsia" w:ascii="Arial" w:hAnsi="Arial" w:eastAsia="宋体" w:cs="Arial"/>
        </w:rPr>
        <w:t>最新见解</w:t>
      </w:r>
      <w:r>
        <w:rPr>
          <w:rFonts w:ascii="Arial" w:hAnsi="Arial" w:eastAsia="宋体" w:cs="Arial"/>
        </w:rPr>
        <w:t>，并将取代上文引用的</w:t>
      </w:r>
      <w:r>
        <w:rPr>
          <w:rFonts w:hint="eastAsia" w:ascii="宋体" w:hAnsi="宋体" w:eastAsia="宋体" w:cs="Arial"/>
        </w:rPr>
        <w:t>《</w:t>
      </w:r>
      <w:r>
        <w:rPr>
          <w:rFonts w:ascii="Arial" w:hAnsi="Arial" w:eastAsia="宋体" w:cs="Arial"/>
        </w:rPr>
        <w:t>蓝皮书备忘录</w:t>
      </w:r>
      <w:r>
        <w:rPr>
          <w:rFonts w:hint="eastAsia" w:ascii="宋体" w:hAnsi="宋体" w:eastAsia="宋体" w:cs="Arial"/>
        </w:rPr>
        <w:t>》</w:t>
      </w:r>
      <w:r>
        <w:rPr>
          <w:rFonts w:ascii="Arial" w:hAnsi="Arial" w:eastAsia="宋体" w:cs="Arial"/>
        </w:rPr>
        <w:t>。</w:t>
      </w:r>
    </w:p>
  </w:footnote>
  <w:footnote w:id="12">
    <w:p w14:paraId="6FB9A851">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w:t>
      </w:r>
      <w:r>
        <w:rPr>
          <w:rFonts w:hint="eastAsia" w:ascii="Arial" w:hAnsi="Arial" w:eastAsia="宋体" w:cs="Arial"/>
        </w:rPr>
        <w:t>有关药物或生物产品稳定性的更多信息，请参阅</w:t>
      </w:r>
      <w:r>
        <w:rPr>
          <w:rFonts w:ascii="Arial" w:hAnsi="Arial" w:eastAsia="宋体" w:cs="Arial"/>
        </w:rPr>
        <w:t>FDA</w:t>
      </w:r>
      <w:r>
        <w:rPr>
          <w:rFonts w:hint="eastAsia" w:ascii="Arial" w:hAnsi="Arial" w:eastAsia="宋体" w:cs="Arial"/>
        </w:rPr>
        <w:t>在</w:t>
      </w:r>
      <w:r>
        <w:rPr>
          <w:rFonts w:ascii="Arial" w:hAnsi="Arial" w:eastAsia="宋体" w:cs="Arial"/>
        </w:rPr>
        <w:t>CDER</w:t>
      </w:r>
      <w:r>
        <w:rPr>
          <w:rFonts w:hint="eastAsia" w:ascii="Arial" w:hAnsi="Arial" w:eastAsia="宋体" w:cs="Arial"/>
        </w:rPr>
        <w:t>网页上的指导性文件（</w:t>
      </w:r>
      <w:r>
        <w:rPr>
          <w:rStyle w:val="12"/>
          <w:rFonts w:ascii="Arial" w:hAnsi="Arial" w:eastAsia="宋体" w:cs="Arial"/>
        </w:rPr>
        <w:t>http://www.fda.gov/Drugs/GuidanceComplianceRegulatoryInformation/Guidances/ucm064979.htm</w:t>
      </w:r>
      <w:r>
        <w:rPr>
          <w:rStyle w:val="12"/>
          <w:rFonts w:hint="eastAsia" w:ascii="Arial" w:hAnsi="Arial" w:eastAsia="宋体" w:cs="Arial"/>
          <w:color w:val="auto"/>
          <w:u w:val="none"/>
        </w:rPr>
        <w:t>）</w:t>
      </w:r>
      <w:r>
        <w:rPr>
          <w:rFonts w:hint="eastAsia" w:ascii="Arial" w:hAnsi="Arial" w:eastAsia="宋体" w:cs="Arial"/>
        </w:rPr>
        <w:t>或者</w:t>
      </w:r>
      <w:r>
        <w:rPr>
          <w:rFonts w:ascii="Arial" w:hAnsi="Arial" w:eastAsia="宋体" w:cs="Arial"/>
        </w:rPr>
        <w:t xml:space="preserve">CBER </w:t>
      </w:r>
      <w:r>
        <w:rPr>
          <w:rFonts w:hint="eastAsia" w:ascii="Arial" w:hAnsi="Arial" w:eastAsia="宋体" w:cs="Arial"/>
        </w:rPr>
        <w:t>网页</w:t>
      </w:r>
      <w:r>
        <w:rPr>
          <w:rStyle w:val="12"/>
          <w:rFonts w:hint="eastAsia" w:ascii="Arial" w:hAnsi="Arial" w:eastAsia="宋体" w:cs="Arial"/>
          <w:color w:val="auto"/>
          <w:u w:val="none"/>
        </w:rPr>
        <w:t>（</w:t>
      </w:r>
      <w:r>
        <w:rPr>
          <w:rStyle w:val="12"/>
          <w:rFonts w:ascii="Arial" w:hAnsi="Arial" w:eastAsia="宋体" w:cs="Arial"/>
        </w:rPr>
        <w:t>http://www.fda.gov/BiologicsBloodVaccines/GuidanceComplianceRegulatoryInformation/default.htm</w:t>
      </w:r>
      <w:r>
        <w:rPr>
          <w:rStyle w:val="12"/>
          <w:rFonts w:ascii="Arial" w:hAnsi="Arial" w:eastAsia="宋体" w:cs="Arial"/>
          <w:color w:val="auto"/>
          <w:u w:val="none"/>
        </w:rPr>
        <w:t>)</w:t>
      </w:r>
      <w:r>
        <w:rPr>
          <w:rStyle w:val="12"/>
          <w:rFonts w:hint="eastAsia" w:ascii="Arial" w:hAnsi="Arial" w:eastAsia="宋体" w:cs="Arial"/>
          <w:color w:val="auto"/>
          <w:u w:val="none"/>
        </w:rPr>
        <w:t>。</w:t>
      </w:r>
    </w:p>
  </w:footnote>
  <w:footnote w:id="13">
    <w:p w14:paraId="0393F385">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参见C部分。性能测试：药物/生物制品的稳定性和相容性。</w:t>
      </w:r>
    </w:p>
  </w:footnote>
  <w:footnote w:id="14">
    <w:p w14:paraId="19B993DF">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如</w:t>
      </w:r>
      <w:r>
        <w:rPr>
          <w:rFonts w:ascii="宋体" w:hAnsi="宋体" w:eastAsia="宋体" w:cs="Arial"/>
        </w:rPr>
        <w:t>“</w:t>
      </w:r>
      <w:r>
        <w:rPr>
          <w:rFonts w:ascii="Arial" w:hAnsi="Arial" w:eastAsia="宋体" w:cs="Arial"/>
        </w:rPr>
        <w:t>使用</w:t>
      </w:r>
      <w:r>
        <w:rPr>
          <w:rFonts w:hint="eastAsia" w:ascii="Arial" w:hAnsi="Arial" w:eastAsia="宋体" w:cs="Arial"/>
        </w:rPr>
        <w:t>说明书</w:t>
      </w:r>
      <w:r>
        <w:rPr>
          <w:rFonts w:ascii="宋体" w:hAnsi="宋体" w:eastAsia="宋体" w:cs="Arial"/>
        </w:rPr>
        <w:t>”</w:t>
      </w:r>
      <w:r>
        <w:rPr>
          <w:rFonts w:ascii="Arial" w:hAnsi="Arial" w:eastAsia="宋体" w:cs="Arial"/>
        </w:rPr>
        <w:t>一节所述，这些输液泵是21 CFR 801.109下的处方器械。请参阅讨论</w:t>
      </w:r>
      <w:r>
        <w:rPr>
          <w:rFonts w:hint="eastAsia" w:ascii="Arial" w:hAnsi="Arial" w:eastAsia="宋体" w:cs="Arial"/>
        </w:rPr>
        <w:t>普通</w:t>
      </w:r>
      <w:r>
        <w:rPr>
          <w:rFonts w:ascii="Arial" w:hAnsi="Arial" w:eastAsia="宋体" w:cs="Arial"/>
        </w:rPr>
        <w:t>用户的脚注2。</w:t>
      </w:r>
    </w:p>
  </w:footnote>
  <w:footnote w:id="15">
    <w:p w14:paraId="36928D70">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Leveson，Nancy，</w:t>
      </w:r>
      <w:r>
        <w:rPr>
          <w:rFonts w:ascii="Arial" w:hAnsi="Arial" w:eastAsia="宋体" w:cs="Arial"/>
          <w:u w:val="single"/>
        </w:rPr>
        <w:t>建设更安全的世界</w:t>
      </w:r>
      <w:r>
        <w:rPr>
          <w:rFonts w:hint="eastAsia" w:ascii="Arial" w:hAnsi="Arial" w:eastAsia="宋体" w:cs="Arial"/>
        </w:rPr>
        <w:t>，</w:t>
      </w:r>
      <w:r>
        <w:rPr>
          <w:rFonts w:ascii="Arial" w:hAnsi="Arial" w:eastAsia="宋体" w:cs="Arial"/>
        </w:rPr>
        <w:t>Cambridge, MA, MIT Press, 2011</w:t>
      </w:r>
      <w:r>
        <w:rPr>
          <w:rFonts w:hint="eastAsia" w:ascii="Arial" w:hAnsi="Arial" w:eastAsia="宋体" w:cs="Arial"/>
        </w:rPr>
        <w:t>。</w:t>
      </w:r>
    </w:p>
  </w:footnote>
  <w:footnote w:id="16">
    <w:p w14:paraId="4DA0A9D7">
      <w:pPr>
        <w:pStyle w:val="7"/>
        <w:rPr>
          <w:rFonts w:ascii="Arial" w:hAnsi="Arial" w:eastAsia="宋体" w:cs="Arial"/>
        </w:rPr>
      </w:pPr>
      <w:r>
        <w:rPr>
          <w:rStyle w:val="13"/>
          <w:rFonts w:ascii="Arial" w:hAnsi="Arial" w:eastAsia="宋体" w:cs="Arial"/>
        </w:rPr>
        <w:footnoteRef/>
      </w:r>
      <w:r>
        <w:rPr>
          <w:rFonts w:ascii="Arial" w:hAnsi="Arial" w:eastAsia="宋体" w:cs="Arial"/>
        </w:rPr>
        <w:t xml:space="preserve"> 根据</w:t>
      </w:r>
      <w:r>
        <w:rPr>
          <w:rFonts w:ascii="宋体" w:hAnsi="宋体" w:eastAsia="宋体" w:cs="Arial"/>
        </w:rPr>
        <w:t>“</w:t>
      </w:r>
      <w:r>
        <w:rPr>
          <w:rFonts w:ascii="Arial" w:hAnsi="Arial" w:eastAsia="宋体" w:cs="Arial"/>
        </w:rPr>
        <w:t>21 CFR 7.3（m）（1）</w:t>
      </w:r>
      <w:r>
        <w:rPr>
          <w:rFonts w:ascii="宋体" w:hAnsi="宋体" w:eastAsia="宋体" w:cs="Arial"/>
        </w:rPr>
        <w:t>”</w:t>
      </w:r>
      <w:r>
        <w:rPr>
          <w:rFonts w:ascii="Arial" w:hAnsi="Arial" w:eastAsia="宋体" w:cs="Arial"/>
        </w:rPr>
        <w:t>规定，I类召回</w:t>
      </w:r>
      <w:r>
        <w:rPr>
          <w:rFonts w:ascii="宋体" w:hAnsi="宋体" w:eastAsia="宋体" w:cs="Arial"/>
        </w:rPr>
        <w:t>“</w:t>
      </w:r>
      <w:r>
        <w:rPr>
          <w:rFonts w:ascii="Arial" w:hAnsi="Arial" w:eastAsia="宋体" w:cs="Arial"/>
        </w:rPr>
        <w:t>是指使用或暴露违法产品会导致严重不良健康后果或死亡的情况。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E1EE">
    <w:pPr>
      <w:jc w:val="center"/>
      <w:rPr>
        <w:i/>
      </w:rPr>
    </w:pPr>
    <w:r>
      <w:rPr>
        <w:i/>
      </w:rPr>
      <w:t>包含非约束性建议</w:t>
    </w:r>
  </w:p>
  <w:p w14:paraId="43811263">
    <w:pP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E6712"/>
    <w:multiLevelType w:val="multilevel"/>
    <w:tmpl w:val="034E671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03D5333D"/>
    <w:multiLevelType w:val="multilevel"/>
    <w:tmpl w:val="03D5333D"/>
    <w:lvl w:ilvl="0" w:tentative="0">
      <w:start w:val="1"/>
      <w:numFmt w:val="bullet"/>
      <w:lvlText w:val=""/>
      <w:lvlJc w:val="left"/>
      <w:pPr>
        <w:ind w:left="1140" w:hanging="420"/>
      </w:pPr>
      <w:rPr>
        <w:rFonts w:hint="default" w:ascii="Wingdings 2" w:hAnsi="Wingdings 2"/>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0A89548D"/>
    <w:multiLevelType w:val="multilevel"/>
    <w:tmpl w:val="0A89548D"/>
    <w:lvl w:ilvl="0" w:tentative="0">
      <w:start w:val="1"/>
      <w:numFmt w:val="bullet"/>
      <w:lvlText w:val="○"/>
      <w:lvlJc w:val="left"/>
      <w:pPr>
        <w:ind w:left="1600" w:hanging="420"/>
      </w:pPr>
      <w:rPr>
        <w:rFonts w:hint="default" w:ascii="Arial" w:hAnsi="Arial"/>
      </w:rPr>
    </w:lvl>
    <w:lvl w:ilvl="1" w:tentative="0">
      <w:start w:val="1"/>
      <w:numFmt w:val="bullet"/>
      <w:lvlText w:val=""/>
      <w:lvlJc w:val="left"/>
      <w:pPr>
        <w:ind w:left="2020" w:hanging="420"/>
      </w:pPr>
      <w:rPr>
        <w:rFonts w:hint="default" w:ascii="Wingdings" w:hAnsi="Wingdings"/>
      </w:rPr>
    </w:lvl>
    <w:lvl w:ilvl="2" w:tentative="0">
      <w:start w:val="1"/>
      <w:numFmt w:val="bullet"/>
      <w:lvlText w:val=""/>
      <w:lvlJc w:val="left"/>
      <w:pPr>
        <w:ind w:left="2440" w:hanging="420"/>
      </w:pPr>
      <w:rPr>
        <w:rFonts w:hint="default" w:ascii="Wingdings" w:hAnsi="Wingdings"/>
      </w:rPr>
    </w:lvl>
    <w:lvl w:ilvl="3" w:tentative="0">
      <w:start w:val="1"/>
      <w:numFmt w:val="bullet"/>
      <w:lvlText w:val=""/>
      <w:lvlJc w:val="left"/>
      <w:pPr>
        <w:ind w:left="2860" w:hanging="420"/>
      </w:pPr>
      <w:rPr>
        <w:rFonts w:hint="default" w:ascii="Wingdings" w:hAnsi="Wingdings"/>
      </w:rPr>
    </w:lvl>
    <w:lvl w:ilvl="4" w:tentative="0">
      <w:start w:val="1"/>
      <w:numFmt w:val="bullet"/>
      <w:lvlText w:val=""/>
      <w:lvlJc w:val="left"/>
      <w:pPr>
        <w:ind w:left="3280" w:hanging="420"/>
      </w:pPr>
      <w:rPr>
        <w:rFonts w:hint="default" w:ascii="Wingdings" w:hAnsi="Wingdings"/>
      </w:rPr>
    </w:lvl>
    <w:lvl w:ilvl="5" w:tentative="0">
      <w:start w:val="1"/>
      <w:numFmt w:val="bullet"/>
      <w:lvlText w:val=""/>
      <w:lvlJc w:val="left"/>
      <w:pPr>
        <w:ind w:left="3700" w:hanging="420"/>
      </w:pPr>
      <w:rPr>
        <w:rFonts w:hint="default" w:ascii="Wingdings" w:hAnsi="Wingdings"/>
      </w:rPr>
    </w:lvl>
    <w:lvl w:ilvl="6" w:tentative="0">
      <w:start w:val="1"/>
      <w:numFmt w:val="bullet"/>
      <w:lvlText w:val=""/>
      <w:lvlJc w:val="left"/>
      <w:pPr>
        <w:ind w:left="4120" w:hanging="420"/>
      </w:pPr>
      <w:rPr>
        <w:rFonts w:hint="default" w:ascii="Wingdings" w:hAnsi="Wingdings"/>
      </w:rPr>
    </w:lvl>
    <w:lvl w:ilvl="7" w:tentative="0">
      <w:start w:val="1"/>
      <w:numFmt w:val="bullet"/>
      <w:lvlText w:val=""/>
      <w:lvlJc w:val="left"/>
      <w:pPr>
        <w:ind w:left="4540" w:hanging="420"/>
      </w:pPr>
      <w:rPr>
        <w:rFonts w:hint="default" w:ascii="Wingdings" w:hAnsi="Wingdings"/>
      </w:rPr>
    </w:lvl>
    <w:lvl w:ilvl="8" w:tentative="0">
      <w:start w:val="1"/>
      <w:numFmt w:val="bullet"/>
      <w:lvlText w:val=""/>
      <w:lvlJc w:val="left"/>
      <w:pPr>
        <w:ind w:left="4960" w:hanging="420"/>
      </w:pPr>
      <w:rPr>
        <w:rFonts w:hint="default" w:ascii="Wingdings" w:hAnsi="Wingdings"/>
      </w:rPr>
    </w:lvl>
  </w:abstractNum>
  <w:abstractNum w:abstractNumId="3">
    <w:nsid w:val="0EDE05D1"/>
    <w:multiLevelType w:val="multilevel"/>
    <w:tmpl w:val="0EDE05D1"/>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1632D35"/>
    <w:multiLevelType w:val="multilevel"/>
    <w:tmpl w:val="11632D35"/>
    <w:lvl w:ilvl="0" w:tentative="0">
      <w:start w:val="1"/>
      <w:numFmt w:val="bullet"/>
      <w:lvlText w:val=""/>
      <w:lvlJc w:val="left"/>
      <w:pPr>
        <w:ind w:left="1140" w:hanging="420"/>
      </w:pPr>
      <w:rPr>
        <w:rFonts w:hint="default" w:ascii="Wingdings 2" w:hAnsi="Wingdings 2"/>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14780312"/>
    <w:multiLevelType w:val="multilevel"/>
    <w:tmpl w:val="14780312"/>
    <w:lvl w:ilvl="0" w:tentative="0">
      <w:start w:val="1"/>
      <w:numFmt w:val="bullet"/>
      <w:lvlText w:val=""/>
      <w:lvlJc w:val="left"/>
      <w:pPr>
        <w:ind w:left="1560" w:hanging="420"/>
      </w:pPr>
      <w:rPr>
        <w:rFonts w:hint="default" w:ascii="Wingdings 2" w:hAnsi="Wingdings 2"/>
        <w:sz w:val="21"/>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6">
    <w:nsid w:val="17606735"/>
    <w:multiLevelType w:val="multilevel"/>
    <w:tmpl w:val="17606735"/>
    <w:lvl w:ilvl="0" w:tentative="0">
      <w:start w:val="1"/>
      <w:numFmt w:val="bullet"/>
      <w:lvlText w:val=""/>
      <w:lvlJc w:val="left"/>
      <w:pPr>
        <w:ind w:left="1560" w:hanging="420"/>
      </w:pPr>
      <w:rPr>
        <w:rFonts w:hint="default" w:ascii="Wingdings" w:hAnsi="Wingdings"/>
        <w:sz w:val="16"/>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7">
    <w:nsid w:val="19D77C4A"/>
    <w:multiLevelType w:val="multilevel"/>
    <w:tmpl w:val="19D77C4A"/>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1E137D4A"/>
    <w:multiLevelType w:val="multilevel"/>
    <w:tmpl w:val="1E137D4A"/>
    <w:lvl w:ilvl="0" w:tentative="0">
      <w:start w:val="1"/>
      <w:numFmt w:val="bullet"/>
      <w:lvlText w:val=""/>
      <w:lvlJc w:val="left"/>
      <w:pPr>
        <w:ind w:left="1201" w:hanging="420"/>
      </w:pPr>
      <w:rPr>
        <w:rFonts w:hint="default" w:ascii="Wingdings" w:hAnsi="Wingdings"/>
        <w:sz w:val="16"/>
      </w:rPr>
    </w:lvl>
    <w:lvl w:ilvl="1" w:tentative="0">
      <w:start w:val="1"/>
      <w:numFmt w:val="bullet"/>
      <w:lvlText w:val=""/>
      <w:lvlJc w:val="left"/>
      <w:pPr>
        <w:ind w:left="1621" w:hanging="420"/>
      </w:pPr>
      <w:rPr>
        <w:rFonts w:hint="default" w:ascii="Wingdings" w:hAnsi="Wingdings"/>
      </w:rPr>
    </w:lvl>
    <w:lvl w:ilvl="2" w:tentative="0">
      <w:start w:val="1"/>
      <w:numFmt w:val="bullet"/>
      <w:lvlText w:val=""/>
      <w:lvlJc w:val="left"/>
      <w:pPr>
        <w:ind w:left="2041" w:hanging="420"/>
      </w:pPr>
      <w:rPr>
        <w:rFonts w:hint="default" w:ascii="Wingdings" w:hAnsi="Wingdings"/>
      </w:rPr>
    </w:lvl>
    <w:lvl w:ilvl="3" w:tentative="0">
      <w:start w:val="1"/>
      <w:numFmt w:val="bullet"/>
      <w:lvlText w:val=""/>
      <w:lvlJc w:val="left"/>
      <w:pPr>
        <w:ind w:left="2461" w:hanging="420"/>
      </w:pPr>
      <w:rPr>
        <w:rFonts w:hint="default" w:ascii="Wingdings" w:hAnsi="Wingdings"/>
      </w:rPr>
    </w:lvl>
    <w:lvl w:ilvl="4" w:tentative="0">
      <w:start w:val="1"/>
      <w:numFmt w:val="bullet"/>
      <w:lvlText w:val=""/>
      <w:lvlJc w:val="left"/>
      <w:pPr>
        <w:ind w:left="2881" w:hanging="420"/>
      </w:pPr>
      <w:rPr>
        <w:rFonts w:hint="default" w:ascii="Wingdings" w:hAnsi="Wingdings"/>
      </w:rPr>
    </w:lvl>
    <w:lvl w:ilvl="5" w:tentative="0">
      <w:start w:val="1"/>
      <w:numFmt w:val="bullet"/>
      <w:lvlText w:val=""/>
      <w:lvlJc w:val="left"/>
      <w:pPr>
        <w:ind w:left="3301" w:hanging="420"/>
      </w:pPr>
      <w:rPr>
        <w:rFonts w:hint="default" w:ascii="Wingdings" w:hAnsi="Wingdings"/>
      </w:rPr>
    </w:lvl>
    <w:lvl w:ilvl="6" w:tentative="0">
      <w:start w:val="1"/>
      <w:numFmt w:val="bullet"/>
      <w:lvlText w:val=""/>
      <w:lvlJc w:val="left"/>
      <w:pPr>
        <w:ind w:left="3721" w:hanging="420"/>
      </w:pPr>
      <w:rPr>
        <w:rFonts w:hint="default" w:ascii="Wingdings" w:hAnsi="Wingdings"/>
      </w:rPr>
    </w:lvl>
    <w:lvl w:ilvl="7" w:tentative="0">
      <w:start w:val="1"/>
      <w:numFmt w:val="bullet"/>
      <w:lvlText w:val=""/>
      <w:lvlJc w:val="left"/>
      <w:pPr>
        <w:ind w:left="4141" w:hanging="420"/>
      </w:pPr>
      <w:rPr>
        <w:rFonts w:hint="default" w:ascii="Wingdings" w:hAnsi="Wingdings"/>
      </w:rPr>
    </w:lvl>
    <w:lvl w:ilvl="8" w:tentative="0">
      <w:start w:val="1"/>
      <w:numFmt w:val="bullet"/>
      <w:lvlText w:val=""/>
      <w:lvlJc w:val="left"/>
      <w:pPr>
        <w:ind w:left="4561" w:hanging="420"/>
      </w:pPr>
      <w:rPr>
        <w:rFonts w:hint="default" w:ascii="Wingdings" w:hAnsi="Wingdings"/>
      </w:rPr>
    </w:lvl>
  </w:abstractNum>
  <w:abstractNum w:abstractNumId="9">
    <w:nsid w:val="2BE6485E"/>
    <w:multiLevelType w:val="multilevel"/>
    <w:tmpl w:val="2BE6485E"/>
    <w:lvl w:ilvl="0" w:tentative="0">
      <w:start w:val="1"/>
      <w:numFmt w:val="bullet"/>
      <w:lvlText w:val=""/>
      <w:lvlJc w:val="left"/>
      <w:pPr>
        <w:ind w:left="1140" w:hanging="420"/>
      </w:pPr>
      <w:rPr>
        <w:rFonts w:hint="default" w:ascii="Wingdings 2" w:hAnsi="Wingdings 2"/>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2C4E55D1"/>
    <w:multiLevelType w:val="multilevel"/>
    <w:tmpl w:val="2C4E55D1"/>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2ED27AED"/>
    <w:multiLevelType w:val="multilevel"/>
    <w:tmpl w:val="2ED27AED"/>
    <w:lvl w:ilvl="0" w:tentative="0">
      <w:start w:val="1"/>
      <w:numFmt w:val="bullet"/>
      <w:lvlText w:val=""/>
      <w:lvlJc w:val="left"/>
      <w:pPr>
        <w:ind w:left="1560" w:hanging="420"/>
      </w:pPr>
      <w:rPr>
        <w:rFonts w:hint="default" w:ascii="Wingdings" w:hAnsi="Wingdings"/>
        <w:sz w:val="16"/>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12">
    <w:nsid w:val="2FD11AE7"/>
    <w:multiLevelType w:val="multilevel"/>
    <w:tmpl w:val="2FD11AE7"/>
    <w:lvl w:ilvl="0" w:tentative="0">
      <w:start w:val="1"/>
      <w:numFmt w:val="lowerLetter"/>
      <w:lvlText w:val="(%1)"/>
      <w:lvlJc w:val="left"/>
      <w:pPr>
        <w:ind w:left="1080" w:hanging="7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2FE21D3A"/>
    <w:multiLevelType w:val="multilevel"/>
    <w:tmpl w:val="2FE21D3A"/>
    <w:lvl w:ilvl="0" w:tentative="0">
      <w:start w:val="1"/>
      <w:numFmt w:val="bullet"/>
      <w:lvlText w:val=""/>
      <w:lvlJc w:val="left"/>
      <w:pPr>
        <w:ind w:left="1560" w:hanging="420"/>
      </w:pPr>
      <w:rPr>
        <w:rFonts w:hint="default" w:ascii="Wingdings" w:hAnsi="Wingdings"/>
        <w:sz w:val="16"/>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14">
    <w:nsid w:val="364540E1"/>
    <w:multiLevelType w:val="multilevel"/>
    <w:tmpl w:val="364540E1"/>
    <w:lvl w:ilvl="0" w:tentative="0">
      <w:start w:val="1"/>
      <w:numFmt w:val="bullet"/>
      <w:lvlText w:val=""/>
      <w:lvlJc w:val="left"/>
      <w:pPr>
        <w:ind w:left="420" w:hanging="420"/>
      </w:pPr>
      <w:rPr>
        <w:rFonts w:hint="default" w:ascii="Wingdings" w:hAnsi="Wingdings"/>
        <w:color w:val="auto"/>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8EA1C11"/>
    <w:multiLevelType w:val="multilevel"/>
    <w:tmpl w:val="38EA1C11"/>
    <w:lvl w:ilvl="0" w:tentative="0">
      <w:start w:val="1"/>
      <w:numFmt w:val="bullet"/>
      <w:lvlText w:val=""/>
      <w:lvlJc w:val="left"/>
      <w:pPr>
        <w:ind w:left="780" w:hanging="420"/>
      </w:pPr>
      <w:rPr>
        <w:rFonts w:hint="default" w:ascii="Wingdings" w:hAnsi="Wingdings"/>
        <w:sz w:val="16"/>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6">
    <w:nsid w:val="3E690BCE"/>
    <w:multiLevelType w:val="multilevel"/>
    <w:tmpl w:val="3E690BCE"/>
    <w:lvl w:ilvl="0" w:tentative="0">
      <w:start w:val="1"/>
      <w:numFmt w:val="bullet"/>
      <w:lvlText w:val=""/>
      <w:lvlJc w:val="left"/>
      <w:pPr>
        <w:ind w:left="780" w:hanging="420"/>
      </w:pPr>
      <w:rPr>
        <w:rFonts w:hint="default" w:ascii="Wingdings 2" w:hAnsi="Wingdings 2"/>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7">
    <w:nsid w:val="3EDD70FB"/>
    <w:multiLevelType w:val="multilevel"/>
    <w:tmpl w:val="3EDD70FB"/>
    <w:lvl w:ilvl="0" w:tentative="0">
      <w:start w:val="1"/>
      <w:numFmt w:val="bullet"/>
      <w:lvlText w:val=""/>
      <w:lvlJc w:val="left"/>
      <w:pPr>
        <w:ind w:left="780" w:hanging="420"/>
      </w:pPr>
      <w:rPr>
        <w:rFonts w:hint="default" w:ascii="Wingdings" w:hAnsi="Wingdings"/>
        <w:sz w:val="16"/>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8">
    <w:nsid w:val="4AB24F64"/>
    <w:multiLevelType w:val="multilevel"/>
    <w:tmpl w:val="4AB24F64"/>
    <w:lvl w:ilvl="0" w:tentative="0">
      <w:start w:val="1"/>
      <w:numFmt w:val="bullet"/>
      <w:lvlText w:val=""/>
      <w:lvlJc w:val="left"/>
      <w:pPr>
        <w:ind w:left="420" w:hanging="420"/>
      </w:pPr>
      <w:rPr>
        <w:rFonts w:hint="default" w:ascii="Wingdings 3" w:hAnsi="Wingdings 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BFE0281"/>
    <w:multiLevelType w:val="multilevel"/>
    <w:tmpl w:val="4BFE0281"/>
    <w:lvl w:ilvl="0" w:tentative="0">
      <w:start w:val="1"/>
      <w:numFmt w:val="bullet"/>
      <w:lvlText w:val=""/>
      <w:lvlJc w:val="left"/>
      <w:pPr>
        <w:ind w:left="1560" w:hanging="420"/>
      </w:pPr>
      <w:rPr>
        <w:rFonts w:hint="default" w:ascii="Wingdings" w:hAnsi="Wingdings"/>
        <w:sz w:val="16"/>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20">
    <w:nsid w:val="51DF1C54"/>
    <w:multiLevelType w:val="multilevel"/>
    <w:tmpl w:val="51DF1C54"/>
    <w:lvl w:ilvl="0" w:tentative="0">
      <w:start w:val="1"/>
      <w:numFmt w:val="bullet"/>
      <w:lvlText w:val=""/>
      <w:lvlJc w:val="left"/>
      <w:pPr>
        <w:ind w:left="780" w:hanging="420"/>
      </w:pPr>
      <w:rPr>
        <w:rFonts w:hint="default" w:ascii="Wingdings 2" w:hAnsi="Wingdings 2"/>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1">
    <w:nsid w:val="51F14261"/>
    <w:multiLevelType w:val="multilevel"/>
    <w:tmpl w:val="51F14261"/>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22">
    <w:nsid w:val="53BE753A"/>
    <w:multiLevelType w:val="multilevel"/>
    <w:tmpl w:val="53BE753A"/>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3">
    <w:nsid w:val="543415BB"/>
    <w:multiLevelType w:val="multilevel"/>
    <w:tmpl w:val="543415BB"/>
    <w:lvl w:ilvl="0" w:tentative="0">
      <w:start w:val="1"/>
      <w:numFmt w:val="bullet"/>
      <w:lvlText w:val=""/>
      <w:lvlJc w:val="left"/>
      <w:pPr>
        <w:ind w:left="1201" w:hanging="420"/>
      </w:pPr>
      <w:rPr>
        <w:rFonts w:hint="default" w:ascii="Wingdings" w:hAnsi="Wingdings"/>
        <w:sz w:val="16"/>
      </w:rPr>
    </w:lvl>
    <w:lvl w:ilvl="1" w:tentative="0">
      <w:start w:val="1"/>
      <w:numFmt w:val="bullet"/>
      <w:lvlText w:val=""/>
      <w:lvlJc w:val="left"/>
      <w:pPr>
        <w:ind w:left="1621" w:hanging="420"/>
      </w:pPr>
      <w:rPr>
        <w:rFonts w:hint="default" w:ascii="Wingdings" w:hAnsi="Wingdings"/>
      </w:rPr>
    </w:lvl>
    <w:lvl w:ilvl="2" w:tentative="0">
      <w:start w:val="1"/>
      <w:numFmt w:val="bullet"/>
      <w:lvlText w:val=""/>
      <w:lvlJc w:val="left"/>
      <w:pPr>
        <w:ind w:left="2041" w:hanging="420"/>
      </w:pPr>
      <w:rPr>
        <w:rFonts w:hint="default" w:ascii="Wingdings" w:hAnsi="Wingdings"/>
      </w:rPr>
    </w:lvl>
    <w:lvl w:ilvl="3" w:tentative="0">
      <w:start w:val="1"/>
      <w:numFmt w:val="bullet"/>
      <w:lvlText w:val=""/>
      <w:lvlJc w:val="left"/>
      <w:pPr>
        <w:ind w:left="2461" w:hanging="420"/>
      </w:pPr>
      <w:rPr>
        <w:rFonts w:hint="default" w:ascii="Wingdings" w:hAnsi="Wingdings"/>
      </w:rPr>
    </w:lvl>
    <w:lvl w:ilvl="4" w:tentative="0">
      <w:start w:val="1"/>
      <w:numFmt w:val="bullet"/>
      <w:lvlText w:val=""/>
      <w:lvlJc w:val="left"/>
      <w:pPr>
        <w:ind w:left="2881" w:hanging="420"/>
      </w:pPr>
      <w:rPr>
        <w:rFonts w:hint="default" w:ascii="Wingdings" w:hAnsi="Wingdings"/>
      </w:rPr>
    </w:lvl>
    <w:lvl w:ilvl="5" w:tentative="0">
      <w:start w:val="1"/>
      <w:numFmt w:val="bullet"/>
      <w:lvlText w:val=""/>
      <w:lvlJc w:val="left"/>
      <w:pPr>
        <w:ind w:left="3301" w:hanging="420"/>
      </w:pPr>
      <w:rPr>
        <w:rFonts w:hint="default" w:ascii="Wingdings" w:hAnsi="Wingdings"/>
      </w:rPr>
    </w:lvl>
    <w:lvl w:ilvl="6" w:tentative="0">
      <w:start w:val="1"/>
      <w:numFmt w:val="bullet"/>
      <w:lvlText w:val=""/>
      <w:lvlJc w:val="left"/>
      <w:pPr>
        <w:ind w:left="3721" w:hanging="420"/>
      </w:pPr>
      <w:rPr>
        <w:rFonts w:hint="default" w:ascii="Wingdings" w:hAnsi="Wingdings"/>
      </w:rPr>
    </w:lvl>
    <w:lvl w:ilvl="7" w:tentative="0">
      <w:start w:val="1"/>
      <w:numFmt w:val="bullet"/>
      <w:lvlText w:val=""/>
      <w:lvlJc w:val="left"/>
      <w:pPr>
        <w:ind w:left="4141" w:hanging="420"/>
      </w:pPr>
      <w:rPr>
        <w:rFonts w:hint="default" w:ascii="Wingdings" w:hAnsi="Wingdings"/>
      </w:rPr>
    </w:lvl>
    <w:lvl w:ilvl="8" w:tentative="0">
      <w:start w:val="1"/>
      <w:numFmt w:val="bullet"/>
      <w:lvlText w:val=""/>
      <w:lvlJc w:val="left"/>
      <w:pPr>
        <w:ind w:left="4561" w:hanging="420"/>
      </w:pPr>
      <w:rPr>
        <w:rFonts w:hint="default" w:ascii="Wingdings" w:hAnsi="Wingdings"/>
      </w:rPr>
    </w:lvl>
  </w:abstractNum>
  <w:abstractNum w:abstractNumId="24">
    <w:nsid w:val="5502085F"/>
    <w:multiLevelType w:val="multilevel"/>
    <w:tmpl w:val="5502085F"/>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25">
    <w:nsid w:val="64544201"/>
    <w:multiLevelType w:val="multilevel"/>
    <w:tmpl w:val="64544201"/>
    <w:lvl w:ilvl="0" w:tentative="0">
      <w:start w:val="1"/>
      <w:numFmt w:val="bullet"/>
      <w:lvlText w:val="○"/>
      <w:lvlJc w:val="left"/>
      <w:pPr>
        <w:ind w:left="1600" w:hanging="420"/>
      </w:pPr>
      <w:rPr>
        <w:rFonts w:hint="default" w:ascii="Arial" w:hAnsi="Arial"/>
      </w:rPr>
    </w:lvl>
    <w:lvl w:ilvl="1" w:tentative="0">
      <w:start w:val="1"/>
      <w:numFmt w:val="bullet"/>
      <w:lvlText w:val=""/>
      <w:lvlJc w:val="left"/>
      <w:pPr>
        <w:ind w:left="2020" w:hanging="420"/>
      </w:pPr>
      <w:rPr>
        <w:rFonts w:hint="default" w:ascii="Wingdings" w:hAnsi="Wingdings"/>
      </w:rPr>
    </w:lvl>
    <w:lvl w:ilvl="2" w:tentative="0">
      <w:start w:val="1"/>
      <w:numFmt w:val="bullet"/>
      <w:lvlText w:val=""/>
      <w:lvlJc w:val="left"/>
      <w:pPr>
        <w:ind w:left="2440" w:hanging="420"/>
      </w:pPr>
      <w:rPr>
        <w:rFonts w:hint="default" w:ascii="Wingdings" w:hAnsi="Wingdings"/>
      </w:rPr>
    </w:lvl>
    <w:lvl w:ilvl="3" w:tentative="0">
      <w:start w:val="1"/>
      <w:numFmt w:val="bullet"/>
      <w:lvlText w:val=""/>
      <w:lvlJc w:val="left"/>
      <w:pPr>
        <w:ind w:left="2860" w:hanging="420"/>
      </w:pPr>
      <w:rPr>
        <w:rFonts w:hint="default" w:ascii="Wingdings" w:hAnsi="Wingdings"/>
      </w:rPr>
    </w:lvl>
    <w:lvl w:ilvl="4" w:tentative="0">
      <w:start w:val="1"/>
      <w:numFmt w:val="bullet"/>
      <w:lvlText w:val=""/>
      <w:lvlJc w:val="left"/>
      <w:pPr>
        <w:ind w:left="3280" w:hanging="420"/>
      </w:pPr>
      <w:rPr>
        <w:rFonts w:hint="default" w:ascii="Wingdings" w:hAnsi="Wingdings"/>
      </w:rPr>
    </w:lvl>
    <w:lvl w:ilvl="5" w:tentative="0">
      <w:start w:val="1"/>
      <w:numFmt w:val="bullet"/>
      <w:lvlText w:val=""/>
      <w:lvlJc w:val="left"/>
      <w:pPr>
        <w:ind w:left="3700" w:hanging="420"/>
      </w:pPr>
      <w:rPr>
        <w:rFonts w:hint="default" w:ascii="Wingdings" w:hAnsi="Wingdings"/>
      </w:rPr>
    </w:lvl>
    <w:lvl w:ilvl="6" w:tentative="0">
      <w:start w:val="1"/>
      <w:numFmt w:val="bullet"/>
      <w:lvlText w:val=""/>
      <w:lvlJc w:val="left"/>
      <w:pPr>
        <w:ind w:left="4120" w:hanging="420"/>
      </w:pPr>
      <w:rPr>
        <w:rFonts w:hint="default" w:ascii="Wingdings" w:hAnsi="Wingdings"/>
      </w:rPr>
    </w:lvl>
    <w:lvl w:ilvl="7" w:tentative="0">
      <w:start w:val="1"/>
      <w:numFmt w:val="bullet"/>
      <w:lvlText w:val=""/>
      <w:lvlJc w:val="left"/>
      <w:pPr>
        <w:ind w:left="4540" w:hanging="420"/>
      </w:pPr>
      <w:rPr>
        <w:rFonts w:hint="default" w:ascii="Wingdings" w:hAnsi="Wingdings"/>
      </w:rPr>
    </w:lvl>
    <w:lvl w:ilvl="8" w:tentative="0">
      <w:start w:val="1"/>
      <w:numFmt w:val="bullet"/>
      <w:lvlText w:val=""/>
      <w:lvlJc w:val="left"/>
      <w:pPr>
        <w:ind w:left="4960" w:hanging="420"/>
      </w:pPr>
      <w:rPr>
        <w:rFonts w:hint="default" w:ascii="Wingdings" w:hAnsi="Wingdings"/>
      </w:rPr>
    </w:lvl>
  </w:abstractNum>
  <w:abstractNum w:abstractNumId="26">
    <w:nsid w:val="66A7686B"/>
    <w:multiLevelType w:val="multilevel"/>
    <w:tmpl w:val="66A7686B"/>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27">
    <w:nsid w:val="6B666808"/>
    <w:multiLevelType w:val="multilevel"/>
    <w:tmpl w:val="6B666808"/>
    <w:lvl w:ilvl="0" w:tentative="0">
      <w:start w:val="1"/>
      <w:numFmt w:val="decimal"/>
      <w:lvlText w:val="%1."/>
      <w:lvlJc w:val="left"/>
      <w:pPr>
        <w:ind w:left="1080" w:hanging="36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8">
    <w:nsid w:val="70A7132E"/>
    <w:multiLevelType w:val="multilevel"/>
    <w:tmpl w:val="70A7132E"/>
    <w:lvl w:ilvl="0" w:tentative="0">
      <w:start w:val="1"/>
      <w:numFmt w:val="bullet"/>
      <w:lvlText w:val=""/>
      <w:lvlJc w:val="left"/>
      <w:pPr>
        <w:ind w:left="1500" w:hanging="420"/>
      </w:pPr>
      <w:rPr>
        <w:rFonts w:hint="default" w:ascii="Wingdings" w:hAnsi="Wingdings"/>
        <w:sz w:val="16"/>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29">
    <w:nsid w:val="71826009"/>
    <w:multiLevelType w:val="multilevel"/>
    <w:tmpl w:val="71826009"/>
    <w:lvl w:ilvl="0" w:tentative="0">
      <w:start w:val="1"/>
      <w:numFmt w:val="bullet"/>
      <w:lvlText w:val=""/>
      <w:lvlJc w:val="left"/>
      <w:pPr>
        <w:ind w:left="1140" w:hanging="420"/>
      </w:pPr>
      <w:rPr>
        <w:rFonts w:hint="default" w:ascii="Wingdings 2" w:hAnsi="Wingdings 2"/>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0">
    <w:nsid w:val="761A050F"/>
    <w:multiLevelType w:val="multilevel"/>
    <w:tmpl w:val="761A050F"/>
    <w:lvl w:ilvl="0" w:tentative="0">
      <w:start w:val="1"/>
      <w:numFmt w:val="decimal"/>
      <w:lvlText w:val="%1."/>
      <w:lvlJc w:val="left"/>
      <w:pPr>
        <w:ind w:left="360" w:hanging="360"/>
      </w:pPr>
      <w:rPr>
        <w:rFonts w:hint="default" w:ascii="Arial" w:hAnsi="Arial" w:cs="Arial"/>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6520789"/>
    <w:multiLevelType w:val="multilevel"/>
    <w:tmpl w:val="76520789"/>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32">
    <w:nsid w:val="79FA399E"/>
    <w:multiLevelType w:val="multilevel"/>
    <w:tmpl w:val="79FA399E"/>
    <w:lvl w:ilvl="0" w:tentative="0">
      <w:start w:val="1"/>
      <w:numFmt w:val="bullet"/>
      <w:lvlText w:val=""/>
      <w:lvlJc w:val="left"/>
      <w:pPr>
        <w:ind w:left="1201" w:hanging="420"/>
      </w:pPr>
      <w:rPr>
        <w:rFonts w:hint="default" w:ascii="Wingdings" w:hAnsi="Wingdings"/>
        <w:sz w:val="16"/>
      </w:rPr>
    </w:lvl>
    <w:lvl w:ilvl="1" w:tentative="0">
      <w:start w:val="1"/>
      <w:numFmt w:val="bullet"/>
      <w:lvlText w:val=""/>
      <w:lvlJc w:val="left"/>
      <w:pPr>
        <w:ind w:left="1621" w:hanging="420"/>
      </w:pPr>
      <w:rPr>
        <w:rFonts w:hint="default" w:ascii="Wingdings" w:hAnsi="Wingdings"/>
      </w:rPr>
    </w:lvl>
    <w:lvl w:ilvl="2" w:tentative="0">
      <w:start w:val="1"/>
      <w:numFmt w:val="bullet"/>
      <w:lvlText w:val=""/>
      <w:lvlJc w:val="left"/>
      <w:pPr>
        <w:ind w:left="2041" w:hanging="420"/>
      </w:pPr>
      <w:rPr>
        <w:rFonts w:hint="default" w:ascii="Wingdings" w:hAnsi="Wingdings"/>
      </w:rPr>
    </w:lvl>
    <w:lvl w:ilvl="3" w:tentative="0">
      <w:start w:val="1"/>
      <w:numFmt w:val="bullet"/>
      <w:lvlText w:val=""/>
      <w:lvlJc w:val="left"/>
      <w:pPr>
        <w:ind w:left="2461" w:hanging="420"/>
      </w:pPr>
      <w:rPr>
        <w:rFonts w:hint="default" w:ascii="Wingdings" w:hAnsi="Wingdings"/>
      </w:rPr>
    </w:lvl>
    <w:lvl w:ilvl="4" w:tentative="0">
      <w:start w:val="1"/>
      <w:numFmt w:val="bullet"/>
      <w:lvlText w:val=""/>
      <w:lvlJc w:val="left"/>
      <w:pPr>
        <w:ind w:left="2881" w:hanging="420"/>
      </w:pPr>
      <w:rPr>
        <w:rFonts w:hint="default" w:ascii="Wingdings" w:hAnsi="Wingdings"/>
      </w:rPr>
    </w:lvl>
    <w:lvl w:ilvl="5" w:tentative="0">
      <w:start w:val="1"/>
      <w:numFmt w:val="bullet"/>
      <w:lvlText w:val=""/>
      <w:lvlJc w:val="left"/>
      <w:pPr>
        <w:ind w:left="3301" w:hanging="420"/>
      </w:pPr>
      <w:rPr>
        <w:rFonts w:hint="default" w:ascii="Wingdings" w:hAnsi="Wingdings"/>
      </w:rPr>
    </w:lvl>
    <w:lvl w:ilvl="6" w:tentative="0">
      <w:start w:val="1"/>
      <w:numFmt w:val="bullet"/>
      <w:lvlText w:val=""/>
      <w:lvlJc w:val="left"/>
      <w:pPr>
        <w:ind w:left="3721" w:hanging="420"/>
      </w:pPr>
      <w:rPr>
        <w:rFonts w:hint="default" w:ascii="Wingdings" w:hAnsi="Wingdings"/>
      </w:rPr>
    </w:lvl>
    <w:lvl w:ilvl="7" w:tentative="0">
      <w:start w:val="1"/>
      <w:numFmt w:val="bullet"/>
      <w:lvlText w:val=""/>
      <w:lvlJc w:val="left"/>
      <w:pPr>
        <w:ind w:left="4141" w:hanging="420"/>
      </w:pPr>
      <w:rPr>
        <w:rFonts w:hint="default" w:ascii="Wingdings" w:hAnsi="Wingdings"/>
      </w:rPr>
    </w:lvl>
    <w:lvl w:ilvl="8" w:tentative="0">
      <w:start w:val="1"/>
      <w:numFmt w:val="bullet"/>
      <w:lvlText w:val=""/>
      <w:lvlJc w:val="left"/>
      <w:pPr>
        <w:ind w:left="4561" w:hanging="420"/>
      </w:pPr>
      <w:rPr>
        <w:rFonts w:hint="default" w:ascii="Wingdings" w:hAnsi="Wingdings"/>
      </w:rPr>
    </w:lvl>
  </w:abstractNum>
  <w:abstractNum w:abstractNumId="33">
    <w:nsid w:val="7FAB2948"/>
    <w:multiLevelType w:val="multilevel"/>
    <w:tmpl w:val="7FAB2948"/>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num w:numId="1">
    <w:abstractNumId w:val="30"/>
  </w:num>
  <w:num w:numId="2">
    <w:abstractNumId w:val="12"/>
  </w:num>
  <w:num w:numId="3">
    <w:abstractNumId w:val="28"/>
  </w:num>
  <w:num w:numId="4">
    <w:abstractNumId w:val="17"/>
  </w:num>
  <w:num w:numId="5">
    <w:abstractNumId w:val="8"/>
  </w:num>
  <w:num w:numId="6">
    <w:abstractNumId w:val="32"/>
  </w:num>
  <w:num w:numId="7">
    <w:abstractNumId w:val="23"/>
  </w:num>
  <w:num w:numId="8">
    <w:abstractNumId w:val="15"/>
  </w:num>
  <w:num w:numId="9">
    <w:abstractNumId w:val="7"/>
  </w:num>
  <w:num w:numId="10">
    <w:abstractNumId w:val="27"/>
  </w:num>
  <w:num w:numId="11">
    <w:abstractNumId w:val="3"/>
  </w:num>
  <w:num w:numId="12">
    <w:abstractNumId w:val="14"/>
  </w:num>
  <w:num w:numId="13">
    <w:abstractNumId w:val="4"/>
  </w:num>
  <w:num w:numId="14">
    <w:abstractNumId w:val="18"/>
  </w:num>
  <w:num w:numId="15">
    <w:abstractNumId w:val="10"/>
  </w:num>
  <w:num w:numId="16">
    <w:abstractNumId w:val="0"/>
  </w:num>
  <w:num w:numId="17">
    <w:abstractNumId w:val="11"/>
  </w:num>
  <w:num w:numId="18">
    <w:abstractNumId w:val="19"/>
  </w:num>
  <w:num w:numId="19">
    <w:abstractNumId w:val="13"/>
  </w:num>
  <w:num w:numId="20">
    <w:abstractNumId w:val="6"/>
  </w:num>
  <w:num w:numId="21">
    <w:abstractNumId w:val="5"/>
  </w:num>
  <w:num w:numId="22">
    <w:abstractNumId w:val="26"/>
  </w:num>
  <w:num w:numId="23">
    <w:abstractNumId w:val="33"/>
  </w:num>
  <w:num w:numId="24">
    <w:abstractNumId w:val="21"/>
  </w:num>
  <w:num w:numId="25">
    <w:abstractNumId w:val="24"/>
  </w:num>
  <w:num w:numId="26">
    <w:abstractNumId w:val="31"/>
  </w:num>
  <w:num w:numId="27">
    <w:abstractNumId w:val="1"/>
  </w:num>
  <w:num w:numId="28">
    <w:abstractNumId w:val="25"/>
  </w:num>
  <w:num w:numId="29">
    <w:abstractNumId w:val="2"/>
  </w:num>
  <w:num w:numId="30">
    <w:abstractNumId w:val="9"/>
  </w:num>
  <w:num w:numId="31">
    <w:abstractNumId w:val="22"/>
  </w:num>
  <w:num w:numId="32">
    <w:abstractNumId w:val="29"/>
  </w:num>
  <w:num w:numId="33">
    <w:abstractNumId w:val="16"/>
  </w:num>
  <w:num w:numId="3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34"/>
    <w:footnote w:id="3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EF"/>
    <w:rsid w:val="00001E62"/>
    <w:rsid w:val="0000607D"/>
    <w:rsid w:val="000069BD"/>
    <w:rsid w:val="0001281A"/>
    <w:rsid w:val="000161EF"/>
    <w:rsid w:val="00031CCC"/>
    <w:rsid w:val="00032CD6"/>
    <w:rsid w:val="0003396D"/>
    <w:rsid w:val="00033DF5"/>
    <w:rsid w:val="00034CDE"/>
    <w:rsid w:val="000429D1"/>
    <w:rsid w:val="00045E2B"/>
    <w:rsid w:val="00046F9B"/>
    <w:rsid w:val="00052666"/>
    <w:rsid w:val="0005638C"/>
    <w:rsid w:val="00057D9D"/>
    <w:rsid w:val="00060FF8"/>
    <w:rsid w:val="0006377B"/>
    <w:rsid w:val="00064336"/>
    <w:rsid w:val="00073729"/>
    <w:rsid w:val="00075F34"/>
    <w:rsid w:val="0007656B"/>
    <w:rsid w:val="0008025F"/>
    <w:rsid w:val="0008266A"/>
    <w:rsid w:val="00094C06"/>
    <w:rsid w:val="000A43EB"/>
    <w:rsid w:val="000A5B5E"/>
    <w:rsid w:val="000A77D1"/>
    <w:rsid w:val="000B6463"/>
    <w:rsid w:val="000D2A6F"/>
    <w:rsid w:val="000D2B71"/>
    <w:rsid w:val="000E45F7"/>
    <w:rsid w:val="000F6B83"/>
    <w:rsid w:val="00101662"/>
    <w:rsid w:val="001066D9"/>
    <w:rsid w:val="00106E6C"/>
    <w:rsid w:val="00115115"/>
    <w:rsid w:val="001153BA"/>
    <w:rsid w:val="00117EB3"/>
    <w:rsid w:val="00122CE8"/>
    <w:rsid w:val="00123E93"/>
    <w:rsid w:val="00127CB5"/>
    <w:rsid w:val="00137269"/>
    <w:rsid w:val="001377F3"/>
    <w:rsid w:val="00154090"/>
    <w:rsid w:val="0015701F"/>
    <w:rsid w:val="001617E3"/>
    <w:rsid w:val="0016725C"/>
    <w:rsid w:val="00171A97"/>
    <w:rsid w:val="00173755"/>
    <w:rsid w:val="00173C18"/>
    <w:rsid w:val="00175191"/>
    <w:rsid w:val="00175503"/>
    <w:rsid w:val="00180D28"/>
    <w:rsid w:val="001838EF"/>
    <w:rsid w:val="00187AB7"/>
    <w:rsid w:val="0019122C"/>
    <w:rsid w:val="001946BC"/>
    <w:rsid w:val="001A18EA"/>
    <w:rsid w:val="001B3B0D"/>
    <w:rsid w:val="001B3FD7"/>
    <w:rsid w:val="001B6953"/>
    <w:rsid w:val="001C02B6"/>
    <w:rsid w:val="001C3286"/>
    <w:rsid w:val="001C7385"/>
    <w:rsid w:val="001D221E"/>
    <w:rsid w:val="001D30D7"/>
    <w:rsid w:val="001D49BE"/>
    <w:rsid w:val="001D520A"/>
    <w:rsid w:val="001D5477"/>
    <w:rsid w:val="001D6348"/>
    <w:rsid w:val="001D7F74"/>
    <w:rsid w:val="001E02E6"/>
    <w:rsid w:val="001E0A5C"/>
    <w:rsid w:val="001E127B"/>
    <w:rsid w:val="001F115C"/>
    <w:rsid w:val="001F1C8E"/>
    <w:rsid w:val="001F3523"/>
    <w:rsid w:val="001F73AE"/>
    <w:rsid w:val="00202B35"/>
    <w:rsid w:val="00206FEA"/>
    <w:rsid w:val="00207EE1"/>
    <w:rsid w:val="00211E33"/>
    <w:rsid w:val="002123F1"/>
    <w:rsid w:val="00231BC4"/>
    <w:rsid w:val="0023303E"/>
    <w:rsid w:val="00240F45"/>
    <w:rsid w:val="00253A78"/>
    <w:rsid w:val="002568D4"/>
    <w:rsid w:val="00256D01"/>
    <w:rsid w:val="0025707B"/>
    <w:rsid w:val="0027504E"/>
    <w:rsid w:val="00275F2F"/>
    <w:rsid w:val="00276746"/>
    <w:rsid w:val="002825D0"/>
    <w:rsid w:val="00283961"/>
    <w:rsid w:val="002840F2"/>
    <w:rsid w:val="00292BD5"/>
    <w:rsid w:val="002A0ED7"/>
    <w:rsid w:val="002A36C5"/>
    <w:rsid w:val="002A6718"/>
    <w:rsid w:val="002A6B6B"/>
    <w:rsid w:val="002B1575"/>
    <w:rsid w:val="002B22B1"/>
    <w:rsid w:val="002B378A"/>
    <w:rsid w:val="002B3848"/>
    <w:rsid w:val="002B6F5E"/>
    <w:rsid w:val="002C766C"/>
    <w:rsid w:val="002D3BCC"/>
    <w:rsid w:val="002E10E4"/>
    <w:rsid w:val="002E2E66"/>
    <w:rsid w:val="002E763A"/>
    <w:rsid w:val="00304315"/>
    <w:rsid w:val="00305ED0"/>
    <w:rsid w:val="00313D44"/>
    <w:rsid w:val="00314AE3"/>
    <w:rsid w:val="003160C0"/>
    <w:rsid w:val="003272EB"/>
    <w:rsid w:val="00331E98"/>
    <w:rsid w:val="00333F99"/>
    <w:rsid w:val="00345714"/>
    <w:rsid w:val="00346213"/>
    <w:rsid w:val="00353049"/>
    <w:rsid w:val="00353F3A"/>
    <w:rsid w:val="003543F8"/>
    <w:rsid w:val="003612B8"/>
    <w:rsid w:val="003653CC"/>
    <w:rsid w:val="00366288"/>
    <w:rsid w:val="00375AFF"/>
    <w:rsid w:val="003919FE"/>
    <w:rsid w:val="003942D8"/>
    <w:rsid w:val="003A7145"/>
    <w:rsid w:val="003B14BD"/>
    <w:rsid w:val="003B1F00"/>
    <w:rsid w:val="003B578C"/>
    <w:rsid w:val="003B7C6C"/>
    <w:rsid w:val="003C369C"/>
    <w:rsid w:val="003C444C"/>
    <w:rsid w:val="003C7385"/>
    <w:rsid w:val="003D3E23"/>
    <w:rsid w:val="003E5587"/>
    <w:rsid w:val="003F5C81"/>
    <w:rsid w:val="003F7960"/>
    <w:rsid w:val="004012EC"/>
    <w:rsid w:val="00401EDC"/>
    <w:rsid w:val="004037F6"/>
    <w:rsid w:val="00403D7D"/>
    <w:rsid w:val="00405AA2"/>
    <w:rsid w:val="00417E09"/>
    <w:rsid w:val="004301AD"/>
    <w:rsid w:val="00435257"/>
    <w:rsid w:val="00435CF8"/>
    <w:rsid w:val="00436B6F"/>
    <w:rsid w:val="00443927"/>
    <w:rsid w:val="00443D97"/>
    <w:rsid w:val="00454346"/>
    <w:rsid w:val="00456076"/>
    <w:rsid w:val="0046206E"/>
    <w:rsid w:val="0046260D"/>
    <w:rsid w:val="00476465"/>
    <w:rsid w:val="0048001F"/>
    <w:rsid w:val="00482A67"/>
    <w:rsid w:val="004870EF"/>
    <w:rsid w:val="004949BA"/>
    <w:rsid w:val="00495E2C"/>
    <w:rsid w:val="004B2B43"/>
    <w:rsid w:val="004B2DF4"/>
    <w:rsid w:val="004B4A87"/>
    <w:rsid w:val="004B7928"/>
    <w:rsid w:val="004C0AA6"/>
    <w:rsid w:val="004C40ED"/>
    <w:rsid w:val="004C4A8F"/>
    <w:rsid w:val="004C769F"/>
    <w:rsid w:val="004D0332"/>
    <w:rsid w:val="004D0FD4"/>
    <w:rsid w:val="004D1983"/>
    <w:rsid w:val="004D349B"/>
    <w:rsid w:val="004E2D82"/>
    <w:rsid w:val="004E5604"/>
    <w:rsid w:val="004F0129"/>
    <w:rsid w:val="004F1A27"/>
    <w:rsid w:val="004F7F44"/>
    <w:rsid w:val="00501395"/>
    <w:rsid w:val="0051457E"/>
    <w:rsid w:val="005242D1"/>
    <w:rsid w:val="005305DA"/>
    <w:rsid w:val="00531026"/>
    <w:rsid w:val="005311F5"/>
    <w:rsid w:val="005347A3"/>
    <w:rsid w:val="00537A9E"/>
    <w:rsid w:val="00537EA2"/>
    <w:rsid w:val="00540F63"/>
    <w:rsid w:val="00543855"/>
    <w:rsid w:val="00546E4E"/>
    <w:rsid w:val="00554EA7"/>
    <w:rsid w:val="005655FE"/>
    <w:rsid w:val="0057367C"/>
    <w:rsid w:val="0057417A"/>
    <w:rsid w:val="00580F22"/>
    <w:rsid w:val="00581890"/>
    <w:rsid w:val="00587ABE"/>
    <w:rsid w:val="005907AD"/>
    <w:rsid w:val="00593565"/>
    <w:rsid w:val="005A26F0"/>
    <w:rsid w:val="005A705F"/>
    <w:rsid w:val="005B1103"/>
    <w:rsid w:val="005B459E"/>
    <w:rsid w:val="005B52B2"/>
    <w:rsid w:val="005C0838"/>
    <w:rsid w:val="005D016A"/>
    <w:rsid w:val="005E4728"/>
    <w:rsid w:val="005F122A"/>
    <w:rsid w:val="005F1D37"/>
    <w:rsid w:val="005F2468"/>
    <w:rsid w:val="005F3158"/>
    <w:rsid w:val="005F3DE3"/>
    <w:rsid w:val="005F6A1E"/>
    <w:rsid w:val="00601009"/>
    <w:rsid w:val="0060324A"/>
    <w:rsid w:val="00603D9D"/>
    <w:rsid w:val="0060489C"/>
    <w:rsid w:val="00615E28"/>
    <w:rsid w:val="00616A1C"/>
    <w:rsid w:val="006229E5"/>
    <w:rsid w:val="006319BE"/>
    <w:rsid w:val="00644479"/>
    <w:rsid w:val="006533CA"/>
    <w:rsid w:val="00655272"/>
    <w:rsid w:val="006620BF"/>
    <w:rsid w:val="00664185"/>
    <w:rsid w:val="0067184C"/>
    <w:rsid w:val="00673DE7"/>
    <w:rsid w:val="00676ACC"/>
    <w:rsid w:val="00690414"/>
    <w:rsid w:val="00691851"/>
    <w:rsid w:val="00693ABD"/>
    <w:rsid w:val="0069561C"/>
    <w:rsid w:val="006B0D49"/>
    <w:rsid w:val="006B0ECB"/>
    <w:rsid w:val="006B37E0"/>
    <w:rsid w:val="006B4177"/>
    <w:rsid w:val="006B59A6"/>
    <w:rsid w:val="006B7457"/>
    <w:rsid w:val="006D2872"/>
    <w:rsid w:val="006D3094"/>
    <w:rsid w:val="006D3801"/>
    <w:rsid w:val="006D51BA"/>
    <w:rsid w:val="006E36B6"/>
    <w:rsid w:val="00700B5E"/>
    <w:rsid w:val="00712517"/>
    <w:rsid w:val="0071369D"/>
    <w:rsid w:val="00715F20"/>
    <w:rsid w:val="00716381"/>
    <w:rsid w:val="00720830"/>
    <w:rsid w:val="00721416"/>
    <w:rsid w:val="00722B1D"/>
    <w:rsid w:val="00727981"/>
    <w:rsid w:val="00730A40"/>
    <w:rsid w:val="007335D6"/>
    <w:rsid w:val="00735A07"/>
    <w:rsid w:val="007426A8"/>
    <w:rsid w:val="00743186"/>
    <w:rsid w:val="007455A3"/>
    <w:rsid w:val="00745967"/>
    <w:rsid w:val="007460D0"/>
    <w:rsid w:val="00760403"/>
    <w:rsid w:val="00771B80"/>
    <w:rsid w:val="00773BAD"/>
    <w:rsid w:val="007740BE"/>
    <w:rsid w:val="00774F8E"/>
    <w:rsid w:val="0077556A"/>
    <w:rsid w:val="00775E1F"/>
    <w:rsid w:val="00776BD2"/>
    <w:rsid w:val="00780166"/>
    <w:rsid w:val="00782B06"/>
    <w:rsid w:val="007866E1"/>
    <w:rsid w:val="00794426"/>
    <w:rsid w:val="007A0150"/>
    <w:rsid w:val="007A5E0C"/>
    <w:rsid w:val="007B2C90"/>
    <w:rsid w:val="007B4133"/>
    <w:rsid w:val="007B57EB"/>
    <w:rsid w:val="007B5E38"/>
    <w:rsid w:val="007B69CD"/>
    <w:rsid w:val="007D1754"/>
    <w:rsid w:val="007D48A1"/>
    <w:rsid w:val="007D55CB"/>
    <w:rsid w:val="007D5CDE"/>
    <w:rsid w:val="007D658A"/>
    <w:rsid w:val="007E28A2"/>
    <w:rsid w:val="007E5661"/>
    <w:rsid w:val="007F349F"/>
    <w:rsid w:val="007F3804"/>
    <w:rsid w:val="008002D1"/>
    <w:rsid w:val="008100B3"/>
    <w:rsid w:val="008165FA"/>
    <w:rsid w:val="00820972"/>
    <w:rsid w:val="00822585"/>
    <w:rsid w:val="00830F6F"/>
    <w:rsid w:val="00831448"/>
    <w:rsid w:val="00831B20"/>
    <w:rsid w:val="0083575C"/>
    <w:rsid w:val="00843C97"/>
    <w:rsid w:val="00856B6C"/>
    <w:rsid w:val="0087554C"/>
    <w:rsid w:val="00880021"/>
    <w:rsid w:val="00882641"/>
    <w:rsid w:val="00887348"/>
    <w:rsid w:val="00887A51"/>
    <w:rsid w:val="00887B7D"/>
    <w:rsid w:val="00891A15"/>
    <w:rsid w:val="00891BC9"/>
    <w:rsid w:val="00895741"/>
    <w:rsid w:val="00895BD9"/>
    <w:rsid w:val="008A6EA1"/>
    <w:rsid w:val="008B3AF4"/>
    <w:rsid w:val="008B65D8"/>
    <w:rsid w:val="008C150C"/>
    <w:rsid w:val="008C1DC4"/>
    <w:rsid w:val="008C4AD2"/>
    <w:rsid w:val="008C5475"/>
    <w:rsid w:val="008C6F17"/>
    <w:rsid w:val="008C7060"/>
    <w:rsid w:val="008C7BD9"/>
    <w:rsid w:val="008D52A7"/>
    <w:rsid w:val="008D6272"/>
    <w:rsid w:val="008D73CB"/>
    <w:rsid w:val="008E0814"/>
    <w:rsid w:val="008E13CF"/>
    <w:rsid w:val="008E2AFB"/>
    <w:rsid w:val="008E4DD0"/>
    <w:rsid w:val="008F260A"/>
    <w:rsid w:val="008F3B4C"/>
    <w:rsid w:val="008F4F36"/>
    <w:rsid w:val="008F540E"/>
    <w:rsid w:val="008F6A3D"/>
    <w:rsid w:val="00900A3D"/>
    <w:rsid w:val="00902D2B"/>
    <w:rsid w:val="00902F38"/>
    <w:rsid w:val="00907BDC"/>
    <w:rsid w:val="00913F12"/>
    <w:rsid w:val="009148B4"/>
    <w:rsid w:val="00914C29"/>
    <w:rsid w:val="00916EF1"/>
    <w:rsid w:val="00920F26"/>
    <w:rsid w:val="00921FC6"/>
    <w:rsid w:val="00924D3B"/>
    <w:rsid w:val="00925495"/>
    <w:rsid w:val="00926476"/>
    <w:rsid w:val="00926DDD"/>
    <w:rsid w:val="00931B47"/>
    <w:rsid w:val="00932E39"/>
    <w:rsid w:val="0093322A"/>
    <w:rsid w:val="009417A6"/>
    <w:rsid w:val="00942D6A"/>
    <w:rsid w:val="00947E01"/>
    <w:rsid w:val="0095372C"/>
    <w:rsid w:val="009553AE"/>
    <w:rsid w:val="009559A9"/>
    <w:rsid w:val="00960D9D"/>
    <w:rsid w:val="00965F9B"/>
    <w:rsid w:val="009673E4"/>
    <w:rsid w:val="009674C2"/>
    <w:rsid w:val="00974A5B"/>
    <w:rsid w:val="00976E55"/>
    <w:rsid w:val="0098144F"/>
    <w:rsid w:val="00982C16"/>
    <w:rsid w:val="009978A4"/>
    <w:rsid w:val="009A05CE"/>
    <w:rsid w:val="009A7D34"/>
    <w:rsid w:val="009B2C95"/>
    <w:rsid w:val="009B3ABB"/>
    <w:rsid w:val="009B44B2"/>
    <w:rsid w:val="009C21FA"/>
    <w:rsid w:val="009C3DED"/>
    <w:rsid w:val="009C5E10"/>
    <w:rsid w:val="009D08AA"/>
    <w:rsid w:val="009D16FC"/>
    <w:rsid w:val="009D5703"/>
    <w:rsid w:val="009E0BB8"/>
    <w:rsid w:val="009E1262"/>
    <w:rsid w:val="009E2081"/>
    <w:rsid w:val="009E46E4"/>
    <w:rsid w:val="009F077E"/>
    <w:rsid w:val="009F0DC4"/>
    <w:rsid w:val="009F272B"/>
    <w:rsid w:val="009F595C"/>
    <w:rsid w:val="009F7708"/>
    <w:rsid w:val="00A019E6"/>
    <w:rsid w:val="00A02134"/>
    <w:rsid w:val="00A050EE"/>
    <w:rsid w:val="00A059E5"/>
    <w:rsid w:val="00A072A6"/>
    <w:rsid w:val="00A15ECF"/>
    <w:rsid w:val="00A17CC9"/>
    <w:rsid w:val="00A215AF"/>
    <w:rsid w:val="00A32BFA"/>
    <w:rsid w:val="00A331D7"/>
    <w:rsid w:val="00A34713"/>
    <w:rsid w:val="00A3740D"/>
    <w:rsid w:val="00A37755"/>
    <w:rsid w:val="00A4200D"/>
    <w:rsid w:val="00A456AD"/>
    <w:rsid w:val="00A46619"/>
    <w:rsid w:val="00A46D99"/>
    <w:rsid w:val="00A548E9"/>
    <w:rsid w:val="00A5628E"/>
    <w:rsid w:val="00A6666F"/>
    <w:rsid w:val="00A6778E"/>
    <w:rsid w:val="00A73CA3"/>
    <w:rsid w:val="00A7520E"/>
    <w:rsid w:val="00A757F5"/>
    <w:rsid w:val="00A83C7C"/>
    <w:rsid w:val="00A85387"/>
    <w:rsid w:val="00A85483"/>
    <w:rsid w:val="00A860C9"/>
    <w:rsid w:val="00A86521"/>
    <w:rsid w:val="00A9315A"/>
    <w:rsid w:val="00A97B0B"/>
    <w:rsid w:val="00AB1234"/>
    <w:rsid w:val="00AB43F9"/>
    <w:rsid w:val="00AB56DB"/>
    <w:rsid w:val="00AB72CE"/>
    <w:rsid w:val="00AC5D7C"/>
    <w:rsid w:val="00AC63B4"/>
    <w:rsid w:val="00AD0346"/>
    <w:rsid w:val="00AD2E59"/>
    <w:rsid w:val="00AE3073"/>
    <w:rsid w:val="00AE3AF4"/>
    <w:rsid w:val="00AF2756"/>
    <w:rsid w:val="00AF7905"/>
    <w:rsid w:val="00B00C64"/>
    <w:rsid w:val="00B06796"/>
    <w:rsid w:val="00B17454"/>
    <w:rsid w:val="00B21F73"/>
    <w:rsid w:val="00B22637"/>
    <w:rsid w:val="00B26084"/>
    <w:rsid w:val="00B309F2"/>
    <w:rsid w:val="00B331EE"/>
    <w:rsid w:val="00B42289"/>
    <w:rsid w:val="00B45BE1"/>
    <w:rsid w:val="00B52DDE"/>
    <w:rsid w:val="00B545F8"/>
    <w:rsid w:val="00B55DB2"/>
    <w:rsid w:val="00B56656"/>
    <w:rsid w:val="00B5724F"/>
    <w:rsid w:val="00B57617"/>
    <w:rsid w:val="00B620B1"/>
    <w:rsid w:val="00B6425A"/>
    <w:rsid w:val="00B653A2"/>
    <w:rsid w:val="00B70CAD"/>
    <w:rsid w:val="00B836FE"/>
    <w:rsid w:val="00B85DE0"/>
    <w:rsid w:val="00B91EAC"/>
    <w:rsid w:val="00BA3CCA"/>
    <w:rsid w:val="00BB4730"/>
    <w:rsid w:val="00BD7E54"/>
    <w:rsid w:val="00BE0E8F"/>
    <w:rsid w:val="00BE0FD5"/>
    <w:rsid w:val="00BF16D7"/>
    <w:rsid w:val="00BF1DE0"/>
    <w:rsid w:val="00BF2D4D"/>
    <w:rsid w:val="00BF497C"/>
    <w:rsid w:val="00BF5400"/>
    <w:rsid w:val="00C0109C"/>
    <w:rsid w:val="00C013E5"/>
    <w:rsid w:val="00C01612"/>
    <w:rsid w:val="00C05794"/>
    <w:rsid w:val="00C06236"/>
    <w:rsid w:val="00C0676F"/>
    <w:rsid w:val="00C25178"/>
    <w:rsid w:val="00C30EE0"/>
    <w:rsid w:val="00C33168"/>
    <w:rsid w:val="00C34CF0"/>
    <w:rsid w:val="00C3720E"/>
    <w:rsid w:val="00C45D18"/>
    <w:rsid w:val="00C5028E"/>
    <w:rsid w:val="00C70963"/>
    <w:rsid w:val="00C85D85"/>
    <w:rsid w:val="00C866AC"/>
    <w:rsid w:val="00C87196"/>
    <w:rsid w:val="00C91B3E"/>
    <w:rsid w:val="00C957E3"/>
    <w:rsid w:val="00CB7F7D"/>
    <w:rsid w:val="00CC0E92"/>
    <w:rsid w:val="00CC2520"/>
    <w:rsid w:val="00CC28D5"/>
    <w:rsid w:val="00CC4DA6"/>
    <w:rsid w:val="00CD11FB"/>
    <w:rsid w:val="00CD3F98"/>
    <w:rsid w:val="00CD65D2"/>
    <w:rsid w:val="00CE27E1"/>
    <w:rsid w:val="00CF1B2F"/>
    <w:rsid w:val="00CF43BB"/>
    <w:rsid w:val="00CF740D"/>
    <w:rsid w:val="00CF7DA9"/>
    <w:rsid w:val="00D06318"/>
    <w:rsid w:val="00D115AE"/>
    <w:rsid w:val="00D13F01"/>
    <w:rsid w:val="00D1548F"/>
    <w:rsid w:val="00D21A6E"/>
    <w:rsid w:val="00D22712"/>
    <w:rsid w:val="00D30EB5"/>
    <w:rsid w:val="00D333F0"/>
    <w:rsid w:val="00D36958"/>
    <w:rsid w:val="00D36C85"/>
    <w:rsid w:val="00D376AD"/>
    <w:rsid w:val="00D40A00"/>
    <w:rsid w:val="00D40BDC"/>
    <w:rsid w:val="00D46272"/>
    <w:rsid w:val="00D47382"/>
    <w:rsid w:val="00D52CC1"/>
    <w:rsid w:val="00D564EB"/>
    <w:rsid w:val="00D57978"/>
    <w:rsid w:val="00D638AF"/>
    <w:rsid w:val="00D674AD"/>
    <w:rsid w:val="00D67EAE"/>
    <w:rsid w:val="00D715EB"/>
    <w:rsid w:val="00D771B6"/>
    <w:rsid w:val="00D77F5D"/>
    <w:rsid w:val="00D8025B"/>
    <w:rsid w:val="00D81EF1"/>
    <w:rsid w:val="00D8564C"/>
    <w:rsid w:val="00D8598A"/>
    <w:rsid w:val="00D862A2"/>
    <w:rsid w:val="00D87681"/>
    <w:rsid w:val="00D95038"/>
    <w:rsid w:val="00DA3B31"/>
    <w:rsid w:val="00DA52A2"/>
    <w:rsid w:val="00DB467D"/>
    <w:rsid w:val="00DB72F1"/>
    <w:rsid w:val="00DC60BB"/>
    <w:rsid w:val="00DC6AD7"/>
    <w:rsid w:val="00DD058D"/>
    <w:rsid w:val="00DD467C"/>
    <w:rsid w:val="00DE42C9"/>
    <w:rsid w:val="00DE76DE"/>
    <w:rsid w:val="00DE7A64"/>
    <w:rsid w:val="00E02506"/>
    <w:rsid w:val="00E06F77"/>
    <w:rsid w:val="00E125E1"/>
    <w:rsid w:val="00E1652B"/>
    <w:rsid w:val="00E20A48"/>
    <w:rsid w:val="00E22A92"/>
    <w:rsid w:val="00E41B4E"/>
    <w:rsid w:val="00E44A5D"/>
    <w:rsid w:val="00E45078"/>
    <w:rsid w:val="00E47886"/>
    <w:rsid w:val="00E51A8A"/>
    <w:rsid w:val="00E52872"/>
    <w:rsid w:val="00E57E18"/>
    <w:rsid w:val="00E61553"/>
    <w:rsid w:val="00E63740"/>
    <w:rsid w:val="00E64173"/>
    <w:rsid w:val="00E91F05"/>
    <w:rsid w:val="00E93047"/>
    <w:rsid w:val="00E939BA"/>
    <w:rsid w:val="00EA5CA7"/>
    <w:rsid w:val="00EB338A"/>
    <w:rsid w:val="00EC42C8"/>
    <w:rsid w:val="00ED5BF3"/>
    <w:rsid w:val="00ED6983"/>
    <w:rsid w:val="00ED73DF"/>
    <w:rsid w:val="00EE0C4C"/>
    <w:rsid w:val="00EE2CAB"/>
    <w:rsid w:val="00EE4741"/>
    <w:rsid w:val="00EF1586"/>
    <w:rsid w:val="00EF2498"/>
    <w:rsid w:val="00EF24AB"/>
    <w:rsid w:val="00F03F07"/>
    <w:rsid w:val="00F0668C"/>
    <w:rsid w:val="00F11D67"/>
    <w:rsid w:val="00F13AAA"/>
    <w:rsid w:val="00F269CE"/>
    <w:rsid w:val="00F269F8"/>
    <w:rsid w:val="00F2704D"/>
    <w:rsid w:val="00F335EA"/>
    <w:rsid w:val="00F5059D"/>
    <w:rsid w:val="00F52508"/>
    <w:rsid w:val="00F549F4"/>
    <w:rsid w:val="00F647C0"/>
    <w:rsid w:val="00F65C19"/>
    <w:rsid w:val="00F6724B"/>
    <w:rsid w:val="00F67B13"/>
    <w:rsid w:val="00F80B09"/>
    <w:rsid w:val="00F81BE8"/>
    <w:rsid w:val="00F8276C"/>
    <w:rsid w:val="00F82BEA"/>
    <w:rsid w:val="00F8499F"/>
    <w:rsid w:val="00F87A65"/>
    <w:rsid w:val="00F97A22"/>
    <w:rsid w:val="00FA4046"/>
    <w:rsid w:val="00FA586C"/>
    <w:rsid w:val="00FB07D2"/>
    <w:rsid w:val="00FB2260"/>
    <w:rsid w:val="00FB7A61"/>
    <w:rsid w:val="00FD1D84"/>
    <w:rsid w:val="00FD6546"/>
    <w:rsid w:val="00FD6692"/>
    <w:rsid w:val="00FD7735"/>
    <w:rsid w:val="00FE075D"/>
    <w:rsid w:val="00FE15ED"/>
    <w:rsid w:val="00FE51D4"/>
    <w:rsid w:val="00FF4AC3"/>
    <w:rsid w:val="00FF6512"/>
    <w:rsid w:val="0186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footnote text"/>
    <w:basedOn w:val="1"/>
    <w:link w:val="18"/>
    <w:semiHidden/>
    <w:unhideWhenUsed/>
    <w:qFormat/>
    <w:uiPriority w:val="99"/>
    <w:pPr>
      <w:snapToGrid w:val="0"/>
      <w:jc w:val="left"/>
    </w:pPr>
    <w:rPr>
      <w:sz w:val="18"/>
      <w:szCs w:val="18"/>
    </w:rPr>
  </w:style>
  <w:style w:type="paragraph" w:styleId="8">
    <w:name w:val="toc 2"/>
    <w:basedOn w:val="1"/>
    <w:next w:val="1"/>
    <w:autoRedefine/>
    <w:unhideWhenUsed/>
    <w:qFormat/>
    <w:uiPriority w:val="39"/>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footnote reference"/>
    <w:basedOn w:val="11"/>
    <w:semiHidden/>
    <w:unhideWhenUsed/>
    <w:qFormat/>
    <w:uiPriority w:val="99"/>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页眉 Char"/>
    <w:basedOn w:val="11"/>
    <w:link w:val="5"/>
    <w:qFormat/>
    <w:uiPriority w:val="99"/>
    <w:rPr>
      <w:sz w:val="18"/>
      <w:szCs w:val="18"/>
    </w:rPr>
  </w:style>
  <w:style w:type="character" w:customStyle="1" w:styleId="16">
    <w:name w:val="页脚 Char"/>
    <w:basedOn w:val="11"/>
    <w:link w:val="4"/>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脚注文本 Char"/>
    <w:basedOn w:val="11"/>
    <w:link w:val="7"/>
    <w:semiHidden/>
    <w:qFormat/>
    <w:uiPriority w:val="99"/>
    <w:rPr>
      <w:sz w:val="18"/>
      <w:szCs w:val="18"/>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批注框文本 Char"/>
    <w:basedOn w:val="11"/>
    <w:link w:val="3"/>
    <w:semiHidden/>
    <w:qFormat/>
    <w:uiPriority w:val="99"/>
    <w:rPr>
      <w:sz w:val="18"/>
      <w:szCs w:val="18"/>
    </w:rPr>
  </w:style>
  <w:style w:type="character" w:customStyle="1" w:styleId="21">
    <w:name w:val="标题 1 Char"/>
    <w:basedOn w:val="11"/>
    <w:link w:val="2"/>
    <w:qFormat/>
    <w:uiPriority w:val="9"/>
    <w:rPr>
      <w:b/>
      <w:bCs/>
      <w:kern w:val="44"/>
      <w:sz w:val="44"/>
      <w:szCs w:val="44"/>
    </w:rPr>
  </w:style>
  <w:style w:type="paragraph" w:customStyle="1" w:styleId="2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B059A-8296-4A39-8252-3A307519F8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7185</Words>
  <Characters>8401</Characters>
  <Lines>196</Lines>
  <Paragraphs>55</Paragraphs>
  <TotalTime>0</TotalTime>
  <ScaleCrop>false</ScaleCrop>
  <LinksUpToDate>false</LinksUpToDate>
  <CharactersWithSpaces>8512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2017-06-09T01:37:00Z</dcterms:created>
  <dc:creator>daphne&amp;will</dc:creator>
  <cp:lastModifiedBy>太极箫客</cp:lastModifiedBy>
  <dcterms:modified xsi:type="dcterms:W3CDTF">2025-08-14T06:15:24Z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90B72BA5EFDE43D197169172B204A944_12</vt:lpwstr>
  </property>
</Properties>
</file>