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19EE9">
      <w:pPr>
        <w:tabs>
          <w:tab w:val="left" w:pos="2780"/>
          <w:tab w:val="left" w:pos="8699"/>
        </w:tabs>
        <w:snapToGrid w:val="0"/>
        <w:spacing w:before="1" w:line="300" w:lineRule="auto"/>
        <w:jc w:val="both"/>
        <w:rPr>
          <w:rFonts w:ascii="Arial" w:hAnsi="Arial" w:eastAsia="宋体" w:cs="Arial"/>
          <w:b/>
          <w:sz w:val="72"/>
          <w:lang w:eastAsia="zh-CN"/>
        </w:rPr>
      </w:pPr>
      <w:bookmarkStart w:id="43" w:name="_GoBack"/>
      <w:bookmarkEnd w:id="43"/>
    </w:p>
    <w:p w14:paraId="07F26C4E">
      <w:pPr>
        <w:tabs>
          <w:tab w:val="left" w:pos="2780"/>
          <w:tab w:val="left" w:pos="8699"/>
        </w:tabs>
        <w:snapToGrid w:val="0"/>
        <w:spacing w:before="1" w:line="300" w:lineRule="auto"/>
        <w:jc w:val="center"/>
        <w:rPr>
          <w:rFonts w:ascii="Arial" w:hAnsi="Arial" w:eastAsia="宋体" w:cs="Arial"/>
          <w:sz w:val="72"/>
          <w:szCs w:val="72"/>
          <w:lang w:eastAsia="zh-CN"/>
        </w:rPr>
      </w:pPr>
      <w:r>
        <w:rPr>
          <w:rFonts w:ascii="Arial" w:hAnsi="Arial" w:eastAsia="宋体" w:cs="Arial"/>
          <w:b/>
          <w:sz w:val="72"/>
          <w:lang w:eastAsia="zh-CN"/>
        </w:rPr>
        <w:t>行业和FDA员工指南</w:t>
      </w:r>
    </w:p>
    <w:p w14:paraId="64E31102">
      <w:pPr>
        <w:snapToGrid w:val="0"/>
        <w:spacing w:line="300" w:lineRule="auto"/>
        <w:jc w:val="center"/>
        <w:rPr>
          <w:rFonts w:ascii="Arial" w:hAnsi="Arial" w:eastAsia="宋体" w:cs="Arial"/>
          <w:b/>
          <w:bCs/>
          <w:sz w:val="20"/>
          <w:szCs w:val="20"/>
          <w:lang w:eastAsia="zh-CN"/>
        </w:rPr>
      </w:pPr>
      <w:r>
        <w:rPr>
          <w:rFonts w:ascii="Arial" w:hAnsi="Arial" w:eastAsia="宋体" w:cs="Arial"/>
          <w:b/>
          <w:bCs/>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13970</wp:posOffset>
                </wp:positionV>
                <wp:extent cx="6149340" cy="0"/>
                <wp:effectExtent l="8255" t="13970" r="5080" b="5080"/>
                <wp:wrapNone/>
                <wp:docPr id="18" name="AutoShape 17"/>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straightConnector1">
                          <a:avLst/>
                        </a:prstGeom>
                        <a:noFill/>
                        <a:ln w="9525">
                          <a:solidFill>
                            <a:srgbClr val="000000"/>
                          </a:solidFill>
                          <a:round/>
                        </a:ln>
                      </wps:spPr>
                      <wps:bodyPr/>
                    </wps:wsp>
                  </a:graphicData>
                </a:graphic>
              </wp:anchor>
            </w:drawing>
          </mc:Choice>
          <mc:Fallback>
            <w:pict>
              <v:shape id="AutoShape 17" o:spid="_x0000_s1026" o:spt="32" type="#_x0000_t32" style="position:absolute;left:0pt;margin-left:5.9pt;margin-top:1.1pt;height:0pt;width:484.2pt;z-index:251659264;mso-width-relative:page;mso-height-relative:page;" filled="f" stroked="t" coordsize="21600,21600" o:gfxdata="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61Su9IAAAAGAQAADwAAAAAAAAABACAAAAAi&#10;AAAAZHJzL2Rvd25yZXYueG1sUEsBAhQAFAAAAAgAh07iQCz4GGjXAQAAtAMAAA4AAAAAAAAAAQAg&#10;AAAAIQEAAGRycy9lMm9Eb2MueG1sUEsFBgAAAAAGAAYAWQEAAGoFAAAAAA==&#10;">
                <v:fill on="f" focussize="0,0"/>
                <v:stroke color="#000000" joinstyle="round"/>
                <v:imagedata o:title=""/>
                <o:lock v:ext="edit" aspectratio="f"/>
              </v:shape>
            </w:pict>
          </mc:Fallback>
        </mc:AlternateContent>
      </w:r>
    </w:p>
    <w:p w14:paraId="11340563">
      <w:pPr>
        <w:snapToGrid w:val="0"/>
        <w:spacing w:before="185" w:line="300" w:lineRule="auto"/>
        <w:jc w:val="center"/>
        <w:rPr>
          <w:rFonts w:ascii="Arial" w:hAnsi="Arial" w:eastAsia="宋体" w:cs="Arial"/>
          <w:sz w:val="72"/>
          <w:szCs w:val="72"/>
          <w:lang w:eastAsia="zh-CN"/>
        </w:rPr>
      </w:pPr>
      <w:r>
        <w:rPr>
          <w:rFonts w:ascii="Arial" w:hAnsi="Arial" w:eastAsia="宋体" w:cs="Arial"/>
          <w:b/>
          <w:sz w:val="72"/>
          <w:lang w:eastAsia="zh-CN"/>
        </w:rPr>
        <w:t>II 类特殊控制指导性文件：美容用聚焦超声刺激系统</w:t>
      </w:r>
    </w:p>
    <w:p w14:paraId="5CB22E32">
      <w:pPr>
        <w:snapToGrid w:val="0"/>
        <w:spacing w:before="646" w:line="300" w:lineRule="auto"/>
        <w:jc w:val="center"/>
        <w:rPr>
          <w:rFonts w:ascii="Arial" w:hAnsi="Arial" w:eastAsia="宋体" w:cs="Arial"/>
          <w:sz w:val="28"/>
          <w:szCs w:val="28"/>
          <w:lang w:eastAsia="zh-CN"/>
        </w:rPr>
      </w:pPr>
      <w:r>
        <w:rPr>
          <w:rFonts w:ascii="Arial" w:hAnsi="Arial" w:eastAsia="宋体" w:cs="Arial"/>
          <w:b/>
          <w:spacing w:val="-1"/>
          <w:sz w:val="28"/>
          <w:lang w:eastAsia="zh-CN"/>
        </w:rPr>
        <w:t>文件发布日期：</w:t>
      </w:r>
      <w:r>
        <w:rPr>
          <w:rFonts w:ascii="Arial" w:hAnsi="Arial" w:eastAsia="宋体" w:cs="Arial"/>
          <w:sz w:val="23"/>
          <w:szCs w:val="23"/>
          <w:lang w:eastAsia="zh-CN"/>
        </w:rPr>
        <w:t xml:space="preserve"> </w:t>
      </w:r>
      <w:r>
        <w:rPr>
          <w:rFonts w:ascii="Arial" w:hAnsi="Arial" w:eastAsia="宋体" w:cs="Arial"/>
          <w:b/>
          <w:spacing w:val="-1"/>
          <w:sz w:val="28"/>
          <w:lang w:eastAsia="zh-CN"/>
        </w:rPr>
        <w:t>2011年7月20日</w:t>
      </w:r>
    </w:p>
    <w:p w14:paraId="3AA31BDE">
      <w:pPr>
        <w:snapToGrid w:val="0"/>
        <w:spacing w:before="169" w:line="300" w:lineRule="auto"/>
        <w:ind w:left="140"/>
        <w:jc w:val="both"/>
        <w:rPr>
          <w:rFonts w:ascii="Arial" w:hAnsi="Arial" w:eastAsia="宋体" w:cs="Arial"/>
          <w:sz w:val="23"/>
          <w:szCs w:val="23"/>
          <w:lang w:eastAsia="zh-CN"/>
        </w:rPr>
      </w:pPr>
    </w:p>
    <w:p w14:paraId="3134D66C">
      <w:pPr>
        <w:snapToGrid w:val="0"/>
        <w:spacing w:before="169" w:line="300" w:lineRule="auto"/>
        <w:ind w:left="140"/>
        <w:jc w:val="both"/>
        <w:rPr>
          <w:rFonts w:ascii="Arial" w:hAnsi="Arial" w:eastAsia="宋体" w:cs="Arial"/>
          <w:sz w:val="23"/>
          <w:szCs w:val="23"/>
          <w:lang w:eastAsia="zh-CN"/>
        </w:rPr>
      </w:pPr>
    </w:p>
    <w:p w14:paraId="1E70D61D">
      <w:pPr>
        <w:snapToGrid w:val="0"/>
        <w:spacing w:before="169" w:line="300" w:lineRule="auto"/>
        <w:ind w:left="140"/>
        <w:rPr>
          <w:rFonts w:ascii="Arial" w:hAnsi="Arial" w:eastAsia="宋体" w:cs="Arial"/>
          <w:sz w:val="23"/>
          <w:szCs w:val="23"/>
          <w:lang w:eastAsia="zh-CN"/>
        </w:rPr>
      </w:pPr>
      <w:r>
        <w:rPr>
          <w:rFonts w:ascii="Arial" w:hAnsi="Arial" w:eastAsia="宋体" w:cs="Arial"/>
          <w:sz w:val="23"/>
          <w:szCs w:val="23"/>
          <w:lang w:eastAsia="zh-CN"/>
        </w:rPr>
        <w:t>有关本文件的问题，请联系Richard Felten，电话：301-796-6392，电子邮箱：richard.felten@fda.hhs.gov。</w:t>
      </w:r>
    </w:p>
    <w:p w14:paraId="69D2CE6E">
      <w:pPr>
        <w:snapToGrid w:val="0"/>
        <w:spacing w:line="300" w:lineRule="auto"/>
        <w:jc w:val="both"/>
        <w:rPr>
          <w:rFonts w:ascii="Arial" w:hAnsi="Arial" w:eastAsia="宋体" w:cs="Arial"/>
          <w:lang w:eastAsia="zh-CN"/>
        </w:rPr>
      </w:pPr>
    </w:p>
    <w:p w14:paraId="2D2253BB">
      <w:pPr>
        <w:snapToGrid w:val="0"/>
        <w:spacing w:line="300" w:lineRule="auto"/>
        <w:jc w:val="both"/>
        <w:rPr>
          <w:rFonts w:ascii="Arial" w:hAnsi="Arial" w:eastAsia="宋体" w:cs="Arial"/>
          <w:lang w:eastAsia="zh-CN"/>
        </w:rPr>
      </w:pPr>
    </w:p>
    <w:p w14:paraId="18F2FEFC">
      <w:pPr>
        <w:snapToGrid w:val="0"/>
        <w:spacing w:line="300" w:lineRule="auto"/>
        <w:jc w:val="both"/>
        <w:rPr>
          <w:rFonts w:ascii="Arial" w:hAnsi="Arial" w:eastAsia="宋体" w:cs="Arial"/>
          <w:lang w:eastAsia="zh-CN"/>
        </w:rPr>
      </w:pPr>
    </w:p>
    <w:p w14:paraId="3D2CB90D">
      <w:pPr>
        <w:snapToGrid w:val="0"/>
        <w:spacing w:line="300" w:lineRule="auto"/>
        <w:jc w:val="both"/>
        <w:rPr>
          <w:rFonts w:ascii="Arial" w:hAnsi="Arial" w:eastAsia="宋体" w:cs="Arial"/>
          <w:lang w:eastAsia="zh-CN"/>
        </w:rPr>
      </w:pPr>
    </w:p>
    <w:p w14:paraId="61414834">
      <w:pPr>
        <w:pStyle w:val="5"/>
        <w:snapToGrid w:val="0"/>
        <w:spacing w:before="185" w:line="300" w:lineRule="auto"/>
        <w:ind w:left="0"/>
        <w:rPr>
          <w:rFonts w:ascii="Arial" w:hAnsi="Arial" w:eastAsia="宋体" w:cs="Arial"/>
          <w:lang w:eastAsia="zh-CN"/>
        </w:rPr>
      </w:pPr>
    </w:p>
    <w:p w14:paraId="207BDF77">
      <w:pPr>
        <w:snapToGrid w:val="0"/>
        <w:spacing w:line="300" w:lineRule="auto"/>
        <w:jc w:val="right"/>
        <w:rPr>
          <w:rFonts w:ascii="Arial" w:hAnsi="Arial" w:eastAsia="宋体" w:cs="Arial"/>
          <w:sz w:val="24"/>
          <w:szCs w:val="24"/>
          <w:lang w:eastAsia="zh-CN"/>
        </w:rPr>
      </w:pPr>
    </w:p>
    <w:p w14:paraId="4B389346">
      <w:pPr>
        <w:snapToGrid w:val="0"/>
        <w:spacing w:line="300" w:lineRule="auto"/>
        <w:jc w:val="right"/>
        <w:rPr>
          <w:rFonts w:ascii="Arial" w:hAnsi="Arial" w:eastAsia="宋体" w:cs="Arial"/>
          <w:b/>
          <w:sz w:val="24"/>
          <w:szCs w:val="24"/>
          <w:lang w:eastAsia="zh-CN"/>
        </w:rPr>
      </w:pPr>
      <w:r>
        <w:rPr>
          <w:rFonts w:ascii="Arial" w:hAnsi="Arial" w:eastAsia="宋体" w:cs="Arial"/>
          <w:lang w:eastAsia="zh-CN"/>
        </w:rPr>
        <w:drawing>
          <wp:anchor distT="0" distB="0" distL="114300" distR="114300" simplePos="0" relativeHeight="251660288" behindDoc="0" locked="0" layoutInCell="1" allowOverlap="1">
            <wp:simplePos x="0" y="0"/>
            <wp:positionH relativeFrom="page">
              <wp:posOffset>1194435</wp:posOffset>
            </wp:positionH>
            <wp:positionV relativeFrom="paragraph">
              <wp:posOffset>74295</wp:posOffset>
            </wp:positionV>
            <wp:extent cx="1028700" cy="9810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28700" cy="981075"/>
                    </a:xfrm>
                    <a:prstGeom prst="rect">
                      <a:avLst/>
                    </a:prstGeom>
                    <a:noFill/>
                    <a:ln>
                      <a:noFill/>
                    </a:ln>
                  </pic:spPr>
                </pic:pic>
              </a:graphicData>
            </a:graphic>
          </wp:anchor>
        </w:drawing>
      </w:r>
      <w:r>
        <w:rPr>
          <w:rFonts w:ascii="Arial" w:hAnsi="Arial" w:eastAsia="宋体" w:cs="Arial"/>
          <w:b/>
          <w:sz w:val="24"/>
          <w:szCs w:val="24"/>
          <w:lang w:eastAsia="zh-CN"/>
        </w:rPr>
        <w:t>美国卫生与公众服务部</w:t>
      </w:r>
    </w:p>
    <w:p w14:paraId="5476C35D">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食品药品监督管理局</w:t>
      </w:r>
    </w:p>
    <w:p w14:paraId="4953FBAC">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器械与放射健康中心</w:t>
      </w:r>
    </w:p>
    <w:p w14:paraId="6AB8029D">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普通外科器械分部</w:t>
      </w:r>
    </w:p>
    <w:p w14:paraId="304928D0">
      <w:pPr>
        <w:snapToGrid w:val="0"/>
        <w:spacing w:line="300" w:lineRule="auto"/>
        <w:jc w:val="right"/>
        <w:rPr>
          <w:rFonts w:ascii="Arial" w:hAnsi="Arial" w:eastAsia="宋体" w:cs="Arial"/>
          <w:b/>
          <w:sz w:val="24"/>
          <w:szCs w:val="24"/>
          <w:lang w:eastAsia="zh-CN"/>
        </w:rPr>
      </w:pPr>
      <w:r>
        <w:rPr>
          <w:rFonts w:ascii="Arial" w:hAnsi="Arial" w:eastAsia="宋体" w:cs="Arial"/>
          <w:b/>
          <w:sz w:val="24"/>
          <w:szCs w:val="24"/>
          <w:lang w:eastAsia="zh-CN"/>
        </w:rPr>
        <w:t>手术、骨科和恢复器械部</w:t>
      </w:r>
    </w:p>
    <w:p w14:paraId="01AF7CFF">
      <w:pPr>
        <w:snapToGrid w:val="0"/>
        <w:spacing w:line="300" w:lineRule="auto"/>
        <w:jc w:val="right"/>
        <w:rPr>
          <w:rFonts w:ascii="Arial" w:hAnsi="Arial" w:eastAsia="宋体" w:cs="Arial"/>
          <w:b/>
          <w:sz w:val="24"/>
          <w:szCs w:val="24"/>
          <w:lang w:eastAsia="zh-CN"/>
        </w:rPr>
        <w:sectPr>
          <w:footerReference r:id="rId3" w:type="default"/>
          <w:type w:val="continuous"/>
          <w:pgSz w:w="12240" w:h="15840"/>
          <w:pgMar w:top="1134" w:right="1134" w:bottom="1134" w:left="1134" w:header="720" w:footer="720" w:gutter="0"/>
          <w:cols w:space="720" w:num="1"/>
          <w:docGrid w:linePitch="299" w:charSpace="0"/>
        </w:sectPr>
      </w:pPr>
      <w:r>
        <w:rPr>
          <w:rFonts w:ascii="Arial" w:hAnsi="Arial" w:eastAsia="宋体" w:cs="Arial"/>
          <w:b/>
          <w:sz w:val="24"/>
          <w:szCs w:val="24"/>
          <w:lang w:eastAsia="zh-CN"/>
        </w:rPr>
        <w:t>器械评估办公室</w:t>
      </w:r>
    </w:p>
    <w:p w14:paraId="57463F21">
      <w:pPr>
        <w:snapToGrid w:val="0"/>
        <w:spacing w:line="300" w:lineRule="auto"/>
        <w:jc w:val="both"/>
        <w:rPr>
          <w:rFonts w:ascii="Arial" w:hAnsi="Arial" w:eastAsia="宋体" w:cs="Arial"/>
          <w:lang w:eastAsia="zh-CN"/>
        </w:rPr>
      </w:pPr>
    </w:p>
    <w:p w14:paraId="62769969">
      <w:pPr>
        <w:snapToGrid w:val="0"/>
        <w:spacing w:line="300" w:lineRule="auto"/>
        <w:jc w:val="both"/>
        <w:rPr>
          <w:rFonts w:ascii="Arial" w:hAnsi="Arial" w:eastAsia="宋体" w:cs="Arial"/>
          <w:lang w:eastAsia="zh-CN"/>
        </w:rPr>
      </w:pPr>
    </w:p>
    <w:p w14:paraId="7D47C440">
      <w:pPr>
        <w:snapToGrid w:val="0"/>
        <w:spacing w:line="300" w:lineRule="auto"/>
        <w:jc w:val="both"/>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4540B5CC">
      <w:pPr>
        <w:snapToGrid w:val="0"/>
        <w:spacing w:line="300" w:lineRule="auto"/>
        <w:jc w:val="both"/>
        <w:rPr>
          <w:rFonts w:ascii="Arial" w:hAnsi="Arial" w:eastAsia="宋体" w:cs="Arial"/>
          <w:b/>
          <w:bCs/>
          <w:sz w:val="20"/>
          <w:szCs w:val="20"/>
          <w:lang w:eastAsia="zh-CN"/>
        </w:rPr>
      </w:pPr>
    </w:p>
    <w:p w14:paraId="5E8B3856">
      <w:pPr>
        <w:snapToGrid w:val="0"/>
        <w:spacing w:before="7" w:line="300" w:lineRule="auto"/>
        <w:jc w:val="both"/>
        <w:rPr>
          <w:rFonts w:ascii="Arial" w:hAnsi="Arial" w:eastAsia="宋体" w:cs="Arial"/>
          <w:b/>
          <w:bCs/>
          <w:sz w:val="18"/>
          <w:szCs w:val="18"/>
          <w:lang w:eastAsia="zh-CN"/>
        </w:rPr>
      </w:pPr>
    </w:p>
    <w:p w14:paraId="585E4477">
      <w:pPr>
        <w:snapToGrid w:val="0"/>
        <w:spacing w:before="1" w:line="300" w:lineRule="auto"/>
        <w:jc w:val="center"/>
        <w:rPr>
          <w:rFonts w:ascii="Arial" w:hAnsi="Arial" w:eastAsia="宋体" w:cs="Arial"/>
          <w:b/>
          <w:spacing w:val="-1"/>
          <w:sz w:val="56"/>
          <w:lang w:eastAsia="zh-CN"/>
        </w:rPr>
      </w:pPr>
      <w:r>
        <w:rPr>
          <w:rFonts w:ascii="Arial" w:hAnsi="Arial" w:eastAsia="宋体" w:cs="Arial"/>
          <w:b/>
          <w:spacing w:val="-1"/>
          <w:sz w:val="56"/>
          <w:lang w:eastAsia="zh-CN"/>
        </w:rPr>
        <w:t>前言</w:t>
      </w:r>
    </w:p>
    <w:p w14:paraId="3A40F162">
      <w:pPr>
        <w:snapToGrid w:val="0"/>
        <w:spacing w:line="300" w:lineRule="auto"/>
        <w:jc w:val="both"/>
        <w:rPr>
          <w:rFonts w:ascii="Arial" w:hAnsi="Arial" w:eastAsia="宋体" w:cs="Arial"/>
          <w:b/>
          <w:bCs/>
          <w:sz w:val="20"/>
          <w:szCs w:val="20"/>
          <w:lang w:eastAsia="zh-CN"/>
        </w:rPr>
      </w:pPr>
    </w:p>
    <w:p w14:paraId="68790FB2">
      <w:pPr>
        <w:snapToGrid w:val="0"/>
        <w:spacing w:line="300" w:lineRule="auto"/>
        <w:jc w:val="both"/>
        <w:rPr>
          <w:rFonts w:ascii="Arial" w:hAnsi="Arial" w:eastAsia="宋体" w:cs="Arial"/>
          <w:b/>
          <w:bCs/>
          <w:sz w:val="20"/>
          <w:szCs w:val="20"/>
          <w:lang w:eastAsia="zh-CN"/>
        </w:rPr>
      </w:pPr>
    </w:p>
    <w:p w14:paraId="71065E6F">
      <w:pPr>
        <w:snapToGrid w:val="0"/>
        <w:spacing w:line="300" w:lineRule="auto"/>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公共评论</w:t>
      </w:r>
    </w:p>
    <w:p w14:paraId="1C61C190">
      <w:pPr>
        <w:snapToGrid w:val="0"/>
        <w:spacing w:before="274" w:line="300" w:lineRule="auto"/>
        <w:jc w:val="both"/>
        <w:rPr>
          <w:rFonts w:ascii="Arial" w:hAnsi="Arial" w:eastAsia="宋体" w:cs="Arial"/>
          <w:sz w:val="23"/>
          <w:szCs w:val="23"/>
          <w:lang w:eastAsia="zh-CN"/>
        </w:rPr>
      </w:pPr>
      <w:r>
        <w:rPr>
          <w:rFonts w:ascii="Arial" w:hAnsi="Arial" w:eastAsia="宋体" w:cs="Arial"/>
          <w:sz w:val="24"/>
          <w:szCs w:val="24"/>
          <w:lang w:eastAsia="zh-CN"/>
        </w:rPr>
        <w:t>书面评论和建议可以随时提交至文档管理部、管理系统和政策部、人力资源和管理服务办公室、食品药品监督管理局、5630 Fishers Lane，ROOM 1061（HFA-305），Rockville，MD，20852），供部门审议。此外，电子评论可以提交至</w:t>
      </w:r>
      <w:r>
        <w:rPr>
          <w:rFonts w:ascii="Arial" w:hAnsi="Arial" w:eastAsia="宋体" w:cs="Arial"/>
          <w:color w:val="0000FF"/>
          <w:sz w:val="24"/>
          <w:szCs w:val="24"/>
          <w:u w:val="single"/>
          <w:lang w:eastAsia="zh-CN"/>
        </w:rPr>
        <w:t>http：//www.regulations.gov</w:t>
      </w:r>
      <w:r>
        <w:rPr>
          <w:rFonts w:ascii="Arial" w:hAnsi="Arial" w:eastAsia="宋体" w:cs="Arial"/>
          <w:sz w:val="24"/>
          <w:szCs w:val="24"/>
          <w:lang w:eastAsia="zh-CN"/>
        </w:rPr>
        <w:t>。所有评论应注明文档编号，该编号位于宣布提供指南的联邦公报通告中。可能直到文件下次修订或更新时，评论才会被机构受理。</w:t>
      </w:r>
    </w:p>
    <w:p w14:paraId="6D4B60E4">
      <w:pPr>
        <w:snapToGrid w:val="0"/>
        <w:spacing w:before="1" w:line="300" w:lineRule="auto"/>
        <w:jc w:val="both"/>
        <w:rPr>
          <w:rFonts w:ascii="Arial" w:hAnsi="Arial" w:eastAsia="宋体" w:cs="Arial"/>
          <w:sz w:val="18"/>
          <w:szCs w:val="18"/>
          <w:lang w:eastAsia="zh-CN"/>
        </w:rPr>
      </w:pPr>
    </w:p>
    <w:p w14:paraId="7FD0F1C7">
      <w:pPr>
        <w:snapToGrid w:val="0"/>
        <w:spacing w:before="1" w:line="300" w:lineRule="auto"/>
        <w:jc w:val="both"/>
        <w:rPr>
          <w:rFonts w:ascii="Arial" w:hAnsi="Arial" w:eastAsia="宋体" w:cs="Arial"/>
          <w:sz w:val="18"/>
          <w:szCs w:val="18"/>
          <w:lang w:eastAsia="zh-CN"/>
        </w:rPr>
      </w:pPr>
    </w:p>
    <w:p w14:paraId="0DD84F50">
      <w:pPr>
        <w:snapToGrid w:val="0"/>
        <w:spacing w:line="300" w:lineRule="auto"/>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其他副本</w:t>
      </w:r>
    </w:p>
    <w:p w14:paraId="3E6778D1">
      <w:pPr>
        <w:pStyle w:val="8"/>
        <w:snapToGrid w:val="0"/>
        <w:spacing w:before="274"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w:t>
      </w:r>
      <w:r>
        <w:rPr>
          <w:rFonts w:ascii="Arial" w:hAnsi="Arial" w:eastAsia="宋体" w:cs="Arial"/>
          <w:color w:val="0000FF"/>
          <w:u w:val="single"/>
          <w:lang w:eastAsia="zh-CN"/>
        </w:rPr>
        <w:t>dsmica@fda.hhs.gov</w:t>
      </w:r>
      <w:r>
        <w:rPr>
          <w:rFonts w:ascii="Arial" w:hAnsi="Arial" w:eastAsia="宋体" w:cs="Arial"/>
          <w:lang w:eastAsia="zh-CN"/>
        </w:rPr>
        <w:t>发送电子邮件请求，接收本指南的电子副本，或向301-847-8149发送传真请求以接收硬拷贝副本。请使用文件编号1701来注明贵公司所要求获得的指南。</w:t>
      </w:r>
    </w:p>
    <w:p w14:paraId="769A59CA">
      <w:pPr>
        <w:snapToGrid w:val="0"/>
        <w:spacing w:line="300" w:lineRule="auto"/>
        <w:jc w:val="both"/>
        <w:rPr>
          <w:rFonts w:ascii="Arial" w:hAnsi="Arial" w:eastAsia="宋体" w:cs="Arial"/>
          <w:sz w:val="20"/>
          <w:szCs w:val="20"/>
          <w:lang w:eastAsia="zh-CN"/>
        </w:rPr>
      </w:pPr>
    </w:p>
    <w:p w14:paraId="2292D214">
      <w:pPr>
        <w:snapToGrid w:val="0"/>
        <w:spacing w:line="300" w:lineRule="auto"/>
        <w:jc w:val="both"/>
        <w:rPr>
          <w:rFonts w:ascii="Arial" w:hAnsi="Arial" w:eastAsia="宋体" w:cs="Arial"/>
          <w:sz w:val="20"/>
          <w:szCs w:val="20"/>
          <w:lang w:eastAsia="zh-CN"/>
        </w:rPr>
      </w:pPr>
    </w:p>
    <w:p w14:paraId="491CD127">
      <w:pPr>
        <w:rPr>
          <w:rFonts w:ascii="Arial" w:hAnsi="Arial" w:eastAsia="宋体" w:cs="Arial"/>
          <w:sz w:val="20"/>
          <w:szCs w:val="20"/>
          <w:lang w:eastAsia="zh-CN"/>
        </w:rPr>
      </w:pPr>
      <w:bookmarkStart w:id="0" w:name="_bookmark0"/>
      <w:bookmarkEnd w:id="0"/>
      <w:r>
        <w:rPr>
          <w:rFonts w:ascii="Arial" w:hAnsi="Arial" w:eastAsia="宋体" w:cs="Arial"/>
          <w:sz w:val="20"/>
          <w:szCs w:val="20"/>
          <w:lang w:eastAsia="zh-CN"/>
        </w:rPr>
        <w:br w:type="page"/>
      </w:r>
    </w:p>
    <w:sdt>
      <w:sdtPr>
        <w:rPr>
          <w:rFonts w:asciiTheme="minorHAnsi" w:hAnsiTheme="minorHAnsi" w:eastAsiaTheme="minorEastAsia" w:cstheme="minorBidi"/>
          <w:b w:val="0"/>
          <w:bCs w:val="0"/>
          <w:color w:val="auto"/>
          <w:sz w:val="22"/>
          <w:szCs w:val="22"/>
          <w:lang w:val="zh-CN" w:eastAsia="en-US"/>
        </w:rPr>
        <w:id w:val="-840703656"/>
        <w:docPartObj>
          <w:docPartGallery w:val="Table of Contents"/>
          <w:docPartUnique/>
        </w:docPartObj>
      </w:sdtPr>
      <w:sdtEndPr>
        <w:rPr>
          <w:rFonts w:asciiTheme="minorHAnsi" w:hAnsiTheme="minorHAnsi" w:eastAsiaTheme="minorEastAsia" w:cstheme="minorBidi"/>
          <w:b w:val="0"/>
          <w:bCs w:val="0"/>
          <w:color w:val="auto"/>
          <w:sz w:val="22"/>
          <w:szCs w:val="22"/>
          <w:lang w:val="zh-CN" w:eastAsia="en-US"/>
        </w:rPr>
      </w:sdtEndPr>
      <w:sdtContent>
        <w:p w14:paraId="707FF291">
          <w:pPr>
            <w:pStyle w:val="30"/>
            <w:jc w:val="center"/>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val="zh-CN"/>
              <w14:textFill>
                <w14:solidFill>
                  <w14:schemeClr w14:val="tx1"/>
                </w14:solidFill>
              </w14:textFill>
            </w:rPr>
            <w:t>目录</w:t>
          </w:r>
        </w:p>
        <w:p w14:paraId="1FB44BEC">
          <w:pPr>
            <w:pStyle w:val="15"/>
            <w:tabs>
              <w:tab w:val="right" w:leader="dot" w:pos="9962"/>
            </w:tabs>
            <w:rPr>
              <w:rFonts w:ascii="Arial" w:hAnsi="Arial" w:eastAsia="宋体" w:cs="Arial"/>
              <w:b w:val="0"/>
              <w:bCs w:val="0"/>
              <w:kern w:val="2"/>
              <w:sz w:val="21"/>
              <w:szCs w:val="22"/>
              <w:lang w:eastAsia="zh-CN"/>
            </w:rPr>
          </w:pPr>
          <w:r>
            <w:rPr>
              <w:rFonts w:ascii="Arial" w:hAnsi="Arial" w:eastAsia="宋体" w:cs="Arial"/>
              <w:b w:val="0"/>
              <w:bCs w:val="0"/>
            </w:rPr>
            <w:fldChar w:fldCharType="begin"/>
          </w:r>
          <w:r>
            <w:rPr>
              <w:rFonts w:ascii="Arial" w:hAnsi="Arial" w:eastAsia="宋体" w:cs="Arial"/>
              <w:b w:val="0"/>
              <w:bCs w:val="0"/>
            </w:rPr>
            <w:instrText xml:space="preserve"> TOC \o "1-4" \h \z \u </w:instrText>
          </w:r>
          <w:r>
            <w:rPr>
              <w:rFonts w:ascii="Arial" w:hAnsi="Arial" w:eastAsia="宋体" w:cs="Arial"/>
              <w:b w:val="0"/>
              <w:bCs w:val="0"/>
            </w:rPr>
            <w:fldChar w:fldCharType="separate"/>
          </w:r>
          <w:r>
            <w:fldChar w:fldCharType="begin"/>
          </w:r>
          <w:r>
            <w:instrText xml:space="preserve"> HYPERLINK \l "_Toc481079463" </w:instrText>
          </w:r>
          <w:r>
            <w:fldChar w:fldCharType="separate"/>
          </w:r>
          <w:r>
            <w:rPr>
              <w:rStyle w:val="22"/>
              <w:rFonts w:ascii="Arial" w:hAnsi="Arial" w:eastAsia="宋体" w:cs="Arial"/>
              <w:b w:val="0"/>
              <w:lang w:eastAsia="zh-CN"/>
            </w:rPr>
            <w:t>行业和FDA员工指南</w:t>
          </w:r>
          <w:r>
            <w:rPr>
              <w:rFonts w:ascii="Arial" w:hAnsi="Arial" w:eastAsia="宋体" w:cs="Arial"/>
              <w:b w:val="0"/>
            </w:rPr>
            <w:tab/>
          </w:r>
          <w:r>
            <w:rPr>
              <w:rFonts w:ascii="Arial" w:hAnsi="Arial" w:eastAsia="宋体" w:cs="Arial"/>
              <w:b w:val="0"/>
            </w:rPr>
            <w:fldChar w:fldCharType="begin"/>
          </w:r>
          <w:r>
            <w:rPr>
              <w:rFonts w:ascii="Arial" w:hAnsi="Arial" w:eastAsia="宋体" w:cs="Arial"/>
              <w:b w:val="0"/>
            </w:rPr>
            <w:instrText xml:space="preserve"> PAGEREF _Toc481079463 \h </w:instrText>
          </w:r>
          <w:r>
            <w:rPr>
              <w:rFonts w:ascii="Arial" w:hAnsi="Arial" w:eastAsia="宋体" w:cs="Arial"/>
              <w:b w:val="0"/>
            </w:rPr>
            <w:fldChar w:fldCharType="separate"/>
          </w:r>
          <w:r>
            <w:rPr>
              <w:rFonts w:ascii="Arial" w:hAnsi="Arial" w:eastAsia="宋体" w:cs="Arial"/>
              <w:b w:val="0"/>
            </w:rPr>
            <w:t>1</w:t>
          </w:r>
          <w:r>
            <w:rPr>
              <w:rFonts w:ascii="Arial" w:hAnsi="Arial" w:eastAsia="宋体" w:cs="Arial"/>
              <w:b w:val="0"/>
            </w:rPr>
            <w:fldChar w:fldCharType="end"/>
          </w:r>
          <w:r>
            <w:rPr>
              <w:rFonts w:ascii="Arial" w:hAnsi="Arial" w:eastAsia="宋体" w:cs="Arial"/>
              <w:b w:val="0"/>
            </w:rPr>
            <w:fldChar w:fldCharType="end"/>
          </w:r>
        </w:p>
        <w:p w14:paraId="62D16078">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"_Toc481079464" </w:instrText>
          </w:r>
          <w:r>
            <w:fldChar w:fldCharType="separate"/>
          </w:r>
          <w:r>
            <w:rPr>
              <w:rStyle w:val="22"/>
              <w:rFonts w:ascii="Arial" w:hAnsi="Arial" w:eastAsia="宋体" w:cs="Arial"/>
            </w:rPr>
            <w:t>1.</w:t>
          </w:r>
          <w:r>
            <w:rPr>
              <w:rFonts w:ascii="Arial" w:hAnsi="Arial" w:eastAsia="宋体" w:cs="Arial"/>
              <w:kern w:val="2"/>
              <w:sz w:val="21"/>
              <w:lang w:eastAsia="zh-CN"/>
            </w:rPr>
            <w:tab/>
          </w:r>
          <w:r>
            <w:rPr>
              <w:rStyle w:val="22"/>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_Toc481079464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156EBD3A">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"_Toc481079465" </w:instrText>
          </w:r>
          <w:r>
            <w:fldChar w:fldCharType="separate"/>
          </w:r>
          <w:r>
            <w:rPr>
              <w:rStyle w:val="22"/>
              <w:rFonts w:ascii="Arial" w:hAnsi="Arial" w:eastAsia="宋体" w:cs="Arial"/>
            </w:rPr>
            <w:t>2.</w:t>
          </w:r>
          <w:r>
            <w:rPr>
              <w:rFonts w:ascii="Arial" w:hAnsi="Arial" w:eastAsia="宋体" w:cs="Arial"/>
              <w:kern w:val="2"/>
              <w:sz w:val="21"/>
              <w:lang w:eastAsia="zh-CN"/>
            </w:rPr>
            <w:tab/>
          </w:r>
          <w:r>
            <w:rPr>
              <w:rStyle w:val="22"/>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545E278C">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"_Toc481079466" </w:instrText>
          </w:r>
          <w:r>
            <w:fldChar w:fldCharType="separate"/>
          </w:r>
          <w:r>
            <w:rPr>
              <w:rStyle w:val="22"/>
              <w:rFonts w:ascii="Arial" w:hAnsi="Arial" w:eastAsia="宋体" w:cs="Arial"/>
            </w:rPr>
            <w:t>3.</w:t>
          </w:r>
          <w:r>
            <w:rPr>
              <w:rFonts w:ascii="Arial" w:hAnsi="Arial" w:eastAsia="宋体" w:cs="Arial"/>
              <w:kern w:val="2"/>
              <w:sz w:val="21"/>
              <w:lang w:eastAsia="zh-CN"/>
            </w:rPr>
            <w:tab/>
          </w:r>
          <w:r>
            <w:rPr>
              <w:rStyle w:val="22"/>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3B1FF8A8">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"_Toc481079467" </w:instrText>
          </w:r>
          <w:r>
            <w:fldChar w:fldCharType="separate"/>
          </w:r>
          <w:r>
            <w:rPr>
              <w:rStyle w:val="22"/>
              <w:rFonts w:ascii="Arial" w:hAnsi="Arial" w:eastAsia="宋体" w:cs="Arial"/>
            </w:rPr>
            <w:t>4.</w:t>
          </w:r>
          <w:r>
            <w:rPr>
              <w:rFonts w:ascii="Arial" w:hAnsi="Arial" w:eastAsia="宋体" w:cs="Arial"/>
              <w:kern w:val="2"/>
              <w:sz w:val="21"/>
              <w:lang w:eastAsia="zh-CN"/>
            </w:rPr>
            <w:tab/>
          </w:r>
          <w:r>
            <w:rPr>
              <w:rStyle w:val="22"/>
              <w:rFonts w:ascii="Arial" w:hAnsi="Arial" w:eastAsia="宋体" w:cs="Arial"/>
            </w:rPr>
            <w:t>器械</w:t>
          </w:r>
          <w:r>
            <w:rPr>
              <w:rStyle w:val="22"/>
              <w:rFonts w:ascii="Arial" w:hAnsi="Arial" w:eastAsia="宋体" w:cs="Arial"/>
              <w:lang w:eastAsia="zh-CN"/>
            </w:rPr>
            <w:t>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_Toc481079467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549313DB">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"_Toc481079468" </w:instrText>
          </w:r>
          <w:r>
            <w:fldChar w:fldCharType="separate"/>
          </w:r>
          <w:r>
            <w:rPr>
              <w:rStyle w:val="22"/>
              <w:rFonts w:ascii="Arial" w:hAnsi="Arial" w:eastAsia="宋体" w:cs="Arial"/>
              <w:lang w:eastAsia="zh-CN"/>
            </w:rPr>
            <w:t>器械组件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_Toc481079468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296D95B2">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"_Toc481079469" </w:instrText>
          </w:r>
          <w:r>
            <w:fldChar w:fldCharType="separate"/>
          </w:r>
          <w:r>
            <w:rPr>
              <w:rStyle w:val="22"/>
              <w:rFonts w:ascii="Arial" w:hAnsi="Arial" w:eastAsia="宋体" w:cs="Arial"/>
              <w:lang w:eastAsia="zh-CN"/>
            </w:rPr>
            <w:t>器械的图像或图纸</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_Toc481079469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C149F09">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"_Toc481079470" </w:instrText>
          </w:r>
          <w:r>
            <w:fldChar w:fldCharType="separate"/>
          </w:r>
          <w:r>
            <w:rPr>
              <w:rStyle w:val="22"/>
              <w:rFonts w:ascii="Arial" w:hAnsi="Arial" w:eastAsia="宋体" w:cs="Arial"/>
              <w:lang w:eastAsia="zh-CN"/>
            </w:rPr>
            <w:t>与比较器械的对比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_Toc481079470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6E260025">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"_Toc481079471" </w:instrText>
          </w:r>
          <w:r>
            <w:fldChar w:fldCharType="separate"/>
          </w:r>
          <w:r>
            <w:rPr>
              <w:rStyle w:val="22"/>
              <w:rFonts w:ascii="Arial" w:hAnsi="Arial" w:eastAsia="宋体" w:cs="Arial"/>
            </w:rPr>
            <w:t>5.</w:t>
          </w:r>
          <w:r>
            <w:rPr>
              <w:rFonts w:ascii="Arial" w:hAnsi="Arial" w:eastAsia="宋体" w:cs="Arial"/>
              <w:kern w:val="2"/>
              <w:sz w:val="21"/>
              <w:lang w:eastAsia="zh-CN"/>
            </w:rPr>
            <w:tab/>
          </w:r>
          <w:r>
            <w:rPr>
              <w:rStyle w:val="22"/>
              <w:rFonts w:ascii="Arial" w:hAnsi="Arial" w:eastAsia="宋体" w:cs="Arial"/>
              <w:lang w:eastAsia="zh-CN"/>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_Toc481079471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42E09097">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"_Toc481079472" </w:instrText>
          </w:r>
          <w:r>
            <w:fldChar w:fldCharType="separate"/>
          </w:r>
          <w:r>
            <w:rPr>
              <w:rStyle w:val="22"/>
              <w:rFonts w:ascii="Arial" w:hAnsi="Arial" w:eastAsia="宋体" w:cs="Arial"/>
            </w:rPr>
            <w:t>6.</w:t>
          </w:r>
          <w:r>
            <w:rPr>
              <w:rFonts w:ascii="Arial" w:hAnsi="Arial" w:eastAsia="宋体" w:cs="Arial"/>
              <w:kern w:val="2"/>
              <w:sz w:val="21"/>
              <w:lang w:eastAsia="zh-CN"/>
            </w:rPr>
            <w:tab/>
          </w:r>
          <w:r>
            <w:rPr>
              <w:rStyle w:val="22"/>
              <w:rFonts w:ascii="Arial" w:hAnsi="Arial" w:eastAsia="宋体" w:cs="Arial"/>
              <w:lang w:eastAsia="zh-CN"/>
            </w:rPr>
            <w:t>台架试验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_Toc481079472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3C17C227">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"_Toc481079473" </w:instrText>
          </w:r>
          <w:r>
            <w:fldChar w:fldCharType="separate"/>
          </w:r>
          <w:r>
            <w:rPr>
              <w:rStyle w:val="22"/>
              <w:rFonts w:ascii="Arial" w:hAnsi="Arial" w:eastAsia="宋体" w:cs="Arial"/>
            </w:rPr>
            <w:t>7.</w:t>
          </w:r>
          <w:r>
            <w:rPr>
              <w:rFonts w:ascii="Arial" w:hAnsi="Arial" w:eastAsia="宋体" w:cs="Arial"/>
              <w:kern w:val="2"/>
              <w:sz w:val="21"/>
              <w:lang w:eastAsia="zh-CN"/>
            </w:rPr>
            <w:tab/>
          </w:r>
          <w:r>
            <w:rPr>
              <w:rStyle w:val="22"/>
              <w:rFonts w:ascii="Arial" w:hAnsi="Arial" w:eastAsia="宋体" w:cs="Arial"/>
              <w:lang w:eastAsia="zh-CN"/>
            </w:rPr>
            <w:t>软件确认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_Toc481079473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6802F13">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"_Toc481079474" </w:instrText>
          </w:r>
          <w:r>
            <w:fldChar w:fldCharType="separate"/>
          </w:r>
          <w:r>
            <w:rPr>
              <w:rStyle w:val="22"/>
              <w:rFonts w:ascii="Arial" w:hAnsi="Arial" w:eastAsia="宋体" w:cs="Arial"/>
              <w:lang w:eastAsia="zh-CN"/>
            </w:rPr>
            <w:t>8.</w:t>
          </w:r>
          <w:r>
            <w:rPr>
              <w:rFonts w:ascii="Arial" w:hAnsi="Arial" w:eastAsia="宋体" w:cs="Arial"/>
              <w:kern w:val="2"/>
              <w:sz w:val="21"/>
              <w:lang w:eastAsia="zh-CN"/>
            </w:rPr>
            <w:tab/>
          </w:r>
          <w:r>
            <w:rPr>
              <w:rStyle w:val="22"/>
              <w:rFonts w:ascii="Arial" w:hAnsi="Arial" w:eastAsia="宋体" w:cs="Arial"/>
              <w:lang w:eastAsia="zh-CN"/>
            </w:rPr>
            <w:t>动物试验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_Toc481079474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2E9AF519">
          <w:pPr>
            <w:pStyle w:val="10"/>
            <w:tabs>
              <w:tab w:val="left" w:pos="880"/>
              <w:tab w:val="right" w:leader="dot" w:pos="9962"/>
            </w:tabs>
            <w:rPr>
              <w:rFonts w:ascii="Arial" w:hAnsi="Arial" w:eastAsia="宋体" w:cs="Arial"/>
              <w:kern w:val="2"/>
              <w:sz w:val="21"/>
              <w:lang w:eastAsia="zh-CN"/>
            </w:rPr>
          </w:pPr>
          <w:r>
            <w:fldChar w:fldCharType="begin"/>
          </w:r>
          <w:r>
            <w:instrText xml:space="preserve"> HYPERLINK \l "_Toc481079475" </w:instrText>
          </w:r>
          <w:r>
            <w:fldChar w:fldCharType="separate"/>
          </w:r>
          <w:r>
            <w:rPr>
              <w:rStyle w:val="22"/>
              <w:rFonts w:ascii="Arial" w:hAnsi="Arial" w:eastAsia="宋体" w:cs="Arial"/>
            </w:rPr>
            <w:t>9.</w:t>
          </w:r>
          <w:r>
            <w:rPr>
              <w:rFonts w:ascii="Arial" w:hAnsi="Arial" w:eastAsia="宋体" w:cs="Arial"/>
              <w:kern w:val="2"/>
              <w:sz w:val="21"/>
              <w:lang w:eastAsia="zh-CN"/>
            </w:rPr>
            <w:tab/>
          </w:r>
          <w:r>
            <w:rPr>
              <w:rStyle w:val="22"/>
              <w:rFonts w:ascii="Arial" w:hAnsi="Arial" w:eastAsia="宋体" w:cs="Arial"/>
              <w:lang w:eastAsia="zh-CN"/>
            </w:rPr>
            <w:t>临床试验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_Toc481079475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09B98A0A">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"_Toc481079476" </w:instrText>
          </w:r>
          <w:r>
            <w:fldChar w:fldCharType="separate"/>
          </w:r>
          <w:r>
            <w:rPr>
              <w:rStyle w:val="22"/>
              <w:rFonts w:ascii="Arial" w:hAnsi="Arial" w:eastAsia="宋体" w:cs="Arial"/>
            </w:rPr>
            <w:t>10.</w:t>
          </w:r>
          <w:r>
            <w:rPr>
              <w:rFonts w:ascii="Arial" w:hAnsi="Arial" w:eastAsia="宋体" w:cs="Arial"/>
              <w:kern w:val="2"/>
              <w:sz w:val="21"/>
              <w:lang w:eastAsia="zh-CN"/>
            </w:rPr>
            <w:tab/>
          </w:r>
          <w:r>
            <w:rPr>
              <w:rStyle w:val="22"/>
              <w:rFonts w:ascii="Arial" w:hAnsi="Arial" w:eastAsia="宋体" w:cs="Arial"/>
              <w:lang w:eastAsia="zh-CN"/>
            </w:rPr>
            <w:t>生物相容性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_Toc481079476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DF15FD3">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"_Toc481079477" </w:instrText>
          </w:r>
          <w:r>
            <w:fldChar w:fldCharType="separate"/>
          </w:r>
          <w:r>
            <w:rPr>
              <w:rStyle w:val="22"/>
              <w:rFonts w:ascii="Arial" w:hAnsi="Arial" w:eastAsia="宋体" w:cs="Arial"/>
              <w:lang w:eastAsia="zh-CN"/>
            </w:rPr>
            <w:t>11.</w:t>
          </w:r>
          <w:r>
            <w:rPr>
              <w:rFonts w:ascii="Arial" w:hAnsi="Arial" w:eastAsia="宋体" w:cs="Arial"/>
              <w:kern w:val="2"/>
              <w:sz w:val="21"/>
              <w:lang w:eastAsia="zh-CN"/>
            </w:rPr>
            <w:tab/>
          </w:r>
          <w:r>
            <w:rPr>
              <w:rStyle w:val="22"/>
              <w:rFonts w:ascii="Arial" w:hAnsi="Arial" w:eastAsia="宋体" w:cs="Arial"/>
              <w:lang w:eastAsia="zh-CN"/>
            </w:rPr>
            <w:t>电磁相容性 （EMC）</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_Toc481079477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1FF5F25A">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"_Toc481079478" </w:instrText>
          </w:r>
          <w:r>
            <w:fldChar w:fldCharType="separate"/>
          </w:r>
          <w:r>
            <w:rPr>
              <w:rStyle w:val="22"/>
              <w:rFonts w:ascii="Arial" w:hAnsi="Arial" w:eastAsia="宋体" w:cs="Arial"/>
              <w:lang w:eastAsia="zh-CN"/>
            </w:rPr>
            <w:t>12.</w:t>
          </w:r>
          <w:r>
            <w:rPr>
              <w:rFonts w:ascii="Arial" w:hAnsi="Arial" w:eastAsia="宋体" w:cs="Arial"/>
              <w:kern w:val="2"/>
              <w:sz w:val="21"/>
              <w:lang w:eastAsia="zh-CN"/>
            </w:rPr>
            <w:tab/>
          </w:r>
          <w:r>
            <w:rPr>
              <w:rStyle w:val="22"/>
              <w:rFonts w:ascii="Arial" w:hAnsi="Arial" w:eastAsia="宋体" w:cs="Arial"/>
              <w:lang w:eastAsia="zh-CN"/>
            </w:rPr>
            <w:t>电气与力学安全性能试验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_Toc481079478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395F3239">
          <w:pPr>
            <w:pStyle w:val="10"/>
            <w:tabs>
              <w:tab w:val="left" w:pos="1100"/>
              <w:tab w:val="right" w:leader="dot" w:pos="9962"/>
            </w:tabs>
            <w:rPr>
              <w:rFonts w:ascii="Arial" w:hAnsi="Arial" w:eastAsia="宋体" w:cs="Arial"/>
              <w:kern w:val="2"/>
              <w:sz w:val="21"/>
              <w:lang w:eastAsia="zh-CN"/>
            </w:rPr>
          </w:pPr>
          <w:r>
            <w:fldChar w:fldCharType="begin"/>
          </w:r>
          <w:r>
            <w:instrText xml:space="preserve"> HYPERLINK \l "_Toc481079479" </w:instrText>
          </w:r>
          <w:r>
            <w:fldChar w:fldCharType="separate"/>
          </w:r>
          <w:r>
            <w:rPr>
              <w:rStyle w:val="22"/>
              <w:rFonts w:ascii="Arial" w:hAnsi="Arial" w:eastAsia="宋体" w:cs="Arial"/>
            </w:rPr>
            <w:t>13.</w:t>
          </w:r>
          <w:r>
            <w:rPr>
              <w:rFonts w:ascii="Arial" w:hAnsi="Arial" w:eastAsia="宋体" w:cs="Arial"/>
              <w:kern w:val="2"/>
              <w:sz w:val="21"/>
              <w:lang w:eastAsia="zh-CN"/>
            </w:rPr>
            <w:tab/>
          </w:r>
          <w:r>
            <w:rPr>
              <w:rStyle w:val="22"/>
              <w:rFonts w:ascii="Arial" w:hAnsi="Arial" w:eastAsia="宋体" w:cs="Arial"/>
              <w:lang w:eastAsia="zh-CN"/>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_Toc481079479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14169225">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"_Toc481079480" </w:instrText>
          </w:r>
          <w:r>
            <w:fldChar w:fldCharType="separate"/>
          </w:r>
          <w:r>
            <w:rPr>
              <w:rStyle w:val="22"/>
              <w:rFonts w:ascii="Arial" w:hAnsi="Arial" w:eastAsia="宋体" w:cs="Arial"/>
              <w:lang w:eastAsia="zh-CN"/>
            </w:rPr>
            <w:t>器械用户手册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_Toc481079480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40F15C53">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"_Toc481079481" </w:instrText>
          </w:r>
          <w:r>
            <w:fldChar w:fldCharType="separate"/>
          </w:r>
          <w:r>
            <w:rPr>
              <w:rStyle w:val="22"/>
              <w:rFonts w:ascii="Arial" w:hAnsi="Arial" w:eastAsia="宋体" w:cs="Arial"/>
              <w:lang w:eastAsia="zh-CN"/>
            </w:rPr>
            <w:t>使用说明</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_Toc481079481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66FAF8D">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"_Toc481079482" </w:instrText>
          </w:r>
          <w:r>
            <w:fldChar w:fldCharType="separate"/>
          </w:r>
          <w:r>
            <w:rPr>
              <w:rStyle w:val="22"/>
              <w:rFonts w:ascii="Arial" w:hAnsi="Arial" w:eastAsia="宋体" w:cs="Arial"/>
              <w:lang w:eastAsia="zh-CN"/>
            </w:rPr>
            <w:t>适应症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_Toc481079482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5AE6E12">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"_Toc481079483" </w:instrText>
          </w:r>
          <w:r>
            <w:fldChar w:fldCharType="separate"/>
          </w:r>
          <w:r>
            <w:rPr>
              <w:rStyle w:val="22"/>
              <w:rFonts w:ascii="Arial" w:hAnsi="Arial" w:eastAsia="宋体" w:cs="Arial"/>
              <w:lang w:eastAsia="zh-CN"/>
            </w:rPr>
            <w:t>禁忌症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_Toc481079483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FC164B6">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"_Toc481079484" </w:instrText>
          </w:r>
          <w:r>
            <w:fldChar w:fldCharType="separate"/>
          </w:r>
          <w:r>
            <w:rPr>
              <w:rStyle w:val="22"/>
              <w:rFonts w:ascii="Arial" w:hAnsi="Arial" w:eastAsia="宋体" w:cs="Arial"/>
              <w:lang w:eastAsia="zh-CN"/>
            </w:rPr>
            <w:t>存储条件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_Toc481079484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9414820">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"_Toc481079485" </w:instrText>
          </w:r>
          <w:r>
            <w:fldChar w:fldCharType="separate"/>
          </w:r>
          <w:r>
            <w:rPr>
              <w:rStyle w:val="22"/>
              <w:rFonts w:ascii="Arial" w:hAnsi="Arial" w:eastAsia="宋体" w:cs="Arial"/>
              <w:lang w:eastAsia="zh-CN"/>
            </w:rPr>
            <w:t>警告</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_Toc481079485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2878BB55">
          <w:pPr>
            <w:pStyle w:val="16"/>
            <w:tabs>
              <w:tab w:val="right" w:leader="dot" w:pos="9962"/>
            </w:tabs>
            <w:rPr>
              <w:rFonts w:ascii="Arial" w:hAnsi="Arial" w:eastAsia="宋体" w:cs="Arial"/>
              <w:kern w:val="2"/>
              <w:sz w:val="21"/>
              <w:szCs w:val="22"/>
              <w:lang w:eastAsia="zh-CN"/>
            </w:rPr>
          </w:pPr>
          <w:r>
            <w:fldChar w:fldCharType="begin"/>
          </w:r>
          <w:r>
            <w:instrText xml:space="preserve"> HYPERLINK \l "_Toc481079486" </w:instrText>
          </w:r>
          <w:r>
            <w:fldChar w:fldCharType="separate"/>
          </w:r>
          <w:r>
            <w:rPr>
              <w:rStyle w:val="22"/>
              <w:rFonts w:ascii="Arial" w:hAnsi="Arial" w:eastAsia="宋体" w:cs="Arial"/>
              <w:lang w:eastAsia="zh-CN"/>
            </w:rPr>
            <w:t>预防措施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_Toc481079486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3AB77F33">
          <w:pPr>
            <w:pStyle w:val="10"/>
            <w:tabs>
              <w:tab w:val="right" w:leader="dot" w:pos="9962"/>
            </w:tabs>
            <w:rPr>
              <w:rFonts w:ascii="Arial" w:hAnsi="Arial" w:eastAsia="宋体" w:cs="Arial"/>
              <w:kern w:val="2"/>
              <w:sz w:val="21"/>
              <w:lang w:eastAsia="zh-CN"/>
            </w:rPr>
          </w:pPr>
          <w:r>
            <w:fldChar w:fldCharType="begin"/>
          </w:r>
          <w:r>
            <w:instrText xml:space="preserve"> HYPERLINK \l "_Toc481079487" </w:instrText>
          </w:r>
          <w:r>
            <w:fldChar w:fldCharType="separate"/>
          </w:r>
          <w:r>
            <w:rPr>
              <w:rStyle w:val="22"/>
              <w:rFonts w:ascii="Arial" w:hAnsi="Arial" w:eastAsia="宋体" w:cs="Arial"/>
              <w:lang w:eastAsia="zh-CN"/>
            </w:rPr>
            <w:t>附录A</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_Toc481079487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7789A16E">
          <w:r>
            <w:rPr>
              <w:rFonts w:ascii="Arial" w:hAnsi="Arial" w:eastAsia="宋体" w:cs="Arial"/>
              <w:bCs/>
              <w:sz w:val="24"/>
              <w:szCs w:val="24"/>
            </w:rPr>
            <w:fldChar w:fldCharType="end"/>
          </w:r>
        </w:p>
      </w:sdtContent>
    </w:sdt>
    <w:p w14:paraId="4670516F">
      <w:pPr>
        <w:rPr>
          <w:rFonts w:ascii="Arial" w:hAnsi="Arial" w:eastAsia="宋体" w:cs="Arial"/>
          <w:b/>
          <w:bCs/>
          <w:sz w:val="52"/>
          <w:szCs w:val="52"/>
          <w:lang w:eastAsia="zh-CN"/>
        </w:rPr>
      </w:pPr>
      <w:r>
        <w:rPr>
          <w:rFonts w:ascii="Arial" w:hAnsi="Arial" w:eastAsia="宋体" w:cs="Arial"/>
          <w:b/>
          <w:bCs/>
          <w:sz w:val="52"/>
          <w:szCs w:val="52"/>
          <w:lang w:eastAsia="zh-CN"/>
        </w:rPr>
        <w:br w:type="page"/>
      </w:r>
    </w:p>
    <w:p w14:paraId="7376A8D4">
      <w:pPr>
        <w:snapToGrid w:val="0"/>
        <w:spacing w:line="300" w:lineRule="auto"/>
        <w:rPr>
          <w:rFonts w:ascii="Arial" w:hAnsi="Arial" w:eastAsia="宋体" w:cs="Arial"/>
          <w:b/>
          <w:bCs/>
          <w:sz w:val="52"/>
          <w:szCs w:val="52"/>
          <w:lang w:eastAsia="zh-CN"/>
        </w:rPr>
        <w:sectPr>
          <w:headerReference r:id="rId4" w:type="default"/>
          <w:footerReference r:id="rId5" w:type="default"/>
          <w:pgSz w:w="12240" w:h="15840"/>
          <w:pgMar w:top="1134" w:right="1134" w:bottom="1134" w:left="1134" w:header="891" w:footer="767" w:gutter="0"/>
          <w:pgNumType w:start="1"/>
          <w:cols w:space="720" w:num="1"/>
          <w:docGrid w:linePitch="299" w:charSpace="0"/>
        </w:sectPr>
      </w:pPr>
    </w:p>
    <w:p w14:paraId="70E06945">
      <w:pPr>
        <w:pStyle w:val="2"/>
        <w:tabs>
          <w:tab w:val="left" w:pos="8809"/>
        </w:tabs>
        <w:snapToGrid w:val="0"/>
        <w:spacing w:before="932" w:line="300" w:lineRule="auto"/>
        <w:ind w:left="0" w:right="48" w:rightChars="22"/>
        <w:jc w:val="center"/>
        <w:rPr>
          <w:rFonts w:ascii="Arial" w:hAnsi="Arial" w:eastAsia="宋体" w:cs="Arial"/>
          <w:b w:val="0"/>
          <w:bCs w:val="0"/>
          <w:lang w:eastAsia="zh-CN"/>
        </w:rPr>
      </w:pPr>
      <w:bookmarkStart w:id="1" w:name="_Toc481079463"/>
      <w:r>
        <w:rPr>
          <w:rFonts w:ascii="Arial" w:hAnsi="Arial" w:eastAsia="宋体" w:cs="Arial"/>
          <w:sz w:val="52"/>
          <w:szCs w:val="52"/>
          <w:lang w:eastAsia="zh-CN"/>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1126490</wp:posOffset>
                </wp:positionV>
                <wp:extent cx="6176010" cy="0"/>
                <wp:effectExtent l="10160" t="12065" r="5080" b="6985"/>
                <wp:wrapNone/>
                <wp:docPr id="17" name="AutoShape 18"/>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3.8pt;margin-top:88.7pt;height:0pt;width:486.3pt;z-index:251661312;mso-width-relative:page;mso-height-relative:page;" filled="f" stroked="t" coordsize="21600,21600" o:gfxdata="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fifdYAAAAJAQAADwAAAAAAAAABACAA&#10;AAAiAAAAZHJzL2Rvd25yZXYueG1sUEsBAhQAFAAAAAgAh07iQFOUV1PWAQAAtAMAAA4AAAAAAAAA&#10;AQAgAAAAJQEAAGRycy9lMm9Eb2MueG1sUEsFBgAAAAAGAAYAWQEAAG0FAAAAAA==&#10;">
                <v:fill on="f" focussize="0,0"/>
                <v:stroke color="#000000" joinstyle="round"/>
                <v:imagedata o:title=""/>
                <o:lock v:ext="edit" aspectratio="f"/>
              </v:shape>
            </w:pict>
          </mc:Fallback>
        </mc:AlternateContent>
      </w:r>
      <w:r>
        <w:rPr>
          <w:rFonts w:ascii="Arial" w:hAnsi="Arial" w:eastAsia="宋体" w:cs="Arial"/>
          <w:sz w:val="52"/>
          <w:szCs w:val="52"/>
          <w:lang w:eastAsia="zh-CN"/>
        </w:rPr>
        <w:t>行业和FDA员工指南</w:t>
      </w:r>
      <w:bookmarkEnd w:id="1"/>
    </w:p>
    <w:p w14:paraId="0F35E92D">
      <w:pPr>
        <w:snapToGrid w:val="0"/>
        <w:spacing w:before="185" w:line="300" w:lineRule="auto"/>
        <w:ind w:right="48" w:rightChars="22"/>
        <w:jc w:val="center"/>
        <w:rPr>
          <w:rFonts w:ascii="Arial" w:hAnsi="Arial" w:eastAsia="宋体" w:cs="Arial"/>
          <w:b/>
          <w:sz w:val="48"/>
          <w:lang w:eastAsia="zh-CN"/>
        </w:rPr>
      </w:pPr>
      <w:r>
        <w:rPr>
          <w:rFonts w:ascii="Arial" w:hAnsi="Arial" w:eastAsia="宋体" w:cs="Arial"/>
          <w:b/>
          <w:sz w:val="48"/>
          <w:lang w:eastAsia="zh-CN"/>
        </w:rPr>
        <w:t>II 类特殊控制指导性文件：美容用聚焦超声刺激系统</w:t>
      </w:r>
    </w:p>
    <w:p w14:paraId="223F2A28">
      <w:pPr>
        <w:snapToGrid w:val="0"/>
        <w:spacing w:line="300" w:lineRule="auto"/>
        <w:ind w:right="48" w:rightChars="22"/>
        <w:jc w:val="both"/>
        <w:rPr>
          <w:rFonts w:ascii="Arial" w:hAnsi="Arial" w:eastAsia="宋体" w:cs="Arial"/>
          <w:b/>
          <w:bCs/>
          <w:sz w:val="54"/>
          <w:szCs w:val="54"/>
          <w:lang w:eastAsia="zh-CN"/>
        </w:rPr>
      </w:pPr>
    </w:p>
    <w:p w14:paraId="6C410CF5">
      <w:pPr>
        <w:pStyle w:val="4"/>
        <w:numPr>
          <w:ilvl w:val="0"/>
          <w:numId w:val="1"/>
        </w:numPr>
        <w:tabs>
          <w:tab w:val="left" w:pos="460"/>
        </w:tabs>
        <w:snapToGrid w:val="0"/>
        <w:spacing w:line="300" w:lineRule="auto"/>
        <w:ind w:left="0" w:right="48" w:rightChars="22" w:firstLine="0"/>
        <w:jc w:val="both"/>
        <w:rPr>
          <w:rFonts w:ascii="Arial" w:hAnsi="Arial" w:eastAsia="宋体" w:cs="Arial"/>
          <w:b w:val="0"/>
          <w:bCs w:val="0"/>
        </w:rPr>
      </w:pPr>
      <w:bookmarkStart w:id="2" w:name="_Toc481079464"/>
      <w:r>
        <w:rPr>
          <w:rFonts w:ascii="Arial" w:hAnsi="Arial" w:eastAsia="宋体" w:cs="Arial"/>
          <w:lang w:eastAsia="zh-CN"/>
        </w:rPr>
        <w:t>引言</w:t>
      </w:r>
      <w:bookmarkEnd w:id="2"/>
    </w:p>
    <w:p w14:paraId="5B715D16">
      <w:pPr>
        <w:pStyle w:val="4"/>
        <w:tabs>
          <w:tab w:val="left" w:pos="460"/>
        </w:tabs>
        <w:snapToGrid w:val="0"/>
        <w:spacing w:line="300" w:lineRule="auto"/>
        <w:ind w:left="0" w:right="48" w:rightChars="22" w:firstLine="0"/>
        <w:rPr>
          <w:rFonts w:ascii="Arial" w:hAnsi="Arial" w:eastAsia="宋体" w:cs="Arial"/>
          <w:b w:val="0"/>
          <w:bCs w:val="0"/>
        </w:rPr>
      </w:pPr>
    </w:p>
    <w:p w14:paraId="53AA56F1">
      <w:pPr>
        <w:snapToGrid w:val="0"/>
        <w:spacing w:line="300" w:lineRule="auto"/>
        <w:ind w:right="48" w:rightChars="22"/>
        <w:jc w:val="both"/>
        <w:rPr>
          <w:rFonts w:ascii="Arial" w:hAnsi="Arial" w:eastAsia="宋体" w:cs="Arial"/>
          <w:sz w:val="21"/>
          <w:szCs w:val="21"/>
          <w:lang w:eastAsia="zh-CN"/>
        </w:rPr>
      </w:pPr>
      <w:r>
        <w:rPr>
          <w:rFonts w:ascii="Arial" w:hAnsi="Arial" w:eastAsia="宋体" w:cs="Arial"/>
          <w:sz w:val="21"/>
          <w:szCs w:val="21"/>
          <w:lang w:eastAsia="zh-CN"/>
        </w:rPr>
        <w:t>本指导性文件编制为特殊控制指南，支持将美容用聚焦超声刺激系统分类为II类（特殊控制）。该器械旨在向身体应用聚焦超声能量，使外表暂时改变。本指导性文件与宣布美容用聚焦超声刺激系统分类的联邦公报通告一起发布。</w:t>
      </w:r>
    </w:p>
    <w:p w14:paraId="7398CA80">
      <w:pPr>
        <w:pStyle w:val="8"/>
        <w:snapToGrid w:val="0"/>
        <w:spacing w:before="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在最终规则生效后，其生产的器械属于该通用类型器械范围内的制造商将需要解决特殊控制指南中涉及的问题。</w:t>
      </w:r>
    </w:p>
    <w:p w14:paraId="02154740">
      <w:pPr>
        <w:pStyle w:val="8"/>
        <w:snapToGrid w:val="0"/>
        <w:spacing w:before="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但是，制造商仅需要证明其器械满足指南的建议或以某种其他方式提供有关安全性和有效性的等效保证。</w:t>
      </w:r>
    </w:p>
    <w:p w14:paraId="055B01E0">
      <w:pPr>
        <w:snapToGrid w:val="0"/>
        <w:spacing w:before="2" w:line="300" w:lineRule="auto"/>
        <w:ind w:right="48" w:rightChars="22"/>
        <w:jc w:val="both"/>
        <w:rPr>
          <w:rFonts w:ascii="Arial" w:hAnsi="Arial" w:eastAsia="宋体" w:cs="Arial"/>
          <w:sz w:val="24"/>
          <w:szCs w:val="24"/>
          <w:lang w:eastAsia="zh-CN"/>
        </w:rPr>
      </w:pPr>
    </w:p>
    <w:p w14:paraId="0F639485">
      <w:pPr>
        <w:pStyle w:val="4"/>
        <w:numPr>
          <w:ilvl w:val="0"/>
          <w:numId w:val="1"/>
        </w:numPr>
        <w:tabs>
          <w:tab w:val="left" w:pos="461"/>
        </w:tabs>
        <w:snapToGrid w:val="0"/>
        <w:spacing w:line="300" w:lineRule="auto"/>
        <w:ind w:left="0" w:right="48" w:rightChars="22" w:firstLine="0"/>
        <w:jc w:val="both"/>
        <w:rPr>
          <w:rFonts w:ascii="Arial" w:hAnsi="Arial" w:eastAsia="宋体" w:cs="Arial"/>
          <w:b w:val="0"/>
          <w:bCs w:val="0"/>
        </w:rPr>
      </w:pPr>
      <w:bookmarkStart w:id="3" w:name="_Toc481079465"/>
      <w:r>
        <w:rPr>
          <w:rFonts w:ascii="Arial" w:hAnsi="Arial" w:eastAsia="宋体" w:cs="Arial"/>
          <w:lang w:eastAsia="zh-CN"/>
        </w:rPr>
        <w:t>背景</w:t>
      </w:r>
      <w:bookmarkEnd w:id="3"/>
    </w:p>
    <w:p w14:paraId="109627DA">
      <w:pPr>
        <w:pStyle w:val="8"/>
        <w:snapToGrid w:val="0"/>
        <w:spacing w:before="228"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FDA认为，特殊控制与一般控制结合将足以为美容用聚焦超声刺激系统的安全性和有效性提供合理的保证。因此，打算销售该通用类型器械的制造商必须（1）遵守联邦食品、药品和化妆品法案（FD＆C法案）的一般控制，包括21 CFR 807子部分E中所述的上市前通告要求，（2）解决与美容用聚焦超声刺激系统相关的具体健康风险，包括本指南中确定的健康风险，以及（3）在销售器械之前从FDA获得实质等同性确定。</w:t>
      </w:r>
    </w:p>
    <w:p w14:paraId="7A1DA89E">
      <w:pPr>
        <w:pStyle w:val="8"/>
        <w:snapToGrid w:val="0"/>
        <w:spacing w:before="243" w:line="300" w:lineRule="auto"/>
        <w:ind w:left="0" w:right="48" w:rightChars="22"/>
        <w:jc w:val="both"/>
        <w:rPr>
          <w:rFonts w:ascii="Arial" w:hAnsi="Arial" w:eastAsia="宋体" w:cs="Arial"/>
          <w:sz w:val="21"/>
          <w:szCs w:val="21"/>
          <w:lang w:eastAsia="zh-CN"/>
        </w:rPr>
      </w:pPr>
      <w:r>
        <w:rPr>
          <w:rFonts w:ascii="Arial" w:hAnsi="Arial" w:eastAsia="宋体" w:cs="Arial"/>
          <w:sz w:val="21"/>
          <w:szCs w:val="21"/>
          <w:lang w:eastAsia="zh-CN"/>
        </w:rPr>
        <w:t>本特殊控制指导性文件确定了美容用聚焦超声刺激系统的分类规定和产品代码（请参见第3章“范围”）。本指导性文件的其他部分列出了FDA已经确定的健康风险并说明了用于解决与这些聚焦超声刺激系统相关的风险并可使510（k ）审查可及时进行的措施，但前提是制造商须遵守这些措施并与一般控制结合。本文件补充其他FDA关于上市前通告提交的具体内容要求的文件。贵公司还应参考21 CFR 807.87（指南——</w:t>
      </w:r>
      <w:r>
        <w:rPr>
          <w:rFonts w:ascii="Arial" w:hAnsi="Arial" w:eastAsia="宋体" w:cs="Arial"/>
          <w:b/>
          <w:sz w:val="21"/>
          <w:szCs w:val="21"/>
          <w:lang w:eastAsia="zh-CN"/>
        </w:rPr>
        <w:t>传统和简化510（k）的格式</w:t>
      </w:r>
      <w:r>
        <w:rPr>
          <w:rFonts w:ascii="Arial" w:hAnsi="Arial" w:eastAsia="宋体" w:cs="Arial"/>
          <w:sz w:val="21"/>
          <w:szCs w:val="21"/>
          <w:lang w:eastAsia="zh-CN"/>
        </w:rPr>
        <w:t>）</w:t>
      </w:r>
      <w:r>
        <w:rPr>
          <w:rFonts w:ascii="Arial" w:hAnsi="Arial" w:eastAsia="宋体" w:cs="Arial"/>
          <w:sz w:val="21"/>
          <w:szCs w:val="21"/>
          <w:vertAlign w:val="superscript"/>
          <w:lang w:eastAsia="zh-CN"/>
        </w:rPr>
        <w:t>1</w:t>
      </w:r>
      <w:r>
        <w:rPr>
          <w:rFonts w:ascii="Arial" w:hAnsi="Arial" w:eastAsia="宋体" w:cs="Arial"/>
          <w:sz w:val="21"/>
          <w:szCs w:val="21"/>
          <w:lang w:eastAsia="zh-CN"/>
        </w:rPr>
        <w:t>以及CDRH的器械通知——</w:t>
      </w:r>
      <w:r>
        <w:rPr>
          <w:rFonts w:ascii="Arial" w:hAnsi="Arial" w:eastAsia="宋体" w:cs="Arial"/>
          <w:b/>
          <w:sz w:val="21"/>
          <w:szCs w:val="21"/>
          <w:lang w:eastAsia="zh-CN"/>
        </w:rPr>
        <w:t>上市前通告提交510（k）</w:t>
      </w:r>
      <w:r>
        <w:rPr>
          <w:rFonts w:ascii="Arial" w:hAnsi="Arial" w:eastAsia="宋体" w:cs="Arial"/>
          <w:sz w:val="21"/>
          <w:szCs w:val="21"/>
          <w:vertAlign w:val="superscript"/>
          <w:lang w:eastAsia="zh-CN"/>
        </w:rPr>
        <w:t>2</w:t>
      </w:r>
      <w:r>
        <w:rPr>
          <w:rFonts w:ascii="Arial" w:hAnsi="Arial" w:eastAsia="宋体" w:cs="Arial"/>
          <w:sz w:val="21"/>
          <w:szCs w:val="21"/>
          <w:lang w:eastAsia="zh-CN"/>
        </w:rPr>
        <w:t>部分。</w:t>
      </w:r>
    </w:p>
    <w:p w14:paraId="1ED339AB">
      <w:pPr>
        <w:pStyle w:val="8"/>
        <w:snapToGrid w:val="0"/>
        <w:spacing w:before="243" w:line="300" w:lineRule="auto"/>
        <w:ind w:left="0" w:right="48" w:rightChars="22"/>
        <w:rPr>
          <w:rFonts w:ascii="Arial" w:hAnsi="Arial" w:eastAsia="宋体" w:cs="Arial"/>
          <w:lang w:eastAsia="zh-CN"/>
        </w:rPr>
      </w:pPr>
    </w:p>
    <w:p w14:paraId="2637A1AC">
      <w:pPr>
        <w:rPr>
          <w:rFonts w:ascii="Arial" w:hAnsi="Arial" w:eastAsia="宋体" w:cs="Arial"/>
          <w:sz w:val="16"/>
          <w:szCs w:val="16"/>
          <w:lang w:eastAsia="zh-CN"/>
        </w:rPr>
        <w:sectPr>
          <w:headerReference r:id="rId6" w:type="default"/>
          <w:footerReference r:id="rId7" w:type="default"/>
          <w:pgSz w:w="12240" w:h="15840"/>
          <w:pgMar w:top="1134" w:right="1134" w:bottom="1134" w:left="1134" w:header="891" w:footer="767" w:gutter="0"/>
          <w:pgNumType w:start="1"/>
          <w:cols w:space="720" w:num="1"/>
          <w:docGrid w:linePitch="299" w:charSpace="0"/>
        </w:sectPr>
      </w:pPr>
      <w:bookmarkStart w:id="4" w:name="_bookmark1"/>
      <w:bookmarkEnd w:id="4"/>
    </w:p>
    <w:p w14:paraId="7FA940A9">
      <w:pPr>
        <w:rPr>
          <w:rFonts w:ascii="Arial" w:hAnsi="Arial" w:eastAsia="宋体" w:cs="Arial"/>
          <w:sz w:val="16"/>
          <w:szCs w:val="16"/>
          <w:lang w:eastAsia="zh-CN"/>
        </w:rPr>
      </w:pPr>
    </w:p>
    <w:p w14:paraId="1B228690">
      <w:pPr>
        <w:pStyle w:val="4"/>
        <w:numPr>
          <w:ilvl w:val="0"/>
          <w:numId w:val="1"/>
        </w:numPr>
        <w:tabs>
          <w:tab w:val="left" w:pos="441"/>
        </w:tabs>
        <w:snapToGrid w:val="0"/>
        <w:spacing w:line="300" w:lineRule="auto"/>
        <w:ind w:left="323" w:hanging="323"/>
        <w:jc w:val="both"/>
        <w:rPr>
          <w:rFonts w:ascii="Arial" w:hAnsi="Arial" w:eastAsia="宋体" w:cs="Arial"/>
          <w:b w:val="0"/>
          <w:bCs w:val="0"/>
        </w:rPr>
      </w:pPr>
      <w:bookmarkStart w:id="5" w:name="_Toc481079466"/>
      <w:r>
        <w:rPr>
          <w:rFonts w:ascii="Arial" w:hAnsi="Arial" w:eastAsia="宋体" w:cs="Arial"/>
          <w:lang w:eastAsia="zh-CN"/>
        </w:rPr>
        <w:t>范围</w:t>
      </w:r>
      <w:bookmarkEnd w:id="5"/>
    </w:p>
    <w:p w14:paraId="11BC49AD">
      <w:pPr>
        <w:pStyle w:val="8"/>
        <w:snapToGrid w:val="0"/>
        <w:spacing w:before="22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本文件的范围限于以下II类器械（产品代码OHV），详情如下。</w:t>
      </w:r>
    </w:p>
    <w:p w14:paraId="5CE0534C">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21 CFR 878.4590美容用聚焦超声刺激系统</w:t>
      </w:r>
    </w:p>
    <w:p w14:paraId="1A95C793">
      <w:pPr>
        <w:snapToGrid w:val="0"/>
        <w:spacing w:line="300" w:lineRule="auto"/>
        <w:jc w:val="both"/>
        <w:rPr>
          <w:rFonts w:ascii="Arial" w:hAnsi="Arial" w:eastAsia="宋体" w:cs="Arial"/>
          <w:sz w:val="21"/>
          <w:szCs w:val="21"/>
          <w:lang w:eastAsia="zh-CN"/>
        </w:rPr>
      </w:pPr>
    </w:p>
    <w:p w14:paraId="3E6F2BC0">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标识。美容用聚焦超声刺激系统是一种使用聚焦超声在组织和细胞内产生局部力学运动的装置，其目的是产生用于组织凝固所需的局部热量或用于无创性美容用途的力学细胞膜破裂。</w:t>
      </w:r>
    </w:p>
    <w:p w14:paraId="7F161E9A">
      <w:pPr>
        <w:snapToGrid w:val="0"/>
        <w:spacing w:line="300" w:lineRule="auto"/>
        <w:jc w:val="both"/>
        <w:rPr>
          <w:rFonts w:ascii="Arial" w:hAnsi="Arial" w:eastAsia="宋体" w:cs="Arial"/>
          <w:sz w:val="21"/>
          <w:szCs w:val="21"/>
          <w:lang w:eastAsia="zh-CN"/>
        </w:rPr>
      </w:pPr>
    </w:p>
    <w:p w14:paraId="6D93629C">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分类。II类（特殊控制）。特殊控制为：FDA指导性文件，其标题为：“行业和食品药品监督管理局员工指南；II类特殊控制指导性文件：美容用聚焦超声刺激系统”。</w:t>
      </w:r>
    </w:p>
    <w:p w14:paraId="3F7742C6">
      <w:pPr>
        <w:snapToGrid w:val="0"/>
        <w:spacing w:before="2" w:line="300" w:lineRule="auto"/>
        <w:jc w:val="both"/>
        <w:rPr>
          <w:rFonts w:ascii="Arial" w:hAnsi="Arial" w:eastAsia="宋体" w:cs="Arial"/>
          <w:sz w:val="24"/>
          <w:szCs w:val="24"/>
          <w:lang w:eastAsia="zh-CN"/>
        </w:rPr>
      </w:pPr>
    </w:p>
    <w:p w14:paraId="4F19C774">
      <w:pPr>
        <w:pStyle w:val="4"/>
        <w:numPr>
          <w:ilvl w:val="0"/>
          <w:numId w:val="1"/>
        </w:numPr>
        <w:tabs>
          <w:tab w:val="left" w:pos="441"/>
        </w:tabs>
        <w:snapToGrid w:val="0"/>
        <w:spacing w:line="300" w:lineRule="auto"/>
        <w:ind w:left="318" w:hanging="318"/>
        <w:rPr>
          <w:rFonts w:ascii="Arial" w:hAnsi="Arial" w:eastAsia="宋体" w:cs="Arial"/>
          <w:b w:val="0"/>
          <w:bCs w:val="0"/>
        </w:rPr>
      </w:pPr>
      <w:bookmarkStart w:id="6" w:name="_Toc481079467"/>
      <w:r>
        <w:rPr>
          <w:rFonts w:ascii="Arial" w:hAnsi="Arial" w:eastAsia="宋体" w:cs="Arial"/>
        </w:rPr>
        <w:t>器械</w:t>
      </w:r>
      <w:r>
        <w:rPr>
          <w:rFonts w:ascii="Arial" w:hAnsi="Arial" w:eastAsia="宋体" w:cs="Arial"/>
          <w:lang w:eastAsia="zh-CN"/>
        </w:rPr>
        <w:t>说明</w:t>
      </w:r>
      <w:bookmarkEnd w:id="6"/>
    </w:p>
    <w:p w14:paraId="0181C688">
      <w:pPr>
        <w:pStyle w:val="4"/>
        <w:tabs>
          <w:tab w:val="left" w:pos="441"/>
        </w:tabs>
        <w:snapToGrid w:val="0"/>
        <w:spacing w:line="300" w:lineRule="auto"/>
        <w:ind w:left="318" w:firstLine="0"/>
        <w:rPr>
          <w:rFonts w:ascii="Arial" w:hAnsi="Arial" w:eastAsia="宋体" w:cs="Arial"/>
          <w:b w:val="0"/>
          <w:bCs w:val="0"/>
        </w:rPr>
      </w:pPr>
    </w:p>
    <w:p w14:paraId="36702DA8">
      <w:p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我们建议贵公司使用第3节“范围”所述的规定和产品代码来标识器械并纳入以下内容：</w:t>
      </w:r>
    </w:p>
    <w:p w14:paraId="089460C7">
      <w:pPr>
        <w:snapToGrid w:val="0"/>
        <w:spacing w:line="300" w:lineRule="auto"/>
        <w:rPr>
          <w:rFonts w:ascii="Arial" w:hAnsi="Arial" w:eastAsia="宋体" w:cs="Arial"/>
          <w:sz w:val="21"/>
          <w:szCs w:val="21"/>
          <w:lang w:eastAsia="zh-CN"/>
        </w:rPr>
      </w:pPr>
    </w:p>
    <w:p w14:paraId="3F515523">
      <w:pPr>
        <w:snapToGrid w:val="0"/>
        <w:spacing w:line="300" w:lineRule="auto"/>
        <w:outlineLvl w:val="3"/>
        <w:rPr>
          <w:rFonts w:ascii="Arial" w:hAnsi="Arial" w:eastAsia="宋体" w:cs="Arial"/>
          <w:sz w:val="21"/>
          <w:szCs w:val="21"/>
          <w:lang w:eastAsia="zh-CN"/>
        </w:rPr>
      </w:pPr>
      <w:bookmarkStart w:id="7" w:name="_Toc481079468"/>
      <w:r>
        <w:rPr>
          <w:rFonts w:ascii="Arial" w:hAnsi="Arial" w:eastAsia="宋体" w:cs="Arial"/>
          <w:sz w:val="21"/>
          <w:szCs w:val="21"/>
          <w:lang w:eastAsia="zh-CN"/>
        </w:rPr>
        <w:t>器械组件</w:t>
      </w:r>
      <w:bookmarkEnd w:id="7"/>
    </w:p>
    <w:p w14:paraId="2E3BE4F3">
      <w:pPr>
        <w:snapToGrid w:val="0"/>
        <w:spacing w:line="300" w:lineRule="auto"/>
        <w:rPr>
          <w:rFonts w:ascii="Arial" w:hAnsi="Arial" w:eastAsia="宋体" w:cs="Arial"/>
          <w:sz w:val="21"/>
          <w:szCs w:val="21"/>
          <w:lang w:eastAsia="zh-CN"/>
        </w:rPr>
      </w:pPr>
      <w:r>
        <w:rPr>
          <w:rFonts w:ascii="Arial" w:hAnsi="Arial" w:eastAsia="宋体" w:cs="Arial"/>
          <w:sz w:val="21"/>
          <w:szCs w:val="21"/>
          <w:lang w:eastAsia="zh-CN"/>
        </w:rPr>
        <w:t>我们建议贵公司标识510（k）范围内的所有组件、系统软件和附件。</w:t>
      </w:r>
    </w:p>
    <w:p w14:paraId="0DC625FF">
      <w:pPr>
        <w:snapToGrid w:val="0"/>
        <w:spacing w:line="300" w:lineRule="auto"/>
        <w:outlineLvl w:val="3"/>
        <w:rPr>
          <w:rFonts w:ascii="Arial" w:hAnsi="Arial" w:eastAsia="宋体" w:cs="Arial"/>
          <w:sz w:val="21"/>
          <w:szCs w:val="21"/>
          <w:lang w:eastAsia="zh-CN"/>
        </w:rPr>
      </w:pPr>
      <w:bookmarkStart w:id="8" w:name="_Toc481079469"/>
      <w:r>
        <w:rPr>
          <w:rFonts w:ascii="Arial" w:hAnsi="Arial" w:eastAsia="宋体" w:cs="Arial"/>
          <w:sz w:val="21"/>
          <w:szCs w:val="21"/>
          <w:lang w:eastAsia="zh-CN"/>
        </w:rPr>
        <w:t>器械的图像或图纸</w:t>
      </w:r>
      <w:bookmarkEnd w:id="8"/>
    </w:p>
    <w:p w14:paraId="05AC6226">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我们建议贵公司提供器械的图像或图纸。我们还建议贵公司提供功能框图（包括所有附件）。</w:t>
      </w:r>
    </w:p>
    <w:p w14:paraId="20E09F6F">
      <w:pPr>
        <w:snapToGrid w:val="0"/>
        <w:spacing w:line="300" w:lineRule="auto"/>
        <w:outlineLvl w:val="3"/>
        <w:rPr>
          <w:rFonts w:ascii="Arial" w:hAnsi="Arial" w:eastAsia="宋体" w:cs="Arial"/>
          <w:b/>
          <w:bCs/>
          <w:sz w:val="21"/>
          <w:szCs w:val="21"/>
          <w:lang w:eastAsia="zh-CN"/>
        </w:rPr>
      </w:pPr>
      <w:bookmarkStart w:id="9" w:name="_Toc481079470"/>
      <w:r>
        <w:rPr>
          <w:rFonts w:ascii="Arial" w:hAnsi="Arial" w:eastAsia="宋体" w:cs="Arial"/>
          <w:sz w:val="21"/>
          <w:szCs w:val="21"/>
          <w:lang w:eastAsia="zh-CN"/>
        </w:rPr>
        <w:t>与比较器械的对比</w:t>
      </w:r>
      <w:bookmarkEnd w:id="9"/>
    </w:p>
    <w:p w14:paraId="645121A4">
      <w:pPr>
        <w:pStyle w:val="8"/>
        <w:snapToGrid w:val="0"/>
        <w:spacing w:line="300" w:lineRule="auto"/>
        <w:ind w:left="0"/>
        <w:rPr>
          <w:rFonts w:ascii="Arial" w:hAnsi="Arial" w:eastAsia="宋体" w:cs="Arial"/>
          <w:sz w:val="21"/>
          <w:szCs w:val="21"/>
          <w:lang w:eastAsia="zh-CN"/>
        </w:rPr>
      </w:pPr>
      <w:r>
        <w:rPr>
          <w:rFonts w:ascii="Arial" w:hAnsi="Arial" w:eastAsia="宋体" w:cs="Arial"/>
          <w:sz w:val="21"/>
          <w:szCs w:val="21"/>
          <w:lang w:eastAsia="zh-CN"/>
        </w:rPr>
        <w:t>我们建议贵公司说明贵公司的器械和比较器械在适应症及技术特性方面的类似。</w:t>
      </w:r>
    </w:p>
    <w:p w14:paraId="3FD196F1">
      <w:pPr>
        <w:snapToGrid w:val="0"/>
        <w:spacing w:line="300" w:lineRule="auto"/>
        <w:jc w:val="both"/>
        <w:rPr>
          <w:rFonts w:ascii="Arial" w:hAnsi="Arial" w:eastAsia="宋体" w:cs="Arial"/>
          <w:sz w:val="20"/>
          <w:szCs w:val="20"/>
          <w:lang w:eastAsia="zh-CN"/>
        </w:rPr>
      </w:pPr>
    </w:p>
    <w:p w14:paraId="66987936">
      <w:pPr>
        <w:snapToGrid w:val="0"/>
        <w:spacing w:line="300" w:lineRule="auto"/>
        <w:jc w:val="both"/>
        <w:rPr>
          <w:rFonts w:ascii="Arial" w:hAnsi="Arial" w:eastAsia="宋体" w:cs="Arial"/>
          <w:sz w:val="20"/>
          <w:szCs w:val="20"/>
          <w:lang w:eastAsia="zh-CN"/>
        </w:rPr>
      </w:pPr>
    </w:p>
    <w:p w14:paraId="026EE869">
      <w:pPr>
        <w:snapToGrid w:val="0"/>
        <w:spacing w:before="10" w:line="300" w:lineRule="auto"/>
        <w:jc w:val="both"/>
        <w:rPr>
          <w:rFonts w:ascii="Arial" w:hAnsi="Arial" w:eastAsia="宋体" w:cs="Arial"/>
          <w:sz w:val="21"/>
          <w:szCs w:val="21"/>
          <w:lang w:eastAsia="zh-CN"/>
        </w:rPr>
      </w:pPr>
    </w:p>
    <w:p w14:paraId="731160E2">
      <w:pPr>
        <w:snapToGrid w:val="0"/>
        <w:spacing w:before="10" w:line="300" w:lineRule="auto"/>
        <w:jc w:val="both"/>
        <w:rPr>
          <w:rFonts w:ascii="Arial" w:hAnsi="Arial" w:eastAsia="宋体" w:cs="Arial"/>
          <w:sz w:val="21"/>
          <w:szCs w:val="21"/>
          <w:lang w:eastAsia="zh-CN"/>
        </w:rPr>
      </w:pPr>
    </w:p>
    <w:p w14:paraId="7CBEAD84">
      <w:pPr>
        <w:snapToGrid w:val="0"/>
        <w:spacing w:before="10" w:line="300" w:lineRule="auto"/>
        <w:jc w:val="both"/>
        <w:rPr>
          <w:rFonts w:ascii="Arial" w:hAnsi="Arial" w:eastAsia="宋体" w:cs="Arial"/>
          <w:sz w:val="21"/>
          <w:szCs w:val="21"/>
          <w:lang w:eastAsia="zh-CN"/>
        </w:rPr>
      </w:pPr>
    </w:p>
    <w:p w14:paraId="3A13A50D">
      <w:pPr>
        <w:snapToGrid w:val="0"/>
        <w:spacing w:before="10" w:line="300" w:lineRule="auto"/>
        <w:jc w:val="both"/>
        <w:rPr>
          <w:rFonts w:ascii="Arial" w:hAnsi="Arial" w:eastAsia="宋体" w:cs="Arial"/>
          <w:sz w:val="21"/>
          <w:szCs w:val="21"/>
          <w:lang w:eastAsia="zh-CN"/>
        </w:rPr>
      </w:pPr>
    </w:p>
    <w:p w14:paraId="1EAFC68E">
      <w:pPr>
        <w:snapToGrid w:val="0"/>
        <w:spacing w:before="10" w:line="300" w:lineRule="auto"/>
        <w:jc w:val="both"/>
        <w:rPr>
          <w:rFonts w:ascii="Arial" w:hAnsi="Arial" w:eastAsia="宋体" w:cs="Arial"/>
          <w:sz w:val="21"/>
          <w:szCs w:val="21"/>
          <w:lang w:eastAsia="zh-CN"/>
        </w:rPr>
      </w:pPr>
    </w:p>
    <w:p w14:paraId="5860FF77">
      <w:pPr>
        <w:snapToGrid w:val="0"/>
        <w:spacing w:before="10" w:line="300" w:lineRule="auto"/>
        <w:jc w:val="both"/>
        <w:rPr>
          <w:rFonts w:ascii="Arial" w:hAnsi="Arial" w:eastAsia="宋体" w:cs="Arial"/>
          <w:sz w:val="21"/>
          <w:szCs w:val="21"/>
          <w:lang w:eastAsia="zh-CN"/>
        </w:rPr>
      </w:pPr>
    </w:p>
    <w:p w14:paraId="452A07BF">
      <w:pPr>
        <w:snapToGrid w:val="0"/>
        <w:spacing w:before="10" w:line="300" w:lineRule="auto"/>
        <w:jc w:val="both"/>
        <w:rPr>
          <w:rFonts w:ascii="Arial" w:hAnsi="Arial" w:eastAsia="宋体" w:cs="Arial"/>
          <w:sz w:val="21"/>
          <w:szCs w:val="21"/>
          <w:lang w:eastAsia="zh-CN"/>
        </w:rPr>
      </w:pPr>
    </w:p>
    <w:p w14:paraId="7877F589">
      <w:pPr>
        <w:snapToGrid w:val="0"/>
        <w:spacing w:before="10" w:line="300" w:lineRule="auto"/>
        <w:jc w:val="both"/>
        <w:rPr>
          <w:rFonts w:ascii="Arial" w:hAnsi="Arial" w:eastAsia="宋体" w:cs="Arial"/>
          <w:sz w:val="21"/>
          <w:szCs w:val="21"/>
          <w:lang w:eastAsia="zh-CN"/>
        </w:rPr>
      </w:pPr>
    </w:p>
    <w:p w14:paraId="2D139017">
      <w:pPr>
        <w:snapToGrid w:val="0"/>
        <w:spacing w:before="10" w:line="300" w:lineRule="auto"/>
        <w:jc w:val="both"/>
        <w:rPr>
          <w:rFonts w:ascii="Arial" w:hAnsi="Arial" w:eastAsia="宋体" w:cs="Arial"/>
          <w:sz w:val="21"/>
          <w:szCs w:val="21"/>
          <w:lang w:eastAsia="zh-CN"/>
        </w:rPr>
      </w:pPr>
    </w:p>
    <w:p w14:paraId="73D6A4C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4" name="Group 14"/>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5" name="Group 15"/>
                        <wpg:cNvGrpSpPr/>
                        <wpg:grpSpPr>
                          <a:xfrm>
                            <a:off x="6" y="6"/>
                            <a:ext cx="2880" cy="2"/>
                            <a:chOff x="6" y="6"/>
                            <a:chExt cx="2880" cy="2"/>
                          </a:xfrm>
                        </wpg:grpSpPr>
                        <wps:wsp>
                          <wps:cNvPr id="16" name="Freeform 16"/>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4"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D+hIXUAAAAAwEAAA8AAAAA&#10;AAAAAQAgAAAAIgAAAGRycy9kb3ducmV2LnhtbFBLAQIUABQAAAAIAIdO4kCN+WscNQMAACoIAAAO&#10;AAAAAAAAAAEAIAAAACMBAABkcnMvZTJvRG9jLnhtbFBLBQYAAAAABgAGAFkBAADKBgAAAAA=&#10;">
                <o:lock v:ext="edit" aspectratio="f"/>
                <v:group id="Group 15" o:spid="_x0000_s1026" o:spt="203" style="position:absolute;left:6;top:6;height:2;width:2880;" coordorigin="6,6" coordsize="2880,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6" o:spid="_x0000_s1026" o:spt="100" style="position:absolute;left:36;top:36;height:0;width:2880;" filled="f" stroked="t" coordsize="2880,1" o:gfxdata="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LS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C7DA0E6">
      <w:pPr>
        <w:snapToGrid w:val="0"/>
        <w:spacing w:before="70" w:line="300" w:lineRule="auto"/>
        <w:ind w:left="120"/>
        <w:jc w:val="both"/>
        <w:rPr>
          <w:rFonts w:ascii="Arial" w:hAnsi="Arial" w:eastAsia="宋体" w:cs="Arial"/>
          <w:sz w:val="13"/>
          <w:szCs w:val="13"/>
        </w:rPr>
      </w:pPr>
      <w:r>
        <w:rPr>
          <w:rFonts w:ascii="Arial" w:hAnsi="Arial" w:eastAsia="宋体" w:cs="Arial"/>
          <w:w w:val="99"/>
          <w:sz w:val="13"/>
        </w:rPr>
        <w:t>1</w:t>
      </w:r>
    </w:p>
    <w:p w14:paraId="4A926029">
      <w:pPr>
        <w:snapToGrid w:val="0"/>
        <w:spacing w:before="104" w:line="300" w:lineRule="auto"/>
        <w:ind w:left="120"/>
        <w:jc w:val="both"/>
        <w:rPr>
          <w:rFonts w:ascii="Arial" w:hAnsi="Arial" w:eastAsia="宋体" w:cs="Arial"/>
          <w:sz w:val="20"/>
          <w:szCs w:val="20"/>
        </w:rPr>
      </w:pPr>
      <w:bookmarkStart w:id="10" w:name="_bookmark2"/>
      <w:bookmarkEnd w:id="10"/>
      <w:r>
        <w:rPr>
          <w:rFonts w:ascii="Arial" w:hAnsi="Arial" w:eastAsia="宋体" w:cs="Arial"/>
        </w:rPr>
        <w:fldChar w:fldCharType="begin"/>
      </w:r>
      <w:r>
        <w:rPr>
          <w:rFonts w:ascii="Arial" w:hAnsi="Arial" w:eastAsia="宋体" w:cs="Arial"/>
        </w:rPr>
        <w:instrText xml:space="preserve"> HYPERLINK "http://www.fda.gov/MedicalDevices/DeviceRegulationandGuidance/GuidanceDocuments/ucm084365.htm" \h </w:instrText>
      </w:r>
      <w:r>
        <w:rPr>
          <w:rFonts w:ascii="Arial" w:hAnsi="Arial" w:eastAsia="宋体" w:cs="Arial"/>
        </w:rPr>
        <w:fldChar w:fldCharType="separate"/>
      </w:r>
      <w:r>
        <w:rPr>
          <w:rFonts w:ascii="Arial" w:hAnsi="Arial" w:eastAsia="宋体" w:cs="Arial"/>
          <w:color w:val="0000FF"/>
          <w:sz w:val="20"/>
          <w:u w:val="single" w:color="0000FF"/>
        </w:rPr>
        <w:t>http://www.fda.gov/MedicalDevices/DeviceRegulationandGuidance/GuidanceDocuments/ucm084365.htm</w:t>
      </w:r>
      <w:r>
        <w:rPr>
          <w:rFonts w:ascii="Arial" w:hAnsi="Arial" w:eastAsia="宋体" w:cs="Arial"/>
          <w:color w:val="0000FF"/>
          <w:sz w:val="20"/>
          <w:u w:val="single" w:color="0000FF"/>
        </w:rPr>
        <w:fldChar w:fldCharType="end"/>
      </w:r>
    </w:p>
    <w:p w14:paraId="6C7FDF1B">
      <w:pPr>
        <w:snapToGrid w:val="0"/>
        <w:spacing w:line="300" w:lineRule="auto"/>
        <w:ind w:left="120"/>
        <w:jc w:val="both"/>
        <w:rPr>
          <w:rFonts w:ascii="Arial" w:hAnsi="Arial" w:eastAsia="宋体" w:cs="Arial"/>
          <w:sz w:val="13"/>
          <w:szCs w:val="13"/>
        </w:rPr>
      </w:pPr>
      <w:r>
        <w:rPr>
          <w:rFonts w:ascii="Arial" w:hAnsi="Arial" w:eastAsia="宋体" w:cs="Arial"/>
          <w:w w:val="99"/>
          <w:sz w:val="13"/>
        </w:rPr>
        <w:t>2</w:t>
      </w:r>
    </w:p>
    <w:p w14:paraId="009F0354">
      <w:pPr>
        <w:snapToGrid w:val="0"/>
        <w:spacing w:before="105" w:line="300" w:lineRule="auto"/>
        <w:ind w:left="120"/>
        <w:jc w:val="both"/>
        <w:rPr>
          <w:rFonts w:ascii="Arial" w:hAnsi="Arial" w:eastAsia="宋体" w:cs="Arial"/>
          <w:sz w:val="20"/>
          <w:szCs w:val="20"/>
        </w:rPr>
      </w:pPr>
      <w:bookmarkStart w:id="11" w:name="_bookmark3"/>
      <w:bookmarkEnd w:id="11"/>
      <w:r>
        <w:rPr>
          <w:rFonts w:ascii="Arial" w:hAnsi="Arial" w:eastAsia="宋体" w:cs="Arial"/>
        </w:rPr>
        <w:fldChar w:fldCharType="begin"/>
      </w:r>
      <w:r>
        <w:rPr>
          <w:rFonts w:ascii="Arial" w:hAnsi="Arial" w:eastAsia="宋体" w:cs="Arial"/>
        </w:rPr>
        <w:instrText xml:space="preserve"> HYPERLINK "http://www.fda.gov/MedicalDevices/DeviceRegulationandGuidance/HowtoMarketYourDevice/PremarketSubmissions/PremarketNotification510k/default.htm" \h </w:instrText>
      </w:r>
      <w:r>
        <w:rPr>
          <w:rFonts w:ascii="Arial" w:hAnsi="Arial" w:eastAsia="宋体" w:cs="Arial"/>
        </w:rPr>
        <w:fldChar w:fldCharType="separate"/>
      </w:r>
      <w:r>
        <w:rPr>
          <w:rFonts w:ascii="Arial" w:hAnsi="Arial" w:eastAsia="宋体" w:cs="Arial"/>
          <w:color w:val="0000FF"/>
          <w:spacing w:val="-1"/>
          <w:sz w:val="20"/>
          <w:u w:val="single" w:color="0000FF"/>
        </w:rPr>
        <w:t>http://www.fda.gov/MedicalDevices/DeviceRegulationandGuidance/HowtoMarketYourDevice/PremarketS</w:t>
      </w:r>
      <w:r>
        <w:rPr>
          <w:rFonts w:ascii="Arial" w:hAnsi="Arial" w:eastAsia="宋体" w:cs="Arial"/>
          <w:color w:val="0000FF"/>
          <w:spacing w:val="-19"/>
          <w:sz w:val="20"/>
          <w:u w:val="single" w:color="0000FF"/>
        </w:rPr>
        <w:t xml:space="preserve"> </w:t>
      </w:r>
      <w:r>
        <w:rPr>
          <w:rFonts w:ascii="Arial" w:hAnsi="Arial" w:eastAsia="宋体" w:cs="Arial"/>
          <w:color w:val="0000FF"/>
          <w:spacing w:val="-19"/>
          <w:sz w:val="20"/>
          <w:u w:val="single" w:color="0000FF"/>
        </w:rPr>
        <w:fldChar w:fldCharType="end"/>
      </w:r>
      <w:r>
        <w:fldChar w:fldCharType="begin"/>
      </w:r>
      <w:r>
        <w:instrText xml:space="preserve"> HYPERLINK "http://www.fda.gov/MedicalDevices/DeviceRegulationandGuidance/HowtoMarketYourDevice/PremarketSubmissions/PremarketNotification510k/default.htm" \h </w:instrText>
      </w:r>
      <w:r>
        <w:fldChar w:fldCharType="separate"/>
      </w:r>
      <w:r>
        <w:rPr>
          <w:rFonts w:ascii="Arial" w:hAnsi="Arial" w:eastAsia="宋体" w:cs="Arial"/>
          <w:color w:val="0000FF"/>
          <w:sz w:val="20"/>
          <w:u w:val="single" w:color="0000FF"/>
        </w:rPr>
        <w:t>ubmissions/PremarketNotification510k/default.htm</w:t>
      </w:r>
      <w:r>
        <w:rPr>
          <w:rFonts w:ascii="Arial" w:hAnsi="Arial" w:eastAsia="宋体" w:cs="Arial"/>
          <w:color w:val="0000FF"/>
          <w:sz w:val="20"/>
          <w:u w:val="single" w:color="0000FF"/>
        </w:rPr>
        <w:fldChar w:fldCharType="end"/>
      </w:r>
    </w:p>
    <w:p w14:paraId="5023E628">
      <w:pPr>
        <w:rPr>
          <w:rFonts w:ascii="Arial" w:hAnsi="Arial" w:eastAsia="宋体" w:cs="Arial"/>
          <w:sz w:val="20"/>
          <w:szCs w:val="20"/>
        </w:rPr>
      </w:pPr>
      <w:r>
        <w:rPr>
          <w:rFonts w:ascii="Arial" w:hAnsi="Arial" w:eastAsia="宋体" w:cs="Arial"/>
          <w:sz w:val="20"/>
          <w:szCs w:val="20"/>
        </w:rPr>
        <w:br w:type="page"/>
      </w:r>
    </w:p>
    <w:p w14:paraId="0C417476">
      <w:pPr>
        <w:pStyle w:val="4"/>
        <w:numPr>
          <w:ilvl w:val="0"/>
          <w:numId w:val="1"/>
        </w:numPr>
        <w:tabs>
          <w:tab w:val="left" w:pos="440"/>
        </w:tabs>
        <w:snapToGrid w:val="0"/>
        <w:spacing w:before="59" w:line="300" w:lineRule="auto"/>
        <w:ind w:left="439" w:hanging="319"/>
        <w:jc w:val="both"/>
        <w:rPr>
          <w:rFonts w:ascii="Arial" w:hAnsi="Arial" w:eastAsia="宋体" w:cs="Arial"/>
          <w:b w:val="0"/>
          <w:bCs w:val="0"/>
        </w:rPr>
      </w:pPr>
      <w:bookmarkStart w:id="12" w:name="_bookmark4"/>
      <w:bookmarkEnd w:id="12"/>
      <w:bookmarkStart w:id="13" w:name="_Toc481079471"/>
      <w:r>
        <w:rPr>
          <w:rFonts w:ascii="Arial" w:hAnsi="Arial" w:eastAsia="宋体" w:cs="Arial"/>
          <w:lang w:eastAsia="zh-CN"/>
        </w:rPr>
        <w:t>健康风险</w:t>
      </w:r>
      <w:bookmarkEnd w:id="13"/>
    </w:p>
    <w:p w14:paraId="1BEA1A01">
      <w:pPr>
        <w:snapToGrid w:val="0"/>
        <w:spacing w:before="275" w:line="300" w:lineRule="auto"/>
        <w:ind w:left="100"/>
        <w:jc w:val="both"/>
        <w:rPr>
          <w:rFonts w:ascii="Arial" w:hAnsi="Arial" w:eastAsia="宋体" w:cs="Arial"/>
          <w:sz w:val="21"/>
          <w:szCs w:val="21"/>
          <w:lang w:eastAsia="zh-CN"/>
        </w:rPr>
      </w:pPr>
      <w:r>
        <w:rPr>
          <w:rFonts w:ascii="Arial" w:hAnsi="Arial" w:eastAsia="宋体" w:cs="Arial"/>
          <w:sz w:val="21"/>
          <w:szCs w:val="21"/>
          <w:lang w:eastAsia="zh-CN"/>
        </w:rPr>
        <w:t>在下表中，FDA已经确定了通常与本文件中提到的、与使用美容用聚焦超声刺激系统相关的健康风险。本指导性文件中提供了建议措施来缓解这些已确定的风险，如下表所示。贵公司还应在提交上市前通告之前进行风险分析，确定器械特有的其他任何风险。我们建议贵公司在上市前通告中说明风险分析方法，并纳入其结果。如果贵公司选择使用替代方法来解决本指导性文件中确定的特定风险，或者贵公司已确定出本指南中所未确定的风险，则贵公司应提供足够的详细信息来支持贵公司用于解决该风险的方法。</w:t>
      </w:r>
    </w:p>
    <w:p w14:paraId="42C4409B">
      <w:pPr>
        <w:snapToGrid w:val="0"/>
        <w:spacing w:before="3" w:line="300" w:lineRule="auto"/>
        <w:jc w:val="both"/>
        <w:rPr>
          <w:rFonts w:ascii="Arial" w:hAnsi="Arial" w:eastAsia="宋体" w:cs="Arial"/>
          <w:b/>
          <w:sz w:val="24"/>
          <w:szCs w:val="24"/>
          <w:lang w:eastAsia="zh-CN"/>
        </w:rPr>
      </w:pPr>
    </w:p>
    <w:tbl>
      <w:tblPr>
        <w:tblStyle w:val="23"/>
        <w:tblW w:w="0" w:type="auto"/>
        <w:tblInd w:w="182" w:type="dxa"/>
        <w:tblLayout w:type="fixed"/>
        <w:tblCellMar>
          <w:top w:w="0" w:type="dxa"/>
          <w:left w:w="0" w:type="dxa"/>
          <w:bottom w:w="0" w:type="dxa"/>
          <w:right w:w="0" w:type="dxa"/>
        </w:tblCellMar>
      </w:tblPr>
      <w:tblGrid>
        <w:gridCol w:w="3528"/>
        <w:gridCol w:w="5040"/>
      </w:tblGrid>
      <w:tr w14:paraId="1BC0A171">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shd w:val="clear" w:color="auto" w:fill="CCFFFF"/>
          </w:tcPr>
          <w:p w14:paraId="6BC65993">
            <w:pPr>
              <w:pStyle w:val="25"/>
              <w:snapToGrid w:val="0"/>
              <w:spacing w:line="300" w:lineRule="auto"/>
              <w:ind w:left="1022"/>
              <w:jc w:val="both"/>
              <w:rPr>
                <w:rFonts w:ascii="Arial" w:hAnsi="Arial" w:eastAsia="宋体" w:cs="Arial"/>
                <w:b/>
                <w:sz w:val="18"/>
                <w:szCs w:val="18"/>
                <w:lang w:eastAsia="zh-CN"/>
              </w:rPr>
            </w:pPr>
            <w:r>
              <w:rPr>
                <w:rFonts w:ascii="Arial" w:hAnsi="Arial" w:eastAsia="宋体" w:cs="Arial"/>
                <w:b/>
                <w:sz w:val="18"/>
                <w:szCs w:val="18"/>
              </w:rPr>
              <w:t>已</w:t>
            </w:r>
            <w:r>
              <w:rPr>
                <w:rFonts w:ascii="Arial" w:hAnsi="Arial" w:eastAsia="宋体" w:cs="Arial"/>
                <w:b/>
                <w:sz w:val="18"/>
                <w:szCs w:val="18"/>
                <w:lang w:eastAsia="zh-CN"/>
              </w:rPr>
              <w:t>确定风险</w:t>
            </w:r>
          </w:p>
        </w:tc>
        <w:tc>
          <w:tcPr>
            <w:tcW w:w="5040" w:type="dxa"/>
            <w:tcBorders>
              <w:top w:val="single" w:color="000000" w:sz="8" w:space="0"/>
              <w:left w:val="single" w:color="000000" w:sz="8" w:space="0"/>
              <w:bottom w:val="single" w:color="000000" w:sz="8" w:space="0"/>
              <w:right w:val="single" w:color="000000" w:sz="8" w:space="0"/>
            </w:tcBorders>
            <w:shd w:val="clear" w:color="auto" w:fill="CCFFFF"/>
          </w:tcPr>
          <w:p w14:paraId="336744A1">
            <w:pPr>
              <w:pStyle w:val="25"/>
              <w:snapToGrid w:val="0"/>
              <w:spacing w:line="300" w:lineRule="auto"/>
              <w:ind w:left="734"/>
              <w:jc w:val="both"/>
              <w:rPr>
                <w:rFonts w:ascii="Arial" w:hAnsi="Arial" w:eastAsia="宋体" w:cs="Arial"/>
                <w:b/>
                <w:sz w:val="18"/>
                <w:szCs w:val="18"/>
              </w:rPr>
            </w:pPr>
            <w:r>
              <w:rPr>
                <w:rFonts w:ascii="Arial" w:hAnsi="Arial" w:eastAsia="宋体" w:cs="Arial"/>
                <w:b/>
                <w:sz w:val="18"/>
                <w:szCs w:val="18"/>
                <w:lang w:eastAsia="zh-CN"/>
              </w:rPr>
              <w:t>建议缓解措施</w:t>
            </w:r>
          </w:p>
        </w:tc>
      </w:tr>
      <w:tr w14:paraId="2F35B9CF">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47FE346E">
            <w:pPr>
              <w:pStyle w:val="25"/>
              <w:snapToGrid w:val="0"/>
              <w:spacing w:line="300" w:lineRule="auto"/>
              <w:ind w:left="98"/>
              <w:jc w:val="both"/>
              <w:rPr>
                <w:rFonts w:ascii="Arial" w:hAnsi="Arial" w:eastAsia="宋体" w:cs="Arial"/>
                <w:sz w:val="18"/>
                <w:szCs w:val="18"/>
                <w:lang w:eastAsia="zh-CN"/>
              </w:rPr>
            </w:pPr>
            <w:r>
              <w:rPr>
                <w:rFonts w:ascii="Arial" w:hAnsi="Arial" w:eastAsia="宋体" w:cs="Arial"/>
                <w:sz w:val="18"/>
                <w:szCs w:val="18"/>
                <w:lang w:eastAsia="zh-CN"/>
              </w:rPr>
              <w:t>聚焦超声暴露导致的热伤（热损伤）</w:t>
            </w:r>
          </w:p>
        </w:tc>
        <w:tc>
          <w:tcPr>
            <w:tcW w:w="5040" w:type="dxa"/>
            <w:tcBorders>
              <w:top w:val="single" w:color="000000" w:sz="8" w:space="0"/>
              <w:left w:val="single" w:color="000000" w:sz="8" w:space="0"/>
              <w:bottom w:val="single" w:color="000000" w:sz="8" w:space="0"/>
              <w:right w:val="single" w:color="000000" w:sz="8" w:space="0"/>
            </w:tcBorders>
          </w:tcPr>
          <w:p w14:paraId="5E3A83F3">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第6节 台架试验</w:t>
            </w:r>
          </w:p>
          <w:p w14:paraId="05E4F7D1">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第7节 软件确认</w:t>
            </w:r>
          </w:p>
          <w:p w14:paraId="3C03CE0A">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第8节 动物试验</w:t>
            </w:r>
          </w:p>
          <w:p w14:paraId="7904298D">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第9节 临床试验</w:t>
            </w:r>
          </w:p>
          <w:p w14:paraId="6682E335">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第11节 电磁相容性</w:t>
            </w:r>
          </w:p>
          <w:p w14:paraId="5118605D">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46023786">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3B2614DD">
            <w:pPr>
              <w:pStyle w:val="25"/>
              <w:snapToGrid w:val="0"/>
              <w:spacing w:line="300" w:lineRule="auto"/>
              <w:ind w:left="98"/>
              <w:jc w:val="both"/>
              <w:rPr>
                <w:rFonts w:ascii="Arial" w:hAnsi="Arial" w:eastAsia="宋体" w:cs="Arial"/>
                <w:sz w:val="18"/>
                <w:szCs w:val="18"/>
                <w:lang w:eastAsia="zh-CN"/>
              </w:rPr>
            </w:pPr>
            <w:r>
              <w:rPr>
                <w:rFonts w:ascii="Arial" w:hAnsi="Arial" w:eastAsia="宋体" w:cs="Arial"/>
                <w:sz w:val="18"/>
                <w:szCs w:val="18"/>
                <w:lang w:eastAsia="zh-CN"/>
              </w:rPr>
              <w:t>聚焦超声暴露导致的力学损伤（气蚀或其他力学损伤）</w:t>
            </w:r>
          </w:p>
        </w:tc>
        <w:tc>
          <w:tcPr>
            <w:tcW w:w="5040" w:type="dxa"/>
            <w:tcBorders>
              <w:top w:val="single" w:color="000000" w:sz="8" w:space="0"/>
              <w:left w:val="single" w:color="000000" w:sz="8" w:space="0"/>
              <w:bottom w:val="single" w:color="000000" w:sz="8" w:space="0"/>
              <w:right w:val="single" w:color="000000" w:sz="8" w:space="0"/>
            </w:tcBorders>
          </w:tcPr>
          <w:p w14:paraId="61C93638">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第6节 台架试验</w:t>
            </w:r>
          </w:p>
          <w:p w14:paraId="7F31E685">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第7节 软件确认</w:t>
            </w:r>
          </w:p>
          <w:p w14:paraId="386576E6">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第8节 动物试验</w:t>
            </w:r>
          </w:p>
          <w:p w14:paraId="278F35B1">
            <w:pPr>
              <w:pStyle w:val="25"/>
              <w:snapToGrid w:val="0"/>
              <w:spacing w:line="300" w:lineRule="auto"/>
              <w:ind w:left="98"/>
              <w:rPr>
                <w:rFonts w:ascii="Arial" w:hAnsi="Arial" w:eastAsia="宋体" w:cs="Arial"/>
                <w:spacing w:val="-1"/>
                <w:sz w:val="18"/>
                <w:szCs w:val="18"/>
                <w:lang w:eastAsia="zh-CN"/>
              </w:rPr>
            </w:pPr>
            <w:r>
              <w:rPr>
                <w:rFonts w:ascii="Arial" w:hAnsi="Arial" w:eastAsia="宋体" w:cs="Arial"/>
                <w:spacing w:val="-1"/>
                <w:sz w:val="18"/>
                <w:szCs w:val="18"/>
                <w:lang w:eastAsia="zh-CN"/>
              </w:rPr>
              <w:t>第9节 临床试验</w:t>
            </w:r>
          </w:p>
          <w:p w14:paraId="3EFB33E2">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5B84BA3B">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5E18E206">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眼</w:t>
            </w:r>
            <w:r>
              <w:rPr>
                <w:rFonts w:ascii="Arial" w:hAnsi="Arial" w:eastAsia="宋体" w:cs="Arial"/>
                <w:sz w:val="18"/>
                <w:szCs w:val="18"/>
                <w:lang w:eastAsia="zh-CN"/>
              </w:rPr>
              <w:t>部</w:t>
            </w:r>
            <w:r>
              <w:rPr>
                <w:rFonts w:ascii="Arial" w:hAnsi="Arial" w:eastAsia="宋体" w:cs="Arial"/>
                <w:sz w:val="18"/>
                <w:szCs w:val="18"/>
              </w:rPr>
              <w:t>损伤</w:t>
            </w:r>
          </w:p>
        </w:tc>
        <w:tc>
          <w:tcPr>
            <w:tcW w:w="5040" w:type="dxa"/>
            <w:tcBorders>
              <w:top w:val="single" w:color="000000" w:sz="8" w:space="0"/>
              <w:left w:val="single" w:color="000000" w:sz="8" w:space="0"/>
              <w:bottom w:val="single" w:color="000000" w:sz="8" w:space="0"/>
              <w:right w:val="single" w:color="000000" w:sz="8" w:space="0"/>
            </w:tcBorders>
          </w:tcPr>
          <w:p w14:paraId="7BA3F1EB">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574826FD">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0DE95F00">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电击</w:t>
            </w:r>
          </w:p>
        </w:tc>
        <w:tc>
          <w:tcPr>
            <w:tcW w:w="5040" w:type="dxa"/>
            <w:tcBorders>
              <w:top w:val="single" w:color="000000" w:sz="8" w:space="0"/>
              <w:left w:val="single" w:color="000000" w:sz="8" w:space="0"/>
              <w:bottom w:val="single" w:color="000000" w:sz="8" w:space="0"/>
              <w:right w:val="single" w:color="000000" w:sz="8" w:space="0"/>
            </w:tcBorders>
          </w:tcPr>
          <w:p w14:paraId="4CEE3640">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第12节 电气与力学安全性能试验</w:t>
            </w:r>
          </w:p>
          <w:p w14:paraId="69A41861">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r w14:paraId="2D9F333B">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060CAB61">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炎症/异物反应</w:t>
            </w:r>
          </w:p>
        </w:tc>
        <w:tc>
          <w:tcPr>
            <w:tcW w:w="5040" w:type="dxa"/>
            <w:tcBorders>
              <w:top w:val="single" w:color="000000" w:sz="8" w:space="0"/>
              <w:left w:val="single" w:color="000000" w:sz="8" w:space="0"/>
              <w:bottom w:val="single" w:color="000000" w:sz="8" w:space="0"/>
              <w:right w:val="single" w:color="000000" w:sz="8" w:space="0"/>
            </w:tcBorders>
          </w:tcPr>
          <w:p w14:paraId="2F175832">
            <w:pPr>
              <w:pStyle w:val="25"/>
              <w:snapToGrid w:val="0"/>
              <w:spacing w:line="300" w:lineRule="auto"/>
              <w:ind w:left="98" w:hanging="1"/>
              <w:rPr>
                <w:rFonts w:ascii="Arial" w:hAnsi="Arial" w:eastAsia="宋体" w:cs="Arial"/>
                <w:spacing w:val="-1"/>
                <w:sz w:val="18"/>
                <w:szCs w:val="18"/>
                <w:lang w:eastAsia="zh-CN"/>
              </w:rPr>
            </w:pPr>
            <w:r>
              <w:rPr>
                <w:rFonts w:ascii="Arial" w:hAnsi="Arial" w:eastAsia="宋体" w:cs="Arial"/>
                <w:spacing w:val="-1"/>
                <w:sz w:val="18"/>
                <w:szCs w:val="18"/>
                <w:lang w:eastAsia="zh-CN"/>
              </w:rPr>
              <w:t>第10节 生物相容性</w:t>
            </w:r>
          </w:p>
        </w:tc>
      </w:tr>
      <w:tr w14:paraId="3B2545C2">
        <w:tblPrEx>
          <w:tblCellMar>
            <w:top w:w="0" w:type="dxa"/>
            <w:left w:w="0" w:type="dxa"/>
            <w:bottom w:w="0" w:type="dxa"/>
            <w:right w:w="0" w:type="dxa"/>
          </w:tblCellMar>
        </w:tblPrEx>
        <w:tc>
          <w:tcPr>
            <w:tcW w:w="3528" w:type="dxa"/>
            <w:tcBorders>
              <w:top w:val="single" w:color="000000" w:sz="8" w:space="0"/>
              <w:left w:val="single" w:color="000000" w:sz="8" w:space="0"/>
              <w:bottom w:val="single" w:color="000000" w:sz="8" w:space="0"/>
              <w:right w:val="single" w:color="000000" w:sz="8" w:space="0"/>
            </w:tcBorders>
          </w:tcPr>
          <w:p w14:paraId="4F7D39B2">
            <w:pPr>
              <w:pStyle w:val="25"/>
              <w:snapToGrid w:val="0"/>
              <w:spacing w:line="300" w:lineRule="auto"/>
              <w:ind w:left="98"/>
              <w:jc w:val="both"/>
              <w:rPr>
                <w:rFonts w:ascii="Arial" w:hAnsi="Arial" w:eastAsia="宋体" w:cs="Arial"/>
                <w:sz w:val="18"/>
                <w:szCs w:val="18"/>
              </w:rPr>
            </w:pPr>
            <w:r>
              <w:rPr>
                <w:rFonts w:ascii="Arial" w:hAnsi="Arial" w:eastAsia="宋体" w:cs="Arial"/>
                <w:sz w:val="18"/>
                <w:szCs w:val="18"/>
              </w:rPr>
              <w:t>使用错误</w:t>
            </w:r>
          </w:p>
        </w:tc>
        <w:tc>
          <w:tcPr>
            <w:tcW w:w="5040" w:type="dxa"/>
            <w:tcBorders>
              <w:top w:val="single" w:color="000000" w:sz="8" w:space="0"/>
              <w:left w:val="single" w:color="000000" w:sz="8" w:space="0"/>
              <w:bottom w:val="single" w:color="000000" w:sz="8" w:space="0"/>
              <w:right w:val="single" w:color="000000" w:sz="8" w:space="0"/>
            </w:tcBorders>
          </w:tcPr>
          <w:p w14:paraId="121B44A6">
            <w:pPr>
              <w:pStyle w:val="25"/>
              <w:snapToGrid w:val="0"/>
              <w:spacing w:line="300" w:lineRule="auto"/>
              <w:ind w:left="98"/>
              <w:jc w:val="both"/>
              <w:rPr>
                <w:rFonts w:ascii="Arial" w:hAnsi="Arial" w:eastAsia="宋体" w:cs="Arial"/>
                <w:spacing w:val="-1"/>
                <w:sz w:val="18"/>
                <w:szCs w:val="18"/>
                <w:lang w:eastAsia="zh-CN"/>
              </w:rPr>
            </w:pPr>
            <w:r>
              <w:rPr>
                <w:rFonts w:ascii="Arial" w:hAnsi="Arial" w:eastAsia="宋体" w:cs="Arial"/>
                <w:spacing w:val="-1"/>
                <w:sz w:val="18"/>
                <w:szCs w:val="18"/>
                <w:lang w:eastAsia="zh-CN"/>
              </w:rPr>
              <w:t>第13节 标签</w:t>
            </w:r>
          </w:p>
        </w:tc>
      </w:tr>
    </w:tbl>
    <w:p w14:paraId="1FF1F8D2">
      <w:pPr>
        <w:snapToGrid w:val="0"/>
        <w:spacing w:line="300" w:lineRule="auto"/>
        <w:jc w:val="both"/>
        <w:rPr>
          <w:rFonts w:ascii="Arial" w:hAnsi="Arial" w:eastAsia="宋体" w:cs="Arial"/>
          <w:sz w:val="20"/>
          <w:szCs w:val="20"/>
        </w:rPr>
      </w:pPr>
    </w:p>
    <w:p w14:paraId="4EC76D08">
      <w:pPr>
        <w:pStyle w:val="4"/>
        <w:numPr>
          <w:ilvl w:val="0"/>
          <w:numId w:val="1"/>
        </w:numPr>
        <w:tabs>
          <w:tab w:val="left" w:pos="441"/>
        </w:tabs>
        <w:snapToGrid w:val="0"/>
        <w:spacing w:before="59" w:line="300" w:lineRule="auto"/>
        <w:ind w:left="318" w:hanging="318"/>
        <w:jc w:val="both"/>
        <w:rPr>
          <w:rFonts w:ascii="Arial" w:hAnsi="Arial" w:eastAsia="宋体" w:cs="Arial"/>
          <w:b w:val="0"/>
          <w:bCs w:val="0"/>
        </w:rPr>
      </w:pPr>
      <w:bookmarkStart w:id="14" w:name="_Toc481079472"/>
      <w:r>
        <w:rPr>
          <w:rFonts w:ascii="Arial" w:hAnsi="Arial" w:eastAsia="宋体" w:cs="Arial"/>
          <w:lang w:eastAsia="zh-CN"/>
        </w:rPr>
        <w:t>台架试验</w:t>
      </w:r>
      <w:bookmarkEnd w:id="14"/>
    </w:p>
    <w:p w14:paraId="3AE35272">
      <w:pPr>
        <w:pStyle w:val="8"/>
        <w:snapToGrid w:val="0"/>
        <w:spacing w:before="227"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进行临床前试验，证明美容用聚焦超声刺激系统符合所有设计质量标准和性能要求。对于声功率和性能，应该进行声功率测量，并且应该有数据证明辐射声功率可以预测，并且传感器之间的变异性很小。试验应准确表征声束轮廓，并确定声能被递送至和集中于预期目标部位中。如需进行热凝，则试验应通过对体外温度分布进行测量（例如在组织模拟材料中）以及通过对热剂量进行计算建模来证明该器械可以产生可预测的热损伤，并应通过体外声学和热测量及计算建模来证明目标区域（包括骨骼和神经）近端和远端的非靶向组织的安全性。避免残留温度升高而在两处曝光时间之间选择的冷却时间应该合理。试验应该证明用于定位相关区域以及监测治疗的进展或结果（如果适用）的方法的准确性。试验应解决在聚焦区域或器械 - 组织接口处可能产生的气蚀和气泡，包括其检测手段以及关于安全性和有效性的可能后果。</w:t>
      </w:r>
    </w:p>
    <w:p w14:paraId="6B453AFF">
      <w:pPr>
        <w:rPr>
          <w:rFonts w:ascii="Arial" w:hAnsi="Arial" w:eastAsia="宋体" w:cs="Arial"/>
          <w:sz w:val="21"/>
          <w:szCs w:val="21"/>
          <w:lang w:eastAsia="zh-CN"/>
        </w:rPr>
      </w:pPr>
      <w:r>
        <w:rPr>
          <w:rFonts w:ascii="Arial" w:hAnsi="Arial" w:eastAsia="宋体" w:cs="Arial"/>
          <w:sz w:val="21"/>
          <w:szCs w:val="21"/>
          <w:lang w:eastAsia="zh-CN"/>
        </w:rPr>
        <w:br w:type="page"/>
      </w:r>
    </w:p>
    <w:p w14:paraId="3E259A56">
      <w:pPr>
        <w:snapToGrid w:val="0"/>
        <w:spacing w:line="300" w:lineRule="auto"/>
        <w:jc w:val="both"/>
        <w:rPr>
          <w:rFonts w:ascii="Arial" w:hAnsi="Arial" w:eastAsia="宋体" w:cs="Arial"/>
          <w:sz w:val="24"/>
          <w:szCs w:val="24"/>
          <w:lang w:eastAsia="zh-CN"/>
        </w:rPr>
      </w:pPr>
    </w:p>
    <w:p w14:paraId="2E03A14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该执行试验来评估系统故障的概率、可以缓解系统故障的方法以及可使系统故障对用户显而易见的方法。应对整个系统进行测试，确保性能充分符合设计质量标准，并评估故障模式和概率。台架试验也可用于评估使用条件可能影响系统性能的可能性。</w:t>
      </w:r>
    </w:p>
    <w:p w14:paraId="572B2A53">
      <w:pPr>
        <w:snapToGrid w:val="0"/>
        <w:spacing w:before="2" w:line="300" w:lineRule="auto"/>
        <w:jc w:val="both"/>
        <w:rPr>
          <w:rFonts w:ascii="Arial" w:hAnsi="Arial" w:eastAsia="宋体" w:cs="Arial"/>
          <w:sz w:val="21"/>
          <w:szCs w:val="21"/>
          <w:lang w:eastAsia="zh-CN"/>
        </w:rPr>
      </w:pPr>
    </w:p>
    <w:p w14:paraId="6CC3F540">
      <w:pPr>
        <w:pStyle w:val="4"/>
        <w:numPr>
          <w:ilvl w:val="0"/>
          <w:numId w:val="1"/>
        </w:numPr>
        <w:tabs>
          <w:tab w:val="left" w:pos="441"/>
        </w:tabs>
        <w:snapToGrid w:val="0"/>
        <w:spacing w:line="300" w:lineRule="auto"/>
        <w:ind w:left="440"/>
        <w:jc w:val="both"/>
        <w:rPr>
          <w:rFonts w:ascii="Arial" w:hAnsi="Arial" w:eastAsia="宋体" w:cs="Arial"/>
          <w:b w:val="0"/>
          <w:bCs w:val="0"/>
        </w:rPr>
      </w:pPr>
      <w:bookmarkStart w:id="15" w:name="_Toc481079473"/>
      <w:r>
        <w:rPr>
          <w:rFonts w:ascii="Arial" w:hAnsi="Arial" w:eastAsia="宋体" w:cs="Arial"/>
          <w:lang w:eastAsia="zh-CN"/>
        </w:rPr>
        <w:t>软件确认</w:t>
      </w:r>
      <w:bookmarkEnd w:id="15"/>
    </w:p>
    <w:p w14:paraId="53977640">
      <w:pPr>
        <w:pStyle w:val="8"/>
        <w:snapToGrid w:val="0"/>
        <w:spacing w:before="276"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我们建议贵公司提交有关软件控制器械的信息，如</w:t>
      </w:r>
      <w:r>
        <w:rPr>
          <w:rFonts w:hint="eastAsia" w:ascii="Arial" w:hAnsi="Arial" w:eastAsia="宋体" w:cs="Arial"/>
          <w:sz w:val="21"/>
          <w:szCs w:val="21"/>
          <w:lang w:eastAsia="zh-CN"/>
        </w:rPr>
        <w:t>“</w:t>
      </w:r>
      <w:r>
        <w:rPr>
          <w:rFonts w:ascii="Arial" w:hAnsi="Arial" w:eastAsia="宋体" w:cs="Arial"/>
          <w:sz w:val="21"/>
          <w:szCs w:val="21"/>
          <w:lang w:eastAsia="zh-CN"/>
        </w:rPr>
        <w:t>医疗器械中包含的软件的上市前提交内容指南</w:t>
      </w:r>
      <w:r>
        <w:rPr>
          <w:rFonts w:hint="eastAsia" w:ascii="Arial" w:hAnsi="Arial" w:eastAsia="宋体" w:cs="Arial"/>
          <w:sz w:val="21"/>
          <w:szCs w:val="21"/>
          <w:lang w:eastAsia="zh-CN"/>
        </w:rPr>
        <w:t>”</w:t>
      </w:r>
      <w:r>
        <w:rPr>
          <w:rFonts w:ascii="Arial" w:hAnsi="Arial" w:eastAsia="宋体" w:cs="Arial"/>
          <w:sz w:val="21"/>
          <w:szCs w:val="21"/>
          <w:lang w:eastAsia="zh-CN"/>
        </w:rPr>
        <w:t>所述。</w:t>
      </w:r>
      <w:r>
        <w:rPr>
          <w:rFonts w:ascii="Arial" w:hAnsi="Arial" w:eastAsia="宋体" w:cs="Arial"/>
          <w:sz w:val="21"/>
          <w:szCs w:val="21"/>
          <w:vertAlign w:val="superscript"/>
          <w:lang w:eastAsia="zh-CN"/>
        </w:rPr>
        <w:t>3</w:t>
      </w:r>
      <w:r>
        <w:rPr>
          <w:rFonts w:ascii="Arial" w:hAnsi="Arial" w:eastAsia="宋体" w:cs="Arial"/>
          <w:sz w:val="21"/>
          <w:szCs w:val="21"/>
          <w:lang w:eastAsia="zh-CN"/>
        </w:rPr>
        <w:t>我们建议贵公司提交的信息类型由</w:t>
      </w:r>
      <w:r>
        <w:rPr>
          <w:rFonts w:hint="eastAsia" w:ascii="Arial" w:hAnsi="Arial" w:eastAsia="宋体" w:cs="Arial"/>
          <w:sz w:val="21"/>
          <w:szCs w:val="21"/>
          <w:lang w:eastAsia="zh-CN"/>
        </w:rPr>
        <w:t>“关注水平”</w:t>
      </w:r>
      <w:r>
        <w:rPr>
          <w:rFonts w:ascii="Arial" w:hAnsi="Arial" w:eastAsia="宋体" w:cs="Arial"/>
          <w:sz w:val="21"/>
          <w:szCs w:val="21"/>
          <w:lang w:eastAsia="zh-CN"/>
        </w:rPr>
        <w:t>决定，这与软件故障相关的风险有关。器械的关注水平可分为轻微关注、</w:t>
      </w:r>
      <w:bookmarkStart w:id="16" w:name="OLE_LINK1"/>
      <w:bookmarkStart w:id="17" w:name="OLE_LINK2"/>
      <w:r>
        <w:rPr>
          <w:rFonts w:ascii="Arial" w:hAnsi="Arial" w:eastAsia="宋体" w:cs="Arial"/>
          <w:sz w:val="21"/>
          <w:szCs w:val="21"/>
          <w:lang w:eastAsia="zh-CN"/>
        </w:rPr>
        <w:t>中等</w:t>
      </w:r>
      <w:bookmarkEnd w:id="16"/>
      <w:bookmarkEnd w:id="17"/>
      <w:r>
        <w:rPr>
          <w:rFonts w:ascii="Arial" w:hAnsi="Arial" w:eastAsia="宋体" w:cs="Arial"/>
          <w:sz w:val="21"/>
          <w:szCs w:val="21"/>
          <w:lang w:eastAsia="zh-CN"/>
        </w:rPr>
        <w:t>关注或严重关注。FDA认为，用于操作该器械的软件属于软件指南中所述的</w:t>
      </w:r>
      <w:r>
        <w:rPr>
          <w:rFonts w:hint="eastAsia" w:ascii="Arial" w:hAnsi="Arial" w:eastAsia="宋体" w:cs="Arial"/>
          <w:sz w:val="21"/>
          <w:szCs w:val="21"/>
          <w:lang w:eastAsia="zh-CN"/>
        </w:rPr>
        <w:t>“</w:t>
      </w:r>
      <w:r>
        <w:rPr>
          <w:rFonts w:ascii="Arial" w:hAnsi="Arial" w:eastAsia="宋体" w:cs="Arial"/>
          <w:sz w:val="21"/>
          <w:szCs w:val="21"/>
          <w:lang w:eastAsia="zh-CN"/>
        </w:rPr>
        <w:t>中等关注</w:t>
      </w:r>
      <w:r>
        <w:rPr>
          <w:rFonts w:hint="eastAsia" w:ascii="Arial" w:hAnsi="Arial" w:eastAsia="宋体" w:cs="Arial"/>
          <w:sz w:val="21"/>
          <w:szCs w:val="21"/>
          <w:lang w:eastAsia="zh-CN"/>
        </w:rPr>
        <w:t>”</w:t>
      </w:r>
      <w:r>
        <w:rPr>
          <w:rFonts w:ascii="Arial" w:hAnsi="Arial" w:eastAsia="宋体" w:cs="Arial"/>
          <w:sz w:val="21"/>
          <w:szCs w:val="21"/>
          <w:lang w:eastAsia="zh-CN"/>
        </w:rPr>
        <w:t>范围，因为故障或潜在设计缺陷可能直接对患者或操作者造成轻微伤害。</w:t>
      </w:r>
    </w:p>
    <w:p w14:paraId="2701A5A8">
      <w:pPr>
        <w:snapToGrid w:val="0"/>
        <w:spacing w:before="8" w:line="300" w:lineRule="auto"/>
        <w:jc w:val="both"/>
        <w:rPr>
          <w:rFonts w:ascii="Arial" w:hAnsi="Arial" w:eastAsia="宋体" w:cs="Arial"/>
          <w:sz w:val="21"/>
          <w:szCs w:val="21"/>
          <w:lang w:eastAsia="zh-CN"/>
        </w:rPr>
      </w:pPr>
    </w:p>
    <w:p w14:paraId="2EECCB38">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此外，我们建议在开发控制软件时遵循</w:t>
      </w:r>
      <w:bookmarkStart w:id="18" w:name="OLE_LINK4"/>
      <w:bookmarkStart w:id="19" w:name="OLE_LINK3"/>
      <w:r>
        <w:rPr>
          <w:rFonts w:ascii="Arial" w:hAnsi="Arial" w:eastAsia="宋体" w:cs="Arial"/>
          <w:sz w:val="21"/>
          <w:szCs w:val="21"/>
          <w:lang w:eastAsia="zh-CN"/>
        </w:rPr>
        <w:t>IEC 60601-1-4：医用电气设备 - 第1-4部分</w:t>
      </w:r>
      <w:bookmarkEnd w:id="18"/>
      <w:bookmarkEnd w:id="19"/>
      <w:r>
        <w:rPr>
          <w:rFonts w:ascii="Arial" w:hAnsi="Arial" w:eastAsia="宋体" w:cs="Arial"/>
          <w:sz w:val="21"/>
          <w:szCs w:val="21"/>
          <w:lang w:eastAsia="zh-CN"/>
        </w:rPr>
        <w:t>；</w:t>
      </w:r>
      <w:r>
        <w:rPr>
          <w:rFonts w:hint="eastAsia" w:ascii="Arial" w:hAnsi="Arial" w:eastAsia="宋体" w:cs="Arial"/>
          <w:sz w:val="21"/>
          <w:szCs w:val="21"/>
          <w:lang w:eastAsia="zh-CN"/>
        </w:rPr>
        <w:t>“</w:t>
      </w:r>
      <w:r>
        <w:rPr>
          <w:rFonts w:ascii="Arial" w:hAnsi="Arial" w:eastAsia="宋体" w:cs="Arial"/>
          <w:sz w:val="21"/>
          <w:szCs w:val="21"/>
          <w:lang w:eastAsia="zh-CN"/>
        </w:rPr>
        <w:t>安全性方面的一般要求；辅助标准：可编程电气医疗器械</w:t>
      </w:r>
      <w:r>
        <w:rPr>
          <w:rFonts w:hint="eastAsia" w:ascii="Arial" w:hAnsi="Arial" w:eastAsia="宋体" w:cs="Arial"/>
          <w:sz w:val="21"/>
          <w:szCs w:val="21"/>
          <w:lang w:eastAsia="zh-CN"/>
        </w:rPr>
        <w:t>”</w:t>
      </w:r>
      <w:r>
        <w:rPr>
          <w:rFonts w:ascii="Arial" w:hAnsi="Arial" w:eastAsia="宋体" w:cs="Arial"/>
          <w:sz w:val="21"/>
          <w:szCs w:val="21"/>
          <w:lang w:eastAsia="zh-CN"/>
        </w:rPr>
        <w:t>或等效方法。</w:t>
      </w:r>
    </w:p>
    <w:p w14:paraId="73376363">
      <w:pPr>
        <w:snapToGrid w:val="0"/>
        <w:spacing w:before="8" w:line="300" w:lineRule="auto"/>
        <w:jc w:val="both"/>
        <w:rPr>
          <w:rFonts w:ascii="Arial" w:hAnsi="Arial" w:eastAsia="宋体" w:cs="Arial"/>
          <w:sz w:val="21"/>
          <w:szCs w:val="21"/>
          <w:lang w:eastAsia="zh-CN"/>
        </w:rPr>
      </w:pPr>
    </w:p>
    <w:p w14:paraId="38F4B223">
      <w:pPr>
        <w:snapToGrid w:val="0"/>
        <w:spacing w:before="2" w:line="300" w:lineRule="auto"/>
        <w:jc w:val="both"/>
        <w:rPr>
          <w:rFonts w:ascii="Arial" w:hAnsi="Arial" w:eastAsia="宋体" w:cs="Arial"/>
          <w:sz w:val="21"/>
          <w:szCs w:val="21"/>
          <w:lang w:eastAsia="zh-CN"/>
        </w:rPr>
      </w:pPr>
    </w:p>
    <w:p w14:paraId="1E62B90A">
      <w:pPr>
        <w:pStyle w:val="4"/>
        <w:numPr>
          <w:ilvl w:val="0"/>
          <w:numId w:val="1"/>
        </w:numPr>
        <w:tabs>
          <w:tab w:val="left" w:pos="440"/>
        </w:tabs>
        <w:snapToGrid w:val="0"/>
        <w:spacing w:line="300" w:lineRule="auto"/>
        <w:ind w:left="440"/>
        <w:jc w:val="both"/>
        <w:rPr>
          <w:rFonts w:ascii="Arial" w:hAnsi="Arial" w:eastAsia="宋体" w:cs="Arial"/>
          <w:lang w:eastAsia="zh-CN"/>
        </w:rPr>
      </w:pPr>
      <w:bookmarkStart w:id="20" w:name="_Toc481079474"/>
      <w:r>
        <w:rPr>
          <w:rFonts w:ascii="Arial" w:hAnsi="Arial" w:eastAsia="宋体" w:cs="Arial"/>
          <w:lang w:eastAsia="zh-CN"/>
        </w:rPr>
        <w:t>动物试验</w:t>
      </w:r>
      <w:bookmarkEnd w:id="20"/>
    </w:p>
    <w:p w14:paraId="23E8D578">
      <w:pPr>
        <w:pStyle w:val="4"/>
        <w:tabs>
          <w:tab w:val="left" w:pos="440"/>
        </w:tabs>
        <w:snapToGrid w:val="0"/>
        <w:spacing w:line="300" w:lineRule="auto"/>
        <w:ind w:firstLine="0"/>
        <w:jc w:val="both"/>
        <w:rPr>
          <w:rFonts w:ascii="Arial" w:hAnsi="Arial" w:eastAsia="宋体" w:cs="Arial"/>
          <w:lang w:eastAsia="zh-CN"/>
        </w:rPr>
      </w:pPr>
    </w:p>
    <w:p w14:paraId="0C0A9FE6">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在模拟使用条件下适当使用体内或离体模型评估美容用聚焦超声刺激系统的功能和安全性。研究应表征剂量依赖性组织效应，并允许评估能量意外沉积到远端和/或周围非目标组织中的可能性。除缓解意外将剂量递送至非目标组织的风险外，还应当提供证据证明预期组织效应限于严格确定的目标区域。试验方案还应模拟实际使用条件并证明系统的功能性能力，创建所需的一系列处理区域，例如，使用10-100 ms最小能量曝光的大约1 mm</w:t>
      </w:r>
      <w:r>
        <w:rPr>
          <w:rFonts w:ascii="Arial" w:hAnsi="Arial" w:eastAsia="宋体" w:cs="Arial"/>
          <w:sz w:val="21"/>
          <w:szCs w:val="21"/>
          <w:vertAlign w:val="superscript"/>
          <w:lang w:eastAsia="zh-CN"/>
        </w:rPr>
        <w:t>3</w:t>
      </w:r>
      <w:r>
        <w:rPr>
          <w:rFonts w:ascii="Arial" w:hAnsi="Arial" w:eastAsia="宋体" w:cs="Arial"/>
          <w:sz w:val="21"/>
          <w:szCs w:val="21"/>
          <w:lang w:eastAsia="zh-CN"/>
        </w:rPr>
        <w:t>的区域。</w:t>
      </w:r>
    </w:p>
    <w:p w14:paraId="7FC3B73E">
      <w:pPr>
        <w:snapToGrid w:val="0"/>
        <w:spacing w:before="4" w:line="300" w:lineRule="auto"/>
        <w:jc w:val="both"/>
        <w:rPr>
          <w:rFonts w:ascii="Arial" w:hAnsi="Arial" w:eastAsia="宋体" w:cs="Arial"/>
          <w:sz w:val="21"/>
          <w:szCs w:val="21"/>
          <w:lang w:eastAsia="zh-CN"/>
        </w:rPr>
      </w:pPr>
    </w:p>
    <w:p w14:paraId="1259B4F2">
      <w:pPr>
        <w:snapToGrid w:val="0"/>
        <w:spacing w:line="300" w:lineRule="auto"/>
        <w:jc w:val="both"/>
        <w:rPr>
          <w:rFonts w:ascii="Arial" w:hAnsi="Arial" w:eastAsia="宋体" w:cs="Arial"/>
          <w:sz w:val="21"/>
          <w:szCs w:val="21"/>
          <w:lang w:eastAsia="zh-CN"/>
        </w:rPr>
      </w:pPr>
      <w:bookmarkStart w:id="21" w:name="_bookmark7"/>
      <w:bookmarkEnd w:id="21"/>
      <w:r>
        <w:rPr>
          <w:rFonts w:ascii="Arial" w:hAnsi="Arial" w:eastAsia="宋体" w:cs="Arial"/>
          <w:sz w:val="21"/>
          <w:szCs w:val="21"/>
          <w:lang w:eastAsia="zh-CN"/>
        </w:rPr>
        <w:t>进行临床前动物研究时应遵循人文关怀和使用的现代规范（请参见附录A），包括在研究的所有阶段维持详细的兽医医疗记录、适当的人员培训和适当控制以减少感染、疼痛和痛苦，以及其他实验混杂因素。也应实施与改进、减少一致并存有经确认模型的适当标准操作程序。</w:t>
      </w:r>
      <w:r>
        <w:rPr>
          <w:rFonts w:ascii="Arial" w:hAnsi="Arial" w:eastAsia="宋体" w:cs="Arial"/>
          <w:sz w:val="21"/>
          <w:szCs w:val="21"/>
          <w:vertAlign w:val="superscript"/>
          <w:lang w:eastAsia="zh-CN"/>
        </w:rPr>
        <w:t>4</w:t>
      </w:r>
      <w:r>
        <w:rPr>
          <w:rFonts w:ascii="Arial" w:hAnsi="Arial" w:eastAsia="宋体" w:cs="Arial"/>
          <w:sz w:val="21"/>
          <w:szCs w:val="21"/>
          <w:lang w:eastAsia="zh-CN"/>
        </w:rPr>
        <w:t xml:space="preserve"> FDA还要求，用于支持上市和研究申请的动物研究应按照非临床实验室研究良好实验室规范进行（21 CFR第58部分）。</w:t>
      </w:r>
    </w:p>
    <w:p w14:paraId="44B5712D">
      <w:pPr>
        <w:snapToGrid w:val="0"/>
        <w:spacing w:line="300" w:lineRule="auto"/>
        <w:jc w:val="both"/>
        <w:rPr>
          <w:rFonts w:ascii="Arial" w:hAnsi="Arial" w:eastAsia="宋体" w:cs="Arial"/>
          <w:sz w:val="24"/>
          <w:szCs w:val="24"/>
          <w:lang w:eastAsia="zh-CN"/>
        </w:rPr>
      </w:pPr>
    </w:p>
    <w:p w14:paraId="76482E9F">
      <w:pPr>
        <w:snapToGrid w:val="0"/>
        <w:spacing w:before="9" w:line="300" w:lineRule="auto"/>
        <w:jc w:val="both"/>
        <w:rPr>
          <w:rFonts w:ascii="Arial" w:hAnsi="Arial" w:eastAsia="宋体" w:cs="Arial"/>
          <w:sz w:val="12"/>
          <w:szCs w:val="12"/>
          <w:lang w:eastAsia="zh-CN"/>
        </w:rPr>
      </w:pPr>
    </w:p>
    <w:p w14:paraId="4A316EC4">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1"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2" name="Group 12"/>
                        <wpg:cNvGrpSpPr/>
                        <wpg:grpSpPr>
                          <a:xfrm>
                            <a:off x="6" y="6"/>
                            <a:ext cx="2880" cy="2"/>
                            <a:chOff x="6" y="6"/>
                            <a:chExt cx="2880" cy="2"/>
                          </a:xfrm>
                        </wpg:grpSpPr>
                        <wps:wsp>
                          <wps:cNvPr id="13" name="Freeform 13"/>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A/oSF1AAAAAMBAAAPAAAA&#10;AAAAAAEAIAAAACIAAABkcnMvZG93bnJldi54bWxQSwECFAAUAAAACACHTuJA4BYtzzYDAAAqCAAA&#10;DgAAAAAAAAABACAAAAAjAQAAZHJzL2Uyb0RvYy54bWxQSwUGAAAAAAYABgBZAQAAywYAAAAA&#10;">
                <o:lock v:ext="edit" aspectratio="f"/>
                <v:group id="Group 12" o:spid="_x0000_s1026" o:spt="203" style="position:absolute;left:6;top:6;height:2;width:2880;" coordorigin="6,6" coordsize="2880,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13" o:spid="_x0000_s1026" o:spt="100" style="position:absolute;left:36;top:36;height:0;width:2880;" filled="f" stroked="t" coordsize="2880,1" o:gfxdata="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0BSr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5732958">
      <w:pPr>
        <w:snapToGrid w:val="0"/>
        <w:spacing w:before="70" w:line="300" w:lineRule="auto"/>
        <w:ind w:left="120"/>
        <w:jc w:val="both"/>
        <w:rPr>
          <w:rFonts w:ascii="Arial" w:hAnsi="Arial" w:eastAsia="宋体" w:cs="Arial"/>
          <w:sz w:val="13"/>
          <w:szCs w:val="13"/>
        </w:rPr>
      </w:pPr>
      <w:bookmarkStart w:id="22" w:name="_bookmark6"/>
      <w:bookmarkEnd w:id="22"/>
      <w:r>
        <w:rPr>
          <w:rFonts w:ascii="Arial" w:hAnsi="Arial" w:eastAsia="宋体" w:cs="Arial"/>
          <w:w w:val="99"/>
          <w:sz w:val="13"/>
        </w:rPr>
        <w:t>3</w:t>
      </w:r>
    </w:p>
    <w:p w14:paraId="0E061480">
      <w:pPr>
        <w:snapToGrid w:val="0"/>
        <w:spacing w:before="105" w:line="300" w:lineRule="auto"/>
        <w:ind w:left="120"/>
        <w:jc w:val="both"/>
        <w:rPr>
          <w:rFonts w:ascii="Arial" w:hAnsi="Arial" w:eastAsia="宋体" w:cs="Arial"/>
          <w:sz w:val="20"/>
          <w:szCs w:val="20"/>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sz w:val="20"/>
          <w:u w:val="single" w:color="0000FF"/>
        </w:rPr>
        <w:t>http://www.fda.gov/MedicalDevices/DeviceRegulationandGuidance/GuidanceDocuments/ucm089543.htm</w:t>
      </w:r>
      <w:r>
        <w:rPr>
          <w:rFonts w:ascii="Arial" w:hAnsi="Arial" w:eastAsia="宋体" w:cs="Arial"/>
          <w:color w:val="0000FF"/>
          <w:sz w:val="20"/>
          <w:u w:val="single" w:color="0000FF"/>
        </w:rPr>
        <w:fldChar w:fldCharType="end"/>
      </w:r>
    </w:p>
    <w:p w14:paraId="1A4D2BD3">
      <w:pPr>
        <w:snapToGrid w:val="0"/>
        <w:spacing w:line="300" w:lineRule="auto"/>
        <w:jc w:val="both"/>
        <w:rPr>
          <w:rFonts w:ascii="Arial" w:hAnsi="Arial" w:eastAsia="宋体" w:cs="Arial"/>
          <w:sz w:val="20"/>
          <w:szCs w:val="20"/>
        </w:rPr>
      </w:pPr>
    </w:p>
    <w:p w14:paraId="1D96EF68">
      <w:pPr>
        <w:rPr>
          <w:rFonts w:ascii="Arial" w:hAnsi="Arial" w:eastAsia="宋体" w:cs="Arial"/>
          <w:sz w:val="20"/>
          <w:szCs w:val="20"/>
        </w:rPr>
      </w:pPr>
      <w:r>
        <w:rPr>
          <w:rFonts w:ascii="Arial" w:hAnsi="Arial" w:eastAsia="宋体" w:cs="Arial"/>
          <w:sz w:val="20"/>
          <w:szCs w:val="20"/>
        </w:rPr>
        <w:br w:type="page"/>
      </w:r>
    </w:p>
    <w:p w14:paraId="37C01827">
      <w:pPr>
        <w:pStyle w:val="4"/>
        <w:numPr>
          <w:ilvl w:val="0"/>
          <w:numId w:val="1"/>
        </w:numPr>
        <w:tabs>
          <w:tab w:val="left" w:pos="440"/>
        </w:tabs>
        <w:snapToGrid w:val="0"/>
        <w:spacing w:line="300" w:lineRule="auto"/>
        <w:ind w:left="439" w:hanging="319"/>
        <w:jc w:val="both"/>
        <w:rPr>
          <w:rFonts w:ascii="Arial" w:hAnsi="Arial" w:eastAsia="宋体" w:cs="Arial"/>
          <w:b w:val="0"/>
          <w:bCs w:val="0"/>
        </w:rPr>
      </w:pPr>
      <w:bookmarkStart w:id="23" w:name="_Toc481079475"/>
      <w:r>
        <w:rPr>
          <w:rFonts w:ascii="Arial" w:hAnsi="Arial" w:eastAsia="宋体" w:cs="Arial"/>
          <w:lang w:eastAsia="zh-CN"/>
        </w:rPr>
        <w:t>临床试验</w:t>
      </w:r>
      <w:bookmarkEnd w:id="23"/>
    </w:p>
    <w:p w14:paraId="28823E20">
      <w:pPr>
        <w:snapToGrid w:val="0"/>
        <w:spacing w:line="300" w:lineRule="auto"/>
        <w:jc w:val="both"/>
        <w:rPr>
          <w:rFonts w:ascii="Arial" w:hAnsi="Arial" w:eastAsia="宋体" w:cs="Arial"/>
          <w:lang w:eastAsia="zh-CN"/>
        </w:rPr>
      </w:pPr>
    </w:p>
    <w:p w14:paraId="36C320EB">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根据FD＆C法案，本审查机构将依据精心设计的台架和/或动物试验，而无需对新器械进行临床研究（除非有特定的理由要求提供临床信息以支持实质等同性测定）。虽然一般来说，对于大多数美容用聚焦超声刺激系统可能无需进行临床研究，但FDA可能建议贵公司就以下任何方面收集美容用聚焦超声刺激系统的临床数据：</w:t>
      </w:r>
    </w:p>
    <w:p w14:paraId="0BC19622">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与合法销售的同类系统不同的适应症；</w:t>
      </w:r>
    </w:p>
    <w:p w14:paraId="1CA958D1">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与先前已根据上市前通告批准的设计不同的设计；或者</w:t>
      </w:r>
    </w:p>
    <w:p w14:paraId="27C101D3">
      <w:pPr>
        <w:pStyle w:val="29"/>
        <w:numPr>
          <w:ilvl w:val="1"/>
          <w:numId w:val="1"/>
        </w:numPr>
        <w:tabs>
          <w:tab w:val="left" w:pos="912"/>
        </w:tabs>
        <w:snapToGrid w:val="0"/>
        <w:spacing w:before="116" w:line="300" w:lineRule="auto"/>
        <w:jc w:val="both"/>
        <w:rPr>
          <w:rFonts w:ascii="Arial" w:hAnsi="Arial" w:eastAsia="宋体" w:cs="Arial"/>
          <w:sz w:val="21"/>
          <w:szCs w:val="21"/>
          <w:lang w:eastAsia="zh-CN"/>
        </w:rPr>
      </w:pPr>
      <w:r>
        <w:rPr>
          <w:rFonts w:ascii="Arial" w:hAnsi="Arial" w:eastAsia="宋体" w:cs="Arial"/>
          <w:sz w:val="21"/>
          <w:szCs w:val="21"/>
          <w:lang w:eastAsia="zh-CN"/>
        </w:rPr>
        <w:t>新技术，即与在合法销售的美容用聚焦超声刺激系统中所用技术不同的技术。</w:t>
      </w:r>
    </w:p>
    <w:p w14:paraId="4948887E">
      <w:pPr>
        <w:snapToGrid w:val="0"/>
        <w:spacing w:line="300" w:lineRule="auto"/>
        <w:jc w:val="both"/>
        <w:rPr>
          <w:rFonts w:ascii="Arial" w:hAnsi="Arial" w:eastAsia="宋体" w:cs="Arial"/>
          <w:sz w:val="21"/>
          <w:szCs w:val="21"/>
          <w:lang w:eastAsia="zh-CN"/>
        </w:rPr>
      </w:pPr>
    </w:p>
    <w:p w14:paraId="1E86BF6B">
      <w:pPr>
        <w:pStyle w:val="8"/>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如果拟定替代方案有适当的科学依据支持，FDA将考虑临床试验的替代方案。还要注意，对于任何上市前通告，任何可引起新类型安全性或有效性问题的新预期用途或技术差异可能成为证明贵公司的器械不具实质等同性（NSE）的理由。</w:t>
      </w:r>
    </w:p>
    <w:p w14:paraId="720F18A2">
      <w:pPr>
        <w:pStyle w:val="8"/>
        <w:snapToGrid w:val="0"/>
        <w:spacing w:line="300" w:lineRule="auto"/>
        <w:jc w:val="both"/>
        <w:rPr>
          <w:rFonts w:ascii="Arial" w:hAnsi="Arial" w:eastAsia="宋体" w:cs="Arial"/>
          <w:sz w:val="21"/>
          <w:szCs w:val="21"/>
          <w:lang w:eastAsia="zh-CN"/>
        </w:rPr>
      </w:pPr>
    </w:p>
    <w:p w14:paraId="47BE8932">
      <w:pPr>
        <w:pStyle w:val="8"/>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果需要进行临床研究，我们建议贵公司评估特定美容用聚焦超声刺激系统的安全性和有效性，证明当用于拟定适应症并按照拟定使用条件（包括适当的使用说明和有关标签中标注的不安全使用的警告）进行使用时，其在大多数目标人群中实现预期美容效果。我们建议贵公司使用任何临床研究来确认通过台架试验和动物试验确定器械的安全性。</w:t>
      </w:r>
    </w:p>
    <w:p w14:paraId="03B21CEB">
      <w:pPr>
        <w:pStyle w:val="8"/>
        <w:snapToGrid w:val="0"/>
        <w:spacing w:line="300" w:lineRule="auto"/>
        <w:jc w:val="both"/>
        <w:rPr>
          <w:rFonts w:ascii="Arial" w:hAnsi="Arial" w:eastAsia="宋体" w:cs="Arial"/>
          <w:sz w:val="21"/>
          <w:szCs w:val="21"/>
          <w:lang w:eastAsia="zh-CN"/>
        </w:rPr>
      </w:pPr>
    </w:p>
    <w:p w14:paraId="6F1E97CA">
      <w:pPr>
        <w:pStyle w:val="8"/>
        <w:snapToGrid w:val="0"/>
        <w:spacing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如果需要进行临床研究来证明实质等同性，即在获得器械的510（k）许可文件之前须进行临床研究，则研究必须根据器械临床研究豁免（IDE）法规，21CFR第812部分进行。我们认为本指导性文件所述的系统是21 CFR 812.3（m）</w:t>
      </w:r>
      <w:r>
        <w:rPr>
          <w:rFonts w:ascii="Arial" w:hAnsi="Arial" w:eastAsia="宋体" w:cs="Arial"/>
          <w:sz w:val="21"/>
          <w:szCs w:val="21"/>
          <w:vertAlign w:val="superscript"/>
          <w:lang w:eastAsia="zh-CN"/>
        </w:rPr>
        <w:t>5</w:t>
      </w:r>
      <w:r>
        <w:rPr>
          <w:rFonts w:ascii="Arial" w:hAnsi="Arial" w:eastAsia="宋体" w:cs="Arial"/>
          <w:sz w:val="21"/>
          <w:szCs w:val="21"/>
          <w:lang w:eastAsia="zh-CN"/>
        </w:rPr>
        <w:t>中定义的重大风险器械。除需要具有FDA批准的IDE外，此类试验的申办方必须遵守关于机构审查委员会（21 CFR第56部分）和知情同意（21 CFR第50部分）的法规。</w:t>
      </w:r>
    </w:p>
    <w:p w14:paraId="4D51257F">
      <w:pPr>
        <w:pStyle w:val="8"/>
        <w:snapToGrid w:val="0"/>
        <w:spacing w:line="300" w:lineRule="auto"/>
        <w:jc w:val="both"/>
        <w:rPr>
          <w:rFonts w:ascii="Arial" w:hAnsi="Arial" w:eastAsia="宋体" w:cs="Arial"/>
          <w:lang w:eastAsia="zh-CN"/>
        </w:rPr>
      </w:pPr>
    </w:p>
    <w:p w14:paraId="3D186256">
      <w:pPr>
        <w:snapToGrid w:val="0"/>
        <w:spacing w:line="300" w:lineRule="auto"/>
        <w:jc w:val="both"/>
        <w:rPr>
          <w:rFonts w:ascii="Arial" w:hAnsi="Arial" w:eastAsia="宋体" w:cs="Arial"/>
          <w:sz w:val="20"/>
          <w:szCs w:val="20"/>
          <w:lang w:eastAsia="zh-CN"/>
        </w:rPr>
      </w:pPr>
    </w:p>
    <w:p w14:paraId="6B8157FA">
      <w:pPr>
        <w:snapToGrid w:val="0"/>
        <w:spacing w:before="6" w:line="300" w:lineRule="auto"/>
        <w:jc w:val="both"/>
        <w:rPr>
          <w:rFonts w:ascii="Arial" w:hAnsi="Arial" w:eastAsia="宋体" w:cs="Arial"/>
          <w:sz w:val="26"/>
          <w:szCs w:val="26"/>
          <w:lang w:eastAsia="zh-CN"/>
        </w:rPr>
      </w:pPr>
    </w:p>
    <w:p w14:paraId="555B5DE7">
      <w:pPr>
        <w:snapToGrid w:val="0"/>
        <w:spacing w:before="6" w:line="300" w:lineRule="auto"/>
        <w:jc w:val="both"/>
        <w:rPr>
          <w:rFonts w:ascii="Arial" w:hAnsi="Arial" w:eastAsia="宋体" w:cs="Arial"/>
          <w:sz w:val="26"/>
          <w:szCs w:val="26"/>
          <w:lang w:eastAsia="zh-CN"/>
        </w:rPr>
      </w:pPr>
    </w:p>
    <w:p w14:paraId="2D2E55E3">
      <w:pPr>
        <w:snapToGrid w:val="0"/>
        <w:spacing w:before="6" w:line="300" w:lineRule="auto"/>
        <w:jc w:val="both"/>
        <w:rPr>
          <w:rFonts w:ascii="Arial" w:hAnsi="Arial" w:eastAsia="宋体" w:cs="Arial"/>
          <w:sz w:val="26"/>
          <w:szCs w:val="26"/>
          <w:lang w:eastAsia="zh-CN"/>
        </w:rPr>
      </w:pPr>
    </w:p>
    <w:p w14:paraId="65A1BFAD">
      <w:pPr>
        <w:snapToGrid w:val="0"/>
        <w:spacing w:before="6" w:line="300" w:lineRule="auto"/>
        <w:jc w:val="both"/>
        <w:rPr>
          <w:rFonts w:ascii="Arial" w:hAnsi="Arial" w:eastAsia="宋体" w:cs="Arial"/>
          <w:sz w:val="26"/>
          <w:szCs w:val="26"/>
          <w:lang w:eastAsia="zh-CN"/>
        </w:rPr>
      </w:pPr>
    </w:p>
    <w:p w14:paraId="0943445D">
      <w:pPr>
        <w:snapToGrid w:val="0"/>
        <w:spacing w:before="6" w:line="300" w:lineRule="auto"/>
        <w:jc w:val="both"/>
        <w:rPr>
          <w:rFonts w:ascii="Arial" w:hAnsi="Arial" w:eastAsia="宋体" w:cs="Arial"/>
          <w:sz w:val="26"/>
          <w:szCs w:val="26"/>
          <w:lang w:eastAsia="zh-CN"/>
        </w:rPr>
      </w:pPr>
    </w:p>
    <w:p w14:paraId="74A26891">
      <w:pPr>
        <w:snapToGrid w:val="0"/>
        <w:spacing w:before="6" w:line="300" w:lineRule="auto"/>
        <w:jc w:val="both"/>
        <w:rPr>
          <w:rFonts w:ascii="Arial" w:hAnsi="Arial" w:eastAsia="宋体" w:cs="Arial"/>
          <w:sz w:val="26"/>
          <w:szCs w:val="26"/>
          <w:lang w:eastAsia="zh-CN"/>
        </w:rPr>
      </w:pPr>
    </w:p>
    <w:p w14:paraId="15927924">
      <w:pPr>
        <w:snapToGrid w:val="0"/>
        <w:spacing w:before="6" w:line="300" w:lineRule="auto"/>
        <w:jc w:val="both"/>
        <w:rPr>
          <w:rFonts w:ascii="Arial" w:hAnsi="Arial" w:eastAsia="宋体" w:cs="Arial"/>
          <w:sz w:val="26"/>
          <w:szCs w:val="26"/>
          <w:lang w:eastAsia="zh-CN"/>
        </w:rPr>
      </w:pPr>
    </w:p>
    <w:p w14:paraId="5C1910BF">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8"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9" name="Group 9"/>
                        <wpg:cNvGrpSpPr/>
                        <wpg:grpSpPr>
                          <a:xfrm>
                            <a:off x="6" y="6"/>
                            <a:ext cx="2880" cy="2"/>
                            <a:chOff x="6" y="6"/>
                            <a:chExt cx="2880" cy="2"/>
                          </a:xfrm>
                        </wpg:grpSpPr>
                        <wps:wsp>
                          <wps:cNvPr id="10" name="Freeform 10"/>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D+hIXUAAAAAwEAAA8AAAAA&#10;AAAAAQAgAAAAIgAAAGRycy9kb3ducmV2LnhtbFBLAQIUABQAAAAIAIdO4kBqx1ZVNQMAACYIAAAO&#10;AAAAAAAAAAEAIAAAACMBAABkcnMvZTJvRG9jLnhtbFBLBQYAAAAABgAGAFkBAADKBgAAAAA=&#10;">
                <o:lock v:ext="edit" aspectratio="f"/>
                <v:group id="Group 9" o:spid="_x0000_s1026" o:spt="203" style="position:absolute;left:6;top:6;height:2;width:2880;" coordorigin="6,6" coordsize="2880,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0" o:spid="_x0000_s1026" o:spt="100" style="position:absolute;left:36;top:36;height:0;width:2880;" filled="f" stroked="t" coordsize="2880,1" o:gfxdata="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589vQAA&#10;ANsAAAAPAAAAAAAAAAEAIAAAACIAAABkcnMvZG93bnJldi54bWxQSwECFAAUAAAACACHTuJAMy8F&#10;njsAAAA5AAAAEAAAAAAAAAABACAAAAAMAQAAZHJzL3NoYXBleG1sLnhtbFBLBQYAAAAABgAGAFsB&#10;AAC2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50B6C2BA">
      <w:pPr>
        <w:pStyle w:val="8"/>
        <w:snapToGrid w:val="0"/>
        <w:spacing w:line="300" w:lineRule="auto"/>
        <w:jc w:val="both"/>
        <w:rPr>
          <w:rFonts w:ascii="Arial" w:hAnsi="Arial" w:eastAsia="宋体" w:cs="Arial"/>
          <w:sz w:val="20"/>
          <w:szCs w:val="22"/>
        </w:rPr>
      </w:pPr>
      <w:bookmarkStart w:id="24" w:name="_bookmark8"/>
      <w:bookmarkEnd w:id="24"/>
      <w:r>
        <w:rPr>
          <w:rFonts w:ascii="Arial" w:hAnsi="Arial" w:eastAsia="宋体" w:cs="Arial"/>
          <w:sz w:val="20"/>
          <w:szCs w:val="22"/>
          <w:vertAlign w:val="superscript"/>
        </w:rPr>
        <w:t>4</w:t>
      </w:r>
      <w:r>
        <w:rPr>
          <w:rFonts w:ascii="Arial" w:hAnsi="Arial" w:eastAsia="宋体" w:cs="Arial"/>
          <w:sz w:val="20"/>
          <w:szCs w:val="22"/>
        </w:rPr>
        <w:t xml:space="preserve"> ANSI / AAMI / ISO 10993-2：2006：医疗器械的生物学评价 - 第2部分：动物福利法</w:t>
      </w:r>
    </w:p>
    <w:p w14:paraId="19D56DB0">
      <w:pPr>
        <w:pStyle w:val="8"/>
        <w:snapToGrid w:val="0"/>
        <w:spacing w:line="300" w:lineRule="auto"/>
        <w:jc w:val="both"/>
        <w:rPr>
          <w:rFonts w:ascii="Arial" w:hAnsi="Arial" w:eastAsia="宋体" w:cs="Arial"/>
          <w:sz w:val="20"/>
          <w:szCs w:val="22"/>
        </w:rPr>
      </w:pPr>
      <w:r>
        <w:rPr>
          <w:rFonts w:ascii="Arial" w:hAnsi="Arial" w:eastAsia="宋体" w:cs="Arial"/>
          <w:sz w:val="20"/>
          <w:szCs w:val="22"/>
        </w:rPr>
        <w:t>以及Russell, W.M.S. 和 Burch, R.L.</w:t>
      </w:r>
      <w:r>
        <w:rPr>
          <w:rFonts w:ascii="Arial" w:hAnsi="Arial" w:eastAsia="宋体" w:cs="Arial"/>
          <w:sz w:val="20"/>
          <w:szCs w:val="22"/>
          <w:lang w:eastAsia="zh-CN"/>
        </w:rPr>
        <w:t xml:space="preserve"> </w:t>
      </w:r>
      <w:r>
        <w:rPr>
          <w:rFonts w:ascii="Arial" w:hAnsi="Arial" w:eastAsia="宋体" w:cs="Arial"/>
          <w:sz w:val="20"/>
          <w:szCs w:val="22"/>
        </w:rPr>
        <w:t>“人类实验技术原理”。Methuen，London，1959.转载于UFAW，1992：8 Hamilton Close，South Mimms，Potters Bar，Herts EN6 3QD England。ISBN 0 900767 78 2</w:t>
      </w:r>
    </w:p>
    <w:p w14:paraId="59934E59">
      <w:pPr>
        <w:rPr>
          <w:rFonts w:ascii="Arial" w:hAnsi="Arial" w:eastAsia="宋体" w:cs="Arial"/>
          <w:sz w:val="20"/>
          <w:lang w:eastAsia="zh-CN"/>
        </w:rPr>
      </w:pPr>
      <w:bookmarkStart w:id="25" w:name="_bookmark9"/>
      <w:bookmarkEnd w:id="25"/>
      <w:r>
        <w:rPr>
          <w:rFonts w:ascii="Arial" w:hAnsi="Arial" w:eastAsia="宋体" w:cs="Arial"/>
          <w:sz w:val="20"/>
          <w:lang w:eastAsia="zh-CN"/>
        </w:rPr>
        <w:br w:type="page"/>
      </w:r>
    </w:p>
    <w:p w14:paraId="3F32378C">
      <w:pPr>
        <w:pStyle w:val="4"/>
        <w:numPr>
          <w:ilvl w:val="0"/>
          <w:numId w:val="1"/>
        </w:numPr>
        <w:tabs>
          <w:tab w:val="left" w:pos="601"/>
        </w:tabs>
        <w:snapToGrid w:val="0"/>
        <w:spacing w:line="300" w:lineRule="auto"/>
        <w:ind w:left="600" w:hanging="480"/>
        <w:jc w:val="both"/>
        <w:rPr>
          <w:rFonts w:ascii="Arial" w:hAnsi="Arial" w:eastAsia="宋体" w:cs="Arial"/>
          <w:b w:val="0"/>
          <w:bCs w:val="0"/>
        </w:rPr>
      </w:pPr>
      <w:bookmarkStart w:id="26" w:name="_Toc481079476"/>
      <w:r>
        <w:rPr>
          <w:rFonts w:ascii="Arial" w:hAnsi="Arial" w:eastAsia="宋体" w:cs="Arial"/>
          <w:lang w:eastAsia="zh-CN"/>
        </w:rPr>
        <w:t>生物相容性</w:t>
      </w:r>
      <w:bookmarkEnd w:id="26"/>
    </w:p>
    <w:p w14:paraId="7A53EF02">
      <w:pPr>
        <w:pStyle w:val="8"/>
        <w:snapToGrid w:val="0"/>
        <w:spacing w:before="274"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我们建议贵公司根据国际标准化机构（ISO）标准ISO 10993-1，医疗器械的生物学评估第1部分：用于与完整外部身体表面间歇性外部接触的评估和试验来评估器械的生物相容性。如果比较器械具有相同类型和患者接触时间并使用了相同的材</w:t>
      </w:r>
      <w:r>
        <w:rPr>
          <w:rFonts w:ascii="Arial" w:hAnsi="Arial" w:eastAsia="MS Mincho" w:cs="Arial"/>
          <w:sz w:val="21"/>
          <w:szCs w:val="21"/>
          <w:lang w:eastAsia="zh-CN"/>
        </w:rPr>
        <w:t>​​</w:t>
      </w:r>
      <w:r>
        <w:rPr>
          <w:rFonts w:ascii="Arial" w:hAnsi="Arial" w:eastAsia="宋体" w:cs="Arial"/>
          <w:sz w:val="21"/>
          <w:szCs w:val="21"/>
          <w:lang w:eastAsia="zh-CN"/>
        </w:rPr>
        <w:t>料和相同的材料处理，则贵公司可以标识比较器械，替代执行生物相容性试验。</w:t>
      </w:r>
    </w:p>
    <w:p w14:paraId="76B7D569">
      <w:pPr>
        <w:snapToGrid w:val="0"/>
        <w:spacing w:before="3" w:line="300" w:lineRule="auto"/>
        <w:jc w:val="both"/>
        <w:rPr>
          <w:rFonts w:ascii="Arial" w:hAnsi="Arial" w:eastAsia="宋体" w:cs="Arial"/>
          <w:sz w:val="21"/>
          <w:szCs w:val="21"/>
          <w:lang w:eastAsia="zh-CN"/>
        </w:rPr>
      </w:pPr>
    </w:p>
    <w:p w14:paraId="31013DB2">
      <w:pPr>
        <w:pStyle w:val="4"/>
        <w:numPr>
          <w:ilvl w:val="0"/>
          <w:numId w:val="1"/>
        </w:numPr>
        <w:tabs>
          <w:tab w:val="left" w:pos="601"/>
        </w:tabs>
        <w:snapToGrid w:val="0"/>
        <w:spacing w:line="300" w:lineRule="auto"/>
        <w:ind w:left="600" w:hanging="480"/>
        <w:jc w:val="both"/>
        <w:rPr>
          <w:rFonts w:ascii="Arial" w:hAnsi="Arial" w:eastAsia="宋体" w:cs="Arial"/>
          <w:lang w:eastAsia="zh-CN"/>
        </w:rPr>
      </w:pPr>
      <w:bookmarkStart w:id="27" w:name="_Toc481079477"/>
      <w:r>
        <w:rPr>
          <w:rFonts w:ascii="Arial" w:hAnsi="Arial" w:eastAsia="宋体" w:cs="Arial"/>
          <w:lang w:eastAsia="zh-CN"/>
        </w:rPr>
        <w:t>电磁相容性 （EMC）</w:t>
      </w:r>
      <w:bookmarkEnd w:id="27"/>
    </w:p>
    <w:p w14:paraId="440731E5">
      <w:pPr>
        <w:pStyle w:val="8"/>
        <w:snapToGrid w:val="0"/>
        <w:spacing w:before="273"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我们建议贵公司通过按照以下FDA认可的标准或等效方法执行EMC试验，证明器械的EMC。</w:t>
      </w:r>
    </w:p>
    <w:p w14:paraId="6311FBA0">
      <w:pPr>
        <w:snapToGrid w:val="0"/>
        <w:spacing w:before="5" w:line="300" w:lineRule="auto"/>
        <w:jc w:val="both"/>
        <w:rPr>
          <w:rFonts w:ascii="Arial" w:hAnsi="Arial" w:eastAsia="宋体" w:cs="Arial"/>
          <w:sz w:val="21"/>
          <w:szCs w:val="21"/>
          <w:lang w:eastAsia="zh-CN"/>
        </w:rPr>
      </w:pPr>
    </w:p>
    <w:p w14:paraId="43EF165F">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60601-1-2（第二版，2001年）医用电气设备 - 第1部分：安全性方面的一般要求；电磁相容性 - 要求和试验。</w:t>
      </w:r>
    </w:p>
    <w:p w14:paraId="1282489D">
      <w:pPr>
        <w:snapToGrid w:val="0"/>
        <w:spacing w:before="2" w:line="300" w:lineRule="auto"/>
        <w:jc w:val="both"/>
        <w:rPr>
          <w:rFonts w:ascii="Arial" w:hAnsi="Arial" w:eastAsia="宋体" w:cs="Arial"/>
          <w:sz w:val="21"/>
          <w:szCs w:val="21"/>
          <w:lang w:eastAsia="zh-CN"/>
        </w:rPr>
      </w:pPr>
    </w:p>
    <w:p w14:paraId="2B287698">
      <w:pPr>
        <w:pStyle w:val="4"/>
        <w:numPr>
          <w:ilvl w:val="0"/>
          <w:numId w:val="1"/>
        </w:numPr>
        <w:tabs>
          <w:tab w:val="left" w:pos="601"/>
        </w:tabs>
        <w:snapToGrid w:val="0"/>
        <w:spacing w:line="300" w:lineRule="auto"/>
        <w:ind w:left="600" w:hanging="480"/>
        <w:jc w:val="both"/>
        <w:rPr>
          <w:rFonts w:ascii="Arial" w:hAnsi="Arial" w:eastAsia="宋体" w:cs="Arial"/>
          <w:lang w:eastAsia="zh-CN"/>
        </w:rPr>
      </w:pPr>
      <w:bookmarkStart w:id="28" w:name="_Toc481079478"/>
      <w:r>
        <w:rPr>
          <w:rFonts w:ascii="Arial" w:hAnsi="Arial" w:eastAsia="宋体" w:cs="Arial"/>
          <w:lang w:eastAsia="zh-CN"/>
        </w:rPr>
        <w:t>电气与力学安全性能试验</w:t>
      </w:r>
      <w:bookmarkEnd w:id="28"/>
    </w:p>
    <w:p w14:paraId="0B774BC6">
      <w:pPr>
        <w:pStyle w:val="8"/>
        <w:snapToGrid w:val="0"/>
        <w:spacing w:before="274" w:line="300" w:lineRule="auto"/>
        <w:ind w:left="119"/>
        <w:jc w:val="both"/>
        <w:rPr>
          <w:rFonts w:ascii="Arial" w:hAnsi="Arial" w:eastAsia="宋体" w:cs="Arial"/>
          <w:sz w:val="21"/>
          <w:szCs w:val="21"/>
          <w:lang w:eastAsia="zh-CN"/>
        </w:rPr>
      </w:pPr>
      <w:r>
        <w:rPr>
          <w:rFonts w:ascii="Arial" w:hAnsi="Arial" w:eastAsia="宋体" w:cs="Arial"/>
          <w:sz w:val="21"/>
          <w:szCs w:val="21"/>
          <w:lang w:eastAsia="zh-CN"/>
        </w:rPr>
        <w:t>我们建议贵公司按照以下FDA认可的标准或等效方法执行电气和力学安全性能试验，证明器械的电气和力学安全性。</w:t>
      </w:r>
    </w:p>
    <w:p w14:paraId="7AA29530">
      <w:pPr>
        <w:snapToGrid w:val="0"/>
        <w:spacing w:before="5" w:line="300" w:lineRule="auto"/>
        <w:jc w:val="both"/>
        <w:rPr>
          <w:rFonts w:ascii="Arial" w:hAnsi="Arial" w:eastAsia="宋体" w:cs="Arial"/>
          <w:sz w:val="21"/>
          <w:szCs w:val="21"/>
          <w:lang w:eastAsia="zh-CN"/>
        </w:rPr>
      </w:pPr>
    </w:p>
    <w:p w14:paraId="4A423D5C">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60601-1，医用电气设备 - 第1部分：安全性方面的一般要求</w:t>
      </w:r>
    </w:p>
    <w:p w14:paraId="4A7E2049">
      <w:pPr>
        <w:pStyle w:val="29"/>
        <w:numPr>
          <w:ilvl w:val="1"/>
          <w:numId w:val="2"/>
        </w:numPr>
        <w:tabs>
          <w:tab w:val="left" w:pos="912"/>
        </w:tabs>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IEC 60601-2-37：2004-08超声波医疗诊断和监测设备安全性的特殊要求。</w:t>
      </w:r>
    </w:p>
    <w:p w14:paraId="381DD0B3">
      <w:pPr>
        <w:snapToGrid w:val="0"/>
        <w:spacing w:before="2" w:line="300" w:lineRule="auto"/>
        <w:jc w:val="both"/>
        <w:rPr>
          <w:rFonts w:ascii="Arial" w:hAnsi="Arial" w:eastAsia="宋体" w:cs="Arial"/>
          <w:lang w:eastAsia="zh-CN"/>
        </w:rPr>
      </w:pPr>
    </w:p>
    <w:p w14:paraId="6F966629">
      <w:pPr>
        <w:snapToGrid w:val="0"/>
        <w:spacing w:before="2" w:line="300" w:lineRule="auto"/>
        <w:jc w:val="both"/>
        <w:rPr>
          <w:rFonts w:ascii="Arial" w:hAnsi="Arial" w:eastAsia="宋体" w:cs="Arial"/>
          <w:lang w:eastAsia="zh-CN"/>
        </w:rPr>
      </w:pPr>
    </w:p>
    <w:p w14:paraId="77DA2070">
      <w:pPr>
        <w:snapToGrid w:val="0"/>
        <w:spacing w:before="2" w:line="300" w:lineRule="auto"/>
        <w:jc w:val="both"/>
        <w:rPr>
          <w:rFonts w:ascii="Arial" w:hAnsi="Arial" w:eastAsia="宋体" w:cs="Arial"/>
          <w:lang w:eastAsia="zh-CN"/>
        </w:rPr>
      </w:pPr>
    </w:p>
    <w:p w14:paraId="48F88A63">
      <w:pPr>
        <w:snapToGrid w:val="0"/>
        <w:spacing w:before="2" w:line="300" w:lineRule="auto"/>
        <w:jc w:val="both"/>
        <w:rPr>
          <w:rFonts w:ascii="Arial" w:hAnsi="Arial" w:eastAsia="宋体" w:cs="Arial"/>
          <w:lang w:eastAsia="zh-CN"/>
        </w:rPr>
      </w:pPr>
    </w:p>
    <w:p w14:paraId="01E1CC6A">
      <w:pPr>
        <w:snapToGrid w:val="0"/>
        <w:spacing w:before="2" w:line="300" w:lineRule="auto"/>
        <w:jc w:val="both"/>
        <w:rPr>
          <w:rFonts w:ascii="Arial" w:hAnsi="Arial" w:eastAsia="宋体" w:cs="Arial"/>
          <w:lang w:eastAsia="zh-CN"/>
        </w:rPr>
      </w:pPr>
    </w:p>
    <w:p w14:paraId="4E6BA6D2">
      <w:pPr>
        <w:snapToGrid w:val="0"/>
        <w:spacing w:before="2" w:line="300" w:lineRule="auto"/>
        <w:jc w:val="both"/>
        <w:rPr>
          <w:rFonts w:ascii="Arial" w:hAnsi="Arial" w:eastAsia="宋体" w:cs="Arial"/>
          <w:lang w:eastAsia="zh-CN"/>
        </w:rPr>
      </w:pPr>
    </w:p>
    <w:p w14:paraId="12EB957E">
      <w:pPr>
        <w:snapToGrid w:val="0"/>
        <w:spacing w:before="2" w:line="300" w:lineRule="auto"/>
        <w:jc w:val="both"/>
        <w:rPr>
          <w:rFonts w:ascii="Arial" w:hAnsi="Arial" w:eastAsia="宋体" w:cs="Arial"/>
          <w:lang w:eastAsia="zh-CN"/>
        </w:rPr>
      </w:pPr>
    </w:p>
    <w:p w14:paraId="1C105F9C">
      <w:pPr>
        <w:snapToGrid w:val="0"/>
        <w:spacing w:before="2" w:line="300" w:lineRule="auto"/>
        <w:jc w:val="both"/>
        <w:rPr>
          <w:rFonts w:ascii="Arial" w:hAnsi="Arial" w:eastAsia="宋体" w:cs="Arial"/>
          <w:lang w:eastAsia="zh-CN"/>
        </w:rPr>
      </w:pPr>
    </w:p>
    <w:p w14:paraId="3B30A409">
      <w:pPr>
        <w:snapToGrid w:val="0"/>
        <w:spacing w:before="2" w:line="300" w:lineRule="auto"/>
        <w:jc w:val="both"/>
        <w:rPr>
          <w:rFonts w:ascii="Arial" w:hAnsi="Arial" w:eastAsia="宋体" w:cs="Arial"/>
          <w:lang w:eastAsia="zh-CN"/>
        </w:rPr>
      </w:pPr>
    </w:p>
    <w:p w14:paraId="5411C83B">
      <w:pPr>
        <w:snapToGrid w:val="0"/>
        <w:spacing w:before="2" w:line="300" w:lineRule="auto"/>
        <w:jc w:val="both"/>
        <w:rPr>
          <w:rFonts w:ascii="Arial" w:hAnsi="Arial" w:eastAsia="宋体" w:cs="Arial"/>
          <w:lang w:eastAsia="zh-CN"/>
        </w:rPr>
      </w:pPr>
    </w:p>
    <w:p w14:paraId="493B6CE7">
      <w:pPr>
        <w:snapToGrid w:val="0"/>
        <w:spacing w:before="2" w:line="300" w:lineRule="auto"/>
        <w:jc w:val="both"/>
        <w:rPr>
          <w:rFonts w:ascii="Arial" w:hAnsi="Arial" w:eastAsia="宋体" w:cs="Arial"/>
          <w:lang w:eastAsia="zh-CN"/>
        </w:rPr>
      </w:pPr>
    </w:p>
    <w:p w14:paraId="07CDC239">
      <w:pPr>
        <w:snapToGrid w:val="0"/>
        <w:spacing w:before="2" w:line="300" w:lineRule="auto"/>
        <w:jc w:val="both"/>
        <w:rPr>
          <w:rFonts w:ascii="Arial" w:hAnsi="Arial" w:eastAsia="宋体" w:cs="Arial"/>
          <w:lang w:eastAsia="zh-CN"/>
        </w:rPr>
      </w:pPr>
    </w:p>
    <w:p w14:paraId="7BA0B22F">
      <w:pPr>
        <w:snapToGrid w:val="0"/>
        <w:spacing w:before="2" w:line="300" w:lineRule="auto"/>
        <w:jc w:val="both"/>
        <w:rPr>
          <w:rFonts w:ascii="Arial" w:hAnsi="Arial" w:eastAsia="宋体" w:cs="Arial"/>
          <w:lang w:eastAsia="zh-CN"/>
        </w:rPr>
      </w:pPr>
    </w:p>
    <w:p w14:paraId="5EE0BF17">
      <w:pPr>
        <w:snapToGrid w:val="0"/>
        <w:spacing w:before="2" w:line="300" w:lineRule="auto"/>
        <w:jc w:val="both"/>
        <w:rPr>
          <w:rFonts w:ascii="Arial" w:hAnsi="Arial" w:eastAsia="宋体" w:cs="Arial"/>
          <w:lang w:eastAsia="zh-CN"/>
        </w:rPr>
      </w:pPr>
    </w:p>
    <w:p w14:paraId="6ADC36F2">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5"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6" name="Group 6"/>
                        <wpg:cNvGrpSpPr/>
                        <wpg:grpSpPr>
                          <a:xfrm>
                            <a:off x="6" y="6"/>
                            <a:ext cx="2880" cy="2"/>
                            <a:chOff x="6" y="6"/>
                            <a:chExt cx="2880" cy="2"/>
                          </a:xfrm>
                        </wpg:grpSpPr>
                        <wps:wsp>
                          <wps:cNvPr id="7" name="Freeform 7"/>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ID+hIXUAAAAAwEAAA8AAAAAAAAA&#10;AQAgAAAAIgAAAGRycy9kb3ducmV2LnhtbFBLAQIUABQAAAAIAIdO4kB/HdOWMgMAACQIAAAOAAAA&#10;AAAAAAEAIAAAACMBAABkcnMvZTJvRG9jLnhtbFBLBQYAAAAABgAGAFkBAADHBgAAAAA=&#10;">
                <o:lock v:ext="edit" aspectratio="f"/>
                <v:group id="Group 6" o:spid="_x0000_s1026" o:spt="203" style="position:absolute;left:6;top:6;height:2;width:2880;" coordorigin="6,6" coordsize="2880,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7" o:spid="_x0000_s1026" o:spt="100" style="position:absolute;left:36;top:36;height:0;width:2880;" filled="f" stroked="t" coordsize="2880,1" o:gfxdata="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7ubugAAANoA&#10;AAAPAAAAAAAAAAEAIAAAACIAAABkcnMvZG93bnJldi54bWxQSwECFAAUAAAACACHTuJAMy8FnjsA&#10;AAA5AAAAEAAAAAAAAAABACAAAAAJAQAAZHJzL3NoYXBleG1sLnhtbFBLBQYAAAAABgAGAFsBAACz&#10;Aw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04003D76">
      <w:pPr>
        <w:snapToGrid w:val="0"/>
        <w:spacing w:before="1" w:line="300" w:lineRule="auto"/>
        <w:jc w:val="both"/>
        <w:rPr>
          <w:rFonts w:ascii="Arial" w:hAnsi="Arial" w:eastAsia="宋体" w:cs="Arial"/>
          <w:sz w:val="20"/>
          <w:lang w:eastAsia="zh-CN"/>
        </w:rPr>
      </w:pPr>
      <w:bookmarkStart w:id="29" w:name="_bookmark10"/>
      <w:bookmarkEnd w:id="29"/>
      <w:r>
        <w:rPr>
          <w:rFonts w:ascii="Arial" w:hAnsi="Arial" w:eastAsia="宋体" w:cs="Arial"/>
          <w:sz w:val="20"/>
          <w:vertAlign w:val="superscript"/>
          <w:lang w:eastAsia="zh-CN"/>
        </w:rPr>
        <w:t>5</w:t>
      </w:r>
      <w:r>
        <w:rPr>
          <w:rFonts w:ascii="Arial" w:hAnsi="Arial" w:eastAsia="宋体" w:cs="Arial"/>
          <w:sz w:val="20"/>
          <w:lang w:eastAsia="zh-CN"/>
        </w:rPr>
        <w:t>有关临床试验要求的其他信息，请参阅信息表指南及指导机构审查委员会、临床调查员和申办方指南，可从以下网址获取：</w:t>
      </w:r>
    </w:p>
    <w:p w14:paraId="0D978FE5">
      <w:pPr>
        <w:snapToGrid w:val="0"/>
        <w:spacing w:before="1" w:line="300" w:lineRule="auto"/>
        <w:jc w:val="both"/>
        <w:rPr>
          <w:rFonts w:ascii="Arial" w:hAnsi="Arial" w:eastAsia="宋体" w:cs="Arial"/>
          <w:color w:val="0000FF"/>
          <w:sz w:val="20"/>
          <w:u w:val="single"/>
        </w:rPr>
      </w:pP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20"/>
          <w:u w:val="single"/>
        </w:rPr>
        <w:t xml:space="preserve">http://www.fda.gov/ScienceResearch/SpecialTopics/RunningClinicalTrials/GuidancesInformationSheetsan </w:t>
      </w:r>
      <w:r>
        <w:rPr>
          <w:rFonts w:ascii="Arial" w:hAnsi="Arial" w:eastAsia="宋体" w:cs="Arial"/>
          <w:color w:val="0000FF"/>
          <w:sz w:val="20"/>
          <w:u w:val="single"/>
        </w:rPr>
        <w:fldChar w:fldCharType="end"/>
      </w: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20"/>
          <w:u w:val="single"/>
        </w:rPr>
        <w:t>dNotices/default.htm</w:t>
      </w:r>
      <w:r>
        <w:rPr>
          <w:rFonts w:ascii="Arial" w:hAnsi="Arial" w:eastAsia="宋体" w:cs="Arial"/>
          <w:color w:val="0000FF"/>
          <w:sz w:val="20"/>
          <w:u w:val="single"/>
        </w:rPr>
        <w:fldChar w:fldCharType="end"/>
      </w:r>
    </w:p>
    <w:p w14:paraId="0A77FBCB">
      <w:pPr>
        <w:snapToGrid w:val="0"/>
        <w:spacing w:line="300" w:lineRule="auto"/>
        <w:jc w:val="both"/>
        <w:rPr>
          <w:rFonts w:ascii="Arial" w:hAnsi="Arial" w:eastAsia="宋体" w:cs="Arial"/>
          <w:sz w:val="20"/>
        </w:rPr>
        <w:sectPr>
          <w:headerReference r:id="rId8" w:type="default"/>
          <w:footerReference r:id="rId9" w:type="default"/>
          <w:pgSz w:w="12240" w:h="15840"/>
          <w:pgMar w:top="1134" w:right="1134" w:bottom="1134" w:left="1134" w:header="891" w:footer="767" w:gutter="0"/>
          <w:pgNumType w:start="2"/>
          <w:cols w:space="720" w:num="1"/>
          <w:docGrid w:linePitch="299" w:charSpace="0"/>
        </w:sectPr>
      </w:pPr>
    </w:p>
    <w:p w14:paraId="305993AD">
      <w:pPr>
        <w:pStyle w:val="4"/>
        <w:numPr>
          <w:ilvl w:val="0"/>
          <w:numId w:val="1"/>
        </w:numPr>
        <w:tabs>
          <w:tab w:val="left" w:pos="601"/>
        </w:tabs>
        <w:snapToGrid w:val="0"/>
        <w:spacing w:line="300" w:lineRule="auto"/>
        <w:ind w:left="482" w:hanging="482"/>
        <w:jc w:val="both"/>
        <w:rPr>
          <w:rFonts w:ascii="Arial" w:hAnsi="Arial" w:eastAsia="宋体" w:cs="Arial"/>
          <w:b w:val="0"/>
          <w:bCs w:val="0"/>
        </w:rPr>
      </w:pPr>
      <w:bookmarkStart w:id="30" w:name="_bookmark11"/>
      <w:bookmarkEnd w:id="30"/>
      <w:bookmarkStart w:id="31" w:name="_Toc481079479"/>
      <w:r>
        <w:rPr>
          <w:rFonts w:ascii="Arial" w:hAnsi="Arial" w:eastAsia="宋体" w:cs="Arial"/>
          <w:lang w:eastAsia="zh-CN"/>
        </w:rPr>
        <w:t>标签</w:t>
      </w:r>
      <w:bookmarkEnd w:id="31"/>
    </w:p>
    <w:p w14:paraId="175FBA7C">
      <w:pPr>
        <w:snapToGrid w:val="0"/>
        <w:spacing w:before="11" w:line="300" w:lineRule="auto"/>
        <w:jc w:val="both"/>
        <w:rPr>
          <w:rFonts w:ascii="Arial" w:hAnsi="Arial" w:eastAsia="宋体" w:cs="Arial"/>
          <w:sz w:val="21"/>
          <w:szCs w:val="21"/>
          <w:lang w:eastAsia="zh-CN"/>
        </w:rPr>
      </w:pPr>
      <w:r>
        <w:rPr>
          <w:rFonts w:ascii="Arial" w:hAnsi="Arial" w:eastAsia="宋体" w:cs="Arial"/>
          <w:sz w:val="21"/>
          <w:szCs w:val="21"/>
          <w:lang w:eastAsia="zh-CN"/>
        </w:rPr>
        <w:t>上市前通告必须包含足够详细的标签，满足21 CFR 807.87（e）的要求。以下建议旨在帮助贵公司准备符合21 CFR第801部分要求的标签。</w:t>
      </w:r>
      <w:r>
        <w:rPr>
          <w:rFonts w:ascii="Arial" w:hAnsi="Arial" w:eastAsia="宋体" w:cs="Arial"/>
          <w:sz w:val="21"/>
          <w:szCs w:val="21"/>
          <w:vertAlign w:val="superscript"/>
          <w:lang w:eastAsia="zh-CN"/>
        </w:rPr>
        <w:t>6</w:t>
      </w:r>
    </w:p>
    <w:p w14:paraId="684145FC">
      <w:pPr>
        <w:snapToGrid w:val="0"/>
        <w:spacing w:before="11" w:line="300" w:lineRule="auto"/>
        <w:jc w:val="both"/>
        <w:rPr>
          <w:rFonts w:ascii="Arial" w:hAnsi="Arial" w:eastAsia="宋体" w:cs="Arial"/>
          <w:sz w:val="21"/>
          <w:szCs w:val="21"/>
          <w:lang w:eastAsia="zh-CN"/>
        </w:rPr>
      </w:pPr>
    </w:p>
    <w:p w14:paraId="59B14A7A">
      <w:pPr>
        <w:snapToGrid w:val="0"/>
        <w:spacing w:before="1" w:line="300" w:lineRule="auto"/>
        <w:jc w:val="both"/>
        <w:outlineLvl w:val="3"/>
        <w:rPr>
          <w:rFonts w:ascii="Arial" w:hAnsi="Arial" w:eastAsia="宋体" w:cs="Arial"/>
          <w:b/>
          <w:sz w:val="21"/>
          <w:szCs w:val="21"/>
          <w:lang w:eastAsia="zh-CN"/>
        </w:rPr>
      </w:pPr>
      <w:bookmarkStart w:id="32" w:name="_Toc481079480"/>
      <w:r>
        <w:rPr>
          <w:rFonts w:ascii="Arial" w:hAnsi="Arial" w:eastAsia="宋体" w:cs="Arial"/>
          <w:b/>
          <w:sz w:val="21"/>
          <w:szCs w:val="21"/>
          <w:lang w:eastAsia="zh-CN"/>
        </w:rPr>
        <w:t>器械用户手册</w:t>
      </w:r>
      <w:bookmarkEnd w:id="32"/>
    </w:p>
    <w:p w14:paraId="0182FE3E">
      <w:pPr>
        <w:pStyle w:val="5"/>
        <w:snapToGrid w:val="0"/>
        <w:spacing w:before="69" w:line="300" w:lineRule="auto"/>
        <w:ind w:left="0"/>
        <w:jc w:val="both"/>
        <w:rPr>
          <w:rFonts w:ascii="Arial" w:hAnsi="Arial" w:eastAsia="宋体" w:cs="Arial"/>
          <w:b w:val="0"/>
          <w:bCs w:val="0"/>
          <w:sz w:val="21"/>
          <w:szCs w:val="21"/>
          <w:lang w:eastAsia="zh-CN"/>
        </w:rPr>
      </w:pPr>
    </w:p>
    <w:p w14:paraId="196054C9">
      <w:pPr>
        <w:snapToGrid w:val="0"/>
        <w:spacing w:before="1" w:line="300" w:lineRule="auto"/>
        <w:jc w:val="both"/>
        <w:rPr>
          <w:rFonts w:ascii="Arial" w:hAnsi="Arial" w:eastAsia="宋体" w:cs="Arial"/>
          <w:sz w:val="21"/>
          <w:szCs w:val="21"/>
          <w:lang w:eastAsia="zh-CN"/>
        </w:rPr>
      </w:pPr>
      <w:r>
        <w:rPr>
          <w:rFonts w:ascii="Arial" w:hAnsi="Arial" w:eastAsia="宋体" w:cs="Arial"/>
          <w:sz w:val="21"/>
          <w:szCs w:val="21"/>
          <w:lang w:eastAsia="zh-CN"/>
        </w:rPr>
        <w:t>我们建议贵公司给器械配备一份用户手册。用户手册应包括以下内容：</w:t>
      </w:r>
    </w:p>
    <w:p w14:paraId="1FA168B5">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rPr>
      </w:pPr>
      <w:r>
        <w:rPr>
          <w:rFonts w:ascii="Arial" w:hAnsi="Arial" w:eastAsia="宋体" w:cs="Arial"/>
          <w:sz w:val="21"/>
          <w:szCs w:val="21"/>
        </w:rPr>
        <w:t>器械和所有</w:t>
      </w:r>
      <w:r>
        <w:rPr>
          <w:rFonts w:ascii="Arial" w:hAnsi="Arial" w:eastAsia="宋体" w:cs="Arial"/>
          <w:sz w:val="21"/>
          <w:szCs w:val="21"/>
          <w:lang w:eastAsia="zh-CN"/>
        </w:rPr>
        <w:t>附件</w:t>
      </w:r>
    </w:p>
    <w:p w14:paraId="0E3AA3E3">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器械如何与其他组件或附件互连</w:t>
      </w:r>
    </w:p>
    <w:p w14:paraId="7AADF92A">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所有特性、功能、输出模态和质量标准</w:t>
      </w:r>
    </w:p>
    <w:p w14:paraId="7F3CC391">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所有用户可访问的控件</w:t>
      </w:r>
    </w:p>
    <w:p w14:paraId="59278B48">
      <w:pPr>
        <w:pStyle w:val="29"/>
        <w:numPr>
          <w:ilvl w:val="1"/>
          <w:numId w:val="2"/>
        </w:numPr>
        <w:tabs>
          <w:tab w:val="left" w:pos="924"/>
        </w:tabs>
        <w:snapToGrid w:val="0"/>
        <w:spacing w:before="15" w:line="300" w:lineRule="auto"/>
        <w:ind w:left="0" w:firstLine="434"/>
        <w:jc w:val="both"/>
        <w:rPr>
          <w:rFonts w:ascii="Arial" w:hAnsi="Arial" w:eastAsia="宋体" w:cs="Arial"/>
          <w:sz w:val="21"/>
          <w:szCs w:val="21"/>
          <w:lang w:eastAsia="zh-CN"/>
        </w:rPr>
      </w:pPr>
      <w:r>
        <w:rPr>
          <w:rFonts w:ascii="Arial" w:hAnsi="Arial" w:eastAsia="宋体" w:cs="Arial"/>
          <w:sz w:val="21"/>
          <w:szCs w:val="21"/>
          <w:lang w:eastAsia="zh-CN"/>
        </w:rPr>
        <w:t>器械上的指示器、标记和/或标签，其提供有关每个控件、显示输出插孔等的功能或含义的信息。</w:t>
      </w:r>
    </w:p>
    <w:p w14:paraId="5D1741DD">
      <w:pPr>
        <w:pStyle w:val="29"/>
        <w:numPr>
          <w:ilvl w:val="1"/>
          <w:numId w:val="2"/>
        </w:numPr>
        <w:tabs>
          <w:tab w:val="left" w:pos="924"/>
        </w:tabs>
        <w:snapToGrid w:val="0"/>
        <w:spacing w:before="17" w:line="300" w:lineRule="auto"/>
        <w:ind w:left="0" w:firstLine="434"/>
        <w:jc w:val="both"/>
        <w:rPr>
          <w:rFonts w:ascii="Arial" w:hAnsi="Arial" w:eastAsia="宋体" w:cs="Arial"/>
          <w:sz w:val="21"/>
          <w:szCs w:val="21"/>
        </w:rPr>
      </w:pPr>
      <w:r>
        <w:rPr>
          <w:rFonts w:ascii="Arial" w:hAnsi="Arial" w:eastAsia="宋体" w:cs="Arial"/>
          <w:sz w:val="21"/>
          <w:szCs w:val="21"/>
          <w:lang w:eastAsia="zh-CN"/>
        </w:rPr>
        <w:t>器械和附件图示</w:t>
      </w:r>
    </w:p>
    <w:p w14:paraId="6B194D5F">
      <w:pPr>
        <w:snapToGrid w:val="0"/>
        <w:spacing w:line="300" w:lineRule="auto"/>
        <w:jc w:val="both"/>
        <w:rPr>
          <w:rFonts w:ascii="Arial" w:hAnsi="Arial" w:eastAsia="宋体" w:cs="Arial"/>
          <w:sz w:val="21"/>
          <w:szCs w:val="21"/>
        </w:rPr>
      </w:pPr>
    </w:p>
    <w:p w14:paraId="401623A9">
      <w:pPr>
        <w:snapToGrid w:val="0"/>
        <w:spacing w:before="1" w:line="300" w:lineRule="auto"/>
        <w:jc w:val="both"/>
        <w:outlineLvl w:val="3"/>
        <w:rPr>
          <w:rFonts w:ascii="Arial" w:hAnsi="Arial" w:eastAsia="宋体" w:cs="Arial"/>
          <w:sz w:val="21"/>
          <w:szCs w:val="21"/>
          <w:lang w:eastAsia="zh-CN"/>
        </w:rPr>
      </w:pPr>
      <w:bookmarkStart w:id="33" w:name="_Toc481079481"/>
      <w:r>
        <w:rPr>
          <w:rFonts w:ascii="Arial" w:hAnsi="Arial" w:eastAsia="宋体" w:cs="Arial"/>
          <w:b/>
          <w:sz w:val="21"/>
          <w:szCs w:val="21"/>
          <w:lang w:eastAsia="zh-CN"/>
        </w:rPr>
        <w:t>使用说明</w:t>
      </w:r>
      <w:bookmarkEnd w:id="33"/>
    </w:p>
    <w:p w14:paraId="2C62D03B">
      <w:pPr>
        <w:snapToGrid w:val="0"/>
        <w:spacing w:line="300" w:lineRule="auto"/>
        <w:jc w:val="both"/>
        <w:rPr>
          <w:rFonts w:ascii="Arial" w:hAnsi="Arial" w:eastAsia="宋体" w:cs="Arial"/>
          <w:sz w:val="21"/>
          <w:szCs w:val="21"/>
        </w:rPr>
      </w:pPr>
    </w:p>
    <w:p w14:paraId="65DB25F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作为一种处方器械，根据21C.FR801.109的规定，该器械可免于提供足够的外行人员使用说明。然而，标签必须包括足够信息以便于医生使用该器械，包括适应症、功效、途径、方法、施用的频率和持续时间以及任何相关的危害、禁忌症、副作用和预防措施。（21 CFR 801.109（d））。</w:t>
      </w:r>
    </w:p>
    <w:p w14:paraId="234D9B2E">
      <w:pPr>
        <w:snapToGrid w:val="0"/>
        <w:spacing w:before="2" w:line="300" w:lineRule="auto"/>
        <w:jc w:val="both"/>
        <w:rPr>
          <w:rFonts w:ascii="Arial" w:hAnsi="Arial" w:eastAsia="宋体" w:cs="Arial"/>
          <w:sz w:val="21"/>
          <w:szCs w:val="21"/>
          <w:lang w:eastAsia="zh-CN"/>
        </w:rPr>
      </w:pPr>
    </w:p>
    <w:p w14:paraId="7346EAA1">
      <w:pPr>
        <w:snapToGrid w:val="0"/>
        <w:spacing w:before="1" w:line="300" w:lineRule="auto"/>
        <w:jc w:val="both"/>
        <w:outlineLvl w:val="3"/>
        <w:rPr>
          <w:rFonts w:ascii="Arial" w:hAnsi="Arial" w:eastAsia="宋体" w:cs="Arial"/>
          <w:sz w:val="21"/>
          <w:szCs w:val="21"/>
          <w:lang w:eastAsia="zh-CN"/>
        </w:rPr>
      </w:pPr>
      <w:bookmarkStart w:id="34" w:name="_Toc481079482"/>
      <w:r>
        <w:rPr>
          <w:rFonts w:ascii="Arial" w:hAnsi="Arial" w:eastAsia="宋体" w:cs="Arial"/>
          <w:b/>
          <w:sz w:val="21"/>
          <w:szCs w:val="21"/>
          <w:lang w:eastAsia="zh-CN"/>
        </w:rPr>
        <w:t>适应症</w:t>
      </w:r>
      <w:bookmarkEnd w:id="34"/>
    </w:p>
    <w:p w14:paraId="02A4282A">
      <w:pPr>
        <w:snapToGrid w:val="0"/>
        <w:spacing w:line="300" w:lineRule="auto"/>
        <w:jc w:val="both"/>
        <w:rPr>
          <w:rFonts w:ascii="Arial" w:hAnsi="Arial" w:eastAsia="宋体" w:cs="Arial"/>
          <w:sz w:val="21"/>
          <w:szCs w:val="21"/>
          <w:lang w:eastAsia="zh-CN"/>
        </w:rPr>
      </w:pPr>
    </w:p>
    <w:p w14:paraId="6EA58888">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我们建议将适应症纳入用户手册。</w:t>
      </w:r>
    </w:p>
    <w:p w14:paraId="5E1F314B">
      <w:pPr>
        <w:pStyle w:val="8"/>
        <w:snapToGrid w:val="0"/>
        <w:spacing w:line="300" w:lineRule="auto"/>
        <w:ind w:left="0"/>
        <w:jc w:val="both"/>
        <w:rPr>
          <w:rFonts w:ascii="Arial" w:hAnsi="Arial" w:eastAsia="宋体" w:cs="Arial"/>
          <w:sz w:val="21"/>
          <w:szCs w:val="21"/>
          <w:lang w:eastAsia="zh-CN"/>
        </w:rPr>
      </w:pPr>
    </w:p>
    <w:p w14:paraId="197E1E11">
      <w:pPr>
        <w:snapToGrid w:val="0"/>
        <w:spacing w:before="1" w:line="300" w:lineRule="auto"/>
        <w:jc w:val="both"/>
        <w:outlineLvl w:val="3"/>
        <w:rPr>
          <w:rFonts w:ascii="Arial" w:hAnsi="Arial" w:eastAsia="宋体" w:cs="Arial"/>
          <w:sz w:val="21"/>
          <w:szCs w:val="21"/>
          <w:lang w:eastAsia="zh-CN"/>
        </w:rPr>
      </w:pPr>
      <w:bookmarkStart w:id="35" w:name="_Toc481079483"/>
      <w:r>
        <w:rPr>
          <w:rFonts w:ascii="Arial" w:hAnsi="Arial" w:eastAsia="宋体" w:cs="Arial"/>
          <w:b/>
          <w:sz w:val="21"/>
          <w:szCs w:val="21"/>
          <w:lang w:eastAsia="zh-CN"/>
        </w:rPr>
        <w:t>禁忌症</w:t>
      </w:r>
      <w:bookmarkEnd w:id="35"/>
    </w:p>
    <w:p w14:paraId="38DD4923">
      <w:pPr>
        <w:pStyle w:val="5"/>
        <w:snapToGrid w:val="0"/>
        <w:spacing w:line="300" w:lineRule="auto"/>
        <w:ind w:left="0"/>
        <w:jc w:val="both"/>
        <w:rPr>
          <w:rFonts w:ascii="Arial" w:hAnsi="Arial" w:eastAsia="宋体" w:cs="Arial"/>
          <w:sz w:val="21"/>
          <w:szCs w:val="21"/>
          <w:lang w:eastAsia="zh-CN"/>
        </w:rPr>
      </w:pPr>
    </w:p>
    <w:p w14:paraId="732226E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我们建议贵公司告知带有开放性创伤或病变、包括严重或囊性痤疮、有源植入式植入物（例如起搏器或除颤器）或金属植入物的用户不得在这些区域使用该器械。</w:t>
      </w:r>
    </w:p>
    <w:p w14:paraId="630C55BC">
      <w:pPr>
        <w:snapToGrid w:val="0"/>
        <w:spacing w:before="2" w:line="300" w:lineRule="auto"/>
        <w:jc w:val="both"/>
        <w:rPr>
          <w:rFonts w:ascii="Arial" w:hAnsi="Arial" w:eastAsia="宋体" w:cs="Arial"/>
          <w:sz w:val="21"/>
          <w:szCs w:val="21"/>
          <w:lang w:eastAsia="zh-CN"/>
        </w:rPr>
      </w:pPr>
    </w:p>
    <w:p w14:paraId="3124ACBB">
      <w:pPr>
        <w:snapToGrid w:val="0"/>
        <w:spacing w:before="1" w:line="300" w:lineRule="auto"/>
        <w:jc w:val="both"/>
        <w:outlineLvl w:val="3"/>
        <w:rPr>
          <w:rFonts w:ascii="Arial" w:hAnsi="Arial" w:eastAsia="宋体" w:cs="Arial"/>
          <w:b/>
          <w:sz w:val="21"/>
          <w:szCs w:val="21"/>
          <w:lang w:eastAsia="zh-CN"/>
        </w:rPr>
      </w:pPr>
      <w:bookmarkStart w:id="36" w:name="_Toc481079484"/>
      <w:r>
        <w:rPr>
          <w:rFonts w:ascii="Arial" w:hAnsi="Arial" w:eastAsia="宋体" w:cs="Arial"/>
          <w:b/>
          <w:sz w:val="21"/>
          <w:szCs w:val="21"/>
          <w:lang w:eastAsia="zh-CN"/>
        </w:rPr>
        <w:t>存储条件</w:t>
      </w:r>
      <w:bookmarkEnd w:id="36"/>
    </w:p>
    <w:p w14:paraId="670353E7">
      <w:pPr>
        <w:pStyle w:val="5"/>
        <w:snapToGrid w:val="0"/>
        <w:spacing w:line="300" w:lineRule="auto"/>
        <w:ind w:left="0"/>
        <w:jc w:val="both"/>
        <w:rPr>
          <w:rFonts w:ascii="Arial" w:hAnsi="Arial" w:eastAsia="宋体" w:cs="Arial"/>
          <w:b w:val="0"/>
          <w:bCs w:val="0"/>
          <w:sz w:val="21"/>
          <w:szCs w:val="21"/>
          <w:lang w:eastAsia="zh-CN"/>
        </w:rPr>
      </w:pPr>
    </w:p>
    <w:p w14:paraId="05B6BA2F">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我们建议将存储条件纳入用户手册。</w:t>
      </w:r>
    </w:p>
    <w:p w14:paraId="5A7B6DE2">
      <w:pPr>
        <w:snapToGrid w:val="0"/>
        <w:spacing w:line="300" w:lineRule="auto"/>
        <w:jc w:val="both"/>
        <w:rPr>
          <w:rFonts w:ascii="Arial" w:hAnsi="Arial" w:eastAsia="宋体" w:cs="Arial"/>
          <w:b/>
          <w:bCs/>
          <w:sz w:val="20"/>
          <w:szCs w:val="20"/>
          <w:lang w:eastAsia="zh-CN"/>
        </w:rPr>
      </w:pPr>
    </w:p>
    <w:p w14:paraId="0D294A31">
      <w:pPr>
        <w:snapToGrid w:val="0"/>
        <w:spacing w:before="1" w:line="300" w:lineRule="auto"/>
        <w:jc w:val="both"/>
        <w:outlineLvl w:val="3"/>
        <w:rPr>
          <w:rFonts w:ascii="Arial" w:hAnsi="Arial" w:eastAsia="宋体" w:cs="Arial"/>
          <w:b/>
          <w:sz w:val="21"/>
          <w:szCs w:val="21"/>
          <w:lang w:eastAsia="zh-CN"/>
        </w:rPr>
      </w:pPr>
      <w:bookmarkStart w:id="37" w:name="_Toc481079485"/>
      <w:r>
        <w:rPr>
          <w:rFonts w:ascii="Arial" w:hAnsi="Arial" w:eastAsia="宋体" w:cs="Arial"/>
          <w:b/>
          <w:sz w:val="21"/>
          <w:szCs w:val="21"/>
          <w:lang w:eastAsia="zh-CN"/>
        </w:rPr>
        <w:t>警告</w:t>
      </w:r>
      <w:bookmarkEnd w:id="37"/>
    </w:p>
    <w:p w14:paraId="683099A9">
      <w:pPr>
        <w:snapToGrid w:val="0"/>
        <w:spacing w:before="4" w:line="300" w:lineRule="auto"/>
        <w:jc w:val="both"/>
        <w:rPr>
          <w:rFonts w:ascii="Arial" w:hAnsi="Arial" w:eastAsia="宋体" w:cs="Arial"/>
          <w:b/>
          <w:bCs/>
          <w:sz w:val="10"/>
          <w:szCs w:val="10"/>
          <w:lang w:eastAsia="zh-CN"/>
        </w:rPr>
      </w:pPr>
    </w:p>
    <w:p w14:paraId="2B83D066">
      <w:pPr>
        <w:snapToGrid w:val="0"/>
        <w:spacing w:line="300" w:lineRule="auto"/>
        <w:ind w:left="11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0" t="0" r="20955" b="20955"/>
                <wp:docPr id="1"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3" name="Group 3"/>
                        <wpg:cNvGrpSpPr/>
                        <wpg:grpSpPr>
                          <a:xfrm>
                            <a:off x="6" y="6"/>
                            <a:ext cx="2880" cy="2"/>
                            <a:chOff x="6" y="6"/>
                            <a:chExt cx="2880" cy="2"/>
                          </a:xfrm>
                        </wpg:grpSpPr>
                        <wps:wsp>
                          <wps:cNvPr id="4" name="Freeform 4"/>
                          <wps:cNvSpPr>
                            <a:spLocks noEditPoints="1"/>
                          </wps:cNvSpPr>
                          <wps:spPr bwMode="auto">
                            <a:xfrm>
                              <a:off x="36" y="36"/>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A/oSF1AAAAAMBAAAPAAAAAAAA&#10;AAEAIAAAACIAAABkcnMvZG93bnJldi54bWxQSwECFAAUAAAACACHTuJA9Y69jjMDAAAkCAAADgAA&#10;AAAAAAABACAAAAAjAQAAZHJzL2Uyb0RvYy54bWxQSwUGAAAAAAYABgBZAQAAyAYAAAAA&#10;">
                <o:lock v:ext="edit" aspectratio="f"/>
                <v:group id="Group 3" o:spid="_x0000_s1026" o:spt="203" style="position:absolute;left:6;top:6;height:2;width:2880;" coordorigin="6,6" coordsize="2880,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36;top:36;height:0;width:2880;" filled="f" stroked="t" coordsize="2880,1" o:gfxdata="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0l7L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76E8752">
      <w:pPr>
        <w:snapToGrid w:val="0"/>
        <w:spacing w:before="2" w:line="300" w:lineRule="auto"/>
        <w:jc w:val="both"/>
        <w:rPr>
          <w:rFonts w:ascii="Arial" w:hAnsi="Arial" w:eastAsia="宋体" w:cs="Arial"/>
          <w:sz w:val="20"/>
          <w:lang w:eastAsia="zh-CN"/>
        </w:rPr>
      </w:pPr>
      <w:bookmarkStart w:id="38" w:name="_bookmark12"/>
      <w:bookmarkEnd w:id="38"/>
      <w:r>
        <w:rPr>
          <w:rFonts w:ascii="Arial" w:hAnsi="Arial" w:eastAsia="宋体" w:cs="Arial"/>
          <w:sz w:val="20"/>
          <w:vertAlign w:val="superscript"/>
          <w:lang w:eastAsia="zh-CN"/>
        </w:rPr>
        <w:t>6</w:t>
      </w:r>
      <w:r>
        <w:rPr>
          <w:rFonts w:ascii="Arial" w:hAnsi="Arial" w:eastAsia="宋体" w:cs="Arial"/>
          <w:sz w:val="20"/>
          <w:lang w:eastAsia="zh-CN"/>
        </w:rPr>
        <w:t>尽管510（k）许可无需最终标签，但将医疗器械引入州际贸易之前，最终标签必须符合21 CFR 801部分的要求。此外，处方医疗器械的最终标签必须符合21 CFR 801.109。本指南中的标签建议符合第801部分的要求。</w:t>
      </w:r>
    </w:p>
    <w:p w14:paraId="764A1D3E">
      <w:pPr>
        <w:snapToGrid w:val="0"/>
        <w:spacing w:line="300" w:lineRule="auto"/>
        <w:jc w:val="both"/>
        <w:rPr>
          <w:rFonts w:ascii="Arial" w:hAnsi="Arial" w:eastAsia="宋体" w:cs="Arial"/>
          <w:sz w:val="20"/>
          <w:lang w:eastAsia="zh-CN"/>
        </w:rPr>
        <w:sectPr>
          <w:pgSz w:w="12240" w:h="15840"/>
          <w:pgMar w:top="1134" w:right="1134" w:bottom="1134" w:left="1134" w:header="891" w:footer="767" w:gutter="0"/>
          <w:cols w:space="720" w:num="1"/>
          <w:docGrid w:linePitch="299" w:charSpace="0"/>
        </w:sectPr>
      </w:pPr>
    </w:p>
    <w:p w14:paraId="5383A5D1">
      <w:pPr>
        <w:pStyle w:val="8"/>
        <w:snapToGrid w:val="0"/>
        <w:spacing w:line="300" w:lineRule="auto"/>
        <w:ind w:left="0"/>
        <w:jc w:val="both"/>
        <w:rPr>
          <w:rFonts w:ascii="Arial" w:hAnsi="Arial" w:eastAsia="宋体" w:cs="Arial"/>
          <w:sz w:val="21"/>
          <w:szCs w:val="21"/>
          <w:lang w:eastAsia="zh-CN"/>
        </w:rPr>
      </w:pPr>
      <w:bookmarkStart w:id="39" w:name="_bookmark13"/>
      <w:bookmarkEnd w:id="39"/>
      <w:r>
        <w:rPr>
          <w:rFonts w:ascii="Arial" w:hAnsi="Arial" w:eastAsia="宋体" w:cs="Arial"/>
          <w:sz w:val="21"/>
          <w:szCs w:val="21"/>
          <w:lang w:eastAsia="zh-CN"/>
        </w:rPr>
        <w:t>应说明严重的不良反应和潜在的安全危害、因其而产生的使用局限性以及在出现前述问题的情况下应该采取的步骤。</w:t>
      </w:r>
    </w:p>
    <w:p w14:paraId="7C7D17F7">
      <w:pPr>
        <w:snapToGrid w:val="0"/>
        <w:spacing w:line="300" w:lineRule="auto"/>
        <w:jc w:val="both"/>
        <w:rPr>
          <w:rFonts w:ascii="Arial" w:hAnsi="Arial" w:eastAsia="宋体" w:cs="Arial"/>
          <w:sz w:val="21"/>
          <w:szCs w:val="21"/>
          <w:lang w:eastAsia="zh-CN"/>
        </w:rPr>
      </w:pPr>
    </w:p>
    <w:p w14:paraId="660D652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如果有合理证据表明严重危害与器械的使用相关，还需就其提供适当警告。但无需证明因果关系。</w:t>
      </w:r>
    </w:p>
    <w:p w14:paraId="1D1A1FAC">
      <w:pPr>
        <w:snapToGrid w:val="0"/>
        <w:spacing w:line="300" w:lineRule="auto"/>
        <w:jc w:val="both"/>
        <w:rPr>
          <w:rFonts w:ascii="Arial" w:hAnsi="Arial" w:eastAsia="宋体" w:cs="Arial"/>
          <w:sz w:val="21"/>
          <w:szCs w:val="21"/>
          <w:lang w:eastAsia="zh-CN"/>
        </w:rPr>
      </w:pPr>
    </w:p>
    <w:p w14:paraId="766C42A6">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应进行警告，确保完整的手机皮肤接触且不得将眼睛暴露于超声波辐射。</w:t>
      </w:r>
    </w:p>
    <w:p w14:paraId="3245E05A">
      <w:pPr>
        <w:snapToGrid w:val="0"/>
        <w:spacing w:line="300" w:lineRule="auto"/>
        <w:jc w:val="both"/>
        <w:rPr>
          <w:rFonts w:ascii="Arial" w:hAnsi="Arial" w:eastAsia="宋体" w:cs="Arial"/>
          <w:sz w:val="21"/>
          <w:szCs w:val="21"/>
          <w:lang w:eastAsia="zh-CN"/>
        </w:rPr>
      </w:pPr>
    </w:p>
    <w:p w14:paraId="3C8F6CDA">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我们认为，器械常用于某一疾病或病症（其中，缺乏有效科学证据证明治疗该疾病或病症时的有效性）且此类使用与严重风险或危害相关时，需适当提供警告。</w:t>
      </w:r>
    </w:p>
    <w:p w14:paraId="3E8B09A0">
      <w:pPr>
        <w:pStyle w:val="8"/>
        <w:snapToGrid w:val="0"/>
        <w:spacing w:line="300" w:lineRule="auto"/>
        <w:ind w:left="440"/>
        <w:jc w:val="both"/>
        <w:rPr>
          <w:rFonts w:ascii="Arial" w:hAnsi="Arial" w:eastAsia="宋体" w:cs="Arial"/>
          <w:sz w:val="21"/>
          <w:szCs w:val="21"/>
          <w:lang w:eastAsia="zh-CN"/>
        </w:rPr>
      </w:pPr>
    </w:p>
    <w:p w14:paraId="35610CC7">
      <w:pPr>
        <w:snapToGrid w:val="0"/>
        <w:spacing w:before="1" w:line="300" w:lineRule="auto"/>
        <w:jc w:val="both"/>
        <w:outlineLvl w:val="3"/>
        <w:rPr>
          <w:rFonts w:ascii="Arial" w:hAnsi="Arial" w:eastAsia="宋体" w:cs="Arial"/>
          <w:b/>
          <w:sz w:val="21"/>
          <w:szCs w:val="21"/>
          <w:lang w:eastAsia="zh-CN"/>
        </w:rPr>
      </w:pPr>
      <w:bookmarkStart w:id="40" w:name="_Toc481079486"/>
      <w:r>
        <w:rPr>
          <w:rFonts w:ascii="Arial" w:hAnsi="Arial" w:eastAsia="宋体" w:cs="Arial"/>
          <w:b/>
          <w:sz w:val="21"/>
          <w:szCs w:val="21"/>
          <w:lang w:eastAsia="zh-CN"/>
        </w:rPr>
        <w:t>预防措施</w:t>
      </w:r>
      <w:bookmarkEnd w:id="40"/>
    </w:p>
    <w:p w14:paraId="6733F7A5">
      <w:pPr>
        <w:pStyle w:val="5"/>
        <w:snapToGrid w:val="0"/>
        <w:spacing w:line="300" w:lineRule="auto"/>
        <w:jc w:val="both"/>
        <w:rPr>
          <w:rFonts w:ascii="Arial" w:hAnsi="Arial" w:eastAsia="宋体" w:cs="Arial"/>
          <w:b w:val="0"/>
          <w:bCs w:val="0"/>
          <w:sz w:val="21"/>
          <w:szCs w:val="21"/>
          <w:lang w:eastAsia="zh-CN"/>
        </w:rPr>
      </w:pPr>
    </w:p>
    <w:p w14:paraId="2EBAB352">
      <w:pPr>
        <w:pStyle w:val="8"/>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应包括医生和/或患者应采取的任何特别护理来安全有效地使用器械的信息，例如：</w:t>
      </w:r>
    </w:p>
    <w:p w14:paraId="64791332">
      <w:pPr>
        <w:pStyle w:val="8"/>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应说明或强调在使用过程中对防护服的任何需要。</w:t>
      </w:r>
    </w:p>
    <w:p w14:paraId="5B32E07C">
      <w:pPr>
        <w:pStyle w:val="8"/>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应确定可能有助于跟踪患者反应或识别不良反应的任何实验室试验或其他评估，并在适当情况下说明在使用器械之前、期间和之后进行此类试验或评估的频率。</w:t>
      </w:r>
    </w:p>
    <w:p w14:paraId="098B03F4">
      <w:pPr>
        <w:pStyle w:val="24"/>
        <w:numPr>
          <w:ilvl w:val="0"/>
          <w:numId w:val="3"/>
        </w:num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应确定任何预防措施，帮助防止电击，例如任何特定器械放置需要、适当电气布线需要、提醒定期检查器械布线和附件是否损坏以及避免在可能会发生电击的环境中使用器械。</w:t>
      </w:r>
    </w:p>
    <w:p w14:paraId="3CD2212E">
      <w:pPr>
        <w:snapToGrid w:val="0"/>
        <w:spacing w:line="300" w:lineRule="auto"/>
        <w:jc w:val="both"/>
        <w:rPr>
          <w:rFonts w:ascii="Arial" w:hAnsi="Arial" w:eastAsia="宋体" w:cs="Arial"/>
          <w:sz w:val="24"/>
          <w:szCs w:val="24"/>
          <w:lang w:eastAsia="zh-CN"/>
        </w:rPr>
      </w:pPr>
    </w:p>
    <w:p w14:paraId="644FC6DD">
      <w:pPr>
        <w:snapToGrid w:val="0"/>
        <w:spacing w:line="300" w:lineRule="auto"/>
        <w:jc w:val="both"/>
        <w:rPr>
          <w:rFonts w:ascii="Arial" w:hAnsi="Arial" w:eastAsia="宋体" w:cs="Arial"/>
          <w:sz w:val="24"/>
          <w:szCs w:val="24"/>
          <w:lang w:eastAsia="zh-CN"/>
        </w:rPr>
        <w:sectPr>
          <w:pgSz w:w="12240" w:h="15840"/>
          <w:pgMar w:top="1134" w:right="1134" w:bottom="1134" w:left="1134" w:header="891" w:footer="767" w:gutter="0"/>
          <w:cols w:space="720" w:num="1"/>
          <w:docGrid w:linePitch="299" w:charSpace="0"/>
        </w:sectPr>
      </w:pPr>
    </w:p>
    <w:p w14:paraId="0D5D75A4">
      <w:pPr>
        <w:snapToGrid w:val="0"/>
        <w:spacing w:line="300" w:lineRule="auto"/>
        <w:outlineLvl w:val="2"/>
        <w:rPr>
          <w:rFonts w:ascii="Arial" w:hAnsi="Arial" w:eastAsia="宋体" w:cs="Arial"/>
          <w:b/>
          <w:sz w:val="24"/>
          <w:szCs w:val="24"/>
          <w:lang w:eastAsia="zh-CN"/>
        </w:rPr>
      </w:pPr>
      <w:bookmarkStart w:id="41" w:name="_bookmark14"/>
      <w:bookmarkEnd w:id="41"/>
      <w:bookmarkStart w:id="42" w:name="_Toc481079487"/>
      <w:r>
        <w:rPr>
          <w:rFonts w:ascii="Arial" w:hAnsi="Arial" w:eastAsia="宋体" w:cs="Arial"/>
          <w:b/>
          <w:sz w:val="24"/>
          <w:szCs w:val="24"/>
          <w:lang w:eastAsia="zh-CN"/>
        </w:rPr>
        <w:t>附录A</w:t>
      </w:r>
      <w:bookmarkEnd w:id="42"/>
    </w:p>
    <w:p w14:paraId="102C04B7">
      <w:pPr>
        <w:pStyle w:val="4"/>
        <w:snapToGrid w:val="0"/>
        <w:spacing w:before="59" w:line="300" w:lineRule="auto"/>
        <w:ind w:left="0"/>
        <w:jc w:val="both"/>
        <w:rPr>
          <w:rFonts w:ascii="Arial" w:hAnsi="Arial" w:eastAsia="宋体" w:cs="Arial"/>
          <w:b w:val="0"/>
          <w:bCs w:val="0"/>
          <w:lang w:eastAsia="zh-CN"/>
        </w:rPr>
      </w:pPr>
    </w:p>
    <w:p w14:paraId="03BDA51E">
      <w:pPr>
        <w:snapToGrid w:val="0"/>
        <w:spacing w:line="300" w:lineRule="auto"/>
        <w:jc w:val="both"/>
        <w:rPr>
          <w:rFonts w:ascii="Arial" w:hAnsi="Arial" w:eastAsia="宋体" w:cs="Arial"/>
          <w:sz w:val="21"/>
          <w:szCs w:val="21"/>
          <w:lang w:eastAsia="zh-CN"/>
        </w:rPr>
      </w:pPr>
      <w:r>
        <w:rPr>
          <w:rFonts w:ascii="Arial" w:hAnsi="Arial" w:eastAsia="宋体" w:cs="Arial"/>
          <w:sz w:val="21"/>
          <w:szCs w:val="21"/>
          <w:lang w:eastAsia="zh-CN"/>
        </w:rPr>
        <w:t>如第9节所述，进行临床前动物研究时应遵循人文关怀和使用的现代规范。所有动物研究应基于以下参考文件中所述的现代规范设计。</w:t>
      </w:r>
    </w:p>
    <w:p w14:paraId="1D743210">
      <w:pPr>
        <w:snapToGrid w:val="0"/>
        <w:spacing w:line="300" w:lineRule="auto"/>
        <w:jc w:val="both"/>
        <w:rPr>
          <w:rFonts w:ascii="Arial" w:hAnsi="Arial" w:eastAsia="宋体" w:cs="Arial"/>
          <w:sz w:val="21"/>
          <w:szCs w:val="21"/>
          <w:lang w:eastAsia="zh-CN"/>
        </w:rPr>
      </w:pPr>
    </w:p>
    <w:p w14:paraId="0DB15234">
      <w:pPr>
        <w:pStyle w:val="24"/>
        <w:numPr>
          <w:ilvl w:val="0"/>
          <w:numId w:val="4"/>
        </w:numPr>
        <w:snapToGrid w:val="0"/>
        <w:spacing w:line="300" w:lineRule="auto"/>
        <w:ind w:hanging="252"/>
        <w:jc w:val="both"/>
        <w:rPr>
          <w:rFonts w:ascii="Arial" w:hAnsi="Arial" w:eastAsia="宋体" w:cs="Arial"/>
          <w:sz w:val="21"/>
          <w:szCs w:val="21"/>
          <w:lang w:eastAsia="zh-CN"/>
        </w:rPr>
      </w:pPr>
      <w:r>
        <w:rPr>
          <w:rFonts w:hint="eastAsia" w:ascii="Arial" w:hAnsi="Arial" w:eastAsia="宋体" w:cs="Arial"/>
          <w:sz w:val="21"/>
          <w:szCs w:val="21"/>
          <w:lang w:eastAsia="zh-CN"/>
        </w:rPr>
        <w:t>“动物福利法”，“联邦法规”，</w:t>
      </w:r>
      <w:r>
        <w:rPr>
          <w:rFonts w:ascii="Arial" w:hAnsi="Arial" w:eastAsia="宋体" w:cs="Arial"/>
          <w:sz w:val="21"/>
          <w:szCs w:val="21"/>
          <w:lang w:eastAsia="zh-CN"/>
        </w:rPr>
        <w:t>第9章第1卷，7 USC 2131- 2156</w:t>
      </w:r>
    </w:p>
    <w:p w14:paraId="66AB45D1">
      <w:pPr>
        <w:pStyle w:val="29"/>
        <w:numPr>
          <w:ilvl w:val="1"/>
          <w:numId w:val="5"/>
        </w:numPr>
        <w:tabs>
          <w:tab w:val="left" w:pos="1190"/>
        </w:tabs>
        <w:snapToGrid w:val="0"/>
        <w:spacing w:before="17" w:line="300" w:lineRule="auto"/>
        <w:ind w:left="0" w:firstLine="714"/>
        <w:jc w:val="both"/>
        <w:rPr>
          <w:rFonts w:ascii="Arial" w:hAnsi="Arial" w:eastAsia="宋体" w:cs="Arial"/>
          <w:sz w:val="21"/>
          <w:szCs w:val="21"/>
          <w:lang w:eastAsia="zh-CN"/>
        </w:rPr>
      </w:pPr>
      <w:r>
        <w:rPr>
          <w:rFonts w:ascii="Arial" w:hAnsi="Arial" w:eastAsia="宋体" w:cs="Arial"/>
          <w:sz w:val="21"/>
          <w:szCs w:val="21"/>
          <w:lang w:eastAsia="zh-CN"/>
        </w:rPr>
        <w:t>定义：</w:t>
      </w:r>
      <w:r>
        <w:fldChar w:fldCharType="begin"/>
      </w:r>
      <w:r>
        <w:instrText xml:space="preserve"> HYPERLINK "http://www.access.gpo.gov/nara/cfr/waisidx_03/9cfr1_03.html" \h </w:instrText>
      </w:r>
      <w:r>
        <w:fldChar w:fldCharType="separate"/>
      </w:r>
      <w:r>
        <w:rPr>
          <w:rFonts w:ascii="Arial" w:hAnsi="Arial" w:eastAsia="宋体" w:cs="Arial"/>
          <w:color w:val="0000FF"/>
          <w:sz w:val="21"/>
          <w:szCs w:val="21"/>
          <w:u w:val="single" w:color="0000FF"/>
          <w:lang w:eastAsia="zh-CN"/>
        </w:rPr>
        <w:t>http：//www.access.gpo.gov/nara/cfr/waisidx_03/9cfr1_03.ht</w:t>
      </w:r>
      <w:r>
        <w:rPr>
          <w:rFonts w:ascii="Arial" w:hAnsi="Arial" w:eastAsia="宋体" w:cs="Arial"/>
          <w:color w:val="0000FF"/>
          <w:spacing w:val="-2"/>
          <w:sz w:val="21"/>
          <w:szCs w:val="21"/>
          <w:u w:val="single" w:color="0000FF"/>
          <w:lang w:eastAsia="zh-CN"/>
        </w:rPr>
        <w:t>m</w:t>
      </w:r>
      <w:r>
        <w:rPr>
          <w:rFonts w:ascii="Arial" w:hAnsi="Arial" w:eastAsia="宋体" w:cs="Arial"/>
          <w:color w:val="0000FF"/>
          <w:sz w:val="21"/>
          <w:szCs w:val="21"/>
          <w:u w:val="single" w:color="0000FF"/>
          <w:lang w:eastAsia="zh-CN"/>
        </w:rPr>
        <w:t>l</w:t>
      </w:r>
      <w:r>
        <w:rPr>
          <w:rFonts w:ascii="Arial" w:hAnsi="Arial" w:eastAsia="宋体" w:cs="Arial"/>
          <w:color w:val="0000FF"/>
          <w:sz w:val="21"/>
          <w:szCs w:val="21"/>
          <w:u w:val="single" w:color="0000FF"/>
          <w:lang w:eastAsia="zh-CN"/>
        </w:rPr>
        <w:fldChar w:fldCharType="end"/>
      </w:r>
    </w:p>
    <w:p w14:paraId="53A25437">
      <w:pPr>
        <w:pStyle w:val="29"/>
        <w:numPr>
          <w:ilvl w:val="1"/>
          <w:numId w:val="5"/>
        </w:numPr>
        <w:tabs>
          <w:tab w:val="left" w:pos="1190"/>
          <w:tab w:val="left" w:pos="7608"/>
        </w:tabs>
        <w:snapToGrid w:val="0"/>
        <w:spacing w:before="17" w:line="300" w:lineRule="auto"/>
        <w:ind w:left="0" w:firstLine="714"/>
        <w:jc w:val="both"/>
        <w:rPr>
          <w:rFonts w:ascii="Arial" w:hAnsi="Arial" w:eastAsia="宋体" w:cs="Arial"/>
          <w:sz w:val="21"/>
          <w:szCs w:val="21"/>
        </w:rPr>
      </w:pPr>
      <w:r>
        <w:rPr>
          <w:rFonts w:ascii="Arial" w:hAnsi="Arial" w:eastAsia="宋体" w:cs="Arial"/>
          <w:sz w:val="21"/>
          <w:szCs w:val="21"/>
          <w:lang w:eastAsia="zh-CN"/>
        </w:rPr>
        <w:t>法规：</w:t>
      </w:r>
      <w:r>
        <w:fldChar w:fldCharType="begin"/>
      </w:r>
      <w:r>
        <w:instrText xml:space="preserve"> HYPERLINK "http://www.access.gpo.gov/nara/cfr/waisidx_03/9cfr2_03.html" \h </w:instrText>
      </w:r>
      <w:r>
        <w:fldChar w:fldCharType="separate"/>
      </w:r>
      <w:r>
        <w:rPr>
          <w:rFonts w:ascii="Arial" w:hAnsi="Arial" w:eastAsia="宋体" w:cs="Arial"/>
          <w:color w:val="0000FF"/>
          <w:sz w:val="21"/>
          <w:szCs w:val="21"/>
          <w:u w:val="single" w:color="0000FF"/>
        </w:rPr>
        <w:t>http：//www.access.gpo.gov/nara/cfr/waisidx_03/9cfr2_03.ht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w w:val="28"/>
          <w:sz w:val="21"/>
          <w:szCs w:val="21"/>
          <w:u w:val="single" w:color="0000FF"/>
        </w:rPr>
        <w:t xml:space="preserve"> </w:t>
      </w:r>
      <w:r>
        <w:rPr>
          <w:rFonts w:ascii="Arial" w:hAnsi="Arial" w:eastAsia="宋体" w:cs="Arial"/>
          <w:color w:val="0000FF"/>
          <w:w w:val="28"/>
          <w:sz w:val="21"/>
          <w:szCs w:val="21"/>
          <w:u w:val="single" w:color="0000FF"/>
        </w:rPr>
        <w:fldChar w:fldCharType="end"/>
      </w:r>
    </w:p>
    <w:p w14:paraId="1585B466">
      <w:pPr>
        <w:pStyle w:val="29"/>
        <w:numPr>
          <w:ilvl w:val="1"/>
          <w:numId w:val="5"/>
        </w:numPr>
        <w:tabs>
          <w:tab w:val="left" w:pos="1190"/>
        </w:tabs>
        <w:snapToGrid w:val="0"/>
        <w:spacing w:before="17" w:line="300" w:lineRule="auto"/>
        <w:ind w:left="0" w:firstLine="714"/>
        <w:jc w:val="both"/>
        <w:rPr>
          <w:rFonts w:ascii="Arial" w:hAnsi="Arial" w:eastAsia="宋体" w:cs="Arial"/>
          <w:sz w:val="21"/>
          <w:szCs w:val="21"/>
        </w:rPr>
      </w:pPr>
      <w:r>
        <w:rPr>
          <w:rFonts w:ascii="Arial" w:hAnsi="Arial" w:eastAsia="宋体" w:cs="Arial"/>
          <w:sz w:val="21"/>
          <w:szCs w:val="21"/>
          <w:lang w:eastAsia="zh-CN"/>
        </w:rPr>
        <w:t>标准：</w:t>
      </w:r>
      <w:r>
        <w:fldChar w:fldCharType="begin"/>
      </w:r>
      <w:r>
        <w:instrText xml:space="preserve"> HYPERLINK "http://www.access.gpo.gov/nara/cfr/waisidx_03/9cfr3_03.html" \h </w:instrText>
      </w:r>
      <w:r>
        <w:fldChar w:fldCharType="separate"/>
      </w:r>
      <w:r>
        <w:rPr>
          <w:rFonts w:ascii="Arial" w:hAnsi="Arial" w:eastAsia="宋体" w:cs="Arial"/>
          <w:color w:val="0000FF"/>
          <w:sz w:val="21"/>
          <w:szCs w:val="21"/>
          <w:u w:val="single" w:color="0000FF"/>
        </w:rPr>
        <w:t>http：//www.access.gpo.gov/nar</w:t>
      </w:r>
      <w:r>
        <w:rPr>
          <w:rFonts w:ascii="Arial" w:hAnsi="Arial" w:eastAsia="宋体" w:cs="Arial"/>
          <w:color w:val="0000FF"/>
          <w:spacing w:val="-2"/>
          <w:sz w:val="21"/>
          <w:szCs w:val="21"/>
          <w:u w:val="single" w:color="0000FF"/>
        </w:rPr>
        <w:t>a</w:t>
      </w:r>
      <w:r>
        <w:rPr>
          <w:rFonts w:ascii="Arial" w:hAnsi="Arial" w:eastAsia="宋体" w:cs="Arial"/>
          <w:color w:val="0000FF"/>
          <w:sz w:val="21"/>
          <w:szCs w:val="21"/>
          <w:u w:val="single" w:color="0000FF"/>
        </w:rPr>
        <w:t>/cfr/</w:t>
      </w:r>
      <w:r>
        <w:rPr>
          <w:rFonts w:ascii="Arial" w:hAnsi="Arial" w:eastAsia="宋体" w:cs="Arial"/>
          <w:color w:val="0000FF"/>
          <w:spacing w:val="-2"/>
          <w:sz w:val="21"/>
          <w:szCs w:val="21"/>
          <w:u w:val="single" w:color="0000FF"/>
        </w:rPr>
        <w:t>w</w:t>
      </w:r>
      <w:r>
        <w:rPr>
          <w:rFonts w:ascii="Arial" w:hAnsi="Arial" w:eastAsia="宋体" w:cs="Arial"/>
          <w:color w:val="0000FF"/>
          <w:sz w:val="21"/>
          <w:szCs w:val="21"/>
          <w:u w:val="single" w:color="0000FF"/>
        </w:rPr>
        <w:t>aisidx_03/9cfr3_03.ht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sz w:val="21"/>
          <w:szCs w:val="21"/>
          <w:u w:val="single" w:color="0000FF"/>
        </w:rPr>
        <w:fldChar w:fldCharType="end"/>
      </w:r>
    </w:p>
    <w:p w14:paraId="45666E8B">
      <w:pPr>
        <w:pStyle w:val="29"/>
        <w:numPr>
          <w:ilvl w:val="1"/>
          <w:numId w:val="5"/>
        </w:numPr>
        <w:tabs>
          <w:tab w:val="left" w:pos="1190"/>
        </w:tabs>
        <w:snapToGrid w:val="0"/>
        <w:spacing w:before="15" w:line="300" w:lineRule="auto"/>
        <w:ind w:left="0" w:firstLine="714"/>
        <w:jc w:val="both"/>
        <w:rPr>
          <w:rFonts w:ascii="Arial" w:hAnsi="Arial" w:eastAsia="宋体" w:cs="Arial"/>
          <w:sz w:val="21"/>
          <w:szCs w:val="21"/>
        </w:rPr>
      </w:pPr>
      <w:r>
        <w:rPr>
          <w:rFonts w:ascii="Arial" w:hAnsi="Arial" w:eastAsia="宋体" w:cs="Arial"/>
          <w:sz w:val="21"/>
          <w:szCs w:val="21"/>
          <w:lang w:eastAsia="zh-CN"/>
        </w:rPr>
        <w:t>适用政策：</w:t>
      </w:r>
      <w:r>
        <w:fldChar w:fldCharType="begin"/>
      </w:r>
      <w:r>
        <w:instrText xml:space="preserve"> HYPERLINK "http://www.aphis.usda.gov/animal_welfare/policy.shtml" \h </w:instrText>
      </w:r>
      <w:r>
        <w:fldChar w:fldCharType="separate"/>
      </w:r>
      <w:r>
        <w:rPr>
          <w:rFonts w:ascii="Arial" w:hAnsi="Arial" w:eastAsia="宋体" w:cs="Arial"/>
          <w:color w:val="0000FF"/>
          <w:sz w:val="21"/>
          <w:szCs w:val="21"/>
          <w:u w:val="single" w:color="0000FF"/>
        </w:rPr>
        <w:t>http：//www.aphis.usda.gov/ani</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al_welfare/policy.sht</w:t>
      </w:r>
      <w:r>
        <w:rPr>
          <w:rFonts w:ascii="Arial" w:hAnsi="Arial" w:eastAsia="宋体" w:cs="Arial"/>
          <w:color w:val="0000FF"/>
          <w:spacing w:val="-2"/>
          <w:sz w:val="21"/>
          <w:szCs w:val="21"/>
          <w:u w:val="single" w:color="0000FF"/>
        </w:rPr>
        <w:t>m</w:t>
      </w:r>
      <w:r>
        <w:rPr>
          <w:rFonts w:ascii="Arial" w:hAnsi="Arial" w:eastAsia="宋体" w:cs="Arial"/>
          <w:color w:val="0000FF"/>
          <w:sz w:val="21"/>
          <w:szCs w:val="21"/>
          <w:u w:val="single" w:color="0000FF"/>
        </w:rPr>
        <w:t>l</w:t>
      </w:r>
      <w:r>
        <w:rPr>
          <w:rFonts w:ascii="Arial" w:hAnsi="Arial" w:eastAsia="宋体" w:cs="Arial"/>
          <w:color w:val="0000FF"/>
          <w:sz w:val="21"/>
          <w:szCs w:val="21"/>
          <w:u w:val="single" w:color="0000FF"/>
        </w:rPr>
        <w:fldChar w:fldCharType="end"/>
      </w:r>
    </w:p>
    <w:p w14:paraId="05AB9AE6">
      <w:pPr>
        <w:snapToGrid w:val="0"/>
        <w:spacing w:before="11" w:line="300" w:lineRule="auto"/>
        <w:jc w:val="both"/>
        <w:rPr>
          <w:rFonts w:ascii="Arial" w:hAnsi="Arial" w:eastAsia="宋体" w:cs="Arial"/>
          <w:sz w:val="21"/>
          <w:szCs w:val="21"/>
        </w:rPr>
      </w:pPr>
    </w:p>
    <w:p w14:paraId="056DF42D">
      <w:pPr>
        <w:pStyle w:val="24"/>
        <w:numPr>
          <w:ilvl w:val="0"/>
          <w:numId w:val="4"/>
        </w:numPr>
        <w:tabs>
          <w:tab w:val="left" w:pos="640"/>
        </w:tabs>
        <w:snapToGrid w:val="0"/>
        <w:spacing w:before="69" w:line="300" w:lineRule="auto"/>
        <w:ind w:left="462" w:hanging="294"/>
        <w:jc w:val="both"/>
        <w:rPr>
          <w:rFonts w:ascii="Arial" w:hAnsi="Arial" w:eastAsia="宋体" w:cs="Arial"/>
          <w:sz w:val="21"/>
          <w:szCs w:val="21"/>
        </w:rPr>
      </w:pPr>
      <w:r>
        <w:rPr>
          <w:rFonts w:ascii="Arial" w:hAnsi="Arial" w:eastAsia="宋体" w:cs="Arial"/>
          <w:sz w:val="21"/>
          <w:szCs w:val="21"/>
          <w:lang w:eastAsia="zh-CN"/>
        </w:rPr>
        <w:t>关于人文关怀和使用实验动物的公共卫生署政策，研究风险保护办公室，NIH，Bethesda，MD，1996：</w:t>
      </w:r>
      <w:r>
        <w:fldChar w:fldCharType="begin"/>
      </w:r>
      <w:r>
        <w:instrText xml:space="preserve"> HYPERLINK "http://grants.nih.gov/grants/olaw/references/phspol.htm" \h </w:instrText>
      </w:r>
      <w:r>
        <w:fldChar w:fldCharType="separate"/>
      </w:r>
      <w:r>
        <w:rPr>
          <w:rFonts w:ascii="Arial" w:hAnsi="Arial" w:eastAsia="宋体" w:cs="Arial"/>
          <w:color w:val="0000FF"/>
          <w:sz w:val="21"/>
          <w:szCs w:val="21"/>
          <w:u w:val="single" w:color="0000FF"/>
        </w:rPr>
        <w:t>http：//grants.nih.gov/grants/olaw/references/phspol.htm</w:t>
      </w:r>
      <w:r>
        <w:rPr>
          <w:rFonts w:ascii="Arial" w:hAnsi="Arial" w:eastAsia="宋体" w:cs="Arial"/>
          <w:color w:val="0000FF"/>
          <w:sz w:val="21"/>
          <w:szCs w:val="21"/>
          <w:u w:val="single" w:color="0000FF"/>
        </w:rPr>
        <w:fldChar w:fldCharType="end"/>
      </w:r>
    </w:p>
    <w:p w14:paraId="663D27BB">
      <w:pPr>
        <w:snapToGrid w:val="0"/>
        <w:spacing w:before="11" w:line="300" w:lineRule="auto"/>
        <w:ind w:left="462" w:hanging="294"/>
        <w:jc w:val="both"/>
        <w:rPr>
          <w:rFonts w:ascii="Arial" w:hAnsi="Arial" w:eastAsia="宋体" w:cs="Arial"/>
          <w:sz w:val="21"/>
          <w:szCs w:val="21"/>
        </w:rPr>
      </w:pPr>
    </w:p>
    <w:p w14:paraId="532A126A">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公法99-158</w:t>
      </w:r>
      <w:r>
        <w:rPr>
          <w:rFonts w:hint="eastAsia" w:ascii="Arial" w:hAnsi="Arial" w:eastAsia="宋体" w:cs="Arial"/>
          <w:sz w:val="21"/>
          <w:szCs w:val="21"/>
          <w:lang w:eastAsia="zh-CN"/>
        </w:rPr>
        <w:t>“动物研究”</w:t>
      </w:r>
      <w:r>
        <w:rPr>
          <w:rFonts w:ascii="Arial" w:hAnsi="Arial" w:eastAsia="宋体" w:cs="Arial"/>
          <w:sz w:val="21"/>
          <w:szCs w:val="21"/>
          <w:lang w:eastAsia="zh-CN"/>
        </w:rPr>
        <w:t>1985年卫生研究扩充法案，1985年11月20日。</w:t>
      </w:r>
      <w:r>
        <w:rPr>
          <w:rFonts w:ascii="Arial" w:hAnsi="Arial" w:eastAsia="宋体" w:cs="Arial"/>
          <w:sz w:val="21"/>
          <w:szCs w:val="21"/>
          <w:lang w:eastAsia="zh-CN"/>
        </w:rPr>
        <w:br w:type="textWrapping"/>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1"/>
          <w:szCs w:val="21"/>
          <w:u w:val="single" w:color="0000FF"/>
        </w:rPr>
        <w:t>http：//grants.nih.gov/grants/olaw/references/phsp</w:t>
      </w:r>
      <w:r>
        <w:rPr>
          <w:rFonts w:ascii="Arial" w:hAnsi="Arial" w:eastAsia="宋体" w:cs="Arial"/>
          <w:color w:val="0000FF"/>
          <w:spacing w:val="-2"/>
          <w:sz w:val="21"/>
          <w:szCs w:val="21"/>
          <w:u w:val="single" w:color="0000FF"/>
        </w:rPr>
        <w:t>o</w:t>
      </w:r>
      <w:r>
        <w:rPr>
          <w:rFonts w:ascii="Arial" w:hAnsi="Arial" w:eastAsia="宋体" w:cs="Arial"/>
          <w:color w:val="0000FF"/>
          <w:sz w:val="21"/>
          <w:szCs w:val="21"/>
          <w:u w:val="single" w:color="0000FF"/>
        </w:rPr>
        <w:t>l.ht</w:t>
      </w:r>
      <w:r>
        <w:rPr>
          <w:rFonts w:ascii="Arial" w:hAnsi="Arial" w:eastAsia="宋体" w:cs="Arial"/>
          <w:color w:val="0000FF"/>
          <w:spacing w:val="-2"/>
          <w:sz w:val="21"/>
          <w:szCs w:val="21"/>
          <w:u w:val="single" w:color="0000FF"/>
        </w:rPr>
        <w:t>m</w:t>
      </w:r>
      <w:r>
        <w:rPr>
          <w:rFonts w:ascii="Arial" w:hAnsi="Arial" w:eastAsia="宋体" w:cs="Arial"/>
          <w:color w:val="0000FF"/>
          <w:spacing w:val="-1"/>
          <w:sz w:val="21"/>
          <w:szCs w:val="21"/>
          <w:u w:val="single" w:color="0000FF"/>
        </w:rPr>
        <w:t>#</w:t>
      </w:r>
      <w:r>
        <w:rPr>
          <w:rFonts w:ascii="Arial" w:hAnsi="Arial" w:eastAsia="宋体" w:cs="Arial"/>
          <w:color w:val="0000FF"/>
          <w:sz w:val="21"/>
          <w:szCs w:val="21"/>
          <w:u w:val="single" w:color="0000FF"/>
        </w:rPr>
        <w:t>Health%20Research%20E</w:t>
      </w:r>
      <w:r>
        <w:rPr>
          <w:rFonts w:ascii="Arial" w:hAnsi="Arial" w:eastAsia="宋体" w:cs="Arial"/>
          <w:color w:val="0000FF"/>
          <w:sz w:val="21"/>
          <w:szCs w:val="21"/>
          <w:u w:val="single" w:color="0000FF"/>
        </w:rPr>
        <w:fldChar w:fldCharType="end"/>
      </w:r>
      <w:r>
        <w:rPr>
          <w:rFonts w:ascii="Arial" w:hAnsi="Arial" w:eastAsia="宋体" w:cs="Arial"/>
          <w:color w:val="0000FF"/>
          <w:sz w:val="21"/>
          <w:szCs w:val="21"/>
        </w:rPr>
        <w:t xml:space="preserve"> </w:t>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1"/>
          <w:szCs w:val="21"/>
          <w:u w:val="single" w:color="0000FF"/>
        </w:rPr>
        <w:t>xtension%20Act%20of%201985</w:t>
      </w:r>
      <w:r>
        <w:rPr>
          <w:rFonts w:ascii="Arial" w:hAnsi="Arial" w:eastAsia="宋体" w:cs="Arial"/>
          <w:color w:val="0000FF"/>
          <w:sz w:val="21"/>
          <w:szCs w:val="21"/>
          <w:u w:val="single" w:color="0000FF"/>
        </w:rPr>
        <w:fldChar w:fldCharType="end"/>
      </w:r>
      <w:r>
        <w:rPr>
          <w:rFonts w:ascii="Arial" w:hAnsi="Arial" w:eastAsia="宋体" w:cs="Arial"/>
          <w:sz w:val="21"/>
          <w:szCs w:val="21"/>
        </w:rPr>
        <w:t>.</w:t>
      </w:r>
    </w:p>
    <w:p w14:paraId="1011526A">
      <w:pPr>
        <w:snapToGrid w:val="0"/>
        <w:spacing w:line="300" w:lineRule="auto"/>
        <w:ind w:left="462" w:hanging="294"/>
        <w:rPr>
          <w:rFonts w:ascii="Arial" w:hAnsi="Arial" w:eastAsia="宋体" w:cs="Arial"/>
          <w:sz w:val="21"/>
          <w:szCs w:val="21"/>
        </w:rPr>
      </w:pPr>
    </w:p>
    <w:p w14:paraId="03936130">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美国政府关于用于试验、研究和培训的脊椎动物使用和关怀原则。</w:t>
      </w:r>
      <w:r>
        <w:rPr>
          <w:rFonts w:ascii="Arial" w:hAnsi="Arial" w:eastAsia="宋体" w:cs="Arial"/>
          <w:sz w:val="21"/>
          <w:szCs w:val="21"/>
          <w:lang w:eastAsia="zh-CN"/>
        </w:rPr>
        <w:br w:type="textWrapping"/>
      </w:r>
      <w:r>
        <w:fldChar w:fldCharType="begin"/>
      </w:r>
      <w:r>
        <w:instrText xml:space="preserve"> HYPERLINK "http://grants.nih.gov/grants/olaw/references/phspol.htm" \l "USGovPrinciples" \h </w:instrText>
      </w:r>
      <w:r>
        <w:fldChar w:fldCharType="separate"/>
      </w:r>
      <w:r>
        <w:rPr>
          <w:rFonts w:ascii="Arial" w:hAnsi="Arial" w:eastAsia="宋体" w:cs="Arial"/>
          <w:color w:val="0000FF"/>
          <w:sz w:val="21"/>
          <w:szCs w:val="21"/>
          <w:u w:val="single" w:color="0000FF"/>
        </w:rPr>
        <w:t>http：//grants.nih.gov/grants/olaw/references/phspol.ht</w:t>
      </w:r>
      <w:r>
        <w:rPr>
          <w:rFonts w:ascii="Arial" w:hAnsi="Arial" w:eastAsia="宋体" w:cs="Arial"/>
          <w:color w:val="0000FF"/>
          <w:spacing w:val="-2"/>
          <w:sz w:val="21"/>
          <w:szCs w:val="21"/>
          <w:u w:val="single" w:color="0000FF"/>
        </w:rPr>
        <w:t>m</w:t>
      </w:r>
      <w:r>
        <w:rPr>
          <w:rFonts w:ascii="Arial" w:hAnsi="Arial" w:eastAsia="宋体" w:cs="Arial"/>
          <w:color w:val="0000FF"/>
          <w:w w:val="99"/>
          <w:sz w:val="21"/>
          <w:szCs w:val="21"/>
          <w:u w:val="single" w:color="0000FF"/>
        </w:rPr>
        <w:t>#USGovPrinciple</w:t>
      </w:r>
      <w:r>
        <w:rPr>
          <w:rFonts w:ascii="Arial" w:hAnsi="Arial" w:eastAsia="宋体" w:cs="Arial"/>
          <w:color w:val="0000FF"/>
          <w:spacing w:val="-1"/>
          <w:w w:val="99"/>
          <w:sz w:val="21"/>
          <w:szCs w:val="21"/>
          <w:u w:val="single" w:color="0000FF"/>
        </w:rPr>
        <w:t>s</w:t>
      </w:r>
      <w:r>
        <w:rPr>
          <w:rFonts w:ascii="Arial" w:hAnsi="Arial" w:eastAsia="宋体" w:cs="Arial"/>
          <w:color w:val="0000FF"/>
          <w:spacing w:val="-1"/>
          <w:w w:val="99"/>
          <w:sz w:val="21"/>
          <w:szCs w:val="21"/>
          <w:u w:val="single" w:color="0000FF"/>
        </w:rPr>
        <w:fldChar w:fldCharType="end"/>
      </w:r>
      <w:r>
        <w:rPr>
          <w:rFonts w:ascii="Arial" w:hAnsi="Arial" w:eastAsia="宋体" w:cs="Arial"/>
          <w:sz w:val="21"/>
          <w:szCs w:val="21"/>
        </w:rPr>
        <w:t>.</w:t>
      </w:r>
    </w:p>
    <w:p w14:paraId="48041626">
      <w:pPr>
        <w:snapToGrid w:val="0"/>
        <w:spacing w:line="300" w:lineRule="auto"/>
        <w:ind w:left="462" w:hanging="294"/>
        <w:rPr>
          <w:rFonts w:ascii="Arial" w:hAnsi="Arial" w:eastAsia="宋体" w:cs="Arial"/>
          <w:sz w:val="21"/>
          <w:szCs w:val="21"/>
        </w:rPr>
      </w:pPr>
    </w:p>
    <w:p w14:paraId="5FD293FB">
      <w:pPr>
        <w:pStyle w:val="24"/>
        <w:numPr>
          <w:ilvl w:val="0"/>
          <w:numId w:val="4"/>
        </w:numPr>
        <w:snapToGrid w:val="0"/>
        <w:spacing w:line="300" w:lineRule="auto"/>
        <w:ind w:left="462" w:hanging="294"/>
        <w:rPr>
          <w:rFonts w:ascii="Arial" w:hAnsi="Arial" w:eastAsia="宋体" w:cs="Arial"/>
          <w:sz w:val="21"/>
          <w:szCs w:val="21"/>
        </w:rPr>
      </w:pPr>
      <w:r>
        <w:rPr>
          <w:rFonts w:ascii="Arial" w:hAnsi="Arial" w:eastAsia="宋体" w:cs="Arial"/>
          <w:sz w:val="21"/>
          <w:szCs w:val="21"/>
          <w:lang w:eastAsia="zh-CN"/>
        </w:rPr>
        <w:t>实验室动物的</w:t>
      </w:r>
      <w:r>
        <w:rPr>
          <w:rFonts w:hint="eastAsia" w:ascii="Arial" w:hAnsi="Arial" w:eastAsia="宋体" w:cs="Arial"/>
          <w:sz w:val="21"/>
          <w:szCs w:val="21"/>
          <w:lang w:eastAsia="zh-CN"/>
        </w:rPr>
        <w:t>关怀</w:t>
      </w:r>
      <w:r>
        <w:rPr>
          <w:rFonts w:ascii="Arial" w:hAnsi="Arial" w:eastAsia="宋体" w:cs="Arial"/>
          <w:sz w:val="21"/>
          <w:szCs w:val="21"/>
          <w:lang w:eastAsia="zh-CN"/>
        </w:rPr>
        <w:t>和使用指南。国家研究委员会，实验动物资源委员会生命科学研究所1996。国家科学院出版社，华盛顿特区。</w:t>
      </w:r>
      <w:r>
        <w:fldChar w:fldCharType="begin"/>
      </w:r>
      <w:r>
        <w:instrText xml:space="preserve"> HYPERLINK "http://www.nap.edu/openbook.php?record_id=5140&amp;amp;page=8" \h </w:instrText>
      </w:r>
      <w:r>
        <w:fldChar w:fldCharType="separate"/>
      </w:r>
      <w:r>
        <w:rPr>
          <w:rFonts w:ascii="Arial" w:hAnsi="Arial" w:eastAsia="宋体" w:cs="Arial"/>
          <w:color w:val="0000FF"/>
          <w:w w:val="99"/>
          <w:sz w:val="21"/>
          <w:szCs w:val="21"/>
          <w:u w:val="single" w:color="0000FF"/>
        </w:rPr>
        <w:t>http：//www.nap.edu/openbook.php?record_id=5140&amp;page=8</w:t>
      </w:r>
      <w:r>
        <w:rPr>
          <w:rFonts w:ascii="Arial" w:hAnsi="Arial" w:eastAsia="宋体" w:cs="Arial"/>
          <w:color w:val="0000FF"/>
          <w:w w:val="99"/>
          <w:sz w:val="21"/>
          <w:szCs w:val="21"/>
          <w:u w:val="single" w:color="0000FF"/>
        </w:rPr>
        <w:fldChar w:fldCharType="end"/>
      </w:r>
    </w:p>
    <w:p w14:paraId="455129F3">
      <w:pPr>
        <w:tabs>
          <w:tab w:val="left" w:pos="640"/>
        </w:tabs>
        <w:snapToGrid w:val="0"/>
        <w:spacing w:line="300" w:lineRule="auto"/>
        <w:jc w:val="both"/>
        <w:rPr>
          <w:rFonts w:ascii="Arial" w:hAnsi="Arial" w:eastAsia="宋体" w:cs="Arial"/>
          <w:sz w:val="21"/>
          <w:szCs w:val="21"/>
        </w:rPr>
      </w:pPr>
    </w:p>
    <w:p w14:paraId="12A9F9C6">
      <w:pPr>
        <w:tabs>
          <w:tab w:val="left" w:pos="2780"/>
          <w:tab w:val="left" w:pos="8699"/>
        </w:tabs>
        <w:snapToGrid w:val="0"/>
        <w:spacing w:before="1" w:line="300" w:lineRule="auto"/>
        <w:jc w:val="both"/>
        <w:rPr>
          <w:rFonts w:hint="eastAsia" w:eastAsia="宋体"/>
          <w:lang w:eastAsia="zh-CN"/>
        </w:rPr>
      </w:pPr>
    </w:p>
    <w:p w14:paraId="1FE1613D">
      <w:pPr>
        <w:tabs>
          <w:tab w:val="left" w:pos="2780"/>
          <w:tab w:val="left" w:pos="8699"/>
        </w:tabs>
        <w:snapToGrid w:val="0"/>
        <w:spacing w:before="1" w:line="300" w:lineRule="auto"/>
        <w:jc w:val="center"/>
        <w:rPr>
          <w:rFonts w:hint="eastAsia" w:eastAsia="宋体"/>
          <w:lang w:eastAsia="zh-CN"/>
        </w:rPr>
      </w:pPr>
    </w:p>
    <w:p w14:paraId="05DA6E64">
      <w:pPr>
        <w:tabs>
          <w:tab w:val="left" w:pos="2780"/>
          <w:tab w:val="left" w:pos="8699"/>
        </w:tabs>
        <w:snapToGrid w:val="0"/>
        <w:spacing w:before="1"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9" name="图片 19" descr="2"/>
            <wp:cNvGraphicFramePr/>
            <a:graphic xmlns:a="http://schemas.openxmlformats.org/drawingml/2006/main">
              <a:graphicData uri="http://schemas.openxmlformats.org/drawingml/2006/picture">
                <pic:pic xmlns:pic="http://schemas.openxmlformats.org/drawingml/2006/picture">
                  <pic:nvPicPr>
                    <pic:cNvPr id="19" name="图片 19" descr="2"/>
                    <pic:cNvPicPr/>
                  </pic:nvPicPr>
                  <pic:blipFill>
                    <a:blip r:embed="rId12"/>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891" w:footer="7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32997707"/>
      <w:docPartObj>
        <w:docPartGallery w:val="AutoText"/>
      </w:docPartObj>
    </w:sdtPr>
    <w:sdtEndPr>
      <w:rPr>
        <w:rFonts w:ascii="Arial" w:hAnsi="Arial" w:cs="Arial"/>
        <w:sz w:val="21"/>
        <w:szCs w:val="21"/>
      </w:rPr>
    </w:sdtEndPr>
    <w:sdtContent>
      <w:p w14:paraId="242804B0">
        <w:pPr>
          <w:pStyle w:val="13"/>
          <w:jc w:val="right"/>
          <w:rPr>
            <w:rFonts w:ascii="Arial" w:hAnsi="Arial" w:cs="Arial"/>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8"/>
        <w:szCs w:val="28"/>
      </w:rPr>
      <w:id w:val="1669899588"/>
      <w:docPartObj>
        <w:docPartGallery w:val="AutoText"/>
      </w:docPartObj>
    </w:sdtPr>
    <w:sdtEndPr>
      <w:rPr>
        <w:rFonts w:ascii="Arial" w:hAnsi="Arial" w:cs="Arial"/>
        <w:sz w:val="28"/>
        <w:szCs w:val="28"/>
      </w:rPr>
    </w:sdtEndPr>
    <w:sdtContent>
      <w:p w14:paraId="0A617298">
        <w:pPr>
          <w:pStyle w:val="13"/>
          <w:jc w:val="right"/>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lang w:val="zh-CN" w:eastAsia="zh-CN"/>
          </w:rPr>
          <w:t>2</w:t>
        </w:r>
        <w:r>
          <w:rPr>
            <w:rFonts w:ascii="Arial" w:hAnsi="Arial" w:cs="Arial"/>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6734">
    <w:pPr>
      <w:pStyle w:val="13"/>
      <w:jc w:val="right"/>
      <w:rPr>
        <w:rFonts w:ascii="Arial" w:hAnsi="Arial" w:cs="Arial"/>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8"/>
        <w:szCs w:val="28"/>
      </w:rPr>
      <w:id w:val="-1126850438"/>
      <w:docPartObj>
        <w:docPartGallery w:val="AutoText"/>
      </w:docPartObj>
    </w:sdtPr>
    <w:sdtEndPr>
      <w:rPr>
        <w:rFonts w:ascii="Arial" w:hAnsi="Arial" w:cs="Arial"/>
        <w:sz w:val="28"/>
        <w:szCs w:val="28"/>
      </w:rPr>
    </w:sdtEndPr>
    <w:sdtContent>
      <w:p w14:paraId="61CDD78A">
        <w:pPr>
          <w:pStyle w:val="13"/>
          <w:jc w:val="right"/>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lang w:val="zh-CN" w:eastAsia="zh-CN"/>
          </w:rPr>
          <w:t>8</w:t>
        </w:r>
        <w:r>
          <w:rPr>
            <w:rFonts w:ascii="Arial" w:hAnsi="Arial" w:cs="Arial"/>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53E8">
    <w:pPr>
      <w:spacing w:line="244" w:lineRule="exact"/>
      <w:jc w:val="center"/>
      <w:rPr>
        <w:rFonts w:ascii="Arial" w:hAnsi="Arial" w:eastAsia="宋体" w:cs="Arial"/>
        <w:b/>
        <w:lang w:eastAsia="zh-CN"/>
      </w:rPr>
    </w:pPr>
    <w:r>
      <w:rPr>
        <w:rFonts w:ascii="Arial" w:hAnsi="Arial" w:eastAsia="宋体" w:cs="Arial"/>
        <w:b/>
        <w:w w:val="99"/>
        <w:lang w:eastAsia="zh-CN"/>
      </w:rPr>
      <w:t>II</w:t>
    </w:r>
    <w:r>
      <w:rPr>
        <w:rFonts w:ascii="Arial" w:hAnsi="Arial" w:eastAsia="宋体" w:cs="Arial"/>
        <w:b/>
        <w:lang w:eastAsia="zh-CN"/>
      </w:rPr>
      <w:t xml:space="preserve"> 类特殊控制指导性文件</w:t>
    </w:r>
  </w:p>
  <w:p w14:paraId="693303CD">
    <w:pPr>
      <w:spacing w:line="244" w:lineRule="exact"/>
      <w:jc w:val="center"/>
      <w:rPr>
        <w:rFonts w:ascii="Arial" w:hAnsi="Arial" w:eastAsia="宋体" w:cs="Arial"/>
        <w:lang w:eastAsia="zh-CN"/>
      </w:rPr>
    </w:pPr>
  </w:p>
  <w:p w14:paraId="4322AC66">
    <w:pPr>
      <w:spacing w:line="14" w:lineRule="auto"/>
      <w:rPr>
        <w:rFonts w:ascii="Arial" w:hAnsi="Arial" w:eastAsia="宋体" w:cs="Arial"/>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93E5">
    <w:pPr>
      <w:spacing w:line="244" w:lineRule="exact"/>
      <w:jc w:val="center"/>
      <w:rPr>
        <w:rFonts w:ascii="Arial" w:hAnsi="Arial" w:eastAsia="宋体" w:cs="Arial"/>
        <w:lang w:eastAsia="zh-CN"/>
      </w:rPr>
    </w:pPr>
  </w:p>
  <w:p w14:paraId="53A4B5C5">
    <w:pPr>
      <w:spacing w:line="14" w:lineRule="auto"/>
      <w:rPr>
        <w:rFonts w:ascii="Arial" w:hAnsi="Arial" w:eastAsia="宋体" w:cs="Arial"/>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118E">
    <w:pPr>
      <w:spacing w:line="244" w:lineRule="exact"/>
      <w:jc w:val="center"/>
      <w:rPr>
        <w:rFonts w:ascii="Arial" w:hAnsi="Arial" w:eastAsia="宋体" w:cs="Arial"/>
        <w:b/>
        <w:lang w:eastAsia="zh-CN"/>
      </w:rPr>
    </w:pPr>
    <w:r>
      <w:rPr>
        <w:rFonts w:ascii="Arial" w:hAnsi="Arial" w:eastAsia="宋体" w:cs="Arial"/>
        <w:b/>
        <w:w w:val="99"/>
        <w:lang w:eastAsia="zh-CN"/>
      </w:rPr>
      <w:t>II</w:t>
    </w:r>
    <w:r>
      <w:rPr>
        <w:rFonts w:ascii="Arial" w:hAnsi="Arial" w:eastAsia="宋体" w:cs="Arial"/>
        <w:b/>
        <w:lang w:eastAsia="zh-CN"/>
      </w:rPr>
      <w:t xml:space="preserve"> 类特殊控制指导性文件</w:t>
    </w:r>
  </w:p>
  <w:p w14:paraId="4C06450F">
    <w:pPr>
      <w:spacing w:line="244" w:lineRule="exact"/>
      <w:jc w:val="center"/>
      <w:rPr>
        <w:rFonts w:ascii="Arial" w:hAnsi="Arial" w:eastAsia="宋体" w:cs="Arial"/>
        <w:lang w:eastAsia="zh-CN"/>
      </w:rPr>
    </w:pPr>
  </w:p>
  <w:p w14:paraId="27942D70">
    <w:pPr>
      <w:spacing w:line="14" w:lineRule="auto"/>
      <w:rPr>
        <w:rFonts w:ascii="Arial" w:hAnsi="Arial" w:eastAsia="宋体" w:cs="Arial"/>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6AC0"/>
    <w:multiLevelType w:val="multilevel"/>
    <w:tmpl w:val="22386AC0"/>
    <w:lvl w:ilvl="0" w:tentative="0">
      <w:start w:val="1"/>
      <w:numFmt w:val="decimal"/>
      <w:lvlText w:val="%1."/>
      <w:lvlJc w:val="left"/>
      <w:pPr>
        <w:ind w:left="640" w:hanging="360"/>
      </w:pPr>
      <w:rPr>
        <w:rFonts w:hint="default" w:ascii="Arial" w:hAnsi="Arial" w:eastAsia="Times New Roman" w:cs="Arial"/>
        <w:spacing w:val="-3"/>
        <w:w w:val="100"/>
        <w:sz w:val="21"/>
        <w:szCs w:val="21"/>
      </w:rPr>
    </w:lvl>
    <w:lvl w:ilvl="1" w:tentative="0">
      <w:start w:val="1"/>
      <w:numFmt w:val="bullet"/>
      <w:lvlText w:val="•"/>
      <w:lvlJc w:val="left"/>
      <w:pPr>
        <w:ind w:left="1540" w:hanging="360"/>
      </w:pPr>
      <w:rPr>
        <w:rFonts w:hint="default" w:ascii="Arial" w:hAnsi="Arial" w:eastAsia="Arial"/>
        <w:w w:val="131"/>
        <w:sz w:val="24"/>
        <w:szCs w:val="24"/>
      </w:rPr>
    </w:lvl>
    <w:lvl w:ilvl="2" w:tentative="0">
      <w:start w:val="1"/>
      <w:numFmt w:val="bullet"/>
      <w:lvlText w:val="•"/>
      <w:lvlJc w:val="left"/>
      <w:pPr>
        <w:ind w:left="2353" w:hanging="360"/>
      </w:pPr>
      <w:rPr>
        <w:rFonts w:hint="default"/>
      </w:rPr>
    </w:lvl>
    <w:lvl w:ilvl="3" w:tentative="0">
      <w:start w:val="1"/>
      <w:numFmt w:val="bullet"/>
      <w:lvlText w:val="•"/>
      <w:lvlJc w:val="left"/>
      <w:pPr>
        <w:ind w:left="3166" w:hanging="360"/>
      </w:pPr>
      <w:rPr>
        <w:rFonts w:hint="default"/>
      </w:rPr>
    </w:lvl>
    <w:lvl w:ilvl="4" w:tentative="0">
      <w:start w:val="1"/>
      <w:numFmt w:val="bullet"/>
      <w:lvlText w:val="•"/>
      <w:lvlJc w:val="left"/>
      <w:pPr>
        <w:ind w:left="3980" w:hanging="360"/>
      </w:pPr>
      <w:rPr>
        <w:rFonts w:hint="default"/>
      </w:rPr>
    </w:lvl>
    <w:lvl w:ilvl="5" w:tentative="0">
      <w:start w:val="1"/>
      <w:numFmt w:val="bullet"/>
      <w:lvlText w:val="•"/>
      <w:lvlJc w:val="left"/>
      <w:pPr>
        <w:ind w:left="4793" w:hanging="360"/>
      </w:pPr>
      <w:rPr>
        <w:rFonts w:hint="default"/>
      </w:rPr>
    </w:lvl>
    <w:lvl w:ilvl="6" w:tentative="0">
      <w:start w:val="1"/>
      <w:numFmt w:val="bullet"/>
      <w:lvlText w:val="•"/>
      <w:lvlJc w:val="left"/>
      <w:pPr>
        <w:ind w:left="5606" w:hanging="360"/>
      </w:pPr>
      <w:rPr>
        <w:rFonts w:hint="default"/>
      </w:rPr>
    </w:lvl>
    <w:lvl w:ilvl="7" w:tentative="0">
      <w:start w:val="1"/>
      <w:numFmt w:val="bullet"/>
      <w:lvlText w:val="•"/>
      <w:lvlJc w:val="left"/>
      <w:pPr>
        <w:ind w:left="6420" w:hanging="360"/>
      </w:pPr>
      <w:rPr>
        <w:rFonts w:hint="default"/>
      </w:rPr>
    </w:lvl>
    <w:lvl w:ilvl="8" w:tentative="0">
      <w:start w:val="1"/>
      <w:numFmt w:val="bullet"/>
      <w:lvlText w:val="•"/>
      <w:lvlJc w:val="left"/>
      <w:pPr>
        <w:ind w:left="7233" w:hanging="360"/>
      </w:pPr>
      <w:rPr>
        <w:rFonts w:hint="default"/>
      </w:rPr>
    </w:lvl>
  </w:abstractNum>
  <w:abstractNum w:abstractNumId="1">
    <w:nsid w:val="2D555B77"/>
    <w:multiLevelType w:val="multilevel"/>
    <w:tmpl w:val="2D555B77"/>
    <w:lvl w:ilvl="0" w:tentative="0">
      <w:start w:val="1"/>
      <w:numFmt w:val="decimal"/>
      <w:lvlText w:val="%1."/>
      <w:lvlJc w:val="left"/>
      <w:pPr>
        <w:ind w:left="459" w:hanging="320"/>
        <w:jc w:val="left"/>
      </w:pPr>
      <w:rPr>
        <w:rFonts w:hint="default" w:ascii="Arial" w:hAnsi="Arial" w:eastAsia="Times New Roman" w:cs="Arial"/>
        <w:b/>
        <w:bCs/>
        <w:w w:val="100"/>
        <w:sz w:val="32"/>
        <w:szCs w:val="32"/>
      </w:rPr>
    </w:lvl>
    <w:lvl w:ilvl="1" w:tentative="0">
      <w:start w:val="1"/>
      <w:numFmt w:val="bullet"/>
      <w:lvlText w:val=""/>
      <w:lvlJc w:val="left"/>
      <w:pPr>
        <w:ind w:left="912" w:hanging="360"/>
      </w:pPr>
      <w:rPr>
        <w:rFonts w:hint="default" w:ascii="Symbol" w:hAnsi="Symbol" w:eastAsia="Symbol"/>
        <w:w w:val="100"/>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280" w:hanging="360"/>
      </w:pPr>
      <w:rPr>
        <w:rFonts w:hint="default"/>
      </w:rPr>
    </w:lvl>
    <w:lvl w:ilvl="4" w:tentative="0">
      <w:start w:val="1"/>
      <w:numFmt w:val="bullet"/>
      <w:lvlText w:val="•"/>
      <w:lvlJc w:val="left"/>
      <w:pPr>
        <w:ind w:left="2365" w:hanging="360"/>
      </w:pPr>
      <w:rPr>
        <w:rFonts w:hint="default"/>
      </w:rPr>
    </w:lvl>
    <w:lvl w:ilvl="5" w:tentative="0">
      <w:start w:val="1"/>
      <w:numFmt w:val="bullet"/>
      <w:lvlText w:val="•"/>
      <w:lvlJc w:val="left"/>
      <w:pPr>
        <w:ind w:left="3451" w:hanging="360"/>
      </w:pPr>
      <w:rPr>
        <w:rFonts w:hint="default"/>
      </w:rPr>
    </w:lvl>
    <w:lvl w:ilvl="6" w:tentative="0">
      <w:start w:val="1"/>
      <w:numFmt w:val="bullet"/>
      <w:lvlText w:val="•"/>
      <w:lvlJc w:val="left"/>
      <w:pPr>
        <w:ind w:left="4537" w:hanging="360"/>
      </w:pPr>
      <w:rPr>
        <w:rFonts w:hint="default"/>
      </w:rPr>
    </w:lvl>
    <w:lvl w:ilvl="7" w:tentative="0">
      <w:start w:val="1"/>
      <w:numFmt w:val="bullet"/>
      <w:lvlText w:val="•"/>
      <w:lvlJc w:val="left"/>
      <w:pPr>
        <w:ind w:left="5622" w:hanging="360"/>
      </w:pPr>
      <w:rPr>
        <w:rFonts w:hint="default"/>
      </w:rPr>
    </w:lvl>
    <w:lvl w:ilvl="8" w:tentative="0">
      <w:start w:val="1"/>
      <w:numFmt w:val="bullet"/>
      <w:lvlText w:val="•"/>
      <w:lvlJc w:val="left"/>
      <w:pPr>
        <w:ind w:left="6708" w:hanging="360"/>
      </w:pPr>
      <w:rPr>
        <w:rFonts w:hint="default"/>
      </w:rPr>
    </w:lvl>
  </w:abstractNum>
  <w:abstractNum w:abstractNumId="2">
    <w:nsid w:val="4B59628C"/>
    <w:multiLevelType w:val="multilevel"/>
    <w:tmpl w:val="4B5962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715ACA"/>
    <w:multiLevelType w:val="multilevel"/>
    <w:tmpl w:val="4C715ACA"/>
    <w:lvl w:ilvl="0" w:tentative="0">
      <w:start w:val="1"/>
      <w:numFmt w:val="bullet"/>
      <w:lvlText w:val="•"/>
      <w:lvlJc w:val="left"/>
      <w:pPr>
        <w:ind w:left="867" w:hanging="420"/>
      </w:pPr>
      <w:rPr>
        <w:rFonts w:hint="default"/>
      </w:rPr>
    </w:lvl>
    <w:lvl w:ilvl="1" w:tentative="0">
      <w:start w:val="1"/>
      <w:numFmt w:val="bullet"/>
      <w:lvlText w:val=""/>
      <w:lvlJc w:val="left"/>
      <w:pPr>
        <w:ind w:left="1287" w:hanging="420"/>
      </w:pPr>
      <w:rPr>
        <w:rFonts w:hint="default" w:ascii="Wingdings" w:hAnsi="Wingdings"/>
      </w:rPr>
    </w:lvl>
    <w:lvl w:ilvl="2" w:tentative="0">
      <w:start w:val="1"/>
      <w:numFmt w:val="bullet"/>
      <w:lvlText w:val=""/>
      <w:lvlJc w:val="left"/>
      <w:pPr>
        <w:ind w:left="1707" w:hanging="420"/>
      </w:pPr>
      <w:rPr>
        <w:rFonts w:hint="default" w:ascii="Wingdings" w:hAnsi="Wingdings"/>
      </w:rPr>
    </w:lvl>
    <w:lvl w:ilvl="3" w:tentative="0">
      <w:start w:val="1"/>
      <w:numFmt w:val="bullet"/>
      <w:lvlText w:val=""/>
      <w:lvlJc w:val="left"/>
      <w:pPr>
        <w:ind w:left="2127" w:hanging="420"/>
      </w:pPr>
      <w:rPr>
        <w:rFonts w:hint="default" w:ascii="Wingdings" w:hAnsi="Wingdings"/>
      </w:rPr>
    </w:lvl>
    <w:lvl w:ilvl="4" w:tentative="0">
      <w:start w:val="1"/>
      <w:numFmt w:val="bullet"/>
      <w:lvlText w:val=""/>
      <w:lvlJc w:val="left"/>
      <w:pPr>
        <w:ind w:left="2547" w:hanging="420"/>
      </w:pPr>
      <w:rPr>
        <w:rFonts w:hint="default" w:ascii="Wingdings" w:hAnsi="Wingdings"/>
      </w:rPr>
    </w:lvl>
    <w:lvl w:ilvl="5" w:tentative="0">
      <w:start w:val="1"/>
      <w:numFmt w:val="bullet"/>
      <w:lvlText w:val=""/>
      <w:lvlJc w:val="left"/>
      <w:pPr>
        <w:ind w:left="2967" w:hanging="420"/>
      </w:pPr>
      <w:rPr>
        <w:rFonts w:hint="default" w:ascii="Wingdings" w:hAnsi="Wingdings"/>
      </w:rPr>
    </w:lvl>
    <w:lvl w:ilvl="6" w:tentative="0">
      <w:start w:val="1"/>
      <w:numFmt w:val="bullet"/>
      <w:lvlText w:val=""/>
      <w:lvlJc w:val="left"/>
      <w:pPr>
        <w:ind w:left="3387" w:hanging="420"/>
      </w:pPr>
      <w:rPr>
        <w:rFonts w:hint="default" w:ascii="Wingdings" w:hAnsi="Wingdings"/>
      </w:rPr>
    </w:lvl>
    <w:lvl w:ilvl="7" w:tentative="0">
      <w:start w:val="1"/>
      <w:numFmt w:val="bullet"/>
      <w:lvlText w:val=""/>
      <w:lvlJc w:val="left"/>
      <w:pPr>
        <w:ind w:left="3807" w:hanging="420"/>
      </w:pPr>
      <w:rPr>
        <w:rFonts w:hint="default" w:ascii="Wingdings" w:hAnsi="Wingdings"/>
      </w:rPr>
    </w:lvl>
    <w:lvl w:ilvl="8" w:tentative="0">
      <w:start w:val="1"/>
      <w:numFmt w:val="bullet"/>
      <w:lvlText w:val=""/>
      <w:lvlJc w:val="left"/>
      <w:pPr>
        <w:ind w:left="4227" w:hanging="420"/>
      </w:pPr>
      <w:rPr>
        <w:rFonts w:hint="default" w:ascii="Wingdings" w:hAnsi="Wingdings"/>
      </w:rPr>
    </w:lvl>
  </w:abstractNum>
  <w:abstractNum w:abstractNumId="4">
    <w:nsid w:val="630C06F9"/>
    <w:multiLevelType w:val="multilevel"/>
    <w:tmpl w:val="630C06F9"/>
    <w:lvl w:ilvl="0" w:tentative="0">
      <w:start w:val="1"/>
      <w:numFmt w:val="decimal"/>
      <w:lvlText w:val="%1."/>
      <w:lvlJc w:val="left"/>
      <w:pPr>
        <w:ind w:left="459" w:hanging="320"/>
        <w:jc w:val="left"/>
      </w:pPr>
      <w:rPr>
        <w:rFonts w:hint="default" w:ascii="Times New Roman" w:hAnsi="Times New Roman" w:eastAsia="Times New Roman"/>
        <w:b/>
        <w:bCs/>
        <w:w w:val="100"/>
        <w:sz w:val="32"/>
        <w:szCs w:val="32"/>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160" w:hanging="360"/>
      </w:pPr>
      <w:rPr>
        <w:rFonts w:hint="default"/>
      </w:rPr>
    </w:lvl>
    <w:lvl w:ilvl="4" w:tentative="0">
      <w:start w:val="1"/>
      <w:numFmt w:val="bullet"/>
      <w:lvlText w:val="•"/>
      <w:lvlJc w:val="left"/>
      <w:pPr>
        <w:ind w:left="2257" w:hanging="360"/>
      </w:pPr>
      <w:rPr>
        <w:rFonts w:hint="default"/>
      </w:rPr>
    </w:lvl>
    <w:lvl w:ilvl="5" w:tentative="0">
      <w:start w:val="1"/>
      <w:numFmt w:val="bullet"/>
      <w:lvlText w:val="•"/>
      <w:lvlJc w:val="left"/>
      <w:pPr>
        <w:ind w:left="3354" w:hanging="360"/>
      </w:pPr>
      <w:rPr>
        <w:rFonts w:hint="default"/>
      </w:rPr>
    </w:lvl>
    <w:lvl w:ilvl="6" w:tentative="0">
      <w:start w:val="1"/>
      <w:numFmt w:val="bullet"/>
      <w:lvlText w:val="•"/>
      <w:lvlJc w:val="left"/>
      <w:pPr>
        <w:ind w:left="4451" w:hanging="360"/>
      </w:pPr>
      <w:rPr>
        <w:rFonts w:hint="default"/>
      </w:rPr>
    </w:lvl>
    <w:lvl w:ilvl="7" w:tentative="0">
      <w:start w:val="1"/>
      <w:numFmt w:val="bullet"/>
      <w:lvlText w:val="•"/>
      <w:lvlJc w:val="left"/>
      <w:pPr>
        <w:ind w:left="5548" w:hanging="360"/>
      </w:pPr>
      <w:rPr>
        <w:rFonts w:hint="default"/>
      </w:rPr>
    </w:lvl>
    <w:lvl w:ilvl="8" w:tentative="0">
      <w:start w:val="1"/>
      <w:numFmt w:val="bullet"/>
      <w:lvlText w:val="•"/>
      <w:lvlJc w:val="left"/>
      <w:pPr>
        <w:ind w:left="6645"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3"/>
    <w:rsid w:val="00003C0B"/>
    <w:rsid w:val="000117B0"/>
    <w:rsid w:val="0001194D"/>
    <w:rsid w:val="0001699B"/>
    <w:rsid w:val="00035D3C"/>
    <w:rsid w:val="00065113"/>
    <w:rsid w:val="000750EE"/>
    <w:rsid w:val="00077FC7"/>
    <w:rsid w:val="000835CF"/>
    <w:rsid w:val="00087793"/>
    <w:rsid w:val="000878A3"/>
    <w:rsid w:val="000A02D6"/>
    <w:rsid w:val="000B728C"/>
    <w:rsid w:val="000D4F97"/>
    <w:rsid w:val="000E14C9"/>
    <w:rsid w:val="000E69D3"/>
    <w:rsid w:val="000F0E81"/>
    <w:rsid w:val="000F57B9"/>
    <w:rsid w:val="00110C45"/>
    <w:rsid w:val="00112A22"/>
    <w:rsid w:val="001422EC"/>
    <w:rsid w:val="00152416"/>
    <w:rsid w:val="00164FE8"/>
    <w:rsid w:val="001704DA"/>
    <w:rsid w:val="00193BA6"/>
    <w:rsid w:val="001A0321"/>
    <w:rsid w:val="001B6CF8"/>
    <w:rsid w:val="001C05A4"/>
    <w:rsid w:val="001C6362"/>
    <w:rsid w:val="001D6B19"/>
    <w:rsid w:val="001D6E13"/>
    <w:rsid w:val="001E1A97"/>
    <w:rsid w:val="001E5D83"/>
    <w:rsid w:val="001F7FA7"/>
    <w:rsid w:val="0022028A"/>
    <w:rsid w:val="00226ED5"/>
    <w:rsid w:val="00250278"/>
    <w:rsid w:val="002571FA"/>
    <w:rsid w:val="00257260"/>
    <w:rsid w:val="00264B55"/>
    <w:rsid w:val="0026761C"/>
    <w:rsid w:val="00293B7E"/>
    <w:rsid w:val="002A2970"/>
    <w:rsid w:val="002A4512"/>
    <w:rsid w:val="002A6EC7"/>
    <w:rsid w:val="002C6663"/>
    <w:rsid w:val="002D2D0D"/>
    <w:rsid w:val="002F3020"/>
    <w:rsid w:val="00302EE8"/>
    <w:rsid w:val="00307ACE"/>
    <w:rsid w:val="00313EF1"/>
    <w:rsid w:val="00321709"/>
    <w:rsid w:val="00340314"/>
    <w:rsid w:val="00342163"/>
    <w:rsid w:val="003431B5"/>
    <w:rsid w:val="00347C05"/>
    <w:rsid w:val="00364615"/>
    <w:rsid w:val="003721EC"/>
    <w:rsid w:val="003835F6"/>
    <w:rsid w:val="003A5347"/>
    <w:rsid w:val="003B16B4"/>
    <w:rsid w:val="003C1A79"/>
    <w:rsid w:val="003D3C51"/>
    <w:rsid w:val="00400D74"/>
    <w:rsid w:val="00406A9D"/>
    <w:rsid w:val="004144DD"/>
    <w:rsid w:val="004264C4"/>
    <w:rsid w:val="00441569"/>
    <w:rsid w:val="00464510"/>
    <w:rsid w:val="004746B8"/>
    <w:rsid w:val="00475155"/>
    <w:rsid w:val="004875A9"/>
    <w:rsid w:val="004B1645"/>
    <w:rsid w:val="004C0E14"/>
    <w:rsid w:val="004C7CFA"/>
    <w:rsid w:val="005015BA"/>
    <w:rsid w:val="0052750B"/>
    <w:rsid w:val="00543AD9"/>
    <w:rsid w:val="005545EF"/>
    <w:rsid w:val="0056003A"/>
    <w:rsid w:val="00566AA4"/>
    <w:rsid w:val="00566BA7"/>
    <w:rsid w:val="005A1B6D"/>
    <w:rsid w:val="005A5837"/>
    <w:rsid w:val="005B16CA"/>
    <w:rsid w:val="005C27AA"/>
    <w:rsid w:val="005C357A"/>
    <w:rsid w:val="005C70D9"/>
    <w:rsid w:val="005D5C79"/>
    <w:rsid w:val="00603D5E"/>
    <w:rsid w:val="0063614C"/>
    <w:rsid w:val="00643226"/>
    <w:rsid w:val="00660E41"/>
    <w:rsid w:val="00670EF7"/>
    <w:rsid w:val="006801A2"/>
    <w:rsid w:val="00693ECF"/>
    <w:rsid w:val="006A01B2"/>
    <w:rsid w:val="006A3743"/>
    <w:rsid w:val="006C259F"/>
    <w:rsid w:val="006D1E2B"/>
    <w:rsid w:val="006E0A37"/>
    <w:rsid w:val="00705E9E"/>
    <w:rsid w:val="00710682"/>
    <w:rsid w:val="00721E5B"/>
    <w:rsid w:val="0072689F"/>
    <w:rsid w:val="0073350F"/>
    <w:rsid w:val="00742A8C"/>
    <w:rsid w:val="007467F2"/>
    <w:rsid w:val="00756703"/>
    <w:rsid w:val="007607FA"/>
    <w:rsid w:val="00762B44"/>
    <w:rsid w:val="00770193"/>
    <w:rsid w:val="00775C6D"/>
    <w:rsid w:val="00775DCA"/>
    <w:rsid w:val="00797438"/>
    <w:rsid w:val="007B2696"/>
    <w:rsid w:val="007C1042"/>
    <w:rsid w:val="007C5D4D"/>
    <w:rsid w:val="007E0788"/>
    <w:rsid w:val="007F62FE"/>
    <w:rsid w:val="008123BD"/>
    <w:rsid w:val="00814194"/>
    <w:rsid w:val="008343AB"/>
    <w:rsid w:val="00883EE5"/>
    <w:rsid w:val="0088523B"/>
    <w:rsid w:val="00885789"/>
    <w:rsid w:val="008953E4"/>
    <w:rsid w:val="008B489F"/>
    <w:rsid w:val="008C1D67"/>
    <w:rsid w:val="008C2511"/>
    <w:rsid w:val="008D02A0"/>
    <w:rsid w:val="008E38E9"/>
    <w:rsid w:val="008F2715"/>
    <w:rsid w:val="008F64E8"/>
    <w:rsid w:val="009406D8"/>
    <w:rsid w:val="00946420"/>
    <w:rsid w:val="00956BAC"/>
    <w:rsid w:val="009618DB"/>
    <w:rsid w:val="00964D69"/>
    <w:rsid w:val="00965E7A"/>
    <w:rsid w:val="00980702"/>
    <w:rsid w:val="00987BBB"/>
    <w:rsid w:val="009A3EBD"/>
    <w:rsid w:val="009A5A1B"/>
    <w:rsid w:val="009B4201"/>
    <w:rsid w:val="009C2DAF"/>
    <w:rsid w:val="009C4521"/>
    <w:rsid w:val="009E259D"/>
    <w:rsid w:val="009E797C"/>
    <w:rsid w:val="009F2C38"/>
    <w:rsid w:val="009F7297"/>
    <w:rsid w:val="009F7A9D"/>
    <w:rsid w:val="00A1285F"/>
    <w:rsid w:val="00A559B5"/>
    <w:rsid w:val="00A56D9D"/>
    <w:rsid w:val="00AB6E9E"/>
    <w:rsid w:val="00AB7998"/>
    <w:rsid w:val="00AD7F7F"/>
    <w:rsid w:val="00AE53EA"/>
    <w:rsid w:val="00B15A36"/>
    <w:rsid w:val="00B27AE3"/>
    <w:rsid w:val="00B70325"/>
    <w:rsid w:val="00B871F9"/>
    <w:rsid w:val="00B946AD"/>
    <w:rsid w:val="00B97A29"/>
    <w:rsid w:val="00BA601F"/>
    <w:rsid w:val="00BB3EAC"/>
    <w:rsid w:val="00BB4728"/>
    <w:rsid w:val="00BC5000"/>
    <w:rsid w:val="00BD4598"/>
    <w:rsid w:val="00BD728E"/>
    <w:rsid w:val="00BE24B6"/>
    <w:rsid w:val="00BE292B"/>
    <w:rsid w:val="00BF0EB6"/>
    <w:rsid w:val="00C03A70"/>
    <w:rsid w:val="00C11930"/>
    <w:rsid w:val="00C14742"/>
    <w:rsid w:val="00C15476"/>
    <w:rsid w:val="00C20D3C"/>
    <w:rsid w:val="00C25010"/>
    <w:rsid w:val="00C50699"/>
    <w:rsid w:val="00C57214"/>
    <w:rsid w:val="00C72E16"/>
    <w:rsid w:val="00C73349"/>
    <w:rsid w:val="00C93014"/>
    <w:rsid w:val="00C93835"/>
    <w:rsid w:val="00C96F38"/>
    <w:rsid w:val="00CB5270"/>
    <w:rsid w:val="00CD190E"/>
    <w:rsid w:val="00CD52AD"/>
    <w:rsid w:val="00D023B7"/>
    <w:rsid w:val="00D03F90"/>
    <w:rsid w:val="00D074ED"/>
    <w:rsid w:val="00D107CE"/>
    <w:rsid w:val="00D16461"/>
    <w:rsid w:val="00D16D35"/>
    <w:rsid w:val="00D2222B"/>
    <w:rsid w:val="00D367B0"/>
    <w:rsid w:val="00D47E4D"/>
    <w:rsid w:val="00D567C7"/>
    <w:rsid w:val="00D606E4"/>
    <w:rsid w:val="00D72A1E"/>
    <w:rsid w:val="00D8569D"/>
    <w:rsid w:val="00D91BA8"/>
    <w:rsid w:val="00D91CEF"/>
    <w:rsid w:val="00DA19D1"/>
    <w:rsid w:val="00DA303B"/>
    <w:rsid w:val="00DC04B0"/>
    <w:rsid w:val="00DC3A28"/>
    <w:rsid w:val="00DD6A5B"/>
    <w:rsid w:val="00DE1413"/>
    <w:rsid w:val="00DF03BF"/>
    <w:rsid w:val="00DF514E"/>
    <w:rsid w:val="00E317F0"/>
    <w:rsid w:val="00E3233E"/>
    <w:rsid w:val="00E32FB6"/>
    <w:rsid w:val="00E4532C"/>
    <w:rsid w:val="00E52CA3"/>
    <w:rsid w:val="00E56E67"/>
    <w:rsid w:val="00E606AA"/>
    <w:rsid w:val="00E73D47"/>
    <w:rsid w:val="00E82924"/>
    <w:rsid w:val="00E85F4A"/>
    <w:rsid w:val="00E86517"/>
    <w:rsid w:val="00E87DD1"/>
    <w:rsid w:val="00E90CA4"/>
    <w:rsid w:val="00E93572"/>
    <w:rsid w:val="00EA43C9"/>
    <w:rsid w:val="00EA5730"/>
    <w:rsid w:val="00EB464E"/>
    <w:rsid w:val="00EC31AE"/>
    <w:rsid w:val="00EE7C91"/>
    <w:rsid w:val="00EF54F8"/>
    <w:rsid w:val="00EF61DB"/>
    <w:rsid w:val="00F01B40"/>
    <w:rsid w:val="00F34077"/>
    <w:rsid w:val="00F36944"/>
    <w:rsid w:val="00F70B68"/>
    <w:rsid w:val="00F800CD"/>
    <w:rsid w:val="00FC14DC"/>
    <w:rsid w:val="00FC1EE2"/>
    <w:rsid w:val="00FD3533"/>
    <w:rsid w:val="00FE38A1"/>
    <w:rsid w:val="00FE498F"/>
    <w:rsid w:val="00FF327E"/>
    <w:rsid w:val="3DB7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10"/>
      <w:outlineLvl w:val="0"/>
    </w:pPr>
    <w:rPr>
      <w:rFonts w:ascii="Times New Roman" w:hAnsi="Times New Roman" w:eastAsia="Times New Roman"/>
      <w:b/>
      <w:bCs/>
      <w:sz w:val="48"/>
      <w:szCs w:val="48"/>
    </w:rPr>
  </w:style>
  <w:style w:type="paragraph" w:styleId="3">
    <w:name w:val="heading 2"/>
    <w:basedOn w:val="1"/>
    <w:qFormat/>
    <w:uiPriority w:val="1"/>
    <w:pPr>
      <w:ind w:left="120"/>
      <w:outlineLvl w:val="1"/>
    </w:pPr>
    <w:rPr>
      <w:rFonts w:ascii="Times New Roman" w:hAnsi="Times New Roman" w:eastAsia="Times New Roman"/>
      <w:b/>
      <w:bCs/>
      <w:sz w:val="40"/>
      <w:szCs w:val="40"/>
    </w:rPr>
  </w:style>
  <w:style w:type="paragraph" w:styleId="4">
    <w:name w:val="heading 3"/>
    <w:basedOn w:val="1"/>
    <w:qFormat/>
    <w:uiPriority w:val="1"/>
    <w:pPr>
      <w:ind w:left="440" w:hanging="320"/>
      <w:outlineLvl w:val="2"/>
    </w:pPr>
    <w:rPr>
      <w:rFonts w:ascii="Times New Roman" w:hAnsi="Times New Roman" w:eastAsia="Times New Roman"/>
      <w:b/>
      <w:bCs/>
      <w:sz w:val="32"/>
      <w:szCs w:val="32"/>
    </w:rPr>
  </w:style>
  <w:style w:type="paragraph" w:styleId="5">
    <w:name w:val="heading 4"/>
    <w:basedOn w:val="1"/>
    <w:qFormat/>
    <w:uiPriority w:val="1"/>
    <w:pPr>
      <w:ind w:left="480"/>
      <w:outlineLvl w:val="3"/>
    </w:pPr>
    <w:rPr>
      <w:rFonts w:ascii="Times New Roman" w:hAnsi="Times New Roman" w:eastAsia="Times New Roman"/>
      <w:b/>
      <w:bCs/>
      <w:sz w:val="24"/>
      <w:szCs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qFormat/>
    <w:uiPriority w:val="39"/>
    <w:pPr>
      <w:ind w:left="1320"/>
    </w:pPr>
    <w:rPr>
      <w:sz w:val="20"/>
      <w:szCs w:val="20"/>
    </w:rPr>
  </w:style>
  <w:style w:type="paragraph" w:styleId="7">
    <w:name w:val="Document Map"/>
    <w:basedOn w:val="1"/>
    <w:link w:val="28"/>
    <w:semiHidden/>
    <w:unhideWhenUsed/>
    <w:qFormat/>
    <w:uiPriority w:val="99"/>
    <w:rPr>
      <w:rFonts w:ascii="宋体" w:eastAsia="宋体"/>
      <w:sz w:val="24"/>
      <w:szCs w:val="24"/>
    </w:rPr>
  </w:style>
  <w:style w:type="paragraph" w:styleId="8">
    <w:name w:val="Body Text"/>
    <w:basedOn w:val="1"/>
    <w:qFormat/>
    <w:uiPriority w:val="1"/>
    <w:pPr>
      <w:ind w:left="120"/>
    </w:pPr>
    <w:rPr>
      <w:rFonts w:ascii="Times New Roman" w:hAnsi="Times New Roman" w:eastAsia="Times New Roman"/>
      <w:sz w:val="24"/>
      <w:szCs w:val="24"/>
    </w:rPr>
  </w:style>
  <w:style w:type="paragraph" w:styleId="9">
    <w:name w:val="toc 5"/>
    <w:basedOn w:val="1"/>
    <w:next w:val="1"/>
    <w:autoRedefine/>
    <w:semiHidden/>
    <w:unhideWhenUsed/>
    <w:qFormat/>
    <w:uiPriority w:val="39"/>
    <w:pPr>
      <w:ind w:left="880"/>
    </w:pPr>
    <w:rPr>
      <w:sz w:val="20"/>
      <w:szCs w:val="20"/>
    </w:rPr>
  </w:style>
  <w:style w:type="paragraph" w:styleId="10">
    <w:name w:val="toc 3"/>
    <w:basedOn w:val="1"/>
    <w:qFormat/>
    <w:uiPriority w:val="39"/>
    <w:pPr>
      <w:ind w:left="440"/>
    </w:pPr>
  </w:style>
  <w:style w:type="paragraph" w:styleId="11">
    <w:name w:val="toc 8"/>
    <w:basedOn w:val="1"/>
    <w:next w:val="1"/>
    <w:autoRedefine/>
    <w:semiHidden/>
    <w:unhideWhenUsed/>
    <w:qFormat/>
    <w:uiPriority w:val="39"/>
    <w:pPr>
      <w:ind w:left="1540"/>
    </w:pPr>
    <w:rPr>
      <w:sz w:val="20"/>
      <w:szCs w:val="20"/>
    </w:rPr>
  </w:style>
  <w:style w:type="paragraph" w:styleId="12">
    <w:name w:val="Balloon Text"/>
    <w:basedOn w:val="1"/>
    <w:link w:val="31"/>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qFormat/>
    <w:uiPriority w:val="39"/>
    <w:pPr>
      <w:spacing w:before="120"/>
    </w:pPr>
    <w:rPr>
      <w:b/>
      <w:bCs/>
      <w:sz w:val="24"/>
      <w:szCs w:val="24"/>
    </w:rPr>
  </w:style>
  <w:style w:type="paragraph" w:styleId="16">
    <w:name w:val="toc 4"/>
    <w:basedOn w:val="1"/>
    <w:next w:val="1"/>
    <w:autoRedefine/>
    <w:unhideWhenUsed/>
    <w:qFormat/>
    <w:uiPriority w:val="39"/>
    <w:pPr>
      <w:ind w:left="660"/>
    </w:pPr>
    <w:rPr>
      <w:sz w:val="20"/>
      <w:szCs w:val="20"/>
    </w:rPr>
  </w:style>
  <w:style w:type="paragraph" w:styleId="17">
    <w:name w:val="toc 6"/>
    <w:basedOn w:val="1"/>
    <w:next w:val="1"/>
    <w:autoRedefine/>
    <w:semiHidden/>
    <w:unhideWhenUsed/>
    <w:qFormat/>
    <w:uiPriority w:val="39"/>
    <w:pPr>
      <w:ind w:left="1100"/>
    </w:pPr>
    <w:rPr>
      <w:sz w:val="20"/>
      <w:szCs w:val="20"/>
    </w:rPr>
  </w:style>
  <w:style w:type="paragraph" w:styleId="18">
    <w:name w:val="toc 2"/>
    <w:basedOn w:val="1"/>
    <w:qFormat/>
    <w:uiPriority w:val="39"/>
    <w:pPr>
      <w:ind w:left="220"/>
    </w:pPr>
    <w:rPr>
      <w:b/>
      <w:bCs/>
    </w:rPr>
  </w:style>
  <w:style w:type="paragraph" w:styleId="19">
    <w:name w:val="toc 9"/>
    <w:basedOn w:val="1"/>
    <w:next w:val="1"/>
    <w:autoRedefine/>
    <w:semiHidden/>
    <w:unhideWhenUsed/>
    <w:qFormat/>
    <w:uiPriority w:val="39"/>
    <w:pPr>
      <w:ind w:left="1760"/>
    </w:pPr>
    <w:rPr>
      <w:sz w:val="20"/>
      <w:szCs w:val="20"/>
    </w:r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style>
  <w:style w:type="paragraph" w:customStyle="1" w:styleId="25">
    <w:name w:val="Table Paragraph"/>
    <w:basedOn w:val="1"/>
    <w:qFormat/>
    <w:uiPriority w:val="1"/>
  </w:style>
  <w:style w:type="character" w:customStyle="1" w:styleId="26">
    <w:name w:val="页眉 Char"/>
    <w:basedOn w:val="21"/>
    <w:link w:val="14"/>
    <w:qFormat/>
    <w:uiPriority w:val="99"/>
    <w:rPr>
      <w:sz w:val="18"/>
      <w:szCs w:val="18"/>
    </w:rPr>
  </w:style>
  <w:style w:type="character" w:customStyle="1" w:styleId="27">
    <w:name w:val="页脚 Char"/>
    <w:basedOn w:val="21"/>
    <w:link w:val="13"/>
    <w:qFormat/>
    <w:uiPriority w:val="99"/>
    <w:rPr>
      <w:sz w:val="18"/>
      <w:szCs w:val="18"/>
    </w:rPr>
  </w:style>
  <w:style w:type="character" w:customStyle="1" w:styleId="28">
    <w:name w:val="文档结构图 Char"/>
    <w:basedOn w:val="21"/>
    <w:link w:val="7"/>
    <w:semiHidden/>
    <w:qFormat/>
    <w:uiPriority w:val="99"/>
    <w:rPr>
      <w:rFonts w:ascii="宋体" w:eastAsia="宋体"/>
      <w:sz w:val="24"/>
      <w:szCs w:val="24"/>
    </w:rPr>
  </w:style>
  <w:style w:type="paragraph" w:customStyle="1" w:styleId="29">
    <w:name w:val="列出段落1"/>
    <w:basedOn w:val="1"/>
    <w:qFormat/>
    <w:uiPriority w:val="1"/>
  </w:style>
  <w:style w:type="paragraph" w:customStyle="1" w:styleId="30">
    <w:name w:val="TOC Heading"/>
    <w:basedOn w:val="2"/>
    <w:next w:val="1"/>
    <w:unhideWhenUsed/>
    <w:qFormat/>
    <w:uiPriority w:val="39"/>
    <w:pPr>
      <w:keepNext/>
      <w:keepLines/>
      <w:widowControl/>
      <w:spacing w:before="480" w:line="276" w:lineRule="auto"/>
      <w:ind w:left="0"/>
      <w:outlineLvl w:val="9"/>
    </w:pPr>
    <w:rPr>
      <w:rFonts w:asciiTheme="majorHAnsi" w:hAnsiTheme="majorHAnsi" w:eastAsiaTheme="majorEastAsia" w:cstheme="majorBidi"/>
      <w:color w:val="376092" w:themeColor="accent1" w:themeShade="BF"/>
      <w:sz w:val="28"/>
      <w:szCs w:val="28"/>
      <w:lang w:eastAsia="zh-CN"/>
    </w:rPr>
  </w:style>
  <w:style w:type="character" w:customStyle="1" w:styleId="31">
    <w:name w:val="批注框文本 Char"/>
    <w:basedOn w:val="21"/>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DC9B3-00CF-44BF-852D-86A3CBE595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5352</Words>
  <Characters>6894</Characters>
  <Lines>74</Lines>
  <Paragraphs>21</Paragraphs>
  <TotalTime>8</TotalTime>
  <ScaleCrop>false</ScaleCrop>
  <LinksUpToDate>false</LinksUpToDate>
  <CharactersWithSpaces>7103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2017-05-02T10:44:00Z</dcterms:created>
  <dc:creator>Michelle Bright</dc:creator>
  <cp:lastModifiedBy>太极箫客</cp:lastModifiedBy>
  <dcterms:modified xsi:type="dcterms:W3CDTF">2025-08-14T06:15:09Z</dcterms:modified>
  <dc:title>Contains Nonbinding Recommendations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2011-07-19T00:00:00Z</vt:filetime>
  </property>
  <property fmtid="{D5CDD505-2E9C-101B-9397-08002B2CF9AE}" pid="3" name="Creator">
    <vt:lpwstr>Acrobat PDFMaker 8.1 for Word</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C2B04487AC99409491D8B8A6C7476B41_12</vt:lpwstr>
  </property>
</Properties>
</file>