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2AD9">
      <w:pPr>
        <w:spacing w:line="254" w:lineRule="auto"/>
        <w:rPr>
          <w:rFonts w:ascii="宋体"/>
          <w:sz w:val="21"/>
        </w:rPr>
      </w:pPr>
      <w:bookmarkStart w:id="0" w:name="_GoBack"/>
      <w:bookmarkEnd w:id="0"/>
    </w:p>
    <w:p w14:paraId="552EA433">
      <w:pPr>
        <w:spacing w:line="255" w:lineRule="auto"/>
        <w:rPr>
          <w:rFonts w:ascii="宋体"/>
          <w:sz w:val="21"/>
        </w:rPr>
      </w:pPr>
    </w:p>
    <w:p w14:paraId="4445F5F6">
      <w:pPr>
        <w:spacing w:line="255" w:lineRule="auto"/>
        <w:rPr>
          <w:rFonts w:ascii="宋体"/>
          <w:sz w:val="21"/>
        </w:rPr>
      </w:pPr>
    </w:p>
    <w:p w14:paraId="2D328A59">
      <w:pPr>
        <w:spacing w:before="126" w:line="236" w:lineRule="auto"/>
        <w:ind w:firstLine="3902"/>
        <w:rPr>
          <w:sz w:val="44"/>
          <w:szCs w:val="44"/>
        </w:rPr>
      </w:pP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2021</w:t>
      </w:r>
      <w:r>
        <w:rPr>
          <w:rFonts w:ascii="Times New Roman" w:hAnsi="Times New Roman" w:eastAsia="Times New Roman" w:cs="Times New Roman"/>
          <w:spacing w:val="5"/>
          <w:sz w:val="44"/>
          <w:szCs w:val="44"/>
        </w:rPr>
        <w:t xml:space="preserve"> </w:t>
      </w:r>
      <w:r>
        <w:rPr>
          <w:position w:val="-12"/>
          <w:sz w:val="44"/>
          <w:szCs w:val="44"/>
        </w:rPr>
        <w:drawing>
          <wp:inline distT="0" distB="0" distL="0" distR="0">
            <wp:extent cx="4751070" cy="332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1323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73B0D">
      <w:pPr>
        <w:spacing w:line="206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09814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62422341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37B84306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66429694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00A65800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0184F6E2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63CEA02B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0E70606B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43E0C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588" w:type="dxa"/>
            <w:vAlign w:val="top"/>
          </w:tcPr>
          <w:p w14:paraId="13439250">
            <w:pPr>
              <w:spacing w:line="315" w:lineRule="auto"/>
              <w:rPr>
                <w:rFonts w:ascii="宋体"/>
                <w:sz w:val="21"/>
              </w:rPr>
            </w:pPr>
          </w:p>
          <w:p w14:paraId="45D054DE">
            <w:pPr>
              <w:spacing w:line="315" w:lineRule="auto"/>
              <w:rPr>
                <w:rFonts w:ascii="宋体"/>
                <w:sz w:val="21"/>
              </w:rPr>
            </w:pPr>
          </w:p>
          <w:p w14:paraId="34C1E698">
            <w:pPr>
              <w:spacing w:line="315" w:lineRule="auto"/>
              <w:rPr>
                <w:rFonts w:ascii="宋体"/>
                <w:sz w:val="21"/>
              </w:rPr>
            </w:pPr>
          </w:p>
          <w:p w14:paraId="551B2EA2">
            <w:pPr>
              <w:spacing w:before="91" w:line="180" w:lineRule="auto"/>
              <w:ind w:firstLine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55" w:type="dxa"/>
            <w:vAlign w:val="top"/>
          </w:tcPr>
          <w:p w14:paraId="7CB28BAB">
            <w:pPr>
              <w:spacing w:line="436" w:lineRule="auto"/>
              <w:rPr>
                <w:rFonts w:ascii="宋体"/>
                <w:sz w:val="21"/>
              </w:rPr>
            </w:pPr>
          </w:p>
          <w:p w14:paraId="366A8930">
            <w:pPr>
              <w:spacing w:before="91" w:line="237" w:lineRule="auto"/>
              <w:ind w:left="12" w:right="12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上海倍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康</w:t>
            </w:r>
            <w:r>
              <w:rPr>
                <w:rFonts w:ascii="仿宋" w:hAnsi="仿宋" w:eastAsia="仿宋" w:cs="仿宋"/>
                <w:spacing w:val="-7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生物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学科技有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限公司</w:t>
            </w:r>
          </w:p>
        </w:tc>
        <w:tc>
          <w:tcPr>
            <w:tcW w:w="1132" w:type="dxa"/>
            <w:vAlign w:val="top"/>
          </w:tcPr>
          <w:p w14:paraId="32E86C0D">
            <w:pPr>
              <w:spacing w:line="297" w:lineRule="auto"/>
              <w:rPr>
                <w:rFonts w:ascii="宋体"/>
                <w:sz w:val="21"/>
              </w:rPr>
            </w:pPr>
          </w:p>
          <w:p w14:paraId="121F7AFF">
            <w:pPr>
              <w:spacing w:line="297" w:lineRule="auto"/>
              <w:rPr>
                <w:rFonts w:ascii="宋体"/>
                <w:sz w:val="21"/>
              </w:rPr>
            </w:pPr>
          </w:p>
          <w:p w14:paraId="25E95E99">
            <w:pPr>
              <w:spacing w:before="91" w:line="237" w:lineRule="auto"/>
              <w:ind w:left="32" w:right="10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EH</w:t>
            </w:r>
            <w:r>
              <w:rPr>
                <w:rFonts w:ascii="仿宋" w:hAnsi="仿宋" w:eastAsia="仿宋" w:cs="仿宋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复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型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骨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泥</w:t>
            </w:r>
          </w:p>
        </w:tc>
        <w:tc>
          <w:tcPr>
            <w:tcW w:w="851" w:type="dxa"/>
            <w:vAlign w:val="top"/>
          </w:tcPr>
          <w:p w14:paraId="2291892B">
            <w:pPr>
              <w:spacing w:line="303" w:lineRule="auto"/>
              <w:rPr>
                <w:rFonts w:ascii="宋体"/>
                <w:sz w:val="21"/>
              </w:rPr>
            </w:pPr>
          </w:p>
          <w:p w14:paraId="4BD0F0A4">
            <w:pPr>
              <w:spacing w:line="303" w:lineRule="auto"/>
              <w:rPr>
                <w:rFonts w:ascii="宋体"/>
                <w:sz w:val="21"/>
              </w:rPr>
            </w:pPr>
          </w:p>
          <w:p w14:paraId="561224AA">
            <w:pPr>
              <w:spacing w:line="303" w:lineRule="auto"/>
              <w:rPr>
                <w:rFonts w:ascii="宋体"/>
                <w:sz w:val="21"/>
              </w:rPr>
            </w:pPr>
          </w:p>
          <w:p w14:paraId="32492BEF">
            <w:pPr>
              <w:spacing w:before="91" w:line="185" w:lineRule="auto"/>
              <w:ind w:firstLine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上海</w:t>
            </w:r>
          </w:p>
        </w:tc>
        <w:tc>
          <w:tcPr>
            <w:tcW w:w="9212" w:type="dxa"/>
            <w:vAlign w:val="top"/>
          </w:tcPr>
          <w:p w14:paraId="16DAB418">
            <w:pPr>
              <w:spacing w:before="50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项。</w:t>
            </w:r>
          </w:p>
          <w:p w14:paraId="78AA88D9">
            <w:pPr>
              <w:spacing w:before="80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一、</w:t>
            </w:r>
            <w:r>
              <w:rPr>
                <w:rFonts w:ascii="仿宋" w:hAnsi="仿宋" w:eastAsia="仿宋" w:cs="仿宋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文件管理方面</w:t>
            </w:r>
          </w:p>
          <w:p w14:paraId="4F234B49">
            <w:pPr>
              <w:spacing w:before="80" w:line="237" w:lineRule="auto"/>
              <w:ind w:left="43" w:right="9" w:firstLine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1.抽查某批号的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EH</w:t>
            </w:r>
            <w:r>
              <w:rPr>
                <w:rFonts w:ascii="仿宋" w:hAnsi="仿宋" w:eastAsia="仿宋" w:cs="仿宋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复合型骨水泥生产记录中进料检验记录的检验人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员、检验日期空白。</w:t>
            </w:r>
          </w:p>
          <w:p w14:paraId="4779461C">
            <w:pPr>
              <w:spacing w:line="204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二、</w:t>
            </w:r>
            <w:r>
              <w:rPr>
                <w:rFonts w:ascii="仿宋" w:hAnsi="仿宋" w:eastAsia="仿宋" w:cs="仿宋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销售和售后服务方面</w:t>
            </w:r>
          </w:p>
          <w:p w14:paraId="2FC0D10B">
            <w:pPr>
              <w:spacing w:before="51" w:line="211" w:lineRule="auto"/>
              <w:ind w:left="33" w:right="9" w:firstLine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2.抽查某经销商查见其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2014</w:t>
            </w:r>
            <w:r>
              <w:rPr>
                <w:rFonts w:ascii="仿宋" w:hAnsi="仿宋" w:eastAsia="仿宋" w:cs="仿宋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年至</w:t>
            </w:r>
            <w:r>
              <w:rPr>
                <w:rFonts w:ascii="仿宋" w:hAnsi="仿宋" w:eastAsia="仿宋" w:cs="仿宋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2018</w:t>
            </w:r>
            <w:r>
              <w:rPr>
                <w:rFonts w:ascii="仿宋" w:hAnsi="仿宋" w:eastAsia="仿宋" w:cs="仿宋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年《合同评审表》，无法提供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2019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年至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2021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年评审表。</w:t>
            </w:r>
          </w:p>
        </w:tc>
        <w:tc>
          <w:tcPr>
            <w:tcW w:w="998" w:type="dxa"/>
            <w:vAlign w:val="top"/>
          </w:tcPr>
          <w:p w14:paraId="75178812">
            <w:pPr>
              <w:rPr>
                <w:rFonts w:ascii="宋体"/>
                <w:sz w:val="21"/>
              </w:rPr>
            </w:pPr>
          </w:p>
        </w:tc>
      </w:tr>
      <w:tr w14:paraId="12E94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2" w:hRule="atLeast"/>
        </w:trPr>
        <w:tc>
          <w:tcPr>
            <w:tcW w:w="588" w:type="dxa"/>
            <w:vAlign w:val="top"/>
          </w:tcPr>
          <w:p w14:paraId="3A895B51">
            <w:pPr>
              <w:spacing w:line="263" w:lineRule="auto"/>
              <w:rPr>
                <w:rFonts w:ascii="宋体"/>
                <w:sz w:val="21"/>
              </w:rPr>
            </w:pPr>
          </w:p>
          <w:p w14:paraId="3B47547D">
            <w:pPr>
              <w:spacing w:line="263" w:lineRule="auto"/>
              <w:rPr>
                <w:rFonts w:ascii="宋体"/>
                <w:sz w:val="21"/>
              </w:rPr>
            </w:pPr>
          </w:p>
          <w:p w14:paraId="12B6D63B">
            <w:pPr>
              <w:spacing w:line="263" w:lineRule="auto"/>
              <w:rPr>
                <w:rFonts w:ascii="宋体"/>
                <w:sz w:val="21"/>
              </w:rPr>
            </w:pPr>
          </w:p>
          <w:p w14:paraId="0D1056C3">
            <w:pPr>
              <w:spacing w:line="263" w:lineRule="auto"/>
              <w:rPr>
                <w:rFonts w:ascii="宋体"/>
                <w:sz w:val="21"/>
              </w:rPr>
            </w:pPr>
          </w:p>
          <w:p w14:paraId="1361FE0D">
            <w:pPr>
              <w:spacing w:line="263" w:lineRule="auto"/>
              <w:rPr>
                <w:rFonts w:ascii="宋体"/>
                <w:sz w:val="21"/>
              </w:rPr>
            </w:pPr>
          </w:p>
          <w:p w14:paraId="3835C604">
            <w:pPr>
              <w:spacing w:line="263" w:lineRule="auto"/>
              <w:rPr>
                <w:rFonts w:ascii="宋体"/>
                <w:sz w:val="21"/>
              </w:rPr>
            </w:pPr>
          </w:p>
          <w:p w14:paraId="4986E730">
            <w:pPr>
              <w:spacing w:before="91" w:line="180" w:lineRule="auto"/>
              <w:ind w:firstLine="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55" w:type="dxa"/>
            <w:vAlign w:val="top"/>
          </w:tcPr>
          <w:p w14:paraId="0993ACFB">
            <w:pPr>
              <w:spacing w:line="267" w:lineRule="auto"/>
              <w:rPr>
                <w:rFonts w:ascii="宋体"/>
                <w:sz w:val="21"/>
              </w:rPr>
            </w:pPr>
          </w:p>
          <w:p w14:paraId="344F62F4">
            <w:pPr>
              <w:spacing w:line="267" w:lineRule="auto"/>
              <w:rPr>
                <w:rFonts w:ascii="宋体"/>
                <w:sz w:val="21"/>
              </w:rPr>
            </w:pPr>
          </w:p>
          <w:p w14:paraId="197ECC8F">
            <w:pPr>
              <w:spacing w:line="267" w:lineRule="auto"/>
              <w:rPr>
                <w:rFonts w:ascii="宋体"/>
                <w:sz w:val="21"/>
              </w:rPr>
            </w:pPr>
          </w:p>
          <w:p w14:paraId="64C51692">
            <w:pPr>
              <w:spacing w:line="268" w:lineRule="auto"/>
              <w:rPr>
                <w:rFonts w:ascii="宋体"/>
                <w:sz w:val="21"/>
              </w:rPr>
            </w:pPr>
          </w:p>
          <w:p w14:paraId="1B25BB7C">
            <w:pPr>
              <w:spacing w:before="91" w:line="237" w:lineRule="auto"/>
              <w:ind w:left="13" w:right="12" w:firstLine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无锡市</w:t>
            </w:r>
            <w:r>
              <w:rPr>
                <w:rFonts w:ascii="仿宋" w:hAnsi="仿宋" w:eastAsia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寿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医疗器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械有限公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司</w:t>
            </w:r>
          </w:p>
        </w:tc>
        <w:tc>
          <w:tcPr>
            <w:tcW w:w="1132" w:type="dxa"/>
            <w:vAlign w:val="top"/>
          </w:tcPr>
          <w:p w14:paraId="6890A19F">
            <w:pPr>
              <w:spacing w:line="267" w:lineRule="auto"/>
              <w:rPr>
                <w:rFonts w:ascii="宋体"/>
                <w:sz w:val="21"/>
              </w:rPr>
            </w:pPr>
          </w:p>
          <w:p w14:paraId="6F8E9365">
            <w:pPr>
              <w:spacing w:line="267" w:lineRule="auto"/>
              <w:rPr>
                <w:rFonts w:ascii="宋体"/>
                <w:sz w:val="21"/>
              </w:rPr>
            </w:pPr>
          </w:p>
          <w:p w14:paraId="0436F6D4">
            <w:pPr>
              <w:spacing w:line="267" w:lineRule="auto"/>
              <w:rPr>
                <w:rFonts w:ascii="宋体"/>
                <w:sz w:val="21"/>
              </w:rPr>
            </w:pPr>
          </w:p>
          <w:p w14:paraId="12D20F2D">
            <w:pPr>
              <w:spacing w:line="268" w:lineRule="auto"/>
              <w:rPr>
                <w:rFonts w:ascii="宋体"/>
                <w:sz w:val="21"/>
              </w:rPr>
            </w:pPr>
          </w:p>
          <w:p w14:paraId="3B3C2112">
            <w:pPr>
              <w:spacing w:before="91" w:line="237" w:lineRule="auto"/>
              <w:ind w:left="16" w:right="10" w:firstLine="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次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用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菌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注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器</w:t>
            </w:r>
            <w:r>
              <w:rPr>
                <w:rFonts w:ascii="仿宋" w:hAnsi="仿宋" w:eastAsia="仿宋" w:cs="仿宋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带针</w:t>
            </w:r>
          </w:p>
        </w:tc>
        <w:tc>
          <w:tcPr>
            <w:tcW w:w="851" w:type="dxa"/>
            <w:vAlign w:val="top"/>
          </w:tcPr>
          <w:p w14:paraId="746DD29E">
            <w:pPr>
              <w:spacing w:line="257" w:lineRule="auto"/>
              <w:rPr>
                <w:rFonts w:ascii="宋体"/>
                <w:sz w:val="21"/>
              </w:rPr>
            </w:pPr>
          </w:p>
          <w:p w14:paraId="344C6814">
            <w:pPr>
              <w:spacing w:line="257" w:lineRule="auto"/>
              <w:rPr>
                <w:rFonts w:ascii="宋体"/>
                <w:sz w:val="21"/>
              </w:rPr>
            </w:pPr>
          </w:p>
          <w:p w14:paraId="14D5B153">
            <w:pPr>
              <w:spacing w:line="257" w:lineRule="auto"/>
              <w:rPr>
                <w:rFonts w:ascii="宋体"/>
                <w:sz w:val="21"/>
              </w:rPr>
            </w:pPr>
          </w:p>
          <w:p w14:paraId="0F04603E">
            <w:pPr>
              <w:spacing w:line="257" w:lineRule="auto"/>
              <w:rPr>
                <w:rFonts w:ascii="宋体"/>
                <w:sz w:val="21"/>
              </w:rPr>
            </w:pPr>
          </w:p>
          <w:p w14:paraId="5B6E57A7">
            <w:pPr>
              <w:spacing w:line="257" w:lineRule="auto"/>
              <w:rPr>
                <w:rFonts w:ascii="宋体"/>
                <w:sz w:val="21"/>
              </w:rPr>
            </w:pPr>
          </w:p>
          <w:p w14:paraId="127AD4CC">
            <w:pPr>
              <w:spacing w:line="257" w:lineRule="auto"/>
              <w:rPr>
                <w:rFonts w:ascii="宋体"/>
                <w:sz w:val="21"/>
              </w:rPr>
            </w:pPr>
          </w:p>
          <w:p w14:paraId="2D8B15BE">
            <w:pPr>
              <w:spacing w:before="91" w:line="185" w:lineRule="auto"/>
              <w:ind w:firstLine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江苏</w:t>
            </w:r>
          </w:p>
        </w:tc>
        <w:tc>
          <w:tcPr>
            <w:tcW w:w="9212" w:type="dxa"/>
            <w:vAlign w:val="top"/>
          </w:tcPr>
          <w:p w14:paraId="0A25093A">
            <w:pPr>
              <w:spacing w:before="49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7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37BFDD60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一、</w:t>
            </w:r>
            <w:r>
              <w:rPr>
                <w:rFonts w:ascii="仿宋" w:hAnsi="仿宋" w:eastAsia="仿宋" w:cs="仿宋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设备方面</w:t>
            </w:r>
          </w:p>
          <w:p w14:paraId="594F1B01">
            <w:pPr>
              <w:spacing w:before="80" w:line="237" w:lineRule="auto"/>
              <w:ind w:left="22" w:right="9" w:firstLine="5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1.现场见注塑车间用空调净化系统的初效、中效压差值均低于初始压差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值，企业未能提供相关处置记录。</w:t>
            </w:r>
          </w:p>
          <w:p w14:paraId="7105E0A4">
            <w:pPr>
              <w:spacing w:line="204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二、</w:t>
            </w:r>
            <w:r>
              <w:rPr>
                <w:rFonts w:ascii="仿宋" w:hAnsi="仿宋" w:eastAsia="仿宋" w:cs="仿宋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文件管理方面</w:t>
            </w:r>
          </w:p>
          <w:p w14:paraId="594F63C0">
            <w:pPr>
              <w:spacing w:before="50" w:line="185" w:lineRule="auto"/>
              <w:ind w:firstLine="5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2.个别记录存在涂改现象，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未按规定划改并签注。</w:t>
            </w:r>
          </w:p>
          <w:p w14:paraId="2BF087B7">
            <w:pPr>
              <w:spacing w:before="79" w:line="185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三、</w:t>
            </w:r>
            <w:r>
              <w:rPr>
                <w:rFonts w:ascii="仿宋" w:hAnsi="仿宋" w:eastAsia="仿宋" w:cs="仿宋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采购方面</w:t>
            </w:r>
          </w:p>
          <w:p w14:paraId="2B707C56">
            <w:pPr>
              <w:spacing w:before="80" w:line="185" w:lineRule="auto"/>
              <w:ind w:firstLine="6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3.原材料胶塞的微生物限度采购要求未形成文件。</w:t>
            </w:r>
          </w:p>
          <w:p w14:paraId="26E561AD">
            <w:pPr>
              <w:spacing w:before="80" w:line="185" w:lineRule="auto"/>
              <w:ind w:firstLine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4.未记录原材料针管材质的验收内容。</w:t>
            </w:r>
          </w:p>
          <w:p w14:paraId="02163A16">
            <w:pPr>
              <w:spacing w:before="79" w:line="185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四、</w:t>
            </w:r>
            <w:r>
              <w:rPr>
                <w:rFonts w:ascii="仿宋" w:hAnsi="仿宋" w:eastAsia="仿宋" w:cs="仿宋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生产管理方面</w:t>
            </w:r>
          </w:p>
          <w:p w14:paraId="3C80BFCF">
            <w:pPr>
              <w:spacing w:before="80" w:line="185" w:lineRule="auto"/>
              <w:ind w:firstLine="5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5.对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UV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固化机紫外线的防护要求未形成文件。</w:t>
            </w:r>
          </w:p>
        </w:tc>
        <w:tc>
          <w:tcPr>
            <w:tcW w:w="998" w:type="dxa"/>
            <w:vAlign w:val="top"/>
          </w:tcPr>
          <w:p w14:paraId="490BF1A4">
            <w:pPr>
              <w:rPr>
                <w:rFonts w:ascii="宋体"/>
                <w:sz w:val="21"/>
              </w:rPr>
            </w:pPr>
          </w:p>
        </w:tc>
      </w:tr>
    </w:tbl>
    <w:p w14:paraId="720E5769">
      <w:pPr>
        <w:rPr>
          <w:rFonts w:ascii="宋体"/>
          <w:sz w:val="21"/>
        </w:rPr>
      </w:pPr>
    </w:p>
    <w:p w14:paraId="51450B58">
      <w:pPr>
        <w:sectPr>
          <w:footerReference r:id="rId5" w:type="default"/>
          <w:pgSz w:w="16839" w:h="11907"/>
          <w:pgMar w:top="1012" w:right="1356" w:bottom="1402" w:left="1440" w:header="0" w:footer="1277" w:gutter="0"/>
          <w:cols w:space="720" w:num="1"/>
        </w:sectPr>
      </w:pPr>
    </w:p>
    <w:p w14:paraId="24F5EA11"/>
    <w:p w14:paraId="1BB51B47"/>
    <w:p w14:paraId="4267295B"/>
    <w:p w14:paraId="5AF9F30B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07A39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649E4A1C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387F1F1F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4F29C930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739477B8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5A7B43EE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137B916B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5CC64C6E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64D8C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588" w:type="dxa"/>
            <w:vAlign w:val="top"/>
          </w:tcPr>
          <w:p w14:paraId="7D00EE2E">
            <w:pPr>
              <w:rPr>
                <w:rFonts w:ascii="宋体"/>
                <w:sz w:val="21"/>
              </w:rPr>
            </w:pPr>
          </w:p>
        </w:tc>
        <w:tc>
          <w:tcPr>
            <w:tcW w:w="1255" w:type="dxa"/>
            <w:vAlign w:val="top"/>
          </w:tcPr>
          <w:p w14:paraId="30C431FE">
            <w:pPr>
              <w:rPr>
                <w:rFonts w:ascii="宋体"/>
                <w:sz w:val="21"/>
              </w:rPr>
            </w:pPr>
          </w:p>
        </w:tc>
        <w:tc>
          <w:tcPr>
            <w:tcW w:w="1132" w:type="dxa"/>
            <w:vAlign w:val="top"/>
          </w:tcPr>
          <w:p w14:paraId="79F42099"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 w14:paraId="6C4B162D">
            <w:pPr>
              <w:rPr>
                <w:rFonts w:ascii="宋体"/>
                <w:sz w:val="21"/>
              </w:rPr>
            </w:pPr>
          </w:p>
        </w:tc>
        <w:tc>
          <w:tcPr>
            <w:tcW w:w="9212" w:type="dxa"/>
            <w:vAlign w:val="top"/>
          </w:tcPr>
          <w:p w14:paraId="4E0FC358">
            <w:pPr>
              <w:spacing w:before="50" w:line="185" w:lineRule="auto"/>
              <w:ind w:firstLine="5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6.未对洁净区包装传送带直通区外的卫生管理要求形成文件。</w:t>
            </w:r>
          </w:p>
          <w:p w14:paraId="19829629">
            <w:pPr>
              <w:spacing w:before="79" w:line="185" w:lineRule="auto"/>
              <w:ind w:firstLine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五、</w:t>
            </w:r>
            <w:r>
              <w:rPr>
                <w:rFonts w:ascii="仿宋" w:hAnsi="仿宋" w:eastAsia="仿宋" w:cs="仿宋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不合格品控制方面</w:t>
            </w:r>
          </w:p>
          <w:p w14:paraId="63C56622">
            <w:pPr>
              <w:spacing w:before="80" w:line="211" w:lineRule="auto"/>
              <w:ind w:left="22" w:right="7" w:firstLine="5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7.企业制定的《不合格品控制程序》</w:t>
            </w:r>
            <w:r>
              <w:rPr>
                <w:rFonts w:ascii="仿宋" w:hAnsi="仿宋" w:eastAsia="仿宋" w:cs="仿宋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中没有明确规定注塑过程中产生的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少量自检不合格品的处置方法。</w:t>
            </w:r>
          </w:p>
        </w:tc>
        <w:tc>
          <w:tcPr>
            <w:tcW w:w="998" w:type="dxa"/>
            <w:vAlign w:val="top"/>
          </w:tcPr>
          <w:p w14:paraId="17B61590">
            <w:pPr>
              <w:rPr>
                <w:rFonts w:ascii="宋体"/>
                <w:sz w:val="21"/>
              </w:rPr>
            </w:pPr>
          </w:p>
        </w:tc>
      </w:tr>
      <w:tr w14:paraId="14E99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1" w:hRule="atLeast"/>
        </w:trPr>
        <w:tc>
          <w:tcPr>
            <w:tcW w:w="588" w:type="dxa"/>
            <w:vAlign w:val="top"/>
          </w:tcPr>
          <w:p w14:paraId="2EE32417">
            <w:pPr>
              <w:spacing w:line="263" w:lineRule="auto"/>
              <w:rPr>
                <w:rFonts w:ascii="宋体"/>
                <w:sz w:val="21"/>
              </w:rPr>
            </w:pPr>
          </w:p>
          <w:p w14:paraId="091B3127">
            <w:pPr>
              <w:spacing w:line="263" w:lineRule="auto"/>
              <w:rPr>
                <w:rFonts w:ascii="宋体"/>
                <w:sz w:val="21"/>
              </w:rPr>
            </w:pPr>
          </w:p>
          <w:p w14:paraId="6C04925D">
            <w:pPr>
              <w:spacing w:line="263" w:lineRule="auto"/>
              <w:rPr>
                <w:rFonts w:ascii="宋体"/>
                <w:sz w:val="21"/>
              </w:rPr>
            </w:pPr>
          </w:p>
          <w:p w14:paraId="150D066D">
            <w:pPr>
              <w:spacing w:line="263" w:lineRule="auto"/>
              <w:rPr>
                <w:rFonts w:ascii="宋体"/>
                <w:sz w:val="21"/>
              </w:rPr>
            </w:pPr>
          </w:p>
          <w:p w14:paraId="53F57BDC">
            <w:pPr>
              <w:spacing w:line="263" w:lineRule="auto"/>
              <w:rPr>
                <w:rFonts w:ascii="宋体"/>
                <w:sz w:val="21"/>
              </w:rPr>
            </w:pPr>
          </w:p>
          <w:p w14:paraId="481E9104">
            <w:pPr>
              <w:spacing w:line="263" w:lineRule="auto"/>
              <w:rPr>
                <w:rFonts w:ascii="宋体"/>
                <w:sz w:val="21"/>
              </w:rPr>
            </w:pPr>
          </w:p>
          <w:p w14:paraId="0CEB09A4">
            <w:pPr>
              <w:spacing w:line="263" w:lineRule="auto"/>
              <w:rPr>
                <w:rFonts w:ascii="宋体"/>
                <w:sz w:val="21"/>
              </w:rPr>
            </w:pPr>
          </w:p>
          <w:p w14:paraId="1DDB7FF4">
            <w:pPr>
              <w:spacing w:line="263" w:lineRule="auto"/>
              <w:rPr>
                <w:rFonts w:ascii="宋体"/>
                <w:sz w:val="21"/>
              </w:rPr>
            </w:pPr>
          </w:p>
          <w:p w14:paraId="082D0A90">
            <w:pPr>
              <w:spacing w:line="264" w:lineRule="auto"/>
              <w:rPr>
                <w:rFonts w:ascii="宋体"/>
                <w:sz w:val="21"/>
              </w:rPr>
            </w:pPr>
          </w:p>
          <w:p w14:paraId="029C08FE">
            <w:pPr>
              <w:spacing w:before="91" w:line="180" w:lineRule="auto"/>
              <w:ind w:firstLine="2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55" w:type="dxa"/>
            <w:vAlign w:val="top"/>
          </w:tcPr>
          <w:p w14:paraId="34C5AFC4">
            <w:pPr>
              <w:spacing w:line="265" w:lineRule="auto"/>
              <w:rPr>
                <w:rFonts w:ascii="宋体"/>
                <w:sz w:val="21"/>
              </w:rPr>
            </w:pPr>
          </w:p>
          <w:p w14:paraId="432F6130">
            <w:pPr>
              <w:spacing w:line="265" w:lineRule="auto"/>
              <w:rPr>
                <w:rFonts w:ascii="宋体"/>
                <w:sz w:val="21"/>
              </w:rPr>
            </w:pPr>
          </w:p>
          <w:p w14:paraId="5CAA24DF">
            <w:pPr>
              <w:spacing w:line="265" w:lineRule="auto"/>
              <w:rPr>
                <w:rFonts w:ascii="宋体"/>
                <w:sz w:val="21"/>
              </w:rPr>
            </w:pPr>
          </w:p>
          <w:p w14:paraId="36276C26">
            <w:pPr>
              <w:spacing w:line="266" w:lineRule="auto"/>
              <w:rPr>
                <w:rFonts w:ascii="宋体"/>
                <w:sz w:val="21"/>
              </w:rPr>
            </w:pPr>
          </w:p>
          <w:p w14:paraId="4B809D35">
            <w:pPr>
              <w:spacing w:line="266" w:lineRule="auto"/>
              <w:rPr>
                <w:rFonts w:ascii="宋体"/>
                <w:sz w:val="21"/>
              </w:rPr>
            </w:pPr>
          </w:p>
          <w:p w14:paraId="5CFC036B">
            <w:pPr>
              <w:spacing w:line="266" w:lineRule="auto"/>
              <w:rPr>
                <w:rFonts w:ascii="宋体"/>
                <w:sz w:val="21"/>
              </w:rPr>
            </w:pPr>
          </w:p>
          <w:p w14:paraId="1FF3F37E">
            <w:pPr>
              <w:spacing w:line="266" w:lineRule="auto"/>
              <w:rPr>
                <w:rFonts w:ascii="宋体"/>
                <w:sz w:val="21"/>
              </w:rPr>
            </w:pPr>
          </w:p>
          <w:p w14:paraId="26EDEF69">
            <w:pPr>
              <w:spacing w:before="91" w:line="237" w:lineRule="auto"/>
              <w:ind w:left="20" w:right="12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新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乡市康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民卫材开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发有限公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司</w:t>
            </w:r>
          </w:p>
        </w:tc>
        <w:tc>
          <w:tcPr>
            <w:tcW w:w="1132" w:type="dxa"/>
            <w:vAlign w:val="top"/>
          </w:tcPr>
          <w:p w14:paraId="0C82321D">
            <w:pPr>
              <w:spacing w:line="252" w:lineRule="auto"/>
              <w:rPr>
                <w:rFonts w:ascii="宋体"/>
                <w:sz w:val="21"/>
              </w:rPr>
            </w:pPr>
          </w:p>
          <w:p w14:paraId="7A43E1C5">
            <w:pPr>
              <w:spacing w:line="252" w:lineRule="auto"/>
              <w:rPr>
                <w:rFonts w:ascii="宋体"/>
                <w:sz w:val="21"/>
              </w:rPr>
            </w:pPr>
          </w:p>
          <w:p w14:paraId="40AC2892">
            <w:pPr>
              <w:spacing w:line="252" w:lineRule="auto"/>
              <w:rPr>
                <w:rFonts w:ascii="宋体"/>
                <w:sz w:val="21"/>
              </w:rPr>
            </w:pPr>
          </w:p>
          <w:p w14:paraId="09CEF722">
            <w:pPr>
              <w:spacing w:line="252" w:lineRule="auto"/>
              <w:rPr>
                <w:rFonts w:ascii="宋体"/>
                <w:sz w:val="21"/>
              </w:rPr>
            </w:pPr>
          </w:p>
          <w:p w14:paraId="4B964C18">
            <w:pPr>
              <w:spacing w:line="252" w:lineRule="auto"/>
              <w:rPr>
                <w:rFonts w:ascii="宋体"/>
                <w:sz w:val="21"/>
              </w:rPr>
            </w:pPr>
          </w:p>
          <w:p w14:paraId="33B72A83">
            <w:pPr>
              <w:spacing w:line="252" w:lineRule="auto"/>
              <w:rPr>
                <w:rFonts w:ascii="宋体"/>
                <w:sz w:val="21"/>
              </w:rPr>
            </w:pPr>
          </w:p>
          <w:p w14:paraId="2B377B2B">
            <w:pPr>
              <w:spacing w:line="252" w:lineRule="auto"/>
              <w:rPr>
                <w:rFonts w:ascii="宋体"/>
                <w:sz w:val="21"/>
              </w:rPr>
            </w:pPr>
          </w:p>
          <w:p w14:paraId="3FC43393">
            <w:pPr>
              <w:spacing w:line="253" w:lineRule="auto"/>
              <w:rPr>
                <w:rFonts w:ascii="宋体"/>
                <w:sz w:val="21"/>
              </w:rPr>
            </w:pPr>
          </w:p>
          <w:p w14:paraId="2C4AA7AD">
            <w:pPr>
              <w:spacing w:before="91" w:line="237" w:lineRule="auto"/>
              <w:ind w:left="17" w:right="10" w:firstLine="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次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用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术衣</w:t>
            </w:r>
          </w:p>
        </w:tc>
        <w:tc>
          <w:tcPr>
            <w:tcW w:w="851" w:type="dxa"/>
            <w:vAlign w:val="top"/>
          </w:tcPr>
          <w:p w14:paraId="0963E1D6">
            <w:pPr>
              <w:spacing w:line="259" w:lineRule="auto"/>
              <w:rPr>
                <w:rFonts w:ascii="宋体"/>
                <w:sz w:val="21"/>
              </w:rPr>
            </w:pPr>
          </w:p>
          <w:p w14:paraId="1F108168">
            <w:pPr>
              <w:spacing w:line="259" w:lineRule="auto"/>
              <w:rPr>
                <w:rFonts w:ascii="宋体"/>
                <w:sz w:val="21"/>
              </w:rPr>
            </w:pPr>
          </w:p>
          <w:p w14:paraId="7E19B9AD">
            <w:pPr>
              <w:spacing w:line="259" w:lineRule="auto"/>
              <w:rPr>
                <w:rFonts w:ascii="宋体"/>
                <w:sz w:val="21"/>
              </w:rPr>
            </w:pPr>
          </w:p>
          <w:p w14:paraId="5C286374">
            <w:pPr>
              <w:spacing w:line="259" w:lineRule="auto"/>
              <w:rPr>
                <w:rFonts w:ascii="宋体"/>
                <w:sz w:val="21"/>
              </w:rPr>
            </w:pPr>
          </w:p>
          <w:p w14:paraId="17C6A85A">
            <w:pPr>
              <w:spacing w:line="259" w:lineRule="auto"/>
              <w:rPr>
                <w:rFonts w:ascii="宋体"/>
                <w:sz w:val="21"/>
              </w:rPr>
            </w:pPr>
          </w:p>
          <w:p w14:paraId="1245B0CD">
            <w:pPr>
              <w:spacing w:line="259" w:lineRule="auto"/>
              <w:rPr>
                <w:rFonts w:ascii="宋体"/>
                <w:sz w:val="21"/>
              </w:rPr>
            </w:pPr>
          </w:p>
          <w:p w14:paraId="3ECC8389">
            <w:pPr>
              <w:spacing w:line="259" w:lineRule="auto"/>
              <w:rPr>
                <w:rFonts w:ascii="宋体"/>
                <w:sz w:val="21"/>
              </w:rPr>
            </w:pPr>
          </w:p>
          <w:p w14:paraId="4FAE0DEF">
            <w:pPr>
              <w:spacing w:line="259" w:lineRule="auto"/>
              <w:rPr>
                <w:rFonts w:ascii="宋体"/>
                <w:sz w:val="21"/>
              </w:rPr>
            </w:pPr>
          </w:p>
          <w:p w14:paraId="0220151D">
            <w:pPr>
              <w:spacing w:line="260" w:lineRule="auto"/>
              <w:rPr>
                <w:rFonts w:ascii="宋体"/>
                <w:sz w:val="21"/>
              </w:rPr>
            </w:pPr>
          </w:p>
          <w:p w14:paraId="3FDD9856">
            <w:pPr>
              <w:spacing w:before="91" w:line="185" w:lineRule="auto"/>
              <w:ind w:firstLine="1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河南</w:t>
            </w:r>
          </w:p>
        </w:tc>
        <w:tc>
          <w:tcPr>
            <w:tcW w:w="9212" w:type="dxa"/>
            <w:vAlign w:val="top"/>
          </w:tcPr>
          <w:p w14:paraId="271C039A">
            <w:pPr>
              <w:spacing w:before="48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5EE4B297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一、机构和人员方面</w:t>
            </w:r>
          </w:p>
          <w:p w14:paraId="1E9876A2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1.企业虽已建立人员健康档案，但未提供人员健康要求的文件。</w:t>
            </w:r>
          </w:p>
          <w:p w14:paraId="24BC55FD">
            <w:pPr>
              <w:spacing w:before="79" w:line="185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二、厂房与设施方面</w:t>
            </w:r>
          </w:p>
          <w:p w14:paraId="267A0633">
            <w:pPr>
              <w:spacing w:before="80" w:line="237" w:lineRule="auto"/>
              <w:ind w:left="44" w:right="8" w:firstLine="5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2.原材料库西北角有一直径约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10cm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圆形管道洞，虽用塑料布堵住，但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密封不严。</w:t>
            </w:r>
          </w:p>
          <w:p w14:paraId="7084FDBD">
            <w:pPr>
              <w:spacing w:line="202" w:lineRule="auto"/>
              <w:ind w:firstLine="6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3.企业包材库存放的“手术衣中封袋”未见货位卡。</w:t>
            </w:r>
          </w:p>
          <w:p w14:paraId="703D4D21">
            <w:pPr>
              <w:spacing w:before="54" w:line="185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三、文件管理方面</w:t>
            </w:r>
          </w:p>
          <w:p w14:paraId="45863E94">
            <w:pPr>
              <w:spacing w:before="80" w:line="237" w:lineRule="auto"/>
              <w:ind w:left="23" w:right="7" w:firstLine="5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4.企业未在《人员进出洁净区管理规定》发布实施前对相关人员培训该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管理规定，也未见相关文件发放、回收记录。</w:t>
            </w:r>
          </w:p>
          <w:p w14:paraId="2D25F20C">
            <w:pPr>
              <w:spacing w:line="204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四、生产管理方面</w:t>
            </w:r>
          </w:p>
          <w:p w14:paraId="118F9032">
            <w:pPr>
              <w:spacing w:before="51" w:line="185" w:lineRule="auto"/>
              <w:ind w:firstLine="5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5.未见工位器具管理文件。</w:t>
            </w:r>
          </w:p>
          <w:p w14:paraId="3C2746FC">
            <w:pPr>
              <w:spacing w:before="79" w:line="185" w:lineRule="auto"/>
              <w:ind w:firstLine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五、质量控制方面</w:t>
            </w:r>
          </w:p>
          <w:p w14:paraId="4F52CF26">
            <w:pPr>
              <w:spacing w:before="80" w:line="220" w:lineRule="auto"/>
              <w:ind w:left="34" w:right="11"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6.质量控制程序中明确检验仪器设备的校准经国家认可的计量检定部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门进行检定或校准，</w:t>
            </w:r>
            <w:r>
              <w:rPr>
                <w:rFonts w:ascii="仿宋" w:hAnsi="仿宋" w:eastAsia="仿宋" w:cs="仿宋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但企业对手术衣洁净生产车间的压差计实行自校，</w:t>
            </w:r>
            <w:r>
              <w:rPr>
                <w:rFonts w:ascii="仿宋" w:hAnsi="仿宋" w:eastAsia="仿宋" w:cs="仿宋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由企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业检验员校准。</w:t>
            </w:r>
          </w:p>
        </w:tc>
        <w:tc>
          <w:tcPr>
            <w:tcW w:w="998" w:type="dxa"/>
            <w:vAlign w:val="top"/>
          </w:tcPr>
          <w:p w14:paraId="140DBA70">
            <w:pPr>
              <w:rPr>
                <w:rFonts w:ascii="宋体"/>
                <w:sz w:val="21"/>
              </w:rPr>
            </w:pPr>
          </w:p>
        </w:tc>
      </w:tr>
    </w:tbl>
    <w:p w14:paraId="02D539BA">
      <w:pPr>
        <w:rPr>
          <w:rFonts w:ascii="宋体"/>
          <w:sz w:val="21"/>
        </w:rPr>
      </w:pPr>
    </w:p>
    <w:p w14:paraId="7B4244A5">
      <w:pPr>
        <w:sectPr>
          <w:footerReference r:id="rId6" w:type="default"/>
          <w:pgSz w:w="16839" w:h="11907"/>
          <w:pgMar w:top="1012" w:right="1356" w:bottom="1401" w:left="1440" w:header="0" w:footer="1277" w:gutter="0"/>
          <w:cols w:space="720" w:num="1"/>
        </w:sectPr>
      </w:pPr>
    </w:p>
    <w:p w14:paraId="682DEC78"/>
    <w:p w14:paraId="229D9800"/>
    <w:p w14:paraId="755D5134"/>
    <w:p w14:paraId="7889B8F6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0AC2D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4BEE1547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54E80E7D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158C496D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5A181151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487AD1E9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79FE62FF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075E206C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0DAD6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588" w:type="dxa"/>
            <w:vAlign w:val="top"/>
          </w:tcPr>
          <w:p w14:paraId="70E7D0D5">
            <w:pPr>
              <w:rPr>
                <w:rFonts w:ascii="宋体"/>
                <w:sz w:val="21"/>
              </w:rPr>
            </w:pPr>
          </w:p>
        </w:tc>
        <w:tc>
          <w:tcPr>
            <w:tcW w:w="1255" w:type="dxa"/>
            <w:vAlign w:val="top"/>
          </w:tcPr>
          <w:p w14:paraId="360A8219">
            <w:pPr>
              <w:rPr>
                <w:rFonts w:ascii="宋体"/>
                <w:sz w:val="21"/>
              </w:rPr>
            </w:pPr>
          </w:p>
        </w:tc>
        <w:tc>
          <w:tcPr>
            <w:tcW w:w="1132" w:type="dxa"/>
            <w:vAlign w:val="top"/>
          </w:tcPr>
          <w:p w14:paraId="5B87C3DA"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 w14:paraId="660C9842">
            <w:pPr>
              <w:rPr>
                <w:rFonts w:ascii="宋体"/>
                <w:sz w:val="21"/>
              </w:rPr>
            </w:pPr>
          </w:p>
        </w:tc>
        <w:tc>
          <w:tcPr>
            <w:tcW w:w="9212" w:type="dxa"/>
            <w:vAlign w:val="top"/>
          </w:tcPr>
          <w:p w14:paraId="5339BCFB">
            <w:pPr>
              <w:spacing w:before="50" w:line="185" w:lineRule="auto"/>
              <w:ind w:firstLine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六、不合格品控制方面</w:t>
            </w:r>
          </w:p>
          <w:p w14:paraId="0558EAA6">
            <w:pPr>
              <w:spacing w:before="80" w:line="237" w:lineRule="auto"/>
              <w:ind w:left="31" w:right="9" w:firstLine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7.查看企业不合格品控制程序,对不能返工的不合格品，未明确相关处</w:t>
            </w:r>
            <w:r>
              <w:rPr>
                <w:rFonts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置制度。</w:t>
            </w:r>
          </w:p>
          <w:p w14:paraId="366D11FB">
            <w:pPr>
              <w:spacing w:line="202" w:lineRule="auto"/>
              <w:ind w:firstLine="5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七、不良事件监测、分析和改进方面</w:t>
            </w:r>
          </w:p>
          <w:p w14:paraId="7DCA587C">
            <w:pPr>
              <w:spacing w:before="53" w:line="220" w:lineRule="auto"/>
              <w:ind w:left="21" w:firstLine="5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8.企业虽已建立纠正措施控制程序，</w:t>
            </w:r>
            <w:r>
              <w:rPr>
                <w:rFonts w:ascii="仿宋" w:hAnsi="仿宋" w:eastAsia="仿宋" w:cs="仿宋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但该程序的实施不充分，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例如针对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某批次不合格手术衣企业进行了整改，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分析了原因，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对整改措施进行了明确，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但未按该程序要求由质量管理部对整改措施进行后续跟踪验证工作。</w:t>
            </w:r>
          </w:p>
        </w:tc>
        <w:tc>
          <w:tcPr>
            <w:tcW w:w="998" w:type="dxa"/>
            <w:vAlign w:val="top"/>
          </w:tcPr>
          <w:p w14:paraId="757C2904">
            <w:pPr>
              <w:rPr>
                <w:rFonts w:ascii="宋体"/>
                <w:sz w:val="21"/>
              </w:rPr>
            </w:pPr>
          </w:p>
        </w:tc>
      </w:tr>
      <w:tr w14:paraId="31E2B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6" w:hRule="atLeast"/>
        </w:trPr>
        <w:tc>
          <w:tcPr>
            <w:tcW w:w="588" w:type="dxa"/>
            <w:vAlign w:val="top"/>
          </w:tcPr>
          <w:p w14:paraId="5FAD5589">
            <w:pPr>
              <w:spacing w:line="270" w:lineRule="auto"/>
              <w:rPr>
                <w:rFonts w:ascii="宋体"/>
                <w:sz w:val="21"/>
              </w:rPr>
            </w:pPr>
          </w:p>
          <w:p w14:paraId="00E87B94">
            <w:pPr>
              <w:spacing w:line="271" w:lineRule="auto"/>
              <w:rPr>
                <w:rFonts w:ascii="宋体"/>
                <w:sz w:val="21"/>
              </w:rPr>
            </w:pPr>
          </w:p>
          <w:p w14:paraId="7EF2C5D3">
            <w:pPr>
              <w:spacing w:line="271" w:lineRule="auto"/>
              <w:rPr>
                <w:rFonts w:ascii="宋体"/>
                <w:sz w:val="21"/>
              </w:rPr>
            </w:pPr>
          </w:p>
          <w:p w14:paraId="5E2C23BD">
            <w:pPr>
              <w:spacing w:line="271" w:lineRule="auto"/>
              <w:rPr>
                <w:rFonts w:ascii="宋体"/>
                <w:sz w:val="21"/>
              </w:rPr>
            </w:pPr>
          </w:p>
          <w:p w14:paraId="0E1E908E">
            <w:pPr>
              <w:spacing w:line="271" w:lineRule="auto"/>
              <w:rPr>
                <w:rFonts w:ascii="宋体"/>
                <w:sz w:val="21"/>
              </w:rPr>
            </w:pPr>
          </w:p>
          <w:p w14:paraId="7480118B">
            <w:pPr>
              <w:spacing w:before="91" w:line="180" w:lineRule="auto"/>
              <w:ind w:firstLine="2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55" w:type="dxa"/>
            <w:vAlign w:val="top"/>
          </w:tcPr>
          <w:p w14:paraId="0FB8ABE4">
            <w:pPr>
              <w:spacing w:line="283" w:lineRule="auto"/>
              <w:rPr>
                <w:rFonts w:ascii="宋体"/>
                <w:sz w:val="21"/>
              </w:rPr>
            </w:pPr>
          </w:p>
          <w:p w14:paraId="2EFD2D87">
            <w:pPr>
              <w:spacing w:line="283" w:lineRule="auto"/>
              <w:rPr>
                <w:rFonts w:ascii="宋体"/>
                <w:sz w:val="21"/>
              </w:rPr>
            </w:pPr>
          </w:p>
          <w:p w14:paraId="05030F32">
            <w:pPr>
              <w:spacing w:line="283" w:lineRule="auto"/>
              <w:rPr>
                <w:rFonts w:ascii="宋体"/>
                <w:sz w:val="21"/>
              </w:rPr>
            </w:pPr>
          </w:p>
          <w:p w14:paraId="2560271B">
            <w:pPr>
              <w:spacing w:before="91" w:line="237" w:lineRule="auto"/>
              <w:ind w:left="13" w:right="12" w:firstLine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湖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南埃</w:t>
            </w:r>
            <w:r>
              <w:rPr>
                <w:rFonts w:ascii="仿宋" w:hAnsi="仿宋" w:eastAsia="仿宋" w:cs="仿宋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特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医疗器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械有限公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司</w:t>
            </w:r>
          </w:p>
        </w:tc>
        <w:tc>
          <w:tcPr>
            <w:tcW w:w="1132" w:type="dxa"/>
            <w:vAlign w:val="top"/>
          </w:tcPr>
          <w:p w14:paraId="0D379ED1">
            <w:pPr>
              <w:spacing w:line="291" w:lineRule="auto"/>
              <w:rPr>
                <w:rFonts w:ascii="宋体"/>
                <w:sz w:val="21"/>
              </w:rPr>
            </w:pPr>
          </w:p>
          <w:p w14:paraId="39E49276">
            <w:pPr>
              <w:spacing w:line="291" w:lineRule="auto"/>
              <w:rPr>
                <w:rFonts w:ascii="宋体"/>
                <w:sz w:val="21"/>
              </w:rPr>
            </w:pPr>
          </w:p>
          <w:p w14:paraId="65510A10">
            <w:pPr>
              <w:spacing w:line="291" w:lineRule="auto"/>
              <w:rPr>
                <w:rFonts w:ascii="宋体"/>
                <w:sz w:val="21"/>
              </w:rPr>
            </w:pPr>
          </w:p>
          <w:p w14:paraId="2EABFAAC">
            <w:pPr>
              <w:spacing w:line="292" w:lineRule="auto"/>
              <w:rPr>
                <w:rFonts w:ascii="宋体"/>
                <w:sz w:val="21"/>
              </w:rPr>
            </w:pPr>
          </w:p>
          <w:p w14:paraId="4A521AC9">
            <w:pPr>
              <w:spacing w:before="91" w:line="237" w:lineRule="auto"/>
              <w:ind w:left="29" w:right="10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球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囊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影导管</w:t>
            </w:r>
          </w:p>
        </w:tc>
        <w:tc>
          <w:tcPr>
            <w:tcW w:w="851" w:type="dxa"/>
            <w:vAlign w:val="top"/>
          </w:tcPr>
          <w:p w14:paraId="171F609F">
            <w:pPr>
              <w:spacing w:line="264" w:lineRule="auto"/>
              <w:rPr>
                <w:rFonts w:ascii="宋体"/>
                <w:sz w:val="21"/>
              </w:rPr>
            </w:pPr>
          </w:p>
          <w:p w14:paraId="17DAB6B2">
            <w:pPr>
              <w:spacing w:line="264" w:lineRule="auto"/>
              <w:rPr>
                <w:rFonts w:ascii="宋体"/>
                <w:sz w:val="21"/>
              </w:rPr>
            </w:pPr>
          </w:p>
          <w:p w14:paraId="62FA0ACB">
            <w:pPr>
              <w:spacing w:line="264" w:lineRule="auto"/>
              <w:rPr>
                <w:rFonts w:ascii="宋体"/>
                <w:sz w:val="21"/>
              </w:rPr>
            </w:pPr>
          </w:p>
          <w:p w14:paraId="378605BC">
            <w:pPr>
              <w:spacing w:line="265" w:lineRule="auto"/>
              <w:rPr>
                <w:rFonts w:ascii="宋体"/>
                <w:sz w:val="21"/>
              </w:rPr>
            </w:pPr>
          </w:p>
          <w:p w14:paraId="4E8D933E">
            <w:pPr>
              <w:spacing w:line="265" w:lineRule="auto"/>
              <w:rPr>
                <w:rFonts w:ascii="宋体"/>
                <w:sz w:val="21"/>
              </w:rPr>
            </w:pPr>
          </w:p>
          <w:p w14:paraId="1C86656A">
            <w:pPr>
              <w:spacing w:before="91" w:line="185" w:lineRule="auto"/>
              <w:ind w:firstLine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湖南</w:t>
            </w:r>
          </w:p>
        </w:tc>
        <w:tc>
          <w:tcPr>
            <w:tcW w:w="9212" w:type="dxa"/>
            <w:vAlign w:val="top"/>
          </w:tcPr>
          <w:p w14:paraId="624AA94B">
            <w:pPr>
              <w:spacing w:before="42" w:line="185" w:lineRule="auto"/>
              <w:ind w:firstLine="5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项。</w:t>
            </w:r>
          </w:p>
          <w:p w14:paraId="1DE809B4">
            <w:pPr>
              <w:spacing w:before="81" w:line="185" w:lineRule="auto"/>
              <w:ind w:firstLine="6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一、厂房与设施方面</w:t>
            </w:r>
          </w:p>
          <w:p w14:paraId="5CA24D43">
            <w:pPr>
              <w:spacing w:before="84" w:line="185" w:lineRule="auto"/>
              <w:ind w:firstLine="6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1.内包间成品置物架紧靠清洗区域，</w:t>
            </w:r>
            <w:r>
              <w:rPr>
                <w:rFonts w:ascii="仿宋" w:hAnsi="仿宋" w:eastAsia="仿宋" w:cs="仿宋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无有效隔离。</w:t>
            </w:r>
          </w:p>
          <w:p w14:paraId="41738EE2">
            <w:pPr>
              <w:spacing w:before="123" w:line="185" w:lineRule="auto"/>
              <w:ind w:firstLine="5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2.十万级洁净区进入万级缓冲间的门未向洁净度高的方向开启。</w:t>
            </w:r>
          </w:p>
          <w:p w14:paraId="0A31A4D7">
            <w:pPr>
              <w:spacing w:before="117" w:line="185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二、文件管理方面</w:t>
            </w:r>
          </w:p>
          <w:p w14:paraId="543F4555">
            <w:pPr>
              <w:spacing w:before="119" w:line="225" w:lineRule="auto"/>
              <w:ind w:left="407" w:right="591" w:firstLine="1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3.产品细菌内毒素检测报告未记录细菌内毒素标准品的稀释步骤；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某批记录解析记录表中解析区选项涂改，修改记录未签字。</w:t>
            </w:r>
          </w:p>
          <w:p w14:paraId="1D9939EC">
            <w:pPr>
              <w:spacing w:before="118" w:line="185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三、质量控制方面</w:t>
            </w:r>
          </w:p>
          <w:p w14:paraId="5E1E9287">
            <w:pPr>
              <w:spacing w:before="86" w:line="185" w:lineRule="auto"/>
              <w:ind w:firstLine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4.清洗室内的内腔清洗机用于显示水压力的压力表未校准。</w:t>
            </w:r>
          </w:p>
        </w:tc>
        <w:tc>
          <w:tcPr>
            <w:tcW w:w="998" w:type="dxa"/>
            <w:vAlign w:val="top"/>
          </w:tcPr>
          <w:p w14:paraId="040B34DC">
            <w:pPr>
              <w:rPr>
                <w:rFonts w:ascii="宋体"/>
                <w:sz w:val="21"/>
              </w:rPr>
            </w:pPr>
          </w:p>
        </w:tc>
      </w:tr>
      <w:tr w14:paraId="3091A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588" w:type="dxa"/>
            <w:vAlign w:val="top"/>
          </w:tcPr>
          <w:p w14:paraId="380CF0A9">
            <w:pPr>
              <w:spacing w:line="478" w:lineRule="auto"/>
              <w:rPr>
                <w:rFonts w:ascii="宋体"/>
                <w:sz w:val="21"/>
              </w:rPr>
            </w:pPr>
          </w:p>
          <w:p w14:paraId="1A47F5C7">
            <w:pPr>
              <w:spacing w:before="91" w:line="180" w:lineRule="auto"/>
              <w:ind w:firstLine="2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55" w:type="dxa"/>
            <w:vAlign w:val="top"/>
          </w:tcPr>
          <w:p w14:paraId="054A865F">
            <w:pPr>
              <w:spacing w:before="231" w:line="237" w:lineRule="auto"/>
              <w:ind w:left="26" w:right="12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广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州南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雪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医疗器械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有限公司</w:t>
            </w:r>
          </w:p>
        </w:tc>
        <w:tc>
          <w:tcPr>
            <w:tcW w:w="1132" w:type="dxa"/>
            <w:vAlign w:val="top"/>
          </w:tcPr>
          <w:p w14:paraId="28DE3D6D">
            <w:pPr>
              <w:spacing w:line="281" w:lineRule="auto"/>
              <w:rPr>
                <w:rFonts w:ascii="宋体"/>
                <w:sz w:val="21"/>
              </w:rPr>
            </w:pPr>
          </w:p>
          <w:p w14:paraId="7DC967B9">
            <w:pPr>
              <w:spacing w:before="91" w:line="237" w:lineRule="auto"/>
              <w:ind w:left="35" w:right="10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红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外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额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温计</w:t>
            </w:r>
          </w:p>
        </w:tc>
        <w:tc>
          <w:tcPr>
            <w:tcW w:w="851" w:type="dxa"/>
            <w:vAlign w:val="top"/>
          </w:tcPr>
          <w:p w14:paraId="26AA0A0D">
            <w:pPr>
              <w:spacing w:line="438" w:lineRule="auto"/>
              <w:rPr>
                <w:rFonts w:ascii="宋体"/>
                <w:sz w:val="21"/>
              </w:rPr>
            </w:pPr>
          </w:p>
          <w:p w14:paraId="77383EDA">
            <w:pPr>
              <w:spacing w:before="91" w:line="185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广东</w:t>
            </w:r>
          </w:p>
        </w:tc>
        <w:tc>
          <w:tcPr>
            <w:tcW w:w="9212" w:type="dxa"/>
            <w:vAlign w:val="top"/>
          </w:tcPr>
          <w:p w14:paraId="0FBCA195">
            <w:pPr>
              <w:spacing w:before="54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7B045C7F">
            <w:pPr>
              <w:spacing w:before="80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一、厂房与设施方面</w:t>
            </w:r>
          </w:p>
          <w:p w14:paraId="54477950">
            <w:pPr>
              <w:spacing w:before="79" w:line="211" w:lineRule="auto"/>
              <w:ind w:left="20" w:right="7"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1.四楼原材料仓储区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C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类物料区放置待销售的一次性使用末梢采血针、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臂式电子血压计、多参数检测仪等产品。</w:t>
            </w:r>
          </w:p>
        </w:tc>
        <w:tc>
          <w:tcPr>
            <w:tcW w:w="998" w:type="dxa"/>
            <w:vAlign w:val="top"/>
          </w:tcPr>
          <w:p w14:paraId="0439A529">
            <w:pPr>
              <w:rPr>
                <w:rFonts w:ascii="宋体"/>
                <w:sz w:val="21"/>
              </w:rPr>
            </w:pPr>
          </w:p>
        </w:tc>
      </w:tr>
    </w:tbl>
    <w:p w14:paraId="46626047">
      <w:pPr>
        <w:rPr>
          <w:rFonts w:ascii="宋体"/>
          <w:sz w:val="21"/>
        </w:rPr>
      </w:pPr>
    </w:p>
    <w:p w14:paraId="1FFA2DB1">
      <w:pPr>
        <w:sectPr>
          <w:footerReference r:id="rId7" w:type="default"/>
          <w:pgSz w:w="16839" w:h="11907"/>
          <w:pgMar w:top="1012" w:right="1356" w:bottom="1401" w:left="1440" w:header="0" w:footer="1277" w:gutter="0"/>
          <w:cols w:space="720" w:num="1"/>
        </w:sectPr>
      </w:pPr>
    </w:p>
    <w:p w14:paraId="40115751"/>
    <w:p w14:paraId="1A3941B3"/>
    <w:p w14:paraId="2DB29CFC"/>
    <w:p w14:paraId="0B888A2F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33170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59E84CB4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316F2090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31D2C1CF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568E0612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09A20DB7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3F7EBF66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7AAF53E3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38252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3" w:hRule="atLeast"/>
        </w:trPr>
        <w:tc>
          <w:tcPr>
            <w:tcW w:w="588" w:type="dxa"/>
            <w:vAlign w:val="top"/>
          </w:tcPr>
          <w:p w14:paraId="68D35B85">
            <w:pPr>
              <w:rPr>
                <w:rFonts w:ascii="宋体"/>
                <w:sz w:val="21"/>
              </w:rPr>
            </w:pPr>
          </w:p>
        </w:tc>
        <w:tc>
          <w:tcPr>
            <w:tcW w:w="1255" w:type="dxa"/>
            <w:vAlign w:val="top"/>
          </w:tcPr>
          <w:p w14:paraId="60397ABD">
            <w:pPr>
              <w:rPr>
                <w:rFonts w:ascii="宋体"/>
                <w:sz w:val="21"/>
              </w:rPr>
            </w:pPr>
          </w:p>
        </w:tc>
        <w:tc>
          <w:tcPr>
            <w:tcW w:w="1132" w:type="dxa"/>
            <w:vAlign w:val="top"/>
          </w:tcPr>
          <w:p w14:paraId="7E45C561"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 w14:paraId="5F0A9CC0">
            <w:pPr>
              <w:rPr>
                <w:rFonts w:ascii="宋体"/>
                <w:sz w:val="21"/>
              </w:rPr>
            </w:pPr>
          </w:p>
        </w:tc>
        <w:tc>
          <w:tcPr>
            <w:tcW w:w="9212" w:type="dxa"/>
            <w:vAlign w:val="top"/>
          </w:tcPr>
          <w:p w14:paraId="7DC3925E">
            <w:pPr>
              <w:spacing w:before="50" w:line="211" w:lineRule="auto"/>
              <w:ind w:left="593" w:right="1972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二、设备方面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2.生产车间有一台电烙铁无设备编码，没有状态标识。</w:t>
            </w:r>
          </w:p>
          <w:p w14:paraId="2909752F">
            <w:pPr>
              <w:spacing w:before="79" w:line="185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三、文件管理方面</w:t>
            </w:r>
          </w:p>
          <w:p w14:paraId="449E889C">
            <w:pPr>
              <w:spacing w:before="81" w:line="237" w:lineRule="auto"/>
              <w:ind w:left="19" w:right="8" w:firstLine="5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3.企业于某日组织红外额温计生产，</w:t>
            </w:r>
            <w:r>
              <w:rPr>
                <w:rFonts w:ascii="仿宋" w:hAnsi="仿宋" w:eastAsia="仿宋" w:cs="仿宋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企业提供了生产领料单、批生产记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录，</w:t>
            </w:r>
            <w:r>
              <w:rPr>
                <w:rFonts w:ascii="仿宋" w:hAnsi="仿宋" w:eastAsia="仿宋" w:cs="仿宋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但仓库的相关物料贮存卡未记录出库数量内容；</w:t>
            </w:r>
            <w:r>
              <w:rPr>
                <w:rFonts w:ascii="仿宋" w:hAnsi="仿宋" w:eastAsia="仿宋" w:cs="仿宋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生产车间备料区的物料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存卡记录上数量和日期有涂改，但未签注修改人姓名和时间。</w:t>
            </w:r>
          </w:p>
          <w:p w14:paraId="199A5EBF">
            <w:pPr>
              <w:spacing w:line="204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四、设计开发方面</w:t>
            </w:r>
          </w:p>
          <w:p w14:paraId="5DC2EDBD">
            <w:pPr>
              <w:spacing w:before="51" w:line="237" w:lineRule="auto"/>
              <w:ind w:left="26" w:right="9" w:firstLine="5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4.企业对不合格原因做了分析，但不能提供相关变更记录，</w:t>
            </w:r>
            <w:r>
              <w:rPr>
                <w:rFonts w:ascii="仿宋" w:hAnsi="仿宋" w:eastAsia="仿宋" w:cs="仿宋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也未对更改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后的产品进行检验，保留评审、验证和确认的记录。</w:t>
            </w:r>
          </w:p>
          <w:p w14:paraId="249360E3">
            <w:pPr>
              <w:spacing w:line="204" w:lineRule="auto"/>
              <w:ind w:firstLine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五、采购方面</w:t>
            </w:r>
          </w:p>
          <w:p w14:paraId="31CEC400">
            <w:pPr>
              <w:spacing w:before="51" w:line="185" w:lineRule="auto"/>
              <w:ind w:firstLine="5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5.关键元器件采购记录保存不完整，</w:t>
            </w:r>
            <w:r>
              <w:rPr>
                <w:rFonts w:ascii="仿宋" w:hAnsi="仿宋" w:eastAsia="仿宋" w:cs="仿宋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货位卡出入数量和实际不对应。</w:t>
            </w:r>
          </w:p>
          <w:p w14:paraId="7E7A5A07">
            <w:pPr>
              <w:spacing w:before="79" w:line="185" w:lineRule="auto"/>
              <w:ind w:firstLine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六、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生产管理方面</w:t>
            </w:r>
          </w:p>
          <w:p w14:paraId="5E2A5F01">
            <w:pPr>
              <w:spacing w:before="81" w:line="237" w:lineRule="auto"/>
              <w:ind w:left="28" w:right="8" w:firstLine="5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6.企业未保留烧录过程的生产记录，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也未提供相应的操作规程；</w:t>
            </w:r>
            <w:r>
              <w:rPr>
                <w:rFonts w:ascii="仿宋" w:hAnsi="仿宋" w:eastAsia="仿宋" w:cs="仿宋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查阅某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批红外额温计生产记录，</w:t>
            </w:r>
            <w:r>
              <w:rPr>
                <w:rFonts w:ascii="仿宋" w:hAnsi="仿宋" w:eastAsia="仿宋" w:cs="仿宋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未记载焊接工序所使用恒温电烙铁设备编号、工艺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参数等内容。</w:t>
            </w:r>
          </w:p>
          <w:p w14:paraId="70CC9888">
            <w:pPr>
              <w:spacing w:line="204" w:lineRule="auto"/>
              <w:ind w:firstLine="5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七、质量控制方面</w:t>
            </w:r>
          </w:p>
          <w:p w14:paraId="215DA69B">
            <w:pPr>
              <w:spacing w:before="49" w:line="238" w:lineRule="auto"/>
              <w:ind w:left="55" w:right="12" w:firstLine="5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7.查看某批次红外额温计成品检验报告，发现自动关机功能要求检验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台，实际检测记录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台，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查看多个批次检测原始记录检测结果均为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60s，询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问检验员，记录的不是原始结果，</w:t>
            </w:r>
            <w:r>
              <w:rPr>
                <w:rFonts w:ascii="仿宋" w:hAnsi="仿宋" w:eastAsia="仿宋" w:cs="仿宋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而是目标值。</w:t>
            </w:r>
          </w:p>
        </w:tc>
        <w:tc>
          <w:tcPr>
            <w:tcW w:w="998" w:type="dxa"/>
            <w:vAlign w:val="top"/>
          </w:tcPr>
          <w:p w14:paraId="26E2FBD0">
            <w:pPr>
              <w:rPr>
                <w:rFonts w:ascii="宋体"/>
                <w:sz w:val="21"/>
              </w:rPr>
            </w:pPr>
          </w:p>
        </w:tc>
      </w:tr>
    </w:tbl>
    <w:p w14:paraId="1225EC20">
      <w:pPr>
        <w:rPr>
          <w:rFonts w:ascii="宋体"/>
          <w:sz w:val="21"/>
        </w:rPr>
      </w:pPr>
    </w:p>
    <w:p w14:paraId="6E2F3728">
      <w:pPr>
        <w:sectPr>
          <w:footerReference r:id="rId8" w:type="default"/>
          <w:pgSz w:w="16839" w:h="11907"/>
          <w:pgMar w:top="1012" w:right="1356" w:bottom="1401" w:left="1440" w:header="0" w:footer="1277" w:gutter="0"/>
          <w:cols w:space="720" w:num="1"/>
        </w:sectPr>
      </w:pPr>
    </w:p>
    <w:p w14:paraId="7451A211"/>
    <w:p w14:paraId="71250F28"/>
    <w:p w14:paraId="20EBED1A"/>
    <w:p w14:paraId="5676B58D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27FB9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2777F90F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6E732C43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647FB248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23136FBE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6C129874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31AFF0F0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440E2D75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1CAA7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588" w:type="dxa"/>
            <w:vAlign w:val="top"/>
          </w:tcPr>
          <w:p w14:paraId="2B13E355">
            <w:pPr>
              <w:rPr>
                <w:rFonts w:ascii="宋体"/>
                <w:sz w:val="21"/>
              </w:rPr>
            </w:pPr>
          </w:p>
        </w:tc>
        <w:tc>
          <w:tcPr>
            <w:tcW w:w="1255" w:type="dxa"/>
            <w:vAlign w:val="top"/>
          </w:tcPr>
          <w:p w14:paraId="6DAEDCD5">
            <w:pPr>
              <w:rPr>
                <w:rFonts w:ascii="宋体"/>
                <w:sz w:val="21"/>
              </w:rPr>
            </w:pPr>
          </w:p>
        </w:tc>
        <w:tc>
          <w:tcPr>
            <w:tcW w:w="1132" w:type="dxa"/>
            <w:vAlign w:val="top"/>
          </w:tcPr>
          <w:p w14:paraId="4517A644"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 w14:paraId="4E317A54">
            <w:pPr>
              <w:rPr>
                <w:rFonts w:ascii="宋体"/>
                <w:sz w:val="21"/>
              </w:rPr>
            </w:pPr>
          </w:p>
        </w:tc>
        <w:tc>
          <w:tcPr>
            <w:tcW w:w="9212" w:type="dxa"/>
            <w:vAlign w:val="top"/>
          </w:tcPr>
          <w:p w14:paraId="5C9FE3D0">
            <w:pPr>
              <w:spacing w:before="50" w:line="185" w:lineRule="auto"/>
              <w:ind w:firstLine="5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八、不合格品控制方面</w:t>
            </w:r>
          </w:p>
          <w:p w14:paraId="22FEAAD1">
            <w:pPr>
              <w:spacing w:before="79" w:line="211" w:lineRule="auto"/>
              <w:ind w:left="21" w:right="8" w:firstLine="5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8.得知不合格情况后，</w:t>
            </w:r>
            <w:r>
              <w:rPr>
                <w:rFonts w:ascii="仿宋" w:hAnsi="仿宋" w:eastAsia="仿宋" w:cs="仿宋"/>
                <w:spacing w:val="1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因该产品没有销售，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未及时采取相应措施对不合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格原因进行分析，</w:t>
            </w:r>
            <w:r>
              <w:rPr>
                <w:rFonts w:ascii="仿宋" w:hAnsi="仿宋" w:eastAsia="仿宋" w:cs="仿宋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确定是否需要实施召回、销毁等措施，并保留处理记录。</w:t>
            </w:r>
          </w:p>
        </w:tc>
        <w:tc>
          <w:tcPr>
            <w:tcW w:w="998" w:type="dxa"/>
            <w:vAlign w:val="top"/>
          </w:tcPr>
          <w:p w14:paraId="010DDE93">
            <w:pPr>
              <w:rPr>
                <w:rFonts w:ascii="宋体"/>
                <w:sz w:val="21"/>
              </w:rPr>
            </w:pPr>
          </w:p>
        </w:tc>
      </w:tr>
      <w:tr w14:paraId="124E8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1" w:hRule="atLeast"/>
        </w:trPr>
        <w:tc>
          <w:tcPr>
            <w:tcW w:w="588" w:type="dxa"/>
            <w:vAlign w:val="top"/>
          </w:tcPr>
          <w:p w14:paraId="7483EFA7">
            <w:pPr>
              <w:spacing w:line="252" w:lineRule="auto"/>
              <w:rPr>
                <w:rFonts w:ascii="宋体"/>
                <w:sz w:val="21"/>
              </w:rPr>
            </w:pPr>
          </w:p>
          <w:p w14:paraId="0A8F772E">
            <w:pPr>
              <w:spacing w:line="252" w:lineRule="auto"/>
              <w:rPr>
                <w:rFonts w:ascii="宋体"/>
                <w:sz w:val="21"/>
              </w:rPr>
            </w:pPr>
          </w:p>
          <w:p w14:paraId="70FC9F18">
            <w:pPr>
              <w:spacing w:line="252" w:lineRule="auto"/>
              <w:rPr>
                <w:rFonts w:ascii="宋体"/>
                <w:sz w:val="21"/>
              </w:rPr>
            </w:pPr>
          </w:p>
          <w:p w14:paraId="0460A73A">
            <w:pPr>
              <w:spacing w:line="252" w:lineRule="auto"/>
              <w:rPr>
                <w:rFonts w:ascii="宋体"/>
                <w:sz w:val="21"/>
              </w:rPr>
            </w:pPr>
          </w:p>
          <w:p w14:paraId="70EC695E">
            <w:pPr>
              <w:spacing w:line="253" w:lineRule="auto"/>
              <w:rPr>
                <w:rFonts w:ascii="宋体"/>
                <w:sz w:val="21"/>
              </w:rPr>
            </w:pPr>
          </w:p>
          <w:p w14:paraId="12FDA37A">
            <w:pPr>
              <w:spacing w:line="253" w:lineRule="auto"/>
              <w:rPr>
                <w:rFonts w:ascii="宋体"/>
                <w:sz w:val="21"/>
              </w:rPr>
            </w:pPr>
          </w:p>
          <w:p w14:paraId="5660CE44">
            <w:pPr>
              <w:spacing w:line="253" w:lineRule="auto"/>
              <w:rPr>
                <w:rFonts w:ascii="宋体"/>
                <w:sz w:val="21"/>
              </w:rPr>
            </w:pPr>
          </w:p>
          <w:p w14:paraId="1D7148F1">
            <w:pPr>
              <w:spacing w:line="253" w:lineRule="auto"/>
              <w:rPr>
                <w:rFonts w:ascii="宋体"/>
                <w:sz w:val="21"/>
              </w:rPr>
            </w:pPr>
          </w:p>
          <w:p w14:paraId="6E9FA7C0">
            <w:pPr>
              <w:spacing w:line="253" w:lineRule="auto"/>
              <w:rPr>
                <w:rFonts w:ascii="宋体"/>
                <w:sz w:val="21"/>
              </w:rPr>
            </w:pPr>
          </w:p>
          <w:p w14:paraId="50083FF3">
            <w:pPr>
              <w:spacing w:line="253" w:lineRule="auto"/>
              <w:rPr>
                <w:rFonts w:ascii="宋体"/>
                <w:sz w:val="21"/>
              </w:rPr>
            </w:pPr>
          </w:p>
          <w:p w14:paraId="18CE5BFD">
            <w:pPr>
              <w:spacing w:before="91" w:line="180" w:lineRule="auto"/>
              <w:ind w:firstLine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55" w:type="dxa"/>
            <w:vAlign w:val="top"/>
          </w:tcPr>
          <w:p w14:paraId="77CF960F">
            <w:pPr>
              <w:spacing w:line="252" w:lineRule="auto"/>
              <w:rPr>
                <w:rFonts w:ascii="宋体"/>
                <w:sz w:val="21"/>
              </w:rPr>
            </w:pPr>
          </w:p>
          <w:p w14:paraId="112923AF">
            <w:pPr>
              <w:spacing w:line="252" w:lineRule="auto"/>
              <w:rPr>
                <w:rFonts w:ascii="宋体"/>
                <w:sz w:val="21"/>
              </w:rPr>
            </w:pPr>
          </w:p>
          <w:p w14:paraId="25D3125C">
            <w:pPr>
              <w:spacing w:line="252" w:lineRule="auto"/>
              <w:rPr>
                <w:rFonts w:ascii="宋体"/>
                <w:sz w:val="21"/>
              </w:rPr>
            </w:pPr>
          </w:p>
          <w:p w14:paraId="0B63A62D">
            <w:pPr>
              <w:spacing w:line="252" w:lineRule="auto"/>
              <w:rPr>
                <w:rFonts w:ascii="宋体"/>
                <w:sz w:val="21"/>
              </w:rPr>
            </w:pPr>
          </w:p>
          <w:p w14:paraId="6F197A1C">
            <w:pPr>
              <w:spacing w:line="252" w:lineRule="auto"/>
              <w:rPr>
                <w:rFonts w:ascii="宋体"/>
                <w:sz w:val="21"/>
              </w:rPr>
            </w:pPr>
          </w:p>
          <w:p w14:paraId="6C3DFBEC">
            <w:pPr>
              <w:spacing w:line="252" w:lineRule="auto"/>
              <w:rPr>
                <w:rFonts w:ascii="宋体"/>
                <w:sz w:val="21"/>
              </w:rPr>
            </w:pPr>
          </w:p>
          <w:p w14:paraId="2298B4AF">
            <w:pPr>
              <w:spacing w:line="252" w:lineRule="auto"/>
              <w:rPr>
                <w:rFonts w:ascii="宋体"/>
                <w:sz w:val="21"/>
              </w:rPr>
            </w:pPr>
          </w:p>
          <w:p w14:paraId="46514250">
            <w:pPr>
              <w:spacing w:line="253" w:lineRule="auto"/>
              <w:rPr>
                <w:rFonts w:ascii="宋体"/>
                <w:sz w:val="21"/>
              </w:rPr>
            </w:pPr>
          </w:p>
          <w:p w14:paraId="5FE77975">
            <w:pPr>
              <w:spacing w:before="91" w:line="237" w:lineRule="auto"/>
              <w:ind w:left="32" w:right="12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桂林三金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大健康产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业有限公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司</w:t>
            </w:r>
          </w:p>
        </w:tc>
        <w:tc>
          <w:tcPr>
            <w:tcW w:w="1132" w:type="dxa"/>
            <w:textDirection w:val="tbRlV"/>
            <w:vAlign w:val="top"/>
          </w:tcPr>
          <w:p w14:paraId="0CB7194F">
            <w:pPr>
              <w:spacing w:before="10" w:line="197" w:lineRule="auto"/>
              <w:ind w:firstLine="2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医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罩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无</w:t>
            </w:r>
          </w:p>
          <w:p w14:paraId="1E27B928">
            <w:pPr>
              <w:spacing w:before="105" w:line="168" w:lineRule="auto"/>
              <w:ind w:firstLine="2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次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用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position w:val="1"/>
                <w:sz w:val="28"/>
                <w:szCs w:val="28"/>
              </w:rPr>
              <w:t>口</w:t>
            </w:r>
            <w:r>
              <w:rPr>
                <w:rFonts w:ascii="仿宋" w:hAnsi="仿宋" w:eastAsia="仿宋" w:cs="仿宋"/>
                <w:spacing w:val="-2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非</w:t>
            </w:r>
          </w:p>
          <w:p w14:paraId="71D5D2B9">
            <w:pPr>
              <w:spacing w:line="226" w:lineRule="auto"/>
              <w:ind w:firstLine="23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w w:val="95"/>
                <w:position w:val="-4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7"/>
                <w:position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5"/>
                <w:position w:val="-4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-61"/>
                <w:position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5"/>
                <w:position w:val="-4"/>
                <w:sz w:val="28"/>
                <w:szCs w:val="28"/>
              </w:rPr>
              <w:t>用</w:t>
            </w:r>
            <w:r>
              <w:rPr>
                <w:rFonts w:ascii="仿宋" w:hAnsi="仿宋" w:eastAsia="仿宋" w:cs="仿宋"/>
                <w:spacing w:val="-61"/>
                <w:position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5"/>
                <w:position w:val="-1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6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5"/>
                <w:position w:val="2"/>
                <w:sz w:val="28"/>
                <w:szCs w:val="28"/>
              </w:rPr>
              <w:t>菌）</w:t>
            </w:r>
          </w:p>
        </w:tc>
        <w:tc>
          <w:tcPr>
            <w:tcW w:w="851" w:type="dxa"/>
            <w:vAlign w:val="top"/>
          </w:tcPr>
          <w:p w14:paraId="0D9B54AA">
            <w:pPr>
              <w:spacing w:line="249" w:lineRule="auto"/>
              <w:rPr>
                <w:rFonts w:ascii="宋体"/>
                <w:sz w:val="21"/>
              </w:rPr>
            </w:pPr>
          </w:p>
          <w:p w14:paraId="6DE3966B">
            <w:pPr>
              <w:spacing w:line="249" w:lineRule="auto"/>
              <w:rPr>
                <w:rFonts w:ascii="宋体"/>
                <w:sz w:val="21"/>
              </w:rPr>
            </w:pPr>
          </w:p>
          <w:p w14:paraId="3C1BFCDC">
            <w:pPr>
              <w:spacing w:line="249" w:lineRule="auto"/>
              <w:rPr>
                <w:rFonts w:ascii="宋体"/>
                <w:sz w:val="21"/>
              </w:rPr>
            </w:pPr>
          </w:p>
          <w:p w14:paraId="34B4905C">
            <w:pPr>
              <w:spacing w:line="249" w:lineRule="auto"/>
              <w:rPr>
                <w:rFonts w:ascii="宋体"/>
                <w:sz w:val="21"/>
              </w:rPr>
            </w:pPr>
          </w:p>
          <w:p w14:paraId="475622E9">
            <w:pPr>
              <w:spacing w:line="249" w:lineRule="auto"/>
              <w:rPr>
                <w:rFonts w:ascii="宋体"/>
                <w:sz w:val="21"/>
              </w:rPr>
            </w:pPr>
          </w:p>
          <w:p w14:paraId="6FF11699">
            <w:pPr>
              <w:spacing w:line="249" w:lineRule="auto"/>
              <w:rPr>
                <w:rFonts w:ascii="宋体"/>
                <w:sz w:val="21"/>
              </w:rPr>
            </w:pPr>
          </w:p>
          <w:p w14:paraId="6D52EE17">
            <w:pPr>
              <w:spacing w:line="249" w:lineRule="auto"/>
              <w:rPr>
                <w:rFonts w:ascii="宋体"/>
                <w:sz w:val="21"/>
              </w:rPr>
            </w:pPr>
          </w:p>
          <w:p w14:paraId="279745C3">
            <w:pPr>
              <w:spacing w:line="249" w:lineRule="auto"/>
              <w:rPr>
                <w:rFonts w:ascii="宋体"/>
                <w:sz w:val="21"/>
              </w:rPr>
            </w:pPr>
          </w:p>
          <w:p w14:paraId="1DDE1B64">
            <w:pPr>
              <w:spacing w:line="249" w:lineRule="auto"/>
              <w:rPr>
                <w:rFonts w:ascii="宋体"/>
                <w:sz w:val="21"/>
              </w:rPr>
            </w:pPr>
          </w:p>
          <w:p w14:paraId="755C8DE8">
            <w:pPr>
              <w:spacing w:line="249" w:lineRule="auto"/>
              <w:rPr>
                <w:rFonts w:ascii="宋体"/>
                <w:sz w:val="21"/>
              </w:rPr>
            </w:pPr>
          </w:p>
          <w:p w14:paraId="1FD2D20B">
            <w:pPr>
              <w:spacing w:before="91" w:line="185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广西</w:t>
            </w:r>
          </w:p>
        </w:tc>
        <w:tc>
          <w:tcPr>
            <w:tcW w:w="9212" w:type="dxa"/>
            <w:vAlign w:val="top"/>
          </w:tcPr>
          <w:p w14:paraId="594360D9">
            <w:pPr>
              <w:spacing w:before="48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项。</w:t>
            </w:r>
          </w:p>
          <w:p w14:paraId="4FEB8E15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一、机构与人员方面</w:t>
            </w:r>
          </w:p>
          <w:p w14:paraId="50A8A047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1.十万级洁净车间工人裸手操作，</w:t>
            </w:r>
            <w:r>
              <w:rPr>
                <w:rFonts w:ascii="仿宋" w:hAnsi="仿宋" w:eastAsia="仿宋" w:cs="仿宋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也未制定裸手消毒程序。</w:t>
            </w:r>
          </w:p>
          <w:p w14:paraId="1AC0A9FF">
            <w:pPr>
              <w:spacing w:before="80" w:line="237" w:lineRule="auto"/>
              <w:ind w:left="39" w:right="10" w:firstLine="5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2.洁净工作服和无菌工作服存在缝合线头脱落纤维，</w:t>
            </w:r>
            <w:r>
              <w:rPr>
                <w:rFonts w:ascii="仿宋" w:hAnsi="仿宋" w:eastAsia="仿宋" w:cs="仿宋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式样不能包盖全部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头发、胡须及脚部。</w:t>
            </w:r>
          </w:p>
          <w:p w14:paraId="2A380B87">
            <w:pPr>
              <w:spacing w:line="204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二、</w:t>
            </w:r>
            <w:r>
              <w:rPr>
                <w:rFonts w:ascii="仿宋" w:hAnsi="仿宋" w:eastAsia="仿宋" w:cs="仿宋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设备方面</w:t>
            </w:r>
          </w:p>
          <w:p w14:paraId="012F433D">
            <w:pPr>
              <w:spacing w:before="51" w:line="211" w:lineRule="auto"/>
              <w:ind w:left="55" w:firstLine="5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3.生产车间，设备名称：平面一拖一口罩（外耳带）</w:t>
            </w:r>
            <w:r>
              <w:rPr>
                <w:rFonts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《设备状态卡》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中设备状态项：</w:t>
            </w:r>
            <w:r>
              <w:rPr>
                <w:rFonts w:ascii="仿宋" w:hAnsi="仿宋" w:eastAsia="仿宋" w:cs="仿宋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空白。</w:t>
            </w:r>
          </w:p>
          <w:p w14:paraId="1126517C">
            <w:pPr>
              <w:spacing w:before="80" w:line="237" w:lineRule="auto"/>
              <w:ind w:left="35" w:right="13" w:firstLine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4.工人对空调系统的操作、应当记录的相关数据不能正确回答。更换（或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清洁）后的初始压差未记录。</w:t>
            </w:r>
          </w:p>
          <w:p w14:paraId="663A9A4A">
            <w:pPr>
              <w:spacing w:before="1" w:line="204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三、</w:t>
            </w:r>
            <w:r>
              <w:rPr>
                <w:rFonts w:ascii="仿宋" w:hAnsi="仿宋" w:eastAsia="仿宋" w:cs="仿宋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文件管理方面</w:t>
            </w:r>
          </w:p>
          <w:p w14:paraId="51F8728C">
            <w:pPr>
              <w:spacing w:before="50" w:line="185" w:lineRule="auto"/>
              <w:ind w:firstLine="5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5.企业的质量体系文件的修订未按《文件控制程序》要求进行评审。</w:t>
            </w:r>
          </w:p>
          <w:p w14:paraId="7A245A80">
            <w:pPr>
              <w:spacing w:before="80" w:line="185" w:lineRule="auto"/>
              <w:ind w:firstLine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四、设计开发方面</w:t>
            </w:r>
          </w:p>
          <w:p w14:paraId="64C69EA3">
            <w:pPr>
              <w:spacing w:before="80" w:line="211" w:lineRule="auto"/>
              <w:ind w:left="22" w:right="7" w:firstLine="5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6.企业提供《风险管理分析报告》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未对产品的结构及组成物质的危害源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进行识别、分析和评价。</w:t>
            </w:r>
          </w:p>
          <w:p w14:paraId="5CB8EF7E">
            <w:pPr>
              <w:spacing w:before="80" w:line="185" w:lineRule="auto"/>
              <w:ind w:firstLine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五、生产管理方面</w:t>
            </w:r>
          </w:p>
          <w:p w14:paraId="42F3C1EB">
            <w:pPr>
              <w:spacing w:before="79" w:line="185" w:lineRule="auto"/>
              <w:ind w:firstLine="5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7.未能提供选用消毒方法的验证记录。</w:t>
            </w:r>
          </w:p>
        </w:tc>
        <w:tc>
          <w:tcPr>
            <w:tcW w:w="998" w:type="dxa"/>
            <w:vAlign w:val="top"/>
          </w:tcPr>
          <w:p w14:paraId="0FEB76BA">
            <w:pPr>
              <w:rPr>
                <w:rFonts w:ascii="宋体"/>
                <w:sz w:val="21"/>
              </w:rPr>
            </w:pPr>
          </w:p>
        </w:tc>
      </w:tr>
    </w:tbl>
    <w:p w14:paraId="5832B233">
      <w:pPr>
        <w:rPr>
          <w:rFonts w:ascii="宋体"/>
          <w:sz w:val="21"/>
        </w:rPr>
      </w:pPr>
    </w:p>
    <w:p w14:paraId="1547A1F5">
      <w:pPr>
        <w:sectPr>
          <w:footerReference r:id="rId9" w:type="default"/>
          <w:pgSz w:w="16839" w:h="11907"/>
          <w:pgMar w:top="1012" w:right="1356" w:bottom="1400" w:left="1440" w:header="0" w:footer="1277" w:gutter="0"/>
          <w:cols w:space="720" w:num="1"/>
        </w:sectPr>
      </w:pPr>
    </w:p>
    <w:p w14:paraId="3FCC9CF8"/>
    <w:p w14:paraId="57494474"/>
    <w:p w14:paraId="3BA88CA8"/>
    <w:p w14:paraId="5DDEB1EE">
      <w:pPr>
        <w:spacing w:line="63" w:lineRule="exact"/>
      </w:pPr>
    </w:p>
    <w:tbl>
      <w:tblPr>
        <w:tblStyle w:val="4"/>
        <w:tblW w:w="14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55"/>
        <w:gridCol w:w="1132"/>
        <w:gridCol w:w="851"/>
        <w:gridCol w:w="9212"/>
        <w:gridCol w:w="998"/>
      </w:tblGrid>
      <w:tr w14:paraId="2310E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88" w:type="dxa"/>
            <w:vAlign w:val="top"/>
          </w:tcPr>
          <w:p w14:paraId="680F954A">
            <w:pPr>
              <w:spacing w:before="25" w:line="208" w:lineRule="auto"/>
              <w:ind w:firstLine="13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</w:p>
          <w:p w14:paraId="1B977094">
            <w:pPr>
              <w:spacing w:line="204" w:lineRule="auto"/>
              <w:ind w:firstLine="15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255" w:type="dxa"/>
            <w:vAlign w:val="top"/>
          </w:tcPr>
          <w:p w14:paraId="55416C25">
            <w:pPr>
              <w:spacing w:before="25" w:line="196" w:lineRule="auto"/>
              <w:ind w:left="319" w:right="148" w:hanging="1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被检查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1132" w:type="dxa"/>
            <w:vAlign w:val="top"/>
          </w:tcPr>
          <w:p w14:paraId="5740BC48">
            <w:pPr>
              <w:spacing w:before="205" w:line="184" w:lineRule="auto"/>
              <w:ind w:firstLine="2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品种</w:t>
            </w:r>
          </w:p>
        </w:tc>
        <w:tc>
          <w:tcPr>
            <w:tcW w:w="851" w:type="dxa"/>
            <w:vAlign w:val="top"/>
          </w:tcPr>
          <w:p w14:paraId="3540FBBF">
            <w:pPr>
              <w:spacing w:before="205" w:line="184" w:lineRule="auto"/>
              <w:ind w:firstLine="12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省份</w:t>
            </w:r>
          </w:p>
        </w:tc>
        <w:tc>
          <w:tcPr>
            <w:tcW w:w="9212" w:type="dxa"/>
            <w:vAlign w:val="top"/>
          </w:tcPr>
          <w:p w14:paraId="5769ABC0">
            <w:pPr>
              <w:spacing w:before="205" w:line="184" w:lineRule="auto"/>
              <w:ind w:firstLine="364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检查发现问题</w:t>
            </w:r>
          </w:p>
        </w:tc>
        <w:tc>
          <w:tcPr>
            <w:tcW w:w="998" w:type="dxa"/>
            <w:vAlign w:val="top"/>
          </w:tcPr>
          <w:p w14:paraId="76DCB5E9">
            <w:pPr>
              <w:spacing w:before="205" w:line="184" w:lineRule="auto"/>
              <w:ind w:firstLine="18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 w14:paraId="4906B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588" w:type="dxa"/>
            <w:vAlign w:val="top"/>
          </w:tcPr>
          <w:p w14:paraId="38BD52E1">
            <w:pPr>
              <w:rPr>
                <w:rFonts w:ascii="宋体"/>
                <w:sz w:val="21"/>
              </w:rPr>
            </w:pPr>
          </w:p>
        </w:tc>
        <w:tc>
          <w:tcPr>
            <w:tcW w:w="1255" w:type="dxa"/>
            <w:vAlign w:val="top"/>
          </w:tcPr>
          <w:p w14:paraId="5922D576">
            <w:pPr>
              <w:rPr>
                <w:rFonts w:ascii="宋体"/>
                <w:sz w:val="21"/>
              </w:rPr>
            </w:pPr>
          </w:p>
        </w:tc>
        <w:tc>
          <w:tcPr>
            <w:tcW w:w="1132" w:type="dxa"/>
            <w:vAlign w:val="top"/>
          </w:tcPr>
          <w:p w14:paraId="2577E66A"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 w14:paraId="751CCA3B">
            <w:pPr>
              <w:rPr>
                <w:rFonts w:ascii="宋体"/>
                <w:sz w:val="21"/>
              </w:rPr>
            </w:pPr>
          </w:p>
        </w:tc>
        <w:tc>
          <w:tcPr>
            <w:tcW w:w="9212" w:type="dxa"/>
            <w:vAlign w:val="top"/>
          </w:tcPr>
          <w:p w14:paraId="70B6F4FE">
            <w:pPr>
              <w:spacing w:before="50" w:line="185" w:lineRule="auto"/>
              <w:ind w:firstLine="5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8.生产车间使用的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75%乙醇消毒液，</w:t>
            </w:r>
            <w:r>
              <w:rPr>
                <w:rFonts w:ascii="仿宋" w:hAnsi="仿宋" w:eastAsia="仿宋" w:cs="仿宋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标签上无配置和有效期。</w:t>
            </w:r>
          </w:p>
          <w:p w14:paraId="0C24A3CE">
            <w:pPr>
              <w:spacing w:before="79" w:line="185" w:lineRule="auto"/>
              <w:ind w:firstLine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六、质量控制方面</w:t>
            </w:r>
          </w:p>
          <w:p w14:paraId="5C24185B">
            <w:pPr>
              <w:spacing w:before="79" w:line="185" w:lineRule="auto"/>
              <w:ind w:firstLine="5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9.纯化水分配站回水处的电导率仪显示时间与当前实际时间不一致。</w:t>
            </w:r>
          </w:p>
          <w:p w14:paraId="0DC9C21C">
            <w:pPr>
              <w:spacing w:before="80" w:line="211" w:lineRule="auto"/>
              <w:ind w:left="23" w:right="13" w:firstLine="5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10.企业用于检测的气体交接压力测试仪，</w:t>
            </w:r>
            <w:r>
              <w:rPr>
                <w:rFonts w:ascii="仿宋" w:hAnsi="仿宋" w:eastAsia="仿宋" w:cs="仿宋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未按照企业制定《计量器具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管理制度》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的要求，未检定合格就使用。</w:t>
            </w:r>
          </w:p>
        </w:tc>
        <w:tc>
          <w:tcPr>
            <w:tcW w:w="998" w:type="dxa"/>
            <w:vAlign w:val="top"/>
          </w:tcPr>
          <w:p w14:paraId="2AF79B53">
            <w:pPr>
              <w:rPr>
                <w:rFonts w:ascii="宋体"/>
                <w:sz w:val="21"/>
              </w:rPr>
            </w:pPr>
          </w:p>
        </w:tc>
      </w:tr>
      <w:tr w14:paraId="11A08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1" w:hRule="atLeast"/>
        </w:trPr>
        <w:tc>
          <w:tcPr>
            <w:tcW w:w="588" w:type="dxa"/>
            <w:vAlign w:val="top"/>
          </w:tcPr>
          <w:p w14:paraId="033C251F">
            <w:pPr>
              <w:spacing w:line="248" w:lineRule="auto"/>
              <w:rPr>
                <w:rFonts w:ascii="宋体"/>
                <w:sz w:val="21"/>
              </w:rPr>
            </w:pPr>
          </w:p>
          <w:p w14:paraId="4A681812">
            <w:pPr>
              <w:spacing w:line="248" w:lineRule="auto"/>
              <w:rPr>
                <w:rFonts w:ascii="宋体"/>
                <w:sz w:val="21"/>
              </w:rPr>
            </w:pPr>
          </w:p>
          <w:p w14:paraId="11DC2514">
            <w:pPr>
              <w:spacing w:line="248" w:lineRule="auto"/>
              <w:rPr>
                <w:rFonts w:ascii="宋体"/>
                <w:sz w:val="21"/>
              </w:rPr>
            </w:pPr>
          </w:p>
          <w:p w14:paraId="7C49741E">
            <w:pPr>
              <w:spacing w:line="249" w:lineRule="auto"/>
              <w:rPr>
                <w:rFonts w:ascii="宋体"/>
                <w:sz w:val="21"/>
              </w:rPr>
            </w:pPr>
          </w:p>
          <w:p w14:paraId="5028AA2D">
            <w:pPr>
              <w:spacing w:line="249" w:lineRule="auto"/>
              <w:rPr>
                <w:rFonts w:ascii="宋体"/>
                <w:sz w:val="21"/>
              </w:rPr>
            </w:pPr>
          </w:p>
          <w:p w14:paraId="6AF6D284">
            <w:pPr>
              <w:spacing w:line="249" w:lineRule="auto"/>
              <w:rPr>
                <w:rFonts w:ascii="宋体"/>
                <w:sz w:val="21"/>
              </w:rPr>
            </w:pPr>
          </w:p>
          <w:p w14:paraId="3A1DE3D2">
            <w:pPr>
              <w:spacing w:line="249" w:lineRule="auto"/>
              <w:rPr>
                <w:rFonts w:ascii="宋体"/>
                <w:sz w:val="21"/>
              </w:rPr>
            </w:pPr>
          </w:p>
          <w:p w14:paraId="36AE5625">
            <w:pPr>
              <w:spacing w:before="91" w:line="180" w:lineRule="auto"/>
              <w:ind w:firstLine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255" w:type="dxa"/>
            <w:vAlign w:val="top"/>
          </w:tcPr>
          <w:p w14:paraId="69052716">
            <w:pPr>
              <w:spacing w:line="277" w:lineRule="auto"/>
              <w:rPr>
                <w:rFonts w:ascii="宋体"/>
                <w:sz w:val="21"/>
              </w:rPr>
            </w:pPr>
          </w:p>
          <w:p w14:paraId="0C86D24C">
            <w:pPr>
              <w:spacing w:line="277" w:lineRule="auto"/>
              <w:rPr>
                <w:rFonts w:ascii="宋体"/>
                <w:sz w:val="21"/>
              </w:rPr>
            </w:pPr>
          </w:p>
          <w:p w14:paraId="58DBB041">
            <w:pPr>
              <w:spacing w:line="277" w:lineRule="auto"/>
              <w:rPr>
                <w:rFonts w:ascii="宋体"/>
                <w:sz w:val="21"/>
              </w:rPr>
            </w:pPr>
          </w:p>
          <w:p w14:paraId="0FC11369">
            <w:pPr>
              <w:spacing w:line="277" w:lineRule="auto"/>
              <w:rPr>
                <w:rFonts w:ascii="宋体"/>
                <w:sz w:val="21"/>
              </w:rPr>
            </w:pPr>
          </w:p>
          <w:p w14:paraId="177E71D8">
            <w:pPr>
              <w:spacing w:line="277" w:lineRule="auto"/>
              <w:rPr>
                <w:rFonts w:ascii="宋体"/>
                <w:sz w:val="21"/>
              </w:rPr>
            </w:pPr>
          </w:p>
          <w:p w14:paraId="6CB9B397">
            <w:pPr>
              <w:spacing w:before="91" w:line="237" w:lineRule="auto"/>
              <w:ind w:left="27" w:right="12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重庆双双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卫</w:t>
            </w:r>
            <w:r>
              <w:rPr>
                <w:rFonts w:ascii="仿宋" w:hAnsi="仿宋" w:eastAsia="仿宋" w:cs="仿宋"/>
                <w:spacing w:val="-7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生材料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有限公司</w:t>
            </w:r>
          </w:p>
        </w:tc>
        <w:tc>
          <w:tcPr>
            <w:tcW w:w="1132" w:type="dxa"/>
            <w:vAlign w:val="top"/>
          </w:tcPr>
          <w:p w14:paraId="52EF22ED">
            <w:pPr>
              <w:spacing w:line="277" w:lineRule="auto"/>
              <w:rPr>
                <w:rFonts w:ascii="宋体"/>
                <w:sz w:val="21"/>
              </w:rPr>
            </w:pPr>
          </w:p>
          <w:p w14:paraId="70645062">
            <w:pPr>
              <w:spacing w:line="277" w:lineRule="auto"/>
              <w:rPr>
                <w:rFonts w:ascii="宋体"/>
                <w:sz w:val="21"/>
              </w:rPr>
            </w:pPr>
          </w:p>
          <w:p w14:paraId="66A451A8">
            <w:pPr>
              <w:spacing w:line="277" w:lineRule="auto"/>
              <w:rPr>
                <w:rFonts w:ascii="宋体"/>
                <w:sz w:val="21"/>
              </w:rPr>
            </w:pPr>
          </w:p>
          <w:p w14:paraId="7ADD79F2">
            <w:pPr>
              <w:spacing w:line="277" w:lineRule="auto"/>
              <w:rPr>
                <w:rFonts w:ascii="宋体"/>
                <w:sz w:val="21"/>
              </w:rPr>
            </w:pPr>
          </w:p>
          <w:p w14:paraId="4D16D2B9">
            <w:pPr>
              <w:spacing w:line="277" w:lineRule="auto"/>
              <w:rPr>
                <w:rFonts w:ascii="宋体"/>
                <w:sz w:val="21"/>
              </w:rPr>
            </w:pPr>
          </w:p>
          <w:p w14:paraId="076184BB">
            <w:pPr>
              <w:spacing w:before="91" w:line="237" w:lineRule="auto"/>
              <w:ind w:left="17" w:right="10" w:firstLine="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次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使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用</w:t>
            </w:r>
            <w:r>
              <w:rPr>
                <w:rFonts w:ascii="仿宋" w:hAnsi="仿宋" w:eastAsia="仿宋" w:cs="仿宋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用口罩</w:t>
            </w:r>
          </w:p>
        </w:tc>
        <w:tc>
          <w:tcPr>
            <w:tcW w:w="851" w:type="dxa"/>
            <w:vAlign w:val="top"/>
          </w:tcPr>
          <w:p w14:paraId="0205EB97">
            <w:pPr>
              <w:spacing w:line="242" w:lineRule="auto"/>
              <w:rPr>
                <w:rFonts w:ascii="宋体"/>
                <w:sz w:val="21"/>
              </w:rPr>
            </w:pPr>
          </w:p>
          <w:p w14:paraId="211BF82F">
            <w:pPr>
              <w:spacing w:line="243" w:lineRule="auto"/>
              <w:rPr>
                <w:rFonts w:ascii="宋体"/>
                <w:sz w:val="21"/>
              </w:rPr>
            </w:pPr>
          </w:p>
          <w:p w14:paraId="23740192">
            <w:pPr>
              <w:spacing w:line="243" w:lineRule="auto"/>
              <w:rPr>
                <w:rFonts w:ascii="宋体"/>
                <w:sz w:val="21"/>
              </w:rPr>
            </w:pPr>
          </w:p>
          <w:p w14:paraId="05AEDF1A">
            <w:pPr>
              <w:spacing w:line="243" w:lineRule="auto"/>
              <w:rPr>
                <w:rFonts w:ascii="宋体"/>
                <w:sz w:val="21"/>
              </w:rPr>
            </w:pPr>
          </w:p>
          <w:p w14:paraId="4A471822">
            <w:pPr>
              <w:spacing w:line="243" w:lineRule="auto"/>
              <w:rPr>
                <w:rFonts w:ascii="宋体"/>
                <w:sz w:val="21"/>
              </w:rPr>
            </w:pPr>
          </w:p>
          <w:p w14:paraId="1ACF84C1">
            <w:pPr>
              <w:spacing w:line="243" w:lineRule="auto"/>
              <w:rPr>
                <w:rFonts w:ascii="宋体"/>
                <w:sz w:val="21"/>
              </w:rPr>
            </w:pPr>
          </w:p>
          <w:p w14:paraId="3D0C278A">
            <w:pPr>
              <w:spacing w:line="243" w:lineRule="auto"/>
              <w:rPr>
                <w:rFonts w:ascii="宋体"/>
                <w:sz w:val="21"/>
              </w:rPr>
            </w:pPr>
          </w:p>
          <w:p w14:paraId="419FEB16">
            <w:pPr>
              <w:spacing w:before="91" w:line="185" w:lineRule="auto"/>
              <w:ind w:firstLine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重庆</w:t>
            </w:r>
          </w:p>
        </w:tc>
        <w:tc>
          <w:tcPr>
            <w:tcW w:w="9212" w:type="dxa"/>
            <w:vAlign w:val="top"/>
          </w:tcPr>
          <w:p w14:paraId="0C819F3E">
            <w:pPr>
              <w:spacing w:before="49" w:line="185" w:lineRule="auto"/>
              <w:ind w:firstLine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检查发现一般不符合项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项。</w:t>
            </w:r>
          </w:p>
          <w:p w14:paraId="20DC009E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一、厂房与设施方面</w:t>
            </w:r>
          </w:p>
          <w:p w14:paraId="34929522">
            <w:pPr>
              <w:spacing w:before="79" w:line="185" w:lineRule="auto"/>
              <w:ind w:firstLine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1．十万级洁净生产车间内一处门与外界直接相通，未做密闭处理。</w:t>
            </w:r>
          </w:p>
          <w:p w14:paraId="70E2BBFC">
            <w:pPr>
              <w:spacing w:before="79" w:line="185" w:lineRule="auto"/>
              <w:ind w:firstLine="5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二、设计开发方面</w:t>
            </w:r>
          </w:p>
          <w:p w14:paraId="5DD75BDB">
            <w:pPr>
              <w:spacing w:before="80" w:line="211" w:lineRule="auto"/>
              <w:ind w:left="26" w:right="10" w:firstLine="5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2．抽查企业设计开发更改记录，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未按照《设计开发控制程序》所规定的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程序进行设计开发更改的评审、验证。</w:t>
            </w:r>
          </w:p>
          <w:p w14:paraId="123A3738">
            <w:pPr>
              <w:spacing w:before="79" w:line="185" w:lineRule="auto"/>
              <w:ind w:firstLine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三、生产管理方面</w:t>
            </w:r>
          </w:p>
          <w:p w14:paraId="4DD6ADC6">
            <w:pPr>
              <w:spacing w:before="80" w:line="185" w:lineRule="auto"/>
              <w:ind w:firstLine="6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3．企业向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A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公司、</w:t>
            </w:r>
            <w:r>
              <w:rPr>
                <w:rFonts w:ascii="仿宋" w:hAnsi="仿宋" w:eastAsia="仿宋" w:cs="仿宋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B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公司、</w:t>
            </w:r>
            <w:r>
              <w:rPr>
                <w:rFonts w:ascii="仿宋" w:hAnsi="仿宋" w:eastAsia="仿宋" w:cs="仿宋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C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公司、</w:t>
            </w:r>
            <w:r>
              <w:rPr>
                <w:rFonts w:ascii="仿宋" w:hAnsi="仿宋" w:eastAsia="仿宋" w:cs="仿宋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D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公司购进共计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9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批关键物资熔喷</w:t>
            </w:r>
          </w:p>
          <w:p w14:paraId="01E60A9E">
            <w:pPr>
              <w:spacing w:before="80" w:line="237" w:lineRule="auto"/>
              <w:ind w:left="29" w:right="10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布，未按照《原辅料检验作业指导书》规定，</w:t>
            </w:r>
            <w:r>
              <w:rPr>
                <w:rFonts w:ascii="仿宋" w:hAnsi="仿宋" w:eastAsia="仿宋" w:cs="仿宋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进行细菌过滤效率检测或查看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原材料厂家出厂检测报告。</w:t>
            </w:r>
          </w:p>
          <w:p w14:paraId="172E3298">
            <w:pPr>
              <w:spacing w:before="1" w:line="211" w:lineRule="auto"/>
              <w:ind w:left="28" w:right="11" w:firstLine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4．</w:t>
            </w:r>
            <w:r>
              <w:rPr>
                <w:rFonts w:ascii="仿宋" w:hAnsi="仿宋" w:eastAsia="仿宋" w:cs="仿宋"/>
                <w:spacing w:val="1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企业对国抽产品不合格进行原因分析时，</w:t>
            </w:r>
            <w:r>
              <w:rPr>
                <w:rFonts w:ascii="仿宋" w:hAnsi="仿宋" w:eastAsia="仿宋" w:cs="仿宋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未对耳带点焊工序的工艺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参数进行再验证。</w:t>
            </w:r>
          </w:p>
        </w:tc>
        <w:tc>
          <w:tcPr>
            <w:tcW w:w="998" w:type="dxa"/>
            <w:vAlign w:val="top"/>
          </w:tcPr>
          <w:p w14:paraId="73BB69BC">
            <w:pPr>
              <w:rPr>
                <w:rFonts w:ascii="宋体"/>
                <w:sz w:val="21"/>
              </w:rPr>
            </w:pPr>
          </w:p>
        </w:tc>
      </w:tr>
    </w:tbl>
    <w:p w14:paraId="71135CE7">
      <w:pPr>
        <w:rPr>
          <w:rFonts w:ascii="宋体"/>
          <w:sz w:val="21"/>
        </w:rPr>
      </w:pPr>
    </w:p>
    <w:p w14:paraId="71E5E8A9">
      <w:pPr>
        <w:spacing w:line="254" w:lineRule="auto"/>
        <w:rPr>
          <w:rFonts w:hint="eastAsia" w:eastAsia="宋体"/>
          <w:lang w:eastAsia="zh-CN"/>
        </w:rPr>
      </w:pPr>
    </w:p>
    <w:p w14:paraId="79675A18">
      <w:pPr>
        <w:spacing w:line="254" w:lineRule="auto"/>
        <w:jc w:val="center"/>
        <w:rPr>
          <w:rFonts w:hint="eastAsia" w:eastAsia="宋体"/>
          <w:lang w:eastAsia="zh-CN"/>
        </w:rPr>
      </w:pPr>
    </w:p>
    <w:p w14:paraId="2796AEAE">
      <w:pPr>
        <w:spacing w:line="254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3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0" w:type="default"/>
      <w:pgSz w:w="16839" w:h="11907"/>
      <w:pgMar w:top="1012" w:right="1356" w:bottom="1401" w:left="1440" w:header="0" w:footer="12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5C0AA">
    <w:pPr>
      <w:spacing w:line="125" w:lineRule="exact"/>
      <w:ind w:firstLine="6954"/>
      <w:rPr>
        <w:rFonts w:ascii="宋体" w:hAnsi="宋体" w:eastAsia="宋体" w:cs="宋体"/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2200910</wp:posOffset>
          </wp:positionH>
          <wp:positionV relativeFrom="page">
            <wp:posOffset>1273810</wp:posOffset>
          </wp:positionV>
          <wp:extent cx="1534795" cy="332105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4668" cy="332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position w:val="-2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BAFCD">
    <w:pPr>
      <w:spacing w:line="124" w:lineRule="exact"/>
      <w:ind w:firstLine="694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E5F17">
    <w:pPr>
      <w:spacing w:line="124" w:lineRule="exact"/>
      <w:ind w:firstLine="694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CC575">
    <w:pPr>
      <w:spacing w:line="124" w:lineRule="exact"/>
      <w:ind w:firstLine="694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A571C">
    <w:pPr>
      <w:spacing w:line="123" w:lineRule="exact"/>
      <w:ind w:firstLine="694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546F7">
    <w:pPr>
      <w:spacing w:line="124" w:lineRule="exact"/>
      <w:ind w:firstLine="694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217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2422</Words>
  <Characters>2488</Characters>
  <TotalTime>0</TotalTime>
  <ScaleCrop>false</ScaleCrop>
  <LinksUpToDate>false</LinksUpToDate>
  <CharactersWithSpaces>2724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2022-02-22T14:30:00Z</dcterms:created>
  <dc:creator>LIBIN</dc:creator>
  <cp:lastModifiedBy>太极箫客</cp:lastModifiedBy>
  <dcterms:modified xsi:type="dcterms:W3CDTF">2025-08-14T06:15:06Z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2022-03-29T11:28:14Z</vt:filetime>
  </property>
  <property fmtid="{D5CDD505-2E9C-101B-9397-08002B2CF9AE}" pid="4" name="KSOTemplateDocerSaveRecord">
    <vt:lpwstr>eyJoZGlkIjoiMDJiMzI3ODBiNTFmMWRjNDUyMjM1ZmZjODY5NDc2MWMiLCJ1c2VySWQiOiI0NTQ4Nzg1NzAifQ==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A213707395C042E18D64FCDB7435D932_12</vt:lpwstr>
  </property>
</Properties>
</file>