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07E72">
      <w:pPr>
        <w:pStyle w:val="13"/>
        <w:jc w:val="center"/>
        <w:rPr>
          <w:rFonts w:eastAsia="宋体"/>
          <w:b/>
          <w:bCs/>
          <w:sz w:val="52"/>
          <w:szCs w:val="52"/>
          <w:lang w:eastAsia="zh-CN"/>
        </w:rPr>
      </w:pPr>
      <w:bookmarkStart w:id="2" w:name="_GoBack"/>
      <w:bookmarkEnd w:id="2"/>
      <w:r>
        <w:rPr>
          <w:rFonts w:eastAsia="宋体"/>
          <w:b/>
          <w:bCs/>
          <w:sz w:val="52"/>
          <w:szCs w:val="52"/>
          <w:lang w:eastAsia="zh-CN"/>
        </w:rPr>
        <w:t>2019</w:t>
      </w:r>
      <w:r>
        <w:rPr>
          <w:rFonts w:hint="eastAsia" w:eastAsia="宋体"/>
          <w:b/>
          <w:bCs/>
          <w:sz w:val="52"/>
          <w:szCs w:val="52"/>
          <w:lang w:eastAsia="zh-CN"/>
        </w:rPr>
        <w:t>年新型冠状病毒肺炎（</w:t>
      </w:r>
      <w:r>
        <w:rPr>
          <w:rFonts w:eastAsia="宋体"/>
          <w:b/>
          <w:bCs/>
          <w:sz w:val="52"/>
          <w:szCs w:val="52"/>
          <w:lang w:eastAsia="zh-CN"/>
        </w:rPr>
        <w:t>COVID-19</w:t>
      </w:r>
      <w:r>
        <w:rPr>
          <w:rFonts w:hint="eastAsia" w:eastAsia="宋体"/>
          <w:b/>
          <w:bCs/>
          <w:sz w:val="52"/>
          <w:szCs w:val="52"/>
          <w:lang w:eastAsia="zh-CN"/>
        </w:rPr>
        <w:t>）突发公共卫生事件期间获批上市前批准（</w:t>
      </w:r>
      <w:r>
        <w:rPr>
          <w:rFonts w:eastAsia="宋体"/>
          <w:b/>
          <w:bCs/>
          <w:sz w:val="52"/>
          <w:szCs w:val="52"/>
          <w:lang w:eastAsia="zh-CN"/>
        </w:rPr>
        <w:t>PMA</w:t>
      </w:r>
      <w:r>
        <w:rPr>
          <w:rFonts w:hint="eastAsia" w:eastAsia="宋体"/>
          <w:b/>
          <w:bCs/>
          <w:sz w:val="52"/>
          <w:szCs w:val="52"/>
          <w:lang w:eastAsia="zh-CN"/>
        </w:rPr>
        <w:t>）或</w:t>
      </w:r>
      <w:bookmarkStart w:id="0" w:name="OLE_LINK1"/>
      <w:r>
        <w:rPr>
          <w:rFonts w:hint="eastAsia" w:eastAsia="宋体"/>
          <w:b/>
          <w:bCs/>
          <w:sz w:val="52"/>
          <w:szCs w:val="52"/>
          <w:lang w:eastAsia="zh-CN"/>
        </w:rPr>
        <w:t>人道主义器械豁免（</w:t>
      </w:r>
      <w:r>
        <w:rPr>
          <w:rFonts w:eastAsia="宋体"/>
          <w:b/>
          <w:bCs/>
          <w:sz w:val="52"/>
          <w:szCs w:val="52"/>
          <w:lang w:eastAsia="zh-CN"/>
        </w:rPr>
        <w:t>HDE</w:t>
      </w:r>
      <w:r>
        <w:rPr>
          <w:rFonts w:hint="eastAsia" w:eastAsia="宋体"/>
          <w:b/>
          <w:bCs/>
          <w:sz w:val="52"/>
          <w:szCs w:val="52"/>
          <w:lang w:eastAsia="zh-CN"/>
        </w:rPr>
        <w:t>）</w:t>
      </w:r>
      <w:bookmarkEnd w:id="0"/>
      <w:r>
        <w:rPr>
          <w:rFonts w:hint="eastAsia" w:eastAsia="宋体"/>
          <w:b/>
          <w:bCs/>
          <w:sz w:val="52"/>
          <w:szCs w:val="52"/>
          <w:lang w:eastAsia="zh-CN"/>
        </w:rPr>
        <w:t>提交的补充资料</w:t>
      </w:r>
    </w:p>
    <w:p w14:paraId="35145028">
      <w:pPr>
        <w:pStyle w:val="13"/>
        <w:rPr>
          <w:szCs w:val="21"/>
          <w:lang w:eastAsia="zh-CN"/>
        </w:rPr>
      </w:pPr>
      <w:r>
        <w:rPr>
          <w:rFonts w:hint="eastAsia"/>
          <w:szCs w:val="21"/>
          <w:lang w:eastAsia="zh-CN" w:bidi="ar-SA"/>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41275</wp:posOffset>
                </wp:positionV>
                <wp:extent cx="60833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083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9pt;margin-top:3.25pt;height:0pt;width:479pt;z-index:251659264;mso-width-relative:page;mso-height-relative:page;" filled="f" stroked="t" coordsize="21600,21600" o:gfxdata="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k&#10;a9sC1AAAAAYBAAAPAAAAAAAAAAEAIAAAACIAAABkcnMvZG93bnJldi54bWxQSwECFAAUAAAACACH&#10;TuJAv8H3ve8BAADTAwAADgAAAAAAAAABACAAAAAjAQAAZHJzL2Uyb0RvYy54bWxQSwUGAAAAAAYA&#10;BgBZAQAAhAUAAAAA&#10;">
                <v:fill on="f" focussize="0,0"/>
                <v:stroke color="#000000 [3200]" joinstyle="round"/>
                <v:imagedata o:title=""/>
                <o:lock v:ext="edit" aspectratio="f"/>
              </v:line>
            </w:pict>
          </mc:Fallback>
        </mc:AlternateContent>
      </w:r>
    </w:p>
    <w:p w14:paraId="573FBAB9">
      <w:pPr>
        <w:adjustRightInd w:val="0"/>
        <w:snapToGrid w:val="0"/>
        <w:spacing w:before="120" w:beforeLines="50" w:line="300" w:lineRule="auto"/>
        <w:ind w:right="422" w:rightChars="192"/>
        <w:jc w:val="center"/>
        <w:rPr>
          <w:b/>
          <w:sz w:val="52"/>
          <w:szCs w:val="21"/>
          <w:lang w:eastAsia="zh-CN"/>
        </w:rPr>
      </w:pPr>
      <w:r>
        <w:rPr>
          <w:rFonts w:eastAsia="宋体" w:cs="宋体"/>
          <w:b/>
          <w:sz w:val="52"/>
          <w:lang w:eastAsia="zh-CN"/>
        </w:rPr>
        <w:t>行业和美国食品药品</w:t>
      </w:r>
      <w:r>
        <w:rPr>
          <w:rFonts w:hint="eastAsia" w:eastAsia="宋体" w:cs="宋体"/>
          <w:b/>
          <w:sz w:val="52"/>
          <w:lang w:eastAsia="zh-CN"/>
        </w:rPr>
        <w:t>监督</w:t>
      </w:r>
      <w:r>
        <w:rPr>
          <w:rFonts w:eastAsia="宋体" w:cs="宋体"/>
          <w:b/>
          <w:sz w:val="52"/>
          <w:lang w:eastAsia="zh-CN"/>
        </w:rPr>
        <w:t>管理局工作人员指南</w:t>
      </w:r>
    </w:p>
    <w:p w14:paraId="42EB26D8">
      <w:pPr>
        <w:adjustRightInd w:val="0"/>
        <w:snapToGrid w:val="0"/>
        <w:spacing w:before="120" w:beforeLines="50" w:line="300" w:lineRule="auto"/>
        <w:jc w:val="center"/>
        <w:rPr>
          <w:b/>
          <w:sz w:val="28"/>
          <w:szCs w:val="21"/>
          <w:lang w:eastAsia="zh-CN"/>
        </w:rPr>
      </w:pPr>
      <w:r>
        <w:rPr>
          <w:rFonts w:eastAsia="宋体" w:cs="宋体"/>
          <w:b/>
          <w:sz w:val="28"/>
          <w:lang w:eastAsia="zh-CN"/>
        </w:rPr>
        <w:t>2020年5月</w:t>
      </w:r>
    </w:p>
    <w:p w14:paraId="523E0BED">
      <w:pPr>
        <w:adjustRightInd w:val="0"/>
        <w:snapToGrid w:val="0"/>
        <w:spacing w:before="2400" w:beforeLines="1000" w:line="300" w:lineRule="auto"/>
        <w:jc w:val="center"/>
        <w:rPr>
          <w:rFonts w:eastAsiaTheme="minorEastAsia"/>
          <w:b/>
          <w:sz w:val="21"/>
          <w:szCs w:val="21"/>
          <w:lang w:eastAsia="zh-CN"/>
        </w:rPr>
      </w:pPr>
      <w:r>
        <w:rPr>
          <w:rFonts w:eastAsia="宋体" w:cs="宋体"/>
          <w:b/>
          <w:sz w:val="21"/>
          <w:lang w:eastAsia="zh-CN"/>
        </w:rPr>
        <w:t>美国卫生与公众服务部</w:t>
      </w:r>
    </w:p>
    <w:p w14:paraId="315C6CAC">
      <w:pPr>
        <w:adjustRightInd w:val="0"/>
        <w:snapToGrid w:val="0"/>
        <w:spacing w:before="120" w:beforeLines="50" w:line="300" w:lineRule="auto"/>
        <w:jc w:val="center"/>
        <w:rPr>
          <w:rFonts w:eastAsiaTheme="minorEastAsia"/>
          <w:b/>
          <w:sz w:val="21"/>
          <w:szCs w:val="21"/>
          <w:lang w:eastAsia="zh-CN"/>
        </w:rPr>
      </w:pPr>
      <w:r>
        <w:rPr>
          <w:rFonts w:eastAsia="宋体" w:cs="宋体"/>
          <w:b/>
          <w:sz w:val="21"/>
          <w:lang w:eastAsia="zh-CN"/>
        </w:rPr>
        <w:t>美国食品药品</w:t>
      </w:r>
      <w:r>
        <w:rPr>
          <w:rFonts w:hint="eastAsia" w:eastAsia="宋体" w:cs="宋体"/>
          <w:b/>
          <w:sz w:val="21"/>
          <w:lang w:eastAsia="zh-CN"/>
        </w:rPr>
        <w:t>监督</w:t>
      </w:r>
      <w:r>
        <w:rPr>
          <w:rFonts w:eastAsia="宋体" w:cs="宋体"/>
          <w:b/>
          <w:sz w:val="21"/>
          <w:lang w:eastAsia="zh-CN"/>
        </w:rPr>
        <w:t>管理局</w:t>
      </w:r>
    </w:p>
    <w:p w14:paraId="41C1D9B3">
      <w:pPr>
        <w:adjustRightInd w:val="0"/>
        <w:snapToGrid w:val="0"/>
        <w:spacing w:before="120" w:beforeLines="50" w:line="300" w:lineRule="auto"/>
        <w:jc w:val="center"/>
        <w:rPr>
          <w:rFonts w:eastAsiaTheme="minorEastAsia"/>
          <w:b/>
          <w:sz w:val="21"/>
          <w:szCs w:val="21"/>
          <w:lang w:eastAsia="zh-CN"/>
        </w:rPr>
      </w:pPr>
      <w:r>
        <w:rPr>
          <w:rFonts w:eastAsia="宋体" w:cs="宋体"/>
          <w:b/>
          <w:sz w:val="21"/>
          <w:lang w:eastAsia="zh-CN"/>
        </w:rPr>
        <w:t>医疗器械和</w:t>
      </w:r>
      <w:r>
        <w:rPr>
          <w:rFonts w:hint="eastAsia" w:eastAsia="宋体" w:cs="宋体"/>
          <w:b/>
          <w:sz w:val="21"/>
          <w:lang w:eastAsia="zh-CN"/>
        </w:rPr>
        <w:t>辐射健康</w:t>
      </w:r>
      <w:r>
        <w:rPr>
          <w:rFonts w:eastAsia="宋体" w:cs="宋体"/>
          <w:b/>
          <w:sz w:val="21"/>
          <w:lang w:eastAsia="zh-CN"/>
        </w:rPr>
        <w:t>中心（CDRH）</w:t>
      </w:r>
    </w:p>
    <w:p w14:paraId="44C9925A">
      <w:pPr>
        <w:adjustRightInd w:val="0"/>
        <w:snapToGrid w:val="0"/>
        <w:spacing w:before="120" w:beforeLines="50" w:line="300" w:lineRule="auto"/>
        <w:jc w:val="center"/>
        <w:rPr>
          <w:b/>
          <w:sz w:val="21"/>
          <w:szCs w:val="21"/>
          <w:lang w:eastAsia="zh-CN"/>
        </w:rPr>
      </w:pPr>
      <w:r>
        <w:rPr>
          <w:rFonts w:eastAsia="宋体" w:cs="宋体"/>
          <w:b/>
          <w:sz w:val="21"/>
          <w:lang w:eastAsia="zh-CN"/>
        </w:rPr>
        <w:t>生物制品评价与研究中心（CBER）</w:t>
      </w:r>
    </w:p>
    <w:p w14:paraId="040056DF">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1C116A20">
      <w:pPr>
        <w:adjustRightInd w:val="0"/>
        <w:snapToGrid w:val="0"/>
        <w:spacing w:before="120" w:beforeLines="50" w:line="300" w:lineRule="auto"/>
        <w:jc w:val="center"/>
        <w:rPr>
          <w:b/>
          <w:sz w:val="44"/>
          <w:szCs w:val="44"/>
          <w:lang w:eastAsia="zh-CN"/>
        </w:rPr>
      </w:pPr>
      <w:r>
        <w:rPr>
          <w:rFonts w:eastAsia="宋体" w:cs="宋体"/>
          <w:b/>
          <w:sz w:val="44"/>
          <w:lang w:eastAsia="zh-CN"/>
        </w:rPr>
        <w:t>前言</w:t>
      </w:r>
    </w:p>
    <w:p w14:paraId="6321218B">
      <w:pPr>
        <w:adjustRightInd w:val="0"/>
        <w:snapToGrid w:val="0"/>
        <w:spacing w:before="120" w:beforeLines="50" w:line="300" w:lineRule="auto"/>
        <w:jc w:val="both"/>
        <w:rPr>
          <w:b/>
          <w:sz w:val="28"/>
          <w:szCs w:val="28"/>
          <w:lang w:eastAsia="zh-CN"/>
        </w:rPr>
      </w:pPr>
      <w:r>
        <w:rPr>
          <w:rFonts w:eastAsia="宋体" w:cs="宋体"/>
          <w:b/>
          <w:sz w:val="28"/>
          <w:lang w:eastAsia="zh-CN"/>
        </w:rPr>
        <w:t>公众意见</w:t>
      </w:r>
    </w:p>
    <w:p w14:paraId="0910BC1F">
      <w:pPr>
        <w:pStyle w:val="4"/>
        <w:adjustRightInd w:val="0"/>
        <w:snapToGrid w:val="0"/>
        <w:spacing w:before="120" w:beforeLines="50" w:line="300" w:lineRule="auto"/>
        <w:jc w:val="both"/>
        <w:rPr>
          <w:sz w:val="21"/>
          <w:szCs w:val="21"/>
          <w:lang w:eastAsia="zh-CN"/>
        </w:rPr>
      </w:pPr>
      <w:r>
        <w:rPr>
          <w:rFonts w:eastAsia="宋体" w:cs="宋体"/>
          <w:sz w:val="21"/>
          <w:lang w:eastAsia="zh-CN"/>
        </w:rPr>
        <w:t>本指南旨在解决2019年新冠病毒肺炎疾病（COVID-19）突发公共卫生事件。由于美国食品药品</w:t>
      </w:r>
      <w:r>
        <w:rPr>
          <w:rFonts w:hint="eastAsia" w:eastAsia="宋体" w:cs="宋体"/>
          <w:sz w:val="21"/>
          <w:lang w:eastAsia="zh-CN"/>
        </w:rPr>
        <w:t>监督</w:t>
      </w:r>
      <w:r>
        <w:rPr>
          <w:rFonts w:eastAsia="宋体" w:cs="宋体"/>
          <w:sz w:val="21"/>
          <w:lang w:eastAsia="zh-CN"/>
        </w:rPr>
        <w:t>管理局（FDA或本机构）认为公众事先参与本指南的行为不可行或不适当，因此本指南在未事先征求公众意见的情况下实施（参见《联邦食品、药品和化妆品法案》（《FD&amp;C法案》）第701(h)(1)(C)节和21 CFR 10.115(g)(2)）。本指南文件正在立即实施，但根据机构的良好指导实践，仍需征求意见。</w:t>
      </w:r>
    </w:p>
    <w:p w14:paraId="620DB6F1">
      <w:pPr>
        <w:pStyle w:val="4"/>
        <w:adjustRightInd w:val="0"/>
        <w:snapToGrid w:val="0"/>
        <w:spacing w:before="120" w:beforeLines="50" w:line="300" w:lineRule="auto"/>
        <w:jc w:val="both"/>
        <w:rPr>
          <w:sz w:val="21"/>
          <w:szCs w:val="21"/>
          <w:lang w:eastAsia="zh-CN"/>
        </w:rPr>
      </w:pPr>
      <w:r>
        <w:rPr>
          <w:rFonts w:eastAsia="宋体" w:cs="宋体"/>
          <w:sz w:val="21"/>
          <w:lang w:eastAsia="zh-CN"/>
        </w:rPr>
        <w:t>可随时提交意见或建议，供FDA审议。请将书面意见提交至美国食品药品</w:t>
      </w:r>
      <w:r>
        <w:rPr>
          <w:rFonts w:hint="eastAsia" w:eastAsia="宋体" w:cs="宋体"/>
          <w:sz w:val="21"/>
          <w:lang w:eastAsia="zh-CN"/>
        </w:rPr>
        <w:t>监督</w:t>
      </w:r>
      <w:r>
        <w:rPr>
          <w:rFonts w:eastAsia="宋体" w:cs="宋体"/>
          <w:sz w:val="21"/>
          <w:lang w:eastAsia="zh-CN"/>
        </w:rPr>
        <w:t>管理局</w:t>
      </w:r>
      <w:r>
        <w:rPr>
          <w:rFonts w:hint="eastAsia" w:eastAsia="宋体" w:cs="宋体"/>
          <w:sz w:val="21"/>
          <w:lang w:eastAsia="zh-CN"/>
        </w:rPr>
        <w:t>备案文件管理部</w:t>
      </w:r>
      <w:r>
        <w:rPr>
          <w:rFonts w:eastAsia="宋体" w:cs="宋体"/>
          <w:sz w:val="21"/>
          <w:lang w:eastAsia="zh-CN"/>
        </w:rPr>
        <w:t xml:space="preserve">（HFA-305），5630 Fishers Lane, </w:t>
      </w:r>
      <w:r>
        <w:rPr>
          <w:rFonts w:hint="eastAsia" w:eastAsia="宋体" w:cs="宋体"/>
          <w:sz w:val="21"/>
          <w:lang w:eastAsia="zh-CN"/>
        </w:rPr>
        <w:t>R</w:t>
      </w:r>
      <w:r>
        <w:rPr>
          <w:rFonts w:eastAsia="宋体" w:cs="宋体"/>
          <w:sz w:val="21"/>
          <w:lang w:eastAsia="zh-CN"/>
        </w:rPr>
        <w:t>m.1061, Rockville, MD 20852</w:t>
      </w:r>
      <w:r>
        <w:rPr>
          <w:rFonts w:hint="eastAsia" w:eastAsia="宋体" w:cs="宋体"/>
          <w:sz w:val="21"/>
          <w:lang w:eastAsia="zh-CN"/>
        </w:rPr>
        <w:t>。</w:t>
      </w:r>
      <w:r>
        <w:rPr>
          <w:rFonts w:eastAsia="宋体" w:cs="宋体"/>
          <w:sz w:val="21"/>
          <w:lang w:eastAsia="zh-CN"/>
        </w:rPr>
        <w:t>电子版意见提交至</w:t>
      </w:r>
      <w:r>
        <w:rPr>
          <w:rFonts w:eastAsia="宋体" w:cs="宋体"/>
          <w:color w:val="0000FF"/>
          <w:sz w:val="21"/>
          <w:u w:val="single"/>
          <w:lang w:eastAsia="zh-CN"/>
        </w:rPr>
        <w:t>https://www.regulations.gov</w:t>
      </w:r>
      <w:r>
        <w:rPr>
          <w:rFonts w:eastAsia="宋体" w:cs="宋体"/>
          <w:sz w:val="21"/>
          <w:lang w:eastAsia="zh-CN"/>
        </w:rPr>
        <w:t>。所有意见均应注明备案文件编号FDA-2020-D-1138和指南的完整标题。</w:t>
      </w:r>
    </w:p>
    <w:p w14:paraId="433038E8">
      <w:pPr>
        <w:adjustRightInd w:val="0"/>
        <w:snapToGrid w:val="0"/>
        <w:spacing w:before="120" w:beforeLines="50" w:line="300" w:lineRule="auto"/>
        <w:jc w:val="both"/>
        <w:rPr>
          <w:b/>
          <w:sz w:val="28"/>
          <w:szCs w:val="28"/>
        </w:rPr>
      </w:pPr>
      <w:r>
        <w:rPr>
          <w:rFonts w:eastAsia="宋体" w:cs="宋体"/>
          <w:b/>
          <w:sz w:val="28"/>
        </w:rPr>
        <w:t>更多副本</w:t>
      </w:r>
    </w:p>
    <w:p w14:paraId="2C03F1B3">
      <w:pPr>
        <w:pStyle w:val="4"/>
        <w:adjustRightInd w:val="0"/>
        <w:snapToGrid w:val="0"/>
        <w:spacing w:before="120" w:beforeLines="50" w:line="300" w:lineRule="auto"/>
        <w:jc w:val="both"/>
        <w:rPr>
          <w:sz w:val="21"/>
          <w:szCs w:val="21"/>
        </w:rPr>
      </w:pPr>
      <w:r>
        <w:rPr>
          <w:rFonts w:eastAsia="宋体" w:cs="宋体"/>
          <w:sz w:val="21"/>
        </w:rPr>
        <w:t>附加副本可参见FDA标题为“面向行业、美国食品药品</w:t>
      </w:r>
      <w:r>
        <w:rPr>
          <w:rFonts w:hint="eastAsia" w:eastAsia="宋体" w:cs="宋体"/>
          <w:sz w:val="21"/>
          <w:lang w:eastAsia="zh-CN"/>
        </w:rPr>
        <w:t>监督</w:t>
      </w:r>
      <w:r>
        <w:rPr>
          <w:rFonts w:eastAsia="宋体" w:cs="宋体"/>
          <w:sz w:val="21"/>
        </w:rPr>
        <w:t>管理局工作人员及其他利益相关方的COVID-19相关指南文件”的网页（</w:t>
      </w:r>
      <w:r>
        <w:rPr>
          <w:rFonts w:eastAsia="宋体" w:cs="宋体"/>
          <w:i/>
          <w:sz w:val="21"/>
        </w:rPr>
        <w:t>网址：</w:t>
      </w:r>
      <w:r>
        <w:rPr>
          <w:rFonts w:eastAsia="宋体" w:cs="宋体"/>
          <w:color w:val="0000FF"/>
          <w:sz w:val="21"/>
          <w:u w:val="single"/>
        </w:rPr>
        <w:t>https://www.fda.gov/emergency-preparedness-and-response/mcm-issues/covid-19-related-guidance-documents-industry-fda-staff-and-other-stakeholders</w:t>
      </w:r>
      <w:r>
        <w:rPr>
          <w:rFonts w:eastAsia="宋体" w:cs="宋体"/>
          <w:sz w:val="21"/>
        </w:rPr>
        <w:t>），以及FDA标题为“搜索FDA指南文件”的网页（</w:t>
      </w:r>
      <w:r>
        <w:rPr>
          <w:rFonts w:eastAsia="宋体" w:cs="宋体"/>
          <w:i/>
          <w:sz w:val="21"/>
        </w:rPr>
        <w:t>网址：</w:t>
      </w:r>
      <w:r>
        <w:rPr>
          <w:rFonts w:eastAsia="宋体" w:cs="宋体"/>
          <w:color w:val="0000FF"/>
          <w:sz w:val="21"/>
          <w:u w:val="single"/>
        </w:rPr>
        <w:t>https://www.fda.gov/regulatory-information/search-fda-guidance-documents</w:t>
      </w:r>
      <w:r>
        <w:rPr>
          <w:rFonts w:eastAsia="宋体" w:cs="宋体"/>
          <w:sz w:val="21"/>
        </w:rPr>
        <w:t>）。也可将请求通过电子邮件发送至</w:t>
      </w:r>
      <w:r>
        <w:rPr>
          <w:rFonts w:eastAsia="宋体" w:cs="宋体"/>
          <w:color w:val="0000FF"/>
          <w:sz w:val="21"/>
          <w:u w:val="single"/>
        </w:rPr>
        <w:t>CDRH-Guidance@fda.hhs.gov</w:t>
      </w:r>
      <w:r>
        <w:rPr>
          <w:rFonts w:eastAsia="宋体" w:cs="宋体"/>
          <w:sz w:val="21"/>
        </w:rPr>
        <w:t>，以获取指南的附加副本。请在请求中注明文件编号18008和指南的完整标题。</w:t>
      </w:r>
    </w:p>
    <w:p w14:paraId="2E5C3C91">
      <w:pPr>
        <w:pStyle w:val="4"/>
        <w:adjustRightInd w:val="0"/>
        <w:snapToGrid w:val="0"/>
        <w:spacing w:before="120" w:beforeLines="50" w:line="300" w:lineRule="auto"/>
        <w:jc w:val="both"/>
        <w:rPr>
          <w:sz w:val="21"/>
          <w:szCs w:val="21"/>
        </w:rPr>
      </w:pPr>
      <w:r>
        <w:rPr>
          <w:rFonts w:eastAsia="宋体" w:cs="宋体"/>
          <w:sz w:val="21"/>
        </w:rPr>
        <w:t>可通过以下方式获取更多指南副本：寄送信函至：生物制品评价与研究中心（CBER），交流、外联和发展办公室（OCOD），10903 New Hampshire Ave., WO71, Room 3128, Silver Spring, MD 20903；或拨打1-800-835-4709或240-402-8010；或发送电子邮件至</w:t>
      </w:r>
      <w:r>
        <w:rPr>
          <w:rFonts w:eastAsia="宋体" w:cs="宋体"/>
          <w:color w:val="0000FF"/>
          <w:sz w:val="21"/>
          <w:u w:val="single"/>
        </w:rPr>
        <w:t>ocod@fda.hhs.gov</w:t>
      </w:r>
      <w:r>
        <w:rPr>
          <w:rFonts w:eastAsia="宋体" w:cs="宋体"/>
          <w:sz w:val="21"/>
        </w:rPr>
        <w:t>；或者登录</w:t>
      </w:r>
      <w:r>
        <w:rPr>
          <w:rFonts w:eastAsia="宋体" w:cs="宋体"/>
          <w:color w:val="0000FF"/>
          <w:sz w:val="21"/>
          <w:u w:val="single"/>
        </w:rPr>
        <w:t>https://www.fda.gov/vaccines-blood-biologics/guidance-compliance-regulatory-information-biologics/biologics-guidances</w:t>
      </w:r>
      <w:r>
        <w:rPr>
          <w:rFonts w:eastAsia="宋体" w:cs="宋体"/>
          <w:sz w:val="21"/>
        </w:rPr>
        <w:t>。</w:t>
      </w:r>
    </w:p>
    <w:p w14:paraId="238C46AB">
      <w:pPr>
        <w:adjustRightInd w:val="0"/>
        <w:snapToGrid w:val="0"/>
        <w:spacing w:before="120" w:beforeLines="50" w:line="300" w:lineRule="auto"/>
        <w:jc w:val="both"/>
        <w:rPr>
          <w:b/>
          <w:sz w:val="28"/>
          <w:szCs w:val="28"/>
        </w:rPr>
      </w:pPr>
      <w:r>
        <w:rPr>
          <w:rFonts w:eastAsia="宋体" w:cs="宋体"/>
          <w:b/>
          <w:sz w:val="28"/>
        </w:rPr>
        <w:t>问题</w:t>
      </w:r>
    </w:p>
    <w:p w14:paraId="577FC63E">
      <w:pPr>
        <w:pStyle w:val="4"/>
        <w:adjustRightInd w:val="0"/>
        <w:snapToGrid w:val="0"/>
        <w:spacing w:before="120" w:beforeLines="50" w:line="300" w:lineRule="auto"/>
        <w:jc w:val="both"/>
        <w:rPr>
          <w:sz w:val="21"/>
          <w:szCs w:val="21"/>
        </w:rPr>
      </w:pPr>
      <w:r>
        <w:rPr>
          <w:rFonts w:eastAsia="宋体" w:cs="宋体"/>
          <w:sz w:val="21"/>
        </w:rPr>
        <w:t>如果对由医疗器械和辐射健康中心监管的器械存有疑问，请致电301-796-5640，或发送电子邮件至</w:t>
      </w:r>
      <w:r>
        <w:rPr>
          <w:rFonts w:eastAsia="宋体" w:cs="宋体"/>
          <w:color w:val="0000FF"/>
          <w:sz w:val="21"/>
          <w:u w:val="single"/>
        </w:rPr>
        <w:t>CDRHPremarketProgramOperations@fda.hhs.gov</w:t>
      </w:r>
      <w:r>
        <w:rPr>
          <w:rFonts w:eastAsia="宋体" w:cs="宋体"/>
          <w:sz w:val="21"/>
        </w:rPr>
        <w:t>，联系监管政策办公室/申报支持部，</w:t>
      </w:r>
    </w:p>
    <w:p w14:paraId="5BE5143C">
      <w:pPr>
        <w:pStyle w:val="4"/>
        <w:adjustRightInd w:val="0"/>
        <w:snapToGrid w:val="0"/>
        <w:spacing w:before="120" w:beforeLines="50" w:line="300" w:lineRule="auto"/>
        <w:jc w:val="both"/>
        <w:rPr>
          <w:sz w:val="21"/>
          <w:szCs w:val="21"/>
        </w:rPr>
      </w:pPr>
      <w:r>
        <w:rPr>
          <w:rFonts w:eastAsia="宋体" w:cs="宋体"/>
          <w:sz w:val="21"/>
        </w:rPr>
        <w:t>如对本文件中有关生物制品评价与研究中心监管器械的内容有任何疑问，请发送电子邮件至</w:t>
      </w:r>
      <w:r>
        <w:rPr>
          <w:rFonts w:eastAsia="宋体" w:cs="宋体"/>
          <w:color w:val="0000FF"/>
          <w:sz w:val="21"/>
          <w:u w:val="single"/>
        </w:rPr>
        <w:t>ocod@fda.hhs.gov</w:t>
      </w:r>
      <w:r>
        <w:rPr>
          <w:rFonts w:eastAsia="宋体" w:cs="宋体"/>
          <w:sz w:val="21"/>
        </w:rPr>
        <w:t>或致电800-835-4709或240-402-8010联系交流、外联和发展办公室（OCOD）。</w:t>
      </w:r>
    </w:p>
    <w:p w14:paraId="7E462838">
      <w:pPr>
        <w:adjustRightInd w:val="0"/>
        <w:snapToGrid w:val="0"/>
        <w:spacing w:before="120" w:beforeLines="50" w:line="300" w:lineRule="auto"/>
        <w:jc w:val="both"/>
        <w:rPr>
          <w:rFonts w:eastAsiaTheme="minorEastAsia"/>
          <w:b/>
          <w:sz w:val="21"/>
          <w:szCs w:val="21"/>
          <w:lang w:eastAsia="zh-CN"/>
        </w:rPr>
      </w:pPr>
      <w:bookmarkStart w:id="1" w:name="Introduction"/>
      <w:bookmarkEnd w:id="1"/>
    </w:p>
    <w:p w14:paraId="6481F828">
      <w:pPr>
        <w:adjustRightInd w:val="0"/>
        <w:snapToGrid w:val="0"/>
        <w:spacing w:before="120" w:beforeLines="50" w:line="300" w:lineRule="auto"/>
        <w:jc w:val="both"/>
        <w:rPr>
          <w:b/>
          <w:sz w:val="21"/>
          <w:szCs w:val="21"/>
        </w:rPr>
        <w:sectPr>
          <w:headerReference r:id="rId3" w:type="default"/>
          <w:pgSz w:w="11907" w:h="16840"/>
          <w:pgMar w:top="1418" w:right="1418" w:bottom="1418" w:left="1418" w:header="720" w:footer="720" w:gutter="0"/>
          <w:cols w:space="720" w:num="1"/>
        </w:sectPr>
      </w:pPr>
    </w:p>
    <w:p w14:paraId="691A14A2">
      <w:pPr>
        <w:adjustRightInd w:val="0"/>
        <w:snapToGrid w:val="0"/>
        <w:spacing w:before="120" w:beforeLines="50" w:line="300" w:lineRule="auto"/>
        <w:jc w:val="center"/>
        <w:rPr>
          <w:b/>
          <w:sz w:val="52"/>
          <w:szCs w:val="21"/>
          <w:lang w:eastAsia="zh-CN"/>
        </w:rPr>
      </w:pPr>
      <w:r>
        <w:rPr>
          <w:rFonts w:eastAsia="宋体" w:cs="宋体"/>
          <w:b/>
          <w:sz w:val="52"/>
          <w:lang w:eastAsia="zh-CN"/>
        </w:rPr>
        <w:t>2019年新型冠状病毒肺炎（COVID-19）突发公共卫生事件期间获批上市前批准（PMA）或人道主义器械豁免（HDE）提交的补充资料</w:t>
      </w:r>
    </w:p>
    <w:p w14:paraId="28967F97">
      <w:pPr>
        <w:adjustRightInd w:val="0"/>
        <w:snapToGrid w:val="0"/>
        <w:spacing w:before="120" w:beforeLines="50" w:line="300" w:lineRule="auto"/>
        <w:jc w:val="center"/>
        <w:rPr>
          <w:b/>
          <w:sz w:val="52"/>
          <w:szCs w:val="21"/>
          <w:lang w:eastAsia="zh-CN"/>
        </w:rPr>
      </w:pPr>
      <w:r>
        <w:rPr>
          <w:rFonts w:eastAsia="宋体" w:cs="宋体"/>
          <w:b/>
          <w:sz w:val="52"/>
          <w:lang w:eastAsia="zh-CN"/>
        </w:rPr>
        <w:t>行业和美国食品药品</w:t>
      </w:r>
      <w:r>
        <w:rPr>
          <w:rFonts w:hint="eastAsia" w:eastAsia="宋体" w:cs="宋体"/>
          <w:b/>
          <w:sz w:val="52"/>
          <w:lang w:eastAsia="zh-CN"/>
        </w:rPr>
        <w:t>监督</w:t>
      </w:r>
      <w:r>
        <w:rPr>
          <w:rFonts w:eastAsia="宋体" w:cs="宋体"/>
          <w:b/>
          <w:sz w:val="52"/>
          <w:lang w:eastAsia="zh-CN"/>
        </w:rPr>
        <w:t>管理局工作人员指南</w:t>
      </w:r>
    </w:p>
    <w:tbl>
      <w:tblPr>
        <w:tblStyle w:val="11"/>
        <w:tblW w:w="5000" w:type="pct"/>
        <w:tblInd w:w="0" w:type="dxa"/>
        <w:tblBorders>
          <w:top w:val="thinThickThinMediumGap" w:color="auto" w:sz="24" w:space="0"/>
          <w:left w:val="thinThickThinMediumGap" w:color="auto" w:sz="24" w:space="0"/>
          <w:bottom w:val="thinThickThinMediumGap" w:color="auto" w:sz="24" w:space="0"/>
          <w:right w:val="thinThickThinMediumGap" w:color="auto" w:sz="24" w:space="0"/>
          <w:insideH w:val="thinThickThinMediumGap" w:color="auto" w:sz="24" w:space="0"/>
          <w:insideV w:val="thinThickThinMediumGap" w:color="auto" w:sz="24" w:space="0"/>
        </w:tblBorders>
        <w:tblLayout w:type="autofit"/>
        <w:tblCellMar>
          <w:top w:w="0" w:type="dxa"/>
          <w:left w:w="113" w:type="dxa"/>
          <w:bottom w:w="0" w:type="dxa"/>
          <w:right w:w="113" w:type="dxa"/>
        </w:tblCellMar>
      </w:tblPr>
      <w:tblGrid>
        <w:gridCol w:w="9297"/>
      </w:tblGrid>
      <w:tr w14:paraId="760DC797">
        <w:tblPrEx>
          <w:tblBorders>
            <w:top w:val="thinThickThinMediumGap" w:color="auto" w:sz="24" w:space="0"/>
            <w:left w:val="thinThickThinMediumGap" w:color="auto" w:sz="24" w:space="0"/>
            <w:bottom w:val="thinThickThinMediumGap" w:color="auto" w:sz="24" w:space="0"/>
            <w:right w:val="thinThickThinMediumGap" w:color="auto" w:sz="24" w:space="0"/>
            <w:insideH w:val="thinThickThinMediumGap" w:color="auto" w:sz="24" w:space="0"/>
            <w:insideV w:val="thinThickThinMediumGap" w:color="auto" w:sz="24" w:space="0"/>
          </w:tblBorders>
          <w:tblCellMar>
            <w:top w:w="0" w:type="dxa"/>
            <w:left w:w="113" w:type="dxa"/>
            <w:bottom w:w="0" w:type="dxa"/>
            <w:right w:w="113" w:type="dxa"/>
          </w:tblCellMar>
        </w:tblPrEx>
        <w:trPr>
          <w:trHeight w:val="293" w:hRule="atLeast"/>
        </w:trPr>
        <w:tc>
          <w:tcPr>
            <w:tcW w:w="5000" w:type="pct"/>
            <w:tcBorders>
              <w:top w:val="thinThickThinMediumGap" w:color="auto" w:sz="18" w:space="0"/>
              <w:left w:val="thinThickThinMediumGap" w:color="auto" w:sz="18" w:space="0"/>
              <w:bottom w:val="thinThickThinMediumGap" w:color="auto" w:sz="18" w:space="0"/>
              <w:right w:val="thinThickThinMediumGap" w:color="auto" w:sz="18" w:space="0"/>
            </w:tcBorders>
          </w:tcPr>
          <w:p w14:paraId="30A99D8C">
            <w:pPr>
              <w:pStyle w:val="4"/>
              <w:adjustRightInd w:val="0"/>
              <w:snapToGrid w:val="0"/>
              <w:spacing w:before="120" w:beforeLines="50" w:line="300" w:lineRule="auto"/>
              <w:jc w:val="both"/>
              <w:rPr>
                <w:bCs/>
                <w:iCs/>
                <w:sz w:val="21"/>
                <w:szCs w:val="21"/>
                <w:lang w:eastAsia="zh-CN"/>
              </w:rPr>
            </w:pPr>
            <w:r>
              <w:rPr>
                <w:rFonts w:hint="eastAsia" w:eastAsia="宋体" w:cs="宋体"/>
                <w:bCs/>
                <w:iCs/>
                <w:sz w:val="21"/>
                <w:lang w:eastAsia="zh-CN"/>
              </w:rPr>
              <w:t>本指南代表美国食品药品监督管理局（</w:t>
            </w:r>
            <w:r>
              <w:rPr>
                <w:rFonts w:eastAsia="宋体" w:cs="宋体"/>
                <w:bCs/>
                <w:iCs/>
                <w:sz w:val="21"/>
                <w:lang w:eastAsia="zh-CN"/>
              </w:rPr>
              <w:t>FDA或本机构</w:t>
            </w:r>
            <w:r>
              <w:rPr>
                <w:rFonts w:hint="eastAsia" w:eastAsia="宋体" w:cs="宋体"/>
                <w:bCs/>
                <w:iCs/>
                <w:sz w:val="21"/>
                <w:lang w:eastAsia="zh-CN"/>
              </w:rPr>
              <w:t>）目前关于该主题的思考。本指南不会为任何人创造或赋予任何权利，也不会对</w:t>
            </w:r>
            <w:r>
              <w:rPr>
                <w:rFonts w:eastAsia="宋体" w:cs="宋体"/>
                <w:bCs/>
                <w:iCs/>
                <w:sz w:val="21"/>
                <w:lang w:eastAsia="zh-CN"/>
              </w:rPr>
              <w:t>FDA</w:t>
            </w:r>
            <w:r>
              <w:rPr>
                <w:rFonts w:hint="eastAsia" w:eastAsia="宋体" w:cs="宋体"/>
                <w:bCs/>
                <w:iCs/>
                <w:sz w:val="21"/>
                <w:lang w:eastAsia="zh-CN"/>
              </w:rPr>
              <w:t>或公众产生约束。如果替代方法满足适用的法律法规的要求，则可以使用该土地方法。如需讨论替代方法，请联系标题页负责实施本指南文件的</w:t>
            </w:r>
            <w:r>
              <w:rPr>
                <w:rFonts w:eastAsia="宋体" w:cs="宋体"/>
                <w:bCs/>
                <w:iCs/>
                <w:sz w:val="21"/>
                <w:lang w:eastAsia="zh-CN"/>
              </w:rPr>
              <w:t>FDA</w:t>
            </w:r>
            <w:r>
              <w:rPr>
                <w:rFonts w:hint="eastAsia" w:eastAsia="宋体" w:cs="宋体"/>
                <w:bCs/>
                <w:iCs/>
                <w:sz w:val="21"/>
                <w:lang w:eastAsia="zh-CN"/>
              </w:rPr>
              <w:t>工作人员或办公室。</w:t>
            </w:r>
          </w:p>
        </w:tc>
      </w:tr>
    </w:tbl>
    <w:p w14:paraId="09AEF3DB">
      <w:pPr>
        <w:pStyle w:val="4"/>
        <w:adjustRightInd w:val="0"/>
        <w:snapToGrid w:val="0"/>
        <w:spacing w:before="120" w:beforeLines="50" w:line="300" w:lineRule="auto"/>
        <w:ind w:left="562" w:hanging="562" w:hangingChars="200"/>
        <w:jc w:val="both"/>
        <w:rPr>
          <w:b/>
          <w:sz w:val="28"/>
          <w:szCs w:val="21"/>
          <w:lang w:eastAsia="zh-CN"/>
        </w:rPr>
      </w:pPr>
      <w:r>
        <w:rPr>
          <w:rFonts w:eastAsia="宋体" w:cs="宋体"/>
          <w:b/>
          <w:sz w:val="28"/>
          <w:lang w:eastAsia="zh-CN"/>
        </w:rPr>
        <w:t>I.</w:t>
      </w:r>
      <w:r>
        <w:rPr>
          <w:rFonts w:eastAsia="宋体" w:cs="宋体"/>
          <w:b/>
          <w:lang w:eastAsia="zh-CN"/>
        </w:rPr>
        <w:tab/>
      </w:r>
      <w:r>
        <w:rPr>
          <w:rFonts w:eastAsia="宋体" w:cs="宋体"/>
          <w:b/>
          <w:sz w:val="28"/>
          <w:lang w:eastAsia="zh-CN"/>
        </w:rPr>
        <w:t>引言</w:t>
      </w:r>
    </w:p>
    <w:p w14:paraId="17CDBFC0">
      <w:pPr>
        <w:pStyle w:val="4"/>
        <w:adjustRightInd w:val="0"/>
        <w:snapToGrid w:val="0"/>
        <w:spacing w:before="120" w:beforeLines="50" w:line="300" w:lineRule="auto"/>
        <w:jc w:val="both"/>
        <w:rPr>
          <w:sz w:val="21"/>
          <w:szCs w:val="21"/>
          <w:lang w:eastAsia="zh-CN"/>
        </w:rPr>
      </w:pPr>
      <w:r>
        <w:rPr>
          <w:rFonts w:eastAsia="宋体" w:cs="宋体"/>
          <w:sz w:val="21"/>
          <w:lang w:eastAsia="zh-CN"/>
        </w:rPr>
        <w:t xml:space="preserve">FDA在保护美国免受新发传染病（包括2019年新冠病毒肺炎（COVID-19）疫情）等的威胁方面发挥着关键作用。FDA致力于提供适时指南，以支持对此次疫情的响应工作。  </w:t>
      </w:r>
    </w:p>
    <w:p w14:paraId="4B41DC27">
      <w:pPr>
        <w:pStyle w:val="4"/>
        <w:adjustRightInd w:val="0"/>
        <w:snapToGrid w:val="0"/>
        <w:spacing w:before="120" w:beforeLines="50" w:line="300" w:lineRule="auto"/>
        <w:jc w:val="both"/>
        <w:rPr>
          <w:sz w:val="21"/>
          <w:szCs w:val="21"/>
          <w:lang w:eastAsia="zh-CN"/>
        </w:rPr>
      </w:pPr>
      <w:r>
        <w:rPr>
          <w:rFonts w:eastAsia="宋体" w:cs="宋体"/>
          <w:sz w:val="21"/>
          <w:lang w:eastAsia="zh-CN"/>
        </w:rPr>
        <w:t>FDA发布本指南是为了提供旨在帮助解决当前由COVID-19突发公共卫生事件引起的中断所导致的制造限制或供应链问题的政策。</w:t>
      </w:r>
    </w:p>
    <w:p w14:paraId="38A78EDF">
      <w:pPr>
        <w:pStyle w:val="4"/>
        <w:adjustRightInd w:val="0"/>
        <w:snapToGrid w:val="0"/>
        <w:spacing w:before="120" w:beforeLines="50" w:line="300" w:lineRule="auto"/>
        <w:jc w:val="both"/>
        <w:rPr>
          <w:sz w:val="21"/>
          <w:szCs w:val="21"/>
          <w:lang w:eastAsia="zh-CN"/>
        </w:rPr>
      </w:pPr>
      <w:r>
        <w:rPr>
          <w:rFonts w:eastAsia="宋体" w:cs="宋体"/>
          <w:sz w:val="21"/>
          <w:lang w:eastAsia="zh-CN"/>
        </w:rPr>
        <w:t>该政策预期仅在美国卫生与公众服务部（HHS）部长于2020年1月31日宣布的与COVID-19相关的突发公共卫生事件期间有效（生效日期：2020年1月27日），其包括HHS部长根据《公共卫生服务法案》（以下简称为《PHS法案》）42 U.S.C. 247d(a)(2)）第319(a)(2)节所作的任何更新。</w:t>
      </w:r>
    </w:p>
    <w:p w14:paraId="0F20DE87">
      <w:pPr>
        <w:pStyle w:val="4"/>
        <w:adjustRightInd w:val="0"/>
        <w:snapToGrid w:val="0"/>
        <w:spacing w:before="120" w:beforeLines="50" w:line="300" w:lineRule="auto"/>
        <w:jc w:val="both"/>
        <w:rPr>
          <w:sz w:val="21"/>
          <w:szCs w:val="21"/>
          <w:lang w:eastAsia="zh-CN"/>
        </w:rPr>
      </w:pPr>
      <w:r>
        <w:rPr>
          <w:rFonts w:eastAsia="宋体" w:cs="宋体"/>
          <w:sz w:val="21"/>
        </w:rPr>
        <w:t>鉴于这一突发公共卫生事件，如2020年3月25日《联邦公报》中标题为“2019年新型冠状病毒肺炎相关指南文件的提供流程”的通知（</w:t>
      </w:r>
      <w:r>
        <w:rPr>
          <w:rFonts w:eastAsia="宋体" w:cs="宋体"/>
          <w:i/>
          <w:sz w:val="21"/>
        </w:rPr>
        <w:t>可登录以下网址获取：</w:t>
      </w:r>
      <w:r>
        <w:rPr>
          <w:rFonts w:eastAsia="宋体" w:cs="宋体"/>
          <w:color w:val="0000FF"/>
          <w:sz w:val="21"/>
          <w:u w:val="single"/>
        </w:rPr>
        <w:t>https://www.govinfo.gov/content/pkg/FR-2020-03-25/pdf/2020-06222.pdf</w:t>
      </w:r>
      <w:r>
        <w:rPr>
          <w:rFonts w:eastAsia="宋体" w:cs="宋体"/>
          <w:sz w:val="21"/>
        </w:rPr>
        <w:t>）所述，本指南的实施未事先征求公众意见，因为FDA已确定公众既往参与本指南的实施不可行或不适当（参见《美国联邦食品、药品和化妆品法案》（以下简称为《FD&amp;C法案》）第701(h)(1)(C)节和21 CFR 10.115(g)(2)）。</w:t>
      </w:r>
      <w:r>
        <w:rPr>
          <w:rFonts w:eastAsia="宋体" w:cs="宋体"/>
          <w:sz w:val="21"/>
          <w:lang w:eastAsia="zh-CN"/>
        </w:rPr>
        <w:t>本指南文件正在立即实施，但根据机构的指导实践，仍需征求意见。</w:t>
      </w:r>
    </w:p>
    <w:p w14:paraId="7B058887">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1E5398AF">
      <w:pPr>
        <w:pStyle w:val="4"/>
        <w:adjustRightInd w:val="0"/>
        <w:snapToGrid w:val="0"/>
        <w:spacing w:before="120" w:beforeLines="50" w:line="300" w:lineRule="auto"/>
        <w:jc w:val="both"/>
        <w:rPr>
          <w:sz w:val="21"/>
          <w:szCs w:val="21"/>
          <w:lang w:eastAsia="zh-CN"/>
        </w:rPr>
      </w:pPr>
      <w:r>
        <w:rPr>
          <w:rFonts w:eastAsia="宋体" w:cs="宋体"/>
          <w:sz w:val="21"/>
          <w:lang w:eastAsia="zh-CN"/>
        </w:rPr>
        <w:t>DA</w:t>
      </w:r>
      <w:r>
        <w:rPr>
          <w:rFonts w:hint="eastAsia" w:eastAsia="宋体" w:cs="宋体"/>
          <w:sz w:val="21"/>
          <w:lang w:eastAsia="zh-CN"/>
        </w:rPr>
        <w:t>指导性文件，包括本指南在内，不具有法律强制责任。相反，该指南表明了政府专门机构关于该主题的当前思考，除引用具体的法规或法律要求之外，本指南仅供推荐性使用。在本指南中使用的词语“应”是指建议或推荐，并非强制要求。</w:t>
      </w:r>
    </w:p>
    <w:p w14:paraId="08152BF2">
      <w:pPr>
        <w:pStyle w:val="4"/>
        <w:adjustRightInd w:val="0"/>
        <w:snapToGrid w:val="0"/>
        <w:spacing w:before="120" w:beforeLines="50" w:line="300" w:lineRule="auto"/>
        <w:ind w:left="562" w:hanging="562" w:hangingChars="200"/>
        <w:jc w:val="both"/>
        <w:rPr>
          <w:b/>
          <w:sz w:val="28"/>
          <w:szCs w:val="21"/>
          <w:lang w:eastAsia="zh-CN"/>
        </w:rPr>
      </w:pPr>
      <w:r>
        <w:rPr>
          <w:rFonts w:eastAsia="宋体" w:cs="宋体"/>
          <w:b/>
          <w:sz w:val="28"/>
          <w:lang w:eastAsia="zh-CN"/>
        </w:rPr>
        <w:t>II.</w:t>
      </w:r>
      <w:r>
        <w:rPr>
          <w:rFonts w:eastAsia="宋体" w:cs="宋体"/>
          <w:b/>
          <w:lang w:eastAsia="zh-CN"/>
        </w:rPr>
        <w:tab/>
      </w:r>
      <w:r>
        <w:rPr>
          <w:rFonts w:eastAsia="宋体" w:cs="宋体"/>
          <w:b/>
          <w:sz w:val="28"/>
          <w:lang w:eastAsia="zh-CN"/>
        </w:rPr>
        <w:t>背景</w:t>
      </w:r>
    </w:p>
    <w:p w14:paraId="2F43A97F">
      <w:pPr>
        <w:pStyle w:val="4"/>
        <w:adjustRightInd w:val="0"/>
        <w:snapToGrid w:val="0"/>
        <w:spacing w:before="120" w:beforeLines="50" w:line="300" w:lineRule="auto"/>
        <w:jc w:val="both"/>
        <w:rPr>
          <w:sz w:val="21"/>
          <w:szCs w:val="21"/>
          <w:lang w:eastAsia="zh-CN"/>
        </w:rPr>
      </w:pPr>
      <w:r>
        <w:rPr>
          <w:rFonts w:eastAsia="宋体" w:cs="宋体"/>
          <w:sz w:val="21"/>
          <w:lang w:eastAsia="zh-CN"/>
        </w:rPr>
        <w:t>目前，一种由新型冠状病毒引</w:t>
      </w:r>
      <w:r>
        <w:rPr>
          <w:rFonts w:hint="eastAsia" w:eastAsia="宋体" w:cs="宋体"/>
          <w:sz w:val="21"/>
          <w:lang w:eastAsia="zh-CN"/>
        </w:rPr>
        <w:t>起</w:t>
      </w:r>
      <w:r>
        <w:rPr>
          <w:rFonts w:eastAsia="宋体" w:cs="宋体"/>
          <w:sz w:val="21"/>
          <w:lang w:eastAsia="zh-CN"/>
        </w:rPr>
        <w:t>了呼吸道疾病的爆发。该病毒被命名为“严重急性呼吸综合征冠状病毒2”（SARS-CoV-2），其引起的疾病被命名为“2019年新型冠状病毒肺炎”（COVID-19）。2020年1月31日，美国卫生与公众服务部发布了一份与COVID-19相关的突发公共卫生事件声明（生效日期：2020年1月27日），并动员HHS各</w:t>
      </w:r>
      <w:r>
        <w:rPr>
          <w:rFonts w:hint="eastAsia" w:eastAsia="宋体" w:cs="宋体"/>
          <w:sz w:val="21"/>
          <w:lang w:eastAsia="zh-CN"/>
        </w:rPr>
        <w:t>职能部门</w:t>
      </w:r>
      <w:r>
        <w:rPr>
          <w:rFonts w:eastAsia="宋体" w:cs="宋体"/>
          <w:sz w:val="21"/>
          <w:lang w:eastAsia="zh-CN"/>
        </w:rPr>
        <w:t>应对COVID-19。</w:t>
      </w:r>
      <w:r>
        <w:rPr>
          <w:rFonts w:eastAsia="宋体" w:cs="宋体"/>
          <w:sz w:val="21"/>
          <w:vertAlign w:val="superscript"/>
          <w:lang w:eastAsia="zh-CN"/>
        </w:rPr>
        <w:t>1</w:t>
      </w:r>
      <w:r>
        <w:rPr>
          <w:rFonts w:eastAsia="宋体" w:cs="宋体"/>
          <w:sz w:val="21"/>
          <w:lang w:eastAsia="zh-CN"/>
        </w:rPr>
        <w:t>此外，2020年3月13日</w:t>
      </w:r>
      <w:r>
        <w:rPr>
          <w:rFonts w:hint="eastAsia" w:eastAsia="宋体" w:cs="宋体"/>
          <w:sz w:val="21"/>
          <w:lang w:eastAsia="zh-CN"/>
        </w:rPr>
        <w:t>，</w:t>
      </w:r>
      <w:r>
        <w:rPr>
          <w:rFonts w:eastAsia="宋体" w:cs="宋体"/>
          <w:sz w:val="21"/>
          <w:lang w:eastAsia="zh-CN"/>
        </w:rPr>
        <w:t>总统宣布全国进入紧急状态，以应对COVID-19。</w:t>
      </w:r>
      <w:r>
        <w:rPr>
          <w:rFonts w:eastAsia="宋体" w:cs="宋体"/>
          <w:sz w:val="21"/>
          <w:vertAlign w:val="superscript"/>
          <w:lang w:eastAsia="zh-CN"/>
        </w:rPr>
        <w:t>2</w:t>
      </w:r>
    </w:p>
    <w:p w14:paraId="51CA4B05">
      <w:pPr>
        <w:pStyle w:val="4"/>
        <w:adjustRightInd w:val="0"/>
        <w:snapToGrid w:val="0"/>
        <w:spacing w:before="120" w:beforeLines="50" w:line="300" w:lineRule="auto"/>
        <w:jc w:val="both"/>
        <w:rPr>
          <w:sz w:val="21"/>
          <w:szCs w:val="21"/>
          <w:lang w:eastAsia="zh-CN"/>
        </w:rPr>
      </w:pPr>
      <w:r>
        <w:rPr>
          <w:rFonts w:eastAsia="宋体" w:cs="宋体"/>
          <w:sz w:val="21"/>
          <w:lang w:eastAsia="zh-CN"/>
        </w:rPr>
        <w:t>COVID-19</w:t>
      </w:r>
      <w:r>
        <w:rPr>
          <w:rFonts w:hint="eastAsia" w:eastAsia="宋体" w:cs="宋体"/>
          <w:sz w:val="21"/>
          <w:lang w:eastAsia="zh-CN"/>
        </w:rPr>
        <w:t>已显示出迅速</w:t>
      </w:r>
      <w:r>
        <w:rPr>
          <w:rFonts w:eastAsia="宋体" w:cs="宋体"/>
          <w:sz w:val="21"/>
          <w:lang w:eastAsia="zh-CN"/>
        </w:rPr>
        <w:t>传播的能力，对医疗保健系统造成了重大影响，并导致了社会混乱。无论对全球还是美国，COVID-19均构成巨大的潜在公共卫生威胁，包括器械制造所用的组件和材料的供应</w:t>
      </w:r>
      <w:r>
        <w:rPr>
          <w:rFonts w:hint="eastAsia" w:eastAsia="宋体" w:cs="宋体"/>
          <w:sz w:val="21"/>
          <w:lang w:eastAsia="zh-CN"/>
        </w:rPr>
        <w:t>减少</w:t>
      </w:r>
      <w:r>
        <w:rPr>
          <w:rFonts w:eastAsia="宋体" w:cs="宋体"/>
          <w:sz w:val="21"/>
          <w:lang w:eastAsia="zh-CN"/>
        </w:rPr>
        <w:t>，以及制造工厂的</w:t>
      </w:r>
      <w:r>
        <w:rPr>
          <w:rFonts w:hint="eastAsia" w:eastAsia="宋体" w:cs="宋体"/>
          <w:sz w:val="21"/>
          <w:lang w:eastAsia="zh-CN"/>
        </w:rPr>
        <w:t>暂时</w:t>
      </w:r>
      <w:r>
        <w:rPr>
          <w:rFonts w:eastAsia="宋体" w:cs="宋体"/>
          <w:sz w:val="21"/>
          <w:lang w:eastAsia="zh-CN"/>
        </w:rPr>
        <w:t>关闭。由于上述原因及其他COVID-19相关发展，许多制造商可能需要立即做出改变，例如在调整制造过程时考虑适当的社交距离、</w:t>
      </w:r>
      <w:r>
        <w:rPr>
          <w:rFonts w:hint="eastAsia" w:eastAsia="宋体" w:cs="宋体"/>
          <w:sz w:val="21"/>
          <w:lang w:eastAsia="zh-CN"/>
        </w:rPr>
        <w:t>由于</w:t>
      </w:r>
      <w:r>
        <w:rPr>
          <w:rFonts w:eastAsia="宋体" w:cs="宋体"/>
          <w:sz w:val="21"/>
          <w:lang w:eastAsia="zh-CN"/>
        </w:rPr>
        <w:t>供应链中断而调整其制造或设计，或将器械生产转移到受COVID-19影响较小的</w:t>
      </w:r>
      <w:r>
        <w:rPr>
          <w:rFonts w:hint="eastAsia" w:eastAsia="宋体" w:cs="宋体"/>
          <w:sz w:val="21"/>
          <w:lang w:eastAsia="zh-CN"/>
        </w:rPr>
        <w:t>地区</w:t>
      </w:r>
      <w:r>
        <w:rPr>
          <w:rFonts w:eastAsia="宋体" w:cs="宋体"/>
          <w:sz w:val="21"/>
          <w:lang w:eastAsia="zh-CN"/>
        </w:rPr>
        <w:t>。为促进COVID-19突发公共卫生事件期间医疗器械的持续可用性，FDA无意反对在突发公共卫生事件期间在未事先提交PMA或HDE补充资料或未提前30天发布通知的情况下，对通过PMA或HDE批准的器械的设计和制造进行有限修改。</w:t>
      </w:r>
    </w:p>
    <w:p w14:paraId="58ACEF82">
      <w:pPr>
        <w:pStyle w:val="4"/>
        <w:adjustRightInd w:val="0"/>
        <w:snapToGrid w:val="0"/>
        <w:spacing w:before="120" w:beforeLines="50" w:line="300" w:lineRule="auto"/>
        <w:jc w:val="both"/>
        <w:rPr>
          <w:sz w:val="21"/>
          <w:szCs w:val="21"/>
          <w:lang w:eastAsia="zh-CN"/>
        </w:rPr>
      </w:pPr>
      <w:r>
        <w:rPr>
          <w:rFonts w:eastAsia="宋体" w:cs="宋体"/>
          <w:sz w:val="21"/>
          <w:lang w:eastAsia="zh-CN"/>
        </w:rPr>
        <w:t>如下所述，该政策适用于影响通过PMA项目批准的器械的安全性或有效性的有限修改，这些修改将触发制造商根据《FD&amp;C法案》第515(d)(5)(A)节和21 CFR 814.39向FDA提交PMA补充资料或提前30天发布通知的要求。</w:t>
      </w:r>
      <w:r>
        <w:rPr>
          <w:rFonts w:eastAsia="宋体" w:cs="宋体"/>
          <w:sz w:val="21"/>
          <w:vertAlign w:val="superscript"/>
          <w:lang w:eastAsia="zh-CN"/>
        </w:rPr>
        <w:t>3</w:t>
      </w:r>
    </w:p>
    <w:p w14:paraId="7D6D2F41">
      <w:pPr>
        <w:pStyle w:val="4"/>
        <w:adjustRightInd w:val="0"/>
        <w:snapToGrid w:val="0"/>
        <w:spacing w:before="3480" w:beforeLines="1450" w:line="300" w:lineRule="auto"/>
        <w:jc w:val="both"/>
        <w:rPr>
          <w:rFonts w:eastAsiaTheme="minorEastAsia"/>
          <w:sz w:val="21"/>
          <w:szCs w:val="21"/>
          <w:lang w:eastAsia="zh-CN"/>
        </w:rPr>
      </w:pPr>
      <w:r>
        <w:rPr>
          <w:rFonts w:eastAsia="宋体" w:cs="宋体"/>
          <w:sz w:val="21"/>
          <w:lang w:eastAsia="zh-CN"/>
        </w:rPr>
        <w:t>____________________</w:t>
      </w:r>
    </w:p>
    <w:p w14:paraId="60BAD96E">
      <w:pPr>
        <w:wordWrap w:val="0"/>
        <w:adjustRightInd w:val="0"/>
        <w:snapToGrid w:val="0"/>
        <w:spacing w:before="36" w:beforeLines="15" w:line="276" w:lineRule="auto"/>
        <w:jc w:val="both"/>
        <w:rPr>
          <w:rFonts w:eastAsia="宋体" w:cs="宋体"/>
          <w:sz w:val="18"/>
          <w:lang w:eastAsia="zh-CN"/>
        </w:rPr>
      </w:pPr>
      <w:r>
        <w:rPr>
          <w:rFonts w:eastAsia="宋体" w:cs="宋体"/>
          <w:sz w:val="18"/>
          <w:vertAlign w:val="superscript"/>
          <w:lang w:eastAsia="zh-CN"/>
        </w:rPr>
        <w:t>1</w:t>
      </w:r>
      <w:r>
        <w:rPr>
          <w:rFonts w:eastAsia="宋体" w:cs="宋体"/>
          <w:sz w:val="18"/>
          <w:lang w:eastAsia="zh-CN"/>
        </w:rPr>
        <w:t xml:space="preserve"> 美国卫生与公众服务部部长Alex M Azar确定发生了突发公共卫生事件。（2020年1月31日发布，2020年4月21日更新），</w:t>
      </w:r>
      <w:r>
        <w:rPr>
          <w:rFonts w:eastAsia="宋体" w:cs="宋体"/>
          <w:i/>
          <w:sz w:val="18"/>
          <w:lang w:eastAsia="zh-CN"/>
        </w:rPr>
        <w:t>可登录以下网址获取：</w:t>
      </w:r>
      <w:r>
        <w:fldChar w:fldCharType="begin"/>
      </w:r>
      <w:r>
        <w:instrText xml:space="preserve"> HYPERLINK "https://www.phe.gov/emergency/news/healthactions/phe/Pages/default.aspx" </w:instrText>
      </w:r>
      <w:r>
        <w:fldChar w:fldCharType="separate"/>
      </w:r>
      <w:r>
        <w:rPr>
          <w:rStyle w:val="10"/>
          <w:rFonts w:eastAsia="宋体" w:cs="宋体"/>
          <w:sz w:val="18"/>
          <w:lang w:eastAsia="zh-CN"/>
        </w:rPr>
        <w:t>https://www.phe.gov/emergency/news/healthactions/phe/Pages/default.aspx</w:t>
      </w:r>
      <w:r>
        <w:rPr>
          <w:rStyle w:val="10"/>
          <w:rFonts w:eastAsia="宋体" w:cs="宋体"/>
          <w:sz w:val="18"/>
          <w:lang w:eastAsia="zh-CN"/>
        </w:rPr>
        <w:fldChar w:fldCharType="end"/>
      </w:r>
      <w:r>
        <w:rPr>
          <w:rFonts w:eastAsia="宋体" w:cs="宋体"/>
          <w:sz w:val="18"/>
          <w:lang w:eastAsia="zh-CN"/>
        </w:rPr>
        <w:t>。</w:t>
      </w:r>
    </w:p>
    <w:p w14:paraId="7B3444DF">
      <w:pPr>
        <w:wordWrap w:val="0"/>
        <w:adjustRightInd w:val="0"/>
        <w:snapToGrid w:val="0"/>
        <w:spacing w:before="36" w:beforeLines="15" w:line="276" w:lineRule="auto"/>
        <w:jc w:val="both"/>
        <w:rPr>
          <w:sz w:val="18"/>
          <w:szCs w:val="21"/>
        </w:rPr>
      </w:pPr>
      <w:r>
        <w:rPr>
          <w:rFonts w:eastAsia="宋体" w:cs="宋体"/>
          <w:sz w:val="18"/>
          <w:vertAlign w:val="superscript"/>
        </w:rPr>
        <w:t>2</w:t>
      </w:r>
      <w:r>
        <w:rPr>
          <w:rFonts w:eastAsia="宋体" w:cs="宋体"/>
          <w:sz w:val="18"/>
        </w:rPr>
        <w:t xml:space="preserve"> 关于宣布新型冠状病毒肺炎（COVID-19）爆发的全国性紧急情况公告（2020年3月13日），</w:t>
      </w:r>
      <w:r>
        <w:rPr>
          <w:rFonts w:eastAsia="宋体" w:cs="宋体"/>
          <w:i/>
          <w:sz w:val="18"/>
        </w:rPr>
        <w:t>可登录以下网址获取：</w:t>
      </w:r>
      <w:r>
        <w:rPr>
          <w:rFonts w:eastAsia="宋体" w:cs="宋体"/>
          <w:color w:val="0000FF"/>
          <w:sz w:val="18"/>
          <w:u w:val="single"/>
        </w:rPr>
        <w:t>https://www.whitehouse.gov/presidential-actions/proclamation-declaring-national-emergency-concerning-novel-coronavirus-disease-covid-19-outbreak/</w:t>
      </w:r>
      <w:r>
        <w:rPr>
          <w:rFonts w:eastAsia="宋体" w:cs="宋体"/>
          <w:sz w:val="18"/>
        </w:rPr>
        <w:t>。</w:t>
      </w:r>
    </w:p>
    <w:p w14:paraId="1F431F24">
      <w:pPr>
        <w:wordWrap w:val="0"/>
        <w:adjustRightInd w:val="0"/>
        <w:snapToGrid w:val="0"/>
        <w:spacing w:before="36" w:beforeLines="15" w:line="276" w:lineRule="auto"/>
        <w:jc w:val="both"/>
        <w:rPr>
          <w:b/>
          <w:sz w:val="21"/>
          <w:szCs w:val="21"/>
        </w:rPr>
      </w:pPr>
      <w:r>
        <w:rPr>
          <w:rFonts w:eastAsia="宋体" w:cs="宋体"/>
          <w:sz w:val="18"/>
          <w:vertAlign w:val="superscript"/>
        </w:rPr>
        <w:t>3</w:t>
      </w:r>
      <w:r>
        <w:rPr>
          <w:rFonts w:eastAsia="宋体" w:cs="宋体"/>
          <w:sz w:val="18"/>
        </w:rPr>
        <w:t xml:space="preserve"> FDA对《FD&amp;C法案》该节的解释参见指南文件《对需要获得上市前批准（PMA）的器械的修改-PMA补充资料决策过程》，</w:t>
      </w:r>
      <w:r>
        <w:rPr>
          <w:rFonts w:eastAsia="宋体" w:cs="宋体"/>
          <w:i/>
          <w:sz w:val="18"/>
        </w:rPr>
        <w:t>可登录以下网址获取：</w:t>
      </w:r>
      <w:r>
        <w:rPr>
          <w:rFonts w:eastAsia="宋体" w:cs="宋体"/>
          <w:color w:val="0000FF"/>
          <w:sz w:val="18"/>
          <w:u w:val="single"/>
        </w:rPr>
        <w:t>https://www.fda.gov/regulatory-information/search-fda-guidance-documents/modifications-devices-subject-premarket-approval-pma-pma-supplement-decision-making-process</w:t>
      </w:r>
      <w:r>
        <w:rPr>
          <w:rFonts w:eastAsia="宋体" w:cs="宋体"/>
          <w:sz w:val="18"/>
        </w:rPr>
        <w:t>，以及指南文件《针对制造方法或过程变更提交的30天通知、135天上市前批准（PMA）补充资料和75天人道主义器械豁免（HDE）补充资料》，</w:t>
      </w:r>
      <w:r>
        <w:rPr>
          <w:rFonts w:eastAsia="宋体" w:cs="宋体"/>
          <w:i/>
          <w:sz w:val="18"/>
        </w:rPr>
        <w:t>可登录以下网址获取：</w:t>
      </w:r>
      <w:r>
        <w:rPr>
          <w:rFonts w:eastAsia="宋体" w:cs="宋体"/>
          <w:color w:val="0000FF"/>
          <w:sz w:val="18"/>
          <w:u w:val="single"/>
        </w:rPr>
        <w:t>https://www.fda.gov/regulatory-information/search-fda-guidance-documents/humanitarian-device-exemption-hde-program</w:t>
      </w:r>
      <w:r>
        <w:rPr>
          <w:rFonts w:eastAsia="宋体" w:cs="宋体"/>
          <w:sz w:val="18"/>
        </w:rPr>
        <w:t>。</w:t>
      </w:r>
      <w:r>
        <w:rPr>
          <w:rFonts w:eastAsia="宋体" w:cs="宋体"/>
          <w:b/>
          <w:sz w:val="21"/>
        </w:rPr>
        <w:br w:type="page"/>
      </w:r>
    </w:p>
    <w:p w14:paraId="6D0E72EE">
      <w:pPr>
        <w:pStyle w:val="4"/>
        <w:adjustRightInd w:val="0"/>
        <w:snapToGrid w:val="0"/>
        <w:spacing w:before="120" w:beforeLines="50" w:line="300" w:lineRule="auto"/>
        <w:jc w:val="both"/>
        <w:rPr>
          <w:sz w:val="21"/>
          <w:szCs w:val="21"/>
        </w:rPr>
      </w:pPr>
      <w:r>
        <w:rPr>
          <w:rFonts w:eastAsia="宋体" w:cs="宋体"/>
          <w:sz w:val="21"/>
          <w:lang w:eastAsia="zh-CN"/>
        </w:rPr>
        <w:t>该政策也适用于影响通过HDE项目批准的器械的安全性或可能受益的有限修改，这些修改将触发制造商根据21 CFR 814.108向FDA提交HDE补充资料或提前30天发布通知的要求。</w:t>
      </w:r>
      <w:r>
        <w:rPr>
          <w:rFonts w:eastAsia="宋体" w:cs="宋体"/>
          <w:sz w:val="21"/>
          <w:vertAlign w:val="superscript"/>
        </w:rPr>
        <w:t>4</w:t>
      </w:r>
    </w:p>
    <w:p w14:paraId="5E5BFFE8">
      <w:pPr>
        <w:pStyle w:val="4"/>
        <w:adjustRightInd w:val="0"/>
        <w:snapToGrid w:val="0"/>
        <w:spacing w:before="120" w:beforeLines="50" w:line="300" w:lineRule="auto"/>
        <w:jc w:val="both"/>
        <w:rPr>
          <w:sz w:val="21"/>
          <w:szCs w:val="21"/>
        </w:rPr>
      </w:pPr>
      <w:r>
        <w:rPr>
          <w:rFonts w:eastAsia="宋体" w:cs="宋体"/>
          <w:sz w:val="21"/>
        </w:rPr>
        <w:t>此类修改类型的示例包括但不限于：</w:t>
      </w:r>
    </w:p>
    <w:p w14:paraId="0A755368">
      <w:pPr>
        <w:pStyle w:val="12"/>
        <w:numPr>
          <w:ilvl w:val="0"/>
          <w:numId w:val="1"/>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为解决供应链中断导致的组件不可用问题而进行的设计和制造变更</w:t>
      </w:r>
    </w:p>
    <w:p w14:paraId="520D7461">
      <w:pPr>
        <w:pStyle w:val="12"/>
        <w:numPr>
          <w:ilvl w:val="0"/>
          <w:numId w:val="1"/>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为使企业能够维持运营并适应社交距离规范而进行的制造变更</w:t>
      </w:r>
    </w:p>
    <w:p w14:paraId="69367E89">
      <w:pPr>
        <w:pStyle w:val="12"/>
        <w:numPr>
          <w:ilvl w:val="0"/>
          <w:numId w:val="1"/>
        </w:numPr>
        <w:adjustRightInd w:val="0"/>
        <w:snapToGrid w:val="0"/>
        <w:spacing w:before="120" w:beforeLines="50" w:line="300" w:lineRule="auto"/>
        <w:ind w:left="860" w:leftChars="200" w:hangingChars="200"/>
        <w:jc w:val="both"/>
        <w:rPr>
          <w:sz w:val="21"/>
          <w:szCs w:val="21"/>
        </w:rPr>
      </w:pPr>
      <w:r>
        <w:rPr>
          <w:rFonts w:eastAsia="宋体" w:cs="宋体"/>
          <w:sz w:val="21"/>
        </w:rPr>
        <w:t>制造工厂或企业的变更</w:t>
      </w:r>
    </w:p>
    <w:p w14:paraId="6AA12AAE">
      <w:pPr>
        <w:pStyle w:val="12"/>
        <w:numPr>
          <w:ilvl w:val="0"/>
          <w:numId w:val="1"/>
        </w:numPr>
        <w:adjustRightInd w:val="0"/>
        <w:snapToGrid w:val="0"/>
        <w:spacing w:before="120" w:beforeLines="50" w:line="300" w:lineRule="auto"/>
        <w:ind w:left="860" w:leftChars="200" w:hangingChars="200"/>
        <w:jc w:val="both"/>
        <w:rPr>
          <w:sz w:val="21"/>
          <w:szCs w:val="21"/>
        </w:rPr>
      </w:pPr>
      <w:r>
        <w:rPr>
          <w:rFonts w:eastAsia="宋体" w:cs="宋体"/>
          <w:sz w:val="21"/>
        </w:rPr>
        <w:t>包装程序的变更</w:t>
      </w:r>
    </w:p>
    <w:p w14:paraId="43EF380B">
      <w:pPr>
        <w:pStyle w:val="4"/>
        <w:adjustRightInd w:val="0"/>
        <w:snapToGrid w:val="0"/>
        <w:spacing w:before="120" w:beforeLines="50" w:line="300" w:lineRule="auto"/>
        <w:jc w:val="both"/>
        <w:rPr>
          <w:sz w:val="21"/>
          <w:szCs w:val="21"/>
          <w:lang w:eastAsia="zh-CN"/>
        </w:rPr>
      </w:pPr>
      <w:r>
        <w:rPr>
          <w:rFonts w:eastAsia="宋体" w:cs="宋体"/>
          <w:sz w:val="21"/>
          <w:lang w:eastAsia="zh-CN"/>
        </w:rPr>
        <w:t>FDA认为该政策可能有助于解决当前由COVID-19中断导致的制造限制或供应链问题，例如在可能配有不同制造设备的替代站点增加生产线或制造点，以提高产能和供应和/或减少供应链中断和制造瓶颈。本指南中规定的政策不适用于出于除了解决COVID-19突发公共卫生事件引起的制造限制或供应链问题以外的其他原因而进行的设计或制造变更，也不适用于FDA已收到的监管申请中描述的任何拟议变更。</w:t>
      </w:r>
    </w:p>
    <w:p w14:paraId="4B45C7E0">
      <w:pPr>
        <w:pStyle w:val="4"/>
        <w:adjustRightInd w:val="0"/>
        <w:snapToGrid w:val="0"/>
        <w:spacing w:before="120" w:beforeLines="50" w:line="300" w:lineRule="auto"/>
        <w:ind w:left="562" w:hanging="562" w:hangingChars="200"/>
        <w:jc w:val="both"/>
        <w:rPr>
          <w:b/>
          <w:sz w:val="28"/>
          <w:szCs w:val="21"/>
          <w:lang w:eastAsia="zh-CN"/>
        </w:rPr>
      </w:pPr>
      <w:r>
        <w:rPr>
          <w:rFonts w:eastAsia="宋体" w:cs="宋体"/>
          <w:b/>
          <w:sz w:val="28"/>
          <w:lang w:eastAsia="zh-CN"/>
        </w:rPr>
        <w:t>III.</w:t>
      </w:r>
      <w:r>
        <w:rPr>
          <w:rFonts w:eastAsia="宋体" w:cs="宋体"/>
          <w:b/>
          <w:lang w:eastAsia="zh-CN"/>
        </w:rPr>
        <w:tab/>
      </w:r>
      <w:r>
        <w:rPr>
          <w:rFonts w:eastAsia="宋体" w:cs="宋体"/>
          <w:b/>
          <w:sz w:val="28"/>
          <w:lang w:eastAsia="zh-CN"/>
        </w:rPr>
        <w:t>讨论</w:t>
      </w:r>
    </w:p>
    <w:p w14:paraId="4F11B9F6">
      <w:pPr>
        <w:pStyle w:val="4"/>
        <w:adjustRightInd w:val="0"/>
        <w:snapToGrid w:val="0"/>
        <w:spacing w:before="120" w:beforeLines="50" w:line="300" w:lineRule="auto"/>
        <w:jc w:val="both"/>
        <w:rPr>
          <w:sz w:val="21"/>
          <w:szCs w:val="21"/>
          <w:lang w:eastAsia="zh-CN"/>
        </w:rPr>
      </w:pPr>
      <w:r>
        <w:rPr>
          <w:rFonts w:eastAsia="宋体" w:cs="宋体"/>
          <w:sz w:val="21"/>
          <w:lang w:eastAsia="zh-CN"/>
        </w:rPr>
        <w:t>制定该政策时，FDA旨在促进COVID-19突发公共卫生事件期间医疗器械的持续可用性，同时灵活处理需要由FDA根据PMA/HDE补充资料或提前30天发布的通知予以审查的器械进行的有限修改。</w:t>
      </w:r>
    </w:p>
    <w:p w14:paraId="7617E72F">
      <w:pPr>
        <w:pStyle w:val="4"/>
        <w:adjustRightInd w:val="0"/>
        <w:snapToGrid w:val="0"/>
        <w:spacing w:before="120" w:beforeLines="50" w:line="300" w:lineRule="auto"/>
        <w:jc w:val="both"/>
        <w:rPr>
          <w:sz w:val="21"/>
          <w:szCs w:val="21"/>
          <w:lang w:eastAsia="zh-CN"/>
        </w:rPr>
      </w:pPr>
      <w:r>
        <w:rPr>
          <w:rFonts w:eastAsia="宋体" w:cs="宋体"/>
          <w:sz w:val="21"/>
          <w:lang w:eastAsia="zh-CN"/>
        </w:rPr>
        <w:t>因此，在突发公共卫生事件期间，FDA无意反对在未事先提交所需PMA或HDE补充资料或未提前30天发布通知的情况下，对通过PMA项目或HDE项目批准的器械的制造进行有限修改，</w:t>
      </w:r>
      <w:r>
        <w:rPr>
          <w:rFonts w:eastAsia="宋体" w:cs="宋体"/>
          <w:sz w:val="21"/>
          <w:vertAlign w:val="superscript"/>
          <w:lang w:eastAsia="zh-CN"/>
        </w:rPr>
        <w:t xml:space="preserve">4 </w:t>
      </w:r>
      <w:r>
        <w:rPr>
          <w:rFonts w:eastAsia="宋体" w:cs="宋体"/>
          <w:sz w:val="21"/>
          <w:lang w:eastAsia="zh-CN"/>
        </w:rPr>
        <w:t>就突发公共卫生事件而言，修改不会造成不当风险，其可以解决当前由COVID-19相关中断导致的制造限制或供应链问题。该政策也适用于为解决当前由COVID-19导致的制造限制或供应链问题，从而导致器械的性能或设计质量标准、电路、组件、成分或物理布局发生变化而进行的有限修改，这些修改将触发提交180天或实时PMA补充资料</w:t>
      </w:r>
      <w:r>
        <w:rPr>
          <w:rFonts w:eastAsia="宋体" w:cs="宋体"/>
          <w:sz w:val="21"/>
          <w:vertAlign w:val="superscript"/>
          <w:lang w:eastAsia="zh-CN"/>
        </w:rPr>
        <w:t>5</w:t>
      </w:r>
      <w:r>
        <w:rPr>
          <w:rFonts w:eastAsia="宋体" w:cs="宋体"/>
          <w:sz w:val="21"/>
          <w:lang w:eastAsia="zh-CN"/>
        </w:rPr>
        <w:t>或75天HDE补充资料的要求。</w:t>
      </w:r>
    </w:p>
    <w:p w14:paraId="0E0CE798">
      <w:pPr>
        <w:pStyle w:val="4"/>
        <w:adjustRightInd w:val="0"/>
        <w:snapToGrid w:val="0"/>
        <w:spacing w:before="120" w:beforeLines="50" w:line="300" w:lineRule="auto"/>
        <w:jc w:val="both"/>
        <w:rPr>
          <w:sz w:val="21"/>
          <w:szCs w:val="21"/>
          <w:lang w:eastAsia="zh-CN"/>
        </w:rPr>
      </w:pPr>
      <w:r>
        <w:rPr>
          <w:rFonts w:eastAsia="宋体" w:cs="宋体"/>
          <w:sz w:val="21"/>
          <w:lang w:eastAsia="zh-CN"/>
        </w:rPr>
        <w:t>就突发公共卫生事件而言，FDA目前认为修改通常不会造成此类不当风险，但可能需要解决当前由COVID-19相关中断导致的制造限制或供应链问题的情况包括但不限于以下示例：</w:t>
      </w:r>
    </w:p>
    <w:p w14:paraId="201D6CE4">
      <w:pPr>
        <w:pStyle w:val="4"/>
        <w:adjustRightInd w:val="0"/>
        <w:snapToGrid w:val="0"/>
        <w:spacing w:before="3000" w:beforeLines="1250" w:line="300" w:lineRule="auto"/>
        <w:jc w:val="both"/>
        <w:rPr>
          <w:rFonts w:eastAsiaTheme="minorEastAsia"/>
          <w:sz w:val="21"/>
          <w:szCs w:val="21"/>
          <w:lang w:eastAsia="zh-CN"/>
        </w:rPr>
      </w:pPr>
      <w:r>
        <w:rPr>
          <w:rFonts w:eastAsia="宋体" w:cs="宋体"/>
          <w:sz w:val="21"/>
        </w:rPr>
        <w:t>____________________</w:t>
      </w:r>
    </w:p>
    <w:p w14:paraId="23E722EC">
      <w:pPr>
        <w:adjustRightInd w:val="0"/>
        <w:snapToGrid w:val="0"/>
        <w:spacing w:before="36" w:beforeLines="15" w:line="276" w:lineRule="auto"/>
        <w:jc w:val="both"/>
        <w:rPr>
          <w:sz w:val="18"/>
          <w:szCs w:val="21"/>
        </w:rPr>
      </w:pPr>
      <w:r>
        <w:rPr>
          <w:rFonts w:eastAsia="宋体" w:cs="宋体"/>
          <w:sz w:val="18"/>
          <w:vertAlign w:val="superscript"/>
        </w:rPr>
        <w:t>4</w:t>
      </w:r>
      <w:r>
        <w:rPr>
          <w:rFonts w:eastAsia="宋体" w:cs="宋体"/>
          <w:sz w:val="18"/>
        </w:rPr>
        <w:t xml:space="preserve"> 有关HDE补充资料的附加信息，请参见指南文件《人道主义器械豁免项目》，</w:t>
      </w:r>
      <w:r>
        <w:rPr>
          <w:rFonts w:eastAsia="宋体" w:cs="宋体"/>
          <w:i/>
          <w:sz w:val="18"/>
        </w:rPr>
        <w:t>可登录以下网址获取：</w:t>
      </w:r>
      <w:r>
        <w:rPr>
          <w:rFonts w:eastAsia="宋体" w:cs="宋体"/>
          <w:color w:val="0000FF"/>
          <w:sz w:val="18"/>
          <w:u w:val="single"/>
        </w:rPr>
        <w:t>https://www.fda.gov/regulatory-information/search-fda-guidance-documents/humanitarian-device-exemption-hde-program</w:t>
      </w:r>
      <w:r>
        <w:rPr>
          <w:rFonts w:eastAsia="宋体" w:cs="宋体"/>
          <w:sz w:val="18"/>
        </w:rPr>
        <w:t>。</w:t>
      </w:r>
    </w:p>
    <w:p w14:paraId="75338522">
      <w:pPr>
        <w:adjustRightInd w:val="0"/>
        <w:snapToGrid w:val="0"/>
        <w:spacing w:before="36" w:beforeLines="15" w:line="276" w:lineRule="auto"/>
        <w:jc w:val="both"/>
        <w:rPr>
          <w:b/>
          <w:sz w:val="21"/>
          <w:szCs w:val="21"/>
        </w:rPr>
      </w:pPr>
      <w:r>
        <w:rPr>
          <w:rFonts w:eastAsia="宋体" w:cs="宋体"/>
          <w:sz w:val="18"/>
          <w:vertAlign w:val="superscript"/>
        </w:rPr>
        <w:t>5</w:t>
      </w:r>
      <w:r>
        <w:rPr>
          <w:rFonts w:eastAsia="宋体" w:cs="宋体"/>
          <w:sz w:val="18"/>
        </w:rPr>
        <w:t xml:space="preserve"> 更多信息请参见指南《实时上市前批准（PMA）申请补充资料》指南，</w:t>
      </w:r>
      <w:r>
        <w:rPr>
          <w:rFonts w:eastAsia="宋体" w:cs="宋体"/>
          <w:i/>
          <w:sz w:val="18"/>
        </w:rPr>
        <w:t>可登录以下网址获取：</w:t>
      </w:r>
      <w:r>
        <w:rPr>
          <w:rFonts w:eastAsia="宋体" w:cs="宋体"/>
          <w:color w:val="0000FF"/>
          <w:sz w:val="18"/>
          <w:u w:val="single"/>
        </w:rPr>
        <w:t>https://www.fda.gov/regulatory-information/search-fda-guidance-documents/real-time-premarket-approval-application-pma-supplements</w:t>
      </w:r>
      <w:r>
        <w:rPr>
          <w:rFonts w:eastAsia="宋体" w:cs="宋体"/>
          <w:sz w:val="18"/>
        </w:rPr>
        <w:t>。</w:t>
      </w:r>
      <w:r>
        <w:rPr>
          <w:rFonts w:eastAsia="宋体" w:cs="宋体"/>
          <w:b/>
          <w:sz w:val="18"/>
        </w:rPr>
        <w:br w:type="page"/>
      </w:r>
    </w:p>
    <w:p w14:paraId="54875B8B">
      <w:pPr>
        <w:pStyle w:val="4"/>
        <w:adjustRightInd w:val="0"/>
        <w:snapToGrid w:val="0"/>
        <w:spacing w:before="120" w:beforeLines="50" w:line="300" w:lineRule="auto"/>
        <w:jc w:val="both"/>
        <w:rPr>
          <w:sz w:val="21"/>
          <w:szCs w:val="21"/>
          <w:lang w:eastAsia="zh-CN"/>
        </w:rPr>
      </w:pPr>
      <w:r>
        <w:rPr>
          <w:rFonts w:eastAsia="宋体" w:cs="宋体"/>
          <w:sz w:val="21"/>
          <w:lang w:eastAsia="zh-CN"/>
        </w:rPr>
        <w:t>通常需要提交PMA或HDE补充资料</w:t>
      </w:r>
      <w:r>
        <w:rPr>
          <w:rFonts w:eastAsia="宋体" w:cs="宋体"/>
          <w:sz w:val="21"/>
          <w:vertAlign w:val="superscript"/>
          <w:lang w:eastAsia="zh-CN"/>
        </w:rPr>
        <w:t>6</w:t>
      </w:r>
      <w:r>
        <w:rPr>
          <w:rFonts w:eastAsia="宋体" w:cs="宋体"/>
          <w:sz w:val="21"/>
          <w:lang w:eastAsia="zh-CN"/>
        </w:rPr>
        <w:t>的变更：</w:t>
      </w:r>
    </w:p>
    <w:p w14:paraId="67CFB671">
      <w:pPr>
        <w:pStyle w:val="12"/>
        <w:numPr>
          <w:ilvl w:val="0"/>
          <w:numId w:val="2"/>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由于COVID-19导致组件供应中断而进行的组件变更，以及为适应此类不影响器械性能的组件变更而进行的任何必要的软件或固件修改</w:t>
      </w:r>
    </w:p>
    <w:p w14:paraId="2696E9D0">
      <w:pPr>
        <w:pStyle w:val="12"/>
        <w:numPr>
          <w:ilvl w:val="0"/>
          <w:numId w:val="2"/>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不影响器械性能的制造方法变更导致的器械材料变更</w:t>
      </w:r>
    </w:p>
    <w:p w14:paraId="0694A576">
      <w:pPr>
        <w:pStyle w:val="4"/>
        <w:adjustRightInd w:val="0"/>
        <w:snapToGrid w:val="0"/>
        <w:spacing w:before="120" w:beforeLines="50" w:line="300" w:lineRule="auto"/>
        <w:jc w:val="both"/>
        <w:rPr>
          <w:sz w:val="21"/>
          <w:szCs w:val="21"/>
          <w:lang w:eastAsia="zh-CN"/>
        </w:rPr>
      </w:pPr>
      <w:r>
        <w:rPr>
          <w:rFonts w:eastAsia="宋体" w:cs="宋体"/>
          <w:sz w:val="21"/>
          <w:lang w:eastAsia="zh-CN"/>
        </w:rPr>
        <w:t>通常需要提交PMA或HDE补充资料或提前30天发布通知</w:t>
      </w:r>
      <w:r>
        <w:rPr>
          <w:rFonts w:eastAsia="宋体" w:cs="宋体"/>
          <w:sz w:val="21"/>
          <w:vertAlign w:val="superscript"/>
          <w:lang w:eastAsia="zh-CN"/>
        </w:rPr>
        <w:t>7</w:t>
      </w:r>
      <w:r>
        <w:rPr>
          <w:rFonts w:eastAsia="宋体" w:cs="宋体"/>
          <w:sz w:val="21"/>
          <w:lang w:eastAsia="zh-CN"/>
        </w:rPr>
        <w:t>的变更：</w:t>
      </w:r>
    </w:p>
    <w:p w14:paraId="0F9C4BA1">
      <w:pPr>
        <w:pStyle w:val="12"/>
        <w:numPr>
          <w:ilvl w:val="0"/>
          <w:numId w:val="3"/>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为在质量标准不变的情况下保持制造的连续性而进行的供应商变更</w:t>
      </w:r>
    </w:p>
    <w:p w14:paraId="7A0E15F5">
      <w:pPr>
        <w:pStyle w:val="12"/>
        <w:numPr>
          <w:ilvl w:val="0"/>
          <w:numId w:val="3"/>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为使过程能够在同一工厂内以与先前获批的过程相同的方式执行而进行的设备变更</w:t>
      </w:r>
    </w:p>
    <w:p w14:paraId="096D5A3C">
      <w:pPr>
        <w:pStyle w:val="12"/>
        <w:numPr>
          <w:ilvl w:val="0"/>
          <w:numId w:val="3"/>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为适应社交距离而进行的变更，例如修改制造流程，以促进员工/操作员执行社会距离规范</w:t>
      </w:r>
    </w:p>
    <w:p w14:paraId="432B5795">
      <w:pPr>
        <w:pStyle w:val="12"/>
        <w:numPr>
          <w:ilvl w:val="0"/>
          <w:numId w:val="3"/>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经过充分验证的现有过程的自动化</w:t>
      </w:r>
    </w:p>
    <w:p w14:paraId="70CBDA46">
      <w:pPr>
        <w:pStyle w:val="12"/>
        <w:numPr>
          <w:ilvl w:val="0"/>
          <w:numId w:val="3"/>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某些过程的自动化，如包装和贴标过程，以适应社交距离</w:t>
      </w:r>
    </w:p>
    <w:p w14:paraId="5781A5E4">
      <w:pPr>
        <w:pStyle w:val="12"/>
        <w:numPr>
          <w:ilvl w:val="0"/>
          <w:numId w:val="3"/>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增加生产线，以提高作为原始PMA或HDE申请或补充资料的一部分进行批准的现有工厂的产能</w:t>
      </w:r>
    </w:p>
    <w:p w14:paraId="23C5FC6A">
      <w:pPr>
        <w:pStyle w:val="4"/>
        <w:adjustRightInd w:val="0"/>
        <w:snapToGrid w:val="0"/>
        <w:spacing w:before="120" w:beforeLines="50" w:line="300" w:lineRule="auto"/>
        <w:jc w:val="both"/>
        <w:rPr>
          <w:sz w:val="21"/>
          <w:szCs w:val="21"/>
          <w:lang w:eastAsia="zh-CN"/>
        </w:rPr>
      </w:pPr>
      <w:r>
        <w:rPr>
          <w:rFonts w:eastAsia="宋体" w:cs="宋体"/>
          <w:sz w:val="21"/>
          <w:lang w:eastAsia="zh-CN"/>
        </w:rPr>
        <w:t>通常需要提交PMA或HDE站点变更补充资料</w:t>
      </w:r>
      <w:r>
        <w:rPr>
          <w:rFonts w:eastAsia="宋体" w:cs="宋体"/>
          <w:sz w:val="21"/>
          <w:vertAlign w:val="superscript"/>
          <w:lang w:eastAsia="zh-CN"/>
        </w:rPr>
        <w:t>8</w:t>
      </w:r>
      <w:r>
        <w:rPr>
          <w:rFonts w:eastAsia="宋体" w:cs="宋体"/>
          <w:sz w:val="21"/>
          <w:lang w:eastAsia="zh-CN"/>
        </w:rPr>
        <w:t>的变更：</w:t>
      </w:r>
    </w:p>
    <w:p w14:paraId="7D712726">
      <w:pPr>
        <w:pStyle w:val="12"/>
        <w:numPr>
          <w:ilvl w:val="0"/>
          <w:numId w:val="3"/>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将制造工厂或企业变更为符合既定药品生产质量管理规范（即符合CFR第21篇第820部分）的替代站点，或在突发公共卫生事件期间，变更为获得ISO 13485认证的替代站点。</w:t>
      </w:r>
    </w:p>
    <w:p w14:paraId="78F7E94B">
      <w:pPr>
        <w:pStyle w:val="4"/>
        <w:adjustRightInd w:val="0"/>
        <w:snapToGrid w:val="0"/>
        <w:spacing w:before="120" w:beforeLines="50" w:line="300" w:lineRule="auto"/>
        <w:jc w:val="both"/>
        <w:rPr>
          <w:sz w:val="21"/>
          <w:szCs w:val="21"/>
          <w:lang w:eastAsia="zh-CN"/>
        </w:rPr>
      </w:pPr>
      <w:r>
        <w:rPr>
          <w:rFonts w:eastAsia="宋体" w:cs="宋体"/>
          <w:sz w:val="21"/>
          <w:lang w:eastAsia="zh-CN"/>
        </w:rPr>
        <w:t>FDA目前认为修改将造成此类不当风险的情况包括但不限于：</w:t>
      </w:r>
    </w:p>
    <w:p w14:paraId="59BDD243">
      <w:pPr>
        <w:pStyle w:val="12"/>
        <w:numPr>
          <w:ilvl w:val="0"/>
          <w:numId w:val="4"/>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器械预期用途的变更，包括器械的新适用范围</w:t>
      </w:r>
    </w:p>
    <w:p w14:paraId="62384375">
      <w:pPr>
        <w:pStyle w:val="12"/>
        <w:numPr>
          <w:ilvl w:val="0"/>
          <w:numId w:val="4"/>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在突发公共卫生事件期间，器械标签的变更超出针对特定器械的其他政策中所述的建议范围</w:t>
      </w:r>
      <w:r>
        <w:rPr>
          <w:rFonts w:eastAsia="宋体" w:cs="宋体"/>
          <w:sz w:val="21"/>
          <w:vertAlign w:val="superscript"/>
          <w:lang w:eastAsia="zh-CN"/>
        </w:rPr>
        <w:t>9</w:t>
      </w:r>
    </w:p>
    <w:p w14:paraId="2380C7A8">
      <w:pPr>
        <w:pStyle w:val="12"/>
        <w:numPr>
          <w:ilvl w:val="0"/>
          <w:numId w:val="4"/>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无菌保证水平（SAL）或灭菌方法的变更</w:t>
      </w:r>
    </w:p>
    <w:p w14:paraId="1E783DF1">
      <w:pPr>
        <w:pStyle w:val="12"/>
        <w:numPr>
          <w:ilvl w:val="0"/>
          <w:numId w:val="4"/>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为减少或消除质量控制测试而进行的变更</w:t>
      </w:r>
    </w:p>
    <w:p w14:paraId="05ED0C17">
      <w:pPr>
        <w:pStyle w:val="12"/>
        <w:numPr>
          <w:ilvl w:val="0"/>
          <w:numId w:val="4"/>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未经充分验证的制造过程的自动化</w:t>
      </w:r>
    </w:p>
    <w:p w14:paraId="71F5710B">
      <w:pPr>
        <w:pStyle w:val="12"/>
        <w:numPr>
          <w:ilvl w:val="0"/>
          <w:numId w:val="4"/>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影响器械性能，但不是由组件不可用引起的变更</w:t>
      </w:r>
    </w:p>
    <w:p w14:paraId="6FFEB704">
      <w:pPr>
        <w:pStyle w:val="4"/>
        <w:adjustRightInd w:val="0"/>
        <w:snapToGrid w:val="0"/>
        <w:spacing w:before="120" w:beforeLines="50" w:line="300" w:lineRule="auto"/>
        <w:jc w:val="both"/>
        <w:rPr>
          <w:sz w:val="21"/>
          <w:szCs w:val="21"/>
          <w:lang w:eastAsia="zh-CN"/>
        </w:rPr>
      </w:pPr>
      <w:r>
        <w:rPr>
          <w:rFonts w:eastAsia="宋体" w:cs="宋体"/>
          <w:sz w:val="21"/>
          <w:lang w:eastAsia="zh-CN"/>
        </w:rPr>
        <w:t>制造和设计变更必须根据CFR第21篇第820部分实施。</w:t>
      </w:r>
    </w:p>
    <w:p w14:paraId="19C016C2">
      <w:pPr>
        <w:pStyle w:val="4"/>
        <w:adjustRightInd w:val="0"/>
        <w:snapToGrid w:val="0"/>
        <w:spacing w:before="600" w:beforeLines="250" w:line="300" w:lineRule="auto"/>
        <w:jc w:val="both"/>
        <w:rPr>
          <w:rFonts w:eastAsiaTheme="minorEastAsia"/>
          <w:sz w:val="21"/>
          <w:szCs w:val="21"/>
          <w:lang w:eastAsia="zh-CN"/>
        </w:rPr>
      </w:pPr>
      <w:r>
        <w:rPr>
          <w:rFonts w:eastAsia="宋体" w:cs="宋体"/>
          <w:sz w:val="21"/>
        </w:rPr>
        <w:t>____________________</w:t>
      </w:r>
    </w:p>
    <w:p w14:paraId="7935BF27">
      <w:pPr>
        <w:adjustRightInd w:val="0"/>
        <w:snapToGrid w:val="0"/>
        <w:spacing w:before="36" w:beforeLines="15" w:line="276" w:lineRule="auto"/>
        <w:jc w:val="both"/>
        <w:rPr>
          <w:sz w:val="18"/>
          <w:szCs w:val="21"/>
        </w:rPr>
      </w:pPr>
      <w:r>
        <w:rPr>
          <w:rFonts w:eastAsia="宋体" w:cs="宋体"/>
          <w:sz w:val="18"/>
          <w:vertAlign w:val="superscript"/>
        </w:rPr>
        <w:t>6</w:t>
      </w:r>
      <w:r>
        <w:rPr>
          <w:rFonts w:eastAsia="宋体" w:cs="宋体"/>
          <w:sz w:val="18"/>
        </w:rPr>
        <w:t xml:space="preserve"> 参见21 CFR 814.39(a)。</w:t>
      </w:r>
    </w:p>
    <w:p w14:paraId="1DF34197">
      <w:pPr>
        <w:adjustRightInd w:val="0"/>
        <w:snapToGrid w:val="0"/>
        <w:spacing w:before="36" w:beforeLines="15" w:line="276" w:lineRule="auto"/>
        <w:jc w:val="both"/>
        <w:rPr>
          <w:sz w:val="18"/>
          <w:szCs w:val="21"/>
        </w:rPr>
      </w:pPr>
      <w:r>
        <w:rPr>
          <w:rFonts w:eastAsia="宋体" w:cs="宋体"/>
          <w:sz w:val="18"/>
          <w:vertAlign w:val="superscript"/>
        </w:rPr>
        <w:t>7</w:t>
      </w:r>
      <w:r>
        <w:rPr>
          <w:rFonts w:eastAsia="宋体" w:cs="宋体"/>
          <w:sz w:val="18"/>
        </w:rPr>
        <w:t xml:space="preserve"> 参见21 CFR 814.39(e)、(f)。</w:t>
      </w:r>
    </w:p>
    <w:p w14:paraId="1828129A">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8</w:t>
      </w:r>
      <w:r>
        <w:rPr>
          <w:rFonts w:eastAsia="宋体" w:cs="宋体"/>
          <w:sz w:val="18"/>
          <w:lang w:eastAsia="zh-CN"/>
        </w:rPr>
        <w:t xml:space="preserve"> 参见21 CFR 814.39(c)。另请参见指南文件《制造站点变更补充资料：内容和申请》，</w:t>
      </w:r>
      <w:r>
        <w:rPr>
          <w:rFonts w:eastAsia="宋体" w:cs="宋体"/>
          <w:i/>
          <w:sz w:val="18"/>
          <w:lang w:eastAsia="zh-CN"/>
        </w:rPr>
        <w:t>可登录以下网址获取：</w:t>
      </w:r>
      <w:r>
        <w:rPr>
          <w:rFonts w:eastAsia="宋体" w:cs="宋体"/>
          <w:color w:val="0000FF"/>
          <w:sz w:val="18"/>
          <w:u w:val="single"/>
          <w:lang w:eastAsia="zh-CN"/>
        </w:rPr>
        <w:t>https://www.fda.gov/regulatory-information/search-fda-guidance-documents/manufacturing-site-change-supplements-content-and-submission</w:t>
      </w:r>
      <w:r>
        <w:rPr>
          <w:rFonts w:eastAsia="宋体" w:cs="宋体"/>
          <w:sz w:val="18"/>
          <w:lang w:eastAsia="zh-CN"/>
        </w:rPr>
        <w:t>。</w:t>
      </w:r>
    </w:p>
    <w:p w14:paraId="545E6221">
      <w:pPr>
        <w:adjustRightInd w:val="0"/>
        <w:snapToGrid w:val="0"/>
        <w:spacing w:before="36" w:beforeLines="15" w:line="276" w:lineRule="auto"/>
        <w:jc w:val="both"/>
        <w:rPr>
          <w:b/>
          <w:sz w:val="21"/>
          <w:szCs w:val="21"/>
        </w:rPr>
      </w:pPr>
      <w:r>
        <w:rPr>
          <w:rFonts w:eastAsia="宋体" w:cs="宋体"/>
          <w:sz w:val="18"/>
          <w:vertAlign w:val="superscript"/>
        </w:rPr>
        <w:t>9</w:t>
      </w:r>
      <w:r>
        <w:rPr>
          <w:rFonts w:eastAsia="宋体" w:cs="宋体"/>
          <w:sz w:val="18"/>
        </w:rPr>
        <w:t xml:space="preserve"> 更多信息请参见标题为“面向行业、美国食品药品</w:t>
      </w:r>
      <w:r>
        <w:rPr>
          <w:rFonts w:hint="eastAsia" w:eastAsia="宋体" w:cs="宋体"/>
          <w:sz w:val="18"/>
          <w:lang w:eastAsia="zh-CN"/>
        </w:rPr>
        <w:t>监督</w:t>
      </w:r>
      <w:r>
        <w:rPr>
          <w:rFonts w:eastAsia="宋体" w:cs="宋体"/>
          <w:sz w:val="18"/>
        </w:rPr>
        <w:t>管理局工作人员及其他利益相关方的COVID-19相关指南文件”的网页，</w:t>
      </w:r>
      <w:r>
        <w:rPr>
          <w:rFonts w:eastAsia="宋体" w:cs="宋体"/>
          <w:i/>
          <w:sz w:val="18"/>
        </w:rPr>
        <w:t>网址为：</w:t>
      </w:r>
      <w:r>
        <w:rPr>
          <w:rFonts w:eastAsia="宋体" w:cs="宋体"/>
          <w:color w:val="0000FF"/>
          <w:sz w:val="18"/>
          <w:u w:val="single"/>
        </w:rPr>
        <w:t>https://www.fda.gov/emergency-preparedness-and-response/coronavirus-disease-2019-covid-19/covid-19-related-guidance-documents-industry-fda-staff-and-other-stakeholders</w:t>
      </w:r>
      <w:r>
        <w:rPr>
          <w:rFonts w:eastAsia="宋体" w:cs="宋体"/>
          <w:sz w:val="18"/>
        </w:rPr>
        <w:t>。</w:t>
      </w:r>
      <w:r>
        <w:rPr>
          <w:rFonts w:eastAsia="宋体" w:cs="宋体"/>
          <w:b/>
          <w:sz w:val="21"/>
        </w:rPr>
        <w:br w:type="page"/>
      </w:r>
    </w:p>
    <w:p w14:paraId="43E77111">
      <w:pPr>
        <w:pStyle w:val="4"/>
        <w:adjustRightInd w:val="0"/>
        <w:snapToGrid w:val="0"/>
        <w:spacing w:before="120" w:beforeLines="50" w:line="300" w:lineRule="auto"/>
        <w:jc w:val="both"/>
        <w:rPr>
          <w:sz w:val="21"/>
          <w:szCs w:val="21"/>
        </w:rPr>
      </w:pPr>
      <w:r>
        <w:rPr>
          <w:rFonts w:eastAsia="宋体" w:cs="宋体"/>
          <w:sz w:val="21"/>
          <w:lang w:eastAsia="zh-CN"/>
        </w:rPr>
        <w:t>制造商必须在其器械主记录和变更控制记录中记录器械的任何变更，并在必要时根据21 CFR 820.30和820.180的要求向FDA提供该信息。组件变更必须根据CFR第21篇第820部分予以记录。</w:t>
      </w:r>
      <w:r>
        <w:rPr>
          <w:rFonts w:eastAsia="宋体" w:cs="宋体"/>
          <w:sz w:val="21"/>
        </w:rPr>
        <w:t>此类记录可能包括（取决于具体变更）：</w:t>
      </w:r>
    </w:p>
    <w:p w14:paraId="20E9744A">
      <w:pPr>
        <w:pStyle w:val="12"/>
        <w:numPr>
          <w:ilvl w:val="1"/>
          <w:numId w:val="5"/>
        </w:numPr>
        <w:adjustRightInd w:val="0"/>
        <w:snapToGrid w:val="0"/>
        <w:spacing w:before="120" w:beforeLines="50" w:line="300" w:lineRule="auto"/>
        <w:ind w:left="860" w:leftChars="200" w:hangingChars="200"/>
        <w:jc w:val="both"/>
        <w:rPr>
          <w:sz w:val="21"/>
          <w:szCs w:val="21"/>
        </w:rPr>
      </w:pPr>
      <w:r>
        <w:rPr>
          <w:rFonts w:eastAsia="宋体" w:cs="宋体"/>
          <w:sz w:val="21"/>
        </w:rPr>
        <w:t>组件符合的适用标准</w:t>
      </w:r>
    </w:p>
    <w:p w14:paraId="371F0FED">
      <w:pPr>
        <w:pStyle w:val="12"/>
        <w:numPr>
          <w:ilvl w:val="1"/>
          <w:numId w:val="5"/>
        </w:numPr>
        <w:adjustRightInd w:val="0"/>
        <w:snapToGrid w:val="0"/>
        <w:spacing w:before="120" w:beforeLines="50" w:line="300" w:lineRule="auto"/>
        <w:ind w:left="860" w:leftChars="200" w:hangingChars="200"/>
        <w:jc w:val="both"/>
        <w:rPr>
          <w:sz w:val="21"/>
          <w:szCs w:val="21"/>
        </w:rPr>
      </w:pPr>
      <w:r>
        <w:rPr>
          <w:rFonts w:eastAsia="宋体" w:cs="宋体"/>
          <w:sz w:val="21"/>
        </w:rPr>
        <w:t>软件/固件验证和确认</w:t>
      </w:r>
    </w:p>
    <w:p w14:paraId="3DB2D728">
      <w:pPr>
        <w:pStyle w:val="12"/>
        <w:numPr>
          <w:ilvl w:val="1"/>
          <w:numId w:val="5"/>
        </w:numPr>
        <w:adjustRightInd w:val="0"/>
        <w:snapToGrid w:val="0"/>
        <w:spacing w:before="120" w:beforeLines="50" w:line="300" w:lineRule="auto"/>
        <w:ind w:left="860" w:leftChars="200" w:hangingChars="200"/>
        <w:jc w:val="both"/>
        <w:rPr>
          <w:sz w:val="21"/>
          <w:szCs w:val="21"/>
        </w:rPr>
      </w:pPr>
      <w:r>
        <w:rPr>
          <w:rFonts w:eastAsia="宋体" w:cs="宋体"/>
          <w:sz w:val="21"/>
        </w:rPr>
        <w:t>功能测试</w:t>
      </w:r>
    </w:p>
    <w:p w14:paraId="10F4EE21">
      <w:pPr>
        <w:pStyle w:val="12"/>
        <w:numPr>
          <w:ilvl w:val="1"/>
          <w:numId w:val="5"/>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机械试验（例如跌落、振动）</w:t>
      </w:r>
    </w:p>
    <w:p w14:paraId="1F601E3D">
      <w:pPr>
        <w:pStyle w:val="12"/>
        <w:numPr>
          <w:ilvl w:val="1"/>
          <w:numId w:val="5"/>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温度试验（例如最低贮存温度、最高贮存温度、运输温度）</w:t>
      </w:r>
    </w:p>
    <w:p w14:paraId="4574D11E">
      <w:pPr>
        <w:pStyle w:val="4"/>
        <w:adjustRightInd w:val="0"/>
        <w:snapToGrid w:val="0"/>
        <w:spacing w:before="120" w:beforeLines="50" w:line="300" w:lineRule="auto"/>
        <w:jc w:val="both"/>
        <w:rPr>
          <w:sz w:val="21"/>
          <w:szCs w:val="21"/>
          <w:lang w:eastAsia="zh-CN"/>
        </w:rPr>
      </w:pPr>
      <w:r>
        <w:rPr>
          <w:rFonts w:eastAsia="宋体" w:cs="宋体"/>
          <w:sz w:val="21"/>
          <w:lang w:eastAsia="zh-CN"/>
        </w:rPr>
        <w:t>在修改后到期的下一个周期报告中，根据器械的PMA或HDE批准令，FDA建议PMA或HDE持有人识别并描述任何此类修改。</w:t>
      </w:r>
    </w:p>
    <w:p w14:paraId="18DBFDA4">
      <w:pPr>
        <w:pStyle w:val="13"/>
        <w:jc w:val="center"/>
        <w:rPr>
          <w:rFonts w:hint="eastAsia" w:eastAsia="宋体"/>
          <w:lang w:eastAsia="zh-CN"/>
        </w:rPr>
      </w:pPr>
    </w:p>
    <w:p w14:paraId="560506B3">
      <w:pPr>
        <w:pStyle w:val="13"/>
        <w:jc w:val="center"/>
        <w:rPr>
          <w:rFonts w:hint="eastAsia" w:eastAsia="宋体"/>
          <w:lang w:eastAsia="zh-CN"/>
        </w:rPr>
      </w:pPr>
    </w:p>
    <w:p w14:paraId="1F35A04F">
      <w:pPr>
        <w:pStyle w:val="13"/>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4" w:type="default"/>
      <w:pgSz w:w="11907" w:h="16840"/>
      <w:pgMar w:top="1418" w:right="1418" w:bottom="1418" w:left="1418" w:header="720" w:footer="720" w:gutter="0"/>
      <w:pgNumType w:start="3"/>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0BB7A">
    <w:pPr>
      <w:pStyle w:val="6"/>
      <w:jc w:val="right"/>
    </w:pPr>
    <w:r>
      <w:fldChar w:fldCharType="begin"/>
    </w:r>
    <w:r>
      <w:instrText xml:space="preserve">PAGE   \* MERGEFORMAT</w:instrText>
    </w:r>
    <w:r>
      <w:fldChar w:fldCharType="separate"/>
    </w:r>
    <w:r>
      <w:rPr>
        <w:lang w:val="zh-CN" w:eastAsia="zh-CN"/>
      </w:rPr>
      <w:t>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460DE">
    <w:pPr>
      <w:adjustRightInd w:val="0"/>
      <w:snapToGrid w:val="0"/>
      <w:jc w:val="center"/>
      <w:rPr>
        <w:sz w:val="21"/>
        <w:lang w:eastAsia="zh-CN"/>
      </w:rPr>
    </w:pPr>
    <w:r>
      <w:rPr>
        <w:rFonts w:hint="eastAsia" w:eastAsia="宋体" w:cs="宋体"/>
        <w:b/>
        <w:i/>
        <w:sz w:val="21"/>
        <w:lang w:eastAsia="zh-CN"/>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B965F3"/>
    <w:multiLevelType w:val="multilevel"/>
    <w:tmpl w:val="13B965F3"/>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D505C76"/>
    <w:multiLevelType w:val="multilevel"/>
    <w:tmpl w:val="3D505C76"/>
    <w:lvl w:ilvl="0" w:tentative="0">
      <w:start w:val="0"/>
      <w:numFmt w:val="bullet"/>
      <w:lvlText w:val="•"/>
      <w:lvlJc w:val="left"/>
      <w:pPr>
        <w:ind w:left="420" w:hanging="420"/>
      </w:pPr>
      <w:rPr>
        <w:rFonts w:hint="default"/>
        <w:lang w:val="en-US" w:eastAsia="en-US" w:bidi="en-US"/>
      </w:rPr>
    </w:lvl>
    <w:lvl w:ilvl="1" w:tentative="0">
      <w:start w:val="0"/>
      <w:numFmt w:val="bullet"/>
      <w:lvlText w:val=""/>
      <w:lvlJc w:val="left"/>
      <w:pPr>
        <w:ind w:left="1140" w:hanging="720"/>
      </w:pPr>
      <w:rPr>
        <w:rFonts w:hint="default" w:ascii="Times New Roman" w:hAnsi="Times New Roman" w:eastAsia="Symbol"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D9C5BCA"/>
    <w:multiLevelType w:val="multilevel"/>
    <w:tmpl w:val="3D9C5BCA"/>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116792F"/>
    <w:multiLevelType w:val="multilevel"/>
    <w:tmpl w:val="5116792F"/>
    <w:lvl w:ilvl="0" w:tentative="0">
      <w:start w:val="0"/>
      <w:numFmt w:val="bullet"/>
      <w:lvlText w:val="•"/>
      <w:lvlJc w:val="left"/>
      <w:pPr>
        <w:ind w:left="420" w:hanging="420"/>
      </w:pPr>
      <w:rPr>
        <w:rFonts w:hint="default"/>
        <w:lang w:val="en-US" w:eastAsia="en-US" w:bidi="en-US"/>
      </w:rPr>
    </w:lvl>
    <w:lvl w:ilvl="1" w:tentative="0">
      <w:start w:val="0"/>
      <w:numFmt w:val="bullet"/>
      <w:lvlText w:val="•"/>
      <w:lvlJc w:val="left"/>
      <w:pPr>
        <w:ind w:left="840" w:hanging="420"/>
      </w:pPr>
      <w:rPr>
        <w:rFonts w:hint="default"/>
        <w:lang w:val="en-US" w:eastAsia="en-US" w:bidi="en-U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6B3D648D"/>
    <w:multiLevelType w:val="multilevel"/>
    <w:tmpl w:val="6B3D648D"/>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19"/>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48"/>
    <w:rsid w:val="000B729A"/>
    <w:rsid w:val="00130C38"/>
    <w:rsid w:val="00205102"/>
    <w:rsid w:val="00246225"/>
    <w:rsid w:val="0024787D"/>
    <w:rsid w:val="002827A4"/>
    <w:rsid w:val="002A1B03"/>
    <w:rsid w:val="002B0CEE"/>
    <w:rsid w:val="0031784A"/>
    <w:rsid w:val="0033522E"/>
    <w:rsid w:val="00382FBB"/>
    <w:rsid w:val="003E125A"/>
    <w:rsid w:val="00455273"/>
    <w:rsid w:val="00457ED1"/>
    <w:rsid w:val="004C2F8B"/>
    <w:rsid w:val="005A4848"/>
    <w:rsid w:val="005F3DEC"/>
    <w:rsid w:val="0063198D"/>
    <w:rsid w:val="0070743C"/>
    <w:rsid w:val="00711C72"/>
    <w:rsid w:val="00810F8C"/>
    <w:rsid w:val="0082218F"/>
    <w:rsid w:val="00830F6B"/>
    <w:rsid w:val="00887C89"/>
    <w:rsid w:val="008D221B"/>
    <w:rsid w:val="00916810"/>
    <w:rsid w:val="009F40B1"/>
    <w:rsid w:val="009F671D"/>
    <w:rsid w:val="00A24DB4"/>
    <w:rsid w:val="00A52270"/>
    <w:rsid w:val="00AA52A2"/>
    <w:rsid w:val="00AF32E3"/>
    <w:rsid w:val="00B014D4"/>
    <w:rsid w:val="00B8380D"/>
    <w:rsid w:val="00C12284"/>
    <w:rsid w:val="00CA2460"/>
    <w:rsid w:val="00CB6616"/>
    <w:rsid w:val="00CC5109"/>
    <w:rsid w:val="00D05E78"/>
    <w:rsid w:val="00F25CFB"/>
    <w:rsid w:val="00FA1CE9"/>
    <w:rsid w:val="00FA5978"/>
    <w:rsid w:val="00FB4D9C"/>
    <w:rsid w:val="74BE2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en-US"/>
    </w:rPr>
  </w:style>
  <w:style w:type="paragraph" w:styleId="2">
    <w:name w:val="heading 1"/>
    <w:basedOn w:val="1"/>
    <w:qFormat/>
    <w:uiPriority w:val="1"/>
    <w:pPr>
      <w:spacing w:before="80"/>
      <w:ind w:left="606" w:right="590"/>
      <w:outlineLvl w:val="0"/>
    </w:pPr>
    <w:rPr>
      <w:b/>
      <w:bCs/>
      <w:sz w:val="56"/>
      <w:szCs w:val="56"/>
    </w:rPr>
  </w:style>
  <w:style w:type="paragraph" w:styleId="3">
    <w:name w:val="heading 2"/>
    <w:basedOn w:val="1"/>
    <w:qFormat/>
    <w:uiPriority w:val="1"/>
    <w:pPr>
      <w:ind w:left="100" w:hanging="721"/>
      <w:outlineLvl w:val="1"/>
    </w:pPr>
    <w:rPr>
      <w:b/>
      <w:bCs/>
      <w:sz w:val="36"/>
      <w:szCs w:val="36"/>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rPr>
      <w:sz w:val="24"/>
      <w:szCs w:val="24"/>
    </w:rPr>
  </w:style>
  <w:style w:type="paragraph" w:styleId="5">
    <w:name w:val="Balloon Text"/>
    <w:basedOn w:val="1"/>
    <w:link w:val="17"/>
    <w:semiHidden/>
    <w:unhideWhenUsed/>
    <w:uiPriority w:val="99"/>
    <w:rPr>
      <w:sz w:val="18"/>
      <w:szCs w:val="18"/>
    </w:rPr>
  </w:style>
  <w:style w:type="paragraph" w:styleId="6">
    <w:name w:val="footer"/>
    <w:basedOn w:val="1"/>
    <w:link w:val="15"/>
    <w:unhideWhenUsed/>
    <w:qFormat/>
    <w:uiPriority w:val="99"/>
    <w:pPr>
      <w:tabs>
        <w:tab w:val="center" w:pos="4153"/>
        <w:tab w:val="right" w:pos="8306"/>
      </w:tabs>
      <w:snapToGrid w:val="0"/>
    </w:pPr>
    <w:rPr>
      <w:sz w:val="18"/>
      <w:szCs w:val="18"/>
    </w:rPr>
  </w:style>
  <w:style w:type="paragraph" w:styleId="7">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980" w:hanging="360"/>
    </w:pPr>
  </w:style>
  <w:style w:type="paragraph" w:customStyle="1" w:styleId="13">
    <w:name w:val="Table Paragraph"/>
    <w:basedOn w:val="1"/>
    <w:qFormat/>
    <w:uiPriority w:val="1"/>
  </w:style>
  <w:style w:type="character" w:customStyle="1" w:styleId="14">
    <w:name w:val="页眉 Char"/>
    <w:basedOn w:val="9"/>
    <w:link w:val="7"/>
    <w:qFormat/>
    <w:uiPriority w:val="99"/>
    <w:rPr>
      <w:rFonts w:ascii="Times New Roman" w:hAnsi="Times New Roman" w:eastAsia="Times New Roman" w:cs="Times New Roman"/>
      <w:sz w:val="18"/>
      <w:szCs w:val="18"/>
      <w:lang w:bidi="en-US"/>
    </w:rPr>
  </w:style>
  <w:style w:type="character" w:customStyle="1" w:styleId="15">
    <w:name w:val="页脚 Char"/>
    <w:basedOn w:val="9"/>
    <w:link w:val="6"/>
    <w:qFormat/>
    <w:uiPriority w:val="99"/>
    <w:rPr>
      <w:rFonts w:ascii="Times New Roman" w:hAnsi="Times New Roman" w:eastAsia="Times New Roman" w:cs="Times New Roman"/>
      <w:sz w:val="18"/>
      <w:szCs w:val="18"/>
      <w:lang w:bidi="en-US"/>
    </w:rPr>
  </w:style>
  <w:style w:type="paragraph" w:customStyle="1" w:styleId="16">
    <w:name w:val="Revision"/>
    <w:hidden/>
    <w:semiHidden/>
    <w:uiPriority w:val="99"/>
    <w:pPr>
      <w:widowControl/>
      <w:autoSpaceDE/>
      <w:autoSpaceDN/>
    </w:pPr>
    <w:rPr>
      <w:rFonts w:ascii="Times New Roman" w:hAnsi="Times New Roman" w:eastAsia="Times New Roman" w:cs="Times New Roman"/>
      <w:sz w:val="22"/>
      <w:szCs w:val="22"/>
      <w:lang w:val="en-US" w:eastAsia="en-US" w:bidi="en-US"/>
    </w:rPr>
  </w:style>
  <w:style w:type="character" w:customStyle="1" w:styleId="17">
    <w:name w:val="批注框文本 Char"/>
    <w:basedOn w:val="9"/>
    <w:link w:val="5"/>
    <w:semiHidden/>
    <w:uiPriority w:val="99"/>
    <w:rPr>
      <w:rFonts w:ascii="Times New Roman" w:hAnsi="Times New Roman" w:eastAsia="Times New Roman" w:cs="Times New Roman"/>
      <w:sz w:val="18"/>
      <w:szCs w:val="18"/>
      <w:lang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3933</Words>
  <Characters>6328</Characters>
  <Lines>46</Lines>
  <Paragraphs>13</Paragraphs>
  <TotalTime>935</TotalTime>
  <ScaleCrop>false</ScaleCrop>
  <LinksUpToDate>false</LinksUpToDate>
  <CharactersWithSpaces>6380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2021-11-10T08:57:00Z</dcterms:created>
  <dc:creator>Admin2</dc:creator>
  <cp:lastModifiedBy>太极箫客</cp:lastModifiedBy>
  <dcterms:modified xsi:type="dcterms:W3CDTF">2025-08-14T06:14:17Z</dcterms:modified>
  <dc:title>Supplements for Approved Premarket Approval (PMA) or Humanitarian Device Exemption (HDE) Submissions During the Coronavirus Disease 2019 (COVID-19) Public Health Emergency - Guidance for Industry and Food and Drug Administration Staff</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2020-05-21T00:00:00Z</vt:filetime>
  </property>
  <property fmtid="{D5CDD505-2E9C-101B-9397-08002B2CF9AE}" pid="3" name="Creator">
    <vt:lpwstr>CommonLook Office GlobalAccess-2.0.9.29</vt:lpwstr>
  </property>
  <property fmtid="{D5CDD505-2E9C-101B-9397-08002B2CF9AE}" pid="4" name="LastSaved">
    <vt:filetime>2021-11-08T00:00:00Z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BDEFBB27E801417095D8B841E7345C24_12</vt:lpwstr>
  </property>
</Properties>
</file>