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7C913">
      <w:pPr>
        <w:jc w:val="center"/>
        <w:rPr>
          <w:rFonts w:ascii="宋体" w:hAnsi="宋体" w:cs="Arial"/>
          <w:b/>
          <w:bCs/>
          <w:color w:val="000000"/>
          <w:kern w:val="0"/>
          <w:sz w:val="44"/>
          <w:szCs w:val="44"/>
        </w:rPr>
      </w:pPr>
      <w:bookmarkStart w:id="0" w:name="_GoBack"/>
      <w:bookmarkEnd w:id="0"/>
      <w:r>
        <w:rPr>
          <w:rFonts w:hint="eastAsia" w:ascii="宋体" w:hAnsi="宋体" w:cs="Arial"/>
          <w:b/>
          <w:bCs/>
          <w:color w:val="000000"/>
          <w:kern w:val="0"/>
          <w:sz w:val="44"/>
          <w:szCs w:val="44"/>
        </w:rPr>
        <w:t>运输包装件研究报告</w:t>
      </w:r>
    </w:p>
    <w:p w14:paraId="0B36F1B5">
      <w:pPr>
        <w:rPr>
          <w:rFonts w:ascii="宋体" w:hAnsi="宋体" w:cs="Arial"/>
          <w:b/>
          <w:bCs/>
          <w:color w:val="000000"/>
          <w:kern w:val="0"/>
          <w:sz w:val="44"/>
          <w:szCs w:val="44"/>
        </w:rPr>
      </w:pPr>
    </w:p>
    <w:p w14:paraId="5F9D7080">
      <w:pPr>
        <w:rPr>
          <w:b/>
          <w:sz w:val="28"/>
          <w:szCs w:val="28"/>
        </w:rPr>
      </w:pPr>
      <w:r>
        <w:rPr>
          <w:rFonts w:hint="eastAsia"/>
          <w:b/>
          <w:sz w:val="28"/>
          <w:szCs w:val="28"/>
        </w:rPr>
        <w:t>一、运输包装件研究目的</w:t>
      </w:r>
    </w:p>
    <w:p w14:paraId="3DD61FA1">
      <w:pPr>
        <w:ind w:firstLine="480" w:firstLineChars="200"/>
        <w:rPr>
          <w:sz w:val="24"/>
        </w:rPr>
      </w:pPr>
      <w:r>
        <w:rPr>
          <w:rFonts w:hint="eastAsia"/>
          <w:sz w:val="24"/>
        </w:rPr>
        <w:t>《医疗器械安全有效基本要求清单》中有多项条款涉及到产品包装对产品安全有效性的影响，应对产品运输包装件涉及的这些条款进行核查，验证是否设计的运输包装件能满足风险管理的要求。</w:t>
      </w:r>
    </w:p>
    <w:p w14:paraId="7338C2E2">
      <w:pPr>
        <w:ind w:firstLine="480" w:firstLineChars="200"/>
        <w:rPr>
          <w:sz w:val="24"/>
        </w:rPr>
      </w:pPr>
    </w:p>
    <w:p w14:paraId="4591062A">
      <w:pPr>
        <w:ind w:firstLine="480" w:firstLineChars="200"/>
        <w:rPr>
          <w:sz w:val="24"/>
        </w:rPr>
      </w:pPr>
      <w:r>
        <w:rPr>
          <w:rFonts w:hint="eastAsia"/>
          <w:sz w:val="24"/>
        </w:rPr>
        <w:t>《基本清单》涉及适用的条款号以及相关信息如下：</w:t>
      </w:r>
    </w:p>
    <w:p w14:paraId="66E6109A">
      <w:pPr>
        <w:ind w:firstLine="480" w:firstLineChars="200"/>
        <w:rPr>
          <w:sz w:val="24"/>
        </w:rPr>
      </w:pPr>
      <w:r>
        <w:rPr>
          <w:rFonts w:hint="eastAsia"/>
          <w:sz w:val="24"/>
        </w:rPr>
        <w:t>A5：包装应当能够保证其说明书规定的运输、贮存条件（如温度和湿度变化），不对产品特性及性能造成不利影响；</w:t>
      </w:r>
    </w:p>
    <w:p w14:paraId="1BCBF260">
      <w:pPr>
        <w:ind w:firstLine="480" w:firstLineChars="200"/>
        <w:rPr>
          <w:sz w:val="24"/>
        </w:rPr>
      </w:pPr>
      <w:r>
        <w:rPr>
          <w:rFonts w:hint="eastAsia"/>
          <w:sz w:val="24"/>
        </w:rPr>
        <w:t>B1.2：包装应尽可能减少污染物；</w:t>
      </w:r>
    </w:p>
    <w:p w14:paraId="619F87E5">
      <w:pPr>
        <w:ind w:firstLine="480" w:firstLineChars="200"/>
        <w:rPr>
          <w:sz w:val="24"/>
        </w:rPr>
      </w:pPr>
      <w:r>
        <w:rPr>
          <w:rFonts w:hint="eastAsia"/>
          <w:sz w:val="24"/>
        </w:rPr>
        <w:t>B2.6：是否能保持产品完整性与洁净度；</w:t>
      </w:r>
    </w:p>
    <w:p w14:paraId="06C9F12E">
      <w:pPr>
        <w:ind w:firstLine="480" w:firstLineChars="200"/>
        <w:rPr>
          <w:sz w:val="24"/>
        </w:rPr>
      </w:pPr>
    </w:p>
    <w:p w14:paraId="7951B02B">
      <w:pPr>
        <w:rPr>
          <w:b/>
          <w:sz w:val="28"/>
          <w:szCs w:val="28"/>
        </w:rPr>
      </w:pPr>
      <w:r>
        <w:rPr>
          <w:rFonts w:hint="eastAsia"/>
          <w:b/>
          <w:sz w:val="28"/>
          <w:szCs w:val="28"/>
        </w:rPr>
        <w:t>二、研究对象与说明</w:t>
      </w:r>
    </w:p>
    <w:p w14:paraId="0F82FB65">
      <w:pPr>
        <w:ind w:firstLine="480" w:firstLineChars="200"/>
        <w:rPr>
          <w:sz w:val="24"/>
        </w:rPr>
      </w:pPr>
      <w:r>
        <w:rPr>
          <w:rFonts w:hint="eastAsia"/>
          <w:sz w:val="24"/>
        </w:rPr>
        <w:t>研究对象：</w:t>
      </w:r>
      <w:r>
        <w:rPr>
          <w:rFonts w:hint="eastAsia"/>
          <w:color w:val="FF0000"/>
          <w:sz w:val="24"/>
        </w:rPr>
        <w:t>AAA</w:t>
      </w:r>
      <w:r>
        <w:rPr>
          <w:rFonts w:hint="eastAsia"/>
          <w:sz w:val="24"/>
        </w:rPr>
        <w:t>系列</w:t>
      </w:r>
      <w:r>
        <w:rPr>
          <w:rFonts w:hint="eastAsia"/>
          <w:color w:val="FF0000"/>
          <w:sz w:val="24"/>
        </w:rPr>
        <w:t>BBB</w:t>
      </w:r>
      <w:r>
        <w:rPr>
          <w:rFonts w:hint="eastAsia"/>
          <w:sz w:val="24"/>
        </w:rPr>
        <w:t>的运输包装</w:t>
      </w:r>
    </w:p>
    <w:p w14:paraId="3232D8BB">
      <w:pPr>
        <w:ind w:firstLine="480" w:firstLineChars="200"/>
        <w:rPr>
          <w:sz w:val="24"/>
        </w:rPr>
      </w:pPr>
      <w:r>
        <w:rPr>
          <w:rFonts w:hint="eastAsia"/>
          <w:sz w:val="24"/>
        </w:rPr>
        <w:t>包装描述：</w:t>
      </w:r>
      <w:r>
        <w:rPr>
          <w:rFonts w:hint="eastAsia"/>
          <w:color w:val="FF0000"/>
          <w:sz w:val="24"/>
        </w:rPr>
        <w:t>BBB</w:t>
      </w:r>
      <w:r>
        <w:rPr>
          <w:rFonts w:hint="eastAsia"/>
          <w:sz w:val="24"/>
        </w:rPr>
        <w:t>主机外包装一层透明塑胶袋，袋中含干燥剂一袋；附件均用塑胶袋包装，存放于专用附件盒。主机和附件盒一起采用瓦楞纸箱作为运输包装件，箱内具有包装海绵作为缓冲衬垫，外箱采用透明胶带封箱。</w:t>
      </w:r>
    </w:p>
    <w:p w14:paraId="0DF07752">
      <w:pPr>
        <w:ind w:firstLine="480" w:firstLineChars="200"/>
        <w:rPr>
          <w:sz w:val="24"/>
        </w:rPr>
      </w:pPr>
      <w:r>
        <w:rPr>
          <w:rFonts w:hint="eastAsia"/>
          <w:sz w:val="24"/>
        </w:rPr>
        <w:t>外箱尺寸：480×300×420（mm）</w:t>
      </w:r>
    </w:p>
    <w:p w14:paraId="77593968">
      <w:pPr>
        <w:ind w:firstLine="480" w:firstLineChars="200"/>
        <w:rPr>
          <w:sz w:val="24"/>
        </w:rPr>
      </w:pPr>
      <w:r>
        <w:rPr>
          <w:rFonts w:hint="eastAsia"/>
          <w:sz w:val="24"/>
        </w:rPr>
        <w:t>内装数量：1套/每箱</w:t>
      </w:r>
    </w:p>
    <w:p w14:paraId="0060267A">
      <w:pPr>
        <w:ind w:firstLine="480" w:firstLineChars="200"/>
        <w:rPr>
          <w:sz w:val="24"/>
        </w:rPr>
      </w:pPr>
      <w:r>
        <w:rPr>
          <w:rFonts w:hint="eastAsia"/>
          <w:sz w:val="24"/>
        </w:rPr>
        <w:t>重量： 5.7kg（每箱毛重）</w:t>
      </w:r>
    </w:p>
    <w:p w14:paraId="260F79CC">
      <w:pPr>
        <w:rPr>
          <w:sz w:val="24"/>
        </w:rPr>
      </w:pPr>
    </w:p>
    <w:p w14:paraId="3574EE9A">
      <w:pPr>
        <w:rPr>
          <w:b/>
          <w:sz w:val="28"/>
          <w:szCs w:val="28"/>
        </w:rPr>
      </w:pPr>
      <w:r>
        <w:rPr>
          <w:rFonts w:hint="eastAsia"/>
          <w:b/>
          <w:sz w:val="28"/>
          <w:szCs w:val="28"/>
        </w:rPr>
        <w:t>三、包装标识信息与标识信息研究</w:t>
      </w:r>
    </w:p>
    <w:p w14:paraId="3080DEF8">
      <w:pPr>
        <w:rPr>
          <w:sz w:val="24"/>
        </w:rPr>
      </w:pPr>
      <w:r>
        <w:rPr>
          <w:rFonts w:hint="eastAsia"/>
          <w:sz w:val="24"/>
        </w:rPr>
        <w:t>1、包装件周围四个面均印有以下标识：</w:t>
      </w:r>
    </w:p>
    <w:p w14:paraId="58866593">
      <w:pPr>
        <w:rPr>
          <w:sz w:val="24"/>
        </w:rPr>
      </w:pPr>
      <w:r>
        <w:rPr>
          <w:rFonts w:hint="eastAsia"/>
          <w:sz w:val="24"/>
        </w:rPr>
        <w:drawing>
          <wp:inline distT="0" distB="0" distL="0" distR="0">
            <wp:extent cx="5059680" cy="1219200"/>
            <wp:effectExtent l="19050" t="0" r="762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6"/>
                    <a:srcRect/>
                    <a:stretch>
                      <a:fillRect/>
                    </a:stretch>
                  </pic:blipFill>
                  <pic:spPr>
                    <a:xfrm>
                      <a:off x="0" y="0"/>
                      <a:ext cx="5059680" cy="1219200"/>
                    </a:xfrm>
                    <a:prstGeom prst="rect">
                      <a:avLst/>
                    </a:prstGeom>
                    <a:noFill/>
                    <a:ln w="9525">
                      <a:noFill/>
                      <a:miter lim="800000"/>
                      <a:headEnd/>
                      <a:tailEnd/>
                    </a:ln>
                  </pic:spPr>
                </pic:pic>
              </a:graphicData>
            </a:graphic>
          </wp:inline>
        </w:drawing>
      </w:r>
    </w:p>
    <w:p w14:paraId="32270A88">
      <w:pPr>
        <w:ind w:firstLine="480" w:firstLineChars="200"/>
        <w:rPr>
          <w:sz w:val="24"/>
        </w:rPr>
      </w:pPr>
      <w:r>
        <w:rPr>
          <w:rFonts w:hint="eastAsia"/>
          <w:sz w:val="24"/>
        </w:rPr>
        <w:t>这些标识采用的是“GB/T 191-2008 包装储运图示标志”中推荐的运输件标识。按照从左向右顺序各个标识代表的意义如下：</w:t>
      </w:r>
    </w:p>
    <w:p w14:paraId="7C3A3670">
      <w:pPr>
        <w:rPr>
          <w:sz w:val="24"/>
        </w:rPr>
      </w:pPr>
      <w:r>
        <w:rPr>
          <w:rFonts w:hint="eastAsia"/>
          <w:sz w:val="24"/>
        </w:rPr>
        <w:t>1）向上：表明该运输包装件在运输时应竖直向上；</w:t>
      </w:r>
    </w:p>
    <w:p w14:paraId="5FE37ED1">
      <w:pPr>
        <w:rPr>
          <w:sz w:val="24"/>
        </w:rPr>
      </w:pPr>
      <w:r>
        <w:rPr>
          <w:rFonts w:hint="eastAsia"/>
          <w:sz w:val="24"/>
        </w:rPr>
        <w:t>2）易碎物品：表明运输包装件内装易碎物品，搬运时应小心轻放；</w:t>
      </w:r>
    </w:p>
    <w:p w14:paraId="2BAA4084">
      <w:pPr>
        <w:rPr>
          <w:sz w:val="24"/>
        </w:rPr>
      </w:pPr>
      <w:r>
        <w:rPr>
          <w:rFonts w:hint="eastAsia"/>
          <w:sz w:val="24"/>
        </w:rPr>
        <w:t>注：由于含有屏幕等易碎部件，标注此标志可提示搬运人员，降低搬运时损坏产品的风险。</w:t>
      </w:r>
    </w:p>
    <w:p w14:paraId="5FCEBC77">
      <w:pPr>
        <w:rPr>
          <w:sz w:val="24"/>
        </w:rPr>
      </w:pPr>
      <w:r>
        <w:rPr>
          <w:rFonts w:hint="eastAsia"/>
          <w:sz w:val="24"/>
        </w:rPr>
        <w:t>3）怕雨：表明该运输包装件怕雨淋；</w:t>
      </w:r>
    </w:p>
    <w:p w14:paraId="28631347">
      <w:pPr>
        <w:rPr>
          <w:sz w:val="24"/>
        </w:rPr>
      </w:pPr>
      <w:r>
        <w:rPr>
          <w:rFonts w:hint="eastAsia"/>
          <w:sz w:val="24"/>
        </w:rPr>
        <w:t>注：由于整机外壳防护等级为IPX1（防止垂直方向滴水），标注此标识可提示储运人员，降低产品受潮风险。</w:t>
      </w:r>
    </w:p>
    <w:p w14:paraId="6726A015">
      <w:pPr>
        <w:rPr>
          <w:sz w:val="24"/>
        </w:rPr>
      </w:pPr>
      <w:r>
        <w:rPr>
          <w:rFonts w:hint="eastAsia"/>
          <w:sz w:val="24"/>
        </w:rPr>
        <w:t>4）堆码层数极限：表明可堆码相同运输包装件的最大层数。（包含该包装件）</w:t>
      </w:r>
    </w:p>
    <w:p w14:paraId="7EC111CA">
      <w:pPr>
        <w:rPr>
          <w:sz w:val="24"/>
        </w:rPr>
      </w:pPr>
      <w:r>
        <w:rPr>
          <w:rFonts w:hint="eastAsia"/>
          <w:sz w:val="24"/>
        </w:rPr>
        <w:t>注：由于产品主要是国内销售、包装件运输时预计会采用小型货车集装箱，箱高一般约为2.2m。</w:t>
      </w:r>
    </w:p>
    <w:p w14:paraId="5DF09787">
      <w:pPr>
        <w:rPr>
          <w:color w:val="0000FF"/>
          <w:sz w:val="24"/>
        </w:rPr>
      </w:pPr>
      <w:r>
        <w:rPr>
          <w:rFonts w:hint="eastAsia"/>
          <w:sz w:val="24"/>
        </w:rPr>
        <w:t>根据本产品尺寸规格，建议堆码4层。高度为460×4=1840（mm）。</w:t>
      </w:r>
    </w:p>
    <w:p w14:paraId="7CDD5FAC">
      <w:pPr>
        <w:rPr>
          <w:sz w:val="24"/>
        </w:rPr>
      </w:pPr>
      <w:r>
        <w:rPr>
          <w:rFonts w:hint="eastAsia"/>
          <w:sz w:val="24"/>
        </w:rPr>
        <w:t>5）堆码质量极限：表明该运输包装件所能承受的最大质量极限。</w:t>
      </w:r>
    </w:p>
    <w:p w14:paraId="38F5CC57">
      <w:pPr>
        <w:rPr>
          <w:sz w:val="24"/>
        </w:rPr>
      </w:pPr>
      <w:r>
        <w:rPr>
          <w:rFonts w:hint="eastAsia"/>
          <w:sz w:val="24"/>
        </w:rPr>
        <w:t>注：该包装件虽然具备一定短时间的抗压能力，但为防止搬运时常见的搬运工踩踏货物的状况出现，标注此标志以降低这方面风险。</w:t>
      </w:r>
    </w:p>
    <w:p w14:paraId="5ECE923E">
      <w:pPr>
        <w:rPr>
          <w:sz w:val="24"/>
        </w:rPr>
      </w:pPr>
    </w:p>
    <w:p w14:paraId="1B2E91D3">
      <w:pPr>
        <w:rPr>
          <w:sz w:val="24"/>
        </w:rPr>
      </w:pPr>
      <w:r>
        <w:rPr>
          <w:rFonts w:hint="eastAsia"/>
          <w:sz w:val="24"/>
        </w:rPr>
        <w:t>2、除储运标识外，外箱还粘贴一张产品信息标识。内含产品基本信息、以及产品储运条件等信息，主要用于产品识别、包装件信息描述以及储运条件说明。</w:t>
      </w:r>
      <w:r>
        <w:rPr>
          <w:rFonts w:hint="eastAsia"/>
          <w:color w:val="FF0000"/>
          <w:sz w:val="24"/>
        </w:rPr>
        <w:t>基本格式如下：</w:t>
      </w:r>
    </w:p>
    <w:p w14:paraId="245B140A">
      <w:pPr>
        <w:rPr>
          <w:sz w:val="24"/>
        </w:rPr>
      </w:pPr>
    </w:p>
    <w:p w14:paraId="277A3EA5">
      <w:pPr>
        <w:ind w:firstLine="480" w:firstLineChars="200"/>
        <w:rPr>
          <w:sz w:val="24"/>
        </w:rPr>
      </w:pPr>
      <w:r>
        <w:rPr>
          <w:rFonts w:hint="eastAsia"/>
          <w:sz w:val="24"/>
        </w:rPr>
        <w:t>其中产品基本信息来自于注册信息以及实际产品描述、运输贮存环境信息与产品技术要求中环境试验条件一致。标签要求符合医疗器械说明书和标签管理规定（总局令第6号）。</w:t>
      </w:r>
    </w:p>
    <w:p w14:paraId="0B582CF7">
      <w:pPr>
        <w:rPr>
          <w:sz w:val="24"/>
        </w:rPr>
      </w:pPr>
    </w:p>
    <w:p w14:paraId="0E99C09B">
      <w:pPr>
        <w:rPr>
          <w:b/>
          <w:sz w:val="28"/>
          <w:szCs w:val="28"/>
        </w:rPr>
      </w:pPr>
      <w:r>
        <w:rPr>
          <w:rFonts w:hint="eastAsia"/>
          <w:b/>
          <w:sz w:val="28"/>
          <w:szCs w:val="28"/>
        </w:rPr>
        <w:t>四、与包装有关的风险控制研究</w:t>
      </w:r>
    </w:p>
    <w:p w14:paraId="6FB4A949">
      <w:pPr>
        <w:rPr>
          <w:sz w:val="24"/>
        </w:rPr>
      </w:pPr>
      <w:r>
        <w:rPr>
          <w:rFonts w:hint="eastAsia"/>
          <w:sz w:val="24"/>
        </w:rPr>
        <w:t>1、A5：包装应当能够保证其说明书规定的运输、贮存条件（如温度和湿度变化），不对产品特性及性能造成不利影响；</w:t>
      </w:r>
    </w:p>
    <w:p w14:paraId="40136AB1">
      <w:pPr>
        <w:ind w:firstLine="480" w:firstLineChars="200"/>
        <w:rPr>
          <w:sz w:val="24"/>
        </w:rPr>
      </w:pPr>
      <w:r>
        <w:rPr>
          <w:rFonts w:hint="eastAsia"/>
          <w:sz w:val="24"/>
        </w:rPr>
        <w:t>包装标识信息见第三部分，</w:t>
      </w:r>
      <w:r>
        <w:rPr>
          <w:rFonts w:hint="eastAsia"/>
          <w:color w:val="FF0000"/>
          <w:sz w:val="24"/>
        </w:rPr>
        <w:t>此部分信息在说明书中也有体现。</w:t>
      </w:r>
      <w:r>
        <w:rPr>
          <w:rFonts w:hint="eastAsia"/>
          <w:sz w:val="24"/>
        </w:rPr>
        <w:t>应对这些包装信息进行验证，确认在规定条件下不影响产品安全性和有效性。</w:t>
      </w:r>
    </w:p>
    <w:p w14:paraId="459EDEE4">
      <w:pPr>
        <w:ind w:firstLine="480" w:firstLineChars="200"/>
        <w:rPr>
          <w:sz w:val="24"/>
        </w:rPr>
      </w:pPr>
      <w:r>
        <w:rPr>
          <w:rFonts w:hint="eastAsia"/>
          <w:sz w:val="24"/>
        </w:rPr>
        <w:t>除按照产品技术要求中环境试验要求进行振动、碰撞、运输试验进行验证以外（注册检测报告），本公司增加了静载荷堆码试验和跌落试验对包装件进行验证的内部测试，试验结果产品包装符合预期运输要求。内部验证报告编号：</w:t>
      </w:r>
      <w:r>
        <w:rPr>
          <w:rFonts w:hint="eastAsia"/>
          <w:b/>
          <w:color w:val="FF0000"/>
          <w:sz w:val="24"/>
        </w:rPr>
        <w:t>HHH。</w:t>
      </w:r>
    </w:p>
    <w:p w14:paraId="56986FA0">
      <w:pPr>
        <w:ind w:firstLine="480" w:firstLineChars="200"/>
        <w:rPr>
          <w:sz w:val="24"/>
        </w:rPr>
      </w:pPr>
      <w:r>
        <w:rPr>
          <w:rFonts w:hint="eastAsia"/>
          <w:sz w:val="24"/>
        </w:rPr>
        <w:t>另外，本公司同类产品</w:t>
      </w:r>
      <w:r>
        <w:rPr>
          <w:rFonts w:hint="eastAsia"/>
          <w:color w:val="FF0000"/>
          <w:sz w:val="24"/>
        </w:rPr>
        <w:t>CCC（型号：ZZZ 毛重：5.3kg）</w:t>
      </w:r>
      <w:r>
        <w:rPr>
          <w:rFonts w:hint="eastAsia"/>
          <w:sz w:val="24"/>
        </w:rPr>
        <w:t>与此款机型采用的是通用的产品包装。该产品已在国内外注册上市多年, 销往全国各地及欧盟多国。从产品出货到客户收货的过程中（国内主要是经由货车运输），从未发现任何由于实际运输过程中的振动或冲击产生的包装变形和损坏。</w:t>
      </w:r>
    </w:p>
    <w:p w14:paraId="1B3869DF">
      <w:pPr>
        <w:ind w:firstLine="480" w:firstLineChars="200"/>
        <w:rPr>
          <w:sz w:val="24"/>
        </w:rPr>
      </w:pPr>
      <w:r>
        <w:rPr>
          <w:rFonts w:hint="eastAsia"/>
          <w:sz w:val="24"/>
        </w:rPr>
        <w:t>经过多方面验证，可确认A5条的风险已得到控制。</w:t>
      </w:r>
    </w:p>
    <w:p w14:paraId="0A8A6EB4">
      <w:pPr>
        <w:rPr>
          <w:sz w:val="24"/>
        </w:rPr>
      </w:pPr>
    </w:p>
    <w:p w14:paraId="0D440FBD">
      <w:pPr>
        <w:rPr>
          <w:sz w:val="24"/>
        </w:rPr>
      </w:pPr>
      <w:r>
        <w:rPr>
          <w:rFonts w:hint="eastAsia"/>
          <w:sz w:val="24"/>
        </w:rPr>
        <w:t>2、B1.2：包装应尽可能减少污染物</w:t>
      </w:r>
    </w:p>
    <w:p w14:paraId="1FD3156C">
      <w:pPr>
        <w:shd w:val="clear" w:color="auto" w:fill="FFFFFF"/>
        <w:spacing w:line="290" w:lineRule="atLeast"/>
        <w:ind w:firstLine="480"/>
        <w:rPr>
          <w:sz w:val="24"/>
        </w:rPr>
      </w:pPr>
      <w:r>
        <w:rPr>
          <w:rFonts w:hint="eastAsia"/>
          <w:sz w:val="24"/>
        </w:rPr>
        <w:t>本公司生产产品由于出口欧盟的法规需要，产品包装件均符合</w:t>
      </w:r>
      <w:r>
        <w:rPr>
          <w:sz w:val="24"/>
        </w:rPr>
        <w:t>欧盟包装材料指令(94/62/EC)</w:t>
      </w:r>
      <w:r>
        <w:rPr>
          <w:rFonts w:hint="eastAsia"/>
          <w:sz w:val="24"/>
        </w:rPr>
        <w:t>的规定，要求</w:t>
      </w:r>
      <w:r>
        <w:rPr>
          <w:sz w:val="24"/>
        </w:rPr>
        <w:t>四大重金属(铅、汞、镉及六价铬)最高浓度限值：铅(Pb) +镉(Cd) +汞(Hg) +六价铬(Cr</w:t>
      </w:r>
      <w:r>
        <w:rPr>
          <w:sz w:val="24"/>
          <w:vertAlign w:val="superscript"/>
        </w:rPr>
        <w:t>+6</w:t>
      </w:r>
      <w:r>
        <w:rPr>
          <w:sz w:val="24"/>
        </w:rPr>
        <w:t>) &lt;100ppm</w:t>
      </w:r>
      <w:r>
        <w:rPr>
          <w:rFonts w:hint="eastAsia"/>
          <w:sz w:val="24"/>
        </w:rPr>
        <w:t>。</w:t>
      </w:r>
    </w:p>
    <w:p w14:paraId="13FFC4E4">
      <w:pPr>
        <w:shd w:val="clear" w:color="auto" w:fill="FFFFFF"/>
        <w:spacing w:line="290" w:lineRule="atLeast"/>
        <w:ind w:firstLine="480"/>
        <w:rPr>
          <w:sz w:val="24"/>
        </w:rPr>
      </w:pPr>
      <w:r>
        <w:rPr>
          <w:rFonts w:hint="eastAsia"/>
          <w:sz w:val="24"/>
        </w:rPr>
        <w:t>本公司建立了与废弃物污染有关的RoHS、电池和包装件的管控程序，见：CP-42 有毒有害物质管理控制程序。通过与供应商签订协议，供应商提供检测报告、我司进行抽检等方式，B1.2条包装污染物的风险已得到控制。</w:t>
      </w:r>
    </w:p>
    <w:p w14:paraId="0677A097">
      <w:pPr>
        <w:rPr>
          <w:sz w:val="24"/>
        </w:rPr>
      </w:pPr>
    </w:p>
    <w:p w14:paraId="32857A52">
      <w:pPr>
        <w:rPr>
          <w:sz w:val="24"/>
        </w:rPr>
      </w:pPr>
      <w:r>
        <w:rPr>
          <w:rFonts w:hint="eastAsia"/>
          <w:sz w:val="24"/>
        </w:rPr>
        <w:t>3、B2.6：是否能保持产品完整性与洁净度；</w:t>
      </w:r>
    </w:p>
    <w:p w14:paraId="7213B59D">
      <w:pPr>
        <w:shd w:val="clear" w:color="auto" w:fill="FFFFFF"/>
        <w:spacing w:line="290" w:lineRule="atLeast"/>
        <w:ind w:firstLine="480"/>
        <w:rPr>
          <w:sz w:val="24"/>
        </w:rPr>
      </w:pPr>
      <w:r>
        <w:rPr>
          <w:rFonts w:hint="eastAsia"/>
          <w:sz w:val="24"/>
        </w:rPr>
        <w:t>根据包装的结构组成：塑胶袋、干燥剂具有防潮防霉功能；附件盒、包装海绵、瓦楞纸箱既可用于抗压防震，又保证了产品的完整性、洁净度。</w:t>
      </w:r>
    </w:p>
    <w:p w14:paraId="2E0B174D">
      <w:pPr>
        <w:rPr>
          <w:sz w:val="24"/>
        </w:rPr>
      </w:pPr>
    </w:p>
    <w:p w14:paraId="1188627E">
      <w:pPr>
        <w:rPr>
          <w:b/>
          <w:sz w:val="28"/>
          <w:szCs w:val="28"/>
        </w:rPr>
      </w:pPr>
      <w:r>
        <w:rPr>
          <w:rFonts w:hint="eastAsia"/>
          <w:b/>
          <w:sz w:val="28"/>
          <w:szCs w:val="28"/>
        </w:rPr>
        <w:t>五、包装件研究结论</w:t>
      </w:r>
    </w:p>
    <w:p w14:paraId="71EA1EBC">
      <w:pPr>
        <w:rPr>
          <w:rFonts w:ascii="Times New Roman" w:hAnsi="Times New Roman" w:eastAsia="宋体" w:cs="Times New Roman"/>
          <w:b/>
          <w:sz w:val="28"/>
          <w:szCs w:val="28"/>
          <w:u w:val="single"/>
        </w:rPr>
      </w:pPr>
      <w:r>
        <w:rPr>
          <w:rFonts w:hint="eastAsia" w:ascii="Times New Roman" w:hAnsi="Times New Roman" w:eastAsia="宋体" w:cs="Times New Roman"/>
          <w:b/>
          <w:sz w:val="28"/>
          <w:szCs w:val="28"/>
          <w:u w:val="single"/>
        </w:rPr>
        <w:t>结论：该运输包装件安全性风险为可接受的。</w:t>
      </w:r>
    </w:p>
    <w:p w14:paraId="510A036F">
      <w:pPr>
        <w:rPr>
          <w:rFonts w:ascii="Times New Roman" w:hAnsi="Times New Roman" w:eastAsia="宋体" w:cs="Times New Roman"/>
          <w:b/>
          <w:sz w:val="28"/>
          <w:szCs w:val="28"/>
          <w:u w:val="single"/>
        </w:rPr>
      </w:pPr>
    </w:p>
    <w:p w14:paraId="4B8875A8">
      <w:pPr>
        <w:rPr>
          <w:rFonts w:ascii="Times New Roman" w:hAnsi="Times New Roman" w:eastAsia="宋体" w:cs="Times New Roman"/>
          <w:b/>
          <w:sz w:val="28"/>
          <w:szCs w:val="28"/>
          <w:u w:val="single"/>
        </w:rPr>
      </w:pPr>
    </w:p>
    <w:p w14:paraId="4529BC29">
      <w:pPr>
        <w:rPr>
          <w:rFonts w:ascii="Times New Roman" w:hAnsi="Times New Roman" w:eastAsia="宋体" w:cs="Times New Roman"/>
          <w:b/>
          <w:sz w:val="28"/>
          <w:szCs w:val="28"/>
          <w:u w:val="single"/>
        </w:rPr>
      </w:pPr>
    </w:p>
    <w:p w14:paraId="5C224205">
      <w:pPr>
        <w:rPr>
          <w:rFonts w:ascii="Times New Roman" w:hAnsi="Times New Roman" w:eastAsia="宋体" w:cs="Times New Roman"/>
          <w:b/>
          <w:sz w:val="28"/>
          <w:szCs w:val="28"/>
          <w:u w:val="single"/>
        </w:rPr>
      </w:pPr>
    </w:p>
    <w:p w14:paraId="325D76FB">
      <w:pPr>
        <w:rPr>
          <w:rFonts w:ascii="Times New Roman" w:hAnsi="Times New Roman" w:eastAsia="宋体" w:cs="Times New Roman"/>
          <w:b/>
          <w:sz w:val="28"/>
          <w:szCs w:val="28"/>
          <w:u w:val="single"/>
        </w:rPr>
      </w:pPr>
    </w:p>
    <w:p w14:paraId="2004DEAA">
      <w:pPr>
        <w:rPr>
          <w:rFonts w:ascii="Times New Roman" w:hAnsi="Times New Roman" w:eastAsia="宋体" w:cs="Times New Roman"/>
          <w:b/>
          <w:sz w:val="28"/>
          <w:szCs w:val="28"/>
          <w:u w:val="single"/>
        </w:rPr>
      </w:pPr>
    </w:p>
    <w:p w14:paraId="4C0D6B31">
      <w:pPr>
        <w:rPr>
          <w:rFonts w:ascii="Times New Roman" w:hAnsi="Times New Roman" w:eastAsia="宋体" w:cs="Times New Roman"/>
          <w:b/>
          <w:sz w:val="28"/>
          <w:szCs w:val="28"/>
          <w:u w:val="single"/>
        </w:rPr>
      </w:pPr>
    </w:p>
    <w:p w14:paraId="52234974">
      <w:pPr>
        <w:rPr>
          <w:rFonts w:ascii="Times New Roman" w:hAnsi="Times New Roman" w:eastAsia="宋体" w:cs="Times New Roman"/>
          <w:b/>
          <w:sz w:val="28"/>
          <w:szCs w:val="28"/>
          <w:u w:val="single"/>
        </w:rPr>
      </w:pPr>
    </w:p>
    <w:p w14:paraId="788D5A84"/>
    <w:p w14:paraId="1DB29B55"/>
    <w:p w14:paraId="491C78AA">
      <w:pPr>
        <w:rPr>
          <w:b/>
          <w:sz w:val="24"/>
        </w:rPr>
      </w:pPr>
    </w:p>
    <w:p w14:paraId="306A790A">
      <w:pPr>
        <w:rPr>
          <w:b/>
          <w:sz w:val="24"/>
        </w:rPr>
      </w:pPr>
      <w:r>
        <w:rPr>
          <w:rFonts w:hint="eastAsia"/>
          <w:b/>
          <w:sz w:val="24"/>
        </w:rPr>
        <w:t>编制/日期：</w:t>
      </w:r>
      <w:r>
        <w:rPr>
          <w:rFonts w:hint="eastAsia"/>
          <w:sz w:val="24"/>
          <w:u w:val="single"/>
        </w:rPr>
        <w:t xml:space="preserve">                         </w:t>
      </w:r>
      <w:r>
        <w:rPr>
          <w:rFonts w:hint="eastAsia"/>
          <w:b/>
          <w:sz w:val="24"/>
        </w:rPr>
        <w:t>审核/日期：</w:t>
      </w:r>
      <w:r>
        <w:rPr>
          <w:rFonts w:hint="eastAsia"/>
          <w:sz w:val="24"/>
          <w:u w:val="single"/>
        </w:rPr>
        <w:t xml:space="preserve">                            </w:t>
      </w:r>
    </w:p>
    <w:p w14:paraId="49CD8E24">
      <w:pPr>
        <w:jc w:val="center"/>
        <w:rPr>
          <w:rFonts w:hint="eastAsia" w:eastAsia="宋体"/>
          <w:lang w:eastAsia="zh-CN"/>
        </w:rPr>
      </w:pPr>
    </w:p>
    <w:p w14:paraId="30DDAF68">
      <w:pPr>
        <w:jc w:val="center"/>
        <w:rPr>
          <w:rFonts w:hint="eastAsia" w:eastAsia="宋体"/>
          <w:lang w:eastAsia="zh-CN"/>
        </w:rPr>
      </w:pPr>
    </w:p>
    <w:p w14:paraId="7675064F">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440" w:right="1133"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0EAC3">
    <w:pPr>
      <w:pStyle w:val="3"/>
      <w:jc w:val="center"/>
    </w:pPr>
    <w:r>
      <w:fldChar w:fldCharType="begin"/>
    </w:r>
    <w:r>
      <w:instrText xml:space="preserve"> PAGE  \* MERGEFORMAT </w:instrText>
    </w:r>
    <w:r>
      <w:fldChar w:fldCharType="separate"/>
    </w:r>
    <w:r>
      <w:t>2</w:t>
    </w:r>
    <w:r>
      <w:fldChar w:fldCharType="end"/>
    </w:r>
    <w:r>
      <w:rPr>
        <w:rFonts w:hint="eastAsia"/>
      </w:rPr>
      <w:t>/</w:t>
    </w:r>
    <w:r>
      <w:rPr>
        <w:rStyle w:val="7"/>
        <w:szCs w:val="21"/>
      </w:rPr>
      <w:fldChar w:fldCharType="begin"/>
    </w:r>
    <w:r>
      <w:rPr>
        <w:rStyle w:val="7"/>
        <w:szCs w:val="21"/>
      </w:rPr>
      <w:instrText xml:space="preserve"> NUMPAGES </w:instrText>
    </w:r>
    <w:r>
      <w:rPr>
        <w:rStyle w:val="7"/>
        <w:szCs w:val="21"/>
      </w:rPr>
      <w:fldChar w:fldCharType="separate"/>
    </w:r>
    <w:r>
      <w:rPr>
        <w:rStyle w:val="7"/>
        <w:szCs w:val="21"/>
      </w:rPr>
      <w:t>3</w:t>
    </w:r>
    <w:r>
      <w:rPr>
        <w:rStyle w:val="7"/>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3FFA3">
    <w:pPr>
      <w:pStyle w:val="4"/>
      <w:jc w:val="right"/>
    </w:pPr>
    <w:r>
      <w:rPr>
        <w:rFonts w:hint="eastAsia"/>
      </w:rPr>
      <w:t>编号：</w:t>
    </w:r>
    <w:r>
      <w:rPr>
        <w:rFonts w:hint="eastAsia"/>
        <w:color w:val="FF0000"/>
      </w:rPr>
      <w:t>QQQ</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28C4"/>
    <w:rsid w:val="00090003"/>
    <w:rsid w:val="000B0219"/>
    <w:rsid w:val="000B762B"/>
    <w:rsid w:val="000D4ED9"/>
    <w:rsid w:val="000E7266"/>
    <w:rsid w:val="001238F8"/>
    <w:rsid w:val="00127154"/>
    <w:rsid w:val="00170683"/>
    <w:rsid w:val="001C733E"/>
    <w:rsid w:val="001E2B60"/>
    <w:rsid w:val="00277466"/>
    <w:rsid w:val="00283BD6"/>
    <w:rsid w:val="002A2F00"/>
    <w:rsid w:val="002A6750"/>
    <w:rsid w:val="002F599C"/>
    <w:rsid w:val="003E4C3B"/>
    <w:rsid w:val="004210D8"/>
    <w:rsid w:val="0046666C"/>
    <w:rsid w:val="004A0884"/>
    <w:rsid w:val="004D4567"/>
    <w:rsid w:val="004D66C8"/>
    <w:rsid w:val="004D6BA8"/>
    <w:rsid w:val="005118AA"/>
    <w:rsid w:val="005850A8"/>
    <w:rsid w:val="006B4BD5"/>
    <w:rsid w:val="006C3783"/>
    <w:rsid w:val="006D002F"/>
    <w:rsid w:val="006F17A7"/>
    <w:rsid w:val="00773CF0"/>
    <w:rsid w:val="007774E6"/>
    <w:rsid w:val="00781632"/>
    <w:rsid w:val="00782A39"/>
    <w:rsid w:val="0079242B"/>
    <w:rsid w:val="00832C1F"/>
    <w:rsid w:val="00853A1B"/>
    <w:rsid w:val="00874654"/>
    <w:rsid w:val="00903522"/>
    <w:rsid w:val="00903C52"/>
    <w:rsid w:val="00907009"/>
    <w:rsid w:val="00924658"/>
    <w:rsid w:val="009351A2"/>
    <w:rsid w:val="009974BB"/>
    <w:rsid w:val="009D5C64"/>
    <w:rsid w:val="009E42D7"/>
    <w:rsid w:val="00A07A0D"/>
    <w:rsid w:val="00A87A72"/>
    <w:rsid w:val="00A91DF1"/>
    <w:rsid w:val="00AA0C9F"/>
    <w:rsid w:val="00AA450C"/>
    <w:rsid w:val="00AC0FCE"/>
    <w:rsid w:val="00AF181C"/>
    <w:rsid w:val="00B06379"/>
    <w:rsid w:val="00B853A0"/>
    <w:rsid w:val="00BC01C7"/>
    <w:rsid w:val="00BE27CA"/>
    <w:rsid w:val="00C328C4"/>
    <w:rsid w:val="00C36545"/>
    <w:rsid w:val="00C578EC"/>
    <w:rsid w:val="00CA3BAF"/>
    <w:rsid w:val="00D76B5B"/>
    <w:rsid w:val="00E304DC"/>
    <w:rsid w:val="00E32338"/>
    <w:rsid w:val="00E5061C"/>
    <w:rsid w:val="00EB1340"/>
    <w:rsid w:val="00EC35E8"/>
    <w:rsid w:val="00F148F0"/>
    <w:rsid w:val="00F80840"/>
    <w:rsid w:val="00F82F18"/>
    <w:rsid w:val="00F9117D"/>
    <w:rsid w:val="00FA614C"/>
    <w:rsid w:val="00FF1162"/>
    <w:rsid w:val="17DE7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basedOn w:val="6"/>
    <w:link w:val="4"/>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批注框文本 Char"/>
    <w:basedOn w:val="6"/>
    <w:link w:val="2"/>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cr</Company>
  <Pages>3</Pages>
  <Words>1633</Words>
  <Characters>1738</Characters>
  <Lines>13</Lines>
  <Paragraphs>3</Paragraphs>
  <TotalTime>371</TotalTime>
  <ScaleCrop>false</ScaleCrop>
  <LinksUpToDate>false</LinksUpToDate>
  <CharactersWithSpaces>1801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2016-04-07T03:31:00Z</dcterms:created>
  <dc:creator>康艺</dc:creator>
  <cp:lastModifiedBy>太极箫客</cp:lastModifiedBy>
  <dcterms:modified xsi:type="dcterms:W3CDTF">2025-08-14T06:14:12Z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DC9951A5230042439701F5149C225903_12</vt:lpwstr>
  </property>
</Properties>
</file>