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C298A">
      <w:pPr>
        <w:pBdr>
          <w:bottom w:val="single" w:color="auto" w:sz="4" w:space="1"/>
        </w:pBdr>
        <w:wordWrap w:val="0"/>
        <w:adjustRightInd w:val="0"/>
        <w:snapToGrid w:val="0"/>
        <w:spacing w:before="120" w:beforeLines="50" w:line="300" w:lineRule="auto"/>
        <w:jc w:val="center"/>
        <w:rPr>
          <w:rFonts w:ascii="Times New Roman" w:hAnsi="Times New Roman" w:cs="Times New Roman"/>
          <w:b/>
          <w:bCs/>
          <w:snapToGrid w:val="0"/>
          <w:sz w:val="44"/>
          <w:szCs w:val="44"/>
          <w:lang w:eastAsia="zh-CN"/>
        </w:rPr>
      </w:pPr>
      <w:bookmarkStart w:id="0" w:name="_GoBack"/>
      <w:bookmarkEnd w:id="0"/>
      <w:r>
        <w:rPr>
          <w:rFonts w:ascii="Times New Roman" w:hAnsi="Times New Roman" w:eastAsia="宋体" w:cs="宋体"/>
          <w:b/>
          <w:sz w:val="44"/>
          <w:lang w:eastAsia="zh-CN"/>
        </w:rPr>
        <w:t>骨科非脊柱用金属接骨螺钉和垫圈–基于安全性和性能途径的性能标准</w:t>
      </w:r>
    </w:p>
    <w:p w14:paraId="49625E96">
      <w:pPr>
        <w:wordWrap w:val="0"/>
        <w:adjustRightInd w:val="0"/>
        <w:snapToGrid w:val="0"/>
        <w:spacing w:before="120" w:beforeLines="50" w:line="300" w:lineRule="auto"/>
        <w:jc w:val="center"/>
        <w:rPr>
          <w:rFonts w:ascii="Times New Roman" w:hAnsi="Times New Roman" w:cs="Times New Roman"/>
          <w:snapToGrid w:val="0"/>
          <w:sz w:val="44"/>
          <w:szCs w:val="44"/>
          <w:lang w:eastAsia="zh-CN"/>
        </w:rPr>
      </w:pPr>
      <w:r>
        <w:rPr>
          <w:rFonts w:ascii="Times New Roman" w:hAnsi="Times New Roman" w:eastAsia="宋体" w:cs="宋体"/>
          <w:b/>
          <w:sz w:val="44"/>
          <w:lang w:eastAsia="zh-CN"/>
        </w:rPr>
        <w:t>面向行业和美国食品药品监督管理局工作人员的指南</w:t>
      </w:r>
    </w:p>
    <w:p w14:paraId="5DD376F5">
      <w:pPr>
        <w:wordWrap w:val="0"/>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文件发布日期：2020年12月11日</w:t>
      </w:r>
    </w:p>
    <w:p w14:paraId="14878660">
      <w:pPr>
        <w:wordWrap w:val="0"/>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文件草案发布日期：2019年9月20日</w:t>
      </w:r>
    </w:p>
    <w:p w14:paraId="2E3ABD89">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如对本文件有任何疑问，请致电301-796-5650联系立体定位、外伤和康复器械部（DHT6C）。</w:t>
      </w:r>
    </w:p>
    <w:p w14:paraId="1E85EE23">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130D857E">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08C6DEE9">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50624398">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64C80BD6">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697B06FA">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2FC796CA">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16F0816D">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23A1F55C">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174E9E32">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3E179A7D">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6"/>
        <w:gridCol w:w="4541"/>
      </w:tblGrid>
      <w:tr w14:paraId="2135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2A8E7B56">
            <w:pPr>
              <w:wordWrap w:val="0"/>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lang w:eastAsia="zh-CN"/>
              </w:rPr>
              <w:drawing>
                <wp:inline distT="0" distB="0" distL="0" distR="0">
                  <wp:extent cx="2847975" cy="800100"/>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srcRect/>
                          <a:stretch>
                            <a:fillRect/>
                          </a:stretch>
                        </pic:blipFill>
                        <pic:spPr>
                          <a:xfrm>
                            <a:off x="0" y="0"/>
                            <a:ext cx="2847975" cy="800100"/>
                          </a:xfrm>
                          <a:prstGeom prst="rect">
                            <a:avLst/>
                          </a:prstGeom>
                          <a:noFill/>
                          <a:ln w="9525">
                            <a:noFill/>
                            <a:miter lim="800000"/>
                            <a:headEnd/>
                            <a:tailEnd/>
                          </a:ln>
                        </pic:spPr>
                      </pic:pic>
                    </a:graphicData>
                  </a:graphic>
                </wp:inline>
              </w:drawing>
            </w:r>
          </w:p>
        </w:tc>
        <w:tc>
          <w:tcPr>
            <w:tcW w:w="4644" w:type="dxa"/>
          </w:tcPr>
          <w:p w14:paraId="371E687C">
            <w:pPr>
              <w:wordWrap w:val="0"/>
              <w:adjustRightInd w:val="0"/>
              <w:snapToGrid w:val="0"/>
              <w:spacing w:before="120" w:beforeLines="50" w:line="300"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1"/>
                <w:lang w:eastAsia="zh-CN"/>
              </w:rPr>
              <w:t>美国卫生与公共服务部</w:t>
            </w:r>
          </w:p>
          <w:p w14:paraId="249B3983">
            <w:pPr>
              <w:wordWrap w:val="0"/>
              <w:adjustRightInd w:val="0"/>
              <w:snapToGrid w:val="0"/>
              <w:spacing w:before="120" w:beforeLines="50" w:line="300"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1"/>
                <w:lang w:eastAsia="zh-CN"/>
              </w:rPr>
              <w:t>美国食品药品监督管理局</w:t>
            </w:r>
          </w:p>
          <w:p w14:paraId="71FA0F9C">
            <w:pPr>
              <w:wordWrap w:val="0"/>
              <w:adjustRightInd w:val="0"/>
              <w:snapToGrid w:val="0"/>
              <w:spacing w:before="120" w:beforeLines="50" w:line="300" w:lineRule="auto"/>
              <w:jc w:val="right"/>
              <w:rPr>
                <w:rFonts w:ascii="Times New Roman" w:hAnsi="Times New Roman" w:cs="Times New Roman"/>
                <w:snapToGrid w:val="0"/>
                <w:sz w:val="24"/>
                <w:szCs w:val="24"/>
                <w:lang w:eastAsia="zh-CN"/>
              </w:rPr>
            </w:pPr>
            <w:r>
              <w:rPr>
                <w:rFonts w:ascii="Times New Roman" w:hAnsi="Times New Roman" w:eastAsia="宋体" w:cs="宋体"/>
                <w:b/>
                <w:sz w:val="21"/>
                <w:lang w:eastAsia="zh-CN"/>
              </w:rPr>
              <w:t>医疗器械和辐射健康中心</w:t>
            </w:r>
          </w:p>
        </w:tc>
      </w:tr>
    </w:tbl>
    <w:p w14:paraId="249E9D22">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73FEE4EF">
      <w:pPr>
        <w:wordWrap w:val="0"/>
        <w:adjustRightInd w:val="0"/>
        <w:snapToGrid w:val="0"/>
        <w:spacing w:before="120" w:beforeLines="50" w:line="300" w:lineRule="auto"/>
        <w:jc w:val="center"/>
        <w:rPr>
          <w:rFonts w:ascii="Times New Roman" w:hAnsi="Times New Roman" w:cs="Times New Roman"/>
          <w:snapToGrid w:val="0"/>
          <w:sz w:val="32"/>
          <w:szCs w:val="32"/>
        </w:rPr>
      </w:pPr>
      <w:r>
        <w:rPr>
          <w:rFonts w:ascii="Times New Roman" w:hAnsi="Times New Roman" w:eastAsia="宋体" w:cs="宋体"/>
          <w:b/>
          <w:sz w:val="32"/>
        </w:rPr>
        <w:t>前言</w:t>
      </w:r>
    </w:p>
    <w:p w14:paraId="14A19EE3">
      <w:pPr>
        <w:wordWrap w:val="0"/>
        <w:adjustRightInd w:val="0"/>
        <w:snapToGrid w:val="0"/>
        <w:spacing w:before="120" w:beforeLines="50" w:line="300" w:lineRule="auto"/>
        <w:jc w:val="both"/>
        <w:rPr>
          <w:rFonts w:ascii="Times New Roman" w:hAnsi="Times New Roman" w:cs="Times New Roman"/>
          <w:snapToGrid w:val="0"/>
          <w:sz w:val="28"/>
          <w:szCs w:val="28"/>
        </w:rPr>
      </w:pPr>
      <w:r>
        <w:rPr>
          <w:rFonts w:ascii="Times New Roman" w:hAnsi="Times New Roman" w:eastAsia="宋体" w:cs="宋体"/>
          <w:b/>
          <w:sz w:val="28"/>
        </w:rPr>
        <w:t>公众意见</w:t>
      </w:r>
    </w:p>
    <w:p w14:paraId="66772B05">
      <w:pPr>
        <w:snapToGrid w:val="0"/>
        <w:spacing w:before="120" w:beforeLines="5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rPr>
        <w:t>电子版意见和建议可随时提交至</w:t>
      </w:r>
      <w:r>
        <w:fldChar w:fldCharType="begin"/>
      </w:r>
      <w:r>
        <w:instrText xml:space="preserve"> HYPERLINK "https://www.regulations.gov/" \h </w:instrText>
      </w:r>
      <w:r>
        <w:fldChar w:fldCharType="separate"/>
      </w:r>
      <w:r>
        <w:rPr>
          <w:rFonts w:ascii="Times New Roman" w:hAnsi="Times New Roman" w:eastAsia="宋体" w:cs="宋体"/>
          <w:color w:val="0000FF"/>
          <w:sz w:val="24"/>
          <w:szCs w:val="24"/>
          <w:u w:val="single" w:color="0000FF"/>
        </w:rPr>
        <w:t>http://www.regulations.gov</w:t>
      </w:r>
      <w:r>
        <w:rPr>
          <w:rFonts w:ascii="Times New Roman" w:hAnsi="Times New Roman" w:eastAsia="宋体" w:cs="宋体"/>
          <w:color w:val="0000FF"/>
          <w:sz w:val="24"/>
          <w:szCs w:val="24"/>
          <w:u w:val="single" w:color="0000FF"/>
        </w:rPr>
        <w:fldChar w:fldCharType="end"/>
      </w:r>
      <w:r>
        <w:rPr>
          <w:rFonts w:ascii="Times New Roman" w:hAnsi="Times New Roman" w:eastAsia="宋体" w:cs="宋体"/>
          <w:sz w:val="24"/>
        </w:rPr>
        <w:t>，供FDA审议。</w:t>
      </w:r>
      <w:r>
        <w:rPr>
          <w:rFonts w:ascii="Times New Roman" w:hAnsi="Times New Roman" w:eastAsia="宋体" w:cs="宋体"/>
          <w:color w:val="000000"/>
          <w:sz w:val="24"/>
        </w:rPr>
        <w:t>可将书面意见提交至：美国食品药品监督管理局备案文件管理部，</w:t>
      </w:r>
      <w:r>
        <w:rPr>
          <w:rFonts w:hint="eastAsia" w:ascii="Times New Roman" w:hAnsi="Times New Roman" w:eastAsia="宋体" w:cs="宋体"/>
          <w:color w:val="000000"/>
          <w:sz w:val="24"/>
        </w:rPr>
        <w:t>地址为5630 Fishers Lane, Room 1061, (HFA-305), Rockville, MD 20852。</w:t>
      </w:r>
      <w:r>
        <w:rPr>
          <w:rFonts w:ascii="Times New Roman" w:hAnsi="Times New Roman" w:eastAsia="宋体" w:cs="宋体"/>
          <w:color w:val="000000"/>
          <w:sz w:val="24"/>
          <w:lang w:eastAsia="zh-CN"/>
        </w:rPr>
        <w:t>所有意见或建议均应注明备案文件编号FDA-2019-D-1652。下次修订或更新本文件时，FDA将考虑实施该意见。</w:t>
      </w:r>
    </w:p>
    <w:p w14:paraId="175919E6">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50433F35">
      <w:pPr>
        <w:wordWrap w:val="0"/>
        <w:adjustRightInd w:val="0"/>
        <w:snapToGrid w:val="0"/>
        <w:spacing w:before="120" w:beforeLines="50" w:line="300" w:lineRule="auto"/>
        <w:jc w:val="both"/>
        <w:rPr>
          <w:rFonts w:ascii="Times New Roman" w:hAnsi="Times New Roman" w:cs="Times New Roman"/>
          <w:snapToGrid w:val="0"/>
          <w:sz w:val="28"/>
          <w:szCs w:val="28"/>
          <w:lang w:eastAsia="zh-CN"/>
        </w:rPr>
      </w:pPr>
      <w:r>
        <w:rPr>
          <w:rFonts w:ascii="Times New Roman" w:hAnsi="Times New Roman" w:eastAsia="宋体" w:cs="宋体"/>
          <w:b/>
          <w:sz w:val="28"/>
          <w:lang w:eastAsia="zh-CN"/>
        </w:rPr>
        <w:t>更多副本</w:t>
      </w:r>
    </w:p>
    <w:p w14:paraId="3EDCA600">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更多副本可通过互联网</w:t>
      </w:r>
      <w:r>
        <w:rPr>
          <w:rFonts w:hint="eastAsia" w:ascii="Times New Roman" w:hAnsi="Times New Roman" w:eastAsia="宋体" w:cs="宋体"/>
          <w:sz w:val="24"/>
          <w:lang w:eastAsia="zh-CN"/>
        </w:rPr>
        <w:t>获取</w:t>
      </w:r>
      <w:r>
        <w:rPr>
          <w:rFonts w:ascii="Times New Roman" w:hAnsi="Times New Roman" w:eastAsia="宋体" w:cs="宋体"/>
          <w:sz w:val="24"/>
          <w:lang w:eastAsia="zh-CN"/>
        </w:rPr>
        <w:t>。也可通过电子邮件发送请求至</w:t>
      </w:r>
      <w:r>
        <w:fldChar w:fldCharType="begin"/>
      </w:r>
      <w:r>
        <w:instrText xml:space="preserve"> HYPERLINK "mailto:CDRH-Guidance@fda.hhs.gov" \h </w:instrText>
      </w:r>
      <w:r>
        <w:fldChar w:fldCharType="separate"/>
      </w:r>
      <w:r>
        <w:rPr>
          <w:rFonts w:ascii="Times New Roman" w:hAnsi="Times New Roman" w:eastAsia="宋体" w:cs="宋体"/>
          <w:snapToGrid w:val="0"/>
          <w:color w:val="0000FF"/>
          <w:sz w:val="24"/>
          <w:szCs w:val="24"/>
          <w:u w:val="single" w:color="0000FF"/>
          <w:lang w:eastAsia="zh-CN"/>
        </w:rPr>
        <w:t>CDRH-</w:t>
      </w:r>
      <w:r>
        <w:rPr>
          <w:rFonts w:ascii="Times New Roman" w:hAnsi="Times New Roman" w:eastAsia="宋体" w:cs="宋体"/>
          <w:snapToGrid w:val="0"/>
          <w:color w:val="0000FF"/>
          <w:sz w:val="24"/>
          <w:szCs w:val="24"/>
          <w:u w:val="single" w:color="0000FF"/>
          <w:lang w:eastAsia="zh-CN"/>
        </w:rPr>
        <w:fldChar w:fldCharType="end"/>
      </w:r>
      <w:r>
        <w:fldChar w:fldCharType="begin"/>
      </w:r>
      <w:r>
        <w:instrText xml:space="preserve"> HYPERLINK "mailto:CDRH-Guidance@fda.hhs.gov" \h </w:instrText>
      </w:r>
      <w:r>
        <w:fldChar w:fldCharType="separate"/>
      </w:r>
      <w:r>
        <w:rPr>
          <w:rFonts w:ascii="Times New Roman" w:hAnsi="Times New Roman" w:eastAsia="宋体" w:cs="宋体"/>
          <w:snapToGrid w:val="0"/>
          <w:color w:val="0000FF"/>
          <w:sz w:val="24"/>
          <w:szCs w:val="24"/>
          <w:u w:val="single" w:color="0000FF"/>
          <w:lang w:eastAsia="zh-CN"/>
        </w:rPr>
        <w:t>Guidance@fda.hhs.gov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color w:val="000000"/>
          <w:sz w:val="24"/>
          <w:lang w:eastAsia="zh-CN"/>
        </w:rPr>
        <w:t>获取本指南的副本</w:t>
      </w:r>
      <w:r>
        <w:rPr>
          <w:rFonts w:ascii="Times New Roman" w:hAnsi="Times New Roman" w:eastAsia="宋体" w:cs="宋体"/>
          <w:sz w:val="24"/>
          <w:lang w:eastAsia="zh-CN"/>
        </w:rPr>
        <w:t>。请在申请中注明备案文件编号19009和指南的完整标题。</w:t>
      </w:r>
    </w:p>
    <w:p w14:paraId="31D92E5C">
      <w:pPr>
        <w:wordWrap w:val="0"/>
        <w:adjustRightInd w:val="0"/>
        <w:snapToGrid w:val="0"/>
        <w:spacing w:before="120" w:beforeLines="50" w:line="300" w:lineRule="auto"/>
        <w:jc w:val="both"/>
        <w:rPr>
          <w:rFonts w:ascii="Times New Roman" w:hAnsi="Times New Roman" w:cs="Times New Roman"/>
          <w:snapToGrid w:val="0"/>
          <w:sz w:val="24"/>
          <w:szCs w:val="24"/>
          <w:lang w:eastAsia="zh-CN"/>
        </w:rPr>
        <w:sectPr>
          <w:headerReference r:id="rId3" w:type="default"/>
          <w:pgSz w:w="11907" w:h="16840"/>
          <w:pgMar w:top="1418" w:right="1418" w:bottom="1418" w:left="1418" w:header="720" w:footer="720" w:gutter="0"/>
          <w:cols w:space="720" w:num="1"/>
        </w:sectPr>
      </w:pPr>
      <w:r>
        <w:rPr>
          <w:rFonts w:ascii="Times New Roman" w:hAnsi="Times New Roman" w:eastAsia="宋体" w:cs="宋体"/>
          <w:sz w:val="24"/>
          <w:lang w:eastAsia="zh-CN"/>
        </w:rPr>
        <w:br w:type="page"/>
      </w:r>
    </w:p>
    <w:p w14:paraId="73D44986">
      <w:pPr>
        <w:pBdr>
          <w:bottom w:val="single" w:color="auto" w:sz="4" w:space="1"/>
        </w:pBdr>
        <w:wordWrap w:val="0"/>
        <w:adjustRightInd w:val="0"/>
        <w:snapToGrid w:val="0"/>
        <w:spacing w:before="120" w:beforeLines="50" w:line="300" w:lineRule="auto"/>
        <w:jc w:val="center"/>
        <w:rPr>
          <w:rFonts w:ascii="Times New Roman" w:hAnsi="Times New Roman" w:cs="Times New Roman"/>
          <w:b/>
          <w:bCs/>
          <w:snapToGrid w:val="0"/>
          <w:sz w:val="44"/>
          <w:szCs w:val="44"/>
          <w:lang w:eastAsia="zh-CN"/>
        </w:rPr>
      </w:pPr>
      <w:r>
        <w:rPr>
          <w:rFonts w:ascii="Times New Roman" w:hAnsi="Times New Roman" w:eastAsia="宋体" w:cs="宋体"/>
          <w:b/>
          <w:sz w:val="44"/>
          <w:lang w:eastAsia="zh-CN"/>
        </w:rPr>
        <w:t>骨科非脊柱用金属接骨螺钉和垫圈–基于安全性和性能途径的性能标准</w:t>
      </w:r>
    </w:p>
    <w:p w14:paraId="32158C2C">
      <w:pPr>
        <w:wordWrap w:val="0"/>
        <w:adjustRightInd w:val="0"/>
        <w:snapToGrid w:val="0"/>
        <w:spacing w:before="120" w:beforeLines="50" w:line="300" w:lineRule="auto"/>
        <w:jc w:val="center"/>
        <w:rPr>
          <w:rFonts w:ascii="Times New Roman" w:hAnsi="Times New Roman" w:cs="Times New Roman"/>
          <w:snapToGrid w:val="0"/>
          <w:sz w:val="44"/>
          <w:szCs w:val="44"/>
          <w:lang w:eastAsia="zh-CN"/>
        </w:rPr>
      </w:pPr>
      <w:r>
        <w:rPr>
          <w:rFonts w:ascii="Times New Roman" w:hAnsi="Times New Roman" w:eastAsia="宋体" w:cs="宋体"/>
          <w:b/>
          <w:sz w:val="44"/>
          <w:lang w:eastAsia="zh-CN"/>
        </w:rPr>
        <w:t>面向行业和美国食品药品监督管理局工作人员的指南</w:t>
      </w:r>
    </w:p>
    <w:tbl>
      <w:tblPr>
        <w:tblStyle w:val="5"/>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287"/>
      </w:tblGrid>
      <w:tr w14:paraId="00AE8755">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c>
          <w:tcPr>
            <w:tcW w:w="5000" w:type="pct"/>
          </w:tcPr>
          <w:p w14:paraId="7FAF3C70">
            <w:pPr>
              <w:wordWrap w:val="0"/>
              <w:adjustRightInd w:val="0"/>
              <w:snapToGrid w:val="0"/>
              <w:spacing w:before="120" w:beforeLines="50" w:line="300" w:lineRule="auto"/>
              <w:jc w:val="both"/>
              <w:rPr>
                <w:rFonts w:ascii="Times New Roman" w:hAnsi="Times New Roman" w:cs="Times New Roman"/>
                <w:snapToGrid w:val="0"/>
                <w:sz w:val="21"/>
                <w:szCs w:val="21"/>
                <w:lang w:eastAsia="zh-CN"/>
              </w:rPr>
            </w:pPr>
            <w:r>
              <w:rPr>
                <w:rFonts w:hint="eastAsia" w:ascii="Times New Roman" w:hAnsi="Times New Roman" w:eastAsia="宋体" w:cs="宋体"/>
                <w:b/>
                <w:i/>
                <w:sz w:val="21"/>
                <w:lang w:eastAsia="zh-CN"/>
              </w:rPr>
              <w:t>本指南草案代表食品药品监督管理局（FDA或本机构）目前关于该主题的思考。其不会为任何人创造或赋予任何权利，也不会对FDA或公众产生约束。如果替代方法满足适用的法律法规的要求，则可以使用该替代方法。如需讨论替代方法，请联系标题页列出的负责实施本指南文件的FDA工作人员或办公室。</w:t>
            </w:r>
          </w:p>
        </w:tc>
      </w:tr>
    </w:tbl>
    <w:p w14:paraId="428A780F">
      <w:pPr>
        <w:numPr>
          <w:ilvl w:val="0"/>
          <w:numId w:val="1"/>
        </w:numPr>
        <w:tabs>
          <w:tab w:val="left" w:pos="1019"/>
        </w:tabs>
        <w:wordWrap w:val="0"/>
        <w:adjustRightInd w:val="0"/>
        <w:snapToGrid w:val="0"/>
        <w:spacing w:before="120" w:beforeLines="50" w:line="300" w:lineRule="auto"/>
        <w:ind w:left="562" w:hanging="562" w:hangingChars="200"/>
        <w:jc w:val="both"/>
        <w:rPr>
          <w:rFonts w:ascii="Times New Roman" w:hAnsi="Times New Roman" w:cs="Times New Roman"/>
          <w:b/>
          <w:bCs/>
          <w:snapToGrid w:val="0"/>
          <w:sz w:val="28"/>
          <w:szCs w:val="28"/>
        </w:rPr>
      </w:pPr>
      <w:r>
        <w:rPr>
          <w:rFonts w:ascii="Times New Roman" w:hAnsi="Times New Roman" w:eastAsia="宋体" w:cs="宋体"/>
          <w:b/>
          <w:sz w:val="28"/>
        </w:rPr>
        <w:t>引言</w:t>
      </w:r>
    </w:p>
    <w:p w14:paraId="552CA96C">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本指南提供了非脊柱用金属接骨螺钉及其相关垫圈的性能标准，以支持</w:t>
      </w:r>
      <w:r>
        <w:rPr>
          <w:rFonts w:ascii="Times New Roman" w:hAnsi="Times New Roman"/>
        </w:rPr>
        <w:fldChar w:fldCharType="begin"/>
      </w:r>
      <w:r>
        <w:rPr>
          <w:rFonts w:ascii="Times New Roman" w:hAnsi="Times New Roman"/>
          <w:lang w:eastAsia="zh-CN"/>
        </w:rPr>
        <w:instrText xml:space="preserve"> HYPERLINK "https://www.fda.gov/regulatory-information/search-fda-guidance-documents/safety-and-performance-based-pathway" \h </w:instrText>
      </w:r>
      <w:r>
        <w:rPr>
          <w:rFonts w:ascii="Times New Roman" w:hAnsi="Times New Roman"/>
        </w:rPr>
        <w:fldChar w:fldCharType="separate"/>
      </w:r>
      <w:r>
        <w:rPr>
          <w:rFonts w:ascii="Times New Roman" w:hAnsi="Times New Roman" w:eastAsia="宋体" w:cs="宋体"/>
          <w:snapToGrid w:val="0"/>
          <w:color w:val="0000FF"/>
          <w:sz w:val="24"/>
          <w:szCs w:val="24"/>
          <w:u w:val="single" w:color="0000FF"/>
          <w:lang w:eastAsia="zh-CN"/>
        </w:rPr>
        <w:t>基于安全性和性能的途径</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w:t>
      </w:r>
      <w:r>
        <w:rPr>
          <w:rFonts w:hint="eastAsia" w:ascii="Times New Roman" w:hAnsi="Times New Roman" w:eastAsia="宋体" w:cs="宋体"/>
          <w:sz w:val="24"/>
          <w:lang w:eastAsia="zh-CN"/>
        </w:rPr>
        <w:t>依据该</w:t>
      </w:r>
      <w:r>
        <w:rPr>
          <w:rFonts w:ascii="Times New Roman" w:hAnsi="Times New Roman" w:eastAsia="宋体" w:cs="宋体"/>
          <w:sz w:val="24"/>
          <w:lang w:eastAsia="zh-CN"/>
        </w:rPr>
        <w:t>框架，计划通过基于安全性和性能的途径提交510(k)非脊柱用金属接骨螺钉和垫圈的注册申报者，将可以选择使用本指南中提出的性能标准来支持其实质等同性，而无需直接比较申报器械与同品种器械的性能。</w:t>
      </w:r>
    </w:p>
    <w:p w14:paraId="2D6C6E99">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请登录</w:t>
      </w:r>
      <w:r>
        <w:fldChar w:fldCharType="begin"/>
      </w:r>
      <w:r>
        <w:rPr>
          <w:lang w:eastAsia="zh-CN"/>
        </w:rPr>
        <w:instrText xml:space="preserve"> HYPERLINK "http://www.accessdata.fda.gov/scripts/cdrh/cfdocs/cfStandards/search.cfm" \h </w:instrText>
      </w:r>
      <w:r>
        <w:fldChar w:fldCharType="separate"/>
      </w:r>
      <w:r>
        <w:rPr>
          <w:rFonts w:ascii="Times New Roman" w:hAnsi="Times New Roman" w:eastAsia="宋体" w:cs="宋体"/>
          <w:snapToGrid w:val="0"/>
          <w:color w:val="0000FF"/>
          <w:sz w:val="24"/>
          <w:szCs w:val="24"/>
          <w:u w:val="single" w:color="0000FF"/>
          <w:lang w:eastAsia="zh-CN"/>
        </w:rPr>
        <w:t>FDA共识标准数据库</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获取在本文中所引用的现行版FDA认可的标准。</w:t>
      </w:r>
      <w:r>
        <w:rPr>
          <w:rFonts w:ascii="Times New Roman" w:hAnsi="Times New Roman" w:eastAsia="宋体" w:cs="宋体"/>
          <w:sz w:val="24"/>
          <w:vertAlign w:val="superscript"/>
          <w:lang w:eastAsia="zh-CN"/>
        </w:rPr>
        <w:t>2</w:t>
      </w:r>
      <w:r>
        <w:rPr>
          <w:rFonts w:ascii="Times New Roman" w:hAnsi="Times New Roman" w:eastAsia="宋体" w:cs="宋体"/>
          <w:sz w:val="24"/>
          <w:lang w:eastAsia="zh-CN"/>
        </w:rPr>
        <w:t>关于在监管申请中使用共识标准的更多信息，请参见标题为《</w:t>
      </w:r>
      <w:r>
        <w:rPr>
          <w:rFonts w:ascii="Times New Roman" w:hAnsi="Times New Roman"/>
        </w:rPr>
        <w:fldChar w:fldCharType="begin"/>
      </w:r>
      <w:r>
        <w:rPr>
          <w:rFonts w:ascii="Times New Roman" w:hAnsi="Times New Roman"/>
          <w:lang w:eastAsia="zh-CN"/>
        </w:rPr>
        <w:instrText xml:space="preserve"> HYPERLINK "https://www.fda.gov/regulatory-information/search-fda-guidance-documents/appropriate-use-voluntary-consensus-standards-premarket-submissions-medical-devices" \h </w:instrText>
      </w:r>
      <w:r>
        <w:rPr>
          <w:rFonts w:ascii="Times New Roman" w:hAnsi="Times New Roman"/>
        </w:rPr>
        <w:fldChar w:fldCharType="separate"/>
      </w:r>
      <w:r>
        <w:rPr>
          <w:rFonts w:ascii="Times New Roman" w:hAnsi="Times New Roman" w:eastAsia="宋体" w:cs="宋体"/>
          <w:snapToGrid w:val="0"/>
          <w:color w:val="0000FF"/>
          <w:sz w:val="24"/>
          <w:szCs w:val="24"/>
          <w:u w:val="single" w:color="0000FF"/>
          <w:lang w:eastAsia="zh-CN"/>
        </w:rPr>
        <w:t>在医疗器械上市前申请中适当使用自愿性共识标准</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lang w:eastAsia="zh-CN"/>
        </w:rPr>
        <w:t>》的FDA指南。</w:t>
      </w:r>
      <w:r>
        <w:rPr>
          <w:rFonts w:ascii="Times New Roman" w:hAnsi="Times New Roman"/>
        </w:rPr>
        <w:fldChar w:fldCharType="begin"/>
      </w:r>
      <w:r>
        <w:rPr>
          <w:rFonts w:ascii="Times New Roman" w:hAnsi="Times New Roman"/>
          <w:lang w:eastAsia="zh-CN"/>
        </w:rPr>
        <w:instrText xml:space="preserve"> HYPERLINK \l "_bookmark2" </w:instrText>
      </w:r>
      <w:r>
        <w:rPr>
          <w:rFonts w:ascii="Times New Roman" w:hAnsi="Times New Roman"/>
        </w:rPr>
        <w:fldChar w:fldCharType="separate"/>
      </w:r>
      <w:r>
        <w:rPr>
          <w:rFonts w:ascii="Times New Roman" w:hAnsi="Times New Roman" w:eastAsia="宋体" w:cs="宋体"/>
          <w:snapToGrid w:val="0"/>
          <w:color w:val="000000"/>
          <w:sz w:val="24"/>
          <w:szCs w:val="24"/>
          <w:vertAlign w:val="superscript"/>
          <w:lang w:eastAsia="zh-CN"/>
        </w:rPr>
        <w:t>3</w:t>
      </w:r>
      <w:r>
        <w:rPr>
          <w:rFonts w:ascii="Times New Roman" w:hAnsi="Times New Roman" w:eastAsia="宋体" w:cs="宋体"/>
          <w:snapToGrid w:val="0"/>
          <w:color w:val="000000"/>
          <w:sz w:val="24"/>
          <w:szCs w:val="24"/>
          <w:vertAlign w:val="superscript"/>
        </w:rPr>
        <w:fldChar w:fldCharType="end"/>
      </w:r>
    </w:p>
    <w:p w14:paraId="3F7A8B47">
      <w:pPr>
        <w:wordWrap w:val="0"/>
        <w:adjustRightInd w:val="0"/>
        <w:snapToGrid w:val="0"/>
        <w:spacing w:before="120" w:beforeLines="50" w:line="300" w:lineRule="auto"/>
        <w:jc w:val="both"/>
        <w:rPr>
          <w:rFonts w:ascii="Times New Roman" w:hAnsi="Times New Roman" w:eastAsia="宋体" w:cs="宋体"/>
          <w:sz w:val="24"/>
          <w:lang w:eastAsia="zh-CN"/>
        </w:rPr>
      </w:pPr>
      <w:r>
        <w:rPr>
          <w:rFonts w:hint="eastAsia" w:ascii="Times New Roman" w:hAnsi="Times New Roman" w:eastAsia="宋体" w:cs="宋体"/>
          <w:sz w:val="24"/>
          <w:lang w:eastAsia="zh-CN"/>
        </w:rPr>
        <w:t>FDA指南文件，包括本指南在内，不具有法律强制责任。相反，本指南表明了本机构目前关于该主题的思考，除非引用具体的法规或法律要求，否则只应视为建议。在本机构指南中使用词语“应”是指建议或推荐进行某一事项，并非强制要求。</w:t>
      </w:r>
    </w:p>
    <w:p w14:paraId="73B88888">
      <w:pPr>
        <w:wordWrap w:val="0"/>
        <w:adjustRightInd w:val="0"/>
        <w:snapToGrid w:val="0"/>
        <w:spacing w:before="120" w:beforeLines="50" w:line="300" w:lineRule="auto"/>
        <w:jc w:val="both"/>
        <w:rPr>
          <w:rFonts w:ascii="Times New Roman" w:hAnsi="Times New Roman" w:eastAsia="宋体" w:cs="宋体"/>
          <w:sz w:val="24"/>
          <w:lang w:eastAsia="zh-CN"/>
        </w:rPr>
      </w:pPr>
    </w:p>
    <w:p w14:paraId="1054E608">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__________________________</w:t>
      </w:r>
    </w:p>
    <w:p w14:paraId="24096B65">
      <w:pPr>
        <w:numPr>
          <w:ilvl w:val="0"/>
          <w:numId w:val="2"/>
        </w:numPr>
        <w:tabs>
          <w:tab w:val="left" w:pos="284"/>
        </w:tabs>
        <w:wordWrap w:val="0"/>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"https://www.fda.gov/regulatory-information/search-fda-guidance-documents/safety-and-performance-based-pathway"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https://www.fda.gov/regulatory-information/search-fda-guidance-documents/safety-and-performance-</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FF"/>
          <w:sz w:val="21"/>
        </w:rPr>
        <w:t xml:space="preserve"> </w:t>
      </w:r>
      <w:r>
        <w:fldChar w:fldCharType="begin"/>
      </w:r>
      <w:r>
        <w:instrText xml:space="preserve"> HYPERLINK "https://www.fda.gov/regulatory-information/search-fda-guidance-documents/safety-and-performance-based-pathway" \h </w:instrText>
      </w:r>
      <w:r>
        <w:fldChar w:fldCharType="separate"/>
      </w:r>
      <w:r>
        <w:rPr>
          <w:rFonts w:ascii="Times New Roman" w:hAnsi="Times New Roman" w:eastAsia="宋体" w:cs="宋体"/>
          <w:snapToGrid w:val="0"/>
          <w:color w:val="0000FF"/>
          <w:sz w:val="21"/>
          <w:szCs w:val="21"/>
          <w:u w:val="single" w:color="0000FF"/>
        </w:rPr>
        <w:t>based-pathway</w:t>
      </w:r>
      <w:r>
        <w:rPr>
          <w:rFonts w:ascii="Times New Roman" w:hAnsi="Times New Roman" w:eastAsia="宋体" w:cs="宋体"/>
          <w:snapToGrid w:val="0"/>
          <w:color w:val="0000FF"/>
          <w:sz w:val="21"/>
          <w:szCs w:val="21"/>
          <w:u w:val="single" w:color="0000FF"/>
        </w:rPr>
        <w:fldChar w:fldCharType="end"/>
      </w:r>
    </w:p>
    <w:p w14:paraId="1869B4CC">
      <w:pPr>
        <w:numPr>
          <w:ilvl w:val="0"/>
          <w:numId w:val="2"/>
        </w:numPr>
        <w:tabs>
          <w:tab w:val="left" w:pos="284"/>
        </w:tabs>
        <w:wordWrap w:val="0"/>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可登录以下网址获取：</w:t>
      </w:r>
      <w:r>
        <w:fldChar w:fldCharType="begin"/>
      </w:r>
      <w:r>
        <w:instrText xml:space="preserve"> HYPERLINK "https://www.accessdata.fda.gov/scripts/cdrh/cfdocs/cfStandards/search.cfm" \h </w:instrText>
      </w:r>
      <w:r>
        <w:fldChar w:fldCharType="separate"/>
      </w:r>
      <w:r>
        <w:rPr>
          <w:rFonts w:ascii="Times New Roman" w:hAnsi="Times New Roman" w:eastAsia="宋体" w:cs="宋体"/>
          <w:snapToGrid w:val="0"/>
          <w:color w:val="0000FF"/>
          <w:sz w:val="21"/>
          <w:szCs w:val="21"/>
          <w:u w:val="single" w:color="0000FF"/>
        </w:rPr>
        <w:t>https://www.accessdata.fda.gov/scripts/cdrh/cfdocs/cfStandards/search.cfm</w:t>
      </w:r>
      <w:r>
        <w:rPr>
          <w:rFonts w:ascii="Times New Roman" w:hAnsi="Times New Roman" w:eastAsia="宋体" w:cs="宋体"/>
          <w:snapToGrid w:val="0"/>
          <w:color w:val="0000FF"/>
          <w:sz w:val="21"/>
          <w:szCs w:val="21"/>
          <w:u w:val="single" w:color="0000FF"/>
        </w:rPr>
        <w:fldChar w:fldCharType="end"/>
      </w:r>
    </w:p>
    <w:p w14:paraId="2A49A4F1">
      <w:pPr>
        <w:numPr>
          <w:ilvl w:val="0"/>
          <w:numId w:val="2"/>
        </w:numPr>
        <w:tabs>
          <w:tab w:val="left" w:pos="284"/>
        </w:tabs>
        <w:wordWrap w:val="0"/>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https://www.fda.gov/regulatory-information/search-fda-guidance-documents/appropriate-use- voluntary-consensus-standards-premarket-submissions-medical-devices</w:t>
      </w:r>
      <w:r>
        <w:rPr>
          <w:rFonts w:ascii="Times New Roman" w:hAnsi="Times New Roman" w:eastAsia="宋体" w:cs="宋体"/>
          <w:snapToGrid w:val="0"/>
          <w:color w:val="0000FF"/>
          <w:sz w:val="21"/>
          <w:szCs w:val="21"/>
          <w:u w:val="single" w:color="0000FF"/>
        </w:rPr>
        <w:fldChar w:fldCharType="end"/>
      </w:r>
    </w:p>
    <w:p w14:paraId="6649792E">
      <w:pPr>
        <w:rPr>
          <w:sz w:val="2"/>
          <w:szCs w:val="2"/>
        </w:rPr>
      </w:pPr>
      <w:r>
        <w:rPr>
          <w:sz w:val="2"/>
          <w:szCs w:val="2"/>
        </w:rPr>
        <w:br w:type="page"/>
      </w:r>
    </w:p>
    <w:p w14:paraId="2BBACC6D">
      <w:pPr>
        <w:numPr>
          <w:ilvl w:val="0"/>
          <w:numId w:val="1"/>
        </w:numPr>
        <w:tabs>
          <w:tab w:val="left" w:pos="839"/>
        </w:tabs>
        <w:wordWrap w:val="0"/>
        <w:adjustRightInd w:val="0"/>
        <w:snapToGrid w:val="0"/>
        <w:spacing w:before="120" w:beforeLines="50" w:line="300" w:lineRule="auto"/>
        <w:ind w:left="562" w:hanging="562" w:hangingChars="200"/>
        <w:jc w:val="both"/>
        <w:rPr>
          <w:rFonts w:ascii="Times New Roman" w:hAnsi="Times New Roman" w:cs="Times New Roman"/>
          <w:b/>
          <w:bCs/>
          <w:snapToGrid w:val="0"/>
          <w:sz w:val="28"/>
          <w:szCs w:val="28"/>
        </w:rPr>
      </w:pPr>
      <w:r>
        <w:rPr>
          <w:rFonts w:ascii="Times New Roman" w:hAnsi="Times New Roman" w:eastAsia="宋体" w:cs="宋体"/>
          <w:b/>
          <w:sz w:val="28"/>
        </w:rPr>
        <w:t>范围/器械描述</w:t>
      </w:r>
    </w:p>
    <w:p w14:paraId="38414EF6">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本指南中的这类器械是受21 CFR 888.3040监管的II类非脊柱用金属接骨螺钉和垫圈医疗器械，其产品代码分别为HWC（螺钉、固定装置、骨）和HTN（垫圈、螺母）。</w:t>
      </w:r>
    </w:p>
    <w:p w14:paraId="3C7EF348">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预期用途/</w:t>
      </w:r>
      <w:r>
        <w:rPr>
          <w:rFonts w:hint="eastAsia" w:ascii="Times New Roman" w:hAnsi="Times New Roman" w:eastAsia="宋体" w:cs="宋体"/>
          <w:b/>
          <w:sz w:val="24"/>
          <w:lang w:eastAsia="zh-CN"/>
        </w:rPr>
        <w:t>适用范围</w:t>
      </w:r>
      <w:r>
        <w:rPr>
          <w:rFonts w:ascii="Times New Roman" w:hAnsi="Times New Roman" w:eastAsia="宋体" w:cs="宋体"/>
          <w:b/>
          <w:sz w:val="24"/>
          <w:lang w:eastAsia="zh-CN"/>
        </w:rPr>
        <w:t>：</w:t>
      </w:r>
      <w:r>
        <w:rPr>
          <w:rFonts w:ascii="Times New Roman" w:hAnsi="Times New Roman" w:eastAsia="宋体" w:cs="宋体"/>
          <w:sz w:val="24"/>
          <w:lang w:eastAsia="zh-CN"/>
        </w:rPr>
        <w:t>本指南文件范围内的接骨螺钉预期用于骨科非脊柱骨折固定手术、截骨术、小关节融合或固定术。本指南文件范围内的垫圈仅可与接骨螺钉结合预期用于辅助螺钉头部/骨界面的应力分布。预期用于下颌、上颌、颅骨和眼眶骨折固定或用于脊柱的接骨螺钉或垫圈</w:t>
      </w:r>
      <w:r>
        <w:rPr>
          <w:rFonts w:ascii="Times New Roman" w:hAnsi="Times New Roman" w:eastAsia="宋体" w:cs="宋体"/>
          <w:sz w:val="24"/>
          <w:u w:val="single"/>
          <w:lang w:eastAsia="zh-CN"/>
        </w:rPr>
        <w:t>不在本指南的范围内</w:t>
      </w:r>
      <w:r>
        <w:rPr>
          <w:rFonts w:ascii="Times New Roman" w:hAnsi="Times New Roman" w:eastAsia="宋体" w:cs="宋体"/>
          <w:sz w:val="24"/>
          <w:lang w:eastAsia="zh-CN"/>
        </w:rPr>
        <w:t>。计划与缝合线或弦状结构（例如，骨锚、韧带联合紧绳）一起使用（作为植入系统的一部分）的器械，也</w:t>
      </w:r>
      <w:r>
        <w:rPr>
          <w:rFonts w:ascii="Times New Roman" w:hAnsi="Times New Roman" w:eastAsia="宋体" w:cs="宋体"/>
          <w:sz w:val="24"/>
          <w:u w:val="single"/>
          <w:lang w:eastAsia="zh-CN"/>
        </w:rPr>
        <w:t>不在本指南的范围内</w:t>
      </w:r>
      <w:r>
        <w:rPr>
          <w:rFonts w:ascii="Times New Roman" w:hAnsi="Times New Roman" w:eastAsia="宋体" w:cs="宋体"/>
          <w:sz w:val="24"/>
          <w:lang w:eastAsia="zh-CN"/>
        </w:rPr>
        <w:t>。</w:t>
      </w:r>
    </w:p>
    <w:p w14:paraId="6D47E8AC">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器械设计特征：</w:t>
      </w:r>
      <w:r>
        <w:rPr>
          <w:rFonts w:ascii="Times New Roman" w:hAnsi="Times New Roman" w:eastAsia="宋体" w:cs="宋体"/>
          <w:sz w:val="24"/>
          <w:lang w:eastAsia="zh-CN"/>
        </w:rPr>
        <w:t>多种不同设计的接骨螺钉（例如松质骨螺钉、皮质骨螺钉、空心螺钉、全螺纹螺钉、部分螺纹螺钉）均包含在本指南的范围内。本指南文件范围内的器械由接骨螺钉和垫圈组成，其仅由符合相关FDA认可共识标准的以下一种材料制成：</w:t>
      </w:r>
    </w:p>
    <w:p w14:paraId="7AB5EE50">
      <w:pPr>
        <w:numPr>
          <w:ilvl w:val="1"/>
          <w:numId w:val="1"/>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ASTM F136《外科植入物用锻造钛-6铝-4钒ELI（超低间隙）锻造合金标准（UNS R56401）》</w:t>
      </w:r>
    </w:p>
    <w:p w14:paraId="30847F8E">
      <w:pPr>
        <w:numPr>
          <w:ilvl w:val="1"/>
          <w:numId w:val="1"/>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ASTM F1472《外科植入物用锻造钛-6铝-4钒合金标准（UNS R56400）》</w:t>
      </w:r>
    </w:p>
    <w:p w14:paraId="661E343D">
      <w:pPr>
        <w:numPr>
          <w:ilvl w:val="1"/>
          <w:numId w:val="1"/>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ASTM F1295《外科植入物用锻造钛-6铝-7铌锻造合金标准规范（UNS R56700）》</w:t>
      </w:r>
    </w:p>
    <w:p w14:paraId="2FC6F735">
      <w:pPr>
        <w:numPr>
          <w:ilvl w:val="1"/>
          <w:numId w:val="1"/>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ASTM F67《非合金钛植入物手术的标准规范（UNS R50250，UNS R50400，UNS R50550，UNS R50700）》</w:t>
      </w:r>
    </w:p>
    <w:p w14:paraId="7F066712">
      <w:pPr>
        <w:numPr>
          <w:ilvl w:val="1"/>
          <w:numId w:val="1"/>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ASTM F138《外科植入物用锻造18铬-14镍-2.5钼不锈钢棒材和丝材的标准规范（UNS S31673）》</w:t>
      </w:r>
    </w:p>
    <w:p w14:paraId="33AD0DEF">
      <w:pPr>
        <w:numPr>
          <w:ilvl w:val="1"/>
          <w:numId w:val="1"/>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ASTM F139-12《外科植入物用锻造18铬-14镍-2.5钼不锈钢板和不锈钢带的标准规范（UNS S31673）》</w:t>
      </w:r>
    </w:p>
    <w:p w14:paraId="10FC4EFC">
      <w:pPr>
        <w:numPr>
          <w:ilvl w:val="1"/>
          <w:numId w:val="1"/>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ASTM F1537《外科植入物用锻造钴-28铬-6钼合金的标准规范（UNS R31537，UNS R31538和UNS R31539）》</w:t>
      </w:r>
    </w:p>
    <w:p w14:paraId="3A6EE620">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垫圈的内径应大于兼容螺钉的螺纹直径以允许螺钉通过，并小于兼容螺钉的头部直径以允许皮质负载分布。</w:t>
      </w:r>
    </w:p>
    <w:p w14:paraId="4B7F2587">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本指南规定，具有以下特征的植入物</w:t>
      </w:r>
      <w:r>
        <w:rPr>
          <w:rFonts w:ascii="Times New Roman" w:hAnsi="Times New Roman" w:eastAsia="宋体" w:cs="宋体"/>
          <w:sz w:val="24"/>
          <w:u w:val="single"/>
          <w:lang w:eastAsia="zh-CN"/>
        </w:rPr>
        <w:t>不</w:t>
      </w:r>
      <w:r>
        <w:rPr>
          <w:rFonts w:ascii="Times New Roman" w:hAnsi="Times New Roman" w:eastAsia="宋体" w:cs="宋体"/>
          <w:sz w:val="24"/>
          <w:lang w:eastAsia="zh-CN"/>
        </w:rPr>
        <w:t>适用于基于安全性和性能的途径：</w:t>
      </w:r>
    </w:p>
    <w:p w14:paraId="67CF85F4">
      <w:pPr>
        <w:numPr>
          <w:ilvl w:val="1"/>
          <w:numId w:val="1"/>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组合产品</w:t>
      </w:r>
    </w:p>
    <w:p w14:paraId="1F52E0A5">
      <w:pPr>
        <w:numPr>
          <w:ilvl w:val="1"/>
          <w:numId w:val="1"/>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可吸收器械</w:t>
      </w:r>
    </w:p>
    <w:p w14:paraId="4980EF36">
      <w:pPr>
        <w:wordWrap w:val="0"/>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br w:type="page"/>
      </w:r>
    </w:p>
    <w:p w14:paraId="7265B937">
      <w:pPr>
        <w:numPr>
          <w:ilvl w:val="1"/>
          <w:numId w:val="1"/>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增材制造器械</w:t>
      </w:r>
    </w:p>
    <w:p w14:paraId="437F6193">
      <w:pPr>
        <w:numPr>
          <w:ilvl w:val="1"/>
          <w:numId w:val="1"/>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使用不在医疗标准范围内的手术技术或相关仪器的器械</w:t>
      </w:r>
    </w:p>
    <w:p w14:paraId="08CF2224">
      <w:pPr>
        <w:numPr>
          <w:ilvl w:val="1"/>
          <w:numId w:val="1"/>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几何形状复杂或模块化的器械（例如，分段的、有孔的器械）</w:t>
      </w:r>
    </w:p>
    <w:p w14:paraId="0D5D7B79">
      <w:pPr>
        <w:numPr>
          <w:ilvl w:val="1"/>
          <w:numId w:val="1"/>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包含其他独特技术特征的器械（例如，螺纹设计与骨科接骨螺钉公认的共识标准有显著差异）</w:t>
      </w:r>
    </w:p>
    <w:p w14:paraId="565693DE">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评价该器械是否适用于基于安全性和性能的途径时，FDA可能会根据具体情况确定是否需要其他数据。在确定器械是否适用于基于安全性和性能的途径时，如果您确定需要进行本指南规定以外的其他试验，本机构建议您进行预申报</w:t>
      </w:r>
      <w:r>
        <w:rPr>
          <w:rFonts w:ascii="Times New Roman" w:hAnsi="Times New Roman" w:eastAsia="宋体" w:cs="宋体"/>
          <w:sz w:val="24"/>
          <w:vertAlign w:val="superscript"/>
          <w:lang w:eastAsia="zh-CN"/>
        </w:rPr>
        <w:t>4</w:t>
      </w:r>
      <w:r>
        <w:rPr>
          <w:rFonts w:ascii="Times New Roman" w:hAnsi="Times New Roman" w:eastAsia="宋体" w:cs="宋体"/>
          <w:sz w:val="24"/>
          <w:lang w:eastAsia="zh-CN"/>
        </w:rPr>
        <w:t>以便在510(k)申报前与FDA进行讨论。</w:t>
      </w:r>
    </w:p>
    <w:p w14:paraId="52738D5B">
      <w:pPr>
        <w:numPr>
          <w:ilvl w:val="0"/>
          <w:numId w:val="1"/>
        </w:numPr>
        <w:tabs>
          <w:tab w:val="left" w:pos="839"/>
        </w:tabs>
        <w:wordWrap w:val="0"/>
        <w:adjustRightInd w:val="0"/>
        <w:snapToGrid w:val="0"/>
        <w:spacing w:before="120" w:beforeLines="50" w:line="300" w:lineRule="auto"/>
        <w:ind w:left="562" w:hanging="562" w:hangingChars="200"/>
        <w:jc w:val="both"/>
        <w:rPr>
          <w:rFonts w:ascii="Times New Roman" w:hAnsi="Times New Roman" w:cs="Times New Roman"/>
          <w:b/>
          <w:bCs/>
          <w:snapToGrid w:val="0"/>
          <w:sz w:val="28"/>
          <w:szCs w:val="28"/>
        </w:rPr>
      </w:pPr>
      <w:r>
        <w:rPr>
          <w:rFonts w:ascii="Times New Roman" w:hAnsi="Times New Roman" w:eastAsia="宋体" w:cs="宋体"/>
          <w:b/>
          <w:sz w:val="28"/>
        </w:rPr>
        <w:t>试验性能标准</w:t>
      </w:r>
    </w:p>
    <w:p w14:paraId="3602B081">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您的器械适用于通过基于安全性和性能的途径进行申报，并且您选择使用该方式，则无需与已合法销售的等价器械进行直接比较以证明器械性能特征与该同品种器械基本等同。为确保本指南中概述的性能标准不断更新并考量了最新许可的相关数据，FDA建议您提供所有评估试验的结果汇总，以及以下每个试验或评估的其他申请信息（例如，符合性声明（DoC））。结果汇总、试验方案或完整的试验报告等试验信息应作为510(k)申报的一部分提交，如FDA指南《</w:t>
      </w:r>
      <w:r>
        <w:rPr>
          <w:rFonts w:ascii="Times New Roman" w:hAnsi="Times New Roman"/>
        </w:rPr>
        <w:fldChar w:fldCharType="begin"/>
      </w:r>
      <w:r>
        <w:rPr>
          <w:rFonts w:ascii="Times New Roman" w:hAnsi="Times New Roman"/>
          <w:lang w:eastAsia="zh-CN"/>
        </w:rPr>
        <w:instrText xml:space="preserve"> HYPERLINK "https://www.fda.gov/regulatory-information/search-fda-guidance-documents/safety-and-performance-based-pathway" \h </w:instrText>
      </w:r>
      <w:r>
        <w:rPr>
          <w:rFonts w:ascii="Times New Roman" w:hAnsi="Times New Roman"/>
        </w:rPr>
        <w:fldChar w:fldCharType="separate"/>
      </w:r>
      <w:r>
        <w:rPr>
          <w:rFonts w:ascii="Times New Roman" w:hAnsi="Times New Roman" w:eastAsia="宋体" w:cs="宋体"/>
          <w:snapToGrid w:val="0"/>
          <w:color w:val="0000FF"/>
          <w:sz w:val="24"/>
          <w:szCs w:val="24"/>
          <w:u w:val="single" w:color="0000FF"/>
          <w:lang w:eastAsia="zh-CN"/>
        </w:rPr>
        <w:t>基于安全性和性能的途径</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lang w:eastAsia="zh-CN"/>
        </w:rPr>
        <w:t>》所述，除非以下申请信息部分另有说明。</w:t>
      </w:r>
      <w:r>
        <w:rPr>
          <w:rFonts w:ascii="Times New Roman" w:hAnsi="Times New Roman" w:eastAsia="宋体" w:cs="宋体"/>
          <w:sz w:val="24"/>
          <w:vertAlign w:val="superscript"/>
          <w:lang w:eastAsia="zh-CN"/>
        </w:rPr>
        <w:t>5</w:t>
      </w:r>
      <w:r>
        <w:rPr>
          <w:rFonts w:ascii="Times New Roman" w:hAnsi="Times New Roman" w:eastAsia="宋体" w:cs="宋体"/>
          <w:color w:val="000000"/>
          <w:sz w:val="24"/>
          <w:lang w:eastAsia="zh-CN"/>
        </w:rPr>
        <w:t>关于其他非临床实验室试验信息的提交，请参见FDA的指南</w:t>
      </w:r>
      <w:r>
        <w:rPr>
          <w:rFonts w:ascii="Times New Roman" w:hAnsi="Times New Roman" w:eastAsia="宋体" w:cs="宋体"/>
          <w:sz w:val="24"/>
          <w:lang w:eastAsia="zh-CN"/>
        </w:rPr>
        <w:t>《</w:t>
      </w:r>
      <w:r>
        <w:fldChar w:fldCharType="begin"/>
      </w:r>
      <w:r>
        <w:instrText xml:space="preserve"> HYPERLINK "https://www.fda.gov/regulatory-information/search-fda-guidance-documents/recommended-content-and-format-non-clinical-bench-performance-testing-information-premarket" \h </w:instrText>
      </w:r>
      <w:r>
        <w:fldChar w:fldCharType="separate"/>
      </w:r>
      <w:r>
        <w:rPr>
          <w:rFonts w:ascii="Times New Roman" w:hAnsi="Times New Roman" w:eastAsia="宋体" w:cs="宋体"/>
          <w:snapToGrid w:val="0"/>
          <w:color w:val="0000FF"/>
          <w:sz w:val="24"/>
          <w:szCs w:val="24"/>
          <w:u w:val="single" w:color="0000FF"/>
          <w:lang w:eastAsia="zh-CN"/>
        </w:rPr>
        <w:t>上市前提交中非临床实验室性能试验信息的推荐内容和格式</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fldChar w:fldCharType="begin"/>
      </w:r>
      <w:r>
        <w:instrText xml:space="preserve"> HYPERLINK \l "_bookmark5" </w:instrText>
      </w:r>
      <w:r>
        <w:fldChar w:fldCharType="separate"/>
      </w:r>
      <w:r>
        <w:rPr>
          <w:rFonts w:ascii="Times New Roman" w:hAnsi="Times New Roman" w:eastAsia="宋体" w:cs="宋体"/>
          <w:snapToGrid w:val="0"/>
          <w:color w:val="000000"/>
          <w:sz w:val="24"/>
          <w:szCs w:val="24"/>
          <w:vertAlign w:val="superscript"/>
          <w:lang w:eastAsia="zh-CN"/>
        </w:rPr>
        <w:t>6</w:t>
      </w:r>
      <w:r>
        <w:rPr>
          <w:rFonts w:ascii="Times New Roman" w:hAnsi="Times New Roman" w:eastAsia="宋体" w:cs="宋体"/>
          <w:snapToGrid w:val="0"/>
          <w:color w:val="000000"/>
          <w:sz w:val="24"/>
          <w:szCs w:val="24"/>
          <w:vertAlign w:val="superscript"/>
          <w:lang w:eastAsia="zh-CN"/>
        </w:rPr>
        <w:fldChar w:fldCharType="end"/>
      </w:r>
    </w:p>
    <w:p w14:paraId="203A138A">
      <w:pPr>
        <w:wordWrap w:val="0"/>
        <w:adjustRightInd w:val="0"/>
        <w:snapToGrid w:val="0"/>
        <w:spacing w:before="120" w:beforeLines="50" w:line="300" w:lineRule="auto"/>
        <w:jc w:val="both"/>
        <w:rPr>
          <w:rFonts w:ascii="Times New Roman" w:hAnsi="Times New Roman" w:cs="Times New Roman"/>
          <w:b/>
          <w:bCs/>
          <w:snapToGrid w:val="0"/>
          <w:sz w:val="24"/>
          <w:szCs w:val="24"/>
          <w:u w:val="single"/>
          <w:lang w:eastAsia="zh-CN"/>
        </w:rPr>
      </w:pPr>
      <w:r>
        <w:rPr>
          <w:rFonts w:ascii="Times New Roman" w:hAnsi="Times New Roman" w:eastAsia="宋体" w:cs="宋体"/>
          <w:b/>
          <w:sz w:val="24"/>
          <w:u w:val="single"/>
          <w:lang w:eastAsia="zh-CN"/>
        </w:rPr>
        <w:t>机械台架试验</w:t>
      </w:r>
    </w:p>
    <w:p w14:paraId="6F0C6454">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应根据FDA认可的ASTM F543《医用金属接骨螺钉的标准规范和试验方法》的最新版本执行以下机械试验。本机构建议您对</w:t>
      </w:r>
      <w:r>
        <w:rPr>
          <w:rFonts w:hint="eastAsia" w:ascii="Times New Roman" w:hAnsi="Times New Roman" w:eastAsia="宋体" w:cs="宋体"/>
          <w:sz w:val="24"/>
          <w:lang w:eastAsia="zh-CN"/>
        </w:rPr>
        <w:t>具有代表性的</w:t>
      </w:r>
      <w:r>
        <w:rPr>
          <w:rFonts w:ascii="Times New Roman" w:hAnsi="Times New Roman" w:eastAsia="宋体" w:cs="宋体"/>
          <w:sz w:val="24"/>
          <w:lang w:eastAsia="zh-CN"/>
        </w:rPr>
        <w:t>最差情况（例如，最可能松动或者故障）的螺钉设计的最终设计版本执行所有试验。还应当提供确定最差情况设计的依据。此外，轴向拔出强度应使用下述工程分析方法进行评价。</w:t>
      </w:r>
      <w:r>
        <w:rPr>
          <w:rFonts w:ascii="Times New Roman" w:hAnsi="Times New Roman" w:eastAsia="宋体" w:cs="宋体"/>
          <w:sz w:val="24"/>
        </w:rPr>
        <w:t>每种试验的验收标准如下所示。</w:t>
      </w:r>
      <w:r>
        <w:rPr>
          <w:rFonts w:ascii="Times New Roman" w:hAnsi="Times New Roman" w:eastAsia="宋体" w:cs="宋体"/>
          <w:sz w:val="24"/>
          <w:vertAlign w:val="superscript"/>
        </w:rPr>
        <w:t>7</w:t>
      </w:r>
    </w:p>
    <w:p w14:paraId="4971EA7E">
      <w:pPr>
        <w:wordWrap w:val="0"/>
        <w:adjustRightInd w:val="0"/>
        <w:snapToGrid w:val="0"/>
        <w:spacing w:before="120" w:beforeLines="50" w:line="300" w:lineRule="auto"/>
        <w:jc w:val="both"/>
        <w:rPr>
          <w:rFonts w:ascii="Times New Roman" w:hAnsi="Times New Roman" w:cs="Times New Roman"/>
          <w:snapToGrid w:val="0"/>
          <w:sz w:val="24"/>
          <w:szCs w:val="24"/>
        </w:rPr>
      </w:pPr>
    </w:p>
    <w:p w14:paraId="323DC6E8">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__________________________</w:t>
      </w:r>
    </w:p>
    <w:p w14:paraId="070471AD">
      <w:pPr>
        <w:numPr>
          <w:ilvl w:val="0"/>
          <w:numId w:val="2"/>
        </w:numPr>
        <w:tabs>
          <w:tab w:val="left" w:pos="235"/>
        </w:tabs>
        <w:wordWrap w:val="0"/>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https://www.fda.gov/regulatory-information/search-fda-guidance-documents/requests-feedback-and- meetings-medical-device-submissions-q-submission-program</w:t>
      </w:r>
      <w:r>
        <w:rPr>
          <w:rFonts w:ascii="Times New Roman" w:hAnsi="Times New Roman" w:eastAsia="宋体" w:cs="宋体"/>
          <w:snapToGrid w:val="0"/>
          <w:color w:val="0000FF"/>
          <w:sz w:val="21"/>
          <w:szCs w:val="21"/>
          <w:u w:val="single" w:color="0000FF"/>
        </w:rPr>
        <w:fldChar w:fldCharType="end"/>
      </w:r>
    </w:p>
    <w:p w14:paraId="5089A096">
      <w:pPr>
        <w:numPr>
          <w:ilvl w:val="0"/>
          <w:numId w:val="2"/>
        </w:numPr>
        <w:tabs>
          <w:tab w:val="left" w:pos="235"/>
        </w:tabs>
        <w:wordWrap w:val="0"/>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"https://www.fda.gov/regulatory-information/search-fda-guidance-documents/safety-and-performance-based-pathway"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https://www.fda.gov/regulatory-information/search-fda-guidance-documents/safety-and-performance-</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FF"/>
          <w:sz w:val="21"/>
        </w:rPr>
        <w:t xml:space="preserve"> </w:t>
      </w:r>
      <w:r>
        <w:fldChar w:fldCharType="begin"/>
      </w:r>
      <w:r>
        <w:instrText xml:space="preserve"> HYPERLINK "https://www.fda.gov/regulatory-information/search-fda-guidance-documents/safety-and-performance-based-pathway" \h </w:instrText>
      </w:r>
      <w:r>
        <w:fldChar w:fldCharType="separate"/>
      </w:r>
      <w:r>
        <w:rPr>
          <w:rFonts w:ascii="Times New Roman" w:hAnsi="Times New Roman" w:eastAsia="宋体" w:cs="宋体"/>
          <w:snapToGrid w:val="0"/>
          <w:color w:val="0000FF"/>
          <w:sz w:val="21"/>
          <w:szCs w:val="21"/>
          <w:u w:val="single" w:color="0000FF"/>
        </w:rPr>
        <w:t>based-pathway</w:t>
      </w:r>
      <w:r>
        <w:rPr>
          <w:rFonts w:ascii="Times New Roman" w:hAnsi="Times New Roman" w:eastAsia="宋体" w:cs="宋体"/>
          <w:snapToGrid w:val="0"/>
          <w:color w:val="0000FF"/>
          <w:sz w:val="21"/>
          <w:szCs w:val="21"/>
          <w:u w:val="single" w:color="0000FF"/>
        </w:rPr>
        <w:fldChar w:fldCharType="end"/>
      </w:r>
    </w:p>
    <w:p w14:paraId="4AE270CF">
      <w:pPr>
        <w:numPr>
          <w:ilvl w:val="0"/>
          <w:numId w:val="2"/>
        </w:numPr>
        <w:tabs>
          <w:tab w:val="left" w:pos="235"/>
        </w:tabs>
        <w:wordWrap w:val="0"/>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"https://www.fda.gov/regulatory-information/search-fda-guidance-documents/recommended-content-and-format-non-clinical-bench-performance-testing-information-premarket"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https://www.fda.gov/regulatory-information/search-fda-guidance-documents/recommended-content- and-format-non-clinical-bench-performance-testing-information-premarket</w:t>
      </w:r>
      <w:r>
        <w:rPr>
          <w:rFonts w:ascii="Times New Roman" w:hAnsi="Times New Roman" w:eastAsia="宋体" w:cs="宋体"/>
          <w:snapToGrid w:val="0"/>
          <w:color w:val="0000FF"/>
          <w:sz w:val="21"/>
          <w:szCs w:val="21"/>
          <w:u w:val="single" w:color="0000FF"/>
        </w:rPr>
        <w:fldChar w:fldCharType="end"/>
      </w:r>
    </w:p>
    <w:p w14:paraId="6C0E98A0">
      <w:pPr>
        <w:rPr>
          <w:sz w:val="2"/>
          <w:szCs w:val="2"/>
        </w:rPr>
      </w:pPr>
      <w:r>
        <w:rPr>
          <w:sz w:val="2"/>
          <w:szCs w:val="2"/>
        </w:rPr>
        <w:br w:type="page"/>
      </w:r>
    </w:p>
    <w:p w14:paraId="070233C1">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对于下列每项机械试验，除共识标准的符合性声明（DoC）外，还应提供一份ASTM F543相关报告章节中规定的报告。应充分描述任何方案偏离，并阐明理由；但是，应注意，某些方案偏离可能会使与以下性能标准的比较变为无效，导致需要酌情申请传统、特殊或简化的510(k)。</w:t>
      </w:r>
    </w:p>
    <w:p w14:paraId="7A882FE0">
      <w:pPr>
        <w:numPr>
          <w:ilvl w:val="0"/>
          <w:numId w:val="3"/>
        </w:numPr>
        <w:tabs>
          <w:tab w:val="left" w:pos="910"/>
        </w:tabs>
        <w:wordWrap w:val="0"/>
        <w:adjustRightInd w:val="0"/>
        <w:snapToGrid w:val="0"/>
        <w:spacing w:before="120" w:beforeLines="50" w:line="300" w:lineRule="auto"/>
        <w:ind w:left="964" w:hanging="964" w:hangingChars="400"/>
        <w:jc w:val="both"/>
        <w:rPr>
          <w:rFonts w:ascii="Times New Roman" w:hAnsi="Times New Roman" w:cs="Times New Roman"/>
          <w:snapToGrid w:val="0"/>
          <w:sz w:val="24"/>
          <w:szCs w:val="24"/>
        </w:rPr>
      </w:pPr>
      <w:r>
        <w:rPr>
          <w:rFonts w:ascii="Times New Roman" w:hAnsi="Times New Roman" w:eastAsia="宋体" w:cs="宋体"/>
          <w:b/>
          <w:sz w:val="24"/>
        </w:rPr>
        <w:t>试验名称</w:t>
      </w:r>
      <w:r>
        <w:rPr>
          <w:rFonts w:ascii="Times New Roman" w:hAnsi="Times New Roman" w:eastAsia="宋体" w:cs="宋体"/>
          <w:sz w:val="24"/>
        </w:rPr>
        <w:t>：抗扭强度</w:t>
      </w:r>
    </w:p>
    <w:p w14:paraId="55A1B07D">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方法：</w:t>
      </w:r>
      <w:r>
        <w:rPr>
          <w:rFonts w:ascii="Times New Roman" w:hAnsi="Times New Roman" w:eastAsia="宋体" w:cs="宋体"/>
          <w:sz w:val="24"/>
          <w:lang w:eastAsia="zh-CN"/>
        </w:rPr>
        <w:t>ASTM F543-17《医用金属接骨螺钉的标准规范和试验方法》</w:t>
      </w:r>
    </w:p>
    <w:p w14:paraId="36FC9F06">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w:t>
      </w:r>
      <w:r>
        <w:rPr>
          <w:rFonts w:ascii="Times New Roman" w:hAnsi="Times New Roman" w:eastAsia="宋体" w:cs="宋体"/>
          <w:sz w:val="24"/>
          <w:lang w:eastAsia="zh-CN"/>
        </w:rPr>
        <w:t>机械试验应选择最差情况的接骨螺钉：</w:t>
      </w:r>
    </w:p>
    <w:tbl>
      <w:tblPr>
        <w:tblStyle w:val="5"/>
        <w:tblW w:w="0" w:type="auto"/>
        <w:tblInd w:w="2943" w:type="dxa"/>
        <w:tblLayout w:type="fixed"/>
        <w:tblCellMar>
          <w:top w:w="0" w:type="dxa"/>
          <w:left w:w="108" w:type="dxa"/>
          <w:bottom w:w="0" w:type="dxa"/>
          <w:right w:w="108" w:type="dxa"/>
        </w:tblCellMar>
      </w:tblPr>
      <w:tblGrid>
        <w:gridCol w:w="1810"/>
        <w:gridCol w:w="1882"/>
      </w:tblGrid>
      <w:tr w14:paraId="51E83925">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146D8D70">
            <w:pPr>
              <w:wordWrap w:val="0"/>
              <w:adjustRightInd w:val="0"/>
              <w:snapToGrid w:val="0"/>
              <w:spacing w:before="36" w:beforeLines="15" w:line="276" w:lineRule="auto"/>
              <w:jc w:val="both"/>
              <w:rPr>
                <w:rFonts w:ascii="Times New Roman" w:hAnsi="Times New Roman" w:eastAsia="宋体" w:cs="宋体"/>
                <w:b/>
                <w:sz w:val="21"/>
                <w:lang w:eastAsia="zh-CN"/>
              </w:rPr>
            </w:pPr>
            <w:r>
              <w:rPr>
                <w:rFonts w:ascii="Times New Roman" w:hAnsi="Times New Roman" w:eastAsia="宋体" w:cs="宋体"/>
                <w:b/>
                <w:sz w:val="21"/>
              </w:rPr>
              <w:t>标称外径</w:t>
            </w:r>
          </w:p>
          <w:p w14:paraId="49D7B683">
            <w:pPr>
              <w:wordWrap w:val="0"/>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（mm）</w:t>
            </w:r>
          </w:p>
        </w:tc>
        <w:tc>
          <w:tcPr>
            <w:tcW w:w="1882" w:type="dxa"/>
            <w:tcBorders>
              <w:top w:val="single" w:color="000000" w:sz="8" w:space="0"/>
              <w:left w:val="single" w:color="000000" w:sz="8" w:space="0"/>
              <w:bottom w:val="single" w:color="000000" w:sz="8" w:space="0"/>
              <w:right w:val="single" w:color="000000" w:sz="8" w:space="0"/>
            </w:tcBorders>
          </w:tcPr>
          <w:p w14:paraId="73819B99">
            <w:pPr>
              <w:wordWrap w:val="0"/>
              <w:adjustRightInd w:val="0"/>
              <w:snapToGrid w:val="0"/>
              <w:spacing w:before="36" w:beforeLines="15" w:line="276" w:lineRule="auto"/>
              <w:jc w:val="both"/>
              <w:rPr>
                <w:rFonts w:ascii="Times New Roman" w:hAnsi="Times New Roman" w:eastAsia="宋体" w:cs="宋体"/>
                <w:b/>
                <w:sz w:val="21"/>
                <w:lang w:eastAsia="zh-CN"/>
              </w:rPr>
            </w:pPr>
            <w:r>
              <w:rPr>
                <w:rFonts w:ascii="Times New Roman" w:hAnsi="Times New Roman" w:eastAsia="宋体" w:cs="宋体"/>
                <w:b/>
                <w:sz w:val="21"/>
                <w:lang w:eastAsia="zh-CN"/>
              </w:rPr>
              <w:t>扭转屈服强度</w:t>
            </w:r>
          </w:p>
          <w:p w14:paraId="4E3B3EE2">
            <w:pPr>
              <w:wordWrap w:val="0"/>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（Nm）</w:t>
            </w:r>
          </w:p>
        </w:tc>
      </w:tr>
      <w:tr w14:paraId="66A9AC54">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54E52080">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1.5</w:t>
            </w:r>
          </w:p>
        </w:tc>
        <w:tc>
          <w:tcPr>
            <w:tcW w:w="1882" w:type="dxa"/>
            <w:tcBorders>
              <w:top w:val="single" w:color="000000" w:sz="8" w:space="0"/>
              <w:left w:val="single" w:color="000000" w:sz="8" w:space="0"/>
              <w:bottom w:val="single" w:color="000000" w:sz="8" w:space="0"/>
              <w:right w:val="single" w:color="000000" w:sz="8" w:space="0"/>
            </w:tcBorders>
          </w:tcPr>
          <w:p w14:paraId="751CA317">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0.16</w:t>
            </w:r>
          </w:p>
        </w:tc>
      </w:tr>
      <w:tr w14:paraId="52D9DAE5">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1644FFD7">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2</w:t>
            </w:r>
          </w:p>
        </w:tc>
        <w:tc>
          <w:tcPr>
            <w:tcW w:w="1882" w:type="dxa"/>
            <w:tcBorders>
              <w:top w:val="single" w:color="000000" w:sz="8" w:space="0"/>
              <w:left w:val="single" w:color="000000" w:sz="8" w:space="0"/>
              <w:bottom w:val="single" w:color="000000" w:sz="8" w:space="0"/>
              <w:right w:val="single" w:color="000000" w:sz="8" w:space="0"/>
            </w:tcBorders>
          </w:tcPr>
          <w:p w14:paraId="70178F1A">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0.35</w:t>
            </w:r>
          </w:p>
        </w:tc>
      </w:tr>
      <w:tr w14:paraId="4FB9F6D1">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0AAF662D">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2.5</w:t>
            </w:r>
          </w:p>
        </w:tc>
        <w:tc>
          <w:tcPr>
            <w:tcW w:w="1882" w:type="dxa"/>
            <w:tcBorders>
              <w:top w:val="single" w:color="000000" w:sz="8" w:space="0"/>
              <w:left w:val="single" w:color="000000" w:sz="8" w:space="0"/>
              <w:bottom w:val="single" w:color="000000" w:sz="8" w:space="0"/>
              <w:right w:val="single" w:color="000000" w:sz="8" w:space="0"/>
            </w:tcBorders>
          </w:tcPr>
          <w:p w14:paraId="05EF7DCE">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0.60</w:t>
            </w:r>
          </w:p>
        </w:tc>
      </w:tr>
      <w:tr w14:paraId="4E32D7FF">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2C3E857F">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2.7</w:t>
            </w:r>
          </w:p>
        </w:tc>
        <w:tc>
          <w:tcPr>
            <w:tcW w:w="1882" w:type="dxa"/>
            <w:tcBorders>
              <w:top w:val="single" w:color="000000" w:sz="8" w:space="0"/>
              <w:left w:val="single" w:color="000000" w:sz="8" w:space="0"/>
              <w:bottom w:val="single" w:color="000000" w:sz="8" w:space="0"/>
              <w:right w:val="single" w:color="000000" w:sz="8" w:space="0"/>
            </w:tcBorders>
          </w:tcPr>
          <w:p w14:paraId="75941D3E">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1.0</w:t>
            </w:r>
          </w:p>
        </w:tc>
      </w:tr>
      <w:tr w14:paraId="08E089CB">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0F9530E0">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3</w:t>
            </w:r>
          </w:p>
        </w:tc>
        <w:tc>
          <w:tcPr>
            <w:tcW w:w="1882" w:type="dxa"/>
            <w:tcBorders>
              <w:top w:val="single" w:color="000000" w:sz="8" w:space="0"/>
              <w:left w:val="single" w:color="000000" w:sz="8" w:space="0"/>
              <w:bottom w:val="single" w:color="000000" w:sz="8" w:space="0"/>
              <w:right w:val="single" w:color="000000" w:sz="8" w:space="0"/>
            </w:tcBorders>
          </w:tcPr>
          <w:p w14:paraId="6980AFAE">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1.0</w:t>
            </w:r>
          </w:p>
        </w:tc>
      </w:tr>
      <w:tr w14:paraId="3A119E37">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2912F395">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3.5</w:t>
            </w:r>
          </w:p>
        </w:tc>
        <w:tc>
          <w:tcPr>
            <w:tcW w:w="1882" w:type="dxa"/>
            <w:tcBorders>
              <w:top w:val="single" w:color="000000" w:sz="8" w:space="0"/>
              <w:left w:val="single" w:color="000000" w:sz="8" w:space="0"/>
              <w:bottom w:val="single" w:color="000000" w:sz="8" w:space="0"/>
              <w:right w:val="single" w:color="000000" w:sz="8" w:space="0"/>
            </w:tcBorders>
          </w:tcPr>
          <w:p w14:paraId="571775DE">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2.1</w:t>
            </w:r>
          </w:p>
        </w:tc>
      </w:tr>
      <w:tr w14:paraId="5514AD98">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50EF7248">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4</w:t>
            </w:r>
          </w:p>
        </w:tc>
        <w:tc>
          <w:tcPr>
            <w:tcW w:w="1882" w:type="dxa"/>
            <w:tcBorders>
              <w:top w:val="single" w:color="000000" w:sz="8" w:space="0"/>
              <w:left w:val="single" w:color="000000" w:sz="8" w:space="0"/>
              <w:bottom w:val="single" w:color="000000" w:sz="8" w:space="0"/>
              <w:right w:val="single" w:color="000000" w:sz="8" w:space="0"/>
            </w:tcBorders>
          </w:tcPr>
          <w:p w14:paraId="0D0006E1">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2.3</w:t>
            </w:r>
          </w:p>
        </w:tc>
      </w:tr>
      <w:tr w14:paraId="74B168D3">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1554817B">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4.5</w:t>
            </w:r>
          </w:p>
        </w:tc>
        <w:tc>
          <w:tcPr>
            <w:tcW w:w="1882" w:type="dxa"/>
            <w:tcBorders>
              <w:top w:val="single" w:color="000000" w:sz="8" w:space="0"/>
              <w:left w:val="single" w:color="000000" w:sz="8" w:space="0"/>
              <w:bottom w:val="single" w:color="000000" w:sz="8" w:space="0"/>
              <w:right w:val="single" w:color="000000" w:sz="8" w:space="0"/>
            </w:tcBorders>
          </w:tcPr>
          <w:p w14:paraId="65F7F651">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3.5</w:t>
            </w:r>
          </w:p>
        </w:tc>
      </w:tr>
      <w:tr w14:paraId="6AF4B87F">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550F59F7">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5</w:t>
            </w:r>
          </w:p>
        </w:tc>
        <w:tc>
          <w:tcPr>
            <w:tcW w:w="1882" w:type="dxa"/>
            <w:tcBorders>
              <w:top w:val="single" w:color="000000" w:sz="8" w:space="0"/>
              <w:left w:val="single" w:color="000000" w:sz="8" w:space="0"/>
              <w:bottom w:val="single" w:color="000000" w:sz="8" w:space="0"/>
              <w:right w:val="single" w:color="000000" w:sz="8" w:space="0"/>
            </w:tcBorders>
          </w:tcPr>
          <w:p w14:paraId="48FB478D">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4.3</w:t>
            </w:r>
          </w:p>
        </w:tc>
      </w:tr>
      <w:tr w14:paraId="51EFC515">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4956DCE4">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5.5</w:t>
            </w:r>
          </w:p>
        </w:tc>
        <w:tc>
          <w:tcPr>
            <w:tcW w:w="1882" w:type="dxa"/>
            <w:tcBorders>
              <w:top w:val="single" w:color="000000" w:sz="8" w:space="0"/>
              <w:left w:val="single" w:color="000000" w:sz="8" w:space="0"/>
              <w:bottom w:val="single" w:color="000000" w:sz="8" w:space="0"/>
              <w:right w:val="single" w:color="000000" w:sz="8" w:space="0"/>
            </w:tcBorders>
          </w:tcPr>
          <w:p w14:paraId="2465014E">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5.9</w:t>
            </w:r>
          </w:p>
        </w:tc>
      </w:tr>
      <w:tr w14:paraId="25EC5B5F">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766895DC">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6</w:t>
            </w:r>
          </w:p>
        </w:tc>
        <w:tc>
          <w:tcPr>
            <w:tcW w:w="1882" w:type="dxa"/>
            <w:tcBorders>
              <w:top w:val="single" w:color="000000" w:sz="8" w:space="0"/>
              <w:left w:val="single" w:color="000000" w:sz="8" w:space="0"/>
              <w:bottom w:val="single" w:color="000000" w:sz="8" w:space="0"/>
              <w:right w:val="single" w:color="000000" w:sz="8" w:space="0"/>
            </w:tcBorders>
          </w:tcPr>
          <w:p w14:paraId="254A13F5">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9.5</w:t>
            </w:r>
          </w:p>
        </w:tc>
      </w:tr>
    </w:tbl>
    <w:p w14:paraId="777A1C48">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应注意，验收标准基于扭矩屈服强度，它是一种比ASTM F543所示最大扭矩强度更为保守的螺钉失效强度指标。</w:t>
      </w:r>
    </w:p>
    <w:p w14:paraId="229BEF05">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螺钉应基于标称直径进行比较。标称直径与上表任一所列值不匹配的螺钉，应与略高于该外径的螺钉进行比较（例如，4.25 mm的螺钉应使用4.5 mm螺钉的验收标准）。</w:t>
      </w:r>
    </w:p>
    <w:p w14:paraId="532D45D7">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0ADD3DB3">
      <w:pPr>
        <w:wordWrap w:val="0"/>
        <w:adjustRightInd w:val="0"/>
        <w:snapToGrid w:val="0"/>
        <w:spacing w:before="1800" w:beforeLines="7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__________________________</w:t>
      </w:r>
    </w:p>
    <w:p w14:paraId="6494A16A">
      <w:pPr>
        <w:numPr>
          <w:ilvl w:val="0"/>
          <w:numId w:val="2"/>
        </w:numPr>
        <w:tabs>
          <w:tab w:val="left" w:pos="235"/>
        </w:tabs>
        <w:wordWrap w:val="0"/>
        <w:adjustRightInd w:val="0"/>
        <w:snapToGrid w:val="0"/>
        <w:spacing w:before="120" w:beforeLines="50" w:line="300" w:lineRule="auto"/>
        <w:ind w:firstLine="0"/>
        <w:jc w:val="both"/>
        <w:rPr>
          <w:rFonts w:ascii="Times New Roman" w:hAnsi="Times New Roman" w:cs="Times New Roman"/>
          <w:snapToGrid w:val="0"/>
          <w:sz w:val="24"/>
          <w:szCs w:val="24"/>
          <w:lang w:eastAsia="zh-CN"/>
        </w:rPr>
      </w:pPr>
      <w:r>
        <w:rPr>
          <w:rFonts w:ascii="Times New Roman" w:hAnsi="Times New Roman" w:eastAsia="宋体" w:cs="宋体"/>
          <w:sz w:val="21"/>
          <w:lang w:eastAsia="zh-CN"/>
        </w:rPr>
        <w:t>应注意，尽管FDA完全认可ASTM F543，但FDA认为，就基于安全性和性能的途径而言，尽管某些试验的公认共识标准中已确定替代方法、其他方法或验收标准，但本章机械式台架试验中确定的试验、方法和标准是证明该途径实质等同性最为简便的方法。有关识别范围的信息，参见ASTM F543的补充信息表。</w:t>
      </w:r>
      <w:r>
        <w:rPr>
          <w:rFonts w:ascii="Times New Roman" w:hAnsi="Times New Roman" w:eastAsia="宋体" w:cs="宋体"/>
          <w:sz w:val="24"/>
          <w:lang w:eastAsia="zh-CN"/>
        </w:rPr>
        <w:br w:type="page"/>
      </w:r>
    </w:p>
    <w:p w14:paraId="350151D9">
      <w:pPr>
        <w:wordWrap w:val="0"/>
        <w:adjustRightInd w:val="0"/>
        <w:snapToGrid w:val="0"/>
        <w:spacing w:before="24" w:beforeLines="1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性能标准来源：</w:t>
      </w:r>
      <w:r>
        <w:rPr>
          <w:rFonts w:ascii="Times New Roman" w:hAnsi="Times New Roman" w:eastAsia="宋体" w:cs="宋体"/>
          <w:sz w:val="24"/>
          <w:lang w:eastAsia="zh-CN"/>
        </w:rPr>
        <w:t>标准基于在510(k)申报中提交至FDA的、骨科接骨螺钉（之前为“实质等同”）的机械试验汇总数据。应注意，上表中的数值基于最终数据进行了四舍五入，以确保数据覆盖最广泛、最准确。</w:t>
      </w:r>
    </w:p>
    <w:p w14:paraId="0EADD2B8">
      <w:pPr>
        <w:wordWrap w:val="0"/>
        <w:adjustRightInd w:val="0"/>
        <w:snapToGrid w:val="0"/>
        <w:spacing w:before="24" w:beforeLines="1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其他注意事项：</w:t>
      </w:r>
      <w:r>
        <w:rPr>
          <w:rFonts w:ascii="Times New Roman" w:hAnsi="Times New Roman" w:eastAsia="宋体" w:cs="宋体"/>
          <w:sz w:val="24"/>
          <w:lang w:eastAsia="zh-CN"/>
        </w:rPr>
        <w:t>ASTM F543规定，至少需要对5个样品进行试验。此外，对FDA现有器械可用数据的分析表明，基于平均扭矩屈服强度试验结果与每个标称直径标准的对比，5个样品应该足够。成功的试验结果应符合以下条件之一：（1）所有样品都符合或超过上述验收标准；（2）所有样品的平均值都符合或超过上述标准，并且标准差≤ 10%计算的平均值；（3）应符合衍生自从ASTM E122《预估样品量（规定精度）以及批次或过程特性平均值计算规程》的标准，如ASTM F543所述。为验收标准选择的列表值应基于最差情况的螺钉标称外径。如果表中未列出标称外径，则应使用次高的直径抗扭强度值作为验收标准。</w:t>
      </w:r>
    </w:p>
    <w:p w14:paraId="3D798B00">
      <w:pPr>
        <w:wordWrap w:val="0"/>
        <w:adjustRightInd w:val="0"/>
        <w:snapToGrid w:val="0"/>
        <w:spacing w:before="24" w:beforeLines="1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提交信息</w:t>
      </w:r>
      <w:r>
        <w:rPr>
          <w:rFonts w:ascii="Times New Roman" w:hAnsi="Times New Roman" w:eastAsia="宋体" w:cs="宋体"/>
          <w:sz w:val="24"/>
          <w:lang w:eastAsia="zh-CN"/>
        </w:rPr>
        <w:t>：结果汇总和符合性声明</w:t>
      </w:r>
    </w:p>
    <w:p w14:paraId="7AD654A4">
      <w:pPr>
        <w:numPr>
          <w:ilvl w:val="0"/>
          <w:numId w:val="3"/>
        </w:numPr>
        <w:tabs>
          <w:tab w:val="left" w:pos="896"/>
        </w:tabs>
        <w:wordWrap w:val="0"/>
        <w:adjustRightInd w:val="0"/>
        <w:snapToGrid w:val="0"/>
        <w:spacing w:before="24" w:beforeLines="10" w:line="300" w:lineRule="auto"/>
        <w:ind w:left="964" w:hanging="964" w:hangingChars="400"/>
        <w:jc w:val="both"/>
        <w:rPr>
          <w:rFonts w:ascii="Times New Roman" w:hAnsi="Times New Roman" w:cs="Times New Roman"/>
          <w:snapToGrid w:val="0"/>
          <w:sz w:val="24"/>
          <w:szCs w:val="24"/>
        </w:rPr>
      </w:pPr>
      <w:r>
        <w:rPr>
          <w:rFonts w:ascii="Times New Roman" w:hAnsi="Times New Roman" w:eastAsia="宋体" w:cs="宋体"/>
          <w:b/>
          <w:sz w:val="24"/>
        </w:rPr>
        <w:t>试验名称：</w:t>
      </w:r>
      <w:r>
        <w:rPr>
          <w:rFonts w:ascii="Times New Roman" w:hAnsi="Times New Roman" w:eastAsia="宋体" w:cs="宋体"/>
          <w:sz w:val="24"/>
        </w:rPr>
        <w:t>驱动扭矩</w:t>
      </w:r>
    </w:p>
    <w:p w14:paraId="0B7A0906">
      <w:pPr>
        <w:wordWrap w:val="0"/>
        <w:adjustRightInd w:val="0"/>
        <w:snapToGrid w:val="0"/>
        <w:spacing w:before="24" w:beforeLines="1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方法：</w:t>
      </w:r>
      <w:r>
        <w:rPr>
          <w:rFonts w:ascii="Times New Roman" w:hAnsi="Times New Roman" w:eastAsia="宋体" w:cs="宋体"/>
          <w:sz w:val="24"/>
          <w:lang w:eastAsia="zh-CN"/>
        </w:rPr>
        <w:t>ASTM F543-17 《医用金属接骨螺钉的标准规范和试验方法》</w:t>
      </w:r>
    </w:p>
    <w:p w14:paraId="63B8DEF4">
      <w:pPr>
        <w:wordWrap w:val="0"/>
        <w:adjustRightInd w:val="0"/>
        <w:snapToGrid w:val="0"/>
        <w:spacing w:before="24" w:beforeLines="1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w:t>
      </w:r>
      <w:r>
        <w:rPr>
          <w:rFonts w:ascii="Times New Roman" w:hAnsi="Times New Roman" w:eastAsia="宋体" w:cs="宋体"/>
          <w:sz w:val="24"/>
          <w:lang w:eastAsia="zh-CN"/>
        </w:rPr>
        <w:t>插入过程中故障风险最高的螺钉（即，插入扭矩和屈服扭矩之间安全系数最低的螺钉），应使用驱动扭矩试验结果进行评价。通常，应对抗扭强度试验中使用的最差情况接骨螺钉进行插入和移除试验。然而，在确定最差情况时，还应考虑到尖端几何形状和手术技术。在插入和移除试验（至少20 pcf的骨泡沫）中记录的最大扭矩应为接骨螺钉扭转屈服强度的50%或更低。此外，应在移除螺钉后对螺钉进行目视检查，并应提供最终试验样品的图像，以证明螺钉螺纹足以抗损，比如螺纹与螺钉主体分离。</w:t>
      </w:r>
    </w:p>
    <w:p w14:paraId="464E2430">
      <w:pPr>
        <w:wordWrap w:val="0"/>
        <w:adjustRightInd w:val="0"/>
        <w:snapToGrid w:val="0"/>
        <w:spacing w:before="24" w:beforeLines="1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性能标准来源：</w:t>
      </w:r>
      <w:r>
        <w:rPr>
          <w:rFonts w:ascii="Times New Roman" w:hAnsi="Times New Roman" w:eastAsia="宋体" w:cs="宋体"/>
          <w:sz w:val="24"/>
          <w:lang w:eastAsia="zh-CN"/>
        </w:rPr>
        <w:t>标准基于在510(k)申报中提交至FDA的、骨科接骨螺钉（之前为“实质等同”）的机械试验汇总数据。</w:t>
      </w:r>
    </w:p>
    <w:p w14:paraId="3ECF0E58">
      <w:pPr>
        <w:wordWrap w:val="0"/>
        <w:adjustRightInd w:val="0"/>
        <w:snapToGrid w:val="0"/>
        <w:spacing w:before="24" w:beforeLines="1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其他注意事项：</w:t>
      </w:r>
      <w:r>
        <w:rPr>
          <w:rFonts w:ascii="Times New Roman" w:hAnsi="Times New Roman" w:eastAsia="宋体" w:cs="宋体"/>
          <w:sz w:val="24"/>
          <w:lang w:eastAsia="zh-CN"/>
        </w:rPr>
        <w:t>至少需要对5个样品进行试验。所有样品都符合或超出上述验收标准才视为试验成功。</w:t>
      </w:r>
    </w:p>
    <w:p w14:paraId="286615B2">
      <w:pPr>
        <w:wordWrap w:val="0"/>
        <w:adjustRightInd w:val="0"/>
        <w:snapToGrid w:val="0"/>
        <w:spacing w:before="24" w:beforeLines="1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提交信息</w:t>
      </w:r>
      <w:r>
        <w:rPr>
          <w:rFonts w:ascii="Times New Roman" w:hAnsi="Times New Roman" w:eastAsia="宋体" w:cs="宋体"/>
          <w:sz w:val="24"/>
          <w:lang w:eastAsia="zh-CN"/>
        </w:rPr>
        <w:t>：结果汇总和符合性声明</w:t>
      </w:r>
    </w:p>
    <w:p w14:paraId="6F5B0B54">
      <w:pPr>
        <w:numPr>
          <w:ilvl w:val="0"/>
          <w:numId w:val="3"/>
        </w:numPr>
        <w:tabs>
          <w:tab w:val="left" w:pos="896"/>
        </w:tabs>
        <w:wordWrap w:val="0"/>
        <w:adjustRightInd w:val="0"/>
        <w:snapToGrid w:val="0"/>
        <w:spacing w:before="24" w:beforeLines="10" w:line="300" w:lineRule="auto"/>
        <w:ind w:left="964" w:hanging="964" w:hanging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试验名称：</w:t>
      </w:r>
      <w:r>
        <w:rPr>
          <w:rFonts w:ascii="Times New Roman" w:hAnsi="Times New Roman" w:eastAsia="宋体" w:cs="宋体"/>
          <w:sz w:val="24"/>
          <w:lang w:eastAsia="zh-CN"/>
        </w:rPr>
        <w:t>轴向拔出强度</w:t>
      </w:r>
    </w:p>
    <w:p w14:paraId="12CE822A">
      <w:pPr>
        <w:wordWrap w:val="0"/>
        <w:adjustRightInd w:val="0"/>
        <w:snapToGrid w:val="0"/>
        <w:spacing w:before="24" w:beforeLines="1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方法</w:t>
      </w:r>
      <w:r>
        <w:rPr>
          <w:rFonts w:ascii="Times New Roman" w:hAnsi="Times New Roman" w:eastAsia="宋体" w:cs="宋体"/>
          <w:sz w:val="24"/>
          <w:lang w:eastAsia="zh-CN"/>
        </w:rPr>
        <w:t>：建议使用Chapman et al., 1996描述的公式进行工程分析，以评估轴心拉出强度。</w:t>
      </w:r>
      <w:r>
        <w:rPr>
          <w:rFonts w:ascii="Times New Roman" w:hAnsi="Times New Roman" w:eastAsia="宋体" w:cs="宋体"/>
          <w:sz w:val="24"/>
          <w:vertAlign w:val="superscript"/>
          <w:lang w:eastAsia="zh-CN"/>
        </w:rPr>
        <w:t>8</w:t>
      </w:r>
      <w:r>
        <w:rPr>
          <w:rFonts w:ascii="Times New Roman" w:hAnsi="Times New Roman" w:eastAsia="宋体" w:cs="宋体"/>
          <w:sz w:val="24"/>
          <w:lang w:eastAsia="zh-CN"/>
        </w:rPr>
        <w:t>请注意，为了确保该分析合理适用，相关手术技术手册中所用器械的螺纹旋合应接近理想化。如果该假设不符合您的场景，则工程分析可能不适用于评估本指南中建议使用的器械。</w:t>
      </w:r>
    </w:p>
    <w:p w14:paraId="1764476C">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w:t>
      </w:r>
    </w:p>
    <w:p w14:paraId="7D14BC9E">
      <w:pPr>
        <w:numPr>
          <w:ilvl w:val="0"/>
          <w:numId w:val="2"/>
        </w:numPr>
        <w:tabs>
          <w:tab w:val="left" w:pos="215"/>
        </w:tabs>
        <w:wordWrap w:val="0"/>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eastAsia="宋体" w:cs="宋体"/>
          <w:sz w:val="21"/>
        </w:rPr>
        <w:t>Chapman, J.R.</w:t>
      </w:r>
      <w:r>
        <w:rPr>
          <w:rFonts w:hint="eastAsia" w:ascii="Times New Roman" w:hAnsi="Times New Roman" w:eastAsia="宋体" w:cs="宋体"/>
          <w:sz w:val="21"/>
          <w:lang w:eastAsia="zh-CN"/>
        </w:rPr>
        <w:t xml:space="preserve"> </w:t>
      </w:r>
      <w:r>
        <w:rPr>
          <w:rFonts w:ascii="Times New Roman" w:hAnsi="Times New Roman" w:eastAsia="宋体" w:cs="宋体"/>
          <w:sz w:val="21"/>
        </w:rPr>
        <w:t>(1996).Factors Affecting the Pullout Strength of Cancellous Bone Screws. Journal of Biomechanical Engineering,</w:t>
      </w:r>
      <w:r>
        <w:rPr>
          <w:rFonts w:hint="eastAsia" w:ascii="Times New Roman" w:hAnsi="Times New Roman" w:eastAsia="宋体" w:cs="宋体"/>
          <w:sz w:val="21"/>
          <w:lang w:eastAsia="zh-CN"/>
        </w:rPr>
        <w:t xml:space="preserve"> </w:t>
      </w:r>
      <w:r>
        <w:rPr>
          <w:rFonts w:ascii="Times New Roman" w:hAnsi="Times New Roman" w:eastAsia="宋体" w:cs="宋体"/>
          <w:sz w:val="21"/>
        </w:rPr>
        <w:t>118(3), 391. doi:10.1115/1.2796022</w:t>
      </w:r>
      <w:r>
        <w:rPr>
          <w:rFonts w:ascii="Times New Roman" w:hAnsi="Times New Roman" w:eastAsia="宋体" w:cs="宋体"/>
          <w:sz w:val="24"/>
        </w:rPr>
        <w:br w:type="page"/>
      </w:r>
    </w:p>
    <w:p w14:paraId="1F94F70E">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对所有螺钉提取以下相关尺寸（即螺钉外径、螺钉内径、螺距和轴向螺纹长度）。这些尺寸将用于量化螺纹旋合，并使用以下公式计算器械系统中最小轴向螺纹加长螺钉的理论拉出强度：</w:t>
      </w:r>
    </w:p>
    <w:p w14:paraId="30D69F17">
      <w:pPr>
        <w:wordWrap w:val="0"/>
        <w:adjustRightInd w:val="0"/>
        <w:snapToGrid w:val="0"/>
        <w:spacing w:before="120" w:beforeLines="50" w:line="300" w:lineRule="auto"/>
        <w:jc w:val="center"/>
        <w:rPr>
          <w:rFonts w:ascii="Times New Roman" w:hAnsi="Times New Roman" w:cs="Times New Roman"/>
          <w:i/>
          <w:snapToGrid w:val="0"/>
          <w:sz w:val="24"/>
          <w:szCs w:val="24"/>
          <w:lang w:eastAsia="zh-CN"/>
        </w:rPr>
      </w:pPr>
      <w:r>
        <w:rPr>
          <w:rFonts w:hint="eastAsia" w:ascii="Times New Roman" w:hAnsi="Times New Roman" w:eastAsia="宋体" w:cs="宋体"/>
          <w:i/>
          <w:sz w:val="24"/>
          <w:lang w:eastAsia="zh-CN"/>
        </w:rPr>
        <w:t>F</w:t>
      </w:r>
      <w:r>
        <w:rPr>
          <w:rFonts w:ascii="Times New Roman" w:hAnsi="Times New Roman" w:eastAsia="宋体" w:cs="宋体"/>
          <w:i/>
          <w:sz w:val="24"/>
        </w:rPr>
        <w:t>s</w:t>
      </w:r>
      <w:r>
        <w:rPr>
          <w:rFonts w:hint="eastAsia" w:ascii="Times New Roman" w:hAnsi="Times New Roman" w:eastAsia="宋体" w:cs="宋体"/>
          <w:i/>
          <w:sz w:val="24"/>
          <w:lang w:eastAsia="zh-CN"/>
        </w:rPr>
        <w:t xml:space="preserve"> </w:t>
      </w:r>
      <w:r>
        <w:rPr>
          <w:rFonts w:ascii="Times New Roman" w:hAnsi="Times New Roman" w:eastAsia="宋体" w:cs="宋体"/>
          <w:i/>
          <w:sz w:val="24"/>
        </w:rPr>
        <w:t>=</w:t>
      </w:r>
      <w:r>
        <w:rPr>
          <w:rFonts w:hint="eastAsia" w:ascii="Times New Roman" w:hAnsi="Times New Roman" w:eastAsia="宋体" w:cs="宋体"/>
          <w:i/>
          <w:sz w:val="24"/>
          <w:lang w:eastAsia="zh-CN"/>
        </w:rPr>
        <w:t xml:space="preserve"> </w:t>
      </w:r>
      <w:r>
        <w:rPr>
          <w:rFonts w:ascii="Times New Roman" w:hAnsi="Times New Roman" w:eastAsia="宋体" w:cs="宋体"/>
          <w:i/>
          <w:sz w:val="24"/>
        </w:rPr>
        <w:t>S</w:t>
      </w:r>
      <w:r>
        <w:rPr>
          <w:rFonts w:hint="eastAsia" w:ascii="Times New Roman" w:hAnsi="Times New Roman" w:eastAsia="宋体" w:cs="宋体"/>
          <w:i/>
          <w:sz w:val="24"/>
          <w:lang w:eastAsia="zh-CN"/>
        </w:rPr>
        <w:t xml:space="preserve"> </w:t>
      </w:r>
      <w:r>
        <w:rPr>
          <w:rFonts w:ascii="Times New Roman" w:hAnsi="Times New Roman" w:eastAsia="宋体" w:cs="宋体"/>
          <w:i/>
          <w:sz w:val="24"/>
        </w:rPr>
        <w:t>*</w:t>
      </w:r>
      <w:r>
        <w:rPr>
          <w:rFonts w:hint="eastAsia" w:ascii="Times New Roman" w:hAnsi="Times New Roman" w:eastAsia="宋体" w:cs="宋体"/>
          <w:i/>
          <w:sz w:val="24"/>
          <w:lang w:eastAsia="zh-CN"/>
        </w:rPr>
        <w:t xml:space="preserve"> </w:t>
      </w:r>
      <w:r>
        <w:rPr>
          <w:rFonts w:ascii="Times New Roman" w:hAnsi="Times New Roman" w:eastAsia="宋体" w:cs="宋体"/>
          <w:i/>
          <w:sz w:val="24"/>
        </w:rPr>
        <w:t>A</w:t>
      </w:r>
      <w:r>
        <w:rPr>
          <w:rFonts w:hint="eastAsia" w:ascii="Times New Roman" w:hAnsi="Times New Roman" w:eastAsia="宋体" w:cs="宋体"/>
          <w:i/>
          <w:sz w:val="24"/>
          <w:lang w:eastAsia="zh-CN"/>
        </w:rPr>
        <w:t xml:space="preserve"> </w:t>
      </w:r>
      <w:r>
        <w:rPr>
          <w:rFonts w:ascii="Times New Roman" w:hAnsi="Times New Roman" w:eastAsia="宋体" w:cs="宋体"/>
          <w:i/>
          <w:sz w:val="24"/>
        </w:rPr>
        <w:t>=</w:t>
      </w:r>
      <w:r>
        <w:rPr>
          <w:rFonts w:hint="eastAsia" w:ascii="Times New Roman" w:hAnsi="Times New Roman" w:eastAsia="宋体" w:cs="宋体"/>
          <w:i/>
          <w:sz w:val="24"/>
          <w:lang w:eastAsia="zh-CN"/>
        </w:rPr>
        <w:t xml:space="preserve"> </w:t>
      </w:r>
      <w:r>
        <w:rPr>
          <w:rFonts w:ascii="Times New Roman" w:hAnsi="Times New Roman" w:eastAsia="宋体" w:cs="宋体"/>
          <w:i/>
          <w:sz w:val="24"/>
        </w:rPr>
        <w:t>{S</w:t>
      </w:r>
      <w:r>
        <w:rPr>
          <w:rFonts w:hint="eastAsia" w:ascii="Times New Roman" w:hAnsi="Times New Roman" w:eastAsia="宋体" w:cs="宋体"/>
          <w:i/>
          <w:sz w:val="24"/>
          <w:lang w:eastAsia="zh-CN"/>
        </w:rPr>
        <w:t xml:space="preserve"> </w:t>
      </w:r>
      <w:r>
        <w:rPr>
          <w:rFonts w:ascii="Times New Roman" w:hAnsi="Times New Roman" w:eastAsia="宋体" w:cs="宋体"/>
          <w:i/>
          <w:sz w:val="24"/>
        </w:rPr>
        <w:t>*</w:t>
      </w:r>
      <w:r>
        <w:rPr>
          <w:rFonts w:hint="eastAsia" w:ascii="Times New Roman" w:hAnsi="Times New Roman" w:eastAsia="宋体" w:cs="宋体"/>
          <w:i/>
          <w:sz w:val="24"/>
          <w:lang w:eastAsia="zh-CN"/>
        </w:rPr>
        <w:t xml:space="preserve"> </w:t>
      </w:r>
      <w:r>
        <w:rPr>
          <w:rFonts w:ascii="Times New Roman" w:hAnsi="Times New Roman" w:eastAsia="宋体" w:cs="宋体"/>
          <w:i/>
          <w:sz w:val="24"/>
        </w:rPr>
        <w:t>L</w:t>
      </w:r>
      <w:r>
        <w:rPr>
          <w:rFonts w:hint="eastAsia" w:ascii="Times New Roman" w:hAnsi="Times New Roman" w:eastAsia="宋体" w:cs="宋体"/>
          <w:i/>
          <w:sz w:val="24"/>
          <w:lang w:eastAsia="zh-CN"/>
        </w:rPr>
        <w:t xml:space="preserve"> </w:t>
      </w:r>
      <w:r>
        <w:rPr>
          <w:rFonts w:ascii="Times New Roman" w:hAnsi="Times New Roman" w:eastAsia="宋体" w:cs="宋体"/>
          <w:i/>
          <w:sz w:val="24"/>
        </w:rPr>
        <w:t>*</w:t>
      </w:r>
      <w:r>
        <w:rPr>
          <w:rFonts w:hint="eastAsia" w:ascii="Times New Roman" w:hAnsi="Times New Roman" w:eastAsia="宋体" w:cs="宋体"/>
          <w:i/>
          <w:sz w:val="24"/>
          <w:lang w:eastAsia="zh-CN"/>
        </w:rPr>
        <w:t xml:space="preserve"> </w:t>
      </w:r>
      <w:r>
        <w:rPr>
          <w:rFonts w:ascii="Times New Roman" w:hAnsi="Times New Roman" w:eastAsia="宋体" w:cs="宋体"/>
          <w:i/>
          <w:sz w:val="24"/>
        </w:rPr>
        <w:t>π</w:t>
      </w:r>
      <w:r>
        <w:rPr>
          <w:rFonts w:hint="eastAsia" w:ascii="Times New Roman" w:hAnsi="Times New Roman" w:eastAsia="宋体" w:cs="宋体"/>
          <w:i/>
          <w:sz w:val="24"/>
          <w:lang w:eastAsia="zh-CN"/>
        </w:rPr>
        <w:t xml:space="preserve"> </w:t>
      </w:r>
      <w:r>
        <w:rPr>
          <w:rFonts w:ascii="Times New Roman" w:hAnsi="Times New Roman" w:eastAsia="宋体" w:cs="宋体"/>
          <w:i/>
          <w:sz w:val="24"/>
        </w:rPr>
        <w:t>*</w:t>
      </w:r>
      <w:r>
        <w:rPr>
          <w:rFonts w:hint="eastAsia" w:ascii="Times New Roman" w:hAnsi="Times New Roman" w:eastAsia="宋体" w:cs="宋体"/>
          <w:i/>
          <w:sz w:val="24"/>
          <w:lang w:eastAsia="zh-CN"/>
        </w:rPr>
        <w:t xml:space="preserve"> </w:t>
      </w:r>
      <w:r>
        <w:rPr>
          <w:rFonts w:ascii="Times New Roman" w:hAnsi="Times New Roman" w:eastAsia="宋体" w:cs="宋体"/>
          <w:i/>
          <w:sz w:val="24"/>
        </w:rPr>
        <w:t>Dmajor</w:t>
      </w:r>
      <w:r>
        <w:rPr>
          <w:rFonts w:hint="eastAsia" w:ascii="Times New Roman" w:hAnsi="Times New Roman" w:eastAsia="宋体" w:cs="宋体"/>
          <w:i/>
          <w:sz w:val="24"/>
          <w:lang w:eastAsia="zh-CN"/>
        </w:rPr>
        <w:t xml:space="preserve"> </w:t>
      </w:r>
      <w:r>
        <w:rPr>
          <w:rFonts w:ascii="Times New Roman" w:hAnsi="Times New Roman" w:eastAsia="宋体" w:cs="宋体"/>
          <w:i/>
          <w:sz w:val="24"/>
        </w:rPr>
        <w:t>*</w:t>
      </w:r>
      <w:r>
        <w:rPr>
          <w:rFonts w:hint="eastAsia" w:ascii="Times New Roman" w:hAnsi="Times New Roman" w:eastAsia="宋体" w:cs="宋体"/>
          <w:i/>
          <w:sz w:val="24"/>
          <w:lang w:eastAsia="zh-CN"/>
        </w:rPr>
        <w:t xml:space="preserve"> </w:t>
      </w:r>
      <w:r>
        <w:rPr>
          <w:rFonts w:ascii="Times New Roman" w:hAnsi="Times New Roman" w:eastAsia="宋体" w:cs="宋体"/>
          <w:i/>
          <w:sz w:val="24"/>
        </w:rPr>
        <w:t>TSF}</w:t>
      </w:r>
    </w:p>
    <w:p w14:paraId="34A20861">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Fs =预测剪切失效力（N）</w:t>
      </w:r>
    </w:p>
    <w:p w14:paraId="47282E9B">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S =材料极限剪切应力（MPa）</w:t>
      </w:r>
    </w:p>
    <w:p w14:paraId="6B90C114">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 =螺纹剪切面积（mm</w:t>
      </w:r>
      <w:r>
        <w:rPr>
          <w:rFonts w:ascii="Times New Roman" w:hAnsi="Times New Roman" w:eastAsia="宋体" w:cs="宋体"/>
          <w:sz w:val="24"/>
          <w:vertAlign w:val="superscript"/>
          <w:lang w:eastAsia="zh-CN"/>
        </w:rPr>
        <w:t>2</w:t>
      </w:r>
      <w:r>
        <w:rPr>
          <w:rFonts w:ascii="Times New Roman" w:hAnsi="Times New Roman" w:eastAsia="宋体" w:cs="宋体"/>
          <w:sz w:val="24"/>
          <w:lang w:eastAsia="zh-CN"/>
        </w:rPr>
        <w:t>）</w:t>
      </w:r>
    </w:p>
    <w:p w14:paraId="2B4C1520">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L =轴向螺纹长度（mm），仅包括有标称外径的螺纹，并且预计螺纹旋合在材料中完全抬起（例如，不包括螺钉尖端）</w:t>
      </w:r>
    </w:p>
    <w:p w14:paraId="20D34604">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Dmajor =外径（mm）</w:t>
      </w:r>
    </w:p>
    <w:p w14:paraId="6431D5AD">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TSF =螺纹形状因数（无因次）=（0.5 + 0.57735 d/p）</w:t>
      </w:r>
    </w:p>
    <w:p w14:paraId="66DF3FF6">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d =螺纹深度（mm）=（外径-内径）/2</w:t>
      </w:r>
    </w:p>
    <w:p w14:paraId="1DA5B2B6">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Dminor =内径（mm）</w:t>
      </w:r>
    </w:p>
    <w:p w14:paraId="78C5AAA2">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p =螺距（mm）</w:t>
      </w:r>
    </w:p>
    <w:p w14:paraId="523003BC">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在分析中，使用3.395 MPa的材料极限剪切应力值（代表20 pcf骨泡沫）。根据最差情况螺钉的标称外径，该器械中产生的理论拉出强度值应等于或大于以下值。在选择评价最差情况的螺钉时，应提供其为最差情况的支撑理由。界面数量会显著影响轴向拔出性能。外径缩小、轴向螺纹长度缩小等因素可能有助于确定最差情况。</w:t>
      </w:r>
    </w:p>
    <w:p w14:paraId="170C18F1">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应清晰列出每个理论值计算中使用的尺寸。此计算中使用的尺寸值应与螺钉工程图纸所列值一致。</w:t>
      </w:r>
    </w:p>
    <w:p w14:paraId="4625A0A1">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2C901A7B">
      <w:pPr>
        <w:wordWrap w:val="0"/>
        <w:adjustRightInd w:val="0"/>
        <w:snapToGrid w:val="0"/>
        <w:spacing w:before="120" w:beforeLines="50" w:line="300" w:lineRule="auto"/>
        <w:ind w:left="880" w:leftChars="400"/>
        <w:jc w:val="both"/>
        <w:rPr>
          <w:rFonts w:ascii="Times New Roman" w:hAnsi="Times New Roman" w:cs="Times New Roman"/>
          <w:b/>
          <w:bCs/>
          <w:snapToGrid w:val="0"/>
          <w:sz w:val="24"/>
          <w:szCs w:val="24"/>
        </w:rPr>
      </w:pPr>
      <w:r>
        <w:rPr>
          <w:rFonts w:ascii="Times New Roman" w:hAnsi="Times New Roman" w:eastAsia="宋体" w:cs="宋体"/>
          <w:b/>
          <w:sz w:val="24"/>
        </w:rPr>
        <w:t>性能标准：</w:t>
      </w:r>
    </w:p>
    <w:tbl>
      <w:tblPr>
        <w:tblStyle w:val="5"/>
        <w:tblW w:w="0" w:type="auto"/>
        <w:tblInd w:w="2748" w:type="dxa"/>
        <w:tblLayout w:type="fixed"/>
        <w:tblCellMar>
          <w:top w:w="0" w:type="dxa"/>
          <w:left w:w="108" w:type="dxa"/>
          <w:bottom w:w="0" w:type="dxa"/>
          <w:right w:w="108" w:type="dxa"/>
        </w:tblCellMar>
      </w:tblPr>
      <w:tblGrid>
        <w:gridCol w:w="1810"/>
        <w:gridCol w:w="2232"/>
      </w:tblGrid>
      <w:tr w14:paraId="3BFE8AA9">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2F5499EE">
            <w:pPr>
              <w:wordWrap w:val="0"/>
              <w:adjustRightInd w:val="0"/>
              <w:snapToGrid w:val="0"/>
              <w:spacing w:before="36" w:beforeLines="15" w:line="276" w:lineRule="auto"/>
              <w:jc w:val="both"/>
              <w:rPr>
                <w:rFonts w:ascii="Times New Roman" w:hAnsi="Times New Roman" w:eastAsia="宋体" w:cs="宋体"/>
                <w:b/>
                <w:sz w:val="21"/>
                <w:lang w:eastAsia="zh-CN"/>
              </w:rPr>
            </w:pPr>
            <w:r>
              <w:rPr>
                <w:rFonts w:ascii="Times New Roman" w:hAnsi="Times New Roman" w:eastAsia="宋体" w:cs="宋体"/>
                <w:b/>
                <w:sz w:val="21"/>
              </w:rPr>
              <w:t>标称外径</w:t>
            </w:r>
          </w:p>
          <w:p w14:paraId="5BA2109B">
            <w:pPr>
              <w:wordWrap w:val="0"/>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（mm）</w:t>
            </w:r>
          </w:p>
        </w:tc>
        <w:tc>
          <w:tcPr>
            <w:tcW w:w="2232" w:type="dxa"/>
            <w:tcBorders>
              <w:top w:val="single" w:color="000000" w:sz="8" w:space="0"/>
              <w:left w:val="single" w:color="000000" w:sz="8" w:space="0"/>
              <w:bottom w:val="single" w:color="000000" w:sz="8" w:space="0"/>
              <w:right w:val="single" w:color="000000" w:sz="8" w:space="0"/>
            </w:tcBorders>
          </w:tcPr>
          <w:p w14:paraId="7363FFA5">
            <w:pPr>
              <w:wordWrap w:val="0"/>
              <w:adjustRightInd w:val="0"/>
              <w:snapToGrid w:val="0"/>
              <w:spacing w:before="36" w:beforeLines="15" w:line="276" w:lineRule="auto"/>
              <w:jc w:val="both"/>
              <w:rPr>
                <w:rFonts w:ascii="Times New Roman" w:hAnsi="Times New Roman" w:eastAsia="宋体" w:cs="宋体"/>
                <w:b/>
                <w:sz w:val="21"/>
                <w:lang w:eastAsia="zh-CN"/>
              </w:rPr>
            </w:pPr>
            <w:r>
              <w:rPr>
                <w:rFonts w:ascii="Times New Roman" w:hAnsi="Times New Roman" w:eastAsia="宋体" w:cs="宋体"/>
                <w:b/>
                <w:sz w:val="21"/>
              </w:rPr>
              <w:t>理论拔出强度</w:t>
            </w:r>
          </w:p>
          <w:p w14:paraId="5E534803">
            <w:pPr>
              <w:wordWrap w:val="0"/>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（N）</w:t>
            </w:r>
          </w:p>
        </w:tc>
      </w:tr>
      <w:tr w14:paraId="121C4F0E">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2F1A3AA1">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1.5</w:t>
            </w:r>
          </w:p>
        </w:tc>
        <w:tc>
          <w:tcPr>
            <w:tcW w:w="2232" w:type="dxa"/>
            <w:tcBorders>
              <w:top w:val="single" w:color="000000" w:sz="8" w:space="0"/>
              <w:left w:val="single" w:color="000000" w:sz="8" w:space="0"/>
              <w:bottom w:val="single" w:color="000000" w:sz="8" w:space="0"/>
              <w:right w:val="single" w:color="000000" w:sz="8" w:space="0"/>
            </w:tcBorders>
          </w:tcPr>
          <w:p w14:paraId="1C480609">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45.6</w:t>
            </w:r>
          </w:p>
        </w:tc>
      </w:tr>
      <w:tr w14:paraId="1BD58048">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63118002">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2</w:t>
            </w:r>
          </w:p>
        </w:tc>
        <w:tc>
          <w:tcPr>
            <w:tcW w:w="2232" w:type="dxa"/>
            <w:tcBorders>
              <w:top w:val="single" w:color="000000" w:sz="8" w:space="0"/>
              <w:left w:val="single" w:color="000000" w:sz="8" w:space="0"/>
              <w:bottom w:val="single" w:color="000000" w:sz="8" w:space="0"/>
              <w:right w:val="single" w:color="000000" w:sz="8" w:space="0"/>
            </w:tcBorders>
          </w:tcPr>
          <w:p w14:paraId="3168C836">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50.5</w:t>
            </w:r>
          </w:p>
        </w:tc>
      </w:tr>
      <w:tr w14:paraId="64825EC1">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68A71AA1">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2.5</w:t>
            </w:r>
          </w:p>
        </w:tc>
        <w:tc>
          <w:tcPr>
            <w:tcW w:w="2232" w:type="dxa"/>
            <w:tcBorders>
              <w:top w:val="single" w:color="000000" w:sz="8" w:space="0"/>
              <w:left w:val="single" w:color="000000" w:sz="8" w:space="0"/>
              <w:bottom w:val="single" w:color="000000" w:sz="8" w:space="0"/>
              <w:right w:val="single" w:color="000000" w:sz="8" w:space="0"/>
            </w:tcBorders>
          </w:tcPr>
          <w:p w14:paraId="6DB56F79">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55.5</w:t>
            </w:r>
          </w:p>
        </w:tc>
      </w:tr>
      <w:tr w14:paraId="5AEAE0EC">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7879FE3B">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2.7</w:t>
            </w:r>
          </w:p>
        </w:tc>
        <w:tc>
          <w:tcPr>
            <w:tcW w:w="2232" w:type="dxa"/>
            <w:tcBorders>
              <w:top w:val="single" w:color="000000" w:sz="8" w:space="0"/>
              <w:left w:val="single" w:color="000000" w:sz="8" w:space="0"/>
              <w:bottom w:val="single" w:color="000000" w:sz="8" w:space="0"/>
              <w:right w:val="single" w:color="000000" w:sz="8" w:space="0"/>
            </w:tcBorders>
          </w:tcPr>
          <w:p w14:paraId="7B1B21C1">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79.5</w:t>
            </w:r>
          </w:p>
        </w:tc>
      </w:tr>
      <w:tr w14:paraId="39B16583">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7FC3A8A7">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3</w:t>
            </w:r>
          </w:p>
        </w:tc>
        <w:tc>
          <w:tcPr>
            <w:tcW w:w="2232" w:type="dxa"/>
            <w:tcBorders>
              <w:top w:val="single" w:color="000000" w:sz="8" w:space="0"/>
              <w:left w:val="single" w:color="000000" w:sz="8" w:space="0"/>
              <w:bottom w:val="single" w:color="000000" w:sz="8" w:space="0"/>
              <w:right w:val="single" w:color="000000" w:sz="8" w:space="0"/>
            </w:tcBorders>
          </w:tcPr>
          <w:p w14:paraId="102A1697">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92.0</w:t>
            </w:r>
          </w:p>
        </w:tc>
      </w:tr>
      <w:tr w14:paraId="2355732C">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65903771">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3.5</w:t>
            </w:r>
          </w:p>
        </w:tc>
        <w:tc>
          <w:tcPr>
            <w:tcW w:w="2232" w:type="dxa"/>
            <w:tcBorders>
              <w:top w:val="single" w:color="000000" w:sz="8" w:space="0"/>
              <w:left w:val="single" w:color="000000" w:sz="8" w:space="0"/>
              <w:bottom w:val="single" w:color="000000" w:sz="8" w:space="0"/>
              <w:right w:val="single" w:color="000000" w:sz="8" w:space="0"/>
            </w:tcBorders>
          </w:tcPr>
          <w:p w14:paraId="68ABD69F">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112.5</w:t>
            </w:r>
          </w:p>
        </w:tc>
      </w:tr>
      <w:tr w14:paraId="77F24A16">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2030178F">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4</w:t>
            </w:r>
          </w:p>
        </w:tc>
        <w:tc>
          <w:tcPr>
            <w:tcW w:w="2232" w:type="dxa"/>
            <w:tcBorders>
              <w:top w:val="single" w:color="000000" w:sz="8" w:space="0"/>
              <w:left w:val="single" w:color="000000" w:sz="8" w:space="0"/>
              <w:bottom w:val="single" w:color="000000" w:sz="8" w:space="0"/>
              <w:right w:val="single" w:color="000000" w:sz="8" w:space="0"/>
            </w:tcBorders>
          </w:tcPr>
          <w:p w14:paraId="700481BE">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148.4</w:t>
            </w:r>
          </w:p>
        </w:tc>
      </w:tr>
      <w:tr w14:paraId="2312C3A6">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251115C5">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4.5</w:t>
            </w:r>
          </w:p>
        </w:tc>
        <w:tc>
          <w:tcPr>
            <w:tcW w:w="2232" w:type="dxa"/>
            <w:tcBorders>
              <w:top w:val="single" w:color="000000" w:sz="8" w:space="0"/>
              <w:left w:val="single" w:color="000000" w:sz="8" w:space="0"/>
              <w:bottom w:val="single" w:color="000000" w:sz="8" w:space="0"/>
              <w:right w:val="single" w:color="000000" w:sz="8" w:space="0"/>
            </w:tcBorders>
          </w:tcPr>
          <w:p w14:paraId="1B7CF013">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152.3</w:t>
            </w:r>
          </w:p>
        </w:tc>
      </w:tr>
      <w:tr w14:paraId="3894152A">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21E87A5E">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5</w:t>
            </w:r>
          </w:p>
        </w:tc>
        <w:tc>
          <w:tcPr>
            <w:tcW w:w="2232" w:type="dxa"/>
            <w:tcBorders>
              <w:top w:val="single" w:color="000000" w:sz="8" w:space="0"/>
              <w:left w:val="single" w:color="000000" w:sz="8" w:space="0"/>
              <w:bottom w:val="single" w:color="000000" w:sz="8" w:space="0"/>
              <w:right w:val="single" w:color="000000" w:sz="8" w:space="0"/>
            </w:tcBorders>
          </w:tcPr>
          <w:p w14:paraId="6EAB316D">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230.7</w:t>
            </w:r>
          </w:p>
        </w:tc>
      </w:tr>
      <w:tr w14:paraId="0D3E7698">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23FCBBC2">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5.5</w:t>
            </w:r>
          </w:p>
        </w:tc>
        <w:tc>
          <w:tcPr>
            <w:tcW w:w="2232" w:type="dxa"/>
            <w:tcBorders>
              <w:top w:val="single" w:color="000000" w:sz="8" w:space="0"/>
              <w:left w:val="single" w:color="000000" w:sz="8" w:space="0"/>
              <w:bottom w:val="single" w:color="000000" w:sz="8" w:space="0"/>
              <w:right w:val="single" w:color="000000" w:sz="8" w:space="0"/>
            </w:tcBorders>
          </w:tcPr>
          <w:p w14:paraId="31BBD09A">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336.0</w:t>
            </w:r>
          </w:p>
        </w:tc>
      </w:tr>
      <w:tr w14:paraId="46B7A50F">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3058661C">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6</w:t>
            </w:r>
          </w:p>
        </w:tc>
        <w:tc>
          <w:tcPr>
            <w:tcW w:w="2232" w:type="dxa"/>
            <w:tcBorders>
              <w:top w:val="single" w:color="000000" w:sz="8" w:space="0"/>
              <w:left w:val="single" w:color="000000" w:sz="8" w:space="0"/>
              <w:bottom w:val="single" w:color="000000" w:sz="8" w:space="0"/>
              <w:right w:val="single" w:color="000000" w:sz="8" w:space="0"/>
            </w:tcBorders>
          </w:tcPr>
          <w:p w14:paraId="4A51FF30">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468.6</w:t>
            </w:r>
          </w:p>
        </w:tc>
      </w:tr>
      <w:tr w14:paraId="1AC5920D">
        <w:tblPrEx>
          <w:tblCellMar>
            <w:top w:w="0" w:type="dxa"/>
            <w:left w:w="108" w:type="dxa"/>
            <w:bottom w:w="0" w:type="dxa"/>
            <w:right w:w="108" w:type="dxa"/>
          </w:tblCellMar>
        </w:tblPrEx>
        <w:tc>
          <w:tcPr>
            <w:tcW w:w="1810" w:type="dxa"/>
            <w:tcBorders>
              <w:top w:val="single" w:color="000000" w:sz="8" w:space="0"/>
              <w:left w:val="single" w:color="000000" w:sz="8" w:space="0"/>
              <w:bottom w:val="single" w:color="000000" w:sz="8" w:space="0"/>
              <w:right w:val="single" w:color="000000" w:sz="8" w:space="0"/>
            </w:tcBorders>
          </w:tcPr>
          <w:p w14:paraId="0E441B60">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6.5</w:t>
            </w:r>
          </w:p>
        </w:tc>
        <w:tc>
          <w:tcPr>
            <w:tcW w:w="2232" w:type="dxa"/>
            <w:tcBorders>
              <w:top w:val="single" w:color="000000" w:sz="8" w:space="0"/>
              <w:left w:val="single" w:color="000000" w:sz="8" w:space="0"/>
              <w:bottom w:val="single" w:color="000000" w:sz="8" w:space="0"/>
              <w:right w:val="single" w:color="000000" w:sz="8" w:space="0"/>
            </w:tcBorders>
          </w:tcPr>
          <w:p w14:paraId="65DAED11">
            <w:pPr>
              <w:wordWrap w:val="0"/>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503.5</w:t>
            </w:r>
          </w:p>
        </w:tc>
      </w:tr>
    </w:tbl>
    <w:p w14:paraId="2880AD47">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螺钉应基于标称直径进行比较。标称直径与上表任一所列值不匹配的螺钉，应与略高于该外径的螺钉进行比较（例如，4.25 mm的螺钉应使用4.5 mm螺钉的验收标准）。</w:t>
      </w:r>
    </w:p>
    <w:p w14:paraId="6B844B3E">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性能标准来源：</w:t>
      </w:r>
      <w:r>
        <w:rPr>
          <w:rFonts w:ascii="Times New Roman" w:hAnsi="Times New Roman" w:eastAsia="宋体" w:cs="宋体"/>
          <w:sz w:val="24"/>
          <w:lang w:eastAsia="zh-CN"/>
        </w:rPr>
        <w:t>标准基于在510(k)申报中提交至FDA的、骨科接骨螺钉（之前为“实质等同”）的机械试验汇总数据和器械描述信息。</w:t>
      </w:r>
    </w:p>
    <w:p w14:paraId="4D476A2E">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提交信息：</w:t>
      </w:r>
      <w:r>
        <w:rPr>
          <w:rFonts w:ascii="Times New Roman" w:hAnsi="Times New Roman" w:eastAsia="宋体" w:cs="宋体"/>
          <w:sz w:val="24"/>
          <w:lang w:eastAsia="zh-CN"/>
        </w:rPr>
        <w:t>结果汇总和工程分析</w:t>
      </w:r>
    </w:p>
    <w:p w14:paraId="47C14CD7">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5DAD9DAF">
      <w:pPr>
        <w:wordWrap w:val="0"/>
        <w:adjustRightInd w:val="0"/>
        <w:snapToGrid w:val="0"/>
        <w:spacing w:before="120" w:beforeLines="50" w:line="300" w:lineRule="auto"/>
        <w:jc w:val="both"/>
        <w:rPr>
          <w:rFonts w:ascii="Times New Roman" w:hAnsi="Times New Roman" w:cs="Times New Roman"/>
          <w:b/>
          <w:bCs/>
          <w:snapToGrid w:val="0"/>
          <w:sz w:val="24"/>
          <w:szCs w:val="24"/>
          <w:u w:val="single"/>
          <w:lang w:eastAsia="zh-CN"/>
        </w:rPr>
      </w:pPr>
      <w:r>
        <w:rPr>
          <w:rFonts w:ascii="Times New Roman" w:hAnsi="Times New Roman" w:eastAsia="宋体" w:cs="宋体"/>
          <w:b/>
          <w:sz w:val="24"/>
          <w:u w:val="single"/>
          <w:lang w:eastAsia="zh-CN"/>
        </w:rPr>
        <w:t>灭菌（器械标签显示为无菌）和再处理（最终用户灭菌）确认</w:t>
      </w:r>
    </w:p>
    <w:p w14:paraId="68872AA6">
      <w:pPr>
        <w:numPr>
          <w:ilvl w:val="0"/>
          <w:numId w:val="3"/>
        </w:numPr>
        <w:wordWrap w:val="0"/>
        <w:adjustRightInd w:val="0"/>
        <w:snapToGrid w:val="0"/>
        <w:spacing w:before="120" w:beforeLines="50" w:line="300" w:lineRule="auto"/>
        <w:ind w:left="879" w:hanging="879" w:hangingChars="365"/>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试验名称：</w:t>
      </w:r>
      <w:r>
        <w:rPr>
          <w:rFonts w:ascii="Times New Roman" w:hAnsi="Times New Roman" w:eastAsia="宋体" w:cs="宋体"/>
          <w:sz w:val="24"/>
          <w:lang w:eastAsia="zh-CN"/>
        </w:rPr>
        <w:t>灭菌（器械标签显示为无菌）和再处理（最终用户灭菌）</w:t>
      </w:r>
    </w:p>
    <w:p w14:paraId="247C079C">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方法：</w:t>
      </w:r>
      <w:r>
        <w:rPr>
          <w:rFonts w:ascii="Times New Roman" w:hAnsi="Times New Roman" w:eastAsia="宋体" w:cs="宋体"/>
          <w:sz w:val="24"/>
          <w:lang w:eastAsia="zh-CN"/>
        </w:rPr>
        <w:t>FDA认可的以下共识标准的最新版本（如适用）：</w:t>
      </w:r>
    </w:p>
    <w:p w14:paraId="453CB554">
      <w:pPr>
        <w:numPr>
          <w:ilvl w:val="1"/>
          <w:numId w:val="3"/>
        </w:numPr>
        <w:wordWrap w:val="0"/>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国际标准化组织（ISO）17665-1 《医疗保健产品灭菌-湿热法-第1部分：医疗器械灭菌</w:t>
      </w:r>
      <w:r>
        <w:rPr>
          <w:rFonts w:hint="eastAsia" w:ascii="Times New Roman" w:hAnsi="Times New Roman" w:eastAsia="宋体" w:cs="宋体"/>
          <w:sz w:val="24"/>
          <w:lang w:eastAsia="zh-CN"/>
        </w:rPr>
        <w:t>过程</w:t>
      </w:r>
      <w:r>
        <w:rPr>
          <w:rFonts w:ascii="Times New Roman" w:hAnsi="Times New Roman" w:eastAsia="宋体" w:cs="宋体"/>
          <w:sz w:val="24"/>
          <w:lang w:eastAsia="zh-CN"/>
        </w:rPr>
        <w:t>的开发、确认和常规控制的要求》</w:t>
      </w:r>
    </w:p>
    <w:p w14:paraId="45052032">
      <w:pPr>
        <w:numPr>
          <w:ilvl w:val="1"/>
          <w:numId w:val="3"/>
        </w:numPr>
        <w:wordWrap w:val="0"/>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ISO 11135-1 《医疗保健产品灭菌-环氧乙烷-第1部分：医疗器械灭菌</w:t>
      </w:r>
      <w:r>
        <w:rPr>
          <w:rFonts w:hint="eastAsia" w:ascii="Times New Roman" w:hAnsi="Times New Roman" w:eastAsia="宋体" w:cs="宋体"/>
          <w:sz w:val="24"/>
          <w:lang w:eastAsia="zh-CN"/>
        </w:rPr>
        <w:t>过程</w:t>
      </w:r>
      <w:r>
        <w:rPr>
          <w:rFonts w:ascii="Times New Roman" w:hAnsi="Times New Roman" w:eastAsia="宋体" w:cs="宋体"/>
          <w:sz w:val="24"/>
          <w:lang w:eastAsia="zh-CN"/>
        </w:rPr>
        <w:t>的开发、确认和常规控制的要求》</w:t>
      </w:r>
    </w:p>
    <w:p w14:paraId="70B0FF58">
      <w:pPr>
        <w:numPr>
          <w:ilvl w:val="1"/>
          <w:numId w:val="3"/>
        </w:numPr>
        <w:wordWrap w:val="0"/>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ISO 11137-1 《医疗保健产品灭菌-辐射-第1部分：医疗器械灭菌</w:t>
      </w:r>
      <w:r>
        <w:rPr>
          <w:rFonts w:hint="eastAsia" w:ascii="Times New Roman" w:hAnsi="Times New Roman" w:eastAsia="宋体" w:cs="宋体"/>
          <w:sz w:val="24"/>
          <w:lang w:eastAsia="zh-CN"/>
        </w:rPr>
        <w:t>过程</w:t>
      </w:r>
      <w:r>
        <w:rPr>
          <w:rFonts w:ascii="Times New Roman" w:hAnsi="Times New Roman" w:eastAsia="宋体" w:cs="宋体"/>
          <w:sz w:val="24"/>
          <w:lang w:eastAsia="zh-CN"/>
        </w:rPr>
        <w:t>的开发、确认和常规控制的要求》</w:t>
      </w:r>
    </w:p>
    <w:p w14:paraId="5140C35C">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3C938BF2">
      <w:pPr>
        <w:numPr>
          <w:ilvl w:val="1"/>
          <w:numId w:val="3"/>
        </w:numPr>
        <w:wordWrap w:val="0"/>
        <w:adjustRightInd w:val="0"/>
        <w:snapToGrid w:val="0"/>
        <w:spacing w:line="276"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ISO 11607-1 《最终灭菌医疗器械包装-第1部分：材料、无菌屏障系统和包装系统的要求》</w:t>
      </w:r>
    </w:p>
    <w:p w14:paraId="036C8F7F">
      <w:pPr>
        <w:numPr>
          <w:ilvl w:val="1"/>
          <w:numId w:val="3"/>
        </w:numPr>
        <w:wordWrap w:val="0"/>
        <w:adjustRightInd w:val="0"/>
        <w:snapToGrid w:val="0"/>
        <w:spacing w:line="276"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ISO 11607-2 《最终灭菌医疗器械包装-第2部分：成形、密封和装配过程的确认的要求》</w:t>
      </w:r>
    </w:p>
    <w:p w14:paraId="76C9A0AC">
      <w:pPr>
        <w:wordWrap w:val="0"/>
        <w:adjustRightInd w:val="0"/>
        <w:snapToGrid w:val="0"/>
        <w:spacing w:line="276"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w:t>
      </w:r>
      <w:r>
        <w:rPr>
          <w:rFonts w:ascii="Times New Roman" w:hAnsi="Times New Roman" w:eastAsia="宋体" w:cs="宋体"/>
          <w:sz w:val="24"/>
          <w:lang w:eastAsia="zh-CN"/>
        </w:rPr>
        <w:t>确认试验应证明器械和器械专用仪器的清洁度和无菌性，或清洁和灭菌达到10</w:t>
      </w:r>
      <w:r>
        <w:rPr>
          <w:rFonts w:ascii="Times New Roman" w:hAnsi="Times New Roman" w:eastAsia="宋体" w:cs="宋体"/>
          <w:sz w:val="24"/>
          <w:vertAlign w:val="superscript"/>
          <w:lang w:eastAsia="zh-CN"/>
        </w:rPr>
        <w:t>-6</w:t>
      </w:r>
      <w:r>
        <w:rPr>
          <w:rFonts w:ascii="Times New Roman" w:hAnsi="Times New Roman" w:eastAsia="宋体" w:cs="宋体"/>
          <w:sz w:val="24"/>
          <w:lang w:eastAsia="zh-CN"/>
        </w:rPr>
        <w:t>级无菌保证水平的能力。应提供包装（无菌屏障系统）的描述、包装维持器械无菌性的方法，以及包装试验方法的描述，而非包装试验数据。</w:t>
      </w:r>
    </w:p>
    <w:p w14:paraId="3025E6C3">
      <w:pPr>
        <w:wordWrap w:val="0"/>
        <w:adjustRightInd w:val="0"/>
        <w:snapToGrid w:val="0"/>
        <w:spacing w:line="276"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性能标准来源：</w:t>
      </w:r>
      <w:r>
        <w:rPr>
          <w:rFonts w:ascii="Times New Roman" w:hAnsi="Times New Roman" w:eastAsia="宋体" w:cs="宋体"/>
          <w:sz w:val="24"/>
          <w:lang w:eastAsia="zh-CN"/>
        </w:rPr>
        <w:t>FDA指南：</w:t>
      </w:r>
    </w:p>
    <w:p w14:paraId="39129F7B">
      <w:pPr>
        <w:numPr>
          <w:ilvl w:val="1"/>
          <w:numId w:val="3"/>
        </w:numPr>
        <w:wordWrap w:val="0"/>
        <w:adjustRightInd w:val="0"/>
        <w:snapToGrid w:val="0"/>
        <w:spacing w:line="276"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w:t>
      </w:r>
      <w:r>
        <w:fldChar w:fldCharType="begin"/>
      </w:r>
      <w:r>
        <w:rPr>
          <w:lang w:eastAsia="zh-CN"/>
        </w:rPr>
        <w:instrText xml:space="preserve"> HYPERLINK "https://www.fda.gov/regulatory-information/search-fda-guidance-documents/submission-and-review-sterility-information-premarket-notification-510k-submissions-devices-labeled" \h </w:instrText>
      </w:r>
      <w:r>
        <w:fldChar w:fldCharType="separate"/>
      </w:r>
      <w:r>
        <w:rPr>
          <w:rFonts w:ascii="Times New Roman" w:hAnsi="Times New Roman" w:eastAsia="宋体" w:cs="宋体"/>
          <w:snapToGrid w:val="0"/>
          <w:color w:val="0000FF"/>
          <w:sz w:val="24"/>
          <w:szCs w:val="24"/>
          <w:u w:val="single" w:color="0000FF"/>
          <w:lang w:eastAsia="zh-CN"/>
        </w:rPr>
        <w:t>无菌器械上市前通知（510(k)）申请中无菌信息的申请和审评</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9</w:t>
      </w:r>
    </w:p>
    <w:p w14:paraId="1A7D06F4">
      <w:pPr>
        <w:numPr>
          <w:ilvl w:val="1"/>
          <w:numId w:val="3"/>
        </w:numPr>
        <w:wordWrap w:val="0"/>
        <w:adjustRightInd w:val="0"/>
        <w:snapToGrid w:val="0"/>
        <w:spacing w:line="276" w:lineRule="auto"/>
        <w:ind w:left="1760" w:leftChars="600" w:hanging="440" w:hangingChars="200"/>
        <w:jc w:val="both"/>
        <w:rPr>
          <w:rFonts w:ascii="Times New Roman" w:hAnsi="Times New Roman" w:cs="Times New Roman"/>
          <w:snapToGrid w:val="0"/>
          <w:sz w:val="24"/>
          <w:szCs w:val="24"/>
          <w:lang w:eastAsia="zh-CN"/>
        </w:rPr>
      </w:pPr>
      <w:r>
        <w:fldChar w:fldCharType="begin"/>
      </w:r>
      <w:r>
        <w:instrText xml:space="preserve"> HYPERLINK "https://www.fda.gov/regulatory-information/search-fda-guidance-documents/reprocessing-medical-devices-health-care-settings-validation-methods-and-labeling" \h </w:instrText>
      </w:r>
      <w:r>
        <w:fldChar w:fldCharType="separate"/>
      </w:r>
      <w:r>
        <w:rPr>
          <w:rFonts w:ascii="Times New Roman" w:hAnsi="Times New Roman" w:eastAsia="宋体" w:cs="宋体"/>
          <w:snapToGrid w:val="0"/>
          <w:color w:val="0000FF"/>
          <w:sz w:val="24"/>
          <w:szCs w:val="24"/>
          <w:u w:val="single" w:color="0000FF"/>
          <w:lang w:eastAsia="zh-CN"/>
        </w:rPr>
        <w:t>医疗保健机构中的医疗器械再处理：确认方法和标签</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10</w:t>
      </w:r>
    </w:p>
    <w:p w14:paraId="49808D3D">
      <w:pPr>
        <w:wordWrap w:val="0"/>
        <w:adjustRightInd w:val="0"/>
        <w:snapToGrid w:val="0"/>
        <w:spacing w:line="276"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提交信息</w:t>
      </w:r>
      <w:r>
        <w:rPr>
          <w:rFonts w:ascii="Times New Roman" w:hAnsi="Times New Roman" w:eastAsia="宋体" w:cs="宋体"/>
          <w:sz w:val="24"/>
          <w:lang w:eastAsia="zh-CN"/>
        </w:rPr>
        <w:t>：如果使用既定的A类灭菌方法，应提供FDA指南</w:t>
      </w:r>
      <w:r>
        <w:rPr>
          <w:rFonts w:ascii="Times New Roman" w:hAnsi="Times New Roman"/>
        </w:rPr>
        <w:fldChar w:fldCharType="begin"/>
      </w:r>
      <w:r>
        <w:rPr>
          <w:rFonts w:ascii="Times New Roman" w:hAnsi="Times New Roman"/>
          <w:lang w:eastAsia="zh-CN"/>
        </w:rPr>
        <w:instrText xml:space="preserve"> HYPERLINK "https://www.fda.gov/regulatory-information/search-fda-guidance-documents/submission-and-review-sterility-information-premarket-notification-510k-submissions-devices-labeled" \h </w:instrText>
      </w:r>
      <w:r>
        <w:rPr>
          <w:rFonts w:ascii="Times New Roman" w:hAnsi="Times New Roman"/>
        </w:rPr>
        <w:fldChar w:fldCharType="separate"/>
      </w:r>
      <w:r>
        <w:rPr>
          <w:rFonts w:ascii="Times New Roman" w:hAnsi="Times New Roman" w:eastAsia="宋体" w:cs="宋体"/>
          <w:snapToGrid w:val="0"/>
          <w:color w:val="0000FF"/>
          <w:sz w:val="24"/>
          <w:szCs w:val="24"/>
          <w:u w:val="single" w:color="0000FF"/>
          <w:lang w:eastAsia="zh-CN"/>
        </w:rPr>
        <w:t>《无菌器械上市前通知（510(k)）申请中无菌信息的申请和</w:t>
      </w:r>
      <w:r>
        <w:rPr>
          <w:rFonts w:hint="eastAsia" w:ascii="Times New Roman" w:hAnsi="Times New Roman" w:eastAsia="宋体" w:cs="宋体"/>
          <w:snapToGrid w:val="0"/>
          <w:color w:val="0000FF"/>
          <w:sz w:val="24"/>
          <w:szCs w:val="24"/>
          <w:u w:val="single" w:color="0000FF"/>
          <w:lang w:eastAsia="zh-CN"/>
        </w:rPr>
        <w:t>审评</w:t>
      </w:r>
      <w:r>
        <w:rPr>
          <w:rFonts w:ascii="Times New Roman" w:hAnsi="Times New Roman" w:eastAsia="宋体" w:cs="宋体"/>
          <w:snapToGrid w:val="0"/>
          <w:color w:val="0000FF"/>
          <w:sz w:val="24"/>
          <w:szCs w:val="24"/>
          <w:u w:val="single" w:color="0000FF"/>
          <w:lang w:eastAsia="zh-CN"/>
        </w:rPr>
        <w:t>》</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lang w:eastAsia="zh-CN"/>
        </w:rPr>
        <w:t>第V.A节描述的信息；无需通过确认</w:t>
      </w:r>
      <w:r>
        <w:rPr>
          <w:rFonts w:ascii="Times New Roman" w:hAnsi="Times New Roman" w:eastAsia="宋体" w:cs="宋体"/>
          <w:color w:val="000000"/>
          <w:sz w:val="24"/>
          <w:lang w:eastAsia="zh-CN"/>
        </w:rPr>
        <w:t>数据本身证明其实质等同性。</w:t>
      </w:r>
    </w:p>
    <w:p w14:paraId="63B74BC1">
      <w:pPr>
        <w:wordWrap w:val="0"/>
        <w:adjustRightInd w:val="0"/>
        <w:snapToGrid w:val="0"/>
        <w:spacing w:line="276" w:lineRule="auto"/>
        <w:jc w:val="both"/>
        <w:rPr>
          <w:rFonts w:ascii="Times New Roman" w:hAnsi="Times New Roman" w:cs="Times New Roman"/>
          <w:b/>
          <w:bCs/>
          <w:snapToGrid w:val="0"/>
          <w:sz w:val="24"/>
          <w:szCs w:val="24"/>
          <w:u w:val="single"/>
          <w:lang w:eastAsia="zh-CN"/>
        </w:rPr>
      </w:pPr>
      <w:r>
        <w:rPr>
          <w:rFonts w:ascii="Times New Roman" w:hAnsi="Times New Roman" w:eastAsia="宋体" w:cs="宋体"/>
          <w:b/>
          <w:sz w:val="24"/>
          <w:u w:val="single"/>
          <w:lang w:eastAsia="zh-CN"/>
        </w:rPr>
        <w:t>生物相容性评价：</w:t>
      </w:r>
    </w:p>
    <w:p w14:paraId="09E208DA">
      <w:pPr>
        <w:wordWrap w:val="0"/>
        <w:adjustRightInd w:val="0"/>
        <w:snapToGrid w:val="0"/>
        <w:spacing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作为生物相容性评价的一部分，如需确定生物相容性终点，应使用医疗器械和辐射健康中心（CDRH）指南附件A《</w:t>
      </w:r>
      <w:r>
        <w:rPr>
          <w:rFonts w:ascii="Times New Roman" w:hAnsi="Times New Roman"/>
        </w:rPr>
        <w:fldChar w:fldCharType="begin"/>
      </w:r>
      <w:r>
        <w:rPr>
          <w:rFonts w:ascii="Times New Roman" w:hAnsi="Times New Roman"/>
          <w:lang w:eastAsia="zh-CN"/>
        </w:rPr>
        <w:instrText xml:space="preserve"> HYPERLINK "https://www.fda.gov/regulatory-information/search-fda-guidance-documents/use-international-standard-iso-10993-1-biological-evaluation-medical-devices-part-1-evaluation-and" \h </w:instrText>
      </w:r>
      <w:r>
        <w:rPr>
          <w:rFonts w:ascii="Times New Roman" w:hAnsi="Times New Roman"/>
        </w:rPr>
        <w:fldChar w:fldCharType="separate"/>
      </w:r>
      <w:r>
        <w:rPr>
          <w:rFonts w:ascii="Times New Roman" w:hAnsi="Times New Roman" w:eastAsia="宋体" w:cs="宋体"/>
          <w:snapToGrid w:val="0"/>
          <w:color w:val="0000FF"/>
          <w:sz w:val="24"/>
          <w:szCs w:val="24"/>
          <w:u w:val="single" w:color="0000FF"/>
          <w:lang w:eastAsia="zh-CN"/>
        </w:rPr>
        <w:t>使用国</w:t>
      </w:r>
      <w:r>
        <w:rPr>
          <w:rFonts w:ascii="Times New Roman" w:hAnsi="Times New Roman" w:eastAsia="宋体" w:cs="宋体"/>
          <w:snapToGrid w:val="0"/>
          <w:color w:val="0000FF"/>
          <w:sz w:val="24"/>
          <w:szCs w:val="24"/>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eastAsia="宋体" w:cs="宋体"/>
          <w:snapToGrid w:val="0"/>
          <w:color w:val="0000FF"/>
          <w:sz w:val="24"/>
          <w:szCs w:val="24"/>
          <w:u w:val="single" w:color="0000FF"/>
          <w:lang w:eastAsia="zh-CN"/>
        </w:rPr>
        <w:t>际标准ISO 10993-1，医疗器械生物学评价-第1部分：风险管理过程中的评价与试验</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11</w:t>
      </w:r>
      <w:r>
        <w:rPr>
          <w:rFonts w:ascii="Times New Roman" w:hAnsi="Times New Roman" w:eastAsia="宋体" w:cs="宋体"/>
          <w:color w:val="000000"/>
          <w:sz w:val="24"/>
          <w:lang w:eastAsia="zh-CN"/>
        </w:rPr>
        <w:t>为简洁起见，本文件其余部分简称为《CDRH生物相容性指南》</w:t>
      </w:r>
      <w:r>
        <w:rPr>
          <w:rFonts w:ascii="Times New Roman" w:hAnsi="Times New Roman" w:eastAsia="宋体" w:cs="宋体"/>
          <w:sz w:val="24"/>
          <w:lang w:eastAsia="zh-CN"/>
        </w:rPr>
        <w:t>。</w:t>
      </w:r>
      <w:r>
        <w:rPr>
          <w:rFonts w:ascii="Times New Roman" w:hAnsi="Times New Roman" w:eastAsia="宋体" w:cs="宋体"/>
          <w:color w:val="000000"/>
          <w:sz w:val="24"/>
          <w:lang w:eastAsia="zh-CN"/>
        </w:rPr>
        <w:t>FDA认为，本指南范围内的器械被归类为与组织/骨骼“永久”（</w:t>
      </w:r>
      <w:r>
        <w:rPr>
          <w:rFonts w:hint="eastAsia" w:ascii="Times New Roman" w:hAnsi="Times New Roman" w:eastAsia="宋体" w:cs="宋体"/>
          <w:color w:val="000000"/>
          <w:sz w:val="24"/>
          <w:lang w:eastAsia="zh-CN"/>
        </w:rPr>
        <w:t>接触</w:t>
      </w:r>
      <w:r>
        <w:rPr>
          <w:rFonts w:ascii="Times New Roman" w:hAnsi="Times New Roman" w:eastAsia="宋体" w:cs="宋体"/>
          <w:color w:val="000000"/>
          <w:sz w:val="24"/>
          <w:lang w:eastAsia="zh-CN"/>
        </w:rPr>
        <w:t>时间&gt; 30天）接触的植入式器械，您应根据《CDRH生物相容性指南》附件A评估以下终点。</w:t>
      </w:r>
    </w:p>
    <w:p w14:paraId="3F7A4F96">
      <w:pPr>
        <w:numPr>
          <w:ilvl w:val="0"/>
          <w:numId w:val="4"/>
        </w:numPr>
        <w:wordWrap w:val="0"/>
        <w:adjustRightInd w:val="0"/>
        <w:snapToGrid w:val="0"/>
        <w:spacing w:line="276"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细胞毒性</w:t>
      </w:r>
    </w:p>
    <w:p w14:paraId="524C16C4">
      <w:pPr>
        <w:numPr>
          <w:ilvl w:val="0"/>
          <w:numId w:val="4"/>
        </w:numPr>
        <w:wordWrap w:val="0"/>
        <w:adjustRightInd w:val="0"/>
        <w:snapToGrid w:val="0"/>
        <w:spacing w:line="276"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致敏性</w:t>
      </w:r>
    </w:p>
    <w:p w14:paraId="4C123EE9">
      <w:pPr>
        <w:numPr>
          <w:ilvl w:val="0"/>
          <w:numId w:val="4"/>
        </w:numPr>
        <w:wordWrap w:val="0"/>
        <w:adjustRightInd w:val="0"/>
        <w:snapToGrid w:val="0"/>
        <w:spacing w:line="276"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刺激性或皮内反应</w:t>
      </w:r>
    </w:p>
    <w:p w14:paraId="73044516">
      <w:pPr>
        <w:numPr>
          <w:ilvl w:val="0"/>
          <w:numId w:val="4"/>
        </w:numPr>
        <w:wordWrap w:val="0"/>
        <w:adjustRightInd w:val="0"/>
        <w:snapToGrid w:val="0"/>
        <w:spacing w:line="276"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急性全身毒性</w:t>
      </w:r>
    </w:p>
    <w:p w14:paraId="05DB5209">
      <w:pPr>
        <w:numPr>
          <w:ilvl w:val="0"/>
          <w:numId w:val="4"/>
        </w:numPr>
        <w:wordWrap w:val="0"/>
        <w:adjustRightInd w:val="0"/>
        <w:snapToGrid w:val="0"/>
        <w:spacing w:line="276"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材料介导的热源性</w:t>
      </w:r>
    </w:p>
    <w:p w14:paraId="49E6CC41">
      <w:pPr>
        <w:numPr>
          <w:ilvl w:val="0"/>
          <w:numId w:val="4"/>
        </w:numPr>
        <w:wordWrap w:val="0"/>
        <w:adjustRightInd w:val="0"/>
        <w:snapToGrid w:val="0"/>
        <w:spacing w:line="276"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亚急性/亚慢性毒性</w:t>
      </w:r>
    </w:p>
    <w:p w14:paraId="3636C12A">
      <w:pPr>
        <w:numPr>
          <w:ilvl w:val="0"/>
          <w:numId w:val="4"/>
        </w:numPr>
        <w:wordWrap w:val="0"/>
        <w:adjustRightInd w:val="0"/>
        <w:snapToGrid w:val="0"/>
        <w:spacing w:line="276"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遗传毒性</w:t>
      </w:r>
    </w:p>
    <w:p w14:paraId="6D9D4325">
      <w:pPr>
        <w:numPr>
          <w:ilvl w:val="0"/>
          <w:numId w:val="4"/>
        </w:numPr>
        <w:wordWrap w:val="0"/>
        <w:adjustRightInd w:val="0"/>
        <w:snapToGrid w:val="0"/>
        <w:spacing w:line="276"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植入</w:t>
      </w:r>
    </w:p>
    <w:p w14:paraId="4525C8F1">
      <w:pPr>
        <w:numPr>
          <w:ilvl w:val="0"/>
          <w:numId w:val="4"/>
        </w:numPr>
        <w:wordWrap w:val="0"/>
        <w:adjustRightInd w:val="0"/>
        <w:snapToGrid w:val="0"/>
        <w:spacing w:line="276"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慢性毒性</w:t>
      </w:r>
    </w:p>
    <w:p w14:paraId="559AB1F9">
      <w:pPr>
        <w:numPr>
          <w:ilvl w:val="0"/>
          <w:numId w:val="4"/>
        </w:numPr>
        <w:wordWrap w:val="0"/>
        <w:adjustRightInd w:val="0"/>
        <w:snapToGrid w:val="0"/>
        <w:spacing w:line="276"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致癌性</w:t>
      </w:r>
    </w:p>
    <w:p w14:paraId="2AAA70EE">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___________________________</w:t>
      </w:r>
    </w:p>
    <w:p w14:paraId="67BB1B46">
      <w:pPr>
        <w:numPr>
          <w:ilvl w:val="0"/>
          <w:numId w:val="2"/>
        </w:numPr>
        <w:tabs>
          <w:tab w:val="left" w:pos="215"/>
        </w:tabs>
        <w:wordWrap w:val="0"/>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"https://www.fda.gov/regulatory-information/search-fda-guidance-documents/submission-and-review-sterility-information-premarket-notification-510k-submissions-devices-labeled"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https://www.fda.gov/regulatory-information/search-fda-guidance-documents/submission-and-review- sterility-information-premarket-notification-510k-submissions-devices-labeled</w:t>
      </w:r>
      <w:r>
        <w:rPr>
          <w:rFonts w:ascii="Times New Roman" w:hAnsi="Times New Roman" w:eastAsia="宋体" w:cs="宋体"/>
          <w:snapToGrid w:val="0"/>
          <w:color w:val="0000FF"/>
          <w:sz w:val="21"/>
          <w:szCs w:val="21"/>
          <w:u w:val="single" w:color="0000FF"/>
        </w:rPr>
        <w:fldChar w:fldCharType="end"/>
      </w:r>
    </w:p>
    <w:p w14:paraId="10122AD8">
      <w:pPr>
        <w:numPr>
          <w:ilvl w:val="0"/>
          <w:numId w:val="2"/>
        </w:numPr>
        <w:tabs>
          <w:tab w:val="left" w:pos="280"/>
        </w:tabs>
        <w:wordWrap w:val="0"/>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"https://www.fda.gov/regulatory-information/search-fda-guidance-documents/reprocessing-medical-devices-health-care-settings-validation-methods-and-labeling"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https://www.fda.gov/regulatory-information/search-fda-guidance-documents/reprocessing-medical- devices-health-care-settings-validation-methods-and-labeling</w:t>
      </w:r>
      <w:r>
        <w:rPr>
          <w:rFonts w:ascii="Times New Roman" w:hAnsi="Times New Roman" w:eastAsia="宋体" w:cs="宋体"/>
          <w:snapToGrid w:val="0"/>
          <w:color w:val="0000FF"/>
          <w:sz w:val="21"/>
          <w:szCs w:val="21"/>
          <w:u w:val="single" w:color="0000FF"/>
        </w:rPr>
        <w:fldChar w:fldCharType="end"/>
      </w:r>
    </w:p>
    <w:p w14:paraId="24024EDA">
      <w:pPr>
        <w:numPr>
          <w:ilvl w:val="0"/>
          <w:numId w:val="2"/>
        </w:numPr>
        <w:tabs>
          <w:tab w:val="left" w:pos="280"/>
        </w:tabs>
        <w:wordWrap w:val="0"/>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https://www.fda.gov/regulatory-information/search-fda-guidance-documents/use-international- standard-iso-10993-1-biological-evaluation-medical-devices-part-1-evaluation-and</w:t>
      </w:r>
      <w:r>
        <w:rPr>
          <w:rFonts w:ascii="Times New Roman" w:hAnsi="Times New Roman" w:eastAsia="宋体" w:cs="宋体"/>
          <w:snapToGrid w:val="0"/>
          <w:color w:val="0000FF"/>
          <w:sz w:val="21"/>
          <w:szCs w:val="21"/>
          <w:u w:val="single" w:color="0000FF"/>
        </w:rPr>
        <w:fldChar w:fldCharType="end"/>
      </w:r>
    </w:p>
    <w:p w14:paraId="0797C562">
      <w:r>
        <w:br w:type="page"/>
      </w:r>
    </w:p>
    <w:p w14:paraId="647BFF51">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代替试验的基本原理：</w:t>
      </w:r>
      <w:r>
        <w:rPr>
          <w:rFonts w:ascii="Times New Roman" w:hAnsi="Times New Roman" w:eastAsia="宋体" w:cs="宋体"/>
          <w:sz w:val="24"/>
          <w:lang w:eastAsia="zh-CN"/>
        </w:rPr>
        <w:t>如果申报器械使用了与同品种器械相同的原材料和相同的制造</w:t>
      </w:r>
      <w:r>
        <w:rPr>
          <w:rFonts w:hint="eastAsia" w:ascii="Times New Roman" w:hAnsi="Times New Roman" w:eastAsia="宋体" w:cs="宋体"/>
          <w:sz w:val="24"/>
          <w:lang w:eastAsia="zh-CN"/>
        </w:rPr>
        <w:t>过程</w:t>
      </w:r>
      <w:r>
        <w:rPr>
          <w:rFonts w:ascii="Times New Roman" w:hAnsi="Times New Roman" w:eastAsia="宋体" w:cs="宋体"/>
          <w:sz w:val="24"/>
          <w:lang w:eastAsia="zh-CN"/>
        </w:rPr>
        <w:t>，并且组织接触类型和接触时间相同，而且其几何形状的任何变化预计都不会影响生物反应，如果还可提供《CDRH生物相容性指南》附件F中概述的文件，则通常足以证明生物相容性实质等同。</w:t>
      </w:r>
    </w:p>
    <w:p w14:paraId="03FEA18B">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试验：</w:t>
      </w:r>
      <w:r>
        <w:rPr>
          <w:rFonts w:ascii="Times New Roman" w:hAnsi="Times New Roman" w:eastAsia="宋体" w:cs="宋体"/>
          <w:sz w:val="24"/>
          <w:lang w:eastAsia="zh-CN"/>
        </w:rPr>
        <w:t>在极少数情况下，如果您确定需要试验来解决部分或所有已识别的生物相容性终点，除非可根据《CDRH生物相容性指南》附件E适当地提供无补充信息的符合性声明，否则FDA建议您提供所有试验的完整报告。任何特定阳性、阴性和/或试剂对照试验都应按预期执行，还应充分描述任何方案偏离，并阐明理由；但是，应注意，某些方案偏离可能会使与以下性能标准的比较变为无效，从而需要提交传统、特殊或简化的510(k)。</w:t>
      </w:r>
    </w:p>
    <w:p w14:paraId="5A88002D">
      <w:pPr>
        <w:numPr>
          <w:ilvl w:val="0"/>
          <w:numId w:val="3"/>
        </w:numPr>
        <w:wordWrap w:val="0"/>
        <w:adjustRightInd w:val="0"/>
        <w:snapToGrid w:val="0"/>
        <w:spacing w:before="120" w:beforeLines="50" w:line="300" w:lineRule="auto"/>
        <w:ind w:left="867" w:hanging="867" w:hangingChars="36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试验名称：</w:t>
      </w:r>
      <w:r>
        <w:rPr>
          <w:rFonts w:ascii="Times New Roman" w:hAnsi="Times New Roman" w:eastAsia="宋体" w:cs="宋体"/>
          <w:sz w:val="24"/>
          <w:lang w:eastAsia="zh-CN"/>
        </w:rPr>
        <w:t>生物相容性终点（根据CDRH生物相容性指南识别）</w:t>
      </w:r>
    </w:p>
    <w:p w14:paraId="2E7B9E68">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方法：</w:t>
      </w:r>
      <w:r>
        <w:rPr>
          <w:rFonts w:ascii="Times New Roman" w:hAnsi="Times New Roman" w:eastAsia="宋体" w:cs="宋体"/>
          <w:sz w:val="24"/>
          <w:lang w:eastAsia="zh-CN"/>
        </w:rPr>
        <w:t>FDA认可的生物相容性共识标准的最新版本</w:t>
      </w:r>
    </w:p>
    <w:p w14:paraId="5778D060">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w:t>
      </w:r>
      <w:r>
        <w:rPr>
          <w:rFonts w:ascii="Times New Roman" w:hAnsi="Times New Roman" w:eastAsia="宋体" w:cs="宋体"/>
          <w:sz w:val="24"/>
          <w:lang w:eastAsia="zh-CN"/>
        </w:rPr>
        <w:t>应确定器械和器械专用仪器中所有直接或间接接触组织的部件具有可接受的生物学反应。</w:t>
      </w:r>
    </w:p>
    <w:p w14:paraId="50DECF7C">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性能标准来源</w:t>
      </w:r>
      <w:r>
        <w:rPr>
          <w:rFonts w:ascii="Times New Roman" w:hAnsi="Times New Roman" w:eastAsia="宋体" w:cs="宋体"/>
          <w:sz w:val="24"/>
          <w:lang w:eastAsia="zh-CN"/>
        </w:rPr>
        <w:t>：CDRH生物相容性指南</w:t>
      </w:r>
    </w:p>
    <w:p w14:paraId="0ECAB55F">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其他注意事项：</w:t>
      </w:r>
      <w:r>
        <w:rPr>
          <w:rFonts w:ascii="Times New Roman" w:hAnsi="Times New Roman" w:eastAsia="宋体" w:cs="宋体"/>
          <w:sz w:val="24"/>
          <w:lang w:eastAsia="zh-CN"/>
        </w:rPr>
        <w:t>对于任何具有不良生物学反应的生物相容性试样，生物相容性评价应说明所见毒性水平可接受的原因。可能需要与已经合法销售的同品种器械进行一些比较试验（基于安全性和性能的途径认为可接受），以支持《CDRH生物相容性指南》中说明的基本原理。对于标准生物相容性试验方法（包括对比器械对照样品），合法销售的对比器械对照样品应按预期执行，如上文针对申报器械样品的规定所示。</w:t>
      </w:r>
    </w:p>
    <w:p w14:paraId="4352CAAD">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提交资料信息</w:t>
      </w:r>
      <w:r>
        <w:rPr>
          <w:rFonts w:ascii="Times New Roman" w:hAnsi="Times New Roman" w:eastAsia="宋体" w:cs="宋体"/>
          <w:sz w:val="24"/>
          <w:lang w:eastAsia="zh-CN"/>
        </w:rPr>
        <w:t>：请参见CDRH生物相容性指南</w:t>
      </w:r>
    </w:p>
    <w:p w14:paraId="64EC30AE">
      <w:pPr>
        <w:pBdr>
          <w:bottom w:val="single" w:color="auto" w:sz="4" w:space="1"/>
        </w:pBdr>
        <w:wordWrap w:val="0"/>
        <w:adjustRightInd w:val="0"/>
        <w:snapToGrid w:val="0"/>
        <w:spacing w:before="120" w:beforeLines="50" w:line="300" w:lineRule="auto"/>
        <w:jc w:val="center"/>
        <w:rPr>
          <w:rFonts w:hint="eastAsia" w:eastAsia="宋体"/>
          <w:lang w:eastAsia="zh-CN"/>
        </w:rPr>
      </w:pPr>
    </w:p>
    <w:p w14:paraId="12E8E5C7">
      <w:pPr>
        <w:pBdr>
          <w:bottom w:val="single" w:color="auto" w:sz="4" w:space="1"/>
        </w:pBdr>
        <w:wordWrap w:val="0"/>
        <w:adjustRightInd w:val="0"/>
        <w:snapToGrid w:val="0"/>
        <w:spacing w:before="120" w:beforeLines="50" w:line="300" w:lineRule="auto"/>
        <w:jc w:val="center"/>
        <w:rPr>
          <w:rFonts w:hint="eastAsia" w:eastAsia="宋体"/>
          <w:lang w:eastAsia="zh-CN"/>
        </w:rPr>
      </w:pPr>
    </w:p>
    <w:p w14:paraId="1AEB81E8">
      <w:pPr>
        <w:pBdr>
          <w:bottom w:val="single" w:color="auto" w:sz="4" w:space="1"/>
        </w:pBdr>
        <w:wordWrap w:val="0"/>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40"/>
      <w:pgMar w:top="1418" w:right="1418" w:bottom="1418"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A416F">
    <w:pPr>
      <w:pStyle w:val="3"/>
      <w:adjustRightInd w:val="0"/>
      <w:spacing w:before="120" w:beforeLines="50" w:line="300" w:lineRule="auto"/>
      <w:jc w:val="right"/>
      <w:rPr>
        <w:rFonts w:ascii="Times New Roman" w:hAnsi="Times New Roman" w:cs="Times New Roman"/>
        <w:sz w:val="21"/>
        <w:szCs w:val="21"/>
        <w:lang w:eastAsia="zh-CN"/>
      </w:rPr>
    </w:pPr>
    <w:r>
      <w:rPr>
        <w:rFonts w:ascii="Times New Roman" w:hAnsi="Times New Roman" w:cs="Times New Roman"/>
        <w:sz w:val="21"/>
        <w:szCs w:val="21"/>
        <w:lang w:eastAsia="zh-CN"/>
      </w:rPr>
      <w:fldChar w:fldCharType="begin"/>
    </w:r>
    <w:r>
      <w:rPr>
        <w:rFonts w:ascii="Times New Roman" w:hAnsi="Times New Roman" w:cs="Times New Roman"/>
        <w:sz w:val="21"/>
        <w:szCs w:val="21"/>
        <w:lang w:eastAsia="zh-CN"/>
      </w:rPr>
      <w:instrText xml:space="preserve"> PAGE   \* MERGEFORMAT </w:instrText>
    </w:r>
    <w:r>
      <w:rPr>
        <w:rFonts w:ascii="Times New Roman" w:hAnsi="Times New Roman" w:cs="Times New Roman"/>
        <w:sz w:val="21"/>
        <w:szCs w:val="21"/>
        <w:lang w:eastAsia="zh-CN"/>
      </w:rPr>
      <w:fldChar w:fldCharType="separate"/>
    </w:r>
    <w:r>
      <w:rPr>
        <w:rFonts w:ascii="Times New Roman" w:hAnsi="Times New Roman" w:cs="Times New Roman"/>
        <w:sz w:val="21"/>
        <w:szCs w:val="21"/>
        <w:lang w:val="zh-CN" w:eastAsia="zh-CN"/>
      </w:rPr>
      <w:t>8</w:t>
    </w:r>
    <w:r>
      <w:rPr>
        <w:rFonts w:ascii="Times New Roman" w:hAnsi="Times New Roman" w:cs="Times New Roman"/>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D769D">
    <w:pPr>
      <w:pStyle w:val="4"/>
      <w:pBdr>
        <w:bottom w:val="none" w:color="auto" w:sz="0" w:space="0"/>
      </w:pBdr>
      <w:adjustRightInd w:val="0"/>
      <w:spacing w:before="120" w:beforeLines="50" w:line="300" w:lineRule="auto"/>
      <w:rPr>
        <w:rFonts w:ascii="Times New Roman" w:hAnsi="Times New Roman" w:cs="Times New Roman"/>
        <w:b/>
        <w:bCs/>
        <w:i/>
        <w:iCs/>
        <w:sz w:val="21"/>
        <w:szCs w:val="21"/>
        <w:lang w:eastAsia="zh-CN"/>
      </w:rPr>
    </w:pPr>
    <w:r>
      <w:rPr>
        <w:rFonts w:hint="eastAsia" w:ascii="Times New Roman" w:hAnsi="Times New Roman" w:eastAsia="宋体" w:cs="宋体"/>
        <w:b/>
        <w:i/>
        <w:sz w:val="21"/>
      </w:rPr>
      <w:t>所含建议不具约束力</w:t>
    </w:r>
  </w:p>
  <w:p w14:paraId="2B9C3FC6">
    <w:pPr>
      <w:pStyle w:val="4"/>
      <w:pBdr>
        <w:bottom w:val="none" w:color="auto" w:sz="0" w:space="0"/>
      </w:pBdr>
      <w:adjustRightInd w:val="0"/>
      <w:spacing w:before="120" w:beforeLines="50" w:line="300" w:lineRule="auto"/>
      <w:rPr>
        <w:rFonts w:ascii="Times New Roman" w:hAnsi="Times New Roman" w:cs="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6512A"/>
    <w:multiLevelType w:val="multilevel"/>
    <w:tmpl w:val="3D96512A"/>
    <w:lvl w:ilvl="0" w:tentative="0">
      <w:start w:val="1"/>
      <w:numFmt w:val="decimal"/>
      <w:lvlText w:val="%1."/>
      <w:lvlJc w:val="left"/>
      <w:pPr>
        <w:ind w:hanging="720"/>
      </w:pPr>
      <w:rPr>
        <w:rFonts w:hint="default" w:ascii="Times New Roman" w:hAnsi="Times New Roman" w:eastAsia="Times New Roman"/>
        <w:sz w:val="24"/>
        <w:szCs w:val="24"/>
      </w:rPr>
    </w:lvl>
    <w:lvl w:ilvl="1" w:tentative="0">
      <w:start w:val="1"/>
      <w:numFmt w:val="bullet"/>
      <w:lvlText w:val="•"/>
      <w:lvlJc w:val="left"/>
      <w:pPr>
        <w:ind w:hanging="360"/>
      </w:pPr>
      <w:rPr>
        <w:rFonts w:hint="default" w:ascii="Arial" w:hAnsi="Arial" w:eastAsia="Arial"/>
        <w:w w:val="100"/>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
    <w:nsid w:val="4DD65AB9"/>
    <w:multiLevelType w:val="multilevel"/>
    <w:tmpl w:val="4DD65AB9"/>
    <w:lvl w:ilvl="0" w:tentative="0">
      <w:start w:val="1"/>
      <w:numFmt w:val="upperRoman"/>
      <w:lvlText w:val="%1."/>
      <w:lvlJc w:val="left"/>
      <w:pPr>
        <w:ind w:hanging="720"/>
        <w:jc w:val="right"/>
      </w:pPr>
      <w:rPr>
        <w:rFonts w:hint="default" w:ascii="Times New Roman" w:hAnsi="Times New Roman" w:eastAsia="Times New Roman"/>
        <w:b/>
        <w:bCs/>
        <w:snapToGrid w:val="0"/>
        <w:spacing w:val="0"/>
        <w:sz w:val="28"/>
        <w:szCs w:val="28"/>
      </w:rPr>
    </w:lvl>
    <w:lvl w:ilvl="1" w:tentative="0">
      <w:start w:val="1"/>
      <w:numFmt w:val="bullet"/>
      <w:lvlText w:val="•"/>
      <w:lvlJc w:val="left"/>
      <w:pPr>
        <w:ind w:hanging="360"/>
      </w:pPr>
      <w:rPr>
        <w:rFonts w:hint="default" w:ascii="Arial" w:hAnsi="Arial" w:eastAsia="Arial"/>
        <w:w w:val="100"/>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2">
    <w:nsid w:val="64D1682A"/>
    <w:multiLevelType w:val="multilevel"/>
    <w:tmpl w:val="64D1682A"/>
    <w:lvl w:ilvl="0" w:tentative="0">
      <w:start w:val="1"/>
      <w:numFmt w:val="decimal"/>
      <w:lvlText w:val="%1"/>
      <w:lvlJc w:val="left"/>
      <w:pPr>
        <w:ind w:hanging="116"/>
        <w:jc w:val="right"/>
      </w:pPr>
      <w:rPr>
        <w:rFonts w:hint="default" w:ascii="Times New Roman" w:hAnsi="Times New Roman" w:eastAsia="Times New Roman"/>
        <w:w w:val="100"/>
        <w:position w:val="0"/>
        <w:sz w:val="21"/>
        <w:szCs w:val="21"/>
        <w:vertAlign w:val="superscript"/>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3">
    <w:nsid w:val="7C807EC5"/>
    <w:multiLevelType w:val="multilevel"/>
    <w:tmpl w:val="7C807EC5"/>
    <w:lvl w:ilvl="0" w:tentative="0">
      <w:start w:val="1"/>
      <w:numFmt w:val="bullet"/>
      <w:lvlText w:val="•"/>
      <w:lvlJc w:val="left"/>
      <w:pPr>
        <w:ind w:hanging="360"/>
      </w:pPr>
      <w:rPr>
        <w:rFonts w:hint="default" w:ascii="Arial" w:hAnsi="Arial" w:eastAsia="Arial"/>
        <w:w w:val="131"/>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DCA"/>
    <w:rsid w:val="000C422F"/>
    <w:rsid w:val="00127738"/>
    <w:rsid w:val="00156B26"/>
    <w:rsid w:val="00195AA1"/>
    <w:rsid w:val="00197AA1"/>
    <w:rsid w:val="001A3DBE"/>
    <w:rsid w:val="002171D1"/>
    <w:rsid w:val="002E0173"/>
    <w:rsid w:val="002F786D"/>
    <w:rsid w:val="00340E68"/>
    <w:rsid w:val="0034357B"/>
    <w:rsid w:val="003A37BD"/>
    <w:rsid w:val="00415CA4"/>
    <w:rsid w:val="00462EE9"/>
    <w:rsid w:val="00473F1D"/>
    <w:rsid w:val="00503A66"/>
    <w:rsid w:val="0058714A"/>
    <w:rsid w:val="00612800"/>
    <w:rsid w:val="00641130"/>
    <w:rsid w:val="007161CF"/>
    <w:rsid w:val="00720EFA"/>
    <w:rsid w:val="007339A3"/>
    <w:rsid w:val="0079315C"/>
    <w:rsid w:val="007A023A"/>
    <w:rsid w:val="007F7B27"/>
    <w:rsid w:val="00817AF0"/>
    <w:rsid w:val="008578DD"/>
    <w:rsid w:val="009024A3"/>
    <w:rsid w:val="00950EB9"/>
    <w:rsid w:val="00953CF5"/>
    <w:rsid w:val="009C1D01"/>
    <w:rsid w:val="009C6A87"/>
    <w:rsid w:val="009F08E5"/>
    <w:rsid w:val="00A20DCA"/>
    <w:rsid w:val="00A37583"/>
    <w:rsid w:val="00AA6688"/>
    <w:rsid w:val="00B65ACC"/>
    <w:rsid w:val="00B73F6D"/>
    <w:rsid w:val="00BA52BE"/>
    <w:rsid w:val="00BF2D7A"/>
    <w:rsid w:val="00C3003E"/>
    <w:rsid w:val="00CC0067"/>
    <w:rsid w:val="00CF12CC"/>
    <w:rsid w:val="00DA1708"/>
    <w:rsid w:val="00E23F5A"/>
    <w:rsid w:val="00E433A6"/>
    <w:rsid w:val="00E536A0"/>
    <w:rsid w:val="00E814A6"/>
    <w:rsid w:val="00E94A4E"/>
    <w:rsid w:val="00EA4885"/>
    <w:rsid w:val="00EE370C"/>
    <w:rsid w:val="00F427EA"/>
    <w:rsid w:val="00F52961"/>
    <w:rsid w:val="00F90AA4"/>
    <w:rsid w:val="575E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basedOn w:val="7"/>
    <w:link w:val="2"/>
    <w:semiHidden/>
    <w:uiPriority w:val="99"/>
    <w:rPr>
      <w:sz w:val="18"/>
      <w:szCs w:val="18"/>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paragraph" w:customStyle="1" w:styleId="1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paragraph" w:customStyle="1" w:styleId="12">
    <w:name w:val="Revision"/>
    <w:hidden/>
    <w:semiHidden/>
    <w:qFormat/>
    <w:uiPriority w:val="99"/>
    <w:pPr>
      <w:widowControl/>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5644</Words>
  <Characters>7942</Characters>
  <Lines>83</Lines>
  <Paragraphs>23</Paragraphs>
  <TotalTime>27</TotalTime>
  <ScaleCrop>false</ScaleCrop>
  <LinksUpToDate>false</LinksUpToDate>
  <CharactersWithSpaces>8055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2022-02-09T08:09:00Z</dcterms:created>
  <dc:creator>ann</dc:creator>
  <cp:lastModifiedBy>太极箫客</cp:lastModifiedBy>
  <dcterms:modified xsi:type="dcterms:W3CDTF">2025-08-14T08:08:47Z</dcterms:modified>
  <dc:title>Guidance Template - CDRH Level 1 FINAL</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LastSaved">
    <vt:filetime>2021-11-09T00:00:00Z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CB86AEDB623B47758DFB524F400835D5_12</vt:lpwstr>
  </property>
</Properties>
</file>