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1F782">
      <w:pPr>
        <w:snapToGrid w:val="0"/>
        <w:spacing w:line="300" w:lineRule="auto"/>
        <w:jc w:val="center"/>
        <w:rPr>
          <w:rFonts w:ascii="Arial" w:hAnsi="Arial" w:eastAsia="宋体" w:cs="Arial"/>
          <w:b/>
          <w:sz w:val="48"/>
          <w:szCs w:val="48"/>
        </w:rPr>
      </w:pPr>
      <w:bookmarkStart w:id="3" w:name="_GoBack"/>
      <w:bookmarkEnd w:id="3"/>
      <w:r>
        <w:rPr>
          <w:rFonts w:ascii="Arial" w:hAnsi="Arial" w:eastAsia="宋体" w:cs="Arial"/>
          <w:b/>
          <w:sz w:val="48"/>
          <w:szCs w:val="48"/>
        </w:rPr>
        <w:t>食品药品监督管理局现代化法案（FDAMA）</w:t>
      </w:r>
      <w:r>
        <w:rPr>
          <w:rFonts w:hint="eastAsia" w:ascii="Arial" w:hAnsi="Arial" w:eastAsia="宋体" w:cs="Arial"/>
          <w:b/>
          <w:sz w:val="48"/>
          <w:szCs w:val="48"/>
        </w:rPr>
        <w:t>下的</w:t>
      </w:r>
      <w:r>
        <w:rPr>
          <w:rFonts w:ascii="Arial" w:hAnsi="Arial" w:eastAsia="宋体" w:cs="Arial"/>
          <w:b/>
          <w:sz w:val="48"/>
          <w:szCs w:val="48"/>
        </w:rPr>
        <w:t>早期协作会议；</w:t>
      </w:r>
    </w:p>
    <w:p w14:paraId="4D3B59F8">
      <w:pPr>
        <w:snapToGrid w:val="0"/>
        <w:spacing w:line="300" w:lineRule="auto"/>
        <w:jc w:val="center"/>
        <w:rPr>
          <w:rFonts w:ascii="Arial" w:hAnsi="Arial" w:eastAsia="宋体" w:cs="Arial"/>
          <w:b/>
          <w:sz w:val="48"/>
          <w:szCs w:val="48"/>
        </w:rPr>
      </w:pPr>
      <w:r>
        <w:rPr>
          <w:rFonts w:ascii="Arial" w:hAnsi="Arial" w:eastAsia="宋体" w:cs="Arial"/>
          <w:b/>
          <w:sz w:val="48"/>
          <w:szCs w:val="48"/>
        </w:rPr>
        <w:t>行业及CDRH工作人员最终</w:t>
      </w:r>
      <w:r>
        <w:rPr>
          <w:rFonts w:hint="eastAsia" w:ascii="Arial" w:hAnsi="Arial" w:eastAsia="宋体" w:cs="Arial"/>
          <w:b/>
          <w:sz w:val="48"/>
          <w:szCs w:val="48"/>
        </w:rPr>
        <w:t>指南</w:t>
      </w:r>
    </w:p>
    <w:p w14:paraId="2BF40F86">
      <w:pPr>
        <w:snapToGrid w:val="0"/>
        <w:spacing w:line="300" w:lineRule="auto"/>
        <w:rPr>
          <w:rFonts w:ascii="Arial" w:hAnsi="Arial" w:eastAsia="宋体" w:cs="Arial"/>
        </w:rPr>
      </w:pPr>
    </w:p>
    <w:p w14:paraId="489ECF70">
      <w:pPr>
        <w:snapToGrid w:val="0"/>
        <w:spacing w:line="300" w:lineRule="auto"/>
        <w:rPr>
          <w:rFonts w:ascii="Arial" w:hAnsi="Arial" w:eastAsia="宋体" w:cs="Arial"/>
        </w:rPr>
      </w:pPr>
    </w:p>
    <w:p w14:paraId="320082C0">
      <w:pPr>
        <w:snapToGrid w:val="0"/>
        <w:spacing w:line="300" w:lineRule="auto"/>
        <w:rPr>
          <w:rFonts w:ascii="Arial" w:hAnsi="Arial" w:eastAsia="宋体" w:cs="Arial"/>
        </w:rPr>
      </w:pPr>
    </w:p>
    <w:p w14:paraId="0E68D2DE">
      <w:pPr>
        <w:snapToGrid w:val="0"/>
        <w:spacing w:line="300" w:lineRule="auto"/>
        <w:rPr>
          <w:rFonts w:ascii="Arial" w:hAnsi="Arial" w:eastAsia="宋体" w:cs="Arial"/>
        </w:rPr>
      </w:pPr>
    </w:p>
    <w:p w14:paraId="35542CA4">
      <w:pPr>
        <w:snapToGrid w:val="0"/>
        <w:spacing w:line="300" w:lineRule="auto"/>
        <w:rPr>
          <w:rFonts w:ascii="Arial" w:hAnsi="Arial" w:eastAsia="宋体" w:cs="Arial"/>
        </w:rPr>
      </w:pPr>
    </w:p>
    <w:p w14:paraId="31E9A0A8">
      <w:pPr>
        <w:snapToGrid w:val="0"/>
        <w:spacing w:line="300" w:lineRule="auto"/>
        <w:rPr>
          <w:rFonts w:ascii="Arial" w:hAnsi="Arial" w:eastAsia="宋体" w:cs="Arial"/>
        </w:rPr>
      </w:pPr>
    </w:p>
    <w:p w14:paraId="61DB532F">
      <w:pPr>
        <w:snapToGrid w:val="0"/>
        <w:spacing w:line="300" w:lineRule="auto"/>
        <w:rPr>
          <w:rFonts w:ascii="Arial" w:hAnsi="Arial" w:eastAsia="宋体" w:cs="Arial"/>
        </w:rPr>
      </w:pPr>
    </w:p>
    <w:p w14:paraId="30E1EF74">
      <w:pPr>
        <w:snapToGrid w:val="0"/>
        <w:spacing w:line="300" w:lineRule="auto"/>
        <w:jc w:val="center"/>
        <w:rPr>
          <w:rFonts w:ascii="Arial" w:hAnsi="Arial" w:eastAsia="宋体" w:cs="Arial"/>
          <w:b/>
          <w:sz w:val="24"/>
          <w:szCs w:val="24"/>
        </w:rPr>
      </w:pPr>
      <w:r>
        <w:rPr>
          <w:rFonts w:ascii="Arial" w:hAnsi="Arial" w:eastAsia="宋体" w:cs="Arial"/>
          <w:b/>
          <w:sz w:val="24"/>
          <w:szCs w:val="24"/>
        </w:rPr>
        <w:t>文件发布日期：2001年2月28日</w:t>
      </w:r>
    </w:p>
    <w:p w14:paraId="42BFBB96">
      <w:pPr>
        <w:snapToGrid w:val="0"/>
        <w:spacing w:line="300" w:lineRule="auto"/>
        <w:jc w:val="center"/>
        <w:rPr>
          <w:rFonts w:ascii="Arial" w:hAnsi="Arial" w:eastAsia="宋体" w:cs="Arial"/>
          <w:b/>
          <w:sz w:val="24"/>
          <w:szCs w:val="24"/>
        </w:rPr>
      </w:pPr>
    </w:p>
    <w:p w14:paraId="7B7BBE3B">
      <w:pPr>
        <w:snapToGrid w:val="0"/>
        <w:spacing w:line="300" w:lineRule="auto"/>
        <w:jc w:val="center"/>
        <w:rPr>
          <w:rFonts w:ascii="Arial" w:hAnsi="Arial" w:eastAsia="宋体" w:cs="Arial"/>
          <w:b/>
          <w:sz w:val="24"/>
          <w:szCs w:val="24"/>
        </w:rPr>
      </w:pPr>
      <w:r>
        <w:rPr>
          <w:rFonts w:ascii="Arial" w:hAnsi="Arial" w:eastAsia="宋体" w:cs="Arial"/>
          <w:b/>
          <w:sz w:val="24"/>
          <w:szCs w:val="24"/>
        </w:rPr>
        <w:t>本文件取代1998年2月19日发布的“食品药品监督管理局现代化法案（FDAMA）</w:t>
      </w:r>
      <w:r>
        <w:rPr>
          <w:rFonts w:hint="eastAsia" w:ascii="Arial" w:hAnsi="Arial" w:eastAsia="宋体" w:cs="Arial"/>
          <w:b/>
          <w:sz w:val="24"/>
          <w:szCs w:val="24"/>
        </w:rPr>
        <w:t>下的</w:t>
      </w:r>
      <w:r>
        <w:rPr>
          <w:rFonts w:ascii="Arial" w:hAnsi="Arial" w:eastAsia="宋体" w:cs="Arial"/>
          <w:b/>
          <w:sz w:val="24"/>
          <w:szCs w:val="24"/>
        </w:rPr>
        <w:t>早期协作会议；行业及CDRH工作人员</w:t>
      </w:r>
      <w:r>
        <w:rPr>
          <w:rFonts w:hint="eastAsia" w:ascii="Arial" w:hAnsi="Arial" w:eastAsia="宋体" w:cs="Arial"/>
          <w:b/>
          <w:sz w:val="24"/>
          <w:szCs w:val="24"/>
        </w:rPr>
        <w:t>指南</w:t>
      </w:r>
      <w:r>
        <w:rPr>
          <w:rFonts w:ascii="Arial" w:hAnsi="Arial" w:eastAsia="宋体" w:cs="Arial"/>
          <w:b/>
          <w:sz w:val="24"/>
          <w:szCs w:val="24"/>
        </w:rPr>
        <w:t>”</w:t>
      </w:r>
    </w:p>
    <w:p w14:paraId="57A85D56">
      <w:pPr>
        <w:snapToGrid w:val="0"/>
        <w:spacing w:line="300" w:lineRule="auto"/>
        <w:rPr>
          <w:rFonts w:ascii="Arial" w:hAnsi="Arial" w:eastAsia="宋体" w:cs="Arial"/>
        </w:rPr>
      </w:pPr>
    </w:p>
    <w:p w14:paraId="7BD149F0">
      <w:pPr>
        <w:snapToGrid w:val="0"/>
        <w:spacing w:line="300" w:lineRule="auto"/>
        <w:rPr>
          <w:rFonts w:ascii="Arial" w:hAnsi="Arial" w:eastAsia="宋体" w:cs="Arial"/>
        </w:rPr>
      </w:pPr>
    </w:p>
    <w:p w14:paraId="7D3DB0C1">
      <w:pPr>
        <w:snapToGrid w:val="0"/>
        <w:spacing w:line="300" w:lineRule="auto"/>
        <w:rPr>
          <w:rFonts w:ascii="Arial" w:hAnsi="Arial" w:eastAsia="宋体" w:cs="Arial"/>
        </w:rPr>
      </w:pPr>
    </w:p>
    <w:p w14:paraId="2CC6C712">
      <w:pPr>
        <w:snapToGrid w:val="0"/>
        <w:spacing w:line="300" w:lineRule="auto"/>
        <w:rPr>
          <w:rFonts w:ascii="Arial" w:hAnsi="Arial" w:eastAsia="宋体" w:cs="Arial"/>
        </w:rPr>
      </w:pPr>
    </w:p>
    <w:p w14:paraId="7343953F">
      <w:pPr>
        <w:snapToGrid w:val="0"/>
        <w:spacing w:line="300" w:lineRule="auto"/>
        <w:rPr>
          <w:rFonts w:ascii="Arial" w:hAnsi="Arial" w:eastAsia="宋体" w:cs="Arial"/>
        </w:rPr>
      </w:pPr>
    </w:p>
    <w:p w14:paraId="3F100C55">
      <w:pPr>
        <w:snapToGrid w:val="0"/>
        <w:spacing w:line="300" w:lineRule="auto"/>
        <w:rPr>
          <w:rFonts w:ascii="Arial" w:hAnsi="Arial" w:eastAsia="宋体" w:cs="Arial"/>
        </w:rPr>
      </w:pPr>
    </w:p>
    <w:p w14:paraId="280720FE">
      <w:pPr>
        <w:snapToGrid w:val="0"/>
        <w:spacing w:line="300" w:lineRule="auto"/>
        <w:rPr>
          <w:rFonts w:ascii="Arial" w:hAnsi="Arial" w:eastAsia="宋体" w:cs="Arial"/>
        </w:rPr>
      </w:pPr>
    </w:p>
    <w:p w14:paraId="7E9B0620">
      <w:pPr>
        <w:snapToGrid w:val="0"/>
        <w:spacing w:line="300" w:lineRule="auto"/>
        <w:rPr>
          <w:rFonts w:ascii="Arial" w:hAnsi="Arial" w:eastAsia="宋体" w:cs="Arial"/>
        </w:rPr>
      </w:pPr>
    </w:p>
    <w:p w14:paraId="76AE04F4">
      <w:pPr>
        <w:snapToGrid w:val="0"/>
        <w:spacing w:line="300" w:lineRule="auto"/>
        <w:rPr>
          <w:rFonts w:ascii="Arial" w:hAnsi="Arial" w:eastAsia="宋体" w:cs="Arial"/>
        </w:rPr>
      </w:pPr>
    </w:p>
    <w:p w14:paraId="780530AE">
      <w:pPr>
        <w:snapToGrid w:val="0"/>
        <w:spacing w:line="300" w:lineRule="auto"/>
        <w:rPr>
          <w:rFonts w:ascii="Arial" w:hAnsi="Arial" w:eastAsia="宋体" w:cs="Arial"/>
        </w:rPr>
      </w:pPr>
    </w:p>
    <w:p w14:paraId="0A99061F">
      <w:pPr>
        <w:snapToGrid w:val="0"/>
        <w:spacing w:line="300" w:lineRule="auto"/>
        <w:rPr>
          <w:rFonts w:ascii="Arial" w:hAnsi="Arial" w:eastAsia="宋体" w:cs="Arial"/>
        </w:rPr>
      </w:pPr>
    </w:p>
    <w:p w14:paraId="45A89A17">
      <w:pPr>
        <w:snapToGrid w:val="0"/>
        <w:spacing w:line="300" w:lineRule="auto"/>
        <w:rPr>
          <w:rFonts w:ascii="Arial" w:hAnsi="Arial" w:eastAsia="宋体" w:cs="Arial"/>
        </w:rPr>
      </w:pPr>
    </w:p>
    <w:p w14:paraId="520C865F">
      <w:pPr>
        <w:snapToGrid w:val="0"/>
        <w:spacing w:line="300" w:lineRule="auto"/>
        <w:rPr>
          <w:rFonts w:ascii="Arial" w:hAnsi="Arial" w:eastAsia="宋体" w:cs="Arial"/>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0</wp:posOffset>
            </wp:positionV>
            <wp:extent cx="938530" cy="101028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3327" cy="1015099"/>
                    </a:xfrm>
                    <a:prstGeom prst="rect">
                      <a:avLst/>
                    </a:prstGeom>
                  </pic:spPr>
                </pic:pic>
              </a:graphicData>
            </a:graphic>
          </wp:anchor>
        </w:drawing>
      </w:r>
    </w:p>
    <w:p w14:paraId="48CE4525">
      <w:pPr>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35D77277">
      <w:pPr>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15B9587C">
      <w:pPr>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693DAE08">
      <w:pPr>
        <w:snapToGrid w:val="0"/>
        <w:spacing w:line="300" w:lineRule="auto"/>
        <w:jc w:val="right"/>
        <w:rPr>
          <w:rFonts w:ascii="Arial" w:hAnsi="Arial" w:eastAsia="宋体" w:cs="Arial"/>
          <w:b/>
          <w:sz w:val="24"/>
          <w:szCs w:val="24"/>
        </w:rPr>
      </w:pPr>
    </w:p>
    <w:p w14:paraId="1A139530">
      <w:pPr>
        <w:snapToGrid w:val="0"/>
        <w:spacing w:line="300" w:lineRule="auto"/>
        <w:jc w:val="right"/>
        <w:rPr>
          <w:rFonts w:ascii="Arial" w:hAnsi="Arial" w:eastAsia="宋体" w:cs="Arial"/>
          <w:b/>
          <w:sz w:val="24"/>
          <w:szCs w:val="24"/>
        </w:rPr>
      </w:pPr>
      <w:r>
        <w:rPr>
          <w:rFonts w:ascii="Arial" w:hAnsi="Arial" w:eastAsia="宋体" w:cs="Arial"/>
          <w:b/>
          <w:sz w:val="24"/>
          <w:szCs w:val="24"/>
        </w:rPr>
        <w:t>器械评价办公室</w:t>
      </w:r>
    </w:p>
    <w:p w14:paraId="663DA45B">
      <w:pPr>
        <w:snapToGrid w:val="0"/>
        <w:spacing w:line="300" w:lineRule="auto"/>
        <w:jc w:val="right"/>
        <w:rPr>
          <w:rFonts w:ascii="Arial" w:hAnsi="Arial" w:eastAsia="宋体" w:cs="Arial"/>
          <w:b/>
          <w:sz w:val="24"/>
          <w:szCs w:val="24"/>
        </w:rPr>
      </w:pPr>
      <w:r>
        <w:rPr>
          <w:rFonts w:ascii="Arial" w:hAnsi="Arial" w:eastAsia="宋体" w:cs="Arial"/>
          <w:b/>
          <w:sz w:val="24"/>
          <w:szCs w:val="24"/>
        </w:rPr>
        <w:t>项目工作人员</w:t>
      </w:r>
    </w:p>
    <w:p w14:paraId="7F8C5104">
      <w:pPr>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16D8E735">
      <w:pPr>
        <w:snapToGrid w:val="0"/>
        <w:spacing w:line="300" w:lineRule="auto"/>
        <w:jc w:val="right"/>
        <w:rPr>
          <w:rFonts w:ascii="Arial" w:hAnsi="Arial" w:eastAsia="宋体" w:cs="Arial"/>
          <w:b/>
        </w:rPr>
      </w:pPr>
    </w:p>
    <w:p w14:paraId="29B74A3F">
      <w:pPr>
        <w:widowControl/>
        <w:jc w:val="left"/>
        <w:rPr>
          <w:rFonts w:ascii="Arial" w:hAnsi="Arial" w:eastAsia="宋体" w:cs="Arial"/>
          <w:b/>
        </w:rPr>
      </w:pPr>
      <w:r>
        <w:rPr>
          <w:rFonts w:ascii="Arial" w:hAnsi="Arial" w:eastAsia="宋体" w:cs="Arial"/>
          <w:b/>
        </w:rPr>
        <w:br w:type="page"/>
      </w:r>
    </w:p>
    <w:p w14:paraId="5A3D5257">
      <w:pPr>
        <w:snapToGrid w:val="0"/>
        <w:spacing w:line="300" w:lineRule="auto"/>
        <w:jc w:val="center"/>
        <w:rPr>
          <w:rFonts w:ascii="Arial" w:hAnsi="Arial" w:eastAsia="宋体" w:cs="Arial"/>
          <w:b/>
          <w:sz w:val="36"/>
          <w:szCs w:val="36"/>
        </w:rPr>
      </w:pPr>
      <w:r>
        <w:rPr>
          <w:rFonts w:hint="eastAsia" w:ascii="Arial" w:hAnsi="Arial" w:eastAsia="宋体" w:cs="Arial"/>
          <w:b/>
          <w:sz w:val="36"/>
          <w:szCs w:val="36"/>
        </w:rPr>
        <w:t>前言</w:t>
      </w:r>
    </w:p>
    <w:p w14:paraId="7C494CCD">
      <w:pPr>
        <w:snapToGrid w:val="0"/>
        <w:spacing w:line="300" w:lineRule="auto"/>
        <w:rPr>
          <w:rFonts w:ascii="Arial" w:hAnsi="Arial" w:eastAsia="宋体" w:cs="Arial"/>
        </w:rPr>
      </w:pPr>
    </w:p>
    <w:p w14:paraId="7023A52E">
      <w:pPr>
        <w:snapToGrid w:val="0"/>
        <w:spacing w:line="300" w:lineRule="auto"/>
        <w:rPr>
          <w:rFonts w:ascii="Arial" w:hAnsi="Arial" w:eastAsia="宋体" w:cs="Arial"/>
          <w:b/>
          <w:sz w:val="28"/>
          <w:szCs w:val="28"/>
        </w:rPr>
      </w:pPr>
      <w:r>
        <w:rPr>
          <w:rFonts w:ascii="Arial" w:hAnsi="Arial" w:eastAsia="宋体" w:cs="Arial"/>
          <w:b/>
          <w:sz w:val="28"/>
          <w:szCs w:val="28"/>
        </w:rPr>
        <w:t>公共评论</w:t>
      </w:r>
    </w:p>
    <w:p w14:paraId="2336CAA5">
      <w:pPr>
        <w:snapToGrid w:val="0"/>
        <w:spacing w:line="300" w:lineRule="auto"/>
        <w:rPr>
          <w:rFonts w:ascii="Arial" w:hAnsi="Arial" w:eastAsia="宋体" w:cs="Arial"/>
          <w:sz w:val="24"/>
          <w:szCs w:val="24"/>
        </w:rPr>
      </w:pPr>
    </w:p>
    <w:p w14:paraId="796D5BF2">
      <w:pPr>
        <w:snapToGrid w:val="0"/>
        <w:spacing w:line="300" w:lineRule="auto"/>
        <w:rPr>
          <w:rFonts w:ascii="Arial" w:hAnsi="Arial" w:eastAsia="宋体" w:cs="Arial"/>
          <w:sz w:val="24"/>
          <w:szCs w:val="24"/>
        </w:rPr>
      </w:pPr>
      <w:r>
        <w:rPr>
          <w:rFonts w:hint="eastAsia" w:ascii="Arial" w:hAnsi="Arial" w:eastAsia="宋体" w:cs="Arial"/>
          <w:sz w:val="24"/>
          <w:szCs w:val="24"/>
        </w:rPr>
        <w:t>为便于本机构收集评论和建议，书面评论和建议可以随时提交至食品药品监督管理局，人力资源和管理服务办公室，管理系统和政策司，案卷管理科（</w:t>
      </w:r>
      <w:r>
        <w:rPr>
          <w:rFonts w:ascii="Arial" w:hAnsi="Arial" w:eastAsia="宋体" w:cs="Arial"/>
          <w:sz w:val="24"/>
          <w:szCs w:val="24"/>
        </w:rPr>
        <w:t>5630 Fishers Lane</w:t>
      </w:r>
      <w:r>
        <w:rPr>
          <w:rFonts w:hint="eastAsia" w:ascii="Arial" w:hAnsi="Arial" w:eastAsia="宋体" w:cs="Arial"/>
          <w:sz w:val="24"/>
          <w:szCs w:val="24"/>
        </w:rPr>
        <w:t>，</w:t>
      </w:r>
      <w:r>
        <w:rPr>
          <w:rFonts w:ascii="Arial" w:hAnsi="Arial" w:eastAsia="宋体" w:cs="Arial"/>
          <w:sz w:val="24"/>
          <w:szCs w:val="24"/>
        </w:rPr>
        <w:t>ROOM 1061</w:t>
      </w:r>
      <w:r>
        <w:rPr>
          <w:rFonts w:hint="eastAsia" w:ascii="Arial" w:hAnsi="Arial" w:eastAsia="宋体" w:cs="Arial"/>
          <w:sz w:val="24"/>
          <w:szCs w:val="24"/>
        </w:rPr>
        <w:t>（</w:t>
      </w:r>
      <w:r>
        <w:rPr>
          <w:rFonts w:ascii="Arial" w:hAnsi="Arial" w:eastAsia="宋体" w:cs="Arial"/>
          <w:sz w:val="24"/>
          <w:szCs w:val="24"/>
        </w:rPr>
        <w:t>HFA-305</w:t>
      </w:r>
      <w:r>
        <w:rPr>
          <w:rFonts w:hint="eastAsia" w:ascii="Arial" w:hAnsi="Arial" w:eastAsia="宋体" w:cs="Arial"/>
          <w:sz w:val="24"/>
          <w:szCs w:val="24"/>
        </w:rPr>
        <w:t>），</w:t>
      </w:r>
      <w:r>
        <w:rPr>
          <w:rFonts w:ascii="Arial" w:hAnsi="Arial" w:eastAsia="宋体" w:cs="Arial"/>
          <w:sz w:val="24"/>
          <w:szCs w:val="24"/>
        </w:rPr>
        <w:t>Rockville</w:t>
      </w:r>
      <w:r>
        <w:rPr>
          <w:rFonts w:hint="eastAsia" w:ascii="Arial" w:hAnsi="Arial" w:eastAsia="宋体" w:cs="Arial"/>
          <w:sz w:val="24"/>
          <w:szCs w:val="24"/>
        </w:rPr>
        <w:t>，</w:t>
      </w:r>
      <w:r>
        <w:rPr>
          <w:rFonts w:ascii="Arial" w:hAnsi="Arial" w:eastAsia="宋体" w:cs="Arial"/>
          <w:sz w:val="24"/>
          <w:szCs w:val="24"/>
        </w:rPr>
        <w:t>MD</w:t>
      </w:r>
      <w:r>
        <w:rPr>
          <w:rFonts w:hint="eastAsia" w:ascii="Arial" w:hAnsi="Arial" w:eastAsia="宋体" w:cs="Arial"/>
          <w:sz w:val="24"/>
          <w:szCs w:val="24"/>
        </w:rPr>
        <w:t>，</w:t>
      </w:r>
      <w:r>
        <w:rPr>
          <w:rFonts w:ascii="Arial" w:hAnsi="Arial" w:eastAsia="宋体" w:cs="Arial"/>
          <w:sz w:val="24"/>
          <w:szCs w:val="24"/>
        </w:rPr>
        <w:t>20852</w:t>
      </w:r>
      <w:r>
        <w:rPr>
          <w:rFonts w:hint="eastAsia" w:ascii="Arial" w:hAnsi="Arial" w:eastAsia="宋体" w:cs="Arial"/>
          <w:sz w:val="24"/>
          <w:szCs w:val="24"/>
        </w:rPr>
        <w:t>）。</w:t>
      </w:r>
      <w:r>
        <w:rPr>
          <w:rFonts w:ascii="Arial" w:hAnsi="Arial" w:eastAsia="宋体" w:cs="Arial"/>
          <w:sz w:val="24"/>
          <w:szCs w:val="24"/>
        </w:rPr>
        <w:t>提交评论时，请</w:t>
      </w:r>
      <w:r>
        <w:rPr>
          <w:rFonts w:hint="eastAsia" w:ascii="Arial" w:hAnsi="Arial" w:eastAsia="宋体" w:cs="Arial"/>
          <w:sz w:val="24"/>
          <w:szCs w:val="24"/>
        </w:rPr>
        <w:t>参考</w:t>
      </w:r>
      <w:r>
        <w:rPr>
          <w:rFonts w:ascii="Arial" w:hAnsi="Arial" w:eastAsia="宋体" w:cs="Arial"/>
          <w:sz w:val="24"/>
          <w:szCs w:val="24"/>
        </w:rPr>
        <w:t>案卷号98D-0078与本指南文件的准确标题和日期。</w:t>
      </w:r>
      <w:r>
        <w:rPr>
          <w:rFonts w:hint="eastAsia" w:ascii="Arial" w:hAnsi="Arial" w:eastAsia="宋体" w:cs="Arial"/>
          <w:sz w:val="24"/>
          <w:szCs w:val="24"/>
        </w:rPr>
        <w:t>再次进行文件修订或更新之前，本机构可能不会针对评论采取行动。</w:t>
      </w:r>
    </w:p>
    <w:p w14:paraId="17FE8489">
      <w:pPr>
        <w:snapToGrid w:val="0"/>
        <w:spacing w:line="300" w:lineRule="auto"/>
        <w:rPr>
          <w:rFonts w:ascii="Arial" w:hAnsi="Arial" w:eastAsia="宋体" w:cs="Arial"/>
          <w:sz w:val="24"/>
          <w:szCs w:val="24"/>
        </w:rPr>
      </w:pPr>
    </w:p>
    <w:p w14:paraId="3C7DFE8D">
      <w:pPr>
        <w:snapToGrid w:val="0"/>
        <w:spacing w:line="300" w:lineRule="auto"/>
        <w:rPr>
          <w:rFonts w:ascii="Arial" w:hAnsi="Arial" w:eastAsia="宋体" w:cs="Arial"/>
          <w:sz w:val="24"/>
          <w:szCs w:val="24"/>
        </w:rPr>
      </w:pPr>
      <w:r>
        <w:rPr>
          <w:rFonts w:ascii="Arial" w:hAnsi="Arial" w:eastAsia="宋体" w:cs="Arial"/>
          <w:sz w:val="24"/>
          <w:szCs w:val="24"/>
        </w:rPr>
        <w:t>关于本指南的使用或解释，如有疑问，请致电（240）276-4010与Thinh Nguyen联系。</w:t>
      </w:r>
    </w:p>
    <w:p w14:paraId="45EE2BF3">
      <w:pPr>
        <w:snapToGrid w:val="0"/>
        <w:spacing w:line="300" w:lineRule="auto"/>
        <w:rPr>
          <w:rFonts w:ascii="Arial" w:hAnsi="Arial" w:eastAsia="宋体" w:cs="Arial"/>
          <w:sz w:val="24"/>
          <w:szCs w:val="24"/>
        </w:rPr>
      </w:pPr>
    </w:p>
    <w:p w14:paraId="3FEF6F63">
      <w:pPr>
        <w:snapToGrid w:val="0"/>
        <w:spacing w:line="300" w:lineRule="auto"/>
        <w:rPr>
          <w:rFonts w:ascii="Arial" w:hAnsi="Arial" w:eastAsia="宋体" w:cs="Arial"/>
          <w:b/>
          <w:sz w:val="28"/>
          <w:szCs w:val="28"/>
        </w:rPr>
      </w:pPr>
      <w:r>
        <w:rPr>
          <w:rFonts w:ascii="Arial" w:hAnsi="Arial" w:eastAsia="宋体" w:cs="Arial"/>
          <w:b/>
          <w:sz w:val="28"/>
          <w:szCs w:val="28"/>
        </w:rPr>
        <w:t>其它副本</w:t>
      </w:r>
    </w:p>
    <w:p w14:paraId="4430475B">
      <w:pPr>
        <w:snapToGrid w:val="0"/>
        <w:spacing w:line="300" w:lineRule="auto"/>
        <w:rPr>
          <w:rFonts w:ascii="Arial" w:hAnsi="Arial" w:eastAsia="宋体" w:cs="Arial"/>
          <w:sz w:val="24"/>
          <w:szCs w:val="24"/>
        </w:rPr>
      </w:pPr>
    </w:p>
    <w:p w14:paraId="7B85A4D5">
      <w:pPr>
        <w:snapToGrid w:val="0"/>
        <w:spacing w:line="300" w:lineRule="auto"/>
        <w:jc w:val="left"/>
        <w:rPr>
          <w:rFonts w:ascii="Arial" w:hAnsi="Arial" w:eastAsia="宋体" w:cs="Arial"/>
          <w:sz w:val="24"/>
          <w:szCs w:val="24"/>
        </w:rPr>
      </w:pPr>
      <w:r>
        <w:rPr>
          <w:rFonts w:ascii="Arial" w:hAnsi="Arial" w:eastAsia="宋体" w:cs="Arial"/>
          <w:sz w:val="24"/>
          <w:szCs w:val="24"/>
        </w:rPr>
        <w:t>其它副本可从器械和放射卫生中心的万维网上下载，网址为：http://www.fda.gov/cdrh/ode/guidance/310.pdf。你们也可通过按键电话致电1-800-899-0381或301-827-0111向</w:t>
      </w:r>
      <w:r>
        <w:rPr>
          <w:rFonts w:ascii="Times New Roman" w:hAnsi="Times New Roman" w:cs="Times New Roman"/>
          <w:kern w:val="0"/>
          <w:sz w:val="24"/>
          <w:szCs w:val="24"/>
        </w:rPr>
        <w:t>CDRH</w:t>
      </w:r>
      <w:r>
        <w:rPr>
          <w:rFonts w:hint="eastAsia" w:ascii="Times New Roman" w:hAnsi="Times New Roman" w:cs="Times New Roman"/>
          <w:kern w:val="0"/>
          <w:sz w:val="24"/>
          <w:szCs w:val="24"/>
        </w:rPr>
        <w:t xml:space="preserve"> </w:t>
      </w:r>
      <w:r>
        <w:rPr>
          <w:rFonts w:ascii="Arial" w:hAnsi="Arial" w:eastAsia="宋体" w:cs="Arial"/>
          <w:sz w:val="24"/>
          <w:szCs w:val="24"/>
        </w:rPr>
        <w:t>Facts-On-Demand索取。按1进入系统，输入文件编号310，后接井号（#）。遵照语音提示完成申请。</w:t>
      </w:r>
    </w:p>
    <w:p w14:paraId="0B7A33BD">
      <w:pPr>
        <w:snapToGrid w:val="0"/>
        <w:spacing w:line="300" w:lineRule="auto"/>
        <w:rPr>
          <w:rFonts w:ascii="Arial" w:hAnsi="Arial" w:eastAsia="宋体" w:cs="Arial"/>
        </w:rPr>
      </w:pPr>
    </w:p>
    <w:p w14:paraId="717B9A8D">
      <w:pPr>
        <w:snapToGrid w:val="0"/>
        <w:spacing w:line="300" w:lineRule="auto"/>
        <w:rPr>
          <w:rFonts w:ascii="Arial" w:hAnsi="Arial" w:eastAsia="宋体" w:cs="Arial"/>
        </w:rPr>
      </w:pPr>
    </w:p>
    <w:p w14:paraId="27C9935A">
      <w:pPr>
        <w:snapToGrid w:val="0"/>
        <w:spacing w:line="300" w:lineRule="auto"/>
        <w:jc w:val="center"/>
        <w:rPr>
          <w:rFonts w:ascii="Arial" w:hAnsi="Arial" w:eastAsia="宋体" w:cs="Arial"/>
          <w:b/>
        </w:rPr>
        <w:sectPr>
          <w:footerReference r:id="rId4" w:type="default"/>
          <w:pgSz w:w="11906" w:h="16838"/>
          <w:pgMar w:top="1440" w:right="1800" w:bottom="1440" w:left="1800" w:header="851" w:footer="992" w:gutter="0"/>
          <w:cols w:space="425" w:num="1"/>
          <w:docGrid w:type="lines" w:linePitch="312" w:charSpace="0"/>
        </w:sectPr>
      </w:pPr>
    </w:p>
    <w:p w14:paraId="4B3FBE8E">
      <w:pPr>
        <w:snapToGrid w:val="0"/>
        <w:spacing w:line="300" w:lineRule="auto"/>
        <w:jc w:val="center"/>
        <w:rPr>
          <w:rFonts w:ascii="Arial" w:hAnsi="Arial" w:eastAsia="宋体" w:cs="Arial"/>
          <w:b/>
          <w:sz w:val="48"/>
          <w:szCs w:val="48"/>
        </w:rPr>
      </w:pPr>
      <w:r>
        <w:rPr>
          <w:rFonts w:ascii="Arial" w:hAnsi="Arial" w:eastAsia="宋体" w:cs="Arial"/>
          <w:b/>
          <w:sz w:val="48"/>
          <w:szCs w:val="48"/>
        </w:rPr>
        <w:t>食品药品监督管理局现代化法案（FDAMA）</w:t>
      </w:r>
      <w:r>
        <w:rPr>
          <w:rFonts w:hint="eastAsia" w:ascii="Arial" w:hAnsi="Arial" w:eastAsia="宋体" w:cs="Arial"/>
          <w:b/>
          <w:sz w:val="48"/>
          <w:szCs w:val="48"/>
        </w:rPr>
        <w:t>下的</w:t>
      </w:r>
      <w:r>
        <w:rPr>
          <w:rFonts w:ascii="Arial" w:hAnsi="Arial" w:eastAsia="宋体" w:cs="Arial"/>
          <w:b/>
          <w:sz w:val="48"/>
          <w:szCs w:val="48"/>
        </w:rPr>
        <w:t>早期协作会议；</w:t>
      </w:r>
    </w:p>
    <w:p w14:paraId="6B9C9C57">
      <w:pPr>
        <w:snapToGrid w:val="0"/>
        <w:spacing w:line="300" w:lineRule="auto"/>
        <w:jc w:val="center"/>
        <w:rPr>
          <w:rFonts w:ascii="Arial" w:hAnsi="Arial" w:eastAsia="宋体" w:cs="Arial"/>
          <w:b/>
          <w:sz w:val="48"/>
          <w:szCs w:val="48"/>
        </w:rPr>
      </w:pPr>
      <w:r>
        <w:rPr>
          <w:rFonts w:ascii="Arial" w:hAnsi="Arial" w:eastAsia="宋体" w:cs="Arial"/>
          <w:b/>
          <w:sz w:val="48"/>
          <w:szCs w:val="48"/>
        </w:rPr>
        <w:t>行业及CDRH工作人员最终</w:t>
      </w:r>
      <w:r>
        <w:rPr>
          <w:rFonts w:hint="eastAsia" w:ascii="Arial" w:hAnsi="Arial" w:eastAsia="宋体" w:cs="Arial"/>
          <w:b/>
          <w:sz w:val="48"/>
          <w:szCs w:val="48"/>
        </w:rPr>
        <w:t>指南</w:t>
      </w:r>
    </w:p>
    <w:p w14:paraId="465495BA">
      <w:pPr>
        <w:snapToGrid w:val="0"/>
        <w:spacing w:line="300" w:lineRule="auto"/>
        <w:rPr>
          <w:rFonts w:ascii="Arial" w:hAnsi="Arial" w:eastAsia="宋体" w:cs="Arial"/>
          <w:sz w:val="24"/>
          <w:szCs w:val="2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D2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ED313BB">
            <w:pPr>
              <w:snapToGrid w:val="0"/>
              <w:spacing w:before="46" w:beforeLines="15" w:after="46" w:afterLines="15" w:line="276" w:lineRule="auto"/>
              <w:ind w:left="42" w:leftChars="20" w:right="42" w:rightChars="20"/>
              <w:rPr>
                <w:rFonts w:ascii="Arial" w:hAnsi="Arial" w:eastAsia="宋体" w:cs="Arial"/>
                <w:b/>
                <w:i/>
                <w:sz w:val="24"/>
                <w:szCs w:val="24"/>
              </w:rPr>
            </w:pPr>
            <w:r>
              <w:rPr>
                <w:rFonts w:ascii="Arial" w:hAnsi="Arial" w:eastAsia="宋体" w:cs="Arial"/>
                <w:b/>
                <w:i/>
                <w:sz w:val="24"/>
                <w:szCs w:val="24"/>
              </w:rPr>
              <w:t>本文件拟用于提供指导。它代表</w:t>
            </w:r>
            <w:r>
              <w:rPr>
                <w:rFonts w:hint="eastAsia" w:ascii="Arial" w:hAnsi="Arial" w:eastAsia="宋体" w:cs="Arial"/>
                <w:b/>
                <w:i/>
                <w:sz w:val="24"/>
                <w:szCs w:val="24"/>
              </w:rPr>
              <w:t>机构目前关于该主题的思考</w:t>
            </w:r>
            <w:r>
              <w:rPr>
                <w:rFonts w:ascii="Arial" w:hAnsi="Arial" w:eastAsia="宋体" w:cs="Arial"/>
                <w:b/>
                <w:i/>
                <w:sz w:val="24"/>
                <w:szCs w:val="24"/>
              </w:rPr>
              <w:t>。</w:t>
            </w:r>
            <w:r>
              <w:rPr>
                <w:rFonts w:hint="eastAsia" w:ascii="Arial" w:hAnsi="Arial" w:eastAsia="宋体" w:cs="Arial"/>
                <w:b/>
                <w:i/>
                <w:sz w:val="24"/>
                <w:szCs w:val="24"/>
              </w:rPr>
              <w:t>其不会为任何人创造或赋予任何权利，也不会对FDA或公众产生约束。如果替代方法满足适用的法律法规的要求，则可以使用该方法。</w:t>
            </w:r>
          </w:p>
        </w:tc>
      </w:tr>
    </w:tbl>
    <w:p w14:paraId="03F9A86A">
      <w:pPr>
        <w:snapToGrid w:val="0"/>
        <w:spacing w:line="300" w:lineRule="auto"/>
        <w:rPr>
          <w:rFonts w:ascii="Arial" w:hAnsi="Arial" w:eastAsia="宋体" w:cs="Arial"/>
          <w:sz w:val="24"/>
          <w:szCs w:val="24"/>
        </w:rPr>
      </w:pPr>
    </w:p>
    <w:p w14:paraId="33FC20B2">
      <w:pPr>
        <w:snapToGrid w:val="0"/>
        <w:spacing w:after="156" w:afterLines="50" w:line="300" w:lineRule="auto"/>
        <w:jc w:val="center"/>
        <w:rPr>
          <w:rFonts w:ascii="Arial" w:hAnsi="Arial" w:eastAsia="宋体" w:cs="Arial"/>
          <w:sz w:val="24"/>
          <w:szCs w:val="24"/>
        </w:rPr>
      </w:pPr>
      <w:r>
        <w:rPr>
          <w:rFonts w:ascii="Arial" w:hAnsi="Arial" w:eastAsia="宋体" w:cs="Arial"/>
          <w:sz w:val="24"/>
          <w:szCs w:val="24"/>
        </w:rPr>
        <w:t>标准操作规程指南</w:t>
      </w:r>
    </w:p>
    <w:p w14:paraId="2792E52A">
      <w:pPr>
        <w:snapToGrid w:val="0"/>
        <w:spacing w:after="156" w:afterLines="50" w:line="300" w:lineRule="auto"/>
        <w:rPr>
          <w:rFonts w:ascii="Arial" w:hAnsi="Arial" w:eastAsia="宋体" w:cs="Arial"/>
          <w:sz w:val="24"/>
          <w:szCs w:val="24"/>
        </w:rPr>
      </w:pPr>
      <w:r>
        <w:rPr>
          <w:rFonts w:ascii="Arial" w:hAnsi="Arial" w:eastAsia="宋体" w:cs="Arial"/>
          <w:sz w:val="24"/>
          <w:szCs w:val="24"/>
        </w:rPr>
        <w:t>FDAMA是为两个早期协作会议准备的。这些会议的目的是促进FDA和申办方</w:t>
      </w:r>
      <w:r>
        <w:rPr>
          <w:rFonts w:hint="eastAsia" w:ascii="Arial" w:hAnsi="Arial" w:eastAsia="宋体" w:cs="Arial"/>
          <w:sz w:val="24"/>
          <w:szCs w:val="24"/>
        </w:rPr>
        <w:t>之</w:t>
      </w:r>
      <w:r>
        <w:rPr>
          <w:rFonts w:ascii="Arial" w:hAnsi="Arial" w:eastAsia="宋体" w:cs="Arial"/>
          <w:sz w:val="24"/>
          <w:szCs w:val="24"/>
        </w:rPr>
        <w:t>间的互动并为需进行临床调查以支持上市器械的测试和开发提供清晰</w:t>
      </w:r>
      <w:r>
        <w:rPr>
          <w:rFonts w:hint="eastAsia" w:ascii="Arial" w:hAnsi="Arial" w:eastAsia="宋体" w:cs="Arial"/>
          <w:sz w:val="24"/>
          <w:szCs w:val="24"/>
        </w:rPr>
        <w:t>指导</w:t>
      </w:r>
      <w:r>
        <w:rPr>
          <w:rFonts w:ascii="Arial" w:hAnsi="Arial" w:eastAsia="宋体" w:cs="Arial"/>
          <w:sz w:val="24"/>
          <w:szCs w:val="24"/>
        </w:rPr>
        <w:t>。</w:t>
      </w:r>
    </w:p>
    <w:p w14:paraId="0AEA29B4">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决定会议</w:t>
      </w:r>
    </w:p>
    <w:p w14:paraId="50880AB6">
      <w:pPr>
        <w:snapToGrid w:val="0"/>
        <w:spacing w:after="156" w:afterLines="50" w:line="300" w:lineRule="auto"/>
        <w:rPr>
          <w:rFonts w:ascii="Arial" w:hAnsi="Arial" w:eastAsia="宋体" w:cs="Arial"/>
          <w:sz w:val="24"/>
          <w:szCs w:val="24"/>
        </w:rPr>
      </w:pPr>
      <w:r>
        <w:rPr>
          <w:rFonts w:hint="eastAsia" w:ascii="Arial" w:hAnsi="Arial" w:eastAsia="宋体" w:cs="Arial"/>
          <w:sz w:val="24"/>
          <w:szCs w:val="24"/>
        </w:rPr>
        <w:t>任何参与</w:t>
      </w:r>
      <w:r>
        <w:rPr>
          <w:rFonts w:ascii="Arial" w:hAnsi="Arial" w:eastAsia="宋体" w:cs="Arial"/>
          <w:sz w:val="24"/>
          <w:szCs w:val="24"/>
        </w:rPr>
        <w:t>PMA或PDP申请的人</w:t>
      </w:r>
      <w:r>
        <w:rPr>
          <w:rFonts w:hint="eastAsia" w:ascii="Arial" w:hAnsi="Arial" w:eastAsia="宋体" w:cs="Arial"/>
          <w:sz w:val="24"/>
          <w:szCs w:val="24"/>
        </w:rPr>
        <w:t>员</w:t>
      </w:r>
      <w:r>
        <w:rPr>
          <w:rFonts w:ascii="Arial" w:hAnsi="Arial" w:eastAsia="宋体" w:cs="Arial"/>
          <w:sz w:val="24"/>
          <w:szCs w:val="24"/>
        </w:rPr>
        <w:t>均可参加§513（a）（3）（D）</w:t>
      </w:r>
      <w:r>
        <w:rPr>
          <w:rFonts w:hint="eastAsia" w:ascii="Arial" w:hAnsi="Arial" w:eastAsia="宋体" w:cs="Arial"/>
          <w:sz w:val="24"/>
          <w:szCs w:val="24"/>
        </w:rPr>
        <w:t>中描述的决定</w:t>
      </w:r>
      <w:r>
        <w:rPr>
          <w:rFonts w:ascii="Arial" w:hAnsi="Arial" w:eastAsia="宋体" w:cs="Arial"/>
          <w:sz w:val="24"/>
          <w:szCs w:val="24"/>
        </w:rPr>
        <w:t>会议</w:t>
      </w:r>
      <w:r>
        <w:rPr>
          <w:rFonts w:hint="eastAsia" w:ascii="Arial" w:hAnsi="Arial" w:eastAsia="宋体" w:cs="Arial"/>
          <w:sz w:val="24"/>
          <w:szCs w:val="24"/>
        </w:rPr>
        <w:t>，</w:t>
      </w:r>
      <w:r>
        <w:rPr>
          <w:rFonts w:ascii="Arial" w:hAnsi="Arial" w:eastAsia="宋体" w:cs="Arial"/>
          <w:sz w:val="24"/>
          <w:szCs w:val="24"/>
        </w:rPr>
        <w:t>该会议</w:t>
      </w:r>
      <w:r>
        <w:rPr>
          <w:rFonts w:hint="eastAsia" w:ascii="Arial" w:hAnsi="Arial" w:eastAsia="宋体" w:cs="Arial"/>
          <w:sz w:val="24"/>
          <w:szCs w:val="24"/>
        </w:rPr>
        <w:t>旨在</w:t>
      </w:r>
      <w:r>
        <w:rPr>
          <w:rFonts w:ascii="Arial" w:hAnsi="Arial" w:eastAsia="宋体" w:cs="Arial"/>
          <w:sz w:val="24"/>
          <w:szCs w:val="24"/>
        </w:rPr>
        <w:t>为申办方提供本机构对有效科学证据类型的决定。这些证据对证明器械对其预期用途</w:t>
      </w:r>
      <w:r>
        <w:rPr>
          <w:rFonts w:hint="eastAsia" w:ascii="Arial" w:hAnsi="Arial" w:eastAsia="宋体" w:cs="Arial"/>
          <w:sz w:val="24"/>
          <w:szCs w:val="24"/>
        </w:rPr>
        <w:t>的</w:t>
      </w:r>
      <w:r>
        <w:rPr>
          <w:rFonts w:ascii="Arial" w:hAnsi="Arial" w:eastAsia="宋体" w:cs="Arial"/>
          <w:sz w:val="24"/>
          <w:szCs w:val="24"/>
        </w:rPr>
        <w:t>有效</w:t>
      </w:r>
      <w:r>
        <w:rPr>
          <w:rFonts w:hint="eastAsia" w:ascii="Arial" w:hAnsi="Arial" w:eastAsia="宋体" w:cs="Arial"/>
          <w:sz w:val="24"/>
          <w:szCs w:val="24"/>
        </w:rPr>
        <w:t>性</w:t>
      </w:r>
      <w:r>
        <w:rPr>
          <w:rFonts w:ascii="Arial" w:hAnsi="Arial" w:eastAsia="宋体" w:cs="Arial"/>
          <w:sz w:val="24"/>
          <w:szCs w:val="24"/>
        </w:rPr>
        <w:t>是必不可少的。</w:t>
      </w:r>
      <w:r>
        <w:rPr>
          <w:rFonts w:hint="eastAsia" w:ascii="Arial" w:hAnsi="Arial" w:eastAsia="宋体" w:cs="Arial"/>
          <w:sz w:val="24"/>
          <w:szCs w:val="24"/>
        </w:rPr>
        <w:t>因为</w:t>
      </w:r>
      <w:r>
        <w:rPr>
          <w:rFonts w:ascii="Arial" w:hAnsi="Arial" w:eastAsia="宋体" w:cs="Arial"/>
          <w:sz w:val="24"/>
          <w:szCs w:val="24"/>
        </w:rPr>
        <w:t>这次会议，FDA将确定临床研究对确立有效性是否必要；与申办方协商后，</w:t>
      </w:r>
      <w:r>
        <w:rPr>
          <w:rFonts w:hint="eastAsia" w:ascii="Arial" w:hAnsi="Arial" w:eastAsia="宋体" w:cs="Arial"/>
          <w:sz w:val="24"/>
          <w:szCs w:val="24"/>
        </w:rPr>
        <w:t>确定评估器械有效性的最小负担手段原则，其具有合理的成功可能性。</w:t>
      </w:r>
      <w:r>
        <w:rPr>
          <w:rFonts w:ascii="Arial" w:hAnsi="Arial" w:eastAsia="宋体" w:cs="Arial"/>
          <w:sz w:val="24"/>
          <w:szCs w:val="24"/>
        </w:rPr>
        <w:t>申办方可期望FDA确定并行随机对照、并行非随机对照、历史对照或其它类型的证据是否可接受。FDA的决定将在会后30日内形成书面文件并</w:t>
      </w:r>
      <w:bookmarkStart w:id="0" w:name="OLE_LINK1"/>
      <w:r>
        <w:rPr>
          <w:rFonts w:hint="eastAsia" w:ascii="Arial" w:hAnsi="Arial" w:eastAsia="宋体" w:cs="Arial"/>
          <w:sz w:val="24"/>
          <w:szCs w:val="24"/>
        </w:rPr>
        <w:t>提供给</w:t>
      </w:r>
      <w:bookmarkEnd w:id="0"/>
      <w:r>
        <w:rPr>
          <w:rFonts w:ascii="Arial" w:hAnsi="Arial" w:eastAsia="宋体" w:cs="Arial"/>
          <w:sz w:val="24"/>
          <w:szCs w:val="24"/>
        </w:rPr>
        <w:t>申办方。该决定对本机构具有约束力，除非其与公共卫生相冲突。</w:t>
      </w:r>
    </w:p>
    <w:p w14:paraId="68E0BEE6">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协议会议</w:t>
      </w:r>
    </w:p>
    <w:p w14:paraId="5BE50C72">
      <w:pPr>
        <w:snapToGrid w:val="0"/>
        <w:spacing w:after="156" w:afterLines="50" w:line="300" w:lineRule="auto"/>
        <w:rPr>
          <w:rFonts w:ascii="Arial" w:hAnsi="Arial" w:eastAsia="宋体" w:cs="Arial"/>
          <w:sz w:val="24"/>
          <w:szCs w:val="24"/>
        </w:rPr>
      </w:pPr>
      <w:r>
        <w:rPr>
          <w:rFonts w:ascii="Arial" w:hAnsi="Arial" w:eastAsia="宋体" w:cs="Arial"/>
          <w:sz w:val="24"/>
          <w:szCs w:val="24"/>
        </w:rPr>
        <w:t>FDAMA确立会议</w:t>
      </w:r>
      <w:r>
        <w:rPr>
          <w:rFonts w:hint="eastAsia" w:ascii="Arial" w:hAnsi="Arial" w:eastAsia="宋体" w:cs="Arial"/>
          <w:sz w:val="24"/>
          <w:szCs w:val="24"/>
        </w:rPr>
        <w:t>的另一项是</w:t>
      </w:r>
      <w:r>
        <w:rPr>
          <w:rFonts w:ascii="Arial" w:hAnsi="Arial" w:eastAsia="宋体" w:cs="Arial"/>
          <w:sz w:val="24"/>
          <w:szCs w:val="24"/>
        </w:rPr>
        <w:t>协议会议。法案在§520（g）（7）部分对其进行了描述。该会议对打算</w:t>
      </w:r>
      <w:r>
        <w:rPr>
          <w:rFonts w:hint="eastAsia" w:ascii="Arial" w:hAnsi="Arial" w:eastAsia="宋体" w:cs="Arial"/>
          <w:sz w:val="24"/>
          <w:szCs w:val="24"/>
        </w:rPr>
        <w:t>研究</w:t>
      </w:r>
      <w:r>
        <w:rPr>
          <w:rFonts w:ascii="Arial" w:hAnsi="Arial" w:eastAsia="宋体" w:cs="Arial"/>
          <w:sz w:val="24"/>
          <w:szCs w:val="24"/>
        </w:rPr>
        <w:t>III类产品或任何植入物安全性或有效性的任何人都是开放的。因此，与决定会议不同，</w:t>
      </w:r>
      <w:r>
        <w:rPr>
          <w:rFonts w:hint="eastAsia" w:ascii="Arial" w:hAnsi="Arial" w:eastAsia="宋体" w:cs="Arial"/>
          <w:sz w:val="24"/>
          <w:szCs w:val="24"/>
        </w:rPr>
        <w:t>该协议会议面向合法器械的</w:t>
      </w:r>
      <w:r>
        <w:rPr>
          <w:rFonts w:ascii="Arial" w:hAnsi="Arial" w:eastAsia="宋体" w:cs="Arial"/>
          <w:sz w:val="24"/>
          <w:szCs w:val="24"/>
        </w:rPr>
        <w:t>510（k）</w:t>
      </w:r>
      <w:r>
        <w:rPr>
          <w:rFonts w:hint="eastAsia" w:ascii="Arial" w:hAnsi="Arial" w:eastAsia="宋体" w:cs="Arial"/>
          <w:sz w:val="24"/>
          <w:szCs w:val="24"/>
        </w:rPr>
        <w:t>申办方。</w:t>
      </w:r>
      <w:r>
        <w:rPr>
          <w:rFonts w:ascii="Arial" w:hAnsi="Arial" w:eastAsia="宋体" w:cs="Arial"/>
          <w:sz w:val="24"/>
          <w:szCs w:val="24"/>
        </w:rPr>
        <w:t>该会议的目的是就调查计划（见</w:t>
      </w:r>
      <w:r>
        <w:rPr>
          <w:rFonts w:ascii="Times New Roman" w:hAnsi="Times New Roman" w:cs="Times New Roman"/>
          <w:kern w:val="0"/>
          <w:sz w:val="24"/>
          <w:szCs w:val="24"/>
        </w:rPr>
        <w:t>21 CFR 812.25</w:t>
      </w:r>
      <w:r>
        <w:rPr>
          <w:rFonts w:ascii="Arial" w:hAnsi="Arial" w:eastAsia="宋体" w:cs="Arial"/>
          <w:sz w:val="24"/>
          <w:szCs w:val="24"/>
        </w:rPr>
        <w:t>）的关键参数（包括临床方案）达成协议。该会议将在收到参加此类会议的申请后30日内举行。在该会议上达成的任何协议都要形成书面文件并</w:t>
      </w:r>
      <w:r>
        <w:rPr>
          <w:rFonts w:hint="eastAsia" w:ascii="Arial" w:hAnsi="Arial" w:eastAsia="宋体" w:cs="Arial"/>
          <w:sz w:val="24"/>
          <w:szCs w:val="24"/>
        </w:rPr>
        <w:t>提供给</w:t>
      </w:r>
      <w:r>
        <w:rPr>
          <w:rFonts w:ascii="Arial" w:hAnsi="Arial" w:eastAsia="宋体" w:cs="Arial"/>
          <w:sz w:val="24"/>
          <w:szCs w:val="24"/>
        </w:rPr>
        <w:t>申办方，而且要</w:t>
      </w:r>
      <w:r>
        <w:rPr>
          <w:rFonts w:hint="eastAsia" w:ascii="Arial" w:hAnsi="Arial" w:eastAsia="宋体" w:cs="Arial"/>
          <w:sz w:val="24"/>
          <w:szCs w:val="24"/>
        </w:rPr>
        <w:t>作为</w:t>
      </w:r>
      <w:r>
        <w:rPr>
          <w:rFonts w:ascii="Arial" w:hAnsi="Arial" w:eastAsia="宋体" w:cs="Arial"/>
          <w:sz w:val="24"/>
          <w:szCs w:val="24"/>
        </w:rPr>
        <w:t>管理档案的组成部分。该协议对本机构具有约束力。只有在申办方书面同意或存在对确定器械的安全性或有效性极其重要的重大科学问题时，才能对协议进行变更。</w:t>
      </w:r>
    </w:p>
    <w:p w14:paraId="4F5379EC">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背景</w:t>
      </w:r>
    </w:p>
    <w:p w14:paraId="744068C4">
      <w:pPr>
        <w:snapToGrid w:val="0"/>
        <w:spacing w:after="156" w:afterLines="50" w:line="300" w:lineRule="auto"/>
        <w:rPr>
          <w:rFonts w:ascii="Arial" w:hAnsi="Arial" w:eastAsia="宋体" w:cs="Arial"/>
          <w:sz w:val="24"/>
          <w:szCs w:val="24"/>
        </w:rPr>
      </w:pPr>
      <w:r>
        <w:rPr>
          <w:rFonts w:ascii="Arial" w:hAnsi="Arial" w:eastAsia="宋体" w:cs="Arial"/>
          <w:sz w:val="24"/>
          <w:szCs w:val="24"/>
        </w:rPr>
        <w:t>在FDAMA通过前，器械评价办公室（ODE）鼓励研究性器械豁免（IDE）申办方在提交IDE申请前</w:t>
      </w:r>
      <w:r>
        <w:rPr>
          <w:rFonts w:hint="eastAsia" w:ascii="Arial" w:hAnsi="Arial" w:eastAsia="宋体" w:cs="Arial"/>
          <w:sz w:val="24"/>
          <w:szCs w:val="24"/>
        </w:rPr>
        <w:t>对</w:t>
      </w:r>
      <w:r>
        <w:rPr>
          <w:rFonts w:ascii="Arial" w:hAnsi="Arial" w:eastAsia="宋体" w:cs="Arial"/>
          <w:sz w:val="24"/>
          <w:szCs w:val="24"/>
        </w:rPr>
        <w:t>他们提出的台架/动物测试和临床实验设计征求本机构建议。此类互动</w:t>
      </w:r>
      <w:r>
        <w:rPr>
          <w:rFonts w:hint="eastAsia" w:ascii="Arial" w:hAnsi="Arial" w:eastAsia="宋体" w:cs="Arial"/>
          <w:sz w:val="24"/>
          <w:szCs w:val="24"/>
        </w:rPr>
        <w:t>，</w:t>
      </w:r>
      <w:r>
        <w:rPr>
          <w:rFonts w:ascii="Arial" w:hAnsi="Arial" w:eastAsia="宋体" w:cs="Arial"/>
          <w:sz w:val="24"/>
          <w:szCs w:val="24"/>
        </w:rPr>
        <w:t>称作“</w:t>
      </w:r>
      <w:r>
        <w:rPr>
          <w:rFonts w:hint="eastAsia" w:ascii="Arial" w:hAnsi="Arial" w:eastAsia="宋体" w:cs="Arial"/>
          <w:sz w:val="24"/>
          <w:szCs w:val="24"/>
        </w:rPr>
        <w:t>预-</w:t>
      </w:r>
      <w:r>
        <w:rPr>
          <w:rFonts w:ascii="Arial" w:hAnsi="Arial" w:eastAsia="宋体" w:cs="Arial"/>
          <w:sz w:val="24"/>
          <w:szCs w:val="24"/>
        </w:rPr>
        <w:t>IDE”</w:t>
      </w:r>
      <w:r>
        <w:rPr>
          <w:rFonts w:hint="eastAsia" w:ascii="Arial" w:hAnsi="Arial" w:eastAsia="宋体" w:cs="Arial"/>
          <w:sz w:val="24"/>
          <w:szCs w:val="24"/>
        </w:rPr>
        <w:t>，</w:t>
      </w:r>
      <w:r>
        <w:rPr>
          <w:rFonts w:ascii="Arial" w:hAnsi="Arial" w:eastAsia="宋体" w:cs="Arial"/>
          <w:sz w:val="24"/>
          <w:szCs w:val="24"/>
        </w:rPr>
        <w:t>允许本机构向申办方提供早期反馈，而且这些互动有助于促使IDE获得批准。</w:t>
      </w:r>
      <w:bookmarkStart w:id="1" w:name="OLE_LINK2"/>
      <w:bookmarkStart w:id="2" w:name="OLE_LINK3"/>
      <w:r>
        <w:rPr>
          <w:rFonts w:hint="eastAsia" w:ascii="Arial" w:hAnsi="Arial" w:eastAsia="宋体" w:cs="Arial"/>
          <w:sz w:val="24"/>
          <w:szCs w:val="24"/>
        </w:rPr>
        <w:t>预-</w:t>
      </w:r>
      <w:r>
        <w:rPr>
          <w:rFonts w:ascii="Arial" w:hAnsi="Arial" w:eastAsia="宋体" w:cs="Arial"/>
          <w:sz w:val="24"/>
          <w:szCs w:val="24"/>
        </w:rPr>
        <w:t>IDE</w:t>
      </w:r>
      <w:bookmarkEnd w:id="1"/>
      <w:bookmarkEnd w:id="2"/>
      <w:r>
        <w:rPr>
          <w:rFonts w:ascii="Arial" w:hAnsi="Arial" w:eastAsia="宋体" w:cs="Arial"/>
          <w:sz w:val="24"/>
          <w:szCs w:val="24"/>
        </w:rPr>
        <w:t>会议是非正式会议</w:t>
      </w:r>
      <w:r>
        <w:rPr>
          <w:rFonts w:hint="eastAsia" w:ascii="Arial" w:hAnsi="Arial" w:eastAsia="宋体" w:cs="Arial"/>
          <w:sz w:val="24"/>
          <w:szCs w:val="24"/>
        </w:rPr>
        <w:t>，</w:t>
      </w:r>
      <w:r>
        <w:rPr>
          <w:rFonts w:ascii="Arial" w:hAnsi="Arial" w:eastAsia="宋体" w:cs="Arial"/>
          <w:sz w:val="24"/>
          <w:szCs w:val="24"/>
        </w:rPr>
        <w:t>反馈对任何一方均无约束力。FDA鼓励申办方继续利用这些非正式沟通工具。在IDE指南</w:t>
      </w:r>
      <w:r>
        <w:rPr>
          <w:rFonts w:ascii="Arial" w:hAnsi="Arial" w:eastAsia="宋体" w:cs="Arial"/>
          <w:color w:val="3333FF"/>
          <w:sz w:val="24"/>
          <w:szCs w:val="24"/>
        </w:rPr>
        <w:t>D95-1</w:t>
      </w:r>
      <w:r>
        <w:rPr>
          <w:rFonts w:hint="eastAsia" w:ascii="Arial" w:hAnsi="Arial" w:eastAsia="宋体" w:cs="Arial"/>
          <w:color w:val="3333FF"/>
          <w:sz w:val="24"/>
          <w:szCs w:val="24"/>
        </w:rPr>
        <w:t>号</w:t>
      </w:r>
      <w:r>
        <w:rPr>
          <w:rFonts w:ascii="Arial" w:hAnsi="Arial" w:eastAsia="宋体" w:cs="Arial"/>
          <w:color w:val="3333FF"/>
          <w:sz w:val="24"/>
          <w:szCs w:val="24"/>
        </w:rPr>
        <w:t>“IDE</w:t>
      </w:r>
      <w:r>
        <w:rPr>
          <w:rFonts w:hint="eastAsia" w:ascii="Arial" w:hAnsi="Arial" w:eastAsia="宋体" w:cs="Arial"/>
          <w:color w:val="3333FF"/>
          <w:sz w:val="24"/>
          <w:szCs w:val="24"/>
        </w:rPr>
        <w:t>项目的目标和倡议</w:t>
      </w:r>
      <w:r>
        <w:rPr>
          <w:rFonts w:ascii="Arial" w:hAnsi="Arial" w:eastAsia="宋体" w:cs="Arial"/>
          <w:color w:val="3333FF"/>
          <w:sz w:val="24"/>
          <w:szCs w:val="24"/>
        </w:rPr>
        <w:t>”</w:t>
      </w:r>
      <w:r>
        <w:rPr>
          <w:rFonts w:ascii="Arial" w:hAnsi="Arial" w:eastAsia="宋体" w:cs="Arial"/>
          <w:sz w:val="24"/>
          <w:szCs w:val="24"/>
        </w:rPr>
        <w:t>与D99-1号“</w:t>
      </w:r>
      <w:r>
        <w:rPr>
          <w:rFonts w:hint="eastAsia" w:ascii="Arial" w:hAnsi="Arial" w:eastAsia="宋体" w:cs="Arial"/>
          <w:color w:val="3333FF"/>
          <w:sz w:val="24"/>
          <w:szCs w:val="24"/>
        </w:rPr>
        <w:t>预</w:t>
      </w:r>
      <w:r>
        <w:rPr>
          <w:rFonts w:ascii="Arial" w:hAnsi="Arial" w:eastAsia="宋体" w:cs="Arial"/>
          <w:color w:val="3333FF"/>
          <w:sz w:val="24"/>
          <w:szCs w:val="24"/>
        </w:rPr>
        <w:t>-IDE</w:t>
      </w:r>
      <w:r>
        <w:rPr>
          <w:rFonts w:hint="eastAsia" w:ascii="Arial" w:hAnsi="Arial" w:eastAsia="宋体" w:cs="Arial"/>
          <w:color w:val="3333FF"/>
          <w:sz w:val="24"/>
          <w:szCs w:val="24"/>
        </w:rPr>
        <w:t>项目：问题和答案</w:t>
      </w:r>
      <w:r>
        <w:rPr>
          <w:rFonts w:ascii="Arial" w:hAnsi="Arial" w:eastAsia="宋体" w:cs="Arial"/>
          <w:sz w:val="24"/>
          <w:szCs w:val="24"/>
        </w:rPr>
        <w:t>”中对这些沟通工具进行了概述。首先，FDAMA提供了正式协作会议（决定会议和协议会议）。这些会议的结果目前是有约束力的。</w:t>
      </w:r>
    </w:p>
    <w:p w14:paraId="13C7B3DF">
      <w:pPr>
        <w:snapToGrid w:val="0"/>
        <w:spacing w:after="156" w:afterLines="50" w:line="300" w:lineRule="auto"/>
        <w:rPr>
          <w:rFonts w:ascii="Arial" w:hAnsi="Arial" w:eastAsia="宋体" w:cs="Arial"/>
          <w:sz w:val="24"/>
          <w:szCs w:val="24"/>
        </w:rPr>
      </w:pPr>
      <w:r>
        <w:rPr>
          <w:rFonts w:ascii="Arial" w:hAnsi="Arial" w:eastAsia="宋体" w:cs="Arial"/>
          <w:sz w:val="24"/>
          <w:szCs w:val="24"/>
        </w:rPr>
        <w:t>决定会议和协议会议应在器械开发早期举行</w:t>
      </w:r>
      <w:r>
        <w:rPr>
          <w:rFonts w:hint="eastAsia" w:ascii="Arial" w:hAnsi="Arial" w:eastAsia="宋体" w:cs="Arial"/>
          <w:sz w:val="24"/>
          <w:szCs w:val="24"/>
        </w:rPr>
        <w:t>，</w:t>
      </w:r>
      <w:r>
        <w:rPr>
          <w:rFonts w:ascii="Arial" w:hAnsi="Arial" w:eastAsia="宋体" w:cs="Arial"/>
          <w:sz w:val="24"/>
          <w:szCs w:val="24"/>
        </w:rPr>
        <w:t>申办方</w:t>
      </w:r>
      <w:r>
        <w:rPr>
          <w:rFonts w:hint="eastAsia" w:ascii="Arial" w:hAnsi="Arial" w:eastAsia="宋体" w:cs="Arial"/>
          <w:sz w:val="24"/>
          <w:szCs w:val="24"/>
        </w:rPr>
        <w:t>则</w:t>
      </w:r>
      <w:r>
        <w:rPr>
          <w:rFonts w:ascii="Arial" w:hAnsi="Arial" w:eastAsia="宋体" w:cs="Arial"/>
          <w:sz w:val="24"/>
          <w:szCs w:val="24"/>
        </w:rPr>
        <w:t>可利用会议结果有效安排适当研究。FDAMA对这些早期协作会议是作为独特事件还是与申办方</w:t>
      </w:r>
      <w:r>
        <w:rPr>
          <w:rFonts w:hint="eastAsia" w:ascii="Arial" w:hAnsi="Arial" w:eastAsia="宋体" w:cs="Arial"/>
          <w:sz w:val="24"/>
          <w:szCs w:val="24"/>
        </w:rPr>
        <w:t>持续</w:t>
      </w:r>
      <w:r>
        <w:rPr>
          <w:rFonts w:ascii="Arial" w:hAnsi="Arial" w:eastAsia="宋体" w:cs="Arial"/>
          <w:sz w:val="24"/>
          <w:szCs w:val="24"/>
        </w:rPr>
        <w:t>对话的组成部分保持沉默。经验和实际情况提示，尤其是对于新器械/技术，事先对话对这些有约束力的正式会议的有效性具有关键性作用。初步讨论有助于澄清和聚焦在</w:t>
      </w:r>
      <w:r>
        <w:rPr>
          <w:rFonts w:hint="eastAsia" w:ascii="Arial" w:hAnsi="Arial" w:eastAsia="宋体" w:cs="Arial"/>
          <w:sz w:val="24"/>
          <w:szCs w:val="24"/>
        </w:rPr>
        <w:t>预</w:t>
      </w:r>
      <w:r>
        <w:rPr>
          <w:rFonts w:ascii="Arial" w:hAnsi="Arial" w:eastAsia="宋体" w:cs="Arial"/>
          <w:sz w:val="24"/>
          <w:szCs w:val="24"/>
        </w:rPr>
        <w:t>提交资料中与会议本身将要应对的关键问题上。初步讨论可能还有助于申办方在采用正式有约束力会议和非正式会议间做出决定。根据FDA对器械的熟悉程度和相关先例存在的程度，决定会议或协议会议能产生效果前举行一次或</w:t>
      </w:r>
      <w:r>
        <w:rPr>
          <w:rFonts w:hint="eastAsia" w:ascii="Arial" w:hAnsi="Arial" w:eastAsia="宋体" w:cs="Arial"/>
          <w:sz w:val="24"/>
          <w:szCs w:val="24"/>
        </w:rPr>
        <w:t>多次</w:t>
      </w:r>
      <w:r>
        <w:rPr>
          <w:rFonts w:ascii="Arial" w:hAnsi="Arial" w:eastAsia="宋体" w:cs="Arial"/>
          <w:sz w:val="24"/>
          <w:szCs w:val="24"/>
        </w:rPr>
        <w:t>非正式会议可能是有益的。</w:t>
      </w:r>
    </w:p>
    <w:p w14:paraId="11823ED6">
      <w:pPr>
        <w:snapToGrid w:val="0"/>
        <w:spacing w:after="156" w:afterLines="50" w:line="300" w:lineRule="auto"/>
        <w:rPr>
          <w:rFonts w:ascii="Arial" w:hAnsi="Arial" w:eastAsia="宋体" w:cs="Arial"/>
          <w:sz w:val="24"/>
          <w:szCs w:val="24"/>
        </w:rPr>
      </w:pPr>
      <w:r>
        <w:rPr>
          <w:rFonts w:ascii="Arial" w:hAnsi="Arial" w:eastAsia="宋体" w:cs="Arial"/>
          <w:sz w:val="24"/>
          <w:szCs w:val="24"/>
        </w:rPr>
        <w:t>下面展示了早期协作会议如何融入这个沟通统一体的图解说明。X轴代表器械开发时间轴，而Y轴则代表器械已知量。</w:t>
      </w:r>
    </w:p>
    <w:p w14:paraId="42BC3157">
      <w:pPr>
        <w:snapToGrid w:val="0"/>
        <w:spacing w:after="156" w:afterLines="50" w:line="300" w:lineRule="auto"/>
        <w:jc w:val="center"/>
        <w:rPr>
          <w:rFonts w:ascii="Arial" w:hAnsi="Arial" w:eastAsia="宋体" w:cs="Arial"/>
          <w:sz w:val="24"/>
          <w:szCs w:val="24"/>
        </w:rPr>
      </w:pPr>
      <w:r>
        <mc:AlternateContent>
          <mc:Choice Requires="wps">
            <w:drawing>
              <wp:anchor distT="0" distB="0" distL="114300" distR="114300" simplePos="0" relativeHeight="251666432" behindDoc="0" locked="0" layoutInCell="1" allowOverlap="1">
                <wp:simplePos x="0" y="0"/>
                <wp:positionH relativeFrom="column">
                  <wp:posOffset>3228340</wp:posOffset>
                </wp:positionH>
                <wp:positionV relativeFrom="paragraph">
                  <wp:posOffset>135255</wp:posOffset>
                </wp:positionV>
                <wp:extent cx="500380" cy="333375"/>
                <wp:effectExtent l="0" t="0" r="13970" b="9525"/>
                <wp:wrapNone/>
                <wp:docPr id="14" name="文本框 14"/>
                <wp:cNvGraphicFramePr/>
                <a:graphic xmlns:a="http://schemas.openxmlformats.org/drawingml/2006/main">
                  <a:graphicData uri="http://schemas.microsoft.com/office/word/2010/wordprocessingShape">
                    <wps:wsp>
                      <wps:cNvSpPr txBox="1"/>
                      <wps:spPr>
                        <a:xfrm>
                          <a:off x="0" y="0"/>
                          <a:ext cx="50038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F4D33">
                            <w:pPr>
                              <w:snapToGrid w:val="0"/>
                              <w:jc w:val="center"/>
                              <w:rPr>
                                <w:sz w:val="15"/>
                                <w:szCs w:val="15"/>
                              </w:rPr>
                            </w:pPr>
                            <w:r>
                              <w:rPr>
                                <w:rFonts w:hint="eastAsia" w:ascii="Arial" w:hAnsi="Arial" w:eastAsia="宋体" w:cs="Arial"/>
                                <w:sz w:val="15"/>
                                <w:szCs w:val="15"/>
                              </w:rPr>
                              <w:t>100天会议</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54.2pt;margin-top:10.65pt;height:26.25pt;width:39.4pt;z-index:251666432;mso-width-relative:page;mso-height-relative:page;" filled="f" stroked="f" coordsize="21600,21600" o:gfxdata="UEsDBAoAAAAAAIdO4kAAAAAAAAAAAAAAAAAEAAAAZHJzL1BLAwQUAAAACACHTuJAQi0HdNgAAAAJ&#10;AQAADwAAAGRycy9kb3ducmV2LnhtbE2Py07DMBBF90j8gzVI7KidlNIoZNIFjx3P0kqwc2KTRNjj&#10;yHbS8veYFSxH9+jeM9XmaA2btQ+DI4RsIYBpap0aqEPYvd1fFMBClKSkcaQRvnWATX16UslSuQO9&#10;6nkbO5ZKKJQSoY9xLDkPba+tDAs3akrZp/NWxnT6jisvD6ncGp4LccWtHCgt9HLUN71uv7aTRTDv&#10;wT80In7Mt91jfHnm0/4ue0I8P8vENbCoj/EPhl/9pA51cmrcRCowg7ASxWVCEfJsCSwBq2KdA2sQ&#10;1ssCeF3x/x/UP1BLAwQUAAAACACHTuJAmPz24jcCAABlBAAADgAAAGRycy9lMm9Eb2MueG1srVTB&#10;btQwEL0j8Q+W7zTZLi3VqtlqaVWEVNFKBXH2Ok4TyfYY29ukfAD8AadeuPNd/Q6enc0WFQ49sAfv&#10;eGb8ZubNTI5PBqPZrfKhI1vx2V7JmbKS6s7eVPzTx/NXR5yFKGwtNFlV8TsV+Mny5Yvj3i3UPrWk&#10;a+UZQGxY9K7ibYxuURRBtsqIsEdOWRgb8kZEXP1NUXvRA93oYr8sD4uefO08SRUCtGejkW8R/XMA&#10;qWk6qc5IboyycUT1SouIkkLbucCXOdumUTJeNk1QkemKo9KYTwSBvE5nsTwWixsvXNvJbQriOSk8&#10;qcmIziLoDupMRME2vvsLynTSU6Am7kkyxVhIZgRVzMon3Fy3wqlcC6gObkd6+H+w8sPtlWddjUl4&#10;zZkVBh1/+PH94f7Xw89vDDoQ1LuwgN+1g2cc3tIA50kfoEx1D4036R8VMdhB792OXjVEJqE8KMv5&#10;ESwSpjl+bw4SSvH42PkQ3ykyLAkV9+heJlXcXoQ4uk4uKZal807r3EFtWV/xw/lBmR/sLADXNvmq&#10;PAtbmFTQmHiS4rAetlWuqb5DkZ7GOQlOnndI5UKEeCU8BgPZY3XiJY5GE0LSVuKsJf/1X/rkj37B&#10;ylmPQat4+LIRXnGm31t0EpBxEvwkrCfBbswpYXZnWEons4gHPupJbDyZz9ioVYoCk7ASsSoeJ/E0&#10;juOOjZRqtcpOmD0n4oW9djJBj2SuNpGaLvOcaBm5QH/SBdOXO7XdlDTef96z1+PXY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i0HdNgAAAAJAQAADwAAAAAAAAABACAAAAAiAAAAZHJzL2Rvd25y&#10;ZXYueG1sUEsBAhQAFAAAAAgAh07iQJj89uI3AgAAZQQAAA4AAAAAAAAAAQAgAAAAJwEAAGRycy9l&#10;Mm9Eb2MueG1sUEsFBgAAAAAGAAYAWQEAANAFAAAAAA==&#10;">
                <v:fill on="f" focussize="0,0"/>
                <v:stroke on="f" weight="0.5pt"/>
                <v:imagedata o:title=""/>
                <o:lock v:ext="edit" aspectratio="f"/>
                <v:textbox inset="0mm,0mm,0mm,0mm">
                  <w:txbxContent>
                    <w:p w14:paraId="56DF4D33">
                      <w:pPr>
                        <w:snapToGrid w:val="0"/>
                        <w:jc w:val="center"/>
                        <w:rPr>
                          <w:sz w:val="15"/>
                          <w:szCs w:val="15"/>
                        </w:rPr>
                      </w:pPr>
                      <w:r>
                        <w:rPr>
                          <w:rFonts w:hint="eastAsia" w:ascii="Arial" w:hAnsi="Arial" w:eastAsia="宋体" w:cs="Arial"/>
                          <w:sz w:val="15"/>
                          <w:szCs w:val="15"/>
                        </w:rPr>
                        <w:t>100天会议</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3778250</wp:posOffset>
                </wp:positionH>
                <wp:positionV relativeFrom="paragraph">
                  <wp:posOffset>168275</wp:posOffset>
                </wp:positionV>
                <wp:extent cx="500380" cy="285750"/>
                <wp:effectExtent l="0" t="0" r="13970" b="635"/>
                <wp:wrapNone/>
                <wp:docPr id="16" name="文本框 16"/>
                <wp:cNvGraphicFramePr/>
                <a:graphic xmlns:a="http://schemas.openxmlformats.org/drawingml/2006/main">
                  <a:graphicData uri="http://schemas.microsoft.com/office/word/2010/wordprocessingShape">
                    <wps:wsp>
                      <wps:cNvSpPr txBox="1"/>
                      <wps:spPr>
                        <a:xfrm>
                          <a:off x="0" y="0"/>
                          <a:ext cx="500463" cy="2856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7EC1D">
                            <w:pPr>
                              <w:snapToGrid w:val="0"/>
                              <w:jc w:val="center"/>
                              <w:rPr>
                                <w:sz w:val="15"/>
                                <w:szCs w:val="15"/>
                              </w:rPr>
                            </w:pPr>
                            <w:r>
                              <w:rPr>
                                <w:rFonts w:hint="eastAsia" w:ascii="Arial" w:hAnsi="Arial" w:eastAsia="宋体" w:cs="Arial"/>
                                <w:sz w:val="15"/>
                                <w:szCs w:val="15"/>
                              </w:rPr>
                              <w:t>上市批准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97.5pt;margin-top:13.25pt;height:22.5pt;width:39.4pt;z-index:251668480;mso-width-relative:page;mso-height-relative:page;" filled="f" stroked="f" coordsize="21600,21600" o:gfxdata="UEsDBAoAAAAAAIdO4kAAAAAAAAAAAAAAAAAEAAAAZHJzL1BLAwQUAAAACACHTuJAsNA6ttkAAAAJ&#10;AQAADwAAAGRycy9kb3ducmV2LnhtbE2Py07DMBBF90j8gzVI7KidoqQlxOmCxw4otCDBzomHJMKP&#10;yJ6k5e8xK1iO5urec6rN0Ro2Y4iDdxKyhQCGrvV6cJ2E1/39xRpYJOW0Mt6hhG+MsKlPTypVan9w&#10;LzjvqGOpxMVSSeiJxpLz2PZoVVz4EV36ffpgFaUzdFwHdUjl1vClEAW3anBpoVcj3vTYfu0mK8G8&#10;x/DQCPqYb7tHet7y6e0ue5Ly/CwT18AIj/QXhl/8hA51Ymr85HRkRkJ+lScXkrAscmApUKwuk0sj&#10;YZXlwOuK/zeofwBQSwMEFAAAAAgAh07iQGraGQI4AgAAZQQAAA4AAABkcnMvZTJvRG9jLnhtbK1U&#10;wY7TMBC9I/EPlu80aZdGVdV0VbYqQqrYlQri7DpOE8n2GNttUj4A/oATF+58V7+DsZN00cJhD1yc&#10;8cz4jd+bcRa3rZLkJKyrQed0PEopEZpDUetDTj9+2LyaUeI80wWToEVOz8LR2+XLF4vGzMUEKpCF&#10;sARBtJs3JqeV92aeJI5XQjE3AiM0Bkuwinnc2kNSWNYgupLJJE2zpAFbGAtcOIfedRekPaJ9DiCU&#10;Zc3FGvhRCe07VCsk80jJVbVxdBlvW5aC+/uydMITmVNk6uOKRdDehzVZLtj8YJmpat5fgT3nCk84&#10;KVZrLHqFWjPPyNHWf0GpmltwUPoRB5V0RKIiyGKcPtFmVzEjIheU2pmr6O7/wfL3pwdL6gInIaNE&#10;M4Udv3z/dvnx6/LzK0EfCtQYN8e8ncFM376BFpMHv0Nn4N2WVoUvMiIYR3nPV3lF6wlH5zRNX2c3&#10;lHAMTWbTLJsFlOTxsLHOvxWgSDByarF7UVR22jrfpQ4poZaGTS1l7KDUpMlpdjNN44FrBMGlDrki&#10;zkIPEwh1Fw+Wb/dtz3IPxRlJWujmxBm+qfEqW+b8A7M4GMgLn46/x6WUgCWhtyipwH75lz/kY78w&#10;SkmDg5ZT9/nIrKBEvtPYyTCVg2EHYz8Y+qjuAGd3jI/S8GjiAevlYJYW1Cd8UatQBUNMc6yVUz+Y&#10;d74bd3yRXKxWMQlnzzC/1TvDA3Qn5urooayjzkGWTgvsT9jg9MVO9S8ljPef+5j1+H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w0Dq22QAAAAkBAAAPAAAAAAAAAAEAIAAAACIAAABkcnMvZG93&#10;bnJldi54bWxQSwECFAAUAAAACACHTuJAatoZAjgCAABlBAAADgAAAAAAAAABACAAAAAoAQAAZHJz&#10;L2Uyb0RvYy54bWxQSwUGAAAAAAYABgBZAQAA0gUAAAAA&#10;">
                <v:fill on="f" focussize="0,0"/>
                <v:stroke on="f" weight="0.5pt"/>
                <v:imagedata o:title=""/>
                <o:lock v:ext="edit" aspectratio="f"/>
                <v:textbox inset="0mm,0mm,0mm,0mm">
                  <w:txbxContent>
                    <w:p w14:paraId="07D7EC1D">
                      <w:pPr>
                        <w:snapToGrid w:val="0"/>
                        <w:jc w:val="center"/>
                        <w:rPr>
                          <w:sz w:val="15"/>
                          <w:szCs w:val="15"/>
                        </w:rPr>
                      </w:pPr>
                      <w:r>
                        <w:rPr>
                          <w:rFonts w:hint="eastAsia" w:ascii="Arial" w:hAnsi="Arial" w:eastAsia="宋体" w:cs="Arial"/>
                          <w:sz w:val="15"/>
                          <w:szCs w:val="15"/>
                        </w:rPr>
                        <w:t>上市批准</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2148840</wp:posOffset>
                </wp:positionH>
                <wp:positionV relativeFrom="paragraph">
                  <wp:posOffset>175895</wp:posOffset>
                </wp:positionV>
                <wp:extent cx="500380" cy="277495"/>
                <wp:effectExtent l="0" t="0" r="13970" b="8255"/>
                <wp:wrapNone/>
                <wp:docPr id="15" name="文本框 15"/>
                <wp:cNvGraphicFramePr/>
                <a:graphic xmlns:a="http://schemas.openxmlformats.org/drawingml/2006/main">
                  <a:graphicData uri="http://schemas.microsoft.com/office/word/2010/wordprocessingShape">
                    <wps:wsp>
                      <wps:cNvSpPr txBox="1"/>
                      <wps:spPr>
                        <a:xfrm>
                          <a:off x="0" y="0"/>
                          <a:ext cx="500380" cy="277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42C70">
                            <w:pPr>
                              <w:snapToGrid w:val="0"/>
                              <w:jc w:val="center"/>
                              <w:rPr>
                                <w:sz w:val="15"/>
                                <w:szCs w:val="15"/>
                              </w:rPr>
                            </w:pPr>
                            <w:r>
                              <w:rPr>
                                <w:rFonts w:hint="eastAsia" w:ascii="Arial" w:hAnsi="Arial" w:eastAsia="宋体" w:cs="Arial"/>
                                <w:sz w:val="15"/>
                                <w:szCs w:val="15"/>
                              </w:rPr>
                              <w:t>IDE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2pt;margin-top:13.85pt;height:21.85pt;width:39.4pt;z-index:251667456;mso-width-relative:page;mso-height-relative:page;" filled="f" stroked="f" coordsize="21600,21600" o:gfxdata="UEsDBAoAAAAAAIdO4kAAAAAAAAAAAAAAAAAEAAAAZHJzL1BLAwQUAAAACACHTuJA2gMUD9gAAAAJ&#10;AQAADwAAAGRycy9kb3ducmV2LnhtbE2Py07DMBBF90j8gzVI7KjtNCJVyKQLHjsepYAEOycZkgg/&#10;IttJy99jVrAc3aN7z1Tbo9FsIR9GZxHkSgAj27putD3C68vdxQZYiMp2SjtLCN8UYFufnlSq7NzB&#10;PtOyjz1LJTaUCmGIcSo5D+1ARoWVm8im7NN5o2I6fc87rw6p3GieCXHJjRptWhjURNcDtV/72SDo&#10;9+DvGxE/lpv+Ie6e+Px2Kx8Rz8+kuAIW6Rj/YPjVT+pQJ6fGzbYLTCOs15s8oQhZUQBLQC6LDFiD&#10;UMgceF3x/x/UP1BLAwQUAAAACACHTuJAHnkxmjgCAABlBAAADgAAAGRycy9lMm9Eb2MueG1srVTN&#10;btQwEL4j8Q6W7zTZVv3RqtlqaVWEVNFKBXH2Ok4TyfYY29ukPAC8AScuvfNc+xx8djZbVDj0wMU7&#10;npl8M9834z09G4xm98qHjmzFZ3slZ8pKqjt7V/FPHy/fnHAWorC10GRVxR9U4GeL169OezdX+9SS&#10;rpVnALFh3ruKtzG6eVEE2Sojwh45ZRFsyBsRcfV3Re1FD3Sji/2yPCp68rXzJFUI8F6MQb5F9C8B&#10;pKbppLoguTbKxhHVKy0iKIW2c4EvcrdNo2S8bpqgItMVB9OYTxSBvUpnsTgV8zsvXNvJbQviJS08&#10;42REZ1F0B3UhomBr3/0FZTrpKVAT9ySZYiSSFQGLWflMm9tWOJW5QOrgdqKH/wcrP9zfeNbV2IRD&#10;zqwwmPjmx/fNz1+bx28MPgjUuzBH3q1DZhze0oDkyR/gTLyHxpv0C0YMccj7sJNXDZFJOA/L8uAE&#10;EYnQ/vHx8ewooRRPHzsf4jtFhiWj4h7Ty6KK+6sQx9QpJdWydNlpnSeoLesrfnRwWOYPdhGAa5ty&#10;Vd6FLUwiNDaerDishi3LFdUPIOlp3JPg5GWHVq5EiDfCYzHQPZ5OvMbRaEJJ2lqcteS//suf8jEv&#10;RDnrsWgVD1/WwivO9HuLSQIyToafjNVk2LU5J+zuDI/SyWziAx/1ZDaezGe8qGWqgpCwErUqHifz&#10;PI7rjhcp1XKZk7B7TsQre+tkgh7FXK4jNV3WOckyaoH5pAu2L09q+1LSev95z1lP/w6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oDFA/YAAAACQEAAA8AAAAAAAAAAQAgAAAAIgAAAGRycy9kb3du&#10;cmV2LnhtbFBLAQIUABQAAAAIAIdO4kAeeTGaOAIAAGUEAAAOAAAAAAAAAAEAIAAAACcBAABkcnMv&#10;ZTJvRG9jLnhtbFBLBQYAAAAABgAGAFkBAADRBQAAAAA=&#10;">
                <v:fill on="f" focussize="0,0"/>
                <v:stroke on="f" weight="0.5pt"/>
                <v:imagedata o:title=""/>
                <o:lock v:ext="edit" aspectratio="f"/>
                <v:textbox inset="0mm,0mm,0mm,0mm">
                  <w:txbxContent>
                    <w:p w14:paraId="52342C70">
                      <w:pPr>
                        <w:snapToGrid w:val="0"/>
                        <w:jc w:val="center"/>
                        <w:rPr>
                          <w:sz w:val="15"/>
                          <w:szCs w:val="15"/>
                        </w:rPr>
                      </w:pPr>
                      <w:r>
                        <w:rPr>
                          <w:rFonts w:hint="eastAsia" w:ascii="Arial" w:hAnsi="Arial" w:eastAsia="宋体" w:cs="Arial"/>
                          <w:sz w:val="15"/>
                          <w:szCs w:val="15"/>
                        </w:rPr>
                        <w:t>IDE</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2705100</wp:posOffset>
                </wp:positionH>
                <wp:positionV relativeFrom="paragraph">
                  <wp:posOffset>120015</wp:posOffset>
                </wp:positionV>
                <wp:extent cx="500380" cy="333375"/>
                <wp:effectExtent l="0" t="0" r="13970" b="9525"/>
                <wp:wrapNone/>
                <wp:docPr id="13" name="文本框 13"/>
                <wp:cNvGraphicFramePr/>
                <a:graphic xmlns:a="http://schemas.openxmlformats.org/drawingml/2006/main">
                  <a:graphicData uri="http://schemas.microsoft.com/office/word/2010/wordprocessingShape">
                    <wps:wsp>
                      <wps:cNvSpPr txBox="1"/>
                      <wps:spPr>
                        <a:xfrm>
                          <a:off x="0" y="0"/>
                          <a:ext cx="50038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BE1229">
                            <w:pPr>
                              <w:snapToGrid w:val="0"/>
                              <w:jc w:val="center"/>
                              <w:rPr>
                                <w:sz w:val="15"/>
                                <w:szCs w:val="15"/>
                              </w:rPr>
                            </w:pPr>
                            <w:r>
                              <w:rPr>
                                <w:rFonts w:hint="eastAsia" w:ascii="Arial" w:hAnsi="Arial" w:eastAsia="宋体" w:cs="Arial"/>
                                <w:sz w:val="15"/>
                                <w:szCs w:val="15"/>
                              </w:rPr>
                              <w:t>上市前申请或510(k)表</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pt;margin-top:9.45pt;height:26.25pt;width:39.4pt;z-index:251665408;mso-width-relative:page;mso-height-relative:page;" filled="f" stroked="f" coordsize="21600,21600" o:gfxdata="UEsDBAoAAAAAAIdO4kAAAAAAAAAAAAAAAAAEAAAAZHJzL1BLAwQUAAAACACHTuJAIbwsINgAAAAJ&#10;AQAADwAAAGRycy9kb3ducmV2LnhtbE2Py07DMBBF90j8gzVI7KidKpQS4nTBYwcUCkiwc2KTRNjj&#10;KJ6k5e8ZVrAc3as755SbQ/BidmPqI2rIFgqEwybaHlsNry93Z2sQiQxa4yM6Dd8uwaY6PipNYeMe&#10;n928o1bwCKbCaOiIhkLK1HQumLSIg0POPuMYDPE5ttKOZs/jwculUisZTI/8oTODu+5c87Wbggb/&#10;nsb7WtHHfNM+0NNWTm+32aPWpyeZugJB7kB/ZfjFZ3SomKmOE9okvIZ8uWIX4mB9CYIL5ypnl1rD&#10;RZaDrEr536D6AVBLAwQUAAAACACHTuJA7mE6pTcCAABlBAAADgAAAGRycy9lMm9Eb2MueG1srVTB&#10;btQwEL0j8Q+W7zRpVy3Vqtlq6aoIqaKVFsTZ6zhNJNtjbG+T8gHwB5y4cOe7+h08O5stKhx6YA/e&#10;8cz4zcybmZydD0azO+VDR7bihwclZ8pKqjt7W/GPHy5fnXIWorC10GRVxe9V4OeLly/OejdXR9SS&#10;rpVnALFh3ruKtzG6eVEE2SojwgE5ZWFsyBsRcfW3Re1FD3Sji6OyPCl68rXzJFUI0K5GI98h+ucA&#10;UtN0Uq1Ibo2ycUT1SouIkkLbucAXOdumUTJeN01QkemKo9KYTwSBvElnsTgT81svXNvJXQriOSk8&#10;qcmIziLoHmolomBb3/0FZTrpKVATDySZYiwkM4IqDssn3Kxb4VSuBVQHtyc9/D9Y+f7uxrOuxiTM&#10;OLPCoOMP3789/Pj18PMrgw4E9S7M4bd28IzDGxrgPOkDlKnuofEm/aMiBjvovd/Tq4bIJJTHZTk7&#10;hUXCNMPv9XFCKR4fOx/iW0WGJaHiHt3LpIq7qxBH18klxbJ02WmdO6gt6yt+Mjsu84O9BeDaJl+V&#10;Z2EHkwoaE09SHDbDrsoN1fco0tM4J8HJyw6pXIkQb4THYCB7rE68xtFoQkjaSZy15L/8S5/80S9Y&#10;OesxaBUPn7fCK870O4tOAjJOgp+EzSTYrbkgzO4hltLJLOKBj3oSG0/mEzZqmaLAJKxErIrHSbyI&#10;47hjI6VaLrMTZs+JeGXXTibokczlNlLTZZ4TLSMX6E+6YPpyp3abksb7z3v2evw6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bwsINgAAAAJAQAADwAAAAAAAAABACAAAAAiAAAAZHJzL2Rvd25y&#10;ZXYueG1sUEsBAhQAFAAAAAgAh07iQO5hOqU3AgAAZQQAAA4AAAAAAAAAAQAgAAAAJwEAAGRycy9l&#10;Mm9Eb2MueG1sUEsFBgAAAAAGAAYAWQEAANAFAAAAAA==&#10;">
                <v:fill on="f" focussize="0,0"/>
                <v:stroke on="f" weight="0.5pt"/>
                <v:imagedata o:title=""/>
                <o:lock v:ext="edit" aspectratio="f"/>
                <v:textbox inset="0mm,0mm,0mm,0mm">
                  <w:txbxContent>
                    <w:p w14:paraId="42BE1229">
                      <w:pPr>
                        <w:snapToGrid w:val="0"/>
                        <w:jc w:val="center"/>
                        <w:rPr>
                          <w:sz w:val="15"/>
                          <w:szCs w:val="15"/>
                        </w:rPr>
                      </w:pPr>
                      <w:r>
                        <w:rPr>
                          <w:rFonts w:hint="eastAsia" w:ascii="Arial" w:hAnsi="Arial" w:eastAsia="宋体" w:cs="Arial"/>
                          <w:sz w:val="15"/>
                          <w:szCs w:val="15"/>
                        </w:rPr>
                        <w:t>上市前申请或510(k)表</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1589405</wp:posOffset>
                </wp:positionH>
                <wp:positionV relativeFrom="paragraph">
                  <wp:posOffset>175895</wp:posOffset>
                </wp:positionV>
                <wp:extent cx="452755" cy="333375"/>
                <wp:effectExtent l="0" t="0" r="4445" b="9525"/>
                <wp:wrapNone/>
                <wp:docPr id="12" name="文本框 12"/>
                <wp:cNvGraphicFramePr/>
                <a:graphic xmlns:a="http://schemas.openxmlformats.org/drawingml/2006/main">
                  <a:graphicData uri="http://schemas.microsoft.com/office/word/2010/wordprocessingShape">
                    <wps:wsp>
                      <wps:cNvSpPr txBox="1"/>
                      <wps:spPr>
                        <a:xfrm>
                          <a:off x="0" y="0"/>
                          <a:ext cx="45275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56A7D">
                            <w:pPr>
                              <w:snapToGrid w:val="0"/>
                              <w:jc w:val="center"/>
                              <w:rPr>
                                <w:sz w:val="15"/>
                                <w:szCs w:val="15"/>
                              </w:rPr>
                            </w:pPr>
                            <w:r>
                              <w:rPr>
                                <w:rFonts w:hint="eastAsia" w:ascii="Arial" w:hAnsi="Arial" w:eastAsia="宋体" w:cs="Arial"/>
                                <w:sz w:val="15"/>
                                <w:szCs w:val="15"/>
                              </w:rPr>
                              <w:t>协议会议</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25.15pt;margin-top:13.85pt;height:26.25pt;width:35.65pt;z-index:251664384;mso-width-relative:page;mso-height-relative:page;" filled="f" stroked="f" coordsize="21600,21600" o:gfxdata="UEsDBAoAAAAAAIdO4kAAAAAAAAAAAAAAAAAEAAAAZHJzL1BLAwQUAAAACACHTuJAObfut9gAAAAJ&#10;AQAADwAAAGRycy9kb3ducmV2LnhtbE2Py07DMBBF90j8gzVI7KidVLRViNMFjx2PUkCCnZMMSYQ9&#10;jmwnLX/PsILdjObozrnl9uismDHEwZOGbKFAIDW+HajT8Ppyd7EBEZOh1lhPqOEbI2yr05PSFK0/&#10;0DPO+9QJDqFYGA19SmMhZWx6dCYu/IjEt08fnEm8hk62wRw43FmZK7WSzgzEH3oz4nWPzdd+chrs&#10;ewz3tUof8033kHZPcnq7zR61Pj/L1BWIhMf0B8OvPqtDxU61n6iNwmrIL9WSUR7WaxAMLPNsBaLW&#10;sFE5yKqU/xtUP1BLAwQUAAAACACHTuJACEkSaDgCAABlBAAADgAAAGRycy9lMm9Eb2MueG1srVTB&#10;bhMxEL0j8Q+W73STlLQo6qYKjYqQKlqpIM6O19tdyfYY2+lu+QD4A069cOe7+h08e7MpKhx6IAdn&#10;PDN+4/dmvCenvdHsVvnQki359GDCmbKSqtbelPzTx/NXbzgLUdhKaLKq5Hcq8NPlyxcnnVuoGTWk&#10;K+UZQGxYdK7kTYxuURRBNsqIcEBOWQRr8kZEbP1NUXnRAd3oYjaZHBUd+cp5kioEeNdDkO8Q/XMA&#10;qa5bqdYkt0bZOKB6pUUEpdC0LvBlvm1dKxkv6zqoyHTJwTTmFUVgb9JaLE/E4sYL17RydwXxnCs8&#10;4WREa1F0D7UWUbCtb/+CMq30FKiOB5JMMRDJioDFdPJEm+tGOJW5QOrg9qKH/wcrP9xeedZWmIQZ&#10;Z1YYdPzhx/eH+18PP78x+CBQ58ICedcOmbF/Sz2SR3+AM/Hua2/SPxgxxCHv3V5e1Ucm4Xw9nx3P&#10;55xJhA7xO54nlOLxsPMhvlNkWDJK7tG9LKq4vQhxSB1TUi1L563WuYPasq7kR4fzST6wjwBc25Sr&#10;8izsYBKh4eLJiv2m37HcUHUHkp6GOQlOnre4yoUI8Up4DAZ44enESyy1JpSkncVZQ/7rv/wpH/1C&#10;lLMOg1by8GUrvOJMv7foZJrK0fCjsRkNuzVnhNmd4lE6mU0c8FGPZu3JfMaLWqUqCAkrUavkcTTP&#10;4jDueJFSrVY5CbPnRLyw104m6EHM1TZS3WadkyyDFuhP2mD6cqd2LyWN95/7nPX4dV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m37rfYAAAACQEAAA8AAAAAAAAAAQAgAAAAIgAAAGRycy9kb3du&#10;cmV2LnhtbFBLAQIUABQAAAAIAIdO4kAISRJoOAIAAGUEAAAOAAAAAAAAAAEAIAAAACcBAABkcnMv&#10;ZTJvRG9jLnhtbFBLBQYAAAAABgAGAFkBAADRBQAAAAA=&#10;">
                <v:fill on="f" focussize="0,0"/>
                <v:stroke on="f" weight="0.5pt"/>
                <v:imagedata o:title=""/>
                <o:lock v:ext="edit" aspectratio="f"/>
                <v:textbox inset="0mm,0mm,0mm,0mm">
                  <w:txbxContent>
                    <w:p w14:paraId="2EF56A7D">
                      <w:pPr>
                        <w:snapToGrid w:val="0"/>
                        <w:jc w:val="center"/>
                        <w:rPr>
                          <w:sz w:val="15"/>
                          <w:szCs w:val="15"/>
                        </w:rPr>
                      </w:pPr>
                      <w:r>
                        <w:rPr>
                          <w:rFonts w:hint="eastAsia" w:ascii="Arial" w:hAnsi="Arial" w:eastAsia="宋体" w:cs="Arial"/>
                          <w:sz w:val="15"/>
                          <w:szCs w:val="15"/>
                        </w:rPr>
                        <w:t>协议会议</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1136650</wp:posOffset>
                </wp:positionH>
                <wp:positionV relativeFrom="paragraph">
                  <wp:posOffset>167640</wp:posOffset>
                </wp:positionV>
                <wp:extent cx="452755" cy="333375"/>
                <wp:effectExtent l="0" t="0" r="4445" b="9525"/>
                <wp:wrapNone/>
                <wp:docPr id="11" name="文本框 11"/>
                <wp:cNvGraphicFramePr/>
                <a:graphic xmlns:a="http://schemas.openxmlformats.org/drawingml/2006/main">
                  <a:graphicData uri="http://schemas.microsoft.com/office/word/2010/wordprocessingShape">
                    <wps:wsp>
                      <wps:cNvSpPr txBox="1"/>
                      <wps:spPr>
                        <a:xfrm>
                          <a:off x="0" y="0"/>
                          <a:ext cx="45275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B8651">
                            <w:pPr>
                              <w:snapToGrid w:val="0"/>
                              <w:jc w:val="center"/>
                              <w:rPr>
                                <w:sz w:val="15"/>
                                <w:szCs w:val="15"/>
                              </w:rPr>
                            </w:pPr>
                            <w:r>
                              <w:rPr>
                                <w:rFonts w:hint="eastAsia" w:ascii="Arial" w:hAnsi="Arial" w:eastAsia="宋体" w:cs="Arial"/>
                                <w:sz w:val="15"/>
                                <w:szCs w:val="15"/>
                              </w:rPr>
                              <w:t>决定会议</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9.5pt;margin-top:13.2pt;height:26.25pt;width:35.65pt;z-index:251663360;mso-width-relative:page;mso-height-relative:page;" filled="f" stroked="f" coordsize="21600,21600" o:gfxdata="UEsDBAoAAAAAAIdO4kAAAAAAAAAAAAAAAAAEAAAAZHJzL1BLAwQUAAAACACHTuJAAGWpbdgAAAAJ&#10;AQAADwAAAGRycy9kb3ducmV2LnhtbE2Py07DMBRE90j8g3WR2FE7AfoIcbrgsYNCW5Bg58SXJMK+&#10;jmwnLX+PWcFyNKOZM+X6aA2b0IfekYRsJoAhNU731Ep43T9cLIGFqEgr4wglfGOAdXV6UqpCuwNt&#10;cdrFlqUSCoWS0MU4FJyHpkOrwswNSMn7dN6qmKRvufbqkMqt4bkQc25VT2mhUwPedth87UYrwbwH&#10;/1iL+DHdtU/x5ZmPb/fZRsrzs0zcAIt4jH9h+MVP6FAlptqNpAMzSS9W6UuUkM+vgKVAfi0ugdUS&#10;FssV8Krk/x9UP1BLAwQUAAAACACHTuJAVnPVRjcCAABlBAAADgAAAGRycy9lMm9Eb2MueG1srVTB&#10;bhMxEL0j8Q+W73TTlrQoyqYKrYqQIlqpIM6O19tdyfYY2+lu+AD4A069cOe7+h08e7MpKhx6IAdn&#10;7Bm/mfdmvPOz3mh2p3xoyZb88GDCmbKSqtbelvzTx8tXbzgLUdhKaLKq5FsV+Nni5Yt552bqiBrS&#10;lfIMIDbMOlfyJkY3K4ogG2VEOCCnLJw1eSMitv62qLzogG50cTSZnBQd+cp5kioEnF4MTr5D9M8B&#10;pLpupboguTHKxgHVKy0iKIWmdYEvcrV1rWS8quugItMlB9OYVySBvU5rsZiL2a0XrmnlrgTxnBKe&#10;cDKitUi6h7oQUbCNb/+CMq30FKiOB5JMMRDJioDF4eSJNjeNcCpzgdTB7UUP/w9Wfri79qytMAmH&#10;nFlh0PGHH98f7n89/PzGcAaBOhdmiLtxiIz9W+oRPJ4HHCbefe1N+gcjBj/k3e7lVX1kEoevp0en&#10;0ylnEq5j/E6nCaV4vOx8iO8UGZaMknt0L4sq7lYhDqFjSMpl6bLVOndQW9aV/OR4OskX9h6Aa5ti&#10;VZ6FHUwiNBSerNiv+x3LNVVbkPQ0zElw8rJFKSsR4rXwGAzwwtOJV1hqTUhJO4uzhvzXf52nePQL&#10;Xs46DFrJw5eN8Ioz/d6ik2kqR8OPxno07MacE2YXzUE12cQFH/Vo1p7MZ7yoZcoCl7ASuUoeR/M8&#10;DuOOFynVcpmDMHtOxJW9cTJBD2IuN5HqNuucZBm0QH/SBtOXO7V7KWm8/9znqMev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GWpbdgAAAAJAQAADwAAAAAAAAABACAAAAAiAAAAZHJzL2Rvd25y&#10;ZXYueG1sUEsBAhQAFAAAAAgAh07iQFZz1UY3AgAAZQQAAA4AAAAAAAAAAQAgAAAAJwEAAGRycy9l&#10;Mm9Eb2MueG1sUEsFBgAAAAAGAAYAWQEAANAFAAAAAA==&#10;">
                <v:fill on="f" focussize="0,0"/>
                <v:stroke on="f" weight="0.5pt"/>
                <v:imagedata o:title=""/>
                <o:lock v:ext="edit" aspectratio="f"/>
                <v:textbox inset="0mm,0mm,0mm,0mm">
                  <w:txbxContent>
                    <w:p w14:paraId="148B8651">
                      <w:pPr>
                        <w:snapToGrid w:val="0"/>
                        <w:jc w:val="center"/>
                        <w:rPr>
                          <w:sz w:val="15"/>
                          <w:szCs w:val="15"/>
                        </w:rPr>
                      </w:pPr>
                      <w:r>
                        <w:rPr>
                          <w:rFonts w:hint="eastAsia" w:ascii="Arial" w:hAnsi="Arial" w:eastAsia="宋体" w:cs="Arial"/>
                          <w:sz w:val="15"/>
                          <w:szCs w:val="15"/>
                        </w:rPr>
                        <w:t>决定会议</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644525</wp:posOffset>
                </wp:positionH>
                <wp:positionV relativeFrom="paragraph">
                  <wp:posOffset>167640</wp:posOffset>
                </wp:positionV>
                <wp:extent cx="452755" cy="333375"/>
                <wp:effectExtent l="0" t="0" r="4445" b="9525"/>
                <wp:wrapNone/>
                <wp:docPr id="10" name="文本框 10"/>
                <wp:cNvGraphicFramePr/>
                <a:graphic xmlns:a="http://schemas.openxmlformats.org/drawingml/2006/main">
                  <a:graphicData uri="http://schemas.microsoft.com/office/word/2010/wordprocessingShape">
                    <wps:wsp>
                      <wps:cNvSpPr txBox="1"/>
                      <wps:spPr>
                        <a:xfrm>
                          <a:off x="0" y="0"/>
                          <a:ext cx="45275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691DF">
                            <w:pPr>
                              <w:snapToGrid w:val="0"/>
                              <w:jc w:val="center"/>
                              <w:rPr>
                                <w:sz w:val="15"/>
                                <w:szCs w:val="15"/>
                              </w:rPr>
                            </w:pPr>
                            <w:r>
                              <w:rPr>
                                <w:rFonts w:hint="eastAsia" w:ascii="Arial" w:hAnsi="Arial" w:eastAsia="宋体" w:cs="Arial"/>
                                <w:sz w:val="15"/>
                                <w:szCs w:val="15"/>
                              </w:rPr>
                              <w:t>提交“预-IDE”资料</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0.75pt;margin-top:13.2pt;height:26.25pt;width:35.65pt;z-index:251662336;mso-width-relative:page;mso-height-relative:page;" filled="f" stroked="f" coordsize="21600,21600" o:gfxdata="UEsDBAoAAAAAAIdO4kAAAAAAAAAAAAAAAAAEAAAAZHJzL1BLAwQUAAAACACHTuJA1r8Zp9cAAAAJ&#10;AQAADwAAAGRycy9kb3ducmV2LnhtbE2Py07DMBBF90j8gzVI7KidCNoS4nTBY8ezgAQ7Jx6SCHsc&#10;xU5a/p7pCpZXc3Tn3HKz907MOMY+kIZsoUAgNcH21Gp4e707W4OIyZA1LhBq+MEIm+r4qDSFDTt6&#10;wXmbWsElFAujoUtpKKSMTYfexEUYkPj2FUZvEsexlXY0Oy73TuZKLaU3PfGHzgx43WHzvZ28BvcR&#10;x/tapc/5pn1Iz09yer/NHrU+PcnUFYiE+/QHw0Gf1aFipzpMZKNwnFV2waiGfHkO4gCsct5Sa1it&#10;L0FWpfy/oPoFUEsDBBQAAAAIAIdO4kCcmpdcNwIAAGUEAAAOAAAAZHJzL2Uyb0RvYy54bWytVMFu&#10;EzEQvSPxD5bvdNOWtCjKpgqtipAiWqkgzo7X213J9hjb6W74APgDTr1w57v6HTx7sykqHHogB2c8&#10;M37j92a887PeaHanfGjJlvzwYMKZspKq1t6W/NPHy1dvOAtR2EposqrkWxX42eLli3nnZuqIGtKV&#10;8gwgNsw6V/ImRjcriiAbZUQ4IKcsgjV5IyK2/raovOiAbnRxNJmcFB35ynmSKgR4L4Yg3yH65wBS&#10;XbdSXZDcGGXjgOqVFhGUQtO6wBf5tnWtZLyq66Ai0yUH05hXFIG9TmuxmIvZrReuaeXuCuI5V3jC&#10;yYjWouge6kJEwTa+/QvKtNJToDoeSDLFQCQrAhaHkyfa3DTCqcwFUge3Fz38P1j54e7as7bCJEAS&#10;Kww6/vDj+8P9r4ef3xh8EKhzYYa8G4fM2L+lHsmjP8CZePe1N+kfjBjiwNru5VV9ZBLO19Oj0+mU&#10;M4nQMX6n04RSPB52PsR3igxLRsk9updFFXerEIfUMSXVsnTZap07qC3rSn5yPJ3kA/sIwLVNuSrP&#10;wg4mERounqzYr/sdyzVVW5D0NMxJcPKyxVVWIsRr4TEY4IWnE6+w1JpQknYWZw35r//yp3z0C1HO&#10;OgxaycOXjfCKM/3eopOAjKPhR2M9GnZjzgmze4hH6WQ2ccBHPZq1J/MZL2qZqiAkrEStksfRPI/D&#10;uONFSrVc5iTMnhNxZW+cTNCDmMtNpLrNOidZBi3Qn7TB9OVO7V5KGu8/9znr8eu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vxmn1wAAAAkBAAAPAAAAAAAAAAEAIAAAACIAAABkcnMvZG93bnJl&#10;di54bWxQSwECFAAUAAAACACHTuJAnJqXXDcCAABlBAAADgAAAAAAAAABACAAAAAmAQAAZHJzL2Uy&#10;b0RvYy54bWxQSwUGAAAAAAYABgBZAQAAzwUAAAAA&#10;">
                <v:fill on="f" focussize="0,0"/>
                <v:stroke on="f" weight="0.5pt"/>
                <v:imagedata o:title=""/>
                <o:lock v:ext="edit" aspectratio="f"/>
                <v:textbox inset="0mm,0mm,0mm,0mm">
                  <w:txbxContent>
                    <w:p w14:paraId="454691DF">
                      <w:pPr>
                        <w:snapToGrid w:val="0"/>
                        <w:jc w:val="center"/>
                        <w:rPr>
                          <w:sz w:val="15"/>
                          <w:szCs w:val="15"/>
                        </w:rPr>
                      </w:pPr>
                      <w:r>
                        <w:rPr>
                          <w:rFonts w:hint="eastAsia" w:ascii="Arial" w:hAnsi="Arial" w:eastAsia="宋体" w:cs="Arial"/>
                          <w:sz w:val="15"/>
                          <w:szCs w:val="15"/>
                        </w:rPr>
                        <w:t>提交“预-IDE”资料</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509905</wp:posOffset>
                </wp:positionV>
                <wp:extent cx="167005" cy="1375410"/>
                <wp:effectExtent l="0" t="0" r="5080" b="15240"/>
                <wp:wrapNone/>
                <wp:docPr id="9" name="文本框 9"/>
                <wp:cNvGraphicFramePr/>
                <a:graphic xmlns:a="http://schemas.openxmlformats.org/drawingml/2006/main">
                  <a:graphicData uri="http://schemas.microsoft.com/office/word/2010/wordprocessingShape">
                    <wps:wsp>
                      <wps:cNvSpPr txBox="1"/>
                      <wps:spPr>
                        <a:xfrm>
                          <a:off x="0" y="0"/>
                          <a:ext cx="166977" cy="1375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5DDD32">
                            <w:pPr>
                              <w:jc w:val="center"/>
                              <w:rPr>
                                <w:b/>
                                <w:szCs w:val="21"/>
                              </w:rPr>
                            </w:pPr>
                            <w:r>
                              <w:rPr>
                                <w:rFonts w:hint="eastAsia" w:ascii="Arial" w:hAnsi="Arial" w:eastAsia="宋体" w:cs="Arial"/>
                                <w:b/>
                                <w:szCs w:val="21"/>
                              </w:rPr>
                              <w:t>器械已知量</w:t>
                            </w:r>
                          </w:p>
                        </w:txbxContent>
                      </wps:txbx>
                      <wps:bodyPr rot="0" spcFirstLastPara="0" vertOverflow="overflow" horzOverflow="overflow" vert="vert270"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35pt;margin-top:40.15pt;height:108.3pt;width:13.15pt;z-index:251661312;mso-width-relative:page;mso-height-relative:page;" filled="f" stroked="f" coordsize="21600,21600" o:gfxdata="UEsDBAoAAAAAAIdO4kAAAAAAAAAAAAAAAAAEAAAAZHJzL1BLAwQUAAAACACHTuJANwqM+tcAAAAI&#10;AQAADwAAAGRycy9kb3ducmV2LnhtbE2PT0vEMBTE74LfITzBS3GTdrFua9MFhQUFL67CXrPNsynb&#10;vJQm+8dv7/Okx2GGmd8064sfxQnnOATSkC8UCKQu2IF6DZ8fm7sViJgMWTMGQg3fGGHdXl81prbh&#10;TO942qZecAnF2mhwKU21lLFz6E1chAmJva8we5NYzr20szlzuR9loVQpvRmIF5yZ8Nlhd9gevYbM&#10;2QxfXrNd+YRB5btNPAzTm9a3N7l6BJHwkv7C8IvP6NAy0z4cyUYxalgWD5zUsFJLEOzfV3xtr6Go&#10;ygpk28j/B9ofUEsDBBQAAAAIAIdO4kBx6i30OgIAAGcEAAAOAAAAZHJzL2Uyb0RvYy54bWytVMGO&#10;2jAQvVfqP1i+lwAroCDCii6iqoS6K9GqZ+PYJJLtcW1DQj+g/YOeeum938V3dOwQttr2sIdenLFn&#10;5nnem3Hmt41W5Cicr8DkdNDrUyIMh6Iy+5x+/LB+9ZoSH5gpmAIjcnoSnt4uXr6Y13YmhlCCKoQj&#10;CGL8rLY5LUOwsyzzvBSa+R5YYdApwWkWcOv2WeFYjehaZcN+f5zV4ArrgAvv8XTVOukF0T0HEKSs&#10;uFgBP2hhQovqhGIBKfmysp4uUrVSCh7upfQiEJVTZBrSipegvYtrtpiz2d4xW1b8UgJ7TglPOGlW&#10;Gbz0CrVigZGDq/6C0hV34EGGHgedtUSSIshi0H+izbZkViQuKLW3V9H9/4Pl748PjlRFTqeUGKax&#10;4efv384/fp1/fiXTKE9t/QyjthbjQvMGGhya7tzjYWTdSKfjF/kQ9KO4p6u4ogmEx6TxeDqZUMLR&#10;NbiZjEaTcYTJHrOt8+GtAE2ikVOHzUuasuPGhza0C4mXGVhXSqUGKkPqnI5vRv2UcPUguDIxVqRR&#10;uMBERm3l0QrNrrnQ3EFxQpYO2jHxlq8rLGXDfHhgDucCieHLCfe4SAV4JVwsSkpwX/51HuNzGtfh&#10;BNNrHLWc+s8H5gQl6p3BXuJx6AzXGbvOMAd9Bzi9A3yWlicTE1xQnSkd6E/4ppbxInQxw7GYnIbO&#10;vAvtwOOb5GK5TEE4fZaFjdlaHqFbPZeHALJKUkdlWjmwRXGD85eadXkrccD/3Keox//D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3Coz61wAAAAgBAAAPAAAAAAAAAAEAIAAAACIAAABkcnMvZG93&#10;bnJldi54bWxQSwECFAAUAAAACACHTuJAceot9DoCAABnBAAADgAAAAAAAAABACAAAAAmAQAAZHJz&#10;L2Uyb0RvYy54bWxQSwUGAAAAAAYABgBZAQAA0gUAAAAA&#10;">
                <v:fill on="f" focussize="0,0"/>
                <v:stroke on="f" weight="0.5pt"/>
                <v:imagedata o:title=""/>
                <o:lock v:ext="edit" aspectratio="f"/>
                <v:textbox inset="0mm,0mm,0mm,0mm" style="layout-flow:vertical;mso-layout-flow-alt:bottom-to-top;">
                  <w:txbxContent>
                    <w:p w14:paraId="005DDD32">
                      <w:pPr>
                        <w:jc w:val="center"/>
                        <w:rPr>
                          <w:b/>
                          <w:szCs w:val="21"/>
                        </w:rPr>
                      </w:pPr>
                      <w:r>
                        <w:rPr>
                          <w:rFonts w:hint="eastAsia" w:ascii="Arial" w:hAnsi="Arial" w:eastAsia="宋体" w:cs="Arial"/>
                          <w:b/>
                          <w:szCs w:val="21"/>
                        </w:rPr>
                        <w:t>器械已知量</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2474595</wp:posOffset>
                </wp:positionH>
                <wp:positionV relativeFrom="paragraph">
                  <wp:posOffset>2036445</wp:posOffset>
                </wp:positionV>
                <wp:extent cx="365760" cy="207010"/>
                <wp:effectExtent l="0" t="0" r="15240" b="3175"/>
                <wp:wrapNone/>
                <wp:docPr id="8" name="文本框 8"/>
                <wp:cNvGraphicFramePr/>
                <a:graphic xmlns:a="http://schemas.openxmlformats.org/drawingml/2006/main">
                  <a:graphicData uri="http://schemas.microsoft.com/office/word/2010/wordprocessingShape">
                    <wps:wsp>
                      <wps:cNvSpPr txBox="1"/>
                      <wps:spPr>
                        <a:xfrm>
                          <a:off x="0" y="0"/>
                          <a:ext cx="365760" cy="206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82234">
                            <w:pPr>
                              <w:rPr>
                                <w:b/>
                                <w:szCs w:val="21"/>
                              </w:rPr>
                            </w:pPr>
                            <w:r>
                              <w:rPr>
                                <w:rFonts w:ascii="Arial" w:hAnsi="Arial" w:eastAsia="宋体" w:cs="Arial"/>
                                <w:b/>
                                <w:szCs w:val="21"/>
                              </w:rPr>
                              <w:t>时间</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4.85pt;margin-top:160.35pt;height:16.3pt;width:28.8pt;z-index:251660288;mso-width-relative:page;mso-height-relative:page;" filled="f" stroked="f" coordsize="21600,21600" o:gfxdata="UEsDBAoAAAAAAIdO4kAAAAAAAAAAAAAAAAAEAAAAZHJzL1BLAwQUAAAACACHTuJAHhX0+toAAAAL&#10;AQAADwAAAGRycy9kb3ducmV2LnhtbE2PzU7DMBCE70i8g7VI3KidptAS4vTAzw0KbUGCmxObJMJe&#10;R7aTlrdnOcFtdmc0+225PjrLJhNi71FCNhPADDZe99hKeN0/XKyAxaRQK+vRSPg2EdbV6UmpCu0P&#10;uDXTLrWMSjAWSkKX0lBwHpvOOBVnfjBI3qcPTiUaQ8t1UAcqd5bPhbjiTvVIFzo1mNvONF+70Umw&#10;7zE81iJ9THftU3p55uPbfbaR8vwsEzfAkjmmvzD84hM6VMRU+xF1ZFZCvrpeUpTEXJCgxGKxzIHV&#10;tLnMc+BVyf//UP0AUEsDBBQAAAAIAIdO4kDfROoWNwIAAGMEAAAOAAAAZHJzL2Uyb0RvYy54bWyt&#10;VMGO0zAQvSPxD5bvNGnLdldV01XZqgipYlcqiLPr2E0k22Nst0n5APgDTly48139DsZO00ULhz1w&#10;ccae8Zt5b8aZ3bZakYNwvgZT0OEgp0QYDmVtdgX9+GH16oYSH5gpmQIjCnoUnt7OX76YNXYqRlCB&#10;KoUjCGL8tLEFrUKw0yzzvBKa+QFYYdApwWkWcOt2WelYg+haZaM8n2QNuNI64MJ7PF12TnpGdM8B&#10;BClrLpbA91qY0KE6oVhASr6qrafzVK2Ugod7Kb0IRBUUmYa0YhK0t3HN5jM23Tlmq5qfS2DPKeEJ&#10;J81qg0kvUEsWGNm7+i8oXXMHHmQYcNBZRyQpgiyG+RNtNhWzInFBqb29iO7/Hyx/f3hwpC4Lim03&#10;TGPDT9+/nX78Ov38Sm6iPI31U4zaWIwL7RtocWj6c4+HkXUrnY5f5EPQj+IeL+KKNhCOh+PJ1fUE&#10;PRxdo3xyPX4dUbLHy9b58FaAJtEoqMPeJUnZYe1DF9qHxFwGVrVSqX/KkKagk/FVni5cPAiuTIwV&#10;aRLOMJFQV3i0Qrttzyy3UB6RpINuSrzlqxpLWTMfHpjDscDq8eGEe1ykAkwJZ4uSCtyXf53HeOwW&#10;eilpcMwK6j/vmROUqHcG+4iQoTdcb2x7w+z1HeDkDvFJWp5MvOCC6k3pQH/C97SIWdDFDMdcBQ29&#10;eRe6Ycf3yMVikYJw8iwLa7OxPEJ3Yi72AWSddI6ydFpgf+IGZy916vxO4nD/uU9Rj/+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FfT62gAAAAsBAAAPAAAAAAAAAAEAIAAAACIAAABkcnMvZG93&#10;bnJldi54bWxQSwECFAAUAAAACACHTuJA30TqFjcCAABjBAAADgAAAAAAAAABACAAAAApAQAAZHJz&#10;L2Uyb0RvYy54bWxQSwUGAAAAAAYABgBZAQAA0gUAAAAA&#10;">
                <v:fill on="f" focussize="0,0"/>
                <v:stroke on="f" weight="0.5pt"/>
                <v:imagedata o:title=""/>
                <o:lock v:ext="edit" aspectratio="f"/>
                <v:textbox inset="0mm,0mm,0mm,0mm">
                  <w:txbxContent>
                    <w:p w14:paraId="60382234">
                      <w:pPr>
                        <w:rPr>
                          <w:b/>
                          <w:szCs w:val="21"/>
                        </w:rPr>
                      </w:pPr>
                      <w:r>
                        <w:rPr>
                          <w:rFonts w:ascii="Arial" w:hAnsi="Arial" w:eastAsia="宋体" w:cs="Arial"/>
                          <w:b/>
                          <w:szCs w:val="21"/>
                        </w:rPr>
                        <w:t>时间</w:t>
                      </w:r>
                    </w:p>
                  </w:txbxContent>
                </v:textbox>
              </v:shape>
            </w:pict>
          </mc:Fallback>
        </mc:AlternateContent>
      </w:r>
      <w:r>
        <w:drawing>
          <wp:inline distT="0" distB="0" distL="0" distR="0">
            <wp:extent cx="5057140" cy="24282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57143" cy="2428571"/>
                    </a:xfrm>
                    <a:prstGeom prst="rect">
                      <a:avLst/>
                    </a:prstGeom>
                  </pic:spPr>
                </pic:pic>
              </a:graphicData>
            </a:graphic>
          </wp:inline>
        </w:drawing>
      </w:r>
    </w:p>
    <w:p w14:paraId="1B14597D">
      <w:pPr>
        <w:snapToGrid w:val="0"/>
        <w:spacing w:after="156" w:afterLines="50" w:line="300" w:lineRule="auto"/>
        <w:rPr>
          <w:rFonts w:ascii="Arial" w:hAnsi="Arial" w:eastAsia="宋体" w:cs="Arial"/>
          <w:sz w:val="24"/>
          <w:szCs w:val="24"/>
        </w:rPr>
      </w:pPr>
      <w:r>
        <w:rPr>
          <w:rFonts w:ascii="Arial" w:hAnsi="Arial" w:eastAsia="宋体" w:cs="Arial"/>
          <w:sz w:val="24"/>
          <w:szCs w:val="24"/>
        </w:rPr>
        <w:t>图1.新器械沟通典型方法图解说明</w:t>
      </w:r>
    </w:p>
    <w:p w14:paraId="41C5B6E1">
      <w:pPr>
        <w:snapToGrid w:val="0"/>
        <w:spacing w:after="156" w:afterLines="50" w:line="300" w:lineRule="auto"/>
        <w:rPr>
          <w:rFonts w:ascii="Arial" w:hAnsi="Arial" w:eastAsia="宋体" w:cs="Arial"/>
          <w:sz w:val="24"/>
          <w:szCs w:val="24"/>
        </w:rPr>
      </w:pPr>
      <w:r>
        <w:rPr>
          <w:rFonts w:ascii="Arial" w:hAnsi="Arial" w:eastAsia="宋体" w:cs="Arial"/>
          <w:sz w:val="24"/>
          <w:szCs w:val="24"/>
        </w:rPr>
        <w:t>竖箭头代表申办方和本机构潜在沟通的典型时间安排</w:t>
      </w:r>
      <w:r>
        <w:rPr>
          <w:rFonts w:hint="eastAsia" w:ascii="Arial" w:hAnsi="Arial" w:eastAsia="宋体" w:cs="Arial"/>
          <w:sz w:val="24"/>
          <w:szCs w:val="24"/>
        </w:rPr>
        <w:t>，</w:t>
      </w:r>
      <w:r>
        <w:rPr>
          <w:rFonts w:ascii="Arial" w:hAnsi="Arial" w:eastAsia="宋体" w:cs="Arial"/>
          <w:sz w:val="24"/>
          <w:szCs w:val="24"/>
        </w:rPr>
        <w:t>这些安排并非适用于每种器械。在器械开发全过程中也鼓励进行非正式沟通。</w:t>
      </w:r>
    </w:p>
    <w:p w14:paraId="0201FE16">
      <w:pPr>
        <w:snapToGrid w:val="0"/>
        <w:spacing w:after="156" w:afterLines="50" w:line="300" w:lineRule="auto"/>
        <w:rPr>
          <w:rFonts w:ascii="Arial" w:hAnsi="Arial" w:eastAsia="宋体" w:cs="Arial"/>
          <w:sz w:val="24"/>
          <w:szCs w:val="24"/>
        </w:rPr>
      </w:pPr>
      <w:r>
        <w:rPr>
          <w:rFonts w:ascii="Arial" w:hAnsi="Arial" w:eastAsia="宋体" w:cs="Arial"/>
          <w:sz w:val="24"/>
          <w:szCs w:val="24"/>
        </w:rPr>
        <w:t>由于认识到本机构不能做出有用的结论，除非会前申办方做出了数量合理的计划和投入，因此，FDAMA要求申办方在申请时向本机构提交一套正式资料。根据FDAMA的规定，要求举行会议的申办方应在正式资料中包括：（1）对器械的详细描述，（2）对建议使用条件的详细描述，（3）确定有效性是否存在合理保证的建议计划，（4）器械预期性能信息（</w:t>
      </w:r>
      <w:r>
        <w:rPr>
          <w:rFonts w:hint="eastAsia" w:ascii="Arial" w:hAnsi="Arial" w:eastAsia="宋体" w:cs="Arial"/>
          <w:sz w:val="24"/>
          <w:szCs w:val="24"/>
        </w:rPr>
        <w:t>如适用</w:t>
      </w:r>
      <w:r>
        <w:rPr>
          <w:rFonts w:ascii="Arial" w:hAnsi="Arial" w:eastAsia="宋体" w:cs="Arial"/>
          <w:sz w:val="24"/>
          <w:szCs w:val="24"/>
        </w:rPr>
        <w:t>），（5）详细的临床方案（用于协议会议）。</w:t>
      </w:r>
    </w:p>
    <w:p w14:paraId="6FA50858">
      <w:pPr>
        <w:snapToGrid w:val="0"/>
        <w:spacing w:after="156" w:afterLines="50" w:line="300" w:lineRule="auto"/>
        <w:rPr>
          <w:rFonts w:ascii="Arial" w:hAnsi="Arial" w:eastAsia="宋体" w:cs="Arial"/>
          <w:sz w:val="24"/>
          <w:szCs w:val="24"/>
        </w:rPr>
      </w:pPr>
      <w:r>
        <w:rPr>
          <w:rFonts w:ascii="Arial" w:hAnsi="Arial" w:eastAsia="宋体" w:cs="Arial"/>
          <w:sz w:val="24"/>
          <w:szCs w:val="24"/>
        </w:rPr>
        <w:t>经过初步讨论并制定了良好的计划后，应在一个会期里完成决定会议和协议会议。虽然在会议过程中</w:t>
      </w:r>
      <w:r>
        <w:rPr>
          <w:rFonts w:hint="eastAsia" w:ascii="Arial" w:hAnsi="Arial" w:eastAsia="宋体" w:cs="Arial"/>
          <w:sz w:val="24"/>
          <w:szCs w:val="24"/>
        </w:rPr>
        <w:t>准备充分</w:t>
      </w:r>
      <w:r>
        <w:rPr>
          <w:rFonts w:ascii="Arial" w:hAnsi="Arial" w:eastAsia="宋体" w:cs="Arial"/>
          <w:sz w:val="24"/>
          <w:szCs w:val="24"/>
        </w:rPr>
        <w:t>的与会者通常希望就实质性问题达成共识，但在讨论过程中有可能会出现一些新问题。因此，申请公司选派有权代表公司讲话的人员出席会议就显得至关重要，只有这样，才有可能就讨论中出现的新问题达成协议。个别情况下，会议结束时，可能会遗留一些问题得不到解决。出现这种例外情形时，申办方可要求将这些问题予以搁置，暂停开会。达成一致意见后，将来可在双方均可接受的某个时间再召开早期协作会议。这样，在形成有约束力的决定或协议前，FDA工作人员有可能</w:t>
      </w:r>
      <w:r>
        <w:rPr>
          <w:rFonts w:hint="eastAsia" w:ascii="Arial" w:hAnsi="Arial" w:eastAsia="宋体" w:cs="Arial"/>
          <w:sz w:val="24"/>
          <w:szCs w:val="24"/>
        </w:rPr>
        <w:t>会</w:t>
      </w:r>
      <w:r>
        <w:rPr>
          <w:rFonts w:ascii="Arial" w:hAnsi="Arial" w:eastAsia="宋体" w:cs="Arial"/>
          <w:sz w:val="24"/>
          <w:szCs w:val="24"/>
        </w:rPr>
        <w:t>对其它相关信息加以考虑。</w:t>
      </w:r>
    </w:p>
    <w:p w14:paraId="0634DF16">
      <w:pPr>
        <w:snapToGrid w:val="0"/>
        <w:spacing w:after="156" w:afterLines="50" w:line="300" w:lineRule="auto"/>
        <w:rPr>
          <w:rFonts w:ascii="Arial" w:hAnsi="Arial" w:eastAsia="宋体" w:cs="Arial"/>
          <w:sz w:val="24"/>
          <w:szCs w:val="24"/>
        </w:rPr>
      </w:pPr>
      <w:r>
        <w:rPr>
          <w:rFonts w:ascii="Arial" w:hAnsi="Arial" w:eastAsia="宋体" w:cs="Arial"/>
          <w:sz w:val="24"/>
          <w:szCs w:val="24"/>
        </w:rPr>
        <w:t>FDAMA明确规定这些会议产生的决定或协议是有约束力的。就法案§513（a）（3）（D）部分阐述的决定会议来说，关于有效科学证据的决定对本机构是有约束力的，除非FDA断定遵循决定会与公共卫生利益产生冲突，否则不得变更。此外，本机构将对临床数据对确立器械的有效性是否必要做出决定。在决定应进行哪些类型临床研究时（若有的话），经与申办方协商，本机构将负责斟酌用于评价器械有效性且有合理成功可能性的最小负担手段原则。就法案§513（g）（7） 部分阐述的协议会议来说，协议对本机构是有约束力的。FDAMA规定，只有在对确定器械的安全性或有效性极其重要的重大科学问题得到确认时且只有在申办方有机会与FDA会面讨论所涉科学问题后，本机构才有可能对协议进行变更。我们断定，协议或决定对申办方的约束特性将不会明显改变协议或决定的基础（如预期用途和适应症、产品设计、调查计划、临床研究方案等）。如果这些基础发生了明显变化，那么，这些协议或决定将会被废除，本机构的协议或决定将不再有效。</w:t>
      </w:r>
    </w:p>
    <w:p w14:paraId="0BB490FF">
      <w:pPr>
        <w:snapToGrid w:val="0"/>
        <w:spacing w:after="156" w:afterLines="50" w:line="300" w:lineRule="auto"/>
        <w:rPr>
          <w:rFonts w:hint="eastAsia" w:ascii="Arial" w:hAnsi="Arial" w:eastAsia="宋体" w:cs="Arial"/>
          <w:sz w:val="24"/>
          <w:szCs w:val="24"/>
        </w:rPr>
      </w:pPr>
      <w:r>
        <w:rPr>
          <w:rFonts w:ascii="Arial" w:hAnsi="Arial" w:eastAsia="宋体" w:cs="Arial"/>
          <w:sz w:val="24"/>
          <w:szCs w:val="24"/>
        </w:rPr>
        <w:t>最后应注意的是，这两个新的法律规定</w:t>
      </w:r>
      <w:r>
        <w:rPr>
          <w:rFonts w:hint="eastAsia" w:ascii="Arial" w:hAnsi="Arial" w:eastAsia="宋体" w:cs="Arial"/>
          <w:sz w:val="24"/>
          <w:szCs w:val="24"/>
        </w:rPr>
        <w:t>不会说明</w:t>
      </w:r>
      <w:r>
        <w:rPr>
          <w:rFonts w:ascii="Arial" w:hAnsi="Arial" w:eastAsia="宋体" w:cs="Arial"/>
          <w:sz w:val="24"/>
          <w:szCs w:val="24"/>
        </w:rPr>
        <w:t>协议或决定范围之外的其它预提交会议或主题。也就是说，这些会议并不打算承担</w:t>
      </w:r>
      <w:r>
        <w:rPr>
          <w:rFonts w:hint="eastAsia" w:ascii="Arial" w:hAnsi="Arial" w:eastAsia="宋体" w:cs="Arial"/>
          <w:sz w:val="24"/>
          <w:szCs w:val="24"/>
        </w:rPr>
        <w:t>预</w:t>
      </w:r>
      <w:r>
        <w:rPr>
          <w:rFonts w:ascii="Arial" w:hAnsi="Arial" w:eastAsia="宋体" w:cs="Arial"/>
          <w:sz w:val="24"/>
          <w:szCs w:val="24"/>
        </w:rPr>
        <w:t>-PMA的职能，讨论</w:t>
      </w:r>
      <w:r>
        <w:rPr>
          <w:rFonts w:hint="eastAsia" w:ascii="Arial" w:hAnsi="Arial" w:eastAsia="宋体" w:cs="Arial"/>
          <w:sz w:val="24"/>
          <w:szCs w:val="24"/>
        </w:rPr>
        <w:t>申请</w:t>
      </w:r>
      <w:r>
        <w:rPr>
          <w:rFonts w:ascii="Arial" w:hAnsi="Arial" w:eastAsia="宋体" w:cs="Arial"/>
          <w:sz w:val="24"/>
          <w:szCs w:val="24"/>
        </w:rPr>
        <w:t>格式或</w:t>
      </w:r>
      <w:r>
        <w:rPr>
          <w:rFonts w:hint="eastAsia" w:ascii="Arial" w:hAnsi="Arial" w:eastAsia="宋体" w:cs="Arial"/>
          <w:sz w:val="24"/>
          <w:szCs w:val="24"/>
        </w:rPr>
        <w:t>已由潜在</w:t>
      </w:r>
      <w:r>
        <w:rPr>
          <w:rFonts w:ascii="Arial" w:hAnsi="Arial" w:eastAsia="宋体" w:cs="Arial"/>
          <w:sz w:val="24"/>
          <w:szCs w:val="24"/>
        </w:rPr>
        <w:t>PMA</w:t>
      </w:r>
      <w:r>
        <w:rPr>
          <w:rFonts w:hint="eastAsia" w:ascii="Arial" w:hAnsi="Arial" w:eastAsia="宋体" w:cs="Arial"/>
          <w:sz w:val="24"/>
          <w:szCs w:val="24"/>
        </w:rPr>
        <w:t>申办方制作的特殊临床数据集的优势。</w:t>
      </w:r>
      <w:r>
        <w:rPr>
          <w:rFonts w:ascii="Arial" w:hAnsi="Arial" w:eastAsia="宋体" w:cs="Arial"/>
          <w:sz w:val="24"/>
          <w:szCs w:val="24"/>
        </w:rPr>
        <w:t>应继续举行</w:t>
      </w:r>
      <w:r>
        <w:rPr>
          <w:rFonts w:hint="eastAsia" w:ascii="Arial" w:hAnsi="Arial" w:eastAsia="宋体" w:cs="Arial"/>
          <w:sz w:val="24"/>
          <w:szCs w:val="24"/>
        </w:rPr>
        <w:t>解决此类问题的预</w:t>
      </w:r>
      <w:r>
        <w:rPr>
          <w:rFonts w:ascii="Arial" w:hAnsi="Arial" w:eastAsia="宋体" w:cs="Arial"/>
          <w:sz w:val="24"/>
          <w:szCs w:val="24"/>
        </w:rPr>
        <w:t>-PMA提交会议。然而，FDA工作人员应向申办方说明该会议</w:t>
      </w:r>
      <w:r>
        <w:rPr>
          <w:rFonts w:hint="eastAsia" w:ascii="Arial" w:hAnsi="Arial" w:eastAsia="宋体" w:cs="Arial"/>
          <w:sz w:val="24"/>
          <w:szCs w:val="24"/>
        </w:rPr>
        <w:t>旨在</w:t>
      </w:r>
      <w:r>
        <w:rPr>
          <w:rFonts w:ascii="Arial" w:hAnsi="Arial" w:eastAsia="宋体" w:cs="Arial"/>
          <w:sz w:val="24"/>
          <w:szCs w:val="24"/>
        </w:rPr>
        <w:t>帮助指导提交上市前批准申请，但并非FDAMA授权的会议</w:t>
      </w:r>
      <w:r>
        <w:rPr>
          <w:rFonts w:hint="eastAsia" w:ascii="Arial" w:hAnsi="Arial" w:eastAsia="宋体" w:cs="Arial"/>
          <w:sz w:val="24"/>
          <w:szCs w:val="24"/>
        </w:rPr>
        <w:t>，</w:t>
      </w:r>
      <w:r>
        <w:rPr>
          <w:rFonts w:ascii="Arial" w:hAnsi="Arial" w:eastAsia="宋体" w:cs="Arial"/>
          <w:sz w:val="24"/>
          <w:szCs w:val="24"/>
        </w:rPr>
        <w:t>FDAMA授权会议将会形成有约束力的机构承诺。协议/决定会议同样应持续关注手头的相关问题。在会议过程中可能会出现其它主题，如可行性研究的价值或支持标签</w:t>
      </w:r>
      <w:r>
        <w:rPr>
          <w:rFonts w:hint="eastAsia" w:ascii="Arial" w:hAnsi="Arial" w:eastAsia="宋体" w:cs="Arial"/>
          <w:sz w:val="24"/>
          <w:szCs w:val="24"/>
        </w:rPr>
        <w:t>声明</w:t>
      </w:r>
      <w:r>
        <w:rPr>
          <w:rFonts w:ascii="Arial" w:hAnsi="Arial" w:eastAsia="宋体" w:cs="Arial"/>
          <w:sz w:val="24"/>
          <w:szCs w:val="24"/>
        </w:rPr>
        <w:t>所需数据的类型。</w:t>
      </w:r>
      <w:r>
        <w:rPr>
          <w:rFonts w:hint="eastAsia" w:ascii="Arial" w:hAnsi="Arial" w:eastAsia="宋体" w:cs="Arial"/>
          <w:sz w:val="24"/>
          <w:szCs w:val="24"/>
        </w:rPr>
        <w:t>因为此类</w:t>
      </w:r>
      <w:r>
        <w:rPr>
          <w:rFonts w:ascii="Arial" w:hAnsi="Arial" w:eastAsia="宋体" w:cs="Arial"/>
          <w:sz w:val="24"/>
          <w:szCs w:val="24"/>
        </w:rPr>
        <w:t>讨论已超出该类型会议的范围，应将其</w:t>
      </w:r>
      <w:r>
        <w:rPr>
          <w:rFonts w:hint="eastAsia" w:ascii="Arial" w:hAnsi="Arial" w:eastAsia="宋体" w:cs="Arial"/>
          <w:sz w:val="24"/>
          <w:szCs w:val="24"/>
        </w:rPr>
        <w:t>留在</w:t>
      </w:r>
      <w:r>
        <w:rPr>
          <w:rFonts w:ascii="Arial" w:hAnsi="Arial" w:eastAsia="宋体" w:cs="Arial"/>
          <w:sz w:val="24"/>
          <w:szCs w:val="24"/>
        </w:rPr>
        <w:t>非正式会议讨论。</w:t>
      </w:r>
    </w:p>
    <w:p w14:paraId="1F3AEFC0">
      <w:pPr>
        <w:snapToGrid w:val="0"/>
        <w:spacing w:after="156" w:afterLines="50" w:line="300" w:lineRule="auto"/>
        <w:rPr>
          <w:rFonts w:ascii="Arial" w:hAnsi="Arial" w:eastAsia="宋体" w:cs="Arial"/>
          <w:sz w:val="24"/>
          <w:szCs w:val="24"/>
        </w:rPr>
      </w:pPr>
    </w:p>
    <w:p w14:paraId="01FAC5FA">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决定会议</w:t>
      </w:r>
    </w:p>
    <w:p w14:paraId="3E69B087">
      <w:pPr>
        <w:snapToGrid w:val="0"/>
        <w:spacing w:after="156" w:afterLines="50" w:line="300" w:lineRule="auto"/>
        <w:rPr>
          <w:rFonts w:ascii="Arial" w:hAnsi="Arial" w:eastAsia="宋体" w:cs="Arial"/>
          <w:b/>
          <w:sz w:val="24"/>
          <w:szCs w:val="24"/>
        </w:rPr>
      </w:pPr>
      <w:r>
        <w:rPr>
          <w:rFonts w:ascii="Arial" w:hAnsi="Arial" w:eastAsia="宋体" w:cs="Arial"/>
          <w:b/>
          <w:sz w:val="24"/>
          <w:szCs w:val="24"/>
        </w:rPr>
        <w:t>申办方</w:t>
      </w:r>
      <w:r>
        <w:rPr>
          <w:rFonts w:hint="eastAsia" w:ascii="Arial" w:hAnsi="Arial" w:eastAsia="宋体" w:cs="Arial"/>
          <w:b/>
          <w:sz w:val="24"/>
          <w:szCs w:val="24"/>
        </w:rPr>
        <w:t>活动</w:t>
      </w:r>
    </w:p>
    <w:p w14:paraId="435C81AD">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会议准备</w:t>
      </w:r>
    </w:p>
    <w:p w14:paraId="2764E188">
      <w:pPr>
        <w:pStyle w:val="14"/>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与相关科室联系，要求</w:t>
      </w:r>
      <w:r>
        <w:rPr>
          <w:rFonts w:hint="eastAsia" w:ascii="Arial" w:hAnsi="Arial" w:eastAsia="宋体" w:cs="Arial"/>
          <w:sz w:val="24"/>
          <w:szCs w:val="24"/>
        </w:rPr>
        <w:t>对</w:t>
      </w:r>
      <w:r>
        <w:rPr>
          <w:rFonts w:ascii="Arial" w:hAnsi="Arial" w:eastAsia="宋体" w:cs="Arial"/>
          <w:sz w:val="24"/>
          <w:szCs w:val="24"/>
        </w:rPr>
        <w:t>器械问题进行一般讨论。</w:t>
      </w:r>
    </w:p>
    <w:p w14:paraId="5157CFE9">
      <w:pPr>
        <w:pStyle w:val="14"/>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决定会议</w:t>
      </w:r>
      <w:r>
        <w:rPr>
          <w:rFonts w:hint="eastAsia" w:ascii="Arial" w:hAnsi="Arial" w:eastAsia="宋体" w:cs="Arial"/>
          <w:sz w:val="24"/>
          <w:szCs w:val="24"/>
        </w:rPr>
        <w:t>要求</w:t>
      </w:r>
      <w:r>
        <w:rPr>
          <w:rFonts w:ascii="Arial" w:hAnsi="Arial" w:eastAsia="宋体" w:cs="Arial"/>
          <w:sz w:val="24"/>
          <w:szCs w:val="24"/>
        </w:rPr>
        <w:t>应：a）表达清晰，b）一式三份提交至文档邮件中心（HFZ-401）。本机构希望提交的申请文件约10-20页并包含下列项目：</w:t>
      </w:r>
    </w:p>
    <w:p w14:paraId="074CDEBD">
      <w:pPr>
        <w:pStyle w:val="14"/>
        <w:numPr>
          <w:ilvl w:val="0"/>
          <w:numId w:val="2"/>
        </w:numPr>
        <w:snapToGrid w:val="0"/>
        <w:spacing w:line="300" w:lineRule="auto"/>
        <w:ind w:left="630" w:leftChars="300" w:firstLineChars="0"/>
        <w:rPr>
          <w:rFonts w:ascii="Arial" w:hAnsi="Arial" w:eastAsia="宋体" w:cs="Arial"/>
          <w:sz w:val="24"/>
          <w:szCs w:val="24"/>
        </w:rPr>
      </w:pPr>
      <w:r>
        <w:rPr>
          <w:rFonts w:ascii="Arial" w:hAnsi="Arial" w:eastAsia="宋体" w:cs="Arial"/>
          <w:sz w:val="24"/>
          <w:szCs w:val="24"/>
        </w:rPr>
        <w:t>对器械的描述，对涉及新技术或提出新的临床问题的要素应突出显示。该描述至少应包括：</w:t>
      </w:r>
    </w:p>
    <w:p w14:paraId="775F7328">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器械的一般描述</w:t>
      </w:r>
    </w:p>
    <w:p w14:paraId="0CE564D5">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工程图纸</w:t>
      </w:r>
    </w:p>
    <w:p w14:paraId="06BF6DCD">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器械组成/关键组件/材料</w:t>
      </w:r>
    </w:p>
    <w:p w14:paraId="4DEE2818">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作用机制/工作原理</w:t>
      </w:r>
    </w:p>
    <w:p w14:paraId="5185CC92">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器械</w:t>
      </w:r>
      <w:r>
        <w:rPr>
          <w:rFonts w:hint="eastAsia" w:ascii="Arial" w:hAnsi="Arial" w:eastAsia="宋体" w:cs="Arial"/>
          <w:sz w:val="24"/>
          <w:szCs w:val="24"/>
        </w:rPr>
        <w:t>质量标准</w:t>
      </w:r>
    </w:p>
    <w:p w14:paraId="57CE5A9A">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潜在故障模式分析</w:t>
      </w:r>
    </w:p>
    <w:p w14:paraId="22C1E8CF">
      <w:pPr>
        <w:pStyle w:val="14"/>
        <w:numPr>
          <w:ilvl w:val="0"/>
          <w:numId w:val="2"/>
        </w:numPr>
        <w:snapToGrid w:val="0"/>
        <w:spacing w:line="300" w:lineRule="auto"/>
        <w:ind w:left="630" w:leftChars="300" w:firstLineChars="0"/>
        <w:rPr>
          <w:rFonts w:ascii="Arial" w:hAnsi="Arial" w:eastAsia="宋体" w:cs="Arial"/>
          <w:sz w:val="24"/>
          <w:szCs w:val="24"/>
        </w:rPr>
      </w:pPr>
      <w:r>
        <w:rPr>
          <w:rFonts w:ascii="Arial" w:hAnsi="Arial" w:eastAsia="宋体" w:cs="Arial"/>
          <w:sz w:val="24"/>
          <w:szCs w:val="24"/>
        </w:rPr>
        <w:t>建议使用条件概述，包括：</w:t>
      </w:r>
    </w:p>
    <w:p w14:paraId="6F097F0B">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建议预期用途和适应症</w:t>
      </w:r>
    </w:p>
    <w:p w14:paraId="49AB8A81">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指定使用人群和使用环境（如适用）</w:t>
      </w:r>
    </w:p>
    <w:p w14:paraId="11CD64D3">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产品使用说明</w:t>
      </w:r>
      <w:r>
        <w:rPr>
          <w:rFonts w:hint="eastAsia" w:ascii="Arial" w:hAnsi="Arial" w:eastAsia="宋体" w:cs="Arial"/>
          <w:sz w:val="24"/>
          <w:szCs w:val="24"/>
        </w:rPr>
        <w:t>书</w:t>
      </w:r>
      <w:r>
        <w:rPr>
          <w:rFonts w:ascii="Arial" w:hAnsi="Arial" w:eastAsia="宋体" w:cs="Arial"/>
          <w:sz w:val="24"/>
          <w:szCs w:val="24"/>
        </w:rPr>
        <w:t>概要</w:t>
      </w:r>
    </w:p>
    <w:p w14:paraId="3D972365">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所有建议警告信息、注意事项、禁忌症、限制条件或培训要求（如已知）</w:t>
      </w:r>
    </w:p>
    <w:p w14:paraId="7F527227">
      <w:pPr>
        <w:pStyle w:val="14"/>
        <w:numPr>
          <w:ilvl w:val="0"/>
          <w:numId w:val="2"/>
        </w:numPr>
        <w:snapToGrid w:val="0"/>
        <w:spacing w:line="300" w:lineRule="auto"/>
        <w:ind w:left="630" w:leftChars="300" w:firstLineChars="0"/>
        <w:rPr>
          <w:rFonts w:ascii="Arial" w:hAnsi="Arial" w:eastAsia="宋体" w:cs="Arial"/>
          <w:sz w:val="24"/>
          <w:szCs w:val="24"/>
        </w:rPr>
      </w:pPr>
      <w:r>
        <w:rPr>
          <w:rFonts w:ascii="Arial" w:hAnsi="Arial" w:eastAsia="宋体" w:cs="Arial"/>
          <w:sz w:val="24"/>
          <w:szCs w:val="24"/>
        </w:rPr>
        <w:t>产品临床评价建议计划（如需要），包括：</w:t>
      </w:r>
    </w:p>
    <w:p w14:paraId="6D28F704">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风险分析概要</w:t>
      </w:r>
    </w:p>
    <w:p w14:paraId="19AE8128">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主要终点/目标/及其测量方法</w:t>
      </w:r>
    </w:p>
    <w:p w14:paraId="42023305">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次要终点/目标/及其测量方法</w:t>
      </w:r>
    </w:p>
    <w:p w14:paraId="16039FA2">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综合研究的成功/失败标准与具体的主要和次要终点</w:t>
      </w:r>
    </w:p>
    <w:p w14:paraId="0B4E02E2">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研究设计－有对照/无对照、前瞻性/回顾性、随机/非随机与研究设计的理由</w:t>
      </w:r>
    </w:p>
    <w:p w14:paraId="3D22C774">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对照类型（历史性、并行性、</w:t>
      </w:r>
      <w:r>
        <w:rPr>
          <w:rFonts w:hint="eastAsia" w:ascii="Arial" w:hAnsi="Arial" w:eastAsia="宋体" w:cs="Arial"/>
          <w:sz w:val="24"/>
          <w:szCs w:val="24"/>
        </w:rPr>
        <w:t>活性</w:t>
      </w:r>
      <w:r>
        <w:rPr>
          <w:rFonts w:ascii="Arial" w:hAnsi="Arial" w:eastAsia="宋体" w:cs="Arial"/>
          <w:sz w:val="24"/>
          <w:szCs w:val="24"/>
        </w:rPr>
        <w:t>对照、无对照等）、对照</w:t>
      </w:r>
      <w:r>
        <w:rPr>
          <w:rFonts w:hint="eastAsia" w:ascii="Arial" w:hAnsi="Arial" w:eastAsia="宋体" w:cs="Arial"/>
          <w:sz w:val="24"/>
          <w:szCs w:val="24"/>
        </w:rPr>
        <w:t>标识</w:t>
      </w:r>
      <w:r>
        <w:rPr>
          <w:rFonts w:ascii="Arial" w:hAnsi="Arial" w:eastAsia="宋体" w:cs="Arial"/>
          <w:sz w:val="24"/>
          <w:szCs w:val="24"/>
        </w:rPr>
        <w:t>、对照的依据或理由</w:t>
      </w:r>
    </w:p>
    <w:p w14:paraId="20E766FD">
      <w:pPr>
        <w:pStyle w:val="14"/>
        <w:numPr>
          <w:ilvl w:val="0"/>
          <w:numId w:val="2"/>
        </w:numPr>
        <w:snapToGrid w:val="0"/>
        <w:spacing w:line="300" w:lineRule="auto"/>
        <w:ind w:left="630" w:leftChars="300" w:firstLineChars="0"/>
        <w:rPr>
          <w:rFonts w:ascii="Arial" w:hAnsi="Arial" w:eastAsia="宋体" w:cs="Arial"/>
          <w:sz w:val="24"/>
          <w:szCs w:val="24"/>
        </w:rPr>
      </w:pPr>
      <w:r>
        <w:rPr>
          <w:rFonts w:ascii="Arial" w:hAnsi="Arial" w:eastAsia="宋体" w:cs="Arial"/>
          <w:sz w:val="24"/>
          <w:szCs w:val="24"/>
        </w:rPr>
        <w:t>器械的相关性能信息，尤其器械涉及新技术或提出新的临床问题时。这些信息可包括：</w:t>
      </w:r>
    </w:p>
    <w:p w14:paraId="2E212D4D">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公开发表和/或未公开发表的数据</w:t>
      </w:r>
    </w:p>
    <w:p w14:paraId="2249AD9C">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台架实验和/或动物实验数据概要</w:t>
      </w:r>
    </w:p>
    <w:p w14:paraId="584ACB59">
      <w:pPr>
        <w:pStyle w:val="14"/>
        <w:numPr>
          <w:ilvl w:val="0"/>
          <w:numId w:val="2"/>
        </w:numPr>
        <w:snapToGrid w:val="0"/>
        <w:spacing w:line="300" w:lineRule="auto"/>
        <w:ind w:left="1050" w:leftChars="500" w:firstLineChars="0"/>
        <w:rPr>
          <w:rFonts w:ascii="Arial" w:hAnsi="Arial" w:eastAsia="宋体" w:cs="Arial"/>
          <w:sz w:val="24"/>
          <w:szCs w:val="24"/>
        </w:rPr>
      </w:pPr>
      <w:r>
        <w:rPr>
          <w:rFonts w:ascii="Arial" w:hAnsi="Arial" w:eastAsia="宋体" w:cs="Arial"/>
          <w:sz w:val="24"/>
          <w:szCs w:val="24"/>
        </w:rPr>
        <w:t>既往临床经验概要</w:t>
      </w:r>
    </w:p>
    <w:p w14:paraId="645A8265">
      <w:pPr>
        <w:pStyle w:val="14"/>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安排预备会议（视频会议或电话会议），审核已提交信息，确认关键问题，对正式召开决定会议前可能需提交的所有其它信息进行讨论。</w:t>
      </w:r>
    </w:p>
    <w:p w14:paraId="1AF14839">
      <w:pPr>
        <w:pStyle w:val="14"/>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按要求以复印件和电子邮件或传真形式提交其它信息，安排正式决定会议的日期和时间。</w:t>
      </w:r>
    </w:p>
    <w:p w14:paraId="3BF9B8E8">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w:t>
      </w:r>
    </w:p>
    <w:p w14:paraId="0810F3F8">
      <w:pPr>
        <w:snapToGrid w:val="0"/>
        <w:spacing w:after="156" w:afterLines="50" w:line="300" w:lineRule="auto"/>
        <w:rPr>
          <w:rFonts w:ascii="Arial" w:hAnsi="Arial" w:eastAsia="宋体" w:cs="Arial"/>
          <w:sz w:val="24"/>
          <w:szCs w:val="24"/>
        </w:rPr>
      </w:pPr>
      <w:r>
        <w:rPr>
          <w:rFonts w:ascii="Arial" w:hAnsi="Arial" w:eastAsia="宋体" w:cs="Arial"/>
          <w:sz w:val="24"/>
          <w:szCs w:val="24"/>
        </w:rPr>
        <w:t>会议可以是面对面的会议、视频会议或电话会议，应安排约1-2小时的时间。认识到预备会议的会议形式通常不同于正式会议至关重要。在预备会议上，申办方应展示提交给本机构的资料并对其加以讨论。本机构与会者应向申办方提出任何疑问并要求在正式会议前提交任何其它信息。最后应确认在决定会议上</w:t>
      </w:r>
      <w:r>
        <w:rPr>
          <w:rFonts w:hint="eastAsia" w:ascii="Arial" w:hAnsi="Arial" w:eastAsia="宋体" w:cs="Arial"/>
          <w:sz w:val="24"/>
          <w:szCs w:val="24"/>
        </w:rPr>
        <w:t>应确认</w:t>
      </w:r>
      <w:r>
        <w:rPr>
          <w:rFonts w:ascii="Arial" w:hAnsi="Arial" w:eastAsia="宋体" w:cs="Arial"/>
          <w:sz w:val="24"/>
          <w:szCs w:val="24"/>
        </w:rPr>
        <w:t>的关键问题。在正式会议上，应集中讨论这些关键问题，促使本机构最终做出决定。</w:t>
      </w:r>
    </w:p>
    <w:p w14:paraId="4D4A90B3">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会后事务</w:t>
      </w:r>
    </w:p>
    <w:p w14:paraId="13E3C694">
      <w:pPr>
        <w:pStyle w:val="14"/>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申办方应整理会议记录并在会后7日内与本机构交换会议记录供本机构审核/评论。</w:t>
      </w:r>
    </w:p>
    <w:p w14:paraId="3371EE57">
      <w:pPr>
        <w:pStyle w:val="14"/>
        <w:numPr>
          <w:ilvl w:val="0"/>
          <w:numId w:val="3"/>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申办方可能希望填写标题为“早期协作会议上申办方对采用最小负担原则申请的评价”的检查清单。本机构将使用这个检查清单帮助评估行业满意度，同时根据采用最小负担手段原则的FDA申请表确定上市批准所需有效科学证据的类型。在</w:t>
      </w:r>
      <w:r>
        <w:rPr>
          <w:rFonts w:hint="eastAsia" w:ascii="Arial" w:hAnsi="Arial" w:eastAsia="宋体" w:cs="Arial"/>
          <w:color w:val="3333FF"/>
          <w:sz w:val="24"/>
          <w:szCs w:val="24"/>
        </w:rPr>
        <w:t>附件</w:t>
      </w:r>
      <w:r>
        <w:rPr>
          <w:rFonts w:ascii="Arial" w:hAnsi="Arial" w:eastAsia="宋体" w:cs="Arial"/>
          <w:color w:val="3333FF"/>
          <w:sz w:val="24"/>
          <w:szCs w:val="24"/>
        </w:rPr>
        <w:t>B</w:t>
      </w:r>
      <w:r>
        <w:rPr>
          <w:rFonts w:ascii="Arial" w:hAnsi="Arial" w:eastAsia="宋体" w:cs="Arial"/>
          <w:sz w:val="24"/>
          <w:szCs w:val="24"/>
        </w:rPr>
        <w:t>中可找到该表。填写完毕，可随时将该表传真给项目工作人员Wanda Sawyer-Major</w:t>
      </w:r>
      <w:r>
        <w:rPr>
          <w:rFonts w:hint="eastAsia" w:ascii="Arial" w:hAnsi="Arial" w:eastAsia="宋体" w:cs="Arial"/>
          <w:sz w:val="24"/>
          <w:szCs w:val="24"/>
        </w:rPr>
        <w:t>女士</w:t>
      </w:r>
      <w:r>
        <w:rPr>
          <w:rFonts w:ascii="Arial" w:hAnsi="Arial" w:eastAsia="宋体" w:cs="Arial"/>
          <w:sz w:val="24"/>
          <w:szCs w:val="24"/>
        </w:rPr>
        <w:t>，传真号码为（301） 594-2977。</w:t>
      </w:r>
    </w:p>
    <w:p w14:paraId="4F3D2038">
      <w:pPr>
        <w:snapToGrid w:val="0"/>
        <w:spacing w:after="156" w:afterLines="50" w:line="300" w:lineRule="auto"/>
        <w:rPr>
          <w:rFonts w:ascii="Arial" w:hAnsi="Arial" w:eastAsia="宋体" w:cs="Arial"/>
          <w:b/>
          <w:sz w:val="24"/>
          <w:szCs w:val="24"/>
        </w:rPr>
      </w:pPr>
      <w:r>
        <w:rPr>
          <w:rFonts w:hint="eastAsia" w:ascii="Arial" w:hAnsi="Arial" w:eastAsia="宋体" w:cs="Arial"/>
          <w:b/>
          <w:sz w:val="24"/>
          <w:szCs w:val="24"/>
        </w:rPr>
        <w:t>机构活动</w:t>
      </w:r>
    </w:p>
    <w:p w14:paraId="7B3995F6">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会议准备</w:t>
      </w:r>
    </w:p>
    <w:p w14:paraId="30D24263">
      <w:pPr>
        <w:pStyle w:val="14"/>
        <w:numPr>
          <w:ilvl w:val="0"/>
          <w:numId w:val="4"/>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为便于追踪（标记为“决定会议申请”），决定会议申请将作为预-IDE申请文件予以注册并为其分配一个编号（如I000001）。收到申请文件后30日内，申请文件团队负责人将与申办方联系，确定所有预备会议和正式决定会议的日期。</w:t>
      </w:r>
    </w:p>
    <w:p w14:paraId="3E41BE5B">
      <w:pPr>
        <w:pStyle w:val="14"/>
        <w:numPr>
          <w:ilvl w:val="0"/>
          <w:numId w:val="4"/>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审核处将决定FDA应参加会议的具体人选，但可包括申办方专门要求的人员。与会者可包括：团队负责人/项目经理、卫生官员、统计学家、在该产品领域有专长的其他科学家（来自器械评价办公室（ODE）、合规办公室（OC）、监督和生物计量办公室（OSB）和/或科学技术办公室（OST））、相关科室负责人、</w:t>
      </w:r>
      <w:r>
        <w:rPr>
          <w:rFonts w:hint="eastAsia" w:ascii="Arial" w:hAnsi="Arial" w:eastAsia="宋体" w:cs="Arial"/>
          <w:sz w:val="24"/>
          <w:szCs w:val="24"/>
        </w:rPr>
        <w:t>部门领导</w:t>
      </w:r>
      <w:r>
        <w:rPr>
          <w:rFonts w:ascii="Arial" w:hAnsi="Arial" w:eastAsia="宋体" w:cs="Arial"/>
          <w:sz w:val="24"/>
          <w:szCs w:val="24"/>
        </w:rPr>
        <w:t>、副处长或处长与1名项目工作团队（POS）成员。对可能考虑新产品、开发策略或争议问题的会议来说，</w:t>
      </w:r>
      <w:r>
        <w:rPr>
          <w:rFonts w:hint="eastAsia" w:ascii="Arial" w:hAnsi="Arial" w:eastAsia="宋体" w:cs="Arial"/>
          <w:sz w:val="24"/>
          <w:szCs w:val="24"/>
        </w:rPr>
        <w:t>适当情况下，</w:t>
      </w:r>
      <w:r>
        <w:rPr>
          <w:rFonts w:ascii="Arial" w:hAnsi="Arial" w:eastAsia="宋体" w:cs="Arial"/>
          <w:sz w:val="24"/>
          <w:szCs w:val="24"/>
        </w:rPr>
        <w:t>该处应与</w:t>
      </w:r>
      <w:r>
        <w:rPr>
          <w:rFonts w:ascii="Times New Roman" w:hAnsi="Times New Roman" w:cs="Times New Roman"/>
          <w:kern w:val="0"/>
          <w:sz w:val="24"/>
          <w:szCs w:val="24"/>
        </w:rPr>
        <w:t>ODE</w:t>
      </w:r>
      <w:r>
        <w:rPr>
          <w:rFonts w:ascii="Arial" w:hAnsi="Arial" w:eastAsia="宋体" w:cs="Arial"/>
          <w:sz w:val="24"/>
          <w:szCs w:val="24"/>
        </w:rPr>
        <w:t>主任或副主任讨论相关问题。</w:t>
      </w:r>
    </w:p>
    <w:p w14:paraId="4BFFE6CC">
      <w:pPr>
        <w:pStyle w:val="14"/>
        <w:numPr>
          <w:ilvl w:val="0"/>
          <w:numId w:val="4"/>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FDA应举行一次内部预备会议（可能有必要</w:t>
      </w:r>
      <w:r>
        <w:rPr>
          <w:rFonts w:hint="eastAsia" w:ascii="Arial" w:hAnsi="Arial" w:eastAsia="宋体" w:cs="Arial"/>
          <w:sz w:val="24"/>
          <w:szCs w:val="24"/>
        </w:rPr>
        <w:t>举行多次</w:t>
      </w:r>
      <w:r>
        <w:rPr>
          <w:rFonts w:ascii="Arial" w:hAnsi="Arial" w:eastAsia="宋体" w:cs="Arial"/>
          <w:sz w:val="24"/>
          <w:szCs w:val="24"/>
        </w:rPr>
        <w:t>），确保每个人都熟悉这些问题。根据“系统方法”，</w:t>
      </w:r>
      <w:r>
        <w:rPr>
          <w:rStyle w:val="10"/>
          <w:rFonts w:ascii="Arial" w:hAnsi="Arial" w:eastAsia="宋体" w:cs="Arial"/>
          <w:sz w:val="24"/>
          <w:szCs w:val="24"/>
        </w:rPr>
        <w:footnoteReference w:id="0"/>
      </w:r>
      <w:r>
        <w:rPr>
          <w:rFonts w:ascii="Arial" w:hAnsi="Arial" w:eastAsia="宋体" w:cs="Arial"/>
          <w:sz w:val="24"/>
          <w:szCs w:val="24"/>
        </w:rPr>
        <w:t>通过这次会议还可以</w:t>
      </w:r>
      <w:r>
        <w:rPr>
          <w:rFonts w:hint="eastAsia" w:ascii="Arial" w:hAnsi="Arial" w:eastAsia="宋体" w:cs="Arial"/>
          <w:sz w:val="24"/>
          <w:szCs w:val="24"/>
        </w:rPr>
        <w:t>思考</w:t>
      </w:r>
      <w:r>
        <w:rPr>
          <w:rFonts w:ascii="Arial" w:hAnsi="Arial" w:eastAsia="宋体" w:cs="Arial"/>
          <w:sz w:val="24"/>
          <w:szCs w:val="24"/>
        </w:rPr>
        <w:t>我们对类似产品的</w:t>
      </w:r>
      <w:r>
        <w:rPr>
          <w:rFonts w:hint="eastAsia" w:ascii="Arial" w:hAnsi="Arial" w:eastAsia="宋体" w:cs="Arial"/>
          <w:sz w:val="24"/>
          <w:szCs w:val="24"/>
        </w:rPr>
        <w:t>了解</w:t>
      </w:r>
      <w:r>
        <w:rPr>
          <w:rFonts w:ascii="Arial" w:hAnsi="Arial" w:eastAsia="宋体" w:cs="Arial"/>
          <w:sz w:val="24"/>
          <w:szCs w:val="24"/>
        </w:rPr>
        <w:t>和经验并形成FDA应对这种状况的整体策略。应邀请1名</w:t>
      </w:r>
      <w:r>
        <w:rPr>
          <w:rFonts w:ascii="Times New Roman" w:hAnsi="Times New Roman" w:cs="Times New Roman"/>
          <w:kern w:val="0"/>
          <w:sz w:val="24"/>
          <w:szCs w:val="24"/>
        </w:rPr>
        <w:t>POS</w:t>
      </w:r>
      <w:r>
        <w:rPr>
          <w:rFonts w:ascii="Arial" w:hAnsi="Arial" w:eastAsia="宋体" w:cs="Arial"/>
          <w:sz w:val="24"/>
          <w:szCs w:val="24"/>
        </w:rPr>
        <w:t>成员参加内部预备会议，以便提供其它处所面对的类似问题的背景信息并对因申办方提出申请所引出的任何独特或有争议的监管问题提供指导。与会者应与申办方确认将要讨论的疑问和问题。还应与申办方讨论任何预备会议和正式会议的时间轴。</w:t>
      </w:r>
    </w:p>
    <w:p w14:paraId="35D70F37">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w:t>
      </w:r>
    </w:p>
    <w:p w14:paraId="7F658918">
      <w:pPr>
        <w:snapToGrid w:val="0"/>
        <w:spacing w:after="156" w:afterLines="50" w:line="300" w:lineRule="auto"/>
        <w:rPr>
          <w:rFonts w:ascii="Arial" w:hAnsi="Arial" w:eastAsia="宋体" w:cs="Arial"/>
          <w:sz w:val="24"/>
          <w:szCs w:val="24"/>
        </w:rPr>
      </w:pPr>
      <w:r>
        <w:rPr>
          <w:rFonts w:ascii="Arial" w:hAnsi="Arial" w:eastAsia="宋体" w:cs="Arial"/>
          <w:sz w:val="24"/>
          <w:szCs w:val="24"/>
        </w:rPr>
        <w:t>见前页会议部分。</w:t>
      </w:r>
    </w:p>
    <w:p w14:paraId="13A6A71D">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会后事务</w:t>
      </w:r>
    </w:p>
    <w:p w14:paraId="4FF89E88">
      <w:pPr>
        <w:pStyle w:val="14"/>
        <w:numPr>
          <w:ilvl w:val="0"/>
          <w:numId w:val="5"/>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会议结束时，本机构申请团队负责人将对决定进行总结或对搁置决定的任何安排做出解释，包括下次会议的日期（如适用）。与会者记录和会议记录应由FDA和申办方的指定与会者保存。便携式计算机对记录会议讨论的问题和做出的决定可能是有帮助的。FDA和申办方应交换各自的会议记录供会后审核。为提高效率双方可以电子方式交换会议记录。会议记录应有足够的细节反映会议讨论问题的实质。采用</w:t>
      </w:r>
      <w:r>
        <w:rPr>
          <w:rFonts w:hint="eastAsia" w:ascii="Arial" w:hAnsi="Arial" w:eastAsia="宋体" w:cs="Arial"/>
          <w:sz w:val="24"/>
          <w:szCs w:val="24"/>
        </w:rPr>
        <w:t>分项</w:t>
      </w:r>
      <w:r>
        <w:rPr>
          <w:rFonts w:ascii="Arial" w:hAnsi="Arial" w:eastAsia="宋体" w:cs="Arial"/>
          <w:sz w:val="24"/>
          <w:szCs w:val="24"/>
        </w:rPr>
        <w:t>格式可能有帮助。</w:t>
      </w:r>
    </w:p>
    <w:p w14:paraId="6962834A">
      <w:pPr>
        <w:pStyle w:val="14"/>
        <w:numPr>
          <w:ilvl w:val="0"/>
          <w:numId w:val="5"/>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本机构团队负责人应准备</w:t>
      </w:r>
      <w:r>
        <w:rPr>
          <w:rFonts w:hint="eastAsia" w:ascii="Arial" w:hAnsi="Arial" w:eastAsia="宋体" w:cs="Arial"/>
          <w:sz w:val="24"/>
          <w:szCs w:val="24"/>
        </w:rPr>
        <w:t>机构</w:t>
      </w:r>
      <w:r>
        <w:rPr>
          <w:rFonts w:ascii="Arial" w:hAnsi="Arial" w:eastAsia="宋体" w:cs="Arial"/>
          <w:sz w:val="24"/>
          <w:szCs w:val="24"/>
        </w:rPr>
        <w:t>决定备忘录。项目工作团队将与团队负责人和审核处通力合作编制备忘录，这样将有助于确保备忘录准确反映会议成果并与办公室政策保持一致。会后2周内，应在FDA与会者中传阅备忘录草稿以供审核。然后，备忘录由处长签字后，于会后30日内送达申办方。另外，本机构团队负责人应填写标题为“早期协作会议上FDA对采用最小负担原则申请的评价”</w:t>
      </w:r>
      <w:r>
        <w:rPr>
          <w:rFonts w:hint="eastAsia" w:ascii="Arial" w:hAnsi="Arial" w:eastAsia="宋体" w:cs="Arial"/>
          <w:sz w:val="24"/>
          <w:szCs w:val="24"/>
        </w:rPr>
        <w:t>的</w:t>
      </w:r>
      <w:r>
        <w:rPr>
          <w:rFonts w:ascii="Arial" w:hAnsi="Arial" w:eastAsia="宋体" w:cs="Arial"/>
          <w:sz w:val="24"/>
          <w:szCs w:val="24"/>
        </w:rPr>
        <w:t>检查清单。在本文件</w:t>
      </w:r>
      <w:r>
        <w:rPr>
          <w:rFonts w:ascii="Arial" w:hAnsi="Arial" w:eastAsia="宋体" w:cs="Arial"/>
          <w:color w:val="0000FF"/>
          <w:sz w:val="24"/>
          <w:szCs w:val="24"/>
        </w:rPr>
        <w:t>附录A</w:t>
      </w:r>
      <w:r>
        <w:rPr>
          <w:rFonts w:ascii="Arial" w:hAnsi="Arial" w:eastAsia="宋体" w:cs="Arial"/>
          <w:sz w:val="24"/>
          <w:szCs w:val="24"/>
        </w:rPr>
        <w:t>中可找到该检查清单。该检查清单拟用于评价在形成本机构决定的过程中是否考虑了最小负担原则。应将备忘录和检查清单副本置于文件夹中。预-IDE资料应由审核处和项目工作团队予以注销。</w:t>
      </w:r>
    </w:p>
    <w:p w14:paraId="03E26E3C">
      <w:pPr>
        <w:widowControl/>
        <w:jc w:val="left"/>
        <w:rPr>
          <w:rFonts w:ascii="Arial" w:hAnsi="Arial" w:eastAsia="宋体" w:cs="Arial"/>
          <w:sz w:val="24"/>
          <w:szCs w:val="24"/>
          <w:vertAlign w:val="superscript"/>
        </w:rPr>
      </w:pPr>
      <w:r>
        <w:rPr>
          <w:rFonts w:ascii="Arial" w:hAnsi="Arial" w:eastAsia="宋体" w:cs="Arial"/>
          <w:sz w:val="24"/>
          <w:szCs w:val="24"/>
          <w:vertAlign w:val="superscript"/>
        </w:rPr>
        <w:br w:type="page"/>
      </w:r>
    </w:p>
    <w:p w14:paraId="1AC57C62">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协议会议</w:t>
      </w:r>
    </w:p>
    <w:p w14:paraId="4C1578C1">
      <w:pPr>
        <w:snapToGrid w:val="0"/>
        <w:spacing w:after="156" w:afterLines="50" w:line="300" w:lineRule="auto"/>
        <w:rPr>
          <w:rFonts w:ascii="Arial" w:hAnsi="Arial" w:eastAsia="宋体" w:cs="Arial"/>
          <w:b/>
          <w:sz w:val="24"/>
          <w:szCs w:val="24"/>
        </w:rPr>
      </w:pPr>
      <w:r>
        <w:rPr>
          <w:rFonts w:ascii="Arial" w:hAnsi="Arial" w:eastAsia="宋体" w:cs="Arial"/>
          <w:b/>
          <w:sz w:val="24"/>
          <w:szCs w:val="24"/>
        </w:rPr>
        <w:t>申办方</w:t>
      </w:r>
      <w:r>
        <w:rPr>
          <w:rFonts w:hint="eastAsia" w:ascii="Arial" w:hAnsi="Arial" w:eastAsia="宋体" w:cs="Arial"/>
          <w:b/>
          <w:sz w:val="24"/>
          <w:szCs w:val="24"/>
        </w:rPr>
        <w:t>活动</w:t>
      </w:r>
    </w:p>
    <w:p w14:paraId="063A3509">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会议准备</w:t>
      </w:r>
    </w:p>
    <w:p w14:paraId="0A40C4AF">
      <w:pPr>
        <w:pStyle w:val="14"/>
        <w:numPr>
          <w:ilvl w:val="0"/>
          <w:numId w:val="6"/>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与相关科室联系，要求</w:t>
      </w:r>
      <w:r>
        <w:rPr>
          <w:rFonts w:hint="eastAsia" w:ascii="Arial" w:hAnsi="Arial" w:eastAsia="宋体" w:cs="Arial"/>
          <w:sz w:val="24"/>
          <w:szCs w:val="24"/>
        </w:rPr>
        <w:t>对</w:t>
      </w:r>
      <w:r>
        <w:rPr>
          <w:rFonts w:ascii="Arial" w:hAnsi="Arial" w:eastAsia="宋体" w:cs="Arial"/>
          <w:sz w:val="24"/>
          <w:szCs w:val="24"/>
        </w:rPr>
        <w:t>器械问题进行一般讨论。</w:t>
      </w:r>
    </w:p>
    <w:p w14:paraId="09A31295">
      <w:pPr>
        <w:pStyle w:val="14"/>
        <w:numPr>
          <w:ilvl w:val="0"/>
          <w:numId w:val="6"/>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协议会议</w:t>
      </w:r>
      <w:r>
        <w:rPr>
          <w:rFonts w:hint="eastAsia" w:ascii="Arial" w:hAnsi="Arial" w:eastAsia="宋体" w:cs="Arial"/>
          <w:sz w:val="24"/>
          <w:szCs w:val="24"/>
        </w:rPr>
        <w:t>要求</w:t>
      </w:r>
      <w:r>
        <w:rPr>
          <w:rFonts w:ascii="Arial" w:hAnsi="Arial" w:eastAsia="宋体" w:cs="Arial"/>
          <w:sz w:val="24"/>
          <w:szCs w:val="24"/>
        </w:rPr>
        <w:t>应：a）表达清晰，b）一式三份提交至文档邮件中心（HFZ-401）。在提交的申请文件中应包括以上描述的关于决定会议的信息以及临床方案。协议将要达成的任何具体条款均应表达清晰。这些条款可包括：</w:t>
      </w:r>
    </w:p>
    <w:p w14:paraId="1C56E469">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样本量，包括统计学依据</w:t>
      </w:r>
    </w:p>
    <w:p w14:paraId="31866A31">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纳入/排除标准</w:t>
      </w:r>
    </w:p>
    <w:p w14:paraId="265D2E9F">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终点（主要终点、次要终点及接受/失败标准）</w:t>
      </w:r>
    </w:p>
    <w:p w14:paraId="5B7CA9C5">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研究成功的总体标准，包括理由</w:t>
      </w:r>
    </w:p>
    <w:p w14:paraId="157F38FB">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研究期限</w:t>
      </w:r>
    </w:p>
    <w:p w14:paraId="18276C39">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临床研究中心数</w:t>
      </w:r>
      <w:r>
        <w:rPr>
          <w:rFonts w:hint="eastAsia" w:ascii="Arial" w:hAnsi="Arial" w:eastAsia="宋体" w:cs="Arial"/>
          <w:sz w:val="24"/>
          <w:szCs w:val="24"/>
        </w:rPr>
        <w:t>量</w:t>
      </w:r>
    </w:p>
    <w:p w14:paraId="6C6AC05F">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数据监测委员会（DMC）的运作情况（对此有时还称作数据和安全性监测委员会（DSMB））</w:t>
      </w:r>
    </w:p>
    <w:p w14:paraId="4657F632">
      <w:pPr>
        <w:pStyle w:val="14"/>
        <w:numPr>
          <w:ilvl w:val="0"/>
          <w:numId w:val="7"/>
        </w:numPr>
        <w:snapToGrid w:val="0"/>
        <w:spacing w:line="300" w:lineRule="auto"/>
        <w:ind w:left="420" w:leftChars="200" w:firstLineChars="0"/>
        <w:rPr>
          <w:rFonts w:ascii="Arial" w:hAnsi="Arial" w:eastAsia="宋体" w:cs="Arial"/>
          <w:sz w:val="24"/>
          <w:szCs w:val="24"/>
        </w:rPr>
      </w:pPr>
      <w:r>
        <w:rPr>
          <w:rFonts w:ascii="Arial" w:hAnsi="Arial" w:eastAsia="宋体" w:cs="Arial"/>
          <w:sz w:val="24"/>
          <w:szCs w:val="24"/>
        </w:rPr>
        <w:t>统计分析计划</w:t>
      </w:r>
    </w:p>
    <w:p w14:paraId="0409E0BB">
      <w:pPr>
        <w:pStyle w:val="14"/>
        <w:numPr>
          <w:ilvl w:val="0"/>
          <w:numId w:val="7"/>
        </w:numPr>
        <w:snapToGrid w:val="0"/>
        <w:spacing w:after="156" w:afterLines="50" w:line="300" w:lineRule="auto"/>
        <w:ind w:left="420" w:leftChars="200" w:firstLineChars="0"/>
        <w:rPr>
          <w:rFonts w:ascii="Arial" w:hAnsi="Arial" w:eastAsia="宋体" w:cs="Arial"/>
          <w:sz w:val="24"/>
          <w:szCs w:val="24"/>
        </w:rPr>
      </w:pPr>
      <w:r>
        <w:rPr>
          <w:rFonts w:ascii="Arial" w:hAnsi="Arial" w:eastAsia="宋体" w:cs="Arial"/>
          <w:sz w:val="24"/>
          <w:szCs w:val="24"/>
        </w:rPr>
        <w:t>知情同意的具体条款，如自动放弃</w:t>
      </w:r>
    </w:p>
    <w:p w14:paraId="25808D6B">
      <w:pPr>
        <w:snapToGrid w:val="0"/>
        <w:spacing w:after="156" w:afterLines="50" w:line="300" w:lineRule="auto"/>
        <w:rPr>
          <w:rFonts w:ascii="Arial" w:hAnsi="Arial" w:eastAsia="宋体" w:cs="Arial"/>
          <w:sz w:val="24"/>
          <w:szCs w:val="24"/>
        </w:rPr>
      </w:pPr>
      <w:r>
        <w:rPr>
          <w:rFonts w:ascii="Arial" w:hAnsi="Arial" w:eastAsia="宋体" w:cs="Arial"/>
          <w:sz w:val="24"/>
          <w:szCs w:val="24"/>
        </w:rPr>
        <w:t>本机构希望提交的申请文件约10-20页。</w:t>
      </w:r>
    </w:p>
    <w:p w14:paraId="56CA39E5">
      <w:pPr>
        <w:pStyle w:val="14"/>
        <w:numPr>
          <w:ilvl w:val="0"/>
          <w:numId w:val="6"/>
        </w:numPr>
        <w:snapToGrid w:val="0"/>
        <w:spacing w:after="156" w:afterLines="50" w:line="300" w:lineRule="auto"/>
        <w:ind w:firstLineChars="0"/>
        <w:rPr>
          <w:rFonts w:ascii="Arial" w:hAnsi="Arial" w:eastAsia="宋体" w:cs="Arial"/>
          <w:sz w:val="24"/>
          <w:szCs w:val="24"/>
        </w:rPr>
      </w:pPr>
      <w:r>
        <w:rPr>
          <w:rFonts w:hint="eastAsia" w:ascii="Arial" w:hAnsi="Arial" w:eastAsia="宋体" w:cs="Arial"/>
          <w:sz w:val="24"/>
          <w:szCs w:val="24"/>
        </w:rPr>
        <w:t>安排预备会议（视频会议或电话会议），审核已提交信息，确认申办方希望与本机构达成协议的关键问题。申办方在协议中尽可能具体地确认相关问题极为重要（如样本量）。确认宽泛概念时（如临床方案），如果给出需加以应对的变量数，可能会使达成协议变得更加困难。最后，申办方应确定在召开正式协议会议前是否需提交任何其它信息。</w:t>
      </w:r>
    </w:p>
    <w:p w14:paraId="1456934D">
      <w:pPr>
        <w:pStyle w:val="14"/>
        <w:numPr>
          <w:ilvl w:val="0"/>
          <w:numId w:val="6"/>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根据要求提交其它信息并提供召开正式协议会议时可接受的日期和时间清单。</w:t>
      </w:r>
    </w:p>
    <w:p w14:paraId="1245D00B">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w:t>
      </w:r>
    </w:p>
    <w:p w14:paraId="2E0A5C06">
      <w:pPr>
        <w:snapToGrid w:val="0"/>
        <w:spacing w:after="156" w:afterLines="50" w:line="300" w:lineRule="auto"/>
        <w:rPr>
          <w:rFonts w:ascii="Arial" w:hAnsi="Arial" w:eastAsia="宋体" w:cs="Arial"/>
          <w:sz w:val="24"/>
          <w:szCs w:val="24"/>
        </w:rPr>
      </w:pPr>
      <w:r>
        <w:rPr>
          <w:rFonts w:ascii="Arial" w:hAnsi="Arial" w:eastAsia="宋体" w:cs="Arial"/>
          <w:sz w:val="24"/>
          <w:szCs w:val="24"/>
        </w:rPr>
        <w:t>会议可以是面对面的会议、视频会议或电话会议，应安排约1-2小时的时间。认识到预备会议的会议形式通常不同于正式会议至关重要。在预备会议上，申办方应展示提交给本机构的资料并对其加以讨论。本机构与会者应向申办方提出任何疑问并要求在正式会议前提交任何其它信息。最后申办方应确认将要达成协议的关键问题。在正式会议上，应集中讨论这些关键问题，希望在许多方面达成协议。</w:t>
      </w:r>
    </w:p>
    <w:p w14:paraId="116A7045">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会后事务</w:t>
      </w:r>
    </w:p>
    <w:p w14:paraId="265A55AA">
      <w:pPr>
        <w:pStyle w:val="14"/>
        <w:numPr>
          <w:ilvl w:val="0"/>
          <w:numId w:val="8"/>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申办方应整理会议记录并在会后7日内与本机构交换会议记录供本机构审核/评论。</w:t>
      </w:r>
    </w:p>
    <w:p w14:paraId="045AF12C">
      <w:pPr>
        <w:pStyle w:val="14"/>
        <w:numPr>
          <w:ilvl w:val="0"/>
          <w:numId w:val="8"/>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申办方可能希望填写标题为“早期协作会议上申办方对采用最小负担原则申请的评价”的检查清单。在协议会议期间讨论临床实验设计问题的过程中，本机构将使用</w:t>
      </w:r>
      <w:r>
        <w:rPr>
          <w:rFonts w:hint="eastAsia" w:ascii="Arial" w:hAnsi="Arial" w:eastAsia="宋体" w:cs="Arial"/>
          <w:sz w:val="24"/>
          <w:szCs w:val="24"/>
        </w:rPr>
        <w:t>该</w:t>
      </w:r>
      <w:r>
        <w:rPr>
          <w:rFonts w:ascii="Arial" w:hAnsi="Arial" w:eastAsia="宋体" w:cs="Arial"/>
          <w:sz w:val="24"/>
          <w:szCs w:val="24"/>
        </w:rPr>
        <w:t>检查清单帮助评估行业满意度与采用最小负担手段原则的FDA申请表。在附件B中可找到该表。填写完毕，可随时将该表传真给项目工作人员Wanda Sawyer-Major</w:t>
      </w:r>
      <w:r>
        <w:rPr>
          <w:rFonts w:hint="eastAsia" w:ascii="Arial" w:hAnsi="Arial" w:eastAsia="宋体" w:cs="Arial"/>
          <w:sz w:val="24"/>
          <w:szCs w:val="24"/>
        </w:rPr>
        <w:t>女士</w:t>
      </w:r>
      <w:r>
        <w:rPr>
          <w:rFonts w:ascii="Arial" w:hAnsi="Arial" w:eastAsia="宋体" w:cs="Arial"/>
          <w:sz w:val="24"/>
          <w:szCs w:val="24"/>
        </w:rPr>
        <w:t>，传真号码为（301） 594-2977。</w:t>
      </w:r>
    </w:p>
    <w:p w14:paraId="6C48A341">
      <w:pPr>
        <w:snapToGrid w:val="0"/>
        <w:spacing w:after="156" w:afterLines="50" w:line="300" w:lineRule="auto"/>
        <w:rPr>
          <w:rFonts w:ascii="Arial" w:hAnsi="Arial" w:eastAsia="宋体" w:cs="Arial"/>
          <w:b/>
          <w:sz w:val="24"/>
          <w:szCs w:val="24"/>
        </w:rPr>
      </w:pPr>
      <w:r>
        <w:rPr>
          <w:rFonts w:hint="eastAsia" w:ascii="Arial" w:hAnsi="Arial" w:eastAsia="宋体" w:cs="Arial"/>
          <w:b/>
          <w:sz w:val="24"/>
          <w:szCs w:val="24"/>
        </w:rPr>
        <w:t>机构活动</w:t>
      </w:r>
    </w:p>
    <w:p w14:paraId="60280379">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会议准备</w:t>
      </w:r>
    </w:p>
    <w:p w14:paraId="3A5A034E">
      <w:pPr>
        <w:pStyle w:val="14"/>
        <w:numPr>
          <w:ilvl w:val="0"/>
          <w:numId w:val="9"/>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为便于追踪（标记为“协议会议申请”），协议会议申请将作为预-IDE申请文件予以注册并为其分配一个编号（如I000001）。收到申请文件后7日内，申请文件团队负责人应与申办方联系，确定预备会议和正式协议会议的日期。根据法案§520（g）（7）（A）部分的规定，正式协议会议应于收到申请后30日内举行。然而，我们强烈建议确立协商时间轴，以此增加会议成功的概率。因此，申办方可申请将正式会议延期至完成一次或多次非正式预备会议后举行。</w:t>
      </w:r>
    </w:p>
    <w:p w14:paraId="44381720">
      <w:pPr>
        <w:pStyle w:val="14"/>
        <w:numPr>
          <w:ilvl w:val="0"/>
          <w:numId w:val="9"/>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审核处将决定FDA应参加会议的具体人选，但可包括申办方专门要求的人员。与会者可包括：团队负责人/项目经理、卫生官员、统计学家、在该产品领域有专长的其他科学家（来自器械评价办公室（ODE）、合规办公室（OC）、监督和生物计量办公室（OSB）和/或科学技术办公室（OST））、相关科室负责人、</w:t>
      </w:r>
      <w:r>
        <w:rPr>
          <w:rFonts w:hint="eastAsia" w:ascii="Arial" w:hAnsi="Arial" w:eastAsia="宋体" w:cs="Arial"/>
          <w:sz w:val="24"/>
          <w:szCs w:val="24"/>
        </w:rPr>
        <w:t>部门领导</w:t>
      </w:r>
      <w:r>
        <w:rPr>
          <w:rFonts w:ascii="Arial" w:hAnsi="Arial" w:eastAsia="宋体" w:cs="Arial"/>
          <w:sz w:val="24"/>
          <w:szCs w:val="24"/>
        </w:rPr>
        <w:t>、副处长或处长与1名项目工作团队（POS）成员。对可能考虑新产品、开发策略或争议问题的会议来说，</w:t>
      </w:r>
      <w:r>
        <w:rPr>
          <w:rFonts w:hint="eastAsia" w:ascii="Arial" w:hAnsi="Arial" w:eastAsia="宋体" w:cs="Arial"/>
          <w:sz w:val="24"/>
          <w:szCs w:val="24"/>
        </w:rPr>
        <w:t>适当情况下，</w:t>
      </w:r>
      <w:r>
        <w:rPr>
          <w:rFonts w:ascii="Arial" w:hAnsi="Arial" w:eastAsia="宋体" w:cs="Arial"/>
          <w:sz w:val="24"/>
          <w:szCs w:val="24"/>
        </w:rPr>
        <w:t>该处应与</w:t>
      </w:r>
      <w:r>
        <w:rPr>
          <w:rFonts w:ascii="Times New Roman" w:hAnsi="Times New Roman" w:cs="Times New Roman"/>
          <w:kern w:val="0"/>
          <w:sz w:val="24"/>
          <w:szCs w:val="24"/>
        </w:rPr>
        <w:t>ODE</w:t>
      </w:r>
      <w:r>
        <w:rPr>
          <w:rFonts w:ascii="Arial" w:hAnsi="Arial" w:eastAsia="宋体" w:cs="Arial"/>
          <w:sz w:val="24"/>
          <w:szCs w:val="24"/>
        </w:rPr>
        <w:t>主任或副主任讨论相关问题。</w:t>
      </w:r>
    </w:p>
    <w:p w14:paraId="6F7F6A0E">
      <w:pPr>
        <w:pStyle w:val="14"/>
        <w:numPr>
          <w:ilvl w:val="0"/>
          <w:numId w:val="9"/>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FDA应举行一次内部预备会议（可能有必要</w:t>
      </w:r>
      <w:r>
        <w:rPr>
          <w:rFonts w:hint="eastAsia" w:ascii="Arial" w:hAnsi="Arial" w:eastAsia="宋体" w:cs="Arial"/>
          <w:sz w:val="24"/>
          <w:szCs w:val="24"/>
        </w:rPr>
        <w:t>举行多次</w:t>
      </w:r>
      <w:r>
        <w:rPr>
          <w:rFonts w:ascii="Arial" w:hAnsi="Arial" w:eastAsia="宋体" w:cs="Arial"/>
          <w:sz w:val="24"/>
          <w:szCs w:val="24"/>
        </w:rPr>
        <w:t>），确保每个人都熟悉这些问题。根据“系统方法”，</w:t>
      </w:r>
      <w:r>
        <w:rPr>
          <w:rFonts w:ascii="Arial" w:hAnsi="Arial" w:eastAsia="宋体" w:cs="Arial"/>
          <w:sz w:val="24"/>
          <w:szCs w:val="24"/>
          <w:vertAlign w:val="superscript"/>
        </w:rPr>
        <w:t>2</w:t>
      </w:r>
      <w:r>
        <w:rPr>
          <w:rFonts w:ascii="Arial" w:hAnsi="Arial" w:eastAsia="宋体" w:cs="Arial"/>
          <w:sz w:val="24"/>
          <w:szCs w:val="24"/>
        </w:rPr>
        <w:t>通过这次会议还可以</w:t>
      </w:r>
      <w:r>
        <w:rPr>
          <w:rFonts w:hint="eastAsia" w:ascii="Arial" w:hAnsi="Arial" w:eastAsia="宋体" w:cs="Arial"/>
          <w:sz w:val="24"/>
          <w:szCs w:val="24"/>
        </w:rPr>
        <w:t>思考</w:t>
      </w:r>
      <w:r>
        <w:rPr>
          <w:rFonts w:ascii="Arial" w:hAnsi="Arial" w:eastAsia="宋体" w:cs="Arial"/>
          <w:sz w:val="24"/>
          <w:szCs w:val="24"/>
        </w:rPr>
        <w:t>我们对类似产品的</w:t>
      </w:r>
      <w:r>
        <w:rPr>
          <w:rFonts w:hint="eastAsia" w:ascii="Arial" w:hAnsi="Arial" w:eastAsia="宋体" w:cs="Arial"/>
          <w:sz w:val="24"/>
          <w:szCs w:val="24"/>
        </w:rPr>
        <w:t>了解</w:t>
      </w:r>
      <w:r>
        <w:rPr>
          <w:rFonts w:ascii="Arial" w:hAnsi="Arial" w:eastAsia="宋体" w:cs="Arial"/>
          <w:sz w:val="24"/>
          <w:szCs w:val="24"/>
        </w:rPr>
        <w:t>和经验并形成FDA应对这种状况的整体策略。应邀请1名项目工作团队成员参加内部预备会议，以便提供其它处所面对的类似问题的背景信息并对因申办方提出申请所引出的任何独特或有争议的监管问题提供指导。与会者应与申办方确认将要讨论的疑问和问题。还应与申办方讨论任何预备会议和正式会议的时间轴。</w:t>
      </w:r>
    </w:p>
    <w:p w14:paraId="77FCD102">
      <w:pPr>
        <w:widowControl/>
        <w:jc w:val="left"/>
        <w:rPr>
          <w:rFonts w:ascii="Arial" w:hAnsi="Arial" w:eastAsia="宋体" w:cs="Arial"/>
          <w:sz w:val="24"/>
          <w:szCs w:val="24"/>
        </w:rPr>
      </w:pPr>
      <w:r>
        <w:rPr>
          <w:rFonts w:ascii="Arial" w:hAnsi="Arial" w:eastAsia="宋体" w:cs="Arial"/>
          <w:sz w:val="24"/>
          <w:szCs w:val="24"/>
        </w:rPr>
        <w:br w:type="page"/>
      </w:r>
    </w:p>
    <w:p w14:paraId="58C1BA22">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会议</w:t>
      </w:r>
    </w:p>
    <w:p w14:paraId="2671A527">
      <w:pPr>
        <w:snapToGrid w:val="0"/>
        <w:spacing w:after="156" w:afterLines="50" w:line="300" w:lineRule="auto"/>
        <w:rPr>
          <w:rFonts w:ascii="Arial" w:hAnsi="Arial" w:eastAsia="宋体" w:cs="Arial"/>
          <w:sz w:val="24"/>
          <w:szCs w:val="24"/>
        </w:rPr>
      </w:pPr>
      <w:r>
        <w:rPr>
          <w:rFonts w:ascii="Arial" w:hAnsi="Arial" w:eastAsia="宋体" w:cs="Arial"/>
          <w:sz w:val="24"/>
          <w:szCs w:val="24"/>
        </w:rPr>
        <w:t>见前页会议部分。</w:t>
      </w:r>
    </w:p>
    <w:p w14:paraId="23D76351">
      <w:pPr>
        <w:snapToGrid w:val="0"/>
        <w:spacing w:after="156" w:afterLines="50" w:line="300" w:lineRule="auto"/>
        <w:rPr>
          <w:rFonts w:ascii="Arial" w:hAnsi="Arial" w:eastAsia="宋体" w:cs="Arial"/>
          <w:sz w:val="24"/>
          <w:szCs w:val="24"/>
          <w:u w:val="single"/>
        </w:rPr>
      </w:pPr>
      <w:r>
        <w:rPr>
          <w:rFonts w:ascii="Arial" w:hAnsi="Arial" w:eastAsia="宋体" w:cs="Arial"/>
          <w:sz w:val="24"/>
          <w:szCs w:val="24"/>
          <w:u w:val="single"/>
        </w:rPr>
        <w:t>会后事务</w:t>
      </w:r>
    </w:p>
    <w:p w14:paraId="3E5D6A0C">
      <w:pPr>
        <w:pStyle w:val="14"/>
        <w:numPr>
          <w:ilvl w:val="0"/>
          <w:numId w:val="10"/>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会议结束时，本机构申请团队负责人将对协议进行总结或对搁置某些问题的任何安排做出解释，包括下次会议的日期（如适用）。与会者记录和会议记录应由FDA和申办方的指定与会者保存。便携式计算机对记录会议讨论的问题和达成的任何协议可能是有帮助的。FDA和申办方应交换各自的会议记录供会后审核。为提高效率双方可以电子方式交换会议记录。会议记录应有足够的细节反映会议讨论问题的实质。采用</w:t>
      </w:r>
      <w:r>
        <w:rPr>
          <w:rFonts w:hint="eastAsia" w:ascii="Arial" w:hAnsi="Arial" w:eastAsia="宋体" w:cs="Arial"/>
          <w:sz w:val="24"/>
          <w:szCs w:val="24"/>
        </w:rPr>
        <w:t>分项</w:t>
      </w:r>
      <w:r>
        <w:rPr>
          <w:rFonts w:ascii="Arial" w:hAnsi="Arial" w:eastAsia="宋体" w:cs="Arial"/>
          <w:sz w:val="24"/>
          <w:szCs w:val="24"/>
        </w:rPr>
        <w:t>格式可能有帮助。</w:t>
      </w:r>
    </w:p>
    <w:p w14:paraId="35B11333">
      <w:pPr>
        <w:pStyle w:val="14"/>
        <w:numPr>
          <w:ilvl w:val="0"/>
          <w:numId w:val="10"/>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团队负责人应准备协议备忘录。项目工作团队将与团队负责人和审核处通力合作编制备忘录，这样将有助于确保备忘录准确反映会议成果并与办公室政策保持一致。会后2周内，应在FDA与会者中传阅备忘录草稿以供审核。然后，备忘录由处长签字后，于会后30日内送达申办方。另外，本机构团队负责人应填写标题为“早期协作会议上FDA对采用最小负担原则申请的评价”</w:t>
      </w:r>
      <w:r>
        <w:rPr>
          <w:rFonts w:hint="eastAsia" w:ascii="Arial" w:hAnsi="Arial" w:eastAsia="宋体" w:cs="Arial"/>
          <w:sz w:val="24"/>
          <w:szCs w:val="24"/>
        </w:rPr>
        <w:t>的</w:t>
      </w:r>
      <w:r>
        <w:rPr>
          <w:rFonts w:ascii="Arial" w:hAnsi="Arial" w:eastAsia="宋体" w:cs="Arial"/>
          <w:sz w:val="24"/>
          <w:szCs w:val="24"/>
        </w:rPr>
        <w:t>检查清单。在本文件附录A中可找到该检查清单。该检查清单拟用于评价在达成协议的过程中是否考虑了最小负担原则。应将备忘录和检查清单副本置于文件夹中。预-IDE资料应由审核处和项目工作团队予以注销。</w:t>
      </w:r>
    </w:p>
    <w:p w14:paraId="4AC8C674">
      <w:pPr>
        <w:widowControl/>
        <w:jc w:val="left"/>
        <w:rPr>
          <w:rFonts w:ascii="Arial" w:hAnsi="Arial" w:eastAsia="宋体" w:cs="Arial"/>
          <w:sz w:val="24"/>
          <w:szCs w:val="24"/>
        </w:rPr>
      </w:pPr>
    </w:p>
    <w:p w14:paraId="76C58C8D">
      <w:pPr>
        <w:snapToGrid w:val="0"/>
        <w:spacing w:after="156" w:afterLines="50" w:line="300" w:lineRule="auto"/>
        <w:jc w:val="right"/>
        <w:rPr>
          <w:rFonts w:ascii="Arial" w:hAnsi="Arial" w:eastAsia="宋体" w:cs="Arial"/>
          <w:sz w:val="24"/>
          <w:szCs w:val="24"/>
        </w:rPr>
        <w:sectPr>
          <w:footerReference r:id="rId5" w:type="default"/>
          <w:pgSz w:w="11906" w:h="16838"/>
          <w:pgMar w:top="1440" w:right="1800" w:bottom="1440" w:left="1800" w:header="851" w:footer="720" w:gutter="0"/>
          <w:pgNumType w:start="1"/>
          <w:cols w:space="425" w:num="1"/>
          <w:docGrid w:type="lines" w:linePitch="312" w:charSpace="0"/>
        </w:sectPr>
      </w:pPr>
    </w:p>
    <w:p w14:paraId="512F81B7">
      <w:pPr>
        <w:snapToGrid w:val="0"/>
        <w:spacing w:after="156" w:afterLines="50" w:line="300" w:lineRule="auto"/>
        <w:jc w:val="right"/>
        <w:rPr>
          <w:rFonts w:ascii="Arial" w:hAnsi="Arial" w:eastAsia="宋体" w:cs="Arial"/>
          <w:sz w:val="24"/>
          <w:szCs w:val="24"/>
        </w:rPr>
      </w:pPr>
      <w:r>
        <w:rPr>
          <w:rFonts w:ascii="Arial" w:hAnsi="Arial" w:eastAsia="宋体" w:cs="Arial"/>
          <w:sz w:val="24"/>
          <w:szCs w:val="24"/>
        </w:rPr>
        <w:t>附录A</w:t>
      </w:r>
    </w:p>
    <w:p w14:paraId="21283BCC">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早期协作会议上FDA对采用最小负担原则申请的评价</w:t>
      </w:r>
    </w:p>
    <w:p w14:paraId="7C587CF2">
      <w:pPr>
        <w:snapToGrid w:val="0"/>
        <w:spacing w:after="156" w:afterLines="50" w:line="300" w:lineRule="auto"/>
        <w:rPr>
          <w:rFonts w:ascii="Arial" w:hAnsi="Arial" w:eastAsia="宋体" w:cs="Arial"/>
          <w:b/>
          <w:sz w:val="24"/>
          <w:szCs w:val="24"/>
        </w:rPr>
      </w:pPr>
      <w:r>
        <w:rPr>
          <w:rFonts w:ascii="Arial" w:hAnsi="Arial" w:eastAsia="宋体" w:cs="Arial"/>
          <w:b/>
          <w:sz w:val="24"/>
          <w:szCs w:val="24"/>
        </w:rPr>
        <w:t>会议类型：</w:t>
      </w:r>
    </w:p>
    <w:p w14:paraId="78CB0082">
      <w:pPr>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ab/>
      </w:r>
      <w:r>
        <w:rPr>
          <w:rFonts w:ascii="Arial" w:hAnsi="Arial" w:eastAsia="宋体" w:cs="Arial"/>
          <w:sz w:val="24"/>
          <w:szCs w:val="24"/>
        </w:rPr>
        <w:t>______</w:t>
      </w:r>
      <w:r>
        <w:rPr>
          <w:rFonts w:ascii="Arial" w:hAnsi="Arial" w:eastAsia="宋体" w:cs="Arial"/>
          <w:b/>
          <w:sz w:val="24"/>
          <w:szCs w:val="24"/>
        </w:rPr>
        <w:t>决定会议§513（a）（3）（D）</w:t>
      </w:r>
    </w:p>
    <w:p w14:paraId="4CACD92C">
      <w:pPr>
        <w:snapToGrid w:val="0"/>
        <w:spacing w:after="156" w:afterLines="50" w:line="300" w:lineRule="auto"/>
        <w:ind w:left="420" w:leftChars="200"/>
        <w:rPr>
          <w:rFonts w:ascii="Arial" w:hAnsi="Arial" w:eastAsia="宋体" w:cs="Arial"/>
          <w:b/>
          <w:sz w:val="24"/>
          <w:szCs w:val="24"/>
        </w:rPr>
      </w:pPr>
      <w:r>
        <w:rPr>
          <w:rFonts w:ascii="Arial" w:hAnsi="Arial" w:eastAsia="宋体" w:cs="Arial"/>
          <w:sz w:val="24"/>
          <w:szCs w:val="24"/>
        </w:rPr>
        <w:t>□</w:t>
      </w:r>
      <w:r>
        <w:rPr>
          <w:rFonts w:hint="eastAsia" w:ascii="Arial" w:hAnsi="Arial" w:eastAsia="宋体" w:cs="Arial"/>
          <w:sz w:val="24"/>
          <w:szCs w:val="24"/>
        </w:rPr>
        <w:tab/>
      </w:r>
      <w:r>
        <w:rPr>
          <w:rFonts w:ascii="Arial" w:hAnsi="Arial" w:eastAsia="宋体" w:cs="Arial"/>
          <w:sz w:val="24"/>
          <w:szCs w:val="24"/>
        </w:rPr>
        <w:t>______</w:t>
      </w:r>
      <w:r>
        <w:rPr>
          <w:rFonts w:ascii="Arial" w:hAnsi="Arial" w:eastAsia="宋体" w:cs="Arial"/>
          <w:b/>
          <w:sz w:val="24"/>
          <w:szCs w:val="24"/>
        </w:rPr>
        <w:t>协议会议§520（g）（7）</w:t>
      </w:r>
    </w:p>
    <w:p w14:paraId="03283A60">
      <w:pPr>
        <w:snapToGrid w:val="0"/>
        <w:spacing w:line="300" w:lineRule="auto"/>
        <w:jc w:val="left"/>
        <w:rPr>
          <w:rFonts w:ascii="Arial" w:hAnsi="Arial" w:eastAsia="宋体" w:cs="Arial"/>
          <w:b/>
          <w:sz w:val="24"/>
          <w:szCs w:val="24"/>
        </w:rPr>
      </w:pPr>
      <w:r>
        <w:rPr>
          <w:rFonts w:hint="eastAsia" w:ascii="Arial" w:hAnsi="Arial" w:eastAsia="宋体" w:cs="Arial"/>
          <w:b/>
          <w:sz w:val="24"/>
          <w:szCs w:val="24"/>
        </w:rPr>
        <w:t>部门</w:t>
      </w:r>
      <w:r>
        <w:rPr>
          <w:rFonts w:ascii="Arial" w:hAnsi="Arial" w:eastAsia="宋体" w:cs="Arial"/>
          <w:b/>
          <w:sz w:val="24"/>
          <w:szCs w:val="24"/>
        </w:rPr>
        <w:t>/科室：_______________________________________________________</w:t>
      </w:r>
    </w:p>
    <w:p w14:paraId="4520EDFE">
      <w:pPr>
        <w:snapToGrid w:val="0"/>
        <w:spacing w:line="300" w:lineRule="auto"/>
        <w:jc w:val="left"/>
        <w:rPr>
          <w:rFonts w:ascii="Arial" w:hAnsi="Arial" w:eastAsia="宋体" w:cs="Arial"/>
          <w:b/>
          <w:sz w:val="24"/>
          <w:szCs w:val="24"/>
        </w:rPr>
      </w:pPr>
    </w:p>
    <w:p w14:paraId="1725F9E4">
      <w:pPr>
        <w:snapToGrid w:val="0"/>
        <w:spacing w:line="300" w:lineRule="auto"/>
        <w:jc w:val="left"/>
        <w:rPr>
          <w:rFonts w:ascii="Arial" w:hAnsi="Arial" w:eastAsia="宋体" w:cs="Arial"/>
          <w:b/>
          <w:sz w:val="24"/>
          <w:szCs w:val="24"/>
        </w:rPr>
      </w:pPr>
      <w:r>
        <w:rPr>
          <w:rFonts w:ascii="Arial" w:hAnsi="Arial" w:eastAsia="宋体" w:cs="Arial"/>
          <w:b/>
          <w:sz w:val="24"/>
          <w:szCs w:val="24"/>
        </w:rPr>
        <w:t>申请编号：______________________________________________________</w:t>
      </w:r>
    </w:p>
    <w:p w14:paraId="572365E8">
      <w:pPr>
        <w:snapToGrid w:val="0"/>
        <w:spacing w:line="300" w:lineRule="auto"/>
        <w:jc w:val="left"/>
        <w:rPr>
          <w:rFonts w:ascii="Arial" w:hAnsi="Arial" w:eastAsia="宋体" w:cs="Arial"/>
          <w:b/>
          <w:bCs/>
          <w:sz w:val="24"/>
          <w:szCs w:val="24"/>
        </w:rPr>
      </w:pPr>
    </w:p>
    <w:p w14:paraId="3709D6EB">
      <w:pPr>
        <w:snapToGrid w:val="0"/>
        <w:spacing w:line="300" w:lineRule="auto"/>
        <w:jc w:val="left"/>
        <w:rPr>
          <w:rFonts w:ascii="Arial" w:hAnsi="Arial" w:eastAsia="宋体" w:cs="Arial"/>
          <w:b/>
          <w:bCs/>
          <w:sz w:val="24"/>
          <w:szCs w:val="24"/>
        </w:rPr>
      </w:pPr>
      <w:r>
        <w:rPr>
          <w:rFonts w:ascii="Arial" w:hAnsi="Arial" w:eastAsia="宋体" w:cs="Arial"/>
          <w:b/>
          <w:bCs/>
          <w:sz w:val="24"/>
          <w:szCs w:val="24"/>
        </w:rPr>
        <w:t>申办方：_______________________________________________________</w:t>
      </w:r>
    </w:p>
    <w:p w14:paraId="087EF148">
      <w:pPr>
        <w:snapToGrid w:val="0"/>
        <w:spacing w:line="300" w:lineRule="auto"/>
        <w:jc w:val="left"/>
        <w:rPr>
          <w:rFonts w:ascii="Arial" w:hAnsi="Arial" w:eastAsia="宋体" w:cs="Arial"/>
          <w:b/>
          <w:bCs/>
          <w:sz w:val="24"/>
          <w:szCs w:val="24"/>
        </w:rPr>
      </w:pPr>
    </w:p>
    <w:p w14:paraId="2D1F3102">
      <w:pPr>
        <w:snapToGrid w:val="0"/>
        <w:spacing w:line="300" w:lineRule="auto"/>
        <w:jc w:val="left"/>
        <w:rPr>
          <w:rFonts w:ascii="Arial" w:hAnsi="Arial" w:eastAsia="宋体" w:cs="Arial"/>
          <w:b/>
          <w:bCs/>
          <w:sz w:val="24"/>
          <w:szCs w:val="24"/>
        </w:rPr>
      </w:pPr>
      <w:r>
        <w:rPr>
          <w:rFonts w:ascii="Arial" w:hAnsi="Arial" w:eastAsia="宋体" w:cs="Arial"/>
          <w:b/>
          <w:bCs/>
          <w:sz w:val="24"/>
          <w:szCs w:val="24"/>
        </w:rPr>
        <w:t>器械：_________________________________________________________</w:t>
      </w:r>
    </w:p>
    <w:p w14:paraId="06A1624B">
      <w:pPr>
        <w:snapToGrid w:val="0"/>
        <w:spacing w:line="300" w:lineRule="auto"/>
        <w:rPr>
          <w:rFonts w:ascii="Arial" w:hAnsi="Arial" w:eastAsia="宋体" w:cs="Arial"/>
          <w:bCs/>
          <w:sz w:val="24"/>
          <w:szCs w:val="24"/>
        </w:rPr>
      </w:pPr>
    </w:p>
    <w:p w14:paraId="11A82EAF">
      <w:pPr>
        <w:snapToGrid w:val="0"/>
        <w:spacing w:line="300" w:lineRule="auto"/>
        <w:rPr>
          <w:rFonts w:ascii="Arial" w:hAnsi="Arial" w:eastAsia="宋体" w:cs="Arial"/>
          <w:b/>
          <w:sz w:val="24"/>
          <w:szCs w:val="24"/>
        </w:rPr>
      </w:pPr>
      <w:r>
        <w:rPr>
          <w:rFonts w:ascii="Arial" w:hAnsi="Arial" w:eastAsia="宋体" w:cs="Arial"/>
          <w:b/>
          <w:sz w:val="24"/>
          <w:szCs w:val="24"/>
        </w:rPr>
        <w:t>在与申办方召开的早期协作会议上，采用最小负担原则：</w:t>
      </w:r>
    </w:p>
    <w:p w14:paraId="3E2C2800">
      <w:pPr>
        <w:pStyle w:val="14"/>
        <w:numPr>
          <w:ilvl w:val="0"/>
          <w:numId w:val="11"/>
        </w:numPr>
        <w:snapToGrid w:val="0"/>
        <w:spacing w:line="300" w:lineRule="auto"/>
        <w:ind w:firstLineChars="0"/>
        <w:rPr>
          <w:rFonts w:ascii="Arial" w:hAnsi="Arial" w:eastAsia="宋体" w:cs="Arial"/>
          <w:sz w:val="24"/>
          <w:szCs w:val="24"/>
          <w:u w:val="single"/>
        </w:rPr>
      </w:pPr>
      <w:r>
        <w:rPr>
          <w:rFonts w:ascii="Arial" w:hAnsi="Arial" w:eastAsia="宋体" w:cs="Arial"/>
          <w:sz w:val="24"/>
          <w:szCs w:val="24"/>
          <w:u w:val="single"/>
        </w:rPr>
        <w:t>确定</w:t>
      </w:r>
      <w:r>
        <w:rPr>
          <w:rFonts w:hint="eastAsia" w:ascii="Arial" w:hAnsi="Arial" w:eastAsia="宋体" w:cs="Arial"/>
          <w:sz w:val="24"/>
          <w:szCs w:val="24"/>
          <w:u w:val="single"/>
        </w:rPr>
        <w:t>是否需要</w:t>
      </w:r>
      <w:r>
        <w:rPr>
          <w:rFonts w:ascii="Arial" w:hAnsi="Arial" w:eastAsia="宋体" w:cs="Arial"/>
          <w:sz w:val="24"/>
          <w:szCs w:val="24"/>
          <w:u w:val="single"/>
        </w:rPr>
        <w:t>前瞻性临床数据？</w:t>
      </w:r>
    </w:p>
    <w:p w14:paraId="59863CC2">
      <w:pPr>
        <w:tabs>
          <w:tab w:val="right" w:pos="8315"/>
        </w:tabs>
        <w:snapToGrid w:val="0"/>
        <w:spacing w:line="300" w:lineRule="auto"/>
        <w:ind w:left="420" w:leftChars="200"/>
        <w:rPr>
          <w:rFonts w:ascii="Arial" w:hAnsi="Arial" w:eastAsia="宋体" w:cs="Arial"/>
          <w:sz w:val="24"/>
          <w:szCs w:val="24"/>
        </w:rPr>
      </w:pPr>
      <w:r>
        <w:rPr>
          <w:rFonts w:ascii="Arial" w:hAnsi="Arial" w:eastAsia="宋体" w:cs="Arial"/>
          <w:sz w:val="24"/>
          <w:szCs w:val="24"/>
        </w:rPr>
        <w:t>a.考虑用临床前测试代替临床数据吗？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278649C1">
      <w:pPr>
        <w:snapToGrid w:val="0"/>
        <w:spacing w:line="300" w:lineRule="auto"/>
        <w:ind w:left="420" w:leftChars="200"/>
        <w:jc w:val="left"/>
        <w:rPr>
          <w:rFonts w:ascii="Arial" w:hAnsi="Arial" w:eastAsia="宋体" w:cs="Arial"/>
          <w:sz w:val="24"/>
          <w:szCs w:val="24"/>
        </w:rPr>
      </w:pPr>
      <w:r>
        <w:rPr>
          <w:rFonts w:ascii="Arial" w:hAnsi="Arial" w:eastAsia="宋体" w:cs="Arial"/>
          <w:sz w:val="24"/>
          <w:szCs w:val="24"/>
        </w:rPr>
        <w:t>说明：_________________________________________________________</w:t>
      </w:r>
    </w:p>
    <w:p w14:paraId="2BDF7BBE">
      <w:pPr>
        <w:snapToGrid w:val="0"/>
        <w:spacing w:line="300" w:lineRule="auto"/>
        <w:ind w:left="420" w:leftChars="200"/>
        <w:jc w:val="left"/>
        <w:rPr>
          <w:rFonts w:ascii="Arial" w:hAnsi="Arial" w:eastAsia="宋体" w:cs="Arial"/>
          <w:sz w:val="24"/>
          <w:szCs w:val="24"/>
        </w:rPr>
      </w:pPr>
      <w:r>
        <w:rPr>
          <w:rFonts w:ascii="Arial" w:hAnsi="Arial" w:eastAsia="宋体" w:cs="Arial"/>
          <w:sz w:val="24"/>
          <w:szCs w:val="24"/>
        </w:rPr>
        <w:t>_________________________________________________________</w:t>
      </w:r>
    </w:p>
    <w:p w14:paraId="7D166E34">
      <w:pPr>
        <w:snapToGrid w:val="0"/>
        <w:spacing w:line="300" w:lineRule="auto"/>
        <w:ind w:left="420" w:leftChars="200"/>
        <w:rPr>
          <w:rFonts w:ascii="Arial" w:hAnsi="Arial" w:eastAsia="宋体" w:cs="Arial"/>
          <w:sz w:val="24"/>
          <w:szCs w:val="24"/>
        </w:rPr>
      </w:pPr>
      <w:r>
        <w:rPr>
          <w:rFonts w:ascii="Arial" w:hAnsi="Arial" w:eastAsia="宋体" w:cs="Arial"/>
          <w:sz w:val="24"/>
          <w:szCs w:val="24"/>
        </w:rPr>
        <w:t>b.考虑使用以前收集的非美国数据、文献和/或注册数据吗？</w:t>
      </w:r>
    </w:p>
    <w:p w14:paraId="66E0F741">
      <w:pPr>
        <w:snapToGrid w:val="0"/>
        <w:spacing w:line="300" w:lineRule="auto"/>
        <w:ind w:left="420" w:leftChars="200"/>
        <w:jc w:val="righ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05490790">
      <w:pPr>
        <w:snapToGrid w:val="0"/>
        <w:spacing w:line="300" w:lineRule="auto"/>
        <w:ind w:left="420" w:leftChars="200"/>
        <w:jc w:val="left"/>
        <w:rPr>
          <w:rFonts w:ascii="Arial" w:hAnsi="Arial" w:eastAsia="宋体" w:cs="Arial"/>
          <w:sz w:val="24"/>
          <w:szCs w:val="24"/>
        </w:rPr>
      </w:pPr>
      <w:r>
        <w:rPr>
          <w:rFonts w:ascii="Arial" w:hAnsi="Arial" w:eastAsia="宋体" w:cs="Arial"/>
          <w:sz w:val="24"/>
          <w:szCs w:val="24"/>
        </w:rPr>
        <w:t>说明：___________________________________________________________</w:t>
      </w:r>
    </w:p>
    <w:p w14:paraId="761B51D1">
      <w:pPr>
        <w:pStyle w:val="14"/>
        <w:numPr>
          <w:ilvl w:val="0"/>
          <w:numId w:val="11"/>
        </w:numPr>
        <w:snapToGrid w:val="0"/>
        <w:spacing w:line="300" w:lineRule="auto"/>
        <w:ind w:firstLineChars="0"/>
        <w:rPr>
          <w:rFonts w:ascii="Arial" w:hAnsi="Arial" w:eastAsia="宋体" w:cs="Arial"/>
          <w:sz w:val="24"/>
          <w:szCs w:val="24"/>
          <w:u w:val="single"/>
        </w:rPr>
      </w:pPr>
      <w:r>
        <w:rPr>
          <w:rFonts w:hint="eastAsia" w:ascii="Arial" w:hAnsi="Arial" w:eastAsia="宋体" w:cs="Arial"/>
          <w:sz w:val="24"/>
          <w:szCs w:val="24"/>
          <w:u w:val="single"/>
        </w:rPr>
        <w:t>是否需要</w:t>
      </w:r>
      <w:r>
        <w:rPr>
          <w:rFonts w:ascii="Arial" w:hAnsi="Arial" w:eastAsia="宋体" w:cs="Arial"/>
          <w:sz w:val="24"/>
          <w:szCs w:val="24"/>
          <w:u w:val="single"/>
        </w:rPr>
        <w:t>设计临床实验？</w:t>
      </w:r>
    </w:p>
    <w:p w14:paraId="1CC3C19A">
      <w:pPr>
        <w:tabs>
          <w:tab w:val="right" w:pos="8315"/>
        </w:tabs>
        <w:snapToGrid w:val="0"/>
        <w:spacing w:line="300" w:lineRule="auto"/>
        <w:ind w:left="420" w:leftChars="200"/>
        <w:rPr>
          <w:rFonts w:ascii="Arial" w:hAnsi="Arial" w:eastAsia="宋体" w:cs="Arial"/>
          <w:sz w:val="24"/>
          <w:szCs w:val="24"/>
        </w:rPr>
      </w:pPr>
      <w:r>
        <w:rPr>
          <w:rFonts w:ascii="Arial" w:hAnsi="Arial" w:eastAsia="宋体" w:cs="Arial"/>
          <w:sz w:val="24"/>
          <w:szCs w:val="24"/>
        </w:rPr>
        <w:t>a. 考虑使用有效对照实验的替代方法吗？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3BFC0266">
      <w:pPr>
        <w:snapToGrid w:val="0"/>
        <w:spacing w:line="300" w:lineRule="auto"/>
        <w:ind w:left="840" w:leftChars="400"/>
        <w:rPr>
          <w:rFonts w:ascii="Arial" w:hAnsi="Arial" w:eastAsia="宋体" w:cs="Arial"/>
          <w:sz w:val="24"/>
          <w:szCs w:val="24"/>
        </w:rPr>
      </w:pPr>
      <w:r>
        <w:rPr>
          <w:rFonts w:ascii="Arial" w:hAnsi="Arial" w:eastAsia="宋体" w:cs="Arial"/>
          <w:sz w:val="24"/>
          <w:szCs w:val="24"/>
        </w:rPr>
        <w:t>若是，在下列选项上打钩：</w:t>
      </w:r>
    </w:p>
    <w:p w14:paraId="48B01D32">
      <w:pPr>
        <w:tabs>
          <w:tab w:val="right" w:pos="8315"/>
        </w:tabs>
        <w:snapToGrid w:val="0"/>
        <w:spacing w:line="300" w:lineRule="auto"/>
        <w:ind w:left="1260" w:leftChars="600"/>
        <w:rPr>
          <w:rFonts w:ascii="Arial" w:hAnsi="Arial" w:eastAsia="宋体" w:cs="Arial"/>
          <w:sz w:val="24"/>
          <w:szCs w:val="24"/>
        </w:rPr>
      </w:pPr>
      <w:r>
        <w:rPr>
          <w:rFonts w:ascii="Arial" w:hAnsi="Arial" w:eastAsia="宋体" w:cs="Arial"/>
          <w:sz w:val="24"/>
          <w:szCs w:val="24"/>
        </w:rPr>
        <w:t>i. 文献对照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2852D2F9">
      <w:pPr>
        <w:tabs>
          <w:tab w:val="right" w:pos="8315"/>
        </w:tabs>
        <w:snapToGrid w:val="0"/>
        <w:spacing w:line="300" w:lineRule="auto"/>
        <w:ind w:left="1260" w:leftChars="600"/>
        <w:rPr>
          <w:rFonts w:ascii="Arial" w:hAnsi="Arial" w:eastAsia="宋体" w:cs="Arial"/>
          <w:sz w:val="24"/>
          <w:szCs w:val="24"/>
        </w:rPr>
      </w:pPr>
      <w:r>
        <w:rPr>
          <w:rFonts w:ascii="Arial" w:hAnsi="Arial" w:eastAsia="宋体" w:cs="Arial"/>
          <w:sz w:val="24"/>
          <w:szCs w:val="24"/>
        </w:rPr>
        <w:t>ii. 历史对照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15B1620A">
      <w:pPr>
        <w:tabs>
          <w:tab w:val="right" w:pos="8315"/>
        </w:tabs>
        <w:snapToGrid w:val="0"/>
        <w:spacing w:line="300" w:lineRule="auto"/>
        <w:ind w:left="1260" w:leftChars="600"/>
        <w:rPr>
          <w:rFonts w:ascii="Arial" w:hAnsi="Arial" w:eastAsia="宋体" w:cs="Arial"/>
          <w:sz w:val="24"/>
          <w:szCs w:val="24"/>
        </w:rPr>
      </w:pPr>
      <w:r>
        <w:rPr>
          <w:rFonts w:ascii="Arial" w:hAnsi="Arial" w:eastAsia="宋体" w:cs="Arial"/>
          <w:sz w:val="24"/>
          <w:szCs w:val="24"/>
        </w:rPr>
        <w:t>iii. 非</w:t>
      </w:r>
      <w:r>
        <w:rPr>
          <w:rFonts w:hint="eastAsia" w:ascii="Arial" w:hAnsi="Arial" w:eastAsia="宋体" w:cs="Arial"/>
          <w:sz w:val="24"/>
          <w:szCs w:val="24"/>
        </w:rPr>
        <w:t>活性</w:t>
      </w:r>
      <w:r>
        <w:rPr>
          <w:rFonts w:ascii="Arial" w:hAnsi="Arial" w:eastAsia="宋体" w:cs="Arial"/>
          <w:sz w:val="24"/>
          <w:szCs w:val="24"/>
        </w:rPr>
        <w:t>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477FD9A0">
      <w:pPr>
        <w:tabs>
          <w:tab w:val="right" w:pos="8315"/>
        </w:tabs>
        <w:snapToGrid w:val="0"/>
        <w:spacing w:line="300" w:lineRule="auto"/>
        <w:ind w:left="1260" w:leftChars="600"/>
        <w:rPr>
          <w:rFonts w:ascii="Arial" w:hAnsi="Arial" w:eastAsia="宋体" w:cs="Arial"/>
          <w:sz w:val="24"/>
          <w:szCs w:val="24"/>
        </w:rPr>
      </w:pPr>
      <w:r>
        <w:rPr>
          <w:rFonts w:ascii="Arial" w:hAnsi="Arial" w:eastAsia="宋体" w:cs="Arial"/>
          <w:sz w:val="24"/>
          <w:szCs w:val="24"/>
        </w:rPr>
        <w:t>iv. 患者自身对照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2E10CCC7">
      <w:pPr>
        <w:tabs>
          <w:tab w:val="right" w:pos="8315"/>
        </w:tabs>
        <w:snapToGrid w:val="0"/>
        <w:spacing w:line="300" w:lineRule="auto"/>
        <w:ind w:left="1260" w:leftChars="600"/>
        <w:rPr>
          <w:rFonts w:ascii="Arial" w:hAnsi="Arial" w:eastAsia="宋体" w:cs="Arial"/>
          <w:sz w:val="24"/>
          <w:szCs w:val="24"/>
        </w:rPr>
      </w:pPr>
      <w:r>
        <w:rPr>
          <w:rFonts w:ascii="Arial" w:hAnsi="Arial" w:eastAsia="宋体" w:cs="Arial"/>
          <w:sz w:val="24"/>
          <w:szCs w:val="24"/>
        </w:rPr>
        <w:t>v. 客观性能标准</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1FE57ED2">
      <w:pPr>
        <w:tabs>
          <w:tab w:val="right" w:pos="8315"/>
        </w:tabs>
        <w:snapToGrid w:val="0"/>
        <w:spacing w:line="300" w:lineRule="auto"/>
        <w:ind w:left="1260" w:leftChars="600"/>
        <w:rPr>
          <w:rFonts w:ascii="Arial" w:hAnsi="Arial" w:eastAsia="宋体" w:cs="Arial"/>
          <w:sz w:val="24"/>
          <w:szCs w:val="24"/>
        </w:rPr>
      </w:pPr>
      <w:r>
        <w:rPr>
          <w:rFonts w:ascii="Arial" w:hAnsi="Arial" w:eastAsia="宋体" w:cs="Arial"/>
          <w:sz w:val="24"/>
          <w:szCs w:val="24"/>
        </w:rPr>
        <w:t>vi. 其它</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68BE3A70">
      <w:pPr>
        <w:widowControl/>
        <w:jc w:val="left"/>
        <w:rPr>
          <w:rFonts w:ascii="Arial" w:hAnsi="Arial" w:eastAsia="宋体" w:cs="Arial"/>
          <w:sz w:val="24"/>
          <w:szCs w:val="24"/>
        </w:rPr>
        <w:sectPr>
          <w:footerReference r:id="rId6" w:type="default"/>
          <w:pgSz w:w="11906" w:h="16838"/>
          <w:pgMar w:top="1440" w:right="1800" w:bottom="1440" w:left="1800" w:header="851" w:footer="720" w:gutter="0"/>
          <w:pgNumType w:start="1"/>
          <w:cols w:space="425" w:num="1"/>
          <w:docGrid w:type="lines" w:linePitch="312" w:charSpace="0"/>
        </w:sectPr>
      </w:pPr>
    </w:p>
    <w:p w14:paraId="6B8B4669">
      <w:pPr>
        <w:snapToGrid w:val="0"/>
        <w:spacing w:line="300" w:lineRule="auto"/>
        <w:jc w:val="left"/>
        <w:rPr>
          <w:rFonts w:ascii="Arial" w:hAnsi="Arial" w:eastAsia="宋体" w:cs="Arial"/>
          <w:sz w:val="24"/>
          <w:szCs w:val="24"/>
        </w:rPr>
      </w:pPr>
      <w:r>
        <w:rPr>
          <w:rFonts w:ascii="Arial" w:hAnsi="Arial" w:eastAsia="宋体" w:cs="Arial"/>
          <w:sz w:val="24"/>
          <w:szCs w:val="24"/>
        </w:rPr>
        <w:t>若为其它，请加以描述：___________________________________________</w:t>
      </w:r>
    </w:p>
    <w:p w14:paraId="581B5208">
      <w:pPr>
        <w:snapToGrid w:val="0"/>
        <w:spacing w:line="300" w:lineRule="auto"/>
        <w:jc w:val="left"/>
        <w:rPr>
          <w:rFonts w:ascii="Arial" w:hAnsi="Arial" w:eastAsia="宋体" w:cs="Arial"/>
          <w:sz w:val="24"/>
          <w:szCs w:val="24"/>
        </w:rPr>
      </w:pPr>
      <w:r>
        <w:rPr>
          <w:rFonts w:ascii="Arial" w:hAnsi="Arial" w:eastAsia="宋体" w:cs="Arial"/>
          <w:sz w:val="24"/>
          <w:szCs w:val="24"/>
        </w:rPr>
        <w:t>若不能使用替代方法，请加以说明：______________________________________________________________</w:t>
      </w:r>
    </w:p>
    <w:p w14:paraId="379E0B97">
      <w:pPr>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w:t>
      </w:r>
    </w:p>
    <w:p w14:paraId="527E7B45">
      <w:pPr>
        <w:tabs>
          <w:tab w:val="right" w:pos="8315"/>
        </w:tabs>
        <w:snapToGrid w:val="0"/>
        <w:spacing w:line="300" w:lineRule="auto"/>
        <w:jc w:val="left"/>
        <w:rPr>
          <w:rFonts w:ascii="Arial" w:hAnsi="Arial" w:eastAsia="宋体" w:cs="Arial"/>
          <w:sz w:val="24"/>
          <w:szCs w:val="24"/>
        </w:rPr>
      </w:pPr>
      <w:r>
        <w:rPr>
          <w:rFonts w:ascii="Arial" w:hAnsi="Arial" w:eastAsia="宋体" w:cs="Arial"/>
          <w:sz w:val="24"/>
          <w:szCs w:val="24"/>
        </w:rPr>
        <w:t>b. 考虑过使用替代终点吗？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2E0FC65B">
      <w:pPr>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说明：______________________________________________________________</w:t>
      </w:r>
    </w:p>
    <w:p w14:paraId="5A7D69FD">
      <w:pPr>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w:t>
      </w:r>
    </w:p>
    <w:p w14:paraId="488D8C25">
      <w:pPr>
        <w:snapToGrid w:val="0"/>
        <w:spacing w:line="300" w:lineRule="auto"/>
        <w:jc w:val="left"/>
        <w:rPr>
          <w:rFonts w:ascii="Arial" w:hAnsi="Arial" w:eastAsia="宋体" w:cs="Arial"/>
          <w:sz w:val="24"/>
          <w:szCs w:val="24"/>
        </w:rPr>
      </w:pPr>
      <w:r>
        <w:rPr>
          <w:rFonts w:ascii="Arial" w:hAnsi="Arial" w:eastAsia="宋体" w:cs="Arial"/>
          <w:sz w:val="24"/>
          <w:szCs w:val="24"/>
        </w:rPr>
        <w:t>c. 在确定如何测量主要终点和次要终点时考虑过采用最小负担手段原则吗？</w:t>
      </w:r>
    </w:p>
    <w:p w14:paraId="65E2EDD3">
      <w:pPr>
        <w:snapToGrid w:val="0"/>
        <w:spacing w:line="300" w:lineRule="auto"/>
        <w:jc w:val="righ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1DA99FF1">
      <w:pPr>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说明：______________________________________________________________</w:t>
      </w:r>
    </w:p>
    <w:p w14:paraId="13713DC0">
      <w:pPr>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w:t>
      </w:r>
    </w:p>
    <w:p w14:paraId="1518E88D">
      <w:pPr>
        <w:tabs>
          <w:tab w:val="right" w:pos="8315"/>
        </w:tabs>
        <w:snapToGrid w:val="0"/>
        <w:spacing w:line="300" w:lineRule="auto"/>
        <w:jc w:val="left"/>
        <w:rPr>
          <w:rFonts w:ascii="Arial" w:hAnsi="Arial" w:eastAsia="宋体" w:cs="Arial"/>
          <w:sz w:val="24"/>
          <w:szCs w:val="24"/>
        </w:rPr>
      </w:pPr>
      <w:r>
        <w:rPr>
          <w:rFonts w:ascii="Arial" w:hAnsi="Arial" w:eastAsia="宋体" w:cs="Arial"/>
          <w:sz w:val="24"/>
          <w:szCs w:val="24"/>
        </w:rPr>
        <w:t>d. 考虑过早期提交申请吗？即经协商一致，对一定比例的患者随访预先规定的时限后可以提交申请吗？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2ECFA460">
      <w:pPr>
        <w:snapToGrid w:val="0"/>
        <w:spacing w:line="300" w:lineRule="auto"/>
        <w:jc w:val="left"/>
        <w:rPr>
          <w:rFonts w:ascii="Arial" w:hAnsi="Arial" w:eastAsia="宋体" w:cs="Arial"/>
          <w:sz w:val="24"/>
          <w:szCs w:val="24"/>
        </w:rPr>
      </w:pPr>
    </w:p>
    <w:p w14:paraId="5202117F">
      <w:pPr>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说明：____________________________________________________________________________________________________________________________</w:t>
      </w:r>
    </w:p>
    <w:p w14:paraId="72D4DDD3">
      <w:pPr>
        <w:snapToGrid w:val="0"/>
        <w:spacing w:line="300" w:lineRule="auto"/>
        <w:jc w:val="left"/>
        <w:rPr>
          <w:rFonts w:ascii="Arial" w:hAnsi="Arial" w:eastAsia="宋体" w:cs="Arial"/>
          <w:sz w:val="24"/>
          <w:szCs w:val="24"/>
        </w:rPr>
      </w:pPr>
      <w:r>
        <w:rPr>
          <w:rFonts w:ascii="Arial" w:hAnsi="Arial" w:eastAsia="宋体" w:cs="Arial"/>
          <w:sz w:val="24"/>
          <w:szCs w:val="24"/>
        </w:rPr>
        <w:t>e. 考虑过发挥上市后信息的作用，将其作为减少上市前要求的一个途径吗？</w:t>
      </w:r>
    </w:p>
    <w:p w14:paraId="113C1C7E">
      <w:pPr>
        <w:snapToGrid w:val="0"/>
        <w:spacing w:line="300" w:lineRule="auto"/>
        <w:jc w:val="righ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1B242620">
      <w:pPr>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说明：____________________________________________________________________________________________________________________________</w:t>
      </w:r>
    </w:p>
    <w:p w14:paraId="4EB55488">
      <w:pPr>
        <w:pStyle w:val="14"/>
        <w:numPr>
          <w:ilvl w:val="0"/>
          <w:numId w:val="11"/>
        </w:numPr>
        <w:snapToGrid w:val="0"/>
        <w:spacing w:line="300" w:lineRule="auto"/>
        <w:ind w:firstLineChars="0"/>
        <w:jc w:val="left"/>
        <w:rPr>
          <w:rFonts w:ascii="Arial" w:hAnsi="Arial" w:eastAsia="宋体" w:cs="Arial"/>
          <w:sz w:val="24"/>
          <w:szCs w:val="24"/>
        </w:rPr>
      </w:pPr>
      <w:r>
        <w:rPr>
          <w:rFonts w:ascii="Arial" w:hAnsi="Arial" w:eastAsia="宋体" w:cs="Arial"/>
          <w:sz w:val="24"/>
          <w:szCs w:val="24"/>
          <w:u w:val="single"/>
        </w:rPr>
        <w:t>在以上未提及的实验设计的其它领域采用最小负担原则了吗？</w:t>
      </w:r>
    </w:p>
    <w:p w14:paraId="379166DD">
      <w:pPr>
        <w:pStyle w:val="14"/>
        <w:snapToGrid w:val="0"/>
        <w:spacing w:line="300" w:lineRule="auto"/>
        <w:ind w:left="360" w:firstLine="0" w:firstLineChars="0"/>
        <w:jc w:val="righ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4534D6C5">
      <w:pPr>
        <w:snapToGrid w:val="0"/>
        <w:spacing w:line="300" w:lineRule="auto"/>
        <w:jc w:val="left"/>
        <w:rPr>
          <w:rFonts w:ascii="Arial" w:hAnsi="Arial" w:eastAsia="宋体" w:cs="Arial"/>
          <w:sz w:val="24"/>
          <w:szCs w:val="24"/>
        </w:rPr>
      </w:pPr>
      <w:r>
        <w:rPr>
          <w:rFonts w:ascii="Arial" w:hAnsi="Arial" w:eastAsia="宋体" w:cs="Arial"/>
          <w:sz w:val="24"/>
          <w:szCs w:val="24"/>
        </w:rPr>
        <w:t>若是，请加以描述：_____________________________________________________________</w:t>
      </w:r>
    </w:p>
    <w:p w14:paraId="443ED5A5">
      <w:pPr>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B08F41">
      <w:pPr>
        <w:snapToGrid w:val="0"/>
        <w:spacing w:line="300" w:lineRule="auto"/>
        <w:jc w:val="left"/>
        <w:rPr>
          <w:rFonts w:ascii="Arial" w:hAnsi="Arial" w:eastAsia="宋体" w:cs="Arial"/>
          <w:sz w:val="24"/>
          <w:szCs w:val="24"/>
        </w:rPr>
      </w:pPr>
      <w:r>
        <w:rPr>
          <w:rFonts w:ascii="Arial" w:hAnsi="Arial" w:eastAsia="宋体" w:cs="Arial"/>
          <w:sz w:val="24"/>
          <w:szCs w:val="24"/>
        </w:rPr>
        <w:t>团队负责人签名               日期</w:t>
      </w:r>
    </w:p>
    <w:p w14:paraId="0303228A">
      <w:pPr>
        <w:snapToGrid w:val="0"/>
        <w:spacing w:after="156" w:afterLines="50" w:line="300" w:lineRule="auto"/>
        <w:jc w:val="right"/>
        <w:rPr>
          <w:rFonts w:ascii="Arial" w:hAnsi="Arial" w:eastAsia="宋体" w:cs="Arial"/>
          <w:sz w:val="24"/>
          <w:szCs w:val="24"/>
        </w:rPr>
        <w:sectPr>
          <w:footerReference r:id="rId7" w:type="default"/>
          <w:pgSz w:w="11906" w:h="16838"/>
          <w:pgMar w:top="1440" w:right="1800" w:bottom="1440" w:left="1800" w:header="851" w:footer="720" w:gutter="0"/>
          <w:pgNumType w:start="2"/>
          <w:cols w:space="425" w:num="1"/>
          <w:docGrid w:type="lines" w:linePitch="312" w:charSpace="0"/>
        </w:sectPr>
      </w:pPr>
    </w:p>
    <w:p w14:paraId="16DC9500">
      <w:pPr>
        <w:snapToGrid w:val="0"/>
        <w:spacing w:after="156" w:afterLines="50" w:line="300" w:lineRule="auto"/>
        <w:jc w:val="right"/>
        <w:rPr>
          <w:rFonts w:ascii="Arial" w:hAnsi="Arial" w:eastAsia="宋体" w:cs="Arial"/>
          <w:sz w:val="24"/>
          <w:szCs w:val="24"/>
        </w:rPr>
      </w:pPr>
      <w:r>
        <w:rPr>
          <w:rFonts w:ascii="Arial" w:hAnsi="Arial" w:eastAsia="宋体" w:cs="Arial"/>
          <w:sz w:val="24"/>
          <w:szCs w:val="24"/>
        </w:rPr>
        <w:t>附录B</w:t>
      </w:r>
    </w:p>
    <w:p w14:paraId="3DD31532">
      <w:pPr>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早期协作会议上申办方对采用最小负担原则申请的评价</w:t>
      </w:r>
    </w:p>
    <w:p w14:paraId="020495F7">
      <w:pPr>
        <w:snapToGrid w:val="0"/>
        <w:spacing w:line="300" w:lineRule="auto"/>
        <w:jc w:val="left"/>
        <w:rPr>
          <w:rFonts w:ascii="Arial" w:hAnsi="Arial" w:eastAsia="宋体" w:cs="Arial"/>
          <w:b/>
          <w:sz w:val="24"/>
          <w:szCs w:val="24"/>
        </w:rPr>
      </w:pPr>
      <w:r>
        <w:rPr>
          <w:rFonts w:ascii="Arial" w:hAnsi="Arial" w:eastAsia="宋体" w:cs="Arial"/>
          <w:b/>
          <w:sz w:val="24"/>
          <w:szCs w:val="24"/>
        </w:rPr>
        <w:t>会议类型：</w:t>
      </w:r>
    </w:p>
    <w:p w14:paraId="024E364F">
      <w:pPr>
        <w:snapToGrid w:val="0"/>
        <w:spacing w:line="300" w:lineRule="auto"/>
        <w:ind w:left="420" w:leftChars="200"/>
        <w:jc w:val="lef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ab/>
      </w:r>
      <w:r>
        <w:rPr>
          <w:rFonts w:ascii="Arial" w:hAnsi="Arial" w:eastAsia="宋体" w:cs="Arial"/>
          <w:sz w:val="24"/>
          <w:szCs w:val="24"/>
        </w:rPr>
        <w:t>______决定会议§513（a）（3）（D）</w:t>
      </w:r>
    </w:p>
    <w:p w14:paraId="6F64DA45">
      <w:pPr>
        <w:snapToGrid w:val="0"/>
        <w:spacing w:line="300" w:lineRule="auto"/>
        <w:ind w:left="420" w:leftChars="200"/>
        <w:jc w:val="lef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ab/>
      </w:r>
      <w:r>
        <w:rPr>
          <w:rFonts w:ascii="Arial" w:hAnsi="Arial" w:eastAsia="宋体" w:cs="Arial"/>
          <w:sz w:val="24"/>
          <w:szCs w:val="24"/>
        </w:rPr>
        <w:t>______协议会议§520（g）（7）</w:t>
      </w:r>
    </w:p>
    <w:p w14:paraId="63FD38B8">
      <w:pPr>
        <w:snapToGrid w:val="0"/>
        <w:spacing w:before="156" w:beforeLines="50" w:line="300" w:lineRule="auto"/>
        <w:jc w:val="left"/>
        <w:rPr>
          <w:rFonts w:ascii="Arial" w:hAnsi="Arial" w:eastAsia="宋体" w:cs="Arial"/>
          <w:b/>
          <w:sz w:val="24"/>
          <w:szCs w:val="24"/>
        </w:rPr>
      </w:pPr>
      <w:r>
        <w:rPr>
          <w:rFonts w:hint="eastAsia" w:ascii="Arial" w:hAnsi="Arial" w:eastAsia="宋体" w:cs="Arial"/>
          <w:b/>
          <w:sz w:val="24"/>
          <w:szCs w:val="24"/>
        </w:rPr>
        <w:t>部门</w:t>
      </w:r>
      <w:r>
        <w:rPr>
          <w:rFonts w:ascii="Arial" w:hAnsi="Arial" w:eastAsia="宋体" w:cs="Arial"/>
          <w:b/>
          <w:sz w:val="24"/>
          <w:szCs w:val="24"/>
        </w:rPr>
        <w:t>/科室：_______________________________________________________</w:t>
      </w:r>
    </w:p>
    <w:p w14:paraId="7CF55F6A">
      <w:pPr>
        <w:snapToGrid w:val="0"/>
        <w:spacing w:line="300" w:lineRule="auto"/>
        <w:jc w:val="left"/>
        <w:rPr>
          <w:rFonts w:ascii="Arial" w:hAnsi="Arial" w:eastAsia="宋体" w:cs="Arial"/>
          <w:b/>
          <w:sz w:val="24"/>
          <w:szCs w:val="24"/>
        </w:rPr>
      </w:pPr>
    </w:p>
    <w:p w14:paraId="1A40D206">
      <w:pPr>
        <w:snapToGrid w:val="0"/>
        <w:spacing w:line="300" w:lineRule="auto"/>
        <w:jc w:val="left"/>
        <w:rPr>
          <w:rFonts w:ascii="Arial" w:hAnsi="Arial" w:eastAsia="宋体" w:cs="Arial"/>
          <w:b/>
          <w:sz w:val="24"/>
          <w:szCs w:val="24"/>
        </w:rPr>
      </w:pPr>
      <w:r>
        <w:rPr>
          <w:rFonts w:ascii="Arial" w:hAnsi="Arial" w:eastAsia="宋体" w:cs="Arial"/>
          <w:b/>
          <w:sz w:val="24"/>
          <w:szCs w:val="24"/>
        </w:rPr>
        <w:t>申请编号：______________________________________________________</w:t>
      </w:r>
    </w:p>
    <w:p w14:paraId="58D973C2">
      <w:pPr>
        <w:snapToGrid w:val="0"/>
        <w:spacing w:line="300" w:lineRule="auto"/>
        <w:jc w:val="left"/>
        <w:rPr>
          <w:rFonts w:ascii="Arial" w:hAnsi="Arial" w:eastAsia="宋体" w:cs="Arial"/>
          <w:b/>
          <w:bCs/>
          <w:sz w:val="24"/>
          <w:szCs w:val="24"/>
        </w:rPr>
      </w:pPr>
    </w:p>
    <w:p w14:paraId="16DF73D1">
      <w:pPr>
        <w:snapToGrid w:val="0"/>
        <w:spacing w:line="300" w:lineRule="auto"/>
        <w:jc w:val="left"/>
        <w:rPr>
          <w:rFonts w:ascii="Arial" w:hAnsi="Arial" w:eastAsia="宋体" w:cs="Arial"/>
          <w:b/>
          <w:bCs/>
          <w:sz w:val="24"/>
          <w:szCs w:val="24"/>
        </w:rPr>
      </w:pPr>
      <w:r>
        <w:rPr>
          <w:rFonts w:ascii="Arial" w:hAnsi="Arial" w:eastAsia="宋体" w:cs="Arial"/>
          <w:b/>
          <w:bCs/>
          <w:sz w:val="24"/>
          <w:szCs w:val="24"/>
        </w:rPr>
        <w:t>申办方：_______________________________________________________</w:t>
      </w:r>
    </w:p>
    <w:p w14:paraId="39E35D9D">
      <w:pPr>
        <w:snapToGrid w:val="0"/>
        <w:spacing w:line="300" w:lineRule="auto"/>
        <w:jc w:val="left"/>
        <w:rPr>
          <w:rFonts w:ascii="Arial" w:hAnsi="Arial" w:eastAsia="宋体" w:cs="Arial"/>
          <w:b/>
          <w:bCs/>
          <w:sz w:val="24"/>
          <w:szCs w:val="24"/>
        </w:rPr>
      </w:pPr>
    </w:p>
    <w:p w14:paraId="0365C819">
      <w:pPr>
        <w:snapToGrid w:val="0"/>
        <w:spacing w:line="300" w:lineRule="auto"/>
        <w:jc w:val="left"/>
        <w:rPr>
          <w:rFonts w:ascii="Arial" w:hAnsi="Arial" w:eastAsia="宋体" w:cs="Arial"/>
          <w:b/>
          <w:bCs/>
          <w:sz w:val="24"/>
          <w:szCs w:val="24"/>
        </w:rPr>
      </w:pPr>
      <w:r>
        <w:rPr>
          <w:rFonts w:ascii="Arial" w:hAnsi="Arial" w:eastAsia="宋体" w:cs="Arial"/>
          <w:b/>
          <w:bCs/>
          <w:sz w:val="24"/>
          <w:szCs w:val="24"/>
        </w:rPr>
        <w:t>器械：_________________________________________________________</w:t>
      </w:r>
    </w:p>
    <w:p w14:paraId="5309CD89">
      <w:pPr>
        <w:snapToGrid w:val="0"/>
        <w:spacing w:before="156" w:beforeLines="50" w:line="300" w:lineRule="auto"/>
        <w:jc w:val="left"/>
        <w:rPr>
          <w:rFonts w:ascii="Arial" w:hAnsi="Arial" w:eastAsia="宋体" w:cs="Arial"/>
          <w:b/>
          <w:sz w:val="24"/>
          <w:szCs w:val="24"/>
        </w:rPr>
      </w:pPr>
    </w:p>
    <w:p w14:paraId="16A5B520">
      <w:pPr>
        <w:snapToGrid w:val="0"/>
        <w:spacing w:line="300" w:lineRule="auto"/>
        <w:jc w:val="left"/>
        <w:rPr>
          <w:rFonts w:ascii="Arial" w:hAnsi="Arial" w:eastAsia="宋体" w:cs="Arial"/>
          <w:b/>
          <w:bCs/>
          <w:sz w:val="24"/>
          <w:szCs w:val="24"/>
        </w:rPr>
      </w:pPr>
      <w:r>
        <w:rPr>
          <w:rFonts w:ascii="Arial" w:hAnsi="Arial" w:eastAsia="宋体" w:cs="Arial"/>
          <w:b/>
          <w:bCs/>
          <w:sz w:val="24"/>
          <w:szCs w:val="24"/>
        </w:rPr>
        <w:t>在与申办方召开的早期协作会议上，采用最小负担原则：</w:t>
      </w:r>
    </w:p>
    <w:p w14:paraId="090682AF">
      <w:pPr>
        <w:snapToGrid w:val="0"/>
        <w:spacing w:line="300" w:lineRule="auto"/>
        <w:jc w:val="left"/>
        <w:rPr>
          <w:rFonts w:ascii="Arial" w:hAnsi="Arial" w:eastAsia="宋体" w:cs="Arial"/>
          <w:b/>
          <w:bCs/>
          <w:sz w:val="24"/>
          <w:szCs w:val="24"/>
        </w:rPr>
      </w:pPr>
    </w:p>
    <w:p w14:paraId="13A64D42">
      <w:pPr>
        <w:pStyle w:val="14"/>
        <w:numPr>
          <w:ilvl w:val="0"/>
          <w:numId w:val="12"/>
        </w:numPr>
        <w:snapToGrid w:val="0"/>
        <w:spacing w:line="300" w:lineRule="auto"/>
        <w:ind w:firstLineChars="0"/>
        <w:jc w:val="left"/>
        <w:rPr>
          <w:rFonts w:ascii="Arial" w:hAnsi="Arial" w:eastAsia="宋体" w:cs="Arial"/>
          <w:bCs/>
          <w:sz w:val="24"/>
          <w:szCs w:val="24"/>
          <w:u w:val="single"/>
        </w:rPr>
      </w:pPr>
      <w:r>
        <w:rPr>
          <w:rFonts w:ascii="Arial" w:hAnsi="Arial" w:eastAsia="宋体" w:cs="Arial"/>
          <w:bCs/>
          <w:sz w:val="24"/>
          <w:szCs w:val="24"/>
          <w:u w:val="single"/>
        </w:rPr>
        <w:t>确定</w:t>
      </w:r>
      <w:r>
        <w:rPr>
          <w:rFonts w:hint="eastAsia" w:ascii="Arial" w:hAnsi="Arial" w:eastAsia="宋体" w:cs="Arial"/>
          <w:bCs/>
          <w:sz w:val="24"/>
          <w:szCs w:val="24"/>
          <w:u w:val="single"/>
        </w:rPr>
        <w:t>是否需要</w:t>
      </w:r>
      <w:r>
        <w:rPr>
          <w:rFonts w:ascii="Arial" w:hAnsi="Arial" w:eastAsia="宋体" w:cs="Arial"/>
          <w:bCs/>
          <w:sz w:val="24"/>
          <w:szCs w:val="24"/>
          <w:u w:val="single"/>
        </w:rPr>
        <w:t>前瞻性临床数据？</w:t>
      </w:r>
    </w:p>
    <w:p w14:paraId="222FBF4D">
      <w:pPr>
        <w:tabs>
          <w:tab w:val="right" w:pos="8315"/>
        </w:tabs>
        <w:snapToGrid w:val="0"/>
        <w:spacing w:before="156" w:beforeLines="50" w:line="300" w:lineRule="auto"/>
        <w:ind w:left="420" w:leftChars="200"/>
        <w:jc w:val="left"/>
        <w:rPr>
          <w:rFonts w:ascii="Arial" w:hAnsi="Arial" w:eastAsia="宋体" w:cs="Arial"/>
          <w:bCs/>
          <w:sz w:val="24"/>
          <w:szCs w:val="24"/>
        </w:rPr>
      </w:pPr>
      <w:r>
        <w:rPr>
          <w:rFonts w:ascii="Arial" w:hAnsi="Arial" w:eastAsia="宋体" w:cs="Arial"/>
          <w:bCs/>
          <w:sz w:val="24"/>
          <w:szCs w:val="24"/>
        </w:rPr>
        <w:t>a. 考虑用临床前测试代替临床数据吗？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7B2BAF3E">
      <w:pPr>
        <w:snapToGrid w:val="0"/>
        <w:spacing w:line="300" w:lineRule="auto"/>
        <w:ind w:left="840" w:leftChars="400"/>
        <w:jc w:val="left"/>
        <w:rPr>
          <w:rFonts w:ascii="Arial" w:hAnsi="Arial" w:eastAsia="宋体" w:cs="Arial"/>
          <w:bCs/>
          <w:sz w:val="24"/>
          <w:szCs w:val="24"/>
        </w:rPr>
      </w:pPr>
      <w:r>
        <w:rPr>
          <w:rFonts w:ascii="Arial" w:hAnsi="Arial" w:eastAsia="宋体" w:cs="Arial"/>
          <w:bCs/>
          <w:sz w:val="24"/>
          <w:szCs w:val="24"/>
        </w:rPr>
        <w:t>说明：______________________________________________________________________________________________________________</w:t>
      </w:r>
    </w:p>
    <w:p w14:paraId="7F5F7547">
      <w:pPr>
        <w:snapToGrid w:val="0"/>
        <w:spacing w:line="300" w:lineRule="auto"/>
        <w:ind w:left="420" w:leftChars="200"/>
        <w:jc w:val="left"/>
        <w:rPr>
          <w:rFonts w:ascii="Arial" w:hAnsi="Arial" w:eastAsia="宋体" w:cs="Arial"/>
          <w:sz w:val="24"/>
          <w:szCs w:val="24"/>
        </w:rPr>
      </w:pPr>
      <w:r>
        <w:rPr>
          <w:rFonts w:ascii="Arial" w:hAnsi="Arial" w:eastAsia="宋体" w:cs="Arial"/>
          <w:bCs/>
          <w:sz w:val="24"/>
          <w:szCs w:val="24"/>
        </w:rPr>
        <w:t>b. 考虑使用以前收集的非美国数据、文献和/或注册数据吗？</w:t>
      </w:r>
    </w:p>
    <w:p w14:paraId="6518BF54">
      <w:pPr>
        <w:snapToGrid w:val="0"/>
        <w:spacing w:line="300" w:lineRule="auto"/>
        <w:jc w:val="right"/>
        <w:rPr>
          <w:rFonts w:ascii="Arial" w:hAnsi="Arial" w:eastAsia="宋体" w:cs="Arial"/>
          <w:bCs/>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6DD10D31">
      <w:pPr>
        <w:snapToGrid w:val="0"/>
        <w:spacing w:line="300" w:lineRule="auto"/>
        <w:jc w:val="left"/>
        <w:rPr>
          <w:rFonts w:ascii="Arial" w:hAnsi="Arial" w:eastAsia="宋体" w:cs="Arial"/>
          <w:bCs/>
          <w:sz w:val="24"/>
          <w:szCs w:val="24"/>
        </w:rPr>
      </w:pPr>
      <w:r>
        <w:rPr>
          <w:rFonts w:ascii="Arial" w:hAnsi="Arial" w:eastAsia="宋体" w:cs="Arial"/>
          <w:bCs/>
          <w:sz w:val="24"/>
          <w:szCs w:val="24"/>
        </w:rPr>
        <w:t>说明：____________________________________________________________________________________________________________________________</w:t>
      </w:r>
    </w:p>
    <w:p w14:paraId="2AC316EC">
      <w:pPr>
        <w:pStyle w:val="14"/>
        <w:numPr>
          <w:ilvl w:val="0"/>
          <w:numId w:val="12"/>
        </w:numPr>
        <w:snapToGrid w:val="0"/>
        <w:spacing w:line="300" w:lineRule="auto"/>
        <w:ind w:firstLineChars="0"/>
        <w:jc w:val="left"/>
        <w:rPr>
          <w:rFonts w:ascii="Arial" w:hAnsi="Arial" w:eastAsia="宋体" w:cs="Arial"/>
          <w:bCs/>
          <w:sz w:val="24"/>
          <w:szCs w:val="24"/>
          <w:u w:val="single"/>
        </w:rPr>
      </w:pPr>
      <w:r>
        <w:rPr>
          <w:rFonts w:hint="eastAsia" w:ascii="Arial" w:hAnsi="Arial" w:eastAsia="宋体" w:cs="Arial"/>
          <w:bCs/>
          <w:sz w:val="24"/>
          <w:szCs w:val="24"/>
          <w:u w:val="single"/>
        </w:rPr>
        <w:t>是否需要</w:t>
      </w:r>
      <w:r>
        <w:rPr>
          <w:rFonts w:ascii="Arial" w:hAnsi="Arial" w:eastAsia="宋体" w:cs="Arial"/>
          <w:bCs/>
          <w:sz w:val="24"/>
          <w:szCs w:val="24"/>
          <w:u w:val="single"/>
        </w:rPr>
        <w:t>设计临床实验？</w:t>
      </w:r>
    </w:p>
    <w:p w14:paraId="33B71AB7">
      <w:pPr>
        <w:tabs>
          <w:tab w:val="right" w:pos="8315"/>
        </w:tabs>
        <w:snapToGrid w:val="0"/>
        <w:spacing w:line="300" w:lineRule="auto"/>
        <w:ind w:left="420" w:leftChars="200"/>
        <w:jc w:val="left"/>
        <w:rPr>
          <w:rFonts w:ascii="Arial" w:hAnsi="Arial" w:eastAsia="宋体" w:cs="Arial"/>
          <w:sz w:val="24"/>
          <w:szCs w:val="24"/>
        </w:rPr>
      </w:pPr>
      <w:r>
        <w:rPr>
          <w:rFonts w:ascii="Arial" w:hAnsi="Arial" w:eastAsia="宋体" w:cs="Arial"/>
          <w:sz w:val="24"/>
          <w:szCs w:val="24"/>
        </w:rPr>
        <w:t>a. 考虑使用有效对照实验的替代方法吗？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16034C1D">
      <w:pPr>
        <w:snapToGrid w:val="0"/>
        <w:spacing w:line="300" w:lineRule="auto"/>
        <w:ind w:left="840" w:leftChars="400"/>
        <w:jc w:val="left"/>
        <w:rPr>
          <w:rFonts w:ascii="Arial" w:hAnsi="Arial" w:eastAsia="宋体" w:cs="Arial"/>
          <w:sz w:val="24"/>
          <w:szCs w:val="24"/>
        </w:rPr>
      </w:pPr>
      <w:r>
        <w:rPr>
          <w:rFonts w:ascii="Arial" w:hAnsi="Arial" w:eastAsia="宋体" w:cs="Arial"/>
          <w:sz w:val="24"/>
          <w:szCs w:val="24"/>
        </w:rPr>
        <w:t>若是，在下列选项上打钩：</w:t>
      </w:r>
    </w:p>
    <w:p w14:paraId="18908B5C">
      <w:pPr>
        <w:tabs>
          <w:tab w:val="right" w:pos="8329"/>
        </w:tabs>
        <w:snapToGrid w:val="0"/>
        <w:spacing w:line="300" w:lineRule="auto"/>
        <w:ind w:left="1260" w:leftChars="600"/>
        <w:jc w:val="left"/>
        <w:rPr>
          <w:rFonts w:ascii="Arial" w:hAnsi="Arial" w:eastAsia="宋体" w:cs="Arial"/>
          <w:sz w:val="24"/>
          <w:szCs w:val="24"/>
        </w:rPr>
      </w:pPr>
      <w:r>
        <w:rPr>
          <w:rFonts w:ascii="Arial" w:hAnsi="Arial" w:eastAsia="宋体" w:cs="Arial"/>
          <w:sz w:val="24"/>
          <w:szCs w:val="24"/>
        </w:rPr>
        <w:t>i. 文献对照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2C5CE44C">
      <w:pPr>
        <w:tabs>
          <w:tab w:val="right" w:pos="8329"/>
        </w:tabs>
        <w:snapToGrid w:val="0"/>
        <w:spacing w:line="300" w:lineRule="auto"/>
        <w:ind w:left="1260" w:leftChars="600"/>
        <w:jc w:val="left"/>
        <w:rPr>
          <w:rFonts w:ascii="Arial" w:hAnsi="Arial" w:eastAsia="宋体" w:cs="Arial"/>
          <w:sz w:val="24"/>
          <w:szCs w:val="24"/>
        </w:rPr>
      </w:pPr>
      <w:r>
        <w:rPr>
          <w:rFonts w:ascii="Arial" w:hAnsi="Arial" w:eastAsia="宋体" w:cs="Arial"/>
          <w:sz w:val="24"/>
          <w:szCs w:val="24"/>
        </w:rPr>
        <w:t>ii. 历史对照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124ECBA9">
      <w:pPr>
        <w:tabs>
          <w:tab w:val="right" w:pos="8329"/>
        </w:tabs>
        <w:snapToGrid w:val="0"/>
        <w:spacing w:line="300" w:lineRule="auto"/>
        <w:ind w:left="1260" w:leftChars="600"/>
        <w:jc w:val="left"/>
        <w:rPr>
          <w:rFonts w:ascii="Arial" w:hAnsi="Arial" w:eastAsia="宋体" w:cs="Arial"/>
          <w:sz w:val="24"/>
          <w:szCs w:val="24"/>
        </w:rPr>
      </w:pPr>
      <w:r>
        <w:rPr>
          <w:rFonts w:ascii="Arial" w:hAnsi="Arial" w:eastAsia="宋体" w:cs="Arial"/>
          <w:sz w:val="24"/>
          <w:szCs w:val="24"/>
        </w:rPr>
        <w:t>iii. 非</w:t>
      </w:r>
      <w:r>
        <w:rPr>
          <w:rFonts w:hint="eastAsia" w:ascii="Arial" w:hAnsi="Arial" w:eastAsia="宋体" w:cs="Arial"/>
          <w:sz w:val="24"/>
          <w:szCs w:val="24"/>
        </w:rPr>
        <w:t>活性</w:t>
      </w:r>
      <w:r>
        <w:rPr>
          <w:rFonts w:ascii="Arial" w:hAnsi="Arial" w:eastAsia="宋体" w:cs="Arial"/>
          <w:sz w:val="24"/>
          <w:szCs w:val="24"/>
        </w:rPr>
        <w:t>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3FA84A9F">
      <w:pPr>
        <w:tabs>
          <w:tab w:val="right" w:pos="8329"/>
        </w:tabs>
        <w:snapToGrid w:val="0"/>
        <w:spacing w:line="300" w:lineRule="auto"/>
        <w:ind w:left="1260" w:leftChars="600"/>
        <w:jc w:val="left"/>
        <w:rPr>
          <w:rFonts w:ascii="Arial" w:hAnsi="Arial" w:eastAsia="宋体" w:cs="Arial"/>
          <w:sz w:val="24"/>
          <w:szCs w:val="24"/>
        </w:rPr>
      </w:pPr>
      <w:r>
        <w:rPr>
          <w:rFonts w:ascii="Arial" w:hAnsi="Arial" w:eastAsia="宋体" w:cs="Arial"/>
          <w:sz w:val="24"/>
          <w:szCs w:val="24"/>
        </w:rPr>
        <w:t>iv. 患者自身对照</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7A705021">
      <w:pPr>
        <w:tabs>
          <w:tab w:val="right" w:pos="8329"/>
        </w:tabs>
        <w:snapToGrid w:val="0"/>
        <w:spacing w:line="300" w:lineRule="auto"/>
        <w:ind w:left="1260" w:leftChars="600"/>
        <w:jc w:val="left"/>
        <w:rPr>
          <w:rFonts w:ascii="Arial" w:hAnsi="Arial" w:eastAsia="宋体" w:cs="Arial"/>
          <w:sz w:val="24"/>
          <w:szCs w:val="24"/>
        </w:rPr>
      </w:pPr>
      <w:r>
        <w:rPr>
          <w:rFonts w:ascii="Arial" w:hAnsi="Arial" w:eastAsia="宋体" w:cs="Arial"/>
          <w:sz w:val="24"/>
          <w:szCs w:val="24"/>
        </w:rPr>
        <w:t>v. 客观性能标准</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147E1FF9">
      <w:pPr>
        <w:tabs>
          <w:tab w:val="right" w:pos="8329"/>
        </w:tabs>
        <w:snapToGrid w:val="0"/>
        <w:spacing w:line="300" w:lineRule="auto"/>
        <w:ind w:left="1260" w:leftChars="600"/>
        <w:jc w:val="left"/>
        <w:rPr>
          <w:rFonts w:ascii="Arial" w:hAnsi="Arial" w:eastAsia="宋体" w:cs="Arial"/>
          <w:sz w:val="24"/>
          <w:szCs w:val="24"/>
        </w:rPr>
      </w:pPr>
      <w:r>
        <w:rPr>
          <w:rFonts w:ascii="Arial" w:hAnsi="Arial" w:eastAsia="宋体" w:cs="Arial"/>
          <w:sz w:val="24"/>
          <w:szCs w:val="24"/>
        </w:rPr>
        <w:t>vi. 其它</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3904725E">
      <w:pPr>
        <w:snapToGrid w:val="0"/>
        <w:spacing w:line="300" w:lineRule="auto"/>
        <w:jc w:val="left"/>
        <w:rPr>
          <w:rFonts w:ascii="Arial" w:hAnsi="Arial" w:eastAsia="宋体" w:cs="Arial"/>
          <w:sz w:val="24"/>
          <w:szCs w:val="24"/>
        </w:rPr>
        <w:sectPr>
          <w:footerReference r:id="rId8" w:type="default"/>
          <w:pgSz w:w="11906" w:h="16838"/>
          <w:pgMar w:top="1440" w:right="1800" w:bottom="1440" w:left="1800" w:header="851" w:footer="720" w:gutter="0"/>
          <w:pgNumType w:start="2"/>
          <w:cols w:space="425" w:num="1"/>
          <w:docGrid w:type="lines" w:linePitch="312" w:charSpace="0"/>
        </w:sectPr>
      </w:pPr>
    </w:p>
    <w:p w14:paraId="2F5B784B">
      <w:pPr>
        <w:snapToGrid w:val="0"/>
        <w:spacing w:line="300" w:lineRule="auto"/>
        <w:jc w:val="left"/>
        <w:rPr>
          <w:rFonts w:ascii="Arial" w:hAnsi="Arial" w:eastAsia="宋体" w:cs="Arial"/>
          <w:sz w:val="24"/>
          <w:szCs w:val="24"/>
        </w:rPr>
      </w:pPr>
      <w:r>
        <w:rPr>
          <w:rFonts w:ascii="Arial" w:hAnsi="Arial" w:eastAsia="宋体" w:cs="Arial"/>
          <w:sz w:val="24"/>
          <w:szCs w:val="24"/>
        </w:rPr>
        <w:t>若为其它，请加以描述：__________________________________________</w:t>
      </w:r>
    </w:p>
    <w:p w14:paraId="4392E1F3">
      <w:pPr>
        <w:snapToGrid w:val="0"/>
        <w:spacing w:line="300" w:lineRule="auto"/>
        <w:jc w:val="left"/>
        <w:rPr>
          <w:rFonts w:ascii="Arial" w:hAnsi="Arial" w:eastAsia="宋体" w:cs="Arial"/>
          <w:sz w:val="24"/>
          <w:szCs w:val="24"/>
        </w:rPr>
      </w:pPr>
      <w:r>
        <w:rPr>
          <w:rFonts w:ascii="Arial" w:hAnsi="Arial" w:eastAsia="宋体" w:cs="Arial"/>
          <w:sz w:val="24"/>
          <w:szCs w:val="24"/>
        </w:rPr>
        <w:t>若不能使用替代方法，请加以说明：___________________________________</w:t>
      </w:r>
    </w:p>
    <w:p w14:paraId="4AFEAE9E">
      <w:pPr>
        <w:tabs>
          <w:tab w:val="right" w:pos="8315"/>
        </w:tabs>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______________________________________________________________b. 考虑过使用替代终点吗？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2D28DB56">
      <w:pPr>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w:t>
      </w:r>
    </w:p>
    <w:p w14:paraId="2E68D276">
      <w:pPr>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______________________________________________________________c. 在确定如何测量主要终点和次要终点时考虑过采用最小负担手段原则吗？</w:t>
      </w:r>
    </w:p>
    <w:p w14:paraId="134ACA7A">
      <w:pPr>
        <w:snapToGrid w:val="0"/>
        <w:spacing w:line="300" w:lineRule="auto"/>
        <w:jc w:val="righ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093A103B">
      <w:pPr>
        <w:tabs>
          <w:tab w:val="right" w:pos="8315"/>
        </w:tabs>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w:t>
      </w:r>
    </w:p>
    <w:p w14:paraId="3ED77B8C">
      <w:pPr>
        <w:tabs>
          <w:tab w:val="right" w:pos="8315"/>
        </w:tabs>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w:t>
      </w:r>
    </w:p>
    <w:p w14:paraId="0D3A18CF">
      <w:pPr>
        <w:tabs>
          <w:tab w:val="right" w:pos="8315"/>
        </w:tabs>
        <w:snapToGrid w:val="0"/>
        <w:spacing w:line="300" w:lineRule="auto"/>
        <w:jc w:val="left"/>
        <w:rPr>
          <w:rFonts w:ascii="Arial" w:hAnsi="Arial" w:eastAsia="宋体" w:cs="Arial"/>
          <w:sz w:val="24"/>
          <w:szCs w:val="24"/>
        </w:rPr>
      </w:pPr>
      <w:r>
        <w:rPr>
          <w:rFonts w:ascii="Arial" w:hAnsi="Arial" w:eastAsia="宋体" w:cs="Arial"/>
          <w:sz w:val="24"/>
          <w:szCs w:val="24"/>
        </w:rPr>
        <w:t>d. 考虑过早期提交申请吗？即经协商一致，对一定比例的患者随访预先规定的时限后可以提交申请吗？</w:t>
      </w:r>
      <w:r>
        <w:rPr>
          <w:rFonts w:hint="eastAsia" w:ascii="Arial" w:hAnsi="Arial" w:eastAsia="宋体" w:cs="Arial"/>
          <w:sz w:val="24"/>
          <w:szCs w:val="24"/>
        </w:rPr>
        <w:tab/>
      </w: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4270B778">
      <w:pPr>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w:t>
      </w:r>
    </w:p>
    <w:p w14:paraId="6E20ED31">
      <w:pPr>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______________________________________________________________e. 考虑过发挥上市后信息的作用，将其作为减少上市前要求的一个途径吗？</w:t>
      </w:r>
    </w:p>
    <w:p w14:paraId="0AA9670A">
      <w:pPr>
        <w:snapToGrid w:val="0"/>
        <w:spacing w:line="300" w:lineRule="auto"/>
        <w:jc w:val="righ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71A35DBE">
      <w:pPr>
        <w:snapToGrid w:val="0"/>
        <w:spacing w:line="300" w:lineRule="auto"/>
        <w:jc w:val="left"/>
        <w:rPr>
          <w:rFonts w:ascii="Arial" w:hAnsi="Arial" w:eastAsia="宋体" w:cs="Arial"/>
          <w:sz w:val="24"/>
          <w:szCs w:val="24"/>
        </w:rPr>
      </w:pPr>
      <w:r>
        <w:rPr>
          <w:rFonts w:ascii="Arial" w:hAnsi="Arial" w:eastAsia="宋体" w:cs="Arial"/>
          <w:sz w:val="24"/>
          <w:szCs w:val="24"/>
        </w:rPr>
        <w:t>说明：____________________________________________________________________________________________________________________________</w:t>
      </w:r>
    </w:p>
    <w:p w14:paraId="265B6A1F">
      <w:pPr>
        <w:pStyle w:val="14"/>
        <w:numPr>
          <w:ilvl w:val="0"/>
          <w:numId w:val="12"/>
        </w:numPr>
        <w:snapToGrid w:val="0"/>
        <w:spacing w:line="300" w:lineRule="auto"/>
        <w:ind w:firstLineChars="0"/>
        <w:jc w:val="left"/>
        <w:rPr>
          <w:rFonts w:ascii="Arial" w:hAnsi="Arial" w:eastAsia="宋体" w:cs="Arial"/>
          <w:sz w:val="24"/>
          <w:szCs w:val="24"/>
        </w:rPr>
      </w:pPr>
      <w:r>
        <w:rPr>
          <w:rFonts w:ascii="Arial" w:hAnsi="Arial" w:eastAsia="宋体" w:cs="Arial"/>
          <w:sz w:val="24"/>
          <w:szCs w:val="24"/>
        </w:rPr>
        <w:t>在以上未提及的实验设计的其它领域采用最小负担原则了吗？</w:t>
      </w:r>
    </w:p>
    <w:p w14:paraId="622809A6">
      <w:pPr>
        <w:pStyle w:val="14"/>
        <w:snapToGrid w:val="0"/>
        <w:spacing w:line="300" w:lineRule="auto"/>
        <w:ind w:left="360" w:firstLine="0" w:firstLineChars="0"/>
        <w:jc w:val="right"/>
        <w:rPr>
          <w:rFonts w:ascii="Arial" w:hAnsi="Arial" w:eastAsia="宋体" w:cs="Arial"/>
          <w:sz w:val="24"/>
          <w:szCs w:val="24"/>
        </w:rPr>
      </w:pPr>
      <w:r>
        <w:rPr>
          <w:rFonts w:ascii="Arial" w:hAnsi="Arial" w:eastAsia="宋体" w:cs="Arial"/>
          <w:sz w:val="24"/>
          <w:szCs w:val="24"/>
        </w:rPr>
        <w:t>□</w:t>
      </w:r>
      <w:r>
        <w:rPr>
          <w:rFonts w:hint="eastAsia" w:ascii="Arial" w:hAnsi="Arial" w:eastAsia="宋体" w:cs="Arial"/>
          <w:sz w:val="24"/>
          <w:szCs w:val="24"/>
        </w:rPr>
        <w:t>___</w:t>
      </w:r>
      <w:r>
        <w:rPr>
          <w:rFonts w:ascii="Arial" w:hAnsi="Arial" w:eastAsia="宋体" w:cs="Arial"/>
          <w:sz w:val="24"/>
          <w:szCs w:val="24"/>
        </w:rPr>
        <w:t>是  □</w:t>
      </w:r>
      <w:r>
        <w:rPr>
          <w:rFonts w:hint="eastAsia" w:ascii="Arial" w:hAnsi="Arial" w:eastAsia="宋体" w:cs="Arial"/>
          <w:sz w:val="24"/>
          <w:szCs w:val="24"/>
        </w:rPr>
        <w:t>___</w:t>
      </w:r>
      <w:r>
        <w:rPr>
          <w:rFonts w:ascii="Arial" w:hAnsi="Arial" w:eastAsia="宋体" w:cs="Arial"/>
          <w:sz w:val="24"/>
          <w:szCs w:val="24"/>
        </w:rPr>
        <w:t>否</w:t>
      </w:r>
    </w:p>
    <w:p w14:paraId="05FC5E1D">
      <w:pPr>
        <w:snapToGrid w:val="0"/>
        <w:spacing w:line="300" w:lineRule="auto"/>
        <w:jc w:val="left"/>
        <w:rPr>
          <w:rFonts w:ascii="Arial" w:hAnsi="Arial" w:eastAsia="宋体" w:cs="Arial"/>
          <w:sz w:val="24"/>
          <w:szCs w:val="24"/>
        </w:rPr>
      </w:pPr>
      <w:r>
        <w:rPr>
          <w:rFonts w:ascii="Arial" w:hAnsi="Arial" w:eastAsia="宋体" w:cs="Arial"/>
          <w:sz w:val="24"/>
          <w:szCs w:val="24"/>
        </w:rPr>
        <w:t>若是，请加以描述：_____________________________________________________________</w:t>
      </w:r>
    </w:p>
    <w:p w14:paraId="0D7D0800">
      <w:pPr>
        <w:snapToGrid w:val="0"/>
        <w:spacing w:line="300" w:lineRule="auto"/>
        <w:jc w:val="left"/>
        <w:rPr>
          <w:rFonts w:ascii="Arial" w:hAnsi="Arial" w:eastAsia="宋体" w:cs="Arial"/>
          <w:sz w:val="24"/>
          <w:szCs w:val="24"/>
        </w:rPr>
      </w:pPr>
      <w:r>
        <w:rPr>
          <w:rFonts w:ascii="Arial" w:hAnsi="Arial" w:eastAsia="宋体"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6707F3">
      <w:pPr>
        <w:snapToGrid w:val="0"/>
        <w:spacing w:line="300" w:lineRule="auto"/>
        <w:jc w:val="left"/>
        <w:rPr>
          <w:rFonts w:ascii="Arial" w:hAnsi="Arial" w:eastAsia="宋体" w:cs="Arial"/>
          <w:sz w:val="24"/>
          <w:szCs w:val="24"/>
        </w:rPr>
      </w:pPr>
    </w:p>
    <w:p w14:paraId="483E419B">
      <w:pPr>
        <w:snapToGrid w:val="0"/>
        <w:spacing w:line="300" w:lineRule="auto"/>
        <w:jc w:val="left"/>
        <w:rPr>
          <w:rFonts w:ascii="Arial" w:hAnsi="Arial" w:eastAsia="宋体" w:cs="Arial"/>
          <w:sz w:val="24"/>
          <w:szCs w:val="24"/>
        </w:rPr>
      </w:pPr>
      <w:r>
        <w:rPr>
          <w:rFonts w:ascii="Arial" w:hAnsi="Arial" w:eastAsia="宋体" w:cs="Arial"/>
          <w:sz w:val="24"/>
          <w:szCs w:val="24"/>
        </w:rPr>
        <w:t>申办方的联系姓名和电话号码（可选）：______________________________</w:t>
      </w:r>
    </w:p>
    <w:p w14:paraId="58E654F3">
      <w:pPr>
        <w:snapToGrid w:val="0"/>
        <w:spacing w:line="300" w:lineRule="auto"/>
        <w:jc w:val="left"/>
        <w:rPr>
          <w:rFonts w:ascii="Arial" w:hAnsi="Arial" w:eastAsia="宋体" w:cs="Arial"/>
          <w:sz w:val="24"/>
          <w:szCs w:val="24"/>
        </w:rPr>
      </w:pPr>
      <w:r>
        <w:rPr>
          <w:rFonts w:ascii="Arial" w:hAnsi="Arial" w:eastAsia="宋体" w:cs="Arial"/>
          <w:sz w:val="24"/>
          <w:szCs w:val="24"/>
        </w:rPr>
        <w:t>填好后传真给Wanda Sawyer-Major</w:t>
      </w:r>
      <w:r>
        <w:rPr>
          <w:rFonts w:hint="eastAsia" w:ascii="Arial" w:hAnsi="Arial" w:eastAsia="宋体" w:cs="Arial"/>
          <w:sz w:val="24"/>
          <w:szCs w:val="24"/>
        </w:rPr>
        <w:t>女士</w:t>
      </w:r>
      <w:r>
        <w:rPr>
          <w:rFonts w:ascii="Arial" w:hAnsi="Arial" w:eastAsia="宋体" w:cs="Arial"/>
          <w:sz w:val="24"/>
          <w:szCs w:val="24"/>
        </w:rPr>
        <w:t>，传真号码：（301）594-2977</w:t>
      </w:r>
    </w:p>
    <w:p w14:paraId="2266B117">
      <w:pPr>
        <w:snapToGrid w:val="0"/>
        <w:spacing w:line="300" w:lineRule="auto"/>
        <w:jc w:val="center"/>
        <w:rPr>
          <w:rFonts w:hint="eastAsia" w:eastAsia="宋体"/>
          <w:lang w:eastAsia="zh-CN"/>
        </w:rPr>
      </w:pPr>
    </w:p>
    <w:p w14:paraId="588AD877">
      <w:pPr>
        <w:snapToGrid w:val="0"/>
        <w:spacing w:line="300" w:lineRule="auto"/>
        <w:jc w:val="center"/>
        <w:rPr>
          <w:rFonts w:hint="eastAsia" w:eastAsia="宋体"/>
          <w:lang w:eastAsia="zh-CN"/>
        </w:rPr>
      </w:pPr>
    </w:p>
    <w:p w14:paraId="329C0356">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9" w:type="default"/>
      <w:pgSz w:w="11906" w:h="16838"/>
      <w:pgMar w:top="1440" w:right="1800" w:bottom="1440" w:left="1800" w:header="851" w:footer="720"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8587C">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946412021"/>
      <w:docPartObj>
        <w:docPartGallery w:val="AutoText"/>
      </w:docPartObj>
    </w:sdtPr>
    <w:sdtEndPr>
      <w:rPr>
        <w:rFonts w:ascii="Arial" w:hAnsi="Arial" w:cs="Arial"/>
        <w:sz w:val="21"/>
        <w:szCs w:val="21"/>
      </w:rPr>
    </w:sdtEndPr>
    <w:sdtContent>
      <w:p w14:paraId="00304230">
        <w:pPr>
          <w:pStyle w:val="3"/>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9</w:t>
        </w:r>
        <w:r>
          <w:rPr>
            <w:rFonts w:ascii="Arial" w:hAnsi="Arial" w:cs="Arial"/>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AC49">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264303074"/>
      <w:docPartObj>
        <w:docPartGallery w:val="AutoText"/>
      </w:docPartObj>
    </w:sdtPr>
    <w:sdtEndPr>
      <w:rPr>
        <w:rFonts w:ascii="Arial" w:hAnsi="Arial" w:cs="Arial"/>
        <w:sz w:val="21"/>
        <w:szCs w:val="21"/>
      </w:rPr>
    </w:sdtEndPr>
    <w:sdtContent>
      <w:p w14:paraId="4C492968">
        <w:pPr>
          <w:pStyle w:val="3"/>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56FC">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123652777"/>
      <w:docPartObj>
        <w:docPartGallery w:val="AutoText"/>
      </w:docPartObj>
    </w:sdtPr>
    <w:sdtEndPr>
      <w:rPr>
        <w:rFonts w:ascii="Arial" w:hAnsi="Arial" w:cs="Arial"/>
        <w:sz w:val="21"/>
        <w:szCs w:val="21"/>
      </w:rPr>
    </w:sdtEndPr>
    <w:sdtContent>
      <w:p w14:paraId="41CB7941">
        <w:pPr>
          <w:pStyle w:val="3"/>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158E644">
      <w:pPr>
        <w:pStyle w:val="5"/>
        <w:rPr>
          <w:rFonts w:ascii="Arial" w:hAnsi="Arial" w:cs="Arial"/>
          <w:sz w:val="21"/>
          <w:szCs w:val="21"/>
        </w:rPr>
      </w:pPr>
      <w:r>
        <w:rPr>
          <w:rStyle w:val="1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“上市前审核系统文件”于2000年7月17日发布，可在器械和放射卫生中心网站</w:t>
      </w:r>
      <w:r>
        <w:fldChar w:fldCharType="begin"/>
      </w:r>
      <w:r>
        <w:instrText xml:space="preserve"> HYPERLINK "http://www.fda.gov/cdrh/ode/guidance/prerevapproach.html" </w:instrText>
      </w:r>
      <w:r>
        <w:fldChar w:fldCharType="separate"/>
      </w:r>
      <w:r>
        <w:rPr>
          <w:rStyle w:val="9"/>
          <w:rFonts w:ascii="Arial" w:hAnsi="Arial" w:eastAsia="宋体" w:cs="Arial"/>
          <w:sz w:val="21"/>
          <w:szCs w:val="21"/>
        </w:rPr>
        <w:t>www.fda.gov/cdrh/ode/guidance/prerevapproach.html</w:t>
      </w:r>
      <w:r>
        <w:rPr>
          <w:rStyle w:val="9"/>
          <w:rFonts w:ascii="Arial" w:hAnsi="Arial" w:eastAsia="宋体" w:cs="Arial"/>
          <w:sz w:val="21"/>
          <w:szCs w:val="21"/>
        </w:rPr>
        <w:fldChar w:fldCharType="end"/>
      </w:r>
      <w:r>
        <w:rPr>
          <w:rFonts w:ascii="Arial" w:hAnsi="Arial" w:eastAsia="宋体" w:cs="Arial"/>
          <w:sz w:val="21"/>
          <w:szCs w:val="21"/>
        </w:rPr>
        <w:t>找到。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C3518"/>
    <w:multiLevelType w:val="multilevel"/>
    <w:tmpl w:val="1A3C35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E14E6E"/>
    <w:multiLevelType w:val="multilevel"/>
    <w:tmpl w:val="1BE14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F226CF"/>
    <w:multiLevelType w:val="multilevel"/>
    <w:tmpl w:val="1CF226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D736E33"/>
    <w:multiLevelType w:val="multilevel"/>
    <w:tmpl w:val="1D736E3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3B26BF9"/>
    <w:multiLevelType w:val="multilevel"/>
    <w:tmpl w:val="33B26B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C41AB9"/>
    <w:multiLevelType w:val="multilevel"/>
    <w:tmpl w:val="37C41A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391981"/>
    <w:multiLevelType w:val="multilevel"/>
    <w:tmpl w:val="383919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855B30"/>
    <w:multiLevelType w:val="multilevel"/>
    <w:tmpl w:val="4F855B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4026D5B"/>
    <w:multiLevelType w:val="multilevel"/>
    <w:tmpl w:val="64026D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0F1983"/>
    <w:multiLevelType w:val="multilevel"/>
    <w:tmpl w:val="660F19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683A02"/>
    <w:multiLevelType w:val="multilevel"/>
    <w:tmpl w:val="7A683A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D7270B"/>
    <w:multiLevelType w:val="multilevel"/>
    <w:tmpl w:val="7FD727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11"/>
  </w:num>
  <w:num w:numId="5">
    <w:abstractNumId w:val="10"/>
  </w:num>
  <w:num w:numId="6">
    <w:abstractNumId w:val="8"/>
  </w:num>
  <w:num w:numId="7">
    <w:abstractNumId w:val="2"/>
  </w:num>
  <w:num w:numId="8">
    <w:abstractNumId w:val="0"/>
  </w:num>
  <w:num w:numId="9">
    <w:abstractNumId w:val="4"/>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1A"/>
    <w:rsid w:val="000105AE"/>
    <w:rsid w:val="0001395D"/>
    <w:rsid w:val="000268C3"/>
    <w:rsid w:val="00026ACF"/>
    <w:rsid w:val="00051450"/>
    <w:rsid w:val="00054B2C"/>
    <w:rsid w:val="00067C9D"/>
    <w:rsid w:val="00076B62"/>
    <w:rsid w:val="0008252A"/>
    <w:rsid w:val="00083DF8"/>
    <w:rsid w:val="000856A0"/>
    <w:rsid w:val="00087363"/>
    <w:rsid w:val="00095262"/>
    <w:rsid w:val="000A67BF"/>
    <w:rsid w:val="000C4670"/>
    <w:rsid w:val="000C5783"/>
    <w:rsid w:val="000D74F1"/>
    <w:rsid w:val="00103A8C"/>
    <w:rsid w:val="00126C82"/>
    <w:rsid w:val="0013021D"/>
    <w:rsid w:val="00132C08"/>
    <w:rsid w:val="001340D2"/>
    <w:rsid w:val="00145963"/>
    <w:rsid w:val="00155547"/>
    <w:rsid w:val="001656F9"/>
    <w:rsid w:val="001723FF"/>
    <w:rsid w:val="00176672"/>
    <w:rsid w:val="001858F2"/>
    <w:rsid w:val="00190395"/>
    <w:rsid w:val="001B2CB4"/>
    <w:rsid w:val="001C5A31"/>
    <w:rsid w:val="001F5E5C"/>
    <w:rsid w:val="00202152"/>
    <w:rsid w:val="00203960"/>
    <w:rsid w:val="00222653"/>
    <w:rsid w:val="0024550F"/>
    <w:rsid w:val="00255093"/>
    <w:rsid w:val="002638A0"/>
    <w:rsid w:val="00265B8A"/>
    <w:rsid w:val="002678E4"/>
    <w:rsid w:val="0028251F"/>
    <w:rsid w:val="00285F53"/>
    <w:rsid w:val="00295086"/>
    <w:rsid w:val="002C5E62"/>
    <w:rsid w:val="002C6771"/>
    <w:rsid w:val="003046C6"/>
    <w:rsid w:val="00307206"/>
    <w:rsid w:val="003144F1"/>
    <w:rsid w:val="00314A5D"/>
    <w:rsid w:val="00321B78"/>
    <w:rsid w:val="00324245"/>
    <w:rsid w:val="00326DB2"/>
    <w:rsid w:val="00332178"/>
    <w:rsid w:val="003366C2"/>
    <w:rsid w:val="003428D1"/>
    <w:rsid w:val="00354A4B"/>
    <w:rsid w:val="00381E68"/>
    <w:rsid w:val="00386EE8"/>
    <w:rsid w:val="00387D71"/>
    <w:rsid w:val="003978E6"/>
    <w:rsid w:val="003A234A"/>
    <w:rsid w:val="003A7254"/>
    <w:rsid w:val="003B160F"/>
    <w:rsid w:val="003C0D54"/>
    <w:rsid w:val="003F15E8"/>
    <w:rsid w:val="0042349B"/>
    <w:rsid w:val="00433214"/>
    <w:rsid w:val="00463972"/>
    <w:rsid w:val="00484C22"/>
    <w:rsid w:val="00494017"/>
    <w:rsid w:val="004A0B04"/>
    <w:rsid w:val="004A39DF"/>
    <w:rsid w:val="004A6D68"/>
    <w:rsid w:val="004B1F8A"/>
    <w:rsid w:val="004B4207"/>
    <w:rsid w:val="004D6927"/>
    <w:rsid w:val="004E0C7E"/>
    <w:rsid w:val="004F0CBD"/>
    <w:rsid w:val="004F4555"/>
    <w:rsid w:val="00506214"/>
    <w:rsid w:val="00530412"/>
    <w:rsid w:val="00541D6F"/>
    <w:rsid w:val="00546127"/>
    <w:rsid w:val="00564837"/>
    <w:rsid w:val="00565448"/>
    <w:rsid w:val="005664EC"/>
    <w:rsid w:val="00574C16"/>
    <w:rsid w:val="00577591"/>
    <w:rsid w:val="005B075A"/>
    <w:rsid w:val="005B0928"/>
    <w:rsid w:val="005C0B10"/>
    <w:rsid w:val="005E151B"/>
    <w:rsid w:val="005F1119"/>
    <w:rsid w:val="0062648D"/>
    <w:rsid w:val="0065224C"/>
    <w:rsid w:val="0066335D"/>
    <w:rsid w:val="006827A6"/>
    <w:rsid w:val="006B2BC3"/>
    <w:rsid w:val="006C3C54"/>
    <w:rsid w:val="006C755E"/>
    <w:rsid w:val="006D1508"/>
    <w:rsid w:val="0070653B"/>
    <w:rsid w:val="00721562"/>
    <w:rsid w:val="00726BDD"/>
    <w:rsid w:val="0074451A"/>
    <w:rsid w:val="007608A2"/>
    <w:rsid w:val="00767398"/>
    <w:rsid w:val="007A6892"/>
    <w:rsid w:val="007B60EE"/>
    <w:rsid w:val="007D2073"/>
    <w:rsid w:val="007E54CB"/>
    <w:rsid w:val="007F076C"/>
    <w:rsid w:val="007F17E3"/>
    <w:rsid w:val="007F6FE2"/>
    <w:rsid w:val="008016CD"/>
    <w:rsid w:val="0080705C"/>
    <w:rsid w:val="008076F9"/>
    <w:rsid w:val="00816508"/>
    <w:rsid w:val="0082250F"/>
    <w:rsid w:val="008247E7"/>
    <w:rsid w:val="008263EF"/>
    <w:rsid w:val="00835FBB"/>
    <w:rsid w:val="00857193"/>
    <w:rsid w:val="008771F9"/>
    <w:rsid w:val="00880A29"/>
    <w:rsid w:val="00887719"/>
    <w:rsid w:val="00893B16"/>
    <w:rsid w:val="00894F7C"/>
    <w:rsid w:val="008A2E6B"/>
    <w:rsid w:val="008B42A4"/>
    <w:rsid w:val="008C5529"/>
    <w:rsid w:val="008C678E"/>
    <w:rsid w:val="008D2392"/>
    <w:rsid w:val="008E1419"/>
    <w:rsid w:val="008E1757"/>
    <w:rsid w:val="008E4F41"/>
    <w:rsid w:val="008E58C1"/>
    <w:rsid w:val="008E6C7E"/>
    <w:rsid w:val="00906818"/>
    <w:rsid w:val="00914973"/>
    <w:rsid w:val="009204DD"/>
    <w:rsid w:val="00922CBF"/>
    <w:rsid w:val="00923423"/>
    <w:rsid w:val="00933D79"/>
    <w:rsid w:val="00950935"/>
    <w:rsid w:val="00975B69"/>
    <w:rsid w:val="009865EE"/>
    <w:rsid w:val="00991C99"/>
    <w:rsid w:val="009A4914"/>
    <w:rsid w:val="009A4A98"/>
    <w:rsid w:val="009C20A7"/>
    <w:rsid w:val="009E1FEB"/>
    <w:rsid w:val="009E564C"/>
    <w:rsid w:val="009F2782"/>
    <w:rsid w:val="00A0188C"/>
    <w:rsid w:val="00A06C7B"/>
    <w:rsid w:val="00A13C7F"/>
    <w:rsid w:val="00A16442"/>
    <w:rsid w:val="00A16CFD"/>
    <w:rsid w:val="00A21792"/>
    <w:rsid w:val="00A6154A"/>
    <w:rsid w:val="00A6233A"/>
    <w:rsid w:val="00A8143B"/>
    <w:rsid w:val="00A82244"/>
    <w:rsid w:val="00A95641"/>
    <w:rsid w:val="00AA73B9"/>
    <w:rsid w:val="00AE5D05"/>
    <w:rsid w:val="00B01B54"/>
    <w:rsid w:val="00B05FC5"/>
    <w:rsid w:val="00B161E5"/>
    <w:rsid w:val="00B16679"/>
    <w:rsid w:val="00B53DD7"/>
    <w:rsid w:val="00B55E0E"/>
    <w:rsid w:val="00B72F91"/>
    <w:rsid w:val="00B77BD0"/>
    <w:rsid w:val="00B85F9B"/>
    <w:rsid w:val="00B91BDB"/>
    <w:rsid w:val="00BD1B41"/>
    <w:rsid w:val="00BE0763"/>
    <w:rsid w:val="00BE4B4E"/>
    <w:rsid w:val="00BF1635"/>
    <w:rsid w:val="00BF7494"/>
    <w:rsid w:val="00C01155"/>
    <w:rsid w:val="00C163A3"/>
    <w:rsid w:val="00C53298"/>
    <w:rsid w:val="00C74963"/>
    <w:rsid w:val="00C87EAE"/>
    <w:rsid w:val="00C946D2"/>
    <w:rsid w:val="00C97EC2"/>
    <w:rsid w:val="00CB6DAE"/>
    <w:rsid w:val="00CD433A"/>
    <w:rsid w:val="00CE75E0"/>
    <w:rsid w:val="00CF4AE6"/>
    <w:rsid w:val="00D03345"/>
    <w:rsid w:val="00D038F7"/>
    <w:rsid w:val="00D039B4"/>
    <w:rsid w:val="00D21422"/>
    <w:rsid w:val="00D309B5"/>
    <w:rsid w:val="00D335B3"/>
    <w:rsid w:val="00D5010D"/>
    <w:rsid w:val="00D6288E"/>
    <w:rsid w:val="00D63EA9"/>
    <w:rsid w:val="00D723E4"/>
    <w:rsid w:val="00D83A96"/>
    <w:rsid w:val="00D85348"/>
    <w:rsid w:val="00D876C7"/>
    <w:rsid w:val="00D96174"/>
    <w:rsid w:val="00DC1CDA"/>
    <w:rsid w:val="00DD6CCE"/>
    <w:rsid w:val="00DE3CF1"/>
    <w:rsid w:val="00E11DB5"/>
    <w:rsid w:val="00E21EDD"/>
    <w:rsid w:val="00E24144"/>
    <w:rsid w:val="00E4591E"/>
    <w:rsid w:val="00E649F9"/>
    <w:rsid w:val="00E64A59"/>
    <w:rsid w:val="00E87499"/>
    <w:rsid w:val="00E95806"/>
    <w:rsid w:val="00EA0A2E"/>
    <w:rsid w:val="00EB5F0F"/>
    <w:rsid w:val="00EB5F89"/>
    <w:rsid w:val="00ED42F3"/>
    <w:rsid w:val="00ED7519"/>
    <w:rsid w:val="00F14278"/>
    <w:rsid w:val="00F241FC"/>
    <w:rsid w:val="00F26938"/>
    <w:rsid w:val="00F3605D"/>
    <w:rsid w:val="00F36260"/>
    <w:rsid w:val="00F408EC"/>
    <w:rsid w:val="00F470AF"/>
    <w:rsid w:val="00F633A1"/>
    <w:rsid w:val="00F8279A"/>
    <w:rsid w:val="00FB1EDE"/>
    <w:rsid w:val="00FB2D53"/>
    <w:rsid w:val="00FB7AD7"/>
    <w:rsid w:val="00FC69E0"/>
    <w:rsid w:val="00FE53AC"/>
    <w:rsid w:val="00FF239F"/>
    <w:rsid w:val="00FF62C7"/>
    <w:rsid w:val="6C91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5"/>
    <w:semiHidden/>
    <w:unhideWhenUsed/>
    <w:qFormat/>
    <w:uiPriority w:val="99"/>
    <w:pPr>
      <w:snapToGrid w:val="0"/>
      <w:jc w:val="left"/>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footnote reference"/>
    <w:basedOn w:val="8"/>
    <w:semiHidden/>
    <w:unhideWhenUsed/>
    <w:qFormat/>
    <w:uiPriority w:val="99"/>
    <w:rPr>
      <w:vertAlign w:val="superscript"/>
    </w:rPr>
  </w:style>
  <w:style w:type="character" w:customStyle="1" w:styleId="11">
    <w:name w:val="批注框文本 Char"/>
    <w:basedOn w:val="8"/>
    <w:link w:val="2"/>
    <w:semiHidden/>
    <w:qFormat/>
    <w:uiPriority w:val="99"/>
    <w:rPr>
      <w:sz w:val="18"/>
      <w:szCs w:val="18"/>
    </w:rPr>
  </w:style>
  <w:style w:type="character" w:customStyle="1" w:styleId="12">
    <w:name w:val="页眉 Char"/>
    <w:basedOn w:val="8"/>
    <w:link w:val="4"/>
    <w:qFormat/>
    <w:uiPriority w:val="99"/>
    <w:rPr>
      <w:sz w:val="18"/>
      <w:szCs w:val="18"/>
    </w:rPr>
  </w:style>
  <w:style w:type="character" w:customStyle="1" w:styleId="13">
    <w:name w:val="页脚 Char"/>
    <w:basedOn w:val="8"/>
    <w:link w:val="3"/>
    <w:uiPriority w:val="99"/>
    <w:rPr>
      <w:sz w:val="18"/>
      <w:szCs w:val="18"/>
    </w:rPr>
  </w:style>
  <w:style w:type="paragraph" w:styleId="14">
    <w:name w:val="List Paragraph"/>
    <w:basedOn w:val="1"/>
    <w:qFormat/>
    <w:uiPriority w:val="34"/>
    <w:pPr>
      <w:ind w:firstLine="420" w:firstLineChars="200"/>
    </w:pPr>
  </w:style>
  <w:style w:type="character" w:customStyle="1" w:styleId="15">
    <w:name w:val="脚注文本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77270-989B-43D5-BF0F-EEA215C6FC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7792</Words>
  <Characters>11457</Characters>
  <Lines>83</Lines>
  <Paragraphs>23</Paragraphs>
  <TotalTime>1</TotalTime>
  <ScaleCrop>false</ScaleCrop>
  <LinksUpToDate>false</LinksUpToDate>
  <CharactersWithSpaces>11589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2017-11-17T07:24:00Z</dcterms:created>
  <dc:creator>donghaiyangbo</dc:creator>
  <cp:lastModifiedBy>太极箫客</cp:lastModifiedBy>
  <dcterms:modified xsi:type="dcterms:W3CDTF">2025-08-14T08:04:34Z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C2142072853343E68760AAB3CDFDE838_12</vt:lpwstr>
  </property>
</Properties>
</file>