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A3DF">
      <w:pPr>
        <w:spacing w:before="195"/>
        <w:jc w:val="center"/>
        <w:rPr>
          <w:snapToGrid w:val="0"/>
          <w:sz w:val="36"/>
          <w:szCs w:val="36"/>
        </w:rPr>
      </w:pPr>
      <w:bookmarkStart w:id="7" w:name="_GoBack"/>
      <w:bookmarkEnd w:id="7"/>
      <w:r>
        <w:rPr>
          <w:rFonts w:hint="eastAsia"/>
          <w:snapToGrid w:val="0"/>
          <w:sz w:val="36"/>
          <w:szCs w:val="36"/>
          <w:shd w:val="clear" w:color="auto" w:fill="FFFFFF"/>
        </w:rPr>
        <w:t>行业和FDA审查员/工作人员指南</w:t>
      </w:r>
    </w:p>
    <w:p w14:paraId="48863AB9">
      <w:pPr>
        <w:spacing w:before="195"/>
        <w:rPr>
          <w:b/>
          <w:snapToGrid w:val="0"/>
          <w:szCs w:val="28"/>
          <w:shd w:val="clear" w:color="auto" w:fill="FFFFFF"/>
        </w:rPr>
      </w:pPr>
    </w:p>
    <w:p w14:paraId="085375A4">
      <w:pPr>
        <w:spacing w:before="195"/>
        <w:jc w:val="center"/>
        <w:rPr>
          <w:b/>
          <w:snapToGrid w:val="0"/>
          <w:sz w:val="44"/>
          <w:szCs w:val="44"/>
          <w:shd w:val="clear" w:color="auto" w:fill="FFFFFF"/>
        </w:rPr>
      </w:pPr>
      <w:r>
        <w:rPr>
          <w:rFonts w:hint="eastAsia"/>
          <w:b/>
          <w:snapToGrid w:val="0"/>
          <w:sz w:val="44"/>
          <w:szCs w:val="44"/>
          <w:shd w:val="clear" w:color="auto" w:fill="FFFFFF"/>
        </w:rPr>
        <w:t>非处方（OTC）人绒毛膜促性腺激素（hCG）510（k）指南</w:t>
      </w:r>
    </w:p>
    <w:p w14:paraId="4422477D">
      <w:pPr>
        <w:spacing w:before="195"/>
        <w:rPr>
          <w:snapToGrid w:val="0"/>
          <w:szCs w:val="21"/>
          <w:shd w:val="clear" w:color="auto" w:fill="FFFFFF"/>
        </w:rPr>
      </w:pPr>
    </w:p>
    <w:p w14:paraId="732D2353">
      <w:pPr>
        <w:spacing w:before="195"/>
        <w:jc w:val="center"/>
        <w:rPr>
          <w:b/>
          <w:snapToGrid w:val="0"/>
          <w:szCs w:val="24"/>
          <w:shd w:val="clear" w:color="auto" w:fill="FFFFFF"/>
        </w:rPr>
      </w:pPr>
      <w:r>
        <w:rPr>
          <w:rFonts w:hint="eastAsia"/>
          <w:b/>
          <w:snapToGrid w:val="0"/>
          <w:szCs w:val="24"/>
          <w:shd w:val="clear" w:color="auto" w:fill="FFFFFF"/>
        </w:rPr>
        <w:t>文件发布日期：2000年7月22日</w:t>
      </w:r>
    </w:p>
    <w:p w14:paraId="64878E3A">
      <w:pPr>
        <w:spacing w:before="195"/>
        <w:rPr>
          <w:snapToGrid w:val="0"/>
          <w:szCs w:val="21"/>
          <w:shd w:val="clear" w:color="auto" w:fill="FFFFFF"/>
        </w:rPr>
      </w:pPr>
    </w:p>
    <w:p w14:paraId="4F9AD18B">
      <w:pPr>
        <w:spacing w:before="195"/>
        <w:rPr>
          <w:snapToGrid w:val="0"/>
          <w:szCs w:val="21"/>
          <w:shd w:val="clear" w:color="auto" w:fill="FFFFFF"/>
        </w:rPr>
      </w:pPr>
    </w:p>
    <w:p w14:paraId="15EEAB9C">
      <w:pPr>
        <w:spacing w:before="195"/>
        <w:rPr>
          <w:snapToGrid w:val="0"/>
          <w:szCs w:val="21"/>
          <w:shd w:val="clear" w:color="auto" w:fill="FFFFFF"/>
        </w:rPr>
      </w:pPr>
    </w:p>
    <w:p w14:paraId="78E441A4">
      <w:pPr>
        <w:spacing w:before="195"/>
        <w:rPr>
          <w:snapToGrid w:val="0"/>
          <w:szCs w:val="21"/>
          <w:shd w:val="clear" w:color="auto" w:fill="FFFFFF"/>
        </w:rPr>
      </w:pPr>
    </w:p>
    <w:p w14:paraId="3C296BBD">
      <w:pPr>
        <w:spacing w:before="195"/>
        <w:rPr>
          <w:snapToGrid w:val="0"/>
          <w:szCs w:val="21"/>
          <w:shd w:val="clear" w:color="auto" w:fill="FFFFFF"/>
        </w:rPr>
      </w:pPr>
    </w:p>
    <w:p w14:paraId="70C4709F">
      <w:pPr>
        <w:spacing w:before="195"/>
        <w:rPr>
          <w:snapToGrid w:val="0"/>
          <w:szCs w:val="21"/>
          <w:shd w:val="clear" w:color="auto" w:fill="FFFFFF"/>
        </w:rPr>
      </w:pPr>
    </w:p>
    <w:p w14:paraId="516E579A">
      <w:pPr>
        <w:spacing w:before="195"/>
        <w:rPr>
          <w:snapToGrid w:val="0"/>
          <w:szCs w:val="21"/>
          <w:shd w:val="clear" w:color="auto" w:fill="FFFFFF"/>
        </w:rPr>
      </w:pPr>
    </w:p>
    <w:p w14:paraId="795F0177">
      <w:pPr>
        <w:spacing w:before="195"/>
        <w:rPr>
          <w:snapToGrid w:val="0"/>
          <w:szCs w:val="21"/>
          <w:shd w:val="clear" w:color="auto" w:fill="FFFFFF"/>
        </w:rPr>
      </w:pPr>
    </w:p>
    <w:p w14:paraId="39439F8D">
      <w:pPr>
        <w:spacing w:before="195"/>
        <w:rPr>
          <w:snapToGrid w:val="0"/>
          <w:szCs w:val="21"/>
          <w:shd w:val="clear" w:color="auto" w:fill="FFFFFF"/>
        </w:rPr>
      </w:pPr>
    </w:p>
    <w:p w14:paraId="3A3823F9">
      <w:pPr>
        <w:spacing w:before="195"/>
        <w:jc w:val="right"/>
        <w:rPr>
          <w:b/>
          <w:snapToGrid w:val="0"/>
          <w:shd w:val="clear" w:color="auto" w:fill="FFFFFF"/>
        </w:rPr>
      </w:pPr>
      <w:r>
        <w:rPr>
          <w:snapToGrid w:val="0"/>
          <w:sz w:val="18"/>
          <w:szCs w:val="21"/>
          <w:shd w:val="clear" w:color="auto" w:fill="FFFFFF"/>
        </w:rPr>
        <w:drawing>
          <wp:anchor distT="0" distB="0" distL="114300" distR="114300" simplePos="0" relativeHeight="251659264" behindDoc="0" locked="0" layoutInCell="1" allowOverlap="1">
            <wp:simplePos x="0" y="0"/>
            <wp:positionH relativeFrom="margin">
              <wp:posOffset>35560</wp:posOffset>
            </wp:positionH>
            <wp:positionV relativeFrom="margin">
              <wp:posOffset>5177790</wp:posOffset>
            </wp:positionV>
            <wp:extent cx="1104265" cy="1210945"/>
            <wp:effectExtent l="0" t="0" r="63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rcRect/>
                    <a:stretch>
                      <a:fillRect/>
                    </a:stretch>
                  </pic:blipFill>
                  <pic:spPr>
                    <a:xfrm>
                      <a:off x="0" y="0"/>
                      <a:ext cx="1104265" cy="1210945"/>
                    </a:xfrm>
                    <a:prstGeom prst="rect">
                      <a:avLst/>
                    </a:prstGeom>
                    <a:noFill/>
                    <a:ln w="9525">
                      <a:noFill/>
                      <a:miter lim="800000"/>
                      <a:headEnd/>
                      <a:tailEnd/>
                    </a:ln>
                  </pic:spPr>
                </pic:pic>
              </a:graphicData>
            </a:graphic>
          </wp:anchor>
        </w:drawing>
      </w:r>
      <w:r>
        <w:rPr>
          <w:b/>
          <w:snapToGrid w:val="0"/>
        </w:rPr>
        <w:t>美国卫生与公共服务部</w:t>
      </w:r>
      <w:r>
        <w:rPr>
          <w:rFonts w:hint="eastAsia"/>
          <w:b/>
          <w:snapToGrid w:val="0"/>
        </w:rPr>
        <w:br w:type="textWrapping"/>
      </w:r>
      <w:r>
        <w:rPr>
          <w:b/>
          <w:snapToGrid w:val="0"/>
        </w:rPr>
        <w:t>食品药品监督管理局</w:t>
      </w:r>
      <w:r>
        <w:rPr>
          <w:rFonts w:hint="eastAsia"/>
          <w:b/>
          <w:snapToGrid w:val="0"/>
        </w:rPr>
        <w:br w:type="textWrapping"/>
      </w:r>
      <w:r>
        <w:rPr>
          <w:b/>
          <w:snapToGrid w:val="0"/>
          <w:shd w:val="clear" w:color="auto" w:fill="FFFFFF"/>
        </w:rPr>
        <w:t>器械与放射健康中心</w:t>
      </w:r>
    </w:p>
    <w:p w14:paraId="2C90D71D">
      <w:pPr>
        <w:spacing w:before="195"/>
        <w:jc w:val="right"/>
        <w:rPr>
          <w:b/>
          <w:snapToGrid w:val="0"/>
          <w:szCs w:val="21"/>
          <w:shd w:val="clear" w:color="auto" w:fill="FFFFFF"/>
        </w:rPr>
      </w:pPr>
      <w:r>
        <w:rPr>
          <w:rFonts w:hint="eastAsia"/>
          <w:b/>
          <w:snapToGrid w:val="0"/>
        </w:rPr>
        <w:t>临床化学和临床毒理学分部</w:t>
      </w:r>
      <w:r>
        <w:rPr>
          <w:b/>
          <w:snapToGrid w:val="0"/>
        </w:rPr>
        <w:br w:type="textWrapping"/>
      </w:r>
      <w:r>
        <w:rPr>
          <w:b/>
          <w:snapToGrid w:val="0"/>
        </w:rPr>
        <w:t>临床实验室器械部</w:t>
      </w:r>
      <w:r>
        <w:rPr>
          <w:rFonts w:hint="eastAsia"/>
          <w:b/>
          <w:snapToGrid w:val="0"/>
        </w:rPr>
        <w:br w:type="textWrapping"/>
      </w:r>
      <w:r>
        <w:rPr>
          <w:b/>
          <w:bCs/>
          <w:snapToGrid w:val="0"/>
          <w:shd w:val="clear" w:color="auto" w:fill="FFFFFF"/>
        </w:rPr>
        <w:t>器械评估办公室</w:t>
      </w:r>
    </w:p>
    <w:p w14:paraId="28A9AEC1">
      <w:pPr>
        <w:spacing w:before="195"/>
        <w:rPr>
          <w:snapToGrid w:val="0"/>
          <w:szCs w:val="21"/>
          <w:shd w:val="clear" w:color="auto" w:fill="FFFFFF"/>
        </w:rPr>
      </w:pPr>
      <w:r>
        <w:rPr>
          <w:snapToGrid w:val="0"/>
          <w:szCs w:val="21"/>
          <w:shd w:val="clear" w:color="auto" w:fill="FFFFFF"/>
        </w:rPr>
        <w:br w:type="page"/>
      </w:r>
    </w:p>
    <w:p w14:paraId="2704EBC8">
      <w:pPr>
        <w:spacing w:before="195"/>
        <w:jc w:val="center"/>
        <w:rPr>
          <w:b/>
          <w:snapToGrid w:val="0"/>
          <w:sz w:val="32"/>
          <w:szCs w:val="32"/>
          <w:shd w:val="clear" w:color="auto" w:fill="FFFFFF"/>
        </w:rPr>
      </w:pPr>
      <w:r>
        <w:rPr>
          <w:rFonts w:hint="eastAsia"/>
          <w:b/>
          <w:snapToGrid w:val="0"/>
          <w:sz w:val="32"/>
          <w:szCs w:val="32"/>
          <w:shd w:val="clear" w:color="auto" w:fill="FFFFFF"/>
        </w:rPr>
        <w:t>前言</w:t>
      </w:r>
    </w:p>
    <w:p w14:paraId="374CD029">
      <w:pPr>
        <w:spacing w:before="195"/>
        <w:rPr>
          <w:snapToGrid w:val="0"/>
          <w:szCs w:val="21"/>
          <w:shd w:val="clear" w:color="auto" w:fill="FFFFFF"/>
        </w:rPr>
      </w:pPr>
    </w:p>
    <w:p w14:paraId="646DCF3A">
      <w:pPr>
        <w:spacing w:before="195"/>
        <w:rPr>
          <w:b/>
          <w:snapToGrid w:val="0"/>
          <w:sz w:val="28"/>
          <w:szCs w:val="28"/>
          <w:shd w:val="clear" w:color="auto" w:fill="FFFFFF"/>
        </w:rPr>
      </w:pPr>
      <w:r>
        <w:rPr>
          <w:rFonts w:hint="eastAsia"/>
          <w:b/>
          <w:snapToGrid w:val="0"/>
          <w:sz w:val="28"/>
          <w:szCs w:val="28"/>
          <w:shd w:val="clear" w:color="auto" w:fill="FFFFFF"/>
        </w:rPr>
        <w:t>公众意见</w:t>
      </w:r>
    </w:p>
    <w:p w14:paraId="743D11A9">
      <w:pPr>
        <w:spacing w:before="195"/>
        <w:ind w:left="480" w:leftChars="200"/>
        <w:rPr>
          <w:snapToGrid w:val="0"/>
          <w:szCs w:val="24"/>
        </w:rPr>
      </w:pPr>
      <w:r>
        <w:rPr>
          <w:rFonts w:hint="eastAsia"/>
          <w:snapToGrid w:val="0"/>
          <w:szCs w:val="24"/>
          <w:shd w:val="clear" w:color="auto" w:fill="FFFFFF"/>
        </w:rPr>
        <w:t>评论</w:t>
      </w:r>
      <w:r>
        <w:rPr>
          <w:snapToGrid w:val="0"/>
          <w:szCs w:val="24"/>
          <w:shd w:val="clear" w:color="auto" w:fill="FFFFFF"/>
        </w:rPr>
        <w:t>和建议可在任何时间提交至</w:t>
      </w:r>
      <w:r>
        <w:rPr>
          <w:snapToGrid w:val="0"/>
          <w:szCs w:val="24"/>
        </w:rPr>
        <w:t>Veronica Calvin，临床实验室器械部，HFZ-440，9200 Corporate Blvd, Rockville, MD 20850，供</w:t>
      </w:r>
      <w:r>
        <w:rPr>
          <w:snapToGrid w:val="0"/>
          <w:szCs w:val="24"/>
          <w:shd w:val="clear" w:color="auto" w:fill="FFFFFF"/>
        </w:rPr>
        <w:t>部门审议</w:t>
      </w:r>
      <w:r>
        <w:rPr>
          <w:rFonts w:hint="eastAsia"/>
          <w:snapToGrid w:val="0"/>
          <w:szCs w:val="24"/>
          <w:shd w:val="clear" w:color="auto" w:fill="FFFFFF"/>
        </w:rPr>
        <w:t>。可能直到文件下次修订或更新时，意见才会被机构受理。有关本指南的使用或解释问题，请联系</w:t>
      </w:r>
      <w:r>
        <w:rPr>
          <w:snapToGrid w:val="0"/>
          <w:szCs w:val="24"/>
        </w:rPr>
        <w:t>Veronica Calvin</w:t>
      </w:r>
      <w:r>
        <w:rPr>
          <w:rFonts w:hint="eastAsia"/>
          <w:snapToGrid w:val="0"/>
          <w:szCs w:val="24"/>
        </w:rPr>
        <w:t>，联系电话：301-594-1243，分机号码：151。</w:t>
      </w:r>
    </w:p>
    <w:p w14:paraId="4856E1EC">
      <w:pPr>
        <w:spacing w:before="195"/>
        <w:rPr>
          <w:snapToGrid w:val="0"/>
          <w:szCs w:val="24"/>
        </w:rPr>
      </w:pPr>
    </w:p>
    <w:p w14:paraId="35A65D5E">
      <w:pPr>
        <w:spacing w:before="195"/>
        <w:rPr>
          <w:b/>
          <w:snapToGrid w:val="0"/>
          <w:sz w:val="28"/>
          <w:szCs w:val="28"/>
          <w:shd w:val="clear" w:color="auto" w:fill="FFFFFF"/>
        </w:rPr>
      </w:pPr>
      <w:r>
        <w:rPr>
          <w:rFonts w:hint="eastAsia"/>
          <w:b/>
          <w:snapToGrid w:val="0"/>
          <w:sz w:val="28"/>
          <w:szCs w:val="28"/>
          <w:shd w:val="clear" w:color="auto" w:fill="FFFFFF"/>
        </w:rPr>
        <w:t>其他副本</w:t>
      </w:r>
    </w:p>
    <w:p w14:paraId="0D5C0BCD">
      <w:pPr>
        <w:spacing w:before="195"/>
        <w:ind w:left="480" w:leftChars="200"/>
        <w:rPr>
          <w:b/>
          <w:snapToGrid w:val="0"/>
          <w:szCs w:val="24"/>
          <w:shd w:val="clear" w:color="auto" w:fill="FFFFFF"/>
        </w:rPr>
      </w:pPr>
      <w:r>
        <w:rPr>
          <w:snapToGrid w:val="0"/>
          <w:szCs w:val="24"/>
          <w:shd w:val="clear" w:color="auto" w:fill="FFFFFF"/>
        </w:rPr>
        <w:t>万维网/CDRH主页：</w:t>
      </w:r>
      <w:r>
        <w:fldChar w:fldCharType="begin"/>
      </w:r>
      <w:r>
        <w:instrText xml:space="preserve"> HYPERLINK "http://www.fda.gov/cdrh/ode/guidance/1172.pdf" </w:instrText>
      </w:r>
      <w:r>
        <w:fldChar w:fldCharType="separate"/>
      </w:r>
      <w:r>
        <w:rPr>
          <w:rStyle w:val="17"/>
          <w:rFonts w:cs="Arial"/>
          <w:snapToGrid w:val="0"/>
          <w:color w:val="auto"/>
          <w:kern w:val="0"/>
          <w:szCs w:val="24"/>
        </w:rPr>
        <w:t>http: //www.fda.gov/cdrh/ode/guidance/1172.pdf</w:t>
      </w:r>
      <w:r>
        <w:rPr>
          <w:rStyle w:val="17"/>
          <w:rFonts w:cs="Arial"/>
          <w:snapToGrid w:val="0"/>
          <w:color w:val="auto"/>
          <w:kern w:val="0"/>
          <w:szCs w:val="24"/>
        </w:rPr>
        <w:fldChar w:fldCharType="end"/>
      </w:r>
      <w:r>
        <w:rPr>
          <w:snapToGrid w:val="0"/>
          <w:szCs w:val="24"/>
        </w:rPr>
        <w:t>或CDRH</w:t>
      </w:r>
      <w:bookmarkStart w:id="0" w:name="OLE_LINK3"/>
      <w:bookmarkStart w:id="1" w:name="OLE_LINK4"/>
      <w:bookmarkStart w:id="2" w:name="OLE_LINK5"/>
      <w:r>
        <w:rPr>
          <w:snapToGrid w:val="0"/>
          <w:szCs w:val="24"/>
          <w:shd w:val="clear" w:color="auto" w:fill="FFFFFF"/>
        </w:rPr>
        <w:t>资源索取</w:t>
      </w:r>
      <w:r>
        <w:rPr>
          <w:snapToGrid w:val="0"/>
          <w:szCs w:val="24"/>
        </w:rPr>
        <w:t>自动回传系统</w:t>
      </w:r>
      <w:bookmarkEnd w:id="0"/>
      <w:bookmarkEnd w:id="1"/>
      <w:bookmarkEnd w:id="2"/>
      <w:r>
        <w:rPr>
          <w:snapToGrid w:val="0"/>
          <w:szCs w:val="24"/>
        </w:rPr>
        <w:t>：1-800-899-0381或301-827-0111，当提示输入文件</w:t>
      </w:r>
      <w:r>
        <w:rPr>
          <w:rFonts w:hint="eastAsia"/>
          <w:snapToGrid w:val="0"/>
          <w:szCs w:val="24"/>
        </w:rPr>
        <w:t>索取</w:t>
      </w:r>
      <w:r>
        <w:rPr>
          <w:snapToGrid w:val="0"/>
          <w:szCs w:val="24"/>
        </w:rPr>
        <w:t>编号时，输入指定编号1172。</w:t>
      </w:r>
    </w:p>
    <w:p w14:paraId="78DEE974">
      <w:pPr>
        <w:spacing w:before="195"/>
        <w:rPr>
          <w:snapToGrid w:val="0"/>
          <w:szCs w:val="21"/>
          <w:shd w:val="clear" w:color="auto" w:fill="FFFFFF"/>
        </w:rPr>
      </w:pPr>
    </w:p>
    <w:p w14:paraId="1A8ECF18">
      <w:pPr>
        <w:spacing w:before="195"/>
        <w:rPr>
          <w:b/>
          <w:snapToGrid w:val="0"/>
          <w:sz w:val="32"/>
          <w:szCs w:val="32"/>
          <w:shd w:val="clear" w:color="auto" w:fill="FFFFFF"/>
        </w:rPr>
      </w:pPr>
      <w:r>
        <w:rPr>
          <w:snapToGrid w:val="0"/>
          <w:szCs w:val="21"/>
          <w:shd w:val="clear" w:color="auto" w:fill="FFFFFF"/>
        </w:rPr>
        <w:br w:type="page"/>
      </w:r>
      <w:r>
        <w:rPr>
          <w:rFonts w:hint="eastAsia"/>
          <w:b/>
          <w:snapToGrid w:val="0"/>
          <w:sz w:val="32"/>
          <w:szCs w:val="32"/>
          <w:shd w:val="clear" w:color="auto" w:fill="FFFFFF"/>
        </w:rPr>
        <w:t>非处方（OTC）人绒毛膜促性腺激素（hCG）510（k）指南</w:t>
      </w:r>
      <w:r>
        <w:rPr>
          <w:rStyle w:val="19"/>
          <w:rFonts w:cs="Arial"/>
          <w:b/>
          <w:snapToGrid w:val="0"/>
          <w:kern w:val="0"/>
          <w:sz w:val="32"/>
          <w:szCs w:val="32"/>
          <w:shd w:val="clear" w:color="auto" w:fill="FFFFFF"/>
        </w:rPr>
        <w:footnoteReference w:id="0"/>
      </w:r>
    </w:p>
    <w:p w14:paraId="5B048AA5">
      <w:pPr>
        <w:spacing w:before="195"/>
        <w:rPr>
          <w:snapToGrid w:val="0"/>
          <w:szCs w:val="28"/>
          <w:u w:val="single"/>
          <w:shd w:val="clear" w:color="auto" w:fill="FFFFFF"/>
        </w:rPr>
      </w:pPr>
    </w:p>
    <w:p w14:paraId="7DB2CA75">
      <w:pPr>
        <w:spacing w:before="195"/>
        <w:rPr>
          <w:snapToGrid w:val="0"/>
          <w:szCs w:val="24"/>
          <w:shd w:val="clear" w:color="auto" w:fill="FFFFFF"/>
        </w:rPr>
      </w:pPr>
      <w:r>
        <w:rPr>
          <w:snapToGrid w:val="0"/>
          <w:szCs w:val="24"/>
          <w:shd w:val="clear" w:color="auto" w:fill="FFFFFF"/>
        </w:rPr>
        <w:t>本文件介绍关于非处方hCG</w:t>
      </w:r>
      <w:r>
        <w:rPr>
          <w:rFonts w:hint="eastAsia"/>
          <w:snapToGrid w:val="0"/>
          <w:szCs w:val="24"/>
          <w:shd w:val="clear" w:color="auto" w:fill="FFFFFF"/>
        </w:rPr>
        <w:t>医疗</w:t>
      </w:r>
      <w:r>
        <w:rPr>
          <w:snapToGrid w:val="0"/>
          <w:szCs w:val="24"/>
          <w:shd w:val="clear" w:color="auto" w:fill="FFFFFF"/>
        </w:rPr>
        <w:t>器械的当前</w:t>
      </w:r>
      <w:r>
        <w:rPr>
          <w:rFonts w:hint="eastAsia"/>
          <w:snapToGrid w:val="0"/>
          <w:szCs w:val="24"/>
          <w:shd w:val="clear" w:color="auto" w:fill="FFFFFF"/>
        </w:rPr>
        <w:t>技术</w:t>
      </w:r>
      <w:r>
        <w:rPr>
          <w:snapToGrid w:val="0"/>
          <w:szCs w:val="24"/>
          <w:shd w:val="clear" w:color="auto" w:fill="FFFFFF"/>
        </w:rPr>
        <w:t>和关注</w:t>
      </w:r>
      <w:r>
        <w:rPr>
          <w:rFonts w:hint="eastAsia"/>
          <w:snapToGrid w:val="0"/>
          <w:szCs w:val="24"/>
          <w:shd w:val="clear" w:color="auto" w:fill="FFFFFF"/>
        </w:rPr>
        <w:t>问题</w:t>
      </w:r>
      <w:r>
        <w:rPr>
          <w:snapToGrid w:val="0"/>
          <w:szCs w:val="24"/>
          <w:shd w:val="clear" w:color="auto" w:fill="FFFFFF"/>
        </w:rPr>
        <w:t>。本文件基于以下内容：1）</w:t>
      </w:r>
      <w:r>
        <w:rPr>
          <w:rFonts w:hint="eastAsia"/>
          <w:snapToGrid w:val="0"/>
          <w:szCs w:val="24"/>
          <w:shd w:val="clear" w:color="auto" w:fill="FFFFFF"/>
        </w:rPr>
        <w:t>当代</w:t>
      </w:r>
      <w:r>
        <w:rPr>
          <w:snapToGrid w:val="0"/>
          <w:szCs w:val="24"/>
          <w:shd w:val="clear" w:color="auto" w:fill="FFFFFF"/>
        </w:rPr>
        <w:t>科学；2）临床经验；3）来自以往制造商</w:t>
      </w:r>
      <w:r>
        <w:rPr>
          <w:rFonts w:hint="eastAsia"/>
          <w:snapToGrid w:val="0"/>
          <w:szCs w:val="24"/>
          <w:shd w:val="clear" w:color="auto" w:fill="FFFFFF"/>
        </w:rPr>
        <w:t>递交</w:t>
      </w:r>
      <w:r>
        <w:rPr>
          <w:snapToGrid w:val="0"/>
          <w:szCs w:val="24"/>
          <w:shd w:val="clear" w:color="auto" w:fill="FFFFFF"/>
        </w:rPr>
        <w:t>FDA的</w:t>
      </w:r>
      <w:r>
        <w:rPr>
          <w:rFonts w:hint="eastAsia"/>
          <w:snapToGrid w:val="0"/>
          <w:szCs w:val="24"/>
          <w:shd w:val="clear" w:color="auto" w:fill="FFFFFF"/>
        </w:rPr>
        <w:t>提交</w:t>
      </w:r>
      <w:r>
        <w:rPr>
          <w:snapToGrid w:val="0"/>
          <w:szCs w:val="24"/>
          <w:shd w:val="clear" w:color="auto" w:fill="FFFFFF"/>
        </w:rPr>
        <w:t>材料；4）1997年《FDA现代化法案》（FDAMA）；5）美国联邦法规（CFR）中的FDA</w:t>
      </w:r>
      <w:r>
        <w:rPr>
          <w:rFonts w:hint="eastAsia"/>
          <w:snapToGrid w:val="0"/>
          <w:szCs w:val="24"/>
          <w:shd w:val="clear" w:color="auto" w:fill="FFFFFF"/>
        </w:rPr>
        <w:t>规定</w:t>
      </w:r>
      <w:r>
        <w:rPr>
          <w:snapToGrid w:val="0"/>
          <w:szCs w:val="24"/>
          <w:shd w:val="clear" w:color="auto" w:fill="FFFFFF"/>
        </w:rPr>
        <w:t>。随着科学技术的进步和立法实施的变化，这些审查标准将重新评估并酌情修订。因此，草案可根据需要进行修订，请按照序言中的指示发送</w:t>
      </w:r>
      <w:r>
        <w:rPr>
          <w:rFonts w:hint="eastAsia"/>
          <w:snapToGrid w:val="0"/>
          <w:szCs w:val="24"/>
          <w:shd w:val="clear" w:color="auto" w:fill="FFFFFF"/>
        </w:rPr>
        <w:t>评论</w:t>
      </w:r>
      <w:r>
        <w:rPr>
          <w:snapToGrid w:val="0"/>
          <w:szCs w:val="24"/>
          <w:shd w:val="clear" w:color="auto" w:fill="FFFFFF"/>
        </w:rPr>
        <w:t>。</w:t>
      </w:r>
    </w:p>
    <w:p w14:paraId="4954F544">
      <w:pPr>
        <w:spacing w:before="195"/>
        <w:rPr>
          <w:snapToGrid w:val="0"/>
          <w:szCs w:val="24"/>
          <w:u w:val="single"/>
          <w:shd w:val="clear" w:color="auto" w:fill="FFFFFF"/>
        </w:rPr>
      </w:pPr>
      <w:r>
        <w:rPr>
          <w:snapToGrid w:val="0"/>
          <w:szCs w:val="24"/>
          <w:u w:val="single"/>
          <w:shd w:val="clear" w:color="auto" w:fill="FFFFFF"/>
        </w:rPr>
        <w:t>定义</w:t>
      </w:r>
      <w:r>
        <w:rPr>
          <w:snapToGrid w:val="0"/>
          <w:szCs w:val="24"/>
          <w:shd w:val="clear" w:color="auto" w:fill="FFFFFF"/>
        </w:rPr>
        <w:t>：这种通用类型的器械预期</w:t>
      </w:r>
      <w:r>
        <w:rPr>
          <w:rFonts w:hint="eastAsia"/>
          <w:snapToGrid w:val="0"/>
          <w:szCs w:val="24"/>
          <w:shd w:val="clear" w:color="auto" w:fill="FFFFFF"/>
        </w:rPr>
        <w:t>用途是进行</w:t>
      </w:r>
      <w:r>
        <w:rPr>
          <w:snapToGrid w:val="0"/>
          <w:szCs w:val="24"/>
          <w:shd w:val="clear" w:color="auto" w:fill="FFFFFF"/>
        </w:rPr>
        <w:t>家</w:t>
      </w:r>
      <w:r>
        <w:rPr>
          <w:rFonts w:hint="eastAsia"/>
          <w:snapToGrid w:val="0"/>
          <w:szCs w:val="24"/>
          <w:shd w:val="clear" w:color="auto" w:fill="FFFFFF"/>
        </w:rPr>
        <w:t>用</w:t>
      </w:r>
      <w:r>
        <w:rPr>
          <w:snapToGrid w:val="0"/>
          <w:szCs w:val="24"/>
          <w:shd w:val="clear" w:color="auto" w:fill="FFFFFF"/>
        </w:rPr>
        <w:t>hCG定性测量的体外诊断（IVD）试验。</w:t>
      </w:r>
    </w:p>
    <w:p w14:paraId="468F688C">
      <w:pPr>
        <w:spacing w:before="195"/>
        <w:rPr>
          <w:snapToGrid w:val="0"/>
          <w:szCs w:val="24"/>
          <w:u w:val="single"/>
          <w:shd w:val="clear" w:color="auto" w:fill="FFFFFF"/>
        </w:rPr>
      </w:pPr>
      <w:r>
        <w:rPr>
          <w:snapToGrid w:val="0"/>
          <w:szCs w:val="24"/>
          <w:u w:val="single"/>
          <w:shd w:val="clear" w:color="auto" w:fill="FFFFFF"/>
        </w:rPr>
        <w:t>产品代码</w:t>
      </w:r>
      <w:r>
        <w:rPr>
          <w:rFonts w:hint="eastAsia"/>
          <w:snapToGrid w:val="0"/>
          <w:szCs w:val="24"/>
          <w:shd w:val="clear" w:color="auto" w:fill="FFFFFF"/>
        </w:rPr>
        <w:t>：LCX</w:t>
      </w:r>
    </w:p>
    <w:p w14:paraId="2AD37EAF">
      <w:pPr>
        <w:spacing w:before="195"/>
        <w:rPr>
          <w:snapToGrid w:val="0"/>
          <w:szCs w:val="24"/>
          <w:shd w:val="clear" w:color="auto" w:fill="FFFFFF"/>
        </w:rPr>
      </w:pPr>
      <w:r>
        <w:rPr>
          <w:rFonts w:hint="eastAsia"/>
          <w:snapToGrid w:val="0"/>
          <w:szCs w:val="24"/>
          <w:u w:val="single"/>
          <w:shd w:val="clear" w:color="auto" w:fill="FFFFFF"/>
        </w:rPr>
        <w:t>小组：</w:t>
      </w:r>
      <w:r>
        <w:rPr>
          <w:rFonts w:hint="eastAsia"/>
          <w:snapToGrid w:val="0"/>
          <w:szCs w:val="24"/>
          <w:shd w:val="clear" w:color="auto" w:fill="FFFFFF"/>
        </w:rPr>
        <w:t>75-临床化学</w:t>
      </w:r>
    </w:p>
    <w:p w14:paraId="2F32C480">
      <w:pPr>
        <w:spacing w:before="195"/>
        <w:rPr>
          <w:snapToGrid w:val="0"/>
          <w:szCs w:val="24"/>
          <w:shd w:val="clear" w:color="auto" w:fill="FFFFFF"/>
        </w:rPr>
      </w:pPr>
      <w:r>
        <w:rPr>
          <w:rFonts w:hint="eastAsia"/>
          <w:snapToGrid w:val="0"/>
          <w:szCs w:val="24"/>
          <w:u w:val="single"/>
          <w:shd w:val="clear" w:color="auto" w:fill="FFFFFF"/>
        </w:rPr>
        <w:t>法规编号：</w:t>
      </w:r>
      <w:r>
        <w:rPr>
          <w:snapToGrid w:val="0"/>
          <w:szCs w:val="24"/>
          <w:shd w:val="clear" w:color="auto" w:fill="FFFFFF"/>
        </w:rPr>
        <w:t>21 CFR</w:t>
      </w:r>
      <w:r>
        <w:rPr>
          <w:snapToGrid w:val="0"/>
          <w:color w:val="000000"/>
        </w:rPr>
        <w:t>§</w:t>
      </w:r>
      <w:r>
        <w:rPr>
          <w:snapToGrid w:val="0"/>
          <w:szCs w:val="24"/>
          <w:shd w:val="clear" w:color="auto" w:fill="FFFFFF"/>
        </w:rPr>
        <w:t>862.1</w:t>
      </w:r>
      <w:r>
        <w:rPr>
          <w:rFonts w:hint="eastAsia"/>
          <w:snapToGrid w:val="0"/>
          <w:szCs w:val="24"/>
          <w:shd w:val="clear" w:color="auto" w:fill="FFFFFF"/>
        </w:rPr>
        <w:t>15</w:t>
      </w:r>
      <w:r>
        <w:rPr>
          <w:snapToGrid w:val="0"/>
          <w:szCs w:val="24"/>
          <w:shd w:val="clear" w:color="auto" w:fill="FFFFFF"/>
        </w:rPr>
        <w:t xml:space="preserve">5 </w:t>
      </w:r>
    </w:p>
    <w:p w14:paraId="34F8C12A">
      <w:pPr>
        <w:spacing w:before="195"/>
        <w:rPr>
          <w:snapToGrid w:val="0"/>
          <w:szCs w:val="24"/>
          <w:shd w:val="clear" w:color="auto" w:fill="FFFFFF"/>
        </w:rPr>
      </w:pPr>
      <w:r>
        <w:rPr>
          <w:snapToGrid w:val="0"/>
          <w:szCs w:val="24"/>
          <w:shd w:val="clear" w:color="auto" w:fill="FFFFFF"/>
        </w:rPr>
        <w:t>鉴定：HCG试验系统是用于妊娠早期检测的器械。</w:t>
      </w:r>
    </w:p>
    <w:p w14:paraId="41B267BA">
      <w:pPr>
        <w:spacing w:before="195"/>
        <w:rPr>
          <w:snapToGrid w:val="0"/>
          <w:szCs w:val="24"/>
          <w:shd w:val="clear" w:color="auto" w:fill="FFFFFF"/>
        </w:rPr>
      </w:pPr>
      <w:r>
        <w:rPr>
          <w:snapToGrid w:val="0"/>
          <w:szCs w:val="24"/>
          <w:shd w:val="clear" w:color="auto" w:fill="FFFFFF"/>
        </w:rPr>
        <w:t>分类：</w:t>
      </w:r>
      <w:r>
        <w:rPr>
          <w:rFonts w:hint="eastAsia" w:ascii="宋体" w:hAnsi="宋体" w:cs="宋体"/>
          <w:snapToGrid w:val="0"/>
          <w:szCs w:val="24"/>
          <w:shd w:val="clear" w:color="auto" w:fill="FFFFFF"/>
        </w:rPr>
        <w:t>Ⅱ</w:t>
      </w:r>
      <w:r>
        <w:rPr>
          <w:snapToGrid w:val="0"/>
          <w:szCs w:val="24"/>
          <w:shd w:val="clear" w:color="auto" w:fill="FFFFFF"/>
        </w:rPr>
        <w:t>类</w:t>
      </w:r>
    </w:p>
    <w:p w14:paraId="544CDF1E">
      <w:pPr>
        <w:spacing w:before="195"/>
        <w:rPr>
          <w:snapToGrid w:val="0"/>
          <w:szCs w:val="24"/>
          <w:u w:val="single"/>
          <w:shd w:val="clear" w:color="auto" w:fill="FFFFFF"/>
        </w:rPr>
      </w:pPr>
      <w:r>
        <w:rPr>
          <w:rFonts w:hint="eastAsia"/>
          <w:snapToGrid w:val="0"/>
          <w:szCs w:val="24"/>
          <w:u w:val="single"/>
          <w:shd w:val="clear" w:color="auto" w:fill="FFFFFF"/>
        </w:rPr>
        <w:t>审查要求</w:t>
      </w:r>
      <w:r>
        <w:rPr>
          <w:rFonts w:hint="eastAsia"/>
          <w:snapToGrid w:val="0"/>
          <w:szCs w:val="24"/>
          <w:shd w:val="clear" w:color="auto" w:fill="FFFFFF"/>
        </w:rPr>
        <w:t>：510（k）</w:t>
      </w:r>
    </w:p>
    <w:p w14:paraId="2C1979B6">
      <w:pPr>
        <w:spacing w:before="195"/>
        <w:rPr>
          <w:snapToGrid w:val="0"/>
          <w:szCs w:val="24"/>
          <w:shd w:val="clear" w:color="auto" w:fill="FFFFFF"/>
        </w:rPr>
      </w:pPr>
      <w:r>
        <w:rPr>
          <w:rFonts w:hint="eastAsia"/>
          <w:snapToGrid w:val="0"/>
          <w:szCs w:val="24"/>
          <w:shd w:val="clear" w:color="auto" w:fill="FFFFFF"/>
        </w:rPr>
        <w:t>关于在510（k）中所提供的资料，请参阅</w:t>
      </w:r>
      <w:r>
        <w:rPr>
          <w:snapToGrid w:val="0"/>
          <w:szCs w:val="24"/>
          <w:shd w:val="clear" w:color="auto" w:fill="FFFFFF"/>
        </w:rPr>
        <w:t>21 CFR</w:t>
      </w:r>
      <w:r>
        <w:rPr>
          <w:snapToGrid w:val="0"/>
          <w:color w:val="000000"/>
        </w:rPr>
        <w:t>§</w:t>
      </w:r>
      <w:r>
        <w:rPr>
          <w:snapToGrid w:val="0"/>
          <w:szCs w:val="24"/>
          <w:shd w:val="clear" w:color="auto" w:fill="FFFFFF"/>
        </w:rPr>
        <w:t>8</w:t>
      </w:r>
      <w:r>
        <w:rPr>
          <w:rFonts w:hint="eastAsia"/>
          <w:snapToGrid w:val="0"/>
          <w:szCs w:val="24"/>
          <w:shd w:val="clear" w:color="auto" w:fill="FFFFFF"/>
        </w:rPr>
        <w:t>07</w:t>
      </w:r>
      <w:r>
        <w:rPr>
          <w:snapToGrid w:val="0"/>
          <w:szCs w:val="24"/>
          <w:shd w:val="clear" w:color="auto" w:fill="FFFFFF"/>
        </w:rPr>
        <w:t>.</w:t>
      </w:r>
      <w:r>
        <w:rPr>
          <w:rFonts w:hint="eastAsia"/>
          <w:snapToGrid w:val="0"/>
          <w:szCs w:val="24"/>
          <w:shd w:val="clear" w:color="auto" w:fill="FFFFFF"/>
        </w:rPr>
        <w:t>87</w:t>
      </w:r>
      <w:r>
        <w:rPr>
          <w:snapToGrid w:val="0"/>
          <w:szCs w:val="24"/>
          <w:shd w:val="clear" w:color="auto" w:fill="FFFFFF"/>
        </w:rPr>
        <w:t>。</w:t>
      </w:r>
    </w:p>
    <w:p w14:paraId="35E74E3D">
      <w:pPr>
        <w:spacing w:before="195"/>
        <w:rPr>
          <w:b/>
          <w:snapToGrid w:val="0"/>
          <w:szCs w:val="24"/>
          <w:u w:val="single"/>
          <w:shd w:val="clear" w:color="auto" w:fill="FFFFFF"/>
        </w:rPr>
      </w:pPr>
      <w:r>
        <w:rPr>
          <w:rFonts w:hint="eastAsia"/>
          <w:snapToGrid w:val="0"/>
          <w:szCs w:val="24"/>
          <w:u w:val="single"/>
          <w:shd w:val="clear" w:color="auto" w:fill="FFFFFF"/>
        </w:rPr>
        <w:t>目的</w:t>
      </w:r>
      <w:r>
        <w:rPr>
          <w:rFonts w:hint="eastAsia"/>
          <w:b/>
          <w:snapToGrid w:val="0"/>
          <w:szCs w:val="24"/>
          <w:shd w:val="clear" w:color="auto" w:fill="FFFFFF"/>
        </w:rPr>
        <w:t>：</w:t>
      </w:r>
      <w:r>
        <w:rPr>
          <w:snapToGrid w:val="0"/>
          <w:szCs w:val="24"/>
          <w:shd w:val="clear" w:color="auto" w:fill="FFFFFF"/>
        </w:rPr>
        <w:t>本文件的目的是</w:t>
      </w:r>
      <w:r>
        <w:rPr>
          <w:rFonts w:hint="eastAsia"/>
          <w:snapToGrid w:val="0"/>
          <w:szCs w:val="24"/>
          <w:shd w:val="clear" w:color="auto" w:fill="FFFFFF"/>
        </w:rPr>
        <w:t>为</w:t>
      </w:r>
      <w:r>
        <w:rPr>
          <w:snapToGrid w:val="0"/>
          <w:szCs w:val="24"/>
          <w:shd w:val="clear" w:color="auto" w:fill="FFFFFF"/>
        </w:rPr>
        <w:t>关于510（k）提交资料</w:t>
      </w:r>
      <w:r>
        <w:rPr>
          <w:rFonts w:hint="eastAsia"/>
          <w:snapToGrid w:val="0"/>
          <w:szCs w:val="24"/>
          <w:shd w:val="clear" w:color="auto" w:fill="FFFFFF"/>
        </w:rPr>
        <w:t>的</w:t>
      </w:r>
      <w:r>
        <w:rPr>
          <w:snapToGrid w:val="0"/>
          <w:szCs w:val="24"/>
          <w:shd w:val="clear" w:color="auto" w:fill="FFFFFF"/>
        </w:rPr>
        <w:t>提交信息提供</w:t>
      </w:r>
      <w:r>
        <w:rPr>
          <w:rFonts w:hint="eastAsia"/>
          <w:snapToGrid w:val="0"/>
          <w:szCs w:val="24"/>
          <w:shd w:val="clear" w:color="auto" w:fill="FFFFFF"/>
        </w:rPr>
        <w:t>指南</w:t>
      </w:r>
      <w:r>
        <w:rPr>
          <w:snapToGrid w:val="0"/>
          <w:szCs w:val="24"/>
          <w:shd w:val="clear" w:color="auto" w:fill="FFFFFF"/>
        </w:rPr>
        <w:t>。预计本文件将协助器械与放射健康中心（CDRH）基于可靠、</w:t>
      </w:r>
      <w:r>
        <w:rPr>
          <w:rFonts w:hint="eastAsia"/>
          <w:snapToGrid w:val="0"/>
          <w:szCs w:val="24"/>
          <w:shd w:val="clear" w:color="auto" w:fill="FFFFFF"/>
        </w:rPr>
        <w:t>可重复</w:t>
      </w:r>
      <w:r>
        <w:rPr>
          <w:snapToGrid w:val="0"/>
          <w:szCs w:val="24"/>
          <w:shd w:val="clear" w:color="auto" w:fill="FFFFFF"/>
        </w:rPr>
        <w:t>和标准化的商业试验，</w:t>
      </w:r>
      <w:r>
        <w:rPr>
          <w:rFonts w:hint="eastAsia"/>
          <w:snapToGrid w:val="0"/>
          <w:szCs w:val="24"/>
          <w:shd w:val="clear" w:color="auto" w:fill="FFFFFF"/>
        </w:rPr>
        <w:t>做出</w:t>
      </w:r>
      <w:r>
        <w:rPr>
          <w:snapToGrid w:val="0"/>
          <w:szCs w:val="24"/>
          <w:shd w:val="clear" w:color="auto" w:fill="FFFFFF"/>
        </w:rPr>
        <w:t>一致的决策。</w:t>
      </w:r>
    </w:p>
    <w:p w14:paraId="75C045A6">
      <w:pPr>
        <w:spacing w:before="195"/>
        <w:rPr>
          <w:snapToGrid w:val="0"/>
          <w:shd w:val="clear" w:color="auto" w:fill="FFFFFF"/>
        </w:rPr>
      </w:pPr>
      <w:r>
        <w:rPr>
          <w:snapToGrid w:val="0"/>
          <w:shd w:val="clear" w:color="auto" w:fill="FFFFFF"/>
        </w:rPr>
        <w:br w:type="page"/>
      </w:r>
    </w:p>
    <w:p w14:paraId="60C01960">
      <w:pPr>
        <w:pStyle w:val="32"/>
        <w:numPr>
          <w:ilvl w:val="0"/>
          <w:numId w:val="3"/>
        </w:numPr>
        <w:spacing w:before="195"/>
        <w:ind w:left="480" w:hanging="480" w:hangingChars="200"/>
        <w:rPr>
          <w:snapToGrid w:val="0"/>
          <w:szCs w:val="24"/>
          <w:u w:val="single"/>
          <w:shd w:val="clear" w:color="auto" w:fill="FFFFFF"/>
        </w:rPr>
      </w:pPr>
      <w:r>
        <w:rPr>
          <w:rFonts w:hint="eastAsia"/>
          <w:snapToGrid w:val="0"/>
          <w:szCs w:val="24"/>
          <w:u w:val="single"/>
          <w:shd w:val="clear" w:color="auto" w:fill="FFFFFF"/>
        </w:rPr>
        <w:t>背景</w:t>
      </w:r>
    </w:p>
    <w:p w14:paraId="7C5B3FCB">
      <w:pPr>
        <w:spacing w:before="195"/>
        <w:ind w:left="480" w:leftChars="200"/>
        <w:rPr>
          <w:snapToGrid w:val="0"/>
          <w:szCs w:val="24"/>
          <w:shd w:val="clear" w:color="auto" w:fill="FFFFFF"/>
        </w:rPr>
      </w:pPr>
      <w:r>
        <w:rPr>
          <w:snapToGrid w:val="0"/>
          <w:szCs w:val="24"/>
          <w:shd w:val="clear" w:color="auto" w:fill="FFFFFF"/>
        </w:rPr>
        <w:t>妊娠试验主要是基于尿液和血</w:t>
      </w:r>
      <w:r>
        <w:rPr>
          <w:rFonts w:hint="eastAsia"/>
          <w:snapToGrid w:val="0"/>
          <w:szCs w:val="24"/>
          <w:shd w:val="clear" w:color="auto" w:fill="FFFFFF"/>
        </w:rPr>
        <w:t>液</w:t>
      </w:r>
      <w:r>
        <w:rPr>
          <w:snapToGrid w:val="0"/>
          <w:szCs w:val="24"/>
          <w:shd w:val="clear" w:color="auto" w:fill="FFFFFF"/>
        </w:rPr>
        <w:t>中hCG的检测。HCG被认为由滋养层组织产生，出现在排卵后</w:t>
      </w:r>
      <w:r>
        <w:rPr>
          <w:rFonts w:hint="eastAsia"/>
          <w:snapToGrid w:val="0"/>
          <w:szCs w:val="24"/>
          <w:shd w:val="clear" w:color="auto" w:fill="FFFFFF"/>
        </w:rPr>
        <w:t>（</w:t>
      </w:r>
      <w:r>
        <w:rPr>
          <w:snapToGrid w:val="0"/>
          <w:szCs w:val="24"/>
          <w:shd w:val="clear" w:color="auto" w:fill="FFFFFF"/>
        </w:rPr>
        <w:t>已受精</w:t>
      </w:r>
      <w:r>
        <w:rPr>
          <w:rFonts w:hint="eastAsia"/>
          <w:snapToGrid w:val="0"/>
          <w:szCs w:val="24"/>
          <w:shd w:val="clear" w:color="auto" w:fill="FFFFFF"/>
        </w:rPr>
        <w:t>）</w:t>
      </w:r>
      <w:r>
        <w:rPr>
          <w:snapToGrid w:val="0"/>
          <w:szCs w:val="24"/>
          <w:shd w:val="clear" w:color="auto" w:fill="FFFFFF"/>
        </w:rPr>
        <w:t>第8-9天左右或者受孕后第4天左右。在28天的周期中，排卵发生在第14天，第23天左右或在预期月经前5天，可以在尿液或血液中检测到微量的hCG。HCG的功能包括促进着床以及黄体的</w:t>
      </w:r>
      <w:r>
        <w:rPr>
          <w:rFonts w:hint="eastAsia"/>
          <w:snapToGrid w:val="0"/>
          <w:szCs w:val="24"/>
          <w:shd w:val="clear" w:color="auto" w:fill="FFFFFF"/>
        </w:rPr>
        <w:t>保持</w:t>
      </w:r>
      <w:r>
        <w:rPr>
          <w:snapToGrid w:val="0"/>
          <w:szCs w:val="24"/>
          <w:shd w:val="clear" w:color="auto" w:fill="FFFFFF"/>
        </w:rPr>
        <w:t>和发育。hCG水平迅速上升，大约每两天翻一倍，在妊娠前三个月的后半部分可达峰值100000至200000</w:t>
      </w:r>
      <w:r>
        <w:rPr>
          <w:snapToGrid w:val="0"/>
          <w:szCs w:val="24"/>
        </w:rPr>
        <w:t xml:space="preserve"> mIU/mL。</w:t>
      </w:r>
      <w:r>
        <w:rPr>
          <w:snapToGrid w:val="0"/>
          <w:szCs w:val="24"/>
          <w:shd w:val="clear" w:color="auto" w:fill="FFFFFF"/>
        </w:rPr>
        <w:t>在正常人中，尿</w:t>
      </w:r>
      <w:r>
        <w:rPr>
          <w:rFonts w:hint="eastAsia"/>
          <w:snapToGrid w:val="0"/>
          <w:szCs w:val="24"/>
          <w:shd w:val="clear" w:color="auto" w:fill="FFFFFF"/>
        </w:rPr>
        <w:t>中的</w:t>
      </w:r>
      <w:r>
        <w:rPr>
          <w:snapToGrid w:val="0"/>
          <w:szCs w:val="24"/>
          <w:shd w:val="clear" w:color="auto" w:fill="FFFFFF"/>
        </w:rPr>
        <w:t>hCG可提供怀孕的早期迹象。由于hCG水平升高也与滋养细胞疾病和非治疗细胞肿瘤相关，必须先排除这些疾病的可能性，然后才能进行妊娠的诊断。（1）（2）</w:t>
      </w:r>
    </w:p>
    <w:p w14:paraId="4BB6D60C">
      <w:pPr>
        <w:spacing w:before="195"/>
        <w:ind w:left="480" w:leftChars="200"/>
        <w:rPr>
          <w:snapToGrid w:val="0"/>
          <w:szCs w:val="24"/>
          <w:shd w:val="clear" w:color="auto" w:fill="FFFFFF"/>
        </w:rPr>
      </w:pPr>
      <w:r>
        <w:rPr>
          <w:snapToGrid w:val="0"/>
          <w:szCs w:val="24"/>
          <w:shd w:val="clear" w:color="auto" w:fill="FFFFFF"/>
        </w:rPr>
        <w:t>HCG是一种糖蛋白，由α亚基和β亚基组成。HCG与其他两种促性腺激素密切相关，促黄体激素（LH）和卵泡刺激素（FSH），以及促甲状腺激素（TSH），所有这三种激素均为糖蛋白激素。这些不同的糖蛋白激素的α亚基结构非常相似，但β亚基在氨基酸序列上有所不同。这些差异</w:t>
      </w:r>
      <w:r>
        <w:rPr>
          <w:rFonts w:hint="eastAsia"/>
          <w:snapToGrid w:val="0"/>
          <w:szCs w:val="24"/>
          <w:shd w:val="clear" w:color="auto" w:fill="FFFFFF"/>
        </w:rPr>
        <w:t>也是其</w:t>
      </w:r>
      <w:r>
        <w:rPr>
          <w:snapToGrid w:val="0"/>
          <w:szCs w:val="24"/>
          <w:shd w:val="clear" w:color="auto" w:fill="FFFFFF"/>
        </w:rPr>
        <w:t>生物学和免疫学特异性</w:t>
      </w:r>
      <w:r>
        <w:rPr>
          <w:rFonts w:hint="eastAsia"/>
          <w:snapToGrid w:val="0"/>
          <w:szCs w:val="24"/>
          <w:shd w:val="clear" w:color="auto" w:fill="FFFFFF"/>
        </w:rPr>
        <w:t>的原因</w:t>
      </w:r>
      <w:r>
        <w:rPr>
          <w:snapToGrid w:val="0"/>
          <w:szCs w:val="24"/>
          <w:shd w:val="clear" w:color="auto" w:fill="FFFFFF"/>
        </w:rPr>
        <w:t>。（3）</w:t>
      </w:r>
    </w:p>
    <w:p w14:paraId="7B7F1C83">
      <w:pPr>
        <w:spacing w:before="195"/>
        <w:ind w:left="480" w:leftChars="200"/>
        <w:rPr>
          <w:snapToGrid w:val="0"/>
          <w:szCs w:val="24"/>
          <w:shd w:val="clear" w:color="auto" w:fill="FFFFFF"/>
        </w:rPr>
      </w:pPr>
      <w:r>
        <w:rPr>
          <w:rFonts w:hint="eastAsia"/>
          <w:snapToGrid w:val="0"/>
          <w:szCs w:val="24"/>
          <w:shd w:val="clear" w:color="auto" w:fill="FFFFFF"/>
        </w:rPr>
        <w:t>H</w:t>
      </w:r>
      <w:r>
        <w:rPr>
          <w:snapToGrid w:val="0"/>
          <w:szCs w:val="24"/>
          <w:shd w:val="clear" w:color="auto" w:fill="FFFFFF"/>
        </w:rPr>
        <w:t>CG</w:t>
      </w:r>
      <w:r>
        <w:rPr>
          <w:rFonts w:hint="eastAsia"/>
          <w:snapToGrid w:val="0"/>
          <w:szCs w:val="24"/>
          <w:shd w:val="clear" w:color="auto" w:fill="FFFFFF"/>
        </w:rPr>
        <w:t>出现</w:t>
      </w:r>
      <w:r>
        <w:rPr>
          <w:snapToGrid w:val="0"/>
          <w:szCs w:val="24"/>
          <w:shd w:val="clear" w:color="auto" w:fill="FFFFFF"/>
        </w:rPr>
        <w:t>在无并发症的妊娠妇女血清中，作为完整的分子进行循环。亚基迅速裂解并迅速被肾脏清除。因此，尿液中包含完整的hCG以及亚基和β亚基；然而，尿液中只有完整的hCG和β亚基保留免疫特异性。完整和亚基hCG在血清和尿液中的相对浓度在滋养细胞疾病患者中差异很大，因为亚基的合成不平衡。（4）</w:t>
      </w:r>
    </w:p>
    <w:p w14:paraId="6BFAE560">
      <w:pPr>
        <w:spacing w:before="195"/>
        <w:ind w:left="480" w:leftChars="200"/>
        <w:rPr>
          <w:snapToGrid w:val="0"/>
          <w:szCs w:val="24"/>
          <w:shd w:val="clear" w:color="auto" w:fill="FFFFFF"/>
        </w:rPr>
      </w:pPr>
      <w:r>
        <w:rPr>
          <w:snapToGrid w:val="0"/>
          <w:szCs w:val="24"/>
          <w:shd w:val="clear" w:color="auto" w:fill="FFFFFF"/>
        </w:rPr>
        <w:t>绒毛膜促性腺激素国际参比制品（CG的第一IRP），正式指定第三国际标准（第3</w:t>
      </w:r>
      <w:r>
        <w:rPr>
          <w:rFonts w:hint="eastAsia"/>
          <w:snapToGrid w:val="0"/>
          <w:szCs w:val="24"/>
          <w:shd w:val="clear" w:color="auto" w:fill="FFFFFF"/>
        </w:rPr>
        <w:t xml:space="preserve"> </w:t>
      </w:r>
      <w:r>
        <w:rPr>
          <w:snapToGrid w:val="0"/>
          <w:szCs w:val="24"/>
          <w:shd w:val="clear" w:color="auto" w:fill="FFFFFF"/>
        </w:rPr>
        <w:t>IS），只含纯的完</w:t>
      </w:r>
      <w:r>
        <w:rPr>
          <w:rFonts w:hint="eastAsia"/>
          <w:snapToGrid w:val="0"/>
          <w:szCs w:val="24"/>
          <w:shd w:val="clear" w:color="auto" w:fill="FFFFFF"/>
        </w:rPr>
        <w:t>整</w:t>
      </w:r>
      <w:r>
        <w:rPr>
          <w:snapToGrid w:val="0"/>
          <w:szCs w:val="24"/>
          <w:shd w:val="clear" w:color="auto" w:fill="FFFFFF"/>
        </w:rPr>
        <w:t>hCG。第二IS包含完整的hCG和其β亚基的混合物。第一IRP也可作为纯β亚基和纯α亚基。制造商现在可以描述和定义完整的人绒毛膜促性腺激素和/或其亚基检测的特异性。仅通过使用共同的标准，不可能获得报告结果的一致性，因为hCG是一个复杂的分子。不同免疫可以使用识别不同成分（抗原）的不同抗体。（</w:t>
      </w:r>
      <w:r>
        <w:rPr>
          <w:rFonts w:hint="eastAsia"/>
          <w:snapToGrid w:val="0"/>
          <w:szCs w:val="24"/>
          <w:shd w:val="clear" w:color="auto" w:fill="FFFFFF"/>
        </w:rPr>
        <w:t>5</w:t>
      </w:r>
      <w:r>
        <w:rPr>
          <w:snapToGrid w:val="0"/>
          <w:szCs w:val="24"/>
          <w:shd w:val="clear" w:color="auto" w:fill="FFFFFF"/>
        </w:rPr>
        <w:t>）</w:t>
      </w:r>
    </w:p>
    <w:p w14:paraId="7D227A99">
      <w:pPr>
        <w:spacing w:before="195"/>
        <w:rPr>
          <w:snapToGrid w:val="0"/>
          <w:shd w:val="clear" w:color="auto" w:fill="FFFFFF"/>
        </w:rPr>
      </w:pPr>
      <w:r>
        <w:rPr>
          <w:snapToGrid w:val="0"/>
          <w:shd w:val="clear" w:color="auto" w:fill="FFFFFF"/>
        </w:rPr>
        <w:br w:type="page"/>
      </w:r>
    </w:p>
    <w:p w14:paraId="27057F57">
      <w:pPr>
        <w:pStyle w:val="32"/>
        <w:numPr>
          <w:ilvl w:val="0"/>
          <w:numId w:val="3"/>
        </w:numPr>
        <w:spacing w:before="195"/>
        <w:ind w:left="480" w:hanging="480" w:hangingChars="200"/>
        <w:rPr>
          <w:snapToGrid w:val="0"/>
          <w:szCs w:val="24"/>
          <w:u w:val="single"/>
          <w:shd w:val="clear" w:color="auto" w:fill="FFFFFF"/>
        </w:rPr>
      </w:pPr>
      <w:r>
        <w:rPr>
          <w:rFonts w:hint="eastAsia"/>
          <w:snapToGrid w:val="0"/>
          <w:szCs w:val="24"/>
          <w:u w:val="single"/>
          <w:shd w:val="clear" w:color="auto" w:fill="FFFFFF"/>
        </w:rPr>
        <w:t>历史背景和说明</w:t>
      </w:r>
    </w:p>
    <w:p w14:paraId="66B9BC9D">
      <w:pPr>
        <w:spacing w:before="195"/>
        <w:ind w:left="480" w:leftChars="200"/>
        <w:rPr>
          <w:snapToGrid w:val="0"/>
          <w:szCs w:val="24"/>
          <w:shd w:val="clear" w:color="auto" w:fill="FFFFFF"/>
        </w:rPr>
      </w:pPr>
      <w:r>
        <w:rPr>
          <w:snapToGrid w:val="0"/>
          <w:szCs w:val="24"/>
        </w:rPr>
        <w:t>Ascheim（1927), Zondek（1931）介绍了</w:t>
      </w:r>
      <w:r>
        <w:rPr>
          <w:snapToGrid w:val="0"/>
          <w:szCs w:val="24"/>
          <w:shd w:val="clear" w:color="auto" w:fill="FFFFFF"/>
        </w:rPr>
        <w:t>临床</w:t>
      </w:r>
      <w:r>
        <w:rPr>
          <w:rFonts w:hint="eastAsia"/>
          <w:snapToGrid w:val="0"/>
          <w:szCs w:val="24"/>
          <w:shd w:val="clear" w:color="auto" w:fill="FFFFFF"/>
        </w:rPr>
        <w:t>应用</w:t>
      </w:r>
      <w:r>
        <w:rPr>
          <w:snapToGrid w:val="0"/>
          <w:szCs w:val="24"/>
          <w:shd w:val="clear" w:color="auto" w:fill="FFFFFF"/>
        </w:rPr>
        <w:t>的生物测定法，</w:t>
      </w:r>
      <w:r>
        <w:rPr>
          <w:snapToGrid w:val="0"/>
          <w:szCs w:val="24"/>
        </w:rPr>
        <w:t>即Friedman试验（1931）和有爪蟾蜍妊娠试验（Shapiro, 1934）</w:t>
      </w:r>
      <w:r>
        <w:rPr>
          <w:snapToGrid w:val="0"/>
          <w:szCs w:val="24"/>
          <w:shd w:val="clear" w:color="auto" w:fill="FFFFFF"/>
        </w:rPr>
        <w:t>。第一个试验可用在停经约2个月后确认妊娠。（6）除了这种试验方法不太敏感以外，生物测定的其他问题</w:t>
      </w:r>
      <w:r>
        <w:rPr>
          <w:rFonts w:hint="eastAsia"/>
          <w:snapToGrid w:val="0"/>
          <w:szCs w:val="24"/>
          <w:shd w:val="clear" w:color="auto" w:fill="FFFFFF"/>
        </w:rPr>
        <w:t>也</w:t>
      </w:r>
      <w:r>
        <w:rPr>
          <w:snapToGrid w:val="0"/>
          <w:szCs w:val="24"/>
          <w:shd w:val="clear" w:color="auto" w:fill="FFFFFF"/>
        </w:rPr>
        <w:t>限制了其作为常规</w:t>
      </w:r>
      <w:r>
        <w:rPr>
          <w:rFonts w:hint="eastAsia"/>
          <w:snapToGrid w:val="0"/>
          <w:szCs w:val="24"/>
          <w:shd w:val="clear" w:color="auto" w:fill="FFFFFF"/>
        </w:rPr>
        <w:t>的</w:t>
      </w:r>
      <w:r>
        <w:rPr>
          <w:snapToGrid w:val="0"/>
          <w:szCs w:val="24"/>
          <w:shd w:val="clear" w:color="auto" w:fill="FFFFFF"/>
        </w:rPr>
        <w:t>妊娠试验。正因为如此，这种测定方法被免疫测定所取代，其于1960年首次报道。灵敏放射免疫分析法（RIA）、放射免疫法（IRMA）、酶免疫分析（EIA）技术，通过使用高特异性抗体，现在可以准确和精确</w:t>
      </w:r>
      <w:r>
        <w:rPr>
          <w:rFonts w:hint="eastAsia"/>
          <w:snapToGrid w:val="0"/>
          <w:szCs w:val="24"/>
          <w:shd w:val="clear" w:color="auto" w:fill="FFFFFF"/>
        </w:rPr>
        <w:t>地</w:t>
      </w:r>
      <w:r>
        <w:rPr>
          <w:snapToGrid w:val="0"/>
          <w:szCs w:val="24"/>
          <w:shd w:val="clear" w:color="auto" w:fill="FFFFFF"/>
        </w:rPr>
        <w:t>定量hCG。</w:t>
      </w:r>
    </w:p>
    <w:p w14:paraId="11EDCA8C">
      <w:pPr>
        <w:spacing w:before="195"/>
        <w:ind w:left="480" w:leftChars="200"/>
        <w:rPr>
          <w:snapToGrid w:val="0"/>
          <w:szCs w:val="24"/>
          <w:shd w:val="clear" w:color="auto" w:fill="FFFFFF"/>
        </w:rPr>
      </w:pPr>
      <w:r>
        <w:rPr>
          <w:snapToGrid w:val="0"/>
          <w:szCs w:val="24"/>
          <w:shd w:val="clear" w:color="auto" w:fill="FFFFFF"/>
        </w:rPr>
        <w:t>目前，所有的家用妊娠试验均使用酶联免疫分析形式的单克隆或多克隆抗体。单克隆抗体对hCG分子上的特定位点高度敏感。如果尿液中存在hCG，则其将结合至固体表面</w:t>
      </w:r>
      <w:r>
        <w:rPr>
          <w:rFonts w:hint="eastAsia"/>
          <w:snapToGrid w:val="0"/>
          <w:szCs w:val="24"/>
          <w:shd w:val="clear" w:color="auto" w:fill="FFFFFF"/>
        </w:rPr>
        <w:t>的</w:t>
      </w:r>
      <w:r>
        <w:rPr>
          <w:snapToGrid w:val="0"/>
          <w:szCs w:val="24"/>
          <w:shd w:val="clear" w:color="auto" w:fill="FFFFFF"/>
        </w:rPr>
        <w:t>抗hCG抗体捕获。在</w:t>
      </w:r>
      <w:r>
        <w:rPr>
          <w:rFonts w:hint="eastAsia"/>
          <w:snapToGrid w:val="0"/>
          <w:szCs w:val="24"/>
          <w:shd w:val="clear" w:color="auto" w:fill="FFFFFF"/>
        </w:rPr>
        <w:t>该</w:t>
      </w:r>
      <w:r>
        <w:rPr>
          <w:snapToGrid w:val="0"/>
          <w:szCs w:val="24"/>
          <w:shd w:val="clear" w:color="auto" w:fill="FFFFFF"/>
        </w:rPr>
        <w:t>器械中使用了第二抗体；这种抗体链接至酶上，与抗体hCG复合物反应引起颜色变化，从而产生阳性结果。这些试验可以在错过月经期的第一天检测妊娠。HCG单克隆抗体的发展提供同类抗体的供应，并且提高检测的特异性。（7）（8）因此，商业上可用的妊娠试验相比早期的免疫试验更不易受其他物质的干扰。</w:t>
      </w:r>
    </w:p>
    <w:p w14:paraId="6A9A6FF6">
      <w:pPr>
        <w:pStyle w:val="32"/>
        <w:numPr>
          <w:ilvl w:val="0"/>
          <w:numId w:val="3"/>
        </w:numPr>
        <w:spacing w:before="195"/>
        <w:ind w:left="480" w:hanging="480" w:hangingChars="200"/>
        <w:rPr>
          <w:snapToGrid w:val="0"/>
          <w:szCs w:val="24"/>
          <w:u w:val="single"/>
          <w:shd w:val="clear" w:color="auto" w:fill="FFFFFF"/>
        </w:rPr>
      </w:pPr>
      <w:r>
        <w:rPr>
          <w:rFonts w:hint="eastAsia"/>
          <w:snapToGrid w:val="0"/>
          <w:szCs w:val="24"/>
          <w:u w:val="single"/>
          <w:shd w:val="clear" w:color="auto" w:fill="FFFFFF"/>
        </w:rPr>
        <w:t>性能特征/实验室评价</w:t>
      </w:r>
    </w:p>
    <w:p w14:paraId="5302B60A">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对比研究/OTC研究</w:t>
      </w:r>
    </w:p>
    <w:p w14:paraId="065D7E4D">
      <w:pPr>
        <w:pStyle w:val="32"/>
        <w:numPr>
          <w:ilvl w:val="2"/>
          <w:numId w:val="5"/>
        </w:numPr>
        <w:spacing w:before="195"/>
        <w:ind w:left="1440" w:leftChars="400" w:hanging="480" w:hangingChars="200"/>
        <w:rPr>
          <w:snapToGrid w:val="0"/>
          <w:szCs w:val="24"/>
          <w:shd w:val="clear" w:color="auto" w:fill="FFFFFF"/>
        </w:rPr>
      </w:pPr>
      <w:r>
        <w:rPr>
          <w:rFonts w:hint="eastAsia"/>
          <w:snapToGrid w:val="0"/>
          <w:szCs w:val="24"/>
          <w:shd w:val="clear" w:color="auto" w:fill="FFFFFF"/>
        </w:rPr>
        <w:t>研究设计</w:t>
      </w:r>
    </w:p>
    <w:p w14:paraId="3217545D">
      <w:pPr>
        <w:spacing w:before="195"/>
        <w:ind w:left="1440" w:leftChars="600"/>
        <w:rPr>
          <w:snapToGrid w:val="0"/>
          <w:szCs w:val="24"/>
          <w:shd w:val="clear" w:color="auto" w:fill="FFFFFF"/>
        </w:rPr>
      </w:pPr>
      <w:r>
        <w:rPr>
          <w:snapToGrid w:val="0"/>
          <w:szCs w:val="24"/>
          <w:shd w:val="clear" w:color="auto" w:fill="FFFFFF"/>
        </w:rPr>
        <w:t>FDA建议至少使用100个新鲜的人体尿液样本。每个样本</w:t>
      </w:r>
      <w:r>
        <w:rPr>
          <w:rFonts w:hint="eastAsia"/>
          <w:snapToGrid w:val="0"/>
          <w:szCs w:val="24"/>
          <w:shd w:val="clear" w:color="auto" w:fill="FFFFFF"/>
        </w:rPr>
        <w:t>应按受试者</w:t>
      </w:r>
      <w:r>
        <w:rPr>
          <w:snapToGrid w:val="0"/>
          <w:szCs w:val="24"/>
          <w:shd w:val="clear" w:color="auto" w:fill="FFFFFF"/>
        </w:rPr>
        <w:t>和专业</w:t>
      </w:r>
      <w:r>
        <w:rPr>
          <w:rFonts w:hint="eastAsia"/>
          <w:snapToGrid w:val="0"/>
          <w:szCs w:val="24"/>
          <w:shd w:val="clear" w:color="auto" w:fill="FFFFFF"/>
        </w:rPr>
        <w:t>人员</w:t>
      </w:r>
      <w:r>
        <w:rPr>
          <w:snapToGrid w:val="0"/>
          <w:szCs w:val="24"/>
          <w:shd w:val="clear" w:color="auto" w:fill="FFFFFF"/>
        </w:rPr>
        <w:t>区分，</w:t>
      </w:r>
      <w:r>
        <w:rPr>
          <w:rFonts w:hint="eastAsia"/>
          <w:snapToGrid w:val="0"/>
          <w:szCs w:val="24"/>
          <w:shd w:val="clear" w:color="auto" w:fill="FFFFFF"/>
        </w:rPr>
        <w:t>他们将</w:t>
      </w:r>
      <w:r>
        <w:rPr>
          <w:snapToGrid w:val="0"/>
          <w:szCs w:val="24"/>
          <w:shd w:val="clear" w:color="auto" w:fill="FFFFFF"/>
        </w:rPr>
        <w:t>在比较器械（</w:t>
      </w:r>
      <w:r>
        <w:rPr>
          <w:rFonts w:hint="eastAsia"/>
          <w:snapToGrid w:val="0"/>
          <w:szCs w:val="24"/>
          <w:shd w:val="clear" w:color="auto" w:fill="FFFFFF"/>
        </w:rPr>
        <w:t>供</w:t>
      </w:r>
      <w:r>
        <w:rPr>
          <w:snapToGrid w:val="0"/>
          <w:szCs w:val="24"/>
          <w:shd w:val="clear" w:color="auto" w:fill="FFFFFF"/>
        </w:rPr>
        <w:t>专业用途或OTC用途）和新器械上进行试验。除了将新器械与比较器械进行比较以外，新器械也可以用于比较</w:t>
      </w:r>
      <w:r>
        <w:rPr>
          <w:rFonts w:hint="eastAsia"/>
          <w:snapToGrid w:val="0"/>
          <w:szCs w:val="24"/>
          <w:shd w:val="clear" w:color="auto" w:fill="FFFFFF"/>
        </w:rPr>
        <w:t>受试者</w:t>
      </w:r>
      <w:r>
        <w:rPr>
          <w:snapToGrid w:val="0"/>
          <w:szCs w:val="24"/>
          <w:shd w:val="clear" w:color="auto" w:fill="FFFFFF"/>
        </w:rPr>
        <w:t>的结果和专业</w:t>
      </w:r>
      <w:r>
        <w:rPr>
          <w:rFonts w:hint="eastAsia"/>
          <w:snapToGrid w:val="0"/>
          <w:szCs w:val="24"/>
          <w:shd w:val="clear" w:color="auto" w:fill="FFFFFF"/>
        </w:rPr>
        <w:t>人员</w:t>
      </w:r>
      <w:r>
        <w:rPr>
          <w:snapToGrid w:val="0"/>
          <w:szCs w:val="24"/>
          <w:shd w:val="clear" w:color="auto" w:fill="FFFFFF"/>
        </w:rPr>
        <w:t>用户的结果。</w:t>
      </w:r>
    </w:p>
    <w:p w14:paraId="607AF7D4">
      <w:pPr>
        <w:spacing w:before="195"/>
        <w:ind w:left="1440" w:leftChars="600"/>
        <w:rPr>
          <w:snapToGrid w:val="0"/>
          <w:szCs w:val="24"/>
          <w:shd w:val="clear" w:color="auto" w:fill="FFFFFF"/>
        </w:rPr>
      </w:pPr>
      <w:r>
        <w:rPr>
          <w:snapToGrid w:val="0"/>
          <w:szCs w:val="24"/>
          <w:shd w:val="clear" w:color="auto" w:fill="FFFFFF"/>
        </w:rPr>
        <w:t>由受试者进行比较研究部分应当模拟实际使用情况。FDA建议受试者在没有协助的情况</w:t>
      </w:r>
      <w:r>
        <w:rPr>
          <w:rFonts w:hint="eastAsia"/>
          <w:snapToGrid w:val="0"/>
          <w:szCs w:val="24"/>
          <w:shd w:val="clear" w:color="auto" w:fill="FFFFFF"/>
        </w:rPr>
        <w:t>下</w:t>
      </w:r>
      <w:r>
        <w:rPr>
          <w:snapToGrid w:val="0"/>
          <w:szCs w:val="24"/>
          <w:shd w:val="clear" w:color="auto" w:fill="FFFFFF"/>
        </w:rPr>
        <w:t>进行样本的收集和试验。我们建议采用新鲜的空腹首次晨尿作为样本，因为hCG浓度在此时是最高的。如果样本无法立即检测，</w:t>
      </w:r>
      <w:r>
        <w:rPr>
          <w:rFonts w:hint="eastAsia"/>
          <w:snapToGrid w:val="0"/>
          <w:szCs w:val="24"/>
          <w:shd w:val="clear" w:color="auto" w:fill="FFFFFF"/>
        </w:rPr>
        <w:t>则</w:t>
      </w:r>
      <w:r>
        <w:rPr>
          <w:snapToGrid w:val="0"/>
          <w:szCs w:val="24"/>
          <w:shd w:val="clear" w:color="auto" w:fill="FFFFFF"/>
        </w:rPr>
        <w:t>应将这些样本保存在2-8</w:t>
      </w:r>
      <w:r>
        <w:rPr>
          <w:rFonts w:ascii="宋体" w:hAnsi="宋体"/>
          <w:snapToGrid w:val="0"/>
          <w:szCs w:val="24"/>
          <w:shd w:val="clear" w:color="auto" w:fill="FFFFFF"/>
        </w:rPr>
        <w:t>℃</w:t>
      </w:r>
      <w:r>
        <w:rPr>
          <w:snapToGrid w:val="0"/>
          <w:szCs w:val="24"/>
          <w:shd w:val="clear" w:color="auto" w:fill="FFFFFF"/>
        </w:rPr>
        <w:t>条件下最长48小时。（9）如果声明可以</w:t>
      </w:r>
      <w:r>
        <w:rPr>
          <w:rFonts w:hint="eastAsia" w:ascii="宋体" w:hAnsi="宋体"/>
          <w:snapToGrid w:val="0"/>
          <w:szCs w:val="24"/>
          <w:shd w:val="clear" w:color="auto" w:fill="FFFFFF"/>
        </w:rPr>
        <w:t>“</w:t>
      </w:r>
      <w:r>
        <w:rPr>
          <w:snapToGrid w:val="0"/>
          <w:szCs w:val="24"/>
          <w:shd w:val="clear" w:color="auto" w:fill="FFFFFF"/>
        </w:rPr>
        <w:t>使用一天中的任何时间</w:t>
      </w:r>
      <w:r>
        <w:rPr>
          <w:rFonts w:hint="eastAsia" w:ascii="宋体" w:hAnsi="宋体"/>
          <w:snapToGrid w:val="0"/>
          <w:szCs w:val="24"/>
          <w:shd w:val="clear" w:color="auto" w:fill="FFFFFF"/>
        </w:rPr>
        <w:t>”</w:t>
      </w:r>
      <w:r>
        <w:rPr>
          <w:snapToGrid w:val="0"/>
          <w:szCs w:val="24"/>
          <w:shd w:val="clear" w:color="auto" w:fill="FFFFFF"/>
        </w:rPr>
        <w:t>，则应该收集一天</w:t>
      </w:r>
      <w:r>
        <w:rPr>
          <w:rFonts w:hint="eastAsia"/>
          <w:snapToGrid w:val="0"/>
          <w:szCs w:val="24"/>
          <w:shd w:val="clear" w:color="auto" w:fill="FFFFFF"/>
        </w:rPr>
        <w:t>中任意</w:t>
      </w:r>
      <w:r>
        <w:rPr>
          <w:snapToGrid w:val="0"/>
          <w:szCs w:val="24"/>
          <w:shd w:val="clear" w:color="auto" w:fill="FFFFFF"/>
        </w:rPr>
        <w:t>时间的样本用于研究。</w:t>
      </w:r>
    </w:p>
    <w:p w14:paraId="758F70C2">
      <w:pPr>
        <w:spacing w:before="195"/>
        <w:rPr>
          <w:snapToGrid w:val="0"/>
          <w:szCs w:val="24"/>
          <w:shd w:val="clear" w:color="auto" w:fill="FFFFFF"/>
        </w:rPr>
      </w:pPr>
      <w:r>
        <w:rPr>
          <w:snapToGrid w:val="0"/>
          <w:szCs w:val="24"/>
          <w:shd w:val="clear" w:color="auto" w:fill="FFFFFF"/>
        </w:rPr>
        <w:br w:type="page"/>
      </w:r>
    </w:p>
    <w:p w14:paraId="1938B0D6">
      <w:pPr>
        <w:spacing w:before="195"/>
        <w:ind w:left="1440" w:leftChars="600"/>
        <w:rPr>
          <w:snapToGrid w:val="0"/>
          <w:szCs w:val="24"/>
          <w:shd w:val="clear" w:color="auto" w:fill="FFFFFF"/>
        </w:rPr>
      </w:pPr>
      <w:r>
        <w:rPr>
          <w:snapToGrid w:val="0"/>
          <w:szCs w:val="24"/>
          <w:shd w:val="clear" w:color="auto" w:fill="FFFFFF"/>
        </w:rPr>
        <w:t>另外，</w:t>
      </w:r>
      <w:r>
        <w:rPr>
          <w:rFonts w:hint="eastAsia"/>
          <w:snapToGrid w:val="0"/>
          <w:szCs w:val="24"/>
          <w:shd w:val="clear" w:color="auto" w:fill="FFFFFF"/>
        </w:rPr>
        <w:t>家庭用户可以提供编码的阳性和阴性样本</w:t>
      </w:r>
      <w:r>
        <w:rPr>
          <w:snapToGrid w:val="0"/>
          <w:szCs w:val="24"/>
          <w:shd w:val="clear" w:color="auto" w:fill="FFFFFF"/>
        </w:rPr>
        <w:t>。对于加标（尿液中加入hCG）样本，FDA建议包括在敏感性水平附近（例如，10至20%上下）的样本。同时，FDA要求加标样本的浓度应当提供在510（k）提交资料中。</w:t>
      </w:r>
    </w:p>
    <w:p w14:paraId="070BFB3A">
      <w:pPr>
        <w:spacing w:before="195"/>
        <w:ind w:left="1440" w:leftChars="600"/>
        <w:rPr>
          <w:snapToGrid w:val="0"/>
          <w:szCs w:val="24"/>
          <w:shd w:val="clear" w:color="auto" w:fill="FFFFFF"/>
        </w:rPr>
      </w:pPr>
      <w:r>
        <w:rPr>
          <w:snapToGrid w:val="0"/>
          <w:szCs w:val="24"/>
          <w:shd w:val="clear" w:color="auto" w:fill="FFFFFF"/>
        </w:rPr>
        <w:t>对于使用一种以上检测步骤的器械，例如，尿流和浸渍步骤，我们强烈建议提供数据</w:t>
      </w:r>
      <w:r>
        <w:rPr>
          <w:rFonts w:hint="eastAsia"/>
          <w:snapToGrid w:val="0"/>
          <w:szCs w:val="24"/>
          <w:shd w:val="clear" w:color="auto" w:fill="FFFFFF"/>
        </w:rPr>
        <w:t>以确认</w:t>
      </w:r>
      <w:r>
        <w:rPr>
          <w:snapToGrid w:val="0"/>
          <w:szCs w:val="24"/>
          <w:shd w:val="clear" w:color="auto" w:fill="FFFFFF"/>
        </w:rPr>
        <w:t>这两个过程的等效性。五十个或更多的OTC用户（受试者）应执行尿流法。</w:t>
      </w:r>
    </w:p>
    <w:p w14:paraId="052E842E">
      <w:pPr>
        <w:spacing w:before="195"/>
        <w:ind w:left="1440" w:leftChars="600"/>
        <w:rPr>
          <w:snapToGrid w:val="0"/>
          <w:szCs w:val="24"/>
          <w:shd w:val="clear" w:color="auto" w:fill="FFFFFF"/>
        </w:rPr>
      </w:pPr>
      <w:r>
        <w:rPr>
          <w:snapToGrid w:val="0"/>
          <w:szCs w:val="24"/>
          <w:shd w:val="clear" w:color="auto" w:fill="FFFFFF"/>
        </w:rPr>
        <w:t>OTC用户（受试者）可以</w:t>
      </w:r>
      <w:r>
        <w:rPr>
          <w:rFonts w:hint="eastAsia"/>
          <w:snapToGrid w:val="0"/>
          <w:szCs w:val="24"/>
          <w:shd w:val="clear" w:color="auto" w:fill="FFFFFF"/>
        </w:rPr>
        <w:t>在</w:t>
      </w:r>
      <w:r>
        <w:rPr>
          <w:snapToGrid w:val="0"/>
          <w:szCs w:val="24"/>
          <w:shd w:val="clear" w:color="auto" w:fill="FFFFFF"/>
        </w:rPr>
        <w:t>诊所和/或医生办公室或通过广告进行随机筛选。他们应该代表年龄</w:t>
      </w:r>
      <w:r>
        <w:rPr>
          <w:rFonts w:hint="eastAsia"/>
          <w:snapToGrid w:val="0"/>
          <w:szCs w:val="24"/>
          <w:shd w:val="clear" w:color="auto" w:fill="FFFFFF"/>
        </w:rPr>
        <w:t>、</w:t>
      </w:r>
      <w:r>
        <w:rPr>
          <w:snapToGrid w:val="0"/>
          <w:szCs w:val="24"/>
          <w:shd w:val="clear" w:color="auto" w:fill="FFFFFF"/>
        </w:rPr>
        <w:t>背景和教育的多样性。试验完成后，用户应填写</w:t>
      </w:r>
      <w:r>
        <w:rPr>
          <w:rFonts w:hint="eastAsia"/>
          <w:snapToGrid w:val="0"/>
          <w:szCs w:val="24"/>
          <w:shd w:val="clear" w:color="auto" w:fill="FFFFFF"/>
        </w:rPr>
        <w:t>调查</w:t>
      </w:r>
      <w:r>
        <w:rPr>
          <w:snapToGrid w:val="0"/>
          <w:szCs w:val="24"/>
          <w:shd w:val="clear" w:color="auto" w:fill="FFFFFF"/>
        </w:rPr>
        <w:t>问卷。该</w:t>
      </w:r>
      <w:r>
        <w:rPr>
          <w:rFonts w:hint="eastAsia"/>
          <w:snapToGrid w:val="0"/>
          <w:szCs w:val="24"/>
          <w:shd w:val="clear" w:color="auto" w:fill="FFFFFF"/>
        </w:rPr>
        <w:t>调查</w:t>
      </w:r>
      <w:r>
        <w:rPr>
          <w:snapToGrid w:val="0"/>
          <w:szCs w:val="24"/>
          <w:shd w:val="clear" w:color="auto" w:fill="FFFFFF"/>
        </w:rPr>
        <w:t>问卷用于生成信息，如试验和易用性的反馈、使用说明书的清晰性和易读性。FDA要求将对这些问题答复的汇总提供在510（k）提交资料中。</w:t>
      </w:r>
    </w:p>
    <w:p w14:paraId="63831A97">
      <w:pPr>
        <w:spacing w:before="195"/>
        <w:ind w:left="1440" w:leftChars="600"/>
        <w:rPr>
          <w:snapToGrid w:val="0"/>
          <w:szCs w:val="24"/>
          <w:shd w:val="clear" w:color="auto" w:fill="FFFFFF"/>
        </w:rPr>
      </w:pPr>
      <w:r>
        <w:rPr>
          <w:rFonts w:hint="eastAsia"/>
          <w:snapToGrid w:val="0"/>
          <w:szCs w:val="24"/>
          <w:shd w:val="clear" w:color="auto" w:fill="FFFFFF"/>
        </w:rPr>
        <w:t>将OTC研究方案的摘要包含在</w:t>
      </w:r>
      <w:r>
        <w:rPr>
          <w:snapToGrid w:val="0"/>
          <w:szCs w:val="24"/>
          <w:shd w:val="clear" w:color="auto" w:fill="FFFFFF"/>
        </w:rPr>
        <w:t>510（k）提交资料中。</w:t>
      </w:r>
    </w:p>
    <w:p w14:paraId="50D72C4F">
      <w:pPr>
        <w:pStyle w:val="32"/>
        <w:numPr>
          <w:ilvl w:val="2"/>
          <w:numId w:val="5"/>
        </w:numPr>
        <w:spacing w:before="195"/>
        <w:ind w:left="1440" w:leftChars="400" w:hanging="480" w:hangingChars="200"/>
        <w:rPr>
          <w:snapToGrid w:val="0"/>
          <w:szCs w:val="24"/>
          <w:shd w:val="clear" w:color="auto" w:fill="FFFFFF"/>
        </w:rPr>
      </w:pPr>
      <w:r>
        <w:rPr>
          <w:rFonts w:hint="eastAsia"/>
          <w:snapToGrid w:val="0"/>
          <w:szCs w:val="24"/>
          <w:shd w:val="clear" w:color="auto" w:fill="FFFFFF"/>
        </w:rPr>
        <w:t>数据分析</w:t>
      </w:r>
    </w:p>
    <w:p w14:paraId="403DD70F">
      <w:pPr>
        <w:spacing w:before="195"/>
        <w:ind w:left="1440" w:leftChars="600"/>
        <w:rPr>
          <w:snapToGrid w:val="0"/>
          <w:szCs w:val="24"/>
          <w:shd w:val="clear" w:color="auto" w:fill="FFFFFF"/>
        </w:rPr>
      </w:pPr>
      <w:r>
        <w:rPr>
          <w:snapToGrid w:val="0"/>
          <w:szCs w:val="24"/>
          <w:shd w:val="clear" w:color="auto" w:fill="FFFFFF"/>
        </w:rPr>
        <w:t>FDA建议按百分比准确度来表示数据，</w:t>
      </w:r>
      <w:r>
        <w:rPr>
          <w:rFonts w:hint="eastAsia"/>
          <w:snapToGrid w:val="0"/>
          <w:szCs w:val="24"/>
          <w:shd w:val="clear" w:color="auto" w:fill="FFFFFF"/>
        </w:rPr>
        <w:t>百分比</w:t>
      </w:r>
      <w:r>
        <w:rPr>
          <w:snapToGrid w:val="0"/>
          <w:szCs w:val="24"/>
          <w:shd w:val="clear" w:color="auto" w:fill="FFFFFF"/>
        </w:rPr>
        <w:t>准确度永远不应超过＞99%。按照美国国家</w:t>
      </w:r>
      <w:r>
        <w:rPr>
          <w:snapToGrid w:val="0"/>
          <w:szCs w:val="24"/>
        </w:rPr>
        <w:t>临床实验</w:t>
      </w:r>
      <w:r>
        <w:rPr>
          <w:snapToGrid w:val="0"/>
          <w:szCs w:val="24"/>
          <w:shd w:val="clear" w:color="auto" w:fill="FFFFFF"/>
        </w:rPr>
        <w:t>室</w:t>
      </w:r>
      <w:r>
        <w:rPr>
          <w:snapToGrid w:val="0"/>
          <w:szCs w:val="24"/>
        </w:rPr>
        <w:t>标准委员会（</w:t>
      </w:r>
      <w:r>
        <w:rPr>
          <w:snapToGrid w:val="0"/>
          <w:szCs w:val="24"/>
          <w:shd w:val="clear" w:color="auto" w:fill="FFFFFF"/>
        </w:rPr>
        <w:t>NCCLS</w:t>
      </w:r>
      <w:r>
        <w:rPr>
          <w:rFonts w:hint="eastAsia"/>
          <w:snapToGrid w:val="0"/>
          <w:szCs w:val="24"/>
        </w:rPr>
        <w:t>）</w:t>
      </w:r>
      <w:r>
        <w:rPr>
          <w:snapToGrid w:val="0"/>
          <w:szCs w:val="24"/>
          <w:shd w:val="clear" w:color="auto" w:fill="FFFFFF"/>
        </w:rPr>
        <w:t>标签指南，准确度基于试验有效性，即真实阳性结果乘以真实阴性结果再除以所试验样本总数。</w:t>
      </w:r>
    </w:p>
    <w:p w14:paraId="5C83AFE8">
      <w:pPr>
        <w:spacing w:before="195"/>
        <w:ind w:left="1440" w:leftChars="600"/>
        <w:rPr>
          <w:snapToGrid w:val="0"/>
          <w:szCs w:val="24"/>
          <w:shd w:val="clear" w:color="auto" w:fill="FFFFFF"/>
        </w:rPr>
      </w:pPr>
      <w:r>
        <w:rPr>
          <w:snapToGrid w:val="0"/>
          <w:szCs w:val="24"/>
          <w:shd w:val="clear" w:color="auto" w:fill="FFFFFF"/>
        </w:rPr>
        <w:t>这种性能可以用文本或表格</w:t>
      </w:r>
      <w:r>
        <w:rPr>
          <w:rFonts w:hint="eastAsia"/>
          <w:snapToGrid w:val="0"/>
          <w:szCs w:val="24"/>
          <w:shd w:val="clear" w:color="auto" w:fill="FFFFFF"/>
        </w:rPr>
        <w:t>的</w:t>
      </w:r>
      <w:r>
        <w:rPr>
          <w:snapToGrid w:val="0"/>
          <w:szCs w:val="24"/>
          <w:shd w:val="clear" w:color="auto" w:fill="FFFFFF"/>
        </w:rPr>
        <w:t>形式</w:t>
      </w:r>
      <w:r>
        <w:rPr>
          <w:rFonts w:hint="eastAsia"/>
          <w:snapToGrid w:val="0"/>
          <w:szCs w:val="24"/>
          <w:shd w:val="clear" w:color="auto" w:fill="FFFFFF"/>
        </w:rPr>
        <w:t>来进行</w:t>
      </w:r>
      <w:r>
        <w:rPr>
          <w:snapToGrid w:val="0"/>
          <w:szCs w:val="24"/>
          <w:shd w:val="clear" w:color="auto" w:fill="FFFFFF"/>
        </w:rPr>
        <w:t>描述。除此以外，应当避免误导性的陈述，如几乎100%准确率、接近100%准确率、100%准确，等等。</w:t>
      </w:r>
    </w:p>
    <w:p w14:paraId="6417E0A3">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特异性</w:t>
      </w:r>
    </w:p>
    <w:p w14:paraId="05F13348">
      <w:pPr>
        <w:spacing w:before="195"/>
        <w:ind w:left="960" w:leftChars="400"/>
        <w:rPr>
          <w:snapToGrid w:val="0"/>
          <w:szCs w:val="24"/>
          <w:shd w:val="clear" w:color="auto" w:fill="FFFFFF"/>
        </w:rPr>
      </w:pPr>
      <w:r>
        <w:rPr>
          <w:snapToGrid w:val="0"/>
          <w:szCs w:val="24"/>
          <w:shd w:val="clear" w:color="auto" w:fill="FFFFFF"/>
        </w:rPr>
        <w:t>特异性研究应当在具有较高促黄体激素（LH）和卵泡刺激素（FSH），以及促甲状腺激素（TSH）浓度的样本中进行。理想情况下，高水平的LH不会明显与hCG产生交叉反应。含有LH、FSH或TSH的</w:t>
      </w:r>
      <w:bookmarkStart w:id="3" w:name="OLE_LINK6"/>
      <w:bookmarkStart w:id="4" w:name="OLE_LINK7"/>
      <w:r>
        <w:rPr>
          <w:snapToGrid w:val="0"/>
          <w:szCs w:val="24"/>
          <w:shd w:val="clear" w:color="auto" w:fill="FFFFFF"/>
        </w:rPr>
        <w:t>加标样品</w:t>
      </w:r>
      <w:bookmarkEnd w:id="3"/>
      <w:bookmarkEnd w:id="4"/>
      <w:r>
        <w:rPr>
          <w:snapToGrid w:val="0"/>
          <w:szCs w:val="24"/>
          <w:shd w:val="clear" w:color="auto" w:fill="FFFFFF"/>
        </w:rPr>
        <w:t>在证明高LH、FSH或TSH水平下不存在交叉反应时很有用。</w:t>
      </w:r>
    </w:p>
    <w:p w14:paraId="21BBD938">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干扰物质</w:t>
      </w:r>
    </w:p>
    <w:p w14:paraId="581EE331">
      <w:pPr>
        <w:spacing w:before="195"/>
        <w:ind w:left="960" w:leftChars="400"/>
        <w:rPr>
          <w:snapToGrid w:val="0"/>
          <w:szCs w:val="24"/>
          <w:shd w:val="clear" w:color="auto" w:fill="FFFFFF"/>
        </w:rPr>
      </w:pPr>
      <w:r>
        <w:rPr>
          <w:snapToGrid w:val="0"/>
          <w:szCs w:val="24"/>
          <w:shd w:val="clear" w:color="auto" w:fill="FFFFFF"/>
        </w:rPr>
        <w:t>干扰研究应当在含有处方/OTC药物、化学分析物水平升高（例如，咖啡因，抗坏血酸）和生物分析物水平升高（例如，葡萄糖，蛋白质，白蛋白，胆红素，血红蛋白）</w:t>
      </w:r>
      <w:r>
        <w:rPr>
          <w:rFonts w:hint="eastAsia"/>
          <w:snapToGrid w:val="0"/>
          <w:szCs w:val="24"/>
          <w:shd w:val="clear" w:color="auto" w:fill="FFFFFF"/>
        </w:rPr>
        <w:t>的尿液中进行</w:t>
      </w:r>
      <w:r>
        <w:rPr>
          <w:snapToGrid w:val="0"/>
          <w:szCs w:val="24"/>
          <w:shd w:val="clear" w:color="auto" w:fill="FFFFFF"/>
        </w:rPr>
        <w:t>。</w:t>
      </w:r>
      <w:r>
        <w:rPr>
          <w:rFonts w:hint="eastAsia"/>
          <w:snapToGrid w:val="0"/>
          <w:szCs w:val="24"/>
          <w:shd w:val="clear" w:color="auto" w:fill="FFFFFF"/>
        </w:rPr>
        <w:t>干扰研究也可用于</w:t>
      </w:r>
      <w:r>
        <w:rPr>
          <w:snapToGrid w:val="0"/>
          <w:szCs w:val="24"/>
          <w:shd w:val="clear" w:color="auto" w:fill="FFFFFF"/>
        </w:rPr>
        <w:t>评价pH值对结果</w:t>
      </w:r>
      <w:r>
        <w:rPr>
          <w:rFonts w:hint="eastAsia"/>
          <w:snapToGrid w:val="0"/>
          <w:szCs w:val="24"/>
          <w:shd w:val="clear" w:color="auto" w:fill="FFFFFF"/>
        </w:rPr>
        <w:t>产生</w:t>
      </w:r>
      <w:r>
        <w:rPr>
          <w:snapToGrid w:val="0"/>
          <w:szCs w:val="24"/>
          <w:shd w:val="clear" w:color="auto" w:fill="FFFFFF"/>
        </w:rPr>
        <w:t>的影响。</w:t>
      </w:r>
    </w:p>
    <w:p w14:paraId="027364AD">
      <w:pPr>
        <w:spacing w:before="195"/>
        <w:rPr>
          <w:snapToGrid w:val="0"/>
          <w:shd w:val="clear" w:color="auto" w:fill="FFFFFF"/>
        </w:rPr>
      </w:pPr>
      <w:r>
        <w:rPr>
          <w:snapToGrid w:val="0"/>
          <w:shd w:val="clear" w:color="auto" w:fill="FFFFFF"/>
        </w:rPr>
        <w:br w:type="page"/>
      </w:r>
    </w:p>
    <w:p w14:paraId="217F604D">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灵敏度/检测限</w:t>
      </w:r>
    </w:p>
    <w:p w14:paraId="0FB9E0C9">
      <w:pPr>
        <w:spacing w:before="195"/>
        <w:ind w:left="960" w:leftChars="400"/>
        <w:rPr>
          <w:snapToGrid w:val="0"/>
          <w:szCs w:val="24"/>
          <w:shd w:val="clear" w:color="auto" w:fill="FFFFFF"/>
        </w:rPr>
      </w:pPr>
      <w:r>
        <w:rPr>
          <w:snapToGrid w:val="0"/>
          <w:szCs w:val="24"/>
          <w:shd w:val="clear" w:color="auto" w:fill="FFFFFF"/>
        </w:rPr>
        <w:t>对于定性检测，灵敏度/检测限是指95%的检测结果为阳性的分析物浓度。检测灵敏度应</w:t>
      </w:r>
      <w:r>
        <w:rPr>
          <w:rFonts w:hint="eastAsia"/>
          <w:snapToGrid w:val="0"/>
          <w:szCs w:val="24"/>
          <w:shd w:val="clear" w:color="auto" w:fill="FFFFFF"/>
        </w:rPr>
        <w:t>为</w:t>
      </w:r>
      <w:r>
        <w:rPr>
          <w:snapToGrid w:val="0"/>
          <w:szCs w:val="24"/>
          <w:shd w:val="clear" w:color="auto" w:fill="FFFFFF"/>
        </w:rPr>
        <w:t>：</w:t>
      </w:r>
      <w:r>
        <w:rPr>
          <w:rFonts w:hint="eastAsia"/>
          <w:snapToGrid w:val="0"/>
          <w:szCs w:val="24"/>
          <w:shd w:val="clear" w:color="auto" w:fill="FFFFFF"/>
        </w:rPr>
        <w:t>能</w:t>
      </w:r>
      <w:r>
        <w:rPr>
          <w:snapToGrid w:val="0"/>
          <w:szCs w:val="24"/>
          <w:shd w:val="clear" w:color="auto" w:fill="FFFFFF"/>
        </w:rPr>
        <w:t>检测到少量的hCG，由于有LH存在而导致的假阳性结果将最小化。（2）除此以外，预计所有阳性的结果将在指定的时间段内做出反应。</w:t>
      </w:r>
    </w:p>
    <w:p w14:paraId="3A6B9B9D">
      <w:pPr>
        <w:spacing w:before="195"/>
        <w:ind w:left="960" w:leftChars="400"/>
        <w:rPr>
          <w:snapToGrid w:val="0"/>
          <w:szCs w:val="24"/>
        </w:rPr>
      </w:pPr>
      <w:r>
        <w:rPr>
          <w:snapToGrid w:val="0"/>
          <w:szCs w:val="24"/>
          <w:shd w:val="clear" w:color="auto" w:fill="FFFFFF"/>
        </w:rPr>
        <w:t>灵敏度可通过加标来自正常、非妊娠女性或男性、包含低于（包括1个在-50%灵敏度和1个在-25%灵敏度）、等于和高于规定灵敏度的6种不同hCG浓度的临床样本。例如，对于具有</w:t>
      </w:r>
      <w:r>
        <w:rPr>
          <w:snapToGrid w:val="0"/>
          <w:szCs w:val="24"/>
        </w:rPr>
        <w:t>25 mIU/mL检测限的试验，可使用大约为0、12.5、18.75、25、50和100 mIU/mL的浓度。</w:t>
      </w:r>
      <w:r>
        <w:rPr>
          <w:snapToGrid w:val="0"/>
          <w:szCs w:val="24"/>
          <w:shd w:val="clear" w:color="auto" w:fill="FFFFFF"/>
        </w:rPr>
        <w:t>FDA</w:t>
      </w:r>
      <w:r>
        <w:rPr>
          <w:snapToGrid w:val="0"/>
          <w:szCs w:val="24"/>
        </w:rPr>
        <w:t>要求将所试验的浓度在510（k）提交资料中提供。</w:t>
      </w:r>
    </w:p>
    <w:p w14:paraId="1D24FB88">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不精确性或重现性研究</w:t>
      </w:r>
    </w:p>
    <w:p w14:paraId="7C7478A4">
      <w:pPr>
        <w:spacing w:before="195"/>
        <w:ind w:left="960" w:leftChars="400"/>
        <w:rPr>
          <w:snapToGrid w:val="0"/>
          <w:szCs w:val="24"/>
          <w:shd w:val="clear" w:color="auto" w:fill="FFFFFF"/>
        </w:rPr>
      </w:pPr>
      <w:r>
        <w:rPr>
          <w:snapToGrid w:val="0"/>
          <w:szCs w:val="24"/>
          <w:shd w:val="clear" w:color="auto" w:fill="FFFFFF"/>
        </w:rPr>
        <w:t>如果有需要的话，可以进行这方面的研究。FDA建议在评价不精确</w:t>
      </w:r>
      <w:r>
        <w:rPr>
          <w:rFonts w:hint="eastAsia"/>
          <w:snapToGrid w:val="0"/>
          <w:szCs w:val="24"/>
          <w:shd w:val="clear" w:color="auto" w:fill="FFFFFF"/>
        </w:rPr>
        <w:t>性</w:t>
      </w:r>
      <w:r>
        <w:rPr>
          <w:snapToGrid w:val="0"/>
          <w:szCs w:val="24"/>
          <w:shd w:val="clear" w:color="auto" w:fill="FFFFFF"/>
        </w:rPr>
        <w:t>时遵从科学有效的方案。</w:t>
      </w:r>
    </w:p>
    <w:p w14:paraId="07A09BC3">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预期值</w:t>
      </w:r>
    </w:p>
    <w:p w14:paraId="311CB7FA">
      <w:pPr>
        <w:spacing w:before="195"/>
        <w:ind w:left="960" w:leftChars="400"/>
        <w:rPr>
          <w:snapToGrid w:val="0"/>
          <w:szCs w:val="24"/>
          <w:shd w:val="clear" w:color="auto" w:fill="FFFFFF"/>
        </w:rPr>
      </w:pPr>
      <w:r>
        <w:rPr>
          <w:snapToGrid w:val="0"/>
          <w:szCs w:val="24"/>
          <w:shd w:val="clear" w:color="auto" w:fill="FFFFFF"/>
        </w:rPr>
        <w:t>不需要出现在OTC使用说明书中的部分。然而，内制造商</w:t>
      </w:r>
      <w:r>
        <w:rPr>
          <w:rFonts w:hint="eastAsia"/>
          <w:snapToGrid w:val="0"/>
          <w:szCs w:val="24"/>
          <w:shd w:val="clear" w:color="auto" w:fill="FFFFFF"/>
        </w:rPr>
        <w:t>可以</w:t>
      </w:r>
      <w:r>
        <w:rPr>
          <w:snapToGrid w:val="0"/>
          <w:szCs w:val="24"/>
          <w:shd w:val="clear" w:color="auto" w:fill="FFFFFF"/>
        </w:rPr>
        <w:t>在使用说明书声明该试验可以在停经第一天检测妊娠，而不是更早，除非经过临床数据</w:t>
      </w:r>
      <w:r>
        <w:rPr>
          <w:rFonts w:hint="eastAsia"/>
          <w:snapToGrid w:val="0"/>
          <w:szCs w:val="24"/>
          <w:shd w:val="clear" w:color="auto" w:fill="FFFFFF"/>
        </w:rPr>
        <w:t>确认</w:t>
      </w:r>
      <w:r>
        <w:rPr>
          <w:snapToGrid w:val="0"/>
          <w:szCs w:val="24"/>
          <w:shd w:val="clear" w:color="auto" w:fill="FFFFFF"/>
        </w:rPr>
        <w:t>。（注：我们建议进行这些研究前，先与部分代表进行临床研究方案的讨论。）</w:t>
      </w:r>
    </w:p>
    <w:p w14:paraId="724567F1">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校准</w:t>
      </w:r>
    </w:p>
    <w:p w14:paraId="0C99321E">
      <w:pPr>
        <w:spacing w:before="195"/>
        <w:ind w:left="960" w:leftChars="400"/>
        <w:rPr>
          <w:snapToGrid w:val="0"/>
          <w:szCs w:val="24"/>
          <w:shd w:val="clear" w:color="auto" w:fill="FFFFFF"/>
        </w:rPr>
      </w:pPr>
      <w:r>
        <w:rPr>
          <w:snapToGrid w:val="0"/>
          <w:szCs w:val="24"/>
          <w:shd w:val="clear" w:color="auto" w:fill="FFFFFF"/>
        </w:rPr>
        <w:t>HCG的标准或试验校准的参考材料来源（第一IRP、第二IS或第三IS）应仅在提交资料中说明。</w:t>
      </w:r>
    </w:p>
    <w:p w14:paraId="2D396098">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质量控制</w:t>
      </w:r>
    </w:p>
    <w:p w14:paraId="3498F986">
      <w:pPr>
        <w:spacing w:before="195"/>
        <w:ind w:left="960" w:leftChars="400"/>
        <w:rPr>
          <w:snapToGrid w:val="0"/>
          <w:szCs w:val="24"/>
          <w:shd w:val="clear" w:color="auto" w:fill="FFFFFF"/>
        </w:rPr>
      </w:pPr>
      <w:r>
        <w:rPr>
          <w:rFonts w:hint="eastAsia"/>
          <w:snapToGrid w:val="0"/>
          <w:szCs w:val="24"/>
          <w:shd w:val="clear" w:color="auto" w:fill="FFFFFF"/>
        </w:rPr>
        <w:t>如果器械包含程序或设计控件，则应当详细描述该控件的功能。下面列出了描述的示例。</w:t>
      </w:r>
    </w:p>
    <w:p w14:paraId="79D2A5D3">
      <w:pPr>
        <w:pStyle w:val="32"/>
        <w:numPr>
          <w:ilvl w:val="0"/>
          <w:numId w:val="6"/>
        </w:numPr>
        <w:spacing w:before="195"/>
        <w:ind w:left="1380" w:leftChars="400" w:hangingChars="175"/>
        <w:rPr>
          <w:snapToGrid w:val="0"/>
          <w:szCs w:val="24"/>
          <w:shd w:val="clear" w:color="auto" w:fill="FFFFFF"/>
        </w:rPr>
      </w:pPr>
      <w:r>
        <w:rPr>
          <w:rFonts w:hint="eastAsia"/>
          <w:snapToGrid w:val="0"/>
          <w:szCs w:val="24"/>
          <w:shd w:val="clear" w:color="auto" w:fill="FFFFFF"/>
        </w:rPr>
        <w:t>确定化学品是否工作正常的控件。</w:t>
      </w:r>
    </w:p>
    <w:p w14:paraId="3DA66100">
      <w:pPr>
        <w:pStyle w:val="32"/>
        <w:numPr>
          <w:ilvl w:val="0"/>
          <w:numId w:val="6"/>
        </w:numPr>
        <w:spacing w:before="195"/>
        <w:ind w:left="1380" w:leftChars="400" w:hangingChars="175"/>
        <w:rPr>
          <w:snapToGrid w:val="0"/>
          <w:szCs w:val="24"/>
          <w:shd w:val="clear" w:color="auto" w:fill="FFFFFF"/>
        </w:rPr>
      </w:pPr>
      <w:r>
        <w:rPr>
          <w:snapToGrid w:val="0"/>
          <w:szCs w:val="24"/>
          <w:shd w:val="clear" w:color="auto" w:fill="FFFFFF"/>
        </w:rPr>
        <w:t>确定是否添加了足够数量的样品</w:t>
      </w:r>
      <w:r>
        <w:rPr>
          <w:rFonts w:hint="eastAsia"/>
          <w:snapToGrid w:val="0"/>
          <w:szCs w:val="24"/>
          <w:shd w:val="clear" w:color="auto" w:fill="FFFFFF"/>
        </w:rPr>
        <w:t>的控件。</w:t>
      </w:r>
    </w:p>
    <w:p w14:paraId="63C5CABE">
      <w:pPr>
        <w:pStyle w:val="32"/>
        <w:numPr>
          <w:ilvl w:val="0"/>
          <w:numId w:val="6"/>
        </w:numPr>
        <w:spacing w:before="195"/>
        <w:ind w:left="1380" w:leftChars="400" w:hangingChars="175"/>
        <w:rPr>
          <w:snapToGrid w:val="0"/>
          <w:szCs w:val="24"/>
          <w:shd w:val="clear" w:color="auto" w:fill="FFFFFF"/>
        </w:rPr>
      </w:pPr>
      <w:r>
        <w:rPr>
          <w:snapToGrid w:val="0"/>
          <w:szCs w:val="24"/>
          <w:shd w:val="clear" w:color="auto" w:fill="FFFFFF"/>
        </w:rPr>
        <w:t>确定是否遵循适当的程序</w:t>
      </w:r>
      <w:r>
        <w:rPr>
          <w:rFonts w:hint="eastAsia"/>
          <w:snapToGrid w:val="0"/>
          <w:szCs w:val="24"/>
          <w:shd w:val="clear" w:color="auto" w:fill="FFFFFF"/>
        </w:rPr>
        <w:t>的控件</w:t>
      </w:r>
      <w:r>
        <w:rPr>
          <w:snapToGrid w:val="0"/>
          <w:szCs w:val="24"/>
          <w:shd w:val="clear" w:color="auto" w:fill="FFFFFF"/>
        </w:rPr>
        <w:t>。</w:t>
      </w:r>
    </w:p>
    <w:p w14:paraId="52324321">
      <w:pPr>
        <w:spacing w:before="195"/>
        <w:rPr>
          <w:snapToGrid w:val="0"/>
          <w:szCs w:val="24"/>
          <w:shd w:val="clear" w:color="auto" w:fill="FFFFFF"/>
        </w:rPr>
      </w:pPr>
      <w:r>
        <w:rPr>
          <w:snapToGrid w:val="0"/>
          <w:szCs w:val="24"/>
          <w:shd w:val="clear" w:color="auto" w:fill="FFFFFF"/>
        </w:rPr>
        <w:br w:type="page"/>
      </w:r>
    </w:p>
    <w:p w14:paraId="54A6D0F5">
      <w:pPr>
        <w:spacing w:before="195"/>
        <w:ind w:left="960" w:leftChars="400"/>
        <w:rPr>
          <w:snapToGrid w:val="0"/>
          <w:szCs w:val="24"/>
          <w:shd w:val="clear" w:color="auto" w:fill="FFFFFF"/>
        </w:rPr>
      </w:pPr>
      <w:r>
        <w:rPr>
          <w:snapToGrid w:val="0"/>
          <w:szCs w:val="24"/>
          <w:shd w:val="clear" w:color="auto" w:fill="FFFFFF"/>
        </w:rPr>
        <w:t>FDA还要求贵公司确定内部</w:t>
      </w:r>
      <w:r>
        <w:rPr>
          <w:rFonts w:hint="eastAsia"/>
          <w:snapToGrid w:val="0"/>
          <w:szCs w:val="24"/>
          <w:shd w:val="clear" w:color="auto" w:fill="FFFFFF"/>
        </w:rPr>
        <w:t>控件</w:t>
      </w:r>
      <w:r>
        <w:rPr>
          <w:snapToGrid w:val="0"/>
          <w:szCs w:val="24"/>
          <w:shd w:val="clear" w:color="auto" w:fill="FFFFFF"/>
        </w:rPr>
        <w:t>的组成部分，并声明（适用时）参考线的灵敏度（检测限）。</w:t>
      </w:r>
    </w:p>
    <w:p w14:paraId="3A43FA56">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稳定性数据</w:t>
      </w:r>
    </w:p>
    <w:p w14:paraId="40090561">
      <w:pPr>
        <w:spacing w:before="195"/>
        <w:ind w:left="960" w:leftChars="400"/>
        <w:rPr>
          <w:snapToGrid w:val="0"/>
          <w:szCs w:val="24"/>
          <w:shd w:val="clear" w:color="auto" w:fill="FFFFFF"/>
        </w:rPr>
      </w:pPr>
      <w:r>
        <w:rPr>
          <w:rFonts w:hint="eastAsia"/>
          <w:snapToGrid w:val="0"/>
          <w:szCs w:val="24"/>
          <w:shd w:val="clear" w:color="auto" w:fill="FFFFFF"/>
        </w:rPr>
        <w:t>显示试剂稳定性的数据不需要提交给</w:t>
      </w:r>
      <w:r>
        <w:rPr>
          <w:snapToGrid w:val="0"/>
          <w:szCs w:val="24"/>
          <w:shd w:val="clear" w:color="auto" w:fill="FFFFFF"/>
        </w:rPr>
        <w:t>FDA</w:t>
      </w:r>
      <w:r>
        <w:rPr>
          <w:rFonts w:hint="eastAsia"/>
          <w:snapToGrid w:val="0"/>
          <w:szCs w:val="24"/>
          <w:shd w:val="clear" w:color="auto" w:fill="FFFFFF"/>
        </w:rPr>
        <w:t>，但是制造商可以按照良好生产规范（GMP）将其保存在文件中。</w:t>
      </w:r>
    </w:p>
    <w:p w14:paraId="7D435C6E">
      <w:pPr>
        <w:spacing w:before="195"/>
        <w:ind w:left="960" w:leftChars="400"/>
        <w:rPr>
          <w:snapToGrid w:val="0"/>
          <w:szCs w:val="24"/>
          <w:shd w:val="clear" w:color="auto" w:fill="FFFFFF"/>
        </w:rPr>
      </w:pPr>
      <w:r>
        <w:rPr>
          <w:snapToGrid w:val="0"/>
          <w:szCs w:val="24"/>
          <w:shd w:val="clear" w:color="auto" w:fill="FFFFFF"/>
        </w:rPr>
        <w:t>支持结果稳定性（如第一次出现后解释结果的最大时间）的数据摘要应当提供在510（k）提交资料中。</w:t>
      </w:r>
    </w:p>
    <w:p w14:paraId="27058A2C">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抗体信息</w:t>
      </w:r>
    </w:p>
    <w:p w14:paraId="2AF77460">
      <w:pPr>
        <w:spacing w:before="195"/>
        <w:ind w:left="960" w:leftChars="400"/>
        <w:rPr>
          <w:snapToGrid w:val="0"/>
          <w:szCs w:val="24"/>
          <w:shd w:val="clear" w:color="auto" w:fill="FFFFFF"/>
        </w:rPr>
      </w:pPr>
      <w:r>
        <w:rPr>
          <w:snapToGrid w:val="0"/>
          <w:szCs w:val="24"/>
          <w:shd w:val="clear" w:color="auto" w:fill="FFFFFF"/>
        </w:rPr>
        <w:t>器械中单克隆抗体的鉴定和纯</w:t>
      </w:r>
      <w:bookmarkStart w:id="5" w:name="OLE_LINK8"/>
      <w:bookmarkStart w:id="6" w:name="OLE_LINK9"/>
      <w:r>
        <w:rPr>
          <w:snapToGrid w:val="0"/>
          <w:szCs w:val="24"/>
          <w:shd w:val="clear" w:color="auto" w:fill="FFFFFF"/>
        </w:rPr>
        <w:t>化信息通常</w:t>
      </w:r>
      <w:bookmarkEnd w:id="5"/>
      <w:bookmarkEnd w:id="6"/>
      <w:r>
        <w:rPr>
          <w:snapToGrid w:val="0"/>
          <w:szCs w:val="24"/>
          <w:shd w:val="clear" w:color="auto" w:fill="FFFFFF"/>
        </w:rPr>
        <w:t>在510（k）提交资料中提供。如果这些程序由另一个制造商执行，则该制造商的分析证书副本可</w:t>
      </w:r>
      <w:r>
        <w:rPr>
          <w:rFonts w:hint="eastAsia"/>
          <w:snapToGrid w:val="0"/>
          <w:szCs w:val="24"/>
          <w:shd w:val="clear" w:color="auto" w:fill="FFFFFF"/>
        </w:rPr>
        <w:t>以</w:t>
      </w:r>
      <w:r>
        <w:rPr>
          <w:snapToGrid w:val="0"/>
          <w:szCs w:val="24"/>
          <w:shd w:val="clear" w:color="auto" w:fill="FFFFFF"/>
        </w:rPr>
        <w:t>包括在510（k）文件内。</w:t>
      </w:r>
    </w:p>
    <w:p w14:paraId="251003E6">
      <w:pPr>
        <w:pStyle w:val="32"/>
        <w:numPr>
          <w:ilvl w:val="1"/>
          <w:numId w:val="4"/>
        </w:numPr>
        <w:spacing w:before="195"/>
        <w:ind w:left="960" w:leftChars="200" w:hanging="480" w:hangingChars="200"/>
        <w:rPr>
          <w:snapToGrid w:val="0"/>
          <w:szCs w:val="24"/>
          <w:u w:val="single"/>
          <w:shd w:val="clear" w:color="auto" w:fill="FFFFFF"/>
        </w:rPr>
      </w:pPr>
      <w:r>
        <w:rPr>
          <w:rFonts w:hint="eastAsia"/>
          <w:snapToGrid w:val="0"/>
          <w:szCs w:val="24"/>
          <w:u w:val="single"/>
          <w:shd w:val="clear" w:color="auto" w:fill="FFFFFF"/>
        </w:rPr>
        <w:t>局限性</w:t>
      </w:r>
    </w:p>
    <w:p w14:paraId="4A787602">
      <w:pPr>
        <w:spacing w:before="195"/>
        <w:ind w:left="960" w:leftChars="400"/>
        <w:rPr>
          <w:snapToGrid w:val="0"/>
          <w:szCs w:val="24"/>
          <w:shd w:val="clear" w:color="auto" w:fill="FFFFFF"/>
        </w:rPr>
      </w:pPr>
      <w:r>
        <w:rPr>
          <w:snapToGrid w:val="0"/>
          <w:szCs w:val="24"/>
          <w:shd w:val="clear" w:color="auto" w:fill="FFFFFF"/>
        </w:rPr>
        <w:t>这里显示的列表不全面。根据需要将局限性包含在标签中（</w:t>
      </w:r>
      <w:r>
        <w:rPr>
          <w:rFonts w:hint="eastAsia"/>
          <w:snapToGrid w:val="0"/>
          <w:szCs w:val="24"/>
          <w:shd w:val="clear" w:color="auto" w:fill="FFFFFF"/>
        </w:rPr>
        <w:t>即</w:t>
      </w:r>
      <w:r>
        <w:rPr>
          <w:snapToGrid w:val="0"/>
          <w:szCs w:val="24"/>
          <w:shd w:val="clear" w:color="auto" w:fill="FFFFFF"/>
        </w:rPr>
        <w:t>使用说明书）。</w:t>
      </w:r>
    </w:p>
    <w:p w14:paraId="1A5C76A3">
      <w:pPr>
        <w:pStyle w:val="32"/>
        <w:numPr>
          <w:ilvl w:val="0"/>
          <w:numId w:val="7"/>
        </w:numPr>
        <w:spacing w:before="195"/>
        <w:ind w:left="1440" w:leftChars="400" w:hanging="480" w:hangingChars="200"/>
        <w:rPr>
          <w:snapToGrid w:val="0"/>
          <w:szCs w:val="24"/>
          <w:shd w:val="clear" w:color="auto" w:fill="FFFFFF"/>
        </w:rPr>
      </w:pPr>
      <w:r>
        <w:rPr>
          <w:snapToGrid w:val="0"/>
          <w:szCs w:val="24"/>
          <w:shd w:val="clear" w:color="auto" w:fill="FFFFFF"/>
        </w:rPr>
        <w:t>试验不能重复使用。</w:t>
      </w:r>
    </w:p>
    <w:p w14:paraId="5CD18E9C">
      <w:pPr>
        <w:pStyle w:val="32"/>
        <w:numPr>
          <w:ilvl w:val="0"/>
          <w:numId w:val="7"/>
        </w:numPr>
        <w:spacing w:before="195"/>
        <w:ind w:left="1440" w:leftChars="400" w:hanging="480" w:hangingChars="200"/>
        <w:rPr>
          <w:snapToGrid w:val="0"/>
          <w:szCs w:val="24"/>
          <w:shd w:val="clear" w:color="auto" w:fill="FFFFFF"/>
        </w:rPr>
      </w:pPr>
      <w:r>
        <w:rPr>
          <w:snapToGrid w:val="0"/>
          <w:szCs w:val="24"/>
          <w:shd w:val="clear" w:color="auto" w:fill="FFFFFF"/>
        </w:rPr>
        <w:t>禁止在有效日期后使用该试验。</w:t>
      </w:r>
    </w:p>
    <w:p w14:paraId="23700082">
      <w:pPr>
        <w:pStyle w:val="32"/>
        <w:numPr>
          <w:ilvl w:val="0"/>
          <w:numId w:val="7"/>
        </w:numPr>
        <w:spacing w:before="195"/>
        <w:ind w:left="1440" w:leftChars="400" w:hanging="480" w:hangingChars="200"/>
        <w:rPr>
          <w:snapToGrid w:val="0"/>
          <w:szCs w:val="24"/>
          <w:shd w:val="clear" w:color="auto" w:fill="FFFFFF"/>
        </w:rPr>
      </w:pPr>
      <w:r>
        <w:rPr>
          <w:snapToGrid w:val="0"/>
          <w:szCs w:val="24"/>
          <w:shd w:val="clear" w:color="auto" w:fill="FFFFFF"/>
        </w:rPr>
        <w:t>止痛药、口服避孕药、抗生素和其他常用药物（例如）不应干扰试验。（应进行研究来</w:t>
      </w:r>
      <w:r>
        <w:rPr>
          <w:rFonts w:hint="eastAsia"/>
          <w:snapToGrid w:val="0"/>
          <w:szCs w:val="24"/>
          <w:shd w:val="clear" w:color="auto" w:fill="FFFFFF"/>
        </w:rPr>
        <w:t>确认</w:t>
      </w:r>
      <w:r>
        <w:rPr>
          <w:snapToGrid w:val="0"/>
          <w:szCs w:val="24"/>
          <w:shd w:val="clear" w:color="auto" w:fill="FFFFFF"/>
        </w:rPr>
        <w:t>这些声明。）</w:t>
      </w:r>
    </w:p>
    <w:p w14:paraId="4BF4D878">
      <w:pPr>
        <w:pStyle w:val="32"/>
        <w:numPr>
          <w:ilvl w:val="0"/>
          <w:numId w:val="7"/>
        </w:numPr>
        <w:spacing w:before="195"/>
        <w:ind w:left="1440" w:leftChars="400" w:hanging="480" w:hangingChars="200"/>
        <w:rPr>
          <w:snapToGrid w:val="0"/>
          <w:szCs w:val="24"/>
          <w:shd w:val="clear" w:color="auto" w:fill="FFFFFF"/>
        </w:rPr>
      </w:pPr>
      <w:r>
        <w:rPr>
          <w:rFonts w:hint="eastAsia"/>
          <w:snapToGrid w:val="0"/>
          <w:szCs w:val="24"/>
          <w:shd w:val="clear" w:color="auto" w:fill="FFFFFF"/>
        </w:rPr>
        <w:t>某些</w:t>
      </w:r>
      <w:r>
        <w:rPr>
          <w:snapToGrid w:val="0"/>
          <w:szCs w:val="24"/>
          <w:shd w:val="clear" w:color="auto" w:fill="FFFFFF"/>
        </w:rPr>
        <w:t>健康状况，如卵巢囊肿或异位妊娠（子宫外妊娠），可能造成虚假或不</w:t>
      </w:r>
      <w:r>
        <w:rPr>
          <w:rFonts w:hint="eastAsia"/>
          <w:snapToGrid w:val="0"/>
          <w:szCs w:val="24"/>
          <w:shd w:val="clear" w:color="auto" w:fill="FFFFFF"/>
        </w:rPr>
        <w:t>正常</w:t>
      </w:r>
      <w:r>
        <w:rPr>
          <w:snapToGrid w:val="0"/>
          <w:szCs w:val="24"/>
          <w:shd w:val="clear" w:color="auto" w:fill="FFFFFF"/>
        </w:rPr>
        <w:t>的结果。</w:t>
      </w:r>
    </w:p>
    <w:p w14:paraId="6C817ACB">
      <w:pPr>
        <w:pStyle w:val="32"/>
        <w:numPr>
          <w:ilvl w:val="0"/>
          <w:numId w:val="7"/>
        </w:numPr>
        <w:spacing w:before="195"/>
        <w:ind w:left="1440" w:leftChars="400" w:hanging="480" w:hangingChars="200"/>
        <w:rPr>
          <w:snapToGrid w:val="0"/>
          <w:szCs w:val="24"/>
          <w:shd w:val="clear" w:color="auto" w:fill="FFFFFF"/>
        </w:rPr>
      </w:pPr>
      <w:r>
        <w:rPr>
          <w:snapToGrid w:val="0"/>
          <w:szCs w:val="24"/>
          <w:shd w:val="clear" w:color="auto" w:fill="FFFFFF"/>
        </w:rPr>
        <w:t>为了获得准确的结果，应严格遵循程序。</w:t>
      </w:r>
    </w:p>
    <w:p w14:paraId="47A8B614">
      <w:pPr>
        <w:pStyle w:val="32"/>
        <w:numPr>
          <w:ilvl w:val="0"/>
          <w:numId w:val="7"/>
        </w:numPr>
        <w:spacing w:before="195"/>
        <w:ind w:left="1440" w:leftChars="400" w:hanging="480" w:hangingChars="200"/>
        <w:rPr>
          <w:snapToGrid w:val="0"/>
          <w:szCs w:val="24"/>
          <w:shd w:val="clear" w:color="auto" w:fill="FFFFFF"/>
        </w:rPr>
      </w:pPr>
      <w:r>
        <w:rPr>
          <w:snapToGrid w:val="0"/>
          <w:szCs w:val="24"/>
          <w:shd w:val="clear" w:color="auto" w:fill="FFFFFF"/>
        </w:rPr>
        <w:t>如果尿液过稀或在妊娠早期，可能会出现假阴性结果（妊娠时显示为阴性）。如果仍然怀疑妊娠，则使用第一次晨尿进行复测。</w:t>
      </w:r>
    </w:p>
    <w:p w14:paraId="460E24E1">
      <w:pPr>
        <w:pStyle w:val="32"/>
        <w:numPr>
          <w:ilvl w:val="0"/>
          <w:numId w:val="7"/>
        </w:numPr>
        <w:spacing w:before="195"/>
        <w:ind w:left="1440" w:leftChars="400" w:hanging="480" w:hangingChars="200"/>
        <w:rPr>
          <w:snapToGrid w:val="0"/>
          <w:szCs w:val="24"/>
          <w:shd w:val="clear" w:color="auto" w:fill="FFFFFF"/>
        </w:rPr>
      </w:pPr>
      <w:r>
        <w:rPr>
          <w:snapToGrid w:val="0"/>
          <w:szCs w:val="24"/>
          <w:shd w:val="clear" w:color="auto" w:fill="FFFFFF"/>
        </w:rPr>
        <w:t>体外诊断用（不适用</w:t>
      </w:r>
      <w:r>
        <w:rPr>
          <w:rFonts w:hint="eastAsia"/>
          <w:snapToGrid w:val="0"/>
          <w:szCs w:val="24"/>
          <w:shd w:val="clear" w:color="auto" w:fill="FFFFFF"/>
        </w:rPr>
        <w:t>于</w:t>
      </w:r>
      <w:r>
        <w:rPr>
          <w:snapToGrid w:val="0"/>
          <w:szCs w:val="24"/>
          <w:shd w:val="clear" w:color="auto" w:fill="FFFFFF"/>
        </w:rPr>
        <w:t>体内使用）。</w:t>
      </w:r>
    </w:p>
    <w:p w14:paraId="3908A17C">
      <w:pPr>
        <w:pStyle w:val="32"/>
        <w:numPr>
          <w:ilvl w:val="0"/>
          <w:numId w:val="3"/>
        </w:numPr>
        <w:spacing w:before="195"/>
        <w:ind w:left="480" w:hanging="480" w:hangingChars="200"/>
        <w:rPr>
          <w:snapToGrid w:val="0"/>
          <w:szCs w:val="24"/>
          <w:u w:val="single"/>
          <w:shd w:val="clear" w:color="auto" w:fill="FFFFFF"/>
        </w:rPr>
      </w:pPr>
      <w:r>
        <w:rPr>
          <w:rFonts w:hint="eastAsia"/>
          <w:snapToGrid w:val="0"/>
          <w:szCs w:val="24"/>
          <w:u w:val="single"/>
          <w:shd w:val="clear" w:color="auto" w:fill="FFFFFF"/>
        </w:rPr>
        <w:t>标签</w:t>
      </w:r>
    </w:p>
    <w:p w14:paraId="2EA92BD7">
      <w:pPr>
        <w:spacing w:before="195"/>
        <w:ind w:left="480" w:leftChars="200"/>
        <w:rPr>
          <w:snapToGrid w:val="0"/>
          <w:szCs w:val="24"/>
          <w:shd w:val="clear" w:color="auto" w:fill="FFFFFF"/>
        </w:rPr>
      </w:pPr>
      <w:r>
        <w:rPr>
          <w:snapToGrid w:val="0"/>
          <w:szCs w:val="24"/>
          <w:shd w:val="clear" w:color="auto" w:fill="FFFFFF"/>
        </w:rPr>
        <w:t>使用说明书应当简洁、易于理解，并包含清晰的插图和图</w:t>
      </w:r>
      <w:r>
        <w:rPr>
          <w:rFonts w:hint="eastAsia"/>
          <w:snapToGrid w:val="0"/>
          <w:szCs w:val="24"/>
          <w:shd w:val="clear" w:color="auto" w:fill="FFFFFF"/>
        </w:rPr>
        <w:t>示</w:t>
      </w:r>
      <w:r>
        <w:rPr>
          <w:snapToGrid w:val="0"/>
          <w:szCs w:val="24"/>
          <w:shd w:val="clear" w:color="auto" w:fill="FFFFFF"/>
        </w:rPr>
        <w:t>。标签格式应符合21 CFR 809.10标签规定。然而，对于OTC产品，如</w:t>
      </w:r>
      <w:r>
        <w:rPr>
          <w:rFonts w:hint="eastAsia"/>
          <w:snapToGrid w:val="0"/>
          <w:szCs w:val="24"/>
          <w:shd w:val="clear" w:color="auto" w:fill="FFFFFF"/>
        </w:rPr>
        <w:t>下部分</w:t>
      </w:r>
      <w:r>
        <w:rPr>
          <w:snapToGrid w:val="0"/>
          <w:szCs w:val="24"/>
          <w:shd w:val="clear" w:color="auto" w:fill="FFFFFF"/>
        </w:rPr>
        <w:t>：</w:t>
      </w:r>
    </w:p>
    <w:p w14:paraId="6C6134B8">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预期用途</w:t>
      </w:r>
    </w:p>
    <w:p w14:paraId="2A1A1D4B">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试验总结和说明</w:t>
      </w:r>
    </w:p>
    <w:p w14:paraId="21710BC3">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程序原理</w:t>
      </w:r>
    </w:p>
    <w:p w14:paraId="165A8539">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试剂</w:t>
      </w:r>
    </w:p>
    <w:p w14:paraId="620C86B5">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质量控制</w:t>
      </w:r>
    </w:p>
    <w:p w14:paraId="07D0EE23">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预期值</w:t>
      </w:r>
    </w:p>
    <w:p w14:paraId="7BB52B39">
      <w:pPr>
        <w:pStyle w:val="32"/>
        <w:numPr>
          <w:ilvl w:val="0"/>
          <w:numId w:val="8"/>
        </w:numPr>
        <w:spacing w:before="195"/>
        <w:ind w:left="960" w:leftChars="200" w:hanging="480" w:hangingChars="200"/>
        <w:rPr>
          <w:snapToGrid w:val="0"/>
          <w:szCs w:val="24"/>
          <w:shd w:val="clear" w:color="auto" w:fill="FFFFFF"/>
        </w:rPr>
      </w:pPr>
      <w:r>
        <w:rPr>
          <w:snapToGrid w:val="0"/>
          <w:szCs w:val="24"/>
          <w:shd w:val="clear" w:color="auto" w:fill="FFFFFF"/>
        </w:rPr>
        <w:t>性能特征</w:t>
      </w:r>
    </w:p>
    <w:p w14:paraId="44EE16ED">
      <w:pPr>
        <w:spacing w:before="195"/>
        <w:ind w:left="480" w:leftChars="200"/>
        <w:rPr>
          <w:snapToGrid w:val="0"/>
          <w:szCs w:val="24"/>
          <w:shd w:val="clear" w:color="auto" w:fill="FFFFFF"/>
        </w:rPr>
      </w:pPr>
      <w:r>
        <w:rPr>
          <w:snapToGrid w:val="0"/>
          <w:szCs w:val="24"/>
          <w:shd w:val="clear" w:color="auto" w:fill="FFFFFF"/>
        </w:rPr>
        <w:t>不需要提交专业使用形式的标签。相对于这些部分的信息可以简化和包含在</w:t>
      </w:r>
      <w:r>
        <w:rPr>
          <w:rFonts w:hint="eastAsia"/>
          <w:snapToGrid w:val="0"/>
          <w:szCs w:val="24"/>
          <w:shd w:val="clear" w:color="auto" w:fill="FFFFFF"/>
        </w:rPr>
        <w:t>无</w:t>
      </w:r>
      <w:r>
        <w:rPr>
          <w:snapToGrid w:val="0"/>
          <w:szCs w:val="24"/>
          <w:shd w:val="clear" w:color="auto" w:fill="FFFFFF"/>
        </w:rPr>
        <w:t>副标题的文件</w:t>
      </w:r>
      <w:r>
        <w:rPr>
          <w:rFonts w:hint="eastAsia"/>
          <w:snapToGrid w:val="0"/>
          <w:szCs w:val="24"/>
          <w:shd w:val="clear" w:color="auto" w:fill="FFFFFF"/>
        </w:rPr>
        <w:t>中</w:t>
      </w:r>
      <w:r>
        <w:rPr>
          <w:snapToGrid w:val="0"/>
          <w:szCs w:val="24"/>
          <w:shd w:val="clear" w:color="auto" w:fill="FFFFFF"/>
        </w:rPr>
        <w:t>。这是为了消除</w:t>
      </w:r>
      <w:r>
        <w:rPr>
          <w:rFonts w:hint="eastAsia" w:ascii="宋体" w:hAnsi="宋体"/>
          <w:snapToGrid w:val="0"/>
          <w:szCs w:val="24"/>
          <w:shd w:val="clear" w:color="auto" w:fill="FFFFFF"/>
        </w:rPr>
        <w:t>“</w:t>
      </w:r>
      <w:r>
        <w:rPr>
          <w:snapToGrid w:val="0"/>
          <w:szCs w:val="24"/>
          <w:shd w:val="clear" w:color="auto" w:fill="FFFFFF"/>
        </w:rPr>
        <w:t>技术</w:t>
      </w:r>
      <w:r>
        <w:rPr>
          <w:rFonts w:hint="eastAsia"/>
          <w:snapToGrid w:val="0"/>
          <w:szCs w:val="24"/>
          <w:shd w:val="clear" w:color="auto" w:fill="FFFFFF"/>
        </w:rPr>
        <w:t>性</w:t>
      </w:r>
      <w:r>
        <w:rPr>
          <w:rFonts w:hint="eastAsia" w:ascii="宋体" w:hAnsi="宋体"/>
          <w:snapToGrid w:val="0"/>
          <w:szCs w:val="24"/>
          <w:shd w:val="clear" w:color="auto" w:fill="FFFFFF"/>
        </w:rPr>
        <w:t>”</w:t>
      </w:r>
      <w:r>
        <w:rPr>
          <w:snapToGrid w:val="0"/>
          <w:szCs w:val="24"/>
          <w:shd w:val="clear" w:color="auto" w:fill="FFFFFF"/>
        </w:rPr>
        <w:t>或无法理解的语言。</w:t>
      </w:r>
    </w:p>
    <w:p w14:paraId="3767284F">
      <w:pPr>
        <w:spacing w:before="195"/>
        <w:ind w:left="480" w:leftChars="200"/>
        <w:rPr>
          <w:snapToGrid w:val="0"/>
          <w:szCs w:val="24"/>
          <w:shd w:val="clear" w:color="auto" w:fill="FFFFFF"/>
        </w:rPr>
      </w:pPr>
      <w:r>
        <w:rPr>
          <w:rFonts w:hint="eastAsia"/>
          <w:snapToGrid w:val="0"/>
          <w:szCs w:val="24"/>
          <w:shd w:val="clear" w:color="auto" w:fill="FFFFFF"/>
        </w:rPr>
        <w:t>例如，包含在包装说明书的开始部分：</w:t>
      </w:r>
    </w:p>
    <w:p w14:paraId="10E62319">
      <w:pPr>
        <w:pStyle w:val="32"/>
        <w:numPr>
          <w:ilvl w:val="0"/>
          <w:numId w:val="8"/>
        </w:numPr>
        <w:spacing w:before="195"/>
        <w:ind w:left="960" w:leftChars="200" w:hanging="480" w:hangingChars="200"/>
        <w:rPr>
          <w:snapToGrid w:val="0"/>
          <w:szCs w:val="24"/>
          <w:shd w:val="clear" w:color="auto" w:fill="FFFFFF"/>
        </w:rPr>
      </w:pPr>
      <w:r>
        <w:rPr>
          <w:rFonts w:hint="eastAsia"/>
          <w:snapToGrid w:val="0"/>
          <w:szCs w:val="24"/>
          <w:shd w:val="clear" w:color="auto" w:fill="FFFFFF"/>
        </w:rPr>
        <w:t>测量的分析物</w:t>
      </w:r>
    </w:p>
    <w:p w14:paraId="44DF200D">
      <w:pPr>
        <w:pStyle w:val="32"/>
        <w:numPr>
          <w:ilvl w:val="0"/>
          <w:numId w:val="8"/>
        </w:numPr>
        <w:spacing w:before="195"/>
        <w:ind w:left="960" w:leftChars="200" w:hanging="480" w:hangingChars="200"/>
        <w:rPr>
          <w:snapToGrid w:val="0"/>
          <w:szCs w:val="24"/>
          <w:shd w:val="clear" w:color="auto" w:fill="FFFFFF"/>
        </w:rPr>
      </w:pPr>
      <w:r>
        <w:rPr>
          <w:rFonts w:hint="eastAsia"/>
          <w:snapToGrid w:val="0"/>
          <w:szCs w:val="24"/>
          <w:shd w:val="clear" w:color="auto" w:fill="FFFFFF"/>
        </w:rPr>
        <w:t>所使用样本的类型</w:t>
      </w:r>
    </w:p>
    <w:p w14:paraId="46C4893F">
      <w:pPr>
        <w:pStyle w:val="32"/>
        <w:numPr>
          <w:ilvl w:val="0"/>
          <w:numId w:val="8"/>
        </w:numPr>
        <w:spacing w:before="195"/>
        <w:ind w:left="960" w:leftChars="200" w:hanging="480" w:hangingChars="200"/>
        <w:rPr>
          <w:snapToGrid w:val="0"/>
          <w:szCs w:val="24"/>
          <w:shd w:val="clear" w:color="auto" w:fill="FFFFFF"/>
        </w:rPr>
      </w:pPr>
      <w:r>
        <w:rPr>
          <w:rFonts w:hint="eastAsia"/>
          <w:snapToGrid w:val="0"/>
          <w:szCs w:val="24"/>
          <w:shd w:val="clear" w:color="auto" w:fill="FFFFFF"/>
        </w:rPr>
        <w:t>试验工作的描述</w:t>
      </w:r>
    </w:p>
    <w:p w14:paraId="1FFF5744">
      <w:pPr>
        <w:spacing w:before="195"/>
        <w:ind w:left="480" w:leftChars="200"/>
        <w:rPr>
          <w:snapToGrid w:val="0"/>
          <w:szCs w:val="24"/>
          <w:shd w:val="clear" w:color="auto" w:fill="FFFFFF"/>
        </w:rPr>
      </w:pPr>
      <w:r>
        <w:rPr>
          <w:rFonts w:hint="eastAsia"/>
          <w:snapToGrid w:val="0"/>
          <w:szCs w:val="24"/>
          <w:shd w:val="clear" w:color="auto" w:fill="FFFFFF"/>
        </w:rPr>
        <w:t>列出所提供的材料时，</w:t>
      </w:r>
      <w:r>
        <w:rPr>
          <w:snapToGrid w:val="0"/>
          <w:szCs w:val="24"/>
          <w:shd w:val="clear" w:color="auto" w:fill="FFFFFF"/>
        </w:rPr>
        <w:t>该试验</w:t>
      </w:r>
      <w:r>
        <w:rPr>
          <w:rFonts w:hint="eastAsia"/>
          <w:snapToGrid w:val="0"/>
          <w:szCs w:val="24"/>
          <w:shd w:val="clear" w:color="auto" w:fill="FFFFFF"/>
        </w:rPr>
        <w:t>器械</w:t>
      </w:r>
      <w:r>
        <w:rPr>
          <w:snapToGrid w:val="0"/>
          <w:szCs w:val="24"/>
          <w:shd w:val="clear" w:color="auto" w:fill="FFFFFF"/>
        </w:rPr>
        <w:t>可以描述为</w:t>
      </w:r>
      <w:r>
        <w:rPr>
          <w:rFonts w:hint="eastAsia"/>
          <w:snapToGrid w:val="0"/>
          <w:szCs w:val="24"/>
          <w:shd w:val="clear" w:color="auto" w:fill="FFFFFF"/>
        </w:rPr>
        <w:t>一种</w:t>
      </w:r>
      <w:r>
        <w:rPr>
          <w:snapToGrid w:val="0"/>
          <w:szCs w:val="24"/>
          <w:shd w:val="clear" w:color="auto" w:fill="FFFFFF"/>
        </w:rPr>
        <w:t>含有化学物质的</w:t>
      </w:r>
      <w:r>
        <w:rPr>
          <w:rFonts w:hint="eastAsia"/>
          <w:snapToGrid w:val="0"/>
          <w:szCs w:val="24"/>
          <w:shd w:val="clear" w:color="auto" w:fill="FFFFFF"/>
        </w:rPr>
        <w:t>试验条、含有抗体的试验条等等，而不是确定具体的生物和化学成分。</w:t>
      </w:r>
    </w:p>
    <w:p w14:paraId="36D96567">
      <w:pPr>
        <w:spacing w:before="195"/>
        <w:ind w:left="480" w:leftChars="200"/>
        <w:rPr>
          <w:snapToGrid w:val="0"/>
          <w:szCs w:val="24"/>
          <w:shd w:val="clear" w:color="auto" w:fill="FFFFFF"/>
        </w:rPr>
      </w:pPr>
      <w:r>
        <w:rPr>
          <w:rFonts w:hint="eastAsia"/>
          <w:snapToGrid w:val="0"/>
          <w:szCs w:val="24"/>
          <w:shd w:val="clear" w:color="auto" w:fill="FFFFFF"/>
        </w:rPr>
        <w:t>此</w:t>
      </w:r>
      <w:r>
        <w:rPr>
          <w:snapToGrid w:val="0"/>
          <w:szCs w:val="24"/>
          <w:shd w:val="clear" w:color="auto" w:fill="FFFFFF"/>
        </w:rPr>
        <w:t>为质量控制的一部分，详细介绍内部控制的功能</w:t>
      </w:r>
      <w:r>
        <w:rPr>
          <w:rFonts w:hint="eastAsia"/>
          <w:snapToGrid w:val="0"/>
          <w:szCs w:val="24"/>
          <w:shd w:val="clear" w:color="auto" w:fill="FFFFFF"/>
        </w:rPr>
        <w:t>，</w:t>
      </w:r>
      <w:r>
        <w:rPr>
          <w:snapToGrid w:val="0"/>
          <w:szCs w:val="24"/>
          <w:shd w:val="clear" w:color="auto" w:fill="FFFFFF"/>
        </w:rPr>
        <w:t>通常包含在结果解释或问答部分。</w:t>
      </w:r>
    </w:p>
    <w:p w14:paraId="0A7068BA">
      <w:pPr>
        <w:spacing w:before="195"/>
        <w:ind w:left="480" w:leftChars="200"/>
        <w:rPr>
          <w:snapToGrid w:val="0"/>
          <w:szCs w:val="24"/>
          <w:shd w:val="clear" w:color="auto" w:fill="FFFFFF"/>
        </w:rPr>
      </w:pPr>
      <w:r>
        <w:rPr>
          <w:snapToGrid w:val="0"/>
          <w:szCs w:val="24"/>
          <w:shd w:val="clear" w:color="auto" w:fill="FFFFFF"/>
        </w:rPr>
        <w:t>我们也建议将解释结果或结果稳定的最</w:t>
      </w:r>
      <w:r>
        <w:rPr>
          <w:rFonts w:hint="eastAsia"/>
          <w:snapToGrid w:val="0"/>
          <w:szCs w:val="24"/>
          <w:shd w:val="clear" w:color="auto" w:fill="FFFFFF"/>
        </w:rPr>
        <w:t>长</w:t>
      </w:r>
      <w:r>
        <w:rPr>
          <w:snapToGrid w:val="0"/>
          <w:szCs w:val="24"/>
          <w:shd w:val="clear" w:color="auto" w:fill="FFFFFF"/>
        </w:rPr>
        <w:t>时间包含在使用说明书中，特别是阴性结果，其随着时间的推移可能会变为阳性。关于试验灵敏度的句子，</w:t>
      </w:r>
      <w:r>
        <w:rPr>
          <w:rFonts w:hint="eastAsia"/>
          <w:snapToGrid w:val="0"/>
          <w:szCs w:val="24"/>
          <w:shd w:val="clear" w:color="auto" w:fill="FFFFFF"/>
        </w:rPr>
        <w:t>即</w:t>
      </w:r>
      <w:r>
        <w:rPr>
          <w:snapToGrid w:val="0"/>
          <w:szCs w:val="24"/>
          <w:shd w:val="clear" w:color="auto" w:fill="FFFFFF"/>
        </w:rPr>
        <w:t>如何检测早孕以及由实验室研究确定的准确度也应当包含在使用说明书中，并</w:t>
      </w:r>
      <w:r>
        <w:rPr>
          <w:rFonts w:hint="eastAsia"/>
          <w:snapToGrid w:val="0"/>
          <w:szCs w:val="24"/>
          <w:shd w:val="clear" w:color="auto" w:fill="FFFFFF"/>
        </w:rPr>
        <w:t>交到非处方（</w:t>
      </w:r>
      <w:r>
        <w:rPr>
          <w:snapToGrid w:val="0"/>
          <w:szCs w:val="24"/>
          <w:shd w:val="clear" w:color="auto" w:fill="FFFFFF"/>
        </w:rPr>
        <w:t>OTC</w:t>
      </w:r>
      <w:r>
        <w:rPr>
          <w:rFonts w:hint="eastAsia"/>
          <w:snapToGrid w:val="0"/>
          <w:szCs w:val="24"/>
          <w:shd w:val="clear" w:color="auto" w:fill="FFFFFF"/>
        </w:rPr>
        <w:t>）</w:t>
      </w:r>
      <w:r>
        <w:rPr>
          <w:snapToGrid w:val="0"/>
          <w:szCs w:val="24"/>
          <w:shd w:val="clear" w:color="auto" w:fill="FFFFFF"/>
        </w:rPr>
        <w:t>用户手中。关于其他指南，请参见美国国家</w:t>
      </w:r>
      <w:r>
        <w:rPr>
          <w:snapToGrid w:val="0"/>
          <w:szCs w:val="24"/>
        </w:rPr>
        <w:t>临床实验</w:t>
      </w:r>
      <w:r>
        <w:rPr>
          <w:snapToGrid w:val="0"/>
          <w:szCs w:val="24"/>
          <w:shd w:val="clear" w:color="auto" w:fill="FFFFFF"/>
        </w:rPr>
        <w:t>室</w:t>
      </w:r>
      <w:r>
        <w:rPr>
          <w:snapToGrid w:val="0"/>
          <w:szCs w:val="24"/>
        </w:rPr>
        <w:t>标准委员会（</w:t>
      </w:r>
      <w:r>
        <w:rPr>
          <w:snapToGrid w:val="0"/>
          <w:szCs w:val="24"/>
          <w:shd w:val="clear" w:color="auto" w:fill="FFFFFF"/>
        </w:rPr>
        <w:t>NCCLS</w:t>
      </w:r>
      <w:r>
        <w:rPr>
          <w:rFonts w:hint="eastAsia"/>
          <w:snapToGrid w:val="0"/>
          <w:szCs w:val="24"/>
        </w:rPr>
        <w:t>）</w:t>
      </w:r>
      <w:r>
        <w:rPr>
          <w:snapToGrid w:val="0"/>
          <w:szCs w:val="24"/>
          <w:shd w:val="clear" w:color="auto" w:fill="FFFFFF"/>
        </w:rPr>
        <w:t>标签</w:t>
      </w:r>
      <w:r>
        <w:rPr>
          <w:rFonts w:hint="eastAsia"/>
          <w:snapToGrid w:val="0"/>
          <w:szCs w:val="24"/>
          <w:shd w:val="clear" w:color="auto" w:fill="FFFFFF"/>
        </w:rPr>
        <w:t>指南</w:t>
      </w:r>
      <w:r>
        <w:rPr>
          <w:snapToGrid w:val="0"/>
          <w:szCs w:val="24"/>
          <w:shd w:val="clear" w:color="auto" w:fill="FFFFFF"/>
        </w:rPr>
        <w:t>GP14-P（10）</w:t>
      </w:r>
      <w:r>
        <w:rPr>
          <w:rFonts w:hint="eastAsia"/>
          <w:snapToGrid w:val="0"/>
          <w:szCs w:val="24"/>
          <w:shd w:val="clear" w:color="auto" w:fill="FFFFFF"/>
        </w:rPr>
        <w:t>、</w:t>
      </w:r>
      <w:r>
        <w:rPr>
          <w:snapToGrid w:val="0"/>
          <w:szCs w:val="24"/>
        </w:rPr>
        <w:t>临床实验室器械部（</w:t>
      </w:r>
      <w:r>
        <w:rPr>
          <w:snapToGrid w:val="0"/>
          <w:szCs w:val="24"/>
          <w:shd w:val="clear" w:color="auto" w:fill="FFFFFF"/>
        </w:rPr>
        <w:t>DCLD</w:t>
      </w:r>
      <w:r>
        <w:rPr>
          <w:rFonts w:hint="eastAsia"/>
          <w:snapToGrid w:val="0"/>
          <w:szCs w:val="24"/>
        </w:rPr>
        <w:t>）</w:t>
      </w:r>
      <w:r>
        <w:rPr>
          <w:snapToGrid w:val="0"/>
          <w:szCs w:val="24"/>
          <w:shd w:val="clear" w:color="auto" w:fill="FFFFFF"/>
        </w:rPr>
        <w:t>的家用</w:t>
      </w:r>
      <w:r>
        <w:rPr>
          <w:snapToGrid w:val="0"/>
          <w:szCs w:val="24"/>
        </w:rPr>
        <w:t>体外诊断</w:t>
      </w:r>
      <w:r>
        <w:rPr>
          <w:rFonts w:hint="eastAsia"/>
          <w:snapToGrid w:val="0"/>
          <w:szCs w:val="24"/>
        </w:rPr>
        <w:t>器械（</w:t>
      </w:r>
      <w:r>
        <w:rPr>
          <w:snapToGrid w:val="0"/>
          <w:szCs w:val="24"/>
          <w:shd w:val="clear" w:color="auto" w:fill="FFFFFF"/>
        </w:rPr>
        <w:t>IVD</w:t>
      </w:r>
      <w:r>
        <w:rPr>
          <w:rFonts w:hint="eastAsia"/>
          <w:snapToGrid w:val="0"/>
          <w:szCs w:val="24"/>
        </w:rPr>
        <w:t>）</w:t>
      </w:r>
      <w:r>
        <w:rPr>
          <w:rFonts w:hint="eastAsia"/>
          <w:snapToGrid w:val="0"/>
          <w:szCs w:val="24"/>
          <w:shd w:val="clear" w:color="auto" w:fill="FFFFFF"/>
        </w:rPr>
        <w:t>的</w:t>
      </w:r>
      <w:r>
        <w:rPr>
          <w:snapToGrid w:val="0"/>
          <w:szCs w:val="24"/>
          <w:shd w:val="clear" w:color="auto" w:fill="FFFFFF"/>
        </w:rPr>
        <w:t>考虑要点（11）</w:t>
      </w:r>
      <w:r>
        <w:rPr>
          <w:rFonts w:hint="eastAsia"/>
          <w:snapToGrid w:val="0"/>
          <w:szCs w:val="24"/>
          <w:shd w:val="clear" w:color="auto" w:fill="FFFFFF"/>
        </w:rPr>
        <w:t>、以及</w:t>
      </w:r>
      <w:r>
        <w:rPr>
          <w:snapToGrid w:val="0"/>
          <w:szCs w:val="24"/>
          <w:shd w:val="clear" w:color="auto" w:fill="FFFFFF"/>
        </w:rPr>
        <w:t>器械与放射健康中心（CDRH</w:t>
      </w:r>
      <w:r>
        <w:rPr>
          <w:rFonts w:hint="eastAsia"/>
          <w:snapToGrid w:val="0"/>
          <w:szCs w:val="24"/>
          <w:shd w:val="clear" w:color="auto" w:fill="FFFFFF"/>
        </w:rPr>
        <w:t>）</w:t>
      </w:r>
      <w:r>
        <w:rPr>
          <w:snapToGrid w:val="0"/>
          <w:szCs w:val="24"/>
          <w:shd w:val="clear" w:color="auto" w:fill="FFFFFF"/>
        </w:rPr>
        <w:t>的</w:t>
      </w:r>
      <w:r>
        <w:rPr>
          <w:rFonts w:hint="eastAsia"/>
          <w:snapToGrid w:val="0"/>
          <w:szCs w:val="24"/>
          <w:shd w:val="clear" w:color="auto" w:fill="FFFFFF"/>
        </w:rPr>
        <w:t>写作指南（</w:t>
      </w:r>
      <w:r>
        <w:rPr>
          <w:snapToGrid w:val="0"/>
          <w:szCs w:val="24"/>
          <w:shd w:val="clear" w:color="auto" w:fill="FFFFFF"/>
        </w:rPr>
        <w:t>12）。</w:t>
      </w:r>
    </w:p>
    <w:p w14:paraId="29E3792C">
      <w:pPr>
        <w:spacing w:before="195"/>
        <w:rPr>
          <w:snapToGrid w:val="0"/>
          <w:szCs w:val="21"/>
          <w:shd w:val="clear" w:color="auto" w:fill="FFFFFF"/>
        </w:rPr>
      </w:pPr>
    </w:p>
    <w:p w14:paraId="2A6CF605">
      <w:pPr>
        <w:spacing w:before="195"/>
        <w:rPr>
          <w:snapToGrid w:val="0"/>
          <w:szCs w:val="21"/>
          <w:shd w:val="clear" w:color="auto" w:fill="FFFFFF"/>
        </w:rPr>
      </w:pPr>
      <w:r>
        <w:rPr>
          <w:snapToGrid w:val="0"/>
          <w:szCs w:val="21"/>
          <w:shd w:val="clear" w:color="auto" w:fill="FFFFFF"/>
        </w:rPr>
        <w:br w:type="page"/>
      </w:r>
    </w:p>
    <w:p w14:paraId="10B9E125">
      <w:pPr>
        <w:pStyle w:val="32"/>
        <w:numPr>
          <w:ilvl w:val="0"/>
          <w:numId w:val="3"/>
        </w:numPr>
        <w:spacing w:before="195"/>
        <w:ind w:left="480" w:hanging="480" w:hangingChars="200"/>
        <w:rPr>
          <w:snapToGrid w:val="0"/>
          <w:szCs w:val="24"/>
          <w:u w:val="single"/>
          <w:shd w:val="clear" w:color="auto" w:fill="FFFFFF"/>
        </w:rPr>
      </w:pPr>
      <w:r>
        <w:rPr>
          <w:rFonts w:hint="eastAsia"/>
          <w:snapToGrid w:val="0"/>
          <w:szCs w:val="24"/>
          <w:u w:val="single"/>
          <w:shd w:val="clear" w:color="auto" w:fill="FFFFFF"/>
        </w:rPr>
        <w:t>参考书目</w:t>
      </w:r>
    </w:p>
    <w:p w14:paraId="4E627744">
      <w:pPr>
        <w:spacing w:before="195"/>
        <w:rPr>
          <w:snapToGrid w:val="0"/>
          <w:color w:val="000000"/>
          <w:szCs w:val="24"/>
        </w:rPr>
      </w:pPr>
      <w:r>
        <w:rPr>
          <w:snapToGrid w:val="0"/>
          <w:color w:val="000000"/>
          <w:szCs w:val="24"/>
        </w:rPr>
        <w:t>1. Braunstein GD, Grodin JM, Vaitukaitis J and Ross GT. Secretory rates of human chorionic gonadotropin by normal trophoblast. American Journal of Obstetrics and Gynecology, 115: 447-50, 1973.</w:t>
      </w:r>
    </w:p>
    <w:p w14:paraId="31D6ED48">
      <w:pPr>
        <w:spacing w:before="195"/>
        <w:rPr>
          <w:snapToGrid w:val="0"/>
          <w:color w:val="000000"/>
          <w:szCs w:val="24"/>
        </w:rPr>
      </w:pPr>
      <w:r>
        <w:rPr>
          <w:snapToGrid w:val="0"/>
          <w:color w:val="000000"/>
          <w:szCs w:val="24"/>
        </w:rPr>
        <w:t xml:space="preserve">2. Brody S and Carlstrom G. Immunoassay of human chorionic gonadotropin in normal and pathologic pregnancy. Journal of Clinical Endocrinology and Metabolism, 22: 564, 1962. </w:t>
      </w:r>
    </w:p>
    <w:p w14:paraId="72E1EDBC">
      <w:pPr>
        <w:spacing w:before="195"/>
        <w:rPr>
          <w:snapToGrid w:val="0"/>
          <w:color w:val="000000"/>
          <w:szCs w:val="24"/>
        </w:rPr>
      </w:pPr>
      <w:r>
        <w:rPr>
          <w:snapToGrid w:val="0"/>
          <w:color w:val="000000"/>
          <w:szCs w:val="24"/>
        </w:rPr>
        <w:t xml:space="preserve">3. Ross GT. Clinical relevance of research on the structure of human chorionic gonadotropin. American Journal of Obstetrics and Gynecology 1977; 129: 795. </w:t>
      </w:r>
    </w:p>
    <w:p w14:paraId="0958C3D5">
      <w:pPr>
        <w:spacing w:before="195"/>
        <w:rPr>
          <w:snapToGrid w:val="0"/>
          <w:color w:val="000000"/>
          <w:szCs w:val="24"/>
        </w:rPr>
      </w:pPr>
      <w:r>
        <w:rPr>
          <w:snapToGrid w:val="0"/>
          <w:color w:val="000000"/>
          <w:szCs w:val="24"/>
        </w:rPr>
        <w:t xml:space="preserve">4. Lab Report for Physicians. Standardization of human chorionic gonadotropin. December 1985; 7: 12. </w:t>
      </w:r>
    </w:p>
    <w:p w14:paraId="3DBF2BE0">
      <w:pPr>
        <w:spacing w:before="195"/>
        <w:rPr>
          <w:snapToGrid w:val="0"/>
          <w:color w:val="000000"/>
          <w:szCs w:val="24"/>
        </w:rPr>
      </w:pPr>
      <w:r>
        <w:rPr>
          <w:snapToGrid w:val="0"/>
          <w:color w:val="000000"/>
          <w:szCs w:val="24"/>
        </w:rPr>
        <w:t xml:space="preserve">5. Jeffcoat, SL. Standardisation of hCG immunoassays and pregnancy kits. Lancet 1982; 1: 803. </w:t>
      </w:r>
    </w:p>
    <w:p w14:paraId="2FD5B631">
      <w:pPr>
        <w:spacing w:before="195"/>
        <w:rPr>
          <w:snapToGrid w:val="0"/>
          <w:color w:val="000000"/>
          <w:szCs w:val="24"/>
        </w:rPr>
      </w:pPr>
      <w:r>
        <w:rPr>
          <w:snapToGrid w:val="0"/>
          <w:color w:val="000000"/>
          <w:szCs w:val="24"/>
        </w:rPr>
        <w:t xml:space="preserve">6. Chayen J, Daly JR, Loveridge N. The cytochemical bioassay of hormones. Recent Prog. Horm. Res. 1976; 32: 33-72. </w:t>
      </w:r>
    </w:p>
    <w:p w14:paraId="65452C67">
      <w:pPr>
        <w:spacing w:before="195"/>
        <w:rPr>
          <w:snapToGrid w:val="0"/>
          <w:color w:val="000000"/>
          <w:szCs w:val="24"/>
        </w:rPr>
      </w:pPr>
      <w:r>
        <w:rPr>
          <w:snapToGrid w:val="0"/>
          <w:color w:val="000000"/>
          <w:szCs w:val="24"/>
        </w:rPr>
        <w:t xml:space="preserve">7. Henry JB. Clinical Diagnosis and Management by Laboratory Methods, 18th edition, 1991, WB Saunders and Co. </w:t>
      </w:r>
    </w:p>
    <w:p w14:paraId="7E919604">
      <w:pPr>
        <w:spacing w:before="195"/>
        <w:rPr>
          <w:snapToGrid w:val="0"/>
          <w:color w:val="000000"/>
          <w:szCs w:val="24"/>
        </w:rPr>
      </w:pPr>
      <w:r>
        <w:rPr>
          <w:snapToGrid w:val="0"/>
          <w:color w:val="000000"/>
          <w:szCs w:val="24"/>
        </w:rPr>
        <w:t xml:space="preserve">8. Wide L, Gemzell CA. An immunological pregnancy test. Acta Endocrinology 1960; 35: 261. </w:t>
      </w:r>
    </w:p>
    <w:p w14:paraId="64FA193D">
      <w:pPr>
        <w:spacing w:before="195"/>
        <w:rPr>
          <w:snapToGrid w:val="0"/>
          <w:color w:val="000000"/>
          <w:szCs w:val="24"/>
        </w:rPr>
      </w:pPr>
      <w:r>
        <w:rPr>
          <w:snapToGrid w:val="0"/>
          <w:color w:val="000000"/>
          <w:szCs w:val="24"/>
        </w:rPr>
        <w:t xml:space="preserve">9. Krieg AF. Pregnancy tests and evaluation of placental function. Clinical Diagnosis and Management by Laboratory Methods, 18th edition, Henry JB, editor, 1979; 680. </w:t>
      </w:r>
    </w:p>
    <w:p w14:paraId="0B451E27">
      <w:pPr>
        <w:spacing w:before="195"/>
        <w:rPr>
          <w:snapToGrid w:val="0"/>
          <w:color w:val="000000"/>
          <w:szCs w:val="24"/>
        </w:rPr>
      </w:pPr>
      <w:r>
        <w:rPr>
          <w:snapToGrid w:val="0"/>
          <w:color w:val="000000"/>
          <w:szCs w:val="24"/>
        </w:rPr>
        <w:t xml:space="preserve">10. National Committee for Clinical Laboratory Standards. Labeling of Home-Use In Vitro Testing Products. NCCLS Document GP14-P, Vol. 9, No. 8, 1989. </w:t>
      </w:r>
    </w:p>
    <w:p w14:paraId="6D22CD54">
      <w:pPr>
        <w:spacing w:before="195"/>
        <w:rPr>
          <w:snapToGrid w:val="0"/>
          <w:color w:val="0000FF"/>
          <w:szCs w:val="24"/>
        </w:rPr>
      </w:pPr>
      <w:r>
        <w:rPr>
          <w:snapToGrid w:val="0"/>
          <w:color w:val="000000"/>
          <w:szCs w:val="24"/>
        </w:rPr>
        <w:t xml:space="preserve">11. </w:t>
      </w:r>
      <w:r>
        <w:rPr>
          <w:snapToGrid w:val="0"/>
          <w:color w:val="0000FF"/>
          <w:szCs w:val="24"/>
        </w:rPr>
        <w:t>Report of the CDRH Home-Use IVD Working Group Assessing the Safety and</w:t>
      </w:r>
    </w:p>
    <w:p w14:paraId="57F3C850">
      <w:pPr>
        <w:spacing w:before="195"/>
        <w:rPr>
          <w:snapToGrid w:val="0"/>
          <w:color w:val="000000"/>
          <w:szCs w:val="24"/>
        </w:rPr>
      </w:pPr>
      <w:r>
        <w:rPr>
          <w:snapToGrid w:val="0"/>
          <w:color w:val="0000FF"/>
          <w:szCs w:val="24"/>
        </w:rPr>
        <w:t>Effectiveness of Home-Use IVDs: Guidance Regarding Premarket Submissions.</w:t>
      </w:r>
      <w:r>
        <w:rPr>
          <w:snapToGrid w:val="0"/>
          <w:color w:val="000000"/>
          <w:szCs w:val="24"/>
        </w:rPr>
        <w:t xml:space="preserve"> </w:t>
      </w:r>
    </w:p>
    <w:p w14:paraId="7CD5C4EF">
      <w:pPr>
        <w:spacing w:before="195"/>
        <w:rPr>
          <w:snapToGrid w:val="0"/>
          <w:szCs w:val="24"/>
        </w:rPr>
      </w:pPr>
      <w:r>
        <w:rPr>
          <w:snapToGrid w:val="0"/>
          <w:color w:val="000000"/>
          <w:szCs w:val="24"/>
        </w:rPr>
        <w:t xml:space="preserve">12. </w:t>
      </w:r>
      <w:r>
        <w:rPr>
          <w:snapToGrid w:val="0"/>
          <w:color w:val="0000FF"/>
          <w:szCs w:val="24"/>
        </w:rPr>
        <w:t xml:space="preserve">Write It Right. </w:t>
      </w:r>
      <w:r>
        <w:rPr>
          <w:snapToGrid w:val="0"/>
          <w:color w:val="000000"/>
          <w:szCs w:val="24"/>
        </w:rPr>
        <w:t>Recommendations for Developing User Instruction Manuals for Medical Devices Used in Home Health Care.</w:t>
      </w:r>
    </w:p>
    <w:p w14:paraId="5F9858A8">
      <w:pPr>
        <w:spacing w:before="195"/>
        <w:rPr>
          <w:snapToGrid w:val="0"/>
          <w:szCs w:val="21"/>
        </w:rPr>
      </w:pPr>
      <w:r>
        <w:rPr>
          <w:snapToGrid w:val="0"/>
          <w:szCs w:val="21"/>
        </w:rPr>
        <w:br w:type="page"/>
      </w:r>
    </w:p>
    <w:p w14:paraId="09410DC5">
      <w:pPr>
        <w:spacing w:before="195"/>
        <w:jc w:val="center"/>
        <w:rPr>
          <w:snapToGrid w:val="0"/>
          <w:szCs w:val="24"/>
        </w:rPr>
      </w:pPr>
      <w:r>
        <w:rPr>
          <w:rFonts w:hint="eastAsia"/>
          <w:snapToGrid w:val="0"/>
          <w:szCs w:val="24"/>
        </w:rPr>
        <w:t>缩略语</w:t>
      </w:r>
    </w:p>
    <w:tbl>
      <w:tblPr>
        <w:tblStyle w:val="13"/>
        <w:tblW w:w="0" w:type="auto"/>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7149"/>
      </w:tblGrid>
      <w:tr w14:paraId="38B9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5AAAC990">
            <w:pPr>
              <w:spacing w:before="97" w:beforeLines="30"/>
              <w:rPr>
                <w:snapToGrid w:val="0"/>
              </w:rPr>
            </w:pPr>
            <w:r>
              <w:rPr>
                <w:snapToGrid w:val="0"/>
              </w:rPr>
              <w:t>CDRH</w:t>
            </w:r>
          </w:p>
        </w:tc>
        <w:tc>
          <w:tcPr>
            <w:tcW w:w="7149" w:type="dxa"/>
          </w:tcPr>
          <w:p w14:paraId="5C0D3F22">
            <w:pPr>
              <w:spacing w:before="97" w:beforeLines="30"/>
              <w:rPr>
                <w:snapToGrid w:val="0"/>
              </w:rPr>
            </w:pPr>
            <w:r>
              <w:rPr>
                <w:snapToGrid w:val="0"/>
                <w:shd w:val="clear" w:color="auto" w:fill="FFFFFF"/>
              </w:rPr>
              <w:t>器械与放射健康中心</w:t>
            </w:r>
          </w:p>
        </w:tc>
      </w:tr>
      <w:tr w14:paraId="165F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302CEEEE">
            <w:pPr>
              <w:spacing w:before="97" w:beforeLines="30"/>
              <w:rPr>
                <w:snapToGrid w:val="0"/>
              </w:rPr>
            </w:pPr>
            <w:r>
              <w:rPr>
                <w:snapToGrid w:val="0"/>
              </w:rPr>
              <w:t>DCLD</w:t>
            </w:r>
          </w:p>
        </w:tc>
        <w:tc>
          <w:tcPr>
            <w:tcW w:w="7149" w:type="dxa"/>
          </w:tcPr>
          <w:p w14:paraId="69E6DCC9">
            <w:pPr>
              <w:spacing w:before="97" w:beforeLines="30"/>
              <w:rPr>
                <w:snapToGrid w:val="0"/>
              </w:rPr>
            </w:pPr>
            <w:r>
              <w:rPr>
                <w:snapToGrid w:val="0"/>
              </w:rPr>
              <w:t>临床实验室器械部</w:t>
            </w:r>
          </w:p>
        </w:tc>
      </w:tr>
      <w:tr w14:paraId="7D20D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07389676">
            <w:pPr>
              <w:spacing w:before="97" w:beforeLines="30"/>
              <w:rPr>
                <w:snapToGrid w:val="0"/>
              </w:rPr>
            </w:pPr>
            <w:r>
              <w:rPr>
                <w:snapToGrid w:val="0"/>
              </w:rPr>
              <w:t>FDA</w:t>
            </w:r>
          </w:p>
        </w:tc>
        <w:tc>
          <w:tcPr>
            <w:tcW w:w="7149" w:type="dxa"/>
          </w:tcPr>
          <w:p w14:paraId="50DF8D31">
            <w:pPr>
              <w:spacing w:before="97" w:beforeLines="30"/>
              <w:rPr>
                <w:snapToGrid w:val="0"/>
              </w:rPr>
            </w:pPr>
            <w:r>
              <w:rPr>
                <w:snapToGrid w:val="0"/>
              </w:rPr>
              <w:t>食品药品监督管理局</w:t>
            </w:r>
          </w:p>
        </w:tc>
      </w:tr>
      <w:tr w14:paraId="7272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1131677B">
            <w:pPr>
              <w:spacing w:before="97" w:beforeLines="30"/>
              <w:rPr>
                <w:snapToGrid w:val="0"/>
              </w:rPr>
            </w:pPr>
            <w:r>
              <w:rPr>
                <w:snapToGrid w:val="0"/>
              </w:rPr>
              <w:t>FSH</w:t>
            </w:r>
          </w:p>
        </w:tc>
        <w:tc>
          <w:tcPr>
            <w:tcW w:w="7149" w:type="dxa"/>
          </w:tcPr>
          <w:p w14:paraId="331D479D">
            <w:pPr>
              <w:spacing w:before="97" w:beforeLines="30"/>
              <w:rPr>
                <w:snapToGrid w:val="0"/>
              </w:rPr>
            </w:pPr>
            <w:r>
              <w:rPr>
                <w:snapToGrid w:val="0"/>
                <w:shd w:val="clear" w:color="auto" w:fill="FFFFFF"/>
              </w:rPr>
              <w:t>促卵泡激素</w:t>
            </w:r>
          </w:p>
        </w:tc>
      </w:tr>
      <w:tr w14:paraId="07E3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2133CCBA">
            <w:pPr>
              <w:spacing w:before="97" w:beforeLines="30"/>
              <w:rPr>
                <w:snapToGrid w:val="0"/>
              </w:rPr>
            </w:pPr>
            <w:r>
              <w:rPr>
                <w:snapToGrid w:val="0"/>
              </w:rPr>
              <w:t>HCG</w:t>
            </w:r>
          </w:p>
        </w:tc>
        <w:tc>
          <w:tcPr>
            <w:tcW w:w="7149" w:type="dxa"/>
          </w:tcPr>
          <w:p w14:paraId="7D07C982">
            <w:pPr>
              <w:spacing w:before="97" w:beforeLines="30"/>
              <w:rPr>
                <w:snapToGrid w:val="0"/>
              </w:rPr>
            </w:pPr>
            <w:r>
              <w:rPr>
                <w:snapToGrid w:val="0"/>
                <w:shd w:val="clear" w:color="auto" w:fill="FFFFFF"/>
              </w:rPr>
              <w:t>人绒毛膜促性腺激素</w:t>
            </w:r>
          </w:p>
        </w:tc>
      </w:tr>
      <w:tr w14:paraId="1A97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0463D7DA">
            <w:pPr>
              <w:spacing w:before="97" w:beforeLines="30"/>
              <w:rPr>
                <w:snapToGrid w:val="0"/>
              </w:rPr>
            </w:pPr>
            <w:r>
              <w:rPr>
                <w:snapToGrid w:val="0"/>
              </w:rPr>
              <w:t>IRP</w:t>
            </w:r>
          </w:p>
        </w:tc>
        <w:tc>
          <w:tcPr>
            <w:tcW w:w="7149" w:type="dxa"/>
          </w:tcPr>
          <w:p w14:paraId="2FC9F08B">
            <w:pPr>
              <w:spacing w:before="97" w:beforeLines="30"/>
              <w:rPr>
                <w:snapToGrid w:val="0"/>
              </w:rPr>
            </w:pPr>
            <w:r>
              <w:rPr>
                <w:snapToGrid w:val="0"/>
                <w:shd w:val="clear" w:color="auto" w:fill="FFFFFF"/>
              </w:rPr>
              <w:t>国际参比制品</w:t>
            </w:r>
          </w:p>
        </w:tc>
      </w:tr>
      <w:tr w14:paraId="3420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0AAA030C">
            <w:pPr>
              <w:spacing w:before="97" w:beforeLines="30"/>
              <w:rPr>
                <w:snapToGrid w:val="0"/>
              </w:rPr>
            </w:pPr>
            <w:r>
              <w:rPr>
                <w:snapToGrid w:val="0"/>
              </w:rPr>
              <w:t>IS</w:t>
            </w:r>
          </w:p>
        </w:tc>
        <w:tc>
          <w:tcPr>
            <w:tcW w:w="7149" w:type="dxa"/>
          </w:tcPr>
          <w:p w14:paraId="42BACF36">
            <w:pPr>
              <w:spacing w:before="97" w:beforeLines="30"/>
              <w:rPr>
                <w:snapToGrid w:val="0"/>
              </w:rPr>
            </w:pPr>
            <w:r>
              <w:rPr>
                <w:snapToGrid w:val="0"/>
              </w:rPr>
              <w:t>国际标准</w:t>
            </w:r>
          </w:p>
        </w:tc>
      </w:tr>
      <w:tr w14:paraId="6F86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2C30E541">
            <w:pPr>
              <w:spacing w:before="97" w:beforeLines="30"/>
              <w:rPr>
                <w:snapToGrid w:val="0"/>
              </w:rPr>
            </w:pPr>
            <w:r>
              <w:rPr>
                <w:snapToGrid w:val="0"/>
              </w:rPr>
              <w:t>IVD</w:t>
            </w:r>
          </w:p>
        </w:tc>
        <w:tc>
          <w:tcPr>
            <w:tcW w:w="7149" w:type="dxa"/>
          </w:tcPr>
          <w:p w14:paraId="6735A1B3">
            <w:pPr>
              <w:spacing w:before="97" w:beforeLines="30"/>
              <w:rPr>
                <w:snapToGrid w:val="0"/>
              </w:rPr>
            </w:pPr>
            <w:r>
              <w:rPr>
                <w:snapToGrid w:val="0"/>
              </w:rPr>
              <w:t>体外诊断</w:t>
            </w:r>
            <w:r>
              <w:rPr>
                <w:rFonts w:hint="eastAsia"/>
                <w:snapToGrid w:val="0"/>
              </w:rPr>
              <w:t>器械</w:t>
            </w:r>
          </w:p>
        </w:tc>
      </w:tr>
      <w:tr w14:paraId="1440F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2FD91EE8">
            <w:pPr>
              <w:spacing w:before="97" w:beforeLines="30"/>
              <w:rPr>
                <w:snapToGrid w:val="0"/>
              </w:rPr>
            </w:pPr>
            <w:r>
              <w:rPr>
                <w:snapToGrid w:val="0"/>
              </w:rPr>
              <w:t>LH</w:t>
            </w:r>
          </w:p>
        </w:tc>
        <w:tc>
          <w:tcPr>
            <w:tcW w:w="7149" w:type="dxa"/>
          </w:tcPr>
          <w:p w14:paraId="13C24083">
            <w:pPr>
              <w:spacing w:before="97" w:beforeLines="30"/>
              <w:rPr>
                <w:snapToGrid w:val="0"/>
              </w:rPr>
            </w:pPr>
            <w:r>
              <w:rPr>
                <w:snapToGrid w:val="0"/>
                <w:shd w:val="clear" w:color="auto" w:fill="FFFFFF"/>
              </w:rPr>
              <w:t>促黄体激素</w:t>
            </w:r>
          </w:p>
        </w:tc>
      </w:tr>
      <w:tr w14:paraId="7B2B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27" w:type="dxa"/>
          </w:tcPr>
          <w:p w14:paraId="401D2D71">
            <w:pPr>
              <w:spacing w:before="97" w:beforeLines="30"/>
              <w:rPr>
                <w:snapToGrid w:val="0"/>
              </w:rPr>
            </w:pPr>
            <w:r>
              <w:rPr>
                <w:snapToGrid w:val="0"/>
              </w:rPr>
              <w:t>NCCLS</w:t>
            </w:r>
          </w:p>
        </w:tc>
        <w:tc>
          <w:tcPr>
            <w:tcW w:w="7149" w:type="dxa"/>
          </w:tcPr>
          <w:p w14:paraId="74ADC705">
            <w:pPr>
              <w:spacing w:before="97" w:beforeLines="30"/>
              <w:rPr>
                <w:snapToGrid w:val="0"/>
              </w:rPr>
            </w:pPr>
            <w:r>
              <w:rPr>
                <w:snapToGrid w:val="0"/>
                <w:shd w:val="clear" w:color="auto" w:fill="FFFFFF"/>
              </w:rPr>
              <w:t>美国国家</w:t>
            </w:r>
            <w:r>
              <w:rPr>
                <w:snapToGrid w:val="0"/>
              </w:rPr>
              <w:t>临床实验</w:t>
            </w:r>
            <w:r>
              <w:rPr>
                <w:snapToGrid w:val="0"/>
                <w:shd w:val="clear" w:color="auto" w:fill="FFFFFF"/>
              </w:rPr>
              <w:t>室</w:t>
            </w:r>
            <w:r>
              <w:rPr>
                <w:snapToGrid w:val="0"/>
              </w:rPr>
              <w:t>标准委员会</w:t>
            </w:r>
          </w:p>
        </w:tc>
      </w:tr>
      <w:tr w14:paraId="070A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7F1F1E99">
            <w:pPr>
              <w:spacing w:before="97" w:beforeLines="30"/>
              <w:rPr>
                <w:snapToGrid w:val="0"/>
              </w:rPr>
            </w:pPr>
            <w:r>
              <w:rPr>
                <w:snapToGrid w:val="0"/>
              </w:rPr>
              <w:t>OTC</w:t>
            </w:r>
          </w:p>
        </w:tc>
        <w:tc>
          <w:tcPr>
            <w:tcW w:w="7149" w:type="dxa"/>
          </w:tcPr>
          <w:p w14:paraId="74B799E9">
            <w:pPr>
              <w:spacing w:before="97" w:beforeLines="30"/>
              <w:rPr>
                <w:snapToGrid w:val="0"/>
              </w:rPr>
            </w:pPr>
            <w:r>
              <w:rPr>
                <w:snapToGrid w:val="0"/>
              </w:rPr>
              <w:t>非处方</w:t>
            </w:r>
          </w:p>
        </w:tc>
      </w:tr>
      <w:tr w14:paraId="177D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56991596">
            <w:pPr>
              <w:spacing w:before="97" w:beforeLines="30"/>
              <w:rPr>
                <w:snapToGrid w:val="0"/>
              </w:rPr>
            </w:pPr>
            <w:r>
              <w:rPr>
                <w:snapToGrid w:val="0"/>
              </w:rPr>
              <w:t>QC</w:t>
            </w:r>
          </w:p>
        </w:tc>
        <w:tc>
          <w:tcPr>
            <w:tcW w:w="7149" w:type="dxa"/>
          </w:tcPr>
          <w:p w14:paraId="51176892">
            <w:pPr>
              <w:spacing w:before="97" w:beforeLines="30"/>
              <w:rPr>
                <w:snapToGrid w:val="0"/>
              </w:rPr>
            </w:pPr>
            <w:r>
              <w:rPr>
                <w:snapToGrid w:val="0"/>
              </w:rPr>
              <w:t>质量控制</w:t>
            </w:r>
          </w:p>
        </w:tc>
      </w:tr>
      <w:tr w14:paraId="5E2F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tcPr>
          <w:p w14:paraId="69885131">
            <w:pPr>
              <w:spacing w:before="97" w:beforeLines="30"/>
              <w:rPr>
                <w:snapToGrid w:val="0"/>
              </w:rPr>
            </w:pPr>
            <w:r>
              <w:rPr>
                <w:snapToGrid w:val="0"/>
              </w:rPr>
              <w:t>TSH</w:t>
            </w:r>
          </w:p>
        </w:tc>
        <w:tc>
          <w:tcPr>
            <w:tcW w:w="7149" w:type="dxa"/>
          </w:tcPr>
          <w:p w14:paraId="401E8ADD">
            <w:pPr>
              <w:spacing w:before="97" w:beforeLines="30"/>
              <w:rPr>
                <w:snapToGrid w:val="0"/>
              </w:rPr>
            </w:pPr>
            <w:r>
              <w:rPr>
                <w:snapToGrid w:val="0"/>
                <w:shd w:val="clear" w:color="auto" w:fill="FFFFFF"/>
              </w:rPr>
              <w:t>促甲状腺激素</w:t>
            </w:r>
          </w:p>
        </w:tc>
      </w:tr>
    </w:tbl>
    <w:p w14:paraId="6BB0B090">
      <w:pPr>
        <w:spacing w:before="195"/>
        <w:rPr>
          <w:snapToGrid w:val="0"/>
          <w:szCs w:val="21"/>
        </w:rPr>
      </w:pPr>
    </w:p>
    <w:p w14:paraId="23F7DA10">
      <w:pPr>
        <w:spacing w:before="195"/>
        <w:rPr>
          <w:snapToGrid w:val="0"/>
          <w:szCs w:val="21"/>
        </w:rPr>
      </w:pPr>
      <w:r>
        <w:rPr>
          <w:snapToGrid w:val="0"/>
          <w:szCs w:val="21"/>
        </w:rPr>
        <w:br w:type="page"/>
      </w:r>
    </w:p>
    <w:p w14:paraId="2F43C1B0">
      <w:pPr>
        <w:spacing w:before="195"/>
        <w:jc w:val="center"/>
        <w:rPr>
          <w:snapToGrid w:val="0"/>
          <w:szCs w:val="24"/>
        </w:rPr>
      </w:pPr>
      <w:r>
        <w:rPr>
          <w:rFonts w:hint="eastAsia"/>
          <w:snapToGrid w:val="0"/>
          <w:szCs w:val="24"/>
        </w:rPr>
        <w:t>检查清单</w:t>
      </w:r>
    </w:p>
    <w:p w14:paraId="42613DB7">
      <w:pPr>
        <w:spacing w:before="195"/>
        <w:rPr>
          <w:snapToGrid w:val="0"/>
          <w:szCs w:val="24"/>
        </w:rPr>
      </w:pPr>
    </w:p>
    <w:p w14:paraId="196F203D">
      <w:pPr>
        <w:spacing w:before="195"/>
        <w:rPr>
          <w:snapToGrid w:val="0"/>
          <w:szCs w:val="24"/>
          <w:shd w:val="clear" w:color="auto" w:fill="FFFFFF"/>
        </w:rPr>
      </w:pPr>
      <w:r>
        <w:rPr>
          <w:rFonts w:hint="eastAsia"/>
          <w:snapToGrid w:val="0"/>
          <w:szCs w:val="24"/>
        </w:rPr>
        <w:t>说明：本</w:t>
      </w:r>
      <w:r>
        <w:rPr>
          <w:snapToGrid w:val="0"/>
          <w:szCs w:val="24"/>
          <w:shd w:val="clear" w:color="auto" w:fill="FFFFFF"/>
        </w:rPr>
        <w:t>检查清单</w:t>
      </w:r>
      <w:r>
        <w:rPr>
          <w:rFonts w:hint="eastAsia"/>
          <w:snapToGrid w:val="0"/>
          <w:szCs w:val="24"/>
          <w:shd w:val="clear" w:color="auto" w:fill="FFFFFF"/>
        </w:rPr>
        <w:t>用于非处方预期用途的</w:t>
      </w:r>
      <w:r>
        <w:rPr>
          <w:snapToGrid w:val="0"/>
          <w:szCs w:val="24"/>
          <w:shd w:val="clear" w:color="auto" w:fill="FFFFFF"/>
        </w:rPr>
        <w:t>人绒毛膜促性腺激素（</w:t>
      </w:r>
      <w:r>
        <w:rPr>
          <w:rFonts w:hint="eastAsia"/>
          <w:snapToGrid w:val="0"/>
          <w:szCs w:val="24"/>
          <w:shd w:val="clear" w:color="auto" w:fill="FFFFFF"/>
        </w:rPr>
        <w:t>hCG）和妊娠试验的提交资料</w:t>
      </w:r>
      <w:r>
        <w:rPr>
          <w:snapToGrid w:val="0"/>
          <w:szCs w:val="24"/>
          <w:shd w:val="clear" w:color="auto" w:fill="FFFFFF"/>
        </w:rPr>
        <w:t>。</w:t>
      </w:r>
      <w:r>
        <w:rPr>
          <w:rFonts w:hint="eastAsia"/>
          <w:snapToGrid w:val="0"/>
          <w:szCs w:val="24"/>
          <w:shd w:val="clear" w:color="auto" w:fill="FFFFFF"/>
        </w:rPr>
        <w:t>请检查下面小方框旁边的项目，这些项目已经包括在上市前通告中。</w:t>
      </w:r>
    </w:p>
    <w:p w14:paraId="2075F071">
      <w:pPr>
        <w:pStyle w:val="32"/>
        <w:numPr>
          <w:ilvl w:val="0"/>
          <w:numId w:val="9"/>
        </w:numPr>
        <w:spacing w:before="195"/>
        <w:ind w:left="480" w:hanging="480" w:hangingChars="200"/>
        <w:rPr>
          <w:snapToGrid w:val="0"/>
          <w:shd w:val="clear" w:color="auto" w:fill="FFFFFF"/>
        </w:rPr>
      </w:pPr>
      <w:r>
        <w:rPr>
          <w:snapToGrid w:val="0"/>
        </w:rPr>
        <w:t>CDRH上市前提交资料封面</w:t>
      </w:r>
    </w:p>
    <w:p w14:paraId="3D19DE65">
      <w:pPr>
        <w:pStyle w:val="32"/>
        <w:numPr>
          <w:ilvl w:val="0"/>
          <w:numId w:val="9"/>
        </w:numPr>
        <w:spacing w:before="195"/>
        <w:ind w:left="480" w:hanging="480" w:hangingChars="200"/>
        <w:rPr>
          <w:snapToGrid w:val="0"/>
          <w:shd w:val="clear" w:color="auto" w:fill="FFFFFF"/>
        </w:rPr>
      </w:pPr>
      <w:r>
        <w:rPr>
          <w:snapToGrid w:val="0"/>
        </w:rPr>
        <w:t>21 CFR 807.87（j）要求的真实和准确逐字声明。</w:t>
      </w:r>
      <w:r>
        <w:rPr>
          <w:snapToGrid w:val="0"/>
          <w:shd w:val="clear" w:color="auto" w:fill="FFFFFF"/>
        </w:rPr>
        <w:t>不允许增删。</w:t>
      </w:r>
    </w:p>
    <w:p w14:paraId="6A24A831">
      <w:pPr>
        <w:pStyle w:val="32"/>
        <w:numPr>
          <w:ilvl w:val="0"/>
          <w:numId w:val="9"/>
        </w:numPr>
        <w:spacing w:before="195"/>
        <w:ind w:left="480" w:hanging="480" w:hangingChars="200"/>
        <w:rPr>
          <w:snapToGrid w:val="0"/>
        </w:rPr>
      </w:pPr>
      <w:r>
        <w:rPr>
          <w:snapToGrid w:val="0"/>
        </w:rPr>
        <w:t>21 CFR 807.92或21 CFR 807.93分别要求的510（k）摘要</w:t>
      </w:r>
      <w:r>
        <w:rPr>
          <w:b/>
          <w:snapToGrid w:val="0"/>
          <w:u w:val="single"/>
        </w:rPr>
        <w:t>或</w:t>
      </w:r>
      <w:r>
        <w:rPr>
          <w:snapToGrid w:val="0"/>
        </w:rPr>
        <w:t>声明</w:t>
      </w:r>
      <w:r>
        <w:rPr>
          <w:rFonts w:hint="eastAsia"/>
          <w:snapToGrid w:val="0"/>
        </w:rPr>
        <w:t>。</w:t>
      </w:r>
    </w:p>
    <w:p w14:paraId="2B656F29">
      <w:pPr>
        <w:pStyle w:val="32"/>
        <w:numPr>
          <w:ilvl w:val="0"/>
          <w:numId w:val="9"/>
        </w:numPr>
        <w:spacing w:before="195"/>
        <w:ind w:left="480" w:hanging="480" w:hangingChars="200"/>
        <w:rPr>
          <w:snapToGrid w:val="0"/>
        </w:rPr>
      </w:pPr>
      <w:r>
        <w:rPr>
          <w:snapToGrid w:val="0"/>
        </w:rPr>
        <w:t>适应症表格</w:t>
      </w:r>
    </w:p>
    <w:p w14:paraId="43FEB30F">
      <w:pPr>
        <w:pStyle w:val="32"/>
        <w:numPr>
          <w:ilvl w:val="0"/>
          <w:numId w:val="9"/>
        </w:numPr>
        <w:spacing w:before="195"/>
        <w:ind w:left="480" w:hanging="480" w:hangingChars="200"/>
        <w:rPr>
          <w:snapToGrid w:val="0"/>
        </w:rPr>
      </w:pPr>
      <w:r>
        <w:rPr>
          <w:snapToGrid w:val="0"/>
        </w:rPr>
        <w:t>灵敏度/检出限数据</w:t>
      </w:r>
    </w:p>
    <w:p w14:paraId="0C897DCC">
      <w:pPr>
        <w:pStyle w:val="32"/>
        <w:numPr>
          <w:ilvl w:val="0"/>
          <w:numId w:val="9"/>
        </w:numPr>
        <w:spacing w:before="195"/>
        <w:ind w:left="480" w:hanging="480" w:hangingChars="200"/>
        <w:rPr>
          <w:snapToGrid w:val="0"/>
        </w:rPr>
      </w:pPr>
      <w:r>
        <w:rPr>
          <w:snapToGrid w:val="0"/>
        </w:rPr>
        <w:t>特异性数据，包括LH、FSH和TSH</w:t>
      </w:r>
    </w:p>
    <w:p w14:paraId="6C4B2FDD">
      <w:pPr>
        <w:pStyle w:val="32"/>
        <w:numPr>
          <w:ilvl w:val="0"/>
          <w:numId w:val="9"/>
        </w:numPr>
        <w:spacing w:before="195"/>
        <w:ind w:left="480" w:hanging="480" w:hangingChars="200"/>
        <w:rPr>
          <w:snapToGrid w:val="0"/>
          <w:shd w:val="clear" w:color="auto" w:fill="FFFFFF"/>
        </w:rPr>
      </w:pPr>
      <w:r>
        <w:rPr>
          <w:snapToGrid w:val="0"/>
          <w:shd w:val="clear" w:color="auto" w:fill="FFFFFF"/>
        </w:rPr>
        <w:t>干扰物质的数据</w:t>
      </w:r>
    </w:p>
    <w:p w14:paraId="37D102C3">
      <w:pPr>
        <w:pStyle w:val="32"/>
        <w:numPr>
          <w:ilvl w:val="0"/>
          <w:numId w:val="9"/>
        </w:numPr>
        <w:spacing w:before="195"/>
        <w:ind w:left="480" w:hanging="480" w:hangingChars="200"/>
        <w:rPr>
          <w:snapToGrid w:val="0"/>
          <w:shd w:val="clear" w:color="auto" w:fill="FFFFFF"/>
        </w:rPr>
      </w:pPr>
      <w:r>
        <w:rPr>
          <w:snapToGrid w:val="0"/>
          <w:shd w:val="clear" w:color="auto" w:fill="FFFFFF"/>
        </w:rPr>
        <w:t>包括以下内容的比较研究数据：研究方案摘要、所使用加标样本的浓度、</w:t>
      </w:r>
      <w:r>
        <w:rPr>
          <w:rFonts w:hint="eastAsia"/>
          <w:snapToGrid w:val="0"/>
          <w:shd w:val="clear" w:color="auto" w:fill="FFFFFF"/>
        </w:rPr>
        <w:t>确认</w:t>
      </w:r>
      <w:r>
        <w:rPr>
          <w:snapToGrid w:val="0"/>
          <w:shd w:val="clear" w:color="auto" w:fill="FFFFFF"/>
        </w:rPr>
        <w:t>所有试验程序的数据（例如，尿流和杯法）、OTC研究问卷答复汇总。</w:t>
      </w:r>
    </w:p>
    <w:p w14:paraId="7F0E4047">
      <w:pPr>
        <w:pStyle w:val="32"/>
        <w:numPr>
          <w:ilvl w:val="0"/>
          <w:numId w:val="9"/>
        </w:numPr>
        <w:spacing w:before="195"/>
        <w:ind w:left="480" w:hanging="480" w:hangingChars="200"/>
        <w:rPr>
          <w:snapToGrid w:val="0"/>
        </w:rPr>
      </w:pPr>
      <w:r>
        <w:rPr>
          <w:snapToGrid w:val="0"/>
        </w:rPr>
        <w:t>抗体鉴定/纯化信息</w:t>
      </w:r>
    </w:p>
    <w:p w14:paraId="08554DCB">
      <w:pPr>
        <w:pStyle w:val="32"/>
        <w:numPr>
          <w:ilvl w:val="0"/>
          <w:numId w:val="9"/>
        </w:numPr>
        <w:spacing w:before="195"/>
        <w:ind w:left="480" w:hanging="480" w:hangingChars="200"/>
        <w:rPr>
          <w:snapToGrid w:val="0"/>
          <w:shd w:val="clear" w:color="auto" w:fill="FFFFFF"/>
        </w:rPr>
      </w:pPr>
      <w:r>
        <w:rPr>
          <w:snapToGrid w:val="0"/>
          <w:shd w:val="clear" w:color="auto" w:fill="FFFFFF"/>
        </w:rPr>
        <w:t>内部控制的组件和功能</w:t>
      </w:r>
    </w:p>
    <w:p w14:paraId="5031583B">
      <w:pPr>
        <w:pStyle w:val="32"/>
        <w:numPr>
          <w:ilvl w:val="0"/>
          <w:numId w:val="9"/>
        </w:numPr>
        <w:spacing w:before="195"/>
        <w:ind w:left="480" w:hanging="480" w:hangingChars="200"/>
        <w:rPr>
          <w:snapToGrid w:val="0"/>
        </w:rPr>
      </w:pPr>
      <w:r>
        <w:rPr>
          <w:snapToGrid w:val="0"/>
        </w:rPr>
        <w:t>比较器械标签</w:t>
      </w:r>
    </w:p>
    <w:p w14:paraId="18D9FE3B">
      <w:pPr>
        <w:spacing w:before="195"/>
        <w:jc w:val="center"/>
        <w:rPr>
          <w:rFonts w:hint="eastAsia" w:eastAsia="宋体"/>
          <w:lang w:eastAsia="zh-CN"/>
        </w:rPr>
      </w:pPr>
    </w:p>
    <w:p w14:paraId="71B134DA">
      <w:pPr>
        <w:spacing w:before="195"/>
        <w:jc w:val="center"/>
        <w:rPr>
          <w:rFonts w:hint="eastAsia" w:eastAsia="宋体"/>
          <w:lang w:eastAsia="zh-CN"/>
        </w:rPr>
      </w:pPr>
    </w:p>
    <w:p w14:paraId="7F6A3A8E">
      <w:pPr>
        <w:spacing w:before="195"/>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9F076">
    <w:pPr>
      <w:pStyle w:val="7"/>
      <w:spacing w:before="14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12</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C010">
    <w:pPr>
      <w:pStyle w:val="7"/>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84D94">
    <w:pPr>
      <w:pStyle w:val="7"/>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312" w:lineRule="auto"/>
      </w:pPr>
      <w:r>
        <w:separator/>
      </w:r>
    </w:p>
  </w:footnote>
  <w:footnote w:type="continuationSeparator" w:id="3">
    <w:p>
      <w:pPr>
        <w:spacing w:before="0" w:after="0" w:line="312" w:lineRule="auto"/>
      </w:pPr>
      <w:r>
        <w:continuationSeparator/>
      </w:r>
    </w:p>
  </w:footnote>
  <w:footnote w:id="0">
    <w:p w14:paraId="27CEE71B">
      <w:pPr>
        <w:pStyle w:val="10"/>
        <w:spacing w:before="195"/>
      </w:pPr>
      <w:r>
        <w:rPr>
          <w:rStyle w:val="19"/>
        </w:rPr>
        <w:footnoteRef/>
      </w:r>
      <w:r>
        <w:rPr>
          <w:rFonts w:cs="Arial"/>
          <w:snapToGrid w:val="0"/>
          <w:kern w:val="0"/>
          <w:szCs w:val="21"/>
          <w:shd w:val="clear" w:color="auto" w:fill="FFFFFF"/>
        </w:rPr>
        <w:t>本文件旨在提供</w:t>
      </w:r>
      <w:r>
        <w:rPr>
          <w:rFonts w:hint="eastAsia" w:cs="Arial"/>
          <w:snapToGrid w:val="0"/>
          <w:kern w:val="0"/>
          <w:szCs w:val="21"/>
          <w:shd w:val="clear" w:color="auto" w:fill="FFFFFF"/>
        </w:rPr>
        <w:t>指南</w:t>
      </w:r>
      <w:r>
        <w:rPr>
          <w:rFonts w:cs="Arial"/>
          <w:snapToGrid w:val="0"/>
          <w:kern w:val="0"/>
          <w:szCs w:val="21"/>
          <w:shd w:val="clear" w:color="auto" w:fill="FFFFFF"/>
        </w:rPr>
        <w:t>。</w:t>
      </w:r>
      <w:r>
        <w:rPr>
          <w:rFonts w:hint="eastAsia" w:cs="Arial"/>
          <w:snapToGrid w:val="0"/>
          <w:kern w:val="0"/>
          <w:szCs w:val="21"/>
          <w:shd w:val="clear" w:color="auto" w:fill="FFFFFF"/>
        </w:rPr>
        <w:t>其</w:t>
      </w:r>
      <w:r>
        <w:rPr>
          <w:rFonts w:cs="Arial"/>
          <w:snapToGrid w:val="0"/>
          <w:kern w:val="0"/>
          <w:szCs w:val="21"/>
          <w:shd w:val="clear" w:color="auto" w:fill="FFFFFF"/>
        </w:rPr>
        <w:t>代表了该机构目前的想法。</w:t>
      </w:r>
      <w:r>
        <w:rPr>
          <w:rFonts w:hint="eastAsia" w:cs="Arial"/>
          <w:snapToGrid w:val="0"/>
          <w:kern w:val="0"/>
          <w:szCs w:val="21"/>
          <w:shd w:val="clear" w:color="auto" w:fill="FFFFFF"/>
        </w:rPr>
        <w:t>其不会为任何人创造或赋予任何权利，也不对FDA或公众具有约束力。</w:t>
      </w:r>
      <w:r>
        <w:rPr>
          <w:rFonts w:cs="Arial"/>
          <w:snapToGrid w:val="0"/>
          <w:kern w:val="0"/>
          <w:szCs w:val="21"/>
          <w:shd w:val="clear" w:color="auto" w:fill="FFFFFF"/>
        </w:rPr>
        <w:t>如果替代方法符合适用的法律和法规的要求，</w:t>
      </w:r>
      <w:r>
        <w:rPr>
          <w:rFonts w:hint="eastAsia" w:cs="Arial"/>
          <w:snapToGrid w:val="0"/>
          <w:kern w:val="0"/>
          <w:szCs w:val="21"/>
          <w:shd w:val="clear" w:color="auto" w:fill="FFFFFF"/>
        </w:rPr>
        <w:t>可以使用替代方法</w:t>
      </w:r>
      <w:r>
        <w:rPr>
          <w:rFonts w:cs="Arial"/>
          <w:snapToGrid w:val="0"/>
          <w:kern w:val="0"/>
          <w:szCs w:val="21"/>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C7C7">
    <w:pPr>
      <w:spacing w:before="144"/>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7E0A">
    <w:pPr>
      <w:pStyle w:val="8"/>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676A5">
    <w:pPr>
      <w:pStyle w:val="8"/>
      <w:pBdr>
        <w:bottom w:val="none" w:color="auto" w:sz="0" w:space="0"/>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3678E"/>
    <w:multiLevelType w:val="multilevel"/>
    <w:tmpl w:val="0023678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904264C"/>
    <w:multiLevelType w:val="multilevel"/>
    <w:tmpl w:val="2904264C"/>
    <w:lvl w:ilvl="0" w:tentative="0">
      <w:start w:val="1"/>
      <w:numFmt w:val="upperRoman"/>
      <w:lvlText w:val="%1."/>
      <w:lvlJc w:val="left"/>
      <w:pPr>
        <w:ind w:left="420" w:hanging="420"/>
      </w:pPr>
      <w:rPr>
        <w:rFonts w:hint="eastAsia"/>
      </w:rPr>
    </w:lvl>
    <w:lvl w:ilvl="1" w:tentative="0">
      <w:start w:val="1"/>
      <w:numFmt w:val="upperLetter"/>
      <w:lvlText w:val="%2."/>
      <w:lvlJc w:val="left"/>
      <w:pPr>
        <w:ind w:left="780" w:hanging="360"/>
      </w:pPr>
      <w:rPr>
        <w:rFonts w:hint="default"/>
        <w:u w:val="none"/>
      </w:rPr>
    </w:lvl>
    <w:lvl w:ilvl="2" w:tentative="0">
      <w:start w:val="1"/>
      <w:numFmt w:val="bullet"/>
      <w:lvlText w:val="●"/>
      <w:lvlJc w:val="left"/>
      <w:pPr>
        <w:ind w:left="1200" w:hanging="360"/>
      </w:pPr>
      <w:rPr>
        <w:rFonts w:hint="default" w:ascii="Arial" w:hAnsi="Arial" w:eastAsia="宋体" w:cs="Arial"/>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1673BB"/>
    <w:multiLevelType w:val="singleLevel"/>
    <w:tmpl w:val="2C1673BB"/>
    <w:lvl w:ilvl="0" w:tentative="0">
      <w:start w:val="1"/>
      <w:numFmt w:val="bullet"/>
      <w:pStyle w:val="3"/>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3">
    <w:nsid w:val="37021470"/>
    <w:multiLevelType w:val="multilevel"/>
    <w:tmpl w:val="370214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0B0450"/>
    <w:multiLevelType w:val="singleLevel"/>
    <w:tmpl w:val="410B0450"/>
    <w:lvl w:ilvl="0" w:tentative="0">
      <w:start w:val="1"/>
      <w:numFmt w:val="decimal"/>
      <w:pStyle w:val="29"/>
      <w:lvlText w:val="%1."/>
      <w:lvlJc w:val="right"/>
      <w:pPr>
        <w:tabs>
          <w:tab w:val="left" w:pos="648"/>
        </w:tabs>
        <w:ind w:left="648" w:hanging="360"/>
      </w:pPr>
      <w:rPr>
        <w:rFonts w:ascii="Times New Roman" w:hAnsi="Times New Roman" w:cs="Times New Roman"/>
        <w:b w:val="0"/>
        <w:i w:val="0"/>
        <w:caps w:val="0"/>
        <w:sz w:val="24"/>
        <w:u w:val="none"/>
        <w:vertAlign w:val="baseline"/>
      </w:rPr>
    </w:lvl>
  </w:abstractNum>
  <w:abstractNum w:abstractNumId="5">
    <w:nsid w:val="44A3667B"/>
    <w:multiLevelType w:val="multilevel"/>
    <w:tmpl w:val="44A3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7A340D3"/>
    <w:multiLevelType w:val="multilevel"/>
    <w:tmpl w:val="57A340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0403242"/>
    <w:multiLevelType w:val="multilevel"/>
    <w:tmpl w:val="6040324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89B591C"/>
    <w:multiLevelType w:val="multilevel"/>
    <w:tmpl w:val="689B591C"/>
    <w:lvl w:ilvl="0" w:tentative="0">
      <w:start w:val="1"/>
      <w:numFmt w:val="upperLetter"/>
      <w:lvlText w:val="%1."/>
      <w:lvlJc w:val="left"/>
      <w:pPr>
        <w:ind w:left="420" w:hanging="420"/>
      </w:pPr>
    </w:lvl>
    <w:lvl w:ilvl="1" w:tentative="0">
      <w:start w:val="1"/>
      <w:numFmt w:val="upperLetter"/>
      <w:lvlText w:val="%2."/>
      <w:lvlJc w:val="left"/>
      <w:pPr>
        <w:ind w:left="840" w:hanging="420"/>
      </w:p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1"/>
  </w:num>
  <w:num w:numId="4">
    <w:abstractNumId w:val="8"/>
  </w:num>
  <w:num w:numId="5">
    <w:abstractNumId w:val="6"/>
  </w:num>
  <w:num w:numId="6">
    <w:abstractNumId w:val="5"/>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3064"/>
    <w:rsid w:val="000159A0"/>
    <w:rsid w:val="000208C1"/>
    <w:rsid w:val="000216BC"/>
    <w:rsid w:val="00021FBB"/>
    <w:rsid w:val="00023D33"/>
    <w:rsid w:val="00027B74"/>
    <w:rsid w:val="000306D2"/>
    <w:rsid w:val="00031795"/>
    <w:rsid w:val="0003236D"/>
    <w:rsid w:val="00040083"/>
    <w:rsid w:val="00041310"/>
    <w:rsid w:val="00043A2E"/>
    <w:rsid w:val="00052464"/>
    <w:rsid w:val="00052D66"/>
    <w:rsid w:val="00054336"/>
    <w:rsid w:val="00056886"/>
    <w:rsid w:val="00063D88"/>
    <w:rsid w:val="000643EA"/>
    <w:rsid w:val="0006541F"/>
    <w:rsid w:val="00070AFF"/>
    <w:rsid w:val="00073100"/>
    <w:rsid w:val="00073C5D"/>
    <w:rsid w:val="00073DE7"/>
    <w:rsid w:val="00074659"/>
    <w:rsid w:val="00076963"/>
    <w:rsid w:val="000770B1"/>
    <w:rsid w:val="00077F43"/>
    <w:rsid w:val="00080C71"/>
    <w:rsid w:val="00080C98"/>
    <w:rsid w:val="000839CB"/>
    <w:rsid w:val="00084373"/>
    <w:rsid w:val="00085053"/>
    <w:rsid w:val="0008578E"/>
    <w:rsid w:val="00085DE2"/>
    <w:rsid w:val="00092E02"/>
    <w:rsid w:val="00093F37"/>
    <w:rsid w:val="00095A57"/>
    <w:rsid w:val="000A4A88"/>
    <w:rsid w:val="000A5FDE"/>
    <w:rsid w:val="000B2241"/>
    <w:rsid w:val="000B26C8"/>
    <w:rsid w:val="000B29E0"/>
    <w:rsid w:val="000B41D4"/>
    <w:rsid w:val="000B6C86"/>
    <w:rsid w:val="000B6E4A"/>
    <w:rsid w:val="000B7649"/>
    <w:rsid w:val="000C245D"/>
    <w:rsid w:val="000C2A98"/>
    <w:rsid w:val="000C4968"/>
    <w:rsid w:val="000C6BAB"/>
    <w:rsid w:val="000D2660"/>
    <w:rsid w:val="000D304D"/>
    <w:rsid w:val="000D4093"/>
    <w:rsid w:val="000D502A"/>
    <w:rsid w:val="000D6AAC"/>
    <w:rsid w:val="000D7FB3"/>
    <w:rsid w:val="000E0DF4"/>
    <w:rsid w:val="000E0F7F"/>
    <w:rsid w:val="000E5F16"/>
    <w:rsid w:val="000E6172"/>
    <w:rsid w:val="000E7541"/>
    <w:rsid w:val="000E7A1B"/>
    <w:rsid w:val="000F0707"/>
    <w:rsid w:val="000F0BAA"/>
    <w:rsid w:val="000F2CEF"/>
    <w:rsid w:val="000F3EBE"/>
    <w:rsid w:val="000F5069"/>
    <w:rsid w:val="000F50D5"/>
    <w:rsid w:val="000F7CB2"/>
    <w:rsid w:val="00100FE4"/>
    <w:rsid w:val="00101686"/>
    <w:rsid w:val="001037D6"/>
    <w:rsid w:val="00104035"/>
    <w:rsid w:val="00104E38"/>
    <w:rsid w:val="001052CD"/>
    <w:rsid w:val="00112035"/>
    <w:rsid w:val="001123B5"/>
    <w:rsid w:val="00112865"/>
    <w:rsid w:val="00112B5B"/>
    <w:rsid w:val="00112BF6"/>
    <w:rsid w:val="00113549"/>
    <w:rsid w:val="0011554C"/>
    <w:rsid w:val="001260B1"/>
    <w:rsid w:val="001276F0"/>
    <w:rsid w:val="001337F6"/>
    <w:rsid w:val="001349CA"/>
    <w:rsid w:val="00141701"/>
    <w:rsid w:val="00142A99"/>
    <w:rsid w:val="00143E39"/>
    <w:rsid w:val="00145889"/>
    <w:rsid w:val="001473E7"/>
    <w:rsid w:val="001542C7"/>
    <w:rsid w:val="00155326"/>
    <w:rsid w:val="00155474"/>
    <w:rsid w:val="0016132A"/>
    <w:rsid w:val="0017165A"/>
    <w:rsid w:val="00172A9F"/>
    <w:rsid w:val="001732E6"/>
    <w:rsid w:val="001778BA"/>
    <w:rsid w:val="00177B28"/>
    <w:rsid w:val="00177DBC"/>
    <w:rsid w:val="00183C23"/>
    <w:rsid w:val="00185B36"/>
    <w:rsid w:val="00186F2A"/>
    <w:rsid w:val="00192C93"/>
    <w:rsid w:val="001942A6"/>
    <w:rsid w:val="00194631"/>
    <w:rsid w:val="00196049"/>
    <w:rsid w:val="00196E72"/>
    <w:rsid w:val="00196FC5"/>
    <w:rsid w:val="001A0E56"/>
    <w:rsid w:val="001A1A20"/>
    <w:rsid w:val="001A6902"/>
    <w:rsid w:val="001A7496"/>
    <w:rsid w:val="001A7BC9"/>
    <w:rsid w:val="001B351B"/>
    <w:rsid w:val="001B452C"/>
    <w:rsid w:val="001B784B"/>
    <w:rsid w:val="001B7EEF"/>
    <w:rsid w:val="001C17BD"/>
    <w:rsid w:val="001C1DE5"/>
    <w:rsid w:val="001C3F53"/>
    <w:rsid w:val="001D0007"/>
    <w:rsid w:val="001D30E0"/>
    <w:rsid w:val="001D41BD"/>
    <w:rsid w:val="001D5DFC"/>
    <w:rsid w:val="001D784F"/>
    <w:rsid w:val="001D796D"/>
    <w:rsid w:val="001E61F6"/>
    <w:rsid w:val="001F1A90"/>
    <w:rsid w:val="001F2138"/>
    <w:rsid w:val="001F274F"/>
    <w:rsid w:val="001F3DC9"/>
    <w:rsid w:val="00201C7F"/>
    <w:rsid w:val="00210DBC"/>
    <w:rsid w:val="002121F8"/>
    <w:rsid w:val="00214347"/>
    <w:rsid w:val="00214542"/>
    <w:rsid w:val="00215D6B"/>
    <w:rsid w:val="002219AE"/>
    <w:rsid w:val="00224A4F"/>
    <w:rsid w:val="00227042"/>
    <w:rsid w:val="0022773A"/>
    <w:rsid w:val="00227D88"/>
    <w:rsid w:val="00227F5D"/>
    <w:rsid w:val="00231C1E"/>
    <w:rsid w:val="00237B18"/>
    <w:rsid w:val="002416B7"/>
    <w:rsid w:val="00241C09"/>
    <w:rsid w:val="0024250C"/>
    <w:rsid w:val="0024650A"/>
    <w:rsid w:val="00247DC1"/>
    <w:rsid w:val="00251B2A"/>
    <w:rsid w:val="00252C09"/>
    <w:rsid w:val="002614E2"/>
    <w:rsid w:val="0026593B"/>
    <w:rsid w:val="00270493"/>
    <w:rsid w:val="00270AB9"/>
    <w:rsid w:val="00276E31"/>
    <w:rsid w:val="0027753A"/>
    <w:rsid w:val="0028296D"/>
    <w:rsid w:val="002837F3"/>
    <w:rsid w:val="00284AD0"/>
    <w:rsid w:val="0028538A"/>
    <w:rsid w:val="00285E1E"/>
    <w:rsid w:val="00286ED2"/>
    <w:rsid w:val="002934B9"/>
    <w:rsid w:val="00297A3E"/>
    <w:rsid w:val="002A4B76"/>
    <w:rsid w:val="002B0FEC"/>
    <w:rsid w:val="002B19C1"/>
    <w:rsid w:val="002B2FF7"/>
    <w:rsid w:val="002B5657"/>
    <w:rsid w:val="002B75B9"/>
    <w:rsid w:val="002C31BB"/>
    <w:rsid w:val="002C4539"/>
    <w:rsid w:val="002C5DFE"/>
    <w:rsid w:val="002C5E74"/>
    <w:rsid w:val="002D27EF"/>
    <w:rsid w:val="002D2AEE"/>
    <w:rsid w:val="002D366C"/>
    <w:rsid w:val="002D3E67"/>
    <w:rsid w:val="002D426E"/>
    <w:rsid w:val="002D4BBB"/>
    <w:rsid w:val="002E0F2B"/>
    <w:rsid w:val="002E1255"/>
    <w:rsid w:val="002E56E5"/>
    <w:rsid w:val="002F13A6"/>
    <w:rsid w:val="002F3E86"/>
    <w:rsid w:val="002F4B09"/>
    <w:rsid w:val="003012AE"/>
    <w:rsid w:val="003051AA"/>
    <w:rsid w:val="003059D5"/>
    <w:rsid w:val="00311430"/>
    <w:rsid w:val="0031767A"/>
    <w:rsid w:val="00323283"/>
    <w:rsid w:val="00323AAF"/>
    <w:rsid w:val="003317D8"/>
    <w:rsid w:val="00335D8D"/>
    <w:rsid w:val="00336066"/>
    <w:rsid w:val="003377A4"/>
    <w:rsid w:val="00341AB4"/>
    <w:rsid w:val="00342B1A"/>
    <w:rsid w:val="00346E2A"/>
    <w:rsid w:val="00352A0F"/>
    <w:rsid w:val="00355A2C"/>
    <w:rsid w:val="00361926"/>
    <w:rsid w:val="00367494"/>
    <w:rsid w:val="00367876"/>
    <w:rsid w:val="003715B9"/>
    <w:rsid w:val="003732C8"/>
    <w:rsid w:val="0037445B"/>
    <w:rsid w:val="00380086"/>
    <w:rsid w:val="00386C7C"/>
    <w:rsid w:val="00386E95"/>
    <w:rsid w:val="00387CE8"/>
    <w:rsid w:val="00390529"/>
    <w:rsid w:val="00391FA9"/>
    <w:rsid w:val="00392BF4"/>
    <w:rsid w:val="00397030"/>
    <w:rsid w:val="003A2360"/>
    <w:rsid w:val="003A3AE5"/>
    <w:rsid w:val="003B562D"/>
    <w:rsid w:val="003B613B"/>
    <w:rsid w:val="003B7B71"/>
    <w:rsid w:val="003C4141"/>
    <w:rsid w:val="003C4F8D"/>
    <w:rsid w:val="003C523F"/>
    <w:rsid w:val="003C564A"/>
    <w:rsid w:val="003C6B1A"/>
    <w:rsid w:val="003D6385"/>
    <w:rsid w:val="003D71EF"/>
    <w:rsid w:val="003E0E5A"/>
    <w:rsid w:val="003E3A25"/>
    <w:rsid w:val="003E44C8"/>
    <w:rsid w:val="003E6989"/>
    <w:rsid w:val="003E77C6"/>
    <w:rsid w:val="003F25F4"/>
    <w:rsid w:val="003F26BF"/>
    <w:rsid w:val="003F32A8"/>
    <w:rsid w:val="003F5AAD"/>
    <w:rsid w:val="003F6621"/>
    <w:rsid w:val="00400222"/>
    <w:rsid w:val="00401D7D"/>
    <w:rsid w:val="0040231F"/>
    <w:rsid w:val="00403929"/>
    <w:rsid w:val="00403C11"/>
    <w:rsid w:val="00406AD7"/>
    <w:rsid w:val="00407B0A"/>
    <w:rsid w:val="00410143"/>
    <w:rsid w:val="00410612"/>
    <w:rsid w:val="00411845"/>
    <w:rsid w:val="00411C23"/>
    <w:rsid w:val="00412991"/>
    <w:rsid w:val="0041498F"/>
    <w:rsid w:val="00415AB7"/>
    <w:rsid w:val="00417E8F"/>
    <w:rsid w:val="00417F3D"/>
    <w:rsid w:val="0042489B"/>
    <w:rsid w:val="00425DD9"/>
    <w:rsid w:val="004269B8"/>
    <w:rsid w:val="004272F2"/>
    <w:rsid w:val="00430DC7"/>
    <w:rsid w:val="0043135C"/>
    <w:rsid w:val="004322E6"/>
    <w:rsid w:val="004337E2"/>
    <w:rsid w:val="0043750C"/>
    <w:rsid w:val="00437F8A"/>
    <w:rsid w:val="0044023B"/>
    <w:rsid w:val="004405DF"/>
    <w:rsid w:val="00443C8F"/>
    <w:rsid w:val="004462A6"/>
    <w:rsid w:val="004465C8"/>
    <w:rsid w:val="004509CD"/>
    <w:rsid w:val="004510CA"/>
    <w:rsid w:val="00457E27"/>
    <w:rsid w:val="00460121"/>
    <w:rsid w:val="00460823"/>
    <w:rsid w:val="00460F74"/>
    <w:rsid w:val="00472842"/>
    <w:rsid w:val="0047688D"/>
    <w:rsid w:val="0048509E"/>
    <w:rsid w:val="004919BA"/>
    <w:rsid w:val="00492972"/>
    <w:rsid w:val="00493123"/>
    <w:rsid w:val="004A521F"/>
    <w:rsid w:val="004B3D12"/>
    <w:rsid w:val="004B400F"/>
    <w:rsid w:val="004B6F70"/>
    <w:rsid w:val="004B7B1E"/>
    <w:rsid w:val="004C04FB"/>
    <w:rsid w:val="004C1064"/>
    <w:rsid w:val="004C1BF3"/>
    <w:rsid w:val="004C3CB6"/>
    <w:rsid w:val="004C6A76"/>
    <w:rsid w:val="004C7C02"/>
    <w:rsid w:val="004E2768"/>
    <w:rsid w:val="004E3B52"/>
    <w:rsid w:val="004E461B"/>
    <w:rsid w:val="004E76CF"/>
    <w:rsid w:val="004F045E"/>
    <w:rsid w:val="004F3F25"/>
    <w:rsid w:val="004F45F4"/>
    <w:rsid w:val="004F4EAB"/>
    <w:rsid w:val="004F64D2"/>
    <w:rsid w:val="004F6700"/>
    <w:rsid w:val="004F757F"/>
    <w:rsid w:val="00500A9E"/>
    <w:rsid w:val="00501A0E"/>
    <w:rsid w:val="00502B20"/>
    <w:rsid w:val="00503200"/>
    <w:rsid w:val="0050648C"/>
    <w:rsid w:val="00511B6F"/>
    <w:rsid w:val="0051390C"/>
    <w:rsid w:val="00513B53"/>
    <w:rsid w:val="00514957"/>
    <w:rsid w:val="0051521D"/>
    <w:rsid w:val="005162E7"/>
    <w:rsid w:val="00516B1B"/>
    <w:rsid w:val="005225C7"/>
    <w:rsid w:val="00522B22"/>
    <w:rsid w:val="005236FC"/>
    <w:rsid w:val="00526F87"/>
    <w:rsid w:val="00531C3E"/>
    <w:rsid w:val="00541B95"/>
    <w:rsid w:val="00545D6E"/>
    <w:rsid w:val="00551DC3"/>
    <w:rsid w:val="005522D3"/>
    <w:rsid w:val="00553299"/>
    <w:rsid w:val="0055349B"/>
    <w:rsid w:val="00561085"/>
    <w:rsid w:val="00566867"/>
    <w:rsid w:val="00570AB3"/>
    <w:rsid w:val="0057228D"/>
    <w:rsid w:val="005731AB"/>
    <w:rsid w:val="0057741C"/>
    <w:rsid w:val="00580D74"/>
    <w:rsid w:val="0058100F"/>
    <w:rsid w:val="00582731"/>
    <w:rsid w:val="00590AF7"/>
    <w:rsid w:val="005A3850"/>
    <w:rsid w:val="005A4489"/>
    <w:rsid w:val="005A69EF"/>
    <w:rsid w:val="005B6C8F"/>
    <w:rsid w:val="005C0CD8"/>
    <w:rsid w:val="005C0CEF"/>
    <w:rsid w:val="005C4A64"/>
    <w:rsid w:val="005C643A"/>
    <w:rsid w:val="005C7713"/>
    <w:rsid w:val="005D6314"/>
    <w:rsid w:val="005D700F"/>
    <w:rsid w:val="005E0E2F"/>
    <w:rsid w:val="005E1362"/>
    <w:rsid w:val="005F2A66"/>
    <w:rsid w:val="005F34A0"/>
    <w:rsid w:val="005F3AFD"/>
    <w:rsid w:val="005F4F9C"/>
    <w:rsid w:val="005F69DF"/>
    <w:rsid w:val="006009FD"/>
    <w:rsid w:val="006020EE"/>
    <w:rsid w:val="00606AB0"/>
    <w:rsid w:val="00606D45"/>
    <w:rsid w:val="00607A81"/>
    <w:rsid w:val="006148B6"/>
    <w:rsid w:val="006166D1"/>
    <w:rsid w:val="006177B0"/>
    <w:rsid w:val="00620155"/>
    <w:rsid w:val="00622870"/>
    <w:rsid w:val="00622CE7"/>
    <w:rsid w:val="0062761D"/>
    <w:rsid w:val="00630452"/>
    <w:rsid w:val="0063049C"/>
    <w:rsid w:val="00630FBF"/>
    <w:rsid w:val="00633684"/>
    <w:rsid w:val="00633F39"/>
    <w:rsid w:val="006368A4"/>
    <w:rsid w:val="00637552"/>
    <w:rsid w:val="00637E94"/>
    <w:rsid w:val="00640CE9"/>
    <w:rsid w:val="00641E67"/>
    <w:rsid w:val="00647D91"/>
    <w:rsid w:val="00652F6B"/>
    <w:rsid w:val="006544F1"/>
    <w:rsid w:val="00661E5C"/>
    <w:rsid w:val="00664774"/>
    <w:rsid w:val="00677EB6"/>
    <w:rsid w:val="006835DC"/>
    <w:rsid w:val="00684670"/>
    <w:rsid w:val="00685581"/>
    <w:rsid w:val="00693124"/>
    <w:rsid w:val="006946B7"/>
    <w:rsid w:val="00694A01"/>
    <w:rsid w:val="00697663"/>
    <w:rsid w:val="006A23BC"/>
    <w:rsid w:val="006A3356"/>
    <w:rsid w:val="006A6373"/>
    <w:rsid w:val="006B1AA3"/>
    <w:rsid w:val="006B3261"/>
    <w:rsid w:val="006C01C2"/>
    <w:rsid w:val="006C2ACF"/>
    <w:rsid w:val="006C55AC"/>
    <w:rsid w:val="006D056F"/>
    <w:rsid w:val="006D097E"/>
    <w:rsid w:val="006D3C4F"/>
    <w:rsid w:val="006D7010"/>
    <w:rsid w:val="006D7CFD"/>
    <w:rsid w:val="006E12DB"/>
    <w:rsid w:val="006E2FF0"/>
    <w:rsid w:val="006E3131"/>
    <w:rsid w:val="006E3245"/>
    <w:rsid w:val="006F0981"/>
    <w:rsid w:val="006F12FC"/>
    <w:rsid w:val="006F2A89"/>
    <w:rsid w:val="006F31C6"/>
    <w:rsid w:val="006F657A"/>
    <w:rsid w:val="006F6902"/>
    <w:rsid w:val="006F6A73"/>
    <w:rsid w:val="006F70A6"/>
    <w:rsid w:val="0070169E"/>
    <w:rsid w:val="00705449"/>
    <w:rsid w:val="00707024"/>
    <w:rsid w:val="00710052"/>
    <w:rsid w:val="00710791"/>
    <w:rsid w:val="0071141C"/>
    <w:rsid w:val="00727B8E"/>
    <w:rsid w:val="007305AF"/>
    <w:rsid w:val="0073265B"/>
    <w:rsid w:val="00734495"/>
    <w:rsid w:val="007353B4"/>
    <w:rsid w:val="0073681A"/>
    <w:rsid w:val="00741AFE"/>
    <w:rsid w:val="00743F95"/>
    <w:rsid w:val="007451F8"/>
    <w:rsid w:val="007476A7"/>
    <w:rsid w:val="007509FC"/>
    <w:rsid w:val="00752312"/>
    <w:rsid w:val="007607A7"/>
    <w:rsid w:val="0076221A"/>
    <w:rsid w:val="00763B6D"/>
    <w:rsid w:val="00763D4B"/>
    <w:rsid w:val="00764A91"/>
    <w:rsid w:val="00766752"/>
    <w:rsid w:val="0077206C"/>
    <w:rsid w:val="00772D0C"/>
    <w:rsid w:val="007741BB"/>
    <w:rsid w:val="00774520"/>
    <w:rsid w:val="0077722D"/>
    <w:rsid w:val="00782226"/>
    <w:rsid w:val="00786802"/>
    <w:rsid w:val="007874FB"/>
    <w:rsid w:val="00787A6B"/>
    <w:rsid w:val="00791E23"/>
    <w:rsid w:val="007962B6"/>
    <w:rsid w:val="007A1071"/>
    <w:rsid w:val="007A1BF2"/>
    <w:rsid w:val="007A233E"/>
    <w:rsid w:val="007A7568"/>
    <w:rsid w:val="007A7D62"/>
    <w:rsid w:val="007B02BA"/>
    <w:rsid w:val="007B5DE4"/>
    <w:rsid w:val="007B7E11"/>
    <w:rsid w:val="007B7FD0"/>
    <w:rsid w:val="007C06FC"/>
    <w:rsid w:val="007C24FF"/>
    <w:rsid w:val="007C400E"/>
    <w:rsid w:val="007C47DD"/>
    <w:rsid w:val="007C4FEB"/>
    <w:rsid w:val="007D1FAD"/>
    <w:rsid w:val="007D543B"/>
    <w:rsid w:val="007E0CF2"/>
    <w:rsid w:val="007E2BD7"/>
    <w:rsid w:val="007E4411"/>
    <w:rsid w:val="007E552B"/>
    <w:rsid w:val="007F2363"/>
    <w:rsid w:val="007F509D"/>
    <w:rsid w:val="007F53E7"/>
    <w:rsid w:val="007F60E4"/>
    <w:rsid w:val="007F754C"/>
    <w:rsid w:val="0080252B"/>
    <w:rsid w:val="008044E9"/>
    <w:rsid w:val="0080554F"/>
    <w:rsid w:val="00806A06"/>
    <w:rsid w:val="008078ED"/>
    <w:rsid w:val="0081096F"/>
    <w:rsid w:val="00811439"/>
    <w:rsid w:val="00812368"/>
    <w:rsid w:val="008145B1"/>
    <w:rsid w:val="00817537"/>
    <w:rsid w:val="00821253"/>
    <w:rsid w:val="00821BBF"/>
    <w:rsid w:val="008249E9"/>
    <w:rsid w:val="008252E3"/>
    <w:rsid w:val="00826B5D"/>
    <w:rsid w:val="0082710F"/>
    <w:rsid w:val="00830B5D"/>
    <w:rsid w:val="00831010"/>
    <w:rsid w:val="00832848"/>
    <w:rsid w:val="0083295F"/>
    <w:rsid w:val="00833874"/>
    <w:rsid w:val="00837301"/>
    <w:rsid w:val="008376C1"/>
    <w:rsid w:val="008438B8"/>
    <w:rsid w:val="00850029"/>
    <w:rsid w:val="00854FEA"/>
    <w:rsid w:val="00857451"/>
    <w:rsid w:val="00857723"/>
    <w:rsid w:val="00860338"/>
    <w:rsid w:val="008620CE"/>
    <w:rsid w:val="00870187"/>
    <w:rsid w:val="008704B5"/>
    <w:rsid w:val="008726E8"/>
    <w:rsid w:val="00874D04"/>
    <w:rsid w:val="008755BB"/>
    <w:rsid w:val="008757FC"/>
    <w:rsid w:val="008760D2"/>
    <w:rsid w:val="00884982"/>
    <w:rsid w:val="008859F4"/>
    <w:rsid w:val="00885E46"/>
    <w:rsid w:val="00886BEE"/>
    <w:rsid w:val="008870DE"/>
    <w:rsid w:val="00887157"/>
    <w:rsid w:val="008875CE"/>
    <w:rsid w:val="00887651"/>
    <w:rsid w:val="00893663"/>
    <w:rsid w:val="00893AD6"/>
    <w:rsid w:val="00893EF6"/>
    <w:rsid w:val="008A00BA"/>
    <w:rsid w:val="008A29C7"/>
    <w:rsid w:val="008A2C9B"/>
    <w:rsid w:val="008A3957"/>
    <w:rsid w:val="008A577D"/>
    <w:rsid w:val="008A62C6"/>
    <w:rsid w:val="008A6C55"/>
    <w:rsid w:val="008B144E"/>
    <w:rsid w:val="008B3435"/>
    <w:rsid w:val="008B44D6"/>
    <w:rsid w:val="008B7883"/>
    <w:rsid w:val="008B7C30"/>
    <w:rsid w:val="008C35AE"/>
    <w:rsid w:val="008C3A32"/>
    <w:rsid w:val="008C52DF"/>
    <w:rsid w:val="008C640F"/>
    <w:rsid w:val="008C7175"/>
    <w:rsid w:val="008D2CEC"/>
    <w:rsid w:val="008D33C9"/>
    <w:rsid w:val="008D4374"/>
    <w:rsid w:val="008D443B"/>
    <w:rsid w:val="008D57F9"/>
    <w:rsid w:val="008D7003"/>
    <w:rsid w:val="008E142A"/>
    <w:rsid w:val="008E155F"/>
    <w:rsid w:val="008E1F52"/>
    <w:rsid w:val="008E20D3"/>
    <w:rsid w:val="008E336C"/>
    <w:rsid w:val="008E33C5"/>
    <w:rsid w:val="008F227B"/>
    <w:rsid w:val="008F4770"/>
    <w:rsid w:val="008F5334"/>
    <w:rsid w:val="008F5B8E"/>
    <w:rsid w:val="008F5DAB"/>
    <w:rsid w:val="00902321"/>
    <w:rsid w:val="0090492B"/>
    <w:rsid w:val="00905630"/>
    <w:rsid w:val="00905C8A"/>
    <w:rsid w:val="00907456"/>
    <w:rsid w:val="00907DD6"/>
    <w:rsid w:val="00912DCE"/>
    <w:rsid w:val="009136D7"/>
    <w:rsid w:val="00913AB4"/>
    <w:rsid w:val="009143EE"/>
    <w:rsid w:val="00914A6D"/>
    <w:rsid w:val="009172A7"/>
    <w:rsid w:val="00921D03"/>
    <w:rsid w:val="0092475F"/>
    <w:rsid w:val="00924DF4"/>
    <w:rsid w:val="009264F3"/>
    <w:rsid w:val="00927367"/>
    <w:rsid w:val="00934480"/>
    <w:rsid w:val="0094200D"/>
    <w:rsid w:val="0094205D"/>
    <w:rsid w:val="00942520"/>
    <w:rsid w:val="00945E68"/>
    <w:rsid w:val="00947352"/>
    <w:rsid w:val="009475E2"/>
    <w:rsid w:val="0095091C"/>
    <w:rsid w:val="00952A15"/>
    <w:rsid w:val="00952FE3"/>
    <w:rsid w:val="009579E0"/>
    <w:rsid w:val="00957CDE"/>
    <w:rsid w:val="00961504"/>
    <w:rsid w:val="0096202B"/>
    <w:rsid w:val="009653AF"/>
    <w:rsid w:val="00966B35"/>
    <w:rsid w:val="00971951"/>
    <w:rsid w:val="00972166"/>
    <w:rsid w:val="009766FA"/>
    <w:rsid w:val="009804D9"/>
    <w:rsid w:val="0098378B"/>
    <w:rsid w:val="00992D32"/>
    <w:rsid w:val="00993EEC"/>
    <w:rsid w:val="009965BC"/>
    <w:rsid w:val="00996F20"/>
    <w:rsid w:val="00997E59"/>
    <w:rsid w:val="009A0DC7"/>
    <w:rsid w:val="009A284A"/>
    <w:rsid w:val="009A3278"/>
    <w:rsid w:val="009A4460"/>
    <w:rsid w:val="009A7D7D"/>
    <w:rsid w:val="009B003C"/>
    <w:rsid w:val="009B01EC"/>
    <w:rsid w:val="009B0E06"/>
    <w:rsid w:val="009B6592"/>
    <w:rsid w:val="009C1024"/>
    <w:rsid w:val="009C1A46"/>
    <w:rsid w:val="009C1F0E"/>
    <w:rsid w:val="009C46BF"/>
    <w:rsid w:val="009C4E22"/>
    <w:rsid w:val="009C53D4"/>
    <w:rsid w:val="009C59BA"/>
    <w:rsid w:val="009D0AE3"/>
    <w:rsid w:val="009D31D4"/>
    <w:rsid w:val="009D67D2"/>
    <w:rsid w:val="009E378F"/>
    <w:rsid w:val="009F0ED8"/>
    <w:rsid w:val="009F1146"/>
    <w:rsid w:val="009F44FA"/>
    <w:rsid w:val="009F4C67"/>
    <w:rsid w:val="009F6F06"/>
    <w:rsid w:val="00A03969"/>
    <w:rsid w:val="00A06353"/>
    <w:rsid w:val="00A10B98"/>
    <w:rsid w:val="00A11364"/>
    <w:rsid w:val="00A12697"/>
    <w:rsid w:val="00A15D9D"/>
    <w:rsid w:val="00A16008"/>
    <w:rsid w:val="00A2455C"/>
    <w:rsid w:val="00A31147"/>
    <w:rsid w:val="00A3185A"/>
    <w:rsid w:val="00A31A49"/>
    <w:rsid w:val="00A3395A"/>
    <w:rsid w:val="00A34B69"/>
    <w:rsid w:val="00A36907"/>
    <w:rsid w:val="00A41D40"/>
    <w:rsid w:val="00A46528"/>
    <w:rsid w:val="00A5361A"/>
    <w:rsid w:val="00A552DD"/>
    <w:rsid w:val="00A57716"/>
    <w:rsid w:val="00A620AB"/>
    <w:rsid w:val="00A75E0D"/>
    <w:rsid w:val="00A8125A"/>
    <w:rsid w:val="00A81EEC"/>
    <w:rsid w:val="00A82FD1"/>
    <w:rsid w:val="00A8705C"/>
    <w:rsid w:val="00A929B8"/>
    <w:rsid w:val="00A92BAD"/>
    <w:rsid w:val="00A93E12"/>
    <w:rsid w:val="00AA4908"/>
    <w:rsid w:val="00AA5C22"/>
    <w:rsid w:val="00AA5FC6"/>
    <w:rsid w:val="00AA6964"/>
    <w:rsid w:val="00AA704A"/>
    <w:rsid w:val="00AA773A"/>
    <w:rsid w:val="00AB0E58"/>
    <w:rsid w:val="00AB4866"/>
    <w:rsid w:val="00AC39AD"/>
    <w:rsid w:val="00AC66D8"/>
    <w:rsid w:val="00AD042D"/>
    <w:rsid w:val="00AD444A"/>
    <w:rsid w:val="00AE0E80"/>
    <w:rsid w:val="00AE2EFF"/>
    <w:rsid w:val="00AE3367"/>
    <w:rsid w:val="00AF036B"/>
    <w:rsid w:val="00AF47D1"/>
    <w:rsid w:val="00B00141"/>
    <w:rsid w:val="00B03786"/>
    <w:rsid w:val="00B04D3C"/>
    <w:rsid w:val="00B0718E"/>
    <w:rsid w:val="00B07650"/>
    <w:rsid w:val="00B17A4B"/>
    <w:rsid w:val="00B21847"/>
    <w:rsid w:val="00B232BB"/>
    <w:rsid w:val="00B25478"/>
    <w:rsid w:val="00B25A94"/>
    <w:rsid w:val="00B31E1A"/>
    <w:rsid w:val="00B325FC"/>
    <w:rsid w:val="00B34306"/>
    <w:rsid w:val="00B35F80"/>
    <w:rsid w:val="00B43D3A"/>
    <w:rsid w:val="00B45F9E"/>
    <w:rsid w:val="00B47939"/>
    <w:rsid w:val="00B504CA"/>
    <w:rsid w:val="00B50BBF"/>
    <w:rsid w:val="00B53405"/>
    <w:rsid w:val="00B549D9"/>
    <w:rsid w:val="00B54DDE"/>
    <w:rsid w:val="00B54F2A"/>
    <w:rsid w:val="00B60168"/>
    <w:rsid w:val="00B604BF"/>
    <w:rsid w:val="00B623D3"/>
    <w:rsid w:val="00B639B4"/>
    <w:rsid w:val="00B647E7"/>
    <w:rsid w:val="00B709E4"/>
    <w:rsid w:val="00B729BF"/>
    <w:rsid w:val="00B76911"/>
    <w:rsid w:val="00B8006A"/>
    <w:rsid w:val="00B803EF"/>
    <w:rsid w:val="00B83DFB"/>
    <w:rsid w:val="00B875A4"/>
    <w:rsid w:val="00B879B7"/>
    <w:rsid w:val="00B87EFA"/>
    <w:rsid w:val="00B96D45"/>
    <w:rsid w:val="00BA3CE1"/>
    <w:rsid w:val="00BB2D22"/>
    <w:rsid w:val="00BC1316"/>
    <w:rsid w:val="00BC193D"/>
    <w:rsid w:val="00BC3E66"/>
    <w:rsid w:val="00BD0179"/>
    <w:rsid w:val="00BD0E40"/>
    <w:rsid w:val="00BD48E4"/>
    <w:rsid w:val="00BD57FB"/>
    <w:rsid w:val="00BD68E3"/>
    <w:rsid w:val="00BE0191"/>
    <w:rsid w:val="00BE258D"/>
    <w:rsid w:val="00BE5344"/>
    <w:rsid w:val="00BF158F"/>
    <w:rsid w:val="00BF19DF"/>
    <w:rsid w:val="00BF1FAA"/>
    <w:rsid w:val="00BF2284"/>
    <w:rsid w:val="00BF29E8"/>
    <w:rsid w:val="00BF2EDE"/>
    <w:rsid w:val="00C00921"/>
    <w:rsid w:val="00C05661"/>
    <w:rsid w:val="00C122DE"/>
    <w:rsid w:val="00C15916"/>
    <w:rsid w:val="00C15927"/>
    <w:rsid w:val="00C17C6C"/>
    <w:rsid w:val="00C244FD"/>
    <w:rsid w:val="00C249CD"/>
    <w:rsid w:val="00C25612"/>
    <w:rsid w:val="00C34B31"/>
    <w:rsid w:val="00C34B4F"/>
    <w:rsid w:val="00C37BB5"/>
    <w:rsid w:val="00C4076F"/>
    <w:rsid w:val="00C41363"/>
    <w:rsid w:val="00C42CBD"/>
    <w:rsid w:val="00C5145B"/>
    <w:rsid w:val="00C5451B"/>
    <w:rsid w:val="00C55F6D"/>
    <w:rsid w:val="00C56F85"/>
    <w:rsid w:val="00C57233"/>
    <w:rsid w:val="00C6063E"/>
    <w:rsid w:val="00C61019"/>
    <w:rsid w:val="00C62199"/>
    <w:rsid w:val="00C63375"/>
    <w:rsid w:val="00C648DE"/>
    <w:rsid w:val="00C65803"/>
    <w:rsid w:val="00C662C4"/>
    <w:rsid w:val="00C6644B"/>
    <w:rsid w:val="00C66E46"/>
    <w:rsid w:val="00C7028B"/>
    <w:rsid w:val="00C7040C"/>
    <w:rsid w:val="00C71E98"/>
    <w:rsid w:val="00C733E6"/>
    <w:rsid w:val="00C736EA"/>
    <w:rsid w:val="00C75AD7"/>
    <w:rsid w:val="00C830F5"/>
    <w:rsid w:val="00C85BF6"/>
    <w:rsid w:val="00C8733D"/>
    <w:rsid w:val="00C904F2"/>
    <w:rsid w:val="00C91AD9"/>
    <w:rsid w:val="00C94828"/>
    <w:rsid w:val="00C949B5"/>
    <w:rsid w:val="00C95B63"/>
    <w:rsid w:val="00CA157D"/>
    <w:rsid w:val="00CA3488"/>
    <w:rsid w:val="00CA3A3F"/>
    <w:rsid w:val="00CA4923"/>
    <w:rsid w:val="00CB7AFF"/>
    <w:rsid w:val="00CC0707"/>
    <w:rsid w:val="00CC0D07"/>
    <w:rsid w:val="00CD111E"/>
    <w:rsid w:val="00CD1A01"/>
    <w:rsid w:val="00CD2649"/>
    <w:rsid w:val="00CD3894"/>
    <w:rsid w:val="00CD4B21"/>
    <w:rsid w:val="00CD72CA"/>
    <w:rsid w:val="00CE21D5"/>
    <w:rsid w:val="00CE2569"/>
    <w:rsid w:val="00CE48B2"/>
    <w:rsid w:val="00CE48BB"/>
    <w:rsid w:val="00CF0992"/>
    <w:rsid w:val="00CF3509"/>
    <w:rsid w:val="00CF42D9"/>
    <w:rsid w:val="00CF681B"/>
    <w:rsid w:val="00CF71E0"/>
    <w:rsid w:val="00D005BE"/>
    <w:rsid w:val="00D06330"/>
    <w:rsid w:val="00D20AF5"/>
    <w:rsid w:val="00D23EAB"/>
    <w:rsid w:val="00D25808"/>
    <w:rsid w:val="00D3466C"/>
    <w:rsid w:val="00D359A2"/>
    <w:rsid w:val="00D37DAA"/>
    <w:rsid w:val="00D4279D"/>
    <w:rsid w:val="00D43017"/>
    <w:rsid w:val="00D4661B"/>
    <w:rsid w:val="00D51BE9"/>
    <w:rsid w:val="00D5659E"/>
    <w:rsid w:val="00D56B9C"/>
    <w:rsid w:val="00D57846"/>
    <w:rsid w:val="00D5792F"/>
    <w:rsid w:val="00D602AB"/>
    <w:rsid w:val="00D66A90"/>
    <w:rsid w:val="00D671AB"/>
    <w:rsid w:val="00D7231D"/>
    <w:rsid w:val="00D72DEB"/>
    <w:rsid w:val="00D72F51"/>
    <w:rsid w:val="00D761DF"/>
    <w:rsid w:val="00D849FD"/>
    <w:rsid w:val="00D874AC"/>
    <w:rsid w:val="00D87569"/>
    <w:rsid w:val="00D87D06"/>
    <w:rsid w:val="00D90B7E"/>
    <w:rsid w:val="00D92306"/>
    <w:rsid w:val="00D94D7F"/>
    <w:rsid w:val="00D950FD"/>
    <w:rsid w:val="00DA05F6"/>
    <w:rsid w:val="00DA3BEF"/>
    <w:rsid w:val="00DA4896"/>
    <w:rsid w:val="00DA59AE"/>
    <w:rsid w:val="00DA5BB3"/>
    <w:rsid w:val="00DA6482"/>
    <w:rsid w:val="00DA6AB0"/>
    <w:rsid w:val="00DB276F"/>
    <w:rsid w:val="00DB421F"/>
    <w:rsid w:val="00DC1CDD"/>
    <w:rsid w:val="00DC2AE3"/>
    <w:rsid w:val="00DC32CE"/>
    <w:rsid w:val="00DC50F1"/>
    <w:rsid w:val="00DC64AB"/>
    <w:rsid w:val="00DD392B"/>
    <w:rsid w:val="00DD420D"/>
    <w:rsid w:val="00DE4176"/>
    <w:rsid w:val="00DE53A5"/>
    <w:rsid w:val="00DE7C2F"/>
    <w:rsid w:val="00E015FF"/>
    <w:rsid w:val="00E03F52"/>
    <w:rsid w:val="00E03FFB"/>
    <w:rsid w:val="00E109A7"/>
    <w:rsid w:val="00E10A5B"/>
    <w:rsid w:val="00E12EE8"/>
    <w:rsid w:val="00E203D1"/>
    <w:rsid w:val="00E253EF"/>
    <w:rsid w:val="00E26C0C"/>
    <w:rsid w:val="00E26DEA"/>
    <w:rsid w:val="00E30555"/>
    <w:rsid w:val="00E3097F"/>
    <w:rsid w:val="00E31D8F"/>
    <w:rsid w:val="00E3290C"/>
    <w:rsid w:val="00E33998"/>
    <w:rsid w:val="00E347AB"/>
    <w:rsid w:val="00E35FAC"/>
    <w:rsid w:val="00E4362E"/>
    <w:rsid w:val="00E44C33"/>
    <w:rsid w:val="00E453DA"/>
    <w:rsid w:val="00E53192"/>
    <w:rsid w:val="00E54CD1"/>
    <w:rsid w:val="00E6021F"/>
    <w:rsid w:val="00E604A4"/>
    <w:rsid w:val="00E63473"/>
    <w:rsid w:val="00E637EF"/>
    <w:rsid w:val="00E63A36"/>
    <w:rsid w:val="00E64E27"/>
    <w:rsid w:val="00E65478"/>
    <w:rsid w:val="00E65651"/>
    <w:rsid w:val="00E65AAE"/>
    <w:rsid w:val="00E664CD"/>
    <w:rsid w:val="00E67928"/>
    <w:rsid w:val="00E70596"/>
    <w:rsid w:val="00E7074D"/>
    <w:rsid w:val="00E74B58"/>
    <w:rsid w:val="00E75994"/>
    <w:rsid w:val="00E80124"/>
    <w:rsid w:val="00E82FCB"/>
    <w:rsid w:val="00E8303B"/>
    <w:rsid w:val="00E84C7A"/>
    <w:rsid w:val="00E84DF3"/>
    <w:rsid w:val="00E869CE"/>
    <w:rsid w:val="00E86C7E"/>
    <w:rsid w:val="00E86F2A"/>
    <w:rsid w:val="00E92C3C"/>
    <w:rsid w:val="00E93A3F"/>
    <w:rsid w:val="00E9406A"/>
    <w:rsid w:val="00E95595"/>
    <w:rsid w:val="00E977E6"/>
    <w:rsid w:val="00EA1BBF"/>
    <w:rsid w:val="00EA3F6F"/>
    <w:rsid w:val="00EA44B2"/>
    <w:rsid w:val="00EA7A4E"/>
    <w:rsid w:val="00EB0049"/>
    <w:rsid w:val="00EB14D7"/>
    <w:rsid w:val="00EB66C9"/>
    <w:rsid w:val="00EB6A4A"/>
    <w:rsid w:val="00EB6D83"/>
    <w:rsid w:val="00EC1F95"/>
    <w:rsid w:val="00EC461D"/>
    <w:rsid w:val="00EC527B"/>
    <w:rsid w:val="00EC68FB"/>
    <w:rsid w:val="00ED1426"/>
    <w:rsid w:val="00ED2305"/>
    <w:rsid w:val="00ED2E7D"/>
    <w:rsid w:val="00ED6648"/>
    <w:rsid w:val="00ED7B9A"/>
    <w:rsid w:val="00EE108C"/>
    <w:rsid w:val="00EE194D"/>
    <w:rsid w:val="00EE2E79"/>
    <w:rsid w:val="00EE4130"/>
    <w:rsid w:val="00EE6B30"/>
    <w:rsid w:val="00EE759F"/>
    <w:rsid w:val="00EF35D9"/>
    <w:rsid w:val="00EF6BB4"/>
    <w:rsid w:val="00EF6BF3"/>
    <w:rsid w:val="00F03BFA"/>
    <w:rsid w:val="00F20DAA"/>
    <w:rsid w:val="00F22320"/>
    <w:rsid w:val="00F246AE"/>
    <w:rsid w:val="00F27475"/>
    <w:rsid w:val="00F31084"/>
    <w:rsid w:val="00F34C66"/>
    <w:rsid w:val="00F403FF"/>
    <w:rsid w:val="00F412D5"/>
    <w:rsid w:val="00F4486B"/>
    <w:rsid w:val="00F47757"/>
    <w:rsid w:val="00F500BC"/>
    <w:rsid w:val="00F533A1"/>
    <w:rsid w:val="00F53E02"/>
    <w:rsid w:val="00F56C18"/>
    <w:rsid w:val="00F62652"/>
    <w:rsid w:val="00F62CB1"/>
    <w:rsid w:val="00F6462B"/>
    <w:rsid w:val="00F65F39"/>
    <w:rsid w:val="00F70BB8"/>
    <w:rsid w:val="00F715FB"/>
    <w:rsid w:val="00F71674"/>
    <w:rsid w:val="00F72A80"/>
    <w:rsid w:val="00F73838"/>
    <w:rsid w:val="00F74126"/>
    <w:rsid w:val="00F77035"/>
    <w:rsid w:val="00F77095"/>
    <w:rsid w:val="00F8191C"/>
    <w:rsid w:val="00F8265A"/>
    <w:rsid w:val="00F83FD6"/>
    <w:rsid w:val="00F852FD"/>
    <w:rsid w:val="00F870AC"/>
    <w:rsid w:val="00F943BE"/>
    <w:rsid w:val="00F96475"/>
    <w:rsid w:val="00FA5087"/>
    <w:rsid w:val="00FA51B8"/>
    <w:rsid w:val="00FA5526"/>
    <w:rsid w:val="00FA5843"/>
    <w:rsid w:val="00FA5F13"/>
    <w:rsid w:val="00FB372D"/>
    <w:rsid w:val="00FB3AD0"/>
    <w:rsid w:val="00FB5DE7"/>
    <w:rsid w:val="00FC094C"/>
    <w:rsid w:val="00FC0AA5"/>
    <w:rsid w:val="00FC1EB5"/>
    <w:rsid w:val="00FC1F27"/>
    <w:rsid w:val="00FC3F3E"/>
    <w:rsid w:val="00FC4A2F"/>
    <w:rsid w:val="00FC54EA"/>
    <w:rsid w:val="00FC6091"/>
    <w:rsid w:val="00FC6488"/>
    <w:rsid w:val="00FD21AF"/>
    <w:rsid w:val="00FD237E"/>
    <w:rsid w:val="00FD5B6A"/>
    <w:rsid w:val="00FD5D87"/>
    <w:rsid w:val="00FD6A82"/>
    <w:rsid w:val="00FE48BB"/>
    <w:rsid w:val="00FE492A"/>
    <w:rsid w:val="00FE6AEE"/>
    <w:rsid w:val="00FE6F2A"/>
    <w:rsid w:val="00FE79B6"/>
    <w:rsid w:val="00FF2DA3"/>
    <w:rsid w:val="6902673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beforeLines="60" w:line="312" w:lineRule="auto"/>
      <w:jc w:val="both"/>
    </w:pPr>
    <w:rPr>
      <w:rFonts w:ascii="Arial" w:hAnsi="Arial" w:eastAsia="宋体" w:cs="Times New Roman"/>
      <w:kern w:val="2"/>
      <w:sz w:val="24"/>
      <w:szCs w:val="22"/>
      <w:lang w:val="en-US" w:eastAsia="zh-CN" w:bidi="ar-SA"/>
    </w:rPr>
  </w:style>
  <w:style w:type="paragraph" w:styleId="2">
    <w:name w:val="heading 1"/>
    <w:basedOn w:val="1"/>
    <w:link w:val="20"/>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List Bulle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4">
    <w:name w:val="annotation text"/>
    <w:basedOn w:val="1"/>
    <w:link w:val="26"/>
    <w:semiHidden/>
    <w:uiPriority w:val="99"/>
    <w:pPr>
      <w:widowControl/>
      <w:spacing w:after="200"/>
      <w:jc w:val="left"/>
    </w:pPr>
    <w:rPr>
      <w:kern w:val="0"/>
      <w:sz w:val="20"/>
      <w:szCs w:val="20"/>
      <w:lang w:eastAsia="en-US"/>
    </w:rPr>
  </w:style>
  <w:style w:type="paragraph" w:styleId="5">
    <w:name w:val="Date"/>
    <w:basedOn w:val="1"/>
    <w:next w:val="1"/>
    <w:link w:val="24"/>
    <w:qFormat/>
    <w:uiPriority w:val="99"/>
    <w:pPr>
      <w:ind w:left="100" w:leftChars="2500"/>
    </w:pPr>
  </w:style>
  <w:style w:type="paragraph" w:styleId="6">
    <w:name w:val="Balloon Text"/>
    <w:basedOn w:val="1"/>
    <w:link w:val="27"/>
    <w:semiHidden/>
    <w:qFormat/>
    <w:uiPriority w:val="99"/>
    <w:rPr>
      <w:sz w:val="18"/>
      <w:szCs w:val="18"/>
    </w:rPr>
  </w:style>
  <w:style w:type="paragraph" w:styleId="7">
    <w:name w:val="footer"/>
    <w:basedOn w:val="1"/>
    <w:link w:val="23"/>
    <w:uiPriority w:val="99"/>
    <w:pPr>
      <w:tabs>
        <w:tab w:val="center" w:pos="4153"/>
        <w:tab w:val="right" w:pos="8306"/>
      </w:tabs>
      <w:jc w:val="left"/>
    </w:pPr>
    <w:rPr>
      <w:sz w:val="18"/>
      <w:szCs w:val="18"/>
    </w:rPr>
  </w:style>
  <w:style w:type="paragraph" w:styleId="8">
    <w:name w:val="header"/>
    <w:basedOn w:val="1"/>
    <w:link w:val="22"/>
    <w:qFormat/>
    <w:uiPriority w:val="99"/>
    <w:pPr>
      <w:pBdr>
        <w:bottom w:val="single" w:color="auto" w:sz="6" w:space="1"/>
      </w:pBdr>
      <w:tabs>
        <w:tab w:val="center" w:pos="4153"/>
        <w:tab w:val="right" w:pos="8306"/>
      </w:tabs>
      <w:jc w:val="center"/>
    </w:pPr>
    <w:rPr>
      <w:sz w:val="18"/>
      <w:szCs w:val="18"/>
    </w:rPr>
  </w:style>
  <w:style w:type="paragraph" w:styleId="9">
    <w:name w:val="Subtitle"/>
    <w:basedOn w:val="1"/>
    <w:next w:val="1"/>
    <w:link w:val="30"/>
    <w:qFormat/>
    <w:locked/>
    <w:uiPriority w:val="0"/>
    <w:pPr>
      <w:spacing w:before="50" w:beforeLines="50" w:line="300" w:lineRule="auto"/>
      <w:outlineLvl w:val="1"/>
    </w:pPr>
    <w:rPr>
      <w:rFonts w:cstheme="majorBidi"/>
      <w:b/>
      <w:bCs/>
      <w:kern w:val="28"/>
      <w:szCs w:val="32"/>
    </w:rPr>
  </w:style>
  <w:style w:type="paragraph" w:styleId="10">
    <w:name w:val="footnote text"/>
    <w:basedOn w:val="1"/>
    <w:link w:val="31"/>
    <w:semiHidden/>
    <w:unhideWhenUsed/>
    <w:uiPriority w:val="99"/>
    <w:pPr>
      <w:jc w:val="left"/>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Cs w:val="24"/>
    </w:rPr>
  </w:style>
  <w:style w:type="table" w:styleId="13">
    <w:name w:val="Table Grid"/>
    <w:basedOn w:val="12"/>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rFonts w:cs="Times New Roman"/>
      <w:b/>
      <w:bCs/>
    </w:rPr>
  </w:style>
  <w:style w:type="character" w:styleId="16">
    <w:name w:val="Emphasis"/>
    <w:basedOn w:val="14"/>
    <w:qFormat/>
    <w:locked/>
    <w:uiPriority w:val="20"/>
    <w:rPr>
      <w:rFonts w:cs="Times New Roman"/>
      <w:i/>
      <w:iCs/>
    </w:rPr>
  </w:style>
  <w:style w:type="character" w:styleId="17">
    <w:name w:val="Hyperlink"/>
    <w:basedOn w:val="14"/>
    <w:qFormat/>
    <w:uiPriority w:val="99"/>
    <w:rPr>
      <w:rFonts w:cs="Times New Roman"/>
      <w:color w:val="0000FF"/>
      <w:u w:val="single"/>
    </w:rPr>
  </w:style>
  <w:style w:type="character" w:styleId="18">
    <w:name w:val="annotation reference"/>
    <w:basedOn w:val="14"/>
    <w:semiHidden/>
    <w:uiPriority w:val="99"/>
    <w:rPr>
      <w:rFonts w:cs="Times New Roman"/>
      <w:sz w:val="16"/>
      <w:szCs w:val="16"/>
    </w:rPr>
  </w:style>
  <w:style w:type="character" w:styleId="19">
    <w:name w:val="footnote reference"/>
    <w:basedOn w:val="14"/>
    <w:semiHidden/>
    <w:unhideWhenUsed/>
    <w:uiPriority w:val="99"/>
    <w:rPr>
      <w:vertAlign w:val="superscript"/>
    </w:rPr>
  </w:style>
  <w:style w:type="character" w:customStyle="1" w:styleId="20">
    <w:name w:val="标题 1 Char"/>
    <w:basedOn w:val="14"/>
    <w:link w:val="2"/>
    <w:locked/>
    <w:uiPriority w:val="99"/>
    <w:rPr>
      <w:rFonts w:ascii="宋体" w:eastAsia="宋体" w:cs="宋体"/>
      <w:b/>
      <w:bCs/>
      <w:kern w:val="36"/>
      <w:sz w:val="48"/>
      <w:szCs w:val="48"/>
    </w:rPr>
  </w:style>
  <w:style w:type="character" w:customStyle="1" w:styleId="21">
    <w:name w:val="apple-converted-space"/>
    <w:basedOn w:val="14"/>
    <w:uiPriority w:val="0"/>
    <w:rPr>
      <w:rFonts w:cs="Times New Roman"/>
    </w:rPr>
  </w:style>
  <w:style w:type="character" w:customStyle="1" w:styleId="22">
    <w:name w:val="页眉 Char"/>
    <w:basedOn w:val="14"/>
    <w:link w:val="8"/>
    <w:locked/>
    <w:uiPriority w:val="99"/>
    <w:rPr>
      <w:rFonts w:cs="Times New Roman"/>
      <w:sz w:val="18"/>
      <w:szCs w:val="18"/>
    </w:rPr>
  </w:style>
  <w:style w:type="character" w:customStyle="1" w:styleId="23">
    <w:name w:val="页脚 Char"/>
    <w:basedOn w:val="14"/>
    <w:link w:val="7"/>
    <w:qFormat/>
    <w:locked/>
    <w:uiPriority w:val="99"/>
    <w:rPr>
      <w:rFonts w:cs="Times New Roman"/>
      <w:sz w:val="18"/>
      <w:szCs w:val="18"/>
    </w:rPr>
  </w:style>
  <w:style w:type="character" w:customStyle="1" w:styleId="24">
    <w:name w:val="日期 Char"/>
    <w:basedOn w:val="14"/>
    <w:link w:val="5"/>
    <w:semiHidden/>
    <w:qFormat/>
    <w:locked/>
    <w:uiPriority w:val="99"/>
    <w:rPr>
      <w:rFonts w:cs="Times New Roman"/>
    </w:rPr>
  </w:style>
  <w:style w:type="paragraph" w:customStyle="1" w:styleId="25">
    <w:name w:val="op_sp_fanyi_line_two"/>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26">
    <w:name w:val="批注文字 Char"/>
    <w:basedOn w:val="14"/>
    <w:link w:val="4"/>
    <w:semiHidden/>
    <w:locked/>
    <w:uiPriority w:val="99"/>
    <w:rPr>
      <w:rFonts w:ascii="Calibri" w:hAnsi="Calibri" w:eastAsia="宋体" w:cs="Times New Roman"/>
      <w:lang w:val="en-US" w:eastAsia="en-US" w:bidi="ar-SA"/>
    </w:rPr>
  </w:style>
  <w:style w:type="character" w:customStyle="1" w:styleId="27">
    <w:name w:val="批注框文本 Char"/>
    <w:basedOn w:val="14"/>
    <w:link w:val="6"/>
    <w:semiHidden/>
    <w:qFormat/>
    <w:locked/>
    <w:uiPriority w:val="99"/>
    <w:rPr>
      <w:rFonts w:cs="Times New Roman"/>
      <w:sz w:val="2"/>
    </w:rPr>
  </w:style>
  <w:style w:type="paragraph" w:customStyle="1" w:styleId="28">
    <w:name w:val="HeaderText"/>
    <w:qFormat/>
    <w:uiPriority w:val="0"/>
    <w:pPr>
      <w:keepLines/>
    </w:pPr>
    <w:rPr>
      <w:rFonts w:ascii="Times New Roman" w:hAnsi="Times New Roman" w:eastAsia="MS Mincho" w:cs="Times New Roman"/>
      <w:lang w:val="en-US" w:eastAsia="ja-JP" w:bidi="ar-SA"/>
    </w:rPr>
  </w:style>
  <w:style w:type="paragraph" w:customStyle="1" w:styleId="29">
    <w:name w:val="References"/>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 w:type="character" w:customStyle="1" w:styleId="30">
    <w:name w:val="副标题 Char"/>
    <w:basedOn w:val="14"/>
    <w:link w:val="9"/>
    <w:uiPriority w:val="0"/>
    <w:rPr>
      <w:rFonts w:ascii="Arial" w:hAnsi="Arial" w:cstheme="majorBidi"/>
      <w:b/>
      <w:bCs/>
      <w:kern w:val="28"/>
      <w:sz w:val="24"/>
      <w:szCs w:val="32"/>
    </w:rPr>
  </w:style>
  <w:style w:type="character" w:customStyle="1" w:styleId="31">
    <w:name w:val="脚注文本 Char"/>
    <w:basedOn w:val="14"/>
    <w:link w:val="10"/>
    <w:semiHidden/>
    <w:qFormat/>
    <w:uiPriority w:val="99"/>
    <w:rPr>
      <w:rFonts w:ascii="Arial" w:hAnsi="Arial"/>
      <w:kern w:val="2"/>
      <w:sz w:val="18"/>
      <w:szCs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D04470-EA54-4968-9A71-7071FD8D06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4809</Words>
  <Characters>6614</Characters>
  <Lines>50</Lines>
  <Paragraphs>14</Paragraphs>
  <TotalTime>1</TotalTime>
  <ScaleCrop>false</ScaleCrop>
  <LinksUpToDate>false</LinksUpToDate>
  <CharactersWithSpaces>6875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2017-04-06T11:21:00Z</dcterms:created>
  <dc:creator>hj</dc:creator>
  <cp:lastModifiedBy>太极箫客</cp:lastModifiedBy>
  <dcterms:modified xsi:type="dcterms:W3CDTF">2025-08-14T08:04:13Z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3AF1D7976DBB4626A34836CA06D00061_12</vt:lpwstr>
  </property>
</Properties>
</file>