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32FA">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bookmarkStart w:id="41" w:name="_GoBack"/>
      <w:bookmarkEnd w:id="41"/>
      <w:r>
        <w:rPr>
          <w:rFonts w:ascii="Times New Roman" w:hAnsi="Times New Roman" w:eastAsia="宋体" w:cs="宋体"/>
          <w:b/>
          <w:sz w:val="44"/>
          <w:lang w:eastAsia="zh-CN"/>
        </w:rPr>
        <w:t>非处方用自我监测血糖测试系统</w:t>
      </w:r>
    </w:p>
    <w:p w14:paraId="0B456A54">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行业和美国食品药品管理</w:t>
      </w:r>
      <w:r>
        <w:rPr>
          <w:rFonts w:hint="eastAsia" w:ascii="Times New Roman" w:hAnsi="Times New Roman" w:eastAsia="宋体" w:cs="宋体"/>
          <w:b/>
          <w:sz w:val="44"/>
          <w:lang w:eastAsia="zh-CN"/>
        </w:rPr>
        <w:t>监督</w:t>
      </w:r>
      <w:r>
        <w:rPr>
          <w:rFonts w:ascii="Times New Roman" w:hAnsi="Times New Roman" w:eastAsia="宋体" w:cs="宋体"/>
          <w:b/>
          <w:sz w:val="44"/>
          <w:lang w:eastAsia="zh-CN"/>
        </w:rPr>
        <w:t>局工作人员指南</w:t>
      </w:r>
    </w:p>
    <w:p w14:paraId="010CD343">
      <w:pPr>
        <w:adjustRightInd w:val="0"/>
        <w:snapToGrid w:val="0"/>
        <w:spacing w:before="120" w:beforeLines="50" w:line="300" w:lineRule="auto"/>
        <w:jc w:val="both"/>
        <w:rPr>
          <w:rFonts w:ascii="Times New Roman" w:hAnsi="Times New Roman" w:eastAsia="宋体" w:cs="Times New Roman"/>
          <w:b/>
          <w:bCs/>
          <w:snapToGrid w:val="0"/>
          <w:sz w:val="24"/>
          <w:szCs w:val="24"/>
          <w:lang w:eastAsia="zh-CN"/>
        </w:rPr>
      </w:pPr>
    </w:p>
    <w:p w14:paraId="64117466">
      <w:pPr>
        <w:adjustRightInd w:val="0"/>
        <w:snapToGrid w:val="0"/>
        <w:spacing w:before="120" w:beforeLines="50" w:line="300" w:lineRule="auto"/>
        <w:jc w:val="both"/>
        <w:rPr>
          <w:rFonts w:ascii="Times New Roman" w:hAnsi="Times New Roman" w:eastAsia="宋体" w:cs="Times New Roman"/>
          <w:b/>
          <w:bCs/>
          <w:snapToGrid w:val="0"/>
          <w:sz w:val="24"/>
          <w:szCs w:val="24"/>
          <w:lang w:eastAsia="zh-CN"/>
        </w:rPr>
      </w:pPr>
    </w:p>
    <w:p w14:paraId="0CAB5CB4">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发布日期：2020年9月29日</w:t>
      </w:r>
    </w:p>
    <w:p w14:paraId="251016B2">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文件草案发布日期：2018年11月30日</w:t>
      </w:r>
    </w:p>
    <w:p w14:paraId="75437211">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本指南取代2016年10月11日发布的《非处方用自我监测血糖测试系统：行业和美国食品药品</w:t>
      </w:r>
      <w:r>
        <w:rPr>
          <w:rFonts w:hint="eastAsia" w:ascii="Times New Roman" w:hAnsi="Times New Roman" w:eastAsia="宋体" w:cs="宋体"/>
          <w:b/>
          <w:sz w:val="24"/>
          <w:lang w:eastAsia="zh-CN"/>
        </w:rPr>
        <w:t>监督</w:t>
      </w:r>
      <w:r>
        <w:rPr>
          <w:rFonts w:ascii="Times New Roman" w:hAnsi="Times New Roman" w:eastAsia="宋体" w:cs="宋体"/>
          <w:b/>
          <w:sz w:val="24"/>
          <w:lang w:eastAsia="zh-CN"/>
        </w:rPr>
        <w:t>管理局工作人员指南》。</w:t>
      </w:r>
    </w:p>
    <w:p w14:paraId="377BFA5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A40120F">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r>
        <w:rPr>
          <w:rFonts w:ascii="Times New Roman" w:hAnsi="Times New Roman" w:eastAsia="宋体" w:cs="宋体"/>
          <w:sz w:val="24"/>
          <w:lang w:eastAsia="zh-CN"/>
        </w:rPr>
        <w:t>如对本文件有任何疑问，请联系Leslie Landree，发送电子邮件至</w:t>
      </w:r>
      <w:r>
        <w:fldChar w:fldCharType="begin"/>
      </w:r>
      <w:r>
        <w:rPr>
          <w:lang w:eastAsia="zh-CN"/>
        </w:rPr>
        <w:instrText xml:space="preserve"> HYPERLINK "mailto:leslie.landree@fda.hhs.gov" \h </w:instrText>
      </w:r>
      <w:r>
        <w:fldChar w:fldCharType="separate"/>
      </w:r>
      <w:r>
        <w:rPr>
          <w:rFonts w:ascii="Times New Roman" w:hAnsi="Times New Roman" w:eastAsia="宋体" w:cs="宋体"/>
          <w:snapToGrid w:val="0"/>
          <w:color w:val="0000FF"/>
          <w:sz w:val="24"/>
          <w:szCs w:val="24"/>
          <w:u w:val="single" w:color="0000FF"/>
          <w:lang w:eastAsia="zh-CN"/>
        </w:rPr>
        <w:t>leslie.landree@fda.hhs.gov</w:t>
      </w:r>
      <w:r>
        <w:rPr>
          <w:rFonts w:ascii="宋体" w:hAnsi="宋体" w:eastAsia="宋体" w:cs="宋体"/>
          <w:snapToGrid w:val="0"/>
          <w:color w:val="0000FF"/>
          <w:sz w:val="24"/>
          <w:szCs w:val="24"/>
          <w:u w:val="single" w:color="0000FF"/>
        </w:rPr>
        <w:fldChar w:fldCharType="end"/>
      </w:r>
      <w:r>
        <w:rPr>
          <w:rFonts w:ascii="Times New Roman" w:hAnsi="Times New Roman" w:eastAsia="宋体" w:cs="宋体"/>
          <w:color w:val="000000"/>
          <w:sz w:val="24"/>
          <w:lang w:eastAsia="zh-CN"/>
        </w:rPr>
        <w:t>，或拨打电话：301-796-6147。</w:t>
      </w:r>
    </w:p>
    <w:p w14:paraId="7701883C">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p>
    <w:p w14:paraId="10D46E3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6377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0961185">
            <w:pPr>
              <w:adjustRightInd w:val="0"/>
              <w:snapToGrid w:val="0"/>
              <w:spacing w:line="300" w:lineRule="auto"/>
              <w:jc w:val="both"/>
              <w:rPr>
                <w:rFonts w:ascii="Times New Roman" w:hAnsi="Times New Roman" w:cs="Times New Roman"/>
                <w:snapToGrid w:val="0"/>
                <w:sz w:val="21"/>
                <w:szCs w:val="21"/>
                <w:lang w:eastAsia="zh-CN"/>
              </w:rPr>
            </w:pPr>
            <w:r>
              <w:rPr>
                <w:rFonts w:ascii="宋体" w:hAnsi="宋体" w:eastAsia="宋体" w:cs="宋体"/>
                <w:sz w:val="21"/>
                <w:lang w:eastAsia="zh-CN"/>
              </w:rPr>
              <w:drawing>
                <wp:inline distT="0" distB="0" distL="0" distR="0">
                  <wp:extent cx="2571115" cy="71374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71429" cy="714286"/>
                          </a:xfrm>
                          <a:prstGeom prst="rect">
                            <a:avLst/>
                          </a:prstGeom>
                        </pic:spPr>
                      </pic:pic>
                    </a:graphicData>
                  </a:graphic>
                </wp:inline>
              </w:drawing>
            </w:r>
          </w:p>
        </w:tc>
        <w:tc>
          <w:tcPr>
            <w:tcW w:w="4644" w:type="dxa"/>
          </w:tcPr>
          <w:p w14:paraId="582B02B7">
            <w:pPr>
              <w:pStyle w:val="4"/>
              <w:adjustRightInd w:val="0"/>
              <w:snapToGrid w:val="0"/>
              <w:spacing w:line="300" w:lineRule="auto"/>
              <w:ind w:left="0" w:firstLine="0"/>
              <w:jc w:val="right"/>
              <w:rPr>
                <w:rFonts w:eastAsia="宋体" w:cs="Times New Roman"/>
                <w:b w:val="0"/>
                <w:bCs w:val="0"/>
                <w:snapToGrid w:val="0"/>
                <w:sz w:val="21"/>
                <w:szCs w:val="21"/>
                <w:lang w:eastAsia="zh-CN"/>
              </w:rPr>
            </w:pPr>
            <w:r>
              <w:rPr>
                <w:rFonts w:eastAsia="宋体" w:cs="宋体"/>
                <w:sz w:val="21"/>
                <w:lang w:eastAsia="zh-CN"/>
              </w:rPr>
              <w:t>美国卫生与</w:t>
            </w:r>
            <w:r>
              <w:rPr>
                <w:rFonts w:hint="eastAsia" w:eastAsia="宋体" w:cs="宋体"/>
                <w:sz w:val="21"/>
                <w:lang w:eastAsia="zh-CN"/>
              </w:rPr>
              <w:t>公众</w:t>
            </w:r>
            <w:r>
              <w:rPr>
                <w:rFonts w:eastAsia="宋体" w:cs="宋体"/>
                <w:sz w:val="21"/>
                <w:lang w:eastAsia="zh-CN"/>
              </w:rPr>
              <w:t>服务部</w:t>
            </w:r>
          </w:p>
          <w:p w14:paraId="051419CD">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w:t>
            </w:r>
            <w:r>
              <w:rPr>
                <w:rFonts w:hint="eastAsia" w:ascii="Times New Roman" w:hAnsi="Times New Roman" w:eastAsia="宋体" w:cs="宋体"/>
                <w:b/>
                <w:sz w:val="21"/>
                <w:lang w:eastAsia="zh-CN"/>
              </w:rPr>
              <w:t>监督</w:t>
            </w:r>
            <w:r>
              <w:rPr>
                <w:rFonts w:ascii="Times New Roman" w:hAnsi="Times New Roman" w:eastAsia="宋体" w:cs="宋体"/>
                <w:b/>
                <w:sz w:val="21"/>
                <w:lang w:eastAsia="zh-CN"/>
              </w:rPr>
              <w:t>管理局</w:t>
            </w:r>
          </w:p>
          <w:p w14:paraId="6F2E6F7D">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tc>
      </w:tr>
    </w:tbl>
    <w:p w14:paraId="0CC1D23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2AA78FA">
      <w:pPr>
        <w:rPr>
          <w:rFonts w:ascii="Times New Roman" w:hAnsi="Times New Roman" w:eastAsia="宋体" w:cs="Times New Roman"/>
          <w:snapToGrid w:val="0"/>
          <w:sz w:val="24"/>
          <w:szCs w:val="24"/>
          <w:lang w:eastAsia="zh-CN"/>
        </w:rPr>
        <w:sectPr>
          <w:pgSz w:w="11907" w:h="16839"/>
          <w:pgMar w:top="1418" w:right="1418" w:bottom="1418" w:left="1418" w:header="720" w:footer="720" w:gutter="0"/>
          <w:cols w:space="720" w:num="1"/>
          <w:docGrid w:linePitch="299" w:charSpace="0"/>
        </w:sectPr>
      </w:pPr>
      <w:r>
        <w:rPr>
          <w:rFonts w:ascii="Times New Roman" w:hAnsi="Times New Roman" w:eastAsia="宋体" w:cs="宋体"/>
          <w:sz w:val="24"/>
          <w:lang w:eastAsia="zh-CN"/>
        </w:rPr>
        <w:br w:type="page"/>
      </w:r>
    </w:p>
    <w:p w14:paraId="60EFBEFF">
      <w:pPr>
        <w:pStyle w:val="2"/>
        <w:adjustRightInd w:val="0"/>
        <w:snapToGrid w:val="0"/>
        <w:spacing w:before="120" w:beforeLines="50" w:line="300" w:lineRule="auto"/>
        <w:ind w:left="0" w:firstLine="0"/>
        <w:jc w:val="center"/>
        <w:rPr>
          <w:rFonts w:eastAsia="宋体" w:cs="Times New Roman"/>
          <w:b w:val="0"/>
          <w:bCs w:val="0"/>
          <w:snapToGrid w:val="0"/>
          <w:sz w:val="32"/>
          <w:szCs w:val="32"/>
        </w:rPr>
      </w:pPr>
      <w:r>
        <w:rPr>
          <w:rFonts w:eastAsia="宋体" w:cs="宋体"/>
          <w:sz w:val="32"/>
        </w:rPr>
        <w:t>公众意见</w:t>
      </w:r>
    </w:p>
    <w:p w14:paraId="687F34F9">
      <w:pPr>
        <w:adjustRightInd w:val="0"/>
        <w:snapToGrid w:val="0"/>
        <w:spacing w:before="120" w:beforeLines="50" w:line="300" w:lineRule="auto"/>
        <w:jc w:val="both"/>
        <w:rPr>
          <w:rFonts w:ascii="Times New Roman" w:hAnsi="Times New Roman" w:eastAsia="宋体" w:cs="Times New Roman"/>
          <w:snapToGrid w:val="0"/>
          <w:sz w:val="32"/>
          <w:szCs w:val="32"/>
        </w:rPr>
      </w:pPr>
      <w:r>
        <w:rPr>
          <w:rFonts w:ascii="Times New Roman" w:hAnsi="Times New Roman" w:eastAsia="宋体" w:cs="宋体"/>
          <w:b/>
          <w:sz w:val="32"/>
        </w:rPr>
        <w:t>前言</w:t>
      </w:r>
    </w:p>
    <w:p w14:paraId="73201A5B">
      <w:pPr>
        <w:adjustRightInd w:val="0"/>
        <w:snapToGrid w:val="0"/>
        <w:spacing w:before="120" w:beforeLines="50" w:line="300" w:lineRule="auto"/>
        <w:jc w:val="both"/>
        <w:rPr>
          <w:rFonts w:ascii="Times New Roman" w:hAnsi="Times New Roman" w:eastAsia="宋体" w:cs="Times New Roman"/>
          <w:snapToGrid w:val="0"/>
          <w:sz w:val="24"/>
          <w:szCs w:val="24"/>
        </w:rPr>
      </w:pPr>
      <w:r>
        <w:rPr>
          <w:rFonts w:hint="eastAsia" w:ascii="Times New Roman" w:hAnsi="Times New Roman" w:eastAsia="宋体" w:cs="宋体"/>
          <w:sz w:val="24"/>
        </w:rPr>
        <w:t>电子版意见和建议</w:t>
      </w:r>
      <w:r>
        <w:rPr>
          <w:rFonts w:ascii="Times New Roman" w:hAnsi="Times New Roman" w:eastAsia="宋体" w:cs="宋体"/>
          <w:sz w:val="24"/>
        </w:rPr>
        <w:t>可随时提交至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u w:val="single" w:color="0000FF"/>
        </w:rPr>
        <w:t>http://www.regulations.gov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，供FDA审议。</w:t>
      </w:r>
      <w:r>
        <w:rPr>
          <w:rFonts w:ascii="Times New Roman" w:hAnsi="Times New Roman" w:eastAsia="宋体" w:cs="宋体"/>
          <w:color w:val="000000"/>
          <w:sz w:val="24"/>
        </w:rPr>
        <w:t>书面意见提交至：美国食品药品</w:t>
      </w:r>
      <w:r>
        <w:rPr>
          <w:rFonts w:hint="eastAsia" w:ascii="Times New Roman" w:hAnsi="Times New Roman" w:eastAsia="宋体" w:cs="宋体"/>
          <w:color w:val="000000"/>
          <w:sz w:val="24"/>
          <w:lang w:eastAsia="zh-CN"/>
        </w:rPr>
        <w:t>监督</w:t>
      </w:r>
      <w:r>
        <w:rPr>
          <w:rFonts w:ascii="Times New Roman" w:hAnsi="Times New Roman" w:eastAsia="宋体" w:cs="宋体"/>
          <w:color w:val="000000"/>
          <w:sz w:val="24"/>
        </w:rPr>
        <w:t xml:space="preserve">管理局备案文件管理部（HFA-305）, 5630 Fishers Lane, </w:t>
      </w:r>
      <w:r>
        <w:rPr>
          <w:rFonts w:hint="eastAsia" w:ascii="Times New Roman" w:hAnsi="Times New Roman" w:eastAsia="宋体" w:cs="宋体"/>
          <w:color w:val="000000"/>
          <w:sz w:val="24"/>
          <w:lang w:eastAsia="zh-CN"/>
        </w:rPr>
        <w:t>Room</w:t>
      </w:r>
      <w:r>
        <w:rPr>
          <w:rFonts w:ascii="Times New Roman" w:hAnsi="Times New Roman" w:eastAsia="宋体" w:cs="宋体"/>
          <w:color w:val="000000"/>
          <w:sz w:val="24"/>
        </w:rPr>
        <w:t>. 1061, Rockville, MD 20852。所有意见均应注明备案文件编号FDA-2013-D-1446。在下次修订或更新本文件时，FDA将考虑实施该意见。</w:t>
      </w:r>
    </w:p>
    <w:p w14:paraId="31A01676">
      <w:pPr>
        <w:pStyle w:val="2"/>
        <w:adjustRightInd w:val="0"/>
        <w:snapToGrid w:val="0"/>
        <w:spacing w:before="120" w:beforeLines="50" w:line="300" w:lineRule="auto"/>
        <w:ind w:left="0" w:firstLine="0"/>
        <w:jc w:val="both"/>
        <w:rPr>
          <w:rFonts w:eastAsia="宋体" w:cs="Times New Roman"/>
          <w:b w:val="0"/>
          <w:bCs w:val="0"/>
          <w:snapToGrid w:val="0"/>
          <w:sz w:val="32"/>
          <w:szCs w:val="32"/>
          <w:lang w:eastAsia="zh-CN"/>
        </w:rPr>
      </w:pPr>
      <w:r>
        <w:rPr>
          <w:rFonts w:eastAsia="宋体" w:cs="宋体"/>
          <w:sz w:val="32"/>
          <w:lang w:eastAsia="zh-CN"/>
        </w:rPr>
        <w:t>更多副本</w:t>
      </w:r>
    </w:p>
    <w:p w14:paraId="658A7B04">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r>
        <w:rPr>
          <w:rFonts w:ascii="Times New Roman" w:hAnsi="Times New Roman" w:eastAsia="宋体" w:cs="宋体"/>
          <w:sz w:val="24"/>
          <w:lang w:eastAsia="zh-CN"/>
        </w:rPr>
        <w:t>更多副本可通过互联网获得。也可以通过电子邮件发送请求至</w:t>
      </w:r>
      <w:r>
        <w:fldChar w:fldCharType="begin"/>
      </w:r>
      <w:r>
        <w:rPr>
          <w:lang w:eastAsia="zh-CN"/>
        </w:rP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获取本指南的副本。请在请求中注明文件编号1756和指南的完整标题。</w:t>
      </w:r>
    </w:p>
    <w:p w14:paraId="0C9E339B">
      <w:pPr>
        <w:rPr>
          <w:rFonts w:ascii="Times New Roman" w:hAnsi="Times New Roman" w:eastAsia="宋体" w:cs="Times New Roman"/>
          <w:snapToGrid w:val="0"/>
          <w:color w:val="000000"/>
          <w:sz w:val="24"/>
          <w:szCs w:val="24"/>
          <w:lang w:eastAsia="zh-CN"/>
        </w:rPr>
      </w:pPr>
      <w:r>
        <w:rPr>
          <w:rFonts w:ascii="Times New Roman" w:hAnsi="Times New Roman" w:eastAsia="宋体" w:cs="宋体"/>
          <w:color w:val="000000"/>
          <w:sz w:val="24"/>
          <w:lang w:eastAsia="zh-CN"/>
        </w:rPr>
        <w:br w:type="page"/>
      </w:r>
    </w:p>
    <w:p w14:paraId="2C2E6B0C">
      <w:pPr>
        <w:pStyle w:val="2"/>
        <w:adjustRightInd w:val="0"/>
        <w:snapToGrid w:val="0"/>
        <w:spacing w:before="120" w:beforeLines="50" w:line="300" w:lineRule="auto"/>
        <w:ind w:left="0" w:firstLine="0"/>
        <w:jc w:val="center"/>
        <w:rPr>
          <w:rFonts w:eastAsia="宋体" w:cs="Times New Roman"/>
          <w:b w:val="0"/>
          <w:bCs w:val="0"/>
          <w:snapToGrid w:val="0"/>
          <w:sz w:val="32"/>
          <w:szCs w:val="32"/>
          <w:lang w:eastAsia="zh-CN"/>
        </w:rPr>
      </w:pPr>
      <w:r>
        <w:rPr>
          <w:rFonts w:eastAsia="宋体" w:cs="宋体"/>
          <w:sz w:val="32"/>
          <w:lang w:eastAsia="zh-CN"/>
        </w:rPr>
        <w:t>目录</w:t>
      </w:r>
    </w:p>
    <w:p w14:paraId="0BCD6582">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rPr>
          <w:rFonts w:eastAsia="宋体" w:cs="Times New Roman"/>
          <w:snapToGrid w:val="0"/>
          <w:sz w:val="24"/>
          <w:szCs w:val="24"/>
        </w:rPr>
        <w:fldChar w:fldCharType="begin"/>
      </w:r>
      <w:r>
        <w:rPr>
          <w:rFonts w:eastAsia="宋体" w:cs="Times New Roman"/>
          <w:snapToGrid w:val="0"/>
          <w:sz w:val="24"/>
          <w:szCs w:val="24"/>
        </w:rPr>
        <w:instrText xml:space="preserve"> TOC \h \z \t "样式1,1,样式2,2,样式3,3" </w:instrText>
      </w:r>
      <w:r>
        <w:rPr>
          <w:rFonts w:eastAsia="宋体" w:cs="Times New Roman"/>
          <w:snapToGrid w:val="0"/>
          <w:sz w:val="24"/>
          <w:szCs w:val="24"/>
        </w:rPr>
        <w:fldChar w:fldCharType="separate"/>
      </w:r>
      <w:r>
        <w:fldChar w:fldCharType="begin"/>
      </w:r>
      <w:r>
        <w:instrText xml:space="preserve"> HYPERLINK \l "_Toc91871160" </w:instrText>
      </w:r>
      <w:r>
        <w:fldChar w:fldCharType="separate"/>
      </w:r>
      <w:r>
        <w:rPr>
          <w:rStyle w:val="19"/>
          <w:rFonts w:eastAsia="宋体" w:cs="Times New Roman"/>
          <w:sz w:val="24"/>
          <w:szCs w:val="24"/>
          <w:lang w:eastAsia="zh-CN"/>
        </w:rPr>
        <w:t>I.</w:t>
      </w:r>
      <w:r>
        <w:rPr>
          <w:rFonts w:eastAsia="宋体" w:cs="Times New Roman"/>
          <w:b w:val="0"/>
          <w:bCs w:val="0"/>
          <w:kern w:val="2"/>
          <w:sz w:val="24"/>
          <w:szCs w:val="24"/>
          <w:lang w:eastAsia="zh-CN"/>
        </w:rPr>
        <w:tab/>
      </w:r>
      <w:r>
        <w:rPr>
          <w:rStyle w:val="19"/>
          <w:rFonts w:eastAsia="宋体" w:cs="Times New Roman"/>
          <w:sz w:val="24"/>
          <w:szCs w:val="24"/>
          <w:lang w:eastAsia="zh-CN"/>
        </w:rPr>
        <w:t>引言</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_Toc91871160 \h </w:instrText>
      </w:r>
      <w:r>
        <w:rPr>
          <w:rFonts w:eastAsia="宋体" w:cs="Times New Roman"/>
          <w:sz w:val="24"/>
          <w:szCs w:val="24"/>
        </w:rPr>
        <w:fldChar w:fldCharType="separate"/>
      </w:r>
      <w:r>
        <w:rPr>
          <w:rFonts w:eastAsia="宋体" w:cs="Times New Roman"/>
          <w:sz w:val="24"/>
          <w:szCs w:val="24"/>
        </w:rPr>
        <w:t>1</w:t>
      </w:r>
      <w:r>
        <w:rPr>
          <w:rFonts w:eastAsia="宋体" w:cs="Times New Roman"/>
          <w:sz w:val="24"/>
          <w:szCs w:val="24"/>
        </w:rPr>
        <w:fldChar w:fldCharType="end"/>
      </w:r>
      <w:r>
        <w:rPr>
          <w:rFonts w:eastAsia="宋体" w:cs="Times New Roman"/>
          <w:sz w:val="24"/>
          <w:szCs w:val="24"/>
        </w:rPr>
        <w:fldChar w:fldCharType="end"/>
      </w:r>
    </w:p>
    <w:p w14:paraId="61BBDDE7">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"_Toc91871161" </w:instrText>
      </w:r>
      <w:r>
        <w:fldChar w:fldCharType="separate"/>
      </w:r>
      <w:r>
        <w:rPr>
          <w:rStyle w:val="19"/>
          <w:rFonts w:eastAsia="宋体" w:cs="Times New Roman"/>
          <w:sz w:val="24"/>
          <w:szCs w:val="24"/>
          <w:lang w:eastAsia="zh-CN"/>
        </w:rPr>
        <w:t>II.</w:t>
      </w:r>
      <w:r>
        <w:rPr>
          <w:rFonts w:eastAsia="宋体" w:cs="Times New Roman"/>
          <w:b w:val="0"/>
          <w:bCs w:val="0"/>
          <w:kern w:val="2"/>
          <w:sz w:val="24"/>
          <w:szCs w:val="24"/>
          <w:lang w:eastAsia="zh-CN"/>
        </w:rPr>
        <w:tab/>
      </w:r>
      <w:r>
        <w:rPr>
          <w:rStyle w:val="19"/>
          <w:rFonts w:eastAsia="宋体" w:cs="Times New Roman"/>
          <w:sz w:val="24"/>
          <w:szCs w:val="24"/>
          <w:lang w:eastAsia="zh-CN"/>
        </w:rPr>
        <w:t>背景</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_Toc91871161 \h </w:instrText>
      </w:r>
      <w:r>
        <w:rPr>
          <w:rFonts w:eastAsia="宋体" w:cs="Times New Roman"/>
          <w:sz w:val="24"/>
          <w:szCs w:val="24"/>
        </w:rPr>
        <w:fldChar w:fldCharType="separate"/>
      </w:r>
      <w:r>
        <w:rPr>
          <w:rFonts w:eastAsia="宋体" w:cs="Times New Roman"/>
          <w:sz w:val="24"/>
          <w:szCs w:val="24"/>
        </w:rPr>
        <w:t>2</w:t>
      </w:r>
      <w:r>
        <w:rPr>
          <w:rFonts w:eastAsia="宋体" w:cs="Times New Roman"/>
          <w:sz w:val="24"/>
          <w:szCs w:val="24"/>
        </w:rPr>
        <w:fldChar w:fldCharType="end"/>
      </w:r>
      <w:r>
        <w:rPr>
          <w:rFonts w:eastAsia="宋体" w:cs="Times New Roman"/>
          <w:sz w:val="24"/>
          <w:szCs w:val="24"/>
        </w:rPr>
        <w:fldChar w:fldCharType="end"/>
      </w:r>
    </w:p>
    <w:p w14:paraId="7F3CD12A">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"_Toc91871162" </w:instrText>
      </w:r>
      <w:r>
        <w:fldChar w:fldCharType="separate"/>
      </w:r>
      <w:r>
        <w:rPr>
          <w:rStyle w:val="19"/>
          <w:rFonts w:eastAsia="宋体" w:cs="Times New Roman"/>
          <w:sz w:val="24"/>
          <w:szCs w:val="24"/>
          <w:lang w:eastAsia="zh-CN"/>
        </w:rPr>
        <w:t>III.</w:t>
      </w:r>
      <w:r>
        <w:rPr>
          <w:rFonts w:eastAsia="宋体" w:cs="Times New Roman"/>
          <w:b w:val="0"/>
          <w:bCs w:val="0"/>
          <w:kern w:val="2"/>
          <w:sz w:val="24"/>
          <w:szCs w:val="24"/>
          <w:lang w:eastAsia="zh-CN"/>
        </w:rPr>
        <w:tab/>
      </w:r>
      <w:r>
        <w:rPr>
          <w:rStyle w:val="19"/>
          <w:rFonts w:eastAsia="宋体" w:cs="Times New Roman"/>
          <w:sz w:val="24"/>
          <w:szCs w:val="24"/>
          <w:lang w:eastAsia="zh-CN"/>
        </w:rPr>
        <w:t>范围</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_Toc91871162 \h </w:instrText>
      </w:r>
      <w:r>
        <w:rPr>
          <w:rFonts w:eastAsia="宋体" w:cs="Times New Roman"/>
          <w:sz w:val="24"/>
          <w:szCs w:val="24"/>
        </w:rPr>
        <w:fldChar w:fldCharType="separate"/>
      </w:r>
      <w:r>
        <w:rPr>
          <w:rFonts w:eastAsia="宋体" w:cs="Times New Roman"/>
          <w:sz w:val="24"/>
          <w:szCs w:val="24"/>
        </w:rPr>
        <w:t>3</w:t>
      </w:r>
      <w:r>
        <w:rPr>
          <w:rFonts w:eastAsia="宋体" w:cs="Times New Roman"/>
          <w:sz w:val="24"/>
          <w:szCs w:val="24"/>
        </w:rPr>
        <w:fldChar w:fldCharType="end"/>
      </w:r>
      <w:r>
        <w:rPr>
          <w:rFonts w:eastAsia="宋体" w:cs="Times New Roman"/>
          <w:sz w:val="24"/>
          <w:szCs w:val="24"/>
        </w:rPr>
        <w:fldChar w:fldCharType="end"/>
      </w:r>
    </w:p>
    <w:p w14:paraId="5B3127D3">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"_Toc91871163" </w:instrText>
      </w:r>
      <w:r>
        <w:fldChar w:fldCharType="separate"/>
      </w:r>
      <w:r>
        <w:rPr>
          <w:rStyle w:val="19"/>
          <w:rFonts w:eastAsia="宋体" w:cs="Times New Roman"/>
          <w:sz w:val="24"/>
          <w:szCs w:val="24"/>
          <w:lang w:eastAsia="zh-CN"/>
        </w:rPr>
        <w:t>IV.</w:t>
      </w:r>
      <w:r>
        <w:rPr>
          <w:rFonts w:eastAsia="宋体" w:cs="Times New Roman"/>
          <w:b w:val="0"/>
          <w:bCs w:val="0"/>
          <w:kern w:val="2"/>
          <w:sz w:val="24"/>
          <w:szCs w:val="24"/>
          <w:lang w:eastAsia="zh-CN"/>
        </w:rPr>
        <w:tab/>
      </w:r>
      <w:r>
        <w:rPr>
          <w:rStyle w:val="19"/>
          <w:rFonts w:eastAsia="宋体" w:cs="Times New Roman"/>
          <w:sz w:val="24"/>
          <w:szCs w:val="24"/>
          <w:lang w:eastAsia="zh-CN"/>
        </w:rPr>
        <w:t>降低血源性病原体传播的风险</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_Toc91871163 \h </w:instrText>
      </w:r>
      <w:r>
        <w:rPr>
          <w:rFonts w:eastAsia="宋体" w:cs="Times New Roman"/>
          <w:sz w:val="24"/>
          <w:szCs w:val="24"/>
        </w:rPr>
        <w:fldChar w:fldCharType="separate"/>
      </w:r>
      <w:r>
        <w:rPr>
          <w:rFonts w:eastAsia="宋体" w:cs="Times New Roman"/>
          <w:sz w:val="24"/>
          <w:szCs w:val="24"/>
        </w:rPr>
        <w:t>4</w:t>
      </w:r>
      <w:r>
        <w:rPr>
          <w:rFonts w:eastAsia="宋体" w:cs="Times New Roman"/>
          <w:sz w:val="24"/>
          <w:szCs w:val="24"/>
        </w:rPr>
        <w:fldChar w:fldCharType="end"/>
      </w:r>
      <w:r>
        <w:rPr>
          <w:rFonts w:eastAsia="宋体" w:cs="Times New Roman"/>
          <w:sz w:val="24"/>
          <w:szCs w:val="24"/>
        </w:rPr>
        <w:fldChar w:fldCharType="end"/>
      </w:r>
    </w:p>
    <w:p w14:paraId="07D1B554">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"_Toc91871164" </w:instrText>
      </w:r>
      <w:r>
        <w:fldChar w:fldCharType="separate"/>
      </w:r>
      <w:r>
        <w:rPr>
          <w:rStyle w:val="19"/>
          <w:rFonts w:eastAsia="宋体" w:cs="Times New Roman"/>
          <w:sz w:val="24"/>
          <w:szCs w:val="24"/>
          <w:lang w:eastAsia="zh-CN"/>
        </w:rPr>
        <w:t>A.</w:t>
      </w:r>
      <w:r>
        <w:rPr>
          <w:rFonts w:eastAsia="宋体" w:cs="Times New Roman"/>
          <w:kern w:val="2"/>
          <w:sz w:val="24"/>
          <w:szCs w:val="24"/>
          <w:lang w:eastAsia="zh-CN"/>
        </w:rPr>
        <w:tab/>
      </w:r>
      <w:r>
        <w:rPr>
          <w:rStyle w:val="19"/>
          <w:rFonts w:eastAsia="宋体" w:cs="Times New Roman"/>
          <w:sz w:val="24"/>
          <w:szCs w:val="24"/>
          <w:lang w:eastAsia="zh-CN"/>
        </w:rPr>
        <w:t>经确认的清洁程序和消毒程序</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_Toc91871164 \h </w:instrText>
      </w:r>
      <w:r>
        <w:rPr>
          <w:rFonts w:eastAsia="宋体" w:cs="Times New Roman"/>
          <w:sz w:val="24"/>
          <w:szCs w:val="24"/>
        </w:rPr>
        <w:fldChar w:fldCharType="separate"/>
      </w:r>
      <w:r>
        <w:rPr>
          <w:rFonts w:eastAsia="宋体" w:cs="Times New Roman"/>
          <w:sz w:val="24"/>
          <w:szCs w:val="24"/>
        </w:rPr>
        <w:t>5</w:t>
      </w:r>
      <w:r>
        <w:rPr>
          <w:rFonts w:eastAsia="宋体" w:cs="Times New Roman"/>
          <w:sz w:val="24"/>
          <w:szCs w:val="24"/>
        </w:rPr>
        <w:fldChar w:fldCharType="end"/>
      </w:r>
      <w:r>
        <w:rPr>
          <w:rFonts w:eastAsia="宋体" w:cs="Times New Roman"/>
          <w:sz w:val="24"/>
          <w:szCs w:val="24"/>
        </w:rPr>
        <w:fldChar w:fldCharType="end"/>
      </w:r>
    </w:p>
    <w:p w14:paraId="13260BAB">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"_Toc91871165" </w:instrText>
      </w:r>
      <w:r>
        <w:fldChar w:fldCharType="separate"/>
      </w:r>
      <w:r>
        <w:rPr>
          <w:rStyle w:val="19"/>
          <w:rFonts w:eastAsia="宋体" w:cs="Times New Roman"/>
          <w:sz w:val="24"/>
          <w:szCs w:val="24"/>
          <w:lang w:eastAsia="zh-CN"/>
        </w:rPr>
        <w:t>B.</w:t>
      </w:r>
      <w:r>
        <w:rPr>
          <w:rFonts w:eastAsia="宋体" w:cs="Times New Roman"/>
          <w:kern w:val="2"/>
          <w:sz w:val="24"/>
          <w:szCs w:val="24"/>
          <w:lang w:eastAsia="zh-CN"/>
        </w:rPr>
        <w:tab/>
      </w:r>
      <w:r>
        <w:rPr>
          <w:rStyle w:val="19"/>
          <w:rFonts w:eastAsia="宋体" w:cs="Times New Roman"/>
          <w:sz w:val="24"/>
          <w:szCs w:val="24"/>
          <w:lang w:eastAsia="zh-CN"/>
        </w:rPr>
        <w:t>证明器械不会被清洁和消毒程序损伤</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_Toc91871165 \h </w:instrText>
      </w:r>
      <w:r>
        <w:rPr>
          <w:rFonts w:eastAsia="宋体" w:cs="Times New Roman"/>
          <w:sz w:val="24"/>
          <w:szCs w:val="24"/>
        </w:rPr>
        <w:fldChar w:fldCharType="separate"/>
      </w:r>
      <w:r>
        <w:rPr>
          <w:rFonts w:eastAsia="宋体" w:cs="Times New Roman"/>
          <w:sz w:val="24"/>
          <w:szCs w:val="24"/>
        </w:rPr>
        <w:t>6</w:t>
      </w:r>
      <w:r>
        <w:rPr>
          <w:rFonts w:eastAsia="宋体" w:cs="Times New Roman"/>
          <w:sz w:val="24"/>
          <w:szCs w:val="24"/>
        </w:rPr>
        <w:fldChar w:fldCharType="end"/>
      </w:r>
      <w:r>
        <w:rPr>
          <w:rFonts w:eastAsia="宋体" w:cs="Times New Roman"/>
          <w:sz w:val="24"/>
          <w:szCs w:val="24"/>
        </w:rPr>
        <w:fldChar w:fldCharType="end"/>
      </w:r>
    </w:p>
    <w:p w14:paraId="359A62C8">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"_Toc91871166" </w:instrText>
      </w:r>
      <w:r>
        <w:fldChar w:fldCharType="separate"/>
      </w:r>
      <w:r>
        <w:rPr>
          <w:rStyle w:val="19"/>
          <w:rFonts w:eastAsia="宋体" w:cs="Times New Roman"/>
          <w:sz w:val="24"/>
          <w:szCs w:val="24"/>
          <w:lang w:eastAsia="zh-CN"/>
        </w:rPr>
        <w:t>V.</w:t>
      </w:r>
      <w:r>
        <w:rPr>
          <w:rFonts w:eastAsia="宋体" w:cs="Times New Roman"/>
          <w:b w:val="0"/>
          <w:bCs w:val="0"/>
          <w:kern w:val="2"/>
          <w:sz w:val="24"/>
          <w:szCs w:val="24"/>
          <w:lang w:eastAsia="zh-CN"/>
        </w:rPr>
        <w:tab/>
      </w:r>
      <w:r>
        <w:rPr>
          <w:rStyle w:val="19"/>
          <w:rFonts w:eastAsia="宋体" w:cs="Times New Roman"/>
          <w:sz w:val="24"/>
          <w:szCs w:val="24"/>
          <w:lang w:eastAsia="zh-CN"/>
        </w:rPr>
        <w:t>器械描述</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_Toc91871166 \h </w:instrText>
      </w:r>
      <w:r>
        <w:rPr>
          <w:rFonts w:eastAsia="宋体" w:cs="Times New Roman"/>
          <w:sz w:val="24"/>
          <w:szCs w:val="24"/>
        </w:rPr>
        <w:fldChar w:fldCharType="separate"/>
      </w:r>
      <w:r>
        <w:rPr>
          <w:rFonts w:eastAsia="宋体" w:cs="Times New Roman"/>
          <w:sz w:val="24"/>
          <w:szCs w:val="24"/>
        </w:rPr>
        <w:t>7</w:t>
      </w:r>
      <w:r>
        <w:rPr>
          <w:rFonts w:eastAsia="宋体" w:cs="Times New Roman"/>
          <w:sz w:val="24"/>
          <w:szCs w:val="24"/>
        </w:rPr>
        <w:fldChar w:fldCharType="end"/>
      </w:r>
      <w:r>
        <w:rPr>
          <w:rFonts w:eastAsia="宋体" w:cs="Times New Roman"/>
          <w:sz w:val="24"/>
          <w:szCs w:val="24"/>
        </w:rPr>
        <w:fldChar w:fldCharType="end"/>
      </w:r>
    </w:p>
    <w:p w14:paraId="7ECC6D51">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"_Toc91871167" </w:instrText>
      </w:r>
      <w:r>
        <w:fldChar w:fldCharType="separate"/>
      </w:r>
      <w:r>
        <w:rPr>
          <w:rStyle w:val="19"/>
          <w:rFonts w:eastAsia="宋体" w:cs="Times New Roman"/>
          <w:sz w:val="24"/>
          <w:szCs w:val="24"/>
          <w:lang w:eastAsia="zh-CN"/>
        </w:rPr>
        <w:t>VI.</w:t>
      </w:r>
      <w:r>
        <w:rPr>
          <w:rFonts w:eastAsia="宋体" w:cs="Times New Roman"/>
          <w:b w:val="0"/>
          <w:bCs w:val="0"/>
          <w:kern w:val="2"/>
          <w:sz w:val="24"/>
          <w:szCs w:val="24"/>
          <w:lang w:eastAsia="zh-CN"/>
        </w:rPr>
        <w:tab/>
      </w:r>
      <w:r>
        <w:rPr>
          <w:rStyle w:val="19"/>
          <w:rFonts w:eastAsia="宋体" w:cs="Times New Roman"/>
          <w:sz w:val="24"/>
          <w:szCs w:val="24"/>
          <w:lang w:eastAsia="zh-CN"/>
        </w:rPr>
        <w:t>SMBG性能评价</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_Toc91871167 \h </w:instrText>
      </w:r>
      <w:r>
        <w:rPr>
          <w:rFonts w:eastAsia="宋体" w:cs="Times New Roman"/>
          <w:sz w:val="24"/>
          <w:szCs w:val="24"/>
        </w:rPr>
        <w:fldChar w:fldCharType="separate"/>
      </w:r>
      <w:r>
        <w:rPr>
          <w:rFonts w:eastAsia="宋体" w:cs="Times New Roman"/>
          <w:sz w:val="24"/>
          <w:szCs w:val="24"/>
        </w:rPr>
        <w:t>8</w:t>
      </w:r>
      <w:r>
        <w:rPr>
          <w:rFonts w:eastAsia="宋体" w:cs="Times New Roman"/>
          <w:sz w:val="24"/>
          <w:szCs w:val="24"/>
        </w:rPr>
        <w:fldChar w:fldCharType="end"/>
      </w:r>
      <w:r>
        <w:rPr>
          <w:rFonts w:eastAsia="宋体" w:cs="Times New Roman"/>
          <w:sz w:val="24"/>
          <w:szCs w:val="24"/>
        </w:rPr>
        <w:fldChar w:fldCharType="end"/>
      </w:r>
    </w:p>
    <w:p w14:paraId="038AB464">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"_Toc91871168" </w:instrText>
      </w:r>
      <w:r>
        <w:fldChar w:fldCharType="separate"/>
      </w:r>
      <w:r>
        <w:rPr>
          <w:rStyle w:val="19"/>
          <w:rFonts w:eastAsia="宋体" w:cs="Times New Roman"/>
          <w:sz w:val="24"/>
          <w:szCs w:val="24"/>
          <w:lang w:eastAsia="zh-CN"/>
        </w:rPr>
        <w:t>A.</w:t>
      </w:r>
      <w:r>
        <w:rPr>
          <w:rFonts w:eastAsia="宋体" w:cs="Times New Roman"/>
          <w:kern w:val="2"/>
          <w:sz w:val="24"/>
          <w:szCs w:val="24"/>
          <w:lang w:eastAsia="zh-CN"/>
        </w:rPr>
        <w:tab/>
      </w:r>
      <w:r>
        <w:rPr>
          <w:rStyle w:val="19"/>
          <w:rFonts w:eastAsia="宋体" w:cs="Times New Roman"/>
          <w:sz w:val="24"/>
          <w:szCs w:val="24"/>
          <w:lang w:eastAsia="zh-CN"/>
        </w:rPr>
        <w:t>精密度评价研究</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_Toc91871168 \h </w:instrText>
      </w:r>
      <w:r>
        <w:rPr>
          <w:rFonts w:eastAsia="宋体" w:cs="Times New Roman"/>
          <w:sz w:val="24"/>
          <w:szCs w:val="24"/>
        </w:rPr>
        <w:fldChar w:fldCharType="separate"/>
      </w:r>
      <w:r>
        <w:rPr>
          <w:rFonts w:eastAsia="宋体" w:cs="Times New Roman"/>
          <w:sz w:val="24"/>
          <w:szCs w:val="24"/>
        </w:rPr>
        <w:t>9</w:t>
      </w:r>
      <w:r>
        <w:rPr>
          <w:rFonts w:eastAsia="宋体" w:cs="Times New Roman"/>
          <w:sz w:val="24"/>
          <w:szCs w:val="24"/>
        </w:rPr>
        <w:fldChar w:fldCharType="end"/>
      </w:r>
      <w:r>
        <w:rPr>
          <w:rFonts w:eastAsia="宋体" w:cs="Times New Roman"/>
          <w:sz w:val="24"/>
          <w:szCs w:val="24"/>
        </w:rPr>
        <w:fldChar w:fldCharType="end"/>
      </w:r>
    </w:p>
    <w:p w14:paraId="7B370C75">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"_Toc91871169" </w:instrText>
      </w:r>
      <w:r>
        <w:fldChar w:fldCharType="separate"/>
      </w:r>
      <w:r>
        <w:rPr>
          <w:rStyle w:val="19"/>
          <w:rFonts w:eastAsia="宋体" w:cs="Times New Roman"/>
          <w:sz w:val="24"/>
          <w:szCs w:val="24"/>
          <w:lang w:eastAsia="zh-CN"/>
        </w:rPr>
        <w:t>B.</w:t>
      </w:r>
      <w:r>
        <w:rPr>
          <w:rFonts w:eastAsia="宋体" w:cs="Times New Roman"/>
          <w:kern w:val="2"/>
          <w:sz w:val="24"/>
          <w:szCs w:val="24"/>
          <w:lang w:eastAsia="zh-CN"/>
        </w:rPr>
        <w:tab/>
      </w:r>
      <w:r>
        <w:rPr>
          <w:rStyle w:val="19"/>
          <w:rFonts w:eastAsia="宋体" w:cs="Times New Roman"/>
          <w:sz w:val="24"/>
          <w:szCs w:val="24"/>
          <w:lang w:eastAsia="zh-CN"/>
        </w:rPr>
        <w:t>线性评价研究</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_Toc91871169 \h </w:instrText>
      </w:r>
      <w:r>
        <w:rPr>
          <w:rFonts w:eastAsia="宋体" w:cs="Times New Roman"/>
          <w:sz w:val="24"/>
          <w:szCs w:val="24"/>
        </w:rPr>
        <w:fldChar w:fldCharType="separate"/>
      </w:r>
      <w:r>
        <w:rPr>
          <w:rFonts w:eastAsia="宋体" w:cs="Times New Roman"/>
          <w:sz w:val="24"/>
          <w:szCs w:val="24"/>
        </w:rPr>
        <w:t>10</w:t>
      </w:r>
      <w:r>
        <w:rPr>
          <w:rFonts w:eastAsia="宋体" w:cs="Times New Roman"/>
          <w:sz w:val="24"/>
          <w:szCs w:val="24"/>
        </w:rPr>
        <w:fldChar w:fldCharType="end"/>
      </w:r>
      <w:r>
        <w:rPr>
          <w:rFonts w:eastAsia="宋体" w:cs="Times New Roman"/>
          <w:sz w:val="24"/>
          <w:szCs w:val="24"/>
        </w:rPr>
        <w:fldChar w:fldCharType="end"/>
      </w:r>
    </w:p>
    <w:p w14:paraId="09E5E42F">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"_Toc91871170" </w:instrText>
      </w:r>
      <w:r>
        <w:fldChar w:fldCharType="separate"/>
      </w:r>
      <w:r>
        <w:rPr>
          <w:rStyle w:val="19"/>
          <w:rFonts w:eastAsia="宋体" w:cs="Times New Roman"/>
          <w:sz w:val="24"/>
          <w:szCs w:val="24"/>
          <w:lang w:eastAsia="zh-CN"/>
        </w:rPr>
        <w:t>C.</w:t>
      </w:r>
      <w:r>
        <w:rPr>
          <w:rFonts w:eastAsia="宋体" w:cs="Times New Roman"/>
          <w:kern w:val="2"/>
          <w:sz w:val="24"/>
          <w:szCs w:val="24"/>
          <w:lang w:eastAsia="zh-CN"/>
        </w:rPr>
        <w:tab/>
      </w:r>
      <w:r>
        <w:rPr>
          <w:rStyle w:val="19"/>
          <w:rFonts w:eastAsia="宋体" w:cs="Times New Roman"/>
          <w:sz w:val="24"/>
          <w:szCs w:val="24"/>
          <w:lang w:eastAsia="zh-CN"/>
        </w:rPr>
        <w:t>方法比较/用户评价</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_Toc91871170 \h </w:instrText>
      </w:r>
      <w:r>
        <w:rPr>
          <w:rFonts w:eastAsia="宋体" w:cs="Times New Roman"/>
          <w:sz w:val="24"/>
          <w:szCs w:val="24"/>
        </w:rPr>
        <w:fldChar w:fldCharType="separate"/>
      </w:r>
      <w:r>
        <w:rPr>
          <w:rFonts w:eastAsia="宋体" w:cs="Times New Roman"/>
          <w:sz w:val="24"/>
          <w:szCs w:val="24"/>
        </w:rPr>
        <w:t>10</w:t>
      </w:r>
      <w:r>
        <w:rPr>
          <w:rFonts w:eastAsia="宋体" w:cs="Times New Roman"/>
          <w:sz w:val="24"/>
          <w:szCs w:val="24"/>
        </w:rPr>
        <w:fldChar w:fldCharType="end"/>
      </w:r>
      <w:r>
        <w:rPr>
          <w:rFonts w:eastAsia="宋体" w:cs="Times New Roman"/>
          <w:sz w:val="24"/>
          <w:szCs w:val="24"/>
        </w:rPr>
        <w:fldChar w:fldCharType="end"/>
      </w:r>
    </w:p>
    <w:p w14:paraId="536FA655">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"_Toc91871171" </w:instrText>
      </w:r>
      <w:r>
        <w:fldChar w:fldCharType="separate"/>
      </w:r>
      <w:r>
        <w:rPr>
          <w:rStyle w:val="19"/>
          <w:rFonts w:eastAsia="宋体" w:cs="Times New Roman"/>
          <w:sz w:val="24"/>
          <w:szCs w:val="24"/>
          <w:lang w:eastAsia="zh-CN"/>
        </w:rPr>
        <w:t>1.</w:t>
      </w:r>
      <w:r>
        <w:rPr>
          <w:rFonts w:eastAsia="宋体" w:cs="Times New Roman"/>
          <w:b w:val="0"/>
          <w:bCs w:val="0"/>
          <w:i w:val="0"/>
          <w:kern w:val="2"/>
          <w:sz w:val="24"/>
          <w:szCs w:val="24"/>
          <w:lang w:eastAsia="zh-CN"/>
        </w:rPr>
        <w:tab/>
      </w:r>
      <w:r>
        <w:rPr>
          <w:rStyle w:val="19"/>
          <w:rFonts w:eastAsia="宋体" w:cs="Times New Roman"/>
          <w:sz w:val="24"/>
          <w:szCs w:val="24"/>
          <w:lang w:eastAsia="zh-CN"/>
        </w:rPr>
        <w:t>一般研究设计：</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_Toc91871171 \h </w:instrText>
      </w:r>
      <w:r>
        <w:rPr>
          <w:rFonts w:eastAsia="宋体" w:cs="Times New Roman"/>
          <w:sz w:val="24"/>
          <w:szCs w:val="24"/>
        </w:rPr>
        <w:fldChar w:fldCharType="separate"/>
      </w:r>
      <w:r>
        <w:rPr>
          <w:rFonts w:eastAsia="宋体" w:cs="Times New Roman"/>
          <w:sz w:val="24"/>
          <w:szCs w:val="24"/>
        </w:rPr>
        <w:t>10</w:t>
      </w:r>
      <w:r>
        <w:rPr>
          <w:rFonts w:eastAsia="宋体" w:cs="Times New Roman"/>
          <w:sz w:val="24"/>
          <w:szCs w:val="24"/>
        </w:rPr>
        <w:fldChar w:fldCharType="end"/>
      </w:r>
      <w:r>
        <w:rPr>
          <w:rFonts w:eastAsia="宋体" w:cs="Times New Roman"/>
          <w:sz w:val="24"/>
          <w:szCs w:val="24"/>
        </w:rPr>
        <w:fldChar w:fldCharType="end"/>
      </w:r>
    </w:p>
    <w:p w14:paraId="7D4CDAC0">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"_Toc91871172" </w:instrText>
      </w:r>
      <w:r>
        <w:fldChar w:fldCharType="separate"/>
      </w:r>
      <w:r>
        <w:rPr>
          <w:rStyle w:val="19"/>
          <w:rFonts w:eastAsia="宋体" w:cs="Times New Roman"/>
          <w:sz w:val="24"/>
          <w:szCs w:val="24"/>
          <w:lang w:eastAsia="zh-CN"/>
        </w:rPr>
        <w:t>2.</w:t>
      </w:r>
      <w:r>
        <w:rPr>
          <w:rFonts w:eastAsia="宋体" w:cs="Times New Roman"/>
          <w:b w:val="0"/>
          <w:bCs w:val="0"/>
          <w:i w:val="0"/>
          <w:kern w:val="2"/>
          <w:sz w:val="24"/>
          <w:szCs w:val="24"/>
          <w:lang w:eastAsia="zh-CN"/>
        </w:rPr>
        <w:tab/>
      </w:r>
      <w:r>
        <w:rPr>
          <w:rStyle w:val="19"/>
          <w:rFonts w:eastAsia="宋体" w:cs="Times New Roman"/>
          <w:sz w:val="24"/>
          <w:szCs w:val="24"/>
          <w:lang w:eastAsia="zh-CN"/>
        </w:rPr>
        <w:t>数据分析：</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_Toc91871172 \h </w:instrText>
      </w:r>
      <w:r>
        <w:rPr>
          <w:rFonts w:eastAsia="宋体" w:cs="Times New Roman"/>
          <w:sz w:val="24"/>
          <w:szCs w:val="24"/>
        </w:rPr>
        <w:fldChar w:fldCharType="separate"/>
      </w:r>
      <w:r>
        <w:rPr>
          <w:rFonts w:eastAsia="宋体" w:cs="Times New Roman"/>
          <w:sz w:val="24"/>
          <w:szCs w:val="24"/>
        </w:rPr>
        <w:t>14</w:t>
      </w:r>
      <w:r>
        <w:rPr>
          <w:rFonts w:eastAsia="宋体" w:cs="Times New Roman"/>
          <w:sz w:val="24"/>
          <w:szCs w:val="24"/>
        </w:rPr>
        <w:fldChar w:fldCharType="end"/>
      </w:r>
      <w:r>
        <w:rPr>
          <w:rFonts w:eastAsia="宋体" w:cs="Times New Roman"/>
          <w:sz w:val="24"/>
          <w:szCs w:val="24"/>
        </w:rPr>
        <w:fldChar w:fldCharType="end"/>
      </w:r>
    </w:p>
    <w:p w14:paraId="0870E9B8">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"_Toc91871173" </w:instrText>
      </w:r>
      <w:r>
        <w:fldChar w:fldCharType="separate"/>
      </w:r>
      <w:r>
        <w:rPr>
          <w:rStyle w:val="19"/>
          <w:rFonts w:eastAsia="宋体" w:cs="Times New Roman"/>
          <w:sz w:val="24"/>
          <w:szCs w:val="24"/>
        </w:rPr>
        <w:t>D.</w:t>
      </w:r>
      <w:r>
        <w:rPr>
          <w:rFonts w:eastAsia="宋体" w:cs="Times New Roman"/>
          <w:kern w:val="2"/>
          <w:sz w:val="24"/>
          <w:szCs w:val="24"/>
          <w:lang w:eastAsia="zh-CN"/>
        </w:rPr>
        <w:tab/>
      </w:r>
      <w:r>
        <w:rPr>
          <w:rStyle w:val="19"/>
          <w:rFonts w:eastAsia="宋体" w:cs="Times New Roman"/>
          <w:sz w:val="24"/>
          <w:szCs w:val="24"/>
        </w:rPr>
        <w:t>干扰评价</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_Toc91871173 \h </w:instrText>
      </w:r>
      <w:r>
        <w:rPr>
          <w:rFonts w:eastAsia="宋体" w:cs="Times New Roman"/>
          <w:sz w:val="24"/>
          <w:szCs w:val="24"/>
        </w:rPr>
        <w:fldChar w:fldCharType="separate"/>
      </w:r>
      <w:r>
        <w:rPr>
          <w:rFonts w:eastAsia="宋体" w:cs="Times New Roman"/>
          <w:sz w:val="24"/>
          <w:szCs w:val="24"/>
        </w:rPr>
        <w:t>15</w:t>
      </w:r>
      <w:r>
        <w:rPr>
          <w:rFonts w:eastAsia="宋体" w:cs="Times New Roman"/>
          <w:sz w:val="24"/>
          <w:szCs w:val="24"/>
        </w:rPr>
        <w:fldChar w:fldCharType="end"/>
      </w:r>
      <w:r>
        <w:rPr>
          <w:rFonts w:eastAsia="宋体" w:cs="Times New Roman"/>
          <w:sz w:val="24"/>
          <w:szCs w:val="24"/>
        </w:rPr>
        <w:fldChar w:fldCharType="end"/>
      </w:r>
    </w:p>
    <w:p w14:paraId="6EC2F5F5">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"_Toc91871174" </w:instrText>
      </w:r>
      <w:r>
        <w:fldChar w:fldCharType="separate"/>
      </w:r>
      <w:r>
        <w:rPr>
          <w:rStyle w:val="19"/>
          <w:rFonts w:eastAsia="宋体" w:cs="Times New Roman"/>
          <w:sz w:val="24"/>
          <w:szCs w:val="24"/>
          <w:lang w:eastAsia="zh-CN"/>
        </w:rPr>
        <w:t>1.</w:t>
      </w:r>
      <w:r>
        <w:rPr>
          <w:rFonts w:eastAsia="宋体" w:cs="Times New Roman"/>
          <w:b w:val="0"/>
          <w:bCs w:val="0"/>
          <w:i w:val="0"/>
          <w:kern w:val="2"/>
          <w:sz w:val="24"/>
          <w:szCs w:val="24"/>
          <w:lang w:eastAsia="zh-CN"/>
        </w:rPr>
        <w:tab/>
      </w:r>
      <w:r>
        <w:rPr>
          <w:rStyle w:val="19"/>
          <w:rFonts w:eastAsia="宋体" w:cs="Times New Roman"/>
          <w:sz w:val="24"/>
          <w:szCs w:val="24"/>
          <w:lang w:eastAsia="zh-CN"/>
        </w:rPr>
        <w:t>内源性/外源性物质</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_Toc91871174 \h </w:instrText>
      </w:r>
      <w:r>
        <w:rPr>
          <w:rFonts w:eastAsia="宋体" w:cs="Times New Roman"/>
          <w:sz w:val="24"/>
          <w:szCs w:val="24"/>
        </w:rPr>
        <w:fldChar w:fldCharType="separate"/>
      </w:r>
      <w:r>
        <w:rPr>
          <w:rFonts w:eastAsia="宋体" w:cs="Times New Roman"/>
          <w:sz w:val="24"/>
          <w:szCs w:val="24"/>
        </w:rPr>
        <w:t>15</w:t>
      </w:r>
      <w:r>
        <w:rPr>
          <w:rFonts w:eastAsia="宋体" w:cs="Times New Roman"/>
          <w:sz w:val="24"/>
          <w:szCs w:val="24"/>
        </w:rPr>
        <w:fldChar w:fldCharType="end"/>
      </w:r>
      <w:r>
        <w:rPr>
          <w:rFonts w:eastAsia="宋体" w:cs="Times New Roman"/>
          <w:sz w:val="24"/>
          <w:szCs w:val="24"/>
        </w:rPr>
        <w:fldChar w:fldCharType="end"/>
      </w:r>
    </w:p>
    <w:p w14:paraId="4862A819">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"_Toc91871175" </w:instrText>
      </w:r>
      <w:r>
        <w:fldChar w:fldCharType="separate"/>
      </w:r>
      <w:r>
        <w:rPr>
          <w:rStyle w:val="19"/>
          <w:rFonts w:eastAsia="宋体" w:cs="Times New Roman"/>
          <w:sz w:val="24"/>
          <w:szCs w:val="24"/>
          <w:lang w:eastAsia="zh-CN"/>
        </w:rPr>
        <w:t>2.</w:t>
      </w:r>
      <w:r>
        <w:rPr>
          <w:rFonts w:eastAsia="宋体" w:cs="Times New Roman"/>
          <w:b w:val="0"/>
          <w:bCs w:val="0"/>
          <w:i w:val="0"/>
          <w:kern w:val="2"/>
          <w:sz w:val="24"/>
          <w:szCs w:val="24"/>
          <w:lang w:eastAsia="zh-CN"/>
        </w:rPr>
        <w:tab/>
      </w:r>
      <w:r>
        <w:rPr>
          <w:rStyle w:val="19"/>
          <w:rFonts w:eastAsia="宋体" w:cs="Times New Roman"/>
          <w:sz w:val="24"/>
          <w:szCs w:val="24"/>
          <w:lang w:eastAsia="zh-CN"/>
        </w:rPr>
        <w:t>血细胞比容</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_Toc91871175 \h </w:instrText>
      </w:r>
      <w:r>
        <w:rPr>
          <w:rFonts w:eastAsia="宋体" w:cs="Times New Roman"/>
          <w:sz w:val="24"/>
          <w:szCs w:val="24"/>
        </w:rPr>
        <w:fldChar w:fldCharType="separate"/>
      </w:r>
      <w:r>
        <w:rPr>
          <w:rFonts w:eastAsia="宋体" w:cs="Times New Roman"/>
          <w:sz w:val="24"/>
          <w:szCs w:val="24"/>
        </w:rPr>
        <w:t>18</w:t>
      </w:r>
      <w:r>
        <w:rPr>
          <w:rFonts w:eastAsia="宋体" w:cs="Times New Roman"/>
          <w:sz w:val="24"/>
          <w:szCs w:val="24"/>
        </w:rPr>
        <w:fldChar w:fldCharType="end"/>
      </w:r>
      <w:r>
        <w:rPr>
          <w:rFonts w:eastAsia="宋体" w:cs="Times New Roman"/>
          <w:sz w:val="24"/>
          <w:szCs w:val="24"/>
        </w:rPr>
        <w:fldChar w:fldCharType="end"/>
      </w:r>
    </w:p>
    <w:p w14:paraId="0BD796BC">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"_Toc91871176" </w:instrText>
      </w:r>
      <w:r>
        <w:fldChar w:fldCharType="separate"/>
      </w:r>
      <w:r>
        <w:rPr>
          <w:rStyle w:val="19"/>
          <w:rFonts w:eastAsia="宋体" w:cs="Times New Roman"/>
          <w:sz w:val="24"/>
          <w:szCs w:val="24"/>
          <w:lang w:eastAsia="zh-CN"/>
        </w:rPr>
        <w:t>E.</w:t>
      </w:r>
      <w:r>
        <w:rPr>
          <w:rFonts w:eastAsia="宋体" w:cs="Times New Roman"/>
          <w:kern w:val="2"/>
          <w:sz w:val="24"/>
          <w:szCs w:val="24"/>
          <w:lang w:eastAsia="zh-CN"/>
        </w:rPr>
        <w:tab/>
      </w:r>
      <w:r>
        <w:rPr>
          <w:rStyle w:val="19"/>
          <w:rFonts w:eastAsia="宋体" w:cs="Times New Roman"/>
          <w:sz w:val="24"/>
          <w:szCs w:val="24"/>
          <w:lang w:eastAsia="zh-CN"/>
        </w:rPr>
        <w:t>稳定性研究</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_Toc91871176 \h </w:instrText>
      </w:r>
      <w:r>
        <w:rPr>
          <w:rFonts w:eastAsia="宋体" w:cs="Times New Roman"/>
          <w:sz w:val="24"/>
          <w:szCs w:val="24"/>
        </w:rPr>
        <w:fldChar w:fldCharType="separate"/>
      </w:r>
      <w:r>
        <w:rPr>
          <w:rFonts w:eastAsia="宋体" w:cs="Times New Roman"/>
          <w:sz w:val="24"/>
          <w:szCs w:val="24"/>
        </w:rPr>
        <w:t>20</w:t>
      </w:r>
      <w:r>
        <w:rPr>
          <w:rFonts w:eastAsia="宋体" w:cs="Times New Roman"/>
          <w:sz w:val="24"/>
          <w:szCs w:val="24"/>
        </w:rPr>
        <w:fldChar w:fldCharType="end"/>
      </w:r>
      <w:r>
        <w:rPr>
          <w:rFonts w:eastAsia="宋体" w:cs="Times New Roman"/>
          <w:sz w:val="24"/>
          <w:szCs w:val="24"/>
        </w:rPr>
        <w:fldChar w:fldCharType="end"/>
      </w:r>
    </w:p>
    <w:p w14:paraId="68BE60FE">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"_Toc91871177" </w:instrText>
      </w:r>
      <w:r>
        <w:fldChar w:fldCharType="separate"/>
      </w:r>
      <w:r>
        <w:rPr>
          <w:rStyle w:val="19"/>
          <w:rFonts w:eastAsia="宋体" w:cs="Times New Roman"/>
          <w:sz w:val="24"/>
          <w:szCs w:val="24"/>
          <w:lang w:eastAsia="zh-CN"/>
        </w:rPr>
        <w:t>1.</w:t>
      </w:r>
      <w:r>
        <w:rPr>
          <w:rFonts w:eastAsia="宋体" w:cs="Times New Roman"/>
          <w:b w:val="0"/>
          <w:bCs w:val="0"/>
          <w:i w:val="0"/>
          <w:kern w:val="2"/>
          <w:sz w:val="24"/>
          <w:szCs w:val="24"/>
          <w:lang w:eastAsia="zh-CN"/>
        </w:rPr>
        <w:tab/>
      </w:r>
      <w:r>
        <w:rPr>
          <w:rStyle w:val="19"/>
          <w:rFonts w:eastAsia="宋体" w:cs="Times New Roman"/>
          <w:sz w:val="24"/>
          <w:szCs w:val="24"/>
          <w:lang w:eastAsia="zh-CN"/>
        </w:rPr>
        <w:t>试纸稳定性试验</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_Toc91871177 \h </w:instrText>
      </w:r>
      <w:r>
        <w:rPr>
          <w:rFonts w:eastAsia="宋体" w:cs="Times New Roman"/>
          <w:sz w:val="24"/>
          <w:szCs w:val="24"/>
        </w:rPr>
        <w:fldChar w:fldCharType="separate"/>
      </w:r>
      <w:r>
        <w:rPr>
          <w:rFonts w:eastAsia="宋体" w:cs="Times New Roman"/>
          <w:sz w:val="24"/>
          <w:szCs w:val="24"/>
        </w:rPr>
        <w:t>22</w:t>
      </w:r>
      <w:r>
        <w:rPr>
          <w:rFonts w:eastAsia="宋体" w:cs="Times New Roman"/>
          <w:sz w:val="24"/>
          <w:szCs w:val="24"/>
        </w:rPr>
        <w:fldChar w:fldCharType="end"/>
      </w:r>
      <w:r>
        <w:rPr>
          <w:rFonts w:eastAsia="宋体" w:cs="Times New Roman"/>
          <w:sz w:val="24"/>
          <w:szCs w:val="24"/>
        </w:rPr>
        <w:fldChar w:fldCharType="end"/>
      </w:r>
    </w:p>
    <w:p w14:paraId="6A9BE10A">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"_Toc91871178" </w:instrText>
      </w:r>
      <w:r>
        <w:fldChar w:fldCharType="separate"/>
      </w:r>
      <w:r>
        <w:rPr>
          <w:rStyle w:val="19"/>
          <w:rFonts w:eastAsia="宋体" w:cs="Times New Roman"/>
          <w:sz w:val="24"/>
          <w:szCs w:val="24"/>
          <w:lang w:eastAsia="zh-CN"/>
        </w:rPr>
        <w:t>2.</w:t>
      </w:r>
      <w:r>
        <w:rPr>
          <w:rFonts w:eastAsia="宋体" w:cs="Times New Roman"/>
          <w:b w:val="0"/>
          <w:bCs w:val="0"/>
          <w:i w:val="0"/>
          <w:kern w:val="2"/>
          <w:sz w:val="24"/>
          <w:szCs w:val="24"/>
          <w:lang w:eastAsia="zh-CN"/>
        </w:rPr>
        <w:tab/>
      </w:r>
      <w:r>
        <w:rPr>
          <w:rStyle w:val="19"/>
          <w:rFonts w:eastAsia="宋体" w:cs="Times New Roman"/>
          <w:sz w:val="24"/>
          <w:szCs w:val="24"/>
          <w:lang w:eastAsia="zh-CN"/>
        </w:rPr>
        <w:t>系统工作条件测试</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_Toc91871178 \h </w:instrText>
      </w:r>
      <w:r>
        <w:rPr>
          <w:rFonts w:eastAsia="宋体" w:cs="Times New Roman"/>
          <w:sz w:val="24"/>
          <w:szCs w:val="24"/>
        </w:rPr>
        <w:fldChar w:fldCharType="separate"/>
      </w:r>
      <w:r>
        <w:rPr>
          <w:rFonts w:eastAsia="宋体" w:cs="Times New Roman"/>
          <w:sz w:val="24"/>
          <w:szCs w:val="24"/>
        </w:rPr>
        <w:t>23</w:t>
      </w:r>
      <w:r>
        <w:rPr>
          <w:rFonts w:eastAsia="宋体" w:cs="Times New Roman"/>
          <w:sz w:val="24"/>
          <w:szCs w:val="24"/>
        </w:rPr>
        <w:fldChar w:fldCharType="end"/>
      </w:r>
      <w:r>
        <w:rPr>
          <w:rFonts w:eastAsia="宋体" w:cs="Times New Roman"/>
          <w:sz w:val="24"/>
          <w:szCs w:val="24"/>
        </w:rPr>
        <w:fldChar w:fldCharType="end"/>
      </w:r>
    </w:p>
    <w:p w14:paraId="791524A1">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"_Toc91871179" </w:instrText>
      </w:r>
      <w:r>
        <w:fldChar w:fldCharType="separate"/>
      </w:r>
      <w:r>
        <w:rPr>
          <w:rStyle w:val="19"/>
          <w:rFonts w:eastAsia="宋体" w:cs="Times New Roman"/>
          <w:sz w:val="24"/>
          <w:szCs w:val="24"/>
          <w:lang w:eastAsia="zh-CN"/>
        </w:rPr>
        <w:t>3.</w:t>
      </w:r>
      <w:r>
        <w:rPr>
          <w:rFonts w:eastAsia="宋体" w:cs="Times New Roman"/>
          <w:b w:val="0"/>
          <w:bCs w:val="0"/>
          <w:i w:val="0"/>
          <w:kern w:val="2"/>
          <w:sz w:val="24"/>
          <w:szCs w:val="24"/>
          <w:lang w:eastAsia="zh-CN"/>
        </w:rPr>
        <w:tab/>
      </w:r>
      <w:r>
        <w:rPr>
          <w:rStyle w:val="19"/>
          <w:rFonts w:eastAsia="宋体" w:cs="Times New Roman"/>
          <w:sz w:val="24"/>
          <w:szCs w:val="24"/>
          <w:lang w:eastAsia="zh-CN"/>
        </w:rPr>
        <w:t>海拔影响</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_Toc91871179 \h </w:instrText>
      </w:r>
      <w:r>
        <w:rPr>
          <w:rFonts w:eastAsia="宋体" w:cs="Times New Roman"/>
          <w:sz w:val="24"/>
          <w:szCs w:val="24"/>
        </w:rPr>
        <w:fldChar w:fldCharType="separate"/>
      </w:r>
      <w:r>
        <w:rPr>
          <w:rFonts w:eastAsia="宋体" w:cs="Times New Roman"/>
          <w:sz w:val="24"/>
          <w:szCs w:val="24"/>
        </w:rPr>
        <w:t>24</w:t>
      </w:r>
      <w:r>
        <w:rPr>
          <w:rFonts w:eastAsia="宋体" w:cs="Times New Roman"/>
          <w:sz w:val="24"/>
          <w:szCs w:val="24"/>
        </w:rPr>
        <w:fldChar w:fldCharType="end"/>
      </w:r>
      <w:r>
        <w:rPr>
          <w:rFonts w:eastAsia="宋体" w:cs="Times New Roman"/>
          <w:sz w:val="24"/>
          <w:szCs w:val="24"/>
        </w:rPr>
        <w:fldChar w:fldCharType="end"/>
      </w:r>
    </w:p>
    <w:p w14:paraId="3B2B3930">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"_Toc91871180" </w:instrText>
      </w:r>
      <w:r>
        <w:fldChar w:fldCharType="separate"/>
      </w:r>
      <w:r>
        <w:rPr>
          <w:rStyle w:val="19"/>
          <w:rFonts w:eastAsia="宋体" w:cs="Times New Roman"/>
          <w:sz w:val="24"/>
          <w:szCs w:val="24"/>
          <w:lang w:eastAsia="zh-CN"/>
        </w:rPr>
        <w:t>4.</w:t>
      </w:r>
      <w:r>
        <w:rPr>
          <w:rFonts w:eastAsia="宋体" w:cs="Times New Roman"/>
          <w:b w:val="0"/>
          <w:bCs w:val="0"/>
          <w:i w:val="0"/>
          <w:kern w:val="2"/>
          <w:sz w:val="24"/>
          <w:szCs w:val="24"/>
          <w:lang w:eastAsia="zh-CN"/>
        </w:rPr>
        <w:tab/>
      </w:r>
      <w:r>
        <w:rPr>
          <w:rStyle w:val="19"/>
          <w:rFonts w:eastAsia="宋体" w:cs="Times New Roman"/>
          <w:sz w:val="24"/>
          <w:szCs w:val="24"/>
          <w:lang w:eastAsia="zh-CN"/>
        </w:rPr>
        <w:t>超出测量范围的样本的错误代码</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_Toc91871180 \h </w:instrText>
      </w:r>
      <w:r>
        <w:rPr>
          <w:rFonts w:eastAsia="宋体" w:cs="Times New Roman"/>
          <w:sz w:val="24"/>
          <w:szCs w:val="24"/>
        </w:rPr>
        <w:fldChar w:fldCharType="separate"/>
      </w:r>
      <w:r>
        <w:rPr>
          <w:rFonts w:eastAsia="宋体" w:cs="Times New Roman"/>
          <w:sz w:val="24"/>
          <w:szCs w:val="24"/>
        </w:rPr>
        <w:t>24</w:t>
      </w:r>
      <w:r>
        <w:rPr>
          <w:rFonts w:eastAsia="宋体" w:cs="Times New Roman"/>
          <w:sz w:val="24"/>
          <w:szCs w:val="24"/>
        </w:rPr>
        <w:fldChar w:fldCharType="end"/>
      </w:r>
      <w:r>
        <w:rPr>
          <w:rFonts w:eastAsia="宋体" w:cs="Times New Roman"/>
          <w:sz w:val="24"/>
          <w:szCs w:val="24"/>
        </w:rPr>
        <w:fldChar w:fldCharType="end"/>
      </w:r>
    </w:p>
    <w:p w14:paraId="043DB44B">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"_Toc91871181" </w:instrText>
      </w:r>
      <w:r>
        <w:fldChar w:fldCharType="separate"/>
      </w:r>
      <w:r>
        <w:rPr>
          <w:rStyle w:val="19"/>
          <w:rFonts w:eastAsia="宋体" w:cs="Times New Roman"/>
          <w:sz w:val="24"/>
          <w:szCs w:val="24"/>
          <w:lang w:eastAsia="zh-CN"/>
        </w:rPr>
        <w:t>5.</w:t>
      </w:r>
      <w:r>
        <w:rPr>
          <w:rFonts w:eastAsia="宋体" w:cs="Times New Roman"/>
          <w:b w:val="0"/>
          <w:bCs w:val="0"/>
          <w:i w:val="0"/>
          <w:kern w:val="2"/>
          <w:sz w:val="24"/>
          <w:szCs w:val="24"/>
          <w:lang w:eastAsia="zh-CN"/>
        </w:rPr>
        <w:tab/>
      </w:r>
      <w:r>
        <w:rPr>
          <w:rStyle w:val="19"/>
          <w:rFonts w:eastAsia="宋体" w:cs="Times New Roman"/>
          <w:sz w:val="24"/>
          <w:szCs w:val="24"/>
          <w:lang w:eastAsia="zh-CN"/>
        </w:rPr>
        <w:t>样品短缺检测</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_Toc91871181 \h </w:instrText>
      </w:r>
      <w:r>
        <w:rPr>
          <w:rFonts w:eastAsia="宋体" w:cs="Times New Roman"/>
          <w:sz w:val="24"/>
          <w:szCs w:val="24"/>
        </w:rPr>
        <w:fldChar w:fldCharType="separate"/>
      </w:r>
      <w:r>
        <w:rPr>
          <w:rFonts w:eastAsia="宋体" w:cs="Times New Roman"/>
          <w:sz w:val="24"/>
          <w:szCs w:val="24"/>
        </w:rPr>
        <w:t>25</w:t>
      </w:r>
      <w:r>
        <w:rPr>
          <w:rFonts w:eastAsia="宋体" w:cs="Times New Roman"/>
          <w:sz w:val="24"/>
          <w:szCs w:val="24"/>
        </w:rPr>
        <w:fldChar w:fldCharType="end"/>
      </w:r>
      <w:r>
        <w:rPr>
          <w:rFonts w:eastAsia="宋体" w:cs="Times New Roman"/>
          <w:sz w:val="24"/>
          <w:szCs w:val="24"/>
        </w:rPr>
        <w:fldChar w:fldCharType="end"/>
      </w:r>
    </w:p>
    <w:p w14:paraId="4E3A4A28">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"_Toc91871182" </w:instrText>
      </w:r>
      <w:r>
        <w:fldChar w:fldCharType="separate"/>
      </w:r>
      <w:r>
        <w:rPr>
          <w:rStyle w:val="19"/>
          <w:rFonts w:eastAsia="宋体" w:cs="Times New Roman"/>
          <w:sz w:val="24"/>
          <w:szCs w:val="24"/>
          <w:lang w:eastAsia="zh-CN"/>
        </w:rPr>
        <w:t>6.</w:t>
      </w:r>
      <w:r>
        <w:rPr>
          <w:rFonts w:eastAsia="宋体" w:cs="Times New Roman"/>
          <w:b w:val="0"/>
          <w:bCs w:val="0"/>
          <w:i w:val="0"/>
          <w:kern w:val="2"/>
          <w:sz w:val="24"/>
          <w:szCs w:val="24"/>
          <w:lang w:eastAsia="zh-CN"/>
        </w:rPr>
        <w:tab/>
      </w:r>
      <w:r>
        <w:rPr>
          <w:rStyle w:val="19"/>
          <w:rFonts w:eastAsia="宋体" w:cs="Times New Roman"/>
          <w:sz w:val="24"/>
          <w:szCs w:val="24"/>
          <w:lang w:eastAsia="zh-CN"/>
        </w:rPr>
        <w:t>样本扰动研究</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_Toc91871182 \h </w:instrText>
      </w:r>
      <w:r>
        <w:rPr>
          <w:rFonts w:eastAsia="宋体" w:cs="Times New Roman"/>
          <w:sz w:val="24"/>
          <w:szCs w:val="24"/>
        </w:rPr>
        <w:fldChar w:fldCharType="separate"/>
      </w:r>
      <w:r>
        <w:rPr>
          <w:rFonts w:eastAsia="宋体" w:cs="Times New Roman"/>
          <w:sz w:val="24"/>
          <w:szCs w:val="24"/>
        </w:rPr>
        <w:t>25</w:t>
      </w:r>
      <w:r>
        <w:rPr>
          <w:rFonts w:eastAsia="宋体" w:cs="Times New Roman"/>
          <w:sz w:val="24"/>
          <w:szCs w:val="24"/>
        </w:rPr>
        <w:fldChar w:fldCharType="end"/>
      </w:r>
      <w:r>
        <w:rPr>
          <w:rFonts w:eastAsia="宋体" w:cs="Times New Roman"/>
          <w:sz w:val="24"/>
          <w:szCs w:val="24"/>
        </w:rPr>
        <w:fldChar w:fldCharType="end"/>
      </w:r>
    </w:p>
    <w:p w14:paraId="2D3BC11E">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"_Toc91871183" </w:instrText>
      </w:r>
      <w:r>
        <w:fldChar w:fldCharType="separate"/>
      </w:r>
      <w:r>
        <w:rPr>
          <w:rStyle w:val="19"/>
          <w:rFonts w:eastAsia="宋体" w:cs="Times New Roman"/>
          <w:sz w:val="24"/>
          <w:szCs w:val="24"/>
          <w:lang w:eastAsia="zh-CN"/>
        </w:rPr>
        <w:t>7.</w:t>
      </w:r>
      <w:r>
        <w:rPr>
          <w:rFonts w:eastAsia="宋体" w:cs="Times New Roman"/>
          <w:b w:val="0"/>
          <w:bCs w:val="0"/>
          <w:i w:val="0"/>
          <w:kern w:val="2"/>
          <w:sz w:val="24"/>
          <w:szCs w:val="24"/>
          <w:lang w:eastAsia="zh-CN"/>
        </w:rPr>
        <w:tab/>
      </w:r>
      <w:r>
        <w:rPr>
          <w:rStyle w:val="19"/>
          <w:rFonts w:eastAsia="宋体" w:cs="Times New Roman"/>
          <w:sz w:val="24"/>
          <w:szCs w:val="24"/>
          <w:lang w:eastAsia="zh-CN"/>
        </w:rPr>
        <w:t>间歇采样</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_Toc91871183 \h </w:instrText>
      </w:r>
      <w:r>
        <w:rPr>
          <w:rFonts w:eastAsia="宋体" w:cs="Times New Roman"/>
          <w:sz w:val="24"/>
          <w:szCs w:val="24"/>
        </w:rPr>
        <w:fldChar w:fldCharType="separate"/>
      </w:r>
      <w:r>
        <w:rPr>
          <w:rFonts w:eastAsia="宋体" w:cs="Times New Roman"/>
          <w:sz w:val="24"/>
          <w:szCs w:val="24"/>
        </w:rPr>
        <w:t>25</w:t>
      </w:r>
      <w:r>
        <w:rPr>
          <w:rFonts w:eastAsia="宋体" w:cs="Times New Roman"/>
          <w:sz w:val="24"/>
          <w:szCs w:val="24"/>
        </w:rPr>
        <w:fldChar w:fldCharType="end"/>
      </w:r>
      <w:r>
        <w:rPr>
          <w:rFonts w:eastAsia="宋体" w:cs="Times New Roman"/>
          <w:sz w:val="24"/>
          <w:szCs w:val="24"/>
        </w:rPr>
        <w:fldChar w:fldCharType="end"/>
      </w:r>
    </w:p>
    <w:p w14:paraId="686C548B">
      <w:pPr>
        <w:pStyle w:val="8"/>
        <w:tabs>
          <w:tab w:val="right" w:leader="dot" w:pos="9061"/>
        </w:tabs>
        <w:adjustRightInd w:val="0"/>
        <w:snapToGrid w:val="0"/>
        <w:spacing w:before="36" w:beforeLines="15" w:line="276" w:lineRule="auto"/>
        <w:ind w:hanging="333"/>
        <w:rPr>
          <w:rFonts w:eastAsia="宋体" w:cs="Times New Roman"/>
          <w:b w:val="0"/>
          <w:bCs w:val="0"/>
          <w:i w:val="0"/>
          <w:kern w:val="2"/>
          <w:sz w:val="24"/>
          <w:szCs w:val="24"/>
          <w:lang w:eastAsia="zh-CN"/>
        </w:rPr>
      </w:pPr>
      <w:r>
        <w:fldChar w:fldCharType="begin"/>
      </w:r>
      <w:r>
        <w:instrText xml:space="preserve"> HYPERLINK \l "_Toc91871184" </w:instrText>
      </w:r>
      <w:r>
        <w:fldChar w:fldCharType="separate"/>
      </w:r>
      <w:r>
        <w:rPr>
          <w:rStyle w:val="19"/>
          <w:rFonts w:eastAsia="宋体" w:cs="Times New Roman"/>
          <w:sz w:val="24"/>
          <w:szCs w:val="24"/>
          <w:lang w:eastAsia="zh-CN"/>
        </w:rPr>
        <w:t>8.</w:t>
      </w:r>
      <w:r>
        <w:rPr>
          <w:rFonts w:eastAsia="宋体" w:cs="Times New Roman"/>
          <w:b w:val="0"/>
          <w:bCs w:val="0"/>
          <w:i w:val="0"/>
          <w:kern w:val="2"/>
          <w:sz w:val="24"/>
          <w:szCs w:val="24"/>
          <w:lang w:eastAsia="zh-CN"/>
        </w:rPr>
        <w:tab/>
      </w:r>
      <w:r>
        <w:rPr>
          <w:rStyle w:val="19"/>
          <w:rFonts w:eastAsia="宋体" w:cs="Times New Roman"/>
          <w:sz w:val="24"/>
          <w:szCs w:val="24"/>
          <w:lang w:eastAsia="zh-CN"/>
        </w:rPr>
        <w:t>使用用过的试纸进行检测</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_Toc91871184 \h </w:instrText>
      </w:r>
      <w:r>
        <w:rPr>
          <w:rFonts w:eastAsia="宋体" w:cs="Times New Roman"/>
          <w:sz w:val="24"/>
          <w:szCs w:val="24"/>
        </w:rPr>
        <w:fldChar w:fldCharType="separate"/>
      </w:r>
      <w:r>
        <w:rPr>
          <w:rFonts w:eastAsia="宋体" w:cs="Times New Roman"/>
          <w:sz w:val="24"/>
          <w:szCs w:val="24"/>
        </w:rPr>
        <w:t>26</w:t>
      </w:r>
      <w:r>
        <w:rPr>
          <w:rFonts w:eastAsia="宋体" w:cs="Times New Roman"/>
          <w:sz w:val="24"/>
          <w:szCs w:val="24"/>
        </w:rPr>
        <w:fldChar w:fldCharType="end"/>
      </w:r>
      <w:r>
        <w:rPr>
          <w:rFonts w:eastAsia="宋体" w:cs="Times New Roman"/>
          <w:sz w:val="24"/>
          <w:szCs w:val="24"/>
        </w:rPr>
        <w:fldChar w:fldCharType="end"/>
      </w:r>
    </w:p>
    <w:p w14:paraId="1EF43EA0">
      <w:pPr>
        <w:pStyle w:val="14"/>
        <w:tabs>
          <w:tab w:val="right" w:leader="dot" w:pos="9061"/>
        </w:tabs>
        <w:adjustRightInd w:val="0"/>
        <w:snapToGrid w:val="0"/>
        <w:spacing w:before="36" w:beforeLines="15" w:line="276" w:lineRule="auto"/>
        <w:rPr>
          <w:rFonts w:eastAsia="宋体" w:cs="Times New Roman"/>
          <w:kern w:val="2"/>
          <w:sz w:val="24"/>
          <w:szCs w:val="24"/>
          <w:lang w:eastAsia="zh-CN"/>
        </w:rPr>
      </w:pPr>
      <w:r>
        <w:fldChar w:fldCharType="begin"/>
      </w:r>
      <w:r>
        <w:instrText xml:space="preserve"> HYPERLINK \l "_Toc91871185" </w:instrText>
      </w:r>
      <w:r>
        <w:fldChar w:fldCharType="separate"/>
      </w:r>
      <w:r>
        <w:rPr>
          <w:rStyle w:val="19"/>
          <w:rFonts w:eastAsia="宋体" w:cs="Times New Roman"/>
          <w:sz w:val="24"/>
          <w:szCs w:val="24"/>
          <w:lang w:eastAsia="zh-CN"/>
        </w:rPr>
        <w:t>F.</w:t>
      </w:r>
      <w:r>
        <w:rPr>
          <w:rFonts w:eastAsia="宋体" w:cs="Times New Roman"/>
          <w:kern w:val="2"/>
          <w:sz w:val="24"/>
          <w:szCs w:val="24"/>
          <w:lang w:eastAsia="zh-CN"/>
        </w:rPr>
        <w:tab/>
      </w:r>
      <w:r>
        <w:rPr>
          <w:rStyle w:val="19"/>
          <w:rFonts w:eastAsia="宋体" w:cs="Times New Roman"/>
          <w:sz w:val="24"/>
          <w:szCs w:val="24"/>
          <w:lang w:eastAsia="zh-CN"/>
        </w:rPr>
        <w:t>血糖仪校准和质控品</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_Toc91871185 \h </w:instrText>
      </w:r>
      <w:r>
        <w:rPr>
          <w:rFonts w:eastAsia="宋体" w:cs="Times New Roman"/>
          <w:sz w:val="24"/>
          <w:szCs w:val="24"/>
        </w:rPr>
        <w:fldChar w:fldCharType="separate"/>
      </w:r>
      <w:r>
        <w:rPr>
          <w:rFonts w:eastAsia="宋体" w:cs="Times New Roman"/>
          <w:sz w:val="24"/>
          <w:szCs w:val="24"/>
        </w:rPr>
        <w:t>26</w:t>
      </w:r>
      <w:r>
        <w:rPr>
          <w:rFonts w:eastAsia="宋体" w:cs="Times New Roman"/>
          <w:sz w:val="24"/>
          <w:szCs w:val="24"/>
        </w:rPr>
        <w:fldChar w:fldCharType="end"/>
      </w:r>
      <w:r>
        <w:rPr>
          <w:rFonts w:eastAsia="宋体" w:cs="Times New Roman"/>
          <w:sz w:val="24"/>
          <w:szCs w:val="24"/>
        </w:rPr>
        <w:fldChar w:fldCharType="end"/>
      </w:r>
    </w:p>
    <w:p w14:paraId="1B1349B5">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"_Toc91871186" </w:instrText>
      </w:r>
      <w:r>
        <w:fldChar w:fldCharType="separate"/>
      </w:r>
      <w:r>
        <w:rPr>
          <w:rStyle w:val="19"/>
          <w:rFonts w:eastAsia="宋体" w:cs="Times New Roman"/>
          <w:sz w:val="24"/>
          <w:szCs w:val="24"/>
          <w:lang w:eastAsia="zh-CN"/>
        </w:rPr>
        <w:t>VII.</w:t>
      </w:r>
      <w:r>
        <w:rPr>
          <w:rFonts w:eastAsia="宋体" w:cs="Times New Roman"/>
          <w:b w:val="0"/>
          <w:bCs w:val="0"/>
          <w:kern w:val="2"/>
          <w:sz w:val="24"/>
          <w:szCs w:val="24"/>
          <w:lang w:eastAsia="zh-CN"/>
        </w:rPr>
        <w:tab/>
      </w:r>
      <w:r>
        <w:rPr>
          <w:rStyle w:val="19"/>
          <w:rFonts w:eastAsia="宋体" w:cs="Times New Roman"/>
          <w:sz w:val="24"/>
          <w:szCs w:val="24"/>
          <w:lang w:eastAsia="zh-CN"/>
        </w:rPr>
        <w:t>试纸批次放行标准</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_Toc91871186 \h </w:instrText>
      </w:r>
      <w:r>
        <w:rPr>
          <w:rFonts w:eastAsia="宋体" w:cs="Times New Roman"/>
          <w:sz w:val="24"/>
          <w:szCs w:val="24"/>
        </w:rPr>
        <w:fldChar w:fldCharType="separate"/>
      </w:r>
      <w:r>
        <w:rPr>
          <w:rFonts w:eastAsia="宋体" w:cs="Times New Roman"/>
          <w:sz w:val="24"/>
          <w:szCs w:val="24"/>
        </w:rPr>
        <w:t>26</w:t>
      </w:r>
      <w:r>
        <w:rPr>
          <w:rFonts w:eastAsia="宋体" w:cs="Times New Roman"/>
          <w:sz w:val="24"/>
          <w:szCs w:val="24"/>
        </w:rPr>
        <w:fldChar w:fldCharType="end"/>
      </w:r>
      <w:r>
        <w:rPr>
          <w:rFonts w:eastAsia="宋体" w:cs="Times New Roman"/>
          <w:sz w:val="24"/>
          <w:szCs w:val="24"/>
        </w:rPr>
        <w:fldChar w:fldCharType="end"/>
      </w:r>
    </w:p>
    <w:p w14:paraId="4DFF6677">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"_Toc91871187" </w:instrText>
      </w:r>
      <w:r>
        <w:fldChar w:fldCharType="separate"/>
      </w:r>
      <w:r>
        <w:rPr>
          <w:rStyle w:val="19"/>
          <w:rFonts w:eastAsia="宋体" w:cs="Times New Roman"/>
          <w:sz w:val="24"/>
          <w:szCs w:val="24"/>
          <w:lang w:eastAsia="zh-CN"/>
        </w:rPr>
        <w:t>VIII.</w:t>
      </w:r>
      <w:r>
        <w:rPr>
          <w:rFonts w:eastAsia="宋体" w:cs="Times New Roman"/>
          <w:b w:val="0"/>
          <w:bCs w:val="0"/>
          <w:kern w:val="2"/>
          <w:sz w:val="24"/>
          <w:szCs w:val="24"/>
          <w:lang w:eastAsia="zh-CN"/>
        </w:rPr>
        <w:tab/>
      </w:r>
      <w:r>
        <w:rPr>
          <w:rStyle w:val="19"/>
          <w:rFonts w:eastAsia="宋体" w:cs="Times New Roman"/>
          <w:sz w:val="24"/>
          <w:szCs w:val="24"/>
          <w:lang w:eastAsia="zh-CN"/>
        </w:rPr>
        <w:t>第三方试纸</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_Toc91871187 \h </w:instrText>
      </w:r>
      <w:r>
        <w:rPr>
          <w:rFonts w:eastAsia="宋体" w:cs="Times New Roman"/>
          <w:sz w:val="24"/>
          <w:szCs w:val="24"/>
        </w:rPr>
        <w:fldChar w:fldCharType="separate"/>
      </w:r>
      <w:r>
        <w:rPr>
          <w:rFonts w:eastAsia="宋体" w:cs="Times New Roman"/>
          <w:sz w:val="24"/>
          <w:szCs w:val="24"/>
        </w:rPr>
        <w:t>27</w:t>
      </w:r>
      <w:r>
        <w:rPr>
          <w:rFonts w:eastAsia="宋体" w:cs="Times New Roman"/>
          <w:sz w:val="24"/>
          <w:szCs w:val="24"/>
        </w:rPr>
        <w:fldChar w:fldCharType="end"/>
      </w:r>
      <w:r>
        <w:rPr>
          <w:rFonts w:eastAsia="宋体" w:cs="Times New Roman"/>
          <w:sz w:val="24"/>
          <w:szCs w:val="24"/>
        </w:rPr>
        <w:fldChar w:fldCharType="end"/>
      </w:r>
    </w:p>
    <w:p w14:paraId="5A0AC888">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"_Toc91871188" </w:instrText>
      </w:r>
      <w:r>
        <w:fldChar w:fldCharType="separate"/>
      </w:r>
      <w:r>
        <w:rPr>
          <w:rStyle w:val="19"/>
          <w:rFonts w:eastAsia="宋体" w:cs="Times New Roman"/>
          <w:sz w:val="24"/>
          <w:szCs w:val="24"/>
          <w:lang w:eastAsia="zh-CN"/>
        </w:rPr>
        <w:t>IX.</w:t>
      </w:r>
      <w:r>
        <w:rPr>
          <w:rFonts w:eastAsia="宋体" w:cs="Times New Roman"/>
          <w:b w:val="0"/>
          <w:bCs w:val="0"/>
          <w:kern w:val="2"/>
          <w:sz w:val="24"/>
          <w:szCs w:val="24"/>
          <w:lang w:eastAsia="zh-CN"/>
        </w:rPr>
        <w:tab/>
      </w:r>
      <w:r>
        <w:rPr>
          <w:rStyle w:val="19"/>
          <w:rFonts w:eastAsia="宋体" w:cs="Times New Roman"/>
          <w:sz w:val="24"/>
          <w:szCs w:val="24"/>
          <w:lang w:eastAsia="zh-CN"/>
        </w:rPr>
        <w:t>软件</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_Toc91871188 \h </w:instrText>
      </w:r>
      <w:r>
        <w:rPr>
          <w:rFonts w:eastAsia="宋体" w:cs="Times New Roman"/>
          <w:sz w:val="24"/>
          <w:szCs w:val="24"/>
        </w:rPr>
        <w:fldChar w:fldCharType="separate"/>
      </w:r>
      <w:r>
        <w:rPr>
          <w:rFonts w:eastAsia="宋体" w:cs="Times New Roman"/>
          <w:sz w:val="24"/>
          <w:szCs w:val="24"/>
        </w:rPr>
        <w:t>27</w:t>
      </w:r>
      <w:r>
        <w:rPr>
          <w:rFonts w:eastAsia="宋体" w:cs="Times New Roman"/>
          <w:sz w:val="24"/>
          <w:szCs w:val="24"/>
        </w:rPr>
        <w:fldChar w:fldCharType="end"/>
      </w:r>
      <w:r>
        <w:rPr>
          <w:rFonts w:eastAsia="宋体" w:cs="Times New Roman"/>
          <w:sz w:val="24"/>
          <w:szCs w:val="24"/>
        </w:rPr>
        <w:fldChar w:fldCharType="end"/>
      </w:r>
    </w:p>
    <w:p w14:paraId="6ABBF96C">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"_Toc91871189" </w:instrText>
      </w:r>
      <w:r>
        <w:fldChar w:fldCharType="separate"/>
      </w:r>
      <w:r>
        <w:rPr>
          <w:rStyle w:val="19"/>
          <w:rFonts w:eastAsia="宋体" w:cs="Times New Roman"/>
          <w:sz w:val="24"/>
          <w:szCs w:val="24"/>
        </w:rPr>
        <w:t>X.</w:t>
      </w:r>
      <w:r>
        <w:rPr>
          <w:rFonts w:eastAsia="宋体" w:cs="Times New Roman"/>
          <w:b w:val="0"/>
          <w:bCs w:val="0"/>
          <w:kern w:val="2"/>
          <w:sz w:val="24"/>
          <w:szCs w:val="24"/>
          <w:lang w:eastAsia="zh-CN"/>
        </w:rPr>
        <w:tab/>
      </w:r>
      <w:r>
        <w:rPr>
          <w:rFonts w:hint="eastAsia" w:eastAsia="宋体" w:cs="Times New Roman"/>
          <w:bCs w:val="0"/>
          <w:kern w:val="2"/>
          <w:sz w:val="24"/>
          <w:szCs w:val="24"/>
          <w:lang w:eastAsia="zh-CN"/>
        </w:rPr>
        <w:t>标签</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_Toc91871189 \h </w:instrText>
      </w:r>
      <w:r>
        <w:rPr>
          <w:rFonts w:eastAsia="宋体" w:cs="Times New Roman"/>
          <w:sz w:val="24"/>
          <w:szCs w:val="24"/>
        </w:rPr>
        <w:fldChar w:fldCharType="separate"/>
      </w:r>
      <w:r>
        <w:rPr>
          <w:rFonts w:eastAsia="宋体" w:cs="Times New Roman"/>
          <w:sz w:val="24"/>
          <w:szCs w:val="24"/>
        </w:rPr>
        <w:t>28</w:t>
      </w:r>
      <w:r>
        <w:rPr>
          <w:rFonts w:eastAsia="宋体" w:cs="Times New Roman"/>
          <w:sz w:val="24"/>
          <w:szCs w:val="24"/>
        </w:rPr>
        <w:fldChar w:fldCharType="end"/>
      </w:r>
      <w:r>
        <w:rPr>
          <w:rFonts w:eastAsia="宋体" w:cs="Times New Roman"/>
          <w:sz w:val="24"/>
          <w:szCs w:val="24"/>
        </w:rPr>
        <w:fldChar w:fldCharType="end"/>
      </w:r>
    </w:p>
    <w:p w14:paraId="485C9347">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"_Toc91871190" </w:instrText>
      </w:r>
      <w:r>
        <w:fldChar w:fldCharType="separate"/>
      </w:r>
      <w:r>
        <w:rPr>
          <w:rStyle w:val="19"/>
          <w:rFonts w:eastAsia="宋体" w:cs="Times New Roman"/>
          <w:sz w:val="24"/>
          <w:szCs w:val="24"/>
          <w:lang w:eastAsia="zh-CN"/>
        </w:rPr>
        <w:t>附录1.SMBG需要考虑的误差来源</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_Toc91871190 \h </w:instrText>
      </w:r>
      <w:r>
        <w:rPr>
          <w:rFonts w:eastAsia="宋体" w:cs="Times New Roman"/>
          <w:sz w:val="24"/>
          <w:szCs w:val="24"/>
        </w:rPr>
        <w:fldChar w:fldCharType="separate"/>
      </w:r>
      <w:r>
        <w:rPr>
          <w:rFonts w:eastAsia="宋体" w:cs="Times New Roman"/>
          <w:sz w:val="24"/>
          <w:szCs w:val="24"/>
        </w:rPr>
        <w:t>35</w:t>
      </w:r>
      <w:r>
        <w:rPr>
          <w:rFonts w:eastAsia="宋体" w:cs="Times New Roman"/>
          <w:sz w:val="24"/>
          <w:szCs w:val="24"/>
        </w:rPr>
        <w:fldChar w:fldCharType="end"/>
      </w:r>
      <w:r>
        <w:rPr>
          <w:rFonts w:eastAsia="宋体" w:cs="Times New Roman"/>
          <w:sz w:val="24"/>
          <w:szCs w:val="24"/>
        </w:rPr>
        <w:fldChar w:fldCharType="end"/>
      </w:r>
    </w:p>
    <w:p w14:paraId="228AEBFA">
      <w:pPr>
        <w:pStyle w:val="12"/>
        <w:tabs>
          <w:tab w:val="right" w:leader="dot" w:pos="9061"/>
        </w:tabs>
        <w:adjustRightInd w:val="0"/>
        <w:snapToGrid w:val="0"/>
        <w:spacing w:before="36" w:beforeLines="15" w:line="276" w:lineRule="auto"/>
        <w:ind w:hanging="700"/>
        <w:rPr>
          <w:rFonts w:eastAsia="宋体" w:cs="Times New Roman"/>
          <w:b w:val="0"/>
          <w:bCs w:val="0"/>
          <w:kern w:val="2"/>
          <w:sz w:val="24"/>
          <w:szCs w:val="24"/>
          <w:lang w:eastAsia="zh-CN"/>
        </w:rPr>
      </w:pPr>
      <w:r>
        <w:fldChar w:fldCharType="begin"/>
      </w:r>
      <w:r>
        <w:instrText xml:space="preserve"> HYPERLINK \l "_Toc91871191" </w:instrText>
      </w:r>
      <w:r>
        <w:fldChar w:fldCharType="separate"/>
      </w:r>
      <w:r>
        <w:rPr>
          <w:rStyle w:val="19"/>
          <w:rFonts w:eastAsia="宋体" w:cs="Times New Roman"/>
          <w:sz w:val="24"/>
          <w:szCs w:val="24"/>
          <w:lang w:eastAsia="zh-CN"/>
        </w:rPr>
        <w:t>附录2.特殊510(k)与SMBG</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_Toc91871191 \h </w:instrText>
      </w:r>
      <w:r>
        <w:rPr>
          <w:rFonts w:eastAsia="宋体" w:cs="Times New Roman"/>
          <w:sz w:val="24"/>
          <w:szCs w:val="24"/>
        </w:rPr>
        <w:fldChar w:fldCharType="separate"/>
      </w:r>
      <w:r>
        <w:rPr>
          <w:rFonts w:eastAsia="宋体" w:cs="Times New Roman"/>
          <w:sz w:val="24"/>
          <w:szCs w:val="24"/>
        </w:rPr>
        <w:t>38</w:t>
      </w:r>
      <w:r>
        <w:rPr>
          <w:rFonts w:eastAsia="宋体" w:cs="Times New Roman"/>
          <w:sz w:val="24"/>
          <w:szCs w:val="24"/>
        </w:rPr>
        <w:fldChar w:fldCharType="end"/>
      </w:r>
      <w:r>
        <w:rPr>
          <w:rFonts w:eastAsia="宋体" w:cs="Times New Roman"/>
          <w:sz w:val="24"/>
          <w:szCs w:val="24"/>
        </w:rPr>
        <w:fldChar w:fldCharType="end"/>
      </w:r>
    </w:p>
    <w:p w14:paraId="468B9FD9">
      <w:pPr>
        <w:pStyle w:val="12"/>
        <w:tabs>
          <w:tab w:val="left" w:pos="499"/>
          <w:tab w:val="right" w:leader="dot" w:pos="9090"/>
        </w:tabs>
        <w:adjustRightInd w:val="0"/>
        <w:snapToGrid w:val="0"/>
        <w:spacing w:before="36" w:beforeLines="15" w:line="276" w:lineRule="auto"/>
        <w:ind w:left="0" w:firstLine="0"/>
        <w:jc w:val="both"/>
        <w:rPr>
          <w:rFonts w:eastAsia="宋体" w:cs="Times New Roman"/>
          <w:snapToGrid w:val="0"/>
          <w:sz w:val="24"/>
          <w:szCs w:val="24"/>
          <w:lang w:eastAsia="zh-CN"/>
        </w:rPr>
        <w:sectPr>
          <w:headerReference r:id="rId3" w:type="default"/>
          <w:pgSz w:w="11907" w:h="16839"/>
          <w:pgMar w:top="1418" w:right="1418" w:bottom="1418" w:left="1418" w:header="720" w:footer="720" w:gutter="0"/>
          <w:cols w:space="720" w:num="1"/>
          <w:docGrid w:linePitch="299" w:charSpace="0"/>
        </w:sectPr>
      </w:pPr>
      <w:r>
        <w:rPr>
          <w:rFonts w:eastAsia="宋体" w:cs="Times New Roman"/>
          <w:snapToGrid w:val="0"/>
          <w:sz w:val="24"/>
          <w:szCs w:val="24"/>
        </w:rPr>
        <w:fldChar w:fldCharType="end"/>
      </w:r>
      <w:bookmarkStart w:id="0" w:name="Introduction"/>
      <w:bookmarkEnd w:id="0"/>
      <w:r>
        <w:rPr>
          <w:rFonts w:eastAsia="宋体" w:cs="宋体"/>
          <w:sz w:val="24"/>
        </w:rPr>
        <w:br w:type="page"/>
      </w:r>
    </w:p>
    <w:p w14:paraId="7580335A">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非处方用自我监测血糖测试系统</w:t>
      </w:r>
    </w:p>
    <w:p w14:paraId="523EF6A2">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行业和美国食品药品</w:t>
      </w:r>
      <w:r>
        <w:rPr>
          <w:rFonts w:hint="eastAsia" w:ascii="Times New Roman" w:hAnsi="Times New Roman" w:eastAsia="宋体" w:cs="宋体"/>
          <w:b/>
          <w:sz w:val="44"/>
          <w:lang w:eastAsia="zh-CN"/>
        </w:rPr>
        <w:t>监督</w:t>
      </w:r>
      <w:r>
        <w:rPr>
          <w:rFonts w:ascii="Times New Roman" w:hAnsi="Times New Roman" w:eastAsia="宋体" w:cs="宋体"/>
          <w:b/>
          <w:sz w:val="44"/>
          <w:lang w:eastAsia="zh-CN"/>
        </w:rPr>
        <w:t>管理局工作人员指南</w:t>
      </w:r>
    </w:p>
    <w:tbl>
      <w:tblPr>
        <w:tblStyle w:val="21"/>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171FF38E">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54889744">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1"/>
                <w:lang w:eastAsia="zh-CN"/>
              </w:rPr>
              <w:t>本指南代表美国食品药品监督管理局（FDA或本机构）目前关于该主题的思考。本指南不会为任何人创造或赋予任何权利，也不会对FDA或公众产生约束。如果替代方法满足适用的法律法规的要求，则可以使用该替代方法。如需讨论替代方法，请联系标题页负责实施本指南文件的FDA工作人员或办公室。</w:t>
            </w:r>
          </w:p>
        </w:tc>
      </w:tr>
    </w:tbl>
    <w:p w14:paraId="3FCF5EF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17BBF91">
      <w:pPr>
        <w:pStyle w:val="27"/>
        <w:rPr>
          <w:rFonts w:eastAsia="宋体"/>
          <w:lang w:eastAsia="zh-CN"/>
        </w:rPr>
      </w:pPr>
      <w:bookmarkStart w:id="1" w:name="_Toc91871160"/>
      <w:r>
        <w:rPr>
          <w:rFonts w:eastAsia="宋体" w:cs="宋体"/>
          <w:lang w:eastAsia="zh-CN"/>
        </w:rPr>
        <w:t>I.</w:t>
      </w:r>
      <w:r>
        <w:rPr>
          <w:rFonts w:eastAsia="宋体" w:cs="宋体"/>
          <w:lang w:eastAsia="zh-CN"/>
        </w:rPr>
        <w:tab/>
      </w:r>
      <w:r>
        <w:rPr>
          <w:rFonts w:eastAsia="宋体" w:cs="宋体"/>
          <w:lang w:eastAsia="zh-CN"/>
        </w:rPr>
        <w:t>引言</w:t>
      </w:r>
      <w:bookmarkEnd w:id="1"/>
    </w:p>
    <w:p w14:paraId="5370E53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本指南文件描述了FDA建议在提交供非专业用户家庭非处方（OTC）使用的自我监测血糖测试系统（SMBG）上市前通知（510(k)）时使用的研究和信息。</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本指南文件用于指导制造商对此类器械开展适当的性能研究和准备510(k)申报资料，取代2016年10月11日发布的标题为《非处方用自我监测血糖测试系统》的最终版指南。</w:t>
      </w:r>
    </w:p>
    <w:p w14:paraId="2D16F42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本指南不涉及预期在专业医疗保健环境（例如，医院、医生办公室、长期护理机构）中用于处方床旁检测用血糖监测系统。FDA在另一份标题为《</w:t>
      </w:r>
      <w:r>
        <w:fldChar w:fldCharType="begin"/>
      </w:r>
      <w:r>
        <w:rPr>
          <w:lang w:eastAsia="zh-CN"/>
        </w:rPr>
        <w:instrText xml:space="preserve"> HYPERLINK "https://www.fda.gov/regulatory-information/search-fda-guidance-documents/blood-glucose-monitoring-test-systems-prescription-point-care-use" \h </w:instrText>
      </w:r>
      <w:r>
        <w:fldChar w:fldCharType="separate"/>
      </w:r>
      <w:r>
        <w:rPr>
          <w:rFonts w:ascii="Times New Roman" w:hAnsi="Times New Roman" w:eastAsia="宋体" w:cs="宋体"/>
          <w:snapToGrid w:val="0"/>
          <w:color w:val="0000FF"/>
          <w:sz w:val="24"/>
          <w:szCs w:val="24"/>
          <w:u w:val="single" w:color="0000FF"/>
          <w:lang w:eastAsia="zh-CN"/>
        </w:rPr>
        <w:t>处方床旁检测用血糖监测系统</w:t>
      </w:r>
      <w:r>
        <w:rPr>
          <w:rFonts w:ascii="宋体" w:hAnsi="宋体" w:eastAsia="宋体" w:cs="宋体"/>
          <w:snapToGrid w:val="0"/>
          <w:color w:val="0000FF"/>
          <w:sz w:val="24"/>
          <w:szCs w:val="24"/>
          <w:u w:val="single" w:color="0000FF"/>
        </w:rPr>
        <w:fldChar w:fldCharType="end"/>
      </w:r>
      <w:r>
        <w:rPr>
          <w:rFonts w:ascii="Times New Roman" w:hAnsi="Times New Roman" w:eastAsia="宋体" w:cs="宋体"/>
          <w:sz w:val="24"/>
          <w:lang w:eastAsia="zh-CN"/>
        </w:rPr>
        <w:t>》的指南</w:t>
      </w:r>
      <w:r>
        <w:rPr>
          <w:rFonts w:ascii="Times New Roman" w:hAnsi="Times New Roman" w:eastAsia="宋体" w:cs="宋体"/>
          <w:color w:val="000000"/>
          <w:sz w:val="24"/>
          <w:lang w:eastAsia="zh-CN"/>
        </w:rPr>
        <w:t>（BGMS指南）中讨论了这些器械类型。</w:t>
      </w:r>
      <w:r>
        <w:rPr>
          <w:rFonts w:ascii="Times New Roman" w:hAnsi="Times New Roman" w:eastAsia="宋体" w:cs="宋体"/>
          <w:color w:val="000000"/>
          <w:sz w:val="24"/>
          <w:vertAlign w:val="superscript"/>
          <w:lang w:eastAsia="zh-CN"/>
        </w:rPr>
        <w:t>2</w:t>
      </w:r>
      <w:r>
        <w:rPr>
          <w:rFonts w:ascii="Times New Roman" w:hAnsi="Times New Roman" w:eastAsia="宋体" w:cs="宋体"/>
          <w:color w:val="000000"/>
          <w:sz w:val="24"/>
          <w:lang w:eastAsia="zh-CN"/>
        </w:rPr>
        <w:t>FDA还发布了另一份BGMS指南，以反映与本指南所述内容相似的澄清。</w:t>
      </w:r>
    </w:p>
    <w:p w14:paraId="64A26A31">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5D0BFB4">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457376D">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0F64509">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2C34E9A">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9AB25BC">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5D39B8D">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2034C8A">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39BF537">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11B29D5">
      <w:pPr>
        <w:tabs>
          <w:tab w:val="left" w:pos="414"/>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__________________________</w:t>
      </w:r>
    </w:p>
    <w:p w14:paraId="2A209B9C">
      <w:pPr>
        <w:tabs>
          <w:tab w:val="left" w:pos="414"/>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虽然大多数SMBG器械预期供家庭使用，但本文件也适用于按照医护专业人员的处方获得的家庭用SMBG器械。</w:t>
      </w:r>
    </w:p>
    <w:p w14:paraId="3FFE713C">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rPr>
        <w:t>2</w:t>
      </w:r>
      <w:r>
        <w:rPr>
          <w:rFonts w:ascii="Times New Roman" w:hAnsi="Times New Roman" w:eastAsia="宋体" w:cs="宋体"/>
          <w:sz w:val="21"/>
        </w:rPr>
        <w:t>可登录以下网址获取：</w:t>
      </w:r>
      <w:r>
        <w:fldChar w:fldCharType="begin"/>
      </w:r>
      <w:r>
        <w:instrText xml:space="preserve"> HYPERLINK "https://www.fda.gov/regulatory-information/search-fda-guidance-documents/blood-glucose-monitoring-test-systems-prescription-point-care-use"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https://www.fda.gov/regulatory-information/search-fda-guidance-documents/blood-glucose-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u w:val="single"/>
        </w:rPr>
        <w:t>monitoring-test-systems-prescription-point-care-use</w:t>
      </w:r>
      <w:r>
        <w:rPr>
          <w:rFonts w:ascii="Times New Roman" w:hAnsi="Times New Roman" w:eastAsia="宋体" w:cs="宋体"/>
          <w:sz w:val="21"/>
        </w:rPr>
        <w:t>。</w:t>
      </w:r>
    </w:p>
    <w:p w14:paraId="1F4AE22A">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16D3372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本文件中引用的FDA认可标准的最新版本参见</w:t>
      </w:r>
      <w:r>
        <w:fldChar w:fldCharType="begin"/>
      </w:r>
      <w:r>
        <w:rPr>
          <w:lang w:eastAsia="zh-CN"/>
        </w:rP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lang w:eastAsia="zh-CN"/>
        </w:rPr>
        <w:t>FDA认可共识标准数据库</w:t>
      </w:r>
      <w:r>
        <w:rPr>
          <w:rFonts w:ascii="宋体" w:hAnsi="宋体" w:eastAsia="宋体" w:cs="宋体"/>
          <w:snapToGrid w:val="0"/>
          <w:color w:val="0000FF"/>
          <w:sz w:val="24"/>
          <w:szCs w:val="24"/>
          <w:u w:val="single" w:color="0000FF"/>
        </w:rPr>
        <w:fldChar w:fldCharType="end"/>
      </w:r>
      <w:r>
        <w:rPr>
          <w:rFonts w:ascii="Times New Roman" w:hAnsi="Times New Roman" w:eastAsia="宋体" w:cs="宋体"/>
          <w:sz w:val="24"/>
          <w:lang w:eastAsia="zh-CN"/>
        </w:rPr>
        <w:t>网站</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w:t>
      </w:r>
      <w:r>
        <w:rPr>
          <w:rFonts w:hint="eastAsia" w:ascii="Times New Roman" w:hAnsi="Times New Roman" w:eastAsia="宋体" w:cs="宋体"/>
          <w:color w:val="000000"/>
          <w:sz w:val="24"/>
          <w:lang w:eastAsia="zh-CN"/>
        </w:rPr>
        <w:t>有关共识标准在注册申报中的使用的更多信息，请参见FDA发布的标题为《自愿共识标准在医疗器械上市前提交中的合理使用》</w:t>
      </w:r>
      <w:r>
        <w:rPr>
          <w:rFonts w:ascii="Times New Roman" w:hAnsi="Times New Roman" w:eastAsia="宋体" w:cs="宋体"/>
          <w:sz w:val="24"/>
          <w:vertAlign w:val="superscript"/>
          <w:lang w:eastAsia="zh-CN"/>
        </w:rPr>
        <w:t>4</w:t>
      </w:r>
      <w:r>
        <w:rPr>
          <w:rFonts w:hint="eastAsia" w:ascii="Times New Roman" w:hAnsi="Times New Roman" w:eastAsia="宋体" w:cs="宋体"/>
          <w:color w:val="000000"/>
          <w:sz w:val="24"/>
          <w:lang w:eastAsia="zh-CN"/>
        </w:rPr>
        <w:t>的指南</w:t>
      </w:r>
      <w:r>
        <w:rPr>
          <w:rFonts w:ascii="Times New Roman" w:hAnsi="Times New Roman" w:eastAsia="宋体" w:cs="宋体"/>
          <w:color w:val="000000"/>
          <w:sz w:val="24"/>
          <w:lang w:eastAsia="zh-CN"/>
        </w:rPr>
        <w:t>。</w:t>
      </w:r>
    </w:p>
    <w:p w14:paraId="1EC5B418">
      <w:pPr>
        <w:pStyle w:val="27"/>
        <w:rPr>
          <w:rFonts w:eastAsia="宋体"/>
          <w:lang w:eastAsia="zh-CN"/>
        </w:rPr>
      </w:pPr>
      <w:r>
        <w:rPr>
          <w:rFonts w:hint="eastAsia" w:eastAsia="宋体" w:cs="宋体"/>
          <w:sz w:val="24"/>
          <w:lang w:eastAsia="zh-CN"/>
        </w:rPr>
        <w:t>FDA指导性文件，包括本指南在内，不具有法律强制责任。相反，该指南表明了政府专门机构关于该主题的当前思考，除引用具体的法规或法律要求之外，本指南仅供推荐性使用。在本指南中使用的词语“应该”是指建议或推荐，并非强制要求。</w:t>
      </w:r>
      <w:bookmarkStart w:id="2" w:name="_Toc91871161"/>
      <w:r>
        <w:rPr>
          <w:rFonts w:eastAsia="宋体" w:cs="宋体"/>
          <w:lang w:eastAsia="zh-CN"/>
        </w:rPr>
        <w:t>II.</w:t>
      </w:r>
      <w:r>
        <w:rPr>
          <w:rFonts w:eastAsia="宋体" w:cs="宋体"/>
          <w:lang w:eastAsia="zh-CN"/>
        </w:rPr>
        <w:tab/>
      </w:r>
      <w:r>
        <w:rPr>
          <w:rFonts w:eastAsia="宋体" w:cs="宋体"/>
          <w:lang w:eastAsia="zh-CN"/>
        </w:rPr>
        <w:t>背景</w:t>
      </w:r>
      <w:bookmarkEnd w:id="2"/>
    </w:p>
    <w:p w14:paraId="219AC99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每天有数百万的糖尿病患者使用测量血糖值的便携式血糖仪辅助糖尿病自我管理。患者在各种环境下使用这些器械，包括在家中、工作场所和学校。</w:t>
      </w:r>
    </w:p>
    <w:p w14:paraId="4A34B3F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历史上，FDA对供医护专业人员使用的血糖监测系统（BGMS）建议的上市前申报资料（510(k)）信息类型与供非专业用户在家中使用的SMBG并无不同。但是，人们越发清晰地认识到，这些不同的使用环境包括具有独特特征的不同预期使用人群和不同的器械设计规范，制造商在设计器械时应考虑到这一点。专业医疗保健环境中的患者可能患有急性病，身体虚弱，并且与非专业用户相比，更有可能出现干扰血糖测量的生理和病理因素。此外，术语“非专业用户”包括一组在年龄、灵巧度、视力、接受的检测培训以及对患者准确使用器械和判读检测结果的能力至关重要的其他因素中范围广泛的个体。最后，与在专业环境中使用的器械相比，非专业用户使用的SMBG和相关试纸也更有可能面对不同的贮存和处理条件。因此，SMBG的设计应该更加稳定和可靠，以适应实际使用条件。本机构建议制造商考虑有助于用户可达性的设计特性（例如，可提高视力障碍用户可达性的特性）。</w:t>
      </w:r>
    </w:p>
    <w:p w14:paraId="62EA0711">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为了区分在床旁专业医疗保健环境下使用的处方用血糖仪和供非专业用户在家中自我监测的血糖仪，FDA针对(i)在床旁专业医疗保健环境下使用的BGMS</w:t>
      </w:r>
      <w:r>
        <w:rPr>
          <w:rFonts w:hint="eastAsia" w:ascii="Times New Roman" w:hAnsi="Times New Roman" w:eastAsia="宋体" w:cs="宋体"/>
          <w:sz w:val="24"/>
          <w:lang w:eastAsia="zh-CN"/>
        </w:rPr>
        <w:t>；</w:t>
      </w:r>
      <w:r>
        <w:rPr>
          <w:rFonts w:ascii="Times New Roman" w:hAnsi="Times New Roman" w:eastAsia="宋体" w:cs="宋体"/>
          <w:sz w:val="24"/>
          <w:lang w:eastAsia="zh-CN"/>
        </w:rPr>
        <w:t>(ii)供非专业用户在家中自我监测的SMBG发布了两个单独的指南。FDA认为，通过这种区分，可以更好地设计SMBG，以符合其预期使用人群的需求，从而提供更高的安全性和有效性。</w:t>
      </w:r>
    </w:p>
    <w:p w14:paraId="471DF150">
      <w:pPr>
        <w:adjustRightInd w:val="0"/>
        <w:snapToGrid w:val="0"/>
        <w:spacing w:before="120" w:beforeLines="50" w:line="300" w:lineRule="auto"/>
        <w:jc w:val="both"/>
        <w:rPr>
          <w:rFonts w:ascii="Times New Roman" w:hAnsi="Times New Roman" w:eastAsia="宋体" w:cs="宋体"/>
          <w:sz w:val="24"/>
          <w:lang w:eastAsia="zh-CN"/>
        </w:rPr>
      </w:pPr>
    </w:p>
    <w:p w14:paraId="62BF779B">
      <w:pPr>
        <w:adjustRightInd w:val="0"/>
        <w:snapToGrid w:val="0"/>
        <w:spacing w:before="120" w:beforeLines="50" w:line="300" w:lineRule="auto"/>
        <w:jc w:val="both"/>
        <w:rPr>
          <w:rFonts w:ascii="Times New Roman" w:hAnsi="Times New Roman" w:eastAsia="宋体" w:cs="宋体"/>
          <w:sz w:val="24"/>
          <w:lang w:eastAsia="zh-CN"/>
        </w:rPr>
      </w:pPr>
    </w:p>
    <w:p w14:paraId="665C649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8B517E">
      <w:pPr>
        <w:tabs>
          <w:tab w:val="left" w:pos="23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58C20C70">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rPr>
        <w:t>3 可登录以下网址获取：</w:t>
      </w:r>
      <w:r>
        <w:fldChar w:fldCharType="begin"/>
      </w:r>
      <w: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1"/>
          <w:szCs w:val="21"/>
          <w:u w:val="single" w:color="0000FF"/>
        </w:rPr>
        <w:t>https://www.accessdata.fda.gov/scripts/cdrh/cfdocs/cfStandards/search.cfm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7641156">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rPr>
        <w:t>4 可登录以下网址获取：</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https://www.fda.gov/regulatory-information/search-fda-guidance-documents/appropriate-use-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voluntary-consensus-standards-premarket-submissions-medical-devices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44F9DDB8">
      <w:pPr>
        <w:rPr>
          <w:rFonts w:ascii="Times New Roman" w:hAnsi="Times New Roman" w:eastAsia="宋体" w:cs="Times New Roman"/>
          <w:snapToGrid w:val="0"/>
          <w:sz w:val="24"/>
          <w:szCs w:val="24"/>
          <w:lang w:eastAsia="zh-CN"/>
        </w:rPr>
      </w:pPr>
      <w:bookmarkStart w:id="3" w:name="Scope"/>
      <w:bookmarkEnd w:id="3"/>
      <w:r>
        <w:rPr>
          <w:rFonts w:ascii="Times New Roman" w:hAnsi="Times New Roman" w:eastAsia="宋体" w:cs="宋体"/>
          <w:sz w:val="24"/>
        </w:rPr>
        <w:br w:type="page"/>
      </w:r>
    </w:p>
    <w:p w14:paraId="40BBAEA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近年来，与血糖仪和采血器相关的感染控制问题引起了人们的关注。医疗保险和医疗补助服务中心（CMS）和疾病控制和预防中心（CDC）指出，血糖仪和采血器如果被血样污染，而用户在未采取有效清洁、灭菌和适当感染控制措施的情况下共用这些器械，就有可能传播血源性病原体。</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尽管SMBG预期由非专业用户在家中使用，但这些器械的设计也应该保证其在使用寿命内能够承受有效的清洁和灭菌程序。此类器械的灭菌程序应经过适当确认（参见下文第IV节），并向用户提供适当说明。确认方法应考虑器械的使用方式，即由非专业用户在家中（或在其他非专业环境中）使用。</w:t>
      </w:r>
    </w:p>
    <w:p w14:paraId="7B279866">
      <w:pPr>
        <w:pStyle w:val="27"/>
        <w:rPr>
          <w:rFonts w:eastAsia="宋体"/>
          <w:lang w:eastAsia="zh-CN"/>
        </w:rPr>
      </w:pPr>
      <w:bookmarkStart w:id="4" w:name="_Toc91871162"/>
      <w:r>
        <w:rPr>
          <w:rFonts w:eastAsia="宋体" w:cs="宋体"/>
          <w:lang w:eastAsia="zh-CN"/>
        </w:rPr>
        <w:t>III.</w:t>
      </w:r>
      <w:r>
        <w:rPr>
          <w:rFonts w:eastAsia="宋体" w:cs="宋体"/>
          <w:lang w:eastAsia="zh-CN"/>
        </w:rPr>
        <w:tab/>
      </w:r>
      <w:r>
        <w:rPr>
          <w:rFonts w:eastAsia="宋体" w:cs="宋体"/>
          <w:lang w:eastAsia="zh-CN"/>
        </w:rPr>
        <w:t>范围</w:t>
      </w:r>
      <w:bookmarkEnd w:id="4"/>
    </w:p>
    <w:p w14:paraId="390E848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本指南文件仅适用于受21 CFR 862.1345《血糖检测系统》监管的SMBG。产品代码NBW适用于SMBG。</w:t>
      </w:r>
    </w:p>
    <w:p w14:paraId="7D000D0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本文件</w:t>
      </w:r>
      <w:r>
        <w:rPr>
          <w:rFonts w:ascii="Times New Roman" w:hAnsi="Times New Roman" w:eastAsia="宋体" w:cs="宋体"/>
          <w:b/>
          <w:sz w:val="24"/>
          <w:lang w:eastAsia="zh-CN"/>
        </w:rPr>
        <w:t>不</w:t>
      </w:r>
      <w:r>
        <w:rPr>
          <w:rFonts w:ascii="Times New Roman" w:hAnsi="Times New Roman" w:eastAsia="宋体" w:cs="宋体"/>
          <w:sz w:val="24"/>
          <w:lang w:eastAsia="zh-CN"/>
        </w:rPr>
        <w:t>涉及以下类型的器械：</w:t>
      </w:r>
    </w:p>
    <w:p w14:paraId="0600D6C2">
      <w:pPr>
        <w:pStyle w:val="22"/>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预期在专业医疗保健环境（例如，医院、医生办公室、长期护理机构等）中用于处方床旁检测的血糖监测系统。</w:t>
      </w:r>
    </w:p>
    <w:p w14:paraId="693B84D9">
      <w:pPr>
        <w:pStyle w:val="22"/>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用于筛查和诊断糖尿病的器械（例如，临床化学分析仪）。</w:t>
      </w:r>
    </w:p>
    <w:p w14:paraId="2B6477C3">
      <w:pPr>
        <w:pStyle w:val="22"/>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植入式或体外动态血糖监测传感器（例如：导管内的动态血糖监测系统（CGM）或传感器）。</w:t>
      </w:r>
    </w:p>
    <w:p w14:paraId="48534224">
      <w:pPr>
        <w:pStyle w:val="22"/>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无创血糖测量器械（即不需要从指尖或其他解剖部位采血的器械）。</w:t>
      </w:r>
    </w:p>
    <w:p w14:paraId="3D1D31CD">
      <w:pPr>
        <w:pStyle w:val="22"/>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用于测量新生儿血糖的器械。</w:t>
      </w:r>
    </w:p>
    <w:p w14:paraId="240C4D5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文件讨论的器械类型通常使用从指尖或替代解剖部位采集的毛细血管全血。这些类型的器械预期不用于医疗保健或辅助使用环境，例如医院、医生办公室或长期护理机构，因为尚未对它们在这些专业医疗保健环境中的使用（包括常规辅助检测或作为血糖控制程序的一部分）进行评价。将这些器械用于多名患者可能导致人类免疫缺陷病毒（HIV）、丙型肝炎病毒（HCV）、乙型肝炎病毒（HBV）或其他血源性病原体的传播。</w:t>
      </w:r>
    </w:p>
    <w:p w14:paraId="06FF70C7">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虽然FDA建议将本指南中描述的信息纳入SMBG的上市前申报资料中，但如果能够证明其与合法上市的同品种器械实质等同，则可能只需提交包含另外的信息的申报资料。</w:t>
      </w:r>
    </w:p>
    <w:p w14:paraId="10962CEE">
      <w:pPr>
        <w:adjustRightInd w:val="0"/>
        <w:snapToGrid w:val="0"/>
        <w:spacing w:before="120" w:beforeLines="50" w:line="300" w:lineRule="auto"/>
        <w:jc w:val="both"/>
        <w:rPr>
          <w:rFonts w:ascii="Times New Roman" w:hAnsi="Times New Roman" w:eastAsia="宋体" w:cs="宋体"/>
          <w:sz w:val="24"/>
          <w:lang w:eastAsia="zh-CN"/>
        </w:rPr>
      </w:pPr>
    </w:p>
    <w:p w14:paraId="6C46677F">
      <w:pPr>
        <w:adjustRightInd w:val="0"/>
        <w:snapToGrid w:val="0"/>
        <w:spacing w:before="120" w:beforeLines="50" w:line="300" w:lineRule="auto"/>
        <w:jc w:val="both"/>
        <w:rPr>
          <w:rFonts w:ascii="Times New Roman" w:hAnsi="Times New Roman" w:eastAsia="宋体" w:cs="宋体"/>
          <w:sz w:val="24"/>
          <w:lang w:eastAsia="zh-CN"/>
        </w:rPr>
      </w:pPr>
    </w:p>
    <w:p w14:paraId="63FD667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B50389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1F9811DD">
      <w:pPr>
        <w:tabs>
          <w:tab w:val="left" w:pos="224"/>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5</w:t>
      </w:r>
      <w:r>
        <w:rPr>
          <w:rFonts w:ascii="Times New Roman" w:hAnsi="Times New Roman" w:eastAsia="宋体" w:cs="宋体"/>
          <w:sz w:val="21"/>
        </w:rPr>
        <w:t xml:space="preserve"> 参见信息：</w:t>
      </w:r>
      <w:r>
        <w:fldChar w:fldCharType="begin"/>
      </w:r>
      <w:r>
        <w:instrText xml:space="preserve"> HYPERLINK "http://www.cdc.gov/injectionsafety/blood-glucose-monitoring.html" \h </w:instrText>
      </w:r>
      <w:r>
        <w:fldChar w:fldCharType="separate"/>
      </w:r>
      <w:r>
        <w:rPr>
          <w:rFonts w:ascii="Times New Roman" w:hAnsi="Times New Roman" w:eastAsia="宋体" w:cs="宋体"/>
          <w:snapToGrid w:val="0"/>
          <w:color w:val="0000FF"/>
          <w:sz w:val="21"/>
          <w:szCs w:val="21"/>
          <w:u w:val="single" w:color="0000FF"/>
        </w:rPr>
        <w:t>http://www.cdc.gov/injectionsafety/blood-glucose-monitoring.html</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27F1FB51">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094316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如果对SMBG的其他预期用途有任何疑问，</w:t>
      </w:r>
      <w:r>
        <w:rPr>
          <w:rFonts w:hint="eastAsia" w:ascii="Times New Roman" w:hAnsi="Times New Roman" w:eastAsia="宋体" w:cs="宋体"/>
          <w:sz w:val="24"/>
          <w:lang w:eastAsia="zh-CN"/>
        </w:rPr>
        <w:t>请</w:t>
      </w:r>
      <w:r>
        <w:rPr>
          <w:rFonts w:ascii="Times New Roman" w:hAnsi="Times New Roman" w:eastAsia="宋体" w:cs="宋体"/>
          <w:sz w:val="24"/>
          <w:lang w:eastAsia="zh-CN"/>
        </w:rPr>
        <w:t>联系体外诊断与</w:t>
      </w:r>
      <w:r>
        <w:rPr>
          <w:rFonts w:hint="eastAsia" w:ascii="Times New Roman" w:hAnsi="Times New Roman" w:eastAsia="宋体" w:cs="宋体"/>
          <w:sz w:val="24"/>
          <w:lang w:eastAsia="zh-CN"/>
        </w:rPr>
        <w:t>辐射健康</w:t>
      </w:r>
      <w:r>
        <w:rPr>
          <w:rFonts w:ascii="Times New Roman" w:hAnsi="Times New Roman" w:eastAsia="宋体" w:cs="宋体"/>
          <w:sz w:val="24"/>
          <w:lang w:eastAsia="zh-CN"/>
        </w:rPr>
        <w:t>办公室的化学和毒理学器械部。</w:t>
      </w:r>
    </w:p>
    <w:p w14:paraId="6DC18402">
      <w:pPr>
        <w:pStyle w:val="27"/>
        <w:rPr>
          <w:rFonts w:eastAsia="宋体"/>
          <w:lang w:eastAsia="zh-CN"/>
        </w:rPr>
      </w:pPr>
      <w:bookmarkStart w:id="5" w:name="_Toc91871163"/>
      <w:r>
        <w:rPr>
          <w:rFonts w:eastAsia="宋体" w:cs="宋体"/>
          <w:lang w:eastAsia="zh-CN"/>
        </w:rPr>
        <w:t>IV.</w:t>
      </w:r>
      <w:r>
        <w:rPr>
          <w:rFonts w:eastAsia="宋体" w:cs="宋体"/>
          <w:lang w:eastAsia="zh-CN"/>
        </w:rPr>
        <w:tab/>
      </w:r>
      <w:r>
        <w:rPr>
          <w:rFonts w:eastAsia="宋体" w:cs="宋体"/>
          <w:lang w:eastAsia="zh-CN"/>
        </w:rPr>
        <w:t>降低血源性病原体传播的风险</w:t>
      </w:r>
      <w:bookmarkEnd w:id="5"/>
    </w:p>
    <w:p w14:paraId="33F2241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于SMBG使用血样进行血糖测量，因此其设计和使用说明是降低使用过程中血源性病原体传播风险的非常重要的因素。CMS和CDC指出，血糖仪和采血器如果被血样污染，而用户在未采取有效清洁、灭菌和适当感染控制措施的情况下共用这些器械，就有可能传播血源性病原体，例如病毒性肝炎。为了最大限度地降低单个患者使用SMBG时的血源性病原体传播风险，应在器械的设计和标签中解决以下问题：</w:t>
      </w:r>
    </w:p>
    <w:p w14:paraId="6B5F0E12">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所有SMBG均应仅供单个患者使用。预期用途应明确声明，SMBG供非专业用户在家中使用，并且只能由单个用户使用。</w:t>
      </w:r>
    </w:p>
    <w:p w14:paraId="38ABBD94">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血糖仪的设计应确保所有外部材料均可清洁（去除有机污物）和灭菌（杀菌过程）。</w:t>
      </w:r>
    </w:p>
    <w:p w14:paraId="2F94A61E">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血糖仪的所有外表面（包括接缝和试纸端口）的设计应易于使用，且易于清洁和消毒。</w:t>
      </w:r>
    </w:p>
    <w:p w14:paraId="74B58E15">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该开发一种可供非专业用户在家中轻松使用的有效消毒方法。应该在510(k)申报资料以及标签中提供经过确认的SMBG清洁和消毒程序。清洁和消毒是不同的过程，需要单独的确认程序和规范。有关建议的清洁和消毒确认研究的详细信息，请参见下文的第IV.A和B节。</w:t>
      </w:r>
    </w:p>
    <w:p w14:paraId="7418BCE1">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应对建议与器械一起使用的任何消毒剂的有效性进行确认，如下所述。选择消毒剂时，建议参考环境保护署（EPA）用于传染性细菌和病毒的注册消毒剂列表</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，以确认能否与器械一起使用。</w:t>
      </w:r>
    </w:p>
    <w:p w14:paraId="7412EA50">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应明确警告用户采血器仅供单个患者使用，绝对不能共用。</w:t>
      </w:r>
    </w:p>
    <w:p w14:paraId="14B3F288">
      <w:pPr>
        <w:pStyle w:val="22"/>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有关器械安全使用的标签可降低用户错误的风险；因此，清洁和消毒说明应清晰、详细。各检测系统组件的命名应确保它们能被识别为属于同一系统或产品系列，并区别于预期供多名患者使用的类似器械（例如ABC血糖检测系统、ABC血糖仪、ABC血糖试纸等）。</w:t>
      </w:r>
      <w:r>
        <w:rPr>
          <w:rFonts w:ascii="Times New Roman" w:hAnsi="Times New Roman" w:eastAsia="宋体" w:cs="宋体"/>
          <w:sz w:val="24"/>
        </w:rPr>
        <w:t>详细的标签建议参见下文第X节（标签）。</w:t>
      </w:r>
    </w:p>
    <w:p w14:paraId="566BFB6F">
      <w:pPr>
        <w:adjustRightInd w:val="0"/>
        <w:snapToGrid w:val="0"/>
        <w:spacing w:before="120" w:beforeLines="50" w:line="300" w:lineRule="auto"/>
        <w:jc w:val="both"/>
        <w:rPr>
          <w:rFonts w:ascii="Times New Roman" w:hAnsi="Times New Roman" w:eastAsia="宋体" w:cs="宋体"/>
          <w:sz w:val="24"/>
          <w:lang w:eastAsia="zh-CN"/>
        </w:rPr>
      </w:pPr>
    </w:p>
    <w:p w14:paraId="0799BBBA">
      <w:pPr>
        <w:adjustRightInd w:val="0"/>
        <w:snapToGrid w:val="0"/>
        <w:spacing w:before="120" w:beforeLines="50" w:line="300" w:lineRule="auto"/>
        <w:jc w:val="both"/>
        <w:rPr>
          <w:rFonts w:ascii="Times New Roman" w:hAnsi="Times New Roman" w:eastAsia="宋体" w:cs="宋体"/>
          <w:sz w:val="24"/>
          <w:lang w:eastAsia="zh-CN"/>
        </w:rPr>
      </w:pPr>
    </w:p>
    <w:p w14:paraId="2FC37F5A">
      <w:pPr>
        <w:adjustRightInd w:val="0"/>
        <w:snapToGrid w:val="0"/>
        <w:spacing w:before="120" w:beforeLines="50" w:line="300" w:lineRule="auto"/>
        <w:jc w:val="both"/>
        <w:rPr>
          <w:rFonts w:ascii="Times New Roman" w:hAnsi="Times New Roman" w:eastAsia="宋体" w:cs="宋体"/>
          <w:sz w:val="24"/>
          <w:lang w:eastAsia="zh-CN"/>
        </w:rPr>
      </w:pPr>
    </w:p>
    <w:p w14:paraId="79F95CA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6E65A03B">
      <w:p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rPr>
        <w:t>6</w:t>
      </w:r>
      <w:r>
        <w:rPr>
          <w:rFonts w:ascii="Times New Roman" w:hAnsi="Times New Roman" w:eastAsia="宋体" w:cs="宋体"/>
          <w:sz w:val="21"/>
        </w:rPr>
        <w:t xml:space="preserve"> 选择的EPA注册消毒剂可登录以下网址获取：</w:t>
      </w:r>
      <w:r>
        <w:rPr>
          <w:rFonts w:ascii="Times New Roman" w:hAnsi="Times New Roman" w:eastAsia="宋体" w:cs="宋体"/>
          <w:color w:val="0000FF"/>
          <w:sz w:val="21"/>
        </w:rPr>
        <w:t>https://www.epa.gov/pesticide-registration</w:t>
      </w:r>
      <w:r>
        <w:rPr>
          <w:rFonts w:ascii="Times New Roman" w:hAnsi="Times New Roman" w:eastAsia="宋体" w:cs="宋体"/>
          <w:sz w:val="21"/>
        </w:rPr>
        <w:t>。</w:t>
      </w:r>
    </w:p>
    <w:p w14:paraId="4BC0DE9C">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4128E52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清洁和消毒程序的确认包括确认清洁和消毒产品对主要关注病毒（即HIV、乙型肝炎、丙型肝炎）有效，以及确认清洁和消毒程序不会使器械劣化或改变器械性能。FDA对此类确认的建议在以下小节中概述。</w:t>
      </w:r>
    </w:p>
    <w:p w14:paraId="58EC0B3E">
      <w:pPr>
        <w:pStyle w:val="28"/>
        <w:rPr>
          <w:rFonts w:eastAsia="宋体"/>
          <w:lang w:eastAsia="zh-CN"/>
        </w:rPr>
      </w:pPr>
      <w:bookmarkStart w:id="6" w:name="_Toc91871164"/>
      <w:r>
        <w:rPr>
          <w:rFonts w:eastAsia="宋体" w:cs="宋体"/>
          <w:lang w:eastAsia="zh-CN"/>
        </w:rPr>
        <w:t>A.</w:t>
      </w:r>
      <w:r>
        <w:rPr>
          <w:rFonts w:eastAsia="宋体" w:cs="宋体"/>
          <w:lang w:eastAsia="zh-CN"/>
        </w:rPr>
        <w:tab/>
      </w:r>
      <w:r>
        <w:rPr>
          <w:rFonts w:eastAsia="宋体" w:cs="宋体"/>
          <w:lang w:eastAsia="zh-CN"/>
        </w:rPr>
        <w:t>经确认的清洁程序和消毒程序</w:t>
      </w:r>
      <w:bookmarkEnd w:id="6"/>
    </w:p>
    <w:p w14:paraId="72782FF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该选择不会导致器械整体或任何器械组件（包括外壳、触摸板或按钮）物理劣化的清洁和消毒产品。应该在确认研究期间记录任何物理劣化指标，并在510(k)申报资料中提供该信息。选择的消毒剂产品应能有效杀灭HIV、丙型肝炎和乙型肝炎病毒。在这些病毒中，乙型肝炎病毒是最难杀灭的，之前与血糖仪相关的疾病暴发事件是由于乙型肝炎病毒的传播所致。因此，应进行消毒有效性研究，以证明所选消毒剂对乙型肝炎病毒的有效性。请注意，70%乙醇溶液对病毒性血源性病原体无效，使用10%漂白剂溶液可能导致器械发生物理降解。</w:t>
      </w:r>
    </w:p>
    <w:p w14:paraId="07D462BC">
      <w:pPr>
        <w:adjustRightInd w:val="0"/>
        <w:snapToGrid w:val="0"/>
        <w:spacing w:before="120" w:beforeLines="50" w:line="300" w:lineRule="auto"/>
        <w:ind w:left="425" w:leftChars="193"/>
        <w:jc w:val="both"/>
        <w:rPr>
          <w:rFonts w:ascii="Times New Roman" w:hAnsi="Times New Roman" w:eastAsia="宋体" w:cs="宋体"/>
          <w:sz w:val="24"/>
          <w:lang w:eastAsia="zh-CN"/>
        </w:rPr>
      </w:pPr>
      <w:r>
        <w:rPr>
          <w:rFonts w:ascii="Times New Roman" w:hAnsi="Times New Roman" w:eastAsia="宋体" w:cs="宋体"/>
          <w:sz w:val="24"/>
          <w:lang w:eastAsia="zh-CN"/>
        </w:rPr>
        <w:t>应通过开展消毒有效性研究来证明消毒程序可有效杀灭乙型肝炎病毒，以证明消毒程序对外部血糖仪材料（例如：外壳、显示屏、按钮等）有效。研究证明，病毒可以在不同的时间段内保持感染性，这取决于表面。病毒存活率可能随表面上存在的微生物数量而增加或减少。微生物数量增加可以保护病毒，使其不被消毒杀灭，并且微生物蛋白酶和真菌酶也可能导致损害作用。影响表面存活率的因素包括污染物性质、初始病毒滴度、病毒株、温度、湿度和悬浮介质。最简单的消毒方法是使用预先用选定消毒剂浸透的湿巾。用湿巾消毒可降低液体进入血糖仪的风险，从而最大限度地降低消毒程序影响血糖仪功能的可能性。但是，应该选择对乙型肝炎病毒有效并且与器械相容的消毒剂。如果想要声明消毒程序对其他病原体有效，应考虑提交预申报申请，以便在进行检测之前与FDA进行讨论。关于预申报过程的信息，请参阅标题为《</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医疗器械申报资料反馈申请：预申报计划和与美国食品药品</w:t>
      </w:r>
      <w:r>
        <w:rPr>
          <w:rFonts w:hint="eastAsia" w:ascii="Times New Roman" w:hAnsi="Times New Roman" w:eastAsia="宋体" w:cs="宋体"/>
          <w:snapToGrid w:val="0"/>
          <w:color w:val="0000FF"/>
          <w:sz w:val="24"/>
          <w:szCs w:val="24"/>
          <w:u w:val="single" w:color="0000FF"/>
          <w:lang w:eastAsia="zh-CN"/>
        </w:rPr>
        <w:t>监督</w:t>
      </w:r>
      <w:r>
        <w:rPr>
          <w:rFonts w:ascii="Times New Roman" w:hAnsi="Times New Roman" w:eastAsia="宋体" w:cs="宋体"/>
          <w:snapToGrid w:val="0"/>
          <w:color w:val="0000FF"/>
          <w:sz w:val="24"/>
          <w:szCs w:val="24"/>
          <w:u w:val="single" w:color="0000FF"/>
          <w:lang w:eastAsia="zh-CN"/>
        </w:rPr>
        <w:t>管理局工作人员的会议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lang w:eastAsia="zh-CN"/>
        </w:rPr>
        <w:t>7</w:t>
      </w:r>
      <w:r>
        <w:rPr>
          <w:rFonts w:ascii="Times New Roman" w:hAnsi="Times New Roman" w:eastAsia="宋体" w:cs="宋体"/>
          <w:sz w:val="24"/>
          <w:lang w:eastAsia="zh-CN"/>
        </w:rPr>
        <w:t>此外，所选的消毒方法应该使用家庭用户容易获得的产品。</w:t>
      </w:r>
    </w:p>
    <w:p w14:paraId="79DC77AC">
      <w:pPr>
        <w:adjustRightInd w:val="0"/>
        <w:snapToGrid w:val="0"/>
        <w:spacing w:before="120" w:beforeLines="50" w:line="300" w:lineRule="auto"/>
        <w:ind w:left="425" w:leftChars="193"/>
        <w:jc w:val="both"/>
        <w:rPr>
          <w:rFonts w:ascii="Times New Roman" w:hAnsi="Times New Roman" w:eastAsia="宋体" w:cs="宋体"/>
          <w:sz w:val="24"/>
          <w:lang w:eastAsia="zh-CN"/>
        </w:rPr>
      </w:pPr>
    </w:p>
    <w:p w14:paraId="19E7F63A">
      <w:pPr>
        <w:adjustRightInd w:val="0"/>
        <w:snapToGrid w:val="0"/>
        <w:spacing w:before="120" w:beforeLines="50" w:line="300" w:lineRule="auto"/>
        <w:ind w:left="425" w:leftChars="193"/>
        <w:jc w:val="both"/>
        <w:rPr>
          <w:rFonts w:ascii="Times New Roman" w:hAnsi="Times New Roman" w:eastAsia="宋体" w:cs="宋体"/>
          <w:sz w:val="24"/>
          <w:lang w:eastAsia="zh-CN"/>
        </w:rPr>
      </w:pPr>
    </w:p>
    <w:p w14:paraId="72DDC28B">
      <w:pPr>
        <w:adjustRightInd w:val="0"/>
        <w:snapToGrid w:val="0"/>
        <w:spacing w:before="120" w:beforeLines="50" w:line="300" w:lineRule="auto"/>
        <w:ind w:left="425" w:leftChars="193"/>
        <w:jc w:val="both"/>
        <w:rPr>
          <w:rFonts w:ascii="Times New Roman" w:hAnsi="Times New Roman" w:eastAsia="宋体" w:cs="宋体"/>
          <w:sz w:val="24"/>
          <w:lang w:eastAsia="zh-CN"/>
        </w:rPr>
      </w:pPr>
    </w:p>
    <w:p w14:paraId="407D4688">
      <w:pPr>
        <w:adjustRightInd w:val="0"/>
        <w:snapToGrid w:val="0"/>
        <w:spacing w:before="120" w:beforeLines="50" w:line="300" w:lineRule="auto"/>
        <w:ind w:left="425" w:leftChars="193"/>
        <w:jc w:val="both"/>
        <w:rPr>
          <w:rFonts w:ascii="Times New Roman" w:hAnsi="Times New Roman" w:eastAsia="宋体" w:cs="宋体"/>
          <w:sz w:val="24"/>
          <w:lang w:eastAsia="zh-CN"/>
        </w:rPr>
      </w:pPr>
    </w:p>
    <w:p w14:paraId="2107A8F3">
      <w:pPr>
        <w:adjustRightInd w:val="0"/>
        <w:snapToGrid w:val="0"/>
        <w:spacing w:before="120" w:beforeLines="50" w:line="300" w:lineRule="auto"/>
        <w:ind w:left="425" w:leftChars="193"/>
        <w:jc w:val="both"/>
        <w:rPr>
          <w:rFonts w:ascii="Times New Roman" w:hAnsi="Times New Roman" w:eastAsia="宋体" w:cs="宋体"/>
          <w:sz w:val="24"/>
          <w:lang w:eastAsia="zh-CN"/>
        </w:rPr>
      </w:pPr>
    </w:p>
    <w:p w14:paraId="3DE92814">
      <w:pPr>
        <w:adjustRightInd w:val="0"/>
        <w:snapToGrid w:val="0"/>
        <w:spacing w:before="120" w:beforeLines="50" w:line="300" w:lineRule="auto"/>
        <w:ind w:left="425" w:leftChars="193"/>
        <w:jc w:val="both"/>
        <w:rPr>
          <w:rFonts w:ascii="Times New Roman" w:hAnsi="Times New Roman" w:eastAsia="宋体" w:cs="Times New Roman"/>
          <w:snapToGrid w:val="0"/>
          <w:color w:val="000000"/>
          <w:sz w:val="24"/>
          <w:szCs w:val="24"/>
          <w:lang w:eastAsia="zh-CN"/>
        </w:rPr>
      </w:pPr>
    </w:p>
    <w:p w14:paraId="34B34AC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5D488105">
      <w:pPr>
        <w:tabs>
          <w:tab w:val="left" w:pos="21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7</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https://www.fda.gov/regulatory-information/search-fda-guidance-documents/requests-feedback-</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and-meetings-medical-device-submissions-q-submission-program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418A76A8">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77F6DCB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建议参考以下标准：</w:t>
      </w:r>
    </w:p>
    <w:p w14:paraId="547DBEC7">
      <w:pPr>
        <w:pStyle w:val="22"/>
        <w:numPr>
          <w:ilvl w:val="0"/>
          <w:numId w:val="3"/>
        </w:numPr>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ASTM标准ASTM E1053-11《无生命环境表面用杀病毒剂有效性的标准试验方法》。</w:t>
      </w:r>
    </w:p>
    <w:p w14:paraId="770CCCF4">
      <w:pPr>
        <w:pStyle w:val="22"/>
        <w:numPr>
          <w:ilvl w:val="0"/>
          <w:numId w:val="3"/>
        </w:numPr>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ASTM标准ASTM E2362-09《硬表面消毒用预浸湿或浸渍湿巾评价的标准规范》。</w:t>
      </w:r>
    </w:p>
    <w:p w14:paraId="411FA5BA">
      <w:pPr>
        <w:pStyle w:val="28"/>
        <w:rPr>
          <w:rFonts w:eastAsia="宋体"/>
          <w:lang w:eastAsia="zh-CN"/>
        </w:rPr>
      </w:pPr>
      <w:bookmarkStart w:id="7" w:name="_Toc91871165"/>
      <w:r>
        <w:rPr>
          <w:rFonts w:eastAsia="宋体" w:cs="宋体"/>
          <w:lang w:eastAsia="zh-CN"/>
        </w:rPr>
        <w:t>B.</w:t>
      </w:r>
      <w:r>
        <w:rPr>
          <w:rFonts w:eastAsia="宋体" w:cs="宋体"/>
          <w:lang w:eastAsia="zh-CN"/>
        </w:rPr>
        <w:tab/>
      </w:r>
      <w:r>
        <w:rPr>
          <w:rFonts w:eastAsia="宋体" w:cs="宋体"/>
          <w:lang w:eastAsia="zh-CN"/>
        </w:rPr>
        <w:t>证明器械不会被清洁和消毒程序损伤</w:t>
      </w:r>
      <w:bookmarkEnd w:id="7"/>
    </w:p>
    <w:p w14:paraId="7625986C">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应通过台架研究证明，经过多个清洁和消毒循环后，SMBG不会被清洁和消毒程序损伤。应该在510(k)申报资料中包含研究设计和结果，证明SMBG的分析性能不受清洁和消毒程序的影响。</w:t>
      </w:r>
    </w:p>
    <w:p w14:paraId="1B556ED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在设计研究时，应该解决以下问题：</w:t>
      </w:r>
    </w:p>
    <w:p w14:paraId="378A98B5">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使用最坏情况的清洁和消毒频率及终端用户环境来确定应检测的清洁和消毒循环次数。例如，血糖仪的清洁和消毒次数应能代表血糖仪在其使用寿命（通常为3-5年）内接受的清洁和消毒次数，并且可以大于用户说明中建议的清洁和消毒循环次数。对于每个清洁和消毒循环，应在消毒步骤之前执行清洁步骤。</w:t>
      </w:r>
    </w:p>
    <w:p w14:paraId="5B1126BA">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耐用性研究中使用的消毒接触时间应与消毒有效性试验中使用的以及标签中清洁和消毒说明中描述的接触时间相同。</w:t>
      </w:r>
    </w:p>
    <w:p w14:paraId="3C0798A5">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本机构建议使用相同的消毒剂产品进行清洁和消毒。使用多种产品对消毒剂产品有效性的影响尚不清楚。</w:t>
      </w:r>
    </w:p>
    <w:p w14:paraId="0A77BB13">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证明试纸端口以及所有其他易受血液污染且用户可直接或间接接触的开口能够耐受建议的清洁和消毒程序。应确保对血糖仪中特别容易受到血液污染的部件（例如试纸端口和任何材料接缝）进行检测。必须能够对血糖仪的所有部件进行清洁和消毒，以降低血源性病原体传播的风险。</w:t>
      </w:r>
    </w:p>
    <w:p w14:paraId="2E50862B">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清洁和消毒阶段后评价器械时，应确保清洁和消毒程序不会使血糖仪显示屏模糊或损伤，并且不会腐蚀或侵蚀塑料外壳或按钮。应在整个研究过程中记录所有这些物理劣化指标，并纳入510(k)申报资料中。应通过比较使用血样得到的结果与采用对照方法（对照方法的定义参见下文第VI节）获得的结果来评价血糖仪的准确度，以确保准确度不受反复清洁和消毒的影响。研究还应评价血糖仪特性的功能性（如适用），例如触摸屏功能、USB端口功能、语音功能等，确保它们不受反复清洁和消毒的影响。</w:t>
      </w:r>
    </w:p>
    <w:p w14:paraId="6237F749">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816994B">
      <w:pPr>
        <w:pStyle w:val="22"/>
        <w:numPr>
          <w:ilvl w:val="0"/>
          <w:numId w:val="4"/>
        </w:numPr>
        <w:tabs>
          <w:tab w:val="left" w:pos="1179"/>
        </w:tabs>
        <w:adjustRightInd w:val="0"/>
        <w:snapToGrid w:val="0"/>
        <w:spacing w:before="120" w:beforeLines="50" w:line="300" w:lineRule="auto"/>
        <w:ind w:left="1134"/>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应将感染控制纳入风险分析中，并将经过确认的清洁和消毒程序纳入风险评估中。</w:t>
      </w:r>
    </w:p>
    <w:p w14:paraId="360389B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510(k)申报资料中应包含所有研究的方案和验收标准描述。</w:t>
      </w:r>
    </w:p>
    <w:p w14:paraId="40C63506">
      <w:pPr>
        <w:pStyle w:val="27"/>
        <w:rPr>
          <w:rFonts w:eastAsia="宋体"/>
          <w:lang w:eastAsia="zh-CN"/>
        </w:rPr>
      </w:pPr>
      <w:bookmarkStart w:id="8" w:name="_Toc91871166"/>
      <w:r>
        <w:rPr>
          <w:rFonts w:eastAsia="宋体" w:cs="宋体"/>
          <w:lang w:eastAsia="zh-CN"/>
        </w:rPr>
        <w:t>V.</w:t>
      </w:r>
      <w:r>
        <w:rPr>
          <w:rFonts w:eastAsia="宋体" w:cs="宋体"/>
          <w:lang w:eastAsia="zh-CN"/>
        </w:rPr>
        <w:tab/>
      </w:r>
      <w:r>
        <w:rPr>
          <w:rFonts w:eastAsia="宋体" w:cs="宋体"/>
          <w:lang w:eastAsia="zh-CN"/>
        </w:rPr>
        <w:t>器械描述</w:t>
      </w:r>
      <w:bookmarkEnd w:id="8"/>
    </w:p>
    <w:p w14:paraId="0EED0C5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510(k)申报资料中提供SMBG的一般描述。通常情况下，这些信息很多也应包含在器械用户手册中；但是，一些信息不适用于预期非专业用户（例如，高度技术性的解释），应只包含在510(k)申报资料中。应在510(k)申报资料中提供以下信息：</w:t>
      </w:r>
    </w:p>
    <w:p w14:paraId="36FEFAF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一般器械描述：</w:t>
      </w:r>
    </w:p>
    <w:p w14:paraId="6EEE804A">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系统物理组件的描述（包括图表，如适用）。</w:t>
      </w:r>
    </w:p>
    <w:p w14:paraId="4EBC7751">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制造商的性能规范。</w:t>
      </w:r>
    </w:p>
    <w:p w14:paraId="2F3A2F93">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检测原理的描述和解释，包括化学反应。</w:t>
      </w:r>
    </w:p>
    <w:p w14:paraId="663FE960">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结果格式的描述，包括测量单位以及是以全血还是血浆当量报告结果。</w:t>
      </w:r>
      <w:r>
        <w:rPr>
          <w:rFonts w:ascii="Times New Roman" w:hAnsi="Times New Roman" w:eastAsia="宋体" w:cs="宋体"/>
          <w:sz w:val="24"/>
          <w:vertAlign w:val="superscript"/>
        </w:rPr>
        <w:t>8</w:t>
      </w:r>
    </w:p>
    <w:p w14:paraId="3CE8F2F3">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可与系统配合使用的质控品的成分和含量描述。</w:t>
      </w:r>
    </w:p>
    <w:p w14:paraId="4FBD1D68">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用户维护需求（例如：电池）。</w:t>
      </w:r>
    </w:p>
    <w:p w14:paraId="251E0369">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器械特性，例如：数据传输功能或旨在提高耐用性、易用性或用户可达性的特性（例如：旨在增加视力障碍用户可达性的特性）。</w:t>
      </w:r>
    </w:p>
    <w:p w14:paraId="0B75AAD0">
      <w:pPr>
        <w:pStyle w:val="22"/>
        <w:numPr>
          <w:ilvl w:val="0"/>
          <w:numId w:val="5"/>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旨在最大限度降低血源性病原体传播风险的特性。</w:t>
      </w:r>
    </w:p>
    <w:p w14:paraId="3C26B4F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由软件控制的特性描述，应描述以下内容：</w:t>
      </w:r>
    </w:p>
    <w:p w14:paraId="33F96BE8">
      <w:pPr>
        <w:pStyle w:val="22"/>
        <w:numPr>
          <w:ilvl w:val="0"/>
          <w:numId w:val="5"/>
        </w:numPr>
        <w:tabs>
          <w:tab w:val="left" w:pos="215"/>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显示和用户消息：这包括SMBG如何确定和显示用户执行测量时出现的血糖浓度、消息或显示，以及用户如何从器械存储器中检索过去的结果等特性。</w:t>
      </w:r>
    </w:p>
    <w:p w14:paraId="02AD66A5">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14786BB">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0089604">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46FFF61">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7A5039A">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0882335">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1BB7042">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ECE832C">
      <w:pPr>
        <w:tabs>
          <w:tab w:val="left" w:pos="215"/>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__________________________</w:t>
      </w:r>
    </w:p>
    <w:p w14:paraId="738AF7BD">
      <w:pPr>
        <w:tabs>
          <w:tab w:val="left" w:pos="2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8</w:t>
      </w:r>
      <w:r>
        <w:rPr>
          <w:rFonts w:ascii="Times New Roman" w:hAnsi="Times New Roman" w:eastAsia="宋体" w:cs="宋体"/>
          <w:sz w:val="21"/>
          <w:lang w:eastAsia="zh-CN"/>
        </w:rPr>
        <w:t>请注意，预期在美国使用的SMBG应使用mg/dL和血浆当量报告结果。</w:t>
      </w:r>
    </w:p>
    <w:p w14:paraId="354EF5D0">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138F29F">
      <w:pPr>
        <w:pStyle w:val="22"/>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用户提示：应描述SMBG向用户的提示、预期用户响应和时间问题（例如，</w:t>
      </w:r>
      <w:r>
        <w:rPr>
          <w:rFonts w:hint="eastAsia" w:ascii="Times New Roman" w:hAnsi="Times New Roman" w:eastAsia="宋体" w:cs="宋体"/>
          <w:sz w:val="24"/>
          <w:lang w:eastAsia="zh-CN"/>
        </w:rPr>
        <w:t>要求的</w:t>
      </w:r>
      <w:r>
        <w:rPr>
          <w:rFonts w:ascii="Times New Roman" w:hAnsi="Times New Roman" w:eastAsia="宋体" w:cs="宋体"/>
          <w:sz w:val="24"/>
          <w:lang w:eastAsia="zh-CN"/>
        </w:rPr>
        <w:t>用户响应</w:t>
      </w:r>
      <w:r>
        <w:rPr>
          <w:rFonts w:hint="eastAsia" w:ascii="Times New Roman" w:hAnsi="Times New Roman" w:eastAsia="宋体" w:cs="宋体"/>
          <w:sz w:val="24"/>
          <w:lang w:eastAsia="zh-CN"/>
        </w:rPr>
        <w:t>速度</w:t>
      </w:r>
      <w:r>
        <w:rPr>
          <w:rFonts w:ascii="Times New Roman" w:hAnsi="Times New Roman" w:eastAsia="宋体" w:cs="宋体"/>
          <w:sz w:val="24"/>
          <w:lang w:eastAsia="zh-CN"/>
        </w:rPr>
        <w:t>，</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在允许时间之后做出响应</w:t>
      </w:r>
      <w:r>
        <w:rPr>
          <w:rFonts w:hint="eastAsia" w:ascii="Times New Roman" w:hAnsi="Times New Roman" w:eastAsia="宋体" w:cs="宋体"/>
          <w:sz w:val="24"/>
          <w:lang w:eastAsia="zh-CN"/>
        </w:rPr>
        <w:t>的后果</w:t>
      </w:r>
      <w:r>
        <w:rPr>
          <w:rFonts w:ascii="Times New Roman" w:hAnsi="Times New Roman" w:eastAsia="宋体" w:cs="宋体"/>
          <w:sz w:val="24"/>
          <w:lang w:eastAsia="zh-CN"/>
        </w:rPr>
        <w:t>）。用户提示的示例包括向用户发送的提示其将试纸插入血糖仪、将血样加到试纸上、校准血糖仪或存储结果等的消息。</w:t>
      </w:r>
    </w:p>
    <w:p w14:paraId="70C0913B">
      <w:pPr>
        <w:pStyle w:val="22"/>
        <w:numPr>
          <w:ilvl w:val="0"/>
          <w:numId w:val="6"/>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错误消息和警报：包括SMBG显示的任何错误消息或警报。应描述系统如何对用户操作、用户不操作或系统状态中的错误做出响应。建议的错误消息或警报示例包括：试纸插入不正确或过早取出；加到试纸上的样本量太少；使用损坏、不正确或变质的试纸；或电池电量低或环境温度过高。还应包括SMBG在血糖水平超出系统线性范围时检测并提醒用户的方法。应描述每种消息的触发点，并描述系统执行的任何自诊断例行程序。</w:t>
      </w:r>
    </w:p>
    <w:p w14:paraId="26906B9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确定用户对错误消息或警报的预期响应非常重要。这包括用户是否需要以及应该如何输入信息或按下某些按钮以正确设置血糖仪或响应错误信息或警报。</w:t>
      </w:r>
    </w:p>
    <w:p w14:paraId="0D7D1E29">
      <w:pPr>
        <w:pStyle w:val="27"/>
        <w:rPr>
          <w:rFonts w:eastAsia="宋体"/>
          <w:lang w:eastAsia="zh-CN"/>
        </w:rPr>
      </w:pPr>
      <w:bookmarkStart w:id="9" w:name="_Toc91871167"/>
      <w:r>
        <w:rPr>
          <w:rFonts w:eastAsia="宋体" w:cs="宋体"/>
          <w:lang w:eastAsia="zh-CN"/>
        </w:rPr>
        <w:t>VI.</w:t>
      </w:r>
      <w:r>
        <w:rPr>
          <w:rFonts w:eastAsia="宋体" w:cs="宋体"/>
          <w:lang w:eastAsia="zh-CN"/>
        </w:rPr>
        <w:tab/>
      </w:r>
      <w:r>
        <w:rPr>
          <w:rFonts w:eastAsia="宋体" w:cs="宋体"/>
          <w:lang w:eastAsia="zh-CN"/>
        </w:rPr>
        <w:t>SMBG性能评价</w:t>
      </w:r>
      <w:bookmarkEnd w:id="9"/>
    </w:p>
    <w:p w14:paraId="13FAC03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下文第A-F小节说明了SMBG器械的510(k)申报资料中应包含的器械性能信息类型。尽管许多制造商根据国际标准化组织（ISO）文件15197：</w:t>
      </w:r>
      <w:r>
        <w:rPr>
          <w:rFonts w:hint="eastAsia" w:ascii="Times New Roman" w:hAnsi="Times New Roman" w:eastAsia="宋体" w:cs="宋体"/>
          <w:sz w:val="24"/>
          <w:lang w:eastAsia="zh-CN"/>
        </w:rPr>
        <w:t>《</w:t>
      </w:r>
      <w:r>
        <w:rPr>
          <w:rFonts w:ascii="Times New Roman" w:hAnsi="Times New Roman" w:eastAsia="宋体" w:cs="宋体"/>
          <w:sz w:val="24"/>
          <w:lang w:eastAsia="zh-CN"/>
        </w:rPr>
        <w:t>体外诊断试验系统 - 糖尿病管理中对自测用血糖监测系统的要求</w:t>
      </w:r>
      <w:r>
        <w:rPr>
          <w:rFonts w:hint="eastAsia" w:ascii="Times New Roman" w:hAnsi="Times New Roman" w:eastAsia="宋体" w:cs="宋体"/>
          <w:sz w:val="24"/>
          <w:lang w:eastAsia="zh-CN"/>
        </w:rPr>
        <w:t>》</w:t>
      </w:r>
      <w:r>
        <w:rPr>
          <w:rFonts w:ascii="Times New Roman" w:hAnsi="Times New Roman" w:eastAsia="宋体" w:cs="宋体"/>
          <w:sz w:val="24"/>
          <w:lang w:eastAsia="zh-CN"/>
        </w:rPr>
        <w:t>设计SMBG确认研究，但FDA认为，ISO 15197标准中规定的标准不足以充分保护非专业SMBG用户，因为，例如，该标准没有充分解决非处方血糖检测系统在低血糖范围（低血糖读数范围）内或使用不同试纸批次时的性能问题。因此，FDA建议根据以下建议开展研究，以支持SMBG的510(k)批准。</w:t>
      </w:r>
    </w:p>
    <w:p w14:paraId="15ADF0F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本指南中，术语“对照方法”是指经过充分的精密度和准确度确认且可追溯至更高阶的实验室血糖测量方法，例如国际公认的参考物质和/或方法。溯源链包含的阶段应尽可能少，以减少偏倚。下文第A-F小节讨论了FDA目前对需要解决的问题的看法以及建议的研究设计和器械性能评价。</w:t>
      </w:r>
    </w:p>
    <w:p w14:paraId="4D017FBB">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4D8E0086">
      <w:pPr>
        <w:pStyle w:val="28"/>
        <w:rPr>
          <w:rFonts w:eastAsia="宋体"/>
          <w:lang w:eastAsia="zh-CN"/>
        </w:rPr>
      </w:pPr>
      <w:bookmarkStart w:id="10" w:name="_Toc91871168"/>
      <w:r>
        <w:rPr>
          <w:rFonts w:eastAsia="宋体" w:cs="宋体"/>
          <w:lang w:eastAsia="zh-CN"/>
        </w:rPr>
        <w:t>A.</w:t>
      </w:r>
      <w:r>
        <w:rPr>
          <w:rFonts w:eastAsia="宋体" w:cs="宋体"/>
          <w:lang w:eastAsia="zh-CN"/>
        </w:rPr>
        <w:tab/>
      </w:r>
      <w:r>
        <w:rPr>
          <w:rFonts w:eastAsia="宋体" w:cs="宋体"/>
          <w:lang w:eastAsia="zh-CN"/>
        </w:rPr>
        <w:t>精密度评价研究</w:t>
      </w:r>
      <w:bookmarkEnd w:id="10"/>
    </w:p>
    <w:p w14:paraId="5BB6FB7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应评价SMBG的批内精密度和中间精密度，并将这些评价纳入510(k)申报资料中。下文概述了FDA目前对评价SMBG批内精密度和中间精密度的适当研究设计和分析的看法。</w:t>
      </w:r>
    </w:p>
    <w:p w14:paraId="15DA7F9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批内精密度评价：</w:t>
      </w:r>
    </w:p>
    <w:p w14:paraId="7A5E936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本指南中，批内精密度研究是台架研究，旨在评价使用不同血糖仪和多个试纸批次重复测量相同样本时的不精密度。为了评估SMBG在声明的测量范围内的不精密度，应使用血糖浓度在下面表1中所示的五个区间内的样本进行评价：</w:t>
      </w:r>
    </w:p>
    <w:p w14:paraId="1948FF47">
      <w:pPr>
        <w:pStyle w:val="4"/>
        <w:adjustRightInd w:val="0"/>
        <w:snapToGrid w:val="0"/>
        <w:spacing w:before="120" w:beforeLines="50" w:line="300" w:lineRule="auto"/>
        <w:ind w:left="425" w:leftChars="193" w:firstLine="0"/>
        <w:jc w:val="both"/>
        <w:rPr>
          <w:rFonts w:eastAsia="宋体" w:cs="Times New Roman"/>
          <w:b w:val="0"/>
          <w:bCs w:val="0"/>
          <w:snapToGrid w:val="0"/>
          <w:lang w:eastAsia="zh-CN"/>
        </w:rPr>
      </w:pPr>
      <w:r>
        <w:rPr>
          <w:rFonts w:eastAsia="宋体" w:cs="宋体"/>
          <w:lang w:eastAsia="zh-CN"/>
        </w:rPr>
        <w:t>表1.用于精密度评价的血糖浓度</w:t>
      </w:r>
    </w:p>
    <w:tbl>
      <w:tblPr>
        <w:tblStyle w:val="21"/>
        <w:tblW w:w="0" w:type="auto"/>
        <w:tblInd w:w="720" w:type="dxa"/>
        <w:tblLayout w:type="fixed"/>
        <w:tblCellMar>
          <w:top w:w="0" w:type="dxa"/>
          <w:left w:w="108" w:type="dxa"/>
          <w:bottom w:w="0" w:type="dxa"/>
          <w:right w:w="108" w:type="dxa"/>
        </w:tblCellMar>
      </w:tblPr>
      <w:tblGrid>
        <w:gridCol w:w="1818"/>
        <w:gridCol w:w="3240"/>
      </w:tblGrid>
      <w:tr w14:paraId="44E1A7D8">
        <w:tc>
          <w:tcPr>
            <w:tcW w:w="1818" w:type="dxa"/>
            <w:tcBorders>
              <w:top w:val="single" w:color="000000" w:sz="4" w:space="0"/>
              <w:left w:val="single" w:color="000000" w:sz="4" w:space="0"/>
              <w:bottom w:val="single" w:color="000000" w:sz="4" w:space="0"/>
              <w:right w:val="single" w:color="000000" w:sz="4" w:space="0"/>
            </w:tcBorders>
          </w:tcPr>
          <w:p w14:paraId="2076173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间隔</w:t>
            </w:r>
          </w:p>
        </w:tc>
        <w:tc>
          <w:tcPr>
            <w:tcW w:w="3240" w:type="dxa"/>
            <w:tcBorders>
              <w:top w:val="single" w:color="000000" w:sz="4" w:space="0"/>
              <w:left w:val="single" w:color="000000" w:sz="4" w:space="0"/>
              <w:bottom w:val="single" w:color="000000" w:sz="4" w:space="0"/>
              <w:right w:val="single" w:color="000000" w:sz="4" w:space="0"/>
            </w:tcBorders>
          </w:tcPr>
          <w:p w14:paraId="6D6488D1">
            <w:pPr>
              <w:pStyle w:val="23"/>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血糖浓度范围（mg/dL）</w:t>
            </w:r>
          </w:p>
        </w:tc>
      </w:tr>
      <w:tr w14:paraId="46BC9EA9">
        <w:tblPrEx>
          <w:tblCellMar>
            <w:top w:w="0" w:type="dxa"/>
            <w:left w:w="108" w:type="dxa"/>
            <w:bottom w:w="0" w:type="dxa"/>
            <w:right w:w="108" w:type="dxa"/>
          </w:tblCellMar>
        </w:tblPrEx>
        <w:tc>
          <w:tcPr>
            <w:tcW w:w="1818" w:type="dxa"/>
            <w:tcBorders>
              <w:top w:val="single" w:color="000000" w:sz="4" w:space="0"/>
              <w:left w:val="single" w:color="000000" w:sz="4" w:space="0"/>
              <w:bottom w:val="single" w:color="000000" w:sz="4" w:space="0"/>
              <w:right w:val="single" w:color="000000" w:sz="4" w:space="0"/>
            </w:tcBorders>
          </w:tcPr>
          <w:p w14:paraId="1FF0F54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w:t>
            </w:r>
          </w:p>
        </w:tc>
        <w:tc>
          <w:tcPr>
            <w:tcW w:w="3240" w:type="dxa"/>
            <w:tcBorders>
              <w:top w:val="single" w:color="000000" w:sz="4" w:space="0"/>
              <w:left w:val="single" w:color="000000" w:sz="4" w:space="0"/>
              <w:bottom w:val="single" w:color="000000" w:sz="4" w:space="0"/>
              <w:right w:val="single" w:color="000000" w:sz="4" w:space="0"/>
            </w:tcBorders>
          </w:tcPr>
          <w:p w14:paraId="79FF005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30-50</w:t>
            </w:r>
          </w:p>
        </w:tc>
      </w:tr>
      <w:tr w14:paraId="33238C94">
        <w:tblPrEx>
          <w:tblCellMar>
            <w:top w:w="0" w:type="dxa"/>
            <w:left w:w="108" w:type="dxa"/>
            <w:bottom w:w="0" w:type="dxa"/>
            <w:right w:w="108" w:type="dxa"/>
          </w:tblCellMar>
        </w:tblPrEx>
        <w:tc>
          <w:tcPr>
            <w:tcW w:w="1818" w:type="dxa"/>
            <w:tcBorders>
              <w:top w:val="single" w:color="000000" w:sz="4" w:space="0"/>
              <w:left w:val="single" w:color="000000" w:sz="4" w:space="0"/>
              <w:bottom w:val="single" w:color="000000" w:sz="4" w:space="0"/>
              <w:right w:val="single" w:color="000000" w:sz="4" w:space="0"/>
            </w:tcBorders>
          </w:tcPr>
          <w:p w14:paraId="4D1F94E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w:t>
            </w:r>
          </w:p>
        </w:tc>
        <w:tc>
          <w:tcPr>
            <w:tcW w:w="3240" w:type="dxa"/>
            <w:tcBorders>
              <w:top w:val="single" w:color="000000" w:sz="4" w:space="0"/>
              <w:left w:val="single" w:color="000000" w:sz="4" w:space="0"/>
              <w:bottom w:val="single" w:color="000000" w:sz="4" w:space="0"/>
              <w:right w:val="single" w:color="000000" w:sz="4" w:space="0"/>
            </w:tcBorders>
          </w:tcPr>
          <w:p w14:paraId="4F9F739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51-110</w:t>
            </w:r>
          </w:p>
        </w:tc>
      </w:tr>
      <w:tr w14:paraId="7B491391">
        <w:tblPrEx>
          <w:tblCellMar>
            <w:top w:w="0" w:type="dxa"/>
            <w:left w:w="108" w:type="dxa"/>
            <w:bottom w:w="0" w:type="dxa"/>
            <w:right w:w="108" w:type="dxa"/>
          </w:tblCellMar>
        </w:tblPrEx>
        <w:tc>
          <w:tcPr>
            <w:tcW w:w="1818" w:type="dxa"/>
            <w:tcBorders>
              <w:top w:val="single" w:color="000000" w:sz="4" w:space="0"/>
              <w:left w:val="single" w:color="000000" w:sz="4" w:space="0"/>
              <w:bottom w:val="single" w:color="000000" w:sz="4" w:space="0"/>
              <w:right w:val="single" w:color="000000" w:sz="4" w:space="0"/>
            </w:tcBorders>
          </w:tcPr>
          <w:p w14:paraId="75D4E03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w:t>
            </w:r>
          </w:p>
        </w:tc>
        <w:tc>
          <w:tcPr>
            <w:tcW w:w="3240" w:type="dxa"/>
            <w:tcBorders>
              <w:top w:val="single" w:color="000000" w:sz="4" w:space="0"/>
              <w:left w:val="single" w:color="000000" w:sz="4" w:space="0"/>
              <w:bottom w:val="single" w:color="000000" w:sz="4" w:space="0"/>
              <w:right w:val="single" w:color="000000" w:sz="4" w:space="0"/>
            </w:tcBorders>
          </w:tcPr>
          <w:p w14:paraId="02AB28C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111-150</w:t>
            </w:r>
          </w:p>
        </w:tc>
      </w:tr>
      <w:tr w14:paraId="25BA6515">
        <w:tblPrEx>
          <w:tblCellMar>
            <w:top w:w="0" w:type="dxa"/>
            <w:left w:w="108" w:type="dxa"/>
            <w:bottom w:w="0" w:type="dxa"/>
            <w:right w:w="108" w:type="dxa"/>
          </w:tblCellMar>
        </w:tblPrEx>
        <w:tc>
          <w:tcPr>
            <w:tcW w:w="1818" w:type="dxa"/>
            <w:tcBorders>
              <w:top w:val="single" w:color="000000" w:sz="4" w:space="0"/>
              <w:left w:val="single" w:color="000000" w:sz="4" w:space="0"/>
              <w:bottom w:val="single" w:color="000000" w:sz="4" w:space="0"/>
              <w:right w:val="single" w:color="000000" w:sz="4" w:space="0"/>
            </w:tcBorders>
          </w:tcPr>
          <w:p w14:paraId="3D808C6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w:t>
            </w:r>
          </w:p>
        </w:tc>
        <w:tc>
          <w:tcPr>
            <w:tcW w:w="3240" w:type="dxa"/>
            <w:tcBorders>
              <w:top w:val="single" w:color="000000" w:sz="4" w:space="0"/>
              <w:left w:val="single" w:color="000000" w:sz="4" w:space="0"/>
              <w:bottom w:val="single" w:color="000000" w:sz="4" w:space="0"/>
              <w:right w:val="single" w:color="000000" w:sz="4" w:space="0"/>
            </w:tcBorders>
          </w:tcPr>
          <w:p w14:paraId="0796229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151-250</w:t>
            </w:r>
          </w:p>
        </w:tc>
      </w:tr>
      <w:tr w14:paraId="3B1F29CF">
        <w:tblPrEx>
          <w:tblCellMar>
            <w:top w:w="0" w:type="dxa"/>
            <w:left w:w="108" w:type="dxa"/>
            <w:bottom w:w="0" w:type="dxa"/>
            <w:right w:w="108" w:type="dxa"/>
          </w:tblCellMar>
        </w:tblPrEx>
        <w:tc>
          <w:tcPr>
            <w:tcW w:w="1818" w:type="dxa"/>
            <w:tcBorders>
              <w:top w:val="single" w:color="000000" w:sz="4" w:space="0"/>
              <w:left w:val="single" w:color="000000" w:sz="4" w:space="0"/>
              <w:bottom w:val="single" w:color="000000" w:sz="4" w:space="0"/>
              <w:right w:val="single" w:color="000000" w:sz="4" w:space="0"/>
            </w:tcBorders>
          </w:tcPr>
          <w:p w14:paraId="7AC4A91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w:t>
            </w:r>
          </w:p>
        </w:tc>
        <w:tc>
          <w:tcPr>
            <w:tcW w:w="3240" w:type="dxa"/>
            <w:tcBorders>
              <w:top w:val="single" w:color="000000" w:sz="4" w:space="0"/>
              <w:left w:val="single" w:color="000000" w:sz="4" w:space="0"/>
              <w:bottom w:val="single" w:color="000000" w:sz="4" w:space="0"/>
              <w:right w:val="single" w:color="000000" w:sz="4" w:space="0"/>
            </w:tcBorders>
          </w:tcPr>
          <w:p w14:paraId="659909F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251-400</w:t>
            </w:r>
          </w:p>
        </w:tc>
      </w:tr>
    </w:tbl>
    <w:p w14:paraId="3593BA1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使用静脉全血样本确定批内精密度。可以使用经过处理的静脉全血样本，例如加标、稀释或经过糖酵解以获得适当血糖浓度的样本，以便覆盖声明的整个血糖测量范围。但是，应在提交的所有数据中明确注明所有经过处理（加标、稀释或糖酵解）的样本。本研究应使用来自至少10个小瓶和3个生产批次的至少500个试纸。对于每个样本浓度，应使用至少10台血糖仪，每台血糖仪至少进行10次测量（即，每个浓度至少100次测量）。对于每台血糖仪，试纸应取自同一小瓶和/或包装。</w:t>
      </w:r>
    </w:p>
    <w:p w14:paraId="7F56368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针对每个血糖浓度范围，将结果表示为每台血糖仪的所有测量值的平均值，以及相应的标准差（SD）和变异系数百分比（CV）。此外，对于表1中的每个血糖浓度范围，还应提供所有血糖仪的合并数据的平均值、标准差（95%置信区间）和CV百分比。应说明分析中使用的统计程序。</w:t>
      </w:r>
    </w:p>
    <w:p w14:paraId="2975D745">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提供的结果应基于所有数据；如果任何统计分析中排除了任何离群值样本，应充分说明离群值确定方法，注明排除的样本，并提供离群值样本的根本原因调查结果。</w:t>
      </w:r>
    </w:p>
    <w:p w14:paraId="28D034D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中间精密度评价：</w:t>
      </w:r>
    </w:p>
    <w:p w14:paraId="56877CC9">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bookmarkStart w:id="11" w:name="General_Study_Design:"/>
      <w:bookmarkEnd w:id="11"/>
      <w:bookmarkStart w:id="12" w:name="Method_Comparison/User_Evaluation"/>
      <w:bookmarkEnd w:id="12"/>
      <w:bookmarkStart w:id="13" w:name="B._Linearity_Evaluation_Study"/>
      <w:bookmarkEnd w:id="13"/>
    </w:p>
    <w:p w14:paraId="26CB07B5">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5F378A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中间精密度测量研究是台架研究，旨在评价模拟正常使用条件下的不精密度；例如，使用多个试剂系统批次进行多日测量。这些研究可以使用制备的质控品溶液而不是全血样本进行。</w:t>
      </w:r>
    </w:p>
    <w:p w14:paraId="7869817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这些研究中的血糖仪和操作员总数由申</w:t>
      </w:r>
      <w:r>
        <w:rPr>
          <w:rFonts w:hint="eastAsia" w:ascii="Times New Roman" w:hAnsi="Times New Roman" w:eastAsia="宋体" w:cs="宋体"/>
          <w:sz w:val="24"/>
          <w:lang w:eastAsia="zh-CN"/>
        </w:rPr>
        <w:t>请</w:t>
      </w:r>
      <w:r>
        <w:rPr>
          <w:rFonts w:ascii="Times New Roman" w:hAnsi="Times New Roman" w:eastAsia="宋体" w:cs="宋体"/>
          <w:sz w:val="24"/>
          <w:lang w:eastAsia="zh-CN"/>
        </w:rPr>
        <w:t>方自行决定；但是，每个血糖浓度应使用至少10台血糖仪。中间精密度评价应在至少10天内完成，每天用每台血糖仪对表1中所列的每个血糖浓度区间的样本进行至少1次测量。这样，对于每个血糖浓度，每台血糖仪至少得出10个测量结果，每个浓度共得到100个测量结果。应使用来自至少10个小瓶或包装、覆盖至少3个生产批次的至少500个试纸。对于每台血糖仪，这些试纸应取自同一小瓶和/或包装。</w:t>
      </w:r>
    </w:p>
    <w:p w14:paraId="02981B9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表1中的每个血糖浓度，应提供每个试纸批次以及合并批次的数据，包括每台血糖仪测量值的平均值以及相应的标准差（SD）和变异系数百分比（CV）。还应提供所有血糖仪的合并数据的平均值、标准差（95%置信区间）和CV百分比。应说明所用的统计程序，并根据所有数据提供结果。如果任何统计分析中排除了任何离群值样本，应充分说明离群值确定方法，注明排除的样本，并提供离群值的根本原因调查结果。</w:t>
      </w:r>
    </w:p>
    <w:p w14:paraId="2067C27B">
      <w:pPr>
        <w:pStyle w:val="28"/>
        <w:rPr>
          <w:rFonts w:eastAsia="宋体"/>
          <w:lang w:eastAsia="zh-CN"/>
        </w:rPr>
      </w:pPr>
      <w:bookmarkStart w:id="14" w:name="_Toc91871169"/>
      <w:r>
        <w:rPr>
          <w:rFonts w:eastAsia="宋体" w:cs="宋体"/>
          <w:lang w:eastAsia="zh-CN"/>
        </w:rPr>
        <w:t>B.</w:t>
      </w:r>
      <w:r>
        <w:rPr>
          <w:rFonts w:eastAsia="宋体" w:cs="宋体"/>
          <w:lang w:eastAsia="zh-CN"/>
        </w:rPr>
        <w:tab/>
      </w:r>
      <w:r>
        <w:rPr>
          <w:rFonts w:eastAsia="宋体" w:cs="宋体"/>
          <w:lang w:eastAsia="zh-CN"/>
        </w:rPr>
        <w:t>线性评价研究</w:t>
      </w:r>
      <w:bookmarkEnd w:id="14"/>
    </w:p>
    <w:p w14:paraId="479CB2D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应评价器械在声明的整个测量范围内的线性。本机构建议研究应包括对至少11个均匀分布的、按照CLSI文件EP6-A</w:t>
      </w:r>
      <w:r>
        <w:rPr>
          <w:rFonts w:hint="eastAsia" w:ascii="Times New Roman" w:hAnsi="Times New Roman" w:eastAsia="宋体" w:cs="宋体"/>
          <w:sz w:val="24"/>
          <w:lang w:eastAsia="zh-CN"/>
        </w:rPr>
        <w:t>《</w:t>
      </w:r>
      <w:r>
        <w:rPr>
          <w:rFonts w:ascii="Times New Roman" w:hAnsi="Times New Roman" w:eastAsia="宋体" w:cs="宋体"/>
          <w:sz w:val="24"/>
          <w:lang w:eastAsia="zh-CN"/>
        </w:rPr>
        <w:t>定量测量程序的线性评价：统计方法</w:t>
      </w:r>
      <w:r>
        <w:rPr>
          <w:rFonts w:hint="eastAsia" w:ascii="Times New Roman" w:hAnsi="Times New Roman" w:eastAsia="宋体" w:cs="宋体"/>
          <w:sz w:val="24"/>
          <w:lang w:eastAsia="zh-CN"/>
        </w:rPr>
        <w:t>》</w:t>
      </w:r>
      <w:r>
        <w:rPr>
          <w:rFonts w:ascii="Times New Roman" w:hAnsi="Times New Roman" w:eastAsia="宋体" w:cs="宋体"/>
          <w:sz w:val="24"/>
          <w:lang w:eastAsia="zh-CN"/>
        </w:rPr>
        <w:t>检测和分析的浓度进行评价。应使用静脉全血样本进行线性研究。可以使用经过处理的静脉全血样本，例如加标、稀释或糖酵解的样本，以便覆盖声明的整个测量范围。应在510(k)申报资料中明确说明经过处理的样本（加标、稀释或糖酵解）的数量。</w:t>
      </w:r>
    </w:p>
    <w:p w14:paraId="6186B26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应提交研究设计的详细描述、目标浓度、本研究中收集的所有数据的列表、从研究中得出的结果和结论的总结，以及所用统计分析的描述。</w:t>
      </w:r>
    </w:p>
    <w:p w14:paraId="07763B3D">
      <w:pPr>
        <w:pStyle w:val="28"/>
        <w:rPr>
          <w:rFonts w:eastAsia="宋体"/>
          <w:lang w:eastAsia="zh-CN"/>
        </w:rPr>
      </w:pPr>
      <w:bookmarkStart w:id="15" w:name="_Toc91871170"/>
      <w:r>
        <w:rPr>
          <w:rFonts w:eastAsia="宋体" w:cs="宋体"/>
          <w:lang w:eastAsia="zh-CN"/>
        </w:rPr>
        <w:t>C.</w:t>
      </w:r>
      <w:r>
        <w:rPr>
          <w:rFonts w:eastAsia="宋体" w:cs="宋体"/>
          <w:lang w:eastAsia="zh-CN"/>
        </w:rPr>
        <w:tab/>
      </w:r>
      <w:r>
        <w:rPr>
          <w:rFonts w:eastAsia="宋体" w:cs="宋体"/>
          <w:lang w:eastAsia="zh-CN"/>
        </w:rPr>
        <w:t>方法比较/用户评价</w:t>
      </w:r>
      <w:bookmarkEnd w:id="15"/>
    </w:p>
    <w:p w14:paraId="5DCB3A45">
      <w:pPr>
        <w:pStyle w:val="31"/>
        <w:rPr>
          <w:rFonts w:eastAsia="宋体"/>
          <w:lang w:eastAsia="zh-CN"/>
        </w:rPr>
      </w:pPr>
      <w:bookmarkStart w:id="16" w:name="_Toc91871171"/>
      <w:r>
        <w:rPr>
          <w:rFonts w:eastAsia="宋体" w:cs="宋体"/>
          <w:lang w:eastAsia="zh-CN"/>
        </w:rPr>
        <w:t>1.</w:t>
      </w:r>
      <w:r>
        <w:rPr>
          <w:rFonts w:eastAsia="宋体" w:cs="宋体"/>
          <w:lang w:eastAsia="zh-CN"/>
        </w:rPr>
        <w:tab/>
      </w:r>
      <w:r>
        <w:rPr>
          <w:rFonts w:eastAsia="宋体" w:cs="宋体"/>
          <w:u w:val="single"/>
          <w:lang w:eastAsia="zh-CN"/>
        </w:rPr>
        <w:t>一般研究设计：</w:t>
      </w:r>
      <w:bookmarkEnd w:id="16"/>
    </w:p>
    <w:p w14:paraId="58876239">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设计一项单独的评价来评估系统由预期用户操作时的准确度以及支持非专业使用的其他方面，例如标签和可用性评估。此类设计会更准确地反映器械由预期用户操作时的性能，从而更好地估计SMBG的总体准确度。</w:t>
      </w:r>
    </w:p>
    <w:p w14:paraId="5CD019E5">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67E435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承认，为510(k)申报资料执行的大多数研究评价都是在理想条件下进行，因此即使是由预期用户操作，也可能会高估SMBG的总体准确度。重要的是，研究设计应能最准确地评价器械由预期使用人群操作时的性能。因此，研究应在反映器械预期用途和预期使用人群的条件（例如，温度、湿度、海拔高度等）下进行，但不需要包含整个环境条件范围（环境条件在下面第VI.E节中讨论的稳定性研究中单独确认）。应在510(k)申报资料中充分描述研究条件。</w:t>
      </w:r>
    </w:p>
    <w:p w14:paraId="24E9BEE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用户评价中应包括至少350名不同的受试者。</w:t>
      </w:r>
      <w:r>
        <w:rPr>
          <w:rFonts w:hint="eastAsia" w:ascii="Times New Roman" w:hAnsi="Times New Roman" w:eastAsia="宋体" w:cs="宋体"/>
          <w:sz w:val="24"/>
          <w:lang w:eastAsia="zh-CN"/>
        </w:rPr>
        <w:t>重要的是，</w:t>
      </w:r>
      <w:r>
        <w:rPr>
          <w:rFonts w:ascii="Times New Roman" w:hAnsi="Times New Roman" w:eastAsia="宋体" w:cs="宋体"/>
          <w:sz w:val="24"/>
          <w:lang w:eastAsia="zh-CN"/>
        </w:rPr>
        <w:t>为了</w:t>
      </w:r>
      <w:r>
        <w:rPr>
          <w:rFonts w:hint="eastAsia" w:ascii="Times New Roman" w:hAnsi="Times New Roman" w:eastAsia="宋体" w:cs="宋体"/>
          <w:sz w:val="24"/>
          <w:lang w:eastAsia="zh-CN"/>
        </w:rPr>
        <w:t>稳定</w:t>
      </w:r>
      <w:r>
        <w:rPr>
          <w:rFonts w:ascii="Times New Roman" w:hAnsi="Times New Roman" w:eastAsia="宋体" w:cs="宋体"/>
          <w:sz w:val="24"/>
          <w:lang w:eastAsia="zh-CN"/>
        </w:rPr>
        <w:t>地评估器械的准确度，对照方法得出的血糖值必须尽可能可靠。因此，可以对每个样本进行多次对照测量并取平均值，以便更好地估计该样本的真实血糖浓度值。但是，510(k)申报资料中不应排除任何测量值，如果从分析中排除任何数据，应提供合理解释。如果计划声明器械可用于其他解剖部位（例如，前臂、手掌等），则对每个申请批准的解剖部位，应使用该器械检测350例受试者的样本，并相对于使用对照方法测量的样本评价结果。</w:t>
      </w:r>
    </w:p>
    <w:p w14:paraId="364CEE58">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对于声明的每个解剖部位，样本应充分覆盖声明的SMBG测量范围。尽管获取测量范围极限处的样本可能有困难，但研究应包含至少10份血糖浓度&lt;80 mg/dL的未经处理的样本，以及至少10份血糖浓度在250 mg/dL与声明的器械测量范围上限之间的未经处理的样本。每个解剖部位（指尖、前臂、手掌等）可能需要入组350多例患者，以获得必要的未经处理的样本。应在510(k)中提交所有研究受试者的数据（即使采集了350份以上的样本），数据分析中不应排除任何受试者。</w:t>
      </w:r>
    </w:p>
    <w:p w14:paraId="406084A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方法比较/用户研究中入组的受试者应准确反映SMBG的预期使用人群。研究组应由SMBG初次使用者和非初次使用者组成。至少10%的研究参与者应为SMBG初次使用者，可以包含非糖尿病受试者。应说明入组研究参与者的入选和排除标准，以及参与研究的受试者的人口统计学特征。</w:t>
      </w:r>
    </w:p>
    <w:p w14:paraId="51CED177">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试验之前，应向研究受试者提供器械标签（使用说明书、用户手册等）草稿，该草稿代表将随上市器械提供给用户的标签。如果在用户评价结束后对标签进行了重大修订，并且没有其他方法可用于确认所做变更不会影响用户性能，则可需要额外的用户研究。出于研究目的，使用说明书应仅用英文书写；不应向研究参与者提供其他语言的翻译。在研究之前，应对用户手册、试纸说明书和质控品溶液说明书进行可读性评估（用等级水平来说明）。对于供非专业用户在家中使用的产品，阅读水平应在8级及以下。本机构建议使用Flesch-Kincaid、SMOG或等效计算机程序来评估标签的可读性等级水平。应在510(k)申报资料中描述评估和结果。</w:t>
      </w:r>
    </w:p>
    <w:p w14:paraId="06469C4C">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DE6CFD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研究受试者应获取自己的指尖毛细血管（或替代解剖部位）样本，并仅按照器械标签草稿的说明执行血糖检测。不应向用户提供其他培训或提示，用户也不应在研究技术人员或医疗服务提供者的帮助下获得检测结果。应将研究受试者隔离，使其无法观察其他研究参与者或技术人员的检测技术或受到其影响。研究参与者使用SMBG获得自己的结果之后，技术人员应采集额外的毛细血管血样，使用对照方法进行检测。由于SMBG的预期用户人群是非专业人员，因此不希望技术人员也在SMBG上获得毛细血管血样的结果，以与对照值进行比较。</w:t>
      </w:r>
    </w:p>
    <w:p w14:paraId="7ABF9EA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研究应包含至少10个试纸瓶或包装，覆盖至少3个试纸批次。研究中使用的所有试纸应该都在用于该研究之前，经历了从制造地点到美国用户的典型运输和搬运条件。应在510(k)申报资料中描述这些运输和搬运条件。</w:t>
      </w:r>
    </w:p>
    <w:p w14:paraId="2437489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应测定并记录每个研究参与者的血细胞比容值。应在510(k)申报资料中提供个体血细胞比容值以及血糖仪结果。</w:t>
      </w:r>
    </w:p>
    <w:p w14:paraId="77E77D9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糖尿病患者利用血糖检测结果对其治疗做关键性决策；因此，结果必须准确，以便更好地避免营养和药物给药错误。研究应证明SMBG足以用于此目的，方法是证明在器械的整个声明测量范围内，该研究中95%的SMBG结果在对照结果的+/-15%以内，并且99%的SMBG结果在对照结果的+/-20%以内。应在510(k)申报资料中包含所有结果。尽管本机构预计，利用现有技术，SMBG器械能够满足这些标准，但在某些情况下，即使性能不满足这些标准，也有可能确定血糖仪的实质等同性，例如，血糖仪的其他特性或其使用环境可提供一些补偿不同性能的益处。对于比对照方法&gt; 20%的所有SMBG检测结果，应提供发生错误的临床解释，并说明在外推至预期使用环境时（例如，执行数十亿次检测时），发生该错误的可能性不会影响用户安全</w:t>
      </w:r>
      <w:r>
        <w:rPr>
          <w:rFonts w:hint="eastAsia" w:ascii="Times New Roman" w:hAnsi="Times New Roman" w:eastAsia="宋体" w:cs="宋体"/>
          <w:sz w:val="24"/>
          <w:lang w:eastAsia="zh-CN"/>
        </w:rPr>
        <w:t>的原因</w:t>
      </w:r>
      <w:r>
        <w:rPr>
          <w:rFonts w:ascii="Times New Roman" w:hAnsi="Times New Roman" w:eastAsia="宋体" w:cs="宋体"/>
          <w:sz w:val="24"/>
          <w:lang w:eastAsia="zh-CN"/>
        </w:rPr>
        <w:t>。本机构将对提交的任何解释进行审查，以确定数据是否表明患者可能面临风险，或者确定解释和拟定的任何缓解措施是否充分。</w:t>
      </w:r>
    </w:p>
    <w:p w14:paraId="06C95243">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465908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了解在极低的血糖浓度下，一些SMBG可能无法实现测量值在对照方法测量值15%以内的可靠测量。如果是这种情况，应根据上述标准将声明的测量范围下限提高到器械足够准确的浓度。为满足用户人群的临床需求，SMBG应至少能够准确测量50 mg/dL至400 mg/dL之间的血糖，或应提供使用替代测量范围的临床依据。在测得的血糖值超出器械声明测量范围的情况下，SMBG应能识别并提供错误代码。例如，血糖仪XYZ的测量范围可以检测低至50 mg/dL的血糖浓度；因此，对于血糖浓度低于50 mg/dL的血样，应提供适当的错误代码（例如，“低-低于50 mg/dL”）。</w:t>
      </w:r>
    </w:p>
    <w:p w14:paraId="77659F98">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SMBG的方法比较和用户执行研究应包括350名非专业研究参与者使用的多台血糖仪。在该研究过程中，对每名受试者应使用单独的采血器，并按照经确认的说明对血糖仪进行清洁和消毒。应提供降低研究期间医疗服务提供者和受试者之间的潜在疾病传播风险的程序（例如，使用一次性手套或其他物理屏障），包括关于受过培训的医疗专业人员应在检测多少名受试者之后以及何时更换手套的详细信息。关于SMBG清洁和消毒确认的更多信息参见上文第IV节（降低糖尿病护理中的血源性病原体传播风险）。应在510(k)申报资料中描述研究的这些方面。</w:t>
      </w:r>
    </w:p>
    <w:p w14:paraId="10A8787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应在510(k)申报资料中说明以下内容：</w:t>
      </w:r>
    </w:p>
    <w:p w14:paraId="2A214205">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研究设置，包括每个研究中心的规模、类型和地点，以及对所选研究条件如何模拟预期使用条件的解释。研究中心应能代表SMBG在美国的使用地点，并应说明认为每个研究中心能代表SMBG的使用地点</w:t>
      </w:r>
      <w:r>
        <w:rPr>
          <w:rFonts w:hint="eastAsia" w:ascii="Times New Roman" w:hAnsi="Times New Roman" w:eastAsia="宋体" w:cs="宋体"/>
          <w:sz w:val="24"/>
          <w:lang w:eastAsia="zh-CN"/>
        </w:rPr>
        <w:t>的理由</w:t>
      </w:r>
      <w:r>
        <w:rPr>
          <w:rFonts w:ascii="Times New Roman" w:hAnsi="Times New Roman" w:eastAsia="宋体" w:cs="宋体"/>
          <w:sz w:val="24"/>
          <w:lang w:eastAsia="zh-CN"/>
        </w:rPr>
        <w:t>。</w:t>
      </w:r>
    </w:p>
    <w:p w14:paraId="58EE91C8">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研究受试者的选择标准，包括入选和排除标准。包括患者人口统计学资料（年龄范围、受教育水平、母语、实验室或医疗保健工作经验、疾病状态），以及是否是SMBG初次使用者。</w:t>
      </w:r>
    </w:p>
    <w:p w14:paraId="535B88EF">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由非专业用户和研究技术人员执行的程序的详细信息。</w:t>
      </w:r>
    </w:p>
    <w:p w14:paraId="79A12C83">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向参与研究的用户提供的说明。（注：所有说明均应仅以英文提供给用户。</w:t>
      </w:r>
      <w:r>
        <w:rPr>
          <w:rFonts w:ascii="Times New Roman" w:hAnsi="Times New Roman" w:eastAsia="宋体" w:cs="宋体"/>
          <w:sz w:val="24"/>
        </w:rPr>
        <w:t>）</w:t>
      </w:r>
    </w:p>
    <w:p w14:paraId="373588D0">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1BCE6AB5">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采集的样本类型（采集的解剖部位）。</w:t>
      </w:r>
    </w:p>
    <w:p w14:paraId="58E05EBF">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研究中使用的试纸批次数量、试纸小瓶数量和血糖仪数量。</w:t>
      </w:r>
    </w:p>
    <w:p w14:paraId="329F99AF">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试纸在被用于研究之前的运输和搬运条件描述。</w:t>
      </w:r>
    </w:p>
    <w:p w14:paraId="2FD78F50">
      <w:pPr>
        <w:pStyle w:val="22"/>
        <w:numPr>
          <w:ilvl w:val="0"/>
          <w:numId w:val="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应向研究参与者提供用户调查问卷，要求其在完成研究后填写。还应提供空白调查问卷的副本和结果分析。</w:t>
      </w:r>
    </w:p>
    <w:p w14:paraId="7BA1C780">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在极端血糖值下的准确度</w:t>
      </w:r>
    </w:p>
    <w:p w14:paraId="086F78BB">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由于使用真实患者样本的上述用户研究可能无法在声明的测量范围上限和下限下提供</w:t>
      </w:r>
      <w:r>
        <w:rPr>
          <w:rFonts w:hint="eastAsia" w:ascii="Times New Roman" w:hAnsi="Times New Roman" w:eastAsia="宋体" w:cs="宋体"/>
          <w:sz w:val="24"/>
          <w:lang w:eastAsia="zh-CN"/>
        </w:rPr>
        <w:t>稳定</w:t>
      </w:r>
      <w:r>
        <w:rPr>
          <w:rFonts w:ascii="Times New Roman" w:hAnsi="Times New Roman" w:eastAsia="宋体" w:cs="宋体"/>
          <w:sz w:val="24"/>
          <w:lang w:eastAsia="zh-CN"/>
        </w:rPr>
        <w:t>的SMBG性能评价，因此应使用经过处理的血样进行额外的研究，以达到低于80 mg/dL和高于250 mg/dL的血糖浓度。这些样本应尽可能模拟未经处理的患者样本。这项额外的极端血糖值研究应与上述用户研究（见第VI.C节）分开进行，并且可以在实验室环境下进行。</w:t>
      </w:r>
    </w:p>
    <w:p w14:paraId="377761E5">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这些研究应使用毛细血管全血样本 - 可能需要由专业人员采集毛细血管血样，以确保样本量充足。应包括至少50份血糖浓度低于80 mg/dL和50份血糖浓度高于250 mg/dL的制备样本。这些样本应均匀覆盖声明的测量范围的下限和上限。可以对样本进行加标或糖酵解处理，以获得适当的血糖浓度。应采用SMBG和对照方法对样本进行测量。应将这些数据与用户评价数据分开分析，但使用相同的方法（如下文所述）分析用户评价研究。FDA将对这两种研究应用相同的审查标准。</w:t>
      </w:r>
    </w:p>
    <w:p w14:paraId="79F35E5D">
      <w:pPr>
        <w:pStyle w:val="31"/>
        <w:rPr>
          <w:rFonts w:eastAsia="宋体"/>
          <w:lang w:eastAsia="zh-CN"/>
        </w:rPr>
      </w:pPr>
      <w:bookmarkStart w:id="17" w:name="_Toc91871172"/>
      <w:r>
        <w:rPr>
          <w:rFonts w:eastAsia="宋体" w:cs="宋体"/>
          <w:lang w:eastAsia="zh-CN"/>
        </w:rPr>
        <w:t>2.</w:t>
      </w:r>
      <w:r>
        <w:rPr>
          <w:rFonts w:eastAsia="宋体" w:cs="宋体"/>
          <w:lang w:eastAsia="zh-CN"/>
        </w:rPr>
        <w:tab/>
      </w:r>
      <w:r>
        <w:rPr>
          <w:rFonts w:eastAsia="宋体" w:cs="宋体"/>
          <w:u w:val="single"/>
          <w:lang w:eastAsia="zh-CN"/>
        </w:rPr>
        <w:t>数据分析：</w:t>
      </w:r>
      <w:bookmarkEnd w:id="17"/>
    </w:p>
    <w:p w14:paraId="0877FD4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数据排除和离群值：</w:t>
      </w:r>
    </w:p>
    <w:p w14:paraId="7E3BC755">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510(k)申报资料中提供所有数据，包括血糖仪显示错误代码（“高”或“低”消息）或无结果的情况。还应包括所有离群值（例如，不符合最低准确度标准的数据点）。应调查所有离群值结果，并描述这些调查结果，可能的话，解释离群值发生原因。为了帮助调查离群值结果，应在研究期间收集有关患者用药、血细胞比容测量和疾病状态的信息。</w:t>
      </w:r>
    </w:p>
    <w:p w14:paraId="565AF978">
      <w:pPr>
        <w:adjustRightInd w:val="0"/>
        <w:snapToGrid w:val="0"/>
        <w:spacing w:before="120" w:beforeLines="50" w:line="300" w:lineRule="auto"/>
        <w:ind w:left="425" w:leftChars="193"/>
        <w:jc w:val="both"/>
        <w:rPr>
          <w:rFonts w:ascii="Times New Roman" w:hAnsi="Times New Roman" w:eastAsia="宋体" w:cs="Times New Roman"/>
          <w:i/>
          <w:snapToGrid w:val="0"/>
          <w:sz w:val="24"/>
          <w:szCs w:val="24"/>
          <w:lang w:eastAsia="zh-CN"/>
        </w:rPr>
      </w:pPr>
      <w:r>
        <w:rPr>
          <w:rFonts w:ascii="Times New Roman" w:hAnsi="Times New Roman" w:eastAsia="宋体" w:cs="宋体"/>
          <w:i/>
          <w:sz w:val="24"/>
          <w:lang w:eastAsia="zh-CN"/>
        </w:rPr>
        <w:t>结果分析：</w:t>
      </w:r>
      <w:r>
        <w:rPr>
          <w:rFonts w:ascii="Times New Roman" w:hAnsi="Times New Roman" w:eastAsia="宋体" w:cs="宋体"/>
          <w:i/>
          <w:lang w:eastAsia="zh-CN"/>
        </w:rPr>
        <w:br w:type="page"/>
      </w:r>
    </w:p>
    <w:p w14:paraId="7B21588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X-Y图上绘制数据，以显示个体研究受试者结果与对照方法结果（如果采用对照方法进行了多次平行测量，则显示对照方法测量值的平均值）之间的差异。该图应包括回归线和等值线。结果总结应包括使用适当分析方法（例如，线性回归、Deming回归）计算的斜率和y轴截距，以及95%置信区间，以及偏差估计值（标准误）。也可提供Y-X与X的差异图。应描述使用的所有统计方法，并明确注明和描述分析中的任何离群值。</w:t>
      </w:r>
    </w:p>
    <w:p w14:paraId="494DBDAF">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列表数据显示：</w:t>
      </w:r>
    </w:p>
    <w:p w14:paraId="4672B49F">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应以下面的表格格式提供每个样本矩阵的分析结果。在下表2中，X =与对照方法测量结果之间的差异在规定范围以内的样本数量，Y =样本总数。</w:t>
      </w:r>
    </w:p>
    <w:p w14:paraId="39880DA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表2.整个范围内血糖浓度与对照方法测量值之间的差异在规定范围（mg/dL）以内的数据总结：</w:t>
      </w:r>
    </w:p>
    <w:tbl>
      <w:tblPr>
        <w:tblStyle w:val="21"/>
        <w:tblW w:w="0" w:type="auto"/>
        <w:tblInd w:w="656" w:type="dxa"/>
        <w:tblLayout w:type="fixed"/>
        <w:tblCellMar>
          <w:top w:w="0" w:type="dxa"/>
          <w:left w:w="108" w:type="dxa"/>
          <w:bottom w:w="0" w:type="dxa"/>
          <w:right w:w="108" w:type="dxa"/>
        </w:tblCellMar>
      </w:tblPr>
      <w:tblGrid>
        <w:gridCol w:w="1620"/>
        <w:gridCol w:w="1800"/>
        <w:gridCol w:w="1790"/>
        <w:gridCol w:w="1844"/>
      </w:tblGrid>
      <w:tr w14:paraId="20C17E89">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vAlign w:val="center"/>
          </w:tcPr>
          <w:p w14:paraId="337FB97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在+/-5%范围内</w:t>
            </w:r>
          </w:p>
        </w:tc>
        <w:tc>
          <w:tcPr>
            <w:tcW w:w="1800" w:type="dxa"/>
            <w:tcBorders>
              <w:top w:val="single" w:color="000000" w:sz="4" w:space="0"/>
              <w:left w:val="single" w:color="000000" w:sz="4" w:space="0"/>
              <w:bottom w:val="single" w:color="000000" w:sz="4" w:space="0"/>
              <w:right w:val="single" w:color="000000" w:sz="4" w:space="0"/>
            </w:tcBorders>
            <w:vAlign w:val="center"/>
          </w:tcPr>
          <w:p w14:paraId="45FB249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在+/-10%范围内</w:t>
            </w:r>
          </w:p>
        </w:tc>
        <w:tc>
          <w:tcPr>
            <w:tcW w:w="1790" w:type="dxa"/>
            <w:tcBorders>
              <w:top w:val="single" w:color="000000" w:sz="4" w:space="0"/>
              <w:left w:val="single" w:color="000000" w:sz="4" w:space="0"/>
              <w:bottom w:val="single" w:color="000000" w:sz="4" w:space="0"/>
              <w:right w:val="single" w:color="000000" w:sz="4" w:space="0"/>
            </w:tcBorders>
            <w:vAlign w:val="center"/>
          </w:tcPr>
          <w:p w14:paraId="4EB748D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在+/-15%范围内</w:t>
            </w:r>
          </w:p>
        </w:tc>
        <w:tc>
          <w:tcPr>
            <w:tcW w:w="1844" w:type="dxa"/>
            <w:tcBorders>
              <w:top w:val="single" w:color="000000" w:sz="4" w:space="0"/>
              <w:left w:val="single" w:color="000000" w:sz="4" w:space="0"/>
              <w:bottom w:val="single" w:color="000000" w:sz="4" w:space="0"/>
              <w:right w:val="single" w:color="000000" w:sz="4" w:space="0"/>
            </w:tcBorders>
            <w:vAlign w:val="center"/>
          </w:tcPr>
          <w:p w14:paraId="68730CD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在+/-20%范围内</w:t>
            </w:r>
          </w:p>
        </w:tc>
      </w:tr>
      <w:tr w14:paraId="09FC036C">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vAlign w:val="center"/>
          </w:tcPr>
          <w:p w14:paraId="3A20181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X/Y （%）</w:t>
            </w:r>
          </w:p>
        </w:tc>
        <w:tc>
          <w:tcPr>
            <w:tcW w:w="1800" w:type="dxa"/>
            <w:tcBorders>
              <w:top w:val="single" w:color="000000" w:sz="4" w:space="0"/>
              <w:left w:val="single" w:color="000000" w:sz="4" w:space="0"/>
              <w:bottom w:val="single" w:color="000000" w:sz="4" w:space="0"/>
              <w:right w:val="single" w:color="000000" w:sz="4" w:space="0"/>
            </w:tcBorders>
            <w:vAlign w:val="center"/>
          </w:tcPr>
          <w:p w14:paraId="7C49581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X/Y （%）</w:t>
            </w:r>
          </w:p>
        </w:tc>
        <w:tc>
          <w:tcPr>
            <w:tcW w:w="1790" w:type="dxa"/>
            <w:tcBorders>
              <w:top w:val="single" w:color="000000" w:sz="4" w:space="0"/>
              <w:left w:val="single" w:color="000000" w:sz="4" w:space="0"/>
              <w:bottom w:val="single" w:color="000000" w:sz="4" w:space="0"/>
              <w:right w:val="single" w:color="000000" w:sz="4" w:space="0"/>
            </w:tcBorders>
            <w:vAlign w:val="center"/>
          </w:tcPr>
          <w:p w14:paraId="24C632F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X/Y （%）</w:t>
            </w:r>
          </w:p>
        </w:tc>
        <w:tc>
          <w:tcPr>
            <w:tcW w:w="1844" w:type="dxa"/>
            <w:tcBorders>
              <w:top w:val="single" w:color="000000" w:sz="4" w:space="0"/>
              <w:left w:val="single" w:color="000000" w:sz="4" w:space="0"/>
              <w:bottom w:val="single" w:color="000000" w:sz="4" w:space="0"/>
              <w:right w:val="single" w:color="000000" w:sz="4" w:space="0"/>
            </w:tcBorders>
            <w:vAlign w:val="center"/>
          </w:tcPr>
          <w:p w14:paraId="629F07D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X/Y （%）</w:t>
            </w:r>
          </w:p>
        </w:tc>
      </w:tr>
    </w:tbl>
    <w:p w14:paraId="241BEA94">
      <w:pPr>
        <w:pStyle w:val="28"/>
        <w:rPr>
          <w:rFonts w:eastAsia="宋体"/>
        </w:rPr>
      </w:pPr>
      <w:bookmarkStart w:id="18" w:name="_Toc91871173"/>
      <w:r>
        <w:rPr>
          <w:rFonts w:eastAsia="宋体" w:cs="宋体"/>
        </w:rPr>
        <w:t>D.</w:t>
      </w:r>
      <w:r>
        <w:rPr>
          <w:rFonts w:eastAsia="宋体" w:cs="宋体"/>
        </w:rPr>
        <w:tab/>
      </w:r>
      <w:r>
        <w:rPr>
          <w:rFonts w:eastAsia="宋体" w:cs="宋体"/>
        </w:rPr>
        <w:t>干扰评价</w:t>
      </w:r>
      <w:bookmarkEnd w:id="18"/>
    </w:p>
    <w:p w14:paraId="5E02E6E9">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评价潜在内源性和外源性干扰物质和疾病（例如黄疸、脂血症和各种血细胞比容水平）的影响，以及常用药物对SMBG性能的影响。已知会干扰血糖监测系统的疾病（例如酮症酸中毒）应作为限制条件纳入标签中。如果希望标签中不包含这些限制条件，或者想要从标签中删除这些疾病，应该提供干扰试验，证明这些疾病不会对器械造成干扰。</w:t>
      </w:r>
    </w:p>
    <w:p w14:paraId="30616CDC">
      <w:pPr>
        <w:pStyle w:val="31"/>
        <w:rPr>
          <w:rFonts w:eastAsia="宋体"/>
          <w:u w:val="single"/>
          <w:lang w:eastAsia="zh-CN"/>
        </w:rPr>
      </w:pPr>
      <w:bookmarkStart w:id="19" w:name="_Toc91871174"/>
      <w:r>
        <w:rPr>
          <w:rFonts w:eastAsia="宋体" w:cs="宋体"/>
          <w:lang w:eastAsia="zh-CN"/>
        </w:rPr>
        <w:t>1.</w:t>
      </w:r>
      <w:r>
        <w:rPr>
          <w:rFonts w:eastAsia="宋体" w:cs="宋体"/>
          <w:lang w:eastAsia="zh-CN"/>
        </w:rPr>
        <w:tab/>
      </w:r>
      <w:r>
        <w:rPr>
          <w:rFonts w:eastAsia="宋体" w:cs="宋体"/>
          <w:u w:val="single"/>
          <w:lang w:eastAsia="zh-CN"/>
        </w:rPr>
        <w:t>内源性/外源性物质</w:t>
      </w:r>
      <w:bookmarkEnd w:id="19"/>
    </w:p>
    <w:p w14:paraId="249A033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研究设计：</w:t>
      </w:r>
    </w:p>
    <w:p w14:paraId="437975BF">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应使用血糖浓度在器械测量范围内的样本进行干扰试验。具体而言，应使用目标血糖值约为50-70 mg/dL、110-130 mg/dL和225-270 mg/dL的样本执行试验，以评价临床相关决策点。</w:t>
      </w:r>
    </w:p>
    <w:p w14:paraId="25A6FF6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应在临床相关浓度下评价每种潜在干扰物质，并且应在全血样本中可能存在的最高浓度下检测所有物质；如果观察到显著干扰，应对干扰物进行稀释，以确定干扰开始发生时的浓度。例如，如果观察到20 mg/dL对乙酰氨基酚有干扰作用，应使用含有较低浓度对乙酰氨基酚（例如15 mg/dL、10 mg/dL和5 mg/dL）的样本进行额外检测，以确定最先观察到干扰时的最低对乙酰氨基酚浓度。如果根据额外检测的结果确定在含5 mg/dL对乙酰氨基酚的样本中未观察到干扰，而在含10 mg/dL对乙酰氨基酚的样本中观察到干扰，则5 mg/dL是未观察到干扰的最高对乙酰氨基酚浓度。</w:t>
      </w:r>
    </w:p>
    <w:p w14:paraId="12A0ABD2">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8EC60DF">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下表3列出的物质代表当前血糖测量技术的已知或潜在干扰物，包括需要进行干扰检测的物质的最小列表。</w:t>
      </w:r>
    </w:p>
    <w:p w14:paraId="5F4D0CB9">
      <w:pPr>
        <w:pStyle w:val="4"/>
        <w:adjustRightInd w:val="0"/>
        <w:snapToGrid w:val="0"/>
        <w:spacing w:before="120" w:beforeLines="50" w:line="300" w:lineRule="auto"/>
        <w:ind w:left="425" w:leftChars="193" w:firstLine="0"/>
        <w:jc w:val="both"/>
        <w:rPr>
          <w:rFonts w:eastAsia="宋体" w:cs="Times New Roman"/>
          <w:b w:val="0"/>
          <w:bCs w:val="0"/>
          <w:snapToGrid w:val="0"/>
          <w:lang w:eastAsia="zh-CN"/>
        </w:rPr>
      </w:pPr>
      <w:r>
        <w:rPr>
          <w:rFonts w:eastAsia="宋体" w:cs="宋体"/>
          <w:lang w:eastAsia="zh-CN"/>
        </w:rPr>
        <w:t>表3.SMBG的已知或潜在干扰物列表：</w:t>
      </w:r>
    </w:p>
    <w:tbl>
      <w:tblPr>
        <w:tblStyle w:val="21"/>
        <w:tblW w:w="0" w:type="auto"/>
        <w:tblInd w:w="547" w:type="dxa"/>
        <w:tblLayout w:type="fixed"/>
        <w:tblCellMar>
          <w:top w:w="0" w:type="dxa"/>
          <w:left w:w="108" w:type="dxa"/>
          <w:bottom w:w="0" w:type="dxa"/>
          <w:right w:w="108" w:type="dxa"/>
        </w:tblCellMar>
      </w:tblPr>
      <w:tblGrid>
        <w:gridCol w:w="2610"/>
        <w:gridCol w:w="2790"/>
      </w:tblGrid>
      <w:tr w14:paraId="692A6291">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29EDFA8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干扰</w:t>
            </w:r>
            <w:r>
              <w:rPr>
                <w:rFonts w:hint="eastAsia" w:ascii="Times New Roman" w:hAnsi="Times New Roman" w:eastAsia="宋体" w:cs="宋体"/>
                <w:b/>
                <w:sz w:val="21"/>
                <w:lang w:eastAsia="zh-CN"/>
              </w:rPr>
              <w:t>物质</w:t>
            </w:r>
          </w:p>
        </w:tc>
        <w:tc>
          <w:tcPr>
            <w:tcW w:w="2790" w:type="dxa"/>
            <w:tcBorders>
              <w:top w:val="single" w:color="000000" w:sz="4" w:space="0"/>
              <w:left w:val="single" w:color="000000" w:sz="4" w:space="0"/>
              <w:bottom w:val="single" w:color="000000" w:sz="4" w:space="0"/>
              <w:right w:val="single" w:color="000000" w:sz="4" w:space="0"/>
            </w:tcBorders>
          </w:tcPr>
          <w:p w14:paraId="29B03D3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建议的检测浓度</w:t>
            </w:r>
          </w:p>
        </w:tc>
      </w:tr>
      <w:tr w14:paraId="35750FCD">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1A1435DC">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对乙酰氨基酚</w:t>
            </w:r>
          </w:p>
        </w:tc>
        <w:tc>
          <w:tcPr>
            <w:tcW w:w="2790" w:type="dxa"/>
            <w:tcBorders>
              <w:top w:val="single" w:color="000000" w:sz="4" w:space="0"/>
              <w:left w:val="single" w:color="000000" w:sz="4" w:space="0"/>
              <w:bottom w:val="single" w:color="000000" w:sz="4" w:space="0"/>
              <w:right w:val="single" w:color="000000" w:sz="4" w:space="0"/>
            </w:tcBorders>
          </w:tcPr>
          <w:p w14:paraId="146302F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 mg/dL</w:t>
            </w:r>
          </w:p>
        </w:tc>
      </w:tr>
      <w:tr w14:paraId="2D11920A">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66EBF80C">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抗坏血酸</w:t>
            </w:r>
          </w:p>
        </w:tc>
        <w:tc>
          <w:tcPr>
            <w:tcW w:w="2790" w:type="dxa"/>
            <w:tcBorders>
              <w:top w:val="single" w:color="000000" w:sz="4" w:space="0"/>
              <w:left w:val="single" w:color="000000" w:sz="4" w:space="0"/>
              <w:bottom w:val="single" w:color="000000" w:sz="4" w:space="0"/>
              <w:right w:val="single" w:color="000000" w:sz="4" w:space="0"/>
            </w:tcBorders>
          </w:tcPr>
          <w:p w14:paraId="0597D6A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 mg/dL</w:t>
            </w:r>
          </w:p>
        </w:tc>
      </w:tr>
      <w:tr w14:paraId="576F5DA0">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161C6247">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结合胆红素</w:t>
            </w:r>
          </w:p>
        </w:tc>
        <w:tc>
          <w:tcPr>
            <w:tcW w:w="2790" w:type="dxa"/>
            <w:tcBorders>
              <w:top w:val="single" w:color="000000" w:sz="4" w:space="0"/>
              <w:left w:val="single" w:color="000000" w:sz="4" w:space="0"/>
              <w:bottom w:val="single" w:color="000000" w:sz="4" w:space="0"/>
              <w:right w:val="single" w:color="000000" w:sz="4" w:space="0"/>
            </w:tcBorders>
          </w:tcPr>
          <w:p w14:paraId="59F2ECB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50 mg/dL</w:t>
            </w:r>
          </w:p>
        </w:tc>
      </w:tr>
      <w:tr w14:paraId="7D8AB985">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6667B1B8">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非结合胆红素</w:t>
            </w:r>
          </w:p>
        </w:tc>
        <w:tc>
          <w:tcPr>
            <w:tcW w:w="2790" w:type="dxa"/>
            <w:tcBorders>
              <w:top w:val="single" w:color="000000" w:sz="4" w:space="0"/>
              <w:left w:val="single" w:color="000000" w:sz="4" w:space="0"/>
              <w:bottom w:val="single" w:color="000000" w:sz="4" w:space="0"/>
              <w:right w:val="single" w:color="000000" w:sz="4" w:space="0"/>
            </w:tcBorders>
          </w:tcPr>
          <w:p w14:paraId="3319BD9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40 mg/dL</w:t>
            </w:r>
          </w:p>
        </w:tc>
      </w:tr>
      <w:tr w14:paraId="0018EEA2">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DFC0C97">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胆固醇</w:t>
            </w:r>
          </w:p>
        </w:tc>
        <w:tc>
          <w:tcPr>
            <w:tcW w:w="2790" w:type="dxa"/>
            <w:tcBorders>
              <w:top w:val="single" w:color="000000" w:sz="4" w:space="0"/>
              <w:left w:val="single" w:color="000000" w:sz="4" w:space="0"/>
              <w:bottom w:val="single" w:color="000000" w:sz="4" w:space="0"/>
              <w:right w:val="single" w:color="000000" w:sz="4" w:space="0"/>
            </w:tcBorders>
          </w:tcPr>
          <w:p w14:paraId="597BDEA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500 mg/dL</w:t>
            </w:r>
          </w:p>
        </w:tc>
      </w:tr>
      <w:tr w14:paraId="1FA96EC5">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5787610A">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肌酐</w:t>
            </w:r>
          </w:p>
        </w:tc>
        <w:tc>
          <w:tcPr>
            <w:tcW w:w="2790" w:type="dxa"/>
            <w:tcBorders>
              <w:top w:val="single" w:color="000000" w:sz="4" w:space="0"/>
              <w:left w:val="single" w:color="000000" w:sz="4" w:space="0"/>
              <w:bottom w:val="single" w:color="000000" w:sz="4" w:space="0"/>
              <w:right w:val="single" w:color="000000" w:sz="4" w:space="0"/>
            </w:tcBorders>
          </w:tcPr>
          <w:p w14:paraId="7FA2B29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15 mg/dL</w:t>
            </w:r>
          </w:p>
        </w:tc>
      </w:tr>
      <w:tr w14:paraId="1E5EC0A7">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20B4C6A">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多巴胺</w:t>
            </w:r>
          </w:p>
        </w:tc>
        <w:tc>
          <w:tcPr>
            <w:tcW w:w="2790" w:type="dxa"/>
            <w:tcBorders>
              <w:top w:val="single" w:color="000000" w:sz="4" w:space="0"/>
              <w:left w:val="single" w:color="000000" w:sz="4" w:space="0"/>
              <w:bottom w:val="single" w:color="000000" w:sz="4" w:space="0"/>
              <w:right w:val="single" w:color="000000" w:sz="4" w:space="0"/>
            </w:tcBorders>
          </w:tcPr>
          <w:p w14:paraId="467F57F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0.09 mg/dL</w:t>
            </w:r>
          </w:p>
        </w:tc>
      </w:tr>
      <w:tr w14:paraId="59530983">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34118E4D">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EDTA*</w:t>
            </w:r>
          </w:p>
        </w:tc>
        <w:tc>
          <w:tcPr>
            <w:tcW w:w="2790" w:type="dxa"/>
            <w:tcBorders>
              <w:top w:val="single" w:color="000000" w:sz="4" w:space="0"/>
              <w:left w:val="single" w:color="000000" w:sz="4" w:space="0"/>
              <w:bottom w:val="single" w:color="000000" w:sz="4" w:space="0"/>
              <w:right w:val="single" w:color="000000" w:sz="4" w:space="0"/>
            </w:tcBorders>
          </w:tcPr>
          <w:p w14:paraId="208CEC5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0.1 mg/dL</w:t>
            </w:r>
          </w:p>
        </w:tc>
      </w:tr>
      <w:tr w14:paraId="64D78317">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61A0CCDD">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半乳糖</w:t>
            </w:r>
          </w:p>
        </w:tc>
        <w:tc>
          <w:tcPr>
            <w:tcW w:w="2790" w:type="dxa"/>
            <w:tcBorders>
              <w:top w:val="single" w:color="000000" w:sz="4" w:space="0"/>
              <w:left w:val="single" w:color="000000" w:sz="4" w:space="0"/>
              <w:bottom w:val="single" w:color="000000" w:sz="4" w:space="0"/>
              <w:right w:val="single" w:color="000000" w:sz="4" w:space="0"/>
            </w:tcBorders>
          </w:tcPr>
          <w:p w14:paraId="70E0382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 mg/dL</w:t>
            </w:r>
          </w:p>
        </w:tc>
      </w:tr>
      <w:tr w14:paraId="65D8AF33">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3ACCEF7C">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龙胆酸</w:t>
            </w:r>
          </w:p>
        </w:tc>
        <w:tc>
          <w:tcPr>
            <w:tcW w:w="2790" w:type="dxa"/>
            <w:tcBorders>
              <w:top w:val="single" w:color="000000" w:sz="4" w:space="0"/>
              <w:left w:val="single" w:color="000000" w:sz="4" w:space="0"/>
              <w:bottom w:val="single" w:color="000000" w:sz="4" w:space="0"/>
              <w:right w:val="single" w:color="000000" w:sz="4" w:space="0"/>
            </w:tcBorders>
          </w:tcPr>
          <w:p w14:paraId="630C31A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1.8 mg/dL</w:t>
            </w:r>
          </w:p>
        </w:tc>
      </w:tr>
      <w:tr w14:paraId="4361DEF3">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4C61CD5">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还原型谷胱甘肽</w:t>
            </w:r>
          </w:p>
        </w:tc>
        <w:tc>
          <w:tcPr>
            <w:tcW w:w="2790" w:type="dxa"/>
            <w:tcBorders>
              <w:top w:val="single" w:color="000000" w:sz="4" w:space="0"/>
              <w:left w:val="single" w:color="000000" w:sz="4" w:space="0"/>
              <w:bottom w:val="single" w:color="000000" w:sz="4" w:space="0"/>
              <w:right w:val="single" w:color="000000" w:sz="4" w:space="0"/>
            </w:tcBorders>
          </w:tcPr>
          <w:p w14:paraId="7F4CE10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4.6 mg/dL</w:t>
            </w:r>
          </w:p>
        </w:tc>
      </w:tr>
      <w:tr w14:paraId="4B09E17F">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1CB2F19D">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血红蛋白</w:t>
            </w:r>
          </w:p>
        </w:tc>
        <w:tc>
          <w:tcPr>
            <w:tcW w:w="2790" w:type="dxa"/>
            <w:tcBorders>
              <w:top w:val="single" w:color="000000" w:sz="4" w:space="0"/>
              <w:left w:val="single" w:color="000000" w:sz="4" w:space="0"/>
              <w:bottom w:val="single" w:color="000000" w:sz="4" w:space="0"/>
              <w:right w:val="single" w:color="000000" w:sz="4" w:space="0"/>
            </w:tcBorders>
          </w:tcPr>
          <w:p w14:paraId="17EBC5A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1000 mg/dL</w:t>
            </w:r>
          </w:p>
        </w:tc>
      </w:tr>
      <w:tr w14:paraId="5942DD6C">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551C9276">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肝素*</w:t>
            </w:r>
          </w:p>
        </w:tc>
        <w:tc>
          <w:tcPr>
            <w:tcW w:w="2790" w:type="dxa"/>
            <w:tcBorders>
              <w:top w:val="single" w:color="000000" w:sz="4" w:space="0"/>
              <w:left w:val="single" w:color="000000" w:sz="4" w:space="0"/>
              <w:bottom w:val="single" w:color="000000" w:sz="4" w:space="0"/>
              <w:right w:val="single" w:color="000000" w:sz="4" w:space="0"/>
            </w:tcBorders>
          </w:tcPr>
          <w:p w14:paraId="442BA41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300 IU/dL</w:t>
            </w:r>
          </w:p>
        </w:tc>
      </w:tr>
      <w:tr w14:paraId="7AD11512">
        <w:tc>
          <w:tcPr>
            <w:tcW w:w="2610" w:type="dxa"/>
            <w:tcBorders>
              <w:top w:val="single" w:color="000000" w:sz="4" w:space="0"/>
              <w:left w:val="single" w:color="000000" w:sz="4" w:space="0"/>
              <w:bottom w:val="single" w:color="000000" w:sz="4" w:space="0"/>
              <w:right w:val="single" w:color="000000" w:sz="4" w:space="0"/>
            </w:tcBorders>
          </w:tcPr>
          <w:p w14:paraId="7535549E">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布洛芬</w:t>
            </w:r>
          </w:p>
        </w:tc>
        <w:tc>
          <w:tcPr>
            <w:tcW w:w="2790" w:type="dxa"/>
            <w:tcBorders>
              <w:top w:val="single" w:color="000000" w:sz="4" w:space="0"/>
              <w:left w:val="single" w:color="000000" w:sz="4" w:space="0"/>
              <w:bottom w:val="single" w:color="000000" w:sz="4" w:space="0"/>
              <w:right w:val="single" w:color="000000" w:sz="4" w:space="0"/>
            </w:tcBorders>
          </w:tcPr>
          <w:p w14:paraId="19FC302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50 mg/dL</w:t>
            </w:r>
          </w:p>
        </w:tc>
      </w:tr>
      <w:tr w14:paraId="41838728">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22254DE">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左旋多巴</w:t>
            </w:r>
          </w:p>
        </w:tc>
        <w:tc>
          <w:tcPr>
            <w:tcW w:w="2790" w:type="dxa"/>
            <w:tcBorders>
              <w:top w:val="single" w:color="000000" w:sz="4" w:space="0"/>
              <w:left w:val="single" w:color="000000" w:sz="4" w:space="0"/>
              <w:bottom w:val="single" w:color="000000" w:sz="4" w:space="0"/>
              <w:right w:val="single" w:color="000000" w:sz="4" w:space="0"/>
            </w:tcBorders>
          </w:tcPr>
          <w:p w14:paraId="3A1E8FE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0.75 mg/dL</w:t>
            </w:r>
          </w:p>
        </w:tc>
      </w:tr>
      <w:tr w14:paraId="41069E3D">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6DE4D522">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麦芽糖</w:t>
            </w:r>
          </w:p>
        </w:tc>
        <w:tc>
          <w:tcPr>
            <w:tcW w:w="2790" w:type="dxa"/>
            <w:tcBorders>
              <w:top w:val="single" w:color="000000" w:sz="4" w:space="0"/>
              <w:left w:val="single" w:color="000000" w:sz="4" w:space="0"/>
              <w:bottom w:val="single" w:color="000000" w:sz="4" w:space="0"/>
              <w:right w:val="single" w:color="000000" w:sz="4" w:space="0"/>
            </w:tcBorders>
          </w:tcPr>
          <w:p w14:paraId="7ED15DC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480 mg/dL</w:t>
            </w:r>
          </w:p>
        </w:tc>
      </w:tr>
      <w:tr w14:paraId="0D2EF9A0">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35F15E01">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甘露醇</w:t>
            </w:r>
          </w:p>
        </w:tc>
        <w:tc>
          <w:tcPr>
            <w:tcW w:w="2790" w:type="dxa"/>
            <w:tcBorders>
              <w:top w:val="single" w:color="000000" w:sz="4" w:space="0"/>
              <w:left w:val="single" w:color="000000" w:sz="4" w:space="0"/>
              <w:bottom w:val="single" w:color="000000" w:sz="4" w:space="0"/>
              <w:right w:val="single" w:color="000000" w:sz="4" w:space="0"/>
            </w:tcBorders>
          </w:tcPr>
          <w:p w14:paraId="07B0300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1800 mg/dL</w:t>
            </w:r>
          </w:p>
        </w:tc>
      </w:tr>
      <w:tr w14:paraId="6B50A07D">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5E2B1F61">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甲基多巴</w:t>
            </w:r>
          </w:p>
        </w:tc>
        <w:tc>
          <w:tcPr>
            <w:tcW w:w="2790" w:type="dxa"/>
            <w:tcBorders>
              <w:top w:val="single" w:color="000000" w:sz="4" w:space="0"/>
              <w:left w:val="single" w:color="000000" w:sz="4" w:space="0"/>
              <w:bottom w:val="single" w:color="000000" w:sz="4" w:space="0"/>
              <w:right w:val="single" w:color="000000" w:sz="4" w:space="0"/>
            </w:tcBorders>
          </w:tcPr>
          <w:p w14:paraId="375FA52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 mg/dL</w:t>
            </w:r>
          </w:p>
        </w:tc>
      </w:tr>
      <w:tr w14:paraId="2E35B878">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0F29BFE4">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水杨酸</w:t>
            </w:r>
          </w:p>
        </w:tc>
        <w:tc>
          <w:tcPr>
            <w:tcW w:w="2790" w:type="dxa"/>
            <w:tcBorders>
              <w:top w:val="single" w:color="000000" w:sz="4" w:space="0"/>
              <w:left w:val="single" w:color="000000" w:sz="4" w:space="0"/>
              <w:bottom w:val="single" w:color="000000" w:sz="4" w:space="0"/>
              <w:right w:val="single" w:color="000000" w:sz="4" w:space="0"/>
            </w:tcBorders>
          </w:tcPr>
          <w:p w14:paraId="4FB357A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 mg/dL</w:t>
            </w:r>
          </w:p>
        </w:tc>
      </w:tr>
      <w:tr w14:paraId="28EDB557">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5DF2AC88">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钠</w:t>
            </w:r>
          </w:p>
        </w:tc>
        <w:tc>
          <w:tcPr>
            <w:tcW w:w="2790" w:type="dxa"/>
            <w:tcBorders>
              <w:top w:val="single" w:color="000000" w:sz="4" w:space="0"/>
              <w:left w:val="single" w:color="000000" w:sz="4" w:space="0"/>
              <w:bottom w:val="single" w:color="000000" w:sz="4" w:space="0"/>
              <w:right w:val="single" w:color="000000" w:sz="4" w:space="0"/>
            </w:tcBorders>
          </w:tcPr>
          <w:p w14:paraId="41D1CE8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180 mmol/L</w:t>
            </w:r>
          </w:p>
        </w:tc>
      </w:tr>
      <w:tr w14:paraId="3A0AE5E4">
        <w:tc>
          <w:tcPr>
            <w:tcW w:w="2610" w:type="dxa"/>
            <w:tcBorders>
              <w:top w:val="single" w:color="000000" w:sz="4" w:space="0"/>
              <w:left w:val="single" w:color="000000" w:sz="4" w:space="0"/>
              <w:bottom w:val="single" w:color="000000" w:sz="4" w:space="0"/>
              <w:right w:val="single" w:color="000000" w:sz="4" w:space="0"/>
            </w:tcBorders>
          </w:tcPr>
          <w:p w14:paraId="42529456">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甲苯磺丁脲</w:t>
            </w:r>
          </w:p>
        </w:tc>
        <w:tc>
          <w:tcPr>
            <w:tcW w:w="2790" w:type="dxa"/>
            <w:tcBorders>
              <w:top w:val="single" w:color="000000" w:sz="4" w:space="0"/>
              <w:left w:val="single" w:color="000000" w:sz="4" w:space="0"/>
              <w:bottom w:val="single" w:color="000000" w:sz="4" w:space="0"/>
              <w:right w:val="single" w:color="000000" w:sz="4" w:space="0"/>
            </w:tcBorders>
          </w:tcPr>
          <w:p w14:paraId="751176E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72 mg/dL</w:t>
            </w:r>
          </w:p>
        </w:tc>
      </w:tr>
      <w:tr w14:paraId="3AC88D71">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F222662">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甲磺氮脲</w:t>
            </w:r>
          </w:p>
        </w:tc>
        <w:tc>
          <w:tcPr>
            <w:tcW w:w="2790" w:type="dxa"/>
            <w:tcBorders>
              <w:top w:val="single" w:color="000000" w:sz="4" w:space="0"/>
              <w:left w:val="single" w:color="000000" w:sz="4" w:space="0"/>
              <w:bottom w:val="single" w:color="000000" w:sz="4" w:space="0"/>
              <w:right w:val="single" w:color="000000" w:sz="4" w:space="0"/>
            </w:tcBorders>
          </w:tcPr>
          <w:p w14:paraId="6C274D2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9 mg/dL</w:t>
            </w:r>
          </w:p>
        </w:tc>
      </w:tr>
      <w:tr w14:paraId="6174514A">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3AE6F6A7">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甘油三酯</w:t>
            </w:r>
          </w:p>
        </w:tc>
        <w:tc>
          <w:tcPr>
            <w:tcW w:w="2790" w:type="dxa"/>
            <w:tcBorders>
              <w:top w:val="single" w:color="000000" w:sz="4" w:space="0"/>
              <w:left w:val="single" w:color="000000" w:sz="4" w:space="0"/>
              <w:bottom w:val="single" w:color="000000" w:sz="4" w:space="0"/>
              <w:right w:val="single" w:color="000000" w:sz="4" w:space="0"/>
            </w:tcBorders>
          </w:tcPr>
          <w:p w14:paraId="49912CE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1500 mg/dL</w:t>
            </w:r>
          </w:p>
        </w:tc>
      </w:tr>
      <w:tr w14:paraId="4BA8F11E">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465F66A3">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尿酸</w:t>
            </w:r>
          </w:p>
        </w:tc>
        <w:tc>
          <w:tcPr>
            <w:tcW w:w="2790" w:type="dxa"/>
            <w:tcBorders>
              <w:top w:val="single" w:color="000000" w:sz="4" w:space="0"/>
              <w:left w:val="single" w:color="000000" w:sz="4" w:space="0"/>
              <w:bottom w:val="single" w:color="000000" w:sz="4" w:space="0"/>
              <w:right w:val="single" w:color="000000" w:sz="4" w:space="0"/>
            </w:tcBorders>
          </w:tcPr>
          <w:p w14:paraId="54F1647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23.5 mg/dL</w:t>
            </w:r>
          </w:p>
        </w:tc>
      </w:tr>
      <w:tr w14:paraId="60C0AF24">
        <w:tblPrEx>
          <w:tblCellMar>
            <w:top w:w="0" w:type="dxa"/>
            <w:left w:w="108" w:type="dxa"/>
            <w:bottom w:w="0" w:type="dxa"/>
            <w:right w:w="108" w:type="dxa"/>
          </w:tblCellMar>
        </w:tblPrEx>
        <w:tc>
          <w:tcPr>
            <w:tcW w:w="2610" w:type="dxa"/>
            <w:tcBorders>
              <w:top w:val="single" w:color="000000" w:sz="4" w:space="0"/>
              <w:left w:val="single" w:color="000000" w:sz="4" w:space="0"/>
              <w:bottom w:val="single" w:color="000000" w:sz="4" w:space="0"/>
              <w:right w:val="single" w:color="000000" w:sz="4" w:space="0"/>
            </w:tcBorders>
          </w:tcPr>
          <w:p w14:paraId="2B36E058">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木糖</w:t>
            </w:r>
          </w:p>
        </w:tc>
        <w:tc>
          <w:tcPr>
            <w:tcW w:w="2790" w:type="dxa"/>
            <w:tcBorders>
              <w:top w:val="single" w:color="000000" w:sz="4" w:space="0"/>
              <w:left w:val="single" w:color="000000" w:sz="4" w:space="0"/>
              <w:bottom w:val="single" w:color="000000" w:sz="4" w:space="0"/>
              <w:right w:val="single" w:color="000000" w:sz="4" w:space="0"/>
            </w:tcBorders>
          </w:tcPr>
          <w:p w14:paraId="73495EA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600 mg/dL</w:t>
            </w:r>
          </w:p>
        </w:tc>
      </w:tr>
      <w:tr w14:paraId="64DF099A">
        <w:tc>
          <w:tcPr>
            <w:tcW w:w="2610" w:type="dxa"/>
            <w:tcBorders>
              <w:top w:val="single" w:color="000000" w:sz="4" w:space="0"/>
              <w:left w:val="single" w:color="000000" w:sz="4" w:space="0"/>
              <w:bottom w:val="single" w:color="000000" w:sz="4" w:space="0"/>
              <w:right w:val="single" w:color="000000" w:sz="4" w:space="0"/>
            </w:tcBorders>
          </w:tcPr>
          <w:p w14:paraId="5B0BD1C4">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糖醇**</w:t>
            </w:r>
          </w:p>
        </w:tc>
        <w:tc>
          <w:tcPr>
            <w:tcW w:w="2790" w:type="dxa"/>
            <w:tcBorders>
              <w:top w:val="single" w:color="000000" w:sz="4" w:space="0"/>
              <w:left w:val="single" w:color="000000" w:sz="4" w:space="0"/>
              <w:bottom w:val="single" w:color="000000" w:sz="4" w:space="0"/>
              <w:right w:val="single" w:color="000000" w:sz="4" w:space="0"/>
            </w:tcBorders>
          </w:tcPr>
          <w:p w14:paraId="6F7B364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0.09 mg/dL</w:t>
            </w:r>
          </w:p>
        </w:tc>
      </w:tr>
    </w:tbl>
    <w:p w14:paraId="5B804CDC">
      <w:pPr>
        <w:adjustRightInd w:val="0"/>
        <w:snapToGrid w:val="0"/>
        <w:spacing w:before="120" w:beforeLines="50" w:line="300" w:lineRule="auto"/>
        <w:ind w:left="425" w:leftChars="193"/>
        <w:jc w:val="both"/>
        <w:rPr>
          <w:rFonts w:ascii="Times New Roman" w:hAnsi="Times New Roman" w:eastAsia="宋体" w:cs="Times New Roman"/>
          <w:snapToGrid w:val="0"/>
          <w:sz w:val="21"/>
          <w:szCs w:val="21"/>
          <w:lang w:eastAsia="zh-CN"/>
        </w:rPr>
      </w:pP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在本表中纳入EDTA和肝素是指它们用作治疗物质而不是用作样本制备的抗凝剂。</w:t>
      </w:r>
    </w:p>
    <w:p w14:paraId="64116DAF">
      <w:pPr>
        <w:adjustRightInd w:val="0"/>
        <w:snapToGrid w:val="0"/>
        <w:spacing w:before="120" w:beforeLines="50" w:line="300" w:lineRule="auto"/>
        <w:ind w:left="425" w:leftChars="193"/>
        <w:jc w:val="both"/>
        <w:rPr>
          <w:rFonts w:ascii="Times New Roman" w:hAnsi="Times New Roman" w:eastAsia="宋体" w:cs="Times New Roman"/>
          <w:snapToGrid w:val="0"/>
          <w:sz w:val="21"/>
          <w:szCs w:val="21"/>
          <w:lang w:eastAsia="zh-CN"/>
        </w:rPr>
      </w:pP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应单独检测所有常见糖醇，包括但不限于山梨糖醇、木糖醇、乳糖醇、异麦芽酮糖醇、麦芽糖醇。</w:t>
      </w:r>
    </w:p>
    <w:p w14:paraId="0BA9C3A5">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除表3中提供的潜在干扰物列表外，还应进行干扰风险分析和台架研究，以评价预期使用人群常用的其他药物的干扰。这些额外药物的台架研究应以与本节所述相同的方式进行。</w:t>
      </w:r>
    </w:p>
    <w:p w14:paraId="0AC34818">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0B1683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预测每种潜在干扰物的可靠干扰估计值。为此，本机构推荐以下干扰测量和计算方法。首先，应制备上述每个目标血糖浓度的血样。应采用对照方法对每种血糖浓度的样本进行平行检测（本机构建议至少进行4次平行检测，以降低标准误），以确定样本中的血糖浓度。然后将血糖样本分成供试样本和对照样本，供试样本中加入特定量的潜在干扰物质，而对照样本中加入代替潜在干扰物质的溶剂/溶媒。应使用SMBG对对照样本和供试样本进行平行测量。本次评价应至少使用三个批次的试纸。应使用SMBG和三个批次的试纸对每个对照样本和供试样本进行30次平行检测（每个试纸批次10次，每个样本共计30次）。应计算每个对照样本和供试样本的平行测量的平均值。对于每个潜在干扰物浓度，应使用对照样本相对于供试样本的结果计算相对偏差（mg/dL）和偏差百分比。应提交这些结果和95%置信区间，作为510(k)申报资料的一部分。</w:t>
      </w:r>
    </w:p>
    <w:p w14:paraId="30F78887">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SMBG，可接受的干扰程度可能因被测物质和器械的预期患者人群而异。因此，应在510(k)申报资料中报告干扰试验数据以及该血糖浓度下系统的预期不精密度。如果观察到干扰，应提出适当的标签来解决观察到的干扰；在510(k)申报资料审查过程中，将讨论适用于观察到的干扰的标签语言。</w:t>
      </w:r>
    </w:p>
    <w:p w14:paraId="233D83A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随着可能干扰器械的新药的开发，或其他SMBG的新干扰物质的确定，应评价这些新药或物质对器械的潜在干扰。例如，如果用于治疗糖尿病患者心脏并发症的新药获得批准，应仔细评价，以确定这种新药是否会对器械产生干扰。如果发现器械或任何已批准上市的血糖监测器械的重大新干扰，应向FDA报告。当引入新的或显著改进的技术时，也应评价新药/潜在干扰物。</w:t>
      </w:r>
    </w:p>
    <w:p w14:paraId="09EF7BA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数据分析：</w:t>
      </w:r>
    </w:p>
    <w:p w14:paraId="4366EAA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应提供原始数据集以及所有干扰结果的汇总表。请注意，对于检测的每个血糖水平，应分别提供每个试纸批次以及所有批次合并的汇总表。下表4提供了汇总表的格式范本。</w:t>
      </w:r>
    </w:p>
    <w:p w14:paraId="5E43EC7A">
      <w:pPr>
        <w:pStyle w:val="4"/>
        <w:adjustRightInd w:val="0"/>
        <w:snapToGrid w:val="0"/>
        <w:spacing w:before="120" w:beforeLines="50" w:line="300" w:lineRule="auto"/>
        <w:ind w:left="425" w:leftChars="193" w:firstLine="0"/>
        <w:jc w:val="both"/>
        <w:rPr>
          <w:rFonts w:eastAsia="宋体" w:cs="Times New Roman"/>
          <w:b w:val="0"/>
          <w:bCs w:val="0"/>
          <w:snapToGrid w:val="0"/>
          <w:lang w:eastAsia="zh-CN"/>
        </w:rPr>
      </w:pPr>
      <w:r>
        <w:rPr>
          <w:rFonts w:eastAsia="宋体" w:cs="宋体"/>
          <w:lang w:eastAsia="zh-CN"/>
        </w:rPr>
        <w:t>表4.建议的汇总表格式样本：</w:t>
      </w:r>
    </w:p>
    <w:p w14:paraId="6ED3FF8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rPr>
      </w:pPr>
      <w:r>
        <w:rPr>
          <w:rFonts w:ascii="Times New Roman" w:hAnsi="Times New Roman" w:eastAsia="宋体" w:cs="宋体"/>
          <w:i/>
          <w:sz w:val="24"/>
        </w:rPr>
        <w:t>试纸批号</w:t>
      </w:r>
    </w:p>
    <w:tbl>
      <w:tblPr>
        <w:tblStyle w:val="21"/>
        <w:tblW w:w="5000" w:type="pct"/>
        <w:tblInd w:w="0" w:type="dxa"/>
        <w:tblLayout w:type="fixed"/>
        <w:tblCellMar>
          <w:top w:w="0" w:type="dxa"/>
          <w:left w:w="108" w:type="dxa"/>
          <w:bottom w:w="0" w:type="dxa"/>
          <w:right w:w="108" w:type="dxa"/>
        </w:tblCellMar>
      </w:tblPr>
      <w:tblGrid>
        <w:gridCol w:w="1567"/>
        <w:gridCol w:w="1482"/>
        <w:gridCol w:w="1313"/>
        <w:gridCol w:w="1135"/>
        <w:gridCol w:w="990"/>
        <w:gridCol w:w="992"/>
        <w:gridCol w:w="708"/>
        <w:gridCol w:w="1100"/>
      </w:tblGrid>
      <w:tr w14:paraId="794DD9BB">
        <w:tblPrEx>
          <w:tblCellMar>
            <w:top w:w="0" w:type="dxa"/>
            <w:left w:w="108" w:type="dxa"/>
            <w:bottom w:w="0" w:type="dxa"/>
            <w:right w:w="108" w:type="dxa"/>
          </w:tblCellMar>
        </w:tblPrEx>
        <w:tc>
          <w:tcPr>
            <w:tcW w:w="844" w:type="pct"/>
            <w:tcBorders>
              <w:top w:val="single" w:color="000000" w:sz="4" w:space="0"/>
              <w:left w:val="single" w:color="000000" w:sz="4" w:space="0"/>
              <w:bottom w:val="single" w:color="000000" w:sz="6" w:space="0"/>
              <w:right w:val="single" w:color="000000" w:sz="6" w:space="0"/>
            </w:tcBorders>
            <w:vAlign w:val="center"/>
          </w:tcPr>
          <w:p w14:paraId="55FDC304">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干扰</w:t>
            </w:r>
            <w:r>
              <w:rPr>
                <w:rFonts w:hint="eastAsia" w:ascii="Times New Roman" w:hAnsi="Times New Roman" w:eastAsia="宋体" w:cs="宋体"/>
                <w:b/>
                <w:sz w:val="21"/>
                <w:lang w:eastAsia="zh-CN"/>
              </w:rPr>
              <w:t>物质</w:t>
            </w:r>
          </w:p>
        </w:tc>
        <w:tc>
          <w:tcPr>
            <w:tcW w:w="798" w:type="pct"/>
            <w:tcBorders>
              <w:top w:val="single" w:color="000000" w:sz="4" w:space="0"/>
              <w:left w:val="single" w:color="000000" w:sz="6" w:space="0"/>
              <w:bottom w:val="single" w:color="000000" w:sz="6" w:space="0"/>
              <w:right w:val="single" w:color="000000" w:sz="6" w:space="0"/>
            </w:tcBorders>
            <w:vAlign w:val="center"/>
          </w:tcPr>
          <w:p w14:paraId="032F517D">
            <w:pPr>
              <w:pStyle w:val="23"/>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平均血糖值（对照方法）</w:t>
            </w:r>
          </w:p>
        </w:tc>
        <w:tc>
          <w:tcPr>
            <w:tcW w:w="707" w:type="pct"/>
            <w:tcBorders>
              <w:top w:val="single" w:color="000000" w:sz="4" w:space="0"/>
              <w:left w:val="single" w:color="000000" w:sz="6" w:space="0"/>
              <w:bottom w:val="single" w:color="000000" w:sz="6" w:space="0"/>
              <w:right w:val="single" w:color="000000" w:sz="6" w:space="0"/>
            </w:tcBorders>
            <w:vAlign w:val="center"/>
          </w:tcPr>
          <w:p w14:paraId="4955E481">
            <w:pPr>
              <w:pStyle w:val="23"/>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干扰物浓度（mg/dL）</w:t>
            </w:r>
          </w:p>
        </w:tc>
        <w:tc>
          <w:tcPr>
            <w:tcW w:w="611" w:type="pct"/>
            <w:tcBorders>
              <w:top w:val="single" w:color="000000" w:sz="4" w:space="0"/>
              <w:left w:val="single" w:color="000000" w:sz="6" w:space="0"/>
              <w:bottom w:val="single" w:color="000000" w:sz="6" w:space="0"/>
              <w:right w:val="single" w:color="000000" w:sz="6" w:space="0"/>
            </w:tcBorders>
            <w:vAlign w:val="center"/>
          </w:tcPr>
          <w:p w14:paraId="7F2BF64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对照样本平均值</w:t>
            </w:r>
          </w:p>
        </w:tc>
        <w:tc>
          <w:tcPr>
            <w:tcW w:w="533" w:type="pct"/>
            <w:tcBorders>
              <w:top w:val="single" w:color="000000" w:sz="4" w:space="0"/>
              <w:left w:val="single" w:color="000000" w:sz="6" w:space="0"/>
              <w:bottom w:val="single" w:color="000000" w:sz="6" w:space="0"/>
              <w:right w:val="single" w:color="000000" w:sz="6" w:space="0"/>
            </w:tcBorders>
            <w:vAlign w:val="center"/>
          </w:tcPr>
          <w:p w14:paraId="54937188">
            <w:pPr>
              <w:pStyle w:val="23"/>
              <w:adjustRightInd w:val="0"/>
              <w:snapToGrid w:val="0"/>
              <w:spacing w:before="36" w:beforeLines="15" w:line="276" w:lineRule="auto"/>
              <w:jc w:val="center"/>
              <w:rPr>
                <w:rFonts w:ascii="Times New Roman" w:hAnsi="Times New Roman" w:eastAsia="Times New Roman" w:cs="Times New Roman"/>
                <w:snapToGrid w:val="0"/>
                <w:spacing w:val="-20"/>
                <w:sz w:val="21"/>
                <w:szCs w:val="21"/>
              </w:rPr>
            </w:pPr>
            <w:r>
              <w:rPr>
                <w:rFonts w:ascii="Times New Roman" w:hAnsi="Times New Roman" w:eastAsia="宋体" w:cs="宋体"/>
                <w:b/>
                <w:spacing w:val="-20"/>
                <w:sz w:val="21"/>
              </w:rPr>
              <w:t>供试样本平均值</w:t>
            </w:r>
          </w:p>
        </w:tc>
        <w:tc>
          <w:tcPr>
            <w:tcW w:w="534" w:type="pct"/>
            <w:tcBorders>
              <w:top w:val="single" w:color="000000" w:sz="4" w:space="0"/>
              <w:left w:val="single" w:color="000000" w:sz="6" w:space="0"/>
              <w:bottom w:val="single" w:color="000000" w:sz="6" w:space="0"/>
              <w:right w:val="single" w:color="000000" w:sz="6" w:space="0"/>
            </w:tcBorders>
            <w:vAlign w:val="center"/>
          </w:tcPr>
          <w:p w14:paraId="37775EB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偏差</w:t>
            </w:r>
            <w:r>
              <w:rPr>
                <w:rFonts w:hint="eastAsia" w:ascii="Times New Roman" w:hAnsi="Times New Roman" w:eastAsia="宋体" w:cs="宋体"/>
                <w:b/>
                <w:sz w:val="21"/>
                <w:lang w:eastAsia="zh-CN"/>
              </w:rPr>
              <w:t>（</w:t>
            </w:r>
            <w:r>
              <w:rPr>
                <w:rFonts w:ascii="Times New Roman" w:hAnsi="Times New Roman" w:eastAsia="宋体" w:cs="宋体"/>
                <w:b/>
                <w:sz w:val="21"/>
              </w:rPr>
              <w:t>mg/dL</w:t>
            </w:r>
            <w:r>
              <w:rPr>
                <w:rFonts w:hint="eastAsia" w:ascii="Times New Roman" w:hAnsi="Times New Roman" w:eastAsia="宋体" w:cs="宋体"/>
                <w:b/>
                <w:sz w:val="21"/>
                <w:lang w:eastAsia="zh-CN"/>
              </w:rPr>
              <w:t>）</w:t>
            </w:r>
          </w:p>
        </w:tc>
        <w:tc>
          <w:tcPr>
            <w:tcW w:w="381" w:type="pct"/>
            <w:tcBorders>
              <w:top w:val="single" w:color="000000" w:sz="4" w:space="0"/>
              <w:left w:val="single" w:color="000000" w:sz="6" w:space="0"/>
              <w:bottom w:val="single" w:color="000000" w:sz="6" w:space="0"/>
              <w:right w:val="single" w:color="000000" w:sz="6" w:space="0"/>
            </w:tcBorders>
            <w:vAlign w:val="center"/>
          </w:tcPr>
          <w:p w14:paraId="7979C3C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偏差%</w:t>
            </w:r>
          </w:p>
        </w:tc>
        <w:tc>
          <w:tcPr>
            <w:tcW w:w="592" w:type="pct"/>
            <w:tcBorders>
              <w:top w:val="single" w:color="000000" w:sz="4" w:space="0"/>
              <w:left w:val="single" w:color="000000" w:sz="6" w:space="0"/>
              <w:bottom w:val="single" w:color="000000" w:sz="6" w:space="0"/>
              <w:right w:val="single" w:color="000000" w:sz="4" w:space="0"/>
            </w:tcBorders>
            <w:vAlign w:val="center"/>
          </w:tcPr>
          <w:p w14:paraId="4F57E08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1"/>
              </w:rPr>
              <w:t>偏差%的置信区间</w:t>
            </w:r>
          </w:p>
        </w:tc>
      </w:tr>
      <w:tr w14:paraId="77D68672">
        <w:tblPrEx>
          <w:tblCellMar>
            <w:top w:w="0" w:type="dxa"/>
            <w:left w:w="108" w:type="dxa"/>
            <w:bottom w:w="0" w:type="dxa"/>
            <w:right w:w="108" w:type="dxa"/>
          </w:tblCellMar>
        </w:tblPrEx>
        <w:tc>
          <w:tcPr>
            <w:tcW w:w="844" w:type="pct"/>
            <w:tcBorders>
              <w:top w:val="single" w:color="000000" w:sz="6" w:space="0"/>
              <w:left w:val="single" w:color="000000" w:sz="4" w:space="0"/>
              <w:bottom w:val="single" w:color="000000" w:sz="4" w:space="0"/>
              <w:right w:val="single" w:color="000000" w:sz="6" w:space="0"/>
            </w:tcBorders>
            <w:vAlign w:val="center"/>
          </w:tcPr>
          <w:p w14:paraId="3AA6E5B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对乙酰氨基酚</w:t>
            </w:r>
          </w:p>
        </w:tc>
        <w:tc>
          <w:tcPr>
            <w:tcW w:w="798" w:type="pct"/>
            <w:tcBorders>
              <w:top w:val="single" w:color="000000" w:sz="6" w:space="0"/>
              <w:left w:val="single" w:color="000000" w:sz="6" w:space="0"/>
              <w:bottom w:val="single" w:color="000000" w:sz="4" w:space="0"/>
              <w:right w:val="single" w:color="000000" w:sz="6" w:space="0"/>
            </w:tcBorders>
            <w:vAlign w:val="center"/>
          </w:tcPr>
          <w:p w14:paraId="2FC6ED2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 mg/dL</w:t>
            </w:r>
          </w:p>
        </w:tc>
        <w:tc>
          <w:tcPr>
            <w:tcW w:w="707" w:type="pct"/>
            <w:tcBorders>
              <w:top w:val="single" w:color="000000" w:sz="6" w:space="0"/>
              <w:left w:val="single" w:color="000000" w:sz="6" w:space="0"/>
              <w:bottom w:val="single" w:color="000000" w:sz="4" w:space="0"/>
              <w:right w:val="single" w:color="000000" w:sz="6" w:space="0"/>
            </w:tcBorders>
            <w:vAlign w:val="center"/>
          </w:tcPr>
          <w:p w14:paraId="7D84C4E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 mg/dL</w:t>
            </w:r>
          </w:p>
        </w:tc>
        <w:tc>
          <w:tcPr>
            <w:tcW w:w="611" w:type="pct"/>
            <w:tcBorders>
              <w:top w:val="single" w:color="000000" w:sz="6" w:space="0"/>
              <w:left w:val="single" w:color="000000" w:sz="6" w:space="0"/>
              <w:bottom w:val="single" w:color="000000" w:sz="4" w:space="0"/>
              <w:right w:val="single" w:color="000000" w:sz="6" w:space="0"/>
            </w:tcBorders>
            <w:vAlign w:val="center"/>
          </w:tcPr>
          <w:p w14:paraId="698407DF">
            <w:pPr>
              <w:adjustRightInd w:val="0"/>
              <w:snapToGrid w:val="0"/>
              <w:spacing w:before="36" w:beforeLines="15" w:line="276" w:lineRule="auto"/>
              <w:jc w:val="center"/>
              <w:rPr>
                <w:rFonts w:ascii="Times New Roman" w:hAnsi="Times New Roman" w:cs="Times New Roman"/>
                <w:snapToGrid w:val="0"/>
                <w:sz w:val="21"/>
                <w:szCs w:val="21"/>
              </w:rPr>
            </w:pPr>
          </w:p>
        </w:tc>
        <w:tc>
          <w:tcPr>
            <w:tcW w:w="533" w:type="pct"/>
            <w:tcBorders>
              <w:top w:val="single" w:color="000000" w:sz="6" w:space="0"/>
              <w:left w:val="single" w:color="000000" w:sz="6" w:space="0"/>
              <w:bottom w:val="single" w:color="000000" w:sz="4" w:space="0"/>
              <w:right w:val="single" w:color="000000" w:sz="6" w:space="0"/>
            </w:tcBorders>
            <w:vAlign w:val="center"/>
          </w:tcPr>
          <w:p w14:paraId="092EEA61">
            <w:pPr>
              <w:adjustRightInd w:val="0"/>
              <w:snapToGrid w:val="0"/>
              <w:spacing w:before="36" w:beforeLines="15" w:line="276" w:lineRule="auto"/>
              <w:jc w:val="center"/>
              <w:rPr>
                <w:rFonts w:ascii="Times New Roman" w:hAnsi="Times New Roman" w:cs="Times New Roman"/>
                <w:snapToGrid w:val="0"/>
                <w:sz w:val="21"/>
                <w:szCs w:val="21"/>
              </w:rPr>
            </w:pPr>
          </w:p>
        </w:tc>
        <w:tc>
          <w:tcPr>
            <w:tcW w:w="534" w:type="pct"/>
            <w:tcBorders>
              <w:top w:val="single" w:color="000000" w:sz="6" w:space="0"/>
              <w:left w:val="single" w:color="000000" w:sz="6" w:space="0"/>
              <w:bottom w:val="single" w:color="000000" w:sz="4" w:space="0"/>
              <w:right w:val="single" w:color="000000" w:sz="6" w:space="0"/>
            </w:tcBorders>
            <w:vAlign w:val="center"/>
          </w:tcPr>
          <w:p w14:paraId="67E24215">
            <w:pPr>
              <w:adjustRightInd w:val="0"/>
              <w:snapToGrid w:val="0"/>
              <w:spacing w:before="36" w:beforeLines="15" w:line="276" w:lineRule="auto"/>
              <w:jc w:val="center"/>
              <w:rPr>
                <w:rFonts w:ascii="Times New Roman" w:hAnsi="Times New Roman" w:cs="Times New Roman"/>
                <w:snapToGrid w:val="0"/>
                <w:sz w:val="21"/>
                <w:szCs w:val="21"/>
              </w:rPr>
            </w:pPr>
          </w:p>
        </w:tc>
        <w:tc>
          <w:tcPr>
            <w:tcW w:w="381" w:type="pct"/>
            <w:tcBorders>
              <w:top w:val="single" w:color="000000" w:sz="6" w:space="0"/>
              <w:left w:val="single" w:color="000000" w:sz="6" w:space="0"/>
              <w:bottom w:val="single" w:color="000000" w:sz="4" w:space="0"/>
              <w:right w:val="single" w:color="000000" w:sz="6" w:space="0"/>
            </w:tcBorders>
            <w:vAlign w:val="center"/>
          </w:tcPr>
          <w:p w14:paraId="6E0E1E55">
            <w:pPr>
              <w:adjustRightInd w:val="0"/>
              <w:snapToGrid w:val="0"/>
              <w:spacing w:before="36" w:beforeLines="15" w:line="276" w:lineRule="auto"/>
              <w:jc w:val="center"/>
              <w:rPr>
                <w:rFonts w:ascii="Times New Roman" w:hAnsi="Times New Roman" w:cs="Times New Roman"/>
                <w:snapToGrid w:val="0"/>
                <w:sz w:val="21"/>
                <w:szCs w:val="21"/>
              </w:rPr>
            </w:pPr>
          </w:p>
        </w:tc>
        <w:tc>
          <w:tcPr>
            <w:tcW w:w="592" w:type="pct"/>
            <w:tcBorders>
              <w:top w:val="single" w:color="000000" w:sz="6" w:space="0"/>
              <w:left w:val="single" w:color="000000" w:sz="6" w:space="0"/>
              <w:bottom w:val="single" w:color="000000" w:sz="4" w:space="0"/>
              <w:right w:val="single" w:color="000000" w:sz="4" w:space="0"/>
            </w:tcBorders>
            <w:vAlign w:val="center"/>
          </w:tcPr>
          <w:p w14:paraId="2EAE82A3">
            <w:pPr>
              <w:adjustRightInd w:val="0"/>
              <w:snapToGrid w:val="0"/>
              <w:spacing w:before="36" w:beforeLines="15" w:line="276" w:lineRule="auto"/>
              <w:jc w:val="center"/>
              <w:rPr>
                <w:rFonts w:ascii="Times New Roman" w:hAnsi="Times New Roman" w:cs="Times New Roman"/>
                <w:snapToGrid w:val="0"/>
                <w:sz w:val="21"/>
                <w:szCs w:val="21"/>
              </w:rPr>
            </w:pPr>
          </w:p>
        </w:tc>
      </w:tr>
      <w:tr w14:paraId="1B2DFED7">
        <w:tblPrEx>
          <w:tblCellMar>
            <w:top w:w="0" w:type="dxa"/>
            <w:left w:w="108" w:type="dxa"/>
            <w:bottom w:w="0" w:type="dxa"/>
            <w:right w:w="108" w:type="dxa"/>
          </w:tblCellMar>
        </w:tblPrEx>
        <w:tc>
          <w:tcPr>
            <w:tcW w:w="844" w:type="pct"/>
            <w:vMerge w:val="restart"/>
            <w:tcBorders>
              <w:top w:val="single" w:color="000000" w:sz="4" w:space="0"/>
              <w:left w:val="single" w:color="000000" w:sz="4" w:space="0"/>
              <w:right w:val="single" w:color="000000" w:sz="6" w:space="0"/>
            </w:tcBorders>
            <w:vAlign w:val="center"/>
          </w:tcPr>
          <w:p w14:paraId="7BF0BE71">
            <w:pPr>
              <w:adjustRightInd w:val="0"/>
              <w:snapToGrid w:val="0"/>
              <w:spacing w:before="36" w:beforeLines="15" w:line="276" w:lineRule="auto"/>
              <w:jc w:val="center"/>
              <w:rPr>
                <w:rFonts w:ascii="Times New Roman" w:hAnsi="Times New Roman" w:cs="Times New Roman"/>
                <w:snapToGrid w:val="0"/>
                <w:sz w:val="21"/>
                <w:szCs w:val="21"/>
              </w:rPr>
            </w:pPr>
          </w:p>
        </w:tc>
        <w:tc>
          <w:tcPr>
            <w:tcW w:w="798" w:type="pct"/>
            <w:tcBorders>
              <w:top w:val="single" w:color="000000" w:sz="4" w:space="0"/>
              <w:left w:val="single" w:color="000000" w:sz="6" w:space="0"/>
              <w:bottom w:val="single" w:color="000000" w:sz="6" w:space="0"/>
              <w:right w:val="single" w:color="000000" w:sz="6" w:space="0"/>
            </w:tcBorders>
            <w:vAlign w:val="center"/>
          </w:tcPr>
          <w:p w14:paraId="5DC6FF2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bookmarkStart w:id="20" w:name="Hematocrit"/>
            <w:bookmarkEnd w:id="20"/>
            <w:r>
              <w:rPr>
                <w:rFonts w:ascii="Times New Roman" w:hAnsi="Times New Roman" w:eastAsia="宋体" w:cs="Times New Roman"/>
                <w:snapToGrid w:val="0"/>
                <w:sz w:val="21"/>
                <w:szCs w:val="21"/>
              </w:rPr>
              <w:t>120 mg/dL</w:t>
            </w:r>
          </w:p>
        </w:tc>
        <w:tc>
          <w:tcPr>
            <w:tcW w:w="707" w:type="pct"/>
            <w:tcBorders>
              <w:top w:val="single" w:color="000000" w:sz="4" w:space="0"/>
              <w:left w:val="single" w:color="000000" w:sz="6" w:space="0"/>
              <w:bottom w:val="single" w:color="000000" w:sz="6" w:space="0"/>
              <w:right w:val="single" w:color="000000" w:sz="6" w:space="0"/>
            </w:tcBorders>
            <w:vAlign w:val="center"/>
          </w:tcPr>
          <w:p w14:paraId="3636FF4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 mg/dL</w:t>
            </w:r>
          </w:p>
        </w:tc>
        <w:tc>
          <w:tcPr>
            <w:tcW w:w="611" w:type="pct"/>
            <w:tcBorders>
              <w:top w:val="single" w:color="000000" w:sz="4" w:space="0"/>
              <w:left w:val="single" w:color="000000" w:sz="6" w:space="0"/>
              <w:bottom w:val="single" w:color="000000" w:sz="6" w:space="0"/>
              <w:right w:val="single" w:color="000000" w:sz="6" w:space="0"/>
            </w:tcBorders>
            <w:vAlign w:val="center"/>
          </w:tcPr>
          <w:p w14:paraId="76EC9358">
            <w:pPr>
              <w:adjustRightInd w:val="0"/>
              <w:snapToGrid w:val="0"/>
              <w:spacing w:before="36" w:beforeLines="15" w:line="276" w:lineRule="auto"/>
              <w:jc w:val="center"/>
              <w:rPr>
                <w:rFonts w:ascii="Times New Roman" w:hAnsi="Times New Roman" w:cs="Times New Roman"/>
                <w:snapToGrid w:val="0"/>
                <w:sz w:val="21"/>
                <w:szCs w:val="21"/>
              </w:rPr>
            </w:pPr>
          </w:p>
        </w:tc>
        <w:tc>
          <w:tcPr>
            <w:tcW w:w="533" w:type="pct"/>
            <w:tcBorders>
              <w:top w:val="single" w:color="000000" w:sz="4" w:space="0"/>
              <w:left w:val="single" w:color="000000" w:sz="6" w:space="0"/>
              <w:bottom w:val="single" w:color="000000" w:sz="6" w:space="0"/>
              <w:right w:val="single" w:color="000000" w:sz="6" w:space="0"/>
            </w:tcBorders>
            <w:vAlign w:val="center"/>
          </w:tcPr>
          <w:p w14:paraId="6CDD9286">
            <w:pPr>
              <w:adjustRightInd w:val="0"/>
              <w:snapToGrid w:val="0"/>
              <w:spacing w:before="36" w:beforeLines="15" w:line="276" w:lineRule="auto"/>
              <w:jc w:val="center"/>
              <w:rPr>
                <w:rFonts w:ascii="Times New Roman" w:hAnsi="Times New Roman" w:cs="Times New Roman"/>
                <w:snapToGrid w:val="0"/>
                <w:sz w:val="21"/>
                <w:szCs w:val="21"/>
              </w:rPr>
            </w:pPr>
          </w:p>
        </w:tc>
        <w:tc>
          <w:tcPr>
            <w:tcW w:w="534" w:type="pct"/>
            <w:tcBorders>
              <w:top w:val="single" w:color="000000" w:sz="4" w:space="0"/>
              <w:left w:val="single" w:color="000000" w:sz="6" w:space="0"/>
              <w:bottom w:val="single" w:color="000000" w:sz="6" w:space="0"/>
              <w:right w:val="single" w:color="000000" w:sz="6" w:space="0"/>
            </w:tcBorders>
            <w:vAlign w:val="center"/>
          </w:tcPr>
          <w:p w14:paraId="0B4B0CC1">
            <w:pPr>
              <w:adjustRightInd w:val="0"/>
              <w:snapToGrid w:val="0"/>
              <w:spacing w:before="36" w:beforeLines="15" w:line="276" w:lineRule="auto"/>
              <w:jc w:val="center"/>
              <w:rPr>
                <w:rFonts w:ascii="Times New Roman" w:hAnsi="Times New Roman" w:cs="Times New Roman"/>
                <w:snapToGrid w:val="0"/>
                <w:sz w:val="21"/>
                <w:szCs w:val="21"/>
              </w:rPr>
            </w:pPr>
          </w:p>
        </w:tc>
        <w:tc>
          <w:tcPr>
            <w:tcW w:w="381" w:type="pct"/>
            <w:tcBorders>
              <w:top w:val="single" w:color="000000" w:sz="4" w:space="0"/>
              <w:left w:val="single" w:color="000000" w:sz="6" w:space="0"/>
              <w:bottom w:val="single" w:color="000000" w:sz="6" w:space="0"/>
              <w:right w:val="single" w:color="000000" w:sz="6" w:space="0"/>
            </w:tcBorders>
            <w:vAlign w:val="center"/>
          </w:tcPr>
          <w:p w14:paraId="5934F525">
            <w:pPr>
              <w:adjustRightInd w:val="0"/>
              <w:snapToGrid w:val="0"/>
              <w:spacing w:before="36" w:beforeLines="15" w:line="276" w:lineRule="auto"/>
              <w:jc w:val="center"/>
              <w:rPr>
                <w:rFonts w:ascii="Times New Roman" w:hAnsi="Times New Roman" w:cs="Times New Roman"/>
                <w:snapToGrid w:val="0"/>
                <w:sz w:val="21"/>
                <w:szCs w:val="21"/>
              </w:rPr>
            </w:pPr>
          </w:p>
        </w:tc>
        <w:tc>
          <w:tcPr>
            <w:tcW w:w="592" w:type="pct"/>
            <w:tcBorders>
              <w:top w:val="single" w:color="000000" w:sz="4" w:space="0"/>
              <w:left w:val="single" w:color="000000" w:sz="6" w:space="0"/>
              <w:bottom w:val="single" w:color="000000" w:sz="6" w:space="0"/>
              <w:right w:val="single" w:color="000000" w:sz="4" w:space="0"/>
            </w:tcBorders>
            <w:vAlign w:val="center"/>
          </w:tcPr>
          <w:p w14:paraId="5FAD6CA6">
            <w:pPr>
              <w:adjustRightInd w:val="0"/>
              <w:snapToGrid w:val="0"/>
              <w:spacing w:before="36" w:beforeLines="15" w:line="276" w:lineRule="auto"/>
              <w:jc w:val="center"/>
              <w:rPr>
                <w:rFonts w:ascii="Times New Roman" w:hAnsi="Times New Roman" w:cs="Times New Roman"/>
                <w:snapToGrid w:val="0"/>
                <w:sz w:val="21"/>
                <w:szCs w:val="21"/>
              </w:rPr>
            </w:pPr>
          </w:p>
        </w:tc>
      </w:tr>
      <w:tr w14:paraId="69A523E3">
        <w:tblPrEx>
          <w:tblCellMar>
            <w:top w:w="0" w:type="dxa"/>
            <w:left w:w="108" w:type="dxa"/>
            <w:bottom w:w="0" w:type="dxa"/>
            <w:right w:w="108" w:type="dxa"/>
          </w:tblCellMar>
        </w:tblPrEx>
        <w:tc>
          <w:tcPr>
            <w:tcW w:w="844" w:type="pct"/>
            <w:vMerge w:val="continue"/>
            <w:tcBorders>
              <w:left w:val="single" w:color="000000" w:sz="4" w:space="0"/>
              <w:bottom w:val="single" w:color="000000" w:sz="4" w:space="0"/>
              <w:right w:val="single" w:color="000000" w:sz="6" w:space="0"/>
            </w:tcBorders>
            <w:vAlign w:val="center"/>
          </w:tcPr>
          <w:p w14:paraId="4E962C1C">
            <w:pPr>
              <w:adjustRightInd w:val="0"/>
              <w:snapToGrid w:val="0"/>
              <w:spacing w:before="36" w:beforeLines="15" w:line="276" w:lineRule="auto"/>
              <w:jc w:val="center"/>
              <w:rPr>
                <w:rFonts w:ascii="Times New Roman" w:hAnsi="Times New Roman" w:cs="Times New Roman"/>
                <w:snapToGrid w:val="0"/>
                <w:sz w:val="21"/>
                <w:szCs w:val="21"/>
              </w:rPr>
            </w:pPr>
          </w:p>
        </w:tc>
        <w:tc>
          <w:tcPr>
            <w:tcW w:w="798" w:type="pct"/>
            <w:tcBorders>
              <w:top w:val="single" w:color="000000" w:sz="6" w:space="0"/>
              <w:left w:val="single" w:color="000000" w:sz="6" w:space="0"/>
              <w:bottom w:val="single" w:color="000000" w:sz="4" w:space="0"/>
              <w:right w:val="single" w:color="000000" w:sz="6" w:space="0"/>
            </w:tcBorders>
            <w:vAlign w:val="center"/>
          </w:tcPr>
          <w:p w14:paraId="72271C3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250 mg/dL</w:t>
            </w:r>
          </w:p>
        </w:tc>
        <w:tc>
          <w:tcPr>
            <w:tcW w:w="707" w:type="pct"/>
            <w:tcBorders>
              <w:top w:val="single" w:color="000000" w:sz="6" w:space="0"/>
              <w:left w:val="single" w:color="000000" w:sz="6" w:space="0"/>
              <w:bottom w:val="single" w:color="000000" w:sz="4" w:space="0"/>
              <w:right w:val="single" w:color="000000" w:sz="6" w:space="0"/>
            </w:tcBorders>
            <w:vAlign w:val="center"/>
          </w:tcPr>
          <w:p w14:paraId="617349D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 mg/dL</w:t>
            </w:r>
          </w:p>
        </w:tc>
        <w:tc>
          <w:tcPr>
            <w:tcW w:w="611" w:type="pct"/>
            <w:tcBorders>
              <w:top w:val="single" w:color="000000" w:sz="6" w:space="0"/>
              <w:left w:val="single" w:color="000000" w:sz="6" w:space="0"/>
              <w:bottom w:val="single" w:color="000000" w:sz="4" w:space="0"/>
              <w:right w:val="single" w:color="000000" w:sz="6" w:space="0"/>
            </w:tcBorders>
            <w:vAlign w:val="center"/>
          </w:tcPr>
          <w:p w14:paraId="1EE4BCB6">
            <w:pPr>
              <w:adjustRightInd w:val="0"/>
              <w:snapToGrid w:val="0"/>
              <w:spacing w:before="36" w:beforeLines="15" w:line="276" w:lineRule="auto"/>
              <w:jc w:val="center"/>
              <w:rPr>
                <w:rFonts w:ascii="Times New Roman" w:hAnsi="Times New Roman" w:cs="Times New Roman"/>
                <w:snapToGrid w:val="0"/>
                <w:sz w:val="21"/>
                <w:szCs w:val="21"/>
              </w:rPr>
            </w:pPr>
          </w:p>
        </w:tc>
        <w:tc>
          <w:tcPr>
            <w:tcW w:w="533" w:type="pct"/>
            <w:tcBorders>
              <w:top w:val="single" w:color="000000" w:sz="6" w:space="0"/>
              <w:left w:val="single" w:color="000000" w:sz="6" w:space="0"/>
              <w:bottom w:val="single" w:color="000000" w:sz="4" w:space="0"/>
              <w:right w:val="single" w:color="000000" w:sz="6" w:space="0"/>
            </w:tcBorders>
            <w:vAlign w:val="center"/>
          </w:tcPr>
          <w:p w14:paraId="48285268">
            <w:pPr>
              <w:adjustRightInd w:val="0"/>
              <w:snapToGrid w:val="0"/>
              <w:spacing w:before="36" w:beforeLines="15" w:line="276" w:lineRule="auto"/>
              <w:jc w:val="center"/>
              <w:rPr>
                <w:rFonts w:ascii="Times New Roman" w:hAnsi="Times New Roman" w:cs="Times New Roman"/>
                <w:snapToGrid w:val="0"/>
                <w:sz w:val="21"/>
                <w:szCs w:val="21"/>
              </w:rPr>
            </w:pPr>
          </w:p>
        </w:tc>
        <w:tc>
          <w:tcPr>
            <w:tcW w:w="534" w:type="pct"/>
            <w:tcBorders>
              <w:top w:val="single" w:color="000000" w:sz="6" w:space="0"/>
              <w:left w:val="single" w:color="000000" w:sz="6" w:space="0"/>
              <w:bottom w:val="single" w:color="000000" w:sz="4" w:space="0"/>
              <w:right w:val="single" w:color="000000" w:sz="6" w:space="0"/>
            </w:tcBorders>
            <w:vAlign w:val="center"/>
          </w:tcPr>
          <w:p w14:paraId="4DEE33C6">
            <w:pPr>
              <w:adjustRightInd w:val="0"/>
              <w:snapToGrid w:val="0"/>
              <w:spacing w:before="36" w:beforeLines="15" w:line="276" w:lineRule="auto"/>
              <w:jc w:val="center"/>
              <w:rPr>
                <w:rFonts w:ascii="Times New Roman" w:hAnsi="Times New Roman" w:cs="Times New Roman"/>
                <w:snapToGrid w:val="0"/>
                <w:sz w:val="21"/>
                <w:szCs w:val="21"/>
              </w:rPr>
            </w:pPr>
          </w:p>
        </w:tc>
        <w:tc>
          <w:tcPr>
            <w:tcW w:w="381" w:type="pct"/>
            <w:tcBorders>
              <w:top w:val="single" w:color="000000" w:sz="6" w:space="0"/>
              <w:left w:val="single" w:color="000000" w:sz="6" w:space="0"/>
              <w:bottom w:val="single" w:color="000000" w:sz="4" w:space="0"/>
              <w:right w:val="single" w:color="000000" w:sz="6" w:space="0"/>
            </w:tcBorders>
            <w:vAlign w:val="center"/>
          </w:tcPr>
          <w:p w14:paraId="46452485">
            <w:pPr>
              <w:adjustRightInd w:val="0"/>
              <w:snapToGrid w:val="0"/>
              <w:spacing w:before="36" w:beforeLines="15" w:line="276" w:lineRule="auto"/>
              <w:jc w:val="center"/>
              <w:rPr>
                <w:rFonts w:ascii="Times New Roman" w:hAnsi="Times New Roman" w:cs="Times New Roman"/>
                <w:snapToGrid w:val="0"/>
                <w:sz w:val="21"/>
                <w:szCs w:val="21"/>
              </w:rPr>
            </w:pPr>
          </w:p>
        </w:tc>
        <w:tc>
          <w:tcPr>
            <w:tcW w:w="592" w:type="pct"/>
            <w:tcBorders>
              <w:top w:val="single" w:color="000000" w:sz="6" w:space="0"/>
              <w:left w:val="single" w:color="000000" w:sz="6" w:space="0"/>
              <w:bottom w:val="single" w:color="000000" w:sz="4" w:space="0"/>
              <w:right w:val="single" w:color="000000" w:sz="4" w:space="0"/>
            </w:tcBorders>
            <w:vAlign w:val="center"/>
          </w:tcPr>
          <w:p w14:paraId="6596EA3D">
            <w:pPr>
              <w:adjustRightInd w:val="0"/>
              <w:snapToGrid w:val="0"/>
              <w:spacing w:before="36" w:beforeLines="15" w:line="276" w:lineRule="auto"/>
              <w:jc w:val="center"/>
              <w:rPr>
                <w:rFonts w:ascii="Times New Roman" w:hAnsi="Times New Roman" w:cs="Times New Roman"/>
                <w:snapToGrid w:val="0"/>
                <w:sz w:val="21"/>
                <w:szCs w:val="21"/>
              </w:rPr>
            </w:pPr>
          </w:p>
        </w:tc>
      </w:tr>
    </w:tbl>
    <w:p w14:paraId="7F5EB3B9">
      <w:pPr>
        <w:adjustRightInd w:val="0"/>
        <w:snapToGrid w:val="0"/>
        <w:spacing w:before="120" w:beforeLines="50" w:line="300" w:lineRule="auto"/>
        <w:jc w:val="both"/>
        <w:rPr>
          <w:rFonts w:ascii="Times New Roman" w:hAnsi="Times New Roman" w:eastAsia="宋体" w:cs="Times New Roman"/>
          <w:snapToGrid w:val="0"/>
          <w:sz w:val="24"/>
          <w:szCs w:val="24"/>
        </w:rPr>
      </w:pPr>
    </w:p>
    <w:p w14:paraId="6F21AE80">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7A304CB9">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在510(k)申报资料中，应包括研究设计的详细描述、研究中收集的所有数据、上述总结表以及研究结论的描述。</w:t>
      </w:r>
    </w:p>
    <w:p w14:paraId="29FC4886">
      <w:pPr>
        <w:pStyle w:val="31"/>
        <w:rPr>
          <w:rFonts w:eastAsia="宋体"/>
          <w:lang w:eastAsia="zh-CN"/>
        </w:rPr>
      </w:pPr>
      <w:bookmarkStart w:id="21" w:name="_Toc91871175"/>
      <w:r>
        <w:rPr>
          <w:rFonts w:eastAsia="宋体" w:cs="宋体"/>
          <w:lang w:eastAsia="zh-CN"/>
        </w:rPr>
        <w:t>2.</w:t>
      </w:r>
      <w:r>
        <w:rPr>
          <w:rFonts w:eastAsia="宋体" w:cs="宋体"/>
          <w:lang w:eastAsia="zh-CN"/>
        </w:rPr>
        <w:tab/>
      </w:r>
      <w:r>
        <w:rPr>
          <w:rFonts w:eastAsia="宋体" w:cs="宋体"/>
          <w:u w:val="single"/>
          <w:lang w:eastAsia="zh-CN"/>
        </w:rPr>
        <w:t>血细胞比容</w:t>
      </w:r>
      <w:bookmarkEnd w:id="21"/>
    </w:p>
    <w:p w14:paraId="4E77052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研究设计：</w:t>
      </w:r>
    </w:p>
    <w:p w14:paraId="470CDBF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由于合理规模的用户评价研究可能不包括预期使用人群的所有预期血细胞比容值，因此应执行单独研究，以确定不同血细胞比容水平导致的分析误差。这应该是一项台架研究，旨在评价血细胞比容对SMBG性能的影响，以评估在声明的血细胞比容范围内，潜在错误是否会影响预期使用人群中的患者安全。在此类器械的预期使用人群中观察到的血细胞比容水平可能非常广泛；可以合理地预计大多数预期用户的血细胞比容水平在20%和60%之间。因此，本机构建议将20-60%作为此类器械的声明的血细胞比容范围。如果器械受到该范围内血细胞比容的显著干扰，应在标签中加入限制声明，警告用户在存在或疑似存在某些生理状况（例如贫血等）时禁止使用。由于非专业用户通常无法充分确定他们的血细胞比容状态，因此SMBG应能在30-55%血细胞比容（覆盖最大比例的用户）范围内充分测量血糖。如果SMBG器械在此范围内无法检测血糖，则该器械可能具有不同于实质等同器械的新的技术特征，引发不同的安全性和有效性问题，并且可能不能确定实质等同性。</w:t>
      </w:r>
    </w:p>
    <w:p w14:paraId="536075AA">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通过测量含有不同血糖浓度的血液样本来评价血细胞比容干扰。制备的样本应具有规定的血细胞比容水平，涵盖器械声明的血细胞比容范围。可对血液样本进行加标或糖酵解处理，以获得所需的血糖浓度。通过在离心后控制血浆与浓集细胞的比例，可获得各样本的特定血细胞比容百分比。检测的血细胞比容水平应以5%的间隔涵盖声明的范围，与使用更宽的间隔相比，5%的间隔可以更准确地评估血细胞比容干扰导致的偏差。另外，应该检测正常血细胞比容为42%的样本。例如，如果声明的血细胞比容范围为20-60%，则应在20%、25%、30%、35%、42%、50%、55%和60%血细胞比容下检测样本。样本还应涵盖声明的血糖测量范围。样本应包含均匀分布的5种不同血糖浓度，目标浓度范围如下：30-50、51-110、111-150、151-250和251-400 mg/dL。</w:t>
      </w:r>
    </w:p>
    <w:p w14:paraId="368EE528">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22FA06A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采用对照方法对每个样本进行多次平行检测（建议至少4次）。使用对照方法测量结果的平均值（MeanComp）可提高样本的真实血糖浓度的置信度。评价血细胞比容的干扰时应至少检测3个试纸批次。应使用新SMBG对每个样本进行30次平行检测（每个试纸批次10次，每个样本共计30次）。</w:t>
      </w:r>
    </w:p>
    <w:p w14:paraId="6CDED7D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数据分析：</w:t>
      </w:r>
    </w:p>
    <w:p w14:paraId="3C0B276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应分别对检测的5个血糖浓度中的每一个和每个试纸批次进行分析。应首先确定相对于对照方法的偏差，然后确定相对于正常血细胞比容样本的偏差，以便分离血细胞比容的影响。</w:t>
      </w:r>
    </w:p>
    <w:p w14:paraId="12F35B3C">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Times New Roman"/>
          <w:i/>
          <w:sz w:val="24"/>
          <w:lang w:eastAsia="zh-CN"/>
        </w:rPr>
        <w:t>（1）</w:t>
      </w:r>
      <w:r>
        <w:rPr>
          <w:rFonts w:ascii="Times New Roman" w:hAnsi="Times New Roman" w:eastAsia="宋体" w:cs="宋体"/>
          <w:i/>
          <w:sz w:val="24"/>
          <w:lang w:eastAsia="zh-CN"/>
        </w:rPr>
        <w:t>与对照方法的偏差估计</w:t>
      </w:r>
    </w:p>
    <w:p w14:paraId="1CFFC4D9">
      <w:pPr>
        <w:adjustRightInd w:val="0"/>
        <w:snapToGrid w:val="0"/>
        <w:spacing w:before="120" w:beforeLines="50" w:line="300" w:lineRule="auto"/>
        <w:ind w:left="992" w:leftChars="4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每个样本，应计算新SMBG的30次平行测量的平均值（MeanSMBG）。应使用MeanSMBG和样本真实血糖浓度的估计值MeanComp，分别估计每个样本的偏差（MeanSMBG-MeanComp）和偏差百分比（MeanSMBG-MeanComp）/MeanComp。结果应如下表所示，并以适用于每个特定血糖浓度范围的图形格式呈现。</w:t>
      </w:r>
    </w:p>
    <w:p w14:paraId="1B2F6737">
      <w:pPr>
        <w:adjustRightInd w:val="0"/>
        <w:snapToGrid w:val="0"/>
        <w:spacing w:before="120" w:beforeLines="50" w:line="300" w:lineRule="auto"/>
        <w:ind w:left="992" w:leftChars="4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对于低于75 mg/dL的血糖浓度，分析图表的X轴代表血细胞比容值，Y轴代表绝对偏差值。对于大于或等于75 mg/dL的血糖浓度，分析图表的X轴代表血细胞比容值，Y轴代表偏差百分比值。</w:t>
      </w:r>
    </w:p>
    <w:p w14:paraId="04976D2B">
      <w:pPr>
        <w:pStyle w:val="4"/>
        <w:adjustRightInd w:val="0"/>
        <w:snapToGrid w:val="0"/>
        <w:spacing w:before="120" w:beforeLines="50" w:line="300" w:lineRule="auto"/>
        <w:ind w:left="992" w:leftChars="451" w:firstLine="0"/>
        <w:jc w:val="both"/>
        <w:rPr>
          <w:rFonts w:eastAsia="宋体" w:cs="Times New Roman"/>
          <w:b w:val="0"/>
          <w:bCs w:val="0"/>
          <w:snapToGrid w:val="0"/>
          <w:lang w:eastAsia="zh-CN"/>
        </w:rPr>
      </w:pPr>
      <w:r>
        <w:rPr>
          <w:rFonts w:eastAsia="宋体" w:cs="宋体"/>
          <w:lang w:eastAsia="zh-CN"/>
        </w:rPr>
        <w:t>表5.SMBG的血细胞比容评价中与对照方法的偏差（血糖浓度为120 mg/dL）的示例表：</w:t>
      </w:r>
    </w:p>
    <w:tbl>
      <w:tblPr>
        <w:tblStyle w:val="21"/>
        <w:tblW w:w="0" w:type="auto"/>
        <w:jc w:val="right"/>
        <w:tblLayout w:type="fixed"/>
        <w:tblCellMar>
          <w:top w:w="0" w:type="dxa"/>
          <w:left w:w="108" w:type="dxa"/>
          <w:bottom w:w="0" w:type="dxa"/>
          <w:right w:w="108" w:type="dxa"/>
        </w:tblCellMar>
      </w:tblPr>
      <w:tblGrid>
        <w:gridCol w:w="1637"/>
        <w:gridCol w:w="1637"/>
        <w:gridCol w:w="1545"/>
        <w:gridCol w:w="1729"/>
        <w:gridCol w:w="1638"/>
      </w:tblGrid>
      <w:tr w14:paraId="1596821E">
        <w:trPr>
          <w:jc w:val="right"/>
        </w:trPr>
        <w:tc>
          <w:tcPr>
            <w:tcW w:w="1637" w:type="dxa"/>
            <w:tcBorders>
              <w:top w:val="single" w:color="000000" w:sz="10" w:space="0"/>
              <w:left w:val="single" w:color="000000" w:sz="4" w:space="0"/>
              <w:bottom w:val="single" w:color="000000" w:sz="4" w:space="0"/>
              <w:right w:val="single" w:color="000000" w:sz="4" w:space="0"/>
            </w:tcBorders>
            <w:vAlign w:val="center"/>
          </w:tcPr>
          <w:p w14:paraId="4043C95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血细胞比容（%）</w:t>
            </w:r>
          </w:p>
        </w:tc>
        <w:tc>
          <w:tcPr>
            <w:tcW w:w="1637" w:type="dxa"/>
            <w:tcBorders>
              <w:top w:val="single" w:color="000000" w:sz="10" w:space="0"/>
              <w:left w:val="single" w:color="000000" w:sz="4" w:space="0"/>
              <w:bottom w:val="single" w:color="000000" w:sz="4" w:space="0"/>
              <w:right w:val="single" w:color="000000" w:sz="4" w:space="0"/>
            </w:tcBorders>
            <w:vAlign w:val="center"/>
          </w:tcPr>
          <w:p w14:paraId="038FC35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对照方法测量值的平均值（MeanComp）</w:t>
            </w:r>
          </w:p>
        </w:tc>
        <w:tc>
          <w:tcPr>
            <w:tcW w:w="1545" w:type="dxa"/>
            <w:tcBorders>
              <w:top w:val="single" w:color="000000" w:sz="10" w:space="0"/>
              <w:left w:val="single" w:color="000000" w:sz="4" w:space="0"/>
              <w:bottom w:val="single" w:color="000000" w:sz="4" w:space="0"/>
              <w:right w:val="single" w:color="000000" w:sz="4" w:space="0"/>
            </w:tcBorders>
            <w:vAlign w:val="center"/>
          </w:tcPr>
          <w:p w14:paraId="3D464F1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SMBG的测量次数</w:t>
            </w:r>
          </w:p>
        </w:tc>
        <w:tc>
          <w:tcPr>
            <w:tcW w:w="1729" w:type="dxa"/>
            <w:tcBorders>
              <w:top w:val="single" w:color="000000" w:sz="10" w:space="0"/>
              <w:left w:val="single" w:color="000000" w:sz="4" w:space="0"/>
              <w:bottom w:val="single" w:color="000000" w:sz="4" w:space="0"/>
              <w:right w:val="single" w:color="000000" w:sz="4" w:space="0"/>
            </w:tcBorders>
            <w:vAlign w:val="center"/>
          </w:tcPr>
          <w:p w14:paraId="4D55788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SMBG测量值的平均值（MeanSMBG）</w:t>
            </w:r>
          </w:p>
        </w:tc>
        <w:tc>
          <w:tcPr>
            <w:tcW w:w="1638" w:type="dxa"/>
            <w:tcBorders>
              <w:top w:val="single" w:color="000000" w:sz="4" w:space="0"/>
              <w:left w:val="single" w:color="000000" w:sz="4" w:space="0"/>
              <w:bottom w:val="single" w:color="000000" w:sz="4" w:space="0"/>
              <w:right w:val="single" w:color="000000" w:sz="4" w:space="0"/>
            </w:tcBorders>
            <w:vAlign w:val="center"/>
          </w:tcPr>
          <w:p w14:paraId="62FCC17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偏差% （MeanSMBG- MeanComp）/ MeanComp</w:t>
            </w:r>
          </w:p>
        </w:tc>
      </w:tr>
      <w:tr w14:paraId="21B4BD8E">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4A0A7FD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10</w:t>
            </w:r>
          </w:p>
        </w:tc>
        <w:tc>
          <w:tcPr>
            <w:tcW w:w="1637" w:type="dxa"/>
            <w:tcBorders>
              <w:top w:val="single" w:color="000000" w:sz="4" w:space="0"/>
              <w:left w:val="single" w:color="000000" w:sz="4" w:space="0"/>
              <w:bottom w:val="single" w:color="000000" w:sz="4" w:space="0"/>
              <w:right w:val="single" w:color="000000" w:sz="4" w:space="0"/>
            </w:tcBorders>
            <w:vAlign w:val="center"/>
          </w:tcPr>
          <w:p w14:paraId="0FD7CEE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118.0</w:t>
            </w:r>
          </w:p>
        </w:tc>
        <w:tc>
          <w:tcPr>
            <w:tcW w:w="1545" w:type="dxa"/>
            <w:tcBorders>
              <w:top w:val="single" w:color="000000" w:sz="4" w:space="0"/>
              <w:left w:val="single" w:color="000000" w:sz="4" w:space="0"/>
              <w:bottom w:val="single" w:color="000000" w:sz="4" w:space="0"/>
              <w:right w:val="single" w:color="000000" w:sz="4" w:space="0"/>
            </w:tcBorders>
            <w:vAlign w:val="center"/>
          </w:tcPr>
          <w:p w14:paraId="652A0FD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19ADCE3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127.6</w:t>
            </w:r>
          </w:p>
        </w:tc>
        <w:tc>
          <w:tcPr>
            <w:tcW w:w="1638" w:type="dxa"/>
            <w:tcBorders>
              <w:top w:val="single" w:color="000000" w:sz="4" w:space="0"/>
              <w:left w:val="single" w:color="000000" w:sz="4" w:space="0"/>
              <w:bottom w:val="single" w:color="000000" w:sz="4" w:space="0"/>
              <w:right w:val="single" w:color="000000" w:sz="4" w:space="0"/>
            </w:tcBorders>
            <w:vAlign w:val="center"/>
          </w:tcPr>
          <w:p w14:paraId="3BCC250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8.1%</w:t>
            </w:r>
          </w:p>
        </w:tc>
      </w:tr>
      <w:tr w14:paraId="2C4F9D9C">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2DD8C5C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15</w:t>
            </w:r>
          </w:p>
        </w:tc>
        <w:tc>
          <w:tcPr>
            <w:tcW w:w="1637" w:type="dxa"/>
            <w:tcBorders>
              <w:top w:val="single" w:color="000000" w:sz="4" w:space="0"/>
              <w:left w:val="single" w:color="000000" w:sz="4" w:space="0"/>
              <w:bottom w:val="single" w:color="000000" w:sz="4" w:space="0"/>
              <w:right w:val="single" w:color="000000" w:sz="4" w:space="0"/>
            </w:tcBorders>
            <w:vAlign w:val="center"/>
          </w:tcPr>
          <w:p w14:paraId="7028514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118.4</w:t>
            </w:r>
          </w:p>
        </w:tc>
        <w:tc>
          <w:tcPr>
            <w:tcW w:w="1545" w:type="dxa"/>
            <w:tcBorders>
              <w:top w:val="single" w:color="000000" w:sz="4" w:space="0"/>
              <w:left w:val="single" w:color="000000" w:sz="4" w:space="0"/>
              <w:bottom w:val="single" w:color="000000" w:sz="4" w:space="0"/>
              <w:right w:val="single" w:color="000000" w:sz="4" w:space="0"/>
            </w:tcBorders>
            <w:vAlign w:val="center"/>
          </w:tcPr>
          <w:p w14:paraId="55C3503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40E9EB3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127.6</w:t>
            </w:r>
          </w:p>
        </w:tc>
        <w:tc>
          <w:tcPr>
            <w:tcW w:w="1638" w:type="dxa"/>
            <w:tcBorders>
              <w:top w:val="single" w:color="000000" w:sz="4" w:space="0"/>
              <w:left w:val="single" w:color="000000" w:sz="4" w:space="0"/>
              <w:bottom w:val="single" w:color="000000" w:sz="4" w:space="0"/>
              <w:right w:val="single" w:color="000000" w:sz="4" w:space="0"/>
            </w:tcBorders>
            <w:vAlign w:val="center"/>
          </w:tcPr>
          <w:p w14:paraId="68F223A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7.8%</w:t>
            </w:r>
          </w:p>
        </w:tc>
      </w:tr>
      <w:tr w14:paraId="72AD103B">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055E238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w:t>
            </w:r>
          </w:p>
        </w:tc>
        <w:tc>
          <w:tcPr>
            <w:tcW w:w="1637" w:type="dxa"/>
            <w:tcBorders>
              <w:top w:val="single" w:color="000000" w:sz="4" w:space="0"/>
              <w:left w:val="single" w:color="000000" w:sz="4" w:space="0"/>
              <w:bottom w:val="single" w:color="000000" w:sz="4" w:space="0"/>
              <w:right w:val="single" w:color="000000" w:sz="4" w:space="0"/>
            </w:tcBorders>
            <w:vAlign w:val="center"/>
          </w:tcPr>
          <w:p w14:paraId="0785617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122.4</w:t>
            </w:r>
          </w:p>
        </w:tc>
        <w:tc>
          <w:tcPr>
            <w:tcW w:w="1545" w:type="dxa"/>
            <w:tcBorders>
              <w:top w:val="single" w:color="000000" w:sz="4" w:space="0"/>
              <w:left w:val="single" w:color="000000" w:sz="4" w:space="0"/>
              <w:bottom w:val="single" w:color="000000" w:sz="4" w:space="0"/>
              <w:right w:val="single" w:color="000000" w:sz="4" w:space="0"/>
            </w:tcBorders>
            <w:vAlign w:val="center"/>
          </w:tcPr>
          <w:p w14:paraId="22F9A66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5E721E9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130.4</w:t>
            </w:r>
          </w:p>
        </w:tc>
        <w:tc>
          <w:tcPr>
            <w:tcW w:w="1638" w:type="dxa"/>
            <w:tcBorders>
              <w:top w:val="single" w:color="000000" w:sz="4" w:space="0"/>
              <w:left w:val="single" w:color="000000" w:sz="4" w:space="0"/>
              <w:bottom w:val="single" w:color="000000" w:sz="4" w:space="0"/>
              <w:right w:val="single" w:color="000000" w:sz="4" w:space="0"/>
            </w:tcBorders>
            <w:vAlign w:val="center"/>
          </w:tcPr>
          <w:p w14:paraId="5B0BE71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6.5%</w:t>
            </w:r>
          </w:p>
        </w:tc>
      </w:tr>
      <w:tr w14:paraId="1D3E24A5">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74548E1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25</w:t>
            </w:r>
          </w:p>
        </w:tc>
        <w:tc>
          <w:tcPr>
            <w:tcW w:w="1637" w:type="dxa"/>
            <w:tcBorders>
              <w:top w:val="single" w:color="000000" w:sz="4" w:space="0"/>
              <w:left w:val="single" w:color="000000" w:sz="4" w:space="0"/>
              <w:bottom w:val="single" w:color="000000" w:sz="4" w:space="0"/>
              <w:right w:val="single" w:color="000000" w:sz="4" w:space="0"/>
            </w:tcBorders>
            <w:vAlign w:val="center"/>
          </w:tcPr>
          <w:p w14:paraId="6ADBB62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120.7</w:t>
            </w:r>
          </w:p>
        </w:tc>
        <w:tc>
          <w:tcPr>
            <w:tcW w:w="1545" w:type="dxa"/>
            <w:tcBorders>
              <w:top w:val="single" w:color="000000" w:sz="4" w:space="0"/>
              <w:left w:val="single" w:color="000000" w:sz="4" w:space="0"/>
              <w:bottom w:val="single" w:color="000000" w:sz="4" w:space="0"/>
              <w:right w:val="single" w:color="000000" w:sz="4" w:space="0"/>
            </w:tcBorders>
            <w:vAlign w:val="center"/>
          </w:tcPr>
          <w:p w14:paraId="09E735F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060DB85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127.1</w:t>
            </w:r>
          </w:p>
        </w:tc>
        <w:tc>
          <w:tcPr>
            <w:tcW w:w="1638" w:type="dxa"/>
            <w:tcBorders>
              <w:top w:val="single" w:color="000000" w:sz="4" w:space="0"/>
              <w:left w:val="single" w:color="000000" w:sz="4" w:space="0"/>
              <w:bottom w:val="single" w:color="000000" w:sz="4" w:space="0"/>
              <w:right w:val="single" w:color="000000" w:sz="4" w:space="0"/>
            </w:tcBorders>
            <w:vAlign w:val="center"/>
          </w:tcPr>
          <w:p w14:paraId="5766C91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5.3%</w:t>
            </w:r>
          </w:p>
        </w:tc>
      </w:tr>
      <w:tr w14:paraId="29D2D9F4">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74108FE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637" w:type="dxa"/>
            <w:tcBorders>
              <w:top w:val="single" w:color="000000" w:sz="4" w:space="0"/>
              <w:left w:val="single" w:color="000000" w:sz="4" w:space="0"/>
              <w:bottom w:val="single" w:color="000000" w:sz="4" w:space="0"/>
              <w:right w:val="single" w:color="000000" w:sz="4" w:space="0"/>
            </w:tcBorders>
            <w:vAlign w:val="center"/>
          </w:tcPr>
          <w:p w14:paraId="3A6C7E9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123.7</w:t>
            </w:r>
          </w:p>
        </w:tc>
        <w:tc>
          <w:tcPr>
            <w:tcW w:w="1545" w:type="dxa"/>
            <w:tcBorders>
              <w:top w:val="single" w:color="000000" w:sz="4" w:space="0"/>
              <w:left w:val="single" w:color="000000" w:sz="4" w:space="0"/>
              <w:bottom w:val="single" w:color="000000" w:sz="4" w:space="0"/>
              <w:right w:val="single" w:color="000000" w:sz="4" w:space="0"/>
            </w:tcBorders>
            <w:vAlign w:val="center"/>
          </w:tcPr>
          <w:p w14:paraId="6F40FDD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2B57B1B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129.5</w:t>
            </w:r>
          </w:p>
        </w:tc>
        <w:tc>
          <w:tcPr>
            <w:tcW w:w="1638" w:type="dxa"/>
            <w:tcBorders>
              <w:top w:val="single" w:color="000000" w:sz="4" w:space="0"/>
              <w:left w:val="single" w:color="000000" w:sz="4" w:space="0"/>
              <w:bottom w:val="single" w:color="000000" w:sz="4" w:space="0"/>
              <w:right w:val="single" w:color="000000" w:sz="4" w:space="0"/>
            </w:tcBorders>
            <w:vAlign w:val="center"/>
          </w:tcPr>
          <w:p w14:paraId="5E48CC4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4.7%</w:t>
            </w:r>
          </w:p>
        </w:tc>
      </w:tr>
      <w:tr w14:paraId="52CD7D72">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190024A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35</w:t>
            </w:r>
          </w:p>
        </w:tc>
        <w:tc>
          <w:tcPr>
            <w:tcW w:w="1637" w:type="dxa"/>
            <w:tcBorders>
              <w:top w:val="single" w:color="000000" w:sz="4" w:space="0"/>
              <w:left w:val="single" w:color="000000" w:sz="4" w:space="0"/>
              <w:bottom w:val="single" w:color="000000" w:sz="4" w:space="0"/>
              <w:right w:val="single" w:color="000000" w:sz="4" w:space="0"/>
            </w:tcBorders>
            <w:vAlign w:val="center"/>
          </w:tcPr>
          <w:p w14:paraId="358B11A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121.5</w:t>
            </w:r>
          </w:p>
        </w:tc>
        <w:tc>
          <w:tcPr>
            <w:tcW w:w="1545" w:type="dxa"/>
            <w:tcBorders>
              <w:top w:val="single" w:color="000000" w:sz="4" w:space="0"/>
              <w:left w:val="single" w:color="000000" w:sz="4" w:space="0"/>
              <w:bottom w:val="single" w:color="000000" w:sz="4" w:space="0"/>
              <w:right w:val="single" w:color="000000" w:sz="4" w:space="0"/>
            </w:tcBorders>
            <w:vAlign w:val="center"/>
          </w:tcPr>
          <w:p w14:paraId="33311E9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7E6F686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127.1</w:t>
            </w:r>
          </w:p>
        </w:tc>
        <w:tc>
          <w:tcPr>
            <w:tcW w:w="1638" w:type="dxa"/>
            <w:tcBorders>
              <w:top w:val="single" w:color="000000" w:sz="4" w:space="0"/>
              <w:left w:val="single" w:color="000000" w:sz="4" w:space="0"/>
              <w:bottom w:val="single" w:color="000000" w:sz="4" w:space="0"/>
              <w:right w:val="single" w:color="000000" w:sz="4" w:space="0"/>
            </w:tcBorders>
            <w:vAlign w:val="center"/>
          </w:tcPr>
          <w:p w14:paraId="1305710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4.6%</w:t>
            </w:r>
          </w:p>
        </w:tc>
      </w:tr>
      <w:tr w14:paraId="6003F9B3">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305253D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42</w:t>
            </w:r>
          </w:p>
        </w:tc>
        <w:tc>
          <w:tcPr>
            <w:tcW w:w="1637" w:type="dxa"/>
            <w:tcBorders>
              <w:top w:val="single" w:color="000000" w:sz="4" w:space="0"/>
              <w:left w:val="single" w:color="000000" w:sz="4" w:space="0"/>
              <w:bottom w:val="single" w:color="000000" w:sz="4" w:space="0"/>
              <w:right w:val="single" w:color="000000" w:sz="4" w:space="0"/>
            </w:tcBorders>
            <w:vAlign w:val="center"/>
          </w:tcPr>
          <w:p w14:paraId="6166EEE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119.7</w:t>
            </w:r>
          </w:p>
        </w:tc>
        <w:tc>
          <w:tcPr>
            <w:tcW w:w="1545" w:type="dxa"/>
            <w:tcBorders>
              <w:top w:val="single" w:color="000000" w:sz="4" w:space="0"/>
              <w:left w:val="single" w:color="000000" w:sz="4" w:space="0"/>
              <w:bottom w:val="single" w:color="000000" w:sz="4" w:space="0"/>
              <w:right w:val="single" w:color="000000" w:sz="4" w:space="0"/>
            </w:tcBorders>
            <w:vAlign w:val="center"/>
          </w:tcPr>
          <w:p w14:paraId="44E86D5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23B840E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124.6</w:t>
            </w:r>
          </w:p>
        </w:tc>
        <w:tc>
          <w:tcPr>
            <w:tcW w:w="1638" w:type="dxa"/>
            <w:tcBorders>
              <w:top w:val="single" w:color="000000" w:sz="4" w:space="0"/>
              <w:left w:val="single" w:color="000000" w:sz="4" w:space="0"/>
              <w:bottom w:val="single" w:color="000000" w:sz="4" w:space="0"/>
              <w:right w:val="single" w:color="000000" w:sz="4" w:space="0"/>
            </w:tcBorders>
            <w:vAlign w:val="center"/>
          </w:tcPr>
          <w:p w14:paraId="6E9EDFF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b/>
                <w:bCs/>
                <w:snapToGrid w:val="0"/>
                <w:sz w:val="21"/>
                <w:szCs w:val="21"/>
              </w:rPr>
              <w:t>4.1%</w:t>
            </w:r>
          </w:p>
        </w:tc>
      </w:tr>
      <w:tr w14:paraId="053886D4">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138F2D8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50</w:t>
            </w:r>
          </w:p>
        </w:tc>
        <w:tc>
          <w:tcPr>
            <w:tcW w:w="1637" w:type="dxa"/>
            <w:tcBorders>
              <w:top w:val="single" w:color="000000" w:sz="4" w:space="0"/>
              <w:left w:val="single" w:color="000000" w:sz="4" w:space="0"/>
              <w:bottom w:val="single" w:color="000000" w:sz="4" w:space="0"/>
              <w:right w:val="single" w:color="000000" w:sz="4" w:space="0"/>
            </w:tcBorders>
            <w:vAlign w:val="center"/>
          </w:tcPr>
          <w:p w14:paraId="76D37F2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121.3</w:t>
            </w:r>
          </w:p>
        </w:tc>
        <w:tc>
          <w:tcPr>
            <w:tcW w:w="1545" w:type="dxa"/>
            <w:tcBorders>
              <w:top w:val="single" w:color="000000" w:sz="4" w:space="0"/>
              <w:left w:val="single" w:color="000000" w:sz="4" w:space="0"/>
              <w:bottom w:val="single" w:color="000000" w:sz="4" w:space="0"/>
              <w:right w:val="single" w:color="000000" w:sz="4" w:space="0"/>
            </w:tcBorders>
            <w:vAlign w:val="center"/>
          </w:tcPr>
          <w:p w14:paraId="2AC1912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5EE934A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125.4</w:t>
            </w:r>
          </w:p>
        </w:tc>
        <w:tc>
          <w:tcPr>
            <w:tcW w:w="1638" w:type="dxa"/>
            <w:tcBorders>
              <w:top w:val="single" w:color="000000" w:sz="4" w:space="0"/>
              <w:left w:val="single" w:color="000000" w:sz="4" w:space="0"/>
              <w:bottom w:val="single" w:color="000000" w:sz="4" w:space="0"/>
              <w:right w:val="single" w:color="000000" w:sz="4" w:space="0"/>
            </w:tcBorders>
            <w:vAlign w:val="center"/>
          </w:tcPr>
          <w:p w14:paraId="3395646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3.4%</w:t>
            </w:r>
          </w:p>
        </w:tc>
      </w:tr>
      <w:tr w14:paraId="304DC5BB">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64991F3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55</w:t>
            </w:r>
          </w:p>
        </w:tc>
        <w:tc>
          <w:tcPr>
            <w:tcW w:w="1637" w:type="dxa"/>
            <w:tcBorders>
              <w:top w:val="single" w:color="000000" w:sz="4" w:space="0"/>
              <w:left w:val="single" w:color="000000" w:sz="4" w:space="0"/>
              <w:bottom w:val="single" w:color="000000" w:sz="4" w:space="0"/>
              <w:right w:val="single" w:color="000000" w:sz="4" w:space="0"/>
            </w:tcBorders>
            <w:vAlign w:val="center"/>
          </w:tcPr>
          <w:p w14:paraId="614FADF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120.8</w:t>
            </w:r>
          </w:p>
        </w:tc>
        <w:tc>
          <w:tcPr>
            <w:tcW w:w="1545" w:type="dxa"/>
            <w:tcBorders>
              <w:top w:val="single" w:color="000000" w:sz="4" w:space="0"/>
              <w:left w:val="single" w:color="000000" w:sz="4" w:space="0"/>
              <w:bottom w:val="single" w:color="000000" w:sz="4" w:space="0"/>
              <w:right w:val="single" w:color="000000" w:sz="4" w:space="0"/>
            </w:tcBorders>
            <w:vAlign w:val="center"/>
          </w:tcPr>
          <w:p w14:paraId="48D2AC6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552D086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122.7</w:t>
            </w:r>
          </w:p>
        </w:tc>
        <w:tc>
          <w:tcPr>
            <w:tcW w:w="1638" w:type="dxa"/>
            <w:tcBorders>
              <w:top w:val="single" w:color="000000" w:sz="4" w:space="0"/>
              <w:left w:val="single" w:color="000000" w:sz="4" w:space="0"/>
              <w:bottom w:val="single" w:color="000000" w:sz="4" w:space="0"/>
              <w:right w:val="single" w:color="000000" w:sz="4" w:space="0"/>
            </w:tcBorders>
            <w:vAlign w:val="center"/>
          </w:tcPr>
          <w:p w14:paraId="3BA7D2C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1.6%</w:t>
            </w:r>
          </w:p>
        </w:tc>
      </w:tr>
      <w:tr w14:paraId="1CB8CDCA">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32A75B9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w:t>
            </w:r>
          </w:p>
        </w:tc>
        <w:tc>
          <w:tcPr>
            <w:tcW w:w="1637" w:type="dxa"/>
            <w:tcBorders>
              <w:top w:val="single" w:color="000000" w:sz="4" w:space="0"/>
              <w:left w:val="single" w:color="000000" w:sz="4" w:space="0"/>
              <w:bottom w:val="single" w:color="000000" w:sz="4" w:space="0"/>
              <w:right w:val="single" w:color="000000" w:sz="4" w:space="0"/>
            </w:tcBorders>
            <w:vAlign w:val="center"/>
          </w:tcPr>
          <w:p w14:paraId="5970B23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120.1</w:t>
            </w:r>
          </w:p>
        </w:tc>
        <w:tc>
          <w:tcPr>
            <w:tcW w:w="1545" w:type="dxa"/>
            <w:tcBorders>
              <w:top w:val="single" w:color="000000" w:sz="4" w:space="0"/>
              <w:left w:val="single" w:color="000000" w:sz="4" w:space="0"/>
              <w:bottom w:val="single" w:color="000000" w:sz="4" w:space="0"/>
              <w:right w:val="single" w:color="000000" w:sz="4" w:space="0"/>
            </w:tcBorders>
            <w:vAlign w:val="center"/>
          </w:tcPr>
          <w:p w14:paraId="5371374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3962761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119.5</w:t>
            </w:r>
          </w:p>
        </w:tc>
        <w:tc>
          <w:tcPr>
            <w:tcW w:w="1638" w:type="dxa"/>
            <w:tcBorders>
              <w:top w:val="single" w:color="000000" w:sz="4" w:space="0"/>
              <w:left w:val="single" w:color="000000" w:sz="4" w:space="0"/>
              <w:bottom w:val="single" w:color="000000" w:sz="4" w:space="0"/>
              <w:right w:val="single" w:color="000000" w:sz="4" w:space="0"/>
            </w:tcBorders>
            <w:vAlign w:val="center"/>
          </w:tcPr>
          <w:p w14:paraId="1158F4E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-0.5%</w:t>
            </w:r>
          </w:p>
        </w:tc>
      </w:tr>
      <w:tr w14:paraId="70091D62">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78BB7FD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65</w:t>
            </w:r>
          </w:p>
        </w:tc>
        <w:tc>
          <w:tcPr>
            <w:tcW w:w="1637" w:type="dxa"/>
            <w:tcBorders>
              <w:top w:val="single" w:color="000000" w:sz="4" w:space="0"/>
              <w:left w:val="single" w:color="000000" w:sz="4" w:space="0"/>
              <w:bottom w:val="single" w:color="000000" w:sz="4" w:space="0"/>
              <w:right w:val="single" w:color="000000" w:sz="4" w:space="0"/>
            </w:tcBorders>
            <w:vAlign w:val="center"/>
          </w:tcPr>
          <w:p w14:paraId="4C255E6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118.1</w:t>
            </w:r>
          </w:p>
        </w:tc>
        <w:tc>
          <w:tcPr>
            <w:tcW w:w="1545" w:type="dxa"/>
            <w:tcBorders>
              <w:top w:val="single" w:color="000000" w:sz="4" w:space="0"/>
              <w:left w:val="single" w:color="000000" w:sz="4" w:space="0"/>
              <w:bottom w:val="single" w:color="000000" w:sz="4" w:space="0"/>
              <w:right w:val="single" w:color="000000" w:sz="4" w:space="0"/>
            </w:tcBorders>
            <w:vAlign w:val="center"/>
          </w:tcPr>
          <w:p w14:paraId="50A3B83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33DFCAB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116.0</w:t>
            </w:r>
          </w:p>
        </w:tc>
        <w:tc>
          <w:tcPr>
            <w:tcW w:w="1638" w:type="dxa"/>
            <w:tcBorders>
              <w:top w:val="single" w:color="000000" w:sz="4" w:space="0"/>
              <w:left w:val="single" w:color="000000" w:sz="4" w:space="0"/>
              <w:bottom w:val="single" w:color="000000" w:sz="4" w:space="0"/>
              <w:right w:val="single" w:color="000000" w:sz="4" w:space="0"/>
            </w:tcBorders>
            <w:vAlign w:val="center"/>
          </w:tcPr>
          <w:p w14:paraId="2B6F833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-1.8%</w:t>
            </w:r>
          </w:p>
        </w:tc>
      </w:tr>
      <w:tr w14:paraId="7835A651">
        <w:tblPrEx>
          <w:tblCellMar>
            <w:top w:w="0" w:type="dxa"/>
            <w:left w:w="108" w:type="dxa"/>
            <w:bottom w:w="0" w:type="dxa"/>
            <w:right w:w="108" w:type="dxa"/>
          </w:tblCellMar>
        </w:tblPrEx>
        <w:trPr>
          <w:jc w:val="right"/>
        </w:trPr>
        <w:tc>
          <w:tcPr>
            <w:tcW w:w="1637" w:type="dxa"/>
            <w:tcBorders>
              <w:top w:val="single" w:color="000000" w:sz="4" w:space="0"/>
              <w:left w:val="single" w:color="000000" w:sz="4" w:space="0"/>
              <w:bottom w:val="single" w:color="000000" w:sz="4" w:space="0"/>
              <w:right w:val="single" w:color="000000" w:sz="4" w:space="0"/>
            </w:tcBorders>
            <w:vAlign w:val="center"/>
          </w:tcPr>
          <w:p w14:paraId="28B91AF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70</w:t>
            </w:r>
          </w:p>
        </w:tc>
        <w:tc>
          <w:tcPr>
            <w:tcW w:w="1637" w:type="dxa"/>
            <w:tcBorders>
              <w:top w:val="single" w:color="000000" w:sz="4" w:space="0"/>
              <w:left w:val="single" w:color="000000" w:sz="4" w:space="0"/>
              <w:bottom w:val="single" w:color="000000" w:sz="4" w:space="0"/>
              <w:right w:val="single" w:color="000000" w:sz="4" w:space="0"/>
            </w:tcBorders>
            <w:vAlign w:val="center"/>
          </w:tcPr>
          <w:p w14:paraId="604CFC0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117.5</w:t>
            </w:r>
          </w:p>
        </w:tc>
        <w:tc>
          <w:tcPr>
            <w:tcW w:w="1545" w:type="dxa"/>
            <w:tcBorders>
              <w:top w:val="single" w:color="000000" w:sz="4" w:space="0"/>
              <w:left w:val="single" w:color="000000" w:sz="4" w:space="0"/>
              <w:bottom w:val="single" w:color="000000" w:sz="4" w:space="0"/>
              <w:right w:val="single" w:color="000000" w:sz="4" w:space="0"/>
            </w:tcBorders>
            <w:vAlign w:val="center"/>
          </w:tcPr>
          <w:p w14:paraId="046E7C0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729" w:type="dxa"/>
            <w:tcBorders>
              <w:top w:val="single" w:color="000000" w:sz="4" w:space="0"/>
              <w:left w:val="single" w:color="000000" w:sz="4" w:space="0"/>
              <w:bottom w:val="single" w:color="000000" w:sz="4" w:space="0"/>
              <w:right w:val="single" w:color="000000" w:sz="4" w:space="0"/>
            </w:tcBorders>
            <w:vAlign w:val="center"/>
          </w:tcPr>
          <w:p w14:paraId="1D9800D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115.6</w:t>
            </w:r>
          </w:p>
        </w:tc>
        <w:tc>
          <w:tcPr>
            <w:tcW w:w="1638" w:type="dxa"/>
            <w:tcBorders>
              <w:top w:val="single" w:color="000000" w:sz="4" w:space="0"/>
              <w:left w:val="single" w:color="000000" w:sz="4" w:space="0"/>
              <w:bottom w:val="single" w:color="000000" w:sz="4" w:space="0"/>
              <w:right w:val="single" w:color="000000" w:sz="4" w:space="0"/>
            </w:tcBorders>
            <w:vAlign w:val="center"/>
          </w:tcPr>
          <w:p w14:paraId="6B640C3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-1.6%</w:t>
            </w:r>
          </w:p>
        </w:tc>
      </w:tr>
    </w:tbl>
    <w:p w14:paraId="3D3A79DF">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07623103">
      <w:pPr>
        <w:tabs>
          <w:tab w:val="left" w:pos="820"/>
        </w:tabs>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Times New Roman"/>
          <w:i/>
          <w:sz w:val="24"/>
          <w:lang w:eastAsia="zh-CN"/>
        </w:rPr>
        <w:t>（</w:t>
      </w:r>
      <w:r>
        <w:rPr>
          <w:rFonts w:hint="eastAsia" w:ascii="Times New Roman" w:hAnsi="Times New Roman" w:eastAsia="宋体" w:cs="Times New Roman"/>
          <w:i/>
          <w:sz w:val="24"/>
          <w:lang w:eastAsia="zh-CN"/>
        </w:rPr>
        <w:t>2</w:t>
      </w:r>
      <w:r>
        <w:rPr>
          <w:rFonts w:ascii="Times New Roman" w:hAnsi="Times New Roman" w:eastAsia="宋体" w:cs="Times New Roman"/>
          <w:i/>
          <w:sz w:val="24"/>
          <w:lang w:eastAsia="zh-CN"/>
        </w:rPr>
        <w:t>）</w:t>
      </w:r>
      <w:r>
        <w:rPr>
          <w:rFonts w:ascii="Times New Roman" w:hAnsi="Times New Roman" w:eastAsia="宋体" w:cs="宋体"/>
          <w:i/>
          <w:sz w:val="24"/>
          <w:lang w:eastAsia="zh-CN"/>
        </w:rPr>
        <w:t>血细胞比容引起的偏差的估计</w:t>
      </w:r>
    </w:p>
    <w:p w14:paraId="5CFF0120">
      <w:pPr>
        <w:adjustRightInd w:val="0"/>
        <w:snapToGrid w:val="0"/>
        <w:spacing w:before="120" w:beforeLines="50" w:line="300" w:lineRule="auto"/>
        <w:ind w:left="992" w:leftChars="4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分离血细胞比容对器械性能的影响，应测定相对于具有正常血细胞比容（42%）的样本的偏差。该正常血细胞比容代表预期使用人群的平均血细胞比容值；因此，对于血细胞比容值平均血细胞比容值（42%）的样本，将血细胞比容引起的偏差视为0%（或0 mg/dL）。用每个样本的偏差减去平均血细胞比容（42%）引起的偏差，得出血细胞比容引起的估计偏差。</w:t>
      </w:r>
    </w:p>
    <w:p w14:paraId="3DDB1BF1">
      <w:pPr>
        <w:pStyle w:val="4"/>
        <w:adjustRightInd w:val="0"/>
        <w:snapToGrid w:val="0"/>
        <w:spacing w:before="120" w:beforeLines="50" w:line="300" w:lineRule="auto"/>
        <w:ind w:left="425" w:leftChars="193" w:firstLine="0"/>
        <w:jc w:val="both"/>
        <w:rPr>
          <w:rFonts w:eastAsia="宋体" w:cs="Times New Roman"/>
          <w:b w:val="0"/>
          <w:bCs w:val="0"/>
          <w:snapToGrid w:val="0"/>
          <w:lang w:eastAsia="zh-CN"/>
        </w:rPr>
      </w:pPr>
      <w:r>
        <w:rPr>
          <w:rFonts w:eastAsia="宋体" w:cs="宋体"/>
          <w:lang w:eastAsia="zh-CN"/>
        </w:rPr>
        <w:t>表6.对于42%的正常血细胞比容值，血细胞比容引起的SMBG测量值偏差（血糖浓度为120 mg/dL）的示例表：</w:t>
      </w:r>
    </w:p>
    <w:tbl>
      <w:tblPr>
        <w:tblStyle w:val="21"/>
        <w:tblW w:w="0" w:type="auto"/>
        <w:jc w:val="right"/>
        <w:tblLayout w:type="fixed"/>
        <w:tblCellMar>
          <w:top w:w="0" w:type="dxa"/>
          <w:left w:w="108" w:type="dxa"/>
          <w:bottom w:w="0" w:type="dxa"/>
          <w:right w:w="108" w:type="dxa"/>
        </w:tblCellMar>
      </w:tblPr>
      <w:tblGrid>
        <w:gridCol w:w="1256"/>
        <w:gridCol w:w="1642"/>
        <w:gridCol w:w="1134"/>
        <w:gridCol w:w="1842"/>
        <w:gridCol w:w="1560"/>
        <w:gridCol w:w="1382"/>
      </w:tblGrid>
      <w:tr w14:paraId="3E9C0387">
        <w:tblPrEx>
          <w:tblCellMar>
            <w:top w:w="0" w:type="dxa"/>
            <w:left w:w="108" w:type="dxa"/>
            <w:bottom w:w="0" w:type="dxa"/>
            <w:right w:w="108" w:type="dxa"/>
          </w:tblCellMar>
        </w:tblPrEx>
        <w:trPr>
          <w:jc w:val="right"/>
        </w:trPr>
        <w:tc>
          <w:tcPr>
            <w:tcW w:w="1256" w:type="dxa"/>
            <w:tcBorders>
              <w:top w:val="single" w:color="000000" w:sz="10" w:space="0"/>
              <w:left w:val="single" w:color="000000" w:sz="4" w:space="0"/>
              <w:bottom w:val="single" w:color="000000" w:sz="4" w:space="0"/>
              <w:right w:val="single" w:color="000000" w:sz="4" w:space="0"/>
            </w:tcBorders>
            <w:vAlign w:val="center"/>
          </w:tcPr>
          <w:p w14:paraId="19CBB4E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血细胞比容（%）</w:t>
            </w:r>
          </w:p>
        </w:tc>
        <w:tc>
          <w:tcPr>
            <w:tcW w:w="1642" w:type="dxa"/>
            <w:tcBorders>
              <w:top w:val="single" w:color="000000" w:sz="10" w:space="0"/>
              <w:left w:val="single" w:color="000000" w:sz="4" w:space="0"/>
              <w:bottom w:val="single" w:color="000000" w:sz="4" w:space="0"/>
              <w:right w:val="single" w:color="000000" w:sz="4" w:space="0"/>
            </w:tcBorders>
            <w:vAlign w:val="center"/>
          </w:tcPr>
          <w:p w14:paraId="36E8FA2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对照方法测量值的平均值（MeanComp）</w:t>
            </w:r>
          </w:p>
        </w:tc>
        <w:tc>
          <w:tcPr>
            <w:tcW w:w="1134" w:type="dxa"/>
            <w:tcBorders>
              <w:top w:val="single" w:color="000000" w:sz="10" w:space="0"/>
              <w:left w:val="single" w:color="000000" w:sz="4" w:space="0"/>
              <w:bottom w:val="single" w:color="000000" w:sz="4" w:space="0"/>
              <w:right w:val="single" w:color="000000" w:sz="4" w:space="0"/>
            </w:tcBorders>
            <w:vAlign w:val="center"/>
          </w:tcPr>
          <w:p w14:paraId="22D0C4D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SMBG的测量次数</w:t>
            </w:r>
          </w:p>
        </w:tc>
        <w:tc>
          <w:tcPr>
            <w:tcW w:w="1842" w:type="dxa"/>
            <w:tcBorders>
              <w:top w:val="single" w:color="000000" w:sz="10" w:space="0"/>
              <w:left w:val="single" w:color="000000" w:sz="4" w:space="0"/>
              <w:bottom w:val="single" w:color="000000" w:sz="4" w:space="0"/>
              <w:right w:val="single" w:color="000000" w:sz="4" w:space="0"/>
            </w:tcBorders>
            <w:vAlign w:val="center"/>
          </w:tcPr>
          <w:p w14:paraId="3E1D3C4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SMBG测量值的平均值（MeanSMBG）</w:t>
            </w:r>
          </w:p>
        </w:tc>
        <w:tc>
          <w:tcPr>
            <w:tcW w:w="1560" w:type="dxa"/>
            <w:tcBorders>
              <w:top w:val="single" w:color="000000" w:sz="10" w:space="0"/>
              <w:left w:val="single" w:color="000000" w:sz="4" w:space="0"/>
              <w:bottom w:val="single" w:color="000000" w:sz="4" w:space="0"/>
              <w:right w:val="single" w:color="000000" w:sz="4" w:space="0"/>
            </w:tcBorders>
            <w:vAlign w:val="center"/>
          </w:tcPr>
          <w:p w14:paraId="029F7D5E">
            <w:pPr>
              <w:pStyle w:val="23"/>
              <w:adjustRightInd w:val="0"/>
              <w:snapToGrid w:val="0"/>
              <w:spacing w:before="36" w:beforeLines="15" w:line="276" w:lineRule="auto"/>
              <w:jc w:val="center"/>
              <w:rPr>
                <w:rFonts w:ascii="Times New Roman" w:hAnsi="Times New Roman" w:eastAsia="宋体" w:cs="Times New Roman"/>
                <w:snapToGrid w:val="0"/>
                <w:sz w:val="21"/>
                <w:szCs w:val="21"/>
              </w:rPr>
            </w:pPr>
            <w:r>
              <w:rPr>
                <w:rFonts w:ascii="Times New Roman" w:hAnsi="Times New Roman" w:eastAsia="宋体" w:cs="宋体"/>
                <w:sz w:val="21"/>
              </w:rPr>
              <w:t>偏差（%）</w:t>
            </w:r>
          </w:p>
          <w:p w14:paraId="3B992A6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（MeanSMBG- MeanComp）/MeanComp</w:t>
            </w:r>
          </w:p>
        </w:tc>
        <w:tc>
          <w:tcPr>
            <w:tcW w:w="1382" w:type="dxa"/>
            <w:tcBorders>
              <w:top w:val="single" w:color="000000" w:sz="4" w:space="0"/>
              <w:left w:val="single" w:color="000000" w:sz="4" w:space="0"/>
              <w:bottom w:val="single" w:color="000000" w:sz="4" w:space="0"/>
              <w:right w:val="single" w:color="000000" w:sz="4" w:space="0"/>
            </w:tcBorders>
            <w:vAlign w:val="center"/>
          </w:tcPr>
          <w:p w14:paraId="7DFBC406">
            <w:pPr>
              <w:pStyle w:val="23"/>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血细胞比容引起的偏差%</w:t>
            </w:r>
          </w:p>
        </w:tc>
      </w:tr>
      <w:tr w14:paraId="08E33E76">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02403AD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10</w:t>
            </w:r>
          </w:p>
        </w:tc>
        <w:tc>
          <w:tcPr>
            <w:tcW w:w="1642" w:type="dxa"/>
            <w:tcBorders>
              <w:top w:val="single" w:color="000000" w:sz="4" w:space="0"/>
              <w:left w:val="single" w:color="000000" w:sz="4" w:space="0"/>
              <w:bottom w:val="single" w:color="000000" w:sz="4" w:space="0"/>
              <w:right w:val="single" w:color="000000" w:sz="4" w:space="0"/>
            </w:tcBorders>
            <w:vAlign w:val="center"/>
          </w:tcPr>
          <w:p w14:paraId="751F34E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118.0</w:t>
            </w:r>
          </w:p>
        </w:tc>
        <w:tc>
          <w:tcPr>
            <w:tcW w:w="1134" w:type="dxa"/>
            <w:tcBorders>
              <w:top w:val="single" w:color="000000" w:sz="4" w:space="0"/>
              <w:left w:val="single" w:color="000000" w:sz="4" w:space="0"/>
              <w:bottom w:val="single" w:color="000000" w:sz="4" w:space="0"/>
              <w:right w:val="single" w:color="000000" w:sz="4" w:space="0"/>
            </w:tcBorders>
            <w:vAlign w:val="center"/>
          </w:tcPr>
          <w:p w14:paraId="493D957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5A9B669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127.6</w:t>
            </w:r>
          </w:p>
        </w:tc>
        <w:tc>
          <w:tcPr>
            <w:tcW w:w="1560" w:type="dxa"/>
            <w:tcBorders>
              <w:top w:val="single" w:color="000000" w:sz="4" w:space="0"/>
              <w:left w:val="single" w:color="000000" w:sz="4" w:space="0"/>
              <w:bottom w:val="single" w:color="000000" w:sz="4" w:space="0"/>
              <w:right w:val="single" w:color="000000" w:sz="4" w:space="0"/>
            </w:tcBorders>
            <w:vAlign w:val="center"/>
          </w:tcPr>
          <w:p w14:paraId="16BACA4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8.1%</w:t>
            </w:r>
          </w:p>
        </w:tc>
        <w:tc>
          <w:tcPr>
            <w:tcW w:w="1382" w:type="dxa"/>
            <w:tcBorders>
              <w:top w:val="single" w:color="000000" w:sz="4" w:space="0"/>
              <w:left w:val="single" w:color="000000" w:sz="4" w:space="0"/>
              <w:bottom w:val="single" w:color="000000" w:sz="4" w:space="0"/>
              <w:right w:val="single" w:color="000000" w:sz="4" w:space="0"/>
            </w:tcBorders>
            <w:vAlign w:val="center"/>
          </w:tcPr>
          <w:p w14:paraId="16EFCEF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4.0%</w:t>
            </w:r>
          </w:p>
        </w:tc>
      </w:tr>
      <w:tr w14:paraId="3E9F7FC6">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10DFE3D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15</w:t>
            </w:r>
          </w:p>
        </w:tc>
        <w:tc>
          <w:tcPr>
            <w:tcW w:w="1642" w:type="dxa"/>
            <w:tcBorders>
              <w:top w:val="single" w:color="000000" w:sz="4" w:space="0"/>
              <w:left w:val="single" w:color="000000" w:sz="4" w:space="0"/>
              <w:bottom w:val="single" w:color="000000" w:sz="4" w:space="0"/>
              <w:right w:val="single" w:color="000000" w:sz="4" w:space="0"/>
            </w:tcBorders>
            <w:vAlign w:val="center"/>
          </w:tcPr>
          <w:p w14:paraId="7834D16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118.4</w:t>
            </w:r>
          </w:p>
        </w:tc>
        <w:tc>
          <w:tcPr>
            <w:tcW w:w="1134" w:type="dxa"/>
            <w:tcBorders>
              <w:top w:val="single" w:color="000000" w:sz="4" w:space="0"/>
              <w:left w:val="single" w:color="000000" w:sz="4" w:space="0"/>
              <w:bottom w:val="single" w:color="000000" w:sz="4" w:space="0"/>
              <w:right w:val="single" w:color="000000" w:sz="4" w:space="0"/>
            </w:tcBorders>
            <w:vAlign w:val="center"/>
          </w:tcPr>
          <w:p w14:paraId="1D52208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72B6B93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127.6</w:t>
            </w:r>
          </w:p>
        </w:tc>
        <w:tc>
          <w:tcPr>
            <w:tcW w:w="1560" w:type="dxa"/>
            <w:tcBorders>
              <w:top w:val="single" w:color="000000" w:sz="4" w:space="0"/>
              <w:left w:val="single" w:color="000000" w:sz="4" w:space="0"/>
              <w:bottom w:val="single" w:color="000000" w:sz="4" w:space="0"/>
              <w:right w:val="single" w:color="000000" w:sz="4" w:space="0"/>
            </w:tcBorders>
            <w:vAlign w:val="center"/>
          </w:tcPr>
          <w:p w14:paraId="66ECCC4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7.8%</w:t>
            </w:r>
          </w:p>
        </w:tc>
        <w:tc>
          <w:tcPr>
            <w:tcW w:w="1382" w:type="dxa"/>
            <w:tcBorders>
              <w:top w:val="single" w:color="000000" w:sz="4" w:space="0"/>
              <w:left w:val="single" w:color="000000" w:sz="4" w:space="0"/>
              <w:bottom w:val="single" w:color="000000" w:sz="4" w:space="0"/>
              <w:right w:val="single" w:color="000000" w:sz="4" w:space="0"/>
            </w:tcBorders>
            <w:vAlign w:val="center"/>
          </w:tcPr>
          <w:p w14:paraId="256569F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3.7%</w:t>
            </w:r>
          </w:p>
        </w:tc>
      </w:tr>
      <w:tr w14:paraId="30647C18">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07F5B49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20</w:t>
            </w:r>
          </w:p>
        </w:tc>
        <w:tc>
          <w:tcPr>
            <w:tcW w:w="1642" w:type="dxa"/>
            <w:tcBorders>
              <w:top w:val="single" w:color="000000" w:sz="4" w:space="0"/>
              <w:left w:val="single" w:color="000000" w:sz="4" w:space="0"/>
              <w:bottom w:val="single" w:color="000000" w:sz="4" w:space="0"/>
              <w:right w:val="single" w:color="000000" w:sz="4" w:space="0"/>
            </w:tcBorders>
            <w:vAlign w:val="center"/>
          </w:tcPr>
          <w:p w14:paraId="781E8AC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122.4</w:t>
            </w:r>
          </w:p>
        </w:tc>
        <w:tc>
          <w:tcPr>
            <w:tcW w:w="1134" w:type="dxa"/>
            <w:tcBorders>
              <w:top w:val="single" w:color="000000" w:sz="4" w:space="0"/>
              <w:left w:val="single" w:color="000000" w:sz="4" w:space="0"/>
              <w:bottom w:val="single" w:color="000000" w:sz="4" w:space="0"/>
              <w:right w:val="single" w:color="000000" w:sz="4" w:space="0"/>
            </w:tcBorders>
            <w:vAlign w:val="center"/>
          </w:tcPr>
          <w:p w14:paraId="46BFDB46">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494BEF8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130.4</w:t>
            </w:r>
          </w:p>
        </w:tc>
        <w:tc>
          <w:tcPr>
            <w:tcW w:w="1560" w:type="dxa"/>
            <w:tcBorders>
              <w:top w:val="single" w:color="000000" w:sz="4" w:space="0"/>
              <w:left w:val="single" w:color="000000" w:sz="4" w:space="0"/>
              <w:bottom w:val="single" w:color="000000" w:sz="4" w:space="0"/>
              <w:right w:val="single" w:color="000000" w:sz="4" w:space="0"/>
            </w:tcBorders>
            <w:vAlign w:val="center"/>
          </w:tcPr>
          <w:p w14:paraId="013226B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6.5%</w:t>
            </w:r>
          </w:p>
        </w:tc>
        <w:tc>
          <w:tcPr>
            <w:tcW w:w="1382" w:type="dxa"/>
            <w:tcBorders>
              <w:top w:val="single" w:color="000000" w:sz="4" w:space="0"/>
              <w:left w:val="single" w:color="000000" w:sz="4" w:space="0"/>
              <w:bottom w:val="single" w:color="000000" w:sz="4" w:space="0"/>
              <w:right w:val="single" w:color="000000" w:sz="4" w:space="0"/>
            </w:tcBorders>
            <w:vAlign w:val="center"/>
          </w:tcPr>
          <w:p w14:paraId="7C03947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2.4%</w:t>
            </w:r>
          </w:p>
        </w:tc>
      </w:tr>
      <w:tr w14:paraId="0BAAF0B0">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19F96D5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25</w:t>
            </w:r>
          </w:p>
        </w:tc>
        <w:tc>
          <w:tcPr>
            <w:tcW w:w="1642" w:type="dxa"/>
            <w:tcBorders>
              <w:top w:val="single" w:color="000000" w:sz="4" w:space="0"/>
              <w:left w:val="single" w:color="000000" w:sz="4" w:space="0"/>
              <w:bottom w:val="single" w:color="000000" w:sz="4" w:space="0"/>
              <w:right w:val="single" w:color="000000" w:sz="4" w:space="0"/>
            </w:tcBorders>
            <w:vAlign w:val="center"/>
          </w:tcPr>
          <w:p w14:paraId="10E3E35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120.7</w:t>
            </w:r>
          </w:p>
        </w:tc>
        <w:tc>
          <w:tcPr>
            <w:tcW w:w="1134" w:type="dxa"/>
            <w:tcBorders>
              <w:top w:val="single" w:color="000000" w:sz="4" w:space="0"/>
              <w:left w:val="single" w:color="000000" w:sz="4" w:space="0"/>
              <w:bottom w:val="single" w:color="000000" w:sz="4" w:space="0"/>
              <w:right w:val="single" w:color="000000" w:sz="4" w:space="0"/>
            </w:tcBorders>
            <w:vAlign w:val="center"/>
          </w:tcPr>
          <w:p w14:paraId="11965B4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50395DC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127.1</w:t>
            </w:r>
          </w:p>
        </w:tc>
        <w:tc>
          <w:tcPr>
            <w:tcW w:w="1560" w:type="dxa"/>
            <w:tcBorders>
              <w:top w:val="single" w:color="000000" w:sz="4" w:space="0"/>
              <w:left w:val="single" w:color="000000" w:sz="4" w:space="0"/>
              <w:bottom w:val="single" w:color="000000" w:sz="4" w:space="0"/>
              <w:right w:val="single" w:color="000000" w:sz="4" w:space="0"/>
            </w:tcBorders>
            <w:vAlign w:val="center"/>
          </w:tcPr>
          <w:p w14:paraId="43CEAB9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5.3%</w:t>
            </w:r>
          </w:p>
        </w:tc>
        <w:tc>
          <w:tcPr>
            <w:tcW w:w="1382" w:type="dxa"/>
            <w:tcBorders>
              <w:top w:val="single" w:color="000000" w:sz="4" w:space="0"/>
              <w:left w:val="single" w:color="000000" w:sz="4" w:space="0"/>
              <w:bottom w:val="single" w:color="000000" w:sz="4" w:space="0"/>
              <w:right w:val="single" w:color="000000" w:sz="4" w:space="0"/>
            </w:tcBorders>
            <w:vAlign w:val="center"/>
          </w:tcPr>
          <w:p w14:paraId="6A9906E8">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w:t>
            </w:r>
          </w:p>
        </w:tc>
      </w:tr>
      <w:tr w14:paraId="0E9B6930">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37E053D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642" w:type="dxa"/>
            <w:tcBorders>
              <w:top w:val="single" w:color="000000" w:sz="4" w:space="0"/>
              <w:left w:val="single" w:color="000000" w:sz="4" w:space="0"/>
              <w:bottom w:val="single" w:color="000000" w:sz="4" w:space="0"/>
              <w:right w:val="single" w:color="000000" w:sz="4" w:space="0"/>
            </w:tcBorders>
            <w:vAlign w:val="center"/>
          </w:tcPr>
          <w:p w14:paraId="33FC8ED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123.7</w:t>
            </w:r>
          </w:p>
        </w:tc>
        <w:tc>
          <w:tcPr>
            <w:tcW w:w="1134" w:type="dxa"/>
            <w:tcBorders>
              <w:top w:val="single" w:color="000000" w:sz="4" w:space="0"/>
              <w:left w:val="single" w:color="000000" w:sz="4" w:space="0"/>
              <w:bottom w:val="single" w:color="000000" w:sz="4" w:space="0"/>
              <w:right w:val="single" w:color="000000" w:sz="4" w:space="0"/>
            </w:tcBorders>
            <w:vAlign w:val="center"/>
          </w:tcPr>
          <w:p w14:paraId="7B01532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7CDFF913">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129.5</w:t>
            </w:r>
          </w:p>
        </w:tc>
        <w:tc>
          <w:tcPr>
            <w:tcW w:w="1560" w:type="dxa"/>
            <w:tcBorders>
              <w:top w:val="single" w:color="000000" w:sz="4" w:space="0"/>
              <w:left w:val="single" w:color="000000" w:sz="4" w:space="0"/>
              <w:bottom w:val="single" w:color="000000" w:sz="4" w:space="0"/>
              <w:right w:val="single" w:color="000000" w:sz="4" w:space="0"/>
            </w:tcBorders>
            <w:vAlign w:val="center"/>
          </w:tcPr>
          <w:p w14:paraId="37633C1F">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4.7%</w:t>
            </w:r>
          </w:p>
        </w:tc>
        <w:tc>
          <w:tcPr>
            <w:tcW w:w="1382" w:type="dxa"/>
            <w:tcBorders>
              <w:top w:val="single" w:color="000000" w:sz="4" w:space="0"/>
              <w:left w:val="single" w:color="000000" w:sz="4" w:space="0"/>
              <w:bottom w:val="single" w:color="000000" w:sz="4" w:space="0"/>
              <w:right w:val="single" w:color="000000" w:sz="4" w:space="0"/>
            </w:tcBorders>
            <w:vAlign w:val="center"/>
          </w:tcPr>
          <w:p w14:paraId="7506529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0.6%</w:t>
            </w:r>
          </w:p>
        </w:tc>
      </w:tr>
      <w:tr w14:paraId="236932E3">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7B1F138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35</w:t>
            </w:r>
          </w:p>
        </w:tc>
        <w:tc>
          <w:tcPr>
            <w:tcW w:w="1642" w:type="dxa"/>
            <w:tcBorders>
              <w:top w:val="single" w:color="000000" w:sz="4" w:space="0"/>
              <w:left w:val="single" w:color="000000" w:sz="4" w:space="0"/>
              <w:bottom w:val="single" w:color="000000" w:sz="4" w:space="0"/>
              <w:right w:val="single" w:color="000000" w:sz="4" w:space="0"/>
            </w:tcBorders>
            <w:vAlign w:val="center"/>
          </w:tcPr>
          <w:p w14:paraId="723C172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121.5</w:t>
            </w:r>
          </w:p>
        </w:tc>
        <w:tc>
          <w:tcPr>
            <w:tcW w:w="1134" w:type="dxa"/>
            <w:tcBorders>
              <w:top w:val="single" w:color="000000" w:sz="4" w:space="0"/>
              <w:left w:val="single" w:color="000000" w:sz="4" w:space="0"/>
              <w:bottom w:val="single" w:color="000000" w:sz="4" w:space="0"/>
              <w:right w:val="single" w:color="000000" w:sz="4" w:space="0"/>
            </w:tcBorders>
            <w:vAlign w:val="center"/>
          </w:tcPr>
          <w:p w14:paraId="065009C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479316F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127.1</w:t>
            </w:r>
          </w:p>
        </w:tc>
        <w:tc>
          <w:tcPr>
            <w:tcW w:w="1560" w:type="dxa"/>
            <w:tcBorders>
              <w:top w:val="single" w:color="000000" w:sz="4" w:space="0"/>
              <w:left w:val="single" w:color="000000" w:sz="4" w:space="0"/>
              <w:bottom w:val="single" w:color="000000" w:sz="4" w:space="0"/>
              <w:right w:val="single" w:color="000000" w:sz="4" w:space="0"/>
            </w:tcBorders>
            <w:vAlign w:val="center"/>
          </w:tcPr>
          <w:p w14:paraId="70E3EF9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4.6%</w:t>
            </w:r>
          </w:p>
        </w:tc>
        <w:tc>
          <w:tcPr>
            <w:tcW w:w="1382" w:type="dxa"/>
            <w:tcBorders>
              <w:top w:val="single" w:color="000000" w:sz="4" w:space="0"/>
              <w:left w:val="single" w:color="000000" w:sz="4" w:space="0"/>
              <w:bottom w:val="single" w:color="000000" w:sz="4" w:space="0"/>
              <w:right w:val="single" w:color="000000" w:sz="4" w:space="0"/>
            </w:tcBorders>
            <w:vAlign w:val="center"/>
          </w:tcPr>
          <w:p w14:paraId="736C78F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0.5%</w:t>
            </w:r>
          </w:p>
        </w:tc>
      </w:tr>
      <w:tr w14:paraId="7E7472F9">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15D1E6E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42</w:t>
            </w:r>
          </w:p>
        </w:tc>
        <w:tc>
          <w:tcPr>
            <w:tcW w:w="1642" w:type="dxa"/>
            <w:tcBorders>
              <w:top w:val="single" w:color="000000" w:sz="4" w:space="0"/>
              <w:left w:val="single" w:color="000000" w:sz="4" w:space="0"/>
              <w:bottom w:val="single" w:color="000000" w:sz="4" w:space="0"/>
              <w:right w:val="single" w:color="000000" w:sz="4" w:space="0"/>
            </w:tcBorders>
            <w:vAlign w:val="center"/>
          </w:tcPr>
          <w:p w14:paraId="309363B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119.7</w:t>
            </w:r>
          </w:p>
        </w:tc>
        <w:tc>
          <w:tcPr>
            <w:tcW w:w="1134" w:type="dxa"/>
            <w:tcBorders>
              <w:top w:val="single" w:color="000000" w:sz="4" w:space="0"/>
              <w:left w:val="single" w:color="000000" w:sz="4" w:space="0"/>
              <w:bottom w:val="single" w:color="000000" w:sz="4" w:space="0"/>
              <w:right w:val="single" w:color="000000" w:sz="4" w:space="0"/>
            </w:tcBorders>
            <w:vAlign w:val="center"/>
          </w:tcPr>
          <w:p w14:paraId="21642CE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1B1A9AB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124.6</w:t>
            </w:r>
          </w:p>
        </w:tc>
        <w:tc>
          <w:tcPr>
            <w:tcW w:w="1560" w:type="dxa"/>
            <w:tcBorders>
              <w:top w:val="single" w:color="000000" w:sz="4" w:space="0"/>
              <w:left w:val="single" w:color="000000" w:sz="4" w:space="0"/>
              <w:bottom w:val="single" w:color="000000" w:sz="4" w:space="0"/>
              <w:right w:val="single" w:color="000000" w:sz="4" w:space="0"/>
            </w:tcBorders>
            <w:vAlign w:val="center"/>
          </w:tcPr>
          <w:p w14:paraId="66AD41C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4.1%</w:t>
            </w:r>
          </w:p>
        </w:tc>
        <w:tc>
          <w:tcPr>
            <w:tcW w:w="1382" w:type="dxa"/>
            <w:tcBorders>
              <w:top w:val="single" w:color="000000" w:sz="4" w:space="0"/>
              <w:left w:val="single" w:color="000000" w:sz="4" w:space="0"/>
              <w:bottom w:val="single" w:color="000000" w:sz="4" w:space="0"/>
              <w:right w:val="single" w:color="000000" w:sz="4" w:space="0"/>
            </w:tcBorders>
            <w:vAlign w:val="center"/>
          </w:tcPr>
          <w:p w14:paraId="1FC25CF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b/>
                <w:bCs/>
                <w:snapToGrid w:val="0"/>
                <w:sz w:val="21"/>
                <w:szCs w:val="21"/>
              </w:rPr>
              <w:t>0.0%</w:t>
            </w:r>
          </w:p>
        </w:tc>
      </w:tr>
      <w:tr w14:paraId="67B1366D">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546BAA1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50</w:t>
            </w:r>
          </w:p>
        </w:tc>
        <w:tc>
          <w:tcPr>
            <w:tcW w:w="1642" w:type="dxa"/>
            <w:tcBorders>
              <w:top w:val="single" w:color="000000" w:sz="4" w:space="0"/>
              <w:left w:val="single" w:color="000000" w:sz="4" w:space="0"/>
              <w:bottom w:val="single" w:color="000000" w:sz="4" w:space="0"/>
              <w:right w:val="single" w:color="000000" w:sz="4" w:space="0"/>
            </w:tcBorders>
            <w:vAlign w:val="center"/>
          </w:tcPr>
          <w:p w14:paraId="416973C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121.3</w:t>
            </w:r>
          </w:p>
        </w:tc>
        <w:tc>
          <w:tcPr>
            <w:tcW w:w="1134" w:type="dxa"/>
            <w:tcBorders>
              <w:top w:val="single" w:color="000000" w:sz="4" w:space="0"/>
              <w:left w:val="single" w:color="000000" w:sz="4" w:space="0"/>
              <w:bottom w:val="single" w:color="000000" w:sz="4" w:space="0"/>
              <w:right w:val="single" w:color="000000" w:sz="4" w:space="0"/>
            </w:tcBorders>
            <w:vAlign w:val="center"/>
          </w:tcPr>
          <w:p w14:paraId="058C367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6F127FDE">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125.4</w:t>
            </w:r>
          </w:p>
        </w:tc>
        <w:tc>
          <w:tcPr>
            <w:tcW w:w="1560" w:type="dxa"/>
            <w:tcBorders>
              <w:top w:val="single" w:color="000000" w:sz="4" w:space="0"/>
              <w:left w:val="single" w:color="000000" w:sz="4" w:space="0"/>
              <w:bottom w:val="single" w:color="000000" w:sz="4" w:space="0"/>
              <w:right w:val="single" w:color="000000" w:sz="4" w:space="0"/>
            </w:tcBorders>
            <w:vAlign w:val="center"/>
          </w:tcPr>
          <w:p w14:paraId="33C0658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3.4%</w:t>
            </w:r>
          </w:p>
        </w:tc>
        <w:tc>
          <w:tcPr>
            <w:tcW w:w="1382" w:type="dxa"/>
            <w:tcBorders>
              <w:top w:val="single" w:color="000000" w:sz="4" w:space="0"/>
              <w:left w:val="single" w:color="000000" w:sz="4" w:space="0"/>
              <w:bottom w:val="single" w:color="000000" w:sz="4" w:space="0"/>
              <w:right w:val="single" w:color="000000" w:sz="4" w:space="0"/>
            </w:tcBorders>
            <w:vAlign w:val="center"/>
          </w:tcPr>
          <w:p w14:paraId="7703CBE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-0.7%</w:t>
            </w:r>
          </w:p>
        </w:tc>
      </w:tr>
      <w:tr w14:paraId="332437B2">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1481DCB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55</w:t>
            </w:r>
          </w:p>
        </w:tc>
        <w:tc>
          <w:tcPr>
            <w:tcW w:w="1642" w:type="dxa"/>
            <w:tcBorders>
              <w:top w:val="single" w:color="000000" w:sz="4" w:space="0"/>
              <w:left w:val="single" w:color="000000" w:sz="4" w:space="0"/>
              <w:bottom w:val="single" w:color="000000" w:sz="4" w:space="0"/>
              <w:right w:val="single" w:color="000000" w:sz="4" w:space="0"/>
            </w:tcBorders>
            <w:vAlign w:val="center"/>
          </w:tcPr>
          <w:p w14:paraId="54FD78F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120.8</w:t>
            </w:r>
          </w:p>
        </w:tc>
        <w:tc>
          <w:tcPr>
            <w:tcW w:w="1134" w:type="dxa"/>
            <w:tcBorders>
              <w:top w:val="single" w:color="000000" w:sz="4" w:space="0"/>
              <w:left w:val="single" w:color="000000" w:sz="4" w:space="0"/>
              <w:bottom w:val="single" w:color="000000" w:sz="4" w:space="0"/>
              <w:right w:val="single" w:color="000000" w:sz="4" w:space="0"/>
            </w:tcBorders>
            <w:vAlign w:val="center"/>
          </w:tcPr>
          <w:p w14:paraId="1B16EB82">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5955A82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122.7</w:t>
            </w:r>
          </w:p>
        </w:tc>
        <w:tc>
          <w:tcPr>
            <w:tcW w:w="1560" w:type="dxa"/>
            <w:tcBorders>
              <w:top w:val="single" w:color="000000" w:sz="4" w:space="0"/>
              <w:left w:val="single" w:color="000000" w:sz="4" w:space="0"/>
              <w:bottom w:val="single" w:color="000000" w:sz="4" w:space="0"/>
              <w:right w:val="single" w:color="000000" w:sz="4" w:space="0"/>
            </w:tcBorders>
            <w:vAlign w:val="center"/>
          </w:tcPr>
          <w:p w14:paraId="4620B669">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1.6%</w:t>
            </w:r>
          </w:p>
        </w:tc>
        <w:tc>
          <w:tcPr>
            <w:tcW w:w="1382" w:type="dxa"/>
            <w:tcBorders>
              <w:top w:val="single" w:color="000000" w:sz="4" w:space="0"/>
              <w:left w:val="single" w:color="000000" w:sz="4" w:space="0"/>
              <w:bottom w:val="single" w:color="000000" w:sz="4" w:space="0"/>
              <w:right w:val="single" w:color="000000" w:sz="4" w:space="0"/>
            </w:tcBorders>
            <w:vAlign w:val="center"/>
          </w:tcPr>
          <w:p w14:paraId="7002B69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-2.5%</w:t>
            </w:r>
          </w:p>
        </w:tc>
      </w:tr>
      <w:tr w14:paraId="0DFEC0FE">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0F7963FC">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60</w:t>
            </w:r>
          </w:p>
        </w:tc>
        <w:tc>
          <w:tcPr>
            <w:tcW w:w="1642" w:type="dxa"/>
            <w:tcBorders>
              <w:top w:val="single" w:color="000000" w:sz="4" w:space="0"/>
              <w:left w:val="single" w:color="000000" w:sz="4" w:space="0"/>
              <w:bottom w:val="single" w:color="000000" w:sz="4" w:space="0"/>
              <w:right w:val="single" w:color="000000" w:sz="4" w:space="0"/>
            </w:tcBorders>
            <w:vAlign w:val="center"/>
          </w:tcPr>
          <w:p w14:paraId="3EFD767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120.1</w:t>
            </w:r>
          </w:p>
        </w:tc>
        <w:tc>
          <w:tcPr>
            <w:tcW w:w="1134" w:type="dxa"/>
            <w:tcBorders>
              <w:top w:val="single" w:color="000000" w:sz="4" w:space="0"/>
              <w:left w:val="single" w:color="000000" w:sz="4" w:space="0"/>
              <w:bottom w:val="single" w:color="000000" w:sz="4" w:space="0"/>
              <w:right w:val="single" w:color="000000" w:sz="4" w:space="0"/>
            </w:tcBorders>
            <w:vAlign w:val="center"/>
          </w:tcPr>
          <w:p w14:paraId="1CB77F3D">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46991B3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119.5</w:t>
            </w:r>
          </w:p>
        </w:tc>
        <w:tc>
          <w:tcPr>
            <w:tcW w:w="1560" w:type="dxa"/>
            <w:tcBorders>
              <w:top w:val="single" w:color="000000" w:sz="4" w:space="0"/>
              <w:left w:val="single" w:color="000000" w:sz="4" w:space="0"/>
              <w:bottom w:val="single" w:color="000000" w:sz="4" w:space="0"/>
              <w:right w:val="single" w:color="000000" w:sz="4" w:space="0"/>
            </w:tcBorders>
            <w:vAlign w:val="center"/>
          </w:tcPr>
          <w:p w14:paraId="7AB678A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-0.5%</w:t>
            </w:r>
          </w:p>
        </w:tc>
        <w:tc>
          <w:tcPr>
            <w:tcW w:w="1382" w:type="dxa"/>
            <w:tcBorders>
              <w:top w:val="single" w:color="000000" w:sz="4" w:space="0"/>
              <w:left w:val="single" w:color="000000" w:sz="4" w:space="0"/>
              <w:bottom w:val="single" w:color="000000" w:sz="4" w:space="0"/>
              <w:right w:val="single" w:color="000000" w:sz="4" w:space="0"/>
            </w:tcBorders>
            <w:vAlign w:val="center"/>
          </w:tcPr>
          <w:p w14:paraId="453E9C4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-4.6%</w:t>
            </w:r>
          </w:p>
        </w:tc>
      </w:tr>
      <w:tr w14:paraId="71EEFD62">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013E784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65</w:t>
            </w:r>
          </w:p>
        </w:tc>
        <w:tc>
          <w:tcPr>
            <w:tcW w:w="1642" w:type="dxa"/>
            <w:tcBorders>
              <w:top w:val="single" w:color="000000" w:sz="4" w:space="0"/>
              <w:left w:val="single" w:color="000000" w:sz="4" w:space="0"/>
              <w:bottom w:val="single" w:color="000000" w:sz="4" w:space="0"/>
              <w:right w:val="single" w:color="000000" w:sz="4" w:space="0"/>
            </w:tcBorders>
            <w:vAlign w:val="center"/>
          </w:tcPr>
          <w:p w14:paraId="5499623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118.1</w:t>
            </w:r>
          </w:p>
        </w:tc>
        <w:tc>
          <w:tcPr>
            <w:tcW w:w="1134" w:type="dxa"/>
            <w:tcBorders>
              <w:top w:val="single" w:color="000000" w:sz="4" w:space="0"/>
              <w:left w:val="single" w:color="000000" w:sz="4" w:space="0"/>
              <w:bottom w:val="single" w:color="000000" w:sz="4" w:space="0"/>
              <w:right w:val="single" w:color="000000" w:sz="4" w:space="0"/>
            </w:tcBorders>
            <w:vAlign w:val="center"/>
          </w:tcPr>
          <w:p w14:paraId="1B59755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51F7EACA">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116.0</w:t>
            </w:r>
          </w:p>
        </w:tc>
        <w:tc>
          <w:tcPr>
            <w:tcW w:w="1560" w:type="dxa"/>
            <w:tcBorders>
              <w:top w:val="single" w:color="000000" w:sz="4" w:space="0"/>
              <w:left w:val="single" w:color="000000" w:sz="4" w:space="0"/>
              <w:bottom w:val="single" w:color="000000" w:sz="4" w:space="0"/>
              <w:right w:val="single" w:color="000000" w:sz="4" w:space="0"/>
            </w:tcBorders>
            <w:vAlign w:val="center"/>
          </w:tcPr>
          <w:p w14:paraId="2EF7333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-1.8%</w:t>
            </w:r>
          </w:p>
        </w:tc>
        <w:tc>
          <w:tcPr>
            <w:tcW w:w="1382" w:type="dxa"/>
            <w:tcBorders>
              <w:top w:val="single" w:color="000000" w:sz="4" w:space="0"/>
              <w:left w:val="single" w:color="000000" w:sz="4" w:space="0"/>
              <w:bottom w:val="single" w:color="000000" w:sz="4" w:space="0"/>
              <w:right w:val="single" w:color="000000" w:sz="4" w:space="0"/>
            </w:tcBorders>
            <w:vAlign w:val="center"/>
          </w:tcPr>
          <w:p w14:paraId="5C743A57">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-5.9%</w:t>
            </w:r>
          </w:p>
        </w:tc>
      </w:tr>
      <w:tr w14:paraId="0666EEFB">
        <w:tblPrEx>
          <w:tblCellMar>
            <w:top w:w="0" w:type="dxa"/>
            <w:left w:w="108" w:type="dxa"/>
            <w:bottom w:w="0" w:type="dxa"/>
            <w:right w:w="108" w:type="dxa"/>
          </w:tblCellMar>
        </w:tblPrEx>
        <w:trPr>
          <w:jc w:val="right"/>
        </w:trPr>
        <w:tc>
          <w:tcPr>
            <w:tcW w:w="1256" w:type="dxa"/>
            <w:tcBorders>
              <w:top w:val="single" w:color="000000" w:sz="4" w:space="0"/>
              <w:left w:val="single" w:color="000000" w:sz="4" w:space="0"/>
              <w:bottom w:val="single" w:color="000000" w:sz="4" w:space="0"/>
              <w:right w:val="single" w:color="000000" w:sz="4" w:space="0"/>
            </w:tcBorders>
            <w:vAlign w:val="center"/>
          </w:tcPr>
          <w:p w14:paraId="787B9A60">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70</w:t>
            </w:r>
          </w:p>
        </w:tc>
        <w:tc>
          <w:tcPr>
            <w:tcW w:w="1642" w:type="dxa"/>
            <w:tcBorders>
              <w:top w:val="single" w:color="000000" w:sz="4" w:space="0"/>
              <w:left w:val="single" w:color="000000" w:sz="4" w:space="0"/>
              <w:bottom w:val="single" w:color="000000" w:sz="4" w:space="0"/>
              <w:right w:val="single" w:color="000000" w:sz="4" w:space="0"/>
            </w:tcBorders>
            <w:vAlign w:val="center"/>
          </w:tcPr>
          <w:p w14:paraId="38DE45C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117.5</w:t>
            </w:r>
          </w:p>
        </w:tc>
        <w:tc>
          <w:tcPr>
            <w:tcW w:w="1134" w:type="dxa"/>
            <w:tcBorders>
              <w:top w:val="single" w:color="000000" w:sz="4" w:space="0"/>
              <w:left w:val="single" w:color="000000" w:sz="4" w:space="0"/>
              <w:bottom w:val="single" w:color="000000" w:sz="4" w:space="0"/>
              <w:right w:val="single" w:color="000000" w:sz="4" w:space="0"/>
            </w:tcBorders>
            <w:vAlign w:val="center"/>
          </w:tcPr>
          <w:p w14:paraId="42284C6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30</w:t>
            </w:r>
          </w:p>
        </w:tc>
        <w:tc>
          <w:tcPr>
            <w:tcW w:w="1842" w:type="dxa"/>
            <w:tcBorders>
              <w:top w:val="single" w:color="000000" w:sz="4" w:space="0"/>
              <w:left w:val="single" w:color="000000" w:sz="4" w:space="0"/>
              <w:bottom w:val="single" w:color="000000" w:sz="4" w:space="0"/>
              <w:right w:val="single" w:color="000000" w:sz="4" w:space="0"/>
            </w:tcBorders>
            <w:vAlign w:val="center"/>
          </w:tcPr>
          <w:p w14:paraId="1F079BC1">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115.6</w:t>
            </w:r>
          </w:p>
        </w:tc>
        <w:tc>
          <w:tcPr>
            <w:tcW w:w="1560" w:type="dxa"/>
            <w:tcBorders>
              <w:top w:val="single" w:color="000000" w:sz="4" w:space="0"/>
              <w:left w:val="single" w:color="000000" w:sz="4" w:space="0"/>
              <w:bottom w:val="single" w:color="000000" w:sz="4" w:space="0"/>
              <w:right w:val="single" w:color="000000" w:sz="4" w:space="0"/>
            </w:tcBorders>
            <w:vAlign w:val="center"/>
          </w:tcPr>
          <w:p w14:paraId="01EF0585">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-1.6%</w:t>
            </w:r>
          </w:p>
        </w:tc>
        <w:tc>
          <w:tcPr>
            <w:tcW w:w="1382" w:type="dxa"/>
            <w:tcBorders>
              <w:top w:val="single" w:color="000000" w:sz="4" w:space="0"/>
              <w:left w:val="single" w:color="000000" w:sz="4" w:space="0"/>
              <w:bottom w:val="single" w:color="000000" w:sz="4" w:space="0"/>
              <w:right w:val="single" w:color="000000" w:sz="4" w:space="0"/>
            </w:tcBorders>
            <w:vAlign w:val="center"/>
          </w:tcPr>
          <w:p w14:paraId="49B380F4">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-5.7%</w:t>
            </w:r>
          </w:p>
        </w:tc>
      </w:tr>
    </w:tbl>
    <w:p w14:paraId="35EAD19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在510(k)申报资料中，应包括研究设计的详细描述、研究中收集的所有数据的列表、上述总结表以及研究结论的总结。</w:t>
      </w:r>
    </w:p>
    <w:p w14:paraId="0C77C030">
      <w:pPr>
        <w:pStyle w:val="28"/>
        <w:rPr>
          <w:rFonts w:eastAsia="宋体"/>
          <w:lang w:eastAsia="zh-CN"/>
        </w:rPr>
      </w:pPr>
      <w:bookmarkStart w:id="22" w:name="_Toc91871176"/>
      <w:r>
        <w:rPr>
          <w:rFonts w:eastAsia="宋体" w:cs="宋体"/>
          <w:lang w:eastAsia="zh-CN"/>
        </w:rPr>
        <w:t>E.</w:t>
      </w:r>
      <w:r>
        <w:rPr>
          <w:rFonts w:eastAsia="宋体" w:cs="宋体"/>
          <w:lang w:eastAsia="zh-CN"/>
        </w:rPr>
        <w:tab/>
      </w:r>
      <w:r>
        <w:rPr>
          <w:rFonts w:hint="eastAsia" w:eastAsia="宋体" w:cs="宋体"/>
          <w:highlight w:val="yellow"/>
          <w:lang w:eastAsia="zh-CN"/>
        </w:rPr>
        <w:t>稳定性研究</w:t>
      </w:r>
      <w:bookmarkEnd w:id="22"/>
    </w:p>
    <w:p w14:paraId="6914B09A">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与专业医疗保健环境相比，家庭使用环境中用于降低错误结果风险的控制措施通常较少。此外，用户通常未受过培训，可能不知道如何识别或处理错误结果。因此，人们认为供非专业用户在家中使用的器械的设计使得错误结果的风险远低于实验室检测。因此，应证明SMBG的设计</w:t>
      </w:r>
      <w:r>
        <w:rPr>
          <w:rFonts w:hint="eastAsia" w:ascii="Times New Roman" w:hAnsi="Times New Roman" w:eastAsia="宋体" w:cs="宋体"/>
          <w:sz w:val="24"/>
          <w:lang w:eastAsia="zh-CN"/>
        </w:rPr>
        <w:t>稳定</w:t>
      </w:r>
      <w:r>
        <w:rPr>
          <w:rFonts w:ascii="Times New Roman" w:hAnsi="Times New Roman" w:eastAsia="宋体" w:cs="宋体"/>
          <w:sz w:val="24"/>
          <w:lang w:eastAsia="zh-CN"/>
        </w:rPr>
        <w:t>（即，对环境和使用变化不敏感），并且所有已知的误差来源已经通过详细的风险评估进行了评估，并得到了有效控制。一般而言，应使用弹性研究</w:t>
      </w:r>
      <w:r>
        <w:rPr>
          <w:rFonts w:hint="eastAsia" w:ascii="Times New Roman" w:hAnsi="Times New Roman" w:eastAsia="宋体" w:cs="宋体"/>
          <w:sz w:val="24"/>
          <w:lang w:eastAsia="zh-CN"/>
        </w:rPr>
        <w:t>来证</w:t>
      </w:r>
      <w:r>
        <w:rPr>
          <w:rFonts w:ascii="Times New Roman" w:hAnsi="Times New Roman" w:eastAsia="宋体" w:cs="宋体"/>
          <w:sz w:val="24"/>
          <w:lang w:eastAsia="zh-CN"/>
        </w:rPr>
        <w:t>明设计稳定，同时应使用风险管理来证明误差来源的识别和有效控制（尽管两者并不相互排斥）。</w:t>
      </w:r>
    </w:p>
    <w:p w14:paraId="59C7E281">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6449518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大多数风险控制措施应是故障安全措施或故障报警机制。故障安全机制的实例是锁定功能，它可确保在检测条件不适当时，例如当存在组件故障或操作人员错误时，检测系统不提供结果。其</w:t>
      </w:r>
      <w:r>
        <w:rPr>
          <w:rFonts w:hint="eastAsia" w:ascii="Times New Roman" w:hAnsi="Times New Roman" w:eastAsia="宋体" w:cs="宋体"/>
          <w:sz w:val="24"/>
          <w:lang w:eastAsia="zh-CN"/>
        </w:rPr>
        <w:t>它</w:t>
      </w:r>
      <w:r>
        <w:rPr>
          <w:rFonts w:ascii="Times New Roman" w:hAnsi="Times New Roman" w:eastAsia="宋体" w:cs="宋体"/>
          <w:sz w:val="24"/>
          <w:lang w:eastAsia="zh-CN"/>
        </w:rPr>
        <w:t>实例有系统内防止操作人员错误的措施，例如防止试纸条放置不当的导轨或通道。本机构建议，只要技术上可行，检测系统设计都应包含故障安全机制。对某些风险，如果故障安全机制在技术上不可行，则应使用故障报警机制。故障报警机制会将任何检测系统故障或问题通知操作人员。可能包括内部程序控制或电子控制等措施。具有这种机制的器械允许操作人员纠正错误，或使操作人员注意到由于错误导致的不可靠结果。例如，在结果超出可报告范围（例如，极高或极低的血糖结果）和结果为临界值的情况下，器械应给出诸如“超出范围上限”或“超出范围下限”的</w:t>
      </w:r>
      <w:r>
        <w:rPr>
          <w:rFonts w:hint="eastAsia" w:ascii="Times New Roman" w:hAnsi="Times New Roman" w:eastAsia="宋体" w:cs="宋体"/>
          <w:sz w:val="24"/>
          <w:lang w:eastAsia="zh-CN"/>
        </w:rPr>
        <w:t>信息</w:t>
      </w:r>
      <w:r>
        <w:rPr>
          <w:rFonts w:ascii="Times New Roman" w:hAnsi="Times New Roman" w:eastAsia="宋体" w:cs="宋体"/>
          <w:sz w:val="24"/>
          <w:lang w:eastAsia="zh-CN"/>
        </w:rPr>
        <w:t>。</w:t>
      </w:r>
    </w:p>
    <w:p w14:paraId="6BCA23C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利用稳定性研究或强调SMBG操作边界的研究来确认检测系统在应力条件下对性能变化的不敏感性。在适当情况下，还应使用稳定性研究来验证和/或确认控制措施在操作极限下的有效性。稳定性研究对于SMBG尤为重要，因为这些器械预期供非专业用户使用，会遇到各种可能影响系统性能的环境和用户相关条件。</w:t>
      </w:r>
    </w:p>
    <w:p w14:paraId="44CC554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为了确定SMBG器械的所有相关稳定性研究，建议执行系统全面的风险分析，以识别所有潜在的误差来源（包括检测系统失效和操作人员错误），并确定可能导致危险情况风险</w:t>
      </w:r>
      <w:r>
        <w:rPr>
          <w:rFonts w:hint="eastAsia" w:ascii="Times New Roman" w:hAnsi="Times New Roman" w:eastAsia="宋体" w:cs="宋体"/>
          <w:sz w:val="24"/>
          <w:lang w:eastAsia="zh-CN"/>
        </w:rPr>
        <w:t>的错误</w:t>
      </w:r>
      <w:r>
        <w:rPr>
          <w:rFonts w:ascii="Times New Roman" w:hAnsi="Times New Roman" w:eastAsia="宋体" w:cs="宋体"/>
          <w:sz w:val="24"/>
          <w:lang w:eastAsia="zh-CN"/>
        </w:rPr>
        <w:t>。然后，应确定控制措施，包括能降低这些误差来源风险的失效安全机制和失效警报机制。控制措施实施后，应（1）验证每个控制措施已正确实施，以及（2）验证和/或确认每个控制措施的有效性。在适当情况下，应使用稳定性研究来验证和/或确认这些控制措施的有效性。</w:t>
      </w:r>
    </w:p>
    <w:p w14:paraId="6DF13F1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本机构确定了应该开展并纳入SMBG的510(k)申报资料中的几项稳定性研究</w:t>
      </w:r>
      <w:r>
        <w:rPr>
          <w:rFonts w:hint="eastAsia" w:ascii="Times New Roman" w:hAnsi="Times New Roman" w:eastAsia="宋体" w:cs="宋体"/>
          <w:sz w:val="24"/>
          <w:lang w:eastAsia="zh-CN"/>
        </w:rPr>
        <w:t>，详情参见下文</w:t>
      </w:r>
      <w:r>
        <w:rPr>
          <w:rFonts w:ascii="Times New Roman" w:hAnsi="Times New Roman" w:eastAsia="宋体" w:cs="宋体"/>
          <w:sz w:val="24"/>
          <w:lang w:eastAsia="zh-CN"/>
        </w:rPr>
        <w:t>。同时，本机构鼓励继续执行风险分析，以确定器械是否包含任何需要通过其他稳定性研究进行确认的独特或新特性。</w:t>
      </w:r>
    </w:p>
    <w:p w14:paraId="5B0F3B1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如果在SMBG在稳定性研究中性能达不到要求，建议提供通过全面风险分析确定的依据，说明在该稳定性研究中表现出足够的性能对于器械的安全和有效使用并不重要</w:t>
      </w:r>
      <w:r>
        <w:rPr>
          <w:rFonts w:hint="eastAsia" w:ascii="Times New Roman" w:hAnsi="Times New Roman" w:eastAsia="宋体" w:cs="宋体"/>
          <w:sz w:val="24"/>
          <w:lang w:eastAsia="zh-CN"/>
        </w:rPr>
        <w:t>的理由</w:t>
      </w:r>
      <w:r>
        <w:rPr>
          <w:rFonts w:ascii="Times New Roman" w:hAnsi="Times New Roman" w:eastAsia="宋体" w:cs="宋体"/>
          <w:sz w:val="24"/>
          <w:lang w:eastAsia="zh-CN"/>
        </w:rPr>
        <w:t>，或者指出其他已实现的、经过确认的控制机制。FDA将审查所有依据，以确定提议的风险缓解措施是否足以保护患者。</w:t>
      </w:r>
    </w:p>
    <w:p w14:paraId="7259B4A5">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67403F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以下稳定性研究，验证应包括性能试验；但是，可以在510(k)申报资料中提供证明文件，表明稳定性研究是根据FDA认可的行业标准开展的。建议提供所执行试验的类型、遵循的参考标准、验收标准以及SMBG是否通过这些验收标准。</w:t>
      </w:r>
    </w:p>
    <w:p w14:paraId="5BCA1065">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建议以这种方式开展的稳定性研究为：</w:t>
      </w:r>
    </w:p>
    <w:p w14:paraId="71E3ECE6">
      <w:pPr>
        <w:pStyle w:val="22"/>
        <w:numPr>
          <w:ilvl w:val="0"/>
          <w:numId w:val="8"/>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机械振动试验</w:t>
      </w:r>
    </w:p>
    <w:p w14:paraId="50041735">
      <w:pPr>
        <w:pStyle w:val="22"/>
        <w:numPr>
          <w:ilvl w:val="0"/>
          <w:numId w:val="8"/>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冲击试验</w:t>
      </w:r>
    </w:p>
    <w:p w14:paraId="47FB3C92">
      <w:pPr>
        <w:pStyle w:val="22"/>
        <w:numPr>
          <w:ilvl w:val="0"/>
          <w:numId w:val="8"/>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电磁兼容性（EMC）测试</w:t>
      </w:r>
    </w:p>
    <w:p w14:paraId="0C4F9199">
      <w:pPr>
        <w:pStyle w:val="22"/>
        <w:numPr>
          <w:ilvl w:val="0"/>
          <w:numId w:val="8"/>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静电放电/电磁干扰试验</w:t>
      </w:r>
    </w:p>
    <w:p w14:paraId="639144EA">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除非另有说明，建议在510(k)申报资料中明确说明对器械进行的所有稳定性研究。510(k)申报资料中应包含以下属性的详细描述：</w:t>
      </w:r>
    </w:p>
    <w:p w14:paraId="570DB6E6">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研究目的</w:t>
      </w:r>
    </w:p>
    <w:p w14:paraId="442E72FE">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研究方案</w:t>
      </w:r>
    </w:p>
    <w:p w14:paraId="44FE4128">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将样本加到试纸上的方法</w:t>
      </w:r>
    </w:p>
    <w:p w14:paraId="69166EED">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样本类型和所用抗凝剂</w:t>
      </w:r>
    </w:p>
    <w:p w14:paraId="1CAA5A4F">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研究结果</w:t>
      </w:r>
    </w:p>
    <w:p w14:paraId="4E5744DE">
      <w:pPr>
        <w:pStyle w:val="22"/>
        <w:numPr>
          <w:ilvl w:val="0"/>
          <w:numId w:val="9"/>
        </w:numPr>
        <w:adjustRightInd w:val="0"/>
        <w:snapToGrid w:val="0"/>
        <w:spacing w:before="120" w:beforeLines="50" w:line="300" w:lineRule="auto"/>
        <w:ind w:left="1276"/>
        <w:jc w:val="both"/>
        <w:rPr>
          <w:rFonts w:ascii="Times New Roman" w:hAnsi="Times New Roman" w:eastAsia="宋体" w:cs="Times New Roman"/>
          <w:snapToGrid w:val="0"/>
          <w:sz w:val="24"/>
          <w:szCs w:val="24"/>
        </w:rPr>
      </w:pPr>
      <w:r>
        <w:rPr>
          <w:rFonts w:ascii="Times New Roman" w:hAnsi="Times New Roman" w:eastAsia="宋体" w:cs="宋体"/>
          <w:sz w:val="24"/>
        </w:rPr>
        <w:t>从研究中得出的结论</w:t>
      </w:r>
    </w:p>
    <w:p w14:paraId="04F9CD0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还确定了其他稳定性研究（如下所述），建议开展这些研究以证明系统在预期使用环境中有足够的性能。这些建议的稳定性研究以及建议的研究设计列表见下文第1-8小节。这些稳定性研究应使用新鲜静脉或毛细血管全血样本而非质控品溶液进行。</w:t>
      </w:r>
    </w:p>
    <w:p w14:paraId="7E3B0085">
      <w:pPr>
        <w:pStyle w:val="31"/>
        <w:rPr>
          <w:rFonts w:eastAsia="宋体"/>
          <w:u w:val="single"/>
          <w:lang w:eastAsia="zh-CN"/>
        </w:rPr>
      </w:pPr>
      <w:bookmarkStart w:id="23" w:name="_Toc91871177"/>
      <w:r>
        <w:rPr>
          <w:rFonts w:eastAsia="宋体" w:cs="宋体"/>
          <w:lang w:eastAsia="zh-CN"/>
        </w:rPr>
        <w:t>1.</w:t>
      </w:r>
      <w:r>
        <w:rPr>
          <w:rFonts w:eastAsia="宋体" w:cs="宋体"/>
          <w:lang w:eastAsia="zh-CN"/>
        </w:rPr>
        <w:tab/>
      </w:r>
      <w:r>
        <w:rPr>
          <w:rFonts w:eastAsia="宋体" w:cs="宋体"/>
          <w:u w:val="single"/>
          <w:lang w:eastAsia="zh-CN"/>
        </w:rPr>
        <w:t>试纸稳定性试验</w:t>
      </w:r>
      <w:bookmarkEnd w:id="23"/>
    </w:p>
    <w:p w14:paraId="388FE80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对所有试纸稳定性声明（包括封闭瓶和开瓶声明）执行试纸性能评估研究。应执行两项研究以支持试纸的稳定性：1）封闭瓶稳定性（货架寿命）研究，用于在涵盖建议储存条件的不同温度和湿度组合下，评估在整个声明有效期内封闭瓶储存的小瓶的建议货架寿命和条件；和2）开瓶稳定性研究，用于模拟试纸的实际使用条件，其中小瓶在声明的开瓶使用寿命期间被打开和关闭，并在涵盖建议储存条件的不同温度和湿度组合下储存。建议仅提交这些试纸稳定性评估的研究方案、验收标准以及任何已完成的研究的结论。</w:t>
      </w:r>
    </w:p>
    <w:p w14:paraId="03C4213E">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63C07D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这些研究（货架寿命和开瓶稳定性）应设计为涵盖声明的温度范围和湿度范围，并在相应声明持续时间内的不同时间点进行。应在方案中规定评估时间点（例如，1个月、3个月、2年）。可以采用实时和加速稳定性研究的组合。但是，如果提供了加速研究，则应有正在进行的实时研究，并应提供两种研究的方案和验收标准。</w:t>
      </w:r>
    </w:p>
    <w:p w14:paraId="18048A8F">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应在确定的每个时间点进行充分的精密度和准确度评价。以下仅作为此类研究的示例。通过这些评价，应证明这些研究中计算的精密度和准确度在SMBG标示的性能范围内。</w:t>
      </w:r>
    </w:p>
    <w:p w14:paraId="01445B2E">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精密度评价：</w:t>
      </w:r>
    </w:p>
    <w:p w14:paraId="366AB54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u w:val="single"/>
          <w:lang w:eastAsia="zh-CN"/>
        </w:rPr>
        <w:t>使用质控品时的精密度</w:t>
      </w:r>
    </w:p>
    <w:p w14:paraId="36B915CC">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该研究应在5天内完成，并使用血糖质控品。研究中应至少使用2台血糖仪，对于每个质控品血糖水平，每台血糖仪应至少进行10次测量。</w:t>
      </w:r>
    </w:p>
    <w:p w14:paraId="75861078">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u w:val="single"/>
          <w:lang w:eastAsia="zh-CN"/>
        </w:rPr>
        <w:t>使用全血样本时的精密度</w:t>
      </w:r>
    </w:p>
    <w:p w14:paraId="3332B1DF">
      <w:pPr>
        <w:adjustRightInd w:val="0"/>
        <w:snapToGrid w:val="0"/>
        <w:spacing w:before="120" w:beforeLines="50" w:line="300" w:lineRule="auto"/>
        <w:ind w:left="849" w:leftChars="38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该研究应使用涵盖SMBG声明的测量范围的全血样本。可以通过加入葡萄糖或糖酵解来处理样本，以评价系统声明的测量范围的极限值。研究中应至少使用2台血糖仪，对于每个血糖水平，每台血糖仪应至少进行10次测量。</w:t>
      </w:r>
    </w:p>
    <w:p w14:paraId="3ADE8F9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i/>
          <w:sz w:val="24"/>
          <w:lang w:eastAsia="zh-CN"/>
        </w:rPr>
        <w:t>准确度评价：</w:t>
      </w:r>
    </w:p>
    <w:p w14:paraId="0737EDC0">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该研究应使用涵盖SMBG声明的测量范围的全血样本进行。可以向样本中加入已知浓度的葡萄糖，或使其糖酵解，以达到所需的浓度，从而评价系统测量范围的极限值。应使用SMBG测量涵盖声明测量范围的血糖浓度（例如，30-50、100-150、200-300、350-500 mg/dL），并与对照方法测得的值进行比较。</w:t>
      </w:r>
    </w:p>
    <w:p w14:paraId="07A89A52">
      <w:pPr>
        <w:pStyle w:val="31"/>
        <w:rPr>
          <w:rFonts w:eastAsia="宋体"/>
          <w:u w:val="single"/>
          <w:lang w:eastAsia="zh-CN"/>
        </w:rPr>
      </w:pPr>
      <w:bookmarkStart w:id="24" w:name="_Toc91871178"/>
      <w:r>
        <w:rPr>
          <w:rFonts w:eastAsia="宋体" w:cs="宋体"/>
          <w:lang w:eastAsia="zh-CN"/>
        </w:rPr>
        <w:t>2.</w:t>
      </w:r>
      <w:r>
        <w:rPr>
          <w:rFonts w:eastAsia="宋体" w:cs="宋体"/>
          <w:lang w:eastAsia="zh-CN"/>
        </w:rPr>
        <w:tab/>
      </w:r>
      <w:r>
        <w:rPr>
          <w:rFonts w:eastAsia="宋体" w:cs="宋体"/>
          <w:u w:val="single"/>
          <w:lang w:eastAsia="zh-CN"/>
        </w:rPr>
        <w:t>系统工作条件测试</w:t>
      </w:r>
      <w:bookmarkEnd w:id="24"/>
    </w:p>
    <w:p w14:paraId="6A34FEC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开展研究，评估SMBG在各种工作温度和湿度条件下使用时的性能。这些研究的设计应代表SMBG用户所经历的实际使用条件。测试的温度和湿度范围不仅应涵盖可充分反映预期使用环境的以及器械标签中规定的工作条件范围，还应包括声明工作条件范围以外的范围，以对SMBG进行压力测试。测试应包括四个极端温度和湿度组合（高温/低湿度、低温/高湿度、高温/高湿度、低温/低湿度）或其他测试组合（如果可以提供适当理由）。应将在不同工作温度和湿度条件下使用候选器械测量全血样本得到的结果与在正常条件（例如23°C、相对湿度40%）下使用候选器械获得的值进行比较。</w:t>
      </w:r>
    </w:p>
    <w:p w14:paraId="0E1EDA9C">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0B53CA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如果本文件中概述的温度和湿度研究仅使用经过适当储存条件和可能的最长运输时间（均由制造商规定）的包装好的血糖仪和血糖试纸，则无需对试纸和血糖仪运输和储存条件单独测试。</w:t>
      </w:r>
    </w:p>
    <w:p w14:paraId="53E3E1E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510(k)申报资料中还应包括从统计分析中排除的任何已识别的离群值、离群值识别方法和离群值研究结果的总结。</w:t>
      </w:r>
    </w:p>
    <w:p w14:paraId="685E2698">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本机构还鼓励制造商</w:t>
      </w:r>
      <w:r>
        <w:rPr>
          <w:rFonts w:hint="eastAsia" w:ascii="Times New Roman" w:hAnsi="Times New Roman" w:eastAsia="宋体" w:cs="宋体"/>
          <w:sz w:val="24"/>
          <w:lang w:eastAsia="zh-CN"/>
        </w:rPr>
        <w:t>设法</w:t>
      </w:r>
      <w:r>
        <w:rPr>
          <w:rFonts w:ascii="Times New Roman" w:hAnsi="Times New Roman" w:eastAsia="宋体" w:cs="宋体"/>
          <w:sz w:val="24"/>
          <w:lang w:eastAsia="zh-CN"/>
        </w:rPr>
        <w:t>将温度和/或湿度检测器放入试纸容器中，以便在试纸未按建议和经过确认的条件正确搬运或储存时提醒用户。</w:t>
      </w:r>
    </w:p>
    <w:p w14:paraId="7EFB8096">
      <w:pPr>
        <w:pStyle w:val="31"/>
        <w:rPr>
          <w:rFonts w:eastAsia="宋体"/>
          <w:lang w:eastAsia="zh-CN"/>
        </w:rPr>
      </w:pPr>
      <w:bookmarkStart w:id="25" w:name="_Toc91871179"/>
      <w:r>
        <w:rPr>
          <w:rFonts w:eastAsia="宋体" w:cs="宋体"/>
          <w:lang w:eastAsia="zh-CN"/>
        </w:rPr>
        <w:t>3.</w:t>
      </w:r>
      <w:r>
        <w:rPr>
          <w:rFonts w:eastAsia="宋体" w:cs="宋体"/>
          <w:lang w:eastAsia="zh-CN"/>
        </w:rPr>
        <w:tab/>
      </w:r>
      <w:r>
        <w:rPr>
          <w:rFonts w:eastAsia="宋体" w:cs="宋体"/>
          <w:u w:val="single"/>
          <w:lang w:eastAsia="zh-CN"/>
        </w:rPr>
        <w:t>海拔影响</w:t>
      </w:r>
      <w:bookmarkEnd w:id="25"/>
    </w:p>
    <w:p w14:paraId="118105DD">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相对于海平面，高海拔包括一组复杂的环境差异，并可能引起多种生理变化，其中任何一个或所有变化都可能干扰SMBG的性能。例如，高海拔通常涉及极端温度和湿度，可导致血细胞比容和血压的变化。在美国，SMBG的预期使用环境包括高海拔条件，因此，制造商应研究海拔对其SMBG器械的影响，或提供海拔对其SMBG性能无影响的依据。</w:t>
      </w:r>
    </w:p>
    <w:p w14:paraId="1DCA9D1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海拔影响研究应将在不同海拔条件下用候选器械测量全血样本的结果与在</w:t>
      </w:r>
      <w:r>
        <w:rPr>
          <w:rFonts w:hint="eastAsia" w:ascii="Times New Roman" w:hAnsi="Times New Roman" w:eastAsia="宋体" w:cs="宋体"/>
          <w:sz w:val="24"/>
          <w:lang w:eastAsia="zh-CN"/>
        </w:rPr>
        <w:t>正常</w:t>
      </w:r>
      <w:r>
        <w:rPr>
          <w:rFonts w:ascii="Times New Roman" w:hAnsi="Times New Roman" w:eastAsia="宋体" w:cs="宋体"/>
          <w:sz w:val="24"/>
          <w:lang w:eastAsia="zh-CN"/>
        </w:rPr>
        <w:t>条件（例如，海平面）下使用候选器械获得的值进行比较。这些研究还应包括压力变化。基于氧张力而不是压力变化的研究不够充分，因为氧张力只是随海拔高度变化的一个分量。可以通过物理增加海拔高度（例如，在飞机上、高山上）或通过在加压室内模拟海拔高度增加和大气条件来实现海拔压力变化。结果应支持器械的海拔高度标签声明。应提供术语定义，例如“海平面”。海平面的定义不应超过500英尺。应至少在海平面以上10,000英尺处检测SMBG。</w:t>
      </w:r>
    </w:p>
    <w:p w14:paraId="00F86E58">
      <w:pPr>
        <w:pStyle w:val="31"/>
        <w:rPr>
          <w:rFonts w:eastAsia="宋体"/>
          <w:u w:val="single"/>
          <w:lang w:eastAsia="zh-CN"/>
        </w:rPr>
      </w:pPr>
      <w:bookmarkStart w:id="26" w:name="_Toc91871180"/>
      <w:r>
        <w:rPr>
          <w:rFonts w:eastAsia="宋体" w:cs="宋体"/>
          <w:lang w:eastAsia="zh-CN"/>
        </w:rPr>
        <w:t>4.</w:t>
      </w:r>
      <w:r>
        <w:rPr>
          <w:rFonts w:eastAsia="宋体" w:cs="宋体"/>
          <w:lang w:eastAsia="zh-CN"/>
        </w:rPr>
        <w:tab/>
      </w:r>
      <w:r>
        <w:rPr>
          <w:rFonts w:eastAsia="宋体" w:cs="宋体"/>
          <w:u w:val="single"/>
          <w:lang w:eastAsia="zh-CN"/>
        </w:rPr>
        <w:t>超出测量范围的样本的错误代码</w:t>
      </w:r>
      <w:bookmarkEnd w:id="26"/>
    </w:p>
    <w:p w14:paraId="55ADDF4A">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bookmarkStart w:id="27" w:name="Sample_Perturbation_Study"/>
      <w:bookmarkEnd w:id="27"/>
      <w:bookmarkStart w:id="28" w:name="Intermittent_Sampling"/>
      <w:bookmarkEnd w:id="28"/>
      <w:bookmarkStart w:id="29" w:name="Short_Sample_Detection"/>
      <w:bookmarkEnd w:id="29"/>
    </w:p>
    <w:p w14:paraId="0A5BF201">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45FC05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应执行充分的分析，证明当测量的血糖浓度超出SMBG声明的测量范围时血糖仪可以提供适当的错误代码，并将这些结果纳入510(k)申报资料中。</w:t>
      </w:r>
    </w:p>
    <w:p w14:paraId="6861C6DA">
      <w:pPr>
        <w:pStyle w:val="31"/>
        <w:rPr>
          <w:rFonts w:eastAsia="宋体"/>
          <w:u w:val="single"/>
          <w:lang w:eastAsia="zh-CN"/>
        </w:rPr>
      </w:pPr>
      <w:bookmarkStart w:id="30" w:name="_Toc91871181"/>
      <w:r>
        <w:rPr>
          <w:rFonts w:eastAsia="宋体" w:cs="宋体"/>
          <w:lang w:eastAsia="zh-CN"/>
        </w:rPr>
        <w:t>5.</w:t>
      </w:r>
      <w:r>
        <w:rPr>
          <w:rFonts w:eastAsia="宋体" w:cs="宋体"/>
          <w:lang w:eastAsia="zh-CN"/>
        </w:rPr>
        <w:tab/>
      </w:r>
      <w:r>
        <w:rPr>
          <w:rFonts w:eastAsia="宋体" w:cs="宋体"/>
          <w:u w:val="single"/>
          <w:lang w:eastAsia="zh-CN"/>
        </w:rPr>
        <w:t>样品短缺检测</w:t>
      </w:r>
      <w:bookmarkEnd w:id="30"/>
    </w:p>
    <w:p w14:paraId="0A169AD3">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不足量的样本（血液体积减少的样本）测量血糖可能导致结果不准确。为了避免结果不准确的风险，SMBG应在不足量的血液样本被加到试纸上能够检测到，并且应该不向用户提供结果。不足量样本检测系统不应依赖于用户的目视验证。</w:t>
      </w:r>
    </w:p>
    <w:p w14:paraId="203E4D4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将检测样本归类为不足量样本的体积标准取决于SMBG器械。在不足量样本检测研究中，应使用已知血糖浓度在以下三个范围内的血样：50-65 mg/dL、100-120 mg/dL和200-250 mg/dL。应在上述每种血糖浓度下用候选SMBG检测血样。应将用候选器械获得的结果与在正常条件（例如声明的最小样本体积）下使用候选器械获得的结果进行比较。应在器械上对体积连续减少的血样进行测量，直至SMBG生成错误或检测结果超出声明的器械性能特征范围。在510(k)申报资料中，应描述候选器械在检测和正常条件下获得的结果，并包括针对每种血糖浓度范围检测的样本体积。</w:t>
      </w:r>
    </w:p>
    <w:p w14:paraId="112727E3">
      <w:pPr>
        <w:pStyle w:val="31"/>
        <w:rPr>
          <w:rFonts w:eastAsia="宋体"/>
          <w:u w:val="single"/>
          <w:lang w:eastAsia="zh-CN"/>
        </w:rPr>
      </w:pPr>
      <w:bookmarkStart w:id="31" w:name="_Toc91871182"/>
      <w:r>
        <w:rPr>
          <w:rFonts w:eastAsia="宋体" w:cs="宋体"/>
          <w:lang w:eastAsia="zh-CN"/>
        </w:rPr>
        <w:t>6.</w:t>
      </w:r>
      <w:r>
        <w:rPr>
          <w:rFonts w:eastAsia="宋体" w:cs="宋体"/>
          <w:lang w:eastAsia="zh-CN"/>
        </w:rPr>
        <w:tab/>
      </w:r>
      <w:r>
        <w:rPr>
          <w:rFonts w:eastAsia="宋体" w:cs="宋体"/>
          <w:u w:val="single"/>
          <w:lang w:eastAsia="zh-CN"/>
        </w:rPr>
        <w:t>样本扰动研究</w:t>
      </w:r>
      <w:bookmarkEnd w:id="31"/>
    </w:p>
    <w:p w14:paraId="2631DE72">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用户将适当体积的血液加到试纸上进行血糖测量，但在测量开始期间发生诸如从试纸上吸走血液、试纸弹开或血糖仪弹开等事件时会发生样本扰动，并改变初始加样体积。应通过样本扰动研究充分展示SMBG如何处理样本扰动。</w:t>
      </w:r>
    </w:p>
    <w:p w14:paraId="622F90F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在样本扰动研究中，应将样本加到试纸上，然后在SMBG器械开始读取样本之后、测量完成之前扰动试纸。样本扰动研究应使用已知血糖浓度在以下三个范围内的血样：50-65 mg/dL、100-120 mg/dL和200-250 mg/dL。应在510(k)申报资料中描述研究方案，包括扰动试验样本的具体方法，以及候选器械结果与在</w:t>
      </w:r>
      <w:r>
        <w:rPr>
          <w:rFonts w:hint="eastAsia" w:ascii="Times New Roman" w:hAnsi="Times New Roman" w:eastAsia="宋体" w:cs="宋体"/>
          <w:sz w:val="24"/>
          <w:lang w:eastAsia="zh-CN"/>
        </w:rPr>
        <w:t>正常</w:t>
      </w:r>
      <w:r>
        <w:rPr>
          <w:rFonts w:ascii="Times New Roman" w:hAnsi="Times New Roman" w:eastAsia="宋体" w:cs="宋体"/>
          <w:sz w:val="24"/>
          <w:lang w:eastAsia="zh-CN"/>
        </w:rPr>
        <w:t>条件（例如没有扰动的试纸）下使用候选器械测得的结果的比较。</w:t>
      </w:r>
    </w:p>
    <w:p w14:paraId="55D9D7A8">
      <w:pPr>
        <w:pStyle w:val="31"/>
        <w:rPr>
          <w:rFonts w:eastAsia="宋体"/>
          <w:u w:val="single"/>
          <w:lang w:eastAsia="zh-CN"/>
        </w:rPr>
      </w:pPr>
      <w:bookmarkStart w:id="32" w:name="_Toc91871183"/>
      <w:r>
        <w:rPr>
          <w:rFonts w:eastAsia="宋体" w:cs="宋体"/>
          <w:lang w:eastAsia="zh-CN"/>
        </w:rPr>
        <w:t>7.</w:t>
      </w:r>
      <w:r>
        <w:rPr>
          <w:rFonts w:eastAsia="宋体" w:cs="宋体"/>
          <w:lang w:eastAsia="zh-CN"/>
        </w:rPr>
        <w:tab/>
      </w:r>
      <w:r>
        <w:rPr>
          <w:rFonts w:eastAsia="宋体" w:cs="宋体"/>
          <w:u w:val="single"/>
          <w:lang w:eastAsia="zh-CN"/>
        </w:rPr>
        <w:t>间歇采样</w:t>
      </w:r>
      <w:bookmarkEnd w:id="32"/>
    </w:p>
    <w:p w14:paraId="21332625">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当将不足量样本加到试纸上、开始血糖测量且用户在血糖测量完成之前向试纸上添加更多样本时，间歇采样发生。应通过开展间歇采样研究充分展示SMBG如何处理间歇采样。</w:t>
      </w:r>
    </w:p>
    <w:p w14:paraId="424B1250">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50A5BBB">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间歇采样研究应使用已知血糖浓度在以下三个范围内的血样：50-65、100-120和200-250 mg/dL。应执行代表实际事件的间歇采样研究。例如，应在开始样本测量之前将大约一半的样本加到试纸上，然后在设定时间后（例如样本开始读取后）将另一半样本加到试纸上。对于允许将第二份血样添加到血糖试纸中而不产生错误信息的系统，应在样本开始读取之后、测量完成之前检测声明的整个第二次加样期间的不同时间延迟。应在510(k)申报资料中描述器械如何响应这种情况，包括是否报告结果、该结果是否准确（相对于正常条件，例如声明的最小样本体积）以及何时报告错误代码。</w:t>
      </w:r>
    </w:p>
    <w:p w14:paraId="096DF884">
      <w:pPr>
        <w:pStyle w:val="31"/>
        <w:rPr>
          <w:rFonts w:eastAsia="宋体"/>
          <w:u w:val="single"/>
          <w:lang w:eastAsia="zh-CN"/>
        </w:rPr>
      </w:pPr>
      <w:bookmarkStart w:id="33" w:name="_Toc91871184"/>
      <w:r>
        <w:rPr>
          <w:rFonts w:eastAsia="宋体" w:cs="宋体"/>
          <w:lang w:eastAsia="zh-CN"/>
        </w:rPr>
        <w:t>8.</w:t>
      </w:r>
      <w:r>
        <w:rPr>
          <w:rFonts w:eastAsia="宋体" w:cs="宋体"/>
          <w:lang w:eastAsia="zh-CN"/>
        </w:rPr>
        <w:tab/>
      </w:r>
      <w:r>
        <w:rPr>
          <w:rFonts w:eastAsia="宋体" w:cs="宋体"/>
          <w:u w:val="single"/>
          <w:lang w:eastAsia="zh-CN"/>
        </w:rPr>
        <w:t>使用用过的试纸进行检测</w:t>
      </w:r>
      <w:bookmarkEnd w:id="33"/>
    </w:p>
    <w:p w14:paraId="5AE3A2CA">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开展研究，证明在插入用过的试纸时，SMBG器械的性能。本机构建议SMBG器械的设计应能自动识别用过的试纸的插入。将用过的试纸插入SMBG中时不应向用户提供血糖测量结果。如果SMBG包含自动识别用过的试纸的功能，应开展稳定性研究，以证明该识别系统的功能。在510(k)申报资料中，应提供研究方案、验收标准和用过的试纸研究的结果。</w:t>
      </w:r>
    </w:p>
    <w:p w14:paraId="69E8FA1E">
      <w:pPr>
        <w:pStyle w:val="28"/>
        <w:rPr>
          <w:rFonts w:eastAsia="宋体"/>
          <w:lang w:eastAsia="zh-CN"/>
        </w:rPr>
      </w:pPr>
      <w:bookmarkStart w:id="34" w:name="_Toc91871185"/>
      <w:r>
        <w:rPr>
          <w:rFonts w:eastAsia="宋体" w:cs="宋体"/>
          <w:lang w:eastAsia="zh-CN"/>
        </w:rPr>
        <w:t>F.</w:t>
      </w:r>
      <w:r>
        <w:rPr>
          <w:rFonts w:eastAsia="宋体" w:cs="宋体"/>
          <w:lang w:eastAsia="zh-CN"/>
        </w:rPr>
        <w:tab/>
      </w:r>
      <w:r>
        <w:rPr>
          <w:rFonts w:eastAsia="宋体" w:cs="宋体"/>
          <w:lang w:eastAsia="zh-CN"/>
        </w:rPr>
        <w:t>血糖仪校准和质控品</w:t>
      </w:r>
      <w:bookmarkEnd w:id="34"/>
    </w:p>
    <w:p w14:paraId="29D04FD4">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用户可以使用外部质控品溶液定期检查SMBG和试纸是否能够一起正常工作以及器械是否正确运行。应提倡用户使用外部质控品溶液。应在标签中规定至少两个可供用户使用的质控品水平。</w:t>
      </w:r>
    </w:p>
    <w:p w14:paraId="37934651">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提供的质控品溶液不应采用描述性方式标示，例如“低”、“正常”或“高”，因为这可能会误导用户；用户可能误以为标签上的“正常”意味着即使质控品浓度不在该用户的医师推荐的正常范围内，该值也是临床正常值。因此，质控品溶液应以非描述性方式标示（例如，用数字表示：1、2、3）。</w:t>
      </w:r>
    </w:p>
    <w:p w14:paraId="27FD6426">
      <w:pPr>
        <w:adjustRightInd w:val="0"/>
        <w:snapToGrid w:val="0"/>
        <w:spacing w:before="120" w:beforeLines="50" w:line="300" w:lineRule="auto"/>
        <w:ind w:left="425" w:leftChars="19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510(k)申报资料中应描述候选器械如何自动或由用户手动识别和区分质控品与患者样本，并解释系统如何补偿试纸批次之间的差异（即，对于每个试纸批次，血糖仪</w:t>
      </w:r>
      <w:r>
        <w:rPr>
          <w:rFonts w:hint="eastAsia" w:ascii="Times New Roman" w:hAnsi="Times New Roman" w:eastAsia="宋体" w:cs="宋体"/>
          <w:sz w:val="24"/>
          <w:lang w:eastAsia="zh-CN"/>
        </w:rPr>
        <w:t>的</w:t>
      </w:r>
      <w:r>
        <w:rPr>
          <w:rFonts w:ascii="Times New Roman" w:hAnsi="Times New Roman" w:eastAsia="宋体" w:cs="宋体"/>
          <w:sz w:val="24"/>
          <w:lang w:eastAsia="zh-CN"/>
        </w:rPr>
        <w:t>校准或编码</w:t>
      </w:r>
      <w:r>
        <w:rPr>
          <w:rFonts w:hint="eastAsia" w:ascii="Times New Roman" w:hAnsi="Times New Roman" w:eastAsia="宋体" w:cs="宋体"/>
          <w:sz w:val="24"/>
          <w:lang w:eastAsia="zh-CN"/>
        </w:rPr>
        <w:t>规则</w:t>
      </w:r>
      <w:r>
        <w:rPr>
          <w:rFonts w:ascii="Times New Roman" w:hAnsi="Times New Roman" w:eastAsia="宋体" w:cs="宋体"/>
          <w:sz w:val="24"/>
          <w:lang w:eastAsia="zh-CN"/>
        </w:rPr>
        <w:t>）。</w:t>
      </w:r>
    </w:p>
    <w:p w14:paraId="3EF7CDA9">
      <w:pPr>
        <w:pStyle w:val="27"/>
        <w:rPr>
          <w:rFonts w:eastAsia="宋体"/>
          <w:lang w:eastAsia="zh-CN"/>
        </w:rPr>
      </w:pPr>
      <w:bookmarkStart w:id="35" w:name="_Toc91871186"/>
      <w:r>
        <w:rPr>
          <w:rFonts w:eastAsia="宋体" w:cs="宋体"/>
          <w:lang w:eastAsia="zh-CN"/>
        </w:rPr>
        <w:t>VII.</w:t>
      </w:r>
      <w:r>
        <w:rPr>
          <w:rFonts w:eastAsia="宋体" w:cs="宋体"/>
          <w:lang w:eastAsia="zh-CN"/>
        </w:rPr>
        <w:tab/>
      </w:r>
      <w:r>
        <w:rPr>
          <w:rFonts w:eastAsia="宋体" w:cs="宋体"/>
          <w:lang w:eastAsia="zh-CN"/>
        </w:rPr>
        <w:t>试纸批次放行标准</w:t>
      </w:r>
      <w:bookmarkEnd w:id="35"/>
    </w:p>
    <w:p w14:paraId="4399ADA7">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9A7B0A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应设置试纸批次放行标准，以确保SMBG试纸的性能一致。应在510(k)申报资料中提供批放行标准的描述和采样方案的总结。此外，还应解释系统补偿试纸批次或试纸类型之间差异</w:t>
      </w:r>
      <w:r>
        <w:rPr>
          <w:rFonts w:hint="eastAsia" w:ascii="Times New Roman" w:hAnsi="Times New Roman" w:eastAsia="宋体" w:cs="宋体"/>
          <w:sz w:val="24"/>
          <w:lang w:eastAsia="zh-CN"/>
        </w:rPr>
        <w:t>的方法</w:t>
      </w:r>
      <w:r>
        <w:rPr>
          <w:rFonts w:ascii="Times New Roman" w:hAnsi="Times New Roman" w:eastAsia="宋体" w:cs="宋体"/>
          <w:sz w:val="24"/>
          <w:lang w:eastAsia="zh-CN"/>
        </w:rPr>
        <w:t>。</w:t>
      </w:r>
    </w:p>
    <w:p w14:paraId="3131512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建议选择适合SMBG器械操作的采样方案，以检测每个出厂试纸批次。试纸批次放行标准的设计应确保放行的所有批次均符合标示的</w:t>
      </w:r>
      <w:r>
        <w:rPr>
          <w:rFonts w:hint="eastAsia" w:ascii="Times New Roman" w:hAnsi="Times New Roman" w:eastAsia="宋体" w:cs="宋体"/>
          <w:i/>
          <w:iCs/>
          <w:sz w:val="24"/>
          <w:lang w:eastAsia="zh-CN"/>
        </w:rPr>
        <w:t>由预期用户操作时</w:t>
      </w:r>
      <w:r>
        <w:rPr>
          <w:rFonts w:ascii="Times New Roman" w:hAnsi="Times New Roman" w:eastAsia="宋体" w:cs="宋体"/>
          <w:sz w:val="24"/>
          <w:lang w:eastAsia="zh-CN"/>
        </w:rPr>
        <w:t>的SMBG性能。因此，这些标准通常应比性能研究中用于评价总误差的标准更严格，以便在预期用户人群中实现目标性能。</w:t>
      </w:r>
    </w:p>
    <w:p w14:paraId="4C035ED8">
      <w:pPr>
        <w:pStyle w:val="27"/>
        <w:rPr>
          <w:rFonts w:eastAsia="宋体"/>
          <w:lang w:eastAsia="zh-CN"/>
        </w:rPr>
      </w:pPr>
      <w:bookmarkStart w:id="36" w:name="_Toc91871187"/>
      <w:r>
        <w:rPr>
          <w:rFonts w:eastAsia="宋体" w:cs="宋体"/>
          <w:lang w:eastAsia="zh-CN"/>
        </w:rPr>
        <w:t>VIII.</w:t>
      </w:r>
      <w:r>
        <w:rPr>
          <w:rFonts w:eastAsia="宋体" w:cs="宋体"/>
          <w:lang w:eastAsia="zh-CN"/>
        </w:rPr>
        <w:tab/>
      </w:r>
      <w:r>
        <w:rPr>
          <w:rFonts w:eastAsia="宋体" w:cs="宋体"/>
          <w:lang w:eastAsia="zh-CN"/>
        </w:rPr>
        <w:t>第三方试纸</w:t>
      </w:r>
      <w:bookmarkEnd w:id="36"/>
    </w:p>
    <w:p w14:paraId="385A733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第三方试纸是指由血糖仪生产和分销公司以外的公司制造和分销的试纸。第三方试纸制造商应确保他们了解血糖仪的任何设计变更，因为这些变更可能会影响试纸与血糖仪的兼容性。由于试纸和血糖仪作为整体系统工作，因此第三方试纸制造商应在其510(k)申报资料中充分说明将如何降低因血糖仪设计变更而导致的不正确结果的风险。有效确保第三方试纸制造商了解血糖仪的任何设计变更的一种方式是第三方试纸制造商与血糖仪制造商之间达成协议。</w:t>
      </w:r>
    </w:p>
    <w:p w14:paraId="0102CA4B">
      <w:pPr>
        <w:pStyle w:val="27"/>
        <w:rPr>
          <w:rFonts w:eastAsia="宋体"/>
          <w:lang w:eastAsia="zh-CN"/>
        </w:rPr>
      </w:pPr>
      <w:bookmarkStart w:id="37" w:name="_Toc91871188"/>
      <w:r>
        <w:rPr>
          <w:rFonts w:eastAsia="宋体" w:cs="宋体"/>
          <w:lang w:eastAsia="zh-CN"/>
        </w:rPr>
        <w:t>IX.</w:t>
      </w:r>
      <w:r>
        <w:rPr>
          <w:rFonts w:eastAsia="宋体" w:cs="宋体"/>
          <w:lang w:eastAsia="zh-CN"/>
        </w:rPr>
        <w:tab/>
      </w:r>
      <w:r>
        <w:rPr>
          <w:rFonts w:eastAsia="宋体" w:cs="宋体"/>
          <w:lang w:eastAsia="zh-CN"/>
        </w:rPr>
        <w:t>软件</w:t>
      </w:r>
      <w:bookmarkEnd w:id="37"/>
    </w:p>
    <w:p w14:paraId="6317536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对于SMBG及其组件和配件的软件描述，建议查阅标题为《</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宋体"/>
          <w:snapToGrid w:val="0"/>
          <w:color w:val="0000FF"/>
          <w:sz w:val="24"/>
          <w:szCs w:val="24"/>
          <w:u w:val="single" w:color="0000FF"/>
          <w:lang w:eastAsia="zh-CN"/>
        </w:rPr>
        <w:t>医疗器械软件上市前申报资料内容指南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一般而言，FDA将血糖仪归为中等风险器械，因为血糖结果将被用作治疗的基础，包括由患者或医疗服务提供者确定胰岛素剂量。错误的血糖结果或软件未能检测到错误可能导致糖尿病管理不当。（另外，关于510(k)申报资料中的软件描述，参见上文第V节。）</w:t>
      </w:r>
    </w:p>
    <w:p w14:paraId="10E733B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此外，对于任何此类变更，制造商应制定并实施适当的网络安全控制措施，以确保器械的网络安全并维护器械的功能和安全性。以下在线资源可能有助于制定和维护这些网络安全控制措施：</w:t>
      </w:r>
    </w:p>
    <w:p w14:paraId="10B7D99C">
      <w:pPr>
        <w:pStyle w:val="22"/>
        <w:numPr>
          <w:ilvl w:val="0"/>
          <w:numId w:val="10"/>
        </w:numPr>
        <w:adjustRightInd w:val="0"/>
        <w:snapToGrid w:val="0"/>
        <w:spacing w:before="120" w:beforeLines="50" w:line="300" w:lineRule="auto"/>
        <w:ind w:left="851"/>
        <w:jc w:val="both"/>
        <w:rPr>
          <w:rFonts w:ascii="Times New Roman" w:hAnsi="Times New Roman" w:eastAsia="宋体" w:cs="Times New Roman"/>
          <w:snapToGrid w:val="0"/>
          <w:color w:val="0000FF"/>
          <w:sz w:val="24"/>
          <w:szCs w:val="24"/>
          <w:u w:val="single" w:color="0000FF"/>
          <w:lang w:eastAsia="zh-CN"/>
        </w:rPr>
      </w:pPr>
      <w:r>
        <w:rPr>
          <w:rFonts w:ascii="Times New Roman" w:hAnsi="Times New Roman" w:eastAsia="宋体" w:cs="宋体"/>
          <w:sz w:val="24"/>
          <w:lang w:eastAsia="zh-CN"/>
        </w:rPr>
        <w:t>FDA指南《</w:t>
      </w:r>
      <w:r>
        <w:rPr>
          <w:rFonts w:ascii="Times New Roman" w:hAnsi="Times New Roman" w:eastAsia="宋体" w:cs="宋体"/>
          <w:color w:val="0000FF"/>
          <w:sz w:val="24"/>
          <w:u w:val="single"/>
          <w:lang w:eastAsia="zh-CN"/>
        </w:rPr>
        <w:t>医疗器械网络安全管理上市前提交资料</w:t>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10</w:t>
      </w:r>
    </w:p>
    <w:p w14:paraId="7823FF40">
      <w:pPr>
        <w:tabs>
          <w:tab w:val="left" w:pos="999"/>
          <w:tab w:val="left" w:pos="1000"/>
        </w:tabs>
        <w:adjustRightInd w:val="0"/>
        <w:snapToGrid w:val="0"/>
        <w:spacing w:before="120" w:beforeLines="50" w:line="300" w:lineRule="auto"/>
        <w:jc w:val="both"/>
        <w:rPr>
          <w:rFonts w:ascii="Times New Roman" w:hAnsi="Times New Roman" w:eastAsia="宋体" w:cs="宋体"/>
          <w:sz w:val="24"/>
          <w:lang w:eastAsia="zh-CN"/>
        </w:rPr>
      </w:pPr>
    </w:p>
    <w:p w14:paraId="18042254">
      <w:pPr>
        <w:tabs>
          <w:tab w:val="left" w:pos="999"/>
          <w:tab w:val="left" w:pos="1000"/>
        </w:tabs>
        <w:adjustRightInd w:val="0"/>
        <w:snapToGrid w:val="0"/>
        <w:spacing w:before="120" w:beforeLines="50" w:line="300" w:lineRule="auto"/>
        <w:jc w:val="both"/>
        <w:rPr>
          <w:rFonts w:ascii="Times New Roman" w:hAnsi="Times New Roman" w:eastAsia="宋体" w:cs="宋体"/>
          <w:sz w:val="24"/>
          <w:lang w:eastAsia="zh-CN"/>
        </w:rPr>
      </w:pPr>
    </w:p>
    <w:p w14:paraId="71A5AF87">
      <w:pPr>
        <w:tabs>
          <w:tab w:val="left" w:pos="999"/>
          <w:tab w:val="left" w:pos="1000"/>
        </w:tabs>
        <w:adjustRightInd w:val="0"/>
        <w:snapToGrid w:val="0"/>
        <w:spacing w:before="120" w:beforeLines="50" w:line="300" w:lineRule="auto"/>
        <w:jc w:val="both"/>
        <w:rPr>
          <w:rFonts w:ascii="Times New Roman" w:hAnsi="Times New Roman" w:eastAsia="宋体" w:cs="宋体"/>
          <w:sz w:val="24"/>
          <w:lang w:eastAsia="zh-CN"/>
        </w:rPr>
      </w:pPr>
    </w:p>
    <w:p w14:paraId="7C4BC507">
      <w:pPr>
        <w:tabs>
          <w:tab w:val="left" w:pos="999"/>
          <w:tab w:val="left" w:pos="10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01D28878">
      <w:pPr>
        <w:tabs>
          <w:tab w:val="left" w:pos="215"/>
        </w:tabs>
        <w:adjustRightInd w:val="0"/>
        <w:snapToGrid w:val="0"/>
        <w:spacing w:before="36" w:beforeLines="15" w:line="276" w:lineRule="auto"/>
        <w:jc w:val="both"/>
        <w:rPr>
          <w:rFonts w:ascii="Times New Roman" w:hAnsi="Times New Roman" w:eastAsia="宋体" w:cs="Times New Roman"/>
          <w:snapToGrid w:val="0"/>
          <w:color w:val="000000"/>
          <w:sz w:val="21"/>
          <w:szCs w:val="21"/>
          <w:lang w:eastAsia="zh-CN"/>
        </w:rPr>
      </w:pPr>
      <w:r>
        <w:rPr>
          <w:rFonts w:ascii="Times New Roman" w:hAnsi="Times New Roman" w:eastAsia="宋体" w:cs="宋体"/>
          <w:sz w:val="21"/>
          <w:vertAlign w:val="superscript"/>
        </w:rPr>
        <w:t>9</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"https://www.fda.gov/regulatory-information/search-fda-guidance-documents/%20guidance-content-" </w:instrText>
      </w:r>
      <w:r>
        <w:fldChar w:fldCharType="separate"/>
      </w:r>
      <w:r>
        <w:rPr>
          <w:rStyle w:val="19"/>
          <w:rFonts w:ascii="Times New Roman" w:hAnsi="Times New Roman" w:eastAsia="宋体" w:cs="宋体"/>
          <w:snapToGrid w:val="0"/>
          <w:sz w:val="21"/>
          <w:szCs w:val="21"/>
          <w:u w:color="0000FF"/>
        </w:rPr>
        <w:t>https://www.fda.gov/regulatory-information/search-fda-guidance-documents/</w:t>
      </w:r>
      <w:r>
        <w:rPr>
          <w:rStyle w:val="19"/>
          <w:rFonts w:hint="eastAsia" w:ascii="Times New Roman" w:hAnsi="Times New Roman" w:eastAsia="宋体" w:cs="宋体"/>
          <w:snapToGrid w:val="0"/>
          <w:sz w:val="21"/>
          <w:szCs w:val="21"/>
          <w:u w:color="0000FF"/>
          <w:lang w:eastAsia="zh-CN"/>
        </w:rPr>
        <w:t xml:space="preserve"> </w:t>
      </w:r>
      <w:r>
        <w:rPr>
          <w:rStyle w:val="19"/>
          <w:rFonts w:ascii="Times New Roman" w:hAnsi="Times New Roman" w:eastAsia="宋体" w:cs="宋体"/>
          <w:snapToGrid w:val="0"/>
          <w:sz w:val="21"/>
          <w:szCs w:val="21"/>
          <w:u w:color="0000FF"/>
        </w:rPr>
        <w:t>guidance-content-</w:t>
      </w:r>
      <w:r>
        <w:rPr>
          <w:rStyle w:val="19"/>
          <w:rFonts w:ascii="Times New Roman" w:hAnsi="Times New Roman" w:eastAsia="宋体" w:cs="宋体"/>
          <w:snapToGrid w:val="0"/>
          <w:sz w:val="21"/>
          <w:szCs w:val="21"/>
          <w:u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宋体"/>
          <w:snapToGrid w:val="0"/>
          <w:color w:val="0000FF"/>
          <w:sz w:val="21"/>
          <w:szCs w:val="21"/>
          <w:u w:val="single" w:color="0000FF"/>
        </w:rPr>
        <w:t>premarket-submissions-software-contained-medical-devices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04CA1EDE">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10</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"https://www.fda.gov/regulatory-information/search-fda-guidance-documents/%20content-premarket-" </w:instrText>
      </w:r>
      <w:r>
        <w:fldChar w:fldCharType="separate"/>
      </w:r>
      <w:r>
        <w:rPr>
          <w:rStyle w:val="19"/>
          <w:rFonts w:ascii="Times New Roman" w:hAnsi="Times New Roman" w:eastAsia="宋体" w:cs="宋体"/>
          <w:snapToGrid w:val="0"/>
          <w:sz w:val="21"/>
          <w:szCs w:val="21"/>
          <w:u w:color="0000FF"/>
        </w:rPr>
        <w:t>https://www.fda.gov/regulatory-information/search-fda-guidance-documents/</w:t>
      </w:r>
      <w:r>
        <w:rPr>
          <w:rStyle w:val="19"/>
          <w:rFonts w:hint="eastAsia" w:ascii="Times New Roman" w:hAnsi="Times New Roman" w:eastAsia="宋体" w:cs="宋体"/>
          <w:snapToGrid w:val="0"/>
          <w:sz w:val="21"/>
          <w:szCs w:val="21"/>
          <w:u w:color="0000FF"/>
          <w:lang w:eastAsia="zh-CN"/>
        </w:rPr>
        <w:t xml:space="preserve"> </w:t>
      </w:r>
      <w:r>
        <w:rPr>
          <w:rStyle w:val="19"/>
          <w:rFonts w:ascii="Times New Roman" w:hAnsi="Times New Roman" w:eastAsia="宋体" w:cs="宋体"/>
          <w:snapToGrid w:val="0"/>
          <w:sz w:val="21"/>
          <w:szCs w:val="21"/>
          <w:u w:color="0000FF"/>
        </w:rPr>
        <w:t>content-premarket-</w:t>
      </w:r>
      <w:r>
        <w:rPr>
          <w:rStyle w:val="19"/>
          <w:rFonts w:ascii="Times New Roman" w:hAnsi="Times New Roman" w:eastAsia="宋体" w:cs="宋体"/>
          <w:snapToGrid w:val="0"/>
          <w:sz w:val="21"/>
          <w:szCs w:val="21"/>
          <w:u w:color="0000FF"/>
        </w:rPr>
        <w:fldChar w:fldCharType="end"/>
      </w:r>
      <w:r>
        <w:fldChar w:fldCharType="begin"/>
      </w:r>
      <w:r>
        <w:instrText xml:space="preserve"> HYPERLINK "https://www.fda.gov/regulatory-information/search-fda-guidance-documents/content-premarket-submissions-management-cybersecurity-medical-devices-0" \h </w:instrText>
      </w:r>
      <w:r>
        <w:fldChar w:fldCharType="separate"/>
      </w:r>
      <w:r>
        <w:rPr>
          <w:rFonts w:ascii="Times New Roman" w:hAnsi="Times New Roman" w:eastAsia="宋体" w:cs="宋体"/>
          <w:snapToGrid w:val="0"/>
          <w:color w:val="0000FF"/>
          <w:sz w:val="21"/>
          <w:szCs w:val="21"/>
          <w:u w:val="single" w:color="0000FF"/>
        </w:rPr>
        <w:t>submissions-management-cybersecurity-medical-devices-0</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590ED1C3">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28920FA2">
      <w:pPr>
        <w:pStyle w:val="22"/>
        <w:numPr>
          <w:ilvl w:val="0"/>
          <w:numId w:val="11"/>
        </w:numPr>
        <w:tabs>
          <w:tab w:val="left" w:pos="999"/>
          <w:tab w:val="left" w:pos="1000"/>
        </w:tabs>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FDA指南《</w:t>
      </w:r>
      <w:r>
        <w:fldChar w:fldCharType="begin"/>
      </w:r>
      <w:r>
        <w:rPr>
          <w:lang w:eastAsia="zh-CN"/>
        </w:rPr>
        <w:instrText xml:space="preserve"> HYPERLINK "https://www.fda.gov/regulatory-information/search-fda-guidance-documents/postmarket-management-cybersecurity-medical-devices" \h </w:instrText>
      </w:r>
      <w:r>
        <w:fldChar w:fldCharType="separate"/>
      </w:r>
      <w:r>
        <w:rPr>
          <w:rFonts w:ascii="Times New Roman" w:hAnsi="Times New Roman" w:eastAsia="宋体" w:cs="宋体"/>
          <w:snapToGrid w:val="0"/>
          <w:color w:val="0000FF"/>
          <w:sz w:val="24"/>
          <w:szCs w:val="24"/>
          <w:u w:val="single" w:color="0000FF"/>
          <w:lang w:eastAsia="zh-CN"/>
        </w:rPr>
        <w:t>医疗器械网络安全的上市后管理</w:t>
      </w:r>
      <w:r>
        <w:rPr>
          <w:rFonts w:ascii="宋体" w:hAnsi="宋体" w:eastAsia="宋体" w:cs="宋体"/>
          <w:snapToGrid w:val="0"/>
          <w:color w:val="0000FF"/>
          <w:sz w:val="24"/>
          <w:szCs w:val="24"/>
          <w:u w:val="single" w:color="0000FF"/>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11</w:t>
      </w:r>
    </w:p>
    <w:p w14:paraId="066E7054">
      <w:pPr>
        <w:pStyle w:val="22"/>
        <w:numPr>
          <w:ilvl w:val="0"/>
          <w:numId w:val="11"/>
        </w:numPr>
        <w:tabs>
          <w:tab w:val="left" w:pos="999"/>
          <w:tab w:val="left" w:pos="1000"/>
        </w:tabs>
        <w:adjustRightInd w:val="0"/>
        <w:snapToGrid w:val="0"/>
        <w:spacing w:before="120" w:beforeLines="50" w:line="300" w:lineRule="auto"/>
        <w:ind w:left="851"/>
        <w:jc w:val="both"/>
        <w:rPr>
          <w:rFonts w:ascii="Times New Roman" w:hAnsi="Times New Roman" w:eastAsia="宋体" w:cs="Times New Roman"/>
          <w:snapToGrid w:val="0"/>
          <w:spacing w:val="-6"/>
          <w:sz w:val="24"/>
          <w:szCs w:val="24"/>
          <w:lang w:eastAsia="zh-CN"/>
        </w:rPr>
      </w:pPr>
      <w:r>
        <w:fldChar w:fldCharType="begin"/>
      </w:r>
      <w:r>
        <w:instrText xml:space="preserve"> HYPERLINK "https://www.fda.gov/media/123052/download" \h </w:instrText>
      </w:r>
      <w:r>
        <w:fldChar w:fldCharType="separate"/>
      </w:r>
      <w:r>
        <w:rPr>
          <w:rFonts w:ascii="Times New Roman" w:hAnsi="Times New Roman" w:eastAsia="宋体" w:cs="宋体"/>
          <w:snapToGrid w:val="0"/>
          <w:color w:val="0000FF"/>
          <w:spacing w:val="-6"/>
          <w:sz w:val="24"/>
          <w:szCs w:val="24"/>
          <w:u w:val="single" w:color="0000FF"/>
          <w:lang w:eastAsia="zh-CN"/>
        </w:rPr>
        <w:t xml:space="preserve">FDA情况说明书：FDA在医疗器械网络安全中的作用 – </w:t>
      </w:r>
      <w:r>
        <w:rPr>
          <w:rFonts w:hint="eastAsia" w:ascii="Times New Roman" w:hAnsi="Times New Roman" w:eastAsia="宋体" w:cs="宋体"/>
          <w:snapToGrid w:val="0"/>
          <w:color w:val="0000FF"/>
          <w:spacing w:val="-6"/>
          <w:sz w:val="24"/>
          <w:szCs w:val="24"/>
          <w:u w:val="single" w:color="0000FF"/>
          <w:lang w:eastAsia="zh-CN"/>
        </w:rPr>
        <w:t>打破</w:t>
      </w:r>
      <w:r>
        <w:rPr>
          <w:rFonts w:ascii="Times New Roman" w:hAnsi="Times New Roman" w:eastAsia="宋体" w:cs="宋体"/>
          <w:snapToGrid w:val="0"/>
          <w:color w:val="0000FF"/>
          <w:spacing w:val="-6"/>
          <w:sz w:val="24"/>
          <w:szCs w:val="24"/>
          <w:u w:val="single" w:color="0000FF"/>
          <w:lang w:eastAsia="zh-CN"/>
        </w:rPr>
        <w:t>传言和了解事实</w:t>
      </w:r>
      <w:r>
        <w:rPr>
          <w:rFonts w:ascii="Times New Roman" w:hAnsi="Times New Roman" w:eastAsia="宋体" w:cs="宋体"/>
          <w:snapToGrid w:val="0"/>
          <w:color w:val="0000FF"/>
          <w:spacing w:val="-6"/>
          <w:sz w:val="24"/>
          <w:szCs w:val="24"/>
          <w:u w:val="single" w:color="0000FF"/>
          <w:lang w:eastAsia="zh-CN"/>
        </w:rPr>
        <w:fldChar w:fldCharType="end"/>
      </w:r>
      <w:r>
        <w:rPr>
          <w:rFonts w:ascii="Times New Roman" w:hAnsi="Times New Roman" w:eastAsia="宋体" w:cs="宋体"/>
          <w:spacing w:val="-6"/>
          <w:sz w:val="24"/>
          <w:lang w:eastAsia="zh-CN"/>
        </w:rPr>
        <w:t>。</w:t>
      </w:r>
      <w:r>
        <w:rPr>
          <w:rFonts w:ascii="Times New Roman" w:hAnsi="Times New Roman" w:eastAsia="宋体" w:cs="宋体"/>
          <w:spacing w:val="-6"/>
          <w:sz w:val="24"/>
          <w:vertAlign w:val="superscript"/>
          <w:lang w:eastAsia="zh-CN"/>
        </w:rPr>
        <w:t>12</w:t>
      </w:r>
    </w:p>
    <w:p w14:paraId="55D7FC03">
      <w:pPr>
        <w:pStyle w:val="27"/>
        <w:rPr>
          <w:rFonts w:eastAsia="宋体"/>
        </w:rPr>
      </w:pPr>
      <w:bookmarkStart w:id="38" w:name="_Toc91871189"/>
      <w:r>
        <w:rPr>
          <w:rFonts w:eastAsia="宋体" w:cs="宋体"/>
        </w:rPr>
        <w:t>X.</w:t>
      </w:r>
      <w:r>
        <w:rPr>
          <w:rFonts w:eastAsia="宋体" w:cs="宋体"/>
        </w:rPr>
        <w:tab/>
      </w:r>
      <w:bookmarkEnd w:id="38"/>
      <w:r>
        <w:rPr>
          <w:rFonts w:hint="eastAsia" w:eastAsia="宋体" w:cs="宋体"/>
          <w:lang w:eastAsia="zh-CN"/>
        </w:rPr>
        <w:t>标签</w:t>
      </w:r>
    </w:p>
    <w:p w14:paraId="59EBF37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SMBG标签包括用户手册、快速入门指南（可选）、试纸和质控品的包装说明书，以及血糖仪、试纸和质控品的包装盒和容器标签。试纸和质控品的包装说明书以及用户手册应简单、简明且易于理解。线图、插图、图标、照片、表格和图表等图形是非常有用的工具。制造商应确保在整个标签中始终使用相同的术语来标识器械及其部件，避免使用同义词或替代短语。建议参考以下文件，了解制定清晰、完整的家庭用IVD标签的重要原则：</w:t>
      </w:r>
    </w:p>
    <w:p w14:paraId="4BE7865A">
      <w:pPr>
        <w:pStyle w:val="22"/>
        <w:numPr>
          <w:ilvl w:val="0"/>
          <w:numId w:val="12"/>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标题为《</w:t>
      </w:r>
      <w:r>
        <w:fldChar w:fldCharType="begin"/>
      </w:r>
      <w:r>
        <w:rPr>
          <w:lang w:eastAsia="zh-CN"/>
        </w:rPr>
        <w:instrText xml:space="preserve"> HYPERLINK "https://www.fda.gov/regulatory-information/search-fda-guidance-documents/guidance-medical-device-patient-labeling" \h </w:instrText>
      </w:r>
      <w:r>
        <w:fldChar w:fldCharType="separate"/>
      </w:r>
      <w:r>
        <w:rPr>
          <w:rFonts w:ascii="Times New Roman" w:hAnsi="Times New Roman" w:eastAsia="宋体" w:cs="宋体"/>
          <w:snapToGrid w:val="0"/>
          <w:color w:val="0000FF"/>
          <w:sz w:val="24"/>
          <w:szCs w:val="24"/>
          <w:u w:val="single" w:color="0000FF"/>
          <w:lang w:eastAsia="zh-CN"/>
        </w:rPr>
        <w:t>医疗器械患者标签指南：行业和FDA最终指南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rPr>
        <w:t>13</w:t>
      </w:r>
    </w:p>
    <w:p w14:paraId="0C1A030A">
      <w:pPr>
        <w:pStyle w:val="22"/>
        <w:numPr>
          <w:ilvl w:val="0"/>
          <w:numId w:val="1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CLSI GP-14：</w:t>
      </w:r>
      <w:r>
        <w:rPr>
          <w:rFonts w:hint="eastAsia" w:ascii="Times New Roman" w:hAnsi="Times New Roman" w:eastAsia="宋体" w:cs="宋体"/>
          <w:i/>
          <w:sz w:val="24"/>
          <w:lang w:eastAsia="zh-CN"/>
        </w:rPr>
        <w:t>家庭用体外检测产品的标签；已批准指南。</w:t>
      </w:r>
    </w:p>
    <w:p w14:paraId="5CF35007">
      <w:pPr>
        <w:pStyle w:val="22"/>
        <w:numPr>
          <w:ilvl w:val="0"/>
          <w:numId w:val="1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FDA器械建议网站，标题为《</w:t>
      </w:r>
      <w:r>
        <w:fldChar w:fldCharType="begin"/>
      </w:r>
      <w:r>
        <w:rPr>
          <w:lang w:eastAsia="zh-CN"/>
        </w:rPr>
        <w:instrText xml:space="preserve"> HYPERLINK "https://www.fda.gov/medical-devices/device-labeling/vitro-diagnostic-device-labeling-requirements" \h </w:instrText>
      </w:r>
      <w:r>
        <w:fldChar w:fldCharType="separate"/>
      </w:r>
      <w:r>
        <w:rPr>
          <w:rFonts w:ascii="Times New Roman" w:hAnsi="Times New Roman" w:eastAsia="宋体" w:cs="宋体"/>
          <w:snapToGrid w:val="0"/>
          <w:color w:val="0000FF"/>
          <w:sz w:val="24"/>
          <w:szCs w:val="24"/>
          <w:u w:val="single" w:color="0000FF"/>
          <w:lang w:eastAsia="zh-CN"/>
        </w:rPr>
        <w:t>体外诊断标签要求</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14</w:t>
      </w:r>
    </w:p>
    <w:p w14:paraId="7D51FBA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应描述21 CFR 809.10(b)要求的技术信息，以便非专业用户能够理解该信息或找到该信息（如有必要）。详细的技术信息（例如，检测原理的化学详情或数据的统计分析）可以在单独的章节中给出，随后阐明适用于非专业用户的声明。</w:t>
      </w:r>
    </w:p>
    <w:p w14:paraId="4D2F163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在510(k)中提供的标签应当在所有方面充分满足21 CFR 807.87</w:t>
      </w:r>
      <w:r>
        <w:rPr>
          <w:rFonts w:hint="eastAsia" w:ascii="Times New Roman" w:hAnsi="Times New Roman" w:eastAsia="宋体" w:cs="宋体"/>
          <w:sz w:val="24"/>
          <w:lang w:eastAsia="zh-CN"/>
        </w:rPr>
        <w:t>(</w:t>
      </w:r>
      <w:r>
        <w:rPr>
          <w:rFonts w:ascii="Times New Roman" w:hAnsi="Times New Roman" w:eastAsia="宋体" w:cs="宋体"/>
          <w:sz w:val="24"/>
          <w:lang w:eastAsia="zh-CN"/>
        </w:rPr>
        <w:t>e)的各项要求。最终标签还必须满足21 CFR 809.10的要求。</w:t>
      </w:r>
    </w:p>
    <w:p w14:paraId="22744E2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以下各项旨在进一步协助申请方遵守21 CFR 809.10关于试纸和血糖仪标签的要求。</w:t>
      </w:r>
      <w:r>
        <w:rPr>
          <w:rFonts w:ascii="Times New Roman" w:hAnsi="Times New Roman" w:eastAsia="宋体" w:cs="宋体"/>
          <w:i/>
          <w:sz w:val="24"/>
          <w:lang w:eastAsia="zh-CN"/>
        </w:rPr>
        <w:t>体外</w:t>
      </w:r>
      <w:r>
        <w:rPr>
          <w:rFonts w:ascii="Times New Roman" w:hAnsi="Times New Roman" w:eastAsia="宋体" w:cs="宋体"/>
          <w:sz w:val="24"/>
          <w:lang w:eastAsia="zh-CN"/>
        </w:rPr>
        <w:t>诊断器械的标签要求的完整列表参见该法规。</w:t>
      </w:r>
    </w:p>
    <w:p w14:paraId="62E789B5">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79AC689">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7BF512F">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19A42A1">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5FAEA10">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5F23DE8">
      <w:pPr>
        <w:tabs>
          <w:tab w:val="left" w:pos="46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093DBBCF">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11</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"https://www.fda.gov/regulatory-information/search-fda-guidance-documents/postmarket-management-cybersecurity-medical-devices"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https://www.fda.gov/regulatory-information/search-fda-guide-documents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05AB577">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12</w:t>
      </w:r>
      <w:r>
        <w:rPr>
          <w:rFonts w:ascii="Times New Roman" w:hAnsi="Times New Roman" w:eastAsia="宋体" w:cs="宋体"/>
          <w:sz w:val="21"/>
        </w:rPr>
        <w:t xml:space="preserve"> 可登录以下网址获取：</w:t>
      </w:r>
      <w:r>
        <w:fldChar w:fldCharType="begin"/>
      </w:r>
      <w:r>
        <w:instrText xml:space="preserve"> HYPERLINK "https://www.fda.gov/media/123052/download" \h </w:instrText>
      </w:r>
      <w:r>
        <w:fldChar w:fldCharType="separate"/>
      </w:r>
      <w:r>
        <w:rPr>
          <w:rFonts w:ascii="Times New Roman" w:hAnsi="Times New Roman" w:eastAsia="宋体" w:cs="宋体"/>
          <w:snapToGrid w:val="0"/>
          <w:color w:val="0000FF"/>
          <w:sz w:val="21"/>
          <w:szCs w:val="21"/>
          <w:u w:val="single" w:color="0000FF"/>
        </w:rPr>
        <w:t>https://www.fda.gov/media/123052/download</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52F051B9">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13</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"https://www.fda.gov/regulatory-information/search-fda-guidance-documents/guidance-medical-device-patient-labeling"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https://www.fda.gov/regulatory-information/search-fda-guidance-documents/guidance-medical- device-patient-labeling</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687C0896">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14</w:t>
      </w:r>
      <w:r>
        <w:rPr>
          <w:rFonts w:ascii="Times New Roman" w:hAnsi="Times New Roman" w:eastAsia="宋体" w:cs="宋体"/>
          <w:sz w:val="21"/>
        </w:rPr>
        <w:t xml:space="preserve"> 可登录以下网址获取：</w:t>
      </w:r>
      <w:r>
        <w:fldChar w:fldCharType="begin"/>
      </w:r>
      <w:r>
        <w:instrText xml:space="preserve"> HYPERLINK "https://www.fda.gov/medical-devices/device-labeling/vitro-diagnostic-device-labeling-requirements" \h </w:instrText>
      </w:r>
      <w:r>
        <w:fldChar w:fldCharType="separate"/>
      </w:r>
      <w:r>
        <w:rPr>
          <w:rFonts w:ascii="Times New Roman" w:hAnsi="Times New Roman" w:eastAsia="宋体" w:cs="宋体"/>
          <w:snapToGrid w:val="0"/>
          <w:color w:val="0000FF"/>
          <w:sz w:val="21"/>
          <w:szCs w:val="21"/>
          <w:u w:val="single" w:color="0000FF"/>
        </w:rPr>
        <w:t>https://www.fda.gov/medical-devices/device-labeling/vitro-diagnostic-device-labeling-</w:t>
      </w:r>
      <w:r>
        <w:rPr>
          <w:rFonts w:ascii="Times New Roman" w:hAnsi="Times New Roman" w:eastAsia="宋体" w:cs="宋体"/>
          <w:snapToGrid w:val="0"/>
          <w:color w:val="0000FF"/>
          <w:sz w:val="21"/>
          <w:szCs w:val="21"/>
          <w:u w:val="single" w:color="0000FF"/>
        </w:rPr>
        <w:fldChar w:fldCharType="end"/>
      </w:r>
      <w:r>
        <w:fldChar w:fldCharType="begin"/>
      </w:r>
      <w:r>
        <w:instrText xml:space="preserve"> HYPERLINK "https://www.fda.gov/medical-devices/device-labeling/vitro-diagnostic-device-labeling-requirements" \h </w:instrText>
      </w:r>
      <w:r>
        <w:fldChar w:fldCharType="separate"/>
      </w:r>
      <w:r>
        <w:rPr>
          <w:rFonts w:ascii="Times New Roman" w:hAnsi="Times New Roman" w:eastAsia="宋体" w:cs="宋体"/>
          <w:snapToGrid w:val="0"/>
          <w:color w:val="0000FF"/>
          <w:sz w:val="21"/>
          <w:szCs w:val="21"/>
          <w:u w:val="single" w:color="0000FF"/>
        </w:rPr>
        <w:t>requirements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79624F49">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4B8899D5">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 </w:t>
      </w:r>
      <w:r>
        <w:rPr>
          <w:rFonts w:ascii="Times New Roman" w:hAnsi="Times New Roman" w:eastAsia="宋体" w:cs="宋体"/>
          <w:sz w:val="24"/>
          <w:lang w:eastAsia="zh-CN"/>
        </w:rPr>
        <w:tab/>
      </w:r>
      <w:r>
        <w:rPr>
          <w:rFonts w:ascii="Times New Roman" w:hAnsi="Times New Roman" w:eastAsia="宋体" w:cs="宋体"/>
          <w:sz w:val="24"/>
          <w:lang w:eastAsia="zh-CN"/>
        </w:rPr>
        <w:t>所有器械标签必须包含器械的专有和通用名称（21 CFR 809.10(a)(1)和21 CFR 809.10(b)(1)）。各检测系统组件的命名应确保它们能被识别为属于同一系统或产品系列（ABC血糖检测系统、ABC血糖仪、ABC血糖试纸等），以帮助识别系统组件。</w:t>
      </w:r>
    </w:p>
    <w:p w14:paraId="52825306">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2. </w:t>
      </w:r>
      <w:r>
        <w:rPr>
          <w:rFonts w:ascii="Times New Roman" w:hAnsi="Times New Roman" w:eastAsia="宋体" w:cs="宋体"/>
          <w:sz w:val="24"/>
          <w:lang w:eastAsia="zh-CN"/>
        </w:rPr>
        <w:tab/>
      </w:r>
      <w:r>
        <w:rPr>
          <w:rFonts w:ascii="Times New Roman" w:hAnsi="Times New Roman" w:eastAsia="宋体" w:cs="宋体"/>
          <w:sz w:val="24"/>
          <w:lang w:eastAsia="zh-CN"/>
        </w:rPr>
        <w:t>标签和标签文件中必须包含产品的预期用途（21 CFR 809.10(a)(2)和21 CFR809.10(b)(2)）。供非专业用户在家中使用的SMBG的预期用途应类似于以下示例：</w:t>
      </w:r>
    </w:p>
    <w:p w14:paraId="6CB7F46E">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XYZ血糖监测系统预期用于手指毛细血管全血血糖的定量测量。该产品供糖尿病患者在家中使用，用于辅助监测糖尿病控制计划的有效性。XYZ血糖监测系统仅供单人使用，不得共用。</w:t>
      </w:r>
    </w:p>
    <w:p w14:paraId="68290556">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标签和标签文件中必须包含与产品显示的危险相适应的警告（21 CFR 809.10(a)(4)和21 CFR 809.10(b)(5)(ii)）。</w:t>
      </w:r>
    </w:p>
    <w:p w14:paraId="08BEAB4F">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外包装盒标签和包装说明书上应</w:t>
      </w:r>
      <w:r>
        <w:rPr>
          <w:rFonts w:ascii="Times New Roman" w:hAnsi="Times New Roman" w:eastAsia="宋体" w:cs="宋体"/>
          <w:i/>
          <w:sz w:val="24"/>
          <w:lang w:eastAsia="zh-CN"/>
        </w:rPr>
        <w:t>突出显示</w:t>
      </w:r>
      <w:r>
        <w:rPr>
          <w:rFonts w:ascii="Times New Roman" w:hAnsi="Times New Roman" w:eastAsia="宋体" w:cs="宋体"/>
          <w:sz w:val="24"/>
          <w:lang w:eastAsia="zh-CN"/>
        </w:rPr>
        <w:t>以下警告。</w:t>
      </w:r>
    </w:p>
    <w:p w14:paraId="15BE9ADE">
      <w:pPr>
        <w:pStyle w:val="4"/>
        <w:adjustRightInd w:val="0"/>
        <w:snapToGrid w:val="0"/>
        <w:spacing w:before="120" w:beforeLines="50" w:line="300" w:lineRule="auto"/>
        <w:ind w:left="495" w:leftChars="225" w:firstLine="0"/>
        <w:jc w:val="both"/>
        <w:rPr>
          <w:rFonts w:eastAsia="宋体" w:cs="Times New Roman"/>
          <w:b w:val="0"/>
          <w:bCs w:val="0"/>
          <w:snapToGrid w:val="0"/>
          <w:lang w:eastAsia="zh-CN"/>
        </w:rPr>
      </w:pPr>
      <w:r>
        <w:rPr>
          <w:rFonts w:eastAsia="宋体" w:cs="宋体"/>
          <w:lang w:eastAsia="zh-CN"/>
        </w:rPr>
        <w:t>将该器械用于多名患者可能导致人类免疫缺陷病毒（HIV）、丙型肝炎病毒（HCV）、乙型肝炎病毒（HBV）或其他血源性病原体的传播。</w:t>
      </w:r>
    </w:p>
    <w:p w14:paraId="4C47EDB8">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4. </w:t>
      </w:r>
      <w:r>
        <w:rPr>
          <w:rFonts w:ascii="Times New Roman" w:hAnsi="Times New Roman" w:eastAsia="宋体" w:cs="宋体"/>
          <w:sz w:val="24"/>
          <w:lang w:eastAsia="zh-CN"/>
        </w:rPr>
        <w:tab/>
      </w:r>
      <w:r>
        <w:rPr>
          <w:rFonts w:ascii="Times New Roman" w:hAnsi="Times New Roman" w:eastAsia="宋体" w:cs="宋体"/>
          <w:sz w:val="24"/>
          <w:lang w:eastAsia="zh-CN"/>
        </w:rPr>
        <w:t>根据21 CFR 809.10(b)(4)，标签必须包括程序的化学、物理、生理或生物学原理。这些原理的讨论应包括酶的鉴别和来源以及反应描述。标签应说明结果是根据全血还是血浆当量确定的。预期在美国使用的SMBG应根据血浆当量报告结果。</w:t>
      </w:r>
    </w:p>
    <w:p w14:paraId="7E779916">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5.</w:t>
      </w:r>
      <w:r>
        <w:rPr>
          <w:rFonts w:ascii="Times New Roman" w:hAnsi="Times New Roman" w:eastAsia="宋体" w:cs="宋体"/>
          <w:sz w:val="24"/>
          <w:lang w:eastAsia="zh-CN"/>
        </w:rPr>
        <w:tab/>
      </w:r>
      <w:r>
        <w:rPr>
          <w:rFonts w:ascii="Times New Roman" w:hAnsi="Times New Roman" w:eastAsia="宋体" w:cs="宋体"/>
          <w:sz w:val="24"/>
          <w:lang w:eastAsia="zh-CN"/>
        </w:rPr>
        <w:t>如809.10(a)(6)和21 CFR 809.10(a)(10)所述，标签中必须包括向用户保证试剂在使用时符合适当的鉴别、浓度、质量和纯度标准的方法。</w:t>
      </w:r>
    </w:p>
    <w:p w14:paraId="4D38DAC0">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6. </w:t>
      </w:r>
      <w:r>
        <w:rPr>
          <w:rFonts w:ascii="Times New Roman" w:hAnsi="Times New Roman" w:eastAsia="宋体" w:cs="宋体"/>
          <w:sz w:val="24"/>
          <w:lang w:eastAsia="zh-CN"/>
        </w:rPr>
        <w:tab/>
      </w:r>
      <w:r>
        <w:rPr>
          <w:rFonts w:ascii="Times New Roman" w:hAnsi="Times New Roman" w:eastAsia="宋体" w:cs="宋体"/>
          <w:sz w:val="24"/>
          <w:lang w:eastAsia="zh-CN"/>
        </w:rPr>
        <w:t>标签必须提供样本采集和制备说明（21 CFR 809.10(b)(7)）。说明中应包含向用户提供有关采样前用肥皂和水彻底清洗并干燥皮肤的重要性的声明，因为皮肤上的污染物可能会影响结果。另见下文的清洁和消毒说明。</w:t>
      </w:r>
    </w:p>
    <w:p w14:paraId="192CD809">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7. </w:t>
      </w:r>
      <w:r>
        <w:rPr>
          <w:rFonts w:ascii="Times New Roman" w:hAnsi="Times New Roman" w:eastAsia="宋体" w:cs="宋体"/>
          <w:sz w:val="24"/>
          <w:lang w:eastAsia="zh-CN"/>
        </w:rPr>
        <w:tab/>
      </w:r>
      <w:r>
        <w:rPr>
          <w:rFonts w:ascii="Times New Roman" w:hAnsi="Times New Roman" w:eastAsia="宋体" w:cs="宋体"/>
          <w:sz w:val="24"/>
          <w:lang w:eastAsia="zh-CN"/>
        </w:rPr>
        <w:t>标签必须提供建议程序的逐步概述（21 CFR 809.10(b)(8)）和仪器操作说明（21 CFR 809.10(b)(6)(v)）。在适当情况下（例如，操作步骤等），为了清楚起见，应使用编号而不是项目符号。</w:t>
      </w:r>
    </w:p>
    <w:p w14:paraId="68689467">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0F122A08">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8. </w:t>
      </w:r>
      <w:r>
        <w:rPr>
          <w:rFonts w:ascii="Times New Roman" w:hAnsi="Times New Roman" w:eastAsia="宋体" w:cs="宋体"/>
          <w:sz w:val="24"/>
          <w:lang w:eastAsia="zh-CN"/>
        </w:rPr>
        <w:tab/>
      </w:r>
      <w:r>
        <w:rPr>
          <w:rFonts w:ascii="Times New Roman" w:hAnsi="Times New Roman" w:eastAsia="宋体" w:cs="宋体"/>
          <w:sz w:val="24"/>
          <w:lang w:eastAsia="zh-CN"/>
        </w:rPr>
        <w:t>标签必须包括程序限制声明，包括已知会影响结果的外部因素或干扰物质（21 CFR 809.10(b)(10)）。应包含可能导致SMBG出现有临床意义的错误（由于偏倚或不精密度）的检测条件（例如：特定药物、氧疗、高海拔）。应指出根据性能试验结果确认的器械的最极端使用条件（例如：最高海拔、最高温度和最低温度等）。</w:t>
      </w:r>
    </w:p>
    <w:p w14:paraId="46E33CFD">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9. </w:t>
      </w:r>
      <w:r>
        <w:rPr>
          <w:rFonts w:ascii="Times New Roman" w:hAnsi="Times New Roman" w:eastAsia="宋体" w:cs="宋体"/>
          <w:sz w:val="24"/>
          <w:lang w:eastAsia="zh-CN"/>
        </w:rPr>
        <w:tab/>
      </w:r>
      <w:r>
        <w:rPr>
          <w:rFonts w:ascii="Times New Roman" w:hAnsi="Times New Roman" w:eastAsia="宋体" w:cs="宋体"/>
          <w:sz w:val="24"/>
          <w:lang w:eastAsia="zh-CN"/>
        </w:rPr>
        <w:t>标签应清楚地向用户表明，当测量的血糖低于或高于血糖仪测量范围时</w:t>
      </w:r>
      <w:r>
        <w:rPr>
          <w:rFonts w:hint="eastAsia" w:ascii="Times New Roman" w:hAnsi="Times New Roman" w:eastAsia="宋体" w:cs="宋体"/>
          <w:sz w:val="24"/>
          <w:lang w:eastAsia="zh-CN"/>
        </w:rPr>
        <w:t>的</w:t>
      </w:r>
      <w:r>
        <w:rPr>
          <w:rFonts w:ascii="Times New Roman" w:hAnsi="Times New Roman" w:eastAsia="宋体" w:cs="宋体"/>
          <w:sz w:val="24"/>
          <w:lang w:eastAsia="zh-CN"/>
        </w:rPr>
        <w:t>显示内容。例如，XYZ血糖仪的测量范围低至50 mg/dL。对于测量的所有低于50 mg/dL的血糖值，都将提供适当的信息表明结果低于血糖仪测量范围。血糖仪XYZ的标签应包含解释该错误代码的声明："当血糖值低于50 mg/dL时，</w:t>
      </w:r>
      <w:r>
        <w:rPr>
          <w:rFonts w:hint="eastAsia" w:ascii="Times New Roman" w:hAnsi="Times New Roman" w:eastAsia="宋体" w:cs="宋体"/>
          <w:sz w:val="24"/>
          <w:lang w:eastAsia="zh-CN"/>
        </w:rPr>
        <w:t>显示</w:t>
      </w:r>
      <w:r>
        <w:rPr>
          <w:rFonts w:ascii="Times New Roman" w:hAnsi="Times New Roman" w:eastAsia="宋体" w:cs="宋体"/>
          <w:sz w:val="24"/>
          <w:lang w:eastAsia="zh-CN"/>
        </w:rPr>
        <w:t>以下错误代码：“低于50””。</w:t>
      </w:r>
    </w:p>
    <w:p w14:paraId="16A785B6">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10. </w:t>
      </w:r>
      <w:r>
        <w:rPr>
          <w:rFonts w:ascii="Times New Roman" w:hAnsi="Times New Roman" w:eastAsia="宋体" w:cs="宋体"/>
          <w:sz w:val="24"/>
          <w:lang w:eastAsia="zh-CN"/>
        </w:rPr>
        <w:tab/>
      </w:r>
      <w:r>
        <w:rPr>
          <w:rFonts w:ascii="Times New Roman" w:hAnsi="Times New Roman" w:eastAsia="宋体" w:cs="宋体"/>
          <w:sz w:val="24"/>
          <w:lang w:eastAsia="zh-CN"/>
        </w:rPr>
        <w:t>标签必须描述校准和质量控制程序及材料的详细信息（21 CFR 809.10(b)(8)(v)和21 CFR 809.10(b)(8)(vi)。这是为了确保SMBG的最佳性能。本节应包括质量控制检查</w:t>
      </w:r>
      <w:r>
        <w:rPr>
          <w:rFonts w:hint="eastAsia" w:ascii="Times New Roman" w:hAnsi="Times New Roman" w:eastAsia="宋体" w:cs="宋体"/>
          <w:sz w:val="24"/>
          <w:lang w:eastAsia="zh-CN"/>
        </w:rPr>
        <w:t>方法和时间</w:t>
      </w:r>
      <w:r>
        <w:rPr>
          <w:rFonts w:ascii="Times New Roman" w:hAnsi="Times New Roman" w:eastAsia="宋体" w:cs="宋体"/>
          <w:sz w:val="24"/>
          <w:lang w:eastAsia="zh-CN"/>
        </w:rPr>
        <w:t>的建议，以及质控品值不在制造商允许范围内时应采取的措施的说明。作为标签中质量控制信息的一部分，本机构建议申请方告知用户，应定期审查自己的技术，并将使用其血糖仪获得的结果与使用实验室方法或其医疗服务提供者使用的维护良好且受到监控的系统获得的结果进行比较。</w:t>
      </w:r>
    </w:p>
    <w:p w14:paraId="33C15BC1">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11. </w:t>
      </w:r>
      <w:r>
        <w:rPr>
          <w:rFonts w:ascii="Times New Roman" w:hAnsi="Times New Roman" w:eastAsia="宋体" w:cs="宋体"/>
          <w:sz w:val="24"/>
          <w:lang w:eastAsia="zh-CN"/>
        </w:rPr>
        <w:tab/>
      </w:r>
      <w:r>
        <w:rPr>
          <w:rFonts w:ascii="Times New Roman" w:hAnsi="Times New Roman" w:eastAsia="宋体" w:cs="宋体"/>
          <w:sz w:val="24"/>
          <w:lang w:eastAsia="zh-CN"/>
        </w:rPr>
        <w:t>标签中必须包含预期值（21 CFR 809.10(b)(11)）。FDA建议，预期值应为非糖尿病患者的预期值。FDA不建议包括针对糖尿病患者调整的额外范围，因为这些范围是个体化的，由临床医生确定。应引用内部研究或最新参考来源的预期值。</w:t>
      </w:r>
    </w:p>
    <w:p w14:paraId="1BE9BD47">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12. </w:t>
      </w:r>
      <w:r>
        <w:rPr>
          <w:rFonts w:ascii="Times New Roman" w:hAnsi="Times New Roman" w:eastAsia="宋体" w:cs="宋体"/>
          <w:sz w:val="24"/>
          <w:lang w:eastAsia="zh-CN"/>
        </w:rPr>
        <w:tab/>
      </w:r>
      <w:r>
        <w:rPr>
          <w:rFonts w:ascii="Times New Roman" w:hAnsi="Times New Roman" w:eastAsia="宋体" w:cs="宋体"/>
          <w:sz w:val="24"/>
          <w:lang w:eastAsia="zh-CN"/>
        </w:rPr>
        <w:t>标签必须包括具体的性能特征（21 CFR 809.10(b)(12)）。申请方应在包装说明书中简要描述所有研究并总结结果。FDA建议这些信息应包括来自内部和用户研究的性能数据总结。尤其是有关准确度的呈现方式，示例请参见以下图表。应单独提供针对每个解剖部位和矩阵的性能。</w:t>
      </w:r>
    </w:p>
    <w:p w14:paraId="710F0F2D">
      <w:pPr>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13. </w:t>
      </w:r>
      <w:r>
        <w:rPr>
          <w:rFonts w:ascii="Times New Roman" w:hAnsi="Times New Roman" w:eastAsia="宋体" w:cs="宋体"/>
          <w:sz w:val="24"/>
          <w:lang w:eastAsia="zh-CN"/>
        </w:rPr>
        <w:tab/>
      </w:r>
      <w:r>
        <w:rPr>
          <w:rFonts w:ascii="Times New Roman" w:hAnsi="Times New Roman" w:eastAsia="宋体" w:cs="宋体"/>
          <w:sz w:val="24"/>
          <w:lang w:eastAsia="zh-CN"/>
        </w:rPr>
        <w:t>为了让非专业用户能够选择适合他们的SMBG，必须以易于他们理解的方式清楚地描述器械的准确度。另外，该信息必须位于产品标签中的显眼位置，以便非专业用户在购买之前以及学习使用所购买的SMBG器械时了解其性能。因此，血糖仪外包装盒标签、试纸的包装说明书和用户手册均应包含易于理解的临床研究结果描述。</w:t>
      </w:r>
    </w:p>
    <w:p w14:paraId="69C62F00">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306045D">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试纸的包装说明书和SMBG的用户手册中，应将准确度信息放在标签中的显眼位置。本机构建议将该信息放在标签中描述用户如何获得结果的部分。在试纸的包装说明书中，该部分应该足够大并居中放置，以便用户理解使用这些试纸时系统的性能。本机构建议在器械用户手册和试纸包装说明书中采用以下类型的呈现方式来传达准确度研究的结果。</w:t>
      </w:r>
    </w:p>
    <w:tbl>
      <w:tblPr>
        <w:tblStyle w:val="21"/>
        <w:tblW w:w="9301" w:type="dxa"/>
        <w:tblInd w:w="0" w:type="dxa"/>
        <w:tblLayout w:type="fixed"/>
        <w:tblCellMar>
          <w:top w:w="0" w:type="dxa"/>
          <w:left w:w="108" w:type="dxa"/>
          <w:bottom w:w="0" w:type="dxa"/>
          <w:right w:w="108" w:type="dxa"/>
        </w:tblCellMar>
      </w:tblPr>
      <w:tblGrid>
        <w:gridCol w:w="236"/>
        <w:gridCol w:w="4408"/>
        <w:gridCol w:w="1134"/>
        <w:gridCol w:w="1134"/>
        <w:gridCol w:w="1134"/>
        <w:gridCol w:w="1255"/>
      </w:tblGrid>
      <w:tr w14:paraId="3A1D5517">
        <w:tblPrEx>
          <w:tblCellMar>
            <w:top w:w="0" w:type="dxa"/>
            <w:left w:w="108" w:type="dxa"/>
            <w:bottom w:w="0" w:type="dxa"/>
            <w:right w:w="108" w:type="dxa"/>
          </w:tblCellMar>
        </w:tblPrEx>
        <w:tc>
          <w:tcPr>
            <w:tcW w:w="9301" w:type="dxa"/>
            <w:gridSpan w:val="6"/>
            <w:tcBorders>
              <w:top w:val="single" w:color="000000" w:sz="6" w:space="0"/>
              <w:left w:val="single" w:color="000000" w:sz="6" w:space="0"/>
              <w:right w:val="single" w:color="000000" w:sz="6" w:space="0"/>
            </w:tcBorders>
          </w:tcPr>
          <w:p w14:paraId="48E25D2B">
            <w:pPr>
              <w:pStyle w:val="23"/>
              <w:adjustRightInd w:val="0"/>
              <w:snapToGrid w:val="0"/>
              <w:spacing w:before="36" w:beforeLines="15" w:line="276" w:lineRule="auto"/>
              <w:rPr>
                <w:rFonts w:ascii="Times New Roman" w:hAnsi="Times New Roman" w:eastAsia="宋体" w:cs="Times New Roman"/>
                <w:snapToGrid w:val="0"/>
                <w:sz w:val="21"/>
                <w:szCs w:val="21"/>
                <w:u w:val="single"/>
                <w:lang w:eastAsia="zh-CN"/>
              </w:rPr>
            </w:pPr>
            <w:r>
              <w:rPr>
                <w:rFonts w:ascii="Times New Roman" w:hAnsi="Times New Roman" w:eastAsia="宋体" w:cs="宋体"/>
                <w:b/>
                <w:sz w:val="21"/>
                <w:u w:val="single"/>
                <w:lang w:eastAsia="zh-CN"/>
              </w:rPr>
              <w:t>供非专业用户家庭使用的建议准确度表示 - 示例</w:t>
            </w:r>
          </w:p>
          <w:p w14:paraId="2F1D1E5A">
            <w:pPr>
              <w:pStyle w:val="23"/>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lang w:eastAsia="zh-CN"/>
              </w:rPr>
              <w:t>ABC血糖仪测得的结果可能与实际血糖值略有不同。这可能是由于技术上的轻微差异和检测技术的自然差异。</w:t>
            </w:r>
          </w:p>
          <w:p w14:paraId="0B223379">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下表显示了一项研究的结果，其中350名典型用户使用ABC血糖仪检测其血糖水平。例如，在该研究中，350次检测中有340次，ABC血糖仪得出的结果在真实血糖水平的15%以内。</w:t>
            </w:r>
          </w:p>
        </w:tc>
      </w:tr>
      <w:tr w14:paraId="705ED10B">
        <w:tblPrEx>
          <w:tblCellMar>
            <w:top w:w="0" w:type="dxa"/>
            <w:left w:w="108" w:type="dxa"/>
            <w:bottom w:w="0" w:type="dxa"/>
            <w:right w:w="108" w:type="dxa"/>
          </w:tblCellMar>
        </w:tblPrEx>
        <w:tc>
          <w:tcPr>
            <w:tcW w:w="236" w:type="dxa"/>
            <w:tcBorders>
              <w:left w:val="single" w:color="000000" w:sz="4" w:space="0"/>
              <w:bottom w:val="nil"/>
              <w:right w:val="single" w:color="000000" w:sz="6" w:space="0"/>
            </w:tcBorders>
          </w:tcPr>
          <w:p w14:paraId="12562CAC">
            <w:pPr>
              <w:adjustRightInd w:val="0"/>
              <w:snapToGrid w:val="0"/>
              <w:spacing w:before="36" w:beforeLines="15" w:line="276" w:lineRule="auto"/>
              <w:rPr>
                <w:snapToGrid w:val="0"/>
                <w:sz w:val="21"/>
                <w:szCs w:val="21"/>
                <w:lang w:eastAsia="zh-CN"/>
              </w:rPr>
            </w:pPr>
          </w:p>
        </w:tc>
        <w:tc>
          <w:tcPr>
            <w:tcW w:w="4408" w:type="dxa"/>
            <w:tcBorders>
              <w:top w:val="single" w:color="000000" w:sz="6" w:space="0"/>
              <w:left w:val="single" w:color="000000" w:sz="6" w:space="0"/>
              <w:bottom w:val="single" w:color="000000" w:sz="6" w:space="0"/>
              <w:right w:val="single" w:color="000000" w:sz="6" w:space="0"/>
            </w:tcBorders>
          </w:tcPr>
          <w:p w14:paraId="0EFC89BF">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真实血糖水平与ABC血糖仪检测结果之间的差异范围。</w:t>
            </w:r>
          </w:p>
        </w:tc>
        <w:tc>
          <w:tcPr>
            <w:tcW w:w="1134" w:type="dxa"/>
            <w:tcBorders>
              <w:top w:val="single" w:color="000000" w:sz="6" w:space="0"/>
              <w:left w:val="single" w:color="000000" w:sz="6" w:space="0"/>
              <w:bottom w:val="single" w:color="000000" w:sz="6" w:space="0"/>
              <w:right w:val="single" w:color="000000" w:sz="6" w:space="0"/>
            </w:tcBorders>
          </w:tcPr>
          <w:p w14:paraId="093D0DE7">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宋体"/>
                <w:b/>
                <w:sz w:val="21"/>
              </w:rPr>
              <w:t>5%以内</w:t>
            </w:r>
          </w:p>
        </w:tc>
        <w:tc>
          <w:tcPr>
            <w:tcW w:w="1134" w:type="dxa"/>
            <w:tcBorders>
              <w:top w:val="single" w:color="000000" w:sz="6" w:space="0"/>
              <w:left w:val="single" w:color="000000" w:sz="6" w:space="0"/>
              <w:bottom w:val="single" w:color="000000" w:sz="6" w:space="0"/>
              <w:right w:val="single" w:color="000000" w:sz="6" w:space="0"/>
            </w:tcBorders>
          </w:tcPr>
          <w:p w14:paraId="064AFC29">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宋体"/>
                <w:b/>
                <w:sz w:val="21"/>
              </w:rPr>
              <w:t>10%以内</w:t>
            </w:r>
          </w:p>
        </w:tc>
        <w:tc>
          <w:tcPr>
            <w:tcW w:w="1134" w:type="dxa"/>
            <w:tcBorders>
              <w:top w:val="single" w:color="000000" w:sz="6" w:space="0"/>
              <w:left w:val="single" w:color="000000" w:sz="6" w:space="0"/>
              <w:bottom w:val="single" w:color="000000" w:sz="6" w:space="0"/>
              <w:right w:val="single" w:color="000000" w:sz="6" w:space="0"/>
            </w:tcBorders>
          </w:tcPr>
          <w:p w14:paraId="05B86EF0">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宋体"/>
                <w:b/>
                <w:sz w:val="21"/>
              </w:rPr>
              <w:t>15%以内</w:t>
            </w:r>
          </w:p>
        </w:tc>
        <w:tc>
          <w:tcPr>
            <w:tcW w:w="1255" w:type="dxa"/>
            <w:tcBorders>
              <w:top w:val="single" w:color="000000" w:sz="6" w:space="0"/>
              <w:left w:val="single" w:color="000000" w:sz="6" w:space="0"/>
              <w:bottom w:val="single" w:color="000000" w:sz="6" w:space="0"/>
              <w:right w:val="single" w:color="000000" w:sz="6" w:space="0"/>
            </w:tcBorders>
          </w:tcPr>
          <w:p w14:paraId="0F84AFF4">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宋体"/>
                <w:b/>
                <w:sz w:val="21"/>
              </w:rPr>
              <w:t>20%以内</w:t>
            </w:r>
          </w:p>
        </w:tc>
      </w:tr>
      <w:tr w14:paraId="4675E005">
        <w:tblPrEx>
          <w:tblCellMar>
            <w:top w:w="0" w:type="dxa"/>
            <w:left w:w="108" w:type="dxa"/>
            <w:bottom w:w="0" w:type="dxa"/>
            <w:right w:w="108" w:type="dxa"/>
          </w:tblCellMar>
        </w:tblPrEx>
        <w:tc>
          <w:tcPr>
            <w:tcW w:w="236" w:type="dxa"/>
            <w:tcBorders>
              <w:top w:val="nil"/>
              <w:left w:val="single" w:color="000000" w:sz="4" w:space="0"/>
              <w:bottom w:val="single" w:color="000000" w:sz="6" w:space="0"/>
              <w:right w:val="single" w:color="000000" w:sz="6" w:space="0"/>
            </w:tcBorders>
          </w:tcPr>
          <w:p w14:paraId="0086960D">
            <w:pPr>
              <w:adjustRightInd w:val="0"/>
              <w:snapToGrid w:val="0"/>
              <w:spacing w:before="36" w:beforeLines="15" w:line="276" w:lineRule="auto"/>
              <w:rPr>
                <w:snapToGrid w:val="0"/>
                <w:sz w:val="21"/>
                <w:szCs w:val="21"/>
              </w:rPr>
            </w:pPr>
          </w:p>
        </w:tc>
        <w:tc>
          <w:tcPr>
            <w:tcW w:w="4408" w:type="dxa"/>
            <w:tcBorders>
              <w:top w:val="single" w:color="000000" w:sz="4" w:space="0"/>
              <w:left w:val="single" w:color="000000" w:sz="6" w:space="0"/>
              <w:bottom w:val="single" w:color="000000" w:sz="6" w:space="0"/>
              <w:right w:val="single" w:color="000000" w:sz="6" w:space="0"/>
            </w:tcBorders>
          </w:tcPr>
          <w:p w14:paraId="4637185C">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与真实血糖水平相差x%以内的血糖仪检测结果的百分比（和数量）</w:t>
            </w:r>
          </w:p>
        </w:tc>
        <w:tc>
          <w:tcPr>
            <w:tcW w:w="1134" w:type="dxa"/>
            <w:tcBorders>
              <w:top w:val="single" w:color="000000" w:sz="4" w:space="0"/>
              <w:left w:val="single" w:color="000000" w:sz="6" w:space="0"/>
              <w:bottom w:val="single" w:color="000000" w:sz="6" w:space="0"/>
              <w:right w:val="single" w:color="000000" w:sz="6" w:space="0"/>
            </w:tcBorders>
          </w:tcPr>
          <w:p w14:paraId="4AAE5EA2">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57%（200/350）</w:t>
            </w:r>
          </w:p>
        </w:tc>
        <w:tc>
          <w:tcPr>
            <w:tcW w:w="1134" w:type="dxa"/>
            <w:tcBorders>
              <w:top w:val="single" w:color="000000" w:sz="4" w:space="0"/>
              <w:left w:val="single" w:color="000000" w:sz="6" w:space="0"/>
              <w:bottom w:val="single" w:color="000000" w:sz="6" w:space="0"/>
              <w:right w:val="single" w:color="000000" w:sz="6" w:space="0"/>
            </w:tcBorders>
          </w:tcPr>
          <w:p w14:paraId="1E7150A9">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94%（330/350）</w:t>
            </w:r>
          </w:p>
        </w:tc>
        <w:tc>
          <w:tcPr>
            <w:tcW w:w="1134" w:type="dxa"/>
            <w:tcBorders>
              <w:top w:val="single" w:color="000000" w:sz="4" w:space="0"/>
              <w:left w:val="single" w:color="000000" w:sz="6" w:space="0"/>
              <w:bottom w:val="single" w:color="000000" w:sz="6" w:space="0"/>
              <w:right w:val="single" w:color="000000" w:sz="6" w:space="0"/>
            </w:tcBorders>
          </w:tcPr>
          <w:p w14:paraId="7C3014C5">
            <w:pPr>
              <w:pStyle w:val="23"/>
              <w:adjustRightInd w:val="0"/>
              <w:snapToGrid w:val="0"/>
              <w:spacing w:before="36" w:beforeLines="15" w:line="276" w:lineRule="auto"/>
              <w:rPr>
                <w:rFonts w:ascii="Times New Roman" w:hAnsi="Times New Roman" w:eastAsia="Times New Roman" w:cs="Times New Roman"/>
                <w:snapToGrid w:val="0"/>
                <w:sz w:val="21"/>
                <w:szCs w:val="21"/>
              </w:rPr>
            </w:pPr>
            <w:r>
              <w:rPr>
                <w:rFonts w:ascii="Times New Roman" w:hAnsi="Times New Roman" w:eastAsia="宋体" w:cs="Times New Roman"/>
                <w:snapToGrid w:val="0"/>
                <w:sz w:val="21"/>
                <w:szCs w:val="21"/>
              </w:rPr>
              <w:t>97%（340/350）</w:t>
            </w:r>
          </w:p>
        </w:tc>
        <w:tc>
          <w:tcPr>
            <w:tcW w:w="1255" w:type="dxa"/>
            <w:tcBorders>
              <w:top w:val="single" w:color="000000" w:sz="4" w:space="0"/>
              <w:left w:val="single" w:color="000000" w:sz="6" w:space="0"/>
              <w:bottom w:val="single" w:color="000000" w:sz="6" w:space="0"/>
              <w:right w:val="single" w:color="000000" w:sz="4" w:space="0"/>
            </w:tcBorders>
          </w:tcPr>
          <w:p w14:paraId="5B99BE4E">
            <w:pPr>
              <w:pStyle w:val="23"/>
              <w:adjustRightInd w:val="0"/>
              <w:snapToGrid w:val="0"/>
              <w:spacing w:before="36" w:beforeLines="15" w:line="276" w:lineRule="auto"/>
              <w:rPr>
                <w:rFonts w:ascii="Times New Roman" w:hAnsi="Times New Roman" w:eastAsia="宋体" w:cs="Times New Roman"/>
                <w:snapToGrid w:val="0"/>
                <w:sz w:val="21"/>
                <w:szCs w:val="21"/>
                <w:lang w:eastAsia="zh-CN"/>
              </w:rPr>
            </w:pPr>
            <w:r>
              <w:rPr>
                <w:rFonts w:ascii="Times New Roman" w:hAnsi="Times New Roman" w:eastAsia="宋体" w:cs="Times New Roman"/>
                <w:snapToGrid w:val="0"/>
                <w:sz w:val="21"/>
                <w:szCs w:val="21"/>
              </w:rPr>
              <w:t>100</w:t>
            </w:r>
            <w:r>
              <w:rPr>
                <w:rFonts w:hint="eastAsia" w:ascii="Times New Roman" w:hAnsi="Times New Roman" w:eastAsia="宋体" w:cs="Times New Roman"/>
                <w:snapToGrid w:val="0"/>
                <w:sz w:val="21"/>
                <w:szCs w:val="21"/>
                <w:lang w:eastAsia="zh-CN"/>
              </w:rPr>
              <w:t>%</w:t>
            </w:r>
          </w:p>
          <w:p w14:paraId="3426902D">
            <w:pPr>
              <w:pStyle w:val="23"/>
              <w:adjustRightInd w:val="0"/>
              <w:snapToGrid w:val="0"/>
              <w:spacing w:before="36" w:beforeLines="15" w:line="276" w:lineRule="auto"/>
              <w:rPr>
                <w:rFonts w:ascii="Times New Roman" w:hAnsi="Times New Roman" w:cs="Times New Roman"/>
                <w:snapToGrid w:val="0"/>
                <w:sz w:val="21"/>
                <w:szCs w:val="21"/>
                <w:lang w:eastAsia="zh-CN"/>
              </w:rPr>
            </w:pPr>
            <w:r>
              <w:rPr>
                <w:rFonts w:ascii="Times New Roman" w:hAnsi="Times New Roman" w:eastAsia="宋体" w:cs="Times New Roman"/>
                <w:snapToGrid w:val="0"/>
                <w:sz w:val="21"/>
                <w:szCs w:val="21"/>
              </w:rPr>
              <w:t>（350/</w:t>
            </w:r>
            <w:r>
              <w:rPr>
                <w:rFonts w:hint="eastAsia" w:ascii="Times New Roman" w:hAnsi="Times New Roman" w:eastAsia="宋体" w:cs="Times New Roman"/>
                <w:snapToGrid w:val="0"/>
                <w:sz w:val="21"/>
                <w:szCs w:val="21"/>
                <w:lang w:eastAsia="zh-CN"/>
              </w:rPr>
              <w:t>350）</w:t>
            </w:r>
          </w:p>
        </w:tc>
      </w:tr>
    </w:tbl>
    <w:p w14:paraId="331FF935">
      <w:pPr>
        <w:rPr>
          <w:rFonts w:ascii="Times New Roman" w:hAnsi="Times New Roman" w:eastAsia="宋体"/>
        </w:rPr>
      </w:pPr>
    </w:p>
    <w:p w14:paraId="6CA8347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SMBG血糖仪外包装盒标签以及试纸包装说明书和用户手册中也应包含准确度信息。本机构建议，外包装盒标签上的准确度信息应指示读者参阅包装说明书，并以图形方式呈现用户研究数据。这种呈现方式的示例如下。数字表示在所示准确度水平内的血糖仪检测结果（相对于实验室设备）的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0BDA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0BF21E71">
            <w:pPr>
              <w:adjustRightInd w:val="0"/>
              <w:snapToGrid w:val="0"/>
              <w:spacing w:before="36" w:beforeLines="15" w:line="276" w:lineRule="auto"/>
              <w:jc w:val="both"/>
              <w:rPr>
                <w:rFonts w:ascii="Times New Roman" w:hAnsi="Times New Roman" w:eastAsia="宋体" w:cs="Times New Roman"/>
                <w:snapToGrid w:val="0"/>
                <w:sz w:val="21"/>
                <w:szCs w:val="21"/>
                <w:lang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4678"/>
              <w:gridCol w:w="850"/>
              <w:gridCol w:w="976"/>
            </w:tblGrid>
            <w:tr w14:paraId="59E2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Borders>
                    <w:right w:val="single" w:color="000000" w:sz="6" w:space="0"/>
                  </w:tcBorders>
                </w:tcPr>
                <w:p w14:paraId="62867AB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rPr>
                    <w:t>准确结果</w:t>
                  </w:r>
                </w:p>
              </w:tc>
              <w:tc>
                <w:tcPr>
                  <w:tcW w:w="6504" w:type="dxa"/>
                  <w:gridSpan w:val="3"/>
                  <w:tcBorders>
                    <w:top w:val="single" w:color="000000" w:sz="6" w:space="0"/>
                    <w:left w:val="single" w:color="000000" w:sz="6" w:space="0"/>
                    <w:bottom w:val="single" w:color="auto" w:sz="4" w:space="0"/>
                    <w:right w:val="single" w:color="000000" w:sz="6" w:space="0"/>
                  </w:tcBorders>
                </w:tcPr>
                <w:p w14:paraId="5C1F8C82">
                  <w:pPr>
                    <w:adjustRightInd w:val="0"/>
                    <w:snapToGrid w:val="0"/>
                    <w:spacing w:before="36" w:beforeLines="15" w:line="276" w:lineRule="auto"/>
                    <w:jc w:val="both"/>
                    <w:rPr>
                      <w:rFonts w:ascii="Times New Roman" w:hAnsi="Times New Roman" w:cs="Times New Roman"/>
                      <w:snapToGrid w:val="0"/>
                      <w:sz w:val="21"/>
                      <w:szCs w:val="21"/>
                      <w:lang w:eastAsia="zh-CN"/>
                    </w:rPr>
                  </w:pPr>
                </w:p>
                <w:p w14:paraId="415E4DFD">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251C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69DD4A04">
                  <w:pPr>
                    <w:adjustRightInd w:val="0"/>
                    <w:snapToGrid w:val="0"/>
                    <w:spacing w:before="36" w:beforeLines="15" w:line="276" w:lineRule="auto"/>
                    <w:jc w:val="both"/>
                    <w:rPr>
                      <w:rFonts w:ascii="Times New Roman" w:hAnsi="Times New Roman" w:eastAsia="Times New Roman" w:cs="Times New Roman"/>
                      <w:b/>
                      <w:bCs/>
                      <w:snapToGrid w:val="0"/>
                      <w:sz w:val="21"/>
                      <w:szCs w:val="21"/>
                    </w:rPr>
                  </w:pPr>
                </w:p>
              </w:tc>
              <w:tc>
                <w:tcPr>
                  <w:tcW w:w="6504" w:type="dxa"/>
                  <w:gridSpan w:val="3"/>
                  <w:tcBorders>
                    <w:top w:val="single" w:color="auto" w:sz="4" w:space="0"/>
                  </w:tcBorders>
                </w:tcPr>
                <w:p w14:paraId="696D6733">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5DA9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6" w:type="dxa"/>
              </w:trPr>
              <w:tc>
                <w:tcPr>
                  <w:tcW w:w="2552" w:type="dxa"/>
                  <w:tcBorders>
                    <w:right w:val="single" w:color="000000" w:sz="6" w:space="0"/>
                  </w:tcBorders>
                </w:tcPr>
                <w:p w14:paraId="6256BFA1">
                  <w:pPr>
                    <w:adjustRightInd w:val="0"/>
                    <w:snapToGrid w:val="0"/>
                    <w:spacing w:before="36" w:beforeLines="15" w:line="276" w:lineRule="auto"/>
                    <w:jc w:val="both"/>
                    <w:rPr>
                      <w:rFonts w:ascii="Times New Roman" w:hAnsi="Times New Roman" w:eastAsia="Times New Roman" w:cs="Times New Roman"/>
                      <w:b/>
                      <w:bCs/>
                      <w:snapToGrid w:val="0"/>
                      <w:sz w:val="21"/>
                      <w:szCs w:val="21"/>
                    </w:rPr>
                  </w:pPr>
                </w:p>
              </w:tc>
              <w:tc>
                <w:tcPr>
                  <w:tcW w:w="5528" w:type="dxa"/>
                  <w:gridSpan w:val="2"/>
                  <w:tcBorders>
                    <w:top w:val="single" w:color="000000" w:sz="6" w:space="0"/>
                    <w:left w:val="single" w:color="000000" w:sz="6" w:space="0"/>
                    <w:bottom w:val="single" w:color="000000" w:sz="6" w:space="0"/>
                    <w:right w:val="single" w:color="000000" w:sz="6" w:space="0"/>
                  </w:tcBorders>
                </w:tcPr>
                <w:p w14:paraId="35025E87">
                  <w:pPr>
                    <w:adjustRightInd w:val="0"/>
                    <w:snapToGrid w:val="0"/>
                    <w:spacing w:before="36" w:beforeLines="15" w:line="276" w:lineRule="auto"/>
                    <w:jc w:val="both"/>
                    <w:rPr>
                      <w:rFonts w:ascii="Times New Roman" w:hAnsi="Times New Roman" w:cs="Times New Roman"/>
                      <w:snapToGrid w:val="0"/>
                      <w:sz w:val="21"/>
                      <w:szCs w:val="21"/>
                      <w:lang w:eastAsia="zh-CN"/>
                    </w:rPr>
                  </w:pPr>
                </w:p>
                <w:p w14:paraId="36F12F1E">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7692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923B17C">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6504" w:type="dxa"/>
                  <w:gridSpan w:val="3"/>
                </w:tcPr>
                <w:p w14:paraId="795CC22D">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5FE7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26" w:type="dxa"/>
              </w:trPr>
              <w:tc>
                <w:tcPr>
                  <w:tcW w:w="2552" w:type="dxa"/>
                  <w:tcBorders>
                    <w:right w:val="single" w:color="000000" w:sz="6" w:space="0"/>
                  </w:tcBorders>
                </w:tcPr>
                <w:p w14:paraId="62D26811">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4678" w:type="dxa"/>
                  <w:tcBorders>
                    <w:top w:val="single" w:color="000000" w:sz="6" w:space="0"/>
                    <w:left w:val="single" w:color="000000" w:sz="6" w:space="0"/>
                    <w:bottom w:val="single" w:color="000000" w:sz="6" w:space="0"/>
                    <w:right w:val="single" w:color="000000" w:sz="6" w:space="0"/>
                  </w:tcBorders>
                </w:tcPr>
                <w:p w14:paraId="3CEF4FE2">
                  <w:pPr>
                    <w:adjustRightInd w:val="0"/>
                    <w:snapToGrid w:val="0"/>
                    <w:spacing w:before="36" w:beforeLines="15" w:line="276" w:lineRule="auto"/>
                    <w:jc w:val="both"/>
                    <w:rPr>
                      <w:rFonts w:ascii="Times New Roman" w:hAnsi="Times New Roman" w:cs="Times New Roman"/>
                      <w:snapToGrid w:val="0"/>
                      <w:sz w:val="21"/>
                      <w:szCs w:val="21"/>
                      <w:lang w:eastAsia="zh-CN"/>
                    </w:rPr>
                  </w:pPr>
                </w:p>
                <w:p w14:paraId="43D866AB">
                  <w:pPr>
                    <w:adjustRightInd w:val="0"/>
                    <w:snapToGrid w:val="0"/>
                    <w:spacing w:before="36" w:beforeLines="15" w:line="276" w:lineRule="auto"/>
                    <w:jc w:val="both"/>
                    <w:rPr>
                      <w:rFonts w:ascii="Times New Roman" w:hAnsi="Times New Roman" w:cs="Times New Roman"/>
                      <w:snapToGrid w:val="0"/>
                      <w:sz w:val="21"/>
                      <w:szCs w:val="21"/>
                      <w:lang w:eastAsia="zh-CN"/>
                    </w:rPr>
                  </w:pPr>
                </w:p>
              </w:tc>
            </w:tr>
          </w:tbl>
          <w:p w14:paraId="52D5DD54">
            <w:pPr>
              <w:adjustRightInd w:val="0"/>
              <w:snapToGrid w:val="0"/>
              <w:spacing w:before="36" w:beforeLines="15" w:line="276" w:lineRule="auto"/>
              <w:jc w:val="both"/>
              <w:rPr>
                <w:rFonts w:ascii="Times New Roman" w:hAnsi="Times New Roman" w:eastAsia="宋体" w:cs="Times New Roman"/>
                <w:snapToGrid w:val="0"/>
                <w:sz w:val="21"/>
                <w:szCs w:val="21"/>
                <w:lang w:eastAsia="zh-CN"/>
              </w:rPr>
            </w:pPr>
          </w:p>
          <w:p w14:paraId="7198BEBF">
            <w:pPr>
              <w:adjustRightInd w:val="0"/>
              <w:snapToGrid w:val="0"/>
              <w:spacing w:before="36" w:beforeLines="15" w:line="276" w:lineRule="auto"/>
              <w:jc w:val="both"/>
              <w:rPr>
                <w:rFonts w:ascii="Times New Roman" w:hAnsi="Times New Roman" w:cs="Times New Roman"/>
                <w:snapToGrid w:val="0"/>
                <w:sz w:val="21"/>
                <w:szCs w:val="21"/>
                <w:lang w:eastAsia="zh-CN"/>
              </w:rPr>
            </w:pPr>
          </w:p>
        </w:tc>
      </w:tr>
    </w:tbl>
    <w:p w14:paraId="5D490C9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67540B8">
      <w:pPr>
        <w:rPr>
          <w:rFonts w:ascii="Times New Roman" w:hAnsi="Times New Roman" w:eastAsia="宋体" w:cs="Times New Roman"/>
          <w:snapToGrid w:val="0"/>
          <w:sz w:val="24"/>
          <w:szCs w:val="24"/>
        </w:rPr>
      </w:pPr>
      <w:r>
        <w:rPr>
          <w:rFonts w:ascii="Times New Roman" w:hAnsi="Times New Roman" w:eastAsia="宋体" w:cs="宋体"/>
          <w:sz w:val="24"/>
        </w:rPr>
        <w:br w:type="page"/>
      </w:r>
    </w:p>
    <w:tbl>
      <w:tblPr>
        <w:tblStyle w:val="21"/>
        <w:tblW w:w="0" w:type="auto"/>
        <w:jc w:val="center"/>
        <w:tblLayout w:type="fixed"/>
        <w:tblCellMar>
          <w:top w:w="0" w:type="dxa"/>
          <w:left w:w="108" w:type="dxa"/>
          <w:bottom w:w="0" w:type="dxa"/>
          <w:right w:w="108" w:type="dxa"/>
        </w:tblCellMar>
      </w:tblPr>
      <w:tblGrid>
        <w:gridCol w:w="2683"/>
        <w:gridCol w:w="3815"/>
      </w:tblGrid>
      <w:tr w14:paraId="55B5CBFD">
        <w:tblPrEx>
          <w:tblCellMar>
            <w:top w:w="0" w:type="dxa"/>
            <w:left w:w="108" w:type="dxa"/>
            <w:bottom w:w="0" w:type="dxa"/>
            <w:right w:w="108" w:type="dxa"/>
          </w:tblCellMar>
        </w:tblPrEx>
        <w:trPr>
          <w:jc w:val="center"/>
        </w:trPr>
        <w:tc>
          <w:tcPr>
            <w:tcW w:w="2683" w:type="dxa"/>
            <w:tcBorders>
              <w:top w:val="single" w:color="000000" w:sz="4" w:space="0"/>
              <w:left w:val="single" w:color="000000" w:sz="4" w:space="0"/>
              <w:bottom w:val="single" w:color="000000" w:sz="4" w:space="0"/>
              <w:right w:val="single" w:color="000000" w:sz="4" w:space="0"/>
            </w:tcBorders>
          </w:tcPr>
          <w:p w14:paraId="6B40A556">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准确度符号说明</w:t>
            </w:r>
          </w:p>
        </w:tc>
        <w:tc>
          <w:tcPr>
            <w:tcW w:w="3815" w:type="dxa"/>
            <w:tcBorders>
              <w:top w:val="single" w:color="000000" w:sz="4" w:space="0"/>
              <w:left w:val="single" w:color="000000" w:sz="4" w:space="0"/>
              <w:bottom w:val="single" w:color="000000" w:sz="4" w:space="0"/>
              <w:right w:val="single" w:color="000000" w:sz="4" w:space="0"/>
            </w:tcBorders>
          </w:tcPr>
          <w:p w14:paraId="2A13D3EC">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列出的百分比是与实验室结果相比的血糖仪检测结果</w:t>
            </w:r>
          </w:p>
        </w:tc>
      </w:tr>
      <w:tr w14:paraId="3DD8BA30">
        <w:tblPrEx>
          <w:tblCellMar>
            <w:top w:w="0" w:type="dxa"/>
            <w:left w:w="108" w:type="dxa"/>
            <w:bottom w:w="0" w:type="dxa"/>
            <w:right w:w="108" w:type="dxa"/>
          </w:tblCellMar>
        </w:tblPrEx>
        <w:trPr>
          <w:jc w:val="center"/>
        </w:trPr>
        <w:tc>
          <w:tcPr>
            <w:tcW w:w="2683" w:type="dxa"/>
            <w:tcBorders>
              <w:top w:val="single" w:color="000000" w:sz="4" w:space="0"/>
              <w:left w:val="single" w:color="000000" w:sz="4" w:space="0"/>
              <w:bottom w:val="single" w:color="000000" w:sz="4" w:space="0"/>
              <w:right w:val="single" w:color="000000" w:sz="4" w:space="0"/>
            </w:tcBorders>
          </w:tcPr>
          <w:p w14:paraId="3A5F9F26">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准确结果</w:t>
            </w:r>
          </w:p>
        </w:tc>
        <w:tc>
          <w:tcPr>
            <w:tcW w:w="3815" w:type="dxa"/>
            <w:tcBorders>
              <w:top w:val="single" w:color="000000" w:sz="4" w:space="0"/>
              <w:left w:val="single" w:color="000000" w:sz="4" w:space="0"/>
              <w:bottom w:val="single" w:color="000000" w:sz="4" w:space="0"/>
              <w:right w:val="single" w:color="000000" w:sz="4" w:space="0"/>
            </w:tcBorders>
          </w:tcPr>
          <w:p w14:paraId="01694069">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血糖仪结果在实验室结果的+/-15%以内</w:t>
            </w:r>
          </w:p>
        </w:tc>
      </w:tr>
      <w:tr w14:paraId="5B69DA82">
        <w:tblPrEx>
          <w:tblCellMar>
            <w:top w:w="0" w:type="dxa"/>
            <w:left w:w="108" w:type="dxa"/>
            <w:bottom w:w="0" w:type="dxa"/>
            <w:right w:w="108" w:type="dxa"/>
          </w:tblCellMar>
        </w:tblPrEx>
        <w:trPr>
          <w:jc w:val="center"/>
        </w:trPr>
        <w:tc>
          <w:tcPr>
            <w:tcW w:w="2683" w:type="dxa"/>
            <w:tcBorders>
              <w:top w:val="single" w:color="000000" w:sz="4" w:space="0"/>
              <w:left w:val="single" w:color="000000" w:sz="4" w:space="0"/>
              <w:bottom w:val="single" w:color="000000" w:sz="4" w:space="0"/>
              <w:right w:val="single" w:color="000000" w:sz="4" w:space="0"/>
            </w:tcBorders>
          </w:tcPr>
          <w:p w14:paraId="3E6B8633">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更准确的结果</w:t>
            </w:r>
          </w:p>
        </w:tc>
        <w:tc>
          <w:tcPr>
            <w:tcW w:w="3815" w:type="dxa"/>
            <w:tcBorders>
              <w:top w:val="single" w:color="000000" w:sz="4" w:space="0"/>
              <w:left w:val="single" w:color="000000" w:sz="4" w:space="0"/>
              <w:bottom w:val="single" w:color="000000" w:sz="4" w:space="0"/>
              <w:right w:val="single" w:color="000000" w:sz="4" w:space="0"/>
            </w:tcBorders>
          </w:tcPr>
          <w:p w14:paraId="3E0831C3">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血糖仪结果在实验室结果的+/-10%以内</w:t>
            </w:r>
          </w:p>
        </w:tc>
      </w:tr>
      <w:tr w14:paraId="76D6EC01">
        <w:tblPrEx>
          <w:tblCellMar>
            <w:top w:w="0" w:type="dxa"/>
            <w:left w:w="108" w:type="dxa"/>
            <w:bottom w:w="0" w:type="dxa"/>
            <w:right w:w="108" w:type="dxa"/>
          </w:tblCellMar>
        </w:tblPrEx>
        <w:trPr>
          <w:jc w:val="center"/>
        </w:trPr>
        <w:tc>
          <w:tcPr>
            <w:tcW w:w="2683" w:type="dxa"/>
            <w:tcBorders>
              <w:top w:val="single" w:color="000000" w:sz="4" w:space="0"/>
              <w:left w:val="single" w:color="000000" w:sz="4" w:space="0"/>
              <w:bottom w:val="single" w:color="000000" w:sz="4" w:space="0"/>
              <w:right w:val="single" w:color="000000" w:sz="4" w:space="0"/>
            </w:tcBorders>
          </w:tcPr>
          <w:p w14:paraId="06F090CF">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最准确的结果</w:t>
            </w:r>
          </w:p>
        </w:tc>
        <w:tc>
          <w:tcPr>
            <w:tcW w:w="3815" w:type="dxa"/>
            <w:tcBorders>
              <w:top w:val="single" w:color="000000" w:sz="4" w:space="0"/>
              <w:left w:val="single" w:color="000000" w:sz="4" w:space="0"/>
              <w:bottom w:val="single" w:color="000000" w:sz="4" w:space="0"/>
              <w:right w:val="single" w:color="000000" w:sz="4" w:space="0"/>
            </w:tcBorders>
          </w:tcPr>
          <w:p w14:paraId="55F01809">
            <w:pPr>
              <w:pStyle w:val="23"/>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血糖仪结果在实验室结果的+/-5%以内</w:t>
            </w:r>
          </w:p>
        </w:tc>
      </w:tr>
    </w:tbl>
    <w:p w14:paraId="2E28E14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157C8B1">
      <w:pPr>
        <w:tabs>
          <w:tab w:val="left" w:pos="460"/>
        </w:tabs>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14. </w:t>
      </w:r>
      <w:r>
        <w:rPr>
          <w:rFonts w:ascii="Times New Roman" w:hAnsi="Times New Roman" w:eastAsia="宋体" w:cs="宋体"/>
          <w:sz w:val="24"/>
          <w:lang w:eastAsia="zh-CN"/>
        </w:rPr>
        <w:tab/>
      </w:r>
      <w:r>
        <w:rPr>
          <w:rFonts w:ascii="Times New Roman" w:hAnsi="Times New Roman" w:eastAsia="宋体" w:cs="宋体"/>
          <w:sz w:val="24"/>
          <w:lang w:eastAsia="zh-CN"/>
        </w:rPr>
        <w:t>标签必须描述仪器的操作原理以及维修和维护信息（21 CFR 809.10(b)(6)）。标签中应包含错误消息的列表或总结、错误消息含义的描述以及错误消息的相应故障排除程序。</w:t>
      </w:r>
    </w:p>
    <w:p w14:paraId="4FBB3552">
      <w:pPr>
        <w:tabs>
          <w:tab w:val="left" w:pos="460"/>
        </w:tabs>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15. </w:t>
      </w:r>
      <w:r>
        <w:rPr>
          <w:rFonts w:ascii="Times New Roman" w:hAnsi="Times New Roman" w:eastAsia="宋体" w:cs="宋体"/>
          <w:sz w:val="24"/>
          <w:lang w:eastAsia="zh-CN"/>
        </w:rPr>
        <w:tab/>
      </w:r>
      <w:r>
        <w:rPr>
          <w:rFonts w:ascii="Times New Roman" w:hAnsi="Times New Roman" w:eastAsia="宋体" w:cs="宋体"/>
          <w:sz w:val="24"/>
          <w:lang w:eastAsia="zh-CN"/>
        </w:rPr>
        <w:t>应在标签中提供一个美国免费工作电话号码以协助用户，并包括营业时间和美国时区（如适用）。如果不提供7*24小时全年无休的用户协助，则申请方应说明用户在无法获得帮助时应采取的措施。</w:t>
      </w:r>
    </w:p>
    <w:p w14:paraId="5BF970EA">
      <w:pPr>
        <w:tabs>
          <w:tab w:val="left" w:pos="460"/>
        </w:tabs>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16. </w:t>
      </w:r>
      <w:r>
        <w:rPr>
          <w:rFonts w:ascii="Times New Roman" w:hAnsi="Times New Roman" w:eastAsia="宋体" w:cs="宋体"/>
          <w:sz w:val="24"/>
          <w:lang w:eastAsia="zh-CN"/>
        </w:rPr>
        <w:tab/>
      </w:r>
      <w:r>
        <w:rPr>
          <w:rFonts w:ascii="Times New Roman" w:hAnsi="Times New Roman" w:eastAsia="宋体" w:cs="宋体"/>
          <w:sz w:val="24"/>
          <w:lang w:eastAsia="zh-CN"/>
        </w:rPr>
        <w:t>标签和标签文件中必须包含与产品显示的危险相适应的警告或预防措施声明（21 CFR 809.10(a)(4)和21 CFR 809.10(b)(5)(ii)）。建议向非专业用户说明，如果获得的结果与他们的感觉不一致，应联系他们的医疗服务提供者；并且未经医疗服务提供者批准，不得更改药物治疗方案。</w:t>
      </w:r>
    </w:p>
    <w:p w14:paraId="0B6DB0F4">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应在标签开头的包含</w:t>
      </w:r>
      <w:r>
        <w:rPr>
          <w:rFonts w:ascii="Times New Roman" w:hAnsi="Times New Roman" w:eastAsia="宋体" w:cs="宋体"/>
          <w:b/>
          <w:sz w:val="24"/>
          <w:lang w:eastAsia="zh-CN"/>
        </w:rPr>
        <w:t>重要安全说明</w:t>
      </w:r>
      <w:r>
        <w:rPr>
          <w:rFonts w:ascii="Times New Roman" w:hAnsi="Times New Roman" w:eastAsia="宋体" w:cs="宋体"/>
          <w:sz w:val="24"/>
          <w:lang w:eastAsia="zh-CN"/>
        </w:rPr>
        <w:t>的部分</w:t>
      </w:r>
      <w:r>
        <w:rPr>
          <w:rFonts w:ascii="Times New Roman" w:hAnsi="Times New Roman" w:eastAsia="宋体" w:cs="宋体"/>
          <w:sz w:val="24"/>
          <w:u w:val="single"/>
          <w:lang w:eastAsia="zh-CN"/>
        </w:rPr>
        <w:t>清楚、醒目地</w:t>
      </w:r>
      <w:r>
        <w:rPr>
          <w:rFonts w:ascii="Times New Roman" w:hAnsi="Times New Roman" w:eastAsia="宋体" w:cs="宋体"/>
          <w:sz w:val="24"/>
          <w:lang w:eastAsia="zh-CN"/>
        </w:rPr>
        <w:t>陈述该器械的重要警告。所有检测系统说明（用户手册、试纸标签等）中均应包含重要警告和安全信息。</w:t>
      </w:r>
    </w:p>
    <w:p w14:paraId="0A2A425B">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标签应强调使用SMBG时的疾病传播风险，并参考任何相关公共卫生通知、标准实践指南或用户可获得的其他资源。</w:t>
      </w:r>
      <w:r>
        <w:rPr>
          <w:rFonts w:ascii="Times New Roman" w:hAnsi="Times New Roman" w:eastAsia="宋体" w:cs="宋体"/>
          <w:sz w:val="24"/>
        </w:rPr>
        <w:t>至少应包括以下警告：</w:t>
      </w:r>
    </w:p>
    <w:p w14:paraId="12405C00">
      <w:pPr>
        <w:pStyle w:val="22"/>
        <w:numPr>
          <w:ilvl w:val="0"/>
          <w:numId w:val="13"/>
        </w:numPr>
        <w:adjustRightInd w:val="0"/>
        <w:snapToGrid w:val="0"/>
        <w:spacing w:before="120" w:beforeLines="50" w:line="300" w:lineRule="auto"/>
        <w:ind w:left="1418"/>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血糖仪及采血器均仅限单次使用。请勿与他人共用，包括其它家庭成员。</w:t>
      </w:r>
      <w:r>
        <w:rPr>
          <w:rFonts w:ascii="Times New Roman" w:hAnsi="Times New Roman" w:eastAsia="宋体" w:cs="宋体"/>
          <w:sz w:val="24"/>
        </w:rPr>
        <w:t>严禁多人共用！</w:t>
      </w:r>
    </w:p>
    <w:p w14:paraId="4A1635A7">
      <w:pPr>
        <w:pStyle w:val="22"/>
        <w:numPr>
          <w:ilvl w:val="0"/>
          <w:numId w:val="13"/>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经认定，套件所有部件在经过清洁和消毒后，也同样具有生物危害，还可能传播传染病。</w:t>
      </w:r>
    </w:p>
    <w:p w14:paraId="511536B6">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rPr>
      </w:pPr>
      <w:r>
        <w:rPr>
          <w:rFonts w:ascii="Times New Roman" w:hAnsi="Times New Roman" w:eastAsia="宋体" w:cs="宋体"/>
          <w:sz w:val="24"/>
        </w:rPr>
        <w:t>应包括这些参考文件：</w:t>
      </w:r>
    </w:p>
    <w:p w14:paraId="35E0C54D">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0AFDE501">
      <w:pPr>
        <w:pStyle w:val="22"/>
        <w:numPr>
          <w:ilvl w:val="0"/>
          <w:numId w:val="14"/>
        </w:numPr>
        <w:adjustRightInd w:val="0"/>
        <w:snapToGrid w:val="0"/>
        <w:spacing w:before="120" w:beforeLines="50" w:line="300" w:lineRule="auto"/>
        <w:ind w:left="1418"/>
        <w:jc w:val="both"/>
        <w:rPr>
          <w:rFonts w:ascii="Times New Roman" w:hAnsi="Times New Roman" w:eastAsia="宋体" w:cs="Times New Roman"/>
          <w:iCs/>
          <w:snapToGrid w:val="0"/>
          <w:sz w:val="24"/>
          <w:szCs w:val="24"/>
        </w:rPr>
      </w:pPr>
      <w:r>
        <w:rPr>
          <w:rFonts w:hint="eastAsia" w:ascii="Times New Roman" w:hAnsi="Times New Roman" w:eastAsia="宋体" w:cs="宋体"/>
          <w:iCs/>
          <w:color w:val="0000FF"/>
          <w:sz w:val="24"/>
          <w:u w:val="single"/>
          <w:lang w:eastAsia="zh-CN"/>
        </w:rPr>
        <w:t>《</w:t>
      </w:r>
      <w:r>
        <w:rPr>
          <w:rFonts w:ascii="Times New Roman" w:hAnsi="Times New Roman" w:eastAsia="宋体" w:cs="宋体"/>
          <w:iCs/>
          <w:color w:val="0000FF"/>
          <w:sz w:val="24"/>
          <w:u w:val="single"/>
          <w:lang w:eastAsia="zh-CN"/>
        </w:rPr>
        <w:t>FDA公共卫生通知：对多人应用指端采血器会增加血源性病原体的传播风险：签署通讯”（2010）。</w:t>
      </w:r>
      <w:r>
        <w:rPr>
          <w:rFonts w:hint="eastAsia" w:ascii="Times New Roman" w:hAnsi="Times New Roman" w:eastAsia="宋体" w:cs="宋体"/>
          <w:iCs/>
          <w:color w:val="0000FF"/>
          <w:sz w:val="24"/>
          <w:u w:val="single"/>
          <w:lang w:eastAsia="zh-CN"/>
        </w:rPr>
        <w:t>》</w:t>
      </w:r>
      <w:r>
        <w:rPr>
          <w:rFonts w:ascii="Times New Roman" w:hAnsi="Times New Roman" w:eastAsia="宋体" w:cs="宋体"/>
          <w:iCs/>
          <w:color w:val="0000FF"/>
          <w:sz w:val="24"/>
          <w:u w:val="single"/>
          <w:vertAlign w:val="superscript"/>
        </w:rPr>
        <w:t>15</w:t>
      </w:r>
    </w:p>
    <w:p w14:paraId="49471C86">
      <w:pPr>
        <w:pStyle w:val="22"/>
        <w:numPr>
          <w:ilvl w:val="0"/>
          <w:numId w:val="14"/>
        </w:numPr>
        <w:adjustRightInd w:val="0"/>
        <w:snapToGrid w:val="0"/>
        <w:spacing w:before="120" w:beforeLines="50" w:line="300" w:lineRule="auto"/>
        <w:ind w:left="1418"/>
        <w:jc w:val="both"/>
        <w:rPr>
          <w:rFonts w:ascii="Times New Roman" w:hAnsi="Times New Roman" w:eastAsia="宋体" w:cs="Times New Roman"/>
          <w:iCs/>
          <w:snapToGrid w:val="0"/>
          <w:sz w:val="24"/>
          <w:szCs w:val="24"/>
          <w:lang w:eastAsia="zh-CN"/>
        </w:rPr>
      </w:pPr>
      <w:r>
        <w:rPr>
          <w:rFonts w:ascii="Times New Roman" w:hAnsi="Times New Roman" w:eastAsia="宋体" w:cs="宋体"/>
          <w:iCs/>
          <w:sz w:val="24"/>
          <w:lang w:eastAsia="zh-CN"/>
        </w:rPr>
        <w:t>CDC网站：</w:t>
      </w:r>
      <w:r>
        <w:rPr>
          <w:iCs/>
        </w:rPr>
        <w:fldChar w:fldCharType="begin"/>
      </w:r>
      <w:r>
        <w:rPr>
          <w:iCs/>
          <w:lang w:eastAsia="zh-CN"/>
        </w:rPr>
        <w:instrText xml:space="preserve"> HYPERLINK "http://www.cdc.gov/injectionsafety/blood-glucose-monitoring.html" \h </w:instrText>
      </w:r>
      <w:r>
        <w:rPr>
          <w:iCs/>
        </w:rPr>
        <w:fldChar w:fldCharType="separate"/>
      </w:r>
      <w:r>
        <w:rPr>
          <w:rFonts w:hint="eastAsia" w:ascii="Times New Roman" w:hAnsi="Times New Roman" w:eastAsia="宋体" w:cs="宋体"/>
          <w:iCs/>
          <w:snapToGrid w:val="0"/>
          <w:color w:val="0000FF"/>
          <w:sz w:val="24"/>
          <w:szCs w:val="24"/>
          <w:u w:val="single" w:color="0000FF"/>
          <w:lang w:eastAsia="zh-CN"/>
        </w:rPr>
        <w:t>《</w:t>
      </w:r>
      <w:r>
        <w:rPr>
          <w:rFonts w:ascii="Times New Roman" w:hAnsi="Times New Roman" w:eastAsia="宋体" w:cs="宋体"/>
          <w:iCs/>
          <w:snapToGrid w:val="0"/>
          <w:color w:val="0000FF"/>
          <w:sz w:val="24"/>
          <w:szCs w:val="24"/>
          <w:u w:val="single" w:color="0000FF"/>
          <w:lang w:eastAsia="zh-CN"/>
        </w:rPr>
        <w:t>血糖监测和胰岛素给药期间的感染预防</w:t>
      </w:r>
      <w:r>
        <w:rPr>
          <w:rFonts w:ascii="宋体" w:hAnsi="宋体" w:eastAsia="宋体" w:cs="宋体"/>
          <w:iCs/>
          <w:snapToGrid w:val="0"/>
          <w:color w:val="0000FF"/>
          <w:sz w:val="24"/>
          <w:szCs w:val="24"/>
          <w:u w:val="single" w:color="0000FF"/>
        </w:rPr>
        <w:fldChar w:fldCharType="end"/>
      </w:r>
      <w:r>
        <w:rPr>
          <w:rFonts w:hint="eastAsia" w:ascii="Times New Roman" w:hAnsi="Times New Roman" w:eastAsia="宋体" w:cs="宋体"/>
          <w:iCs/>
          <w:sz w:val="24"/>
          <w:lang w:eastAsia="zh-CN"/>
        </w:rPr>
        <w:t>》</w:t>
      </w:r>
      <w:r>
        <w:fldChar w:fldCharType="begin"/>
      </w:r>
      <w:r>
        <w:instrText xml:space="preserve"> HYPERLINK \l "_bookmark45" </w:instrText>
      </w:r>
      <w:r>
        <w:fldChar w:fldCharType="separate"/>
      </w:r>
      <w:r>
        <w:rPr>
          <w:rFonts w:ascii="Times New Roman" w:hAnsi="Times New Roman" w:eastAsia="宋体" w:cs="宋体"/>
          <w:iCs/>
          <w:snapToGrid w:val="0"/>
          <w:color w:val="000000"/>
          <w:sz w:val="24"/>
          <w:szCs w:val="24"/>
          <w:vertAlign w:val="superscript"/>
          <w:lang w:eastAsia="zh-CN"/>
        </w:rPr>
        <w:t>16</w:t>
      </w:r>
      <w:r>
        <w:rPr>
          <w:rFonts w:ascii="Times New Roman" w:hAnsi="Times New Roman" w:eastAsia="宋体" w:cs="宋体"/>
          <w:iCs/>
          <w:snapToGrid w:val="0"/>
          <w:color w:val="000000"/>
          <w:sz w:val="24"/>
          <w:szCs w:val="24"/>
          <w:vertAlign w:val="superscript"/>
          <w:lang w:eastAsia="zh-CN"/>
        </w:rPr>
        <w:fldChar w:fldCharType="end"/>
      </w:r>
    </w:p>
    <w:p w14:paraId="481E0D42">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在描述</w:t>
      </w:r>
      <w:r>
        <w:rPr>
          <w:rFonts w:ascii="Times New Roman" w:hAnsi="Times New Roman" w:eastAsia="宋体" w:cs="宋体"/>
          <w:b/>
          <w:sz w:val="24"/>
          <w:lang w:eastAsia="zh-CN"/>
        </w:rPr>
        <w:t>如何获得血液样本</w:t>
      </w:r>
      <w:r>
        <w:rPr>
          <w:rFonts w:ascii="Times New Roman" w:hAnsi="Times New Roman" w:eastAsia="宋体" w:cs="宋体"/>
          <w:sz w:val="24"/>
          <w:lang w:eastAsia="zh-CN"/>
        </w:rPr>
        <w:t>的章节中，应重申血源性病原体传播的风险。说明中应强调采血器只能由单个用户使用，不得共用。应强调用户在操作血糖仪、采血器或试纸后，应使用肥皂和水彻底清洁双手。</w:t>
      </w:r>
    </w:p>
    <w:p w14:paraId="43EF68E1">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用户手册应包含如何以及何时对血糖仪执行</w:t>
      </w:r>
      <w:r>
        <w:rPr>
          <w:rFonts w:ascii="Times New Roman" w:hAnsi="Times New Roman" w:eastAsia="宋体" w:cs="宋体"/>
          <w:b/>
          <w:sz w:val="24"/>
          <w:lang w:eastAsia="zh-CN"/>
        </w:rPr>
        <w:t>清洁和消毒程序</w:t>
      </w:r>
      <w:r>
        <w:rPr>
          <w:rFonts w:ascii="Times New Roman" w:hAnsi="Times New Roman" w:eastAsia="宋体" w:cs="宋体"/>
          <w:sz w:val="24"/>
          <w:lang w:eastAsia="zh-CN"/>
        </w:rPr>
        <w:t>的详细说明（基于所执行的确认研究）。具体而言，说明中应包括以下内容：</w:t>
      </w:r>
    </w:p>
    <w:p w14:paraId="529759A7">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应使用适合预期用户的语言解释进行清洁和消毒</w:t>
      </w:r>
      <w:r>
        <w:rPr>
          <w:rFonts w:hint="eastAsia" w:ascii="Times New Roman" w:hAnsi="Times New Roman" w:eastAsia="宋体" w:cs="宋体"/>
          <w:sz w:val="24"/>
          <w:lang w:eastAsia="zh-CN"/>
        </w:rPr>
        <w:t>的原因</w:t>
      </w:r>
      <w:r>
        <w:rPr>
          <w:rFonts w:ascii="Times New Roman" w:hAnsi="Times New Roman" w:eastAsia="宋体" w:cs="宋体"/>
          <w:sz w:val="24"/>
          <w:lang w:eastAsia="zh-CN"/>
        </w:rPr>
        <w:t>。应解释“清洁”和“消毒”之间的区别。</w:t>
      </w:r>
    </w:p>
    <w:p w14:paraId="13573450">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建议的器械清洁和消毒频率。例如，应至少每周对血糖仪进行一次清洁和消毒。应说明该次数与已确认的器械使用寿命内的循环次数之间的关系。应明确说明器械的使用寿命。</w:t>
      </w:r>
    </w:p>
    <w:p w14:paraId="137E8FF8">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应提供清洁和消毒所需的物料清单。应明确说明如何购买或准备这些产品。</w:t>
      </w:r>
    </w:p>
    <w:p w14:paraId="7965EBB1">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应提供详细的程序，说明需要清洁和消毒</w:t>
      </w:r>
      <w:r>
        <w:rPr>
          <w:rFonts w:hint="eastAsia" w:ascii="Times New Roman" w:hAnsi="Times New Roman" w:eastAsia="宋体" w:cs="宋体"/>
          <w:sz w:val="24"/>
          <w:lang w:eastAsia="zh-CN"/>
        </w:rPr>
        <w:t>的器械部件</w:t>
      </w:r>
      <w:r>
        <w:rPr>
          <w:rFonts w:ascii="Times New Roman" w:hAnsi="Times New Roman" w:eastAsia="宋体" w:cs="宋体"/>
          <w:sz w:val="24"/>
          <w:lang w:eastAsia="zh-CN"/>
        </w:rPr>
        <w:t>、清洁剂或消毒剂在血糖仪上的停留时间（接触时间）等。应包括图形/照片以帮助用户。</w:t>
      </w:r>
    </w:p>
    <w:p w14:paraId="560FD3E5">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提醒用户在操作血糖仪、采血器或试纸后，应使用肥皂和水彻底清洁双手的声明。</w:t>
      </w:r>
    </w:p>
    <w:p w14:paraId="3840D5ED">
      <w:pPr>
        <w:pStyle w:val="22"/>
        <w:numPr>
          <w:ilvl w:val="0"/>
          <w:numId w:val="15"/>
        </w:numPr>
        <w:adjustRightInd w:val="0"/>
        <w:snapToGrid w:val="0"/>
        <w:spacing w:before="120" w:beforeLines="50" w:line="300" w:lineRule="auto"/>
        <w:ind w:left="1418"/>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应在清洁和消毒部分的显眼位置列出技术援助或问题咨询的联系电话，以及用户应查看的外部劣化和性能劣化迹象列表。</w:t>
      </w:r>
    </w:p>
    <w:p w14:paraId="2A5BC7DB">
      <w:pPr>
        <w:tabs>
          <w:tab w:val="left" w:pos="460"/>
        </w:tabs>
        <w:adjustRightInd w:val="0"/>
        <w:snapToGrid w:val="0"/>
        <w:spacing w:before="120" w:beforeLines="50" w:line="300" w:lineRule="auto"/>
        <w:ind w:left="480" w:hanging="480" w:hangingChars="200"/>
        <w:jc w:val="both"/>
        <w:rPr>
          <w:rFonts w:ascii="Times New Roman" w:hAnsi="Times New Roman" w:eastAsia="宋体" w:cs="宋体"/>
          <w:sz w:val="24"/>
          <w:lang w:eastAsia="zh-CN"/>
        </w:rPr>
      </w:pPr>
      <w:r>
        <w:rPr>
          <w:rFonts w:ascii="Times New Roman" w:hAnsi="Times New Roman" w:eastAsia="宋体" w:cs="宋体"/>
          <w:sz w:val="24"/>
          <w:lang w:eastAsia="zh-CN"/>
        </w:rPr>
        <w:t xml:space="preserve">17. </w:t>
      </w:r>
      <w:r>
        <w:rPr>
          <w:rFonts w:ascii="Times New Roman" w:hAnsi="Times New Roman" w:eastAsia="宋体" w:cs="宋体"/>
          <w:sz w:val="24"/>
          <w:lang w:eastAsia="zh-CN"/>
        </w:rPr>
        <w:tab/>
      </w:r>
      <w:r>
        <w:rPr>
          <w:rFonts w:ascii="Times New Roman" w:hAnsi="Times New Roman" w:eastAsia="宋体" w:cs="宋体"/>
          <w:sz w:val="24"/>
          <w:lang w:eastAsia="zh-CN"/>
        </w:rPr>
        <w:t>如果未提供支持使用SMBG替代部位检测（AST）的研究，则应在包装说明书和用户手册中的显眼位置添加禁止将该器械用于AST的警告。某些SMBG可以从指尖以外的解剖部位（即前臂、上臂、大腿、小腿或手掌）采样。</w:t>
      </w:r>
    </w:p>
    <w:p w14:paraId="1E0EDF79">
      <w:pPr>
        <w:tabs>
          <w:tab w:val="left" w:pos="460"/>
        </w:tabs>
        <w:adjustRightInd w:val="0"/>
        <w:snapToGrid w:val="0"/>
        <w:spacing w:before="120" w:beforeLines="50" w:line="300" w:lineRule="auto"/>
        <w:ind w:left="480" w:hanging="480" w:hangingChars="200"/>
        <w:jc w:val="both"/>
        <w:rPr>
          <w:rFonts w:ascii="Times New Roman" w:hAnsi="Times New Roman" w:eastAsia="宋体" w:cs="宋体"/>
          <w:sz w:val="24"/>
          <w:lang w:eastAsia="zh-CN"/>
        </w:rPr>
      </w:pPr>
    </w:p>
    <w:p w14:paraId="3B9FE04D">
      <w:pPr>
        <w:tabs>
          <w:tab w:val="left" w:pos="460"/>
        </w:tabs>
        <w:adjustRightInd w:val="0"/>
        <w:snapToGrid w:val="0"/>
        <w:spacing w:before="120" w:beforeLines="50" w:line="300" w:lineRule="auto"/>
        <w:ind w:left="480" w:hanging="480" w:hangingChars="200"/>
        <w:jc w:val="both"/>
        <w:rPr>
          <w:rFonts w:ascii="Times New Roman" w:hAnsi="Times New Roman" w:eastAsia="宋体" w:cs="Times New Roman"/>
          <w:snapToGrid w:val="0"/>
          <w:sz w:val="24"/>
          <w:szCs w:val="24"/>
          <w:lang w:eastAsia="zh-CN"/>
        </w:rPr>
      </w:pPr>
    </w:p>
    <w:p w14:paraId="7F6CBE6A">
      <w:pPr>
        <w:tabs>
          <w:tab w:val="left" w:pos="28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__________________________</w:t>
      </w:r>
    </w:p>
    <w:p w14:paraId="09D1DD8D">
      <w:pPr>
        <w:tabs>
          <w:tab w:val="left" w:pos="280"/>
        </w:tabs>
        <w:adjustRightInd w:val="0"/>
        <w:snapToGrid w:val="0"/>
        <w:spacing w:before="36" w:beforeLines="15" w:line="276" w:lineRule="auto"/>
        <w:jc w:val="both"/>
        <w:rPr>
          <w:rFonts w:ascii="Times New Roman" w:hAnsi="Times New Roman" w:eastAsia="宋体" w:cs="Times New Roman"/>
          <w:snapToGrid w:val="0"/>
          <w:color w:val="0000FF"/>
          <w:sz w:val="21"/>
          <w:szCs w:val="21"/>
          <w:lang w:eastAsia="zh-CN"/>
        </w:rPr>
      </w:pPr>
      <w:r>
        <w:rPr>
          <w:rFonts w:ascii="Times New Roman" w:hAnsi="Times New Roman" w:eastAsia="宋体" w:cs="宋体"/>
          <w:sz w:val="21"/>
          <w:vertAlign w:val="superscript"/>
        </w:rPr>
        <w:t xml:space="preserve">15 </w:t>
      </w:r>
      <w:r>
        <w:rPr>
          <w:rFonts w:ascii="Times New Roman" w:hAnsi="Times New Roman" w:eastAsia="宋体" w:cs="宋体"/>
          <w:sz w:val="21"/>
        </w:rPr>
        <w:t>可登录以下网址获取：</w:t>
      </w:r>
      <w:r>
        <w:rPr>
          <w:rFonts w:ascii="Times New Roman" w:hAnsi="Times New Roman" w:eastAsia="宋体" w:cs="宋体"/>
          <w:color w:val="0000FF"/>
          <w:sz w:val="21"/>
          <w:u w:val="single"/>
        </w:rPr>
        <w:t>https://wayback.archive-it.org/7993/20170111013014</w:t>
      </w:r>
      <w:r>
        <w:rPr>
          <w:rFonts w:ascii="Times New Roman" w:hAnsi="Times New Roman" w:eastAsia="宋体" w:cs="宋体"/>
          <w:sz w:val="21"/>
          <w:u w:val="single"/>
        </w:rPr>
        <w:t>/</w:t>
      </w:r>
      <w:r>
        <w:rPr>
          <w:rFonts w:hint="eastAsia" w:ascii="Times New Roman" w:hAnsi="Times New Roman" w:eastAsia="宋体" w:cs="宋体"/>
          <w:sz w:val="21"/>
          <w:u w:val="single"/>
          <w:lang w:eastAsia="zh-CN"/>
        </w:rPr>
        <w:t xml:space="preserve"> </w:t>
      </w:r>
      <w:r>
        <w:fldChar w:fldCharType="begin"/>
      </w:r>
      <w:r>
        <w:instrText xml:space="preserve"> HYPERLINK "http://www.fda.gov/%20MedicalDevices/Safety/AlertsandNotices/ucm224025.htm" </w:instrText>
      </w:r>
      <w:r>
        <w:fldChar w:fldCharType="separate"/>
      </w:r>
      <w:r>
        <w:rPr>
          <w:rStyle w:val="19"/>
          <w:rFonts w:ascii="Times New Roman" w:hAnsi="Times New Roman" w:eastAsia="宋体" w:cs="宋体"/>
          <w:snapToGrid w:val="0"/>
          <w:sz w:val="21"/>
          <w:szCs w:val="21"/>
          <w:u w:color="0000FF"/>
        </w:rPr>
        <w:t>http://www.fda.gov/</w:t>
      </w:r>
      <w:r>
        <w:rPr>
          <w:rStyle w:val="19"/>
          <w:rFonts w:hint="eastAsia" w:ascii="Times New Roman" w:hAnsi="Times New Roman" w:eastAsia="宋体" w:cs="宋体"/>
          <w:snapToGrid w:val="0"/>
          <w:sz w:val="21"/>
          <w:szCs w:val="21"/>
          <w:u w:color="0000FF"/>
          <w:lang w:eastAsia="zh-CN"/>
        </w:rPr>
        <w:t xml:space="preserve"> </w:t>
      </w:r>
      <w:r>
        <w:rPr>
          <w:rStyle w:val="19"/>
          <w:rFonts w:ascii="Times New Roman" w:hAnsi="Times New Roman" w:eastAsia="宋体" w:cs="宋体"/>
          <w:snapToGrid w:val="0"/>
          <w:sz w:val="21"/>
          <w:szCs w:val="21"/>
          <w:u w:color="0000FF"/>
        </w:rPr>
        <w:t>MedicalDevices/Safety/AlertsandNotices/ucm224025.htm</w:t>
      </w:r>
      <w:r>
        <w:rPr>
          <w:rStyle w:val="19"/>
          <w:rFonts w:ascii="Times New Roman" w:hAnsi="Times New Roman" w:eastAsia="宋体" w:cs="宋体"/>
          <w:snapToGrid w:val="0"/>
          <w:sz w:val="21"/>
          <w:szCs w:val="21"/>
          <w:u w:color="0000FF"/>
        </w:rPr>
        <w:fldChar w:fldCharType="end"/>
      </w:r>
      <w:r>
        <w:rPr>
          <w:rFonts w:ascii="Times New Roman" w:hAnsi="Times New Roman" w:eastAsia="宋体" w:cs="宋体"/>
          <w:sz w:val="21"/>
        </w:rPr>
        <w:t>。</w:t>
      </w:r>
    </w:p>
    <w:p w14:paraId="532D1335">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color w:val="000000"/>
          <w:sz w:val="21"/>
          <w:vertAlign w:val="superscript"/>
        </w:rPr>
        <w:t>16</w:t>
      </w:r>
      <w:r>
        <w:rPr>
          <w:rFonts w:ascii="Times New Roman" w:hAnsi="Times New Roman" w:eastAsia="宋体" w:cs="宋体"/>
          <w:color w:val="000000"/>
          <w:sz w:val="21"/>
        </w:rPr>
        <w:t xml:space="preserve"> 可登录以下网址获取：</w:t>
      </w:r>
      <w:r>
        <w:fldChar w:fldCharType="begin"/>
      </w:r>
      <w:r>
        <w:instrText xml:space="preserve"> HYPERLINK "http://www.cdc.gov/injectionsafety/blood-glucose-monitoring.html" \h </w:instrText>
      </w:r>
      <w:r>
        <w:fldChar w:fldCharType="separate"/>
      </w:r>
      <w:r>
        <w:rPr>
          <w:rFonts w:ascii="Times New Roman" w:hAnsi="Times New Roman" w:eastAsia="宋体" w:cs="宋体"/>
          <w:snapToGrid w:val="0"/>
          <w:color w:val="0000FF"/>
          <w:sz w:val="21"/>
          <w:szCs w:val="21"/>
          <w:u w:val="single" w:color="0000FF"/>
        </w:rPr>
        <w:t>http://www.cdc.gov/injectionsafety/blood-glucose-monitoring.html</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0346BFCF">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4C391CB9">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一些用户可能更喜欢从替代采样部位采血，因为该穿刺部位疼痛较轻或选择更多。然而，研究表明，在血糖快速变化期间（即餐后、用药或运动后），替代部位血液中的葡萄糖水平可能与指尖血中的葡萄糖水平存在显著差异。另外，血糖可能不会上升到或下降到指端中的水平。当在非空腹期间从替代部位测定血糖时，可能导致延迟或无法检测低血糖。</w:t>
      </w:r>
    </w:p>
    <w:p w14:paraId="460FCBB6">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当已确认并需要使用替代采样部位时，应说明在血糖变化或外周循环减少（例如，休克）期间这些部位的结果可能滞后于指尖样本。</w:t>
      </w:r>
    </w:p>
    <w:p w14:paraId="6706E22D">
      <w:pPr>
        <w:adjustRightInd w:val="0"/>
        <w:snapToGrid w:val="0"/>
        <w:spacing w:before="120" w:beforeLines="50" w:line="300" w:lineRule="auto"/>
        <w:ind w:left="495" w:leftChars="22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包装说明书中应包含与AST检测相关的以下限制：</w:t>
      </w:r>
    </w:p>
    <w:p w14:paraId="0E1FC91E">
      <w:pPr>
        <w:pStyle w:val="22"/>
        <w:numPr>
          <w:ilvl w:val="0"/>
          <w:numId w:val="16"/>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当血糖快速变化时（如餐后、输注胰岛素后或在运动过程中或运动后），非指端采血结果可能与指端采血结果有所不同。</w:t>
      </w:r>
    </w:p>
    <w:p w14:paraId="74734588">
      <w:pPr>
        <w:pStyle w:val="22"/>
        <w:numPr>
          <w:ilvl w:val="0"/>
          <w:numId w:val="16"/>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如发生</w:t>
      </w:r>
      <w:r>
        <w:rPr>
          <w:rFonts w:ascii="Times New Roman" w:hAnsi="Times New Roman" w:eastAsia="宋体" w:cs="宋体"/>
          <w:sz w:val="24"/>
          <w:lang w:eastAsia="zh-CN"/>
        </w:rPr>
        <w:t>以下任何一种情况，请勿依赖替代采样部位的检测结果，而是使用指尖血样本：</w:t>
      </w:r>
    </w:p>
    <w:p w14:paraId="053F771C">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认为血糖较低。</w:t>
      </w:r>
    </w:p>
    <w:p w14:paraId="6EC914A8">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血糖过低时，</w:t>
      </w:r>
      <w:r>
        <w:rPr>
          <w:rFonts w:hint="eastAsia" w:ascii="Times New Roman" w:hAnsi="Times New Roman" w:eastAsia="宋体" w:cs="宋体"/>
          <w:sz w:val="24"/>
          <w:lang w:eastAsia="zh-CN"/>
        </w:rPr>
        <w:t>未</w:t>
      </w:r>
      <w:r>
        <w:rPr>
          <w:rFonts w:ascii="Times New Roman" w:hAnsi="Times New Roman" w:eastAsia="宋体" w:cs="宋体"/>
          <w:sz w:val="24"/>
          <w:lang w:eastAsia="zh-CN"/>
        </w:rPr>
        <w:t>察觉到症状。</w:t>
      </w:r>
    </w:p>
    <w:p w14:paraId="332A66AB">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结果与感觉不一致。</w:t>
      </w:r>
    </w:p>
    <w:p w14:paraId="7CB18EDA">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rPr>
      </w:pPr>
      <w:r>
        <w:rPr>
          <w:rFonts w:ascii="Times New Roman" w:hAnsi="Times New Roman" w:eastAsia="宋体" w:cs="宋体"/>
          <w:sz w:val="24"/>
        </w:rPr>
        <w:t>餐后。</w:t>
      </w:r>
    </w:p>
    <w:p w14:paraId="42C22E24">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rPr>
      </w:pPr>
      <w:r>
        <w:rPr>
          <w:rFonts w:ascii="Times New Roman" w:hAnsi="Times New Roman" w:eastAsia="宋体" w:cs="宋体"/>
          <w:sz w:val="24"/>
        </w:rPr>
        <w:t>运动后。</w:t>
      </w:r>
    </w:p>
    <w:p w14:paraId="2E70F91D">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rPr>
      </w:pPr>
      <w:r>
        <w:rPr>
          <w:rFonts w:ascii="Times New Roman" w:hAnsi="Times New Roman" w:eastAsia="宋体" w:cs="宋体"/>
          <w:sz w:val="24"/>
        </w:rPr>
        <w:t>生病期间。</w:t>
      </w:r>
    </w:p>
    <w:p w14:paraId="3F11A5CD">
      <w:pPr>
        <w:pStyle w:val="22"/>
        <w:numPr>
          <w:ilvl w:val="0"/>
          <w:numId w:val="17"/>
        </w:numPr>
        <w:adjustRightInd w:val="0"/>
        <w:snapToGrid w:val="0"/>
        <w:spacing w:before="120" w:beforeLines="50" w:line="300" w:lineRule="auto"/>
        <w:ind w:left="1843"/>
        <w:jc w:val="both"/>
        <w:rPr>
          <w:rFonts w:ascii="Times New Roman" w:hAnsi="Times New Roman" w:eastAsia="宋体" w:cs="Times New Roman"/>
          <w:snapToGrid w:val="0"/>
          <w:sz w:val="24"/>
          <w:szCs w:val="24"/>
        </w:rPr>
      </w:pPr>
      <w:r>
        <w:rPr>
          <w:rFonts w:ascii="Times New Roman" w:hAnsi="Times New Roman" w:eastAsia="宋体" w:cs="宋体"/>
          <w:sz w:val="24"/>
        </w:rPr>
        <w:t>压力过大时。</w:t>
      </w:r>
    </w:p>
    <w:p w14:paraId="23128244">
      <w:pPr>
        <w:pStyle w:val="22"/>
        <w:numPr>
          <w:ilvl w:val="0"/>
          <w:numId w:val="17"/>
        </w:numPr>
        <w:adjustRightInd w:val="0"/>
        <w:snapToGrid w:val="0"/>
        <w:spacing w:before="120" w:beforeLines="50" w:line="300" w:lineRule="auto"/>
        <w:ind w:left="1276"/>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请勿使用替代部位样本的结果校准动态血糖监测系统（CGMS）或计算胰岛素剂量。</w:t>
      </w:r>
    </w:p>
    <w:p w14:paraId="181C278C">
      <w:pPr>
        <w:pStyle w:val="2"/>
        <w:adjustRightInd w:val="0"/>
        <w:snapToGrid w:val="0"/>
        <w:spacing w:before="120" w:beforeLines="50" w:line="300" w:lineRule="auto"/>
        <w:ind w:left="0" w:firstLine="0"/>
        <w:jc w:val="both"/>
        <w:rPr>
          <w:rFonts w:eastAsia="宋体" w:cs="Times New Roman"/>
          <w:snapToGrid w:val="0"/>
          <w:sz w:val="24"/>
          <w:szCs w:val="24"/>
          <w:lang w:eastAsia="zh-CN"/>
        </w:rPr>
      </w:pPr>
    </w:p>
    <w:p w14:paraId="0B25EC38">
      <w:pPr>
        <w:rPr>
          <w:rFonts w:ascii="Times New Roman" w:hAnsi="Times New Roman" w:eastAsia="宋体" w:cs="Times New Roman"/>
          <w:b/>
          <w:bCs/>
          <w:snapToGrid w:val="0"/>
          <w:sz w:val="24"/>
          <w:szCs w:val="24"/>
          <w:lang w:eastAsia="zh-CN"/>
        </w:rPr>
      </w:pPr>
      <w:r>
        <w:rPr>
          <w:rFonts w:ascii="Times New Roman" w:hAnsi="Times New Roman" w:eastAsia="宋体" w:cs="宋体"/>
          <w:sz w:val="24"/>
          <w:lang w:eastAsia="zh-CN"/>
        </w:rPr>
        <w:br w:type="page"/>
      </w:r>
    </w:p>
    <w:p w14:paraId="48E3E953">
      <w:pPr>
        <w:pStyle w:val="27"/>
        <w:rPr>
          <w:rFonts w:eastAsia="宋体"/>
          <w:lang w:eastAsia="zh-CN"/>
        </w:rPr>
      </w:pPr>
      <w:bookmarkStart w:id="39" w:name="_Toc91871190"/>
      <w:r>
        <w:rPr>
          <w:rFonts w:eastAsia="宋体" w:cs="宋体"/>
          <w:lang w:eastAsia="zh-CN"/>
        </w:rPr>
        <w:t>附录1.SMBG需要考虑的误差来源</w:t>
      </w:r>
      <w:bookmarkEnd w:id="39"/>
    </w:p>
    <w:p w14:paraId="6A7AEBD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下表7列出了与SMBG设计、生产和使用相关的误差来源。本机构不打算将其作为完整列表。应根据对具体器械的了解考虑所有误差来源。CLSI EP-18A2（识别和控制实验室误差来源的风险管理技术）和ISO 14971（医疗器械 - </w:t>
      </w:r>
      <w:r>
        <w:rPr>
          <w:rFonts w:hint="eastAsia" w:ascii="Times New Roman" w:hAnsi="Times New Roman" w:eastAsia="宋体" w:cs="宋体"/>
          <w:sz w:val="24"/>
          <w:lang w:eastAsia="zh-CN"/>
        </w:rPr>
        <w:t>风险管理对医疗器械的应用</w:t>
      </w:r>
      <w:r>
        <w:rPr>
          <w:rFonts w:ascii="Times New Roman" w:hAnsi="Times New Roman" w:eastAsia="宋体" w:cs="宋体"/>
          <w:sz w:val="24"/>
          <w:lang w:eastAsia="zh-CN"/>
        </w:rPr>
        <w:t>）等文件也提供了需要考虑的分析前、分析和分析后错误列表。</w:t>
      </w:r>
    </w:p>
    <w:p w14:paraId="08B69D61">
      <w:pPr>
        <w:pStyle w:val="4"/>
        <w:adjustRightInd w:val="0"/>
        <w:snapToGrid w:val="0"/>
        <w:spacing w:before="120" w:beforeLines="50" w:line="300" w:lineRule="auto"/>
        <w:ind w:left="0" w:firstLine="0"/>
        <w:jc w:val="both"/>
        <w:rPr>
          <w:rFonts w:eastAsia="宋体" w:cs="Times New Roman"/>
          <w:b w:val="0"/>
          <w:bCs w:val="0"/>
          <w:snapToGrid w:val="0"/>
        </w:rPr>
      </w:pPr>
      <w:r>
        <w:rPr>
          <w:rFonts w:eastAsia="宋体" w:cs="宋体"/>
        </w:rPr>
        <w:t xml:space="preserve">表7 – </w:t>
      </w:r>
      <w:r>
        <w:rPr>
          <w:rFonts w:hint="eastAsia" w:eastAsia="宋体" w:cs="宋体"/>
          <w:lang w:eastAsia="zh-CN"/>
        </w:rPr>
        <w:t>误差</w:t>
      </w:r>
      <w:r>
        <w:rPr>
          <w:rFonts w:eastAsia="宋体" w:cs="宋体"/>
        </w:rPr>
        <w:t>来源示例</w:t>
      </w:r>
    </w:p>
    <w:tbl>
      <w:tblPr>
        <w:tblStyle w:val="21"/>
        <w:tblW w:w="5000" w:type="pct"/>
        <w:tblInd w:w="0" w:type="dxa"/>
        <w:tblLayout w:type="autofit"/>
        <w:tblCellMar>
          <w:top w:w="0" w:type="dxa"/>
          <w:left w:w="108" w:type="dxa"/>
          <w:bottom w:w="0" w:type="dxa"/>
          <w:right w:w="108" w:type="dxa"/>
        </w:tblCellMar>
      </w:tblPr>
      <w:tblGrid>
        <w:gridCol w:w="1768"/>
        <w:gridCol w:w="7519"/>
      </w:tblGrid>
      <w:tr w14:paraId="1D364892">
        <w:tc>
          <w:tcPr>
            <w:tcW w:w="952" w:type="pct"/>
            <w:tcBorders>
              <w:top w:val="single" w:color="000000" w:sz="12" w:space="0"/>
              <w:left w:val="single" w:color="000000" w:sz="12" w:space="0"/>
              <w:bottom w:val="single" w:color="000000" w:sz="6" w:space="0"/>
              <w:right w:val="single" w:color="000000" w:sz="6" w:space="0"/>
            </w:tcBorders>
          </w:tcPr>
          <w:p w14:paraId="60C058E5">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类别</w:t>
            </w:r>
          </w:p>
        </w:tc>
        <w:tc>
          <w:tcPr>
            <w:tcW w:w="4048" w:type="pct"/>
            <w:tcBorders>
              <w:top w:val="single" w:color="000000" w:sz="12" w:space="0"/>
              <w:left w:val="single" w:color="000000" w:sz="6" w:space="0"/>
              <w:bottom w:val="single" w:color="000000" w:sz="6" w:space="0"/>
              <w:right w:val="single" w:color="000000" w:sz="12" w:space="0"/>
            </w:tcBorders>
          </w:tcPr>
          <w:p w14:paraId="4E1F2E0B">
            <w:pPr>
              <w:pStyle w:val="23"/>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hint="eastAsia" w:ascii="Times New Roman" w:hAnsi="Times New Roman" w:eastAsia="宋体" w:cs="宋体"/>
                <w:b/>
                <w:sz w:val="21"/>
                <w:lang w:eastAsia="zh-CN"/>
              </w:rPr>
              <w:t>误差</w:t>
            </w:r>
            <w:r>
              <w:rPr>
                <w:rFonts w:ascii="Times New Roman" w:hAnsi="Times New Roman" w:eastAsia="宋体" w:cs="宋体"/>
                <w:b/>
                <w:sz w:val="21"/>
              </w:rPr>
              <w:t>或失效来源</w:t>
            </w:r>
          </w:p>
        </w:tc>
      </w:tr>
      <w:tr w14:paraId="6032FE6A">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6" w:space="0"/>
              <w:right w:val="single" w:color="000000" w:sz="6" w:space="0"/>
            </w:tcBorders>
          </w:tcPr>
          <w:p w14:paraId="468AC415">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操作者</w:t>
            </w:r>
          </w:p>
        </w:tc>
        <w:tc>
          <w:tcPr>
            <w:tcW w:w="4048" w:type="pct"/>
            <w:tcBorders>
              <w:top w:val="single" w:color="000000" w:sz="6" w:space="0"/>
              <w:left w:val="single" w:color="000000" w:sz="6" w:space="0"/>
              <w:bottom w:val="single" w:color="000000" w:sz="6" w:space="0"/>
              <w:right w:val="single" w:color="000000" w:sz="12" w:space="0"/>
            </w:tcBorders>
          </w:tcPr>
          <w:p w14:paraId="54913890">
            <w:pPr>
              <w:pStyle w:val="23"/>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未正确遵守程序，例如：</w:t>
            </w:r>
          </w:p>
          <w:p w14:paraId="6233CB78">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样本污染</w:t>
            </w:r>
          </w:p>
          <w:p w14:paraId="7811AEA8">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样本采集不正确（例如，采血技术差和体积不正确）</w:t>
            </w:r>
          </w:p>
          <w:p w14:paraId="59664ABB">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将不足量的血液加到试纸上或将血液加到试纸上的操作不正确</w:t>
            </w:r>
          </w:p>
          <w:p w14:paraId="444DD0C2">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在不恰当的时间使用替代部位的样本或使用未经制造商确认的部位的样本</w:t>
            </w:r>
          </w:p>
          <w:p w14:paraId="784E80BC">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多次将样本加到试纸上（例如，用户认为第一次的加样量不足）</w:t>
            </w:r>
          </w:p>
          <w:p w14:paraId="76AD9977">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将试纸插入血糖仪的操作不正确</w:t>
            </w:r>
          </w:p>
          <w:p w14:paraId="7CE55D18">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时间不准确</w:t>
            </w:r>
          </w:p>
          <w:p w14:paraId="06314D18">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使用受污染、过期或损坏的试剂或试剂，包括校准品或质控品</w:t>
            </w:r>
          </w:p>
          <w:p w14:paraId="2C67506F">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未能理解或响应血糖仪输出</w:t>
            </w:r>
          </w:p>
          <w:p w14:paraId="12858D71">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血糖仪维护或清洁错误</w:t>
            </w:r>
          </w:p>
          <w:p w14:paraId="288FD6BC">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校准错误，或未能按照标签说明使用质控品校准或调整血糖仪或检查性能</w:t>
            </w:r>
          </w:p>
          <w:p w14:paraId="312DA3FE">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存储数据保存或使用不正确</w:t>
            </w:r>
          </w:p>
          <w:p w14:paraId="3EF91BDE">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血糖仪、校准品、质控品或试纸的储存或搬运不当，或血糖仪维护不当</w:t>
            </w:r>
          </w:p>
          <w:p w14:paraId="75AEF042">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参数意外改变（例如测量单位）</w:t>
            </w:r>
          </w:p>
          <w:p w14:paraId="5344014C">
            <w:pPr>
              <w:pStyle w:val="22"/>
              <w:numPr>
                <w:ilvl w:val="0"/>
                <w:numId w:val="18"/>
              </w:num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需要时未能联系医生</w:t>
            </w:r>
          </w:p>
          <w:p w14:paraId="72F29B0C">
            <w:pPr>
              <w:pStyle w:val="22"/>
              <w:numPr>
                <w:ilvl w:val="0"/>
                <w:numId w:val="18"/>
              </w:numPr>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使用的试纸尚未确认是否可用于血糖仪</w:t>
            </w:r>
          </w:p>
        </w:tc>
      </w:tr>
      <w:tr w14:paraId="4AA83D73">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12" w:space="0"/>
              <w:right w:val="single" w:color="000000" w:sz="6" w:space="0"/>
            </w:tcBorders>
          </w:tcPr>
          <w:p w14:paraId="1F570772">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试剂</w:t>
            </w:r>
          </w:p>
        </w:tc>
        <w:tc>
          <w:tcPr>
            <w:tcW w:w="4048" w:type="pct"/>
            <w:tcBorders>
              <w:top w:val="single" w:color="000000" w:sz="6" w:space="0"/>
              <w:left w:val="single" w:color="000000" w:sz="6" w:space="0"/>
              <w:bottom w:val="single" w:color="000000" w:sz="12" w:space="0"/>
              <w:right w:val="single" w:color="000000" w:sz="12" w:space="0"/>
            </w:tcBorders>
          </w:tcPr>
          <w:p w14:paraId="68C55935">
            <w:pPr>
              <w:pStyle w:val="22"/>
              <w:numPr>
                <w:ilvl w:val="0"/>
                <w:numId w:val="19"/>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过期试纸或试剂</w:t>
            </w:r>
          </w:p>
          <w:p w14:paraId="75FC3A51">
            <w:pPr>
              <w:pStyle w:val="22"/>
              <w:numPr>
                <w:ilvl w:val="0"/>
                <w:numId w:val="19"/>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试纸损坏或被污染</w:t>
            </w:r>
          </w:p>
          <w:p w14:paraId="68561D20">
            <w:pPr>
              <w:pStyle w:val="22"/>
              <w:numPr>
                <w:ilvl w:val="0"/>
                <w:numId w:val="19"/>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试纸、校准品或质控品性能受损</w:t>
            </w:r>
          </w:p>
        </w:tc>
      </w:tr>
    </w:tbl>
    <w:p w14:paraId="334A430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42FA9D71">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tbl>
      <w:tblPr>
        <w:tblStyle w:val="21"/>
        <w:tblW w:w="5000" w:type="pct"/>
        <w:tblInd w:w="0" w:type="dxa"/>
        <w:tblLayout w:type="autofit"/>
        <w:tblCellMar>
          <w:top w:w="0" w:type="dxa"/>
          <w:left w:w="108" w:type="dxa"/>
          <w:bottom w:w="0" w:type="dxa"/>
          <w:right w:w="108" w:type="dxa"/>
        </w:tblCellMar>
      </w:tblPr>
      <w:tblGrid>
        <w:gridCol w:w="1768"/>
        <w:gridCol w:w="7519"/>
      </w:tblGrid>
      <w:tr w14:paraId="61F6ECD4">
        <w:tblPrEx>
          <w:tblCellMar>
            <w:top w:w="0" w:type="dxa"/>
            <w:left w:w="108" w:type="dxa"/>
            <w:bottom w:w="0" w:type="dxa"/>
            <w:right w:w="108" w:type="dxa"/>
          </w:tblCellMar>
        </w:tblPrEx>
        <w:tc>
          <w:tcPr>
            <w:tcW w:w="952" w:type="pct"/>
            <w:tcBorders>
              <w:top w:val="single" w:color="000000" w:sz="12" w:space="0"/>
              <w:left w:val="single" w:color="000000" w:sz="12" w:space="0"/>
              <w:bottom w:val="single" w:color="000000" w:sz="6" w:space="0"/>
              <w:right w:val="single" w:color="000000" w:sz="6" w:space="0"/>
            </w:tcBorders>
          </w:tcPr>
          <w:p w14:paraId="2376C47B">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4048" w:type="pct"/>
            <w:tcBorders>
              <w:top w:val="single" w:color="000000" w:sz="12" w:space="0"/>
              <w:left w:val="single" w:color="000000" w:sz="6" w:space="0"/>
              <w:bottom w:val="single" w:color="000000" w:sz="6" w:space="0"/>
              <w:right w:val="single" w:color="000000" w:sz="12" w:space="0"/>
            </w:tcBorders>
          </w:tcPr>
          <w:p w14:paraId="1E5C60A7">
            <w:pPr>
              <w:pStyle w:val="22"/>
              <w:numPr>
                <w:ilvl w:val="0"/>
                <w:numId w:val="20"/>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制造不正确；产品不符合质量标准</w:t>
            </w:r>
          </w:p>
          <w:p w14:paraId="58F4A276">
            <w:pPr>
              <w:pStyle w:val="22"/>
              <w:numPr>
                <w:ilvl w:val="0"/>
                <w:numId w:val="20"/>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试纸尺寸不正确</w:t>
            </w:r>
          </w:p>
          <w:p w14:paraId="3C0960C2">
            <w:pPr>
              <w:pStyle w:val="22"/>
              <w:numPr>
                <w:ilvl w:val="0"/>
                <w:numId w:val="20"/>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试纸上的化学反应（例如：还原物质）受到干扰</w:t>
            </w:r>
          </w:p>
          <w:p w14:paraId="4ED1CECA">
            <w:pPr>
              <w:pStyle w:val="22"/>
              <w:numPr>
                <w:ilvl w:val="0"/>
                <w:numId w:val="20"/>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试纸或其他试剂的容器设计不当；未能防止变质；用于保持试纸干燥的干燥剂失效</w:t>
            </w:r>
          </w:p>
        </w:tc>
      </w:tr>
      <w:tr w14:paraId="6CDDCF84">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6" w:space="0"/>
              <w:right w:val="single" w:color="000000" w:sz="6" w:space="0"/>
            </w:tcBorders>
          </w:tcPr>
          <w:p w14:paraId="58E86BDD">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环境</w:t>
            </w:r>
          </w:p>
        </w:tc>
        <w:tc>
          <w:tcPr>
            <w:tcW w:w="4048" w:type="pct"/>
            <w:tcBorders>
              <w:top w:val="single" w:color="000000" w:sz="6" w:space="0"/>
              <w:left w:val="single" w:color="000000" w:sz="6" w:space="0"/>
              <w:bottom w:val="single" w:color="000000" w:sz="6" w:space="0"/>
              <w:right w:val="single" w:color="000000" w:sz="12" w:space="0"/>
            </w:tcBorders>
          </w:tcPr>
          <w:p w14:paraId="677ED7DF">
            <w:pPr>
              <w:pStyle w:val="22"/>
              <w:numPr>
                <w:ilvl w:val="0"/>
                <w:numId w:val="21"/>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器械反应</w:t>
            </w:r>
          </w:p>
          <w:p w14:paraId="082C7702">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温度</w:t>
            </w:r>
          </w:p>
          <w:p w14:paraId="2CDE37E8">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湿度</w:t>
            </w:r>
          </w:p>
          <w:p w14:paraId="64139140">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海拔高度；高压氧治疗条件</w:t>
            </w:r>
          </w:p>
          <w:p w14:paraId="5DB83983">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电磁辐射</w:t>
            </w:r>
          </w:p>
          <w:p w14:paraId="7F833AB1">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可见光；阳光</w:t>
            </w:r>
          </w:p>
          <w:p w14:paraId="686F8BEA">
            <w:pPr>
              <w:pStyle w:val="22"/>
              <w:numPr>
                <w:ilvl w:val="0"/>
                <w:numId w:val="21"/>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人为因素</w:t>
            </w:r>
          </w:p>
          <w:p w14:paraId="1A577457">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照明，血糖仪表面眩光</w:t>
            </w:r>
          </w:p>
          <w:p w14:paraId="2816E966">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干扰，视觉和听觉</w:t>
            </w:r>
          </w:p>
          <w:p w14:paraId="1204C5F3">
            <w:pPr>
              <w:pStyle w:val="22"/>
              <w:numPr>
                <w:ilvl w:val="0"/>
                <w:numId w:val="21"/>
              </w:numPr>
              <w:adjustRightInd w:val="0"/>
              <w:snapToGrid w:val="0"/>
              <w:spacing w:before="36" w:beforeLines="15" w:line="276" w:lineRule="auto"/>
              <w:ind w:left="642"/>
              <w:jc w:val="both"/>
              <w:rPr>
                <w:rFonts w:ascii="Times New Roman" w:hAnsi="Times New Roman" w:eastAsia="宋体" w:cs="Times New Roman"/>
                <w:snapToGrid w:val="0"/>
                <w:sz w:val="21"/>
                <w:szCs w:val="21"/>
              </w:rPr>
            </w:pPr>
            <w:r>
              <w:rPr>
                <w:rFonts w:ascii="Times New Roman" w:hAnsi="Times New Roman" w:eastAsia="宋体" w:cs="宋体"/>
                <w:b/>
                <w:sz w:val="21"/>
              </w:rPr>
              <w:t>压力条件</w:t>
            </w:r>
          </w:p>
          <w:p w14:paraId="5C2AB139">
            <w:pPr>
              <w:pStyle w:val="22"/>
              <w:numPr>
                <w:ilvl w:val="0"/>
                <w:numId w:val="21"/>
              </w:numPr>
              <w:adjustRightInd w:val="0"/>
              <w:snapToGrid w:val="0"/>
              <w:spacing w:before="36" w:beforeLines="15" w:line="276" w:lineRule="auto"/>
              <w:ind w:left="642"/>
              <w:jc w:val="both"/>
              <w:rPr>
                <w:rFonts w:ascii="Times New Roman" w:hAnsi="Times New Roman" w:eastAsia="Times New Roman" w:cs="Times New Roman"/>
                <w:snapToGrid w:val="0"/>
                <w:sz w:val="21"/>
                <w:szCs w:val="21"/>
              </w:rPr>
            </w:pPr>
            <w:r>
              <w:rPr>
                <w:rFonts w:ascii="Times New Roman" w:hAnsi="Times New Roman" w:eastAsia="宋体" w:cs="宋体"/>
                <w:b/>
                <w:sz w:val="21"/>
              </w:rPr>
              <w:t>手动灵活性有限</w:t>
            </w:r>
          </w:p>
        </w:tc>
      </w:tr>
      <w:tr w14:paraId="38F64406">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6" w:space="0"/>
              <w:right w:val="single" w:color="000000" w:sz="6" w:space="0"/>
            </w:tcBorders>
          </w:tcPr>
          <w:p w14:paraId="146EE5CE">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软件</w:t>
            </w:r>
          </w:p>
        </w:tc>
        <w:tc>
          <w:tcPr>
            <w:tcW w:w="4048" w:type="pct"/>
            <w:tcBorders>
              <w:top w:val="single" w:color="000000" w:sz="6" w:space="0"/>
              <w:left w:val="single" w:color="000000" w:sz="6" w:space="0"/>
              <w:bottom w:val="single" w:color="000000" w:sz="6" w:space="0"/>
              <w:right w:val="single" w:color="000000" w:sz="12" w:space="0"/>
            </w:tcBorders>
          </w:tcPr>
          <w:p w14:paraId="7D72C435">
            <w:pPr>
              <w:pStyle w:val="22"/>
              <w:numPr>
                <w:ilvl w:val="0"/>
                <w:numId w:val="22"/>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混乱或模糊的用户提示和反馈</w:t>
            </w:r>
          </w:p>
          <w:p w14:paraId="36DE242F">
            <w:pPr>
              <w:pStyle w:val="22"/>
              <w:numPr>
                <w:ilvl w:val="0"/>
                <w:numId w:val="22"/>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不正确的数学算法</w:t>
            </w:r>
          </w:p>
          <w:p w14:paraId="031EED87">
            <w:pPr>
              <w:pStyle w:val="22"/>
              <w:numPr>
                <w:ilvl w:val="0"/>
                <w:numId w:val="22"/>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未检出或未识别的信号错误</w:t>
            </w:r>
          </w:p>
          <w:p w14:paraId="548B0E56">
            <w:pPr>
              <w:pStyle w:val="22"/>
              <w:numPr>
                <w:ilvl w:val="0"/>
                <w:numId w:val="22"/>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定时失效</w:t>
            </w:r>
          </w:p>
          <w:p w14:paraId="75B1DF38">
            <w:pPr>
              <w:pStyle w:val="22"/>
              <w:numPr>
                <w:ilvl w:val="0"/>
                <w:numId w:val="22"/>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检测结果在内存中的存储不正确，包括结果与正确患者或检测时间的匹配</w:t>
            </w:r>
          </w:p>
          <w:p w14:paraId="43CD605A">
            <w:pPr>
              <w:pStyle w:val="22"/>
              <w:numPr>
                <w:ilvl w:val="0"/>
                <w:numId w:val="22"/>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其他软件故障</w:t>
            </w:r>
          </w:p>
        </w:tc>
      </w:tr>
      <w:tr w14:paraId="183C8C0B">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12" w:space="0"/>
              <w:right w:val="single" w:color="000000" w:sz="6" w:space="0"/>
            </w:tcBorders>
          </w:tcPr>
          <w:p w14:paraId="5A9C6029">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硬件</w:t>
            </w:r>
          </w:p>
        </w:tc>
        <w:tc>
          <w:tcPr>
            <w:tcW w:w="4048" w:type="pct"/>
            <w:tcBorders>
              <w:top w:val="single" w:color="000000" w:sz="6" w:space="0"/>
              <w:left w:val="single" w:color="000000" w:sz="6" w:space="0"/>
              <w:bottom w:val="single" w:color="000000" w:sz="12" w:space="0"/>
              <w:right w:val="single" w:color="000000" w:sz="12" w:space="0"/>
            </w:tcBorders>
          </w:tcPr>
          <w:p w14:paraId="3C21F7C3">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电子故障</w:t>
            </w:r>
          </w:p>
          <w:p w14:paraId="7E2AB8C5">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物理创伤或振动</w:t>
            </w:r>
          </w:p>
          <w:p w14:paraId="47FF61F7">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试纸尺寸公差不正确（第三方制造商）导致器械损坏</w:t>
            </w:r>
          </w:p>
          <w:p w14:paraId="2B5E1913">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静电放电</w:t>
            </w:r>
          </w:p>
          <w:p w14:paraId="53F4A74C">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电磁/射频干扰</w:t>
            </w:r>
          </w:p>
          <w:p w14:paraId="6BC2EDB1">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电池可靠性、寿命和更换</w:t>
            </w:r>
          </w:p>
          <w:p w14:paraId="30258C66">
            <w:pPr>
              <w:pStyle w:val="22"/>
              <w:numPr>
                <w:ilvl w:val="0"/>
                <w:numId w:val="23"/>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组件失效</w:t>
            </w:r>
          </w:p>
          <w:p w14:paraId="2B87EA84">
            <w:pPr>
              <w:pStyle w:val="22"/>
              <w:numPr>
                <w:ilvl w:val="0"/>
                <w:numId w:val="23"/>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制造不正确</w:t>
            </w:r>
          </w:p>
        </w:tc>
      </w:tr>
    </w:tbl>
    <w:p w14:paraId="65D53D6A">
      <w:pPr>
        <w:adjustRightInd w:val="0"/>
        <w:snapToGrid w:val="0"/>
        <w:spacing w:before="120" w:beforeLines="50" w:line="300" w:lineRule="auto"/>
        <w:jc w:val="both"/>
        <w:rPr>
          <w:rFonts w:ascii="Times New Roman" w:hAnsi="Times New Roman" w:eastAsia="宋体" w:cs="Times New Roman"/>
          <w:snapToGrid w:val="0"/>
          <w:sz w:val="24"/>
          <w:szCs w:val="24"/>
        </w:rPr>
      </w:pPr>
    </w:p>
    <w:p w14:paraId="40A1E6EC">
      <w:pPr>
        <w:rPr>
          <w:rFonts w:ascii="Times New Roman" w:hAnsi="Times New Roman" w:eastAsia="宋体" w:cs="Times New Roman"/>
          <w:snapToGrid w:val="0"/>
          <w:sz w:val="24"/>
          <w:szCs w:val="24"/>
        </w:rPr>
      </w:pPr>
      <w:r>
        <w:rPr>
          <w:rFonts w:ascii="Times New Roman" w:hAnsi="Times New Roman" w:eastAsia="宋体" w:cs="宋体"/>
          <w:sz w:val="24"/>
        </w:rPr>
        <w:br w:type="page"/>
      </w:r>
    </w:p>
    <w:tbl>
      <w:tblPr>
        <w:tblStyle w:val="21"/>
        <w:tblW w:w="5000" w:type="pct"/>
        <w:tblInd w:w="0" w:type="dxa"/>
        <w:tblLayout w:type="autofit"/>
        <w:tblCellMar>
          <w:top w:w="0" w:type="dxa"/>
          <w:left w:w="108" w:type="dxa"/>
          <w:bottom w:w="0" w:type="dxa"/>
          <w:right w:w="108" w:type="dxa"/>
        </w:tblCellMar>
      </w:tblPr>
      <w:tblGrid>
        <w:gridCol w:w="1768"/>
        <w:gridCol w:w="7519"/>
      </w:tblGrid>
      <w:tr w14:paraId="21543F39">
        <w:tblPrEx>
          <w:tblCellMar>
            <w:top w:w="0" w:type="dxa"/>
            <w:left w:w="108" w:type="dxa"/>
            <w:bottom w:w="0" w:type="dxa"/>
            <w:right w:w="108" w:type="dxa"/>
          </w:tblCellMar>
        </w:tblPrEx>
        <w:tc>
          <w:tcPr>
            <w:tcW w:w="952" w:type="pct"/>
            <w:tcBorders>
              <w:top w:val="single" w:color="000000" w:sz="12" w:space="0"/>
              <w:left w:val="single" w:color="000000" w:sz="12" w:space="0"/>
              <w:bottom w:val="single" w:color="000000" w:sz="6" w:space="0"/>
              <w:right w:val="single" w:color="000000" w:sz="6" w:space="0"/>
            </w:tcBorders>
          </w:tcPr>
          <w:p w14:paraId="1E24B64A">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系统</w:t>
            </w:r>
          </w:p>
        </w:tc>
        <w:tc>
          <w:tcPr>
            <w:tcW w:w="4048" w:type="pct"/>
            <w:tcBorders>
              <w:top w:val="single" w:color="000000" w:sz="12" w:space="0"/>
              <w:left w:val="single" w:color="000000" w:sz="6" w:space="0"/>
              <w:bottom w:val="single" w:color="000000" w:sz="6" w:space="0"/>
              <w:right w:val="single" w:color="000000" w:sz="12" w:space="0"/>
            </w:tcBorders>
          </w:tcPr>
          <w:p w14:paraId="01720476">
            <w:pPr>
              <w:pStyle w:val="22"/>
              <w:numPr>
                <w:ilvl w:val="0"/>
                <w:numId w:val="24"/>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物理创伤或振动</w:t>
            </w:r>
          </w:p>
          <w:p w14:paraId="0E21D29A">
            <w:pPr>
              <w:pStyle w:val="22"/>
              <w:numPr>
                <w:ilvl w:val="0"/>
                <w:numId w:val="24"/>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校准/调整不正确（试纸批次之间）</w:t>
            </w:r>
          </w:p>
          <w:p w14:paraId="4299061C">
            <w:pPr>
              <w:pStyle w:val="22"/>
              <w:numPr>
                <w:ilvl w:val="0"/>
                <w:numId w:val="24"/>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校准失败、干扰、不稳定或在超出建议的稳定期时使用</w:t>
            </w:r>
          </w:p>
          <w:p w14:paraId="038C2CF1">
            <w:pPr>
              <w:pStyle w:val="22"/>
              <w:numPr>
                <w:ilvl w:val="0"/>
                <w:numId w:val="24"/>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标签不适合预期用户</w:t>
            </w:r>
          </w:p>
          <w:p w14:paraId="33A4BD5E">
            <w:pPr>
              <w:pStyle w:val="22"/>
              <w:numPr>
                <w:ilvl w:val="0"/>
                <w:numId w:val="24"/>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血糖仪或操作复杂性不适合预期用户</w:t>
            </w:r>
          </w:p>
          <w:p w14:paraId="5201923E">
            <w:pPr>
              <w:pStyle w:val="22"/>
              <w:numPr>
                <w:ilvl w:val="0"/>
                <w:numId w:val="24"/>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1"/>
              </w:rPr>
              <w:t>培训不充分</w:t>
            </w:r>
          </w:p>
        </w:tc>
      </w:tr>
      <w:tr w14:paraId="4C70DAEC">
        <w:tblPrEx>
          <w:tblCellMar>
            <w:top w:w="0" w:type="dxa"/>
            <w:left w:w="108" w:type="dxa"/>
            <w:bottom w:w="0" w:type="dxa"/>
            <w:right w:w="108" w:type="dxa"/>
          </w:tblCellMar>
        </w:tblPrEx>
        <w:tc>
          <w:tcPr>
            <w:tcW w:w="952" w:type="pct"/>
            <w:tcBorders>
              <w:top w:val="single" w:color="000000" w:sz="6" w:space="0"/>
              <w:left w:val="single" w:color="000000" w:sz="12" w:space="0"/>
              <w:bottom w:val="single" w:color="000000" w:sz="12" w:space="0"/>
              <w:right w:val="single" w:color="000000" w:sz="6" w:space="0"/>
            </w:tcBorders>
          </w:tcPr>
          <w:p w14:paraId="380A3A5C">
            <w:pPr>
              <w:pStyle w:val="23"/>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1"/>
              </w:rPr>
              <w:t>临床</w:t>
            </w:r>
          </w:p>
        </w:tc>
        <w:tc>
          <w:tcPr>
            <w:tcW w:w="4048" w:type="pct"/>
            <w:tcBorders>
              <w:top w:val="single" w:color="000000" w:sz="6" w:space="0"/>
              <w:left w:val="single" w:color="000000" w:sz="6" w:space="0"/>
              <w:bottom w:val="single" w:color="000000" w:sz="12" w:space="0"/>
              <w:right w:val="single" w:color="000000" w:sz="12" w:space="0"/>
            </w:tcBorders>
          </w:tcPr>
          <w:p w14:paraId="7B6DAE4A">
            <w:pPr>
              <w:pStyle w:val="22"/>
              <w:numPr>
                <w:ilvl w:val="0"/>
                <w:numId w:val="25"/>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b/>
                <w:sz w:val="21"/>
              </w:rPr>
              <w:t>内源性物质干扰</w:t>
            </w:r>
          </w:p>
          <w:p w14:paraId="39C4490A">
            <w:pPr>
              <w:pStyle w:val="22"/>
              <w:numPr>
                <w:ilvl w:val="0"/>
                <w:numId w:val="25"/>
              </w:numPr>
              <w:tabs>
                <w:tab w:val="left" w:pos="459"/>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b/>
                <w:sz w:val="21"/>
                <w:lang w:eastAsia="zh-CN"/>
              </w:rPr>
              <w:t>严重疾病（如脱水、缺氧、高血糖-高渗状态、低血压或休克、酮症酸中毒）</w:t>
            </w:r>
          </w:p>
          <w:p w14:paraId="3A32DDB9">
            <w:pPr>
              <w:pStyle w:val="22"/>
              <w:numPr>
                <w:ilvl w:val="0"/>
                <w:numId w:val="25"/>
              </w:numPr>
              <w:tabs>
                <w:tab w:val="left" w:pos="459"/>
              </w:tabs>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其他外源性物质（例如麦芽糖静脉注射液）的干扰</w:t>
            </w:r>
          </w:p>
        </w:tc>
      </w:tr>
    </w:tbl>
    <w:p w14:paraId="208B6BF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FB9F9F0">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CB634CB">
      <w:pPr>
        <w:pStyle w:val="27"/>
        <w:rPr>
          <w:rFonts w:eastAsia="宋体"/>
          <w:lang w:eastAsia="zh-CN"/>
        </w:rPr>
      </w:pPr>
      <w:bookmarkStart w:id="40" w:name="_Toc91871191"/>
      <w:r>
        <w:rPr>
          <w:rFonts w:eastAsia="宋体" w:cs="宋体"/>
          <w:lang w:eastAsia="zh-CN"/>
        </w:rPr>
        <w:t>附录2.特殊510(k)与SMBG</w:t>
      </w:r>
      <w:bookmarkEnd w:id="40"/>
    </w:p>
    <w:p w14:paraId="351429F6">
      <w:pPr>
        <w:adjustRightInd w:val="0"/>
        <w:snapToGrid w:val="0"/>
        <w:spacing w:before="120" w:beforeLines="50" w:line="300" w:lineRule="auto"/>
        <w:jc w:val="both"/>
        <w:rPr>
          <w:rFonts w:ascii="Times New Roman" w:hAnsi="Times New Roman" w:eastAsia="宋体" w:cs="Times New Roman"/>
          <w:snapToGrid w:val="0"/>
          <w:sz w:val="24"/>
          <w:szCs w:val="24"/>
          <w:u w:val="single"/>
          <w:lang w:eastAsia="zh-CN"/>
        </w:rPr>
      </w:pPr>
      <w:r>
        <w:rPr>
          <w:rFonts w:ascii="Times New Roman" w:hAnsi="Times New Roman" w:eastAsia="宋体" w:cs="宋体"/>
          <w:b/>
          <w:sz w:val="24"/>
          <w:u w:val="single"/>
          <w:lang w:eastAsia="zh-CN"/>
        </w:rPr>
        <w:t>特殊510(k)是什么？它如何应用于血糖仪申报？</w:t>
      </w:r>
    </w:p>
    <w:p w14:paraId="619A908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特殊510(k)申报是制造商先前已获得批准的器械的某些修改的传统实质等同性证明方法的替代方法，FDA认为，除其他510(k)内容要求之外，质量体系法规（QS reg）[参见CFR第21篇第820部分]中严格的设计控制程序要求可产生高度可靠的结果，也可成为确定实质等同性的基础。</w:t>
      </w:r>
    </w:p>
    <w:p w14:paraId="01A7031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选择提交特殊510(k)，则计划修改自有合法上市器械的510(k)持有人应开展风险分析及必要的验证和确认活动，以证明修改后器械的设计输出符合设计输入要求。如果510(k)持有人确保其可圆满完成此过程，其可以提交</w:t>
      </w:r>
      <w:r>
        <w:rPr>
          <w:rFonts w:hint="eastAsia" w:ascii="Times New Roman" w:hAnsi="Times New Roman" w:eastAsia="宋体" w:cs="宋体"/>
          <w:sz w:val="24"/>
          <w:lang w:eastAsia="zh-CN"/>
        </w:rPr>
        <w:t>《</w:t>
      </w:r>
      <w:r>
        <w:rPr>
          <w:rFonts w:ascii="Times New Roman" w:hAnsi="Times New Roman" w:eastAsia="宋体" w:cs="宋体"/>
          <w:sz w:val="24"/>
          <w:lang w:eastAsia="zh-CN"/>
        </w:rPr>
        <w:t>特殊510(k)：器械修改</w:t>
      </w:r>
      <w:r>
        <w:rPr>
          <w:rFonts w:hint="eastAsia" w:ascii="Times New Roman" w:hAnsi="Times New Roman" w:eastAsia="宋体" w:cs="宋体"/>
          <w:sz w:val="24"/>
          <w:lang w:eastAsia="zh-CN"/>
        </w:rPr>
        <w:t>》</w:t>
      </w:r>
      <w:r>
        <w:rPr>
          <w:rFonts w:ascii="Times New Roman" w:hAnsi="Times New Roman" w:eastAsia="宋体" w:cs="宋体"/>
          <w:sz w:val="24"/>
          <w:lang w:eastAsia="zh-CN"/>
        </w:rPr>
        <w:t>。</w:t>
      </w:r>
    </w:p>
    <w:p w14:paraId="7F2ECC8A">
      <w:pPr>
        <w:pStyle w:val="4"/>
        <w:adjustRightInd w:val="0"/>
        <w:snapToGrid w:val="0"/>
        <w:spacing w:before="120" w:beforeLines="50" w:line="300" w:lineRule="auto"/>
        <w:ind w:left="0" w:firstLine="0"/>
        <w:jc w:val="both"/>
        <w:rPr>
          <w:rFonts w:eastAsia="宋体" w:cs="Times New Roman"/>
          <w:b w:val="0"/>
          <w:bCs w:val="0"/>
          <w:snapToGrid w:val="0"/>
          <w:lang w:eastAsia="zh-CN"/>
        </w:rPr>
      </w:pPr>
      <w:r>
        <w:rPr>
          <w:rFonts w:eastAsia="宋体" w:cs="宋体"/>
          <w:lang w:eastAsia="zh-CN"/>
        </w:rPr>
        <w:t>特殊510(k)资格</w:t>
      </w:r>
    </w:p>
    <w:p w14:paraId="4169D10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为确定修改版SMBG是否符合特殊510(k)申报的条件，应查阅标题为《</w:t>
      </w:r>
      <w:r>
        <w:fldChar w:fldCharType="begin"/>
      </w:r>
      <w:r>
        <w:instrText xml:space="preserve"> HYPERLINK "https://www.fda.gov/regulatory-information/search-fda-guidance-documents/new-510k-paradigm-alternate-approaches-demonstrating-substantial-equivalence-premarket-notifications" \h </w:instrText>
      </w:r>
      <w:r>
        <w:fldChar w:fldCharType="separate"/>
      </w:r>
      <w:r>
        <w:rPr>
          <w:rFonts w:ascii="Times New Roman" w:hAnsi="Times New Roman" w:eastAsia="宋体" w:cs="宋体"/>
          <w:snapToGrid w:val="0"/>
          <w:color w:val="0000FF"/>
          <w:sz w:val="24"/>
          <w:szCs w:val="24"/>
          <w:u w:val="single"/>
          <w:lang w:eastAsia="zh-CN"/>
        </w:rPr>
        <w:t>新510(k)范式 - 上市前通知中证明实质等同性的替代方法 - 最终指南</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lang w:eastAsia="zh-CN"/>
        </w:rPr>
        <w:t>17</w:t>
      </w:r>
      <w:r>
        <w:rPr>
          <w:rFonts w:ascii="Times New Roman" w:hAnsi="Times New Roman" w:eastAsia="宋体" w:cs="宋体"/>
          <w:sz w:val="24"/>
          <w:lang w:eastAsia="zh-CN"/>
        </w:rPr>
        <w:t>申请方还应查阅FDA网站上的《</w:t>
      </w:r>
      <w:r>
        <w:fldChar w:fldCharType="begin"/>
      </w:r>
      <w:r>
        <w:instrText xml:space="preserve"> HYPERLINK "https://www.fda.gov/medical-devices/premarket-notification-510k/how-prepare-special-510k" \h </w:instrText>
      </w:r>
      <w:r>
        <w:fldChar w:fldCharType="separate"/>
      </w:r>
      <w:r>
        <w:rPr>
          <w:rFonts w:ascii="Times New Roman" w:hAnsi="Times New Roman" w:eastAsia="宋体" w:cs="宋体"/>
          <w:snapToGrid w:val="0"/>
          <w:color w:val="0000FF"/>
          <w:sz w:val="24"/>
          <w:szCs w:val="24"/>
          <w:u w:val="single" w:color="0000FF"/>
          <w:lang w:eastAsia="zh-CN"/>
        </w:rPr>
        <w:t>如何准备特殊510(k)</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》文件。</w:t>
      </w:r>
      <w:r>
        <w:rPr>
          <w:rFonts w:ascii="Times New Roman" w:hAnsi="Times New Roman" w:eastAsia="宋体" w:cs="宋体"/>
          <w:sz w:val="24"/>
          <w:vertAlign w:val="superscript"/>
          <w:lang w:eastAsia="zh-CN"/>
        </w:rPr>
        <w:t>18</w:t>
      </w:r>
    </w:p>
    <w:p w14:paraId="1383F6F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上所述，当候选器械是申请方自己的合法上市器械的修改版时，可以采用特殊510(k)申报，申请方自己的合法上市器械将作为修改版器械的同品种器械。这通常意味着候选器械和同品种器械是同一个器械设计文件的一部分。同品种器械A和候选器械B之间存在</w:t>
      </w:r>
      <w:r>
        <w:rPr>
          <w:rFonts w:ascii="Times New Roman" w:hAnsi="Times New Roman" w:eastAsia="宋体" w:cs="宋体"/>
          <w:i/>
          <w:sz w:val="24"/>
          <w:lang w:eastAsia="zh-CN"/>
        </w:rPr>
        <w:t>相似性</w:t>
      </w:r>
      <w:r>
        <w:rPr>
          <w:rFonts w:ascii="Times New Roman" w:hAnsi="Times New Roman" w:eastAsia="宋体" w:cs="宋体"/>
          <w:sz w:val="24"/>
          <w:lang w:eastAsia="zh-CN"/>
        </w:rPr>
        <w:t>本身并不一定意味着器械B是器械A的修改版。</w:t>
      </w:r>
    </w:p>
    <w:p w14:paraId="48A564C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建议联系体外诊断器械与</w:t>
      </w:r>
      <w:r>
        <w:rPr>
          <w:rFonts w:hint="eastAsia" w:ascii="Times New Roman" w:hAnsi="Times New Roman" w:eastAsia="宋体" w:cs="宋体"/>
          <w:sz w:val="24"/>
          <w:lang w:eastAsia="zh-CN"/>
        </w:rPr>
        <w:t>辐射</w:t>
      </w:r>
      <w:r>
        <w:rPr>
          <w:rFonts w:ascii="Times New Roman" w:hAnsi="Times New Roman" w:eastAsia="宋体" w:cs="宋体"/>
          <w:sz w:val="24"/>
          <w:lang w:eastAsia="zh-CN"/>
        </w:rPr>
        <w:t>健康办公室（OIR），讨论关于SMBG的特殊510(k)申报资格的任何具体问题。</w:t>
      </w:r>
    </w:p>
    <w:p w14:paraId="0C16F47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7AE37F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1A6401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F6B7F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0FD06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5EB7EA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FAF350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F928A4A">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__________________________</w:t>
      </w:r>
    </w:p>
    <w:p w14:paraId="23D001A4">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17</w:t>
      </w:r>
      <w:r>
        <w:rPr>
          <w:rFonts w:ascii="Times New Roman" w:hAnsi="Times New Roman" w:eastAsia="宋体" w:cs="宋体"/>
          <w:sz w:val="21"/>
        </w:rPr>
        <w:t xml:space="preserve"> 可登录以下网址获取：</w:t>
      </w:r>
      <w:r>
        <w:fldChar w:fldCharType="begin"/>
      </w:r>
      <w:r>
        <w:instrText xml:space="preserve"> HYPERLINK "https://www.fda.gov/regulatory-information/search-fda-guidance-documents/new-510k-" </w:instrText>
      </w:r>
      <w:r>
        <w:fldChar w:fldCharType="separate"/>
      </w:r>
      <w:r>
        <w:rPr>
          <w:rStyle w:val="19"/>
          <w:rFonts w:ascii="Times New Roman" w:hAnsi="Times New Roman" w:eastAsia="宋体" w:cs="宋体"/>
          <w:snapToGrid w:val="0"/>
          <w:sz w:val="21"/>
          <w:szCs w:val="21"/>
        </w:rPr>
        <w:t>https://www.fda.gov/regulatory-information/search-fda-guidance-documents/new-510k-</w:t>
      </w:r>
      <w:r>
        <w:rPr>
          <w:rStyle w:val="19"/>
          <w:rFonts w:ascii="Times New Roman" w:hAnsi="Times New Roman" w:eastAsia="宋体" w:cs="宋体"/>
          <w:snapToGrid w:val="0"/>
          <w:sz w:val="21"/>
          <w:szCs w:val="21"/>
        </w:rPr>
        <w:fldChar w:fldCharType="end"/>
      </w:r>
      <w:r>
        <w:fldChar w:fldCharType="begin"/>
      </w:r>
      <w:r>
        <w:instrText xml:space="preserve"> HYPERLINK "https://www.fda.gov/regulatory-information/search-fda-guidance-documents/new-510k-paradigm-alternate-approaches-demonstrating-substantial-equivalence-premarket-notifications" \h </w:instrText>
      </w:r>
      <w:r>
        <w:fldChar w:fldCharType="separate"/>
      </w:r>
      <w:r>
        <w:rPr>
          <w:rFonts w:ascii="Times New Roman" w:hAnsi="Times New Roman" w:eastAsia="宋体" w:cs="宋体"/>
          <w:snapToGrid w:val="0"/>
          <w:color w:val="0000FF"/>
          <w:sz w:val="21"/>
          <w:szCs w:val="21"/>
          <w:u w:val="single" w:color="0000FF"/>
        </w:rPr>
        <w:t>paradigm-alternate-approaches-demonstrating-substantial-equivalence-premarket-notifications</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7DDBB25D">
      <w:pPr>
        <w:tabs>
          <w:tab w:val="left" w:pos="280"/>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18</w:t>
      </w:r>
      <w:r>
        <w:rPr>
          <w:rFonts w:ascii="Times New Roman" w:hAnsi="Times New Roman" w:eastAsia="宋体" w:cs="宋体"/>
          <w:sz w:val="21"/>
        </w:rPr>
        <w:t xml:space="preserve"> 可登录以下网址获取：</w:t>
      </w:r>
      <w:r>
        <w:fldChar w:fldCharType="begin"/>
      </w:r>
      <w:r>
        <w:instrText xml:space="preserve"> HYPERLINK "https://www.fda.gov/medical-devices/premarket-notification-510k/how-prepare-special-510k" \h </w:instrText>
      </w:r>
      <w:r>
        <w:fldChar w:fldCharType="separate"/>
      </w:r>
      <w:r>
        <w:rPr>
          <w:rFonts w:ascii="Times New Roman" w:hAnsi="Times New Roman" w:eastAsia="宋体" w:cs="宋体"/>
          <w:snapToGrid w:val="0"/>
          <w:color w:val="0000FF"/>
          <w:sz w:val="21"/>
          <w:szCs w:val="21"/>
          <w:u w:val="single" w:color="0000FF"/>
        </w:rPr>
        <w:t>https://www.fda.gov/medical-devices/premarket-notification-510k/how-prepare-special-510k</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00"/>
          <w:sz w:val="21"/>
        </w:rPr>
        <w:t>。</w:t>
      </w:r>
    </w:p>
    <w:p w14:paraId="623DA90C">
      <w:pPr>
        <w:pBdr>
          <w:bottom w:val="single" w:color="auto" w:sz="4" w:space="1"/>
        </w:pBdr>
        <w:adjustRightInd w:val="0"/>
        <w:snapToGrid w:val="0"/>
        <w:spacing w:before="120" w:beforeLines="50" w:line="300" w:lineRule="auto"/>
        <w:jc w:val="center"/>
        <w:rPr>
          <w:rFonts w:hint="eastAsia" w:eastAsia="宋体"/>
          <w:lang w:eastAsia="zh-CN"/>
        </w:rPr>
      </w:pPr>
    </w:p>
    <w:p w14:paraId="68F32FF5">
      <w:pPr>
        <w:pBdr>
          <w:bottom w:val="single" w:color="auto" w:sz="4" w:space="1"/>
        </w:pBdr>
        <w:adjustRightInd w:val="0"/>
        <w:snapToGrid w:val="0"/>
        <w:spacing w:before="120" w:beforeLines="50" w:line="300" w:lineRule="auto"/>
        <w:jc w:val="center"/>
        <w:rPr>
          <w:rFonts w:hint="eastAsia" w:eastAsia="宋体"/>
          <w:lang w:eastAsia="zh-CN"/>
        </w:rPr>
      </w:pPr>
    </w:p>
    <w:p w14:paraId="73B2EA34">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8A96">
    <w:pPr>
      <w:pStyle w:val="10"/>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11</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F9E">
    <w:pPr>
      <w:pStyle w:val="11"/>
      <w:pBdr>
        <w:bottom w:val="none" w:color="auto" w:sz="0" w:space="0"/>
      </w:pBdr>
      <w:rPr>
        <w:rFonts w:ascii="Times New Roman" w:hAnsi="Times New Roman" w:eastAsia="宋体" w:cs="Times New Roman"/>
        <w:sz w:val="21"/>
        <w:szCs w:val="21"/>
        <w:lang w:eastAsia="zh-CN"/>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B4FEA"/>
    <w:multiLevelType w:val="multilevel"/>
    <w:tmpl w:val="058B4F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D750AE"/>
    <w:multiLevelType w:val="multilevel"/>
    <w:tmpl w:val="08D750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274941"/>
    <w:multiLevelType w:val="multilevel"/>
    <w:tmpl w:val="092749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95D672D"/>
    <w:multiLevelType w:val="multilevel"/>
    <w:tmpl w:val="095D6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0027C5"/>
    <w:multiLevelType w:val="multilevel"/>
    <w:tmpl w:val="0B0027C5"/>
    <w:lvl w:ilvl="0" w:tentative="0">
      <w:start w:val="1"/>
      <w:numFmt w:val="bullet"/>
      <w:lvlText w:val=""/>
      <w:lvlJc w:val="left"/>
      <w:pPr>
        <w:ind w:left="480" w:hanging="420"/>
      </w:pPr>
      <w:rPr>
        <w:rFonts w:hint="default" w:ascii="Wingdings" w:hAnsi="Wingdings"/>
        <w:color w:val="auto"/>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5">
    <w:nsid w:val="0B352CE8"/>
    <w:multiLevelType w:val="multilevel"/>
    <w:tmpl w:val="0B352C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C636611"/>
    <w:multiLevelType w:val="multilevel"/>
    <w:tmpl w:val="0C6366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7F241F"/>
    <w:multiLevelType w:val="multilevel"/>
    <w:tmpl w:val="177F24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4F3EB0"/>
    <w:multiLevelType w:val="multilevel"/>
    <w:tmpl w:val="1C4F3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EE32091"/>
    <w:multiLevelType w:val="multilevel"/>
    <w:tmpl w:val="1EE320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2612728"/>
    <w:multiLevelType w:val="multilevel"/>
    <w:tmpl w:val="226127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6537327"/>
    <w:multiLevelType w:val="multilevel"/>
    <w:tmpl w:val="265373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13E5CAC"/>
    <w:multiLevelType w:val="multilevel"/>
    <w:tmpl w:val="313E5C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41F36BD"/>
    <w:multiLevelType w:val="multilevel"/>
    <w:tmpl w:val="341F36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87B0395"/>
    <w:multiLevelType w:val="multilevel"/>
    <w:tmpl w:val="387B03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B5272D1"/>
    <w:multiLevelType w:val="multilevel"/>
    <w:tmpl w:val="3B527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3652B01"/>
    <w:multiLevelType w:val="multilevel"/>
    <w:tmpl w:val="43652B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A0B3A39"/>
    <w:multiLevelType w:val="multilevel"/>
    <w:tmpl w:val="4A0B3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A207E68"/>
    <w:multiLevelType w:val="multilevel"/>
    <w:tmpl w:val="4A207E68"/>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default" w:ascii="Times New Roman" w:hAnsi="Times New Roman" w:eastAsia="Aria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DA15FBA"/>
    <w:multiLevelType w:val="multilevel"/>
    <w:tmpl w:val="4DA15F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06B69AC"/>
    <w:multiLevelType w:val="multilevel"/>
    <w:tmpl w:val="506B69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AF94D4F"/>
    <w:multiLevelType w:val="multilevel"/>
    <w:tmpl w:val="5AF94D4F"/>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371395B"/>
    <w:multiLevelType w:val="multilevel"/>
    <w:tmpl w:val="637139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86F3B3B"/>
    <w:multiLevelType w:val="multilevel"/>
    <w:tmpl w:val="686F3B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5192364"/>
    <w:multiLevelType w:val="multilevel"/>
    <w:tmpl w:val="751923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11"/>
  </w:num>
  <w:num w:numId="3">
    <w:abstractNumId w:val="13"/>
  </w:num>
  <w:num w:numId="4">
    <w:abstractNumId w:val="6"/>
  </w:num>
  <w:num w:numId="5">
    <w:abstractNumId w:val="1"/>
  </w:num>
  <w:num w:numId="6">
    <w:abstractNumId w:val="20"/>
  </w:num>
  <w:num w:numId="7">
    <w:abstractNumId w:val="14"/>
  </w:num>
  <w:num w:numId="8">
    <w:abstractNumId w:val="0"/>
  </w:num>
  <w:num w:numId="9">
    <w:abstractNumId w:val="7"/>
  </w:num>
  <w:num w:numId="10">
    <w:abstractNumId w:val="4"/>
  </w:num>
  <w:num w:numId="11">
    <w:abstractNumId w:val="5"/>
  </w:num>
  <w:num w:numId="12">
    <w:abstractNumId w:val="2"/>
  </w:num>
  <w:num w:numId="13">
    <w:abstractNumId w:val="16"/>
  </w:num>
  <w:num w:numId="14">
    <w:abstractNumId w:val="21"/>
  </w:num>
  <w:num w:numId="15">
    <w:abstractNumId w:val="22"/>
  </w:num>
  <w:num w:numId="16">
    <w:abstractNumId w:val="3"/>
  </w:num>
  <w:num w:numId="17">
    <w:abstractNumId w:val="19"/>
  </w:num>
  <w:num w:numId="18">
    <w:abstractNumId w:val="9"/>
  </w:num>
  <w:num w:numId="19">
    <w:abstractNumId w:val="24"/>
  </w:num>
  <w:num w:numId="20">
    <w:abstractNumId w:val="10"/>
  </w:num>
  <w:num w:numId="21">
    <w:abstractNumId w:val="23"/>
  </w:num>
  <w:num w:numId="22">
    <w:abstractNumId w:val="12"/>
  </w:num>
  <w:num w:numId="23">
    <w:abstractNumId w:val="15"/>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CB"/>
    <w:rsid w:val="000102EB"/>
    <w:rsid w:val="000112AD"/>
    <w:rsid w:val="00022056"/>
    <w:rsid w:val="000460CB"/>
    <w:rsid w:val="0006080D"/>
    <w:rsid w:val="000B1E43"/>
    <w:rsid w:val="000C61BF"/>
    <w:rsid w:val="000F1B71"/>
    <w:rsid w:val="00115804"/>
    <w:rsid w:val="00144FCB"/>
    <w:rsid w:val="001543C2"/>
    <w:rsid w:val="00177488"/>
    <w:rsid w:val="00195683"/>
    <w:rsid w:val="001B600A"/>
    <w:rsid w:val="001F0A9D"/>
    <w:rsid w:val="00214C82"/>
    <w:rsid w:val="00247616"/>
    <w:rsid w:val="002642ED"/>
    <w:rsid w:val="00276A23"/>
    <w:rsid w:val="002E5E4C"/>
    <w:rsid w:val="002E7824"/>
    <w:rsid w:val="002F290D"/>
    <w:rsid w:val="00302512"/>
    <w:rsid w:val="00304544"/>
    <w:rsid w:val="00307C74"/>
    <w:rsid w:val="00315D79"/>
    <w:rsid w:val="003A58C6"/>
    <w:rsid w:val="00406BED"/>
    <w:rsid w:val="00426630"/>
    <w:rsid w:val="00451E97"/>
    <w:rsid w:val="004C0000"/>
    <w:rsid w:val="004C2992"/>
    <w:rsid w:val="004D7E1D"/>
    <w:rsid w:val="0050117E"/>
    <w:rsid w:val="0057192E"/>
    <w:rsid w:val="0058512C"/>
    <w:rsid w:val="005F716C"/>
    <w:rsid w:val="006265A2"/>
    <w:rsid w:val="00650F52"/>
    <w:rsid w:val="00653571"/>
    <w:rsid w:val="00680E40"/>
    <w:rsid w:val="006D439A"/>
    <w:rsid w:val="007957D2"/>
    <w:rsid w:val="007E6307"/>
    <w:rsid w:val="008118B9"/>
    <w:rsid w:val="008169F6"/>
    <w:rsid w:val="0089014D"/>
    <w:rsid w:val="008D427B"/>
    <w:rsid w:val="00900CA0"/>
    <w:rsid w:val="009026D4"/>
    <w:rsid w:val="0092203A"/>
    <w:rsid w:val="00961480"/>
    <w:rsid w:val="009633B5"/>
    <w:rsid w:val="00981FCF"/>
    <w:rsid w:val="009962AA"/>
    <w:rsid w:val="009E5E7E"/>
    <w:rsid w:val="00A275E1"/>
    <w:rsid w:val="00A34F4E"/>
    <w:rsid w:val="00A65691"/>
    <w:rsid w:val="00A66084"/>
    <w:rsid w:val="00A71969"/>
    <w:rsid w:val="00A951CF"/>
    <w:rsid w:val="00AC2BA5"/>
    <w:rsid w:val="00AD1608"/>
    <w:rsid w:val="00AE2AE8"/>
    <w:rsid w:val="00B8550C"/>
    <w:rsid w:val="00BB05AA"/>
    <w:rsid w:val="00BD48D9"/>
    <w:rsid w:val="00C961FA"/>
    <w:rsid w:val="00D018C0"/>
    <w:rsid w:val="00D03A83"/>
    <w:rsid w:val="00D2299A"/>
    <w:rsid w:val="00D25487"/>
    <w:rsid w:val="00D42E1E"/>
    <w:rsid w:val="00D45271"/>
    <w:rsid w:val="00D528AC"/>
    <w:rsid w:val="00D9648F"/>
    <w:rsid w:val="00DC49CD"/>
    <w:rsid w:val="00DD3496"/>
    <w:rsid w:val="00DF7BFC"/>
    <w:rsid w:val="00E564E5"/>
    <w:rsid w:val="00E830B4"/>
    <w:rsid w:val="00ED2136"/>
    <w:rsid w:val="00EE702C"/>
    <w:rsid w:val="00F07203"/>
    <w:rsid w:val="00F3442F"/>
    <w:rsid w:val="00F85E01"/>
    <w:rsid w:val="00F86DFD"/>
    <w:rsid w:val="00F923E1"/>
    <w:rsid w:val="00FB10B8"/>
    <w:rsid w:val="19A2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9"/>
    <w:qFormat/>
    <w:uiPriority w:val="1"/>
    <w:pPr>
      <w:ind w:left="1180" w:hanging="1080"/>
      <w:outlineLvl w:val="0"/>
    </w:pPr>
    <w:rPr>
      <w:rFonts w:ascii="Times New Roman" w:hAnsi="Times New Roman" w:eastAsia="Times New Roman"/>
      <w:b/>
      <w:bCs/>
      <w:sz w:val="36"/>
      <w:szCs w:val="36"/>
    </w:rPr>
  </w:style>
  <w:style w:type="paragraph" w:styleId="3">
    <w:name w:val="heading 2"/>
    <w:basedOn w:val="1"/>
    <w:link w:val="32"/>
    <w:qFormat/>
    <w:uiPriority w:val="1"/>
    <w:pPr>
      <w:ind w:left="460" w:hanging="360"/>
      <w:outlineLvl w:val="1"/>
    </w:pPr>
    <w:rPr>
      <w:rFonts w:ascii="Times New Roman" w:hAnsi="Times New Roman" w:eastAsia="Times New Roman"/>
      <w:b/>
      <w:bCs/>
      <w:i/>
      <w:sz w:val="28"/>
      <w:szCs w:val="28"/>
    </w:rPr>
  </w:style>
  <w:style w:type="paragraph" w:styleId="4">
    <w:name w:val="heading 3"/>
    <w:basedOn w:val="1"/>
    <w:qFormat/>
    <w:uiPriority w:val="1"/>
    <w:pPr>
      <w:ind w:left="459" w:hanging="360"/>
      <w:outlineLvl w:val="2"/>
    </w:pPr>
    <w:rPr>
      <w:rFonts w:ascii="Times New Roman" w:hAnsi="Times New Roman" w:eastAsia="Times New Roman"/>
      <w:b/>
      <w:bCs/>
      <w:sz w:val="24"/>
      <w:szCs w:val="24"/>
    </w:rPr>
  </w:style>
  <w:style w:type="paragraph" w:styleId="5">
    <w:name w:val="heading 4"/>
    <w:basedOn w:val="1"/>
    <w:link w:val="34"/>
    <w:qFormat/>
    <w:uiPriority w:val="1"/>
    <w:pPr>
      <w:ind w:left="800" w:hanging="360"/>
      <w:outlineLvl w:val="3"/>
    </w:pPr>
    <w:rPr>
      <w:rFonts w:ascii="Times New Roman" w:hAnsi="Times New Roman" w:eastAsia="Times New Roman"/>
      <w:b/>
      <w:bCs/>
      <w:i/>
      <w:sz w:val="24"/>
      <w:szCs w:val="24"/>
      <w:u w:val="single"/>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8"/>
    <w:semiHidden/>
    <w:unhideWhenUsed/>
    <w:qFormat/>
    <w:uiPriority w:val="99"/>
  </w:style>
  <w:style w:type="paragraph" w:styleId="7">
    <w:name w:val="toc 5"/>
    <w:basedOn w:val="1"/>
    <w:qFormat/>
    <w:uiPriority w:val="1"/>
    <w:pPr>
      <w:ind w:left="900" w:hanging="401"/>
    </w:pPr>
    <w:rPr>
      <w:rFonts w:ascii="Times New Roman" w:hAnsi="Times New Roman" w:eastAsia="Times New Roman"/>
      <w:b/>
      <w:bCs/>
      <w:i/>
    </w:rPr>
  </w:style>
  <w:style w:type="paragraph" w:styleId="8">
    <w:name w:val="toc 3"/>
    <w:basedOn w:val="1"/>
    <w:qFormat/>
    <w:uiPriority w:val="39"/>
    <w:pPr>
      <w:ind w:left="900" w:hanging="600"/>
    </w:pPr>
    <w:rPr>
      <w:rFonts w:ascii="Times New Roman" w:hAnsi="Times New Roman" w:eastAsia="Times New Roman"/>
      <w:b/>
      <w:bCs/>
      <w:i/>
    </w:rPr>
  </w:style>
  <w:style w:type="paragraph" w:styleId="9">
    <w:name w:val="Balloon Text"/>
    <w:basedOn w:val="1"/>
    <w:link w:val="24"/>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pacing w:before="239"/>
      <w:ind w:left="700" w:hanging="600"/>
    </w:pPr>
    <w:rPr>
      <w:rFonts w:ascii="Times New Roman" w:hAnsi="Times New Roman" w:eastAsia="Times New Roman"/>
      <w:b/>
      <w:bCs/>
      <w:sz w:val="20"/>
      <w:szCs w:val="20"/>
    </w:rPr>
  </w:style>
  <w:style w:type="paragraph" w:styleId="13">
    <w:name w:val="toc 4"/>
    <w:basedOn w:val="1"/>
    <w:qFormat/>
    <w:uiPriority w:val="1"/>
    <w:pPr>
      <w:ind w:left="900" w:hanging="401"/>
    </w:pPr>
    <w:rPr>
      <w:rFonts w:ascii="Times New Roman" w:hAnsi="Times New Roman" w:eastAsia="Times New Roman"/>
      <w:b/>
      <w:bCs/>
      <w:i/>
      <w:sz w:val="20"/>
      <w:szCs w:val="20"/>
    </w:rPr>
  </w:style>
  <w:style w:type="paragraph" w:styleId="14">
    <w:name w:val="toc 2"/>
    <w:basedOn w:val="1"/>
    <w:qFormat/>
    <w:uiPriority w:val="39"/>
    <w:pPr>
      <w:ind w:left="900" w:hanging="600"/>
    </w:pPr>
    <w:rPr>
      <w:rFonts w:ascii="Times New Roman" w:hAnsi="Times New Roman" w:eastAsia="Times New Roman"/>
      <w:sz w:val="16"/>
      <w:szCs w:val="16"/>
    </w:rPr>
  </w:style>
  <w:style w:type="paragraph" w:styleId="15">
    <w:name w:val="annotation subject"/>
    <w:basedOn w:val="6"/>
    <w:next w:val="6"/>
    <w:link w:val="39"/>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批注框文本 Char"/>
    <w:basedOn w:val="18"/>
    <w:link w:val="9"/>
    <w:semiHidden/>
    <w:qFormat/>
    <w:uiPriority w:val="99"/>
    <w:rPr>
      <w:sz w:val="18"/>
      <w:szCs w:val="18"/>
    </w:rPr>
  </w:style>
  <w:style w:type="character" w:customStyle="1" w:styleId="25">
    <w:name w:val="页眉 Char"/>
    <w:basedOn w:val="18"/>
    <w:link w:val="11"/>
    <w:qFormat/>
    <w:uiPriority w:val="99"/>
    <w:rPr>
      <w:sz w:val="18"/>
      <w:szCs w:val="18"/>
    </w:rPr>
  </w:style>
  <w:style w:type="character" w:customStyle="1" w:styleId="26">
    <w:name w:val="页脚 Char"/>
    <w:basedOn w:val="18"/>
    <w:link w:val="10"/>
    <w:qFormat/>
    <w:uiPriority w:val="99"/>
    <w:rPr>
      <w:sz w:val="18"/>
      <w:szCs w:val="18"/>
    </w:rPr>
  </w:style>
  <w:style w:type="paragraph" w:customStyle="1" w:styleId="27">
    <w:name w:val="样式1"/>
    <w:basedOn w:val="2"/>
    <w:link w:val="30"/>
    <w:qFormat/>
    <w:uiPriority w:val="1"/>
    <w:pPr>
      <w:tabs>
        <w:tab w:val="left" w:pos="1134"/>
      </w:tabs>
      <w:adjustRightInd w:val="0"/>
      <w:snapToGrid w:val="0"/>
      <w:spacing w:before="120" w:beforeLines="50" w:line="300" w:lineRule="auto"/>
      <w:ind w:left="0" w:firstLine="0"/>
      <w:jc w:val="both"/>
    </w:pPr>
    <w:rPr>
      <w:rFonts w:cs="Times New Roman"/>
      <w:snapToGrid w:val="0"/>
      <w:sz w:val="32"/>
      <w:szCs w:val="32"/>
    </w:rPr>
  </w:style>
  <w:style w:type="paragraph" w:customStyle="1" w:styleId="28">
    <w:name w:val="样式2"/>
    <w:basedOn w:val="3"/>
    <w:link w:val="33"/>
    <w:qFormat/>
    <w:uiPriority w:val="1"/>
    <w:pPr>
      <w:adjustRightInd w:val="0"/>
      <w:snapToGrid w:val="0"/>
      <w:spacing w:before="120" w:beforeLines="50" w:line="300" w:lineRule="auto"/>
      <w:ind w:left="424" w:hanging="424" w:hangingChars="151"/>
      <w:jc w:val="both"/>
    </w:pPr>
    <w:rPr>
      <w:rFonts w:cs="Times New Roman"/>
      <w:snapToGrid w:val="0"/>
    </w:rPr>
  </w:style>
  <w:style w:type="character" w:customStyle="1" w:styleId="29">
    <w:name w:val="标题 1 Char"/>
    <w:basedOn w:val="18"/>
    <w:link w:val="2"/>
    <w:qFormat/>
    <w:uiPriority w:val="1"/>
    <w:rPr>
      <w:rFonts w:ascii="Times New Roman" w:hAnsi="Times New Roman" w:eastAsia="Times New Roman"/>
      <w:b/>
      <w:bCs/>
      <w:sz w:val="36"/>
      <w:szCs w:val="36"/>
    </w:rPr>
  </w:style>
  <w:style w:type="character" w:customStyle="1" w:styleId="30">
    <w:name w:val="样式1 Char"/>
    <w:basedOn w:val="29"/>
    <w:link w:val="27"/>
    <w:qFormat/>
    <w:uiPriority w:val="1"/>
    <w:rPr>
      <w:rFonts w:ascii="Times New Roman" w:hAnsi="Times New Roman" w:eastAsia="Times New Roman" w:cs="Times New Roman"/>
      <w:snapToGrid w:val="0"/>
      <w:sz w:val="32"/>
      <w:szCs w:val="32"/>
    </w:rPr>
  </w:style>
  <w:style w:type="paragraph" w:customStyle="1" w:styleId="31">
    <w:name w:val="样式3"/>
    <w:basedOn w:val="5"/>
    <w:link w:val="35"/>
    <w:qFormat/>
    <w:uiPriority w:val="1"/>
    <w:pPr>
      <w:tabs>
        <w:tab w:val="left" w:pos="820"/>
      </w:tabs>
      <w:adjustRightInd w:val="0"/>
      <w:snapToGrid w:val="0"/>
      <w:spacing w:before="120" w:beforeLines="50" w:line="300" w:lineRule="auto"/>
      <w:ind w:left="425" w:leftChars="193" w:firstLine="0"/>
      <w:jc w:val="both"/>
    </w:pPr>
    <w:rPr>
      <w:rFonts w:cs="Times New Roman"/>
      <w:snapToGrid w:val="0"/>
      <w:u w:val="none"/>
    </w:rPr>
  </w:style>
  <w:style w:type="character" w:customStyle="1" w:styleId="32">
    <w:name w:val="标题 2 Char"/>
    <w:basedOn w:val="18"/>
    <w:link w:val="3"/>
    <w:qFormat/>
    <w:uiPriority w:val="1"/>
    <w:rPr>
      <w:rFonts w:ascii="Times New Roman" w:hAnsi="Times New Roman" w:eastAsia="Times New Roman"/>
      <w:b/>
      <w:bCs/>
      <w:i/>
      <w:sz w:val="28"/>
      <w:szCs w:val="28"/>
    </w:rPr>
  </w:style>
  <w:style w:type="character" w:customStyle="1" w:styleId="33">
    <w:name w:val="样式2 Char"/>
    <w:basedOn w:val="32"/>
    <w:link w:val="28"/>
    <w:qFormat/>
    <w:uiPriority w:val="1"/>
    <w:rPr>
      <w:rFonts w:ascii="Times New Roman" w:hAnsi="Times New Roman" w:eastAsia="Times New Roman" w:cs="Times New Roman"/>
      <w:snapToGrid w:val="0"/>
      <w:sz w:val="28"/>
      <w:szCs w:val="28"/>
    </w:rPr>
  </w:style>
  <w:style w:type="character" w:customStyle="1" w:styleId="34">
    <w:name w:val="标题 4 Char"/>
    <w:basedOn w:val="18"/>
    <w:link w:val="5"/>
    <w:qFormat/>
    <w:uiPriority w:val="1"/>
    <w:rPr>
      <w:rFonts w:ascii="Times New Roman" w:hAnsi="Times New Roman" w:eastAsia="Times New Roman"/>
      <w:b/>
      <w:bCs/>
      <w:i/>
      <w:sz w:val="24"/>
      <w:szCs w:val="24"/>
      <w:u w:val="single"/>
    </w:rPr>
  </w:style>
  <w:style w:type="character" w:customStyle="1" w:styleId="35">
    <w:name w:val="样式3 Char"/>
    <w:basedOn w:val="34"/>
    <w:link w:val="31"/>
    <w:qFormat/>
    <w:uiPriority w:val="1"/>
    <w:rPr>
      <w:rFonts w:ascii="Times New Roman" w:hAnsi="Times New Roman" w:eastAsia="Times New Roman" w:cs="Times New Roman"/>
      <w:snapToGrid w:val="0"/>
      <w:sz w:val="24"/>
      <w:szCs w:val="24"/>
      <w:u w:val="single"/>
    </w:rPr>
  </w:style>
  <w:style w:type="paragraph" w:customStyle="1" w:styleId="36">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37">
    <w:name w:val="Unresolved Mention"/>
    <w:basedOn w:val="18"/>
    <w:semiHidden/>
    <w:unhideWhenUsed/>
    <w:qFormat/>
    <w:uiPriority w:val="99"/>
    <w:rPr>
      <w:color w:val="605E5C"/>
      <w:shd w:val="clear" w:color="auto" w:fill="E1DFDD"/>
    </w:rPr>
  </w:style>
  <w:style w:type="character" w:customStyle="1" w:styleId="38">
    <w:name w:val="批注文字 Char"/>
    <w:basedOn w:val="18"/>
    <w:link w:val="6"/>
    <w:semiHidden/>
    <w:qFormat/>
    <w:uiPriority w:val="99"/>
  </w:style>
  <w:style w:type="character" w:customStyle="1" w:styleId="39">
    <w:name w:val="批注主题 Char"/>
    <w:basedOn w:val="38"/>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C8AE-5FEC-4A4C-8211-A848B9D866D5}">
  <ds:schemaRefs/>
</ds:datastoreItem>
</file>

<file path=docProps/app.xml><?xml version="1.0" encoding="utf-8"?>
<Properties xmlns="http://schemas.openxmlformats.org/officeDocument/2006/extended-properties" xmlns:vt="http://schemas.openxmlformats.org/officeDocument/2006/docPropsVTypes">
  <Template>Normal</Template>
  <Pages>42</Pages>
  <Words>19039</Words>
  <Characters>22092</Characters>
  <Lines>267</Lines>
  <Paragraphs>75</Paragraphs>
  <TotalTime>137</TotalTime>
  <ScaleCrop>false</ScaleCrop>
  <LinksUpToDate>false</LinksUpToDate>
  <CharactersWithSpaces>22286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2022-03-07T07:45:00Z</dcterms:created>
  <dc:creator>CDRH</dc:creator>
  <cp:lastModifiedBy>太极箫客</cp:lastModifiedBy>
  <dcterms:modified xsi:type="dcterms:W3CDTF">2025-08-14T08:04:09Z</dcterms:modified>
  <dc:title>Self-Monitoring Blood Glucose Test Systems for Over-the-Counter Use - Guidance for Industry and Food and Drug Administration Staff</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LastSaved">
    <vt:filetime>2021-11-10T00:00:00Z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F437363DA33747FCAC9B837541501368_12</vt:lpwstr>
  </property>
</Properties>
</file>