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F6F39">
      <w:pPr>
        <w:topLinePunct/>
        <w:adjustRightInd w:val="0"/>
        <w:snapToGrid w:val="0"/>
        <w:spacing w:after="234" w:afterLines="75" w:line="360" w:lineRule="auto"/>
        <w:jc w:val="center"/>
        <w:rPr>
          <w:rFonts w:ascii="Arial" w:hAnsi="Arial" w:eastAsia="宋体" w:cs="Arial"/>
          <w:b/>
          <w:snapToGrid w:val="0"/>
          <w:kern w:val="0"/>
          <w:sz w:val="96"/>
          <w:szCs w:val="72"/>
        </w:rPr>
      </w:pPr>
      <w:bookmarkStart w:id="3" w:name="_GoBack"/>
      <w:bookmarkEnd w:id="3"/>
      <w:r>
        <w:rPr>
          <w:rFonts w:ascii="Arial" w:hAnsi="Arial" w:eastAsia="宋体" w:cs="Arial"/>
          <w:b/>
          <w:snapToGrid w:val="0"/>
          <w:kern w:val="0"/>
          <w:sz w:val="96"/>
          <w:szCs w:val="72"/>
        </w:rPr>
        <w:t>进口</w:t>
      </w:r>
      <w:r>
        <w:rPr>
          <w:rFonts w:hint="eastAsia" w:ascii="Arial" w:hAnsi="Arial" w:eastAsia="宋体" w:cs="Arial"/>
          <w:b/>
          <w:snapToGrid w:val="0"/>
          <w:kern w:val="0"/>
          <w:sz w:val="96"/>
          <w:szCs w:val="72"/>
        </w:rPr>
        <w:t>产</w:t>
      </w:r>
      <w:r>
        <w:rPr>
          <w:rFonts w:ascii="Arial" w:hAnsi="Arial" w:eastAsia="宋体" w:cs="Arial"/>
          <w:b/>
          <w:snapToGrid w:val="0"/>
          <w:kern w:val="0"/>
          <w:sz w:val="96"/>
          <w:szCs w:val="72"/>
        </w:rPr>
        <w:t>品</w:t>
      </w:r>
    </w:p>
    <w:p w14:paraId="178EC1F6">
      <w:pPr>
        <w:topLinePunct/>
        <w:adjustRightInd w:val="0"/>
        <w:snapToGrid w:val="0"/>
        <w:spacing w:after="234" w:afterLines="75" w:line="360" w:lineRule="auto"/>
        <w:jc w:val="center"/>
        <w:rPr>
          <w:rFonts w:ascii="Arial" w:hAnsi="Arial" w:eastAsia="宋体" w:cs="Arial"/>
          <w:snapToGrid w:val="0"/>
          <w:kern w:val="0"/>
          <w:sz w:val="24"/>
        </w:rPr>
      </w:pPr>
      <w:r>
        <w:rPr>
          <w:rFonts w:ascii="Arial" w:hAnsi="Arial" w:eastAsia="宋体" w:cs="Arial"/>
          <w:snapToGrid w:val="0"/>
          <w:kern w:val="0"/>
          <w:sz w:val="24"/>
        </w:rPr>
        <mc:AlternateContent>
          <mc:Choice Requires="wps">
            <w:drawing>
              <wp:anchor distT="0" distB="0" distL="114300" distR="114300" simplePos="0" relativeHeight="251659264" behindDoc="0" locked="0" layoutInCell="1" allowOverlap="1">
                <wp:simplePos x="0" y="0"/>
                <wp:positionH relativeFrom="column">
                  <wp:posOffset>2525395</wp:posOffset>
                </wp:positionH>
                <wp:positionV relativeFrom="paragraph">
                  <wp:posOffset>1376045</wp:posOffset>
                </wp:positionV>
                <wp:extent cx="1635760" cy="1403985"/>
                <wp:effectExtent l="38100" t="228600" r="41275" b="24257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rot="20606447">
                          <a:off x="0" y="0"/>
                          <a:ext cx="1635461" cy="1403985"/>
                        </a:xfrm>
                        <a:prstGeom prst="rect">
                          <a:avLst/>
                        </a:prstGeom>
                        <a:noFill/>
                        <a:ln w="9525">
                          <a:noFill/>
                          <a:miter lim="800000"/>
                        </a:ln>
                      </wps:spPr>
                      <wps:txbx>
                        <w:txbxContent>
                          <w:p w14:paraId="20696693">
                            <w:pPr>
                              <w:rPr>
                                <w:b/>
                                <w:sz w:val="28"/>
                              </w:rPr>
                            </w:pPr>
                            <w:r>
                              <w:rPr>
                                <w:rFonts w:ascii="Arial" w:hAnsi="Arial" w:eastAsia="宋体" w:cs="Arial"/>
                                <w:b/>
                                <w:snapToGrid w:val="0"/>
                                <w:kern w:val="0"/>
                                <w:sz w:val="36"/>
                              </w:rPr>
                              <w:t>辐射类电子产品</w:t>
                            </w:r>
                          </w:p>
                        </w:txbxContent>
                      </wps:txbx>
                      <wps:bodyPr rot="0" vert="horz" wrap="square" lIns="0" tIns="0" rIns="0" bIns="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198.85pt;margin-top:108.35pt;height:110.55pt;width:128.8pt;rotation:-1085225f;z-index:251659264;mso-width-relative:page;mso-height-relative:margin;mso-height-percent:200;" filled="f" stroked="f" coordsize="21600,21600" o:gfxdata="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mz41f3AAAAAsBAAAPAAAAAAAAAAEAIAAAACIAAABkcnMvZG93bnJldi54bWxQSwEC&#10;FAAUAAAACACHTuJAnmU4kCkCAAArBAAADgAAAAAAAAABACAAAAArAQAAZHJzL2Uyb0RvYy54bWxQ&#10;SwUGAAAAAAYABgBZAQAAxgUAAAAA&#10;">
                <v:fill on="f" focussize="0,0"/>
                <v:stroke on="f" miterlimit="8" joinstyle="miter"/>
                <v:imagedata o:title=""/>
                <o:lock v:ext="edit" aspectratio="f"/>
                <v:textbox inset="0mm,0mm,0mm,0mm" style="mso-fit-shape-to-text:t;">
                  <w:txbxContent>
                    <w:p w14:paraId="20696693">
                      <w:pPr>
                        <w:rPr>
                          <w:b/>
                          <w:sz w:val="28"/>
                        </w:rPr>
                      </w:pPr>
                      <w:r>
                        <w:rPr>
                          <w:rFonts w:ascii="Arial" w:hAnsi="Arial" w:eastAsia="宋体" w:cs="Arial"/>
                          <w:b/>
                          <w:snapToGrid w:val="0"/>
                          <w:kern w:val="0"/>
                          <w:sz w:val="36"/>
                        </w:rPr>
                        <w:t>辐射类电子产品</w:t>
                      </w:r>
                    </w:p>
                  </w:txbxContent>
                </v:textbox>
              </v:shape>
            </w:pict>
          </mc:Fallback>
        </mc:AlternateContent>
      </w:r>
      <w:r>
        <w:rPr>
          <w:rFonts w:hint="eastAsia" w:ascii="Arial" w:hAnsi="Arial" w:eastAsia="宋体" w:cs="Arial"/>
          <w:kern w:val="0"/>
          <w:sz w:val="24"/>
        </w:rPr>
        <w:drawing>
          <wp:inline distT="0" distB="0" distL="0" distR="0">
            <wp:extent cx="3676650" cy="58185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676650" cy="5818871"/>
                    </a:xfrm>
                    <a:prstGeom prst="rect">
                      <a:avLst/>
                    </a:prstGeom>
                    <a:noFill/>
                    <a:ln>
                      <a:noFill/>
                    </a:ln>
                  </pic:spPr>
                </pic:pic>
              </a:graphicData>
            </a:graphic>
          </wp:inline>
        </w:drawing>
      </w:r>
    </w:p>
    <w:p w14:paraId="618E364A">
      <w:pPr>
        <w:topLinePunct/>
        <w:adjustRightInd w:val="0"/>
        <w:snapToGrid w:val="0"/>
        <w:spacing w:line="360" w:lineRule="auto"/>
        <w:jc w:val="center"/>
        <w:rPr>
          <w:rFonts w:ascii="Arial" w:hAnsi="Arial" w:eastAsia="宋体" w:cs="Arial"/>
          <w:snapToGrid w:val="0"/>
          <w:kern w:val="0"/>
        </w:rPr>
      </w:pPr>
      <w:r>
        <w:rPr>
          <w:rFonts w:ascii="Arial" w:hAnsi="Arial" w:eastAsia="宋体" w:cs="Arial"/>
          <w:snapToGrid w:val="0"/>
          <w:kern w:val="0"/>
        </w:rPr>
        <w:t>美国卫生与人类服务署</w:t>
      </w:r>
    </w:p>
    <w:p w14:paraId="27C59804">
      <w:pPr>
        <w:topLinePunct/>
        <w:adjustRightInd w:val="0"/>
        <w:snapToGrid w:val="0"/>
        <w:spacing w:line="360" w:lineRule="auto"/>
        <w:jc w:val="center"/>
        <w:rPr>
          <w:rFonts w:ascii="Arial" w:hAnsi="Arial" w:eastAsia="宋体" w:cs="Arial"/>
          <w:snapToGrid w:val="0"/>
          <w:kern w:val="0"/>
        </w:rPr>
      </w:pPr>
      <w:r>
        <w:rPr>
          <w:rFonts w:ascii="Arial" w:hAnsi="Arial" w:eastAsia="宋体" w:cs="Arial"/>
          <w:snapToGrid w:val="0"/>
          <w:kern w:val="0"/>
        </w:rPr>
        <w:t>公共卫生服务部</w:t>
      </w:r>
    </w:p>
    <w:p w14:paraId="626590D7">
      <w:pPr>
        <w:topLinePunct/>
        <w:adjustRightInd w:val="0"/>
        <w:snapToGrid w:val="0"/>
        <w:spacing w:line="360" w:lineRule="auto"/>
        <w:jc w:val="center"/>
        <w:rPr>
          <w:rFonts w:ascii="Arial" w:hAnsi="Arial" w:eastAsia="宋体" w:cs="Arial"/>
          <w:snapToGrid w:val="0"/>
          <w:kern w:val="0"/>
        </w:rPr>
      </w:pPr>
      <w:r>
        <w:rPr>
          <w:rFonts w:ascii="Arial" w:hAnsi="Arial" w:eastAsia="宋体" w:cs="Arial"/>
          <w:snapToGrid w:val="0"/>
          <w:kern w:val="0"/>
        </w:rPr>
        <w:t>食品药品监督管理局</w:t>
      </w:r>
    </w:p>
    <w:p w14:paraId="655402FC">
      <w:pPr>
        <w:widowControl/>
        <w:spacing w:line="360" w:lineRule="auto"/>
        <w:jc w:val="left"/>
        <w:rPr>
          <w:rFonts w:ascii="Arial" w:hAnsi="Arial" w:eastAsia="宋体" w:cs="Arial"/>
          <w:snapToGrid w:val="0"/>
          <w:kern w:val="0"/>
          <w:sz w:val="24"/>
        </w:rPr>
      </w:pPr>
      <w:r>
        <w:rPr>
          <w:rFonts w:ascii="Arial" w:hAnsi="Arial" w:eastAsia="宋体" w:cs="Arial"/>
          <w:snapToGrid w:val="0"/>
          <w:kern w:val="0"/>
          <w:sz w:val="24"/>
        </w:rPr>
        <w:br w:type="page"/>
      </w:r>
    </w:p>
    <w:p w14:paraId="324BB295">
      <w:pPr>
        <w:widowControl/>
        <w:spacing w:line="360" w:lineRule="auto"/>
        <w:jc w:val="left"/>
        <w:rPr>
          <w:rFonts w:ascii="Arial" w:hAnsi="Arial" w:eastAsia="宋体" w:cs="Arial"/>
          <w:snapToGrid w:val="0"/>
          <w:kern w:val="0"/>
          <w:sz w:val="24"/>
        </w:rPr>
      </w:pPr>
    </w:p>
    <w:p w14:paraId="52FCC364">
      <w:pPr>
        <w:topLinePunct/>
        <w:adjustRightInd w:val="0"/>
        <w:snapToGrid w:val="0"/>
        <w:spacing w:line="360" w:lineRule="auto"/>
        <w:jc w:val="center"/>
        <w:rPr>
          <w:rFonts w:ascii="Arial" w:hAnsi="Arial" w:eastAsia="宋体" w:cs="Arial"/>
          <w:snapToGrid w:val="0"/>
          <w:kern w:val="0"/>
        </w:rPr>
      </w:pPr>
    </w:p>
    <w:p w14:paraId="32B2D200">
      <w:pPr>
        <w:topLinePunct/>
        <w:adjustRightInd w:val="0"/>
        <w:snapToGrid w:val="0"/>
        <w:spacing w:line="360" w:lineRule="auto"/>
        <w:jc w:val="center"/>
        <w:rPr>
          <w:rFonts w:ascii="Arial" w:hAnsi="Arial" w:eastAsia="宋体" w:cs="Arial"/>
          <w:snapToGrid w:val="0"/>
          <w:kern w:val="0"/>
        </w:rPr>
      </w:pPr>
    </w:p>
    <w:p w14:paraId="112F1AA0">
      <w:pPr>
        <w:topLinePunct/>
        <w:adjustRightInd w:val="0"/>
        <w:snapToGrid w:val="0"/>
        <w:spacing w:line="360" w:lineRule="auto"/>
        <w:jc w:val="center"/>
        <w:rPr>
          <w:rFonts w:ascii="Arial" w:hAnsi="Arial" w:eastAsia="宋体" w:cs="Arial"/>
          <w:snapToGrid w:val="0"/>
          <w:kern w:val="0"/>
        </w:rPr>
      </w:pPr>
    </w:p>
    <w:p w14:paraId="571D30AF">
      <w:pPr>
        <w:topLinePunct/>
        <w:adjustRightInd w:val="0"/>
        <w:snapToGrid w:val="0"/>
        <w:spacing w:line="360" w:lineRule="auto"/>
        <w:jc w:val="center"/>
        <w:rPr>
          <w:rFonts w:ascii="Arial" w:hAnsi="Arial" w:eastAsia="宋体" w:cs="Arial"/>
          <w:snapToGrid w:val="0"/>
          <w:kern w:val="0"/>
        </w:rPr>
      </w:pPr>
    </w:p>
    <w:p w14:paraId="15E18B22">
      <w:pPr>
        <w:topLinePunct/>
        <w:adjustRightInd w:val="0"/>
        <w:snapToGrid w:val="0"/>
        <w:spacing w:line="360" w:lineRule="auto"/>
        <w:jc w:val="center"/>
        <w:rPr>
          <w:rFonts w:ascii="Arial" w:hAnsi="Arial" w:eastAsia="宋体" w:cs="Arial"/>
          <w:snapToGrid w:val="0"/>
          <w:kern w:val="0"/>
        </w:rPr>
      </w:pPr>
    </w:p>
    <w:p w14:paraId="08A35DDD">
      <w:pPr>
        <w:topLinePunct/>
        <w:adjustRightInd w:val="0"/>
        <w:snapToGrid w:val="0"/>
        <w:spacing w:line="360" w:lineRule="auto"/>
        <w:jc w:val="center"/>
        <w:rPr>
          <w:rFonts w:ascii="Arial" w:hAnsi="Arial" w:eastAsia="宋体" w:cs="Arial"/>
          <w:snapToGrid w:val="0"/>
          <w:kern w:val="0"/>
        </w:rPr>
      </w:pPr>
    </w:p>
    <w:p w14:paraId="7E5497D6">
      <w:pPr>
        <w:topLinePunct/>
        <w:adjustRightInd w:val="0"/>
        <w:snapToGrid w:val="0"/>
        <w:spacing w:line="360" w:lineRule="auto"/>
        <w:jc w:val="center"/>
        <w:rPr>
          <w:rFonts w:ascii="Arial" w:hAnsi="Arial" w:eastAsia="宋体" w:cs="Arial"/>
          <w:snapToGrid w:val="0"/>
          <w:kern w:val="0"/>
        </w:rPr>
      </w:pPr>
    </w:p>
    <w:p w14:paraId="0E51E18F">
      <w:pPr>
        <w:topLinePunct/>
        <w:adjustRightInd w:val="0"/>
        <w:snapToGrid w:val="0"/>
        <w:spacing w:line="360" w:lineRule="auto"/>
        <w:jc w:val="center"/>
        <w:rPr>
          <w:rFonts w:ascii="Arial" w:hAnsi="Arial" w:eastAsia="宋体" w:cs="Arial"/>
          <w:snapToGrid w:val="0"/>
          <w:kern w:val="0"/>
        </w:rPr>
      </w:pPr>
    </w:p>
    <w:p w14:paraId="7646E551">
      <w:pPr>
        <w:topLinePunct/>
        <w:adjustRightInd w:val="0"/>
        <w:snapToGrid w:val="0"/>
        <w:spacing w:line="360" w:lineRule="auto"/>
        <w:jc w:val="center"/>
        <w:rPr>
          <w:rFonts w:ascii="Arial" w:hAnsi="Arial" w:eastAsia="宋体" w:cs="Arial"/>
          <w:snapToGrid w:val="0"/>
          <w:kern w:val="0"/>
        </w:rPr>
      </w:pPr>
    </w:p>
    <w:p w14:paraId="18D84160">
      <w:pPr>
        <w:topLinePunct/>
        <w:adjustRightInd w:val="0"/>
        <w:snapToGrid w:val="0"/>
        <w:spacing w:line="360" w:lineRule="auto"/>
        <w:jc w:val="center"/>
        <w:rPr>
          <w:rFonts w:ascii="Arial" w:hAnsi="Arial" w:eastAsia="宋体" w:cs="Arial"/>
          <w:snapToGrid w:val="0"/>
          <w:kern w:val="0"/>
        </w:rPr>
      </w:pPr>
    </w:p>
    <w:p w14:paraId="3B50B78C">
      <w:pPr>
        <w:topLinePunct/>
        <w:adjustRightInd w:val="0"/>
        <w:snapToGrid w:val="0"/>
        <w:spacing w:line="360" w:lineRule="auto"/>
        <w:jc w:val="center"/>
        <w:rPr>
          <w:rFonts w:ascii="Arial" w:hAnsi="Arial" w:eastAsia="宋体" w:cs="Arial"/>
          <w:snapToGrid w:val="0"/>
          <w:kern w:val="0"/>
        </w:rPr>
      </w:pPr>
    </w:p>
    <w:p w14:paraId="229E4E21">
      <w:pPr>
        <w:topLinePunct/>
        <w:adjustRightInd w:val="0"/>
        <w:snapToGrid w:val="0"/>
        <w:spacing w:line="360" w:lineRule="auto"/>
        <w:jc w:val="center"/>
        <w:rPr>
          <w:rFonts w:ascii="Arial" w:hAnsi="Arial" w:eastAsia="宋体" w:cs="Arial"/>
          <w:snapToGrid w:val="0"/>
          <w:kern w:val="0"/>
        </w:rPr>
      </w:pPr>
    </w:p>
    <w:p w14:paraId="2E27FA6B">
      <w:pPr>
        <w:topLinePunct/>
        <w:adjustRightInd w:val="0"/>
        <w:snapToGrid w:val="0"/>
        <w:spacing w:line="360" w:lineRule="auto"/>
        <w:jc w:val="center"/>
        <w:rPr>
          <w:rFonts w:ascii="Arial" w:hAnsi="Arial" w:eastAsia="宋体" w:cs="Arial"/>
          <w:snapToGrid w:val="0"/>
          <w:kern w:val="0"/>
        </w:rPr>
      </w:pPr>
    </w:p>
    <w:p w14:paraId="4EBE97B6">
      <w:pPr>
        <w:topLinePunct/>
        <w:adjustRightInd w:val="0"/>
        <w:snapToGrid w:val="0"/>
        <w:spacing w:line="360" w:lineRule="auto"/>
        <w:jc w:val="center"/>
        <w:rPr>
          <w:rFonts w:ascii="Arial" w:hAnsi="Arial" w:eastAsia="宋体" w:cs="Arial"/>
          <w:snapToGrid w:val="0"/>
          <w:kern w:val="0"/>
        </w:rPr>
      </w:pPr>
    </w:p>
    <w:p w14:paraId="5BFB665B">
      <w:pPr>
        <w:topLinePunct/>
        <w:adjustRightInd w:val="0"/>
        <w:snapToGrid w:val="0"/>
        <w:spacing w:line="360" w:lineRule="auto"/>
        <w:jc w:val="center"/>
        <w:rPr>
          <w:rFonts w:ascii="Arial" w:hAnsi="Arial" w:eastAsia="宋体" w:cs="Arial"/>
          <w:snapToGrid w:val="0"/>
          <w:kern w:val="0"/>
        </w:rPr>
      </w:pPr>
      <w:r>
        <w:rPr>
          <w:rFonts w:ascii="Arial" w:hAnsi="Arial" w:eastAsia="宋体" w:cs="Arial"/>
          <w:snapToGrid w:val="0"/>
          <w:kern w:val="0"/>
        </w:rPr>
        <w:t>HHS出版物FDA 89-8008</w:t>
      </w:r>
    </w:p>
    <w:p w14:paraId="5692947D">
      <w:pPr>
        <w:topLinePunct/>
        <w:adjustRightInd w:val="0"/>
        <w:snapToGrid w:val="0"/>
        <w:spacing w:line="360" w:lineRule="auto"/>
        <w:jc w:val="center"/>
        <w:rPr>
          <w:rFonts w:ascii="Arial" w:hAnsi="Arial" w:eastAsia="宋体" w:cs="Arial"/>
          <w:snapToGrid w:val="0"/>
          <w:kern w:val="0"/>
        </w:rPr>
      </w:pPr>
      <w:r>
        <w:rPr>
          <w:rFonts w:ascii="Arial" w:hAnsi="Arial" w:eastAsia="宋体" w:cs="Arial"/>
          <w:snapToGrid w:val="0"/>
          <w:kern w:val="0"/>
        </w:rPr>
        <w:t>（取代FDA 77-8008）</w:t>
      </w:r>
    </w:p>
    <w:p w14:paraId="1D0ED8CB">
      <w:pPr>
        <w:topLinePunct/>
        <w:adjustRightInd w:val="0"/>
        <w:snapToGrid w:val="0"/>
        <w:spacing w:after="234" w:afterLines="75" w:line="360" w:lineRule="auto"/>
        <w:jc w:val="center"/>
        <w:rPr>
          <w:rFonts w:ascii="Arial" w:hAnsi="Arial" w:eastAsia="宋体" w:cs="Arial"/>
          <w:snapToGrid w:val="0"/>
          <w:kern w:val="0"/>
          <w:sz w:val="24"/>
        </w:rPr>
      </w:pPr>
    </w:p>
    <w:p w14:paraId="5D9FB557">
      <w:pPr>
        <w:topLinePunct/>
        <w:adjustRightInd w:val="0"/>
        <w:snapToGrid w:val="0"/>
        <w:spacing w:after="234" w:afterLines="75" w:line="360" w:lineRule="auto"/>
        <w:jc w:val="center"/>
        <w:rPr>
          <w:rFonts w:ascii="Arial" w:hAnsi="Arial" w:eastAsia="宋体" w:cs="Arial"/>
          <w:snapToGrid w:val="0"/>
          <w:kern w:val="0"/>
          <w:sz w:val="24"/>
        </w:rPr>
      </w:pPr>
    </w:p>
    <w:p w14:paraId="50575AAC">
      <w:pPr>
        <w:topLinePunct/>
        <w:adjustRightInd w:val="0"/>
        <w:snapToGrid w:val="0"/>
        <w:spacing w:after="234" w:afterLines="75" w:line="360" w:lineRule="auto"/>
        <w:jc w:val="center"/>
        <w:rPr>
          <w:rFonts w:ascii="Arial" w:hAnsi="Arial" w:eastAsia="宋体" w:cs="Arial"/>
          <w:snapToGrid w:val="0"/>
          <w:kern w:val="0"/>
          <w:sz w:val="24"/>
        </w:rPr>
      </w:pPr>
      <w:r>
        <w:rPr>
          <w:rFonts w:ascii="Arial" w:hAnsi="Arial" w:eastAsia="宋体" w:cs="Arial"/>
          <w:snapToGrid w:val="0"/>
          <w:kern w:val="0"/>
          <w:sz w:val="24"/>
        </w:rPr>
        <w:t>1988年11月</w:t>
      </w:r>
    </w:p>
    <w:p w14:paraId="2F98EDE6">
      <w:pPr>
        <w:topLinePunct/>
        <w:adjustRightInd w:val="0"/>
        <w:snapToGrid w:val="0"/>
        <w:spacing w:after="234" w:afterLines="75" w:line="360" w:lineRule="auto"/>
        <w:rPr>
          <w:rFonts w:ascii="Arial" w:hAnsi="Arial" w:eastAsia="宋体" w:cs="Arial"/>
          <w:snapToGrid w:val="0"/>
          <w:kern w:val="0"/>
          <w:sz w:val="24"/>
        </w:rPr>
      </w:pPr>
    </w:p>
    <w:p w14:paraId="1AF5CF83">
      <w:pPr>
        <w:topLinePunct/>
        <w:adjustRightInd w:val="0"/>
        <w:snapToGrid w:val="0"/>
        <w:spacing w:after="234" w:afterLines="75" w:line="360" w:lineRule="auto"/>
        <w:rPr>
          <w:rFonts w:ascii="Arial" w:hAnsi="Arial" w:eastAsia="宋体" w:cs="Arial"/>
          <w:snapToGrid w:val="0"/>
          <w:kern w:val="0"/>
          <w:sz w:val="24"/>
        </w:rPr>
        <w:sectPr>
          <w:headerReference r:id="rId3" w:type="default"/>
          <w:footerReference r:id="rId4" w:type="default"/>
          <w:pgSz w:w="11906" w:h="16838"/>
          <w:pgMar w:top="1440" w:right="1797" w:bottom="1440" w:left="1797" w:header="720" w:footer="720" w:gutter="0"/>
          <w:cols w:space="425" w:num="1"/>
          <w:docGrid w:type="lines" w:linePitch="312" w:charSpace="0"/>
        </w:sectPr>
      </w:pPr>
    </w:p>
    <w:p w14:paraId="6D47BC0B">
      <w:pPr>
        <w:topLinePunct/>
        <w:adjustRightInd w:val="0"/>
        <w:snapToGrid w:val="0"/>
        <w:spacing w:after="234" w:afterLines="75" w:line="360" w:lineRule="auto"/>
        <w:jc w:val="center"/>
        <w:rPr>
          <w:rFonts w:ascii="Arial" w:hAnsi="Arial" w:eastAsia="宋体" w:cs="Arial"/>
          <w:b/>
          <w:snapToGrid w:val="0"/>
          <w:kern w:val="0"/>
          <w:sz w:val="32"/>
        </w:rPr>
      </w:pPr>
      <w:r>
        <w:rPr>
          <w:rFonts w:ascii="Arial" w:hAnsi="Arial" w:eastAsia="宋体" w:cs="Arial"/>
          <w:b/>
          <w:snapToGrid w:val="0"/>
          <w:kern w:val="0"/>
          <w:sz w:val="32"/>
        </w:rPr>
        <w:t>引言</w:t>
      </w:r>
    </w:p>
    <w:p w14:paraId="7405EDB3">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1986年健康和安全辐射控制法案（公法90-602）指出，必须保护公正健康和安全免受电子产品辐射的危害。其要求卫生与人类服务署署长建立并推行性能标准来控制电子产品产生的辐射量。该标准适用于所有在美国境内提供、销售或使用的产品，而无论其生产于国内或国外。</w:t>
      </w:r>
    </w:p>
    <w:p w14:paraId="227CE809">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本手册的目的是明确向美国进口特定的电子器械时应当遵循的流程。本手册所讨论的进口法规仅适用于健康和安全辐射控制法案所颁布的性能标准覆盖范围内的产品。</w:t>
      </w:r>
    </w:p>
    <w:p w14:paraId="2CDE6C6D">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食品药品监督管理局（FDA）负责健康和安全辐射控制法案的实施，并且也颁布了辐射性能标准监管范围内产品进口相关的法规。后续章节包含了上述两机构共同建立的进口流程。</w:t>
      </w:r>
    </w:p>
    <w:p w14:paraId="6BF24C30">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关于其他信息，进口商应当参考卫生与人类服务署的法规（21 CFR第1005部分），以及财政部（19 CFR 12.90等），或联系最近的FDA地区办公室。上述办公室信息列表见封底。</w:t>
      </w:r>
    </w:p>
    <w:p w14:paraId="56199C95">
      <w:pPr>
        <w:widowControl/>
        <w:jc w:val="left"/>
        <w:rPr>
          <w:rFonts w:ascii="Arial" w:hAnsi="Arial" w:eastAsia="宋体" w:cs="Arial"/>
          <w:b/>
          <w:snapToGrid w:val="0"/>
          <w:kern w:val="0"/>
          <w:sz w:val="32"/>
        </w:rPr>
      </w:pPr>
      <w:r>
        <w:rPr>
          <w:rFonts w:ascii="Arial" w:hAnsi="Arial" w:eastAsia="宋体" w:cs="Arial"/>
          <w:b/>
          <w:snapToGrid w:val="0"/>
          <w:kern w:val="0"/>
          <w:sz w:val="32"/>
        </w:rPr>
        <w:br w:type="page"/>
      </w:r>
    </w:p>
    <w:p w14:paraId="4961CF4A">
      <w:pPr>
        <w:topLinePunct/>
        <w:adjustRightInd w:val="0"/>
        <w:snapToGrid w:val="0"/>
        <w:spacing w:after="234" w:afterLines="75" w:line="360" w:lineRule="auto"/>
        <w:jc w:val="center"/>
        <w:rPr>
          <w:rFonts w:ascii="Arial" w:hAnsi="Arial" w:eastAsia="宋体" w:cs="Arial"/>
          <w:b/>
          <w:snapToGrid w:val="0"/>
          <w:kern w:val="0"/>
          <w:sz w:val="32"/>
        </w:rPr>
      </w:pPr>
      <w:r>
        <w:rPr>
          <w:rFonts w:ascii="Arial" w:hAnsi="Arial" w:eastAsia="宋体" w:cs="Arial"/>
          <w:b/>
          <w:snapToGrid w:val="0"/>
          <w:kern w:val="0"/>
          <w:sz w:val="32"/>
        </w:rPr>
        <w:t>进口法规</w:t>
      </w:r>
    </w:p>
    <w:p w14:paraId="485A1B7B">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联邦性能标准适用范围内的电子产品的进口商应当向美国海关服务部和食品药品监督管理局提交每件产品的具体信息。要求同时适用于商业性公司及将产品带入美国的个人。必须完整提供上述信息才可以将产品带入美国境内。</w:t>
      </w:r>
    </w:p>
    <w:p w14:paraId="43DD101B">
      <w:pPr>
        <w:topLinePunct/>
        <w:adjustRightInd w:val="0"/>
        <w:snapToGrid w:val="0"/>
        <w:spacing w:after="234" w:afterLines="75" w:line="360" w:lineRule="auto"/>
        <w:rPr>
          <w:rFonts w:ascii="Arial" w:hAnsi="Arial" w:eastAsia="宋体" w:cs="Arial"/>
          <w:b/>
          <w:snapToGrid w:val="0"/>
          <w:kern w:val="0"/>
          <w:sz w:val="24"/>
        </w:rPr>
      </w:pPr>
      <w:r>
        <w:rPr>
          <w:rFonts w:ascii="Arial" w:hAnsi="Arial" w:eastAsia="宋体" w:cs="Arial"/>
          <w:b/>
          <w:snapToGrid w:val="0"/>
          <w:kern w:val="0"/>
          <w:sz w:val="24"/>
        </w:rPr>
        <w:t>入关通知和声明</w:t>
      </w:r>
    </w:p>
    <w:p w14:paraId="587D7495">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任何情况下，任何货物进口时必须填写两个表格：进口商的入关通知（表格FD 701）和电子产品</w:t>
      </w:r>
      <w:r>
        <w:rPr>
          <w:rFonts w:hint="eastAsia" w:ascii="Arial" w:hAnsi="Arial" w:eastAsia="宋体" w:cs="Arial"/>
          <w:snapToGrid w:val="0"/>
          <w:kern w:val="0"/>
          <w:sz w:val="24"/>
        </w:rPr>
        <w:t>声明</w:t>
      </w:r>
      <w:r>
        <w:rPr>
          <w:rFonts w:ascii="Arial" w:hAnsi="Arial" w:eastAsia="宋体" w:cs="Arial"/>
          <w:snapToGrid w:val="0"/>
          <w:kern w:val="0"/>
          <w:sz w:val="24"/>
        </w:rPr>
        <w:t>（表格FD 2877）。上述表格提供了用于以下流程的信息：（1）确定进口的产品，包括制造商、进口商和入关口，和（2）确定该器械是否符合适用的标准。</w:t>
      </w:r>
    </w:p>
    <w:p w14:paraId="02D5B5A1">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进口商的入关通知及声明副本必须在入关口岸或根据当地海关服务流程的规定，通过美国海关服务代表提交至FDA地区办公室。上述表格的副本可以从FDA办公室获得。</w:t>
      </w:r>
    </w:p>
    <w:p w14:paraId="751D0DCE">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声明必须通过引述下列四项声明之一的方式描述该产品的合规状态。进口商必须声明该产品为下列情况之一：</w:t>
      </w:r>
    </w:p>
    <w:p w14:paraId="2B438702">
      <w:pPr>
        <w:pStyle w:val="10"/>
        <w:numPr>
          <w:ilvl w:val="0"/>
          <w:numId w:val="1"/>
        </w:numPr>
        <w:topLinePunct/>
        <w:adjustRightInd w:val="0"/>
        <w:snapToGrid w:val="0"/>
        <w:spacing w:after="234" w:afterLines="75" w:line="360" w:lineRule="auto"/>
        <w:ind w:left="0" w:firstLine="0" w:firstLineChars="0"/>
        <w:rPr>
          <w:rFonts w:ascii="Arial" w:hAnsi="Arial" w:eastAsia="宋体" w:cs="Arial"/>
          <w:snapToGrid w:val="0"/>
          <w:kern w:val="0"/>
          <w:sz w:val="24"/>
        </w:rPr>
      </w:pPr>
      <w:r>
        <w:rPr>
          <w:rFonts w:ascii="Arial" w:hAnsi="Arial" w:eastAsia="宋体" w:cs="Arial"/>
          <w:snapToGrid w:val="0"/>
          <w:kern w:val="0"/>
          <w:sz w:val="24"/>
        </w:rPr>
        <w:t>生产与适用的联邦标准生效前，或</w:t>
      </w:r>
    </w:p>
    <w:p w14:paraId="0D509DE9">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330789FE">
      <w:pPr>
        <w:pStyle w:val="10"/>
        <w:numPr>
          <w:ilvl w:val="0"/>
          <w:numId w:val="1"/>
        </w:numPr>
        <w:topLinePunct/>
        <w:adjustRightInd w:val="0"/>
        <w:snapToGrid w:val="0"/>
        <w:spacing w:after="234" w:afterLines="75" w:line="360" w:lineRule="auto"/>
        <w:ind w:left="0" w:firstLine="0" w:firstLineChars="0"/>
        <w:rPr>
          <w:rFonts w:ascii="Arial" w:hAnsi="Arial" w:eastAsia="宋体" w:cs="Arial"/>
          <w:snapToGrid w:val="0"/>
          <w:kern w:val="0"/>
          <w:sz w:val="24"/>
        </w:rPr>
      </w:pPr>
      <w:r>
        <w:rPr>
          <w:rFonts w:ascii="Arial" w:hAnsi="Arial" w:eastAsia="宋体" w:cs="Arial"/>
          <w:snapToGrid w:val="0"/>
          <w:kern w:val="0"/>
          <w:sz w:val="24"/>
        </w:rPr>
        <w:t>符合标准，且附有标签确认合规，或</w:t>
      </w:r>
    </w:p>
    <w:p w14:paraId="0360CED6">
      <w:pPr>
        <w:pStyle w:val="10"/>
        <w:numPr>
          <w:ilvl w:val="0"/>
          <w:numId w:val="1"/>
        </w:numPr>
        <w:topLinePunct/>
        <w:adjustRightInd w:val="0"/>
        <w:snapToGrid w:val="0"/>
        <w:spacing w:after="234" w:afterLines="75" w:line="360" w:lineRule="auto"/>
        <w:ind w:left="0" w:firstLine="0" w:firstLineChars="0"/>
        <w:rPr>
          <w:rFonts w:ascii="Arial" w:hAnsi="Arial" w:eastAsia="宋体" w:cs="Arial"/>
          <w:snapToGrid w:val="0"/>
          <w:kern w:val="0"/>
          <w:sz w:val="24"/>
        </w:rPr>
      </w:pPr>
      <w:r>
        <w:rPr>
          <w:rFonts w:ascii="Arial" w:hAnsi="Arial" w:eastAsia="宋体" w:cs="Arial"/>
          <w:snapToGrid w:val="0"/>
          <w:kern w:val="0"/>
          <w:sz w:val="24"/>
        </w:rPr>
        <w:t>不符合标准，但进口该产品仅用于科研、调查、研究、展示或培训目的，或</w:t>
      </w:r>
    </w:p>
    <w:p w14:paraId="0B64CA46">
      <w:pPr>
        <w:pStyle w:val="10"/>
        <w:numPr>
          <w:ilvl w:val="0"/>
          <w:numId w:val="1"/>
        </w:numPr>
        <w:topLinePunct/>
        <w:adjustRightInd w:val="0"/>
        <w:snapToGrid w:val="0"/>
        <w:spacing w:after="234" w:afterLines="75" w:line="360" w:lineRule="auto"/>
        <w:ind w:left="0" w:firstLine="0" w:firstLineChars="0"/>
        <w:rPr>
          <w:rFonts w:ascii="Arial" w:hAnsi="Arial" w:eastAsia="宋体" w:cs="Arial"/>
          <w:snapToGrid w:val="0"/>
          <w:kern w:val="0"/>
          <w:sz w:val="24"/>
        </w:rPr>
      </w:pPr>
      <w:r>
        <w:rPr>
          <w:rFonts w:ascii="Arial" w:hAnsi="Arial" w:eastAsia="宋体" w:cs="Arial"/>
          <w:snapToGrid w:val="0"/>
          <w:kern w:val="0"/>
          <w:sz w:val="24"/>
        </w:rPr>
        <w:t>不符合标准，但在将来会保证其符合标准。</w:t>
      </w:r>
    </w:p>
    <w:p w14:paraId="5F275E09">
      <w:pPr>
        <w:topLinePunct/>
        <w:adjustRightInd w:val="0"/>
        <w:snapToGrid w:val="0"/>
        <w:spacing w:after="234" w:afterLines="75" w:line="360" w:lineRule="auto"/>
        <w:rPr>
          <w:rFonts w:ascii="Arial" w:hAnsi="Arial" w:eastAsia="宋体" w:cs="Arial"/>
          <w:b/>
          <w:snapToGrid w:val="0"/>
          <w:kern w:val="0"/>
          <w:sz w:val="24"/>
        </w:rPr>
      </w:pPr>
      <w:r>
        <w:rPr>
          <w:rFonts w:ascii="Arial" w:hAnsi="Arial" w:eastAsia="宋体" w:cs="Arial"/>
          <w:b/>
          <w:snapToGrid w:val="0"/>
          <w:kern w:val="0"/>
          <w:sz w:val="24"/>
        </w:rPr>
        <w:t>产品入关</w:t>
      </w:r>
    </w:p>
    <w:p w14:paraId="569437EF">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声明</w:t>
      </w:r>
      <w:r>
        <w:rPr>
          <w:rFonts w:ascii="Arial" w:hAnsi="Arial" w:eastAsia="宋体" w:cs="Arial"/>
          <w:b/>
          <w:snapToGrid w:val="0"/>
          <w:kern w:val="0"/>
          <w:sz w:val="24"/>
        </w:rPr>
        <w:t>生产于适用标准生效前</w:t>
      </w:r>
      <w:r>
        <w:rPr>
          <w:rFonts w:ascii="Arial" w:hAnsi="Arial" w:eastAsia="宋体" w:cs="Arial"/>
          <w:snapToGrid w:val="0"/>
          <w:kern w:val="0"/>
          <w:sz w:val="24"/>
        </w:rPr>
        <w:t>或符合适用标准的</w:t>
      </w:r>
      <w:r>
        <w:rPr>
          <w:rFonts w:ascii="Arial" w:hAnsi="Arial" w:eastAsia="宋体" w:cs="Arial"/>
          <w:b/>
          <w:snapToGrid w:val="0"/>
          <w:kern w:val="0"/>
          <w:sz w:val="24"/>
        </w:rPr>
        <w:t>产品</w:t>
      </w:r>
      <w:r>
        <w:rPr>
          <w:rFonts w:ascii="Arial" w:hAnsi="Arial" w:eastAsia="宋体" w:cs="Arial"/>
          <w:snapToGrid w:val="0"/>
          <w:kern w:val="0"/>
          <w:sz w:val="24"/>
        </w:rPr>
        <w:t>，在FDA证实其声明恰当后，可以允许进入美国境内。在获取FDA的批准前，不应销售该产品。仅获得美国海关的批准并不代表该进口商可以销售该产品。在获取FDA批准前进行销售可能会受到罚款或产品召回。同时在完成进一步的流程前会扣留产品。</w:t>
      </w:r>
    </w:p>
    <w:p w14:paraId="13848766">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如果</w:t>
      </w:r>
      <w:r>
        <w:rPr>
          <w:rFonts w:ascii="Arial" w:hAnsi="Arial" w:eastAsia="宋体" w:cs="Arial"/>
          <w:b/>
          <w:snapToGrid w:val="0"/>
          <w:kern w:val="0"/>
          <w:sz w:val="24"/>
        </w:rPr>
        <w:t>进口商</w:t>
      </w:r>
      <w:r>
        <w:rPr>
          <w:rFonts w:ascii="Arial" w:hAnsi="Arial" w:eastAsia="宋体" w:cs="Arial"/>
          <w:snapToGrid w:val="0"/>
          <w:kern w:val="0"/>
          <w:sz w:val="24"/>
        </w:rPr>
        <w:t>进口了</w:t>
      </w:r>
      <w:r>
        <w:rPr>
          <w:rFonts w:ascii="Arial" w:hAnsi="Arial" w:eastAsia="宋体" w:cs="Arial"/>
          <w:b/>
          <w:snapToGrid w:val="0"/>
          <w:kern w:val="0"/>
          <w:sz w:val="24"/>
        </w:rPr>
        <w:t>非合规产品用于科研、调查、研究、展示或培训</w:t>
      </w:r>
      <w:r>
        <w:rPr>
          <w:rFonts w:ascii="Arial" w:hAnsi="Arial" w:eastAsia="宋体" w:cs="Arial"/>
          <w:snapToGrid w:val="0"/>
          <w:kern w:val="0"/>
          <w:sz w:val="24"/>
        </w:rPr>
        <w:t>，则在该器械允许进入美国之前，进口商必须从FDA地区办公室获取豁免。豁免申请需要通过表格FD 766或表格附件的形式提交。申请应描述进口的产品或组件，进口的目的，产品负责人，使用方式及时长，以及使用地点信息。除非经过特殊豁免，否则所有用于测试、评估和展示的入关均应通过美国海关服务临时进口保函（TIB）完成。部分微波炉和电视机可以获得豁免，可以在进口过程中免除TIB。</w:t>
      </w:r>
    </w:p>
    <w:p w14:paraId="273CEAFD">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284B4A07">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可以在预期进口日期前提前获取豁免，以免延误运输。提前填写豁免申请，进口商可以填写FD 766表格并在提交至海关入口所在地的FDA地区办公室。</w:t>
      </w:r>
    </w:p>
    <w:p w14:paraId="56ED853F">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FDA地区办公室会通知进口商其豁免申请是否批准或拒绝。如果货物获得了豁免，则在入关时必须在提供进口商入关通知和声明的同时一并提供地区豁免通知。</w:t>
      </w:r>
    </w:p>
    <w:p w14:paraId="57CD5E56">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如果在入关前已经获取了豁免，则豁免申请必须与其他要求的入关文件一起提交至FDA地区办公室。产品可以在获取保函后进入美国境内，但在豁免获批前不允许使用。保函由美国海关服务出具，与货物价值及入关关税总值等额。</w:t>
      </w:r>
    </w:p>
    <w:p w14:paraId="2469DC4F">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需要注意，豁免获批并不代表可以将该产品用于商业销售或取消保函。事实上，在完成已批准的FD 766表格所述功能后，其需要退回或销毁。</w:t>
      </w:r>
    </w:p>
    <w:p w14:paraId="15833CFE">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如果进口商声明</w:t>
      </w:r>
      <w:r>
        <w:rPr>
          <w:rFonts w:ascii="Arial" w:hAnsi="Arial" w:eastAsia="宋体" w:cs="Arial"/>
          <w:b/>
          <w:snapToGrid w:val="0"/>
          <w:kern w:val="0"/>
          <w:sz w:val="24"/>
        </w:rPr>
        <w:t>某产品不符合适用的标准</w:t>
      </w:r>
      <w:r>
        <w:rPr>
          <w:rFonts w:ascii="Arial" w:hAnsi="Arial" w:eastAsia="宋体" w:cs="Arial"/>
          <w:snapToGrid w:val="0"/>
          <w:kern w:val="0"/>
          <w:sz w:val="24"/>
        </w:rPr>
        <w:t>，</w:t>
      </w:r>
      <w:r>
        <w:rPr>
          <w:rFonts w:ascii="Arial" w:hAnsi="Arial" w:eastAsia="宋体" w:cs="Arial"/>
          <w:b/>
          <w:snapToGrid w:val="0"/>
          <w:kern w:val="0"/>
          <w:sz w:val="24"/>
        </w:rPr>
        <w:t>但会在将来符合标准</w:t>
      </w:r>
      <w:r>
        <w:rPr>
          <w:rFonts w:ascii="Arial" w:hAnsi="Arial" w:eastAsia="宋体" w:cs="Arial"/>
          <w:snapToGrid w:val="0"/>
          <w:kern w:val="0"/>
          <w:sz w:val="24"/>
        </w:rPr>
        <w:t>，则该产品可以在获取保函后允许进入美国境内，但在采取纠正措施、或提交合意签名或模型更改报告前，其不能使用或进行商业销售。进口商必须向FDA地区办公室提交FD 766表格，声明其保证产品合规的方式，如通过文件明确其计划并签名，或通过模型变更报告，或通过产品修理的方式。</w:t>
      </w:r>
    </w:p>
    <w:p w14:paraId="604DC903">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1C30D782">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FDA可能会批准或不批准该申请。在收到产品修理批准后，进口商必须向FDA提交请求，描述产品合规计划。如果FDA接受了该请求，则进口商必须在180天内按照批准的纠正行动计划进行操作，保证产品符合性能标准。如果未对产品进行必要的修改，则该产品会退回或销毁。</w:t>
      </w:r>
    </w:p>
    <w:p w14:paraId="7352FAF3">
      <w:pPr>
        <w:topLinePunct/>
        <w:adjustRightInd w:val="0"/>
        <w:snapToGrid w:val="0"/>
        <w:spacing w:after="234" w:afterLines="75" w:line="360" w:lineRule="auto"/>
        <w:jc w:val="center"/>
        <w:rPr>
          <w:rFonts w:ascii="Arial" w:hAnsi="Arial" w:eastAsia="宋体" w:cs="Arial"/>
          <w:b/>
          <w:snapToGrid w:val="0"/>
          <w:kern w:val="0"/>
          <w:sz w:val="32"/>
        </w:rPr>
      </w:pPr>
      <w:r>
        <w:rPr>
          <w:rFonts w:ascii="Arial" w:hAnsi="Arial" w:eastAsia="宋体" w:cs="Arial"/>
          <w:b/>
          <w:snapToGrid w:val="0"/>
          <w:kern w:val="0"/>
          <w:sz w:val="32"/>
        </w:rPr>
        <w:t>检测样本</w:t>
      </w:r>
    </w:p>
    <w:p w14:paraId="791B5504">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健康和安全辐射控制法案规定，可以从进口货物中获取检测样本，用于确定产品是否符合适用规定。FDA，在获取美国海关服务授权后，可能会从进口商处获取样本。在检测后样本会归还。</w:t>
      </w:r>
    </w:p>
    <w:p w14:paraId="211B204C">
      <w:pPr>
        <w:topLinePunct/>
        <w:adjustRightInd w:val="0"/>
        <w:snapToGrid w:val="0"/>
        <w:spacing w:after="234" w:afterLines="75" w:line="360" w:lineRule="auto"/>
        <w:jc w:val="center"/>
        <w:rPr>
          <w:rFonts w:ascii="Arial" w:hAnsi="Arial" w:eastAsia="宋体" w:cs="Arial"/>
          <w:b/>
          <w:snapToGrid w:val="0"/>
          <w:kern w:val="0"/>
          <w:sz w:val="32"/>
        </w:rPr>
      </w:pPr>
      <w:r>
        <w:rPr>
          <w:rFonts w:ascii="Arial" w:hAnsi="Arial" w:eastAsia="宋体" w:cs="Arial"/>
          <w:b/>
          <w:snapToGrid w:val="0"/>
          <w:kern w:val="0"/>
          <w:sz w:val="32"/>
        </w:rPr>
        <w:t>忠告</w:t>
      </w:r>
    </w:p>
    <w:p w14:paraId="4FCD8D61">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进口商应根据适用的美国标准和恰当的认证标签订购产品。该订单要求很容易满足，因为有很多国外的制造商所生产的出口器械符合美国标准。</w:t>
      </w:r>
    </w:p>
    <w:p w14:paraId="6A1B2540">
      <w:pPr>
        <w:widowControl/>
        <w:jc w:val="left"/>
        <w:rPr>
          <w:rFonts w:ascii="Arial" w:hAnsi="Arial" w:eastAsia="宋体" w:cs="Arial"/>
          <w:b/>
          <w:snapToGrid w:val="0"/>
          <w:kern w:val="0"/>
          <w:sz w:val="32"/>
        </w:rPr>
      </w:pPr>
      <w:r>
        <w:rPr>
          <w:rFonts w:ascii="Arial" w:hAnsi="Arial" w:eastAsia="宋体" w:cs="Arial"/>
          <w:b/>
          <w:snapToGrid w:val="0"/>
          <w:kern w:val="0"/>
          <w:sz w:val="32"/>
        </w:rPr>
        <w:br w:type="page"/>
      </w:r>
    </w:p>
    <w:p w14:paraId="79869937">
      <w:pPr>
        <w:topLinePunct/>
        <w:adjustRightInd w:val="0"/>
        <w:snapToGrid w:val="0"/>
        <w:spacing w:after="234" w:afterLines="75" w:line="360" w:lineRule="auto"/>
        <w:jc w:val="center"/>
        <w:rPr>
          <w:rFonts w:ascii="Arial" w:hAnsi="Arial" w:eastAsia="宋体" w:cs="Arial"/>
          <w:b/>
          <w:snapToGrid w:val="0"/>
          <w:kern w:val="0"/>
          <w:sz w:val="32"/>
        </w:rPr>
      </w:pPr>
      <w:r>
        <w:rPr>
          <w:rFonts w:ascii="Arial" w:hAnsi="Arial" w:eastAsia="宋体" w:cs="Arial"/>
          <w:b/>
          <w:snapToGrid w:val="0"/>
          <w:kern w:val="0"/>
          <w:sz w:val="32"/>
        </w:rPr>
        <w:t>性能标准范围内的产品</w:t>
      </w:r>
    </w:p>
    <w:p w14:paraId="56300CF3">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下列章节简要描述了现行的联邦电子产品辐射安全性操作标准。</w:t>
      </w:r>
    </w:p>
    <w:p w14:paraId="71F27493">
      <w:pPr>
        <w:topLinePunct/>
        <w:adjustRightInd w:val="0"/>
        <w:snapToGrid w:val="0"/>
        <w:spacing w:after="234" w:afterLines="75" w:line="360" w:lineRule="auto"/>
        <w:rPr>
          <w:rFonts w:ascii="Arial" w:hAnsi="Arial" w:eastAsia="宋体" w:cs="Arial"/>
          <w:b/>
          <w:snapToGrid w:val="0"/>
          <w:kern w:val="0"/>
          <w:sz w:val="24"/>
        </w:rPr>
      </w:pPr>
      <w:r>
        <w:rPr>
          <w:rFonts w:ascii="Arial" w:hAnsi="Arial" w:eastAsia="宋体" w:cs="Arial"/>
          <w:b/>
          <w:snapToGrid w:val="0"/>
          <w:kern w:val="0"/>
          <w:sz w:val="24"/>
        </w:rPr>
        <w:t>电视接收器／监视器</w:t>
      </w:r>
    </w:p>
    <w:p w14:paraId="5F922809">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标准生效于1970年1月16日。适用于通过广播、线缆或闭路电视</w:t>
      </w:r>
      <w:r>
        <w:rPr>
          <w:rFonts w:hint="eastAsia" w:ascii="Arial" w:hAnsi="Arial" w:eastAsia="宋体" w:cs="Arial"/>
          <w:snapToGrid w:val="0"/>
          <w:kern w:val="0"/>
          <w:sz w:val="24"/>
        </w:rPr>
        <w:t>接收</w:t>
      </w:r>
      <w:r>
        <w:rPr>
          <w:rFonts w:ascii="Arial" w:hAnsi="Arial" w:eastAsia="宋体" w:cs="Arial"/>
          <w:snapToGrid w:val="0"/>
          <w:kern w:val="0"/>
          <w:sz w:val="24"/>
        </w:rPr>
        <w:t>和显示电视图像的产品。包括家用电视接收器／</w:t>
      </w:r>
      <w:bookmarkStart w:id="0" w:name="OLE_LINK1"/>
      <w:r>
        <w:rPr>
          <w:rFonts w:ascii="Arial" w:hAnsi="Arial" w:eastAsia="宋体" w:cs="Arial"/>
          <w:snapToGrid w:val="0"/>
          <w:kern w:val="0"/>
          <w:sz w:val="24"/>
        </w:rPr>
        <w:t>监视器</w:t>
      </w:r>
      <w:bookmarkEnd w:id="0"/>
      <w:r>
        <w:rPr>
          <w:rFonts w:ascii="Arial" w:hAnsi="Arial" w:eastAsia="宋体" w:cs="Arial"/>
          <w:snapToGrid w:val="0"/>
          <w:kern w:val="0"/>
          <w:sz w:val="24"/>
        </w:rPr>
        <w:t>，TV照相机的电子取景器，TV投影仪，以及用于X-光和其他医学造影系统的视频监视器。信号可以通过发射台、摄像机、照相机或电脑生成。除非仅用于显示字母数字符号，否则一般描述为视频显示器械、视频显示终端、图形监视器、医疗监视器及其他类似产品均属于性能标准的适用范围。</w:t>
      </w:r>
    </w:p>
    <w:p w14:paraId="2B674679">
      <w:pPr>
        <w:topLinePunct/>
        <w:adjustRightInd w:val="0"/>
        <w:snapToGrid w:val="0"/>
        <w:spacing w:after="234" w:afterLines="75" w:line="360" w:lineRule="auto"/>
        <w:rPr>
          <w:rFonts w:ascii="Arial" w:hAnsi="Arial" w:eastAsia="宋体" w:cs="Arial"/>
          <w:b/>
          <w:snapToGrid w:val="0"/>
          <w:kern w:val="0"/>
          <w:sz w:val="24"/>
        </w:rPr>
      </w:pPr>
      <w:r>
        <w:rPr>
          <w:rFonts w:ascii="Arial" w:hAnsi="Arial" w:eastAsia="宋体" w:cs="Arial"/>
          <w:b/>
          <w:snapToGrid w:val="0"/>
          <w:kern w:val="0"/>
          <w:sz w:val="24"/>
        </w:rPr>
        <w:t>显示型冷阴极充气放电管</w:t>
      </w:r>
    </w:p>
    <w:p w14:paraId="6931CEE9">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标准生效于1970年5月19日。适用于产生和维持电子流用于显示电子流或产生X-光的放电管。</w:t>
      </w:r>
    </w:p>
    <w:p w14:paraId="700C8FD1">
      <w:pPr>
        <w:topLinePunct/>
        <w:adjustRightInd w:val="0"/>
        <w:snapToGrid w:val="0"/>
        <w:spacing w:after="234" w:afterLines="75" w:line="360" w:lineRule="auto"/>
        <w:rPr>
          <w:rFonts w:ascii="Arial" w:hAnsi="Arial" w:eastAsia="宋体" w:cs="Arial"/>
          <w:b/>
          <w:snapToGrid w:val="0"/>
          <w:kern w:val="0"/>
          <w:sz w:val="24"/>
        </w:rPr>
      </w:pPr>
      <w:r>
        <w:rPr>
          <w:rFonts w:ascii="Arial" w:hAnsi="Arial" w:eastAsia="宋体" w:cs="Arial"/>
          <w:b/>
          <w:snapToGrid w:val="0"/>
          <w:kern w:val="0"/>
          <w:sz w:val="24"/>
        </w:rPr>
        <w:t>微波炉</w:t>
      </w:r>
    </w:p>
    <w:p w14:paraId="5CC6EC39">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标准生效于1971年10月7日。适用于家用或商用的，通过电磁能量加热或烹饪食物的器械。</w:t>
      </w:r>
    </w:p>
    <w:p w14:paraId="24FC1687">
      <w:pPr>
        <w:topLinePunct/>
        <w:adjustRightInd w:val="0"/>
        <w:snapToGrid w:val="0"/>
        <w:spacing w:after="234" w:afterLines="75" w:line="360" w:lineRule="auto"/>
        <w:rPr>
          <w:rFonts w:ascii="Arial" w:hAnsi="Arial" w:eastAsia="宋体" w:cs="Arial"/>
          <w:b/>
          <w:snapToGrid w:val="0"/>
          <w:kern w:val="0"/>
          <w:sz w:val="24"/>
        </w:rPr>
      </w:pPr>
      <w:r>
        <w:rPr>
          <w:rFonts w:ascii="Arial" w:hAnsi="Arial" w:eastAsia="宋体" w:cs="Arial"/>
          <w:b/>
          <w:snapToGrid w:val="0"/>
          <w:kern w:val="0"/>
          <w:sz w:val="24"/>
        </w:rPr>
        <w:t>诊断性X光设备</w:t>
      </w:r>
    </w:p>
    <w:p w14:paraId="750E1638">
      <w:pPr>
        <w:topLinePunct/>
        <w:adjustRightInd w:val="0"/>
        <w:snapToGrid w:val="0"/>
        <w:spacing w:after="234" w:afterLines="75" w:line="360" w:lineRule="auto"/>
        <w:rPr>
          <w:rFonts w:ascii="Arial" w:hAnsi="Arial" w:eastAsia="宋体" w:cs="Arial"/>
          <w:snapToGrid w:val="0"/>
          <w:kern w:val="0"/>
          <w:sz w:val="24"/>
        </w:rPr>
      </w:pPr>
      <w:bookmarkStart w:id="1" w:name="OLE_LINK2"/>
      <w:r>
        <w:rPr>
          <w:rFonts w:ascii="Arial" w:hAnsi="Arial" w:eastAsia="宋体" w:cs="Arial"/>
          <w:snapToGrid w:val="0"/>
          <w:kern w:val="0"/>
          <w:sz w:val="24"/>
        </w:rPr>
        <w:t>标准生效于1974年8月2日。</w:t>
      </w:r>
      <w:bookmarkEnd w:id="1"/>
      <w:r>
        <w:rPr>
          <w:rFonts w:ascii="Arial" w:hAnsi="Arial" w:eastAsia="宋体" w:cs="Arial"/>
          <w:snapToGrid w:val="0"/>
          <w:kern w:val="0"/>
          <w:sz w:val="24"/>
        </w:rPr>
        <w:t>适用于完整的诊断性X光设备，以及作为主要部件的设备，包括放电管护套配件，X光控制器，X光高电压产生器，荧光成像组件，桌面，支架，造影胶片更换器，胶片盒托盘，以及放射束器械。</w:t>
      </w:r>
    </w:p>
    <w:p w14:paraId="40052B55">
      <w:pPr>
        <w:widowControl/>
        <w:jc w:val="left"/>
        <w:rPr>
          <w:rFonts w:ascii="Arial" w:hAnsi="Arial" w:eastAsia="宋体" w:cs="Arial"/>
          <w:b/>
          <w:snapToGrid w:val="0"/>
          <w:kern w:val="0"/>
          <w:sz w:val="24"/>
        </w:rPr>
      </w:pPr>
      <w:r>
        <w:rPr>
          <w:rFonts w:ascii="Arial" w:hAnsi="Arial" w:eastAsia="宋体" w:cs="Arial"/>
          <w:b/>
          <w:snapToGrid w:val="0"/>
          <w:kern w:val="0"/>
          <w:sz w:val="24"/>
        </w:rPr>
        <w:br w:type="page"/>
      </w:r>
    </w:p>
    <w:p w14:paraId="28EB87D9">
      <w:pPr>
        <w:topLinePunct/>
        <w:adjustRightInd w:val="0"/>
        <w:snapToGrid w:val="0"/>
        <w:spacing w:after="234" w:afterLines="75" w:line="360" w:lineRule="auto"/>
        <w:rPr>
          <w:rFonts w:ascii="Arial" w:hAnsi="Arial" w:eastAsia="宋体" w:cs="Arial"/>
          <w:b/>
          <w:snapToGrid w:val="0"/>
          <w:kern w:val="0"/>
          <w:sz w:val="24"/>
        </w:rPr>
      </w:pPr>
      <w:r>
        <w:rPr>
          <w:rFonts w:hint="eastAsia" w:ascii="Arial" w:hAnsi="Arial" w:eastAsia="宋体" w:cs="Arial"/>
          <w:b/>
          <w:snapToGrid w:val="0"/>
          <w:kern w:val="0"/>
          <w:sz w:val="24"/>
        </w:rPr>
        <w:t>机柜</w:t>
      </w:r>
      <w:r>
        <w:rPr>
          <w:rFonts w:ascii="Arial" w:hAnsi="Arial" w:eastAsia="宋体" w:cs="Arial"/>
          <w:b/>
          <w:snapToGrid w:val="0"/>
          <w:kern w:val="0"/>
          <w:sz w:val="24"/>
        </w:rPr>
        <w:t>X光</w:t>
      </w:r>
      <w:r>
        <w:rPr>
          <w:rFonts w:hint="eastAsia" w:ascii="Arial" w:hAnsi="Arial" w:eastAsia="宋体" w:cs="Arial"/>
          <w:b/>
          <w:snapToGrid w:val="0"/>
          <w:kern w:val="0"/>
          <w:sz w:val="24"/>
        </w:rPr>
        <w:t>器械</w:t>
      </w:r>
    </w:p>
    <w:p w14:paraId="18B70AE7">
      <w:pPr>
        <w:topLinePunct/>
        <w:adjustRightInd w:val="0"/>
        <w:snapToGrid w:val="0"/>
        <w:spacing w:after="234" w:afterLines="75" w:line="360" w:lineRule="auto"/>
        <w:rPr>
          <w:rFonts w:ascii="Arial" w:hAnsi="Arial" w:eastAsia="宋体" w:cs="Arial"/>
          <w:snapToGrid w:val="0"/>
          <w:kern w:val="0"/>
          <w:sz w:val="24"/>
          <w:highlight w:val="red"/>
        </w:rPr>
      </w:pPr>
      <w:bookmarkStart w:id="2" w:name="OLE_LINK3"/>
      <w:r>
        <w:rPr>
          <w:rFonts w:ascii="Arial" w:hAnsi="Arial" w:eastAsia="宋体" w:cs="Arial"/>
          <w:snapToGrid w:val="0"/>
          <w:kern w:val="0"/>
          <w:sz w:val="24"/>
        </w:rPr>
        <w:t>标准生效于1974年</w:t>
      </w:r>
      <w:r>
        <w:rPr>
          <w:rFonts w:hint="eastAsia" w:ascii="Arial" w:hAnsi="Arial" w:eastAsia="宋体" w:cs="Arial"/>
          <w:snapToGrid w:val="0"/>
          <w:kern w:val="0"/>
          <w:sz w:val="24"/>
        </w:rPr>
        <w:t>4</w:t>
      </w:r>
      <w:r>
        <w:rPr>
          <w:rFonts w:ascii="Arial" w:hAnsi="Arial" w:eastAsia="宋体" w:cs="Arial"/>
          <w:snapToGrid w:val="0"/>
          <w:kern w:val="0"/>
          <w:sz w:val="24"/>
        </w:rPr>
        <w:t>月2</w:t>
      </w:r>
      <w:r>
        <w:rPr>
          <w:rFonts w:hint="eastAsia" w:ascii="Arial" w:hAnsi="Arial" w:eastAsia="宋体" w:cs="Arial"/>
          <w:snapToGrid w:val="0"/>
          <w:kern w:val="0"/>
          <w:sz w:val="24"/>
        </w:rPr>
        <w:t>5</w:t>
      </w:r>
      <w:r>
        <w:rPr>
          <w:rFonts w:ascii="Arial" w:hAnsi="Arial" w:eastAsia="宋体" w:cs="Arial"/>
          <w:snapToGrid w:val="0"/>
          <w:kern w:val="0"/>
          <w:sz w:val="24"/>
        </w:rPr>
        <w:t>日</w:t>
      </w:r>
      <w:bookmarkEnd w:id="2"/>
      <w:r>
        <w:rPr>
          <w:rFonts w:hint="eastAsia" w:ascii="Arial" w:hAnsi="Arial" w:eastAsia="宋体" w:cs="Arial"/>
          <w:snapToGrid w:val="0"/>
          <w:kern w:val="0"/>
          <w:sz w:val="24"/>
        </w:rPr>
        <w:t>，用于主要检查随身行李的指定系统；</w:t>
      </w:r>
      <w:r>
        <w:rPr>
          <w:rFonts w:ascii="Arial" w:hAnsi="Arial" w:eastAsia="宋体" w:cs="Arial"/>
          <w:snapToGrid w:val="0"/>
          <w:kern w:val="0"/>
          <w:sz w:val="24"/>
        </w:rPr>
        <w:t>标准生效于1974年</w:t>
      </w:r>
      <w:r>
        <w:rPr>
          <w:rFonts w:hint="eastAsia" w:ascii="Arial" w:hAnsi="Arial" w:eastAsia="宋体" w:cs="Arial"/>
          <w:snapToGrid w:val="0"/>
          <w:kern w:val="0"/>
          <w:sz w:val="24"/>
        </w:rPr>
        <w:t>4</w:t>
      </w:r>
      <w:r>
        <w:rPr>
          <w:rFonts w:ascii="Arial" w:hAnsi="Arial" w:eastAsia="宋体" w:cs="Arial"/>
          <w:snapToGrid w:val="0"/>
          <w:kern w:val="0"/>
          <w:sz w:val="24"/>
        </w:rPr>
        <w:t>月2</w:t>
      </w:r>
      <w:r>
        <w:rPr>
          <w:rFonts w:hint="eastAsia" w:ascii="Arial" w:hAnsi="Arial" w:eastAsia="宋体" w:cs="Arial"/>
          <w:snapToGrid w:val="0"/>
          <w:kern w:val="0"/>
          <w:sz w:val="24"/>
        </w:rPr>
        <w:t>5</w:t>
      </w:r>
      <w:r>
        <w:rPr>
          <w:rFonts w:ascii="Arial" w:hAnsi="Arial" w:eastAsia="宋体" w:cs="Arial"/>
          <w:snapToGrid w:val="0"/>
          <w:kern w:val="0"/>
          <w:sz w:val="24"/>
        </w:rPr>
        <w:t>日，</w:t>
      </w:r>
      <w:r>
        <w:rPr>
          <w:rFonts w:hint="eastAsia" w:ascii="Arial" w:hAnsi="Arial" w:eastAsia="宋体" w:cs="Arial"/>
          <w:snapToGrid w:val="0"/>
          <w:kern w:val="0"/>
          <w:sz w:val="24"/>
        </w:rPr>
        <w:t>用于其他机柜X-光器械。适用于封闭独立式机柜的所有X-光器械。</w:t>
      </w:r>
    </w:p>
    <w:p w14:paraId="42B8497D">
      <w:pPr>
        <w:topLinePunct/>
        <w:adjustRightInd w:val="0"/>
        <w:snapToGrid w:val="0"/>
        <w:spacing w:after="234" w:afterLines="75" w:line="360" w:lineRule="auto"/>
        <w:rPr>
          <w:rFonts w:ascii="Arial" w:hAnsi="Arial" w:eastAsia="宋体" w:cs="Arial"/>
          <w:b/>
          <w:snapToGrid w:val="0"/>
          <w:kern w:val="0"/>
          <w:sz w:val="24"/>
        </w:rPr>
      </w:pPr>
      <w:r>
        <w:rPr>
          <w:rFonts w:ascii="Arial" w:hAnsi="Arial" w:eastAsia="宋体" w:cs="Arial"/>
          <w:b/>
          <w:snapToGrid w:val="0"/>
          <w:kern w:val="0"/>
          <w:sz w:val="24"/>
        </w:rPr>
        <w:t>激光产品</w:t>
      </w:r>
    </w:p>
    <w:p w14:paraId="4E11A923">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标准生效于1976年8月2日。适用于所有的激光和激光系统，以及除21 CFR 1040.10（a）排除的产品外所有包含或用于包含激光或激光系统的产品。</w:t>
      </w:r>
    </w:p>
    <w:p w14:paraId="1E720A8C">
      <w:pPr>
        <w:topLinePunct/>
        <w:adjustRightInd w:val="0"/>
        <w:snapToGrid w:val="0"/>
        <w:spacing w:after="234" w:afterLines="75" w:line="360" w:lineRule="auto"/>
        <w:rPr>
          <w:rFonts w:ascii="Arial" w:hAnsi="Arial" w:eastAsia="宋体" w:cs="Arial"/>
          <w:b/>
          <w:snapToGrid w:val="0"/>
          <w:kern w:val="0"/>
          <w:sz w:val="24"/>
        </w:rPr>
      </w:pPr>
      <w:r>
        <w:rPr>
          <w:rFonts w:ascii="Arial" w:hAnsi="Arial" w:eastAsia="宋体" w:cs="Arial"/>
          <w:b/>
          <w:snapToGrid w:val="0"/>
          <w:kern w:val="0"/>
          <w:sz w:val="24"/>
        </w:rPr>
        <w:t>超声治疗设备</w:t>
      </w:r>
    </w:p>
    <w:p w14:paraId="4FE29ACE">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标准生效于1979年2月17日。适用于用于物理治疗仪的超声治疗设备，以及用于上述设备的生成器或应用器。</w:t>
      </w:r>
    </w:p>
    <w:p w14:paraId="0FFD21A4">
      <w:pPr>
        <w:topLinePunct/>
        <w:adjustRightInd w:val="0"/>
        <w:snapToGrid w:val="0"/>
        <w:spacing w:after="234" w:afterLines="75" w:line="360" w:lineRule="auto"/>
        <w:rPr>
          <w:rFonts w:ascii="Arial" w:hAnsi="Arial" w:eastAsia="宋体" w:cs="Arial"/>
          <w:b/>
          <w:snapToGrid w:val="0"/>
          <w:kern w:val="0"/>
          <w:sz w:val="24"/>
        </w:rPr>
      </w:pPr>
      <w:r>
        <w:rPr>
          <w:rFonts w:ascii="Arial" w:hAnsi="Arial" w:eastAsia="宋体" w:cs="Arial"/>
          <w:b/>
          <w:snapToGrid w:val="0"/>
          <w:kern w:val="0"/>
          <w:sz w:val="24"/>
        </w:rPr>
        <w:t>水银蒸汽灯</w:t>
      </w:r>
    </w:p>
    <w:p w14:paraId="02687157">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标准生效于1980年3月8日。适用于设计、使用或推销用于照明目的的水银蒸汽灯。</w:t>
      </w:r>
    </w:p>
    <w:p w14:paraId="186892E2">
      <w:pPr>
        <w:topLinePunct/>
        <w:adjustRightInd w:val="0"/>
        <w:snapToGrid w:val="0"/>
        <w:spacing w:after="234" w:afterLines="75" w:line="360" w:lineRule="auto"/>
        <w:rPr>
          <w:rFonts w:ascii="Arial" w:hAnsi="Arial" w:eastAsia="宋体" w:cs="Arial"/>
          <w:b/>
          <w:snapToGrid w:val="0"/>
          <w:kern w:val="0"/>
          <w:sz w:val="24"/>
        </w:rPr>
      </w:pPr>
      <w:r>
        <w:rPr>
          <w:rFonts w:ascii="Arial" w:hAnsi="Arial" w:eastAsia="宋体" w:cs="Arial"/>
          <w:b/>
          <w:snapToGrid w:val="0"/>
          <w:kern w:val="0"/>
          <w:sz w:val="24"/>
        </w:rPr>
        <w:t>日光灯产品</w:t>
      </w:r>
    </w:p>
    <w:p w14:paraId="4735633C">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标准生效于1980年5月7日，与1986年9月8日修订。适用于日光灯产品（如日光浴床和隔间），以及上述产品中用于皮肤晒黑的紫外线灯。</w:t>
      </w:r>
    </w:p>
    <w:p w14:paraId="31487C45">
      <w:pPr>
        <w:widowControl/>
        <w:jc w:val="left"/>
        <w:rPr>
          <w:rFonts w:ascii="Arial" w:hAnsi="Arial" w:eastAsia="宋体" w:cs="Arial"/>
          <w:b/>
          <w:snapToGrid w:val="0"/>
          <w:kern w:val="0"/>
          <w:sz w:val="24"/>
        </w:rPr>
      </w:pPr>
      <w:r>
        <w:rPr>
          <w:rFonts w:ascii="Arial" w:hAnsi="Arial" w:eastAsia="宋体" w:cs="Arial"/>
          <w:b/>
          <w:snapToGrid w:val="0"/>
          <w:kern w:val="0"/>
          <w:sz w:val="24"/>
        </w:rPr>
        <w:br w:type="page"/>
      </w:r>
    </w:p>
    <w:p w14:paraId="6C81212C">
      <w:pPr>
        <w:topLinePunct/>
        <w:adjustRightInd w:val="0"/>
        <w:snapToGrid w:val="0"/>
        <w:spacing w:after="234" w:afterLines="75" w:line="360" w:lineRule="auto"/>
        <w:rPr>
          <w:rFonts w:ascii="Arial" w:hAnsi="Arial" w:eastAsia="宋体" w:cs="Arial"/>
          <w:b/>
          <w:snapToGrid w:val="0"/>
          <w:kern w:val="0"/>
          <w:sz w:val="24"/>
        </w:rPr>
      </w:pPr>
      <w:r>
        <w:rPr>
          <w:rFonts w:ascii="Arial" w:hAnsi="Arial" w:eastAsia="宋体" w:cs="Arial"/>
          <w:b/>
          <w:snapToGrid w:val="0"/>
          <w:kern w:val="0"/>
          <w:sz w:val="24"/>
        </w:rPr>
        <w:t>用于检测和评估，或用于出口的进口</w:t>
      </w:r>
    </w:p>
    <w:p w14:paraId="4DEAB61D">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特定情况下，进口商可以进口（用于出口）未经许可的、无法接受美国广播信号的多系统电视接收器，以及未经许可的、不含有美国电源插头或适配器的微波炉。另外，运行、维护和服务过程为I类的特定电视接收器、微波炉和激光产品如果满足具体的免除适用的性能标准的指标，则可以进口用于检测和评估。豁免标准请联系最近的FDA地区办公室。</w:t>
      </w:r>
    </w:p>
    <w:p w14:paraId="02406496">
      <w:pPr>
        <w:topLinePunct/>
        <w:adjustRightInd w:val="0"/>
        <w:snapToGrid w:val="0"/>
        <w:spacing w:after="234" w:afterLines="75" w:line="360" w:lineRule="auto"/>
        <w:jc w:val="center"/>
        <w:rPr>
          <w:rFonts w:ascii="Arial" w:hAnsi="Arial" w:eastAsia="宋体" w:cs="Arial"/>
          <w:b/>
          <w:snapToGrid w:val="0"/>
          <w:kern w:val="0"/>
          <w:sz w:val="32"/>
        </w:rPr>
      </w:pPr>
      <w:r>
        <w:rPr>
          <w:rFonts w:ascii="Arial" w:hAnsi="Arial" w:eastAsia="宋体" w:cs="Arial"/>
          <w:b/>
          <w:snapToGrid w:val="0"/>
          <w:kern w:val="0"/>
          <w:sz w:val="32"/>
        </w:rPr>
        <w:t>其他信息</w:t>
      </w:r>
    </w:p>
    <w:p w14:paraId="23F0B617">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关于其他信息，进口商、销售商、经销商和制造商应参考相关的FDA法规（CFR 21，第1000-1050部分）或联系就近的FDA地区办公室。</w:t>
      </w:r>
    </w:p>
    <w:p w14:paraId="094A2C99">
      <w:pPr>
        <w:topLinePunct/>
        <w:adjustRightInd w:val="0"/>
        <w:snapToGrid w:val="0"/>
        <w:spacing w:after="234" w:afterLines="75" w:line="360" w:lineRule="auto"/>
        <w:jc w:val="center"/>
        <w:rPr>
          <w:rFonts w:hint="eastAsia" w:eastAsia="等线"/>
          <w:lang w:eastAsia="zh-CN"/>
        </w:rPr>
      </w:pPr>
    </w:p>
    <w:p w14:paraId="4EFD32B7">
      <w:pPr>
        <w:topLinePunct/>
        <w:adjustRightInd w:val="0"/>
        <w:snapToGrid w:val="0"/>
        <w:spacing w:after="234" w:afterLines="75" w:line="360" w:lineRule="auto"/>
        <w:jc w:val="center"/>
        <w:rPr>
          <w:rFonts w:hint="eastAsia" w:eastAsia="等线"/>
          <w:lang w:eastAsia="zh-CN"/>
        </w:rPr>
      </w:pPr>
    </w:p>
    <w:p w14:paraId="379D3F04">
      <w:pPr>
        <w:topLinePunct/>
        <w:adjustRightInd w:val="0"/>
        <w:snapToGrid w:val="0"/>
        <w:spacing w:after="234" w:afterLines="75" w:line="36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9"/>
                    <a:stretch>
                      <a:fillRect/>
                    </a:stretch>
                  </pic:blipFill>
                  <pic:spPr>
                    <a:xfrm>
                      <a:off x="0" y="0"/>
                      <a:ext cx="5210175" cy="7343775"/>
                    </a:xfrm>
                    <a:prstGeom prst="rect">
                      <a:avLst/>
                    </a:prstGeom>
                  </pic:spPr>
                </pic:pic>
              </a:graphicData>
            </a:graphic>
          </wp:inline>
        </w:drawing>
      </w:r>
    </w:p>
    <w:sectPr>
      <w:headerReference r:id="rId5" w:type="default"/>
      <w:footerReference r:id="rId6" w:type="default"/>
      <w:pgSz w:w="11906" w:h="16838"/>
      <w:pgMar w:top="1440" w:right="1797" w:bottom="1440" w:left="1797" w:header="720" w:footer="72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6B0B1">
    <w:pPr>
      <w:pStyle w:val="4"/>
      <w:jc w:val="center"/>
      <w:rPr>
        <w:rFonts w:ascii="Arial" w:hAnsi="Arial" w:eastAsia="宋体" w:cs="Arial"/>
        <w:snapToGrid w:val="0"/>
        <w:kern w:val="0"/>
        <w:sz w:val="24"/>
      </w:rPr>
    </w:pPr>
    <w:r>
      <w:rPr>
        <w:rFonts w:hint="eastAsia" w:ascii="Arial" w:hAnsi="Arial" w:eastAsia="宋体" w:cs="Arial"/>
        <w:snapToGrid w:val="0"/>
        <w:kern w:val="0"/>
        <w:sz w:val="24"/>
      </w:rPr>
      <w:t>___________________________________</w:t>
    </w:r>
  </w:p>
  <w:p w14:paraId="484968C3">
    <w:pPr>
      <w:pStyle w:val="4"/>
      <w:jc w:val="center"/>
    </w:pPr>
  </w:p>
  <w:p w14:paraId="4191E74E">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FB6C2">
    <w:pPr>
      <w:pStyle w:val="4"/>
      <w:jc w:val="center"/>
      <w:rPr>
        <w:rFonts w:ascii="Arial" w:hAnsi="Arial" w:eastAsia="宋体" w:cs="Arial"/>
        <w:snapToGrid w:val="0"/>
        <w:kern w:val="0"/>
        <w:sz w:val="24"/>
      </w:rPr>
    </w:pPr>
  </w:p>
  <w:p w14:paraId="67C31900">
    <w:pPr>
      <w:pStyle w:val="4"/>
      <w:jc w:val="center"/>
      <w:rPr>
        <w:rFonts w:ascii="Arial" w:hAnsi="Arial" w:eastAsia="宋体" w:cs="Arial"/>
        <w:snapToGrid w:val="0"/>
        <w:kern w:val="0"/>
        <w:sz w:val="24"/>
      </w:rPr>
    </w:pPr>
    <w:r>
      <w:rPr>
        <w:rFonts w:ascii="Arial" w:hAnsi="Arial" w:eastAsia="宋体" w:cs="Arial"/>
        <w:snapToGrid w:val="0"/>
        <w:kern w:val="0"/>
        <w:sz w:val="24"/>
      </w:rPr>
      <w:fldChar w:fldCharType="begin"/>
    </w:r>
    <w:r>
      <w:rPr>
        <w:rFonts w:ascii="Arial" w:hAnsi="Arial" w:eastAsia="宋体" w:cs="Arial"/>
        <w:snapToGrid w:val="0"/>
        <w:kern w:val="0"/>
        <w:sz w:val="24"/>
      </w:rPr>
      <w:instrText xml:space="preserve">PAGE   \* MERGEFORMAT</w:instrText>
    </w:r>
    <w:r>
      <w:rPr>
        <w:rFonts w:ascii="Arial" w:hAnsi="Arial" w:eastAsia="宋体" w:cs="Arial"/>
        <w:snapToGrid w:val="0"/>
        <w:kern w:val="0"/>
        <w:sz w:val="24"/>
      </w:rPr>
      <w:fldChar w:fldCharType="separate"/>
    </w:r>
    <w:r>
      <w:rPr>
        <w:rFonts w:ascii="Arial" w:hAnsi="Arial" w:eastAsia="宋体" w:cs="Arial"/>
        <w:snapToGrid w:val="0"/>
        <w:kern w:val="0"/>
        <w:sz w:val="24"/>
        <w:lang w:val="zh-CN"/>
      </w:rPr>
      <w:t>1</w:t>
    </w:r>
    <w:r>
      <w:rPr>
        <w:rFonts w:ascii="Arial" w:hAnsi="Arial" w:eastAsia="宋体" w:cs="Arial"/>
        <w:snapToGrid w:val="0"/>
        <w:kern w:val="0"/>
        <w:sz w:val="24"/>
      </w:rPr>
      <w:fldChar w:fldCharType="end"/>
    </w:r>
  </w:p>
  <w:p w14:paraId="42A2FDC0">
    <w:pPr>
      <w:pStyle w:val="4"/>
      <w:jc w:val="center"/>
      <w:rPr>
        <w:rFonts w:ascii="Arial" w:hAnsi="Arial" w:eastAsia="宋体" w:cs="Arial"/>
        <w:snapToGrid w:val="0"/>
        <w:kern w:val="0"/>
        <w:sz w:val="24"/>
      </w:rPr>
    </w:pPr>
  </w:p>
  <w:p w14:paraId="793CC67F">
    <w:pPr>
      <w:pStyle w:val="4"/>
      <w:jc w:val="center"/>
      <w:rPr>
        <w:rFonts w:ascii="Arial" w:hAnsi="Arial" w:eastAsia="宋体" w:cs="Arial"/>
        <w:snapToGrid w:val="0"/>
        <w:kern w:val="0"/>
        <w:sz w:val="24"/>
      </w:rPr>
    </w:pPr>
    <w:r>
      <w:rPr>
        <w:rFonts w:hint="eastAsia" w:ascii="Arial" w:hAnsi="Arial" w:eastAsia="宋体" w:cs="Arial"/>
        <w:snapToGrid w:val="0"/>
        <w:kern w:val="0"/>
        <w:sz w:val="24"/>
      </w:rPr>
      <w:t>___________________________</w:t>
    </w:r>
  </w:p>
  <w:p w14:paraId="2B97F2BE">
    <w:pPr>
      <w:pStyle w:val="4"/>
      <w:jc w:val="center"/>
    </w:pPr>
  </w:p>
  <w:p w14:paraId="7F483F8E">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7444C">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2D35B">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E801A2"/>
    <w:multiLevelType w:val="multilevel"/>
    <w:tmpl w:val="16E801A2"/>
    <w:lvl w:ilvl="0" w:tentative="0">
      <w:start w:val="1"/>
      <w:numFmt w:val="bullet"/>
      <w:lvlText w:val="●"/>
      <w:lvlJc w:val="left"/>
      <w:pPr>
        <w:ind w:left="840" w:hanging="420"/>
      </w:pPr>
      <w:rPr>
        <w:rFonts w:hint="default" w:ascii="Arial" w:hAnsi="Aria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974"/>
    <w:rsid w:val="000355F7"/>
    <w:rsid w:val="000F7485"/>
    <w:rsid w:val="001221E5"/>
    <w:rsid w:val="00180F23"/>
    <w:rsid w:val="00181905"/>
    <w:rsid w:val="00184727"/>
    <w:rsid w:val="001B7517"/>
    <w:rsid w:val="00323974"/>
    <w:rsid w:val="003D138C"/>
    <w:rsid w:val="00410611"/>
    <w:rsid w:val="0045120F"/>
    <w:rsid w:val="004A5A18"/>
    <w:rsid w:val="004D192D"/>
    <w:rsid w:val="0056146D"/>
    <w:rsid w:val="0056596D"/>
    <w:rsid w:val="00587D7D"/>
    <w:rsid w:val="005D7696"/>
    <w:rsid w:val="006258E1"/>
    <w:rsid w:val="00656707"/>
    <w:rsid w:val="00692774"/>
    <w:rsid w:val="006F1D46"/>
    <w:rsid w:val="007273BD"/>
    <w:rsid w:val="007448AC"/>
    <w:rsid w:val="0080281B"/>
    <w:rsid w:val="00827D52"/>
    <w:rsid w:val="00870899"/>
    <w:rsid w:val="00961122"/>
    <w:rsid w:val="009A18D7"/>
    <w:rsid w:val="009A4351"/>
    <w:rsid w:val="00C51305"/>
    <w:rsid w:val="00C635D2"/>
    <w:rsid w:val="00DE057A"/>
    <w:rsid w:val="00EB406E"/>
    <w:rsid w:val="00F74AE3"/>
    <w:rsid w:val="1E2B6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Balloon Text"/>
    <w:basedOn w:val="1"/>
    <w:link w:val="13"/>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日期 Char"/>
    <w:basedOn w:val="8"/>
    <w:link w:val="2"/>
    <w:semiHidden/>
    <w:uiPriority w:val="99"/>
  </w:style>
  <w:style w:type="paragraph" w:styleId="10">
    <w:name w:val="List Paragraph"/>
    <w:basedOn w:val="1"/>
    <w:qFormat/>
    <w:uiPriority w:val="34"/>
    <w:pPr>
      <w:ind w:firstLine="420" w:firstLineChars="200"/>
    </w:pPr>
  </w:style>
  <w:style w:type="character" w:customStyle="1" w:styleId="11">
    <w:name w:val="页眉 Char"/>
    <w:basedOn w:val="8"/>
    <w:link w:val="5"/>
    <w:qFormat/>
    <w:uiPriority w:val="99"/>
    <w:rPr>
      <w:sz w:val="18"/>
      <w:szCs w:val="18"/>
    </w:rPr>
  </w:style>
  <w:style w:type="character" w:customStyle="1" w:styleId="12">
    <w:name w:val="页脚 Char"/>
    <w:basedOn w:val="8"/>
    <w:link w:val="4"/>
    <w:uiPriority w:val="99"/>
    <w:rPr>
      <w:sz w:val="18"/>
      <w:szCs w:val="18"/>
    </w:rPr>
  </w:style>
  <w:style w:type="character" w:customStyle="1" w:styleId="13">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2820</Words>
  <Characters>2995</Characters>
  <Lines>22</Lines>
  <Paragraphs>6</Paragraphs>
  <TotalTime>0</TotalTime>
  <ScaleCrop>false</ScaleCrop>
  <LinksUpToDate>false</LinksUpToDate>
  <CharactersWithSpaces>3009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2017-12-18T15:07:00Z</dcterms:created>
  <dc:creator>Guozhen Liu</dc:creator>
  <cp:lastModifiedBy>太极箫客</cp:lastModifiedBy>
  <dcterms:modified xsi:type="dcterms:W3CDTF">2025-08-14T08:03:16Z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B0451517A1344CD290DD5F34D5DA69CB_12</vt:lpwstr>
  </property>
</Properties>
</file>