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999BF">
      <w:pPr>
        <w:spacing w:line="500" w:lineRule="exact"/>
        <w:jc w:val="left"/>
        <w:rPr>
          <w:rFonts w:eastAsia="黑体"/>
          <w:color w:val="000000" w:themeColor="text1"/>
          <w:szCs w:val="32"/>
        </w:rPr>
      </w:pPr>
      <w:bookmarkStart w:id="6" w:name="_GoBack"/>
      <w:bookmarkEnd w:id="6"/>
      <w:r>
        <w:rPr>
          <w:rFonts w:eastAsia="黑体"/>
          <w:color w:val="000000" w:themeColor="text1"/>
          <w:szCs w:val="32"/>
        </w:rPr>
        <w:t>附件</w:t>
      </w:r>
    </w:p>
    <w:p w14:paraId="056C68DA">
      <w:pPr>
        <w:spacing w:line="500" w:lineRule="exact"/>
        <w:jc w:val="center"/>
        <w:rPr>
          <w:rFonts w:eastAsia="方正小标宋简体"/>
          <w:color w:val="000000" w:themeColor="text1"/>
          <w:sz w:val="44"/>
          <w:szCs w:val="44"/>
        </w:rPr>
      </w:pPr>
    </w:p>
    <w:p w14:paraId="7511C6E4">
      <w:pPr>
        <w:spacing w:line="520" w:lineRule="exact"/>
        <w:jc w:val="center"/>
        <w:rPr>
          <w:rFonts w:eastAsia="方正小标宋简体"/>
          <w:color w:val="000000" w:themeColor="text1"/>
          <w:sz w:val="44"/>
          <w:szCs w:val="44"/>
        </w:rPr>
      </w:pPr>
      <w:r>
        <w:rPr>
          <w:rFonts w:eastAsia="方正小标宋简体"/>
          <w:color w:val="000000" w:themeColor="text1"/>
          <w:sz w:val="44"/>
          <w:szCs w:val="44"/>
        </w:rPr>
        <w:t>近视/弱视激光治疗</w:t>
      </w:r>
      <w:r>
        <w:rPr>
          <w:rFonts w:hint="eastAsia" w:eastAsia="方正小标宋简体"/>
          <w:color w:val="000000" w:themeColor="text1"/>
          <w:sz w:val="44"/>
          <w:szCs w:val="44"/>
        </w:rPr>
        <w:t>仪</w:t>
      </w:r>
      <w:r>
        <w:rPr>
          <w:rFonts w:eastAsia="方正小标宋简体"/>
          <w:color w:val="000000" w:themeColor="text1"/>
          <w:sz w:val="44"/>
          <w:szCs w:val="44"/>
        </w:rPr>
        <w:t>技术审评要点</w:t>
      </w:r>
    </w:p>
    <w:p w14:paraId="40DDEEE3">
      <w:pPr>
        <w:spacing w:line="520" w:lineRule="exact"/>
        <w:jc w:val="center"/>
        <w:rPr>
          <w:rFonts w:eastAsia="方正小标宋简体"/>
          <w:color w:val="000000" w:themeColor="text1"/>
          <w:sz w:val="44"/>
          <w:szCs w:val="44"/>
        </w:rPr>
      </w:pPr>
      <w:r>
        <w:rPr>
          <w:rFonts w:eastAsia="方正小标宋简体"/>
          <w:color w:val="000000" w:themeColor="text1"/>
          <w:sz w:val="44"/>
          <w:szCs w:val="44"/>
        </w:rPr>
        <w:t>（</w:t>
      </w:r>
      <w:r>
        <w:rPr>
          <w:rFonts w:hint="eastAsia" w:eastAsia="方正小标宋简体"/>
          <w:color w:val="000000" w:themeColor="text1"/>
          <w:sz w:val="44"/>
          <w:szCs w:val="44"/>
        </w:rPr>
        <w:t>征求意见稿</w:t>
      </w:r>
      <w:r>
        <w:rPr>
          <w:rFonts w:eastAsia="方正小标宋简体"/>
          <w:color w:val="000000" w:themeColor="text1"/>
          <w:sz w:val="44"/>
          <w:szCs w:val="44"/>
        </w:rPr>
        <w:t>）</w:t>
      </w:r>
    </w:p>
    <w:p w14:paraId="572831B8">
      <w:pPr>
        <w:snapToGrid w:val="0"/>
        <w:spacing w:line="520" w:lineRule="exact"/>
        <w:ind w:firstLine="640" w:firstLineChars="200"/>
        <w:jc w:val="left"/>
        <w:rPr>
          <w:rFonts w:eastAsia="仿宋_GB2312"/>
          <w:color w:val="000000" w:themeColor="text1"/>
          <w:szCs w:val="32"/>
        </w:rPr>
      </w:pPr>
    </w:p>
    <w:p w14:paraId="066708B7">
      <w:pPr>
        <w:spacing w:line="560" w:lineRule="exact"/>
        <w:ind w:firstLine="640" w:firstLineChars="200"/>
        <w:rPr>
          <w:rFonts w:eastAsia="黑体"/>
          <w:color w:val="000000" w:themeColor="text1"/>
          <w:szCs w:val="32"/>
        </w:rPr>
      </w:pPr>
      <w:r>
        <w:rPr>
          <w:rFonts w:eastAsia="黑体"/>
          <w:color w:val="000000" w:themeColor="text1"/>
          <w:szCs w:val="32"/>
        </w:rPr>
        <w:t>一、适用范围</w:t>
      </w:r>
    </w:p>
    <w:p w14:paraId="5655FF70">
      <w:pPr>
        <w:spacing w:line="520" w:lineRule="exact"/>
        <w:ind w:firstLine="640" w:firstLineChars="200"/>
        <w:rPr>
          <w:rFonts w:eastAsia="仿宋_GB2312"/>
          <w:color w:val="000000" w:themeColor="text1"/>
          <w:szCs w:val="32"/>
        </w:rPr>
      </w:pPr>
      <w:r>
        <w:rPr>
          <w:rFonts w:eastAsia="仿宋_GB2312"/>
          <w:color w:val="000000" w:themeColor="text1"/>
          <w:szCs w:val="32"/>
        </w:rPr>
        <w:t>本审评要点适用于经瞳孔照射眼底的近视/弱视激光治疗产品的产品注册，</w:t>
      </w:r>
      <w:r>
        <w:rPr>
          <w:rFonts w:hint="eastAsia" w:eastAsia="仿宋_GB2312"/>
          <w:color w:val="000000"/>
          <w:szCs w:val="32"/>
        </w:rPr>
        <w:t>按现行《医疗器械分类目录》，该类产品分类编码为</w:t>
      </w:r>
      <w:r>
        <w:rPr>
          <w:rFonts w:eastAsia="仿宋_GB2312"/>
          <w:color w:val="000000"/>
          <w:szCs w:val="32"/>
        </w:rPr>
        <w:t>16-05-02</w:t>
      </w:r>
      <w:r>
        <w:rPr>
          <w:rFonts w:hint="eastAsia" w:eastAsia="仿宋_GB2312"/>
          <w:color w:val="000000"/>
          <w:szCs w:val="32"/>
        </w:rPr>
        <w:t>，管理类别为</w:t>
      </w:r>
      <w:r>
        <w:rPr>
          <w:rFonts w:eastAsia="仿宋_GB2312"/>
          <w:color w:val="000000"/>
          <w:szCs w:val="32"/>
        </w:rPr>
        <w:t>III</w:t>
      </w:r>
      <w:r>
        <w:rPr>
          <w:rFonts w:hint="eastAsia" w:eastAsia="仿宋_GB2312"/>
          <w:color w:val="000000"/>
          <w:szCs w:val="32"/>
        </w:rPr>
        <w:t>类。</w:t>
      </w:r>
      <w:r>
        <w:rPr>
          <w:rFonts w:eastAsia="仿宋_GB2312"/>
          <w:color w:val="000000" w:themeColor="text1"/>
          <w:szCs w:val="32"/>
        </w:rPr>
        <w:t>本审评要点旨在指导注册申请人开展产品设计开发工作及准备产品注册申报资料。</w:t>
      </w:r>
    </w:p>
    <w:p w14:paraId="44ADD3E2">
      <w:pPr>
        <w:spacing w:line="560" w:lineRule="exact"/>
        <w:ind w:firstLine="640" w:firstLineChars="200"/>
        <w:rPr>
          <w:rFonts w:eastAsia="黑体"/>
          <w:color w:val="000000" w:themeColor="text1"/>
          <w:szCs w:val="32"/>
        </w:rPr>
      </w:pPr>
      <w:r>
        <w:rPr>
          <w:rFonts w:eastAsia="黑体"/>
          <w:color w:val="000000" w:themeColor="text1"/>
          <w:szCs w:val="32"/>
        </w:rPr>
        <w:t>二、基本要求</w:t>
      </w:r>
    </w:p>
    <w:p w14:paraId="56045E61">
      <w:pPr>
        <w:spacing w:line="520" w:lineRule="exact"/>
        <w:ind w:firstLine="640" w:firstLineChars="200"/>
        <w:rPr>
          <w:rFonts w:eastAsia="仿宋_GB2312"/>
          <w:color w:val="000000" w:themeColor="text1"/>
          <w:szCs w:val="32"/>
        </w:rPr>
      </w:pPr>
      <w:r>
        <w:rPr>
          <w:rFonts w:eastAsia="仿宋_GB2312"/>
          <w:color w:val="000000" w:themeColor="text1"/>
          <w:szCs w:val="32"/>
        </w:rPr>
        <w:t>注册申请人应依据《医疗器械生产质量管理规范》及其独立软件附录的要求建立质量管理体系，并将风险管理纳入其中。按照质量管理体系要求开展产品的设计开发、生产管理、质量控制等工作。可参考</w:t>
      </w:r>
      <w:r>
        <w:rPr>
          <w:rFonts w:hint="eastAsia" w:eastAsia="仿宋_GB2312" w:cs="宋体"/>
          <w:color w:val="000000"/>
          <w:kern w:val="0"/>
          <w:szCs w:val="32"/>
        </w:rPr>
        <w:t>GB/T 42062、GB/T 42061</w:t>
      </w:r>
      <w:r>
        <w:rPr>
          <w:rFonts w:eastAsia="仿宋_GB2312"/>
          <w:color w:val="000000" w:themeColor="text1"/>
          <w:szCs w:val="32"/>
        </w:rPr>
        <w:t>等标准完善质量管理体系。</w:t>
      </w:r>
    </w:p>
    <w:p w14:paraId="172CB364">
      <w:pPr>
        <w:spacing w:line="520" w:lineRule="exact"/>
        <w:ind w:firstLine="640" w:firstLineChars="200"/>
        <w:rPr>
          <w:rFonts w:eastAsia="仿宋_GB2312"/>
          <w:color w:val="000000" w:themeColor="text1"/>
          <w:szCs w:val="32"/>
        </w:rPr>
      </w:pPr>
      <w:r>
        <w:rPr>
          <w:rFonts w:eastAsia="仿宋_GB2312"/>
          <w:color w:val="000000" w:themeColor="text1"/>
          <w:szCs w:val="32"/>
        </w:rPr>
        <w:t>注册申请人需基于产品的预期用途、使用场景、结构组成、技术特征等因素，按照《医疗器械安全和性能基本原则》及其符合性技术指南要求，确定产品安全、有效的基本要求，并结合相关指导原则和标准开展产品设计开发工作。参考《医疗器械产品受益-风险评估注册技术审查指导原则》开展产品受益-风险评估工作，确保产品受益大于风险。</w:t>
      </w:r>
    </w:p>
    <w:p w14:paraId="5B3CDD44">
      <w:pPr>
        <w:spacing w:line="520" w:lineRule="exact"/>
        <w:ind w:firstLine="640" w:firstLineChars="200"/>
        <w:rPr>
          <w:rFonts w:eastAsia="仿宋_GB2312"/>
          <w:color w:val="000000" w:themeColor="text1"/>
          <w:szCs w:val="32"/>
        </w:rPr>
      </w:pPr>
      <w:r>
        <w:rPr>
          <w:rFonts w:eastAsia="仿宋_GB2312"/>
          <w:color w:val="000000" w:themeColor="text1"/>
          <w:szCs w:val="32"/>
        </w:rPr>
        <w:t>注册申请人需按照《关于公布医疗器械注册申报资料要求和批准证明文件格式的公告》要求，结合本审评要点和相关指导原则要求，准备产品注册申报资料。基于产品特性判断本审评要点和相关指导原则具体内容的适用性，不适用内容详述理由。</w:t>
      </w:r>
    </w:p>
    <w:p w14:paraId="0B7C778B">
      <w:pPr>
        <w:spacing w:line="520" w:lineRule="exact"/>
        <w:ind w:firstLine="640" w:firstLineChars="200"/>
        <w:rPr>
          <w:rFonts w:eastAsia="仿宋_GB2312"/>
          <w:color w:val="000000" w:themeColor="text1"/>
          <w:szCs w:val="32"/>
        </w:rPr>
      </w:pPr>
      <w:r>
        <w:rPr>
          <w:rFonts w:eastAsia="仿宋_GB2312"/>
          <w:color w:val="000000" w:themeColor="text1"/>
          <w:szCs w:val="32"/>
        </w:rPr>
        <w:t>产品注册申报资料及注册体系核查结果若能证明申报产品安全、有效且质量可控，方可获批上市。</w:t>
      </w:r>
    </w:p>
    <w:p w14:paraId="561276F1">
      <w:pPr>
        <w:spacing w:line="520" w:lineRule="exact"/>
        <w:ind w:firstLine="640" w:firstLineChars="200"/>
        <w:rPr>
          <w:rFonts w:eastAsia="黑体"/>
          <w:color w:val="000000" w:themeColor="text1"/>
          <w:szCs w:val="32"/>
        </w:rPr>
      </w:pPr>
      <w:r>
        <w:rPr>
          <w:rFonts w:hAnsi="黑体" w:eastAsia="黑体"/>
          <w:color w:val="000000" w:themeColor="text1"/>
          <w:szCs w:val="32"/>
        </w:rPr>
        <w:t>三、产品受益</w:t>
      </w:r>
      <w:r>
        <w:rPr>
          <w:rFonts w:eastAsia="黑体"/>
          <w:color w:val="000000" w:themeColor="text1"/>
          <w:szCs w:val="32"/>
        </w:rPr>
        <w:t>-</w:t>
      </w:r>
      <w:r>
        <w:rPr>
          <w:rFonts w:hAnsi="黑体" w:eastAsia="黑体"/>
          <w:color w:val="000000" w:themeColor="text1"/>
          <w:szCs w:val="32"/>
        </w:rPr>
        <w:t>风险考量</w:t>
      </w:r>
      <w:r>
        <w:rPr>
          <w:rFonts w:eastAsia="黑体"/>
          <w:color w:val="000000" w:themeColor="text1"/>
          <w:szCs w:val="32"/>
        </w:rPr>
        <w:t xml:space="preserve"> </w:t>
      </w:r>
    </w:p>
    <w:p w14:paraId="4F973876">
      <w:pPr>
        <w:spacing w:line="520" w:lineRule="exact"/>
        <w:ind w:firstLine="640" w:firstLineChars="200"/>
        <w:rPr>
          <w:rFonts w:eastAsia="仿宋_GB2312"/>
          <w:color w:val="000000" w:themeColor="text1"/>
          <w:szCs w:val="32"/>
        </w:rPr>
      </w:pPr>
      <w:r>
        <w:rPr>
          <w:rFonts w:eastAsia="仿宋_GB2312"/>
          <w:color w:val="000000" w:themeColor="text1"/>
          <w:szCs w:val="32"/>
        </w:rPr>
        <w:t>注册申请人需基于产品的预期用途、使用场景、结构组成、技术特征等因素确定产品特性，明确产品投入使用的受益，并按风险管理程序要求开展产品风险的识别、分析、评价、控制等工作，确保产品综合剩余风险均可接受，受益大于风险。</w:t>
      </w:r>
    </w:p>
    <w:p w14:paraId="36D9DAB9">
      <w:pPr>
        <w:spacing w:line="520" w:lineRule="exact"/>
        <w:ind w:firstLine="640" w:firstLineChars="200"/>
        <w:rPr>
          <w:rFonts w:eastAsia="仿宋_GB2312"/>
          <w:color w:val="000000" w:themeColor="text1"/>
          <w:szCs w:val="32"/>
        </w:rPr>
      </w:pPr>
      <w:r>
        <w:rPr>
          <w:rFonts w:eastAsia="仿宋_GB2312"/>
          <w:color w:val="000000" w:themeColor="text1"/>
          <w:szCs w:val="32"/>
        </w:rPr>
        <w:t>激光照射产品是近视/弱视治疗中风险较高的产品，需极为慎重。根据国际及国内激光使用原则，所有激光类产品均不可以凝视或长时间注视，且目前相关激光安全标准主要基于成人未考虑儿童使用的情形。长时间注视激光可能会诱发辐射损伤性白内障，视网膜三级神经元及色素上皮细胞变性、黄斑区光损伤等。损伤一旦造成，难以通过其他治疗手段恢复。</w:t>
      </w:r>
    </w:p>
    <w:p w14:paraId="6631D5B7">
      <w:pPr>
        <w:spacing w:line="520" w:lineRule="exact"/>
        <w:ind w:firstLine="640" w:firstLineChars="200"/>
        <w:rPr>
          <w:rFonts w:eastAsia="仿宋_GB2312"/>
          <w:color w:val="000000" w:themeColor="text1"/>
          <w:szCs w:val="32"/>
        </w:rPr>
      </w:pPr>
      <w:r>
        <w:rPr>
          <w:rFonts w:eastAsia="仿宋_GB2312"/>
          <w:color w:val="000000" w:themeColor="text1"/>
          <w:szCs w:val="32"/>
        </w:rPr>
        <w:t>由于该类产品风险较大，申请人应深入开展产品</w:t>
      </w:r>
      <w:r>
        <w:rPr>
          <w:rFonts w:eastAsia="仿宋_GB2312"/>
          <w:b/>
          <w:color w:val="000000" w:themeColor="text1"/>
          <w:szCs w:val="32"/>
        </w:rPr>
        <w:t>受益-风险评估</w:t>
      </w:r>
      <w:r>
        <w:rPr>
          <w:rFonts w:eastAsia="仿宋_GB2312"/>
          <w:color w:val="000000" w:themeColor="text1"/>
          <w:szCs w:val="32"/>
        </w:rPr>
        <w:t>工作。</w:t>
      </w:r>
    </w:p>
    <w:p w14:paraId="0711C25A">
      <w:pPr>
        <w:spacing w:line="520" w:lineRule="exact"/>
        <w:ind w:firstLine="640" w:firstLineChars="200"/>
        <w:rPr>
          <w:rFonts w:eastAsia="仿宋_GB2312"/>
          <w:color w:val="000000" w:themeColor="text1"/>
          <w:szCs w:val="32"/>
        </w:rPr>
      </w:pPr>
      <w:r>
        <w:rPr>
          <w:rFonts w:eastAsia="仿宋_GB2312"/>
          <w:color w:val="000000" w:themeColor="text1"/>
          <w:szCs w:val="32"/>
        </w:rPr>
        <w:t>具体风险及控制措施包括但不限于：</w:t>
      </w:r>
    </w:p>
    <w:p w14:paraId="1CE0668D">
      <w:pPr>
        <w:adjustRightInd w:val="0"/>
        <w:snapToGrid w:val="0"/>
        <w:spacing w:line="520" w:lineRule="exact"/>
        <w:ind w:firstLine="640" w:firstLineChars="200"/>
        <w:rPr>
          <w:rFonts w:eastAsia="楷体_GB2312"/>
          <w:color w:val="000000" w:themeColor="text1"/>
          <w:szCs w:val="32"/>
        </w:rPr>
      </w:pPr>
      <w:r>
        <w:rPr>
          <w:rFonts w:eastAsia="楷体_GB2312"/>
          <w:color w:val="000000" w:themeColor="text1"/>
          <w:szCs w:val="32"/>
        </w:rPr>
        <w:t>（一）不良反应风险及控制措施</w:t>
      </w:r>
    </w:p>
    <w:p w14:paraId="00C52EFA">
      <w:pPr>
        <w:spacing w:line="520" w:lineRule="exact"/>
        <w:ind w:firstLine="640" w:firstLineChars="200"/>
        <w:rPr>
          <w:rFonts w:eastAsia="仿宋_GB2312"/>
          <w:color w:val="000000" w:themeColor="text1"/>
          <w:szCs w:val="32"/>
        </w:rPr>
      </w:pPr>
      <w:r>
        <w:rPr>
          <w:rFonts w:eastAsia="仿宋_GB2312"/>
          <w:color w:val="000000" w:themeColor="text1"/>
          <w:szCs w:val="32"/>
        </w:rPr>
        <w:t>患者使用激光照射后，一旦出现以下的副作用，提示已经出现了眼底细胞结构的损伤，包括：后像持续时间延长；或出现视网膜结构或功能损伤，可表现为短期内明显视力下降、视物变色、视野暗点、持续眼前光晕或光点等不良反应。一旦出现如上症状或使用者自身感觉不适应立即停止治疗，及时至相关医疗机构就诊。注册申请人应对定期随访或检查规定适当要求,避免不良事件发生。</w:t>
      </w:r>
    </w:p>
    <w:p w14:paraId="62938C64">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（二）与其他诊疗方案联合使用的风险及控制措施</w:t>
      </w:r>
    </w:p>
    <w:p w14:paraId="6AA9DFA4">
      <w:pPr>
        <w:spacing w:line="520" w:lineRule="exact"/>
        <w:ind w:firstLine="640" w:firstLineChars="200"/>
        <w:rPr>
          <w:rFonts w:eastAsia="仿宋_GB2312"/>
          <w:color w:val="000000" w:themeColor="text1"/>
          <w:szCs w:val="32"/>
        </w:rPr>
      </w:pPr>
      <w:r>
        <w:rPr>
          <w:rFonts w:eastAsia="仿宋_GB2312"/>
          <w:color w:val="000000" w:themeColor="text1"/>
          <w:szCs w:val="32"/>
        </w:rPr>
        <w:t>治疗仪与其他用于弱视训练的方法、近视缓解方法联合应用时，可能导致效果下降或出现不良反应的风险。注册申请人应开展联合使用的安全有效的相关研究,包括联合使用的风险及控制措施、联合使用的限制，兼容性研究等。联合药物使用的，还应提供药物相容性研究资料，证明药品和器械联合使用的性能符合其适应证和预期用途。</w:t>
      </w:r>
    </w:p>
    <w:p w14:paraId="373F27E4">
      <w:pPr>
        <w:spacing w:line="520" w:lineRule="exact"/>
        <w:ind w:firstLine="640" w:firstLineChars="200"/>
        <w:rPr>
          <w:rFonts w:eastAsia="仿宋_GB2312"/>
          <w:color w:val="000000" w:themeColor="text1"/>
          <w:szCs w:val="32"/>
        </w:rPr>
      </w:pPr>
      <w:r>
        <w:rPr>
          <w:rFonts w:eastAsia="仿宋_GB2312"/>
          <w:color w:val="000000" w:themeColor="text1"/>
          <w:szCs w:val="32"/>
        </w:rPr>
        <w:t>注册申请人需明确激光照射不能替代户外活动或弱视训练中的精细目力训练，并应在说明书中给出相应提示。应明确使用低浓度阿托品滴眼液后对使用红光照射的影响；及联合使用角膜塑形镜、单焦框架镜、离焦框架镜或软性/硬性角膜接触镜对激光照射进入眼内剂量的影响。</w:t>
      </w:r>
    </w:p>
    <w:p w14:paraId="25A16778">
      <w:pPr>
        <w:spacing w:line="520" w:lineRule="exact"/>
        <w:ind w:firstLine="640" w:firstLineChars="200"/>
        <w:outlineLvl w:val="1"/>
        <w:rPr>
          <w:rFonts w:eastAsia="仿宋_GB2312"/>
          <w:color w:val="000000" w:themeColor="text1"/>
          <w:szCs w:val="32"/>
        </w:rPr>
      </w:pPr>
      <w:r>
        <w:rPr>
          <w:rFonts w:eastAsia="楷体_GB2312"/>
          <w:color w:val="000000" w:themeColor="text1"/>
          <w:szCs w:val="32"/>
        </w:rPr>
        <w:t>（三）适应证与禁忌证规定不当的风险及控制措施</w:t>
      </w:r>
    </w:p>
    <w:p w14:paraId="753637FA">
      <w:pPr>
        <w:spacing w:line="520" w:lineRule="exact"/>
        <w:ind w:firstLine="640" w:firstLineChars="200"/>
        <w:rPr>
          <w:rFonts w:eastAsia="仿宋_GB2312"/>
          <w:color w:val="000000" w:themeColor="text1"/>
          <w:szCs w:val="32"/>
        </w:rPr>
      </w:pPr>
      <w:r>
        <w:rPr>
          <w:rFonts w:eastAsia="仿宋_GB2312"/>
          <w:color w:val="000000" w:themeColor="text1"/>
          <w:szCs w:val="32"/>
        </w:rPr>
        <w:t>超范围使用或不符合适应证使用，导致不适宜使用近视/弱视激光治疗仪的儿童青少年或其他人群使用设备后出现不良反应。注册申请人需在充分研究的基础上，明确适用人群、患者选择标准的信息，以及使用过程中需要监测的参数、考虑的因素。应明确禁忌症注册申请人应在产品全生命周期持续开展风险/受益评估，并及时更新禁忌证。</w:t>
      </w:r>
    </w:p>
    <w:p w14:paraId="026896A3">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（四）使用风险及控制措施</w:t>
      </w:r>
    </w:p>
    <w:p w14:paraId="653FB00A">
      <w:pPr>
        <w:spacing w:line="520" w:lineRule="exact"/>
        <w:ind w:firstLine="640" w:firstLineChars="200"/>
        <w:rPr>
          <w:rFonts w:eastAsia="仿宋_GB2312"/>
          <w:color w:val="000000" w:themeColor="text1"/>
          <w:szCs w:val="32"/>
        </w:rPr>
      </w:pPr>
      <w:r>
        <w:rPr>
          <w:rFonts w:eastAsia="仿宋_GB2312"/>
          <w:color w:val="000000" w:themeColor="text1"/>
          <w:szCs w:val="32"/>
        </w:rPr>
        <w:t>应结合研究情况，给出适当的单次使用时长、使用频次和长期累计使用时长。该类产品应特别关注长期使用的风险，注册申请人应分析长期使用带来的风险，提供长期使用后视网膜黄斑功能性（例如mERG、微视野等）、形态学数据（例如OCT、自发荧光、自适应光学检查中心凹光感受器密度等）及相关研究，说明长期使用的风险可接受。</w:t>
      </w:r>
    </w:p>
    <w:p w14:paraId="55609D35">
      <w:pPr>
        <w:spacing w:line="520" w:lineRule="exact"/>
        <w:ind w:firstLine="640" w:firstLineChars="200"/>
        <w:rPr>
          <w:rFonts w:eastAsia="仿宋_GB2312"/>
          <w:color w:val="000000" w:themeColor="text1"/>
          <w:szCs w:val="32"/>
        </w:rPr>
      </w:pPr>
      <w:r>
        <w:rPr>
          <w:rFonts w:eastAsia="仿宋_GB2312"/>
          <w:color w:val="000000" w:themeColor="text1"/>
          <w:szCs w:val="32"/>
        </w:rPr>
        <w:t>儿童青少年独自使用治疗仪时，其依从性及表达能力均欠佳，可能在出现不良反应时无法及时准确的与家属沟通，从而导致持续损伤，甚至不可逆损伤。调试瞳距过程中发现融像异常、单次使用时间、使用频次和长期使用时常不恰当将增加产品的使用风险。</w:t>
      </w:r>
    </w:p>
    <w:p w14:paraId="220C9013">
      <w:pPr>
        <w:spacing w:line="520" w:lineRule="exact"/>
        <w:ind w:firstLine="640" w:firstLineChars="200"/>
        <w:rPr>
          <w:rFonts w:eastAsia="仿宋_GB2312"/>
          <w:color w:val="000000" w:themeColor="text1"/>
          <w:szCs w:val="32"/>
        </w:rPr>
      </w:pPr>
      <w:r>
        <w:rPr>
          <w:rFonts w:eastAsia="仿宋_GB2312"/>
          <w:color w:val="000000" w:themeColor="text1"/>
          <w:szCs w:val="32"/>
        </w:rPr>
        <w:t>注册申请人需明确产品在医疗机构使用，治疗过程中需有医护人员或家长全程陪护。如有不适情况，应及时咨询眼科医生。应有手段避免单次使用时长、使用频次、长期累计使用时长不当的发生。</w:t>
      </w:r>
    </w:p>
    <w:p w14:paraId="3AA37B63">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（五）机械风险及控制措施</w:t>
      </w:r>
    </w:p>
    <w:p w14:paraId="37AC46B1">
      <w:pPr>
        <w:spacing w:line="520" w:lineRule="exact"/>
        <w:ind w:firstLine="640" w:firstLineChars="200"/>
        <w:rPr>
          <w:rFonts w:eastAsia="仿宋_GB2312"/>
          <w:color w:val="000000" w:themeColor="text1"/>
          <w:szCs w:val="32"/>
        </w:rPr>
      </w:pPr>
      <w:r>
        <w:rPr>
          <w:rFonts w:eastAsia="仿宋_GB2312"/>
          <w:color w:val="000000" w:themeColor="text1"/>
          <w:szCs w:val="32"/>
        </w:rPr>
        <w:t>产品用于支撑或固定的固定装置意外松动，机械保护装置设计不恰当，系统在不适当的环境条件中振动、碰撞，未按规定搬运（如运输）有关的危险，如无合适的可用包装等。</w:t>
      </w:r>
    </w:p>
    <w:p w14:paraId="0B4002E7">
      <w:pPr>
        <w:spacing w:line="520" w:lineRule="exact"/>
        <w:ind w:firstLine="640" w:firstLineChars="200"/>
        <w:rPr>
          <w:rFonts w:eastAsia="仿宋_GB2312"/>
          <w:color w:val="000000" w:themeColor="text1"/>
          <w:szCs w:val="32"/>
        </w:rPr>
      </w:pPr>
      <w:bookmarkStart w:id="0" w:name="_Hlk134547498"/>
      <w:r>
        <w:rPr>
          <w:rFonts w:eastAsia="仿宋_GB2312"/>
          <w:color w:val="000000" w:themeColor="text1"/>
          <w:szCs w:val="32"/>
        </w:rPr>
        <w:t>注册申请人需根据GB 9706电气安全系列标准相关内容的要求开展产品设计开发工作</w:t>
      </w:r>
      <w:bookmarkEnd w:id="0"/>
      <w:r>
        <w:rPr>
          <w:rFonts w:eastAsia="仿宋_GB2312"/>
          <w:color w:val="000000" w:themeColor="text1"/>
          <w:szCs w:val="32"/>
        </w:rPr>
        <w:t>。</w:t>
      </w:r>
    </w:p>
    <w:p w14:paraId="2BDC1A78">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（六）热能危险及控制措施</w:t>
      </w:r>
    </w:p>
    <w:p w14:paraId="43A5797C">
      <w:pPr>
        <w:spacing w:line="520" w:lineRule="exact"/>
        <w:ind w:firstLine="640" w:firstLineChars="200"/>
        <w:rPr>
          <w:rFonts w:eastAsia="仿宋_GB2312"/>
          <w:color w:val="000000" w:themeColor="text1"/>
          <w:szCs w:val="32"/>
        </w:rPr>
      </w:pPr>
      <w:r>
        <w:rPr>
          <w:rFonts w:eastAsia="仿宋_GB2312"/>
          <w:color w:val="000000" w:themeColor="text1"/>
          <w:szCs w:val="32"/>
        </w:rPr>
        <w:t>产品超温无防火措施，ME设备的防火外壳不能承受火灾，过电流引起火灾，管状加热元件引起的危险，由于过量使用设备导致的系统过热等。</w:t>
      </w:r>
    </w:p>
    <w:p w14:paraId="4DFCD970">
      <w:pPr>
        <w:spacing w:line="520" w:lineRule="exact"/>
        <w:ind w:firstLine="640" w:firstLineChars="200"/>
        <w:rPr>
          <w:rFonts w:eastAsia="仿宋_GB2312"/>
          <w:color w:val="000000" w:themeColor="text1"/>
          <w:szCs w:val="32"/>
        </w:rPr>
      </w:pPr>
      <w:r>
        <w:rPr>
          <w:rFonts w:eastAsia="仿宋_GB2312"/>
          <w:color w:val="000000" w:themeColor="text1"/>
          <w:szCs w:val="32"/>
        </w:rPr>
        <w:t>注册申请人需根据GB 9706电气安全系列标准相关内容的要求开展产品设计开发工作。</w:t>
      </w:r>
    </w:p>
    <w:p w14:paraId="1D4DA4F6">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（七）生物相容性风险及控制措施</w:t>
      </w:r>
    </w:p>
    <w:p w14:paraId="3B745DE3">
      <w:pPr>
        <w:spacing w:line="520" w:lineRule="exact"/>
        <w:ind w:firstLine="640" w:firstLineChars="200"/>
        <w:rPr>
          <w:rFonts w:eastAsia="仿宋_GB2312"/>
          <w:color w:val="000000" w:themeColor="text1"/>
          <w:szCs w:val="32"/>
        </w:rPr>
      </w:pPr>
      <w:r>
        <w:rPr>
          <w:rFonts w:eastAsia="仿宋_GB2312"/>
          <w:color w:val="000000" w:themeColor="text1"/>
          <w:szCs w:val="32"/>
        </w:rPr>
        <w:t>产品各部件与人体接触部位生物不相容，造成患者或操作者细胞毒性、致敏、刺激等反应。</w:t>
      </w:r>
    </w:p>
    <w:p w14:paraId="22A4C312">
      <w:pPr>
        <w:spacing w:line="520" w:lineRule="exact"/>
        <w:ind w:firstLine="640" w:firstLineChars="200"/>
        <w:rPr>
          <w:rFonts w:eastAsia="仿宋_GB2312"/>
          <w:color w:val="000000" w:themeColor="text1"/>
          <w:szCs w:val="32"/>
        </w:rPr>
      </w:pPr>
      <w:r>
        <w:rPr>
          <w:rFonts w:eastAsia="仿宋_GB2312"/>
          <w:color w:val="000000" w:themeColor="text1"/>
          <w:szCs w:val="32"/>
        </w:rPr>
        <w:t>注册申请人需选择合适的材料和生产工艺，并提供成品的生物学评价资料。</w:t>
      </w:r>
    </w:p>
    <w:p w14:paraId="00B7A58B">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（八）稳定性风险及控制措施</w:t>
      </w:r>
    </w:p>
    <w:p w14:paraId="3D3B5907">
      <w:pPr>
        <w:spacing w:line="520" w:lineRule="exact"/>
        <w:ind w:firstLine="640" w:firstLineChars="200"/>
        <w:rPr>
          <w:rFonts w:eastAsia="仿宋_GB2312"/>
          <w:color w:val="000000" w:themeColor="text1"/>
          <w:szCs w:val="32"/>
        </w:rPr>
      </w:pPr>
      <w:r>
        <w:rPr>
          <w:rFonts w:eastAsia="仿宋_GB2312"/>
          <w:color w:val="000000" w:themeColor="text1"/>
          <w:szCs w:val="32"/>
        </w:rPr>
        <w:t>因工作时间、环境条件（如温度、湿度、气压或海拔等）、运输条件等超出预期设定导致产品发生故障不能正常运行或非预期运行。</w:t>
      </w:r>
    </w:p>
    <w:p w14:paraId="01C9E6F7">
      <w:pPr>
        <w:spacing w:line="520" w:lineRule="exact"/>
        <w:ind w:firstLine="640" w:firstLineChars="200"/>
        <w:rPr>
          <w:rFonts w:eastAsia="仿宋_GB2312"/>
          <w:color w:val="000000" w:themeColor="text1"/>
          <w:szCs w:val="32"/>
        </w:rPr>
      </w:pPr>
      <w:r>
        <w:rPr>
          <w:rFonts w:eastAsia="仿宋_GB2312"/>
          <w:color w:val="000000" w:themeColor="text1"/>
          <w:szCs w:val="32"/>
        </w:rPr>
        <w:t>注册申请人需明确产品工作时间、环境条件、开机自检、故障提示、运行日志等要求，明确开机率、故障情况及其应对措施。提供使用稳定性、运输稳定性的研究资料。</w:t>
      </w:r>
    </w:p>
    <w:p w14:paraId="5499F838">
      <w:pPr>
        <w:spacing w:line="520" w:lineRule="exact"/>
        <w:ind w:firstLine="640" w:firstLineChars="200"/>
        <w:rPr>
          <w:rFonts w:eastAsia="仿宋_GB2312"/>
          <w:color w:val="000000" w:themeColor="text1"/>
          <w:szCs w:val="32"/>
        </w:rPr>
      </w:pPr>
      <w:r>
        <w:rPr>
          <w:rFonts w:eastAsia="仿宋_GB2312"/>
          <w:color w:val="000000" w:themeColor="text1"/>
          <w:szCs w:val="32"/>
        </w:rPr>
        <w:t>激光输出功率的稳定性及准确性对于治疗仪而言至关重要。注册申请人需通过质量体系严格控制产品激光输出功率的稳定性。设计开发及生产应能确保产品上市后的功率稳定性满足临床需求，不会对产品安全性带来不利影响。</w:t>
      </w:r>
    </w:p>
    <w:p w14:paraId="48DC313C">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（九）软件风险及控制措施</w:t>
      </w:r>
    </w:p>
    <w:p w14:paraId="2BE696A0">
      <w:pPr>
        <w:spacing w:line="520" w:lineRule="exact"/>
        <w:ind w:firstLine="640" w:firstLineChars="200"/>
        <w:rPr>
          <w:rFonts w:eastAsia="仿宋_GB2312"/>
          <w:color w:val="000000" w:themeColor="text1"/>
          <w:szCs w:val="32"/>
        </w:rPr>
      </w:pPr>
      <w:r>
        <w:rPr>
          <w:rFonts w:eastAsia="仿宋_GB2312"/>
          <w:color w:val="000000" w:themeColor="text1"/>
          <w:szCs w:val="32"/>
        </w:rPr>
        <w:t>产品软件风险需考虑软件算法性能不佳、软件缺陷，如使用提示出错、故障提示失效等问题带来的风险。若软件用于控制输出剂量相关的参数，控制出错将导致照射到患者的剂量错误的风险，则软件安全性级别应为严重级别。注册申请人需结合GB/T 25000.51标准要求，按照严重级别要求开展产品软件设计开发工作。</w:t>
      </w:r>
    </w:p>
    <w:p w14:paraId="0E796B0E">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（十）网络安全风险及控制措施</w:t>
      </w:r>
    </w:p>
    <w:p w14:paraId="7392311F">
      <w:pPr>
        <w:spacing w:line="520" w:lineRule="exact"/>
        <w:ind w:firstLine="640" w:firstLineChars="200"/>
        <w:rPr>
          <w:rFonts w:eastAsia="仿宋_GB2312"/>
          <w:color w:val="000000" w:themeColor="text1"/>
          <w:szCs w:val="32"/>
        </w:rPr>
      </w:pPr>
      <w:r>
        <w:rPr>
          <w:rFonts w:eastAsia="仿宋_GB2312"/>
          <w:color w:val="000000" w:themeColor="text1"/>
          <w:szCs w:val="32"/>
        </w:rPr>
        <w:t>注册申请人应根据《医疗器械网络安全注册审查指导原则（2022年修订版）》要求准备网络安全研究资料。确保产品自身和相关数据不受未授权活动影响，其保密性、完整性、可得性相关风险在全生命周期均处于可接受水平。</w:t>
      </w:r>
    </w:p>
    <w:p w14:paraId="2B8872A7">
      <w:pPr>
        <w:spacing w:line="520" w:lineRule="exact"/>
        <w:ind w:firstLine="640" w:firstLineChars="200"/>
        <w:rPr>
          <w:rFonts w:eastAsia="仿宋_GB2312"/>
          <w:color w:val="000000" w:themeColor="text1"/>
          <w:szCs w:val="32"/>
        </w:rPr>
      </w:pPr>
      <w:r>
        <w:rPr>
          <w:rFonts w:eastAsia="仿宋_GB2312"/>
          <w:color w:val="000000" w:themeColor="text1"/>
          <w:szCs w:val="32"/>
        </w:rPr>
        <w:t>连接APP上传训练数据等信息的，存在患者信息泄漏的风险。用于激励治疗频次或剂量的功能，可能造成不当使用，从而导致治疗过量甚至造成不可逆损伤。注册申请人还应按照《移动医疗器械注册审查指导原则》进行APP功能的设计开发，相关内容应于说明书保持一致。</w:t>
      </w:r>
    </w:p>
    <w:p w14:paraId="3662CF90">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（十一）电气安全风险及控制措施</w:t>
      </w:r>
    </w:p>
    <w:p w14:paraId="67268E4E">
      <w:pPr>
        <w:spacing w:line="520" w:lineRule="exact"/>
        <w:ind w:firstLine="640" w:firstLineChars="200"/>
        <w:rPr>
          <w:rFonts w:eastAsia="仿宋_GB2312"/>
          <w:color w:val="000000" w:themeColor="text1"/>
          <w:szCs w:val="32"/>
        </w:rPr>
      </w:pPr>
      <w:r>
        <w:rPr>
          <w:rFonts w:eastAsia="仿宋_GB2312"/>
          <w:color w:val="000000" w:themeColor="text1"/>
          <w:szCs w:val="32"/>
        </w:rPr>
        <w:t>产品因电气安全（含电磁兼容）设计不当、防护措施不力、安全提示不明等问题，可能直接或间接导致患者等相关人员面临电气安全风险。注册申请人需根据GB 9706电气安全系列标准中的要求开展产品设计开发工作。</w:t>
      </w:r>
    </w:p>
    <w:p w14:paraId="7A9D6FCF">
      <w:pPr>
        <w:spacing w:line="520" w:lineRule="exact"/>
        <w:ind w:firstLine="640" w:firstLineChars="200"/>
        <w:rPr>
          <w:rFonts w:eastAsia="仿宋_GB2312"/>
          <w:color w:val="000000" w:themeColor="text1"/>
          <w:szCs w:val="32"/>
        </w:rPr>
      </w:pPr>
      <w:r>
        <w:rPr>
          <w:rFonts w:eastAsia="仿宋_GB2312"/>
          <w:color w:val="000000" w:themeColor="text1"/>
          <w:szCs w:val="32"/>
        </w:rPr>
        <w:t>激光电源的性能将影响激光输出功率的稳定性及准确性，注册申请人应分析电源性能不良、供电电压波动等可能带来的激光输出功率不稳定、不准确对患者造成损伤风险，并提供相应控制措施。</w:t>
      </w:r>
    </w:p>
    <w:p w14:paraId="4D877C17">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（十二）光辐射安全风险及控制措施</w:t>
      </w:r>
    </w:p>
    <w:p w14:paraId="13054AFA">
      <w:pPr>
        <w:spacing w:line="520" w:lineRule="exact"/>
        <w:ind w:firstLine="640" w:firstLineChars="200"/>
        <w:rPr>
          <w:rFonts w:eastAsia="仿宋_GB2312"/>
          <w:color w:val="000000" w:themeColor="text1"/>
          <w:szCs w:val="32"/>
        </w:rPr>
      </w:pPr>
      <w:r>
        <w:rPr>
          <w:rFonts w:eastAsia="仿宋_GB2312"/>
          <w:color w:val="000000" w:themeColor="text1"/>
          <w:szCs w:val="32"/>
        </w:rPr>
        <w:t>产品含激光器，存在光辐射安全风险。</w:t>
      </w:r>
    </w:p>
    <w:p w14:paraId="7A843A47">
      <w:pPr>
        <w:spacing w:line="520" w:lineRule="exact"/>
        <w:ind w:firstLine="640" w:firstLineChars="200"/>
        <w:rPr>
          <w:rFonts w:eastAsia="仿宋_GB2312"/>
          <w:color w:val="000000" w:themeColor="text1"/>
          <w:szCs w:val="32"/>
        </w:rPr>
      </w:pPr>
      <w:r>
        <w:rPr>
          <w:rFonts w:eastAsia="仿宋_GB2312"/>
          <w:color w:val="000000" w:themeColor="text1"/>
          <w:szCs w:val="32"/>
        </w:rPr>
        <w:t>产品应根据自身</w:t>
      </w:r>
      <w:r>
        <w:rPr>
          <w:rFonts w:hint="eastAsia" w:eastAsia="仿宋_GB2312"/>
          <w:color w:val="000000" w:themeColor="text1"/>
          <w:szCs w:val="32"/>
        </w:rPr>
        <w:t>技术特点</w:t>
      </w:r>
      <w:r>
        <w:rPr>
          <w:rFonts w:eastAsia="仿宋_GB2312"/>
          <w:color w:val="000000" w:themeColor="text1"/>
          <w:szCs w:val="32"/>
        </w:rPr>
        <w:t>，符合</w:t>
      </w:r>
      <w:r>
        <w:rPr>
          <w:rFonts w:hint="eastAsia" w:eastAsia="仿宋_GB2312"/>
          <w:color w:val="000000" w:themeColor="text1"/>
          <w:szCs w:val="32"/>
        </w:rPr>
        <w:t>相关标准要求，如</w:t>
      </w:r>
      <w:r>
        <w:rPr>
          <w:rFonts w:eastAsia="仿宋_GB2312"/>
          <w:color w:val="000000" w:themeColor="text1"/>
          <w:szCs w:val="32"/>
        </w:rPr>
        <w:t>GB 7247.1、GB 12257等。但符合这些标准并不足以证明产品的光辐射安全。既往的激光安全性指标均为不经意或者不小心的瞬间照射，而并非凝视激光光源。因此，符合既往激光安全标准的设备在改变其使用方式时需要重新评估光辐射安全风险。</w:t>
      </w:r>
    </w:p>
    <w:p w14:paraId="40367AF7">
      <w:pPr>
        <w:spacing w:line="520" w:lineRule="exact"/>
        <w:ind w:firstLine="640" w:firstLineChars="200"/>
        <w:rPr>
          <w:rFonts w:eastAsia="仿宋_GB2312"/>
          <w:color w:val="000000" w:themeColor="text1"/>
          <w:szCs w:val="32"/>
        </w:rPr>
      </w:pPr>
      <w:r>
        <w:rPr>
          <w:rFonts w:eastAsia="仿宋_GB2312"/>
          <w:color w:val="000000" w:themeColor="text1"/>
          <w:szCs w:val="32"/>
        </w:rPr>
        <w:t>近视/弱视激光治疗仪典型光照射作用模式是点状红色激光多次重复较长时间作用在视网膜黄斑中心凹处，其患者群体是弱视或近视的人群，故其作用模式和适用人群对光安全的评估要求需更加谨慎。另外，由于激光经眼内屈光介质后光束分布发生改变，眼底处的功率密度甚至可能远大于激光出射窗口处的功率密度。且目前相关激光安全标准主要基于成人未考虑儿童青少年使用的情形。注册申请人应开展相关研究，充分分析儿童青少年眼内光辐射危害的风险，分析儿童青少年与成人的眼内组织尤其是视网膜对激光光辐射耐受性的差异并提供依据，对差异部分提供相应的防控措施，确保产品光辐射安全性。</w:t>
      </w:r>
    </w:p>
    <w:p w14:paraId="6690C693">
      <w:pPr>
        <w:spacing w:line="520" w:lineRule="exact"/>
        <w:ind w:firstLine="640" w:firstLineChars="200"/>
        <w:rPr>
          <w:rFonts w:eastAsia="黑体"/>
          <w:color w:val="000000" w:themeColor="text1"/>
          <w:szCs w:val="32"/>
        </w:rPr>
      </w:pPr>
      <w:r>
        <w:rPr>
          <w:rFonts w:hAnsi="黑体" w:eastAsia="黑体"/>
          <w:color w:val="000000" w:themeColor="text1"/>
          <w:szCs w:val="32"/>
        </w:rPr>
        <w:t>四、审评关注点</w:t>
      </w:r>
    </w:p>
    <w:p w14:paraId="4B6525D7">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（一）产品的结构组成、工作原理</w:t>
      </w:r>
    </w:p>
    <w:p w14:paraId="224525BC">
      <w:pPr>
        <w:spacing w:line="520" w:lineRule="exact"/>
        <w:ind w:firstLine="640" w:firstLineChars="200"/>
        <w:rPr>
          <w:rFonts w:eastAsia="仿宋_GB2312"/>
          <w:color w:val="000000" w:themeColor="text1"/>
          <w:szCs w:val="32"/>
        </w:rPr>
      </w:pPr>
      <w:r>
        <w:rPr>
          <w:rFonts w:eastAsia="仿宋_GB2312"/>
          <w:color w:val="000000" w:themeColor="text1"/>
          <w:szCs w:val="32"/>
        </w:rPr>
        <w:t>结构组成需提供产品外观及各组件的图片、明确激光光源的波长及类型，明确接触患者部的材质。</w:t>
      </w:r>
    </w:p>
    <w:p w14:paraId="012BAF97">
      <w:pPr>
        <w:spacing w:line="520" w:lineRule="exact"/>
        <w:ind w:firstLine="640" w:firstLineChars="200"/>
        <w:rPr>
          <w:rFonts w:eastAsia="仿宋_GB2312"/>
          <w:color w:val="000000" w:themeColor="text1"/>
          <w:szCs w:val="32"/>
        </w:rPr>
      </w:pPr>
      <w:r>
        <w:rPr>
          <w:rFonts w:eastAsia="仿宋_GB2312"/>
          <w:color w:val="000000" w:themeColor="text1"/>
          <w:szCs w:val="32"/>
        </w:rPr>
        <w:t>工作原理需提供内部光路设计及激光光路图，说明激光出射的状态（聚焦、发散或准直）。</w:t>
      </w:r>
    </w:p>
    <w:p w14:paraId="5089B15F">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（二）作用机理、适用范围和禁忌证</w:t>
      </w:r>
    </w:p>
    <w:p w14:paraId="0ECA64ED">
      <w:pPr>
        <w:spacing w:line="520" w:lineRule="exact"/>
        <w:ind w:firstLine="640" w:firstLineChars="200"/>
        <w:rPr>
          <w:rFonts w:eastAsia="仿宋_GB2312"/>
          <w:bCs/>
          <w:color w:val="000000" w:themeColor="text1"/>
          <w:szCs w:val="32"/>
        </w:rPr>
      </w:pPr>
      <w:r>
        <w:rPr>
          <w:rFonts w:eastAsia="仿宋_GB2312"/>
          <w:bCs/>
          <w:color w:val="000000" w:themeColor="text1"/>
          <w:szCs w:val="32"/>
        </w:rPr>
        <w:t>目前尚无科学、严谨的证据支持激光用于弱视治疗/辅助治疗、近视辅助治疗的作用机理。申请人需提供治疗机理的基础理论研究依据并验证。</w:t>
      </w:r>
    </w:p>
    <w:p w14:paraId="3C03F5C6">
      <w:pPr>
        <w:spacing w:line="520" w:lineRule="exact"/>
        <w:ind w:firstLine="640" w:firstLineChars="200"/>
        <w:rPr>
          <w:rFonts w:eastAsia="仿宋_GB2312"/>
          <w:bCs/>
          <w:color w:val="000000" w:themeColor="text1"/>
          <w:szCs w:val="32"/>
        </w:rPr>
      </w:pPr>
      <w:r>
        <w:rPr>
          <w:rFonts w:eastAsia="仿宋_GB2312"/>
          <w:bCs/>
          <w:color w:val="000000" w:themeColor="text1"/>
          <w:szCs w:val="32"/>
        </w:rPr>
        <w:t>作用机理应详述激光与生物组织的相互作用，提供有激光在人眼中传输示意图，特别是作用于目标组织处的光分布。并提供验证资料。</w:t>
      </w:r>
    </w:p>
    <w:p w14:paraId="1021D870">
      <w:pPr>
        <w:spacing w:line="520" w:lineRule="exact"/>
        <w:ind w:firstLine="640" w:firstLineChars="200"/>
        <w:rPr>
          <w:rFonts w:eastAsia="仿宋_GB2312"/>
          <w:bCs/>
          <w:color w:val="000000" w:themeColor="text1"/>
          <w:szCs w:val="32"/>
        </w:rPr>
      </w:pPr>
      <w:r>
        <w:rPr>
          <w:rFonts w:eastAsia="仿宋_GB2312"/>
          <w:bCs/>
          <w:color w:val="000000" w:themeColor="text1"/>
          <w:szCs w:val="32"/>
        </w:rPr>
        <w:t>适用范围应根据作用机理明确产品的预期用途、使用方式和功能。</w:t>
      </w:r>
    </w:p>
    <w:p w14:paraId="2AA4A9DF">
      <w:pPr>
        <w:spacing w:line="520" w:lineRule="exact"/>
        <w:ind w:firstLine="640" w:firstLineChars="200"/>
        <w:rPr>
          <w:rFonts w:eastAsia="仿宋_GB2312"/>
          <w:bCs/>
          <w:color w:val="000000" w:themeColor="text1"/>
          <w:szCs w:val="32"/>
        </w:rPr>
      </w:pPr>
      <w:r>
        <w:rPr>
          <w:rFonts w:eastAsia="仿宋_GB2312"/>
          <w:bCs/>
          <w:color w:val="000000" w:themeColor="text1"/>
          <w:szCs w:val="32"/>
        </w:rPr>
        <w:t>使用环境应明确产品的使用场所为医疗机构，并应要求在有资质的医务人员指导下使用。</w:t>
      </w:r>
    </w:p>
    <w:p w14:paraId="45842005">
      <w:pPr>
        <w:spacing w:line="520" w:lineRule="exact"/>
        <w:ind w:firstLine="640" w:firstLineChars="200"/>
        <w:rPr>
          <w:rFonts w:eastAsia="仿宋_GB2312"/>
          <w:bCs/>
          <w:color w:val="000000" w:themeColor="text1"/>
          <w:szCs w:val="32"/>
        </w:rPr>
      </w:pPr>
      <w:r>
        <w:rPr>
          <w:rFonts w:eastAsia="仿宋_GB2312"/>
          <w:bCs/>
          <w:color w:val="000000" w:themeColor="text1"/>
          <w:szCs w:val="32"/>
        </w:rPr>
        <w:t>适用人群明确产品的适用人群，如儿童、青少年的年龄段。</w:t>
      </w:r>
    </w:p>
    <w:p w14:paraId="7F304881">
      <w:pPr>
        <w:spacing w:line="520" w:lineRule="exact"/>
        <w:ind w:firstLine="640" w:firstLineChars="200"/>
        <w:rPr>
          <w:rFonts w:eastAsia="仿宋_GB2312"/>
          <w:bCs/>
          <w:color w:val="000000" w:themeColor="text1"/>
          <w:szCs w:val="32"/>
        </w:rPr>
      </w:pPr>
      <w:r>
        <w:rPr>
          <w:rFonts w:eastAsia="仿宋_GB2312"/>
          <w:bCs/>
          <w:color w:val="000000" w:themeColor="text1"/>
          <w:szCs w:val="32"/>
        </w:rPr>
        <w:t>禁忌证：</w:t>
      </w:r>
    </w:p>
    <w:p w14:paraId="33743C1A">
      <w:pPr>
        <w:spacing w:line="520" w:lineRule="exact"/>
        <w:ind w:firstLine="640" w:firstLineChars="200"/>
        <w:rPr>
          <w:rFonts w:eastAsia="仿宋_GB2312"/>
          <w:bCs/>
          <w:color w:val="000000" w:themeColor="text1"/>
          <w:szCs w:val="32"/>
        </w:rPr>
      </w:pPr>
      <w:r>
        <w:rPr>
          <w:rFonts w:eastAsia="仿宋_GB2312"/>
          <w:color w:val="000000" w:themeColor="text1"/>
          <w:szCs w:val="32"/>
        </w:rPr>
        <w:t>近视/弱视</w:t>
      </w:r>
      <w:r>
        <w:rPr>
          <w:rFonts w:eastAsia="仿宋_GB2312"/>
          <w:bCs/>
          <w:color w:val="000000" w:themeColor="text1"/>
          <w:szCs w:val="32"/>
        </w:rPr>
        <w:t>激光治疗设备的安全性目前尚未得到有效确认，在此类设备的安全性尚未得到充分验证前</w:t>
      </w:r>
      <w:r>
        <w:rPr>
          <w:rFonts w:eastAsia="仿宋_GB2312"/>
          <w:bCs/>
          <w:color w:val="000000" w:themeColor="text1"/>
          <w:szCs w:val="32"/>
          <w:u w:val="single"/>
        </w:rPr>
        <w:t>，禁止将其用于传统治疗方式有效的弱视或近视治疗</w:t>
      </w:r>
      <w:r>
        <w:rPr>
          <w:rFonts w:eastAsia="仿宋_GB2312"/>
          <w:bCs/>
          <w:color w:val="000000" w:themeColor="text1"/>
          <w:szCs w:val="32"/>
        </w:rPr>
        <w:t>。</w:t>
      </w:r>
    </w:p>
    <w:p w14:paraId="58B5EDFB">
      <w:pPr>
        <w:spacing w:line="520" w:lineRule="exact"/>
        <w:ind w:firstLine="640" w:firstLineChars="200"/>
        <w:rPr>
          <w:rFonts w:eastAsia="仿宋_GB2312"/>
          <w:bCs/>
          <w:color w:val="000000" w:themeColor="text1"/>
          <w:szCs w:val="32"/>
        </w:rPr>
      </w:pPr>
      <w:r>
        <w:rPr>
          <w:rFonts w:eastAsia="仿宋_GB2312"/>
          <w:bCs/>
          <w:color w:val="000000" w:themeColor="text1"/>
          <w:szCs w:val="32"/>
        </w:rPr>
        <w:t>禁忌证包括但不限于：</w:t>
      </w:r>
    </w:p>
    <w:p w14:paraId="1696BB23">
      <w:pPr>
        <w:numPr>
          <w:ilvl w:val="0"/>
          <w:numId w:val="1"/>
        </w:numPr>
        <w:spacing w:line="520" w:lineRule="exact"/>
        <w:ind w:firstLine="640" w:firstLineChars="200"/>
        <w:rPr>
          <w:rFonts w:eastAsia="仿宋_GB2312"/>
          <w:bCs/>
          <w:color w:val="000000" w:themeColor="text1"/>
          <w:szCs w:val="32"/>
        </w:rPr>
      </w:pPr>
      <w:r>
        <w:rPr>
          <w:rFonts w:eastAsia="仿宋_GB2312"/>
          <w:bCs/>
          <w:color w:val="000000" w:themeColor="text1"/>
          <w:szCs w:val="32"/>
        </w:rPr>
        <w:t>年龄不满8岁的患者。</w:t>
      </w:r>
    </w:p>
    <w:p w14:paraId="74C8727B">
      <w:pPr>
        <w:numPr>
          <w:ilvl w:val="0"/>
          <w:numId w:val="1"/>
        </w:numPr>
        <w:spacing w:line="520" w:lineRule="exact"/>
        <w:ind w:firstLine="640" w:firstLineChars="200"/>
        <w:rPr>
          <w:rFonts w:eastAsia="仿宋_GB2312"/>
          <w:bCs/>
          <w:color w:val="000000" w:themeColor="text1"/>
          <w:szCs w:val="32"/>
        </w:rPr>
      </w:pPr>
      <w:r>
        <w:rPr>
          <w:rFonts w:eastAsia="仿宋_GB2312"/>
          <w:bCs/>
          <w:color w:val="000000" w:themeColor="text1"/>
          <w:szCs w:val="32"/>
        </w:rPr>
        <w:t>尚未发生近视和弱视的患者。</w:t>
      </w:r>
    </w:p>
    <w:p w14:paraId="13B96113">
      <w:pPr>
        <w:numPr>
          <w:ilvl w:val="0"/>
          <w:numId w:val="1"/>
        </w:numPr>
        <w:spacing w:line="520" w:lineRule="exact"/>
        <w:ind w:firstLine="640" w:firstLineChars="200"/>
        <w:rPr>
          <w:rFonts w:eastAsia="仿宋_GB2312"/>
          <w:bCs/>
          <w:color w:val="000000" w:themeColor="text1"/>
          <w:szCs w:val="32"/>
        </w:rPr>
      </w:pPr>
      <w:r>
        <w:rPr>
          <w:rFonts w:eastAsia="仿宋_GB2312"/>
          <w:bCs/>
          <w:color w:val="000000" w:themeColor="text1"/>
          <w:szCs w:val="32"/>
        </w:rPr>
        <w:t>传统治疗方式有效的近视、弱视患者。</w:t>
      </w:r>
    </w:p>
    <w:p w14:paraId="35BF653D">
      <w:pPr>
        <w:numPr>
          <w:ilvl w:val="0"/>
          <w:numId w:val="1"/>
        </w:numPr>
        <w:spacing w:line="520" w:lineRule="exact"/>
        <w:ind w:firstLine="640" w:firstLineChars="200"/>
        <w:rPr>
          <w:rFonts w:eastAsia="仿宋_GB2312"/>
          <w:bCs/>
          <w:color w:val="000000" w:themeColor="text1"/>
          <w:szCs w:val="32"/>
        </w:rPr>
      </w:pPr>
      <w:r>
        <w:rPr>
          <w:rFonts w:eastAsia="仿宋_GB2312"/>
          <w:bCs/>
          <w:color w:val="000000" w:themeColor="text1"/>
          <w:szCs w:val="32"/>
        </w:rPr>
        <w:t>除近视外，有相关现症眼部疾病，包括但不限于：色盲和色弱、</w:t>
      </w:r>
      <w:r>
        <w:rPr>
          <w:rFonts w:eastAsia="仿宋_GB2312"/>
          <w:color w:val="000000" w:themeColor="text1"/>
          <w:szCs w:val="32"/>
        </w:rPr>
        <w:t>光过敏史、眼表疾病、角膜疾病、白内障、葡萄膜炎、玻璃体视网膜疾病（尤其是黄斑疾病、视网膜色素变性、先天性静止性夜盲等）、视神经疾病等。</w:t>
      </w:r>
    </w:p>
    <w:p w14:paraId="338D1BD7">
      <w:pPr>
        <w:numPr>
          <w:ilvl w:val="0"/>
          <w:numId w:val="1"/>
        </w:numPr>
        <w:spacing w:line="520" w:lineRule="exact"/>
        <w:ind w:firstLine="640" w:firstLineChars="200"/>
        <w:rPr>
          <w:rFonts w:eastAsia="仿宋_GB2312"/>
          <w:bCs/>
          <w:color w:val="000000" w:themeColor="text1"/>
          <w:szCs w:val="32"/>
        </w:rPr>
      </w:pPr>
      <w:r>
        <w:rPr>
          <w:rFonts w:eastAsia="仿宋_GB2312"/>
          <w:color w:val="000000" w:themeColor="text1"/>
          <w:szCs w:val="32"/>
        </w:rPr>
        <w:t>存在全身性疾病，包括但不限于：自身免疫性疾病（包括红斑狼疮、皮肌炎、干燥综合征、银屑病等）、高血压、糖尿病、白化病；神经系统疾病，例如既往惊厥病史、抽动症、中枢神经系统发育不完善、癫痫、精神心理疾病等。</w:t>
      </w:r>
    </w:p>
    <w:p w14:paraId="5CF90C9E">
      <w:pPr>
        <w:numPr>
          <w:ilvl w:val="0"/>
          <w:numId w:val="1"/>
        </w:numPr>
        <w:spacing w:line="520" w:lineRule="exact"/>
        <w:ind w:firstLine="640" w:firstLineChars="200"/>
        <w:rPr>
          <w:rFonts w:eastAsia="仿宋_GB2312"/>
          <w:bCs/>
          <w:color w:val="000000" w:themeColor="text1"/>
          <w:szCs w:val="32"/>
        </w:rPr>
      </w:pPr>
      <w:r>
        <w:rPr>
          <w:rFonts w:eastAsia="仿宋_GB2312"/>
          <w:color w:val="000000" w:themeColor="text1"/>
          <w:szCs w:val="32"/>
        </w:rPr>
        <w:t>治疗前后检查中发现下列情形均为禁忌：光感受器细胞密度低于正常值（10-19万/mm</w:t>
      </w:r>
      <w:r>
        <w:rPr>
          <w:rFonts w:eastAsia="仿宋_GB2312"/>
          <w:color w:val="000000" w:themeColor="text1"/>
          <w:szCs w:val="32"/>
          <w:vertAlign w:val="superscript"/>
        </w:rPr>
        <w:t>2</w:t>
      </w:r>
      <w:r>
        <w:rPr>
          <w:rFonts w:eastAsia="仿宋_GB2312"/>
          <w:color w:val="000000" w:themeColor="text1"/>
          <w:szCs w:val="32"/>
        </w:rPr>
        <w:t>），或在随访过程中光感受器细胞密度进行性下降；OCT、眼底自发荧光、mERG/ERG/EOG检查等检查发现异常，或在随访过程中新出现异常。</w:t>
      </w:r>
    </w:p>
    <w:p w14:paraId="6AD01314">
      <w:pPr>
        <w:spacing w:line="520" w:lineRule="exact"/>
        <w:ind w:firstLine="640" w:firstLineChars="200"/>
        <w:rPr>
          <w:rFonts w:eastAsia="仿宋_GB2312"/>
          <w:bCs/>
          <w:color w:val="000000" w:themeColor="text1"/>
          <w:szCs w:val="32"/>
        </w:rPr>
      </w:pPr>
      <w:r>
        <w:rPr>
          <w:rFonts w:eastAsia="仿宋_GB2312"/>
          <w:bCs/>
          <w:color w:val="000000" w:themeColor="text1"/>
          <w:szCs w:val="32"/>
        </w:rPr>
        <w:t>7.其他临床医生认为不适合的情形。</w:t>
      </w:r>
    </w:p>
    <w:p w14:paraId="7C2E738B">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（三）产品技术要求</w:t>
      </w:r>
    </w:p>
    <w:p w14:paraId="4A5B3817">
      <w:pPr>
        <w:spacing w:line="520" w:lineRule="exact"/>
        <w:ind w:firstLine="640" w:firstLineChars="200"/>
        <w:rPr>
          <w:rFonts w:eastAsia="仿宋_GB2312"/>
          <w:bCs/>
          <w:color w:val="000000" w:themeColor="text1"/>
          <w:szCs w:val="32"/>
        </w:rPr>
      </w:pPr>
      <w:r>
        <w:rPr>
          <w:rFonts w:eastAsia="仿宋_GB2312"/>
          <w:bCs/>
          <w:color w:val="000000" w:themeColor="text1"/>
          <w:szCs w:val="32"/>
        </w:rPr>
        <w:t>根据《医疗器械产品技术要求编写指导原则》要求规范产品技术要求的内容和体例。</w:t>
      </w:r>
    </w:p>
    <w:p w14:paraId="72DEFF4D">
      <w:pPr>
        <w:spacing w:line="520" w:lineRule="exact"/>
        <w:ind w:firstLine="640" w:firstLineChars="200"/>
        <w:rPr>
          <w:rFonts w:eastAsia="仿宋_GB2312"/>
          <w:bCs/>
          <w:color w:val="000000" w:themeColor="text1"/>
          <w:szCs w:val="32"/>
        </w:rPr>
      </w:pPr>
      <w:r>
        <w:rPr>
          <w:rFonts w:eastAsia="仿宋_GB2312"/>
          <w:bCs/>
          <w:color w:val="000000" w:themeColor="text1"/>
          <w:szCs w:val="32"/>
        </w:rPr>
        <w:t>基于产品特性和具体情况，明确激光波长、输出功率、发散角、光斑大小，</w:t>
      </w:r>
      <w:r>
        <w:rPr>
          <w:rFonts w:eastAsia="仿宋_GB2312"/>
          <w:bCs/>
          <w:color w:val="000000" w:themeColor="text1"/>
          <w:szCs w:val="32"/>
          <w:u w:val="single"/>
        </w:rPr>
        <w:t>能量分布均匀性</w:t>
      </w:r>
      <w:r>
        <w:rPr>
          <w:rFonts w:eastAsia="仿宋_GB2312"/>
          <w:bCs/>
          <w:color w:val="000000" w:themeColor="text1"/>
          <w:szCs w:val="32"/>
        </w:rPr>
        <w:t>、激光输出功率不稳定度和复现性、输出方式、脉冲特性（如适用）、定时、软件功能、电气安全（含电磁兼容）、光辐射安全等要求和检测方法。</w:t>
      </w:r>
    </w:p>
    <w:p w14:paraId="41A94488">
      <w:pPr>
        <w:spacing w:line="520" w:lineRule="exact"/>
        <w:ind w:firstLine="640" w:firstLineChars="200"/>
        <w:outlineLvl w:val="1"/>
        <w:rPr>
          <w:rFonts w:eastAsia="仿宋_GB2312"/>
          <w:color w:val="000000" w:themeColor="text1"/>
          <w:szCs w:val="32"/>
        </w:rPr>
      </w:pPr>
      <w:r>
        <w:rPr>
          <w:rFonts w:eastAsia="仿宋_GB2312"/>
          <w:bCs/>
          <w:color w:val="000000" w:themeColor="text1"/>
          <w:szCs w:val="32"/>
        </w:rPr>
        <w:t>电气安全（含电磁兼容）应符合</w:t>
      </w:r>
      <w:r>
        <w:rPr>
          <w:rFonts w:eastAsia="仿宋_GB2312"/>
          <w:color w:val="000000" w:themeColor="text1"/>
          <w:szCs w:val="32"/>
        </w:rPr>
        <w:t>GB 9706系列标准要求（GB 9706.1、YY 9706.102）</w:t>
      </w:r>
      <w:r>
        <w:rPr>
          <w:rFonts w:eastAsia="仿宋_GB2312"/>
          <w:bCs/>
          <w:color w:val="000000" w:themeColor="text1"/>
          <w:szCs w:val="32"/>
        </w:rPr>
        <w:t>。应结合相关研究给出适宜的光辐射安全要求，其要求不得低于GB 7247.1标准的要求。</w:t>
      </w:r>
    </w:p>
    <w:p w14:paraId="58D791D7">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（四）性能研究</w:t>
      </w:r>
    </w:p>
    <w:p w14:paraId="09C35FCD">
      <w:pPr>
        <w:spacing w:line="520" w:lineRule="exact"/>
        <w:ind w:firstLine="640" w:firstLineChars="200"/>
        <w:rPr>
          <w:rFonts w:eastAsia="仿宋_GB2312"/>
          <w:bCs/>
          <w:color w:val="000000" w:themeColor="text1"/>
          <w:szCs w:val="32"/>
        </w:rPr>
      </w:pPr>
      <w:r>
        <w:rPr>
          <w:rFonts w:eastAsia="仿宋_GB2312"/>
          <w:bCs/>
          <w:color w:val="000000" w:themeColor="text1"/>
          <w:szCs w:val="32"/>
        </w:rPr>
        <w:t>提供性能指标的确定依据、输入来源以及临床意义，所采用的标准或方法、采用的原因及理论基础，以及验证资料。</w:t>
      </w:r>
    </w:p>
    <w:p w14:paraId="59AA5388">
      <w:pPr>
        <w:spacing w:line="520" w:lineRule="exact"/>
        <w:ind w:firstLine="640" w:firstLineChars="200"/>
        <w:rPr>
          <w:rFonts w:eastAsia="仿宋_GB2312"/>
          <w:bCs/>
          <w:color w:val="000000" w:themeColor="text1"/>
          <w:szCs w:val="32"/>
        </w:rPr>
      </w:pPr>
      <w:r>
        <w:rPr>
          <w:rFonts w:eastAsia="仿宋_GB2312"/>
          <w:bCs/>
          <w:color w:val="000000" w:themeColor="text1"/>
          <w:szCs w:val="32"/>
        </w:rPr>
        <w:t>详细说明治疗参数如波长、功率（功率密度）、照射时长等确定的依据，参数的确定应基于量效关系研究数据或其他研究数据。</w:t>
      </w:r>
    </w:p>
    <w:p w14:paraId="0D3212DF">
      <w:pPr>
        <w:spacing w:line="520" w:lineRule="exact"/>
        <w:ind w:firstLine="640" w:firstLineChars="200"/>
        <w:rPr>
          <w:rFonts w:eastAsia="仿宋_GB2312"/>
          <w:bCs/>
          <w:color w:val="000000" w:themeColor="text1"/>
          <w:szCs w:val="32"/>
        </w:rPr>
      </w:pPr>
      <w:r>
        <w:rPr>
          <w:rFonts w:eastAsia="仿宋_GB2312"/>
          <w:bCs/>
          <w:color w:val="000000" w:themeColor="text1"/>
          <w:szCs w:val="32"/>
        </w:rPr>
        <w:t>由于激光经眼内屈光介质后光束分布发生改变，性能指标还应提供眼底（黄斑）功率密度、峰值功率等光剂量参数确定的依据及验证。</w:t>
      </w:r>
    </w:p>
    <w:p w14:paraId="1C24BB94">
      <w:pPr>
        <w:spacing w:line="520" w:lineRule="exact"/>
        <w:ind w:firstLine="640" w:firstLineChars="200"/>
        <w:rPr>
          <w:rFonts w:eastAsia="仿宋_GB2312"/>
          <w:bCs/>
          <w:color w:val="000000" w:themeColor="text1"/>
          <w:szCs w:val="32"/>
        </w:rPr>
      </w:pPr>
      <w:r>
        <w:rPr>
          <w:rFonts w:eastAsia="仿宋_GB2312"/>
          <w:bCs/>
          <w:color w:val="000000" w:themeColor="text1"/>
          <w:szCs w:val="32"/>
        </w:rPr>
        <w:t>注册申请人应开展激光输出功率的稳定性及准确性的研究，并提供验证报告。需要考虑产品异常状态下的最大可达发射水平。启动和关闭状态也可能存在的过辐射状态。</w:t>
      </w:r>
    </w:p>
    <w:p w14:paraId="4F359162">
      <w:pPr>
        <w:spacing w:line="520" w:lineRule="exact"/>
        <w:ind w:firstLine="640" w:firstLineChars="200"/>
        <w:rPr>
          <w:rFonts w:eastAsia="仿宋_GB2312"/>
          <w:bCs/>
          <w:color w:val="000000" w:themeColor="text1"/>
          <w:szCs w:val="32"/>
        </w:rPr>
      </w:pPr>
      <w:r>
        <w:rPr>
          <w:rFonts w:eastAsia="仿宋_GB2312"/>
          <w:bCs/>
          <w:color w:val="000000" w:themeColor="text1"/>
          <w:szCs w:val="32"/>
        </w:rPr>
        <w:t>电气性能方面，如果治疗仪使用交流电，注册申请人应采取控制措施避免电网的脉冲、浪涌等突发高电压导致的闪爆。如果使用干电池，电压可能衰减，注册申请人应明确电池更换要求。</w:t>
      </w:r>
    </w:p>
    <w:p w14:paraId="093B1748">
      <w:pPr>
        <w:spacing w:line="520" w:lineRule="exact"/>
        <w:ind w:firstLine="640" w:firstLineChars="200"/>
        <w:rPr>
          <w:rFonts w:eastAsia="楷体_GB2312"/>
          <w:color w:val="000000" w:themeColor="text1"/>
          <w:szCs w:val="32"/>
        </w:rPr>
      </w:pPr>
      <w:r>
        <w:rPr>
          <w:rFonts w:eastAsia="楷体_GB2312"/>
          <w:color w:val="000000" w:themeColor="text1"/>
          <w:szCs w:val="32"/>
        </w:rPr>
        <w:t>（五）量效关系和能量安全研究</w:t>
      </w:r>
    </w:p>
    <w:p w14:paraId="2D4B1564">
      <w:pPr>
        <w:spacing w:line="520" w:lineRule="exact"/>
        <w:ind w:firstLine="640" w:firstLineChars="200"/>
        <w:rPr>
          <w:rFonts w:eastAsia="仿宋_GB2312"/>
          <w:bCs/>
          <w:color w:val="000000" w:themeColor="text1"/>
          <w:szCs w:val="32"/>
        </w:rPr>
      </w:pPr>
      <w:r>
        <w:rPr>
          <w:rFonts w:eastAsia="仿宋_GB2312"/>
          <w:bCs/>
          <w:color w:val="000000" w:themeColor="text1"/>
          <w:szCs w:val="32"/>
        </w:rPr>
        <w:t>注册申请人应当提供量效关系和能量安全研究资料，证明治疗参数设置的安全性、有效性、合理性，以及除预期靶组织外，能量不会造成不可接受的伤害的研究资料。</w:t>
      </w:r>
    </w:p>
    <w:p w14:paraId="6D613031">
      <w:pPr>
        <w:spacing w:line="520" w:lineRule="exact"/>
        <w:ind w:firstLine="640" w:firstLineChars="200"/>
        <w:rPr>
          <w:rFonts w:eastAsia="仿宋_GB2312"/>
          <w:bCs/>
          <w:color w:val="000000" w:themeColor="text1"/>
          <w:szCs w:val="32"/>
        </w:rPr>
      </w:pPr>
      <w:r>
        <w:rPr>
          <w:rFonts w:eastAsia="仿宋_GB2312"/>
          <w:bCs/>
          <w:color w:val="000000" w:themeColor="text1"/>
          <w:szCs w:val="32"/>
        </w:rPr>
        <w:t>量效关系研究是用于说明设备输出剂量与应用效果间的相互印证关系，该部分资料也可作为性能参数确定依据以及适应证的支持性资料。该部分研究资料重点关注最大剂量的安全性。应考虑临床治疗最不利情形（最大剂量、最高频次、最长疗程等）。</w:t>
      </w:r>
    </w:p>
    <w:p w14:paraId="73367DB6">
      <w:pPr>
        <w:spacing w:line="520" w:lineRule="exact"/>
        <w:ind w:firstLine="640" w:firstLineChars="200"/>
        <w:rPr>
          <w:rFonts w:eastAsia="仿宋_GB2312"/>
          <w:bCs/>
          <w:color w:val="000000" w:themeColor="text1"/>
          <w:szCs w:val="32"/>
        </w:rPr>
      </w:pPr>
      <w:r>
        <w:rPr>
          <w:rFonts w:eastAsia="仿宋_GB2312"/>
          <w:bCs/>
          <w:color w:val="000000" w:themeColor="text1"/>
          <w:szCs w:val="32"/>
        </w:rPr>
        <w:t>能量安全应着重研究眼底损伤阈值、眼内（焦点及焦点前后）组织的安全性阈值。提供</w:t>
      </w:r>
      <w:r>
        <w:rPr>
          <w:rFonts w:hint="eastAsia" w:eastAsia="仿宋_GB2312"/>
          <w:bCs/>
          <w:color w:val="000000" w:themeColor="text1"/>
          <w:szCs w:val="32"/>
        </w:rPr>
        <w:t>治疗</w:t>
      </w:r>
      <w:r>
        <w:rPr>
          <w:rFonts w:eastAsia="仿宋_GB2312"/>
          <w:bCs/>
          <w:color w:val="000000" w:themeColor="text1"/>
          <w:szCs w:val="32"/>
        </w:rPr>
        <w:t>频次</w:t>
      </w:r>
      <w:r>
        <w:rPr>
          <w:rFonts w:hint="eastAsia" w:eastAsia="仿宋_GB2312"/>
          <w:bCs/>
          <w:color w:val="000000" w:themeColor="text1"/>
          <w:szCs w:val="32"/>
        </w:rPr>
        <w:t>的</w:t>
      </w:r>
      <w:r>
        <w:rPr>
          <w:rFonts w:eastAsia="仿宋_GB2312"/>
          <w:bCs/>
          <w:color w:val="000000" w:themeColor="text1"/>
          <w:szCs w:val="32"/>
        </w:rPr>
        <w:t>研究资料。</w:t>
      </w:r>
    </w:p>
    <w:p w14:paraId="5B8F0F49">
      <w:pPr>
        <w:spacing w:line="520" w:lineRule="exact"/>
        <w:ind w:firstLine="640" w:firstLineChars="200"/>
        <w:rPr>
          <w:rFonts w:eastAsia="仿宋_GB2312"/>
          <w:bCs/>
          <w:color w:val="000000" w:themeColor="text1"/>
          <w:szCs w:val="32"/>
        </w:rPr>
      </w:pPr>
      <w:r>
        <w:rPr>
          <w:rFonts w:eastAsia="仿宋_GB2312"/>
          <w:bCs/>
          <w:color w:val="000000" w:themeColor="text1"/>
          <w:szCs w:val="32"/>
        </w:rPr>
        <w:t>产品主要用于儿童、青少年，注册申请人还应提供申报产品自身的长期安全性数据，应对产品已有临床使用数据进行临床回顾性研究，关注视网膜尤其是黄斑区长期、隐匿损伤，说明视网膜黄斑功能性、形态学数据能否支持产品安全性可接受。</w:t>
      </w:r>
    </w:p>
    <w:p w14:paraId="527D6B2B">
      <w:pPr>
        <w:spacing w:line="520" w:lineRule="exact"/>
        <w:ind w:firstLine="640" w:firstLineChars="200"/>
        <w:rPr>
          <w:rFonts w:eastAsia="仿宋_GB2312"/>
          <w:bCs/>
          <w:color w:val="000000" w:themeColor="text1"/>
          <w:szCs w:val="32"/>
        </w:rPr>
      </w:pPr>
      <w:r>
        <w:rPr>
          <w:rFonts w:eastAsia="仿宋_GB2312"/>
          <w:bCs/>
          <w:color w:val="000000" w:themeColor="text1"/>
          <w:szCs w:val="32"/>
        </w:rPr>
        <w:t>建议通过动物试验开展量效关系及能量安全研究。</w:t>
      </w:r>
    </w:p>
    <w:p w14:paraId="00DB73DB">
      <w:pPr>
        <w:spacing w:line="520" w:lineRule="exact"/>
        <w:ind w:firstLine="640" w:firstLineChars="200"/>
        <w:outlineLvl w:val="1"/>
        <w:rPr>
          <w:rFonts w:eastAsia="仿宋_GB2312"/>
          <w:color w:val="000000" w:themeColor="text1"/>
          <w:szCs w:val="32"/>
        </w:rPr>
      </w:pPr>
      <w:r>
        <w:rPr>
          <w:rFonts w:eastAsia="楷体_GB2312"/>
          <w:color w:val="000000" w:themeColor="text1"/>
          <w:szCs w:val="32"/>
        </w:rPr>
        <w:t>（六）动物试验研究</w:t>
      </w:r>
    </w:p>
    <w:p w14:paraId="61F7D18C">
      <w:pPr>
        <w:spacing w:line="520" w:lineRule="exact"/>
        <w:ind w:firstLine="640" w:firstLineChars="200"/>
        <w:rPr>
          <w:rFonts w:eastAsia="仿宋_GB2312"/>
          <w:bCs/>
          <w:color w:val="000000" w:themeColor="text1"/>
          <w:szCs w:val="32"/>
        </w:rPr>
      </w:pPr>
      <w:r>
        <w:rPr>
          <w:rFonts w:eastAsia="仿宋_GB2312"/>
          <w:bCs/>
          <w:color w:val="000000" w:themeColor="text1"/>
          <w:szCs w:val="32"/>
        </w:rPr>
        <w:t>动物试验应选用视网膜结构与人眼结构相似的动物（例如猴子）在经过类似能量的长时间照射以后，开展以下检查：采用自适应光学成像系统研究照射前后黄斑中心凹光感受器细胞和RPE细胞密度和形态及结构变化；采用OCT检查照射前后黄斑中心凹形态；采用多焦ERG观察照射前后黄斑中心凹感光细胞层功能的变化。其他可能需要的检查包括但不限于：自发荧光眼底照相设备检查、眼科全视网膜电图（ERG）设备检查、眼科视野和微视野计检查、对比敏感度仪检查等。应与未经过激光照射的动物进行对照，比较两者感光细胞和RPE细胞的形态和功能差异。若采用其他动物，则应分析动物模型的代表性，分析所采用动物的视网膜与人眼视网膜的区别，以及此项区别对试验结果所产生的影响。</w:t>
      </w:r>
    </w:p>
    <w:p w14:paraId="367A5F7D">
      <w:pPr>
        <w:spacing w:line="520" w:lineRule="exact"/>
        <w:ind w:firstLine="640" w:firstLineChars="200"/>
        <w:rPr>
          <w:rFonts w:eastAsia="仿宋_GB2312"/>
          <w:bCs/>
          <w:color w:val="000000" w:themeColor="text1"/>
          <w:szCs w:val="32"/>
        </w:rPr>
      </w:pPr>
      <w:r>
        <w:rPr>
          <w:rFonts w:eastAsia="仿宋_GB2312"/>
          <w:bCs/>
          <w:color w:val="000000" w:themeColor="text1"/>
          <w:szCs w:val="32"/>
        </w:rPr>
        <w:t>该类产品在实际临床使用中是照射人眼视网膜黄斑中心凹，由于动物不会主动凝视光源，动物试验建议采用合适的措施（例如使激光通过双目间接检眼镜）以保证将激光能量持续输出在黄斑中心凹上。若无法保证激光能量持续输出在黄斑中心凹上，则动物实验的安全性数据仍然存疑，则不可以进一步开展相关临床试验。</w:t>
      </w:r>
    </w:p>
    <w:p w14:paraId="28F284F0">
      <w:pPr>
        <w:spacing w:line="520" w:lineRule="exact"/>
        <w:ind w:firstLine="640" w:firstLineChars="200"/>
        <w:rPr>
          <w:rFonts w:eastAsia="仿宋_GB2312"/>
          <w:bCs/>
          <w:color w:val="000000" w:themeColor="text1"/>
          <w:szCs w:val="32"/>
        </w:rPr>
      </w:pPr>
      <w:r>
        <w:rPr>
          <w:rFonts w:eastAsia="仿宋_GB2312"/>
          <w:bCs/>
          <w:color w:val="000000" w:themeColor="text1"/>
          <w:szCs w:val="32"/>
        </w:rPr>
        <w:t>若动物试验的设计与实际临床使用存在差异，申请人应详细分析其差异性，提供差异性可接受的支持性资料，并阐述与实际临床使用方法所造成的差异是否会带来新的风险，以及新风险控制的控制措施。</w:t>
      </w:r>
    </w:p>
    <w:p w14:paraId="2798AE11">
      <w:pPr>
        <w:spacing w:line="520" w:lineRule="exact"/>
        <w:ind w:firstLine="640" w:firstLineChars="200"/>
        <w:rPr>
          <w:rFonts w:eastAsia="仿宋_GB2312"/>
          <w:bCs/>
          <w:color w:val="000000" w:themeColor="text1"/>
          <w:szCs w:val="32"/>
        </w:rPr>
      </w:pPr>
      <w:r>
        <w:rPr>
          <w:rFonts w:eastAsia="仿宋_GB2312"/>
          <w:bCs/>
          <w:color w:val="000000" w:themeColor="text1"/>
          <w:szCs w:val="32"/>
        </w:rPr>
        <w:t>动物试验的设计还应充分考虑动物与人生长发育周期的差异，制定适当的治疗频次并开展长期研究。</w:t>
      </w:r>
    </w:p>
    <w:p w14:paraId="39FF387E">
      <w:pPr>
        <w:spacing w:line="520" w:lineRule="exact"/>
        <w:ind w:firstLine="640" w:firstLineChars="200"/>
        <w:rPr>
          <w:rFonts w:eastAsia="仿宋_GB2312"/>
          <w:bCs/>
          <w:color w:val="000000" w:themeColor="text1"/>
          <w:szCs w:val="32"/>
        </w:rPr>
      </w:pPr>
      <w:r>
        <w:rPr>
          <w:rFonts w:eastAsia="仿宋_GB2312"/>
          <w:bCs/>
          <w:color w:val="000000" w:themeColor="text1"/>
          <w:szCs w:val="32"/>
        </w:rPr>
        <w:t>另外，需至少在试验后一年进行组织病理学研究，确认无动物的眼底细胞结构损伤之后，才可以开展临床试验。</w:t>
      </w:r>
    </w:p>
    <w:p w14:paraId="1FB1DB2D">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（七）软件研究</w:t>
      </w:r>
    </w:p>
    <w:p w14:paraId="6FBD2E9F">
      <w:pPr>
        <w:spacing w:line="520" w:lineRule="exact"/>
        <w:ind w:firstLine="640" w:firstLineChars="200"/>
        <w:rPr>
          <w:rFonts w:eastAsia="仿宋_GB2312"/>
          <w:bCs/>
          <w:color w:val="000000" w:themeColor="text1"/>
          <w:szCs w:val="32"/>
        </w:rPr>
      </w:pPr>
      <w:r>
        <w:rPr>
          <w:rFonts w:eastAsia="仿宋_GB2312"/>
          <w:bCs/>
          <w:color w:val="000000" w:themeColor="text1"/>
          <w:szCs w:val="32"/>
        </w:rPr>
        <w:t>按照《医疗器械软件注册审查指导原则（2022年修订版）》要求，提交相应级别的软件（含现成软件）研究资料以及GB/T 25000.51测试报告。建议重点关注验证与确认、可追溯性分析、缺陷管理、核心功能等。</w:t>
      </w:r>
      <w:r>
        <w:rPr>
          <w:rFonts w:hint="eastAsia" w:eastAsia="仿宋_GB2312"/>
          <w:bCs/>
          <w:color w:val="000000" w:themeColor="text1"/>
          <w:szCs w:val="32"/>
        </w:rPr>
        <w:t>通常软件的安全性级别为中等级别，</w:t>
      </w:r>
      <w:r>
        <w:rPr>
          <w:rFonts w:eastAsia="仿宋_GB2312"/>
          <w:bCs/>
          <w:color w:val="000000" w:themeColor="text1"/>
          <w:szCs w:val="32"/>
        </w:rPr>
        <w:t>若软件用于控制输出剂量相关的参数则为严重级别。</w:t>
      </w:r>
    </w:p>
    <w:p w14:paraId="23A6E353">
      <w:pPr>
        <w:spacing w:line="520" w:lineRule="exact"/>
        <w:ind w:firstLine="640" w:firstLineChars="200"/>
        <w:rPr>
          <w:rFonts w:eastAsia="仿宋_GB2312"/>
          <w:bCs/>
          <w:color w:val="000000" w:themeColor="text1"/>
          <w:szCs w:val="32"/>
        </w:rPr>
      </w:pPr>
      <w:r>
        <w:rPr>
          <w:rFonts w:eastAsia="仿宋_GB2312"/>
          <w:bCs/>
          <w:color w:val="000000" w:themeColor="text1"/>
          <w:szCs w:val="32"/>
        </w:rPr>
        <w:t>按照《医疗器械网络安全注册审查指导原则（2022年修订版）》要求，提交相应级别的网络安全研究资料。</w:t>
      </w:r>
    </w:p>
    <w:p w14:paraId="4132AE1F">
      <w:pPr>
        <w:spacing w:line="520" w:lineRule="exact"/>
        <w:ind w:firstLine="640" w:firstLineChars="200"/>
        <w:rPr>
          <w:rFonts w:eastAsia="仿宋_GB2312"/>
          <w:bCs/>
          <w:color w:val="000000" w:themeColor="text1"/>
          <w:szCs w:val="32"/>
        </w:rPr>
      </w:pPr>
      <w:r>
        <w:rPr>
          <w:rFonts w:eastAsia="仿宋_GB2312"/>
          <w:bCs/>
          <w:color w:val="000000" w:themeColor="text1"/>
          <w:szCs w:val="32"/>
        </w:rPr>
        <w:t>连接APP的，还应按照《移动医疗器械注册审查指导原则》提交资料。</w:t>
      </w:r>
    </w:p>
    <w:p w14:paraId="120659CE">
      <w:pPr>
        <w:spacing w:line="520" w:lineRule="exact"/>
        <w:ind w:firstLine="640" w:firstLineChars="200"/>
        <w:outlineLvl w:val="1"/>
        <w:rPr>
          <w:rFonts w:eastAsia="仿宋_GB2312"/>
          <w:color w:val="000000" w:themeColor="text1"/>
          <w:szCs w:val="32"/>
        </w:rPr>
      </w:pPr>
      <w:r>
        <w:rPr>
          <w:rFonts w:eastAsia="楷体_GB2312"/>
          <w:color w:val="000000" w:themeColor="text1"/>
          <w:szCs w:val="32"/>
        </w:rPr>
        <w:t>（八）生物学特性研究</w:t>
      </w:r>
    </w:p>
    <w:p w14:paraId="0680E580">
      <w:pPr>
        <w:spacing w:line="520" w:lineRule="exact"/>
        <w:ind w:firstLine="640" w:firstLineChars="200"/>
        <w:rPr>
          <w:rFonts w:eastAsia="仿宋_GB2312"/>
          <w:bCs/>
          <w:color w:val="000000" w:themeColor="text1"/>
          <w:szCs w:val="32"/>
        </w:rPr>
      </w:pPr>
      <w:r>
        <w:rPr>
          <w:rFonts w:eastAsia="仿宋_GB2312"/>
          <w:bCs/>
          <w:color w:val="000000" w:themeColor="text1"/>
          <w:szCs w:val="32"/>
        </w:rPr>
        <w:t>与患者直接或间接接触的部件，需按照GB/T 16886系列标准开展生物相容性评价，并根据121号公告提供相应研究资料。</w:t>
      </w:r>
    </w:p>
    <w:p w14:paraId="3860B0D8">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（九）清洁、消毒研究</w:t>
      </w:r>
    </w:p>
    <w:p w14:paraId="0325FD48">
      <w:pPr>
        <w:spacing w:line="520" w:lineRule="exact"/>
        <w:ind w:firstLine="640" w:firstLineChars="200"/>
        <w:rPr>
          <w:rFonts w:eastAsia="仿宋_GB2312"/>
          <w:color w:val="000000" w:themeColor="text1"/>
          <w:szCs w:val="32"/>
        </w:rPr>
      </w:pPr>
      <w:r>
        <w:rPr>
          <w:rFonts w:eastAsia="仿宋_GB2312"/>
          <w:color w:val="000000" w:themeColor="text1"/>
          <w:szCs w:val="32"/>
        </w:rPr>
        <w:t>明确产品清洁和消毒工艺（方法和参数），提供产品消毒要求及其确定依据、消毒效果验证资料、消毒对产品影响的评估资料，以及擦拭清洁的要求及其确定依据、清洁效果验证资料，确保产品污染与交叉感染的风险均可接受。</w:t>
      </w:r>
    </w:p>
    <w:p w14:paraId="04BF680F">
      <w:pPr>
        <w:spacing w:line="520" w:lineRule="exact"/>
        <w:ind w:firstLine="640" w:firstLineChars="200"/>
        <w:rPr>
          <w:rFonts w:eastAsia="仿宋_GB2312"/>
          <w:color w:val="000000" w:themeColor="text1"/>
          <w:szCs w:val="32"/>
        </w:rPr>
      </w:pPr>
      <w:r>
        <w:rPr>
          <w:rFonts w:eastAsia="仿宋_GB2312"/>
          <w:color w:val="000000" w:themeColor="text1"/>
          <w:szCs w:val="32"/>
        </w:rPr>
        <w:t>若消毒可能产生残留物质，需对消毒后的产品进行残留毒性研究，明确残留物信息及采取的处理方法，并提供相关研究资料。</w:t>
      </w:r>
    </w:p>
    <w:p w14:paraId="557E39E1">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（十）稳定性研究</w:t>
      </w:r>
    </w:p>
    <w:p w14:paraId="6B1780EC">
      <w:pPr>
        <w:spacing w:line="520" w:lineRule="exact"/>
        <w:ind w:firstLine="640" w:firstLineChars="200"/>
        <w:rPr>
          <w:rFonts w:eastAsia="仿宋_GB2312"/>
          <w:color w:val="000000" w:themeColor="text1"/>
          <w:szCs w:val="32"/>
        </w:rPr>
      </w:pPr>
      <w:r>
        <w:rPr>
          <w:rFonts w:eastAsia="仿宋_GB2312"/>
          <w:color w:val="000000" w:themeColor="text1"/>
          <w:szCs w:val="32"/>
        </w:rPr>
        <w:t>1.使用稳定性</w:t>
      </w:r>
    </w:p>
    <w:p w14:paraId="46091C7F">
      <w:pPr>
        <w:spacing w:line="520" w:lineRule="exact"/>
        <w:ind w:firstLine="640" w:firstLineChars="200"/>
        <w:rPr>
          <w:rFonts w:eastAsia="仿宋_GB2312"/>
          <w:color w:val="000000" w:themeColor="text1"/>
          <w:szCs w:val="32"/>
        </w:rPr>
      </w:pPr>
      <w:r>
        <w:rPr>
          <w:rFonts w:eastAsia="仿宋_GB2312"/>
          <w:color w:val="000000" w:themeColor="text1"/>
          <w:szCs w:val="32"/>
        </w:rPr>
        <w:t>按照《有源医疗器械使用期限注册技术审查指导原则》要求，提供产品使用耐久性/可靠性研究资料，证明在规定的使用期限/使用次数/出光时长内，在正常使用、维护和校准情况下，产品的性能功能满足使用要求。</w:t>
      </w:r>
    </w:p>
    <w:p w14:paraId="4AA174FC">
      <w:pPr>
        <w:spacing w:line="520" w:lineRule="exact"/>
        <w:ind w:firstLine="640" w:firstLineChars="200"/>
        <w:rPr>
          <w:rFonts w:eastAsia="仿宋_GB2312"/>
          <w:color w:val="000000" w:themeColor="text1"/>
          <w:szCs w:val="32"/>
        </w:rPr>
      </w:pPr>
      <w:r>
        <w:rPr>
          <w:rFonts w:eastAsia="仿宋_GB2312"/>
          <w:color w:val="000000" w:themeColor="text1"/>
          <w:szCs w:val="32"/>
        </w:rPr>
        <w:t>2.运输稳定性</w:t>
      </w:r>
    </w:p>
    <w:p w14:paraId="68E574DA">
      <w:pPr>
        <w:spacing w:line="520" w:lineRule="exact"/>
        <w:ind w:firstLine="640" w:firstLineChars="200"/>
        <w:rPr>
          <w:rFonts w:eastAsia="仿宋_GB2312"/>
          <w:color w:val="000000" w:themeColor="text1"/>
          <w:szCs w:val="32"/>
        </w:rPr>
      </w:pPr>
      <w:r>
        <w:rPr>
          <w:rFonts w:eastAsia="仿宋_GB2312"/>
          <w:color w:val="000000" w:themeColor="text1"/>
          <w:szCs w:val="32"/>
        </w:rPr>
        <w:t>提供产品运输稳定性和包装研究资料，证明在规定的运输条件下，运输过程中的环境条件不会对医疗器械的特性和性能造成不利影响。</w:t>
      </w:r>
    </w:p>
    <w:p w14:paraId="63E92700">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（十一）临床评价</w:t>
      </w:r>
    </w:p>
    <w:p w14:paraId="02839227">
      <w:pPr>
        <w:spacing w:line="520" w:lineRule="exact"/>
        <w:ind w:firstLine="640" w:firstLineChars="200"/>
        <w:rPr>
          <w:rFonts w:eastAsia="仿宋_GB2312"/>
          <w:color w:val="000000" w:themeColor="text1"/>
          <w:szCs w:val="32"/>
        </w:rPr>
      </w:pPr>
      <w:bookmarkStart w:id="1" w:name="_Hlk132636598"/>
      <w:r>
        <w:rPr>
          <w:rFonts w:hint="eastAsia" w:eastAsia="仿宋_GB2312"/>
          <w:color w:val="000000" w:themeColor="text1"/>
          <w:szCs w:val="32"/>
        </w:rPr>
        <w:t>1.临床试验</w:t>
      </w:r>
      <w:bookmarkEnd w:id="1"/>
      <w:r>
        <w:rPr>
          <w:rFonts w:hint="eastAsia" w:eastAsia="仿宋_GB2312"/>
          <w:color w:val="000000" w:themeColor="text1"/>
          <w:szCs w:val="32"/>
        </w:rPr>
        <w:t>前</w:t>
      </w:r>
    </w:p>
    <w:p w14:paraId="622FB55F">
      <w:pPr>
        <w:spacing w:line="520" w:lineRule="exact"/>
        <w:ind w:firstLine="640" w:firstLineChars="200"/>
        <w:rPr>
          <w:rFonts w:eastAsia="仿宋_GB2312"/>
          <w:color w:val="000000" w:themeColor="text1"/>
          <w:szCs w:val="32"/>
        </w:rPr>
      </w:pPr>
      <w:r>
        <w:rPr>
          <w:rFonts w:hint="eastAsia" w:eastAsia="仿宋_GB2312"/>
          <w:color w:val="000000" w:themeColor="text1"/>
          <w:szCs w:val="32"/>
        </w:rPr>
        <w:t>临床试验前，注册申请人需首先综合分析申报产品的适用范围、技术特征等因素，开展科学、严谨、充分、规范的临床前研究，全面确认产品的各项性能，充分降低并合理控制产品的临床使用风险，开展完善的临床前研究，包括论述产品作用机理的研究和验证资料，性能研究资料，量效关系研究、能量安全研究，动物试验研究，软件研究以及风险分析等，且结果可以证明产品初步的安全性和可行性，能够支持实施申报产品的临床试验。</w:t>
      </w:r>
    </w:p>
    <w:p w14:paraId="08245136">
      <w:pPr>
        <w:spacing w:line="520" w:lineRule="exact"/>
        <w:ind w:firstLine="640" w:firstLineChars="200"/>
        <w:rPr>
          <w:rFonts w:eastAsia="仿宋_GB2312"/>
          <w:color w:val="000000" w:themeColor="text1"/>
          <w:szCs w:val="32"/>
        </w:rPr>
      </w:pPr>
      <w:r>
        <w:rPr>
          <w:rFonts w:hint="eastAsia" w:eastAsia="仿宋_GB2312"/>
          <w:color w:val="000000" w:themeColor="text1"/>
          <w:szCs w:val="32"/>
        </w:rPr>
        <w:t>开展临床试验，需</w:t>
      </w:r>
      <w:r>
        <w:rPr>
          <w:rFonts w:eastAsia="仿宋_GB2312"/>
          <w:color w:val="000000" w:themeColor="text1"/>
          <w:szCs w:val="32"/>
        </w:rPr>
        <w:t>遵守《世界医学大会赫尔辛基宣言》的伦理准则和国家涉及人的生物医学研究伦理的相关规范</w:t>
      </w:r>
      <w:r>
        <w:rPr>
          <w:rFonts w:hint="eastAsia" w:eastAsia="仿宋_GB2312"/>
          <w:color w:val="000000" w:themeColor="text1"/>
          <w:szCs w:val="32"/>
        </w:rPr>
        <w:t>。按照《医疗器械临床试验质量管理规范》，</w:t>
      </w:r>
      <w:r>
        <w:rPr>
          <w:rFonts w:eastAsia="仿宋_GB2312"/>
          <w:color w:val="000000" w:themeColor="text1"/>
          <w:szCs w:val="32"/>
        </w:rPr>
        <w:t>临床试验应当获得伦理委员会的同意</w:t>
      </w:r>
      <w:r>
        <w:rPr>
          <w:rFonts w:hint="eastAsia" w:eastAsia="仿宋_GB2312"/>
          <w:color w:val="000000" w:themeColor="text1"/>
          <w:szCs w:val="32"/>
        </w:rPr>
        <w:t>。</w:t>
      </w:r>
      <w:r>
        <w:rPr>
          <w:rFonts w:eastAsia="仿宋_GB2312"/>
          <w:color w:val="000000" w:themeColor="text1"/>
          <w:szCs w:val="32"/>
        </w:rPr>
        <w:t>伦理委员会应切实</w:t>
      </w:r>
      <w:r>
        <w:rPr>
          <w:rFonts w:hint="eastAsia" w:eastAsia="仿宋_GB2312"/>
          <w:color w:val="000000" w:themeColor="text1"/>
          <w:szCs w:val="32"/>
        </w:rPr>
        <w:t>担当职责，</w:t>
      </w:r>
      <w:r>
        <w:rPr>
          <w:rFonts w:eastAsia="仿宋_GB2312"/>
          <w:color w:val="000000" w:themeColor="text1"/>
          <w:szCs w:val="32"/>
        </w:rPr>
        <w:t>保护受试者合法权益和安全，维护受试者尊严</w:t>
      </w:r>
      <w:r>
        <w:rPr>
          <w:rFonts w:hint="eastAsia" w:eastAsia="仿宋_GB2312"/>
          <w:color w:val="000000" w:themeColor="text1"/>
          <w:szCs w:val="32"/>
        </w:rPr>
        <w:t>，</w:t>
      </w:r>
      <w:r>
        <w:rPr>
          <w:rFonts w:eastAsia="仿宋_GB2312"/>
          <w:color w:val="000000" w:themeColor="text1"/>
          <w:szCs w:val="32"/>
        </w:rPr>
        <w:t>对</w:t>
      </w:r>
      <w:r>
        <w:rPr>
          <w:rFonts w:hint="eastAsia" w:eastAsia="仿宋_GB2312"/>
          <w:color w:val="000000" w:themeColor="text1"/>
          <w:szCs w:val="32"/>
        </w:rPr>
        <w:t>申报</w:t>
      </w:r>
      <w:r>
        <w:rPr>
          <w:rFonts w:eastAsia="仿宋_GB2312"/>
          <w:color w:val="000000" w:themeColor="text1"/>
          <w:szCs w:val="32"/>
        </w:rPr>
        <w:t>产品临床试验的伦理性和科学性进行</w:t>
      </w:r>
      <w:r>
        <w:rPr>
          <w:rFonts w:hint="eastAsia" w:eastAsia="仿宋_GB2312"/>
          <w:color w:val="000000" w:themeColor="text1"/>
          <w:szCs w:val="32"/>
        </w:rPr>
        <w:t>严格</w:t>
      </w:r>
      <w:r>
        <w:rPr>
          <w:rFonts w:eastAsia="仿宋_GB2312"/>
          <w:color w:val="000000" w:themeColor="text1"/>
          <w:szCs w:val="32"/>
        </w:rPr>
        <w:t>审查</w:t>
      </w:r>
      <w:r>
        <w:rPr>
          <w:rFonts w:hint="eastAsia" w:eastAsia="仿宋_GB2312"/>
          <w:color w:val="000000" w:themeColor="text1"/>
          <w:szCs w:val="32"/>
        </w:rPr>
        <w:t>，包括申报产品的</w:t>
      </w:r>
      <w:r>
        <w:rPr>
          <w:rFonts w:eastAsia="仿宋_GB2312"/>
          <w:color w:val="000000" w:themeColor="text1"/>
          <w:szCs w:val="32"/>
        </w:rPr>
        <w:t>临床</w:t>
      </w:r>
      <w:r>
        <w:rPr>
          <w:rFonts w:hint="eastAsia" w:eastAsia="仿宋_GB2312"/>
          <w:color w:val="000000" w:themeColor="text1"/>
          <w:szCs w:val="32"/>
        </w:rPr>
        <w:t>前研究是否完成，研究结果能否证明</w:t>
      </w:r>
      <w:r>
        <w:rPr>
          <w:rFonts w:eastAsia="仿宋_GB2312"/>
          <w:color w:val="000000" w:themeColor="text1"/>
          <w:szCs w:val="32"/>
        </w:rPr>
        <w:t>受试者可能遭受的风险与试验预期的受益相比是合适</w:t>
      </w:r>
      <w:r>
        <w:rPr>
          <w:rFonts w:hint="eastAsia" w:eastAsia="仿宋_GB2312"/>
          <w:color w:val="000000" w:themeColor="text1"/>
          <w:szCs w:val="32"/>
        </w:rPr>
        <w:t>的</w:t>
      </w:r>
      <w:r>
        <w:rPr>
          <w:rFonts w:eastAsia="仿宋_GB2312"/>
          <w:color w:val="000000" w:themeColor="text1"/>
          <w:szCs w:val="32"/>
        </w:rPr>
        <w:t>；临床试验方案是否充分考虑了伦理原则，是否符合科学性，研究目的是否适当、受试者的权益和安全是否得到保障、其他人员可能遭受的风险是否得到充分保护</w:t>
      </w:r>
      <w:r>
        <w:rPr>
          <w:rFonts w:hint="eastAsia" w:eastAsia="仿宋_GB2312"/>
          <w:color w:val="000000" w:themeColor="text1"/>
          <w:szCs w:val="32"/>
        </w:rPr>
        <w:t>；</w:t>
      </w:r>
      <w:r>
        <w:rPr>
          <w:rFonts w:eastAsia="仿宋_GB2312"/>
          <w:color w:val="000000" w:themeColor="text1"/>
          <w:szCs w:val="32"/>
        </w:rPr>
        <w:t>受试者是否因参加临床试验而获得合理补偿；受试者若发生与临床试验相关的伤害，给予的诊治和保障措施是否充分；对儿童特殊人群受试者的保护是否充分</w:t>
      </w:r>
      <w:r>
        <w:rPr>
          <w:rFonts w:hint="eastAsia" w:eastAsia="仿宋_GB2312"/>
          <w:color w:val="000000" w:themeColor="text1"/>
          <w:szCs w:val="32"/>
        </w:rPr>
        <w:t>等。</w:t>
      </w:r>
    </w:p>
    <w:p w14:paraId="15B6300A">
      <w:pPr>
        <w:spacing w:line="520" w:lineRule="exact"/>
        <w:ind w:firstLine="640" w:firstLineChars="200"/>
        <w:rPr>
          <w:rFonts w:eastAsia="仿宋_GB2312"/>
          <w:color w:val="000000" w:themeColor="text1"/>
          <w:szCs w:val="32"/>
        </w:rPr>
      </w:pPr>
      <w:r>
        <w:rPr>
          <w:rFonts w:hint="eastAsia" w:eastAsia="仿宋_GB2312"/>
          <w:color w:val="000000" w:themeColor="text1"/>
          <w:szCs w:val="32"/>
        </w:rPr>
        <w:t>2.可行性临床试验</w:t>
      </w:r>
    </w:p>
    <w:p w14:paraId="0F6E4809">
      <w:pPr>
        <w:spacing w:line="520" w:lineRule="exact"/>
        <w:ind w:firstLine="640" w:firstLineChars="200"/>
        <w:rPr>
          <w:rFonts w:eastAsia="仿宋_GB2312"/>
          <w:color w:val="000000" w:themeColor="text1"/>
          <w:szCs w:val="32"/>
        </w:rPr>
      </w:pPr>
      <w:r>
        <w:rPr>
          <w:rFonts w:hint="eastAsia" w:eastAsia="仿宋_GB2312"/>
          <w:color w:val="000000" w:themeColor="text1"/>
          <w:szCs w:val="32"/>
        </w:rPr>
        <w:t>近视/弱视激光</w:t>
      </w:r>
      <w:r>
        <w:rPr>
          <w:rFonts w:eastAsia="仿宋_GB2312"/>
          <w:color w:val="000000" w:themeColor="text1"/>
          <w:szCs w:val="32"/>
        </w:rPr>
        <w:t>治疗仪</w:t>
      </w:r>
      <w:r>
        <w:rPr>
          <w:color w:val="000000" w:themeColor="text1"/>
        </w:rPr>
        <w:t>在</w:t>
      </w:r>
      <w:r>
        <w:rPr>
          <w:rFonts w:eastAsia="仿宋_GB2312"/>
          <w:color w:val="000000" w:themeColor="text1"/>
          <w:szCs w:val="32"/>
        </w:rPr>
        <w:t>开展确证性临床试验前</w:t>
      </w:r>
      <w:r>
        <w:rPr>
          <w:rFonts w:hint="eastAsia" w:eastAsia="仿宋_GB2312"/>
          <w:color w:val="000000" w:themeColor="text1"/>
          <w:szCs w:val="32"/>
        </w:rPr>
        <w:t>，</w:t>
      </w:r>
      <w:r>
        <w:rPr>
          <w:rFonts w:eastAsia="仿宋_GB2312"/>
          <w:color w:val="000000" w:themeColor="text1"/>
          <w:szCs w:val="32"/>
        </w:rPr>
        <w:t>应</w:t>
      </w:r>
      <w:r>
        <w:rPr>
          <w:rFonts w:hint="eastAsia" w:eastAsia="仿宋_GB2312"/>
          <w:color w:val="000000" w:themeColor="text1"/>
          <w:szCs w:val="32"/>
        </w:rPr>
        <w:t>首先</w:t>
      </w:r>
      <w:r>
        <w:rPr>
          <w:rFonts w:eastAsia="仿宋_GB2312"/>
          <w:color w:val="000000" w:themeColor="text1"/>
          <w:szCs w:val="32"/>
        </w:rPr>
        <w:t>进行可行性临床试验。可行性试验</w:t>
      </w:r>
      <w:r>
        <w:rPr>
          <w:rFonts w:hint="eastAsia" w:eastAsia="仿宋_GB2312"/>
          <w:color w:val="000000" w:themeColor="text1"/>
          <w:szCs w:val="32"/>
        </w:rPr>
        <w:t>需</w:t>
      </w:r>
      <w:r>
        <w:rPr>
          <w:rFonts w:eastAsia="仿宋_GB2312"/>
          <w:color w:val="000000" w:themeColor="text1"/>
          <w:szCs w:val="32"/>
        </w:rPr>
        <w:t>有清晰和明确的研究目标，</w:t>
      </w:r>
      <w:r>
        <w:rPr>
          <w:rFonts w:hint="eastAsia" w:eastAsia="仿宋_GB2312"/>
          <w:color w:val="000000" w:themeColor="text1"/>
          <w:szCs w:val="32"/>
        </w:rPr>
        <w:t>可以初步</w:t>
      </w:r>
      <w:r>
        <w:rPr>
          <w:rFonts w:eastAsia="仿宋_GB2312"/>
          <w:color w:val="000000" w:themeColor="text1"/>
          <w:szCs w:val="32"/>
        </w:rPr>
        <w:t>评估产品设计的安全性、有效性</w:t>
      </w:r>
      <w:r>
        <w:rPr>
          <w:rFonts w:hint="eastAsia" w:eastAsia="仿宋_GB2312"/>
          <w:color w:val="000000" w:themeColor="text1"/>
          <w:szCs w:val="32"/>
        </w:rPr>
        <w:t>。</w:t>
      </w:r>
      <w:r>
        <w:rPr>
          <w:rFonts w:eastAsia="仿宋_GB2312"/>
          <w:color w:val="000000" w:themeColor="text1"/>
          <w:szCs w:val="32"/>
        </w:rPr>
        <w:t>可行性试验</w:t>
      </w:r>
      <w:r>
        <w:rPr>
          <w:rFonts w:hint="eastAsia" w:eastAsia="仿宋_GB2312"/>
          <w:color w:val="000000" w:themeColor="text1"/>
          <w:szCs w:val="32"/>
        </w:rPr>
        <w:t>需为</w:t>
      </w:r>
      <w:r>
        <w:rPr>
          <w:rFonts w:eastAsia="仿宋_GB2312"/>
          <w:color w:val="000000" w:themeColor="text1"/>
          <w:szCs w:val="32"/>
        </w:rPr>
        <w:t>前瞻性研究</w:t>
      </w:r>
      <w:r>
        <w:rPr>
          <w:rFonts w:hint="eastAsia" w:eastAsia="仿宋_GB2312"/>
          <w:color w:val="000000" w:themeColor="text1"/>
          <w:szCs w:val="32"/>
        </w:rPr>
        <w:t>，</w:t>
      </w:r>
      <w:r>
        <w:rPr>
          <w:rFonts w:eastAsia="仿宋_GB2312"/>
          <w:color w:val="000000" w:themeColor="text1"/>
          <w:szCs w:val="32"/>
        </w:rPr>
        <w:t>样本量不</w:t>
      </w:r>
      <w:r>
        <w:rPr>
          <w:rFonts w:hint="eastAsia" w:eastAsia="仿宋_GB2312"/>
          <w:color w:val="000000" w:themeColor="text1"/>
          <w:szCs w:val="32"/>
        </w:rPr>
        <w:t xml:space="preserve">少于50例，随访时间应结合产品照射频次、单次照射时间、治疗照射疗程确定，观察时间建议至少为所有治疗结束后不少于1年，并论述随访时间确定依据。可行性试验需观察视网膜（尤其是黄斑区）长期功能性、形态学、隐匿损伤等相关数据，建议进行包括OCT检查、微视野检测以及mERG（多焦视网膜电图）测量、眼底感光细胞的观测等，并根据其结果对后期的确证性试验设计提供相应的信息。 </w:t>
      </w:r>
    </w:p>
    <w:p w14:paraId="15CEF631">
      <w:pPr>
        <w:spacing w:line="520" w:lineRule="exact"/>
        <w:ind w:firstLine="640" w:firstLineChars="200"/>
        <w:rPr>
          <w:rFonts w:eastAsia="仿宋_GB2312"/>
          <w:color w:val="000000" w:themeColor="text1"/>
          <w:szCs w:val="32"/>
        </w:rPr>
      </w:pPr>
      <w:r>
        <w:rPr>
          <w:rFonts w:hint="eastAsia" w:eastAsia="仿宋_GB2312"/>
          <w:color w:val="000000" w:themeColor="text1"/>
          <w:szCs w:val="32"/>
        </w:rPr>
        <w:t>经过可行性临床试验数据观测后，初步确认产品的安全性和有效性后，注册申请人方可开展确证性临床试验获取临床数据，以支持产品的临床评价。此时，临床试验目的为确认产品辅助治疗儿童弱视/近视的安全有效性，尤其是不存在导致视网膜黄斑区域的不可逆损伤等临床风险，以及不会诱发精神类疾病如癫痫，产品长期安全有效性可接受，受益大于风险。</w:t>
      </w:r>
    </w:p>
    <w:p w14:paraId="1D0E6CB4">
      <w:pPr>
        <w:spacing w:line="520" w:lineRule="exact"/>
        <w:ind w:firstLine="640" w:firstLineChars="200"/>
        <w:rPr>
          <w:rFonts w:eastAsia="仿宋_GB2312"/>
          <w:color w:val="000000" w:themeColor="text1"/>
          <w:szCs w:val="32"/>
        </w:rPr>
      </w:pPr>
      <w:r>
        <w:rPr>
          <w:rFonts w:hint="eastAsia" w:eastAsia="仿宋_GB2312"/>
          <w:color w:val="000000" w:themeColor="text1"/>
          <w:szCs w:val="32"/>
        </w:rPr>
        <w:t>3.确证性临床试验</w:t>
      </w:r>
    </w:p>
    <w:p w14:paraId="2D20CD48">
      <w:pPr>
        <w:spacing w:line="520" w:lineRule="exact"/>
        <w:ind w:firstLine="640" w:firstLineChars="200"/>
        <w:rPr>
          <w:rFonts w:eastAsia="仿宋_GB2312"/>
          <w:color w:val="000000" w:themeColor="text1"/>
          <w:szCs w:val="32"/>
        </w:rPr>
      </w:pPr>
      <w:r>
        <w:rPr>
          <w:rFonts w:hint="eastAsia" w:eastAsia="仿宋_GB2312"/>
          <w:color w:val="000000" w:themeColor="text1"/>
          <w:szCs w:val="32"/>
        </w:rPr>
        <w:t>3.1试验</w:t>
      </w:r>
      <w:r>
        <w:rPr>
          <w:rFonts w:eastAsia="仿宋_GB2312"/>
          <w:color w:val="000000" w:themeColor="text1"/>
          <w:szCs w:val="32"/>
        </w:rPr>
        <w:t>设计</w:t>
      </w:r>
    </w:p>
    <w:p w14:paraId="1F94ADAF">
      <w:pPr>
        <w:spacing w:line="520" w:lineRule="exact"/>
        <w:ind w:firstLine="640" w:firstLineChars="200"/>
        <w:rPr>
          <w:rFonts w:eastAsia="仿宋_GB2312"/>
          <w:color w:val="000000" w:themeColor="text1"/>
          <w:szCs w:val="32"/>
        </w:rPr>
      </w:pPr>
      <w:r>
        <w:rPr>
          <w:rFonts w:hint="eastAsia" w:eastAsia="仿宋_GB2312"/>
          <w:color w:val="000000" w:themeColor="text1"/>
          <w:szCs w:val="32"/>
        </w:rPr>
        <w:t>基于申报</w:t>
      </w:r>
      <w:r>
        <w:rPr>
          <w:rFonts w:eastAsia="仿宋_GB2312"/>
          <w:color w:val="000000" w:themeColor="text1"/>
          <w:szCs w:val="32"/>
        </w:rPr>
        <w:t>产品</w:t>
      </w:r>
      <w:r>
        <w:rPr>
          <w:rFonts w:hint="eastAsia" w:eastAsia="仿宋_GB2312"/>
          <w:color w:val="000000" w:themeColor="text1"/>
          <w:szCs w:val="32"/>
        </w:rPr>
        <w:t>较现有临床治疗方式增加了额外临床风险</w:t>
      </w:r>
      <w:r>
        <w:rPr>
          <w:rFonts w:eastAsia="仿宋_GB2312"/>
          <w:color w:val="000000" w:themeColor="text1"/>
          <w:szCs w:val="32"/>
        </w:rPr>
        <w:t>，</w:t>
      </w:r>
      <w:r>
        <w:rPr>
          <w:rFonts w:hint="eastAsia" w:eastAsia="仿宋_GB2312"/>
          <w:color w:val="000000" w:themeColor="text1"/>
          <w:szCs w:val="32"/>
        </w:rPr>
        <w:t>如眼底安全性问题等，需</w:t>
      </w:r>
      <w:r>
        <w:rPr>
          <w:rFonts w:eastAsia="仿宋_GB2312"/>
          <w:color w:val="000000" w:themeColor="text1"/>
          <w:szCs w:val="32"/>
        </w:rPr>
        <w:t>采用</w:t>
      </w:r>
      <w:r>
        <w:rPr>
          <w:rFonts w:hint="eastAsia" w:eastAsia="仿宋_GB2312"/>
          <w:color w:val="000000" w:themeColor="text1"/>
          <w:szCs w:val="32"/>
        </w:rPr>
        <w:t>前瞻性、盲法、</w:t>
      </w:r>
      <w:r>
        <w:rPr>
          <w:rFonts w:eastAsia="仿宋_GB2312"/>
          <w:color w:val="000000" w:themeColor="text1"/>
          <w:szCs w:val="32"/>
        </w:rPr>
        <w:t>随机对照</w:t>
      </w:r>
      <w:r>
        <w:rPr>
          <w:rFonts w:hint="eastAsia" w:eastAsia="仿宋_GB2312"/>
          <w:color w:val="000000" w:themeColor="text1"/>
          <w:szCs w:val="32"/>
        </w:rPr>
        <w:t>试验设计，基于主要有效性评价指标开展优效设计；同时需基于主要安全性指标开展前瞻性单组设计。</w:t>
      </w:r>
    </w:p>
    <w:p w14:paraId="54990BCF">
      <w:pPr>
        <w:spacing w:line="520" w:lineRule="exact"/>
        <w:ind w:firstLine="640" w:firstLineChars="200"/>
        <w:rPr>
          <w:rFonts w:eastAsia="仿宋_GB2312"/>
          <w:color w:val="000000" w:themeColor="text1"/>
          <w:szCs w:val="32"/>
        </w:rPr>
      </w:pPr>
      <w:r>
        <w:rPr>
          <w:rFonts w:hint="eastAsia" w:eastAsia="仿宋_GB2312"/>
          <w:color w:val="000000" w:themeColor="text1"/>
          <w:szCs w:val="32"/>
        </w:rPr>
        <w:t>3.</w:t>
      </w:r>
      <w:r>
        <w:rPr>
          <w:rFonts w:eastAsia="仿宋_GB2312"/>
          <w:color w:val="000000" w:themeColor="text1"/>
          <w:szCs w:val="32"/>
        </w:rPr>
        <w:t>2</w:t>
      </w:r>
      <w:r>
        <w:rPr>
          <w:rFonts w:hint="eastAsia" w:eastAsia="仿宋_GB2312"/>
          <w:color w:val="000000" w:themeColor="text1"/>
          <w:szCs w:val="32"/>
        </w:rPr>
        <w:t>对照组</w:t>
      </w:r>
    </w:p>
    <w:p w14:paraId="1BD2A044">
      <w:pPr>
        <w:spacing w:line="520" w:lineRule="exact"/>
        <w:ind w:firstLine="640" w:firstLineChars="200"/>
        <w:rPr>
          <w:rFonts w:eastAsia="仿宋_GB2312"/>
          <w:color w:val="000000" w:themeColor="text1"/>
          <w:szCs w:val="32"/>
        </w:rPr>
      </w:pPr>
      <w:r>
        <w:rPr>
          <w:rFonts w:hint="eastAsia" w:eastAsia="仿宋_GB2312"/>
          <w:color w:val="000000" w:themeColor="text1"/>
          <w:szCs w:val="32"/>
        </w:rPr>
        <w:t>对照组应优先选择国家卫生健康委员会发布的《近视</w:t>
      </w:r>
      <w:r>
        <w:rPr>
          <w:rFonts w:eastAsia="仿宋_GB2312"/>
          <w:color w:val="000000" w:themeColor="text1"/>
          <w:szCs w:val="32"/>
        </w:rPr>
        <w:t>防治指南</w:t>
      </w:r>
      <w:r>
        <w:rPr>
          <w:rFonts w:hint="eastAsia" w:eastAsia="仿宋_GB2312"/>
          <w:color w:val="000000" w:themeColor="text1"/>
          <w:szCs w:val="32"/>
        </w:rPr>
        <w:t>》《弱视诊治</w:t>
      </w:r>
      <w:r>
        <w:rPr>
          <w:rFonts w:eastAsia="仿宋_GB2312"/>
          <w:color w:val="000000" w:themeColor="text1"/>
          <w:szCs w:val="32"/>
        </w:rPr>
        <w:t>指南</w:t>
      </w:r>
      <w:r>
        <w:rPr>
          <w:rFonts w:hint="eastAsia" w:eastAsia="仿宋_GB2312"/>
          <w:color w:val="000000" w:themeColor="text1"/>
          <w:szCs w:val="32"/>
        </w:rPr>
        <w:t>》中</w:t>
      </w:r>
      <w:r>
        <w:rPr>
          <w:rFonts w:eastAsia="仿宋_GB2312"/>
          <w:color w:val="000000" w:themeColor="text1"/>
          <w:szCs w:val="32"/>
        </w:rPr>
        <w:t>在拟定的临床试验条件下疗效肯定的已上市</w:t>
      </w:r>
      <w:r>
        <w:rPr>
          <w:rFonts w:hint="eastAsia" w:eastAsia="仿宋_GB2312"/>
          <w:color w:val="000000" w:themeColor="text1"/>
          <w:szCs w:val="32"/>
        </w:rPr>
        <w:t>产品</w:t>
      </w:r>
      <w:r>
        <w:rPr>
          <w:rFonts w:eastAsia="仿宋_GB2312"/>
          <w:color w:val="000000" w:themeColor="text1"/>
          <w:szCs w:val="32"/>
        </w:rPr>
        <w:t>或公认的标准治疗方法作为对照组。</w:t>
      </w:r>
      <w:r>
        <w:rPr>
          <w:rFonts w:hint="eastAsia" w:eastAsia="仿宋_GB2312"/>
          <w:color w:val="000000" w:themeColor="text1"/>
          <w:szCs w:val="32"/>
        </w:rPr>
        <w:t>例如，近视可考虑使用</w:t>
      </w:r>
      <w:r>
        <w:rPr>
          <w:rFonts w:eastAsia="仿宋_GB2312"/>
          <w:color w:val="000000" w:themeColor="text1"/>
          <w:szCs w:val="32"/>
        </w:rPr>
        <w:t>同期</w:t>
      </w:r>
      <w:r>
        <w:rPr>
          <w:rFonts w:hint="eastAsia" w:eastAsia="仿宋_GB2312"/>
          <w:color w:val="000000" w:themeColor="text1"/>
          <w:szCs w:val="32"/>
        </w:rPr>
        <w:t>未接受近视防控的儿童做</w:t>
      </w:r>
      <w:r>
        <w:rPr>
          <w:rFonts w:eastAsia="仿宋_GB2312"/>
          <w:color w:val="000000" w:themeColor="text1"/>
          <w:szCs w:val="32"/>
        </w:rPr>
        <w:t>对照，</w:t>
      </w:r>
      <w:r>
        <w:rPr>
          <w:rFonts w:hint="eastAsia" w:eastAsia="仿宋_GB2312"/>
          <w:color w:val="000000" w:themeColor="text1"/>
          <w:szCs w:val="32"/>
        </w:rPr>
        <w:t>弱视可考虑与现有弱视类型对应的</w:t>
      </w:r>
      <w:r>
        <w:rPr>
          <w:rFonts w:eastAsia="仿宋_GB2312"/>
          <w:color w:val="000000" w:themeColor="text1"/>
          <w:szCs w:val="32"/>
        </w:rPr>
        <w:t>标准治疗方法</w:t>
      </w:r>
      <w:r>
        <w:rPr>
          <w:rFonts w:hint="eastAsia" w:eastAsia="仿宋_GB2312"/>
          <w:color w:val="000000" w:themeColor="text1"/>
          <w:szCs w:val="32"/>
        </w:rPr>
        <w:t>进行对照。试验组和对照组的儿童均应处于相同的生长发育发展阶段，同时考虑不同年龄层次的疗效、视觉环境和生活习惯。</w:t>
      </w:r>
    </w:p>
    <w:p w14:paraId="229E64B5">
      <w:pPr>
        <w:spacing w:line="520" w:lineRule="exact"/>
        <w:ind w:firstLine="640" w:firstLineChars="200"/>
        <w:rPr>
          <w:rFonts w:eastAsia="仿宋_GB2312"/>
          <w:color w:val="000000" w:themeColor="text1"/>
          <w:szCs w:val="32"/>
        </w:rPr>
      </w:pPr>
      <w:r>
        <w:rPr>
          <w:rFonts w:hint="eastAsia" w:eastAsia="仿宋_GB2312"/>
          <w:color w:val="000000" w:themeColor="text1"/>
          <w:szCs w:val="32"/>
        </w:rPr>
        <w:t>3.</w:t>
      </w:r>
      <w:r>
        <w:rPr>
          <w:rFonts w:eastAsia="仿宋_GB2312"/>
          <w:color w:val="000000" w:themeColor="text1"/>
          <w:szCs w:val="32"/>
        </w:rPr>
        <w:t>3</w:t>
      </w:r>
      <w:r>
        <w:rPr>
          <w:rFonts w:hint="eastAsia" w:eastAsia="仿宋_GB2312"/>
          <w:color w:val="000000" w:themeColor="text1"/>
          <w:szCs w:val="32"/>
        </w:rPr>
        <w:t>入排标准</w:t>
      </w:r>
    </w:p>
    <w:p w14:paraId="1D8F4A5D">
      <w:pPr>
        <w:spacing w:line="520" w:lineRule="exact"/>
        <w:ind w:firstLine="640" w:firstLineChars="200"/>
        <w:rPr>
          <w:rFonts w:eastAsia="仿宋_GB2312"/>
          <w:color w:val="000000" w:themeColor="text1"/>
          <w:szCs w:val="32"/>
        </w:rPr>
      </w:pPr>
      <w:r>
        <w:rPr>
          <w:rFonts w:hint="eastAsia" w:eastAsia="仿宋_GB2312"/>
          <w:color w:val="000000" w:themeColor="text1"/>
          <w:szCs w:val="32"/>
        </w:rPr>
        <w:t>根据</w:t>
      </w:r>
      <w:bookmarkStart w:id="2" w:name="_Toc467328349"/>
      <w:r>
        <w:rPr>
          <w:rFonts w:hint="eastAsia" w:eastAsia="仿宋_GB2312"/>
          <w:color w:val="000000" w:themeColor="text1"/>
          <w:szCs w:val="32"/>
        </w:rPr>
        <w:t>产品</w:t>
      </w:r>
      <w:r>
        <w:rPr>
          <w:rFonts w:eastAsia="仿宋_GB2312"/>
          <w:color w:val="000000" w:themeColor="text1"/>
          <w:szCs w:val="32"/>
        </w:rPr>
        <w:t>预期的</w:t>
      </w:r>
      <w:r>
        <w:rPr>
          <w:rFonts w:hint="eastAsia" w:eastAsia="仿宋_GB2312"/>
          <w:color w:val="000000" w:themeColor="text1"/>
          <w:szCs w:val="32"/>
        </w:rPr>
        <w:t>适用范围确定恰当</w:t>
      </w:r>
      <w:r>
        <w:rPr>
          <w:rFonts w:eastAsia="仿宋_GB2312"/>
          <w:color w:val="000000" w:themeColor="text1"/>
          <w:szCs w:val="32"/>
        </w:rPr>
        <w:t>的</w:t>
      </w:r>
      <w:r>
        <w:rPr>
          <w:rFonts w:hint="eastAsia" w:eastAsia="仿宋_GB2312"/>
          <w:color w:val="000000" w:themeColor="text1"/>
          <w:szCs w:val="32"/>
        </w:rPr>
        <w:t>临床</w:t>
      </w:r>
      <w:r>
        <w:rPr>
          <w:rFonts w:eastAsia="仿宋_GB2312"/>
          <w:color w:val="000000" w:themeColor="text1"/>
          <w:szCs w:val="32"/>
        </w:rPr>
        <w:t>试验</w:t>
      </w:r>
      <w:r>
        <w:rPr>
          <w:rFonts w:hint="eastAsia" w:eastAsia="仿宋_GB2312"/>
          <w:color w:val="000000" w:themeColor="text1"/>
          <w:szCs w:val="32"/>
        </w:rPr>
        <w:t>人群入选、排除标准。</w:t>
      </w:r>
    </w:p>
    <w:p w14:paraId="5B99122C">
      <w:pPr>
        <w:spacing w:line="520" w:lineRule="exact"/>
        <w:ind w:firstLine="640" w:firstLineChars="200"/>
        <w:rPr>
          <w:rFonts w:eastAsia="仿宋_GB2312"/>
          <w:color w:val="000000" w:themeColor="text1"/>
          <w:szCs w:val="32"/>
        </w:rPr>
      </w:pPr>
      <w:r>
        <w:rPr>
          <w:rFonts w:eastAsia="仿宋_GB2312"/>
          <w:color w:val="000000" w:themeColor="text1"/>
          <w:szCs w:val="32"/>
        </w:rPr>
        <w:t>入选标准主要考虑受试对象对总体人群的代表性，</w:t>
      </w:r>
      <w:r>
        <w:rPr>
          <w:rFonts w:hint="eastAsia" w:eastAsia="仿宋_GB2312"/>
          <w:color w:val="000000" w:themeColor="text1"/>
          <w:szCs w:val="32"/>
        </w:rPr>
        <w:t>包括但不限于因素：</w:t>
      </w:r>
    </w:p>
    <w:p w14:paraId="64B69612">
      <w:pPr>
        <w:spacing w:line="520" w:lineRule="exact"/>
        <w:ind w:firstLine="640" w:firstLineChars="200"/>
        <w:rPr>
          <w:rFonts w:eastAsia="仿宋_GB2312"/>
          <w:color w:val="000000" w:themeColor="text1"/>
          <w:szCs w:val="32"/>
        </w:rPr>
      </w:pPr>
      <w:r>
        <w:rPr>
          <w:rFonts w:hint="eastAsia" w:eastAsia="仿宋_GB2312"/>
          <w:color w:val="000000" w:themeColor="text1"/>
          <w:szCs w:val="32"/>
        </w:rPr>
        <w:t>对传统防控方式不敏感的快速进展的轴性单纯性近视/对传统治疗方法不敏感的弱视患者；</w:t>
      </w:r>
    </w:p>
    <w:p w14:paraId="199EDB78">
      <w:pPr>
        <w:spacing w:line="520" w:lineRule="exact"/>
        <w:ind w:firstLine="640" w:firstLineChars="200"/>
        <w:rPr>
          <w:rFonts w:eastAsia="仿宋_GB2312"/>
          <w:color w:val="000000" w:themeColor="text1"/>
          <w:szCs w:val="32"/>
        </w:rPr>
      </w:pPr>
      <w:r>
        <w:rPr>
          <w:rFonts w:hint="eastAsia" w:eastAsia="仿宋_GB2312"/>
          <w:color w:val="000000" w:themeColor="text1"/>
          <w:szCs w:val="32"/>
        </w:rPr>
        <w:t>明确具体入组人群的近视/弱视的具体适应症（包括疾病类型、程度等）；</w:t>
      </w:r>
      <w:r>
        <w:rPr>
          <w:rFonts w:eastAsia="仿宋_GB2312"/>
          <w:color w:val="000000" w:themeColor="text1"/>
          <w:szCs w:val="32"/>
        </w:rPr>
        <w:t xml:space="preserve"> </w:t>
      </w:r>
    </w:p>
    <w:p w14:paraId="7933574F">
      <w:pPr>
        <w:spacing w:line="520" w:lineRule="exact"/>
        <w:ind w:firstLine="640" w:firstLineChars="200"/>
        <w:rPr>
          <w:rFonts w:eastAsia="仿宋_GB2312"/>
          <w:color w:val="000000" w:themeColor="text1"/>
          <w:szCs w:val="32"/>
        </w:rPr>
      </w:pPr>
      <w:r>
        <w:rPr>
          <w:rFonts w:hint="eastAsia" w:eastAsia="仿宋_GB2312"/>
          <w:color w:val="000000" w:themeColor="text1"/>
          <w:szCs w:val="32"/>
        </w:rPr>
        <w:t>明确年龄阶段，如近视</w:t>
      </w:r>
      <w:r>
        <w:rPr>
          <w:rFonts w:eastAsia="仿宋_GB2312"/>
          <w:color w:val="000000" w:themeColor="text1"/>
          <w:szCs w:val="32"/>
        </w:rPr>
        <w:t>8</w:t>
      </w:r>
      <w:r>
        <w:rPr>
          <w:rFonts w:hint="eastAsia" w:eastAsia="仿宋_GB2312"/>
          <w:color w:val="000000" w:themeColor="text1"/>
          <w:szCs w:val="32"/>
        </w:rPr>
        <w:t>-16岁，弱视3-6岁；</w:t>
      </w:r>
    </w:p>
    <w:p w14:paraId="45717A19">
      <w:pPr>
        <w:spacing w:line="520" w:lineRule="exact"/>
        <w:ind w:firstLine="640" w:firstLineChars="200"/>
        <w:rPr>
          <w:rFonts w:eastAsia="仿宋_GB2312"/>
          <w:color w:val="000000" w:themeColor="text1"/>
          <w:szCs w:val="32"/>
        </w:rPr>
      </w:pPr>
      <w:r>
        <w:rPr>
          <w:rFonts w:hint="eastAsia" w:eastAsia="仿宋_GB2312"/>
          <w:color w:val="000000" w:themeColor="text1"/>
          <w:szCs w:val="32"/>
        </w:rPr>
        <w:t>明确眼部屈光状况要求的具体条件；</w:t>
      </w:r>
    </w:p>
    <w:p w14:paraId="1DED932D">
      <w:pPr>
        <w:spacing w:line="520" w:lineRule="exact"/>
        <w:ind w:firstLine="640" w:firstLineChars="200"/>
        <w:rPr>
          <w:rFonts w:eastAsia="仿宋_GB2312"/>
          <w:color w:val="000000" w:themeColor="text1"/>
          <w:szCs w:val="32"/>
        </w:rPr>
      </w:pPr>
      <w:r>
        <w:rPr>
          <w:rFonts w:hint="eastAsia" w:eastAsia="仿宋_GB2312"/>
          <w:color w:val="000000" w:themeColor="text1"/>
          <w:szCs w:val="32"/>
        </w:rPr>
        <w:t>明确应双眼入组。</w:t>
      </w:r>
    </w:p>
    <w:p w14:paraId="6A509D8C">
      <w:pPr>
        <w:spacing w:line="520" w:lineRule="exact"/>
        <w:ind w:firstLine="640" w:firstLineChars="200"/>
        <w:rPr>
          <w:rFonts w:eastAsia="仿宋_GB2312"/>
          <w:color w:val="000000" w:themeColor="text1"/>
          <w:szCs w:val="32"/>
        </w:rPr>
      </w:pPr>
      <w:r>
        <w:rPr>
          <w:rFonts w:hint="eastAsia" w:eastAsia="仿宋_GB2312"/>
          <w:color w:val="000000" w:themeColor="text1"/>
          <w:szCs w:val="32"/>
        </w:rPr>
        <w:t>排除标准包括但不限于：</w:t>
      </w:r>
    </w:p>
    <w:p w14:paraId="4A16D7C2">
      <w:pPr>
        <w:spacing w:line="520" w:lineRule="exact"/>
        <w:ind w:firstLine="640" w:firstLineChars="200"/>
        <w:rPr>
          <w:rFonts w:eastAsia="仿宋_GB2312"/>
          <w:color w:val="000000" w:themeColor="text1"/>
          <w:szCs w:val="32"/>
        </w:rPr>
      </w:pPr>
      <w:r>
        <w:rPr>
          <w:rFonts w:hint="eastAsia" w:eastAsia="仿宋_GB2312"/>
          <w:color w:val="000000" w:themeColor="text1"/>
          <w:szCs w:val="32"/>
        </w:rPr>
        <w:t>（1）除近视/弱视外，有相关现症眼部疾病，包括但不限于：色盲和色弱、光过敏史、眼表疾病、角膜疾病、白内障、葡萄膜炎、玻璃体视网膜疾病（尤其是黄斑疾病、视网膜色素变性、先天性静止性夜盲等）、视神经疾病等。</w:t>
      </w:r>
    </w:p>
    <w:p w14:paraId="0A38F0BD">
      <w:pPr>
        <w:spacing w:line="520" w:lineRule="exact"/>
        <w:ind w:firstLine="640" w:firstLineChars="200"/>
        <w:rPr>
          <w:rFonts w:eastAsia="仿宋_GB2312"/>
          <w:color w:val="000000" w:themeColor="text1"/>
          <w:szCs w:val="32"/>
        </w:rPr>
      </w:pPr>
      <w:r>
        <w:rPr>
          <w:rFonts w:hint="eastAsia" w:eastAsia="仿宋_GB2312"/>
          <w:color w:val="000000" w:themeColor="text1"/>
          <w:szCs w:val="32"/>
        </w:rPr>
        <w:t>（</w:t>
      </w:r>
      <w:r>
        <w:rPr>
          <w:rFonts w:eastAsia="仿宋_GB2312"/>
          <w:color w:val="000000" w:themeColor="text1"/>
          <w:szCs w:val="32"/>
        </w:rPr>
        <w:t>2</w:t>
      </w:r>
      <w:r>
        <w:rPr>
          <w:rFonts w:hint="eastAsia" w:eastAsia="仿宋_GB2312"/>
          <w:color w:val="000000" w:themeColor="text1"/>
          <w:szCs w:val="32"/>
        </w:rPr>
        <w:t>）存在全身性疾病，包括但不限于：自身免疫性疾病（包括红斑狼疮、皮肌炎、干燥综合征、银屑病等）、高血压、糖尿病、白化病；神经系统疾病，例如既往惊厥病史、中枢神经系统发育不完善、癫痫、精神心理疾病等。</w:t>
      </w:r>
    </w:p>
    <w:p w14:paraId="395B0DDA">
      <w:pPr>
        <w:spacing w:line="520" w:lineRule="exact"/>
        <w:ind w:firstLine="640" w:firstLineChars="200"/>
        <w:rPr>
          <w:rFonts w:eastAsia="仿宋_GB2312"/>
          <w:color w:val="000000" w:themeColor="text1"/>
          <w:szCs w:val="32"/>
        </w:rPr>
      </w:pPr>
      <w:r>
        <w:rPr>
          <w:rFonts w:hint="eastAsia" w:eastAsia="仿宋_GB2312"/>
          <w:color w:val="000000" w:themeColor="text1"/>
          <w:szCs w:val="32"/>
        </w:rPr>
        <w:t>（</w:t>
      </w:r>
      <w:r>
        <w:rPr>
          <w:rFonts w:eastAsia="仿宋_GB2312"/>
          <w:color w:val="000000" w:themeColor="text1"/>
          <w:szCs w:val="32"/>
        </w:rPr>
        <w:t>3</w:t>
      </w:r>
      <w:r>
        <w:rPr>
          <w:rFonts w:hint="eastAsia" w:eastAsia="仿宋_GB2312"/>
          <w:color w:val="000000" w:themeColor="text1"/>
          <w:szCs w:val="32"/>
        </w:rPr>
        <w:t>）光感受器细胞密度异常。</w:t>
      </w:r>
    </w:p>
    <w:p w14:paraId="6CC276A4">
      <w:pPr>
        <w:spacing w:line="520" w:lineRule="exact"/>
        <w:ind w:firstLine="640" w:firstLineChars="200"/>
        <w:rPr>
          <w:rFonts w:eastAsia="仿宋_GB2312"/>
          <w:color w:val="000000" w:themeColor="text1"/>
          <w:szCs w:val="32"/>
        </w:rPr>
      </w:pPr>
      <w:r>
        <w:rPr>
          <w:rFonts w:hint="eastAsia" w:eastAsia="仿宋_GB2312"/>
          <w:color w:val="000000" w:themeColor="text1"/>
          <w:szCs w:val="32"/>
        </w:rPr>
        <w:t>（</w:t>
      </w:r>
      <w:r>
        <w:rPr>
          <w:rFonts w:eastAsia="仿宋_GB2312"/>
          <w:color w:val="000000" w:themeColor="text1"/>
          <w:szCs w:val="32"/>
        </w:rPr>
        <w:t>4</w:t>
      </w:r>
      <w:r>
        <w:rPr>
          <w:rFonts w:hint="eastAsia" w:eastAsia="仿宋_GB2312"/>
          <w:color w:val="000000" w:themeColor="text1"/>
          <w:szCs w:val="32"/>
        </w:rPr>
        <w:t>）正在使用低浓度阿托品滴眼液点眼进行近视控制或应用睫状肌麻痹剂进行验光检查的</w:t>
      </w:r>
      <w:r>
        <w:rPr>
          <w:rFonts w:eastAsia="仿宋_GB2312"/>
          <w:color w:val="000000" w:themeColor="text1"/>
          <w:szCs w:val="32"/>
        </w:rPr>
        <w:t>患者</w:t>
      </w:r>
      <w:r>
        <w:rPr>
          <w:rFonts w:hint="eastAsia" w:eastAsia="仿宋_GB2312"/>
          <w:color w:val="000000" w:themeColor="text1"/>
          <w:szCs w:val="32"/>
        </w:rPr>
        <w:t>。</w:t>
      </w:r>
    </w:p>
    <w:p w14:paraId="37BD866C">
      <w:pPr>
        <w:spacing w:line="520" w:lineRule="exact"/>
        <w:ind w:firstLine="640" w:firstLineChars="200"/>
        <w:rPr>
          <w:rFonts w:eastAsia="仿宋_GB2312"/>
          <w:color w:val="000000" w:themeColor="text1"/>
          <w:szCs w:val="32"/>
        </w:rPr>
      </w:pPr>
      <w:r>
        <w:rPr>
          <w:rFonts w:hint="eastAsia" w:eastAsia="仿宋_GB2312"/>
          <w:color w:val="000000" w:themeColor="text1"/>
          <w:szCs w:val="32"/>
        </w:rPr>
        <w:t>（</w:t>
      </w:r>
      <w:r>
        <w:rPr>
          <w:rFonts w:eastAsia="仿宋_GB2312"/>
          <w:color w:val="000000" w:themeColor="text1"/>
          <w:szCs w:val="32"/>
        </w:rPr>
        <w:t>5</w:t>
      </w:r>
      <w:r>
        <w:rPr>
          <w:rFonts w:hint="eastAsia" w:eastAsia="仿宋_GB2312"/>
          <w:color w:val="000000" w:themeColor="text1"/>
          <w:szCs w:val="32"/>
        </w:rPr>
        <w:t>）病理性近视。</w:t>
      </w:r>
    </w:p>
    <w:p w14:paraId="3F1DAAA1">
      <w:pPr>
        <w:spacing w:line="520" w:lineRule="exact"/>
        <w:ind w:firstLine="640" w:firstLineChars="200"/>
        <w:rPr>
          <w:rFonts w:eastAsia="仿宋_GB2312"/>
          <w:color w:val="000000" w:themeColor="text1"/>
          <w:szCs w:val="32"/>
        </w:rPr>
      </w:pPr>
      <w:r>
        <w:rPr>
          <w:rFonts w:hint="eastAsia" w:eastAsia="仿宋_GB2312"/>
          <w:color w:val="000000" w:themeColor="text1"/>
          <w:szCs w:val="32"/>
        </w:rPr>
        <w:t>（</w:t>
      </w:r>
      <w:r>
        <w:rPr>
          <w:rFonts w:eastAsia="仿宋_GB2312"/>
          <w:color w:val="000000" w:themeColor="text1"/>
          <w:szCs w:val="32"/>
        </w:rPr>
        <w:t>6</w:t>
      </w:r>
      <w:r>
        <w:rPr>
          <w:rFonts w:hint="eastAsia" w:eastAsia="仿宋_GB2312"/>
          <w:color w:val="000000" w:themeColor="text1"/>
          <w:szCs w:val="32"/>
        </w:rPr>
        <w:t>）其他临床医生认为不适合的情形。</w:t>
      </w:r>
    </w:p>
    <w:bookmarkEnd w:id="2"/>
    <w:p w14:paraId="7D1C0B61">
      <w:pPr>
        <w:spacing w:line="520" w:lineRule="exact"/>
        <w:ind w:firstLine="640" w:firstLineChars="200"/>
        <w:rPr>
          <w:rFonts w:eastAsia="仿宋_GB2312"/>
          <w:color w:val="000000" w:themeColor="text1"/>
          <w:szCs w:val="32"/>
        </w:rPr>
      </w:pPr>
      <w:r>
        <w:rPr>
          <w:rFonts w:hint="eastAsia" w:eastAsia="仿宋_GB2312"/>
          <w:color w:val="000000" w:themeColor="text1"/>
          <w:szCs w:val="32"/>
        </w:rPr>
        <w:t>3.</w:t>
      </w:r>
      <w:r>
        <w:rPr>
          <w:rFonts w:eastAsia="仿宋_GB2312"/>
          <w:color w:val="000000" w:themeColor="text1"/>
          <w:szCs w:val="32"/>
        </w:rPr>
        <w:t>4</w:t>
      </w:r>
      <w:r>
        <w:rPr>
          <w:rFonts w:hint="eastAsia" w:eastAsia="仿宋_GB2312"/>
          <w:color w:val="000000" w:themeColor="text1"/>
          <w:szCs w:val="32"/>
        </w:rPr>
        <w:t>评价指标</w:t>
      </w:r>
    </w:p>
    <w:p w14:paraId="72A07206">
      <w:pPr>
        <w:spacing w:line="520" w:lineRule="exact"/>
        <w:ind w:firstLine="640" w:firstLineChars="200"/>
        <w:rPr>
          <w:rFonts w:eastAsia="仿宋_GB2312"/>
          <w:color w:val="000000" w:themeColor="text1"/>
          <w:szCs w:val="32"/>
        </w:rPr>
      </w:pPr>
      <w:r>
        <w:rPr>
          <w:rFonts w:hint="eastAsia" w:eastAsia="仿宋_GB2312"/>
          <w:color w:val="000000" w:themeColor="text1"/>
          <w:szCs w:val="32"/>
        </w:rPr>
        <w:t>临床评价指标需符合临床常规诊疗认识，临床试验方案需对各项评价指标进行明确定义并提供确定依据</w:t>
      </w:r>
      <w:bookmarkStart w:id="3" w:name="OLE_LINK1"/>
      <w:r>
        <w:rPr>
          <w:rFonts w:hint="eastAsia" w:eastAsia="仿宋_GB2312"/>
          <w:color w:val="000000" w:themeColor="text1"/>
          <w:szCs w:val="32"/>
        </w:rPr>
        <w:t>。</w:t>
      </w:r>
      <w:r>
        <w:rPr>
          <w:rFonts w:hint="eastAsia"/>
          <w:color w:val="000000" w:themeColor="text1"/>
        </w:rPr>
        <w:t>主要评价指标</w:t>
      </w:r>
      <w:bookmarkEnd w:id="3"/>
      <w:r>
        <w:rPr>
          <w:rFonts w:hint="eastAsia"/>
          <w:color w:val="000000" w:themeColor="text1"/>
        </w:rPr>
        <w:t>包括</w:t>
      </w:r>
      <w:r>
        <w:rPr>
          <w:color w:val="000000" w:themeColor="text1"/>
        </w:rPr>
        <w:t>安全性评价指标、有效性评价指标</w:t>
      </w:r>
      <w:r>
        <w:rPr>
          <w:rFonts w:hint="eastAsia"/>
          <w:color w:val="000000" w:themeColor="text1"/>
        </w:rPr>
        <w:t>，</w:t>
      </w:r>
      <w:r>
        <w:rPr>
          <w:rFonts w:hint="eastAsia" w:eastAsia="仿宋_GB2312"/>
          <w:color w:val="000000" w:themeColor="text1"/>
          <w:szCs w:val="32"/>
        </w:rPr>
        <w:t>并体现近视/弱视控制效果稳定且可持续。</w:t>
      </w:r>
    </w:p>
    <w:p w14:paraId="2DFA51C8">
      <w:pPr>
        <w:spacing w:line="520" w:lineRule="exact"/>
        <w:ind w:firstLine="640" w:firstLineChars="200"/>
        <w:rPr>
          <w:rFonts w:eastAsia="仿宋_GB2312"/>
          <w:color w:val="000000" w:themeColor="text1"/>
          <w:szCs w:val="32"/>
        </w:rPr>
      </w:pPr>
      <w:r>
        <w:rPr>
          <w:rFonts w:hint="eastAsia" w:eastAsia="仿宋_GB2312"/>
          <w:color w:val="000000" w:themeColor="text1"/>
          <w:szCs w:val="32"/>
        </w:rPr>
        <w:t>近视</w:t>
      </w:r>
      <w:r>
        <w:rPr>
          <w:rFonts w:eastAsia="仿宋_GB2312"/>
          <w:color w:val="000000" w:themeColor="text1"/>
          <w:szCs w:val="32"/>
        </w:rPr>
        <w:t>/</w:t>
      </w:r>
      <w:r>
        <w:rPr>
          <w:rFonts w:hint="eastAsia" w:eastAsia="仿宋_GB2312"/>
          <w:color w:val="000000" w:themeColor="text1"/>
          <w:szCs w:val="32"/>
        </w:rPr>
        <w:t>弱视</w:t>
      </w:r>
      <w:r>
        <w:rPr>
          <w:rFonts w:eastAsia="仿宋_GB2312"/>
          <w:color w:val="000000" w:themeColor="text1"/>
          <w:szCs w:val="32"/>
        </w:rPr>
        <w:t>激光治疗仪</w:t>
      </w:r>
      <w:r>
        <w:rPr>
          <w:rFonts w:hint="eastAsia" w:eastAsia="仿宋_GB2312"/>
          <w:color w:val="000000" w:themeColor="text1"/>
          <w:szCs w:val="32"/>
        </w:rPr>
        <w:t>主要安全性指标包括</w:t>
      </w:r>
      <w:r>
        <w:rPr>
          <w:rFonts w:eastAsia="仿宋_GB2312"/>
          <w:color w:val="000000" w:themeColor="text1"/>
          <w:szCs w:val="32"/>
        </w:rPr>
        <w:t>但不限于：</w:t>
      </w:r>
      <w:r>
        <w:rPr>
          <w:rFonts w:hint="eastAsia" w:eastAsia="仿宋_GB2312"/>
          <w:color w:val="000000" w:themeColor="text1"/>
          <w:szCs w:val="32"/>
        </w:rPr>
        <w:t>3年时</w:t>
      </w:r>
      <w:r>
        <w:rPr>
          <w:rFonts w:eastAsia="仿宋_GB2312"/>
          <w:color w:val="000000" w:themeColor="text1"/>
          <w:szCs w:val="32"/>
        </w:rPr>
        <w:t>眼底损伤</w:t>
      </w:r>
      <w:r>
        <w:rPr>
          <w:rFonts w:hint="eastAsia" w:eastAsia="仿宋_GB2312"/>
          <w:color w:val="000000" w:themeColor="text1"/>
          <w:szCs w:val="32"/>
        </w:rPr>
        <w:t>发生率</w:t>
      </w:r>
      <w:r>
        <w:rPr>
          <w:rFonts w:eastAsia="仿宋_GB2312"/>
          <w:color w:val="000000" w:themeColor="text1"/>
          <w:szCs w:val="32"/>
        </w:rPr>
        <w:t>，眼底损伤</w:t>
      </w:r>
      <w:r>
        <w:rPr>
          <w:rFonts w:hint="eastAsia" w:eastAsia="仿宋_GB2312"/>
          <w:color w:val="000000" w:themeColor="text1"/>
          <w:szCs w:val="32"/>
        </w:rPr>
        <w:t>但不限于有无黄斑囊样水肿、</w:t>
      </w:r>
      <w:r>
        <w:rPr>
          <w:rFonts w:eastAsia="仿宋_GB2312"/>
          <w:color w:val="000000" w:themeColor="text1"/>
          <w:szCs w:val="32"/>
        </w:rPr>
        <w:t>黄斑区域损伤</w:t>
      </w:r>
      <w:r>
        <w:rPr>
          <w:rFonts w:hint="eastAsia" w:eastAsia="仿宋_GB2312"/>
          <w:color w:val="000000" w:themeColor="text1"/>
          <w:szCs w:val="32"/>
        </w:rPr>
        <w:t>（包括功能性、形态学的改变）、视网膜损伤或脱离等。</w:t>
      </w:r>
    </w:p>
    <w:p w14:paraId="7449E321">
      <w:pPr>
        <w:spacing w:line="520" w:lineRule="exact"/>
        <w:ind w:firstLine="640" w:firstLineChars="200"/>
        <w:rPr>
          <w:rFonts w:eastAsia="仿宋_GB2312"/>
          <w:color w:val="000000" w:themeColor="text1"/>
          <w:szCs w:val="32"/>
        </w:rPr>
      </w:pPr>
      <w:r>
        <w:rPr>
          <w:rFonts w:hint="eastAsia" w:eastAsia="仿宋_GB2312"/>
          <w:color w:val="000000" w:themeColor="text1"/>
          <w:szCs w:val="32"/>
        </w:rPr>
        <w:t>近视激光治疗仪主要有效性评价指标包括但不限于：完成治疗时</w:t>
      </w:r>
      <w:r>
        <w:rPr>
          <w:rFonts w:eastAsia="仿宋_GB2312"/>
          <w:color w:val="000000" w:themeColor="text1"/>
          <w:szCs w:val="32"/>
        </w:rPr>
        <w:t>、以及治疗</w:t>
      </w:r>
      <w:r>
        <w:rPr>
          <w:rFonts w:hint="eastAsia" w:eastAsia="仿宋_GB2312"/>
          <w:color w:val="000000" w:themeColor="text1"/>
          <w:szCs w:val="32"/>
        </w:rPr>
        <w:t>后</w:t>
      </w:r>
      <w:r>
        <w:rPr>
          <w:rFonts w:eastAsia="仿宋_GB2312"/>
          <w:color w:val="000000" w:themeColor="text1"/>
          <w:szCs w:val="32"/>
        </w:rPr>
        <w:t>1年、2年、3年时近视进展情况，至少涵盖治疗前与随访时等效球镜屈光度变化和眼轴长度变化等。</w:t>
      </w:r>
    </w:p>
    <w:p w14:paraId="109385A7">
      <w:pPr>
        <w:spacing w:line="520" w:lineRule="exact"/>
        <w:ind w:firstLine="640" w:firstLineChars="200"/>
        <w:rPr>
          <w:rFonts w:eastAsia="仿宋_GB2312"/>
          <w:color w:val="000000" w:themeColor="text1"/>
          <w:szCs w:val="32"/>
        </w:rPr>
      </w:pPr>
      <w:r>
        <w:rPr>
          <w:rFonts w:hint="eastAsia" w:eastAsia="仿宋_GB2312"/>
          <w:color w:val="000000" w:themeColor="text1"/>
          <w:szCs w:val="32"/>
        </w:rPr>
        <w:t>弱视激光</w:t>
      </w:r>
      <w:r>
        <w:rPr>
          <w:rFonts w:eastAsia="仿宋_GB2312"/>
          <w:color w:val="000000" w:themeColor="text1"/>
          <w:szCs w:val="32"/>
        </w:rPr>
        <w:t>治疗仪</w:t>
      </w:r>
      <w:r>
        <w:rPr>
          <w:rFonts w:hint="eastAsia" w:eastAsia="仿宋_GB2312"/>
          <w:color w:val="000000" w:themeColor="text1"/>
          <w:szCs w:val="32"/>
        </w:rPr>
        <w:t>主要</w:t>
      </w:r>
      <w:r>
        <w:rPr>
          <w:rFonts w:eastAsia="仿宋_GB2312"/>
          <w:color w:val="000000" w:themeColor="text1"/>
          <w:szCs w:val="32"/>
        </w:rPr>
        <w:t>有效性</w:t>
      </w:r>
      <w:r>
        <w:rPr>
          <w:rFonts w:hint="eastAsia" w:eastAsia="仿宋_GB2312"/>
          <w:color w:val="000000" w:themeColor="text1"/>
          <w:szCs w:val="32"/>
        </w:rPr>
        <w:t>评价指标为完成</w:t>
      </w:r>
      <w:r>
        <w:rPr>
          <w:rFonts w:eastAsia="仿宋_GB2312"/>
          <w:color w:val="000000" w:themeColor="text1"/>
          <w:szCs w:val="32"/>
        </w:rPr>
        <w:t>治疗后</w:t>
      </w:r>
      <w:r>
        <w:rPr>
          <w:rFonts w:hint="eastAsia" w:eastAsia="仿宋_GB2312"/>
          <w:color w:val="000000" w:themeColor="text1"/>
          <w:szCs w:val="32"/>
        </w:rPr>
        <w:t>受试者弱视眼最佳矫正远视力与治疗前</w:t>
      </w:r>
      <w:r>
        <w:rPr>
          <w:rFonts w:eastAsia="仿宋_GB2312"/>
          <w:color w:val="000000" w:themeColor="text1"/>
          <w:szCs w:val="32"/>
        </w:rPr>
        <w:t>的</w:t>
      </w:r>
      <w:r>
        <w:rPr>
          <w:rFonts w:hint="eastAsia" w:eastAsia="仿宋_GB2312"/>
          <w:color w:val="000000" w:themeColor="text1"/>
          <w:szCs w:val="32"/>
        </w:rPr>
        <w:t>变化情况。</w:t>
      </w:r>
    </w:p>
    <w:p w14:paraId="201C5F98">
      <w:pPr>
        <w:spacing w:line="520" w:lineRule="exact"/>
        <w:ind w:firstLine="640" w:firstLineChars="200"/>
        <w:rPr>
          <w:rFonts w:eastAsia="仿宋_GB2312"/>
          <w:color w:val="000000" w:themeColor="text1"/>
          <w:szCs w:val="32"/>
        </w:rPr>
      </w:pPr>
      <w:r>
        <w:rPr>
          <w:rFonts w:hint="eastAsia" w:eastAsia="仿宋_GB2312"/>
          <w:color w:val="000000" w:themeColor="text1"/>
          <w:szCs w:val="32"/>
        </w:rPr>
        <w:t>近视</w:t>
      </w:r>
      <w:r>
        <w:rPr>
          <w:rFonts w:eastAsia="仿宋_GB2312"/>
          <w:color w:val="000000" w:themeColor="text1"/>
          <w:szCs w:val="32"/>
        </w:rPr>
        <w:t>/</w:t>
      </w:r>
      <w:r>
        <w:rPr>
          <w:rFonts w:hint="eastAsia" w:eastAsia="仿宋_GB2312"/>
          <w:color w:val="000000" w:themeColor="text1"/>
          <w:szCs w:val="32"/>
        </w:rPr>
        <w:t>弱视</w:t>
      </w:r>
      <w:r>
        <w:rPr>
          <w:rFonts w:eastAsia="仿宋_GB2312"/>
          <w:color w:val="000000" w:themeColor="text1"/>
          <w:szCs w:val="32"/>
        </w:rPr>
        <w:t>激光治疗仪</w:t>
      </w:r>
      <w:r>
        <w:rPr>
          <w:rFonts w:hint="eastAsia" w:eastAsia="仿宋_GB2312"/>
          <w:color w:val="000000" w:themeColor="text1"/>
          <w:szCs w:val="32"/>
        </w:rPr>
        <w:t>次要评价指标包括但不限于：</w:t>
      </w:r>
    </w:p>
    <w:p w14:paraId="2F01FFC7">
      <w:pPr>
        <w:spacing w:line="520" w:lineRule="exact"/>
        <w:ind w:firstLine="640" w:firstLineChars="200"/>
        <w:rPr>
          <w:rFonts w:eastAsia="仿宋_GB2312"/>
          <w:color w:val="000000" w:themeColor="text1"/>
          <w:szCs w:val="32"/>
        </w:rPr>
      </w:pPr>
      <w:r>
        <w:rPr>
          <w:rFonts w:hint="eastAsia" w:eastAsia="仿宋_GB2312"/>
          <w:color w:val="000000" w:themeColor="text1"/>
          <w:szCs w:val="32"/>
        </w:rPr>
        <w:t>（1）视觉质量评估、视力（裸眼视力、矫正视力）、主觉</w:t>
      </w:r>
      <w:r>
        <w:rPr>
          <w:rFonts w:eastAsia="仿宋_GB2312"/>
          <w:color w:val="000000" w:themeColor="text1"/>
          <w:szCs w:val="32"/>
        </w:rPr>
        <w:t>和验光</w:t>
      </w:r>
      <w:r>
        <w:rPr>
          <w:rFonts w:hint="eastAsia" w:eastAsia="仿宋_GB2312"/>
          <w:color w:val="000000" w:themeColor="text1"/>
          <w:szCs w:val="32"/>
        </w:rPr>
        <w:t>屈光度、视网膜电生理、视野、三级视功能（同时视、融合视、立体视）、眼底光感受器细胞密度变化、中心视野、微视野</w:t>
      </w:r>
      <w:r>
        <w:rPr>
          <w:rFonts w:eastAsia="仿宋_GB2312"/>
          <w:color w:val="000000" w:themeColor="text1"/>
          <w:szCs w:val="32"/>
        </w:rPr>
        <w:t>等</w:t>
      </w:r>
      <w:r>
        <w:rPr>
          <w:rFonts w:hint="eastAsia" w:eastAsia="仿宋_GB2312"/>
          <w:color w:val="000000" w:themeColor="text1"/>
          <w:szCs w:val="32"/>
        </w:rPr>
        <w:t>；</w:t>
      </w:r>
    </w:p>
    <w:p w14:paraId="7E93BBEF">
      <w:pPr>
        <w:spacing w:line="520" w:lineRule="exact"/>
        <w:ind w:firstLine="640" w:firstLineChars="200"/>
        <w:rPr>
          <w:rFonts w:eastAsia="仿宋_GB2312"/>
          <w:color w:val="000000" w:themeColor="text1"/>
          <w:szCs w:val="32"/>
        </w:rPr>
      </w:pPr>
      <w:r>
        <w:rPr>
          <w:rFonts w:hint="eastAsia" w:eastAsia="仿宋_GB2312"/>
          <w:color w:val="000000" w:themeColor="text1"/>
          <w:szCs w:val="32"/>
        </w:rPr>
        <w:t>（2）眼轴长度、角膜曲率、眼压、眼位（弱视适用）、泪膜破裂时间、泪液分泌试验、</w:t>
      </w:r>
    </w:p>
    <w:p w14:paraId="279F8621">
      <w:pPr>
        <w:spacing w:line="520" w:lineRule="exact"/>
        <w:ind w:firstLine="640" w:firstLineChars="200"/>
        <w:rPr>
          <w:rFonts w:eastAsia="仿宋_GB2312"/>
          <w:color w:val="000000" w:themeColor="text1"/>
          <w:szCs w:val="32"/>
        </w:rPr>
      </w:pPr>
      <w:r>
        <w:rPr>
          <w:rFonts w:hint="eastAsia" w:eastAsia="仿宋_GB2312"/>
          <w:color w:val="000000" w:themeColor="text1"/>
          <w:szCs w:val="32"/>
        </w:rPr>
        <w:t>（3）裂隙灯检查</w:t>
      </w:r>
      <w:r>
        <w:rPr>
          <w:rFonts w:eastAsia="仿宋_GB2312"/>
          <w:color w:val="000000" w:themeColor="text1"/>
          <w:szCs w:val="32"/>
        </w:rPr>
        <w:t>及角膜内皮细胞计数</w:t>
      </w:r>
      <w:r>
        <w:rPr>
          <w:rFonts w:hint="eastAsia" w:eastAsia="仿宋_GB2312"/>
          <w:color w:val="000000" w:themeColor="text1"/>
          <w:szCs w:val="32"/>
        </w:rPr>
        <w:t>；</w:t>
      </w:r>
      <w:r>
        <w:rPr>
          <w:rFonts w:eastAsia="仿宋_GB2312"/>
          <w:color w:val="000000" w:themeColor="text1"/>
          <w:szCs w:val="32"/>
        </w:rPr>
        <w:t xml:space="preserve">  </w:t>
      </w:r>
    </w:p>
    <w:p w14:paraId="5C734AD7">
      <w:pPr>
        <w:spacing w:line="520" w:lineRule="exact"/>
        <w:ind w:firstLine="640" w:firstLineChars="200"/>
        <w:rPr>
          <w:rFonts w:eastAsia="仿宋_GB2312"/>
          <w:color w:val="000000" w:themeColor="text1"/>
          <w:szCs w:val="32"/>
        </w:rPr>
      </w:pPr>
      <w:r>
        <w:rPr>
          <w:rFonts w:hint="eastAsia" w:eastAsia="仿宋_GB2312"/>
          <w:color w:val="000000" w:themeColor="text1"/>
          <w:szCs w:val="32"/>
        </w:rPr>
        <w:t>（4）不良事件应报告但</w:t>
      </w:r>
      <w:r>
        <w:rPr>
          <w:rFonts w:eastAsia="仿宋_GB2312"/>
          <w:color w:val="000000" w:themeColor="text1"/>
          <w:szCs w:val="32"/>
        </w:rPr>
        <w:t>不</w:t>
      </w:r>
      <w:r>
        <w:rPr>
          <w:rFonts w:hint="eastAsia" w:eastAsia="仿宋_GB2312"/>
          <w:color w:val="000000" w:themeColor="text1"/>
          <w:szCs w:val="32"/>
        </w:rPr>
        <w:t>限于后像</w:t>
      </w:r>
      <w:r>
        <w:rPr>
          <w:rFonts w:eastAsia="仿宋_GB2312"/>
          <w:color w:val="000000" w:themeColor="text1"/>
          <w:szCs w:val="32"/>
        </w:rPr>
        <w:t>反应时长</w:t>
      </w:r>
      <w:r>
        <w:rPr>
          <w:rFonts w:hint="eastAsia" w:eastAsia="仿宋_GB2312"/>
          <w:color w:val="000000" w:themeColor="text1"/>
          <w:szCs w:val="32"/>
        </w:rPr>
        <w:t>（使用</w:t>
      </w:r>
      <w:r>
        <w:rPr>
          <w:rFonts w:eastAsia="仿宋_GB2312"/>
          <w:color w:val="000000" w:themeColor="text1"/>
          <w:szCs w:val="32"/>
        </w:rPr>
        <w:t>后眼前</w:t>
      </w:r>
      <w:r>
        <w:rPr>
          <w:rFonts w:hint="eastAsia" w:eastAsia="仿宋_GB2312"/>
          <w:color w:val="000000" w:themeColor="text1"/>
          <w:szCs w:val="32"/>
        </w:rPr>
        <w:t>有</w:t>
      </w:r>
      <w:r>
        <w:rPr>
          <w:rFonts w:eastAsia="仿宋_GB2312"/>
          <w:color w:val="000000" w:themeColor="text1"/>
          <w:szCs w:val="32"/>
        </w:rPr>
        <w:t>彩色光圈</w:t>
      </w:r>
      <w:r>
        <w:rPr>
          <w:rFonts w:hint="eastAsia" w:eastAsia="仿宋_GB2312"/>
          <w:color w:val="000000" w:themeColor="text1"/>
          <w:szCs w:val="32"/>
        </w:rPr>
        <w:t>）、短期视力严重下降、持续眼前光晕、暗点、任何视网膜结构损伤或视网膜电生理、视野、对比敏感度或色觉的改变、椭圆体带断裂，远期视网膜黄斑区域变性及不可逆损伤以及诱发精神类疾病如癫痫等情况，需完整记录后续处理措施、患者转归，分析评价不良事件是否与申报产品相关</w:t>
      </w:r>
      <w:r>
        <w:rPr>
          <w:rFonts w:eastAsia="仿宋_GB2312"/>
          <w:color w:val="000000" w:themeColor="text1"/>
          <w:szCs w:val="32"/>
        </w:rPr>
        <w:t>，</w:t>
      </w:r>
      <w:r>
        <w:rPr>
          <w:rFonts w:hint="eastAsia" w:eastAsia="仿宋_GB2312"/>
          <w:color w:val="000000" w:themeColor="text1"/>
          <w:szCs w:val="32"/>
        </w:rPr>
        <w:t>不良事件发生率是否可接受；</w:t>
      </w:r>
    </w:p>
    <w:p w14:paraId="482ADC0B">
      <w:pPr>
        <w:spacing w:line="520" w:lineRule="exact"/>
        <w:ind w:firstLine="640" w:firstLineChars="200"/>
        <w:rPr>
          <w:rFonts w:eastAsia="仿宋_GB2312"/>
          <w:color w:val="000000" w:themeColor="text1"/>
          <w:szCs w:val="32"/>
        </w:rPr>
      </w:pPr>
      <w:r>
        <w:rPr>
          <w:rFonts w:hint="eastAsia" w:eastAsia="仿宋_GB2312"/>
          <w:color w:val="000000" w:themeColor="text1"/>
          <w:szCs w:val="32"/>
        </w:rPr>
        <w:t>（</w:t>
      </w:r>
      <w:r>
        <w:rPr>
          <w:rFonts w:eastAsia="仿宋_GB2312"/>
          <w:color w:val="000000" w:themeColor="text1"/>
          <w:szCs w:val="32"/>
        </w:rPr>
        <w:t>5</w:t>
      </w:r>
      <w:r>
        <w:rPr>
          <w:rFonts w:hint="eastAsia" w:eastAsia="仿宋_GB2312"/>
          <w:color w:val="000000" w:themeColor="text1"/>
          <w:szCs w:val="32"/>
        </w:rPr>
        <w:t>）器械使用时间、使用频次、使用疗程、器械缺陷、</w:t>
      </w:r>
      <w:r>
        <w:rPr>
          <w:rFonts w:eastAsia="仿宋_GB2312"/>
          <w:color w:val="000000" w:themeColor="text1"/>
          <w:szCs w:val="32"/>
        </w:rPr>
        <w:t>患者</w:t>
      </w:r>
      <w:r>
        <w:rPr>
          <w:rFonts w:hint="eastAsia" w:eastAsia="仿宋_GB2312"/>
          <w:color w:val="000000" w:themeColor="text1"/>
          <w:szCs w:val="32"/>
        </w:rPr>
        <w:t>依从性等；</w:t>
      </w:r>
    </w:p>
    <w:p w14:paraId="6C57478B">
      <w:pPr>
        <w:spacing w:line="520" w:lineRule="exact"/>
        <w:ind w:firstLine="640" w:firstLineChars="200"/>
        <w:rPr>
          <w:rFonts w:eastAsia="仿宋_GB2312"/>
          <w:color w:val="000000" w:themeColor="text1"/>
          <w:szCs w:val="32"/>
        </w:rPr>
      </w:pPr>
      <w:bookmarkStart w:id="4" w:name="_Toc8171"/>
      <w:bookmarkStart w:id="5" w:name="_Toc467328356"/>
      <w:r>
        <w:rPr>
          <w:rFonts w:hint="eastAsia" w:eastAsia="仿宋_GB2312"/>
          <w:color w:val="000000" w:themeColor="text1"/>
          <w:szCs w:val="32"/>
        </w:rPr>
        <w:t>评价指标中涉及视网膜（尤其是黄斑区）长期功能性、形态学、隐匿损伤等相关数据的检查应采用有效评估手段，包括黄斑部</w:t>
      </w:r>
      <w:r>
        <w:rPr>
          <w:rFonts w:eastAsia="仿宋_GB2312"/>
          <w:color w:val="000000" w:themeColor="text1"/>
          <w:szCs w:val="32"/>
        </w:rPr>
        <w:t>OCT</w:t>
      </w:r>
      <w:r>
        <w:rPr>
          <w:rFonts w:hint="eastAsia" w:eastAsia="仿宋_GB2312"/>
          <w:color w:val="000000" w:themeColor="text1"/>
          <w:szCs w:val="32"/>
        </w:rPr>
        <w:t>影像/黄斑部光相干断层扫描血管成像（</w:t>
      </w:r>
      <w:r>
        <w:rPr>
          <w:rFonts w:eastAsia="仿宋_GB2312"/>
          <w:color w:val="000000" w:themeColor="text1"/>
          <w:szCs w:val="32"/>
        </w:rPr>
        <w:t>OCTA）</w:t>
      </w:r>
      <w:r>
        <w:rPr>
          <w:rFonts w:hint="eastAsia" w:eastAsia="仿宋_GB2312"/>
          <w:color w:val="000000" w:themeColor="text1"/>
          <w:szCs w:val="32"/>
        </w:rPr>
        <w:t>、微视野检测以及mERG（多焦视网膜电图）测量、眼底感光细胞密度的观测、眼底彩照等，并建立试验入组人群的眼屈光发育档案，定期检查视力、屈光度、眼轴长度、角膜曲率和眼底情况等。</w:t>
      </w:r>
    </w:p>
    <w:bookmarkEnd w:id="4"/>
    <w:bookmarkEnd w:id="5"/>
    <w:p w14:paraId="3A1BC925">
      <w:pPr>
        <w:spacing w:line="520" w:lineRule="exact"/>
        <w:ind w:firstLine="640" w:firstLineChars="200"/>
        <w:rPr>
          <w:rFonts w:eastAsia="仿宋_GB2312"/>
          <w:color w:val="000000" w:themeColor="text1"/>
          <w:szCs w:val="32"/>
        </w:rPr>
      </w:pPr>
      <w:r>
        <w:rPr>
          <w:rFonts w:hint="eastAsia" w:eastAsia="仿宋_GB2312"/>
          <w:color w:val="000000" w:themeColor="text1"/>
          <w:szCs w:val="32"/>
        </w:rPr>
        <w:t>3.</w:t>
      </w:r>
      <w:r>
        <w:rPr>
          <w:rFonts w:eastAsia="仿宋_GB2312"/>
          <w:color w:val="000000" w:themeColor="text1"/>
          <w:szCs w:val="32"/>
        </w:rPr>
        <w:t>5</w:t>
      </w:r>
      <w:r>
        <w:rPr>
          <w:rFonts w:hint="eastAsia" w:eastAsia="仿宋_GB2312"/>
          <w:color w:val="000000" w:themeColor="text1"/>
          <w:szCs w:val="32"/>
        </w:rPr>
        <w:t>临床试验样本量计算</w:t>
      </w:r>
    </w:p>
    <w:p w14:paraId="33B8AEBE">
      <w:pPr>
        <w:spacing w:line="520" w:lineRule="exact"/>
        <w:ind w:firstLine="640" w:firstLineChars="200"/>
        <w:rPr>
          <w:rFonts w:eastAsia="仿宋_GB2312"/>
          <w:color w:val="000000" w:themeColor="text1"/>
          <w:szCs w:val="32"/>
        </w:rPr>
      </w:pPr>
      <w:r>
        <w:rPr>
          <w:rFonts w:hint="eastAsia" w:eastAsia="仿宋_GB2312"/>
          <w:color w:val="000000" w:themeColor="text1"/>
          <w:szCs w:val="32"/>
        </w:rPr>
        <w:t>样本量应分别基于</w:t>
      </w:r>
      <w:r>
        <w:rPr>
          <w:rFonts w:eastAsia="仿宋_GB2312"/>
          <w:color w:val="000000" w:themeColor="text1"/>
          <w:szCs w:val="32"/>
        </w:rPr>
        <w:t>主要</w:t>
      </w:r>
      <w:r>
        <w:rPr>
          <w:rFonts w:hint="eastAsia" w:eastAsia="仿宋_GB2312"/>
          <w:color w:val="000000" w:themeColor="text1"/>
          <w:szCs w:val="32"/>
        </w:rPr>
        <w:t>有效性、主要</w:t>
      </w:r>
      <w:r>
        <w:rPr>
          <w:rFonts w:eastAsia="仿宋_GB2312"/>
          <w:color w:val="000000" w:themeColor="text1"/>
          <w:szCs w:val="32"/>
        </w:rPr>
        <w:t>安全性</w:t>
      </w:r>
      <w:r>
        <w:rPr>
          <w:rFonts w:hint="eastAsia" w:eastAsia="仿宋_GB2312"/>
          <w:color w:val="000000" w:themeColor="text1"/>
          <w:szCs w:val="32"/>
        </w:rPr>
        <w:t>评价</w:t>
      </w:r>
      <w:r>
        <w:rPr>
          <w:rFonts w:eastAsia="仿宋_GB2312"/>
          <w:color w:val="000000" w:themeColor="text1"/>
          <w:szCs w:val="32"/>
        </w:rPr>
        <w:t>指标</w:t>
      </w:r>
      <w:r>
        <w:rPr>
          <w:rFonts w:hint="eastAsia" w:eastAsia="仿宋_GB2312"/>
          <w:color w:val="000000" w:themeColor="text1"/>
          <w:szCs w:val="32"/>
        </w:rPr>
        <w:t>进行估算</w:t>
      </w:r>
      <w:r>
        <w:rPr>
          <w:rFonts w:eastAsia="仿宋_GB2312"/>
          <w:color w:val="000000" w:themeColor="text1"/>
          <w:szCs w:val="32"/>
        </w:rPr>
        <w:t>，需在临床试验方案中说明样本量估算的相关要素及其确定依据、样本量的具体计算方法。</w:t>
      </w:r>
      <w:r>
        <w:rPr>
          <w:rFonts w:hint="eastAsia" w:eastAsia="仿宋_GB2312"/>
          <w:color w:val="000000" w:themeColor="text1"/>
          <w:szCs w:val="32"/>
        </w:rPr>
        <w:t>开展有效性评价时，将患者以1:</w:t>
      </w:r>
      <w:r>
        <w:rPr>
          <w:rFonts w:eastAsia="仿宋_GB2312"/>
          <w:color w:val="000000" w:themeColor="text1"/>
          <w:szCs w:val="32"/>
        </w:rPr>
        <w:t>1</w:t>
      </w:r>
      <w:r>
        <w:rPr>
          <w:rFonts w:hint="eastAsia" w:eastAsia="仿宋_GB2312"/>
          <w:color w:val="000000" w:themeColor="text1"/>
          <w:szCs w:val="32"/>
        </w:rPr>
        <w:t>的方式随机进入试验组、对照组。</w:t>
      </w:r>
      <w:r>
        <w:rPr>
          <w:rFonts w:eastAsia="仿宋_GB2312"/>
          <w:color w:val="000000" w:themeColor="text1"/>
          <w:szCs w:val="32"/>
        </w:rPr>
        <w:t>同期</w:t>
      </w:r>
      <w:r>
        <w:rPr>
          <w:rFonts w:hint="eastAsia" w:eastAsia="仿宋_GB2312"/>
          <w:color w:val="000000" w:themeColor="text1"/>
          <w:szCs w:val="32"/>
        </w:rPr>
        <w:t>设立独立的安全性评估组，</w:t>
      </w:r>
      <w:r>
        <w:rPr>
          <w:rFonts w:eastAsia="仿宋_GB2312"/>
          <w:color w:val="000000" w:themeColor="text1"/>
          <w:szCs w:val="32"/>
        </w:rPr>
        <w:t>开展单组目标值</w:t>
      </w:r>
      <w:r>
        <w:rPr>
          <w:rFonts w:hint="eastAsia" w:eastAsia="仿宋_GB2312"/>
          <w:color w:val="000000" w:themeColor="text1"/>
          <w:szCs w:val="32"/>
        </w:rPr>
        <w:t>研究。单组试验在满足统计假设的基础上，应不低于</w:t>
      </w:r>
      <w:r>
        <w:rPr>
          <w:rFonts w:eastAsia="仿宋_GB2312"/>
          <w:color w:val="000000" w:themeColor="text1"/>
          <w:szCs w:val="32"/>
        </w:rPr>
        <w:t>2000</w:t>
      </w:r>
      <w:r>
        <w:rPr>
          <w:rFonts w:hint="eastAsia" w:eastAsia="仿宋_GB2312"/>
          <w:color w:val="000000" w:themeColor="text1"/>
          <w:szCs w:val="32"/>
        </w:rPr>
        <w:t>例，可以包括随机对照试验中的试验组数据。如考虑到使用近视/弱视激光治疗仪发生眼底损伤的概率不应高于对照组，安全性指标如以眼底损伤发生率</w:t>
      </w:r>
      <w:r>
        <w:rPr>
          <w:rFonts w:eastAsia="仿宋_GB2312"/>
          <w:color w:val="000000" w:themeColor="text1"/>
          <w:szCs w:val="32"/>
        </w:rPr>
        <w:t>1%作为目标值，</w:t>
      </w:r>
      <w:r>
        <w:rPr>
          <w:rFonts w:hint="eastAsia" w:eastAsia="仿宋_GB2312"/>
          <w:color w:val="000000" w:themeColor="text1"/>
          <w:szCs w:val="32"/>
        </w:rPr>
        <w:t>申报产品预期</w:t>
      </w:r>
      <w:r>
        <w:rPr>
          <w:rFonts w:eastAsia="仿宋_GB2312"/>
          <w:color w:val="000000" w:themeColor="text1"/>
          <w:szCs w:val="32"/>
        </w:rPr>
        <w:t>不能超0.5%，需要2470例患者</w:t>
      </w:r>
      <w:r>
        <w:rPr>
          <w:rFonts w:hint="eastAsia" w:eastAsia="仿宋_GB2312"/>
          <w:color w:val="000000" w:themeColor="text1"/>
          <w:szCs w:val="32"/>
        </w:rPr>
        <w:t>，同时结合上述近视激光治疗仪主要有效性评价指标预期与对照组相比等效球镜屈光度（SERE）每年减少增长大于0.25D，三年等效球镜屈光度（SERE）累计减少增长大于0.75D，眼轴长度变化均显著优于对照组，需要约144例，二者合并考虑，一共需要2470患者。</w:t>
      </w:r>
    </w:p>
    <w:p w14:paraId="1EB3F7C3">
      <w:pPr>
        <w:spacing w:line="520" w:lineRule="exact"/>
        <w:ind w:firstLine="640" w:firstLineChars="200"/>
        <w:rPr>
          <w:rFonts w:eastAsia="仿宋_GB2312"/>
          <w:color w:val="000000" w:themeColor="text1"/>
          <w:szCs w:val="32"/>
        </w:rPr>
      </w:pPr>
      <w:r>
        <w:rPr>
          <w:rFonts w:hint="eastAsia" w:eastAsia="仿宋_GB2312"/>
          <w:color w:val="000000" w:themeColor="text1"/>
          <w:szCs w:val="32"/>
        </w:rPr>
        <w:t>3.</w:t>
      </w:r>
      <w:r>
        <w:rPr>
          <w:rFonts w:eastAsia="仿宋_GB2312"/>
          <w:color w:val="000000" w:themeColor="text1"/>
          <w:szCs w:val="32"/>
        </w:rPr>
        <w:t>6</w:t>
      </w:r>
      <w:r>
        <w:rPr>
          <w:rFonts w:hint="eastAsia" w:eastAsia="仿宋_GB2312"/>
          <w:color w:val="000000" w:themeColor="text1"/>
          <w:szCs w:val="32"/>
        </w:rPr>
        <w:t>临床随访时间</w:t>
      </w:r>
    </w:p>
    <w:p w14:paraId="4402C437">
      <w:pPr>
        <w:spacing w:line="520" w:lineRule="exact"/>
        <w:ind w:firstLine="640" w:firstLineChars="200"/>
        <w:rPr>
          <w:rFonts w:eastAsia="仿宋_GB2312"/>
          <w:color w:val="000000" w:themeColor="text1"/>
          <w:szCs w:val="32"/>
        </w:rPr>
      </w:pPr>
      <w:r>
        <w:rPr>
          <w:rFonts w:hint="eastAsia" w:eastAsia="仿宋_GB2312"/>
          <w:color w:val="000000" w:themeColor="text1"/>
          <w:szCs w:val="32"/>
        </w:rPr>
        <w:t>临床试验随访时间应持续至</w:t>
      </w:r>
      <w:r>
        <w:rPr>
          <w:rFonts w:eastAsia="仿宋_GB2312"/>
          <w:color w:val="000000" w:themeColor="text1"/>
          <w:szCs w:val="32"/>
        </w:rPr>
        <w:t>所有治疗完成后3</w:t>
      </w:r>
      <w:r>
        <w:rPr>
          <w:rFonts w:hint="eastAsia" w:eastAsia="仿宋_GB2312"/>
          <w:color w:val="000000" w:themeColor="text1"/>
          <w:szCs w:val="32"/>
        </w:rPr>
        <w:t>年。中间设置合理的观察时间点，例如治疗当天、治疗1周、治疗1个月、治疗2个月、3个月、4个月、后续疗程内每3个月以及结束治疗后</w:t>
      </w:r>
      <w:r>
        <w:rPr>
          <w:rFonts w:eastAsia="仿宋_GB2312"/>
          <w:color w:val="000000" w:themeColor="text1"/>
          <w:szCs w:val="32"/>
        </w:rPr>
        <w:t>1年、2年、3年</w:t>
      </w:r>
      <w:r>
        <w:rPr>
          <w:rFonts w:hint="eastAsia" w:eastAsia="仿宋_GB2312"/>
          <w:color w:val="000000" w:themeColor="text1"/>
          <w:szCs w:val="32"/>
        </w:rPr>
        <w:t>，设定的观察时间点需能科学合理的评估</w:t>
      </w:r>
      <w:r>
        <w:rPr>
          <w:rFonts w:eastAsia="仿宋_GB2312"/>
          <w:color w:val="000000" w:themeColor="text1"/>
          <w:szCs w:val="32"/>
        </w:rPr>
        <w:t>视力维持情况，对眼部生长发育影响</w:t>
      </w:r>
      <w:r>
        <w:rPr>
          <w:rFonts w:hint="eastAsia" w:eastAsia="仿宋_GB2312"/>
          <w:color w:val="000000" w:themeColor="text1"/>
          <w:szCs w:val="32"/>
        </w:rPr>
        <w:t>以及完成</w:t>
      </w:r>
      <w:r>
        <w:rPr>
          <w:rFonts w:eastAsia="仿宋_GB2312"/>
          <w:color w:val="000000" w:themeColor="text1"/>
          <w:szCs w:val="32"/>
        </w:rPr>
        <w:t>对</w:t>
      </w:r>
      <w:r>
        <w:rPr>
          <w:rFonts w:hint="eastAsia" w:eastAsia="仿宋_GB2312"/>
          <w:color w:val="000000" w:themeColor="text1"/>
          <w:szCs w:val="32"/>
        </w:rPr>
        <w:t>眼底损伤（其是视网膜黄斑区域隐匿损伤）影响</w:t>
      </w:r>
      <w:r>
        <w:rPr>
          <w:rFonts w:eastAsia="仿宋_GB2312"/>
          <w:color w:val="000000" w:themeColor="text1"/>
          <w:szCs w:val="32"/>
        </w:rPr>
        <w:t>的评估。</w:t>
      </w:r>
    </w:p>
    <w:p w14:paraId="6688A925">
      <w:pPr>
        <w:spacing w:line="520" w:lineRule="exact"/>
        <w:ind w:firstLine="640" w:firstLineChars="200"/>
        <w:rPr>
          <w:rFonts w:eastAsia="仿宋_GB2312"/>
          <w:color w:val="000000" w:themeColor="text1"/>
          <w:szCs w:val="32"/>
        </w:rPr>
      </w:pPr>
      <w:r>
        <w:rPr>
          <w:rFonts w:hint="eastAsia" w:eastAsia="仿宋_GB2312"/>
          <w:color w:val="000000" w:themeColor="text1"/>
          <w:szCs w:val="32"/>
        </w:rPr>
        <w:t>3.</w:t>
      </w:r>
      <w:r>
        <w:rPr>
          <w:rFonts w:eastAsia="仿宋_GB2312"/>
          <w:color w:val="000000" w:themeColor="text1"/>
          <w:szCs w:val="32"/>
        </w:rPr>
        <w:t>7</w:t>
      </w:r>
      <w:r>
        <w:rPr>
          <w:rFonts w:hint="eastAsia" w:eastAsia="仿宋_GB2312"/>
          <w:color w:val="000000" w:themeColor="text1"/>
          <w:szCs w:val="32"/>
        </w:rPr>
        <w:t>其他需注意的事项</w:t>
      </w:r>
    </w:p>
    <w:p w14:paraId="50CC7687">
      <w:pPr>
        <w:spacing w:line="520" w:lineRule="exact"/>
        <w:ind w:firstLine="640" w:firstLineChars="200"/>
        <w:rPr>
          <w:rFonts w:eastAsia="仿宋_GB2312"/>
          <w:color w:val="000000" w:themeColor="text1"/>
          <w:szCs w:val="32"/>
        </w:rPr>
      </w:pPr>
      <w:r>
        <w:rPr>
          <w:rFonts w:hint="eastAsia" w:eastAsia="仿宋_GB2312"/>
          <w:color w:val="000000" w:themeColor="text1"/>
          <w:szCs w:val="32"/>
        </w:rPr>
        <w:t>临床试验其他设计要素可参考《医疗器械临床试验设计技术指导原则》相关要求。试验中涉及的检测仪器应统一，眼轴长度建议选择部分相干干涉法。</w:t>
      </w:r>
    </w:p>
    <w:p w14:paraId="6D81BB1B">
      <w:pPr>
        <w:spacing w:line="520" w:lineRule="exact"/>
        <w:ind w:firstLine="640" w:firstLineChars="200"/>
        <w:rPr>
          <w:rFonts w:eastAsia="仿宋_GB2312"/>
          <w:color w:val="000000" w:themeColor="text1"/>
          <w:szCs w:val="32"/>
        </w:rPr>
      </w:pPr>
      <w:r>
        <w:rPr>
          <w:rFonts w:hint="eastAsia" w:eastAsia="仿宋_GB2312"/>
          <w:color w:val="000000" w:themeColor="text1"/>
          <w:szCs w:val="32"/>
        </w:rPr>
        <w:t>在使用及随访过程中如使用申报产品的患者眼底检查发现异常（包括黄斑区域损伤、视网膜结构损伤或视网膜电生理等），以及出现视野/对比敏感度/色觉的改变、后像时间异常、短期视力严重下降、持续眼前光晕、暗点等，应立即停止试验，分析原因</w:t>
      </w:r>
      <w:r>
        <w:rPr>
          <w:rFonts w:eastAsia="仿宋_GB2312"/>
          <w:color w:val="000000" w:themeColor="text1"/>
          <w:szCs w:val="32"/>
        </w:rPr>
        <w:t>，若不能判定与试验器械无关，</w:t>
      </w:r>
      <w:r>
        <w:rPr>
          <w:rFonts w:hint="eastAsia" w:eastAsia="仿宋_GB2312"/>
          <w:color w:val="000000" w:themeColor="text1"/>
          <w:szCs w:val="32"/>
        </w:rPr>
        <w:t>申报产品可能存在安全性隐患，临床风险大于受益。</w:t>
      </w:r>
    </w:p>
    <w:p w14:paraId="211B25F6">
      <w:pPr>
        <w:spacing w:line="520" w:lineRule="exact"/>
        <w:ind w:firstLine="640" w:firstLineChars="200"/>
        <w:rPr>
          <w:rFonts w:eastAsia="仿宋_GB2312"/>
          <w:color w:val="000000" w:themeColor="text1"/>
          <w:szCs w:val="32"/>
        </w:rPr>
      </w:pPr>
      <w:r>
        <w:rPr>
          <w:rFonts w:hint="eastAsia" w:eastAsia="仿宋_GB2312"/>
          <w:color w:val="000000" w:themeColor="text1"/>
          <w:szCs w:val="32"/>
        </w:rPr>
        <w:t>考虑到申报产品往往用于生长</w:t>
      </w:r>
      <w:r>
        <w:rPr>
          <w:rFonts w:eastAsia="仿宋_GB2312"/>
          <w:color w:val="000000" w:themeColor="text1"/>
          <w:szCs w:val="32"/>
        </w:rPr>
        <w:t>发育</w:t>
      </w:r>
      <w:r>
        <w:rPr>
          <w:rFonts w:hint="eastAsia" w:eastAsia="仿宋_GB2312"/>
          <w:color w:val="000000" w:themeColor="text1"/>
          <w:szCs w:val="32"/>
        </w:rPr>
        <w:t>期的儿童，使用该产品后给儿童带来的远期临床风险尚未明确，现有临床试验结束后应对试验中已使用申报产品的患者，就眼底健康情况持续跟踪随访至40岁</w:t>
      </w:r>
      <w:r>
        <w:rPr>
          <w:rFonts w:eastAsia="仿宋_GB2312"/>
          <w:color w:val="000000" w:themeColor="text1"/>
          <w:szCs w:val="32"/>
        </w:rPr>
        <w:t>。</w:t>
      </w:r>
    </w:p>
    <w:p w14:paraId="1BD64CC3">
      <w:pPr>
        <w:spacing w:line="520" w:lineRule="exact"/>
        <w:ind w:firstLine="640" w:firstLineChars="200"/>
        <w:outlineLvl w:val="1"/>
        <w:rPr>
          <w:rFonts w:eastAsia="楷体_GB2312"/>
          <w:color w:val="000000" w:themeColor="text1"/>
          <w:szCs w:val="32"/>
        </w:rPr>
      </w:pPr>
      <w:r>
        <w:rPr>
          <w:rFonts w:eastAsia="楷体_GB2312"/>
          <w:color w:val="000000" w:themeColor="text1"/>
          <w:szCs w:val="32"/>
        </w:rPr>
        <w:t>（十二）说明书与标签</w:t>
      </w:r>
    </w:p>
    <w:p w14:paraId="2AA55791">
      <w:pPr>
        <w:spacing w:line="520" w:lineRule="exact"/>
        <w:ind w:firstLine="640" w:firstLineChars="200"/>
        <w:rPr>
          <w:rFonts w:eastAsia="仿宋_GB2312"/>
          <w:color w:val="000000" w:themeColor="text1"/>
          <w:szCs w:val="32"/>
        </w:rPr>
      </w:pPr>
      <w:r>
        <w:rPr>
          <w:rFonts w:eastAsia="仿宋_GB2312"/>
          <w:color w:val="000000" w:themeColor="text1"/>
          <w:szCs w:val="32"/>
        </w:rPr>
        <w:t>说明书与标签应符合《医疗器械说明书和标签管理规定》和相关法规、规章、规范性文件、强制性标准的要求。</w:t>
      </w:r>
    </w:p>
    <w:p w14:paraId="18185E07">
      <w:pPr>
        <w:spacing w:line="520" w:lineRule="exact"/>
        <w:ind w:firstLine="640" w:firstLineChars="200"/>
        <w:rPr>
          <w:rFonts w:eastAsia="仿宋_GB2312"/>
          <w:color w:val="000000" w:themeColor="text1"/>
          <w:szCs w:val="32"/>
        </w:rPr>
        <w:sectPr>
          <w:footerReference r:id="rId3" w:type="default"/>
          <w:type w:val="continuous"/>
          <w:pgSz w:w="11906" w:h="16838"/>
          <w:pgMar w:top="1440" w:right="1588" w:bottom="1440" w:left="1588" w:header="851" w:footer="992" w:gutter="0"/>
          <w:lnNumType w:countBy="1" w:restart="continuous"/>
          <w:cols w:space="720" w:num="1"/>
          <w:docGrid w:type="lines" w:linePitch="435" w:charSpace="0"/>
        </w:sectPr>
      </w:pPr>
    </w:p>
    <w:p w14:paraId="4D334225">
      <w:pPr>
        <w:spacing w:line="520" w:lineRule="exact"/>
        <w:ind w:firstLine="640" w:firstLineChars="200"/>
        <w:rPr>
          <w:rFonts w:eastAsia="仿宋_GB2312"/>
          <w:color w:val="000000" w:themeColor="text1"/>
          <w:szCs w:val="32"/>
        </w:rPr>
      </w:pPr>
      <w:r>
        <w:rPr>
          <w:rFonts w:eastAsia="仿宋_GB2312"/>
          <w:color w:val="000000" w:themeColor="text1"/>
          <w:szCs w:val="32"/>
        </w:rPr>
        <w:t>说明书应明确产品在医疗机构中使用，经有资质的医生出具处方下使用。儿童青少年在治疗过程中需有人员全程陪护。</w:t>
      </w:r>
    </w:p>
    <w:p w14:paraId="28EAA7FF">
      <w:pPr>
        <w:spacing w:line="520" w:lineRule="exact"/>
        <w:ind w:firstLine="640" w:firstLineChars="200"/>
        <w:rPr>
          <w:rFonts w:eastAsia="仿宋_GB2312"/>
          <w:color w:val="000000" w:themeColor="text1"/>
          <w:szCs w:val="32"/>
        </w:rPr>
      </w:pPr>
      <w:r>
        <w:rPr>
          <w:rFonts w:eastAsia="仿宋_GB2312"/>
          <w:color w:val="000000" w:themeColor="text1"/>
          <w:szCs w:val="32"/>
        </w:rPr>
        <w:t>应结合量效关系和能量研究资料及临床评价资料确定不同适应证的推荐剂量及治疗频次，并在说明书中给出提示。还应对定期随访或检查提出建议。</w:t>
      </w:r>
    </w:p>
    <w:p w14:paraId="3C6B77EC">
      <w:pPr>
        <w:spacing w:line="520" w:lineRule="exact"/>
        <w:ind w:firstLine="640" w:firstLineChars="200"/>
        <w:rPr>
          <w:rFonts w:eastAsia="仿宋_GB2312"/>
          <w:color w:val="000000" w:themeColor="text1"/>
          <w:szCs w:val="32"/>
        </w:rPr>
      </w:pPr>
      <w:r>
        <w:rPr>
          <w:rFonts w:eastAsia="仿宋_GB2312"/>
          <w:color w:val="000000" w:themeColor="text1"/>
          <w:szCs w:val="32"/>
        </w:rPr>
        <w:t>需明确激光输出参数的校准频次和校准服务机构，及激光输出功率监测方式。若声称可由医疗机构自行购买功率计进行监测，说明书中应给出功率计的要求及监测方法，并要求如果出现功率异常波动时，需要立即停止使用并联系厂家。</w:t>
      </w:r>
    </w:p>
    <w:p w14:paraId="5A0D0EAB">
      <w:pPr>
        <w:spacing w:line="520" w:lineRule="exact"/>
        <w:ind w:firstLine="640" w:firstLineChars="200"/>
        <w:rPr>
          <w:rFonts w:eastAsia="仿宋_GB2312"/>
          <w:color w:val="000000" w:themeColor="text1"/>
          <w:szCs w:val="32"/>
        </w:rPr>
      </w:pPr>
      <w:r>
        <w:rPr>
          <w:rFonts w:eastAsia="仿宋_GB2312"/>
          <w:color w:val="000000" w:themeColor="text1"/>
          <w:szCs w:val="32"/>
        </w:rPr>
        <w:t>需提示治疗前后必须进行自适应光学眼底成像检查光感受器细胞密度、黄斑区OCT检查、mERG检查。</w:t>
      </w:r>
    </w:p>
    <w:p w14:paraId="60519195">
      <w:pPr>
        <w:spacing w:line="520" w:lineRule="exact"/>
        <w:ind w:firstLine="640" w:firstLineChars="200"/>
        <w:rPr>
          <w:rFonts w:eastAsia="仿宋_GB2312"/>
          <w:color w:val="000000" w:themeColor="text1"/>
          <w:szCs w:val="32"/>
        </w:rPr>
      </w:pPr>
      <w:r>
        <w:rPr>
          <w:rFonts w:eastAsia="仿宋_GB2312"/>
          <w:color w:val="000000" w:themeColor="text1"/>
          <w:szCs w:val="32"/>
        </w:rPr>
        <w:t>需提示激光照射不能替代户外活动或弱视训练中的精细训练。</w:t>
      </w:r>
    </w:p>
    <w:p w14:paraId="76074F95">
      <w:pPr>
        <w:spacing w:line="520" w:lineRule="exact"/>
        <w:ind w:firstLine="640" w:firstLineChars="200"/>
        <w:rPr>
          <w:rFonts w:eastAsia="仿宋_GB2312"/>
          <w:color w:val="000000" w:themeColor="text1"/>
          <w:szCs w:val="32"/>
        </w:rPr>
      </w:pPr>
      <w:r>
        <w:rPr>
          <w:rFonts w:eastAsia="仿宋_GB2312"/>
          <w:color w:val="000000" w:themeColor="text1"/>
          <w:szCs w:val="32"/>
        </w:rPr>
        <w:t>应给出联合使用注意事项的提示。</w:t>
      </w:r>
    </w:p>
    <w:p w14:paraId="3DEC551A">
      <w:pPr>
        <w:spacing w:beforeLines="50" w:line="520" w:lineRule="exact"/>
        <w:ind w:firstLine="640" w:firstLineChars="200"/>
        <w:rPr>
          <w:rFonts w:eastAsia="黑体"/>
          <w:color w:val="000000" w:themeColor="text1"/>
          <w:szCs w:val="32"/>
        </w:rPr>
      </w:pPr>
      <w:r>
        <w:rPr>
          <w:rFonts w:hAnsi="黑体" w:eastAsia="黑体"/>
          <w:color w:val="000000" w:themeColor="text1"/>
          <w:szCs w:val="32"/>
        </w:rPr>
        <w:t>三、参考文献</w:t>
      </w:r>
    </w:p>
    <w:p w14:paraId="581FA880">
      <w:pPr>
        <w:spacing w:line="520" w:lineRule="exact"/>
        <w:ind w:firstLine="641"/>
        <w:rPr>
          <w:rFonts w:eastAsia="仿宋_GB2312"/>
          <w:color w:val="000000" w:themeColor="text1"/>
          <w:spacing w:val="-6"/>
          <w:szCs w:val="32"/>
        </w:rPr>
      </w:pPr>
      <w:r>
        <w:rPr>
          <w:rFonts w:eastAsia="仿宋_GB2312"/>
          <w:color w:val="000000" w:themeColor="text1"/>
          <w:spacing w:val="-6"/>
          <w:szCs w:val="32"/>
        </w:rPr>
        <w:t>[1]《医疗器械监督管理条例》（中华人民共和国国务院令第739号）[Z].</w:t>
      </w:r>
    </w:p>
    <w:p w14:paraId="7B138B39">
      <w:pPr>
        <w:spacing w:line="520" w:lineRule="exact"/>
        <w:ind w:firstLine="641"/>
        <w:rPr>
          <w:rFonts w:eastAsia="仿宋_GB2312"/>
          <w:color w:val="000000" w:themeColor="text1"/>
          <w:spacing w:val="-6"/>
          <w:szCs w:val="32"/>
        </w:rPr>
      </w:pPr>
      <w:r>
        <w:rPr>
          <w:rFonts w:eastAsia="仿宋_GB2312"/>
          <w:color w:val="000000" w:themeColor="text1"/>
          <w:spacing w:val="-6"/>
          <w:szCs w:val="32"/>
        </w:rPr>
        <w:t>[2]《医疗器械注册与备案管理办法》（国家市场监管总局令第47号）[Z].</w:t>
      </w:r>
    </w:p>
    <w:p w14:paraId="667D22EE">
      <w:pPr>
        <w:spacing w:line="520" w:lineRule="exact"/>
        <w:ind w:firstLine="641"/>
        <w:rPr>
          <w:rFonts w:eastAsia="仿宋_GB2312"/>
          <w:color w:val="000000" w:themeColor="text1"/>
          <w:spacing w:val="-6"/>
          <w:szCs w:val="32"/>
        </w:rPr>
      </w:pPr>
      <w:r>
        <w:rPr>
          <w:rFonts w:eastAsia="仿宋_GB2312"/>
          <w:color w:val="000000" w:themeColor="text1"/>
          <w:spacing w:val="-6"/>
          <w:szCs w:val="32"/>
        </w:rPr>
        <w:t>[3]《医疗器械说明书和标签管理规定》（原国家食品药品监督管理总局令第6号）[Z].</w:t>
      </w:r>
    </w:p>
    <w:p w14:paraId="49787D71">
      <w:pPr>
        <w:spacing w:line="520" w:lineRule="exact"/>
        <w:ind w:firstLine="641"/>
        <w:rPr>
          <w:rFonts w:eastAsia="仿宋_GB2312"/>
          <w:color w:val="000000" w:themeColor="text1"/>
          <w:spacing w:val="-6"/>
          <w:szCs w:val="32"/>
        </w:rPr>
      </w:pPr>
      <w:r>
        <w:rPr>
          <w:rFonts w:eastAsia="仿宋_GB2312"/>
          <w:color w:val="000000" w:themeColor="text1"/>
          <w:spacing w:val="-6"/>
          <w:szCs w:val="32"/>
        </w:rPr>
        <w:t>[4] 《关于公布医疗器械注册申报资料要求和批准证明文件格式的公告》（国家药品监督管理局2021年第121号） [Z].</w:t>
      </w:r>
    </w:p>
    <w:p w14:paraId="71927623">
      <w:pPr>
        <w:spacing w:line="520" w:lineRule="exact"/>
        <w:ind w:firstLine="641"/>
        <w:rPr>
          <w:rFonts w:eastAsia="仿宋_GB2312"/>
          <w:color w:val="000000" w:themeColor="text1"/>
          <w:spacing w:val="-6"/>
          <w:szCs w:val="32"/>
        </w:rPr>
      </w:pPr>
      <w:r>
        <w:rPr>
          <w:rFonts w:eastAsia="仿宋_GB2312"/>
          <w:color w:val="000000" w:themeColor="text1"/>
          <w:spacing w:val="-6"/>
          <w:szCs w:val="32"/>
        </w:rPr>
        <w:t>[5]《总局关于发布医疗器械分类目录的公告》（原国家食品药品监督管理总局公告2017年第104号）[Z].</w:t>
      </w:r>
    </w:p>
    <w:p w14:paraId="3FB7F3F7">
      <w:pPr>
        <w:spacing w:line="520" w:lineRule="exact"/>
        <w:ind w:firstLine="641"/>
        <w:rPr>
          <w:rFonts w:eastAsia="仿宋_GB2312"/>
          <w:color w:val="000000" w:themeColor="text1"/>
          <w:spacing w:val="-6"/>
          <w:szCs w:val="32"/>
        </w:rPr>
      </w:pPr>
      <w:r>
        <w:rPr>
          <w:rFonts w:eastAsia="仿宋_GB2312"/>
          <w:color w:val="000000" w:themeColor="text1"/>
          <w:spacing w:val="-6"/>
          <w:szCs w:val="32"/>
        </w:rPr>
        <w:t>[6]《关于调整《医疗器械分类目录》部分内容的公告》（国家药品监督管理局2020年第147号）[Z].</w:t>
      </w:r>
    </w:p>
    <w:p w14:paraId="5E8EAC2B">
      <w:pPr>
        <w:spacing w:line="520" w:lineRule="exact"/>
        <w:ind w:firstLine="641"/>
        <w:rPr>
          <w:rFonts w:eastAsia="仿宋_GB2312"/>
          <w:color w:val="000000" w:themeColor="text1"/>
          <w:spacing w:val="-6"/>
          <w:szCs w:val="32"/>
        </w:rPr>
      </w:pPr>
      <w:r>
        <w:rPr>
          <w:rFonts w:eastAsia="仿宋_GB2312"/>
          <w:color w:val="000000" w:themeColor="text1"/>
          <w:spacing w:val="-6"/>
          <w:szCs w:val="32"/>
        </w:rPr>
        <w:t>[</w:t>
      </w:r>
      <w:r>
        <w:rPr>
          <w:rFonts w:hint="eastAsia" w:eastAsia="仿宋_GB2312"/>
          <w:color w:val="000000" w:themeColor="text1"/>
          <w:spacing w:val="-6"/>
          <w:szCs w:val="32"/>
        </w:rPr>
        <w:t>7</w:t>
      </w:r>
      <w:r>
        <w:rPr>
          <w:rFonts w:eastAsia="仿宋_GB2312"/>
          <w:color w:val="000000" w:themeColor="text1"/>
          <w:spacing w:val="-6"/>
          <w:szCs w:val="32"/>
        </w:rPr>
        <w:t>]</w:t>
      </w:r>
      <w:r>
        <w:rPr>
          <w:rFonts w:hint="eastAsia" w:eastAsia="仿宋_GB2312"/>
          <w:color w:val="000000" w:themeColor="text1"/>
          <w:spacing w:val="-6"/>
          <w:szCs w:val="32"/>
        </w:rPr>
        <w:t>《医疗器械临床评价技术指导原则》（20</w:t>
      </w:r>
      <w:r>
        <w:rPr>
          <w:rFonts w:eastAsia="仿宋_GB2312"/>
          <w:color w:val="000000" w:themeColor="text1"/>
          <w:spacing w:val="-6"/>
          <w:szCs w:val="32"/>
        </w:rPr>
        <w:t>21</w:t>
      </w:r>
      <w:r>
        <w:rPr>
          <w:rFonts w:hint="eastAsia" w:eastAsia="仿宋_GB2312"/>
          <w:color w:val="000000" w:themeColor="text1"/>
          <w:spacing w:val="-6"/>
          <w:szCs w:val="32"/>
        </w:rPr>
        <w:t>年第</w:t>
      </w:r>
      <w:r>
        <w:rPr>
          <w:rFonts w:eastAsia="仿宋_GB2312"/>
          <w:color w:val="000000" w:themeColor="text1"/>
          <w:spacing w:val="-6"/>
          <w:szCs w:val="32"/>
        </w:rPr>
        <w:t>73</w:t>
      </w:r>
      <w:r>
        <w:rPr>
          <w:rFonts w:hint="eastAsia" w:eastAsia="仿宋_GB2312"/>
          <w:color w:val="000000" w:themeColor="text1"/>
          <w:spacing w:val="-6"/>
          <w:szCs w:val="32"/>
        </w:rPr>
        <w:t>号通告）</w:t>
      </w:r>
    </w:p>
    <w:p w14:paraId="27F7D4FA">
      <w:pPr>
        <w:spacing w:line="520" w:lineRule="exact"/>
        <w:ind w:firstLine="641"/>
        <w:rPr>
          <w:rFonts w:eastAsia="仿宋_GB2312"/>
          <w:color w:val="000000" w:themeColor="text1"/>
          <w:spacing w:val="-6"/>
          <w:szCs w:val="32"/>
        </w:rPr>
      </w:pPr>
      <w:r>
        <w:rPr>
          <w:rFonts w:eastAsia="仿宋_GB2312"/>
          <w:color w:val="000000" w:themeColor="text1"/>
          <w:spacing w:val="-6"/>
          <w:szCs w:val="32"/>
        </w:rPr>
        <w:t>[</w:t>
      </w:r>
      <w:r>
        <w:rPr>
          <w:rFonts w:hint="eastAsia" w:eastAsia="仿宋_GB2312"/>
          <w:color w:val="000000" w:themeColor="text1"/>
          <w:spacing w:val="-6"/>
          <w:szCs w:val="32"/>
        </w:rPr>
        <w:t>8</w:t>
      </w:r>
      <w:r>
        <w:rPr>
          <w:rFonts w:eastAsia="仿宋_GB2312"/>
          <w:color w:val="000000" w:themeColor="text1"/>
          <w:spacing w:val="-6"/>
          <w:szCs w:val="32"/>
        </w:rPr>
        <w:t>]</w:t>
      </w:r>
      <w:r>
        <w:rPr>
          <w:rFonts w:hint="eastAsia" w:eastAsia="仿宋_GB2312"/>
          <w:color w:val="000000" w:themeColor="text1"/>
          <w:spacing w:val="-6"/>
          <w:szCs w:val="32"/>
        </w:rPr>
        <w:t>《</w:t>
      </w:r>
      <w:r>
        <w:rPr>
          <w:rFonts w:eastAsia="仿宋_GB2312"/>
          <w:color w:val="000000" w:themeColor="text1"/>
          <w:spacing w:val="-6"/>
          <w:szCs w:val="32"/>
        </w:rPr>
        <w:t>医疗器械注册申报临床评价报告技术指导原则</w:t>
      </w:r>
      <w:r>
        <w:rPr>
          <w:rFonts w:hint="eastAsia" w:eastAsia="仿宋_GB2312"/>
          <w:color w:val="000000" w:themeColor="text1"/>
          <w:spacing w:val="-6"/>
          <w:szCs w:val="32"/>
        </w:rPr>
        <w:t>》（20</w:t>
      </w:r>
      <w:r>
        <w:rPr>
          <w:rFonts w:eastAsia="仿宋_GB2312"/>
          <w:color w:val="000000" w:themeColor="text1"/>
          <w:spacing w:val="-6"/>
          <w:szCs w:val="32"/>
        </w:rPr>
        <w:t>21</w:t>
      </w:r>
      <w:r>
        <w:rPr>
          <w:rFonts w:hint="eastAsia" w:eastAsia="仿宋_GB2312"/>
          <w:color w:val="000000" w:themeColor="text1"/>
          <w:spacing w:val="-6"/>
          <w:szCs w:val="32"/>
        </w:rPr>
        <w:t>年第</w:t>
      </w:r>
      <w:r>
        <w:rPr>
          <w:rFonts w:eastAsia="仿宋_GB2312"/>
          <w:color w:val="000000" w:themeColor="text1"/>
          <w:spacing w:val="-6"/>
          <w:szCs w:val="32"/>
        </w:rPr>
        <w:t>73</w:t>
      </w:r>
      <w:r>
        <w:rPr>
          <w:rFonts w:hint="eastAsia" w:eastAsia="仿宋_GB2312"/>
          <w:color w:val="000000" w:themeColor="text1"/>
          <w:spacing w:val="-6"/>
          <w:szCs w:val="32"/>
        </w:rPr>
        <w:t>号通告）</w:t>
      </w:r>
    </w:p>
    <w:p w14:paraId="3F15B6C1">
      <w:pPr>
        <w:spacing w:line="520" w:lineRule="exact"/>
        <w:ind w:firstLine="641"/>
        <w:rPr>
          <w:rFonts w:eastAsia="仿宋_GB2312"/>
          <w:color w:val="000000" w:themeColor="text1"/>
          <w:spacing w:val="-6"/>
          <w:szCs w:val="32"/>
        </w:rPr>
      </w:pPr>
      <w:r>
        <w:rPr>
          <w:rFonts w:eastAsia="仿宋_GB2312"/>
          <w:color w:val="000000" w:themeColor="text1"/>
          <w:spacing w:val="-6"/>
          <w:szCs w:val="32"/>
        </w:rPr>
        <w:t>[</w:t>
      </w:r>
      <w:r>
        <w:rPr>
          <w:rFonts w:hint="eastAsia" w:eastAsia="仿宋_GB2312"/>
          <w:color w:val="000000" w:themeColor="text1"/>
          <w:spacing w:val="-6"/>
          <w:szCs w:val="32"/>
        </w:rPr>
        <w:t>9</w:t>
      </w:r>
      <w:r>
        <w:rPr>
          <w:rFonts w:eastAsia="仿宋_GB2312"/>
          <w:color w:val="000000" w:themeColor="text1"/>
          <w:spacing w:val="-6"/>
          <w:szCs w:val="32"/>
        </w:rPr>
        <w:t>]</w:t>
      </w:r>
      <w:r>
        <w:rPr>
          <w:rFonts w:hint="eastAsia" w:eastAsia="仿宋_GB2312"/>
          <w:color w:val="000000" w:themeColor="text1"/>
          <w:spacing w:val="-6"/>
          <w:szCs w:val="32"/>
        </w:rPr>
        <w:t>《近视</w:t>
      </w:r>
      <w:r>
        <w:rPr>
          <w:rFonts w:eastAsia="仿宋_GB2312"/>
          <w:color w:val="000000" w:themeColor="text1"/>
          <w:spacing w:val="-6"/>
          <w:szCs w:val="32"/>
        </w:rPr>
        <w:t>防治指南</w:t>
      </w:r>
      <w:r>
        <w:rPr>
          <w:rFonts w:hint="eastAsia" w:eastAsia="仿宋_GB2312"/>
          <w:color w:val="000000" w:themeColor="text1"/>
          <w:spacing w:val="-6"/>
          <w:szCs w:val="32"/>
        </w:rPr>
        <w:t>》</w:t>
      </w:r>
    </w:p>
    <w:p w14:paraId="28A30914">
      <w:pPr>
        <w:spacing w:line="520" w:lineRule="exact"/>
        <w:ind w:firstLine="641"/>
        <w:rPr>
          <w:rFonts w:eastAsia="仿宋_GB2312"/>
          <w:color w:val="000000" w:themeColor="text1"/>
          <w:spacing w:val="-6"/>
          <w:szCs w:val="32"/>
        </w:rPr>
      </w:pPr>
      <w:r>
        <w:rPr>
          <w:rFonts w:eastAsia="仿宋_GB2312"/>
          <w:color w:val="000000" w:themeColor="text1"/>
          <w:spacing w:val="-6"/>
          <w:szCs w:val="32"/>
        </w:rPr>
        <w:t>[</w:t>
      </w:r>
      <w:r>
        <w:rPr>
          <w:rFonts w:hint="eastAsia" w:eastAsia="仿宋_GB2312"/>
          <w:color w:val="000000" w:themeColor="text1"/>
          <w:spacing w:val="-6"/>
          <w:szCs w:val="32"/>
        </w:rPr>
        <w:t>10</w:t>
      </w:r>
      <w:r>
        <w:rPr>
          <w:rFonts w:eastAsia="仿宋_GB2312"/>
          <w:color w:val="000000" w:themeColor="text1"/>
          <w:spacing w:val="-6"/>
          <w:szCs w:val="32"/>
        </w:rPr>
        <w:t>]</w:t>
      </w:r>
      <w:r>
        <w:rPr>
          <w:rFonts w:hint="eastAsia" w:eastAsia="仿宋_GB2312"/>
          <w:color w:val="000000" w:themeColor="text1"/>
          <w:spacing w:val="-6"/>
          <w:szCs w:val="32"/>
        </w:rPr>
        <w:t>《弱视诊治</w:t>
      </w:r>
      <w:r>
        <w:rPr>
          <w:rFonts w:eastAsia="仿宋_GB2312"/>
          <w:color w:val="000000" w:themeColor="text1"/>
          <w:spacing w:val="-6"/>
          <w:szCs w:val="32"/>
        </w:rPr>
        <w:t>指南</w:t>
      </w:r>
      <w:r>
        <w:rPr>
          <w:rFonts w:hint="eastAsia" w:eastAsia="仿宋_GB2312"/>
          <w:color w:val="000000" w:themeColor="text1"/>
          <w:spacing w:val="-6"/>
          <w:szCs w:val="32"/>
        </w:rPr>
        <w:t>》</w:t>
      </w:r>
    </w:p>
    <w:p w14:paraId="4378FCD2">
      <w:pPr>
        <w:spacing w:line="520" w:lineRule="exact"/>
        <w:ind w:firstLine="641"/>
        <w:rPr>
          <w:rFonts w:eastAsia="仿宋_GB2312"/>
          <w:color w:val="000000" w:themeColor="text1"/>
          <w:spacing w:val="-6"/>
          <w:szCs w:val="32"/>
        </w:rPr>
      </w:pPr>
    </w:p>
    <w:p w14:paraId="29289815">
      <w:pPr>
        <w:spacing w:line="520" w:lineRule="exact"/>
        <w:ind w:firstLine="641"/>
        <w:rPr>
          <w:rFonts w:eastAsia="仿宋_GB2312"/>
          <w:color w:val="000000" w:themeColor="text1"/>
          <w:spacing w:val="-6"/>
          <w:szCs w:val="32"/>
        </w:rPr>
      </w:pPr>
    </w:p>
    <w:p w14:paraId="4EAE3F04">
      <w:pPr>
        <w:spacing w:line="500" w:lineRule="exact"/>
        <w:jc w:val="left"/>
        <w:rPr>
          <w:rFonts w:hint="eastAsia" w:eastAsia="宋体"/>
          <w:lang w:eastAsia="zh-CN"/>
        </w:rPr>
      </w:pPr>
    </w:p>
    <w:p w14:paraId="7C39882B">
      <w:pPr>
        <w:spacing w:line="500" w:lineRule="exact"/>
        <w:jc w:val="center"/>
        <w:rPr>
          <w:rFonts w:hint="eastAsia" w:eastAsia="宋体"/>
          <w:lang w:eastAsia="zh-CN"/>
        </w:rPr>
      </w:pPr>
    </w:p>
    <w:p w14:paraId="60FEBF10">
      <w:pPr>
        <w:spacing w:line="50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4" w:type="default"/>
      <w:type w:val="continuous"/>
      <w:pgSz w:w="11906" w:h="16838"/>
      <w:pgMar w:top="2098" w:right="1588" w:bottom="2098" w:left="1588" w:header="851" w:footer="992"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panose1 w:val="02020400000000000000"/>
    <w:charset w:val="86"/>
    <w:family w:val="roman"/>
    <w:pitch w:val="default"/>
    <w:sig w:usb0="00000001" w:usb1="0A0F1810" w:usb2="00000016" w:usb3="00000000" w:csb0="00060007"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ejaVu Sans">
    <w:altName w:val="Times New Roman"/>
    <w:panose1 w:val="00000000000000000000"/>
    <w:charset w:val="00"/>
    <w:family w:val="roman"/>
    <w:pitch w:val="default"/>
    <w:sig w:usb0="00000000" w:usb1="00000000" w:usb2="00000008" w:usb3="00000000" w:csb0="000001FF" w:csb1="00000000"/>
  </w:font>
  <w:font w:name="Angsana New">
    <w:altName w:val="Times New Roman"/>
    <w:panose1 w:val="02020603050405020304"/>
    <w:charset w:val="00"/>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2E856">
    <w:pPr>
      <w:pStyle w:val="13"/>
      <w:jc w:val="center"/>
    </w:pPr>
    <w:r>
      <w:fldChar w:fldCharType="begin"/>
    </w:r>
    <w:r>
      <w:instrText xml:space="preserve">PAGE   \* MERGEFORMAT</w:instrText>
    </w:r>
    <w:r>
      <w:fldChar w:fldCharType="separate"/>
    </w:r>
    <w:r>
      <w:rPr>
        <w:lang w:val="zh-CN"/>
      </w:rPr>
      <w:t>1</w:t>
    </w:r>
    <w:r>
      <w:rPr>
        <w:lang w:val="zh-CN"/>
      </w:rPr>
      <w:fldChar w:fldCharType="end"/>
    </w:r>
  </w:p>
  <w:p w14:paraId="2FF5DC1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D3B2C">
    <w:pPr>
      <w:pStyle w:val="13"/>
      <w:jc w:val="center"/>
    </w:pPr>
    <w:r>
      <w:fldChar w:fldCharType="begin"/>
    </w:r>
    <w:r>
      <w:instrText xml:space="preserve">PAGE   \* MERGEFORMAT</w:instrText>
    </w:r>
    <w:r>
      <w:fldChar w:fldCharType="separate"/>
    </w:r>
    <w:r>
      <w:rPr>
        <w:lang w:val="zh-CN"/>
      </w:rPr>
      <w:t>19</w:t>
    </w:r>
    <w:r>
      <w:rPr>
        <w:lang w:val="zh-CN"/>
      </w:rPr>
      <w:fldChar w:fldCharType="end"/>
    </w:r>
  </w:p>
  <w:p w14:paraId="7125395B">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D5C53"/>
    <w:multiLevelType w:val="singleLevel"/>
    <w:tmpl w:val="0C1D5C5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zMGY3NWUzNjZiZmU1YTUwODNhNTNjNzVmNGI1ZGUifQ=="/>
  </w:docVars>
  <w:rsids>
    <w:rsidRoot w:val="00787F7E"/>
    <w:rsid w:val="000031A9"/>
    <w:rsid w:val="00003451"/>
    <w:rsid w:val="00017E5B"/>
    <w:rsid w:val="00020162"/>
    <w:rsid w:val="00021955"/>
    <w:rsid w:val="00022FC3"/>
    <w:rsid w:val="0002396E"/>
    <w:rsid w:val="00023D63"/>
    <w:rsid w:val="00032176"/>
    <w:rsid w:val="0004020C"/>
    <w:rsid w:val="00046691"/>
    <w:rsid w:val="000468EC"/>
    <w:rsid w:val="00051BBB"/>
    <w:rsid w:val="00053BFB"/>
    <w:rsid w:val="00056A28"/>
    <w:rsid w:val="00060C10"/>
    <w:rsid w:val="00066D66"/>
    <w:rsid w:val="00070006"/>
    <w:rsid w:val="0007686E"/>
    <w:rsid w:val="000778E3"/>
    <w:rsid w:val="00080163"/>
    <w:rsid w:val="00084A9D"/>
    <w:rsid w:val="00094847"/>
    <w:rsid w:val="00095450"/>
    <w:rsid w:val="000A5102"/>
    <w:rsid w:val="000A6E52"/>
    <w:rsid w:val="000B4C9B"/>
    <w:rsid w:val="000B5D87"/>
    <w:rsid w:val="000C48A1"/>
    <w:rsid w:val="000D0043"/>
    <w:rsid w:val="000D5165"/>
    <w:rsid w:val="000E1A90"/>
    <w:rsid w:val="000E5335"/>
    <w:rsid w:val="000E5965"/>
    <w:rsid w:val="001024AC"/>
    <w:rsid w:val="0010320F"/>
    <w:rsid w:val="001050C3"/>
    <w:rsid w:val="0011418A"/>
    <w:rsid w:val="00115821"/>
    <w:rsid w:val="00117CF3"/>
    <w:rsid w:val="001237D3"/>
    <w:rsid w:val="00126A1C"/>
    <w:rsid w:val="00133E15"/>
    <w:rsid w:val="00145167"/>
    <w:rsid w:val="001501A2"/>
    <w:rsid w:val="001515C8"/>
    <w:rsid w:val="00153266"/>
    <w:rsid w:val="0015622E"/>
    <w:rsid w:val="00161B66"/>
    <w:rsid w:val="00167F24"/>
    <w:rsid w:val="001832C0"/>
    <w:rsid w:val="00193094"/>
    <w:rsid w:val="0019695E"/>
    <w:rsid w:val="001A20A5"/>
    <w:rsid w:val="001C3A87"/>
    <w:rsid w:val="001C3F8D"/>
    <w:rsid w:val="001C7E38"/>
    <w:rsid w:val="001D2D8D"/>
    <w:rsid w:val="001D4580"/>
    <w:rsid w:val="001E0961"/>
    <w:rsid w:val="001E4E81"/>
    <w:rsid w:val="001F108A"/>
    <w:rsid w:val="001F41DE"/>
    <w:rsid w:val="001F6F69"/>
    <w:rsid w:val="00201593"/>
    <w:rsid w:val="00201B5D"/>
    <w:rsid w:val="0021307C"/>
    <w:rsid w:val="0022585F"/>
    <w:rsid w:val="00240370"/>
    <w:rsid w:val="00241E57"/>
    <w:rsid w:val="00242375"/>
    <w:rsid w:val="00244DF7"/>
    <w:rsid w:val="00246390"/>
    <w:rsid w:val="002514C7"/>
    <w:rsid w:val="00254DE0"/>
    <w:rsid w:val="002553CC"/>
    <w:rsid w:val="002733B8"/>
    <w:rsid w:val="00275A48"/>
    <w:rsid w:val="00277473"/>
    <w:rsid w:val="0028019F"/>
    <w:rsid w:val="00281F9F"/>
    <w:rsid w:val="00291759"/>
    <w:rsid w:val="00291A8D"/>
    <w:rsid w:val="002925B7"/>
    <w:rsid w:val="00294D2B"/>
    <w:rsid w:val="00295369"/>
    <w:rsid w:val="002A2174"/>
    <w:rsid w:val="002A530A"/>
    <w:rsid w:val="002B2048"/>
    <w:rsid w:val="002B24A0"/>
    <w:rsid w:val="002B4A6F"/>
    <w:rsid w:val="002C0F25"/>
    <w:rsid w:val="002C1064"/>
    <w:rsid w:val="002C43D4"/>
    <w:rsid w:val="002D1430"/>
    <w:rsid w:val="002D3B6C"/>
    <w:rsid w:val="002D6917"/>
    <w:rsid w:val="002D7424"/>
    <w:rsid w:val="002E2F1D"/>
    <w:rsid w:val="002F2978"/>
    <w:rsid w:val="002F309D"/>
    <w:rsid w:val="002F7B6F"/>
    <w:rsid w:val="0030368E"/>
    <w:rsid w:val="003047D2"/>
    <w:rsid w:val="0030743C"/>
    <w:rsid w:val="00310ED7"/>
    <w:rsid w:val="0031186D"/>
    <w:rsid w:val="003137C1"/>
    <w:rsid w:val="0031603D"/>
    <w:rsid w:val="00317F5D"/>
    <w:rsid w:val="00317F96"/>
    <w:rsid w:val="00320334"/>
    <w:rsid w:val="00322E16"/>
    <w:rsid w:val="00332DE8"/>
    <w:rsid w:val="0033740E"/>
    <w:rsid w:val="00341E01"/>
    <w:rsid w:val="003450A4"/>
    <w:rsid w:val="003462C3"/>
    <w:rsid w:val="00347979"/>
    <w:rsid w:val="00347B6B"/>
    <w:rsid w:val="003549E8"/>
    <w:rsid w:val="00355421"/>
    <w:rsid w:val="00356134"/>
    <w:rsid w:val="00362272"/>
    <w:rsid w:val="00365AB2"/>
    <w:rsid w:val="003661AC"/>
    <w:rsid w:val="00370609"/>
    <w:rsid w:val="0038595D"/>
    <w:rsid w:val="003948E9"/>
    <w:rsid w:val="003B1BD6"/>
    <w:rsid w:val="003B691D"/>
    <w:rsid w:val="003C337D"/>
    <w:rsid w:val="003C4D64"/>
    <w:rsid w:val="003C731D"/>
    <w:rsid w:val="003D6BC2"/>
    <w:rsid w:val="003E045E"/>
    <w:rsid w:val="003E1AED"/>
    <w:rsid w:val="00410598"/>
    <w:rsid w:val="0041581E"/>
    <w:rsid w:val="00417579"/>
    <w:rsid w:val="004320CD"/>
    <w:rsid w:val="00435189"/>
    <w:rsid w:val="004356CF"/>
    <w:rsid w:val="00435AC6"/>
    <w:rsid w:val="0043733D"/>
    <w:rsid w:val="00440708"/>
    <w:rsid w:val="00440AA4"/>
    <w:rsid w:val="004410B9"/>
    <w:rsid w:val="00441F8D"/>
    <w:rsid w:val="0045151A"/>
    <w:rsid w:val="00455458"/>
    <w:rsid w:val="004568C3"/>
    <w:rsid w:val="0046669C"/>
    <w:rsid w:val="00475A6E"/>
    <w:rsid w:val="0048177B"/>
    <w:rsid w:val="00482ABB"/>
    <w:rsid w:val="00483A3B"/>
    <w:rsid w:val="00483A83"/>
    <w:rsid w:val="0048534F"/>
    <w:rsid w:val="00493D2A"/>
    <w:rsid w:val="004942C7"/>
    <w:rsid w:val="004A528D"/>
    <w:rsid w:val="004B03E6"/>
    <w:rsid w:val="004B2D87"/>
    <w:rsid w:val="004B2F13"/>
    <w:rsid w:val="004C4DBC"/>
    <w:rsid w:val="004C7137"/>
    <w:rsid w:val="004D6150"/>
    <w:rsid w:val="004E3031"/>
    <w:rsid w:val="004E39ED"/>
    <w:rsid w:val="004E3D4B"/>
    <w:rsid w:val="004E5856"/>
    <w:rsid w:val="004F0151"/>
    <w:rsid w:val="005041BA"/>
    <w:rsid w:val="005108E9"/>
    <w:rsid w:val="00514572"/>
    <w:rsid w:val="0052590E"/>
    <w:rsid w:val="005277E2"/>
    <w:rsid w:val="00530384"/>
    <w:rsid w:val="005329DB"/>
    <w:rsid w:val="00533DB1"/>
    <w:rsid w:val="00534F4C"/>
    <w:rsid w:val="0053592E"/>
    <w:rsid w:val="00545B8B"/>
    <w:rsid w:val="00553994"/>
    <w:rsid w:val="005609D1"/>
    <w:rsid w:val="00572B26"/>
    <w:rsid w:val="005735DA"/>
    <w:rsid w:val="005869F0"/>
    <w:rsid w:val="00587082"/>
    <w:rsid w:val="005A1410"/>
    <w:rsid w:val="005A204F"/>
    <w:rsid w:val="005A614E"/>
    <w:rsid w:val="005B570A"/>
    <w:rsid w:val="005B63B1"/>
    <w:rsid w:val="005C42A4"/>
    <w:rsid w:val="005D1959"/>
    <w:rsid w:val="005D2E36"/>
    <w:rsid w:val="005D560B"/>
    <w:rsid w:val="005E430E"/>
    <w:rsid w:val="005E57C1"/>
    <w:rsid w:val="005F1B85"/>
    <w:rsid w:val="005F2C4D"/>
    <w:rsid w:val="006014D4"/>
    <w:rsid w:val="00602D5D"/>
    <w:rsid w:val="006115A2"/>
    <w:rsid w:val="006126F6"/>
    <w:rsid w:val="0061504E"/>
    <w:rsid w:val="00615D66"/>
    <w:rsid w:val="00620A77"/>
    <w:rsid w:val="0062419A"/>
    <w:rsid w:val="006302BE"/>
    <w:rsid w:val="0063785B"/>
    <w:rsid w:val="00642DF1"/>
    <w:rsid w:val="00645899"/>
    <w:rsid w:val="00653A96"/>
    <w:rsid w:val="00654011"/>
    <w:rsid w:val="0065418E"/>
    <w:rsid w:val="006654F2"/>
    <w:rsid w:val="00666CBD"/>
    <w:rsid w:val="00670933"/>
    <w:rsid w:val="006715CC"/>
    <w:rsid w:val="00685DCE"/>
    <w:rsid w:val="00696FBD"/>
    <w:rsid w:val="006A1165"/>
    <w:rsid w:val="006A1A01"/>
    <w:rsid w:val="006A52C7"/>
    <w:rsid w:val="006B01D9"/>
    <w:rsid w:val="006C00CB"/>
    <w:rsid w:val="006C0AFE"/>
    <w:rsid w:val="006C6375"/>
    <w:rsid w:val="006D03F0"/>
    <w:rsid w:val="006D67E6"/>
    <w:rsid w:val="006E19AC"/>
    <w:rsid w:val="006E6469"/>
    <w:rsid w:val="006E68A9"/>
    <w:rsid w:val="006E7148"/>
    <w:rsid w:val="006E71BA"/>
    <w:rsid w:val="006F36E6"/>
    <w:rsid w:val="00701D58"/>
    <w:rsid w:val="00701F30"/>
    <w:rsid w:val="007108DF"/>
    <w:rsid w:val="00716619"/>
    <w:rsid w:val="007168D7"/>
    <w:rsid w:val="00717C2B"/>
    <w:rsid w:val="007206A1"/>
    <w:rsid w:val="007239DC"/>
    <w:rsid w:val="00725E46"/>
    <w:rsid w:val="00741B1D"/>
    <w:rsid w:val="0074227F"/>
    <w:rsid w:val="00745098"/>
    <w:rsid w:val="0074657D"/>
    <w:rsid w:val="00746798"/>
    <w:rsid w:val="0075050A"/>
    <w:rsid w:val="00753D08"/>
    <w:rsid w:val="007617AF"/>
    <w:rsid w:val="00762799"/>
    <w:rsid w:val="007646FC"/>
    <w:rsid w:val="00774000"/>
    <w:rsid w:val="00781865"/>
    <w:rsid w:val="00787F7E"/>
    <w:rsid w:val="007904F6"/>
    <w:rsid w:val="00793357"/>
    <w:rsid w:val="007939AA"/>
    <w:rsid w:val="007A1917"/>
    <w:rsid w:val="007A5517"/>
    <w:rsid w:val="007B398B"/>
    <w:rsid w:val="007B4B78"/>
    <w:rsid w:val="007B5591"/>
    <w:rsid w:val="007C73EF"/>
    <w:rsid w:val="007D0D0B"/>
    <w:rsid w:val="007D178E"/>
    <w:rsid w:val="007D341A"/>
    <w:rsid w:val="007D62D8"/>
    <w:rsid w:val="007E1307"/>
    <w:rsid w:val="007F0634"/>
    <w:rsid w:val="007F2AC5"/>
    <w:rsid w:val="00800209"/>
    <w:rsid w:val="0080709F"/>
    <w:rsid w:val="00812719"/>
    <w:rsid w:val="00815364"/>
    <w:rsid w:val="00821079"/>
    <w:rsid w:val="00825070"/>
    <w:rsid w:val="008256C4"/>
    <w:rsid w:val="0083192A"/>
    <w:rsid w:val="00833C6D"/>
    <w:rsid w:val="00845C30"/>
    <w:rsid w:val="00847EBD"/>
    <w:rsid w:val="008504FF"/>
    <w:rsid w:val="00857361"/>
    <w:rsid w:val="00870395"/>
    <w:rsid w:val="0087100E"/>
    <w:rsid w:val="00872134"/>
    <w:rsid w:val="00885025"/>
    <w:rsid w:val="008939CD"/>
    <w:rsid w:val="008961B3"/>
    <w:rsid w:val="008A4F25"/>
    <w:rsid w:val="008C088E"/>
    <w:rsid w:val="008D386D"/>
    <w:rsid w:val="008F5D20"/>
    <w:rsid w:val="00914B16"/>
    <w:rsid w:val="00920A47"/>
    <w:rsid w:val="00922C17"/>
    <w:rsid w:val="009241FD"/>
    <w:rsid w:val="00924323"/>
    <w:rsid w:val="00936D0B"/>
    <w:rsid w:val="00937F0E"/>
    <w:rsid w:val="009437A5"/>
    <w:rsid w:val="00947CF1"/>
    <w:rsid w:val="009548E3"/>
    <w:rsid w:val="0095790E"/>
    <w:rsid w:val="009601AF"/>
    <w:rsid w:val="00961703"/>
    <w:rsid w:val="00970C99"/>
    <w:rsid w:val="0098100B"/>
    <w:rsid w:val="009811BD"/>
    <w:rsid w:val="009A2126"/>
    <w:rsid w:val="009A50E0"/>
    <w:rsid w:val="009A7FCC"/>
    <w:rsid w:val="009C07F6"/>
    <w:rsid w:val="009C2BF6"/>
    <w:rsid w:val="009C41FF"/>
    <w:rsid w:val="009D4699"/>
    <w:rsid w:val="009D5F24"/>
    <w:rsid w:val="009E2377"/>
    <w:rsid w:val="009E2514"/>
    <w:rsid w:val="009E4148"/>
    <w:rsid w:val="009E458B"/>
    <w:rsid w:val="009F209D"/>
    <w:rsid w:val="009F4A19"/>
    <w:rsid w:val="00A1161F"/>
    <w:rsid w:val="00A130F8"/>
    <w:rsid w:val="00A2115A"/>
    <w:rsid w:val="00A23EC2"/>
    <w:rsid w:val="00A25C1A"/>
    <w:rsid w:val="00A2761C"/>
    <w:rsid w:val="00A373EF"/>
    <w:rsid w:val="00A4295D"/>
    <w:rsid w:val="00A434DC"/>
    <w:rsid w:val="00A572C9"/>
    <w:rsid w:val="00A73BFE"/>
    <w:rsid w:val="00A7566A"/>
    <w:rsid w:val="00A84306"/>
    <w:rsid w:val="00A85131"/>
    <w:rsid w:val="00A87785"/>
    <w:rsid w:val="00A87804"/>
    <w:rsid w:val="00A94053"/>
    <w:rsid w:val="00A96011"/>
    <w:rsid w:val="00AA17C1"/>
    <w:rsid w:val="00AA26A2"/>
    <w:rsid w:val="00AA4FCB"/>
    <w:rsid w:val="00AB04E9"/>
    <w:rsid w:val="00AB660B"/>
    <w:rsid w:val="00AB7E5C"/>
    <w:rsid w:val="00AC55D8"/>
    <w:rsid w:val="00AD08D9"/>
    <w:rsid w:val="00AD4289"/>
    <w:rsid w:val="00AD43CB"/>
    <w:rsid w:val="00AF26B9"/>
    <w:rsid w:val="00AF3558"/>
    <w:rsid w:val="00AF5D76"/>
    <w:rsid w:val="00B0444D"/>
    <w:rsid w:val="00B10832"/>
    <w:rsid w:val="00B155C4"/>
    <w:rsid w:val="00B27DA2"/>
    <w:rsid w:val="00B32C6C"/>
    <w:rsid w:val="00B34042"/>
    <w:rsid w:val="00B34869"/>
    <w:rsid w:val="00B41578"/>
    <w:rsid w:val="00B47461"/>
    <w:rsid w:val="00B572C5"/>
    <w:rsid w:val="00B57B48"/>
    <w:rsid w:val="00B628FB"/>
    <w:rsid w:val="00B63009"/>
    <w:rsid w:val="00B66355"/>
    <w:rsid w:val="00B740DC"/>
    <w:rsid w:val="00B76CFD"/>
    <w:rsid w:val="00B85063"/>
    <w:rsid w:val="00B9118A"/>
    <w:rsid w:val="00B97007"/>
    <w:rsid w:val="00BA1183"/>
    <w:rsid w:val="00BA34A9"/>
    <w:rsid w:val="00BA3A9C"/>
    <w:rsid w:val="00BA60F7"/>
    <w:rsid w:val="00BB1D3B"/>
    <w:rsid w:val="00BB2596"/>
    <w:rsid w:val="00BB7A36"/>
    <w:rsid w:val="00BC285C"/>
    <w:rsid w:val="00BC2983"/>
    <w:rsid w:val="00BC7C84"/>
    <w:rsid w:val="00BD300F"/>
    <w:rsid w:val="00BD5E3D"/>
    <w:rsid w:val="00BD5E69"/>
    <w:rsid w:val="00BE0434"/>
    <w:rsid w:val="00BE2402"/>
    <w:rsid w:val="00BE669C"/>
    <w:rsid w:val="00BE66D9"/>
    <w:rsid w:val="00C0562D"/>
    <w:rsid w:val="00C12E1E"/>
    <w:rsid w:val="00C151FE"/>
    <w:rsid w:val="00C25F69"/>
    <w:rsid w:val="00C37210"/>
    <w:rsid w:val="00C40950"/>
    <w:rsid w:val="00C5010B"/>
    <w:rsid w:val="00C55908"/>
    <w:rsid w:val="00C55A07"/>
    <w:rsid w:val="00C55C2E"/>
    <w:rsid w:val="00C6613C"/>
    <w:rsid w:val="00C85030"/>
    <w:rsid w:val="00C86C9F"/>
    <w:rsid w:val="00C87E9A"/>
    <w:rsid w:val="00CA0BE6"/>
    <w:rsid w:val="00CB3279"/>
    <w:rsid w:val="00CB4CCD"/>
    <w:rsid w:val="00CB56D1"/>
    <w:rsid w:val="00CD1907"/>
    <w:rsid w:val="00CE24E2"/>
    <w:rsid w:val="00CE2A90"/>
    <w:rsid w:val="00CE48F6"/>
    <w:rsid w:val="00CF53BB"/>
    <w:rsid w:val="00CF5508"/>
    <w:rsid w:val="00D00727"/>
    <w:rsid w:val="00D017D3"/>
    <w:rsid w:val="00D05A19"/>
    <w:rsid w:val="00D076F0"/>
    <w:rsid w:val="00D1754C"/>
    <w:rsid w:val="00D20C52"/>
    <w:rsid w:val="00D256A9"/>
    <w:rsid w:val="00D277BD"/>
    <w:rsid w:val="00D32614"/>
    <w:rsid w:val="00D36F91"/>
    <w:rsid w:val="00D4450D"/>
    <w:rsid w:val="00D5040B"/>
    <w:rsid w:val="00D73732"/>
    <w:rsid w:val="00D74EA7"/>
    <w:rsid w:val="00D75C49"/>
    <w:rsid w:val="00D776D5"/>
    <w:rsid w:val="00D82796"/>
    <w:rsid w:val="00D83EB4"/>
    <w:rsid w:val="00D850AE"/>
    <w:rsid w:val="00D865D6"/>
    <w:rsid w:val="00D93E3E"/>
    <w:rsid w:val="00D957D6"/>
    <w:rsid w:val="00DA1793"/>
    <w:rsid w:val="00DA1AC8"/>
    <w:rsid w:val="00DA3DDA"/>
    <w:rsid w:val="00DA5DC6"/>
    <w:rsid w:val="00DA771D"/>
    <w:rsid w:val="00DB1CED"/>
    <w:rsid w:val="00DB7EB7"/>
    <w:rsid w:val="00DC1BF3"/>
    <w:rsid w:val="00DC3951"/>
    <w:rsid w:val="00DC44AE"/>
    <w:rsid w:val="00DC5430"/>
    <w:rsid w:val="00DC5E28"/>
    <w:rsid w:val="00DD1FF6"/>
    <w:rsid w:val="00DD6FC8"/>
    <w:rsid w:val="00DD740E"/>
    <w:rsid w:val="00DE5DEB"/>
    <w:rsid w:val="00E03D16"/>
    <w:rsid w:val="00E04BA4"/>
    <w:rsid w:val="00E07E6A"/>
    <w:rsid w:val="00E113E4"/>
    <w:rsid w:val="00E11D78"/>
    <w:rsid w:val="00E13A1E"/>
    <w:rsid w:val="00E30471"/>
    <w:rsid w:val="00E37D62"/>
    <w:rsid w:val="00E42C2C"/>
    <w:rsid w:val="00E43A7A"/>
    <w:rsid w:val="00E461BC"/>
    <w:rsid w:val="00E53BB3"/>
    <w:rsid w:val="00E56C44"/>
    <w:rsid w:val="00E60FA7"/>
    <w:rsid w:val="00E6227A"/>
    <w:rsid w:val="00E72EF4"/>
    <w:rsid w:val="00E7330F"/>
    <w:rsid w:val="00E771F1"/>
    <w:rsid w:val="00E83841"/>
    <w:rsid w:val="00E84397"/>
    <w:rsid w:val="00E92B43"/>
    <w:rsid w:val="00EA09ED"/>
    <w:rsid w:val="00EB19B3"/>
    <w:rsid w:val="00EB1A04"/>
    <w:rsid w:val="00EB296D"/>
    <w:rsid w:val="00EB3CD4"/>
    <w:rsid w:val="00EC1FDD"/>
    <w:rsid w:val="00EC515F"/>
    <w:rsid w:val="00EC523A"/>
    <w:rsid w:val="00ED0226"/>
    <w:rsid w:val="00ED1CDD"/>
    <w:rsid w:val="00ED5136"/>
    <w:rsid w:val="00EE261B"/>
    <w:rsid w:val="00EE3620"/>
    <w:rsid w:val="00EE3F92"/>
    <w:rsid w:val="00EE4EBB"/>
    <w:rsid w:val="00EE556B"/>
    <w:rsid w:val="00EE6D79"/>
    <w:rsid w:val="00EE7488"/>
    <w:rsid w:val="00EF5C08"/>
    <w:rsid w:val="00F02CD8"/>
    <w:rsid w:val="00F06200"/>
    <w:rsid w:val="00F1065F"/>
    <w:rsid w:val="00F13537"/>
    <w:rsid w:val="00F15EDC"/>
    <w:rsid w:val="00F25847"/>
    <w:rsid w:val="00F31CB3"/>
    <w:rsid w:val="00F335FB"/>
    <w:rsid w:val="00F45E55"/>
    <w:rsid w:val="00F4680C"/>
    <w:rsid w:val="00F53BBD"/>
    <w:rsid w:val="00F54E26"/>
    <w:rsid w:val="00F57B33"/>
    <w:rsid w:val="00F635C8"/>
    <w:rsid w:val="00F661ED"/>
    <w:rsid w:val="00F741A3"/>
    <w:rsid w:val="00F766B2"/>
    <w:rsid w:val="00F801A1"/>
    <w:rsid w:val="00F81D1A"/>
    <w:rsid w:val="00F943E3"/>
    <w:rsid w:val="00F9534E"/>
    <w:rsid w:val="00FA0030"/>
    <w:rsid w:val="00FA151E"/>
    <w:rsid w:val="00FA36EA"/>
    <w:rsid w:val="00FB1BB7"/>
    <w:rsid w:val="00FB46B2"/>
    <w:rsid w:val="00FC6BE6"/>
    <w:rsid w:val="00FD21F6"/>
    <w:rsid w:val="00FD621A"/>
    <w:rsid w:val="00FE1243"/>
    <w:rsid w:val="00FE35D0"/>
    <w:rsid w:val="00FF0F38"/>
    <w:rsid w:val="00FF502E"/>
    <w:rsid w:val="050446B0"/>
    <w:rsid w:val="05862F44"/>
    <w:rsid w:val="05A63067"/>
    <w:rsid w:val="07AC0FC5"/>
    <w:rsid w:val="0C5924A9"/>
    <w:rsid w:val="24251AC7"/>
    <w:rsid w:val="283F674D"/>
    <w:rsid w:val="301601A6"/>
    <w:rsid w:val="339A4CB7"/>
    <w:rsid w:val="36C57250"/>
    <w:rsid w:val="3D8F2F1B"/>
    <w:rsid w:val="5E46632F"/>
    <w:rsid w:val="6B737129"/>
    <w:rsid w:val="779F004E"/>
    <w:rsid w:val="BCDFA305"/>
    <w:rsid w:val="DEF70035"/>
    <w:rsid w:val="DFFFE17D"/>
    <w:rsid w:val="ED776AC6"/>
    <w:rsid w:val="EF9F915E"/>
    <w:rsid w:val="FBB7C68F"/>
    <w:rsid w:val="FDF752B8"/>
    <w:rsid w:val="FE9A5B5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dobe 仿宋 Std R" w:cs="Times New Roman"/>
      <w:kern w:val="2"/>
      <w:sz w:val="32"/>
      <w:szCs w:val="24"/>
      <w:lang w:val="en-US" w:eastAsia="zh-CN" w:bidi="ar-SA"/>
    </w:rPr>
  </w:style>
  <w:style w:type="paragraph" w:styleId="2">
    <w:name w:val="heading 1"/>
    <w:basedOn w:val="1"/>
    <w:next w:val="1"/>
    <w:link w:val="28"/>
    <w:qFormat/>
    <w:uiPriority w:val="0"/>
    <w:pPr>
      <w:spacing w:beforeLines="50" w:afterLines="50"/>
      <w:ind w:left="1429"/>
      <w:outlineLvl w:val="0"/>
    </w:pPr>
    <w:rPr>
      <w:rFonts w:ascii="Calibri" w:hAnsi="Calibri" w:eastAsia="黑体"/>
      <w:szCs w:val="22"/>
    </w:rPr>
  </w:style>
  <w:style w:type="paragraph" w:styleId="3">
    <w:name w:val="heading 2"/>
    <w:basedOn w:val="1"/>
    <w:next w:val="1"/>
    <w:link w:val="29"/>
    <w:qFormat/>
    <w:uiPriority w:val="9"/>
    <w:pPr>
      <w:keepNext/>
      <w:keepLines/>
      <w:spacing w:before="120" w:after="120" w:line="360" w:lineRule="auto"/>
      <w:ind w:firstLine="200" w:firstLineChars="200"/>
      <w:outlineLvl w:val="1"/>
    </w:pPr>
    <w:rPr>
      <w:rFonts w:ascii="Cambria" w:hAnsi="Cambria" w:eastAsia="黑体"/>
      <w:b/>
      <w:bCs/>
      <w:snapToGrid w:val="0"/>
      <w:kern w:val="0"/>
      <w:szCs w:val="32"/>
      <w:lang w:val="zh-CN"/>
    </w:rPr>
  </w:style>
  <w:style w:type="paragraph" w:styleId="4">
    <w:name w:val="heading 3"/>
    <w:basedOn w:val="1"/>
    <w:next w:val="1"/>
    <w:link w:val="30"/>
    <w:unhideWhenUsed/>
    <w:qFormat/>
    <w:uiPriority w:val="0"/>
    <w:pPr>
      <w:keepNext/>
      <w:keepLines/>
      <w:spacing w:before="260" w:after="260" w:line="416" w:lineRule="auto"/>
      <w:ind w:firstLine="200" w:firstLineChars="200"/>
      <w:outlineLvl w:val="2"/>
    </w:pPr>
    <w:rPr>
      <w:rFonts w:eastAsia="仿宋_GB2312"/>
      <w:bCs/>
      <w:snapToGrid w:val="0"/>
      <w:kern w:val="0"/>
      <w:szCs w:val="32"/>
    </w:rPr>
  </w:style>
  <w:style w:type="paragraph" w:styleId="5">
    <w:name w:val="heading 4"/>
    <w:basedOn w:val="1"/>
    <w:next w:val="1"/>
    <w:link w:val="31"/>
    <w:unhideWhenUsed/>
    <w:qFormat/>
    <w:uiPriority w:val="9"/>
    <w:pPr>
      <w:keepNext/>
      <w:keepLines/>
      <w:spacing w:before="280" w:after="290" w:line="376" w:lineRule="auto"/>
      <w:ind w:firstLine="200" w:firstLineChars="200"/>
      <w:outlineLvl w:val="3"/>
    </w:pPr>
    <w:rPr>
      <w:rFonts w:asciiTheme="majorHAnsi" w:hAnsiTheme="majorHAnsi" w:eastAsiaTheme="majorEastAsia" w:cstheme="majorBidi"/>
      <w:b/>
      <w:bCs/>
      <w:snapToGrid w:val="0"/>
      <w:kern w:val="0"/>
      <w:sz w:val="28"/>
      <w:szCs w:val="28"/>
    </w:rPr>
  </w:style>
  <w:style w:type="paragraph" w:styleId="6">
    <w:name w:val="heading 5"/>
    <w:basedOn w:val="1"/>
    <w:next w:val="1"/>
    <w:link w:val="32"/>
    <w:unhideWhenUsed/>
    <w:qFormat/>
    <w:uiPriority w:val="9"/>
    <w:pPr>
      <w:keepNext/>
      <w:keepLines/>
      <w:spacing w:before="280" w:after="290" w:line="376" w:lineRule="auto"/>
      <w:ind w:firstLine="200" w:firstLineChars="200"/>
      <w:outlineLvl w:val="4"/>
    </w:pPr>
    <w:rPr>
      <w:rFonts w:eastAsia="仿宋_GB2312"/>
      <w:b/>
      <w:bCs/>
      <w:snapToGrid w:val="0"/>
      <w:kern w:val="0"/>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ascii="Cambria" w:hAnsi="Cambria" w:eastAsia="黑体"/>
      <w:sz w:val="20"/>
      <w:szCs w:val="20"/>
    </w:rPr>
  </w:style>
  <w:style w:type="paragraph" w:styleId="8">
    <w:name w:val="annotation text"/>
    <w:basedOn w:val="1"/>
    <w:link w:val="40"/>
    <w:unhideWhenUsed/>
    <w:qFormat/>
    <w:uiPriority w:val="0"/>
    <w:pPr>
      <w:jc w:val="left"/>
    </w:pPr>
  </w:style>
  <w:style w:type="paragraph" w:styleId="9">
    <w:name w:val="Body Text"/>
    <w:basedOn w:val="1"/>
    <w:link w:val="43"/>
    <w:qFormat/>
    <w:uiPriority w:val="0"/>
    <w:pPr>
      <w:spacing w:after="120" w:line="300" w:lineRule="auto"/>
      <w:ind w:firstLine="200" w:firstLineChars="200"/>
    </w:pPr>
    <w:rPr>
      <w:rFonts w:eastAsia="仿宋_GB2312"/>
      <w:snapToGrid w:val="0"/>
      <w:kern w:val="0"/>
      <w:szCs w:val="32"/>
    </w:rPr>
  </w:style>
  <w:style w:type="paragraph" w:styleId="10">
    <w:name w:val="Plain Text"/>
    <w:basedOn w:val="1"/>
    <w:link w:val="46"/>
    <w:qFormat/>
    <w:uiPriority w:val="0"/>
    <w:pPr>
      <w:spacing w:line="300" w:lineRule="auto"/>
      <w:ind w:firstLine="200" w:firstLineChars="200"/>
    </w:pPr>
    <w:rPr>
      <w:rFonts w:hAnsi="Courier New" w:cs="Courier New" w:asciiTheme="minorEastAsia" w:eastAsiaTheme="minorEastAsia"/>
      <w:snapToGrid w:val="0"/>
      <w:kern w:val="0"/>
      <w:szCs w:val="32"/>
    </w:rPr>
  </w:style>
  <w:style w:type="paragraph" w:styleId="11">
    <w:name w:val="endnote text"/>
    <w:basedOn w:val="1"/>
    <w:link w:val="56"/>
    <w:semiHidden/>
    <w:unhideWhenUsed/>
    <w:qFormat/>
    <w:uiPriority w:val="0"/>
    <w:pPr>
      <w:snapToGrid w:val="0"/>
      <w:spacing w:line="300" w:lineRule="auto"/>
      <w:ind w:firstLine="200" w:firstLineChars="200"/>
      <w:jc w:val="left"/>
    </w:pPr>
    <w:rPr>
      <w:rFonts w:eastAsia="仿宋_GB2312"/>
      <w:snapToGrid w:val="0"/>
      <w:kern w:val="0"/>
      <w:szCs w:val="32"/>
    </w:rPr>
  </w:style>
  <w:style w:type="paragraph" w:styleId="12">
    <w:name w:val="Balloon Text"/>
    <w:basedOn w:val="1"/>
    <w:link w:val="37"/>
    <w:unhideWhenUsed/>
    <w:qFormat/>
    <w:uiPriority w:val="0"/>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rPr>
  </w:style>
  <w:style w:type="paragraph" w:styleId="14">
    <w:name w:val="header"/>
    <w:basedOn w:val="1"/>
    <w:link w:val="34"/>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5">
    <w:name w:val="Subtitle"/>
    <w:basedOn w:val="1"/>
    <w:next w:val="1"/>
    <w:link w:val="44"/>
    <w:qFormat/>
    <w:uiPriority w:val="11"/>
    <w:pPr>
      <w:spacing w:before="240" w:after="60" w:line="312" w:lineRule="auto"/>
      <w:ind w:firstLine="200" w:firstLineChars="200"/>
      <w:jc w:val="center"/>
      <w:outlineLvl w:val="1"/>
    </w:pPr>
    <w:rPr>
      <w:rFonts w:ascii="Cambria" w:hAnsi="Cambria" w:eastAsia="仿宋_GB2312"/>
      <w:b/>
      <w:bCs/>
      <w:snapToGrid w:val="0"/>
      <w:kern w:val="28"/>
      <w:szCs w:val="32"/>
      <w:lang w:val="zh-CN"/>
    </w:rPr>
  </w:style>
  <w:style w:type="paragraph" w:styleId="16">
    <w:name w:val="footnote text"/>
    <w:basedOn w:val="1"/>
    <w:link w:val="55"/>
    <w:unhideWhenUsed/>
    <w:qFormat/>
    <w:uiPriority w:val="0"/>
    <w:pPr>
      <w:adjustRightInd w:val="0"/>
      <w:snapToGrid w:val="0"/>
      <w:spacing w:line="264" w:lineRule="auto"/>
      <w:jc w:val="left"/>
    </w:pPr>
    <w:rPr>
      <w:rFonts w:eastAsia="仿宋_GB2312"/>
      <w:snapToGrid w:val="0"/>
      <w:kern w:val="0"/>
      <w:sz w:val="18"/>
      <w:szCs w:val="18"/>
    </w:rPr>
  </w:style>
  <w:style w:type="paragraph" w:styleId="17">
    <w:name w:val="HTML Preformatted"/>
    <w:basedOn w:val="1"/>
    <w:next w:val="10"/>
    <w:link w:val="7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8">
    <w:name w:val="annotation subject"/>
    <w:basedOn w:val="8"/>
    <w:next w:val="8"/>
    <w:link w:val="41"/>
    <w:unhideWhenUsed/>
    <w:qFormat/>
    <w:uiPriority w:val="99"/>
    <w:rPr>
      <w:b/>
      <w:bCs/>
    </w:rPr>
  </w:style>
  <w:style w:type="table" w:styleId="20">
    <w:name w:val="Table Grid"/>
    <w:basedOn w:val="19"/>
    <w:qFormat/>
    <w:uiPriority w:val="59"/>
    <w:rPr>
      <w:rFonts w:ascii="Times New Roman" w:hAnsi="Times New Roman" w:eastAsia="仿宋_GB2312"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character" w:styleId="24">
    <w:name w:val="Emphasis"/>
    <w:basedOn w:val="21"/>
    <w:qFormat/>
    <w:uiPriority w:val="0"/>
    <w:rPr>
      <w:i/>
      <w:iCs/>
    </w:rPr>
  </w:style>
  <w:style w:type="character" w:styleId="25">
    <w:name w:val="line number"/>
    <w:basedOn w:val="21"/>
    <w:semiHidden/>
    <w:unhideWhenUsed/>
    <w:uiPriority w:val="0"/>
  </w:style>
  <w:style w:type="character" w:styleId="26">
    <w:name w:val="annotation reference"/>
    <w:basedOn w:val="21"/>
    <w:unhideWhenUsed/>
    <w:qFormat/>
    <w:uiPriority w:val="0"/>
    <w:rPr>
      <w:sz w:val="21"/>
      <w:szCs w:val="21"/>
    </w:rPr>
  </w:style>
  <w:style w:type="character" w:styleId="27">
    <w:name w:val="footnote reference"/>
    <w:basedOn w:val="21"/>
    <w:unhideWhenUsed/>
    <w:qFormat/>
    <w:uiPriority w:val="0"/>
    <w:rPr>
      <w:vertAlign w:val="superscript"/>
    </w:rPr>
  </w:style>
  <w:style w:type="character" w:customStyle="1" w:styleId="28">
    <w:name w:val="标题 1 Char"/>
    <w:basedOn w:val="21"/>
    <w:link w:val="2"/>
    <w:qFormat/>
    <w:uiPriority w:val="9"/>
    <w:rPr>
      <w:rFonts w:ascii="Calibri" w:hAnsi="Calibri" w:eastAsia="黑体" w:cs="Times New Roman"/>
      <w:kern w:val="2"/>
      <w:sz w:val="32"/>
      <w:szCs w:val="22"/>
    </w:rPr>
  </w:style>
  <w:style w:type="character" w:customStyle="1" w:styleId="29">
    <w:name w:val="标题 2 Char"/>
    <w:basedOn w:val="21"/>
    <w:link w:val="3"/>
    <w:qFormat/>
    <w:uiPriority w:val="9"/>
    <w:rPr>
      <w:rFonts w:ascii="Cambria" w:hAnsi="Cambria" w:eastAsia="黑体" w:cs="Times New Roman"/>
      <w:b/>
      <w:bCs/>
      <w:snapToGrid w:val="0"/>
      <w:sz w:val="32"/>
      <w:szCs w:val="32"/>
      <w:lang w:val="zh-CN"/>
    </w:rPr>
  </w:style>
  <w:style w:type="character" w:customStyle="1" w:styleId="30">
    <w:name w:val="标题 3 Char"/>
    <w:basedOn w:val="21"/>
    <w:link w:val="4"/>
    <w:qFormat/>
    <w:uiPriority w:val="9"/>
    <w:rPr>
      <w:rFonts w:ascii="Times New Roman" w:hAnsi="Times New Roman" w:eastAsia="仿宋_GB2312" w:cs="Times New Roman"/>
      <w:bCs/>
      <w:snapToGrid w:val="0"/>
      <w:sz w:val="32"/>
      <w:szCs w:val="32"/>
    </w:rPr>
  </w:style>
  <w:style w:type="character" w:customStyle="1" w:styleId="31">
    <w:name w:val="标题 4 Char"/>
    <w:basedOn w:val="21"/>
    <w:link w:val="5"/>
    <w:qFormat/>
    <w:uiPriority w:val="9"/>
    <w:rPr>
      <w:rFonts w:asciiTheme="majorHAnsi" w:hAnsiTheme="majorHAnsi" w:eastAsiaTheme="majorEastAsia" w:cstheme="majorBidi"/>
      <w:b/>
      <w:bCs/>
      <w:snapToGrid w:val="0"/>
      <w:sz w:val="28"/>
      <w:szCs w:val="28"/>
    </w:rPr>
  </w:style>
  <w:style w:type="character" w:customStyle="1" w:styleId="32">
    <w:name w:val="标题 5 Char"/>
    <w:basedOn w:val="21"/>
    <w:link w:val="6"/>
    <w:qFormat/>
    <w:uiPriority w:val="9"/>
    <w:rPr>
      <w:rFonts w:ascii="Times New Roman" w:hAnsi="Times New Roman" w:eastAsia="仿宋_GB2312" w:cs="Times New Roman"/>
      <w:b/>
      <w:bCs/>
      <w:snapToGrid w:val="0"/>
      <w:sz w:val="28"/>
      <w:szCs w:val="28"/>
    </w:rPr>
  </w:style>
  <w:style w:type="character" w:customStyle="1" w:styleId="33">
    <w:name w:val="页脚 Char"/>
    <w:basedOn w:val="21"/>
    <w:link w:val="13"/>
    <w:qFormat/>
    <w:uiPriority w:val="99"/>
    <w:rPr>
      <w:rFonts w:ascii="Times New Roman" w:hAnsi="Times New Roman" w:eastAsia="Adobe 仿宋 Std R" w:cs="Times New Roman"/>
      <w:kern w:val="2"/>
      <w:sz w:val="18"/>
      <w:szCs w:val="24"/>
    </w:rPr>
  </w:style>
  <w:style w:type="character" w:customStyle="1" w:styleId="34">
    <w:name w:val="页眉 Char"/>
    <w:basedOn w:val="21"/>
    <w:link w:val="14"/>
    <w:qFormat/>
    <w:uiPriority w:val="99"/>
    <w:rPr>
      <w:rFonts w:ascii="DejaVu Sans" w:hAnsi="DejaVu Sans" w:eastAsia="Adobe 仿宋 Std R" w:cs="Times New Roman"/>
      <w:kern w:val="2"/>
      <w:sz w:val="18"/>
      <w:szCs w:val="24"/>
    </w:rPr>
  </w:style>
  <w:style w:type="paragraph" w:customStyle="1" w:styleId="35">
    <w:name w:val="列出段落1"/>
    <w:basedOn w:val="1"/>
    <w:link w:val="36"/>
    <w:qFormat/>
    <w:uiPriority w:val="34"/>
    <w:pPr>
      <w:ind w:firstLine="420" w:firstLineChars="200"/>
    </w:pPr>
    <w:rPr>
      <w:rFonts w:eastAsia="仿宋_GB2312"/>
      <w:szCs w:val="32"/>
    </w:rPr>
  </w:style>
  <w:style w:type="character" w:customStyle="1" w:styleId="36">
    <w:name w:val="列出段落 Char"/>
    <w:basedOn w:val="21"/>
    <w:link w:val="35"/>
    <w:qFormat/>
    <w:uiPriority w:val="34"/>
    <w:rPr>
      <w:rFonts w:ascii="Times New Roman" w:hAnsi="Times New Roman" w:eastAsia="仿宋_GB2312" w:cs="Times New Roman"/>
      <w:sz w:val="32"/>
      <w:szCs w:val="32"/>
    </w:rPr>
  </w:style>
  <w:style w:type="character" w:customStyle="1" w:styleId="37">
    <w:name w:val="批注框文本 Char1"/>
    <w:basedOn w:val="21"/>
    <w:link w:val="12"/>
    <w:qFormat/>
    <w:uiPriority w:val="0"/>
    <w:rPr>
      <w:rFonts w:ascii="Times New Roman" w:hAnsi="Times New Roman" w:eastAsia="Adobe 仿宋 Std R" w:cs="Times New Roman"/>
      <w:kern w:val="2"/>
      <w:sz w:val="18"/>
      <w:szCs w:val="18"/>
    </w:rPr>
  </w:style>
  <w:style w:type="paragraph" w:styleId="38">
    <w:name w:val="List Paragraph"/>
    <w:basedOn w:val="1"/>
    <w:link w:val="39"/>
    <w:unhideWhenUsed/>
    <w:qFormat/>
    <w:uiPriority w:val="34"/>
    <w:pPr>
      <w:ind w:firstLine="420" w:firstLineChars="200"/>
    </w:pPr>
  </w:style>
  <w:style w:type="character" w:customStyle="1" w:styleId="39">
    <w:name w:val="列出段落 Char1"/>
    <w:link w:val="38"/>
    <w:qFormat/>
    <w:uiPriority w:val="34"/>
    <w:rPr>
      <w:rFonts w:ascii="Times New Roman" w:hAnsi="Times New Roman" w:eastAsia="Adobe 仿宋 Std R" w:cs="Times New Roman"/>
      <w:kern w:val="2"/>
      <w:sz w:val="32"/>
      <w:szCs w:val="24"/>
    </w:rPr>
  </w:style>
  <w:style w:type="character" w:customStyle="1" w:styleId="40">
    <w:name w:val="批注文字 Char1"/>
    <w:basedOn w:val="21"/>
    <w:link w:val="8"/>
    <w:qFormat/>
    <w:uiPriority w:val="0"/>
    <w:rPr>
      <w:rFonts w:ascii="Times New Roman" w:hAnsi="Times New Roman" w:eastAsia="Adobe 仿宋 Std R" w:cs="Times New Roman"/>
      <w:kern w:val="2"/>
      <w:sz w:val="32"/>
      <w:szCs w:val="24"/>
    </w:rPr>
  </w:style>
  <w:style w:type="character" w:customStyle="1" w:styleId="41">
    <w:name w:val="批注主题 Char"/>
    <w:basedOn w:val="40"/>
    <w:link w:val="18"/>
    <w:qFormat/>
    <w:uiPriority w:val="99"/>
    <w:rPr>
      <w:rFonts w:ascii="Times New Roman" w:hAnsi="Times New Roman" w:eastAsia="Adobe 仿宋 Std R" w:cs="Times New Roman"/>
      <w:b/>
      <w:bCs/>
      <w:kern w:val="2"/>
      <w:sz w:val="32"/>
      <w:szCs w:val="24"/>
    </w:rPr>
  </w:style>
  <w:style w:type="paragraph" w:customStyle="1" w:styleId="42">
    <w:name w:val="_Style 28"/>
    <w:basedOn w:val="1"/>
    <w:next w:val="38"/>
    <w:qFormat/>
    <w:uiPriority w:val="34"/>
    <w:pPr>
      <w:ind w:firstLine="420" w:firstLineChars="200"/>
    </w:pPr>
    <w:rPr>
      <w:rFonts w:eastAsia="宋体"/>
      <w:sz w:val="21"/>
    </w:rPr>
  </w:style>
  <w:style w:type="character" w:customStyle="1" w:styleId="43">
    <w:name w:val="正文文本 Char"/>
    <w:basedOn w:val="21"/>
    <w:link w:val="9"/>
    <w:qFormat/>
    <w:uiPriority w:val="0"/>
    <w:rPr>
      <w:rFonts w:ascii="Times New Roman" w:hAnsi="Times New Roman" w:eastAsia="仿宋_GB2312" w:cs="Times New Roman"/>
      <w:snapToGrid w:val="0"/>
      <w:sz w:val="32"/>
      <w:szCs w:val="32"/>
    </w:rPr>
  </w:style>
  <w:style w:type="character" w:customStyle="1" w:styleId="44">
    <w:name w:val="副标题 Char"/>
    <w:basedOn w:val="21"/>
    <w:link w:val="15"/>
    <w:qFormat/>
    <w:uiPriority w:val="11"/>
    <w:rPr>
      <w:rFonts w:ascii="Cambria" w:hAnsi="Cambria" w:eastAsia="仿宋_GB2312" w:cs="Times New Roman"/>
      <w:b/>
      <w:bCs/>
      <w:snapToGrid w:val="0"/>
      <w:kern w:val="28"/>
      <w:sz w:val="32"/>
      <w:szCs w:val="32"/>
      <w:lang w:val="zh-CN"/>
    </w:rPr>
  </w:style>
  <w:style w:type="paragraph" w:customStyle="1" w:styleId="45">
    <w:name w:val="修订1"/>
    <w:hidden/>
    <w:semiHidden/>
    <w:qFormat/>
    <w:uiPriority w:val="99"/>
    <w:rPr>
      <w:rFonts w:ascii="Times New Roman" w:hAnsi="Times New Roman" w:eastAsia="仿宋_GB2312" w:cs="Times New Roman"/>
      <w:snapToGrid w:val="0"/>
      <w:kern w:val="2"/>
      <w:sz w:val="21"/>
      <w:szCs w:val="32"/>
      <w:lang w:val="en-US" w:eastAsia="zh-CN" w:bidi="ar-SA"/>
    </w:rPr>
  </w:style>
  <w:style w:type="character" w:customStyle="1" w:styleId="46">
    <w:name w:val="纯文本 Char"/>
    <w:basedOn w:val="21"/>
    <w:link w:val="10"/>
    <w:qFormat/>
    <w:uiPriority w:val="0"/>
    <w:rPr>
      <w:rFonts w:hAnsi="Courier New" w:cs="Courier New" w:asciiTheme="minorEastAsia"/>
      <w:snapToGrid w:val="0"/>
      <w:sz w:val="32"/>
      <w:szCs w:val="32"/>
    </w:rPr>
  </w:style>
  <w:style w:type="character" w:styleId="47">
    <w:name w:val="Placeholder Text"/>
    <w:basedOn w:val="21"/>
    <w:semiHidden/>
    <w:qFormat/>
    <w:uiPriority w:val="99"/>
    <w:rPr>
      <w:color w:val="808080"/>
    </w:rPr>
  </w:style>
  <w:style w:type="table" w:customStyle="1" w:styleId="48">
    <w:name w:val="Table Normal1"/>
    <w:semiHidden/>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table" w:customStyle="1" w:styleId="49">
    <w:name w:val="网格型1"/>
    <w:basedOn w:val="1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网格型2"/>
    <w:basedOn w:val="19"/>
    <w:qFormat/>
    <w:uiPriority w:val="39"/>
    <w:rPr>
      <w:rFonts w:ascii="Times New Roman" w:hAnsi="Times New Roman" w:eastAsia="宋体" w:cs="Times New Roman"/>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Table Normal14"/>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table" w:customStyle="1" w:styleId="52">
    <w:name w:val="网格型3"/>
    <w:basedOn w:val="19"/>
    <w:qFormat/>
    <w:uiPriority w:val="39"/>
    <w:rPr>
      <w:rFonts w:ascii="Times New Roman" w:hAnsi="Times New Roman" w:eastAsia="宋体" w:cs="Times New Roman"/>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
    <w:name w:val="Table Normal11"/>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table" w:customStyle="1" w:styleId="54">
    <w:name w:val="Table Normal12"/>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character" w:customStyle="1" w:styleId="55">
    <w:name w:val="脚注文本 Char"/>
    <w:basedOn w:val="21"/>
    <w:link w:val="16"/>
    <w:qFormat/>
    <w:uiPriority w:val="0"/>
    <w:rPr>
      <w:rFonts w:ascii="Times New Roman" w:hAnsi="Times New Roman" w:eastAsia="仿宋_GB2312" w:cs="Times New Roman"/>
      <w:snapToGrid w:val="0"/>
      <w:sz w:val="18"/>
      <w:szCs w:val="18"/>
    </w:rPr>
  </w:style>
  <w:style w:type="character" w:customStyle="1" w:styleId="56">
    <w:name w:val="尾注文本 Char"/>
    <w:basedOn w:val="21"/>
    <w:link w:val="11"/>
    <w:semiHidden/>
    <w:qFormat/>
    <w:uiPriority w:val="0"/>
    <w:rPr>
      <w:rFonts w:ascii="Times New Roman" w:hAnsi="Times New Roman" w:eastAsia="仿宋_GB2312" w:cs="Times New Roman"/>
      <w:snapToGrid w:val="0"/>
      <w:sz w:val="32"/>
      <w:szCs w:val="32"/>
    </w:rPr>
  </w:style>
  <w:style w:type="paragraph" w:customStyle="1" w:styleId="57">
    <w:name w:val="正文A"/>
    <w:qFormat/>
    <w:uiPriority w:val="0"/>
    <w:pPr>
      <w:widowControl w:val="0"/>
      <w:spacing w:line="600" w:lineRule="exact"/>
      <w:ind w:firstLine="720"/>
      <w:jc w:val="both"/>
    </w:pPr>
    <w:rPr>
      <w:rFonts w:ascii="仿宋_GB2312" w:hAnsi="黑体" w:eastAsia="仿宋_GB2312" w:cs="Times New Roman"/>
      <w:kern w:val="2"/>
      <w:sz w:val="32"/>
      <w:szCs w:val="32"/>
      <w:lang w:val="en-US" w:eastAsia="zh-CN" w:bidi="ar-SA"/>
    </w:rPr>
  </w:style>
  <w:style w:type="paragraph" w:customStyle="1" w:styleId="58">
    <w:name w:val="修订2"/>
    <w:hidden/>
    <w:semiHidden/>
    <w:qFormat/>
    <w:uiPriority w:val="99"/>
    <w:rPr>
      <w:rFonts w:ascii="Times New Roman" w:hAnsi="Times New Roman" w:eastAsia="仿宋_GB2312" w:cs="Times New Roman"/>
      <w:snapToGrid w:val="0"/>
      <w:sz w:val="32"/>
      <w:szCs w:val="32"/>
      <w:lang w:val="en-US" w:eastAsia="zh-CN" w:bidi="ar-SA"/>
    </w:rPr>
  </w:style>
  <w:style w:type="character" w:customStyle="1" w:styleId="59">
    <w:name w:val="批注框文本 Char"/>
    <w:semiHidden/>
    <w:qFormat/>
    <w:uiPriority w:val="99"/>
    <w:rPr>
      <w:rFonts w:ascii="Times New Roman" w:hAnsi="Times New Roman"/>
      <w:kern w:val="2"/>
      <w:sz w:val="18"/>
      <w:szCs w:val="18"/>
    </w:rPr>
  </w:style>
  <w:style w:type="character" w:customStyle="1" w:styleId="60">
    <w:name w:val="批注文字 Char"/>
    <w:qFormat/>
    <w:uiPriority w:val="0"/>
    <w:rPr>
      <w:rFonts w:ascii="Times New Roman" w:hAnsi="Times New Roman"/>
      <w:kern w:val="2"/>
      <w:sz w:val="21"/>
      <w:szCs w:val="24"/>
    </w:rPr>
  </w:style>
  <w:style w:type="character" w:customStyle="1" w:styleId="61">
    <w:name w:val="无"/>
    <w:qFormat/>
    <w:uiPriority w:val="0"/>
  </w:style>
  <w:style w:type="character" w:customStyle="1" w:styleId="62">
    <w:name w:val="Font Style47"/>
    <w:qFormat/>
    <w:uiPriority w:val="0"/>
    <w:rPr>
      <w:rFonts w:ascii="Times New Roman" w:hAnsi="Times New Roman" w:cs="Times New Roman"/>
      <w:sz w:val="22"/>
      <w:szCs w:val="22"/>
    </w:rPr>
  </w:style>
  <w:style w:type="character" w:customStyle="1" w:styleId="63">
    <w:name w:val="short_text"/>
    <w:qFormat/>
    <w:uiPriority w:val="0"/>
  </w:style>
  <w:style w:type="paragraph" w:customStyle="1" w:styleId="64">
    <w:name w:val="调查项目"/>
    <w:basedOn w:val="1"/>
    <w:qFormat/>
    <w:uiPriority w:val="0"/>
    <w:pPr>
      <w:widowControl/>
      <w:jc w:val="left"/>
      <w:outlineLvl w:val="1"/>
    </w:pPr>
    <w:rPr>
      <w:rFonts w:ascii="Tahoma" w:hAnsi="Tahoma" w:eastAsia="黑体"/>
      <w:bCs/>
      <w:color w:val="333399"/>
      <w:kern w:val="0"/>
      <w:sz w:val="18"/>
      <w:szCs w:val="18"/>
    </w:rPr>
  </w:style>
  <w:style w:type="paragraph" w:customStyle="1" w:styleId="65">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66">
    <w:name w:val="列标题"/>
    <w:basedOn w:val="3"/>
    <w:qFormat/>
    <w:uiPriority w:val="0"/>
    <w:pPr>
      <w:keepNext w:val="0"/>
      <w:keepLines w:val="0"/>
      <w:widowControl/>
      <w:spacing w:before="0" w:after="0" w:line="240" w:lineRule="auto"/>
      <w:ind w:firstLine="0" w:firstLineChars="0"/>
      <w:jc w:val="center"/>
    </w:pPr>
    <w:rPr>
      <w:rFonts w:ascii="Tahoma" w:hAnsi="Tahoma"/>
      <w:b w:val="0"/>
      <w:snapToGrid/>
      <w:color w:val="333399"/>
      <w:sz w:val="18"/>
      <w:szCs w:val="18"/>
      <w:lang w:val="en-US"/>
    </w:rPr>
  </w:style>
  <w:style w:type="paragraph" w:customStyle="1" w:styleId="6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表格正文文本"/>
    <w:basedOn w:val="1"/>
    <w:qFormat/>
    <w:uiPriority w:val="0"/>
    <w:pPr>
      <w:widowControl/>
      <w:jc w:val="center"/>
    </w:pPr>
    <w:rPr>
      <w:rFonts w:ascii="Tahoma" w:hAnsi="Tahoma" w:eastAsia="宋体"/>
      <w:kern w:val="0"/>
      <w:sz w:val="18"/>
      <w:szCs w:val="20"/>
    </w:rPr>
  </w:style>
  <w:style w:type="paragraph" w:customStyle="1" w:styleId="69">
    <w:name w:val="修订3"/>
    <w:hidden/>
    <w:semiHidden/>
    <w:qFormat/>
    <w:uiPriority w:val="99"/>
    <w:rPr>
      <w:rFonts w:ascii="Times New Roman" w:hAnsi="Times New Roman" w:eastAsia="Adobe 仿宋 Std R" w:cs="Times New Roman"/>
      <w:kern w:val="2"/>
      <w:sz w:val="32"/>
      <w:szCs w:val="24"/>
      <w:lang w:val="en-US" w:eastAsia="zh-CN" w:bidi="ar-SA"/>
    </w:rPr>
  </w:style>
  <w:style w:type="paragraph" w:customStyle="1" w:styleId="70">
    <w:name w:val="Revision"/>
    <w:hidden/>
    <w:unhideWhenUsed/>
    <w:qFormat/>
    <w:uiPriority w:val="99"/>
    <w:rPr>
      <w:rFonts w:ascii="Times New Roman" w:hAnsi="Times New Roman" w:eastAsia="Adobe 仿宋 Std R" w:cs="Times New Roman"/>
      <w:kern w:val="2"/>
      <w:sz w:val="32"/>
      <w:szCs w:val="24"/>
      <w:lang w:val="en-US" w:eastAsia="zh-CN" w:bidi="ar-SA"/>
    </w:rPr>
  </w:style>
  <w:style w:type="character" w:customStyle="1" w:styleId="71">
    <w:name w:val="HTML 预设格式 Char"/>
    <w:basedOn w:val="21"/>
    <w:link w:val="17"/>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6A18-F36E-4C9B-BE85-D7806F6B1F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10432</Words>
  <Characters>10735</Characters>
  <Lines>77</Lines>
  <Paragraphs>21</Paragraphs>
  <TotalTime>343</TotalTime>
  <ScaleCrop>false</ScaleCrop>
  <LinksUpToDate>false</LinksUpToDate>
  <CharactersWithSpaces>10756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2023-09-25T02:27:00Z</dcterms:created>
  <dc:creator>董利华</dc:creator>
  <cp:lastModifiedBy>太极箫客</cp:lastModifiedBy>
  <cp:lastPrinted>2022-07-18T13:28:00Z</cp:lastPrinted>
  <dcterms:modified xsi:type="dcterms:W3CDTF">2025-08-14T08:03:15Z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91F56C0AE9954E1DAC9A05EDE3994D5A_12</vt:lpwstr>
  </property>
  <property fmtid="{D5CDD505-2E9C-101B-9397-08002B2CF9AE}" pid="4" name="KSOTemplateDocerSaveRecord">
    <vt:lpwstr>eyJoZGlkIjoiMDJiMzI3ODBiNTFmMWRjNDUyMjM1ZmZjODY5NDc2MWMiLCJ1c2VySWQiOiI0NTQ4Nzg1NzAifQ==</vt:lpwstr>
  </property>
</Properties>
</file>