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A6562">
      <w:pPr>
        <w:spacing w:line="520" w:lineRule="exact"/>
        <w:contextualSpacing/>
        <w:jc w:val="center"/>
        <w:rPr>
          <w:rFonts w:hAnsi="Calibri" w:eastAsia="方正小标宋简体"/>
          <w:color w:val="000000"/>
          <w:sz w:val="44"/>
          <w:szCs w:val="44"/>
        </w:rPr>
      </w:pPr>
      <w:bookmarkStart w:id="0" w:name="_GoBack"/>
      <w:bookmarkEnd w:id="0"/>
      <w:r>
        <w:rPr>
          <w:rFonts w:hint="eastAsia" w:hAnsi="Calibri" w:eastAsia="方正小标宋简体"/>
          <w:color w:val="000000"/>
          <w:sz w:val="44"/>
          <w:szCs w:val="44"/>
        </w:rPr>
        <w:t>运动神经元存活基因1（SMN1）</w:t>
      </w:r>
      <w:r>
        <w:rPr>
          <w:rFonts w:hAnsi="Calibri" w:eastAsia="方正小标宋简体"/>
          <w:color w:val="000000"/>
          <w:sz w:val="44"/>
          <w:szCs w:val="44"/>
        </w:rPr>
        <w:t>检测试剂</w:t>
      </w:r>
    </w:p>
    <w:p w14:paraId="74ED40EF">
      <w:pPr>
        <w:spacing w:line="520" w:lineRule="exact"/>
        <w:contextualSpacing/>
        <w:jc w:val="center"/>
        <w:rPr>
          <w:rFonts w:hAnsi="Calibri" w:eastAsia="方正小标宋简体"/>
          <w:color w:val="000000"/>
          <w:sz w:val="44"/>
          <w:szCs w:val="44"/>
        </w:rPr>
      </w:pPr>
      <w:r>
        <w:rPr>
          <w:rFonts w:hAnsi="Calibri" w:eastAsia="方正小标宋简体"/>
          <w:color w:val="000000"/>
          <w:sz w:val="44"/>
          <w:szCs w:val="44"/>
        </w:rPr>
        <w:t>注册审查指导原则</w:t>
      </w:r>
    </w:p>
    <w:p w14:paraId="5B40162D">
      <w:pPr>
        <w:spacing w:line="520" w:lineRule="exact"/>
        <w:contextualSpacing/>
        <w:jc w:val="center"/>
        <w:rPr>
          <w:rFonts w:hint="eastAsia" w:ascii="楷体_GB2312" w:hAnsi="Calibri" w:eastAsia="楷体_GB2312"/>
          <w:color w:val="000000"/>
          <w:sz w:val="44"/>
          <w:szCs w:val="44"/>
        </w:rPr>
      </w:pPr>
      <w:r>
        <w:rPr>
          <w:rFonts w:hint="eastAsia" w:ascii="楷体_GB2312" w:hAnsi="Calibri" w:eastAsia="楷体_GB2312"/>
          <w:color w:val="000000"/>
          <w:sz w:val="32"/>
          <w:szCs w:val="32"/>
        </w:rPr>
        <w:t>（征求意见稿）</w:t>
      </w:r>
    </w:p>
    <w:p w14:paraId="449F9151">
      <w:pPr>
        <w:spacing w:line="520" w:lineRule="exact"/>
        <w:ind w:firstLine="420" w:firstLineChars="200"/>
      </w:pPr>
    </w:p>
    <w:p w14:paraId="3896A98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本指导原则旨在指导注册申请人对</w:t>
      </w:r>
      <w:r>
        <w:rPr>
          <w:rFonts w:hint="eastAsia" w:hAnsi="Calibri" w:eastAsia="仿宋_GB2312"/>
          <w:color w:val="000000"/>
          <w:sz w:val="32"/>
          <w:szCs w:val="32"/>
        </w:rPr>
        <w:t>脊髓性肌萎缩症相关基因运动神经元存活基因1（SMN1）</w:t>
      </w:r>
      <w:r>
        <w:rPr>
          <w:rFonts w:hAnsi="Calibri" w:eastAsia="仿宋_GB2312"/>
          <w:color w:val="000000"/>
          <w:sz w:val="32"/>
          <w:szCs w:val="32"/>
        </w:rPr>
        <w:t>检测试剂注册申报资料的准备及撰写，同时也为技术审评部门对注册申报资料的技术审评提供参考。</w:t>
      </w:r>
    </w:p>
    <w:p w14:paraId="06F205A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本指导原则是对</w:t>
      </w:r>
      <w:r>
        <w:rPr>
          <w:rFonts w:hint="eastAsia" w:hAnsi="Calibri" w:eastAsia="仿宋_GB2312"/>
          <w:color w:val="000000"/>
          <w:sz w:val="32"/>
          <w:szCs w:val="32"/>
        </w:rPr>
        <w:t>SMN1</w:t>
      </w:r>
      <w:r>
        <w:rPr>
          <w:rFonts w:hAnsi="Calibri" w:eastAsia="仿宋_GB2312"/>
          <w:color w:val="000000"/>
          <w:sz w:val="32"/>
          <w:szCs w:val="32"/>
        </w:rPr>
        <w:t>基因检测试剂的一般要求，申请人应依据产品的具体特性确定其中内容是否适用，若不适用，需具体阐述理由及相应的科学依据，并依据产品的具体特性对注册申报资料的内容进行充实和细化。</w:t>
      </w:r>
    </w:p>
    <w:p w14:paraId="0DD04D5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是对申请人和审查人员的指导性文件，但不包括注册审批所涉及的行政事项，也不作为法规强制执行，如果有能够满足相关法规要求的其他方法，也可以采用，但需要提供详细的研究和验证资料，相关人员应在遵循法规的前提下使用本指导原则。</w:t>
      </w:r>
    </w:p>
    <w:p w14:paraId="0B348CE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本指导原则是在现行法规和标准体系以及当前认知水平下制定的，随着法规和标准的不断完善以及科学技术的不断发展，本指导原则相关内容也将适时进行调整。</w:t>
      </w:r>
    </w:p>
    <w:p w14:paraId="7A0E4285">
      <w:pPr>
        <w:spacing w:line="520" w:lineRule="exact"/>
        <w:ind w:firstLine="640" w:firstLineChars="200"/>
        <w:contextualSpacing/>
        <w:rPr>
          <w:rFonts w:hAnsi="Calibri" w:eastAsia="黑体"/>
          <w:color w:val="000000"/>
          <w:sz w:val="32"/>
          <w:szCs w:val="32"/>
        </w:rPr>
      </w:pPr>
      <w:r>
        <w:rPr>
          <w:rFonts w:hAnsi="Calibri" w:eastAsia="黑体"/>
          <w:color w:val="000000"/>
          <w:sz w:val="32"/>
          <w:szCs w:val="32"/>
        </w:rPr>
        <w:t>一、适用范围</w:t>
      </w:r>
    </w:p>
    <w:p w14:paraId="101AE8E6">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脊髓性肌萎缩症(s</w:t>
      </w:r>
      <w:r>
        <w:rPr>
          <w:rFonts w:hAnsi="Calibri" w:eastAsia="仿宋_GB2312"/>
          <w:color w:val="000000"/>
          <w:sz w:val="32"/>
          <w:szCs w:val="32"/>
        </w:rPr>
        <w:t xml:space="preserve">pinal </w:t>
      </w:r>
      <w:r>
        <w:rPr>
          <w:rFonts w:hint="eastAsia" w:hAnsi="Calibri" w:eastAsia="仿宋_GB2312"/>
          <w:color w:val="000000"/>
          <w:sz w:val="32"/>
          <w:szCs w:val="32"/>
        </w:rPr>
        <w:t>m</w:t>
      </w:r>
      <w:r>
        <w:rPr>
          <w:rFonts w:hAnsi="Calibri" w:eastAsia="仿宋_GB2312"/>
          <w:color w:val="000000"/>
          <w:sz w:val="32"/>
          <w:szCs w:val="32"/>
        </w:rPr>
        <w:t xml:space="preserve">uscular </w:t>
      </w:r>
      <w:r>
        <w:rPr>
          <w:rFonts w:hint="eastAsia" w:hAnsi="Calibri" w:eastAsia="仿宋_GB2312"/>
          <w:color w:val="000000"/>
          <w:sz w:val="32"/>
          <w:szCs w:val="32"/>
        </w:rPr>
        <w:t>a</w:t>
      </w:r>
      <w:r>
        <w:rPr>
          <w:rFonts w:hAnsi="Calibri" w:eastAsia="仿宋_GB2312"/>
          <w:color w:val="000000"/>
          <w:sz w:val="32"/>
          <w:szCs w:val="32"/>
        </w:rPr>
        <w:t>trophy</w:t>
      </w:r>
      <w:r>
        <w:rPr>
          <w:rFonts w:hint="eastAsia" w:hAnsi="Calibri" w:eastAsia="仿宋_GB2312"/>
          <w:color w:val="000000"/>
          <w:sz w:val="32"/>
          <w:szCs w:val="32"/>
        </w:rPr>
        <w:t>，</w:t>
      </w:r>
      <w:r>
        <w:rPr>
          <w:rFonts w:hAnsi="Calibri" w:eastAsia="仿宋_GB2312"/>
          <w:color w:val="000000"/>
          <w:sz w:val="32"/>
          <w:szCs w:val="32"/>
        </w:rPr>
        <w:t>SMA)</w:t>
      </w:r>
      <w:r>
        <w:rPr>
          <w:rFonts w:hint="eastAsia" w:hAnsi="Calibri" w:eastAsia="仿宋_GB2312"/>
          <w:color w:val="000000"/>
          <w:sz w:val="32"/>
          <w:szCs w:val="32"/>
        </w:rPr>
        <w:t>是一组以脊髓前角</w:t>
      </w:r>
      <w:r>
        <w:rPr>
          <w:rFonts w:hint="eastAsia" w:ascii="微软雅黑" w:hAnsi="微软雅黑" w:eastAsia="微软雅黑" w:cs="微软雅黑"/>
          <w:color w:val="000000"/>
          <w:sz w:val="32"/>
          <w:szCs w:val="32"/>
        </w:rPr>
        <w:t>ɑ</w:t>
      </w:r>
      <w:r>
        <w:rPr>
          <w:rFonts w:hint="eastAsia" w:hAnsi="Calibri" w:eastAsia="仿宋_GB2312"/>
          <w:color w:val="000000"/>
          <w:sz w:val="32"/>
          <w:szCs w:val="32"/>
        </w:rPr>
        <w:t>-运动神经元退化变性导致的肌无力和肌萎缩为主要临床特征的</w:t>
      </w:r>
      <w:r>
        <w:rPr>
          <w:rFonts w:hAnsi="Calibri" w:eastAsia="仿宋_GB2312"/>
          <w:color w:val="000000"/>
          <w:sz w:val="32"/>
          <w:szCs w:val="32"/>
        </w:rPr>
        <w:t>遗传性神经肌肉病</w:t>
      </w:r>
      <w:r>
        <w:rPr>
          <w:rFonts w:hint="eastAsia" w:hAnsi="Calibri" w:eastAsia="仿宋_GB2312"/>
          <w:color w:val="000000"/>
          <w:sz w:val="32"/>
          <w:szCs w:val="32"/>
        </w:rPr>
        <w:t>，是儿童最常见的神经肌肉病。</w:t>
      </w:r>
      <w:r>
        <w:rPr>
          <w:rFonts w:hAnsi="Calibri" w:eastAsia="仿宋_GB2312"/>
          <w:color w:val="000000"/>
          <w:sz w:val="32"/>
          <w:szCs w:val="32"/>
        </w:rPr>
        <w:t>SMA</w:t>
      </w:r>
      <w:r>
        <w:rPr>
          <w:rFonts w:hint="eastAsia" w:hAnsi="Calibri" w:eastAsia="仿宋_GB2312"/>
          <w:color w:val="000000"/>
          <w:sz w:val="32"/>
          <w:szCs w:val="32"/>
        </w:rPr>
        <w:t>最常见的形式是由定位于5q</w:t>
      </w:r>
      <w:r>
        <w:rPr>
          <w:rFonts w:hAnsi="Calibri" w:eastAsia="仿宋_GB2312"/>
          <w:color w:val="000000"/>
          <w:sz w:val="32"/>
          <w:szCs w:val="32"/>
        </w:rPr>
        <w:t>13.2</w:t>
      </w:r>
      <w:r>
        <w:rPr>
          <w:rFonts w:hint="eastAsia" w:hAnsi="Calibri" w:eastAsia="仿宋_GB2312"/>
          <w:color w:val="000000"/>
          <w:sz w:val="32"/>
          <w:szCs w:val="32"/>
        </w:rPr>
        <w:t>的运动神经元存活基因</w:t>
      </w:r>
      <w:r>
        <w:rPr>
          <w:rFonts w:hAnsi="Calibri" w:eastAsia="仿宋_GB2312"/>
          <w:color w:val="000000"/>
          <w:sz w:val="32"/>
          <w:szCs w:val="32"/>
        </w:rPr>
        <w:t>1</w:t>
      </w:r>
      <w:r>
        <w:rPr>
          <w:rFonts w:hint="eastAsia" w:hAnsi="Calibri" w:eastAsia="仿宋_GB2312"/>
          <w:color w:val="000000"/>
          <w:sz w:val="32"/>
          <w:szCs w:val="32"/>
        </w:rPr>
        <w:t>（</w:t>
      </w:r>
      <w:r>
        <w:rPr>
          <w:rFonts w:hAnsi="Calibri" w:eastAsia="仿宋_GB2312"/>
          <w:color w:val="000000"/>
          <w:sz w:val="32"/>
          <w:szCs w:val="32"/>
        </w:rPr>
        <w:t>motor neuron survival gene1</w:t>
      </w:r>
      <w:r>
        <w:rPr>
          <w:rFonts w:hint="eastAsia" w:hAnsi="Calibri" w:eastAsia="仿宋_GB2312"/>
          <w:color w:val="000000"/>
          <w:sz w:val="32"/>
          <w:szCs w:val="32"/>
        </w:rPr>
        <w:t>，</w:t>
      </w:r>
      <w:r>
        <w:rPr>
          <w:rFonts w:hAnsi="Calibri" w:eastAsia="仿宋_GB2312"/>
          <w:color w:val="000000"/>
          <w:sz w:val="32"/>
          <w:szCs w:val="32"/>
        </w:rPr>
        <w:t>SMN1</w:t>
      </w:r>
      <w:r>
        <w:rPr>
          <w:rFonts w:hint="eastAsia" w:hAnsi="Calibri" w:eastAsia="仿宋_GB2312"/>
          <w:color w:val="000000"/>
          <w:sz w:val="32"/>
          <w:szCs w:val="32"/>
        </w:rPr>
        <w:t>，</w:t>
      </w:r>
      <w:r>
        <w:rPr>
          <w:rFonts w:hAnsi="Calibri" w:eastAsia="仿宋_GB2312"/>
          <w:color w:val="000000"/>
          <w:sz w:val="32"/>
          <w:szCs w:val="32"/>
        </w:rPr>
        <w:t>OMIM # 600354</w:t>
      </w:r>
      <w:r>
        <w:rPr>
          <w:rFonts w:hint="eastAsia" w:hAnsi="Calibri" w:eastAsia="仿宋_GB2312"/>
          <w:color w:val="000000"/>
          <w:sz w:val="32"/>
          <w:szCs w:val="32"/>
        </w:rPr>
        <w:t>）致病性变异所导致的</w:t>
      </w:r>
      <w:r>
        <w:rPr>
          <w:rFonts w:hAnsi="Calibri" w:eastAsia="仿宋_GB2312"/>
          <w:color w:val="000000"/>
          <w:sz w:val="32"/>
          <w:szCs w:val="32"/>
        </w:rPr>
        <w:t>5q-SMA</w:t>
      </w:r>
      <w:r>
        <w:rPr>
          <w:rFonts w:hint="eastAsia" w:hAnsi="Calibri" w:eastAsia="仿宋_GB2312"/>
          <w:color w:val="000000"/>
          <w:sz w:val="32"/>
          <w:szCs w:val="32"/>
        </w:rPr>
        <w:t>，约占所有SMA病例的95%，呈常染色体隐性遗传。</w:t>
      </w:r>
    </w:p>
    <w:p w14:paraId="73656757">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SMA患者临床表现差异大，从出生前到成人期均可发病，主要表现为以四肢近端为主的进行性肌无力和肌萎缩，随着疾病进展，可出现呼吸、消化、骨骼等多系统受累。根据发病年龄、获得的运动功能及疾病进展速度，可将SMA分为四型或五型,从胎儿到成年均可发病，严重程度随发病年龄增加而降低。目前已有治疗药物上市。</w:t>
      </w:r>
    </w:p>
    <w:p w14:paraId="143A5FC2">
      <w:pPr>
        <w:widowControl/>
        <w:spacing w:line="520" w:lineRule="exact"/>
        <w:ind w:firstLine="640" w:firstLineChars="200"/>
        <w:rPr>
          <w:rFonts w:hAnsi="Calibri" w:eastAsia="仿宋_GB2312"/>
          <w:color w:val="000000"/>
          <w:sz w:val="32"/>
          <w:szCs w:val="32"/>
        </w:rPr>
      </w:pPr>
      <w:r>
        <w:rPr>
          <w:rFonts w:hAnsi="Calibri" w:eastAsia="仿宋_GB2312"/>
          <w:color w:val="000000"/>
          <w:sz w:val="32"/>
          <w:szCs w:val="32"/>
        </w:rPr>
        <w:t>SMA发病率</w:t>
      </w:r>
      <w:r>
        <w:rPr>
          <w:rFonts w:hint="eastAsia" w:hAnsi="Calibri" w:eastAsia="仿宋_GB2312"/>
          <w:color w:val="000000"/>
          <w:sz w:val="32"/>
          <w:szCs w:val="32"/>
        </w:rPr>
        <w:t>约</w:t>
      </w:r>
      <w:r>
        <w:rPr>
          <w:rFonts w:hAnsi="Calibri" w:eastAsia="仿宋_GB2312"/>
          <w:color w:val="000000"/>
          <w:sz w:val="32"/>
          <w:szCs w:val="32"/>
        </w:rPr>
        <w:t>为1/10000-1</w:t>
      </w:r>
      <w:r>
        <w:rPr>
          <w:rFonts w:hint="eastAsia" w:hAnsi="Calibri" w:eastAsia="仿宋_GB2312"/>
          <w:color w:val="000000"/>
          <w:sz w:val="32"/>
          <w:szCs w:val="32"/>
        </w:rPr>
        <w:t>/</w:t>
      </w:r>
      <w:r>
        <w:rPr>
          <w:rFonts w:hAnsi="Calibri" w:eastAsia="仿宋_GB2312"/>
          <w:color w:val="000000"/>
          <w:sz w:val="32"/>
          <w:szCs w:val="32"/>
        </w:rPr>
        <w:t>6000，</w:t>
      </w:r>
      <w:r>
        <w:rPr>
          <w:rFonts w:hint="eastAsia" w:hAnsi="Calibri" w:eastAsia="仿宋_GB2312"/>
          <w:color w:val="000000"/>
          <w:sz w:val="32"/>
          <w:szCs w:val="32"/>
        </w:rPr>
        <w:t>携带率为1/</w:t>
      </w:r>
      <w:r>
        <w:rPr>
          <w:rFonts w:hAnsi="Calibri" w:eastAsia="仿宋_GB2312"/>
          <w:color w:val="000000"/>
          <w:sz w:val="32"/>
          <w:szCs w:val="32"/>
        </w:rPr>
        <w:t>50-1/40</w:t>
      </w:r>
      <w:r>
        <w:rPr>
          <w:rFonts w:hint="eastAsia" w:hAnsi="Calibri" w:eastAsia="仿宋_GB2312"/>
          <w:color w:val="000000"/>
          <w:sz w:val="32"/>
          <w:szCs w:val="32"/>
        </w:rPr>
        <w:t>，具有种族差异性。SMA已被列入</w:t>
      </w:r>
      <w:r>
        <w:rPr>
          <w:rFonts w:hAnsi="Calibri" w:eastAsia="仿宋_GB2312"/>
          <w:color w:val="000000"/>
          <w:sz w:val="32"/>
          <w:szCs w:val="32"/>
        </w:rPr>
        <w:t>国家卫生健康委员会、科学技术部、工业和信息化部、国家药品监督管理局、国家中医药管理局联合公布</w:t>
      </w:r>
      <w:r>
        <w:rPr>
          <w:rFonts w:hint="eastAsia" w:hAnsi="Calibri" w:eastAsia="仿宋_GB2312"/>
          <w:color w:val="000000"/>
          <w:sz w:val="32"/>
          <w:szCs w:val="32"/>
        </w:rPr>
        <w:t>的《第一批罕见病目录》中。</w:t>
      </w:r>
    </w:p>
    <w:p w14:paraId="1E783F5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人基因组有两个高度同源的</w:t>
      </w:r>
      <w:r>
        <w:rPr>
          <w:rFonts w:hAnsi="Calibri" w:eastAsia="仿宋_GB2312"/>
          <w:color w:val="000000"/>
          <w:sz w:val="32"/>
          <w:szCs w:val="32"/>
        </w:rPr>
        <w:t>SMN</w:t>
      </w:r>
      <w:r>
        <w:rPr>
          <w:rFonts w:hint="eastAsia" w:hAnsi="Calibri" w:eastAsia="仿宋_GB2312"/>
          <w:color w:val="000000"/>
          <w:sz w:val="32"/>
          <w:szCs w:val="32"/>
        </w:rPr>
        <w:t>基因（同源性&gt;</w:t>
      </w:r>
      <w:r>
        <w:rPr>
          <w:rFonts w:hAnsi="Calibri" w:eastAsia="仿宋_GB2312"/>
          <w:color w:val="000000"/>
          <w:sz w:val="32"/>
          <w:szCs w:val="32"/>
        </w:rPr>
        <w:t>99.9%</w:t>
      </w:r>
      <w:r>
        <w:rPr>
          <w:rFonts w:hint="eastAsia" w:hAnsi="Calibri" w:eastAsia="仿宋_GB2312"/>
          <w:color w:val="000000"/>
          <w:sz w:val="32"/>
          <w:szCs w:val="32"/>
        </w:rPr>
        <w:t>），位于5q</w:t>
      </w:r>
      <w:r>
        <w:rPr>
          <w:rFonts w:hAnsi="Calibri" w:eastAsia="仿宋_GB2312"/>
          <w:color w:val="000000"/>
          <w:sz w:val="32"/>
          <w:szCs w:val="32"/>
        </w:rPr>
        <w:t>13.2</w:t>
      </w:r>
      <w:r>
        <w:rPr>
          <w:rFonts w:hint="eastAsia" w:hAnsi="Calibri" w:eastAsia="仿宋_GB2312"/>
          <w:color w:val="000000"/>
          <w:sz w:val="32"/>
          <w:szCs w:val="32"/>
        </w:rPr>
        <w:t>端粒侧的SMN</w:t>
      </w:r>
      <w:r>
        <w:rPr>
          <w:rFonts w:hAnsi="Calibri" w:eastAsia="仿宋_GB2312"/>
          <w:color w:val="000000"/>
          <w:sz w:val="32"/>
          <w:szCs w:val="32"/>
        </w:rPr>
        <w:t>1</w:t>
      </w:r>
      <w:r>
        <w:rPr>
          <w:rFonts w:hint="eastAsia" w:hAnsi="Calibri" w:eastAsia="仿宋_GB2312"/>
          <w:color w:val="000000"/>
          <w:sz w:val="32"/>
          <w:szCs w:val="32"/>
        </w:rPr>
        <w:t>和着丝粒侧的SMN2，两者仅存在5个碱基差异，其中位于第7外显子第6位c</w:t>
      </w:r>
      <w:r>
        <w:rPr>
          <w:rFonts w:hAnsi="Calibri" w:eastAsia="仿宋_GB2312"/>
          <w:color w:val="000000"/>
          <w:sz w:val="32"/>
          <w:szCs w:val="32"/>
        </w:rPr>
        <w:t>.840</w:t>
      </w:r>
      <w:r>
        <w:rPr>
          <w:rFonts w:hint="eastAsia" w:hAnsi="Calibri" w:eastAsia="仿宋_GB2312"/>
          <w:color w:val="000000"/>
          <w:sz w:val="32"/>
          <w:szCs w:val="32"/>
        </w:rPr>
        <w:t>的C</w:t>
      </w:r>
      <w:r>
        <w:rPr>
          <w:rFonts w:hAnsi="Calibri" w:eastAsia="仿宋_GB2312"/>
          <w:color w:val="000000"/>
          <w:sz w:val="32"/>
          <w:szCs w:val="32"/>
        </w:rPr>
        <w:t>/T</w:t>
      </w:r>
      <w:r>
        <w:rPr>
          <w:rFonts w:hint="eastAsia" w:hAnsi="Calibri" w:eastAsia="仿宋_GB2312"/>
          <w:color w:val="000000"/>
          <w:sz w:val="32"/>
          <w:szCs w:val="32"/>
        </w:rPr>
        <w:t>（SMN1为c</w:t>
      </w:r>
      <w:r>
        <w:rPr>
          <w:rFonts w:hAnsi="Calibri" w:eastAsia="仿宋_GB2312"/>
          <w:color w:val="000000"/>
          <w:sz w:val="32"/>
          <w:szCs w:val="32"/>
        </w:rPr>
        <w:t xml:space="preserve">.840 </w:t>
      </w:r>
      <w:r>
        <w:rPr>
          <w:rFonts w:hint="eastAsia" w:hAnsi="Calibri" w:eastAsia="仿宋_GB2312"/>
          <w:color w:val="000000"/>
          <w:sz w:val="32"/>
          <w:szCs w:val="32"/>
        </w:rPr>
        <w:t>C，SMN2为c</w:t>
      </w:r>
      <w:r>
        <w:rPr>
          <w:rFonts w:hAnsi="Calibri" w:eastAsia="仿宋_GB2312"/>
          <w:color w:val="000000"/>
          <w:sz w:val="32"/>
          <w:szCs w:val="32"/>
        </w:rPr>
        <w:t xml:space="preserve">.840 </w:t>
      </w:r>
      <w:r>
        <w:rPr>
          <w:rFonts w:hint="eastAsia" w:hAnsi="Calibri" w:eastAsia="仿宋_GB2312"/>
          <w:color w:val="000000"/>
          <w:sz w:val="32"/>
          <w:szCs w:val="32"/>
        </w:rPr>
        <w:t>T）导致9</w:t>
      </w:r>
      <w:r>
        <w:rPr>
          <w:rFonts w:hAnsi="Calibri" w:eastAsia="仿宋_GB2312"/>
          <w:color w:val="000000"/>
          <w:sz w:val="32"/>
          <w:szCs w:val="32"/>
        </w:rPr>
        <w:t>0%</w:t>
      </w:r>
      <w:r>
        <w:rPr>
          <w:rFonts w:hint="eastAsia" w:hAnsi="Calibri" w:eastAsia="仿宋_GB2312"/>
          <w:color w:val="000000"/>
          <w:sz w:val="32"/>
          <w:szCs w:val="32"/>
        </w:rPr>
        <w:t>的</w:t>
      </w:r>
      <w:r>
        <w:rPr>
          <w:rFonts w:hAnsi="Calibri" w:eastAsia="仿宋_GB2312"/>
          <w:color w:val="000000"/>
          <w:sz w:val="32"/>
          <w:szCs w:val="32"/>
        </w:rPr>
        <w:t xml:space="preserve">SMN2 </w:t>
      </w:r>
      <w:r>
        <w:rPr>
          <w:rFonts w:hint="eastAsia" w:hAnsi="Calibri" w:eastAsia="仿宋_GB2312"/>
          <w:color w:val="000000"/>
          <w:sz w:val="32"/>
          <w:szCs w:val="32"/>
        </w:rPr>
        <w:t>mRNA第7外显子被选择性剪接，仅有1</w:t>
      </w:r>
      <w:r>
        <w:rPr>
          <w:rFonts w:hAnsi="Calibri" w:eastAsia="仿宋_GB2312"/>
          <w:color w:val="000000"/>
          <w:sz w:val="32"/>
          <w:szCs w:val="32"/>
        </w:rPr>
        <w:t>0%</w:t>
      </w:r>
      <w:r>
        <w:rPr>
          <w:rFonts w:hint="eastAsia" w:hAnsi="Calibri" w:eastAsia="仿宋_GB2312"/>
          <w:color w:val="000000"/>
          <w:sz w:val="32"/>
          <w:szCs w:val="32"/>
        </w:rPr>
        <w:t>的</w:t>
      </w:r>
      <w:r>
        <w:rPr>
          <w:rFonts w:hAnsi="Calibri" w:eastAsia="仿宋_GB2312"/>
          <w:color w:val="000000"/>
          <w:sz w:val="32"/>
          <w:szCs w:val="32"/>
        </w:rPr>
        <w:t>SMN2</w:t>
      </w:r>
      <w:r>
        <w:rPr>
          <w:rFonts w:hint="eastAsia" w:hAnsi="Calibri" w:eastAsia="仿宋_GB2312"/>
          <w:color w:val="000000"/>
          <w:sz w:val="32"/>
          <w:szCs w:val="32"/>
        </w:rPr>
        <w:t>表达全长有功能的SMN蛋白。SMN1决定疾病的发生，而SMN2影响疾病的严重程度和进展。</w:t>
      </w:r>
    </w:p>
    <w:p w14:paraId="06239ADF">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SMN1（NG</w:t>
      </w:r>
      <w:r>
        <w:rPr>
          <w:rFonts w:hAnsi="Calibri" w:eastAsia="仿宋_GB2312"/>
          <w:color w:val="000000"/>
          <w:sz w:val="32"/>
          <w:szCs w:val="32"/>
        </w:rPr>
        <w:t>_008691.1</w:t>
      </w:r>
      <w:r>
        <w:rPr>
          <w:rFonts w:hint="eastAsia" w:hAnsi="Calibri" w:eastAsia="仿宋_GB2312"/>
          <w:color w:val="000000"/>
          <w:sz w:val="32"/>
          <w:szCs w:val="32"/>
        </w:rPr>
        <w:t>）全长约2</w:t>
      </w:r>
      <w:r>
        <w:rPr>
          <w:rFonts w:hAnsi="Calibri" w:eastAsia="仿宋_GB2312"/>
          <w:color w:val="000000"/>
          <w:sz w:val="32"/>
          <w:szCs w:val="32"/>
        </w:rPr>
        <w:t>0</w:t>
      </w:r>
      <w:r>
        <w:rPr>
          <w:rFonts w:hint="eastAsia" w:hAnsi="Calibri" w:eastAsia="仿宋_GB2312"/>
          <w:color w:val="000000"/>
          <w:sz w:val="32"/>
          <w:szCs w:val="32"/>
        </w:rPr>
        <w:t>kb，共包含8个外显子，转录产物长1</w:t>
      </w:r>
      <w:r>
        <w:rPr>
          <w:rFonts w:hAnsi="Calibri" w:eastAsia="仿宋_GB2312"/>
          <w:color w:val="000000"/>
          <w:sz w:val="32"/>
          <w:szCs w:val="32"/>
        </w:rPr>
        <w:t>.7</w:t>
      </w:r>
      <w:r>
        <w:rPr>
          <w:rFonts w:hint="eastAsia" w:hAnsi="Calibri" w:eastAsia="仿宋_GB2312"/>
          <w:color w:val="000000"/>
          <w:sz w:val="32"/>
          <w:szCs w:val="32"/>
        </w:rPr>
        <w:t>kb，编码由2</w:t>
      </w:r>
      <w:r>
        <w:rPr>
          <w:rFonts w:hAnsi="Calibri" w:eastAsia="仿宋_GB2312"/>
          <w:color w:val="000000"/>
          <w:sz w:val="32"/>
          <w:szCs w:val="32"/>
        </w:rPr>
        <w:t>94</w:t>
      </w:r>
      <w:r>
        <w:rPr>
          <w:rFonts w:hint="eastAsia" w:hAnsi="Calibri" w:eastAsia="仿宋_GB2312"/>
          <w:color w:val="000000"/>
          <w:sz w:val="32"/>
          <w:szCs w:val="32"/>
        </w:rPr>
        <w:t>个氨基酸组成的SMN蛋白（SMN，NP</w:t>
      </w:r>
      <w:r>
        <w:rPr>
          <w:rFonts w:hAnsi="Calibri" w:eastAsia="仿宋_GB2312"/>
          <w:color w:val="000000"/>
          <w:sz w:val="32"/>
          <w:szCs w:val="32"/>
        </w:rPr>
        <w:t>_000335.1</w:t>
      </w:r>
      <w:r>
        <w:rPr>
          <w:rFonts w:hint="eastAsia" w:hAnsi="Calibri" w:eastAsia="仿宋_GB2312"/>
          <w:color w:val="000000"/>
          <w:sz w:val="32"/>
          <w:szCs w:val="32"/>
        </w:rPr>
        <w:t>），在各组织细胞广泛表达，参与剪接体蛋白复合体的组装，是真核细胞生物生存所必须的管家蛋白。</w:t>
      </w:r>
    </w:p>
    <w:p w14:paraId="1EF90673">
      <w:pPr>
        <w:widowControl/>
        <w:spacing w:line="520" w:lineRule="exact"/>
        <w:ind w:left="105" w:leftChars="50" w:firstLine="480" w:firstLineChars="150"/>
        <w:rPr>
          <w:rFonts w:hAnsi="Calibri" w:eastAsia="仿宋_GB2312"/>
          <w:color w:val="000000"/>
          <w:sz w:val="32"/>
          <w:szCs w:val="32"/>
        </w:rPr>
      </w:pPr>
      <w:r>
        <w:rPr>
          <w:rFonts w:hint="eastAsia" w:hAnsi="Calibri" w:eastAsia="仿宋_GB2312"/>
          <w:color w:val="000000"/>
          <w:sz w:val="32"/>
          <w:szCs w:val="32"/>
        </w:rPr>
        <w:t>SMN1基因在表型正常人中的拷贝数为1</w:t>
      </w:r>
      <w:r>
        <w:rPr>
          <w:rFonts w:hAnsi="Calibri" w:eastAsia="仿宋_GB2312"/>
          <w:color w:val="000000"/>
          <w:sz w:val="32"/>
          <w:szCs w:val="32"/>
        </w:rPr>
        <w:t>~4</w:t>
      </w:r>
      <w:r>
        <w:rPr>
          <w:rFonts w:hint="eastAsia" w:hAnsi="Calibri" w:eastAsia="仿宋_GB2312"/>
          <w:color w:val="000000"/>
          <w:sz w:val="32"/>
          <w:szCs w:val="32"/>
        </w:rPr>
        <w:t>个，可包括不同基因型：正常人基因型包括常见的[1+1]型，罕见3</w:t>
      </w:r>
      <w:r>
        <w:rPr>
          <w:rFonts w:hAnsi="Calibri" w:eastAsia="仿宋_GB2312"/>
          <w:color w:val="000000"/>
          <w:sz w:val="32"/>
          <w:szCs w:val="32"/>
        </w:rPr>
        <w:t>~</w:t>
      </w:r>
      <w:r>
        <w:rPr>
          <w:rFonts w:hint="eastAsia" w:hAnsi="Calibri" w:eastAsia="仿宋_GB2312"/>
          <w:color w:val="000000"/>
          <w:sz w:val="32"/>
          <w:szCs w:val="32"/>
        </w:rPr>
        <w:t>4拷贝SMN1基因的[</w:t>
      </w:r>
      <w:r>
        <w:rPr>
          <w:rFonts w:hAnsi="Calibri" w:eastAsia="仿宋_GB2312"/>
          <w:color w:val="000000"/>
          <w:sz w:val="32"/>
          <w:szCs w:val="32"/>
        </w:rPr>
        <w:t>2</w:t>
      </w:r>
      <w:r>
        <w:rPr>
          <w:rFonts w:hint="eastAsia" w:hAnsi="Calibri" w:eastAsia="仿宋_GB2312"/>
          <w:color w:val="000000"/>
          <w:sz w:val="32"/>
          <w:szCs w:val="32"/>
        </w:rPr>
        <w:t>+</w:t>
      </w:r>
      <w:r>
        <w:rPr>
          <w:rFonts w:hAnsi="Calibri" w:eastAsia="仿宋_GB2312"/>
          <w:color w:val="000000"/>
          <w:sz w:val="32"/>
          <w:szCs w:val="32"/>
        </w:rPr>
        <w:t>1</w:t>
      </w:r>
      <w:r>
        <w:rPr>
          <w:rFonts w:hint="eastAsia" w:hAnsi="Calibri" w:eastAsia="仿宋_GB2312"/>
          <w:color w:val="000000"/>
          <w:sz w:val="32"/>
          <w:szCs w:val="32"/>
        </w:rPr>
        <w:t>]型和[</w:t>
      </w:r>
      <w:r>
        <w:rPr>
          <w:rFonts w:hAnsi="Calibri" w:eastAsia="仿宋_GB2312"/>
          <w:color w:val="000000"/>
          <w:sz w:val="32"/>
          <w:szCs w:val="32"/>
        </w:rPr>
        <w:t>2+2</w:t>
      </w:r>
      <w:r>
        <w:rPr>
          <w:rFonts w:hint="eastAsia" w:hAnsi="Calibri" w:eastAsia="仿宋_GB2312"/>
          <w:color w:val="000000"/>
          <w:sz w:val="32"/>
          <w:szCs w:val="32"/>
        </w:rPr>
        <w:t>]型；携带者通常无异常表型，其中一条染色体含1或2拷贝功能正常的</w:t>
      </w:r>
      <w:r>
        <w:rPr>
          <w:rFonts w:hAnsi="Calibri" w:eastAsia="仿宋_GB2312"/>
          <w:color w:val="000000"/>
          <w:sz w:val="32"/>
          <w:szCs w:val="32"/>
        </w:rPr>
        <w:t>SMN1</w:t>
      </w:r>
      <w:r>
        <w:rPr>
          <w:rFonts w:hint="eastAsia" w:hAnsi="Calibri" w:eastAsia="仿宋_GB2312"/>
          <w:color w:val="000000"/>
          <w:sz w:val="32"/>
          <w:szCs w:val="32"/>
        </w:rPr>
        <w:t>基因，另一条染色体含缺失或微小变异的功能异常</w:t>
      </w:r>
      <w:r>
        <w:rPr>
          <w:rFonts w:hAnsi="Calibri" w:eastAsia="仿宋_GB2312"/>
          <w:color w:val="000000"/>
          <w:sz w:val="32"/>
          <w:szCs w:val="32"/>
        </w:rPr>
        <w:t>SMN1</w:t>
      </w:r>
      <w:r>
        <w:rPr>
          <w:rFonts w:hint="eastAsia" w:hAnsi="Calibri" w:eastAsia="仿宋_GB2312"/>
          <w:color w:val="000000"/>
          <w:sz w:val="32"/>
          <w:szCs w:val="32"/>
        </w:rPr>
        <w:t>基因，基因型可为杂合缺失型[1</w:t>
      </w:r>
      <w:r>
        <w:rPr>
          <w:rFonts w:hAnsi="Calibri" w:eastAsia="仿宋_GB2312"/>
          <w:color w:val="000000"/>
          <w:sz w:val="32"/>
          <w:szCs w:val="32"/>
        </w:rPr>
        <w:t>+0</w:t>
      </w:r>
      <w:r>
        <w:rPr>
          <w:rFonts w:hint="eastAsia" w:hAnsi="Calibri" w:eastAsia="仿宋_GB2312"/>
          <w:color w:val="000000"/>
          <w:sz w:val="32"/>
          <w:szCs w:val="32"/>
        </w:rPr>
        <w:t>]型、[2</w:t>
      </w:r>
      <w:r>
        <w:rPr>
          <w:rFonts w:hAnsi="Calibri" w:eastAsia="仿宋_GB2312"/>
          <w:color w:val="000000"/>
          <w:sz w:val="32"/>
          <w:szCs w:val="32"/>
        </w:rPr>
        <w:t>+0</w:t>
      </w:r>
      <w:r>
        <w:rPr>
          <w:rFonts w:hint="eastAsia" w:hAnsi="Calibri" w:eastAsia="仿宋_GB2312"/>
          <w:color w:val="000000"/>
          <w:sz w:val="32"/>
          <w:szCs w:val="32"/>
        </w:rPr>
        <w:t>]型、[1+1</w:t>
      </w:r>
      <w:r>
        <w:rPr>
          <w:rFonts w:hint="eastAsia" w:hAnsi="Calibri" w:eastAsia="仿宋_GB2312"/>
          <w:color w:val="000000"/>
          <w:sz w:val="32"/>
          <w:szCs w:val="32"/>
          <w:vertAlign w:val="superscript"/>
        </w:rPr>
        <w:t>d</w:t>
      </w:r>
      <w:r>
        <w:rPr>
          <w:rFonts w:hint="eastAsia" w:hAnsi="Calibri" w:eastAsia="仿宋_GB2312"/>
          <w:color w:val="000000"/>
          <w:sz w:val="32"/>
          <w:szCs w:val="32"/>
        </w:rPr>
        <w:t>]和[2+1</w:t>
      </w:r>
      <w:r>
        <w:rPr>
          <w:rFonts w:hint="eastAsia" w:hAnsi="Calibri" w:eastAsia="仿宋_GB2312"/>
          <w:color w:val="000000"/>
          <w:sz w:val="32"/>
          <w:szCs w:val="32"/>
          <w:vertAlign w:val="superscript"/>
        </w:rPr>
        <w:t>d</w:t>
      </w:r>
      <w:r>
        <w:rPr>
          <w:rFonts w:hint="eastAsia" w:hAnsi="Calibri" w:eastAsia="仿宋_GB2312"/>
          <w:color w:val="000000"/>
          <w:sz w:val="32"/>
          <w:szCs w:val="32"/>
        </w:rPr>
        <w:t>]型（d代表</w:t>
      </w:r>
      <w:r>
        <w:rPr>
          <w:rFonts w:hAnsi="Calibri" w:eastAsia="仿宋_GB2312"/>
          <w:color w:val="000000"/>
          <w:sz w:val="32"/>
          <w:szCs w:val="32"/>
        </w:rPr>
        <w:t>SMN1</w:t>
      </w:r>
      <w:r>
        <w:rPr>
          <w:rFonts w:hint="eastAsia" w:hAnsi="Calibri" w:eastAsia="仿宋_GB2312"/>
          <w:color w:val="000000"/>
          <w:sz w:val="32"/>
          <w:szCs w:val="32"/>
        </w:rPr>
        <w:t>基因内含有微小点突变而功能异常，如无义突变、移码突变、错义突变等）。一般人群中，[</w:t>
      </w:r>
      <w:r>
        <w:rPr>
          <w:rFonts w:hAnsi="Calibri" w:eastAsia="仿宋_GB2312"/>
          <w:color w:val="000000"/>
          <w:sz w:val="32"/>
          <w:szCs w:val="32"/>
        </w:rPr>
        <w:t>1+0][2+0][1+1</w:t>
      </w:r>
      <w:r>
        <w:rPr>
          <w:rFonts w:hAnsi="Calibri" w:eastAsia="仿宋_GB2312"/>
          <w:color w:val="000000"/>
          <w:sz w:val="32"/>
          <w:szCs w:val="32"/>
          <w:vertAlign w:val="superscript"/>
        </w:rPr>
        <w:t>d</w:t>
      </w:r>
      <w:r>
        <w:rPr>
          <w:rFonts w:hAnsi="Calibri" w:eastAsia="仿宋_GB2312"/>
          <w:color w:val="000000"/>
          <w:sz w:val="32"/>
          <w:szCs w:val="32"/>
        </w:rPr>
        <w:t>][2+1</w:t>
      </w:r>
      <w:r>
        <w:rPr>
          <w:rFonts w:hAnsi="Calibri" w:eastAsia="仿宋_GB2312"/>
          <w:color w:val="000000"/>
          <w:sz w:val="32"/>
          <w:szCs w:val="32"/>
          <w:vertAlign w:val="superscript"/>
        </w:rPr>
        <w:t>d</w:t>
      </w:r>
      <w:r>
        <w:rPr>
          <w:rFonts w:hAnsi="Calibri" w:eastAsia="仿宋_GB2312"/>
          <w:color w:val="000000"/>
          <w:sz w:val="32"/>
          <w:szCs w:val="32"/>
        </w:rPr>
        <w:t>]</w:t>
      </w:r>
      <w:r>
        <w:rPr>
          <w:rFonts w:hint="eastAsia" w:hAnsi="Calibri" w:eastAsia="仿宋_GB2312"/>
          <w:color w:val="000000"/>
          <w:sz w:val="32"/>
          <w:szCs w:val="32"/>
        </w:rPr>
        <w:t>基因型的人群频率分别为2</w:t>
      </w:r>
      <w:r>
        <w:rPr>
          <w:rFonts w:hAnsi="Calibri" w:eastAsia="仿宋_GB2312"/>
          <w:color w:val="000000"/>
          <w:sz w:val="32"/>
          <w:szCs w:val="32"/>
        </w:rPr>
        <w:t>.58</w:t>
      </w:r>
      <w:r>
        <w:rPr>
          <w:rFonts w:hint="eastAsia" w:hAnsi="Calibri" w:eastAsia="仿宋_GB2312"/>
          <w:color w:val="000000"/>
          <w:sz w:val="32"/>
          <w:szCs w:val="32"/>
        </w:rPr>
        <w:t>×</w:t>
      </w:r>
      <w:r>
        <w:rPr>
          <w:rFonts w:hAnsi="Calibri" w:eastAsia="仿宋_GB2312"/>
          <w:color w:val="000000"/>
          <w:sz w:val="32"/>
          <w:szCs w:val="32"/>
        </w:rPr>
        <w:t>10</w:t>
      </w:r>
      <w:r>
        <w:rPr>
          <w:rFonts w:hAnsi="Calibri" w:eastAsia="仿宋_GB2312"/>
          <w:color w:val="000000"/>
          <w:sz w:val="32"/>
          <w:szCs w:val="32"/>
          <w:vertAlign w:val="superscript"/>
        </w:rPr>
        <w:t>-2</w:t>
      </w:r>
      <w:r>
        <w:rPr>
          <w:rFonts w:hint="eastAsia" w:hAnsi="Calibri" w:eastAsia="仿宋_GB2312"/>
          <w:color w:val="000000"/>
          <w:sz w:val="32"/>
          <w:szCs w:val="32"/>
        </w:rPr>
        <w:t>、1</w:t>
      </w:r>
      <w:r>
        <w:rPr>
          <w:rFonts w:hAnsi="Calibri" w:eastAsia="仿宋_GB2312"/>
          <w:color w:val="000000"/>
          <w:sz w:val="32"/>
          <w:szCs w:val="32"/>
        </w:rPr>
        <w:t>.09</w:t>
      </w:r>
      <w:r>
        <w:rPr>
          <w:rFonts w:hint="eastAsia" w:hAnsi="Calibri" w:eastAsia="仿宋_GB2312"/>
          <w:color w:val="000000"/>
          <w:sz w:val="32"/>
          <w:szCs w:val="32"/>
        </w:rPr>
        <w:t>×</w:t>
      </w:r>
      <w:r>
        <w:rPr>
          <w:rFonts w:hAnsi="Calibri" w:eastAsia="仿宋_GB2312"/>
          <w:color w:val="000000"/>
          <w:sz w:val="32"/>
          <w:szCs w:val="32"/>
        </w:rPr>
        <w:t>10</w:t>
      </w:r>
      <w:r>
        <w:rPr>
          <w:rFonts w:hAnsi="Calibri" w:eastAsia="仿宋_GB2312"/>
          <w:color w:val="000000"/>
          <w:sz w:val="32"/>
          <w:szCs w:val="32"/>
          <w:vertAlign w:val="superscript"/>
        </w:rPr>
        <w:t>-3</w:t>
      </w:r>
      <w:r>
        <w:rPr>
          <w:rFonts w:hint="eastAsia" w:hAnsi="Calibri" w:eastAsia="仿宋_GB2312"/>
          <w:color w:val="000000"/>
          <w:sz w:val="32"/>
          <w:szCs w:val="32"/>
        </w:rPr>
        <w:t>、4</w:t>
      </w:r>
      <w:r>
        <w:rPr>
          <w:rFonts w:hAnsi="Calibri" w:eastAsia="仿宋_GB2312"/>
          <w:color w:val="000000"/>
          <w:sz w:val="32"/>
          <w:szCs w:val="32"/>
        </w:rPr>
        <w:t>.72</w:t>
      </w:r>
      <w:r>
        <w:rPr>
          <w:rFonts w:hint="eastAsia" w:hAnsi="Calibri" w:eastAsia="仿宋_GB2312"/>
          <w:color w:val="000000"/>
          <w:sz w:val="32"/>
          <w:szCs w:val="32"/>
        </w:rPr>
        <w:t>×</w:t>
      </w:r>
      <w:r>
        <w:rPr>
          <w:rFonts w:hAnsi="Calibri" w:eastAsia="仿宋_GB2312"/>
          <w:color w:val="000000"/>
          <w:sz w:val="32"/>
          <w:szCs w:val="32"/>
        </w:rPr>
        <w:t>10</w:t>
      </w:r>
      <w:r>
        <w:rPr>
          <w:rFonts w:hAnsi="Calibri" w:eastAsia="仿宋_GB2312"/>
          <w:color w:val="000000"/>
          <w:sz w:val="32"/>
          <w:szCs w:val="32"/>
          <w:vertAlign w:val="superscript"/>
        </w:rPr>
        <w:t>-4</w:t>
      </w:r>
      <w:r>
        <w:rPr>
          <w:rFonts w:hint="eastAsia" w:hAnsi="Calibri" w:eastAsia="仿宋_GB2312"/>
          <w:color w:val="000000"/>
          <w:sz w:val="32"/>
          <w:szCs w:val="32"/>
        </w:rPr>
        <w:t>、1</w:t>
      </w:r>
      <w:r>
        <w:rPr>
          <w:rFonts w:hAnsi="Calibri" w:eastAsia="仿宋_GB2312"/>
          <w:color w:val="000000"/>
          <w:sz w:val="32"/>
          <w:szCs w:val="32"/>
        </w:rPr>
        <w:t>.99</w:t>
      </w:r>
      <w:r>
        <w:rPr>
          <w:rFonts w:hint="eastAsia" w:hAnsi="Calibri" w:eastAsia="仿宋_GB2312"/>
          <w:color w:val="000000"/>
          <w:sz w:val="32"/>
          <w:szCs w:val="32"/>
        </w:rPr>
        <w:t>×</w:t>
      </w:r>
      <w:r>
        <w:rPr>
          <w:rFonts w:hAnsi="Calibri" w:eastAsia="仿宋_GB2312"/>
          <w:color w:val="000000"/>
          <w:sz w:val="32"/>
          <w:szCs w:val="32"/>
        </w:rPr>
        <w:t>10</w:t>
      </w:r>
      <w:r>
        <w:rPr>
          <w:rFonts w:hAnsi="Calibri" w:eastAsia="仿宋_GB2312"/>
          <w:color w:val="000000"/>
          <w:sz w:val="32"/>
          <w:szCs w:val="32"/>
          <w:vertAlign w:val="superscript"/>
        </w:rPr>
        <w:t>-5</w:t>
      </w:r>
      <w:r>
        <w:rPr>
          <w:rFonts w:hint="eastAsia" w:hAnsi="Calibri" w:eastAsia="仿宋_GB2312"/>
          <w:color w:val="000000"/>
          <w:sz w:val="32"/>
          <w:szCs w:val="32"/>
        </w:rPr>
        <w:t>。而在肯定携带者人群中</w:t>
      </w:r>
      <w:r>
        <w:rPr>
          <w:rFonts w:hAnsi="Calibri" w:eastAsia="仿宋_GB2312"/>
          <w:color w:val="000000"/>
          <w:sz w:val="32"/>
          <w:szCs w:val="32"/>
        </w:rPr>
        <w:t>[2+0]</w:t>
      </w:r>
      <w:r>
        <w:rPr>
          <w:rFonts w:hint="eastAsia" w:hAnsi="Calibri" w:eastAsia="仿宋_GB2312"/>
          <w:color w:val="000000"/>
          <w:sz w:val="32"/>
          <w:szCs w:val="32"/>
        </w:rPr>
        <w:t>频率约为4</w:t>
      </w:r>
      <w:r>
        <w:rPr>
          <w:rFonts w:hAnsi="Calibri" w:eastAsia="仿宋_GB2312"/>
          <w:color w:val="000000"/>
          <w:sz w:val="32"/>
          <w:szCs w:val="32"/>
        </w:rPr>
        <w:t>%</w:t>
      </w:r>
      <w:r>
        <w:rPr>
          <w:rFonts w:hint="eastAsia" w:hAnsi="Calibri" w:eastAsia="仿宋_GB2312"/>
          <w:color w:val="000000"/>
          <w:sz w:val="32"/>
          <w:szCs w:val="32"/>
        </w:rPr>
        <w:t>，</w:t>
      </w:r>
      <w:r>
        <w:rPr>
          <w:rFonts w:hAnsi="Calibri" w:eastAsia="仿宋_GB2312"/>
          <w:color w:val="000000"/>
          <w:sz w:val="32"/>
          <w:szCs w:val="32"/>
        </w:rPr>
        <w:t>[1+1</w:t>
      </w:r>
      <w:r>
        <w:rPr>
          <w:rFonts w:hAnsi="Calibri" w:eastAsia="仿宋_GB2312"/>
          <w:color w:val="000000"/>
          <w:sz w:val="32"/>
          <w:szCs w:val="32"/>
          <w:vertAlign w:val="superscript"/>
        </w:rPr>
        <w:t>d</w:t>
      </w:r>
      <w:r>
        <w:rPr>
          <w:rFonts w:hAnsi="Calibri" w:eastAsia="仿宋_GB2312"/>
          <w:color w:val="000000"/>
          <w:sz w:val="32"/>
          <w:szCs w:val="32"/>
        </w:rPr>
        <w:t>]</w:t>
      </w:r>
      <w:r>
        <w:rPr>
          <w:rFonts w:hint="eastAsia" w:hAnsi="Calibri" w:eastAsia="仿宋_GB2312"/>
          <w:color w:val="000000"/>
          <w:sz w:val="32"/>
          <w:szCs w:val="32"/>
        </w:rPr>
        <w:t>频率约为5</w:t>
      </w:r>
      <w:r>
        <w:rPr>
          <w:rFonts w:hAnsi="Calibri" w:eastAsia="仿宋_GB2312"/>
          <w:color w:val="000000"/>
          <w:sz w:val="32"/>
          <w:szCs w:val="32"/>
        </w:rPr>
        <w:t>%</w:t>
      </w:r>
      <w:r>
        <w:rPr>
          <w:rFonts w:hint="eastAsia" w:hAnsi="Calibri" w:eastAsia="仿宋_GB2312"/>
          <w:color w:val="000000"/>
          <w:sz w:val="32"/>
          <w:szCs w:val="32"/>
        </w:rPr>
        <w:t>。</w:t>
      </w:r>
    </w:p>
    <w:p w14:paraId="52792E69">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SMA突变基因型主要有两类，9</w:t>
      </w:r>
      <w:r>
        <w:rPr>
          <w:rFonts w:hAnsi="Calibri" w:eastAsia="仿宋_GB2312"/>
          <w:color w:val="000000"/>
          <w:sz w:val="32"/>
          <w:szCs w:val="32"/>
        </w:rPr>
        <w:t>5</w:t>
      </w:r>
      <w:r>
        <w:rPr>
          <w:rFonts w:hint="eastAsia" w:hAnsi="Calibri" w:eastAsia="仿宋_GB2312"/>
          <w:color w:val="000000"/>
          <w:sz w:val="32"/>
          <w:szCs w:val="32"/>
        </w:rPr>
        <w:t>%由SMN1双等位基因纯合缺失所致，即[</w:t>
      </w:r>
      <w:r>
        <w:rPr>
          <w:rFonts w:hAnsi="Calibri" w:eastAsia="仿宋_GB2312"/>
          <w:color w:val="000000"/>
          <w:sz w:val="32"/>
          <w:szCs w:val="32"/>
        </w:rPr>
        <w:t>0+0]</w:t>
      </w:r>
      <w:r>
        <w:rPr>
          <w:rFonts w:hint="eastAsia" w:hAnsi="Calibri" w:eastAsia="仿宋_GB2312"/>
          <w:color w:val="000000"/>
          <w:sz w:val="32"/>
          <w:szCs w:val="32"/>
        </w:rPr>
        <w:t>基因型；5</w:t>
      </w:r>
      <w:r>
        <w:rPr>
          <w:rFonts w:hAnsi="Calibri" w:eastAsia="仿宋_GB2312"/>
          <w:color w:val="000000"/>
          <w:sz w:val="32"/>
          <w:szCs w:val="32"/>
        </w:rPr>
        <w:t>%</w:t>
      </w:r>
      <w:r>
        <w:rPr>
          <w:rFonts w:hint="eastAsia" w:hAnsi="Calibri" w:eastAsia="仿宋_GB2312"/>
          <w:color w:val="000000"/>
          <w:sz w:val="32"/>
          <w:szCs w:val="32"/>
        </w:rPr>
        <w:t>由SMN1复合杂合突变所致，即一个等位基因缺失，另一个等位基因发生微小致病性变异，即[</w:t>
      </w:r>
      <w:r>
        <w:rPr>
          <w:rFonts w:hAnsi="Calibri" w:eastAsia="仿宋_GB2312"/>
          <w:color w:val="000000"/>
          <w:sz w:val="32"/>
          <w:szCs w:val="32"/>
        </w:rPr>
        <w:t>0</w:t>
      </w:r>
      <w:r>
        <w:rPr>
          <w:rFonts w:hint="eastAsia" w:hAnsi="Calibri" w:eastAsia="仿宋_GB2312"/>
          <w:color w:val="000000"/>
          <w:sz w:val="32"/>
          <w:szCs w:val="32"/>
        </w:rPr>
        <w:t>+</w:t>
      </w:r>
      <w:r>
        <w:rPr>
          <w:rFonts w:hAnsi="Calibri" w:eastAsia="仿宋_GB2312"/>
          <w:color w:val="000000"/>
          <w:sz w:val="32"/>
          <w:szCs w:val="32"/>
        </w:rPr>
        <w:t>1</w:t>
      </w:r>
      <w:r>
        <w:rPr>
          <w:rFonts w:hint="eastAsia" w:hAnsi="Calibri" w:eastAsia="仿宋_GB2312"/>
          <w:color w:val="000000"/>
          <w:sz w:val="32"/>
          <w:szCs w:val="32"/>
          <w:vertAlign w:val="superscript"/>
        </w:rPr>
        <w:t>d</w:t>
      </w:r>
      <w:r>
        <w:rPr>
          <w:rFonts w:hint="eastAsia" w:hAnsi="Calibri" w:eastAsia="仿宋_GB2312"/>
          <w:color w:val="000000"/>
          <w:sz w:val="32"/>
          <w:szCs w:val="32"/>
        </w:rPr>
        <w:t>]基因型。SMN1双等位基因均为微小致病性变异的情况，即[</w:t>
      </w:r>
      <w:r>
        <w:rPr>
          <w:rFonts w:hAnsi="Calibri" w:eastAsia="仿宋_GB2312"/>
          <w:color w:val="000000"/>
          <w:sz w:val="32"/>
          <w:szCs w:val="32"/>
        </w:rPr>
        <w:t>1</w:t>
      </w:r>
      <w:r>
        <w:rPr>
          <w:rFonts w:hint="eastAsia" w:hAnsi="Calibri" w:eastAsia="仿宋_GB2312"/>
          <w:color w:val="000000"/>
          <w:sz w:val="32"/>
          <w:szCs w:val="32"/>
          <w:vertAlign w:val="superscript"/>
        </w:rPr>
        <w:t>d</w:t>
      </w:r>
      <w:r>
        <w:rPr>
          <w:rFonts w:hint="eastAsia" w:hAnsi="Calibri" w:eastAsia="仿宋_GB2312"/>
          <w:color w:val="000000"/>
          <w:sz w:val="32"/>
          <w:szCs w:val="32"/>
        </w:rPr>
        <w:t>+</w:t>
      </w:r>
      <w:r>
        <w:rPr>
          <w:rFonts w:hAnsi="Calibri" w:eastAsia="仿宋_GB2312"/>
          <w:color w:val="000000"/>
          <w:sz w:val="32"/>
          <w:szCs w:val="32"/>
        </w:rPr>
        <w:t>1</w:t>
      </w:r>
      <w:r>
        <w:rPr>
          <w:rFonts w:hint="eastAsia" w:hAnsi="Calibri" w:eastAsia="仿宋_GB2312"/>
          <w:color w:val="000000"/>
          <w:sz w:val="32"/>
          <w:szCs w:val="32"/>
          <w:vertAlign w:val="superscript"/>
        </w:rPr>
        <w:t>d</w:t>
      </w:r>
      <w:r>
        <w:rPr>
          <w:rFonts w:hint="eastAsia" w:hAnsi="Calibri" w:eastAsia="仿宋_GB2312"/>
          <w:color w:val="000000"/>
          <w:sz w:val="32"/>
          <w:szCs w:val="32"/>
        </w:rPr>
        <w:t>]基因型则非常罕见。SMN1缺失大部分为外显子7合并外显子</w:t>
      </w:r>
      <w:r>
        <w:rPr>
          <w:rFonts w:hAnsi="Calibri" w:eastAsia="仿宋_GB2312"/>
          <w:color w:val="000000"/>
          <w:sz w:val="32"/>
          <w:szCs w:val="32"/>
        </w:rPr>
        <w:t>8</w:t>
      </w:r>
      <w:r>
        <w:rPr>
          <w:rFonts w:hint="eastAsia" w:hAnsi="Calibri" w:eastAsia="仿宋_GB2312"/>
          <w:color w:val="000000"/>
          <w:sz w:val="32"/>
          <w:szCs w:val="32"/>
        </w:rPr>
        <w:t>共同缺失，少部分仅为外显子7缺失。SMN1微小致病性变异在不同种族患者中表现出不同的变异谱系，目前国内外已报道的微小致病性变异约9</w:t>
      </w:r>
      <w:r>
        <w:rPr>
          <w:rFonts w:hAnsi="Calibri" w:eastAsia="仿宋_GB2312"/>
          <w:color w:val="000000"/>
          <w:sz w:val="32"/>
          <w:szCs w:val="32"/>
        </w:rPr>
        <w:t>0</w:t>
      </w:r>
      <w:r>
        <w:rPr>
          <w:rFonts w:hint="eastAsia" w:hAnsi="Calibri" w:eastAsia="仿宋_GB2312"/>
          <w:color w:val="000000"/>
          <w:sz w:val="32"/>
          <w:szCs w:val="32"/>
        </w:rPr>
        <w:t>种（</w:t>
      </w:r>
      <w:r>
        <w:rPr>
          <w:rFonts w:hAnsi="Calibri" w:eastAsia="仿宋_GB2312"/>
          <w:color w:val="000000"/>
          <w:sz w:val="32"/>
          <w:szCs w:val="32"/>
        </w:rPr>
        <w:fldChar w:fldCharType="begin"/>
      </w:r>
      <w:r>
        <w:rPr>
          <w:rFonts w:hAnsi="Calibri" w:eastAsia="仿宋_GB2312"/>
          <w:color w:val="000000"/>
          <w:sz w:val="32"/>
          <w:szCs w:val="32"/>
        </w:rPr>
        <w:instrText xml:space="preserve"> HYPERLINK "http://www.hgmd.cf.ac.uk/" </w:instrText>
      </w:r>
      <w:r>
        <w:rPr>
          <w:rFonts w:hAnsi="Calibri" w:eastAsia="仿宋_GB2312"/>
          <w:color w:val="000000"/>
          <w:sz w:val="32"/>
          <w:szCs w:val="32"/>
        </w:rPr>
        <w:fldChar w:fldCharType="separate"/>
      </w:r>
      <w:r>
        <w:rPr>
          <w:rFonts w:hAnsi="Calibri" w:eastAsia="仿宋_GB2312"/>
          <w:color w:val="000000"/>
          <w:sz w:val="32"/>
          <w:szCs w:val="32"/>
        </w:rPr>
        <w:t>http://www.hgmd.cf.ac.uk/</w:t>
      </w:r>
      <w:r>
        <w:rPr>
          <w:rFonts w:hAnsi="Calibri" w:eastAsia="仿宋_GB2312"/>
          <w:color w:val="000000"/>
          <w:sz w:val="32"/>
          <w:szCs w:val="32"/>
        </w:rPr>
        <w:fldChar w:fldCharType="end"/>
      </w:r>
      <w:r>
        <w:rPr>
          <w:rFonts w:hint="eastAsia" w:hAnsi="Calibri" w:eastAsia="仿宋_GB2312"/>
          <w:color w:val="000000"/>
          <w:sz w:val="32"/>
          <w:szCs w:val="32"/>
        </w:rPr>
        <w:t>），中国患者已报道近3</w:t>
      </w:r>
      <w:r>
        <w:rPr>
          <w:rFonts w:hAnsi="Calibri" w:eastAsia="仿宋_GB2312"/>
          <w:color w:val="000000"/>
          <w:sz w:val="32"/>
          <w:szCs w:val="32"/>
        </w:rPr>
        <w:t>0</w:t>
      </w:r>
      <w:r>
        <w:rPr>
          <w:rFonts w:hint="eastAsia" w:hAnsi="Calibri" w:eastAsia="仿宋_GB2312"/>
          <w:color w:val="000000"/>
          <w:sz w:val="32"/>
          <w:szCs w:val="32"/>
        </w:rPr>
        <w:t>种，其中检测频次≥2，并经美国医学遗传与基因组学学会（ACMG）致病性评估确认的致病性微小变异有7种。在中国人群中最常见的变异为第1外显子的</w:t>
      </w:r>
      <w:r>
        <w:rPr>
          <w:rFonts w:hAnsi="Calibri" w:eastAsia="仿宋_GB2312"/>
          <w:color w:val="000000"/>
          <w:sz w:val="32"/>
          <w:szCs w:val="32"/>
        </w:rPr>
        <w:t>c</w:t>
      </w:r>
      <w:r>
        <w:rPr>
          <w:rFonts w:hint="eastAsia" w:hAnsi="Calibri" w:eastAsia="仿宋_GB2312"/>
          <w:color w:val="000000"/>
          <w:sz w:val="32"/>
          <w:szCs w:val="32"/>
        </w:rPr>
        <w:t>.22</w:t>
      </w:r>
      <w:r>
        <w:rPr>
          <w:rFonts w:hAnsi="Calibri" w:eastAsia="仿宋_GB2312"/>
          <w:color w:val="000000"/>
          <w:sz w:val="32"/>
          <w:szCs w:val="32"/>
        </w:rPr>
        <w:t xml:space="preserve">dupA </w:t>
      </w:r>
      <w:r>
        <w:rPr>
          <w:rFonts w:hint="eastAsia" w:hAnsi="Calibri" w:eastAsia="仿宋_GB2312"/>
          <w:color w:val="000000"/>
          <w:sz w:val="32"/>
          <w:szCs w:val="32"/>
        </w:rPr>
        <w:t>(</w:t>
      </w:r>
      <w:r>
        <w:rPr>
          <w:rFonts w:hAnsi="Calibri" w:eastAsia="仿宋_GB2312"/>
          <w:color w:val="000000"/>
          <w:sz w:val="32"/>
          <w:szCs w:val="32"/>
        </w:rPr>
        <w:t>p</w:t>
      </w:r>
      <w:r>
        <w:rPr>
          <w:rFonts w:hint="eastAsia" w:hAnsi="Calibri" w:eastAsia="仿宋_GB2312"/>
          <w:color w:val="000000"/>
          <w:sz w:val="32"/>
          <w:szCs w:val="32"/>
        </w:rPr>
        <w:t>.</w:t>
      </w:r>
      <w:r>
        <w:rPr>
          <w:rFonts w:hAnsi="Calibri" w:eastAsia="仿宋_GB2312"/>
          <w:color w:val="000000"/>
          <w:sz w:val="32"/>
          <w:szCs w:val="32"/>
        </w:rPr>
        <w:t>Ser</w:t>
      </w:r>
      <w:r>
        <w:rPr>
          <w:rFonts w:hint="eastAsia" w:hAnsi="Calibri" w:eastAsia="仿宋_GB2312"/>
          <w:color w:val="000000"/>
          <w:sz w:val="32"/>
          <w:szCs w:val="32"/>
        </w:rPr>
        <w:t>8</w:t>
      </w:r>
      <w:r>
        <w:rPr>
          <w:rFonts w:hAnsi="Calibri" w:eastAsia="仿宋_GB2312"/>
          <w:color w:val="000000"/>
          <w:sz w:val="32"/>
          <w:szCs w:val="32"/>
        </w:rPr>
        <w:t>Lys fs</w:t>
      </w:r>
      <w:r>
        <w:rPr>
          <w:rFonts w:hint="eastAsia" w:hAnsi="Calibri" w:eastAsia="仿宋_GB2312"/>
          <w:color w:val="000000"/>
          <w:sz w:val="32"/>
          <w:szCs w:val="32"/>
        </w:rPr>
        <w:t>*23)</w:t>
      </w:r>
      <w:r>
        <w:rPr>
          <w:rFonts w:hAnsi="Calibri" w:eastAsia="仿宋_GB2312"/>
          <w:color w:val="000000"/>
          <w:sz w:val="32"/>
          <w:szCs w:val="32"/>
        </w:rPr>
        <w:t xml:space="preserve"> </w:t>
      </w:r>
      <w:r>
        <w:rPr>
          <w:rFonts w:hint="eastAsia" w:hAnsi="Calibri" w:eastAsia="仿宋_GB2312"/>
          <w:color w:val="000000"/>
          <w:sz w:val="32"/>
          <w:szCs w:val="32"/>
        </w:rPr>
        <w:t>以及第5外显子的</w:t>
      </w:r>
      <w:r>
        <w:rPr>
          <w:rFonts w:hAnsi="Calibri" w:eastAsia="仿宋_GB2312"/>
          <w:color w:val="000000"/>
          <w:sz w:val="32"/>
          <w:szCs w:val="32"/>
        </w:rPr>
        <w:t>c</w:t>
      </w:r>
      <w:r>
        <w:rPr>
          <w:rFonts w:hint="eastAsia" w:hAnsi="Calibri" w:eastAsia="仿宋_GB2312"/>
          <w:color w:val="000000"/>
          <w:sz w:val="32"/>
          <w:szCs w:val="32"/>
        </w:rPr>
        <w:t>.683</w:t>
      </w:r>
      <w:r>
        <w:rPr>
          <w:rFonts w:hAnsi="Calibri" w:eastAsia="仿宋_GB2312"/>
          <w:color w:val="000000"/>
          <w:sz w:val="32"/>
          <w:szCs w:val="32"/>
        </w:rPr>
        <w:t>T</w:t>
      </w:r>
      <w:r>
        <w:rPr>
          <w:rFonts w:hint="eastAsia" w:hAnsi="Calibri" w:eastAsia="仿宋_GB2312"/>
          <w:color w:val="000000"/>
          <w:sz w:val="32"/>
          <w:szCs w:val="32"/>
        </w:rPr>
        <w:t>&gt;</w:t>
      </w:r>
      <w:r>
        <w:rPr>
          <w:rFonts w:hAnsi="Calibri" w:eastAsia="仿宋_GB2312"/>
          <w:color w:val="000000"/>
          <w:sz w:val="32"/>
          <w:szCs w:val="32"/>
        </w:rPr>
        <w:t>A</w:t>
      </w:r>
      <w:r>
        <w:rPr>
          <w:rFonts w:hint="eastAsia" w:hAnsi="Calibri" w:eastAsia="仿宋_GB2312"/>
          <w:color w:val="000000"/>
          <w:sz w:val="32"/>
          <w:szCs w:val="32"/>
        </w:rPr>
        <w:t>(</w:t>
      </w:r>
      <w:r>
        <w:rPr>
          <w:rFonts w:hAnsi="Calibri" w:eastAsia="仿宋_GB2312"/>
          <w:color w:val="000000"/>
          <w:sz w:val="32"/>
          <w:szCs w:val="32"/>
        </w:rPr>
        <w:t>p</w:t>
      </w:r>
      <w:r>
        <w:rPr>
          <w:rFonts w:hint="eastAsia" w:hAnsi="Calibri" w:eastAsia="仿宋_GB2312"/>
          <w:color w:val="000000"/>
          <w:sz w:val="32"/>
          <w:szCs w:val="32"/>
        </w:rPr>
        <w:t>.</w:t>
      </w:r>
      <w:r>
        <w:rPr>
          <w:rFonts w:hAnsi="Calibri" w:eastAsia="仿宋_GB2312"/>
          <w:color w:val="000000"/>
          <w:sz w:val="32"/>
          <w:szCs w:val="32"/>
        </w:rPr>
        <w:t>Leu</w:t>
      </w:r>
      <w:r>
        <w:rPr>
          <w:rFonts w:hint="eastAsia" w:hAnsi="Calibri" w:eastAsia="仿宋_GB2312"/>
          <w:color w:val="000000"/>
          <w:sz w:val="32"/>
          <w:szCs w:val="32"/>
        </w:rPr>
        <w:t>228*)，分别约占全部点突变的31.7%和17</w:t>
      </w:r>
      <w:r>
        <w:rPr>
          <w:rFonts w:hAnsi="Calibri" w:eastAsia="仿宋_GB2312"/>
          <w:color w:val="000000"/>
          <w:sz w:val="32"/>
          <w:szCs w:val="32"/>
        </w:rPr>
        <w:t>.</w:t>
      </w:r>
      <w:r>
        <w:rPr>
          <w:rFonts w:hint="eastAsia" w:hAnsi="Calibri" w:eastAsia="仿宋_GB2312"/>
          <w:color w:val="000000"/>
          <w:sz w:val="32"/>
          <w:szCs w:val="32"/>
        </w:rPr>
        <w:t>1%。</w:t>
      </w:r>
    </w:p>
    <w:p w14:paraId="0DF65AAC">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SMN2全长mRNA编码与SMN1相同的SMN蛋白。SMN2的拷贝数从0到多个不等。SMN2拷贝数是目前公认的SMA修饰因子，患者携带SMN2拷贝数越多表型越轻，尽管其与表型的相关性不完全一致，在国内外管理共识中仍将SMN2拷贝数作为SMA诊断的标准步骤之一。一般携带1个SMN2拷贝的患者是最严重的0型，而携带</w:t>
      </w:r>
      <w:r>
        <w:rPr>
          <w:rFonts w:hAnsi="Calibri" w:eastAsia="仿宋_GB2312"/>
          <w:color w:val="000000"/>
          <w:sz w:val="32"/>
          <w:szCs w:val="32"/>
        </w:rPr>
        <w:t>4</w:t>
      </w:r>
      <w:r>
        <w:rPr>
          <w:rFonts w:hint="eastAsia" w:hAnsi="Calibri" w:eastAsia="仿宋_GB2312"/>
          <w:color w:val="000000"/>
          <w:sz w:val="32"/>
          <w:szCs w:val="32"/>
        </w:rPr>
        <w:t>个SMN2拷贝数的患者通常为4型，发病晚，病情进展缓慢。但</w:t>
      </w:r>
      <w:r>
        <w:rPr>
          <w:rFonts w:hAnsi="Calibri" w:eastAsia="仿宋_GB2312"/>
          <w:color w:val="000000"/>
          <w:sz w:val="32"/>
          <w:szCs w:val="32"/>
        </w:rPr>
        <w:t>SMN2</w:t>
      </w:r>
      <w:r>
        <w:rPr>
          <w:rFonts w:hint="eastAsia" w:hAnsi="Calibri" w:eastAsia="仿宋_GB2312"/>
          <w:color w:val="000000"/>
          <w:sz w:val="32"/>
          <w:szCs w:val="32"/>
        </w:rPr>
        <w:t>的序列变异及其他基因也可能影响</w:t>
      </w:r>
      <w:r>
        <w:rPr>
          <w:rFonts w:hAnsi="Calibri" w:eastAsia="仿宋_GB2312"/>
          <w:color w:val="000000"/>
          <w:sz w:val="32"/>
          <w:szCs w:val="32"/>
        </w:rPr>
        <w:t>SMA</w:t>
      </w:r>
      <w:r>
        <w:rPr>
          <w:rFonts w:hint="eastAsia" w:hAnsi="Calibri" w:eastAsia="仿宋_GB2312"/>
          <w:color w:val="000000"/>
          <w:sz w:val="32"/>
          <w:szCs w:val="32"/>
        </w:rPr>
        <w:t>的表型。因此，</w:t>
      </w:r>
      <w:r>
        <w:rPr>
          <w:rFonts w:hAnsi="Calibri" w:eastAsia="仿宋_GB2312"/>
          <w:color w:val="000000"/>
          <w:sz w:val="32"/>
          <w:szCs w:val="32"/>
        </w:rPr>
        <w:t>SMN2</w:t>
      </w:r>
      <w:r>
        <w:rPr>
          <w:rFonts w:hint="eastAsia" w:hAnsi="Calibri" w:eastAsia="仿宋_GB2312"/>
          <w:color w:val="000000"/>
          <w:sz w:val="32"/>
          <w:szCs w:val="32"/>
        </w:rPr>
        <w:t>的拷贝数结果只能对</w:t>
      </w:r>
      <w:r>
        <w:rPr>
          <w:rFonts w:hAnsi="Calibri" w:eastAsia="仿宋_GB2312"/>
          <w:color w:val="000000"/>
          <w:sz w:val="32"/>
          <w:szCs w:val="32"/>
        </w:rPr>
        <w:t>SMA</w:t>
      </w:r>
      <w:r>
        <w:rPr>
          <w:rFonts w:hint="eastAsia" w:hAnsi="Calibri" w:eastAsia="仿宋_GB2312"/>
          <w:color w:val="000000"/>
          <w:sz w:val="32"/>
          <w:szCs w:val="32"/>
        </w:rPr>
        <w:t>患病儿童或胎儿的临床严重程度提供一种可能性的参考信息而非确定性结论。此外对非患者人群不需要进行</w:t>
      </w:r>
      <w:r>
        <w:rPr>
          <w:rFonts w:hAnsi="Calibri" w:eastAsia="仿宋_GB2312"/>
          <w:color w:val="000000"/>
          <w:sz w:val="32"/>
          <w:szCs w:val="32"/>
        </w:rPr>
        <w:t>SMN2</w:t>
      </w:r>
      <w:r>
        <w:rPr>
          <w:rFonts w:hint="eastAsia" w:hAnsi="Calibri" w:eastAsia="仿宋_GB2312"/>
          <w:color w:val="000000"/>
          <w:sz w:val="32"/>
          <w:szCs w:val="32"/>
        </w:rPr>
        <w:t>的拷贝数检测。</w:t>
      </w:r>
    </w:p>
    <w:p w14:paraId="3F013ADF">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在SMA患者中可以见到SMN1真实缺失、SMN1转换为SMN2导致的SMN1缺失和SMN2增加，或者SMN1真实缺失伴随SMN2重复。</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的比例，在患者中通常为0：2，也可出现0：3或0：4，当</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出现</w:t>
      </w:r>
      <w:r>
        <w:rPr>
          <w:rFonts w:hAnsi="Calibri" w:eastAsia="仿宋_GB2312"/>
          <w:color w:val="000000"/>
          <w:sz w:val="32"/>
          <w:szCs w:val="32"/>
        </w:rPr>
        <w:t>部分</w:t>
      </w:r>
      <w:r>
        <w:rPr>
          <w:rFonts w:hint="eastAsia" w:hAnsi="Calibri" w:eastAsia="仿宋_GB2312"/>
          <w:color w:val="000000"/>
          <w:sz w:val="32"/>
          <w:szCs w:val="32"/>
        </w:rPr>
        <w:t>转换时，患者可出现</w:t>
      </w:r>
      <w:r>
        <w:rPr>
          <w:rFonts w:hAnsi="Calibri" w:eastAsia="仿宋_GB2312"/>
          <w:color w:val="000000"/>
          <w:sz w:val="32"/>
          <w:szCs w:val="32"/>
        </w:rPr>
        <w:t>SMN1~SMN2</w:t>
      </w:r>
      <w:r>
        <w:rPr>
          <w:rFonts w:hint="eastAsia" w:hAnsi="Calibri" w:eastAsia="仿宋_GB2312"/>
          <w:color w:val="000000"/>
          <w:sz w:val="32"/>
          <w:szCs w:val="32"/>
        </w:rPr>
        <w:t>融合基因，仅出现外显子7缺失而外显子</w:t>
      </w:r>
      <w:r>
        <w:rPr>
          <w:rFonts w:hAnsi="Calibri" w:eastAsia="仿宋_GB2312"/>
          <w:color w:val="000000"/>
          <w:sz w:val="32"/>
          <w:szCs w:val="32"/>
        </w:rPr>
        <w:t>8</w:t>
      </w:r>
      <w:r>
        <w:rPr>
          <w:rFonts w:hint="eastAsia" w:hAnsi="Calibri" w:eastAsia="仿宋_GB2312"/>
          <w:color w:val="000000"/>
          <w:sz w:val="32"/>
          <w:szCs w:val="32"/>
        </w:rPr>
        <w:t>不缺失。而在一般人群中正常个体的SMN1基因至少为1拷贝，而SMN2基因可以为0拷贝，大多数个体</w:t>
      </w:r>
      <w:r>
        <w:rPr>
          <w:rFonts w:hAnsi="Calibri" w:eastAsia="仿宋_GB2312"/>
          <w:color w:val="000000"/>
          <w:sz w:val="32"/>
          <w:szCs w:val="32"/>
        </w:rPr>
        <w:t>SMN1</w:t>
      </w:r>
      <w:r>
        <w:rPr>
          <w:rFonts w:hint="eastAsia" w:hAnsi="Calibri" w:eastAsia="仿宋_GB2312"/>
          <w:color w:val="000000"/>
          <w:sz w:val="32"/>
          <w:szCs w:val="32"/>
        </w:rPr>
        <w:t>：</w:t>
      </w:r>
      <w:r>
        <w:rPr>
          <w:rFonts w:hAnsi="Calibri" w:eastAsia="仿宋_GB2312"/>
          <w:color w:val="000000"/>
          <w:sz w:val="32"/>
          <w:szCs w:val="32"/>
        </w:rPr>
        <w:t>SMN2</w:t>
      </w:r>
      <w:r>
        <w:rPr>
          <w:rFonts w:hint="eastAsia" w:hAnsi="Calibri" w:eastAsia="仿宋_GB2312"/>
          <w:color w:val="000000"/>
          <w:sz w:val="32"/>
          <w:szCs w:val="32"/>
        </w:rPr>
        <w:t>比例为2：2，但</w:t>
      </w:r>
      <w:r>
        <w:rPr>
          <w:rFonts w:hAnsi="Calibri" w:eastAsia="仿宋_GB2312"/>
          <w:color w:val="000000"/>
          <w:sz w:val="32"/>
          <w:szCs w:val="32"/>
        </w:rPr>
        <w:t>SMN1</w:t>
      </w:r>
      <w:r>
        <w:rPr>
          <w:rFonts w:hint="eastAsia" w:hAnsi="Calibri" w:eastAsia="仿宋_GB2312"/>
          <w:color w:val="000000"/>
          <w:sz w:val="32"/>
          <w:szCs w:val="32"/>
        </w:rPr>
        <w:t>也可以为1拷贝或多于2拷贝。</w:t>
      </w:r>
    </w:p>
    <w:p w14:paraId="2D3C544E">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2019年《脊髓性肌萎缩症多学科管理专家共识》指出临床疑诊为SMA的患者，可以选择基因检测、血清肌酸激酶（CK）、肌电图检查、肌肉病理进行辅助检查以明确诊断。当患者因典型临床症状被怀疑为SMA时，应当首先考虑进行基因检测，基因检测明确的无需再进行肌活检。如果疑诊神经肌肉病，诊断指向不明者，可同时行血清CK、肌电图、神经传导速度检查或肌活检病理检查，有助于鉴别诊断及引导下一步诊断方向。</w:t>
      </w:r>
    </w:p>
    <w:p w14:paraId="7E7AFF4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2020</w:t>
      </w:r>
      <w:r>
        <w:rPr>
          <w:rFonts w:hint="eastAsia" w:hAnsi="Calibri" w:eastAsia="仿宋_GB2312"/>
          <w:color w:val="000000"/>
          <w:sz w:val="32"/>
          <w:szCs w:val="32"/>
        </w:rPr>
        <w:t>年《脊髓性肌萎缩症遗传学诊断专家共识》（以下简称《遗传学诊断专家共识》）明确SMN1发生双等位基因的致病性变异是SMA诊断的主要依据，临床诊断或者临床疑似SMA的患者均应进行基因检测。基因检测的目标基因为</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。其中</w:t>
      </w:r>
      <w:r>
        <w:rPr>
          <w:rFonts w:hAnsi="Calibri" w:eastAsia="仿宋_GB2312"/>
          <w:color w:val="000000"/>
          <w:sz w:val="32"/>
          <w:szCs w:val="32"/>
        </w:rPr>
        <w:t>SMN1</w:t>
      </w:r>
      <w:r>
        <w:rPr>
          <w:rFonts w:hint="eastAsia" w:hAnsi="Calibri" w:eastAsia="仿宋_GB2312"/>
          <w:color w:val="000000"/>
          <w:sz w:val="32"/>
          <w:szCs w:val="32"/>
        </w:rPr>
        <w:t>拷贝数和致病性变异的检测结果用于疾病诊断或排除诊断，</w:t>
      </w:r>
      <w:r>
        <w:rPr>
          <w:rFonts w:hAnsi="Calibri" w:eastAsia="仿宋_GB2312"/>
          <w:color w:val="000000"/>
          <w:sz w:val="32"/>
          <w:szCs w:val="32"/>
        </w:rPr>
        <w:t>SMN2</w:t>
      </w:r>
      <w:r>
        <w:rPr>
          <w:rFonts w:hint="eastAsia" w:hAnsi="Calibri" w:eastAsia="仿宋_GB2312"/>
          <w:color w:val="000000"/>
          <w:sz w:val="32"/>
          <w:szCs w:val="32"/>
        </w:rPr>
        <w:t>拷贝数的检测结果作为患者诊断后的治疗、临床管理和预后评估的参考指标。由于在人类基因组中SMN1和SMN2高度同源，需分别针对SMN1和SMN2进行基因检</w:t>
      </w:r>
      <w:r>
        <w:rPr>
          <w:rFonts w:hAnsi="Calibri" w:eastAsia="仿宋_GB2312"/>
          <w:color w:val="000000"/>
          <w:sz w:val="32"/>
          <w:szCs w:val="32"/>
        </w:rPr>
        <w:t>测</w:t>
      </w:r>
      <w:r>
        <w:rPr>
          <w:rFonts w:hint="eastAsia" w:hAnsi="Calibri" w:eastAsia="仿宋_GB2312"/>
          <w:color w:val="000000"/>
          <w:sz w:val="32"/>
          <w:szCs w:val="32"/>
        </w:rPr>
        <w:t>。SMN1和SMN2全长转录本在外显子7（c</w:t>
      </w:r>
      <w:r>
        <w:rPr>
          <w:rFonts w:hAnsi="Calibri" w:eastAsia="仿宋_GB2312"/>
          <w:color w:val="000000"/>
          <w:sz w:val="32"/>
          <w:szCs w:val="32"/>
        </w:rPr>
        <w:t>840</w:t>
      </w:r>
      <w:r>
        <w:rPr>
          <w:rFonts w:hint="eastAsia" w:hAnsi="Calibri" w:eastAsia="仿宋_GB2312"/>
          <w:color w:val="000000"/>
          <w:sz w:val="32"/>
          <w:szCs w:val="32"/>
        </w:rPr>
        <w:t>C</w:t>
      </w:r>
      <w:r>
        <w:rPr>
          <w:rFonts w:hAnsi="Calibri" w:eastAsia="仿宋_GB2312"/>
          <w:color w:val="000000"/>
          <w:sz w:val="32"/>
          <w:szCs w:val="32"/>
        </w:rPr>
        <w:t>/T</w:t>
      </w:r>
      <w:r>
        <w:rPr>
          <w:rFonts w:hint="eastAsia" w:hAnsi="Calibri" w:eastAsia="仿宋_GB2312"/>
          <w:color w:val="000000"/>
          <w:sz w:val="32"/>
          <w:szCs w:val="32"/>
        </w:rPr>
        <w:t>）和外显子8（c.</w:t>
      </w:r>
      <w:r>
        <w:rPr>
          <w:rFonts w:hAnsi="Calibri" w:eastAsia="仿宋_GB2312"/>
          <w:color w:val="000000"/>
          <w:sz w:val="32"/>
          <w:szCs w:val="32"/>
        </w:rPr>
        <w:t>*239G/A</w:t>
      </w:r>
      <w:r>
        <w:rPr>
          <w:rFonts w:hint="eastAsia" w:hAnsi="Calibri" w:eastAsia="仿宋_GB2312"/>
          <w:color w:val="000000"/>
          <w:sz w:val="32"/>
          <w:szCs w:val="32"/>
        </w:rPr>
        <w:t>）的差异碱基位点作为区分两个基因座的主要参考位点。由于9</w:t>
      </w:r>
      <w:r>
        <w:rPr>
          <w:rFonts w:hAnsi="Calibri" w:eastAsia="仿宋_GB2312"/>
          <w:color w:val="000000"/>
          <w:sz w:val="32"/>
          <w:szCs w:val="32"/>
        </w:rPr>
        <w:t>5%SMA</w:t>
      </w:r>
      <w:r>
        <w:rPr>
          <w:rFonts w:hint="eastAsia" w:hAnsi="Calibri" w:eastAsia="仿宋_GB2312"/>
          <w:color w:val="000000"/>
          <w:sz w:val="32"/>
          <w:szCs w:val="32"/>
        </w:rPr>
        <w:t>患者为SMN1外显子7纯合缺失，应首先进行SMN1拷贝数定量分析。若</w:t>
      </w:r>
      <w:r>
        <w:rPr>
          <w:rFonts w:hAnsi="Calibri" w:eastAsia="仿宋_GB2312"/>
          <w:color w:val="000000"/>
          <w:sz w:val="32"/>
          <w:szCs w:val="32"/>
        </w:rPr>
        <w:t>SMN1</w:t>
      </w:r>
      <w:r>
        <w:rPr>
          <w:rFonts w:hint="eastAsia" w:hAnsi="Calibri" w:eastAsia="仿宋_GB2312"/>
          <w:color w:val="000000"/>
          <w:sz w:val="32"/>
          <w:szCs w:val="32"/>
        </w:rPr>
        <w:t>基因第7外显子或第7、8外显子纯合缺失，即可诊断为</w:t>
      </w:r>
      <w:r>
        <w:rPr>
          <w:rFonts w:hAnsi="Calibri" w:eastAsia="仿宋_GB2312"/>
          <w:color w:val="000000"/>
          <w:sz w:val="32"/>
          <w:szCs w:val="32"/>
        </w:rPr>
        <w:t>SMN1</w:t>
      </w:r>
      <w:r>
        <w:rPr>
          <w:rFonts w:hint="eastAsia" w:hAnsi="Calibri" w:eastAsia="仿宋_GB2312"/>
          <w:color w:val="000000"/>
          <w:sz w:val="32"/>
          <w:szCs w:val="32"/>
        </w:rPr>
        <w:t>纯合缺失型患者。对于非纯合缺失变异，还需对SMN1的致病性微小变异进行分析确认。基因诊断明确的患者，其父母有必要进行SMN1检测，以便确定父母SMN1基因型和患者变异基因的来源，并进行遗传咨询。</w:t>
      </w:r>
    </w:p>
    <w:p w14:paraId="4F9F9FC1">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除了对临床疑似或诊断为</w:t>
      </w:r>
      <w:r>
        <w:rPr>
          <w:rFonts w:hAnsi="Calibri" w:eastAsia="仿宋_GB2312"/>
          <w:color w:val="000000"/>
          <w:sz w:val="32"/>
          <w:szCs w:val="32"/>
        </w:rPr>
        <w:t>SMA</w:t>
      </w:r>
      <w:r>
        <w:rPr>
          <w:rFonts w:hint="eastAsia" w:hAnsi="Calibri" w:eastAsia="仿宋_GB2312"/>
          <w:color w:val="000000"/>
          <w:sz w:val="32"/>
          <w:szCs w:val="32"/>
        </w:rPr>
        <w:t>的患者进行基因检测外，对夫妇双方进行</w:t>
      </w:r>
      <w:r>
        <w:rPr>
          <w:rFonts w:hAnsi="Calibri" w:eastAsia="仿宋_GB2312"/>
          <w:color w:val="000000"/>
          <w:sz w:val="32"/>
          <w:szCs w:val="32"/>
        </w:rPr>
        <w:t>SMN1</w:t>
      </w:r>
      <w:r>
        <w:rPr>
          <w:rFonts w:hint="eastAsia" w:hAnsi="Calibri" w:eastAsia="仿宋_GB2312"/>
          <w:color w:val="000000"/>
          <w:sz w:val="32"/>
          <w:szCs w:val="32"/>
        </w:rPr>
        <w:t>基因的携带者检测也是必须考虑的。《遗传学诊断专家共识》指出携带者检测的适宜人群包括确诊为SMA患者的家庭成员以及SMA患者或携带者的配偶这一类高危人群。SMA携带者检测主要针对</w:t>
      </w:r>
      <w:r>
        <w:rPr>
          <w:rFonts w:hAnsi="Calibri" w:eastAsia="仿宋_GB2312"/>
          <w:color w:val="000000"/>
          <w:sz w:val="32"/>
          <w:szCs w:val="32"/>
        </w:rPr>
        <w:t>SMN1</w:t>
      </w:r>
      <w:r>
        <w:rPr>
          <w:rFonts w:hint="eastAsia" w:hAnsi="Calibri" w:eastAsia="仿宋_GB2312"/>
          <w:color w:val="000000"/>
          <w:sz w:val="32"/>
          <w:szCs w:val="32"/>
        </w:rPr>
        <w:t>外显子7拷贝数，当</w:t>
      </w:r>
      <w:r>
        <w:rPr>
          <w:rFonts w:hAnsi="Calibri" w:eastAsia="仿宋_GB2312"/>
          <w:color w:val="000000"/>
          <w:sz w:val="32"/>
          <w:szCs w:val="32"/>
        </w:rPr>
        <w:t>SMN1</w:t>
      </w:r>
      <w:r>
        <w:rPr>
          <w:rFonts w:hint="eastAsia" w:hAnsi="Calibri" w:eastAsia="仿宋_GB2312"/>
          <w:color w:val="000000"/>
          <w:sz w:val="32"/>
          <w:szCs w:val="32"/>
        </w:rPr>
        <w:t>外显子7为1个拷贝数时，即为SMA携带者。对于高度怀疑为[2+0</w:t>
      </w:r>
      <w:r>
        <w:rPr>
          <w:rFonts w:hAnsi="Calibri" w:eastAsia="仿宋_GB2312"/>
          <w:color w:val="000000"/>
          <w:sz w:val="32"/>
          <w:szCs w:val="32"/>
        </w:rPr>
        <w:t>]</w:t>
      </w:r>
      <w:r>
        <w:rPr>
          <w:rFonts w:hint="eastAsia" w:hAnsi="Calibri" w:eastAsia="仿宋_GB2312"/>
          <w:color w:val="000000"/>
          <w:sz w:val="32"/>
          <w:szCs w:val="32"/>
        </w:rPr>
        <w:t>型携带者的，可使用单倍型连锁分析技术进行验证性检测。</w:t>
      </w:r>
      <w:r>
        <w:rPr>
          <w:rFonts w:hAnsi="Calibri" w:eastAsia="仿宋_GB2312"/>
          <w:color w:val="000000"/>
          <w:sz w:val="32"/>
          <w:szCs w:val="32"/>
        </w:rPr>
        <w:t>SMN2</w:t>
      </w:r>
      <w:r>
        <w:rPr>
          <w:rFonts w:hint="eastAsia" w:hAnsi="Calibri" w:eastAsia="仿宋_GB2312"/>
          <w:color w:val="000000"/>
          <w:sz w:val="32"/>
          <w:szCs w:val="32"/>
        </w:rPr>
        <w:t>不在携带者检测范围。需注意携带者检测的遗传咨询非常重要，检测前需签署知情同意书，在受检者自愿的前提下进行。携带者检测的应用应符合国家及地方卫生管理部门的相关规定。</w:t>
      </w:r>
    </w:p>
    <w:p w14:paraId="40DDFBE6">
      <w:pPr>
        <w:widowControl/>
        <w:spacing w:line="520" w:lineRule="exact"/>
        <w:ind w:firstLine="640" w:firstLineChars="200"/>
        <w:rPr>
          <w:rFonts w:hAnsi="Calibri" w:eastAsia="仿宋_GB2312"/>
          <w:color w:val="000000"/>
          <w:sz w:val="32"/>
          <w:szCs w:val="32"/>
        </w:rPr>
      </w:pPr>
      <w:r>
        <w:rPr>
          <w:rFonts w:hAnsi="Calibri" w:eastAsia="仿宋_GB2312"/>
          <w:color w:val="000000"/>
          <w:sz w:val="32"/>
          <w:szCs w:val="32"/>
        </w:rPr>
        <w:t>综上</w:t>
      </w:r>
      <w:r>
        <w:rPr>
          <w:rFonts w:hint="eastAsia" w:hAnsi="Calibri" w:eastAsia="仿宋_GB2312"/>
          <w:color w:val="000000"/>
          <w:sz w:val="32"/>
          <w:szCs w:val="32"/>
        </w:rPr>
        <w:t>所述</w:t>
      </w:r>
      <w:r>
        <w:rPr>
          <w:rFonts w:hAnsi="Calibri" w:eastAsia="仿宋_GB2312"/>
          <w:color w:val="000000"/>
          <w:sz w:val="32"/>
          <w:szCs w:val="32"/>
        </w:rPr>
        <w:t>，</w:t>
      </w:r>
      <w:r>
        <w:rPr>
          <w:rFonts w:hint="eastAsia" w:hAnsi="Calibri" w:eastAsia="仿宋_GB2312"/>
          <w:color w:val="000000"/>
          <w:sz w:val="32"/>
          <w:szCs w:val="32"/>
        </w:rPr>
        <w:t>结合目前</w:t>
      </w:r>
      <w:r>
        <w:rPr>
          <w:rFonts w:hAnsi="Calibri" w:eastAsia="仿宋_GB2312"/>
          <w:color w:val="000000"/>
          <w:sz w:val="32"/>
          <w:szCs w:val="32"/>
        </w:rPr>
        <w:t>在</w:t>
      </w:r>
      <w:r>
        <w:rPr>
          <w:rFonts w:hint="eastAsia" w:hAnsi="Calibri" w:eastAsia="仿宋_GB2312"/>
          <w:color w:val="000000"/>
          <w:sz w:val="32"/>
          <w:szCs w:val="32"/>
        </w:rPr>
        <w:t>国内申报</w:t>
      </w:r>
      <w:r>
        <w:rPr>
          <w:rFonts w:hAnsi="Calibri" w:eastAsia="仿宋_GB2312"/>
          <w:color w:val="000000"/>
          <w:sz w:val="32"/>
          <w:szCs w:val="32"/>
        </w:rPr>
        <w:t>注册</w:t>
      </w:r>
      <w:r>
        <w:rPr>
          <w:rFonts w:hint="eastAsia" w:hAnsi="Calibri" w:eastAsia="仿宋_GB2312"/>
          <w:color w:val="000000"/>
          <w:sz w:val="32"/>
          <w:szCs w:val="32"/>
        </w:rPr>
        <w:t>的产品均为SMN1检测试剂，</w:t>
      </w:r>
      <w:r>
        <w:rPr>
          <w:rFonts w:hAnsi="Calibri" w:eastAsia="仿宋_GB2312"/>
          <w:color w:val="000000"/>
          <w:sz w:val="32"/>
          <w:szCs w:val="32"/>
        </w:rPr>
        <w:t>本指导原则</w:t>
      </w:r>
      <w:r>
        <w:rPr>
          <w:rFonts w:hint="eastAsia" w:hAnsi="Calibri" w:eastAsia="仿宋_GB2312"/>
          <w:color w:val="000000"/>
          <w:sz w:val="32"/>
          <w:szCs w:val="32"/>
        </w:rPr>
        <w:t>仅</w:t>
      </w:r>
      <w:r>
        <w:rPr>
          <w:rFonts w:hAnsi="Calibri" w:eastAsia="仿宋_GB2312"/>
          <w:color w:val="000000"/>
          <w:sz w:val="32"/>
          <w:szCs w:val="32"/>
        </w:rPr>
        <w:t>对</w:t>
      </w:r>
      <w:r>
        <w:rPr>
          <w:rFonts w:hint="eastAsia" w:hAnsi="Calibri" w:eastAsia="仿宋_GB2312"/>
          <w:color w:val="000000"/>
          <w:sz w:val="32"/>
          <w:szCs w:val="32"/>
        </w:rPr>
        <w:t>SMN</w:t>
      </w:r>
      <w:r>
        <w:rPr>
          <w:rFonts w:hAnsi="Calibri" w:eastAsia="仿宋_GB2312"/>
          <w:color w:val="000000"/>
          <w:sz w:val="32"/>
          <w:szCs w:val="32"/>
        </w:rPr>
        <w:t>1</w:t>
      </w:r>
      <w:r>
        <w:rPr>
          <w:rFonts w:hint="eastAsia" w:hAnsi="Calibri" w:eastAsia="仿宋_GB2312"/>
          <w:color w:val="000000"/>
          <w:sz w:val="32"/>
          <w:szCs w:val="32"/>
        </w:rPr>
        <w:t>检测</w:t>
      </w:r>
      <w:r>
        <w:rPr>
          <w:rFonts w:hAnsi="Calibri" w:eastAsia="仿宋_GB2312"/>
          <w:color w:val="000000"/>
          <w:sz w:val="32"/>
          <w:szCs w:val="32"/>
        </w:rPr>
        <w:t>试剂申报要求</w:t>
      </w:r>
      <w:r>
        <w:rPr>
          <w:rFonts w:hint="eastAsia" w:hAnsi="Calibri" w:eastAsia="仿宋_GB2312"/>
          <w:color w:val="000000"/>
          <w:sz w:val="32"/>
          <w:szCs w:val="32"/>
        </w:rPr>
        <w:t>进行</w:t>
      </w:r>
      <w:r>
        <w:rPr>
          <w:rFonts w:hAnsi="Calibri" w:eastAsia="仿宋_GB2312"/>
          <w:color w:val="000000"/>
          <w:sz w:val="32"/>
          <w:szCs w:val="32"/>
        </w:rPr>
        <w:t>阐述</w:t>
      </w:r>
      <w:r>
        <w:rPr>
          <w:rFonts w:hint="eastAsia" w:hAnsi="Calibri" w:eastAsia="仿宋_GB2312"/>
          <w:color w:val="000000"/>
          <w:sz w:val="32"/>
          <w:szCs w:val="32"/>
        </w:rPr>
        <w:t>。基于</w:t>
      </w:r>
      <w:r>
        <w:rPr>
          <w:rFonts w:hAnsi="Calibri" w:eastAsia="仿宋_GB2312"/>
          <w:color w:val="000000"/>
          <w:sz w:val="32"/>
          <w:szCs w:val="32"/>
        </w:rPr>
        <w:t>目前对于</w:t>
      </w:r>
      <w:r>
        <w:rPr>
          <w:rFonts w:hint="eastAsia" w:hAnsi="Calibri" w:eastAsia="仿宋_GB2312"/>
          <w:color w:val="000000"/>
          <w:sz w:val="32"/>
          <w:szCs w:val="32"/>
        </w:rPr>
        <w:t>SMN1检测试剂的认知</w:t>
      </w:r>
      <w:r>
        <w:rPr>
          <w:rFonts w:hAnsi="Calibri" w:eastAsia="仿宋_GB2312"/>
          <w:color w:val="000000"/>
          <w:sz w:val="32"/>
          <w:szCs w:val="32"/>
        </w:rPr>
        <w:t>，</w:t>
      </w:r>
      <w:r>
        <w:rPr>
          <w:rFonts w:hint="eastAsia" w:hAnsi="Calibri" w:eastAsia="仿宋_GB2312"/>
          <w:color w:val="000000"/>
          <w:sz w:val="32"/>
          <w:szCs w:val="32"/>
        </w:rPr>
        <w:t>本</w:t>
      </w:r>
      <w:r>
        <w:rPr>
          <w:rFonts w:hAnsi="Calibri" w:eastAsia="仿宋_GB2312"/>
          <w:color w:val="000000"/>
          <w:sz w:val="32"/>
          <w:szCs w:val="32"/>
        </w:rPr>
        <w:t>指导原则</w:t>
      </w:r>
      <w:r>
        <w:rPr>
          <w:rFonts w:hint="eastAsia" w:hAnsi="Calibri" w:eastAsia="仿宋_GB2312"/>
          <w:color w:val="000000"/>
          <w:sz w:val="32"/>
          <w:szCs w:val="32"/>
        </w:rPr>
        <w:t>阐述</w:t>
      </w:r>
      <w:r>
        <w:rPr>
          <w:rFonts w:hAnsi="Calibri" w:eastAsia="仿宋_GB2312"/>
          <w:color w:val="000000"/>
          <w:sz w:val="32"/>
          <w:szCs w:val="32"/>
        </w:rPr>
        <w:t>的</w:t>
      </w:r>
      <w:r>
        <w:rPr>
          <w:rFonts w:hint="eastAsia" w:hAnsi="Calibri" w:eastAsia="仿宋_GB2312"/>
          <w:color w:val="000000"/>
          <w:sz w:val="32"/>
          <w:szCs w:val="32"/>
        </w:rPr>
        <w:t>SMN1检测</w:t>
      </w:r>
      <w:r>
        <w:rPr>
          <w:rFonts w:hAnsi="Calibri" w:eastAsia="仿宋_GB2312"/>
          <w:color w:val="000000"/>
          <w:sz w:val="32"/>
          <w:szCs w:val="32"/>
        </w:rPr>
        <w:t>的预期用途</w:t>
      </w:r>
      <w:r>
        <w:rPr>
          <w:rFonts w:hint="eastAsia" w:hAnsi="Calibri" w:eastAsia="仿宋_GB2312"/>
          <w:color w:val="000000"/>
          <w:sz w:val="32"/>
          <w:szCs w:val="32"/>
        </w:rPr>
        <w:t>限定</w:t>
      </w:r>
      <w:r>
        <w:rPr>
          <w:rFonts w:hAnsi="Calibri" w:eastAsia="仿宋_GB2312"/>
          <w:color w:val="000000"/>
          <w:sz w:val="32"/>
          <w:szCs w:val="32"/>
        </w:rPr>
        <w:t>为：用于体外检测人外周血样本</w:t>
      </w:r>
      <w:r>
        <w:rPr>
          <w:rFonts w:hint="eastAsia" w:hAnsi="Calibri" w:eastAsia="仿宋_GB2312"/>
          <w:color w:val="000000"/>
          <w:sz w:val="32"/>
          <w:szCs w:val="32"/>
        </w:rPr>
        <w:t>人</w:t>
      </w:r>
      <w:r>
        <w:rPr>
          <w:rFonts w:hAnsi="Calibri" w:eastAsia="仿宋_GB2312"/>
          <w:color w:val="000000"/>
          <w:sz w:val="32"/>
          <w:szCs w:val="32"/>
        </w:rPr>
        <w:t>基因组DNA</w:t>
      </w:r>
      <w:r>
        <w:rPr>
          <w:rFonts w:hint="eastAsia" w:hAnsi="Calibri" w:eastAsia="仿宋_GB2312"/>
          <w:color w:val="000000"/>
          <w:sz w:val="32"/>
          <w:szCs w:val="32"/>
        </w:rPr>
        <w:t>中SMN1</w:t>
      </w:r>
      <w:r>
        <w:rPr>
          <w:rFonts w:hAnsi="Calibri" w:eastAsia="仿宋_GB2312"/>
          <w:color w:val="000000"/>
          <w:sz w:val="32"/>
          <w:szCs w:val="32"/>
        </w:rPr>
        <w:t>基因</w:t>
      </w:r>
      <w:r>
        <w:rPr>
          <w:rFonts w:hint="eastAsia" w:hAnsi="Calibri" w:eastAsia="仿宋_GB2312"/>
          <w:color w:val="000000"/>
          <w:sz w:val="32"/>
          <w:szCs w:val="32"/>
        </w:rPr>
        <w:t>第7和/或第8外显子拷贝数变异</w:t>
      </w:r>
      <w:r>
        <w:rPr>
          <w:rFonts w:hAnsi="Calibri" w:eastAsia="仿宋_GB2312"/>
          <w:color w:val="000000"/>
          <w:sz w:val="32"/>
          <w:szCs w:val="32"/>
        </w:rPr>
        <w:t>，用于</w:t>
      </w:r>
      <w:r>
        <w:rPr>
          <w:rFonts w:hint="eastAsia" w:hAnsi="Calibri" w:eastAsia="仿宋_GB2312"/>
          <w:color w:val="000000"/>
          <w:sz w:val="32"/>
          <w:szCs w:val="32"/>
        </w:rPr>
        <w:t>SMA</w:t>
      </w:r>
      <w:r>
        <w:rPr>
          <w:rFonts w:hAnsi="Calibri" w:eastAsia="仿宋_GB2312"/>
          <w:color w:val="000000"/>
          <w:sz w:val="32"/>
          <w:szCs w:val="32"/>
        </w:rPr>
        <w:t>的</w:t>
      </w:r>
      <w:r>
        <w:rPr>
          <w:rFonts w:hint="eastAsia" w:hAnsi="Calibri" w:eastAsia="仿宋_GB2312"/>
          <w:color w:val="000000"/>
          <w:sz w:val="32"/>
          <w:szCs w:val="32"/>
        </w:rPr>
        <w:t>辅助诊断（遗传诊断）或携带者检测。</w:t>
      </w:r>
      <w:r>
        <w:rPr>
          <w:rFonts w:hAnsi="Calibri" w:eastAsia="仿宋_GB2312"/>
          <w:color w:val="000000"/>
          <w:sz w:val="32"/>
          <w:szCs w:val="32"/>
        </w:rPr>
        <w:t>针对其他预期用途，申请人应根据产品</w:t>
      </w:r>
      <w:r>
        <w:rPr>
          <w:rFonts w:hint="eastAsia" w:hAnsi="Calibri" w:eastAsia="仿宋_GB2312"/>
          <w:color w:val="000000"/>
          <w:sz w:val="32"/>
          <w:szCs w:val="32"/>
        </w:rPr>
        <w:t>具体</w:t>
      </w:r>
      <w:r>
        <w:rPr>
          <w:rFonts w:hAnsi="Calibri" w:eastAsia="仿宋_GB2312"/>
          <w:color w:val="000000"/>
          <w:sz w:val="32"/>
          <w:szCs w:val="32"/>
        </w:rPr>
        <w:t>特性</w:t>
      </w:r>
      <w:r>
        <w:rPr>
          <w:rFonts w:hint="eastAsia" w:hAnsi="Calibri" w:eastAsia="仿宋_GB2312"/>
          <w:color w:val="000000"/>
          <w:sz w:val="32"/>
          <w:szCs w:val="32"/>
        </w:rPr>
        <w:t>进行</w:t>
      </w:r>
      <w:r>
        <w:rPr>
          <w:rFonts w:hAnsi="Calibri" w:eastAsia="仿宋_GB2312"/>
          <w:color w:val="000000"/>
          <w:sz w:val="32"/>
          <w:szCs w:val="32"/>
        </w:rPr>
        <w:t>评价</w:t>
      </w:r>
      <w:r>
        <w:rPr>
          <w:rFonts w:hint="eastAsia" w:hAnsi="Calibri" w:eastAsia="仿宋_GB2312"/>
          <w:color w:val="000000"/>
          <w:sz w:val="32"/>
          <w:szCs w:val="32"/>
        </w:rPr>
        <w:t>。</w:t>
      </w:r>
      <w:r>
        <w:rPr>
          <w:rFonts w:hAnsi="Calibri" w:eastAsia="仿宋_GB2312"/>
          <w:color w:val="000000"/>
          <w:sz w:val="32"/>
          <w:szCs w:val="32"/>
        </w:rPr>
        <w:t xml:space="preserve"> </w:t>
      </w:r>
    </w:p>
    <w:p w14:paraId="1F156E7D">
      <w:pPr>
        <w:widowControl/>
        <w:spacing w:line="520" w:lineRule="exact"/>
        <w:ind w:firstLine="640" w:firstLineChars="200"/>
        <w:rPr>
          <w:rFonts w:hAnsi="Calibri" w:eastAsia="仿宋_GB2312"/>
          <w:color w:val="000000"/>
          <w:sz w:val="32"/>
          <w:szCs w:val="32"/>
        </w:rPr>
      </w:pPr>
      <w:r>
        <w:rPr>
          <w:rFonts w:hint="eastAsia" w:hAnsi="Calibri" w:eastAsia="仿宋_GB2312"/>
          <w:color w:val="000000"/>
          <w:sz w:val="32"/>
          <w:szCs w:val="32"/>
        </w:rPr>
        <w:t>常用的SMN1基因拷贝数检测方法包括多重连接探针扩增（MLPA），定量聚合酶链反应法（qPCR）。SMA传统的检测方法还包括双侧双重等位基因特异性PCR（AS-PCR）、聚合酶链反应-变性高效液相色谱（PCR</w:t>
      </w:r>
      <w:r>
        <w:rPr>
          <w:rFonts w:hAnsi="Calibri" w:eastAsia="仿宋_GB2312"/>
          <w:color w:val="000000"/>
          <w:sz w:val="32"/>
          <w:szCs w:val="32"/>
        </w:rPr>
        <w:t>-</w:t>
      </w:r>
      <w:r>
        <w:rPr>
          <w:rFonts w:hint="eastAsia" w:hAnsi="Calibri" w:eastAsia="仿宋_GB2312"/>
          <w:color w:val="000000"/>
          <w:sz w:val="32"/>
          <w:szCs w:val="32"/>
        </w:rPr>
        <w:t>DHPLC）、PCR-SSCP、PCR</w:t>
      </w:r>
      <w:r>
        <w:rPr>
          <w:rFonts w:hAnsi="Calibri" w:eastAsia="仿宋_GB2312"/>
          <w:color w:val="000000"/>
          <w:sz w:val="32"/>
          <w:szCs w:val="32"/>
        </w:rPr>
        <w:t>-</w:t>
      </w:r>
      <w:r>
        <w:rPr>
          <w:rFonts w:hint="eastAsia" w:hAnsi="Calibri" w:eastAsia="仿宋_GB2312"/>
          <w:color w:val="000000"/>
          <w:sz w:val="32"/>
          <w:szCs w:val="32"/>
        </w:rPr>
        <w:t>RFLP、DHPLC、高分辨溶解曲线分析（HRMA）、数字PCR等。多重连接探针扩增法（MLPA）可通过直接检测SMN1拷贝数明确区分患者、携带者或正常人，还可同时检测SMN2的拷贝数。定量聚合酶链反应法（qPCR）则以管家基因序列为内参，采用Taqman探针法分别对SMN1第7或第7、8外显子拷贝数进行相对定量来判断是否发生缺失变异。但两种方法均不能检测</w:t>
      </w:r>
      <w:r>
        <w:rPr>
          <w:rFonts w:hAnsi="Calibri" w:eastAsia="仿宋_GB2312"/>
          <w:color w:val="000000"/>
          <w:sz w:val="32"/>
          <w:szCs w:val="32"/>
        </w:rPr>
        <w:t>SMN1</w:t>
      </w:r>
      <w:r>
        <w:rPr>
          <w:rFonts w:hint="eastAsia" w:hAnsi="Calibri" w:eastAsia="仿宋_GB2312"/>
          <w:color w:val="000000"/>
          <w:sz w:val="32"/>
          <w:szCs w:val="32"/>
        </w:rPr>
        <w:t>微小变异及[2+0]基因型。</w:t>
      </w:r>
    </w:p>
    <w:p w14:paraId="143C7346">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各种方法</w:t>
      </w:r>
      <w:r>
        <w:rPr>
          <w:rFonts w:hAnsi="Calibri" w:eastAsia="仿宋_GB2312"/>
          <w:color w:val="000000"/>
          <w:sz w:val="32"/>
          <w:szCs w:val="32"/>
        </w:rPr>
        <w:t>具体的检测原理存在差异，</w:t>
      </w:r>
      <w:r>
        <w:rPr>
          <w:rFonts w:hint="eastAsia" w:hAnsi="Calibri" w:eastAsia="仿宋_GB2312"/>
          <w:color w:val="000000"/>
          <w:sz w:val="32"/>
          <w:szCs w:val="32"/>
        </w:rPr>
        <w:t>本指导原则的技术要求是基于</w:t>
      </w:r>
      <w:r>
        <w:rPr>
          <w:rFonts w:hAnsi="Calibri" w:eastAsia="仿宋_GB2312"/>
          <w:color w:val="000000"/>
          <w:sz w:val="32"/>
          <w:szCs w:val="32"/>
        </w:rPr>
        <w:t>PCR探针法方法建立，对于其他检测技术（如</w:t>
      </w:r>
      <w:r>
        <w:rPr>
          <w:rFonts w:hint="eastAsia" w:hAnsi="Calibri" w:eastAsia="仿宋_GB2312"/>
          <w:color w:val="000000"/>
          <w:sz w:val="32"/>
          <w:szCs w:val="32"/>
        </w:rPr>
        <w:t>MLPA、数字PCR、测序法及质谱法等</w:t>
      </w:r>
      <w:r>
        <w:rPr>
          <w:rFonts w:hAnsi="Calibri" w:eastAsia="仿宋_GB2312"/>
          <w:color w:val="000000"/>
          <w:sz w:val="32"/>
          <w:szCs w:val="32"/>
        </w:rPr>
        <w:t>），可能部分要求不完全适用或本文所述技术指标不够全面</w:t>
      </w:r>
      <w:r>
        <w:rPr>
          <w:rFonts w:hint="eastAsia" w:hAnsi="Calibri" w:eastAsia="仿宋_GB2312"/>
          <w:color w:val="000000"/>
          <w:sz w:val="32"/>
          <w:szCs w:val="32"/>
        </w:rPr>
        <w:t>，</w:t>
      </w:r>
      <w:r>
        <w:rPr>
          <w:rFonts w:hAnsi="Calibri" w:eastAsia="仿宋_GB2312"/>
          <w:color w:val="000000"/>
          <w:sz w:val="32"/>
          <w:szCs w:val="32"/>
        </w:rPr>
        <w:t>申请人可以根据产品特性对不适用部分进行或补充其他的评价和验证，但需阐述不适用的理由，并验证替代方法的科学合理性</w:t>
      </w:r>
      <w:r>
        <w:rPr>
          <w:rFonts w:hint="eastAsia" w:hAnsi="Calibri" w:eastAsia="仿宋_GB2312"/>
          <w:color w:val="000000"/>
          <w:sz w:val="32"/>
          <w:szCs w:val="32"/>
        </w:rPr>
        <w:t>。</w:t>
      </w:r>
    </w:p>
    <w:p w14:paraId="6E1F114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本指导原则适用于进行首次注册申报和相关许可事项变更的产品。</w:t>
      </w:r>
    </w:p>
    <w:p w14:paraId="38E7C51D">
      <w:pPr>
        <w:adjustRightInd w:val="0"/>
        <w:snapToGrid w:val="0"/>
        <w:spacing w:line="520" w:lineRule="exact"/>
        <w:ind w:firstLine="640" w:firstLineChars="200"/>
        <w:rPr>
          <w:rFonts w:hAnsi="Calibri" w:eastAsia="黑体"/>
          <w:color w:val="000000"/>
          <w:sz w:val="32"/>
          <w:szCs w:val="32"/>
        </w:rPr>
      </w:pPr>
      <w:r>
        <w:rPr>
          <w:rFonts w:hAnsi="Calibri" w:eastAsia="黑体"/>
          <w:color w:val="000000"/>
          <w:sz w:val="32"/>
          <w:szCs w:val="32"/>
        </w:rPr>
        <w:t>二、注册申报资料要求</w:t>
      </w:r>
    </w:p>
    <w:p w14:paraId="2E81B30B">
      <w:pPr>
        <w:spacing w:line="520" w:lineRule="exact"/>
        <w:ind w:firstLine="640" w:firstLineChars="200"/>
        <w:contextualSpacing/>
        <w:rPr>
          <w:rFonts w:hAnsi="Calibri" w:eastAsia="楷体_GB2312"/>
          <w:color w:val="000000"/>
          <w:sz w:val="32"/>
          <w:szCs w:val="32"/>
        </w:rPr>
      </w:pPr>
      <w:r>
        <w:rPr>
          <w:rFonts w:hint="eastAsia" w:hAnsi="Calibri" w:eastAsia="楷体_GB2312"/>
          <w:color w:val="000000"/>
          <w:sz w:val="32"/>
          <w:szCs w:val="32"/>
        </w:rPr>
        <w:t>（一）综述资料</w:t>
      </w:r>
    </w:p>
    <w:p w14:paraId="40BE67B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综述资料主要包括产品预期用途、产品描述、有关生物安全性的说明、研究结果的总结评价以及国内外同类产品上市情况介绍等内容。其中，需注意以下内容：</w:t>
      </w:r>
    </w:p>
    <w:p w14:paraId="639EA715">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预期用途需明确适用人群、样本类型、基因名称、检测位点、变异类型及临床用途。需提交SMA的发病原因、临床症状、流行病学特征及该疾病相关诊断及有效的治疗方法，明确现有方法临床应用的优缺点。提交SMA的基因型分布的背景资料，明确基因名称、基因组位置、基因的转录本号。对于拷贝数变异，需明确检测靶点、选择依据及行业认可证据，详述变异信息、致病作用机制、遗传模式、变异后果、变异检出率以及中国人群数据等, 提交参考的数据库及支持性文献等。企业需根据产品设计及临床研究合理声称适用人群及预期用途。</w:t>
      </w:r>
    </w:p>
    <w:p w14:paraId="587CC045">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2.产品描述应详述检测原理、引物探针设计及其与检测位点对应关系,选择依据以及结果判断等。拷贝数分析建议包括外显子7或外显子7和8，明确区分SMN1和SMN2的原理。</w:t>
      </w:r>
    </w:p>
    <w:p w14:paraId="44E909A2">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3. 同类产品上市情况介绍部分应着重从方法学、检验原理、检测的基因名称、检测靶点、变异类型以及临床意义等方面详细说明申报产品与目前市场上已获批准的同类产品之间的主要区别，并明确申报产品优势与患者受益情况。</w:t>
      </w:r>
    </w:p>
    <w:p w14:paraId="3B235B47">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综述资料应符合现行有效的《体外诊断试剂注册管理办法》和《关于公布体外诊断试剂注册申报资料要求和批准证明文件格式的公告》。</w:t>
      </w:r>
    </w:p>
    <w:p w14:paraId="56717AF3">
      <w:pPr>
        <w:adjustRightInd w:val="0"/>
        <w:snapToGrid w:val="0"/>
        <w:spacing w:line="520" w:lineRule="exact"/>
        <w:ind w:firstLine="640" w:firstLineChars="200"/>
        <w:rPr>
          <w:rFonts w:hAnsi="Calibri" w:eastAsia="楷体_GB2312"/>
          <w:color w:val="000000"/>
          <w:sz w:val="32"/>
          <w:szCs w:val="32"/>
        </w:rPr>
      </w:pPr>
      <w:r>
        <w:rPr>
          <w:rFonts w:hint="eastAsia" w:hAnsi="Calibri" w:eastAsia="楷体_GB2312"/>
          <w:color w:val="000000"/>
          <w:sz w:val="32"/>
          <w:szCs w:val="32"/>
        </w:rPr>
        <w:t>（二）主要原材料的研究资料</w:t>
      </w:r>
    </w:p>
    <w:p w14:paraId="5A86930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主要原材料研究资料包括主要反应成分、对照品</w:t>
      </w:r>
      <w:r>
        <w:rPr>
          <w:rFonts w:hint="eastAsia" w:hAnsi="Calibri" w:eastAsia="仿宋_GB2312"/>
          <w:color w:val="000000"/>
          <w:sz w:val="32"/>
          <w:szCs w:val="32"/>
        </w:rPr>
        <w:t>/</w:t>
      </w:r>
      <w:r>
        <w:rPr>
          <w:rFonts w:hAnsi="Calibri" w:eastAsia="仿宋_GB2312"/>
          <w:color w:val="000000"/>
          <w:sz w:val="32"/>
          <w:szCs w:val="32"/>
        </w:rPr>
        <w:t>质控品及企业参考品的研究资料。</w:t>
      </w:r>
    </w:p>
    <w:p w14:paraId="77C3F3D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此类产品的主要反应成分一般包括人基因组核酸提取/纯化试剂、检测所需引物、探针、酶、dNTPs、反应缓冲液等。申请人应提交相关原材料的选择、制备和质量标准等的研究资料。如为申请人自制，应提交详细的工艺稳定性研究资料；如为外购，还应提交供应商筛选资料以及供应商提供的原材料质量检定报告。</w:t>
      </w:r>
    </w:p>
    <w:p w14:paraId="336F9AE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1.1核酸提取/纯化试剂（如有）的主要组成、原理介绍及相关的验证资料。</w:t>
      </w:r>
      <w:r>
        <w:rPr>
          <w:rFonts w:hint="eastAsia" w:hAnsi="Calibri" w:eastAsia="仿宋_GB2312"/>
          <w:color w:val="000000"/>
          <w:sz w:val="32"/>
          <w:szCs w:val="32"/>
        </w:rPr>
        <w:t>如申报产品不包含提取试剂，则需明确配套的核酸提取/纯化试剂并相应的提取效率的验证资料。</w:t>
      </w:r>
    </w:p>
    <w:p w14:paraId="5B96C1D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1.2引物、探针</w:t>
      </w:r>
    </w:p>
    <w:p w14:paraId="4198711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申请人应详述</w:t>
      </w:r>
      <w:r>
        <w:rPr>
          <w:rFonts w:hint="eastAsia" w:hAnsi="Calibri" w:eastAsia="仿宋_GB2312"/>
          <w:color w:val="000000"/>
          <w:sz w:val="32"/>
          <w:szCs w:val="32"/>
        </w:rPr>
        <w:t>SMN1及内控基因（如适用）的</w:t>
      </w:r>
      <w:r>
        <w:rPr>
          <w:rFonts w:hAnsi="Calibri" w:eastAsia="仿宋_GB2312"/>
          <w:color w:val="000000"/>
          <w:sz w:val="32"/>
          <w:szCs w:val="32"/>
        </w:rPr>
        <w:t>引物、探针的设计原则</w:t>
      </w:r>
      <w:r>
        <w:rPr>
          <w:rFonts w:hint="eastAsia" w:hAnsi="Calibri" w:eastAsia="仿宋_GB2312"/>
          <w:color w:val="000000"/>
          <w:sz w:val="32"/>
          <w:szCs w:val="32"/>
        </w:rPr>
        <w:t>、</w:t>
      </w:r>
      <w:r>
        <w:rPr>
          <w:rFonts w:hAnsi="Calibri" w:eastAsia="仿宋_GB2312"/>
          <w:color w:val="000000"/>
          <w:sz w:val="32"/>
          <w:szCs w:val="32"/>
        </w:rPr>
        <w:t>靶基因座位选择</w:t>
      </w:r>
      <w:r>
        <w:rPr>
          <w:rFonts w:hint="eastAsia" w:hAnsi="Calibri" w:eastAsia="仿宋_GB2312"/>
          <w:color w:val="000000"/>
          <w:sz w:val="32"/>
          <w:szCs w:val="32"/>
        </w:rPr>
        <w:t>，靶基因信息（基因名称、参考序列号），同时应提供</w:t>
      </w:r>
      <w:r>
        <w:rPr>
          <w:rFonts w:hAnsi="Calibri" w:eastAsia="仿宋_GB2312"/>
          <w:color w:val="000000"/>
          <w:sz w:val="32"/>
          <w:szCs w:val="32"/>
        </w:rPr>
        <w:t>引物探针核酸序列</w:t>
      </w:r>
      <w:r>
        <w:rPr>
          <w:rFonts w:hint="eastAsia" w:hAnsi="Calibri" w:eastAsia="仿宋_GB2312"/>
          <w:color w:val="000000"/>
          <w:sz w:val="32"/>
          <w:szCs w:val="32"/>
        </w:rPr>
        <w:t>、模板核酸序列及两者对应关系，此外提供引物探针长度、修饰基团、GC含量、Tm值、扩增产物长度等信息</w:t>
      </w:r>
      <w:r>
        <w:rPr>
          <w:rFonts w:hAnsi="Calibri" w:eastAsia="仿宋_GB2312"/>
          <w:color w:val="000000"/>
          <w:sz w:val="32"/>
          <w:szCs w:val="32"/>
        </w:rPr>
        <w:t>。建议设计多套引物探针以供筛选，针对待测位点的特异性等进行评价，选择最佳设计，并提交详细的筛选研究数据。</w:t>
      </w:r>
    </w:p>
    <w:p w14:paraId="10363F9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申请人应针对选定的引物、探针原材料进行质量评价，一般包括：</w:t>
      </w:r>
      <w:r>
        <w:rPr>
          <w:rFonts w:hint="eastAsia" w:hAnsi="Calibri" w:eastAsia="仿宋_GB2312"/>
          <w:color w:val="000000"/>
          <w:sz w:val="32"/>
          <w:szCs w:val="32"/>
        </w:rPr>
        <w:t>序列准确度</w:t>
      </w:r>
      <w:r>
        <w:rPr>
          <w:rFonts w:hAnsi="Calibri" w:eastAsia="仿宋_GB2312"/>
          <w:color w:val="000000"/>
          <w:sz w:val="32"/>
          <w:szCs w:val="32"/>
        </w:rPr>
        <w:t>、纯度（HPLC</w:t>
      </w:r>
      <w:r>
        <w:rPr>
          <w:rFonts w:hint="eastAsia" w:hAnsi="Calibri" w:eastAsia="仿宋_GB2312"/>
          <w:color w:val="000000"/>
          <w:sz w:val="32"/>
          <w:szCs w:val="32"/>
        </w:rPr>
        <w:t>纯，PAGE纯</w:t>
      </w:r>
      <w:r>
        <w:rPr>
          <w:rFonts w:hAnsi="Calibri" w:eastAsia="仿宋_GB2312"/>
          <w:color w:val="000000"/>
          <w:sz w:val="32"/>
          <w:szCs w:val="32"/>
        </w:rPr>
        <w:t>等）、浓度、探针荧光标记基团的激发波长和发射波长</w:t>
      </w:r>
      <w:r>
        <w:rPr>
          <w:rFonts w:hint="eastAsia" w:hAnsi="Calibri" w:eastAsia="仿宋_GB2312"/>
          <w:color w:val="000000"/>
          <w:sz w:val="32"/>
          <w:szCs w:val="32"/>
        </w:rPr>
        <w:t>（如适用）</w:t>
      </w:r>
      <w:r>
        <w:rPr>
          <w:rFonts w:hAnsi="Calibri" w:eastAsia="仿宋_GB2312"/>
          <w:color w:val="000000"/>
          <w:sz w:val="32"/>
          <w:szCs w:val="32"/>
        </w:rPr>
        <w:t>，以及功能性试验等，并依据评价结果建立合理的质量标准。</w:t>
      </w:r>
    </w:p>
    <w:p w14:paraId="0C334AD9">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由于</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高度同源，只有</w:t>
      </w:r>
      <w:r>
        <w:rPr>
          <w:rFonts w:hAnsi="Calibri" w:eastAsia="仿宋_GB2312"/>
          <w:color w:val="000000"/>
          <w:sz w:val="32"/>
          <w:szCs w:val="32"/>
        </w:rPr>
        <w:t>5</w:t>
      </w:r>
      <w:r>
        <w:rPr>
          <w:rFonts w:hint="eastAsia" w:hAnsi="Calibri" w:eastAsia="仿宋_GB2312"/>
          <w:color w:val="000000"/>
          <w:sz w:val="32"/>
          <w:szCs w:val="32"/>
        </w:rPr>
        <w:t>个碱基不同，应从产品设计开发角度详述如何避免</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的相互影响。</w:t>
      </w:r>
    </w:p>
    <w:p w14:paraId="26CB0E0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1.3酶</w:t>
      </w:r>
    </w:p>
    <w:p w14:paraId="56E5AF9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酶包括DNA聚合酶和尿嘧啶DNA糖基化酶（UDG/UNG）等。申请人应针对各种酶的活性进行验证，提交功能性试验资料，并确定酶的质量标准。</w:t>
      </w:r>
      <w:r>
        <w:rPr>
          <w:rFonts w:hint="eastAsia" w:hAnsi="Calibri" w:eastAsia="仿宋_GB2312"/>
          <w:color w:val="000000"/>
          <w:sz w:val="32"/>
          <w:szCs w:val="32"/>
        </w:rPr>
        <w:t>如有降低Taq酶非特异性扩增的措施，需详细描述（例如采用热启动酶，</w:t>
      </w:r>
      <w:r>
        <w:rPr>
          <w:rFonts w:hAnsi="Calibri" w:eastAsia="仿宋_GB2312"/>
          <w:color w:val="000000"/>
          <w:sz w:val="32"/>
          <w:szCs w:val="32"/>
        </w:rPr>
        <w:t>T</w:t>
      </w:r>
      <w:r>
        <w:rPr>
          <w:rFonts w:hint="eastAsia" w:hAnsi="Calibri" w:eastAsia="仿宋_GB2312"/>
          <w:color w:val="000000"/>
          <w:sz w:val="32"/>
          <w:szCs w:val="32"/>
        </w:rPr>
        <w:t>aq抗体等）。</w:t>
      </w:r>
    </w:p>
    <w:p w14:paraId="448DB1D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DNA</w:t>
      </w:r>
      <w:r>
        <w:rPr>
          <w:rFonts w:hint="eastAsia" w:hAnsi="Calibri" w:eastAsia="仿宋_GB2312"/>
          <w:color w:val="000000"/>
          <w:sz w:val="32"/>
          <w:szCs w:val="32"/>
        </w:rPr>
        <w:t>聚合酶应具有</w:t>
      </w:r>
      <w:r>
        <w:rPr>
          <w:rFonts w:hAnsi="Calibri" w:eastAsia="仿宋_GB2312"/>
          <w:color w:val="000000"/>
          <w:sz w:val="32"/>
          <w:szCs w:val="32"/>
        </w:rPr>
        <w:t>DNA</w:t>
      </w:r>
      <w:r>
        <w:rPr>
          <w:rFonts w:hint="eastAsia" w:hAnsi="Calibri" w:eastAsia="仿宋_GB2312"/>
          <w:color w:val="000000"/>
          <w:sz w:val="32"/>
          <w:szCs w:val="32"/>
        </w:rPr>
        <w:t>聚合酶活性，无核酸内切酶活性，具有</w:t>
      </w:r>
      <w:r>
        <w:rPr>
          <w:rFonts w:hAnsi="Calibri" w:eastAsia="仿宋_GB2312"/>
          <w:color w:val="000000"/>
          <w:sz w:val="32"/>
          <w:szCs w:val="32"/>
        </w:rPr>
        <w:t>5’-3’</w:t>
      </w:r>
      <w:r>
        <w:rPr>
          <w:rFonts w:hint="eastAsia" w:hAnsi="Calibri" w:eastAsia="仿宋_GB2312"/>
          <w:color w:val="000000"/>
          <w:sz w:val="32"/>
          <w:szCs w:val="32"/>
        </w:rPr>
        <w:t>外切酶活性（如适用），具热稳定性。</w:t>
      </w:r>
      <w:r>
        <w:rPr>
          <w:rFonts w:hAnsi="Calibri" w:eastAsia="仿宋_GB2312"/>
          <w:color w:val="000000"/>
          <w:sz w:val="32"/>
          <w:szCs w:val="32"/>
        </w:rPr>
        <w:t>UDG/UNG</w:t>
      </w:r>
      <w:r>
        <w:rPr>
          <w:rFonts w:hint="eastAsia" w:hAnsi="Calibri" w:eastAsia="仿宋_GB2312"/>
          <w:color w:val="000000"/>
          <w:sz w:val="32"/>
          <w:szCs w:val="32"/>
        </w:rPr>
        <w:t>应具有水解尿嘧啶糖苷键的活性，无核酸外切酶及核酸内切酶活性。</w:t>
      </w:r>
    </w:p>
    <w:p w14:paraId="0AEC15E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1.4脱氧核糖核苷三磷酸（dNTPs）</w:t>
      </w:r>
    </w:p>
    <w:p w14:paraId="1E1099A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包括dATP、dCTP、dGTP、dTTP或dUTP；应提交对其纯度、浓度、保存稳定性等的验证资料，以及功能性试验资料，并确定质量标准。</w:t>
      </w:r>
    </w:p>
    <w:p w14:paraId="7DE4777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2.对照品</w:t>
      </w:r>
      <w:r>
        <w:rPr>
          <w:rFonts w:hint="eastAsia" w:hAnsi="Calibri" w:eastAsia="仿宋_GB2312"/>
          <w:color w:val="000000"/>
          <w:sz w:val="32"/>
          <w:szCs w:val="32"/>
        </w:rPr>
        <w:t>/</w:t>
      </w:r>
      <w:r>
        <w:rPr>
          <w:rFonts w:hAnsi="Calibri" w:eastAsia="仿宋_GB2312"/>
          <w:color w:val="000000"/>
          <w:sz w:val="32"/>
          <w:szCs w:val="32"/>
        </w:rPr>
        <w:t>质控品</w:t>
      </w:r>
    </w:p>
    <w:p w14:paraId="40C8B0A1">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试剂盒</w:t>
      </w:r>
      <w:r>
        <w:rPr>
          <w:rFonts w:hint="eastAsia" w:hAnsi="Calibri" w:eastAsia="仿宋_GB2312"/>
          <w:color w:val="000000"/>
          <w:sz w:val="32"/>
          <w:szCs w:val="32"/>
        </w:rPr>
        <w:t>应根据检测原理设置</w:t>
      </w:r>
      <w:r>
        <w:rPr>
          <w:rFonts w:hAnsi="Calibri" w:eastAsia="仿宋_GB2312"/>
          <w:color w:val="000000"/>
          <w:sz w:val="32"/>
          <w:szCs w:val="32"/>
        </w:rPr>
        <w:t>各种对照品（质控品）</w:t>
      </w:r>
      <w:r>
        <w:rPr>
          <w:rFonts w:hint="eastAsia" w:hAnsi="Calibri" w:eastAsia="仿宋_GB2312"/>
          <w:color w:val="000000"/>
          <w:sz w:val="32"/>
          <w:szCs w:val="32"/>
        </w:rPr>
        <w:t>、质控探针（如适用）</w:t>
      </w:r>
      <w:r>
        <w:rPr>
          <w:rFonts w:hAnsi="Calibri" w:eastAsia="仿宋_GB2312"/>
          <w:color w:val="000000"/>
          <w:sz w:val="32"/>
          <w:szCs w:val="32"/>
        </w:rPr>
        <w:t>来实现</w:t>
      </w:r>
      <w:r>
        <w:rPr>
          <w:rFonts w:hint="eastAsia" w:hAnsi="Calibri" w:eastAsia="仿宋_GB2312"/>
          <w:color w:val="000000"/>
          <w:sz w:val="32"/>
          <w:szCs w:val="32"/>
        </w:rPr>
        <w:t>对产品整个反应体系的有效监控。</w:t>
      </w:r>
      <w:r>
        <w:rPr>
          <w:rFonts w:hAnsi="Calibri" w:eastAsia="仿宋_GB2312"/>
          <w:color w:val="000000"/>
          <w:sz w:val="32"/>
          <w:szCs w:val="32"/>
        </w:rPr>
        <w:t>SMN1</w:t>
      </w:r>
      <w:r>
        <w:rPr>
          <w:rFonts w:hint="eastAsia" w:hAnsi="Calibri" w:eastAsia="仿宋_GB2312"/>
          <w:color w:val="000000"/>
          <w:sz w:val="32"/>
          <w:szCs w:val="32"/>
        </w:rPr>
        <w:t>对照品通常至少包括含有0、单拷贝及2拷贝第</w:t>
      </w:r>
      <w:r>
        <w:rPr>
          <w:rFonts w:hAnsi="Calibri" w:eastAsia="仿宋_GB2312"/>
          <w:color w:val="000000"/>
          <w:sz w:val="32"/>
          <w:szCs w:val="32"/>
        </w:rPr>
        <w:t>7</w:t>
      </w:r>
      <w:r>
        <w:rPr>
          <w:rFonts w:hint="eastAsia" w:hAnsi="Calibri" w:eastAsia="仿宋_GB2312"/>
          <w:color w:val="000000"/>
          <w:sz w:val="32"/>
          <w:szCs w:val="32"/>
        </w:rPr>
        <w:t>外显子和</w:t>
      </w:r>
      <w:r>
        <w:rPr>
          <w:rFonts w:hAnsi="Calibri" w:eastAsia="仿宋_GB2312"/>
          <w:color w:val="000000"/>
          <w:sz w:val="32"/>
          <w:szCs w:val="32"/>
        </w:rPr>
        <w:t>/</w:t>
      </w:r>
      <w:r>
        <w:rPr>
          <w:rFonts w:hint="eastAsia" w:hAnsi="Calibri" w:eastAsia="仿宋_GB2312"/>
          <w:color w:val="000000"/>
          <w:sz w:val="32"/>
          <w:szCs w:val="32"/>
        </w:rPr>
        <w:t>或第</w:t>
      </w:r>
      <w:r>
        <w:rPr>
          <w:rFonts w:hAnsi="Calibri" w:eastAsia="仿宋_GB2312"/>
          <w:color w:val="000000"/>
          <w:sz w:val="32"/>
          <w:szCs w:val="32"/>
        </w:rPr>
        <w:t>8</w:t>
      </w:r>
      <w:r>
        <w:rPr>
          <w:rFonts w:hint="eastAsia" w:hAnsi="Calibri" w:eastAsia="仿宋_GB2312"/>
          <w:color w:val="000000"/>
          <w:sz w:val="32"/>
          <w:szCs w:val="32"/>
        </w:rPr>
        <w:t>外显子的对照品。</w:t>
      </w:r>
      <w:r>
        <w:rPr>
          <w:rFonts w:hAnsi="Calibri" w:eastAsia="仿宋_GB2312"/>
          <w:color w:val="000000"/>
          <w:sz w:val="32"/>
          <w:szCs w:val="32"/>
        </w:rPr>
        <w:t>空白对照为不含</w:t>
      </w:r>
      <w:r>
        <w:rPr>
          <w:rFonts w:hint="eastAsia" w:hAnsi="Calibri" w:eastAsia="仿宋_GB2312"/>
          <w:color w:val="000000"/>
          <w:sz w:val="32"/>
          <w:szCs w:val="32"/>
        </w:rPr>
        <w:t>靶</w:t>
      </w:r>
      <w:r>
        <w:rPr>
          <w:rFonts w:hAnsi="Calibri" w:eastAsia="仿宋_GB2312"/>
          <w:color w:val="000000"/>
          <w:sz w:val="32"/>
          <w:szCs w:val="32"/>
        </w:rPr>
        <w:t>核酸的溶液。</w:t>
      </w:r>
    </w:p>
    <w:p w14:paraId="6E2CEF92">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申请人应</w:t>
      </w:r>
      <w:r>
        <w:rPr>
          <w:rFonts w:hAnsi="Calibri" w:eastAsia="仿宋_GB2312"/>
          <w:color w:val="000000"/>
          <w:sz w:val="32"/>
          <w:szCs w:val="32"/>
        </w:rPr>
        <w:t>对管内抑制导致的假阴性结果进行质量控制，</w:t>
      </w:r>
      <w:r>
        <w:rPr>
          <w:rFonts w:hint="eastAsia" w:hAnsi="Calibri" w:eastAsia="仿宋_GB2312"/>
          <w:color w:val="000000"/>
          <w:sz w:val="32"/>
          <w:szCs w:val="32"/>
        </w:rPr>
        <w:t>明确所采取的具体措施（如设置内标等）、选择依据，并提交相应研究资料</w:t>
      </w:r>
      <w:r>
        <w:rPr>
          <w:rFonts w:hAnsi="Calibri" w:eastAsia="仿宋_GB2312"/>
          <w:color w:val="000000"/>
          <w:sz w:val="32"/>
          <w:szCs w:val="32"/>
        </w:rPr>
        <w:t>。</w:t>
      </w:r>
    </w:p>
    <w:p w14:paraId="4CEFA122">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对照品可采用人基因组</w:t>
      </w:r>
      <w:r>
        <w:rPr>
          <w:rFonts w:hAnsi="Calibri" w:eastAsia="仿宋_GB2312"/>
          <w:color w:val="000000"/>
          <w:sz w:val="32"/>
          <w:szCs w:val="32"/>
        </w:rPr>
        <w:t>DNA</w:t>
      </w:r>
      <w:r>
        <w:rPr>
          <w:rFonts w:hint="eastAsia" w:hAnsi="Calibri" w:eastAsia="仿宋_GB2312"/>
          <w:color w:val="000000"/>
          <w:sz w:val="32"/>
          <w:szCs w:val="32"/>
        </w:rPr>
        <w:t>、细胞系或质粒等</w:t>
      </w:r>
      <w:r>
        <w:rPr>
          <w:rFonts w:hAnsi="Calibri" w:eastAsia="仿宋_GB2312"/>
          <w:color w:val="000000"/>
          <w:sz w:val="32"/>
          <w:szCs w:val="32"/>
        </w:rPr>
        <w:t>。空白对照应参与样本核酸的平行提取。申请人应提供对照品原料选择、制备、</w:t>
      </w:r>
      <w:r>
        <w:rPr>
          <w:rFonts w:hint="eastAsia" w:hAnsi="Calibri" w:eastAsia="仿宋_GB2312"/>
          <w:color w:val="000000"/>
          <w:sz w:val="32"/>
          <w:szCs w:val="32"/>
        </w:rPr>
        <w:t>拷贝数确定</w:t>
      </w:r>
      <w:r>
        <w:rPr>
          <w:rFonts w:hAnsi="Calibri" w:eastAsia="仿宋_GB2312"/>
          <w:color w:val="000000"/>
          <w:sz w:val="32"/>
          <w:szCs w:val="32"/>
        </w:rPr>
        <w:t>过程</w:t>
      </w:r>
      <w:r>
        <w:rPr>
          <w:rFonts w:hint="eastAsia" w:hAnsi="Calibri" w:eastAsia="仿宋_GB2312"/>
          <w:color w:val="000000"/>
          <w:sz w:val="32"/>
          <w:szCs w:val="32"/>
        </w:rPr>
        <w:t>、内参基因与靶基因的比例确定</w:t>
      </w:r>
      <w:r>
        <w:rPr>
          <w:rFonts w:hAnsi="Calibri" w:eastAsia="仿宋_GB2312"/>
          <w:color w:val="000000"/>
          <w:sz w:val="32"/>
          <w:szCs w:val="32"/>
        </w:rPr>
        <w:t>等的详细研究数据，并对其检测结果做出明确的范围要求。</w:t>
      </w:r>
    </w:p>
    <w:p w14:paraId="2005812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3</w:t>
      </w:r>
      <w:r>
        <w:rPr>
          <w:rFonts w:hAnsi="Calibri" w:eastAsia="仿宋_GB2312"/>
          <w:color w:val="000000"/>
          <w:sz w:val="32"/>
          <w:szCs w:val="32"/>
        </w:rPr>
        <w:t>.</w:t>
      </w:r>
      <w:r>
        <w:rPr>
          <w:rFonts w:hint="eastAsia" w:hAnsi="Calibri" w:eastAsia="仿宋_GB2312"/>
          <w:color w:val="000000"/>
          <w:sz w:val="32"/>
          <w:szCs w:val="32"/>
        </w:rPr>
        <w:t>申报产品如涉及校准品或用于拷贝计算的参考样品, 需提供校准品/参考样品的选择依据、原料来源、制备过程、拷贝数及序列确认等的详细研究资料，并提交质量标准建立资料。</w:t>
      </w:r>
    </w:p>
    <w:p w14:paraId="0E395D7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w:t>
      </w:r>
      <w:r>
        <w:rPr>
          <w:rFonts w:hint="eastAsia" w:hAnsi="Calibri" w:eastAsia="仿宋_GB2312"/>
          <w:color w:val="000000"/>
          <w:sz w:val="32"/>
          <w:szCs w:val="32"/>
        </w:rPr>
        <w:t>企业参考品</w:t>
      </w:r>
    </w:p>
    <w:p w14:paraId="49C24D1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SMN1</w:t>
      </w:r>
      <w:r>
        <w:rPr>
          <w:rFonts w:hint="eastAsia" w:hAnsi="Calibri" w:eastAsia="仿宋_GB2312"/>
          <w:color w:val="000000"/>
          <w:sz w:val="32"/>
          <w:szCs w:val="32"/>
        </w:rPr>
        <w:t>拷贝数变异</w:t>
      </w:r>
      <w:r>
        <w:rPr>
          <w:rFonts w:hAnsi="Calibri" w:eastAsia="仿宋_GB2312"/>
          <w:color w:val="000000"/>
          <w:sz w:val="32"/>
          <w:szCs w:val="32"/>
        </w:rPr>
        <w:t>企业参考品主要包括</w:t>
      </w:r>
      <w:r>
        <w:rPr>
          <w:rFonts w:hint="eastAsia" w:hAnsi="Calibri" w:eastAsia="仿宋_GB2312"/>
          <w:color w:val="000000"/>
          <w:sz w:val="32"/>
          <w:szCs w:val="32"/>
        </w:rPr>
        <w:t>阳性参考品、阴性参考品</w:t>
      </w:r>
      <w:r>
        <w:rPr>
          <w:rFonts w:hAnsi="Calibri" w:eastAsia="仿宋_GB2312"/>
          <w:color w:val="000000"/>
          <w:sz w:val="32"/>
          <w:szCs w:val="32"/>
        </w:rPr>
        <w:t>、</w:t>
      </w:r>
      <w:r>
        <w:rPr>
          <w:rFonts w:hint="eastAsia" w:hAnsi="Calibri" w:eastAsia="仿宋_GB2312"/>
          <w:color w:val="000000"/>
          <w:sz w:val="32"/>
          <w:szCs w:val="32"/>
        </w:rPr>
        <w:t>检测限参考品</w:t>
      </w:r>
      <w:r>
        <w:rPr>
          <w:rFonts w:hAnsi="Calibri" w:eastAsia="仿宋_GB2312"/>
          <w:color w:val="000000"/>
          <w:sz w:val="32"/>
          <w:szCs w:val="32"/>
        </w:rPr>
        <w:t>和精密度参考品</w:t>
      </w:r>
      <w:r>
        <w:rPr>
          <w:rFonts w:hint="eastAsia" w:hAnsi="Calibri" w:eastAsia="仿宋_GB2312"/>
          <w:color w:val="000000"/>
          <w:sz w:val="32"/>
          <w:szCs w:val="32"/>
        </w:rPr>
        <w:t>等，</w:t>
      </w:r>
      <w:r>
        <w:rPr>
          <w:rFonts w:hAnsi="Calibri" w:eastAsia="仿宋_GB2312"/>
          <w:color w:val="000000"/>
          <w:sz w:val="32"/>
          <w:szCs w:val="32"/>
        </w:rPr>
        <w:t>申请人应提交企业参考品的原料选择、制备方法、SMN1</w:t>
      </w:r>
      <w:r>
        <w:rPr>
          <w:rFonts w:hint="eastAsia" w:hAnsi="Calibri" w:eastAsia="仿宋_GB2312"/>
          <w:color w:val="000000"/>
          <w:sz w:val="32"/>
          <w:szCs w:val="32"/>
        </w:rPr>
        <w:t>拷贝数</w:t>
      </w:r>
      <w:r>
        <w:rPr>
          <w:rFonts w:hAnsi="Calibri" w:eastAsia="仿宋_GB2312"/>
          <w:color w:val="000000"/>
          <w:sz w:val="32"/>
          <w:szCs w:val="32"/>
        </w:rPr>
        <w:t>确认及检验标准的详细研究资料等。</w:t>
      </w:r>
      <w:r>
        <w:rPr>
          <w:rFonts w:hint="eastAsia" w:hAnsi="Calibri" w:eastAsia="仿宋_GB2312"/>
          <w:color w:val="000000"/>
          <w:sz w:val="32"/>
          <w:szCs w:val="32"/>
        </w:rPr>
        <w:t>同时需包括其他易产生交叉反应的同源序列样本。对于纯合突变型的样本，可采用质粒，对于其他型别的参考品，建议采用临床样本或其核酸溶液。</w:t>
      </w:r>
      <w:r>
        <w:rPr>
          <w:rFonts w:hAnsi="Calibri" w:eastAsia="仿宋_GB2312"/>
          <w:color w:val="000000"/>
          <w:sz w:val="32"/>
          <w:szCs w:val="32"/>
        </w:rPr>
        <w:t xml:space="preserve"> </w:t>
      </w:r>
    </w:p>
    <w:p w14:paraId="3E14E03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4.1</w:t>
      </w:r>
      <w:r>
        <w:rPr>
          <w:rFonts w:hint="eastAsia" w:hAnsi="Calibri" w:eastAsia="仿宋_GB2312"/>
          <w:color w:val="000000"/>
          <w:sz w:val="32"/>
          <w:szCs w:val="32"/>
        </w:rPr>
        <w:t>阳性参考品</w:t>
      </w:r>
      <w:r>
        <w:rPr>
          <w:rFonts w:hAnsi="Calibri" w:eastAsia="仿宋_GB2312"/>
          <w:color w:val="000000"/>
          <w:sz w:val="32"/>
          <w:szCs w:val="32"/>
        </w:rPr>
        <w:t>：可采用临床样本或其核酸溶液，如采用临床样本，则样本类型应与待测样本一致</w:t>
      </w:r>
      <w:r>
        <w:rPr>
          <w:rFonts w:hint="eastAsia" w:hAnsi="Calibri" w:eastAsia="仿宋_GB2312"/>
          <w:color w:val="000000"/>
          <w:sz w:val="32"/>
          <w:szCs w:val="32"/>
        </w:rPr>
        <w:t>，应包含人基因组DNA。设置参考品时应考虑</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之间的相互影响</w:t>
      </w:r>
      <w:r>
        <w:rPr>
          <w:rFonts w:hAnsi="Calibri" w:eastAsia="仿宋_GB2312"/>
          <w:color w:val="000000"/>
          <w:sz w:val="32"/>
          <w:szCs w:val="32"/>
        </w:rPr>
        <w:t>。</w:t>
      </w:r>
      <w:r>
        <w:rPr>
          <w:rFonts w:hint="eastAsia" w:hAnsi="Calibri" w:eastAsia="仿宋_GB2312"/>
          <w:color w:val="000000"/>
          <w:sz w:val="32"/>
          <w:szCs w:val="32"/>
        </w:rPr>
        <w:t>应至少包含0拷贝</w:t>
      </w:r>
      <w:r>
        <w:rPr>
          <w:rFonts w:hAnsi="Calibri" w:eastAsia="仿宋_GB2312"/>
          <w:color w:val="000000"/>
          <w:sz w:val="32"/>
          <w:szCs w:val="32"/>
        </w:rPr>
        <w:t>SMN1</w:t>
      </w:r>
      <w:r>
        <w:rPr>
          <w:rFonts w:hint="eastAsia" w:hAnsi="Calibri" w:eastAsia="仿宋_GB2312"/>
          <w:color w:val="000000"/>
          <w:sz w:val="32"/>
          <w:szCs w:val="32"/>
        </w:rPr>
        <w:t>（第7外显子或第7、第8外显子纯合缺失）和1拷贝</w:t>
      </w:r>
      <w:r>
        <w:rPr>
          <w:rFonts w:hAnsi="Calibri" w:eastAsia="仿宋_GB2312"/>
          <w:color w:val="000000"/>
          <w:sz w:val="32"/>
          <w:szCs w:val="32"/>
        </w:rPr>
        <w:t>SMN1</w:t>
      </w:r>
      <w:r>
        <w:rPr>
          <w:rFonts w:hint="eastAsia" w:hAnsi="Calibri" w:eastAsia="仿宋_GB2312"/>
          <w:color w:val="000000"/>
          <w:sz w:val="32"/>
          <w:szCs w:val="32"/>
        </w:rPr>
        <w:t>（第7外显子或第7、第8外显子杂合缺失）。其中</w:t>
      </w:r>
      <w:r>
        <w:rPr>
          <w:rFonts w:hAnsi="Calibri" w:eastAsia="仿宋_GB2312"/>
          <w:color w:val="000000"/>
          <w:sz w:val="32"/>
          <w:szCs w:val="32"/>
        </w:rPr>
        <w:t>SMN1</w:t>
      </w:r>
      <w:r>
        <w:rPr>
          <w:rFonts w:hint="eastAsia" w:hAnsi="Calibri" w:eastAsia="仿宋_GB2312"/>
          <w:color w:val="000000"/>
          <w:sz w:val="32"/>
          <w:szCs w:val="32"/>
        </w:rPr>
        <w:t>纯合缺失型参考品</w:t>
      </w:r>
      <w:r>
        <w:rPr>
          <w:rFonts w:hAnsi="Calibri" w:eastAsia="仿宋_GB2312"/>
          <w:color w:val="000000"/>
          <w:sz w:val="32"/>
          <w:szCs w:val="32"/>
        </w:rPr>
        <w:t>SMN2</w:t>
      </w:r>
      <w:r>
        <w:rPr>
          <w:rFonts w:hint="eastAsia" w:hAnsi="Calibri" w:eastAsia="仿宋_GB2312"/>
          <w:color w:val="000000"/>
          <w:sz w:val="32"/>
          <w:szCs w:val="32"/>
        </w:rPr>
        <w:t>拷贝数需大于等于</w:t>
      </w:r>
      <w:r>
        <w:rPr>
          <w:rFonts w:hAnsi="Calibri" w:eastAsia="仿宋_GB2312"/>
          <w:color w:val="000000"/>
          <w:sz w:val="32"/>
          <w:szCs w:val="32"/>
        </w:rPr>
        <w:t>2</w:t>
      </w:r>
      <w:r>
        <w:rPr>
          <w:rFonts w:hint="eastAsia" w:hAnsi="Calibri" w:eastAsia="仿宋_GB2312"/>
          <w:color w:val="000000"/>
          <w:sz w:val="32"/>
          <w:szCs w:val="32"/>
        </w:rPr>
        <w:t>。</w:t>
      </w:r>
    </w:p>
    <w:p w14:paraId="41EAB54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4.2</w:t>
      </w:r>
      <w:r>
        <w:rPr>
          <w:rFonts w:hint="eastAsia" w:hAnsi="Calibri" w:eastAsia="仿宋_GB2312"/>
          <w:color w:val="000000"/>
          <w:sz w:val="32"/>
          <w:szCs w:val="32"/>
        </w:rPr>
        <w:t>阴性参考品</w:t>
      </w:r>
      <w:r>
        <w:rPr>
          <w:rFonts w:hAnsi="Calibri" w:eastAsia="仿宋_GB2312"/>
          <w:color w:val="000000"/>
          <w:sz w:val="32"/>
          <w:szCs w:val="32"/>
        </w:rPr>
        <w:t>：应包括</w:t>
      </w:r>
      <w:r>
        <w:rPr>
          <w:rFonts w:hint="eastAsia" w:hAnsi="Calibri" w:eastAsia="仿宋_GB2312"/>
          <w:color w:val="000000"/>
          <w:sz w:val="32"/>
          <w:szCs w:val="32"/>
        </w:rPr>
        <w:t>SMN1正常基因型</w:t>
      </w:r>
      <w:r>
        <w:rPr>
          <w:rFonts w:hAnsi="Calibri" w:eastAsia="仿宋_GB2312"/>
          <w:color w:val="000000"/>
          <w:sz w:val="32"/>
          <w:szCs w:val="32"/>
        </w:rPr>
        <w:t>临床样本或其核酸溶液</w:t>
      </w:r>
      <w:r>
        <w:rPr>
          <w:rFonts w:hint="eastAsia" w:hAnsi="Calibri" w:eastAsia="仿宋_GB2312"/>
          <w:color w:val="000000"/>
          <w:sz w:val="32"/>
          <w:szCs w:val="32"/>
        </w:rPr>
        <w:t>、不含第7外显子或第7、第8外显子缺失的</w:t>
      </w:r>
      <w:r>
        <w:rPr>
          <w:rFonts w:hAnsi="Calibri" w:eastAsia="仿宋_GB2312"/>
          <w:color w:val="000000"/>
          <w:sz w:val="32"/>
          <w:szCs w:val="32"/>
        </w:rPr>
        <w:t>SMN1</w:t>
      </w:r>
      <w:r>
        <w:rPr>
          <w:rFonts w:hint="eastAsia" w:hAnsi="Calibri" w:eastAsia="仿宋_GB2312"/>
          <w:color w:val="000000"/>
          <w:sz w:val="32"/>
          <w:szCs w:val="32"/>
        </w:rPr>
        <w:t>正常或突变序列、SMN</w:t>
      </w:r>
      <w:r>
        <w:rPr>
          <w:rFonts w:hAnsi="Calibri" w:eastAsia="仿宋_GB2312"/>
          <w:color w:val="000000"/>
          <w:sz w:val="32"/>
          <w:szCs w:val="32"/>
        </w:rPr>
        <w:t>2</w:t>
      </w:r>
      <w:r>
        <w:rPr>
          <w:rFonts w:hint="eastAsia" w:hAnsi="Calibri" w:eastAsia="仿宋_GB2312"/>
          <w:color w:val="000000"/>
          <w:sz w:val="32"/>
          <w:szCs w:val="32"/>
        </w:rPr>
        <w:t>不同拷贝数样本及其他</w:t>
      </w:r>
      <w:r>
        <w:rPr>
          <w:rFonts w:hAnsi="Calibri" w:eastAsia="仿宋_GB2312"/>
          <w:color w:val="000000"/>
          <w:sz w:val="32"/>
          <w:szCs w:val="32"/>
        </w:rPr>
        <w:t>易产生交叉反应的同源序列样本</w:t>
      </w:r>
      <w:r>
        <w:rPr>
          <w:rFonts w:hint="eastAsia" w:hAnsi="Calibri" w:eastAsia="仿宋_GB2312"/>
          <w:color w:val="000000"/>
          <w:sz w:val="32"/>
          <w:szCs w:val="32"/>
        </w:rPr>
        <w:t>。</w:t>
      </w:r>
      <w:r>
        <w:rPr>
          <w:rFonts w:hAnsi="Calibri" w:eastAsia="仿宋_GB2312"/>
          <w:color w:val="000000"/>
          <w:sz w:val="32"/>
          <w:szCs w:val="32"/>
        </w:rPr>
        <w:t>同时应尽量包含检测范围外其他检测位点的样本等。</w:t>
      </w:r>
    </w:p>
    <w:p w14:paraId="64389AE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4.3检测限参考品可选择最低检测限浓度（例如：95%检出率水平）或接近最低检测限浓度（例如100%检出率水平）的临床样本或其核酸溶液，</w:t>
      </w:r>
      <w:r>
        <w:rPr>
          <w:rFonts w:hint="eastAsia" w:hAnsi="Calibri" w:eastAsia="仿宋_GB2312"/>
          <w:color w:val="000000"/>
          <w:sz w:val="32"/>
          <w:szCs w:val="32"/>
        </w:rPr>
        <w:t>应包含申报试剂声称可检出的突变类型或基因型。</w:t>
      </w:r>
    </w:p>
    <w:p w14:paraId="6A9BD91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4.4精密度参考品应至少包括低浓度</w:t>
      </w:r>
      <w:r>
        <w:rPr>
          <w:rFonts w:hint="eastAsia" w:hAnsi="Calibri" w:eastAsia="仿宋_GB2312"/>
          <w:color w:val="000000"/>
          <w:sz w:val="32"/>
          <w:szCs w:val="32"/>
        </w:rPr>
        <w:t>的SMN1</w:t>
      </w:r>
      <w:r>
        <w:rPr>
          <w:rFonts w:hAnsi="Calibri" w:eastAsia="仿宋_GB2312"/>
          <w:color w:val="000000"/>
          <w:sz w:val="32"/>
          <w:szCs w:val="32"/>
        </w:rPr>
        <w:t>拷贝数</w:t>
      </w:r>
      <w:r>
        <w:rPr>
          <w:rFonts w:hint="eastAsia" w:hAnsi="Calibri" w:eastAsia="仿宋_GB2312"/>
          <w:color w:val="000000"/>
          <w:sz w:val="32"/>
          <w:szCs w:val="32"/>
        </w:rPr>
        <w:t>为单拷贝（[1+0]）和多拷贝(大于等于2拷贝）</w:t>
      </w:r>
      <w:r>
        <w:rPr>
          <w:rFonts w:hAnsi="Calibri" w:eastAsia="仿宋_GB2312"/>
          <w:color w:val="000000"/>
          <w:sz w:val="32"/>
          <w:szCs w:val="32"/>
        </w:rPr>
        <w:t>的临床样本或其核酸溶液</w:t>
      </w:r>
      <w:r>
        <w:rPr>
          <w:rFonts w:hint="eastAsia" w:hAnsi="Calibri" w:eastAsia="仿宋_GB2312"/>
          <w:color w:val="000000"/>
          <w:sz w:val="32"/>
          <w:szCs w:val="32"/>
        </w:rPr>
        <w:t>。</w:t>
      </w:r>
    </w:p>
    <w:p w14:paraId="77E488F8">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如有适用于SMN1或SMN</w:t>
      </w:r>
      <w:r>
        <w:rPr>
          <w:rFonts w:hAnsi="Calibri" w:eastAsia="仿宋_GB2312"/>
          <w:color w:val="000000"/>
          <w:sz w:val="32"/>
          <w:szCs w:val="32"/>
        </w:rPr>
        <w:t>2</w:t>
      </w:r>
      <w:r>
        <w:rPr>
          <w:rFonts w:hint="eastAsia" w:hAnsi="Calibri" w:eastAsia="仿宋_GB2312"/>
          <w:color w:val="000000"/>
          <w:sz w:val="32"/>
          <w:szCs w:val="32"/>
        </w:rPr>
        <w:t>拷贝数检</w:t>
      </w:r>
      <w:r>
        <w:rPr>
          <w:rFonts w:hAnsi="Calibri" w:eastAsia="仿宋_GB2312"/>
          <w:color w:val="000000"/>
          <w:sz w:val="32"/>
          <w:szCs w:val="32"/>
        </w:rPr>
        <w:t>测</w:t>
      </w:r>
      <w:r>
        <w:rPr>
          <w:rFonts w:hint="eastAsia" w:hAnsi="Calibri" w:eastAsia="仿宋_GB2312"/>
          <w:color w:val="000000"/>
          <w:sz w:val="32"/>
          <w:szCs w:val="32"/>
        </w:rPr>
        <w:t>的</w:t>
      </w:r>
      <w:r>
        <w:rPr>
          <w:rFonts w:hAnsi="Calibri" w:eastAsia="仿宋_GB2312"/>
          <w:color w:val="000000"/>
          <w:sz w:val="32"/>
          <w:szCs w:val="32"/>
        </w:rPr>
        <w:t>国家参考品，企业参考品的要求应不低于国家参考品。</w:t>
      </w:r>
    </w:p>
    <w:p w14:paraId="156779B9">
      <w:pPr>
        <w:adjustRightInd w:val="0"/>
        <w:snapToGrid w:val="0"/>
        <w:spacing w:line="520" w:lineRule="exact"/>
        <w:ind w:firstLine="640" w:firstLineChars="200"/>
        <w:rPr>
          <w:rFonts w:hAnsi="Calibri" w:eastAsia="楷体_GB2312"/>
          <w:color w:val="000000"/>
          <w:sz w:val="32"/>
          <w:szCs w:val="32"/>
        </w:rPr>
      </w:pPr>
      <w:r>
        <w:rPr>
          <w:rFonts w:hint="eastAsia" w:hAnsi="Calibri" w:eastAsia="楷体_GB2312"/>
          <w:color w:val="000000"/>
          <w:sz w:val="32"/>
          <w:szCs w:val="32"/>
        </w:rPr>
        <w:t>（三）主要生产工艺及反应体系的研究资料</w:t>
      </w:r>
    </w:p>
    <w:p w14:paraId="3DB569C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主要生产工艺研究资料包括工作液配制（引物、探针浓度、酶浓度、dNTPs浓度、缓冲液离子浓度等）、分装和冻干（如有）、荧光标记（如有）等工艺过程的描述及确定依据。生产过程应对关键参数进行有效控制，可采用流程图方式描述生产工艺，标明关键工艺质控步骤，并详细说明该步骤的质控方法及质控标准。</w:t>
      </w:r>
    </w:p>
    <w:p w14:paraId="73A7BA4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反应体系研究指反应条件的选择确定过程，包括</w:t>
      </w:r>
      <w:r>
        <w:rPr>
          <w:rFonts w:hint="eastAsia" w:hAnsi="Calibri" w:eastAsia="仿宋_GB2312"/>
          <w:color w:val="000000"/>
          <w:sz w:val="32"/>
          <w:szCs w:val="32"/>
        </w:rPr>
        <w:t>分析前样本类型的选择、</w:t>
      </w:r>
      <w:r>
        <w:rPr>
          <w:rFonts w:hAnsi="Calibri" w:eastAsia="仿宋_GB2312"/>
          <w:color w:val="000000"/>
          <w:sz w:val="32"/>
          <w:szCs w:val="32"/>
        </w:rPr>
        <w:t>样本采集、预处理（如有）、样本用量、试剂用量、核酸提取纯化步骤、PCR反应</w:t>
      </w:r>
      <w:r>
        <w:rPr>
          <w:rFonts w:hint="eastAsia" w:hAnsi="Calibri" w:eastAsia="仿宋_GB2312"/>
          <w:color w:val="000000"/>
          <w:sz w:val="32"/>
          <w:szCs w:val="32"/>
        </w:rPr>
        <w:t>体系及检测过程中的反应条件/参数</w:t>
      </w:r>
      <w:r>
        <w:rPr>
          <w:rFonts w:hAnsi="Calibri" w:eastAsia="仿宋_GB2312"/>
          <w:color w:val="000000"/>
          <w:sz w:val="32"/>
          <w:szCs w:val="32"/>
        </w:rPr>
        <w:t>、阈值循环数（Ct值）等的确定。</w:t>
      </w:r>
    </w:p>
    <w:p w14:paraId="04A21E7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同时反应体系研究资料中应提供可检测的总核酸浓度范围的研究/确认资料。即建议申请人还应对可准确检出的人基因组DNA浓度</w:t>
      </w:r>
      <w:r>
        <w:rPr>
          <w:rFonts w:hint="eastAsia" w:hAnsi="Calibri" w:eastAsia="仿宋_GB2312"/>
          <w:color w:val="000000"/>
          <w:sz w:val="32"/>
          <w:szCs w:val="32"/>
        </w:rPr>
        <w:t>范围</w:t>
      </w:r>
      <w:r>
        <w:rPr>
          <w:rFonts w:hAnsi="Calibri" w:eastAsia="仿宋_GB2312"/>
          <w:color w:val="000000"/>
          <w:sz w:val="32"/>
          <w:szCs w:val="32"/>
        </w:rPr>
        <w:t>进行研究验证。</w:t>
      </w:r>
      <w:r>
        <w:rPr>
          <w:rFonts w:hint="eastAsia" w:hAnsi="Calibri" w:eastAsia="仿宋_GB2312"/>
          <w:color w:val="000000"/>
          <w:sz w:val="32"/>
          <w:szCs w:val="32"/>
        </w:rPr>
        <w:t>应对靶标和内标的加样量及扩增效率一致性进行详细研究，需明确样本所需达到的质量标准。</w:t>
      </w:r>
    </w:p>
    <w:p w14:paraId="5A77B1F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不同适用机型的反应条件如有差异应分别提交。</w:t>
      </w:r>
    </w:p>
    <w:p w14:paraId="3CF4334B">
      <w:pPr>
        <w:adjustRightInd w:val="0"/>
        <w:snapToGrid w:val="0"/>
        <w:spacing w:line="520" w:lineRule="exact"/>
        <w:ind w:firstLine="640" w:firstLineChars="200"/>
        <w:rPr>
          <w:rFonts w:hAnsi="Calibri" w:eastAsia="楷体_GB2312"/>
          <w:color w:val="000000"/>
          <w:sz w:val="32"/>
          <w:szCs w:val="32"/>
        </w:rPr>
      </w:pPr>
      <w:r>
        <w:rPr>
          <w:rFonts w:hint="eastAsia" w:hAnsi="Calibri" w:eastAsia="楷体_GB2312"/>
          <w:color w:val="000000"/>
          <w:sz w:val="32"/>
          <w:szCs w:val="32"/>
        </w:rPr>
        <w:t>（四）分析性能评估资料</w:t>
      </w:r>
    </w:p>
    <w:p w14:paraId="7F608BCD">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申请人应</w:t>
      </w:r>
      <w:r>
        <w:rPr>
          <w:rFonts w:hint="eastAsia" w:hAnsi="Calibri" w:eastAsia="仿宋_GB2312"/>
          <w:color w:val="000000"/>
          <w:sz w:val="32"/>
          <w:szCs w:val="32"/>
        </w:rPr>
        <w:t>提交</w:t>
      </w:r>
      <w:r>
        <w:rPr>
          <w:rFonts w:hAnsi="Calibri" w:eastAsia="仿宋_GB2312"/>
          <w:color w:val="000000"/>
          <w:sz w:val="32"/>
          <w:szCs w:val="32"/>
        </w:rPr>
        <w:t>下述各项分析性能</w:t>
      </w:r>
      <w:r>
        <w:rPr>
          <w:rFonts w:hint="eastAsia" w:hAnsi="Calibri" w:eastAsia="仿宋_GB2312"/>
          <w:color w:val="000000"/>
          <w:sz w:val="32"/>
          <w:szCs w:val="32"/>
        </w:rPr>
        <w:t>的</w:t>
      </w:r>
      <w:r>
        <w:rPr>
          <w:rFonts w:hAnsi="Calibri" w:eastAsia="仿宋_GB2312"/>
          <w:color w:val="000000"/>
          <w:sz w:val="32"/>
          <w:szCs w:val="32"/>
        </w:rPr>
        <w:t>详细评估资料</w:t>
      </w:r>
      <w:r>
        <w:rPr>
          <w:rFonts w:hint="eastAsia" w:hAnsi="Calibri" w:eastAsia="仿宋_GB2312"/>
          <w:color w:val="000000"/>
          <w:sz w:val="32"/>
          <w:szCs w:val="32"/>
        </w:rPr>
        <w:t>，</w:t>
      </w:r>
      <w:r>
        <w:rPr>
          <w:rFonts w:hAnsi="Calibri" w:eastAsia="仿宋_GB2312"/>
          <w:color w:val="000000"/>
          <w:sz w:val="32"/>
          <w:szCs w:val="32"/>
        </w:rPr>
        <w:t>包括试验地点、适用仪器、试剂规格、批号、试验方法、试验样本（</w:t>
      </w:r>
      <w:r>
        <w:rPr>
          <w:rFonts w:hint="eastAsia" w:hAnsi="Calibri" w:eastAsia="仿宋_GB2312"/>
          <w:color w:val="000000"/>
          <w:sz w:val="32"/>
          <w:szCs w:val="32"/>
        </w:rPr>
        <w:t>需明确</w:t>
      </w:r>
      <w:r>
        <w:rPr>
          <w:rFonts w:hAnsi="Calibri" w:eastAsia="仿宋_GB2312"/>
          <w:color w:val="000000"/>
          <w:sz w:val="32"/>
          <w:szCs w:val="32"/>
        </w:rPr>
        <w:t>类型、来源、数量、处理方法、SMN1</w:t>
      </w:r>
      <w:r>
        <w:rPr>
          <w:rFonts w:hint="eastAsia" w:hAnsi="Calibri" w:eastAsia="仿宋_GB2312"/>
          <w:color w:val="000000"/>
          <w:sz w:val="32"/>
          <w:szCs w:val="32"/>
        </w:rPr>
        <w:t>与</w:t>
      </w:r>
      <w:r>
        <w:rPr>
          <w:rFonts w:hAnsi="Calibri" w:eastAsia="仿宋_GB2312"/>
          <w:color w:val="000000"/>
          <w:sz w:val="32"/>
          <w:szCs w:val="32"/>
        </w:rPr>
        <w:t>SMN2</w:t>
      </w:r>
      <w:r>
        <w:rPr>
          <w:rFonts w:hint="eastAsia" w:hAnsi="Calibri" w:eastAsia="仿宋_GB2312"/>
          <w:color w:val="000000"/>
          <w:sz w:val="32"/>
          <w:szCs w:val="32"/>
        </w:rPr>
        <w:t>拷贝数及其确定方法</w:t>
      </w:r>
      <w:r>
        <w:rPr>
          <w:rFonts w:hAnsi="Calibri" w:eastAsia="仿宋_GB2312"/>
          <w:color w:val="000000"/>
          <w:sz w:val="32"/>
          <w:szCs w:val="32"/>
        </w:rPr>
        <w:t>等）、可接受标准、统计方法、试验数据及结论等</w:t>
      </w:r>
      <w:r>
        <w:rPr>
          <w:rFonts w:hint="eastAsia" w:hAnsi="Calibri" w:eastAsia="仿宋_GB2312"/>
          <w:color w:val="000000"/>
          <w:sz w:val="32"/>
          <w:szCs w:val="32"/>
        </w:rPr>
        <w:t>，并需对</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之间的相互影响进行充分评估</w:t>
      </w:r>
      <w:r>
        <w:rPr>
          <w:rFonts w:hAnsi="Calibri" w:eastAsia="仿宋_GB2312"/>
          <w:color w:val="000000"/>
          <w:sz w:val="32"/>
          <w:szCs w:val="32"/>
        </w:rPr>
        <w:t>。</w:t>
      </w:r>
    </w:p>
    <w:p w14:paraId="35E02338">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每项性能评估应尽量采用与适用样本类型一致的临床样本，</w:t>
      </w:r>
      <w:r>
        <w:rPr>
          <w:rFonts w:hint="eastAsia" w:hAnsi="Calibri" w:eastAsia="仿宋_GB2312"/>
          <w:color w:val="000000"/>
          <w:sz w:val="32"/>
          <w:szCs w:val="32"/>
        </w:rPr>
        <w:t>并应涵盖正常人、携带者及患者的不同样本。</w:t>
      </w:r>
      <w:r>
        <w:rPr>
          <w:rFonts w:hAnsi="Calibri" w:eastAsia="仿宋_GB2312"/>
          <w:color w:val="000000"/>
          <w:sz w:val="32"/>
          <w:szCs w:val="32"/>
        </w:rPr>
        <w:t>对于某些稀有基因型，也可采用细胞系等</w:t>
      </w:r>
      <w:r>
        <w:rPr>
          <w:rFonts w:hint="eastAsia" w:hAnsi="Calibri" w:eastAsia="仿宋_GB2312"/>
          <w:color w:val="000000"/>
          <w:sz w:val="32"/>
          <w:szCs w:val="32"/>
        </w:rPr>
        <w:t>，不建议采用质控品</w:t>
      </w:r>
      <w:r>
        <w:rPr>
          <w:rFonts w:hAnsi="Calibri" w:eastAsia="仿宋_GB2312"/>
          <w:color w:val="000000"/>
          <w:sz w:val="32"/>
          <w:szCs w:val="32"/>
        </w:rPr>
        <w:t>。</w:t>
      </w:r>
    </w:p>
    <w:p w14:paraId="72B3FCF9">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1.适用的样本类型</w:t>
      </w:r>
    </w:p>
    <w:p w14:paraId="7DFCD04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如果试剂适用于多种样本类型，应采用合理方法对每种样本类型及添加剂（如抗凝剂）进行适用性的研究确认。对于不同的</w:t>
      </w:r>
      <w:r>
        <w:rPr>
          <w:rFonts w:hint="eastAsia" w:hAnsi="Calibri" w:eastAsia="仿宋_GB2312"/>
          <w:color w:val="000000"/>
          <w:sz w:val="32"/>
          <w:szCs w:val="32"/>
        </w:rPr>
        <w:t>样本类型</w:t>
      </w:r>
      <w:r>
        <w:rPr>
          <w:rFonts w:hAnsi="Calibri" w:eastAsia="仿宋_GB2312"/>
          <w:color w:val="000000"/>
          <w:sz w:val="32"/>
          <w:szCs w:val="32"/>
        </w:rPr>
        <w:t>应分别提交相应的分析性能评估资料。</w:t>
      </w:r>
    </w:p>
    <w:p w14:paraId="66CFC68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2.核酸提取/纯化性能（如有）</w:t>
      </w:r>
    </w:p>
    <w:p w14:paraId="4C01126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在进行靶核酸检测前，应有适当的核酸提取/纯化步骤。该步骤应最大量分离和纯化目的核酸并尽可能去除PCR抑制物。无论检测试剂是否含有核酸提取/纯化组分，申请人都应对配套使用的核酸提取/纯化方法的提取效率和提取核酸纯度、浓度等做充分的验证，并评价该方法能否满足该类产品的要求。</w:t>
      </w:r>
    </w:p>
    <w:p w14:paraId="602C9518">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3.准确性</w:t>
      </w:r>
    </w:p>
    <w:p w14:paraId="2960AE1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建议采用若干份临床样本验证该类产品的检测准确性，样本类型与说明书声称的样本类型一致</w:t>
      </w:r>
      <w:r>
        <w:rPr>
          <w:rFonts w:hint="eastAsia" w:hAnsi="Calibri" w:eastAsia="仿宋_GB2312"/>
          <w:color w:val="000000"/>
          <w:sz w:val="32"/>
          <w:szCs w:val="32"/>
        </w:rPr>
        <w:t>，并需明确样本中</w:t>
      </w:r>
      <w:r>
        <w:rPr>
          <w:rFonts w:hAnsi="Calibri" w:eastAsia="仿宋_GB2312"/>
          <w:color w:val="000000"/>
          <w:sz w:val="32"/>
          <w:szCs w:val="32"/>
        </w:rPr>
        <w:t>SMN1</w:t>
      </w:r>
      <w:r>
        <w:rPr>
          <w:rFonts w:hint="eastAsia" w:hAnsi="Calibri" w:eastAsia="仿宋_GB2312"/>
          <w:color w:val="000000"/>
          <w:sz w:val="32"/>
          <w:szCs w:val="32"/>
        </w:rPr>
        <w:t>及</w:t>
      </w:r>
      <w:r>
        <w:rPr>
          <w:rFonts w:hAnsi="Calibri" w:eastAsia="仿宋_GB2312"/>
          <w:color w:val="000000"/>
          <w:sz w:val="32"/>
          <w:szCs w:val="32"/>
        </w:rPr>
        <w:t>SMN2</w:t>
      </w:r>
      <w:r>
        <w:rPr>
          <w:rFonts w:hint="eastAsia" w:hAnsi="Calibri" w:eastAsia="仿宋_GB2312"/>
          <w:color w:val="000000"/>
          <w:sz w:val="32"/>
          <w:szCs w:val="32"/>
        </w:rPr>
        <w:t>拷贝数确定的方法</w:t>
      </w:r>
      <w:r>
        <w:rPr>
          <w:rFonts w:hAnsi="Calibri" w:eastAsia="仿宋_GB2312"/>
          <w:color w:val="000000"/>
          <w:sz w:val="32"/>
          <w:szCs w:val="32"/>
        </w:rPr>
        <w:t>。</w:t>
      </w:r>
      <w:r>
        <w:rPr>
          <w:rFonts w:hint="eastAsia" w:hAnsi="Calibri" w:eastAsia="仿宋_GB2312"/>
          <w:color w:val="000000"/>
          <w:sz w:val="32"/>
          <w:szCs w:val="32"/>
        </w:rPr>
        <w:t>对</w:t>
      </w:r>
      <w:r>
        <w:rPr>
          <w:rFonts w:hAnsi="Calibri" w:eastAsia="仿宋_GB2312"/>
          <w:color w:val="000000"/>
          <w:sz w:val="32"/>
          <w:szCs w:val="32"/>
        </w:rPr>
        <w:t>SMN1</w:t>
      </w:r>
      <w:r>
        <w:rPr>
          <w:rFonts w:hint="eastAsia" w:hAnsi="Calibri" w:eastAsia="仿宋_GB2312"/>
          <w:color w:val="000000"/>
          <w:sz w:val="32"/>
          <w:szCs w:val="32"/>
        </w:rPr>
        <w:t>拷贝数的准确性研究应至少包括0，1，2拷贝，同时应在</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不同比例的背景下对</w:t>
      </w:r>
      <w:r>
        <w:rPr>
          <w:rFonts w:hAnsi="Calibri" w:eastAsia="仿宋_GB2312"/>
          <w:color w:val="000000"/>
          <w:sz w:val="32"/>
          <w:szCs w:val="32"/>
        </w:rPr>
        <w:t>SMN1</w:t>
      </w:r>
      <w:r>
        <w:rPr>
          <w:rFonts w:hint="eastAsia" w:hAnsi="Calibri" w:eastAsia="仿宋_GB2312"/>
          <w:color w:val="000000"/>
          <w:sz w:val="32"/>
          <w:szCs w:val="32"/>
        </w:rPr>
        <w:t>拷贝数检测准确性进行研究。</w:t>
      </w:r>
    </w:p>
    <w:p w14:paraId="7D0338D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w:t>
      </w:r>
      <w:r>
        <w:rPr>
          <w:rFonts w:hint="eastAsia" w:hAnsi="Calibri" w:eastAsia="仿宋_GB2312"/>
          <w:color w:val="000000"/>
          <w:sz w:val="32"/>
          <w:szCs w:val="32"/>
        </w:rPr>
        <w:t>检测限：SMN</w:t>
      </w:r>
      <w:r>
        <w:rPr>
          <w:rFonts w:hAnsi="Calibri" w:eastAsia="仿宋_GB2312"/>
          <w:color w:val="000000"/>
          <w:sz w:val="32"/>
          <w:szCs w:val="32"/>
        </w:rPr>
        <w:t xml:space="preserve">1 </w:t>
      </w:r>
      <w:r>
        <w:rPr>
          <w:rFonts w:hint="eastAsia" w:hAnsi="Calibri" w:eastAsia="仿宋_GB2312"/>
          <w:color w:val="000000"/>
          <w:sz w:val="32"/>
          <w:szCs w:val="32"/>
        </w:rPr>
        <w:t>拷贝检测的最低检测限可定义为</w:t>
      </w:r>
      <w:r>
        <w:rPr>
          <w:rFonts w:hAnsi="Calibri" w:eastAsia="仿宋_GB2312"/>
          <w:color w:val="000000"/>
          <w:sz w:val="32"/>
          <w:szCs w:val="32"/>
        </w:rPr>
        <w:t>在满足一定的检测准确性和精密度的条件下，能够检出目标基因</w:t>
      </w:r>
      <w:r>
        <w:rPr>
          <w:rFonts w:hint="eastAsia" w:hAnsi="Calibri" w:eastAsia="仿宋_GB2312"/>
          <w:color w:val="000000"/>
          <w:sz w:val="32"/>
          <w:szCs w:val="32"/>
        </w:rPr>
        <w:t>不同拷贝数</w:t>
      </w:r>
      <w:r>
        <w:rPr>
          <w:rFonts w:hAnsi="Calibri" w:eastAsia="仿宋_GB2312"/>
          <w:color w:val="000000"/>
          <w:sz w:val="32"/>
          <w:szCs w:val="32"/>
        </w:rPr>
        <w:t>的最低人基因组DNA浓度</w:t>
      </w:r>
      <w:r>
        <w:rPr>
          <w:rFonts w:hint="eastAsia" w:hAnsi="Calibri" w:eastAsia="仿宋_GB2312"/>
          <w:color w:val="000000"/>
          <w:sz w:val="32"/>
          <w:szCs w:val="32"/>
        </w:rPr>
        <w:t>。</w:t>
      </w:r>
      <w:r>
        <w:rPr>
          <w:rFonts w:hAnsi="Calibri" w:eastAsia="仿宋_GB2312"/>
          <w:color w:val="000000"/>
          <w:sz w:val="32"/>
          <w:szCs w:val="32"/>
        </w:rPr>
        <w:t>可采用</w:t>
      </w:r>
      <w:r>
        <w:rPr>
          <w:rFonts w:hint="eastAsia" w:hAnsi="Calibri" w:eastAsia="仿宋_GB2312"/>
          <w:color w:val="000000"/>
          <w:sz w:val="32"/>
          <w:szCs w:val="32"/>
        </w:rPr>
        <w:t>包含不同SMN1拷贝数的</w:t>
      </w:r>
      <w:r>
        <w:rPr>
          <w:rFonts w:hAnsi="Calibri" w:eastAsia="仿宋_GB2312"/>
          <w:color w:val="000000"/>
          <w:sz w:val="32"/>
          <w:szCs w:val="32"/>
        </w:rPr>
        <w:t>梯度浓度人基因组DNA样本进行多次重复检测，确定适当</w:t>
      </w:r>
      <w:r>
        <w:rPr>
          <w:rFonts w:hint="eastAsia" w:hAnsi="Calibri" w:eastAsia="仿宋_GB2312"/>
          <w:color w:val="000000"/>
          <w:sz w:val="32"/>
          <w:szCs w:val="32"/>
        </w:rPr>
        <w:t>的</w:t>
      </w:r>
      <w:r>
        <w:rPr>
          <w:rFonts w:hAnsi="Calibri" w:eastAsia="仿宋_GB2312"/>
          <w:color w:val="000000"/>
          <w:sz w:val="32"/>
          <w:szCs w:val="32"/>
        </w:rPr>
        <w:t>检出率水平（如：95%）下的最低人基因组DNA浓度。</w:t>
      </w:r>
      <w:r>
        <w:rPr>
          <w:rFonts w:hint="eastAsia" w:hAnsi="Calibri" w:eastAsia="仿宋_GB2312"/>
          <w:color w:val="000000"/>
          <w:sz w:val="32"/>
          <w:szCs w:val="32"/>
        </w:rPr>
        <w:t>并采用不同的检测限浓度样本进行验证。</w:t>
      </w:r>
    </w:p>
    <w:p w14:paraId="7FA86871">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同时，</w:t>
      </w:r>
      <w:r>
        <w:rPr>
          <w:rFonts w:hAnsi="Calibri" w:eastAsia="仿宋_GB2312"/>
          <w:color w:val="000000"/>
          <w:sz w:val="32"/>
          <w:szCs w:val="32"/>
        </w:rPr>
        <w:t>申请人亦应</w:t>
      </w:r>
      <w:r>
        <w:rPr>
          <w:rFonts w:hint="eastAsia" w:hAnsi="Calibri" w:eastAsia="仿宋_GB2312"/>
          <w:color w:val="000000"/>
          <w:sz w:val="32"/>
          <w:szCs w:val="32"/>
        </w:rPr>
        <w:t>评价申报产品</w:t>
      </w:r>
      <w:r>
        <w:rPr>
          <w:rFonts w:hAnsi="Calibri" w:eastAsia="仿宋_GB2312"/>
          <w:color w:val="000000"/>
          <w:sz w:val="32"/>
          <w:szCs w:val="32"/>
        </w:rPr>
        <w:t>可准确检出</w:t>
      </w:r>
      <w:r>
        <w:rPr>
          <w:rFonts w:hint="eastAsia" w:hAnsi="Calibri" w:eastAsia="仿宋_GB2312"/>
          <w:color w:val="000000"/>
          <w:sz w:val="32"/>
          <w:szCs w:val="32"/>
        </w:rPr>
        <w:t>SMN</w:t>
      </w:r>
      <w:r>
        <w:rPr>
          <w:rFonts w:hAnsi="Calibri" w:eastAsia="仿宋_GB2312"/>
          <w:color w:val="000000"/>
          <w:sz w:val="32"/>
          <w:szCs w:val="32"/>
        </w:rPr>
        <w:t>1</w:t>
      </w:r>
      <w:r>
        <w:rPr>
          <w:rFonts w:hint="eastAsia" w:hAnsi="Calibri" w:eastAsia="仿宋_GB2312"/>
          <w:color w:val="000000"/>
          <w:sz w:val="32"/>
          <w:szCs w:val="32"/>
        </w:rPr>
        <w:t>不同拷贝数</w:t>
      </w:r>
      <w:r>
        <w:rPr>
          <w:rFonts w:hAnsi="Calibri" w:eastAsia="仿宋_GB2312"/>
          <w:color w:val="000000"/>
          <w:sz w:val="32"/>
          <w:szCs w:val="32"/>
        </w:rPr>
        <w:t>的人基因组DNA浓度上限，即适当检出率水平下的最高人基因组DNA浓度。</w:t>
      </w:r>
    </w:p>
    <w:p w14:paraId="7ABBBD3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检测限评价建议采用临床样本或细胞系，明确临床样本或细胞系与人基因组DNA浓度的对应关系。</w:t>
      </w:r>
    </w:p>
    <w:p w14:paraId="0F580004">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5</w:t>
      </w:r>
      <w:r>
        <w:rPr>
          <w:rFonts w:hAnsi="Calibri" w:eastAsia="仿宋_GB2312"/>
          <w:color w:val="000000"/>
          <w:sz w:val="32"/>
          <w:szCs w:val="32"/>
        </w:rPr>
        <w:t>.分析特异性</w:t>
      </w:r>
      <w:r>
        <w:rPr>
          <w:rFonts w:hint="eastAsia" w:hAnsi="Calibri" w:eastAsia="仿宋_GB2312"/>
          <w:color w:val="000000"/>
          <w:sz w:val="32"/>
          <w:szCs w:val="32"/>
        </w:rPr>
        <w:t>：</w:t>
      </w:r>
    </w:p>
    <w:p w14:paraId="3E05631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5.1应针对</w:t>
      </w:r>
      <w:r>
        <w:rPr>
          <w:rFonts w:hint="eastAsia" w:hAnsi="Calibri" w:eastAsia="仿宋_GB2312"/>
          <w:color w:val="000000"/>
          <w:sz w:val="32"/>
          <w:szCs w:val="32"/>
        </w:rPr>
        <w:t>微生物</w:t>
      </w:r>
      <w:r>
        <w:rPr>
          <w:rFonts w:hAnsi="Calibri" w:eastAsia="仿宋_GB2312"/>
          <w:color w:val="000000"/>
          <w:sz w:val="32"/>
          <w:szCs w:val="32"/>
        </w:rPr>
        <w:t>、核酸序列相近或具有同源性、</w:t>
      </w:r>
      <w:r>
        <w:rPr>
          <w:rFonts w:hint="eastAsia" w:hAnsi="Calibri" w:eastAsia="仿宋_GB2312"/>
          <w:color w:val="000000"/>
          <w:sz w:val="32"/>
          <w:szCs w:val="32"/>
        </w:rPr>
        <w:t>具有相似症状临床样本</w:t>
      </w:r>
      <w:r>
        <w:rPr>
          <w:rFonts w:hAnsi="Calibri" w:eastAsia="仿宋_GB2312"/>
          <w:color w:val="000000"/>
          <w:sz w:val="32"/>
          <w:szCs w:val="32"/>
        </w:rPr>
        <w:t>以及其他易引起交叉反应的突变类型序列进行交叉反应研究。说明交叉反应样本的制备方法、核酸序列确认方法，提交详细的验证资料。</w:t>
      </w:r>
      <w:r>
        <w:rPr>
          <w:rFonts w:hint="eastAsia" w:hAnsi="Calibri" w:eastAsia="仿宋_GB2312"/>
          <w:color w:val="000000"/>
          <w:sz w:val="32"/>
          <w:szCs w:val="32"/>
        </w:rPr>
        <w:t>申请人应对不存在SMN1第7外显子缺失的不同情形（如常见缺失、插入、重复、点突变等变异类型）进行交叉反应研究。</w:t>
      </w:r>
    </w:p>
    <w:p w14:paraId="6FB7F1D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5</w:t>
      </w:r>
      <w:r>
        <w:rPr>
          <w:rFonts w:hint="eastAsia" w:hAnsi="Calibri" w:eastAsia="仿宋_GB2312"/>
          <w:color w:val="000000"/>
          <w:sz w:val="32"/>
          <w:szCs w:val="32"/>
        </w:rPr>
        <w:t>.</w:t>
      </w:r>
      <w:r>
        <w:rPr>
          <w:rFonts w:hAnsi="Calibri" w:eastAsia="仿宋_GB2312"/>
          <w:color w:val="000000"/>
          <w:sz w:val="32"/>
          <w:szCs w:val="32"/>
        </w:rPr>
        <w:t>2</w:t>
      </w:r>
      <w:r>
        <w:rPr>
          <w:rFonts w:hint="eastAsia" w:hAnsi="Calibri" w:eastAsia="仿宋_GB2312"/>
          <w:color w:val="000000"/>
          <w:sz w:val="32"/>
          <w:szCs w:val="32"/>
        </w:rPr>
        <w:t>应对</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之间的交叉反应进行研究，如高拷贝SMN2（</w:t>
      </w:r>
      <w:r>
        <w:rPr>
          <w:rFonts w:hAnsi="Calibri" w:eastAsia="仿宋_GB2312"/>
          <w:color w:val="000000"/>
          <w:sz w:val="32"/>
          <w:szCs w:val="32"/>
        </w:rPr>
        <w:t>4</w:t>
      </w:r>
      <w:r>
        <w:rPr>
          <w:rFonts w:hint="eastAsia" w:ascii="仿宋_GB2312" w:hAnsi="Calibri" w:eastAsia="仿宋_GB2312"/>
          <w:color w:val="000000"/>
          <w:sz w:val="32"/>
          <w:szCs w:val="32"/>
        </w:rPr>
        <w:t>～</w:t>
      </w:r>
      <w:r>
        <w:rPr>
          <w:rFonts w:hAnsi="Calibri" w:eastAsia="仿宋_GB2312"/>
          <w:color w:val="000000"/>
          <w:sz w:val="32"/>
          <w:szCs w:val="32"/>
        </w:rPr>
        <w:t>5</w:t>
      </w:r>
      <w:r>
        <w:rPr>
          <w:rFonts w:hint="eastAsia" w:hAnsi="Calibri" w:eastAsia="仿宋_GB2312"/>
          <w:color w:val="000000"/>
          <w:sz w:val="32"/>
          <w:szCs w:val="32"/>
        </w:rPr>
        <w:t>拷贝）样本对</w:t>
      </w:r>
      <w:r>
        <w:rPr>
          <w:rFonts w:hAnsi="Calibri" w:eastAsia="仿宋_GB2312"/>
          <w:color w:val="000000"/>
          <w:sz w:val="32"/>
          <w:szCs w:val="32"/>
        </w:rPr>
        <w:t>SMN1</w:t>
      </w:r>
      <w:r>
        <w:rPr>
          <w:rFonts w:hint="eastAsia" w:hAnsi="Calibri" w:eastAsia="仿宋_GB2312"/>
          <w:color w:val="000000"/>
          <w:sz w:val="32"/>
          <w:szCs w:val="32"/>
        </w:rPr>
        <w:t>的交叉反应、高拷贝</w:t>
      </w:r>
      <w:r>
        <w:rPr>
          <w:rFonts w:hAnsi="Calibri" w:eastAsia="仿宋_GB2312"/>
          <w:color w:val="000000"/>
          <w:sz w:val="32"/>
          <w:szCs w:val="32"/>
        </w:rPr>
        <w:t>SMN2</w:t>
      </w:r>
      <w:r>
        <w:rPr>
          <w:rFonts w:hint="eastAsia" w:hAnsi="Calibri" w:eastAsia="仿宋_GB2312"/>
          <w:color w:val="000000"/>
          <w:sz w:val="32"/>
          <w:szCs w:val="32"/>
        </w:rPr>
        <w:t>对</w:t>
      </w:r>
      <w:r>
        <w:rPr>
          <w:rFonts w:hAnsi="Calibri" w:eastAsia="仿宋_GB2312"/>
          <w:color w:val="000000"/>
          <w:sz w:val="32"/>
          <w:szCs w:val="32"/>
        </w:rPr>
        <w:t>SMN1</w:t>
      </w:r>
      <w:r>
        <w:rPr>
          <w:rFonts w:hint="eastAsia" w:hAnsi="Calibri" w:eastAsia="仿宋_GB2312"/>
          <w:color w:val="000000"/>
          <w:sz w:val="32"/>
          <w:szCs w:val="32"/>
        </w:rPr>
        <w:t>的交叉反应以及外显子8对外显子7的交叉反应等。申报产品应能准确特异检出申报基因的涵盖申报范围的拷贝数变异。</w:t>
      </w:r>
    </w:p>
    <w:p w14:paraId="7EC6196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5</w:t>
      </w:r>
      <w:r>
        <w:rPr>
          <w:rFonts w:hint="eastAsia" w:hAnsi="Calibri" w:eastAsia="仿宋_GB2312"/>
          <w:color w:val="000000"/>
          <w:sz w:val="32"/>
          <w:szCs w:val="32"/>
        </w:rPr>
        <w:t>.</w:t>
      </w:r>
      <w:r>
        <w:rPr>
          <w:rFonts w:hAnsi="Calibri" w:eastAsia="仿宋_GB2312"/>
          <w:color w:val="000000"/>
          <w:sz w:val="32"/>
          <w:szCs w:val="32"/>
        </w:rPr>
        <w:t>3应针对可能的内源和外源性干扰物进行干扰试验研究。内源干扰物主要涉及血脂、胆红素、血红蛋白和白蛋白，外源干扰物主要包括血液样本采集可能用到的抗凝剂和常用药物等。</w:t>
      </w:r>
    </w:p>
    <w:p w14:paraId="10C86858">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干扰试验可通过在临床样本中人工添加干扰物质的方式，评价干扰物质对目标序列检测的影响，也可直接采集暴露于干扰因素后的受试者样本，进行干扰试验评价。建议申请人在每种干扰物质的潜在最大浓度</w:t>
      </w:r>
      <w:r>
        <w:rPr>
          <w:rFonts w:hint="eastAsia" w:hAnsi="Calibri" w:eastAsia="仿宋_GB2312"/>
          <w:color w:val="000000"/>
          <w:sz w:val="32"/>
          <w:szCs w:val="32"/>
        </w:rPr>
        <w:t>（</w:t>
      </w:r>
      <w:r>
        <w:rPr>
          <w:rFonts w:hAnsi="Calibri" w:eastAsia="仿宋_GB2312"/>
          <w:color w:val="000000"/>
          <w:sz w:val="32"/>
          <w:szCs w:val="32"/>
        </w:rPr>
        <w:t>“最差条件”</w:t>
      </w:r>
      <w:r>
        <w:rPr>
          <w:rFonts w:hint="eastAsia" w:hAnsi="Calibri" w:eastAsia="仿宋_GB2312"/>
          <w:color w:val="000000"/>
          <w:sz w:val="32"/>
          <w:szCs w:val="32"/>
        </w:rPr>
        <w:t>）</w:t>
      </w:r>
      <w:r>
        <w:rPr>
          <w:rFonts w:hAnsi="Calibri" w:eastAsia="仿宋_GB2312"/>
          <w:color w:val="000000"/>
          <w:sz w:val="32"/>
          <w:szCs w:val="32"/>
        </w:rPr>
        <w:t>条件下进行评价；如有干扰，应确定不产生干扰的最高浓度。</w:t>
      </w:r>
    </w:p>
    <w:p w14:paraId="7357C42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6.精密度</w:t>
      </w:r>
    </w:p>
    <w:p w14:paraId="090D9B6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SMN1精密度评价应至少包含</w:t>
      </w:r>
      <w:r>
        <w:rPr>
          <w:rFonts w:hint="eastAsia" w:hAnsi="Calibri" w:eastAsia="仿宋_GB2312"/>
          <w:color w:val="000000"/>
          <w:sz w:val="32"/>
          <w:szCs w:val="32"/>
        </w:rPr>
        <w:t>0拷贝、1拷贝及2拷贝的不同</w:t>
      </w:r>
      <w:r>
        <w:rPr>
          <w:rFonts w:hAnsi="Calibri" w:eastAsia="仿宋_GB2312"/>
          <w:color w:val="000000"/>
          <w:sz w:val="32"/>
          <w:szCs w:val="32"/>
        </w:rPr>
        <w:t>临床样本</w:t>
      </w:r>
      <w:r>
        <w:rPr>
          <w:rFonts w:hint="eastAsia" w:hAnsi="Calibri" w:eastAsia="仿宋_GB2312"/>
          <w:color w:val="000000"/>
          <w:sz w:val="32"/>
          <w:szCs w:val="32"/>
        </w:rPr>
        <w:t>，</w:t>
      </w:r>
      <w:r>
        <w:rPr>
          <w:rFonts w:hAnsi="Calibri" w:eastAsia="仿宋_GB2312"/>
          <w:color w:val="000000"/>
          <w:sz w:val="32"/>
          <w:szCs w:val="32"/>
        </w:rPr>
        <w:t>试验操作完全按照说明书执行，包含核酸提取/纯化等步骤（如有）。应对每一反应体系进行精密度评价</w:t>
      </w:r>
      <w:r>
        <w:rPr>
          <w:rFonts w:hint="eastAsia" w:hAnsi="Calibri" w:eastAsia="仿宋_GB2312"/>
          <w:color w:val="000000"/>
          <w:sz w:val="32"/>
          <w:szCs w:val="32"/>
        </w:rPr>
        <w:t>。</w:t>
      </w:r>
    </w:p>
    <w:p w14:paraId="6A0FD34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精密度评价需满足如下要求：</w:t>
      </w:r>
    </w:p>
    <w:p w14:paraId="7C2A07B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6.1对可能影响检测精密度的主要因素进行验证，除检测试剂本身外，还包括分析仪器、操作者、地点、时间、检测轮次和试剂批次等。</w:t>
      </w:r>
    </w:p>
    <w:p w14:paraId="7377C48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6.2设定合理的精密度评价周期，对批内/批间、日内/日间以及不同操作者之间的精密度进行综合评价。如有条件，申请人应选择不同的实验室进行重复实验以对室间重复性进行评价。</w:t>
      </w:r>
    </w:p>
    <w:p w14:paraId="54BBA4B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6.3用于精密度评价的临床样本至少设置低浓度和中/高浓度水平。</w:t>
      </w:r>
    </w:p>
    <w:p w14:paraId="3DABF94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6.4精密度指标可设置为CV等（如有），申请人应对精密度指标评价标准做出合理要求。</w:t>
      </w:r>
    </w:p>
    <w:p w14:paraId="09879E2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w:t>
      </w:r>
      <w:r>
        <w:rPr>
          <w:rFonts w:hint="eastAsia" w:hAnsi="Calibri" w:eastAsia="仿宋_GB2312"/>
          <w:color w:val="000000"/>
          <w:sz w:val="32"/>
          <w:szCs w:val="32"/>
        </w:rPr>
        <w:t>对于采用2</w:t>
      </w:r>
      <w:r>
        <w:rPr>
          <w:rFonts w:hAnsi="Calibri" w:eastAsia="仿宋_GB2312"/>
          <w:color w:val="000000"/>
          <w:sz w:val="32"/>
          <w:szCs w:val="32"/>
        </w:rPr>
        <w:t>-</w:t>
      </w:r>
      <w:r>
        <w:rPr>
          <w:rFonts w:hint="eastAsia" w:hAnsi="Calibri" w:eastAsia="仿宋_GB2312"/>
          <w:color w:val="000000"/>
          <w:sz w:val="32"/>
          <w:szCs w:val="32"/>
        </w:rPr>
        <w:t>ΔΔCt法的试剂，需提交目的基因和内参基因扩增效率一致性研究资料。</w:t>
      </w:r>
    </w:p>
    <w:p w14:paraId="32CABA7F">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申请人应采用不同嵌合比例的模拟</w:t>
      </w:r>
      <w:r>
        <w:rPr>
          <w:rFonts w:hAnsi="Calibri" w:eastAsia="仿宋_GB2312"/>
          <w:color w:val="000000"/>
          <w:sz w:val="32"/>
          <w:szCs w:val="32"/>
        </w:rPr>
        <w:t>SMN1</w:t>
      </w:r>
      <w:r>
        <w:rPr>
          <w:rFonts w:hint="eastAsia" w:hAnsi="Calibri" w:eastAsia="仿宋_GB2312"/>
          <w:color w:val="000000"/>
          <w:sz w:val="32"/>
          <w:szCs w:val="32"/>
        </w:rPr>
        <w:t>的0、1、2拷贝数嵌合体样本对试剂检测嵌合体的能力进行评估，对不能检测到的模拟嵌合体的嵌合比例进行确认。</w:t>
      </w:r>
    </w:p>
    <w:p w14:paraId="266177CD">
      <w:pPr>
        <w:adjustRightInd w:val="0"/>
        <w:snapToGrid w:val="0"/>
        <w:spacing w:line="520" w:lineRule="exact"/>
        <w:ind w:firstLine="640" w:firstLineChars="200"/>
        <w:rPr>
          <w:rFonts w:hAnsi="Calibri" w:eastAsia="楷体_GB2312"/>
          <w:color w:val="000000"/>
          <w:sz w:val="32"/>
          <w:szCs w:val="32"/>
        </w:rPr>
      </w:pPr>
      <w:r>
        <w:rPr>
          <w:rFonts w:hint="eastAsia" w:hAnsi="Calibri" w:eastAsia="楷体_GB2312"/>
          <w:color w:val="000000"/>
          <w:sz w:val="32"/>
          <w:szCs w:val="32"/>
        </w:rPr>
        <w:t>（五）阳性判断值确定资料</w:t>
      </w:r>
    </w:p>
    <w:p w14:paraId="043DA8E7">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对于</w:t>
      </w:r>
      <w:r>
        <w:rPr>
          <w:rFonts w:hAnsi="Calibri" w:eastAsia="仿宋_GB2312"/>
          <w:color w:val="000000"/>
          <w:sz w:val="32"/>
          <w:szCs w:val="32"/>
        </w:rPr>
        <w:t>SMN1</w:t>
      </w:r>
      <w:r>
        <w:rPr>
          <w:rFonts w:hint="eastAsia" w:hAnsi="Calibri" w:eastAsia="仿宋_GB2312"/>
          <w:color w:val="000000"/>
          <w:sz w:val="32"/>
          <w:szCs w:val="32"/>
        </w:rPr>
        <w:t>拷贝数参考区间，</w:t>
      </w:r>
      <w:r>
        <w:rPr>
          <w:rFonts w:hAnsi="Calibri" w:eastAsia="仿宋_GB2312"/>
          <w:color w:val="000000"/>
          <w:sz w:val="32"/>
          <w:szCs w:val="32"/>
        </w:rPr>
        <w:t>建议纳入一定数量的临床样本，应包括</w:t>
      </w:r>
      <w:r>
        <w:rPr>
          <w:rFonts w:hint="eastAsia" w:hAnsi="Calibri" w:eastAsia="仿宋_GB2312"/>
          <w:color w:val="000000"/>
          <w:sz w:val="32"/>
          <w:szCs w:val="32"/>
        </w:rPr>
        <w:t>来自正常人、携带者及患者不同拷贝数的</w:t>
      </w:r>
      <w:r>
        <w:rPr>
          <w:rFonts w:hAnsi="Calibri" w:eastAsia="仿宋_GB2312"/>
          <w:color w:val="000000"/>
          <w:sz w:val="32"/>
          <w:szCs w:val="32"/>
        </w:rPr>
        <w:t>各种基因型（</w:t>
      </w:r>
      <w:r>
        <w:rPr>
          <w:rFonts w:hint="eastAsia" w:hAnsi="Calibri" w:eastAsia="仿宋_GB2312"/>
          <w:color w:val="000000"/>
          <w:sz w:val="32"/>
          <w:szCs w:val="32"/>
        </w:rPr>
        <w:t>如至少应包含0、1、2拷贝数</w:t>
      </w:r>
      <w:r>
        <w:rPr>
          <w:rFonts w:hAnsi="Calibri" w:eastAsia="仿宋_GB2312"/>
          <w:color w:val="000000"/>
          <w:sz w:val="32"/>
          <w:szCs w:val="32"/>
        </w:rPr>
        <w:t>SMN1</w:t>
      </w:r>
      <w:r>
        <w:rPr>
          <w:rFonts w:hint="eastAsia" w:hAnsi="Calibri" w:eastAsia="仿宋_GB2312"/>
          <w:color w:val="000000"/>
          <w:sz w:val="32"/>
          <w:szCs w:val="32"/>
        </w:rPr>
        <w:t>基因的样本</w:t>
      </w:r>
      <w:r>
        <w:rPr>
          <w:rFonts w:hAnsi="Calibri" w:eastAsia="仿宋_GB2312"/>
          <w:color w:val="000000"/>
          <w:sz w:val="32"/>
          <w:szCs w:val="32"/>
        </w:rPr>
        <w:t>），</w:t>
      </w:r>
      <w:r>
        <w:rPr>
          <w:rFonts w:hint="eastAsia" w:hAnsi="Calibri" w:eastAsia="仿宋_GB2312"/>
          <w:color w:val="000000"/>
          <w:sz w:val="32"/>
          <w:szCs w:val="32"/>
        </w:rPr>
        <w:t>采用</w:t>
      </w:r>
      <w:r>
        <w:rPr>
          <w:rFonts w:hAnsi="Calibri" w:eastAsia="仿宋_GB2312"/>
          <w:color w:val="000000"/>
          <w:sz w:val="32"/>
          <w:szCs w:val="32"/>
        </w:rPr>
        <w:t>受试者工作特征（ROC）曲线</w:t>
      </w:r>
      <w:r>
        <w:rPr>
          <w:rFonts w:hint="eastAsia" w:hAnsi="Calibri" w:eastAsia="仿宋_GB2312"/>
          <w:color w:val="000000"/>
          <w:sz w:val="32"/>
          <w:szCs w:val="32"/>
        </w:rPr>
        <w:t>或其他合理的算法进行阳性判断值确定。申请人应详细阐述所选择的算法作为阳性判断值依据的原因（如权威文献、行业共识等），并详细阐述计算公式和各参数代表的意义。需明确所用样本来源、临床背景信息、基因型及拷贝数确认过程及数据。</w:t>
      </w:r>
    </w:p>
    <w:p w14:paraId="4C85469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如试剂判读存在灰区，应解释说明灰区范围的确定方法。</w:t>
      </w:r>
      <w:r>
        <w:rPr>
          <w:rFonts w:hint="eastAsia" w:hAnsi="Calibri" w:eastAsia="仿宋_GB2312"/>
          <w:color w:val="000000"/>
          <w:sz w:val="32"/>
          <w:szCs w:val="32"/>
        </w:rPr>
        <w:t>灰区的设定应提交理论和实际试验结果的依据，并在说明书【阳性判断值】和【检验结果的解释】项进行解释说明。</w:t>
      </w:r>
    </w:p>
    <w:p w14:paraId="2FF1C9D3">
      <w:pPr>
        <w:adjustRightInd w:val="0"/>
        <w:snapToGrid w:val="0"/>
        <w:spacing w:line="520" w:lineRule="exact"/>
        <w:ind w:firstLine="640" w:firstLineChars="200"/>
        <w:rPr>
          <w:rFonts w:hAnsi="Calibri" w:eastAsia="楷体_GB2312"/>
          <w:color w:val="000000"/>
          <w:sz w:val="32"/>
          <w:szCs w:val="32"/>
        </w:rPr>
      </w:pPr>
      <w:r>
        <w:rPr>
          <w:rFonts w:hint="eastAsia" w:hAnsi="Calibri" w:eastAsia="楷体_GB2312"/>
          <w:color w:val="000000"/>
          <w:sz w:val="32"/>
          <w:szCs w:val="32"/>
        </w:rPr>
        <w:t>（六）稳定性研究资料</w:t>
      </w:r>
    </w:p>
    <w:p w14:paraId="69D87B9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稳定性研究资料主要包括申报产品的稳定性研究和适用样本的稳定性研究两部分。前者主要包括申报产品的实时稳定性、开瓶/复溶稳定性、运输稳定性及冻融次数限制的研究等；后者则是指适用样本的保存条件和保存时间等的研究。</w:t>
      </w:r>
    </w:p>
    <w:p w14:paraId="310B3FA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实时稳定性研究应采用至少三批样品在实际储存条件下保存至成品有效期后，选取多个时间点进行产品性能评价，从而确定产品保存条件和有效期。</w:t>
      </w:r>
    </w:p>
    <w:p w14:paraId="1796C38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如核酸提取液可保存，还需对核酸提取液的保存条件和保存时间进行研究。</w:t>
      </w:r>
    </w:p>
    <w:p w14:paraId="0DD849FF">
      <w:pPr>
        <w:adjustRightInd w:val="0"/>
        <w:snapToGrid w:val="0"/>
        <w:spacing w:line="520" w:lineRule="exact"/>
        <w:ind w:firstLine="640" w:firstLineChars="200"/>
        <w:rPr>
          <w:rFonts w:hAnsi="Calibri" w:eastAsia="楷体_GB2312"/>
          <w:color w:val="000000"/>
          <w:sz w:val="32"/>
          <w:szCs w:val="32"/>
        </w:rPr>
      </w:pPr>
      <w:r>
        <w:rPr>
          <w:rFonts w:hAnsi="Calibri" w:eastAsia="楷体_GB2312"/>
          <w:color w:val="000000"/>
          <w:sz w:val="32"/>
          <w:szCs w:val="32"/>
        </w:rPr>
        <w:t>（七）临床评价资料</w:t>
      </w:r>
    </w:p>
    <w:p w14:paraId="3D9B6C5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临床试验应满足《体外诊断试剂临床试验技术指导原则》（原国家食品药品监督管理总局通告2014年第16号）的要求，如相关法规、文件有更新，临床试验应符合更新后的要求。下面仅说明该类产品临床试验中应关注的重点问题。</w:t>
      </w:r>
    </w:p>
    <w:p w14:paraId="0E9821FF">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w:t>
      </w:r>
      <w:r>
        <w:rPr>
          <w:rFonts w:hAnsi="Calibri" w:eastAsia="仿宋_GB2312"/>
          <w:color w:val="000000"/>
          <w:sz w:val="32"/>
          <w:szCs w:val="32"/>
        </w:rPr>
        <w:t>针对“</w:t>
      </w:r>
      <w:r>
        <w:rPr>
          <w:rFonts w:hint="eastAsia" w:hAnsi="Calibri" w:eastAsia="仿宋_GB2312"/>
          <w:color w:val="000000"/>
          <w:sz w:val="32"/>
          <w:szCs w:val="32"/>
        </w:rPr>
        <w:t>脊髓性肌萎缩</w:t>
      </w:r>
      <w:r>
        <w:rPr>
          <w:rFonts w:hAnsi="Calibri" w:eastAsia="仿宋_GB2312"/>
          <w:color w:val="000000"/>
          <w:sz w:val="32"/>
          <w:szCs w:val="32"/>
        </w:rPr>
        <w:t>症的辅助诊断”预期用途</w:t>
      </w:r>
    </w:p>
    <w:p w14:paraId="7D5CE5AF">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本指导</w:t>
      </w:r>
      <w:r>
        <w:rPr>
          <w:rFonts w:hAnsi="Calibri" w:eastAsia="仿宋_GB2312"/>
          <w:color w:val="000000"/>
          <w:sz w:val="32"/>
          <w:szCs w:val="32"/>
        </w:rPr>
        <w:t>原则中</w:t>
      </w:r>
      <w:r>
        <w:rPr>
          <w:rFonts w:hint="eastAsia" w:hAnsi="Calibri" w:eastAsia="仿宋_GB2312"/>
          <w:color w:val="000000"/>
          <w:sz w:val="32"/>
          <w:szCs w:val="32"/>
        </w:rPr>
        <w:t>针对</w:t>
      </w:r>
      <w:r>
        <w:rPr>
          <w:rFonts w:hAnsi="Calibri" w:eastAsia="仿宋_GB2312"/>
          <w:color w:val="000000"/>
          <w:sz w:val="32"/>
          <w:szCs w:val="32"/>
        </w:rPr>
        <w:t>该预期用途指</w:t>
      </w:r>
      <w:r>
        <w:rPr>
          <w:rFonts w:hint="eastAsia" w:hAnsi="Calibri" w:eastAsia="仿宋_GB2312"/>
          <w:color w:val="000000"/>
          <w:sz w:val="32"/>
          <w:szCs w:val="32"/>
        </w:rPr>
        <w:t>用于</w:t>
      </w:r>
      <w:r>
        <w:rPr>
          <w:rFonts w:hAnsi="Calibri" w:eastAsia="仿宋_GB2312"/>
          <w:color w:val="000000"/>
          <w:sz w:val="32"/>
          <w:szCs w:val="32"/>
        </w:rPr>
        <w:t>检测</w:t>
      </w:r>
      <w:r>
        <w:rPr>
          <w:rFonts w:hint="eastAsia" w:hAnsi="Calibri" w:eastAsia="仿宋_GB2312"/>
          <w:color w:val="000000"/>
          <w:sz w:val="32"/>
          <w:szCs w:val="32"/>
        </w:rPr>
        <w:t>SMN1拷贝数变异的</w:t>
      </w:r>
      <w:r>
        <w:rPr>
          <w:rFonts w:hAnsi="Calibri" w:eastAsia="仿宋_GB2312"/>
          <w:color w:val="000000"/>
          <w:sz w:val="32"/>
          <w:szCs w:val="32"/>
        </w:rPr>
        <w:t>试剂</w:t>
      </w:r>
      <w:r>
        <w:rPr>
          <w:rFonts w:hint="eastAsia" w:hAnsi="Calibri" w:eastAsia="仿宋_GB2312"/>
          <w:color w:val="000000"/>
          <w:sz w:val="32"/>
          <w:szCs w:val="32"/>
        </w:rPr>
        <w:t>。SMN1基因的拷贝</w:t>
      </w:r>
      <w:r>
        <w:rPr>
          <w:rFonts w:hAnsi="Calibri" w:eastAsia="仿宋_GB2312"/>
          <w:color w:val="000000"/>
          <w:sz w:val="32"/>
          <w:szCs w:val="32"/>
        </w:rPr>
        <w:t>数变异</w:t>
      </w:r>
      <w:r>
        <w:rPr>
          <w:rFonts w:hint="eastAsia" w:hAnsi="Calibri" w:eastAsia="仿宋_GB2312"/>
          <w:color w:val="000000"/>
          <w:sz w:val="32"/>
          <w:szCs w:val="32"/>
        </w:rPr>
        <w:t>检测</w:t>
      </w:r>
      <w:r>
        <w:rPr>
          <w:rFonts w:hAnsi="Calibri" w:eastAsia="仿宋_GB2312"/>
          <w:color w:val="000000"/>
          <w:sz w:val="32"/>
          <w:szCs w:val="32"/>
        </w:rPr>
        <w:t>应至少</w:t>
      </w:r>
      <w:r>
        <w:rPr>
          <w:rFonts w:hint="eastAsia" w:hAnsi="Calibri" w:eastAsia="仿宋_GB2312"/>
          <w:color w:val="000000"/>
          <w:sz w:val="32"/>
          <w:szCs w:val="32"/>
        </w:rPr>
        <w:t>包括</w:t>
      </w:r>
      <w:r>
        <w:rPr>
          <w:rFonts w:hAnsi="Calibri" w:eastAsia="仿宋_GB2312"/>
          <w:color w:val="000000"/>
          <w:sz w:val="32"/>
          <w:szCs w:val="32"/>
        </w:rPr>
        <w:t>第</w:t>
      </w:r>
      <w:r>
        <w:rPr>
          <w:rFonts w:hint="eastAsia" w:hAnsi="Calibri" w:eastAsia="仿宋_GB2312"/>
          <w:color w:val="000000"/>
          <w:sz w:val="32"/>
          <w:szCs w:val="32"/>
        </w:rPr>
        <w:t>7号</w:t>
      </w:r>
      <w:r>
        <w:rPr>
          <w:rFonts w:hAnsi="Calibri" w:eastAsia="仿宋_GB2312"/>
          <w:color w:val="000000"/>
          <w:sz w:val="32"/>
          <w:szCs w:val="32"/>
        </w:rPr>
        <w:t>外显子。</w:t>
      </w:r>
    </w:p>
    <w:p w14:paraId="6FE477A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1.1临床试验机构及人员</w:t>
      </w:r>
    </w:p>
    <w:p w14:paraId="2ACF8FC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申请人应根据产品特点及预期用途，综合不同地区人种和流行病学背景等因素，选择不少于3家（含3家）符合法规要求的临床试验机构开展临床试验。</w:t>
      </w:r>
    </w:p>
    <w:p w14:paraId="77CC5342">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1.2临床试验适用人群和临床样本</w:t>
      </w:r>
    </w:p>
    <w:p w14:paraId="74A2F61F">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该预期用途的适用人群包括：</w:t>
      </w:r>
      <w:r>
        <w:rPr>
          <w:rFonts w:hAnsi="Calibri" w:eastAsia="仿宋_GB2312"/>
          <w:color w:val="000000"/>
          <w:sz w:val="32"/>
          <w:szCs w:val="32"/>
        </w:rPr>
        <w:t>具有</w:t>
      </w:r>
      <w:r>
        <w:rPr>
          <w:rFonts w:hint="eastAsia" w:hAnsi="Calibri" w:eastAsia="仿宋_GB2312"/>
          <w:color w:val="000000"/>
          <w:sz w:val="32"/>
          <w:szCs w:val="32"/>
        </w:rPr>
        <w:t>相关</w:t>
      </w:r>
      <w:r>
        <w:rPr>
          <w:rFonts w:hAnsi="Calibri" w:eastAsia="仿宋_GB2312"/>
          <w:color w:val="000000"/>
          <w:sz w:val="32"/>
          <w:szCs w:val="32"/>
        </w:rPr>
        <w:t>症状和/或体征</w:t>
      </w:r>
      <w:r>
        <w:rPr>
          <w:rFonts w:hint="eastAsia" w:hAnsi="Calibri" w:eastAsia="仿宋_GB2312"/>
          <w:color w:val="000000"/>
          <w:sz w:val="32"/>
          <w:szCs w:val="32"/>
        </w:rPr>
        <w:t>的</w:t>
      </w:r>
      <w:r>
        <w:rPr>
          <w:rFonts w:hAnsi="Calibri" w:eastAsia="仿宋_GB2312"/>
          <w:color w:val="000000"/>
          <w:sz w:val="32"/>
          <w:szCs w:val="32"/>
        </w:rPr>
        <w:t>疑似</w:t>
      </w:r>
      <w:r>
        <w:rPr>
          <w:rFonts w:hint="eastAsia" w:hAnsi="Calibri" w:eastAsia="仿宋_GB2312"/>
          <w:color w:val="000000"/>
          <w:sz w:val="32"/>
          <w:szCs w:val="32"/>
        </w:rPr>
        <w:t>脊髓性</w:t>
      </w:r>
      <w:r>
        <w:rPr>
          <w:rFonts w:hAnsi="Calibri" w:eastAsia="仿宋_GB2312"/>
          <w:color w:val="000000"/>
          <w:sz w:val="32"/>
          <w:szCs w:val="32"/>
        </w:rPr>
        <w:t>肌萎缩症的患者；需与</w:t>
      </w:r>
      <w:r>
        <w:rPr>
          <w:rFonts w:hint="eastAsia" w:hAnsi="Calibri" w:eastAsia="仿宋_GB2312"/>
          <w:color w:val="000000"/>
          <w:sz w:val="32"/>
          <w:szCs w:val="32"/>
        </w:rPr>
        <w:t>脊髓</w:t>
      </w:r>
      <w:r>
        <w:rPr>
          <w:rFonts w:hAnsi="Calibri" w:eastAsia="仿宋_GB2312"/>
          <w:color w:val="000000"/>
          <w:sz w:val="32"/>
          <w:szCs w:val="32"/>
        </w:rPr>
        <w:t>性肌萎缩症进行鉴别诊断的其他疾病患者</w:t>
      </w:r>
      <w:r>
        <w:rPr>
          <w:rFonts w:hint="eastAsia" w:hAnsi="Calibri" w:eastAsia="仿宋_GB2312"/>
          <w:color w:val="000000"/>
          <w:sz w:val="32"/>
          <w:szCs w:val="32"/>
        </w:rPr>
        <w:t>（</w:t>
      </w:r>
      <w:r>
        <w:rPr>
          <w:rFonts w:hAnsi="Calibri" w:eastAsia="仿宋_GB2312"/>
          <w:color w:val="000000"/>
          <w:sz w:val="32"/>
          <w:szCs w:val="32"/>
        </w:rPr>
        <w:t>如：</w:t>
      </w:r>
      <w:r>
        <w:rPr>
          <w:rFonts w:hint="eastAsia" w:hAnsi="Calibri" w:eastAsia="仿宋_GB2312"/>
          <w:color w:val="000000"/>
          <w:sz w:val="32"/>
          <w:szCs w:val="32"/>
        </w:rPr>
        <w:t>先天性肌病</w:t>
      </w:r>
      <w:r>
        <w:rPr>
          <w:rFonts w:hAnsi="Calibri" w:eastAsia="仿宋_GB2312"/>
          <w:color w:val="000000"/>
          <w:sz w:val="32"/>
          <w:szCs w:val="32"/>
        </w:rPr>
        <w:t>、先天性</w:t>
      </w:r>
      <w:r>
        <w:rPr>
          <w:rFonts w:hint="eastAsia" w:hAnsi="Calibri" w:eastAsia="仿宋_GB2312"/>
          <w:color w:val="000000"/>
          <w:sz w:val="32"/>
          <w:szCs w:val="32"/>
        </w:rPr>
        <w:t>及</w:t>
      </w:r>
      <w:r>
        <w:rPr>
          <w:rFonts w:hAnsi="Calibri" w:eastAsia="仿宋_GB2312"/>
          <w:color w:val="000000"/>
          <w:sz w:val="32"/>
          <w:szCs w:val="32"/>
        </w:rPr>
        <w:t>各类肌营养不良</w:t>
      </w:r>
      <w:r>
        <w:rPr>
          <w:rFonts w:hint="eastAsia" w:hAnsi="Calibri" w:eastAsia="仿宋_GB2312"/>
          <w:color w:val="000000"/>
          <w:sz w:val="32"/>
          <w:szCs w:val="32"/>
        </w:rPr>
        <w:t>、</w:t>
      </w:r>
      <w:r>
        <w:rPr>
          <w:rFonts w:hAnsi="Calibri" w:eastAsia="仿宋_GB2312"/>
          <w:color w:val="000000"/>
          <w:sz w:val="32"/>
          <w:szCs w:val="32"/>
        </w:rPr>
        <w:t>代谢</w:t>
      </w:r>
      <w:r>
        <w:rPr>
          <w:rFonts w:hint="eastAsia" w:hAnsi="Calibri" w:eastAsia="仿宋_GB2312"/>
          <w:color w:val="000000"/>
          <w:sz w:val="32"/>
          <w:szCs w:val="32"/>
        </w:rPr>
        <w:t>性</w:t>
      </w:r>
      <w:r>
        <w:rPr>
          <w:rFonts w:hAnsi="Calibri" w:eastAsia="仿宋_GB2312"/>
          <w:color w:val="000000"/>
          <w:sz w:val="32"/>
          <w:szCs w:val="32"/>
        </w:rPr>
        <w:t>肌</w:t>
      </w:r>
      <w:r>
        <w:rPr>
          <w:rFonts w:hint="eastAsia" w:hAnsi="Calibri" w:eastAsia="仿宋_GB2312"/>
          <w:color w:val="000000"/>
          <w:sz w:val="32"/>
          <w:szCs w:val="32"/>
        </w:rPr>
        <w:t>病</w:t>
      </w:r>
      <w:r>
        <w:rPr>
          <w:rFonts w:hAnsi="Calibri" w:eastAsia="仿宋_GB2312"/>
          <w:color w:val="000000"/>
          <w:sz w:val="32"/>
          <w:szCs w:val="32"/>
        </w:rPr>
        <w:t>、重症肌无力、先天性肌</w:t>
      </w:r>
      <w:r>
        <w:rPr>
          <w:rFonts w:hint="eastAsia" w:hAnsi="Calibri" w:eastAsia="仿宋_GB2312"/>
          <w:color w:val="000000"/>
          <w:sz w:val="32"/>
          <w:szCs w:val="32"/>
        </w:rPr>
        <w:t>无力</w:t>
      </w:r>
      <w:r>
        <w:rPr>
          <w:rFonts w:hAnsi="Calibri" w:eastAsia="仿宋_GB2312"/>
          <w:color w:val="000000"/>
          <w:sz w:val="32"/>
          <w:szCs w:val="32"/>
        </w:rPr>
        <w:t>综合征、周围神经病、</w:t>
      </w:r>
      <w:r>
        <w:rPr>
          <w:rFonts w:hint="eastAsia" w:hAnsi="Calibri" w:eastAsia="仿宋_GB2312"/>
          <w:color w:val="000000"/>
          <w:sz w:val="32"/>
          <w:szCs w:val="32"/>
        </w:rPr>
        <w:t>P</w:t>
      </w:r>
      <w:r>
        <w:rPr>
          <w:rFonts w:hAnsi="Calibri" w:eastAsia="仿宋_GB2312"/>
          <w:color w:val="000000"/>
          <w:sz w:val="32"/>
          <w:szCs w:val="32"/>
        </w:rPr>
        <w:t>rader-willi</w:t>
      </w:r>
      <w:r>
        <w:rPr>
          <w:rFonts w:hint="eastAsia" w:hAnsi="Calibri" w:eastAsia="仿宋_GB2312"/>
          <w:color w:val="000000"/>
          <w:sz w:val="32"/>
          <w:szCs w:val="32"/>
        </w:rPr>
        <w:t>综合</w:t>
      </w:r>
      <w:r>
        <w:rPr>
          <w:rFonts w:hAnsi="Calibri" w:eastAsia="仿宋_GB2312"/>
          <w:color w:val="000000"/>
          <w:sz w:val="32"/>
          <w:szCs w:val="32"/>
        </w:rPr>
        <w:t>征等</w:t>
      </w:r>
      <w:r>
        <w:rPr>
          <w:rFonts w:hint="eastAsia" w:hAnsi="Calibri" w:eastAsia="仿宋_GB2312"/>
          <w:color w:val="000000"/>
          <w:sz w:val="32"/>
          <w:szCs w:val="32"/>
        </w:rPr>
        <w:t>）</w:t>
      </w:r>
      <w:r>
        <w:rPr>
          <w:rFonts w:hAnsi="Calibri" w:eastAsia="仿宋_GB2312"/>
          <w:color w:val="000000"/>
          <w:sz w:val="32"/>
          <w:szCs w:val="32"/>
        </w:rPr>
        <w:t xml:space="preserve">。 </w:t>
      </w:r>
    </w:p>
    <w:p w14:paraId="2AC8F9E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临床试验</w:t>
      </w:r>
      <w:r>
        <w:rPr>
          <w:rFonts w:hint="eastAsia" w:hAnsi="Calibri" w:eastAsia="仿宋_GB2312"/>
          <w:color w:val="000000"/>
          <w:sz w:val="32"/>
          <w:szCs w:val="32"/>
        </w:rPr>
        <w:t>样本一般</w:t>
      </w:r>
      <w:r>
        <w:rPr>
          <w:rFonts w:hAnsi="Calibri" w:eastAsia="仿宋_GB2312"/>
          <w:color w:val="000000"/>
          <w:sz w:val="32"/>
          <w:szCs w:val="32"/>
        </w:rPr>
        <w:t>为抗凝外周血样本。临床样本的采集、处理、保存和提取等应分别满足申报产品说明书、对比试剂说明书（如适用）及第三方试剂说明书（如适用）的相关要求。</w:t>
      </w:r>
    </w:p>
    <w:p w14:paraId="7B26CE8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1.3临床试验</w:t>
      </w:r>
      <w:r>
        <w:rPr>
          <w:rFonts w:hint="eastAsia" w:hAnsi="Calibri" w:eastAsia="仿宋_GB2312"/>
          <w:color w:val="000000"/>
          <w:sz w:val="32"/>
          <w:szCs w:val="32"/>
        </w:rPr>
        <w:t>对比</w:t>
      </w:r>
      <w:r>
        <w:rPr>
          <w:rFonts w:hAnsi="Calibri" w:eastAsia="仿宋_GB2312"/>
          <w:color w:val="000000"/>
          <w:sz w:val="32"/>
          <w:szCs w:val="32"/>
        </w:rPr>
        <w:t>方法</w:t>
      </w:r>
    </w:p>
    <w:p w14:paraId="1ACE0E2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如申报产品有</w:t>
      </w:r>
      <w:r>
        <w:rPr>
          <w:rFonts w:hAnsi="Calibri" w:eastAsia="仿宋_GB2312"/>
          <w:color w:val="000000"/>
          <w:sz w:val="32"/>
          <w:szCs w:val="32"/>
        </w:rPr>
        <w:t>已上市</w:t>
      </w:r>
      <w:r>
        <w:rPr>
          <w:rFonts w:hint="eastAsia" w:hAnsi="Calibri" w:eastAsia="仿宋_GB2312"/>
          <w:color w:val="000000"/>
          <w:sz w:val="32"/>
          <w:szCs w:val="32"/>
        </w:rPr>
        <w:t>同类产品</w:t>
      </w:r>
      <w:r>
        <w:rPr>
          <w:rFonts w:hAnsi="Calibri" w:eastAsia="仿宋_GB2312"/>
          <w:color w:val="000000"/>
          <w:sz w:val="32"/>
          <w:szCs w:val="32"/>
        </w:rPr>
        <w:t>，原则上选择已上市同类产品作为对比试剂，对比试剂应涵盖</w:t>
      </w:r>
      <w:r>
        <w:rPr>
          <w:rFonts w:hint="eastAsia" w:hAnsi="Calibri" w:eastAsia="仿宋_GB2312"/>
          <w:color w:val="000000"/>
          <w:sz w:val="32"/>
          <w:szCs w:val="32"/>
        </w:rPr>
        <w:t>申报产品</w:t>
      </w:r>
      <w:r>
        <w:rPr>
          <w:rFonts w:hAnsi="Calibri" w:eastAsia="仿宋_GB2312"/>
          <w:color w:val="000000"/>
          <w:sz w:val="32"/>
          <w:szCs w:val="32"/>
        </w:rPr>
        <w:t>的</w:t>
      </w:r>
      <w:r>
        <w:rPr>
          <w:rFonts w:hint="eastAsia" w:hAnsi="Calibri" w:eastAsia="仿宋_GB2312"/>
          <w:color w:val="000000"/>
          <w:sz w:val="32"/>
          <w:szCs w:val="32"/>
        </w:rPr>
        <w:t>检测</w:t>
      </w:r>
      <w:r>
        <w:rPr>
          <w:rFonts w:hAnsi="Calibri" w:eastAsia="仿宋_GB2312"/>
          <w:color w:val="000000"/>
          <w:sz w:val="32"/>
          <w:szCs w:val="32"/>
        </w:rPr>
        <w:t>范围。</w:t>
      </w:r>
    </w:p>
    <w:p w14:paraId="6E029502">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如申报产品</w:t>
      </w:r>
      <w:r>
        <w:rPr>
          <w:rFonts w:hAnsi="Calibri" w:eastAsia="仿宋_GB2312"/>
          <w:color w:val="000000"/>
          <w:sz w:val="32"/>
          <w:szCs w:val="32"/>
        </w:rPr>
        <w:t>无</w:t>
      </w:r>
      <w:r>
        <w:rPr>
          <w:rFonts w:hint="eastAsia" w:hAnsi="Calibri" w:eastAsia="仿宋_GB2312"/>
          <w:color w:val="000000"/>
          <w:sz w:val="32"/>
          <w:szCs w:val="32"/>
        </w:rPr>
        <w:t>已上市同类产品</w:t>
      </w:r>
      <w:r>
        <w:rPr>
          <w:rFonts w:hAnsi="Calibri" w:eastAsia="仿宋_GB2312"/>
          <w:color w:val="000000"/>
          <w:sz w:val="32"/>
          <w:szCs w:val="32"/>
        </w:rPr>
        <w:t>，可选择</w:t>
      </w:r>
      <w:r>
        <w:rPr>
          <w:rFonts w:hint="eastAsia" w:hAnsi="Calibri" w:eastAsia="仿宋_GB2312"/>
          <w:color w:val="000000"/>
          <w:sz w:val="32"/>
          <w:szCs w:val="32"/>
        </w:rPr>
        <w:t>MLPA方法作为对比方法，评价申报产品的临床检测性能；同时，结合</w:t>
      </w:r>
      <w:r>
        <w:rPr>
          <w:rFonts w:hAnsi="Calibri" w:eastAsia="仿宋_GB2312"/>
          <w:color w:val="000000"/>
          <w:sz w:val="32"/>
          <w:szCs w:val="32"/>
        </w:rPr>
        <w:t>临床诊断评价产品的临床</w:t>
      </w:r>
      <w:r>
        <w:rPr>
          <w:rFonts w:hint="eastAsia" w:hAnsi="Calibri" w:eastAsia="仿宋_GB2312"/>
          <w:color w:val="000000"/>
          <w:sz w:val="32"/>
          <w:szCs w:val="32"/>
        </w:rPr>
        <w:t>意义。</w:t>
      </w:r>
      <w:r>
        <w:rPr>
          <w:rFonts w:hAnsi="Calibri" w:eastAsia="仿宋_GB2312"/>
          <w:color w:val="000000"/>
          <w:sz w:val="32"/>
          <w:szCs w:val="32"/>
        </w:rPr>
        <w:t>应</w:t>
      </w:r>
      <w:r>
        <w:rPr>
          <w:rFonts w:hint="eastAsia" w:hAnsi="Calibri" w:eastAsia="仿宋_GB2312"/>
          <w:color w:val="000000"/>
          <w:sz w:val="32"/>
          <w:szCs w:val="32"/>
        </w:rPr>
        <w:t>严格按照建立的MLPA方法及相关规定进行临床试验及质量控制</w:t>
      </w:r>
      <w:r>
        <w:rPr>
          <w:rFonts w:hAnsi="Calibri" w:eastAsia="仿宋_GB2312"/>
          <w:color w:val="000000"/>
          <w:sz w:val="32"/>
          <w:szCs w:val="32"/>
        </w:rPr>
        <w:t>。</w:t>
      </w:r>
    </w:p>
    <w:p w14:paraId="741B648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1.4最低样本量和阳性例数</w:t>
      </w:r>
    </w:p>
    <w:p w14:paraId="59EDC572">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应采用适当的统计学方法</w:t>
      </w:r>
      <w:r>
        <w:rPr>
          <w:rFonts w:hint="eastAsia" w:hAnsi="Calibri" w:eastAsia="仿宋_GB2312"/>
          <w:color w:val="000000"/>
          <w:sz w:val="32"/>
          <w:szCs w:val="32"/>
        </w:rPr>
        <w:t>估算样本量，</w:t>
      </w:r>
      <w:r>
        <w:rPr>
          <w:rFonts w:hAnsi="Calibri" w:eastAsia="仿宋_GB2312"/>
          <w:color w:val="000000"/>
          <w:sz w:val="32"/>
          <w:szCs w:val="32"/>
        </w:rPr>
        <w:t>详细描述所使用统计方法及各参数的确定依据。</w:t>
      </w:r>
    </w:p>
    <w:p w14:paraId="11BC9E3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建议采用单组目标值法估算最低样本量</w:t>
      </w:r>
      <w:r>
        <w:rPr>
          <w:rFonts w:hint="eastAsia" w:hAnsi="Calibri" w:eastAsia="仿宋_GB2312"/>
          <w:color w:val="000000"/>
          <w:sz w:val="32"/>
          <w:szCs w:val="32"/>
        </w:rPr>
        <w:t>。</w:t>
      </w:r>
      <w:r>
        <w:rPr>
          <w:rFonts w:hAnsi="Calibri" w:eastAsia="仿宋_GB2312"/>
          <w:color w:val="000000"/>
          <w:sz w:val="32"/>
          <w:szCs w:val="32"/>
        </w:rPr>
        <w:t>通过阳性符合率</w:t>
      </w:r>
      <w:r>
        <w:rPr>
          <w:rFonts w:hint="eastAsia" w:hAnsi="Calibri" w:eastAsia="仿宋_GB2312"/>
          <w:color w:val="000000"/>
          <w:sz w:val="32"/>
          <w:szCs w:val="32"/>
        </w:rPr>
        <w:t>或临床灵敏度估算</w:t>
      </w:r>
      <w:r>
        <w:rPr>
          <w:rFonts w:hAnsi="Calibri" w:eastAsia="仿宋_GB2312"/>
          <w:color w:val="000000"/>
          <w:sz w:val="32"/>
          <w:szCs w:val="32"/>
        </w:rPr>
        <w:t>阳性样本的例数，通过阴性符合率</w:t>
      </w:r>
      <w:r>
        <w:rPr>
          <w:rFonts w:hint="eastAsia" w:hAnsi="Calibri" w:eastAsia="仿宋_GB2312"/>
          <w:color w:val="000000"/>
          <w:sz w:val="32"/>
          <w:szCs w:val="32"/>
        </w:rPr>
        <w:t>或临床特异度估算</w:t>
      </w:r>
      <w:r>
        <w:rPr>
          <w:rFonts w:hAnsi="Calibri" w:eastAsia="仿宋_GB2312"/>
          <w:color w:val="000000"/>
          <w:sz w:val="32"/>
          <w:szCs w:val="32"/>
        </w:rPr>
        <w:t>阴性样本的例数，同时考虑脱落情况，估算最低样本总量。建议阳性符合率</w:t>
      </w:r>
      <w:r>
        <w:rPr>
          <w:rFonts w:hint="eastAsia" w:hAnsi="Calibri" w:eastAsia="仿宋_GB2312"/>
          <w:color w:val="000000"/>
          <w:sz w:val="32"/>
          <w:szCs w:val="32"/>
        </w:rPr>
        <w:t>/临床灵敏度</w:t>
      </w:r>
      <w:r>
        <w:rPr>
          <w:rFonts w:hAnsi="Calibri" w:eastAsia="仿宋_GB2312"/>
          <w:color w:val="000000"/>
          <w:sz w:val="32"/>
          <w:szCs w:val="32"/>
        </w:rPr>
        <w:t>和阴性符合率</w:t>
      </w:r>
      <w:r>
        <w:rPr>
          <w:rFonts w:hint="eastAsia" w:hAnsi="Calibri" w:eastAsia="仿宋_GB2312"/>
          <w:color w:val="000000"/>
          <w:sz w:val="32"/>
          <w:szCs w:val="32"/>
        </w:rPr>
        <w:t>/临床特异度的</w:t>
      </w:r>
      <w:r>
        <w:rPr>
          <w:rFonts w:hAnsi="Calibri" w:eastAsia="仿宋_GB2312"/>
          <w:color w:val="000000"/>
          <w:sz w:val="32"/>
          <w:szCs w:val="32"/>
        </w:rPr>
        <w:t>目标值（临床可接受的最低标准）均不低于95%。</w:t>
      </w:r>
    </w:p>
    <w:p w14:paraId="0C0EDB8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2.针对“</w:t>
      </w:r>
      <w:r>
        <w:rPr>
          <w:rFonts w:hint="eastAsia" w:hAnsi="Calibri" w:eastAsia="仿宋_GB2312"/>
          <w:color w:val="000000"/>
          <w:sz w:val="32"/>
          <w:szCs w:val="32"/>
        </w:rPr>
        <w:t>携带者</w:t>
      </w:r>
      <w:r>
        <w:rPr>
          <w:rFonts w:hAnsi="Calibri" w:eastAsia="仿宋_GB2312"/>
          <w:color w:val="000000"/>
          <w:sz w:val="32"/>
          <w:szCs w:val="32"/>
        </w:rPr>
        <w:t>检测”预期用途</w:t>
      </w:r>
    </w:p>
    <w:p w14:paraId="3109B12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针对该预期用途，建议至少</w:t>
      </w:r>
      <w:r>
        <w:rPr>
          <w:rFonts w:hAnsi="Calibri" w:eastAsia="仿宋_GB2312"/>
          <w:color w:val="000000"/>
          <w:sz w:val="32"/>
          <w:szCs w:val="32"/>
        </w:rPr>
        <w:t>检测</w:t>
      </w:r>
      <w:r>
        <w:rPr>
          <w:rFonts w:hint="eastAsia" w:hAnsi="Calibri" w:eastAsia="仿宋_GB2312"/>
          <w:color w:val="000000"/>
          <w:sz w:val="32"/>
          <w:szCs w:val="32"/>
        </w:rPr>
        <w:t>SMN1外显</w:t>
      </w:r>
      <w:r>
        <w:rPr>
          <w:rFonts w:hAnsi="Calibri" w:eastAsia="仿宋_GB2312"/>
          <w:color w:val="000000"/>
          <w:sz w:val="32"/>
          <w:szCs w:val="32"/>
        </w:rPr>
        <w:t>子</w:t>
      </w:r>
      <w:r>
        <w:rPr>
          <w:rFonts w:hint="eastAsia" w:hAnsi="Calibri" w:eastAsia="仿宋_GB2312"/>
          <w:color w:val="000000"/>
          <w:sz w:val="32"/>
          <w:szCs w:val="32"/>
        </w:rPr>
        <w:t>7拷贝数，不建议检测S</w:t>
      </w:r>
      <w:r>
        <w:rPr>
          <w:rFonts w:hAnsi="Calibri" w:eastAsia="仿宋_GB2312"/>
          <w:color w:val="000000"/>
          <w:sz w:val="32"/>
          <w:szCs w:val="32"/>
        </w:rPr>
        <w:t>MN2</w:t>
      </w:r>
      <w:r>
        <w:rPr>
          <w:rFonts w:hint="eastAsia" w:hAnsi="Calibri" w:eastAsia="仿宋_GB2312"/>
          <w:color w:val="000000"/>
          <w:sz w:val="32"/>
          <w:szCs w:val="32"/>
        </w:rPr>
        <w:t>基因</w:t>
      </w:r>
      <w:r>
        <w:rPr>
          <w:rFonts w:hAnsi="Calibri" w:eastAsia="仿宋_GB2312"/>
          <w:color w:val="000000"/>
          <w:sz w:val="32"/>
          <w:szCs w:val="32"/>
        </w:rPr>
        <w:t>。</w:t>
      </w:r>
      <w:r>
        <w:rPr>
          <w:rFonts w:hint="eastAsia" w:hAnsi="Calibri" w:eastAsia="仿宋_GB2312"/>
          <w:color w:val="000000"/>
          <w:sz w:val="32"/>
          <w:szCs w:val="32"/>
        </w:rPr>
        <w:t>该预期用途</w:t>
      </w:r>
      <w:r>
        <w:rPr>
          <w:rFonts w:hAnsi="Calibri" w:eastAsia="仿宋_GB2312"/>
          <w:color w:val="000000"/>
          <w:sz w:val="32"/>
          <w:szCs w:val="32"/>
        </w:rPr>
        <w:t>的应用应符合国家</w:t>
      </w:r>
      <w:r>
        <w:rPr>
          <w:rFonts w:hint="eastAsia" w:hAnsi="Calibri" w:eastAsia="仿宋_GB2312"/>
          <w:color w:val="000000"/>
          <w:sz w:val="32"/>
          <w:szCs w:val="32"/>
        </w:rPr>
        <w:t>及</w:t>
      </w:r>
      <w:r>
        <w:rPr>
          <w:rFonts w:hAnsi="Calibri" w:eastAsia="仿宋_GB2312"/>
          <w:color w:val="000000"/>
          <w:sz w:val="32"/>
          <w:szCs w:val="32"/>
        </w:rPr>
        <w:t>地方卫生管理部门的相关规定。</w:t>
      </w:r>
    </w:p>
    <w:p w14:paraId="5BDED5F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2.1临床试验机构和人员</w:t>
      </w:r>
    </w:p>
    <w:p w14:paraId="0EC3AE5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申请人应根据产品特点及预期用途，综合不同地区人种和流行病学背景等因素，选择不少于3家（含3家）符合法规要求的临床试验机构开展临床试验。</w:t>
      </w:r>
    </w:p>
    <w:p w14:paraId="0404F7C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建议选择不同地区的临床试验机构开展临床试验，且临床试验机构应具有相关检测的优势。</w:t>
      </w:r>
      <w:r>
        <w:rPr>
          <w:rFonts w:hint="eastAsia" w:hAnsi="Calibri" w:eastAsia="仿宋_GB2312"/>
          <w:color w:val="000000"/>
          <w:sz w:val="32"/>
          <w:szCs w:val="32"/>
        </w:rPr>
        <w:t>临床试验操作</w:t>
      </w:r>
      <w:r>
        <w:rPr>
          <w:rFonts w:hAnsi="Calibri" w:eastAsia="仿宋_GB2312"/>
          <w:color w:val="000000"/>
          <w:sz w:val="32"/>
          <w:szCs w:val="32"/>
        </w:rPr>
        <w:t>人员应经过相应的培训，并能熟练操作实验。机构和人员应遵循《医疗机构临床实验室管理办法》及其他相关规定。试验应处于有效的质量控制下，最大限度保证试验数据的准确性及可重复性。</w:t>
      </w:r>
    </w:p>
    <w:p w14:paraId="4DA19C6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2.2临床试验适用人群和临床样本</w:t>
      </w:r>
    </w:p>
    <w:p w14:paraId="4BF8F2FB">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该预期用途</w:t>
      </w:r>
      <w:r>
        <w:rPr>
          <w:rFonts w:hAnsi="Calibri" w:eastAsia="仿宋_GB2312"/>
          <w:color w:val="000000"/>
          <w:sz w:val="32"/>
          <w:szCs w:val="32"/>
        </w:rPr>
        <w:t>的适用人群为婚后孕前</w:t>
      </w:r>
      <w:r>
        <w:rPr>
          <w:rFonts w:hint="eastAsia" w:hAnsi="Calibri" w:eastAsia="仿宋_GB2312"/>
          <w:color w:val="000000"/>
          <w:sz w:val="32"/>
          <w:szCs w:val="32"/>
        </w:rPr>
        <w:t>或孕早期</w:t>
      </w:r>
      <w:r>
        <w:rPr>
          <w:rFonts w:hAnsi="Calibri" w:eastAsia="仿宋_GB2312"/>
          <w:color w:val="000000"/>
          <w:sz w:val="32"/>
          <w:szCs w:val="32"/>
        </w:rPr>
        <w:t>夫妻</w:t>
      </w:r>
      <w:r>
        <w:rPr>
          <w:rFonts w:hint="eastAsia" w:hAnsi="Calibri" w:eastAsia="仿宋_GB2312"/>
          <w:color w:val="000000"/>
          <w:sz w:val="32"/>
          <w:szCs w:val="32"/>
        </w:rPr>
        <w:t>。</w:t>
      </w:r>
    </w:p>
    <w:p w14:paraId="288E547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临床试验样本一般为</w:t>
      </w:r>
      <w:r>
        <w:rPr>
          <w:rFonts w:hint="eastAsia" w:hAnsi="Calibri" w:eastAsia="仿宋_GB2312"/>
          <w:color w:val="000000"/>
          <w:sz w:val="32"/>
          <w:szCs w:val="32"/>
        </w:rPr>
        <w:t>抗凝</w:t>
      </w:r>
      <w:r>
        <w:rPr>
          <w:rFonts w:hAnsi="Calibri" w:eastAsia="仿宋_GB2312"/>
          <w:color w:val="000000"/>
          <w:sz w:val="32"/>
          <w:szCs w:val="32"/>
        </w:rPr>
        <w:t>外周血样本。临床样本的采集、处理、保存和提取等应符合国家卫生健康委员会等相关文件的要求，并满足产品说明书的要求。</w:t>
      </w:r>
    </w:p>
    <w:p w14:paraId="774A0A9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2.3最低样本量和阳性例数</w:t>
      </w:r>
    </w:p>
    <w:p w14:paraId="6E84AAF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临床试验应根据临床评价标准选择合适的统计学模型同时结合适用人群基因突变频率进行样本量估算，并在临床试验方案中明确样本量确定的依据。应通过前瞻性临床试验检出</w:t>
      </w:r>
      <w:r>
        <w:rPr>
          <w:rFonts w:hint="eastAsia" w:hAnsi="Calibri" w:eastAsia="仿宋_GB2312"/>
          <w:color w:val="000000"/>
          <w:sz w:val="32"/>
          <w:szCs w:val="32"/>
        </w:rPr>
        <w:t>一定数量</w:t>
      </w:r>
      <w:r>
        <w:rPr>
          <w:rFonts w:hAnsi="Calibri" w:eastAsia="仿宋_GB2312"/>
          <w:color w:val="000000"/>
          <w:sz w:val="32"/>
          <w:szCs w:val="32"/>
        </w:rPr>
        <w:t>夫妻双方均为携带者</w:t>
      </w:r>
      <w:r>
        <w:rPr>
          <w:rFonts w:hint="eastAsia" w:hAnsi="Calibri" w:eastAsia="仿宋_GB2312"/>
          <w:color w:val="000000"/>
          <w:sz w:val="32"/>
          <w:szCs w:val="32"/>
        </w:rPr>
        <w:t>的病例和纯合突变病例</w:t>
      </w:r>
      <w:r>
        <w:rPr>
          <w:rFonts w:hAnsi="Calibri" w:eastAsia="仿宋_GB2312"/>
          <w:color w:val="000000"/>
          <w:sz w:val="32"/>
          <w:szCs w:val="32"/>
        </w:rPr>
        <w:t>。</w:t>
      </w:r>
      <w:r>
        <w:rPr>
          <w:rFonts w:hint="eastAsia" w:hAnsi="Calibri" w:eastAsia="仿宋_GB2312"/>
          <w:color w:val="000000"/>
          <w:sz w:val="32"/>
          <w:szCs w:val="32"/>
        </w:rPr>
        <w:t>评价试剂</w:t>
      </w:r>
      <w:r>
        <w:rPr>
          <w:rFonts w:hAnsi="Calibri" w:eastAsia="仿宋_GB2312"/>
          <w:color w:val="000000"/>
          <w:sz w:val="32"/>
          <w:szCs w:val="32"/>
        </w:rPr>
        <w:t>的阳性预测值</w:t>
      </w:r>
      <w:r>
        <w:rPr>
          <w:rFonts w:hint="eastAsia" w:hAnsi="Calibri" w:eastAsia="仿宋_GB2312"/>
          <w:color w:val="000000"/>
          <w:sz w:val="32"/>
          <w:szCs w:val="32"/>
        </w:rPr>
        <w:t>和</w:t>
      </w:r>
      <w:r>
        <w:rPr>
          <w:rFonts w:hAnsi="Calibri" w:eastAsia="仿宋_GB2312"/>
          <w:color w:val="000000"/>
          <w:sz w:val="32"/>
          <w:szCs w:val="32"/>
        </w:rPr>
        <w:t>阴性预测值</w:t>
      </w:r>
      <w:r>
        <w:rPr>
          <w:rFonts w:hint="eastAsia" w:hAnsi="Calibri" w:eastAsia="仿宋_GB2312"/>
          <w:color w:val="000000"/>
          <w:sz w:val="32"/>
          <w:szCs w:val="32"/>
        </w:rPr>
        <w:t>，</w:t>
      </w:r>
      <w:r>
        <w:rPr>
          <w:rFonts w:hAnsi="Calibri" w:eastAsia="仿宋_GB2312"/>
          <w:color w:val="000000"/>
          <w:sz w:val="32"/>
          <w:szCs w:val="32"/>
        </w:rPr>
        <w:t>灵敏度</w:t>
      </w:r>
      <w:r>
        <w:rPr>
          <w:rFonts w:hint="eastAsia" w:hAnsi="Calibri" w:eastAsia="仿宋_GB2312"/>
          <w:color w:val="000000"/>
          <w:sz w:val="32"/>
          <w:szCs w:val="32"/>
        </w:rPr>
        <w:t>和</w:t>
      </w:r>
      <w:r>
        <w:rPr>
          <w:rFonts w:hAnsi="Calibri" w:eastAsia="仿宋_GB2312"/>
          <w:color w:val="000000"/>
          <w:sz w:val="32"/>
          <w:szCs w:val="32"/>
        </w:rPr>
        <w:t>特异度</w:t>
      </w:r>
      <w:r>
        <w:rPr>
          <w:rFonts w:hint="eastAsia" w:hAnsi="Calibri" w:eastAsia="仿宋_GB2312"/>
          <w:color w:val="000000"/>
          <w:sz w:val="32"/>
          <w:szCs w:val="32"/>
        </w:rPr>
        <w:t>等</w:t>
      </w:r>
      <w:r>
        <w:rPr>
          <w:rFonts w:hAnsi="Calibri" w:eastAsia="仿宋_GB2312"/>
          <w:color w:val="000000"/>
          <w:sz w:val="32"/>
          <w:szCs w:val="32"/>
        </w:rPr>
        <w:t>。</w:t>
      </w:r>
    </w:p>
    <w:p w14:paraId="729F2EBA">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如</w:t>
      </w:r>
      <w:r>
        <w:rPr>
          <w:rFonts w:hAnsi="Calibri" w:eastAsia="仿宋_GB2312"/>
          <w:color w:val="000000"/>
          <w:sz w:val="32"/>
          <w:szCs w:val="32"/>
        </w:rPr>
        <w:t>前瞻性临床</w:t>
      </w:r>
      <w:r>
        <w:rPr>
          <w:rFonts w:hint="eastAsia" w:hAnsi="Calibri" w:eastAsia="仿宋_GB2312"/>
          <w:color w:val="000000"/>
          <w:sz w:val="32"/>
          <w:szCs w:val="32"/>
        </w:rPr>
        <w:t>试验纯合</w:t>
      </w:r>
      <w:r>
        <w:rPr>
          <w:rFonts w:hAnsi="Calibri" w:eastAsia="仿宋_GB2312"/>
          <w:color w:val="000000"/>
          <w:sz w:val="32"/>
          <w:szCs w:val="32"/>
        </w:rPr>
        <w:t>突变病例不</w:t>
      </w:r>
      <w:r>
        <w:rPr>
          <w:rFonts w:hint="eastAsia" w:hAnsi="Calibri" w:eastAsia="仿宋_GB2312"/>
          <w:color w:val="000000"/>
          <w:sz w:val="32"/>
          <w:szCs w:val="32"/>
        </w:rPr>
        <w:t>足</w:t>
      </w:r>
      <w:r>
        <w:rPr>
          <w:rFonts w:hAnsi="Calibri" w:eastAsia="仿宋_GB2312"/>
          <w:color w:val="000000"/>
          <w:sz w:val="32"/>
          <w:szCs w:val="32"/>
        </w:rPr>
        <w:t>，可</w:t>
      </w:r>
      <w:r>
        <w:rPr>
          <w:rFonts w:hint="eastAsia" w:hAnsi="Calibri" w:eastAsia="仿宋_GB2312"/>
          <w:color w:val="000000"/>
          <w:sz w:val="32"/>
          <w:szCs w:val="32"/>
        </w:rPr>
        <w:t>富集</w:t>
      </w:r>
      <w:r>
        <w:rPr>
          <w:rFonts w:hAnsi="Calibri" w:eastAsia="仿宋_GB2312"/>
          <w:color w:val="000000"/>
          <w:sz w:val="32"/>
          <w:szCs w:val="32"/>
        </w:rPr>
        <w:t>既往样本对</w:t>
      </w:r>
      <w:r>
        <w:rPr>
          <w:rFonts w:hint="eastAsia" w:hAnsi="Calibri" w:eastAsia="仿宋_GB2312"/>
          <w:color w:val="000000"/>
          <w:sz w:val="32"/>
          <w:szCs w:val="32"/>
        </w:rPr>
        <w:t>纯合突变</w:t>
      </w:r>
      <w:r>
        <w:rPr>
          <w:rFonts w:hAnsi="Calibri" w:eastAsia="仿宋_GB2312"/>
          <w:color w:val="000000"/>
          <w:sz w:val="32"/>
          <w:szCs w:val="32"/>
        </w:rPr>
        <w:t>病例的</w:t>
      </w:r>
      <w:r>
        <w:rPr>
          <w:rFonts w:hint="eastAsia" w:hAnsi="Calibri" w:eastAsia="仿宋_GB2312"/>
          <w:color w:val="000000"/>
          <w:sz w:val="32"/>
          <w:szCs w:val="32"/>
        </w:rPr>
        <w:t>检测</w:t>
      </w:r>
      <w:r>
        <w:rPr>
          <w:rFonts w:hAnsi="Calibri" w:eastAsia="仿宋_GB2312"/>
          <w:color w:val="000000"/>
          <w:sz w:val="32"/>
          <w:szCs w:val="32"/>
        </w:rPr>
        <w:t>能力进行评价。</w:t>
      </w:r>
    </w:p>
    <w:p w14:paraId="5FD0788D">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2.4临床试验方法</w:t>
      </w:r>
    </w:p>
    <w:p w14:paraId="5BAD911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建议</w:t>
      </w:r>
      <w:r>
        <w:rPr>
          <w:rFonts w:hAnsi="Calibri" w:eastAsia="仿宋_GB2312"/>
          <w:color w:val="000000"/>
          <w:sz w:val="32"/>
          <w:szCs w:val="32"/>
        </w:rPr>
        <w:t>采用</w:t>
      </w:r>
      <w:r>
        <w:rPr>
          <w:rFonts w:hint="eastAsia" w:hAnsi="Calibri" w:eastAsia="仿宋_GB2312"/>
          <w:color w:val="000000"/>
          <w:sz w:val="32"/>
          <w:szCs w:val="32"/>
        </w:rPr>
        <w:t>MLPA方法作为</w:t>
      </w:r>
      <w:r>
        <w:rPr>
          <w:rFonts w:hAnsi="Calibri" w:eastAsia="仿宋_GB2312"/>
          <w:color w:val="000000"/>
          <w:sz w:val="32"/>
          <w:szCs w:val="32"/>
        </w:rPr>
        <w:t>对比方法，前瞻性入组病例，评价申报产品的临床性能</w:t>
      </w:r>
      <w:r>
        <w:rPr>
          <w:rFonts w:hint="eastAsia" w:hAnsi="Calibri" w:eastAsia="仿宋_GB2312"/>
          <w:color w:val="000000"/>
          <w:sz w:val="32"/>
          <w:szCs w:val="32"/>
        </w:rPr>
        <w:t>。</w:t>
      </w:r>
    </w:p>
    <w:p w14:paraId="4C79134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3.如有其他预期用途</w:t>
      </w:r>
      <w:r>
        <w:rPr>
          <w:rFonts w:hint="eastAsia" w:hAnsi="Calibri" w:eastAsia="仿宋_GB2312"/>
          <w:color w:val="000000"/>
          <w:sz w:val="32"/>
          <w:szCs w:val="32"/>
        </w:rPr>
        <w:t>，</w:t>
      </w:r>
      <w:r>
        <w:rPr>
          <w:rFonts w:hAnsi="Calibri" w:eastAsia="仿宋_GB2312"/>
          <w:color w:val="000000"/>
          <w:sz w:val="32"/>
          <w:szCs w:val="32"/>
        </w:rPr>
        <w:t>应设计科学的临床试验，提供充分的证据，证明其预期用途。</w:t>
      </w:r>
    </w:p>
    <w:p w14:paraId="5BE575A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4.不同预期用途的通用要求</w:t>
      </w:r>
    </w:p>
    <w:p w14:paraId="0CDEEF2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4.1临床试验方法、数据及统计分析</w:t>
      </w:r>
    </w:p>
    <w:p w14:paraId="5F8A0F4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4.1.1应在临床试验方案或报告中明确申报产品、对比试剂和第三方试剂的试验方法。</w:t>
      </w:r>
    </w:p>
    <w:p w14:paraId="4E77E0C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4.1.2临床试验病例总结表应以列表方式表示，包括申报产品的结果、对比试剂的结果、第三方试剂的检测结果（如有）、临床诊断、年龄和性别等。</w:t>
      </w:r>
    </w:p>
    <w:p w14:paraId="67F79DB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4.1.3以交叉表分别总结两种试剂的定性检测结果，选择合适的统计方法进行统计分析，以验证两种试剂检测结果的一致性。</w:t>
      </w:r>
    </w:p>
    <w:p w14:paraId="216A6AB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4.1.4 结果差异样本的验证</w:t>
      </w:r>
    </w:p>
    <w:p w14:paraId="0A8DDF22">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在数据收集过程中，对于两种试剂检测结果不一致的样本，采用合理方法进行复核，并对差异原因进行分析。如无需复核，应说明理由。</w:t>
      </w:r>
    </w:p>
    <w:p w14:paraId="7FB5C23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4.2临床试验方案</w:t>
      </w:r>
    </w:p>
    <w:p w14:paraId="7AE9826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各临床试验机构的方案设置应基本一致，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14:paraId="6B3CF7D8">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另外，申报产品的样本类型不应超越对比试剂/方法对样本类型的要求。</w:t>
      </w:r>
    </w:p>
    <w:p w14:paraId="1CFD037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4.3临床试验报告</w:t>
      </w:r>
    </w:p>
    <w:p w14:paraId="317BD38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应对试验的整体设计及各个关键点给予清晰、完整的阐述，应该对整个临床试验实施过程、结果分析、结论等进行条理分明的描述，并应包括必要的数据和统计分析方法。</w:t>
      </w:r>
    </w:p>
    <w:p w14:paraId="766E2127">
      <w:pPr>
        <w:adjustRightInd w:val="0"/>
        <w:snapToGrid w:val="0"/>
        <w:spacing w:line="520" w:lineRule="exact"/>
        <w:ind w:firstLine="640" w:firstLineChars="200"/>
        <w:rPr>
          <w:rFonts w:ascii="楷体_GB2312" w:hAnsi="楷体" w:eastAsia="楷体_GB2312"/>
          <w:kern w:val="0"/>
          <w:sz w:val="32"/>
          <w:szCs w:val="32"/>
        </w:rPr>
      </w:pPr>
      <w:r>
        <w:rPr>
          <w:rFonts w:hint="eastAsia" w:hAnsi="Calibri" w:eastAsia="楷体_GB2312"/>
          <w:color w:val="000000"/>
          <w:sz w:val="32"/>
          <w:szCs w:val="32"/>
        </w:rPr>
        <w:t>（八）产品技术要求</w:t>
      </w:r>
    </w:p>
    <w:p w14:paraId="79FAC9D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产品技术要求应符合《办法》、《44号公告》和《医疗器械产品技术要求编写指导原则》（原国家食品药品监督管理总局通告2014年第9号）的相关要求。该类产品作为三类体外诊断试剂，应将主要原材料、生产工艺及半成品要求等内容作为附录附于技术要求正文后。</w:t>
      </w:r>
    </w:p>
    <w:p w14:paraId="251DC32D">
      <w:pPr>
        <w:adjustRightInd w:val="0"/>
        <w:snapToGrid w:val="0"/>
        <w:spacing w:line="520" w:lineRule="exact"/>
        <w:ind w:firstLine="640" w:firstLineChars="200"/>
        <w:rPr>
          <w:rFonts w:hAnsi="Calibri" w:eastAsia="楷体_GB2312"/>
          <w:color w:val="000000"/>
          <w:sz w:val="32"/>
          <w:szCs w:val="32"/>
        </w:rPr>
      </w:pPr>
      <w:r>
        <w:rPr>
          <w:rFonts w:hint="eastAsia" w:hAnsi="Calibri" w:eastAsia="楷体_GB2312"/>
          <w:color w:val="000000"/>
          <w:sz w:val="32"/>
          <w:szCs w:val="32"/>
        </w:rPr>
        <w:t>（九）产品检验报告</w:t>
      </w:r>
    </w:p>
    <w:p w14:paraId="01D56440">
      <w:pPr>
        <w:spacing w:line="520" w:lineRule="exact"/>
        <w:ind w:firstLine="640" w:firstLineChars="200"/>
        <w:contextualSpacing/>
        <w:rPr>
          <w:rFonts w:ascii="仿宋_GB2312" w:eastAsia="仿宋_GB2312"/>
          <w:sz w:val="32"/>
          <w:szCs w:val="32"/>
        </w:rPr>
      </w:pPr>
      <w:r>
        <w:rPr>
          <w:rFonts w:ascii="仿宋_GB2312" w:eastAsia="仿宋_GB2312"/>
          <w:sz w:val="32"/>
          <w:szCs w:val="32"/>
        </w:rPr>
        <w:t>根据《办法》的要求，第三类体外诊断试剂申请注册时应提交</w:t>
      </w:r>
      <w:r>
        <w:rPr>
          <w:rFonts w:hint="eastAsia" w:ascii="仿宋_GB2312" w:eastAsia="仿宋_GB2312"/>
          <w:sz w:val="32"/>
          <w:szCs w:val="32"/>
        </w:rPr>
        <w:t>三个</w:t>
      </w:r>
      <w:r>
        <w:rPr>
          <w:rFonts w:ascii="仿宋_GB2312" w:eastAsia="仿宋_GB2312"/>
          <w:sz w:val="32"/>
          <w:szCs w:val="32"/>
        </w:rPr>
        <w:t>生产批次样品的检验报告。如有适用的国家参考品发布，产品检验应满足国家参考品的要求。</w:t>
      </w:r>
    </w:p>
    <w:p w14:paraId="7273A8FD">
      <w:pPr>
        <w:spacing w:line="520" w:lineRule="exact"/>
        <w:ind w:firstLine="640" w:firstLineChars="200"/>
        <w:contextualSpacing/>
        <w:rPr>
          <w:rFonts w:hAnsi="Calibri" w:eastAsia="楷体_GB2312"/>
          <w:color w:val="000000"/>
          <w:sz w:val="32"/>
          <w:szCs w:val="32"/>
        </w:rPr>
      </w:pPr>
      <w:r>
        <w:rPr>
          <w:rFonts w:hint="eastAsia" w:hAnsi="Calibri" w:eastAsia="楷体_GB2312"/>
          <w:color w:val="000000"/>
          <w:sz w:val="32"/>
          <w:szCs w:val="32"/>
        </w:rPr>
        <w:t>（十）产品说明书</w:t>
      </w:r>
    </w:p>
    <w:p w14:paraId="5A26E58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产品说明书应满足《体外诊断试剂说明书编写指导原则》（原国家食品药品监督管理总局通告2014年第17号）的要求，产品说明书的所有内容均应与申请人提交的注册申报资料的相关研究结果保持一致。下面对该类产品说明书的重点内容进行阐述。</w:t>
      </w:r>
    </w:p>
    <w:p w14:paraId="214040F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1.【预期用途】应至少包括以下几部分内容：</w:t>
      </w:r>
    </w:p>
    <w:p w14:paraId="3908094F">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1.1</w:t>
      </w:r>
      <w:r>
        <w:rPr>
          <w:rFonts w:hAnsi="Calibri" w:eastAsia="仿宋_GB2312"/>
          <w:color w:val="000000"/>
          <w:sz w:val="32"/>
          <w:szCs w:val="32"/>
        </w:rPr>
        <w:t>本产品用于检测人xx样本基因组DNA中的</w:t>
      </w:r>
      <w:r>
        <w:rPr>
          <w:rFonts w:hint="eastAsia" w:hAnsi="Calibri" w:eastAsia="仿宋_GB2312"/>
          <w:color w:val="000000"/>
          <w:sz w:val="32"/>
          <w:szCs w:val="32"/>
        </w:rPr>
        <w:t>SMN1xxx位点的拷贝数变异，用于x</w:t>
      </w:r>
      <w:r>
        <w:rPr>
          <w:rFonts w:hAnsi="Calibri" w:eastAsia="仿宋_GB2312"/>
          <w:color w:val="000000"/>
          <w:sz w:val="32"/>
          <w:szCs w:val="32"/>
        </w:rPr>
        <w:t>xx</w:t>
      </w:r>
      <w:r>
        <w:rPr>
          <w:rFonts w:hint="eastAsia" w:hAnsi="Calibri" w:eastAsia="仿宋_GB2312"/>
          <w:color w:val="000000"/>
          <w:sz w:val="32"/>
          <w:szCs w:val="32"/>
        </w:rPr>
        <w:t>x用途。其中xx需明确适用的样本类型，xxx需明确检测的位点，xxxx根据支持的临床证据可包括SMA的辅助诊断（遗传诊断）和携带者检测。</w:t>
      </w:r>
    </w:p>
    <w:p w14:paraId="0459F88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1.2介绍</w:t>
      </w:r>
      <w:r>
        <w:rPr>
          <w:rFonts w:hint="eastAsia" w:hAnsi="Calibri" w:eastAsia="仿宋_GB2312"/>
          <w:color w:val="000000"/>
          <w:sz w:val="32"/>
          <w:szCs w:val="32"/>
        </w:rPr>
        <w:t>SMA</w:t>
      </w:r>
      <w:r>
        <w:rPr>
          <w:rFonts w:hAnsi="Calibri" w:eastAsia="仿宋_GB2312"/>
          <w:color w:val="000000"/>
          <w:sz w:val="32"/>
          <w:szCs w:val="32"/>
        </w:rPr>
        <w:t>相关的临床背景信息及实验室诊断方法等，介绍被测靶标的相关情况。</w:t>
      </w:r>
    </w:p>
    <w:p w14:paraId="0AA07BA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2.【主要组成成分】</w:t>
      </w:r>
    </w:p>
    <w:p w14:paraId="49B3C3D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2.1说明试剂盒包含组分的名称或数量等信息，说明不同批号试剂盒中各组分是否可以互换。</w:t>
      </w:r>
    </w:p>
    <w:p w14:paraId="106D5F6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2.2试剂盒中不包含但对该项检测必须的组分，企业应列出相关试剂/耗材的名称及其他相关信息。</w:t>
      </w:r>
    </w:p>
    <w:p w14:paraId="4EF1F11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2.3如果试剂盒中不包含用于核酸提取纯化的试剂组分，则应在此注明经过验证后配合使用的商品化核酸提取纯化试剂盒的生产企业、产品名称和医疗器械备案号（如有）等详细信息。</w:t>
      </w:r>
    </w:p>
    <w:p w14:paraId="32BC120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3.【检验原理】</w:t>
      </w:r>
    </w:p>
    <w:p w14:paraId="740C28E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3.1对试剂盒的被测靶标进行详细描述（基因</w:t>
      </w:r>
      <w:r>
        <w:rPr>
          <w:rFonts w:hint="eastAsia" w:hAnsi="Calibri" w:eastAsia="仿宋_GB2312"/>
          <w:color w:val="000000"/>
          <w:sz w:val="32"/>
          <w:szCs w:val="32"/>
        </w:rPr>
        <w:t>组</w:t>
      </w:r>
      <w:r>
        <w:rPr>
          <w:rFonts w:hAnsi="Calibri" w:eastAsia="仿宋_GB2312"/>
          <w:color w:val="000000"/>
          <w:sz w:val="32"/>
          <w:szCs w:val="32"/>
        </w:rPr>
        <w:t>位置、</w:t>
      </w:r>
      <w:r>
        <w:rPr>
          <w:rFonts w:hint="eastAsia" w:hAnsi="Calibri" w:eastAsia="仿宋_GB2312"/>
          <w:color w:val="000000"/>
          <w:sz w:val="32"/>
          <w:szCs w:val="32"/>
        </w:rPr>
        <w:t>基因的转录本号，外显子7及8的</w:t>
      </w:r>
      <w:r>
        <w:rPr>
          <w:rFonts w:hAnsi="Calibri" w:eastAsia="仿宋_GB2312"/>
          <w:color w:val="000000"/>
          <w:sz w:val="32"/>
          <w:szCs w:val="32"/>
        </w:rPr>
        <w:t>相关特征等），对试剂盒所用探针、引物或</w:t>
      </w:r>
      <w:r>
        <w:rPr>
          <w:rFonts w:hint="eastAsia" w:hAnsi="Calibri" w:eastAsia="仿宋_GB2312"/>
          <w:color w:val="000000"/>
          <w:sz w:val="32"/>
          <w:szCs w:val="32"/>
        </w:rPr>
        <w:t>拷贝数</w:t>
      </w:r>
      <w:r>
        <w:rPr>
          <w:rFonts w:hAnsi="Calibri" w:eastAsia="仿宋_GB2312"/>
          <w:color w:val="000000"/>
          <w:sz w:val="32"/>
          <w:szCs w:val="32"/>
        </w:rPr>
        <w:t>的判定等进行详细介绍；对不同样本反应管组合、</w:t>
      </w:r>
      <w:r>
        <w:rPr>
          <w:rFonts w:hint="eastAsia" w:hAnsi="Calibri" w:eastAsia="仿宋_GB2312"/>
          <w:color w:val="000000"/>
          <w:sz w:val="32"/>
          <w:szCs w:val="32"/>
        </w:rPr>
        <w:t>内参基因设置、</w:t>
      </w:r>
      <w:r>
        <w:rPr>
          <w:rFonts w:hAnsi="Calibri" w:eastAsia="仿宋_GB2312"/>
          <w:color w:val="000000"/>
          <w:sz w:val="32"/>
          <w:szCs w:val="32"/>
        </w:rPr>
        <w:t>对照品</w:t>
      </w:r>
      <w:r>
        <w:rPr>
          <w:rFonts w:hint="eastAsia" w:hAnsi="Calibri" w:eastAsia="仿宋_GB2312"/>
          <w:color w:val="000000"/>
          <w:sz w:val="32"/>
          <w:szCs w:val="32"/>
        </w:rPr>
        <w:t>（质控品）</w:t>
      </w:r>
      <w:r>
        <w:rPr>
          <w:rFonts w:hAnsi="Calibri" w:eastAsia="仿宋_GB2312"/>
          <w:color w:val="000000"/>
          <w:sz w:val="32"/>
          <w:szCs w:val="32"/>
        </w:rPr>
        <w:t>设置</w:t>
      </w:r>
      <w:r>
        <w:rPr>
          <w:rFonts w:hint="eastAsia" w:hAnsi="Calibri" w:eastAsia="仿宋_GB2312"/>
          <w:color w:val="000000"/>
          <w:sz w:val="32"/>
          <w:szCs w:val="32"/>
        </w:rPr>
        <w:t>、</w:t>
      </w:r>
      <w:r>
        <w:rPr>
          <w:rFonts w:hAnsi="Calibri" w:eastAsia="仿宋_GB2312"/>
          <w:color w:val="000000"/>
          <w:sz w:val="32"/>
          <w:szCs w:val="32"/>
        </w:rPr>
        <w:t>及荧光信号检测原理等进行介绍。</w:t>
      </w:r>
    </w:p>
    <w:p w14:paraId="1189ECA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3.2试剂盒技术原理的详细介绍，建议结合适当图示进行说明。如反应体系中添加了相关的防污染组分（如UNG酶），也应对其作用机理进行适当介绍。</w:t>
      </w:r>
      <w:r>
        <w:rPr>
          <w:rFonts w:hint="eastAsia" w:hAnsi="Calibri" w:eastAsia="仿宋_GB2312"/>
          <w:color w:val="000000"/>
          <w:sz w:val="32"/>
          <w:szCs w:val="32"/>
        </w:rPr>
        <w:t>对区分SMN2的原理进行详细描述。如需通过计算对</w:t>
      </w:r>
      <w:r>
        <w:rPr>
          <w:rFonts w:hAnsi="Calibri" w:eastAsia="仿宋_GB2312"/>
          <w:color w:val="000000"/>
          <w:sz w:val="32"/>
          <w:szCs w:val="32"/>
        </w:rPr>
        <w:t>SMN1</w:t>
      </w:r>
      <w:r>
        <w:rPr>
          <w:rFonts w:hint="eastAsia" w:hAnsi="Calibri" w:eastAsia="仿宋_GB2312"/>
          <w:color w:val="000000"/>
          <w:sz w:val="32"/>
          <w:szCs w:val="32"/>
        </w:rPr>
        <w:t>的拷贝数进行判断，应详述计算原理及公式。</w:t>
      </w:r>
    </w:p>
    <w:p w14:paraId="7348882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4.【储存条件及有效期】</w:t>
      </w:r>
    </w:p>
    <w:p w14:paraId="409B1C1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说明试剂盒的效期稳定性等，应明确具体的储存条件及有效期等信息。</w:t>
      </w:r>
    </w:p>
    <w:p w14:paraId="1990E6D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5.【样本要求】</w:t>
      </w:r>
    </w:p>
    <w:p w14:paraId="66F462BA">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详述样本类型的选择与样本处理的要求。</w:t>
      </w:r>
      <w:r>
        <w:rPr>
          <w:rFonts w:hAnsi="Calibri" w:eastAsia="仿宋_GB2312"/>
          <w:color w:val="000000"/>
          <w:sz w:val="32"/>
          <w:szCs w:val="32"/>
        </w:rPr>
        <w:t>样本的采集、处理、运送和保存：明确样本采集、核酸提取纯化前的处理（如离心和洗涤等）、保存条件及期限以及运送条件等。冷藏/冷冻样本检测前是否需要恢复至室温，冻融次数的限制等。</w:t>
      </w:r>
    </w:p>
    <w:p w14:paraId="487C623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6.【适用仪器】</w:t>
      </w:r>
    </w:p>
    <w:p w14:paraId="66D1DB3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明确经验证的所有适用的仪器型号，并提供与仪器有关的重要信息以指导用户操作。</w:t>
      </w:r>
    </w:p>
    <w:p w14:paraId="1BD375A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7.【检验方法】</w:t>
      </w:r>
    </w:p>
    <w:p w14:paraId="1A55ECCD">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详细说明实验操作的各个步骤，包括：</w:t>
      </w:r>
    </w:p>
    <w:p w14:paraId="6D6A397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7.1实验条件：实验室分区、实验环境的温度、湿度和空调气流方向控制等注意事项。</w:t>
      </w:r>
    </w:p>
    <w:p w14:paraId="1F2C08B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7.2试剂配制方法和注意事项。</w:t>
      </w:r>
    </w:p>
    <w:p w14:paraId="77561C1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7.3详述核酸提取纯化的条件、步骤及注意事项（如适用），对核酸提取纯化环节进行合理质控，明确提取核酸的浓度纯度等质量要求。</w:t>
      </w:r>
    </w:p>
    <w:p w14:paraId="3D802ACB">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7.4扩增反应前准备：加样体积、顺序等。</w:t>
      </w:r>
    </w:p>
    <w:p w14:paraId="78F68D9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7.5 PCR各阶段的温度、时间设置、循环数设置或相应的自动化检测程序及相关注意事项。</w:t>
      </w:r>
    </w:p>
    <w:p w14:paraId="25A24CD2">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7</w:t>
      </w:r>
      <w:r>
        <w:rPr>
          <w:rFonts w:hAnsi="Calibri" w:eastAsia="仿宋_GB2312"/>
          <w:color w:val="000000"/>
          <w:sz w:val="32"/>
          <w:szCs w:val="32"/>
        </w:rPr>
        <w:t xml:space="preserve">.6 </w:t>
      </w:r>
      <w:r>
        <w:rPr>
          <w:rFonts w:hint="eastAsia" w:hAnsi="Calibri" w:eastAsia="仿宋_GB2312"/>
          <w:color w:val="000000"/>
          <w:sz w:val="32"/>
          <w:szCs w:val="32"/>
        </w:rPr>
        <w:t>熔解曲线（如适用）: 各阶段温度、时间设置，升温速度。</w:t>
      </w:r>
    </w:p>
    <w:p w14:paraId="5E69D70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7.7 仪器设置（如适用）：特殊参数、探针的荧光素标记情况、对待测样本及其他对照品的荧光通道选择等。</w:t>
      </w:r>
    </w:p>
    <w:p w14:paraId="1D6BE17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8.【检验结果的解释】</w:t>
      </w:r>
    </w:p>
    <w:p w14:paraId="4EB67B7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结合对照品、样本管</w:t>
      </w:r>
      <w:r>
        <w:rPr>
          <w:rFonts w:hint="eastAsia" w:hAnsi="Calibri" w:eastAsia="仿宋_GB2312"/>
          <w:color w:val="000000"/>
          <w:sz w:val="32"/>
          <w:szCs w:val="32"/>
        </w:rPr>
        <w:t>、参比样本</w:t>
      </w:r>
      <w:r>
        <w:rPr>
          <w:rFonts w:hAnsi="Calibri" w:eastAsia="仿宋_GB2312"/>
          <w:color w:val="000000"/>
          <w:sz w:val="32"/>
          <w:szCs w:val="32"/>
        </w:rPr>
        <w:t>检测结果以及检测类型，以列表形式详述所有可能出现的结果及相应的解释。如存在检测灰区，应详述对于灰区结果的处理方式。</w:t>
      </w:r>
    </w:p>
    <w:p w14:paraId="49AB2BCB">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需明确不同的结果应进一步采取何种措施，何种情况进行遗传咨询。</w:t>
      </w:r>
    </w:p>
    <w:p w14:paraId="46BBE0F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9.【参考区间或阳性判断值】</w:t>
      </w:r>
    </w:p>
    <w:p w14:paraId="30B3265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简要概述</w:t>
      </w:r>
      <w:r>
        <w:rPr>
          <w:rFonts w:hint="eastAsia" w:hAnsi="Calibri" w:eastAsia="仿宋_GB2312"/>
          <w:color w:val="000000"/>
          <w:sz w:val="32"/>
          <w:szCs w:val="32"/>
        </w:rPr>
        <w:t>参考区间或阳性判断值</w:t>
      </w:r>
      <w:r>
        <w:rPr>
          <w:rFonts w:hAnsi="Calibri" w:eastAsia="仿宋_GB2312"/>
          <w:color w:val="000000"/>
          <w:sz w:val="32"/>
          <w:szCs w:val="32"/>
        </w:rPr>
        <w:t>具体判断标准及研究验证情况。</w:t>
      </w:r>
      <w:r>
        <w:rPr>
          <w:rFonts w:hint="eastAsia" w:hAnsi="Calibri" w:eastAsia="仿宋_GB2312"/>
          <w:color w:val="000000"/>
          <w:sz w:val="32"/>
          <w:szCs w:val="32"/>
        </w:rPr>
        <w:t>需对不同SMN1拷贝数的参考区间分别进行描述。</w:t>
      </w:r>
    </w:p>
    <w:p w14:paraId="63D3E9E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10.【检验方法的局限性】</w:t>
      </w:r>
    </w:p>
    <w:p w14:paraId="53C0D8CC">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10.1</w:t>
      </w:r>
      <w:r>
        <w:rPr>
          <w:rFonts w:hint="eastAsia" w:hAnsi="Calibri" w:eastAsia="仿宋_GB2312"/>
          <w:color w:val="000000"/>
          <w:sz w:val="32"/>
          <w:szCs w:val="32"/>
        </w:rPr>
        <w:t>对</w:t>
      </w:r>
      <w:r>
        <w:rPr>
          <w:rFonts w:hAnsi="Calibri" w:eastAsia="仿宋_GB2312"/>
          <w:color w:val="000000"/>
          <w:sz w:val="32"/>
          <w:szCs w:val="32"/>
        </w:rPr>
        <w:t>申报产品</w:t>
      </w:r>
      <w:r>
        <w:rPr>
          <w:rFonts w:hint="eastAsia" w:hAnsi="Calibri" w:eastAsia="仿宋_GB2312"/>
          <w:color w:val="000000"/>
          <w:sz w:val="32"/>
          <w:szCs w:val="32"/>
        </w:rPr>
        <w:t>可检出及不能检出的变异类型进行说明。</w:t>
      </w:r>
    </w:p>
    <w:p w14:paraId="2849E573">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10.</w:t>
      </w:r>
      <w:r>
        <w:rPr>
          <w:rFonts w:hAnsi="Calibri" w:eastAsia="仿宋_GB2312"/>
          <w:color w:val="000000"/>
          <w:sz w:val="32"/>
          <w:szCs w:val="32"/>
        </w:rPr>
        <w:t xml:space="preserve">2 </w:t>
      </w:r>
      <w:r>
        <w:rPr>
          <w:rFonts w:hint="eastAsia" w:hAnsi="Calibri" w:eastAsia="仿宋_GB2312"/>
          <w:color w:val="000000"/>
          <w:sz w:val="32"/>
          <w:szCs w:val="32"/>
        </w:rPr>
        <w:t>申报产品</w:t>
      </w:r>
      <w:r>
        <w:rPr>
          <w:rFonts w:hAnsi="Calibri" w:eastAsia="仿宋_GB2312"/>
          <w:color w:val="000000"/>
          <w:sz w:val="32"/>
          <w:szCs w:val="32"/>
        </w:rPr>
        <w:t>仅对下述检测类型xx进行了验证。</w:t>
      </w:r>
    </w:p>
    <w:p w14:paraId="35F4305D">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10.3有关假阴性</w:t>
      </w:r>
      <w:r>
        <w:rPr>
          <w:rFonts w:hint="eastAsia" w:hAnsi="Calibri" w:eastAsia="仿宋_GB2312"/>
          <w:color w:val="000000"/>
          <w:sz w:val="32"/>
          <w:szCs w:val="32"/>
        </w:rPr>
        <w:t>及假阳性</w:t>
      </w:r>
      <w:r>
        <w:rPr>
          <w:rFonts w:hAnsi="Calibri" w:eastAsia="仿宋_GB2312"/>
          <w:color w:val="000000"/>
          <w:sz w:val="32"/>
          <w:szCs w:val="32"/>
        </w:rPr>
        <w:t>结果的可能性分析</w:t>
      </w:r>
      <w:r>
        <w:rPr>
          <w:rFonts w:hint="eastAsia" w:hAnsi="Calibri" w:eastAsia="仿宋_GB2312"/>
          <w:color w:val="000000"/>
          <w:sz w:val="32"/>
          <w:szCs w:val="32"/>
        </w:rPr>
        <w:t>。</w:t>
      </w:r>
    </w:p>
    <w:p w14:paraId="73F0337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10.3.1不合理的样本采集、运送及处理或核酸过度降解均有可能导致假阴性结果。</w:t>
      </w:r>
    </w:p>
    <w:p w14:paraId="60F3CB6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10.3.2未经验证的其他干扰或PCR抑制因子等可能会导致假阴性结果（如有）。</w:t>
      </w:r>
    </w:p>
    <w:p w14:paraId="03CF0078">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w:t>
      </w:r>
      <w:r>
        <w:rPr>
          <w:rFonts w:hAnsi="Calibri" w:eastAsia="仿宋_GB2312"/>
          <w:color w:val="000000"/>
          <w:sz w:val="32"/>
          <w:szCs w:val="32"/>
        </w:rPr>
        <w:t>0</w:t>
      </w:r>
      <w:r>
        <w:rPr>
          <w:rFonts w:hint="eastAsia" w:hAnsi="Calibri" w:eastAsia="仿宋_GB2312"/>
          <w:color w:val="000000"/>
          <w:sz w:val="32"/>
          <w:szCs w:val="32"/>
        </w:rPr>
        <w:t>.</w:t>
      </w:r>
      <w:r>
        <w:rPr>
          <w:rFonts w:hAnsi="Calibri" w:eastAsia="仿宋_GB2312"/>
          <w:color w:val="000000"/>
          <w:sz w:val="32"/>
          <w:szCs w:val="32"/>
        </w:rPr>
        <w:t>3</w:t>
      </w:r>
      <w:r>
        <w:rPr>
          <w:rFonts w:hint="eastAsia" w:hAnsi="Calibri" w:eastAsia="仿宋_GB2312"/>
          <w:color w:val="000000"/>
          <w:sz w:val="32"/>
          <w:szCs w:val="32"/>
        </w:rPr>
        <w:t>.</w:t>
      </w:r>
      <w:r>
        <w:rPr>
          <w:rFonts w:hAnsi="Calibri" w:eastAsia="仿宋_GB2312"/>
          <w:color w:val="000000"/>
          <w:sz w:val="32"/>
          <w:szCs w:val="32"/>
        </w:rPr>
        <w:t>3</w:t>
      </w:r>
      <w:r>
        <w:rPr>
          <w:rFonts w:hint="eastAsia" w:hAnsi="Calibri" w:eastAsia="仿宋_GB2312"/>
          <w:color w:val="000000"/>
          <w:sz w:val="32"/>
          <w:szCs w:val="32"/>
        </w:rPr>
        <w:t>高拷贝SMN</w:t>
      </w:r>
      <w:r>
        <w:rPr>
          <w:rFonts w:hAnsi="Calibri" w:eastAsia="仿宋_GB2312"/>
          <w:color w:val="000000"/>
          <w:sz w:val="32"/>
          <w:szCs w:val="32"/>
        </w:rPr>
        <w:t>2</w:t>
      </w:r>
      <w:r>
        <w:rPr>
          <w:rFonts w:hint="eastAsia" w:hAnsi="Calibri" w:eastAsia="仿宋_GB2312"/>
          <w:color w:val="000000"/>
          <w:sz w:val="32"/>
          <w:szCs w:val="32"/>
        </w:rPr>
        <w:t>与SMN</w:t>
      </w:r>
      <w:r>
        <w:rPr>
          <w:rFonts w:hAnsi="Calibri" w:eastAsia="仿宋_GB2312"/>
          <w:color w:val="000000"/>
          <w:sz w:val="32"/>
          <w:szCs w:val="32"/>
        </w:rPr>
        <w:t>1</w:t>
      </w:r>
      <w:r>
        <w:rPr>
          <w:rFonts w:hint="eastAsia" w:hAnsi="Calibri" w:eastAsia="仿宋_GB2312"/>
          <w:color w:val="000000"/>
          <w:sz w:val="32"/>
          <w:szCs w:val="32"/>
        </w:rPr>
        <w:t>之间相互的</w:t>
      </w:r>
      <w:r>
        <w:rPr>
          <w:rFonts w:hAnsi="Calibri" w:eastAsia="仿宋_GB2312"/>
          <w:color w:val="000000"/>
          <w:sz w:val="32"/>
          <w:szCs w:val="32"/>
        </w:rPr>
        <w:t>影响</w:t>
      </w:r>
      <w:r>
        <w:rPr>
          <w:rFonts w:hint="eastAsia" w:hAnsi="Calibri" w:eastAsia="仿宋_GB2312"/>
          <w:color w:val="000000"/>
          <w:sz w:val="32"/>
          <w:szCs w:val="32"/>
        </w:rPr>
        <w:t>。</w:t>
      </w:r>
    </w:p>
    <w:p w14:paraId="3751AB19">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10.</w:t>
      </w:r>
      <w:r>
        <w:rPr>
          <w:rFonts w:hAnsi="Calibri" w:eastAsia="仿宋_GB2312"/>
          <w:color w:val="000000"/>
          <w:sz w:val="32"/>
          <w:szCs w:val="32"/>
        </w:rPr>
        <w:t>3</w:t>
      </w:r>
      <w:r>
        <w:rPr>
          <w:rFonts w:hint="eastAsia" w:hAnsi="Calibri" w:eastAsia="仿宋_GB2312"/>
          <w:color w:val="000000"/>
          <w:sz w:val="32"/>
          <w:szCs w:val="32"/>
        </w:rPr>
        <w:t>.</w:t>
      </w:r>
      <w:r>
        <w:rPr>
          <w:rFonts w:hAnsi="Calibri" w:eastAsia="仿宋_GB2312"/>
          <w:color w:val="000000"/>
          <w:sz w:val="32"/>
          <w:szCs w:val="32"/>
        </w:rPr>
        <w:t xml:space="preserve">4 </w:t>
      </w:r>
      <w:r>
        <w:rPr>
          <w:rFonts w:hint="eastAsia" w:hAnsi="Calibri" w:eastAsia="仿宋_GB2312"/>
          <w:color w:val="000000"/>
          <w:sz w:val="32"/>
          <w:szCs w:val="32"/>
        </w:rPr>
        <w:t>SMN</w:t>
      </w:r>
      <w:r>
        <w:rPr>
          <w:rFonts w:hAnsi="Calibri" w:eastAsia="仿宋_GB2312"/>
          <w:color w:val="000000"/>
          <w:sz w:val="32"/>
          <w:szCs w:val="32"/>
        </w:rPr>
        <w:t>1</w:t>
      </w:r>
      <w:r>
        <w:rPr>
          <w:rFonts w:hint="eastAsia" w:hAnsi="Calibri" w:eastAsia="仿宋_GB2312"/>
          <w:color w:val="000000"/>
          <w:sz w:val="32"/>
          <w:szCs w:val="32"/>
        </w:rPr>
        <w:t>微小突变无法检出可能造成的假阴性。</w:t>
      </w:r>
    </w:p>
    <w:p w14:paraId="531DBE10">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10</w:t>
      </w:r>
      <w:r>
        <w:rPr>
          <w:rFonts w:hAnsi="Calibri" w:eastAsia="仿宋_GB2312"/>
          <w:color w:val="000000"/>
          <w:sz w:val="32"/>
          <w:szCs w:val="32"/>
        </w:rPr>
        <w:t>.</w:t>
      </w:r>
      <w:r>
        <w:rPr>
          <w:rFonts w:hint="eastAsia" w:hAnsi="Calibri" w:eastAsia="仿宋_GB2312"/>
          <w:color w:val="000000"/>
          <w:sz w:val="32"/>
          <w:szCs w:val="32"/>
        </w:rPr>
        <w:t>3.</w:t>
      </w:r>
      <w:r>
        <w:rPr>
          <w:rFonts w:hAnsi="Calibri" w:eastAsia="仿宋_GB2312"/>
          <w:color w:val="000000"/>
          <w:sz w:val="32"/>
          <w:szCs w:val="32"/>
        </w:rPr>
        <w:t xml:space="preserve">5 </w:t>
      </w:r>
      <w:r>
        <w:rPr>
          <w:rFonts w:hint="eastAsia" w:hAnsi="Calibri" w:eastAsia="仿宋_GB2312"/>
          <w:color w:val="000000"/>
          <w:sz w:val="32"/>
          <w:szCs w:val="32"/>
        </w:rPr>
        <w:t>引物探针结合位置发生的多态性或点突变可能导致的假阳性。</w:t>
      </w:r>
    </w:p>
    <w:p w14:paraId="37115FCD">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10.</w:t>
      </w:r>
      <w:r>
        <w:rPr>
          <w:rFonts w:hAnsi="Calibri" w:eastAsia="仿宋_GB2312"/>
          <w:color w:val="000000"/>
          <w:sz w:val="32"/>
          <w:szCs w:val="32"/>
        </w:rPr>
        <w:t>3</w:t>
      </w:r>
      <w:r>
        <w:rPr>
          <w:rFonts w:hint="eastAsia" w:hAnsi="Calibri" w:eastAsia="仿宋_GB2312"/>
          <w:color w:val="000000"/>
          <w:sz w:val="32"/>
          <w:szCs w:val="32"/>
        </w:rPr>
        <w:t>.</w:t>
      </w:r>
      <w:r>
        <w:rPr>
          <w:rFonts w:hAnsi="Calibri" w:eastAsia="仿宋_GB2312"/>
          <w:color w:val="000000"/>
          <w:sz w:val="32"/>
          <w:szCs w:val="32"/>
        </w:rPr>
        <w:t xml:space="preserve">6 </w:t>
      </w:r>
      <w:r>
        <w:rPr>
          <w:rFonts w:hint="eastAsia" w:hAnsi="Calibri" w:eastAsia="仿宋_GB2312"/>
          <w:color w:val="000000"/>
          <w:sz w:val="32"/>
          <w:szCs w:val="32"/>
        </w:rPr>
        <w:t>其他可能阴性假阳性或假阴性的分析。</w:t>
      </w:r>
    </w:p>
    <w:p w14:paraId="30951C35">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w:t>
      </w:r>
      <w:r>
        <w:rPr>
          <w:rFonts w:hint="eastAsia" w:hAnsi="Calibri" w:eastAsia="仿宋_GB2312"/>
          <w:color w:val="000000"/>
          <w:sz w:val="32"/>
          <w:szCs w:val="32"/>
        </w:rPr>
        <w:t>.</w:t>
      </w:r>
      <w:r>
        <w:rPr>
          <w:rFonts w:hAnsi="Calibri" w:eastAsia="仿宋_GB2312"/>
          <w:color w:val="000000"/>
          <w:sz w:val="32"/>
          <w:szCs w:val="32"/>
        </w:rPr>
        <w:t>4</w:t>
      </w:r>
      <w:r>
        <w:rPr>
          <w:rFonts w:hint="eastAsia" w:hAnsi="Calibri" w:eastAsia="仿宋_GB2312"/>
          <w:color w:val="000000"/>
          <w:sz w:val="32"/>
          <w:szCs w:val="32"/>
        </w:rPr>
        <w:t>对[2+</w:t>
      </w:r>
      <w:r>
        <w:rPr>
          <w:rFonts w:hAnsi="Calibri" w:eastAsia="仿宋_GB2312"/>
          <w:color w:val="000000"/>
          <w:sz w:val="32"/>
          <w:szCs w:val="32"/>
        </w:rPr>
        <w:t>0]</w:t>
      </w:r>
      <w:r>
        <w:rPr>
          <w:rFonts w:hint="eastAsia" w:hAnsi="Calibri" w:eastAsia="仿宋_GB2312"/>
          <w:color w:val="000000"/>
          <w:sz w:val="32"/>
          <w:szCs w:val="32"/>
        </w:rPr>
        <w:t>基因型、微小突变及SMN1缺失的低比例嵌合体检出能力的局限性进行说明（如不能检出）。</w:t>
      </w:r>
    </w:p>
    <w:p w14:paraId="6367E3D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w:t>
      </w:r>
      <w:r>
        <w:rPr>
          <w:rFonts w:hint="eastAsia" w:hAnsi="Calibri" w:eastAsia="仿宋_GB2312"/>
          <w:color w:val="000000"/>
          <w:sz w:val="32"/>
          <w:szCs w:val="32"/>
        </w:rPr>
        <w:t>.</w:t>
      </w:r>
      <w:r>
        <w:rPr>
          <w:rFonts w:hAnsi="Calibri" w:eastAsia="仿宋_GB2312"/>
          <w:color w:val="000000"/>
          <w:sz w:val="32"/>
          <w:szCs w:val="32"/>
        </w:rPr>
        <w:t>5</w:t>
      </w:r>
      <w:r>
        <w:rPr>
          <w:rFonts w:hint="eastAsia" w:hAnsi="Calibri" w:eastAsia="仿宋_GB2312"/>
          <w:color w:val="000000"/>
          <w:sz w:val="32"/>
          <w:szCs w:val="32"/>
        </w:rPr>
        <w:t>有症状患者的杂合缺失需要进一步采取合适的方法确认。</w:t>
      </w:r>
    </w:p>
    <w:p w14:paraId="239C66A1">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10.6</w:t>
      </w:r>
      <w:r>
        <w:rPr>
          <w:rFonts w:hint="eastAsia" w:hAnsi="Calibri" w:eastAsia="仿宋_GB2312"/>
          <w:color w:val="000000"/>
          <w:sz w:val="32"/>
          <w:szCs w:val="32"/>
        </w:rPr>
        <w:t>本试剂盒的检测结果仅供临床参考，不能单独作为确诊或排除病例的依据，为达到诊断目的，此检测结果要与临床检查、病史、连锁遗传分析及其他的检查结果综合使用。</w:t>
      </w:r>
    </w:p>
    <w:p w14:paraId="4219F8D1">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11.【产品性能指标】简述以下性能指标：</w:t>
      </w:r>
    </w:p>
    <w:p w14:paraId="796B4AF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11.1对相应国家参考品（如有）检测的符合情况。</w:t>
      </w:r>
    </w:p>
    <w:p w14:paraId="24277B76">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 xml:space="preserve">11.2 </w:t>
      </w:r>
      <w:r>
        <w:rPr>
          <w:rFonts w:hint="eastAsia" w:hAnsi="Calibri" w:eastAsia="仿宋_GB2312"/>
          <w:color w:val="000000"/>
          <w:sz w:val="32"/>
          <w:szCs w:val="32"/>
        </w:rPr>
        <w:t>准确性：</w:t>
      </w:r>
      <w:r>
        <w:rPr>
          <w:rFonts w:hAnsi="Calibri" w:eastAsia="仿宋_GB2312"/>
          <w:color w:val="000000"/>
          <w:sz w:val="32"/>
          <w:szCs w:val="32"/>
        </w:rPr>
        <w:t>简述研究用样本、试验方法和评价结果。</w:t>
      </w:r>
    </w:p>
    <w:p w14:paraId="19B82B6C">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w:t>
      </w:r>
      <w:r>
        <w:rPr>
          <w:rFonts w:hAnsi="Calibri" w:eastAsia="仿宋_GB2312"/>
          <w:color w:val="000000"/>
          <w:sz w:val="32"/>
          <w:szCs w:val="32"/>
        </w:rPr>
        <w:t>1.3 最低检测限：简单介绍最低检测限的确定方法，并明确最低检测限结果。</w:t>
      </w:r>
    </w:p>
    <w:p w14:paraId="496681A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11.4精密度：简单介绍精密度的确定方法，并明确精密度结果。</w:t>
      </w:r>
    </w:p>
    <w:p w14:paraId="7C8814EA">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1</w:t>
      </w:r>
      <w:r>
        <w:rPr>
          <w:rFonts w:hAnsi="Calibri" w:eastAsia="仿宋_GB2312"/>
          <w:color w:val="000000"/>
          <w:sz w:val="32"/>
          <w:szCs w:val="32"/>
        </w:rPr>
        <w:t xml:space="preserve">1.5 </w:t>
      </w:r>
      <w:r>
        <w:rPr>
          <w:rFonts w:hint="eastAsia" w:hAnsi="Calibri" w:eastAsia="仿宋_GB2312"/>
          <w:color w:val="000000"/>
          <w:sz w:val="32"/>
          <w:szCs w:val="32"/>
        </w:rPr>
        <w:t>检测范围：明确可准确定量检测SMN1基因拷贝数变异的人基因组DNA浓度范围。明确可检出的嵌合体样本的嵌合比例范围。</w:t>
      </w:r>
    </w:p>
    <w:p w14:paraId="0B9758E3">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11.6分析特异性</w:t>
      </w:r>
      <w:r>
        <w:rPr>
          <w:rFonts w:hint="eastAsia" w:hAnsi="Calibri" w:eastAsia="仿宋_GB2312"/>
          <w:color w:val="000000"/>
          <w:sz w:val="32"/>
          <w:szCs w:val="32"/>
        </w:rPr>
        <w:t>：</w:t>
      </w:r>
    </w:p>
    <w:p w14:paraId="4839A3F4">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11.6.1交叉反应验证：同源性序列等交叉反应验证</w:t>
      </w:r>
      <w:r>
        <w:rPr>
          <w:rFonts w:hint="eastAsia" w:hAnsi="Calibri" w:eastAsia="仿宋_GB2312"/>
          <w:color w:val="000000"/>
          <w:sz w:val="32"/>
          <w:szCs w:val="32"/>
        </w:rPr>
        <w:t>（包括</w:t>
      </w:r>
      <w:r>
        <w:rPr>
          <w:rFonts w:hAnsi="Calibri" w:eastAsia="仿宋_GB2312"/>
          <w:color w:val="000000"/>
          <w:sz w:val="32"/>
          <w:szCs w:val="32"/>
        </w:rPr>
        <w:t>SMN1</w:t>
      </w:r>
      <w:r>
        <w:rPr>
          <w:rFonts w:hint="eastAsia" w:hAnsi="Calibri" w:eastAsia="仿宋_GB2312"/>
          <w:color w:val="000000"/>
          <w:sz w:val="32"/>
          <w:szCs w:val="32"/>
        </w:rPr>
        <w:t>和</w:t>
      </w:r>
      <w:r>
        <w:rPr>
          <w:rFonts w:hAnsi="Calibri" w:eastAsia="仿宋_GB2312"/>
          <w:color w:val="000000"/>
          <w:sz w:val="32"/>
          <w:szCs w:val="32"/>
        </w:rPr>
        <w:t>SMN2</w:t>
      </w:r>
      <w:r>
        <w:rPr>
          <w:rFonts w:hint="eastAsia" w:hAnsi="Calibri" w:eastAsia="仿宋_GB2312"/>
          <w:color w:val="000000"/>
          <w:sz w:val="32"/>
          <w:szCs w:val="32"/>
        </w:rPr>
        <w:t>之间的交叉反应及其他同源序列的交叉反应）。</w:t>
      </w:r>
    </w:p>
    <w:p w14:paraId="665396E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11.6.2干扰物质验证：样本中常见干扰物质对检测结果的影响。</w:t>
      </w:r>
    </w:p>
    <w:p w14:paraId="2FD16F9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11.7 临床试验：简要介绍临床试验样本、试验方法、所采用的统计学方法及统计分析结果。</w:t>
      </w:r>
    </w:p>
    <w:p w14:paraId="10B2D2D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12.【注意事项】应至少包括以下内容：</w:t>
      </w:r>
    </w:p>
    <w:p w14:paraId="37504E6A">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12.1如该产品含有人源或动物源性物质，应给出具有潜在感染性的警告。</w:t>
      </w:r>
    </w:p>
    <w:p w14:paraId="1EDD021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12.2临床实验室应严格按照《医疗机构临床基因扩增实验室管理办法》现行有效版本等有关分子生物学实验室、临床基因扩增实验室的管理规范执行。</w:t>
      </w:r>
    </w:p>
    <w:p w14:paraId="1FA5EE12">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12.3</w:t>
      </w:r>
      <w:r>
        <w:rPr>
          <w:rFonts w:hint="eastAsia" w:hAnsi="Calibri" w:eastAsia="仿宋_GB2312"/>
          <w:color w:val="000000"/>
          <w:sz w:val="32"/>
          <w:szCs w:val="32"/>
        </w:rPr>
        <w:t>携带者检测应进行遗传咨询，强调残余风险。无论其外周血基因检测结果是否提示为携带者，再次生育时均应进行产前诊断。</w:t>
      </w:r>
    </w:p>
    <w:p w14:paraId="4E09E61B">
      <w:pPr>
        <w:spacing w:line="520" w:lineRule="exact"/>
        <w:ind w:right="-67" w:rightChars="-32" w:firstLine="640" w:firstLineChars="200"/>
        <w:rPr>
          <w:rFonts w:hAnsi="Calibri" w:eastAsia="黑体"/>
          <w:color w:val="000000"/>
          <w:sz w:val="32"/>
          <w:szCs w:val="32"/>
        </w:rPr>
      </w:pPr>
      <w:r>
        <w:rPr>
          <w:rFonts w:hint="eastAsia" w:hAnsi="Calibri" w:eastAsia="黑体"/>
          <w:color w:val="000000"/>
          <w:sz w:val="32"/>
          <w:szCs w:val="32"/>
        </w:rPr>
        <w:t>三、</w:t>
      </w:r>
      <w:r>
        <w:rPr>
          <w:rFonts w:hAnsi="Calibri" w:eastAsia="黑体"/>
          <w:color w:val="000000"/>
          <w:sz w:val="32"/>
          <w:szCs w:val="32"/>
        </w:rPr>
        <w:t>起草单位</w:t>
      </w:r>
    </w:p>
    <w:p w14:paraId="6CCD68EE">
      <w:pPr>
        <w:spacing w:line="520" w:lineRule="exact"/>
        <w:ind w:firstLine="640" w:firstLineChars="200"/>
        <w:contextualSpacing/>
        <w:rPr>
          <w:rFonts w:ascii="仿宋_GB2312" w:eastAsia="仿宋_GB2312"/>
          <w:sz w:val="32"/>
          <w:szCs w:val="32"/>
        </w:rPr>
      </w:pPr>
      <w:r>
        <w:rPr>
          <w:rFonts w:ascii="仿宋_GB2312" w:eastAsia="仿宋_GB2312"/>
          <w:sz w:val="32"/>
          <w:szCs w:val="32"/>
        </w:rPr>
        <w:t>国家药品监督管理局医疗器械技术审评中心。</w:t>
      </w:r>
    </w:p>
    <w:p w14:paraId="4B7EDE44">
      <w:pPr>
        <w:spacing w:line="520" w:lineRule="exact"/>
      </w:pPr>
    </w:p>
    <w:p w14:paraId="06B4E4FE">
      <w:pPr>
        <w:spacing w:line="520" w:lineRule="exact"/>
        <w:contextualSpacing/>
        <w:jc w:val="center"/>
        <w:rPr>
          <w:rFonts w:hint="eastAsia" w:eastAsia="宋体"/>
          <w:lang w:eastAsia="zh-CN"/>
        </w:rPr>
      </w:pPr>
    </w:p>
    <w:p w14:paraId="7A2F962B">
      <w:pPr>
        <w:spacing w:line="520" w:lineRule="exact"/>
        <w:contextualSpacing/>
        <w:jc w:val="center"/>
        <w:rPr>
          <w:rFonts w:hint="eastAsia" w:eastAsia="宋体"/>
          <w:lang w:eastAsia="zh-CN"/>
        </w:rPr>
      </w:pPr>
    </w:p>
    <w:p w14:paraId="1F167A20">
      <w:pPr>
        <w:spacing w:line="520" w:lineRule="exact"/>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CA1E">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posOffset>4815840</wp:posOffset>
              </wp:positionH>
              <wp:positionV relativeFrom="paragraph">
                <wp:posOffset>-264160</wp:posOffset>
              </wp:positionV>
              <wp:extent cx="711835" cy="2305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39980FD5">
                          <w:pPr>
                            <w:pStyle w:val="4"/>
                            <w:wordWrap w:val="0"/>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w:t>
                          </w:r>
                          <w:r>
                            <w:rPr>
                              <w:rFonts w:hint="eastAsia"/>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left:379.2pt;margin-top:-20.8pt;height:18.15pt;width:56.05pt;mso-position-horizontal-relative:margin;mso-wrap-style:none;z-index:251659264;mso-width-relative:page;mso-height-relative:page;" filled="f" stroked="f" coordsize="21600,21600" o:gfxdata="UEsDBAoAAAAAAIdO4kAAAAAAAAAAAAAAAAAEAAAAZHJzL1BLAwQUAAAACACHTuJAm3dpj9YAAAAK&#10;AQAADwAAAGRycy9kb3ducmV2LnhtbE2PPU/DMBCGdyT+g3VIbK0daNooxOlQiYWNgiqxufE1jvBH&#10;ZLtp8u85Jhjv7tVzz9vsZ2fZhDENwUso1gIY+i7owfcSPj9eVxWwlJXXygaPEhZMsG/v7xpV63Dz&#10;7zgdc88I4lOtJJicx5rz1Bl0Kq3DiJ5ulxCdyjTGnuuobgR3lj8JseVODZ4+GDXiwWD3fbw6Cbv5&#10;FHBMeMCvy9RFMyyVfVukfHwoxAuwjHP+C8OvPqlDS07ncPU6MUuMstpQVMJqU2yBUaLaiRLYmTbl&#10;M/C24f8rtD9QSwMEFAAAAAgAh07iQPjy34zGAQAAjQMAAA4AAABkcnMvZTJvRG9jLnhtbK1TzY7T&#10;MBC+I/EOlu/UaVeFVdR0BaoWISFAWngA17EbS/6Tx23SF4A34MSFO8/V52DspF3YvexhL854ZvLN&#10;fN+MVzeDNeQgI2jvGjqfVZRIJ3yr3a6h377evrqmBBJ3LTfeyYYeJdCb9csXqz7UcuE7b1oZCYI4&#10;qPvQ0C6lUDMGopOWw8wH6TCofLQ84TXuWBt5j+jWsEVVvWa9j22IXkgA9G7GIJ0Q41MAvVJayI0X&#10;eytdGlGjNDwhJeh0ALou3SolRfqsFMhETEORaSonFkF7m0+2XvF6F3notJha4E9p4QEny7XDoheo&#10;DU+c7KN+BGW1iB68SjPhLRuJFEWQxbx6oM1dx4MsXFBqCBfR4flgxafDl0h0i5uAkjhuceKnnz9O&#10;v/6cfn8n6EOB+gA15t0FzEzDOz9g8tkP6My8BxVt/iIjgnHEOl7klUMiAp1v5vPrqyUlAkOLq2pZ&#10;LTMKu/85REjvpbckGw2NOL0iKj98hDSmnlNyLedvtTFlgsb950DM7GG587HDbKVhO0x0tr49Ipse&#10;B99Qh3tOifngUNe8I2cjno3tZOQaEN7uExYu/WTUEWoqhlMqjKaNymvw771k3b+i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d2mP1gAAAAoBAAAPAAAAAAAAAAEAIAAAACIAAABkcnMvZG93bnJl&#10;di54bWxQSwECFAAUAAAACACHTuJA+PLfjMYBAACNAwAADgAAAAAAAAABACAAAAAlAQAAZHJzL2Uy&#10;b0RvYy54bWxQSwUGAAAAAAYABgBZAQAAXQUAAAAA&#10;">
              <v:fill on="f" focussize="0,0"/>
              <v:stroke on="f"/>
              <v:imagedata o:title=""/>
              <o:lock v:ext="edit" aspectratio="f"/>
              <v:textbox inset="0mm,0mm,0mm,0mm" style="mso-fit-shape-to-text:t;">
                <w:txbxContent>
                  <w:p w14:paraId="39980FD5">
                    <w:pPr>
                      <w:pStyle w:val="4"/>
                      <w:wordWrap w:val="0"/>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9B6D">
    <w:pPr>
      <w:pStyle w:val="4"/>
      <w:ind w:right="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-284480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B94CFC">
                          <w:pPr>
                            <w:pStyle w:val="4"/>
                            <w:rPr>
                              <w:rStyle w:val="10"/>
                              <w:sz w:val="28"/>
                              <w:szCs w:val="28"/>
                            </w:rPr>
                          </w:pPr>
                          <w:r>
                            <w:rPr>
                              <w:rStyle w:val="10"/>
                              <w:rFonts w:hint="eastAsia"/>
                              <w:color w:val="FFFFFF"/>
                              <w:sz w:val="28"/>
                              <w:szCs w:val="28"/>
                            </w:rPr>
                            <w:t>—</w:t>
                          </w:r>
                          <w:r>
                            <w:rPr>
                              <w:rStyle w:val="10"/>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11</w:t>
                          </w:r>
                          <w:r>
                            <w:rPr>
                              <w:sz w:val="28"/>
                              <w:szCs w:val="28"/>
                            </w:rPr>
                            <w:fldChar w:fldCharType="end"/>
                          </w:r>
                          <w:r>
                            <w:rPr>
                              <w:rStyle w:val="10"/>
                              <w:rFonts w:hint="eastAsia"/>
                              <w:sz w:val="28"/>
                              <w:szCs w:val="28"/>
                            </w:rPr>
                            <w:t>—</w:t>
                          </w:r>
                        </w:p>
                        <w:p w14:paraId="0DCB0F6E"/>
                      </w:txbxContent>
                    </wps:txbx>
                    <wps:bodyPr wrap="none" lIns="0" tIns="0" rIns="0" bIns="0">
                      <a:spAutoFit/>
                    </wps:bodyPr>
                  </wps:wsp>
                </a:graphicData>
              </a:graphic>
            </wp:anchor>
          </w:drawing>
        </mc:Choice>
        <mc:Fallback>
          <w:pict>
            <v:shape id="_x0000_s1026" o:spid="_x0000_s1026" o:spt="202" type="#_x0000_t202" style="position:absolute;left:0pt;margin-left:0pt;margin-top:-22.4pt;height:144pt;width:144pt;mso-position-horizontal-relative:margin;mso-wrap-style:none;z-index:251660288;mso-width-relative:page;mso-height-relative:page;" filled="f" stroked="f" coordsize="21600,21600" o:gfxdata="UEsDBAoAAAAAAIdO4kAAAAAAAAAAAAAAAAAEAAAAZHJzL1BLAwQUAAAACACHTuJAjPrpltQAAAAI&#10;AQAADwAAAGRycy9kb3ducmV2LnhtbE2PMU/DMBCFdyT+g3VIbK3TEEEU4nSoxMJGQUhsbnyNI+xz&#10;ZLtp8u85Jtju7j29+167X7wTM8Y0BlKw2xYgkPpgRhoUfLy/bGoQKWsy2gVCBSsm2He3N61uTLjS&#10;G87HPAgOodRoBTbnqZEy9Ra9TtswIbF2DtHrzGscpIn6yuHeybIoHqXXI/EHqyc8WOy/jxev4Gn5&#10;DDglPODXee6jHdfava5K3d/timcQGZf8Z4ZffEaHjplO4UImCaeAi2QFm6riAiyXdc2XEw/VQwmy&#10;a+X/At0PUEsDBBQAAAAIAIdO4kCbutcQwgEAAI0DAAAOAAAAZHJzL2Uyb0RvYy54bWytU8Fu2zAM&#10;vQ/oPwi6N3ZyGAIjTtEh6DCg6AZ0+wBFlmIBkiiISuz8wPYHO+2y+74r3zHKdtKuu/TQi0yR1CPf&#10;I7266Z1lBxXRgK/5fFZypryExvhdzb99vbtecoZJ+EZY8KrmR4X8Zn31btWFSi2gBduoyAjEY9WF&#10;mrcphaooULbKCZxBUJ6CGqITia5xVzRRdITubLEoy/dFB7EJEaRCJO9mDPIJMb4GELQ2Um1A7p3y&#10;aUSNyopElLA1Afl66FZrJdNnrVElZmtOTNNwUhGyt/ks1itR7aIIrZFTC+I1Lbzg5ITxVPQCtRFJ&#10;sH00/0E5IyMg6DST4IqRyKAIsZiXL7R5bEVQAxeSGsNFdHw7WPlw+BKZaWgTOPPC0cBPP3+cfv05&#10;/f7O5lmeLmBFWY+B8lL/AfqcOvmRnJl1r6PLX+LDKE7iHi/iqj4xmR8tF8tlSSFJsfOFcIqn5yFi&#10;+qjAsWzUPNL0BlHF4R7TmHpOydU83BlryS8q6/9xEGb2FLn3scdspX7bT41voTkSn44GX3NPe86Z&#10;/eRJ17wjZyOeje1k5BoYbveJCg/9ZNQRaipGUxoYTRuV1+D5fch6+o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umW1AAAAAgBAAAPAAAAAAAAAAEAIAAAACIAAABkcnMvZG93bnJldi54bWxQ&#10;SwECFAAUAAAACACHTuJAm7rXEMIBAACNAwAADgAAAAAAAAABACAAAAAjAQAAZHJzL2Uyb0RvYy54&#10;bWxQSwUGAAAAAAYABgBZAQAAVwUAAAAA&#10;">
              <v:fill on="f" focussize="0,0"/>
              <v:stroke on="f"/>
              <v:imagedata o:title=""/>
              <o:lock v:ext="edit" aspectratio="f"/>
              <v:textbox inset="0mm,0mm,0mm,0mm" style="mso-fit-shape-to-text:t;">
                <w:txbxContent>
                  <w:p w14:paraId="06B94CFC">
                    <w:pPr>
                      <w:pStyle w:val="4"/>
                      <w:rPr>
                        <w:rStyle w:val="10"/>
                        <w:sz w:val="28"/>
                        <w:szCs w:val="28"/>
                      </w:rPr>
                    </w:pPr>
                    <w:r>
                      <w:rPr>
                        <w:rStyle w:val="10"/>
                        <w:rFonts w:hint="eastAsia"/>
                        <w:color w:val="FFFFFF"/>
                        <w:sz w:val="28"/>
                        <w:szCs w:val="28"/>
                      </w:rPr>
                      <w:t>—</w:t>
                    </w:r>
                    <w:r>
                      <w:rPr>
                        <w:rStyle w:val="10"/>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11</w:t>
                    </w:r>
                    <w:r>
                      <w:rPr>
                        <w:sz w:val="28"/>
                        <w:szCs w:val="28"/>
                      </w:rPr>
                      <w:fldChar w:fldCharType="end"/>
                    </w:r>
                    <w:r>
                      <w:rPr>
                        <w:rStyle w:val="10"/>
                        <w:rFonts w:hint="eastAsia"/>
                        <w:sz w:val="28"/>
                        <w:szCs w:val="28"/>
                      </w:rPr>
                      <w:t>—</w:t>
                    </w:r>
                  </w:p>
                  <w:p w14:paraId="0DCB0F6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D668">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DDEE2">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4D5DDEE2">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70"/>
    <w:rsid w:val="00002270"/>
    <w:rsid w:val="00003061"/>
    <w:rsid w:val="0000499C"/>
    <w:rsid w:val="0000572B"/>
    <w:rsid w:val="00011CEF"/>
    <w:rsid w:val="00012022"/>
    <w:rsid w:val="00026880"/>
    <w:rsid w:val="00026A29"/>
    <w:rsid w:val="00031F37"/>
    <w:rsid w:val="0003205F"/>
    <w:rsid w:val="00040727"/>
    <w:rsid w:val="00044959"/>
    <w:rsid w:val="00044F3B"/>
    <w:rsid w:val="000454ED"/>
    <w:rsid w:val="00045700"/>
    <w:rsid w:val="00047556"/>
    <w:rsid w:val="00051FE9"/>
    <w:rsid w:val="00056880"/>
    <w:rsid w:val="00066C92"/>
    <w:rsid w:val="00071573"/>
    <w:rsid w:val="00077E69"/>
    <w:rsid w:val="000804A5"/>
    <w:rsid w:val="000807EB"/>
    <w:rsid w:val="00081940"/>
    <w:rsid w:val="00081EB5"/>
    <w:rsid w:val="00082D3B"/>
    <w:rsid w:val="00087FDC"/>
    <w:rsid w:val="00091E40"/>
    <w:rsid w:val="00092190"/>
    <w:rsid w:val="00093F66"/>
    <w:rsid w:val="00094351"/>
    <w:rsid w:val="00094BB1"/>
    <w:rsid w:val="00095A18"/>
    <w:rsid w:val="000A2713"/>
    <w:rsid w:val="000A2A3C"/>
    <w:rsid w:val="000A586D"/>
    <w:rsid w:val="000B0925"/>
    <w:rsid w:val="000B1850"/>
    <w:rsid w:val="000B46B9"/>
    <w:rsid w:val="000B5627"/>
    <w:rsid w:val="000C2F07"/>
    <w:rsid w:val="000C391D"/>
    <w:rsid w:val="000C39BB"/>
    <w:rsid w:val="000C5CA6"/>
    <w:rsid w:val="000E2116"/>
    <w:rsid w:val="000E239C"/>
    <w:rsid w:val="000E49A2"/>
    <w:rsid w:val="000E52EE"/>
    <w:rsid w:val="000E55E7"/>
    <w:rsid w:val="000E64E3"/>
    <w:rsid w:val="000F0269"/>
    <w:rsid w:val="000F1FBA"/>
    <w:rsid w:val="000F2153"/>
    <w:rsid w:val="000F322F"/>
    <w:rsid w:val="000F60E7"/>
    <w:rsid w:val="00101C2A"/>
    <w:rsid w:val="00104E06"/>
    <w:rsid w:val="00110DF3"/>
    <w:rsid w:val="00127F71"/>
    <w:rsid w:val="00130C23"/>
    <w:rsid w:val="0013587E"/>
    <w:rsid w:val="0014026B"/>
    <w:rsid w:val="00143807"/>
    <w:rsid w:val="0014663D"/>
    <w:rsid w:val="00150837"/>
    <w:rsid w:val="00151403"/>
    <w:rsid w:val="00154A17"/>
    <w:rsid w:val="00162A70"/>
    <w:rsid w:val="0016436C"/>
    <w:rsid w:val="00167FD4"/>
    <w:rsid w:val="001703F1"/>
    <w:rsid w:val="00170730"/>
    <w:rsid w:val="00171A1D"/>
    <w:rsid w:val="0017257B"/>
    <w:rsid w:val="001815E3"/>
    <w:rsid w:val="0018656D"/>
    <w:rsid w:val="00187FDB"/>
    <w:rsid w:val="00190774"/>
    <w:rsid w:val="00192F5D"/>
    <w:rsid w:val="00194C79"/>
    <w:rsid w:val="00196BF4"/>
    <w:rsid w:val="001A08BC"/>
    <w:rsid w:val="001A2727"/>
    <w:rsid w:val="001A4631"/>
    <w:rsid w:val="001A4EC4"/>
    <w:rsid w:val="001A55C3"/>
    <w:rsid w:val="001A7248"/>
    <w:rsid w:val="001A7EE8"/>
    <w:rsid w:val="001B02C2"/>
    <w:rsid w:val="001B320B"/>
    <w:rsid w:val="001B4D31"/>
    <w:rsid w:val="001B7249"/>
    <w:rsid w:val="001C0B98"/>
    <w:rsid w:val="001C48F7"/>
    <w:rsid w:val="001C64B9"/>
    <w:rsid w:val="001C6DAF"/>
    <w:rsid w:val="001D3353"/>
    <w:rsid w:val="001D478B"/>
    <w:rsid w:val="001D5056"/>
    <w:rsid w:val="001D5E6D"/>
    <w:rsid w:val="001E38C8"/>
    <w:rsid w:val="001E39E6"/>
    <w:rsid w:val="001E3C72"/>
    <w:rsid w:val="001F0957"/>
    <w:rsid w:val="001F26E4"/>
    <w:rsid w:val="001F3DDE"/>
    <w:rsid w:val="001F5553"/>
    <w:rsid w:val="001F660C"/>
    <w:rsid w:val="001F7F71"/>
    <w:rsid w:val="00202BC1"/>
    <w:rsid w:val="00205425"/>
    <w:rsid w:val="00207BCA"/>
    <w:rsid w:val="002104D8"/>
    <w:rsid w:val="00210EB8"/>
    <w:rsid w:val="0021328C"/>
    <w:rsid w:val="00217520"/>
    <w:rsid w:val="00220E67"/>
    <w:rsid w:val="00222FEE"/>
    <w:rsid w:val="00225764"/>
    <w:rsid w:val="002259F9"/>
    <w:rsid w:val="002356E9"/>
    <w:rsid w:val="00236916"/>
    <w:rsid w:val="0023695C"/>
    <w:rsid w:val="00236E2B"/>
    <w:rsid w:val="0024188A"/>
    <w:rsid w:val="00243AA2"/>
    <w:rsid w:val="002473C5"/>
    <w:rsid w:val="0025267F"/>
    <w:rsid w:val="0025451B"/>
    <w:rsid w:val="002605D7"/>
    <w:rsid w:val="00261AEF"/>
    <w:rsid w:val="00262232"/>
    <w:rsid w:val="00262EE9"/>
    <w:rsid w:val="00263884"/>
    <w:rsid w:val="002654EC"/>
    <w:rsid w:val="00270AEA"/>
    <w:rsid w:val="00271922"/>
    <w:rsid w:val="0027477D"/>
    <w:rsid w:val="0027477E"/>
    <w:rsid w:val="00274D68"/>
    <w:rsid w:val="002764B8"/>
    <w:rsid w:val="00277C3B"/>
    <w:rsid w:val="00285AFE"/>
    <w:rsid w:val="00287F0F"/>
    <w:rsid w:val="00292F9F"/>
    <w:rsid w:val="002935A5"/>
    <w:rsid w:val="00295CB9"/>
    <w:rsid w:val="002A2011"/>
    <w:rsid w:val="002A2A9F"/>
    <w:rsid w:val="002A6542"/>
    <w:rsid w:val="002A77C7"/>
    <w:rsid w:val="002B0C3C"/>
    <w:rsid w:val="002B7E3C"/>
    <w:rsid w:val="002C04E4"/>
    <w:rsid w:val="002C2B30"/>
    <w:rsid w:val="002C41A5"/>
    <w:rsid w:val="002C437C"/>
    <w:rsid w:val="002C5614"/>
    <w:rsid w:val="002C56ED"/>
    <w:rsid w:val="002D2036"/>
    <w:rsid w:val="002D6CE9"/>
    <w:rsid w:val="002D7391"/>
    <w:rsid w:val="002E01F8"/>
    <w:rsid w:val="002E7E19"/>
    <w:rsid w:val="002F0959"/>
    <w:rsid w:val="002F1E92"/>
    <w:rsid w:val="002F241C"/>
    <w:rsid w:val="003003CC"/>
    <w:rsid w:val="00300914"/>
    <w:rsid w:val="00301775"/>
    <w:rsid w:val="003018AB"/>
    <w:rsid w:val="00301A08"/>
    <w:rsid w:val="003025B1"/>
    <w:rsid w:val="003033F2"/>
    <w:rsid w:val="0030410A"/>
    <w:rsid w:val="00306B0A"/>
    <w:rsid w:val="0030720D"/>
    <w:rsid w:val="00307AD4"/>
    <w:rsid w:val="0032045F"/>
    <w:rsid w:val="00321E98"/>
    <w:rsid w:val="00325953"/>
    <w:rsid w:val="00325FE3"/>
    <w:rsid w:val="00336484"/>
    <w:rsid w:val="00340D1D"/>
    <w:rsid w:val="00342947"/>
    <w:rsid w:val="00344ECC"/>
    <w:rsid w:val="003501CB"/>
    <w:rsid w:val="00360F88"/>
    <w:rsid w:val="003632FE"/>
    <w:rsid w:val="003717E9"/>
    <w:rsid w:val="00373EEC"/>
    <w:rsid w:val="003831BF"/>
    <w:rsid w:val="0038346A"/>
    <w:rsid w:val="00386F75"/>
    <w:rsid w:val="003909B9"/>
    <w:rsid w:val="0039181B"/>
    <w:rsid w:val="0039570E"/>
    <w:rsid w:val="00396494"/>
    <w:rsid w:val="003A0163"/>
    <w:rsid w:val="003A446F"/>
    <w:rsid w:val="003A64CB"/>
    <w:rsid w:val="003A6DB3"/>
    <w:rsid w:val="003A6F46"/>
    <w:rsid w:val="003B7EF0"/>
    <w:rsid w:val="003C18F8"/>
    <w:rsid w:val="003C264B"/>
    <w:rsid w:val="003C4969"/>
    <w:rsid w:val="003C6FFC"/>
    <w:rsid w:val="003D0742"/>
    <w:rsid w:val="003D2FD0"/>
    <w:rsid w:val="003D38F4"/>
    <w:rsid w:val="003D4288"/>
    <w:rsid w:val="003D437B"/>
    <w:rsid w:val="003E22EF"/>
    <w:rsid w:val="003E2DA2"/>
    <w:rsid w:val="003E4752"/>
    <w:rsid w:val="003E49ED"/>
    <w:rsid w:val="003F076A"/>
    <w:rsid w:val="003F5E8A"/>
    <w:rsid w:val="00405662"/>
    <w:rsid w:val="004116C5"/>
    <w:rsid w:val="00411CD7"/>
    <w:rsid w:val="00416496"/>
    <w:rsid w:val="00422AC5"/>
    <w:rsid w:val="00425EEE"/>
    <w:rsid w:val="00426211"/>
    <w:rsid w:val="0043033A"/>
    <w:rsid w:val="0043102D"/>
    <w:rsid w:val="00431416"/>
    <w:rsid w:val="004428E8"/>
    <w:rsid w:val="00444128"/>
    <w:rsid w:val="00444165"/>
    <w:rsid w:val="00450A52"/>
    <w:rsid w:val="0045135A"/>
    <w:rsid w:val="004564FF"/>
    <w:rsid w:val="004600EB"/>
    <w:rsid w:val="00460B2D"/>
    <w:rsid w:val="004626DC"/>
    <w:rsid w:val="0046280E"/>
    <w:rsid w:val="00464038"/>
    <w:rsid w:val="00464A86"/>
    <w:rsid w:val="00471BE6"/>
    <w:rsid w:val="00472676"/>
    <w:rsid w:val="00472BB5"/>
    <w:rsid w:val="00472EE2"/>
    <w:rsid w:val="00476AE8"/>
    <w:rsid w:val="0048444D"/>
    <w:rsid w:val="004901A0"/>
    <w:rsid w:val="0049616E"/>
    <w:rsid w:val="00497D20"/>
    <w:rsid w:val="004A1ACB"/>
    <w:rsid w:val="004A7C22"/>
    <w:rsid w:val="004B2DF4"/>
    <w:rsid w:val="004B453D"/>
    <w:rsid w:val="004B6A5D"/>
    <w:rsid w:val="004C0FD5"/>
    <w:rsid w:val="004C10FD"/>
    <w:rsid w:val="004C1B20"/>
    <w:rsid w:val="004C25B2"/>
    <w:rsid w:val="004C34FC"/>
    <w:rsid w:val="004C4228"/>
    <w:rsid w:val="004C552E"/>
    <w:rsid w:val="004D18DD"/>
    <w:rsid w:val="004D4F1F"/>
    <w:rsid w:val="004E12A1"/>
    <w:rsid w:val="004E2D34"/>
    <w:rsid w:val="004E306D"/>
    <w:rsid w:val="004F046F"/>
    <w:rsid w:val="004F43FA"/>
    <w:rsid w:val="004F626B"/>
    <w:rsid w:val="00501248"/>
    <w:rsid w:val="00501688"/>
    <w:rsid w:val="0051242A"/>
    <w:rsid w:val="005153BA"/>
    <w:rsid w:val="00517CB9"/>
    <w:rsid w:val="0052371B"/>
    <w:rsid w:val="0052537C"/>
    <w:rsid w:val="005265FF"/>
    <w:rsid w:val="0053591C"/>
    <w:rsid w:val="00541033"/>
    <w:rsid w:val="00542C5D"/>
    <w:rsid w:val="0054570D"/>
    <w:rsid w:val="00545D71"/>
    <w:rsid w:val="00552380"/>
    <w:rsid w:val="005565FC"/>
    <w:rsid w:val="00563A3D"/>
    <w:rsid w:val="00565F86"/>
    <w:rsid w:val="00566523"/>
    <w:rsid w:val="00566F66"/>
    <w:rsid w:val="00573DA5"/>
    <w:rsid w:val="00574DD2"/>
    <w:rsid w:val="0057596A"/>
    <w:rsid w:val="00582B23"/>
    <w:rsid w:val="005902BE"/>
    <w:rsid w:val="00594095"/>
    <w:rsid w:val="005941C6"/>
    <w:rsid w:val="0059657B"/>
    <w:rsid w:val="00596FDA"/>
    <w:rsid w:val="005A254C"/>
    <w:rsid w:val="005A7506"/>
    <w:rsid w:val="005B5B63"/>
    <w:rsid w:val="005B5E3E"/>
    <w:rsid w:val="005C25E9"/>
    <w:rsid w:val="005C3697"/>
    <w:rsid w:val="005C4967"/>
    <w:rsid w:val="005C58F7"/>
    <w:rsid w:val="005C63DF"/>
    <w:rsid w:val="005D3069"/>
    <w:rsid w:val="005D320A"/>
    <w:rsid w:val="005D50D1"/>
    <w:rsid w:val="005D6A87"/>
    <w:rsid w:val="005D6CA3"/>
    <w:rsid w:val="005E3128"/>
    <w:rsid w:val="005F1F38"/>
    <w:rsid w:val="005F6AC2"/>
    <w:rsid w:val="005F7234"/>
    <w:rsid w:val="00600BB7"/>
    <w:rsid w:val="00605454"/>
    <w:rsid w:val="00605FF8"/>
    <w:rsid w:val="006108FB"/>
    <w:rsid w:val="00610A3D"/>
    <w:rsid w:val="00621A34"/>
    <w:rsid w:val="006222EB"/>
    <w:rsid w:val="0062448F"/>
    <w:rsid w:val="006308D8"/>
    <w:rsid w:val="00632499"/>
    <w:rsid w:val="00632693"/>
    <w:rsid w:val="006329AD"/>
    <w:rsid w:val="00632E4B"/>
    <w:rsid w:val="0063565B"/>
    <w:rsid w:val="0063702B"/>
    <w:rsid w:val="00640E84"/>
    <w:rsid w:val="006457C9"/>
    <w:rsid w:val="00651F68"/>
    <w:rsid w:val="00656DFA"/>
    <w:rsid w:val="00656F61"/>
    <w:rsid w:val="006644B0"/>
    <w:rsid w:val="00670A4F"/>
    <w:rsid w:val="006734A0"/>
    <w:rsid w:val="00673DDF"/>
    <w:rsid w:val="006741BD"/>
    <w:rsid w:val="006778BE"/>
    <w:rsid w:val="00680396"/>
    <w:rsid w:val="0068039E"/>
    <w:rsid w:val="0068312B"/>
    <w:rsid w:val="0068644E"/>
    <w:rsid w:val="00686A7F"/>
    <w:rsid w:val="00690F45"/>
    <w:rsid w:val="00692996"/>
    <w:rsid w:val="00696F15"/>
    <w:rsid w:val="006A55CA"/>
    <w:rsid w:val="006A5CA2"/>
    <w:rsid w:val="006A64CA"/>
    <w:rsid w:val="006A7F16"/>
    <w:rsid w:val="006C0399"/>
    <w:rsid w:val="006C093A"/>
    <w:rsid w:val="006C42F0"/>
    <w:rsid w:val="006D246C"/>
    <w:rsid w:val="006D4A0A"/>
    <w:rsid w:val="006E150F"/>
    <w:rsid w:val="006E286A"/>
    <w:rsid w:val="006E4BC7"/>
    <w:rsid w:val="006E63D4"/>
    <w:rsid w:val="006F029E"/>
    <w:rsid w:val="006F1D19"/>
    <w:rsid w:val="006F361A"/>
    <w:rsid w:val="007027C7"/>
    <w:rsid w:val="007048DC"/>
    <w:rsid w:val="00704BD1"/>
    <w:rsid w:val="00713FDC"/>
    <w:rsid w:val="00715DB8"/>
    <w:rsid w:val="007166D4"/>
    <w:rsid w:val="00723E9A"/>
    <w:rsid w:val="00724896"/>
    <w:rsid w:val="00727D1B"/>
    <w:rsid w:val="0073003B"/>
    <w:rsid w:val="00736A09"/>
    <w:rsid w:val="007379D5"/>
    <w:rsid w:val="0074235C"/>
    <w:rsid w:val="00742D60"/>
    <w:rsid w:val="007437AA"/>
    <w:rsid w:val="00744BBC"/>
    <w:rsid w:val="00756FFA"/>
    <w:rsid w:val="0075730C"/>
    <w:rsid w:val="0076197A"/>
    <w:rsid w:val="007624E9"/>
    <w:rsid w:val="00762E16"/>
    <w:rsid w:val="0076471C"/>
    <w:rsid w:val="0077026E"/>
    <w:rsid w:val="00770501"/>
    <w:rsid w:val="007716E0"/>
    <w:rsid w:val="00773164"/>
    <w:rsid w:val="00773E49"/>
    <w:rsid w:val="00774282"/>
    <w:rsid w:val="00774B0C"/>
    <w:rsid w:val="007759A4"/>
    <w:rsid w:val="0078187E"/>
    <w:rsid w:val="007820A7"/>
    <w:rsid w:val="007829E6"/>
    <w:rsid w:val="00782E66"/>
    <w:rsid w:val="00791D70"/>
    <w:rsid w:val="00792746"/>
    <w:rsid w:val="00792D32"/>
    <w:rsid w:val="0079452A"/>
    <w:rsid w:val="007A3630"/>
    <w:rsid w:val="007B0012"/>
    <w:rsid w:val="007C2FF2"/>
    <w:rsid w:val="007C5627"/>
    <w:rsid w:val="007D3E49"/>
    <w:rsid w:val="007D52B0"/>
    <w:rsid w:val="007D68F6"/>
    <w:rsid w:val="007E1400"/>
    <w:rsid w:val="007E21D3"/>
    <w:rsid w:val="007E3D97"/>
    <w:rsid w:val="007E48F6"/>
    <w:rsid w:val="007E4D95"/>
    <w:rsid w:val="007E5746"/>
    <w:rsid w:val="007F433F"/>
    <w:rsid w:val="007F5A25"/>
    <w:rsid w:val="007F6D1E"/>
    <w:rsid w:val="008000AC"/>
    <w:rsid w:val="00801BFD"/>
    <w:rsid w:val="00804EA0"/>
    <w:rsid w:val="00805413"/>
    <w:rsid w:val="008057D6"/>
    <w:rsid w:val="00805DF5"/>
    <w:rsid w:val="00806C12"/>
    <w:rsid w:val="00810B15"/>
    <w:rsid w:val="008134EE"/>
    <w:rsid w:val="00820086"/>
    <w:rsid w:val="00824C47"/>
    <w:rsid w:val="00825010"/>
    <w:rsid w:val="00827956"/>
    <w:rsid w:val="0083148B"/>
    <w:rsid w:val="00831BD9"/>
    <w:rsid w:val="00831E79"/>
    <w:rsid w:val="00836FA9"/>
    <w:rsid w:val="0084389A"/>
    <w:rsid w:val="0085458D"/>
    <w:rsid w:val="00855860"/>
    <w:rsid w:val="00856271"/>
    <w:rsid w:val="00857A57"/>
    <w:rsid w:val="00857BA4"/>
    <w:rsid w:val="008622D1"/>
    <w:rsid w:val="00862FD7"/>
    <w:rsid w:val="00863759"/>
    <w:rsid w:val="00865093"/>
    <w:rsid w:val="00866652"/>
    <w:rsid w:val="008677AF"/>
    <w:rsid w:val="00872FD1"/>
    <w:rsid w:val="0087460E"/>
    <w:rsid w:val="008756B9"/>
    <w:rsid w:val="00876B6C"/>
    <w:rsid w:val="00880B78"/>
    <w:rsid w:val="00881881"/>
    <w:rsid w:val="00882D3E"/>
    <w:rsid w:val="00884B07"/>
    <w:rsid w:val="00894F24"/>
    <w:rsid w:val="00897B15"/>
    <w:rsid w:val="008A51CC"/>
    <w:rsid w:val="008A5BE7"/>
    <w:rsid w:val="008B1023"/>
    <w:rsid w:val="008B19BF"/>
    <w:rsid w:val="008B32B0"/>
    <w:rsid w:val="008B4452"/>
    <w:rsid w:val="008C4D89"/>
    <w:rsid w:val="008C510A"/>
    <w:rsid w:val="008D0C93"/>
    <w:rsid w:val="008D3833"/>
    <w:rsid w:val="008E2331"/>
    <w:rsid w:val="008E7369"/>
    <w:rsid w:val="008E7EB4"/>
    <w:rsid w:val="008F1940"/>
    <w:rsid w:val="008F2C39"/>
    <w:rsid w:val="008F5071"/>
    <w:rsid w:val="008F6E82"/>
    <w:rsid w:val="009072EF"/>
    <w:rsid w:val="009155ED"/>
    <w:rsid w:val="009206F1"/>
    <w:rsid w:val="00923594"/>
    <w:rsid w:val="0092470E"/>
    <w:rsid w:val="009272F7"/>
    <w:rsid w:val="009306B5"/>
    <w:rsid w:val="009465F9"/>
    <w:rsid w:val="009467FB"/>
    <w:rsid w:val="009504DC"/>
    <w:rsid w:val="00951073"/>
    <w:rsid w:val="00951E0A"/>
    <w:rsid w:val="009538AD"/>
    <w:rsid w:val="00966101"/>
    <w:rsid w:val="00972792"/>
    <w:rsid w:val="009854EE"/>
    <w:rsid w:val="00987E8C"/>
    <w:rsid w:val="009918D4"/>
    <w:rsid w:val="00992AB0"/>
    <w:rsid w:val="0099772B"/>
    <w:rsid w:val="009A30D9"/>
    <w:rsid w:val="009A3D71"/>
    <w:rsid w:val="009A4471"/>
    <w:rsid w:val="009A7670"/>
    <w:rsid w:val="009B0B3C"/>
    <w:rsid w:val="009B1EB4"/>
    <w:rsid w:val="009B219F"/>
    <w:rsid w:val="009B2B93"/>
    <w:rsid w:val="009C63E3"/>
    <w:rsid w:val="009C645A"/>
    <w:rsid w:val="009D2EBA"/>
    <w:rsid w:val="009D2F89"/>
    <w:rsid w:val="009D310E"/>
    <w:rsid w:val="009D3AE6"/>
    <w:rsid w:val="009D46E6"/>
    <w:rsid w:val="009E100C"/>
    <w:rsid w:val="009E10BC"/>
    <w:rsid w:val="009E2A25"/>
    <w:rsid w:val="009E5524"/>
    <w:rsid w:val="009E5B84"/>
    <w:rsid w:val="009F101D"/>
    <w:rsid w:val="009F2370"/>
    <w:rsid w:val="009F3F88"/>
    <w:rsid w:val="009F7583"/>
    <w:rsid w:val="00A000F0"/>
    <w:rsid w:val="00A0181F"/>
    <w:rsid w:val="00A02643"/>
    <w:rsid w:val="00A02D42"/>
    <w:rsid w:val="00A053F7"/>
    <w:rsid w:val="00A0687A"/>
    <w:rsid w:val="00A0692A"/>
    <w:rsid w:val="00A22D7B"/>
    <w:rsid w:val="00A2341E"/>
    <w:rsid w:val="00A23DD2"/>
    <w:rsid w:val="00A307D6"/>
    <w:rsid w:val="00A33CD8"/>
    <w:rsid w:val="00A40145"/>
    <w:rsid w:val="00A40858"/>
    <w:rsid w:val="00A430DB"/>
    <w:rsid w:val="00A46620"/>
    <w:rsid w:val="00A527C1"/>
    <w:rsid w:val="00A5762A"/>
    <w:rsid w:val="00A61050"/>
    <w:rsid w:val="00A63285"/>
    <w:rsid w:val="00A63604"/>
    <w:rsid w:val="00A64614"/>
    <w:rsid w:val="00A65D35"/>
    <w:rsid w:val="00A777AB"/>
    <w:rsid w:val="00A814DE"/>
    <w:rsid w:val="00A832F1"/>
    <w:rsid w:val="00A83587"/>
    <w:rsid w:val="00A85307"/>
    <w:rsid w:val="00A865F5"/>
    <w:rsid w:val="00A932DA"/>
    <w:rsid w:val="00A94D24"/>
    <w:rsid w:val="00A952B5"/>
    <w:rsid w:val="00AA0195"/>
    <w:rsid w:val="00AA0A5F"/>
    <w:rsid w:val="00AA113A"/>
    <w:rsid w:val="00AA2DA6"/>
    <w:rsid w:val="00AB0240"/>
    <w:rsid w:val="00AB0981"/>
    <w:rsid w:val="00AB5618"/>
    <w:rsid w:val="00AB654C"/>
    <w:rsid w:val="00AB6C5B"/>
    <w:rsid w:val="00AC3754"/>
    <w:rsid w:val="00AC4CB5"/>
    <w:rsid w:val="00AC5415"/>
    <w:rsid w:val="00AC73B3"/>
    <w:rsid w:val="00AD1BC6"/>
    <w:rsid w:val="00AE0AA4"/>
    <w:rsid w:val="00AE487D"/>
    <w:rsid w:val="00AE4FC0"/>
    <w:rsid w:val="00AE50EA"/>
    <w:rsid w:val="00AE584F"/>
    <w:rsid w:val="00AE5D22"/>
    <w:rsid w:val="00AE5EF9"/>
    <w:rsid w:val="00AE63DA"/>
    <w:rsid w:val="00AF0FEE"/>
    <w:rsid w:val="00AF1B86"/>
    <w:rsid w:val="00AF7FD0"/>
    <w:rsid w:val="00B0488C"/>
    <w:rsid w:val="00B051BF"/>
    <w:rsid w:val="00B116B7"/>
    <w:rsid w:val="00B1530B"/>
    <w:rsid w:val="00B158FD"/>
    <w:rsid w:val="00B16E18"/>
    <w:rsid w:val="00B22AB4"/>
    <w:rsid w:val="00B23859"/>
    <w:rsid w:val="00B2431E"/>
    <w:rsid w:val="00B2526C"/>
    <w:rsid w:val="00B34E1E"/>
    <w:rsid w:val="00B37729"/>
    <w:rsid w:val="00B41510"/>
    <w:rsid w:val="00B42605"/>
    <w:rsid w:val="00B42FF7"/>
    <w:rsid w:val="00B501C0"/>
    <w:rsid w:val="00B52D21"/>
    <w:rsid w:val="00B52DC3"/>
    <w:rsid w:val="00B531AD"/>
    <w:rsid w:val="00B539D0"/>
    <w:rsid w:val="00B53C8F"/>
    <w:rsid w:val="00B54333"/>
    <w:rsid w:val="00B55220"/>
    <w:rsid w:val="00B63FFB"/>
    <w:rsid w:val="00B642E8"/>
    <w:rsid w:val="00B65E50"/>
    <w:rsid w:val="00B70652"/>
    <w:rsid w:val="00B70E7E"/>
    <w:rsid w:val="00B711B4"/>
    <w:rsid w:val="00B728F5"/>
    <w:rsid w:val="00B76042"/>
    <w:rsid w:val="00B7647B"/>
    <w:rsid w:val="00B83088"/>
    <w:rsid w:val="00B8633B"/>
    <w:rsid w:val="00B874B1"/>
    <w:rsid w:val="00B92A4E"/>
    <w:rsid w:val="00B95950"/>
    <w:rsid w:val="00B970EF"/>
    <w:rsid w:val="00B97485"/>
    <w:rsid w:val="00BA07BB"/>
    <w:rsid w:val="00BA1578"/>
    <w:rsid w:val="00BA41CC"/>
    <w:rsid w:val="00BA4977"/>
    <w:rsid w:val="00BA7066"/>
    <w:rsid w:val="00BB0636"/>
    <w:rsid w:val="00BB28BD"/>
    <w:rsid w:val="00BB35CA"/>
    <w:rsid w:val="00BB38E5"/>
    <w:rsid w:val="00BB3F3F"/>
    <w:rsid w:val="00BC2ADA"/>
    <w:rsid w:val="00BC588E"/>
    <w:rsid w:val="00BD320A"/>
    <w:rsid w:val="00BD442A"/>
    <w:rsid w:val="00BD4C5A"/>
    <w:rsid w:val="00BD664A"/>
    <w:rsid w:val="00BD75FE"/>
    <w:rsid w:val="00BE1E08"/>
    <w:rsid w:val="00BE533E"/>
    <w:rsid w:val="00BE7902"/>
    <w:rsid w:val="00BF1630"/>
    <w:rsid w:val="00BF1EFE"/>
    <w:rsid w:val="00BF2A47"/>
    <w:rsid w:val="00BF6713"/>
    <w:rsid w:val="00C03C4D"/>
    <w:rsid w:val="00C04598"/>
    <w:rsid w:val="00C07164"/>
    <w:rsid w:val="00C10AFA"/>
    <w:rsid w:val="00C10D51"/>
    <w:rsid w:val="00C11E0B"/>
    <w:rsid w:val="00C13095"/>
    <w:rsid w:val="00C22EA3"/>
    <w:rsid w:val="00C33435"/>
    <w:rsid w:val="00C3489E"/>
    <w:rsid w:val="00C43A56"/>
    <w:rsid w:val="00C475E9"/>
    <w:rsid w:val="00C47A6E"/>
    <w:rsid w:val="00C47B37"/>
    <w:rsid w:val="00C538FA"/>
    <w:rsid w:val="00C6746D"/>
    <w:rsid w:val="00C8148D"/>
    <w:rsid w:val="00C851EF"/>
    <w:rsid w:val="00C8790F"/>
    <w:rsid w:val="00C922D6"/>
    <w:rsid w:val="00C97EDF"/>
    <w:rsid w:val="00CA39B1"/>
    <w:rsid w:val="00CA6DA4"/>
    <w:rsid w:val="00CB4A50"/>
    <w:rsid w:val="00CC26E4"/>
    <w:rsid w:val="00CC27B9"/>
    <w:rsid w:val="00CC7931"/>
    <w:rsid w:val="00CD1867"/>
    <w:rsid w:val="00CD4153"/>
    <w:rsid w:val="00CE04EC"/>
    <w:rsid w:val="00CE138F"/>
    <w:rsid w:val="00CE1F96"/>
    <w:rsid w:val="00CE442E"/>
    <w:rsid w:val="00CE658E"/>
    <w:rsid w:val="00CF0375"/>
    <w:rsid w:val="00CF154F"/>
    <w:rsid w:val="00CF2F12"/>
    <w:rsid w:val="00CF511E"/>
    <w:rsid w:val="00CF635D"/>
    <w:rsid w:val="00CF6F72"/>
    <w:rsid w:val="00D004A8"/>
    <w:rsid w:val="00D03643"/>
    <w:rsid w:val="00D13E28"/>
    <w:rsid w:val="00D15FD1"/>
    <w:rsid w:val="00D162C4"/>
    <w:rsid w:val="00D2125E"/>
    <w:rsid w:val="00D258B7"/>
    <w:rsid w:val="00D36B6A"/>
    <w:rsid w:val="00D374D3"/>
    <w:rsid w:val="00D37C0F"/>
    <w:rsid w:val="00D435DD"/>
    <w:rsid w:val="00D43CD7"/>
    <w:rsid w:val="00D44C8C"/>
    <w:rsid w:val="00D4607C"/>
    <w:rsid w:val="00D6076D"/>
    <w:rsid w:val="00D62628"/>
    <w:rsid w:val="00D6364F"/>
    <w:rsid w:val="00D652B9"/>
    <w:rsid w:val="00D71BAB"/>
    <w:rsid w:val="00D73A33"/>
    <w:rsid w:val="00D77D4F"/>
    <w:rsid w:val="00D80091"/>
    <w:rsid w:val="00D90068"/>
    <w:rsid w:val="00D9476F"/>
    <w:rsid w:val="00DA3784"/>
    <w:rsid w:val="00DB013B"/>
    <w:rsid w:val="00DB424E"/>
    <w:rsid w:val="00DB62BB"/>
    <w:rsid w:val="00DB63AD"/>
    <w:rsid w:val="00DB6C9A"/>
    <w:rsid w:val="00DC3C6B"/>
    <w:rsid w:val="00DD03EB"/>
    <w:rsid w:val="00DD3D7F"/>
    <w:rsid w:val="00DE0179"/>
    <w:rsid w:val="00DE11EB"/>
    <w:rsid w:val="00DE5B21"/>
    <w:rsid w:val="00DE758A"/>
    <w:rsid w:val="00DF02B3"/>
    <w:rsid w:val="00DF1FAE"/>
    <w:rsid w:val="00DF2F09"/>
    <w:rsid w:val="00E00BA2"/>
    <w:rsid w:val="00E04532"/>
    <w:rsid w:val="00E0736A"/>
    <w:rsid w:val="00E109A2"/>
    <w:rsid w:val="00E1680A"/>
    <w:rsid w:val="00E17012"/>
    <w:rsid w:val="00E17D4D"/>
    <w:rsid w:val="00E20454"/>
    <w:rsid w:val="00E23DEF"/>
    <w:rsid w:val="00E31121"/>
    <w:rsid w:val="00E33ADC"/>
    <w:rsid w:val="00E42953"/>
    <w:rsid w:val="00E452FC"/>
    <w:rsid w:val="00E4586E"/>
    <w:rsid w:val="00E4770A"/>
    <w:rsid w:val="00E513C5"/>
    <w:rsid w:val="00E53477"/>
    <w:rsid w:val="00E545D0"/>
    <w:rsid w:val="00E626B0"/>
    <w:rsid w:val="00E641A5"/>
    <w:rsid w:val="00E67379"/>
    <w:rsid w:val="00E67CAE"/>
    <w:rsid w:val="00E70F81"/>
    <w:rsid w:val="00E720CC"/>
    <w:rsid w:val="00E756F4"/>
    <w:rsid w:val="00E76BC1"/>
    <w:rsid w:val="00E82EC5"/>
    <w:rsid w:val="00E87308"/>
    <w:rsid w:val="00E91DA7"/>
    <w:rsid w:val="00E95AEA"/>
    <w:rsid w:val="00EB7056"/>
    <w:rsid w:val="00EC222E"/>
    <w:rsid w:val="00ED24F6"/>
    <w:rsid w:val="00ED5701"/>
    <w:rsid w:val="00EE0A33"/>
    <w:rsid w:val="00EE2228"/>
    <w:rsid w:val="00EF146D"/>
    <w:rsid w:val="00EF4284"/>
    <w:rsid w:val="00EF5452"/>
    <w:rsid w:val="00EF79C6"/>
    <w:rsid w:val="00F01C77"/>
    <w:rsid w:val="00F02C23"/>
    <w:rsid w:val="00F0361C"/>
    <w:rsid w:val="00F04D25"/>
    <w:rsid w:val="00F06B22"/>
    <w:rsid w:val="00F11155"/>
    <w:rsid w:val="00F15575"/>
    <w:rsid w:val="00F226AA"/>
    <w:rsid w:val="00F25975"/>
    <w:rsid w:val="00F26B5A"/>
    <w:rsid w:val="00F314D5"/>
    <w:rsid w:val="00F320AC"/>
    <w:rsid w:val="00F350D5"/>
    <w:rsid w:val="00F37258"/>
    <w:rsid w:val="00F37573"/>
    <w:rsid w:val="00F421A0"/>
    <w:rsid w:val="00F42FD8"/>
    <w:rsid w:val="00F431C2"/>
    <w:rsid w:val="00F43232"/>
    <w:rsid w:val="00F44920"/>
    <w:rsid w:val="00F45C92"/>
    <w:rsid w:val="00F469CA"/>
    <w:rsid w:val="00F5024C"/>
    <w:rsid w:val="00F52B3F"/>
    <w:rsid w:val="00F53366"/>
    <w:rsid w:val="00F538B6"/>
    <w:rsid w:val="00F55618"/>
    <w:rsid w:val="00F56CAD"/>
    <w:rsid w:val="00F610E9"/>
    <w:rsid w:val="00F72B2D"/>
    <w:rsid w:val="00F732D0"/>
    <w:rsid w:val="00F77D60"/>
    <w:rsid w:val="00F81B79"/>
    <w:rsid w:val="00F84201"/>
    <w:rsid w:val="00F85F2F"/>
    <w:rsid w:val="00F870B8"/>
    <w:rsid w:val="00F9272F"/>
    <w:rsid w:val="00F93B9A"/>
    <w:rsid w:val="00FA02C9"/>
    <w:rsid w:val="00FA034B"/>
    <w:rsid w:val="00FA266F"/>
    <w:rsid w:val="00FA2B70"/>
    <w:rsid w:val="00FA772C"/>
    <w:rsid w:val="00FB0847"/>
    <w:rsid w:val="00FB1612"/>
    <w:rsid w:val="00FB3DA9"/>
    <w:rsid w:val="00FB4A4C"/>
    <w:rsid w:val="00FB75E5"/>
    <w:rsid w:val="00FC5878"/>
    <w:rsid w:val="00FC755E"/>
    <w:rsid w:val="00FD13F7"/>
    <w:rsid w:val="00FD146C"/>
    <w:rsid w:val="00FD1F5D"/>
    <w:rsid w:val="00FD3FE4"/>
    <w:rsid w:val="00FD43CE"/>
    <w:rsid w:val="00FD78CF"/>
    <w:rsid w:val="00FE39DC"/>
    <w:rsid w:val="00FE4C6B"/>
    <w:rsid w:val="00FE768B"/>
    <w:rsid w:val="00FF182F"/>
    <w:rsid w:val="00FF30A2"/>
    <w:rsid w:val="00FF311F"/>
    <w:rsid w:val="00FF3837"/>
    <w:rsid w:val="00FF555D"/>
    <w:rsid w:val="00FF55A3"/>
    <w:rsid w:val="00FF6DE6"/>
    <w:rsid w:val="00FF7FA6"/>
    <w:rsid w:val="017B5AFB"/>
    <w:rsid w:val="02334995"/>
    <w:rsid w:val="02AA6004"/>
    <w:rsid w:val="04502CE2"/>
    <w:rsid w:val="06ED3A29"/>
    <w:rsid w:val="07511DBD"/>
    <w:rsid w:val="09BF4CC5"/>
    <w:rsid w:val="0A0F035E"/>
    <w:rsid w:val="0C255A40"/>
    <w:rsid w:val="0CCE3DCB"/>
    <w:rsid w:val="0D267745"/>
    <w:rsid w:val="0D4F1F96"/>
    <w:rsid w:val="0E4E0DC9"/>
    <w:rsid w:val="0EBE4752"/>
    <w:rsid w:val="0FEB37DA"/>
    <w:rsid w:val="100D1A21"/>
    <w:rsid w:val="113D046A"/>
    <w:rsid w:val="11B62C84"/>
    <w:rsid w:val="127F2A2B"/>
    <w:rsid w:val="130C0310"/>
    <w:rsid w:val="13C46268"/>
    <w:rsid w:val="13FA19F6"/>
    <w:rsid w:val="1452055E"/>
    <w:rsid w:val="1BCA2D23"/>
    <w:rsid w:val="1CA668F5"/>
    <w:rsid w:val="1CF76267"/>
    <w:rsid w:val="1E004F99"/>
    <w:rsid w:val="1E3E51D8"/>
    <w:rsid w:val="1F0F2DBC"/>
    <w:rsid w:val="2140204B"/>
    <w:rsid w:val="21C81588"/>
    <w:rsid w:val="22277A97"/>
    <w:rsid w:val="223257ED"/>
    <w:rsid w:val="24E60AFD"/>
    <w:rsid w:val="265F0A4C"/>
    <w:rsid w:val="268939BB"/>
    <w:rsid w:val="286445F0"/>
    <w:rsid w:val="292A0A2A"/>
    <w:rsid w:val="2B397F13"/>
    <w:rsid w:val="2E60412A"/>
    <w:rsid w:val="2FF60B67"/>
    <w:rsid w:val="34F6138C"/>
    <w:rsid w:val="34FC7357"/>
    <w:rsid w:val="37EE111F"/>
    <w:rsid w:val="3A9570C0"/>
    <w:rsid w:val="3E6D1404"/>
    <w:rsid w:val="4335002F"/>
    <w:rsid w:val="46651E8F"/>
    <w:rsid w:val="46E02698"/>
    <w:rsid w:val="46FE7CF1"/>
    <w:rsid w:val="4A8B3A30"/>
    <w:rsid w:val="4B547C5F"/>
    <w:rsid w:val="4CF6216A"/>
    <w:rsid w:val="4D1F2B6A"/>
    <w:rsid w:val="4D8D6F45"/>
    <w:rsid w:val="4E397F34"/>
    <w:rsid w:val="513D7291"/>
    <w:rsid w:val="518F614C"/>
    <w:rsid w:val="529C0830"/>
    <w:rsid w:val="52AE5B0E"/>
    <w:rsid w:val="53883350"/>
    <w:rsid w:val="53C33E87"/>
    <w:rsid w:val="55C63C20"/>
    <w:rsid w:val="55F164B7"/>
    <w:rsid w:val="5E714D7C"/>
    <w:rsid w:val="5E8F23EF"/>
    <w:rsid w:val="5FBA5DA8"/>
    <w:rsid w:val="5FFE4481"/>
    <w:rsid w:val="6126485D"/>
    <w:rsid w:val="62600858"/>
    <w:rsid w:val="64A97DC5"/>
    <w:rsid w:val="654B500C"/>
    <w:rsid w:val="67AD55C2"/>
    <w:rsid w:val="69ED72BB"/>
    <w:rsid w:val="6BF467F8"/>
    <w:rsid w:val="6D4D6ABE"/>
    <w:rsid w:val="6F045092"/>
    <w:rsid w:val="6FFF24D6"/>
    <w:rsid w:val="70884BF0"/>
    <w:rsid w:val="71ED53E5"/>
    <w:rsid w:val="71FF4D11"/>
    <w:rsid w:val="76EF3AC6"/>
    <w:rsid w:val="77F93748"/>
    <w:rsid w:val="79A0523D"/>
    <w:rsid w:val="7D0E3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75" w:after="75"/>
      <w:jc w:val="left"/>
    </w:pPr>
    <w:rPr>
      <w:rFonts w:ascii="宋体" w:hAnsi="宋体" w:cs="宋体"/>
      <w:kern w:val="0"/>
      <w:sz w:val="24"/>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Hyperlink"/>
    <w:qFormat/>
    <w:uiPriority w:val="0"/>
    <w:rPr>
      <w:color w:val="0563C1"/>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szCs w:val="24"/>
    </w:rPr>
  </w:style>
  <w:style w:type="character" w:customStyle="1" w:styleId="14">
    <w:name w:val="批注框文本 字符"/>
    <w:link w:val="3"/>
    <w:qFormat/>
    <w:uiPriority w:val="0"/>
    <w:rPr>
      <w:kern w:val="2"/>
      <w:sz w:val="18"/>
      <w:szCs w:val="18"/>
    </w:rPr>
  </w:style>
  <w:style w:type="character" w:customStyle="1" w:styleId="15">
    <w:name w:val="批注主题 字符"/>
    <w:link w:val="7"/>
    <w:qFormat/>
    <w:uiPriority w:val="0"/>
    <w:rPr>
      <w:b/>
      <w:bCs/>
      <w:kern w:val="2"/>
      <w:sz w:val="21"/>
      <w:szCs w:val="24"/>
    </w:rPr>
  </w:style>
  <w:style w:type="paragraph" w:customStyle="1" w:styleId="1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54470-BC04-4617-9CF1-4FABEA64E8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12579</Words>
  <Characters>13894</Characters>
  <Lines>100</Lines>
  <Paragraphs>28</Paragraphs>
  <TotalTime>11</TotalTime>
  <ScaleCrop>false</ScaleCrop>
  <LinksUpToDate>false</LinksUpToDate>
  <CharactersWithSpaces>13927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2021-09-30T05:19:00Z</dcterms:created>
  <dc:creator>user</dc:creator>
  <cp:lastModifiedBy>太极箫客</cp:lastModifiedBy>
  <cp:lastPrinted>2021-07-22T03:29:00Z</cp:lastPrinted>
  <dcterms:modified xsi:type="dcterms:W3CDTF">2025-08-14T08:03:13Z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88557C1D5DD64D2997A6DDDD560F13D5</vt:lpwstr>
  </property>
  <property fmtid="{D5CDD505-2E9C-101B-9397-08002B2CF9AE}" pid="4" name="KSOTemplateDocerSaveRecord">
    <vt:lpwstr>eyJoZGlkIjoiMDJiMzI3ODBiNTFmMWRjNDUyMjM1ZmZjODY5NDc2MWMiLCJ1c2VySWQiOiI0NTQ4Nzg1NzAifQ==</vt:lpwstr>
  </property>
</Properties>
</file>