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F1A45">
      <w:pPr>
        <w:pStyle w:val="15"/>
        <w:shd w:val="clear" w:color="auto" w:fill="auto"/>
        <w:topLinePunct/>
        <w:adjustRightInd w:val="0"/>
        <w:snapToGrid w:val="0"/>
        <w:spacing w:after="270" w:afterLines="75" w:line="360" w:lineRule="auto"/>
        <w:ind w:firstLine="0"/>
        <w:jc w:val="both"/>
        <w:rPr>
          <w:rFonts w:hint="eastAsia" w:ascii="Arial" w:hAnsi="Arial" w:eastAsia="宋体" w:cs="Arial"/>
          <w:b w:val="0"/>
          <w:snapToGrid w:val="0"/>
          <w:lang w:eastAsia="zh-CN"/>
        </w:rPr>
      </w:pPr>
      <w:bookmarkStart w:id="22" w:name="_GoBack"/>
      <w:bookmarkEnd w:id="22"/>
    </w:p>
    <w:p w14:paraId="0B8FC690">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p>
    <w:p w14:paraId="4D7C261E">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p>
    <w:p w14:paraId="3D4EE953">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p>
    <w:p w14:paraId="010310D1">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p>
    <w:p w14:paraId="6857800A">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r>
        <w:rPr>
          <w:rFonts w:hint="eastAsia" w:ascii="Arial" w:hAnsi="Arial" w:eastAsia="宋体" w:cs="Arial"/>
          <w:b w:val="0"/>
          <w:snapToGrid w:val="0"/>
          <w:lang w:eastAsia="zh-CN"/>
        </w:rPr>
        <w:t>本指导性文件于</w:t>
      </w:r>
      <w:r>
        <w:rPr>
          <w:rFonts w:ascii="Arial" w:hAnsi="Arial" w:eastAsia="宋体" w:cs="Arial"/>
          <w:b w:val="0"/>
          <w:snapToGrid w:val="0"/>
          <w:lang w:eastAsia="zh-CN"/>
        </w:rPr>
        <w:t>1997</w:t>
      </w:r>
      <w:r>
        <w:rPr>
          <w:rFonts w:hint="eastAsia" w:ascii="Arial" w:hAnsi="Arial" w:eastAsia="宋体" w:cs="Arial"/>
          <w:b w:val="0"/>
          <w:snapToGrid w:val="0"/>
          <w:lang w:eastAsia="zh-CN"/>
        </w:rPr>
        <w:t>年</w:t>
      </w:r>
      <w:r>
        <w:rPr>
          <w:rFonts w:ascii="Arial" w:hAnsi="Arial" w:eastAsia="宋体" w:cs="Arial"/>
          <w:b w:val="0"/>
          <w:snapToGrid w:val="0"/>
          <w:lang w:eastAsia="zh-CN"/>
        </w:rPr>
        <w:t>2</w:t>
      </w:r>
      <w:r>
        <w:rPr>
          <w:rFonts w:hint="eastAsia" w:ascii="Arial" w:hAnsi="Arial" w:eastAsia="宋体" w:cs="Arial"/>
          <w:b w:val="0"/>
          <w:snapToGrid w:val="0"/>
          <w:lang w:eastAsia="zh-CN"/>
        </w:rPr>
        <w:t>月</w:t>
      </w:r>
      <w:r>
        <w:rPr>
          <w:rFonts w:ascii="Arial" w:hAnsi="Arial" w:eastAsia="宋体" w:cs="Arial"/>
          <w:b w:val="0"/>
          <w:snapToGrid w:val="0"/>
          <w:lang w:eastAsia="zh-CN"/>
        </w:rPr>
        <w:t>27</w:t>
      </w:r>
      <w:r>
        <w:rPr>
          <w:rFonts w:hint="eastAsia" w:ascii="Arial" w:hAnsi="Arial" w:eastAsia="宋体" w:cs="Arial"/>
          <w:b w:val="0"/>
          <w:snapToGrid w:val="0"/>
          <w:lang w:eastAsia="zh-CN"/>
        </w:rPr>
        <w:t>日实施</w:t>
      </w:r>
      <w:r>
        <w:rPr>
          <w:rFonts w:ascii="Arial" w:hAnsi="Arial" w:eastAsia="宋体" w:cs="Arial"/>
          <w:b w:val="0"/>
          <w:snapToGrid w:val="0"/>
          <w:lang w:eastAsia="zh-CN"/>
        </w:rPr>
        <w:t>FDA</w:t>
      </w:r>
      <w:r>
        <w:rPr>
          <w:rFonts w:hint="eastAsia" w:ascii="Arial" w:hAnsi="Arial" w:eastAsia="宋体" w:cs="Arial"/>
          <w:b w:val="0"/>
          <w:snapToGrid w:val="0"/>
          <w:lang w:eastAsia="zh-CN"/>
        </w:rPr>
        <w:t>良好指导规范（</w:t>
      </w:r>
      <w:r>
        <w:rPr>
          <w:rFonts w:ascii="Arial" w:hAnsi="Arial" w:eastAsia="宋体" w:cs="Arial"/>
          <w:b w:val="0"/>
          <w:snapToGrid w:val="0"/>
          <w:lang w:eastAsia="zh-CN"/>
        </w:rPr>
        <w:t>GGP</w:t>
      </w:r>
      <w:r>
        <w:rPr>
          <w:rFonts w:hint="eastAsia" w:ascii="Arial" w:hAnsi="Arial" w:eastAsia="宋体" w:cs="Arial"/>
          <w:b w:val="0"/>
          <w:snapToGrid w:val="0"/>
          <w:lang w:eastAsia="zh-CN"/>
        </w:rPr>
        <w:t>）之前编写。其不会为任何人创造或赋予权利，也不会对</w:t>
      </w:r>
      <w:r>
        <w:rPr>
          <w:rFonts w:ascii="Arial" w:hAnsi="Arial" w:eastAsia="宋体" w:cs="Arial"/>
          <w:b w:val="0"/>
          <w:snapToGrid w:val="0"/>
          <w:lang w:eastAsia="zh-CN"/>
        </w:rPr>
        <w:t>FDA</w:t>
      </w:r>
      <w:r>
        <w:rPr>
          <w:rFonts w:hint="eastAsia" w:ascii="Arial" w:hAnsi="Arial" w:eastAsia="宋体" w:cs="Arial"/>
          <w:b w:val="0"/>
          <w:snapToGrid w:val="0"/>
          <w:lang w:eastAsia="zh-CN"/>
        </w:rPr>
        <w:t>或公众产生约束。如果替代方法满足适用的法律、法规或两者的要求，则可以使用该方法。下一次修订本指导性文件时将包含</w:t>
      </w:r>
      <w:r>
        <w:rPr>
          <w:rFonts w:ascii="Arial" w:hAnsi="Arial" w:eastAsia="宋体" w:cs="Arial"/>
          <w:b w:val="0"/>
          <w:snapToGrid w:val="0"/>
          <w:lang w:eastAsia="zh-CN"/>
        </w:rPr>
        <w:t>GGP</w:t>
      </w:r>
      <w:r>
        <w:rPr>
          <w:rFonts w:hint="eastAsia" w:ascii="Arial" w:hAnsi="Arial" w:eastAsia="宋体" w:cs="Arial"/>
          <w:b w:val="0"/>
          <w:snapToGrid w:val="0"/>
          <w:lang w:eastAsia="zh-CN"/>
        </w:rPr>
        <w:t>的标准元素。</w:t>
      </w:r>
    </w:p>
    <w:p w14:paraId="74EDDE74">
      <w:pPr>
        <w:rPr>
          <w:rFonts w:ascii="Arial" w:hAnsi="Arial" w:eastAsia="宋体" w:cs="Arial"/>
          <w:b/>
          <w:bCs/>
          <w:snapToGrid w:val="0"/>
          <w:lang w:eastAsia="zh-CN"/>
        </w:rPr>
      </w:pPr>
      <w:bookmarkStart w:id="0" w:name="OLE_LINK269"/>
      <w:bookmarkStart w:id="1" w:name="OLE_LINK270"/>
      <w:bookmarkStart w:id="2" w:name="OLE_LINK13"/>
      <w:r>
        <w:rPr>
          <w:rFonts w:ascii="Arial" w:hAnsi="Arial" w:eastAsia="宋体" w:cs="Arial"/>
          <w:snapToGrid w:val="0"/>
          <w:lang w:eastAsia="zh-CN"/>
        </w:rPr>
        <w:br w:type="page"/>
      </w:r>
    </w:p>
    <w:p w14:paraId="024501B0">
      <w:pPr>
        <w:pStyle w:val="15"/>
        <w:shd w:val="clear" w:color="auto" w:fill="auto"/>
        <w:topLinePunct/>
        <w:adjustRightInd w:val="0"/>
        <w:snapToGrid w:val="0"/>
        <w:spacing w:after="270" w:afterLines="75" w:line="360" w:lineRule="auto"/>
        <w:ind w:firstLine="0"/>
        <w:rPr>
          <w:rFonts w:ascii="Arial" w:hAnsi="Arial" w:eastAsia="宋体" w:cs="Arial"/>
          <w:b w:val="0"/>
          <w:snapToGrid w:val="0"/>
          <w:lang w:eastAsia="zh-CN"/>
        </w:rPr>
      </w:pPr>
    </w:p>
    <w:p w14:paraId="75AB5FF2">
      <w:pPr>
        <w:pStyle w:val="15"/>
        <w:shd w:val="clear" w:color="auto" w:fill="auto"/>
        <w:topLinePunct/>
        <w:adjustRightInd w:val="0"/>
        <w:snapToGrid w:val="0"/>
        <w:spacing w:after="270" w:afterLines="75" w:line="360" w:lineRule="auto"/>
        <w:ind w:firstLine="0"/>
        <w:rPr>
          <w:rFonts w:ascii="Arial" w:hAnsi="Arial" w:eastAsia="宋体" w:cs="Arial"/>
          <w:b w:val="0"/>
          <w:snapToGrid w:val="0"/>
          <w:lang w:eastAsia="zh-CN"/>
        </w:rPr>
      </w:pPr>
    </w:p>
    <w:p w14:paraId="567BC81F">
      <w:pPr>
        <w:pStyle w:val="15"/>
        <w:shd w:val="clear" w:color="auto" w:fill="auto"/>
        <w:topLinePunct/>
        <w:adjustRightInd w:val="0"/>
        <w:snapToGrid w:val="0"/>
        <w:spacing w:after="270" w:afterLines="75" w:line="360" w:lineRule="auto"/>
        <w:ind w:firstLine="0"/>
        <w:rPr>
          <w:rFonts w:ascii="Arial" w:hAnsi="Arial" w:eastAsia="宋体" w:cs="Arial"/>
          <w:b w:val="0"/>
          <w:snapToGrid w:val="0"/>
          <w:lang w:eastAsia="zh-CN"/>
        </w:rPr>
      </w:pPr>
    </w:p>
    <w:p w14:paraId="16A8C2A0">
      <w:pPr>
        <w:pStyle w:val="15"/>
        <w:shd w:val="clear" w:color="auto" w:fill="auto"/>
        <w:topLinePunct/>
        <w:adjustRightInd w:val="0"/>
        <w:snapToGrid w:val="0"/>
        <w:spacing w:after="180" w:afterLines="50" w:line="360" w:lineRule="auto"/>
        <w:ind w:firstLine="0"/>
        <w:rPr>
          <w:rFonts w:ascii="Arial" w:hAnsi="Arial" w:eastAsia="宋体" w:cs="Arial"/>
          <w:b w:val="0"/>
          <w:snapToGrid w:val="0"/>
          <w:lang w:eastAsia="zh-CN"/>
        </w:rPr>
      </w:pPr>
      <w:r>
        <w:rPr>
          <w:rFonts w:hint="eastAsia" w:ascii="Arial" w:hAnsi="Arial" w:eastAsia="宋体" w:cs="Arial"/>
          <w:b w:val="0"/>
          <w:snapToGrid w:val="0"/>
          <w:lang w:eastAsia="zh-CN"/>
        </w:rPr>
        <w:t>器械和放射卫生中心</w:t>
      </w:r>
      <w:bookmarkEnd w:id="0"/>
      <w:bookmarkEnd w:id="1"/>
      <w:bookmarkEnd w:id="2"/>
    </w:p>
    <w:p w14:paraId="7A31D307">
      <w:pPr>
        <w:pStyle w:val="15"/>
        <w:shd w:val="clear" w:color="auto" w:fill="auto"/>
        <w:topLinePunct/>
        <w:adjustRightInd w:val="0"/>
        <w:snapToGrid w:val="0"/>
        <w:spacing w:after="180" w:afterLines="50" w:line="360" w:lineRule="auto"/>
        <w:ind w:firstLine="0"/>
        <w:rPr>
          <w:rFonts w:ascii="Arial" w:hAnsi="Arial" w:eastAsia="宋体" w:cs="Arial"/>
          <w:b w:val="0"/>
          <w:snapToGrid w:val="0"/>
          <w:lang w:eastAsia="zh-CN"/>
        </w:rPr>
      </w:pPr>
      <w:r>
        <w:rPr>
          <w:rFonts w:hint="eastAsia" w:ascii="Arial" w:hAnsi="Arial" w:eastAsia="宋体" w:cs="Arial"/>
          <w:b w:val="0"/>
          <w:snapToGrid w:val="0"/>
          <w:lang w:eastAsia="zh-CN"/>
        </w:rPr>
        <w:t>器械评价办公室</w:t>
      </w:r>
    </w:p>
    <w:p w14:paraId="368A4E41">
      <w:pPr>
        <w:pStyle w:val="15"/>
        <w:shd w:val="clear" w:color="auto" w:fill="auto"/>
        <w:topLinePunct/>
        <w:adjustRightInd w:val="0"/>
        <w:snapToGrid w:val="0"/>
        <w:spacing w:after="270" w:afterLines="75" w:line="360" w:lineRule="auto"/>
        <w:ind w:firstLine="0"/>
        <w:rPr>
          <w:rFonts w:ascii="Arial" w:hAnsi="Arial" w:eastAsia="宋体" w:cs="Arial"/>
          <w:b w:val="0"/>
          <w:snapToGrid w:val="0"/>
          <w:lang w:eastAsia="zh-CN"/>
        </w:rPr>
      </w:pPr>
      <w:r>
        <w:rPr>
          <w:rFonts w:hint="eastAsia" w:ascii="Arial" w:hAnsi="Arial" w:eastAsia="宋体" w:cs="Arial"/>
          <w:b w:val="0"/>
          <w:snapToGrid w:val="0"/>
          <w:lang w:eastAsia="zh-CN"/>
        </w:rPr>
        <w:t>肠胃病学</w:t>
      </w:r>
      <w:r>
        <w:rPr>
          <w:rFonts w:ascii="Arial" w:hAnsi="Arial" w:eastAsia="宋体" w:cs="Arial"/>
          <w:b w:val="0"/>
          <w:snapToGrid w:val="0"/>
          <w:lang w:eastAsia="zh-CN"/>
        </w:rPr>
        <w:t>／</w:t>
      </w:r>
      <w:r>
        <w:rPr>
          <w:rFonts w:hint="eastAsia" w:ascii="Arial" w:hAnsi="Arial" w:eastAsia="宋体" w:cs="Arial"/>
          <w:b w:val="0"/>
          <w:snapToGrid w:val="0"/>
          <w:lang w:eastAsia="zh-CN"/>
        </w:rPr>
        <w:t>泌尿学和通用器械司</w:t>
      </w:r>
    </w:p>
    <w:p w14:paraId="2FF903A2">
      <w:pPr>
        <w:pStyle w:val="15"/>
        <w:shd w:val="clear" w:color="auto" w:fill="auto"/>
        <w:topLinePunct/>
        <w:adjustRightInd w:val="0"/>
        <w:snapToGrid w:val="0"/>
        <w:spacing w:after="270" w:afterLines="75" w:line="360" w:lineRule="auto"/>
        <w:ind w:firstLine="0"/>
        <w:rPr>
          <w:rFonts w:ascii="Arial" w:hAnsi="Arial" w:eastAsia="宋体" w:cs="Arial"/>
          <w:b w:val="0"/>
          <w:snapToGrid w:val="0"/>
          <w:lang w:eastAsia="zh-CN"/>
        </w:rPr>
      </w:pPr>
    </w:p>
    <w:p w14:paraId="6D64DCDC">
      <w:pPr>
        <w:pStyle w:val="15"/>
        <w:shd w:val="clear" w:color="auto" w:fill="auto"/>
        <w:topLinePunct/>
        <w:adjustRightInd w:val="0"/>
        <w:snapToGrid w:val="0"/>
        <w:spacing w:after="270" w:afterLines="75" w:line="360" w:lineRule="auto"/>
        <w:ind w:firstLine="0"/>
        <w:rPr>
          <w:rFonts w:ascii="Arial" w:hAnsi="Arial" w:eastAsia="宋体" w:cs="Arial"/>
          <w:b w:val="0"/>
          <w:snapToGrid w:val="0"/>
          <w:lang w:eastAsia="zh-CN"/>
        </w:rPr>
      </w:pPr>
      <w:bookmarkStart w:id="3" w:name="OLE_LINK40"/>
      <w:bookmarkStart w:id="4" w:name="OLE_LINK39"/>
      <w:r>
        <w:rPr>
          <w:rFonts w:hint="eastAsia" w:ascii="Arial" w:hAnsi="Arial" w:eastAsia="宋体" w:cs="Arial"/>
          <w:b w:val="0"/>
          <w:snapToGrid w:val="0"/>
          <w:lang w:eastAsia="zh-CN"/>
        </w:rPr>
        <w:t>植入式输注</w:t>
      </w:r>
      <w:bookmarkEnd w:id="3"/>
      <w:bookmarkEnd w:id="4"/>
      <w:r>
        <w:rPr>
          <w:rFonts w:hint="eastAsia" w:ascii="Arial" w:hAnsi="Arial" w:eastAsia="宋体" w:cs="Arial"/>
          <w:b w:val="0"/>
          <w:snapToGrid w:val="0"/>
          <w:lang w:eastAsia="zh-CN"/>
        </w:rPr>
        <w:t>港</w:t>
      </w:r>
      <w:r>
        <w:rPr>
          <w:rFonts w:ascii="Arial" w:hAnsi="Arial" w:eastAsia="宋体" w:cs="Arial"/>
          <w:b w:val="0"/>
          <w:snapToGrid w:val="0"/>
          <w:lang w:eastAsia="zh-CN"/>
        </w:rPr>
        <w:t>510（k）</w:t>
      </w:r>
      <w:r>
        <w:rPr>
          <w:rFonts w:hint="eastAsia" w:ascii="Arial" w:hAnsi="Arial" w:eastAsia="宋体" w:cs="Arial"/>
          <w:b w:val="0"/>
          <w:snapToGrid w:val="0"/>
          <w:lang w:eastAsia="zh-CN"/>
        </w:rPr>
        <w:t>提交指南</w:t>
      </w:r>
    </w:p>
    <w:p w14:paraId="195A4B8D">
      <w:pPr>
        <w:pStyle w:val="17"/>
        <w:shd w:val="clear" w:color="auto" w:fill="auto"/>
        <w:topLinePunct/>
        <w:adjustRightInd w:val="0"/>
        <w:snapToGrid w:val="0"/>
        <w:spacing w:after="270" w:afterLines="75" w:line="360" w:lineRule="auto"/>
        <w:jc w:val="center"/>
        <w:rPr>
          <w:rFonts w:ascii="Arial" w:hAnsi="Arial" w:eastAsia="宋体" w:cs="Arial"/>
          <w:b w:val="0"/>
          <w:snapToGrid w:val="0"/>
          <w:spacing w:val="0"/>
          <w:sz w:val="24"/>
          <w:lang w:eastAsia="zh-CN"/>
        </w:rPr>
      </w:pPr>
      <w:r>
        <w:rPr>
          <w:rFonts w:ascii="Arial" w:hAnsi="Arial" w:eastAsia="宋体" w:cs="Arial"/>
          <w:b w:val="0"/>
          <w:snapToGrid w:val="0"/>
          <w:spacing w:val="0"/>
          <w:sz w:val="24"/>
          <w:lang w:eastAsia="zh-CN"/>
        </w:rPr>
        <w:t>1990</w:t>
      </w:r>
      <w:r>
        <w:rPr>
          <w:rFonts w:hint="eastAsia" w:ascii="Arial" w:hAnsi="Arial" w:eastAsia="宋体" w:cs="Arial"/>
          <w:b w:val="0"/>
          <w:snapToGrid w:val="0"/>
          <w:spacing w:val="0"/>
          <w:sz w:val="24"/>
          <w:lang w:eastAsia="zh-CN"/>
        </w:rPr>
        <w:t>年10月</w:t>
      </w:r>
    </w:p>
    <w:p w14:paraId="0D9C7A73">
      <w:pPr>
        <w:pStyle w:val="17"/>
        <w:shd w:val="clear" w:color="auto" w:fill="auto"/>
        <w:topLinePunct/>
        <w:adjustRightInd w:val="0"/>
        <w:snapToGrid w:val="0"/>
        <w:spacing w:after="270" w:afterLines="75" w:line="360" w:lineRule="auto"/>
        <w:jc w:val="both"/>
        <w:rPr>
          <w:rFonts w:ascii="Arial" w:hAnsi="Arial" w:eastAsia="宋体" w:cs="Arial"/>
          <w:snapToGrid w:val="0"/>
          <w:spacing w:val="0"/>
          <w:sz w:val="24"/>
          <w:lang w:eastAsia="zh-CN"/>
        </w:rPr>
      </w:pPr>
    </w:p>
    <w:p w14:paraId="479AD150">
      <w:pPr>
        <w:pStyle w:val="17"/>
        <w:shd w:val="clear" w:color="auto" w:fill="auto"/>
        <w:topLinePunct/>
        <w:adjustRightInd w:val="0"/>
        <w:snapToGrid w:val="0"/>
        <w:spacing w:after="270" w:afterLines="75" w:line="360" w:lineRule="auto"/>
        <w:jc w:val="both"/>
        <w:rPr>
          <w:rFonts w:ascii="Arial" w:hAnsi="Arial" w:eastAsia="宋体" w:cs="Arial"/>
          <w:snapToGrid w:val="0"/>
          <w:spacing w:val="0"/>
          <w:sz w:val="24"/>
          <w:lang w:eastAsia="zh-CN"/>
        </w:rPr>
        <w:sectPr>
          <w:headerReference r:id="rId5" w:type="even"/>
          <w:pgSz w:w="11906" w:h="16838"/>
          <w:pgMar w:top="1134" w:right="1440" w:bottom="1134" w:left="1440" w:header="720" w:footer="720" w:gutter="0"/>
          <w:pgNumType w:start="27"/>
          <w:cols w:space="720" w:num="1"/>
          <w:docGrid w:type="lines" w:linePitch="360" w:charSpace="0"/>
        </w:sectPr>
      </w:pPr>
    </w:p>
    <w:p w14:paraId="0B1AEAB4">
      <w:pPr>
        <w:pStyle w:val="17"/>
        <w:shd w:val="clear" w:color="auto" w:fill="auto"/>
        <w:topLinePunct/>
        <w:adjustRightInd w:val="0"/>
        <w:snapToGrid w:val="0"/>
        <w:spacing w:after="270" w:afterLines="75" w:line="360" w:lineRule="auto"/>
        <w:jc w:val="both"/>
        <w:rPr>
          <w:rFonts w:ascii="Arial" w:hAnsi="Arial" w:eastAsia="宋体" w:cs="Arial"/>
          <w:snapToGrid w:val="0"/>
          <w:spacing w:val="0"/>
          <w:sz w:val="24"/>
          <w:lang w:eastAsia="zh-CN"/>
        </w:rPr>
      </w:pPr>
      <w:r>
        <w:rPr>
          <w:rStyle w:val="18"/>
          <w:rFonts w:hint="eastAsia" w:ascii="Arial" w:hAnsi="Arial" w:eastAsia="宋体" w:cs="Arial"/>
          <w:b w:val="0"/>
          <w:bCs/>
          <w:snapToGrid w:val="0"/>
          <w:lang w:eastAsia="zh-CN"/>
        </w:rPr>
        <w:t>一般提交要求</w:t>
      </w:r>
    </w:p>
    <w:p w14:paraId="05932BCD">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r>
        <w:rPr>
          <w:rFonts w:hint="eastAsia" w:ascii="Arial" w:hAnsi="Arial" w:eastAsia="宋体" w:cs="Arial"/>
          <w:b w:val="0"/>
          <w:snapToGrid w:val="0"/>
          <w:lang w:eastAsia="zh-CN"/>
        </w:rPr>
        <w:t>提议将新型植入式药物输注／采血港引入州际贸易的人员必须在引入开始的至少90天前提交上市前通知（</w:t>
      </w:r>
      <w:r>
        <w:rPr>
          <w:rFonts w:ascii="Arial" w:hAnsi="Arial" w:eastAsia="宋体" w:cs="Arial"/>
          <w:b w:val="0"/>
          <w:snapToGrid w:val="0"/>
          <w:lang w:eastAsia="zh-CN"/>
        </w:rPr>
        <w:t>510[k]）</w:t>
      </w:r>
      <w:r>
        <w:rPr>
          <w:rFonts w:hint="eastAsia" w:ascii="Arial" w:hAnsi="Arial" w:eastAsia="宋体" w:cs="Arial"/>
          <w:b w:val="0"/>
          <w:snapToGrid w:val="0"/>
          <w:lang w:eastAsia="zh-CN"/>
        </w:rPr>
        <w:t>提交给FDA。</w:t>
      </w:r>
    </w:p>
    <w:p w14:paraId="203069F5">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r>
        <w:rPr>
          <w:rFonts w:ascii="Arial" w:hAnsi="Arial" w:eastAsia="宋体" w:cs="Arial"/>
          <w:b w:val="0"/>
          <w:snapToGrid w:val="0"/>
          <w:lang w:eastAsia="zh-CN"/>
        </w:rPr>
        <w:t>21 CFR 807</w:t>
      </w:r>
      <w:r>
        <w:rPr>
          <w:rFonts w:hint="eastAsia" w:ascii="Arial" w:hAnsi="Arial" w:eastAsia="宋体" w:cs="Arial"/>
          <w:b w:val="0"/>
          <w:snapToGrid w:val="0"/>
          <w:lang w:eastAsia="zh-CN"/>
        </w:rPr>
        <w:t>，子部分</w:t>
      </w:r>
      <w:r>
        <w:rPr>
          <w:rFonts w:ascii="Arial" w:hAnsi="Arial" w:eastAsia="宋体" w:cs="Arial"/>
          <w:b w:val="0"/>
          <w:snapToGrid w:val="0"/>
          <w:lang w:eastAsia="zh-CN"/>
        </w:rPr>
        <w:t>E</w:t>
      </w:r>
      <w:r>
        <w:rPr>
          <w:rFonts w:hint="eastAsia" w:ascii="Arial" w:hAnsi="Arial" w:eastAsia="宋体" w:cs="Arial"/>
          <w:b w:val="0"/>
          <w:snapToGrid w:val="0"/>
          <w:lang w:eastAsia="zh-CN"/>
        </w:rPr>
        <w:t>提供对</w:t>
      </w:r>
      <w:r>
        <w:rPr>
          <w:rFonts w:ascii="Arial" w:hAnsi="Arial" w:eastAsia="宋体" w:cs="Arial"/>
          <w:b w:val="0"/>
          <w:snapToGrid w:val="0"/>
          <w:lang w:eastAsia="zh-CN"/>
        </w:rPr>
        <w:t>510（k）</w:t>
      </w:r>
      <w:r>
        <w:rPr>
          <w:rFonts w:hint="eastAsia" w:ascii="Arial" w:hAnsi="Arial" w:eastAsia="宋体" w:cs="Arial"/>
          <w:b w:val="0"/>
          <w:snapToGrid w:val="0"/>
          <w:lang w:eastAsia="zh-CN"/>
        </w:rPr>
        <w:t>提交的一般要求。植入式输液港的</w:t>
      </w:r>
      <w:r>
        <w:rPr>
          <w:rFonts w:ascii="Arial" w:hAnsi="Arial" w:eastAsia="宋体" w:cs="Arial"/>
          <w:b w:val="0"/>
          <w:snapToGrid w:val="0"/>
          <w:lang w:eastAsia="zh-CN"/>
        </w:rPr>
        <w:t>510（k）</w:t>
      </w:r>
      <w:r>
        <w:rPr>
          <w:rFonts w:hint="eastAsia" w:ascii="Arial" w:hAnsi="Arial" w:eastAsia="宋体" w:cs="Arial"/>
          <w:b w:val="0"/>
          <w:snapToGrid w:val="0"/>
          <w:lang w:eastAsia="zh-CN"/>
        </w:rPr>
        <w:t>提交由肠胃病学</w:t>
      </w:r>
      <w:r>
        <w:rPr>
          <w:rFonts w:ascii="Arial" w:hAnsi="Arial" w:eastAsia="宋体" w:cs="Arial"/>
          <w:b w:val="0"/>
          <w:snapToGrid w:val="0"/>
          <w:lang w:eastAsia="zh-CN"/>
        </w:rPr>
        <w:t>／</w:t>
      </w:r>
      <w:r>
        <w:rPr>
          <w:rFonts w:hint="eastAsia" w:ascii="Arial" w:hAnsi="Arial" w:eastAsia="宋体" w:cs="Arial"/>
          <w:b w:val="0"/>
          <w:snapToGrid w:val="0"/>
          <w:lang w:eastAsia="zh-CN"/>
        </w:rPr>
        <w:t>泌尿学和通用器械司的普通医院和一般使用器械部门评价。</w:t>
      </w:r>
    </w:p>
    <w:p w14:paraId="373B3242">
      <w:pPr>
        <w:pStyle w:val="15"/>
        <w:shd w:val="clear" w:color="auto" w:fill="auto"/>
        <w:topLinePunct/>
        <w:adjustRightInd w:val="0"/>
        <w:snapToGrid w:val="0"/>
        <w:spacing w:after="270" w:afterLines="75" w:line="360" w:lineRule="auto"/>
        <w:ind w:firstLine="0"/>
        <w:jc w:val="both"/>
        <w:rPr>
          <w:rFonts w:ascii="Arial" w:hAnsi="Arial" w:eastAsia="宋体" w:cs="Arial"/>
          <w:snapToGrid w:val="0"/>
          <w:lang w:eastAsia="zh-CN"/>
        </w:rPr>
      </w:pPr>
      <w:r>
        <w:rPr>
          <w:rStyle w:val="19"/>
          <w:rFonts w:hint="eastAsia" w:ascii="Arial" w:hAnsi="Arial" w:eastAsia="宋体" w:cs="Arial"/>
          <w:b w:val="0"/>
          <w:bCs/>
          <w:snapToGrid w:val="0"/>
          <w:lang w:eastAsia="zh-CN"/>
        </w:rPr>
        <w:t>概述</w:t>
      </w:r>
    </w:p>
    <w:p w14:paraId="4790B733">
      <w:pPr>
        <w:pStyle w:val="15"/>
        <w:shd w:val="clear" w:color="auto" w:fill="auto"/>
        <w:topLinePunct/>
        <w:adjustRightInd w:val="0"/>
        <w:snapToGrid w:val="0"/>
        <w:spacing w:after="270" w:afterLines="75" w:line="360" w:lineRule="auto"/>
        <w:ind w:firstLine="0"/>
        <w:jc w:val="both"/>
        <w:rPr>
          <w:rFonts w:ascii="Arial" w:hAnsi="Arial" w:eastAsia="宋体" w:cs="Arial"/>
          <w:snapToGrid w:val="0"/>
          <w:lang w:eastAsia="zh-CN"/>
        </w:rPr>
      </w:pPr>
      <w:r>
        <w:rPr>
          <w:rFonts w:hint="eastAsia" w:ascii="Arial" w:hAnsi="Arial" w:eastAsia="宋体" w:cs="Arial"/>
          <w:b w:val="0"/>
          <w:snapToGrid w:val="0"/>
          <w:lang w:eastAsia="zh-CN"/>
        </w:rPr>
        <w:t>通过</w:t>
      </w:r>
      <w:r>
        <w:rPr>
          <w:rFonts w:ascii="Arial" w:hAnsi="Arial" w:eastAsia="宋体" w:cs="Arial"/>
          <w:b w:val="0"/>
          <w:snapToGrid w:val="0"/>
          <w:lang w:eastAsia="zh-CN"/>
        </w:rPr>
        <w:t>510（k）</w:t>
      </w:r>
      <w:r>
        <w:rPr>
          <w:rFonts w:hint="eastAsia" w:ascii="Arial" w:hAnsi="Arial" w:eastAsia="宋体" w:cs="Arial"/>
          <w:b w:val="0"/>
          <w:snapToGrid w:val="0"/>
          <w:lang w:eastAsia="zh-CN"/>
        </w:rPr>
        <w:t>过程发现二十个实质等同的植入式输液港。这些</w:t>
      </w:r>
      <w:bookmarkStart w:id="5" w:name="OLE_LINK46"/>
      <w:bookmarkStart w:id="6" w:name="OLE_LINK45"/>
      <w:r>
        <w:rPr>
          <w:rFonts w:hint="eastAsia" w:ascii="Arial" w:hAnsi="Arial" w:eastAsia="宋体" w:cs="Arial"/>
          <w:b w:val="0"/>
          <w:snapToGrid w:val="0"/>
          <w:lang w:eastAsia="zh-CN"/>
        </w:rPr>
        <w:t>输液港</w:t>
      </w:r>
      <w:bookmarkEnd w:id="5"/>
      <w:bookmarkEnd w:id="6"/>
      <w:r>
        <w:rPr>
          <w:rFonts w:hint="eastAsia" w:ascii="Arial" w:hAnsi="Arial" w:eastAsia="宋体" w:cs="Arial"/>
          <w:b w:val="0"/>
          <w:snapToGrid w:val="0"/>
          <w:lang w:eastAsia="zh-CN"/>
        </w:rPr>
        <w:t>的大多数是供血管内（静脉内和动脉内）使用。这些实质等同测定是基于与其他已上市输液港设计规格的比较和对</w:t>
      </w:r>
      <w:r>
        <w:rPr>
          <w:rFonts w:hint="eastAsia" w:ascii="Arial" w:hAnsi="Arial" w:eastAsia="宋体" w:cs="Arial"/>
          <w:b w:val="0"/>
          <w:snapToGrid w:val="0"/>
          <w:u w:val="single"/>
          <w:lang w:eastAsia="zh-CN"/>
        </w:rPr>
        <w:t>体外</w:t>
      </w:r>
      <w:r>
        <w:rPr>
          <w:rFonts w:hint="eastAsia" w:ascii="Arial" w:hAnsi="Arial" w:eastAsia="宋体" w:cs="Arial"/>
          <w:b w:val="0"/>
          <w:snapToGrid w:val="0"/>
          <w:lang w:eastAsia="zh-CN"/>
        </w:rPr>
        <w:t>和</w:t>
      </w:r>
      <w:r>
        <w:rPr>
          <w:rFonts w:hint="eastAsia" w:ascii="Arial" w:hAnsi="Arial" w:eastAsia="宋体" w:cs="Arial"/>
          <w:b w:val="0"/>
          <w:snapToGrid w:val="0"/>
          <w:u w:val="single"/>
          <w:lang w:eastAsia="zh-CN"/>
        </w:rPr>
        <w:t>体内</w:t>
      </w:r>
      <w:r>
        <w:rPr>
          <w:rFonts w:hint="eastAsia" w:ascii="Arial" w:hAnsi="Arial" w:eastAsia="宋体" w:cs="Arial"/>
          <w:b w:val="0"/>
          <w:snapToGrid w:val="0"/>
          <w:lang w:eastAsia="zh-CN"/>
        </w:rPr>
        <w:t>测试性能数据的分析。</w:t>
      </w:r>
    </w:p>
    <w:p w14:paraId="39A786AD">
      <w:pPr>
        <w:pStyle w:val="15"/>
        <w:shd w:val="clear" w:color="auto" w:fill="auto"/>
        <w:topLinePunct/>
        <w:adjustRightInd w:val="0"/>
        <w:snapToGrid w:val="0"/>
        <w:spacing w:after="270" w:afterLines="75" w:line="360" w:lineRule="auto"/>
        <w:ind w:firstLine="0"/>
        <w:jc w:val="both"/>
        <w:rPr>
          <w:rFonts w:ascii="Arial" w:hAnsi="Arial" w:eastAsia="宋体" w:cs="Arial"/>
          <w:snapToGrid w:val="0"/>
          <w:lang w:eastAsia="zh-CN"/>
        </w:rPr>
      </w:pPr>
      <w:r>
        <w:rPr>
          <w:rFonts w:hint="eastAsia" w:ascii="Arial" w:hAnsi="Arial" w:eastAsia="宋体" w:cs="Arial"/>
          <w:b w:val="0"/>
          <w:snapToGrid w:val="0"/>
          <w:lang w:eastAsia="zh-CN"/>
        </w:rPr>
        <w:t>现在每年会植入成千上万的输液港。输液港的设计特点和临床经验已经很成熟，以致FDA认为如果一种新型血管内输液港与其他已上市输液港有相同的预期用途和工艺特点，体外测试令人满意且使用说明书充分，则可预测其临床性能。</w:t>
      </w:r>
    </w:p>
    <w:p w14:paraId="105D7C16">
      <w:pPr>
        <w:pStyle w:val="15"/>
        <w:shd w:val="clear" w:color="auto" w:fill="auto"/>
        <w:topLinePunct/>
        <w:adjustRightInd w:val="0"/>
        <w:snapToGrid w:val="0"/>
        <w:spacing w:after="270" w:afterLines="75" w:line="360" w:lineRule="auto"/>
        <w:ind w:firstLine="0"/>
        <w:jc w:val="both"/>
        <w:rPr>
          <w:rFonts w:ascii="Arial" w:hAnsi="Arial" w:eastAsia="宋体" w:cs="Arial"/>
          <w:snapToGrid w:val="0"/>
          <w:lang w:eastAsia="zh-CN"/>
        </w:rPr>
      </w:pPr>
      <w:r>
        <w:rPr>
          <w:rFonts w:hint="eastAsia" w:ascii="Arial" w:hAnsi="Arial" w:eastAsia="宋体" w:cs="Arial"/>
          <w:b w:val="0"/>
          <w:snapToGrid w:val="0"/>
          <w:lang w:eastAsia="zh-CN"/>
        </w:rPr>
        <w:t>因此，一般而言，评价供血管内使用的符合以上标准输液港</w:t>
      </w:r>
      <w:r>
        <w:rPr>
          <w:rFonts w:ascii="Arial" w:hAnsi="Arial" w:eastAsia="宋体" w:cs="Arial"/>
          <w:b w:val="0"/>
          <w:snapToGrid w:val="0"/>
          <w:lang w:eastAsia="zh-CN"/>
        </w:rPr>
        <w:t>510（k）</w:t>
      </w:r>
      <w:r>
        <w:rPr>
          <w:rFonts w:hint="eastAsia" w:ascii="Arial" w:hAnsi="Arial" w:eastAsia="宋体" w:cs="Arial"/>
          <w:b w:val="0"/>
          <w:snapToGrid w:val="0"/>
          <w:lang w:eastAsia="zh-CN"/>
        </w:rPr>
        <w:t>申请的等同性时，无需</w:t>
      </w:r>
      <w:r>
        <w:rPr>
          <w:rFonts w:hint="eastAsia" w:ascii="Arial" w:hAnsi="Arial" w:eastAsia="宋体" w:cs="Arial"/>
          <w:b w:val="0"/>
          <w:snapToGrid w:val="0"/>
          <w:u w:val="single"/>
          <w:lang w:eastAsia="zh-CN"/>
        </w:rPr>
        <w:t>体内</w:t>
      </w:r>
      <w:r>
        <w:rPr>
          <w:rFonts w:hint="eastAsia" w:ascii="Arial" w:hAnsi="Arial" w:eastAsia="宋体" w:cs="Arial"/>
          <w:b w:val="0"/>
          <w:snapToGrid w:val="0"/>
          <w:lang w:eastAsia="zh-CN"/>
        </w:rPr>
        <w:t>（动物或临床）数据。然而，如下所述，在某些情况下FDA可能要求</w:t>
      </w:r>
      <w:r>
        <w:rPr>
          <w:rFonts w:hint="eastAsia" w:ascii="Arial" w:hAnsi="Arial" w:eastAsia="宋体" w:cs="Arial"/>
          <w:b w:val="0"/>
          <w:snapToGrid w:val="0"/>
          <w:u w:val="single"/>
          <w:lang w:eastAsia="zh-CN"/>
        </w:rPr>
        <w:t>体内</w:t>
      </w:r>
      <w:r>
        <w:rPr>
          <w:rFonts w:hint="eastAsia" w:ascii="Arial" w:hAnsi="Arial" w:eastAsia="宋体" w:cs="Arial"/>
          <w:b w:val="0"/>
          <w:snapToGrid w:val="0"/>
          <w:lang w:eastAsia="zh-CN"/>
        </w:rPr>
        <w:t>数据以确定等同性。</w:t>
      </w:r>
    </w:p>
    <w:p w14:paraId="02732F89">
      <w:pPr>
        <w:pStyle w:val="15"/>
        <w:shd w:val="clear" w:color="auto" w:fill="auto"/>
        <w:topLinePunct/>
        <w:adjustRightInd w:val="0"/>
        <w:snapToGrid w:val="0"/>
        <w:spacing w:after="270" w:afterLines="75" w:line="360" w:lineRule="auto"/>
        <w:ind w:firstLine="0"/>
        <w:jc w:val="both"/>
        <w:rPr>
          <w:rFonts w:ascii="Arial" w:hAnsi="Arial" w:eastAsia="宋体" w:cs="Arial"/>
          <w:b w:val="0"/>
          <w:snapToGrid w:val="0"/>
          <w:lang w:eastAsia="zh-CN"/>
        </w:rPr>
      </w:pPr>
      <w:r>
        <w:rPr>
          <w:rFonts w:hint="eastAsia" w:ascii="Arial" w:hAnsi="Arial" w:eastAsia="宋体" w:cs="Arial"/>
          <w:b w:val="0"/>
          <w:snapToGrid w:val="0"/>
          <w:lang w:eastAsia="zh-CN"/>
        </w:rPr>
        <w:t>不强制要求完全遵守本指导性文件的细节。然而，其确实提出</w:t>
      </w:r>
      <w:r>
        <w:rPr>
          <w:rFonts w:ascii="Arial" w:hAnsi="Arial" w:eastAsia="宋体" w:cs="Arial"/>
          <w:b w:val="0"/>
          <w:snapToGrid w:val="0"/>
          <w:lang w:eastAsia="zh-CN"/>
        </w:rPr>
        <w:t>510（k）</w:t>
      </w:r>
      <w:r>
        <w:rPr>
          <w:rFonts w:hint="eastAsia" w:ascii="Arial" w:hAnsi="Arial" w:eastAsia="宋体" w:cs="Arial"/>
          <w:b w:val="0"/>
          <w:snapToGrid w:val="0"/>
          <w:lang w:eastAsia="zh-CN"/>
        </w:rPr>
        <w:t>提交需解决的重要要素。可提交替代方法或对指南任何部分的修改但应提供依据。</w:t>
      </w:r>
    </w:p>
    <w:p w14:paraId="5BC40019">
      <w:pPr>
        <w:pStyle w:val="15"/>
        <w:shd w:val="clear" w:color="auto" w:fill="auto"/>
        <w:topLinePunct/>
        <w:adjustRightInd w:val="0"/>
        <w:snapToGrid w:val="0"/>
        <w:spacing w:after="270" w:afterLines="75" w:line="360" w:lineRule="auto"/>
        <w:ind w:firstLine="0"/>
        <w:jc w:val="both"/>
        <w:rPr>
          <w:rFonts w:ascii="Arial" w:hAnsi="Arial" w:eastAsia="宋体" w:cs="Arial"/>
          <w:snapToGrid w:val="0"/>
          <w:lang w:eastAsia="zh-CN"/>
        </w:rPr>
      </w:pPr>
      <w:r>
        <w:rPr>
          <w:rStyle w:val="19"/>
          <w:rFonts w:hint="eastAsia" w:ascii="Arial" w:hAnsi="Arial" w:eastAsia="宋体" w:cs="Arial"/>
          <w:b w:val="0"/>
          <w:bCs/>
          <w:snapToGrid w:val="0"/>
          <w:lang w:eastAsia="zh-CN"/>
        </w:rPr>
        <w:t>对供血管内使用植入式输液港的具体数据要求</w:t>
      </w:r>
    </w:p>
    <w:p w14:paraId="38DF938D">
      <w:pPr>
        <w:pStyle w:val="15"/>
        <w:numPr>
          <w:ilvl w:val="0"/>
          <w:numId w:val="1"/>
        </w:numPr>
        <w:shd w:val="clear" w:color="auto" w:fill="auto"/>
        <w:topLinePunct/>
        <w:adjustRightInd w:val="0"/>
        <w:snapToGrid w:val="0"/>
        <w:spacing w:after="270" w:afterLines="75" w:line="360" w:lineRule="auto"/>
        <w:jc w:val="both"/>
        <w:rPr>
          <w:rFonts w:ascii="Arial" w:hAnsi="Arial" w:eastAsia="宋体" w:cs="Arial"/>
          <w:b w:val="0"/>
          <w:snapToGrid w:val="0"/>
          <w:lang w:eastAsia="zh-CN"/>
        </w:rPr>
      </w:pPr>
      <w:r>
        <w:rPr>
          <w:rFonts w:hint="eastAsia" w:ascii="Arial" w:hAnsi="Arial" w:eastAsia="宋体" w:cs="Arial"/>
          <w:b w:val="0"/>
          <w:snapToGrid w:val="0"/>
          <w:lang w:eastAsia="zh-CN"/>
        </w:rPr>
        <w:t>器械说明</w:t>
      </w:r>
    </w:p>
    <w:p w14:paraId="30CF6463">
      <w:pPr>
        <w:pStyle w:val="15"/>
        <w:numPr>
          <w:ilvl w:val="0"/>
          <w:numId w:val="2"/>
        </w:numPr>
        <w:shd w:val="clear" w:color="auto" w:fill="auto"/>
        <w:topLinePunct/>
        <w:adjustRightInd w:val="0"/>
        <w:snapToGrid w:val="0"/>
        <w:spacing w:after="270" w:afterLines="75"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输液港和导管的质量标准</w:t>
      </w:r>
      <w:r>
        <w:rPr>
          <w:rFonts w:ascii="Arial" w:hAnsi="Arial" w:eastAsia="宋体" w:cs="Arial"/>
          <w:b w:val="0"/>
          <w:snapToGrid w:val="0"/>
          <w:lang w:eastAsia="zh-CN"/>
        </w:rPr>
        <w:t>（</w:t>
      </w:r>
      <w:r>
        <w:rPr>
          <w:rFonts w:hint="eastAsia" w:ascii="Arial" w:hAnsi="Arial" w:eastAsia="宋体" w:cs="Arial"/>
          <w:b w:val="0"/>
          <w:snapToGrid w:val="0"/>
          <w:lang w:eastAsia="zh-CN"/>
        </w:rPr>
        <w:t>质量标准也必须包含导管物理实验，例如拉伸强度、耐破度</w:t>
      </w:r>
      <w:r>
        <w:rPr>
          <w:rFonts w:ascii="Arial" w:hAnsi="Arial" w:eastAsia="宋体" w:cs="Arial"/>
          <w:b w:val="0"/>
          <w:snapToGrid w:val="0"/>
          <w:lang w:eastAsia="zh-CN"/>
        </w:rPr>
        <w:t>）</w:t>
      </w:r>
    </w:p>
    <w:p w14:paraId="2FC09C0C">
      <w:pPr>
        <w:pStyle w:val="15"/>
        <w:numPr>
          <w:ilvl w:val="0"/>
          <w:numId w:val="2"/>
        </w:numPr>
        <w:shd w:val="clear" w:color="auto" w:fill="auto"/>
        <w:topLinePunct/>
        <w:adjustRightInd w:val="0"/>
        <w:snapToGrid w:val="0"/>
        <w:spacing w:after="270" w:afterLines="75"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工程制图</w:t>
      </w:r>
      <w:r>
        <w:rPr>
          <w:rFonts w:ascii="Arial" w:hAnsi="Arial" w:eastAsia="宋体" w:cs="Arial"/>
          <w:b w:val="0"/>
          <w:snapToGrid w:val="0"/>
          <w:lang w:eastAsia="zh-CN"/>
        </w:rPr>
        <w:t>（</w:t>
      </w:r>
      <w:r>
        <w:rPr>
          <w:rFonts w:hint="eastAsia" w:ascii="Arial" w:hAnsi="Arial" w:eastAsia="宋体" w:cs="Arial"/>
          <w:b w:val="0"/>
          <w:snapToGrid w:val="0"/>
          <w:lang w:eastAsia="zh-CN"/>
        </w:rPr>
        <w:t>或等同物</w:t>
      </w:r>
      <w:r>
        <w:rPr>
          <w:rFonts w:ascii="Arial" w:hAnsi="Arial" w:eastAsia="宋体" w:cs="Arial"/>
          <w:b w:val="0"/>
          <w:snapToGrid w:val="0"/>
          <w:lang w:eastAsia="zh-CN"/>
        </w:rPr>
        <w:t>）</w:t>
      </w:r>
    </w:p>
    <w:p w14:paraId="551582A8">
      <w:pPr>
        <w:pStyle w:val="15"/>
        <w:numPr>
          <w:ilvl w:val="0"/>
          <w:numId w:val="2"/>
        </w:numPr>
        <w:shd w:val="clear" w:color="auto" w:fill="auto"/>
        <w:topLinePunct/>
        <w:adjustRightInd w:val="0"/>
        <w:snapToGrid w:val="0"/>
        <w:spacing w:after="180" w:afterLines="50"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材料的确切识别，而非简单地‘不锈钢’</w:t>
      </w:r>
    </w:p>
    <w:p w14:paraId="2B3D4334">
      <w:pPr>
        <w:rPr>
          <w:rFonts w:ascii="Arial" w:hAnsi="Arial" w:eastAsia="宋体" w:cs="Arial"/>
          <w:bCs/>
          <w:snapToGrid w:val="0"/>
          <w:lang w:eastAsia="zh-CN"/>
        </w:rPr>
      </w:pPr>
      <w:r>
        <w:rPr>
          <w:rFonts w:ascii="Arial" w:hAnsi="Arial" w:eastAsia="宋体" w:cs="Arial"/>
          <w:b/>
          <w:snapToGrid w:val="0"/>
          <w:lang w:eastAsia="zh-CN"/>
        </w:rPr>
        <w:br w:type="page"/>
      </w:r>
    </w:p>
    <w:p w14:paraId="66009540">
      <w:pPr>
        <w:pStyle w:val="15"/>
        <w:numPr>
          <w:ilvl w:val="0"/>
          <w:numId w:val="1"/>
        </w:numPr>
        <w:shd w:val="clear" w:color="auto" w:fill="auto"/>
        <w:topLinePunct/>
        <w:adjustRightInd w:val="0"/>
        <w:snapToGrid w:val="0"/>
        <w:spacing w:after="180" w:afterLines="50" w:line="360" w:lineRule="auto"/>
        <w:jc w:val="both"/>
        <w:rPr>
          <w:rFonts w:ascii="Arial" w:hAnsi="Arial" w:eastAsia="宋体" w:cs="Arial"/>
          <w:b w:val="0"/>
          <w:snapToGrid w:val="0"/>
          <w:lang w:eastAsia="zh-CN"/>
        </w:rPr>
      </w:pPr>
      <w:r>
        <w:rPr>
          <w:rFonts w:hint="eastAsia" w:ascii="Arial" w:hAnsi="Arial" w:eastAsia="宋体" w:cs="Arial"/>
          <w:b w:val="0"/>
          <w:snapToGrid w:val="0"/>
          <w:lang w:eastAsia="zh-CN"/>
        </w:rPr>
        <w:t>标签</w:t>
      </w:r>
      <w:r>
        <w:rPr>
          <w:rFonts w:ascii="Arial" w:hAnsi="Arial" w:eastAsia="宋体" w:cs="Arial"/>
          <w:b w:val="0"/>
          <w:snapToGrid w:val="0"/>
          <w:lang w:eastAsia="zh-CN"/>
        </w:rPr>
        <w:t>／</w:t>
      </w:r>
      <w:r>
        <w:rPr>
          <w:rFonts w:hint="eastAsia" w:ascii="Arial" w:hAnsi="Arial" w:eastAsia="宋体" w:cs="Arial"/>
          <w:b w:val="0"/>
          <w:snapToGrid w:val="0"/>
          <w:lang w:eastAsia="zh-CN"/>
        </w:rPr>
        <w:t>使用说明</w:t>
      </w:r>
    </w:p>
    <w:p w14:paraId="07643D84">
      <w:pPr>
        <w:pStyle w:val="15"/>
        <w:numPr>
          <w:ilvl w:val="0"/>
          <w:numId w:val="3"/>
        </w:numPr>
        <w:shd w:val="clear" w:color="auto" w:fill="auto"/>
        <w:topLinePunct/>
        <w:adjustRightInd w:val="0"/>
        <w:snapToGrid w:val="0"/>
        <w:spacing w:after="180" w:afterLines="50" w:line="360" w:lineRule="auto"/>
        <w:ind w:left="840" w:leftChars="175" w:hanging="420"/>
        <w:jc w:val="both"/>
        <w:rPr>
          <w:rFonts w:ascii="Arial" w:hAnsi="Arial" w:eastAsia="宋体" w:cs="Arial"/>
          <w:b w:val="0"/>
          <w:snapToGrid w:val="0"/>
          <w:lang w:eastAsia="zh-CN"/>
        </w:rPr>
      </w:pPr>
      <w:r>
        <w:rPr>
          <w:rFonts w:hint="eastAsia" w:ascii="Arial" w:hAnsi="Arial" w:eastAsia="宋体" w:cs="Arial"/>
          <w:b w:val="0"/>
          <w:snapToGrid w:val="0"/>
          <w:lang w:eastAsia="zh-CN"/>
        </w:rPr>
        <w:t>输液港部件的描述和质量标准</w:t>
      </w:r>
    </w:p>
    <w:p w14:paraId="4B316418">
      <w:pPr>
        <w:pStyle w:val="15"/>
        <w:numPr>
          <w:ilvl w:val="0"/>
          <w:numId w:val="3"/>
        </w:numPr>
        <w:shd w:val="clear" w:color="auto" w:fill="auto"/>
        <w:topLinePunct/>
        <w:adjustRightInd w:val="0"/>
        <w:snapToGrid w:val="0"/>
        <w:spacing w:after="180" w:afterLines="50" w:line="360" w:lineRule="auto"/>
        <w:ind w:left="840" w:leftChars="175" w:hanging="420"/>
        <w:jc w:val="both"/>
        <w:rPr>
          <w:rFonts w:ascii="Arial" w:hAnsi="Arial" w:eastAsia="宋体" w:cs="Arial"/>
          <w:snapToGrid w:val="0"/>
          <w:lang w:eastAsia="zh-CN"/>
        </w:rPr>
      </w:pPr>
      <w:r>
        <w:rPr>
          <w:rFonts w:hint="eastAsia" w:ascii="Arial" w:hAnsi="Arial" w:eastAsia="宋体" w:cs="Arial"/>
          <w:b w:val="0"/>
          <w:snapToGrid w:val="0"/>
          <w:lang w:eastAsia="zh-CN"/>
        </w:rPr>
        <w:t>适应症／给药途径，例如静脉内（</w:t>
      </w:r>
      <w:r>
        <w:rPr>
          <w:rFonts w:ascii="Arial" w:hAnsi="Arial" w:eastAsia="宋体" w:cs="Arial"/>
          <w:b w:val="0"/>
          <w:snapToGrid w:val="0"/>
          <w:lang w:eastAsia="zh-CN"/>
        </w:rPr>
        <w:t>IV</w:t>
      </w:r>
      <w:r>
        <w:rPr>
          <w:rFonts w:hint="eastAsia" w:ascii="Arial" w:hAnsi="Arial" w:eastAsia="宋体" w:cs="Arial"/>
          <w:b w:val="0"/>
          <w:snapToGrid w:val="0"/>
          <w:lang w:eastAsia="zh-CN"/>
        </w:rPr>
        <w:t>）、动脉内（</w:t>
      </w:r>
      <w:r>
        <w:rPr>
          <w:rFonts w:ascii="Arial" w:hAnsi="Arial" w:eastAsia="宋体" w:cs="Arial"/>
          <w:b w:val="0"/>
          <w:snapToGrid w:val="0"/>
          <w:lang w:eastAsia="zh-CN"/>
        </w:rPr>
        <w:t>IA</w:t>
      </w:r>
      <w:r>
        <w:rPr>
          <w:rFonts w:hint="eastAsia" w:ascii="Arial" w:hAnsi="Arial" w:eastAsia="宋体" w:cs="Arial"/>
          <w:b w:val="0"/>
          <w:snapToGrid w:val="0"/>
          <w:lang w:eastAsia="zh-CN"/>
        </w:rPr>
        <w:t>）、采血、给药、弹丸式给药、持续给药等。</w:t>
      </w:r>
    </w:p>
    <w:p w14:paraId="30B68F33">
      <w:pPr>
        <w:pStyle w:val="15"/>
        <w:shd w:val="clear" w:color="auto" w:fill="auto"/>
        <w:topLinePunct/>
        <w:adjustRightInd w:val="0"/>
        <w:snapToGrid w:val="0"/>
        <w:spacing w:after="180" w:afterLines="50"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注意：如果标签中指出通过输液港注入的任何具体药物，则药物用于指出的给药途径必须得到批准。</w:t>
      </w:r>
    </w:p>
    <w:p w14:paraId="3C97AC30">
      <w:pPr>
        <w:pStyle w:val="15"/>
        <w:numPr>
          <w:ilvl w:val="0"/>
          <w:numId w:val="3"/>
        </w:numPr>
        <w:shd w:val="clear" w:color="auto" w:fill="auto"/>
        <w:topLinePunct/>
        <w:adjustRightInd w:val="0"/>
        <w:snapToGrid w:val="0"/>
        <w:spacing w:after="180" w:afterLines="50" w:line="360" w:lineRule="auto"/>
        <w:ind w:left="840" w:leftChars="175" w:hanging="420"/>
        <w:jc w:val="both"/>
        <w:rPr>
          <w:rFonts w:ascii="Arial" w:hAnsi="Arial" w:eastAsia="宋体" w:cs="Arial"/>
          <w:b w:val="0"/>
          <w:snapToGrid w:val="0"/>
          <w:lang w:eastAsia="zh-CN"/>
        </w:rPr>
      </w:pPr>
      <w:r>
        <w:rPr>
          <w:rFonts w:hint="eastAsia" w:ascii="Arial" w:hAnsi="Arial" w:eastAsia="宋体" w:cs="Arial"/>
          <w:b w:val="0"/>
          <w:snapToGrid w:val="0"/>
          <w:lang w:eastAsia="zh-CN"/>
        </w:rPr>
        <w:t>对于有已知或疑似感染、过敏或</w:t>
      </w:r>
      <w:bookmarkStart w:id="7" w:name="OLE_LINK24"/>
      <w:bookmarkStart w:id="8" w:name="OLE_LINK23"/>
      <w:r>
        <w:rPr>
          <w:rFonts w:hint="eastAsia" w:ascii="Arial" w:hAnsi="Arial" w:eastAsia="宋体" w:cs="Arial"/>
          <w:b w:val="0"/>
          <w:snapToGrid w:val="0"/>
          <w:lang w:eastAsia="zh-CN"/>
        </w:rPr>
        <w:t>植入物不耐受</w:t>
      </w:r>
      <w:bookmarkEnd w:id="7"/>
      <w:bookmarkEnd w:id="8"/>
      <w:r>
        <w:rPr>
          <w:rFonts w:hint="eastAsia" w:ascii="Arial" w:hAnsi="Arial" w:eastAsia="宋体" w:cs="Arial"/>
          <w:b w:val="0"/>
          <w:snapToGrid w:val="0"/>
          <w:lang w:eastAsia="zh-CN"/>
        </w:rPr>
        <w:t>人员的禁忌症</w:t>
      </w:r>
    </w:p>
    <w:p w14:paraId="2083B2F3">
      <w:pPr>
        <w:pStyle w:val="15"/>
        <w:numPr>
          <w:ilvl w:val="0"/>
          <w:numId w:val="3"/>
        </w:numPr>
        <w:shd w:val="clear" w:color="auto" w:fill="auto"/>
        <w:topLinePunct/>
        <w:adjustRightInd w:val="0"/>
        <w:snapToGrid w:val="0"/>
        <w:spacing w:after="180" w:afterLines="50" w:line="360" w:lineRule="auto"/>
        <w:ind w:left="840" w:leftChars="175" w:hanging="420"/>
        <w:jc w:val="both"/>
        <w:rPr>
          <w:rFonts w:ascii="Arial" w:hAnsi="Arial" w:eastAsia="宋体" w:cs="Arial"/>
          <w:b w:val="0"/>
          <w:snapToGrid w:val="0"/>
          <w:lang w:eastAsia="zh-CN"/>
        </w:rPr>
      </w:pPr>
      <w:r>
        <w:rPr>
          <w:rFonts w:hint="eastAsia" w:ascii="Arial" w:hAnsi="Arial" w:eastAsia="宋体" w:cs="Arial"/>
          <w:b w:val="0"/>
          <w:snapToGrid w:val="0"/>
          <w:lang w:eastAsia="zh-CN"/>
        </w:rPr>
        <w:t>并发症</w:t>
      </w:r>
    </w:p>
    <w:p w14:paraId="4C4EFD0E">
      <w:pPr>
        <w:pStyle w:val="15"/>
        <w:numPr>
          <w:ilvl w:val="0"/>
          <w:numId w:val="3"/>
        </w:numPr>
        <w:shd w:val="clear" w:color="auto" w:fill="auto"/>
        <w:topLinePunct/>
        <w:adjustRightInd w:val="0"/>
        <w:snapToGrid w:val="0"/>
        <w:spacing w:after="180" w:afterLines="50" w:line="360" w:lineRule="auto"/>
        <w:ind w:left="840" w:leftChars="175" w:hanging="420"/>
        <w:jc w:val="both"/>
        <w:rPr>
          <w:rFonts w:ascii="Arial" w:hAnsi="Arial" w:eastAsia="宋体" w:cs="Arial"/>
          <w:b w:val="0"/>
          <w:snapToGrid w:val="0"/>
          <w:lang w:eastAsia="zh-CN"/>
        </w:rPr>
      </w:pPr>
      <w:r>
        <w:rPr>
          <w:rFonts w:hint="eastAsia" w:ascii="Arial" w:hAnsi="Arial" w:eastAsia="宋体" w:cs="Arial"/>
          <w:b w:val="0"/>
          <w:snapToGrid w:val="0"/>
          <w:lang w:eastAsia="zh-CN"/>
        </w:rPr>
        <w:t>警告和注意事项</w:t>
      </w:r>
    </w:p>
    <w:p w14:paraId="3C28F2F7">
      <w:pPr>
        <w:pStyle w:val="15"/>
        <w:numPr>
          <w:ilvl w:val="0"/>
          <w:numId w:val="3"/>
        </w:numPr>
        <w:shd w:val="clear" w:color="auto" w:fill="auto"/>
        <w:topLinePunct/>
        <w:adjustRightInd w:val="0"/>
        <w:snapToGrid w:val="0"/>
        <w:spacing w:after="180" w:afterLines="50" w:line="360" w:lineRule="auto"/>
        <w:ind w:left="840" w:leftChars="175" w:hanging="420"/>
        <w:jc w:val="both"/>
        <w:rPr>
          <w:rFonts w:ascii="Arial" w:hAnsi="Arial" w:eastAsia="宋体" w:cs="Arial"/>
          <w:b w:val="0"/>
          <w:snapToGrid w:val="0"/>
          <w:lang w:eastAsia="zh-CN"/>
        </w:rPr>
      </w:pPr>
      <w:r>
        <w:rPr>
          <w:rFonts w:hint="eastAsia" w:ascii="Arial" w:hAnsi="Arial" w:eastAsia="宋体" w:cs="Arial"/>
          <w:b w:val="0"/>
          <w:snapToGrid w:val="0"/>
          <w:lang w:eastAsia="zh-CN"/>
        </w:rPr>
        <w:t>位置选择</w:t>
      </w:r>
    </w:p>
    <w:p w14:paraId="566814AD">
      <w:pPr>
        <w:pStyle w:val="15"/>
        <w:numPr>
          <w:ilvl w:val="0"/>
          <w:numId w:val="3"/>
        </w:numPr>
        <w:shd w:val="clear" w:color="auto" w:fill="auto"/>
        <w:topLinePunct/>
        <w:adjustRightInd w:val="0"/>
        <w:snapToGrid w:val="0"/>
        <w:spacing w:after="180" w:afterLines="50" w:line="360" w:lineRule="auto"/>
        <w:ind w:left="420" w:leftChars="175" w:firstLine="0"/>
        <w:jc w:val="both"/>
        <w:rPr>
          <w:rFonts w:ascii="Arial" w:hAnsi="Arial" w:eastAsia="宋体" w:cs="Arial"/>
          <w:b w:val="0"/>
          <w:snapToGrid w:val="0"/>
        </w:rPr>
      </w:pPr>
      <w:r>
        <w:rPr>
          <w:rFonts w:hint="eastAsia" w:ascii="Arial" w:hAnsi="Arial" w:eastAsia="宋体" w:cs="Arial"/>
          <w:b w:val="0"/>
          <w:snapToGrid w:val="0"/>
          <w:lang w:eastAsia="zh-CN"/>
        </w:rPr>
        <w:t>植入</w:t>
      </w:r>
    </w:p>
    <w:p w14:paraId="400C5413">
      <w:pPr>
        <w:pStyle w:val="15"/>
        <w:shd w:val="clear" w:color="auto" w:fill="auto"/>
        <w:topLinePunct/>
        <w:adjustRightInd w:val="0"/>
        <w:snapToGrid w:val="0"/>
        <w:spacing w:after="0"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患者准备</w:t>
      </w:r>
    </w:p>
    <w:p w14:paraId="3C110266">
      <w:pPr>
        <w:pStyle w:val="15"/>
        <w:shd w:val="clear" w:color="auto" w:fill="auto"/>
        <w:topLinePunct/>
        <w:adjustRightInd w:val="0"/>
        <w:snapToGrid w:val="0"/>
        <w:spacing w:after="0"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输液港准备</w:t>
      </w:r>
    </w:p>
    <w:p w14:paraId="134AA806">
      <w:pPr>
        <w:pStyle w:val="15"/>
        <w:shd w:val="clear" w:color="auto" w:fill="auto"/>
        <w:topLinePunct/>
        <w:adjustRightInd w:val="0"/>
        <w:snapToGrid w:val="0"/>
        <w:spacing w:after="0"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植入程序</w:t>
      </w:r>
    </w:p>
    <w:p w14:paraId="1DCA6051">
      <w:pPr>
        <w:pStyle w:val="15"/>
        <w:shd w:val="clear" w:color="auto" w:fill="auto"/>
        <w:topLinePunct/>
        <w:adjustRightInd w:val="0"/>
        <w:snapToGrid w:val="0"/>
        <w:spacing w:after="180" w:afterLines="50"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术后护理</w:t>
      </w:r>
    </w:p>
    <w:p w14:paraId="318EA2ED">
      <w:pPr>
        <w:pStyle w:val="15"/>
        <w:numPr>
          <w:ilvl w:val="0"/>
          <w:numId w:val="3"/>
        </w:numPr>
        <w:shd w:val="clear" w:color="auto" w:fill="auto"/>
        <w:topLinePunct/>
        <w:adjustRightInd w:val="0"/>
        <w:snapToGrid w:val="0"/>
        <w:spacing w:after="180" w:afterLines="50" w:line="360" w:lineRule="auto"/>
        <w:ind w:left="840" w:leftChars="175" w:hanging="420"/>
        <w:jc w:val="both"/>
        <w:rPr>
          <w:rFonts w:ascii="Arial" w:hAnsi="Arial" w:eastAsia="宋体" w:cs="Arial"/>
          <w:b w:val="0"/>
          <w:snapToGrid w:val="0"/>
          <w:lang w:eastAsia="zh-CN"/>
        </w:rPr>
      </w:pPr>
      <w:r>
        <w:rPr>
          <w:rFonts w:hint="eastAsia" w:ascii="Arial" w:hAnsi="Arial" w:eastAsia="宋体" w:cs="Arial"/>
          <w:b w:val="0"/>
          <w:snapToGrid w:val="0"/>
          <w:lang w:eastAsia="zh-CN"/>
        </w:rPr>
        <w:t>使用输液港进行静脉推注（和持续输注，如果适用）或采血，注意所用针头型号和尺寸，肝素使用和清理堵塞</w:t>
      </w:r>
    </w:p>
    <w:p w14:paraId="5AE0A1A5">
      <w:pPr>
        <w:pStyle w:val="15"/>
        <w:numPr>
          <w:ilvl w:val="0"/>
          <w:numId w:val="1"/>
        </w:numPr>
        <w:shd w:val="clear" w:color="auto" w:fill="auto"/>
        <w:topLinePunct/>
        <w:adjustRightInd w:val="0"/>
        <w:snapToGrid w:val="0"/>
        <w:spacing w:after="180" w:afterLines="50" w:line="360" w:lineRule="auto"/>
        <w:jc w:val="both"/>
        <w:rPr>
          <w:rFonts w:ascii="Arial" w:hAnsi="Arial" w:eastAsia="宋体" w:cs="Arial"/>
          <w:b w:val="0"/>
          <w:snapToGrid w:val="0"/>
          <w:lang w:eastAsia="zh-CN"/>
        </w:rPr>
      </w:pPr>
      <w:r>
        <w:rPr>
          <w:rFonts w:hint="eastAsia" w:ascii="Arial" w:hAnsi="Arial" w:eastAsia="宋体" w:cs="Arial"/>
          <w:b w:val="0"/>
          <w:snapToGrid w:val="0"/>
          <w:lang w:eastAsia="zh-CN"/>
        </w:rPr>
        <w:t>对照表</w:t>
      </w:r>
    </w:p>
    <w:p w14:paraId="22E294D9">
      <w:pPr>
        <w:pStyle w:val="15"/>
        <w:numPr>
          <w:ilvl w:val="0"/>
          <w:numId w:val="4"/>
        </w:numPr>
        <w:shd w:val="clear" w:color="auto" w:fill="auto"/>
        <w:topLinePunct/>
        <w:adjustRightInd w:val="0"/>
        <w:snapToGrid w:val="0"/>
        <w:spacing w:after="180" w:afterLines="50"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类似输液港vs质量标准网格</w:t>
      </w:r>
    </w:p>
    <w:p w14:paraId="613D10ED">
      <w:pPr>
        <w:pStyle w:val="15"/>
        <w:shd w:val="clear" w:color="auto" w:fill="auto"/>
        <w:topLinePunct/>
        <w:adjustRightInd w:val="0"/>
        <w:snapToGrid w:val="0"/>
        <w:spacing w:after="180" w:afterLines="50"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提供比较主题器械和其他输液港声称等同性的可比特征网格</w:t>
      </w:r>
    </w:p>
    <w:p w14:paraId="5470C065">
      <w:pPr>
        <w:pStyle w:val="15"/>
        <w:shd w:val="clear" w:color="auto" w:fill="auto"/>
        <w:tabs>
          <w:tab w:val="left" w:pos="8575"/>
        </w:tabs>
        <w:topLinePunct/>
        <w:adjustRightInd w:val="0"/>
        <w:snapToGrid w:val="0"/>
        <w:spacing w:after="180" w:afterLines="50"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质量标准包括尺寸、储液量、导管内径／外径、材料、隔膜尺寸、导管和导管锁定系统。</w:t>
      </w:r>
    </w:p>
    <w:p w14:paraId="245A0C45">
      <w:pPr>
        <w:pStyle w:val="15"/>
        <w:numPr>
          <w:ilvl w:val="0"/>
          <w:numId w:val="4"/>
        </w:numPr>
        <w:shd w:val="clear" w:color="auto" w:fill="auto"/>
        <w:topLinePunct/>
        <w:adjustRightInd w:val="0"/>
        <w:snapToGrid w:val="0"/>
        <w:spacing w:after="180" w:afterLines="50"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提供一份基于网格的详细可比性分析。</w:t>
      </w:r>
    </w:p>
    <w:p w14:paraId="7CAB439B">
      <w:pPr>
        <w:pStyle w:val="15"/>
        <w:numPr>
          <w:ilvl w:val="0"/>
          <w:numId w:val="1"/>
        </w:numPr>
        <w:shd w:val="clear" w:color="auto" w:fill="auto"/>
        <w:topLinePunct/>
        <w:adjustRightInd w:val="0"/>
        <w:snapToGrid w:val="0"/>
        <w:spacing w:after="180" w:afterLines="50" w:line="360" w:lineRule="auto"/>
        <w:jc w:val="both"/>
        <w:rPr>
          <w:rFonts w:ascii="Arial" w:hAnsi="Arial" w:eastAsia="宋体" w:cs="Arial"/>
          <w:b w:val="0"/>
          <w:snapToGrid w:val="0"/>
          <w:lang w:eastAsia="zh-CN"/>
        </w:rPr>
      </w:pPr>
      <w:r>
        <w:rPr>
          <w:rFonts w:hint="eastAsia" w:ascii="Arial" w:hAnsi="Arial" w:eastAsia="宋体" w:cs="Arial"/>
          <w:b w:val="0"/>
          <w:snapToGrid w:val="0"/>
          <w:lang w:eastAsia="zh-CN"/>
        </w:rPr>
        <w:t>如果可能，提供一个样品。</w:t>
      </w:r>
    </w:p>
    <w:p w14:paraId="24997745">
      <w:pPr>
        <w:pStyle w:val="15"/>
        <w:numPr>
          <w:ilvl w:val="0"/>
          <w:numId w:val="1"/>
        </w:numPr>
        <w:shd w:val="clear" w:color="auto" w:fill="auto"/>
        <w:topLinePunct/>
        <w:adjustRightInd w:val="0"/>
        <w:snapToGrid w:val="0"/>
        <w:spacing w:after="180" w:afterLines="50" w:line="360" w:lineRule="auto"/>
        <w:jc w:val="both"/>
        <w:rPr>
          <w:rFonts w:ascii="Arial" w:hAnsi="Arial" w:eastAsia="宋体" w:cs="Arial"/>
          <w:snapToGrid w:val="0"/>
          <w:lang w:eastAsia="zh-CN"/>
        </w:rPr>
      </w:pPr>
      <w:r>
        <w:rPr>
          <w:rStyle w:val="19"/>
          <w:rFonts w:hint="eastAsia" w:ascii="Arial" w:hAnsi="Arial" w:eastAsia="宋体" w:cs="Arial"/>
          <w:b w:val="0"/>
          <w:bCs/>
          <w:snapToGrid w:val="0"/>
          <w:lang w:eastAsia="zh-CN"/>
        </w:rPr>
        <w:t>体外</w:t>
      </w:r>
      <w:r>
        <w:rPr>
          <w:rFonts w:hint="eastAsia" w:ascii="Arial" w:hAnsi="Arial" w:eastAsia="宋体" w:cs="Arial"/>
          <w:b w:val="0"/>
          <w:snapToGrid w:val="0"/>
          <w:lang w:eastAsia="zh-CN"/>
        </w:rPr>
        <w:t>试验数据</w:t>
      </w:r>
    </w:p>
    <w:p w14:paraId="1B2A5A4F">
      <w:pPr>
        <w:pStyle w:val="15"/>
        <w:shd w:val="clear" w:color="auto" w:fill="auto"/>
        <w:tabs>
          <w:tab w:val="left" w:pos="1849"/>
        </w:tabs>
        <w:topLinePunct/>
        <w:adjustRightInd w:val="0"/>
        <w:snapToGrid w:val="0"/>
        <w:spacing w:after="180" w:afterLines="50"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注意：所有</w:t>
      </w:r>
      <w:r>
        <w:rPr>
          <w:rFonts w:hint="eastAsia" w:ascii="Arial" w:hAnsi="Arial" w:eastAsia="宋体" w:cs="Arial"/>
          <w:b w:val="0"/>
          <w:snapToGrid w:val="0"/>
          <w:u w:val="single"/>
          <w:lang w:eastAsia="zh-CN"/>
        </w:rPr>
        <w:t>体外</w:t>
      </w:r>
      <w:r>
        <w:rPr>
          <w:rFonts w:hint="eastAsia" w:ascii="Arial" w:hAnsi="Arial" w:eastAsia="宋体" w:cs="Arial"/>
          <w:b w:val="0"/>
          <w:snapToGrid w:val="0"/>
          <w:lang w:eastAsia="zh-CN"/>
        </w:rPr>
        <w:t>评价应由重复性试验和每段测试的完整统计分析组成。必须陈述每项试验的合格／不合格标准并根据实际使用环境证明其合理。制造商必须提交每项试验的方案、结果和数据分析、任何故障解释和结论。在对本指南进行下一次重大修订时（</w:t>
      </w:r>
      <w:r>
        <w:rPr>
          <w:rFonts w:ascii="Arial" w:hAnsi="Arial" w:eastAsia="宋体" w:cs="Arial"/>
          <w:b w:val="0"/>
          <w:snapToGrid w:val="0"/>
          <w:lang w:eastAsia="zh-CN"/>
        </w:rPr>
        <w:t>1991</w:t>
      </w:r>
      <w:r>
        <w:rPr>
          <w:rFonts w:hint="eastAsia" w:ascii="Arial" w:hAnsi="Arial" w:eastAsia="宋体" w:cs="Arial"/>
          <w:b w:val="0"/>
          <w:snapToGrid w:val="0"/>
          <w:lang w:eastAsia="zh-CN"/>
        </w:rPr>
        <w:t>年末）FDA将基于</w:t>
      </w:r>
      <w:r>
        <w:rPr>
          <w:rFonts w:ascii="Arial" w:hAnsi="Arial" w:eastAsia="宋体" w:cs="Arial"/>
          <w:b w:val="0"/>
          <w:snapToGrid w:val="0"/>
          <w:lang w:eastAsia="zh-CN"/>
        </w:rPr>
        <w:t>510（k）</w:t>
      </w:r>
      <w:r>
        <w:rPr>
          <w:rFonts w:hint="eastAsia" w:ascii="Arial" w:hAnsi="Arial" w:eastAsia="宋体" w:cs="Arial"/>
          <w:b w:val="0"/>
          <w:snapToGrid w:val="0"/>
          <w:lang w:eastAsia="zh-CN"/>
        </w:rPr>
        <w:t>中的文献和比较数据提供针对合格／不合格标准的定量信息。在此期间，仅描述定性标准。</w:t>
      </w:r>
    </w:p>
    <w:p w14:paraId="07374BD4">
      <w:pPr>
        <w:pStyle w:val="15"/>
        <w:numPr>
          <w:ilvl w:val="0"/>
          <w:numId w:val="5"/>
        </w:numPr>
        <w:shd w:val="clear" w:color="auto" w:fill="auto"/>
        <w:topLinePunct/>
        <w:adjustRightInd w:val="0"/>
        <w:snapToGrid w:val="0"/>
        <w:spacing w:after="270" w:afterLines="75"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导管与输液港连接试验</w:t>
      </w:r>
    </w:p>
    <w:p w14:paraId="48A27888">
      <w:pPr>
        <w:pStyle w:val="15"/>
        <w:shd w:val="clear" w:color="auto" w:fill="auto"/>
        <w:tabs>
          <w:tab w:val="left" w:pos="2971"/>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目的：测试导管与输液港的连接强度。</w:t>
      </w:r>
    </w:p>
    <w:p w14:paraId="37BADB52">
      <w:pPr>
        <w:pStyle w:val="15"/>
        <w:shd w:val="clear" w:color="auto" w:fill="auto"/>
        <w:tabs>
          <w:tab w:val="left" w:pos="2310"/>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合格：连接强度符合基于最坏</w:t>
      </w:r>
      <w:r>
        <w:rPr>
          <w:rFonts w:hint="eastAsia" w:ascii="Arial" w:hAnsi="Arial" w:eastAsia="宋体" w:cs="Arial"/>
          <w:b w:val="0"/>
          <w:snapToGrid w:val="0"/>
          <w:u w:val="single"/>
          <w:lang w:eastAsia="zh-CN"/>
        </w:rPr>
        <w:t>体内</w:t>
      </w:r>
      <w:r>
        <w:rPr>
          <w:rFonts w:hint="eastAsia" w:ascii="Arial" w:hAnsi="Arial" w:eastAsia="宋体" w:cs="Arial"/>
          <w:b w:val="0"/>
          <w:snapToGrid w:val="0"/>
          <w:lang w:eastAsia="zh-CN"/>
        </w:rPr>
        <w:t>条件确定的质量标准。</w:t>
      </w:r>
    </w:p>
    <w:p w14:paraId="538CED19">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在干燥和湿润环境下测试导管与输液港连接。湿润环境模拟导管与输液港连接将处于的外部和内部液体环境，例如组织液、血液、药物或冲洗液。可首先测试一系列外部湿润环境，然后将导管与输液港连接暴露于一系列组合外部和内部湿润环境。内部模拟介质应包含生理盐水、水、葡萄糖、肝素锁、肝素化血液和／或近似血液粘度的液体（见下文的血液模拟液体示例）。外部介质可包含以上提到的物质但必须至少包含实际或模拟血液介质。</w:t>
      </w:r>
    </w:p>
    <w:p w14:paraId="4896DE5B">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除非标签表明在植入之前连接，否则未经制造商预先连接的输液港和导管必须在湿润介质中连接。</w:t>
      </w:r>
    </w:p>
    <w:p w14:paraId="33E4D605">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荷载情况根据实际使用情况变化。为模拟遇到的变量，应考虑几种类型的重复模拟。这些包括：</w:t>
      </w:r>
    </w:p>
    <w:p w14:paraId="546544E1">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ascii="Arial" w:hAnsi="Arial" w:eastAsia="宋体" w:cs="Arial"/>
          <w:b w:val="0"/>
          <w:snapToGrid w:val="0"/>
          <w:lang w:eastAsia="zh-CN"/>
        </w:rPr>
        <w:t>（1.）</w:t>
      </w:r>
      <w:r>
        <w:rPr>
          <w:rFonts w:hint="eastAsia" w:ascii="Arial" w:hAnsi="Arial" w:eastAsia="宋体" w:cs="Arial"/>
          <w:b w:val="0"/>
          <w:snapToGrid w:val="0"/>
          <w:lang w:eastAsia="zh-CN"/>
        </w:rPr>
        <w:t>每项试验的轴向和横向荷载</w:t>
      </w:r>
    </w:p>
    <w:p w14:paraId="30026F73">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ascii="Arial" w:hAnsi="Arial" w:eastAsia="宋体" w:cs="Arial"/>
          <w:b w:val="0"/>
          <w:snapToGrid w:val="0"/>
          <w:lang w:eastAsia="zh-CN"/>
        </w:rPr>
        <w:t>（2.）</w:t>
      </w:r>
      <w:r>
        <w:rPr>
          <w:rFonts w:hint="eastAsia" w:ascii="Arial" w:hAnsi="Arial" w:eastAsia="宋体" w:cs="Arial"/>
          <w:b w:val="0"/>
          <w:snapToGrid w:val="0"/>
          <w:lang w:eastAsia="zh-CN"/>
        </w:rPr>
        <w:t>施加与质量标准相等荷载并持续</w:t>
      </w:r>
      <w:r>
        <w:rPr>
          <w:rFonts w:ascii="Arial" w:hAnsi="Arial" w:eastAsia="宋体" w:cs="Arial"/>
          <w:b w:val="0"/>
          <w:snapToGrid w:val="0"/>
          <w:lang w:eastAsia="zh-CN"/>
        </w:rPr>
        <w:t>5-10</w:t>
      </w:r>
      <w:r>
        <w:rPr>
          <w:rFonts w:hint="eastAsia" w:ascii="Arial" w:hAnsi="Arial" w:eastAsia="宋体" w:cs="Arial"/>
          <w:b w:val="0"/>
          <w:snapToGrid w:val="0"/>
          <w:lang w:eastAsia="zh-CN"/>
        </w:rPr>
        <w:t>秒的试验</w:t>
      </w:r>
    </w:p>
    <w:p w14:paraId="45A21896">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ascii="Arial" w:hAnsi="Arial" w:eastAsia="宋体" w:cs="Arial"/>
          <w:b w:val="0"/>
          <w:snapToGrid w:val="0"/>
          <w:lang w:eastAsia="zh-CN"/>
        </w:rPr>
        <w:t>（3.）</w:t>
      </w:r>
      <w:r>
        <w:rPr>
          <w:rFonts w:hint="eastAsia" w:ascii="Arial" w:hAnsi="Arial" w:eastAsia="宋体" w:cs="Arial"/>
          <w:b w:val="0"/>
          <w:snapToGrid w:val="0"/>
          <w:lang w:eastAsia="zh-CN"/>
        </w:rPr>
        <w:t>连接暴露于湿润介质</w:t>
      </w:r>
      <w:r>
        <w:rPr>
          <w:rFonts w:ascii="Arial" w:hAnsi="Arial" w:eastAsia="宋体" w:cs="Arial"/>
          <w:b w:val="0"/>
          <w:snapToGrid w:val="0"/>
          <w:lang w:eastAsia="zh-CN"/>
        </w:rPr>
        <w:t>72</w:t>
      </w:r>
      <w:r>
        <w:rPr>
          <w:rFonts w:hint="eastAsia" w:ascii="Arial" w:hAnsi="Arial" w:eastAsia="宋体" w:cs="Arial"/>
          <w:b w:val="0"/>
          <w:snapToGrid w:val="0"/>
          <w:lang w:eastAsia="zh-CN"/>
        </w:rPr>
        <w:t>小时后施加与质量标准相等荷载的试验</w:t>
      </w:r>
    </w:p>
    <w:p w14:paraId="2029687A">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ascii="Arial" w:hAnsi="Arial" w:eastAsia="宋体" w:cs="Arial"/>
          <w:snapToGrid w:val="0"/>
          <w:lang w:eastAsia="zh-CN"/>
        </w:rPr>
        <w:br w:type="page"/>
      </w:r>
      <w:r>
        <w:rPr>
          <w:rFonts w:ascii="Arial" w:hAnsi="Arial" w:eastAsia="宋体" w:cs="Arial"/>
          <w:b w:val="0"/>
          <w:snapToGrid w:val="0"/>
          <w:lang w:eastAsia="zh-CN"/>
        </w:rPr>
        <w:t>（4.）</w:t>
      </w:r>
      <w:r>
        <w:rPr>
          <w:rFonts w:hint="eastAsia" w:ascii="Arial" w:hAnsi="Arial" w:eastAsia="宋体" w:cs="Arial"/>
          <w:b w:val="0"/>
          <w:snapToGrid w:val="0"/>
          <w:lang w:eastAsia="zh-CN"/>
        </w:rPr>
        <w:t>不断增加荷载直至发生故障的试验</w:t>
      </w:r>
    </w:p>
    <w:p w14:paraId="7BFEA995">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ascii="Arial" w:hAnsi="Arial" w:eastAsia="宋体" w:cs="Arial"/>
          <w:b w:val="0"/>
          <w:snapToGrid w:val="0"/>
          <w:lang w:eastAsia="zh-CN"/>
        </w:rPr>
        <w:t>（5.）</w:t>
      </w:r>
      <w:r>
        <w:rPr>
          <w:rFonts w:hint="eastAsia" w:ascii="Arial" w:hAnsi="Arial" w:eastAsia="宋体" w:cs="Arial"/>
          <w:b w:val="0"/>
          <w:snapToGrid w:val="0"/>
          <w:lang w:eastAsia="zh-CN"/>
        </w:rPr>
        <w:t>将输液港置于湿润介质中，施加最小荷载1-2周以评价任何滑动的试验</w:t>
      </w:r>
    </w:p>
    <w:p w14:paraId="767B8593">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ascii="Arial" w:hAnsi="Arial" w:eastAsia="宋体" w:cs="Arial"/>
          <w:b w:val="0"/>
          <w:snapToGrid w:val="0"/>
          <w:lang w:eastAsia="zh-CN"/>
        </w:rPr>
        <w:t>（6.）</w:t>
      </w:r>
      <w:r>
        <w:rPr>
          <w:rFonts w:hint="eastAsia" w:ascii="Arial" w:hAnsi="Arial" w:eastAsia="宋体" w:cs="Arial"/>
          <w:b w:val="0"/>
          <w:snapToGrid w:val="0"/>
          <w:lang w:eastAsia="zh-CN"/>
        </w:rPr>
        <w:t>持续1-2周的循环荷载试验</w:t>
      </w:r>
    </w:p>
    <w:p w14:paraId="56672ED2">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试验应证明导管符合质量标准或连接的合格／不合格标准且在荷载压力下不会泄露到空气中。</w:t>
      </w:r>
    </w:p>
    <w:p w14:paraId="06C5F737">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为确定连接强度，可从湿润介质中移除导管／输液港（如果必要）但连接必须保持湿润。</w:t>
      </w:r>
    </w:p>
    <w:p w14:paraId="3B1DB3CB">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准备盐水／甘油溶液：将蒸馏去离子水与</w:t>
      </w:r>
      <w:r>
        <w:rPr>
          <w:rFonts w:ascii="Arial" w:hAnsi="Arial" w:eastAsia="宋体" w:cs="Arial"/>
          <w:b w:val="0"/>
          <w:snapToGrid w:val="0"/>
          <w:lang w:eastAsia="zh-CN"/>
        </w:rPr>
        <w:t>45%</w:t>
      </w:r>
      <w:r>
        <w:rPr>
          <w:rFonts w:hint="eastAsia" w:ascii="Arial" w:hAnsi="Arial" w:eastAsia="宋体" w:cs="Arial"/>
          <w:b w:val="0"/>
          <w:snapToGrid w:val="0"/>
          <w:lang w:eastAsia="zh-CN"/>
        </w:rPr>
        <w:t>甘油混合（重量比）。用氯化钠（</w:t>
      </w:r>
      <w:r>
        <w:rPr>
          <w:rFonts w:ascii="Arial" w:hAnsi="Arial" w:eastAsia="宋体" w:cs="Arial"/>
          <w:b w:val="0"/>
          <w:snapToGrid w:val="0"/>
          <w:lang w:eastAsia="zh-CN"/>
        </w:rPr>
        <w:t>2.9 gm/1）</w:t>
      </w:r>
      <w:r>
        <w:rPr>
          <w:rFonts w:hint="eastAsia" w:ascii="Arial" w:hAnsi="Arial" w:eastAsia="宋体" w:cs="Arial"/>
          <w:b w:val="0"/>
          <w:snapToGrid w:val="0"/>
          <w:lang w:eastAsia="zh-CN"/>
        </w:rPr>
        <w:t>进行滴定，直到</w:t>
      </w:r>
      <w:r>
        <w:rPr>
          <w:rFonts w:ascii="Arial" w:hAnsi="Arial" w:eastAsia="宋体" w:cs="Arial"/>
          <w:b w:val="0"/>
          <w:snapToGrid w:val="0"/>
          <w:lang w:eastAsia="zh-CN"/>
        </w:rPr>
        <w:t>37°C</w:t>
      </w:r>
      <w:r>
        <w:rPr>
          <w:rFonts w:hint="eastAsia" w:ascii="Arial" w:hAnsi="Arial" w:eastAsia="宋体" w:cs="Arial"/>
          <w:b w:val="0"/>
          <w:snapToGrid w:val="0"/>
          <w:lang w:eastAsia="zh-CN"/>
        </w:rPr>
        <w:t>时其阻抗大约为</w:t>
      </w:r>
      <w:r>
        <w:rPr>
          <w:rFonts w:ascii="Arial" w:hAnsi="Arial" w:eastAsia="宋体" w:cs="Arial"/>
          <w:b w:val="0"/>
          <w:snapToGrid w:val="0"/>
          <w:lang w:eastAsia="zh-CN"/>
        </w:rPr>
        <w:t>150 ohms</w:t>
      </w:r>
      <w:r>
        <w:rPr>
          <w:rFonts w:hint="eastAsia" w:ascii="Arial" w:hAnsi="Arial" w:eastAsia="宋体" w:cs="Arial"/>
          <w:b w:val="0"/>
          <w:snapToGrid w:val="0"/>
          <w:lang w:eastAsia="zh-CN"/>
        </w:rPr>
        <w:t>。</w:t>
      </w:r>
    </w:p>
    <w:p w14:paraId="72923863">
      <w:pPr>
        <w:pStyle w:val="15"/>
        <w:numPr>
          <w:ilvl w:val="0"/>
          <w:numId w:val="5"/>
        </w:numPr>
        <w:shd w:val="clear" w:color="auto" w:fill="auto"/>
        <w:topLinePunct/>
        <w:adjustRightInd w:val="0"/>
        <w:snapToGrid w:val="0"/>
        <w:spacing w:after="270" w:afterLines="75"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隔膜穿刺</w:t>
      </w:r>
    </w:p>
    <w:p w14:paraId="5DF239A9">
      <w:pPr>
        <w:pStyle w:val="15"/>
        <w:shd w:val="clear" w:color="auto" w:fill="auto"/>
        <w:tabs>
          <w:tab w:val="left" w:pos="2990"/>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目的：测试隔膜的耐久性。</w:t>
      </w:r>
    </w:p>
    <w:p w14:paraId="646EF429">
      <w:pPr>
        <w:pStyle w:val="15"/>
        <w:shd w:val="clear" w:color="auto" w:fill="auto"/>
        <w:tabs>
          <w:tab w:val="left" w:pos="2325"/>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合格：隔膜经受最大可能穿刺次数（穿刺次数／天</w:t>
      </w:r>
      <w:r>
        <w:rPr>
          <w:rFonts w:ascii="Arial" w:hAnsi="Arial" w:eastAsia="宋体" w:cs="Arial"/>
          <w:b w:val="0"/>
          <w:snapToGrid w:val="0"/>
          <w:lang w:eastAsia="zh-CN"/>
        </w:rPr>
        <w:t>x</w:t>
      </w:r>
      <w:r>
        <w:rPr>
          <w:rFonts w:hint="eastAsia" w:ascii="Arial" w:hAnsi="Arial" w:eastAsia="宋体" w:cs="Arial"/>
          <w:b w:val="0"/>
          <w:snapToGrid w:val="0"/>
          <w:lang w:eastAsia="zh-CN"/>
        </w:rPr>
        <w:t>天数）加上安全系数。</w:t>
      </w:r>
    </w:p>
    <w:p w14:paraId="378684E7">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仅使用系列输液港标签上列出的针。通常使用无芯针。必须维持的穿刺次数取决于输液港寿命、每天的预期穿刺数，加上</w:t>
      </w:r>
      <w:r>
        <w:rPr>
          <w:rFonts w:ascii="Arial" w:hAnsi="Arial" w:eastAsia="宋体" w:cs="Arial"/>
          <w:b w:val="0"/>
          <w:snapToGrid w:val="0"/>
          <w:lang w:eastAsia="zh-CN"/>
        </w:rPr>
        <w:t>1/3</w:t>
      </w:r>
      <w:r>
        <w:rPr>
          <w:rFonts w:hint="eastAsia" w:ascii="Arial" w:hAnsi="Arial" w:eastAsia="宋体" w:cs="Arial"/>
          <w:b w:val="0"/>
          <w:snapToGrid w:val="0"/>
          <w:lang w:eastAsia="zh-CN"/>
        </w:rPr>
        <w:t>的安全系数。穿刺后在</w:t>
      </w:r>
      <w:r>
        <w:rPr>
          <w:rFonts w:ascii="Arial" w:hAnsi="Arial" w:eastAsia="宋体" w:cs="Arial"/>
          <w:b w:val="0"/>
          <w:snapToGrid w:val="0"/>
          <w:lang w:eastAsia="zh-CN"/>
        </w:rPr>
        <w:t>37°C</w:t>
      </w:r>
      <w:r>
        <w:rPr>
          <w:rFonts w:hint="eastAsia" w:ascii="Arial" w:hAnsi="Arial" w:eastAsia="宋体" w:cs="Arial"/>
          <w:b w:val="0"/>
          <w:snapToGrid w:val="0"/>
          <w:lang w:eastAsia="zh-CN"/>
        </w:rPr>
        <w:t>水浴中实施空气渗漏试验，施加的内部压力应等同于</w:t>
      </w:r>
      <w:r>
        <w:rPr>
          <w:rFonts w:hint="eastAsia" w:ascii="Arial" w:hAnsi="Arial" w:eastAsia="宋体" w:cs="Arial"/>
          <w:b w:val="0"/>
          <w:snapToGrid w:val="0"/>
          <w:u w:val="single"/>
          <w:lang w:eastAsia="zh-CN"/>
        </w:rPr>
        <w:t>体内</w:t>
      </w:r>
      <w:r>
        <w:rPr>
          <w:rFonts w:hint="eastAsia" w:ascii="Arial" w:hAnsi="Arial" w:eastAsia="宋体" w:cs="Arial"/>
          <w:b w:val="0"/>
          <w:snapToGrid w:val="0"/>
          <w:lang w:eastAsia="zh-CN"/>
        </w:rPr>
        <w:t>遇到的压力，并检查气泡。增加压力并报告隔膜出现空气渗漏时的压力。基于该数据证明穿刺规格合理。</w:t>
      </w:r>
    </w:p>
    <w:p w14:paraId="4CDE0552">
      <w:pPr>
        <w:pStyle w:val="15"/>
        <w:numPr>
          <w:ilvl w:val="0"/>
          <w:numId w:val="5"/>
        </w:numPr>
        <w:shd w:val="clear" w:color="auto" w:fill="auto"/>
        <w:topLinePunct/>
        <w:adjustRightInd w:val="0"/>
        <w:snapToGrid w:val="0"/>
        <w:spacing w:after="270" w:afterLines="75"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输液港泄漏试验</w:t>
      </w:r>
    </w:p>
    <w:p w14:paraId="697DC5C5">
      <w:pPr>
        <w:pStyle w:val="15"/>
        <w:shd w:val="clear" w:color="auto" w:fill="auto"/>
        <w:tabs>
          <w:tab w:val="left" w:pos="2990"/>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目的：测试整个输液港的完整性。</w:t>
      </w:r>
    </w:p>
    <w:p w14:paraId="259B6430">
      <w:pPr>
        <w:pStyle w:val="15"/>
        <w:shd w:val="clear" w:color="auto" w:fill="auto"/>
        <w:tabs>
          <w:tab w:val="left" w:pos="2563"/>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合格：输液港在预期的</w:t>
      </w:r>
      <w:r>
        <w:rPr>
          <w:rFonts w:hint="eastAsia" w:ascii="Arial" w:hAnsi="Arial" w:eastAsia="宋体" w:cs="Arial"/>
          <w:b w:val="0"/>
          <w:snapToGrid w:val="0"/>
          <w:u w:val="single"/>
          <w:lang w:eastAsia="zh-CN"/>
        </w:rPr>
        <w:t>体内</w:t>
      </w:r>
      <w:r>
        <w:rPr>
          <w:rFonts w:hint="eastAsia" w:ascii="Arial" w:hAnsi="Arial" w:eastAsia="宋体" w:cs="Arial"/>
          <w:b w:val="0"/>
          <w:snapToGrid w:val="0"/>
          <w:lang w:eastAsia="zh-CN"/>
        </w:rPr>
        <w:t>极端环境下不泄漏。</w:t>
      </w:r>
    </w:p>
    <w:p w14:paraId="243372E1">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试验方案应包含间歇地和连续地对一系列输液港施加压力以模拟由泵进行的静脉推注和持续流体供应。必须基于使用注射器或泵时遇到的压力和反压力环境证明所施加的压力合理。试验应在</w:t>
      </w:r>
      <w:r>
        <w:rPr>
          <w:rFonts w:ascii="Arial" w:hAnsi="Arial" w:eastAsia="宋体" w:cs="Arial"/>
          <w:b w:val="0"/>
          <w:snapToGrid w:val="0"/>
          <w:lang w:eastAsia="zh-CN"/>
        </w:rPr>
        <w:t>37°C</w:t>
      </w:r>
      <w:r>
        <w:rPr>
          <w:rFonts w:hint="eastAsia" w:ascii="Arial" w:hAnsi="Arial" w:eastAsia="宋体" w:cs="Arial"/>
          <w:b w:val="0"/>
          <w:snapToGrid w:val="0"/>
          <w:lang w:eastAsia="zh-CN"/>
        </w:rPr>
        <w:t>水浴中进行。检查输液港接缝和隔膜泄漏。</w:t>
      </w:r>
    </w:p>
    <w:p w14:paraId="22DF3F16">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增加压力直至输液港出现故障并报告获得的最大压力。</w:t>
      </w:r>
    </w:p>
    <w:p w14:paraId="68CC9E49">
      <w:pPr>
        <w:pStyle w:val="15"/>
        <w:numPr>
          <w:ilvl w:val="0"/>
          <w:numId w:val="5"/>
        </w:numPr>
        <w:shd w:val="clear" w:color="auto" w:fill="auto"/>
        <w:topLinePunct/>
        <w:adjustRightInd w:val="0"/>
        <w:snapToGrid w:val="0"/>
        <w:spacing w:after="270" w:afterLines="75" w:line="360" w:lineRule="auto"/>
        <w:ind w:left="360" w:leftChars="1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流体动力学试验</w:t>
      </w:r>
    </w:p>
    <w:p w14:paraId="197EECBF">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ascii="Arial" w:hAnsi="Arial" w:eastAsia="宋体" w:cs="Arial"/>
          <w:b w:val="0"/>
          <w:snapToGrid w:val="0"/>
          <w:lang w:eastAsia="zh-CN"/>
        </w:rPr>
        <w:t>（1.）</w:t>
      </w:r>
      <w:r>
        <w:rPr>
          <w:rFonts w:hint="eastAsia" w:ascii="Arial" w:hAnsi="Arial" w:eastAsia="宋体" w:cs="Arial"/>
          <w:b w:val="0"/>
          <w:snapToGrid w:val="0"/>
          <w:lang w:eastAsia="zh-CN"/>
        </w:rPr>
        <w:t>清理试验（见附件）</w:t>
      </w:r>
    </w:p>
    <w:p w14:paraId="130823BB">
      <w:pPr>
        <w:pStyle w:val="15"/>
        <w:shd w:val="clear" w:color="auto" w:fill="auto"/>
        <w:tabs>
          <w:tab w:val="left" w:pos="2831"/>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目的：测试输液港和导管的清理动力学和冲洗量要求。</w:t>
      </w:r>
    </w:p>
    <w:p w14:paraId="6EF9CEF5">
      <w:pPr>
        <w:pStyle w:val="15"/>
        <w:shd w:val="clear" w:color="auto" w:fill="auto"/>
        <w:tabs>
          <w:tab w:val="left" w:pos="2175"/>
        </w:tabs>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 xml:space="preserve">合格：清理输液港所需的冲洗液量和施加的注射器压力合理。 </w:t>
      </w:r>
    </w:p>
    <w:p w14:paraId="0FC26B9C">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如果是两件式输液港，首先将导管连接至输液港。用上文提到的</w:t>
      </w:r>
      <w:r>
        <w:rPr>
          <w:rFonts w:ascii="Arial" w:hAnsi="Arial" w:eastAsia="宋体" w:cs="Arial"/>
          <w:b w:val="0"/>
          <w:snapToGrid w:val="0"/>
          <w:lang w:eastAsia="zh-CN"/>
        </w:rPr>
        <w:t>150 ohm</w:t>
      </w:r>
      <w:r>
        <w:rPr>
          <w:rFonts w:hint="eastAsia" w:ascii="Arial" w:hAnsi="Arial" w:eastAsia="宋体" w:cs="Arial"/>
          <w:b w:val="0"/>
          <w:snapToGrid w:val="0"/>
          <w:lang w:eastAsia="zh-CN"/>
        </w:rPr>
        <w:t>甘油／盐水溶液填充输液港。将阻抗传感器放在导管上。将无芯针插入隔膜。附上一个规定注射器（例如</w:t>
      </w:r>
      <w:r>
        <w:rPr>
          <w:rFonts w:ascii="Arial" w:hAnsi="Arial" w:eastAsia="宋体" w:cs="Arial"/>
          <w:b w:val="0"/>
          <w:snapToGrid w:val="0"/>
          <w:lang w:eastAsia="zh-CN"/>
        </w:rPr>
        <w:t>10 ml</w:t>
      </w:r>
      <w:r>
        <w:rPr>
          <w:rFonts w:hint="eastAsia" w:ascii="Arial" w:hAnsi="Arial" w:eastAsia="宋体" w:cs="Arial"/>
          <w:b w:val="0"/>
          <w:snapToGrid w:val="0"/>
          <w:lang w:eastAsia="zh-CN"/>
        </w:rPr>
        <w:t>），装有指定体积的阻抗少于甘油／盐水溶液的冲洗溶液（例如</w:t>
      </w:r>
      <w:r>
        <w:rPr>
          <w:rFonts w:ascii="Arial" w:hAnsi="Arial" w:eastAsia="宋体" w:cs="Arial"/>
          <w:b w:val="0"/>
          <w:snapToGrid w:val="0"/>
          <w:lang w:eastAsia="zh-CN"/>
        </w:rPr>
        <w:t>37°C</w:t>
      </w:r>
      <w:r>
        <w:rPr>
          <w:rFonts w:hint="eastAsia" w:ascii="Arial" w:hAnsi="Arial" w:eastAsia="宋体" w:cs="Arial"/>
          <w:b w:val="0"/>
          <w:snapToGrid w:val="0"/>
          <w:lang w:eastAsia="zh-CN"/>
        </w:rPr>
        <w:t>时阻抗为</w:t>
      </w:r>
      <w:r>
        <w:rPr>
          <w:rFonts w:ascii="Arial" w:hAnsi="Arial" w:eastAsia="宋体" w:cs="Arial"/>
          <w:b w:val="0"/>
          <w:snapToGrid w:val="0"/>
          <w:lang w:eastAsia="zh-CN"/>
        </w:rPr>
        <w:t>50 ohms</w:t>
      </w:r>
      <w:r>
        <w:rPr>
          <w:rFonts w:hint="eastAsia" w:ascii="Arial" w:hAnsi="Arial" w:eastAsia="宋体" w:cs="Arial"/>
          <w:b w:val="0"/>
          <w:snapToGrid w:val="0"/>
          <w:lang w:eastAsia="zh-CN"/>
        </w:rPr>
        <w:t>的</w:t>
      </w:r>
      <w:r>
        <w:rPr>
          <w:rFonts w:ascii="Arial" w:hAnsi="Arial" w:eastAsia="宋体" w:cs="Arial"/>
          <w:b w:val="0"/>
          <w:snapToGrid w:val="0"/>
          <w:lang w:eastAsia="zh-CN"/>
        </w:rPr>
        <w:t>0.9%</w:t>
      </w:r>
      <w:r>
        <w:rPr>
          <w:rFonts w:hint="eastAsia" w:ascii="Arial" w:hAnsi="Arial" w:eastAsia="宋体" w:cs="Arial"/>
          <w:b w:val="0"/>
          <w:snapToGrid w:val="0"/>
          <w:lang w:eastAsia="zh-CN"/>
        </w:rPr>
        <w:t>氯化钠／蒸馏水）。将输液港浸入</w:t>
      </w:r>
      <w:r>
        <w:rPr>
          <w:rFonts w:ascii="Arial" w:hAnsi="Arial" w:eastAsia="宋体" w:cs="Arial"/>
          <w:b w:val="0"/>
          <w:snapToGrid w:val="0"/>
          <w:lang w:eastAsia="zh-CN"/>
        </w:rPr>
        <w:t>37°C</w:t>
      </w:r>
      <w:r>
        <w:rPr>
          <w:rFonts w:hint="eastAsia" w:ascii="Arial" w:hAnsi="Arial" w:eastAsia="宋体" w:cs="Arial"/>
          <w:b w:val="0"/>
          <w:snapToGrid w:val="0"/>
          <w:lang w:eastAsia="zh-CN"/>
        </w:rPr>
        <w:t>水浴并使系统保持平衡。按特定速度逐渐注入冲洗液。记录阻抗随时间的变化。</w:t>
      </w:r>
    </w:p>
    <w:p w14:paraId="75F69C20">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应使用该数据测定输液港的清理能力和标签上冲洗说明的充分性。</w:t>
      </w:r>
    </w:p>
    <w:p w14:paraId="6387F5DD">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snapToGrid w:val="0"/>
          <w:lang w:eastAsia="zh-CN"/>
        </w:rPr>
      </w:pPr>
      <w:r>
        <w:rPr>
          <w:rFonts w:hint="eastAsia" w:ascii="Arial" w:hAnsi="Arial" w:eastAsia="宋体" w:cs="Arial"/>
          <w:b w:val="0"/>
          <w:snapToGrid w:val="0"/>
          <w:lang w:eastAsia="zh-CN"/>
        </w:rPr>
        <w:t>解决清理动力学和冲洗要求的替代试验方法的结果可与试验方案一同提交</w:t>
      </w:r>
      <w:r>
        <w:rPr>
          <w:rFonts w:hint="eastAsia" w:ascii="Arial" w:hAnsi="Arial" w:eastAsia="宋体" w:cs="Arial"/>
          <w:snapToGrid w:val="0"/>
          <w:lang w:eastAsia="zh-CN"/>
        </w:rPr>
        <w:t>。</w:t>
      </w:r>
    </w:p>
    <w:p w14:paraId="7B05F1A9">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ascii="Arial" w:hAnsi="Arial" w:eastAsia="宋体" w:cs="Arial"/>
          <w:b w:val="0"/>
          <w:snapToGrid w:val="0"/>
          <w:lang w:eastAsia="zh-CN"/>
        </w:rPr>
        <w:t>（2.）</w:t>
      </w:r>
      <w:r>
        <w:rPr>
          <w:rFonts w:hint="eastAsia" w:ascii="Arial" w:hAnsi="Arial" w:eastAsia="宋体" w:cs="Arial"/>
          <w:b w:val="0"/>
          <w:snapToGrid w:val="0"/>
          <w:lang w:eastAsia="zh-CN"/>
        </w:rPr>
        <w:t>血流动力学</w:t>
      </w:r>
    </w:p>
    <w:p w14:paraId="78484B4E">
      <w:pPr>
        <w:pStyle w:val="15"/>
        <w:shd w:val="clear" w:color="auto" w:fill="auto"/>
        <w:topLinePunct/>
        <w:adjustRightInd w:val="0"/>
        <w:snapToGrid w:val="0"/>
        <w:spacing w:after="270" w:afterLines="75" w:line="360" w:lineRule="auto"/>
        <w:ind w:left="840" w:leftChars="350" w:firstLine="0"/>
        <w:jc w:val="both"/>
        <w:rPr>
          <w:rFonts w:ascii="Arial" w:hAnsi="Arial" w:eastAsia="宋体" w:cs="Arial"/>
          <w:b w:val="0"/>
          <w:snapToGrid w:val="0"/>
          <w:lang w:eastAsia="zh-CN"/>
        </w:rPr>
      </w:pPr>
      <w:r>
        <w:rPr>
          <w:rFonts w:hint="eastAsia" w:ascii="Arial" w:hAnsi="Arial" w:eastAsia="宋体" w:cs="Arial"/>
          <w:b w:val="0"/>
          <w:snapToGrid w:val="0"/>
          <w:lang w:eastAsia="zh-CN"/>
        </w:rPr>
        <w:t>血液是一种独特液体，不能用更能经受实验室程序的替代液体完全复制其流动特征和其他属性。尽管清理试验</w:t>
      </w:r>
      <w:r>
        <w:rPr>
          <w:rFonts w:ascii="Arial" w:hAnsi="Arial" w:eastAsia="宋体" w:cs="Arial"/>
          <w:b w:val="0"/>
          <w:snapToGrid w:val="0"/>
          <w:lang w:eastAsia="zh-CN"/>
        </w:rPr>
        <w:t>[</w:t>
      </w:r>
      <w:r>
        <w:rPr>
          <w:rFonts w:hint="eastAsia" w:ascii="Arial" w:hAnsi="Arial" w:eastAsia="宋体" w:cs="Arial"/>
          <w:b w:val="0"/>
          <w:snapToGrid w:val="0"/>
          <w:lang w:eastAsia="zh-CN"/>
        </w:rPr>
        <w:t>上文的</w:t>
      </w:r>
      <w:r>
        <w:rPr>
          <w:rFonts w:ascii="Arial" w:hAnsi="Arial" w:eastAsia="宋体" w:cs="Arial"/>
          <w:b w:val="0"/>
          <w:snapToGrid w:val="0"/>
          <w:lang w:eastAsia="zh-CN"/>
        </w:rPr>
        <w:t>5.d.</w:t>
      </w:r>
      <w:r>
        <w:rPr>
          <w:rFonts w:hint="eastAsia" w:ascii="Arial" w:hAnsi="Arial" w:eastAsia="宋体" w:cs="Arial"/>
          <w:b w:val="0"/>
          <w:snapToGrid w:val="0"/>
          <w:lang w:eastAsia="zh-CN"/>
        </w:rPr>
        <w:t>（</w:t>
      </w:r>
      <w:r>
        <w:rPr>
          <w:rFonts w:ascii="Arial" w:hAnsi="Arial" w:eastAsia="宋体" w:cs="Arial"/>
          <w:b w:val="0"/>
          <w:snapToGrid w:val="0"/>
          <w:lang w:eastAsia="zh-CN"/>
        </w:rPr>
        <w:t>1.</w:t>
      </w:r>
      <w:r>
        <w:rPr>
          <w:rFonts w:hint="eastAsia" w:ascii="Arial" w:hAnsi="Arial" w:eastAsia="宋体" w:cs="Arial"/>
          <w:b w:val="0"/>
          <w:snapToGrid w:val="0"/>
          <w:lang w:eastAsia="zh-CN"/>
        </w:rPr>
        <w:t>）]近似于清理等同于血液粘度的液体，但该试验不是评价实际采血和冲洗的理想替代物。FDA鼓励制造商制定</w:t>
      </w:r>
      <w:r>
        <w:rPr>
          <w:rFonts w:hint="eastAsia" w:ascii="Arial" w:hAnsi="Arial" w:eastAsia="宋体" w:cs="Arial"/>
          <w:b w:val="0"/>
          <w:snapToGrid w:val="0"/>
          <w:u w:val="single"/>
          <w:lang w:eastAsia="zh-CN"/>
        </w:rPr>
        <w:t>体外</w:t>
      </w:r>
      <w:r>
        <w:rPr>
          <w:rFonts w:hint="eastAsia" w:ascii="Arial" w:hAnsi="Arial" w:eastAsia="宋体" w:cs="Arial"/>
          <w:b w:val="0"/>
          <w:snapToGrid w:val="0"/>
          <w:lang w:eastAsia="zh-CN"/>
        </w:rPr>
        <w:t>方法学以模拟重复采血／冲洗和其他推注注射或送气程序下的血流通畅性。</w:t>
      </w:r>
    </w:p>
    <w:p w14:paraId="3DD2FC34">
      <w:pPr>
        <w:rPr>
          <w:rStyle w:val="19"/>
          <w:rFonts w:ascii="Arial" w:hAnsi="Arial" w:eastAsia="宋体" w:cs="Arial"/>
          <w:b w:val="0"/>
          <w:snapToGrid w:val="0"/>
          <w:lang w:eastAsia="zh-CN"/>
        </w:rPr>
      </w:pPr>
      <w:r>
        <w:rPr>
          <w:rStyle w:val="19"/>
          <w:rFonts w:ascii="Arial" w:hAnsi="Arial" w:eastAsia="宋体" w:cs="Arial"/>
          <w:bCs w:val="0"/>
          <w:snapToGrid w:val="0"/>
          <w:lang w:eastAsia="zh-CN"/>
        </w:rPr>
        <w:br w:type="page"/>
      </w:r>
    </w:p>
    <w:p w14:paraId="3B725187">
      <w:pPr>
        <w:pStyle w:val="15"/>
        <w:shd w:val="clear" w:color="auto" w:fill="auto"/>
        <w:topLinePunct/>
        <w:adjustRightInd w:val="0"/>
        <w:snapToGrid w:val="0"/>
        <w:spacing w:after="270" w:afterLines="75" w:line="360" w:lineRule="auto"/>
        <w:ind w:firstLine="0"/>
        <w:jc w:val="both"/>
        <w:rPr>
          <w:rFonts w:ascii="Arial" w:hAnsi="Arial" w:eastAsia="宋体" w:cs="Arial"/>
          <w:snapToGrid w:val="0"/>
          <w:lang w:eastAsia="zh-CN"/>
        </w:rPr>
      </w:pPr>
      <w:r>
        <w:rPr>
          <w:rStyle w:val="19"/>
          <w:rFonts w:hint="eastAsia" w:ascii="Arial" w:hAnsi="Arial" w:eastAsia="宋体" w:cs="Arial"/>
          <w:b w:val="0"/>
          <w:bCs/>
          <w:snapToGrid w:val="0"/>
          <w:lang w:eastAsia="zh-CN"/>
        </w:rPr>
        <w:t>要求其他数据的情境</w:t>
      </w:r>
    </w:p>
    <w:p w14:paraId="4787EDB8">
      <w:pPr>
        <w:pStyle w:val="15"/>
        <w:numPr>
          <w:ilvl w:val="0"/>
          <w:numId w:val="6"/>
        </w:numPr>
        <w:shd w:val="clear" w:color="auto" w:fill="auto"/>
        <w:topLinePunct/>
        <w:adjustRightInd w:val="0"/>
        <w:snapToGrid w:val="0"/>
        <w:spacing w:after="270" w:afterLines="75" w:line="360" w:lineRule="auto"/>
        <w:ind w:firstLine="0"/>
        <w:jc w:val="both"/>
        <w:rPr>
          <w:rFonts w:ascii="Arial" w:hAnsi="Arial" w:eastAsia="宋体" w:cs="Arial"/>
          <w:b w:val="0"/>
          <w:snapToGrid w:val="0"/>
        </w:rPr>
      </w:pPr>
      <w:r>
        <w:rPr>
          <w:rFonts w:hint="eastAsia" w:ascii="Arial" w:hAnsi="Arial" w:eastAsia="宋体" w:cs="Arial"/>
          <w:b w:val="0"/>
          <w:snapToGrid w:val="0"/>
          <w:lang w:eastAsia="zh-CN"/>
        </w:rPr>
        <w:t>新设计</w:t>
      </w:r>
    </w:p>
    <w:p w14:paraId="5763898C">
      <w:pPr>
        <w:pStyle w:val="15"/>
        <w:shd w:val="clear" w:color="auto" w:fill="auto"/>
        <w:topLinePunct/>
        <w:adjustRightInd w:val="0"/>
        <w:snapToGrid w:val="0"/>
        <w:spacing w:after="270" w:afterLines="75" w:line="360" w:lineRule="auto"/>
        <w:ind w:left="420" w:leftChars="175" w:firstLine="0"/>
        <w:jc w:val="both"/>
        <w:rPr>
          <w:rFonts w:ascii="Arial" w:hAnsi="Arial" w:eastAsia="宋体" w:cs="Arial"/>
          <w:b w:val="0"/>
          <w:snapToGrid w:val="0"/>
          <w:lang w:eastAsia="zh-CN"/>
        </w:rPr>
      </w:pPr>
      <w:r>
        <w:rPr>
          <w:rFonts w:hint="eastAsia" w:ascii="Arial" w:hAnsi="Arial" w:eastAsia="宋体" w:cs="Arial"/>
          <w:b w:val="0"/>
          <w:snapToGrid w:val="0"/>
          <w:lang w:eastAsia="zh-CN"/>
        </w:rPr>
        <w:t>设计与当前已上市输液港不同的输液港可能需要其他的</w:t>
      </w:r>
      <w:r>
        <w:rPr>
          <w:rFonts w:hint="eastAsia" w:ascii="Arial" w:hAnsi="Arial" w:eastAsia="宋体" w:cs="Arial"/>
          <w:b w:val="0"/>
          <w:snapToGrid w:val="0"/>
          <w:u w:val="single"/>
          <w:lang w:eastAsia="zh-CN"/>
        </w:rPr>
        <w:t>体外</w:t>
      </w:r>
      <w:r>
        <w:rPr>
          <w:rFonts w:hint="eastAsia" w:ascii="Arial" w:hAnsi="Arial" w:eastAsia="宋体" w:cs="Arial"/>
          <w:b w:val="0"/>
          <w:snapToGrid w:val="0"/>
          <w:lang w:eastAsia="zh-CN"/>
        </w:rPr>
        <w:t>和</w:t>
      </w:r>
      <w:r>
        <w:rPr>
          <w:rFonts w:hint="eastAsia" w:ascii="Arial" w:hAnsi="Arial" w:eastAsia="宋体" w:cs="Arial"/>
          <w:b w:val="0"/>
          <w:snapToGrid w:val="0"/>
          <w:u w:val="single"/>
          <w:lang w:eastAsia="zh-CN"/>
        </w:rPr>
        <w:t>体内</w:t>
      </w:r>
      <w:r>
        <w:rPr>
          <w:rFonts w:hint="eastAsia" w:ascii="Arial" w:hAnsi="Arial" w:eastAsia="宋体" w:cs="Arial"/>
          <w:b w:val="0"/>
          <w:snapToGrid w:val="0"/>
          <w:lang w:eastAsia="zh-CN"/>
        </w:rPr>
        <w:t>数据。</w:t>
      </w:r>
    </w:p>
    <w:p w14:paraId="0A71AD29">
      <w:pPr>
        <w:pStyle w:val="15"/>
        <w:shd w:val="clear" w:color="auto" w:fill="auto"/>
        <w:topLinePunct/>
        <w:adjustRightInd w:val="0"/>
        <w:snapToGrid w:val="0"/>
        <w:spacing w:after="270" w:afterLines="75" w:line="360" w:lineRule="auto"/>
        <w:ind w:left="420" w:leftChars="175" w:firstLine="0"/>
        <w:jc w:val="both"/>
        <w:rPr>
          <w:rFonts w:ascii="Arial" w:hAnsi="Arial" w:eastAsia="宋体" w:cs="Arial"/>
          <w:snapToGrid w:val="0"/>
          <w:lang w:eastAsia="zh-CN"/>
        </w:rPr>
      </w:pPr>
      <w:r>
        <w:rPr>
          <w:rFonts w:hint="eastAsia" w:ascii="Arial" w:hAnsi="Arial" w:eastAsia="宋体" w:cs="Arial"/>
          <w:b w:val="0"/>
          <w:snapToGrid w:val="0"/>
          <w:lang w:eastAsia="zh-CN"/>
        </w:rPr>
        <w:t>根据每个输液港的具体情况做出其他数据要求。这类设计特征应包含，例如，新外形或进入隔膜的新角度、独特的导管锁或新型导管。</w:t>
      </w:r>
    </w:p>
    <w:p w14:paraId="7593603D">
      <w:pPr>
        <w:pStyle w:val="15"/>
        <w:numPr>
          <w:ilvl w:val="0"/>
          <w:numId w:val="6"/>
        </w:numPr>
        <w:shd w:val="clear" w:color="auto" w:fill="auto"/>
        <w:topLinePunct/>
        <w:adjustRightInd w:val="0"/>
        <w:snapToGrid w:val="0"/>
        <w:spacing w:after="270" w:afterLines="75" w:line="360" w:lineRule="auto"/>
        <w:ind w:firstLine="0"/>
        <w:jc w:val="both"/>
        <w:rPr>
          <w:rFonts w:ascii="Arial" w:hAnsi="Arial" w:eastAsia="宋体" w:cs="Arial"/>
          <w:b w:val="0"/>
          <w:snapToGrid w:val="0"/>
        </w:rPr>
      </w:pPr>
      <w:r>
        <w:rPr>
          <w:rFonts w:hint="eastAsia" w:ascii="Arial" w:hAnsi="Arial" w:eastAsia="宋体" w:cs="Arial"/>
          <w:b w:val="0"/>
          <w:snapToGrid w:val="0"/>
          <w:lang w:eastAsia="zh-CN"/>
        </w:rPr>
        <w:t>新材料</w:t>
      </w:r>
    </w:p>
    <w:p w14:paraId="79ADC1F6">
      <w:pPr>
        <w:pStyle w:val="15"/>
        <w:shd w:val="clear" w:color="auto" w:fill="auto"/>
        <w:topLinePunct/>
        <w:adjustRightInd w:val="0"/>
        <w:snapToGrid w:val="0"/>
        <w:spacing w:after="270" w:afterLines="75" w:line="360" w:lineRule="auto"/>
        <w:ind w:left="420" w:leftChars="175" w:firstLine="0"/>
        <w:jc w:val="both"/>
        <w:rPr>
          <w:rFonts w:ascii="Arial" w:hAnsi="Arial" w:eastAsia="宋体" w:cs="Arial"/>
          <w:b w:val="0"/>
          <w:snapToGrid w:val="0"/>
          <w:lang w:eastAsia="zh-CN"/>
        </w:rPr>
      </w:pPr>
      <w:r>
        <w:rPr>
          <w:rFonts w:hint="eastAsia" w:ascii="Arial" w:hAnsi="Arial" w:eastAsia="宋体" w:cs="Arial"/>
          <w:b w:val="0"/>
          <w:snapToGrid w:val="0"/>
          <w:lang w:eastAsia="zh-CN"/>
        </w:rPr>
        <w:t>有几种制造输液港的常用材料。之前未使用过的植入式输液港材料将需要更广泛的生物相容性、材料质量标准和药物相互作用数据。</w:t>
      </w:r>
    </w:p>
    <w:p w14:paraId="5B8C629F">
      <w:pPr>
        <w:pStyle w:val="15"/>
        <w:numPr>
          <w:ilvl w:val="0"/>
          <w:numId w:val="6"/>
        </w:numPr>
        <w:shd w:val="clear" w:color="auto" w:fill="auto"/>
        <w:topLinePunct/>
        <w:adjustRightInd w:val="0"/>
        <w:snapToGrid w:val="0"/>
        <w:spacing w:after="270" w:afterLines="75" w:line="360" w:lineRule="auto"/>
        <w:ind w:firstLine="0"/>
        <w:jc w:val="both"/>
        <w:rPr>
          <w:rFonts w:ascii="Arial" w:hAnsi="Arial" w:eastAsia="宋体" w:cs="Arial"/>
          <w:b w:val="0"/>
          <w:snapToGrid w:val="0"/>
        </w:rPr>
      </w:pPr>
      <w:r>
        <w:rPr>
          <w:rFonts w:hint="eastAsia" w:ascii="Arial" w:hAnsi="Arial" w:eastAsia="宋体" w:cs="Arial"/>
          <w:b w:val="0"/>
          <w:snapToGrid w:val="0"/>
          <w:lang w:eastAsia="zh-CN"/>
        </w:rPr>
        <w:t>新给药途径</w:t>
      </w:r>
    </w:p>
    <w:p w14:paraId="60E941DA">
      <w:pPr>
        <w:pStyle w:val="15"/>
        <w:numPr>
          <w:ilvl w:val="0"/>
          <w:numId w:val="7"/>
        </w:numPr>
        <w:shd w:val="clear" w:color="auto" w:fill="auto"/>
        <w:topLinePunct/>
        <w:adjustRightInd w:val="0"/>
        <w:snapToGrid w:val="0"/>
        <w:spacing w:after="270" w:afterLines="75" w:line="360" w:lineRule="auto"/>
        <w:ind w:left="849" w:leftChars="175" w:hanging="429" w:hangingChars="179"/>
        <w:jc w:val="both"/>
        <w:rPr>
          <w:rFonts w:ascii="Arial" w:hAnsi="Arial" w:eastAsia="宋体" w:cs="Arial"/>
          <w:snapToGrid w:val="0"/>
          <w:lang w:eastAsia="zh-CN"/>
        </w:rPr>
      </w:pPr>
      <w:r>
        <w:rPr>
          <w:rFonts w:hint="eastAsia" w:ascii="Arial" w:hAnsi="Arial" w:eastAsia="宋体" w:cs="Arial"/>
          <w:b w:val="0"/>
          <w:snapToGrid w:val="0"/>
          <w:lang w:eastAsia="zh-CN"/>
        </w:rPr>
        <w:t>在获得腹膜内（</w:t>
      </w:r>
      <w:r>
        <w:rPr>
          <w:rFonts w:ascii="Arial" w:hAnsi="Arial" w:eastAsia="宋体" w:cs="Arial"/>
          <w:b w:val="0"/>
          <w:snapToGrid w:val="0"/>
          <w:lang w:eastAsia="zh-CN"/>
        </w:rPr>
        <w:t>IP）</w:t>
      </w:r>
      <w:r>
        <w:rPr>
          <w:rFonts w:hint="eastAsia" w:ascii="Arial" w:hAnsi="Arial" w:eastAsia="宋体" w:cs="Arial"/>
          <w:b w:val="0"/>
          <w:snapToGrid w:val="0"/>
          <w:lang w:eastAsia="zh-CN"/>
        </w:rPr>
        <w:t>使用进一步经验之前，IP适应症必须有临床数据的支持。</w:t>
      </w:r>
    </w:p>
    <w:p w14:paraId="0B35A724">
      <w:pPr>
        <w:pStyle w:val="15"/>
        <w:numPr>
          <w:ilvl w:val="0"/>
          <w:numId w:val="7"/>
        </w:numPr>
        <w:shd w:val="clear" w:color="auto" w:fill="auto"/>
        <w:topLinePunct/>
        <w:adjustRightInd w:val="0"/>
        <w:snapToGrid w:val="0"/>
        <w:spacing w:after="270" w:afterLines="75" w:line="360" w:lineRule="auto"/>
        <w:ind w:left="849" w:leftChars="175" w:hanging="429" w:hangingChars="179"/>
        <w:jc w:val="both"/>
        <w:rPr>
          <w:rFonts w:ascii="Arial" w:hAnsi="Arial" w:eastAsia="宋体" w:cs="Arial"/>
          <w:snapToGrid w:val="0"/>
          <w:lang w:eastAsia="zh-CN"/>
        </w:rPr>
      </w:pPr>
      <w:r>
        <w:rPr>
          <w:rFonts w:hint="eastAsia" w:ascii="Arial" w:hAnsi="Arial" w:eastAsia="宋体" w:cs="Arial"/>
          <w:b w:val="0"/>
          <w:snapToGrid w:val="0"/>
          <w:lang w:eastAsia="zh-CN"/>
        </w:rPr>
        <w:t>脊柱内给药</w:t>
      </w:r>
      <w:r>
        <w:rPr>
          <w:rFonts w:ascii="Arial" w:hAnsi="Arial" w:eastAsia="宋体" w:cs="Arial"/>
          <w:b w:val="0"/>
          <w:snapToGrid w:val="0"/>
          <w:lang w:eastAsia="zh-CN"/>
        </w:rPr>
        <w:t>（</w:t>
      </w:r>
      <w:r>
        <w:rPr>
          <w:rFonts w:hint="eastAsia" w:ascii="Arial" w:hAnsi="Arial" w:eastAsia="宋体" w:cs="Arial"/>
          <w:b w:val="0"/>
          <w:snapToGrid w:val="0"/>
          <w:lang w:eastAsia="zh-CN"/>
        </w:rPr>
        <w:t>硬膜外或鞘内导管植入</w:t>
      </w:r>
      <w:r>
        <w:rPr>
          <w:rFonts w:ascii="Arial" w:hAnsi="Arial" w:eastAsia="宋体" w:cs="Arial"/>
          <w:b w:val="0"/>
          <w:snapToGrid w:val="0"/>
          <w:lang w:eastAsia="zh-CN"/>
        </w:rPr>
        <w:t>）</w:t>
      </w:r>
      <w:r>
        <w:rPr>
          <w:rFonts w:hint="eastAsia" w:ascii="Arial" w:hAnsi="Arial" w:eastAsia="宋体" w:cs="Arial"/>
          <w:b w:val="0"/>
          <w:snapToGrid w:val="0"/>
          <w:lang w:eastAsia="zh-CN"/>
        </w:rPr>
        <w:t>属III类且需要通过</w:t>
      </w:r>
      <w:r>
        <w:rPr>
          <w:rFonts w:ascii="Arial" w:hAnsi="Arial" w:eastAsia="宋体" w:cs="Arial"/>
          <w:b w:val="0"/>
          <w:snapToGrid w:val="0"/>
          <w:lang w:eastAsia="zh-CN"/>
        </w:rPr>
        <w:t>PMA</w:t>
      </w:r>
      <w:r>
        <w:rPr>
          <w:rFonts w:hint="eastAsia" w:ascii="Arial" w:hAnsi="Arial" w:eastAsia="宋体" w:cs="Arial"/>
          <w:b w:val="0"/>
          <w:snapToGrid w:val="0"/>
          <w:lang w:eastAsia="zh-CN"/>
        </w:rPr>
        <w:t>申请得到上市前批准。</w:t>
      </w:r>
    </w:p>
    <w:p w14:paraId="17B300E0">
      <w:pPr>
        <w:pStyle w:val="15"/>
        <w:numPr>
          <w:ilvl w:val="0"/>
          <w:numId w:val="6"/>
        </w:numPr>
        <w:shd w:val="clear" w:color="auto" w:fill="auto"/>
        <w:topLinePunct/>
        <w:adjustRightInd w:val="0"/>
        <w:snapToGrid w:val="0"/>
        <w:spacing w:after="270" w:afterLines="75" w:line="360" w:lineRule="auto"/>
        <w:ind w:left="420" w:hanging="420"/>
        <w:jc w:val="both"/>
        <w:rPr>
          <w:rFonts w:ascii="Arial" w:hAnsi="Arial" w:eastAsia="宋体" w:cs="Arial"/>
          <w:snapToGrid w:val="0"/>
          <w:lang w:eastAsia="zh-CN"/>
        </w:rPr>
      </w:pPr>
      <w:r>
        <w:rPr>
          <w:rFonts w:hint="eastAsia" w:ascii="Arial" w:hAnsi="Arial" w:eastAsia="宋体" w:cs="Arial"/>
          <w:b w:val="0"/>
          <w:snapToGrid w:val="0"/>
          <w:lang w:eastAsia="zh-CN"/>
        </w:rPr>
        <w:t>相当的或扩充的标签声称，例如降低感染或闭塞，可能要求支持性的临床数据或其他数据。</w:t>
      </w:r>
    </w:p>
    <w:p w14:paraId="7BC7711D">
      <w:pPr>
        <w:pStyle w:val="15"/>
        <w:numPr>
          <w:ilvl w:val="0"/>
          <w:numId w:val="6"/>
        </w:numPr>
        <w:shd w:val="clear" w:color="auto" w:fill="auto"/>
        <w:topLinePunct/>
        <w:adjustRightInd w:val="0"/>
        <w:snapToGrid w:val="0"/>
        <w:spacing w:after="270" w:afterLines="75" w:line="360" w:lineRule="auto"/>
        <w:ind w:firstLine="0"/>
        <w:jc w:val="both"/>
        <w:rPr>
          <w:rFonts w:ascii="Arial" w:hAnsi="Arial" w:eastAsia="宋体" w:cs="Arial"/>
          <w:snapToGrid w:val="0"/>
          <w:lang w:eastAsia="zh-CN"/>
        </w:rPr>
      </w:pPr>
      <w:r>
        <w:rPr>
          <w:rFonts w:hint="eastAsia" w:ascii="Arial" w:hAnsi="Arial" w:eastAsia="宋体" w:cs="Arial"/>
          <w:b w:val="0"/>
          <w:snapToGrid w:val="0"/>
          <w:lang w:eastAsia="zh-CN"/>
        </w:rPr>
        <w:t>儿童使用适应症必须附有该人群的风险分析且可能需要支持性数据。</w:t>
      </w:r>
    </w:p>
    <w:p w14:paraId="058C466F">
      <w:pPr>
        <w:pStyle w:val="15"/>
        <w:shd w:val="clear" w:color="auto" w:fill="auto"/>
        <w:topLinePunct/>
        <w:adjustRightInd w:val="0"/>
        <w:snapToGrid w:val="0"/>
        <w:spacing w:after="0" w:line="360" w:lineRule="auto"/>
        <w:ind w:left="420" w:leftChars="175" w:firstLine="0"/>
        <w:jc w:val="both"/>
        <w:rPr>
          <w:rFonts w:ascii="Arial" w:hAnsi="Arial" w:eastAsia="宋体" w:cs="Arial"/>
          <w:snapToGrid w:val="0"/>
          <w:lang w:eastAsia="zh-CN"/>
        </w:rPr>
      </w:pPr>
      <w:r>
        <w:rPr>
          <w:rFonts w:hint="eastAsia" w:ascii="Arial" w:hAnsi="Arial" w:eastAsia="宋体" w:cs="Arial"/>
          <w:b w:val="0"/>
          <w:snapToGrid w:val="0"/>
          <w:lang w:eastAsia="zh-CN"/>
        </w:rPr>
        <w:t>关于本指导性文件的任何评论应发送至：</w:t>
      </w:r>
    </w:p>
    <w:p w14:paraId="300632E4">
      <w:pPr>
        <w:pStyle w:val="15"/>
        <w:shd w:val="clear" w:color="auto" w:fill="auto"/>
        <w:topLinePunct/>
        <w:adjustRightInd w:val="0"/>
        <w:snapToGrid w:val="0"/>
        <w:spacing w:after="0" w:line="360" w:lineRule="auto"/>
        <w:ind w:left="420" w:leftChars="175" w:firstLine="0"/>
        <w:jc w:val="both"/>
        <w:rPr>
          <w:rFonts w:ascii="Arial" w:hAnsi="Arial" w:eastAsia="宋体" w:cs="Arial"/>
          <w:b w:val="0"/>
          <w:snapToGrid w:val="0"/>
        </w:rPr>
      </w:pPr>
      <w:bookmarkStart w:id="9" w:name="OLE_LINK6"/>
      <w:bookmarkStart w:id="10" w:name="OLE_LINK5"/>
      <w:r>
        <w:rPr>
          <w:rFonts w:ascii="Arial" w:hAnsi="Arial" w:eastAsia="宋体" w:cs="Arial"/>
          <w:b w:val="0"/>
          <w:snapToGrid w:val="0"/>
          <w:lang w:eastAsia="zh-CN"/>
        </w:rPr>
        <w:t>C</w:t>
      </w:r>
      <w:r>
        <w:rPr>
          <w:rFonts w:hint="eastAsia" w:ascii="Arial" w:hAnsi="Arial" w:eastAsia="宋体" w:cs="Arial"/>
          <w:b w:val="0"/>
          <w:snapToGrid w:val="0"/>
          <w:lang w:eastAsia="zh-CN"/>
        </w:rPr>
        <w:t>hief, General Hospital and Personal Use Devices Branch</w:t>
      </w:r>
    </w:p>
    <w:p w14:paraId="68162710">
      <w:pPr>
        <w:pStyle w:val="15"/>
        <w:shd w:val="clear" w:color="auto" w:fill="auto"/>
        <w:topLinePunct/>
        <w:adjustRightInd w:val="0"/>
        <w:snapToGrid w:val="0"/>
        <w:spacing w:after="0" w:line="360" w:lineRule="auto"/>
        <w:ind w:left="420" w:leftChars="175" w:firstLine="0"/>
        <w:jc w:val="both"/>
        <w:rPr>
          <w:rFonts w:ascii="Arial" w:hAnsi="Arial" w:eastAsia="宋体" w:cs="Arial"/>
          <w:b w:val="0"/>
          <w:snapToGrid w:val="0"/>
          <w:lang w:eastAsia="zh-CN"/>
        </w:rPr>
      </w:pPr>
      <w:r>
        <w:rPr>
          <w:rFonts w:hint="eastAsia" w:ascii="Arial" w:hAnsi="Arial" w:eastAsia="宋体" w:cs="Arial"/>
          <w:b w:val="0"/>
          <w:snapToGrid w:val="0"/>
          <w:lang w:eastAsia="zh-CN"/>
        </w:rPr>
        <w:t>Division of Gastroenterology/Urology and General Use Devices</w:t>
      </w:r>
    </w:p>
    <w:p w14:paraId="0B850749">
      <w:pPr>
        <w:pStyle w:val="15"/>
        <w:shd w:val="clear" w:color="auto" w:fill="auto"/>
        <w:topLinePunct/>
        <w:adjustRightInd w:val="0"/>
        <w:snapToGrid w:val="0"/>
        <w:spacing w:after="0" w:line="360" w:lineRule="auto"/>
        <w:ind w:left="420" w:leftChars="175" w:firstLine="0"/>
        <w:jc w:val="both"/>
        <w:rPr>
          <w:rFonts w:ascii="Arial" w:hAnsi="Arial" w:eastAsia="宋体" w:cs="Arial"/>
          <w:b w:val="0"/>
          <w:snapToGrid w:val="0"/>
          <w:lang w:eastAsia="zh-CN"/>
        </w:rPr>
      </w:pPr>
      <w:r>
        <w:rPr>
          <w:rFonts w:hint="eastAsia" w:ascii="Arial" w:hAnsi="Arial" w:eastAsia="宋体" w:cs="Arial"/>
          <w:b w:val="0"/>
          <w:snapToGrid w:val="0"/>
          <w:lang w:eastAsia="zh-CN"/>
        </w:rPr>
        <w:t>Center for Devices and Radiological Health</w:t>
      </w:r>
      <w:bookmarkEnd w:id="9"/>
      <w:bookmarkEnd w:id="10"/>
    </w:p>
    <w:p w14:paraId="6CA80AB9">
      <w:pPr>
        <w:pStyle w:val="15"/>
        <w:shd w:val="clear" w:color="auto" w:fill="auto"/>
        <w:topLinePunct/>
        <w:adjustRightInd w:val="0"/>
        <w:snapToGrid w:val="0"/>
        <w:spacing w:after="0" w:line="360" w:lineRule="auto"/>
        <w:ind w:left="420" w:leftChars="175" w:firstLine="0"/>
        <w:jc w:val="both"/>
        <w:rPr>
          <w:rFonts w:ascii="Arial" w:hAnsi="Arial" w:eastAsia="宋体" w:cs="Arial"/>
          <w:b w:val="0"/>
          <w:snapToGrid w:val="0"/>
        </w:rPr>
      </w:pPr>
      <w:r>
        <w:rPr>
          <w:rFonts w:ascii="Arial" w:hAnsi="Arial" w:eastAsia="宋体" w:cs="Arial"/>
          <w:b w:val="0"/>
          <w:snapToGrid w:val="0"/>
        </w:rPr>
        <w:t>1390 Piccard Dr.</w:t>
      </w:r>
    </w:p>
    <w:p w14:paraId="160F082F">
      <w:pPr>
        <w:pStyle w:val="21"/>
        <w:shd w:val="clear" w:color="auto" w:fill="auto"/>
        <w:topLinePunct/>
        <w:adjustRightInd w:val="0"/>
        <w:snapToGrid w:val="0"/>
        <w:spacing w:line="360" w:lineRule="auto"/>
        <w:ind w:left="420" w:leftChars="175"/>
        <w:jc w:val="both"/>
        <w:rPr>
          <w:rFonts w:eastAsia="宋体"/>
          <w:b w:val="0"/>
          <w:snapToGrid w:val="0"/>
          <w:sz w:val="24"/>
          <w:lang w:eastAsia="zh-CN"/>
        </w:rPr>
      </w:pPr>
      <w:r>
        <w:rPr>
          <w:rFonts w:eastAsia="宋体"/>
          <w:b w:val="0"/>
          <w:snapToGrid w:val="0"/>
          <w:sz w:val="24"/>
        </w:rPr>
        <w:t>Rockville, MD 20850</w:t>
      </w:r>
    </w:p>
    <w:p w14:paraId="2DEC7942">
      <w:pPr>
        <w:pStyle w:val="21"/>
        <w:shd w:val="clear" w:color="auto" w:fill="auto"/>
        <w:topLinePunct/>
        <w:adjustRightInd w:val="0"/>
        <w:snapToGrid w:val="0"/>
        <w:spacing w:after="270" w:afterLines="75" w:line="360" w:lineRule="auto"/>
        <w:jc w:val="both"/>
        <w:rPr>
          <w:rFonts w:eastAsia="宋体"/>
          <w:b w:val="0"/>
          <w:snapToGrid w:val="0"/>
          <w:sz w:val="24"/>
          <w:lang w:eastAsia="zh-CN"/>
        </w:rPr>
      </w:pPr>
    </w:p>
    <w:p w14:paraId="121EB6F9">
      <w:pPr>
        <w:pStyle w:val="21"/>
        <w:shd w:val="clear" w:color="auto" w:fill="auto"/>
        <w:topLinePunct/>
        <w:adjustRightInd w:val="0"/>
        <w:snapToGrid w:val="0"/>
        <w:spacing w:after="270" w:afterLines="75" w:line="360" w:lineRule="auto"/>
        <w:jc w:val="both"/>
        <w:rPr>
          <w:rFonts w:eastAsia="宋体"/>
          <w:b w:val="0"/>
          <w:snapToGrid w:val="0"/>
          <w:sz w:val="24"/>
        </w:rPr>
        <w:sectPr>
          <w:footerReference r:id="rId6" w:type="default"/>
          <w:pgSz w:w="11906" w:h="16838"/>
          <w:pgMar w:top="1134" w:right="1440" w:bottom="1134" w:left="1440" w:header="720" w:footer="720" w:gutter="0"/>
          <w:pgNumType w:start="1"/>
          <w:cols w:space="720" w:num="1"/>
          <w:docGrid w:type="lines" w:linePitch="360" w:charSpace="0"/>
        </w:sectPr>
      </w:pPr>
    </w:p>
    <w:p w14:paraId="31728A6E">
      <w:pPr>
        <w:pStyle w:val="21"/>
        <w:shd w:val="clear" w:color="auto" w:fill="auto"/>
        <w:topLinePunct/>
        <w:adjustRightInd w:val="0"/>
        <w:snapToGrid w:val="0"/>
        <w:spacing w:after="270" w:afterLines="75" w:line="360" w:lineRule="auto"/>
        <w:jc w:val="both"/>
        <w:rPr>
          <w:rFonts w:eastAsia="宋体"/>
          <w:b w:val="0"/>
          <w:snapToGrid w:val="0"/>
          <w:sz w:val="24"/>
          <w:lang w:eastAsia="zh-CN"/>
        </w:rPr>
      </w:pPr>
    </w:p>
    <w:p w14:paraId="2BE9D627">
      <w:pPr>
        <w:pStyle w:val="21"/>
        <w:shd w:val="clear" w:color="auto" w:fill="auto"/>
        <w:topLinePunct/>
        <w:adjustRightInd w:val="0"/>
        <w:snapToGrid w:val="0"/>
        <w:spacing w:after="270" w:afterLines="75" w:line="360" w:lineRule="auto"/>
        <w:jc w:val="both"/>
        <w:rPr>
          <w:rFonts w:eastAsia="宋体"/>
          <w:b w:val="0"/>
          <w:snapToGrid w:val="0"/>
          <w:sz w:val="24"/>
          <w:lang w:eastAsia="zh-CN"/>
        </w:rPr>
      </w:pPr>
    </w:p>
    <w:p w14:paraId="3D4AB0C4">
      <w:pPr>
        <w:pStyle w:val="21"/>
        <w:shd w:val="clear" w:color="auto" w:fill="auto"/>
        <w:topLinePunct/>
        <w:adjustRightInd w:val="0"/>
        <w:snapToGrid w:val="0"/>
        <w:spacing w:after="270" w:afterLines="75" w:line="360" w:lineRule="auto"/>
        <w:jc w:val="both"/>
        <w:rPr>
          <w:rFonts w:eastAsia="宋体"/>
          <w:b w:val="0"/>
          <w:snapToGrid w:val="0"/>
          <w:sz w:val="24"/>
          <w:lang w:eastAsia="zh-CN"/>
        </w:rPr>
      </w:pPr>
    </w:p>
    <w:p w14:paraId="668C52D4">
      <w:pPr>
        <w:pStyle w:val="21"/>
        <w:shd w:val="clear" w:color="auto" w:fill="auto"/>
        <w:topLinePunct/>
        <w:adjustRightInd w:val="0"/>
        <w:snapToGrid w:val="0"/>
        <w:spacing w:after="270" w:afterLines="75" w:line="360" w:lineRule="auto"/>
        <w:jc w:val="both"/>
        <w:rPr>
          <w:rFonts w:eastAsia="宋体"/>
          <w:b w:val="0"/>
          <w:snapToGrid w:val="0"/>
          <w:sz w:val="24"/>
          <w:lang w:eastAsia="zh-CN"/>
        </w:rPr>
      </w:pPr>
    </w:p>
    <w:p w14:paraId="5D983AE8">
      <w:pPr>
        <w:pStyle w:val="21"/>
        <w:shd w:val="clear" w:color="auto" w:fill="auto"/>
        <w:topLinePunct/>
        <w:adjustRightInd w:val="0"/>
        <w:snapToGrid w:val="0"/>
        <w:spacing w:after="270" w:afterLines="75" w:line="360" w:lineRule="auto"/>
        <w:jc w:val="center"/>
        <w:rPr>
          <w:rFonts w:eastAsia="宋体"/>
          <w:snapToGrid w:val="0"/>
          <w:sz w:val="28"/>
          <w:lang w:eastAsia="zh-CN"/>
        </w:rPr>
      </w:pPr>
      <w:r>
        <w:rPr>
          <w:rFonts w:hint="eastAsia" w:eastAsia="宋体"/>
          <w:snapToGrid w:val="0"/>
          <w:sz w:val="28"/>
          <w:lang w:eastAsia="zh-CN"/>
        </w:rPr>
        <w:t>输液港血管通道系统的清理动力学评价</w:t>
      </w:r>
    </w:p>
    <w:p w14:paraId="191C13AE">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p>
    <w:p w14:paraId="67FFBFEC">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Merry Lee Evans, MSEE MED Institute, Inc.,</w:t>
      </w:r>
    </w:p>
    <w:p w14:paraId="2283ECF1">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P.O. Box 2402</w:t>
      </w:r>
    </w:p>
    <w:p w14:paraId="6BB94FB8">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West Lafayette, IN 47906</w:t>
      </w:r>
    </w:p>
    <w:p w14:paraId="54B2F474">
      <w:pPr>
        <w:pStyle w:val="24"/>
        <w:shd w:val="clear" w:color="auto" w:fill="auto"/>
        <w:topLinePunct/>
        <w:adjustRightInd w:val="0"/>
        <w:snapToGrid w:val="0"/>
        <w:spacing w:line="360" w:lineRule="auto"/>
        <w:ind w:left="2520" w:leftChars="1050" w:firstLine="0"/>
        <w:jc w:val="both"/>
        <w:rPr>
          <w:rFonts w:eastAsia="宋体"/>
          <w:b w:val="0"/>
          <w:snapToGrid w:val="0"/>
          <w:sz w:val="24"/>
          <w:lang w:eastAsia="zh-CN"/>
        </w:rPr>
      </w:pPr>
      <w:r>
        <w:rPr>
          <w:rFonts w:eastAsia="宋体"/>
          <w:b w:val="0"/>
          <w:snapToGrid w:val="0"/>
          <w:sz w:val="24"/>
        </w:rPr>
        <w:t>(317) 463-7537</w:t>
      </w:r>
    </w:p>
    <w:p w14:paraId="1CDDD9FC">
      <w:pPr>
        <w:pStyle w:val="24"/>
        <w:shd w:val="clear" w:color="auto" w:fill="auto"/>
        <w:topLinePunct/>
        <w:adjustRightInd w:val="0"/>
        <w:snapToGrid w:val="0"/>
        <w:spacing w:line="360" w:lineRule="auto"/>
        <w:ind w:left="2520" w:leftChars="1050" w:firstLine="0"/>
        <w:jc w:val="both"/>
        <w:rPr>
          <w:rFonts w:eastAsia="宋体"/>
          <w:b w:val="0"/>
          <w:snapToGrid w:val="0"/>
          <w:sz w:val="24"/>
          <w:lang w:eastAsia="zh-CN"/>
        </w:rPr>
      </w:pPr>
    </w:p>
    <w:p w14:paraId="1DC8A905">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Neal E. Fearnot, PHD, EE</w:t>
      </w:r>
    </w:p>
    <w:p w14:paraId="1CC7207E">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Hillenbrand Biomedical Engineering Center</w:t>
      </w:r>
    </w:p>
    <w:p w14:paraId="089AB84A">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204 Potter Building</w:t>
      </w:r>
    </w:p>
    <w:p w14:paraId="6301B20D">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Purdue University</w:t>
      </w:r>
    </w:p>
    <w:p w14:paraId="6D1D5DE1">
      <w:pPr>
        <w:pStyle w:val="24"/>
        <w:shd w:val="clear" w:color="auto" w:fill="auto"/>
        <w:topLinePunct/>
        <w:adjustRightInd w:val="0"/>
        <w:snapToGrid w:val="0"/>
        <w:spacing w:line="360" w:lineRule="auto"/>
        <w:ind w:left="2520" w:leftChars="1050" w:firstLine="0"/>
        <w:jc w:val="both"/>
        <w:rPr>
          <w:rFonts w:eastAsia="宋体"/>
          <w:b w:val="0"/>
          <w:snapToGrid w:val="0"/>
          <w:sz w:val="24"/>
        </w:rPr>
      </w:pPr>
      <w:r>
        <w:rPr>
          <w:rFonts w:eastAsia="宋体"/>
          <w:b w:val="0"/>
          <w:snapToGrid w:val="0"/>
          <w:sz w:val="24"/>
        </w:rPr>
        <w:t>West Lafayette, IN 47907</w:t>
      </w:r>
    </w:p>
    <w:p w14:paraId="67DB8260">
      <w:pPr>
        <w:pStyle w:val="24"/>
        <w:shd w:val="clear" w:color="auto" w:fill="auto"/>
        <w:topLinePunct/>
        <w:adjustRightInd w:val="0"/>
        <w:snapToGrid w:val="0"/>
        <w:spacing w:line="360" w:lineRule="auto"/>
        <w:ind w:left="2520" w:leftChars="1050" w:firstLine="0"/>
        <w:jc w:val="both"/>
        <w:rPr>
          <w:rFonts w:eastAsia="宋体"/>
          <w:b w:val="0"/>
          <w:snapToGrid w:val="0"/>
          <w:sz w:val="24"/>
          <w:lang w:eastAsia="zh-CN"/>
        </w:rPr>
      </w:pPr>
      <w:r>
        <w:rPr>
          <w:rFonts w:eastAsia="宋体"/>
          <w:b w:val="0"/>
          <w:snapToGrid w:val="0"/>
          <w:sz w:val="24"/>
        </w:rPr>
        <w:t>(317) 494-2995</w:t>
      </w:r>
    </w:p>
    <w:p w14:paraId="607CB379">
      <w:pPr>
        <w:pStyle w:val="24"/>
        <w:shd w:val="clear" w:color="auto" w:fill="auto"/>
        <w:topLinePunct/>
        <w:adjustRightInd w:val="0"/>
        <w:snapToGrid w:val="0"/>
        <w:spacing w:line="360" w:lineRule="auto"/>
        <w:ind w:left="2520" w:leftChars="1050" w:firstLine="0"/>
        <w:jc w:val="both"/>
        <w:rPr>
          <w:rFonts w:eastAsia="宋体"/>
          <w:snapToGrid w:val="0"/>
          <w:sz w:val="24"/>
          <w:lang w:eastAsia="zh-CN"/>
        </w:rPr>
      </w:pPr>
    </w:p>
    <w:p w14:paraId="750B66B6">
      <w:pPr>
        <w:pStyle w:val="24"/>
        <w:shd w:val="clear" w:color="auto" w:fill="auto"/>
        <w:topLinePunct/>
        <w:adjustRightInd w:val="0"/>
        <w:snapToGrid w:val="0"/>
        <w:spacing w:line="360" w:lineRule="auto"/>
        <w:ind w:left="2520" w:leftChars="1050" w:firstLine="0"/>
        <w:jc w:val="both"/>
        <w:rPr>
          <w:rFonts w:eastAsia="宋体"/>
          <w:snapToGrid w:val="0"/>
          <w:sz w:val="24"/>
          <w:lang w:eastAsia="zh-CN"/>
        </w:rPr>
      </w:pPr>
    </w:p>
    <w:p w14:paraId="057C4AA7">
      <w:pPr>
        <w:pStyle w:val="24"/>
        <w:shd w:val="clear" w:color="auto" w:fill="auto"/>
        <w:topLinePunct/>
        <w:adjustRightInd w:val="0"/>
        <w:snapToGrid w:val="0"/>
        <w:spacing w:line="360" w:lineRule="auto"/>
        <w:ind w:left="2520" w:leftChars="1050" w:firstLine="0"/>
        <w:jc w:val="both"/>
        <w:rPr>
          <w:rFonts w:eastAsia="宋体"/>
          <w:snapToGrid w:val="0"/>
          <w:sz w:val="24"/>
          <w:lang w:eastAsia="zh-CN"/>
        </w:rPr>
      </w:pPr>
    </w:p>
    <w:p w14:paraId="710A21F5">
      <w:pPr>
        <w:pStyle w:val="24"/>
        <w:shd w:val="clear" w:color="auto" w:fill="auto"/>
        <w:topLinePunct/>
        <w:adjustRightInd w:val="0"/>
        <w:snapToGrid w:val="0"/>
        <w:spacing w:line="360" w:lineRule="auto"/>
        <w:ind w:left="2520" w:leftChars="1050" w:firstLine="0"/>
        <w:jc w:val="both"/>
        <w:rPr>
          <w:rFonts w:eastAsia="宋体"/>
          <w:snapToGrid w:val="0"/>
          <w:sz w:val="24"/>
          <w:lang w:eastAsia="zh-CN"/>
        </w:rPr>
      </w:pPr>
    </w:p>
    <w:p w14:paraId="3E933441">
      <w:pPr>
        <w:pStyle w:val="24"/>
        <w:shd w:val="clear" w:color="auto" w:fill="auto"/>
        <w:topLinePunct/>
        <w:adjustRightInd w:val="0"/>
        <w:snapToGrid w:val="0"/>
        <w:spacing w:line="360" w:lineRule="auto"/>
        <w:ind w:left="2520" w:leftChars="1050" w:firstLine="0"/>
        <w:jc w:val="both"/>
        <w:rPr>
          <w:rFonts w:eastAsia="宋体"/>
          <w:snapToGrid w:val="0"/>
          <w:sz w:val="24"/>
          <w:lang w:eastAsia="zh-CN"/>
        </w:rPr>
      </w:pPr>
    </w:p>
    <w:p w14:paraId="4B50F151">
      <w:pPr>
        <w:pStyle w:val="24"/>
        <w:shd w:val="clear" w:color="auto" w:fill="auto"/>
        <w:topLinePunct/>
        <w:adjustRightInd w:val="0"/>
        <w:snapToGrid w:val="0"/>
        <w:spacing w:line="360" w:lineRule="auto"/>
        <w:ind w:left="2520" w:leftChars="1050" w:firstLine="0"/>
        <w:jc w:val="both"/>
        <w:rPr>
          <w:rFonts w:eastAsia="宋体"/>
          <w:snapToGrid w:val="0"/>
          <w:sz w:val="24"/>
          <w:lang w:eastAsia="zh-CN"/>
        </w:rPr>
      </w:pPr>
    </w:p>
    <w:p w14:paraId="0ECF0F9F">
      <w:pPr>
        <w:topLinePunct/>
        <w:adjustRightInd w:val="0"/>
        <w:snapToGrid w:val="0"/>
        <w:spacing w:after="270" w:afterLines="75" w:line="360" w:lineRule="auto"/>
        <w:jc w:val="center"/>
        <w:rPr>
          <w:rFonts w:ascii="Arial" w:hAnsi="Arial" w:eastAsia="宋体" w:cs="Arial"/>
          <w:snapToGrid w:val="0"/>
          <w:lang w:eastAsia="zh-CN"/>
        </w:rPr>
      </w:pPr>
      <w:r>
        <w:rPr>
          <w:rFonts w:hint="eastAsia" w:ascii="Arial" w:hAnsi="Arial" w:eastAsia="宋体" w:cs="Arial"/>
          <w:snapToGrid w:val="0"/>
          <w:lang w:eastAsia="zh-CN"/>
        </w:rPr>
        <w:t>转载请求发送至：</w:t>
      </w:r>
      <w:r>
        <w:rPr>
          <w:rFonts w:ascii="Arial" w:hAnsi="Arial" w:eastAsia="宋体" w:cs="Arial"/>
          <w:snapToGrid w:val="0"/>
        </w:rPr>
        <w:tab/>
      </w:r>
      <w:r>
        <w:rPr>
          <w:rFonts w:ascii="Arial" w:hAnsi="Arial" w:eastAsia="宋体" w:cs="Arial"/>
          <w:snapToGrid w:val="0"/>
        </w:rPr>
        <w:t>Merry Lee Evans, MSEE</w:t>
      </w:r>
    </w:p>
    <w:p w14:paraId="51B65DFA">
      <w:pPr>
        <w:topLinePunct/>
        <w:adjustRightInd w:val="0"/>
        <w:snapToGrid w:val="0"/>
        <w:spacing w:after="270" w:afterLines="75" w:line="360" w:lineRule="auto"/>
        <w:jc w:val="both"/>
        <w:rPr>
          <w:rFonts w:ascii="Arial" w:hAnsi="Arial" w:eastAsia="宋体" w:cs="Arial"/>
          <w:snapToGrid w:val="0"/>
          <w:szCs w:val="14"/>
        </w:rPr>
      </w:pPr>
      <w:r>
        <w:rPr>
          <w:rFonts w:ascii="Arial" w:hAnsi="Arial" w:eastAsia="宋体" w:cs="Arial"/>
          <w:snapToGrid w:val="0"/>
        </w:rPr>
        <w:br w:type="page"/>
      </w:r>
    </w:p>
    <w:p w14:paraId="504DC575">
      <w:pPr>
        <w:pStyle w:val="24"/>
        <w:shd w:val="clear" w:color="auto" w:fill="auto"/>
        <w:topLinePunct/>
        <w:adjustRightInd w:val="0"/>
        <w:snapToGrid w:val="0"/>
        <w:spacing w:after="270" w:afterLines="75" w:line="360" w:lineRule="auto"/>
        <w:ind w:firstLine="0"/>
        <w:jc w:val="both"/>
        <w:rPr>
          <w:rFonts w:eastAsia="宋体"/>
          <w:snapToGrid w:val="0"/>
          <w:sz w:val="24"/>
          <w:lang w:eastAsia="zh-CN"/>
        </w:rPr>
      </w:pPr>
      <w:r>
        <w:rPr>
          <w:rFonts w:hint="eastAsia" w:eastAsia="宋体"/>
          <w:snapToGrid w:val="0"/>
          <w:sz w:val="24"/>
          <w:lang w:eastAsia="zh-CN"/>
        </w:rPr>
        <w:t>摘要</w:t>
      </w:r>
    </w:p>
    <w:p w14:paraId="18F141BC">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bookmarkStart w:id="11" w:name="OLE_LINK9"/>
      <w:bookmarkStart w:id="12" w:name="OLE_LINK10"/>
      <w:r>
        <w:rPr>
          <w:rFonts w:hint="eastAsia" w:eastAsia="宋体"/>
          <w:b w:val="0"/>
          <w:snapToGrid w:val="0"/>
          <w:sz w:val="24"/>
          <w:lang w:eastAsia="zh-CN"/>
        </w:rPr>
        <w:t>输液港血管通道系统</w:t>
      </w:r>
      <w:bookmarkEnd w:id="11"/>
      <w:bookmarkEnd w:id="12"/>
      <w:r>
        <w:rPr>
          <w:rFonts w:hint="eastAsia" w:eastAsia="宋体"/>
          <w:b w:val="0"/>
          <w:snapToGrid w:val="0"/>
          <w:sz w:val="24"/>
          <w:lang w:eastAsia="zh-CN"/>
        </w:rPr>
        <w:t>是一种完全植入式系统，由带有连接导管的储液槽组成。该系统为需要持续药物供给或重复采血的患者提供便捷通道。为确保不阻碍血流，必须冲洗系统以清理输液港和导管，因此确定清理参数很重要。本文描述利用两种电阻率不同的溶液填充和冲洗系统，并用</w:t>
      </w:r>
      <w:bookmarkStart w:id="13" w:name="OLE_LINK1"/>
      <w:bookmarkStart w:id="14" w:name="OLE_LINK2"/>
      <w:r>
        <w:rPr>
          <w:rFonts w:hint="eastAsia" w:eastAsia="宋体"/>
          <w:b w:val="0"/>
          <w:snapToGrid w:val="0"/>
          <w:sz w:val="24"/>
          <w:lang w:eastAsia="zh-CN"/>
        </w:rPr>
        <w:t>四极式阻抗传感器</w:t>
      </w:r>
      <w:bookmarkEnd w:id="13"/>
      <w:bookmarkEnd w:id="14"/>
      <w:r>
        <w:rPr>
          <w:rFonts w:hint="eastAsia" w:eastAsia="宋体"/>
          <w:b w:val="0"/>
          <w:snapToGrid w:val="0"/>
          <w:sz w:val="24"/>
          <w:lang w:eastAsia="zh-CN"/>
        </w:rPr>
        <w:t>监测相对阻抗变化以获得这些参数的方法。产生的阻抗稀释曲线允许计算时间延迟、稀释时间、清理时间和清理量。该方法和产生的数据可用于描述输液港血管通道系统的特性并为新引进系统的比较分析提供基础。</w:t>
      </w:r>
    </w:p>
    <w:p w14:paraId="4CC8A539">
      <w:pPr>
        <w:pStyle w:val="24"/>
        <w:shd w:val="clear" w:color="auto" w:fill="auto"/>
        <w:tabs>
          <w:tab w:val="left" w:pos="2170"/>
        </w:tabs>
        <w:topLinePunct/>
        <w:adjustRightInd w:val="0"/>
        <w:snapToGrid w:val="0"/>
        <w:spacing w:after="270" w:afterLines="75" w:line="360" w:lineRule="auto"/>
        <w:ind w:firstLine="0"/>
        <w:jc w:val="both"/>
        <w:rPr>
          <w:rFonts w:eastAsia="宋体"/>
          <w:snapToGrid w:val="0"/>
          <w:sz w:val="24"/>
          <w:lang w:eastAsia="zh-CN"/>
        </w:rPr>
      </w:pPr>
    </w:p>
    <w:p w14:paraId="58F29839">
      <w:pPr>
        <w:pStyle w:val="24"/>
        <w:shd w:val="clear" w:color="auto" w:fill="auto"/>
        <w:tabs>
          <w:tab w:val="left" w:pos="2170"/>
        </w:tabs>
        <w:topLinePunct/>
        <w:adjustRightInd w:val="0"/>
        <w:snapToGrid w:val="0"/>
        <w:spacing w:after="270" w:afterLines="75" w:line="360" w:lineRule="auto"/>
        <w:ind w:firstLine="0"/>
        <w:jc w:val="both"/>
        <w:rPr>
          <w:rFonts w:eastAsia="宋体"/>
          <w:snapToGrid w:val="0"/>
          <w:sz w:val="24"/>
          <w:lang w:eastAsia="zh-CN"/>
        </w:rPr>
      </w:pPr>
    </w:p>
    <w:p w14:paraId="0F63CAD4">
      <w:pPr>
        <w:pStyle w:val="24"/>
        <w:shd w:val="clear" w:color="auto" w:fill="auto"/>
        <w:tabs>
          <w:tab w:val="left" w:pos="2170"/>
        </w:tabs>
        <w:topLinePunct/>
        <w:adjustRightInd w:val="0"/>
        <w:snapToGrid w:val="0"/>
        <w:spacing w:after="270" w:afterLines="75" w:line="360" w:lineRule="auto"/>
        <w:ind w:firstLine="0"/>
        <w:jc w:val="both"/>
        <w:rPr>
          <w:rFonts w:eastAsia="宋体"/>
          <w:snapToGrid w:val="0"/>
          <w:sz w:val="24"/>
          <w:lang w:eastAsia="zh-CN"/>
        </w:rPr>
      </w:pPr>
    </w:p>
    <w:p w14:paraId="2E48FE8D">
      <w:pPr>
        <w:pStyle w:val="24"/>
        <w:shd w:val="clear" w:color="auto" w:fill="auto"/>
        <w:tabs>
          <w:tab w:val="left" w:pos="2170"/>
        </w:tabs>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snapToGrid w:val="0"/>
          <w:sz w:val="24"/>
          <w:lang w:eastAsia="zh-CN"/>
        </w:rPr>
        <w:t>关键词</w:t>
      </w:r>
      <w:r>
        <w:rPr>
          <w:rFonts w:hint="eastAsia" w:eastAsia="宋体"/>
          <w:b w:val="0"/>
          <w:snapToGrid w:val="0"/>
          <w:sz w:val="24"/>
          <w:lang w:eastAsia="zh-CN"/>
        </w:rPr>
        <w:t>：输液港血管通道系统、清理量、阻抗稀释曲线、清理参数</w:t>
      </w:r>
    </w:p>
    <w:p w14:paraId="0F3BF11A">
      <w:pPr>
        <w:pStyle w:val="24"/>
        <w:shd w:val="clear" w:color="auto" w:fill="auto"/>
        <w:tabs>
          <w:tab w:val="left" w:pos="2170"/>
        </w:tabs>
        <w:topLinePunct/>
        <w:adjustRightInd w:val="0"/>
        <w:snapToGrid w:val="0"/>
        <w:spacing w:after="270" w:afterLines="75" w:line="360" w:lineRule="auto"/>
        <w:ind w:firstLine="0"/>
        <w:jc w:val="both"/>
        <w:rPr>
          <w:rFonts w:eastAsia="宋体"/>
          <w:snapToGrid w:val="0"/>
          <w:sz w:val="24"/>
          <w:lang w:eastAsia="zh-CN"/>
        </w:rPr>
      </w:pPr>
      <w:r>
        <w:rPr>
          <w:rFonts w:eastAsia="宋体"/>
          <w:snapToGrid w:val="0"/>
          <w:sz w:val="24"/>
          <w:lang w:eastAsia="zh-CN"/>
        </w:rPr>
        <w:br w:type="page"/>
      </w:r>
    </w:p>
    <w:p w14:paraId="661A2915">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对于需要重复注射、持续输注药物或液体或重复采血的患者，输液港血管通道系统简化了血管通路。系统包括通常称为</w:t>
      </w:r>
      <w:r>
        <w:rPr>
          <w:rFonts w:hint="eastAsia" w:ascii="宋体" w:hAnsi="宋体" w:eastAsia="宋体"/>
          <w:b w:val="0"/>
          <w:snapToGrid w:val="0"/>
          <w:sz w:val="24"/>
          <w:lang w:eastAsia="zh-CN"/>
        </w:rPr>
        <w:t>“</w:t>
      </w:r>
      <w:r>
        <w:rPr>
          <w:rFonts w:hint="eastAsia" w:eastAsia="宋体"/>
          <w:b w:val="0"/>
          <w:snapToGrid w:val="0"/>
          <w:sz w:val="24"/>
          <w:lang w:eastAsia="zh-CN"/>
        </w:rPr>
        <w:t>输液港</w:t>
      </w:r>
      <w:r>
        <w:rPr>
          <w:rFonts w:hint="eastAsia" w:ascii="宋体" w:hAnsi="宋体" w:eastAsia="宋体"/>
          <w:b w:val="0"/>
          <w:snapToGrid w:val="0"/>
          <w:sz w:val="24"/>
          <w:lang w:eastAsia="zh-CN"/>
        </w:rPr>
        <w:t>”</w:t>
      </w:r>
      <w:r>
        <w:rPr>
          <w:rFonts w:hint="eastAsia" w:eastAsia="宋体"/>
          <w:b w:val="0"/>
          <w:snapToGrid w:val="0"/>
          <w:sz w:val="24"/>
          <w:lang w:eastAsia="zh-CN"/>
        </w:rPr>
        <w:t>的储液槽和从储液槽伸出的导管（见图1）。对于静脉通路，最常见的是导管经锁骨下静脉延伸至上腔静脉创造静脉通路。输液港也用于动脉血管、腹膜和中枢神经系统的输注。每年有数以千计的输液港血管通道系统植入且数量仍在增加。</w:t>
      </w:r>
    </w:p>
    <w:p w14:paraId="05F169CC">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植入后，经皮肤将针头插入覆盖输液港的橡胶隔膜即进入输液港。可经针头注入药物或液体或采血。进入完成后，但在移除针头前，必须注入无菌冲洗溶液以清理输液港和导管中的药物或血液。冲洗不充分可能导致导管堵塞或有凝血并失去通畅性。充分冲洗（清理）所需的液体量和流速取决于特定系统的流体动力学。不同流速所需的清理量不同。</w:t>
      </w:r>
    </w:p>
    <w:p w14:paraId="6818E93A">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为确定清理量，可使用阻抗不同的两种样品溶液（一种用于填充，另一种用于冲洗）稀释阻抗。用填充液充满输液港通道系统，然后注射不同阻抗的冲洗液，这样会产生阻抗稀释记录。测量产生最大阻抗变化（达到冲洗液的阻抗）所需的经过时间使得能够计算给定流速的清理量。该报告描述测量输液港储液槽和连接导管清理量的方法。</w:t>
      </w:r>
    </w:p>
    <w:p w14:paraId="54F58ACC">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eastAsia="宋体"/>
          <w:b w:val="0"/>
          <w:snapToGrid w:val="0"/>
          <w:sz w:val="24"/>
          <w:lang w:eastAsia="zh-CN"/>
        </w:rPr>
        <w:br w:type="page"/>
      </w:r>
    </w:p>
    <w:p w14:paraId="6CF552F6">
      <w:pPr>
        <w:pStyle w:val="24"/>
        <w:shd w:val="clear" w:color="auto" w:fill="auto"/>
        <w:topLinePunct/>
        <w:adjustRightInd w:val="0"/>
        <w:snapToGrid w:val="0"/>
        <w:spacing w:after="270" w:afterLines="75" w:line="360" w:lineRule="auto"/>
        <w:ind w:firstLine="0"/>
        <w:jc w:val="both"/>
        <w:rPr>
          <w:rFonts w:eastAsia="宋体"/>
          <w:snapToGrid w:val="0"/>
          <w:sz w:val="24"/>
          <w:lang w:eastAsia="zh-CN"/>
        </w:rPr>
      </w:pPr>
      <w:r>
        <w:rPr>
          <w:rFonts w:hint="eastAsia" w:eastAsia="宋体"/>
          <w:snapToGrid w:val="0"/>
          <w:sz w:val="24"/>
          <w:lang w:eastAsia="zh-CN"/>
        </w:rPr>
        <w:t>方法</w:t>
      </w:r>
    </w:p>
    <w:p w14:paraId="5F6300AE">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为检测相对阻抗变化从而计算输液港通道系统的清理量，我们准备两种电阻率不同的溶液：一种用于填充系统，另一种用于冲洗系统。选择的填充液是一种盐水／甘油混合物，近似血液粘度，由蒸馏水与</w:t>
      </w:r>
      <w:r>
        <w:rPr>
          <w:rFonts w:eastAsia="宋体"/>
          <w:b w:val="0"/>
          <w:snapToGrid w:val="0"/>
          <w:sz w:val="24"/>
          <w:lang w:eastAsia="zh-CN"/>
        </w:rPr>
        <w:t>45%</w:t>
      </w:r>
      <w:r>
        <w:rPr>
          <w:rFonts w:hint="eastAsia" w:eastAsia="宋体"/>
          <w:b w:val="0"/>
          <w:snapToGrid w:val="0"/>
          <w:sz w:val="24"/>
          <w:lang w:eastAsia="zh-CN"/>
        </w:rPr>
        <w:t>甘油（重量比）混合而成并添加</w:t>
      </w:r>
      <w:r>
        <w:rPr>
          <w:rFonts w:eastAsia="宋体"/>
          <w:b w:val="0"/>
          <w:snapToGrid w:val="0"/>
          <w:sz w:val="24"/>
          <w:lang w:eastAsia="zh-CN"/>
        </w:rPr>
        <w:t>NaCI（2.9 gm/l）</w:t>
      </w:r>
      <w:r>
        <w:rPr>
          <w:rFonts w:hint="eastAsia" w:eastAsia="宋体"/>
          <w:b w:val="0"/>
          <w:snapToGrid w:val="0"/>
          <w:sz w:val="24"/>
          <w:lang w:eastAsia="zh-CN"/>
        </w:rPr>
        <w:t>。选择的冲洗液是</w:t>
      </w:r>
      <w:r>
        <w:rPr>
          <w:rFonts w:eastAsia="宋体"/>
          <w:b w:val="0"/>
          <w:snapToGrid w:val="0"/>
          <w:sz w:val="24"/>
          <w:lang w:eastAsia="zh-CN"/>
        </w:rPr>
        <w:t>0.9%</w:t>
      </w:r>
      <w:r>
        <w:rPr>
          <w:rFonts w:hint="eastAsia" w:eastAsia="宋体"/>
          <w:b w:val="0"/>
          <w:snapToGrid w:val="0"/>
          <w:sz w:val="24"/>
          <w:lang w:eastAsia="zh-CN"/>
        </w:rPr>
        <w:t>生理盐水混合物。为保持温度平衡，将含</w:t>
      </w:r>
      <w:r>
        <w:rPr>
          <w:rFonts w:eastAsia="宋体"/>
          <w:b w:val="0"/>
          <w:snapToGrid w:val="0"/>
          <w:sz w:val="24"/>
          <w:lang w:eastAsia="zh-CN"/>
        </w:rPr>
        <w:t>0.9%</w:t>
      </w:r>
      <w:r>
        <w:rPr>
          <w:rFonts w:hint="eastAsia" w:eastAsia="宋体"/>
          <w:b w:val="0"/>
          <w:snapToGrid w:val="0"/>
          <w:sz w:val="24"/>
          <w:lang w:eastAsia="zh-CN"/>
        </w:rPr>
        <w:t>生理盐水的烧杯和含甘油／盐水溶液的烧杯同时放在</w:t>
      </w:r>
      <w:r>
        <w:rPr>
          <w:rFonts w:eastAsia="宋体"/>
          <w:b w:val="0"/>
          <w:snapToGrid w:val="0"/>
          <w:sz w:val="24"/>
          <w:lang w:eastAsia="zh-CN"/>
        </w:rPr>
        <w:t>37°C</w:t>
      </w:r>
      <w:r>
        <w:rPr>
          <w:rFonts w:hint="eastAsia" w:eastAsia="宋体"/>
          <w:b w:val="0"/>
          <w:snapToGrid w:val="0"/>
          <w:sz w:val="24"/>
          <w:lang w:eastAsia="zh-CN"/>
        </w:rPr>
        <w:t>的蒸馏水浴中。</w:t>
      </w:r>
    </w:p>
    <w:p w14:paraId="1F84E17F">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为检测冲洗液替代填充液过程中发生的阻抗相对变化，在导管末端安装了四极式传感器（见图2）。阻抗传感器有四个电极；在外部的两个电极之间供应电流而内部的两个电极测量电流经过溶液产生的电压；根据欧姆定律，阻抗等于隐含电压除以施加的电流。</w:t>
      </w:r>
    </w:p>
    <w:p w14:paraId="23E44719">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测量的电阻，</w:t>
      </w:r>
      <w:r>
        <w:rPr>
          <w:rFonts w:eastAsia="宋体"/>
          <w:b w:val="0"/>
          <w:snapToGrid w:val="0"/>
          <w:sz w:val="24"/>
          <w:lang w:eastAsia="zh-CN"/>
        </w:rPr>
        <w:t>R</w:t>
      </w:r>
      <w:r>
        <w:rPr>
          <w:rFonts w:hint="eastAsia" w:eastAsia="宋体"/>
          <w:b w:val="0"/>
          <w:snapToGrid w:val="0"/>
          <w:sz w:val="24"/>
          <w:lang w:eastAsia="zh-CN"/>
        </w:rPr>
        <w:t>，等于溶液的电阻率，</w:t>
      </w:r>
      <w:r>
        <w:rPr>
          <w:rStyle w:val="28"/>
          <w:rFonts w:eastAsia="宋体"/>
          <w:b w:val="0"/>
          <w:bCs w:val="0"/>
          <w:snapToGrid w:val="0"/>
          <w:spacing w:val="0"/>
          <w:sz w:val="24"/>
          <w:lang w:eastAsia="zh-CN"/>
        </w:rPr>
        <w:t>p</w:t>
      </w:r>
      <w:r>
        <w:rPr>
          <w:rFonts w:eastAsia="宋体"/>
          <w:b w:val="0"/>
          <w:snapToGrid w:val="0"/>
          <w:sz w:val="24"/>
          <w:lang w:eastAsia="zh-CN"/>
        </w:rPr>
        <w:t>，</w:t>
      </w:r>
      <w:r>
        <w:rPr>
          <w:rFonts w:hint="eastAsia" w:eastAsia="宋体"/>
          <w:b w:val="0"/>
          <w:snapToGrid w:val="0"/>
          <w:sz w:val="24"/>
          <w:lang w:eastAsia="zh-CN"/>
        </w:rPr>
        <w:t>乘以传感器常数，</w:t>
      </w:r>
      <w:r>
        <w:rPr>
          <w:rFonts w:eastAsia="宋体"/>
          <w:b w:val="0"/>
          <w:snapToGrid w:val="0"/>
          <w:sz w:val="24"/>
          <w:lang w:eastAsia="zh-CN"/>
        </w:rPr>
        <w:t>k</w:t>
      </w:r>
      <w:r>
        <w:rPr>
          <w:rFonts w:hint="eastAsia" w:eastAsia="宋体"/>
          <w:b w:val="0"/>
          <w:snapToGrid w:val="0"/>
          <w:sz w:val="24"/>
          <w:lang w:eastAsia="zh-CN"/>
        </w:rPr>
        <w:t>。根据公式</w:t>
      </w:r>
    </w:p>
    <w:p w14:paraId="6DE1FF11">
      <w:pPr>
        <w:rPr>
          <w:rStyle w:val="29"/>
          <w:rFonts w:eastAsia="宋体"/>
          <w:b w:val="0"/>
          <w:snapToGrid w:val="0"/>
          <w:sz w:val="24"/>
          <w:lang w:eastAsia="zh-CN"/>
        </w:rPr>
      </w:pPr>
      <w:r>
        <w:rPr>
          <w:rStyle w:val="29"/>
          <w:rFonts w:eastAsia="宋体"/>
          <w:bCs w:val="0"/>
          <w:snapToGrid w:val="0"/>
          <w:sz w:val="24"/>
          <w:lang w:eastAsia="zh-CN"/>
        </w:rPr>
        <w:br w:type="page"/>
      </w:r>
    </w:p>
    <w:p w14:paraId="669238B9">
      <w:pPr>
        <w:pStyle w:val="24"/>
        <w:shd w:val="clear" w:color="auto" w:fill="auto"/>
        <w:topLinePunct/>
        <w:adjustRightInd w:val="0"/>
        <w:snapToGrid w:val="0"/>
        <w:spacing w:after="270" w:afterLines="75" w:line="360" w:lineRule="auto"/>
        <w:ind w:firstLine="0"/>
        <w:jc w:val="center"/>
        <w:rPr>
          <w:rFonts w:eastAsia="宋体"/>
          <w:snapToGrid w:val="0"/>
          <w:sz w:val="24"/>
          <w:lang w:eastAsia="zh-CN"/>
        </w:rPr>
      </w:pPr>
      <w:r>
        <w:rPr>
          <w:rStyle w:val="29"/>
          <w:rFonts w:eastAsia="宋体"/>
          <w:b w:val="0"/>
          <w:bCs/>
          <w:snapToGrid w:val="0"/>
          <w:sz w:val="24"/>
          <w:lang w:eastAsia="zh-CN"/>
        </w:rPr>
        <w:t>p</w:t>
      </w:r>
      <w:r>
        <w:rPr>
          <w:rStyle w:val="30"/>
          <w:rFonts w:eastAsia="宋体"/>
          <w:b w:val="0"/>
          <w:bCs w:val="0"/>
          <w:snapToGrid w:val="0"/>
          <w:sz w:val="24"/>
          <w:lang w:eastAsia="zh-CN"/>
        </w:rPr>
        <w:t xml:space="preserve"> </w:t>
      </w:r>
      <w:r>
        <w:rPr>
          <w:rFonts w:eastAsia="宋体"/>
          <w:b w:val="0"/>
          <w:snapToGrid w:val="0"/>
          <w:sz w:val="24"/>
          <w:lang w:eastAsia="zh-CN"/>
        </w:rPr>
        <w:t>=</w:t>
      </w:r>
      <w:r>
        <w:rPr>
          <w:rFonts w:eastAsia="宋体"/>
          <w:snapToGrid w:val="0"/>
          <w:sz w:val="24"/>
          <w:lang w:eastAsia="zh-CN"/>
        </w:rPr>
        <w:t xml:space="preserve"> </w:t>
      </w:r>
      <w:r>
        <w:rPr>
          <w:rFonts w:eastAsia="宋体"/>
          <w:b w:val="0"/>
          <w:snapToGrid w:val="0"/>
          <w:sz w:val="24"/>
          <w:lang w:eastAsia="zh-CN"/>
        </w:rPr>
        <w:t>379.1 / C</w:t>
      </w:r>
      <w:r>
        <w:rPr>
          <w:rStyle w:val="31"/>
          <w:rFonts w:eastAsia="宋体"/>
          <w:b w:val="0"/>
          <w:bCs w:val="0"/>
          <w:snapToGrid w:val="0"/>
          <w:sz w:val="24"/>
          <w:vertAlign w:val="superscript"/>
          <w:lang w:eastAsia="zh-CN"/>
        </w:rPr>
        <w:t>0</w:t>
      </w:r>
      <w:r>
        <w:rPr>
          <w:rStyle w:val="31"/>
          <w:rFonts w:hint="eastAsia" w:eastAsia="宋体"/>
          <w:b w:val="0"/>
          <w:bCs w:val="0"/>
          <w:snapToGrid w:val="0"/>
          <w:sz w:val="24"/>
          <w:vertAlign w:val="superscript"/>
          <w:lang w:eastAsia="zh-CN"/>
        </w:rPr>
        <w:t>.</w:t>
      </w:r>
      <w:r>
        <w:rPr>
          <w:rStyle w:val="31"/>
          <w:rFonts w:eastAsia="宋体"/>
          <w:b w:val="0"/>
          <w:bCs w:val="0"/>
          <w:snapToGrid w:val="0"/>
          <w:sz w:val="24"/>
          <w:vertAlign w:val="superscript"/>
          <w:lang w:eastAsia="zh-CN"/>
        </w:rPr>
        <w:t xml:space="preserve"> 9149</w:t>
      </w:r>
      <w:r>
        <w:rPr>
          <w:rFonts w:hint="eastAsia" w:eastAsia="宋体"/>
          <w:snapToGrid w:val="0"/>
          <w:sz w:val="24"/>
          <w:lang w:eastAsia="zh-CN"/>
        </w:rPr>
        <w:t>，</w:t>
      </w:r>
    </w:p>
    <w:p w14:paraId="15869E7A">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生理盐水的电阻率与浓度相关，C是</w:t>
      </w:r>
      <w:r>
        <w:rPr>
          <w:rFonts w:eastAsia="宋体"/>
          <w:b w:val="0"/>
          <w:snapToGrid w:val="0"/>
          <w:sz w:val="24"/>
          <w:lang w:eastAsia="zh-CN"/>
        </w:rPr>
        <w:t>37°C</w:t>
      </w:r>
      <w:r>
        <w:rPr>
          <w:rFonts w:hint="eastAsia" w:eastAsia="宋体"/>
          <w:b w:val="0"/>
          <w:snapToGrid w:val="0"/>
          <w:sz w:val="24"/>
          <w:lang w:eastAsia="zh-CN"/>
        </w:rPr>
        <w:t>时的盐水浓度，因此根据公式</w:t>
      </w:r>
    </w:p>
    <w:p w14:paraId="3B3BD360">
      <w:pPr>
        <w:pStyle w:val="24"/>
        <w:shd w:val="clear" w:color="auto" w:fill="auto"/>
        <w:topLinePunct/>
        <w:adjustRightInd w:val="0"/>
        <w:snapToGrid w:val="0"/>
        <w:spacing w:after="270" w:afterLines="75" w:line="360" w:lineRule="auto"/>
        <w:ind w:firstLine="0"/>
        <w:jc w:val="center"/>
        <w:rPr>
          <w:rStyle w:val="31"/>
          <w:rFonts w:eastAsia="宋体"/>
          <w:b w:val="0"/>
          <w:bCs w:val="0"/>
          <w:snapToGrid w:val="0"/>
          <w:sz w:val="24"/>
          <w:vertAlign w:val="superscript"/>
          <w:lang w:eastAsia="zh-CN"/>
        </w:rPr>
      </w:pPr>
      <w:r>
        <w:rPr>
          <w:rFonts w:eastAsia="宋体"/>
          <w:b w:val="0"/>
          <w:snapToGrid w:val="0"/>
          <w:sz w:val="24"/>
          <w:lang w:eastAsia="zh-CN"/>
        </w:rPr>
        <w:t xml:space="preserve">R = 379.1 k </w:t>
      </w:r>
      <w:r>
        <w:rPr>
          <w:rFonts w:eastAsia="宋体"/>
          <w:snapToGrid w:val="0"/>
          <w:sz w:val="24"/>
          <w:lang w:eastAsia="zh-CN"/>
        </w:rPr>
        <w:t xml:space="preserve">/ </w:t>
      </w:r>
      <w:r>
        <w:rPr>
          <w:rStyle w:val="31"/>
          <w:rFonts w:eastAsia="宋体"/>
          <w:b w:val="0"/>
          <w:bCs w:val="0"/>
          <w:snapToGrid w:val="0"/>
          <w:sz w:val="24"/>
          <w:lang w:eastAsia="zh-CN"/>
        </w:rPr>
        <w:t>C</w:t>
      </w:r>
      <w:r>
        <w:rPr>
          <w:rStyle w:val="31"/>
          <w:rFonts w:hint="eastAsia" w:eastAsia="宋体"/>
          <w:b w:val="0"/>
          <w:bCs w:val="0"/>
          <w:snapToGrid w:val="0"/>
          <w:sz w:val="24"/>
          <w:vertAlign w:val="superscript"/>
          <w:lang w:eastAsia="zh-CN"/>
        </w:rPr>
        <w:t>0.</w:t>
      </w:r>
      <w:r>
        <w:rPr>
          <w:rStyle w:val="31"/>
          <w:rFonts w:eastAsia="宋体"/>
          <w:b w:val="0"/>
          <w:bCs w:val="0"/>
          <w:snapToGrid w:val="0"/>
          <w:sz w:val="24"/>
          <w:vertAlign w:val="superscript"/>
          <w:lang w:eastAsia="zh-CN"/>
        </w:rPr>
        <w:t>9149</w:t>
      </w:r>
    </w:p>
    <w:p w14:paraId="744CC329">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eastAsia="宋体"/>
          <w:b w:val="0"/>
          <w:snapToGrid w:val="0"/>
          <w:sz w:val="24"/>
          <w:lang w:eastAsia="zh-CN"/>
        </w:rPr>
        <w:t>（Geddes</w:t>
      </w:r>
      <w:r>
        <w:rPr>
          <w:rFonts w:hint="eastAsia" w:eastAsia="宋体"/>
          <w:b w:val="0"/>
          <w:snapToGrid w:val="0"/>
          <w:sz w:val="24"/>
          <w:lang w:eastAsia="zh-CN"/>
        </w:rPr>
        <w:t>和</w:t>
      </w:r>
      <w:r>
        <w:rPr>
          <w:rFonts w:eastAsia="宋体"/>
          <w:b w:val="0"/>
          <w:snapToGrid w:val="0"/>
          <w:sz w:val="24"/>
          <w:lang w:eastAsia="zh-CN"/>
        </w:rPr>
        <w:t>Baker，1989）</w:t>
      </w:r>
      <w:r>
        <w:rPr>
          <w:rFonts w:hint="eastAsia" w:eastAsia="宋体"/>
          <w:b w:val="0"/>
          <w:snapToGrid w:val="0"/>
          <w:sz w:val="24"/>
          <w:lang w:eastAsia="zh-CN"/>
        </w:rPr>
        <w:t>。测量的电阻与浓度相关。在本研究中，由于清理参数可通过相对阻抗变化获得，因此无需</w:t>
      </w:r>
      <w:r>
        <w:rPr>
          <w:rStyle w:val="31"/>
          <w:rFonts w:eastAsia="宋体"/>
          <w:b w:val="0"/>
          <w:bCs w:val="0"/>
          <w:snapToGrid w:val="0"/>
          <w:sz w:val="24"/>
          <w:lang w:eastAsia="zh-CN"/>
        </w:rPr>
        <w:t>p</w:t>
      </w:r>
      <w:r>
        <w:rPr>
          <w:rFonts w:hint="eastAsia" w:eastAsia="宋体"/>
          <w:b w:val="0"/>
          <w:snapToGrid w:val="0"/>
          <w:sz w:val="24"/>
          <w:lang w:eastAsia="zh-CN"/>
        </w:rPr>
        <w:t>和</w:t>
      </w:r>
      <w:r>
        <w:rPr>
          <w:rFonts w:eastAsia="宋体"/>
          <w:b w:val="0"/>
          <w:snapToGrid w:val="0"/>
          <w:sz w:val="24"/>
          <w:lang w:eastAsia="zh-CN"/>
        </w:rPr>
        <w:t>R</w:t>
      </w:r>
      <w:r>
        <w:rPr>
          <w:rFonts w:hint="eastAsia" w:eastAsia="宋体"/>
          <w:b w:val="0"/>
          <w:snapToGrid w:val="0"/>
          <w:sz w:val="24"/>
          <w:lang w:eastAsia="zh-CN"/>
        </w:rPr>
        <w:t>的精确值。</w:t>
      </w:r>
    </w:p>
    <w:p w14:paraId="56BA333E">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在两种尺寸导管</w:t>
      </w:r>
      <w:r>
        <w:rPr>
          <w:rFonts w:eastAsia="宋体"/>
          <w:b w:val="0"/>
          <w:snapToGrid w:val="0"/>
          <w:sz w:val="24"/>
        </w:rPr>
        <w:t>（</w:t>
      </w:r>
      <w:r>
        <w:rPr>
          <w:rFonts w:hint="eastAsia" w:eastAsia="宋体"/>
          <w:b w:val="0"/>
          <w:snapToGrid w:val="0"/>
          <w:sz w:val="24"/>
          <w:lang w:eastAsia="zh-CN"/>
        </w:rPr>
        <w:t>内径为</w:t>
      </w:r>
      <w:r>
        <w:rPr>
          <w:rFonts w:eastAsia="宋体"/>
          <w:b w:val="0"/>
          <w:snapToGrid w:val="0"/>
          <w:sz w:val="24"/>
        </w:rPr>
        <w:t>1.0</w:t>
      </w:r>
      <w:r>
        <w:rPr>
          <w:rFonts w:hint="eastAsia" w:eastAsia="宋体"/>
          <w:b w:val="0"/>
          <w:snapToGrid w:val="0"/>
          <w:sz w:val="24"/>
          <w:lang w:eastAsia="zh-CN"/>
        </w:rPr>
        <w:t>和</w:t>
      </w:r>
      <w:r>
        <w:rPr>
          <w:rFonts w:eastAsia="宋体"/>
          <w:b w:val="0"/>
          <w:snapToGrid w:val="0"/>
          <w:sz w:val="24"/>
        </w:rPr>
        <w:t>1.5</w:t>
      </w:r>
      <w:r>
        <w:rPr>
          <w:rFonts w:hint="eastAsia" w:eastAsia="宋体"/>
          <w:b w:val="0"/>
          <w:snapToGrid w:val="0"/>
          <w:sz w:val="24"/>
          <w:lang w:eastAsia="zh-CN"/>
        </w:rPr>
        <w:t xml:space="preserve"> </w:t>
      </w:r>
      <w:r>
        <w:rPr>
          <w:rFonts w:eastAsia="宋体"/>
          <w:b w:val="0"/>
          <w:snapToGrid w:val="0"/>
          <w:sz w:val="24"/>
        </w:rPr>
        <w:t>mm）</w:t>
      </w:r>
      <w:r>
        <w:rPr>
          <w:rFonts w:hint="eastAsia" w:eastAsia="宋体"/>
          <w:b w:val="0"/>
          <w:snapToGrid w:val="0"/>
          <w:sz w:val="24"/>
          <w:lang w:eastAsia="zh-CN"/>
        </w:rPr>
        <w:t>的每个远端末端附近的导管壁切出长度大约为</w:t>
      </w:r>
      <w:r>
        <w:rPr>
          <w:rFonts w:eastAsia="宋体"/>
          <w:b w:val="0"/>
          <w:snapToGrid w:val="0"/>
          <w:sz w:val="24"/>
        </w:rPr>
        <w:t>3 mm</w:t>
      </w:r>
      <w:r>
        <w:rPr>
          <w:rFonts w:hint="eastAsia" w:eastAsia="宋体"/>
          <w:b w:val="0"/>
          <w:snapToGrid w:val="0"/>
          <w:sz w:val="24"/>
          <w:lang w:eastAsia="zh-CN"/>
        </w:rPr>
        <w:t>的裂缝，这是与研究的血管通道系统（</w:t>
      </w:r>
      <w:r>
        <w:rPr>
          <w:rFonts w:eastAsia="宋体"/>
          <w:b w:val="0"/>
          <w:snapToGrid w:val="0"/>
          <w:sz w:val="24"/>
          <w:lang w:eastAsia="zh-CN"/>
        </w:rPr>
        <w:t>VITAL-PORT™</w:t>
      </w:r>
      <w:r>
        <w:rPr>
          <w:rFonts w:hint="eastAsia" w:eastAsia="宋体"/>
          <w:b w:val="0"/>
          <w:snapToGrid w:val="0"/>
          <w:sz w:val="24"/>
          <w:lang w:eastAsia="zh-CN"/>
        </w:rPr>
        <w:t>血管通道系统，</w:t>
      </w:r>
      <w:r>
        <w:rPr>
          <w:rFonts w:eastAsia="宋体"/>
          <w:b w:val="0"/>
          <w:snapToGrid w:val="0"/>
          <w:sz w:val="24"/>
          <w:lang w:eastAsia="zh-CN"/>
        </w:rPr>
        <w:t>Cook Pacemaker Corporation, Leechburg, PA</w:t>
      </w:r>
      <w:r>
        <w:rPr>
          <w:rFonts w:hint="eastAsia" w:eastAsia="宋体"/>
          <w:b w:val="0"/>
          <w:snapToGrid w:val="0"/>
          <w:sz w:val="24"/>
          <w:lang w:eastAsia="zh-CN"/>
        </w:rPr>
        <w:t>）配套供应的导管。利用</w:t>
      </w:r>
      <w:r>
        <w:rPr>
          <w:rFonts w:eastAsia="宋体"/>
          <w:b w:val="0"/>
          <w:snapToGrid w:val="0"/>
          <w:sz w:val="24"/>
          <w:lang w:eastAsia="zh-CN"/>
        </w:rPr>
        <w:t>Locktite 406（Loctite Corp., Newington, CT）</w:t>
      </w:r>
      <w:r>
        <w:rPr>
          <w:rFonts w:hint="eastAsia" w:eastAsia="宋体"/>
          <w:b w:val="0"/>
          <w:snapToGrid w:val="0"/>
          <w:sz w:val="24"/>
          <w:lang w:eastAsia="zh-CN"/>
        </w:rPr>
        <w:t>将四极式阻抗传感器粘贴在裂缝内同时不阻碍血流且电极垂直于导管中液体流动方向。对于</w:t>
      </w:r>
      <w:r>
        <w:rPr>
          <w:rFonts w:eastAsia="宋体"/>
          <w:b w:val="0"/>
          <w:snapToGrid w:val="0"/>
          <w:sz w:val="24"/>
          <w:lang w:eastAsia="zh-CN"/>
        </w:rPr>
        <w:t>1.0</w:t>
      </w:r>
      <w:r>
        <w:rPr>
          <w:rFonts w:hint="eastAsia" w:eastAsia="宋体"/>
          <w:b w:val="0"/>
          <w:snapToGrid w:val="0"/>
          <w:sz w:val="24"/>
          <w:lang w:eastAsia="zh-CN"/>
        </w:rPr>
        <w:t>和</w:t>
      </w:r>
      <w:r>
        <w:rPr>
          <w:rFonts w:eastAsia="宋体"/>
          <w:b w:val="0"/>
          <w:snapToGrid w:val="0"/>
          <w:sz w:val="24"/>
          <w:lang w:eastAsia="zh-CN"/>
        </w:rPr>
        <w:t>1.5 mm</w:t>
      </w:r>
      <w:r>
        <w:rPr>
          <w:rFonts w:hint="eastAsia" w:eastAsia="宋体"/>
          <w:b w:val="0"/>
          <w:snapToGrid w:val="0"/>
          <w:sz w:val="24"/>
          <w:lang w:eastAsia="zh-CN"/>
        </w:rPr>
        <w:t>内径导管，电极分别位于距输液港</w:t>
      </w:r>
      <w:r>
        <w:rPr>
          <w:rFonts w:eastAsia="宋体"/>
          <w:b w:val="0"/>
          <w:snapToGrid w:val="0"/>
          <w:sz w:val="24"/>
          <w:lang w:eastAsia="zh-CN"/>
        </w:rPr>
        <w:t>63.9</w:t>
      </w:r>
      <w:r>
        <w:rPr>
          <w:rFonts w:hint="eastAsia" w:eastAsia="宋体"/>
          <w:b w:val="0"/>
          <w:snapToGrid w:val="0"/>
          <w:sz w:val="24"/>
          <w:lang w:eastAsia="zh-CN"/>
        </w:rPr>
        <w:t>和</w:t>
      </w:r>
      <w:r>
        <w:rPr>
          <w:rFonts w:eastAsia="宋体"/>
          <w:b w:val="0"/>
          <w:snapToGrid w:val="0"/>
          <w:sz w:val="24"/>
          <w:lang w:eastAsia="zh-CN"/>
        </w:rPr>
        <w:t>67.5 cm</w:t>
      </w:r>
      <w:r>
        <w:rPr>
          <w:rFonts w:hint="eastAsia" w:eastAsia="宋体"/>
          <w:b w:val="0"/>
          <w:snapToGrid w:val="0"/>
          <w:sz w:val="24"/>
          <w:lang w:eastAsia="zh-CN"/>
        </w:rPr>
        <w:t>的位置。用</w:t>
      </w:r>
      <w:r>
        <w:rPr>
          <w:rFonts w:eastAsia="宋体"/>
          <w:b w:val="0"/>
          <w:snapToGrid w:val="0"/>
          <w:sz w:val="24"/>
          <w:lang w:eastAsia="zh-CN"/>
        </w:rPr>
        <w:t>长图记录仪</w:t>
      </w:r>
      <w:r>
        <w:rPr>
          <w:rFonts w:hint="eastAsia" w:eastAsia="宋体"/>
          <w:b w:val="0"/>
          <w:snapToGrid w:val="0"/>
          <w:sz w:val="24"/>
          <w:lang w:eastAsia="zh-CN"/>
        </w:rPr>
        <w:t>记录阻抗传感器的输出。</w:t>
      </w:r>
    </w:p>
    <w:p w14:paraId="6ACBF37B">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利用电阻率桥测量的甘油／盐水溶液电阻为</w:t>
      </w:r>
      <w:r>
        <w:rPr>
          <w:rFonts w:eastAsia="宋体"/>
          <w:b w:val="0"/>
          <w:snapToGrid w:val="0"/>
          <w:sz w:val="24"/>
          <w:lang w:eastAsia="zh-CN"/>
        </w:rPr>
        <w:t>160 ohms</w:t>
      </w:r>
      <w:r>
        <w:rPr>
          <w:rFonts w:hint="eastAsia" w:eastAsia="宋体"/>
          <w:b w:val="0"/>
          <w:snapToGrid w:val="0"/>
          <w:sz w:val="24"/>
          <w:lang w:eastAsia="zh-CN"/>
        </w:rPr>
        <w:t>，测量的</w:t>
      </w:r>
      <w:r>
        <w:rPr>
          <w:rFonts w:eastAsia="宋体"/>
          <w:b w:val="0"/>
          <w:snapToGrid w:val="0"/>
          <w:sz w:val="24"/>
          <w:lang w:eastAsia="zh-CN"/>
        </w:rPr>
        <w:t>0.9%</w:t>
      </w:r>
      <w:r>
        <w:rPr>
          <w:rFonts w:hint="eastAsia" w:eastAsia="宋体"/>
          <w:b w:val="0"/>
          <w:snapToGrid w:val="0"/>
          <w:sz w:val="24"/>
          <w:lang w:eastAsia="zh-CN"/>
        </w:rPr>
        <w:t>生理盐水电阻为</w:t>
      </w:r>
      <w:r>
        <w:rPr>
          <w:rFonts w:eastAsia="宋体"/>
          <w:b w:val="0"/>
          <w:snapToGrid w:val="0"/>
          <w:sz w:val="24"/>
          <w:lang w:eastAsia="zh-CN"/>
        </w:rPr>
        <w:t>52 ohms</w:t>
      </w:r>
      <w:r>
        <w:rPr>
          <w:rFonts w:hint="eastAsia" w:eastAsia="宋体"/>
          <w:b w:val="0"/>
          <w:snapToGrid w:val="0"/>
          <w:sz w:val="24"/>
          <w:lang w:eastAsia="zh-CN"/>
        </w:rPr>
        <w:t>。整个系统，包括导管，浸没在</w:t>
      </w:r>
      <w:r>
        <w:rPr>
          <w:rFonts w:eastAsia="宋体"/>
          <w:b w:val="0"/>
          <w:snapToGrid w:val="0"/>
          <w:sz w:val="24"/>
          <w:lang w:eastAsia="zh-CN"/>
        </w:rPr>
        <w:t>37°C</w:t>
      </w:r>
      <w:r>
        <w:rPr>
          <w:rFonts w:hint="eastAsia" w:eastAsia="宋体"/>
          <w:b w:val="0"/>
          <w:snapToGrid w:val="0"/>
          <w:sz w:val="24"/>
          <w:lang w:eastAsia="zh-CN"/>
        </w:rPr>
        <w:t>水浴中。用甘油／盐水溶液充满输液港通道系统并进行热平衡。激活的长图记录仪纸速为</w:t>
      </w:r>
      <w:r>
        <w:rPr>
          <w:rFonts w:eastAsia="宋体"/>
          <w:b w:val="0"/>
          <w:snapToGrid w:val="0"/>
          <w:sz w:val="24"/>
          <w:lang w:eastAsia="zh-CN"/>
        </w:rPr>
        <w:t>25 cm/min</w:t>
      </w:r>
      <w:r>
        <w:rPr>
          <w:rFonts w:hint="eastAsia" w:eastAsia="宋体"/>
          <w:b w:val="0"/>
          <w:snapToGrid w:val="0"/>
          <w:sz w:val="24"/>
          <w:lang w:eastAsia="zh-CN"/>
        </w:rPr>
        <w:t>，反映已充满甘油／盐水溶液系统阻抗的阻抗传感器输出稳定的电压信号，并由自动泵输送恒定流速</w:t>
      </w:r>
      <w:r>
        <w:rPr>
          <w:rFonts w:eastAsia="宋体"/>
          <w:b w:val="0"/>
          <w:snapToGrid w:val="0"/>
          <w:sz w:val="24"/>
          <w:lang w:eastAsia="zh-CN"/>
        </w:rPr>
        <w:t>（5</w:t>
      </w:r>
      <w:r>
        <w:rPr>
          <w:rFonts w:hint="eastAsia" w:eastAsia="宋体"/>
          <w:b w:val="0"/>
          <w:snapToGrid w:val="0"/>
          <w:sz w:val="24"/>
          <w:lang w:eastAsia="zh-CN"/>
        </w:rPr>
        <w:t>，</w:t>
      </w:r>
      <w:r>
        <w:rPr>
          <w:rFonts w:eastAsia="宋体"/>
          <w:b w:val="0"/>
          <w:snapToGrid w:val="0"/>
          <w:sz w:val="24"/>
          <w:lang w:eastAsia="zh-CN"/>
        </w:rPr>
        <w:t>25</w:t>
      </w:r>
      <w:r>
        <w:rPr>
          <w:rFonts w:hint="eastAsia" w:eastAsia="宋体"/>
          <w:b w:val="0"/>
          <w:snapToGrid w:val="0"/>
          <w:sz w:val="24"/>
          <w:lang w:eastAsia="zh-CN"/>
        </w:rPr>
        <w:t>或</w:t>
      </w:r>
      <w:r>
        <w:rPr>
          <w:rFonts w:eastAsia="宋体"/>
          <w:b w:val="0"/>
          <w:snapToGrid w:val="0"/>
          <w:sz w:val="24"/>
          <w:lang w:eastAsia="zh-CN"/>
        </w:rPr>
        <w:t>50 ml/min）</w:t>
      </w:r>
      <w:r>
        <w:rPr>
          <w:rFonts w:hint="eastAsia" w:eastAsia="宋体"/>
          <w:b w:val="0"/>
          <w:snapToGrid w:val="0"/>
          <w:sz w:val="24"/>
          <w:lang w:eastAsia="zh-CN"/>
        </w:rPr>
        <w:t>的冲洗液</w:t>
      </w:r>
      <w:r>
        <w:rPr>
          <w:rFonts w:eastAsia="宋体"/>
          <w:b w:val="0"/>
          <w:snapToGrid w:val="0"/>
          <w:sz w:val="24"/>
          <w:lang w:eastAsia="zh-CN"/>
        </w:rPr>
        <w:t>（0.9%</w:t>
      </w:r>
      <w:r>
        <w:rPr>
          <w:rFonts w:hint="eastAsia" w:eastAsia="宋体"/>
          <w:b w:val="0"/>
          <w:snapToGrid w:val="0"/>
          <w:sz w:val="24"/>
          <w:lang w:eastAsia="zh-CN"/>
        </w:rPr>
        <w:t>盐水</w:t>
      </w:r>
      <w:r>
        <w:rPr>
          <w:rFonts w:eastAsia="宋体"/>
          <w:b w:val="0"/>
          <w:snapToGrid w:val="0"/>
          <w:sz w:val="24"/>
          <w:lang w:eastAsia="zh-CN"/>
        </w:rPr>
        <w:t>）</w:t>
      </w:r>
      <w:r>
        <w:rPr>
          <w:rFonts w:hint="eastAsia" w:eastAsia="宋体"/>
          <w:b w:val="0"/>
          <w:snapToGrid w:val="0"/>
          <w:sz w:val="24"/>
          <w:lang w:eastAsia="zh-CN"/>
        </w:rPr>
        <w:t>，使用</w:t>
      </w:r>
      <w:r>
        <w:rPr>
          <w:rFonts w:eastAsia="宋体"/>
          <w:b w:val="0"/>
          <w:snapToGrid w:val="0"/>
          <w:sz w:val="24"/>
          <w:lang w:eastAsia="zh-CN"/>
        </w:rPr>
        <w:t>22</w:t>
      </w:r>
      <w:r>
        <w:rPr>
          <w:rFonts w:hint="eastAsia" w:eastAsia="宋体"/>
          <w:b w:val="0"/>
          <w:snapToGrid w:val="0"/>
          <w:sz w:val="24"/>
          <w:lang w:eastAsia="zh-CN"/>
        </w:rPr>
        <w:t>G</w:t>
      </w:r>
      <w:r>
        <w:rPr>
          <w:rFonts w:eastAsia="宋体"/>
          <w:b w:val="0"/>
          <w:snapToGrid w:val="0"/>
          <w:sz w:val="24"/>
          <w:lang w:eastAsia="zh-CN"/>
        </w:rPr>
        <w:t xml:space="preserve"> 1.5</w:t>
      </w:r>
      <w:r>
        <w:rPr>
          <w:rFonts w:hint="eastAsia" w:eastAsia="宋体"/>
          <w:b w:val="0"/>
          <w:snapToGrid w:val="0"/>
          <w:sz w:val="24"/>
          <w:lang w:eastAsia="zh-CN"/>
        </w:rPr>
        <w:t>英寸</w:t>
      </w:r>
      <w:r>
        <w:rPr>
          <w:rFonts w:eastAsia="宋体"/>
          <w:b w:val="0"/>
          <w:snapToGrid w:val="0"/>
          <w:sz w:val="24"/>
          <w:lang w:eastAsia="zh-CN"/>
        </w:rPr>
        <w:t>Huber</w:t>
      </w:r>
      <w:r>
        <w:rPr>
          <w:rFonts w:hint="eastAsia" w:eastAsia="宋体"/>
          <w:b w:val="0"/>
          <w:snapToGrid w:val="0"/>
          <w:sz w:val="24"/>
          <w:lang w:eastAsia="zh-CN"/>
        </w:rPr>
        <w:t>的无芯针，并附有</w:t>
      </w:r>
      <w:r>
        <w:rPr>
          <w:rFonts w:eastAsia="宋体"/>
          <w:b w:val="0"/>
          <w:snapToGrid w:val="0"/>
          <w:sz w:val="24"/>
          <w:lang w:eastAsia="zh-CN"/>
        </w:rPr>
        <w:t>20 cc</w:t>
      </w:r>
      <w:r>
        <w:rPr>
          <w:rFonts w:hint="eastAsia" w:eastAsia="宋体"/>
          <w:b w:val="0"/>
          <w:snapToGrid w:val="0"/>
          <w:sz w:val="24"/>
          <w:lang w:eastAsia="zh-CN"/>
        </w:rPr>
        <w:t>注射器。测量时将针放在隔膜的各个位置并与输液港出口管形成各种角度（针头方向为</w:t>
      </w:r>
      <w:r>
        <w:rPr>
          <w:rFonts w:eastAsia="宋体"/>
          <w:b w:val="0"/>
          <w:snapToGrid w:val="0"/>
          <w:sz w:val="24"/>
          <w:lang w:eastAsia="zh-CN"/>
        </w:rPr>
        <w:t>0</w:t>
      </w:r>
      <w:r>
        <w:rPr>
          <w:rFonts w:hint="eastAsia" w:eastAsia="宋体"/>
          <w:b w:val="0"/>
          <w:snapToGrid w:val="0"/>
          <w:sz w:val="24"/>
          <w:lang w:eastAsia="zh-CN"/>
        </w:rPr>
        <w:t>、</w:t>
      </w:r>
      <w:r>
        <w:rPr>
          <w:rFonts w:eastAsia="宋体"/>
          <w:b w:val="0"/>
          <w:snapToGrid w:val="0"/>
          <w:sz w:val="24"/>
          <w:lang w:eastAsia="zh-CN"/>
        </w:rPr>
        <w:t>90</w:t>
      </w:r>
      <w:r>
        <w:rPr>
          <w:rFonts w:hint="eastAsia" w:eastAsia="宋体"/>
          <w:b w:val="0"/>
          <w:snapToGrid w:val="0"/>
          <w:sz w:val="24"/>
          <w:lang w:eastAsia="zh-CN"/>
        </w:rPr>
        <w:t>和</w:t>
      </w:r>
      <w:r>
        <w:rPr>
          <w:rFonts w:eastAsia="宋体"/>
          <w:b w:val="0"/>
          <w:snapToGrid w:val="0"/>
          <w:sz w:val="24"/>
          <w:lang w:eastAsia="zh-CN"/>
        </w:rPr>
        <w:t>180</w:t>
      </w:r>
      <w:r>
        <w:rPr>
          <w:rFonts w:hint="eastAsia" w:eastAsia="宋体"/>
          <w:b w:val="0"/>
          <w:snapToGrid w:val="0"/>
          <w:sz w:val="24"/>
          <w:lang w:eastAsia="zh-CN"/>
        </w:rPr>
        <w:t>度）。为每个针头方向及每个流速</w:t>
      </w:r>
      <w:r>
        <w:rPr>
          <w:rFonts w:eastAsia="宋体"/>
          <w:b w:val="0"/>
          <w:snapToGrid w:val="0"/>
          <w:sz w:val="24"/>
          <w:lang w:eastAsia="zh-CN"/>
        </w:rPr>
        <w:t>（5</w:t>
      </w:r>
      <w:r>
        <w:rPr>
          <w:rFonts w:hint="eastAsia" w:eastAsia="宋体"/>
          <w:b w:val="0"/>
          <w:snapToGrid w:val="0"/>
          <w:sz w:val="24"/>
          <w:lang w:eastAsia="zh-CN"/>
        </w:rPr>
        <w:t>、</w:t>
      </w:r>
      <w:r>
        <w:rPr>
          <w:rFonts w:eastAsia="宋体"/>
          <w:b w:val="0"/>
          <w:snapToGrid w:val="0"/>
          <w:sz w:val="24"/>
          <w:lang w:eastAsia="zh-CN"/>
        </w:rPr>
        <w:t>25</w:t>
      </w:r>
      <w:r>
        <w:rPr>
          <w:rFonts w:hint="eastAsia" w:eastAsia="宋体"/>
          <w:b w:val="0"/>
          <w:snapToGrid w:val="0"/>
          <w:sz w:val="24"/>
          <w:lang w:eastAsia="zh-CN"/>
        </w:rPr>
        <w:t>和</w:t>
      </w:r>
      <w:r>
        <w:rPr>
          <w:rFonts w:eastAsia="宋体"/>
          <w:b w:val="0"/>
          <w:snapToGrid w:val="0"/>
          <w:sz w:val="24"/>
          <w:lang w:eastAsia="zh-CN"/>
        </w:rPr>
        <w:t>50 ml/min）</w:t>
      </w:r>
      <w:r>
        <w:rPr>
          <w:rFonts w:hint="eastAsia" w:eastAsia="宋体"/>
          <w:b w:val="0"/>
          <w:snapToGrid w:val="0"/>
          <w:sz w:val="24"/>
          <w:lang w:eastAsia="zh-CN"/>
        </w:rPr>
        <w:t>重复进行3次系统填充和冲洗以获得平均延迟时间、稀释时间、清理时间和清理量。</w:t>
      </w:r>
    </w:p>
    <w:p w14:paraId="760451CA">
      <w:pPr>
        <w:rPr>
          <w:rFonts w:ascii="Arial" w:hAnsi="Arial" w:eastAsia="宋体" w:cs="Arial"/>
          <w:bCs/>
          <w:snapToGrid w:val="0"/>
          <w:szCs w:val="20"/>
          <w:lang w:eastAsia="zh-CN"/>
        </w:rPr>
      </w:pPr>
      <w:r>
        <w:rPr>
          <w:rFonts w:eastAsia="宋体"/>
          <w:b/>
          <w:snapToGrid w:val="0"/>
          <w:lang w:eastAsia="zh-CN"/>
        </w:rPr>
        <w:br w:type="page"/>
      </w:r>
    </w:p>
    <w:p w14:paraId="753DCEB8">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注入冲洗液后，长图记录仪上显示的填充液和冲洗液之间的相对阻抗变化很明显（见图3）。已知冲洗液流速和长图记录仪的纸速，测量了延迟时间、稀释时间、总清理时间和总清理量。测量的时间延迟是开始注入冲洗液与阻抗开始变化之间的时间间隔。该延迟与储液槽和导管内的静态容积相关。稀释时间为阻抗变化开始至结束的时间。获得的清理量是流速和清理时间的乘积且可与实际的注射量进行交叉核对。</w:t>
      </w:r>
    </w:p>
    <w:p w14:paraId="11EE53CF">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将内径为</w:t>
      </w:r>
      <w:r>
        <w:rPr>
          <w:rFonts w:eastAsia="宋体"/>
          <w:b w:val="0"/>
          <w:snapToGrid w:val="0"/>
          <w:sz w:val="24"/>
          <w:lang w:eastAsia="zh-CN"/>
        </w:rPr>
        <w:t>1.5 mm</w:t>
      </w:r>
      <w:r>
        <w:rPr>
          <w:rFonts w:hint="eastAsia" w:eastAsia="宋体"/>
          <w:b w:val="0"/>
          <w:snapToGrid w:val="0"/>
          <w:sz w:val="24"/>
          <w:lang w:eastAsia="zh-CN"/>
        </w:rPr>
        <w:t>的导管连接至输液港通道系统并重复以上程序。为内径</w:t>
      </w:r>
      <w:r>
        <w:rPr>
          <w:rFonts w:eastAsia="宋体"/>
          <w:b w:val="0"/>
          <w:snapToGrid w:val="0"/>
          <w:sz w:val="24"/>
          <w:lang w:eastAsia="zh-CN"/>
        </w:rPr>
        <w:t>1.5 mm</w:t>
      </w:r>
      <w:r>
        <w:rPr>
          <w:rFonts w:hint="eastAsia" w:eastAsia="宋体"/>
          <w:b w:val="0"/>
          <w:snapToGrid w:val="0"/>
          <w:sz w:val="24"/>
          <w:lang w:eastAsia="zh-CN"/>
        </w:rPr>
        <w:t>导管准备的填充液和冲洗液的电阻分别为</w:t>
      </w:r>
      <w:r>
        <w:rPr>
          <w:rFonts w:eastAsia="宋体"/>
          <w:b w:val="0"/>
          <w:snapToGrid w:val="0"/>
          <w:sz w:val="24"/>
          <w:lang w:eastAsia="zh-CN"/>
        </w:rPr>
        <w:t>155 ohms</w:t>
      </w:r>
      <w:r>
        <w:rPr>
          <w:rFonts w:hint="eastAsia" w:eastAsia="宋体"/>
          <w:b w:val="0"/>
          <w:snapToGrid w:val="0"/>
          <w:sz w:val="24"/>
          <w:lang w:eastAsia="zh-CN"/>
        </w:rPr>
        <w:t>和</w:t>
      </w:r>
      <w:r>
        <w:rPr>
          <w:rFonts w:eastAsia="宋体"/>
          <w:b w:val="0"/>
          <w:snapToGrid w:val="0"/>
          <w:sz w:val="24"/>
          <w:lang w:eastAsia="zh-CN"/>
        </w:rPr>
        <w:t>52 ohms</w:t>
      </w:r>
      <w:r>
        <w:rPr>
          <w:rFonts w:hint="eastAsia" w:eastAsia="宋体"/>
          <w:b w:val="0"/>
          <w:snapToGrid w:val="0"/>
          <w:sz w:val="24"/>
          <w:lang w:eastAsia="zh-CN"/>
        </w:rPr>
        <w:t>。再一次，为每个流速和针头方向重复进行三次系统填充和冲洗以获得每个流速的平均延迟时间、稀释时间、清理时间和清理量。</w:t>
      </w:r>
    </w:p>
    <w:p w14:paraId="306E41F8">
      <w:pPr>
        <w:rPr>
          <w:rFonts w:ascii="Arial" w:hAnsi="Arial" w:eastAsia="宋体" w:cs="Arial"/>
          <w:bCs/>
          <w:snapToGrid w:val="0"/>
          <w:szCs w:val="20"/>
          <w:lang w:eastAsia="zh-CN"/>
        </w:rPr>
      </w:pPr>
      <w:r>
        <w:rPr>
          <w:rFonts w:eastAsia="宋体"/>
          <w:b/>
          <w:snapToGrid w:val="0"/>
          <w:lang w:eastAsia="zh-CN"/>
        </w:rPr>
        <w:br w:type="page"/>
      </w:r>
    </w:p>
    <w:p w14:paraId="23919E5E">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为将流速（</w:t>
      </w:r>
      <w:r>
        <w:rPr>
          <w:rFonts w:eastAsia="宋体"/>
          <w:b w:val="0"/>
          <w:snapToGrid w:val="0"/>
          <w:sz w:val="24"/>
          <w:lang w:eastAsia="zh-CN"/>
        </w:rPr>
        <w:t>ml/min）</w:t>
      </w:r>
      <w:r>
        <w:rPr>
          <w:rFonts w:hint="eastAsia" w:eastAsia="宋体"/>
          <w:b w:val="0"/>
          <w:snapToGrid w:val="0"/>
          <w:sz w:val="24"/>
          <w:lang w:eastAsia="zh-CN"/>
        </w:rPr>
        <w:t>与输液港血管通道系统内的灌注压（</w:t>
      </w:r>
      <w:r>
        <w:rPr>
          <w:rFonts w:eastAsia="宋体"/>
          <w:b w:val="0"/>
          <w:snapToGrid w:val="0"/>
          <w:sz w:val="24"/>
          <w:lang w:eastAsia="zh-CN"/>
        </w:rPr>
        <w:t>PSI）</w:t>
      </w:r>
      <w:r>
        <w:rPr>
          <w:rFonts w:hint="eastAsia" w:eastAsia="宋体"/>
          <w:b w:val="0"/>
          <w:snapToGrid w:val="0"/>
          <w:sz w:val="24"/>
          <w:lang w:eastAsia="zh-CN"/>
        </w:rPr>
        <w:t>联系起来，采用不锈钢薄膜压力传感器（</w:t>
      </w:r>
      <w:r>
        <w:rPr>
          <w:rFonts w:eastAsia="宋体"/>
          <w:b w:val="0"/>
          <w:snapToGrid w:val="0"/>
          <w:sz w:val="24"/>
          <w:lang w:eastAsia="zh-CN"/>
        </w:rPr>
        <w:t>Poxboro/ICT model 1221-08G-K5L）</w:t>
      </w:r>
      <w:r>
        <w:rPr>
          <w:rFonts w:hint="eastAsia" w:eastAsia="宋体"/>
          <w:b w:val="0"/>
          <w:snapToGrid w:val="0"/>
          <w:sz w:val="24"/>
          <w:lang w:eastAsia="zh-CN"/>
        </w:rPr>
        <w:t>获得针座的压力。</w:t>
      </w:r>
    </w:p>
    <w:p w14:paraId="360E5024">
      <w:pPr>
        <w:pStyle w:val="24"/>
        <w:shd w:val="clear" w:color="auto" w:fill="auto"/>
        <w:topLinePunct/>
        <w:adjustRightInd w:val="0"/>
        <w:snapToGrid w:val="0"/>
        <w:spacing w:after="270" w:afterLines="75" w:line="360" w:lineRule="auto"/>
        <w:ind w:firstLine="0"/>
        <w:jc w:val="both"/>
        <w:rPr>
          <w:rFonts w:eastAsia="宋体"/>
          <w:snapToGrid w:val="0"/>
          <w:sz w:val="24"/>
          <w:lang w:eastAsia="zh-CN"/>
        </w:rPr>
      </w:pPr>
      <w:r>
        <w:rPr>
          <w:rFonts w:hint="eastAsia" w:eastAsia="宋体"/>
          <w:snapToGrid w:val="0"/>
          <w:sz w:val="24"/>
          <w:lang w:eastAsia="zh-CN"/>
        </w:rPr>
        <w:t>结果</w:t>
      </w:r>
    </w:p>
    <w:p w14:paraId="7A555451">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对于</w:t>
      </w:r>
      <w:r>
        <w:rPr>
          <w:rFonts w:eastAsia="宋体"/>
          <w:b w:val="0"/>
          <w:snapToGrid w:val="0"/>
          <w:sz w:val="24"/>
          <w:lang w:eastAsia="zh-CN"/>
        </w:rPr>
        <w:t>VITAL-PORT™</w:t>
      </w:r>
      <w:r>
        <w:rPr>
          <w:rFonts w:hint="eastAsia" w:eastAsia="宋体"/>
          <w:b w:val="0"/>
          <w:snapToGrid w:val="0"/>
          <w:sz w:val="24"/>
          <w:lang w:eastAsia="zh-CN"/>
        </w:rPr>
        <w:t>血管通道系统，使用连接内径为</w:t>
      </w:r>
      <w:r>
        <w:rPr>
          <w:rFonts w:eastAsia="宋体"/>
          <w:b w:val="0"/>
          <w:snapToGrid w:val="0"/>
          <w:sz w:val="24"/>
          <w:lang w:eastAsia="zh-CN"/>
        </w:rPr>
        <w:t>1.0 mm</w:t>
      </w:r>
      <w:r>
        <w:rPr>
          <w:rFonts w:hint="eastAsia" w:eastAsia="宋体"/>
          <w:b w:val="0"/>
          <w:snapToGrid w:val="0"/>
          <w:sz w:val="24"/>
          <w:lang w:eastAsia="zh-CN"/>
        </w:rPr>
        <w:t>或</w:t>
      </w:r>
      <w:r>
        <w:rPr>
          <w:rFonts w:eastAsia="宋体"/>
          <w:b w:val="0"/>
          <w:snapToGrid w:val="0"/>
          <w:sz w:val="24"/>
          <w:lang w:eastAsia="zh-CN"/>
        </w:rPr>
        <w:t>1.5 mm</w:t>
      </w:r>
      <w:r>
        <w:rPr>
          <w:rFonts w:hint="eastAsia" w:eastAsia="宋体"/>
          <w:b w:val="0"/>
          <w:snapToGrid w:val="0"/>
          <w:sz w:val="24"/>
          <w:lang w:eastAsia="zh-CN"/>
        </w:rPr>
        <w:t>的导管，其与方向（针头与输液港出口管之间的角度）有关的清理量数据无显著差异。尽管记录的关于针头在隔膜上位置（近边、中间或远边）的数据不够详尽，但未发现显著差异。因此每种导管尺寸的每个流速数据（不论其针头位置），均用于计算平均值。</w:t>
      </w:r>
    </w:p>
    <w:p w14:paraId="6808AC71">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用表格列出内径为</w:t>
      </w:r>
      <w:r>
        <w:rPr>
          <w:rFonts w:eastAsia="宋体"/>
          <w:b w:val="0"/>
          <w:snapToGrid w:val="0"/>
          <w:sz w:val="24"/>
          <w:lang w:eastAsia="zh-CN"/>
        </w:rPr>
        <w:t>1.0 mm（</w:t>
      </w:r>
      <w:r>
        <w:rPr>
          <w:rFonts w:hint="eastAsia" w:eastAsia="宋体"/>
          <w:b w:val="0"/>
          <w:snapToGrid w:val="0"/>
          <w:sz w:val="24"/>
          <w:lang w:eastAsia="zh-CN"/>
        </w:rPr>
        <w:t>见表</w:t>
      </w:r>
      <w:r>
        <w:rPr>
          <w:rFonts w:eastAsia="宋体"/>
          <w:b w:val="0"/>
          <w:snapToGrid w:val="0"/>
          <w:sz w:val="24"/>
          <w:lang w:eastAsia="zh-CN"/>
        </w:rPr>
        <w:t>I）</w:t>
      </w:r>
      <w:r>
        <w:rPr>
          <w:rFonts w:hint="eastAsia" w:eastAsia="宋体"/>
          <w:b w:val="0"/>
          <w:snapToGrid w:val="0"/>
          <w:sz w:val="24"/>
          <w:lang w:eastAsia="zh-CN"/>
        </w:rPr>
        <w:t>和</w:t>
      </w:r>
      <w:r>
        <w:rPr>
          <w:rFonts w:eastAsia="宋体"/>
          <w:b w:val="0"/>
          <w:snapToGrid w:val="0"/>
          <w:sz w:val="24"/>
          <w:lang w:eastAsia="zh-CN"/>
        </w:rPr>
        <w:t>1.5 mm</w:t>
      </w:r>
      <w:r>
        <w:rPr>
          <w:rFonts w:hint="eastAsia" w:eastAsia="宋体"/>
          <w:b w:val="0"/>
          <w:snapToGrid w:val="0"/>
          <w:sz w:val="24"/>
          <w:lang w:eastAsia="zh-CN"/>
        </w:rPr>
        <w:t>（见表II）导管的延迟时间、稀释时间、总清理时间和清理量。通常，流速越快所需的清理量越大，但清理时间和首次注入与稀释开始之间的延迟时间更短。内径为</w:t>
      </w:r>
      <w:r>
        <w:rPr>
          <w:rFonts w:eastAsia="宋体"/>
          <w:b w:val="0"/>
          <w:snapToGrid w:val="0"/>
          <w:sz w:val="24"/>
          <w:lang w:eastAsia="zh-CN"/>
        </w:rPr>
        <w:t>1.5 mm</w:t>
      </w:r>
      <w:r>
        <w:rPr>
          <w:rFonts w:hint="eastAsia" w:eastAsia="宋体"/>
          <w:b w:val="0"/>
          <w:snapToGrid w:val="0"/>
          <w:sz w:val="24"/>
          <w:lang w:eastAsia="zh-CN"/>
        </w:rPr>
        <w:t>的导管比内径为</w:t>
      </w:r>
      <w:r>
        <w:rPr>
          <w:rFonts w:eastAsia="宋体"/>
          <w:b w:val="0"/>
          <w:snapToGrid w:val="0"/>
          <w:sz w:val="24"/>
          <w:lang w:eastAsia="zh-CN"/>
        </w:rPr>
        <w:t>1.0 mm</w:t>
      </w:r>
      <w:r>
        <w:rPr>
          <w:rFonts w:hint="eastAsia" w:eastAsia="宋体"/>
          <w:b w:val="0"/>
          <w:snapToGrid w:val="0"/>
          <w:sz w:val="24"/>
          <w:lang w:eastAsia="zh-CN"/>
        </w:rPr>
        <w:t>导管需要更大的清理量和更长的清理时间。</w:t>
      </w:r>
    </w:p>
    <w:p w14:paraId="15975681">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eastAsia="宋体"/>
          <w:b w:val="0"/>
          <w:snapToGrid w:val="0"/>
          <w:sz w:val="24"/>
          <w:lang w:eastAsia="zh-CN"/>
        </w:rPr>
        <w:br w:type="page"/>
      </w:r>
    </w:p>
    <w:p w14:paraId="78B77869">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用表格列出填充液</w:t>
      </w:r>
      <w:r>
        <w:rPr>
          <w:rFonts w:eastAsia="宋体"/>
          <w:b w:val="0"/>
          <w:snapToGrid w:val="0"/>
          <w:sz w:val="24"/>
          <w:lang w:eastAsia="zh-CN"/>
        </w:rPr>
        <w:t>（</w:t>
      </w:r>
      <w:r>
        <w:rPr>
          <w:rFonts w:hint="eastAsia" w:eastAsia="宋体"/>
          <w:b w:val="0"/>
          <w:snapToGrid w:val="0"/>
          <w:sz w:val="24"/>
          <w:lang w:eastAsia="zh-CN"/>
        </w:rPr>
        <w:t>见表</w:t>
      </w:r>
      <w:r>
        <w:rPr>
          <w:rFonts w:eastAsia="宋体"/>
          <w:b w:val="0"/>
          <w:snapToGrid w:val="0"/>
          <w:sz w:val="24"/>
          <w:lang w:eastAsia="zh-CN"/>
        </w:rPr>
        <w:t>III）</w:t>
      </w:r>
      <w:r>
        <w:rPr>
          <w:rFonts w:hint="eastAsia" w:eastAsia="宋体"/>
          <w:b w:val="0"/>
          <w:snapToGrid w:val="0"/>
          <w:sz w:val="24"/>
          <w:lang w:eastAsia="zh-CN"/>
        </w:rPr>
        <w:t>和冲洗液</w:t>
      </w:r>
      <w:r>
        <w:rPr>
          <w:rFonts w:eastAsia="宋体"/>
          <w:b w:val="0"/>
          <w:snapToGrid w:val="0"/>
          <w:sz w:val="24"/>
          <w:lang w:eastAsia="zh-CN"/>
        </w:rPr>
        <w:t>（</w:t>
      </w:r>
      <w:r>
        <w:rPr>
          <w:rFonts w:hint="eastAsia" w:eastAsia="宋体"/>
          <w:b w:val="0"/>
          <w:snapToGrid w:val="0"/>
          <w:sz w:val="24"/>
          <w:lang w:eastAsia="zh-CN"/>
        </w:rPr>
        <w:t>见表</w:t>
      </w:r>
      <w:r>
        <w:rPr>
          <w:rFonts w:eastAsia="宋体"/>
          <w:b w:val="0"/>
          <w:snapToGrid w:val="0"/>
          <w:sz w:val="24"/>
          <w:lang w:eastAsia="zh-CN"/>
        </w:rPr>
        <w:t>IV）</w:t>
      </w:r>
      <w:r>
        <w:rPr>
          <w:rFonts w:hint="eastAsia" w:eastAsia="宋体"/>
          <w:b w:val="0"/>
          <w:snapToGrid w:val="0"/>
          <w:sz w:val="24"/>
          <w:lang w:eastAsia="zh-CN"/>
        </w:rPr>
        <w:t>流速为</w:t>
      </w:r>
      <w:r>
        <w:rPr>
          <w:rFonts w:eastAsia="宋体"/>
          <w:b w:val="0"/>
          <w:snapToGrid w:val="0"/>
          <w:sz w:val="24"/>
          <w:lang w:eastAsia="zh-CN"/>
        </w:rPr>
        <w:t>50</w:t>
      </w:r>
      <w:r>
        <w:rPr>
          <w:rFonts w:hint="eastAsia" w:eastAsia="宋体"/>
          <w:b w:val="0"/>
          <w:snapToGrid w:val="0"/>
          <w:sz w:val="24"/>
          <w:lang w:eastAsia="zh-CN"/>
        </w:rPr>
        <w:t>、</w:t>
      </w:r>
      <w:r>
        <w:rPr>
          <w:rFonts w:eastAsia="宋体"/>
          <w:b w:val="0"/>
          <w:snapToGrid w:val="0"/>
          <w:sz w:val="24"/>
          <w:lang w:eastAsia="zh-CN"/>
        </w:rPr>
        <w:t>25</w:t>
      </w:r>
      <w:r>
        <w:rPr>
          <w:rFonts w:hint="eastAsia" w:eastAsia="宋体"/>
          <w:b w:val="0"/>
          <w:snapToGrid w:val="0"/>
          <w:sz w:val="24"/>
          <w:lang w:eastAsia="zh-CN"/>
        </w:rPr>
        <w:t>和</w:t>
      </w:r>
      <w:r>
        <w:rPr>
          <w:rFonts w:eastAsia="宋体"/>
          <w:b w:val="0"/>
          <w:snapToGrid w:val="0"/>
          <w:sz w:val="24"/>
          <w:lang w:eastAsia="zh-CN"/>
        </w:rPr>
        <w:t>5 ml/min</w:t>
      </w:r>
      <w:r>
        <w:rPr>
          <w:rFonts w:hint="eastAsia" w:eastAsia="宋体"/>
          <w:b w:val="0"/>
          <w:snapToGrid w:val="0"/>
          <w:sz w:val="24"/>
          <w:lang w:eastAsia="zh-CN"/>
        </w:rPr>
        <w:t>时内径为</w:t>
      </w:r>
      <w:r>
        <w:rPr>
          <w:rFonts w:eastAsia="宋体"/>
          <w:b w:val="0"/>
          <w:snapToGrid w:val="0"/>
          <w:sz w:val="24"/>
          <w:lang w:eastAsia="zh-CN"/>
        </w:rPr>
        <w:t>1.0</w:t>
      </w:r>
      <w:r>
        <w:rPr>
          <w:rFonts w:hint="eastAsia" w:eastAsia="宋体"/>
          <w:b w:val="0"/>
          <w:snapToGrid w:val="0"/>
          <w:sz w:val="24"/>
          <w:lang w:eastAsia="zh-CN"/>
        </w:rPr>
        <w:t>和</w:t>
      </w:r>
      <w:r>
        <w:rPr>
          <w:rFonts w:eastAsia="宋体"/>
          <w:b w:val="0"/>
          <w:snapToGrid w:val="0"/>
          <w:sz w:val="24"/>
          <w:lang w:eastAsia="zh-CN"/>
        </w:rPr>
        <w:t>1.5 mm</w:t>
      </w:r>
      <w:r>
        <w:rPr>
          <w:rFonts w:hint="eastAsia" w:eastAsia="宋体"/>
          <w:b w:val="0"/>
          <w:snapToGrid w:val="0"/>
          <w:sz w:val="24"/>
          <w:lang w:eastAsia="zh-CN"/>
        </w:rPr>
        <w:t>导管内产生的灌注压。正如预期的，更快流速产生更高压力。溶液之间的压力差异证明填充液和冲洗液粘度不同的影响。</w:t>
      </w:r>
    </w:p>
    <w:p w14:paraId="5E8519E9">
      <w:pPr>
        <w:pStyle w:val="24"/>
        <w:shd w:val="clear" w:color="auto" w:fill="auto"/>
        <w:topLinePunct/>
        <w:adjustRightInd w:val="0"/>
        <w:snapToGrid w:val="0"/>
        <w:spacing w:after="270" w:afterLines="75" w:line="360" w:lineRule="auto"/>
        <w:ind w:firstLine="0"/>
        <w:jc w:val="both"/>
        <w:rPr>
          <w:rFonts w:eastAsia="宋体"/>
          <w:snapToGrid w:val="0"/>
          <w:sz w:val="24"/>
          <w:lang w:eastAsia="zh-CN"/>
        </w:rPr>
      </w:pPr>
      <w:r>
        <w:rPr>
          <w:rFonts w:hint="eastAsia" w:eastAsia="宋体"/>
          <w:snapToGrid w:val="0"/>
          <w:sz w:val="24"/>
          <w:lang w:eastAsia="zh-CN"/>
        </w:rPr>
        <w:t>讨论</w:t>
      </w:r>
    </w:p>
    <w:p w14:paraId="02B75151">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本研究的数据可用于确定</w:t>
      </w:r>
      <w:r>
        <w:rPr>
          <w:rFonts w:eastAsia="宋体"/>
          <w:b w:val="0"/>
          <w:snapToGrid w:val="0"/>
          <w:sz w:val="24"/>
          <w:lang w:eastAsia="zh-CN"/>
        </w:rPr>
        <w:t>Vital-Port™</w:t>
      </w:r>
      <w:r>
        <w:rPr>
          <w:rFonts w:hint="eastAsia" w:eastAsia="宋体"/>
          <w:b w:val="0"/>
          <w:snapToGrid w:val="0"/>
          <w:sz w:val="24"/>
          <w:lang w:eastAsia="zh-CN"/>
        </w:rPr>
        <w:t>血管通道系统的清理量。然而，试验程序可能适用于任何输液港血管通道系统。</w:t>
      </w:r>
    </w:p>
    <w:p w14:paraId="611152F7">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评价本研究的</w:t>
      </w:r>
      <w:r>
        <w:rPr>
          <w:rFonts w:eastAsia="宋体"/>
          <w:b w:val="0"/>
          <w:snapToGrid w:val="0"/>
          <w:sz w:val="24"/>
          <w:lang w:eastAsia="zh-CN"/>
        </w:rPr>
        <w:t>5</w:t>
      </w:r>
      <w:r>
        <w:rPr>
          <w:rFonts w:hint="eastAsia" w:eastAsia="宋体"/>
          <w:b w:val="0"/>
          <w:snapToGrid w:val="0"/>
          <w:sz w:val="24"/>
          <w:lang w:eastAsia="zh-CN"/>
        </w:rPr>
        <w:t>、</w:t>
      </w:r>
      <w:r>
        <w:rPr>
          <w:rFonts w:eastAsia="宋体"/>
          <w:b w:val="0"/>
          <w:snapToGrid w:val="0"/>
          <w:sz w:val="24"/>
          <w:lang w:eastAsia="zh-CN"/>
        </w:rPr>
        <w:t>25</w:t>
      </w:r>
      <w:r>
        <w:rPr>
          <w:rFonts w:hint="eastAsia" w:eastAsia="宋体"/>
          <w:b w:val="0"/>
          <w:snapToGrid w:val="0"/>
          <w:sz w:val="24"/>
          <w:lang w:eastAsia="zh-CN"/>
        </w:rPr>
        <w:t>和</w:t>
      </w:r>
      <w:r>
        <w:rPr>
          <w:rFonts w:eastAsia="宋体"/>
          <w:b w:val="0"/>
          <w:snapToGrid w:val="0"/>
          <w:sz w:val="24"/>
          <w:lang w:eastAsia="zh-CN"/>
        </w:rPr>
        <w:t>50 ml/min</w:t>
      </w:r>
      <w:r>
        <w:rPr>
          <w:rFonts w:hint="eastAsia" w:eastAsia="宋体"/>
          <w:b w:val="0"/>
          <w:snapToGrid w:val="0"/>
          <w:sz w:val="24"/>
          <w:lang w:eastAsia="zh-CN"/>
        </w:rPr>
        <w:t>恒定流速数据时，应注意</w:t>
      </w:r>
      <w:r>
        <w:rPr>
          <w:rFonts w:eastAsia="宋体"/>
          <w:b w:val="0"/>
          <w:snapToGrid w:val="0"/>
          <w:sz w:val="24"/>
          <w:lang w:eastAsia="zh-CN"/>
        </w:rPr>
        <w:t>5 ml/min</w:t>
      </w:r>
      <w:r>
        <w:rPr>
          <w:rFonts w:hint="eastAsia" w:eastAsia="宋体"/>
          <w:b w:val="0"/>
          <w:snapToGrid w:val="0"/>
          <w:sz w:val="24"/>
          <w:lang w:eastAsia="zh-CN"/>
        </w:rPr>
        <w:t>的流速对应非常低的手动注射速率。流速</w:t>
      </w:r>
      <w:r>
        <w:rPr>
          <w:rFonts w:eastAsia="宋体"/>
          <w:b w:val="0"/>
          <w:snapToGrid w:val="0"/>
          <w:sz w:val="24"/>
          <w:lang w:eastAsia="zh-CN"/>
        </w:rPr>
        <w:t>50 ml/min</w:t>
      </w:r>
      <w:r>
        <w:rPr>
          <w:rFonts w:hint="eastAsia" w:eastAsia="宋体"/>
          <w:b w:val="0"/>
          <w:snapToGrid w:val="0"/>
          <w:sz w:val="24"/>
          <w:lang w:eastAsia="zh-CN"/>
        </w:rPr>
        <w:t>更密切接近于可能的经系统的手动流速。</w:t>
      </w:r>
    </w:p>
    <w:p w14:paraId="2A902616">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尽管该技术产生的是系统某一人群样本的清理量，但建议的清理量应比研究中获得的测量清理量至少高</w:t>
      </w:r>
      <w:r>
        <w:rPr>
          <w:rFonts w:eastAsia="宋体"/>
          <w:b w:val="0"/>
          <w:snapToGrid w:val="0"/>
          <w:sz w:val="24"/>
          <w:lang w:eastAsia="zh-CN"/>
        </w:rPr>
        <w:t>30%</w:t>
      </w:r>
      <w:r>
        <w:rPr>
          <w:rFonts w:hint="eastAsia" w:eastAsia="宋体"/>
          <w:b w:val="0"/>
          <w:snapToGrid w:val="0"/>
          <w:sz w:val="24"/>
          <w:lang w:eastAsia="zh-CN"/>
        </w:rPr>
        <w:t>，考虑到安全系数以确保在临床实践中充分清理系统。假定手动注射速率接近</w:t>
      </w:r>
      <w:r>
        <w:rPr>
          <w:rFonts w:eastAsia="宋体"/>
          <w:b w:val="0"/>
          <w:snapToGrid w:val="0"/>
          <w:sz w:val="24"/>
          <w:lang w:eastAsia="zh-CN"/>
        </w:rPr>
        <w:t>50 ml/min，</w:t>
      </w:r>
      <w:r>
        <w:rPr>
          <w:rFonts w:hint="eastAsia" w:eastAsia="宋体"/>
          <w:b w:val="0"/>
          <w:snapToGrid w:val="0"/>
          <w:sz w:val="24"/>
          <w:lang w:eastAsia="zh-CN"/>
        </w:rPr>
        <w:t>对于使用内径为</w:t>
      </w:r>
      <w:r>
        <w:rPr>
          <w:rFonts w:eastAsia="宋体"/>
          <w:b w:val="0"/>
          <w:snapToGrid w:val="0"/>
          <w:sz w:val="24"/>
          <w:lang w:eastAsia="zh-CN"/>
        </w:rPr>
        <w:t>1.0 mm（</w:t>
      </w:r>
      <w:r>
        <w:rPr>
          <w:rFonts w:hint="eastAsia" w:eastAsia="宋体"/>
          <w:b w:val="0"/>
          <w:snapToGrid w:val="0"/>
          <w:sz w:val="24"/>
          <w:lang w:eastAsia="zh-CN"/>
        </w:rPr>
        <w:t>长</w:t>
      </w:r>
      <w:r>
        <w:rPr>
          <w:rFonts w:eastAsia="宋体"/>
          <w:b w:val="0"/>
          <w:snapToGrid w:val="0"/>
          <w:sz w:val="24"/>
          <w:lang w:eastAsia="zh-CN"/>
        </w:rPr>
        <w:t>64.0 cm）</w:t>
      </w:r>
      <w:r>
        <w:rPr>
          <w:rFonts w:hint="eastAsia" w:eastAsia="宋体"/>
          <w:b w:val="0"/>
          <w:snapToGrid w:val="0"/>
          <w:sz w:val="24"/>
          <w:lang w:eastAsia="zh-CN"/>
        </w:rPr>
        <w:t>导管的</w:t>
      </w:r>
      <w:r>
        <w:rPr>
          <w:rFonts w:eastAsia="宋体"/>
          <w:b w:val="0"/>
          <w:snapToGrid w:val="0"/>
          <w:sz w:val="24"/>
          <w:lang w:eastAsia="zh-CN"/>
        </w:rPr>
        <w:t>VITAL-PORT™</w:t>
      </w:r>
      <w:r>
        <w:rPr>
          <w:rFonts w:hint="eastAsia" w:eastAsia="宋体"/>
          <w:b w:val="0"/>
          <w:snapToGrid w:val="0"/>
          <w:sz w:val="24"/>
          <w:lang w:eastAsia="zh-CN"/>
        </w:rPr>
        <w:t>血管通道系统，应注入至少</w:t>
      </w:r>
      <w:r>
        <w:rPr>
          <w:rFonts w:eastAsia="宋体"/>
          <w:b w:val="0"/>
          <w:snapToGrid w:val="0"/>
          <w:sz w:val="24"/>
          <w:lang w:eastAsia="zh-CN"/>
        </w:rPr>
        <w:t>5.2 ml</w:t>
      </w:r>
      <w:r>
        <w:rPr>
          <w:rFonts w:hint="eastAsia" w:eastAsia="宋体"/>
          <w:b w:val="0"/>
          <w:snapToGrid w:val="0"/>
          <w:sz w:val="24"/>
          <w:lang w:eastAsia="zh-CN"/>
        </w:rPr>
        <w:t>以确保清理彻底（比表</w:t>
      </w:r>
      <w:r>
        <w:rPr>
          <w:rFonts w:eastAsia="宋体"/>
          <w:b w:val="0"/>
          <w:snapToGrid w:val="0"/>
          <w:sz w:val="24"/>
          <w:lang w:eastAsia="zh-CN"/>
        </w:rPr>
        <w:t>I</w:t>
      </w:r>
      <w:r>
        <w:rPr>
          <w:rFonts w:hint="eastAsia" w:eastAsia="宋体"/>
          <w:b w:val="0"/>
          <w:snapToGrid w:val="0"/>
          <w:sz w:val="24"/>
          <w:lang w:eastAsia="zh-CN"/>
        </w:rPr>
        <w:t>平均值（</w:t>
      </w:r>
      <w:r>
        <w:rPr>
          <w:rFonts w:eastAsia="宋体"/>
          <w:b w:val="0"/>
          <w:snapToGrid w:val="0"/>
          <w:sz w:val="24"/>
          <w:lang w:eastAsia="zh-CN"/>
        </w:rPr>
        <w:t>3.99 ml</w:t>
      </w:r>
      <w:r>
        <w:rPr>
          <w:rFonts w:hint="eastAsia" w:eastAsia="宋体"/>
          <w:b w:val="0"/>
          <w:snapToGrid w:val="0"/>
          <w:sz w:val="24"/>
          <w:lang w:eastAsia="zh-CN"/>
        </w:rPr>
        <w:t>）高出</w:t>
      </w:r>
      <w:r>
        <w:rPr>
          <w:rFonts w:eastAsia="宋体"/>
          <w:b w:val="0"/>
          <w:snapToGrid w:val="0"/>
          <w:sz w:val="24"/>
          <w:lang w:eastAsia="zh-CN"/>
        </w:rPr>
        <w:t>30%</w:t>
      </w:r>
      <w:r>
        <w:rPr>
          <w:rFonts w:hint="eastAsia" w:eastAsia="宋体"/>
          <w:b w:val="0"/>
          <w:snapToGrid w:val="0"/>
          <w:sz w:val="24"/>
          <w:lang w:eastAsia="zh-CN"/>
        </w:rPr>
        <w:t>）。为完全清理使用内径为</w:t>
      </w:r>
      <w:r>
        <w:rPr>
          <w:rFonts w:eastAsia="宋体"/>
          <w:b w:val="0"/>
          <w:snapToGrid w:val="0"/>
          <w:sz w:val="24"/>
          <w:lang w:eastAsia="zh-CN"/>
        </w:rPr>
        <w:t>1.5 mm（67.5 cm</w:t>
      </w:r>
      <w:r>
        <w:rPr>
          <w:rFonts w:hint="eastAsia" w:eastAsia="宋体"/>
          <w:b w:val="0"/>
          <w:snapToGrid w:val="0"/>
          <w:sz w:val="24"/>
          <w:lang w:eastAsia="zh-CN"/>
        </w:rPr>
        <w:t>长</w:t>
      </w:r>
      <w:r>
        <w:rPr>
          <w:rFonts w:eastAsia="宋体"/>
          <w:b w:val="0"/>
          <w:snapToGrid w:val="0"/>
          <w:sz w:val="24"/>
          <w:lang w:eastAsia="zh-CN"/>
        </w:rPr>
        <w:t>）</w:t>
      </w:r>
      <w:r>
        <w:rPr>
          <w:rFonts w:hint="eastAsia" w:eastAsia="宋体"/>
          <w:b w:val="0"/>
          <w:snapToGrid w:val="0"/>
          <w:sz w:val="24"/>
          <w:lang w:eastAsia="zh-CN"/>
        </w:rPr>
        <w:t>导管的相同输液港系统，至少应注入</w:t>
      </w:r>
      <w:r>
        <w:rPr>
          <w:rFonts w:eastAsia="宋体"/>
          <w:b w:val="0"/>
          <w:snapToGrid w:val="0"/>
          <w:sz w:val="24"/>
          <w:lang w:eastAsia="zh-CN"/>
        </w:rPr>
        <w:t>7.5 ml</w:t>
      </w:r>
      <w:r>
        <w:rPr>
          <w:rFonts w:hint="eastAsia" w:eastAsia="宋体"/>
          <w:b w:val="0"/>
          <w:snapToGrid w:val="0"/>
          <w:sz w:val="24"/>
          <w:lang w:eastAsia="zh-CN"/>
        </w:rPr>
        <w:t>溶液（比表</w:t>
      </w:r>
      <w:r>
        <w:rPr>
          <w:rFonts w:eastAsia="宋体"/>
          <w:b w:val="0"/>
          <w:snapToGrid w:val="0"/>
          <w:sz w:val="24"/>
          <w:lang w:eastAsia="zh-CN"/>
        </w:rPr>
        <w:t>II</w:t>
      </w:r>
      <w:r>
        <w:rPr>
          <w:rFonts w:hint="eastAsia" w:eastAsia="宋体"/>
          <w:b w:val="0"/>
          <w:snapToGrid w:val="0"/>
          <w:sz w:val="24"/>
          <w:lang w:eastAsia="zh-CN"/>
        </w:rPr>
        <w:t>中流速为</w:t>
      </w:r>
      <w:r>
        <w:rPr>
          <w:rFonts w:eastAsia="宋体"/>
          <w:b w:val="0"/>
          <w:snapToGrid w:val="0"/>
          <w:sz w:val="24"/>
          <w:lang w:eastAsia="zh-CN"/>
        </w:rPr>
        <w:t>50 ml/min</w:t>
      </w:r>
      <w:r>
        <w:rPr>
          <w:rFonts w:hint="eastAsia" w:eastAsia="宋体"/>
          <w:b w:val="0"/>
          <w:snapToGrid w:val="0"/>
          <w:sz w:val="24"/>
          <w:lang w:eastAsia="zh-CN"/>
        </w:rPr>
        <w:t>的平均值（</w:t>
      </w:r>
      <w:r>
        <w:rPr>
          <w:rFonts w:eastAsia="宋体"/>
          <w:b w:val="0"/>
          <w:snapToGrid w:val="0"/>
          <w:sz w:val="24"/>
          <w:lang w:eastAsia="zh-CN"/>
        </w:rPr>
        <w:t>5.79 ml</w:t>
      </w:r>
      <w:r>
        <w:rPr>
          <w:rFonts w:hint="eastAsia" w:eastAsia="宋体"/>
          <w:b w:val="0"/>
          <w:snapToGrid w:val="0"/>
          <w:sz w:val="24"/>
          <w:lang w:eastAsia="zh-CN"/>
        </w:rPr>
        <w:t>）高出</w:t>
      </w:r>
      <w:r>
        <w:rPr>
          <w:rFonts w:eastAsia="宋体"/>
          <w:b w:val="0"/>
          <w:snapToGrid w:val="0"/>
          <w:sz w:val="24"/>
          <w:lang w:eastAsia="zh-CN"/>
        </w:rPr>
        <w:t>30%</w:t>
      </w:r>
      <w:r>
        <w:rPr>
          <w:rFonts w:hint="eastAsia" w:eastAsia="宋体"/>
          <w:b w:val="0"/>
          <w:snapToGrid w:val="0"/>
          <w:sz w:val="24"/>
          <w:lang w:eastAsia="zh-CN"/>
        </w:rPr>
        <w:t>）。</w:t>
      </w:r>
    </w:p>
    <w:p w14:paraId="437A27FC">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eastAsia="宋体"/>
          <w:b w:val="0"/>
          <w:snapToGrid w:val="0"/>
          <w:sz w:val="24"/>
          <w:lang w:eastAsia="zh-CN"/>
        </w:rPr>
        <w:br w:type="page"/>
      </w:r>
    </w:p>
    <w:p w14:paraId="61C59CEB">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测量和建议的清理量基于最大长度导管。在临床应用中，会选择输液港通道系统位置并将导管切割至适当长度，通常切至</w:t>
      </w:r>
      <w:r>
        <w:rPr>
          <w:rFonts w:eastAsia="宋体"/>
          <w:b w:val="0"/>
          <w:snapToGrid w:val="0"/>
          <w:sz w:val="24"/>
          <w:lang w:eastAsia="zh-CN"/>
        </w:rPr>
        <w:t>30 cm</w:t>
      </w:r>
      <w:r>
        <w:rPr>
          <w:rFonts w:hint="eastAsia" w:eastAsia="宋体"/>
          <w:b w:val="0"/>
          <w:snapToGrid w:val="0"/>
          <w:sz w:val="24"/>
          <w:lang w:eastAsia="zh-CN"/>
        </w:rPr>
        <w:t>或更短。这导致使用内径为</w:t>
      </w:r>
      <w:r>
        <w:rPr>
          <w:rFonts w:eastAsia="宋体"/>
          <w:b w:val="0"/>
          <w:snapToGrid w:val="0"/>
          <w:sz w:val="24"/>
          <w:lang w:eastAsia="zh-CN"/>
        </w:rPr>
        <w:t>1.5 mm</w:t>
      </w:r>
      <w:r>
        <w:rPr>
          <w:rFonts w:hint="eastAsia" w:eastAsia="宋体"/>
          <w:b w:val="0"/>
          <w:snapToGrid w:val="0"/>
          <w:sz w:val="24"/>
          <w:lang w:eastAsia="zh-CN"/>
        </w:rPr>
        <w:t>和</w:t>
      </w:r>
      <w:r>
        <w:rPr>
          <w:rFonts w:eastAsia="宋体"/>
          <w:b w:val="0"/>
          <w:snapToGrid w:val="0"/>
          <w:sz w:val="24"/>
          <w:lang w:eastAsia="zh-CN"/>
        </w:rPr>
        <w:t>1.0 mm</w:t>
      </w:r>
      <w:r>
        <w:rPr>
          <w:rFonts w:hint="eastAsia" w:eastAsia="宋体"/>
          <w:b w:val="0"/>
          <w:snapToGrid w:val="0"/>
          <w:sz w:val="24"/>
          <w:lang w:eastAsia="zh-CN"/>
        </w:rPr>
        <w:t>导管的系统体积容量分别减少约</w:t>
      </w:r>
      <w:r>
        <w:rPr>
          <w:rFonts w:eastAsia="宋体"/>
          <w:b w:val="0"/>
          <w:snapToGrid w:val="0"/>
          <w:sz w:val="24"/>
          <w:lang w:eastAsia="zh-CN"/>
        </w:rPr>
        <w:t>0.7 ml</w:t>
      </w:r>
      <w:r>
        <w:rPr>
          <w:rFonts w:hint="eastAsia" w:eastAsia="宋体"/>
          <w:b w:val="0"/>
          <w:snapToGrid w:val="0"/>
          <w:sz w:val="24"/>
          <w:lang w:eastAsia="zh-CN"/>
        </w:rPr>
        <w:t>和</w:t>
      </w:r>
      <w:r>
        <w:rPr>
          <w:rFonts w:eastAsia="宋体"/>
          <w:b w:val="0"/>
          <w:snapToGrid w:val="0"/>
          <w:sz w:val="24"/>
          <w:lang w:eastAsia="zh-CN"/>
        </w:rPr>
        <w:t>0.3 ml</w:t>
      </w:r>
      <w:r>
        <w:rPr>
          <w:rFonts w:hint="eastAsia" w:eastAsia="宋体"/>
          <w:b w:val="0"/>
          <w:snapToGrid w:val="0"/>
          <w:sz w:val="24"/>
          <w:lang w:eastAsia="zh-CN"/>
        </w:rPr>
        <w:t>。因此大多数情况下，为确保利用该输液港通道系统的清理，分别向使用内径为</w:t>
      </w:r>
      <w:r>
        <w:rPr>
          <w:rFonts w:eastAsia="宋体"/>
          <w:b w:val="0"/>
          <w:snapToGrid w:val="0"/>
          <w:sz w:val="24"/>
          <w:lang w:eastAsia="zh-CN"/>
        </w:rPr>
        <w:t>1.0 mm</w:t>
      </w:r>
      <w:r>
        <w:rPr>
          <w:rFonts w:hint="eastAsia" w:eastAsia="宋体"/>
          <w:b w:val="0"/>
          <w:snapToGrid w:val="0"/>
          <w:sz w:val="24"/>
          <w:lang w:eastAsia="zh-CN"/>
        </w:rPr>
        <w:t>和</w:t>
      </w:r>
      <w:r>
        <w:rPr>
          <w:rFonts w:eastAsia="宋体"/>
          <w:b w:val="0"/>
          <w:snapToGrid w:val="0"/>
          <w:sz w:val="24"/>
          <w:lang w:eastAsia="zh-CN"/>
        </w:rPr>
        <w:t>1.5 mm</w:t>
      </w:r>
      <w:r>
        <w:rPr>
          <w:rFonts w:hint="eastAsia" w:eastAsia="宋体"/>
          <w:b w:val="0"/>
          <w:snapToGrid w:val="0"/>
          <w:sz w:val="24"/>
          <w:lang w:eastAsia="zh-CN"/>
        </w:rPr>
        <w:t>导管的输液港系统注入</w:t>
      </w:r>
      <w:r>
        <w:rPr>
          <w:rFonts w:eastAsia="宋体"/>
          <w:b w:val="0"/>
          <w:snapToGrid w:val="0"/>
          <w:sz w:val="24"/>
          <w:lang w:eastAsia="zh-CN"/>
        </w:rPr>
        <w:t>4.9 ml（5.2 ml - 0.3 ml）</w:t>
      </w:r>
      <w:r>
        <w:rPr>
          <w:rFonts w:hint="eastAsia" w:eastAsia="宋体"/>
          <w:b w:val="0"/>
          <w:snapToGrid w:val="0"/>
          <w:sz w:val="24"/>
          <w:lang w:eastAsia="zh-CN"/>
        </w:rPr>
        <w:t>和</w:t>
      </w:r>
      <w:r>
        <w:rPr>
          <w:rFonts w:eastAsia="宋体"/>
          <w:b w:val="0"/>
          <w:snapToGrid w:val="0"/>
          <w:sz w:val="24"/>
          <w:lang w:eastAsia="zh-CN"/>
        </w:rPr>
        <w:t>6.8 ml（7.5 ml - 0.7 ml）</w:t>
      </w:r>
      <w:r>
        <w:rPr>
          <w:rFonts w:hint="eastAsia" w:eastAsia="宋体"/>
          <w:b w:val="0"/>
          <w:snapToGrid w:val="0"/>
          <w:sz w:val="24"/>
          <w:lang w:eastAsia="zh-CN"/>
        </w:rPr>
        <w:t>是充分的。然而，为简单和安全的目的，可选择推荐最大清理量。</w:t>
      </w:r>
    </w:p>
    <w:p w14:paraId="6CE69B1F">
      <w:pPr>
        <w:pStyle w:val="24"/>
        <w:shd w:val="clear" w:color="auto" w:fill="auto"/>
        <w:topLinePunct/>
        <w:adjustRightInd w:val="0"/>
        <w:snapToGrid w:val="0"/>
        <w:spacing w:after="270" w:afterLines="75" w:line="360" w:lineRule="auto"/>
        <w:ind w:firstLine="0"/>
        <w:jc w:val="both"/>
        <w:rPr>
          <w:rFonts w:eastAsia="宋体"/>
          <w:b w:val="0"/>
          <w:snapToGrid w:val="0"/>
          <w:sz w:val="24"/>
          <w:lang w:eastAsia="zh-CN"/>
        </w:rPr>
      </w:pPr>
      <w:r>
        <w:rPr>
          <w:rFonts w:hint="eastAsia" w:eastAsia="宋体"/>
          <w:b w:val="0"/>
          <w:snapToGrid w:val="0"/>
          <w:sz w:val="24"/>
          <w:lang w:eastAsia="zh-CN"/>
        </w:rPr>
        <w:t>本研究的结果描述注入</w:t>
      </w:r>
      <w:r>
        <w:rPr>
          <w:rFonts w:eastAsia="宋体"/>
          <w:b w:val="0"/>
          <w:snapToGrid w:val="0"/>
          <w:sz w:val="24"/>
          <w:lang w:eastAsia="zh-CN"/>
        </w:rPr>
        <w:t>0.9%</w:t>
      </w:r>
      <w:r>
        <w:rPr>
          <w:rFonts w:hint="eastAsia" w:eastAsia="宋体"/>
          <w:b w:val="0"/>
          <w:snapToGrid w:val="0"/>
          <w:sz w:val="24"/>
          <w:lang w:eastAsia="zh-CN"/>
        </w:rPr>
        <w:t>生理盐水粘度的溶液时，使用预先连接最大长度导管的</w:t>
      </w:r>
      <w:r>
        <w:rPr>
          <w:rFonts w:eastAsia="宋体"/>
          <w:b w:val="0"/>
          <w:snapToGrid w:val="0"/>
          <w:sz w:val="24"/>
          <w:lang w:eastAsia="zh-CN"/>
        </w:rPr>
        <w:t>VITAL- PORT™</w:t>
      </w:r>
      <w:r>
        <w:rPr>
          <w:rFonts w:hint="eastAsia" w:eastAsia="宋体"/>
          <w:b w:val="0"/>
          <w:snapToGrid w:val="0"/>
          <w:sz w:val="24"/>
          <w:lang w:eastAsia="zh-CN"/>
        </w:rPr>
        <w:t>血管通道系统的清理特征。对于应用各种长度的不同导管和／或替代溶液的情况，确定流速、压力和清理量时必须牢记溶液流动特征和其他属性及导管属性。尽管本研究显示针头方向对该系统无影响，但不适宜做出针头方向在其他系统中也不重要的结论。每种新设计均应考虑针头方向的影响。鉴于理解并考虑了所有假定，该程序似乎提供一种血管通道系统比较分析的简单方法。</w:t>
      </w:r>
    </w:p>
    <w:p w14:paraId="65603D90">
      <w:pPr>
        <w:rPr>
          <w:rFonts w:ascii="Arial" w:hAnsi="Arial" w:eastAsia="宋体" w:cs="Arial"/>
          <w:b/>
          <w:bCs/>
          <w:snapToGrid w:val="0"/>
          <w:szCs w:val="20"/>
          <w:lang w:eastAsia="zh-CN"/>
        </w:rPr>
      </w:pPr>
      <w:r>
        <w:rPr>
          <w:rFonts w:eastAsia="宋体"/>
          <w:snapToGrid w:val="0"/>
          <w:lang w:eastAsia="zh-CN"/>
        </w:rPr>
        <w:br w:type="page"/>
      </w:r>
    </w:p>
    <w:p w14:paraId="2C5138DF">
      <w:pPr>
        <w:pStyle w:val="24"/>
        <w:shd w:val="clear" w:color="auto" w:fill="auto"/>
        <w:topLinePunct/>
        <w:adjustRightInd w:val="0"/>
        <w:snapToGrid w:val="0"/>
        <w:spacing w:after="270" w:afterLines="75" w:line="360" w:lineRule="auto"/>
        <w:ind w:firstLine="0"/>
        <w:jc w:val="center"/>
        <w:rPr>
          <w:rFonts w:eastAsia="宋体"/>
          <w:snapToGrid w:val="0"/>
          <w:sz w:val="24"/>
          <w:lang w:eastAsia="zh-CN"/>
        </w:rPr>
      </w:pPr>
      <w:r>
        <w:rPr>
          <w:rFonts w:hint="eastAsia" w:eastAsia="宋体"/>
          <w:snapToGrid w:val="0"/>
          <w:sz w:val="24"/>
          <w:lang w:eastAsia="zh-CN"/>
        </w:rPr>
        <w:t>参考文献</w:t>
      </w:r>
    </w:p>
    <w:p w14:paraId="413BF813">
      <w:pPr>
        <w:pStyle w:val="24"/>
        <w:shd w:val="clear" w:color="auto" w:fill="auto"/>
        <w:topLinePunct/>
        <w:adjustRightInd w:val="0"/>
        <w:snapToGrid w:val="0"/>
        <w:spacing w:after="270" w:afterLines="75" w:line="360" w:lineRule="auto"/>
        <w:ind w:firstLine="0"/>
        <w:jc w:val="both"/>
        <w:rPr>
          <w:rFonts w:eastAsia="宋体"/>
          <w:snapToGrid w:val="0"/>
          <w:sz w:val="24"/>
          <w:lang w:eastAsia="zh-CN"/>
        </w:rPr>
      </w:pPr>
      <w:r>
        <w:rPr>
          <w:rFonts w:eastAsia="宋体"/>
          <w:snapToGrid w:val="0"/>
          <w:sz w:val="24"/>
        </w:rPr>
        <w:t>Geddes LA, Baker LE.</w:t>
      </w:r>
      <w:r>
        <w:rPr>
          <w:rStyle w:val="31"/>
          <w:rFonts w:hint="eastAsia" w:eastAsia="宋体"/>
          <w:b w:val="0"/>
          <w:bCs w:val="0"/>
          <w:snapToGrid w:val="0"/>
          <w:sz w:val="24"/>
          <w:lang w:eastAsia="zh-CN"/>
        </w:rPr>
        <w:t>应用生物医学仪器的原理。</w:t>
      </w:r>
      <w:r>
        <w:rPr>
          <w:rFonts w:hint="eastAsia" w:eastAsia="宋体"/>
          <w:snapToGrid w:val="0"/>
          <w:sz w:val="24"/>
          <w:lang w:eastAsia="zh-CN"/>
        </w:rPr>
        <w:t>第三版</w:t>
      </w:r>
    </w:p>
    <w:p w14:paraId="0D3FDD00">
      <w:pPr>
        <w:pStyle w:val="17"/>
        <w:shd w:val="clear" w:color="auto" w:fill="auto"/>
        <w:topLinePunct/>
        <w:adjustRightInd w:val="0"/>
        <w:snapToGrid w:val="0"/>
        <w:spacing w:after="270" w:afterLines="75" w:line="360" w:lineRule="auto"/>
        <w:ind w:left="840" w:leftChars="350"/>
        <w:jc w:val="both"/>
        <w:rPr>
          <w:rFonts w:ascii="Arial" w:hAnsi="Arial" w:eastAsia="宋体" w:cs="Arial"/>
          <w:snapToGrid w:val="0"/>
          <w:spacing w:val="0"/>
          <w:sz w:val="24"/>
          <w:lang w:eastAsia="zh-CN"/>
        </w:rPr>
      </w:pPr>
      <w:r>
        <w:rPr>
          <w:rFonts w:hint="eastAsia" w:ascii="Arial" w:hAnsi="Arial" w:eastAsia="宋体" w:cs="Arial"/>
          <w:snapToGrid w:val="0"/>
          <w:spacing w:val="0"/>
          <w:sz w:val="24"/>
          <w:lang w:eastAsia="zh-CN"/>
        </w:rPr>
        <w:t>纽约：</w:t>
      </w:r>
      <w:r>
        <w:rPr>
          <w:rFonts w:ascii="Arial" w:hAnsi="Arial" w:eastAsia="宋体" w:cs="Arial"/>
          <w:snapToGrid w:val="0"/>
          <w:spacing w:val="0"/>
          <w:sz w:val="24"/>
        </w:rPr>
        <w:t>John Wiley &amp; Sons, 1989</w:t>
      </w:r>
      <w:r>
        <w:rPr>
          <w:rFonts w:hint="eastAsia" w:ascii="Arial" w:hAnsi="Arial" w:eastAsia="宋体" w:cs="Arial"/>
          <w:snapToGrid w:val="0"/>
          <w:spacing w:val="0"/>
          <w:sz w:val="24"/>
          <w:lang w:eastAsia="zh-CN"/>
        </w:rPr>
        <w:t>。</w:t>
      </w:r>
    </w:p>
    <w:p w14:paraId="27C22C22">
      <w:pPr>
        <w:pStyle w:val="17"/>
        <w:shd w:val="clear" w:color="auto" w:fill="auto"/>
        <w:topLinePunct/>
        <w:adjustRightInd w:val="0"/>
        <w:snapToGrid w:val="0"/>
        <w:spacing w:after="270" w:afterLines="75" w:line="360" w:lineRule="auto"/>
        <w:jc w:val="center"/>
        <w:rPr>
          <w:rFonts w:ascii="Arial" w:hAnsi="Arial" w:eastAsia="宋体" w:cs="Arial"/>
          <w:snapToGrid w:val="0"/>
          <w:spacing w:val="0"/>
          <w:sz w:val="24"/>
          <w:lang w:eastAsia="zh-CN"/>
        </w:rPr>
      </w:pPr>
    </w:p>
    <w:p w14:paraId="2F829B7C">
      <w:pPr>
        <w:pStyle w:val="17"/>
        <w:shd w:val="clear" w:color="auto" w:fill="auto"/>
        <w:topLinePunct/>
        <w:adjustRightInd w:val="0"/>
        <w:snapToGrid w:val="0"/>
        <w:spacing w:after="270" w:afterLines="75" w:line="360" w:lineRule="auto"/>
        <w:jc w:val="center"/>
        <w:rPr>
          <w:rFonts w:ascii="Arial" w:hAnsi="Arial" w:eastAsia="宋体" w:cs="Arial"/>
          <w:snapToGrid w:val="0"/>
          <w:spacing w:val="0"/>
          <w:sz w:val="24"/>
          <w:lang w:eastAsia="zh-CN"/>
        </w:rPr>
        <w:sectPr>
          <w:pgSz w:w="11906" w:h="16838"/>
          <w:pgMar w:top="1134" w:right="1440" w:bottom="1134" w:left="1440" w:header="720" w:footer="720" w:gutter="0"/>
          <w:pgNumType w:start="1"/>
          <w:cols w:space="720" w:num="1"/>
          <w:docGrid w:type="lines" w:linePitch="360" w:charSpace="0"/>
        </w:sectPr>
      </w:pPr>
    </w:p>
    <w:p w14:paraId="4C281CD2">
      <w:pPr>
        <w:pStyle w:val="17"/>
        <w:shd w:val="clear" w:color="auto" w:fill="auto"/>
        <w:topLinePunct/>
        <w:adjustRightInd w:val="0"/>
        <w:snapToGrid w:val="0"/>
        <w:spacing w:after="270" w:afterLines="75" w:line="360" w:lineRule="auto"/>
        <w:jc w:val="center"/>
        <w:rPr>
          <w:rFonts w:ascii="Arial" w:hAnsi="Arial" w:eastAsia="宋体" w:cs="Arial"/>
          <w:b w:val="0"/>
          <w:snapToGrid w:val="0"/>
          <w:spacing w:val="0"/>
          <w:sz w:val="24"/>
          <w:lang w:eastAsia="zh-CN"/>
        </w:rPr>
      </w:pPr>
      <w:r>
        <w:rPr>
          <w:rStyle w:val="35"/>
          <w:rFonts w:hint="eastAsia" w:eastAsia="宋体"/>
          <w:b w:val="0"/>
          <w:bCs/>
          <w:snapToGrid w:val="0"/>
          <w:sz w:val="24"/>
          <w:lang w:eastAsia="zh-CN"/>
        </w:rPr>
        <w:t>表I</w:t>
      </w:r>
      <w:r>
        <w:rPr>
          <w:rStyle w:val="35"/>
          <w:rFonts w:eastAsia="宋体"/>
          <w:b w:val="0"/>
          <w:bCs/>
          <w:snapToGrid w:val="0"/>
          <w:sz w:val="24"/>
          <w:lang w:eastAsia="zh-CN"/>
        </w:rPr>
        <w:t>.</w:t>
      </w:r>
    </w:p>
    <w:p w14:paraId="074CF4CC">
      <w:pPr>
        <w:pStyle w:val="34"/>
        <w:shd w:val="clear" w:color="auto" w:fill="auto"/>
        <w:topLinePunct/>
        <w:adjustRightInd w:val="0"/>
        <w:snapToGrid w:val="0"/>
        <w:spacing w:line="360" w:lineRule="auto"/>
        <w:jc w:val="center"/>
        <w:rPr>
          <w:rFonts w:eastAsia="宋体"/>
          <w:b w:val="0"/>
          <w:snapToGrid w:val="0"/>
          <w:sz w:val="24"/>
          <w:lang w:eastAsia="zh-CN"/>
        </w:rPr>
      </w:pPr>
      <w:r>
        <w:rPr>
          <w:rFonts w:hint="eastAsia" w:eastAsia="宋体"/>
          <w:b w:val="0"/>
          <w:snapToGrid w:val="0"/>
          <w:sz w:val="24"/>
          <w:lang w:eastAsia="zh-CN"/>
        </w:rPr>
        <w:t>内径为</w:t>
      </w:r>
      <w:r>
        <w:rPr>
          <w:rFonts w:eastAsia="宋体"/>
          <w:b w:val="0"/>
          <w:snapToGrid w:val="0"/>
          <w:sz w:val="24"/>
          <w:lang w:eastAsia="zh-CN"/>
        </w:rPr>
        <w:t>1.0mm</w:t>
      </w:r>
      <w:r>
        <w:rPr>
          <w:rFonts w:hint="eastAsia" w:eastAsia="宋体"/>
          <w:b w:val="0"/>
          <w:snapToGrid w:val="0"/>
          <w:sz w:val="24"/>
          <w:lang w:eastAsia="zh-CN"/>
        </w:rPr>
        <w:t>导管的清理参数</w:t>
      </w:r>
    </w:p>
    <w:tbl>
      <w:tblPr>
        <w:tblStyle w:val="9"/>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63"/>
        <w:gridCol w:w="1363"/>
        <w:gridCol w:w="1512"/>
        <w:gridCol w:w="1594"/>
        <w:gridCol w:w="1637"/>
      </w:tblGrid>
      <w:tr w14:paraId="5CF7E01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tcBorders>
              <w:right w:val="nil"/>
            </w:tcBorders>
            <w:textDirection w:val="btLr"/>
            <w:vAlign w:val="center"/>
          </w:tcPr>
          <w:p w14:paraId="7FD63045">
            <w:pPr>
              <w:pStyle w:val="34"/>
              <w:shd w:val="clear" w:color="auto" w:fill="auto"/>
              <w:topLinePunct/>
              <w:adjustRightInd w:val="0"/>
              <w:snapToGrid w:val="0"/>
              <w:spacing w:before="36" w:beforeLines="10" w:line="360" w:lineRule="auto"/>
              <w:ind w:left="113" w:right="113"/>
              <w:jc w:val="center"/>
              <w:rPr>
                <w:rFonts w:eastAsia="宋体"/>
                <w:b w:val="0"/>
                <w:snapToGrid w:val="0"/>
                <w:sz w:val="21"/>
                <w:szCs w:val="10"/>
                <w:lang w:eastAsia="zh-CN"/>
              </w:rPr>
            </w:pPr>
            <w:r>
              <w:rPr>
                <w:rFonts w:hint="eastAsia" w:eastAsia="宋体"/>
                <w:b w:val="0"/>
                <w:snapToGrid w:val="0"/>
                <w:sz w:val="24"/>
                <w:lang w:eastAsia="zh-CN"/>
              </w:rPr>
              <w:t>流速</w:t>
            </w:r>
            <w:r>
              <w:rPr>
                <w:rFonts w:eastAsia="宋体"/>
                <w:b w:val="0"/>
                <w:snapToGrid w:val="0"/>
                <w:sz w:val="24"/>
              </w:rPr>
              <w:t>（</w:t>
            </w:r>
            <w:r>
              <w:rPr>
                <w:rFonts w:hint="eastAsia" w:eastAsia="宋体"/>
                <w:b w:val="0"/>
                <w:snapToGrid w:val="0"/>
                <w:sz w:val="24"/>
                <w:lang w:eastAsia="zh-CN"/>
              </w:rPr>
              <w:t>毫升</w:t>
            </w:r>
            <w:r>
              <w:rPr>
                <w:rFonts w:eastAsia="宋体"/>
                <w:b w:val="0"/>
                <w:snapToGrid w:val="0"/>
                <w:sz w:val="24"/>
              </w:rPr>
              <w:t>／</w:t>
            </w:r>
            <w:r>
              <w:rPr>
                <w:rFonts w:hint="eastAsia" w:eastAsia="宋体"/>
                <w:b w:val="0"/>
                <w:snapToGrid w:val="0"/>
                <w:sz w:val="24"/>
                <w:lang w:eastAsia="zh-CN"/>
              </w:rPr>
              <w:t>分钟</w:t>
            </w:r>
            <w:r>
              <w:rPr>
                <w:rFonts w:eastAsia="宋体"/>
                <w:b w:val="0"/>
                <w:snapToGrid w:val="0"/>
                <w:sz w:val="24"/>
              </w:rPr>
              <w:t>）</w:t>
            </w:r>
          </w:p>
        </w:tc>
        <w:tc>
          <w:tcPr>
            <w:tcW w:w="763" w:type="dxa"/>
            <w:tcBorders>
              <w:top w:val="nil"/>
              <w:left w:val="nil"/>
              <w:bottom w:val="single" w:color="auto" w:sz="4" w:space="0"/>
            </w:tcBorders>
            <w:vAlign w:val="center"/>
          </w:tcPr>
          <w:p w14:paraId="4314CBFE">
            <w:pPr>
              <w:topLinePunct/>
              <w:adjustRightInd w:val="0"/>
              <w:snapToGrid w:val="0"/>
              <w:spacing w:before="36" w:beforeLines="10" w:line="360" w:lineRule="auto"/>
              <w:jc w:val="center"/>
              <w:rPr>
                <w:rFonts w:ascii="Arial" w:hAnsi="Arial" w:eastAsia="宋体" w:cs="Arial"/>
                <w:snapToGrid w:val="0"/>
                <w:sz w:val="21"/>
                <w:szCs w:val="10"/>
                <w:lang w:eastAsia="zh-CN"/>
              </w:rPr>
            </w:pPr>
          </w:p>
        </w:tc>
        <w:tc>
          <w:tcPr>
            <w:tcW w:w="1363" w:type="dxa"/>
            <w:tcBorders>
              <w:bottom w:val="single" w:color="auto" w:sz="4" w:space="0"/>
            </w:tcBorders>
            <w:vAlign w:val="center"/>
          </w:tcPr>
          <w:p w14:paraId="13179F26">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平均</w:t>
            </w:r>
          </w:p>
          <w:p w14:paraId="0CE2A31A">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延迟</w:t>
            </w:r>
          </w:p>
          <w:p w14:paraId="6431B1CB">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时间</w:t>
            </w:r>
            <w:r>
              <w:rPr>
                <w:rStyle w:val="32"/>
                <w:rFonts w:eastAsia="宋体"/>
                <w:b w:val="0"/>
                <w:bCs/>
                <w:snapToGrid w:val="0"/>
                <w:sz w:val="21"/>
              </w:rPr>
              <w:t>（</w:t>
            </w:r>
            <w:r>
              <w:rPr>
                <w:rStyle w:val="32"/>
                <w:rFonts w:hint="eastAsia" w:eastAsia="宋体"/>
                <w:b w:val="0"/>
                <w:bCs/>
                <w:snapToGrid w:val="0"/>
                <w:sz w:val="21"/>
                <w:lang w:eastAsia="zh-CN"/>
              </w:rPr>
              <w:t>秒</w:t>
            </w:r>
            <w:r>
              <w:rPr>
                <w:rStyle w:val="32"/>
                <w:rFonts w:eastAsia="宋体"/>
                <w:b w:val="0"/>
                <w:bCs/>
                <w:snapToGrid w:val="0"/>
                <w:sz w:val="21"/>
              </w:rPr>
              <w:t>）</w:t>
            </w:r>
          </w:p>
        </w:tc>
        <w:tc>
          <w:tcPr>
            <w:tcW w:w="1512" w:type="dxa"/>
            <w:tcBorders>
              <w:bottom w:val="single" w:color="auto" w:sz="4" w:space="0"/>
            </w:tcBorders>
            <w:vAlign w:val="center"/>
          </w:tcPr>
          <w:p w14:paraId="2FB83421">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平均</w:t>
            </w:r>
          </w:p>
          <w:p w14:paraId="15FD6CA6">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稀释</w:t>
            </w:r>
          </w:p>
          <w:p w14:paraId="1407EEC4">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时间</w:t>
            </w:r>
            <w:r>
              <w:rPr>
                <w:rStyle w:val="32"/>
                <w:rFonts w:eastAsia="宋体"/>
                <w:b w:val="0"/>
                <w:bCs/>
                <w:snapToGrid w:val="0"/>
                <w:sz w:val="21"/>
              </w:rPr>
              <w:t>（</w:t>
            </w:r>
            <w:r>
              <w:rPr>
                <w:rStyle w:val="32"/>
                <w:rFonts w:hint="eastAsia" w:eastAsia="宋体"/>
                <w:b w:val="0"/>
                <w:bCs/>
                <w:snapToGrid w:val="0"/>
                <w:sz w:val="21"/>
                <w:lang w:eastAsia="zh-CN"/>
              </w:rPr>
              <w:t>秒</w:t>
            </w:r>
            <w:r>
              <w:rPr>
                <w:rStyle w:val="32"/>
                <w:rFonts w:eastAsia="宋体"/>
                <w:b w:val="0"/>
                <w:bCs/>
                <w:snapToGrid w:val="0"/>
                <w:sz w:val="21"/>
              </w:rPr>
              <w:t>）</w:t>
            </w:r>
          </w:p>
        </w:tc>
        <w:tc>
          <w:tcPr>
            <w:tcW w:w="1594" w:type="dxa"/>
            <w:tcBorders>
              <w:bottom w:val="single" w:color="auto" w:sz="4" w:space="0"/>
            </w:tcBorders>
            <w:vAlign w:val="center"/>
          </w:tcPr>
          <w:p w14:paraId="3BF85F0D">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平均</w:t>
            </w:r>
          </w:p>
          <w:p w14:paraId="3C699EBB">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清理</w:t>
            </w:r>
          </w:p>
          <w:p w14:paraId="1047A3D4">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时间</w:t>
            </w:r>
            <w:r>
              <w:rPr>
                <w:rStyle w:val="32"/>
                <w:rFonts w:eastAsia="宋体"/>
                <w:b w:val="0"/>
                <w:bCs/>
                <w:snapToGrid w:val="0"/>
                <w:sz w:val="21"/>
              </w:rPr>
              <w:t>（</w:t>
            </w:r>
            <w:r>
              <w:rPr>
                <w:rStyle w:val="32"/>
                <w:rFonts w:hint="eastAsia" w:eastAsia="宋体"/>
                <w:b w:val="0"/>
                <w:bCs/>
                <w:snapToGrid w:val="0"/>
                <w:sz w:val="21"/>
                <w:lang w:eastAsia="zh-CN"/>
              </w:rPr>
              <w:t>秒</w:t>
            </w:r>
            <w:r>
              <w:rPr>
                <w:rStyle w:val="32"/>
                <w:rFonts w:eastAsia="宋体"/>
                <w:b w:val="0"/>
                <w:bCs/>
                <w:snapToGrid w:val="0"/>
                <w:sz w:val="21"/>
              </w:rPr>
              <w:t>）</w:t>
            </w:r>
          </w:p>
        </w:tc>
        <w:tc>
          <w:tcPr>
            <w:tcW w:w="1637" w:type="dxa"/>
            <w:tcBorders>
              <w:bottom w:val="single" w:color="auto" w:sz="4" w:space="0"/>
            </w:tcBorders>
            <w:vAlign w:val="center"/>
          </w:tcPr>
          <w:p w14:paraId="5CB4AB35">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平均</w:t>
            </w:r>
          </w:p>
          <w:p w14:paraId="4EC3B4F1">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清理量</w:t>
            </w:r>
          </w:p>
          <w:p w14:paraId="36806CA7">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（毫升</w:t>
            </w:r>
            <w:r>
              <w:rPr>
                <w:rStyle w:val="32"/>
                <w:rFonts w:eastAsia="宋体"/>
                <w:b w:val="0"/>
                <w:bCs/>
                <w:snapToGrid w:val="0"/>
                <w:sz w:val="21"/>
              </w:rPr>
              <w:t>）</w:t>
            </w:r>
          </w:p>
        </w:tc>
      </w:tr>
      <w:tr w14:paraId="63A8C31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0B008F6D">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single" w:color="auto" w:sz="4" w:space="0"/>
              <w:left w:val="nil"/>
              <w:bottom w:val="nil"/>
              <w:right w:val="single" w:color="auto" w:sz="4" w:space="0"/>
            </w:tcBorders>
            <w:vAlign w:val="center"/>
          </w:tcPr>
          <w:p w14:paraId="1BF67A9E">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w:t>
            </w:r>
          </w:p>
        </w:tc>
        <w:tc>
          <w:tcPr>
            <w:tcW w:w="1363" w:type="dxa"/>
            <w:tcBorders>
              <w:top w:val="single" w:color="auto" w:sz="4" w:space="0"/>
              <w:left w:val="single" w:color="auto" w:sz="4" w:space="0"/>
              <w:bottom w:val="nil"/>
              <w:right w:val="single" w:color="auto" w:sz="4" w:space="0"/>
            </w:tcBorders>
            <w:vAlign w:val="center"/>
          </w:tcPr>
          <w:p w14:paraId="4B6847E7">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6.2</w:t>
            </w:r>
            <w:r>
              <w:rPr>
                <w:rStyle w:val="32"/>
                <w:rFonts w:eastAsia="宋体"/>
                <w:b w:val="0"/>
                <w:bCs/>
                <w:snapToGrid w:val="0"/>
                <w:sz w:val="21"/>
                <w:lang w:eastAsia="zh-CN"/>
              </w:rPr>
              <w:t>±</w:t>
            </w:r>
            <w:r>
              <w:rPr>
                <w:rStyle w:val="32"/>
                <w:rFonts w:eastAsia="宋体"/>
                <w:b w:val="0"/>
                <w:bCs/>
                <w:snapToGrid w:val="0"/>
                <w:sz w:val="21"/>
              </w:rPr>
              <w:t>0.7</w:t>
            </w:r>
          </w:p>
        </w:tc>
        <w:tc>
          <w:tcPr>
            <w:tcW w:w="1512" w:type="dxa"/>
            <w:tcBorders>
              <w:top w:val="single" w:color="auto" w:sz="4" w:space="0"/>
              <w:left w:val="single" w:color="auto" w:sz="4" w:space="0"/>
              <w:bottom w:val="nil"/>
              <w:right w:val="single" w:color="auto" w:sz="4" w:space="0"/>
            </w:tcBorders>
            <w:vAlign w:val="center"/>
          </w:tcPr>
          <w:p w14:paraId="0457BB88">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17.6</w:t>
            </w:r>
            <w:r>
              <w:rPr>
                <w:rStyle w:val="32"/>
                <w:rFonts w:eastAsia="宋体"/>
                <w:b w:val="0"/>
                <w:bCs/>
                <w:snapToGrid w:val="0"/>
                <w:sz w:val="21"/>
                <w:lang w:eastAsia="zh-CN"/>
              </w:rPr>
              <w:t>±</w:t>
            </w:r>
            <w:r>
              <w:rPr>
                <w:rStyle w:val="32"/>
                <w:rFonts w:eastAsia="宋体"/>
                <w:b w:val="0"/>
                <w:bCs/>
                <w:snapToGrid w:val="0"/>
                <w:sz w:val="21"/>
              </w:rPr>
              <w:t>1.9</w:t>
            </w:r>
          </w:p>
        </w:tc>
        <w:tc>
          <w:tcPr>
            <w:tcW w:w="1594" w:type="dxa"/>
            <w:tcBorders>
              <w:top w:val="single" w:color="auto" w:sz="4" w:space="0"/>
              <w:left w:val="single" w:color="auto" w:sz="4" w:space="0"/>
              <w:bottom w:val="nil"/>
              <w:right w:val="single" w:color="auto" w:sz="4" w:space="0"/>
            </w:tcBorders>
            <w:vAlign w:val="center"/>
          </w:tcPr>
          <w:p w14:paraId="3903CC11">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23.9</w:t>
            </w:r>
            <w:r>
              <w:rPr>
                <w:rStyle w:val="32"/>
                <w:rFonts w:eastAsia="宋体"/>
                <w:b w:val="0"/>
                <w:bCs/>
                <w:snapToGrid w:val="0"/>
                <w:sz w:val="21"/>
                <w:lang w:eastAsia="zh-CN"/>
              </w:rPr>
              <w:t>±</w:t>
            </w:r>
            <w:r>
              <w:rPr>
                <w:rStyle w:val="32"/>
                <w:rFonts w:eastAsia="宋体"/>
                <w:b w:val="0"/>
                <w:bCs/>
                <w:snapToGrid w:val="0"/>
                <w:sz w:val="21"/>
              </w:rPr>
              <w:t>1.8</w:t>
            </w:r>
          </w:p>
        </w:tc>
        <w:tc>
          <w:tcPr>
            <w:tcW w:w="1637" w:type="dxa"/>
            <w:tcBorders>
              <w:top w:val="single" w:color="auto" w:sz="4" w:space="0"/>
              <w:left w:val="single" w:color="auto" w:sz="4" w:space="0"/>
              <w:bottom w:val="nil"/>
            </w:tcBorders>
            <w:vAlign w:val="center"/>
          </w:tcPr>
          <w:p w14:paraId="7FD708B8">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1.99</w:t>
            </w:r>
            <w:r>
              <w:rPr>
                <w:rStyle w:val="32"/>
                <w:rFonts w:eastAsia="宋体"/>
                <w:b w:val="0"/>
                <w:bCs/>
                <w:snapToGrid w:val="0"/>
                <w:sz w:val="21"/>
                <w:lang w:eastAsia="zh-CN"/>
              </w:rPr>
              <w:t>±</w:t>
            </w:r>
            <w:r>
              <w:rPr>
                <w:rStyle w:val="32"/>
                <w:rFonts w:eastAsia="宋体"/>
                <w:b w:val="0"/>
                <w:bCs/>
                <w:snapToGrid w:val="0"/>
                <w:sz w:val="21"/>
              </w:rPr>
              <w:t>0.15</w:t>
            </w:r>
          </w:p>
        </w:tc>
      </w:tr>
      <w:tr w14:paraId="0FE6D00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6A32710B">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nil"/>
              <w:left w:val="nil"/>
              <w:bottom w:val="nil"/>
              <w:right w:val="single" w:color="auto" w:sz="4" w:space="0"/>
            </w:tcBorders>
            <w:vAlign w:val="center"/>
          </w:tcPr>
          <w:p w14:paraId="67AE5C4B">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25</w:t>
            </w:r>
          </w:p>
        </w:tc>
        <w:tc>
          <w:tcPr>
            <w:tcW w:w="1363" w:type="dxa"/>
            <w:tcBorders>
              <w:top w:val="nil"/>
              <w:left w:val="single" w:color="auto" w:sz="4" w:space="0"/>
              <w:bottom w:val="nil"/>
              <w:right w:val="single" w:color="auto" w:sz="4" w:space="0"/>
            </w:tcBorders>
            <w:vAlign w:val="center"/>
          </w:tcPr>
          <w:p w14:paraId="5E181AAD">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1.6</w:t>
            </w:r>
            <w:r>
              <w:rPr>
                <w:rStyle w:val="32"/>
                <w:rFonts w:eastAsia="宋体"/>
                <w:b w:val="0"/>
                <w:bCs/>
                <w:snapToGrid w:val="0"/>
                <w:sz w:val="21"/>
                <w:lang w:eastAsia="zh-CN"/>
              </w:rPr>
              <w:t>±</w:t>
            </w:r>
            <w:r>
              <w:rPr>
                <w:rStyle w:val="32"/>
                <w:rFonts w:eastAsia="宋体"/>
                <w:b w:val="0"/>
                <w:bCs/>
                <w:snapToGrid w:val="0"/>
                <w:sz w:val="21"/>
              </w:rPr>
              <w:t>0.2</w:t>
            </w:r>
          </w:p>
        </w:tc>
        <w:tc>
          <w:tcPr>
            <w:tcW w:w="1512" w:type="dxa"/>
            <w:tcBorders>
              <w:top w:val="nil"/>
              <w:left w:val="single" w:color="auto" w:sz="4" w:space="0"/>
              <w:bottom w:val="nil"/>
              <w:right w:val="single" w:color="auto" w:sz="4" w:space="0"/>
            </w:tcBorders>
            <w:vAlign w:val="center"/>
          </w:tcPr>
          <w:p w14:paraId="65B8D5D7">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6.0</w:t>
            </w:r>
            <w:r>
              <w:rPr>
                <w:rStyle w:val="32"/>
                <w:rFonts w:eastAsia="宋体"/>
                <w:b w:val="0"/>
                <w:bCs/>
                <w:snapToGrid w:val="0"/>
                <w:sz w:val="21"/>
                <w:lang w:eastAsia="zh-CN"/>
              </w:rPr>
              <w:t>±</w:t>
            </w:r>
            <w:r>
              <w:rPr>
                <w:rStyle w:val="32"/>
                <w:rFonts w:eastAsia="宋体"/>
                <w:b w:val="0"/>
                <w:bCs/>
                <w:snapToGrid w:val="0"/>
                <w:sz w:val="21"/>
              </w:rPr>
              <w:t>0.6</w:t>
            </w:r>
          </w:p>
        </w:tc>
        <w:tc>
          <w:tcPr>
            <w:tcW w:w="1594" w:type="dxa"/>
            <w:tcBorders>
              <w:top w:val="nil"/>
              <w:left w:val="single" w:color="auto" w:sz="4" w:space="0"/>
              <w:bottom w:val="nil"/>
              <w:right w:val="single" w:color="auto" w:sz="4" w:space="0"/>
            </w:tcBorders>
            <w:vAlign w:val="center"/>
          </w:tcPr>
          <w:p w14:paraId="0643A971">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7.5</w:t>
            </w:r>
            <w:r>
              <w:rPr>
                <w:rStyle w:val="32"/>
                <w:rFonts w:eastAsia="宋体"/>
                <w:b w:val="0"/>
                <w:bCs/>
                <w:snapToGrid w:val="0"/>
                <w:sz w:val="21"/>
                <w:lang w:eastAsia="zh-CN"/>
              </w:rPr>
              <w:t>±</w:t>
            </w:r>
            <w:r>
              <w:rPr>
                <w:rStyle w:val="32"/>
                <w:rFonts w:eastAsia="宋体"/>
                <w:b w:val="0"/>
                <w:bCs/>
                <w:snapToGrid w:val="0"/>
                <w:sz w:val="21"/>
              </w:rPr>
              <w:t>0.6</w:t>
            </w:r>
          </w:p>
        </w:tc>
        <w:tc>
          <w:tcPr>
            <w:tcW w:w="1637" w:type="dxa"/>
            <w:tcBorders>
              <w:top w:val="nil"/>
              <w:left w:val="single" w:color="auto" w:sz="4" w:space="0"/>
              <w:bottom w:val="nil"/>
            </w:tcBorders>
            <w:vAlign w:val="center"/>
          </w:tcPr>
          <w:p w14:paraId="743F1DA2">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3.14</w:t>
            </w:r>
            <w:r>
              <w:rPr>
                <w:rStyle w:val="32"/>
                <w:rFonts w:eastAsia="宋体"/>
                <w:b w:val="0"/>
                <w:bCs/>
                <w:snapToGrid w:val="0"/>
                <w:sz w:val="21"/>
                <w:lang w:eastAsia="zh-CN"/>
              </w:rPr>
              <w:t>±</w:t>
            </w:r>
            <w:r>
              <w:rPr>
                <w:rStyle w:val="32"/>
                <w:rFonts w:eastAsia="宋体"/>
                <w:b w:val="0"/>
                <w:bCs/>
                <w:snapToGrid w:val="0"/>
                <w:sz w:val="21"/>
              </w:rPr>
              <w:t>0.23</w:t>
            </w:r>
          </w:p>
        </w:tc>
      </w:tr>
      <w:tr w14:paraId="1A9CB5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5FAAAE44">
            <w:pPr>
              <w:pStyle w:val="24"/>
              <w:shd w:val="clear" w:color="auto" w:fill="auto"/>
              <w:topLinePunct/>
              <w:adjustRightInd w:val="0"/>
              <w:snapToGrid w:val="0"/>
              <w:spacing w:before="36" w:beforeLines="10" w:line="360" w:lineRule="auto"/>
              <w:ind w:firstLine="0"/>
              <w:jc w:val="center"/>
              <w:rPr>
                <w:rFonts w:eastAsia="宋体"/>
                <w:b w:val="0"/>
                <w:snapToGrid w:val="0"/>
                <w:sz w:val="21"/>
              </w:rPr>
            </w:pPr>
          </w:p>
        </w:tc>
        <w:tc>
          <w:tcPr>
            <w:tcW w:w="763" w:type="dxa"/>
            <w:tcBorders>
              <w:top w:val="nil"/>
              <w:left w:val="nil"/>
              <w:bottom w:val="nil"/>
              <w:right w:val="single" w:color="auto" w:sz="4" w:space="0"/>
            </w:tcBorders>
            <w:vAlign w:val="center"/>
          </w:tcPr>
          <w:p w14:paraId="3C94D86D">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50</w:t>
            </w:r>
          </w:p>
        </w:tc>
        <w:tc>
          <w:tcPr>
            <w:tcW w:w="1363" w:type="dxa"/>
            <w:tcBorders>
              <w:top w:val="nil"/>
              <w:left w:val="single" w:color="auto" w:sz="4" w:space="0"/>
              <w:bottom w:val="nil"/>
              <w:right w:val="single" w:color="auto" w:sz="4" w:space="0"/>
            </w:tcBorders>
            <w:vAlign w:val="center"/>
          </w:tcPr>
          <w:p w14:paraId="69CE851D">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1.1</w:t>
            </w:r>
            <w:r>
              <w:rPr>
                <w:rStyle w:val="32"/>
                <w:rFonts w:eastAsia="宋体"/>
                <w:b w:val="0"/>
                <w:bCs/>
                <w:snapToGrid w:val="0"/>
                <w:sz w:val="21"/>
                <w:lang w:eastAsia="zh-CN"/>
              </w:rPr>
              <w:t>±</w:t>
            </w:r>
            <w:r>
              <w:rPr>
                <w:rStyle w:val="32"/>
                <w:rFonts w:eastAsia="宋体"/>
                <w:b w:val="0"/>
                <w:bCs/>
                <w:snapToGrid w:val="0"/>
                <w:sz w:val="21"/>
              </w:rPr>
              <w:t>0.1</w:t>
            </w:r>
          </w:p>
        </w:tc>
        <w:tc>
          <w:tcPr>
            <w:tcW w:w="1512" w:type="dxa"/>
            <w:tcBorders>
              <w:top w:val="nil"/>
              <w:left w:val="single" w:color="auto" w:sz="4" w:space="0"/>
              <w:bottom w:val="nil"/>
              <w:right w:val="single" w:color="auto" w:sz="4" w:space="0"/>
            </w:tcBorders>
            <w:vAlign w:val="center"/>
          </w:tcPr>
          <w:p w14:paraId="5AE2000F">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3.7</w:t>
            </w:r>
            <w:r>
              <w:rPr>
                <w:rStyle w:val="32"/>
                <w:rFonts w:eastAsia="宋体"/>
                <w:b w:val="0"/>
                <w:bCs/>
                <w:snapToGrid w:val="0"/>
                <w:sz w:val="21"/>
                <w:lang w:eastAsia="zh-CN"/>
              </w:rPr>
              <w:t>±</w:t>
            </w:r>
            <w:r>
              <w:rPr>
                <w:rStyle w:val="32"/>
                <w:rFonts w:eastAsia="宋体"/>
                <w:b w:val="0"/>
                <w:bCs/>
                <w:snapToGrid w:val="0"/>
                <w:sz w:val="21"/>
              </w:rPr>
              <w:t>0.5</w:t>
            </w:r>
          </w:p>
        </w:tc>
        <w:tc>
          <w:tcPr>
            <w:tcW w:w="1594" w:type="dxa"/>
            <w:tcBorders>
              <w:top w:val="nil"/>
              <w:left w:val="single" w:color="auto" w:sz="4" w:space="0"/>
              <w:bottom w:val="nil"/>
              <w:right w:val="single" w:color="auto" w:sz="4" w:space="0"/>
            </w:tcBorders>
            <w:vAlign w:val="center"/>
          </w:tcPr>
          <w:p w14:paraId="68580CA8">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4.8</w:t>
            </w:r>
            <w:r>
              <w:rPr>
                <w:rStyle w:val="32"/>
                <w:rFonts w:eastAsia="宋体"/>
                <w:b w:val="0"/>
                <w:bCs/>
                <w:snapToGrid w:val="0"/>
                <w:sz w:val="21"/>
                <w:lang w:eastAsia="zh-CN"/>
              </w:rPr>
              <w:t>±</w:t>
            </w:r>
            <w:r>
              <w:rPr>
                <w:rStyle w:val="32"/>
                <w:rFonts w:eastAsia="宋体"/>
                <w:b w:val="0"/>
                <w:bCs/>
                <w:snapToGrid w:val="0"/>
                <w:sz w:val="21"/>
              </w:rPr>
              <w:t>0.5</w:t>
            </w:r>
          </w:p>
        </w:tc>
        <w:tc>
          <w:tcPr>
            <w:tcW w:w="1637" w:type="dxa"/>
            <w:tcBorders>
              <w:top w:val="nil"/>
              <w:left w:val="single" w:color="auto" w:sz="4" w:space="0"/>
              <w:bottom w:val="nil"/>
            </w:tcBorders>
            <w:vAlign w:val="center"/>
          </w:tcPr>
          <w:p w14:paraId="4B64C346">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3.99</w:t>
            </w:r>
            <w:r>
              <w:rPr>
                <w:rStyle w:val="32"/>
                <w:rFonts w:eastAsia="宋体"/>
                <w:b w:val="0"/>
                <w:bCs/>
                <w:snapToGrid w:val="0"/>
                <w:sz w:val="21"/>
                <w:lang w:eastAsia="zh-CN"/>
              </w:rPr>
              <w:t>±</w:t>
            </w:r>
            <w:r>
              <w:rPr>
                <w:rStyle w:val="32"/>
                <w:rFonts w:eastAsia="宋体"/>
                <w:b w:val="0"/>
                <w:bCs/>
                <w:snapToGrid w:val="0"/>
                <w:sz w:val="21"/>
              </w:rPr>
              <w:t>0.41</w:t>
            </w:r>
          </w:p>
        </w:tc>
      </w:tr>
      <w:tr w14:paraId="2020296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7BE1F118">
            <w:pPr>
              <w:topLinePunct/>
              <w:adjustRightInd w:val="0"/>
              <w:snapToGrid w:val="0"/>
              <w:spacing w:before="36" w:beforeLines="10" w:line="360" w:lineRule="auto"/>
              <w:jc w:val="center"/>
              <w:rPr>
                <w:rFonts w:ascii="Arial" w:hAnsi="Arial" w:eastAsia="宋体" w:cs="Arial"/>
                <w:snapToGrid w:val="0"/>
                <w:sz w:val="21"/>
                <w:szCs w:val="10"/>
              </w:rPr>
            </w:pPr>
          </w:p>
        </w:tc>
        <w:tc>
          <w:tcPr>
            <w:tcW w:w="763" w:type="dxa"/>
            <w:tcBorders>
              <w:top w:val="nil"/>
              <w:left w:val="nil"/>
              <w:bottom w:val="nil"/>
              <w:right w:val="single" w:color="auto" w:sz="4" w:space="0"/>
            </w:tcBorders>
            <w:vAlign w:val="center"/>
          </w:tcPr>
          <w:p w14:paraId="326F453E">
            <w:pPr>
              <w:topLinePunct/>
              <w:adjustRightInd w:val="0"/>
              <w:snapToGrid w:val="0"/>
              <w:spacing w:before="36" w:beforeLines="10" w:line="360" w:lineRule="auto"/>
              <w:jc w:val="center"/>
              <w:rPr>
                <w:rFonts w:ascii="Arial" w:hAnsi="Arial" w:eastAsia="宋体" w:cs="Arial"/>
                <w:snapToGrid w:val="0"/>
                <w:sz w:val="21"/>
                <w:szCs w:val="10"/>
              </w:rPr>
            </w:pPr>
          </w:p>
        </w:tc>
        <w:tc>
          <w:tcPr>
            <w:tcW w:w="1363" w:type="dxa"/>
            <w:tcBorders>
              <w:top w:val="nil"/>
              <w:left w:val="single" w:color="auto" w:sz="4" w:space="0"/>
              <w:bottom w:val="nil"/>
              <w:right w:val="single" w:color="auto" w:sz="4" w:space="0"/>
            </w:tcBorders>
            <w:vAlign w:val="center"/>
          </w:tcPr>
          <w:p w14:paraId="46180D75">
            <w:pPr>
              <w:topLinePunct/>
              <w:adjustRightInd w:val="0"/>
              <w:snapToGrid w:val="0"/>
              <w:spacing w:before="36" w:beforeLines="10" w:line="360" w:lineRule="auto"/>
              <w:jc w:val="center"/>
              <w:rPr>
                <w:rFonts w:ascii="Arial" w:hAnsi="Arial" w:eastAsia="宋体" w:cs="Arial"/>
                <w:snapToGrid w:val="0"/>
                <w:sz w:val="21"/>
                <w:szCs w:val="10"/>
              </w:rPr>
            </w:pPr>
          </w:p>
        </w:tc>
        <w:tc>
          <w:tcPr>
            <w:tcW w:w="1512" w:type="dxa"/>
            <w:tcBorders>
              <w:top w:val="nil"/>
              <w:left w:val="single" w:color="auto" w:sz="4" w:space="0"/>
              <w:bottom w:val="nil"/>
              <w:right w:val="single" w:color="auto" w:sz="4" w:space="0"/>
            </w:tcBorders>
            <w:vAlign w:val="center"/>
          </w:tcPr>
          <w:p w14:paraId="728C47A9">
            <w:pPr>
              <w:topLinePunct/>
              <w:adjustRightInd w:val="0"/>
              <w:snapToGrid w:val="0"/>
              <w:spacing w:before="36" w:beforeLines="10" w:line="360" w:lineRule="auto"/>
              <w:jc w:val="center"/>
              <w:rPr>
                <w:rFonts w:ascii="Arial" w:hAnsi="Arial" w:eastAsia="宋体" w:cs="Arial"/>
                <w:snapToGrid w:val="0"/>
                <w:sz w:val="21"/>
                <w:szCs w:val="10"/>
              </w:rPr>
            </w:pPr>
          </w:p>
        </w:tc>
        <w:tc>
          <w:tcPr>
            <w:tcW w:w="1594" w:type="dxa"/>
            <w:tcBorders>
              <w:top w:val="nil"/>
              <w:left w:val="single" w:color="auto" w:sz="4" w:space="0"/>
              <w:bottom w:val="nil"/>
              <w:right w:val="single" w:color="auto" w:sz="4" w:space="0"/>
            </w:tcBorders>
            <w:vAlign w:val="center"/>
          </w:tcPr>
          <w:p w14:paraId="29101BB9">
            <w:pPr>
              <w:topLinePunct/>
              <w:adjustRightInd w:val="0"/>
              <w:snapToGrid w:val="0"/>
              <w:spacing w:before="36" w:beforeLines="10" w:line="360" w:lineRule="auto"/>
              <w:jc w:val="center"/>
              <w:rPr>
                <w:rFonts w:ascii="Arial" w:hAnsi="Arial" w:eastAsia="宋体" w:cs="Arial"/>
                <w:snapToGrid w:val="0"/>
                <w:sz w:val="21"/>
                <w:szCs w:val="10"/>
              </w:rPr>
            </w:pPr>
          </w:p>
        </w:tc>
        <w:tc>
          <w:tcPr>
            <w:tcW w:w="1637" w:type="dxa"/>
            <w:tcBorders>
              <w:top w:val="nil"/>
              <w:left w:val="single" w:color="auto" w:sz="4" w:space="0"/>
              <w:bottom w:val="nil"/>
            </w:tcBorders>
            <w:vAlign w:val="center"/>
          </w:tcPr>
          <w:p w14:paraId="177CAAD6">
            <w:pPr>
              <w:topLinePunct/>
              <w:adjustRightInd w:val="0"/>
              <w:snapToGrid w:val="0"/>
              <w:spacing w:before="36" w:beforeLines="10" w:line="360" w:lineRule="auto"/>
              <w:jc w:val="center"/>
              <w:rPr>
                <w:rFonts w:ascii="Arial" w:hAnsi="Arial" w:eastAsia="宋体" w:cs="Arial"/>
                <w:snapToGrid w:val="0"/>
                <w:sz w:val="21"/>
                <w:szCs w:val="10"/>
              </w:rPr>
            </w:pPr>
          </w:p>
        </w:tc>
      </w:tr>
    </w:tbl>
    <w:p w14:paraId="13D26FE1">
      <w:pPr>
        <w:topLinePunct/>
        <w:adjustRightInd w:val="0"/>
        <w:snapToGrid w:val="0"/>
        <w:spacing w:after="270" w:afterLines="75" w:line="360" w:lineRule="auto"/>
        <w:jc w:val="both"/>
        <w:rPr>
          <w:rFonts w:ascii="Arial" w:hAnsi="Arial" w:eastAsia="宋体" w:cs="Arial"/>
          <w:snapToGrid w:val="0"/>
          <w:szCs w:val="2"/>
          <w:lang w:eastAsia="zh-CN"/>
        </w:rPr>
      </w:pPr>
    </w:p>
    <w:p w14:paraId="02F33EBC">
      <w:pPr>
        <w:pStyle w:val="17"/>
        <w:shd w:val="clear" w:color="auto" w:fill="auto"/>
        <w:topLinePunct/>
        <w:adjustRightInd w:val="0"/>
        <w:snapToGrid w:val="0"/>
        <w:spacing w:after="270" w:afterLines="75" w:line="360" w:lineRule="auto"/>
        <w:jc w:val="center"/>
        <w:rPr>
          <w:rFonts w:ascii="Arial" w:hAnsi="Arial" w:eastAsia="宋体" w:cs="Arial"/>
          <w:b w:val="0"/>
          <w:snapToGrid w:val="0"/>
          <w:spacing w:val="0"/>
          <w:sz w:val="24"/>
        </w:rPr>
      </w:pPr>
      <w:r>
        <w:rPr>
          <w:rFonts w:ascii="Arial" w:hAnsi="Arial" w:eastAsia="宋体" w:cs="Arial"/>
          <w:snapToGrid w:val="0"/>
          <w:spacing w:val="0"/>
          <w:sz w:val="24"/>
          <w:szCs w:val="2"/>
          <w:lang w:eastAsia="zh-CN"/>
        </w:rPr>
        <w:br w:type="page"/>
      </w:r>
      <w:r>
        <w:rPr>
          <w:rStyle w:val="35"/>
          <w:rFonts w:hint="eastAsia" w:eastAsia="宋体"/>
          <w:b w:val="0"/>
          <w:bCs/>
          <w:snapToGrid w:val="0"/>
          <w:sz w:val="24"/>
          <w:lang w:eastAsia="zh-CN"/>
        </w:rPr>
        <w:t>表</w:t>
      </w:r>
      <w:r>
        <w:fldChar w:fldCharType="begin"/>
      </w:r>
      <w:r>
        <w:rPr>
          <w:rFonts w:ascii="Arial" w:hAnsi="Arial" w:eastAsia="宋体" w:cs="Arial"/>
          <w:b w:val="0"/>
          <w:snapToGrid w:val="0"/>
          <w:spacing w:val="0"/>
          <w:sz w:val="24"/>
        </w:rPr>
        <w:instrText xml:space="preserve"> PAGE \* MERGEFORMAT </w:instrText>
      </w:r>
      <w:r>
        <w:fldChar w:fldCharType="separate"/>
      </w:r>
      <w:r>
        <w:rPr>
          <w:rStyle w:val="35"/>
          <w:rFonts w:eastAsia="宋体"/>
          <w:b w:val="0"/>
          <w:bCs/>
          <w:snapToGrid w:val="0"/>
          <w:sz w:val="24"/>
        </w:rPr>
        <w:t>II</w:t>
      </w:r>
      <w:r>
        <w:rPr>
          <w:rStyle w:val="35"/>
          <w:rFonts w:eastAsia="宋体"/>
          <w:b w:val="0"/>
          <w:bCs/>
          <w:snapToGrid w:val="0"/>
          <w:sz w:val="24"/>
        </w:rPr>
        <w:fldChar w:fldCharType="end"/>
      </w:r>
      <w:r>
        <w:rPr>
          <w:rStyle w:val="35"/>
          <w:rFonts w:eastAsia="宋体"/>
          <w:b w:val="0"/>
          <w:bCs/>
          <w:snapToGrid w:val="0"/>
          <w:sz w:val="24"/>
        </w:rPr>
        <w:t>.</w:t>
      </w:r>
    </w:p>
    <w:p w14:paraId="100BC11E">
      <w:pPr>
        <w:pStyle w:val="34"/>
        <w:shd w:val="clear" w:color="auto" w:fill="auto"/>
        <w:topLinePunct/>
        <w:adjustRightInd w:val="0"/>
        <w:snapToGrid w:val="0"/>
        <w:spacing w:after="270" w:afterLines="75" w:line="360" w:lineRule="auto"/>
        <w:jc w:val="center"/>
        <w:rPr>
          <w:rFonts w:eastAsia="宋体"/>
          <w:b w:val="0"/>
          <w:snapToGrid w:val="0"/>
          <w:sz w:val="24"/>
          <w:lang w:eastAsia="zh-CN"/>
        </w:rPr>
      </w:pPr>
      <w:r>
        <w:rPr>
          <w:rFonts w:hint="eastAsia" w:eastAsia="宋体"/>
          <w:b w:val="0"/>
          <w:snapToGrid w:val="0"/>
          <w:sz w:val="24"/>
          <w:lang w:eastAsia="zh-CN"/>
        </w:rPr>
        <w:t>内径为</w:t>
      </w:r>
      <w:r>
        <w:rPr>
          <w:rFonts w:eastAsia="宋体"/>
          <w:b w:val="0"/>
          <w:snapToGrid w:val="0"/>
          <w:sz w:val="24"/>
          <w:lang w:eastAsia="zh-CN"/>
        </w:rPr>
        <w:t>1.</w:t>
      </w:r>
      <w:r>
        <w:rPr>
          <w:rFonts w:hint="eastAsia" w:eastAsia="宋体"/>
          <w:b w:val="0"/>
          <w:snapToGrid w:val="0"/>
          <w:sz w:val="24"/>
          <w:lang w:eastAsia="zh-CN"/>
        </w:rPr>
        <w:t>5</w:t>
      </w:r>
      <w:r>
        <w:rPr>
          <w:rFonts w:eastAsia="宋体"/>
          <w:b w:val="0"/>
          <w:snapToGrid w:val="0"/>
          <w:sz w:val="24"/>
          <w:lang w:eastAsia="zh-CN"/>
        </w:rPr>
        <w:t>mm</w:t>
      </w:r>
      <w:r>
        <w:rPr>
          <w:rFonts w:hint="eastAsia" w:eastAsia="宋体"/>
          <w:b w:val="0"/>
          <w:snapToGrid w:val="0"/>
          <w:sz w:val="24"/>
          <w:lang w:eastAsia="zh-CN"/>
        </w:rPr>
        <w:t>导管的清理参数</w:t>
      </w:r>
    </w:p>
    <w:tbl>
      <w:tblPr>
        <w:tblStyle w:val="9"/>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63"/>
        <w:gridCol w:w="1363"/>
        <w:gridCol w:w="1512"/>
        <w:gridCol w:w="1594"/>
        <w:gridCol w:w="1637"/>
      </w:tblGrid>
      <w:tr w14:paraId="5CBED8D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tcBorders>
              <w:right w:val="nil"/>
            </w:tcBorders>
            <w:textDirection w:val="btLr"/>
            <w:vAlign w:val="center"/>
          </w:tcPr>
          <w:p w14:paraId="07CC9117">
            <w:pPr>
              <w:pStyle w:val="34"/>
              <w:shd w:val="clear" w:color="auto" w:fill="auto"/>
              <w:topLinePunct/>
              <w:adjustRightInd w:val="0"/>
              <w:snapToGrid w:val="0"/>
              <w:spacing w:before="36" w:beforeLines="10" w:line="360" w:lineRule="auto"/>
              <w:ind w:left="113" w:right="113"/>
              <w:jc w:val="center"/>
              <w:rPr>
                <w:rFonts w:eastAsia="宋体"/>
                <w:b w:val="0"/>
                <w:snapToGrid w:val="0"/>
                <w:sz w:val="21"/>
                <w:szCs w:val="10"/>
                <w:lang w:eastAsia="zh-CN"/>
              </w:rPr>
            </w:pPr>
            <w:r>
              <w:rPr>
                <w:rFonts w:hint="eastAsia" w:eastAsia="宋体"/>
                <w:b w:val="0"/>
                <w:snapToGrid w:val="0"/>
                <w:sz w:val="24"/>
                <w:lang w:eastAsia="zh-CN"/>
              </w:rPr>
              <w:t>流速</w:t>
            </w:r>
            <w:r>
              <w:rPr>
                <w:rFonts w:eastAsia="宋体"/>
                <w:b w:val="0"/>
                <w:snapToGrid w:val="0"/>
                <w:sz w:val="24"/>
              </w:rPr>
              <w:t>（</w:t>
            </w:r>
            <w:r>
              <w:rPr>
                <w:rFonts w:hint="eastAsia" w:eastAsia="宋体"/>
                <w:b w:val="0"/>
                <w:snapToGrid w:val="0"/>
                <w:sz w:val="24"/>
                <w:lang w:eastAsia="zh-CN"/>
              </w:rPr>
              <w:t>毫升</w:t>
            </w:r>
            <w:r>
              <w:rPr>
                <w:rFonts w:eastAsia="宋体"/>
                <w:b w:val="0"/>
                <w:snapToGrid w:val="0"/>
                <w:sz w:val="24"/>
              </w:rPr>
              <w:t>／</w:t>
            </w:r>
            <w:r>
              <w:rPr>
                <w:rFonts w:hint="eastAsia" w:eastAsia="宋体"/>
                <w:b w:val="0"/>
                <w:snapToGrid w:val="0"/>
                <w:sz w:val="24"/>
                <w:lang w:eastAsia="zh-CN"/>
              </w:rPr>
              <w:t>分钟</w:t>
            </w:r>
            <w:r>
              <w:rPr>
                <w:rFonts w:eastAsia="宋体"/>
                <w:b w:val="0"/>
                <w:snapToGrid w:val="0"/>
                <w:sz w:val="24"/>
              </w:rPr>
              <w:t>）</w:t>
            </w:r>
          </w:p>
        </w:tc>
        <w:tc>
          <w:tcPr>
            <w:tcW w:w="763" w:type="dxa"/>
            <w:tcBorders>
              <w:top w:val="nil"/>
              <w:left w:val="nil"/>
              <w:bottom w:val="single" w:color="auto" w:sz="4" w:space="0"/>
            </w:tcBorders>
            <w:vAlign w:val="center"/>
          </w:tcPr>
          <w:p w14:paraId="210D8ECF">
            <w:pPr>
              <w:topLinePunct/>
              <w:adjustRightInd w:val="0"/>
              <w:snapToGrid w:val="0"/>
              <w:spacing w:before="36" w:beforeLines="10" w:line="360" w:lineRule="auto"/>
              <w:jc w:val="center"/>
              <w:rPr>
                <w:rFonts w:ascii="Arial" w:hAnsi="Arial" w:eastAsia="宋体" w:cs="Arial"/>
                <w:snapToGrid w:val="0"/>
                <w:sz w:val="21"/>
                <w:szCs w:val="10"/>
                <w:lang w:eastAsia="zh-CN"/>
              </w:rPr>
            </w:pPr>
          </w:p>
        </w:tc>
        <w:tc>
          <w:tcPr>
            <w:tcW w:w="1363" w:type="dxa"/>
            <w:tcBorders>
              <w:bottom w:val="single" w:color="auto" w:sz="4" w:space="0"/>
            </w:tcBorders>
            <w:vAlign w:val="center"/>
          </w:tcPr>
          <w:p w14:paraId="365D5A98">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平均</w:t>
            </w:r>
          </w:p>
          <w:p w14:paraId="4A4B33E6">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延迟</w:t>
            </w:r>
          </w:p>
          <w:p w14:paraId="09272502">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时间</w:t>
            </w:r>
            <w:r>
              <w:rPr>
                <w:rStyle w:val="32"/>
                <w:rFonts w:eastAsia="宋体"/>
                <w:b w:val="0"/>
                <w:bCs/>
                <w:snapToGrid w:val="0"/>
                <w:sz w:val="21"/>
              </w:rPr>
              <w:t>（</w:t>
            </w:r>
            <w:r>
              <w:rPr>
                <w:rStyle w:val="32"/>
                <w:rFonts w:hint="eastAsia" w:eastAsia="宋体"/>
                <w:b w:val="0"/>
                <w:bCs/>
                <w:snapToGrid w:val="0"/>
                <w:sz w:val="21"/>
                <w:lang w:eastAsia="zh-CN"/>
              </w:rPr>
              <w:t>秒</w:t>
            </w:r>
            <w:r>
              <w:rPr>
                <w:rStyle w:val="32"/>
                <w:rFonts w:eastAsia="宋体"/>
                <w:b w:val="0"/>
                <w:bCs/>
                <w:snapToGrid w:val="0"/>
                <w:sz w:val="21"/>
              </w:rPr>
              <w:t>）</w:t>
            </w:r>
          </w:p>
        </w:tc>
        <w:tc>
          <w:tcPr>
            <w:tcW w:w="1512" w:type="dxa"/>
            <w:tcBorders>
              <w:bottom w:val="single" w:color="auto" w:sz="4" w:space="0"/>
            </w:tcBorders>
            <w:vAlign w:val="center"/>
          </w:tcPr>
          <w:p w14:paraId="20434899">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平均</w:t>
            </w:r>
          </w:p>
          <w:p w14:paraId="5253F0D1">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稀释</w:t>
            </w:r>
          </w:p>
          <w:p w14:paraId="49EB1B5D">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时间</w:t>
            </w:r>
            <w:r>
              <w:rPr>
                <w:rStyle w:val="32"/>
                <w:rFonts w:eastAsia="宋体"/>
                <w:b w:val="0"/>
                <w:bCs/>
                <w:snapToGrid w:val="0"/>
                <w:sz w:val="21"/>
              </w:rPr>
              <w:t>（</w:t>
            </w:r>
            <w:r>
              <w:rPr>
                <w:rStyle w:val="32"/>
                <w:rFonts w:hint="eastAsia" w:eastAsia="宋体"/>
                <w:b w:val="0"/>
                <w:bCs/>
                <w:snapToGrid w:val="0"/>
                <w:sz w:val="21"/>
                <w:lang w:eastAsia="zh-CN"/>
              </w:rPr>
              <w:t>秒</w:t>
            </w:r>
            <w:r>
              <w:rPr>
                <w:rStyle w:val="32"/>
                <w:rFonts w:eastAsia="宋体"/>
                <w:b w:val="0"/>
                <w:bCs/>
                <w:snapToGrid w:val="0"/>
                <w:sz w:val="21"/>
              </w:rPr>
              <w:t>）</w:t>
            </w:r>
          </w:p>
        </w:tc>
        <w:tc>
          <w:tcPr>
            <w:tcW w:w="1594" w:type="dxa"/>
            <w:tcBorders>
              <w:bottom w:val="single" w:color="auto" w:sz="4" w:space="0"/>
            </w:tcBorders>
            <w:vAlign w:val="center"/>
          </w:tcPr>
          <w:p w14:paraId="6F2115C9">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平均</w:t>
            </w:r>
          </w:p>
          <w:p w14:paraId="765A61E5">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清理</w:t>
            </w:r>
          </w:p>
          <w:p w14:paraId="4B7B891E">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时间</w:t>
            </w:r>
            <w:r>
              <w:rPr>
                <w:rStyle w:val="32"/>
                <w:rFonts w:eastAsia="宋体"/>
                <w:b w:val="0"/>
                <w:bCs/>
                <w:snapToGrid w:val="0"/>
                <w:sz w:val="21"/>
              </w:rPr>
              <w:t>（</w:t>
            </w:r>
            <w:r>
              <w:rPr>
                <w:rStyle w:val="32"/>
                <w:rFonts w:hint="eastAsia" w:eastAsia="宋体"/>
                <w:b w:val="0"/>
                <w:bCs/>
                <w:snapToGrid w:val="0"/>
                <w:sz w:val="21"/>
                <w:lang w:eastAsia="zh-CN"/>
              </w:rPr>
              <w:t>秒</w:t>
            </w:r>
            <w:r>
              <w:rPr>
                <w:rStyle w:val="32"/>
                <w:rFonts w:eastAsia="宋体"/>
                <w:b w:val="0"/>
                <w:bCs/>
                <w:snapToGrid w:val="0"/>
                <w:sz w:val="21"/>
              </w:rPr>
              <w:t>）</w:t>
            </w:r>
          </w:p>
        </w:tc>
        <w:tc>
          <w:tcPr>
            <w:tcW w:w="1637" w:type="dxa"/>
            <w:tcBorders>
              <w:bottom w:val="single" w:color="auto" w:sz="4" w:space="0"/>
            </w:tcBorders>
            <w:vAlign w:val="center"/>
          </w:tcPr>
          <w:p w14:paraId="0DC2F6A9">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平均</w:t>
            </w:r>
          </w:p>
          <w:p w14:paraId="3D78B5DB">
            <w:pPr>
              <w:pStyle w:val="24"/>
              <w:shd w:val="clear" w:color="auto" w:fill="auto"/>
              <w:topLinePunct/>
              <w:adjustRightInd w:val="0"/>
              <w:snapToGrid w:val="0"/>
              <w:spacing w:before="36" w:beforeLines="10" w:line="360" w:lineRule="auto"/>
              <w:ind w:firstLine="0"/>
              <w:jc w:val="center"/>
              <w:rPr>
                <w:rFonts w:eastAsia="宋体"/>
                <w:b w:val="0"/>
                <w:snapToGrid w:val="0"/>
                <w:sz w:val="21"/>
                <w:lang w:eastAsia="zh-CN"/>
              </w:rPr>
            </w:pPr>
            <w:r>
              <w:rPr>
                <w:rStyle w:val="32"/>
                <w:rFonts w:hint="eastAsia" w:eastAsia="宋体"/>
                <w:b w:val="0"/>
                <w:bCs/>
                <w:snapToGrid w:val="0"/>
                <w:sz w:val="21"/>
                <w:lang w:eastAsia="zh-CN"/>
              </w:rPr>
              <w:t>清理量</w:t>
            </w:r>
          </w:p>
          <w:p w14:paraId="63BF0930">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hint="eastAsia" w:eastAsia="宋体"/>
                <w:b w:val="0"/>
                <w:bCs/>
                <w:snapToGrid w:val="0"/>
                <w:sz w:val="21"/>
                <w:lang w:eastAsia="zh-CN"/>
              </w:rPr>
              <w:t>（毫升</w:t>
            </w:r>
            <w:r>
              <w:rPr>
                <w:rStyle w:val="32"/>
                <w:rFonts w:eastAsia="宋体"/>
                <w:b w:val="0"/>
                <w:bCs/>
                <w:snapToGrid w:val="0"/>
                <w:sz w:val="21"/>
              </w:rPr>
              <w:t>）</w:t>
            </w:r>
          </w:p>
        </w:tc>
      </w:tr>
      <w:tr w14:paraId="48AB9B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6D22E71E">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single" w:color="auto" w:sz="4" w:space="0"/>
              <w:left w:val="nil"/>
              <w:bottom w:val="nil"/>
              <w:right w:val="single" w:color="auto" w:sz="4" w:space="0"/>
            </w:tcBorders>
            <w:vAlign w:val="center"/>
          </w:tcPr>
          <w:p w14:paraId="02CD58CF">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w:t>
            </w:r>
          </w:p>
        </w:tc>
        <w:tc>
          <w:tcPr>
            <w:tcW w:w="1363" w:type="dxa"/>
            <w:tcBorders>
              <w:top w:val="single" w:color="auto" w:sz="4" w:space="0"/>
              <w:left w:val="single" w:color="auto" w:sz="4" w:space="0"/>
              <w:bottom w:val="nil"/>
              <w:right w:val="single" w:color="auto" w:sz="4" w:space="0"/>
            </w:tcBorders>
            <w:vAlign w:val="center"/>
          </w:tcPr>
          <w:p w14:paraId="63B084F3">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11.6</w:t>
            </w:r>
            <w:r>
              <w:rPr>
                <w:rStyle w:val="32"/>
                <w:rFonts w:eastAsia="宋体"/>
                <w:b w:val="0"/>
                <w:bCs/>
                <w:snapToGrid w:val="0"/>
                <w:sz w:val="21"/>
                <w:lang w:eastAsia="zh-CN"/>
              </w:rPr>
              <w:t>±</w:t>
            </w:r>
            <w:r>
              <w:rPr>
                <w:rStyle w:val="32"/>
                <w:rFonts w:eastAsia="宋体"/>
                <w:b w:val="0"/>
                <w:bCs/>
                <w:snapToGrid w:val="0"/>
                <w:sz w:val="21"/>
              </w:rPr>
              <w:t>1.3</w:t>
            </w:r>
          </w:p>
        </w:tc>
        <w:tc>
          <w:tcPr>
            <w:tcW w:w="1512" w:type="dxa"/>
            <w:tcBorders>
              <w:top w:val="single" w:color="auto" w:sz="4" w:space="0"/>
              <w:left w:val="single" w:color="auto" w:sz="4" w:space="0"/>
              <w:bottom w:val="nil"/>
              <w:right w:val="single" w:color="auto" w:sz="4" w:space="0"/>
            </w:tcBorders>
            <w:vAlign w:val="center"/>
          </w:tcPr>
          <w:p w14:paraId="183EA070">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29.1</w:t>
            </w:r>
            <w:r>
              <w:rPr>
                <w:rStyle w:val="32"/>
                <w:rFonts w:eastAsia="宋体"/>
                <w:b w:val="0"/>
                <w:bCs/>
                <w:snapToGrid w:val="0"/>
                <w:sz w:val="21"/>
                <w:lang w:eastAsia="zh-CN"/>
              </w:rPr>
              <w:t>±</w:t>
            </w:r>
            <w:r>
              <w:rPr>
                <w:rStyle w:val="32"/>
                <w:rFonts w:eastAsia="宋体"/>
                <w:b w:val="0"/>
                <w:bCs/>
                <w:snapToGrid w:val="0"/>
                <w:sz w:val="21"/>
              </w:rPr>
              <w:t>5.5</w:t>
            </w:r>
          </w:p>
        </w:tc>
        <w:tc>
          <w:tcPr>
            <w:tcW w:w="1594" w:type="dxa"/>
            <w:tcBorders>
              <w:top w:val="single" w:color="auto" w:sz="4" w:space="0"/>
              <w:left w:val="single" w:color="auto" w:sz="4" w:space="0"/>
              <w:bottom w:val="nil"/>
              <w:right w:val="single" w:color="auto" w:sz="4" w:space="0"/>
            </w:tcBorders>
            <w:vAlign w:val="center"/>
          </w:tcPr>
          <w:p w14:paraId="0D53AC5F">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40.7</w:t>
            </w:r>
            <w:r>
              <w:rPr>
                <w:rStyle w:val="32"/>
                <w:rFonts w:eastAsia="宋体"/>
                <w:b w:val="0"/>
                <w:bCs/>
                <w:snapToGrid w:val="0"/>
                <w:sz w:val="21"/>
                <w:lang w:eastAsia="zh-CN"/>
              </w:rPr>
              <w:t>±</w:t>
            </w:r>
            <w:r>
              <w:rPr>
                <w:rStyle w:val="32"/>
                <w:rFonts w:eastAsia="宋体"/>
                <w:b w:val="0"/>
                <w:bCs/>
                <w:snapToGrid w:val="0"/>
                <w:sz w:val="21"/>
              </w:rPr>
              <w:t>6.0</w:t>
            </w:r>
          </w:p>
        </w:tc>
        <w:tc>
          <w:tcPr>
            <w:tcW w:w="1637" w:type="dxa"/>
            <w:tcBorders>
              <w:top w:val="single" w:color="auto" w:sz="4" w:space="0"/>
              <w:left w:val="single" w:color="auto" w:sz="4" w:space="0"/>
              <w:bottom w:val="nil"/>
            </w:tcBorders>
            <w:vAlign w:val="center"/>
          </w:tcPr>
          <w:p w14:paraId="77697DF5">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3.39</w:t>
            </w:r>
            <w:r>
              <w:rPr>
                <w:rStyle w:val="32"/>
                <w:rFonts w:eastAsia="宋体"/>
                <w:b w:val="0"/>
                <w:bCs/>
                <w:snapToGrid w:val="0"/>
                <w:sz w:val="21"/>
                <w:lang w:eastAsia="zh-CN"/>
              </w:rPr>
              <w:t>±</w:t>
            </w:r>
            <w:r>
              <w:rPr>
                <w:rStyle w:val="32"/>
                <w:rFonts w:eastAsia="宋体"/>
                <w:b w:val="0"/>
                <w:bCs/>
                <w:snapToGrid w:val="0"/>
                <w:sz w:val="21"/>
              </w:rPr>
              <w:t>0.50</w:t>
            </w:r>
          </w:p>
        </w:tc>
      </w:tr>
      <w:tr w14:paraId="6B3F606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4E2D6036">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nil"/>
              <w:left w:val="nil"/>
              <w:bottom w:val="nil"/>
              <w:right w:val="single" w:color="auto" w:sz="4" w:space="0"/>
            </w:tcBorders>
            <w:vAlign w:val="center"/>
          </w:tcPr>
          <w:p w14:paraId="5C73986A">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25</w:t>
            </w:r>
          </w:p>
        </w:tc>
        <w:tc>
          <w:tcPr>
            <w:tcW w:w="1363" w:type="dxa"/>
            <w:tcBorders>
              <w:top w:val="nil"/>
              <w:left w:val="single" w:color="auto" w:sz="4" w:space="0"/>
              <w:bottom w:val="nil"/>
              <w:right w:val="single" w:color="auto" w:sz="4" w:space="0"/>
            </w:tcBorders>
            <w:vAlign w:val="center"/>
          </w:tcPr>
          <w:p w14:paraId="04F0635C">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2.7</w:t>
            </w:r>
            <w:r>
              <w:rPr>
                <w:rStyle w:val="32"/>
                <w:rFonts w:eastAsia="宋体"/>
                <w:b w:val="0"/>
                <w:bCs/>
                <w:snapToGrid w:val="0"/>
                <w:sz w:val="21"/>
                <w:lang w:eastAsia="zh-CN"/>
              </w:rPr>
              <w:t>±</w:t>
            </w:r>
            <w:r>
              <w:rPr>
                <w:rStyle w:val="32"/>
                <w:rFonts w:eastAsia="宋体"/>
                <w:b w:val="0"/>
                <w:bCs/>
                <w:snapToGrid w:val="0"/>
                <w:sz w:val="21"/>
              </w:rPr>
              <w:t>0.1</w:t>
            </w:r>
          </w:p>
        </w:tc>
        <w:tc>
          <w:tcPr>
            <w:tcW w:w="1512" w:type="dxa"/>
            <w:tcBorders>
              <w:top w:val="nil"/>
              <w:left w:val="single" w:color="auto" w:sz="4" w:space="0"/>
              <w:bottom w:val="nil"/>
              <w:right w:val="single" w:color="auto" w:sz="4" w:space="0"/>
            </w:tcBorders>
            <w:vAlign w:val="center"/>
          </w:tcPr>
          <w:p w14:paraId="30232D90">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10.0</w:t>
            </w:r>
            <w:r>
              <w:rPr>
                <w:rStyle w:val="32"/>
                <w:rFonts w:eastAsia="宋体"/>
                <w:b w:val="0"/>
                <w:bCs/>
                <w:snapToGrid w:val="0"/>
                <w:sz w:val="21"/>
                <w:lang w:eastAsia="zh-CN"/>
              </w:rPr>
              <w:t>±</w:t>
            </w:r>
            <w:r>
              <w:rPr>
                <w:rStyle w:val="32"/>
                <w:rFonts w:eastAsia="宋体"/>
                <w:b w:val="0"/>
                <w:bCs/>
                <w:snapToGrid w:val="0"/>
                <w:sz w:val="21"/>
              </w:rPr>
              <w:t>1.1</w:t>
            </w:r>
          </w:p>
        </w:tc>
        <w:tc>
          <w:tcPr>
            <w:tcW w:w="1594" w:type="dxa"/>
            <w:tcBorders>
              <w:top w:val="nil"/>
              <w:left w:val="single" w:color="auto" w:sz="4" w:space="0"/>
              <w:bottom w:val="nil"/>
              <w:right w:val="single" w:color="auto" w:sz="4" w:space="0"/>
            </w:tcBorders>
            <w:vAlign w:val="center"/>
          </w:tcPr>
          <w:p w14:paraId="05A9AEE7">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12.8</w:t>
            </w:r>
            <w:r>
              <w:rPr>
                <w:rStyle w:val="32"/>
                <w:rFonts w:eastAsia="宋体"/>
                <w:b w:val="0"/>
                <w:bCs/>
                <w:snapToGrid w:val="0"/>
                <w:sz w:val="21"/>
                <w:lang w:eastAsia="zh-CN"/>
              </w:rPr>
              <w:t>±</w:t>
            </w:r>
            <w:r>
              <w:rPr>
                <w:rStyle w:val="32"/>
                <w:rFonts w:eastAsia="宋体"/>
                <w:b w:val="0"/>
                <w:bCs/>
                <w:snapToGrid w:val="0"/>
                <w:sz w:val="21"/>
              </w:rPr>
              <w:t>1.0</w:t>
            </w:r>
          </w:p>
        </w:tc>
        <w:tc>
          <w:tcPr>
            <w:tcW w:w="1637" w:type="dxa"/>
            <w:tcBorders>
              <w:top w:val="nil"/>
              <w:left w:val="single" w:color="auto" w:sz="4" w:space="0"/>
              <w:bottom w:val="nil"/>
            </w:tcBorders>
            <w:vAlign w:val="center"/>
          </w:tcPr>
          <w:p w14:paraId="1CD4BA5B">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5.31</w:t>
            </w:r>
            <w:r>
              <w:rPr>
                <w:rStyle w:val="32"/>
                <w:rFonts w:eastAsia="宋体"/>
                <w:b w:val="0"/>
                <w:bCs/>
                <w:snapToGrid w:val="0"/>
                <w:sz w:val="21"/>
                <w:lang w:eastAsia="zh-CN"/>
              </w:rPr>
              <w:t>±</w:t>
            </w:r>
            <w:r>
              <w:rPr>
                <w:rStyle w:val="32"/>
                <w:rFonts w:eastAsia="宋体"/>
                <w:b w:val="0"/>
                <w:bCs/>
                <w:snapToGrid w:val="0"/>
                <w:sz w:val="21"/>
              </w:rPr>
              <w:t>0.43</w:t>
            </w:r>
          </w:p>
        </w:tc>
      </w:tr>
      <w:tr w14:paraId="0436DF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3664B6B4">
            <w:pPr>
              <w:pStyle w:val="24"/>
              <w:shd w:val="clear" w:color="auto" w:fill="auto"/>
              <w:topLinePunct/>
              <w:adjustRightInd w:val="0"/>
              <w:snapToGrid w:val="0"/>
              <w:spacing w:before="36" w:beforeLines="10" w:line="360" w:lineRule="auto"/>
              <w:ind w:firstLine="0"/>
              <w:jc w:val="center"/>
              <w:rPr>
                <w:rFonts w:eastAsia="宋体"/>
                <w:b w:val="0"/>
                <w:snapToGrid w:val="0"/>
                <w:sz w:val="21"/>
              </w:rPr>
            </w:pPr>
          </w:p>
        </w:tc>
        <w:tc>
          <w:tcPr>
            <w:tcW w:w="763" w:type="dxa"/>
            <w:tcBorders>
              <w:top w:val="nil"/>
              <w:left w:val="nil"/>
              <w:bottom w:val="nil"/>
              <w:right w:val="single" w:color="auto" w:sz="4" w:space="0"/>
            </w:tcBorders>
            <w:vAlign w:val="center"/>
          </w:tcPr>
          <w:p w14:paraId="51666BB5">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50</w:t>
            </w:r>
          </w:p>
        </w:tc>
        <w:tc>
          <w:tcPr>
            <w:tcW w:w="1363" w:type="dxa"/>
            <w:tcBorders>
              <w:top w:val="nil"/>
              <w:left w:val="single" w:color="auto" w:sz="4" w:space="0"/>
              <w:bottom w:val="nil"/>
              <w:right w:val="single" w:color="auto" w:sz="4" w:space="0"/>
            </w:tcBorders>
            <w:vAlign w:val="center"/>
          </w:tcPr>
          <w:p w14:paraId="67CEC0E3">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1.7</w:t>
            </w:r>
            <w:r>
              <w:rPr>
                <w:rStyle w:val="32"/>
                <w:rFonts w:eastAsia="宋体"/>
                <w:b w:val="0"/>
                <w:bCs/>
                <w:snapToGrid w:val="0"/>
                <w:sz w:val="21"/>
                <w:lang w:eastAsia="zh-CN"/>
              </w:rPr>
              <w:t>±</w:t>
            </w:r>
            <w:r>
              <w:rPr>
                <w:rStyle w:val="32"/>
                <w:rFonts w:eastAsia="宋体"/>
                <w:b w:val="0"/>
                <w:bCs/>
                <w:snapToGrid w:val="0"/>
                <w:sz w:val="21"/>
              </w:rPr>
              <w:t>0.2</w:t>
            </w:r>
          </w:p>
        </w:tc>
        <w:tc>
          <w:tcPr>
            <w:tcW w:w="1512" w:type="dxa"/>
            <w:tcBorders>
              <w:top w:val="nil"/>
              <w:left w:val="single" w:color="auto" w:sz="4" w:space="0"/>
              <w:bottom w:val="nil"/>
              <w:right w:val="single" w:color="auto" w:sz="4" w:space="0"/>
            </w:tcBorders>
            <w:vAlign w:val="center"/>
          </w:tcPr>
          <w:p w14:paraId="3EB9E12C">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5.3</w:t>
            </w:r>
            <w:r>
              <w:rPr>
                <w:rStyle w:val="32"/>
                <w:rFonts w:eastAsia="宋体"/>
                <w:b w:val="0"/>
                <w:bCs/>
                <w:snapToGrid w:val="0"/>
                <w:sz w:val="21"/>
                <w:lang w:eastAsia="zh-CN"/>
              </w:rPr>
              <w:t>±</w:t>
            </w:r>
            <w:r>
              <w:rPr>
                <w:rStyle w:val="32"/>
                <w:rFonts w:eastAsia="宋体"/>
                <w:b w:val="0"/>
                <w:bCs/>
                <w:snapToGrid w:val="0"/>
                <w:sz w:val="21"/>
              </w:rPr>
              <w:t>0.2</w:t>
            </w:r>
          </w:p>
        </w:tc>
        <w:tc>
          <w:tcPr>
            <w:tcW w:w="1594" w:type="dxa"/>
            <w:tcBorders>
              <w:top w:val="nil"/>
              <w:left w:val="single" w:color="auto" w:sz="4" w:space="0"/>
              <w:bottom w:val="nil"/>
              <w:right w:val="single" w:color="auto" w:sz="4" w:space="0"/>
            </w:tcBorders>
            <w:vAlign w:val="center"/>
          </w:tcPr>
          <w:p w14:paraId="3CFE37DA">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6.9</w:t>
            </w:r>
            <w:r>
              <w:rPr>
                <w:rStyle w:val="32"/>
                <w:rFonts w:eastAsia="宋体"/>
                <w:b w:val="0"/>
                <w:bCs/>
                <w:snapToGrid w:val="0"/>
                <w:sz w:val="21"/>
                <w:lang w:eastAsia="zh-CN"/>
              </w:rPr>
              <w:t>±</w:t>
            </w:r>
            <w:r>
              <w:rPr>
                <w:rStyle w:val="32"/>
                <w:rFonts w:eastAsia="宋体"/>
                <w:b w:val="0"/>
                <w:bCs/>
                <w:snapToGrid w:val="0"/>
                <w:sz w:val="21"/>
              </w:rPr>
              <w:t>0.3</w:t>
            </w:r>
          </w:p>
        </w:tc>
        <w:tc>
          <w:tcPr>
            <w:tcW w:w="1637" w:type="dxa"/>
            <w:tcBorders>
              <w:top w:val="nil"/>
              <w:left w:val="single" w:color="auto" w:sz="4" w:space="0"/>
              <w:bottom w:val="nil"/>
            </w:tcBorders>
            <w:vAlign w:val="center"/>
          </w:tcPr>
          <w:p w14:paraId="164C716F">
            <w:pPr>
              <w:pStyle w:val="24"/>
              <w:shd w:val="clear" w:color="auto" w:fill="auto"/>
              <w:topLinePunct/>
              <w:adjustRightInd w:val="0"/>
              <w:snapToGrid w:val="0"/>
              <w:spacing w:before="54" w:beforeLines="15" w:line="360" w:lineRule="auto"/>
              <w:ind w:firstLine="0"/>
              <w:jc w:val="center"/>
              <w:rPr>
                <w:rFonts w:eastAsia="宋体"/>
                <w:b w:val="0"/>
                <w:snapToGrid w:val="0"/>
                <w:sz w:val="21"/>
              </w:rPr>
            </w:pPr>
            <w:r>
              <w:rPr>
                <w:rStyle w:val="32"/>
                <w:rFonts w:eastAsia="宋体"/>
                <w:b w:val="0"/>
                <w:bCs/>
                <w:snapToGrid w:val="0"/>
                <w:sz w:val="21"/>
              </w:rPr>
              <w:t>5.79</w:t>
            </w:r>
            <w:r>
              <w:rPr>
                <w:rStyle w:val="32"/>
                <w:rFonts w:eastAsia="宋体"/>
                <w:b w:val="0"/>
                <w:bCs/>
                <w:snapToGrid w:val="0"/>
                <w:sz w:val="21"/>
                <w:lang w:eastAsia="zh-CN"/>
              </w:rPr>
              <w:t>±</w:t>
            </w:r>
            <w:r>
              <w:rPr>
                <w:rStyle w:val="32"/>
                <w:rFonts w:eastAsia="宋体"/>
                <w:b w:val="0"/>
                <w:bCs/>
                <w:snapToGrid w:val="0"/>
                <w:sz w:val="21"/>
              </w:rPr>
              <w:t>0.24</w:t>
            </w:r>
          </w:p>
        </w:tc>
      </w:tr>
      <w:tr w14:paraId="47F45BD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6C0F2992">
            <w:pPr>
              <w:topLinePunct/>
              <w:adjustRightInd w:val="0"/>
              <w:snapToGrid w:val="0"/>
              <w:spacing w:before="36" w:beforeLines="10" w:line="360" w:lineRule="auto"/>
              <w:jc w:val="center"/>
              <w:rPr>
                <w:rFonts w:ascii="Arial" w:hAnsi="Arial" w:eastAsia="宋体" w:cs="Arial"/>
                <w:snapToGrid w:val="0"/>
                <w:sz w:val="21"/>
                <w:szCs w:val="10"/>
              </w:rPr>
            </w:pPr>
          </w:p>
        </w:tc>
        <w:tc>
          <w:tcPr>
            <w:tcW w:w="763" w:type="dxa"/>
            <w:tcBorders>
              <w:top w:val="nil"/>
              <w:left w:val="nil"/>
              <w:bottom w:val="nil"/>
              <w:right w:val="single" w:color="auto" w:sz="4" w:space="0"/>
            </w:tcBorders>
            <w:vAlign w:val="center"/>
          </w:tcPr>
          <w:p w14:paraId="1BFB8A83">
            <w:pPr>
              <w:topLinePunct/>
              <w:adjustRightInd w:val="0"/>
              <w:snapToGrid w:val="0"/>
              <w:spacing w:before="36" w:beforeLines="10" w:line="360" w:lineRule="auto"/>
              <w:jc w:val="center"/>
              <w:rPr>
                <w:rFonts w:ascii="Arial" w:hAnsi="Arial" w:eastAsia="宋体" w:cs="Arial"/>
                <w:snapToGrid w:val="0"/>
                <w:sz w:val="21"/>
                <w:szCs w:val="10"/>
              </w:rPr>
            </w:pPr>
          </w:p>
        </w:tc>
        <w:tc>
          <w:tcPr>
            <w:tcW w:w="1363" w:type="dxa"/>
            <w:tcBorders>
              <w:top w:val="nil"/>
              <w:left w:val="single" w:color="auto" w:sz="4" w:space="0"/>
              <w:bottom w:val="nil"/>
              <w:right w:val="single" w:color="auto" w:sz="4" w:space="0"/>
            </w:tcBorders>
            <w:vAlign w:val="center"/>
          </w:tcPr>
          <w:p w14:paraId="5FC7B913">
            <w:pPr>
              <w:topLinePunct/>
              <w:adjustRightInd w:val="0"/>
              <w:snapToGrid w:val="0"/>
              <w:spacing w:before="36" w:beforeLines="10" w:line="360" w:lineRule="auto"/>
              <w:jc w:val="center"/>
              <w:rPr>
                <w:rFonts w:ascii="Arial" w:hAnsi="Arial" w:eastAsia="宋体" w:cs="Arial"/>
                <w:snapToGrid w:val="0"/>
                <w:sz w:val="21"/>
                <w:szCs w:val="10"/>
              </w:rPr>
            </w:pPr>
          </w:p>
        </w:tc>
        <w:tc>
          <w:tcPr>
            <w:tcW w:w="1512" w:type="dxa"/>
            <w:tcBorders>
              <w:top w:val="nil"/>
              <w:left w:val="single" w:color="auto" w:sz="4" w:space="0"/>
              <w:bottom w:val="nil"/>
              <w:right w:val="single" w:color="auto" w:sz="4" w:space="0"/>
            </w:tcBorders>
            <w:vAlign w:val="center"/>
          </w:tcPr>
          <w:p w14:paraId="0D21E40A">
            <w:pPr>
              <w:topLinePunct/>
              <w:adjustRightInd w:val="0"/>
              <w:snapToGrid w:val="0"/>
              <w:spacing w:before="36" w:beforeLines="10" w:line="360" w:lineRule="auto"/>
              <w:jc w:val="center"/>
              <w:rPr>
                <w:rFonts w:ascii="Arial" w:hAnsi="Arial" w:eastAsia="宋体" w:cs="Arial"/>
                <w:snapToGrid w:val="0"/>
                <w:sz w:val="21"/>
                <w:szCs w:val="10"/>
              </w:rPr>
            </w:pPr>
          </w:p>
        </w:tc>
        <w:tc>
          <w:tcPr>
            <w:tcW w:w="1594" w:type="dxa"/>
            <w:tcBorders>
              <w:top w:val="nil"/>
              <w:left w:val="single" w:color="auto" w:sz="4" w:space="0"/>
              <w:bottom w:val="nil"/>
              <w:right w:val="single" w:color="auto" w:sz="4" w:space="0"/>
            </w:tcBorders>
            <w:vAlign w:val="center"/>
          </w:tcPr>
          <w:p w14:paraId="4D938DC6">
            <w:pPr>
              <w:topLinePunct/>
              <w:adjustRightInd w:val="0"/>
              <w:snapToGrid w:val="0"/>
              <w:spacing w:before="36" w:beforeLines="10" w:line="360" w:lineRule="auto"/>
              <w:jc w:val="center"/>
              <w:rPr>
                <w:rFonts w:ascii="Arial" w:hAnsi="Arial" w:eastAsia="宋体" w:cs="Arial"/>
                <w:snapToGrid w:val="0"/>
                <w:sz w:val="21"/>
                <w:szCs w:val="10"/>
              </w:rPr>
            </w:pPr>
          </w:p>
        </w:tc>
        <w:tc>
          <w:tcPr>
            <w:tcW w:w="1637" w:type="dxa"/>
            <w:tcBorders>
              <w:top w:val="nil"/>
              <w:left w:val="single" w:color="auto" w:sz="4" w:space="0"/>
              <w:bottom w:val="nil"/>
            </w:tcBorders>
            <w:vAlign w:val="center"/>
          </w:tcPr>
          <w:p w14:paraId="47D62C6B">
            <w:pPr>
              <w:topLinePunct/>
              <w:adjustRightInd w:val="0"/>
              <w:snapToGrid w:val="0"/>
              <w:spacing w:before="36" w:beforeLines="10" w:line="360" w:lineRule="auto"/>
              <w:jc w:val="center"/>
              <w:rPr>
                <w:rFonts w:ascii="Arial" w:hAnsi="Arial" w:eastAsia="宋体" w:cs="Arial"/>
                <w:snapToGrid w:val="0"/>
                <w:sz w:val="21"/>
                <w:szCs w:val="10"/>
              </w:rPr>
            </w:pPr>
          </w:p>
        </w:tc>
      </w:tr>
    </w:tbl>
    <w:p w14:paraId="54FF08B1">
      <w:pPr>
        <w:pStyle w:val="34"/>
        <w:shd w:val="clear" w:color="auto" w:fill="auto"/>
        <w:topLinePunct/>
        <w:adjustRightInd w:val="0"/>
        <w:snapToGrid w:val="0"/>
        <w:spacing w:after="270" w:afterLines="75" w:line="360" w:lineRule="auto"/>
        <w:jc w:val="both"/>
        <w:rPr>
          <w:rFonts w:eastAsia="宋体"/>
          <w:snapToGrid w:val="0"/>
          <w:sz w:val="24"/>
          <w:lang w:eastAsia="zh-CN"/>
        </w:rPr>
      </w:pPr>
    </w:p>
    <w:p w14:paraId="5CB1A2E5">
      <w:pPr>
        <w:rPr>
          <w:rStyle w:val="35"/>
          <w:rFonts w:eastAsia="宋体"/>
          <w:snapToGrid w:val="0"/>
          <w:sz w:val="24"/>
          <w:lang w:eastAsia="zh-CN"/>
        </w:rPr>
      </w:pPr>
      <w:r>
        <w:rPr>
          <w:rStyle w:val="35"/>
          <w:rFonts w:eastAsia="宋体"/>
          <w:b w:val="0"/>
          <w:bCs w:val="0"/>
          <w:snapToGrid w:val="0"/>
          <w:sz w:val="24"/>
          <w:lang w:eastAsia="zh-CN"/>
        </w:rPr>
        <w:br w:type="page"/>
      </w:r>
    </w:p>
    <w:p w14:paraId="2178F195">
      <w:pPr>
        <w:pStyle w:val="17"/>
        <w:shd w:val="clear" w:color="auto" w:fill="auto"/>
        <w:topLinePunct/>
        <w:adjustRightInd w:val="0"/>
        <w:snapToGrid w:val="0"/>
        <w:spacing w:after="270" w:afterLines="75" w:line="360" w:lineRule="auto"/>
        <w:jc w:val="center"/>
        <w:rPr>
          <w:rFonts w:ascii="Arial" w:hAnsi="Arial" w:eastAsia="宋体" w:cs="Arial"/>
          <w:b w:val="0"/>
          <w:snapToGrid w:val="0"/>
          <w:spacing w:val="0"/>
          <w:sz w:val="24"/>
          <w:lang w:eastAsia="zh-CN"/>
        </w:rPr>
      </w:pPr>
      <w:r>
        <w:rPr>
          <w:rStyle w:val="35"/>
          <w:rFonts w:hint="eastAsia" w:eastAsia="宋体"/>
          <w:b w:val="0"/>
          <w:bCs/>
          <w:snapToGrid w:val="0"/>
          <w:sz w:val="24"/>
          <w:lang w:eastAsia="zh-CN"/>
        </w:rPr>
        <w:t>表</w:t>
      </w:r>
      <w:r>
        <w:fldChar w:fldCharType="begin"/>
      </w:r>
      <w:r>
        <w:rPr>
          <w:rFonts w:ascii="Arial" w:hAnsi="Arial" w:eastAsia="宋体" w:cs="Arial"/>
          <w:b w:val="0"/>
          <w:snapToGrid w:val="0"/>
          <w:spacing w:val="0"/>
          <w:sz w:val="24"/>
          <w:lang w:eastAsia="zh-CN"/>
        </w:rPr>
        <w:instrText xml:space="preserve"> PAGE \* MERGEFORMAT </w:instrText>
      </w:r>
      <w:r>
        <w:fldChar w:fldCharType="separate"/>
      </w:r>
      <w:r>
        <w:rPr>
          <w:rStyle w:val="35"/>
          <w:rFonts w:eastAsia="宋体"/>
          <w:b w:val="0"/>
          <w:bCs/>
          <w:snapToGrid w:val="0"/>
          <w:sz w:val="24"/>
          <w:lang w:eastAsia="zh-CN"/>
        </w:rPr>
        <w:t>III</w:t>
      </w:r>
      <w:r>
        <w:rPr>
          <w:rStyle w:val="35"/>
          <w:rFonts w:eastAsia="宋体"/>
          <w:b w:val="0"/>
          <w:bCs/>
          <w:snapToGrid w:val="0"/>
          <w:sz w:val="24"/>
        </w:rPr>
        <w:fldChar w:fldCharType="end"/>
      </w:r>
      <w:r>
        <w:rPr>
          <w:rStyle w:val="35"/>
          <w:rFonts w:eastAsia="宋体"/>
          <w:b w:val="0"/>
          <w:bCs/>
          <w:snapToGrid w:val="0"/>
          <w:sz w:val="24"/>
          <w:lang w:eastAsia="zh-CN"/>
        </w:rPr>
        <w:t>.</w:t>
      </w:r>
    </w:p>
    <w:p w14:paraId="680F0C1F">
      <w:pPr>
        <w:pStyle w:val="34"/>
        <w:shd w:val="clear" w:color="auto" w:fill="auto"/>
        <w:topLinePunct/>
        <w:adjustRightInd w:val="0"/>
        <w:snapToGrid w:val="0"/>
        <w:spacing w:after="270" w:afterLines="75" w:line="360" w:lineRule="auto"/>
        <w:jc w:val="center"/>
        <w:rPr>
          <w:rFonts w:eastAsia="宋体"/>
          <w:b w:val="0"/>
          <w:snapToGrid w:val="0"/>
          <w:sz w:val="24"/>
          <w:lang w:eastAsia="zh-CN"/>
        </w:rPr>
      </w:pPr>
      <w:r>
        <w:rPr>
          <w:rFonts w:hint="eastAsia" w:eastAsia="宋体"/>
          <w:b w:val="0"/>
          <w:snapToGrid w:val="0"/>
          <w:sz w:val="24"/>
          <w:lang w:eastAsia="zh-CN"/>
        </w:rPr>
        <w:t>用于填充液</w:t>
      </w:r>
      <w:r>
        <w:rPr>
          <w:rFonts w:eastAsia="宋体"/>
          <w:b w:val="0"/>
          <w:snapToGrid w:val="0"/>
          <w:sz w:val="24"/>
          <w:lang w:eastAsia="zh-CN"/>
        </w:rPr>
        <w:t>（45%</w:t>
      </w:r>
      <w:r>
        <w:rPr>
          <w:rFonts w:hint="eastAsia" w:eastAsia="宋体"/>
          <w:b w:val="0"/>
          <w:snapToGrid w:val="0"/>
          <w:sz w:val="24"/>
          <w:lang w:eastAsia="zh-CN"/>
        </w:rPr>
        <w:t>甘油与盐水混合溶液</w:t>
      </w:r>
      <w:r>
        <w:rPr>
          <w:rFonts w:eastAsia="宋体"/>
          <w:b w:val="0"/>
          <w:snapToGrid w:val="0"/>
          <w:sz w:val="24"/>
          <w:lang w:eastAsia="zh-CN"/>
        </w:rPr>
        <w:t>）</w:t>
      </w:r>
      <w:r>
        <w:rPr>
          <w:rFonts w:hint="eastAsia" w:eastAsia="宋体"/>
          <w:b w:val="0"/>
          <w:snapToGrid w:val="0"/>
          <w:sz w:val="24"/>
          <w:lang w:eastAsia="zh-CN"/>
        </w:rPr>
        <w:t>的针座压力（</w:t>
      </w:r>
      <w:r>
        <w:rPr>
          <w:rFonts w:eastAsia="宋体"/>
          <w:b w:val="0"/>
          <w:snapToGrid w:val="0"/>
          <w:sz w:val="24"/>
          <w:lang w:eastAsia="zh-CN"/>
        </w:rPr>
        <w:t>PSI</w:t>
      </w:r>
      <w:r>
        <w:rPr>
          <w:rFonts w:hint="eastAsia" w:eastAsia="宋体"/>
          <w:b w:val="0"/>
          <w:snapToGrid w:val="0"/>
          <w:sz w:val="24"/>
          <w:lang w:eastAsia="zh-CN"/>
        </w:rPr>
        <w:t>）</w:t>
      </w:r>
    </w:p>
    <w:tbl>
      <w:tblPr>
        <w:tblStyle w:val="9"/>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63"/>
        <w:gridCol w:w="1363"/>
        <w:gridCol w:w="1512"/>
      </w:tblGrid>
      <w:tr w14:paraId="47BEAE5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tcBorders>
              <w:right w:val="nil"/>
            </w:tcBorders>
            <w:textDirection w:val="btLr"/>
            <w:vAlign w:val="center"/>
          </w:tcPr>
          <w:p w14:paraId="4FB8DF11">
            <w:pPr>
              <w:pStyle w:val="34"/>
              <w:shd w:val="clear" w:color="auto" w:fill="auto"/>
              <w:topLinePunct/>
              <w:adjustRightInd w:val="0"/>
              <w:snapToGrid w:val="0"/>
              <w:spacing w:before="36" w:beforeLines="10" w:line="360" w:lineRule="auto"/>
              <w:ind w:left="113" w:right="113"/>
              <w:jc w:val="center"/>
              <w:rPr>
                <w:rFonts w:eastAsia="宋体"/>
                <w:b w:val="0"/>
                <w:snapToGrid w:val="0"/>
                <w:sz w:val="21"/>
                <w:szCs w:val="10"/>
                <w:lang w:eastAsia="zh-CN"/>
              </w:rPr>
            </w:pPr>
            <w:r>
              <w:rPr>
                <w:rFonts w:hint="eastAsia" w:eastAsia="宋体"/>
                <w:b w:val="0"/>
                <w:snapToGrid w:val="0"/>
                <w:sz w:val="24"/>
                <w:lang w:eastAsia="zh-CN"/>
              </w:rPr>
              <w:t>流速</w:t>
            </w:r>
            <w:r>
              <w:rPr>
                <w:rFonts w:eastAsia="宋体"/>
                <w:b w:val="0"/>
                <w:snapToGrid w:val="0"/>
                <w:sz w:val="24"/>
              </w:rPr>
              <w:t>（</w:t>
            </w:r>
            <w:r>
              <w:rPr>
                <w:rFonts w:hint="eastAsia" w:eastAsia="宋体"/>
                <w:b w:val="0"/>
                <w:snapToGrid w:val="0"/>
                <w:sz w:val="24"/>
                <w:lang w:eastAsia="zh-CN"/>
              </w:rPr>
              <w:t>毫升</w:t>
            </w:r>
            <w:r>
              <w:rPr>
                <w:rFonts w:eastAsia="宋体"/>
                <w:b w:val="0"/>
                <w:snapToGrid w:val="0"/>
                <w:sz w:val="24"/>
              </w:rPr>
              <w:t>／</w:t>
            </w:r>
            <w:r>
              <w:rPr>
                <w:rFonts w:hint="eastAsia" w:eastAsia="宋体"/>
                <w:b w:val="0"/>
                <w:snapToGrid w:val="0"/>
                <w:sz w:val="24"/>
                <w:lang w:eastAsia="zh-CN"/>
              </w:rPr>
              <w:t>分钟</w:t>
            </w:r>
            <w:r>
              <w:rPr>
                <w:rFonts w:eastAsia="宋体"/>
                <w:b w:val="0"/>
                <w:snapToGrid w:val="0"/>
                <w:sz w:val="24"/>
              </w:rPr>
              <w:t>）</w:t>
            </w:r>
          </w:p>
        </w:tc>
        <w:tc>
          <w:tcPr>
            <w:tcW w:w="763" w:type="dxa"/>
            <w:tcBorders>
              <w:top w:val="nil"/>
              <w:left w:val="nil"/>
              <w:bottom w:val="nil"/>
            </w:tcBorders>
            <w:vAlign w:val="center"/>
          </w:tcPr>
          <w:p w14:paraId="7C7A930B">
            <w:pPr>
              <w:topLinePunct/>
              <w:adjustRightInd w:val="0"/>
              <w:snapToGrid w:val="0"/>
              <w:spacing w:before="36" w:beforeLines="10" w:line="360" w:lineRule="auto"/>
              <w:jc w:val="center"/>
              <w:rPr>
                <w:rFonts w:ascii="Arial" w:hAnsi="Arial" w:eastAsia="宋体" w:cs="Arial"/>
                <w:snapToGrid w:val="0"/>
                <w:sz w:val="21"/>
                <w:szCs w:val="10"/>
                <w:lang w:eastAsia="zh-CN"/>
              </w:rPr>
            </w:pPr>
          </w:p>
        </w:tc>
        <w:tc>
          <w:tcPr>
            <w:tcW w:w="2875" w:type="dxa"/>
            <w:gridSpan w:val="2"/>
            <w:tcBorders>
              <w:top w:val="nil"/>
              <w:bottom w:val="nil"/>
            </w:tcBorders>
            <w:vAlign w:val="center"/>
          </w:tcPr>
          <w:p w14:paraId="1D396AD1">
            <w:pPr>
              <w:pStyle w:val="24"/>
              <w:shd w:val="clear" w:color="auto" w:fill="auto"/>
              <w:topLinePunct/>
              <w:adjustRightInd w:val="0"/>
              <w:snapToGrid w:val="0"/>
              <w:spacing w:before="54" w:beforeLines="15" w:line="360" w:lineRule="auto"/>
              <w:ind w:firstLine="0"/>
              <w:jc w:val="center"/>
              <w:rPr>
                <w:rFonts w:eastAsia="宋体"/>
                <w:snapToGrid w:val="0"/>
                <w:sz w:val="21"/>
                <w:lang w:eastAsia="zh-CN"/>
              </w:rPr>
            </w:pPr>
            <w:r>
              <w:rPr>
                <w:rStyle w:val="32"/>
                <w:rFonts w:hint="eastAsia" w:eastAsia="宋体"/>
                <w:b w:val="0"/>
                <w:bCs/>
                <w:snapToGrid w:val="0"/>
                <w:sz w:val="21"/>
                <w:lang w:eastAsia="zh-CN"/>
              </w:rPr>
              <w:t>导管尺寸</w:t>
            </w:r>
          </w:p>
        </w:tc>
      </w:tr>
      <w:tr w14:paraId="0B940FF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textDirection w:val="btLr"/>
            <w:vAlign w:val="center"/>
          </w:tcPr>
          <w:p w14:paraId="4EC3D977">
            <w:pPr>
              <w:pStyle w:val="34"/>
              <w:shd w:val="clear" w:color="auto" w:fill="auto"/>
              <w:topLinePunct/>
              <w:adjustRightInd w:val="0"/>
              <w:snapToGrid w:val="0"/>
              <w:spacing w:before="36" w:beforeLines="10" w:line="360" w:lineRule="auto"/>
              <w:ind w:left="113" w:right="113"/>
              <w:jc w:val="center"/>
              <w:rPr>
                <w:rFonts w:eastAsia="宋体"/>
                <w:b w:val="0"/>
                <w:snapToGrid w:val="0"/>
                <w:sz w:val="24"/>
                <w:lang w:eastAsia="zh-CN"/>
              </w:rPr>
            </w:pPr>
          </w:p>
        </w:tc>
        <w:tc>
          <w:tcPr>
            <w:tcW w:w="763" w:type="dxa"/>
            <w:tcBorders>
              <w:top w:val="nil"/>
              <w:left w:val="nil"/>
              <w:bottom w:val="single" w:color="auto" w:sz="4" w:space="0"/>
            </w:tcBorders>
            <w:vAlign w:val="center"/>
          </w:tcPr>
          <w:p w14:paraId="268771F5">
            <w:pPr>
              <w:topLinePunct/>
              <w:adjustRightInd w:val="0"/>
              <w:snapToGrid w:val="0"/>
              <w:spacing w:before="36" w:beforeLines="10" w:line="360" w:lineRule="auto"/>
              <w:jc w:val="center"/>
              <w:rPr>
                <w:rFonts w:ascii="Arial" w:hAnsi="Arial" w:eastAsia="宋体" w:cs="Arial"/>
                <w:snapToGrid w:val="0"/>
                <w:sz w:val="21"/>
                <w:szCs w:val="10"/>
                <w:lang w:eastAsia="zh-CN"/>
              </w:rPr>
            </w:pPr>
          </w:p>
        </w:tc>
        <w:tc>
          <w:tcPr>
            <w:tcW w:w="1363" w:type="dxa"/>
            <w:tcBorders>
              <w:top w:val="nil"/>
              <w:bottom w:val="single" w:color="auto" w:sz="4" w:space="0"/>
              <w:right w:val="nil"/>
            </w:tcBorders>
            <w:vAlign w:val="center"/>
          </w:tcPr>
          <w:p w14:paraId="0C708016">
            <w:pPr>
              <w:pStyle w:val="24"/>
              <w:shd w:val="clear" w:color="auto" w:fill="auto"/>
              <w:topLinePunct/>
              <w:adjustRightInd w:val="0"/>
              <w:snapToGrid w:val="0"/>
              <w:spacing w:before="54" w:beforeLines="15" w:line="360" w:lineRule="auto"/>
              <w:ind w:firstLine="0"/>
              <w:jc w:val="center"/>
              <w:rPr>
                <w:rStyle w:val="32"/>
                <w:rFonts w:eastAsia="宋体"/>
                <w:b w:val="0"/>
                <w:bCs/>
                <w:snapToGrid w:val="0"/>
                <w:sz w:val="21"/>
                <w:lang w:eastAsia="zh-CN"/>
              </w:rPr>
            </w:pPr>
            <w:r>
              <w:rPr>
                <w:rStyle w:val="32"/>
                <w:rFonts w:eastAsia="宋体"/>
                <w:b w:val="0"/>
                <w:bCs/>
                <w:snapToGrid w:val="0"/>
                <w:sz w:val="21"/>
              </w:rPr>
              <w:t>1.0mm</w:t>
            </w:r>
            <w:r>
              <w:rPr>
                <w:rStyle w:val="32"/>
                <w:rFonts w:hint="eastAsia" w:eastAsia="宋体"/>
                <w:b w:val="0"/>
                <w:bCs/>
                <w:snapToGrid w:val="0"/>
                <w:sz w:val="21"/>
                <w:lang w:eastAsia="zh-CN"/>
              </w:rPr>
              <w:t>内径</w:t>
            </w:r>
          </w:p>
        </w:tc>
        <w:tc>
          <w:tcPr>
            <w:tcW w:w="1512" w:type="dxa"/>
            <w:tcBorders>
              <w:top w:val="nil"/>
              <w:left w:val="nil"/>
              <w:bottom w:val="single" w:color="auto" w:sz="4" w:space="0"/>
            </w:tcBorders>
            <w:vAlign w:val="center"/>
          </w:tcPr>
          <w:p w14:paraId="04206910">
            <w:pPr>
              <w:pStyle w:val="24"/>
              <w:shd w:val="clear" w:color="auto" w:fill="auto"/>
              <w:topLinePunct/>
              <w:adjustRightInd w:val="0"/>
              <w:snapToGrid w:val="0"/>
              <w:spacing w:before="54" w:beforeLines="15" w:line="360" w:lineRule="auto"/>
              <w:ind w:firstLine="0"/>
              <w:jc w:val="center"/>
              <w:rPr>
                <w:rStyle w:val="32"/>
                <w:rFonts w:eastAsia="宋体"/>
                <w:b w:val="0"/>
                <w:bCs/>
                <w:snapToGrid w:val="0"/>
                <w:sz w:val="21"/>
              </w:rPr>
            </w:pPr>
            <w:r>
              <w:rPr>
                <w:rStyle w:val="32"/>
                <w:rFonts w:eastAsia="宋体"/>
                <w:b w:val="0"/>
                <w:bCs/>
                <w:snapToGrid w:val="0"/>
                <w:sz w:val="21"/>
              </w:rPr>
              <w:t>1.5mm</w:t>
            </w:r>
            <w:r>
              <w:rPr>
                <w:rStyle w:val="32"/>
                <w:rFonts w:hint="eastAsia" w:eastAsia="宋体"/>
                <w:b w:val="0"/>
                <w:bCs/>
                <w:snapToGrid w:val="0"/>
                <w:sz w:val="21"/>
                <w:lang w:eastAsia="zh-CN"/>
              </w:rPr>
              <w:t>内径</w:t>
            </w:r>
          </w:p>
        </w:tc>
      </w:tr>
      <w:tr w14:paraId="37A5665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712AC8BD">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single" w:color="auto" w:sz="4" w:space="0"/>
              <w:left w:val="nil"/>
              <w:bottom w:val="nil"/>
              <w:right w:val="single" w:color="auto" w:sz="4" w:space="0"/>
            </w:tcBorders>
            <w:vAlign w:val="center"/>
          </w:tcPr>
          <w:p w14:paraId="3B79DB87">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w:t>
            </w:r>
          </w:p>
        </w:tc>
        <w:tc>
          <w:tcPr>
            <w:tcW w:w="1363" w:type="dxa"/>
            <w:tcBorders>
              <w:top w:val="single" w:color="auto" w:sz="4" w:space="0"/>
              <w:left w:val="single" w:color="auto" w:sz="4" w:space="0"/>
              <w:bottom w:val="nil"/>
              <w:right w:val="nil"/>
            </w:tcBorders>
          </w:tcPr>
          <w:p w14:paraId="55E2FAF4">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Fonts w:eastAsia="宋体"/>
                <w:b w:val="0"/>
                <w:snapToGrid w:val="0"/>
                <w:sz w:val="21"/>
              </w:rPr>
              <w:t>3.1</w:t>
            </w:r>
          </w:p>
        </w:tc>
        <w:tc>
          <w:tcPr>
            <w:tcW w:w="1512" w:type="dxa"/>
            <w:tcBorders>
              <w:top w:val="single" w:color="auto" w:sz="4" w:space="0"/>
              <w:left w:val="nil"/>
              <w:bottom w:val="nil"/>
              <w:right w:val="nil"/>
            </w:tcBorders>
          </w:tcPr>
          <w:p w14:paraId="1B0D1758">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Fonts w:eastAsia="宋体"/>
                <w:b w:val="0"/>
                <w:snapToGrid w:val="0"/>
                <w:sz w:val="21"/>
              </w:rPr>
              <w:t>2.1</w:t>
            </w:r>
          </w:p>
        </w:tc>
      </w:tr>
      <w:tr w14:paraId="6AB792A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24557C46">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nil"/>
              <w:left w:val="nil"/>
              <w:bottom w:val="nil"/>
              <w:right w:val="single" w:color="auto" w:sz="4" w:space="0"/>
            </w:tcBorders>
            <w:vAlign w:val="center"/>
          </w:tcPr>
          <w:p w14:paraId="2D14D1E0">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25</w:t>
            </w:r>
          </w:p>
        </w:tc>
        <w:tc>
          <w:tcPr>
            <w:tcW w:w="1363" w:type="dxa"/>
            <w:tcBorders>
              <w:top w:val="nil"/>
              <w:left w:val="single" w:color="auto" w:sz="4" w:space="0"/>
              <w:bottom w:val="nil"/>
              <w:right w:val="nil"/>
            </w:tcBorders>
          </w:tcPr>
          <w:p w14:paraId="1F3431E6">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Fonts w:eastAsia="宋体"/>
                <w:b w:val="0"/>
                <w:snapToGrid w:val="0"/>
                <w:sz w:val="21"/>
              </w:rPr>
              <w:t>17.0</w:t>
            </w:r>
          </w:p>
        </w:tc>
        <w:tc>
          <w:tcPr>
            <w:tcW w:w="1512" w:type="dxa"/>
            <w:tcBorders>
              <w:top w:val="nil"/>
              <w:left w:val="nil"/>
              <w:bottom w:val="nil"/>
              <w:right w:val="nil"/>
            </w:tcBorders>
          </w:tcPr>
          <w:p w14:paraId="46EC66F8">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Fonts w:eastAsia="宋体"/>
                <w:b w:val="0"/>
                <w:snapToGrid w:val="0"/>
                <w:sz w:val="21"/>
              </w:rPr>
              <w:t>12.2</w:t>
            </w:r>
          </w:p>
        </w:tc>
      </w:tr>
      <w:tr w14:paraId="2B998C3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4765CACA">
            <w:pPr>
              <w:pStyle w:val="24"/>
              <w:shd w:val="clear" w:color="auto" w:fill="auto"/>
              <w:topLinePunct/>
              <w:adjustRightInd w:val="0"/>
              <w:snapToGrid w:val="0"/>
              <w:spacing w:before="36" w:beforeLines="10" w:line="360" w:lineRule="auto"/>
              <w:ind w:firstLine="0"/>
              <w:jc w:val="center"/>
              <w:rPr>
                <w:rFonts w:eastAsia="宋体"/>
                <w:b w:val="0"/>
                <w:snapToGrid w:val="0"/>
                <w:sz w:val="21"/>
              </w:rPr>
            </w:pPr>
          </w:p>
        </w:tc>
        <w:tc>
          <w:tcPr>
            <w:tcW w:w="763" w:type="dxa"/>
            <w:tcBorders>
              <w:top w:val="nil"/>
              <w:left w:val="nil"/>
              <w:bottom w:val="nil"/>
              <w:right w:val="single" w:color="auto" w:sz="4" w:space="0"/>
            </w:tcBorders>
            <w:vAlign w:val="center"/>
          </w:tcPr>
          <w:p w14:paraId="6CAAAEA3">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50</w:t>
            </w:r>
          </w:p>
        </w:tc>
        <w:tc>
          <w:tcPr>
            <w:tcW w:w="1363" w:type="dxa"/>
            <w:tcBorders>
              <w:top w:val="nil"/>
              <w:left w:val="single" w:color="auto" w:sz="4" w:space="0"/>
              <w:bottom w:val="nil"/>
              <w:right w:val="nil"/>
            </w:tcBorders>
          </w:tcPr>
          <w:p w14:paraId="7FE2454D">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Fonts w:eastAsia="宋体"/>
                <w:b w:val="0"/>
                <w:snapToGrid w:val="0"/>
                <w:sz w:val="21"/>
              </w:rPr>
              <w:t>36.0</w:t>
            </w:r>
          </w:p>
        </w:tc>
        <w:tc>
          <w:tcPr>
            <w:tcW w:w="1512" w:type="dxa"/>
            <w:tcBorders>
              <w:top w:val="nil"/>
              <w:left w:val="nil"/>
              <w:bottom w:val="nil"/>
              <w:right w:val="nil"/>
            </w:tcBorders>
          </w:tcPr>
          <w:p w14:paraId="778C6AD2">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Fonts w:eastAsia="宋体"/>
                <w:b w:val="0"/>
                <w:snapToGrid w:val="0"/>
                <w:sz w:val="21"/>
              </w:rPr>
              <w:t>33.9</w:t>
            </w:r>
          </w:p>
        </w:tc>
      </w:tr>
      <w:tr w14:paraId="11D26E1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6EF8F195">
            <w:pPr>
              <w:topLinePunct/>
              <w:adjustRightInd w:val="0"/>
              <w:snapToGrid w:val="0"/>
              <w:spacing w:before="36" w:beforeLines="10" w:line="360" w:lineRule="auto"/>
              <w:jc w:val="center"/>
              <w:rPr>
                <w:rFonts w:ascii="Arial" w:hAnsi="Arial" w:eastAsia="宋体" w:cs="Arial"/>
                <w:snapToGrid w:val="0"/>
                <w:sz w:val="21"/>
                <w:szCs w:val="10"/>
              </w:rPr>
            </w:pPr>
          </w:p>
        </w:tc>
        <w:tc>
          <w:tcPr>
            <w:tcW w:w="763" w:type="dxa"/>
            <w:tcBorders>
              <w:top w:val="nil"/>
              <w:left w:val="nil"/>
              <w:bottom w:val="nil"/>
              <w:right w:val="single" w:color="auto" w:sz="4" w:space="0"/>
            </w:tcBorders>
            <w:vAlign w:val="center"/>
          </w:tcPr>
          <w:p w14:paraId="431E9D7F">
            <w:pPr>
              <w:topLinePunct/>
              <w:adjustRightInd w:val="0"/>
              <w:snapToGrid w:val="0"/>
              <w:spacing w:before="36" w:beforeLines="10" w:line="360" w:lineRule="auto"/>
              <w:jc w:val="center"/>
              <w:rPr>
                <w:rFonts w:ascii="Arial" w:hAnsi="Arial" w:eastAsia="宋体" w:cs="Arial"/>
                <w:snapToGrid w:val="0"/>
                <w:sz w:val="21"/>
                <w:szCs w:val="10"/>
              </w:rPr>
            </w:pPr>
          </w:p>
        </w:tc>
        <w:tc>
          <w:tcPr>
            <w:tcW w:w="1363" w:type="dxa"/>
            <w:tcBorders>
              <w:top w:val="nil"/>
              <w:left w:val="single" w:color="auto" w:sz="4" w:space="0"/>
              <w:bottom w:val="nil"/>
              <w:right w:val="nil"/>
            </w:tcBorders>
            <w:vAlign w:val="center"/>
          </w:tcPr>
          <w:p w14:paraId="444FD26F">
            <w:pPr>
              <w:topLinePunct/>
              <w:adjustRightInd w:val="0"/>
              <w:snapToGrid w:val="0"/>
              <w:spacing w:before="36" w:beforeLines="10" w:line="360" w:lineRule="auto"/>
              <w:jc w:val="center"/>
              <w:rPr>
                <w:rFonts w:ascii="Arial" w:hAnsi="Arial" w:eastAsia="宋体" w:cs="Arial"/>
                <w:snapToGrid w:val="0"/>
                <w:sz w:val="21"/>
                <w:szCs w:val="10"/>
              </w:rPr>
            </w:pPr>
          </w:p>
        </w:tc>
        <w:tc>
          <w:tcPr>
            <w:tcW w:w="1512" w:type="dxa"/>
            <w:tcBorders>
              <w:top w:val="nil"/>
              <w:left w:val="nil"/>
              <w:bottom w:val="nil"/>
              <w:right w:val="nil"/>
            </w:tcBorders>
            <w:vAlign w:val="center"/>
          </w:tcPr>
          <w:p w14:paraId="6A26BBD3">
            <w:pPr>
              <w:topLinePunct/>
              <w:adjustRightInd w:val="0"/>
              <w:snapToGrid w:val="0"/>
              <w:spacing w:before="36" w:beforeLines="10" w:line="360" w:lineRule="auto"/>
              <w:jc w:val="center"/>
              <w:rPr>
                <w:rFonts w:ascii="Arial" w:hAnsi="Arial" w:eastAsia="宋体" w:cs="Arial"/>
                <w:snapToGrid w:val="0"/>
                <w:sz w:val="21"/>
                <w:szCs w:val="10"/>
              </w:rPr>
            </w:pPr>
          </w:p>
        </w:tc>
      </w:tr>
    </w:tbl>
    <w:p w14:paraId="4800995E">
      <w:pPr>
        <w:topLinePunct/>
        <w:adjustRightInd w:val="0"/>
        <w:snapToGrid w:val="0"/>
        <w:spacing w:after="270" w:afterLines="75" w:line="360" w:lineRule="auto"/>
        <w:jc w:val="center"/>
        <w:rPr>
          <w:rStyle w:val="35"/>
          <w:rFonts w:eastAsia="宋体"/>
          <w:b w:val="0"/>
          <w:snapToGrid w:val="0"/>
          <w:sz w:val="24"/>
          <w:lang w:eastAsia="zh-CN"/>
        </w:rPr>
      </w:pPr>
    </w:p>
    <w:p w14:paraId="14D9B0B6">
      <w:pPr>
        <w:rPr>
          <w:rStyle w:val="35"/>
          <w:rFonts w:eastAsia="宋体"/>
          <w:b w:val="0"/>
          <w:snapToGrid w:val="0"/>
          <w:sz w:val="24"/>
          <w:lang w:eastAsia="zh-CN"/>
        </w:rPr>
      </w:pPr>
      <w:r>
        <w:rPr>
          <w:rStyle w:val="35"/>
          <w:rFonts w:eastAsia="宋体"/>
          <w:b w:val="0"/>
          <w:snapToGrid w:val="0"/>
          <w:sz w:val="24"/>
          <w:lang w:eastAsia="zh-CN"/>
        </w:rPr>
        <w:br w:type="page"/>
      </w:r>
    </w:p>
    <w:p w14:paraId="520990F9">
      <w:pPr>
        <w:topLinePunct/>
        <w:adjustRightInd w:val="0"/>
        <w:snapToGrid w:val="0"/>
        <w:spacing w:after="270" w:afterLines="75" w:line="360" w:lineRule="auto"/>
        <w:jc w:val="center"/>
        <w:rPr>
          <w:rFonts w:ascii="Arial" w:hAnsi="Arial" w:eastAsia="宋体" w:cs="Arial"/>
          <w:snapToGrid w:val="0"/>
          <w:szCs w:val="2"/>
        </w:rPr>
      </w:pPr>
      <w:r>
        <w:rPr>
          <w:rStyle w:val="35"/>
          <w:rFonts w:hint="eastAsia" w:eastAsia="宋体"/>
          <w:b w:val="0"/>
          <w:snapToGrid w:val="0"/>
          <w:sz w:val="24"/>
          <w:lang w:eastAsia="zh-CN"/>
        </w:rPr>
        <w:t>表IV.</w:t>
      </w:r>
      <w:r>
        <w:rPr>
          <w:rStyle w:val="35"/>
          <w:rFonts w:eastAsia="宋体"/>
          <w:b w:val="0"/>
          <w:snapToGrid w:val="0"/>
          <w:sz w:val="24"/>
          <w:lang w:eastAsia="zh-CN"/>
        </w:rPr>
        <w:t>.</w:t>
      </w:r>
    </w:p>
    <w:p w14:paraId="7E1572BF">
      <w:pPr>
        <w:pStyle w:val="24"/>
        <w:shd w:val="clear" w:color="auto" w:fill="auto"/>
        <w:topLinePunct/>
        <w:adjustRightInd w:val="0"/>
        <w:snapToGrid w:val="0"/>
        <w:spacing w:after="270" w:afterLines="75" w:line="360" w:lineRule="auto"/>
        <w:ind w:firstLine="0"/>
        <w:jc w:val="center"/>
        <w:rPr>
          <w:rFonts w:eastAsia="宋体"/>
          <w:b w:val="0"/>
          <w:snapToGrid w:val="0"/>
          <w:sz w:val="24"/>
          <w:lang w:eastAsia="zh-CN"/>
        </w:rPr>
      </w:pPr>
      <w:r>
        <w:rPr>
          <w:rFonts w:hint="eastAsia" w:eastAsia="宋体"/>
          <w:b w:val="0"/>
          <w:snapToGrid w:val="0"/>
          <w:sz w:val="24"/>
          <w:lang w:eastAsia="zh-CN"/>
        </w:rPr>
        <w:t>用于冲洗液</w:t>
      </w:r>
      <w:r>
        <w:rPr>
          <w:rFonts w:eastAsia="宋体"/>
          <w:b w:val="0"/>
          <w:snapToGrid w:val="0"/>
          <w:sz w:val="24"/>
          <w:lang w:eastAsia="zh-CN"/>
        </w:rPr>
        <w:t>（0.9%</w:t>
      </w:r>
      <w:r>
        <w:rPr>
          <w:rFonts w:hint="eastAsia" w:eastAsia="宋体"/>
          <w:b w:val="0"/>
          <w:snapToGrid w:val="0"/>
          <w:sz w:val="24"/>
          <w:lang w:eastAsia="zh-CN"/>
        </w:rPr>
        <w:t>生理盐水</w:t>
      </w:r>
      <w:r>
        <w:rPr>
          <w:rFonts w:eastAsia="宋体"/>
          <w:b w:val="0"/>
          <w:snapToGrid w:val="0"/>
          <w:sz w:val="24"/>
          <w:lang w:eastAsia="zh-CN"/>
        </w:rPr>
        <w:t>）</w:t>
      </w:r>
      <w:r>
        <w:rPr>
          <w:rFonts w:hint="eastAsia" w:eastAsia="宋体"/>
          <w:b w:val="0"/>
          <w:snapToGrid w:val="0"/>
          <w:sz w:val="24"/>
          <w:lang w:eastAsia="zh-CN"/>
        </w:rPr>
        <w:t>的针座压力（</w:t>
      </w:r>
      <w:r>
        <w:rPr>
          <w:rFonts w:eastAsia="宋体"/>
          <w:b w:val="0"/>
          <w:snapToGrid w:val="0"/>
          <w:sz w:val="24"/>
          <w:lang w:eastAsia="zh-CN"/>
        </w:rPr>
        <w:t>PSI</w:t>
      </w:r>
      <w:r>
        <w:rPr>
          <w:rFonts w:hint="eastAsia" w:eastAsia="宋体"/>
          <w:b w:val="0"/>
          <w:snapToGrid w:val="0"/>
          <w:sz w:val="24"/>
          <w:lang w:eastAsia="zh-CN"/>
        </w:rPr>
        <w:t>）</w:t>
      </w:r>
    </w:p>
    <w:tbl>
      <w:tblPr>
        <w:tblStyle w:val="9"/>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63"/>
        <w:gridCol w:w="1363"/>
        <w:gridCol w:w="1512"/>
      </w:tblGrid>
      <w:tr w14:paraId="3ECA0B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tcBorders>
              <w:right w:val="nil"/>
            </w:tcBorders>
            <w:textDirection w:val="btLr"/>
            <w:vAlign w:val="center"/>
          </w:tcPr>
          <w:p w14:paraId="5D8CAE30">
            <w:pPr>
              <w:pStyle w:val="34"/>
              <w:shd w:val="clear" w:color="auto" w:fill="auto"/>
              <w:topLinePunct/>
              <w:adjustRightInd w:val="0"/>
              <w:snapToGrid w:val="0"/>
              <w:spacing w:before="36" w:beforeLines="10" w:line="360" w:lineRule="auto"/>
              <w:ind w:left="113" w:right="113"/>
              <w:jc w:val="center"/>
              <w:rPr>
                <w:rFonts w:eastAsia="宋体"/>
                <w:b w:val="0"/>
                <w:snapToGrid w:val="0"/>
                <w:sz w:val="21"/>
                <w:szCs w:val="10"/>
                <w:lang w:eastAsia="zh-CN"/>
              </w:rPr>
            </w:pPr>
            <w:r>
              <w:rPr>
                <w:rFonts w:hint="eastAsia" w:eastAsia="宋体"/>
                <w:b w:val="0"/>
                <w:snapToGrid w:val="0"/>
                <w:sz w:val="24"/>
                <w:lang w:eastAsia="zh-CN"/>
              </w:rPr>
              <w:t>流速</w:t>
            </w:r>
            <w:r>
              <w:rPr>
                <w:rFonts w:eastAsia="宋体"/>
                <w:b w:val="0"/>
                <w:snapToGrid w:val="0"/>
                <w:sz w:val="24"/>
              </w:rPr>
              <w:t>（</w:t>
            </w:r>
            <w:r>
              <w:rPr>
                <w:rFonts w:hint="eastAsia" w:eastAsia="宋体"/>
                <w:b w:val="0"/>
                <w:snapToGrid w:val="0"/>
                <w:sz w:val="24"/>
                <w:lang w:eastAsia="zh-CN"/>
              </w:rPr>
              <w:t>毫升</w:t>
            </w:r>
            <w:r>
              <w:rPr>
                <w:rFonts w:eastAsia="宋体"/>
                <w:b w:val="0"/>
                <w:snapToGrid w:val="0"/>
                <w:sz w:val="24"/>
              </w:rPr>
              <w:t>／</w:t>
            </w:r>
            <w:r>
              <w:rPr>
                <w:rFonts w:hint="eastAsia" w:eastAsia="宋体"/>
                <w:b w:val="0"/>
                <w:snapToGrid w:val="0"/>
                <w:sz w:val="24"/>
                <w:lang w:eastAsia="zh-CN"/>
              </w:rPr>
              <w:t>分钟</w:t>
            </w:r>
            <w:r>
              <w:rPr>
                <w:rFonts w:eastAsia="宋体"/>
                <w:b w:val="0"/>
                <w:snapToGrid w:val="0"/>
                <w:sz w:val="24"/>
              </w:rPr>
              <w:t>）</w:t>
            </w:r>
          </w:p>
        </w:tc>
        <w:tc>
          <w:tcPr>
            <w:tcW w:w="763" w:type="dxa"/>
            <w:tcBorders>
              <w:top w:val="nil"/>
              <w:left w:val="nil"/>
              <w:bottom w:val="nil"/>
            </w:tcBorders>
            <w:vAlign w:val="center"/>
          </w:tcPr>
          <w:p w14:paraId="5BD2C8C9">
            <w:pPr>
              <w:topLinePunct/>
              <w:adjustRightInd w:val="0"/>
              <w:snapToGrid w:val="0"/>
              <w:spacing w:before="36" w:beforeLines="10" w:line="360" w:lineRule="auto"/>
              <w:jc w:val="center"/>
              <w:rPr>
                <w:rFonts w:ascii="Arial" w:hAnsi="Arial" w:eastAsia="宋体" w:cs="Arial"/>
                <w:snapToGrid w:val="0"/>
                <w:sz w:val="21"/>
                <w:szCs w:val="10"/>
                <w:lang w:eastAsia="zh-CN"/>
              </w:rPr>
            </w:pPr>
          </w:p>
        </w:tc>
        <w:tc>
          <w:tcPr>
            <w:tcW w:w="2875" w:type="dxa"/>
            <w:gridSpan w:val="2"/>
            <w:tcBorders>
              <w:top w:val="nil"/>
              <w:bottom w:val="nil"/>
            </w:tcBorders>
            <w:vAlign w:val="center"/>
          </w:tcPr>
          <w:p w14:paraId="7884D011">
            <w:pPr>
              <w:pStyle w:val="24"/>
              <w:shd w:val="clear" w:color="auto" w:fill="auto"/>
              <w:topLinePunct/>
              <w:adjustRightInd w:val="0"/>
              <w:snapToGrid w:val="0"/>
              <w:spacing w:before="54" w:beforeLines="15" w:line="360" w:lineRule="auto"/>
              <w:ind w:firstLine="0"/>
              <w:jc w:val="center"/>
              <w:rPr>
                <w:rFonts w:eastAsia="宋体"/>
                <w:snapToGrid w:val="0"/>
                <w:sz w:val="21"/>
                <w:lang w:eastAsia="zh-CN"/>
              </w:rPr>
            </w:pPr>
            <w:r>
              <w:rPr>
                <w:rStyle w:val="32"/>
                <w:rFonts w:hint="eastAsia" w:eastAsia="宋体"/>
                <w:b w:val="0"/>
                <w:bCs/>
                <w:snapToGrid w:val="0"/>
                <w:sz w:val="21"/>
                <w:lang w:eastAsia="zh-CN"/>
              </w:rPr>
              <w:t>导管尺寸</w:t>
            </w:r>
          </w:p>
        </w:tc>
      </w:tr>
      <w:tr w14:paraId="23C69FC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textDirection w:val="btLr"/>
            <w:vAlign w:val="center"/>
          </w:tcPr>
          <w:p w14:paraId="7753B4DD">
            <w:pPr>
              <w:pStyle w:val="34"/>
              <w:shd w:val="clear" w:color="auto" w:fill="auto"/>
              <w:topLinePunct/>
              <w:adjustRightInd w:val="0"/>
              <w:snapToGrid w:val="0"/>
              <w:spacing w:before="36" w:beforeLines="10" w:line="360" w:lineRule="auto"/>
              <w:ind w:left="113" w:right="113"/>
              <w:jc w:val="center"/>
              <w:rPr>
                <w:rFonts w:eastAsia="宋体"/>
                <w:b w:val="0"/>
                <w:snapToGrid w:val="0"/>
                <w:sz w:val="24"/>
                <w:lang w:eastAsia="zh-CN"/>
              </w:rPr>
            </w:pPr>
          </w:p>
        </w:tc>
        <w:tc>
          <w:tcPr>
            <w:tcW w:w="763" w:type="dxa"/>
            <w:tcBorders>
              <w:top w:val="nil"/>
              <w:left w:val="nil"/>
              <w:bottom w:val="single" w:color="auto" w:sz="4" w:space="0"/>
            </w:tcBorders>
            <w:vAlign w:val="center"/>
          </w:tcPr>
          <w:p w14:paraId="79BB56F9">
            <w:pPr>
              <w:topLinePunct/>
              <w:adjustRightInd w:val="0"/>
              <w:snapToGrid w:val="0"/>
              <w:spacing w:before="36" w:beforeLines="10" w:line="360" w:lineRule="auto"/>
              <w:jc w:val="center"/>
              <w:rPr>
                <w:rFonts w:ascii="Arial" w:hAnsi="Arial" w:eastAsia="宋体" w:cs="Arial"/>
                <w:snapToGrid w:val="0"/>
                <w:sz w:val="21"/>
                <w:szCs w:val="10"/>
                <w:lang w:eastAsia="zh-CN"/>
              </w:rPr>
            </w:pPr>
          </w:p>
        </w:tc>
        <w:tc>
          <w:tcPr>
            <w:tcW w:w="1363" w:type="dxa"/>
            <w:tcBorders>
              <w:top w:val="nil"/>
              <w:bottom w:val="single" w:color="auto" w:sz="4" w:space="0"/>
              <w:right w:val="nil"/>
            </w:tcBorders>
            <w:vAlign w:val="center"/>
          </w:tcPr>
          <w:p w14:paraId="77CC6F78">
            <w:pPr>
              <w:pStyle w:val="24"/>
              <w:shd w:val="clear" w:color="auto" w:fill="auto"/>
              <w:topLinePunct/>
              <w:adjustRightInd w:val="0"/>
              <w:snapToGrid w:val="0"/>
              <w:spacing w:before="54" w:beforeLines="15" w:line="360" w:lineRule="auto"/>
              <w:ind w:firstLine="0"/>
              <w:jc w:val="center"/>
              <w:rPr>
                <w:rStyle w:val="32"/>
                <w:rFonts w:eastAsia="宋体"/>
                <w:b w:val="0"/>
                <w:bCs/>
                <w:snapToGrid w:val="0"/>
                <w:sz w:val="21"/>
                <w:lang w:eastAsia="zh-CN"/>
              </w:rPr>
            </w:pPr>
            <w:r>
              <w:rPr>
                <w:rStyle w:val="32"/>
                <w:rFonts w:eastAsia="宋体"/>
                <w:b w:val="0"/>
                <w:bCs/>
                <w:snapToGrid w:val="0"/>
                <w:sz w:val="21"/>
              </w:rPr>
              <w:t>1.0mm</w:t>
            </w:r>
            <w:r>
              <w:rPr>
                <w:rStyle w:val="32"/>
                <w:rFonts w:hint="eastAsia" w:eastAsia="宋体"/>
                <w:b w:val="0"/>
                <w:bCs/>
                <w:snapToGrid w:val="0"/>
                <w:sz w:val="21"/>
                <w:lang w:eastAsia="zh-CN"/>
              </w:rPr>
              <w:t>内径</w:t>
            </w:r>
          </w:p>
        </w:tc>
        <w:tc>
          <w:tcPr>
            <w:tcW w:w="1512" w:type="dxa"/>
            <w:tcBorders>
              <w:top w:val="nil"/>
              <w:left w:val="nil"/>
              <w:bottom w:val="single" w:color="auto" w:sz="4" w:space="0"/>
            </w:tcBorders>
            <w:vAlign w:val="center"/>
          </w:tcPr>
          <w:p w14:paraId="71B9FC28">
            <w:pPr>
              <w:pStyle w:val="24"/>
              <w:shd w:val="clear" w:color="auto" w:fill="auto"/>
              <w:topLinePunct/>
              <w:adjustRightInd w:val="0"/>
              <w:snapToGrid w:val="0"/>
              <w:spacing w:before="54" w:beforeLines="15" w:line="360" w:lineRule="auto"/>
              <w:ind w:firstLine="0"/>
              <w:jc w:val="center"/>
              <w:rPr>
                <w:rStyle w:val="32"/>
                <w:rFonts w:eastAsia="宋体"/>
                <w:b w:val="0"/>
                <w:bCs/>
                <w:snapToGrid w:val="0"/>
                <w:sz w:val="21"/>
              </w:rPr>
            </w:pPr>
            <w:r>
              <w:rPr>
                <w:rStyle w:val="32"/>
                <w:rFonts w:eastAsia="宋体"/>
                <w:b w:val="0"/>
                <w:bCs/>
                <w:snapToGrid w:val="0"/>
                <w:sz w:val="21"/>
              </w:rPr>
              <w:t>1.5mm</w:t>
            </w:r>
            <w:r>
              <w:rPr>
                <w:rStyle w:val="32"/>
                <w:rFonts w:hint="eastAsia" w:eastAsia="宋体"/>
                <w:b w:val="0"/>
                <w:bCs/>
                <w:snapToGrid w:val="0"/>
                <w:sz w:val="21"/>
                <w:lang w:eastAsia="zh-CN"/>
              </w:rPr>
              <w:t>内径</w:t>
            </w:r>
          </w:p>
        </w:tc>
      </w:tr>
      <w:tr w14:paraId="2272BCF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68B3256D">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single" w:color="auto" w:sz="4" w:space="0"/>
              <w:left w:val="nil"/>
              <w:bottom w:val="nil"/>
              <w:right w:val="single" w:color="auto" w:sz="4" w:space="0"/>
            </w:tcBorders>
            <w:vAlign w:val="center"/>
          </w:tcPr>
          <w:p w14:paraId="151AA342">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w:t>
            </w:r>
          </w:p>
        </w:tc>
        <w:tc>
          <w:tcPr>
            <w:tcW w:w="1363" w:type="dxa"/>
            <w:tcBorders>
              <w:top w:val="single" w:color="auto" w:sz="4" w:space="0"/>
              <w:left w:val="single" w:color="auto" w:sz="4" w:space="0"/>
              <w:bottom w:val="nil"/>
              <w:right w:val="nil"/>
            </w:tcBorders>
          </w:tcPr>
          <w:p w14:paraId="39E6FD26">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b w:val="0"/>
              </w:rPr>
              <w:t>1.0</w:t>
            </w:r>
          </w:p>
        </w:tc>
        <w:tc>
          <w:tcPr>
            <w:tcW w:w="1512" w:type="dxa"/>
            <w:tcBorders>
              <w:top w:val="single" w:color="auto" w:sz="4" w:space="0"/>
              <w:left w:val="nil"/>
              <w:bottom w:val="nil"/>
              <w:right w:val="nil"/>
            </w:tcBorders>
          </w:tcPr>
          <w:p w14:paraId="42734EBB">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b w:val="0"/>
              </w:rPr>
              <w:t>0.6</w:t>
            </w:r>
          </w:p>
        </w:tc>
      </w:tr>
      <w:tr w14:paraId="35424D1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5608E5FB">
            <w:pPr>
              <w:pStyle w:val="24"/>
              <w:topLinePunct/>
              <w:adjustRightInd w:val="0"/>
              <w:snapToGrid w:val="0"/>
              <w:spacing w:before="36" w:beforeLines="10" w:line="360" w:lineRule="auto"/>
              <w:jc w:val="center"/>
              <w:rPr>
                <w:rFonts w:eastAsia="宋体"/>
                <w:b w:val="0"/>
                <w:snapToGrid w:val="0"/>
                <w:sz w:val="21"/>
              </w:rPr>
            </w:pPr>
          </w:p>
        </w:tc>
        <w:tc>
          <w:tcPr>
            <w:tcW w:w="763" w:type="dxa"/>
            <w:tcBorders>
              <w:top w:val="nil"/>
              <w:left w:val="nil"/>
              <w:bottom w:val="nil"/>
              <w:right w:val="single" w:color="auto" w:sz="4" w:space="0"/>
            </w:tcBorders>
            <w:vAlign w:val="center"/>
          </w:tcPr>
          <w:p w14:paraId="7918C454">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25</w:t>
            </w:r>
          </w:p>
        </w:tc>
        <w:tc>
          <w:tcPr>
            <w:tcW w:w="1363" w:type="dxa"/>
            <w:tcBorders>
              <w:top w:val="nil"/>
              <w:left w:val="single" w:color="auto" w:sz="4" w:space="0"/>
              <w:bottom w:val="nil"/>
              <w:right w:val="nil"/>
            </w:tcBorders>
          </w:tcPr>
          <w:p w14:paraId="42B81333">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b w:val="0"/>
              </w:rPr>
              <w:t>6.3</w:t>
            </w:r>
          </w:p>
        </w:tc>
        <w:tc>
          <w:tcPr>
            <w:tcW w:w="1512" w:type="dxa"/>
            <w:tcBorders>
              <w:top w:val="nil"/>
              <w:left w:val="nil"/>
              <w:bottom w:val="nil"/>
              <w:right w:val="nil"/>
            </w:tcBorders>
          </w:tcPr>
          <w:p w14:paraId="563E4720">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b w:val="0"/>
              </w:rPr>
              <w:t>5.0</w:t>
            </w:r>
          </w:p>
        </w:tc>
      </w:tr>
      <w:tr w14:paraId="2F8C1A7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143940EF">
            <w:pPr>
              <w:pStyle w:val="24"/>
              <w:shd w:val="clear" w:color="auto" w:fill="auto"/>
              <w:topLinePunct/>
              <w:adjustRightInd w:val="0"/>
              <w:snapToGrid w:val="0"/>
              <w:spacing w:before="36" w:beforeLines="10" w:line="360" w:lineRule="auto"/>
              <w:ind w:firstLine="0"/>
              <w:jc w:val="center"/>
              <w:rPr>
                <w:rFonts w:eastAsia="宋体"/>
                <w:b w:val="0"/>
                <w:snapToGrid w:val="0"/>
                <w:sz w:val="21"/>
              </w:rPr>
            </w:pPr>
          </w:p>
        </w:tc>
        <w:tc>
          <w:tcPr>
            <w:tcW w:w="763" w:type="dxa"/>
            <w:tcBorders>
              <w:top w:val="nil"/>
              <w:left w:val="nil"/>
              <w:bottom w:val="nil"/>
              <w:right w:val="single" w:color="auto" w:sz="4" w:space="0"/>
            </w:tcBorders>
            <w:vAlign w:val="center"/>
          </w:tcPr>
          <w:p w14:paraId="464D1C52">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rStyle w:val="32"/>
                <w:rFonts w:eastAsia="宋体"/>
                <w:b w:val="0"/>
                <w:bCs/>
                <w:snapToGrid w:val="0"/>
                <w:sz w:val="21"/>
              </w:rPr>
              <w:t>50</w:t>
            </w:r>
          </w:p>
        </w:tc>
        <w:tc>
          <w:tcPr>
            <w:tcW w:w="1363" w:type="dxa"/>
            <w:tcBorders>
              <w:top w:val="nil"/>
              <w:left w:val="single" w:color="auto" w:sz="4" w:space="0"/>
              <w:bottom w:val="nil"/>
              <w:right w:val="nil"/>
            </w:tcBorders>
          </w:tcPr>
          <w:p w14:paraId="3D2C4077">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b w:val="0"/>
              </w:rPr>
              <w:t>18.8</w:t>
            </w:r>
          </w:p>
        </w:tc>
        <w:tc>
          <w:tcPr>
            <w:tcW w:w="1512" w:type="dxa"/>
            <w:tcBorders>
              <w:top w:val="nil"/>
              <w:left w:val="nil"/>
              <w:bottom w:val="nil"/>
              <w:right w:val="nil"/>
            </w:tcBorders>
          </w:tcPr>
          <w:p w14:paraId="07C5661F">
            <w:pPr>
              <w:pStyle w:val="24"/>
              <w:shd w:val="clear" w:color="auto" w:fill="auto"/>
              <w:topLinePunct/>
              <w:adjustRightInd w:val="0"/>
              <w:snapToGrid w:val="0"/>
              <w:spacing w:before="36" w:beforeLines="10" w:line="360" w:lineRule="auto"/>
              <w:ind w:firstLine="0"/>
              <w:jc w:val="center"/>
              <w:rPr>
                <w:rFonts w:eastAsia="宋体"/>
                <w:b w:val="0"/>
                <w:snapToGrid w:val="0"/>
                <w:sz w:val="21"/>
              </w:rPr>
            </w:pPr>
            <w:r>
              <w:rPr>
                <w:b w:val="0"/>
              </w:rPr>
              <w:t>16.9</w:t>
            </w:r>
          </w:p>
        </w:tc>
      </w:tr>
      <w:tr w14:paraId="22C17D9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tcBorders>
              <w:right w:val="nil"/>
            </w:tcBorders>
            <w:vAlign w:val="center"/>
          </w:tcPr>
          <w:p w14:paraId="2F92F8A3">
            <w:pPr>
              <w:topLinePunct/>
              <w:adjustRightInd w:val="0"/>
              <w:snapToGrid w:val="0"/>
              <w:spacing w:before="36" w:beforeLines="10" w:line="360" w:lineRule="auto"/>
              <w:jc w:val="center"/>
              <w:rPr>
                <w:rFonts w:ascii="Arial" w:hAnsi="Arial" w:eastAsia="宋体" w:cs="Arial"/>
                <w:snapToGrid w:val="0"/>
                <w:sz w:val="21"/>
                <w:szCs w:val="10"/>
              </w:rPr>
            </w:pPr>
          </w:p>
        </w:tc>
        <w:tc>
          <w:tcPr>
            <w:tcW w:w="763" w:type="dxa"/>
            <w:tcBorders>
              <w:top w:val="nil"/>
              <w:left w:val="nil"/>
              <w:bottom w:val="nil"/>
              <w:right w:val="single" w:color="auto" w:sz="4" w:space="0"/>
            </w:tcBorders>
            <w:vAlign w:val="center"/>
          </w:tcPr>
          <w:p w14:paraId="1AA1A57E">
            <w:pPr>
              <w:topLinePunct/>
              <w:adjustRightInd w:val="0"/>
              <w:snapToGrid w:val="0"/>
              <w:spacing w:before="36" w:beforeLines="10" w:line="360" w:lineRule="auto"/>
              <w:jc w:val="center"/>
              <w:rPr>
                <w:rFonts w:ascii="Arial" w:hAnsi="Arial" w:eastAsia="宋体" w:cs="Arial"/>
                <w:snapToGrid w:val="0"/>
                <w:sz w:val="21"/>
                <w:szCs w:val="10"/>
              </w:rPr>
            </w:pPr>
          </w:p>
        </w:tc>
        <w:tc>
          <w:tcPr>
            <w:tcW w:w="1363" w:type="dxa"/>
            <w:tcBorders>
              <w:top w:val="nil"/>
              <w:left w:val="single" w:color="auto" w:sz="4" w:space="0"/>
              <w:bottom w:val="nil"/>
              <w:right w:val="nil"/>
            </w:tcBorders>
            <w:vAlign w:val="center"/>
          </w:tcPr>
          <w:p w14:paraId="7045D52E">
            <w:pPr>
              <w:topLinePunct/>
              <w:adjustRightInd w:val="0"/>
              <w:snapToGrid w:val="0"/>
              <w:spacing w:before="36" w:beforeLines="10" w:line="360" w:lineRule="auto"/>
              <w:jc w:val="center"/>
              <w:rPr>
                <w:rFonts w:ascii="Arial" w:hAnsi="Arial" w:eastAsia="宋体" w:cs="Arial"/>
                <w:snapToGrid w:val="0"/>
                <w:sz w:val="21"/>
                <w:szCs w:val="10"/>
              </w:rPr>
            </w:pPr>
          </w:p>
        </w:tc>
        <w:tc>
          <w:tcPr>
            <w:tcW w:w="1512" w:type="dxa"/>
            <w:tcBorders>
              <w:top w:val="nil"/>
              <w:left w:val="nil"/>
              <w:bottom w:val="nil"/>
              <w:right w:val="nil"/>
            </w:tcBorders>
            <w:vAlign w:val="center"/>
          </w:tcPr>
          <w:p w14:paraId="25E3DBBD">
            <w:pPr>
              <w:topLinePunct/>
              <w:adjustRightInd w:val="0"/>
              <w:snapToGrid w:val="0"/>
              <w:spacing w:before="36" w:beforeLines="10" w:line="360" w:lineRule="auto"/>
              <w:jc w:val="center"/>
              <w:rPr>
                <w:rFonts w:ascii="Arial" w:hAnsi="Arial" w:eastAsia="宋体" w:cs="Arial"/>
                <w:snapToGrid w:val="0"/>
                <w:sz w:val="21"/>
                <w:szCs w:val="10"/>
              </w:rPr>
            </w:pPr>
          </w:p>
        </w:tc>
      </w:tr>
    </w:tbl>
    <w:p w14:paraId="0D2A2B1C">
      <w:pPr>
        <w:pStyle w:val="34"/>
        <w:shd w:val="clear" w:color="auto" w:fill="auto"/>
        <w:topLinePunct/>
        <w:adjustRightInd w:val="0"/>
        <w:snapToGrid w:val="0"/>
        <w:spacing w:after="270" w:afterLines="75" w:line="360" w:lineRule="auto"/>
        <w:jc w:val="both"/>
        <w:rPr>
          <w:rFonts w:eastAsia="宋体"/>
          <w:snapToGrid w:val="0"/>
          <w:sz w:val="24"/>
        </w:rPr>
      </w:pPr>
    </w:p>
    <w:p w14:paraId="6EAC97B0">
      <w:pPr>
        <w:pStyle w:val="24"/>
        <w:shd w:val="clear" w:color="auto" w:fill="auto"/>
        <w:topLinePunct/>
        <w:adjustRightInd w:val="0"/>
        <w:snapToGrid w:val="0"/>
        <w:spacing w:after="270" w:afterLines="75" w:line="360" w:lineRule="auto"/>
        <w:ind w:firstLine="0"/>
        <w:jc w:val="center"/>
        <w:rPr>
          <w:rFonts w:eastAsia="宋体"/>
          <w:b w:val="0"/>
          <w:snapToGrid w:val="0"/>
          <w:sz w:val="24"/>
          <w:lang w:eastAsia="zh-CN"/>
        </w:rPr>
      </w:pPr>
      <w:r>
        <w:rPr>
          <w:rFonts w:eastAsia="宋体"/>
          <w:snapToGrid w:val="0"/>
          <w:sz w:val="24"/>
          <w:szCs w:val="2"/>
        </w:rPr>
        <w:br w:type="page"/>
      </w:r>
      <w:r>
        <w:rPr>
          <w:rFonts w:hint="eastAsia" w:eastAsia="宋体"/>
          <w:b w:val="0"/>
          <w:snapToGrid w:val="0"/>
          <w:sz w:val="24"/>
          <w:lang w:eastAsia="zh-CN"/>
        </w:rPr>
        <w:t>附图说明</w:t>
      </w:r>
    </w:p>
    <w:p w14:paraId="1A9EF3AA">
      <w:pPr>
        <w:pStyle w:val="24"/>
        <w:shd w:val="clear" w:color="auto" w:fill="auto"/>
        <w:topLinePunct/>
        <w:adjustRightInd w:val="0"/>
        <w:snapToGrid w:val="0"/>
        <w:spacing w:after="270" w:afterLines="75" w:line="360" w:lineRule="auto"/>
        <w:ind w:firstLine="0"/>
        <w:jc w:val="center"/>
        <w:rPr>
          <w:rFonts w:eastAsia="宋体"/>
          <w:b w:val="0"/>
          <w:snapToGrid w:val="0"/>
          <w:sz w:val="24"/>
          <w:lang w:eastAsia="zh-CN"/>
        </w:rPr>
      </w:pPr>
    </w:p>
    <w:p w14:paraId="02A13444">
      <w:pPr>
        <w:pStyle w:val="24"/>
        <w:shd w:val="clear" w:color="auto" w:fill="auto"/>
        <w:topLinePunct/>
        <w:adjustRightInd w:val="0"/>
        <w:snapToGrid w:val="0"/>
        <w:spacing w:after="270" w:afterLines="75" w:line="360" w:lineRule="auto"/>
        <w:ind w:left="840" w:hanging="840"/>
        <w:jc w:val="both"/>
        <w:rPr>
          <w:rFonts w:eastAsia="宋体"/>
          <w:b w:val="0"/>
          <w:snapToGrid w:val="0"/>
          <w:sz w:val="24"/>
          <w:lang w:eastAsia="zh-CN"/>
        </w:rPr>
      </w:pPr>
      <w:r>
        <w:rPr>
          <w:rFonts w:hint="eastAsia" w:eastAsia="宋体"/>
          <w:b w:val="0"/>
          <w:snapToGrid w:val="0"/>
          <w:sz w:val="24"/>
          <w:lang w:eastAsia="zh-CN"/>
        </w:rPr>
        <w:t>图1.</w:t>
      </w:r>
      <w:r>
        <w:rPr>
          <w:rFonts w:hint="eastAsia" w:eastAsia="宋体"/>
          <w:b w:val="0"/>
          <w:snapToGrid w:val="0"/>
          <w:sz w:val="24"/>
          <w:lang w:eastAsia="zh-CN"/>
        </w:rPr>
        <w:tab/>
      </w:r>
      <w:r>
        <w:rPr>
          <w:rFonts w:eastAsia="宋体"/>
          <w:b w:val="0"/>
          <w:snapToGrid w:val="0"/>
          <w:sz w:val="24"/>
          <w:lang w:eastAsia="zh-CN"/>
        </w:rPr>
        <w:t>VITAL-PORT™</w:t>
      </w:r>
      <w:r>
        <w:rPr>
          <w:rFonts w:hint="eastAsia" w:eastAsia="宋体"/>
          <w:b w:val="0"/>
          <w:snapToGrid w:val="0"/>
          <w:sz w:val="24"/>
          <w:lang w:eastAsia="zh-CN"/>
        </w:rPr>
        <w:t>血管通道系统的照片。橡胶隔膜覆盖输液港或储液槽，供应导管通过输液港出口管与输液港预先连接。输液港壁内的椭圆形孔提供缝合点。</w:t>
      </w:r>
    </w:p>
    <w:p w14:paraId="481ADC83">
      <w:pPr>
        <w:pStyle w:val="24"/>
        <w:shd w:val="clear" w:color="auto" w:fill="auto"/>
        <w:topLinePunct/>
        <w:adjustRightInd w:val="0"/>
        <w:snapToGrid w:val="0"/>
        <w:spacing w:after="270" w:afterLines="75" w:line="360" w:lineRule="auto"/>
        <w:ind w:left="840" w:hanging="840"/>
        <w:jc w:val="both"/>
        <w:rPr>
          <w:rFonts w:eastAsia="宋体"/>
          <w:b w:val="0"/>
          <w:snapToGrid w:val="0"/>
          <w:sz w:val="24"/>
          <w:lang w:eastAsia="zh-CN"/>
        </w:rPr>
      </w:pPr>
      <w:r>
        <w:rPr>
          <w:rFonts w:hint="eastAsia" w:eastAsia="宋体"/>
          <w:b w:val="0"/>
          <w:snapToGrid w:val="0"/>
          <w:sz w:val="24"/>
          <w:lang w:eastAsia="zh-CN"/>
        </w:rPr>
        <w:t>图2.</w:t>
      </w:r>
      <w:r>
        <w:rPr>
          <w:rFonts w:hint="eastAsia" w:eastAsia="宋体"/>
          <w:b w:val="0"/>
          <w:snapToGrid w:val="0"/>
          <w:sz w:val="24"/>
          <w:lang w:eastAsia="zh-CN"/>
        </w:rPr>
        <w:tab/>
      </w:r>
      <w:r>
        <w:rPr>
          <w:rFonts w:hint="eastAsia" w:eastAsia="宋体"/>
          <w:b w:val="0"/>
          <w:snapToGrid w:val="0"/>
          <w:sz w:val="24"/>
          <w:lang w:eastAsia="zh-CN"/>
        </w:rPr>
        <w:t>获得阻抗稀释曲线从而获得</w:t>
      </w:r>
      <w:r>
        <w:rPr>
          <w:rFonts w:eastAsia="宋体"/>
          <w:b w:val="0"/>
          <w:snapToGrid w:val="0"/>
          <w:sz w:val="24"/>
          <w:lang w:eastAsia="zh-CN"/>
        </w:rPr>
        <w:t>VITAL-PORT™</w:t>
      </w:r>
      <w:r>
        <w:rPr>
          <w:rFonts w:hint="eastAsia" w:eastAsia="宋体"/>
          <w:b w:val="0"/>
          <w:snapToGrid w:val="0"/>
          <w:sz w:val="24"/>
          <w:lang w:eastAsia="zh-CN"/>
        </w:rPr>
        <w:t>血管通道系统清理参数的装配图解。</w:t>
      </w:r>
    </w:p>
    <w:p w14:paraId="277CD742">
      <w:pPr>
        <w:topLinePunct/>
        <w:adjustRightInd w:val="0"/>
        <w:snapToGrid w:val="0"/>
        <w:spacing w:after="270" w:afterLines="75" w:line="360" w:lineRule="auto"/>
        <w:ind w:left="840" w:hanging="840"/>
        <w:jc w:val="both"/>
        <w:rPr>
          <w:rFonts w:ascii="Arial" w:hAnsi="Arial" w:eastAsia="宋体" w:cs="Arial"/>
          <w:snapToGrid w:val="0"/>
          <w:lang w:eastAsia="zh-CN"/>
        </w:rPr>
      </w:pPr>
      <w:r>
        <w:rPr>
          <w:rFonts w:hint="eastAsia" w:ascii="Arial" w:hAnsi="Arial" w:eastAsia="宋体" w:cs="Arial"/>
          <w:snapToGrid w:val="0"/>
          <w:lang w:eastAsia="zh-CN"/>
        </w:rPr>
        <w:t>图3.</w:t>
      </w:r>
      <w:r>
        <w:rPr>
          <w:rFonts w:hint="eastAsia" w:ascii="Arial" w:hAnsi="Arial" w:eastAsia="宋体" w:cs="Arial"/>
          <w:snapToGrid w:val="0"/>
          <w:lang w:eastAsia="zh-CN"/>
        </w:rPr>
        <w:tab/>
      </w:r>
      <w:r>
        <w:rPr>
          <w:rFonts w:hint="eastAsia" w:ascii="Arial" w:hAnsi="Arial" w:eastAsia="宋体" w:cs="Arial"/>
          <w:snapToGrid w:val="0"/>
          <w:lang w:eastAsia="zh-CN"/>
        </w:rPr>
        <w:t>从长图记录仪获得的阻抗稀释曲线。填充液阻抗记为</w:t>
      </w:r>
      <w:r>
        <w:rPr>
          <w:rFonts w:ascii="Arial" w:hAnsi="Arial" w:eastAsia="宋体" w:cs="Arial"/>
          <w:snapToGrid w:val="0"/>
          <w:lang w:eastAsia="zh-CN"/>
        </w:rPr>
        <w:t>Z</w:t>
      </w:r>
      <w:r>
        <w:rPr>
          <w:rFonts w:hint="eastAsia" w:ascii="Arial" w:hAnsi="Arial" w:eastAsia="宋体" w:cs="Arial"/>
          <w:i/>
          <w:snapToGrid w:val="0"/>
          <w:vertAlign w:val="subscript"/>
          <w:lang w:eastAsia="zh-CN"/>
        </w:rPr>
        <w:t>1</w:t>
      </w:r>
      <w:r>
        <w:rPr>
          <w:rFonts w:hint="eastAsia" w:ascii="Arial" w:hAnsi="Arial" w:eastAsia="宋体" w:cs="Arial"/>
          <w:snapToGrid w:val="0"/>
          <w:lang w:eastAsia="zh-CN"/>
        </w:rPr>
        <w:t>。随着冲洗液注入，在阻抗发生变化</w:t>
      </w:r>
      <w:r>
        <w:rPr>
          <w:rFonts w:ascii="Arial" w:hAnsi="Arial" w:eastAsia="宋体" w:cs="Arial"/>
          <w:snapToGrid w:val="0"/>
          <w:lang w:eastAsia="zh-CN"/>
        </w:rPr>
        <w:t>（</w:t>
      </w:r>
      <w:r>
        <w:rPr>
          <w:rFonts w:hint="eastAsia" w:ascii="Arial" w:hAnsi="Arial" w:eastAsia="宋体" w:cs="Arial"/>
          <w:snapToGrid w:val="0"/>
          <w:lang w:eastAsia="zh-CN"/>
        </w:rPr>
        <w:t>△</w:t>
      </w:r>
      <w:r>
        <w:rPr>
          <w:rFonts w:ascii="Arial" w:hAnsi="Arial" w:eastAsia="宋体" w:cs="Arial"/>
          <w:snapToGrid w:val="0"/>
          <w:lang w:eastAsia="zh-CN"/>
        </w:rPr>
        <w:t>Z）</w:t>
      </w:r>
      <w:r>
        <w:rPr>
          <w:rFonts w:hint="eastAsia" w:ascii="Arial" w:hAnsi="Arial" w:eastAsia="宋体" w:cs="Arial"/>
          <w:snapToGrid w:val="0"/>
          <w:lang w:eastAsia="zh-CN"/>
        </w:rPr>
        <w:t>前有一段时间延迟（</w:t>
      </w:r>
      <w:r>
        <w:rPr>
          <w:rFonts w:ascii="Arial" w:hAnsi="Arial" w:eastAsia="宋体" w:cs="Arial"/>
          <w:snapToGrid w:val="0"/>
          <w:lang w:eastAsia="zh-CN"/>
        </w:rPr>
        <w:t>t）</w:t>
      </w:r>
      <w:r>
        <w:rPr>
          <w:rFonts w:hint="eastAsia" w:ascii="Arial" w:hAnsi="Arial" w:eastAsia="宋体" w:cs="Arial"/>
          <w:snapToGrid w:val="0"/>
          <w:lang w:eastAsia="zh-CN"/>
        </w:rPr>
        <w:t>。随着冲洗继续，一段时间内（T</w:t>
      </w:r>
      <w:r>
        <w:rPr>
          <w:rFonts w:hint="eastAsia" w:ascii="Arial" w:hAnsi="Arial" w:eastAsia="宋体" w:cs="Arial"/>
          <w:i/>
          <w:snapToGrid w:val="0"/>
          <w:vertAlign w:val="subscript"/>
          <w:lang w:eastAsia="zh-CN"/>
        </w:rPr>
        <w:t>D</w:t>
      </w:r>
      <w:r>
        <w:rPr>
          <w:rFonts w:hint="eastAsia" w:ascii="Arial" w:hAnsi="Arial" w:eastAsia="宋体" w:cs="Arial"/>
          <w:snapToGrid w:val="0"/>
          <w:lang w:eastAsia="zh-CN"/>
        </w:rPr>
        <w:t>）的阻抗稀释曲线结果。当输液港和导管得到彻底冲洗或清理时，冲洗液的阻抗（Z</w:t>
      </w:r>
      <w:r>
        <w:rPr>
          <w:rFonts w:hint="eastAsia" w:ascii="Arial" w:hAnsi="Arial" w:eastAsia="宋体" w:cs="Arial"/>
          <w:i/>
          <w:snapToGrid w:val="0"/>
          <w:vertAlign w:val="subscript"/>
          <w:lang w:eastAsia="zh-CN"/>
        </w:rPr>
        <w:t>2</w:t>
      </w:r>
      <w:r>
        <w:rPr>
          <w:rFonts w:hint="eastAsia" w:ascii="Arial" w:hAnsi="Arial" w:eastAsia="宋体" w:cs="Arial"/>
          <w:snapToGrid w:val="0"/>
          <w:lang w:eastAsia="zh-CN"/>
        </w:rPr>
        <w:t>）很明显。清理时间（</w:t>
      </w:r>
      <w:r>
        <w:rPr>
          <w:rFonts w:ascii="Arial" w:hAnsi="Arial" w:eastAsia="宋体" w:cs="Arial"/>
          <w:snapToGrid w:val="0"/>
          <w:lang w:eastAsia="zh-CN"/>
        </w:rPr>
        <w:t>T）</w:t>
      </w:r>
      <w:r>
        <w:rPr>
          <w:rFonts w:hint="eastAsia" w:ascii="Arial" w:hAnsi="Arial" w:eastAsia="宋体" w:cs="Arial"/>
          <w:snapToGrid w:val="0"/>
          <w:lang w:eastAsia="zh-CN"/>
        </w:rPr>
        <w:t>是开始注入冲洗液至阻抗变化结束的时间。</w:t>
      </w:r>
    </w:p>
    <w:p w14:paraId="09A52495">
      <w:pPr>
        <w:topLinePunct/>
        <w:adjustRightInd w:val="0"/>
        <w:snapToGrid w:val="0"/>
        <w:spacing w:after="270" w:afterLines="75" w:line="360" w:lineRule="auto"/>
        <w:jc w:val="both"/>
        <w:rPr>
          <w:rFonts w:ascii="Arial" w:hAnsi="Arial" w:eastAsia="宋体" w:cs="Arial"/>
          <w:snapToGrid w:val="0"/>
          <w:lang w:eastAsia="zh-CN"/>
        </w:rPr>
      </w:pPr>
      <w:r>
        <w:rPr>
          <w:rFonts w:ascii="Arial" w:hAnsi="Arial" w:eastAsia="宋体" w:cs="Arial"/>
          <w:snapToGrid w:val="0"/>
          <w:lang w:eastAsia="zh-CN"/>
        </w:rPr>
        <w:br w:type="page"/>
      </w:r>
    </w:p>
    <w:p w14:paraId="5213A759">
      <w:pPr>
        <w:pStyle w:val="17"/>
        <w:shd w:val="clear" w:color="auto" w:fill="auto"/>
        <w:topLinePunct/>
        <w:adjustRightInd w:val="0"/>
        <w:snapToGrid w:val="0"/>
        <w:spacing w:after="270" w:afterLines="75" w:line="360" w:lineRule="auto"/>
        <w:jc w:val="center"/>
        <w:rPr>
          <w:rFonts w:ascii="Arial" w:hAnsi="Arial" w:eastAsia="宋体" w:cs="Arial"/>
          <w:snapToGrid w:val="0"/>
          <w:spacing w:val="0"/>
          <w:sz w:val="24"/>
          <w:lang w:eastAsia="zh-CN"/>
        </w:rPr>
      </w:pPr>
      <w:r>
        <w:rPr>
          <w:rStyle w:val="25"/>
          <w:rFonts w:ascii="Arial" w:hAnsi="Arial" w:eastAsia="宋体" w:cs="Arial"/>
          <w:b w:val="0"/>
          <w:bCs/>
          <w:snapToGrid w:val="0"/>
          <w:spacing w:val="0"/>
          <w:sz w:val="24"/>
          <w:lang w:eastAsia="zh-CN"/>
        </w:rPr>
        <w:t>图</w:t>
      </w:r>
      <w:r>
        <w:rPr>
          <w:rFonts w:ascii="Arial" w:hAnsi="Arial" w:cs="Arial" w:eastAsiaTheme="minorEastAsia"/>
          <w:lang w:eastAsia="zh-CN"/>
        </w:rPr>
        <w:t>1</w:t>
      </w:r>
      <w:r>
        <w:rPr>
          <w:rStyle w:val="25"/>
          <w:rFonts w:ascii="Arial" w:hAnsi="Arial" w:eastAsia="宋体" w:cs="Arial"/>
          <w:b w:val="0"/>
          <w:bCs/>
          <w:snapToGrid w:val="0"/>
          <w:spacing w:val="0"/>
          <w:sz w:val="24"/>
        </w:rPr>
        <w:t>.</w:t>
      </w:r>
    </w:p>
    <w:p w14:paraId="6EBF2188">
      <w:pPr>
        <w:topLinePunct/>
        <w:adjustRightInd w:val="0"/>
        <w:snapToGrid w:val="0"/>
        <w:spacing w:after="270" w:afterLines="75" w:line="360" w:lineRule="auto"/>
        <w:jc w:val="both"/>
        <w:rPr>
          <w:rFonts w:ascii="Arial" w:hAnsi="Arial" w:eastAsia="宋体" w:cs="Arial"/>
          <w:snapToGrid w:val="0"/>
          <w:lang w:eastAsia="zh-CN"/>
        </w:rPr>
      </w:pPr>
      <w:r>
        <w:rPr>
          <w:rFonts w:ascii="Arial" w:hAnsi="Arial" w:eastAsia="宋体" w:cs="Arial"/>
          <w:lang w:eastAsia="zh-CN" w:bidi="ar-SA"/>
        </w:rPr>
        <w:drawing>
          <wp:inline distT="0" distB="0" distL="0" distR="0">
            <wp:extent cx="6019800" cy="4162425"/>
            <wp:effectExtent l="0" t="0" r="0" b="9525"/>
            <wp:docPr id="5" name="图片 1" descr="S:\翻译客户\交流中心\2017\10月\1017石慧\需要翻译的FDA指导原则（六）\需要翻译的FDA指导原则（六）\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S:\翻译客户\交流中心\2017\10月\1017石慧\需要翻译的FDA指导原则（六）\需要翻译的FDA指导原则（六）\media\image1.png"/>
                    <pic:cNvPicPr>
                      <a:picLocks noChangeAspect="1" noChangeArrowheads="1"/>
                    </pic:cNvPicPr>
                  </pic:nvPicPr>
                  <pic:blipFill>
                    <a:blip r:embed="rId9">
                      <a:extLst>
                        <a:ext uri="{28A0092B-C50C-407E-A947-70E740481C1C}">
                          <a14:useLocalDpi xmlns:a14="http://schemas.microsoft.com/office/drawing/2010/main" val="0"/>
                        </a:ext>
                      </a:extLst>
                    </a:blip>
                    <a:srcRect l="11406" r="4774" b="49942"/>
                    <a:stretch>
                      <a:fillRect/>
                    </a:stretch>
                  </pic:blipFill>
                  <pic:spPr>
                    <a:xfrm>
                      <a:off x="0" y="0"/>
                      <a:ext cx="6019800" cy="4162425"/>
                    </a:xfrm>
                    <a:prstGeom prst="rect">
                      <a:avLst/>
                    </a:prstGeom>
                    <a:noFill/>
                    <a:ln>
                      <a:noFill/>
                    </a:ln>
                  </pic:spPr>
                </pic:pic>
              </a:graphicData>
            </a:graphic>
          </wp:inline>
        </w:drawing>
      </w:r>
    </w:p>
    <w:p w14:paraId="2D4E7A33">
      <w:pPr>
        <w:topLinePunct/>
        <w:adjustRightInd w:val="0"/>
        <w:snapToGrid w:val="0"/>
        <w:spacing w:after="270" w:afterLines="75" w:line="360" w:lineRule="auto"/>
        <w:jc w:val="both"/>
        <w:rPr>
          <w:rFonts w:ascii="Arial" w:hAnsi="Arial" w:eastAsia="宋体" w:cs="Arial"/>
          <w:snapToGrid w:val="0"/>
          <w:lang w:eastAsia="zh-CN"/>
        </w:rPr>
      </w:pPr>
      <w:r>
        <w:rPr>
          <w:rFonts w:ascii="Arial" w:hAnsi="Arial" w:eastAsia="宋体" w:cs="Arial"/>
          <w:snapToGrid w:val="0"/>
          <w:lang w:eastAsia="zh-CN"/>
        </w:rPr>
        <w:br w:type="page"/>
      </w:r>
    </w:p>
    <w:p w14:paraId="2DD64902">
      <w:pPr>
        <w:pStyle w:val="17"/>
        <w:shd w:val="clear" w:color="auto" w:fill="auto"/>
        <w:topLinePunct/>
        <w:adjustRightInd w:val="0"/>
        <w:snapToGrid w:val="0"/>
        <w:spacing w:after="270" w:afterLines="75" w:line="360" w:lineRule="auto"/>
        <w:jc w:val="center"/>
        <w:rPr>
          <w:rFonts w:ascii="Arial" w:hAnsi="Arial" w:eastAsia="宋体" w:cs="Arial"/>
          <w:snapToGrid w:val="0"/>
          <w:spacing w:val="0"/>
          <w:sz w:val="24"/>
        </w:rPr>
      </w:pPr>
      <w:r>
        <w:rPr>
          <w:rStyle w:val="25"/>
          <w:rFonts w:hint="eastAsia" w:ascii="Arial" w:hAnsi="Arial" w:eastAsia="宋体" w:cs="Arial"/>
          <w:b w:val="0"/>
          <w:bCs/>
          <w:snapToGrid w:val="0"/>
          <w:spacing w:val="0"/>
          <w:sz w:val="24"/>
          <w:lang w:eastAsia="zh-CN"/>
        </w:rPr>
        <w:t>图</w:t>
      </w:r>
      <w:r>
        <w:fldChar w:fldCharType="begin"/>
      </w:r>
      <w:r>
        <w:rPr>
          <w:rFonts w:ascii="Arial" w:hAnsi="Arial" w:eastAsia="宋体" w:cs="Arial"/>
          <w:snapToGrid w:val="0"/>
          <w:spacing w:val="0"/>
          <w:sz w:val="24"/>
        </w:rPr>
        <w:instrText xml:space="preserve"> PAGE \* MERGEFORMAT </w:instrText>
      </w:r>
      <w:r>
        <w:fldChar w:fldCharType="separate"/>
      </w:r>
      <w:r>
        <w:rPr>
          <w:rStyle w:val="25"/>
          <w:rFonts w:ascii="Arial" w:hAnsi="Arial" w:eastAsia="宋体" w:cs="Arial"/>
          <w:b w:val="0"/>
          <w:bCs/>
          <w:snapToGrid w:val="0"/>
          <w:spacing w:val="0"/>
          <w:sz w:val="24"/>
        </w:rPr>
        <w:t>2</w:t>
      </w:r>
      <w:r>
        <w:rPr>
          <w:rStyle w:val="25"/>
          <w:rFonts w:ascii="Arial" w:hAnsi="Arial" w:eastAsia="宋体" w:cs="Arial"/>
          <w:b w:val="0"/>
          <w:bCs/>
          <w:snapToGrid w:val="0"/>
          <w:spacing w:val="0"/>
          <w:sz w:val="24"/>
        </w:rPr>
        <w:fldChar w:fldCharType="end"/>
      </w:r>
      <w:r>
        <w:rPr>
          <w:rStyle w:val="25"/>
          <w:rFonts w:ascii="Arial" w:hAnsi="Arial" w:eastAsia="宋体" w:cs="Arial"/>
          <w:b w:val="0"/>
          <w:bCs/>
          <w:snapToGrid w:val="0"/>
          <w:spacing w:val="0"/>
          <w:sz w:val="24"/>
        </w:rPr>
        <w:t>.</w:t>
      </w:r>
    </w:p>
    <w:p w14:paraId="051199BF">
      <w:pPr>
        <w:topLinePunct/>
        <w:adjustRightInd w:val="0"/>
        <w:snapToGrid w:val="0"/>
        <w:spacing w:after="270" w:afterLines="75" w:line="360" w:lineRule="auto"/>
        <w:jc w:val="center"/>
        <w:rPr>
          <w:rFonts w:ascii="Arial" w:hAnsi="Arial" w:eastAsia="宋体" w:cs="Arial"/>
          <w:snapToGrid w:val="0"/>
          <w:lang w:eastAsia="zh-CN"/>
        </w:rPr>
      </w:pPr>
    </w:p>
    <w:p w14:paraId="10AC5161">
      <w:pPr>
        <w:topLinePunct/>
        <w:adjustRightInd w:val="0"/>
        <w:snapToGrid w:val="0"/>
        <w:spacing w:after="270" w:afterLines="75" w:line="360" w:lineRule="auto"/>
        <w:jc w:val="center"/>
        <w:rPr>
          <w:rFonts w:ascii="Arial" w:hAnsi="Arial" w:eastAsia="宋体" w:cs="Arial"/>
          <w:snapToGrid w:val="0"/>
          <w:szCs w:val="2"/>
          <w:lang w:eastAsia="zh-CN"/>
        </w:rPr>
      </w:pPr>
      <w:r>
        <w:rPr>
          <w:rFonts w:ascii="Arial" w:hAnsi="Arial" w:eastAsia="宋体" w:cs="Arial"/>
          <w:szCs w:val="2"/>
          <w:lang w:eastAsia="zh-CN" w:bidi="ar-SA"/>
        </w:rPr>
        <mc:AlternateContent>
          <mc:Choice Requires="wps">
            <w:drawing>
              <wp:anchor distT="0" distB="0" distL="114300" distR="114300" simplePos="0" relativeHeight="251670528" behindDoc="0" locked="0" layoutInCell="1" allowOverlap="1">
                <wp:simplePos x="0" y="0"/>
                <wp:positionH relativeFrom="column">
                  <wp:posOffset>1422400</wp:posOffset>
                </wp:positionH>
                <wp:positionV relativeFrom="paragraph">
                  <wp:posOffset>1244600</wp:posOffset>
                </wp:positionV>
                <wp:extent cx="501650" cy="210820"/>
                <wp:effectExtent l="3175" t="0" r="0" b="1905"/>
                <wp:wrapNone/>
                <wp:docPr id="17" name="Text Box 19"/>
                <wp:cNvGraphicFramePr/>
                <a:graphic xmlns:a="http://schemas.openxmlformats.org/drawingml/2006/main">
                  <a:graphicData uri="http://schemas.microsoft.com/office/word/2010/wordprocessingShape">
                    <wps:wsp>
                      <wps:cNvSpPr txBox="1">
                        <a:spLocks noChangeArrowheads="1"/>
                      </wps:cNvSpPr>
                      <wps:spPr bwMode="auto">
                        <a:xfrm>
                          <a:off x="0" y="0"/>
                          <a:ext cx="501650" cy="210820"/>
                        </a:xfrm>
                        <a:prstGeom prst="rect">
                          <a:avLst/>
                        </a:prstGeom>
                        <a:noFill/>
                        <a:ln>
                          <a:noFill/>
                        </a:ln>
                      </wps:spPr>
                      <wps:txbx>
                        <w:txbxContent>
                          <w:p w14:paraId="5D2307C4">
                            <w:pPr>
                              <w:snapToGrid w:val="0"/>
                              <w:spacing w:line="276" w:lineRule="auto"/>
                              <w:jc w:val="right"/>
                              <w:rPr>
                                <w:rFonts w:ascii="Arial" w:hAnsi="Arial" w:eastAsia="宋体" w:cs="Arial"/>
                                <w:snapToGrid w:val="0"/>
                                <w:sz w:val="20"/>
                                <w:lang w:eastAsia="zh-CN"/>
                              </w:rPr>
                            </w:pPr>
                            <w:r>
                              <w:rPr>
                                <w:rFonts w:hint="eastAsia" w:ascii="Arial" w:hAnsi="Arial" w:eastAsia="宋体" w:cs="Arial"/>
                                <w:snapToGrid w:val="0"/>
                                <w:sz w:val="20"/>
                                <w:lang w:eastAsia="zh-CN"/>
                              </w:rPr>
                              <w:t>针</w:t>
                            </w:r>
                          </w:p>
                        </w:txbxContent>
                      </wps:txbx>
                      <wps:bodyPr rot="0" vert="horz" wrap="square" lIns="0" tIns="0" rIns="0" bIns="0" anchor="t" anchorCtr="0" upright="1">
                        <a:noAutofit/>
                      </wps:bodyPr>
                    </wps:wsp>
                  </a:graphicData>
                </a:graphic>
              </wp:anchor>
            </w:drawing>
          </mc:Choice>
          <mc:Fallback>
            <w:pict>
              <v:shape id="Text Box 19" o:spid="_x0000_s1026" o:spt="202" type="#_x0000_t202" style="position:absolute;left:0pt;margin-left:112pt;margin-top:98pt;height:16.6pt;width:39.5pt;z-index:251670528;mso-width-relative:page;mso-height-relative:page;" filled="f" stroked="f" coordsize="21600,21600" o:gfxdata="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JntG2AAAAAsBAAAPAAAAAAAAAAEAIAAAACIAAABkcnMvZG93bnJl&#10;di54bWxQSwECFAAUAAAACACHTuJAInpcwf0BAAAFBAAADgAAAAAAAAABACAAAAAnAQAAZHJzL2Uy&#10;b0RvYy54bWxQSwUGAAAAAAYABgBZAQAAlgUAAAAA&#10;">
                <v:fill on="f" focussize="0,0"/>
                <v:stroke on="f"/>
                <v:imagedata o:title=""/>
                <o:lock v:ext="edit" aspectratio="f"/>
                <v:textbox inset="0mm,0mm,0mm,0mm">
                  <w:txbxContent>
                    <w:p w14:paraId="5D2307C4">
                      <w:pPr>
                        <w:snapToGrid w:val="0"/>
                        <w:spacing w:line="276" w:lineRule="auto"/>
                        <w:jc w:val="right"/>
                        <w:rPr>
                          <w:rFonts w:ascii="Arial" w:hAnsi="Arial" w:eastAsia="宋体" w:cs="Arial"/>
                          <w:snapToGrid w:val="0"/>
                          <w:sz w:val="20"/>
                          <w:lang w:eastAsia="zh-CN"/>
                        </w:rPr>
                      </w:pPr>
                      <w:r>
                        <w:rPr>
                          <w:rFonts w:hint="eastAsia" w:ascii="Arial" w:hAnsi="Arial" w:eastAsia="宋体" w:cs="Arial"/>
                          <w:snapToGrid w:val="0"/>
                          <w:sz w:val="20"/>
                          <w:lang w:eastAsia="zh-CN"/>
                        </w:rPr>
                        <w:t>针</w:t>
                      </w:r>
                    </w:p>
                  </w:txbxContent>
                </v:textbox>
              </v:shape>
            </w:pict>
          </mc:Fallback>
        </mc:AlternateContent>
      </w:r>
      <w:r>
        <w:rPr>
          <w:rFonts w:ascii="Arial" w:hAnsi="Arial" w:eastAsia="宋体" w:cs="Arial"/>
          <w:szCs w:val="2"/>
          <w:lang w:eastAsia="zh-CN" w:bidi="ar-SA"/>
        </w:rPr>
        <mc:AlternateContent>
          <mc:Choice Requires="wps">
            <w:drawing>
              <wp:anchor distT="0" distB="0" distL="114300" distR="114300" simplePos="0" relativeHeight="251666432" behindDoc="0" locked="0" layoutInCell="1" allowOverlap="1">
                <wp:simplePos x="0" y="0"/>
                <wp:positionH relativeFrom="column">
                  <wp:posOffset>1736725</wp:posOffset>
                </wp:positionH>
                <wp:positionV relativeFrom="paragraph">
                  <wp:posOffset>2213610</wp:posOffset>
                </wp:positionV>
                <wp:extent cx="758825" cy="210820"/>
                <wp:effectExtent l="3175" t="3810" r="0" b="4445"/>
                <wp:wrapNone/>
                <wp:docPr id="16" name="Text Box 15"/>
                <wp:cNvGraphicFramePr/>
                <a:graphic xmlns:a="http://schemas.openxmlformats.org/drawingml/2006/main">
                  <a:graphicData uri="http://schemas.microsoft.com/office/word/2010/wordprocessingShape">
                    <wps:wsp>
                      <wps:cNvSpPr txBox="1">
                        <a:spLocks noChangeArrowheads="1"/>
                      </wps:cNvSpPr>
                      <wps:spPr bwMode="auto">
                        <a:xfrm>
                          <a:off x="0" y="0"/>
                          <a:ext cx="758825" cy="210820"/>
                        </a:xfrm>
                        <a:prstGeom prst="rect">
                          <a:avLst/>
                        </a:prstGeom>
                        <a:noFill/>
                        <a:ln>
                          <a:noFill/>
                        </a:ln>
                      </wps:spPr>
                      <wps:txbx>
                        <w:txbxContent>
                          <w:p w14:paraId="6A0A5CEE">
                            <w:pPr>
                              <w:snapToGrid w:val="0"/>
                              <w:spacing w:line="276" w:lineRule="auto"/>
                              <w:jc w:val="center"/>
                              <w:rPr>
                                <w:rFonts w:ascii="Arial" w:hAnsi="Arial" w:eastAsia="宋体" w:cs="Arial"/>
                                <w:sz w:val="13"/>
                              </w:rPr>
                            </w:pPr>
                            <w:r>
                              <w:rPr>
                                <w:rFonts w:hint="eastAsia" w:ascii="Arial" w:hAnsi="Arial" w:eastAsia="宋体" w:cs="Arial"/>
                                <w:snapToGrid w:val="0"/>
                                <w:sz w:val="20"/>
                                <w:lang w:eastAsia="zh-CN"/>
                              </w:rPr>
                              <w:t>储液槽</w:t>
                            </w: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136.75pt;margin-top:174.3pt;height:16.6pt;width:59.75pt;z-index:251666432;mso-width-relative:page;mso-height-relative:page;" filled="f" stroked="f" coordsize="21600,21600" o:gfxdata="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MseK2gAAAAsBAAAPAAAAAAAAAAEAIAAAACIAAABkcnMvZG93&#10;bnJldi54bWxQSwECFAAUAAAACACHTuJAA9HBEv4BAAAFBAAADgAAAAAAAAABACAAAAApAQAAZHJz&#10;L2Uyb0RvYy54bWxQSwUGAAAAAAYABgBZAQAAmQUAAAAA&#10;">
                <v:fill on="f" focussize="0,0"/>
                <v:stroke on="f"/>
                <v:imagedata o:title=""/>
                <o:lock v:ext="edit" aspectratio="f"/>
                <v:textbox inset="0mm,0mm,0mm,0mm">
                  <w:txbxContent>
                    <w:p w14:paraId="6A0A5CEE">
                      <w:pPr>
                        <w:snapToGrid w:val="0"/>
                        <w:spacing w:line="276" w:lineRule="auto"/>
                        <w:jc w:val="center"/>
                        <w:rPr>
                          <w:rFonts w:ascii="Arial" w:hAnsi="Arial" w:eastAsia="宋体" w:cs="Arial"/>
                          <w:sz w:val="13"/>
                        </w:rPr>
                      </w:pPr>
                      <w:r>
                        <w:rPr>
                          <w:rFonts w:hint="eastAsia" w:ascii="Arial" w:hAnsi="Arial" w:eastAsia="宋体" w:cs="Arial"/>
                          <w:snapToGrid w:val="0"/>
                          <w:sz w:val="20"/>
                          <w:lang w:eastAsia="zh-CN"/>
                        </w:rPr>
                        <w:t>储液槽</w:t>
                      </w:r>
                    </w:p>
                  </w:txbxContent>
                </v:textbox>
              </v:shape>
            </w:pict>
          </mc:Fallback>
        </mc:AlternateContent>
      </w:r>
      <w:r>
        <w:rPr>
          <w:rFonts w:ascii="Arial" w:hAnsi="Arial" w:eastAsia="宋体" w:cs="Arial"/>
          <w:szCs w:val="2"/>
          <w:lang w:eastAsia="zh-CN" w:bidi="ar-SA"/>
        </w:rPr>
        <mc:AlternateContent>
          <mc:Choice Requires="wps">
            <w:drawing>
              <wp:anchor distT="0" distB="0" distL="114300" distR="114300" simplePos="0" relativeHeight="251669504" behindDoc="0" locked="0" layoutInCell="1" allowOverlap="1">
                <wp:simplePos x="0" y="0"/>
                <wp:positionH relativeFrom="column">
                  <wp:posOffset>3562350</wp:posOffset>
                </wp:positionH>
                <wp:positionV relativeFrom="paragraph">
                  <wp:posOffset>1339850</wp:posOffset>
                </wp:positionV>
                <wp:extent cx="923925" cy="504825"/>
                <wp:effectExtent l="0" t="0" r="0" b="3175"/>
                <wp:wrapNone/>
                <wp:docPr id="15" name="Text Box 18"/>
                <wp:cNvGraphicFramePr/>
                <a:graphic xmlns:a="http://schemas.openxmlformats.org/drawingml/2006/main">
                  <a:graphicData uri="http://schemas.microsoft.com/office/word/2010/wordprocessingShape">
                    <wps:wsp>
                      <wps:cNvSpPr txBox="1">
                        <a:spLocks noChangeArrowheads="1"/>
                      </wps:cNvSpPr>
                      <wps:spPr bwMode="auto">
                        <a:xfrm>
                          <a:off x="0" y="0"/>
                          <a:ext cx="923925" cy="504825"/>
                        </a:xfrm>
                        <a:prstGeom prst="rect">
                          <a:avLst/>
                        </a:prstGeom>
                        <a:noFill/>
                        <a:ln>
                          <a:noFill/>
                        </a:ln>
                      </wps:spPr>
                      <wps:txbx>
                        <w:txbxContent>
                          <w:p w14:paraId="152DE403">
                            <w:pPr>
                              <w:snapToGrid w:val="0"/>
                              <w:spacing w:line="276" w:lineRule="auto"/>
                              <w:jc w:val="center"/>
                              <w:rPr>
                                <w:rFonts w:ascii="Arial" w:hAnsi="Arial" w:eastAsia="宋体" w:cs="Arial"/>
                                <w:sz w:val="13"/>
                              </w:rPr>
                            </w:pPr>
                            <w:bookmarkStart w:id="16" w:name="OLE_LINK43"/>
                            <w:bookmarkStart w:id="17" w:name="_Hlk500333367"/>
                            <w:bookmarkStart w:id="18" w:name="OLE_LINK44"/>
                            <w:r>
                              <w:rPr>
                                <w:rFonts w:hint="eastAsia" w:ascii="Arial" w:hAnsi="Arial" w:eastAsia="宋体" w:cs="Arial"/>
                                <w:snapToGrid w:val="0"/>
                                <w:sz w:val="20"/>
                                <w:lang w:eastAsia="zh-CN"/>
                              </w:rPr>
                              <w:t>流出测量点</w:t>
                            </w:r>
                            <w:bookmarkEnd w:id="16"/>
                            <w:bookmarkEnd w:id="17"/>
                            <w:bookmarkEnd w:id="18"/>
                          </w:p>
                        </w:txbxContent>
                      </wps:txbx>
                      <wps:bodyPr rot="0" vert="horz" wrap="square" lIns="0" tIns="0" rIns="0" bIns="0" anchor="t" anchorCtr="0" upright="1">
                        <a:noAutofit/>
                      </wps:bodyPr>
                    </wps:wsp>
                  </a:graphicData>
                </a:graphic>
              </wp:anchor>
            </w:drawing>
          </mc:Choice>
          <mc:Fallback>
            <w:pict>
              <v:shape id="Text Box 18" o:spid="_x0000_s1026" o:spt="202" type="#_x0000_t202" style="position:absolute;left:0pt;margin-left:280.5pt;margin-top:105.5pt;height:39.75pt;width:72.75pt;z-index:251669504;mso-width-relative:page;mso-height-relative:page;" filled="f" stroked="f" coordsize="21600,21600" o:gfxdata="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4kv982QAAAAsBAAAPAAAAAAAAAAEAIAAAACIAAABkcnMvZG93bnJl&#10;di54bWxQSwECFAAUAAAACACHTuJAMXjW9PwBAAAFBAAADgAAAAAAAAABACAAAAAoAQAAZHJzL2Uy&#10;b0RvYy54bWxQSwUGAAAAAAYABgBZAQAAlgUAAAAA&#10;">
                <v:fill on="f" focussize="0,0"/>
                <v:stroke on="f"/>
                <v:imagedata o:title=""/>
                <o:lock v:ext="edit" aspectratio="f"/>
                <v:textbox inset="0mm,0mm,0mm,0mm">
                  <w:txbxContent>
                    <w:p w14:paraId="152DE403">
                      <w:pPr>
                        <w:snapToGrid w:val="0"/>
                        <w:spacing w:line="276" w:lineRule="auto"/>
                        <w:jc w:val="center"/>
                        <w:rPr>
                          <w:rFonts w:ascii="Arial" w:hAnsi="Arial" w:eastAsia="宋体" w:cs="Arial"/>
                          <w:sz w:val="13"/>
                        </w:rPr>
                      </w:pPr>
                      <w:bookmarkStart w:id="16" w:name="OLE_LINK43"/>
                      <w:bookmarkStart w:id="17" w:name="_Hlk500333367"/>
                      <w:bookmarkStart w:id="18" w:name="OLE_LINK44"/>
                      <w:r>
                        <w:rPr>
                          <w:rFonts w:hint="eastAsia" w:ascii="Arial" w:hAnsi="Arial" w:eastAsia="宋体" w:cs="Arial"/>
                          <w:snapToGrid w:val="0"/>
                          <w:sz w:val="20"/>
                          <w:lang w:eastAsia="zh-CN"/>
                        </w:rPr>
                        <w:t>流出测量点</w:t>
                      </w:r>
                      <w:bookmarkEnd w:id="16"/>
                      <w:bookmarkEnd w:id="17"/>
                      <w:bookmarkEnd w:id="18"/>
                    </w:p>
                  </w:txbxContent>
                </v:textbox>
              </v:shape>
            </w:pict>
          </mc:Fallback>
        </mc:AlternateContent>
      </w:r>
      <w:r>
        <w:rPr>
          <w:rFonts w:ascii="Arial" w:hAnsi="Arial" w:eastAsia="宋体" w:cs="Arial"/>
          <w:szCs w:val="2"/>
          <w:lang w:eastAsia="zh-CN" w:bidi="ar-SA"/>
        </w:rPr>
        <mc:AlternateContent>
          <mc:Choice Requires="wps">
            <w:drawing>
              <wp:anchor distT="0" distB="0" distL="114300" distR="114300" simplePos="0" relativeHeight="251668480" behindDoc="0" locked="0" layoutInCell="1" allowOverlap="1">
                <wp:simplePos x="0" y="0"/>
                <wp:positionH relativeFrom="column">
                  <wp:posOffset>3622675</wp:posOffset>
                </wp:positionH>
                <wp:positionV relativeFrom="paragraph">
                  <wp:posOffset>2273300</wp:posOffset>
                </wp:positionV>
                <wp:extent cx="682625" cy="342900"/>
                <wp:effectExtent l="3175" t="0" r="0" b="3175"/>
                <wp:wrapNone/>
                <wp:docPr id="14"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82625" cy="342900"/>
                        </a:xfrm>
                        <a:prstGeom prst="rect">
                          <a:avLst/>
                        </a:prstGeom>
                        <a:noFill/>
                        <a:ln>
                          <a:noFill/>
                        </a:ln>
                      </wps:spPr>
                      <wps:txbx>
                        <w:txbxContent>
                          <w:p w14:paraId="5C422F42">
                            <w:pPr>
                              <w:snapToGrid w:val="0"/>
                              <w:spacing w:line="276" w:lineRule="auto"/>
                              <w:jc w:val="center"/>
                              <w:rPr>
                                <w:rFonts w:ascii="Arial" w:hAnsi="Arial" w:eastAsia="宋体" w:cs="Arial"/>
                                <w:sz w:val="13"/>
                              </w:rPr>
                            </w:pPr>
                            <w:bookmarkStart w:id="19" w:name="OLE_LINK48"/>
                            <w:bookmarkStart w:id="20" w:name="_Hlk500333385"/>
                            <w:bookmarkStart w:id="21" w:name="OLE_LINK47"/>
                            <w:r>
                              <w:rPr>
                                <w:rFonts w:hint="eastAsia" w:ascii="Arial" w:hAnsi="Arial" w:eastAsia="宋体" w:cs="Arial"/>
                                <w:snapToGrid w:val="0"/>
                                <w:sz w:val="20"/>
                                <w:lang w:eastAsia="zh-CN"/>
                              </w:rPr>
                              <w:t>阻抗元件</w:t>
                            </w:r>
                            <w:bookmarkEnd w:id="19"/>
                            <w:bookmarkEnd w:id="20"/>
                            <w:bookmarkEnd w:id="21"/>
                          </w:p>
                        </w:txbxContent>
                      </wps:txbx>
                      <wps:bodyPr rot="0" vert="horz" wrap="square" lIns="0" tIns="0" rIns="0" bIns="0" anchor="t" anchorCtr="0" upright="1">
                        <a:noAutofit/>
                      </wps:bodyPr>
                    </wps:wsp>
                  </a:graphicData>
                </a:graphic>
              </wp:anchor>
            </w:drawing>
          </mc:Choice>
          <mc:Fallback>
            <w:pict>
              <v:shape id="Text Box 17" o:spid="_x0000_s1026" o:spt="202" type="#_x0000_t202" style="position:absolute;left:0pt;margin-left:285.25pt;margin-top:179pt;height:27pt;width:53.75pt;z-index:251668480;mso-width-relative:page;mso-height-relative:page;" filled="f" stroked="f" coordsize="21600,21600" o:gfxdata="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yzgwn2gAAAAsBAAAPAAAAAAAAAAEAIAAAACIAAABkcnMvZG93&#10;bnJldi54bWxQSwECFAAUAAAACACHTuJALrqH1/4BAAAFBAAADgAAAAAAAAABACAAAAApAQAAZHJz&#10;L2Uyb0RvYy54bWxQSwUGAAAAAAYABgBZAQAAmQUAAAAA&#10;">
                <v:fill on="f" focussize="0,0"/>
                <v:stroke on="f"/>
                <v:imagedata o:title=""/>
                <o:lock v:ext="edit" aspectratio="f"/>
                <v:textbox inset="0mm,0mm,0mm,0mm">
                  <w:txbxContent>
                    <w:p w14:paraId="5C422F42">
                      <w:pPr>
                        <w:snapToGrid w:val="0"/>
                        <w:spacing w:line="276" w:lineRule="auto"/>
                        <w:jc w:val="center"/>
                        <w:rPr>
                          <w:rFonts w:ascii="Arial" w:hAnsi="Arial" w:eastAsia="宋体" w:cs="Arial"/>
                          <w:sz w:val="13"/>
                        </w:rPr>
                      </w:pPr>
                      <w:bookmarkStart w:id="19" w:name="OLE_LINK48"/>
                      <w:bookmarkStart w:id="20" w:name="_Hlk500333385"/>
                      <w:bookmarkStart w:id="21" w:name="OLE_LINK47"/>
                      <w:r>
                        <w:rPr>
                          <w:rFonts w:hint="eastAsia" w:ascii="Arial" w:hAnsi="Arial" w:eastAsia="宋体" w:cs="Arial"/>
                          <w:snapToGrid w:val="0"/>
                          <w:sz w:val="20"/>
                          <w:lang w:eastAsia="zh-CN"/>
                        </w:rPr>
                        <w:t>阻抗元件</w:t>
                      </w:r>
                      <w:bookmarkEnd w:id="19"/>
                      <w:bookmarkEnd w:id="20"/>
                      <w:bookmarkEnd w:id="21"/>
                    </w:p>
                  </w:txbxContent>
                </v:textbox>
              </v:shape>
            </w:pict>
          </mc:Fallback>
        </mc:AlternateContent>
      </w:r>
      <w:r>
        <w:rPr>
          <w:rFonts w:ascii="Arial" w:hAnsi="Arial" w:eastAsia="宋体" w:cs="Arial"/>
          <w:szCs w:val="2"/>
          <w:lang w:eastAsia="zh-CN" w:bidi="ar-SA"/>
        </w:rPr>
        <mc:AlternateContent>
          <mc:Choice Requires="wps">
            <w:drawing>
              <wp:anchor distT="0" distB="0" distL="114300" distR="114300" simplePos="0" relativeHeight="251667456" behindDoc="0" locked="0" layoutInCell="1" allowOverlap="1">
                <wp:simplePos x="0" y="0"/>
                <wp:positionH relativeFrom="column">
                  <wp:posOffset>2879725</wp:posOffset>
                </wp:positionH>
                <wp:positionV relativeFrom="paragraph">
                  <wp:posOffset>2405380</wp:posOffset>
                </wp:positionV>
                <wp:extent cx="615950" cy="210820"/>
                <wp:effectExtent l="3175" t="0" r="0" b="3175"/>
                <wp:wrapNone/>
                <wp:docPr id="13"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15950" cy="210820"/>
                        </a:xfrm>
                        <a:prstGeom prst="rect">
                          <a:avLst/>
                        </a:prstGeom>
                        <a:noFill/>
                        <a:ln>
                          <a:noFill/>
                        </a:ln>
                      </wps:spPr>
                      <wps:txbx>
                        <w:txbxContent>
                          <w:p w14:paraId="58BFA1BC">
                            <w:pPr>
                              <w:snapToGrid w:val="0"/>
                              <w:spacing w:line="276" w:lineRule="auto"/>
                              <w:jc w:val="center"/>
                              <w:rPr>
                                <w:rFonts w:ascii="Arial" w:hAnsi="Arial" w:eastAsia="宋体" w:cs="Arial"/>
                                <w:sz w:val="13"/>
                              </w:rPr>
                            </w:pPr>
                            <w:r>
                              <w:rPr>
                                <w:rFonts w:hint="eastAsia" w:ascii="Arial" w:hAnsi="Arial" w:eastAsia="宋体" w:cs="Arial"/>
                                <w:snapToGrid w:val="0"/>
                                <w:sz w:val="20"/>
                                <w:lang w:eastAsia="zh-CN"/>
                              </w:rPr>
                              <w:t>导管</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226.75pt;margin-top:189.4pt;height:16.6pt;width:48.5pt;z-index:251667456;mso-width-relative:page;mso-height-relative:page;" filled="f" stroked="f" coordsize="21600,21600" o:gfxdata="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qxf69kAAAALAQAADwAAAAAAAAABACAAAAAiAAAAZHJzL2Rvd25y&#10;ZXYueG1sUEsBAhQAFAAAAAgAh07iQB5VWZ79AQAABQQAAA4AAAAAAAAAAQAgAAAAKAEAAGRycy9l&#10;Mm9Eb2MueG1sUEsFBgAAAAAGAAYAWQEAAJcFAAAAAA==&#10;">
                <v:fill on="f" focussize="0,0"/>
                <v:stroke on="f"/>
                <v:imagedata o:title=""/>
                <o:lock v:ext="edit" aspectratio="f"/>
                <v:textbox inset="0mm,0mm,0mm,0mm">
                  <w:txbxContent>
                    <w:p w14:paraId="58BFA1BC">
                      <w:pPr>
                        <w:snapToGrid w:val="0"/>
                        <w:spacing w:line="276" w:lineRule="auto"/>
                        <w:jc w:val="center"/>
                        <w:rPr>
                          <w:rFonts w:ascii="Arial" w:hAnsi="Arial" w:eastAsia="宋体" w:cs="Arial"/>
                          <w:sz w:val="13"/>
                        </w:rPr>
                      </w:pPr>
                      <w:r>
                        <w:rPr>
                          <w:rFonts w:hint="eastAsia" w:ascii="Arial" w:hAnsi="Arial" w:eastAsia="宋体" w:cs="Arial"/>
                          <w:snapToGrid w:val="0"/>
                          <w:sz w:val="20"/>
                          <w:lang w:eastAsia="zh-CN"/>
                        </w:rPr>
                        <w:t>导管</w:t>
                      </w:r>
                    </w:p>
                  </w:txbxContent>
                </v:textbox>
              </v:shape>
            </w:pict>
          </mc:Fallback>
        </mc:AlternateContent>
      </w:r>
      <w:r>
        <w:rPr>
          <w:rFonts w:ascii="Arial" w:hAnsi="Arial" w:eastAsia="宋体" w:cs="Arial"/>
          <w:szCs w:val="2"/>
          <w:lang w:eastAsia="zh-CN" w:bidi="ar-SA"/>
        </w:rPr>
        <mc:AlternateContent>
          <mc:Choice Requires="wps">
            <w:drawing>
              <wp:anchor distT="0" distB="0" distL="114300" distR="114300" simplePos="0" relativeHeight="251665408" behindDoc="0" locked="0" layoutInCell="1" allowOverlap="1">
                <wp:simplePos x="0" y="0"/>
                <wp:positionH relativeFrom="column">
                  <wp:posOffset>2393950</wp:posOffset>
                </wp:positionH>
                <wp:positionV relativeFrom="paragraph">
                  <wp:posOffset>1290955</wp:posOffset>
                </wp:positionV>
                <wp:extent cx="1425575" cy="210820"/>
                <wp:effectExtent l="3175" t="0" r="0" b="3175"/>
                <wp:wrapNone/>
                <wp:docPr id="1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1425575" cy="210820"/>
                        </a:xfrm>
                        <a:prstGeom prst="rect">
                          <a:avLst/>
                        </a:prstGeom>
                        <a:noFill/>
                        <a:ln>
                          <a:noFill/>
                        </a:ln>
                      </wps:spPr>
                      <wps:txbx>
                        <w:txbxContent>
                          <w:p w14:paraId="53232C77">
                            <w:pPr>
                              <w:snapToGrid w:val="0"/>
                              <w:spacing w:line="276" w:lineRule="auto"/>
                              <w:jc w:val="both"/>
                              <w:rPr>
                                <w:rFonts w:ascii="Arial" w:hAnsi="Arial" w:eastAsia="宋体" w:cs="Arial"/>
                                <w:sz w:val="13"/>
                              </w:rPr>
                            </w:pPr>
                            <w:r>
                              <w:rPr>
                                <w:rFonts w:hint="eastAsia" w:ascii="Arial" w:hAnsi="Arial" w:eastAsia="宋体" w:cs="Arial"/>
                                <w:snapToGrid w:val="0"/>
                                <w:sz w:val="20"/>
                                <w:lang w:eastAsia="zh-CN"/>
                              </w:rPr>
                              <w:t>注入点</w:t>
                            </w:r>
                          </w:p>
                        </w:txbxContent>
                      </wps:txbx>
                      <wps:bodyPr rot="0" vert="horz" wrap="square" lIns="0" tIns="0" rIns="0" bIns="0" anchor="t" anchorCtr="0" upright="1">
                        <a:noAutofit/>
                      </wps:bodyPr>
                    </wps:wsp>
                  </a:graphicData>
                </a:graphic>
              </wp:anchor>
            </w:drawing>
          </mc:Choice>
          <mc:Fallback>
            <w:pict>
              <v:shape id="Text Box 14" o:spid="_x0000_s1026" o:spt="202" type="#_x0000_t202" style="position:absolute;left:0pt;margin-left:188.5pt;margin-top:101.65pt;height:16.6pt;width:112.25pt;z-index:251665408;mso-width-relative:page;mso-height-relative:page;" filled="f" stroked="f" coordsize="21600,21600" o:gfxdata="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EAcV2gAAAAsBAAAPAAAAAAAAAAEAIAAAACIAAABkcnMvZG93&#10;bnJldi54bWxQSwECFAAUAAAACACHTuJADR5J9f4BAAAGBAAADgAAAAAAAAABACAAAAApAQAAZHJz&#10;L2Uyb0RvYy54bWxQSwUGAAAAAAYABgBZAQAAmQUAAAAA&#10;">
                <v:fill on="f" focussize="0,0"/>
                <v:stroke on="f"/>
                <v:imagedata o:title=""/>
                <o:lock v:ext="edit" aspectratio="f"/>
                <v:textbox inset="0mm,0mm,0mm,0mm">
                  <w:txbxContent>
                    <w:p w14:paraId="53232C77">
                      <w:pPr>
                        <w:snapToGrid w:val="0"/>
                        <w:spacing w:line="276" w:lineRule="auto"/>
                        <w:jc w:val="both"/>
                        <w:rPr>
                          <w:rFonts w:ascii="Arial" w:hAnsi="Arial" w:eastAsia="宋体" w:cs="Arial"/>
                          <w:sz w:val="13"/>
                        </w:rPr>
                      </w:pPr>
                      <w:r>
                        <w:rPr>
                          <w:rFonts w:hint="eastAsia" w:ascii="Arial" w:hAnsi="Arial" w:eastAsia="宋体" w:cs="Arial"/>
                          <w:snapToGrid w:val="0"/>
                          <w:sz w:val="20"/>
                          <w:lang w:eastAsia="zh-CN"/>
                        </w:rPr>
                        <w:t>注入点</w:t>
                      </w:r>
                    </w:p>
                  </w:txbxContent>
                </v:textbox>
              </v:shape>
            </w:pict>
          </mc:Fallback>
        </mc:AlternateContent>
      </w:r>
      <w:r>
        <w:rPr>
          <w:rFonts w:ascii="Arial" w:hAnsi="Arial" w:eastAsia="宋体" w:cs="Arial"/>
          <w:szCs w:val="2"/>
          <w:lang w:eastAsia="zh-CN" w:bidi="ar-SA"/>
        </w:rPr>
        <mc:AlternateContent>
          <mc:Choice Requires="wps">
            <w:drawing>
              <wp:anchor distT="0" distB="0" distL="114300" distR="114300" simplePos="0" relativeHeight="251664384" behindDoc="0" locked="0" layoutInCell="1" allowOverlap="1">
                <wp:simplePos x="0" y="0"/>
                <wp:positionH relativeFrom="column">
                  <wp:posOffset>2574925</wp:posOffset>
                </wp:positionH>
                <wp:positionV relativeFrom="paragraph">
                  <wp:posOffset>795655</wp:posOffset>
                </wp:positionV>
                <wp:extent cx="1425575" cy="210820"/>
                <wp:effectExtent l="3175" t="0" r="0" b="3175"/>
                <wp:wrapNone/>
                <wp:docPr id="1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1425575" cy="210820"/>
                        </a:xfrm>
                        <a:prstGeom prst="rect">
                          <a:avLst/>
                        </a:prstGeom>
                        <a:noFill/>
                        <a:ln>
                          <a:noFill/>
                        </a:ln>
                      </wps:spPr>
                      <wps:txbx>
                        <w:txbxContent>
                          <w:p w14:paraId="1D2952E8">
                            <w:pPr>
                              <w:snapToGrid w:val="0"/>
                              <w:spacing w:line="276" w:lineRule="auto"/>
                              <w:jc w:val="both"/>
                              <w:rPr>
                                <w:rFonts w:ascii="Arial" w:hAnsi="Arial" w:eastAsia="宋体" w:cs="Arial"/>
                                <w:sz w:val="13"/>
                              </w:rPr>
                            </w:pPr>
                            <w:r>
                              <w:rPr>
                                <w:rFonts w:hint="eastAsia" w:ascii="Arial" w:hAnsi="Arial" w:eastAsia="宋体" w:cs="Arial"/>
                                <w:snapToGrid w:val="0"/>
                                <w:sz w:val="20"/>
                                <w:lang w:eastAsia="zh-CN"/>
                              </w:rPr>
                              <w:t>压力传感器</w:t>
                            </w:r>
                          </w:p>
                        </w:txbxContent>
                      </wps:txbx>
                      <wps:bodyPr rot="0" vert="horz" wrap="square" lIns="0" tIns="0" rIns="0" bIns="0" anchor="t" anchorCtr="0" upright="1">
                        <a:noAutofit/>
                      </wps:bodyPr>
                    </wps:wsp>
                  </a:graphicData>
                </a:graphic>
              </wp:anchor>
            </w:drawing>
          </mc:Choice>
          <mc:Fallback>
            <w:pict>
              <v:shape id="Text Box 13" o:spid="_x0000_s1026" o:spt="202" type="#_x0000_t202" style="position:absolute;left:0pt;margin-left:202.75pt;margin-top:62.65pt;height:16.6pt;width:112.25pt;z-index:251664384;mso-width-relative:page;mso-height-relative:page;" filled="f" stroked="f" coordsize="21600,21600" o:gfxdata="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YDE+zZAAAACwEAAA8AAAAAAAAAAQAgAAAAIgAAAGRycy9kb3du&#10;cmV2LnhtbFBLAQIUABQAAAAIAIdO4kCb5wmj/gEAAAYEAAAOAAAAAAAAAAEAIAAAACgBAABkcnMv&#10;ZTJvRG9jLnhtbFBLBQYAAAAABgAGAFkBAACYBQAAAAA=&#10;">
                <v:fill on="f" focussize="0,0"/>
                <v:stroke on="f"/>
                <v:imagedata o:title=""/>
                <o:lock v:ext="edit" aspectratio="f"/>
                <v:textbox inset="0mm,0mm,0mm,0mm">
                  <w:txbxContent>
                    <w:p w14:paraId="1D2952E8">
                      <w:pPr>
                        <w:snapToGrid w:val="0"/>
                        <w:spacing w:line="276" w:lineRule="auto"/>
                        <w:jc w:val="both"/>
                        <w:rPr>
                          <w:rFonts w:ascii="Arial" w:hAnsi="Arial" w:eastAsia="宋体" w:cs="Arial"/>
                          <w:sz w:val="13"/>
                        </w:rPr>
                      </w:pPr>
                      <w:r>
                        <w:rPr>
                          <w:rFonts w:hint="eastAsia" w:ascii="Arial" w:hAnsi="Arial" w:eastAsia="宋体" w:cs="Arial"/>
                          <w:snapToGrid w:val="0"/>
                          <w:sz w:val="20"/>
                          <w:lang w:eastAsia="zh-CN"/>
                        </w:rPr>
                        <w:t>压力传感器</w:t>
                      </w:r>
                    </w:p>
                  </w:txbxContent>
                </v:textbox>
              </v:shape>
            </w:pict>
          </mc:Fallback>
        </mc:AlternateContent>
      </w:r>
      <w:r>
        <w:rPr>
          <w:rFonts w:ascii="Arial" w:hAnsi="Arial" w:eastAsia="宋体" w:cs="Arial"/>
          <w:szCs w:val="2"/>
          <w:lang w:eastAsia="zh-CN" w:bidi="ar-SA"/>
        </w:rPr>
        <mc:AlternateContent>
          <mc:Choice Requires="wps">
            <w:drawing>
              <wp:anchor distT="0" distB="0" distL="114300" distR="114300" simplePos="0" relativeHeight="251663360" behindDoc="0" locked="0" layoutInCell="1" allowOverlap="1">
                <wp:simplePos x="0" y="0"/>
                <wp:positionH relativeFrom="column">
                  <wp:posOffset>2574925</wp:posOffset>
                </wp:positionH>
                <wp:positionV relativeFrom="paragraph">
                  <wp:posOffset>292100</wp:posOffset>
                </wp:positionV>
                <wp:extent cx="1177925" cy="210820"/>
                <wp:effectExtent l="3175" t="0" r="0" b="1905"/>
                <wp:wrapNone/>
                <wp:docPr id="10"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77925" cy="210820"/>
                        </a:xfrm>
                        <a:prstGeom prst="rect">
                          <a:avLst/>
                        </a:prstGeom>
                        <a:noFill/>
                        <a:ln>
                          <a:noFill/>
                        </a:ln>
                      </wps:spPr>
                      <wps:txbx>
                        <w:txbxContent>
                          <w:p w14:paraId="7E13EDC6">
                            <w:pPr>
                              <w:snapToGrid w:val="0"/>
                              <w:spacing w:line="276" w:lineRule="auto"/>
                              <w:jc w:val="both"/>
                              <w:rPr>
                                <w:rFonts w:ascii="Arial" w:hAnsi="Arial" w:eastAsia="宋体" w:cs="Arial"/>
                                <w:sz w:val="13"/>
                              </w:rPr>
                            </w:pPr>
                            <w:r>
                              <w:rPr>
                                <w:rFonts w:hint="eastAsia" w:ascii="Arial" w:hAnsi="Arial" w:eastAsia="宋体" w:cs="Arial"/>
                                <w:snapToGrid w:val="0"/>
                                <w:sz w:val="20"/>
                                <w:lang w:eastAsia="zh-CN"/>
                              </w:rPr>
                              <w:t>注射管</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202.75pt;margin-top:23pt;height:16.6pt;width:92.75pt;z-index:251663360;mso-width-relative:page;mso-height-relative:page;" filled="f" stroked="f" coordsize="21600,21600" o:gfxdata="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BCnJ+fXAAAACQEAAA8AAAAAAAAAAQAgAAAAIgAAAGRycy9kb3ducmV2&#10;LnhtbFBLAQIUABQAAAAIAIdO4kCteTYe/QEAAAYEAAAOAAAAAAAAAAEAIAAAACYBAABkcnMvZTJv&#10;RG9jLnhtbFBLBQYAAAAABgAGAFkBAACVBQAAAAA=&#10;">
                <v:fill on="f" focussize="0,0"/>
                <v:stroke on="f"/>
                <v:imagedata o:title=""/>
                <o:lock v:ext="edit" aspectratio="f"/>
                <v:textbox inset="0mm,0mm,0mm,0mm">
                  <w:txbxContent>
                    <w:p w14:paraId="7E13EDC6">
                      <w:pPr>
                        <w:snapToGrid w:val="0"/>
                        <w:spacing w:line="276" w:lineRule="auto"/>
                        <w:jc w:val="both"/>
                        <w:rPr>
                          <w:rFonts w:ascii="Arial" w:hAnsi="Arial" w:eastAsia="宋体" w:cs="Arial"/>
                          <w:sz w:val="13"/>
                        </w:rPr>
                      </w:pPr>
                      <w:r>
                        <w:rPr>
                          <w:rFonts w:hint="eastAsia" w:ascii="Arial" w:hAnsi="Arial" w:eastAsia="宋体" w:cs="Arial"/>
                          <w:snapToGrid w:val="0"/>
                          <w:sz w:val="20"/>
                          <w:lang w:eastAsia="zh-CN"/>
                        </w:rPr>
                        <w:t>注射管</w:t>
                      </w:r>
                    </w:p>
                  </w:txbxContent>
                </v:textbox>
              </v:shape>
            </w:pict>
          </mc:Fallback>
        </mc:AlternateContent>
      </w:r>
      <w:r>
        <w:rPr>
          <w:rFonts w:hint="eastAsia" w:ascii="Arial" w:hAnsi="Arial" w:eastAsia="宋体" w:cs="Arial"/>
          <w:szCs w:val="2"/>
          <w:lang w:eastAsia="zh-CN" w:bidi="ar-SA"/>
        </w:rPr>
        <w:drawing>
          <wp:inline distT="0" distB="0" distL="0" distR="0">
            <wp:extent cx="2895600" cy="25431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895600" cy="2543175"/>
                    </a:xfrm>
                    <a:prstGeom prst="rect">
                      <a:avLst/>
                    </a:prstGeom>
                    <a:noFill/>
                    <a:ln>
                      <a:noFill/>
                    </a:ln>
                  </pic:spPr>
                </pic:pic>
              </a:graphicData>
            </a:graphic>
          </wp:inline>
        </w:drawing>
      </w:r>
    </w:p>
    <w:p w14:paraId="3A351DE9">
      <w:pPr>
        <w:pStyle w:val="37"/>
        <w:shd w:val="clear" w:color="auto" w:fill="auto"/>
        <w:topLinePunct/>
        <w:adjustRightInd w:val="0"/>
        <w:snapToGrid w:val="0"/>
        <w:spacing w:after="270" w:afterLines="75" w:line="360" w:lineRule="auto"/>
        <w:jc w:val="center"/>
        <w:rPr>
          <w:rFonts w:eastAsia="宋体"/>
          <w:snapToGrid w:val="0"/>
          <w:sz w:val="24"/>
        </w:rPr>
      </w:pPr>
    </w:p>
    <w:p w14:paraId="2F7956C2">
      <w:pPr>
        <w:topLinePunct/>
        <w:adjustRightInd w:val="0"/>
        <w:snapToGrid w:val="0"/>
        <w:spacing w:after="270" w:afterLines="75" w:line="360" w:lineRule="auto"/>
        <w:jc w:val="both"/>
        <w:rPr>
          <w:rFonts w:ascii="Arial" w:hAnsi="Arial" w:eastAsia="宋体" w:cs="Arial"/>
          <w:snapToGrid w:val="0"/>
          <w:szCs w:val="19"/>
        </w:rPr>
      </w:pPr>
      <w:r>
        <w:rPr>
          <w:rFonts w:ascii="Arial" w:hAnsi="Arial" w:eastAsia="宋体" w:cs="Arial"/>
          <w:snapToGrid w:val="0"/>
          <w:szCs w:val="2"/>
        </w:rPr>
        <w:br w:type="page"/>
      </w:r>
    </w:p>
    <w:p w14:paraId="14495A0D">
      <w:pPr>
        <w:pStyle w:val="17"/>
        <w:shd w:val="clear" w:color="auto" w:fill="auto"/>
        <w:topLinePunct/>
        <w:adjustRightInd w:val="0"/>
        <w:snapToGrid w:val="0"/>
        <w:spacing w:after="270" w:afterLines="75" w:line="360" w:lineRule="auto"/>
        <w:jc w:val="center"/>
        <w:rPr>
          <w:rFonts w:ascii="Arial" w:hAnsi="Arial" w:eastAsia="宋体" w:cs="Arial"/>
          <w:b w:val="0"/>
          <w:snapToGrid w:val="0"/>
          <w:spacing w:val="0"/>
          <w:sz w:val="24"/>
        </w:rPr>
      </w:pPr>
      <w:r>
        <w:rPr>
          <w:rStyle w:val="25"/>
          <w:rFonts w:hint="eastAsia" w:ascii="Arial" w:hAnsi="Arial" w:eastAsia="宋体" w:cs="Arial"/>
          <w:b w:val="0"/>
          <w:bCs/>
          <w:snapToGrid w:val="0"/>
          <w:spacing w:val="0"/>
          <w:sz w:val="24"/>
          <w:lang w:eastAsia="zh-CN"/>
        </w:rPr>
        <w:t>图</w:t>
      </w:r>
      <w:r>
        <w:fldChar w:fldCharType="begin"/>
      </w:r>
      <w:r>
        <w:rPr>
          <w:rFonts w:ascii="Arial" w:hAnsi="Arial" w:eastAsia="宋体" w:cs="Arial"/>
          <w:b w:val="0"/>
          <w:snapToGrid w:val="0"/>
          <w:spacing w:val="0"/>
          <w:sz w:val="24"/>
        </w:rPr>
        <w:instrText xml:space="preserve"> PAGE \* MERGEFORMAT </w:instrText>
      </w:r>
      <w:r>
        <w:fldChar w:fldCharType="separate"/>
      </w:r>
      <w:r>
        <w:rPr>
          <w:rStyle w:val="25"/>
          <w:rFonts w:ascii="Arial" w:hAnsi="Arial" w:eastAsia="宋体" w:cs="Arial"/>
          <w:b w:val="0"/>
          <w:bCs/>
          <w:snapToGrid w:val="0"/>
          <w:spacing w:val="0"/>
          <w:sz w:val="24"/>
        </w:rPr>
        <w:t>3</w:t>
      </w:r>
      <w:r>
        <w:rPr>
          <w:rStyle w:val="25"/>
          <w:rFonts w:ascii="Arial" w:hAnsi="Arial" w:eastAsia="宋体" w:cs="Arial"/>
          <w:b w:val="0"/>
          <w:bCs/>
          <w:snapToGrid w:val="0"/>
          <w:spacing w:val="0"/>
          <w:sz w:val="24"/>
        </w:rPr>
        <w:fldChar w:fldCharType="end"/>
      </w:r>
      <w:r>
        <w:rPr>
          <w:rStyle w:val="25"/>
          <w:rFonts w:ascii="Arial" w:hAnsi="Arial" w:eastAsia="宋体" w:cs="Arial"/>
          <w:b w:val="0"/>
          <w:bCs/>
          <w:snapToGrid w:val="0"/>
          <w:spacing w:val="0"/>
          <w:sz w:val="24"/>
        </w:rPr>
        <w:t>.</w:t>
      </w:r>
    </w:p>
    <w:p w14:paraId="1EBBBC4B">
      <w:pPr>
        <w:pStyle w:val="39"/>
        <w:shd w:val="clear" w:color="auto" w:fill="auto"/>
        <w:topLinePunct/>
        <w:adjustRightInd w:val="0"/>
        <w:snapToGrid w:val="0"/>
        <w:spacing w:after="270" w:afterLines="75" w:line="360" w:lineRule="auto"/>
        <w:jc w:val="center"/>
        <w:outlineLvl w:val="9"/>
        <w:rPr>
          <w:rFonts w:eastAsia="宋体"/>
          <w:b w:val="0"/>
          <w:snapToGrid w:val="0"/>
          <w:sz w:val="24"/>
          <w:lang w:eastAsia="zh-CN"/>
        </w:rPr>
      </w:pPr>
      <w:bookmarkStart w:id="15" w:name="bookmark0"/>
      <w:bookmarkEnd w:id="15"/>
      <w:r>
        <w:rPr>
          <w:lang w:eastAsia="zh-CN" w:bidi="ar-SA"/>
        </w:rPr>
        <mc:AlternateContent>
          <mc:Choice Requires="wps">
            <w:drawing>
              <wp:anchor distT="0" distB="0" distL="114300" distR="114300" simplePos="0" relativeHeight="251661312" behindDoc="0" locked="0" layoutInCell="1" allowOverlap="1">
                <wp:simplePos x="0" y="0"/>
                <wp:positionH relativeFrom="column">
                  <wp:posOffset>1176655</wp:posOffset>
                </wp:positionH>
                <wp:positionV relativeFrom="paragraph">
                  <wp:posOffset>393065</wp:posOffset>
                </wp:positionV>
                <wp:extent cx="206375" cy="1843405"/>
                <wp:effectExtent l="0" t="2540" r="0" b="4445"/>
                <wp:wrapNone/>
                <wp:docPr id="9"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06375" cy="1843405"/>
                        </a:xfrm>
                        <a:prstGeom prst="rect">
                          <a:avLst/>
                        </a:prstGeom>
                        <a:noFill/>
                        <a:ln>
                          <a:noFill/>
                        </a:ln>
                      </wps:spPr>
                      <wps:txbx>
                        <w:txbxContent>
                          <w:p w14:paraId="30177BD3">
                            <w:pPr>
                              <w:snapToGrid w:val="0"/>
                              <w:spacing w:line="276" w:lineRule="auto"/>
                              <w:jc w:val="center"/>
                              <w:rPr>
                                <w:rFonts w:ascii="Arial" w:hAnsi="Arial" w:cs="Arial"/>
                                <w:sz w:val="18"/>
                              </w:rPr>
                            </w:pPr>
                            <w:r>
                              <w:rPr>
                                <w:rFonts w:hint="eastAsia" w:eastAsia="宋体"/>
                                <w:snapToGrid w:val="0"/>
                                <w:sz w:val="21"/>
                                <w:lang w:eastAsia="zh-CN"/>
                              </w:rPr>
                              <w:t>相对阻抗</w:t>
                            </w:r>
                          </w:p>
                        </w:txbxContent>
                      </wps:txbx>
                      <wps:bodyPr rot="0" vert="vert270"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10" o:spid="_x0000_s1026" o:spt="202" type="#_x0000_t202" style="position:absolute;left:0pt;margin-left:92.65pt;margin-top:30.95pt;height:145.15pt;width:16.25pt;z-index:251661312;mso-width-relative:page;mso-height-relative:margin;mso-height-percent:200;" filled="f" stroked="f" coordsize="21600,21600" o:gfxdata="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Yu6VHYAAAACgEAAA8AAAAAAAAAAQAgAAAAIgAAAGRycy9kb3du&#10;cmV2LnhtbFBLAQIUABQAAAAIAIdO4kCWxuWb/wEAAAgEAAAOAAAAAAAAAAEAIAAAACcBAABkcnMv&#10;ZTJvRG9jLnhtbFBLBQYAAAAABgAGAFkBAACYBQAAAAA=&#10;">
                <v:fill on="f" focussize="0,0"/>
                <v:stroke on="f"/>
                <v:imagedata o:title=""/>
                <o:lock v:ext="edit" aspectratio="f"/>
                <v:textbox inset="0mm,0mm,0mm,0mm" style="layout-flow:vertical;mso-fit-shape-to-text:t;mso-layout-flow-alt:bottom-to-top;">
                  <w:txbxContent>
                    <w:p w14:paraId="30177BD3">
                      <w:pPr>
                        <w:snapToGrid w:val="0"/>
                        <w:spacing w:line="276" w:lineRule="auto"/>
                        <w:jc w:val="center"/>
                        <w:rPr>
                          <w:rFonts w:ascii="Arial" w:hAnsi="Arial" w:cs="Arial"/>
                          <w:sz w:val="18"/>
                        </w:rPr>
                      </w:pPr>
                      <w:r>
                        <w:rPr>
                          <w:rFonts w:hint="eastAsia" w:eastAsia="宋体"/>
                          <w:snapToGrid w:val="0"/>
                          <w:sz w:val="21"/>
                          <w:lang w:eastAsia="zh-CN"/>
                        </w:rPr>
                        <w:t>相对阻抗</w:t>
                      </w:r>
                    </w:p>
                  </w:txbxContent>
                </v:textbox>
              </v:shape>
            </w:pict>
          </mc:Fallback>
        </mc:AlternateContent>
      </w:r>
    </w:p>
    <w:p w14:paraId="0178A256">
      <w:pPr>
        <w:topLinePunct/>
        <w:adjustRightInd w:val="0"/>
        <w:snapToGrid w:val="0"/>
        <w:spacing w:after="270" w:afterLines="75" w:line="360" w:lineRule="auto"/>
        <w:jc w:val="center"/>
        <w:rPr>
          <w:rFonts w:ascii="Arial" w:hAnsi="Arial" w:eastAsia="宋体" w:cs="Arial"/>
          <w:snapToGrid w:val="0"/>
          <w:szCs w:val="2"/>
        </w:rPr>
      </w:pPr>
      <w:r>
        <w:rPr>
          <w:lang w:eastAsia="zh-CN" w:bidi="ar-SA"/>
        </w:rPr>
        <mc:AlternateContent>
          <mc:Choice Requires="wps">
            <w:drawing>
              <wp:anchor distT="0" distB="0" distL="114300" distR="114300" simplePos="0" relativeHeight="251662336" behindDoc="0" locked="0" layoutInCell="1" allowOverlap="1">
                <wp:simplePos x="0" y="0"/>
                <wp:positionH relativeFrom="column">
                  <wp:posOffset>2432050</wp:posOffset>
                </wp:positionH>
                <wp:positionV relativeFrom="paragraph">
                  <wp:posOffset>1854200</wp:posOffset>
                </wp:positionV>
                <wp:extent cx="779780" cy="210820"/>
                <wp:effectExtent l="3175" t="0" r="0" b="1905"/>
                <wp:wrapNone/>
                <wp:docPr id="8"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79780" cy="210820"/>
                        </a:xfrm>
                        <a:prstGeom prst="rect">
                          <a:avLst/>
                        </a:prstGeom>
                        <a:noFill/>
                        <a:ln>
                          <a:noFill/>
                        </a:ln>
                      </wps:spPr>
                      <wps:txbx>
                        <w:txbxContent>
                          <w:p w14:paraId="55AC08F9">
                            <w:pPr>
                              <w:snapToGrid w:val="0"/>
                              <w:spacing w:line="276" w:lineRule="auto"/>
                              <w:jc w:val="center"/>
                              <w:rPr>
                                <w:rFonts w:ascii="Arial" w:hAnsi="Arial" w:cs="Arial"/>
                                <w:sz w:val="15"/>
                              </w:rPr>
                            </w:pPr>
                            <w:r>
                              <w:rPr>
                                <w:rFonts w:hint="eastAsia" w:eastAsia="宋体"/>
                                <w:snapToGrid w:val="0"/>
                                <w:sz w:val="21"/>
                                <w:lang w:eastAsia="zh-CN"/>
                              </w:rPr>
                              <w:t>时间</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191.5pt;margin-top:146pt;height:16.6pt;width:61.4pt;z-index:251662336;mso-width-relative:page;mso-height-relative:page;" filled="f" stroked="f" coordsize="21600,21600" o:gfxdata="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dgsTtoAAAALAQAADwAAAAAAAAABACAAAAAiAAAAZHJzL2Rvd25y&#10;ZXYueG1sUEsBAhQAFAAAAAgAh07iQJCHpPH8AQAABAQAAA4AAAAAAAAAAQAgAAAAKQEAAGRycy9l&#10;Mm9Eb2MueG1sUEsFBgAAAAAGAAYAWQEAAJcFAAAAAA==&#10;">
                <v:fill on="f" focussize="0,0"/>
                <v:stroke on="f"/>
                <v:imagedata o:title=""/>
                <o:lock v:ext="edit" aspectratio="f"/>
                <v:textbox inset="0mm,0mm,0mm,0mm">
                  <w:txbxContent>
                    <w:p w14:paraId="55AC08F9">
                      <w:pPr>
                        <w:snapToGrid w:val="0"/>
                        <w:spacing w:line="276" w:lineRule="auto"/>
                        <w:jc w:val="center"/>
                        <w:rPr>
                          <w:rFonts w:ascii="Arial" w:hAnsi="Arial" w:cs="Arial"/>
                          <w:sz w:val="15"/>
                        </w:rPr>
                      </w:pPr>
                      <w:r>
                        <w:rPr>
                          <w:rFonts w:hint="eastAsia" w:eastAsia="宋体"/>
                          <w:snapToGrid w:val="0"/>
                          <w:sz w:val="21"/>
                          <w:lang w:eastAsia="zh-CN"/>
                        </w:rPr>
                        <w:t>时间</w:t>
                      </w:r>
                    </w:p>
                  </w:txbxContent>
                </v:textbox>
              </v:shape>
            </w:pict>
          </mc:Fallback>
        </mc:AlternateContent>
      </w:r>
      <w:r>
        <w:rPr>
          <w:lang w:eastAsia="zh-CN" w:bidi="ar-SA"/>
        </w:rPr>
        <mc:AlternateContent>
          <mc:Choice Requires="wps">
            <w:drawing>
              <wp:anchor distT="0" distB="0" distL="114300" distR="114300" simplePos="0" relativeHeight="251660288" behindDoc="0" locked="0" layoutInCell="1" allowOverlap="1">
                <wp:simplePos x="0" y="0"/>
                <wp:positionH relativeFrom="column">
                  <wp:posOffset>2239645</wp:posOffset>
                </wp:positionH>
                <wp:positionV relativeFrom="paragraph">
                  <wp:posOffset>1443355</wp:posOffset>
                </wp:positionV>
                <wp:extent cx="513080" cy="420370"/>
                <wp:effectExtent l="1270" t="0" r="0" b="3175"/>
                <wp:wrapNone/>
                <wp:docPr id="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 cy="420370"/>
                        </a:xfrm>
                        <a:prstGeom prst="rect">
                          <a:avLst/>
                        </a:prstGeom>
                        <a:noFill/>
                        <a:ln>
                          <a:noFill/>
                        </a:ln>
                      </wps:spPr>
                      <wps:txbx>
                        <w:txbxContent>
                          <w:p w14:paraId="0FCC2113">
                            <w:pPr>
                              <w:snapToGrid w:val="0"/>
                              <w:spacing w:line="276" w:lineRule="auto"/>
                              <w:rPr>
                                <w:rFonts w:ascii="Arial" w:hAnsi="Arial" w:cs="Arial"/>
                                <w:sz w:val="18"/>
                              </w:rPr>
                            </w:pPr>
                            <w:r>
                              <w:rPr>
                                <w:rStyle w:val="41"/>
                                <w:rFonts w:hint="eastAsia" w:eastAsia="宋体"/>
                                <w:b w:val="0"/>
                                <w:snapToGrid w:val="0"/>
                                <w:sz w:val="21"/>
                                <w:szCs w:val="15"/>
                                <w:u w:val="none"/>
                                <w:lang w:eastAsia="zh-CN"/>
                              </w:rPr>
                              <w:t>注入冲洗溶液</w:t>
                            </w:r>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76.35pt;margin-top:113.65pt;height:33.1pt;width:40.4pt;z-index:251660288;mso-width-relative:page;mso-height-relative:page;" filled="f" stroked="f" coordsize="21600,21600" o:gfxdata="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iWfpu2gAAAAsBAAAPAAAAAAAAAAEA&#10;IAAAACIAAABkcnMvZG93bnJldi54bWxQSwECFAAUAAAACACHTuJAJmx+ig0CAAAEBAAADgAAAAAA&#10;AAABACAAAAApAQAAZHJzL2Uyb0RvYy54bWxQSwUGAAAAAAYABgBZAQAAqAUAAAAA&#10;">
                <v:fill on="f" focussize="0,0"/>
                <v:stroke on="f"/>
                <v:imagedata o:title=""/>
                <o:lock v:ext="edit" aspectratio="f"/>
                <v:textbox inset="0mm,0mm,0mm,0mm">
                  <w:txbxContent>
                    <w:p w14:paraId="0FCC2113">
                      <w:pPr>
                        <w:snapToGrid w:val="0"/>
                        <w:spacing w:line="276" w:lineRule="auto"/>
                        <w:rPr>
                          <w:rFonts w:ascii="Arial" w:hAnsi="Arial" w:cs="Arial"/>
                          <w:sz w:val="18"/>
                        </w:rPr>
                      </w:pPr>
                      <w:r>
                        <w:rPr>
                          <w:rStyle w:val="41"/>
                          <w:rFonts w:hint="eastAsia" w:eastAsia="宋体"/>
                          <w:b w:val="0"/>
                          <w:snapToGrid w:val="0"/>
                          <w:sz w:val="21"/>
                          <w:szCs w:val="15"/>
                          <w:u w:val="none"/>
                          <w:lang w:eastAsia="zh-CN"/>
                        </w:rPr>
                        <w:t>注入冲洗溶液</w:t>
                      </w:r>
                    </w:p>
                  </w:txbxContent>
                </v:textbox>
              </v:shape>
            </w:pict>
          </mc:Fallback>
        </mc:AlternateContent>
      </w:r>
      <w:r>
        <w:rPr>
          <w:rFonts w:ascii="Arial" w:hAnsi="Arial" w:eastAsia="宋体" w:cs="Arial"/>
          <w:szCs w:val="2"/>
          <w:lang w:eastAsia="zh-CN" w:bidi="ar-SA"/>
        </w:rPr>
        <w:drawing>
          <wp:inline distT="0" distB="0" distL="0" distR="0">
            <wp:extent cx="3257550" cy="19716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257550" cy="1971675"/>
                    </a:xfrm>
                    <a:prstGeom prst="rect">
                      <a:avLst/>
                    </a:prstGeom>
                    <a:noFill/>
                    <a:ln>
                      <a:noFill/>
                    </a:ln>
                  </pic:spPr>
                </pic:pic>
              </a:graphicData>
            </a:graphic>
          </wp:inline>
        </w:drawing>
      </w:r>
    </w:p>
    <w:p w14:paraId="10B6FD32">
      <w:pPr>
        <w:pStyle w:val="46"/>
        <w:shd w:val="clear" w:color="auto" w:fill="auto"/>
        <w:topLinePunct/>
        <w:adjustRightInd w:val="0"/>
        <w:snapToGrid w:val="0"/>
        <w:spacing w:line="360" w:lineRule="auto"/>
        <w:ind w:left="2268" w:leftChars="945"/>
        <w:jc w:val="both"/>
        <w:rPr>
          <w:rFonts w:eastAsia="宋体"/>
          <w:b w:val="0"/>
          <w:snapToGrid w:val="0"/>
          <w:sz w:val="24"/>
          <w:lang w:eastAsia="zh-CN"/>
        </w:rPr>
      </w:pPr>
      <w:r>
        <w:rPr>
          <w:rFonts w:eastAsia="宋体"/>
          <w:b w:val="0"/>
          <w:sz w:val="24"/>
          <w:lang w:eastAsia="zh-CN" w:bidi="ar-SA"/>
        </w:rPr>
        <mc:AlternateContent>
          <mc:Choice Requires="wps">
            <w:drawing>
              <wp:anchor distT="0" distB="0" distL="63500" distR="146050" simplePos="0" relativeHeight="251671552" behindDoc="1" locked="0" layoutInCell="1" allowOverlap="1">
                <wp:simplePos x="0" y="0"/>
                <wp:positionH relativeFrom="margin">
                  <wp:posOffset>-868680</wp:posOffset>
                </wp:positionH>
                <wp:positionV relativeFrom="margin">
                  <wp:posOffset>-42545</wp:posOffset>
                </wp:positionV>
                <wp:extent cx="722630" cy="127000"/>
                <wp:effectExtent l="0" t="0" r="3175" b="0"/>
                <wp:wrapSquare wrapText="right"/>
                <wp:docPr id="18" name="Text Box 4"/>
                <wp:cNvGraphicFramePr/>
                <a:graphic xmlns:a="http://schemas.openxmlformats.org/drawingml/2006/main">
                  <a:graphicData uri="http://schemas.microsoft.com/office/word/2010/wordprocessingShape">
                    <wps:wsp>
                      <wps:cNvSpPr txBox="1">
                        <a:spLocks noChangeArrowheads="1"/>
                      </wps:cNvSpPr>
                      <wps:spPr bwMode="auto">
                        <a:xfrm>
                          <a:off x="0" y="0"/>
                          <a:ext cx="722630" cy="127000"/>
                        </a:xfrm>
                        <a:prstGeom prst="rect">
                          <a:avLst/>
                        </a:prstGeom>
                        <a:noFill/>
                        <a:ln>
                          <a:noFill/>
                        </a:ln>
                      </wps:spPr>
                      <wps:txbx>
                        <w:txbxContent>
                          <w:p w14:paraId="14911401">
                            <w:pPr>
                              <w:pStyle w:val="24"/>
                              <w:shd w:val="clear" w:color="auto" w:fill="auto"/>
                              <w:spacing w:line="200" w:lineRule="exact"/>
                              <w:ind w:firstLine="0"/>
                              <w:rPr>
                                <w:rFonts w:eastAsiaTheme="minorEastAsia"/>
                                <w:lang w:eastAsia="zh-CN"/>
                              </w:rPr>
                            </w:pPr>
                          </w:p>
                        </w:txbxContent>
                      </wps:txbx>
                      <wps:bodyPr rot="0" vert="horz" wrap="square" lIns="0" tIns="0" rIns="0" bIns="0" anchor="t" anchorCtr="0" upright="1">
                        <a:spAutoFit/>
                      </wps:bodyPr>
                    </wps:wsp>
                  </a:graphicData>
                </a:graphic>
              </wp:anchor>
            </w:drawing>
          </mc:Choice>
          <mc:Fallback>
            <w:pict>
              <v:shape id="Text Box 4" o:spid="_x0000_s1026" o:spt="202" type="#_x0000_t202" style="position:absolute;left:0pt;margin-left:-68.4pt;margin-top:-3.35pt;height:10pt;width:56.9pt;mso-position-horizontal-relative:margin;mso-position-vertical-relative:margin;mso-wrap-distance-bottom:0pt;mso-wrap-distance-left:5pt;mso-wrap-distance-right:11.5pt;mso-wrap-distance-top:0pt;z-index:-251644928;mso-width-relative:page;mso-height-relative:page;" filled="f" stroked="f" coordsize="21600,21600" o:gfxdata="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j4LjrWAAAACgEAAA8AAAAAAAAAAQAgAAAAIgAAAGRycy9kb3ducmV2Lnht&#10;bFBLAQIUABQAAAAIAIdO4kDJnlj8+wEAAAQEAAAOAAAAAAAAAAEAIAAAACUBAABkcnMvZTJvRG9j&#10;LnhtbFBLBQYAAAAABgAGAFkBAACSBQAAAAA=&#10;">
                <v:fill on="f" focussize="0,0"/>
                <v:stroke on="f"/>
                <v:imagedata o:title=""/>
                <o:lock v:ext="edit" aspectratio="f"/>
                <v:textbox inset="0mm,0mm,0mm,0mm" style="mso-fit-shape-to-text:t;">
                  <w:txbxContent>
                    <w:p w14:paraId="14911401">
                      <w:pPr>
                        <w:pStyle w:val="24"/>
                        <w:shd w:val="clear" w:color="auto" w:fill="auto"/>
                        <w:spacing w:line="200" w:lineRule="exact"/>
                        <w:ind w:firstLine="0"/>
                        <w:rPr>
                          <w:rFonts w:eastAsiaTheme="minorEastAsia"/>
                          <w:lang w:eastAsia="zh-CN"/>
                        </w:rPr>
                      </w:pPr>
                    </w:p>
                  </w:txbxContent>
                </v:textbox>
                <w10:wrap type="square" side="right"/>
              </v:shape>
            </w:pict>
          </mc:Fallback>
        </mc:AlternateContent>
      </w:r>
      <w:r>
        <w:rPr>
          <w:rFonts w:hint="eastAsia" w:eastAsia="宋体"/>
          <w:b w:val="0"/>
          <w:snapToGrid w:val="0"/>
          <w:sz w:val="24"/>
          <w:lang w:eastAsia="zh-CN"/>
        </w:rPr>
        <w:t>其中：</w:t>
      </w:r>
      <w:r>
        <w:rPr>
          <w:rFonts w:hint="eastAsia" w:eastAsia="宋体"/>
          <w:b w:val="0"/>
          <w:snapToGrid w:val="0"/>
          <w:sz w:val="24"/>
          <w:lang w:eastAsia="zh-CN"/>
        </w:rPr>
        <w:tab/>
      </w:r>
      <w:r>
        <w:rPr>
          <w:rFonts w:hint="eastAsia" w:eastAsia="宋体"/>
          <w:b w:val="0"/>
          <w:snapToGrid w:val="0"/>
          <w:sz w:val="24"/>
          <w:lang w:eastAsia="zh-CN"/>
        </w:rPr>
        <w:t>Z</w:t>
      </w:r>
      <w:r>
        <w:rPr>
          <w:rFonts w:hint="eastAsia" w:eastAsia="宋体"/>
          <w:b w:val="0"/>
          <w:i/>
          <w:snapToGrid w:val="0"/>
          <w:sz w:val="24"/>
          <w:vertAlign w:val="subscript"/>
          <w:lang w:eastAsia="zh-CN"/>
        </w:rPr>
        <w:t>1</w:t>
      </w:r>
      <w:r>
        <w:rPr>
          <w:rFonts w:eastAsia="宋体"/>
          <w:b w:val="0"/>
          <w:snapToGrid w:val="0"/>
          <w:sz w:val="24"/>
          <w:lang w:eastAsia="zh-CN"/>
        </w:rPr>
        <w:t>=</w:t>
      </w:r>
      <w:r>
        <w:rPr>
          <w:rFonts w:hint="eastAsia" w:eastAsia="宋体"/>
          <w:b w:val="0"/>
          <w:snapToGrid w:val="0"/>
          <w:sz w:val="24"/>
          <w:lang w:eastAsia="zh-CN"/>
        </w:rPr>
        <w:t>填充液阻抗</w:t>
      </w:r>
    </w:p>
    <w:p w14:paraId="598EB252">
      <w:pPr>
        <w:pStyle w:val="46"/>
        <w:shd w:val="clear" w:color="auto" w:fill="auto"/>
        <w:topLinePunct/>
        <w:adjustRightInd w:val="0"/>
        <w:snapToGrid w:val="0"/>
        <w:spacing w:line="360" w:lineRule="auto"/>
        <w:ind w:left="3401" w:leftChars="1417"/>
        <w:jc w:val="both"/>
        <w:rPr>
          <w:rFonts w:eastAsia="宋体"/>
          <w:b w:val="0"/>
          <w:snapToGrid w:val="0"/>
          <w:sz w:val="24"/>
          <w:lang w:eastAsia="zh-CN"/>
        </w:rPr>
      </w:pPr>
      <w:r>
        <w:rPr>
          <w:rFonts w:hint="eastAsia" w:eastAsia="宋体"/>
          <w:b w:val="0"/>
          <w:snapToGrid w:val="0"/>
          <w:sz w:val="24"/>
          <w:lang w:eastAsia="zh-CN"/>
        </w:rPr>
        <w:t>Z</w:t>
      </w:r>
      <w:r>
        <w:rPr>
          <w:rFonts w:hint="eastAsia" w:eastAsia="宋体"/>
          <w:b w:val="0"/>
          <w:i/>
          <w:snapToGrid w:val="0"/>
          <w:sz w:val="24"/>
          <w:vertAlign w:val="subscript"/>
          <w:lang w:eastAsia="zh-CN"/>
        </w:rPr>
        <w:t>2</w:t>
      </w:r>
      <w:r>
        <w:rPr>
          <w:rFonts w:eastAsia="宋体"/>
          <w:b w:val="0"/>
          <w:snapToGrid w:val="0"/>
          <w:sz w:val="24"/>
          <w:lang w:eastAsia="zh-CN"/>
        </w:rPr>
        <w:t xml:space="preserve"> =</w:t>
      </w:r>
      <w:r>
        <w:rPr>
          <w:rFonts w:hint="eastAsia" w:eastAsia="宋体"/>
          <w:b w:val="0"/>
          <w:snapToGrid w:val="0"/>
          <w:sz w:val="24"/>
          <w:lang w:eastAsia="zh-CN"/>
        </w:rPr>
        <w:t>冲洗液阻抗</w:t>
      </w:r>
    </w:p>
    <w:p w14:paraId="2441873A">
      <w:pPr>
        <w:pStyle w:val="46"/>
        <w:shd w:val="clear" w:color="auto" w:fill="auto"/>
        <w:topLinePunct/>
        <w:adjustRightInd w:val="0"/>
        <w:snapToGrid w:val="0"/>
        <w:spacing w:line="360" w:lineRule="auto"/>
        <w:ind w:left="3401" w:leftChars="1417"/>
        <w:jc w:val="both"/>
        <w:rPr>
          <w:rFonts w:eastAsia="宋体"/>
          <w:b w:val="0"/>
          <w:snapToGrid w:val="0"/>
          <w:sz w:val="24"/>
          <w:lang w:eastAsia="zh-CN"/>
        </w:rPr>
      </w:pPr>
      <w:r>
        <w:rPr>
          <w:rStyle w:val="44"/>
          <w:rFonts w:hint="eastAsia" w:eastAsia="宋体"/>
          <w:b w:val="0"/>
          <w:bCs/>
          <w:snapToGrid w:val="0"/>
          <w:sz w:val="24"/>
          <w:lang w:eastAsia="zh-CN"/>
        </w:rPr>
        <w:t>t</w:t>
      </w:r>
      <w:r>
        <w:rPr>
          <w:rFonts w:eastAsia="宋体"/>
          <w:b w:val="0"/>
          <w:snapToGrid w:val="0"/>
          <w:sz w:val="24"/>
          <w:lang w:eastAsia="zh-CN"/>
        </w:rPr>
        <w:t>=</w:t>
      </w:r>
      <w:r>
        <w:rPr>
          <w:rFonts w:hint="eastAsia" w:eastAsia="宋体"/>
          <w:b w:val="0"/>
          <w:snapToGrid w:val="0"/>
          <w:sz w:val="24"/>
          <w:lang w:eastAsia="zh-CN"/>
        </w:rPr>
        <w:t>时间延迟</w:t>
      </w:r>
      <w:r>
        <w:rPr>
          <w:rFonts w:eastAsia="宋体"/>
          <w:b w:val="0"/>
          <w:snapToGrid w:val="0"/>
          <w:sz w:val="24"/>
          <w:lang w:eastAsia="zh-CN"/>
        </w:rPr>
        <w:t>（</w:t>
      </w:r>
      <w:r>
        <w:rPr>
          <w:rFonts w:hint="eastAsia" w:eastAsia="宋体"/>
          <w:b w:val="0"/>
          <w:snapToGrid w:val="0"/>
          <w:sz w:val="24"/>
          <w:lang w:eastAsia="zh-CN"/>
        </w:rPr>
        <w:t>秒</w:t>
      </w:r>
      <w:r>
        <w:rPr>
          <w:rFonts w:eastAsia="宋体"/>
          <w:b w:val="0"/>
          <w:snapToGrid w:val="0"/>
          <w:sz w:val="24"/>
          <w:lang w:eastAsia="zh-CN"/>
        </w:rPr>
        <w:t>）</w:t>
      </w:r>
    </w:p>
    <w:p w14:paraId="06A49318">
      <w:pPr>
        <w:pStyle w:val="46"/>
        <w:shd w:val="clear" w:color="auto" w:fill="auto"/>
        <w:topLinePunct/>
        <w:adjustRightInd w:val="0"/>
        <w:snapToGrid w:val="0"/>
        <w:spacing w:line="360" w:lineRule="auto"/>
        <w:ind w:left="3401" w:leftChars="1417"/>
        <w:jc w:val="both"/>
        <w:rPr>
          <w:rFonts w:eastAsia="宋体"/>
          <w:b w:val="0"/>
          <w:snapToGrid w:val="0"/>
          <w:sz w:val="24"/>
          <w:lang w:eastAsia="zh-CN"/>
        </w:rPr>
      </w:pPr>
      <w:r>
        <w:rPr>
          <w:rStyle w:val="44"/>
          <w:rFonts w:eastAsia="宋体"/>
          <w:b w:val="0"/>
          <w:bCs/>
          <w:snapToGrid w:val="0"/>
          <w:sz w:val="24"/>
          <w:lang w:eastAsia="zh-CN"/>
        </w:rPr>
        <w:t>T</w:t>
      </w:r>
      <w:r>
        <w:rPr>
          <w:rFonts w:eastAsia="宋体"/>
          <w:b w:val="0"/>
          <w:snapToGrid w:val="0"/>
          <w:sz w:val="24"/>
          <w:lang w:eastAsia="zh-CN"/>
        </w:rPr>
        <w:t>=</w:t>
      </w:r>
      <w:r>
        <w:rPr>
          <w:rFonts w:hint="eastAsia" w:eastAsia="宋体"/>
          <w:b w:val="0"/>
          <w:snapToGrid w:val="0"/>
          <w:sz w:val="24"/>
          <w:lang w:eastAsia="zh-CN"/>
        </w:rPr>
        <w:t>清理所需时间</w:t>
      </w:r>
      <w:r>
        <w:rPr>
          <w:rFonts w:eastAsia="宋体"/>
          <w:b w:val="0"/>
          <w:snapToGrid w:val="0"/>
          <w:sz w:val="24"/>
          <w:lang w:eastAsia="zh-CN"/>
        </w:rPr>
        <w:t>（</w:t>
      </w:r>
      <w:r>
        <w:rPr>
          <w:rFonts w:hint="eastAsia" w:eastAsia="宋体"/>
          <w:b w:val="0"/>
          <w:snapToGrid w:val="0"/>
          <w:sz w:val="24"/>
          <w:lang w:eastAsia="zh-CN"/>
        </w:rPr>
        <w:t>秒</w:t>
      </w:r>
      <w:r>
        <w:rPr>
          <w:rFonts w:eastAsia="宋体"/>
          <w:b w:val="0"/>
          <w:snapToGrid w:val="0"/>
          <w:sz w:val="24"/>
          <w:lang w:eastAsia="zh-CN"/>
        </w:rPr>
        <w:t>）</w:t>
      </w:r>
    </w:p>
    <w:p w14:paraId="7C4DBBD3">
      <w:pPr>
        <w:pStyle w:val="17"/>
        <w:shd w:val="clear" w:color="auto" w:fill="auto"/>
        <w:topLinePunct/>
        <w:adjustRightInd w:val="0"/>
        <w:snapToGrid w:val="0"/>
        <w:spacing w:line="360" w:lineRule="auto"/>
        <w:ind w:left="3401" w:leftChars="1417"/>
        <w:jc w:val="both"/>
        <w:rPr>
          <w:rFonts w:ascii="Arial" w:hAnsi="Arial" w:eastAsia="宋体" w:cs="Arial"/>
          <w:b w:val="0"/>
          <w:snapToGrid w:val="0"/>
          <w:spacing w:val="0"/>
          <w:sz w:val="24"/>
          <w:lang w:eastAsia="zh-CN"/>
        </w:rPr>
      </w:pPr>
      <w:r>
        <w:rPr>
          <w:rFonts w:hint="eastAsia" w:ascii="Arial" w:hAnsi="Arial" w:eastAsia="宋体" w:cs="Arial"/>
          <w:b w:val="0"/>
          <w:snapToGrid w:val="0"/>
          <w:spacing w:val="0"/>
          <w:sz w:val="24"/>
          <w:lang w:eastAsia="zh-CN"/>
        </w:rPr>
        <w:t>T</w:t>
      </w:r>
      <w:r>
        <w:rPr>
          <w:rFonts w:hint="eastAsia" w:ascii="Arial" w:hAnsi="Arial" w:eastAsia="宋体" w:cs="Arial"/>
          <w:b w:val="0"/>
          <w:snapToGrid w:val="0"/>
          <w:spacing w:val="0"/>
          <w:sz w:val="24"/>
          <w:vertAlign w:val="subscript"/>
          <w:lang w:eastAsia="zh-CN"/>
        </w:rPr>
        <w:t>D</w:t>
      </w:r>
      <w:r>
        <w:rPr>
          <w:rFonts w:ascii="Arial" w:hAnsi="Arial" w:eastAsia="宋体" w:cs="Arial"/>
          <w:b w:val="0"/>
          <w:snapToGrid w:val="0"/>
          <w:spacing w:val="0"/>
          <w:sz w:val="24"/>
          <w:lang w:eastAsia="zh-CN"/>
        </w:rPr>
        <w:t>=</w:t>
      </w:r>
      <w:r>
        <w:rPr>
          <w:rFonts w:hint="eastAsia" w:ascii="Arial" w:hAnsi="Arial" w:eastAsia="宋体" w:cs="Arial"/>
          <w:b w:val="0"/>
          <w:snapToGrid w:val="0"/>
          <w:spacing w:val="0"/>
          <w:sz w:val="24"/>
          <w:lang w:eastAsia="zh-CN"/>
        </w:rPr>
        <w:t>稀释时间</w:t>
      </w:r>
    </w:p>
    <w:p w14:paraId="765A4B89">
      <w:pPr>
        <w:rPr>
          <w:rStyle w:val="25"/>
          <w:rFonts w:ascii="Arial" w:hAnsi="Arial" w:eastAsia="宋体" w:cs="Arial"/>
          <w:snapToGrid w:val="0"/>
          <w:spacing w:val="0"/>
          <w:sz w:val="24"/>
          <w:lang w:eastAsia="zh-CN"/>
        </w:rPr>
      </w:pPr>
      <w:r>
        <w:rPr>
          <w:rStyle w:val="25"/>
          <w:rFonts w:ascii="Arial" w:hAnsi="Arial" w:eastAsia="宋体" w:cs="Arial"/>
          <w:b w:val="0"/>
          <w:bCs w:val="0"/>
          <w:snapToGrid w:val="0"/>
          <w:spacing w:val="0"/>
          <w:sz w:val="24"/>
          <w:lang w:eastAsia="zh-CN"/>
        </w:rPr>
        <w:br w:type="page"/>
      </w:r>
    </w:p>
    <w:p w14:paraId="6A533C15">
      <w:pPr>
        <w:pStyle w:val="17"/>
        <w:shd w:val="clear" w:color="auto" w:fill="auto"/>
        <w:topLinePunct/>
        <w:adjustRightInd w:val="0"/>
        <w:snapToGrid w:val="0"/>
        <w:spacing w:after="270" w:afterLines="75" w:line="360" w:lineRule="auto"/>
        <w:jc w:val="center"/>
        <w:rPr>
          <w:rFonts w:ascii="Arial" w:hAnsi="Arial" w:eastAsia="宋体" w:cs="Arial"/>
          <w:snapToGrid w:val="0"/>
          <w:spacing w:val="0"/>
          <w:sz w:val="24"/>
          <w:lang w:eastAsia="zh-CN"/>
        </w:rPr>
      </w:pPr>
      <w:r>
        <w:rPr>
          <w:rStyle w:val="25"/>
          <w:rFonts w:hint="eastAsia" w:ascii="Arial" w:hAnsi="Arial" w:eastAsia="宋体" w:cs="Arial"/>
          <w:b w:val="0"/>
          <w:bCs/>
          <w:snapToGrid w:val="0"/>
          <w:spacing w:val="0"/>
          <w:sz w:val="24"/>
          <w:lang w:eastAsia="zh-CN"/>
        </w:rPr>
        <w:t>图</w:t>
      </w:r>
      <w:r>
        <w:rPr>
          <w:rStyle w:val="25"/>
          <w:rFonts w:ascii="Arial" w:hAnsi="Arial" w:eastAsia="宋体" w:cs="Arial"/>
          <w:b w:val="0"/>
          <w:bCs/>
          <w:snapToGrid w:val="0"/>
          <w:spacing w:val="0"/>
          <w:sz w:val="24"/>
          <w:lang w:eastAsia="zh-CN"/>
        </w:rPr>
        <w:t>1</w:t>
      </w:r>
    </w:p>
    <w:p w14:paraId="33FB26EE">
      <w:pPr>
        <w:topLinePunct/>
        <w:adjustRightInd w:val="0"/>
        <w:snapToGrid w:val="0"/>
        <w:spacing w:after="270" w:afterLines="75" w:line="360" w:lineRule="auto"/>
        <w:jc w:val="both"/>
        <w:rPr>
          <w:rFonts w:ascii="Arial" w:hAnsi="Arial" w:eastAsia="宋体" w:cs="Arial"/>
          <w:snapToGrid w:val="0"/>
          <w:szCs w:val="2"/>
        </w:rPr>
      </w:pPr>
      <w:r>
        <w:rPr>
          <w:rFonts w:ascii="Arial" w:hAnsi="Arial" w:eastAsia="宋体" w:cs="Arial"/>
          <w:lang w:eastAsia="zh-CN" w:bidi="ar-SA"/>
        </w:rPr>
        <w:drawing>
          <wp:inline distT="0" distB="0" distL="0" distR="0">
            <wp:extent cx="5753100" cy="3914775"/>
            <wp:effectExtent l="0" t="0" r="0" b="9525"/>
            <wp:docPr id="4" name="图片 2" descr="S:\翻译客户\交流中心\2017\10月\1017石慧\需要翻译的FDA指导原则（六）\需要翻译的FDA指导原则（六）\media\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S:\翻译客户\交流中心\2017\10月\1017石慧\需要翻译的FDA指导原则（六）\需要翻译的FDA指导原则（六）\media\image4.png"/>
                    <pic:cNvPicPr>
                      <a:picLocks noChangeAspect="1" noChangeArrowheads="1"/>
                    </pic:cNvPicPr>
                  </pic:nvPicPr>
                  <pic:blipFill>
                    <a:blip r:embed="rId12">
                      <a:extLst>
                        <a:ext uri="{28A0092B-C50C-407E-A947-70E740481C1C}">
                          <a14:useLocalDpi xmlns:a14="http://schemas.microsoft.com/office/drawing/2010/main" val="0"/>
                        </a:ext>
                      </a:extLst>
                    </a:blip>
                    <a:srcRect l="10843" t="1141" r="3481" b="49086"/>
                    <a:stretch>
                      <a:fillRect/>
                    </a:stretch>
                  </pic:blipFill>
                  <pic:spPr>
                    <a:xfrm>
                      <a:off x="0" y="0"/>
                      <a:ext cx="5753100" cy="3914775"/>
                    </a:xfrm>
                    <a:prstGeom prst="rect">
                      <a:avLst/>
                    </a:prstGeom>
                    <a:noFill/>
                    <a:ln>
                      <a:noFill/>
                    </a:ln>
                  </pic:spPr>
                </pic:pic>
              </a:graphicData>
            </a:graphic>
          </wp:inline>
        </w:drawing>
      </w:r>
    </w:p>
    <w:p w14:paraId="4BEDF6CE">
      <w:pPr>
        <w:topLinePunct/>
        <w:adjustRightInd w:val="0"/>
        <w:snapToGrid w:val="0"/>
        <w:spacing w:after="270" w:afterLines="75" w:line="360" w:lineRule="auto"/>
        <w:jc w:val="both"/>
        <w:rPr>
          <w:rFonts w:ascii="Arial" w:hAnsi="Arial" w:eastAsia="宋体" w:cs="Arial"/>
          <w:snapToGrid w:val="0"/>
          <w:szCs w:val="2"/>
        </w:rPr>
      </w:pPr>
    </w:p>
    <w:p w14:paraId="19407FFF">
      <w:pPr>
        <w:pStyle w:val="15"/>
        <w:shd w:val="clear" w:color="auto" w:fill="auto"/>
        <w:topLinePunct/>
        <w:adjustRightInd w:val="0"/>
        <w:snapToGrid w:val="0"/>
        <w:spacing w:after="270" w:afterLines="75" w:line="360" w:lineRule="auto"/>
        <w:ind w:firstLine="0"/>
        <w:jc w:val="both"/>
        <w:rPr>
          <w:rFonts w:hint="eastAsia" w:eastAsia="宋体"/>
          <w:lang w:eastAsia="zh-CN"/>
        </w:rPr>
      </w:pPr>
    </w:p>
    <w:p w14:paraId="5F286D25">
      <w:pPr>
        <w:pStyle w:val="15"/>
        <w:shd w:val="clear" w:color="auto" w:fill="auto"/>
        <w:topLinePunct/>
        <w:adjustRightInd w:val="0"/>
        <w:snapToGrid w:val="0"/>
        <w:spacing w:after="270" w:afterLines="75" w:line="360" w:lineRule="auto"/>
        <w:ind w:firstLine="0"/>
        <w:jc w:val="center"/>
        <w:rPr>
          <w:rFonts w:hint="eastAsia" w:eastAsia="宋体"/>
          <w:lang w:eastAsia="zh-CN"/>
        </w:rPr>
      </w:pPr>
    </w:p>
    <w:p w14:paraId="6C603318">
      <w:pPr>
        <w:pStyle w:val="15"/>
        <w:shd w:val="clear" w:color="auto" w:fill="auto"/>
        <w:topLinePunct/>
        <w:adjustRightInd w:val="0"/>
        <w:snapToGrid w:val="0"/>
        <w:spacing w:after="270" w:afterLines="75" w:line="360" w:lineRule="auto"/>
        <w:ind w:firstLine="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6" name="图片 6" descr="2"/>
            <wp:cNvGraphicFramePr/>
            <a:graphic xmlns:a="http://schemas.openxmlformats.org/drawingml/2006/main">
              <a:graphicData uri="http://schemas.openxmlformats.org/drawingml/2006/picture">
                <pic:pic xmlns:pic="http://schemas.openxmlformats.org/drawingml/2006/picture">
                  <pic:nvPicPr>
                    <pic:cNvPr id="6" name="图片 6" descr="2"/>
                    <pic:cNvPicPr/>
                  </pic:nvPicPr>
                  <pic:blipFill>
                    <a:blip r:embed="rId13"/>
                    <a:stretch>
                      <a:fillRect/>
                    </a:stretch>
                  </pic:blipFill>
                  <pic:spPr>
                    <a:xfrm>
                      <a:off x="0" y="0"/>
                      <a:ext cx="5210175" cy="7343775"/>
                    </a:xfrm>
                    <a:prstGeom prst="rect">
                      <a:avLst/>
                    </a:prstGeom>
                  </pic:spPr>
                </pic:pic>
              </a:graphicData>
            </a:graphic>
          </wp:inline>
        </w:drawing>
      </w:r>
    </w:p>
    <w:sectPr>
      <w:footerReference r:id="rId7" w:type="default"/>
      <w:pgSz w:w="11906" w:h="16838"/>
      <w:pgMar w:top="1134" w:right="1440" w:bottom="1134" w:left="1440" w:header="720" w:footer="720" w:gutter="0"/>
      <w:pgNumType w:start="1"/>
      <w:cols w:space="720"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Franklin Gothic Heavy">
    <w:panose1 w:val="020B0903020102020204"/>
    <w:charset w:val="00"/>
    <w:family w:val="swiss"/>
    <w:pitch w:val="default"/>
    <w:sig w:usb0="00000287" w:usb1="00000000" w:usb2="00000000" w:usb3="00000000" w:csb0="2000009F" w:csb1="DFD7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09164">
    <w:pPr>
      <w:pStyle w:val="6"/>
      <w:rPr>
        <w:rFonts w:ascii="Arial" w:hAnsi="Arial" w:cs="Arial" w:eastAsiaTheme="minorEastAsia"/>
        <w:lang w:eastAsia="zh-CN"/>
      </w:rPr>
    </w:pPr>
  </w:p>
  <w:p w14:paraId="29DF2101">
    <w:pPr>
      <w:pStyle w:val="6"/>
      <w:jc w:val="center"/>
      <w:rPr>
        <w:rFonts w:ascii="Arial" w:hAnsi="Arial" w:cs="Arial" w:eastAsiaTheme="minorEastAsia"/>
        <w:sz w:val="21"/>
        <w:lang w:eastAsia="zh-CN"/>
      </w:rPr>
    </w:pPr>
    <w:r>
      <w:rPr>
        <w:rFonts w:ascii="Arial" w:hAnsi="Arial" w:cs="Arial" w:eastAsiaTheme="minorEastAsia"/>
        <w:sz w:val="21"/>
        <w:lang w:eastAsia="zh-CN"/>
      </w:rPr>
      <w:fldChar w:fldCharType="begin"/>
    </w:r>
    <w:r>
      <w:rPr>
        <w:rFonts w:ascii="Arial" w:hAnsi="Arial" w:cs="Arial" w:eastAsiaTheme="minorEastAsia"/>
        <w:sz w:val="21"/>
        <w:lang w:eastAsia="zh-CN"/>
      </w:rPr>
      <w:instrText xml:space="preserve">PAGE   \* MERGEFORMAT</w:instrText>
    </w:r>
    <w:r>
      <w:rPr>
        <w:rFonts w:ascii="Arial" w:hAnsi="Arial" w:cs="Arial" w:eastAsiaTheme="minorEastAsia"/>
        <w:sz w:val="21"/>
        <w:lang w:eastAsia="zh-CN"/>
      </w:rPr>
      <w:fldChar w:fldCharType="separate"/>
    </w:r>
    <w:r>
      <w:rPr>
        <w:rFonts w:ascii="Arial" w:hAnsi="Arial" w:cs="Arial" w:eastAsiaTheme="minorEastAsia"/>
        <w:sz w:val="21"/>
        <w:lang w:val="zh-CN" w:eastAsia="zh-CN"/>
      </w:rPr>
      <w:t>10</w:t>
    </w:r>
    <w:r>
      <w:rPr>
        <w:rFonts w:ascii="Arial" w:hAnsi="Arial" w:cs="Arial" w:eastAsiaTheme="minorEastAsia"/>
        <w:sz w:val="21"/>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77E1F">
    <w:pPr>
      <w:pStyle w:val="6"/>
      <w:rPr>
        <w:rFonts w:ascii="Arial" w:hAnsi="Arial" w:cs="Arial" w:eastAsiaTheme="minorEastAsia"/>
        <w:lang w:eastAsia="zh-CN"/>
      </w:rPr>
    </w:pPr>
  </w:p>
  <w:p w14:paraId="4F2E0633">
    <w:pPr>
      <w:pStyle w:val="6"/>
      <w:jc w:val="center"/>
      <w:rPr>
        <w:rFonts w:ascii="Arial" w:hAnsi="Arial" w:cs="Arial" w:eastAsiaTheme="minorEastAsia"/>
        <w:sz w:val="21"/>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0F1B">
    <w:pPr>
      <w:rPr>
        <w:sz w:val="2"/>
        <w:szCs w:val="2"/>
      </w:rPr>
    </w:pPr>
    <w:r>
      <w:rPr>
        <w:lang w:eastAsia="zh-CN" w:bidi="ar-SA"/>
      </w:rPr>
      <mc:AlternateContent>
        <mc:Choice Requires="wps">
          <w:drawing>
            <wp:anchor distT="0" distB="0" distL="63500" distR="63500" simplePos="0" relativeHeight="251659264" behindDoc="1" locked="0" layoutInCell="1" allowOverlap="1">
              <wp:simplePos x="0" y="0"/>
              <wp:positionH relativeFrom="page">
                <wp:posOffset>3740150</wp:posOffset>
              </wp:positionH>
              <wp:positionV relativeFrom="page">
                <wp:posOffset>502920</wp:posOffset>
              </wp:positionV>
              <wp:extent cx="585470" cy="121920"/>
              <wp:effectExtent l="0" t="0" r="0" b="3810"/>
              <wp:wrapNone/>
              <wp:docPr id="1" name="Text Box 27"/>
              <wp:cNvGraphicFramePr/>
              <a:graphic xmlns:a="http://schemas.openxmlformats.org/drawingml/2006/main">
                <a:graphicData uri="http://schemas.microsoft.com/office/word/2010/wordprocessingShape">
                  <wps:wsp>
                    <wps:cNvSpPr txBox="1">
                      <a:spLocks noChangeArrowheads="1"/>
                    </wps:cNvSpPr>
                    <wps:spPr bwMode="auto">
                      <a:xfrm>
                        <a:off x="0" y="0"/>
                        <a:ext cx="585470" cy="121920"/>
                      </a:xfrm>
                      <a:prstGeom prst="rect">
                        <a:avLst/>
                      </a:prstGeom>
                      <a:noFill/>
                      <a:ln>
                        <a:noFill/>
                      </a:ln>
                    </wps:spPr>
                    <wps:txbx>
                      <w:txbxContent>
                        <w:p w14:paraId="152F6904">
                          <w:pPr>
                            <w:pStyle w:val="17"/>
                            <w:shd w:val="clear" w:color="auto" w:fill="auto"/>
                            <w:spacing w:line="240" w:lineRule="auto"/>
                          </w:pPr>
                          <w:r>
                            <w:rPr>
                              <w:rStyle w:val="25"/>
                              <w:b/>
                              <w:bCs/>
                            </w:rPr>
                            <w:t>Figure 1</w:t>
                          </w:r>
                        </w:p>
                      </w:txbxContent>
                    </wps:txbx>
                    <wps:bodyPr rot="0" vert="horz" wrap="none" lIns="0" tIns="0" rIns="0" bIns="0" anchor="t" anchorCtr="0" upright="1">
                      <a:spAutoFit/>
                    </wps:bodyPr>
                  </wps:wsp>
                </a:graphicData>
              </a:graphic>
            </wp:anchor>
          </w:drawing>
        </mc:Choice>
        <mc:Fallback>
          <w:pict>
            <v:shape id="Text Box 27" o:spid="_x0000_s1026" o:spt="202" type="#_x0000_t202" style="position:absolute;left:0pt;margin-left:294.5pt;margin-top:39.6pt;height:9.6pt;width:46.1pt;mso-position-horizontal-relative:page;mso-position-vertical-relative:page;mso-wrap-style:none;z-index:-251657216;mso-width-relative:page;mso-height-relative:page;" filled="f" stroked="f" coordsize="21600,21600" o:gfxdata="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UZGbtYAAAAJAQAADwAAAAAAAAABACAAAAAiAAAAZHJzL2Rvd25yZXYueG1s&#10;UEsBAhQAFAAAAAgAh07iQNaj3Lv6AQAAAgQAAA4AAAAAAAAAAQAgAAAAJQEAAGRycy9lMm9Eb2Mu&#10;eG1sUEsFBgAAAAAGAAYAWQEAAJEFAAAAAA==&#10;">
              <v:fill on="f" focussize="0,0"/>
              <v:stroke on="f"/>
              <v:imagedata o:title=""/>
              <o:lock v:ext="edit" aspectratio="f"/>
              <v:textbox inset="0mm,0mm,0mm,0mm" style="mso-fit-shape-to-text:t;">
                <w:txbxContent>
                  <w:p w14:paraId="152F6904">
                    <w:pPr>
                      <w:pStyle w:val="17"/>
                      <w:shd w:val="clear" w:color="auto" w:fill="auto"/>
                      <w:spacing w:line="240" w:lineRule="auto"/>
                    </w:pPr>
                    <w:r>
                      <w:rPr>
                        <w:rStyle w:val="25"/>
                        <w:b/>
                        <w:bCs/>
                      </w:rPr>
                      <w:t>Figure 1</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028A4"/>
    <w:multiLevelType w:val="multilevel"/>
    <w:tmpl w:val="019028A4"/>
    <w:lvl w:ilvl="0" w:tentative="0">
      <w:start w:val="1"/>
      <w:numFmt w:val="lowerLetter"/>
      <w:lvlText w:val="%1."/>
      <w:lvlJc w:val="left"/>
      <w:rPr>
        <w:rFonts w:hint="default" w:ascii="Arial" w:hAnsi="Arial" w:eastAsia="Courier New" w:cs="Arial"/>
        <w:b w:val="0"/>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22D2932"/>
    <w:multiLevelType w:val="multilevel"/>
    <w:tmpl w:val="322D2932"/>
    <w:lvl w:ilvl="0" w:tentative="0">
      <w:start w:val="1"/>
      <w:numFmt w:val="lowerLetter"/>
      <w:lvlText w:val="%1."/>
      <w:lvlJc w:val="left"/>
      <w:rPr>
        <w:rFonts w:hint="default" w:ascii="Arial" w:hAnsi="Arial" w:eastAsia="Courier New" w:cs="Arial"/>
        <w:b w:val="0"/>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47B93C6D"/>
    <w:multiLevelType w:val="multilevel"/>
    <w:tmpl w:val="47B93C6D"/>
    <w:lvl w:ilvl="0" w:tentative="0">
      <w:start w:val="1"/>
      <w:numFmt w:val="lowerLetter"/>
      <w:lvlText w:val="%1."/>
      <w:lvlJc w:val="left"/>
      <w:pPr>
        <w:ind w:left="1222" w:hanging="360"/>
      </w:pPr>
      <w:rPr>
        <w:rFonts w:hint="default" w:eastAsia="Courier New"/>
      </w:rPr>
    </w:lvl>
    <w:lvl w:ilvl="1" w:tentative="0">
      <w:start w:val="1"/>
      <w:numFmt w:val="lowerLetter"/>
      <w:lvlText w:val="%2)"/>
      <w:lvlJc w:val="left"/>
      <w:pPr>
        <w:ind w:left="1702" w:hanging="420"/>
      </w:pPr>
    </w:lvl>
    <w:lvl w:ilvl="2" w:tentative="0">
      <w:start w:val="1"/>
      <w:numFmt w:val="lowerRoman"/>
      <w:lvlText w:val="%3."/>
      <w:lvlJc w:val="right"/>
      <w:pPr>
        <w:ind w:left="2122" w:hanging="420"/>
      </w:pPr>
    </w:lvl>
    <w:lvl w:ilvl="3" w:tentative="0">
      <w:start w:val="1"/>
      <w:numFmt w:val="decimal"/>
      <w:lvlText w:val="%4."/>
      <w:lvlJc w:val="left"/>
      <w:pPr>
        <w:ind w:left="2542" w:hanging="420"/>
      </w:pPr>
    </w:lvl>
    <w:lvl w:ilvl="4" w:tentative="0">
      <w:start w:val="1"/>
      <w:numFmt w:val="lowerLetter"/>
      <w:lvlText w:val="%5)"/>
      <w:lvlJc w:val="left"/>
      <w:pPr>
        <w:ind w:left="2962" w:hanging="420"/>
      </w:pPr>
    </w:lvl>
    <w:lvl w:ilvl="5" w:tentative="0">
      <w:start w:val="1"/>
      <w:numFmt w:val="lowerRoman"/>
      <w:lvlText w:val="%6."/>
      <w:lvlJc w:val="right"/>
      <w:pPr>
        <w:ind w:left="3382" w:hanging="420"/>
      </w:pPr>
    </w:lvl>
    <w:lvl w:ilvl="6" w:tentative="0">
      <w:start w:val="1"/>
      <w:numFmt w:val="decimal"/>
      <w:lvlText w:val="%7."/>
      <w:lvlJc w:val="left"/>
      <w:pPr>
        <w:ind w:left="3802" w:hanging="420"/>
      </w:pPr>
    </w:lvl>
    <w:lvl w:ilvl="7" w:tentative="0">
      <w:start w:val="1"/>
      <w:numFmt w:val="lowerLetter"/>
      <w:lvlText w:val="%8)"/>
      <w:lvlJc w:val="left"/>
      <w:pPr>
        <w:ind w:left="4222" w:hanging="420"/>
      </w:pPr>
    </w:lvl>
    <w:lvl w:ilvl="8" w:tentative="0">
      <w:start w:val="1"/>
      <w:numFmt w:val="lowerRoman"/>
      <w:lvlText w:val="%9."/>
      <w:lvlJc w:val="right"/>
      <w:pPr>
        <w:ind w:left="4642" w:hanging="420"/>
      </w:pPr>
    </w:lvl>
  </w:abstractNum>
  <w:abstractNum w:abstractNumId="3">
    <w:nsid w:val="54E641F8"/>
    <w:multiLevelType w:val="multilevel"/>
    <w:tmpl w:val="54E641F8"/>
    <w:lvl w:ilvl="0" w:tentative="0">
      <w:start w:val="1"/>
      <w:numFmt w:val="lowerLetter"/>
      <w:lvlText w:val="%1."/>
      <w:lvlJc w:val="left"/>
      <w:rPr>
        <w:rFonts w:hint="default" w:ascii="Arial" w:hAnsi="Arial" w:eastAsia="Courier New" w:cs="Arial"/>
        <w:b w:val="0"/>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6315770A"/>
    <w:multiLevelType w:val="multilevel"/>
    <w:tmpl w:val="6315770A"/>
    <w:lvl w:ilvl="0" w:tentative="0">
      <w:start w:val="1"/>
      <w:numFmt w:val="lowerLetter"/>
      <w:lvlText w:val="%1."/>
      <w:lvlJc w:val="left"/>
      <w:rPr>
        <w:rFonts w:hint="default" w:ascii="Arial" w:hAnsi="Arial" w:eastAsia="Courier New" w:cs="Arial"/>
        <w:b w:val="0"/>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6D105E65"/>
    <w:multiLevelType w:val="multilevel"/>
    <w:tmpl w:val="6D105E65"/>
    <w:lvl w:ilvl="0" w:tentative="0">
      <w:start w:val="1"/>
      <w:numFmt w:val="decimal"/>
      <w:lvlText w:val="%1."/>
      <w:lvlJc w:val="left"/>
      <w:pPr>
        <w:ind w:left="360" w:hanging="36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30304E3"/>
    <w:multiLevelType w:val="multilevel"/>
    <w:tmpl w:val="730304E3"/>
    <w:lvl w:ilvl="0" w:tentative="0">
      <w:start w:val="1"/>
      <w:numFmt w:val="decimal"/>
      <w:lvlText w:val="%1."/>
      <w:lvlJc w:val="left"/>
      <w:rPr>
        <w:rFonts w:hint="default" w:ascii="Arial" w:hAnsi="Arial" w:eastAsia="Courier New" w:cs="Arial"/>
        <w:b w:val="0"/>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5"/>
  </w:num>
  <w:num w:numId="2">
    <w:abstractNumId w:val="3"/>
  </w:num>
  <w:num w:numId="3">
    <w:abstractNumId w:val="0"/>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20"/>
  <w:displayHorizontalDrawingGridEvery w:val="2"/>
  <w:displayVerticalDrawingGridEvery w:val="2"/>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336"/>
    <w:rsid w:val="0000286A"/>
    <w:rsid w:val="00002F2C"/>
    <w:rsid w:val="000043F5"/>
    <w:rsid w:val="0001088B"/>
    <w:rsid w:val="00013C53"/>
    <w:rsid w:val="00013C7C"/>
    <w:rsid w:val="00016AD1"/>
    <w:rsid w:val="00017848"/>
    <w:rsid w:val="000226E3"/>
    <w:rsid w:val="00023FAA"/>
    <w:rsid w:val="000308EC"/>
    <w:rsid w:val="0003248A"/>
    <w:rsid w:val="00043515"/>
    <w:rsid w:val="000456E4"/>
    <w:rsid w:val="00045E95"/>
    <w:rsid w:val="00047DE6"/>
    <w:rsid w:val="00052637"/>
    <w:rsid w:val="0005438B"/>
    <w:rsid w:val="000625DD"/>
    <w:rsid w:val="00066A79"/>
    <w:rsid w:val="00072F07"/>
    <w:rsid w:val="00074595"/>
    <w:rsid w:val="00076A77"/>
    <w:rsid w:val="00080E2A"/>
    <w:rsid w:val="00082B8E"/>
    <w:rsid w:val="00084D77"/>
    <w:rsid w:val="000855A0"/>
    <w:rsid w:val="00086B79"/>
    <w:rsid w:val="00086B7B"/>
    <w:rsid w:val="00086FD3"/>
    <w:rsid w:val="00087BFE"/>
    <w:rsid w:val="0009515D"/>
    <w:rsid w:val="000A0F3C"/>
    <w:rsid w:val="000A1089"/>
    <w:rsid w:val="000A2D33"/>
    <w:rsid w:val="000B053F"/>
    <w:rsid w:val="000B5EAF"/>
    <w:rsid w:val="000B7EA5"/>
    <w:rsid w:val="000C3AB3"/>
    <w:rsid w:val="000D2A09"/>
    <w:rsid w:val="000E5A80"/>
    <w:rsid w:val="000E647C"/>
    <w:rsid w:val="000F10D3"/>
    <w:rsid w:val="000F7EAF"/>
    <w:rsid w:val="001115C9"/>
    <w:rsid w:val="0011191A"/>
    <w:rsid w:val="00115094"/>
    <w:rsid w:val="00117C63"/>
    <w:rsid w:val="00117F67"/>
    <w:rsid w:val="00121D37"/>
    <w:rsid w:val="00133B0F"/>
    <w:rsid w:val="001340F9"/>
    <w:rsid w:val="001360EC"/>
    <w:rsid w:val="0014762C"/>
    <w:rsid w:val="0015212B"/>
    <w:rsid w:val="0015256F"/>
    <w:rsid w:val="00154E32"/>
    <w:rsid w:val="00162D25"/>
    <w:rsid w:val="001645AD"/>
    <w:rsid w:val="00165640"/>
    <w:rsid w:val="001677E2"/>
    <w:rsid w:val="00171BDB"/>
    <w:rsid w:val="00180F84"/>
    <w:rsid w:val="00182105"/>
    <w:rsid w:val="001863DF"/>
    <w:rsid w:val="00187B9A"/>
    <w:rsid w:val="00190CFE"/>
    <w:rsid w:val="00190EB6"/>
    <w:rsid w:val="001A0626"/>
    <w:rsid w:val="001A23E1"/>
    <w:rsid w:val="001A3699"/>
    <w:rsid w:val="001A38B7"/>
    <w:rsid w:val="001A41D2"/>
    <w:rsid w:val="001B0350"/>
    <w:rsid w:val="001B0408"/>
    <w:rsid w:val="001C2B05"/>
    <w:rsid w:val="001C3718"/>
    <w:rsid w:val="001C5697"/>
    <w:rsid w:val="001C6018"/>
    <w:rsid w:val="001C7007"/>
    <w:rsid w:val="001D1D48"/>
    <w:rsid w:val="001D2448"/>
    <w:rsid w:val="001D3A6C"/>
    <w:rsid w:val="001D3EC7"/>
    <w:rsid w:val="001D57A7"/>
    <w:rsid w:val="001D7015"/>
    <w:rsid w:val="001D7940"/>
    <w:rsid w:val="001D79D8"/>
    <w:rsid w:val="001E30BB"/>
    <w:rsid w:val="001E4026"/>
    <w:rsid w:val="001E696B"/>
    <w:rsid w:val="001E6B1C"/>
    <w:rsid w:val="001F1D15"/>
    <w:rsid w:val="001F2042"/>
    <w:rsid w:val="001F4118"/>
    <w:rsid w:val="001F45E7"/>
    <w:rsid w:val="001F5096"/>
    <w:rsid w:val="001F5BAC"/>
    <w:rsid w:val="001F5EEC"/>
    <w:rsid w:val="001F6822"/>
    <w:rsid w:val="002067AD"/>
    <w:rsid w:val="002116F8"/>
    <w:rsid w:val="00211AED"/>
    <w:rsid w:val="00212928"/>
    <w:rsid w:val="0021292A"/>
    <w:rsid w:val="00214067"/>
    <w:rsid w:val="00215499"/>
    <w:rsid w:val="002226D9"/>
    <w:rsid w:val="00222E72"/>
    <w:rsid w:val="00226BA5"/>
    <w:rsid w:val="002300C5"/>
    <w:rsid w:val="002321C7"/>
    <w:rsid w:val="00234870"/>
    <w:rsid w:val="00237397"/>
    <w:rsid w:val="00241891"/>
    <w:rsid w:val="002428CB"/>
    <w:rsid w:val="002539B3"/>
    <w:rsid w:val="00255F06"/>
    <w:rsid w:val="0025653C"/>
    <w:rsid w:val="00257731"/>
    <w:rsid w:val="00262D42"/>
    <w:rsid w:val="00266768"/>
    <w:rsid w:val="00280C14"/>
    <w:rsid w:val="002822B0"/>
    <w:rsid w:val="00284F6E"/>
    <w:rsid w:val="00290590"/>
    <w:rsid w:val="00290878"/>
    <w:rsid w:val="00296952"/>
    <w:rsid w:val="002A1219"/>
    <w:rsid w:val="002A2DD9"/>
    <w:rsid w:val="002A635B"/>
    <w:rsid w:val="002A7CAF"/>
    <w:rsid w:val="002B0162"/>
    <w:rsid w:val="002B299C"/>
    <w:rsid w:val="002B46B8"/>
    <w:rsid w:val="002C0331"/>
    <w:rsid w:val="002C504D"/>
    <w:rsid w:val="002D27C0"/>
    <w:rsid w:val="002D592F"/>
    <w:rsid w:val="002D78AD"/>
    <w:rsid w:val="002E0374"/>
    <w:rsid w:val="002E2315"/>
    <w:rsid w:val="002E4FB6"/>
    <w:rsid w:val="002E5F4F"/>
    <w:rsid w:val="002F0103"/>
    <w:rsid w:val="002F26B3"/>
    <w:rsid w:val="002F3A52"/>
    <w:rsid w:val="0030076F"/>
    <w:rsid w:val="0030331C"/>
    <w:rsid w:val="00304449"/>
    <w:rsid w:val="003063B2"/>
    <w:rsid w:val="0031062D"/>
    <w:rsid w:val="003106A8"/>
    <w:rsid w:val="003129D0"/>
    <w:rsid w:val="00314F32"/>
    <w:rsid w:val="003158C6"/>
    <w:rsid w:val="00316336"/>
    <w:rsid w:val="00322CB7"/>
    <w:rsid w:val="00327046"/>
    <w:rsid w:val="00331D9B"/>
    <w:rsid w:val="003322C0"/>
    <w:rsid w:val="00332BC4"/>
    <w:rsid w:val="00332FE7"/>
    <w:rsid w:val="00334E91"/>
    <w:rsid w:val="003355CF"/>
    <w:rsid w:val="00341139"/>
    <w:rsid w:val="003466E7"/>
    <w:rsid w:val="00346DCC"/>
    <w:rsid w:val="00347BF6"/>
    <w:rsid w:val="003531E8"/>
    <w:rsid w:val="00354FBC"/>
    <w:rsid w:val="003554C0"/>
    <w:rsid w:val="003617BE"/>
    <w:rsid w:val="00362DEE"/>
    <w:rsid w:val="00366DB1"/>
    <w:rsid w:val="00367749"/>
    <w:rsid w:val="00370DB3"/>
    <w:rsid w:val="0037371A"/>
    <w:rsid w:val="00375993"/>
    <w:rsid w:val="00380498"/>
    <w:rsid w:val="00381D82"/>
    <w:rsid w:val="00384413"/>
    <w:rsid w:val="0038539B"/>
    <w:rsid w:val="0038757D"/>
    <w:rsid w:val="003918F9"/>
    <w:rsid w:val="003938F6"/>
    <w:rsid w:val="003A49BF"/>
    <w:rsid w:val="003A6945"/>
    <w:rsid w:val="003A7506"/>
    <w:rsid w:val="003B1CA0"/>
    <w:rsid w:val="003B5F2C"/>
    <w:rsid w:val="003B61EE"/>
    <w:rsid w:val="003C150F"/>
    <w:rsid w:val="003C21A5"/>
    <w:rsid w:val="003C3CA2"/>
    <w:rsid w:val="003C4BF3"/>
    <w:rsid w:val="003C58D1"/>
    <w:rsid w:val="003C5C04"/>
    <w:rsid w:val="003C7527"/>
    <w:rsid w:val="003D0DF2"/>
    <w:rsid w:val="003D38E2"/>
    <w:rsid w:val="003D5DD6"/>
    <w:rsid w:val="003D7CD7"/>
    <w:rsid w:val="003E0AA9"/>
    <w:rsid w:val="003E1F14"/>
    <w:rsid w:val="003E233E"/>
    <w:rsid w:val="003E2500"/>
    <w:rsid w:val="003E294F"/>
    <w:rsid w:val="003E5D5C"/>
    <w:rsid w:val="003F1989"/>
    <w:rsid w:val="003F25EE"/>
    <w:rsid w:val="003F2D63"/>
    <w:rsid w:val="003F6241"/>
    <w:rsid w:val="003F66DA"/>
    <w:rsid w:val="004000FA"/>
    <w:rsid w:val="0040586F"/>
    <w:rsid w:val="00413ECE"/>
    <w:rsid w:val="00414B72"/>
    <w:rsid w:val="0041710B"/>
    <w:rsid w:val="004231CD"/>
    <w:rsid w:val="004256EE"/>
    <w:rsid w:val="00441917"/>
    <w:rsid w:val="00444B8C"/>
    <w:rsid w:val="0044557A"/>
    <w:rsid w:val="004470FF"/>
    <w:rsid w:val="00452B78"/>
    <w:rsid w:val="00455F65"/>
    <w:rsid w:val="00457A47"/>
    <w:rsid w:val="004623EA"/>
    <w:rsid w:val="004624D3"/>
    <w:rsid w:val="004733E3"/>
    <w:rsid w:val="00476303"/>
    <w:rsid w:val="0048006E"/>
    <w:rsid w:val="004818C5"/>
    <w:rsid w:val="00482DF9"/>
    <w:rsid w:val="00483A90"/>
    <w:rsid w:val="00484A87"/>
    <w:rsid w:val="00490548"/>
    <w:rsid w:val="004926B2"/>
    <w:rsid w:val="0049296F"/>
    <w:rsid w:val="004967E9"/>
    <w:rsid w:val="004974A4"/>
    <w:rsid w:val="004A45A5"/>
    <w:rsid w:val="004A55F4"/>
    <w:rsid w:val="004A58A7"/>
    <w:rsid w:val="004A6572"/>
    <w:rsid w:val="004B176D"/>
    <w:rsid w:val="004B333D"/>
    <w:rsid w:val="004B336E"/>
    <w:rsid w:val="004B46F4"/>
    <w:rsid w:val="004B7035"/>
    <w:rsid w:val="004C2214"/>
    <w:rsid w:val="004C2251"/>
    <w:rsid w:val="004D0002"/>
    <w:rsid w:val="004D4909"/>
    <w:rsid w:val="004D501A"/>
    <w:rsid w:val="004E0C25"/>
    <w:rsid w:val="004E160D"/>
    <w:rsid w:val="004E4577"/>
    <w:rsid w:val="004E571D"/>
    <w:rsid w:val="004E7F08"/>
    <w:rsid w:val="004F03C3"/>
    <w:rsid w:val="004F0FED"/>
    <w:rsid w:val="005062F7"/>
    <w:rsid w:val="005070E7"/>
    <w:rsid w:val="0051035C"/>
    <w:rsid w:val="00515837"/>
    <w:rsid w:val="00522972"/>
    <w:rsid w:val="00522C84"/>
    <w:rsid w:val="00522D87"/>
    <w:rsid w:val="00523B6B"/>
    <w:rsid w:val="00527DC0"/>
    <w:rsid w:val="005350BB"/>
    <w:rsid w:val="00535344"/>
    <w:rsid w:val="00537268"/>
    <w:rsid w:val="00537476"/>
    <w:rsid w:val="00540CF4"/>
    <w:rsid w:val="00542E1D"/>
    <w:rsid w:val="00543E0A"/>
    <w:rsid w:val="005461F3"/>
    <w:rsid w:val="005555E6"/>
    <w:rsid w:val="005570A6"/>
    <w:rsid w:val="00557FC8"/>
    <w:rsid w:val="00562BAB"/>
    <w:rsid w:val="00562BEE"/>
    <w:rsid w:val="00562DAD"/>
    <w:rsid w:val="00564AE5"/>
    <w:rsid w:val="0057029D"/>
    <w:rsid w:val="00570684"/>
    <w:rsid w:val="005729AF"/>
    <w:rsid w:val="005754F5"/>
    <w:rsid w:val="005764FD"/>
    <w:rsid w:val="0058066D"/>
    <w:rsid w:val="005834D5"/>
    <w:rsid w:val="00587DFE"/>
    <w:rsid w:val="00597BAB"/>
    <w:rsid w:val="005A2377"/>
    <w:rsid w:val="005A6049"/>
    <w:rsid w:val="005B7874"/>
    <w:rsid w:val="005C1F00"/>
    <w:rsid w:val="005C2998"/>
    <w:rsid w:val="005C37A9"/>
    <w:rsid w:val="005D20C2"/>
    <w:rsid w:val="005D2E61"/>
    <w:rsid w:val="005D2F5B"/>
    <w:rsid w:val="005E166C"/>
    <w:rsid w:val="005E1F35"/>
    <w:rsid w:val="005E59D3"/>
    <w:rsid w:val="005F4370"/>
    <w:rsid w:val="005F64CA"/>
    <w:rsid w:val="00601F94"/>
    <w:rsid w:val="006046FC"/>
    <w:rsid w:val="00613904"/>
    <w:rsid w:val="00617AF1"/>
    <w:rsid w:val="00622359"/>
    <w:rsid w:val="006227E1"/>
    <w:rsid w:val="0062719D"/>
    <w:rsid w:val="00632F8E"/>
    <w:rsid w:val="00637472"/>
    <w:rsid w:val="00637DC4"/>
    <w:rsid w:val="00641FC2"/>
    <w:rsid w:val="00642AFC"/>
    <w:rsid w:val="00642DBC"/>
    <w:rsid w:val="00642FAC"/>
    <w:rsid w:val="0065382C"/>
    <w:rsid w:val="006561D5"/>
    <w:rsid w:val="0065661F"/>
    <w:rsid w:val="0065709E"/>
    <w:rsid w:val="006572AE"/>
    <w:rsid w:val="006612B8"/>
    <w:rsid w:val="00666DD8"/>
    <w:rsid w:val="006703CE"/>
    <w:rsid w:val="00670C97"/>
    <w:rsid w:val="00670F92"/>
    <w:rsid w:val="00674721"/>
    <w:rsid w:val="00675D36"/>
    <w:rsid w:val="00681F52"/>
    <w:rsid w:val="00686124"/>
    <w:rsid w:val="006A2EDF"/>
    <w:rsid w:val="006B0551"/>
    <w:rsid w:val="006B2423"/>
    <w:rsid w:val="006B56C7"/>
    <w:rsid w:val="006C0CA5"/>
    <w:rsid w:val="006C1EC3"/>
    <w:rsid w:val="006C2EF1"/>
    <w:rsid w:val="006C6362"/>
    <w:rsid w:val="006D6431"/>
    <w:rsid w:val="006E1AAF"/>
    <w:rsid w:val="006E1EB6"/>
    <w:rsid w:val="006E56D1"/>
    <w:rsid w:val="006F0052"/>
    <w:rsid w:val="006F10CE"/>
    <w:rsid w:val="006F1F27"/>
    <w:rsid w:val="006F24E7"/>
    <w:rsid w:val="006F2919"/>
    <w:rsid w:val="006F6450"/>
    <w:rsid w:val="006F78D7"/>
    <w:rsid w:val="006F7F2E"/>
    <w:rsid w:val="00701F19"/>
    <w:rsid w:val="007026D3"/>
    <w:rsid w:val="0070320B"/>
    <w:rsid w:val="007038B3"/>
    <w:rsid w:val="0071263C"/>
    <w:rsid w:val="0071509B"/>
    <w:rsid w:val="007215AB"/>
    <w:rsid w:val="00723F5F"/>
    <w:rsid w:val="00732234"/>
    <w:rsid w:val="00734512"/>
    <w:rsid w:val="0073487E"/>
    <w:rsid w:val="007368E9"/>
    <w:rsid w:val="00736FA7"/>
    <w:rsid w:val="007371E4"/>
    <w:rsid w:val="007450BB"/>
    <w:rsid w:val="00746C91"/>
    <w:rsid w:val="00750A1A"/>
    <w:rsid w:val="00751068"/>
    <w:rsid w:val="007538D2"/>
    <w:rsid w:val="00754223"/>
    <w:rsid w:val="00755F96"/>
    <w:rsid w:val="007646C2"/>
    <w:rsid w:val="007703B8"/>
    <w:rsid w:val="00770501"/>
    <w:rsid w:val="00772979"/>
    <w:rsid w:val="00781BC4"/>
    <w:rsid w:val="00782D06"/>
    <w:rsid w:val="007852A3"/>
    <w:rsid w:val="0079097F"/>
    <w:rsid w:val="00793800"/>
    <w:rsid w:val="00793881"/>
    <w:rsid w:val="00793985"/>
    <w:rsid w:val="00796B0B"/>
    <w:rsid w:val="007A466E"/>
    <w:rsid w:val="007B5AA1"/>
    <w:rsid w:val="007B6FD6"/>
    <w:rsid w:val="007C021B"/>
    <w:rsid w:val="007C27E9"/>
    <w:rsid w:val="007C562A"/>
    <w:rsid w:val="007D4FA2"/>
    <w:rsid w:val="007D5AD4"/>
    <w:rsid w:val="007E3BBF"/>
    <w:rsid w:val="007E4253"/>
    <w:rsid w:val="007E6282"/>
    <w:rsid w:val="007E7F76"/>
    <w:rsid w:val="007F4467"/>
    <w:rsid w:val="007F4F30"/>
    <w:rsid w:val="00803989"/>
    <w:rsid w:val="00803C70"/>
    <w:rsid w:val="00804086"/>
    <w:rsid w:val="008056FF"/>
    <w:rsid w:val="00810398"/>
    <w:rsid w:val="00812CDC"/>
    <w:rsid w:val="00812DB6"/>
    <w:rsid w:val="00813426"/>
    <w:rsid w:val="0082302F"/>
    <w:rsid w:val="0082376D"/>
    <w:rsid w:val="00824832"/>
    <w:rsid w:val="00824EE4"/>
    <w:rsid w:val="00825FAF"/>
    <w:rsid w:val="00827727"/>
    <w:rsid w:val="008301B0"/>
    <w:rsid w:val="0083218E"/>
    <w:rsid w:val="00833714"/>
    <w:rsid w:val="008339E7"/>
    <w:rsid w:val="00835325"/>
    <w:rsid w:val="00840B54"/>
    <w:rsid w:val="008470B2"/>
    <w:rsid w:val="008504F7"/>
    <w:rsid w:val="008535C3"/>
    <w:rsid w:val="00855435"/>
    <w:rsid w:val="008613F2"/>
    <w:rsid w:val="00862992"/>
    <w:rsid w:val="00865636"/>
    <w:rsid w:val="008718D4"/>
    <w:rsid w:val="00886D75"/>
    <w:rsid w:val="008910C0"/>
    <w:rsid w:val="00896B55"/>
    <w:rsid w:val="008975EE"/>
    <w:rsid w:val="008A7DFF"/>
    <w:rsid w:val="008B0E4E"/>
    <w:rsid w:val="008B2C3D"/>
    <w:rsid w:val="008B3794"/>
    <w:rsid w:val="008B4E21"/>
    <w:rsid w:val="008B5645"/>
    <w:rsid w:val="008B6828"/>
    <w:rsid w:val="008B7DB1"/>
    <w:rsid w:val="008C628E"/>
    <w:rsid w:val="008C7053"/>
    <w:rsid w:val="008D3469"/>
    <w:rsid w:val="008D402F"/>
    <w:rsid w:val="008D5881"/>
    <w:rsid w:val="008D6476"/>
    <w:rsid w:val="008D726D"/>
    <w:rsid w:val="008E2113"/>
    <w:rsid w:val="008E3046"/>
    <w:rsid w:val="008E48D5"/>
    <w:rsid w:val="008E4DDD"/>
    <w:rsid w:val="008F09F2"/>
    <w:rsid w:val="008F2625"/>
    <w:rsid w:val="008F6046"/>
    <w:rsid w:val="008F6BC3"/>
    <w:rsid w:val="0090117C"/>
    <w:rsid w:val="009041D6"/>
    <w:rsid w:val="009058EA"/>
    <w:rsid w:val="00906EAA"/>
    <w:rsid w:val="00910C83"/>
    <w:rsid w:val="00910F32"/>
    <w:rsid w:val="00913C71"/>
    <w:rsid w:val="00917C2D"/>
    <w:rsid w:val="00924899"/>
    <w:rsid w:val="00926F0F"/>
    <w:rsid w:val="00927138"/>
    <w:rsid w:val="009314D7"/>
    <w:rsid w:val="0094332E"/>
    <w:rsid w:val="0094392E"/>
    <w:rsid w:val="00947AD5"/>
    <w:rsid w:val="00950162"/>
    <w:rsid w:val="00952529"/>
    <w:rsid w:val="00953864"/>
    <w:rsid w:val="00953E51"/>
    <w:rsid w:val="00955C76"/>
    <w:rsid w:val="009742D7"/>
    <w:rsid w:val="00976A42"/>
    <w:rsid w:val="00981DC7"/>
    <w:rsid w:val="009842EC"/>
    <w:rsid w:val="00984D7F"/>
    <w:rsid w:val="009922C5"/>
    <w:rsid w:val="00992B46"/>
    <w:rsid w:val="00992F5C"/>
    <w:rsid w:val="009937E6"/>
    <w:rsid w:val="009941C0"/>
    <w:rsid w:val="009A14F8"/>
    <w:rsid w:val="009A1BF0"/>
    <w:rsid w:val="009A24BE"/>
    <w:rsid w:val="009A2B51"/>
    <w:rsid w:val="009A30A5"/>
    <w:rsid w:val="009A334C"/>
    <w:rsid w:val="009A335D"/>
    <w:rsid w:val="009A6684"/>
    <w:rsid w:val="009A7134"/>
    <w:rsid w:val="009A773D"/>
    <w:rsid w:val="009B0CC2"/>
    <w:rsid w:val="009B25BA"/>
    <w:rsid w:val="009B71C5"/>
    <w:rsid w:val="009B78B1"/>
    <w:rsid w:val="009C0476"/>
    <w:rsid w:val="009C28F1"/>
    <w:rsid w:val="009C2CF7"/>
    <w:rsid w:val="009C668E"/>
    <w:rsid w:val="009D0B09"/>
    <w:rsid w:val="009D0FD8"/>
    <w:rsid w:val="009E119A"/>
    <w:rsid w:val="009E184A"/>
    <w:rsid w:val="00A06EA0"/>
    <w:rsid w:val="00A10D2E"/>
    <w:rsid w:val="00A13524"/>
    <w:rsid w:val="00A20777"/>
    <w:rsid w:val="00A2141F"/>
    <w:rsid w:val="00A23E44"/>
    <w:rsid w:val="00A2582C"/>
    <w:rsid w:val="00A27791"/>
    <w:rsid w:val="00A35C57"/>
    <w:rsid w:val="00A3605F"/>
    <w:rsid w:val="00A36116"/>
    <w:rsid w:val="00A41970"/>
    <w:rsid w:val="00A44E4C"/>
    <w:rsid w:val="00A5185D"/>
    <w:rsid w:val="00A53E3A"/>
    <w:rsid w:val="00A54C68"/>
    <w:rsid w:val="00A55C76"/>
    <w:rsid w:val="00A56B72"/>
    <w:rsid w:val="00A6278D"/>
    <w:rsid w:val="00A6327B"/>
    <w:rsid w:val="00A65166"/>
    <w:rsid w:val="00A704D8"/>
    <w:rsid w:val="00A718A4"/>
    <w:rsid w:val="00A73395"/>
    <w:rsid w:val="00A75C14"/>
    <w:rsid w:val="00A80A87"/>
    <w:rsid w:val="00A82549"/>
    <w:rsid w:val="00A85641"/>
    <w:rsid w:val="00A860A7"/>
    <w:rsid w:val="00A92B5A"/>
    <w:rsid w:val="00A93BD2"/>
    <w:rsid w:val="00A93D47"/>
    <w:rsid w:val="00A94ACA"/>
    <w:rsid w:val="00AA017D"/>
    <w:rsid w:val="00AA11A3"/>
    <w:rsid w:val="00AA2B01"/>
    <w:rsid w:val="00AA3B10"/>
    <w:rsid w:val="00AA7321"/>
    <w:rsid w:val="00AA7F02"/>
    <w:rsid w:val="00AB0BCB"/>
    <w:rsid w:val="00AB19DE"/>
    <w:rsid w:val="00AB2D7A"/>
    <w:rsid w:val="00AB3B2E"/>
    <w:rsid w:val="00AD1618"/>
    <w:rsid w:val="00AD321F"/>
    <w:rsid w:val="00AD4805"/>
    <w:rsid w:val="00AD5721"/>
    <w:rsid w:val="00AD5C2F"/>
    <w:rsid w:val="00AD7226"/>
    <w:rsid w:val="00AE059F"/>
    <w:rsid w:val="00AE0A0E"/>
    <w:rsid w:val="00AE37E9"/>
    <w:rsid w:val="00AE3E20"/>
    <w:rsid w:val="00AE522D"/>
    <w:rsid w:val="00AE7698"/>
    <w:rsid w:val="00AF15E9"/>
    <w:rsid w:val="00AF39E7"/>
    <w:rsid w:val="00AF672E"/>
    <w:rsid w:val="00B040D7"/>
    <w:rsid w:val="00B06D84"/>
    <w:rsid w:val="00B17BFC"/>
    <w:rsid w:val="00B22676"/>
    <w:rsid w:val="00B22925"/>
    <w:rsid w:val="00B27DCA"/>
    <w:rsid w:val="00B32994"/>
    <w:rsid w:val="00B35B2D"/>
    <w:rsid w:val="00B369B8"/>
    <w:rsid w:val="00B42AA6"/>
    <w:rsid w:val="00B44FBF"/>
    <w:rsid w:val="00B476B2"/>
    <w:rsid w:val="00B47D2D"/>
    <w:rsid w:val="00B513C9"/>
    <w:rsid w:val="00B548CE"/>
    <w:rsid w:val="00B5582B"/>
    <w:rsid w:val="00B607AA"/>
    <w:rsid w:val="00B6091E"/>
    <w:rsid w:val="00B705A7"/>
    <w:rsid w:val="00B727B2"/>
    <w:rsid w:val="00B73299"/>
    <w:rsid w:val="00B74B02"/>
    <w:rsid w:val="00B752D0"/>
    <w:rsid w:val="00B803E9"/>
    <w:rsid w:val="00B83285"/>
    <w:rsid w:val="00B840B4"/>
    <w:rsid w:val="00B8662D"/>
    <w:rsid w:val="00B86CD1"/>
    <w:rsid w:val="00B922C3"/>
    <w:rsid w:val="00B971D3"/>
    <w:rsid w:val="00B9741B"/>
    <w:rsid w:val="00BA041B"/>
    <w:rsid w:val="00BA1690"/>
    <w:rsid w:val="00BC0A68"/>
    <w:rsid w:val="00BC544C"/>
    <w:rsid w:val="00BC6B67"/>
    <w:rsid w:val="00BD0344"/>
    <w:rsid w:val="00BD1902"/>
    <w:rsid w:val="00BD19CE"/>
    <w:rsid w:val="00BD45AE"/>
    <w:rsid w:val="00BD4AD3"/>
    <w:rsid w:val="00BD55E1"/>
    <w:rsid w:val="00BD617E"/>
    <w:rsid w:val="00BD6553"/>
    <w:rsid w:val="00BE037C"/>
    <w:rsid w:val="00BE0C51"/>
    <w:rsid w:val="00BE5602"/>
    <w:rsid w:val="00BE5745"/>
    <w:rsid w:val="00BE70FD"/>
    <w:rsid w:val="00BF5F1D"/>
    <w:rsid w:val="00C02E51"/>
    <w:rsid w:val="00C047FD"/>
    <w:rsid w:val="00C0749F"/>
    <w:rsid w:val="00C077F4"/>
    <w:rsid w:val="00C0786C"/>
    <w:rsid w:val="00C116F4"/>
    <w:rsid w:val="00C13670"/>
    <w:rsid w:val="00C15EE8"/>
    <w:rsid w:val="00C16056"/>
    <w:rsid w:val="00C1662E"/>
    <w:rsid w:val="00C16E1D"/>
    <w:rsid w:val="00C17390"/>
    <w:rsid w:val="00C218A7"/>
    <w:rsid w:val="00C267C8"/>
    <w:rsid w:val="00C30746"/>
    <w:rsid w:val="00C3685A"/>
    <w:rsid w:val="00C40289"/>
    <w:rsid w:val="00C43E06"/>
    <w:rsid w:val="00C4424E"/>
    <w:rsid w:val="00C44E71"/>
    <w:rsid w:val="00C466FE"/>
    <w:rsid w:val="00C54685"/>
    <w:rsid w:val="00C5531C"/>
    <w:rsid w:val="00C56ED2"/>
    <w:rsid w:val="00C570A9"/>
    <w:rsid w:val="00C60830"/>
    <w:rsid w:val="00C60C40"/>
    <w:rsid w:val="00C71C36"/>
    <w:rsid w:val="00C72AB8"/>
    <w:rsid w:val="00C74162"/>
    <w:rsid w:val="00C7531F"/>
    <w:rsid w:val="00C7759F"/>
    <w:rsid w:val="00C81758"/>
    <w:rsid w:val="00C82EAF"/>
    <w:rsid w:val="00C83230"/>
    <w:rsid w:val="00C8692C"/>
    <w:rsid w:val="00C87E9C"/>
    <w:rsid w:val="00C939D4"/>
    <w:rsid w:val="00C96D86"/>
    <w:rsid w:val="00C97015"/>
    <w:rsid w:val="00C9767E"/>
    <w:rsid w:val="00CA08BF"/>
    <w:rsid w:val="00CA1793"/>
    <w:rsid w:val="00CA23F3"/>
    <w:rsid w:val="00CA7A57"/>
    <w:rsid w:val="00CB2816"/>
    <w:rsid w:val="00CB2BAC"/>
    <w:rsid w:val="00CB2FF5"/>
    <w:rsid w:val="00CB5019"/>
    <w:rsid w:val="00CB789E"/>
    <w:rsid w:val="00CC19C8"/>
    <w:rsid w:val="00CC2CDF"/>
    <w:rsid w:val="00CD00F3"/>
    <w:rsid w:val="00CD131A"/>
    <w:rsid w:val="00CD16F2"/>
    <w:rsid w:val="00CD3015"/>
    <w:rsid w:val="00CD49A7"/>
    <w:rsid w:val="00CD5588"/>
    <w:rsid w:val="00CD7369"/>
    <w:rsid w:val="00CE4773"/>
    <w:rsid w:val="00CE641B"/>
    <w:rsid w:val="00CF2FCE"/>
    <w:rsid w:val="00CF643C"/>
    <w:rsid w:val="00D04F02"/>
    <w:rsid w:val="00D10E92"/>
    <w:rsid w:val="00D15CEE"/>
    <w:rsid w:val="00D17607"/>
    <w:rsid w:val="00D176B9"/>
    <w:rsid w:val="00D2121A"/>
    <w:rsid w:val="00D261AB"/>
    <w:rsid w:val="00D26C3B"/>
    <w:rsid w:val="00D2707C"/>
    <w:rsid w:val="00D413E6"/>
    <w:rsid w:val="00D5254F"/>
    <w:rsid w:val="00D531C3"/>
    <w:rsid w:val="00D5447D"/>
    <w:rsid w:val="00D55013"/>
    <w:rsid w:val="00D5670E"/>
    <w:rsid w:val="00D62F3C"/>
    <w:rsid w:val="00D67992"/>
    <w:rsid w:val="00D716D7"/>
    <w:rsid w:val="00D72652"/>
    <w:rsid w:val="00D72D3E"/>
    <w:rsid w:val="00D77048"/>
    <w:rsid w:val="00D80F55"/>
    <w:rsid w:val="00D81912"/>
    <w:rsid w:val="00D82415"/>
    <w:rsid w:val="00D82FC1"/>
    <w:rsid w:val="00D850EA"/>
    <w:rsid w:val="00D86659"/>
    <w:rsid w:val="00D869D3"/>
    <w:rsid w:val="00D90192"/>
    <w:rsid w:val="00D902D5"/>
    <w:rsid w:val="00D9041F"/>
    <w:rsid w:val="00D9136D"/>
    <w:rsid w:val="00D9455B"/>
    <w:rsid w:val="00DA045D"/>
    <w:rsid w:val="00DA2124"/>
    <w:rsid w:val="00DA3F89"/>
    <w:rsid w:val="00DA5881"/>
    <w:rsid w:val="00DB02BC"/>
    <w:rsid w:val="00DB0C22"/>
    <w:rsid w:val="00DB6719"/>
    <w:rsid w:val="00DC0455"/>
    <w:rsid w:val="00DC16F8"/>
    <w:rsid w:val="00DC28F0"/>
    <w:rsid w:val="00DC5164"/>
    <w:rsid w:val="00DD03ED"/>
    <w:rsid w:val="00DD41AE"/>
    <w:rsid w:val="00DD6865"/>
    <w:rsid w:val="00DE2B78"/>
    <w:rsid w:val="00DE46E8"/>
    <w:rsid w:val="00DF3485"/>
    <w:rsid w:val="00DF41F2"/>
    <w:rsid w:val="00DF5D5C"/>
    <w:rsid w:val="00DF7188"/>
    <w:rsid w:val="00DF726D"/>
    <w:rsid w:val="00E000D2"/>
    <w:rsid w:val="00E00226"/>
    <w:rsid w:val="00E003E4"/>
    <w:rsid w:val="00E01787"/>
    <w:rsid w:val="00E01929"/>
    <w:rsid w:val="00E032C2"/>
    <w:rsid w:val="00E03BB6"/>
    <w:rsid w:val="00E11D8B"/>
    <w:rsid w:val="00E1227D"/>
    <w:rsid w:val="00E1281A"/>
    <w:rsid w:val="00E142AD"/>
    <w:rsid w:val="00E157A4"/>
    <w:rsid w:val="00E16076"/>
    <w:rsid w:val="00E174CB"/>
    <w:rsid w:val="00E20A31"/>
    <w:rsid w:val="00E212EB"/>
    <w:rsid w:val="00E22876"/>
    <w:rsid w:val="00E23167"/>
    <w:rsid w:val="00E247C7"/>
    <w:rsid w:val="00E270BD"/>
    <w:rsid w:val="00E31635"/>
    <w:rsid w:val="00E31F47"/>
    <w:rsid w:val="00E32E04"/>
    <w:rsid w:val="00E335A7"/>
    <w:rsid w:val="00E4197F"/>
    <w:rsid w:val="00E41A31"/>
    <w:rsid w:val="00E42C3B"/>
    <w:rsid w:val="00E507FC"/>
    <w:rsid w:val="00E52535"/>
    <w:rsid w:val="00E54488"/>
    <w:rsid w:val="00E5473F"/>
    <w:rsid w:val="00E54BBE"/>
    <w:rsid w:val="00E553D4"/>
    <w:rsid w:val="00E60AAF"/>
    <w:rsid w:val="00E60C22"/>
    <w:rsid w:val="00E63048"/>
    <w:rsid w:val="00E64C63"/>
    <w:rsid w:val="00E67D3E"/>
    <w:rsid w:val="00E67D77"/>
    <w:rsid w:val="00E748AB"/>
    <w:rsid w:val="00E7566B"/>
    <w:rsid w:val="00E76BAD"/>
    <w:rsid w:val="00E77C00"/>
    <w:rsid w:val="00E82633"/>
    <w:rsid w:val="00E85FE7"/>
    <w:rsid w:val="00E866BF"/>
    <w:rsid w:val="00E901D9"/>
    <w:rsid w:val="00E91680"/>
    <w:rsid w:val="00E91AF8"/>
    <w:rsid w:val="00E95C19"/>
    <w:rsid w:val="00E97273"/>
    <w:rsid w:val="00E97752"/>
    <w:rsid w:val="00EA41A2"/>
    <w:rsid w:val="00EA6F49"/>
    <w:rsid w:val="00EB035F"/>
    <w:rsid w:val="00EB0C51"/>
    <w:rsid w:val="00EB1FE9"/>
    <w:rsid w:val="00EB4A49"/>
    <w:rsid w:val="00EB6E9B"/>
    <w:rsid w:val="00EB7430"/>
    <w:rsid w:val="00EB7ADD"/>
    <w:rsid w:val="00EC0AF2"/>
    <w:rsid w:val="00EC151F"/>
    <w:rsid w:val="00ED4C16"/>
    <w:rsid w:val="00ED54D0"/>
    <w:rsid w:val="00EE18DE"/>
    <w:rsid w:val="00EE45CD"/>
    <w:rsid w:val="00EE54B3"/>
    <w:rsid w:val="00EE7914"/>
    <w:rsid w:val="00EE7E94"/>
    <w:rsid w:val="00EF4FBA"/>
    <w:rsid w:val="00EF76E5"/>
    <w:rsid w:val="00EF7B09"/>
    <w:rsid w:val="00F03FCE"/>
    <w:rsid w:val="00F10C8E"/>
    <w:rsid w:val="00F11644"/>
    <w:rsid w:val="00F117A4"/>
    <w:rsid w:val="00F1701D"/>
    <w:rsid w:val="00F220C6"/>
    <w:rsid w:val="00F25956"/>
    <w:rsid w:val="00F27D87"/>
    <w:rsid w:val="00F33102"/>
    <w:rsid w:val="00F341CD"/>
    <w:rsid w:val="00F401D2"/>
    <w:rsid w:val="00F43CB6"/>
    <w:rsid w:val="00F45072"/>
    <w:rsid w:val="00F510E2"/>
    <w:rsid w:val="00F523BD"/>
    <w:rsid w:val="00F532B8"/>
    <w:rsid w:val="00F54436"/>
    <w:rsid w:val="00F5533D"/>
    <w:rsid w:val="00F634E5"/>
    <w:rsid w:val="00F665FB"/>
    <w:rsid w:val="00F66F0B"/>
    <w:rsid w:val="00F727A7"/>
    <w:rsid w:val="00F75196"/>
    <w:rsid w:val="00F77E76"/>
    <w:rsid w:val="00F80C80"/>
    <w:rsid w:val="00F86F02"/>
    <w:rsid w:val="00F9075A"/>
    <w:rsid w:val="00F92DBC"/>
    <w:rsid w:val="00F95889"/>
    <w:rsid w:val="00F95EA7"/>
    <w:rsid w:val="00FA0B27"/>
    <w:rsid w:val="00FA1141"/>
    <w:rsid w:val="00FA3F10"/>
    <w:rsid w:val="00FA44D3"/>
    <w:rsid w:val="00FA6295"/>
    <w:rsid w:val="00FA66F8"/>
    <w:rsid w:val="00FA69DD"/>
    <w:rsid w:val="00FA7269"/>
    <w:rsid w:val="00FA73A8"/>
    <w:rsid w:val="00FB36FD"/>
    <w:rsid w:val="00FB5614"/>
    <w:rsid w:val="00FB6741"/>
    <w:rsid w:val="00FB7D00"/>
    <w:rsid w:val="00FC22A5"/>
    <w:rsid w:val="00FC4013"/>
    <w:rsid w:val="00FC404A"/>
    <w:rsid w:val="00FC5353"/>
    <w:rsid w:val="00FC7692"/>
    <w:rsid w:val="00FC7EAE"/>
    <w:rsid w:val="00FD226E"/>
    <w:rsid w:val="00FE2D11"/>
    <w:rsid w:val="00FE6A1F"/>
    <w:rsid w:val="00FF1637"/>
    <w:rsid w:val="00FF170B"/>
    <w:rsid w:val="00FF74E3"/>
    <w:rsid w:val="00FF776C"/>
    <w:rsid w:val="7667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crosoft JhengHei Light" w:hAnsi="Microsoft JhengHei Light" w:eastAsiaTheme="minorEastAsia" w:cs="Microsoft JhengHei Light"/>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Microsoft JhengHei Light" w:hAnsi="Microsoft JhengHei Light" w:eastAsia="Microsoft JhengHei Light" w:cs="Microsoft JhengHei Light"/>
      <w:color w:val="000000"/>
      <w:sz w:val="24"/>
      <w:szCs w:val="24"/>
      <w:lang w:val="en-US" w:eastAsia="en-US" w:bidi="en-US"/>
    </w:rPr>
  </w:style>
  <w:style w:type="paragraph" w:styleId="2">
    <w:name w:val="heading 3"/>
    <w:basedOn w:val="1"/>
    <w:next w:val="1"/>
    <w:link w:val="50"/>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49"/>
    <w:semiHidden/>
    <w:unhideWhenUsed/>
    <w:qFormat/>
    <w:uiPriority w:val="99"/>
    <w:pPr>
      <w:spacing w:after="120"/>
    </w:pPr>
  </w:style>
  <w:style w:type="paragraph" w:styleId="4">
    <w:name w:val="Date"/>
    <w:basedOn w:val="1"/>
    <w:next w:val="1"/>
    <w:link w:val="52"/>
    <w:semiHidden/>
    <w:unhideWhenUsed/>
    <w:qFormat/>
    <w:uiPriority w:val="99"/>
    <w:pPr>
      <w:ind w:left="100" w:leftChars="2500"/>
    </w:pPr>
  </w:style>
  <w:style w:type="paragraph" w:styleId="5">
    <w:name w:val="Balloon Text"/>
    <w:basedOn w:val="1"/>
    <w:link w:val="51"/>
    <w:semiHidden/>
    <w:unhideWhenUsed/>
    <w:qFormat/>
    <w:uiPriority w:val="99"/>
    <w:rPr>
      <w:sz w:val="18"/>
      <w:szCs w:val="18"/>
    </w:rPr>
  </w:style>
  <w:style w:type="paragraph" w:styleId="6">
    <w:name w:val="footer"/>
    <w:basedOn w:val="1"/>
    <w:link w:val="48"/>
    <w:unhideWhenUsed/>
    <w:qFormat/>
    <w:uiPriority w:val="99"/>
    <w:pPr>
      <w:tabs>
        <w:tab w:val="center" w:pos="4153"/>
        <w:tab w:val="right" w:pos="8306"/>
      </w:tabs>
      <w:snapToGrid w:val="0"/>
    </w:pPr>
    <w:rPr>
      <w:sz w:val="18"/>
      <w:szCs w:val="18"/>
    </w:rPr>
  </w:style>
  <w:style w:type="paragraph" w:styleId="7">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iPriority w:val="0"/>
    <w:rPr>
      <w:color w:val="0066CC"/>
      <w:u w:val="single"/>
    </w:rPr>
  </w:style>
  <w:style w:type="character" w:customStyle="1" w:styleId="12">
    <w:name w:val="正文文本 (3)_"/>
    <w:basedOn w:val="10"/>
    <w:link w:val="13"/>
    <w:qFormat/>
    <w:uiPriority w:val="0"/>
    <w:rPr>
      <w:rFonts w:ascii="Times New Roman" w:hAnsi="Times New Roman" w:eastAsia="Times New Roman" w:cs="Times New Roman"/>
      <w:sz w:val="22"/>
      <w:szCs w:val="22"/>
      <w:u w:val="none"/>
    </w:rPr>
  </w:style>
  <w:style w:type="paragraph" w:customStyle="1" w:styleId="13">
    <w:name w:val="正文文本 (3)"/>
    <w:basedOn w:val="1"/>
    <w:link w:val="12"/>
    <w:qFormat/>
    <w:uiPriority w:val="0"/>
    <w:pPr>
      <w:shd w:val="clear" w:color="auto" w:fill="FFFFFF"/>
      <w:spacing w:line="298" w:lineRule="exact"/>
      <w:jc w:val="center"/>
    </w:pPr>
    <w:rPr>
      <w:rFonts w:ascii="Times New Roman" w:hAnsi="Times New Roman" w:eastAsia="Times New Roman" w:cs="Times New Roman"/>
      <w:sz w:val="22"/>
      <w:szCs w:val="22"/>
    </w:rPr>
  </w:style>
  <w:style w:type="character" w:customStyle="1" w:styleId="14">
    <w:name w:val="正文文本 (4)_"/>
    <w:basedOn w:val="10"/>
    <w:link w:val="15"/>
    <w:qFormat/>
    <w:uiPriority w:val="0"/>
    <w:rPr>
      <w:rFonts w:ascii="Courier New" w:hAnsi="Courier New" w:eastAsia="Courier New" w:cs="Courier New"/>
      <w:b/>
      <w:bCs/>
      <w:u w:val="none"/>
    </w:rPr>
  </w:style>
  <w:style w:type="paragraph" w:customStyle="1" w:styleId="15">
    <w:name w:val="正文文本 (4)1"/>
    <w:basedOn w:val="1"/>
    <w:link w:val="14"/>
    <w:qFormat/>
    <w:uiPriority w:val="0"/>
    <w:pPr>
      <w:shd w:val="clear" w:color="auto" w:fill="FFFFFF"/>
      <w:spacing w:after="420" w:line="475" w:lineRule="exact"/>
      <w:ind w:hanging="760"/>
      <w:jc w:val="center"/>
    </w:pPr>
    <w:rPr>
      <w:rFonts w:ascii="Courier New" w:hAnsi="Courier New" w:eastAsia="Courier New" w:cs="Courier New"/>
      <w:b/>
      <w:bCs/>
    </w:rPr>
  </w:style>
  <w:style w:type="character" w:customStyle="1" w:styleId="16">
    <w:name w:val="页眉或页脚_"/>
    <w:basedOn w:val="10"/>
    <w:link w:val="17"/>
    <w:qFormat/>
    <w:uiPriority w:val="0"/>
    <w:rPr>
      <w:rFonts w:ascii="Courier New" w:hAnsi="Courier New" w:eastAsia="Courier New" w:cs="Courier New"/>
      <w:b/>
      <w:bCs/>
      <w:spacing w:val="10"/>
      <w:sz w:val="19"/>
      <w:szCs w:val="19"/>
      <w:u w:val="none"/>
    </w:rPr>
  </w:style>
  <w:style w:type="paragraph" w:customStyle="1" w:styleId="17">
    <w:name w:val="页眉或页脚1"/>
    <w:basedOn w:val="1"/>
    <w:link w:val="16"/>
    <w:qFormat/>
    <w:uiPriority w:val="0"/>
    <w:pPr>
      <w:shd w:val="clear" w:color="auto" w:fill="FFFFFF"/>
      <w:spacing w:line="0" w:lineRule="atLeast"/>
    </w:pPr>
    <w:rPr>
      <w:rFonts w:ascii="Courier New" w:hAnsi="Courier New" w:eastAsia="Courier New" w:cs="Courier New"/>
      <w:b/>
      <w:bCs/>
      <w:spacing w:val="10"/>
      <w:sz w:val="19"/>
      <w:szCs w:val="19"/>
    </w:rPr>
  </w:style>
  <w:style w:type="character" w:customStyle="1" w:styleId="18">
    <w:name w:val="页眉或页脚 + 12 pt"/>
    <w:basedOn w:val="16"/>
    <w:qFormat/>
    <w:uiPriority w:val="0"/>
    <w:rPr>
      <w:rFonts w:ascii="Courier New" w:hAnsi="Courier New" w:eastAsia="Courier New" w:cs="Courier New"/>
      <w:color w:val="000000"/>
      <w:spacing w:val="0"/>
      <w:w w:val="100"/>
      <w:position w:val="0"/>
      <w:sz w:val="24"/>
      <w:szCs w:val="24"/>
      <w:u w:val="single"/>
      <w:lang w:val="en-US" w:eastAsia="en-US" w:bidi="en-US"/>
    </w:rPr>
  </w:style>
  <w:style w:type="character" w:customStyle="1" w:styleId="19">
    <w:name w:val="正文文本 (4)"/>
    <w:basedOn w:val="14"/>
    <w:qFormat/>
    <w:uiPriority w:val="0"/>
    <w:rPr>
      <w:rFonts w:ascii="Courier New" w:hAnsi="Courier New" w:eastAsia="Courier New" w:cs="Courier New"/>
      <w:color w:val="000000"/>
      <w:spacing w:val="0"/>
      <w:w w:val="100"/>
      <w:position w:val="0"/>
      <w:sz w:val="24"/>
      <w:szCs w:val="24"/>
      <w:u w:val="single"/>
      <w:lang w:val="en-US" w:eastAsia="en-US" w:bidi="en-US"/>
    </w:rPr>
  </w:style>
  <w:style w:type="character" w:customStyle="1" w:styleId="20">
    <w:name w:val="正文文本 (5) Exact"/>
    <w:basedOn w:val="10"/>
    <w:link w:val="21"/>
    <w:qFormat/>
    <w:uiPriority w:val="0"/>
    <w:rPr>
      <w:rFonts w:ascii="Arial" w:hAnsi="Arial" w:eastAsia="Arial" w:cs="Arial"/>
      <w:b/>
      <w:bCs/>
      <w:sz w:val="21"/>
      <w:szCs w:val="21"/>
      <w:u w:val="none"/>
    </w:rPr>
  </w:style>
  <w:style w:type="paragraph" w:customStyle="1" w:styleId="21">
    <w:name w:val="正文文本 (5)"/>
    <w:basedOn w:val="1"/>
    <w:link w:val="20"/>
    <w:qFormat/>
    <w:uiPriority w:val="0"/>
    <w:pPr>
      <w:shd w:val="clear" w:color="auto" w:fill="FFFFFF"/>
      <w:spacing w:line="0" w:lineRule="atLeast"/>
    </w:pPr>
    <w:rPr>
      <w:rFonts w:ascii="Arial" w:hAnsi="Arial" w:eastAsia="Arial" w:cs="Arial"/>
      <w:b/>
      <w:bCs/>
      <w:sz w:val="21"/>
      <w:szCs w:val="21"/>
    </w:rPr>
  </w:style>
  <w:style w:type="character" w:customStyle="1" w:styleId="22">
    <w:name w:val="页眉或页脚 + Franklin Gothic Heavy"/>
    <w:basedOn w:val="16"/>
    <w:qFormat/>
    <w:uiPriority w:val="0"/>
    <w:rPr>
      <w:rFonts w:ascii="Franklin Gothic Heavy" w:hAnsi="Franklin Gothic Heavy" w:eastAsia="Franklin Gothic Heavy" w:cs="Franklin Gothic Heavy"/>
      <w:color w:val="000000"/>
      <w:spacing w:val="0"/>
      <w:w w:val="100"/>
      <w:position w:val="0"/>
      <w:sz w:val="34"/>
      <w:szCs w:val="34"/>
      <w:u w:val="none"/>
      <w:lang w:val="en-US" w:eastAsia="en-US" w:bidi="en-US"/>
    </w:rPr>
  </w:style>
  <w:style w:type="character" w:customStyle="1" w:styleId="23">
    <w:name w:val="正文文本 (2)_"/>
    <w:basedOn w:val="10"/>
    <w:link w:val="24"/>
    <w:qFormat/>
    <w:uiPriority w:val="0"/>
    <w:rPr>
      <w:rFonts w:ascii="Arial" w:hAnsi="Arial" w:eastAsia="Arial" w:cs="Arial"/>
      <w:b/>
      <w:bCs/>
      <w:sz w:val="20"/>
      <w:szCs w:val="20"/>
      <w:u w:val="none"/>
    </w:rPr>
  </w:style>
  <w:style w:type="paragraph" w:customStyle="1" w:styleId="24">
    <w:name w:val="正文文本 (2)1"/>
    <w:basedOn w:val="1"/>
    <w:link w:val="23"/>
    <w:qFormat/>
    <w:uiPriority w:val="0"/>
    <w:pPr>
      <w:shd w:val="clear" w:color="auto" w:fill="FFFFFF"/>
      <w:spacing w:line="259" w:lineRule="exact"/>
      <w:ind w:hanging="720"/>
    </w:pPr>
    <w:rPr>
      <w:rFonts w:ascii="Arial" w:hAnsi="Arial" w:eastAsia="Arial" w:cs="Arial"/>
      <w:b/>
      <w:bCs/>
      <w:sz w:val="20"/>
      <w:szCs w:val="20"/>
    </w:rPr>
  </w:style>
  <w:style w:type="character" w:customStyle="1" w:styleId="25">
    <w:name w:val="页眉或页脚"/>
    <w:basedOn w:val="16"/>
    <w:qFormat/>
    <w:uiPriority w:val="0"/>
    <w:rPr>
      <w:rFonts w:ascii="Courier New" w:hAnsi="Courier New" w:eastAsia="Courier New" w:cs="Courier New"/>
      <w:color w:val="000000"/>
      <w:spacing w:val="10"/>
      <w:w w:val="100"/>
      <w:position w:val="0"/>
      <w:sz w:val="19"/>
      <w:szCs w:val="19"/>
      <w:u w:val="none"/>
      <w:lang w:val="en-US" w:eastAsia="en-US" w:bidi="en-US"/>
    </w:rPr>
  </w:style>
  <w:style w:type="character" w:customStyle="1" w:styleId="26">
    <w:name w:val="正文文本 (2) Exact"/>
    <w:basedOn w:val="10"/>
    <w:qFormat/>
    <w:uiPriority w:val="0"/>
    <w:rPr>
      <w:rFonts w:ascii="Arial" w:hAnsi="Arial" w:eastAsia="Arial" w:cs="Arial"/>
      <w:b/>
      <w:bCs/>
      <w:sz w:val="20"/>
      <w:szCs w:val="20"/>
      <w:u w:val="none"/>
    </w:rPr>
  </w:style>
  <w:style w:type="character" w:customStyle="1" w:styleId="27">
    <w:name w:val="页眉或页脚 + Corbel"/>
    <w:basedOn w:val="16"/>
    <w:qFormat/>
    <w:uiPriority w:val="0"/>
    <w:rPr>
      <w:rFonts w:ascii="Corbel" w:hAnsi="Corbel" w:eastAsia="Corbel" w:cs="Corbel"/>
      <w:color w:val="000000"/>
      <w:spacing w:val="0"/>
      <w:w w:val="100"/>
      <w:position w:val="0"/>
      <w:sz w:val="26"/>
      <w:szCs w:val="26"/>
      <w:u w:val="none"/>
      <w:lang w:val="en-US" w:eastAsia="en-US" w:bidi="en-US"/>
    </w:rPr>
  </w:style>
  <w:style w:type="character" w:customStyle="1" w:styleId="28">
    <w:name w:val="正文文本 (2) + 10.5 pt"/>
    <w:basedOn w:val="23"/>
    <w:qFormat/>
    <w:uiPriority w:val="0"/>
    <w:rPr>
      <w:rFonts w:ascii="Arial" w:hAnsi="Arial" w:eastAsia="Arial" w:cs="Arial"/>
      <w:i/>
      <w:iCs/>
      <w:color w:val="000000"/>
      <w:spacing w:val="10"/>
      <w:w w:val="100"/>
      <w:position w:val="0"/>
      <w:sz w:val="21"/>
      <w:szCs w:val="21"/>
      <w:u w:val="none"/>
      <w:lang w:val="en-US" w:eastAsia="en-US" w:bidi="en-US"/>
    </w:rPr>
  </w:style>
  <w:style w:type="character" w:customStyle="1" w:styleId="29">
    <w:name w:val="正文文本 (2) + 斜体"/>
    <w:basedOn w:val="23"/>
    <w:qFormat/>
    <w:uiPriority w:val="0"/>
    <w:rPr>
      <w:rFonts w:ascii="Arial" w:hAnsi="Arial" w:eastAsia="Arial" w:cs="Arial"/>
      <w:i/>
      <w:iCs/>
      <w:color w:val="000000"/>
      <w:spacing w:val="0"/>
      <w:w w:val="100"/>
      <w:position w:val="0"/>
      <w:sz w:val="20"/>
      <w:szCs w:val="20"/>
      <w:u w:val="none"/>
      <w:lang w:val="en-US" w:eastAsia="en-US" w:bidi="en-US"/>
    </w:rPr>
  </w:style>
  <w:style w:type="character" w:customStyle="1" w:styleId="30">
    <w:name w:val="正文文本 (2) + 非粗体"/>
    <w:basedOn w:val="23"/>
    <w:qFormat/>
    <w:uiPriority w:val="0"/>
    <w:rPr>
      <w:rFonts w:ascii="Arial" w:hAnsi="Arial" w:eastAsia="Arial" w:cs="Arial"/>
      <w:color w:val="000000"/>
      <w:spacing w:val="0"/>
      <w:w w:val="100"/>
      <w:position w:val="0"/>
      <w:sz w:val="20"/>
      <w:szCs w:val="20"/>
      <w:u w:val="none"/>
      <w:lang w:val="en-US" w:eastAsia="en-US" w:bidi="en-US"/>
    </w:rPr>
  </w:style>
  <w:style w:type="character" w:customStyle="1" w:styleId="31">
    <w:name w:val="正文文本 (2) + 10.5 pt1"/>
    <w:basedOn w:val="23"/>
    <w:qFormat/>
    <w:uiPriority w:val="0"/>
    <w:rPr>
      <w:rFonts w:ascii="Arial" w:hAnsi="Arial" w:eastAsia="Arial" w:cs="Arial"/>
      <w:i/>
      <w:iCs/>
      <w:color w:val="000000"/>
      <w:spacing w:val="0"/>
      <w:w w:val="100"/>
      <w:position w:val="0"/>
      <w:sz w:val="21"/>
      <w:szCs w:val="21"/>
      <w:u w:val="none"/>
      <w:lang w:val="en-US" w:eastAsia="en-US" w:bidi="en-US"/>
    </w:rPr>
  </w:style>
  <w:style w:type="character" w:customStyle="1" w:styleId="32">
    <w:name w:val="正文文本 (2)"/>
    <w:basedOn w:val="23"/>
    <w:qFormat/>
    <w:uiPriority w:val="0"/>
    <w:rPr>
      <w:rFonts w:ascii="Arial" w:hAnsi="Arial" w:eastAsia="Arial" w:cs="Arial"/>
      <w:color w:val="000000"/>
      <w:spacing w:val="0"/>
      <w:w w:val="100"/>
      <w:position w:val="0"/>
      <w:sz w:val="20"/>
      <w:szCs w:val="20"/>
      <w:u w:val="none"/>
      <w:lang w:val="en-US" w:eastAsia="en-US" w:bidi="en-US"/>
    </w:rPr>
  </w:style>
  <w:style w:type="character" w:customStyle="1" w:styleId="33">
    <w:name w:val="表格标题_"/>
    <w:basedOn w:val="10"/>
    <w:link w:val="34"/>
    <w:qFormat/>
    <w:uiPriority w:val="0"/>
    <w:rPr>
      <w:rFonts w:ascii="Arial" w:hAnsi="Arial" w:eastAsia="Arial" w:cs="Arial"/>
      <w:b/>
      <w:bCs/>
      <w:sz w:val="20"/>
      <w:szCs w:val="20"/>
      <w:u w:val="none"/>
    </w:rPr>
  </w:style>
  <w:style w:type="paragraph" w:customStyle="1" w:styleId="34">
    <w:name w:val="表格标题"/>
    <w:basedOn w:val="1"/>
    <w:link w:val="33"/>
    <w:qFormat/>
    <w:uiPriority w:val="0"/>
    <w:pPr>
      <w:shd w:val="clear" w:color="auto" w:fill="FFFFFF"/>
      <w:spacing w:line="0" w:lineRule="atLeast"/>
    </w:pPr>
    <w:rPr>
      <w:rFonts w:ascii="Arial" w:hAnsi="Arial" w:eastAsia="Arial" w:cs="Arial"/>
      <w:b/>
      <w:bCs/>
      <w:sz w:val="20"/>
      <w:szCs w:val="20"/>
    </w:rPr>
  </w:style>
  <w:style w:type="character" w:customStyle="1" w:styleId="35">
    <w:name w:val="页眉或页脚 + Arial"/>
    <w:basedOn w:val="16"/>
    <w:qFormat/>
    <w:uiPriority w:val="0"/>
    <w:rPr>
      <w:rFonts w:ascii="Arial" w:hAnsi="Arial" w:eastAsia="Arial" w:cs="Arial"/>
      <w:color w:val="000000"/>
      <w:spacing w:val="0"/>
      <w:w w:val="100"/>
      <w:position w:val="0"/>
      <w:sz w:val="21"/>
      <w:szCs w:val="21"/>
      <w:u w:val="none"/>
      <w:lang w:val="en-US" w:eastAsia="en-US" w:bidi="en-US"/>
    </w:rPr>
  </w:style>
  <w:style w:type="character" w:customStyle="1" w:styleId="36">
    <w:name w:val="图片标题_"/>
    <w:basedOn w:val="10"/>
    <w:link w:val="37"/>
    <w:qFormat/>
    <w:uiPriority w:val="0"/>
    <w:rPr>
      <w:rFonts w:ascii="Arial" w:hAnsi="Arial" w:eastAsia="Arial" w:cs="Arial"/>
      <w:b/>
      <w:bCs/>
      <w:sz w:val="16"/>
      <w:szCs w:val="16"/>
      <w:u w:val="none"/>
    </w:rPr>
  </w:style>
  <w:style w:type="paragraph" w:customStyle="1" w:styleId="37">
    <w:name w:val="图片标题"/>
    <w:basedOn w:val="1"/>
    <w:link w:val="36"/>
    <w:qFormat/>
    <w:uiPriority w:val="0"/>
    <w:pPr>
      <w:shd w:val="clear" w:color="auto" w:fill="FFFFFF"/>
      <w:spacing w:line="0" w:lineRule="atLeast"/>
    </w:pPr>
    <w:rPr>
      <w:rFonts w:ascii="Arial" w:hAnsi="Arial" w:eastAsia="Arial" w:cs="Arial"/>
      <w:b/>
      <w:bCs/>
      <w:sz w:val="16"/>
      <w:szCs w:val="16"/>
    </w:rPr>
  </w:style>
  <w:style w:type="character" w:customStyle="1" w:styleId="38">
    <w:name w:val="标题 #1 Exact"/>
    <w:basedOn w:val="10"/>
    <w:link w:val="39"/>
    <w:qFormat/>
    <w:uiPriority w:val="0"/>
    <w:rPr>
      <w:rFonts w:ascii="Arial" w:hAnsi="Arial" w:eastAsia="Arial" w:cs="Arial"/>
      <w:b/>
      <w:bCs/>
      <w:sz w:val="20"/>
      <w:szCs w:val="20"/>
      <w:u w:val="none"/>
    </w:rPr>
  </w:style>
  <w:style w:type="paragraph" w:customStyle="1" w:styleId="39">
    <w:name w:val="标题 #1"/>
    <w:basedOn w:val="1"/>
    <w:link w:val="38"/>
    <w:qFormat/>
    <w:uiPriority w:val="0"/>
    <w:pPr>
      <w:shd w:val="clear" w:color="auto" w:fill="FFFFFF"/>
      <w:spacing w:line="0" w:lineRule="atLeast"/>
      <w:outlineLvl w:val="0"/>
    </w:pPr>
    <w:rPr>
      <w:rFonts w:ascii="Arial" w:hAnsi="Arial" w:eastAsia="Arial" w:cs="Arial"/>
      <w:b/>
      <w:bCs/>
      <w:sz w:val="20"/>
      <w:szCs w:val="20"/>
    </w:rPr>
  </w:style>
  <w:style w:type="character" w:customStyle="1" w:styleId="40">
    <w:name w:val="图片标题 Exact"/>
    <w:basedOn w:val="10"/>
    <w:qFormat/>
    <w:uiPriority w:val="0"/>
    <w:rPr>
      <w:rFonts w:ascii="Arial" w:hAnsi="Arial" w:eastAsia="Arial" w:cs="Arial"/>
      <w:b/>
      <w:bCs/>
      <w:sz w:val="16"/>
      <w:szCs w:val="16"/>
      <w:u w:val="none"/>
    </w:rPr>
  </w:style>
  <w:style w:type="character" w:customStyle="1" w:styleId="41">
    <w:name w:val="图片标题 Exact1"/>
    <w:basedOn w:val="36"/>
    <w:qFormat/>
    <w:uiPriority w:val="0"/>
    <w:rPr>
      <w:rFonts w:ascii="Arial" w:hAnsi="Arial" w:eastAsia="Arial" w:cs="Arial"/>
      <w:color w:val="000000"/>
      <w:spacing w:val="0"/>
      <w:w w:val="100"/>
      <w:position w:val="0"/>
      <w:sz w:val="16"/>
      <w:szCs w:val="16"/>
      <w:u w:val="single"/>
      <w:lang w:val="en-US" w:eastAsia="en-US" w:bidi="en-US"/>
    </w:rPr>
  </w:style>
  <w:style w:type="character" w:customStyle="1" w:styleId="42">
    <w:name w:val="图片标题 (2) Exact"/>
    <w:basedOn w:val="10"/>
    <w:link w:val="43"/>
    <w:qFormat/>
    <w:uiPriority w:val="0"/>
    <w:rPr>
      <w:rFonts w:ascii="Arial" w:hAnsi="Arial" w:eastAsia="Arial" w:cs="Arial"/>
      <w:b/>
      <w:bCs/>
      <w:sz w:val="20"/>
      <w:szCs w:val="20"/>
      <w:u w:val="none"/>
    </w:rPr>
  </w:style>
  <w:style w:type="paragraph" w:customStyle="1" w:styleId="43">
    <w:name w:val="图片标题 (2)"/>
    <w:basedOn w:val="1"/>
    <w:link w:val="42"/>
    <w:qFormat/>
    <w:uiPriority w:val="0"/>
    <w:pPr>
      <w:shd w:val="clear" w:color="auto" w:fill="FFFFFF"/>
      <w:spacing w:before="120" w:line="0" w:lineRule="atLeast"/>
      <w:jc w:val="right"/>
    </w:pPr>
    <w:rPr>
      <w:rFonts w:ascii="Arial" w:hAnsi="Arial" w:eastAsia="Arial" w:cs="Arial"/>
      <w:b/>
      <w:bCs/>
      <w:sz w:val="20"/>
      <w:szCs w:val="20"/>
    </w:rPr>
  </w:style>
  <w:style w:type="character" w:customStyle="1" w:styleId="44">
    <w:name w:val="正文文本 (6) Exact"/>
    <w:basedOn w:val="10"/>
    <w:qFormat/>
    <w:uiPriority w:val="0"/>
    <w:rPr>
      <w:rFonts w:ascii="Arial" w:hAnsi="Arial" w:eastAsia="Arial" w:cs="Arial"/>
      <w:b/>
      <w:bCs/>
      <w:sz w:val="16"/>
      <w:szCs w:val="16"/>
      <w:u w:val="none"/>
    </w:rPr>
  </w:style>
  <w:style w:type="character" w:customStyle="1" w:styleId="45">
    <w:name w:val="正文文本 (6)_"/>
    <w:basedOn w:val="10"/>
    <w:link w:val="46"/>
    <w:qFormat/>
    <w:uiPriority w:val="0"/>
    <w:rPr>
      <w:rFonts w:ascii="Arial" w:hAnsi="Arial" w:eastAsia="Arial" w:cs="Arial"/>
      <w:b/>
      <w:bCs/>
      <w:sz w:val="16"/>
      <w:szCs w:val="16"/>
      <w:u w:val="none"/>
    </w:rPr>
  </w:style>
  <w:style w:type="paragraph" w:customStyle="1" w:styleId="46">
    <w:name w:val="正文文本 (6)"/>
    <w:basedOn w:val="1"/>
    <w:link w:val="45"/>
    <w:qFormat/>
    <w:uiPriority w:val="0"/>
    <w:pPr>
      <w:shd w:val="clear" w:color="auto" w:fill="FFFFFF"/>
      <w:spacing w:line="240" w:lineRule="exact"/>
    </w:pPr>
    <w:rPr>
      <w:rFonts w:ascii="Arial" w:hAnsi="Arial" w:eastAsia="Arial" w:cs="Arial"/>
      <w:b/>
      <w:bCs/>
      <w:sz w:val="16"/>
      <w:szCs w:val="16"/>
    </w:rPr>
  </w:style>
  <w:style w:type="character" w:customStyle="1" w:styleId="47">
    <w:name w:val="页眉 Char"/>
    <w:basedOn w:val="10"/>
    <w:link w:val="7"/>
    <w:qFormat/>
    <w:uiPriority w:val="99"/>
    <w:rPr>
      <w:rFonts w:eastAsia="Microsoft JhengHei Light"/>
      <w:color w:val="000000"/>
      <w:sz w:val="18"/>
      <w:szCs w:val="18"/>
    </w:rPr>
  </w:style>
  <w:style w:type="character" w:customStyle="1" w:styleId="48">
    <w:name w:val="页脚 Char"/>
    <w:basedOn w:val="10"/>
    <w:link w:val="6"/>
    <w:qFormat/>
    <w:uiPriority w:val="99"/>
    <w:rPr>
      <w:rFonts w:eastAsia="Microsoft JhengHei Light"/>
      <w:color w:val="000000"/>
      <w:sz w:val="18"/>
      <w:szCs w:val="18"/>
    </w:rPr>
  </w:style>
  <w:style w:type="character" w:customStyle="1" w:styleId="49">
    <w:name w:val="正文文本 Char"/>
    <w:basedOn w:val="10"/>
    <w:link w:val="3"/>
    <w:semiHidden/>
    <w:qFormat/>
    <w:uiPriority w:val="99"/>
    <w:rPr>
      <w:rFonts w:eastAsia="Microsoft JhengHei Light"/>
      <w:color w:val="000000"/>
    </w:rPr>
  </w:style>
  <w:style w:type="character" w:customStyle="1" w:styleId="50">
    <w:name w:val="标题 3 Char"/>
    <w:basedOn w:val="10"/>
    <w:link w:val="2"/>
    <w:semiHidden/>
    <w:qFormat/>
    <w:uiPriority w:val="9"/>
    <w:rPr>
      <w:rFonts w:eastAsia="Microsoft JhengHei Light"/>
      <w:b/>
      <w:bCs/>
      <w:color w:val="000000"/>
      <w:sz w:val="32"/>
      <w:szCs w:val="32"/>
    </w:rPr>
  </w:style>
  <w:style w:type="character" w:customStyle="1" w:styleId="51">
    <w:name w:val="批注框文本 Char"/>
    <w:basedOn w:val="10"/>
    <w:link w:val="5"/>
    <w:semiHidden/>
    <w:qFormat/>
    <w:uiPriority w:val="99"/>
    <w:rPr>
      <w:rFonts w:eastAsia="Microsoft JhengHei Light"/>
      <w:color w:val="000000"/>
      <w:sz w:val="18"/>
      <w:szCs w:val="18"/>
    </w:rPr>
  </w:style>
  <w:style w:type="character" w:customStyle="1" w:styleId="52">
    <w:name w:val="日期 Char"/>
    <w:basedOn w:val="10"/>
    <w:link w:val="4"/>
    <w:semiHidden/>
    <w:qFormat/>
    <w:uiPriority w:val="99"/>
    <w:rPr>
      <w:rFonts w:eastAsia="Microsoft JhengHei Light"/>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6586</Words>
  <Characters>7822</Characters>
  <Lines>59</Lines>
  <Paragraphs>16</Paragraphs>
  <TotalTime>1</TotalTime>
  <ScaleCrop>false</ScaleCrop>
  <LinksUpToDate>false</LinksUpToDate>
  <CharactersWithSpaces>7969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2017-12-18T13:05:00Z</dcterms:created>
  <dc:creator>MJ</dc:creator>
  <cp:lastModifiedBy>太极箫客</cp:lastModifiedBy>
  <dcterms:modified xsi:type="dcterms:W3CDTF">2025-08-14T08:03:11Z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0DEB8A8ECB2B48248A452717E20AC34B_12</vt:lpwstr>
  </property>
</Properties>
</file>