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997A">
      <w:pPr>
        <w:pStyle w:val="12"/>
        <w:pBdr>
          <w:bottom w:val="single" w:color="auto" w:sz="4" w:space="0"/>
        </w:pBdr>
        <w:adjustRightInd w:val="0"/>
        <w:snapToGrid w:val="0"/>
        <w:spacing w:before="120" w:beforeLines="50" w:after="0" w:line="300" w:lineRule="auto"/>
        <w:rPr>
          <w:rFonts w:eastAsia="宋体"/>
          <w:snapToGrid w:val="0"/>
          <w:sz w:val="44"/>
          <w:szCs w:val="44"/>
          <w:lang w:eastAsia="zh-CN"/>
        </w:rPr>
      </w:pPr>
      <w:bookmarkStart w:id="3" w:name="_GoBack"/>
      <w:bookmarkEnd w:id="3"/>
      <w:r>
        <w:rPr>
          <w:rFonts w:eastAsia="宋体" w:cs="宋体"/>
          <w:sz w:val="44"/>
          <w:lang w:eastAsia="zh-CN"/>
        </w:rPr>
        <w:t>软性（亲水性）日戴型接触镜 —安全和性能的</w:t>
      </w:r>
      <w:r>
        <w:rPr>
          <w:rFonts w:hint="eastAsia" w:eastAsia="宋体" w:cs="宋体"/>
          <w:sz w:val="44"/>
          <w:lang w:eastAsia="zh-CN"/>
        </w:rPr>
        <w:t>评估</w:t>
      </w:r>
      <w:r>
        <w:rPr>
          <w:rFonts w:eastAsia="宋体" w:cs="宋体"/>
          <w:sz w:val="44"/>
          <w:lang w:eastAsia="zh-CN"/>
        </w:rPr>
        <w:t>标准</w:t>
      </w:r>
    </w:p>
    <w:p w14:paraId="5282C03A">
      <w:pP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p w14:paraId="7D1541EA">
      <w:pPr>
        <w:pStyle w:val="15"/>
        <w:adjustRightInd w:val="0"/>
        <w:snapToGrid w:val="0"/>
        <w:spacing w:before="120" w:beforeLines="50" w:line="300" w:lineRule="auto"/>
        <w:jc w:val="both"/>
        <w:rPr>
          <w:rFonts w:eastAsia="宋体"/>
          <w:b/>
          <w:bCs/>
          <w:i/>
          <w:iCs/>
          <w:snapToGrid w:val="0"/>
          <w:lang w:eastAsia="zh-CN"/>
        </w:rPr>
      </w:pPr>
    </w:p>
    <w:p w14:paraId="338EADD6">
      <w:pPr>
        <w:pStyle w:val="15"/>
        <w:adjustRightInd w:val="0"/>
        <w:snapToGrid w:val="0"/>
        <w:spacing w:before="120" w:beforeLines="50" w:line="300" w:lineRule="auto"/>
        <w:jc w:val="center"/>
        <w:rPr>
          <w:rFonts w:eastAsia="宋体"/>
          <w:snapToGrid w:val="0"/>
          <w:lang w:eastAsia="zh-CN"/>
        </w:rPr>
      </w:pPr>
      <w:r>
        <w:rPr>
          <w:rFonts w:eastAsia="宋体" w:cs="宋体"/>
          <w:b/>
          <w:i/>
          <w:lang w:eastAsia="zh-CN"/>
        </w:rPr>
        <w:t>指南草案</w:t>
      </w:r>
    </w:p>
    <w:p w14:paraId="03AFC017">
      <w:pPr>
        <w:adjustRightInd w:val="0"/>
        <w:snapToGrid w:val="0"/>
        <w:spacing w:before="120" w:beforeLines="50" w:line="300" w:lineRule="auto"/>
        <w:jc w:val="center"/>
        <w:rPr>
          <w:rFonts w:ascii="Times New Roman" w:hAnsi="Times New Roman" w:eastAsia="宋体" w:cs="Times New Roman"/>
          <w:b/>
          <w:snapToGrid w:val="0"/>
          <w:lang w:eastAsia="zh-CN"/>
        </w:rPr>
      </w:pPr>
      <w:r>
        <w:rPr>
          <w:rFonts w:hint="eastAsia" w:ascii="Times New Roman" w:hAnsi="Times New Roman" w:eastAsia="宋体" w:cs="宋体"/>
          <w:b/>
          <w:lang w:eastAsia="zh-CN"/>
        </w:rPr>
        <w:t>本指南草案仅供征求意见</w:t>
      </w:r>
    </w:p>
    <w:p w14:paraId="0868E190">
      <w:pPr>
        <w:adjustRightInd w:val="0"/>
        <w:snapToGrid w:val="0"/>
        <w:spacing w:before="120" w:beforeLines="50" w:line="300" w:lineRule="auto"/>
        <w:jc w:val="center"/>
        <w:rPr>
          <w:rFonts w:ascii="Times New Roman" w:hAnsi="Times New Roman" w:eastAsia="宋体" w:cs="Times New Roman"/>
          <w:b/>
          <w:snapToGrid w:val="0"/>
          <w:lang w:eastAsia="zh-CN"/>
        </w:rPr>
      </w:pPr>
      <w:r>
        <w:rPr>
          <w:rFonts w:hint="eastAsia" w:ascii="Times New Roman" w:hAnsi="Times New Roman" w:eastAsia="宋体" w:cs="宋体"/>
          <w:b/>
          <w:lang w:eastAsia="zh-CN"/>
        </w:rPr>
        <w:t>文件发布日期：</w:t>
      </w:r>
      <w:r>
        <w:rPr>
          <w:rFonts w:ascii="Times New Roman" w:hAnsi="Times New Roman" w:eastAsia="宋体" w:cs="宋体"/>
          <w:b/>
          <w:lang w:eastAsia="zh-CN"/>
        </w:rPr>
        <w:t>2020</w:t>
      </w:r>
      <w:r>
        <w:rPr>
          <w:rFonts w:hint="eastAsia" w:ascii="Times New Roman" w:hAnsi="Times New Roman" w:eastAsia="宋体" w:cs="宋体"/>
          <w:b/>
          <w:lang w:eastAsia="zh-CN"/>
        </w:rPr>
        <w:t>年</w:t>
      </w:r>
      <w:r>
        <w:rPr>
          <w:rFonts w:ascii="Times New Roman" w:hAnsi="Times New Roman" w:eastAsia="宋体" w:cs="宋体"/>
          <w:b/>
          <w:lang w:eastAsia="zh-CN"/>
        </w:rPr>
        <w:t>3</w:t>
      </w:r>
      <w:r>
        <w:rPr>
          <w:rFonts w:hint="eastAsia" w:ascii="Times New Roman" w:hAnsi="Times New Roman" w:eastAsia="宋体" w:cs="宋体"/>
          <w:b/>
          <w:lang w:eastAsia="zh-CN"/>
        </w:rPr>
        <w:t>月</w:t>
      </w:r>
      <w:r>
        <w:rPr>
          <w:rFonts w:ascii="Times New Roman" w:hAnsi="Times New Roman" w:eastAsia="宋体" w:cs="宋体"/>
          <w:b/>
          <w:lang w:eastAsia="zh-CN"/>
        </w:rPr>
        <w:t>4</w:t>
      </w:r>
      <w:r>
        <w:rPr>
          <w:rFonts w:hint="eastAsia" w:ascii="Times New Roman" w:hAnsi="Times New Roman" w:eastAsia="宋体" w:cs="宋体"/>
          <w:b/>
          <w:lang w:eastAsia="zh-CN"/>
        </w:rPr>
        <w:t>日</w:t>
      </w:r>
    </w:p>
    <w:p w14:paraId="3AA2156C">
      <w:pPr>
        <w:adjustRightInd w:val="0"/>
        <w:snapToGrid w:val="0"/>
        <w:spacing w:before="120" w:beforeLines="50" w:line="300" w:lineRule="auto"/>
        <w:jc w:val="both"/>
        <w:rPr>
          <w:rFonts w:ascii="Times New Roman" w:hAnsi="Times New Roman" w:eastAsia="宋体" w:cs="Times New Roman"/>
          <w:snapToGrid w:val="0"/>
          <w:lang w:eastAsia="zh-CN"/>
        </w:rPr>
      </w:pPr>
    </w:p>
    <w:p w14:paraId="771CAE57">
      <w:pPr>
        <w:adjustRightInd w:val="0"/>
        <w:snapToGrid w:val="0"/>
        <w:spacing w:before="120" w:beforeLines="50" w:line="300" w:lineRule="auto"/>
        <w:jc w:val="both"/>
        <w:rPr>
          <w:rFonts w:ascii="Times New Roman" w:hAnsi="Times New Roman" w:eastAsia="宋体" w:cs="Times New Roman"/>
          <w:snapToGrid w:val="0"/>
          <w:lang w:eastAsia="zh-CN"/>
        </w:rPr>
      </w:pPr>
      <w:r>
        <w:rPr>
          <w:rFonts w:hint="eastAsia" w:ascii="Times New Roman" w:hAnsi="Times New Roman" w:eastAsia="宋体" w:cs="宋体"/>
          <w:lang w:eastAsia="zh-CN"/>
        </w:rPr>
        <w:t>请在《联邦公报》刊登本指南草案的发布通知</w:t>
      </w:r>
      <w:r>
        <w:rPr>
          <w:rFonts w:ascii="Times New Roman" w:hAnsi="Times New Roman" w:eastAsia="宋体" w:cs="宋体"/>
          <w:lang w:eastAsia="zh-CN"/>
        </w:rPr>
        <w:t>后60天之内提</w:t>
      </w:r>
      <w:r>
        <w:rPr>
          <w:rFonts w:hint="eastAsia" w:ascii="Times New Roman" w:hAnsi="Times New Roman" w:eastAsia="宋体" w:cs="宋体"/>
          <w:lang w:eastAsia="zh-CN"/>
        </w:rPr>
        <w:t>交</w:t>
      </w:r>
      <w:r>
        <w:rPr>
          <w:rFonts w:ascii="Times New Roman" w:hAnsi="Times New Roman" w:eastAsia="宋体" w:cs="宋体"/>
          <w:lang w:eastAsia="zh-CN"/>
        </w:rPr>
        <w:t>对本</w:t>
      </w:r>
      <w:r>
        <w:rPr>
          <w:rFonts w:hint="eastAsia" w:ascii="Times New Roman" w:hAnsi="Times New Roman" w:eastAsia="宋体" w:cs="宋体"/>
          <w:lang w:eastAsia="zh-CN"/>
        </w:rPr>
        <w:t>指南</w:t>
      </w:r>
      <w:r>
        <w:rPr>
          <w:rFonts w:ascii="Times New Roman" w:hAnsi="Times New Roman" w:eastAsia="宋体" w:cs="宋体"/>
          <w:lang w:eastAsia="zh-CN"/>
        </w:rPr>
        <w:t>草案的意见和建议。请将电子版意见或建议提交至：</w:t>
      </w:r>
      <w:r>
        <w:fldChar w:fldCharType="begin"/>
      </w:r>
      <w:r>
        <w:instrText xml:space="preserve"> HYPERLINK "https://www.regulations.gov/" </w:instrText>
      </w:r>
      <w:r>
        <w:fldChar w:fldCharType="separate"/>
      </w:r>
      <w:r>
        <w:rPr>
          <w:rFonts w:ascii="Times New Roman" w:hAnsi="Times New Roman" w:eastAsia="宋体" w:cs="宋体"/>
          <w:snapToGrid w:val="0"/>
          <w:color w:val="0000FF"/>
          <w:u w:val="single"/>
          <w:lang w:eastAsia="zh-CN"/>
        </w:rPr>
        <w:t>https://www.regulations.gov</w:t>
      </w:r>
      <w:r>
        <w:rPr>
          <w:rFonts w:ascii="Times New Roman" w:hAnsi="Times New Roman" w:eastAsia="宋体" w:cs="宋体"/>
          <w:snapToGrid w:val="0"/>
          <w:color w:val="0000FF"/>
          <w:u w:val="single"/>
          <w:lang w:eastAsia="zh-CN"/>
        </w:rPr>
        <w:fldChar w:fldCharType="end"/>
      </w:r>
      <w:r>
        <w:rPr>
          <w:rFonts w:hint="eastAsia" w:ascii="Times New Roman" w:hAnsi="Times New Roman" w:eastAsia="宋体" w:cs="宋体"/>
          <w:lang w:eastAsia="zh-CN"/>
        </w:rPr>
        <w:t>，</w:t>
      </w:r>
      <w:r>
        <w:rPr>
          <w:rFonts w:ascii="Times New Roman" w:hAnsi="Times New Roman" w:eastAsia="宋体" w:cs="宋体"/>
          <w:lang w:eastAsia="zh-CN"/>
        </w:rPr>
        <w:t>书面意见提交至美国食品药品监督管理局</w:t>
      </w:r>
      <w:r>
        <w:rPr>
          <w:rFonts w:hint="eastAsia" w:ascii="Times New Roman" w:hAnsi="Times New Roman" w:eastAsia="宋体" w:cs="宋体"/>
          <w:lang w:eastAsia="zh-CN"/>
        </w:rPr>
        <w:t>备案文件管理部</w:t>
      </w:r>
      <w:r>
        <w:rPr>
          <w:rFonts w:ascii="Times New Roman" w:hAnsi="Times New Roman" w:eastAsia="宋体" w:cs="宋体"/>
          <w:lang w:eastAsia="zh-CN"/>
        </w:rPr>
        <w:t>（HFA-305），5630 Fishers Lane, rm</w:t>
      </w:r>
      <w:r>
        <w:rPr>
          <w:rFonts w:hint="eastAsia" w:ascii="Times New Roman" w:hAnsi="Times New Roman" w:eastAsia="宋体" w:cs="宋体"/>
          <w:lang w:eastAsia="zh-CN"/>
        </w:rPr>
        <w:t>.</w:t>
      </w:r>
      <w:r>
        <w:rPr>
          <w:rFonts w:ascii="Times New Roman" w:hAnsi="Times New Roman" w:eastAsia="宋体" w:cs="宋体"/>
          <w:lang w:eastAsia="zh-CN"/>
        </w:rPr>
        <w:t xml:space="preserve"> 1061, Rockville, MD 20852</w:t>
      </w:r>
      <w:r>
        <w:rPr>
          <w:rFonts w:hint="eastAsia" w:ascii="Times New Roman" w:hAnsi="Times New Roman" w:eastAsia="宋体" w:cs="宋体"/>
          <w:lang w:eastAsia="zh-CN"/>
        </w:rPr>
        <w:t>。所有意见均应</w:t>
      </w:r>
      <w:r>
        <w:rPr>
          <w:rFonts w:ascii="Times New Roman" w:hAnsi="Times New Roman" w:eastAsia="宋体" w:cs="宋体"/>
          <w:lang w:eastAsia="zh-CN"/>
        </w:rPr>
        <w:t>注明《联邦公报》发布的通知中列示的备案</w:t>
      </w:r>
      <w:r>
        <w:rPr>
          <w:rFonts w:hint="eastAsia" w:ascii="Times New Roman" w:hAnsi="Times New Roman" w:eastAsia="宋体" w:cs="宋体"/>
          <w:lang w:eastAsia="zh-CN"/>
        </w:rPr>
        <w:t>文件</w:t>
      </w:r>
      <w:r>
        <w:rPr>
          <w:rFonts w:ascii="Times New Roman" w:hAnsi="Times New Roman" w:eastAsia="宋体" w:cs="宋体"/>
          <w:lang w:eastAsia="zh-CN"/>
        </w:rPr>
        <w:t>编号。</w:t>
      </w:r>
    </w:p>
    <w:p w14:paraId="2259453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如对本文件有任何疑问，请致电301796-5620联系DHT1A：眼科器械部或发送电子邮件至</w:t>
      </w:r>
      <w:r>
        <w:fldChar w:fldCharType="begin"/>
      </w:r>
      <w:r>
        <w:instrText xml:space="preserve"> HYPERLINK "mailto:Angelo.Green@fda.hhs.gov" </w:instrText>
      </w:r>
      <w:r>
        <w:fldChar w:fldCharType="separate"/>
      </w:r>
      <w:r>
        <w:rPr>
          <w:rFonts w:ascii="Times New Roman" w:hAnsi="Times New Roman" w:eastAsia="宋体" w:cs="宋体"/>
          <w:snapToGrid w:val="0"/>
          <w:lang w:eastAsia="zh-CN"/>
        </w:rPr>
        <w:t>Angelo.Green@fda.hhs.gov</w:t>
      </w:r>
      <w:r>
        <w:rPr>
          <w:rFonts w:ascii="Times New Roman" w:hAnsi="Times New Roman" w:eastAsia="宋体" w:cs="宋体"/>
          <w:snapToGrid w:val="0"/>
          <w:lang w:eastAsia="zh-CN"/>
        </w:rPr>
        <w:fldChar w:fldCharType="end"/>
      </w:r>
      <w:r>
        <w:rPr>
          <w:rFonts w:ascii="Times New Roman" w:hAnsi="Times New Roman" w:eastAsia="宋体" w:cs="宋体"/>
          <w:lang w:eastAsia="zh-CN"/>
        </w:rPr>
        <w:t>联系Angelo Green。</w:t>
      </w:r>
    </w:p>
    <w:p w14:paraId="55C0B0A2">
      <w:pPr>
        <w:adjustRightInd w:val="0"/>
        <w:snapToGrid w:val="0"/>
        <w:spacing w:before="120" w:beforeLines="50" w:line="300" w:lineRule="auto"/>
        <w:jc w:val="both"/>
        <w:rPr>
          <w:rFonts w:ascii="Times New Roman" w:hAnsi="Times New Roman" w:eastAsia="宋体" w:cs="Times New Roman"/>
          <w:snapToGrid w:val="0"/>
          <w:lang w:eastAsia="zh-CN"/>
        </w:rPr>
      </w:pPr>
    </w:p>
    <w:p w14:paraId="5C452166">
      <w:pPr>
        <w:adjustRightInd w:val="0"/>
        <w:snapToGrid w:val="0"/>
        <w:spacing w:before="120" w:beforeLines="50" w:line="300" w:lineRule="auto"/>
        <w:jc w:val="both"/>
        <w:rPr>
          <w:rFonts w:ascii="Times New Roman" w:hAnsi="Times New Roman" w:eastAsia="宋体" w:cs="Times New Roman"/>
          <w:snapToGrid w:val="0"/>
          <w:lang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5BF0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631F2B22">
            <w:pPr>
              <w:adjustRightInd w:val="0"/>
              <w:snapToGrid w:val="0"/>
              <w:spacing w:line="300" w:lineRule="auto"/>
              <w:jc w:val="both"/>
              <w:rPr>
                <w:rFonts w:ascii="Times New Roman" w:hAnsi="Times New Roman" w:cs="Times New Roman"/>
                <w:snapToGrid w:val="0"/>
                <w:sz w:val="21"/>
                <w:szCs w:val="21"/>
                <w:lang w:eastAsia="zh-CN"/>
              </w:rPr>
            </w:pPr>
            <w:r>
              <w:rPr>
                <w:rFonts w:ascii="宋体" w:hAnsi="宋体" w:eastAsia="宋体" w:cs="宋体"/>
                <w:sz w:val="21"/>
                <w:lang w:eastAsia="zh-CN" w:bidi="ar-SA"/>
              </w:rPr>
              <w:drawing>
                <wp:inline distT="0" distB="0" distL="0" distR="0">
                  <wp:extent cx="2561590" cy="74231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561905" cy="742857"/>
                          </a:xfrm>
                          <a:prstGeom prst="rect">
                            <a:avLst/>
                          </a:prstGeom>
                        </pic:spPr>
                      </pic:pic>
                    </a:graphicData>
                  </a:graphic>
                </wp:inline>
              </w:drawing>
            </w:r>
          </w:p>
        </w:tc>
        <w:tc>
          <w:tcPr>
            <w:tcW w:w="4644" w:type="dxa"/>
          </w:tcPr>
          <w:p w14:paraId="3DC69277">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美国卫生与公共服务部</w:t>
            </w:r>
          </w:p>
          <w:p w14:paraId="05EDB447">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0B29C17E">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医疗器械和辐射健康中心</w:t>
            </w:r>
          </w:p>
        </w:tc>
      </w:tr>
    </w:tbl>
    <w:p w14:paraId="3B29DBFA">
      <w:pPr>
        <w:adjustRightInd w:val="0"/>
        <w:snapToGrid w:val="0"/>
        <w:spacing w:before="120" w:beforeLines="50" w:line="300" w:lineRule="auto"/>
        <w:jc w:val="both"/>
        <w:rPr>
          <w:rFonts w:ascii="Times New Roman" w:hAnsi="Times New Roman" w:eastAsia="宋体" w:cs="Times New Roman"/>
          <w:snapToGrid w:val="0"/>
          <w:lang w:eastAsia="zh-CN"/>
        </w:rPr>
      </w:pPr>
    </w:p>
    <w:p w14:paraId="4FE8CCC7">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104C8A8">
      <w:pPr>
        <w:pStyle w:val="15"/>
        <w:adjustRightInd w:val="0"/>
        <w:snapToGrid w:val="0"/>
        <w:spacing w:before="120" w:beforeLines="50" w:line="300" w:lineRule="auto"/>
        <w:jc w:val="center"/>
        <w:rPr>
          <w:rFonts w:eastAsia="宋体"/>
          <w:snapToGrid w:val="0"/>
          <w:sz w:val="32"/>
          <w:szCs w:val="32"/>
          <w:lang w:eastAsia="zh-CN"/>
        </w:rPr>
      </w:pPr>
      <w:r>
        <w:rPr>
          <w:rFonts w:eastAsia="宋体" w:cs="宋体"/>
          <w:b/>
          <w:sz w:val="32"/>
          <w:lang w:eastAsia="zh-CN"/>
        </w:rPr>
        <w:t>前言</w:t>
      </w:r>
    </w:p>
    <w:p w14:paraId="1F92B11F">
      <w:pPr>
        <w:adjustRightInd w:val="0"/>
        <w:snapToGrid w:val="0"/>
        <w:spacing w:before="120" w:beforeLines="50" w:line="300" w:lineRule="auto"/>
        <w:jc w:val="both"/>
        <w:rPr>
          <w:rFonts w:ascii="Times New Roman" w:hAnsi="Times New Roman" w:eastAsia="宋体" w:cs="Times New Roman"/>
          <w:b/>
          <w:snapToGrid w:val="0"/>
          <w:sz w:val="32"/>
          <w:szCs w:val="32"/>
          <w:lang w:eastAsia="zh-CN"/>
        </w:rPr>
      </w:pPr>
      <w:r>
        <w:rPr>
          <w:rFonts w:ascii="Times New Roman" w:hAnsi="Times New Roman" w:eastAsia="宋体" w:cs="宋体"/>
          <w:b/>
          <w:sz w:val="32"/>
          <w:lang w:eastAsia="zh-CN"/>
        </w:rPr>
        <w:t>更多副本</w:t>
      </w:r>
    </w:p>
    <w:p w14:paraId="59A1AEC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更多副本可通过互联网获得。也可通过电子邮件发送请求至</w:t>
      </w:r>
      <w:r>
        <w:fldChar w:fldCharType="begin"/>
      </w:r>
      <w:r>
        <w:rPr>
          <w:lang w:eastAsia="zh-CN"/>
        </w:rPr>
        <w:instrText xml:space="preserve"> HYPERLINK "mailto:CDRH-Guidance@fda.hhs.gov" </w:instrText>
      </w:r>
      <w:r>
        <w:fldChar w:fldCharType="separate"/>
      </w:r>
      <w:r>
        <w:rPr>
          <w:rFonts w:ascii="Times New Roman" w:hAnsi="Times New Roman" w:eastAsia="宋体" w:cs="宋体"/>
          <w:snapToGrid w:val="0"/>
          <w:color w:val="0000FF"/>
          <w:u w:val="single"/>
          <w:lang w:eastAsia="zh-CN"/>
        </w:rPr>
        <w:t>CDRH-Guidance@fda.hhs.gov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获取本指南的副本。请在申请中注明文件编号19022和指南的完整标题。</w:t>
      </w:r>
    </w:p>
    <w:p w14:paraId="2ABBE5AF">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0567440B">
      <w:pPr>
        <w:pBdr>
          <w:bottom w:val="single" w:color="auto" w:sz="4" w:space="1"/>
        </w:pBdr>
        <w:adjustRightInd w:val="0"/>
        <w:snapToGrid w:val="0"/>
        <w:spacing w:before="120" w:beforeLines="50" w:line="300" w:lineRule="auto"/>
        <w:jc w:val="center"/>
        <w:rPr>
          <w:rFonts w:ascii="Times New Roman" w:hAnsi="Times New Roman" w:eastAsia="宋体" w:cs="Times New Roman"/>
          <w:b/>
          <w:snapToGrid w:val="0"/>
          <w:color w:val="auto"/>
          <w:sz w:val="44"/>
          <w:szCs w:val="44"/>
          <w:lang w:eastAsia="zh-CN"/>
        </w:rPr>
      </w:pPr>
      <w:r>
        <w:rPr>
          <w:rFonts w:ascii="Times New Roman" w:hAnsi="Times New Roman" w:eastAsia="宋体" w:cs="宋体"/>
          <w:b/>
          <w:sz w:val="44"/>
          <w:lang w:eastAsia="zh-CN"/>
        </w:rPr>
        <w:t>软性（亲水性）日戴型接触镜 - 安全和性能的</w:t>
      </w:r>
      <w:r>
        <w:rPr>
          <w:rFonts w:hint="eastAsia" w:ascii="Times New Roman" w:hAnsi="Times New Roman" w:eastAsia="宋体" w:cs="宋体"/>
          <w:b/>
          <w:sz w:val="44"/>
          <w:lang w:eastAsia="zh-CN"/>
        </w:rPr>
        <w:t>评估</w:t>
      </w:r>
      <w:r>
        <w:rPr>
          <w:rFonts w:ascii="Times New Roman" w:hAnsi="Times New Roman" w:eastAsia="宋体" w:cs="宋体"/>
          <w:b/>
          <w:sz w:val="44"/>
          <w:lang w:eastAsia="zh-CN"/>
        </w:rPr>
        <w:t>标准</w:t>
      </w:r>
    </w:p>
    <w:p w14:paraId="65AA08D3">
      <w:pPr>
        <w:adjustRightInd w:val="0"/>
        <w:snapToGrid w:val="0"/>
        <w:spacing w:before="120" w:beforeLines="50" w:line="300" w:lineRule="auto"/>
        <w:jc w:val="center"/>
        <w:rPr>
          <w:rFonts w:ascii="Times New Roman" w:hAnsi="Times New Roman" w:eastAsia="宋体" w:cs="Times New Roman"/>
          <w:b/>
          <w:snapToGrid w:val="0"/>
          <w:color w:val="auto"/>
          <w:sz w:val="44"/>
          <w:szCs w:val="44"/>
          <w:lang w:eastAsia="zh-CN"/>
        </w:rPr>
      </w:pPr>
      <w:r>
        <w:rPr>
          <w:rFonts w:ascii="Times New Roman" w:hAnsi="Times New Roman" w:eastAsia="宋体" w:cs="宋体"/>
          <w:b/>
          <w:sz w:val="44"/>
          <w:lang w:eastAsia="zh-CN"/>
        </w:rPr>
        <w:t>行业和美国食品药品监督管理局工作人员指南草案</w:t>
      </w:r>
    </w:p>
    <w:tbl>
      <w:tblPr>
        <w:tblStyle w:val="6"/>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6984D0A8">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472174A6">
            <w:pPr>
              <w:adjustRightInd w:val="0"/>
              <w:snapToGrid w:val="0"/>
              <w:spacing w:before="120" w:beforeLines="50" w:line="300" w:lineRule="auto"/>
              <w:jc w:val="both"/>
              <w:rPr>
                <w:rFonts w:ascii="Times New Roman" w:hAnsi="Times New Roman" w:cs="Times New Roman"/>
                <w:b/>
                <w:bCs/>
                <w:i/>
                <w:iCs/>
                <w:snapToGrid w:val="0"/>
                <w:sz w:val="21"/>
                <w:szCs w:val="21"/>
                <w:lang w:eastAsia="zh-CN"/>
              </w:rPr>
            </w:pPr>
            <w:r>
              <w:rPr>
                <w:rFonts w:hint="eastAsia" w:ascii="Times New Roman" w:hAnsi="Times New Roman" w:eastAsia="宋体" w:cs="宋体"/>
                <w:b/>
                <w:i/>
                <w:sz w:val="21"/>
                <w:lang w:eastAsia="zh-CN"/>
              </w:rPr>
              <w:t>本</w:t>
            </w:r>
            <w:r>
              <w:rPr>
                <w:rFonts w:ascii="Times New Roman" w:hAnsi="Times New Roman" w:eastAsia="宋体" w:cs="宋体"/>
                <w:b/>
                <w:i/>
                <w:sz w:val="21"/>
                <w:lang w:eastAsia="zh-CN"/>
              </w:rPr>
              <w:t>指南草案最终定稿后，将代表美国</w:t>
            </w:r>
            <w:r>
              <w:rPr>
                <w:rFonts w:hint="eastAsia" w:ascii="Times New Roman" w:hAnsi="Times New Roman" w:eastAsia="宋体" w:cs="宋体"/>
                <w:b/>
                <w:i/>
                <w:sz w:val="21"/>
                <w:lang w:eastAsia="zh-CN"/>
              </w:rPr>
              <w:t>食品药品监督管理局（</w:t>
            </w:r>
            <w:r>
              <w:rPr>
                <w:rFonts w:ascii="Times New Roman" w:hAnsi="Times New Roman" w:eastAsia="宋体" w:cs="宋体"/>
                <w:b/>
                <w:i/>
                <w:sz w:val="21"/>
                <w:lang w:eastAsia="zh-CN"/>
              </w:rPr>
              <w:t>FDA</w:t>
            </w:r>
            <w:r>
              <w:rPr>
                <w:rFonts w:hint="eastAsia" w:ascii="Times New Roman" w:hAnsi="Times New Roman" w:eastAsia="宋体" w:cs="宋体"/>
                <w:b/>
                <w:i/>
                <w:sz w:val="21"/>
                <w:lang w:eastAsia="zh-CN"/>
              </w:rPr>
              <w:t>或政府专门机构</w:t>
            </w:r>
            <w:r>
              <w:rPr>
                <w:rFonts w:ascii="Times New Roman" w:hAnsi="Times New Roman" w:eastAsia="宋体" w:cs="宋体"/>
                <w:b/>
                <w:i/>
                <w:sz w:val="21"/>
                <w:lang w:eastAsia="zh-CN"/>
              </w:rPr>
              <w:t>）目前关于该主题的思考。</w:t>
            </w:r>
            <w:r>
              <w:rPr>
                <w:rFonts w:hint="eastAsia" w:ascii="Times New Roman" w:hAnsi="Times New Roman" w:eastAsia="宋体" w:cs="宋体"/>
                <w:b/>
                <w:i/>
                <w:sz w:val="21"/>
                <w:lang w:eastAsia="zh-CN"/>
              </w:rPr>
              <w:t>本指南</w:t>
            </w:r>
            <w:r>
              <w:rPr>
                <w:rFonts w:ascii="Times New Roman" w:hAnsi="Times New Roman" w:eastAsia="宋体" w:cs="宋体"/>
                <w:b/>
                <w:i/>
                <w:sz w:val="21"/>
                <w:lang w:eastAsia="zh-CN"/>
              </w:rPr>
              <w:t>不会为任何人创造或赋予任何权利，也不会对FDA或公众产生约束。如果</w:t>
            </w:r>
            <w:r>
              <w:rPr>
                <w:rFonts w:hint="eastAsia" w:ascii="Times New Roman" w:hAnsi="Times New Roman" w:eastAsia="宋体" w:cs="宋体"/>
                <w:b/>
                <w:i/>
                <w:sz w:val="21"/>
                <w:lang w:eastAsia="zh-CN"/>
              </w:rPr>
              <w:t>有</w:t>
            </w:r>
            <w:r>
              <w:rPr>
                <w:rFonts w:ascii="Times New Roman" w:hAnsi="Times New Roman" w:eastAsia="宋体" w:cs="宋体"/>
                <w:b/>
                <w:i/>
                <w:sz w:val="21"/>
                <w:lang w:eastAsia="zh-CN"/>
              </w:rPr>
              <w:t>替代方法满足适用的法律法规的要求，则可以使用该</w:t>
            </w:r>
            <w:r>
              <w:rPr>
                <w:rFonts w:hint="eastAsia" w:ascii="Times New Roman" w:hAnsi="Times New Roman" w:eastAsia="宋体" w:cs="宋体"/>
                <w:b/>
                <w:i/>
                <w:sz w:val="21"/>
                <w:lang w:eastAsia="zh-CN"/>
              </w:rPr>
              <w:t>替代</w:t>
            </w:r>
            <w:r>
              <w:rPr>
                <w:rFonts w:ascii="Times New Roman" w:hAnsi="Times New Roman" w:eastAsia="宋体" w:cs="宋体"/>
                <w:b/>
                <w:i/>
                <w:sz w:val="21"/>
                <w:lang w:eastAsia="zh-CN"/>
              </w:rPr>
              <w:t>方法。如需讨论替代方法，请联系标题页负责实施本指南文件的FDA工作人员或办公室。</w:t>
            </w:r>
          </w:p>
        </w:tc>
      </w:tr>
    </w:tbl>
    <w:p w14:paraId="27459A65">
      <w:pPr>
        <w:adjustRightInd w:val="0"/>
        <w:snapToGrid w:val="0"/>
        <w:spacing w:before="120" w:beforeLines="50" w:line="300" w:lineRule="auto"/>
        <w:jc w:val="both"/>
        <w:rPr>
          <w:rFonts w:ascii="Times New Roman" w:hAnsi="Times New Roman" w:eastAsia="宋体" w:cs="Times New Roman"/>
          <w:b/>
          <w:bCs/>
          <w:i/>
          <w:iCs/>
          <w:snapToGrid w:val="0"/>
          <w:lang w:eastAsia="zh-CN"/>
        </w:rPr>
      </w:pPr>
    </w:p>
    <w:p w14:paraId="3440D49B">
      <w:pPr>
        <w:pStyle w:val="20"/>
        <w:rPr>
          <w:rFonts w:eastAsia="宋体"/>
          <w:lang w:eastAsia="zh-CN"/>
        </w:rPr>
      </w:pPr>
      <w:r>
        <w:rPr>
          <w:rFonts w:eastAsia="宋体" w:cs="宋体"/>
          <w:lang w:eastAsia="zh-CN"/>
        </w:rPr>
        <w:t>I.</w:t>
      </w:r>
      <w:r>
        <w:rPr>
          <w:rFonts w:eastAsia="宋体" w:cs="宋体"/>
          <w:lang w:eastAsia="zh-CN"/>
        </w:rPr>
        <w:tab/>
      </w:r>
      <w:r>
        <w:rPr>
          <w:rFonts w:eastAsia="宋体" w:cs="宋体"/>
          <w:lang w:eastAsia="zh-CN"/>
        </w:rPr>
        <w:t>引言</w:t>
      </w:r>
    </w:p>
    <w:p w14:paraId="362915D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本指南草案提供了软性（亲水性）日戴型接触镜的性能标准，以支持</w:t>
      </w:r>
      <w:r>
        <w:rPr>
          <w:rFonts w:ascii="Times New Roman" w:hAnsi="Times New Roman" w:eastAsia="宋体" w:cs="宋体"/>
          <w:color w:val="0000FF"/>
          <w:u w:val="single"/>
          <w:lang w:eastAsia="zh-CN"/>
        </w:rPr>
        <w:t>安全和性能的</w:t>
      </w:r>
      <w:r>
        <w:rPr>
          <w:rFonts w:hint="eastAsia" w:ascii="Times New Roman" w:hAnsi="Times New Roman" w:eastAsia="宋体" w:cs="宋体"/>
          <w:color w:val="0000FF"/>
          <w:u w:val="single"/>
          <w:lang w:eastAsia="zh-CN"/>
        </w:rPr>
        <w:t>评估</w:t>
      </w:r>
      <w:r>
        <w:rPr>
          <w:rFonts w:ascii="Times New Roman" w:hAnsi="Times New Roman" w:eastAsia="宋体" w:cs="宋体"/>
          <w:lang w:eastAsia="zh-CN"/>
        </w:rPr>
        <w:t>。</w:t>
      </w:r>
      <w:r>
        <w:rPr>
          <w:rFonts w:ascii="Times New Roman" w:hAnsi="Times New Roman" w:eastAsia="宋体" w:cs="宋体"/>
          <w:vertAlign w:val="superscript"/>
          <w:lang w:eastAsia="zh-CN"/>
        </w:rPr>
        <w:t>1</w:t>
      </w:r>
      <w:r>
        <w:rPr>
          <w:rFonts w:ascii="Times New Roman" w:hAnsi="Times New Roman" w:eastAsia="宋体" w:cs="宋体"/>
          <w:lang w:eastAsia="zh-CN"/>
        </w:rPr>
        <w:t>在此框架下，计划通过安全和性能的</w:t>
      </w:r>
      <w:r>
        <w:rPr>
          <w:rFonts w:hint="eastAsia" w:ascii="Times New Roman" w:hAnsi="Times New Roman" w:eastAsia="宋体" w:cs="宋体"/>
          <w:lang w:eastAsia="zh-CN"/>
        </w:rPr>
        <w:t>评估</w:t>
      </w:r>
      <w:r>
        <w:rPr>
          <w:rFonts w:ascii="Times New Roman" w:hAnsi="Times New Roman" w:eastAsia="宋体" w:cs="宋体"/>
          <w:lang w:eastAsia="zh-CN"/>
        </w:rPr>
        <w:t>提交软性（亲水性）接触镜510(k)的申请人可选择使用本指南草案中提出的性能标准来支持实质等同性，而不是直接比较申报器械与同品种器械的性能。</w:t>
      </w:r>
    </w:p>
    <w:p w14:paraId="61371F7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如需了解本文件中引用的FDA认可标准的现行版本，请参见</w:t>
      </w:r>
      <w:r>
        <w:rPr>
          <w:rFonts w:ascii="Times New Roman" w:hAnsi="Times New Roman" w:eastAsia="宋体" w:cs="宋体"/>
          <w:color w:val="0000FF"/>
          <w:u w:val="single"/>
          <w:lang w:eastAsia="zh-CN"/>
        </w:rPr>
        <w:t>FDA认可的共识标准数据库</w:t>
      </w:r>
      <w:r>
        <w:rPr>
          <w:rFonts w:ascii="Times New Roman" w:hAnsi="Times New Roman" w:eastAsia="宋体" w:cs="宋体"/>
          <w:lang w:eastAsia="zh-CN"/>
        </w:rPr>
        <w:t>。</w:t>
      </w:r>
      <w:r>
        <w:rPr>
          <w:rFonts w:ascii="Times New Roman" w:hAnsi="Times New Roman" w:eastAsia="宋体" w:cs="宋体"/>
          <w:vertAlign w:val="superscript"/>
          <w:lang w:eastAsia="zh-CN"/>
        </w:rPr>
        <w:t>2</w:t>
      </w:r>
      <w:r>
        <w:rPr>
          <w:rFonts w:hint="eastAsia" w:ascii="Times New Roman" w:hAnsi="Times New Roman" w:eastAsia="宋体" w:cs="宋体"/>
          <w:lang w:eastAsia="zh-CN"/>
        </w:rPr>
        <w:t>关于监管申报资料中共识标准的使用的更多信息，请参见标题为《医疗器械上市前申报资料中自愿性共识标准的适当使用》的</w:t>
      </w:r>
      <w:r>
        <w:rPr>
          <w:rFonts w:ascii="Times New Roman" w:hAnsi="Times New Roman" w:eastAsia="宋体" w:cs="宋体"/>
          <w:lang w:eastAsia="zh-CN"/>
        </w:rPr>
        <w:t>FDA指南。</w:t>
      </w:r>
      <w:r>
        <w:fldChar w:fldCharType="begin"/>
      </w:r>
      <w:r>
        <w:instrText xml:space="preserve"> HYPERLINK \l "bookmark6" \o "Current Document" \h </w:instrText>
      </w:r>
      <w:r>
        <w:fldChar w:fldCharType="separate"/>
      </w:r>
      <w:r>
        <w:rPr>
          <w:rFonts w:ascii="Times New Roman" w:hAnsi="Times New Roman" w:eastAsia="宋体" w:cs="宋体"/>
          <w:snapToGrid w:val="0"/>
          <w:vertAlign w:val="superscript"/>
          <w:lang w:eastAsia="zh-CN"/>
        </w:rPr>
        <w:t>3</w:t>
      </w:r>
      <w:r>
        <w:rPr>
          <w:rFonts w:ascii="Times New Roman" w:hAnsi="Times New Roman" w:eastAsia="宋体" w:cs="宋体"/>
          <w:snapToGrid w:val="0"/>
          <w:vertAlign w:val="superscript"/>
          <w:lang w:eastAsia="zh-CN"/>
        </w:rPr>
        <w:fldChar w:fldCharType="end"/>
      </w:r>
    </w:p>
    <w:p w14:paraId="1ABFBE1A">
      <w:pPr>
        <w:pStyle w:val="18"/>
        <w:tabs>
          <w:tab w:val="left" w:pos="125"/>
        </w:tabs>
        <w:adjustRightInd w:val="0"/>
        <w:snapToGrid w:val="0"/>
        <w:spacing w:before="120" w:beforeLines="50" w:line="300" w:lineRule="auto"/>
        <w:jc w:val="both"/>
        <w:rPr>
          <w:rFonts w:eastAsia="宋体"/>
          <w:snapToGrid w:val="0"/>
          <w:color w:val="000000"/>
          <w:sz w:val="24"/>
          <w:szCs w:val="24"/>
          <w:u w:val="none"/>
          <w:lang w:eastAsia="zh-CN"/>
        </w:rPr>
      </w:pPr>
    </w:p>
    <w:p w14:paraId="48ECAE0E">
      <w:pPr>
        <w:pStyle w:val="18"/>
        <w:tabs>
          <w:tab w:val="left" w:pos="125"/>
        </w:tabs>
        <w:adjustRightInd w:val="0"/>
        <w:snapToGrid w:val="0"/>
        <w:spacing w:before="120" w:beforeLines="50" w:line="300" w:lineRule="auto"/>
        <w:jc w:val="both"/>
        <w:rPr>
          <w:rFonts w:eastAsia="宋体"/>
          <w:snapToGrid w:val="0"/>
          <w:color w:val="000000"/>
          <w:sz w:val="24"/>
          <w:szCs w:val="24"/>
          <w:u w:val="none"/>
          <w:lang w:eastAsia="zh-CN"/>
        </w:rPr>
      </w:pPr>
    </w:p>
    <w:p w14:paraId="3ADE3B48">
      <w:pPr>
        <w:pStyle w:val="18"/>
        <w:tabs>
          <w:tab w:val="left" w:pos="125"/>
        </w:tabs>
        <w:adjustRightInd w:val="0"/>
        <w:snapToGrid w:val="0"/>
        <w:spacing w:before="120" w:beforeLines="50" w:line="300" w:lineRule="auto"/>
        <w:jc w:val="both"/>
        <w:rPr>
          <w:rFonts w:eastAsia="宋体"/>
          <w:snapToGrid w:val="0"/>
          <w:color w:val="000000"/>
          <w:sz w:val="24"/>
          <w:szCs w:val="24"/>
          <w:u w:val="none"/>
          <w:lang w:eastAsia="zh-CN"/>
        </w:rPr>
      </w:pPr>
    </w:p>
    <w:p w14:paraId="7A951E15">
      <w:pPr>
        <w:pStyle w:val="18"/>
        <w:tabs>
          <w:tab w:val="left" w:pos="125"/>
        </w:tabs>
        <w:adjustRightInd w:val="0"/>
        <w:snapToGrid w:val="0"/>
        <w:spacing w:before="120" w:beforeLines="50" w:line="300" w:lineRule="auto"/>
        <w:jc w:val="both"/>
        <w:rPr>
          <w:rFonts w:eastAsia="宋体"/>
          <w:snapToGrid w:val="0"/>
          <w:color w:val="000000"/>
          <w:sz w:val="24"/>
          <w:szCs w:val="24"/>
          <w:u w:val="none"/>
          <w:lang w:eastAsia="zh-CN"/>
        </w:rPr>
      </w:pPr>
    </w:p>
    <w:p w14:paraId="45AFFF2B">
      <w:pPr>
        <w:pStyle w:val="18"/>
        <w:tabs>
          <w:tab w:val="left" w:pos="125"/>
        </w:tabs>
        <w:adjustRightInd w:val="0"/>
        <w:snapToGrid w:val="0"/>
        <w:spacing w:before="120" w:beforeLines="50" w:line="300" w:lineRule="auto"/>
        <w:jc w:val="both"/>
        <w:rPr>
          <w:rFonts w:eastAsia="宋体"/>
          <w:snapToGrid w:val="0"/>
          <w:color w:val="000000"/>
          <w:sz w:val="24"/>
          <w:szCs w:val="24"/>
          <w:u w:val="none"/>
          <w:lang w:eastAsia="zh-CN"/>
        </w:rPr>
      </w:pPr>
    </w:p>
    <w:p w14:paraId="0BDCF20F">
      <w:pPr>
        <w:pStyle w:val="18"/>
        <w:tabs>
          <w:tab w:val="left" w:pos="125"/>
        </w:tabs>
        <w:adjustRightInd w:val="0"/>
        <w:snapToGrid w:val="0"/>
        <w:spacing w:before="120" w:beforeLines="50" w:line="300" w:lineRule="auto"/>
        <w:jc w:val="both"/>
        <w:rPr>
          <w:rFonts w:eastAsia="宋体"/>
          <w:snapToGrid w:val="0"/>
          <w:color w:val="000000"/>
          <w:sz w:val="24"/>
          <w:szCs w:val="24"/>
          <w:u w:val="none"/>
          <w:lang w:eastAsia="zh-CN"/>
        </w:rPr>
      </w:pPr>
      <w:r>
        <w:rPr>
          <w:rFonts w:eastAsia="宋体" w:cs="宋体"/>
          <w:color w:val="000000"/>
          <w:sz w:val="24"/>
        </w:rPr>
        <w:t>_____________________</w:t>
      </w:r>
    </w:p>
    <w:p w14:paraId="363EF055">
      <w:pPr>
        <w:pStyle w:val="18"/>
        <w:tabs>
          <w:tab w:val="left" w:pos="125"/>
        </w:tabs>
        <w:adjustRightInd w:val="0"/>
        <w:snapToGrid w:val="0"/>
        <w:spacing w:before="36" w:beforeLines="15" w:line="276" w:lineRule="auto"/>
        <w:jc w:val="both"/>
        <w:rPr>
          <w:rFonts w:eastAsia="宋体"/>
          <w:snapToGrid w:val="0"/>
          <w:sz w:val="21"/>
          <w:szCs w:val="21"/>
          <w:lang w:eastAsia="zh-CN"/>
        </w:rPr>
      </w:pPr>
      <w:r>
        <w:rPr>
          <w:rFonts w:eastAsia="宋体" w:cs="宋体"/>
          <w:color w:val="000000"/>
          <w:sz w:val="21"/>
          <w:u w:val="none"/>
          <w:vertAlign w:val="superscript"/>
        </w:rPr>
        <w:t>1</w:t>
      </w:r>
      <w:r>
        <w:rPr>
          <w:rFonts w:eastAsia="宋体" w:cs="宋体"/>
          <w:sz w:val="21"/>
          <w:u w:val="none"/>
        </w:rPr>
        <w:t xml:space="preserve"> </w:t>
      </w:r>
      <w:r>
        <w:rPr>
          <w:rFonts w:eastAsia="宋体" w:cs="宋体"/>
          <w:sz w:val="21"/>
          <w:u w:val="none"/>
        </w:rPr>
        <w:tab/>
      </w:r>
      <w:r>
        <w:rPr>
          <w:rFonts w:eastAsia="宋体" w:cs="宋体"/>
          <w:color w:val="000000"/>
          <w:sz w:val="21"/>
          <w:u w:val="none"/>
        </w:rPr>
        <w:t>可登录以下网址获取：</w:t>
      </w:r>
      <w:r>
        <w:fldChar w:fldCharType="begin"/>
      </w:r>
      <w:r>
        <w:instrText xml:space="preserve"> HYPERLINK "https://www.fda.gov/regulatory-information/search-fda-guidance-documents/%20safety-and-performance-based-pathway" </w:instrText>
      </w:r>
      <w:r>
        <w:fldChar w:fldCharType="separate"/>
      </w:r>
      <w:r>
        <w:rPr>
          <w:rStyle w:val="8"/>
          <w:rFonts w:eastAsia="宋体" w:cs="宋体"/>
          <w:snapToGrid w:val="0"/>
          <w:sz w:val="21"/>
          <w:szCs w:val="21"/>
        </w:rPr>
        <w:t>https://www.fda.gov/regulatory-information/search-fda-guidance-documents/</w:t>
      </w:r>
      <w:r>
        <w:rPr>
          <w:rStyle w:val="8"/>
          <w:rFonts w:hint="eastAsia" w:eastAsia="宋体" w:cs="宋体"/>
          <w:snapToGrid w:val="0"/>
          <w:sz w:val="21"/>
          <w:szCs w:val="21"/>
          <w:lang w:eastAsia="zh-CN"/>
        </w:rPr>
        <w:t xml:space="preserve"> </w:t>
      </w:r>
      <w:r>
        <w:rPr>
          <w:rStyle w:val="8"/>
          <w:rFonts w:eastAsia="宋体" w:cs="宋体"/>
          <w:snapToGrid w:val="0"/>
          <w:sz w:val="21"/>
          <w:szCs w:val="21"/>
        </w:rPr>
        <w:t>safety-and-performance-based-pathway</w:t>
      </w:r>
      <w:r>
        <w:rPr>
          <w:rStyle w:val="8"/>
          <w:rFonts w:eastAsia="宋体" w:cs="宋体"/>
          <w:snapToGrid w:val="0"/>
          <w:sz w:val="21"/>
          <w:szCs w:val="21"/>
        </w:rPr>
        <w:fldChar w:fldCharType="end"/>
      </w:r>
      <w:r>
        <w:rPr>
          <w:rFonts w:eastAsia="宋体" w:cs="宋体"/>
          <w:sz w:val="21"/>
        </w:rPr>
        <w:t>。</w:t>
      </w:r>
    </w:p>
    <w:p w14:paraId="2796C047">
      <w:pPr>
        <w:pStyle w:val="18"/>
        <w:tabs>
          <w:tab w:val="left" w:pos="115"/>
        </w:tabs>
        <w:adjustRightInd w:val="0"/>
        <w:snapToGrid w:val="0"/>
        <w:spacing w:before="36" w:beforeLines="15" w:line="276" w:lineRule="auto"/>
        <w:jc w:val="both"/>
        <w:rPr>
          <w:rFonts w:eastAsia="宋体"/>
          <w:snapToGrid w:val="0"/>
          <w:sz w:val="21"/>
          <w:szCs w:val="21"/>
        </w:rPr>
      </w:pPr>
      <w:r>
        <w:rPr>
          <w:rFonts w:eastAsia="宋体" w:cs="宋体"/>
          <w:color w:val="000000"/>
          <w:sz w:val="21"/>
          <w:u w:val="none"/>
          <w:vertAlign w:val="superscript"/>
        </w:rPr>
        <w:t>2</w:t>
      </w:r>
      <w:r>
        <w:rPr>
          <w:rFonts w:eastAsia="宋体" w:cs="宋体"/>
          <w:sz w:val="21"/>
          <w:u w:val="none"/>
        </w:rPr>
        <w:t xml:space="preserve"> </w:t>
      </w:r>
      <w:r>
        <w:rPr>
          <w:rFonts w:eastAsia="宋体" w:cs="宋体"/>
          <w:color w:val="000000"/>
          <w:sz w:val="21"/>
          <w:u w:val="none"/>
        </w:rPr>
        <w:t>可登录以下网址获取：</w:t>
      </w:r>
      <w:r>
        <w:fldChar w:fldCharType="begin"/>
      </w:r>
      <w:r>
        <w:instrText xml:space="preserve"> HYPERLINK "https://www.accessdata.fda.gov/scripts/cdrh/cfdocs/cfStandards/search.cfm" </w:instrText>
      </w:r>
      <w:r>
        <w:fldChar w:fldCharType="separate"/>
      </w:r>
      <w:r>
        <w:rPr>
          <w:rFonts w:eastAsia="宋体" w:cs="宋体"/>
          <w:snapToGrid w:val="0"/>
          <w:sz w:val="21"/>
          <w:szCs w:val="21"/>
        </w:rPr>
        <w:t>https://www.accessdata.fda.gov/scripts/cdrh/cfdocs/cfStandards/search.cfm</w:t>
      </w:r>
      <w:r>
        <w:rPr>
          <w:rFonts w:eastAsia="宋体" w:cs="宋体"/>
          <w:snapToGrid w:val="0"/>
          <w:sz w:val="21"/>
          <w:szCs w:val="21"/>
        </w:rPr>
        <w:fldChar w:fldCharType="end"/>
      </w:r>
      <w:r>
        <w:rPr>
          <w:rFonts w:eastAsia="宋体" w:cs="宋体"/>
          <w:sz w:val="21"/>
        </w:rPr>
        <w:t>。</w:t>
      </w:r>
    </w:p>
    <w:p w14:paraId="5D5B1DA3">
      <w:pPr>
        <w:pStyle w:val="18"/>
        <w:tabs>
          <w:tab w:val="left" w:pos="125"/>
        </w:tabs>
        <w:adjustRightInd w:val="0"/>
        <w:snapToGrid w:val="0"/>
        <w:spacing w:before="36" w:beforeLines="15" w:line="276" w:lineRule="auto"/>
        <w:jc w:val="both"/>
        <w:rPr>
          <w:rFonts w:eastAsia="宋体" w:cs="宋体"/>
          <w:sz w:val="21"/>
          <w:lang w:eastAsia="zh-CN"/>
        </w:rPr>
      </w:pPr>
      <w:r>
        <w:rPr>
          <w:rFonts w:eastAsia="宋体" w:cs="宋体"/>
          <w:color w:val="000000"/>
          <w:sz w:val="21"/>
          <w:u w:val="none"/>
          <w:vertAlign w:val="superscript"/>
        </w:rPr>
        <w:t>3</w:t>
      </w:r>
      <w:r>
        <w:rPr>
          <w:rFonts w:eastAsia="宋体" w:cs="宋体"/>
          <w:sz w:val="21"/>
          <w:u w:val="none"/>
        </w:rPr>
        <w:t xml:space="preserve"> </w:t>
      </w:r>
      <w:r>
        <w:rPr>
          <w:rFonts w:eastAsia="宋体" w:cs="宋体"/>
          <w:sz w:val="21"/>
          <w:u w:val="none"/>
        </w:rPr>
        <w:tab/>
      </w:r>
      <w:r>
        <w:rPr>
          <w:rFonts w:eastAsia="宋体" w:cs="宋体"/>
          <w:color w:val="000000"/>
          <w:sz w:val="21"/>
          <w:u w:val="none"/>
        </w:rPr>
        <w:t>可登录以下网址获取：</w:t>
      </w:r>
      <w:r>
        <w:fldChar w:fldCharType="begin"/>
      </w:r>
      <w:r>
        <w:instrText xml:space="preserve"> HYPERLINK "https://www.fda.gov/regulatory-information/search-fda-guidance-documents/%20appropriate-use-" </w:instrText>
      </w:r>
      <w:r>
        <w:fldChar w:fldCharType="separate"/>
      </w:r>
      <w:r>
        <w:rPr>
          <w:rStyle w:val="8"/>
          <w:rFonts w:eastAsia="宋体" w:cs="宋体"/>
          <w:snapToGrid w:val="0"/>
          <w:sz w:val="21"/>
          <w:szCs w:val="21"/>
        </w:rPr>
        <w:t>https://www.fda.gov/regulatory-information/search-fda-guidance-documents/</w:t>
      </w:r>
      <w:r>
        <w:rPr>
          <w:rStyle w:val="8"/>
          <w:rFonts w:hint="eastAsia" w:eastAsia="宋体" w:cs="宋体"/>
          <w:snapToGrid w:val="0"/>
          <w:sz w:val="21"/>
          <w:szCs w:val="21"/>
          <w:lang w:eastAsia="zh-CN"/>
        </w:rPr>
        <w:t xml:space="preserve"> </w:t>
      </w:r>
      <w:r>
        <w:rPr>
          <w:rStyle w:val="8"/>
          <w:rFonts w:eastAsia="宋体" w:cs="宋体"/>
          <w:snapToGrid w:val="0"/>
          <w:sz w:val="21"/>
          <w:szCs w:val="21"/>
        </w:rPr>
        <w:t>appropriate-use-</w:t>
      </w:r>
      <w:r>
        <w:rPr>
          <w:rStyle w:val="8"/>
          <w:rFonts w:eastAsia="宋体" w:cs="宋体"/>
          <w:snapToGrid w:val="0"/>
          <w:sz w:val="21"/>
          <w:szCs w:val="21"/>
        </w:rPr>
        <w:fldChar w:fldCharType="end"/>
      </w:r>
      <w:r>
        <w:rPr>
          <w:rFonts w:eastAsia="宋体" w:cs="宋体"/>
          <w:sz w:val="21"/>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Fonts w:eastAsia="宋体" w:cs="宋体"/>
          <w:snapToGrid w:val="0"/>
          <w:sz w:val="21"/>
          <w:szCs w:val="21"/>
        </w:rPr>
        <w:t>voluntary-consensus-standards-premarket-submissions-medical-devices</w:t>
      </w:r>
      <w:r>
        <w:rPr>
          <w:rFonts w:eastAsia="宋体" w:cs="宋体"/>
          <w:snapToGrid w:val="0"/>
          <w:sz w:val="21"/>
          <w:szCs w:val="21"/>
        </w:rPr>
        <w:fldChar w:fldCharType="end"/>
      </w:r>
      <w:r>
        <w:rPr>
          <w:rFonts w:eastAsia="宋体" w:cs="宋体"/>
          <w:sz w:val="21"/>
        </w:rPr>
        <w:t>。</w:t>
      </w:r>
    </w:p>
    <w:p w14:paraId="0B8CD8C0">
      <w:pPr>
        <w:pStyle w:val="18"/>
        <w:tabs>
          <w:tab w:val="left" w:pos="125"/>
        </w:tabs>
        <w:adjustRightInd w:val="0"/>
        <w:snapToGrid w:val="0"/>
        <w:spacing w:before="36" w:beforeLines="15" w:line="276" w:lineRule="auto"/>
        <w:jc w:val="both"/>
        <w:rPr>
          <w:rFonts w:eastAsia="宋体"/>
          <w:snapToGrid w:val="0"/>
          <w:sz w:val="21"/>
        </w:rPr>
      </w:pPr>
      <w:r>
        <w:rPr>
          <w:rFonts w:eastAsia="宋体" w:cs="宋体"/>
          <w:b/>
          <w:i/>
          <w:sz w:val="21"/>
        </w:rPr>
        <w:br w:type="page"/>
      </w:r>
    </w:p>
    <w:p w14:paraId="3563EBC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FDA指导性文件，包括本指南草案在内，不具有法律强制责任。相反，</w:t>
      </w:r>
      <w:r>
        <w:rPr>
          <w:rFonts w:hint="eastAsia" w:ascii="Times New Roman" w:hAnsi="Times New Roman" w:eastAsia="宋体" w:cs="宋体"/>
          <w:lang w:eastAsia="zh-CN"/>
        </w:rPr>
        <w:t>该</w:t>
      </w:r>
      <w:r>
        <w:rPr>
          <w:rFonts w:ascii="Times New Roman" w:hAnsi="Times New Roman" w:eastAsia="宋体" w:cs="宋体"/>
          <w:lang w:eastAsia="zh-CN"/>
        </w:rPr>
        <w:t>指南表明了</w:t>
      </w:r>
      <w:r>
        <w:rPr>
          <w:rFonts w:hint="eastAsia" w:ascii="Times New Roman" w:hAnsi="Times New Roman" w:eastAsia="宋体" w:cs="宋体"/>
          <w:lang w:eastAsia="zh-CN"/>
        </w:rPr>
        <w:t>政府专门机构</w:t>
      </w:r>
      <w:r>
        <w:rPr>
          <w:rFonts w:ascii="Times New Roman" w:hAnsi="Times New Roman" w:eastAsia="宋体" w:cs="宋体"/>
          <w:lang w:eastAsia="zh-CN"/>
        </w:rPr>
        <w:t>关于该主题的</w:t>
      </w:r>
      <w:r>
        <w:rPr>
          <w:rFonts w:hint="eastAsia" w:ascii="Times New Roman" w:hAnsi="Times New Roman" w:eastAsia="宋体" w:cs="宋体"/>
          <w:lang w:eastAsia="zh-CN"/>
        </w:rPr>
        <w:t>当前</w:t>
      </w:r>
      <w:r>
        <w:rPr>
          <w:rFonts w:ascii="Times New Roman" w:hAnsi="Times New Roman" w:eastAsia="宋体" w:cs="宋体"/>
          <w:lang w:eastAsia="zh-CN"/>
        </w:rPr>
        <w:t>思考，除引用具体的法规或法律要求</w:t>
      </w:r>
      <w:r>
        <w:rPr>
          <w:rFonts w:hint="eastAsia" w:ascii="Times New Roman" w:hAnsi="Times New Roman" w:eastAsia="宋体" w:cs="宋体"/>
          <w:lang w:eastAsia="zh-CN"/>
        </w:rPr>
        <w:t>之外</w:t>
      </w:r>
      <w:r>
        <w:rPr>
          <w:rFonts w:ascii="Times New Roman" w:hAnsi="Times New Roman" w:eastAsia="宋体" w:cs="宋体"/>
          <w:lang w:eastAsia="zh-CN"/>
        </w:rPr>
        <w:t>，</w:t>
      </w:r>
      <w:r>
        <w:rPr>
          <w:rFonts w:hint="eastAsia" w:ascii="Times New Roman" w:hAnsi="Times New Roman" w:eastAsia="宋体" w:cs="宋体"/>
          <w:lang w:eastAsia="zh-CN"/>
        </w:rPr>
        <w:t>本指南仅供推荐性使用</w:t>
      </w:r>
      <w:r>
        <w:rPr>
          <w:rFonts w:ascii="Times New Roman" w:hAnsi="Times New Roman" w:eastAsia="宋体" w:cs="宋体"/>
          <w:lang w:eastAsia="zh-CN"/>
        </w:rPr>
        <w:t>。在本指南中使用</w:t>
      </w:r>
      <w:r>
        <w:rPr>
          <w:rFonts w:hint="eastAsia" w:ascii="Times New Roman" w:hAnsi="Times New Roman" w:eastAsia="宋体" w:cs="宋体"/>
          <w:lang w:eastAsia="zh-CN"/>
        </w:rPr>
        <w:t>的</w:t>
      </w:r>
      <w:r>
        <w:rPr>
          <w:rFonts w:ascii="Times New Roman" w:hAnsi="Times New Roman" w:eastAsia="宋体" w:cs="宋体"/>
          <w:lang w:eastAsia="zh-CN"/>
        </w:rPr>
        <w:t>词语“应</w:t>
      </w:r>
      <w:r>
        <w:rPr>
          <w:rFonts w:hint="eastAsia" w:ascii="Times New Roman" w:hAnsi="Times New Roman" w:eastAsia="宋体" w:cs="宋体"/>
          <w:lang w:eastAsia="zh-CN"/>
        </w:rPr>
        <w:t>该</w:t>
      </w:r>
      <w:r>
        <w:rPr>
          <w:rFonts w:ascii="Times New Roman" w:hAnsi="Times New Roman" w:eastAsia="宋体" w:cs="宋体"/>
          <w:lang w:eastAsia="zh-CN"/>
        </w:rPr>
        <w:t>”是指建议或推荐，并非强制要求。</w:t>
      </w:r>
    </w:p>
    <w:p w14:paraId="5558392F">
      <w:pPr>
        <w:pStyle w:val="20"/>
        <w:rPr>
          <w:rFonts w:eastAsia="宋体"/>
          <w:lang w:eastAsia="zh-CN"/>
        </w:rPr>
      </w:pPr>
      <w:r>
        <w:rPr>
          <w:rFonts w:eastAsia="宋体" w:cs="宋体"/>
          <w:lang w:eastAsia="zh-CN"/>
        </w:rPr>
        <w:t>II.</w:t>
      </w:r>
      <w:r>
        <w:rPr>
          <w:rFonts w:eastAsia="宋体" w:cs="宋体"/>
          <w:lang w:eastAsia="zh-CN"/>
        </w:rPr>
        <w:tab/>
      </w:r>
      <w:r>
        <w:rPr>
          <w:rFonts w:eastAsia="宋体" w:cs="宋体"/>
          <w:lang w:eastAsia="zh-CN"/>
        </w:rPr>
        <w:t>范围/器械描述</w:t>
      </w:r>
    </w:p>
    <w:p w14:paraId="3496936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本指南针对的软性（亲水性）日戴型接触镜属于II类器械，根据21 CFR 886.5925进行监管，产品代码为LPL。</w:t>
      </w:r>
    </w:p>
    <w:p w14:paraId="0FA162E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预期用途/适用范围：</w:t>
      </w:r>
    </w:p>
    <w:p w14:paraId="3D5D2B1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本指南</w:t>
      </w:r>
      <w:r>
        <w:rPr>
          <w:rFonts w:hint="eastAsia" w:ascii="Times New Roman" w:hAnsi="Times New Roman" w:eastAsia="宋体" w:cs="宋体"/>
          <w:lang w:eastAsia="zh-CN"/>
        </w:rPr>
        <w:t>中</w:t>
      </w:r>
      <w:r>
        <w:rPr>
          <w:rFonts w:ascii="Times New Roman" w:hAnsi="Times New Roman" w:eastAsia="宋体" w:cs="宋体"/>
          <w:lang w:eastAsia="zh-CN"/>
        </w:rPr>
        <w:t>的软性（亲水性）日戴型接触镜是，</w:t>
      </w:r>
      <w:r>
        <w:rPr>
          <w:rFonts w:hint="eastAsia" w:ascii="Times New Roman" w:hAnsi="Times New Roman" w:eastAsia="宋体" w:cs="宋体"/>
          <w:lang w:eastAsia="zh-CN"/>
        </w:rPr>
        <w:t>用于</w:t>
      </w:r>
      <w:r>
        <w:rPr>
          <w:rFonts w:ascii="Times New Roman" w:hAnsi="Times New Roman" w:eastAsia="宋体" w:cs="宋体"/>
          <w:lang w:eastAsia="zh-CN"/>
        </w:rPr>
        <w:t>直接配戴在眼角膜和邻近角膜缘和巩膜区域</w:t>
      </w:r>
      <w:r>
        <w:rPr>
          <w:rFonts w:hint="eastAsia" w:ascii="Times New Roman" w:hAnsi="Times New Roman" w:eastAsia="宋体" w:cs="宋体"/>
          <w:lang w:eastAsia="zh-CN"/>
        </w:rPr>
        <w:t>的</w:t>
      </w:r>
      <w:r>
        <w:rPr>
          <w:rFonts w:ascii="Times New Roman" w:hAnsi="Times New Roman" w:eastAsia="宋体" w:cs="宋体"/>
          <w:lang w:eastAsia="zh-CN"/>
        </w:rPr>
        <w:t>处方器械，用于屈光不正（</w:t>
      </w:r>
      <w:r>
        <w:rPr>
          <w:rFonts w:hint="eastAsia" w:ascii="Times New Roman" w:hAnsi="Times New Roman" w:eastAsia="宋体" w:cs="宋体"/>
          <w:lang w:eastAsia="zh-CN"/>
        </w:rPr>
        <w:t>散光或无散光患者的</w:t>
      </w:r>
      <w:r>
        <w:rPr>
          <w:rFonts w:ascii="Times New Roman" w:hAnsi="Times New Roman" w:eastAsia="宋体" w:cs="宋体"/>
          <w:lang w:eastAsia="zh-CN"/>
        </w:rPr>
        <w:t>近视</w:t>
      </w:r>
      <w:r>
        <w:rPr>
          <w:rFonts w:hint="eastAsia" w:ascii="Times New Roman" w:hAnsi="Times New Roman" w:eastAsia="宋体" w:cs="宋体"/>
          <w:lang w:eastAsia="zh-CN"/>
        </w:rPr>
        <w:t>或</w:t>
      </w:r>
      <w:r>
        <w:rPr>
          <w:rFonts w:ascii="Times New Roman" w:hAnsi="Times New Roman" w:eastAsia="宋体" w:cs="宋体"/>
          <w:lang w:eastAsia="zh-CN"/>
        </w:rPr>
        <w:t>远视）的光学矫正。镜片设计为频繁更换</w:t>
      </w:r>
      <w:r>
        <w:rPr>
          <w:rFonts w:hint="eastAsia" w:ascii="Times New Roman" w:hAnsi="Times New Roman" w:eastAsia="宋体" w:cs="宋体"/>
          <w:lang w:eastAsia="zh-CN"/>
        </w:rPr>
        <w:t>型</w:t>
      </w:r>
      <w:r>
        <w:rPr>
          <w:rFonts w:ascii="Times New Roman" w:hAnsi="Times New Roman" w:eastAsia="宋体" w:cs="宋体"/>
          <w:lang w:eastAsia="zh-CN"/>
        </w:rPr>
        <w:t>或日抛型镜片。</w:t>
      </w:r>
    </w:p>
    <w:p w14:paraId="3A4BCB8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具有以下适用范围的软性（亲水性）接触镜</w:t>
      </w:r>
      <w:r>
        <w:rPr>
          <w:rFonts w:ascii="Times New Roman" w:hAnsi="Times New Roman" w:eastAsia="宋体" w:cs="宋体"/>
          <w:u w:val="single"/>
          <w:lang w:eastAsia="zh-CN"/>
        </w:rPr>
        <w:t>不</w:t>
      </w:r>
      <w:r>
        <w:rPr>
          <w:rFonts w:ascii="Times New Roman" w:hAnsi="Times New Roman" w:eastAsia="宋体" w:cs="宋体"/>
          <w:lang w:eastAsia="zh-CN"/>
        </w:rPr>
        <w:t>符合本指南中安全和性能</w:t>
      </w:r>
      <w:r>
        <w:rPr>
          <w:rFonts w:hint="eastAsia" w:ascii="Times New Roman" w:hAnsi="Times New Roman" w:eastAsia="宋体" w:cs="宋体"/>
          <w:lang w:eastAsia="zh-CN"/>
        </w:rPr>
        <w:t>评估</w:t>
      </w:r>
      <w:r>
        <w:rPr>
          <w:rFonts w:ascii="Times New Roman" w:hAnsi="Times New Roman" w:eastAsia="宋体" w:cs="宋体"/>
          <w:lang w:eastAsia="zh-CN"/>
        </w:rPr>
        <w:t>的条件：</w:t>
      </w:r>
    </w:p>
    <w:p w14:paraId="08CBEBA3">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矫正老视</w:t>
      </w:r>
    </w:p>
    <w:p w14:paraId="121B8DC8">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增强或改变眼睛的</w:t>
      </w:r>
      <w:r>
        <w:rPr>
          <w:rFonts w:hint="eastAsia" w:ascii="Times New Roman" w:hAnsi="Times New Roman" w:eastAsia="宋体" w:cs="宋体"/>
          <w:lang w:eastAsia="zh-CN"/>
        </w:rPr>
        <w:t>外观</w:t>
      </w:r>
      <w:r>
        <w:rPr>
          <w:rFonts w:ascii="Times New Roman" w:hAnsi="Times New Roman" w:eastAsia="宋体" w:cs="宋体"/>
          <w:lang w:eastAsia="zh-CN"/>
        </w:rPr>
        <w:t>颜色</w:t>
      </w:r>
    </w:p>
    <w:p w14:paraId="461AE2A9">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hint="eastAsia" w:ascii="Times New Roman" w:hAnsi="Times New Roman" w:eastAsia="宋体" w:cs="宋体"/>
          <w:lang w:eastAsia="zh-CN"/>
        </w:rPr>
        <w:t>作为</w:t>
      </w:r>
      <w:r>
        <w:rPr>
          <w:rFonts w:ascii="Times New Roman" w:hAnsi="Times New Roman" w:eastAsia="宋体" w:cs="宋体"/>
          <w:lang w:eastAsia="zh-CN"/>
        </w:rPr>
        <w:t>绷带</w:t>
      </w:r>
      <w:r>
        <w:rPr>
          <w:rFonts w:hint="eastAsia" w:ascii="Times New Roman" w:hAnsi="Times New Roman" w:eastAsia="宋体" w:cs="宋体"/>
          <w:lang w:eastAsia="zh-CN"/>
        </w:rPr>
        <w:t>式</w:t>
      </w:r>
      <w:r>
        <w:rPr>
          <w:rFonts w:ascii="Times New Roman" w:hAnsi="Times New Roman" w:eastAsia="宋体" w:cs="宋体"/>
          <w:lang w:eastAsia="zh-CN"/>
        </w:rPr>
        <w:t>或治疗</w:t>
      </w:r>
      <w:r>
        <w:rPr>
          <w:rFonts w:hint="eastAsia" w:ascii="Times New Roman" w:hAnsi="Times New Roman" w:eastAsia="宋体" w:cs="宋体"/>
          <w:lang w:eastAsia="zh-CN"/>
        </w:rPr>
        <w:t>性接触镜</w:t>
      </w:r>
    </w:p>
    <w:p w14:paraId="10763F4B">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用于</w:t>
      </w:r>
      <w:r>
        <w:rPr>
          <w:rFonts w:hint="eastAsia" w:ascii="Times New Roman" w:hAnsi="Times New Roman" w:eastAsia="宋体" w:cs="宋体"/>
          <w:lang w:eastAsia="zh-CN"/>
        </w:rPr>
        <w:t>治疗</w:t>
      </w:r>
      <w:r>
        <w:rPr>
          <w:rFonts w:ascii="Times New Roman" w:hAnsi="Times New Roman" w:eastAsia="宋体" w:cs="宋体"/>
          <w:lang w:eastAsia="zh-CN"/>
        </w:rPr>
        <w:t>圆锥角膜或不规则角膜疾病</w:t>
      </w:r>
    </w:p>
    <w:p w14:paraId="2366E82E">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具有除矫正屈光不正以外的特殊光学性能（例如，蓝光过滤）的</w:t>
      </w:r>
      <w:r>
        <w:rPr>
          <w:rFonts w:hint="eastAsia" w:ascii="Times New Roman" w:hAnsi="Times New Roman" w:eastAsia="宋体" w:cs="宋体"/>
          <w:lang w:eastAsia="zh-CN"/>
        </w:rPr>
        <w:t>接触镜</w:t>
      </w:r>
    </w:p>
    <w:p w14:paraId="3DE5EE93">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具有特殊物理性能的</w:t>
      </w:r>
      <w:r>
        <w:rPr>
          <w:rFonts w:hint="eastAsia" w:ascii="Times New Roman" w:hAnsi="Times New Roman" w:eastAsia="宋体" w:cs="宋体"/>
          <w:lang w:eastAsia="zh-CN"/>
        </w:rPr>
        <w:t>接触镜</w:t>
      </w:r>
      <w:r>
        <w:rPr>
          <w:rFonts w:ascii="Times New Roman" w:hAnsi="Times New Roman" w:eastAsia="宋体" w:cs="宋体"/>
          <w:lang w:eastAsia="zh-CN"/>
        </w:rPr>
        <w:t>（保</w:t>
      </w:r>
      <w:r>
        <w:rPr>
          <w:rFonts w:hint="eastAsia" w:ascii="Times New Roman" w:hAnsi="Times New Roman" w:eastAsia="宋体" w:cs="宋体"/>
          <w:lang w:eastAsia="zh-CN"/>
        </w:rPr>
        <w:t>湿</w:t>
      </w:r>
      <w:r>
        <w:rPr>
          <w:rFonts w:ascii="Times New Roman" w:hAnsi="Times New Roman" w:eastAsia="宋体" w:cs="宋体"/>
          <w:lang w:eastAsia="zh-CN"/>
        </w:rPr>
        <w:t>、润滑、减少沉积物）</w:t>
      </w:r>
    </w:p>
    <w:p w14:paraId="38FE4A48">
      <w:pPr>
        <w:pStyle w:val="21"/>
        <w:numPr>
          <w:ilvl w:val="0"/>
          <w:numId w:val="1"/>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具有特殊健康性能特征的</w:t>
      </w:r>
      <w:r>
        <w:rPr>
          <w:rFonts w:hint="eastAsia" w:ascii="Times New Roman" w:hAnsi="Times New Roman" w:eastAsia="宋体" w:cs="宋体"/>
          <w:lang w:eastAsia="zh-CN"/>
        </w:rPr>
        <w:t>接触镜</w:t>
      </w:r>
      <w:r>
        <w:rPr>
          <w:rFonts w:ascii="Times New Roman" w:hAnsi="Times New Roman" w:eastAsia="宋体" w:cs="宋体"/>
          <w:lang w:eastAsia="zh-CN"/>
        </w:rPr>
        <w:t>（例如，缓解干眼症）</w:t>
      </w:r>
    </w:p>
    <w:p w14:paraId="0E746D9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器械设计特征：</w:t>
      </w:r>
    </w:p>
    <w:p w14:paraId="239C437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本指南</w:t>
      </w:r>
      <w:r>
        <w:rPr>
          <w:rFonts w:hint="eastAsia" w:ascii="Times New Roman" w:hAnsi="Times New Roman" w:eastAsia="宋体" w:cs="宋体"/>
          <w:lang w:eastAsia="zh-CN"/>
        </w:rPr>
        <w:t>中</w:t>
      </w:r>
      <w:r>
        <w:rPr>
          <w:rFonts w:ascii="Times New Roman" w:hAnsi="Times New Roman" w:eastAsia="宋体" w:cs="宋体"/>
          <w:lang w:eastAsia="zh-CN"/>
        </w:rPr>
        <w:t>的软性（亲水性）日戴型接触镜是由美国</w:t>
      </w:r>
      <w:r>
        <w:rPr>
          <w:rFonts w:hint="eastAsia" w:ascii="Times New Roman" w:hAnsi="Times New Roman" w:eastAsia="宋体" w:cs="宋体"/>
          <w:lang w:eastAsia="zh-CN"/>
        </w:rPr>
        <w:t>药名选定</w:t>
      </w:r>
      <w:r>
        <w:rPr>
          <w:rFonts w:ascii="Times New Roman" w:hAnsi="Times New Roman" w:eastAsia="宋体" w:cs="宋体"/>
          <w:lang w:eastAsia="zh-CN"/>
        </w:rPr>
        <w:t>（USAN）委员会定义的polymacon、etafilcon A或hioxifilcon D聚合物材料制成的球面或复曲面</w:t>
      </w:r>
      <w:r>
        <w:rPr>
          <w:rFonts w:hint="eastAsia" w:ascii="Times New Roman" w:hAnsi="Times New Roman" w:eastAsia="宋体" w:cs="宋体"/>
          <w:lang w:eastAsia="zh-CN"/>
        </w:rPr>
        <w:t>接触镜</w:t>
      </w:r>
      <w:r>
        <w:rPr>
          <w:rFonts w:ascii="Times New Roman" w:hAnsi="Times New Roman" w:eastAsia="宋体" w:cs="宋体"/>
          <w:lang w:eastAsia="zh-CN"/>
        </w:rPr>
        <w:t>，包括相关的初级包装组件。</w:t>
      </w:r>
      <w:r>
        <w:rPr>
          <w:rFonts w:hint="eastAsia" w:ascii="Times New Roman" w:hAnsi="Times New Roman" w:eastAsia="宋体" w:cs="宋体"/>
          <w:lang w:eastAsia="zh-CN"/>
        </w:rPr>
        <w:t>所列</w:t>
      </w:r>
      <w:r>
        <w:rPr>
          <w:rFonts w:ascii="Times New Roman" w:hAnsi="Times New Roman" w:eastAsia="宋体" w:cs="宋体"/>
          <w:lang w:eastAsia="zh-CN"/>
        </w:rPr>
        <w:t>着色剂仅用于</w:t>
      </w:r>
      <w:r>
        <w:rPr>
          <w:rFonts w:hint="eastAsia" w:ascii="Times New Roman" w:hAnsi="Times New Roman" w:eastAsia="宋体" w:cs="宋体"/>
          <w:lang w:eastAsia="zh-CN"/>
        </w:rPr>
        <w:t>操作性</w:t>
      </w:r>
      <w:r>
        <w:rPr>
          <w:rFonts w:ascii="Times New Roman" w:hAnsi="Times New Roman" w:eastAsia="宋体" w:cs="宋体"/>
          <w:lang w:eastAsia="zh-CN"/>
        </w:rPr>
        <w:t>和可见</w:t>
      </w:r>
      <w:r>
        <w:rPr>
          <w:rFonts w:hint="eastAsia" w:ascii="Times New Roman" w:hAnsi="Times New Roman" w:eastAsia="宋体" w:cs="宋体"/>
          <w:lang w:eastAsia="zh-CN"/>
        </w:rPr>
        <w:t>性着色</w:t>
      </w:r>
      <w:r>
        <w:rPr>
          <w:rFonts w:ascii="Times New Roman" w:hAnsi="Times New Roman" w:eastAsia="宋体" w:cs="宋体"/>
          <w:lang w:eastAsia="zh-CN"/>
        </w:rPr>
        <w:t>。镜片设计为频繁更换</w:t>
      </w:r>
      <w:r>
        <w:rPr>
          <w:rFonts w:hint="eastAsia" w:ascii="Times New Roman" w:hAnsi="Times New Roman" w:eastAsia="宋体" w:cs="宋体"/>
          <w:lang w:eastAsia="zh-CN"/>
        </w:rPr>
        <w:t>型</w:t>
      </w:r>
      <w:r>
        <w:rPr>
          <w:rFonts w:ascii="Times New Roman" w:hAnsi="Times New Roman" w:eastAsia="宋体" w:cs="宋体"/>
          <w:lang w:eastAsia="zh-CN"/>
        </w:rPr>
        <w:t>或日抛型</w:t>
      </w:r>
      <w:r>
        <w:rPr>
          <w:rFonts w:hint="eastAsia" w:ascii="Times New Roman" w:hAnsi="Times New Roman" w:eastAsia="宋体" w:cs="宋体"/>
          <w:lang w:eastAsia="zh-CN"/>
        </w:rPr>
        <w:t>接触镜</w:t>
      </w:r>
      <w:r>
        <w:rPr>
          <w:rFonts w:ascii="Times New Roman" w:hAnsi="Times New Roman" w:eastAsia="宋体" w:cs="宋体"/>
          <w:lang w:eastAsia="zh-CN"/>
        </w:rPr>
        <w:t>。</w:t>
      </w:r>
    </w:p>
    <w:p w14:paraId="3CD52CB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请注意，本指南文件的范围不包括</w:t>
      </w:r>
      <w:r>
        <w:rPr>
          <w:rFonts w:hint="eastAsia" w:ascii="Times New Roman" w:hAnsi="Times New Roman" w:eastAsia="宋体" w:cs="宋体"/>
          <w:lang w:eastAsia="zh-CN"/>
        </w:rPr>
        <w:t>文中未明确</w:t>
      </w:r>
      <w:r>
        <w:rPr>
          <w:rFonts w:ascii="Times New Roman" w:hAnsi="Times New Roman" w:eastAsia="宋体" w:cs="宋体"/>
          <w:lang w:eastAsia="zh-CN"/>
        </w:rPr>
        <w:t>的软性接触镜材料或硬性透气性接触镜（21 CFR 886.5918）。</w:t>
      </w:r>
    </w:p>
    <w:p w14:paraId="5921EF7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具有以下特性的软性（亲水性）日戴型接触镜</w:t>
      </w:r>
      <w:r>
        <w:rPr>
          <w:rFonts w:ascii="Times New Roman" w:hAnsi="Times New Roman" w:eastAsia="宋体" w:cs="宋体"/>
          <w:u w:val="single"/>
          <w:lang w:eastAsia="zh-CN"/>
        </w:rPr>
        <w:t>不</w:t>
      </w:r>
      <w:r>
        <w:rPr>
          <w:rFonts w:ascii="Times New Roman" w:hAnsi="Times New Roman" w:eastAsia="宋体" w:cs="宋体"/>
          <w:lang w:eastAsia="zh-CN"/>
        </w:rPr>
        <w:t>符合本指南中安全和性能</w:t>
      </w:r>
      <w:r>
        <w:rPr>
          <w:rFonts w:hint="eastAsia" w:ascii="Times New Roman" w:hAnsi="Times New Roman" w:eastAsia="宋体" w:cs="宋体"/>
          <w:lang w:eastAsia="zh-CN"/>
        </w:rPr>
        <w:t>评估</w:t>
      </w:r>
      <w:r>
        <w:rPr>
          <w:rFonts w:ascii="Times New Roman" w:hAnsi="Times New Roman" w:eastAsia="宋体" w:cs="宋体"/>
          <w:lang w:eastAsia="zh-CN"/>
        </w:rPr>
        <w:t>的条件：</w:t>
      </w:r>
    </w:p>
    <w:p w14:paraId="05ED0A98">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并非由上述材料制成的镜片</w:t>
      </w:r>
    </w:p>
    <w:p w14:paraId="71BC1294">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由非聚合成分制成的镜片材料</w:t>
      </w:r>
    </w:p>
    <w:p w14:paraId="57219BCB">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含未列出着色剂的镜片材料</w:t>
      </w:r>
    </w:p>
    <w:p w14:paraId="3F62A778">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UV添加剂</w:t>
      </w:r>
      <w:r>
        <w:rPr>
          <w:rFonts w:hint="eastAsia" w:ascii="Times New Roman" w:hAnsi="Times New Roman" w:eastAsia="宋体" w:cs="宋体"/>
          <w:lang w:eastAsia="zh-CN"/>
        </w:rPr>
        <w:t>之</w:t>
      </w:r>
      <w:r>
        <w:rPr>
          <w:rFonts w:ascii="Times New Roman" w:hAnsi="Times New Roman" w:eastAsia="宋体" w:cs="宋体"/>
        </w:rPr>
        <w:t>前未</w:t>
      </w:r>
      <w:r>
        <w:rPr>
          <w:rFonts w:hint="eastAsia" w:ascii="Times New Roman" w:hAnsi="Times New Roman" w:eastAsia="宋体" w:cs="宋体"/>
          <w:lang w:eastAsia="zh-CN"/>
        </w:rPr>
        <w:t>用于</w:t>
      </w:r>
      <w:r>
        <w:rPr>
          <w:rFonts w:ascii="Times New Roman" w:hAnsi="Times New Roman" w:eastAsia="宋体" w:cs="宋体"/>
        </w:rPr>
        <w:t>polymacon、etafilcon A或hioxifilcon D材料的镜片</w:t>
      </w:r>
    </w:p>
    <w:p w14:paraId="46BF6F93">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带涂层的镜片，无论是直接涂覆还是间接涂覆（例如，通过浸入包装溶液中涂覆润湿剂）</w:t>
      </w:r>
    </w:p>
    <w:p w14:paraId="39283118">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具有特殊光学过滤能力（例如蓝光过滤）的镜片材料</w:t>
      </w:r>
    </w:p>
    <w:p w14:paraId="55F045A0">
      <w:pPr>
        <w:pStyle w:val="21"/>
        <w:numPr>
          <w:ilvl w:val="0"/>
          <w:numId w:val="2"/>
        </w:numPr>
        <w:adjustRightInd w:val="0"/>
        <w:snapToGrid w:val="0"/>
        <w:spacing w:before="36" w:beforeLines="15"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组合产品</w:t>
      </w:r>
    </w:p>
    <w:p w14:paraId="7DABF824">
      <w:pPr>
        <w:adjustRightInd w:val="0"/>
        <w:snapToGrid w:val="0"/>
        <w:spacing w:before="120" w:beforeLines="50" w:line="300" w:lineRule="auto"/>
        <w:jc w:val="both"/>
        <w:rPr>
          <w:rFonts w:ascii="Times New Roman" w:hAnsi="Times New Roman" w:eastAsia="宋体" w:cs="Times New Roman"/>
          <w:snapToGrid w:val="0"/>
          <w:lang w:eastAsia="zh-CN"/>
        </w:rPr>
      </w:pPr>
      <w:r>
        <w:rPr>
          <w:rFonts w:hint="eastAsia" w:ascii="Times New Roman" w:hAnsi="Times New Roman" w:eastAsia="宋体" w:cs="宋体"/>
          <w:lang w:eastAsia="zh-CN"/>
        </w:rPr>
        <w:t>关于</w:t>
      </w:r>
      <w:r>
        <w:rPr>
          <w:rFonts w:ascii="Times New Roman" w:hAnsi="Times New Roman" w:eastAsia="宋体" w:cs="宋体"/>
          <w:lang w:eastAsia="zh-CN"/>
        </w:rPr>
        <w:t>超出本</w:t>
      </w:r>
      <w:r>
        <w:rPr>
          <w:rFonts w:hint="eastAsia" w:ascii="Times New Roman" w:hAnsi="Times New Roman" w:eastAsia="宋体" w:cs="宋体"/>
          <w:lang w:eastAsia="zh-CN"/>
        </w:rPr>
        <w:t>指南文件</w:t>
      </w:r>
      <w:r>
        <w:rPr>
          <w:rFonts w:ascii="Times New Roman" w:hAnsi="Times New Roman" w:eastAsia="宋体" w:cs="宋体"/>
          <w:lang w:eastAsia="zh-CN"/>
        </w:rPr>
        <w:t>安全和性能</w:t>
      </w:r>
      <w:r>
        <w:rPr>
          <w:rFonts w:hint="eastAsia" w:ascii="Times New Roman" w:hAnsi="Times New Roman" w:eastAsia="宋体" w:cs="宋体"/>
          <w:lang w:eastAsia="zh-CN"/>
        </w:rPr>
        <w:t>评估</w:t>
      </w:r>
      <w:r>
        <w:rPr>
          <w:rFonts w:ascii="Times New Roman" w:hAnsi="Times New Roman" w:eastAsia="宋体" w:cs="宋体"/>
          <w:lang w:eastAsia="zh-CN"/>
        </w:rPr>
        <w:t>范围</w:t>
      </w:r>
      <w:r>
        <w:rPr>
          <w:rFonts w:hint="eastAsia" w:ascii="Times New Roman" w:hAnsi="Times New Roman" w:eastAsia="宋体" w:cs="宋体"/>
          <w:lang w:eastAsia="zh-CN"/>
        </w:rPr>
        <w:t>的</w:t>
      </w:r>
      <w:r>
        <w:rPr>
          <w:rFonts w:ascii="Times New Roman" w:hAnsi="Times New Roman" w:eastAsia="宋体" w:cs="宋体"/>
          <w:lang w:eastAsia="zh-CN"/>
        </w:rPr>
        <w:t>软性（亲水性）日戴型接触镜</w:t>
      </w:r>
      <w:r>
        <w:rPr>
          <w:rFonts w:hint="eastAsia" w:ascii="Times New Roman" w:hAnsi="Times New Roman" w:eastAsia="宋体" w:cs="宋体"/>
          <w:lang w:eastAsia="zh-CN"/>
        </w:rPr>
        <w:t>的</w:t>
      </w:r>
      <w:r>
        <w:rPr>
          <w:rFonts w:ascii="Times New Roman" w:hAnsi="Times New Roman" w:eastAsia="宋体" w:cs="宋体"/>
          <w:lang w:eastAsia="zh-CN"/>
        </w:rPr>
        <w:t>510(k)申请（例如，标签）的</w:t>
      </w:r>
      <w:r>
        <w:rPr>
          <w:rFonts w:hint="eastAsia" w:ascii="Times New Roman" w:hAnsi="Times New Roman" w:eastAsia="宋体" w:cs="宋体"/>
          <w:lang w:eastAsia="zh-CN"/>
        </w:rPr>
        <w:t>通用</w:t>
      </w:r>
      <w:r>
        <w:rPr>
          <w:rFonts w:ascii="Times New Roman" w:hAnsi="Times New Roman" w:eastAsia="宋体" w:cs="宋体"/>
          <w:lang w:eastAsia="zh-CN"/>
        </w:rPr>
        <w:t>指南请参见其他FDA指南文件。</w:t>
      </w:r>
    </w:p>
    <w:p w14:paraId="495B884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在评价该器械是否适用于安全和性能</w:t>
      </w:r>
      <w:r>
        <w:rPr>
          <w:rFonts w:hint="eastAsia" w:ascii="Times New Roman" w:hAnsi="Times New Roman" w:eastAsia="宋体" w:cs="宋体"/>
          <w:lang w:eastAsia="zh-CN"/>
        </w:rPr>
        <w:t>评估</w:t>
      </w:r>
      <w:r>
        <w:rPr>
          <w:rFonts w:ascii="Times New Roman" w:hAnsi="Times New Roman" w:eastAsia="宋体" w:cs="宋体"/>
          <w:lang w:eastAsia="zh-CN"/>
        </w:rPr>
        <w:t>时，FDA可能会根据具体情况确定是否需要其他数据。如果确定需要执行本指南规定之外的额外试验，以确定该器械是否适合安全和性能</w:t>
      </w:r>
      <w:r>
        <w:rPr>
          <w:rFonts w:hint="eastAsia" w:ascii="Times New Roman" w:hAnsi="Times New Roman" w:eastAsia="宋体" w:cs="宋体"/>
          <w:lang w:eastAsia="zh-CN"/>
        </w:rPr>
        <w:t>的评估</w:t>
      </w:r>
      <w:r>
        <w:rPr>
          <w:rFonts w:ascii="Times New Roman" w:hAnsi="Times New Roman" w:eastAsia="宋体" w:cs="宋体"/>
          <w:lang w:eastAsia="zh-CN"/>
        </w:rPr>
        <w:t>，本机构建议申</w:t>
      </w:r>
      <w:r>
        <w:rPr>
          <w:rFonts w:hint="eastAsia" w:ascii="Times New Roman" w:hAnsi="Times New Roman" w:eastAsia="宋体" w:cs="宋体"/>
          <w:lang w:eastAsia="zh-CN"/>
        </w:rPr>
        <w:t>办</w:t>
      </w:r>
      <w:r>
        <w:rPr>
          <w:rFonts w:ascii="Times New Roman" w:hAnsi="Times New Roman" w:eastAsia="宋体" w:cs="宋体"/>
          <w:lang w:eastAsia="zh-CN"/>
        </w:rPr>
        <w:t>方提交预申请文件</w:t>
      </w:r>
      <w:r>
        <w:rPr>
          <w:rFonts w:ascii="Times New Roman" w:hAnsi="Times New Roman" w:eastAsia="宋体" w:cs="宋体"/>
          <w:vertAlign w:val="superscript"/>
          <w:lang w:eastAsia="zh-CN"/>
        </w:rPr>
        <w:t>4</w:t>
      </w:r>
      <w:r>
        <w:rPr>
          <w:rFonts w:ascii="Times New Roman" w:hAnsi="Times New Roman" w:eastAsia="宋体" w:cs="宋体"/>
          <w:lang w:eastAsia="zh-CN"/>
        </w:rPr>
        <w:t>，以便在提交510(k)申请之前与FDA进行讨论。</w:t>
      </w:r>
    </w:p>
    <w:p w14:paraId="578891F7">
      <w:pPr>
        <w:pStyle w:val="20"/>
        <w:rPr>
          <w:rFonts w:eastAsia="宋体"/>
          <w:lang w:eastAsia="zh-CN"/>
        </w:rPr>
      </w:pPr>
      <w:r>
        <w:rPr>
          <w:rFonts w:eastAsia="宋体" w:cs="宋体"/>
          <w:lang w:eastAsia="zh-CN"/>
        </w:rPr>
        <w:t>III.</w:t>
      </w:r>
      <w:r>
        <w:rPr>
          <w:rFonts w:eastAsia="宋体" w:cs="宋体"/>
          <w:lang w:eastAsia="zh-CN"/>
        </w:rPr>
        <w:tab/>
      </w:r>
      <w:r>
        <w:rPr>
          <w:rFonts w:eastAsia="宋体" w:cs="宋体"/>
          <w:lang w:eastAsia="zh-CN"/>
        </w:rPr>
        <w:t>试验性能标准</w:t>
      </w:r>
    </w:p>
    <w:p w14:paraId="2D54A013">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lang w:eastAsia="zh-CN"/>
        </w:rPr>
        <w:t>如果器械有资格通过安全和性能</w:t>
      </w:r>
      <w:r>
        <w:rPr>
          <w:rFonts w:hint="eastAsia" w:ascii="Times New Roman" w:hAnsi="Times New Roman" w:eastAsia="宋体" w:cs="宋体"/>
          <w:lang w:eastAsia="zh-CN"/>
        </w:rPr>
        <w:t>的评估</w:t>
      </w:r>
      <w:r>
        <w:rPr>
          <w:rFonts w:ascii="Times New Roman" w:hAnsi="Times New Roman" w:eastAsia="宋体" w:cs="宋体"/>
          <w:lang w:eastAsia="zh-CN"/>
        </w:rPr>
        <w:t>进行申报，并且选择使用该</w:t>
      </w:r>
      <w:r>
        <w:rPr>
          <w:rFonts w:hint="eastAsia" w:ascii="Times New Roman" w:hAnsi="Times New Roman" w:eastAsia="宋体" w:cs="宋体"/>
          <w:lang w:eastAsia="zh-CN"/>
        </w:rPr>
        <w:t>途径</w:t>
      </w:r>
      <w:r>
        <w:rPr>
          <w:rFonts w:ascii="Times New Roman" w:hAnsi="Times New Roman" w:eastAsia="宋体" w:cs="宋体"/>
          <w:lang w:eastAsia="zh-CN"/>
        </w:rPr>
        <w:t>，则无需提供与</w:t>
      </w:r>
      <w:r>
        <w:rPr>
          <w:rFonts w:hint="eastAsia" w:ascii="Times New Roman" w:hAnsi="Times New Roman" w:eastAsia="宋体" w:cs="宋体"/>
          <w:lang w:eastAsia="zh-CN"/>
        </w:rPr>
        <w:t>依法</w:t>
      </w:r>
      <w:r>
        <w:rPr>
          <w:rFonts w:ascii="Times New Roman" w:hAnsi="Times New Roman" w:eastAsia="宋体" w:cs="宋体"/>
          <w:lang w:eastAsia="zh-CN"/>
        </w:rPr>
        <w:t>上市的同品种器械的直接</w:t>
      </w:r>
      <w:r>
        <w:rPr>
          <w:rFonts w:hint="eastAsia" w:ascii="Times New Roman" w:hAnsi="Times New Roman" w:eastAsia="宋体" w:cs="宋体"/>
          <w:lang w:eastAsia="zh-CN"/>
        </w:rPr>
        <w:t>对比</w:t>
      </w:r>
      <w:r>
        <w:rPr>
          <w:rFonts w:ascii="Times New Roman" w:hAnsi="Times New Roman" w:eastAsia="宋体" w:cs="宋体"/>
          <w:lang w:eastAsia="zh-CN"/>
        </w:rPr>
        <w:t>试验来证明性能特征的实质等同性。为了确保本指南中概述的性能标准</w:t>
      </w:r>
      <w:r>
        <w:rPr>
          <w:rFonts w:hint="eastAsia" w:ascii="Times New Roman" w:hAnsi="Times New Roman" w:eastAsia="宋体" w:cs="宋体"/>
          <w:lang w:eastAsia="zh-CN"/>
        </w:rPr>
        <w:t>保持不变</w:t>
      </w:r>
      <w:r>
        <w:rPr>
          <w:rFonts w:ascii="Times New Roman" w:hAnsi="Times New Roman" w:eastAsia="宋体" w:cs="宋体"/>
          <w:lang w:eastAsia="zh-CN"/>
        </w:rPr>
        <w:t>，并考虑</w:t>
      </w:r>
      <w:r>
        <w:rPr>
          <w:rFonts w:hint="eastAsia" w:ascii="Times New Roman" w:hAnsi="Times New Roman" w:eastAsia="宋体" w:cs="宋体"/>
          <w:lang w:eastAsia="zh-CN"/>
        </w:rPr>
        <w:t>到</w:t>
      </w:r>
      <w:r>
        <w:rPr>
          <w:rFonts w:ascii="Times New Roman" w:hAnsi="Times New Roman" w:eastAsia="宋体" w:cs="宋体"/>
          <w:lang w:eastAsia="zh-CN"/>
        </w:rPr>
        <w:t>近期许可的相关数据，FDA建议</w:t>
      </w:r>
      <w:r>
        <w:rPr>
          <w:rFonts w:hint="eastAsia" w:ascii="Times New Roman" w:hAnsi="Times New Roman" w:eastAsia="宋体" w:cs="宋体"/>
          <w:lang w:eastAsia="zh-CN"/>
        </w:rPr>
        <w:t>除了为以下</w:t>
      </w:r>
      <w:r>
        <w:rPr>
          <w:rFonts w:ascii="Times New Roman" w:hAnsi="Times New Roman" w:eastAsia="宋体" w:cs="宋体"/>
          <w:lang w:eastAsia="zh-CN"/>
        </w:rPr>
        <w:t>每项试验或评价确定的其他</w:t>
      </w:r>
      <w:r>
        <w:rPr>
          <w:rFonts w:hint="eastAsia" w:ascii="Times New Roman" w:hAnsi="Times New Roman" w:eastAsia="宋体" w:cs="宋体"/>
          <w:lang w:eastAsia="zh-CN"/>
        </w:rPr>
        <w:t>提交</w:t>
      </w:r>
      <w:r>
        <w:rPr>
          <w:rFonts w:ascii="Times New Roman" w:hAnsi="Times New Roman" w:eastAsia="宋体" w:cs="宋体"/>
          <w:lang w:eastAsia="zh-CN"/>
        </w:rPr>
        <w:t>信息（例如符合性声明（DoC））</w:t>
      </w:r>
      <w:r>
        <w:rPr>
          <w:rFonts w:hint="eastAsia" w:ascii="Times New Roman" w:hAnsi="Times New Roman" w:eastAsia="宋体" w:cs="宋体"/>
          <w:lang w:eastAsia="zh-CN"/>
        </w:rPr>
        <w:t>外，还需</w:t>
      </w:r>
      <w:r>
        <w:rPr>
          <w:rFonts w:ascii="Times New Roman" w:hAnsi="Times New Roman" w:eastAsia="宋体" w:cs="宋体"/>
          <w:lang w:eastAsia="zh-CN"/>
        </w:rPr>
        <w:t>提供所有评价</w:t>
      </w:r>
      <w:r>
        <w:rPr>
          <w:rFonts w:hint="eastAsia" w:ascii="Times New Roman" w:hAnsi="Times New Roman" w:eastAsia="宋体" w:cs="宋体"/>
          <w:lang w:eastAsia="zh-CN"/>
        </w:rPr>
        <w:t>测试</w:t>
      </w:r>
      <w:r>
        <w:rPr>
          <w:rFonts w:ascii="Times New Roman" w:hAnsi="Times New Roman" w:eastAsia="宋体" w:cs="宋体"/>
          <w:lang w:eastAsia="zh-CN"/>
        </w:rPr>
        <w:t>的结果</w:t>
      </w:r>
      <w:r>
        <w:rPr>
          <w:rFonts w:hint="eastAsia" w:ascii="Times New Roman" w:hAnsi="Times New Roman" w:eastAsia="宋体" w:cs="宋体"/>
          <w:lang w:eastAsia="zh-CN"/>
        </w:rPr>
        <w:t>汇</w:t>
      </w:r>
      <w:r>
        <w:rPr>
          <w:rFonts w:ascii="Times New Roman" w:hAnsi="Times New Roman" w:eastAsia="宋体" w:cs="宋体"/>
          <w:lang w:eastAsia="zh-CN"/>
        </w:rPr>
        <w:t>总，。除非以下申请信息部分另有说明，否则应按照FDA指南《</w:t>
      </w:r>
      <w:r>
        <w:rPr>
          <w:rFonts w:ascii="Times New Roman" w:hAnsi="Times New Roman" w:eastAsia="宋体" w:cs="宋体"/>
          <w:color w:val="0000FF"/>
          <w:u w:val="single"/>
          <w:lang w:eastAsia="zh-CN"/>
        </w:rPr>
        <w:t>安全和性能</w:t>
      </w:r>
      <w:r>
        <w:rPr>
          <w:rFonts w:hint="eastAsia" w:ascii="Times New Roman" w:hAnsi="Times New Roman" w:eastAsia="宋体" w:cs="宋体"/>
          <w:color w:val="0000FF"/>
          <w:u w:val="single"/>
          <w:lang w:eastAsia="zh-CN"/>
        </w:rPr>
        <w:t>评估</w:t>
      </w:r>
      <w:r>
        <w:rPr>
          <w:rFonts w:ascii="Times New Roman" w:hAnsi="Times New Roman" w:eastAsia="宋体" w:cs="宋体"/>
          <w:lang w:eastAsia="zh-CN"/>
        </w:rPr>
        <w:t>》</w:t>
      </w:r>
      <w:r>
        <w:rPr>
          <w:rFonts w:ascii="Times New Roman" w:hAnsi="Times New Roman" w:eastAsia="宋体" w:cs="宋体"/>
          <w:vertAlign w:val="superscript"/>
          <w:lang w:eastAsia="zh-CN"/>
        </w:rPr>
        <w:t>5</w:t>
      </w:r>
      <w:r>
        <w:rPr>
          <w:rFonts w:ascii="Times New Roman" w:hAnsi="Times New Roman" w:eastAsia="宋体" w:cs="宋体"/>
          <w:lang w:eastAsia="zh-CN"/>
        </w:rPr>
        <w:t>所述，将试验信息</w:t>
      </w:r>
      <w:r>
        <w:rPr>
          <w:rFonts w:hint="eastAsia" w:ascii="Times New Roman" w:hAnsi="Times New Roman" w:eastAsia="宋体" w:cs="宋体"/>
          <w:lang w:eastAsia="zh-CN"/>
        </w:rPr>
        <w:t>，</w:t>
      </w:r>
      <w:r>
        <w:rPr>
          <w:rFonts w:ascii="Times New Roman" w:hAnsi="Times New Roman" w:eastAsia="宋体" w:cs="宋体"/>
          <w:lang w:eastAsia="zh-CN"/>
        </w:rPr>
        <w:t>例如，结果</w:t>
      </w:r>
      <w:r>
        <w:rPr>
          <w:rFonts w:hint="eastAsia" w:ascii="Times New Roman" w:hAnsi="Times New Roman" w:eastAsia="宋体" w:cs="宋体"/>
          <w:lang w:eastAsia="zh-CN"/>
        </w:rPr>
        <w:t>汇</w:t>
      </w:r>
      <w:r>
        <w:rPr>
          <w:rFonts w:ascii="Times New Roman" w:hAnsi="Times New Roman" w:eastAsia="宋体" w:cs="宋体"/>
          <w:lang w:eastAsia="zh-CN"/>
        </w:rPr>
        <w:t>总、试验方案或完整试验报告作为510(k)</w:t>
      </w:r>
      <w:r>
        <w:rPr>
          <w:rFonts w:hint="eastAsia" w:ascii="Times New Roman" w:hAnsi="Times New Roman" w:eastAsia="宋体" w:cs="宋体"/>
          <w:lang w:eastAsia="zh-CN"/>
        </w:rPr>
        <w:t>递交</w:t>
      </w:r>
      <w:r>
        <w:rPr>
          <w:rFonts w:ascii="Times New Roman" w:hAnsi="Times New Roman" w:eastAsia="宋体" w:cs="宋体"/>
          <w:lang w:eastAsia="zh-CN"/>
        </w:rPr>
        <w:t>的一部分。如需了解关于非临床</w:t>
      </w:r>
      <w:r>
        <w:rPr>
          <w:rFonts w:hint="eastAsia" w:ascii="Times New Roman" w:hAnsi="Times New Roman" w:eastAsia="宋体" w:cs="宋体"/>
          <w:lang w:eastAsia="zh-CN"/>
        </w:rPr>
        <w:t>实验室试验</w:t>
      </w:r>
      <w:r>
        <w:rPr>
          <w:rFonts w:ascii="Times New Roman" w:hAnsi="Times New Roman" w:eastAsia="宋体" w:cs="宋体"/>
          <w:lang w:eastAsia="zh-CN"/>
        </w:rPr>
        <w:t>信息</w:t>
      </w:r>
      <w:r>
        <w:rPr>
          <w:rFonts w:hint="eastAsia" w:ascii="Times New Roman" w:hAnsi="Times New Roman" w:eastAsia="宋体" w:cs="宋体"/>
          <w:lang w:eastAsia="zh-CN"/>
        </w:rPr>
        <w:t>递交</w:t>
      </w:r>
      <w:r>
        <w:rPr>
          <w:rFonts w:ascii="Times New Roman" w:hAnsi="Times New Roman" w:eastAsia="宋体" w:cs="宋体"/>
          <w:lang w:eastAsia="zh-CN"/>
        </w:rPr>
        <w:t>的更多信息，</w:t>
      </w:r>
      <w:r>
        <w:rPr>
          <w:rFonts w:ascii="Times New Roman" w:hAnsi="Times New Roman" w:eastAsia="宋体" w:cs="宋体"/>
          <w:spacing w:val="-6"/>
          <w:lang w:eastAsia="zh-CN"/>
        </w:rPr>
        <w:t>请参见FDA指南《</w:t>
      </w:r>
      <w:r>
        <w:rPr>
          <w:rFonts w:ascii="Times New Roman" w:hAnsi="Times New Roman" w:eastAsia="宋体" w:cs="宋体"/>
          <w:color w:val="0000FF"/>
          <w:spacing w:val="-6"/>
          <w:u w:val="single"/>
          <w:lang w:eastAsia="zh-CN"/>
        </w:rPr>
        <w:t>上市前提交材料中非临床实验室性能试验信息的建议内容和格式</w:t>
      </w:r>
      <w:r>
        <w:rPr>
          <w:rFonts w:ascii="Times New Roman" w:hAnsi="Times New Roman" w:eastAsia="宋体" w:cs="宋体"/>
          <w:spacing w:val="-6"/>
          <w:lang w:eastAsia="zh-CN"/>
        </w:rPr>
        <w:t>》。</w:t>
      </w:r>
      <w:r>
        <w:rPr>
          <w:rFonts w:ascii="Times New Roman" w:hAnsi="Times New Roman" w:eastAsia="宋体" w:cs="宋体"/>
          <w:spacing w:val="-6"/>
          <w:vertAlign w:val="superscript"/>
        </w:rPr>
        <w:t>6</w:t>
      </w:r>
    </w:p>
    <w:p w14:paraId="05F9EAA6">
      <w:pPr>
        <w:pStyle w:val="18"/>
        <w:tabs>
          <w:tab w:val="left" w:pos="115"/>
        </w:tabs>
        <w:adjustRightInd w:val="0"/>
        <w:snapToGrid w:val="0"/>
        <w:spacing w:before="120" w:beforeLines="50" w:line="300" w:lineRule="auto"/>
        <w:jc w:val="both"/>
        <w:rPr>
          <w:rFonts w:eastAsia="宋体" w:cs="宋体"/>
          <w:color w:val="000000"/>
          <w:sz w:val="24"/>
          <w:lang w:eastAsia="zh-CN"/>
        </w:rPr>
      </w:pPr>
    </w:p>
    <w:p w14:paraId="4FA0A777">
      <w:pPr>
        <w:pStyle w:val="18"/>
        <w:tabs>
          <w:tab w:val="left" w:pos="115"/>
        </w:tabs>
        <w:adjustRightInd w:val="0"/>
        <w:snapToGrid w:val="0"/>
        <w:spacing w:before="120" w:beforeLines="50" w:line="300" w:lineRule="auto"/>
        <w:jc w:val="both"/>
        <w:rPr>
          <w:rFonts w:eastAsia="宋体" w:cs="宋体"/>
          <w:color w:val="000000"/>
          <w:sz w:val="24"/>
          <w:lang w:eastAsia="zh-CN"/>
        </w:rPr>
      </w:pPr>
    </w:p>
    <w:p w14:paraId="5FABA0CB">
      <w:pPr>
        <w:pStyle w:val="18"/>
        <w:tabs>
          <w:tab w:val="left" w:pos="115"/>
        </w:tabs>
        <w:adjustRightInd w:val="0"/>
        <w:snapToGrid w:val="0"/>
        <w:spacing w:before="120" w:beforeLines="50" w:line="300" w:lineRule="auto"/>
        <w:jc w:val="both"/>
        <w:rPr>
          <w:rFonts w:eastAsia="宋体"/>
          <w:snapToGrid w:val="0"/>
          <w:color w:val="000000"/>
          <w:sz w:val="24"/>
          <w:szCs w:val="24"/>
          <w:u w:val="none"/>
          <w:lang w:eastAsia="zh-CN"/>
        </w:rPr>
      </w:pPr>
      <w:r>
        <w:rPr>
          <w:rFonts w:eastAsia="宋体" w:cs="宋体"/>
          <w:color w:val="000000"/>
          <w:sz w:val="24"/>
        </w:rPr>
        <w:t>_____________________</w:t>
      </w:r>
    </w:p>
    <w:p w14:paraId="56447851">
      <w:pPr>
        <w:pStyle w:val="18"/>
        <w:tabs>
          <w:tab w:val="left" w:pos="115"/>
        </w:tabs>
        <w:adjustRightInd w:val="0"/>
        <w:snapToGrid w:val="0"/>
        <w:spacing w:before="36" w:beforeLines="15" w:line="276" w:lineRule="auto"/>
        <w:rPr>
          <w:rFonts w:eastAsia="宋体"/>
          <w:snapToGrid w:val="0"/>
          <w:sz w:val="21"/>
          <w:szCs w:val="21"/>
          <w:lang w:eastAsia="zh-CN"/>
        </w:rPr>
      </w:pPr>
      <w:r>
        <w:rPr>
          <w:rFonts w:eastAsia="宋体" w:cs="宋体"/>
          <w:color w:val="000000"/>
          <w:sz w:val="21"/>
          <w:u w:val="none"/>
          <w:vertAlign w:val="superscript"/>
        </w:rPr>
        <w:t>4</w:t>
      </w:r>
      <w:r>
        <w:rPr>
          <w:rFonts w:eastAsia="宋体" w:cs="宋体"/>
          <w:sz w:val="21"/>
          <w:u w:val="none"/>
        </w:rPr>
        <w:t xml:space="preserve"> </w:t>
      </w:r>
      <w:r>
        <w:rPr>
          <w:rFonts w:eastAsia="宋体" w:cs="宋体"/>
          <w:color w:val="000000"/>
          <w:sz w:val="21"/>
          <w:u w:val="none"/>
        </w:rPr>
        <w:t>可登录以下网址获取：</w:t>
      </w:r>
      <w:r>
        <w:fldChar w:fldCharType="begin"/>
      </w:r>
      <w:r>
        <w:instrText xml:space="preserve"> HYPERLINK "https://www.fda.gov/regulatory-information/search-fda-guidance-documents/%20requests-feedback-and-%20meetings-medical-device-submissions-q-submission-program" </w:instrText>
      </w:r>
      <w:r>
        <w:fldChar w:fldCharType="separate"/>
      </w:r>
      <w:r>
        <w:rPr>
          <w:rStyle w:val="8"/>
          <w:rFonts w:eastAsia="宋体" w:cs="宋体"/>
          <w:snapToGrid w:val="0"/>
          <w:sz w:val="21"/>
          <w:szCs w:val="21"/>
        </w:rPr>
        <w:t>https://www.fda.gov/regulatory-information/search-fda-guidance-documents/</w:t>
      </w:r>
      <w:r>
        <w:rPr>
          <w:rStyle w:val="8"/>
          <w:rFonts w:hint="eastAsia" w:eastAsia="宋体" w:cs="宋体"/>
          <w:snapToGrid w:val="0"/>
          <w:sz w:val="21"/>
          <w:szCs w:val="21"/>
          <w:lang w:eastAsia="zh-CN"/>
        </w:rPr>
        <w:t xml:space="preserve"> </w:t>
      </w:r>
      <w:r>
        <w:rPr>
          <w:rStyle w:val="8"/>
          <w:rFonts w:eastAsia="宋体" w:cs="宋体"/>
          <w:snapToGrid w:val="0"/>
          <w:sz w:val="21"/>
          <w:szCs w:val="21"/>
        </w:rPr>
        <w:t>requests-feedback-and- meetings-medical-device-submissions-q-submission-program</w:t>
      </w:r>
      <w:r>
        <w:rPr>
          <w:rStyle w:val="8"/>
          <w:rFonts w:eastAsia="宋体" w:cs="宋体"/>
          <w:snapToGrid w:val="0"/>
          <w:sz w:val="21"/>
          <w:szCs w:val="21"/>
        </w:rPr>
        <w:fldChar w:fldCharType="end"/>
      </w:r>
      <w:r>
        <w:rPr>
          <w:rFonts w:eastAsia="宋体" w:cs="宋体"/>
          <w:sz w:val="21"/>
        </w:rPr>
        <w:t>。</w:t>
      </w:r>
    </w:p>
    <w:p w14:paraId="1BC89CD6">
      <w:pPr>
        <w:pStyle w:val="18"/>
        <w:tabs>
          <w:tab w:val="left" w:pos="125"/>
        </w:tabs>
        <w:adjustRightInd w:val="0"/>
        <w:snapToGrid w:val="0"/>
        <w:spacing w:before="36" w:beforeLines="15" w:line="276" w:lineRule="auto"/>
        <w:rPr>
          <w:rFonts w:eastAsia="宋体"/>
          <w:snapToGrid w:val="0"/>
          <w:sz w:val="21"/>
          <w:szCs w:val="21"/>
        </w:rPr>
      </w:pPr>
      <w:r>
        <w:rPr>
          <w:rFonts w:eastAsia="宋体" w:cs="宋体"/>
          <w:color w:val="000000"/>
          <w:sz w:val="21"/>
          <w:u w:val="none"/>
          <w:vertAlign w:val="superscript"/>
        </w:rPr>
        <w:t>5</w:t>
      </w:r>
      <w:r>
        <w:rPr>
          <w:rFonts w:eastAsia="宋体" w:cs="宋体"/>
          <w:sz w:val="21"/>
          <w:u w:val="none"/>
        </w:rPr>
        <w:t xml:space="preserve"> </w:t>
      </w:r>
      <w:r>
        <w:rPr>
          <w:rFonts w:eastAsia="宋体" w:cs="宋体"/>
          <w:sz w:val="21"/>
          <w:u w:val="none"/>
        </w:rPr>
        <w:tab/>
      </w:r>
      <w:r>
        <w:rPr>
          <w:rFonts w:eastAsia="宋体" w:cs="宋体"/>
          <w:color w:val="000000"/>
          <w:sz w:val="21"/>
          <w:u w:val="none"/>
        </w:rPr>
        <w:t>可登录以下网址获取：</w:t>
      </w:r>
      <w:r>
        <w:fldChar w:fldCharType="begin"/>
      </w:r>
      <w:r>
        <w:instrText xml:space="preserve"> HYPERLINK "https://www.fda.gov/regulatory-information/search-fda-guidance-documents/%20safety-and-performance-based-pathway" </w:instrText>
      </w:r>
      <w:r>
        <w:fldChar w:fldCharType="separate"/>
      </w:r>
      <w:r>
        <w:rPr>
          <w:rStyle w:val="8"/>
          <w:rFonts w:eastAsia="宋体" w:cs="宋体"/>
          <w:snapToGrid w:val="0"/>
          <w:sz w:val="21"/>
          <w:szCs w:val="21"/>
        </w:rPr>
        <w:t>https://www.fda.gov/regulatory-information/search-fda-guidance-documents/</w:t>
      </w:r>
      <w:r>
        <w:rPr>
          <w:rStyle w:val="8"/>
          <w:rFonts w:hint="eastAsia" w:eastAsia="宋体" w:cs="宋体"/>
          <w:snapToGrid w:val="0"/>
          <w:sz w:val="21"/>
          <w:szCs w:val="21"/>
          <w:lang w:eastAsia="zh-CN"/>
        </w:rPr>
        <w:t xml:space="preserve"> </w:t>
      </w:r>
      <w:r>
        <w:rPr>
          <w:rStyle w:val="8"/>
          <w:rFonts w:eastAsia="宋体" w:cs="宋体"/>
          <w:snapToGrid w:val="0"/>
          <w:sz w:val="21"/>
          <w:szCs w:val="21"/>
        </w:rPr>
        <w:t>safety-and-performance-based-pathway</w:t>
      </w:r>
      <w:r>
        <w:rPr>
          <w:rStyle w:val="8"/>
          <w:rFonts w:eastAsia="宋体" w:cs="宋体"/>
          <w:snapToGrid w:val="0"/>
          <w:sz w:val="21"/>
          <w:szCs w:val="21"/>
        </w:rPr>
        <w:fldChar w:fldCharType="end"/>
      </w:r>
      <w:r>
        <w:rPr>
          <w:rFonts w:eastAsia="宋体" w:cs="宋体"/>
          <w:sz w:val="21"/>
        </w:rPr>
        <w:t>。</w:t>
      </w:r>
    </w:p>
    <w:p w14:paraId="405ED2C8">
      <w:pPr>
        <w:adjustRightInd w:val="0"/>
        <w:snapToGrid w:val="0"/>
        <w:spacing w:before="120" w:beforeLines="50" w:line="288" w:lineRule="auto"/>
        <w:rPr>
          <w:rStyle w:val="8"/>
          <w:rFonts w:ascii="Times New Roman" w:hAnsi="Times New Roman"/>
        </w:rPr>
      </w:pPr>
      <w:r>
        <w:rPr>
          <w:rFonts w:eastAsia="宋体" w:cs="宋体"/>
          <w:sz w:val="21"/>
          <w:vertAlign w:val="superscript"/>
        </w:rPr>
        <w:t>6</w:t>
      </w:r>
      <w:r>
        <w:rPr>
          <w:rFonts w:eastAsia="宋体" w:cs="宋体"/>
          <w:sz w:val="21"/>
        </w:rPr>
        <w:t xml:space="preserve"> 可登录以下网址获取：</w:t>
      </w:r>
      <w:r>
        <w:fldChar w:fldCharType="begin"/>
      </w:r>
      <w:r>
        <w:instrText xml:space="preserve"> HYPERLINK "https://www.fda.gov/regulatory-information/search-fda-guidance-documents/%20recommended-%20content-" </w:instrText>
      </w:r>
      <w:r>
        <w:fldChar w:fldCharType="separate"/>
      </w:r>
      <w:r>
        <w:rPr>
          <w:rStyle w:val="8"/>
          <w:rFonts w:ascii="Times New Roman" w:hAnsi="Times New Roman"/>
        </w:rPr>
        <w:t>https://www.fda.gov/regulatory-information/search-fda-guidance-documents/</w:t>
      </w:r>
      <w:r>
        <w:rPr>
          <w:rStyle w:val="8"/>
          <w:rFonts w:hint="eastAsia" w:ascii="Times New Roman" w:hAnsi="Times New Roman"/>
        </w:rPr>
        <w:t xml:space="preserve"> </w:t>
      </w:r>
      <w:r>
        <w:rPr>
          <w:rStyle w:val="8"/>
          <w:rFonts w:ascii="Times New Roman" w:hAnsi="Times New Roman"/>
        </w:rPr>
        <w:t>recommended- content-</w:t>
      </w:r>
      <w:r>
        <w:rPr>
          <w:rStyle w:val="8"/>
          <w:rFonts w:ascii="Times New Roman" w:hAnsi="Times New Roman"/>
        </w:rPr>
        <w:fldChar w:fldCharType="end"/>
      </w:r>
      <w:r>
        <w:rPr>
          <w:rStyle w:val="8"/>
          <w:rFonts w:ascii="Times New Roman" w:hAnsi="Times New Roman"/>
        </w:rPr>
        <w:t xml:space="preserve"> </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8"/>
          <w:rFonts w:ascii="Times New Roman" w:hAnsi="Times New Roman"/>
        </w:rPr>
        <w:t>and-format-non-clinical-bench-performance-testing-information-premarket</w:t>
      </w:r>
      <w:r>
        <w:rPr>
          <w:rStyle w:val="8"/>
          <w:rFonts w:ascii="Times New Roman" w:hAnsi="Times New Roman"/>
        </w:rPr>
        <w:fldChar w:fldCharType="end"/>
      </w:r>
      <w:r>
        <w:rPr>
          <w:rStyle w:val="8"/>
          <w:rFonts w:ascii="Times New Roman" w:hAnsi="Times New Roman"/>
        </w:rPr>
        <w:t>。</w:t>
      </w:r>
    </w:p>
    <w:p w14:paraId="0C79DB48">
      <w:pPr>
        <w:adjustRightInd w:val="0"/>
        <w:snapToGrid w:val="0"/>
        <w:spacing w:before="120" w:beforeLines="50" w:line="288" w:lineRule="auto"/>
        <w:jc w:val="both"/>
        <w:rPr>
          <w:rStyle w:val="8"/>
          <w:rFonts w:ascii="Times New Roman" w:hAnsi="Times New Roman"/>
        </w:rPr>
      </w:pPr>
    </w:p>
    <w:p w14:paraId="39DE05BD">
      <w:pPr>
        <w:adjustRightInd w:val="0"/>
        <w:snapToGrid w:val="0"/>
        <w:spacing w:before="120" w:beforeLines="50" w:line="288" w:lineRule="auto"/>
        <w:jc w:val="both"/>
        <w:rPr>
          <w:rFonts w:eastAsia="宋体" w:cs="宋体"/>
          <w:sz w:val="21"/>
          <w:lang w:eastAsia="zh-CN"/>
        </w:rPr>
      </w:pPr>
    </w:p>
    <w:p w14:paraId="158F006D">
      <w:pPr>
        <w:adjustRightInd w:val="0"/>
        <w:snapToGrid w:val="0"/>
        <w:spacing w:before="120" w:beforeLines="50" w:line="288" w:lineRule="auto"/>
        <w:jc w:val="both"/>
        <w:rPr>
          <w:rFonts w:eastAsia="宋体" w:cs="宋体"/>
          <w:sz w:val="21"/>
          <w:lang w:eastAsia="zh-CN"/>
        </w:rPr>
      </w:pPr>
    </w:p>
    <w:p w14:paraId="19DCEA8F">
      <w:pPr>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b/>
          <w:u w:val="single"/>
          <w:lang w:eastAsia="zh-CN"/>
        </w:rPr>
        <w:t>理化和光学性</w:t>
      </w:r>
      <w:r>
        <w:rPr>
          <w:rFonts w:hint="eastAsia" w:ascii="Times New Roman" w:hAnsi="Times New Roman" w:eastAsia="宋体" w:cs="宋体"/>
          <w:b/>
          <w:u w:val="single"/>
          <w:lang w:eastAsia="zh-CN"/>
        </w:rPr>
        <w:t>能</w:t>
      </w:r>
    </w:p>
    <w:p w14:paraId="4B1F3F4C">
      <w:pPr>
        <w:tabs>
          <w:tab w:val="left" w:pos="715"/>
        </w:tabs>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1.</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光谱透过率（%）</w:t>
      </w:r>
    </w:p>
    <w:p w14:paraId="08CC2E2A">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1C13B5C9">
      <w:pPr>
        <w:pStyle w:val="21"/>
        <w:numPr>
          <w:ilvl w:val="0"/>
          <w:numId w:val="3"/>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lang w:eastAsia="zh-CN"/>
        </w:rPr>
        <w:t>ISO 18369-3，</w:t>
      </w:r>
      <w:r>
        <w:rPr>
          <w:rFonts w:ascii="Times New Roman" w:hAnsi="Times New Roman" w:eastAsia="宋体" w:cs="宋体"/>
          <w:iCs/>
          <w:lang w:eastAsia="zh-CN"/>
        </w:rPr>
        <w:t>眼科光学 - 接触镜 - 第3部分：测量方法</w:t>
      </w:r>
    </w:p>
    <w:p w14:paraId="3B31A029">
      <w:pPr>
        <w:pStyle w:val="21"/>
        <w:numPr>
          <w:ilvl w:val="0"/>
          <w:numId w:val="3"/>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iCs/>
          <w:lang w:eastAsia="zh-CN"/>
        </w:rPr>
        <w:t>ANSI Z 80.20美国眼科国家标准-接触镜-标准术语，公差，测量和物理化学性</w:t>
      </w:r>
      <w:r>
        <w:rPr>
          <w:rFonts w:hint="eastAsia" w:ascii="Times New Roman" w:hAnsi="Times New Roman" w:eastAsia="宋体" w:cs="宋体"/>
          <w:iCs/>
          <w:lang w:eastAsia="zh-CN"/>
        </w:rPr>
        <w:t>能</w:t>
      </w:r>
    </w:p>
    <w:p w14:paraId="79DA0AF3">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性能标准（Polymacon ）： 93 % ± 5 %</w:t>
      </w:r>
    </w:p>
    <w:p w14:paraId="3CE3061C">
      <w:pPr>
        <w:adjustRightInd w:val="0"/>
        <w:snapToGrid w:val="0"/>
        <w:spacing w:before="36" w:beforeLines="15" w:line="288" w:lineRule="auto"/>
        <w:ind w:left="708" w:leftChars="295"/>
        <w:jc w:val="both"/>
        <w:rPr>
          <w:rFonts w:ascii="Times New Roman" w:hAnsi="Times New Roman" w:eastAsia="宋体" w:cs="Times New Roman"/>
          <w:b/>
          <w:bCs/>
          <w:snapToGrid w:val="0"/>
          <w:lang w:eastAsia="zh-CN"/>
        </w:rPr>
      </w:pPr>
      <w:r>
        <w:rPr>
          <w:rFonts w:ascii="Times New Roman" w:hAnsi="Times New Roman" w:eastAsia="宋体" w:cs="宋体"/>
          <w:b/>
          <w:lang w:eastAsia="zh-CN"/>
        </w:rPr>
        <w:t>性能标准（etafilcon A ）： 94 % ± 5 %</w:t>
      </w:r>
    </w:p>
    <w:p w14:paraId="6C6E477F">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性能标准（hioxifilcon D ）： 96 % ± 5 %</w:t>
      </w:r>
    </w:p>
    <w:p w14:paraId="5DB9BF7B">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w:t>
      </w:r>
      <w:r>
        <w:rPr>
          <w:rFonts w:hint="eastAsia" w:ascii="Times New Roman" w:hAnsi="Times New Roman" w:eastAsia="宋体" w:cs="宋体"/>
          <w:lang w:eastAsia="zh-CN"/>
        </w:rPr>
        <w:t>；</w:t>
      </w:r>
      <w:r>
        <w:rPr>
          <w:rFonts w:ascii="Times New Roman" w:hAnsi="Times New Roman" w:eastAsia="宋体" w:cs="宋体"/>
          <w:lang w:eastAsia="zh-CN"/>
        </w:rPr>
        <w:t>以及ISO 18369-2</w:t>
      </w:r>
      <w:r>
        <w:rPr>
          <w:rFonts w:hint="eastAsia" w:ascii="Times New Roman" w:hAnsi="Times New Roman" w:eastAsia="宋体" w:cs="宋体"/>
          <w:lang w:eastAsia="zh-CN"/>
        </w:rPr>
        <w:t>:</w:t>
      </w:r>
      <w:r>
        <w:rPr>
          <w:rFonts w:ascii="Times New Roman" w:hAnsi="Times New Roman" w:eastAsia="宋体" w:cs="宋体"/>
          <w:lang w:eastAsia="zh-CN"/>
        </w:rPr>
        <w:t>2017眼科光学-接触镜-第2部分：公差和ANSIZ 80.20-2016公差。</w:t>
      </w:r>
    </w:p>
    <w:p w14:paraId="39F3C4B3">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结果</w:t>
      </w:r>
      <w:r>
        <w:rPr>
          <w:rFonts w:hint="eastAsia" w:ascii="Times New Roman" w:hAnsi="Times New Roman" w:eastAsia="宋体" w:cs="宋体"/>
          <w:lang w:eastAsia="zh-CN"/>
        </w:rPr>
        <w:t>汇</w:t>
      </w:r>
      <w:r>
        <w:rPr>
          <w:rFonts w:ascii="Times New Roman" w:hAnsi="Times New Roman" w:eastAsia="宋体" w:cs="宋体"/>
          <w:lang w:eastAsia="zh-CN"/>
        </w:rPr>
        <w:t>总和符合性声明（DoC）</w:t>
      </w:r>
    </w:p>
    <w:p w14:paraId="57CDD9E6">
      <w:pPr>
        <w:tabs>
          <w:tab w:val="left" w:pos="715"/>
        </w:tabs>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2.</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紫外透过率（%）</w:t>
      </w:r>
    </w:p>
    <w:p w14:paraId="0F2D225A">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518B8959">
      <w:pPr>
        <w:pStyle w:val="21"/>
        <w:numPr>
          <w:ilvl w:val="0"/>
          <w:numId w:val="4"/>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lang w:eastAsia="zh-CN"/>
        </w:rPr>
        <w:t>ISO 18369-3</w:t>
      </w:r>
      <w:r>
        <w:rPr>
          <w:rFonts w:ascii="Times New Roman" w:hAnsi="Times New Roman" w:eastAsia="宋体" w:cs="宋体"/>
          <w:iCs/>
          <w:lang w:eastAsia="zh-CN"/>
        </w:rPr>
        <w:t>眼科光学 - 接触镜 - 第3部分：测量方法</w:t>
      </w:r>
    </w:p>
    <w:p w14:paraId="7120ED13">
      <w:pPr>
        <w:pStyle w:val="21"/>
        <w:numPr>
          <w:ilvl w:val="0"/>
          <w:numId w:val="4"/>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iCs/>
          <w:lang w:eastAsia="zh-CN"/>
        </w:rPr>
        <w:t>ANSI Z 80.20美国眼科国家标准-接触镜-标准术语，公差，测量和物理化学性质</w:t>
      </w:r>
    </w:p>
    <w:p w14:paraId="1733F8A0">
      <w:pPr>
        <w:adjustRightInd w:val="0"/>
        <w:snapToGrid w:val="0"/>
        <w:spacing w:before="36" w:beforeLines="15" w:line="288" w:lineRule="auto"/>
        <w:ind w:left="708" w:leftChars="295"/>
        <w:jc w:val="both"/>
        <w:rPr>
          <w:rFonts w:ascii="Times New Roman" w:hAnsi="Times New Roman" w:eastAsia="宋体" w:cs="Times New Roman"/>
          <w:b/>
          <w:bCs/>
          <w:snapToGrid w:val="0"/>
          <w:lang w:eastAsia="zh-CN"/>
        </w:rPr>
      </w:pPr>
      <w:r>
        <w:rPr>
          <w:rFonts w:ascii="Times New Roman" w:hAnsi="Times New Roman" w:eastAsia="宋体" w:cs="宋体"/>
          <w:b/>
        </w:rPr>
        <w:t>性能标准（Polymacon）：τ</w:t>
      </w:r>
      <w:r>
        <w:rPr>
          <w:rFonts w:ascii="Times New Roman" w:hAnsi="Times New Roman" w:eastAsia="宋体" w:cs="宋体"/>
          <w:b/>
          <w:vertAlign w:val="subscript"/>
        </w:rPr>
        <w:t>UVB</w:t>
      </w:r>
      <w:r>
        <w:rPr>
          <w:rFonts w:ascii="Times New Roman" w:hAnsi="Times New Roman" w:eastAsia="宋体" w:cs="宋体"/>
          <w:b/>
        </w:rPr>
        <w:t xml:space="preserve"> &lt;0.05τV；τ</w:t>
      </w:r>
      <w:r>
        <w:rPr>
          <w:rFonts w:ascii="Times New Roman" w:hAnsi="Times New Roman" w:eastAsia="宋体" w:cs="宋体"/>
          <w:b/>
          <w:vertAlign w:val="subscript"/>
        </w:rPr>
        <w:t>UVA</w:t>
      </w:r>
      <w:r>
        <w:rPr>
          <w:rFonts w:ascii="Times New Roman" w:hAnsi="Times New Roman" w:eastAsia="宋体" w:cs="宋体"/>
          <w:b/>
        </w:rPr>
        <w:t>&lt;0.50τV</w:t>
      </w:r>
    </w:p>
    <w:p w14:paraId="3FD5DC61">
      <w:pPr>
        <w:adjustRightInd w:val="0"/>
        <w:snapToGrid w:val="0"/>
        <w:spacing w:before="36" w:beforeLines="15" w:line="288" w:lineRule="auto"/>
        <w:ind w:left="708" w:leftChars="295"/>
        <w:jc w:val="both"/>
        <w:rPr>
          <w:rFonts w:ascii="Times New Roman" w:hAnsi="Times New Roman" w:eastAsia="宋体" w:cs="Times New Roman"/>
          <w:b/>
          <w:bCs/>
          <w:snapToGrid w:val="0"/>
          <w:lang w:eastAsia="zh-CN"/>
        </w:rPr>
      </w:pPr>
      <w:r>
        <w:rPr>
          <w:rFonts w:ascii="Times New Roman" w:hAnsi="Times New Roman" w:eastAsia="宋体" w:cs="宋体"/>
          <w:b/>
        </w:rPr>
        <w:t>性能标准（etafilcon A）：τ</w:t>
      </w:r>
      <w:r>
        <w:rPr>
          <w:rFonts w:ascii="Times New Roman" w:hAnsi="Times New Roman" w:eastAsia="宋体" w:cs="宋体"/>
          <w:b/>
          <w:vertAlign w:val="subscript"/>
        </w:rPr>
        <w:t>UVB</w:t>
      </w:r>
      <w:r>
        <w:rPr>
          <w:rFonts w:ascii="Times New Roman" w:hAnsi="Times New Roman" w:eastAsia="宋体" w:cs="宋体"/>
          <w:b/>
        </w:rPr>
        <w:t xml:space="preserve"> &lt;0.05τV；τ</w:t>
      </w:r>
      <w:r>
        <w:rPr>
          <w:rFonts w:ascii="Times New Roman" w:hAnsi="Times New Roman" w:eastAsia="宋体" w:cs="宋体"/>
          <w:b/>
          <w:vertAlign w:val="subscript"/>
        </w:rPr>
        <w:t>UVA</w:t>
      </w:r>
      <w:r>
        <w:rPr>
          <w:rFonts w:ascii="Times New Roman" w:hAnsi="Times New Roman" w:eastAsia="宋体" w:cs="宋体"/>
          <w:b/>
        </w:rPr>
        <w:t>&lt;0.50τV</w:t>
      </w:r>
    </w:p>
    <w:p w14:paraId="0A744F4E">
      <w:pPr>
        <w:adjustRightInd w:val="0"/>
        <w:snapToGrid w:val="0"/>
        <w:spacing w:before="36" w:beforeLines="15" w:line="288" w:lineRule="auto"/>
        <w:ind w:left="708" w:leftChars="295"/>
        <w:jc w:val="both"/>
        <w:rPr>
          <w:rFonts w:ascii="Times New Roman" w:hAnsi="Times New Roman" w:eastAsia="宋体" w:cs="Times New Roman"/>
          <w:b/>
          <w:bCs/>
          <w:snapToGrid w:val="0"/>
          <w:lang w:eastAsia="zh-CN"/>
        </w:rPr>
      </w:pPr>
      <w:r>
        <w:rPr>
          <w:rFonts w:ascii="Times New Roman" w:hAnsi="Times New Roman" w:eastAsia="宋体" w:cs="宋体"/>
          <w:b/>
        </w:rPr>
        <w:t>性能标准（hioxifilcon D）：</w:t>
      </w:r>
      <w:bookmarkStart w:id="0" w:name="_Hlk95471447"/>
      <w:r>
        <w:rPr>
          <w:rFonts w:ascii="Times New Roman" w:hAnsi="Times New Roman" w:eastAsia="宋体" w:cs="宋体"/>
          <w:b/>
        </w:rPr>
        <w:t>τ</w:t>
      </w:r>
      <w:bookmarkEnd w:id="0"/>
      <w:r>
        <w:rPr>
          <w:rFonts w:ascii="Times New Roman" w:hAnsi="Times New Roman" w:eastAsia="宋体" w:cs="宋体"/>
          <w:b/>
          <w:vertAlign w:val="subscript"/>
        </w:rPr>
        <w:t>UVB</w:t>
      </w:r>
      <w:r>
        <w:rPr>
          <w:rFonts w:ascii="Times New Roman" w:hAnsi="Times New Roman" w:eastAsia="宋体" w:cs="宋体"/>
          <w:b/>
        </w:rPr>
        <w:t xml:space="preserve"> &lt;0.05τV；τ</w:t>
      </w:r>
      <w:r>
        <w:rPr>
          <w:rFonts w:ascii="Times New Roman" w:hAnsi="Times New Roman" w:eastAsia="宋体" w:cs="宋体"/>
          <w:b/>
          <w:vertAlign w:val="subscript"/>
        </w:rPr>
        <w:t>UVA</w:t>
      </w:r>
      <w:r>
        <w:rPr>
          <w:rFonts w:ascii="Times New Roman" w:hAnsi="Times New Roman" w:eastAsia="宋体" w:cs="宋体"/>
          <w:b/>
        </w:rPr>
        <w:t>&lt;0.50τV</w:t>
      </w:r>
    </w:p>
    <w:p w14:paraId="2B13238D">
      <w:pPr>
        <w:adjustRightInd w:val="0"/>
        <w:snapToGrid w:val="0"/>
        <w:spacing w:before="36" w:beforeLines="15" w:line="288" w:lineRule="auto"/>
        <w:ind w:left="708" w:leftChars="295"/>
        <w:jc w:val="both"/>
        <w:rPr>
          <w:rFonts w:ascii="Times New Roman" w:hAnsi="Times New Roman" w:eastAsia="宋体" w:cs="Times New Roman"/>
          <w:i/>
          <w:snapToGrid w:val="0"/>
          <w:lang w:eastAsia="zh-CN"/>
        </w:rPr>
      </w:pPr>
      <w:r>
        <w:rPr>
          <w:rFonts w:ascii="Times New Roman" w:hAnsi="Times New Roman" w:eastAsia="宋体" w:cs="宋体"/>
          <w:i/>
        </w:rPr>
        <w:t>τ</w:t>
      </w:r>
      <w:r>
        <w:rPr>
          <w:rFonts w:ascii="Times New Roman" w:hAnsi="Times New Roman" w:eastAsia="宋体" w:cs="宋体"/>
          <w:i/>
          <w:lang w:eastAsia="zh-CN"/>
        </w:rPr>
        <w:t>=接触镜光透</w:t>
      </w:r>
      <w:r>
        <w:rPr>
          <w:rFonts w:hint="eastAsia" w:ascii="Times New Roman" w:hAnsi="Times New Roman" w:eastAsia="宋体" w:cs="宋体"/>
          <w:i/>
          <w:lang w:eastAsia="zh-CN"/>
        </w:rPr>
        <w:t>过率</w:t>
      </w:r>
      <w:r>
        <w:rPr>
          <w:rFonts w:ascii="Times New Roman" w:hAnsi="Times New Roman" w:eastAsia="宋体" w:cs="宋体"/>
          <w:i/>
          <w:lang w:eastAsia="zh-CN"/>
        </w:rPr>
        <w:t>，</w:t>
      </w:r>
      <w:r>
        <w:rPr>
          <w:rFonts w:ascii="Times New Roman" w:hAnsi="Times New Roman" w:eastAsia="宋体" w:cs="宋体"/>
          <w:i/>
        </w:rPr>
        <w:t>τ</w:t>
      </w:r>
      <w:r>
        <w:rPr>
          <w:rFonts w:ascii="Times New Roman" w:hAnsi="Times New Roman" w:eastAsia="宋体" w:cs="宋体"/>
          <w:i/>
          <w:vertAlign w:val="subscript"/>
          <w:lang w:eastAsia="zh-CN"/>
        </w:rPr>
        <w:t>UVB</w:t>
      </w:r>
      <w:r>
        <w:rPr>
          <w:rFonts w:ascii="Times New Roman" w:hAnsi="Times New Roman" w:eastAsia="宋体" w:cs="宋体"/>
          <w:i/>
          <w:lang w:eastAsia="zh-CN"/>
        </w:rPr>
        <w:t xml:space="preserve"> 和</w:t>
      </w:r>
      <w:r>
        <w:rPr>
          <w:rFonts w:ascii="Times New Roman" w:hAnsi="Times New Roman" w:eastAsia="宋体" w:cs="宋体"/>
          <w:i/>
        </w:rPr>
        <w:t>τ</w:t>
      </w:r>
      <w:r>
        <w:rPr>
          <w:rFonts w:ascii="Times New Roman" w:hAnsi="Times New Roman" w:eastAsia="宋体" w:cs="宋体"/>
          <w:i/>
          <w:vertAlign w:val="subscript"/>
          <w:lang w:eastAsia="zh-CN"/>
        </w:rPr>
        <w:t>UVA</w:t>
      </w:r>
      <w:r>
        <w:rPr>
          <w:rFonts w:ascii="Times New Roman" w:hAnsi="Times New Roman" w:eastAsia="宋体" w:cs="宋体"/>
          <w:i/>
          <w:lang w:eastAsia="zh-CN"/>
        </w:rPr>
        <w:t xml:space="preserve"> 分别是接触镜在UVB（280nm-315nm）和UVA（316nm-380nm）波长上的紫外</w:t>
      </w:r>
      <w:r>
        <w:rPr>
          <w:rFonts w:hint="eastAsia" w:ascii="Times New Roman" w:hAnsi="Times New Roman" w:eastAsia="宋体" w:cs="宋体"/>
          <w:i/>
          <w:lang w:eastAsia="zh-CN"/>
        </w:rPr>
        <w:t>光谱</w:t>
      </w:r>
      <w:r>
        <w:rPr>
          <w:rFonts w:ascii="Times New Roman" w:hAnsi="Times New Roman" w:eastAsia="宋体" w:cs="宋体"/>
          <w:i/>
          <w:lang w:eastAsia="zh-CN"/>
        </w:rPr>
        <w:t>平均透</w:t>
      </w:r>
      <w:r>
        <w:rPr>
          <w:rFonts w:hint="eastAsia" w:ascii="Times New Roman" w:hAnsi="Times New Roman" w:eastAsia="宋体" w:cs="宋体"/>
          <w:i/>
          <w:lang w:eastAsia="zh-CN"/>
        </w:rPr>
        <w:t>过率</w:t>
      </w:r>
    </w:p>
    <w:p w14:paraId="1847A540">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ANSI Z 80.20-2016</w:t>
      </w:r>
    </w:p>
    <w:p w14:paraId="0F9B579A">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其他注意事项：</w:t>
      </w:r>
      <w:r>
        <w:rPr>
          <w:rFonts w:hint="eastAsia" w:ascii="Times New Roman" w:hAnsi="Times New Roman" w:eastAsia="宋体" w:cs="宋体"/>
          <w:lang w:eastAsia="zh-CN"/>
        </w:rPr>
        <w:t>仅</w:t>
      </w:r>
      <w:r>
        <w:rPr>
          <w:rFonts w:ascii="Times New Roman" w:hAnsi="Times New Roman" w:eastAsia="宋体" w:cs="宋体"/>
          <w:lang w:eastAsia="zh-CN"/>
        </w:rPr>
        <w:t>添加UV吸收剂的材料需要</w:t>
      </w:r>
    </w:p>
    <w:p w14:paraId="557C7022">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hint="eastAsia" w:ascii="Times New Roman" w:hAnsi="Times New Roman" w:eastAsia="宋体" w:cs="宋体"/>
          <w:b/>
          <w:lang w:eastAsia="zh-CN"/>
        </w:rPr>
        <w:t>提交</w:t>
      </w:r>
      <w:r>
        <w:rPr>
          <w:rFonts w:ascii="Times New Roman" w:hAnsi="Times New Roman" w:eastAsia="宋体" w:cs="宋体"/>
          <w:b/>
          <w:lang w:eastAsia="zh-CN"/>
        </w:rPr>
        <w:t>信息：</w:t>
      </w:r>
      <w:r>
        <w:rPr>
          <w:rFonts w:ascii="Times New Roman" w:hAnsi="Times New Roman" w:eastAsia="宋体" w:cs="宋体"/>
          <w:lang w:eastAsia="zh-CN"/>
        </w:rPr>
        <w:t>如果使用ISO 18369-3中规定的方法，则应提供</w:t>
      </w:r>
      <w:r>
        <w:rPr>
          <w:rFonts w:hint="eastAsia" w:ascii="Times New Roman" w:hAnsi="Times New Roman" w:eastAsia="宋体" w:cs="宋体"/>
          <w:lang w:eastAsia="zh-CN"/>
        </w:rPr>
        <w:t>符合性声明</w:t>
      </w:r>
      <w:r>
        <w:rPr>
          <w:rFonts w:ascii="Times New Roman" w:hAnsi="Times New Roman" w:eastAsia="宋体" w:cs="宋体"/>
          <w:lang w:eastAsia="zh-CN"/>
        </w:rPr>
        <w:t>和结果</w:t>
      </w:r>
      <w:r>
        <w:rPr>
          <w:rFonts w:hint="eastAsia" w:ascii="Times New Roman" w:hAnsi="Times New Roman" w:eastAsia="宋体" w:cs="宋体"/>
          <w:lang w:eastAsia="zh-CN"/>
        </w:rPr>
        <w:t>汇</w:t>
      </w:r>
      <w:r>
        <w:rPr>
          <w:rFonts w:ascii="Times New Roman" w:hAnsi="Times New Roman" w:eastAsia="宋体" w:cs="宋体"/>
          <w:lang w:eastAsia="zh-CN"/>
        </w:rPr>
        <w:t>总，如果使用ANSI Z80.20中规定的方法，则应提供结果</w:t>
      </w:r>
      <w:r>
        <w:rPr>
          <w:rFonts w:hint="eastAsia" w:ascii="Times New Roman" w:hAnsi="Times New Roman" w:eastAsia="宋体" w:cs="宋体"/>
          <w:lang w:eastAsia="zh-CN"/>
        </w:rPr>
        <w:t>汇</w:t>
      </w:r>
      <w:r>
        <w:rPr>
          <w:rFonts w:ascii="Times New Roman" w:hAnsi="Times New Roman" w:eastAsia="宋体" w:cs="宋体"/>
          <w:lang w:eastAsia="zh-CN"/>
        </w:rPr>
        <w:t>总</w:t>
      </w:r>
    </w:p>
    <w:p w14:paraId="21E6A33E">
      <w:pPr>
        <w:tabs>
          <w:tab w:val="left" w:pos="715"/>
        </w:tabs>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3.</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折射率</w:t>
      </w:r>
    </w:p>
    <w:p w14:paraId="281141AA">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3910DCD1">
      <w:pPr>
        <w:pStyle w:val="21"/>
        <w:numPr>
          <w:ilvl w:val="0"/>
          <w:numId w:val="5"/>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lang w:eastAsia="zh-CN"/>
        </w:rPr>
        <w:t>ISO 18369-4</w:t>
      </w:r>
      <w:r>
        <w:rPr>
          <w:rFonts w:ascii="Times New Roman" w:hAnsi="Times New Roman" w:eastAsia="宋体" w:cs="宋体"/>
          <w:iCs/>
          <w:lang w:eastAsia="zh-CN"/>
        </w:rPr>
        <w:t>眼科光学 - 接触镜 - 第4部分：接触镜材料的物理化学性质</w:t>
      </w:r>
    </w:p>
    <w:p w14:paraId="56F41165">
      <w:pPr>
        <w:pStyle w:val="21"/>
        <w:numPr>
          <w:ilvl w:val="0"/>
          <w:numId w:val="5"/>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iCs/>
          <w:lang w:eastAsia="zh-CN"/>
        </w:rPr>
        <w:t>ANSI Z 80.20美国眼科国家标准-接触镜-标准术语，公差，测量和物理化学性质</w:t>
      </w:r>
    </w:p>
    <w:p w14:paraId="139B9445">
      <w:pPr>
        <w:adjustRightInd w:val="0"/>
        <w:snapToGrid w:val="0"/>
        <w:spacing w:before="36" w:beforeLines="15" w:line="288" w:lineRule="auto"/>
        <w:ind w:firstLine="723" w:firstLineChars="300"/>
        <w:jc w:val="both"/>
        <w:rPr>
          <w:rFonts w:ascii="Times New Roman" w:hAnsi="Times New Roman" w:eastAsia="宋体" w:cs="Times New Roman"/>
          <w:b/>
          <w:bCs/>
          <w:snapToGrid w:val="0"/>
          <w:lang w:eastAsia="zh-CN"/>
        </w:rPr>
      </w:pPr>
      <w:r>
        <w:rPr>
          <w:rFonts w:ascii="Times New Roman" w:hAnsi="Times New Roman" w:eastAsia="宋体" w:cs="宋体"/>
          <w:b/>
          <w:lang w:eastAsia="zh-CN"/>
        </w:rPr>
        <w:t>性能标准（polymacon）：1.437 ± 0.005</w:t>
      </w:r>
    </w:p>
    <w:p w14:paraId="42E1C10F">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性能标准（etafilcon A）：1.402 ± 0.005</w:t>
      </w:r>
    </w:p>
    <w:p w14:paraId="69B83131">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性能标准（hioxifilcon D）：1.407 ± 0.005</w:t>
      </w:r>
    </w:p>
    <w:p w14:paraId="5A440F59">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标准基于之前具有实质等同性的510(k)申请中提交给FDA的汇总数据，以及ISO 18369-2:2017 眼科光学 - 接触镜 - 第2部分：公差。</w:t>
      </w:r>
    </w:p>
    <w:p w14:paraId="000DAE6A">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：结果</w:t>
      </w:r>
      <w:r>
        <w:rPr>
          <w:rFonts w:hint="eastAsia" w:ascii="Times New Roman" w:hAnsi="Times New Roman" w:eastAsia="宋体" w:cs="宋体"/>
          <w:lang w:eastAsia="zh-CN"/>
        </w:rPr>
        <w:t>汇总</w:t>
      </w:r>
      <w:r>
        <w:rPr>
          <w:rFonts w:ascii="Times New Roman" w:hAnsi="Times New Roman" w:eastAsia="宋体" w:cs="宋体"/>
          <w:lang w:eastAsia="zh-CN"/>
        </w:rPr>
        <w:t>和符合性声明</w:t>
      </w:r>
    </w:p>
    <w:p w14:paraId="27E8CD42">
      <w:pPr>
        <w:tabs>
          <w:tab w:val="left" w:pos="720"/>
        </w:tabs>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4.</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含水量（%）</w:t>
      </w:r>
    </w:p>
    <w:p w14:paraId="29173206">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79E6D782">
      <w:pPr>
        <w:pStyle w:val="21"/>
        <w:numPr>
          <w:ilvl w:val="0"/>
          <w:numId w:val="6"/>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ISO 18369-4眼科光学 - 接触镜 - 第4部分：接触镜材料的物理化学性质</w:t>
      </w:r>
    </w:p>
    <w:p w14:paraId="27E6936F">
      <w:pPr>
        <w:pStyle w:val="21"/>
        <w:numPr>
          <w:ilvl w:val="0"/>
          <w:numId w:val="6"/>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ANSI Z 80.20美国眼科国家标准-接触镜-标准术语，公差，测量和物理化学性质</w:t>
      </w:r>
    </w:p>
    <w:p w14:paraId="53B2D0E1">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性能标准（polymacon）： 38 ± 2%</w:t>
      </w:r>
    </w:p>
    <w:p w14:paraId="0E04337D">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性能标准（etafilcon A）： 58 ± 2%</w:t>
      </w:r>
    </w:p>
    <w:p w14:paraId="5237FD87">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性能标准（hioxifilcon D）： 54 ± 2%</w:t>
      </w:r>
    </w:p>
    <w:p w14:paraId="490609F2">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标准基于之前具有实质等同性的510(k)申请中提交给FDA的汇总数据，以及ISO 18369-2:2017 眼科光学 - 接触镜 - 第2部分：公差。</w:t>
      </w:r>
    </w:p>
    <w:p w14:paraId="07B863F5">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：结果</w:t>
      </w:r>
      <w:r>
        <w:rPr>
          <w:rFonts w:hint="eastAsia" w:ascii="Times New Roman" w:hAnsi="Times New Roman" w:eastAsia="宋体" w:cs="宋体"/>
          <w:lang w:eastAsia="zh-CN"/>
        </w:rPr>
        <w:t>汇</w:t>
      </w:r>
      <w:r>
        <w:rPr>
          <w:rFonts w:ascii="Times New Roman" w:hAnsi="Times New Roman" w:eastAsia="宋体" w:cs="宋体"/>
          <w:lang w:eastAsia="zh-CN"/>
        </w:rPr>
        <w:t>总和符合性声明</w:t>
      </w:r>
    </w:p>
    <w:p w14:paraId="47DF55B7">
      <w:pPr>
        <w:tabs>
          <w:tab w:val="left" w:pos="720"/>
        </w:tabs>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5.</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比重</w:t>
      </w:r>
    </w:p>
    <w:p w14:paraId="5DE831A8">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任何</w:t>
      </w:r>
      <w:r>
        <w:rPr>
          <w:rFonts w:hint="eastAsia" w:ascii="Times New Roman" w:hAnsi="Times New Roman" w:eastAsia="宋体" w:cs="宋体"/>
          <w:lang w:eastAsia="zh-CN"/>
        </w:rPr>
        <w:t>可接受的</w:t>
      </w:r>
      <w:r>
        <w:rPr>
          <w:rFonts w:ascii="Times New Roman" w:hAnsi="Times New Roman" w:eastAsia="宋体" w:cs="宋体"/>
          <w:lang w:eastAsia="zh-CN"/>
        </w:rPr>
        <w:t>标准方法</w:t>
      </w:r>
    </w:p>
    <w:p w14:paraId="2FC5F49E">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性能标准（polymacon）：1.124 ± 0.037</w:t>
      </w:r>
    </w:p>
    <w:p w14:paraId="58460B2B">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性能标准（etafilcon A）：1.062 ± 0.041</w:t>
      </w:r>
    </w:p>
    <w:p w14:paraId="12274C30">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性能标准（hioxifilcon D）：1.214 ± 0.094</w:t>
      </w:r>
    </w:p>
    <w:p w14:paraId="08A27F91">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w:t>
      </w:r>
    </w:p>
    <w:p w14:paraId="5D04A502">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hint="eastAsia" w:ascii="Times New Roman" w:hAnsi="Times New Roman" w:eastAsia="宋体" w:cs="宋体"/>
          <w:b/>
          <w:lang w:eastAsia="zh-CN"/>
        </w:rPr>
        <w:t>提交</w:t>
      </w:r>
      <w:r>
        <w:rPr>
          <w:rFonts w:ascii="Times New Roman" w:hAnsi="Times New Roman" w:eastAsia="宋体" w:cs="宋体"/>
          <w:b/>
          <w:lang w:eastAsia="zh-CN"/>
        </w:rPr>
        <w:t>信息：</w:t>
      </w:r>
      <w:r>
        <w:rPr>
          <w:rFonts w:ascii="Times New Roman" w:hAnsi="Times New Roman" w:eastAsia="宋体" w:cs="宋体"/>
          <w:lang w:eastAsia="zh-CN"/>
        </w:rPr>
        <w:t>完整试验报告</w:t>
      </w:r>
    </w:p>
    <w:p w14:paraId="163B1492">
      <w:pPr>
        <w:tabs>
          <w:tab w:val="left" w:pos="720"/>
        </w:tabs>
        <w:adjustRightInd w:val="0"/>
        <w:snapToGrid w:val="0"/>
        <w:spacing w:before="120" w:beforeLines="50" w:line="288"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6.</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透氧性（Dk或[cm</w:t>
      </w:r>
      <w:r>
        <w:rPr>
          <w:rFonts w:ascii="Times New Roman" w:hAnsi="Times New Roman" w:eastAsia="宋体" w:cs="宋体"/>
          <w:vertAlign w:val="superscript"/>
          <w:lang w:eastAsia="zh-CN"/>
        </w:rPr>
        <w:t>2</w:t>
      </w:r>
      <w:r>
        <w:rPr>
          <w:rFonts w:ascii="Times New Roman" w:hAnsi="Times New Roman" w:eastAsia="宋体" w:cs="宋体"/>
          <w:lang w:eastAsia="zh-CN"/>
        </w:rPr>
        <w:t>/s][ml O</w:t>
      </w:r>
      <w:r>
        <w:rPr>
          <w:rFonts w:ascii="Times New Roman" w:hAnsi="Times New Roman" w:eastAsia="宋体" w:cs="宋体"/>
          <w:vertAlign w:val="subscript"/>
          <w:lang w:eastAsia="zh-CN"/>
        </w:rPr>
        <w:t>2</w:t>
      </w:r>
      <w:r>
        <w:rPr>
          <w:rFonts w:ascii="Times New Roman" w:hAnsi="Times New Roman" w:eastAsia="宋体" w:cs="宋体"/>
          <w:lang w:eastAsia="zh-CN"/>
        </w:rPr>
        <w:t>/ml x mmHg]）</w:t>
      </w:r>
    </w:p>
    <w:p w14:paraId="7390EC85">
      <w:pPr>
        <w:adjustRightInd w:val="0"/>
        <w:snapToGrid w:val="0"/>
        <w:spacing w:before="36" w:beforeLines="15" w:line="288"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19CE8F19">
      <w:pPr>
        <w:pStyle w:val="21"/>
        <w:numPr>
          <w:ilvl w:val="0"/>
          <w:numId w:val="7"/>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lang w:eastAsia="zh-CN"/>
        </w:rPr>
        <w:t>ISO 18369-4</w:t>
      </w:r>
      <w:r>
        <w:rPr>
          <w:rFonts w:ascii="Times New Roman" w:hAnsi="Times New Roman" w:eastAsia="宋体" w:cs="宋体"/>
          <w:iCs/>
          <w:lang w:eastAsia="zh-CN"/>
        </w:rPr>
        <w:t>眼科光学 - 接触镜 - 第4部分：接触镜材料的物理化学性质</w:t>
      </w:r>
    </w:p>
    <w:p w14:paraId="24547166">
      <w:pPr>
        <w:pStyle w:val="21"/>
        <w:numPr>
          <w:ilvl w:val="0"/>
          <w:numId w:val="7"/>
        </w:numPr>
        <w:adjustRightInd w:val="0"/>
        <w:snapToGrid w:val="0"/>
        <w:spacing w:before="36" w:beforeLines="15" w:line="288"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iCs/>
          <w:lang w:eastAsia="zh-CN"/>
        </w:rPr>
        <w:t>ANSI Z 80.20美国眼科国家标准-接触镜-标准术语，公差，测量和物理化学性质</w:t>
      </w:r>
    </w:p>
    <w:p w14:paraId="568F1C30">
      <w:pPr>
        <w:adjustRightInd w:val="0"/>
        <w:snapToGrid w:val="0"/>
        <w:spacing w:before="36" w:beforeLines="15" w:line="288" w:lineRule="auto"/>
        <w:ind w:left="708" w:leftChars="295"/>
        <w:jc w:val="both"/>
        <w:rPr>
          <w:rFonts w:ascii="Times New Roman" w:hAnsi="Times New Roman" w:eastAsia="宋体" w:cs="Times New Roman"/>
          <w:snapToGrid w:val="0"/>
        </w:rPr>
      </w:pPr>
      <w:r>
        <w:rPr>
          <w:rFonts w:ascii="Times New Roman" w:hAnsi="Times New Roman" w:eastAsia="宋体" w:cs="宋体"/>
          <w:b/>
        </w:rPr>
        <w:t xml:space="preserve">性能标准（polymacon）：10.76 </w:t>
      </w:r>
      <w:r>
        <w:rPr>
          <w:rFonts w:ascii="Times New Roman" w:hAnsi="Times New Roman" w:eastAsia="宋体" w:cs="Times New Roman"/>
          <w:b/>
          <w:lang w:eastAsia="zh-CN"/>
        </w:rPr>
        <w:t>×</w:t>
      </w:r>
      <w:r>
        <w:rPr>
          <w:rFonts w:ascii="Times New Roman" w:hAnsi="Times New Roman" w:eastAsia="宋体" w:cs="宋体"/>
          <w:b/>
        </w:rPr>
        <w:t xml:space="preserve"> 10</w:t>
      </w:r>
      <w:r>
        <w:rPr>
          <w:rFonts w:ascii="Times New Roman" w:hAnsi="Times New Roman" w:eastAsia="宋体" w:cs="宋体"/>
          <w:b/>
          <w:vertAlign w:val="superscript"/>
        </w:rPr>
        <w:t>-11</w:t>
      </w:r>
      <w:r>
        <w:rPr>
          <w:rFonts w:ascii="Times New Roman" w:hAnsi="Times New Roman" w:eastAsia="宋体" w:cs="宋体"/>
          <w:b/>
        </w:rPr>
        <w:t xml:space="preserve"> ± 20%</w:t>
      </w:r>
    </w:p>
    <w:p w14:paraId="4B3937E0">
      <w:pPr>
        <w:adjustRightInd w:val="0"/>
        <w:snapToGrid w:val="0"/>
        <w:spacing w:before="36" w:beforeLines="15" w:line="288" w:lineRule="auto"/>
        <w:ind w:left="708" w:leftChars="295"/>
        <w:jc w:val="both"/>
        <w:rPr>
          <w:rFonts w:ascii="Times New Roman" w:hAnsi="Times New Roman" w:eastAsia="宋体" w:cs="Times New Roman"/>
          <w:snapToGrid w:val="0"/>
        </w:rPr>
      </w:pPr>
      <w:r>
        <w:rPr>
          <w:rFonts w:ascii="Times New Roman" w:hAnsi="Times New Roman" w:eastAsia="宋体" w:cs="宋体"/>
          <w:b/>
        </w:rPr>
        <w:t xml:space="preserve">性能标准（etafilcon A）：22.43 </w:t>
      </w:r>
      <w:r>
        <w:rPr>
          <w:rFonts w:ascii="Times New Roman" w:hAnsi="Times New Roman" w:eastAsia="宋体" w:cs="Times New Roman"/>
          <w:b/>
          <w:lang w:eastAsia="zh-CN"/>
        </w:rPr>
        <w:t>×</w:t>
      </w:r>
      <w:r>
        <w:rPr>
          <w:rFonts w:ascii="Times New Roman" w:hAnsi="Times New Roman" w:eastAsia="宋体" w:cs="宋体"/>
          <w:b/>
        </w:rPr>
        <w:t xml:space="preserve"> 10</w:t>
      </w:r>
      <w:r>
        <w:rPr>
          <w:rFonts w:ascii="Times New Roman" w:hAnsi="Times New Roman" w:eastAsia="宋体" w:cs="宋体"/>
          <w:b/>
          <w:vertAlign w:val="superscript"/>
        </w:rPr>
        <w:t>-11</w:t>
      </w:r>
      <w:r>
        <w:rPr>
          <w:rFonts w:ascii="Times New Roman" w:hAnsi="Times New Roman" w:eastAsia="宋体" w:cs="宋体"/>
          <w:b/>
        </w:rPr>
        <w:t xml:space="preserve"> ± 20%</w:t>
      </w:r>
    </w:p>
    <w:p w14:paraId="318EF09A">
      <w:pPr>
        <w:adjustRightInd w:val="0"/>
        <w:snapToGrid w:val="0"/>
        <w:spacing w:before="36" w:beforeLines="15" w:line="288" w:lineRule="auto"/>
        <w:ind w:firstLine="723" w:firstLineChars="300"/>
        <w:jc w:val="both"/>
        <w:rPr>
          <w:rFonts w:ascii="Times New Roman" w:hAnsi="Times New Roman" w:eastAsia="宋体" w:cs="Times New Roman"/>
          <w:snapToGrid w:val="0"/>
        </w:rPr>
      </w:pPr>
      <w:r>
        <w:rPr>
          <w:rFonts w:ascii="Times New Roman" w:hAnsi="Times New Roman" w:eastAsia="宋体" w:cs="宋体"/>
          <w:b/>
        </w:rPr>
        <w:t xml:space="preserve">性能标准（hioxifilcon D）：20.84 </w:t>
      </w:r>
      <w:r>
        <w:rPr>
          <w:rFonts w:ascii="Times New Roman" w:hAnsi="Times New Roman" w:eastAsia="宋体" w:cs="Times New Roman"/>
          <w:b/>
          <w:lang w:eastAsia="zh-CN"/>
        </w:rPr>
        <w:t>×</w:t>
      </w:r>
      <w:r>
        <w:rPr>
          <w:rFonts w:ascii="Times New Roman" w:hAnsi="Times New Roman" w:eastAsia="宋体" w:cs="宋体"/>
          <w:b/>
        </w:rPr>
        <w:t xml:space="preserve"> 10</w:t>
      </w:r>
      <w:r>
        <w:rPr>
          <w:rFonts w:ascii="Times New Roman" w:hAnsi="Times New Roman" w:eastAsia="宋体" w:cs="宋体"/>
          <w:b/>
          <w:vertAlign w:val="superscript"/>
        </w:rPr>
        <w:t>-11</w:t>
      </w:r>
      <w:r>
        <w:rPr>
          <w:rFonts w:ascii="Times New Roman" w:hAnsi="Times New Roman" w:eastAsia="宋体" w:cs="宋体"/>
          <w:b/>
        </w:rPr>
        <w:t xml:space="preserve"> ± 20%</w:t>
      </w:r>
    </w:p>
    <w:p w14:paraId="7F6249AE">
      <w:pPr>
        <w:rPr>
          <w:rFonts w:ascii="Times New Roman" w:hAnsi="Times New Roman" w:eastAsia="宋体" w:cs="Times New Roman"/>
          <w:snapToGrid w:val="0"/>
          <w:lang w:eastAsia="zh-CN"/>
        </w:rPr>
      </w:pPr>
      <w:r>
        <w:rPr>
          <w:rFonts w:hint="eastAsia" w:ascii="Times New Roman" w:hAnsi="Times New Roman" w:eastAsia="宋体" w:cs="宋体"/>
          <w:b/>
          <w:lang w:eastAsia="zh-CN"/>
        </w:rPr>
        <w:t xml:space="preserve"> </w:t>
      </w:r>
      <w:r>
        <w:rPr>
          <w:rFonts w:ascii="Times New Roman" w:hAnsi="Times New Roman" w:eastAsia="宋体" w:cs="宋体"/>
          <w:b/>
          <w:lang w:eastAsia="zh-CN"/>
        </w:rPr>
        <w:t xml:space="preserve">           性能标准来源：</w:t>
      </w:r>
      <w:r>
        <w:rPr>
          <w:rFonts w:ascii="Times New Roman" w:hAnsi="Times New Roman" w:eastAsia="宋体" w:cs="宋体"/>
          <w:lang w:eastAsia="zh-CN"/>
        </w:rPr>
        <w:t>标准基于之前具有实质等同性的510(k)申请中提交给FDA的汇总数据，以及ISO 18369-2:2017 眼科光学 - 接触镜 - 第2部分：公差。</w:t>
      </w:r>
    </w:p>
    <w:p w14:paraId="78B19B7B">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：结果</w:t>
      </w:r>
      <w:r>
        <w:rPr>
          <w:rFonts w:hint="eastAsia" w:ascii="Times New Roman" w:hAnsi="Times New Roman" w:eastAsia="宋体" w:cs="宋体"/>
          <w:lang w:eastAsia="zh-CN"/>
        </w:rPr>
        <w:t>汇</w:t>
      </w:r>
      <w:r>
        <w:rPr>
          <w:rFonts w:ascii="Times New Roman" w:hAnsi="Times New Roman" w:eastAsia="宋体" w:cs="宋体"/>
          <w:lang w:eastAsia="zh-CN"/>
        </w:rPr>
        <w:t>总和符合性声明</w:t>
      </w:r>
    </w:p>
    <w:p w14:paraId="50A6C6E0">
      <w:pPr>
        <w:tabs>
          <w:tab w:val="left" w:pos="718"/>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7.</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可沥滤物（水和</w:t>
      </w:r>
      <w:r>
        <w:rPr>
          <w:rFonts w:hint="eastAsia" w:ascii="Times New Roman" w:hAnsi="Times New Roman" w:eastAsia="宋体" w:cs="宋体"/>
          <w:lang w:eastAsia="zh-CN"/>
        </w:rPr>
        <w:t>正</w:t>
      </w:r>
      <w:r>
        <w:rPr>
          <w:rFonts w:ascii="Times New Roman" w:hAnsi="Times New Roman" w:eastAsia="宋体" w:cs="宋体"/>
          <w:lang w:eastAsia="zh-CN"/>
        </w:rPr>
        <w:t>己烷&lt; 1%）</w:t>
      </w:r>
    </w:p>
    <w:p w14:paraId="29286FB2">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0F51BDDC">
      <w:pPr>
        <w:pStyle w:val="21"/>
        <w:numPr>
          <w:ilvl w:val="0"/>
          <w:numId w:val="8"/>
        </w:numPr>
        <w:adjustRightInd w:val="0"/>
        <w:snapToGrid w:val="0"/>
        <w:spacing w:before="36" w:beforeLines="15" w:line="276"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lang w:eastAsia="zh-CN"/>
        </w:rPr>
        <w:t>ISO 18369-4</w:t>
      </w:r>
      <w:r>
        <w:rPr>
          <w:rFonts w:ascii="Times New Roman" w:hAnsi="Times New Roman" w:eastAsia="宋体" w:cs="宋体"/>
          <w:iCs/>
          <w:lang w:eastAsia="zh-CN"/>
        </w:rPr>
        <w:t>眼科光学 - 接触镜 - 第4部分：接触镜材料的物理化学性质</w:t>
      </w:r>
    </w:p>
    <w:p w14:paraId="4DED4B41">
      <w:pPr>
        <w:pStyle w:val="21"/>
        <w:numPr>
          <w:ilvl w:val="0"/>
          <w:numId w:val="8"/>
        </w:numPr>
        <w:adjustRightInd w:val="0"/>
        <w:snapToGrid w:val="0"/>
        <w:spacing w:before="36" w:beforeLines="15" w:line="276" w:lineRule="auto"/>
        <w:ind w:left="1560" w:firstLineChars="0"/>
        <w:jc w:val="both"/>
        <w:rPr>
          <w:rFonts w:ascii="Times New Roman" w:hAnsi="Times New Roman" w:eastAsia="宋体" w:cs="Times New Roman"/>
          <w:iCs/>
          <w:snapToGrid w:val="0"/>
          <w:lang w:eastAsia="zh-CN"/>
        </w:rPr>
      </w:pPr>
      <w:r>
        <w:rPr>
          <w:rFonts w:ascii="Times New Roman" w:hAnsi="Times New Roman" w:eastAsia="宋体" w:cs="宋体"/>
          <w:iCs/>
          <w:lang w:eastAsia="zh-CN"/>
        </w:rPr>
        <w:t>ANSI Z 80.20美国眼科国家标准-接触镜-标准术语，公差，测量和物理化学性质</w:t>
      </w:r>
    </w:p>
    <w:p w14:paraId="236CEE82">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性能标准（polymacon）：</w:t>
      </w:r>
      <w:r>
        <w:rPr>
          <w:rFonts w:hint="eastAsia" w:ascii="Times New Roman" w:hAnsi="Times New Roman" w:eastAsia="宋体" w:cs="宋体"/>
          <w:b/>
          <w:lang w:eastAsia="zh-CN"/>
        </w:rPr>
        <w:t>正</w:t>
      </w:r>
      <w:r>
        <w:rPr>
          <w:rFonts w:ascii="Times New Roman" w:hAnsi="Times New Roman" w:eastAsia="宋体" w:cs="宋体"/>
          <w:b/>
          <w:lang w:eastAsia="zh-CN"/>
        </w:rPr>
        <w:t>己烷和水可沥滤物&lt; 1%</w:t>
      </w:r>
    </w:p>
    <w:p w14:paraId="2506A84D">
      <w:pPr>
        <w:adjustRightInd w:val="0"/>
        <w:snapToGrid w:val="0"/>
        <w:spacing w:before="36" w:beforeLines="15" w:line="276" w:lineRule="auto"/>
        <w:ind w:left="708" w:leftChars="295"/>
        <w:jc w:val="both"/>
        <w:rPr>
          <w:rFonts w:ascii="Times New Roman" w:hAnsi="Times New Roman" w:eastAsia="宋体" w:cs="Times New Roman"/>
          <w:b/>
          <w:bCs/>
          <w:snapToGrid w:val="0"/>
          <w:lang w:eastAsia="zh-CN"/>
        </w:rPr>
      </w:pPr>
      <w:r>
        <w:rPr>
          <w:rFonts w:ascii="Times New Roman" w:hAnsi="Times New Roman" w:eastAsia="宋体" w:cs="宋体"/>
          <w:b/>
          <w:lang w:eastAsia="zh-CN"/>
        </w:rPr>
        <w:t>性能标准（etafilcon A）：</w:t>
      </w:r>
      <w:r>
        <w:rPr>
          <w:rFonts w:hint="eastAsia" w:ascii="Times New Roman" w:hAnsi="Times New Roman" w:eastAsia="宋体" w:cs="宋体"/>
          <w:b/>
          <w:lang w:eastAsia="zh-CN"/>
        </w:rPr>
        <w:t>正</w:t>
      </w:r>
      <w:r>
        <w:rPr>
          <w:rFonts w:ascii="Times New Roman" w:hAnsi="Times New Roman" w:eastAsia="宋体" w:cs="宋体"/>
          <w:b/>
          <w:lang w:eastAsia="zh-CN"/>
        </w:rPr>
        <w:t>己烷和水可沥滤物&lt; 1%</w:t>
      </w:r>
    </w:p>
    <w:p w14:paraId="0B7358DC">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性能标准（hioxifilcon D）：</w:t>
      </w:r>
      <w:r>
        <w:rPr>
          <w:rFonts w:hint="eastAsia" w:ascii="Times New Roman" w:hAnsi="Times New Roman" w:eastAsia="宋体" w:cs="宋体"/>
          <w:b/>
          <w:lang w:eastAsia="zh-CN"/>
        </w:rPr>
        <w:t>正</w:t>
      </w:r>
      <w:r>
        <w:rPr>
          <w:rFonts w:ascii="Times New Roman" w:hAnsi="Times New Roman" w:eastAsia="宋体" w:cs="宋体"/>
          <w:b/>
          <w:lang w:eastAsia="zh-CN"/>
        </w:rPr>
        <w:t>己烷和水可沥滤物&lt; 1%</w:t>
      </w:r>
    </w:p>
    <w:p w14:paraId="63249CF4">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w:t>
      </w:r>
    </w:p>
    <w:p w14:paraId="0EA61CDA">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：结果汇总和符合性声明</w:t>
      </w:r>
    </w:p>
    <w:p w14:paraId="15AD935E">
      <w:pPr>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b/>
          <w:u w:val="single"/>
          <w:lang w:eastAsia="zh-CN"/>
        </w:rPr>
        <w:t>机械性能</w:t>
      </w:r>
    </w:p>
    <w:p w14:paraId="3EFB2B28">
      <w:pPr>
        <w:tabs>
          <w:tab w:val="left" w:pos="718"/>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8.</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模量（MPa或N/mm</w:t>
      </w:r>
      <w:r>
        <w:rPr>
          <w:rFonts w:ascii="Times New Roman" w:hAnsi="Times New Roman" w:eastAsia="宋体" w:cs="宋体"/>
          <w:vertAlign w:val="superscript"/>
          <w:lang w:eastAsia="zh-CN"/>
        </w:rPr>
        <w:t>2</w:t>
      </w:r>
      <w:r>
        <w:rPr>
          <w:rFonts w:ascii="Times New Roman" w:hAnsi="Times New Roman" w:eastAsia="宋体" w:cs="宋体"/>
          <w:lang w:eastAsia="zh-CN"/>
        </w:rPr>
        <w:t>）</w:t>
      </w:r>
    </w:p>
    <w:p w14:paraId="44B3653D">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以下FDA当前认可的标准之一（如适用）：</w:t>
      </w:r>
    </w:p>
    <w:p w14:paraId="313FA87B">
      <w:pPr>
        <w:pStyle w:val="21"/>
        <w:numPr>
          <w:ilvl w:val="0"/>
          <w:numId w:val="9"/>
        </w:numPr>
        <w:adjustRightInd w:val="0"/>
        <w:snapToGrid w:val="0"/>
        <w:spacing w:before="120" w:beforeLines="50" w:line="276"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ASTM D882塑料薄膜拉伸性能标准试验方法</w:t>
      </w:r>
    </w:p>
    <w:p w14:paraId="722F4FEC">
      <w:pPr>
        <w:pStyle w:val="21"/>
        <w:numPr>
          <w:ilvl w:val="0"/>
          <w:numId w:val="9"/>
        </w:numPr>
        <w:adjustRightInd w:val="0"/>
        <w:snapToGrid w:val="0"/>
        <w:spacing w:before="120" w:beforeLines="50" w:line="276"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ANSI Z80.20 - 美国国家眼科标准 - 接触镜 - 标准术语、公差、测量和物理化学性质</w:t>
      </w:r>
    </w:p>
    <w:p w14:paraId="1C19F763">
      <w:pPr>
        <w:adjustRightInd w:val="0"/>
        <w:snapToGrid w:val="0"/>
        <w:spacing w:before="36" w:beforeLines="15" w:line="276" w:lineRule="auto"/>
        <w:ind w:left="708" w:leftChars="295"/>
        <w:jc w:val="both"/>
        <w:rPr>
          <w:rFonts w:ascii="Times New Roman" w:hAnsi="Times New Roman" w:eastAsia="宋体" w:cs="Times New Roman"/>
          <w:snapToGrid w:val="0"/>
        </w:rPr>
      </w:pPr>
      <w:r>
        <w:rPr>
          <w:rFonts w:ascii="Times New Roman" w:hAnsi="Times New Roman" w:eastAsia="宋体" w:cs="宋体"/>
          <w:b/>
        </w:rPr>
        <w:t>性能标准（polymacon）：0.62 ± 0.25 MPa</w:t>
      </w:r>
    </w:p>
    <w:p w14:paraId="2B34651C">
      <w:pPr>
        <w:adjustRightInd w:val="0"/>
        <w:snapToGrid w:val="0"/>
        <w:spacing w:before="36" w:beforeLines="15" w:line="276" w:lineRule="auto"/>
        <w:ind w:left="708" w:leftChars="295"/>
        <w:jc w:val="both"/>
        <w:rPr>
          <w:rFonts w:ascii="Times New Roman" w:hAnsi="Times New Roman" w:eastAsia="宋体" w:cs="Times New Roman"/>
          <w:snapToGrid w:val="0"/>
        </w:rPr>
      </w:pPr>
      <w:r>
        <w:rPr>
          <w:rFonts w:ascii="Times New Roman" w:hAnsi="Times New Roman" w:eastAsia="宋体" w:cs="宋体"/>
          <w:b/>
        </w:rPr>
        <w:t>性能标准（etafilcon A）：0.42 ± 0.09 MPa</w:t>
      </w:r>
    </w:p>
    <w:p w14:paraId="1417BC57">
      <w:pPr>
        <w:adjustRightInd w:val="0"/>
        <w:snapToGrid w:val="0"/>
        <w:spacing w:before="36" w:beforeLines="15" w:line="276" w:lineRule="auto"/>
        <w:ind w:left="708" w:leftChars="295"/>
        <w:jc w:val="both"/>
        <w:rPr>
          <w:rFonts w:ascii="Times New Roman" w:hAnsi="Times New Roman" w:eastAsia="宋体" w:cs="Times New Roman"/>
          <w:snapToGrid w:val="0"/>
        </w:rPr>
      </w:pPr>
      <w:r>
        <w:rPr>
          <w:rFonts w:ascii="Times New Roman" w:hAnsi="Times New Roman" w:eastAsia="宋体" w:cs="宋体"/>
          <w:b/>
        </w:rPr>
        <w:t>性能标准（hioxifilcon D）：0.36 ± 0.10 MPa</w:t>
      </w:r>
    </w:p>
    <w:p w14:paraId="6DA10EEC">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w:t>
      </w:r>
    </w:p>
    <w:p w14:paraId="56C67236">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：结果汇总和符合性声明</w:t>
      </w:r>
    </w:p>
    <w:p w14:paraId="161872D6">
      <w:pPr>
        <w:tabs>
          <w:tab w:val="left" w:pos="718"/>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9.</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拉</w:t>
      </w:r>
      <w:r>
        <w:rPr>
          <w:rFonts w:hint="eastAsia" w:ascii="Times New Roman" w:hAnsi="Times New Roman" w:eastAsia="宋体" w:cs="宋体"/>
          <w:lang w:eastAsia="zh-CN"/>
        </w:rPr>
        <w:t>伸</w:t>
      </w:r>
      <w:r>
        <w:rPr>
          <w:rFonts w:ascii="Times New Roman" w:hAnsi="Times New Roman" w:eastAsia="宋体" w:cs="宋体"/>
          <w:lang w:eastAsia="zh-CN"/>
        </w:rPr>
        <w:t>强度（MPa或N/mm</w:t>
      </w:r>
      <w:r>
        <w:rPr>
          <w:rFonts w:ascii="Times New Roman" w:hAnsi="Times New Roman" w:eastAsia="宋体" w:cs="宋体"/>
          <w:vertAlign w:val="superscript"/>
          <w:lang w:eastAsia="zh-CN"/>
        </w:rPr>
        <w:t>2</w:t>
      </w:r>
      <w:r>
        <w:rPr>
          <w:rFonts w:ascii="Times New Roman" w:hAnsi="Times New Roman" w:eastAsia="宋体" w:cs="宋体"/>
          <w:lang w:eastAsia="zh-CN"/>
        </w:rPr>
        <w:t>）</w:t>
      </w:r>
    </w:p>
    <w:p w14:paraId="42FA40D4">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ASTM D882 塑料薄膜拉伸性能标准试验方法</w:t>
      </w:r>
    </w:p>
    <w:p w14:paraId="1595CAA0">
      <w:pPr>
        <w:adjustRightInd w:val="0"/>
        <w:snapToGrid w:val="0"/>
        <w:spacing w:before="36" w:beforeLines="15" w:line="276" w:lineRule="auto"/>
        <w:ind w:left="708" w:leftChars="295"/>
        <w:jc w:val="both"/>
        <w:rPr>
          <w:rFonts w:ascii="Times New Roman" w:hAnsi="Times New Roman" w:eastAsia="宋体" w:cs="Times New Roman"/>
          <w:snapToGrid w:val="0"/>
        </w:rPr>
      </w:pPr>
      <w:r>
        <w:rPr>
          <w:rFonts w:ascii="Times New Roman" w:hAnsi="Times New Roman" w:eastAsia="宋体" w:cs="宋体"/>
          <w:b/>
        </w:rPr>
        <w:t>性能标准（polymacon）：0.63 ± 0.11 MPa</w:t>
      </w:r>
    </w:p>
    <w:p w14:paraId="2E8B2C26">
      <w:pPr>
        <w:adjustRightInd w:val="0"/>
        <w:snapToGrid w:val="0"/>
        <w:spacing w:before="36" w:beforeLines="15" w:line="276" w:lineRule="auto"/>
        <w:ind w:left="708" w:leftChars="295"/>
        <w:jc w:val="both"/>
        <w:rPr>
          <w:rFonts w:ascii="Times New Roman" w:hAnsi="Times New Roman" w:eastAsia="宋体" w:cs="Times New Roman"/>
          <w:snapToGrid w:val="0"/>
        </w:rPr>
      </w:pPr>
      <w:r>
        <w:rPr>
          <w:rFonts w:ascii="Times New Roman" w:hAnsi="Times New Roman" w:eastAsia="宋体" w:cs="宋体"/>
          <w:b/>
        </w:rPr>
        <w:t>性能标准（etafilcon A）：在0.07至0.41 MPa范围内</w:t>
      </w:r>
    </w:p>
    <w:p w14:paraId="2C298758">
      <w:pPr>
        <w:adjustRightInd w:val="0"/>
        <w:snapToGrid w:val="0"/>
        <w:spacing w:before="36" w:beforeLines="15" w:line="276" w:lineRule="auto"/>
        <w:ind w:left="708" w:leftChars="295"/>
        <w:jc w:val="both"/>
        <w:rPr>
          <w:rFonts w:ascii="Times New Roman" w:hAnsi="Times New Roman" w:eastAsia="宋体" w:cs="Times New Roman"/>
          <w:snapToGrid w:val="0"/>
        </w:rPr>
      </w:pPr>
      <w:r>
        <w:rPr>
          <w:rFonts w:ascii="Times New Roman" w:hAnsi="Times New Roman" w:eastAsia="宋体" w:cs="宋体"/>
          <w:b/>
        </w:rPr>
        <w:t>性能标准（hioxifilcon D）：0.65 ± 0.26 MPa</w:t>
      </w:r>
    </w:p>
    <w:p w14:paraId="20C38904">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w:t>
      </w:r>
      <w:r>
        <w:rPr>
          <w:rFonts w:ascii="Times New Roman" w:hAnsi="Times New Roman" w:eastAsia="宋体" w:cs="宋体"/>
          <w:b/>
          <w:lang w:eastAsia="zh-CN"/>
        </w:rPr>
        <w:t>提交信息</w:t>
      </w:r>
      <w:r>
        <w:rPr>
          <w:rFonts w:ascii="Times New Roman" w:hAnsi="Times New Roman" w:eastAsia="宋体" w:cs="宋体"/>
          <w:lang w:eastAsia="zh-CN"/>
        </w:rPr>
        <w:t>：结果汇总和符合性声明</w:t>
      </w:r>
    </w:p>
    <w:p w14:paraId="086C11EF">
      <w:pPr>
        <w:tabs>
          <w:tab w:val="left" w:pos="701"/>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10.</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断裂伸长率（%）</w:t>
      </w:r>
    </w:p>
    <w:p w14:paraId="34F8A922">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ASTM D882塑料薄膜拉伸性能标准试验方法</w:t>
      </w:r>
    </w:p>
    <w:p w14:paraId="427D56BE">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性能标准（polymacon）：240 ± 108%</w:t>
      </w:r>
    </w:p>
    <w:p w14:paraId="5D75853F">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性能标准（etafilcon A）：在50至340%范围内</w:t>
      </w:r>
    </w:p>
    <w:p w14:paraId="0085B402">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性能标准（hioxifilcon D）：249 ± 69%</w:t>
      </w:r>
    </w:p>
    <w:p w14:paraId="24575658">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标准基于之前具有实质等同性的510(k)申请中提交给FDA的汇总数据。</w:t>
      </w:r>
    </w:p>
    <w:p w14:paraId="4598287D">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申请信息：</w:t>
      </w:r>
      <w:r>
        <w:rPr>
          <w:rFonts w:ascii="Times New Roman" w:hAnsi="Times New Roman" w:eastAsia="宋体" w:cs="宋体"/>
          <w:lang w:eastAsia="zh-CN"/>
        </w:rPr>
        <w:t>结果</w:t>
      </w:r>
      <w:r>
        <w:rPr>
          <w:rFonts w:hint="eastAsia" w:ascii="Times New Roman" w:hAnsi="Times New Roman" w:eastAsia="宋体" w:cs="宋体"/>
          <w:lang w:eastAsia="zh-CN"/>
        </w:rPr>
        <w:t>汇</w:t>
      </w:r>
      <w:r>
        <w:rPr>
          <w:rFonts w:ascii="Times New Roman" w:hAnsi="Times New Roman" w:eastAsia="宋体" w:cs="宋体"/>
          <w:lang w:eastAsia="zh-CN"/>
        </w:rPr>
        <w:t>总和</w:t>
      </w:r>
      <w:r>
        <w:rPr>
          <w:rFonts w:hint="eastAsia" w:ascii="Times New Roman" w:hAnsi="Times New Roman" w:eastAsia="宋体" w:cs="宋体"/>
          <w:lang w:eastAsia="zh-CN"/>
        </w:rPr>
        <w:t>符合性声明</w:t>
      </w:r>
      <w:r>
        <w:rPr>
          <w:rFonts w:ascii="Times New Roman" w:hAnsi="Times New Roman" w:eastAsia="宋体" w:cs="宋体"/>
          <w:lang w:eastAsia="zh-CN"/>
        </w:rPr>
        <w:t>。</w:t>
      </w:r>
    </w:p>
    <w:p w14:paraId="7956236D">
      <w:pPr>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b/>
          <w:u w:val="single"/>
          <w:lang w:eastAsia="zh-CN"/>
        </w:rPr>
        <w:t>包装溶液</w:t>
      </w:r>
    </w:p>
    <w:p w14:paraId="789A1736">
      <w:pPr>
        <w:tabs>
          <w:tab w:val="left" w:pos="701"/>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11.</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包装溶液pH值</w:t>
      </w:r>
    </w:p>
    <w:p w14:paraId="4A797451">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任何</w:t>
      </w:r>
      <w:r>
        <w:rPr>
          <w:rFonts w:hint="eastAsia" w:ascii="Times New Roman" w:hAnsi="Times New Roman" w:eastAsia="宋体" w:cs="宋体"/>
          <w:lang w:eastAsia="zh-CN"/>
        </w:rPr>
        <w:t>可</w:t>
      </w:r>
      <w:r>
        <w:rPr>
          <w:rFonts w:ascii="Times New Roman" w:hAnsi="Times New Roman" w:eastAsia="宋体" w:cs="宋体"/>
          <w:lang w:eastAsia="zh-CN"/>
        </w:rPr>
        <w:t>接受的标准方法</w:t>
      </w:r>
    </w:p>
    <w:p w14:paraId="30703173">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性能标准（所有材料）：7.2 - 7.4</w:t>
      </w:r>
    </w:p>
    <w:p w14:paraId="5B25E370">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已批准的510(k)申请汇总</w:t>
      </w:r>
    </w:p>
    <w:p w14:paraId="579337A6">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申请信息：</w:t>
      </w:r>
      <w:r>
        <w:rPr>
          <w:rFonts w:ascii="Times New Roman" w:hAnsi="Times New Roman" w:eastAsia="宋体" w:cs="宋体"/>
          <w:lang w:eastAsia="zh-CN"/>
        </w:rPr>
        <w:t>结果</w:t>
      </w:r>
      <w:r>
        <w:rPr>
          <w:rFonts w:hint="eastAsia" w:ascii="Times New Roman" w:hAnsi="Times New Roman" w:eastAsia="宋体" w:cs="宋体"/>
          <w:lang w:eastAsia="zh-CN"/>
        </w:rPr>
        <w:t>汇</w:t>
      </w:r>
      <w:r>
        <w:rPr>
          <w:rFonts w:ascii="Times New Roman" w:hAnsi="Times New Roman" w:eastAsia="宋体" w:cs="宋体"/>
          <w:lang w:eastAsia="zh-CN"/>
        </w:rPr>
        <w:t>总</w:t>
      </w:r>
    </w:p>
    <w:p w14:paraId="45CAADBA">
      <w:pPr>
        <w:tabs>
          <w:tab w:val="left" w:pos="701"/>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12.</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包装溶液渗透压（osmol/kg）</w:t>
      </w:r>
    </w:p>
    <w:p w14:paraId="0B778AEC">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任何</w:t>
      </w:r>
      <w:r>
        <w:rPr>
          <w:rFonts w:hint="eastAsia" w:ascii="Times New Roman" w:hAnsi="Times New Roman" w:eastAsia="宋体" w:cs="宋体"/>
          <w:lang w:eastAsia="zh-CN"/>
        </w:rPr>
        <w:t>可</w:t>
      </w:r>
      <w:r>
        <w:rPr>
          <w:rFonts w:ascii="Times New Roman" w:hAnsi="Times New Roman" w:eastAsia="宋体" w:cs="宋体"/>
          <w:lang w:eastAsia="zh-CN"/>
        </w:rPr>
        <w:t>接受的标准方法</w:t>
      </w:r>
    </w:p>
    <w:p w14:paraId="041924C1">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性能标准（所有材料）：280-320 osmol/kg</w:t>
      </w:r>
    </w:p>
    <w:p w14:paraId="53A3A93F">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已批准的510(k)申请汇总</w:t>
      </w:r>
    </w:p>
    <w:p w14:paraId="48A0CB60">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申请信息：</w:t>
      </w:r>
      <w:r>
        <w:rPr>
          <w:rFonts w:ascii="Times New Roman" w:hAnsi="Times New Roman" w:eastAsia="宋体" w:cs="宋体"/>
          <w:lang w:eastAsia="zh-CN"/>
        </w:rPr>
        <w:t>结果</w:t>
      </w:r>
      <w:r>
        <w:rPr>
          <w:rFonts w:hint="eastAsia" w:ascii="Times New Roman" w:hAnsi="Times New Roman" w:eastAsia="宋体" w:cs="宋体"/>
          <w:lang w:eastAsia="zh-CN"/>
        </w:rPr>
        <w:t>汇</w:t>
      </w:r>
      <w:r>
        <w:rPr>
          <w:rFonts w:ascii="Times New Roman" w:hAnsi="Times New Roman" w:eastAsia="宋体" w:cs="宋体"/>
          <w:lang w:eastAsia="zh-CN"/>
        </w:rPr>
        <w:t>总</w:t>
      </w:r>
    </w:p>
    <w:p w14:paraId="5BA6F485">
      <w:pPr>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b/>
          <w:u w:val="single"/>
          <w:lang w:eastAsia="zh-CN"/>
        </w:rPr>
        <w:t>灭菌</w:t>
      </w:r>
    </w:p>
    <w:p w14:paraId="2EFF7992">
      <w:pPr>
        <w:tabs>
          <w:tab w:val="left" w:pos="701"/>
        </w:tabs>
        <w:adjustRightInd w:val="0"/>
        <w:snapToGrid w:val="0"/>
        <w:spacing w:before="120" w:beforeLines="50" w:line="276"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13.</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灭菌（标示为无菌的器械）</w:t>
      </w:r>
    </w:p>
    <w:p w14:paraId="19E7950E">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以下</w:t>
      </w:r>
      <w:r>
        <w:rPr>
          <w:rFonts w:hint="eastAsia" w:ascii="Times New Roman" w:hAnsi="Times New Roman" w:eastAsia="宋体" w:cs="宋体"/>
          <w:lang w:eastAsia="zh-CN"/>
        </w:rPr>
        <w:t>为</w:t>
      </w:r>
      <w:r>
        <w:rPr>
          <w:rFonts w:ascii="Times New Roman" w:hAnsi="Times New Roman" w:eastAsia="宋体" w:cs="宋体"/>
          <w:lang w:eastAsia="zh-CN"/>
        </w:rPr>
        <w:t>FDA目前认可的标准版本（如适用）：</w:t>
      </w:r>
    </w:p>
    <w:p w14:paraId="644E0AB5">
      <w:pPr>
        <w:pStyle w:val="21"/>
        <w:numPr>
          <w:ilvl w:val="0"/>
          <w:numId w:val="10"/>
        </w:numPr>
        <w:adjustRightInd w:val="0"/>
        <w:snapToGrid w:val="0"/>
        <w:spacing w:before="36" w:beforeLines="15" w:line="276"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ISO 17665-1</w:t>
      </w:r>
      <w:r>
        <w:rPr>
          <w:rFonts w:hint="eastAsia" w:ascii="Times New Roman" w:hAnsi="Times New Roman" w:eastAsia="宋体" w:cs="宋体"/>
          <w:lang w:eastAsia="zh-CN"/>
        </w:rPr>
        <w:t>医疗保健产品灭菌-湿热-第</w:t>
      </w:r>
      <w:r>
        <w:rPr>
          <w:rFonts w:ascii="Times New Roman" w:hAnsi="Times New Roman" w:eastAsia="宋体" w:cs="宋体"/>
          <w:lang w:eastAsia="zh-CN"/>
        </w:rPr>
        <w:t>1部分</w:t>
      </w:r>
      <w:r>
        <w:rPr>
          <w:rFonts w:hint="eastAsia" w:ascii="Times New Roman" w:hAnsi="Times New Roman" w:eastAsia="宋体" w:cs="宋体"/>
          <w:lang w:eastAsia="zh-CN"/>
        </w:rPr>
        <w:t>：</w:t>
      </w:r>
      <w:r>
        <w:rPr>
          <w:rFonts w:ascii="Times New Roman" w:hAnsi="Times New Roman" w:eastAsia="宋体" w:cs="宋体"/>
          <w:lang w:eastAsia="zh-CN"/>
        </w:rPr>
        <w:t>医疗器械灭菌过程的开发、确认和常规控制要求</w:t>
      </w:r>
    </w:p>
    <w:p w14:paraId="20FDACAE">
      <w:pPr>
        <w:pStyle w:val="21"/>
        <w:numPr>
          <w:ilvl w:val="0"/>
          <w:numId w:val="10"/>
        </w:numPr>
        <w:adjustRightInd w:val="0"/>
        <w:snapToGrid w:val="0"/>
        <w:spacing w:before="36" w:beforeLines="15" w:line="276"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ISO 11607-1最终灭菌医疗器械包装 - 第1部分：材料、无菌屏障系统和包装系统的要求</w:t>
      </w:r>
    </w:p>
    <w:p w14:paraId="3ED64A68">
      <w:pPr>
        <w:pStyle w:val="21"/>
        <w:numPr>
          <w:ilvl w:val="0"/>
          <w:numId w:val="10"/>
        </w:numPr>
        <w:adjustRightInd w:val="0"/>
        <w:snapToGrid w:val="0"/>
        <w:spacing w:before="36" w:beforeLines="15" w:line="276" w:lineRule="auto"/>
        <w:ind w:left="1560" w:firstLineChars="0"/>
        <w:jc w:val="both"/>
        <w:rPr>
          <w:rFonts w:ascii="Times New Roman" w:hAnsi="Times New Roman" w:eastAsia="宋体" w:cs="Times New Roman"/>
          <w:snapToGrid w:val="0"/>
          <w:lang w:eastAsia="zh-CN"/>
        </w:rPr>
      </w:pPr>
      <w:bookmarkStart w:id="1" w:name="OLE_LINK2"/>
      <w:bookmarkStart w:id="2" w:name="OLE_LINK1"/>
      <w:r>
        <w:rPr>
          <w:rFonts w:ascii="Times New Roman" w:hAnsi="Times New Roman" w:eastAsia="宋体" w:cs="宋体"/>
          <w:lang w:eastAsia="zh-CN"/>
        </w:rPr>
        <w:t>ISO 11607-2最终灭菌医疗器械包装 - 第2部分：成</w:t>
      </w:r>
      <w:r>
        <w:rPr>
          <w:rFonts w:hint="eastAsia" w:ascii="Times New Roman" w:hAnsi="Times New Roman" w:eastAsia="宋体" w:cs="宋体"/>
          <w:lang w:eastAsia="zh-CN"/>
        </w:rPr>
        <w:t>型</w:t>
      </w:r>
      <w:r>
        <w:rPr>
          <w:rFonts w:ascii="Times New Roman" w:hAnsi="Times New Roman" w:eastAsia="宋体" w:cs="宋体"/>
          <w:lang w:eastAsia="zh-CN"/>
        </w:rPr>
        <w:t>、密封和装配过程的确认要求</w:t>
      </w:r>
    </w:p>
    <w:bookmarkEnd w:id="1"/>
    <w:bookmarkEnd w:id="2"/>
    <w:p w14:paraId="3DF13E4A">
      <w:pPr>
        <w:adjustRightInd w:val="0"/>
        <w:snapToGrid w:val="0"/>
        <w:spacing w:before="36" w:beforeLines="15" w:line="276"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w:t>
      </w:r>
      <w:r>
        <w:rPr>
          <w:rFonts w:ascii="Times New Roman" w:hAnsi="Times New Roman" w:eastAsia="宋体" w:cs="宋体"/>
          <w:lang w:eastAsia="zh-CN"/>
        </w:rPr>
        <w:t>确认试验应证明器械的洁净度和无菌性达到10</w:t>
      </w:r>
      <w:r>
        <w:rPr>
          <w:rFonts w:ascii="Times New Roman" w:hAnsi="Times New Roman" w:eastAsia="宋体" w:cs="宋体"/>
          <w:vertAlign w:val="superscript"/>
          <w:lang w:eastAsia="zh-CN"/>
        </w:rPr>
        <w:t>-6</w:t>
      </w:r>
      <w:r>
        <w:rPr>
          <w:rFonts w:ascii="Times New Roman" w:hAnsi="Times New Roman" w:eastAsia="宋体" w:cs="宋体"/>
          <w:lang w:eastAsia="zh-CN"/>
        </w:rPr>
        <w:t>的无菌保证水平。应提供包装（无菌屏障系统）的描述及其如何保持器械无菌性，并描述ISO 11607-2</w:t>
      </w:r>
      <w:r>
        <w:rPr>
          <w:rFonts w:hint="eastAsia" w:ascii="Times New Roman" w:hAnsi="Times New Roman" w:eastAsia="宋体" w:cs="宋体"/>
          <w:lang w:eastAsia="zh-CN"/>
        </w:rPr>
        <w:t>中</w:t>
      </w:r>
      <w:r>
        <w:rPr>
          <w:rFonts w:ascii="Times New Roman" w:hAnsi="Times New Roman" w:eastAsia="宋体" w:cs="宋体"/>
          <w:lang w:eastAsia="zh-CN"/>
        </w:rPr>
        <w:t>规定的包装试验方法和包装试验数据。</w:t>
      </w:r>
    </w:p>
    <w:p w14:paraId="7F3A4DEB">
      <w:pPr>
        <w:adjustRightInd w:val="0"/>
        <w:snapToGrid w:val="0"/>
        <w:spacing w:before="36" w:beforeLines="15" w:line="276"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FDA指南：</w:t>
      </w:r>
    </w:p>
    <w:p w14:paraId="7ACC3777">
      <w:pPr>
        <w:pStyle w:val="21"/>
        <w:numPr>
          <w:ilvl w:val="0"/>
          <w:numId w:val="11"/>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w:t>
      </w:r>
      <w:r>
        <w:rPr>
          <w:rFonts w:ascii="Times New Roman" w:hAnsi="Times New Roman" w:eastAsia="宋体" w:cs="宋体"/>
          <w:color w:val="0000FF"/>
          <w:u w:val="single"/>
          <w:lang w:eastAsia="zh-CN"/>
        </w:rPr>
        <w:t>无菌器械上市前通知(510(k))申请中无菌信息的申请和审</w:t>
      </w:r>
      <w:r>
        <w:rPr>
          <w:rFonts w:hint="eastAsia" w:ascii="Times New Roman" w:hAnsi="Times New Roman" w:eastAsia="宋体" w:cs="宋体"/>
          <w:color w:val="0000FF"/>
          <w:u w:val="single"/>
          <w:lang w:eastAsia="zh-CN"/>
        </w:rPr>
        <w:t>查</w:t>
      </w:r>
      <w:r>
        <w:rPr>
          <w:rFonts w:ascii="Times New Roman" w:hAnsi="Times New Roman" w:eastAsia="宋体" w:cs="宋体"/>
          <w:lang w:eastAsia="zh-CN"/>
        </w:rPr>
        <w:t>》</w:t>
      </w:r>
      <w:r>
        <w:rPr>
          <w:rFonts w:ascii="Times New Roman" w:hAnsi="Times New Roman" w:eastAsia="宋体" w:cs="宋体"/>
          <w:vertAlign w:val="superscript"/>
          <w:lang w:eastAsia="zh-CN"/>
        </w:rPr>
        <w:t>7</w:t>
      </w:r>
    </w:p>
    <w:p w14:paraId="0778BD41">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其他注意事项：</w:t>
      </w:r>
      <w:r>
        <w:rPr>
          <w:rFonts w:ascii="Times New Roman" w:hAnsi="Times New Roman" w:eastAsia="宋体" w:cs="宋体"/>
          <w:lang w:eastAsia="zh-CN"/>
        </w:rPr>
        <w:t>请注意，对于本指南中考虑的器械，此类建议仅</w:t>
      </w:r>
      <w:r>
        <w:rPr>
          <w:rFonts w:hint="eastAsia" w:ascii="Times New Roman" w:hAnsi="Times New Roman" w:eastAsia="宋体" w:cs="宋体"/>
          <w:lang w:eastAsia="zh-CN"/>
        </w:rPr>
        <w:t>适用于</w:t>
      </w:r>
      <w:r>
        <w:rPr>
          <w:rFonts w:ascii="Times New Roman" w:hAnsi="Times New Roman" w:eastAsia="宋体" w:cs="宋体"/>
          <w:lang w:eastAsia="zh-CN"/>
        </w:rPr>
        <w:t>湿热灭菌</w:t>
      </w:r>
      <w:r>
        <w:rPr>
          <w:rFonts w:hint="eastAsia" w:ascii="Times New Roman" w:hAnsi="Times New Roman" w:eastAsia="宋体" w:cs="宋体"/>
          <w:lang w:eastAsia="zh-CN"/>
        </w:rPr>
        <w:t>方法</w:t>
      </w:r>
      <w:r>
        <w:rPr>
          <w:rFonts w:ascii="Times New Roman" w:hAnsi="Times New Roman" w:eastAsia="宋体" w:cs="宋体"/>
          <w:lang w:eastAsia="zh-CN"/>
        </w:rPr>
        <w:t>。任何其他灭菌方法（例如，环氧乙烷、辐</w:t>
      </w:r>
      <w:r>
        <w:rPr>
          <w:rFonts w:hint="eastAsia" w:ascii="Times New Roman" w:hAnsi="Times New Roman" w:eastAsia="宋体" w:cs="宋体"/>
          <w:lang w:eastAsia="zh-CN"/>
        </w:rPr>
        <w:t>照</w:t>
      </w:r>
      <w:r>
        <w:rPr>
          <w:rFonts w:ascii="Times New Roman" w:hAnsi="Times New Roman" w:eastAsia="宋体" w:cs="宋体"/>
          <w:lang w:eastAsia="zh-CN"/>
        </w:rPr>
        <w:t>或干热）均不在本指南的范围内。</w:t>
      </w:r>
    </w:p>
    <w:p w14:paraId="3E01252E">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hint="eastAsia" w:ascii="Times New Roman" w:hAnsi="Times New Roman" w:eastAsia="宋体" w:cs="宋体"/>
          <w:b/>
          <w:lang w:eastAsia="zh-CN"/>
        </w:rPr>
        <w:t>提交</w:t>
      </w:r>
      <w:r>
        <w:rPr>
          <w:rFonts w:ascii="Times New Roman" w:hAnsi="Times New Roman" w:eastAsia="宋体" w:cs="宋体"/>
          <w:b/>
          <w:lang w:eastAsia="zh-CN"/>
        </w:rPr>
        <w:t>信息：</w:t>
      </w:r>
      <w:r>
        <w:rPr>
          <w:rFonts w:ascii="Times New Roman" w:hAnsi="Times New Roman" w:eastAsia="宋体" w:cs="宋体"/>
          <w:lang w:eastAsia="zh-CN"/>
        </w:rPr>
        <w:t>如果使用</w:t>
      </w:r>
      <w:r>
        <w:rPr>
          <w:rFonts w:hint="eastAsia" w:ascii="Times New Roman" w:hAnsi="Times New Roman" w:eastAsia="宋体" w:cs="宋体"/>
          <w:lang w:eastAsia="zh-CN"/>
        </w:rPr>
        <w:t>已确</w:t>
      </w:r>
      <w:r>
        <w:rPr>
          <w:rFonts w:ascii="Times New Roman" w:hAnsi="Times New Roman" w:eastAsia="宋体" w:cs="宋体"/>
          <w:lang w:eastAsia="zh-CN"/>
        </w:rPr>
        <w:t>定的A类</w:t>
      </w:r>
      <w:r>
        <w:rPr>
          <w:rFonts w:hint="eastAsia" w:ascii="Times New Roman" w:hAnsi="Times New Roman" w:eastAsia="宋体" w:cs="宋体"/>
          <w:lang w:eastAsia="zh-CN"/>
        </w:rPr>
        <w:t>产品的</w:t>
      </w:r>
      <w:r>
        <w:rPr>
          <w:rFonts w:ascii="Times New Roman" w:hAnsi="Times New Roman" w:eastAsia="宋体" w:cs="宋体"/>
          <w:lang w:eastAsia="zh-CN"/>
        </w:rPr>
        <w:t>灭菌方法，应提供FDA指南《无菌器械上市前通知(510(k)申请中无菌性信息的申请和审查》第V.A.节中所述的信息；证明实质等同性无需使用确认数据本身。</w:t>
      </w:r>
    </w:p>
    <w:p w14:paraId="4CFC22E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u w:val="single"/>
          <w:lang w:eastAsia="zh-CN"/>
        </w:rPr>
        <w:t>生物相容性</w:t>
      </w:r>
    </w:p>
    <w:p w14:paraId="7FD33BBF">
      <w:pPr>
        <w:adjustRightInd w:val="0"/>
        <w:snapToGrid w:val="0"/>
        <w:spacing w:before="120" w:beforeLines="50" w:line="300" w:lineRule="auto"/>
        <w:jc w:val="both"/>
        <w:rPr>
          <w:rFonts w:ascii="Times New Roman" w:hAnsi="Times New Roman" w:eastAsia="宋体" w:cs="Times New Roman"/>
          <w:snapToGrid w:val="0"/>
          <w:lang w:eastAsia="zh-CN"/>
        </w:rPr>
      </w:pPr>
      <w:r>
        <w:rPr>
          <w:rFonts w:hint="eastAsia" w:ascii="Times New Roman" w:hAnsi="Times New Roman" w:eastAsia="宋体" w:cs="宋体"/>
          <w:lang w:eastAsia="zh-CN"/>
        </w:rPr>
        <w:t>对于</w:t>
      </w:r>
      <w:r>
        <w:rPr>
          <w:rFonts w:ascii="Times New Roman" w:hAnsi="Times New Roman" w:eastAsia="宋体" w:cs="宋体"/>
          <w:lang w:eastAsia="zh-CN"/>
        </w:rPr>
        <w:t>确定生物相容性终点，作为生物相容性评价的一部分，应使用CDRH指南《</w:t>
      </w:r>
      <w:r>
        <w:rPr>
          <w:rFonts w:ascii="Times New Roman" w:hAnsi="Times New Roman" w:eastAsia="宋体" w:cs="宋体"/>
          <w:color w:val="0000FF"/>
          <w:u w:val="single"/>
          <w:lang w:eastAsia="zh-CN"/>
        </w:rPr>
        <w:t>使用国际标准ISO 10993-1，医疗器械生物学评价 - 第1部分：风险管理过程中的评价与试验</w:t>
      </w:r>
      <w:r>
        <w:rPr>
          <w:rFonts w:ascii="Times New Roman" w:hAnsi="Times New Roman" w:eastAsia="宋体" w:cs="宋体"/>
          <w:lang w:eastAsia="zh-CN"/>
        </w:rPr>
        <w:t>》</w:t>
      </w:r>
      <w:r>
        <w:rPr>
          <w:rFonts w:ascii="Times New Roman" w:hAnsi="Times New Roman" w:eastAsia="宋体" w:cs="宋体"/>
          <w:vertAlign w:val="superscript"/>
          <w:lang w:eastAsia="zh-CN"/>
        </w:rPr>
        <w:t>8</w:t>
      </w:r>
      <w:r>
        <w:rPr>
          <w:rFonts w:ascii="Times New Roman" w:hAnsi="Times New Roman" w:eastAsia="宋体" w:cs="宋体"/>
          <w:lang w:eastAsia="zh-CN"/>
        </w:rPr>
        <w:t>附件A，简称为CDRH生物相容性指南。FDA认为本指南涵盖的器械被归类为具有“</w:t>
      </w:r>
      <w:r>
        <w:rPr>
          <w:rFonts w:hint="eastAsia" w:ascii="Times New Roman" w:hAnsi="Times New Roman" w:eastAsia="宋体" w:cs="宋体"/>
          <w:lang w:eastAsia="zh-CN"/>
        </w:rPr>
        <w:t>短期</w:t>
      </w:r>
      <w:r>
        <w:rPr>
          <w:rFonts w:ascii="Times New Roman" w:hAnsi="Times New Roman" w:eastAsia="宋体" w:cs="宋体"/>
          <w:lang w:eastAsia="zh-CN"/>
        </w:rPr>
        <w:t>”粘膜接触（</w:t>
      </w:r>
      <w:r>
        <w:rPr>
          <w:rFonts w:hint="eastAsia" w:ascii="Times New Roman" w:hAnsi="Times New Roman" w:eastAsia="宋体" w:cs="宋体"/>
          <w:lang w:eastAsia="zh-CN"/>
        </w:rPr>
        <w:t>≤</w:t>
      </w:r>
      <w:r>
        <w:rPr>
          <w:rFonts w:ascii="Times New Roman" w:hAnsi="Times New Roman" w:eastAsia="宋体" w:cs="宋体"/>
          <w:lang w:eastAsia="zh-CN"/>
        </w:rPr>
        <w:t xml:space="preserve"> 24小时）的“表面</w:t>
      </w:r>
      <w:r>
        <w:rPr>
          <w:rFonts w:hint="eastAsia" w:ascii="Times New Roman" w:hAnsi="Times New Roman" w:eastAsia="宋体" w:cs="宋体"/>
          <w:lang w:eastAsia="zh-CN"/>
        </w:rPr>
        <w:t>接触</w:t>
      </w:r>
      <w:r>
        <w:rPr>
          <w:rFonts w:ascii="Times New Roman" w:hAnsi="Times New Roman" w:eastAsia="宋体" w:cs="宋体"/>
          <w:lang w:eastAsia="zh-CN"/>
        </w:rPr>
        <w:t>器械”，应根据CDRH生物相容性指南附件A评估以下终点。</w:t>
      </w:r>
    </w:p>
    <w:p w14:paraId="65A8140F">
      <w:pPr>
        <w:pStyle w:val="21"/>
        <w:numPr>
          <w:ilvl w:val="0"/>
          <w:numId w:val="12"/>
        </w:numPr>
        <w:adjustRightInd w:val="0"/>
        <w:snapToGrid w:val="0"/>
        <w:spacing w:before="120" w:beforeLines="50" w:line="300" w:lineRule="auto"/>
        <w:ind w:left="1134" w:firstLineChars="0"/>
        <w:jc w:val="both"/>
        <w:rPr>
          <w:rFonts w:ascii="Times New Roman" w:hAnsi="Times New Roman" w:eastAsia="宋体" w:cs="Times New Roman"/>
          <w:snapToGrid w:val="0"/>
        </w:rPr>
      </w:pPr>
      <w:r>
        <w:rPr>
          <w:rFonts w:ascii="Times New Roman" w:hAnsi="Times New Roman" w:eastAsia="宋体" w:cs="宋体"/>
        </w:rPr>
        <w:t>细胞毒性</w:t>
      </w:r>
    </w:p>
    <w:p w14:paraId="7C165F15">
      <w:pPr>
        <w:pStyle w:val="21"/>
        <w:numPr>
          <w:ilvl w:val="0"/>
          <w:numId w:val="12"/>
        </w:numPr>
        <w:adjustRightInd w:val="0"/>
        <w:snapToGrid w:val="0"/>
        <w:spacing w:before="120" w:beforeLines="50" w:line="300" w:lineRule="auto"/>
        <w:ind w:left="1134" w:firstLineChars="0"/>
        <w:jc w:val="both"/>
        <w:rPr>
          <w:rFonts w:ascii="Times New Roman" w:hAnsi="Times New Roman" w:eastAsia="宋体" w:cs="Times New Roman"/>
          <w:snapToGrid w:val="0"/>
        </w:rPr>
      </w:pPr>
      <w:r>
        <w:rPr>
          <w:rFonts w:ascii="Times New Roman" w:hAnsi="Times New Roman" w:eastAsia="宋体" w:cs="宋体"/>
        </w:rPr>
        <w:t>致敏性</w:t>
      </w:r>
    </w:p>
    <w:p w14:paraId="014AAE74">
      <w:pPr>
        <w:pStyle w:val="21"/>
        <w:numPr>
          <w:ilvl w:val="0"/>
          <w:numId w:val="12"/>
        </w:numPr>
        <w:adjustRightInd w:val="0"/>
        <w:snapToGrid w:val="0"/>
        <w:spacing w:before="120" w:beforeLines="50" w:line="300" w:lineRule="auto"/>
        <w:ind w:left="1134" w:firstLineChars="0"/>
        <w:jc w:val="both"/>
        <w:rPr>
          <w:rFonts w:ascii="Times New Roman" w:hAnsi="Times New Roman" w:eastAsia="宋体" w:cs="Times New Roman"/>
          <w:snapToGrid w:val="0"/>
        </w:rPr>
      </w:pPr>
      <w:r>
        <w:rPr>
          <w:rFonts w:ascii="Times New Roman" w:hAnsi="Times New Roman" w:eastAsia="宋体" w:cs="宋体"/>
        </w:rPr>
        <w:t>眼部刺激</w:t>
      </w:r>
    </w:p>
    <w:p w14:paraId="29135B8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替代试验的依据：</w:t>
      </w:r>
      <w:r>
        <w:rPr>
          <w:rFonts w:ascii="Times New Roman" w:hAnsi="Times New Roman" w:eastAsia="宋体" w:cs="宋体"/>
          <w:lang w:eastAsia="zh-CN"/>
        </w:rPr>
        <w:t>如果申报器械采用与同品种器械相同的制造工艺，由同样的</w:t>
      </w:r>
      <w:r>
        <w:rPr>
          <w:rFonts w:hint="eastAsia" w:ascii="Times New Roman" w:hAnsi="Times New Roman" w:eastAsia="宋体" w:cs="宋体"/>
          <w:lang w:eastAsia="zh-CN"/>
        </w:rPr>
        <w:t>表面</w:t>
      </w:r>
      <w:r>
        <w:rPr>
          <w:rFonts w:ascii="Times New Roman" w:hAnsi="Times New Roman" w:eastAsia="宋体" w:cs="宋体"/>
          <w:lang w:eastAsia="zh-CN"/>
        </w:rPr>
        <w:t>空白</w:t>
      </w:r>
      <w:r>
        <w:rPr>
          <w:rFonts w:hint="eastAsia" w:ascii="Times New Roman" w:hAnsi="Times New Roman" w:eastAsia="宋体" w:cs="宋体"/>
          <w:lang w:eastAsia="zh-CN"/>
        </w:rPr>
        <w:t>的</w:t>
      </w:r>
      <w:r>
        <w:rPr>
          <w:rFonts w:ascii="Times New Roman" w:hAnsi="Times New Roman" w:eastAsia="宋体" w:cs="宋体"/>
          <w:lang w:eastAsia="zh-CN"/>
        </w:rPr>
        <w:t>聚合物圆片和相同的包装材料制成，且接触组织类型和持续时间与同品种器械相同，并且器械设计的任何变更</w:t>
      </w:r>
      <w:r>
        <w:rPr>
          <w:rFonts w:hint="eastAsia" w:ascii="Times New Roman" w:hAnsi="Times New Roman" w:eastAsia="宋体" w:cs="宋体"/>
          <w:lang w:eastAsia="zh-CN"/>
        </w:rPr>
        <w:t>预期</w:t>
      </w:r>
      <w:r>
        <w:rPr>
          <w:rFonts w:ascii="Times New Roman" w:hAnsi="Times New Roman" w:eastAsia="宋体" w:cs="宋体"/>
          <w:lang w:eastAsia="zh-CN"/>
        </w:rPr>
        <w:t>不会影响生物学反应，则通常足以确定与同品种器械</w:t>
      </w:r>
      <w:r>
        <w:rPr>
          <w:rFonts w:hint="eastAsia" w:ascii="Times New Roman" w:hAnsi="Times New Roman" w:eastAsia="宋体" w:cs="宋体"/>
          <w:lang w:eastAsia="zh-CN"/>
        </w:rPr>
        <w:t>的</w:t>
      </w:r>
      <w:r>
        <w:rPr>
          <w:rFonts w:ascii="Times New Roman" w:hAnsi="Times New Roman" w:eastAsia="宋体" w:cs="宋体"/>
          <w:lang w:eastAsia="zh-CN"/>
        </w:rPr>
        <w:t>生物相容性</w:t>
      </w:r>
      <w:r>
        <w:rPr>
          <w:rFonts w:hint="eastAsia" w:ascii="Times New Roman" w:hAnsi="Times New Roman" w:eastAsia="宋体" w:cs="宋体"/>
          <w:lang w:eastAsia="zh-CN"/>
        </w:rPr>
        <w:t>具有</w:t>
      </w:r>
      <w:r>
        <w:rPr>
          <w:rFonts w:ascii="Times New Roman" w:hAnsi="Times New Roman" w:eastAsia="宋体" w:cs="宋体"/>
          <w:lang w:eastAsia="zh-CN"/>
        </w:rPr>
        <w:t>实质等同</w:t>
      </w:r>
      <w:r>
        <w:rPr>
          <w:rFonts w:hint="eastAsia" w:ascii="Times New Roman" w:hAnsi="Times New Roman" w:eastAsia="宋体" w:cs="宋体"/>
          <w:lang w:eastAsia="zh-CN"/>
        </w:rPr>
        <w:t>性</w:t>
      </w:r>
      <w:r>
        <w:rPr>
          <w:rFonts w:ascii="Times New Roman" w:hAnsi="Times New Roman" w:eastAsia="宋体" w:cs="宋体"/>
          <w:lang w:eastAsia="zh-CN"/>
        </w:rPr>
        <w:t>。</w:t>
      </w:r>
    </w:p>
    <w:p w14:paraId="1BADE51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试验：</w:t>
      </w:r>
      <w:r>
        <w:rPr>
          <w:rFonts w:ascii="Times New Roman" w:hAnsi="Times New Roman" w:eastAsia="宋体" w:cs="宋体"/>
          <w:lang w:eastAsia="zh-CN"/>
        </w:rPr>
        <w:t>如果确定需要开展试验来解决部分或全部已识别的终点，FDA建议根据CDRH生物相容性指南附件E，除非可以适当提供符合性声明而无需补充信息</w:t>
      </w:r>
      <w:r>
        <w:rPr>
          <w:rFonts w:hint="eastAsia" w:ascii="Times New Roman" w:hAnsi="Times New Roman" w:eastAsia="宋体" w:cs="宋体"/>
          <w:lang w:eastAsia="zh-CN"/>
        </w:rPr>
        <w:t>，否则需</w:t>
      </w:r>
      <w:r>
        <w:rPr>
          <w:rFonts w:ascii="Times New Roman" w:hAnsi="Times New Roman" w:eastAsia="宋体" w:cs="宋体"/>
          <w:lang w:eastAsia="zh-CN"/>
        </w:rPr>
        <w:t>对执行的所有试验提供镜片和包装材料的完整试验报告，。任何试验特异性阳性、阴性和/或试剂对照品的性能均应符合预期，对于方案偏离，应充分描述并说明理由</w:t>
      </w:r>
      <w:r>
        <w:rPr>
          <w:rFonts w:hint="eastAsia" w:ascii="Times New Roman" w:hAnsi="Times New Roman" w:eastAsia="宋体" w:cs="宋体"/>
          <w:lang w:eastAsia="zh-CN"/>
        </w:rPr>
        <w:t>。</w:t>
      </w:r>
      <w:r>
        <w:rPr>
          <w:rFonts w:ascii="Times New Roman" w:hAnsi="Times New Roman" w:eastAsia="宋体" w:cs="宋体"/>
          <w:lang w:eastAsia="zh-CN"/>
        </w:rPr>
        <w:t>但是，请注意，某些方案偏离可能导致与下列性能标准的比较无效，因而需要提交传统、特殊、或简化</w:t>
      </w:r>
      <w:r>
        <w:rPr>
          <w:rFonts w:hint="eastAsia" w:ascii="Times New Roman" w:hAnsi="Times New Roman" w:eastAsia="宋体" w:cs="宋体"/>
          <w:lang w:eastAsia="zh-CN"/>
        </w:rPr>
        <w:t>的</w:t>
      </w:r>
      <w:r>
        <w:rPr>
          <w:rFonts w:ascii="Times New Roman" w:hAnsi="Times New Roman" w:eastAsia="宋体" w:cs="宋体"/>
          <w:lang w:eastAsia="zh-CN"/>
        </w:rPr>
        <w:t>510(k)。</w:t>
      </w:r>
      <w:r>
        <w:rPr>
          <w:rFonts w:ascii="Times New Roman" w:hAnsi="Times New Roman" w:eastAsia="宋体" w:cs="宋体"/>
        </w:rPr>
        <w:t>_____________________</w:t>
      </w:r>
    </w:p>
    <w:p w14:paraId="7939B283">
      <w:pPr>
        <w:pStyle w:val="18"/>
        <w:tabs>
          <w:tab w:val="left" w:pos="115"/>
        </w:tabs>
        <w:adjustRightInd w:val="0"/>
        <w:snapToGrid w:val="0"/>
        <w:spacing w:before="36" w:beforeLines="15" w:line="276" w:lineRule="auto"/>
        <w:jc w:val="both"/>
        <w:rPr>
          <w:rFonts w:eastAsia="宋体"/>
          <w:snapToGrid w:val="0"/>
          <w:sz w:val="21"/>
          <w:szCs w:val="21"/>
        </w:rPr>
      </w:pPr>
      <w:r>
        <w:rPr>
          <w:rFonts w:eastAsia="宋体" w:cs="宋体"/>
          <w:color w:val="000000"/>
          <w:sz w:val="21"/>
          <w:u w:val="none"/>
          <w:vertAlign w:val="superscript"/>
        </w:rPr>
        <w:t>7</w:t>
      </w:r>
      <w:r>
        <w:rPr>
          <w:rFonts w:eastAsia="宋体" w:cs="宋体"/>
          <w:sz w:val="21"/>
          <w:u w:val="none"/>
        </w:rPr>
        <w:t xml:space="preserve"> </w:t>
      </w:r>
      <w:r>
        <w:rPr>
          <w:rFonts w:eastAsia="宋体" w:cs="宋体"/>
          <w:color w:val="000000"/>
          <w:sz w:val="21"/>
          <w:u w:val="none"/>
        </w:rPr>
        <w:t>可登录以下网址获取：</w:t>
      </w:r>
      <w:r>
        <w:fldChar w:fldCharType="begin"/>
      </w:r>
      <w:r>
        <w:instrText xml:space="preserve"> HYPERLINK "https://www.fda.gov/regulatory-information/search-fda-guidance-documents/%20submission-and-%20review-%20sterility-information-premarket-notification-510k-submissions-devices-labeled" </w:instrText>
      </w:r>
      <w:r>
        <w:fldChar w:fldCharType="separate"/>
      </w:r>
      <w:r>
        <w:rPr>
          <w:rStyle w:val="8"/>
          <w:rFonts w:eastAsia="宋体" w:cs="宋体"/>
          <w:snapToGrid w:val="0"/>
          <w:sz w:val="21"/>
          <w:szCs w:val="21"/>
        </w:rPr>
        <w:t>https://www.fda.gov/regulatory-information/search-fda-guidance-documents/</w:t>
      </w:r>
      <w:r>
        <w:rPr>
          <w:rStyle w:val="8"/>
          <w:rFonts w:hint="eastAsia" w:eastAsia="宋体" w:cs="宋体"/>
          <w:snapToGrid w:val="0"/>
          <w:sz w:val="21"/>
          <w:szCs w:val="21"/>
          <w:lang w:eastAsia="zh-CN"/>
        </w:rPr>
        <w:t xml:space="preserve"> </w:t>
      </w:r>
      <w:r>
        <w:rPr>
          <w:rStyle w:val="8"/>
          <w:rFonts w:eastAsia="宋体" w:cs="宋体"/>
          <w:snapToGrid w:val="0"/>
          <w:sz w:val="21"/>
          <w:szCs w:val="21"/>
        </w:rPr>
        <w:t>submission-and- review- sterility-information-premarket-notification-510k-submissions-devices-labeled</w:t>
      </w:r>
      <w:r>
        <w:rPr>
          <w:rStyle w:val="8"/>
          <w:rFonts w:eastAsia="宋体" w:cs="宋体"/>
          <w:snapToGrid w:val="0"/>
          <w:sz w:val="21"/>
          <w:szCs w:val="21"/>
        </w:rPr>
        <w:fldChar w:fldCharType="end"/>
      </w:r>
      <w:r>
        <w:rPr>
          <w:rFonts w:eastAsia="宋体" w:cs="宋体"/>
          <w:sz w:val="21"/>
        </w:rPr>
        <w:t>。</w:t>
      </w:r>
    </w:p>
    <w:p w14:paraId="358236AA">
      <w:pPr>
        <w:pStyle w:val="18"/>
        <w:tabs>
          <w:tab w:val="left" w:pos="115"/>
        </w:tabs>
        <w:adjustRightInd w:val="0"/>
        <w:snapToGrid w:val="0"/>
        <w:spacing w:before="36" w:beforeLines="15" w:line="276" w:lineRule="auto"/>
        <w:jc w:val="both"/>
        <w:rPr>
          <w:rFonts w:eastAsia="宋体"/>
          <w:snapToGrid w:val="0"/>
          <w:sz w:val="21"/>
          <w:szCs w:val="21"/>
        </w:rPr>
      </w:pPr>
      <w:r>
        <w:rPr>
          <w:rFonts w:eastAsia="宋体" w:cs="宋体"/>
          <w:color w:val="000000"/>
          <w:sz w:val="21"/>
          <w:u w:val="none"/>
          <w:vertAlign w:val="superscript"/>
        </w:rPr>
        <w:t>8</w:t>
      </w:r>
      <w:r>
        <w:rPr>
          <w:rFonts w:eastAsia="宋体" w:cs="宋体"/>
          <w:sz w:val="21"/>
          <w:u w:val="none"/>
        </w:rPr>
        <w:t xml:space="preserve"> </w:t>
      </w:r>
      <w:r>
        <w:rPr>
          <w:rFonts w:eastAsia="宋体" w:cs="宋体"/>
          <w:color w:val="000000"/>
          <w:sz w:val="21"/>
          <w:u w:val="none"/>
        </w:rPr>
        <w:t>可登录以下网址获取：</w:t>
      </w:r>
      <w:r>
        <w:fldChar w:fldCharType="begin"/>
      </w:r>
      <w:r>
        <w:instrText xml:space="preserve"> HYPERLINK "https://www.fda.gov/regulatorv-information/search-fda-guidance-documents/use-%20international-" </w:instrText>
      </w:r>
      <w:r>
        <w:fldChar w:fldCharType="separate"/>
      </w:r>
      <w:r>
        <w:rPr>
          <w:rStyle w:val="8"/>
          <w:rFonts w:eastAsia="宋体" w:cs="宋体"/>
          <w:snapToGrid w:val="0"/>
          <w:sz w:val="21"/>
          <w:szCs w:val="21"/>
        </w:rPr>
        <w:t>https://www.fda.gov/regulatorv-information/search-fda-guidance-documents/use- international- standard-iso-10993-1-biological-evaluation-medical-devices-part-1-evaluation-and</w:t>
      </w:r>
      <w:r>
        <w:rPr>
          <w:rStyle w:val="8"/>
          <w:rFonts w:eastAsia="宋体" w:cs="宋体"/>
          <w:snapToGrid w:val="0"/>
          <w:sz w:val="21"/>
          <w:szCs w:val="21"/>
        </w:rPr>
        <w:fldChar w:fldCharType="end"/>
      </w:r>
      <w:r>
        <w:rPr>
          <w:rFonts w:eastAsia="宋体" w:cs="宋体"/>
          <w:sz w:val="21"/>
        </w:rPr>
        <w:t>。</w:t>
      </w:r>
    </w:p>
    <w:p w14:paraId="5F77E0F6">
      <w:pPr>
        <w:rPr>
          <w:rFonts w:ascii="Times New Roman" w:hAnsi="Times New Roman" w:eastAsia="宋体" w:cs="Times New Roman"/>
          <w:snapToGrid w:val="0"/>
          <w:lang w:eastAsia="zh-CN"/>
        </w:rPr>
      </w:pPr>
    </w:p>
    <w:p w14:paraId="14FE28F8">
      <w:pPr>
        <w:tabs>
          <w:tab w:val="left" w:pos="701"/>
        </w:tabs>
        <w:adjustRightInd w:val="0"/>
        <w:snapToGrid w:val="0"/>
        <w:spacing w:before="120" w:beforeLines="50" w:line="300" w:lineRule="auto"/>
        <w:ind w:left="708" w:hanging="708" w:hangingChars="295"/>
        <w:jc w:val="both"/>
        <w:rPr>
          <w:rFonts w:ascii="Times New Roman" w:hAnsi="Times New Roman" w:eastAsia="宋体" w:cs="Times New Roman"/>
          <w:snapToGrid w:val="0"/>
          <w:lang w:eastAsia="zh-CN"/>
        </w:rPr>
      </w:pPr>
      <w:r>
        <w:rPr>
          <w:rFonts w:ascii="Times New Roman" w:hAnsi="Times New Roman" w:eastAsia="宋体" w:cs="宋体"/>
          <w:lang w:eastAsia="zh-CN"/>
        </w:rPr>
        <w:t>14.</w:t>
      </w:r>
      <w:r>
        <w:rPr>
          <w:rFonts w:ascii="Times New Roman" w:hAnsi="Times New Roman" w:eastAsia="宋体" w:cs="宋体"/>
          <w:lang w:eastAsia="zh-CN"/>
        </w:rPr>
        <w:tab/>
      </w:r>
      <w:r>
        <w:rPr>
          <w:rFonts w:ascii="Times New Roman" w:hAnsi="Times New Roman" w:eastAsia="宋体" w:cs="宋体"/>
          <w:b/>
          <w:lang w:eastAsia="zh-CN"/>
        </w:rPr>
        <w:t>试验名称：</w:t>
      </w:r>
      <w:r>
        <w:rPr>
          <w:rFonts w:ascii="Times New Roman" w:hAnsi="Times New Roman" w:eastAsia="宋体" w:cs="宋体"/>
          <w:lang w:eastAsia="zh-CN"/>
        </w:rPr>
        <w:t>生物相容性终点（根据CDRH生物相容性指南识别）</w:t>
      </w:r>
    </w:p>
    <w:p w14:paraId="75765F46">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方法：</w:t>
      </w:r>
      <w:r>
        <w:rPr>
          <w:rFonts w:ascii="Times New Roman" w:hAnsi="Times New Roman" w:eastAsia="宋体" w:cs="宋体"/>
          <w:lang w:eastAsia="zh-CN"/>
        </w:rPr>
        <w:t>FDA认可的生物相容性共识标准的最新版本</w:t>
      </w:r>
    </w:p>
    <w:p w14:paraId="5931EE93">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w:t>
      </w:r>
      <w:r>
        <w:rPr>
          <w:rFonts w:ascii="Times New Roman" w:hAnsi="Times New Roman" w:eastAsia="宋体" w:cs="宋体"/>
          <w:lang w:eastAsia="zh-CN"/>
        </w:rPr>
        <w:t>应确定器械和器械专用仪器中所有直接或间接接触组织的部件具有可接受的生物学反应。</w:t>
      </w:r>
    </w:p>
    <w:p w14:paraId="6B9A57D7">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性能标准来源：</w:t>
      </w:r>
      <w:r>
        <w:rPr>
          <w:rFonts w:ascii="Times New Roman" w:hAnsi="Times New Roman" w:eastAsia="宋体" w:cs="宋体"/>
          <w:lang w:eastAsia="zh-CN"/>
        </w:rPr>
        <w:t>CDRH生物相容性指南</w:t>
      </w:r>
    </w:p>
    <w:p w14:paraId="1B28B62A">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其他注意事项：</w:t>
      </w:r>
      <w:r>
        <w:rPr>
          <w:rFonts w:ascii="Times New Roman" w:hAnsi="Times New Roman" w:eastAsia="宋体" w:cs="宋体"/>
          <w:lang w:eastAsia="zh-CN"/>
        </w:rPr>
        <w:t>对于任何具有不良生物学反应的生物相容性试验样品，应在生物相容性评价中解释为什么观察到的毒性水平可接受。可能需要与已经</w:t>
      </w:r>
      <w:r>
        <w:rPr>
          <w:rFonts w:hint="eastAsia" w:ascii="Times New Roman" w:hAnsi="Times New Roman" w:eastAsia="宋体" w:cs="宋体"/>
          <w:lang w:eastAsia="zh-CN"/>
        </w:rPr>
        <w:t>依</w:t>
      </w:r>
      <w:r>
        <w:rPr>
          <w:rFonts w:ascii="Times New Roman" w:hAnsi="Times New Roman" w:eastAsia="宋体" w:cs="宋体"/>
          <w:lang w:eastAsia="zh-CN"/>
        </w:rPr>
        <w:t>法</w:t>
      </w:r>
      <w:r>
        <w:rPr>
          <w:rFonts w:hint="eastAsia" w:ascii="Times New Roman" w:hAnsi="Times New Roman" w:eastAsia="宋体" w:cs="宋体"/>
          <w:lang w:eastAsia="zh-CN"/>
        </w:rPr>
        <w:t>上市</w:t>
      </w:r>
      <w:r>
        <w:rPr>
          <w:rFonts w:ascii="Times New Roman" w:hAnsi="Times New Roman" w:eastAsia="宋体" w:cs="宋体"/>
          <w:lang w:eastAsia="zh-CN"/>
        </w:rPr>
        <w:t>的同品种器械进行一些比较试验（基于安全和性能</w:t>
      </w:r>
      <w:r>
        <w:rPr>
          <w:rFonts w:hint="eastAsia" w:ascii="Times New Roman" w:hAnsi="Times New Roman" w:eastAsia="宋体" w:cs="宋体"/>
          <w:lang w:eastAsia="zh-CN"/>
        </w:rPr>
        <w:t>评估</w:t>
      </w:r>
      <w:r>
        <w:rPr>
          <w:rFonts w:ascii="Times New Roman" w:hAnsi="Times New Roman" w:eastAsia="宋体" w:cs="宋体"/>
          <w:lang w:eastAsia="zh-CN"/>
        </w:rPr>
        <w:t>认为可接受），以支持《CDRH生物相容性指南》中说明的基本原理。对于包含对比器械对照样品的标准生物相容性方法，</w:t>
      </w:r>
      <w:r>
        <w:rPr>
          <w:rFonts w:hint="eastAsia" w:ascii="Times New Roman" w:hAnsi="Times New Roman" w:eastAsia="宋体" w:cs="宋体"/>
          <w:lang w:eastAsia="zh-CN"/>
        </w:rPr>
        <w:t>依</w:t>
      </w:r>
      <w:r>
        <w:rPr>
          <w:rFonts w:ascii="Times New Roman" w:hAnsi="Times New Roman" w:eastAsia="宋体" w:cs="宋体"/>
          <w:lang w:eastAsia="zh-CN"/>
        </w:rPr>
        <w:t>法上市的对比器械对照样品的性能应符合预期，即上文所述的对申报器械样品的预期。</w:t>
      </w:r>
    </w:p>
    <w:p w14:paraId="03E121D5">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b/>
          <w:lang w:eastAsia="zh-CN"/>
        </w:rPr>
        <w:t>提交信息</w:t>
      </w:r>
      <w:r>
        <w:rPr>
          <w:rFonts w:ascii="Times New Roman" w:hAnsi="Times New Roman" w:eastAsia="宋体" w:cs="宋体"/>
          <w:lang w:eastAsia="zh-CN"/>
        </w:rPr>
        <w:t>：请参见CDRH生物相容性指南</w:t>
      </w:r>
    </w:p>
    <w:p w14:paraId="6EDBA12C">
      <w:pPr>
        <w:adjustRightInd w:val="0"/>
        <w:snapToGrid w:val="0"/>
        <w:spacing w:before="120" w:beforeLines="50" w:line="300" w:lineRule="auto"/>
        <w:jc w:val="both"/>
        <w:rPr>
          <w:rFonts w:ascii="Times New Roman" w:hAnsi="Times New Roman" w:eastAsia="宋体" w:cs="Times New Roman"/>
          <w:snapToGrid w:val="0"/>
          <w:lang w:eastAsia="zh-CN"/>
        </w:rPr>
      </w:pPr>
    </w:p>
    <w:p w14:paraId="7C68DDD5">
      <w:pPr>
        <w:pStyle w:val="12"/>
        <w:pBdr>
          <w:bottom w:val="single" w:color="auto" w:sz="4" w:space="0"/>
        </w:pBdr>
        <w:adjustRightInd w:val="0"/>
        <w:snapToGrid w:val="0"/>
        <w:spacing w:before="120" w:beforeLines="50" w:after="0" w:line="300" w:lineRule="auto"/>
        <w:rPr>
          <w:rFonts w:hint="eastAsia" w:eastAsia="等线"/>
          <w:lang w:eastAsia="zh-CN"/>
        </w:rPr>
      </w:pPr>
    </w:p>
    <w:p w14:paraId="41B5C52C">
      <w:pPr>
        <w:pStyle w:val="12"/>
        <w:pBdr>
          <w:bottom w:val="single" w:color="auto" w:sz="4" w:space="0"/>
        </w:pBdr>
        <w:adjustRightInd w:val="0"/>
        <w:snapToGrid w:val="0"/>
        <w:spacing w:before="120" w:beforeLines="50" w:after="0" w:line="300" w:lineRule="auto"/>
        <w:jc w:val="center"/>
        <w:rPr>
          <w:rFonts w:hint="eastAsia" w:eastAsia="等线"/>
          <w:lang w:eastAsia="zh-CN"/>
        </w:rPr>
      </w:pPr>
    </w:p>
    <w:p w14:paraId="79A63D44">
      <w:pPr>
        <w:pStyle w:val="12"/>
        <w:pBdr>
          <w:bottom w:val="single" w:color="auto" w:sz="4" w:space="0"/>
        </w:pBdr>
        <w:adjustRightInd w:val="0"/>
        <w:snapToGrid w:val="0"/>
        <w:spacing w:before="120" w:beforeLines="50" w:after="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18" w:right="1418" w:bottom="1418"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99EB">
    <w:pPr>
      <w:pStyle w:val="3"/>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eastAsia="zh-CN"/>
      </w:rPr>
      <w:t>11</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EACE">
    <w:pPr>
      <w:pStyle w:val="10"/>
      <w:adjustRightInd w:val="0"/>
      <w:snapToGrid w:val="0"/>
      <w:spacing w:before="120" w:beforeLines="50" w:line="300" w:lineRule="auto"/>
      <w:rPr>
        <w:rFonts w:eastAsia="宋体"/>
        <w:snapToGrid w:val="0"/>
        <w:sz w:val="21"/>
        <w:szCs w:val="21"/>
        <w:lang w:eastAsia="zh-CN"/>
      </w:rPr>
    </w:pPr>
    <w:r>
      <w:rPr>
        <w:rFonts w:hint="eastAsia" w:eastAsia="宋体" w:cs="宋体"/>
        <w:sz w:val="21"/>
        <w:lang w:eastAsia="zh-CN"/>
      </w:rPr>
      <w:t>所含建议不具约束力</w:t>
    </w:r>
  </w:p>
  <w:p w14:paraId="6925A35F">
    <w:pPr>
      <w:adjustRightInd w:val="0"/>
      <w:snapToGrid w:val="0"/>
      <w:spacing w:before="120" w:beforeLines="50" w:line="300" w:lineRule="auto"/>
      <w:jc w:val="center"/>
      <w:rPr>
        <w:rFonts w:ascii="Times New Roman" w:hAnsi="Times New Roman" w:eastAsia="宋体" w:cs="Times New Roman"/>
        <w:snapToGrid w:val="0"/>
        <w:sz w:val="21"/>
        <w:szCs w:val="21"/>
        <w:lang w:eastAsia="zh-CN"/>
      </w:rPr>
    </w:pPr>
    <w:r>
      <w:rPr>
        <w:rFonts w:ascii="Times New Roman" w:hAnsi="Times New Roman" w:eastAsia="宋体" w:cs="宋体"/>
        <w:b/>
        <w:i/>
        <w:sz w:val="21"/>
        <w:lang w:eastAsia="zh-CN"/>
      </w:rPr>
      <w:t>草案—非执行版</w:t>
    </w:r>
  </w:p>
  <w:p w14:paraId="63F958BD">
    <w:pPr>
      <w:pStyle w:val="4"/>
      <w:pBdr>
        <w:bottom w:val="none" w:color="auto" w:sz="0" w:space="0"/>
      </w:pBdr>
      <w:rPr>
        <w:rFonts w:ascii="Times New Roman" w:hAnsi="Times New Roman" w:eastAsia="宋体"/>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40216"/>
    <w:multiLevelType w:val="multilevel"/>
    <w:tmpl w:val="0A94021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9B7C9B"/>
    <w:multiLevelType w:val="multilevel"/>
    <w:tmpl w:val="0A9B7C9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E116225"/>
    <w:multiLevelType w:val="multilevel"/>
    <w:tmpl w:val="0E1162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0EA0143"/>
    <w:multiLevelType w:val="multilevel"/>
    <w:tmpl w:val="10EA0143"/>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4">
    <w:nsid w:val="1D4F0488"/>
    <w:multiLevelType w:val="multilevel"/>
    <w:tmpl w:val="1D4F0488"/>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5">
    <w:nsid w:val="4F442DD6"/>
    <w:multiLevelType w:val="multilevel"/>
    <w:tmpl w:val="4F442DD6"/>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6">
    <w:nsid w:val="5A9F53EE"/>
    <w:multiLevelType w:val="multilevel"/>
    <w:tmpl w:val="5A9F53EE"/>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7">
    <w:nsid w:val="68CB13D2"/>
    <w:multiLevelType w:val="multilevel"/>
    <w:tmpl w:val="68CB13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90A02AB"/>
    <w:multiLevelType w:val="multilevel"/>
    <w:tmpl w:val="690A02AB"/>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9">
    <w:nsid w:val="72AA2151"/>
    <w:multiLevelType w:val="multilevel"/>
    <w:tmpl w:val="72AA2151"/>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10">
    <w:nsid w:val="764742A0"/>
    <w:multiLevelType w:val="multilevel"/>
    <w:tmpl w:val="764742A0"/>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abstractNum w:abstractNumId="11">
    <w:nsid w:val="7D532A58"/>
    <w:multiLevelType w:val="multilevel"/>
    <w:tmpl w:val="7D532A58"/>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num w:numId="1">
    <w:abstractNumId w:val="7"/>
  </w:num>
  <w:num w:numId="2">
    <w:abstractNumId w:val="1"/>
  </w:num>
  <w:num w:numId="3">
    <w:abstractNumId w:val="10"/>
  </w:num>
  <w:num w:numId="4">
    <w:abstractNumId w:val="6"/>
  </w:num>
  <w:num w:numId="5">
    <w:abstractNumId w:val="4"/>
  </w:num>
  <w:num w:numId="6">
    <w:abstractNumId w:val="5"/>
  </w:num>
  <w:num w:numId="7">
    <w:abstractNumId w:val="11"/>
  </w:num>
  <w:num w:numId="8">
    <w:abstractNumId w:val="9"/>
  </w:num>
  <w:num w:numId="9">
    <w:abstractNumId w:val="3"/>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7F"/>
    <w:rsid w:val="000509B5"/>
    <w:rsid w:val="00076264"/>
    <w:rsid w:val="00085BF1"/>
    <w:rsid w:val="00103DF2"/>
    <w:rsid w:val="0013072B"/>
    <w:rsid w:val="0013764F"/>
    <w:rsid w:val="00151BC8"/>
    <w:rsid w:val="00177862"/>
    <w:rsid w:val="001D2037"/>
    <w:rsid w:val="001D2169"/>
    <w:rsid w:val="00210945"/>
    <w:rsid w:val="00245387"/>
    <w:rsid w:val="00257DFD"/>
    <w:rsid w:val="002733A9"/>
    <w:rsid w:val="00344CF3"/>
    <w:rsid w:val="00360A2D"/>
    <w:rsid w:val="003F4ED4"/>
    <w:rsid w:val="00404325"/>
    <w:rsid w:val="004051E1"/>
    <w:rsid w:val="004062B5"/>
    <w:rsid w:val="0041064C"/>
    <w:rsid w:val="00453963"/>
    <w:rsid w:val="004738AC"/>
    <w:rsid w:val="004746E4"/>
    <w:rsid w:val="004947BD"/>
    <w:rsid w:val="004A4E5E"/>
    <w:rsid w:val="004A6D12"/>
    <w:rsid w:val="005246E9"/>
    <w:rsid w:val="00535ECA"/>
    <w:rsid w:val="00561303"/>
    <w:rsid w:val="0056654C"/>
    <w:rsid w:val="0056701E"/>
    <w:rsid w:val="005C0053"/>
    <w:rsid w:val="005E1720"/>
    <w:rsid w:val="005E257A"/>
    <w:rsid w:val="005E2BB2"/>
    <w:rsid w:val="005E4920"/>
    <w:rsid w:val="005E74B5"/>
    <w:rsid w:val="005F09B3"/>
    <w:rsid w:val="0067694F"/>
    <w:rsid w:val="006C7444"/>
    <w:rsid w:val="006E5D52"/>
    <w:rsid w:val="00706BBB"/>
    <w:rsid w:val="0073419C"/>
    <w:rsid w:val="00750D95"/>
    <w:rsid w:val="00772C6E"/>
    <w:rsid w:val="00775042"/>
    <w:rsid w:val="0077556D"/>
    <w:rsid w:val="007C0ED5"/>
    <w:rsid w:val="00800638"/>
    <w:rsid w:val="00803F80"/>
    <w:rsid w:val="0081066B"/>
    <w:rsid w:val="0085008B"/>
    <w:rsid w:val="008B55BF"/>
    <w:rsid w:val="008C28BD"/>
    <w:rsid w:val="00953EE9"/>
    <w:rsid w:val="009D3437"/>
    <w:rsid w:val="009E484D"/>
    <w:rsid w:val="00A26CA7"/>
    <w:rsid w:val="00A5418A"/>
    <w:rsid w:val="00A77BEB"/>
    <w:rsid w:val="00AD03C6"/>
    <w:rsid w:val="00B17DF2"/>
    <w:rsid w:val="00B213ED"/>
    <w:rsid w:val="00B60BA7"/>
    <w:rsid w:val="00B63596"/>
    <w:rsid w:val="00BA4781"/>
    <w:rsid w:val="00BB5E70"/>
    <w:rsid w:val="00BD159B"/>
    <w:rsid w:val="00C0740E"/>
    <w:rsid w:val="00C477DA"/>
    <w:rsid w:val="00C53DE3"/>
    <w:rsid w:val="00C73232"/>
    <w:rsid w:val="00C963F3"/>
    <w:rsid w:val="00CC1B71"/>
    <w:rsid w:val="00CE23B0"/>
    <w:rsid w:val="00D15253"/>
    <w:rsid w:val="00D23463"/>
    <w:rsid w:val="00D84697"/>
    <w:rsid w:val="00D95AC2"/>
    <w:rsid w:val="00DD435E"/>
    <w:rsid w:val="00DE2D3B"/>
    <w:rsid w:val="00DF2657"/>
    <w:rsid w:val="00DF4F86"/>
    <w:rsid w:val="00E0162C"/>
    <w:rsid w:val="00E01A9F"/>
    <w:rsid w:val="00E1477F"/>
    <w:rsid w:val="00E21C63"/>
    <w:rsid w:val="00E234EB"/>
    <w:rsid w:val="00E33B50"/>
    <w:rsid w:val="00E55424"/>
    <w:rsid w:val="00E80AA2"/>
    <w:rsid w:val="00E954A3"/>
    <w:rsid w:val="00EE347B"/>
    <w:rsid w:val="00EF7355"/>
    <w:rsid w:val="00F327E3"/>
    <w:rsid w:val="00F42D3C"/>
    <w:rsid w:val="00F63AAB"/>
    <w:rsid w:val="00F82FE7"/>
    <w:rsid w:val="00F83447"/>
    <w:rsid w:val="00FB18D6"/>
    <w:rsid w:val="00FC66C8"/>
    <w:rsid w:val="00FE0304"/>
    <w:rsid w:val="00FE77A0"/>
    <w:rsid w:val="035D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等线" w:hAnsi="等线" w:eastAsia="等线" w:cs="等线"/>
      <w:color w:val="000000"/>
      <w:sz w:val="24"/>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uiPriority w:val="99"/>
    <w:rPr>
      <w:sz w:val="18"/>
      <w:szCs w:val="18"/>
    </w:rPr>
  </w:style>
  <w:style w:type="paragraph" w:styleId="3">
    <w:name w:val="footer"/>
    <w:basedOn w:val="1"/>
    <w:link w:val="16"/>
    <w:unhideWhenUsed/>
    <w:uiPriority w:val="99"/>
    <w:pPr>
      <w:tabs>
        <w:tab w:val="center" w:pos="4153"/>
        <w:tab w:val="right" w:pos="8306"/>
      </w:tabs>
      <w:snapToGrid w:val="0"/>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或页脚_"/>
    <w:basedOn w:val="7"/>
    <w:link w:val="10"/>
    <w:qFormat/>
    <w:uiPriority w:val="0"/>
    <w:rPr>
      <w:rFonts w:ascii="Times New Roman" w:hAnsi="Times New Roman" w:eastAsia="Times New Roman" w:cs="Times New Roman"/>
      <w:b/>
      <w:bCs/>
      <w:i/>
      <w:iCs/>
      <w:u w:val="none"/>
      <w:shd w:val="clear" w:color="auto" w:fill="auto"/>
    </w:rPr>
  </w:style>
  <w:style w:type="paragraph" w:customStyle="1" w:styleId="10">
    <w:name w:val="页眉或页脚"/>
    <w:basedOn w:val="1"/>
    <w:link w:val="9"/>
    <w:uiPriority w:val="0"/>
    <w:pPr>
      <w:jc w:val="center"/>
    </w:pPr>
    <w:rPr>
      <w:rFonts w:ascii="Times New Roman" w:hAnsi="Times New Roman" w:eastAsia="Times New Roman" w:cs="Times New Roman"/>
      <w:b/>
      <w:bCs/>
      <w:i/>
      <w:iCs/>
    </w:rPr>
  </w:style>
  <w:style w:type="character" w:customStyle="1" w:styleId="11">
    <w:name w:val="标题 #1_"/>
    <w:basedOn w:val="7"/>
    <w:link w:val="12"/>
    <w:qFormat/>
    <w:uiPriority w:val="0"/>
    <w:rPr>
      <w:rFonts w:ascii="Times New Roman" w:hAnsi="Times New Roman" w:eastAsia="Times New Roman" w:cs="Times New Roman"/>
      <w:b/>
      <w:bCs/>
      <w:sz w:val="56"/>
      <w:szCs w:val="56"/>
      <w:u w:val="none"/>
      <w:shd w:val="clear" w:color="auto" w:fill="auto"/>
    </w:rPr>
  </w:style>
  <w:style w:type="paragraph" w:customStyle="1" w:styleId="12">
    <w:name w:val="标题 #1"/>
    <w:basedOn w:val="1"/>
    <w:link w:val="11"/>
    <w:qFormat/>
    <w:uiPriority w:val="0"/>
    <w:pPr>
      <w:spacing w:after="520"/>
      <w:jc w:val="center"/>
      <w:outlineLvl w:val="0"/>
    </w:pPr>
    <w:rPr>
      <w:rFonts w:ascii="Times New Roman" w:hAnsi="Times New Roman" w:eastAsia="Times New Roman" w:cs="Times New Roman"/>
      <w:b/>
      <w:bCs/>
      <w:sz w:val="56"/>
      <w:szCs w:val="56"/>
    </w:rPr>
  </w:style>
  <w:style w:type="character" w:customStyle="1" w:styleId="13">
    <w:name w:val="页眉 字符"/>
    <w:basedOn w:val="7"/>
    <w:link w:val="4"/>
    <w:uiPriority w:val="99"/>
    <w:rPr>
      <w:color w:val="000000"/>
      <w:sz w:val="18"/>
      <w:szCs w:val="18"/>
    </w:rPr>
  </w:style>
  <w:style w:type="character" w:customStyle="1" w:styleId="14">
    <w:name w:val="其他_"/>
    <w:basedOn w:val="7"/>
    <w:link w:val="15"/>
    <w:qFormat/>
    <w:uiPriority w:val="0"/>
    <w:rPr>
      <w:rFonts w:ascii="Times New Roman" w:hAnsi="Times New Roman" w:eastAsia="Times New Roman" w:cs="Times New Roman"/>
      <w:u w:val="none"/>
      <w:shd w:val="clear" w:color="auto" w:fill="auto"/>
    </w:rPr>
  </w:style>
  <w:style w:type="paragraph" w:customStyle="1" w:styleId="15">
    <w:name w:val="其他"/>
    <w:basedOn w:val="1"/>
    <w:link w:val="14"/>
    <w:uiPriority w:val="0"/>
    <w:rPr>
      <w:rFonts w:ascii="Times New Roman" w:hAnsi="Times New Roman" w:eastAsia="Times New Roman" w:cs="Times New Roman"/>
    </w:rPr>
  </w:style>
  <w:style w:type="character" w:customStyle="1" w:styleId="16">
    <w:name w:val="页脚 字符"/>
    <w:basedOn w:val="7"/>
    <w:link w:val="3"/>
    <w:uiPriority w:val="99"/>
    <w:rPr>
      <w:color w:val="000000"/>
      <w:sz w:val="18"/>
      <w:szCs w:val="18"/>
    </w:rPr>
  </w:style>
  <w:style w:type="character" w:customStyle="1" w:styleId="17">
    <w:name w:val="脚注_"/>
    <w:basedOn w:val="7"/>
    <w:link w:val="18"/>
    <w:qFormat/>
    <w:uiPriority w:val="0"/>
    <w:rPr>
      <w:rFonts w:ascii="Times New Roman" w:hAnsi="Times New Roman" w:eastAsia="Times New Roman" w:cs="Times New Roman"/>
      <w:color w:val="0000FF"/>
      <w:sz w:val="20"/>
      <w:szCs w:val="20"/>
      <w:u w:val="single"/>
      <w:shd w:val="clear" w:color="auto" w:fill="auto"/>
    </w:rPr>
  </w:style>
  <w:style w:type="paragraph" w:customStyle="1" w:styleId="18">
    <w:name w:val="脚注"/>
    <w:basedOn w:val="1"/>
    <w:link w:val="17"/>
    <w:qFormat/>
    <w:uiPriority w:val="0"/>
    <w:rPr>
      <w:rFonts w:ascii="Times New Roman" w:hAnsi="Times New Roman" w:eastAsia="Times New Roman" w:cs="Times New Roman"/>
      <w:color w:val="0000FF"/>
      <w:sz w:val="20"/>
      <w:szCs w:val="20"/>
      <w:u w:val="single"/>
    </w:rPr>
  </w:style>
  <w:style w:type="character" w:customStyle="1" w:styleId="19">
    <w:name w:val="批注框文本 字符"/>
    <w:basedOn w:val="7"/>
    <w:link w:val="2"/>
    <w:semiHidden/>
    <w:qFormat/>
    <w:uiPriority w:val="99"/>
    <w:rPr>
      <w:color w:val="000000"/>
      <w:sz w:val="18"/>
      <w:szCs w:val="18"/>
    </w:rPr>
  </w:style>
  <w:style w:type="paragraph" w:customStyle="1" w:styleId="20">
    <w:name w:val="样式1"/>
    <w:basedOn w:val="1"/>
    <w:link w:val="22"/>
    <w:qFormat/>
    <w:uiPriority w:val="0"/>
    <w:pPr>
      <w:tabs>
        <w:tab w:val="left" w:pos="714"/>
      </w:tabs>
      <w:adjustRightInd w:val="0"/>
      <w:snapToGrid w:val="0"/>
      <w:spacing w:before="120" w:beforeLines="50" w:line="300" w:lineRule="auto"/>
      <w:jc w:val="both"/>
    </w:pPr>
    <w:rPr>
      <w:rFonts w:ascii="Times New Roman" w:hAnsi="Times New Roman" w:cs="Times New Roman"/>
      <w:b/>
      <w:snapToGrid w:val="0"/>
      <w:sz w:val="32"/>
      <w:szCs w:val="32"/>
      <w:shd w:val="clear" w:color="auto" w:fill="FFFFFF"/>
    </w:rPr>
  </w:style>
  <w:style w:type="paragraph" w:styleId="21">
    <w:name w:val="List Paragraph"/>
    <w:basedOn w:val="1"/>
    <w:qFormat/>
    <w:uiPriority w:val="34"/>
    <w:pPr>
      <w:ind w:firstLine="420" w:firstLineChars="200"/>
    </w:pPr>
  </w:style>
  <w:style w:type="character" w:customStyle="1" w:styleId="22">
    <w:name w:val="样式1 Char"/>
    <w:basedOn w:val="7"/>
    <w:link w:val="20"/>
    <w:qFormat/>
    <w:uiPriority w:val="0"/>
    <w:rPr>
      <w:rFonts w:ascii="Times New Roman" w:hAnsi="Times New Roman" w:cs="Times New Roman"/>
      <w:b/>
      <w:snapToGrid w:val="0"/>
      <w:color w:val="000000"/>
      <w:sz w:val="32"/>
      <w:szCs w:val="32"/>
    </w:rPr>
  </w:style>
  <w:style w:type="paragraph" w:customStyle="1" w:styleId="23">
    <w:name w:val="Revision"/>
    <w:hidden/>
    <w:semiHidden/>
    <w:uiPriority w:val="99"/>
    <w:pPr>
      <w:widowControl/>
    </w:pPr>
    <w:rPr>
      <w:rFonts w:ascii="等线" w:hAnsi="等线" w:eastAsia="等线" w:cs="等线"/>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3D8B-4F10-4CF7-BD5D-B7CC62C00793}">
  <ds:schemaRefs/>
</ds:datastoreItem>
</file>

<file path=docProps/app.xml><?xml version="1.0" encoding="utf-8"?>
<Properties xmlns="http://schemas.openxmlformats.org/officeDocument/2006/extended-properties" xmlns:vt="http://schemas.openxmlformats.org/officeDocument/2006/docPropsVTypes">
  <Template>Normal</Template>
  <Pages>11</Pages>
  <Words>5242</Words>
  <Characters>7670</Characters>
  <Lines>68</Lines>
  <Paragraphs>19</Paragraphs>
  <TotalTime>30</TotalTime>
  <ScaleCrop>false</ScaleCrop>
  <LinksUpToDate>false</LinksUpToDate>
  <CharactersWithSpaces>7938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2022-03-02T06:58:00Z</dcterms:created>
  <dc:creator>CDRH</dc:creator>
  <cp:lastModifiedBy>太极箫客</cp:lastModifiedBy>
  <dcterms:modified xsi:type="dcterms:W3CDTF">2025-08-14T08:03:00Z</dcterms:modified>
  <dc:title>Soft (Hydrophilic) Daily Wear Contact Lenses - Performance Criteria for Safety and Performance Based Pathway - Draft Guidance for Industry and Food and Drug Administration Staff</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13A4F36DC1B14A4B8CA556BC534ED712_12</vt:lpwstr>
  </property>
</Properties>
</file>