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3F6DE">
      <w:pPr>
        <w:adjustRightInd w:val="0"/>
        <w:snapToGrid w:val="0"/>
        <w:spacing w:after="312" w:afterLines="100" w:line="300" w:lineRule="auto"/>
        <w:jc w:val="center"/>
        <w:rPr>
          <w:rFonts w:ascii="Arial" w:hAnsi="Arial" w:eastAsia="宋体" w:cs="Arial"/>
          <w:b/>
          <w:sz w:val="60"/>
          <w:szCs w:val="60"/>
        </w:rPr>
      </w:pPr>
      <w:bookmarkStart w:id="82" w:name="_GoBack"/>
      <w:bookmarkEnd w:id="82"/>
    </w:p>
    <w:p w14:paraId="496CFB04">
      <w:pPr>
        <w:adjustRightInd w:val="0"/>
        <w:snapToGrid w:val="0"/>
        <w:spacing w:after="312" w:afterLines="100" w:line="300" w:lineRule="auto"/>
        <w:jc w:val="center"/>
        <w:rPr>
          <w:rFonts w:ascii="Arial" w:hAnsi="Arial" w:eastAsia="宋体" w:cs="Arial"/>
          <w:b/>
          <w:sz w:val="60"/>
          <w:szCs w:val="60"/>
        </w:rPr>
      </w:pPr>
      <w:r>
        <w:rPr>
          <w:rFonts w:ascii="Arial" w:hAnsi="Arial" w:eastAsia="宋体" w:cs="Arial"/>
          <w:b/>
          <w:sz w:val="60"/>
          <w:szCs w:val="60"/>
        </w:rPr>
        <w:t>软件验证的一般原则；</w:t>
      </w:r>
    </w:p>
    <w:p w14:paraId="0CBB6756">
      <w:pPr>
        <w:adjustRightInd w:val="0"/>
        <w:snapToGrid w:val="0"/>
        <w:spacing w:after="312" w:afterLines="100" w:line="300" w:lineRule="auto"/>
        <w:jc w:val="center"/>
        <w:rPr>
          <w:rFonts w:ascii="Arial" w:hAnsi="Arial" w:eastAsia="宋体" w:cs="Arial"/>
          <w:b/>
          <w:sz w:val="60"/>
          <w:szCs w:val="60"/>
        </w:rPr>
      </w:pPr>
      <w:r>
        <w:rPr>
          <w:rFonts w:ascii="Arial" w:hAnsi="Arial" w:eastAsia="宋体" w:cs="Arial"/>
          <w:b/>
          <w:sz w:val="60"/>
          <w:szCs w:val="60"/>
        </w:rPr>
        <w:t>行业和FDA员工最终指南</w:t>
      </w:r>
    </w:p>
    <w:p w14:paraId="041CE1AC">
      <w:pPr>
        <w:adjustRightInd w:val="0"/>
        <w:snapToGrid w:val="0"/>
        <w:spacing w:after="312" w:afterLines="100" w:line="300" w:lineRule="auto"/>
        <w:jc w:val="center"/>
        <w:rPr>
          <w:rFonts w:ascii="Arial" w:hAnsi="Arial" w:eastAsia="宋体" w:cs="Arial"/>
        </w:rPr>
      </w:pPr>
    </w:p>
    <w:p w14:paraId="5E0391E0">
      <w:pPr>
        <w:adjustRightInd w:val="0"/>
        <w:snapToGrid w:val="0"/>
        <w:spacing w:after="312" w:afterLines="100" w:line="300" w:lineRule="auto"/>
        <w:jc w:val="center"/>
        <w:rPr>
          <w:rFonts w:ascii="Arial" w:hAnsi="Arial" w:eastAsia="宋体" w:cs="Arial"/>
        </w:rPr>
      </w:pPr>
    </w:p>
    <w:p w14:paraId="4D4D5D8B">
      <w:pPr>
        <w:adjustRightInd w:val="0"/>
        <w:snapToGrid w:val="0"/>
        <w:spacing w:after="312" w:afterLines="100" w:line="300" w:lineRule="auto"/>
        <w:jc w:val="center"/>
        <w:rPr>
          <w:rFonts w:ascii="Arial" w:hAnsi="Arial" w:eastAsia="宋体" w:cs="Arial"/>
          <w:b/>
          <w:sz w:val="28"/>
        </w:rPr>
      </w:pPr>
      <w:r>
        <w:rPr>
          <w:rFonts w:ascii="Arial" w:hAnsi="Arial" w:eastAsia="宋体" w:cs="Arial"/>
          <w:b/>
          <w:sz w:val="28"/>
        </w:rPr>
        <w:t>文件发布时间：2002年1月11日</w:t>
      </w:r>
    </w:p>
    <w:p w14:paraId="48E4CA65">
      <w:pPr>
        <w:adjustRightInd w:val="0"/>
        <w:snapToGrid w:val="0"/>
        <w:spacing w:after="312" w:afterLines="100" w:line="300" w:lineRule="auto"/>
        <w:jc w:val="center"/>
        <w:rPr>
          <w:rFonts w:ascii="Arial" w:hAnsi="Arial" w:eastAsia="宋体" w:cs="Arial"/>
        </w:rPr>
      </w:pPr>
    </w:p>
    <w:p w14:paraId="23833D3E">
      <w:pPr>
        <w:adjustRightInd w:val="0"/>
        <w:snapToGrid w:val="0"/>
        <w:spacing w:after="312" w:afterLines="100" w:line="300" w:lineRule="auto"/>
        <w:jc w:val="center"/>
        <w:rPr>
          <w:rFonts w:ascii="Arial" w:hAnsi="Arial" w:eastAsia="宋体" w:cs="Arial"/>
        </w:rPr>
      </w:pPr>
    </w:p>
    <w:p w14:paraId="338ACE43">
      <w:pPr>
        <w:adjustRightInd w:val="0"/>
        <w:snapToGrid w:val="0"/>
        <w:spacing w:after="312" w:afterLines="100" w:line="300" w:lineRule="auto"/>
        <w:jc w:val="center"/>
        <w:rPr>
          <w:rFonts w:ascii="Arial" w:hAnsi="Arial" w:eastAsia="宋体" w:cs="Arial"/>
        </w:rPr>
      </w:pPr>
    </w:p>
    <w:p w14:paraId="4DA63867">
      <w:pPr>
        <w:adjustRightInd w:val="0"/>
        <w:snapToGrid w:val="0"/>
        <w:spacing w:after="312" w:afterLines="100" w:line="300" w:lineRule="auto"/>
        <w:jc w:val="center"/>
        <w:rPr>
          <w:rFonts w:ascii="Arial" w:hAnsi="Arial" w:eastAsia="宋体" w:cs="Arial"/>
        </w:rPr>
      </w:pPr>
    </w:p>
    <w:p w14:paraId="4E179D24">
      <w:pPr>
        <w:adjustRightInd w:val="0"/>
        <w:snapToGrid w:val="0"/>
        <w:spacing w:after="312" w:afterLines="100" w:line="300" w:lineRule="auto"/>
        <w:rPr>
          <w:rFonts w:ascii="Arial" w:hAnsi="Arial" w:eastAsia="宋体" w:cs="Arial"/>
          <w:sz w:val="24"/>
        </w:rPr>
      </w:pPr>
      <w:r>
        <w:rPr>
          <w:rFonts w:ascii="Arial" w:hAnsi="Arial" w:eastAsia="宋体" w:cs="Arial"/>
          <w:sz w:val="24"/>
        </w:rPr>
        <w:t>本文件取代1997年6月9日发布的草案文件《</w:t>
      </w:r>
      <w:bookmarkStart w:id="0" w:name="OLE_LINK54"/>
      <w:bookmarkStart w:id="1" w:name="OLE_LINK53"/>
      <w:r>
        <w:rPr>
          <w:rFonts w:ascii="Arial" w:hAnsi="Arial" w:eastAsia="宋体" w:cs="Arial"/>
          <w:sz w:val="24"/>
        </w:rPr>
        <w:t>软件验证的一般原则，版本1.1》。</w:t>
      </w:r>
      <w:bookmarkEnd w:id="0"/>
      <w:bookmarkEnd w:id="1"/>
    </w:p>
    <w:p w14:paraId="4F4DD18D">
      <w:pPr>
        <w:adjustRightInd w:val="0"/>
        <w:snapToGrid w:val="0"/>
        <w:spacing w:after="312" w:afterLines="100" w:line="300" w:lineRule="auto"/>
        <w:jc w:val="left"/>
        <w:rPr>
          <w:rFonts w:ascii="Arial" w:hAnsi="Arial" w:eastAsia="宋体" w:cs="Arial"/>
          <w:sz w:val="24"/>
        </w:rPr>
      </w:pPr>
    </w:p>
    <w:p w14:paraId="104E2B26">
      <w:pPr>
        <w:adjustRightInd w:val="0"/>
        <w:snapToGrid w:val="0"/>
        <w:spacing w:after="312" w:afterLines="100" w:line="300" w:lineRule="auto"/>
        <w:jc w:val="left"/>
        <w:rPr>
          <w:rFonts w:ascii="Arial" w:hAnsi="Arial" w:eastAsia="宋体" w:cs="Arial"/>
          <w:sz w:val="24"/>
        </w:rPr>
      </w:pPr>
    </w:p>
    <w:p w14:paraId="5B91971C">
      <w:pPr>
        <w:adjustRightInd w:val="0"/>
        <w:snapToGrid w:val="0"/>
        <w:spacing w:after="312" w:afterLines="100" w:line="300" w:lineRule="auto"/>
        <w:jc w:val="left"/>
        <w:rPr>
          <w:rFonts w:ascii="Arial" w:hAnsi="Arial" w:eastAsia="宋体" w:cs="Arial"/>
          <w:sz w:val="24"/>
        </w:rPr>
      </w:pPr>
    </w:p>
    <w:p w14:paraId="503EF63C">
      <w:pPr>
        <w:snapToGrid w:val="0"/>
        <w:spacing w:line="300" w:lineRule="auto"/>
        <w:jc w:val="right"/>
        <w:rPr>
          <w:rFonts w:ascii="Arial" w:hAnsi="Arial" w:eastAsia="宋体" w:cs="Arial"/>
          <w:b/>
          <w:kern w:val="0"/>
          <w:sz w:val="24"/>
        </w:rPr>
      </w:pPr>
      <w:r>
        <w:rPr>
          <w:rFonts w:ascii="Arial" w:hAnsi="Arial" w:eastAsia="宋体" w:cs="Arial"/>
          <w:b/>
          <w:kern w:val="0"/>
          <w:sz w:val="24"/>
        </w:rPr>
        <w:drawing>
          <wp:anchor distT="0" distB="0" distL="114300" distR="114300" simplePos="0" relativeHeight="251659264" behindDoc="0" locked="0" layoutInCell="1" allowOverlap="1">
            <wp:simplePos x="0" y="0"/>
            <wp:positionH relativeFrom="column">
              <wp:posOffset>61595</wp:posOffset>
            </wp:positionH>
            <wp:positionV relativeFrom="paragraph">
              <wp:posOffset>102235</wp:posOffset>
            </wp:positionV>
            <wp:extent cx="1303020" cy="11118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303020" cy="1111885"/>
                    </a:xfrm>
                    <a:prstGeom prst="rect">
                      <a:avLst/>
                    </a:prstGeom>
                  </pic:spPr>
                </pic:pic>
              </a:graphicData>
            </a:graphic>
          </wp:anchor>
        </w:drawing>
      </w:r>
      <w:r>
        <w:rPr>
          <w:rFonts w:ascii="Arial" w:hAnsi="Arial" w:eastAsia="宋体" w:cs="Arial"/>
          <w:b/>
          <w:kern w:val="0"/>
          <w:sz w:val="24"/>
        </w:rPr>
        <w:t>美国卫生与公众服务部</w:t>
      </w:r>
    </w:p>
    <w:p w14:paraId="38A2719F">
      <w:pPr>
        <w:snapToGrid w:val="0"/>
        <w:spacing w:line="300" w:lineRule="auto"/>
        <w:jc w:val="right"/>
        <w:rPr>
          <w:rFonts w:ascii="Arial" w:hAnsi="Arial" w:eastAsia="宋体" w:cs="Arial"/>
          <w:b/>
          <w:kern w:val="0"/>
          <w:sz w:val="24"/>
        </w:rPr>
      </w:pPr>
      <w:r>
        <w:rPr>
          <w:rFonts w:ascii="Arial" w:hAnsi="Arial" w:eastAsia="宋体" w:cs="Arial"/>
          <w:b/>
          <w:kern w:val="0"/>
          <w:sz w:val="24"/>
        </w:rPr>
        <w:t>食品药品监督管理局</w:t>
      </w:r>
    </w:p>
    <w:p w14:paraId="07891819">
      <w:pPr>
        <w:snapToGrid w:val="0"/>
        <w:spacing w:line="300" w:lineRule="auto"/>
        <w:jc w:val="right"/>
        <w:rPr>
          <w:rFonts w:ascii="Arial" w:hAnsi="Arial" w:eastAsia="宋体" w:cs="Arial"/>
          <w:b/>
          <w:kern w:val="0"/>
          <w:sz w:val="24"/>
        </w:rPr>
      </w:pPr>
      <w:r>
        <w:rPr>
          <w:rFonts w:ascii="Arial" w:hAnsi="Arial" w:eastAsia="宋体" w:cs="Arial"/>
          <w:b/>
          <w:kern w:val="0"/>
          <w:sz w:val="24"/>
        </w:rPr>
        <w:t>器械与放射健康中心</w:t>
      </w:r>
    </w:p>
    <w:p w14:paraId="46D7AC08">
      <w:pPr>
        <w:snapToGrid w:val="0"/>
        <w:spacing w:line="300" w:lineRule="auto"/>
        <w:jc w:val="right"/>
        <w:rPr>
          <w:rFonts w:ascii="Arial" w:hAnsi="Arial" w:eastAsia="宋体" w:cs="Arial"/>
          <w:b/>
          <w:kern w:val="0"/>
          <w:sz w:val="24"/>
        </w:rPr>
      </w:pPr>
      <w:r>
        <w:rPr>
          <w:rFonts w:ascii="Arial" w:hAnsi="Arial" w:eastAsia="宋体" w:cs="Arial"/>
          <w:b/>
          <w:kern w:val="0"/>
          <w:sz w:val="24"/>
        </w:rPr>
        <w:t>生物制品评估和研究中心</w:t>
      </w:r>
    </w:p>
    <w:p w14:paraId="5F84E7D3">
      <w:pPr>
        <w:snapToGrid w:val="0"/>
        <w:spacing w:line="300" w:lineRule="auto"/>
        <w:jc w:val="center"/>
        <w:rPr>
          <w:rFonts w:ascii="Arial" w:hAnsi="Arial" w:eastAsia="宋体" w:cs="Arial"/>
          <w:b/>
          <w:kern w:val="0"/>
          <w:sz w:val="24"/>
        </w:rPr>
      </w:pPr>
    </w:p>
    <w:p w14:paraId="0F0E460C">
      <w:pPr>
        <w:snapToGrid w:val="0"/>
        <w:spacing w:line="300" w:lineRule="auto"/>
        <w:jc w:val="right"/>
        <w:rPr>
          <w:rFonts w:ascii="Arial" w:hAnsi="Arial" w:eastAsia="宋体" w:cs="Arial"/>
          <w:b/>
          <w:kern w:val="0"/>
          <w:sz w:val="24"/>
        </w:rPr>
        <w:sectPr>
          <w:headerReference r:id="rId3" w:type="default"/>
          <w:footerReference r:id="rId4" w:type="default"/>
          <w:pgSz w:w="11906" w:h="16838"/>
          <w:pgMar w:top="1418" w:right="1418" w:bottom="1418" w:left="1418" w:header="720" w:footer="720" w:gutter="0"/>
          <w:cols w:space="720" w:num="1"/>
          <w:docGrid w:type="lines" w:linePitch="312" w:charSpace="0"/>
        </w:sectPr>
      </w:pPr>
    </w:p>
    <w:p w14:paraId="644B6B44">
      <w:pPr>
        <w:widowControl/>
        <w:adjustRightInd w:val="0"/>
        <w:snapToGrid w:val="0"/>
        <w:spacing w:after="312" w:afterLines="100" w:line="300" w:lineRule="auto"/>
        <w:jc w:val="left"/>
        <w:rPr>
          <w:rFonts w:ascii="Arial" w:hAnsi="Arial" w:eastAsia="宋体" w:cs="Arial"/>
        </w:rPr>
      </w:pPr>
    </w:p>
    <w:p w14:paraId="38113D62">
      <w:pPr>
        <w:snapToGrid w:val="0"/>
        <w:spacing w:line="300" w:lineRule="auto"/>
        <w:jc w:val="center"/>
        <w:rPr>
          <w:rFonts w:ascii="Arial" w:hAnsi="Arial" w:eastAsia="宋体" w:cs="Arial"/>
          <w:b/>
          <w:kern w:val="0"/>
          <w:sz w:val="48"/>
        </w:rPr>
      </w:pPr>
      <w:r>
        <w:rPr>
          <w:rFonts w:ascii="Arial" w:hAnsi="Arial" w:eastAsia="宋体" w:cs="Arial"/>
          <w:b/>
          <w:kern w:val="0"/>
          <w:sz w:val="48"/>
        </w:rPr>
        <w:t>前言</w:t>
      </w:r>
    </w:p>
    <w:p w14:paraId="31653706">
      <w:pPr>
        <w:snapToGrid w:val="0"/>
        <w:spacing w:line="300" w:lineRule="auto"/>
        <w:rPr>
          <w:rFonts w:ascii="Arial" w:hAnsi="Arial" w:eastAsia="宋体" w:cs="Arial"/>
          <w:b/>
          <w:kern w:val="0"/>
          <w:sz w:val="36"/>
        </w:rPr>
      </w:pPr>
      <w:r>
        <w:rPr>
          <w:rFonts w:ascii="Arial" w:hAnsi="Arial" w:eastAsia="宋体" w:cs="Arial"/>
          <w:b/>
          <w:kern w:val="0"/>
          <w:sz w:val="36"/>
        </w:rPr>
        <w:t>公众评论</w:t>
      </w:r>
    </w:p>
    <w:p w14:paraId="46BAA7EA">
      <w:pPr>
        <w:pStyle w:val="3"/>
        <w:adjustRightInd w:val="0"/>
        <w:snapToGrid w:val="0"/>
        <w:spacing w:before="0" w:after="312" w:afterLines="100" w:line="300" w:lineRule="auto"/>
        <w:ind w:left="630" w:leftChars="300"/>
        <w:jc w:val="both"/>
        <w:rPr>
          <w:rFonts w:ascii="Arial" w:hAnsi="Arial" w:cs="Arial"/>
          <w:lang w:eastAsia="zh-CN"/>
        </w:rPr>
      </w:pPr>
      <w:r>
        <w:rPr>
          <w:rFonts w:ascii="Arial" w:hAnsi="Arial" w:cs="Arial"/>
        </w:rPr>
        <w:t>贵公司可以在任何时间向食品药品监督管理局，人力资源与管理服务办公室，系统与政策管理分部，</w:t>
      </w:r>
      <w:r>
        <w:rPr>
          <w:rFonts w:ascii="Arial" w:hAnsi="Arial" w:cs="Arial"/>
          <w:lang w:eastAsia="zh-CN"/>
        </w:rPr>
        <w:t>文档管理部提交评论或建议</w:t>
      </w:r>
      <w:r>
        <w:rPr>
          <w:rFonts w:ascii="Arial" w:hAnsi="Arial" w:cs="Arial"/>
        </w:rPr>
        <w:t>（5630 Fishers Lane, Room 1061, （HFA-305）, Rockville, MD, 20852），供部门审议。</w:t>
      </w:r>
      <w:r>
        <w:rPr>
          <w:rFonts w:ascii="Arial" w:hAnsi="Arial" w:cs="Arial"/>
          <w:lang w:eastAsia="zh-CN"/>
        </w:rPr>
        <w:t>在提交评论时请提交指导性文件的确切标题。可能直到文件下次修订或更新时，评论才会被机构受理。</w:t>
      </w:r>
    </w:p>
    <w:p w14:paraId="1E476204">
      <w:pPr>
        <w:pStyle w:val="3"/>
        <w:adjustRightInd w:val="0"/>
        <w:snapToGrid w:val="0"/>
        <w:spacing w:before="0" w:after="312" w:afterLines="100" w:line="300" w:lineRule="auto"/>
        <w:ind w:left="630" w:leftChars="300"/>
        <w:jc w:val="both"/>
        <w:rPr>
          <w:rFonts w:ascii="Arial" w:hAnsi="Arial" w:cs="Arial"/>
          <w:lang w:eastAsia="zh-CN"/>
        </w:rPr>
      </w:pPr>
      <w:r>
        <w:rPr>
          <w:rFonts w:ascii="Arial" w:hAnsi="Arial" w:cs="Arial"/>
          <w:lang w:eastAsia="zh-CN"/>
        </w:rPr>
        <w:t>如果对本指南的使用或解释有任何问题，请联系器械与放射健康中心（CDRH）的John F Murry先生，电话为（</w:t>
      </w:r>
      <w:bookmarkStart w:id="2" w:name="OLE_LINK18"/>
      <w:r>
        <w:rPr>
          <w:rFonts w:ascii="Arial" w:hAnsi="Arial" w:cs="Arial"/>
          <w:lang w:eastAsia="zh-CN"/>
        </w:rPr>
        <w:t>301）594-46</w:t>
      </w:r>
      <w:bookmarkEnd w:id="2"/>
      <w:r>
        <w:rPr>
          <w:rFonts w:ascii="Arial" w:hAnsi="Arial" w:cs="Arial"/>
          <w:lang w:eastAsia="zh-CN"/>
        </w:rPr>
        <w:t>59，邮箱为jfm@cdrh.fda.gov。</w:t>
      </w:r>
    </w:p>
    <w:p w14:paraId="0981C636">
      <w:pPr>
        <w:pStyle w:val="3"/>
        <w:adjustRightInd w:val="0"/>
        <w:snapToGrid w:val="0"/>
        <w:spacing w:before="0" w:after="312" w:afterLines="100" w:line="300" w:lineRule="auto"/>
        <w:ind w:left="630" w:leftChars="300"/>
        <w:jc w:val="both"/>
        <w:rPr>
          <w:rFonts w:ascii="Arial" w:hAnsi="Arial" w:cs="Arial"/>
          <w:lang w:eastAsia="zh-CN"/>
        </w:rPr>
      </w:pPr>
      <w:r>
        <w:rPr>
          <w:rFonts w:ascii="Arial" w:hAnsi="Arial" w:cs="Arial"/>
          <w:lang w:eastAsia="zh-CN"/>
        </w:rPr>
        <w:t>如果对本指南的使用或解释有任何问题，请联系器械与放射健康中心（CDRH）的Jerome Davis先生，电话为（301）827-6220，邮箱为davis@cdrh.fda.gov。</w:t>
      </w:r>
    </w:p>
    <w:p w14:paraId="15ACB7BE">
      <w:pPr>
        <w:snapToGrid w:val="0"/>
        <w:spacing w:after="156" w:afterLines="50" w:line="300" w:lineRule="auto"/>
        <w:rPr>
          <w:rFonts w:ascii="Arial" w:hAnsi="Arial" w:eastAsia="宋体" w:cs="Arial"/>
          <w:b/>
          <w:kern w:val="0"/>
          <w:sz w:val="36"/>
        </w:rPr>
      </w:pPr>
      <w:r>
        <w:rPr>
          <w:rFonts w:ascii="Arial" w:hAnsi="Arial" w:eastAsia="宋体" w:cs="Arial"/>
          <w:b/>
          <w:kern w:val="0"/>
          <w:sz w:val="36"/>
        </w:rPr>
        <w:t>其他副本</w:t>
      </w:r>
    </w:p>
    <w:p w14:paraId="5D89CC01">
      <w:pPr>
        <w:pStyle w:val="3"/>
        <w:adjustRightInd w:val="0"/>
        <w:snapToGrid w:val="0"/>
        <w:spacing w:before="0" w:after="312" w:afterLines="100" w:line="300" w:lineRule="auto"/>
        <w:ind w:left="630" w:leftChars="300"/>
        <w:jc w:val="both"/>
        <w:rPr>
          <w:rFonts w:ascii="Arial" w:hAnsi="Arial" w:cs="Arial"/>
          <w:lang w:eastAsia="zh-CN"/>
        </w:rPr>
      </w:pPr>
      <w:r>
        <w:rPr>
          <w:rFonts w:ascii="Arial" w:hAnsi="Arial" w:cs="Arial"/>
          <w:lang w:eastAsia="zh-CN"/>
        </w:rPr>
        <w:t>CDRH</w:t>
      </w:r>
    </w:p>
    <w:p w14:paraId="124B1C6F">
      <w:pPr>
        <w:pStyle w:val="3"/>
        <w:adjustRightInd w:val="0"/>
        <w:snapToGrid w:val="0"/>
        <w:spacing w:before="0" w:after="312" w:afterLines="100" w:line="300" w:lineRule="auto"/>
        <w:ind w:left="630" w:leftChars="300"/>
        <w:jc w:val="both"/>
        <w:rPr>
          <w:rFonts w:ascii="Arial" w:hAnsi="Arial" w:cs="Arial"/>
          <w:lang w:eastAsia="zh-CN"/>
        </w:rPr>
      </w:pPr>
      <w:r>
        <w:rPr>
          <w:rFonts w:ascii="Arial" w:hAnsi="Arial" w:cs="Arial"/>
          <w:lang w:eastAsia="zh-CN"/>
        </w:rPr>
        <w:t>文件其他副本可以从网上下载，网址为：www.fda.gov/MedicalDevices/DeviceRegulationandGuidance/GuidanceDocuments/UCM085281.htm。贵公司也可以发送请求邮件至dsmica@fda.hhs.gov接收指南的电子版，或传真至301-847-8149来获取硬拷贝。请使用文件</w:t>
      </w:r>
      <w:bookmarkStart w:id="3" w:name="OLE_LINK20"/>
      <w:bookmarkStart w:id="4" w:name="OLE_LINK19"/>
      <w:r>
        <w:rPr>
          <w:rFonts w:ascii="Arial" w:hAnsi="Arial" w:cs="Arial"/>
          <w:lang w:eastAsia="zh-CN"/>
        </w:rPr>
        <w:t>编号（938）</w:t>
      </w:r>
      <w:bookmarkEnd w:id="3"/>
      <w:bookmarkEnd w:id="4"/>
      <w:r>
        <w:rPr>
          <w:rFonts w:ascii="Arial" w:hAnsi="Arial" w:cs="Arial"/>
          <w:lang w:eastAsia="zh-CN"/>
        </w:rPr>
        <w:t>来确认贵公司请求的指南。</w:t>
      </w:r>
    </w:p>
    <w:p w14:paraId="524E5580">
      <w:pPr>
        <w:pStyle w:val="3"/>
        <w:adjustRightInd w:val="0"/>
        <w:snapToGrid w:val="0"/>
        <w:spacing w:before="0" w:after="312" w:afterLines="100" w:line="300" w:lineRule="auto"/>
        <w:ind w:left="630" w:leftChars="300"/>
        <w:jc w:val="both"/>
        <w:rPr>
          <w:rFonts w:ascii="Arial" w:hAnsi="Arial" w:cs="Arial"/>
          <w:lang w:eastAsia="zh-CN"/>
        </w:rPr>
      </w:pPr>
      <w:r>
        <w:rPr>
          <w:rFonts w:ascii="Arial" w:hAnsi="Arial" w:cs="Arial"/>
          <w:lang w:eastAsia="zh-CN"/>
        </w:rPr>
        <w:t>CBER</w:t>
      </w:r>
    </w:p>
    <w:p w14:paraId="30BBA257">
      <w:pPr>
        <w:pStyle w:val="3"/>
        <w:adjustRightInd w:val="0"/>
        <w:snapToGrid w:val="0"/>
        <w:spacing w:before="0" w:after="312" w:afterLines="100" w:line="300" w:lineRule="auto"/>
        <w:ind w:left="630" w:leftChars="300"/>
        <w:jc w:val="both"/>
        <w:rPr>
          <w:rFonts w:ascii="Arial" w:hAnsi="Arial" w:cs="Arial"/>
          <w:lang w:eastAsia="zh-CN"/>
        </w:rPr>
      </w:pPr>
      <w:r>
        <w:rPr>
          <w:rFonts w:ascii="Arial" w:hAnsi="Arial" w:cs="Arial"/>
          <w:lang w:eastAsia="zh-CN"/>
        </w:rPr>
        <w:t>其他副本可以从网址：http://www.fda.gov/cber/guidelines.htm下载，也可以写书面申请至CBER交流、培训和制造商协助办公室[（HFM-40）, 1401 Rockville Pike, Rockville, Maryland 20852-1448]，或致电1-800-835-5709或301-827-1800获取。</w:t>
      </w:r>
    </w:p>
    <w:p w14:paraId="51057F9A">
      <w:pPr>
        <w:widowControl/>
        <w:adjustRightInd w:val="0"/>
        <w:snapToGrid w:val="0"/>
        <w:spacing w:after="312" w:afterLines="100" w:line="300" w:lineRule="auto"/>
        <w:jc w:val="left"/>
        <w:rPr>
          <w:rFonts w:ascii="Arial" w:hAnsi="Arial" w:eastAsia="宋体" w:cs="Arial"/>
        </w:rPr>
      </w:pPr>
      <w:r>
        <w:rPr>
          <w:rFonts w:ascii="Arial" w:hAnsi="Arial" w:eastAsia="宋体" w:cs="Arial"/>
        </w:rPr>
        <w:br w:type="page"/>
      </w:r>
    </w:p>
    <w:p w14:paraId="637C3A0D">
      <w:pPr>
        <w:snapToGrid w:val="0"/>
        <w:spacing w:line="300" w:lineRule="auto"/>
        <w:jc w:val="center"/>
        <w:rPr>
          <w:rFonts w:ascii="Arial" w:hAnsi="Arial" w:eastAsia="宋体" w:cs="Arial"/>
          <w:b/>
          <w:kern w:val="0"/>
          <w:sz w:val="48"/>
        </w:rPr>
      </w:pPr>
      <w:r>
        <w:rPr>
          <w:rFonts w:ascii="Arial" w:hAnsi="Arial" w:eastAsia="宋体" w:cs="Arial"/>
          <w:b/>
          <w:kern w:val="0"/>
          <w:sz w:val="48"/>
        </w:rPr>
        <w:t>目录</w:t>
      </w:r>
    </w:p>
    <w:p w14:paraId="0AF8F7B9">
      <w:pPr>
        <w:pStyle w:val="8"/>
        <w:tabs>
          <w:tab w:val="right" w:leader="dot" w:pos="9060"/>
        </w:tabs>
        <w:spacing w:before="312" w:after="312"/>
        <w:rPr>
          <w:rFonts w:asciiTheme="minorHAnsi" w:hAnsiTheme="minorHAnsi" w:eastAsiaTheme="minorEastAsia"/>
          <w:sz w:val="21"/>
        </w:rPr>
      </w:pPr>
      <w:r>
        <w:rPr>
          <w:rFonts w:cs="Arial"/>
        </w:rPr>
        <w:fldChar w:fldCharType="begin"/>
      </w:r>
      <w:r>
        <w:rPr>
          <w:rFonts w:cs="Arial"/>
        </w:rPr>
        <w:instrText xml:space="preserve"> TOC \o "1-3" \h \z \u </w:instrText>
      </w:r>
      <w:r>
        <w:rPr>
          <w:rFonts w:cs="Arial"/>
        </w:rPr>
        <w:fldChar w:fldCharType="separate"/>
      </w:r>
      <w:r>
        <w:fldChar w:fldCharType="begin"/>
      </w:r>
      <w:r>
        <w:instrText xml:space="preserve"> HYPERLINK \l "_Toc484792159" </w:instrText>
      </w:r>
      <w:r>
        <w:fldChar w:fldCharType="separate"/>
      </w:r>
      <w:r>
        <w:rPr>
          <w:rStyle w:val="13"/>
          <w:rFonts w:hint="eastAsia" w:cs="Arial"/>
        </w:rPr>
        <w:t>第</w:t>
      </w:r>
      <w:r>
        <w:rPr>
          <w:rStyle w:val="13"/>
          <w:rFonts w:cs="Arial"/>
        </w:rPr>
        <w:t>1</w:t>
      </w:r>
      <w:r>
        <w:rPr>
          <w:rStyle w:val="13"/>
          <w:rFonts w:hint="eastAsia" w:cs="Arial"/>
        </w:rPr>
        <w:t>章</w:t>
      </w:r>
      <w:r>
        <w:rPr>
          <w:rStyle w:val="13"/>
          <w:rFonts w:cs="Arial"/>
        </w:rPr>
        <w:t xml:space="preserve"> </w:t>
      </w:r>
      <w:r>
        <w:rPr>
          <w:rStyle w:val="13"/>
          <w:rFonts w:hint="eastAsia" w:cs="Arial"/>
        </w:rPr>
        <w:t>目的</w:t>
      </w:r>
      <w:r>
        <w:tab/>
      </w:r>
      <w:r>
        <w:fldChar w:fldCharType="begin"/>
      </w:r>
      <w:r>
        <w:instrText xml:space="preserve"> PAGEREF _Toc484792159 \h </w:instrText>
      </w:r>
      <w:r>
        <w:fldChar w:fldCharType="separate"/>
      </w:r>
      <w:r>
        <w:t>5</w:t>
      </w:r>
      <w:r>
        <w:fldChar w:fldCharType="end"/>
      </w:r>
      <w:r>
        <w:fldChar w:fldCharType="end"/>
      </w:r>
    </w:p>
    <w:p w14:paraId="4A7861F8">
      <w:pPr>
        <w:pStyle w:val="8"/>
        <w:tabs>
          <w:tab w:val="right" w:leader="dot" w:pos="9060"/>
        </w:tabs>
        <w:spacing w:before="312" w:after="312"/>
        <w:rPr>
          <w:rFonts w:asciiTheme="minorHAnsi" w:hAnsiTheme="minorHAnsi" w:eastAsiaTheme="minorEastAsia"/>
          <w:sz w:val="21"/>
        </w:rPr>
      </w:pPr>
      <w:r>
        <w:fldChar w:fldCharType="begin"/>
      </w:r>
      <w:r>
        <w:instrText xml:space="preserve"> HYPERLINK \l "_Toc484792160" </w:instrText>
      </w:r>
      <w:r>
        <w:fldChar w:fldCharType="separate"/>
      </w:r>
      <w:r>
        <w:rPr>
          <w:rStyle w:val="13"/>
          <w:rFonts w:hint="eastAsia" w:cs="Arial"/>
        </w:rPr>
        <w:t>第</w:t>
      </w:r>
      <w:r>
        <w:rPr>
          <w:rStyle w:val="13"/>
          <w:rFonts w:cs="Arial"/>
        </w:rPr>
        <w:t>2</w:t>
      </w:r>
      <w:r>
        <w:rPr>
          <w:rStyle w:val="13"/>
          <w:rFonts w:hint="eastAsia" w:cs="Arial"/>
        </w:rPr>
        <w:t>章</w:t>
      </w:r>
      <w:r>
        <w:rPr>
          <w:rStyle w:val="13"/>
          <w:rFonts w:cs="Arial"/>
        </w:rPr>
        <w:t xml:space="preserve"> </w:t>
      </w:r>
      <w:r>
        <w:rPr>
          <w:rStyle w:val="13"/>
          <w:rFonts w:hint="eastAsia" w:cs="Arial"/>
        </w:rPr>
        <w:t>范围</w:t>
      </w:r>
      <w:r>
        <w:tab/>
      </w:r>
      <w:r>
        <w:fldChar w:fldCharType="begin"/>
      </w:r>
      <w:r>
        <w:instrText xml:space="preserve"> PAGEREF _Toc484792160 \h </w:instrText>
      </w:r>
      <w:r>
        <w:fldChar w:fldCharType="separate"/>
      </w:r>
      <w:r>
        <w:t>5</w:t>
      </w:r>
      <w:r>
        <w:fldChar w:fldCharType="end"/>
      </w:r>
      <w:r>
        <w:fldChar w:fldCharType="end"/>
      </w:r>
    </w:p>
    <w:p w14:paraId="2F8EC566">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"_Toc484792161" </w:instrText>
      </w:r>
      <w:r>
        <w:fldChar w:fldCharType="separate"/>
      </w:r>
      <w:r>
        <w:rPr>
          <w:rStyle w:val="13"/>
          <w:rFonts w:cs="Arial"/>
        </w:rPr>
        <w:t>2.1</w:t>
      </w:r>
      <w:r>
        <w:rPr>
          <w:rFonts w:asciiTheme="minorHAnsi" w:hAnsiTheme="minorHAnsi" w:eastAsiaTheme="minorEastAsia"/>
          <w:sz w:val="21"/>
        </w:rPr>
        <w:tab/>
      </w:r>
      <w:r>
        <w:rPr>
          <w:rStyle w:val="13"/>
          <w:rFonts w:hint="eastAsia" w:cs="Arial"/>
        </w:rPr>
        <w:t>适用性</w:t>
      </w:r>
      <w:r>
        <w:tab/>
      </w:r>
      <w:r>
        <w:fldChar w:fldCharType="begin"/>
      </w:r>
      <w:r>
        <w:instrText xml:space="preserve"> PAGEREF _Toc484792161 \h </w:instrText>
      </w:r>
      <w:r>
        <w:fldChar w:fldCharType="separate"/>
      </w:r>
      <w:r>
        <w:t>6</w:t>
      </w:r>
      <w:r>
        <w:fldChar w:fldCharType="end"/>
      </w:r>
      <w:r>
        <w:fldChar w:fldCharType="end"/>
      </w:r>
    </w:p>
    <w:p w14:paraId="2DA2B676">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"_Toc484792162" </w:instrText>
      </w:r>
      <w:r>
        <w:fldChar w:fldCharType="separate"/>
      </w:r>
      <w:r>
        <w:rPr>
          <w:rStyle w:val="13"/>
          <w:rFonts w:cs="Arial"/>
        </w:rPr>
        <w:t>2.2</w:t>
      </w:r>
      <w:r>
        <w:rPr>
          <w:rFonts w:asciiTheme="minorHAnsi" w:hAnsiTheme="minorHAnsi" w:eastAsiaTheme="minorEastAsia"/>
          <w:sz w:val="21"/>
        </w:rPr>
        <w:tab/>
      </w:r>
      <w:r>
        <w:rPr>
          <w:rStyle w:val="13"/>
          <w:rFonts w:hint="eastAsia" w:cs="Arial"/>
        </w:rPr>
        <w:t>受众</w:t>
      </w:r>
      <w:r>
        <w:tab/>
      </w:r>
      <w:r>
        <w:fldChar w:fldCharType="begin"/>
      </w:r>
      <w:r>
        <w:instrText xml:space="preserve"> PAGEREF _Toc484792162 \h </w:instrText>
      </w:r>
      <w:r>
        <w:fldChar w:fldCharType="separate"/>
      </w:r>
      <w:r>
        <w:t>6</w:t>
      </w:r>
      <w:r>
        <w:fldChar w:fldCharType="end"/>
      </w:r>
      <w:r>
        <w:fldChar w:fldCharType="end"/>
      </w:r>
    </w:p>
    <w:p w14:paraId="0F40E686">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"_Toc484792163" </w:instrText>
      </w:r>
      <w:r>
        <w:fldChar w:fldCharType="separate"/>
      </w:r>
      <w:r>
        <w:rPr>
          <w:rStyle w:val="13"/>
          <w:rFonts w:cs="Arial"/>
        </w:rPr>
        <w:t>2.3</w:t>
      </w:r>
      <w:r>
        <w:rPr>
          <w:rFonts w:asciiTheme="minorHAnsi" w:hAnsiTheme="minorHAnsi" w:eastAsiaTheme="minorEastAsia"/>
          <w:sz w:val="21"/>
        </w:rPr>
        <w:tab/>
      </w:r>
      <w:r>
        <w:rPr>
          <w:rStyle w:val="13"/>
          <w:rFonts w:hint="eastAsia" w:cs="Arial"/>
        </w:rPr>
        <w:t>最小负担方法</w:t>
      </w:r>
      <w:r>
        <w:tab/>
      </w:r>
      <w:r>
        <w:fldChar w:fldCharType="begin"/>
      </w:r>
      <w:r>
        <w:instrText xml:space="preserve"> PAGEREF _Toc484792163 \h </w:instrText>
      </w:r>
      <w:r>
        <w:fldChar w:fldCharType="separate"/>
      </w:r>
      <w:r>
        <w:t>6</w:t>
      </w:r>
      <w:r>
        <w:fldChar w:fldCharType="end"/>
      </w:r>
      <w:r>
        <w:fldChar w:fldCharType="end"/>
      </w:r>
    </w:p>
    <w:p w14:paraId="28F40320">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"_Toc484792164" </w:instrText>
      </w:r>
      <w:r>
        <w:fldChar w:fldCharType="separate"/>
      </w:r>
      <w:r>
        <w:rPr>
          <w:rStyle w:val="13"/>
          <w:rFonts w:cs="Arial"/>
        </w:rPr>
        <w:t>2.4</w:t>
      </w:r>
      <w:r>
        <w:rPr>
          <w:rFonts w:asciiTheme="minorHAnsi" w:hAnsiTheme="minorHAnsi" w:eastAsiaTheme="minorEastAsia"/>
          <w:sz w:val="21"/>
        </w:rPr>
        <w:tab/>
      </w:r>
      <w:r>
        <w:rPr>
          <w:rStyle w:val="13"/>
          <w:rFonts w:hint="eastAsia" w:cs="Arial"/>
        </w:rPr>
        <w:t>软件验证的法律要求</w:t>
      </w:r>
      <w:r>
        <w:tab/>
      </w:r>
      <w:r>
        <w:fldChar w:fldCharType="begin"/>
      </w:r>
      <w:r>
        <w:instrText xml:space="preserve"> PAGEREF _Toc484792164 \h </w:instrText>
      </w:r>
      <w:r>
        <w:fldChar w:fldCharType="separate"/>
      </w:r>
      <w:r>
        <w:t>7</w:t>
      </w:r>
      <w:r>
        <w:fldChar w:fldCharType="end"/>
      </w:r>
      <w:r>
        <w:fldChar w:fldCharType="end"/>
      </w:r>
    </w:p>
    <w:p w14:paraId="4A85FEFF">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"_Toc484792165" </w:instrText>
      </w:r>
      <w:r>
        <w:fldChar w:fldCharType="separate"/>
      </w:r>
      <w:r>
        <w:rPr>
          <w:rStyle w:val="13"/>
          <w:rFonts w:cs="Arial"/>
        </w:rPr>
        <w:t>2.4</w:t>
      </w:r>
      <w:r>
        <w:rPr>
          <w:rFonts w:asciiTheme="minorHAnsi" w:hAnsiTheme="minorHAnsi" w:eastAsiaTheme="minorEastAsia"/>
          <w:sz w:val="21"/>
        </w:rPr>
        <w:tab/>
      </w:r>
      <w:r>
        <w:rPr>
          <w:rStyle w:val="13"/>
          <w:rFonts w:hint="eastAsia" w:cs="Arial"/>
        </w:rPr>
        <w:t>质量体系法规与上市前提交</w:t>
      </w:r>
      <w:r>
        <w:tab/>
      </w:r>
      <w:r>
        <w:fldChar w:fldCharType="begin"/>
      </w:r>
      <w:r>
        <w:instrText xml:space="preserve"> PAGEREF _Toc484792165 \h </w:instrText>
      </w:r>
      <w:r>
        <w:fldChar w:fldCharType="separate"/>
      </w:r>
      <w:r>
        <w:t>8</w:t>
      </w:r>
      <w:r>
        <w:fldChar w:fldCharType="end"/>
      </w:r>
      <w:r>
        <w:fldChar w:fldCharType="end"/>
      </w:r>
    </w:p>
    <w:p w14:paraId="4C9FB021">
      <w:pPr>
        <w:pStyle w:val="8"/>
        <w:tabs>
          <w:tab w:val="right" w:leader="dot" w:pos="9060"/>
        </w:tabs>
        <w:spacing w:before="312" w:after="312"/>
        <w:rPr>
          <w:rFonts w:asciiTheme="minorHAnsi" w:hAnsiTheme="minorHAnsi" w:eastAsiaTheme="minorEastAsia"/>
          <w:sz w:val="21"/>
        </w:rPr>
      </w:pPr>
      <w:r>
        <w:fldChar w:fldCharType="begin"/>
      </w:r>
      <w:r>
        <w:instrText xml:space="preserve"> HYPERLINK \l "_Toc484792166" </w:instrText>
      </w:r>
      <w:r>
        <w:fldChar w:fldCharType="separate"/>
      </w:r>
      <w:r>
        <w:rPr>
          <w:rStyle w:val="13"/>
          <w:rFonts w:hint="eastAsia" w:cs="Arial"/>
        </w:rPr>
        <w:t>第</w:t>
      </w:r>
      <w:r>
        <w:rPr>
          <w:rStyle w:val="13"/>
          <w:rFonts w:cs="Arial"/>
        </w:rPr>
        <w:t>3</w:t>
      </w:r>
      <w:r>
        <w:rPr>
          <w:rStyle w:val="13"/>
          <w:rFonts w:hint="eastAsia" w:cs="Arial"/>
        </w:rPr>
        <w:t>章</w:t>
      </w:r>
      <w:r>
        <w:rPr>
          <w:rStyle w:val="13"/>
          <w:rFonts w:cs="Arial"/>
        </w:rPr>
        <w:t xml:space="preserve"> </w:t>
      </w:r>
      <w:r>
        <w:rPr>
          <w:rStyle w:val="13"/>
          <w:rFonts w:hint="eastAsia" w:cs="Arial"/>
        </w:rPr>
        <w:t>软件验证的背景</w:t>
      </w:r>
      <w:r>
        <w:tab/>
      </w:r>
      <w:r>
        <w:fldChar w:fldCharType="begin"/>
      </w:r>
      <w:r>
        <w:instrText xml:space="preserve"> PAGEREF _Toc484792166 \h </w:instrText>
      </w:r>
      <w:r>
        <w:fldChar w:fldCharType="separate"/>
      </w:r>
      <w:r>
        <w:t>9</w:t>
      </w:r>
      <w:r>
        <w:fldChar w:fldCharType="end"/>
      </w:r>
      <w:r>
        <w:fldChar w:fldCharType="end"/>
      </w:r>
    </w:p>
    <w:p w14:paraId="3AF69AB1">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"_Toc484792167" </w:instrText>
      </w:r>
      <w:r>
        <w:fldChar w:fldCharType="separate"/>
      </w:r>
      <w:r>
        <w:rPr>
          <w:rStyle w:val="13"/>
          <w:rFonts w:cs="Arial"/>
        </w:rPr>
        <w:t>3.1</w:t>
      </w:r>
      <w:r>
        <w:rPr>
          <w:rFonts w:asciiTheme="minorHAnsi" w:hAnsiTheme="minorHAnsi" w:eastAsiaTheme="minorEastAsia"/>
          <w:sz w:val="21"/>
        </w:rPr>
        <w:tab/>
      </w:r>
      <w:r>
        <w:rPr>
          <w:rStyle w:val="13"/>
          <w:rFonts w:hint="eastAsia" w:cs="Arial"/>
        </w:rPr>
        <w:t>定义与术语</w:t>
      </w:r>
      <w:r>
        <w:tab/>
      </w:r>
      <w:r>
        <w:fldChar w:fldCharType="begin"/>
      </w:r>
      <w:r>
        <w:instrText xml:space="preserve"> PAGEREF _Toc484792167 \h </w:instrText>
      </w:r>
      <w:r>
        <w:fldChar w:fldCharType="separate"/>
      </w:r>
      <w:r>
        <w:t>9</w:t>
      </w:r>
      <w:r>
        <w:fldChar w:fldCharType="end"/>
      </w:r>
      <w:r>
        <w:fldChar w:fldCharType="end"/>
      </w:r>
    </w:p>
    <w:p w14:paraId="0C6B0126">
      <w:pPr>
        <w:pStyle w:val="4"/>
        <w:tabs>
          <w:tab w:val="left" w:pos="1680"/>
          <w:tab w:val="right" w:leader="dot" w:pos="9060"/>
        </w:tabs>
        <w:spacing w:before="46"/>
        <w:ind w:left="840"/>
        <w:rPr>
          <w:rFonts w:asciiTheme="minorHAnsi" w:hAnsiTheme="minorHAnsi" w:eastAsiaTheme="minorEastAsia"/>
          <w:i w:val="0"/>
          <w:sz w:val="21"/>
        </w:rPr>
      </w:pPr>
      <w:r>
        <w:fldChar w:fldCharType="begin"/>
      </w:r>
      <w:r>
        <w:instrText xml:space="preserve"> HYPERLINK \l "_Toc484792168" </w:instrText>
      </w:r>
      <w:r>
        <w:fldChar w:fldCharType="separate"/>
      </w:r>
      <w:r>
        <w:rPr>
          <w:rStyle w:val="13"/>
          <w:rFonts w:cs="Arial"/>
        </w:rPr>
        <w:t>3.1.1</w:t>
      </w:r>
      <w:r>
        <w:rPr>
          <w:rFonts w:asciiTheme="minorHAnsi" w:hAnsiTheme="minorHAnsi" w:eastAsiaTheme="minorEastAsia"/>
          <w:i w:val="0"/>
          <w:sz w:val="21"/>
        </w:rPr>
        <w:tab/>
      </w:r>
      <w:r>
        <w:rPr>
          <w:rStyle w:val="13"/>
          <w:rFonts w:hint="eastAsia" w:cs="Arial"/>
        </w:rPr>
        <w:t>要求与规格</w:t>
      </w:r>
      <w:r>
        <w:tab/>
      </w:r>
      <w:r>
        <w:fldChar w:fldCharType="begin"/>
      </w:r>
      <w:r>
        <w:instrText xml:space="preserve"> PAGEREF _Toc484792168 \h </w:instrText>
      </w:r>
      <w:r>
        <w:fldChar w:fldCharType="separate"/>
      </w:r>
      <w:r>
        <w:t>9</w:t>
      </w:r>
      <w:r>
        <w:fldChar w:fldCharType="end"/>
      </w:r>
      <w:r>
        <w:fldChar w:fldCharType="end"/>
      </w:r>
    </w:p>
    <w:p w14:paraId="2A1C135D">
      <w:pPr>
        <w:pStyle w:val="4"/>
        <w:tabs>
          <w:tab w:val="left" w:pos="1680"/>
          <w:tab w:val="right" w:leader="dot" w:pos="9060"/>
        </w:tabs>
        <w:spacing w:before="46"/>
        <w:ind w:left="840"/>
        <w:rPr>
          <w:rFonts w:asciiTheme="minorHAnsi" w:hAnsiTheme="minorHAnsi" w:eastAsiaTheme="minorEastAsia"/>
          <w:i w:val="0"/>
          <w:sz w:val="21"/>
        </w:rPr>
      </w:pPr>
      <w:r>
        <w:fldChar w:fldCharType="begin"/>
      </w:r>
      <w:r>
        <w:instrText xml:space="preserve"> HYPERLINK \l "_Toc484792169" </w:instrText>
      </w:r>
      <w:r>
        <w:fldChar w:fldCharType="separate"/>
      </w:r>
      <w:r>
        <w:rPr>
          <w:rStyle w:val="13"/>
          <w:rFonts w:cs="Arial"/>
        </w:rPr>
        <w:t>3.1.2</w:t>
      </w:r>
      <w:r>
        <w:rPr>
          <w:rFonts w:asciiTheme="minorHAnsi" w:hAnsiTheme="minorHAnsi" w:eastAsiaTheme="minorEastAsia"/>
          <w:i w:val="0"/>
          <w:sz w:val="21"/>
        </w:rPr>
        <w:tab/>
      </w:r>
      <w:r>
        <w:rPr>
          <w:rStyle w:val="13"/>
          <w:rFonts w:hint="eastAsia" w:cs="Arial"/>
        </w:rPr>
        <w:t>确认与验证</w:t>
      </w:r>
      <w:r>
        <w:tab/>
      </w:r>
      <w:r>
        <w:fldChar w:fldCharType="begin"/>
      </w:r>
      <w:r>
        <w:instrText xml:space="preserve"> PAGEREF _Toc484792169 \h </w:instrText>
      </w:r>
      <w:r>
        <w:fldChar w:fldCharType="separate"/>
      </w:r>
      <w:r>
        <w:t>10</w:t>
      </w:r>
      <w:r>
        <w:fldChar w:fldCharType="end"/>
      </w:r>
      <w:r>
        <w:fldChar w:fldCharType="end"/>
      </w:r>
    </w:p>
    <w:p w14:paraId="1EA52CE1">
      <w:pPr>
        <w:pStyle w:val="4"/>
        <w:tabs>
          <w:tab w:val="left" w:pos="1680"/>
          <w:tab w:val="right" w:leader="dot" w:pos="9060"/>
        </w:tabs>
        <w:spacing w:before="46"/>
        <w:ind w:left="840"/>
        <w:rPr>
          <w:rFonts w:asciiTheme="minorHAnsi" w:hAnsiTheme="minorHAnsi" w:eastAsiaTheme="minorEastAsia"/>
          <w:i w:val="0"/>
          <w:sz w:val="21"/>
        </w:rPr>
      </w:pPr>
      <w:r>
        <w:fldChar w:fldCharType="begin"/>
      </w:r>
      <w:r>
        <w:instrText xml:space="preserve"> HYPERLINK \l "_Toc484792170" </w:instrText>
      </w:r>
      <w:r>
        <w:fldChar w:fldCharType="separate"/>
      </w:r>
      <w:r>
        <w:rPr>
          <w:rStyle w:val="13"/>
          <w:rFonts w:cs="Arial"/>
        </w:rPr>
        <w:t xml:space="preserve">3.1.3 </w:t>
      </w:r>
      <w:r>
        <w:rPr>
          <w:rFonts w:asciiTheme="minorHAnsi" w:hAnsiTheme="minorHAnsi" w:eastAsiaTheme="minorEastAsia"/>
          <w:i w:val="0"/>
          <w:sz w:val="21"/>
        </w:rPr>
        <w:tab/>
      </w:r>
      <w:r>
        <w:rPr>
          <w:rStyle w:val="13"/>
          <w:rFonts w:cs="Arial"/>
        </w:rPr>
        <w:t>IQ/ OQ/ PQ</w:t>
      </w:r>
      <w:r>
        <w:tab/>
      </w:r>
      <w:r>
        <w:fldChar w:fldCharType="begin"/>
      </w:r>
      <w:r>
        <w:instrText xml:space="preserve"> PAGEREF _Toc484792170 \h </w:instrText>
      </w:r>
      <w:r>
        <w:fldChar w:fldCharType="separate"/>
      </w:r>
      <w:r>
        <w:t>11</w:t>
      </w:r>
      <w:r>
        <w:fldChar w:fldCharType="end"/>
      </w:r>
      <w:r>
        <w:fldChar w:fldCharType="end"/>
      </w:r>
    </w:p>
    <w:p w14:paraId="3F82FC4A">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"_Toc484792171" </w:instrText>
      </w:r>
      <w:r>
        <w:fldChar w:fldCharType="separate"/>
      </w:r>
      <w:r>
        <w:rPr>
          <w:rStyle w:val="13"/>
          <w:rFonts w:cs="Arial"/>
        </w:rPr>
        <w:t>3.2</w:t>
      </w:r>
      <w:r>
        <w:rPr>
          <w:rFonts w:asciiTheme="minorHAnsi" w:hAnsiTheme="minorHAnsi" w:eastAsiaTheme="minorEastAsia"/>
          <w:sz w:val="21"/>
        </w:rPr>
        <w:tab/>
      </w:r>
      <w:r>
        <w:rPr>
          <w:rStyle w:val="13"/>
          <w:rFonts w:hint="eastAsia" w:cs="Arial"/>
        </w:rPr>
        <w:t>软件开发作为系统设计的一部分</w:t>
      </w:r>
      <w:r>
        <w:tab/>
      </w:r>
      <w:r>
        <w:fldChar w:fldCharType="begin"/>
      </w:r>
      <w:r>
        <w:instrText xml:space="preserve"> PAGEREF _Toc484792171 \h </w:instrText>
      </w:r>
      <w:r>
        <w:fldChar w:fldCharType="separate"/>
      </w:r>
      <w:r>
        <w:t>11</w:t>
      </w:r>
      <w:r>
        <w:fldChar w:fldCharType="end"/>
      </w:r>
      <w:r>
        <w:fldChar w:fldCharType="end"/>
      </w:r>
    </w:p>
    <w:p w14:paraId="2AA94C03">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"_Toc484792172" </w:instrText>
      </w:r>
      <w:r>
        <w:fldChar w:fldCharType="separate"/>
      </w:r>
      <w:r>
        <w:rPr>
          <w:rStyle w:val="13"/>
          <w:rFonts w:cs="Arial"/>
        </w:rPr>
        <w:t>3.3</w:t>
      </w:r>
      <w:r>
        <w:rPr>
          <w:rFonts w:asciiTheme="minorHAnsi" w:hAnsiTheme="minorHAnsi" w:eastAsiaTheme="minorEastAsia"/>
          <w:sz w:val="21"/>
        </w:rPr>
        <w:tab/>
      </w:r>
      <w:r>
        <w:rPr>
          <w:rStyle w:val="13"/>
          <w:rFonts w:hint="eastAsia" w:cs="Arial"/>
        </w:rPr>
        <w:t>软件不同于硬件</w:t>
      </w:r>
      <w:r>
        <w:tab/>
      </w:r>
      <w:r>
        <w:fldChar w:fldCharType="begin"/>
      </w:r>
      <w:r>
        <w:instrText xml:space="preserve"> PAGEREF _Toc484792172 \h </w:instrText>
      </w:r>
      <w:r>
        <w:fldChar w:fldCharType="separate"/>
      </w:r>
      <w:r>
        <w:t>12</w:t>
      </w:r>
      <w:r>
        <w:fldChar w:fldCharType="end"/>
      </w:r>
      <w:r>
        <w:fldChar w:fldCharType="end"/>
      </w:r>
    </w:p>
    <w:p w14:paraId="0259FC42">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"_Toc484792173" </w:instrText>
      </w:r>
      <w:r>
        <w:fldChar w:fldCharType="separate"/>
      </w:r>
      <w:r>
        <w:rPr>
          <w:rStyle w:val="13"/>
          <w:rFonts w:cs="Arial"/>
        </w:rPr>
        <w:t>3.4</w:t>
      </w:r>
      <w:r>
        <w:rPr>
          <w:rFonts w:asciiTheme="minorHAnsi" w:hAnsiTheme="minorHAnsi" w:eastAsiaTheme="minorEastAsia"/>
          <w:sz w:val="21"/>
        </w:rPr>
        <w:tab/>
      </w:r>
      <w:r>
        <w:rPr>
          <w:rStyle w:val="13"/>
          <w:rFonts w:hint="eastAsia" w:cs="Arial"/>
        </w:rPr>
        <w:t>软件验证的收益</w:t>
      </w:r>
      <w:r>
        <w:tab/>
      </w:r>
      <w:r>
        <w:fldChar w:fldCharType="begin"/>
      </w:r>
      <w:r>
        <w:instrText xml:space="preserve"> PAGEREF _Toc484792173 \h </w:instrText>
      </w:r>
      <w:r>
        <w:fldChar w:fldCharType="separate"/>
      </w:r>
      <w:r>
        <w:t>13</w:t>
      </w:r>
      <w:r>
        <w:fldChar w:fldCharType="end"/>
      </w:r>
      <w:r>
        <w:fldChar w:fldCharType="end"/>
      </w:r>
    </w:p>
    <w:p w14:paraId="35600C97">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"_Toc484792174" </w:instrText>
      </w:r>
      <w:r>
        <w:fldChar w:fldCharType="separate"/>
      </w:r>
      <w:r>
        <w:rPr>
          <w:rStyle w:val="13"/>
          <w:rFonts w:cs="Arial"/>
        </w:rPr>
        <w:t>3.5</w:t>
      </w:r>
      <w:r>
        <w:rPr>
          <w:rFonts w:asciiTheme="minorHAnsi" w:hAnsiTheme="minorHAnsi" w:eastAsiaTheme="minorEastAsia"/>
          <w:sz w:val="21"/>
        </w:rPr>
        <w:tab/>
      </w:r>
      <w:r>
        <w:rPr>
          <w:rStyle w:val="13"/>
          <w:rFonts w:hint="eastAsia" w:cs="Arial"/>
        </w:rPr>
        <w:t>设计审查</w:t>
      </w:r>
      <w:r>
        <w:tab/>
      </w:r>
      <w:r>
        <w:fldChar w:fldCharType="begin"/>
      </w:r>
      <w:r>
        <w:instrText xml:space="preserve"> PAGEREF _Toc484792174 \h </w:instrText>
      </w:r>
      <w:r>
        <w:fldChar w:fldCharType="separate"/>
      </w:r>
      <w:r>
        <w:t>13</w:t>
      </w:r>
      <w:r>
        <w:fldChar w:fldCharType="end"/>
      </w:r>
      <w:r>
        <w:fldChar w:fldCharType="end"/>
      </w:r>
    </w:p>
    <w:p w14:paraId="49918659">
      <w:pPr>
        <w:pStyle w:val="8"/>
        <w:tabs>
          <w:tab w:val="right" w:leader="dot" w:pos="9060"/>
        </w:tabs>
        <w:spacing w:before="312" w:after="312"/>
        <w:rPr>
          <w:rFonts w:asciiTheme="minorHAnsi" w:hAnsiTheme="minorHAnsi" w:eastAsiaTheme="minorEastAsia"/>
          <w:sz w:val="21"/>
        </w:rPr>
      </w:pPr>
      <w:r>
        <w:fldChar w:fldCharType="begin"/>
      </w:r>
      <w:r>
        <w:instrText xml:space="preserve"> HYPERLINK \l "_Toc484792175" </w:instrText>
      </w:r>
      <w:r>
        <w:fldChar w:fldCharType="separate"/>
      </w:r>
      <w:r>
        <w:rPr>
          <w:rStyle w:val="13"/>
          <w:rFonts w:hint="eastAsia" w:cs="Arial"/>
        </w:rPr>
        <w:t>第</w:t>
      </w:r>
      <w:r>
        <w:rPr>
          <w:rStyle w:val="13"/>
          <w:rFonts w:cs="Arial"/>
        </w:rPr>
        <w:t>4</w:t>
      </w:r>
      <w:r>
        <w:rPr>
          <w:rStyle w:val="13"/>
          <w:rFonts w:hint="eastAsia" w:cs="Arial"/>
        </w:rPr>
        <w:t>章</w:t>
      </w:r>
      <w:r>
        <w:rPr>
          <w:rStyle w:val="13"/>
          <w:rFonts w:cs="Arial"/>
        </w:rPr>
        <w:t xml:space="preserve"> </w:t>
      </w:r>
      <w:r>
        <w:rPr>
          <w:rStyle w:val="13"/>
          <w:rFonts w:hint="eastAsia" w:cs="Arial"/>
        </w:rPr>
        <w:t>软件验证的原则</w:t>
      </w:r>
      <w:r>
        <w:tab/>
      </w:r>
      <w:r>
        <w:fldChar w:fldCharType="begin"/>
      </w:r>
      <w:r>
        <w:instrText xml:space="preserve"> PAGEREF _Toc484792175 \h </w:instrText>
      </w:r>
      <w:r>
        <w:fldChar w:fldCharType="separate"/>
      </w:r>
      <w:r>
        <w:t>15</w:t>
      </w:r>
      <w:r>
        <w:fldChar w:fldCharType="end"/>
      </w:r>
      <w:r>
        <w:fldChar w:fldCharType="end"/>
      </w:r>
    </w:p>
    <w:p w14:paraId="6DEF9E5A">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"_Toc484792176" </w:instrText>
      </w:r>
      <w:r>
        <w:fldChar w:fldCharType="separate"/>
      </w:r>
      <w:r>
        <w:rPr>
          <w:rStyle w:val="13"/>
          <w:rFonts w:cs="Arial"/>
        </w:rPr>
        <w:t>4.1</w:t>
      </w:r>
      <w:r>
        <w:rPr>
          <w:rFonts w:asciiTheme="minorHAnsi" w:hAnsiTheme="minorHAnsi" w:eastAsiaTheme="minorEastAsia"/>
          <w:sz w:val="21"/>
        </w:rPr>
        <w:tab/>
      </w:r>
      <w:r>
        <w:rPr>
          <w:rStyle w:val="13"/>
          <w:rFonts w:hint="eastAsia" w:cs="Arial"/>
        </w:rPr>
        <w:t>要求</w:t>
      </w:r>
      <w:r>
        <w:tab/>
      </w:r>
      <w:r>
        <w:fldChar w:fldCharType="begin"/>
      </w:r>
      <w:r>
        <w:instrText xml:space="preserve"> PAGEREF _Toc484792176 \h </w:instrText>
      </w:r>
      <w:r>
        <w:fldChar w:fldCharType="separate"/>
      </w:r>
      <w:r>
        <w:t>15</w:t>
      </w:r>
      <w:r>
        <w:fldChar w:fldCharType="end"/>
      </w:r>
      <w:r>
        <w:fldChar w:fldCharType="end"/>
      </w:r>
    </w:p>
    <w:p w14:paraId="0FDFAF7D">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"_Toc484792177" </w:instrText>
      </w:r>
      <w:r>
        <w:fldChar w:fldCharType="separate"/>
      </w:r>
      <w:r>
        <w:rPr>
          <w:rStyle w:val="13"/>
          <w:rFonts w:cs="Arial"/>
        </w:rPr>
        <w:t>4.2</w:t>
      </w:r>
      <w:r>
        <w:rPr>
          <w:rFonts w:asciiTheme="minorHAnsi" w:hAnsiTheme="minorHAnsi" w:eastAsiaTheme="minorEastAsia"/>
          <w:sz w:val="21"/>
        </w:rPr>
        <w:tab/>
      </w:r>
      <w:r>
        <w:rPr>
          <w:rStyle w:val="13"/>
          <w:rFonts w:hint="eastAsia" w:cs="Arial"/>
        </w:rPr>
        <w:t>缺陷预防</w:t>
      </w:r>
      <w:r>
        <w:tab/>
      </w:r>
      <w:r>
        <w:fldChar w:fldCharType="begin"/>
      </w:r>
      <w:r>
        <w:instrText xml:space="preserve"> PAGEREF _Toc484792177 \h </w:instrText>
      </w:r>
      <w:r>
        <w:fldChar w:fldCharType="separate"/>
      </w:r>
      <w:r>
        <w:t>15</w:t>
      </w:r>
      <w:r>
        <w:fldChar w:fldCharType="end"/>
      </w:r>
      <w:r>
        <w:fldChar w:fldCharType="end"/>
      </w:r>
    </w:p>
    <w:p w14:paraId="75901205">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"_Toc484792178" </w:instrText>
      </w:r>
      <w:r>
        <w:fldChar w:fldCharType="separate"/>
      </w:r>
      <w:r>
        <w:rPr>
          <w:rStyle w:val="13"/>
          <w:rFonts w:cs="Arial"/>
        </w:rPr>
        <w:t>4.3</w:t>
      </w:r>
      <w:r>
        <w:rPr>
          <w:rFonts w:asciiTheme="minorHAnsi" w:hAnsiTheme="minorHAnsi" w:eastAsiaTheme="minorEastAsia"/>
          <w:sz w:val="21"/>
        </w:rPr>
        <w:tab/>
      </w:r>
      <w:r>
        <w:rPr>
          <w:rStyle w:val="13"/>
          <w:rFonts w:hint="eastAsia" w:cs="Arial"/>
        </w:rPr>
        <w:t>时间与努力</w:t>
      </w:r>
      <w:r>
        <w:tab/>
      </w:r>
      <w:r>
        <w:fldChar w:fldCharType="begin"/>
      </w:r>
      <w:r>
        <w:instrText xml:space="preserve"> PAGEREF _Toc484792178 \h </w:instrText>
      </w:r>
      <w:r>
        <w:fldChar w:fldCharType="separate"/>
      </w:r>
      <w:r>
        <w:t>15</w:t>
      </w:r>
      <w:r>
        <w:fldChar w:fldCharType="end"/>
      </w:r>
      <w:r>
        <w:fldChar w:fldCharType="end"/>
      </w:r>
    </w:p>
    <w:p w14:paraId="7601789C">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"_Toc484792179" </w:instrText>
      </w:r>
      <w:r>
        <w:fldChar w:fldCharType="separate"/>
      </w:r>
      <w:r>
        <w:rPr>
          <w:rStyle w:val="13"/>
          <w:rFonts w:cs="Arial"/>
        </w:rPr>
        <w:t>4.4</w:t>
      </w:r>
      <w:r>
        <w:rPr>
          <w:rFonts w:asciiTheme="minorHAnsi" w:hAnsiTheme="minorHAnsi" w:eastAsiaTheme="minorEastAsia"/>
          <w:sz w:val="21"/>
        </w:rPr>
        <w:tab/>
      </w:r>
      <w:r>
        <w:rPr>
          <w:rStyle w:val="13"/>
          <w:rFonts w:hint="eastAsia" w:cs="Arial"/>
        </w:rPr>
        <w:t>软件生命周期</w:t>
      </w:r>
      <w:r>
        <w:tab/>
      </w:r>
      <w:r>
        <w:fldChar w:fldCharType="begin"/>
      </w:r>
      <w:r>
        <w:instrText xml:space="preserve"> PAGEREF _Toc484792179 \h </w:instrText>
      </w:r>
      <w:r>
        <w:fldChar w:fldCharType="separate"/>
      </w:r>
      <w:r>
        <w:t>15</w:t>
      </w:r>
      <w:r>
        <w:fldChar w:fldCharType="end"/>
      </w:r>
      <w:r>
        <w:fldChar w:fldCharType="end"/>
      </w:r>
    </w:p>
    <w:p w14:paraId="1BA3A640">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"_Toc484792180" </w:instrText>
      </w:r>
      <w:r>
        <w:fldChar w:fldCharType="separate"/>
      </w:r>
      <w:r>
        <w:rPr>
          <w:rStyle w:val="13"/>
          <w:rFonts w:cs="Arial"/>
        </w:rPr>
        <w:t>4.5</w:t>
      </w:r>
      <w:r>
        <w:rPr>
          <w:rFonts w:asciiTheme="minorHAnsi" w:hAnsiTheme="minorHAnsi" w:eastAsiaTheme="minorEastAsia"/>
          <w:sz w:val="21"/>
        </w:rPr>
        <w:tab/>
      </w:r>
      <w:r>
        <w:rPr>
          <w:rStyle w:val="13"/>
          <w:rFonts w:hint="eastAsia" w:cs="Arial"/>
        </w:rPr>
        <w:t>计划</w:t>
      </w:r>
      <w:r>
        <w:tab/>
      </w:r>
      <w:r>
        <w:fldChar w:fldCharType="begin"/>
      </w:r>
      <w:r>
        <w:instrText xml:space="preserve"> PAGEREF _Toc484792180 \h </w:instrText>
      </w:r>
      <w:r>
        <w:fldChar w:fldCharType="separate"/>
      </w:r>
      <w:r>
        <w:t>15</w:t>
      </w:r>
      <w:r>
        <w:fldChar w:fldCharType="end"/>
      </w:r>
      <w:r>
        <w:fldChar w:fldCharType="end"/>
      </w:r>
    </w:p>
    <w:p w14:paraId="24387398">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"_Toc484792181" </w:instrText>
      </w:r>
      <w:r>
        <w:fldChar w:fldCharType="separate"/>
      </w:r>
      <w:r>
        <w:rPr>
          <w:rStyle w:val="13"/>
          <w:rFonts w:cs="Arial"/>
        </w:rPr>
        <w:t>4.6</w:t>
      </w:r>
      <w:r>
        <w:rPr>
          <w:rFonts w:asciiTheme="minorHAnsi" w:hAnsiTheme="minorHAnsi" w:eastAsiaTheme="minorEastAsia"/>
          <w:sz w:val="21"/>
        </w:rPr>
        <w:tab/>
      </w:r>
      <w:r>
        <w:rPr>
          <w:rStyle w:val="13"/>
          <w:rFonts w:hint="eastAsia" w:cs="Arial"/>
        </w:rPr>
        <w:t>程序</w:t>
      </w:r>
      <w:r>
        <w:tab/>
      </w:r>
      <w:r>
        <w:fldChar w:fldCharType="begin"/>
      </w:r>
      <w:r>
        <w:instrText xml:space="preserve"> PAGEREF _Toc484792181 \h </w:instrText>
      </w:r>
      <w:r>
        <w:fldChar w:fldCharType="separate"/>
      </w:r>
      <w:r>
        <w:t>15</w:t>
      </w:r>
      <w:r>
        <w:fldChar w:fldCharType="end"/>
      </w:r>
      <w:r>
        <w:fldChar w:fldCharType="end"/>
      </w:r>
    </w:p>
    <w:p w14:paraId="78195727">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"_Toc484792182" </w:instrText>
      </w:r>
      <w:r>
        <w:fldChar w:fldCharType="separate"/>
      </w:r>
      <w:r>
        <w:rPr>
          <w:rStyle w:val="13"/>
          <w:rFonts w:cs="Arial"/>
        </w:rPr>
        <w:t>4.7</w:t>
      </w:r>
      <w:r>
        <w:rPr>
          <w:rFonts w:asciiTheme="minorHAnsi" w:hAnsiTheme="minorHAnsi" w:eastAsiaTheme="minorEastAsia"/>
          <w:sz w:val="21"/>
        </w:rPr>
        <w:tab/>
      </w:r>
      <w:r>
        <w:rPr>
          <w:rStyle w:val="13"/>
          <w:rFonts w:hint="eastAsia" w:cs="Arial"/>
        </w:rPr>
        <w:t>变更后的软件验证</w:t>
      </w:r>
      <w:r>
        <w:tab/>
      </w:r>
      <w:r>
        <w:fldChar w:fldCharType="begin"/>
      </w:r>
      <w:r>
        <w:instrText xml:space="preserve"> PAGEREF _Toc484792182 \h </w:instrText>
      </w:r>
      <w:r>
        <w:fldChar w:fldCharType="separate"/>
      </w:r>
      <w:r>
        <w:t>16</w:t>
      </w:r>
      <w:r>
        <w:fldChar w:fldCharType="end"/>
      </w:r>
      <w:r>
        <w:fldChar w:fldCharType="end"/>
      </w:r>
    </w:p>
    <w:p w14:paraId="14F5ED43">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"_Toc484792183" </w:instrText>
      </w:r>
      <w:r>
        <w:fldChar w:fldCharType="separate"/>
      </w:r>
      <w:r>
        <w:rPr>
          <w:rStyle w:val="13"/>
          <w:rFonts w:cs="Arial"/>
        </w:rPr>
        <w:t>4.8</w:t>
      </w:r>
      <w:r>
        <w:rPr>
          <w:rFonts w:asciiTheme="minorHAnsi" w:hAnsiTheme="minorHAnsi" w:eastAsiaTheme="minorEastAsia"/>
          <w:sz w:val="21"/>
        </w:rPr>
        <w:tab/>
      </w:r>
      <w:r>
        <w:rPr>
          <w:rStyle w:val="13"/>
          <w:rFonts w:hint="eastAsia" w:cs="Arial"/>
        </w:rPr>
        <w:t>验证范围</w:t>
      </w:r>
      <w:r>
        <w:tab/>
      </w:r>
      <w:r>
        <w:fldChar w:fldCharType="begin"/>
      </w:r>
      <w:r>
        <w:instrText xml:space="preserve"> PAGEREF _Toc484792183 \h </w:instrText>
      </w:r>
      <w:r>
        <w:fldChar w:fldCharType="separate"/>
      </w:r>
      <w:r>
        <w:t>16</w:t>
      </w:r>
      <w:r>
        <w:fldChar w:fldCharType="end"/>
      </w:r>
      <w:r>
        <w:fldChar w:fldCharType="end"/>
      </w:r>
    </w:p>
    <w:p w14:paraId="7D3C12C7">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"_Toc484792184" </w:instrText>
      </w:r>
      <w:r>
        <w:fldChar w:fldCharType="separate"/>
      </w:r>
      <w:r>
        <w:rPr>
          <w:rStyle w:val="13"/>
          <w:rFonts w:cs="Arial"/>
        </w:rPr>
        <w:t>4.9</w:t>
      </w:r>
      <w:r>
        <w:rPr>
          <w:rFonts w:asciiTheme="minorHAnsi" w:hAnsiTheme="minorHAnsi" w:eastAsiaTheme="minorEastAsia"/>
          <w:sz w:val="21"/>
        </w:rPr>
        <w:tab/>
      </w:r>
      <w:r>
        <w:rPr>
          <w:rStyle w:val="13"/>
          <w:rFonts w:hint="eastAsia" w:cs="Arial"/>
        </w:rPr>
        <w:t>审查的独立性</w:t>
      </w:r>
      <w:r>
        <w:tab/>
      </w:r>
      <w:r>
        <w:fldChar w:fldCharType="begin"/>
      </w:r>
      <w:r>
        <w:instrText xml:space="preserve"> PAGEREF _Toc484792184 \h </w:instrText>
      </w:r>
      <w:r>
        <w:fldChar w:fldCharType="separate"/>
      </w:r>
      <w:r>
        <w:t>16</w:t>
      </w:r>
      <w:r>
        <w:fldChar w:fldCharType="end"/>
      </w:r>
      <w:r>
        <w:fldChar w:fldCharType="end"/>
      </w:r>
    </w:p>
    <w:p w14:paraId="7F334C9B">
      <w:pPr>
        <w:pStyle w:val="9"/>
        <w:tabs>
          <w:tab w:val="left" w:pos="1260"/>
          <w:tab w:val="right" w:leader="dot" w:pos="9060"/>
        </w:tabs>
        <w:spacing w:before="46"/>
        <w:ind w:left="420"/>
        <w:rPr>
          <w:rFonts w:asciiTheme="minorHAnsi" w:hAnsiTheme="minorHAnsi" w:eastAsiaTheme="minorEastAsia"/>
          <w:sz w:val="21"/>
        </w:rPr>
      </w:pPr>
      <w:r>
        <w:fldChar w:fldCharType="begin"/>
      </w:r>
      <w:r>
        <w:instrText xml:space="preserve"> HYPERLINK \l "_Toc484792185" </w:instrText>
      </w:r>
      <w:r>
        <w:fldChar w:fldCharType="separate"/>
      </w:r>
      <w:r>
        <w:rPr>
          <w:rStyle w:val="13"/>
          <w:rFonts w:cs="Arial"/>
        </w:rPr>
        <w:t>4.10</w:t>
      </w:r>
      <w:r>
        <w:rPr>
          <w:rFonts w:asciiTheme="minorHAnsi" w:hAnsiTheme="minorHAnsi" w:eastAsiaTheme="minorEastAsia"/>
          <w:sz w:val="21"/>
        </w:rPr>
        <w:tab/>
      </w:r>
      <w:r>
        <w:rPr>
          <w:rStyle w:val="13"/>
          <w:rFonts w:cs="Arial"/>
        </w:rPr>
        <w:t xml:space="preserve"> </w:t>
      </w:r>
      <w:r>
        <w:rPr>
          <w:rStyle w:val="13"/>
          <w:rFonts w:hint="eastAsia" w:cs="Arial"/>
        </w:rPr>
        <w:t>灵活性与责任</w:t>
      </w:r>
      <w:r>
        <w:tab/>
      </w:r>
      <w:r>
        <w:fldChar w:fldCharType="begin"/>
      </w:r>
      <w:r>
        <w:instrText xml:space="preserve"> PAGEREF _Toc484792185 \h </w:instrText>
      </w:r>
      <w:r>
        <w:fldChar w:fldCharType="separate"/>
      </w:r>
      <w:r>
        <w:t>17</w:t>
      </w:r>
      <w:r>
        <w:fldChar w:fldCharType="end"/>
      </w:r>
      <w:r>
        <w:fldChar w:fldCharType="end"/>
      </w:r>
    </w:p>
    <w:p w14:paraId="6A31B191">
      <w:pPr>
        <w:pStyle w:val="8"/>
        <w:tabs>
          <w:tab w:val="right" w:leader="dot" w:pos="9060"/>
        </w:tabs>
        <w:spacing w:before="312" w:after="312"/>
        <w:rPr>
          <w:rFonts w:asciiTheme="minorHAnsi" w:hAnsiTheme="minorHAnsi" w:eastAsiaTheme="minorEastAsia"/>
          <w:sz w:val="21"/>
        </w:rPr>
      </w:pPr>
      <w:r>
        <w:fldChar w:fldCharType="begin"/>
      </w:r>
      <w:r>
        <w:instrText xml:space="preserve"> HYPERLINK \l "_Toc484792186" </w:instrText>
      </w:r>
      <w:r>
        <w:fldChar w:fldCharType="separate"/>
      </w:r>
      <w:r>
        <w:rPr>
          <w:rStyle w:val="13"/>
          <w:rFonts w:hint="eastAsia" w:cs="Arial"/>
        </w:rPr>
        <w:t>第</w:t>
      </w:r>
      <w:r>
        <w:rPr>
          <w:rStyle w:val="13"/>
          <w:rFonts w:cs="Arial"/>
        </w:rPr>
        <w:t>5</w:t>
      </w:r>
      <w:r>
        <w:rPr>
          <w:rStyle w:val="13"/>
          <w:rFonts w:hint="eastAsia" w:cs="Arial"/>
        </w:rPr>
        <w:t>章</w:t>
      </w:r>
      <w:r>
        <w:rPr>
          <w:rStyle w:val="13"/>
          <w:rFonts w:cs="Arial"/>
        </w:rPr>
        <w:t xml:space="preserve"> </w:t>
      </w:r>
      <w:r>
        <w:rPr>
          <w:rStyle w:val="13"/>
          <w:rFonts w:hint="eastAsia" w:cs="Arial"/>
        </w:rPr>
        <w:t>活动与任务</w:t>
      </w:r>
      <w:r>
        <w:tab/>
      </w:r>
      <w:r>
        <w:fldChar w:fldCharType="begin"/>
      </w:r>
      <w:r>
        <w:instrText xml:space="preserve"> PAGEREF _Toc484792186 \h </w:instrText>
      </w:r>
      <w:r>
        <w:fldChar w:fldCharType="separate"/>
      </w:r>
      <w:r>
        <w:t>18</w:t>
      </w:r>
      <w:r>
        <w:fldChar w:fldCharType="end"/>
      </w:r>
      <w:r>
        <w:fldChar w:fldCharType="end"/>
      </w:r>
    </w:p>
    <w:p w14:paraId="0759311B">
      <w:pPr>
        <w:pStyle w:val="9"/>
        <w:tabs>
          <w:tab w:val="right" w:leader="dot" w:pos="9060"/>
        </w:tabs>
        <w:spacing w:before="46"/>
        <w:ind w:left="420"/>
        <w:rPr>
          <w:rFonts w:asciiTheme="minorHAnsi" w:hAnsiTheme="minorHAnsi" w:eastAsiaTheme="minorEastAsia"/>
          <w:sz w:val="21"/>
        </w:rPr>
      </w:pPr>
      <w:r>
        <w:fldChar w:fldCharType="begin"/>
      </w:r>
      <w:r>
        <w:instrText xml:space="preserve"> HYPERLINK \l "_Toc484792187" </w:instrText>
      </w:r>
      <w:r>
        <w:fldChar w:fldCharType="separate"/>
      </w:r>
      <w:r>
        <w:rPr>
          <w:rStyle w:val="13"/>
          <w:rFonts w:cs="Arial"/>
        </w:rPr>
        <w:t xml:space="preserve">5.1 </w:t>
      </w:r>
      <w:r>
        <w:rPr>
          <w:rStyle w:val="13"/>
          <w:rFonts w:hint="eastAsia" w:cs="Arial"/>
        </w:rPr>
        <w:t>软件生命周期活动</w:t>
      </w:r>
      <w:r>
        <w:tab/>
      </w:r>
      <w:r>
        <w:fldChar w:fldCharType="begin"/>
      </w:r>
      <w:r>
        <w:instrText xml:space="preserve"> PAGEREF _Toc484792187 \h </w:instrText>
      </w:r>
      <w:r>
        <w:fldChar w:fldCharType="separate"/>
      </w:r>
      <w:r>
        <w:t>18</w:t>
      </w:r>
      <w:r>
        <w:fldChar w:fldCharType="end"/>
      </w:r>
      <w:r>
        <w:fldChar w:fldCharType="end"/>
      </w:r>
    </w:p>
    <w:p w14:paraId="207231EA">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"_Toc484792188" </w:instrText>
      </w:r>
      <w:r>
        <w:fldChar w:fldCharType="separate"/>
      </w:r>
      <w:r>
        <w:rPr>
          <w:rStyle w:val="13"/>
          <w:rFonts w:cs="Arial"/>
        </w:rPr>
        <w:t>5.2</w:t>
      </w:r>
      <w:r>
        <w:rPr>
          <w:rFonts w:asciiTheme="minorHAnsi" w:hAnsiTheme="minorHAnsi" w:eastAsiaTheme="minorEastAsia"/>
          <w:sz w:val="21"/>
        </w:rPr>
        <w:tab/>
      </w:r>
      <w:r>
        <w:rPr>
          <w:rStyle w:val="13"/>
          <w:rFonts w:hint="eastAsia" w:cs="Arial"/>
        </w:rPr>
        <w:t>支持软件验证的典型任务</w:t>
      </w:r>
      <w:r>
        <w:tab/>
      </w:r>
      <w:r>
        <w:fldChar w:fldCharType="begin"/>
      </w:r>
      <w:r>
        <w:instrText xml:space="preserve"> PAGEREF _Toc484792188 \h </w:instrText>
      </w:r>
      <w:r>
        <w:fldChar w:fldCharType="separate"/>
      </w:r>
      <w:r>
        <w:t>18</w:t>
      </w:r>
      <w:r>
        <w:fldChar w:fldCharType="end"/>
      </w:r>
      <w:r>
        <w:fldChar w:fldCharType="end"/>
      </w:r>
    </w:p>
    <w:p w14:paraId="15149210">
      <w:pPr>
        <w:pStyle w:val="4"/>
        <w:tabs>
          <w:tab w:val="left" w:pos="1680"/>
          <w:tab w:val="right" w:leader="dot" w:pos="9060"/>
        </w:tabs>
        <w:spacing w:before="46"/>
        <w:ind w:left="840"/>
        <w:rPr>
          <w:rFonts w:asciiTheme="minorHAnsi" w:hAnsiTheme="minorHAnsi" w:eastAsiaTheme="minorEastAsia"/>
          <w:i w:val="0"/>
          <w:sz w:val="21"/>
        </w:rPr>
      </w:pPr>
      <w:r>
        <w:fldChar w:fldCharType="begin"/>
      </w:r>
      <w:r>
        <w:instrText xml:space="preserve"> HYPERLINK \l "_Toc484792189" </w:instrText>
      </w:r>
      <w:r>
        <w:fldChar w:fldCharType="separate"/>
      </w:r>
      <w:r>
        <w:rPr>
          <w:rStyle w:val="13"/>
          <w:rFonts w:cs="Arial"/>
        </w:rPr>
        <w:t>5.2.1</w:t>
      </w:r>
      <w:r>
        <w:rPr>
          <w:rFonts w:asciiTheme="minorHAnsi" w:hAnsiTheme="minorHAnsi" w:eastAsiaTheme="minorEastAsia"/>
          <w:i w:val="0"/>
          <w:sz w:val="21"/>
        </w:rPr>
        <w:tab/>
      </w:r>
      <w:r>
        <w:rPr>
          <w:rStyle w:val="13"/>
          <w:rFonts w:hint="eastAsia" w:cs="Arial"/>
        </w:rPr>
        <w:t>质量计划</w:t>
      </w:r>
      <w:r>
        <w:tab/>
      </w:r>
      <w:r>
        <w:fldChar w:fldCharType="begin"/>
      </w:r>
      <w:r>
        <w:instrText xml:space="preserve"> PAGEREF _Toc484792189 \h </w:instrText>
      </w:r>
      <w:r>
        <w:fldChar w:fldCharType="separate"/>
      </w:r>
      <w:r>
        <w:t>19</w:t>
      </w:r>
      <w:r>
        <w:fldChar w:fldCharType="end"/>
      </w:r>
      <w:r>
        <w:fldChar w:fldCharType="end"/>
      </w:r>
    </w:p>
    <w:p w14:paraId="22E0164B">
      <w:pPr>
        <w:pStyle w:val="4"/>
        <w:tabs>
          <w:tab w:val="left" w:pos="1680"/>
          <w:tab w:val="right" w:leader="dot" w:pos="9060"/>
        </w:tabs>
        <w:spacing w:before="46"/>
        <w:ind w:left="840"/>
        <w:rPr>
          <w:rFonts w:asciiTheme="minorHAnsi" w:hAnsiTheme="minorHAnsi" w:eastAsiaTheme="minorEastAsia"/>
          <w:i w:val="0"/>
          <w:sz w:val="21"/>
        </w:rPr>
      </w:pPr>
      <w:r>
        <w:fldChar w:fldCharType="begin"/>
      </w:r>
      <w:r>
        <w:instrText xml:space="preserve"> HYPERLINK \l "_Toc484792190" </w:instrText>
      </w:r>
      <w:r>
        <w:fldChar w:fldCharType="separate"/>
      </w:r>
      <w:r>
        <w:rPr>
          <w:rStyle w:val="13"/>
          <w:rFonts w:cs="Arial"/>
        </w:rPr>
        <w:t>5.2.2</w:t>
      </w:r>
      <w:r>
        <w:rPr>
          <w:rFonts w:asciiTheme="minorHAnsi" w:hAnsiTheme="minorHAnsi" w:eastAsiaTheme="minorEastAsia"/>
          <w:i w:val="0"/>
          <w:sz w:val="21"/>
        </w:rPr>
        <w:tab/>
      </w:r>
      <w:r>
        <w:rPr>
          <w:rStyle w:val="13"/>
          <w:rFonts w:hint="eastAsia" w:cs="Arial"/>
        </w:rPr>
        <w:t>要求</w:t>
      </w:r>
      <w:r>
        <w:tab/>
      </w:r>
      <w:r>
        <w:fldChar w:fldCharType="begin"/>
      </w:r>
      <w:r>
        <w:instrText xml:space="preserve"> PAGEREF _Toc484792190 \h </w:instrText>
      </w:r>
      <w:r>
        <w:fldChar w:fldCharType="separate"/>
      </w:r>
      <w:r>
        <w:t>20</w:t>
      </w:r>
      <w:r>
        <w:fldChar w:fldCharType="end"/>
      </w:r>
      <w:r>
        <w:fldChar w:fldCharType="end"/>
      </w:r>
    </w:p>
    <w:p w14:paraId="3CF0FFB4">
      <w:pPr>
        <w:pStyle w:val="4"/>
        <w:tabs>
          <w:tab w:val="left" w:pos="1680"/>
          <w:tab w:val="right" w:leader="dot" w:pos="9060"/>
        </w:tabs>
        <w:spacing w:before="46"/>
        <w:ind w:left="840"/>
        <w:rPr>
          <w:rFonts w:asciiTheme="minorHAnsi" w:hAnsiTheme="minorHAnsi" w:eastAsiaTheme="minorEastAsia"/>
          <w:i w:val="0"/>
          <w:sz w:val="21"/>
        </w:rPr>
      </w:pPr>
      <w:r>
        <w:fldChar w:fldCharType="begin"/>
      </w:r>
      <w:r>
        <w:instrText xml:space="preserve"> HYPERLINK \l "_Toc484792191" </w:instrText>
      </w:r>
      <w:r>
        <w:fldChar w:fldCharType="separate"/>
      </w:r>
      <w:r>
        <w:rPr>
          <w:rStyle w:val="13"/>
          <w:rFonts w:cs="Arial"/>
        </w:rPr>
        <w:t>5.2.3</w:t>
      </w:r>
      <w:r>
        <w:rPr>
          <w:rFonts w:asciiTheme="minorHAnsi" w:hAnsiTheme="minorHAnsi" w:eastAsiaTheme="minorEastAsia"/>
          <w:i w:val="0"/>
          <w:sz w:val="21"/>
        </w:rPr>
        <w:tab/>
      </w:r>
      <w:r>
        <w:rPr>
          <w:rStyle w:val="13"/>
          <w:rFonts w:hint="eastAsia" w:cs="Arial"/>
        </w:rPr>
        <w:t>设计</w:t>
      </w:r>
      <w:r>
        <w:tab/>
      </w:r>
      <w:r>
        <w:fldChar w:fldCharType="begin"/>
      </w:r>
      <w:r>
        <w:instrText xml:space="preserve"> PAGEREF _Toc484792191 \h </w:instrText>
      </w:r>
      <w:r>
        <w:fldChar w:fldCharType="separate"/>
      </w:r>
      <w:r>
        <w:t>21</w:t>
      </w:r>
      <w:r>
        <w:fldChar w:fldCharType="end"/>
      </w:r>
      <w:r>
        <w:fldChar w:fldCharType="end"/>
      </w:r>
    </w:p>
    <w:p w14:paraId="6671A41F">
      <w:pPr>
        <w:pStyle w:val="4"/>
        <w:tabs>
          <w:tab w:val="left" w:pos="1680"/>
          <w:tab w:val="right" w:leader="dot" w:pos="9060"/>
        </w:tabs>
        <w:spacing w:before="46"/>
        <w:ind w:left="840"/>
        <w:rPr>
          <w:rFonts w:asciiTheme="minorHAnsi" w:hAnsiTheme="minorHAnsi" w:eastAsiaTheme="minorEastAsia"/>
          <w:i w:val="0"/>
          <w:sz w:val="21"/>
        </w:rPr>
      </w:pPr>
      <w:r>
        <w:fldChar w:fldCharType="begin"/>
      </w:r>
      <w:r>
        <w:instrText xml:space="preserve"> HYPERLINK \l "_Toc484792192" </w:instrText>
      </w:r>
      <w:r>
        <w:fldChar w:fldCharType="separate"/>
      </w:r>
      <w:r>
        <w:rPr>
          <w:rStyle w:val="13"/>
          <w:rFonts w:cs="Arial"/>
        </w:rPr>
        <w:t>5.2.4</w:t>
      </w:r>
      <w:r>
        <w:rPr>
          <w:rFonts w:asciiTheme="minorHAnsi" w:hAnsiTheme="minorHAnsi" w:eastAsiaTheme="minorEastAsia"/>
          <w:i w:val="0"/>
          <w:sz w:val="21"/>
        </w:rPr>
        <w:tab/>
      </w:r>
      <w:r>
        <w:rPr>
          <w:rStyle w:val="13"/>
          <w:rFonts w:hint="eastAsia" w:cs="Arial"/>
        </w:rPr>
        <w:t>构造或编程</w:t>
      </w:r>
      <w:r>
        <w:tab/>
      </w:r>
      <w:r>
        <w:fldChar w:fldCharType="begin"/>
      </w:r>
      <w:r>
        <w:instrText xml:space="preserve"> PAGEREF _Toc484792192 \h </w:instrText>
      </w:r>
      <w:r>
        <w:fldChar w:fldCharType="separate"/>
      </w:r>
      <w:r>
        <w:t>24</w:t>
      </w:r>
      <w:r>
        <w:fldChar w:fldCharType="end"/>
      </w:r>
      <w:r>
        <w:fldChar w:fldCharType="end"/>
      </w:r>
    </w:p>
    <w:p w14:paraId="21EACEF9">
      <w:pPr>
        <w:pStyle w:val="4"/>
        <w:tabs>
          <w:tab w:val="left" w:pos="1680"/>
          <w:tab w:val="right" w:leader="dot" w:pos="9060"/>
        </w:tabs>
        <w:spacing w:before="46"/>
        <w:ind w:left="840"/>
        <w:rPr>
          <w:rFonts w:asciiTheme="minorHAnsi" w:hAnsiTheme="minorHAnsi" w:eastAsiaTheme="minorEastAsia"/>
          <w:i w:val="0"/>
          <w:sz w:val="21"/>
        </w:rPr>
      </w:pPr>
      <w:r>
        <w:fldChar w:fldCharType="begin"/>
      </w:r>
      <w:r>
        <w:instrText xml:space="preserve"> HYPERLINK \l "_Toc484792193" </w:instrText>
      </w:r>
      <w:r>
        <w:fldChar w:fldCharType="separate"/>
      </w:r>
      <w:r>
        <w:rPr>
          <w:rStyle w:val="13"/>
          <w:rFonts w:cs="Arial"/>
        </w:rPr>
        <w:t>5.2.5</w:t>
      </w:r>
      <w:r>
        <w:rPr>
          <w:rFonts w:asciiTheme="minorHAnsi" w:hAnsiTheme="minorHAnsi" w:eastAsiaTheme="minorEastAsia"/>
          <w:i w:val="0"/>
          <w:sz w:val="21"/>
        </w:rPr>
        <w:tab/>
      </w:r>
      <w:r>
        <w:rPr>
          <w:rStyle w:val="13"/>
          <w:rFonts w:hint="eastAsia" w:cs="Arial"/>
        </w:rPr>
        <w:t>软件开发者进行的测试</w:t>
      </w:r>
      <w:r>
        <w:tab/>
      </w:r>
      <w:r>
        <w:fldChar w:fldCharType="begin"/>
      </w:r>
      <w:r>
        <w:instrText xml:space="preserve"> PAGEREF _Toc484792193 \h </w:instrText>
      </w:r>
      <w:r>
        <w:fldChar w:fldCharType="separate"/>
      </w:r>
      <w:r>
        <w:t>25</w:t>
      </w:r>
      <w:r>
        <w:fldChar w:fldCharType="end"/>
      </w:r>
      <w:r>
        <w:fldChar w:fldCharType="end"/>
      </w:r>
    </w:p>
    <w:p w14:paraId="56CA831F">
      <w:pPr>
        <w:pStyle w:val="4"/>
        <w:tabs>
          <w:tab w:val="left" w:pos="1680"/>
          <w:tab w:val="right" w:leader="dot" w:pos="9060"/>
        </w:tabs>
        <w:spacing w:before="46"/>
        <w:ind w:left="840"/>
        <w:rPr>
          <w:rFonts w:asciiTheme="minorHAnsi" w:hAnsiTheme="minorHAnsi" w:eastAsiaTheme="minorEastAsia"/>
          <w:i w:val="0"/>
          <w:sz w:val="21"/>
        </w:rPr>
      </w:pPr>
      <w:r>
        <w:fldChar w:fldCharType="begin"/>
      </w:r>
      <w:r>
        <w:instrText xml:space="preserve"> HYPERLINK \l "_Toc484792194" </w:instrText>
      </w:r>
      <w:r>
        <w:fldChar w:fldCharType="separate"/>
      </w:r>
      <w:r>
        <w:rPr>
          <w:rStyle w:val="13"/>
          <w:rFonts w:cs="Arial"/>
        </w:rPr>
        <w:t>5.2.6</w:t>
      </w:r>
      <w:r>
        <w:rPr>
          <w:rFonts w:asciiTheme="minorHAnsi" w:hAnsiTheme="minorHAnsi" w:eastAsiaTheme="minorEastAsia"/>
          <w:i w:val="0"/>
          <w:sz w:val="21"/>
        </w:rPr>
        <w:tab/>
      </w:r>
      <w:r>
        <w:rPr>
          <w:rStyle w:val="13"/>
          <w:rFonts w:hint="eastAsia" w:cs="Arial"/>
        </w:rPr>
        <w:t>用户现场测试</w:t>
      </w:r>
      <w:r>
        <w:tab/>
      </w:r>
      <w:r>
        <w:fldChar w:fldCharType="begin"/>
      </w:r>
      <w:r>
        <w:instrText xml:space="preserve"> PAGEREF _Toc484792194 \h </w:instrText>
      </w:r>
      <w:r>
        <w:fldChar w:fldCharType="separate"/>
      </w:r>
      <w:r>
        <w:t>31</w:t>
      </w:r>
      <w:r>
        <w:fldChar w:fldCharType="end"/>
      </w:r>
      <w:r>
        <w:fldChar w:fldCharType="end"/>
      </w:r>
    </w:p>
    <w:p w14:paraId="0A45F985">
      <w:pPr>
        <w:pStyle w:val="4"/>
        <w:tabs>
          <w:tab w:val="left" w:pos="1680"/>
          <w:tab w:val="right" w:leader="dot" w:pos="9060"/>
        </w:tabs>
        <w:spacing w:before="46"/>
        <w:ind w:left="840"/>
        <w:rPr>
          <w:rFonts w:asciiTheme="minorHAnsi" w:hAnsiTheme="minorHAnsi" w:eastAsiaTheme="minorEastAsia"/>
          <w:i w:val="0"/>
          <w:sz w:val="21"/>
        </w:rPr>
      </w:pPr>
      <w:r>
        <w:fldChar w:fldCharType="begin"/>
      </w:r>
      <w:r>
        <w:instrText xml:space="preserve"> HYPERLINK \l "_Toc484792195" </w:instrText>
      </w:r>
      <w:r>
        <w:fldChar w:fldCharType="separate"/>
      </w:r>
      <w:r>
        <w:rPr>
          <w:rStyle w:val="13"/>
          <w:rFonts w:cs="Arial"/>
        </w:rPr>
        <w:t>5.2.7</w:t>
      </w:r>
      <w:r>
        <w:rPr>
          <w:rFonts w:asciiTheme="minorHAnsi" w:hAnsiTheme="minorHAnsi" w:eastAsiaTheme="minorEastAsia"/>
          <w:i w:val="0"/>
          <w:sz w:val="21"/>
        </w:rPr>
        <w:tab/>
      </w:r>
      <w:r>
        <w:rPr>
          <w:rStyle w:val="13"/>
          <w:rFonts w:hint="eastAsia" w:cs="Arial"/>
        </w:rPr>
        <w:t>维护与软件变更</w:t>
      </w:r>
      <w:r>
        <w:tab/>
      </w:r>
      <w:r>
        <w:fldChar w:fldCharType="begin"/>
      </w:r>
      <w:r>
        <w:instrText xml:space="preserve"> PAGEREF _Toc484792195 \h </w:instrText>
      </w:r>
      <w:r>
        <w:fldChar w:fldCharType="separate"/>
      </w:r>
      <w:r>
        <w:t>32</w:t>
      </w:r>
      <w:r>
        <w:fldChar w:fldCharType="end"/>
      </w:r>
      <w:r>
        <w:fldChar w:fldCharType="end"/>
      </w:r>
    </w:p>
    <w:p w14:paraId="508C2FBF">
      <w:pPr>
        <w:pStyle w:val="8"/>
        <w:tabs>
          <w:tab w:val="right" w:leader="dot" w:pos="9060"/>
        </w:tabs>
        <w:spacing w:before="312" w:after="312"/>
        <w:rPr>
          <w:rFonts w:asciiTheme="minorHAnsi" w:hAnsiTheme="minorHAnsi" w:eastAsiaTheme="minorEastAsia"/>
          <w:sz w:val="21"/>
        </w:rPr>
      </w:pPr>
      <w:r>
        <w:fldChar w:fldCharType="begin"/>
      </w:r>
      <w:r>
        <w:instrText xml:space="preserve"> HYPERLINK \l "_Toc484792196" </w:instrText>
      </w:r>
      <w:r>
        <w:fldChar w:fldCharType="separate"/>
      </w:r>
      <w:r>
        <w:rPr>
          <w:rStyle w:val="13"/>
          <w:rFonts w:hint="eastAsia" w:cs="Arial"/>
        </w:rPr>
        <w:t>第</w:t>
      </w:r>
      <w:r>
        <w:rPr>
          <w:rStyle w:val="13"/>
          <w:rFonts w:cs="Arial"/>
        </w:rPr>
        <w:t>6</w:t>
      </w:r>
      <w:r>
        <w:rPr>
          <w:rStyle w:val="13"/>
          <w:rFonts w:hint="eastAsia" w:cs="Arial"/>
        </w:rPr>
        <w:t>章</w:t>
      </w:r>
      <w:r>
        <w:rPr>
          <w:rStyle w:val="13"/>
          <w:rFonts w:cs="Arial"/>
        </w:rPr>
        <w:t xml:space="preserve"> </w:t>
      </w:r>
      <w:r>
        <w:rPr>
          <w:rStyle w:val="13"/>
          <w:rFonts w:hint="eastAsia" w:cs="Arial"/>
        </w:rPr>
        <w:t>自动化处理器械和质量体系软件验证</w:t>
      </w:r>
      <w:r>
        <w:tab/>
      </w:r>
      <w:r>
        <w:fldChar w:fldCharType="begin"/>
      </w:r>
      <w:r>
        <w:instrText xml:space="preserve"> PAGEREF _Toc484792196 \h </w:instrText>
      </w:r>
      <w:r>
        <w:fldChar w:fldCharType="separate"/>
      </w:r>
      <w:r>
        <w:t>34</w:t>
      </w:r>
      <w:r>
        <w:fldChar w:fldCharType="end"/>
      </w:r>
      <w:r>
        <w:fldChar w:fldCharType="end"/>
      </w:r>
    </w:p>
    <w:p w14:paraId="5C4615CB">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"_Toc484792197" </w:instrText>
      </w:r>
      <w:r>
        <w:fldChar w:fldCharType="separate"/>
      </w:r>
      <w:r>
        <w:rPr>
          <w:rStyle w:val="13"/>
          <w:rFonts w:cs="Arial"/>
        </w:rPr>
        <w:t>6.1</w:t>
      </w:r>
      <w:r>
        <w:rPr>
          <w:rFonts w:asciiTheme="minorHAnsi" w:hAnsiTheme="minorHAnsi" w:eastAsiaTheme="minorEastAsia"/>
          <w:sz w:val="21"/>
        </w:rPr>
        <w:tab/>
      </w:r>
      <w:r>
        <w:rPr>
          <w:rStyle w:val="13"/>
          <w:rFonts w:hint="eastAsia" w:cs="Arial"/>
        </w:rPr>
        <w:t>需要多少验证证据？</w:t>
      </w:r>
      <w:r>
        <w:tab/>
      </w:r>
      <w:r>
        <w:fldChar w:fldCharType="begin"/>
      </w:r>
      <w:r>
        <w:instrText xml:space="preserve"> PAGEREF _Toc484792197 \h </w:instrText>
      </w:r>
      <w:r>
        <w:fldChar w:fldCharType="separate"/>
      </w:r>
      <w:r>
        <w:t>35</w:t>
      </w:r>
      <w:r>
        <w:fldChar w:fldCharType="end"/>
      </w:r>
      <w:r>
        <w:fldChar w:fldCharType="end"/>
      </w:r>
    </w:p>
    <w:p w14:paraId="7E27B523">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"_Toc484792198" </w:instrText>
      </w:r>
      <w:r>
        <w:fldChar w:fldCharType="separate"/>
      </w:r>
      <w:r>
        <w:rPr>
          <w:rStyle w:val="13"/>
          <w:rFonts w:cs="Arial"/>
        </w:rPr>
        <w:t>6.2</w:t>
      </w:r>
      <w:r>
        <w:rPr>
          <w:rFonts w:asciiTheme="minorHAnsi" w:hAnsiTheme="minorHAnsi" w:eastAsiaTheme="minorEastAsia"/>
          <w:sz w:val="21"/>
        </w:rPr>
        <w:tab/>
      </w:r>
      <w:r>
        <w:rPr>
          <w:rStyle w:val="13"/>
          <w:rFonts w:hint="eastAsia" w:cs="Arial"/>
        </w:rPr>
        <w:t>确定的用户要求</w:t>
      </w:r>
      <w:r>
        <w:tab/>
      </w:r>
      <w:r>
        <w:fldChar w:fldCharType="begin"/>
      </w:r>
      <w:r>
        <w:instrText xml:space="preserve"> PAGEREF _Toc484792198 \h </w:instrText>
      </w:r>
      <w:r>
        <w:fldChar w:fldCharType="separate"/>
      </w:r>
      <w:r>
        <w:t>36</w:t>
      </w:r>
      <w:r>
        <w:fldChar w:fldCharType="end"/>
      </w:r>
      <w:r>
        <w:fldChar w:fldCharType="end"/>
      </w:r>
    </w:p>
    <w:p w14:paraId="175CD70C">
      <w:pPr>
        <w:pStyle w:val="9"/>
        <w:tabs>
          <w:tab w:val="left" w:pos="1050"/>
          <w:tab w:val="right" w:leader="dot" w:pos="9060"/>
        </w:tabs>
        <w:spacing w:before="46"/>
        <w:ind w:left="420"/>
        <w:rPr>
          <w:rFonts w:asciiTheme="minorHAnsi" w:hAnsiTheme="minorHAnsi" w:eastAsiaTheme="minorEastAsia"/>
          <w:sz w:val="21"/>
        </w:rPr>
      </w:pPr>
      <w:r>
        <w:fldChar w:fldCharType="begin"/>
      </w:r>
      <w:r>
        <w:instrText xml:space="preserve"> HYPERLINK \l "_Toc484792199" </w:instrText>
      </w:r>
      <w:r>
        <w:fldChar w:fldCharType="separate"/>
      </w:r>
      <w:r>
        <w:rPr>
          <w:rStyle w:val="13"/>
          <w:rFonts w:cs="Arial"/>
        </w:rPr>
        <w:t>6.3</w:t>
      </w:r>
      <w:r>
        <w:rPr>
          <w:rFonts w:asciiTheme="minorHAnsi" w:hAnsiTheme="minorHAnsi" w:eastAsiaTheme="minorEastAsia"/>
          <w:sz w:val="21"/>
        </w:rPr>
        <w:tab/>
      </w:r>
      <w:r>
        <w:rPr>
          <w:rStyle w:val="13"/>
          <w:rFonts w:hint="eastAsia" w:cs="Arial"/>
        </w:rPr>
        <w:t>现成软件和自动化器械验证</w:t>
      </w:r>
      <w:r>
        <w:tab/>
      </w:r>
      <w:r>
        <w:fldChar w:fldCharType="begin"/>
      </w:r>
      <w:r>
        <w:instrText xml:space="preserve"> PAGEREF _Toc484792199 \h </w:instrText>
      </w:r>
      <w:r>
        <w:fldChar w:fldCharType="separate"/>
      </w:r>
      <w:r>
        <w:t>37</w:t>
      </w:r>
      <w:r>
        <w:fldChar w:fldCharType="end"/>
      </w:r>
      <w:r>
        <w:fldChar w:fldCharType="end"/>
      </w:r>
    </w:p>
    <w:p w14:paraId="419EBFBB">
      <w:pPr>
        <w:pStyle w:val="8"/>
        <w:tabs>
          <w:tab w:val="right" w:leader="dot" w:pos="9060"/>
        </w:tabs>
        <w:spacing w:before="312" w:after="312"/>
        <w:rPr>
          <w:rFonts w:asciiTheme="minorHAnsi" w:hAnsiTheme="minorHAnsi" w:eastAsiaTheme="minorEastAsia"/>
          <w:sz w:val="21"/>
        </w:rPr>
      </w:pPr>
      <w:r>
        <w:fldChar w:fldCharType="begin"/>
      </w:r>
      <w:r>
        <w:instrText xml:space="preserve"> HYPERLINK \l "_Toc484792200" </w:instrText>
      </w:r>
      <w:r>
        <w:fldChar w:fldCharType="separate"/>
      </w:r>
      <w:r>
        <w:rPr>
          <w:rStyle w:val="13"/>
          <w:rFonts w:hint="eastAsia" w:cs="Arial"/>
        </w:rPr>
        <w:t>附录</w:t>
      </w:r>
      <w:r>
        <w:rPr>
          <w:rStyle w:val="13"/>
          <w:rFonts w:cs="Arial"/>
        </w:rPr>
        <w:t xml:space="preserve">A – </w:t>
      </w:r>
      <w:r>
        <w:rPr>
          <w:rStyle w:val="13"/>
          <w:rFonts w:hint="eastAsia" w:cs="Arial"/>
        </w:rPr>
        <w:t>参考文件</w:t>
      </w:r>
      <w:r>
        <w:tab/>
      </w:r>
      <w:r>
        <w:fldChar w:fldCharType="begin"/>
      </w:r>
      <w:r>
        <w:instrText xml:space="preserve"> PAGEREF _Toc484792200 \h </w:instrText>
      </w:r>
      <w:r>
        <w:fldChar w:fldCharType="separate"/>
      </w:r>
      <w:r>
        <w:t>39</w:t>
      </w:r>
      <w:r>
        <w:fldChar w:fldCharType="end"/>
      </w:r>
      <w:r>
        <w:fldChar w:fldCharType="end"/>
      </w:r>
    </w:p>
    <w:p w14:paraId="574C1E1B">
      <w:pPr>
        <w:pStyle w:val="9"/>
        <w:tabs>
          <w:tab w:val="right" w:leader="dot" w:pos="9060"/>
        </w:tabs>
        <w:spacing w:before="46"/>
        <w:ind w:left="420"/>
        <w:rPr>
          <w:rFonts w:asciiTheme="minorHAnsi" w:hAnsiTheme="minorHAnsi" w:eastAsiaTheme="minorEastAsia"/>
          <w:sz w:val="21"/>
        </w:rPr>
      </w:pPr>
      <w:r>
        <w:fldChar w:fldCharType="begin"/>
      </w:r>
      <w:r>
        <w:instrText xml:space="preserve"> HYPERLINK \l "_Toc484792201" </w:instrText>
      </w:r>
      <w:r>
        <w:fldChar w:fldCharType="separate"/>
      </w:r>
      <w:r>
        <w:rPr>
          <w:rStyle w:val="13"/>
          <w:rFonts w:hint="eastAsia" w:cs="Arial"/>
        </w:rPr>
        <w:t>食品药品监督管理局参考文件</w:t>
      </w:r>
      <w:r>
        <w:tab/>
      </w:r>
      <w:r>
        <w:fldChar w:fldCharType="begin"/>
      </w:r>
      <w:r>
        <w:instrText xml:space="preserve"> PAGEREF _Toc484792201 \h </w:instrText>
      </w:r>
      <w:r>
        <w:fldChar w:fldCharType="separate"/>
      </w:r>
      <w:r>
        <w:t>39</w:t>
      </w:r>
      <w:r>
        <w:fldChar w:fldCharType="end"/>
      </w:r>
      <w:r>
        <w:fldChar w:fldCharType="end"/>
      </w:r>
    </w:p>
    <w:p w14:paraId="5F3E7EA6">
      <w:pPr>
        <w:pStyle w:val="9"/>
        <w:tabs>
          <w:tab w:val="right" w:leader="dot" w:pos="9060"/>
        </w:tabs>
        <w:spacing w:before="46"/>
        <w:ind w:left="420"/>
        <w:rPr>
          <w:rFonts w:asciiTheme="minorHAnsi" w:hAnsiTheme="minorHAnsi" w:eastAsiaTheme="minorEastAsia"/>
          <w:sz w:val="21"/>
        </w:rPr>
      </w:pPr>
      <w:r>
        <w:fldChar w:fldCharType="begin"/>
      </w:r>
      <w:r>
        <w:instrText xml:space="preserve"> HYPERLINK \l "_Toc484792202" </w:instrText>
      </w:r>
      <w:r>
        <w:fldChar w:fldCharType="separate"/>
      </w:r>
      <w:r>
        <w:rPr>
          <w:rStyle w:val="13"/>
          <w:rFonts w:hint="eastAsia" w:cs="Arial"/>
        </w:rPr>
        <w:t>其它政府参考文件</w:t>
      </w:r>
      <w:r>
        <w:tab/>
      </w:r>
      <w:r>
        <w:fldChar w:fldCharType="begin"/>
      </w:r>
      <w:r>
        <w:instrText xml:space="preserve"> PAGEREF _Toc484792202 \h </w:instrText>
      </w:r>
      <w:r>
        <w:fldChar w:fldCharType="separate"/>
      </w:r>
      <w:r>
        <w:t>40</w:t>
      </w:r>
      <w:r>
        <w:fldChar w:fldCharType="end"/>
      </w:r>
      <w:r>
        <w:fldChar w:fldCharType="end"/>
      </w:r>
    </w:p>
    <w:p w14:paraId="02B2FC3F">
      <w:pPr>
        <w:pStyle w:val="9"/>
        <w:tabs>
          <w:tab w:val="right" w:leader="dot" w:pos="9060"/>
        </w:tabs>
        <w:spacing w:before="46"/>
        <w:ind w:left="420"/>
        <w:rPr>
          <w:rFonts w:asciiTheme="minorHAnsi" w:hAnsiTheme="minorHAnsi" w:eastAsiaTheme="minorEastAsia"/>
          <w:sz w:val="21"/>
        </w:rPr>
      </w:pPr>
      <w:r>
        <w:fldChar w:fldCharType="begin"/>
      </w:r>
      <w:r>
        <w:instrText xml:space="preserve"> HYPERLINK \l "_Toc484792203" </w:instrText>
      </w:r>
      <w:r>
        <w:fldChar w:fldCharType="separate"/>
      </w:r>
      <w:r>
        <w:rPr>
          <w:rStyle w:val="13"/>
          <w:rFonts w:hint="eastAsia" w:cs="Arial"/>
        </w:rPr>
        <w:t>国际和国家共识标准</w:t>
      </w:r>
      <w:r>
        <w:tab/>
      </w:r>
      <w:r>
        <w:fldChar w:fldCharType="begin"/>
      </w:r>
      <w:r>
        <w:instrText xml:space="preserve"> PAGEREF _Toc484792203 \h </w:instrText>
      </w:r>
      <w:r>
        <w:fldChar w:fldCharType="separate"/>
      </w:r>
      <w:r>
        <w:t>41</w:t>
      </w:r>
      <w:r>
        <w:fldChar w:fldCharType="end"/>
      </w:r>
      <w:r>
        <w:fldChar w:fldCharType="end"/>
      </w:r>
    </w:p>
    <w:p w14:paraId="74D3FAD8">
      <w:pPr>
        <w:pStyle w:val="9"/>
        <w:tabs>
          <w:tab w:val="right" w:leader="dot" w:pos="9060"/>
        </w:tabs>
        <w:spacing w:before="46"/>
        <w:ind w:left="420"/>
        <w:rPr>
          <w:rFonts w:asciiTheme="minorHAnsi" w:hAnsiTheme="minorHAnsi" w:eastAsiaTheme="minorEastAsia"/>
          <w:sz w:val="21"/>
        </w:rPr>
      </w:pPr>
      <w:r>
        <w:fldChar w:fldCharType="begin"/>
      </w:r>
      <w:r>
        <w:instrText xml:space="preserve"> HYPERLINK \l "_Toc484792204" </w:instrText>
      </w:r>
      <w:r>
        <w:fldChar w:fldCharType="separate"/>
      </w:r>
      <w:r>
        <w:rPr>
          <w:rStyle w:val="13"/>
          <w:rFonts w:hint="eastAsia" w:cs="Arial"/>
          <w:iCs/>
          <w:kern w:val="0"/>
        </w:rPr>
        <w:t>生产过程软件参考</w:t>
      </w:r>
      <w:r>
        <w:tab/>
      </w:r>
      <w:r>
        <w:fldChar w:fldCharType="begin"/>
      </w:r>
      <w:r>
        <w:instrText xml:space="preserve"> PAGEREF _Toc484792204 \h </w:instrText>
      </w:r>
      <w:r>
        <w:fldChar w:fldCharType="separate"/>
      </w:r>
      <w:r>
        <w:t>42</w:t>
      </w:r>
      <w:r>
        <w:fldChar w:fldCharType="end"/>
      </w:r>
      <w:r>
        <w:fldChar w:fldCharType="end"/>
      </w:r>
    </w:p>
    <w:p w14:paraId="65D9A404">
      <w:pPr>
        <w:pStyle w:val="9"/>
        <w:tabs>
          <w:tab w:val="right" w:leader="dot" w:pos="9060"/>
        </w:tabs>
        <w:spacing w:before="46"/>
        <w:ind w:left="420"/>
        <w:rPr>
          <w:rFonts w:asciiTheme="minorHAnsi" w:hAnsiTheme="minorHAnsi" w:eastAsiaTheme="minorEastAsia"/>
          <w:sz w:val="21"/>
        </w:rPr>
      </w:pPr>
      <w:r>
        <w:fldChar w:fldCharType="begin"/>
      </w:r>
      <w:r>
        <w:instrText xml:space="preserve"> HYPERLINK \l "_Toc484792205" </w:instrText>
      </w:r>
      <w:r>
        <w:fldChar w:fldCharType="separate"/>
      </w:r>
      <w:r>
        <w:rPr>
          <w:rStyle w:val="13"/>
          <w:rFonts w:hint="eastAsia" w:cs="Arial"/>
          <w:iCs/>
          <w:kern w:val="0"/>
        </w:rPr>
        <w:t>一般软件质量参考</w:t>
      </w:r>
      <w:r>
        <w:tab/>
      </w:r>
      <w:r>
        <w:fldChar w:fldCharType="begin"/>
      </w:r>
      <w:r>
        <w:instrText xml:space="preserve"> PAGEREF _Toc484792205 \h </w:instrText>
      </w:r>
      <w:r>
        <w:fldChar w:fldCharType="separate"/>
      </w:r>
      <w:r>
        <w:t>43</w:t>
      </w:r>
      <w:r>
        <w:fldChar w:fldCharType="end"/>
      </w:r>
      <w:r>
        <w:fldChar w:fldCharType="end"/>
      </w:r>
    </w:p>
    <w:p w14:paraId="2A86F9D2">
      <w:pPr>
        <w:pStyle w:val="8"/>
        <w:tabs>
          <w:tab w:val="right" w:leader="dot" w:pos="9060"/>
        </w:tabs>
        <w:spacing w:before="312" w:after="312"/>
        <w:rPr>
          <w:rFonts w:asciiTheme="minorHAnsi" w:hAnsiTheme="minorHAnsi" w:eastAsiaTheme="minorEastAsia"/>
          <w:sz w:val="21"/>
        </w:rPr>
      </w:pPr>
      <w:r>
        <w:fldChar w:fldCharType="begin"/>
      </w:r>
      <w:r>
        <w:instrText xml:space="preserve"> HYPERLINK \l "_Toc484792206" </w:instrText>
      </w:r>
      <w:r>
        <w:fldChar w:fldCharType="separate"/>
      </w:r>
      <w:r>
        <w:rPr>
          <w:rStyle w:val="13"/>
          <w:rFonts w:hint="eastAsia" w:cs="Arial"/>
        </w:rPr>
        <w:t>附录</w:t>
      </w:r>
      <w:r>
        <w:rPr>
          <w:rStyle w:val="13"/>
          <w:rFonts w:cs="Arial"/>
        </w:rPr>
        <w:t>B –</w:t>
      </w:r>
      <w:r>
        <w:rPr>
          <w:rStyle w:val="13"/>
          <w:rFonts w:hint="eastAsia" w:cs="Arial"/>
        </w:rPr>
        <w:t>开发团队</w:t>
      </w:r>
      <w:r>
        <w:tab/>
      </w:r>
      <w:r>
        <w:fldChar w:fldCharType="begin"/>
      </w:r>
      <w:r>
        <w:instrText xml:space="preserve"> PAGEREF _Toc484792206 \h </w:instrText>
      </w:r>
      <w:r>
        <w:fldChar w:fldCharType="separate"/>
      </w:r>
      <w:r>
        <w:t>47</w:t>
      </w:r>
      <w:r>
        <w:fldChar w:fldCharType="end"/>
      </w:r>
      <w:r>
        <w:fldChar w:fldCharType="end"/>
      </w:r>
    </w:p>
    <w:p w14:paraId="004B7D52">
      <w:pPr>
        <w:widowControl/>
        <w:adjustRightInd w:val="0"/>
        <w:snapToGrid w:val="0"/>
        <w:spacing w:after="312" w:afterLines="100" w:line="300" w:lineRule="auto"/>
        <w:jc w:val="left"/>
        <w:rPr>
          <w:rFonts w:ascii="Arial" w:hAnsi="Arial" w:eastAsia="宋体" w:cs="Arial"/>
        </w:rPr>
      </w:pPr>
      <w:r>
        <w:rPr>
          <w:rFonts w:ascii="Arial" w:hAnsi="Arial" w:eastAsia="宋体" w:cs="Arial"/>
          <w:sz w:val="24"/>
        </w:rPr>
        <w:fldChar w:fldCharType="end"/>
      </w:r>
    </w:p>
    <w:p w14:paraId="40AECA46">
      <w:pPr>
        <w:widowControl/>
        <w:adjustRightInd w:val="0"/>
        <w:snapToGrid w:val="0"/>
        <w:spacing w:after="312" w:afterLines="100" w:line="300" w:lineRule="auto"/>
        <w:jc w:val="left"/>
        <w:rPr>
          <w:rFonts w:ascii="Arial" w:hAnsi="Arial" w:eastAsia="宋体" w:cs="Arial"/>
        </w:rPr>
      </w:pPr>
    </w:p>
    <w:p w14:paraId="37D5CDAD">
      <w:pPr>
        <w:widowControl/>
        <w:adjustRightInd w:val="0"/>
        <w:snapToGrid w:val="0"/>
        <w:spacing w:after="312" w:afterLines="100" w:line="300" w:lineRule="auto"/>
        <w:jc w:val="left"/>
        <w:rPr>
          <w:rFonts w:ascii="Arial" w:hAnsi="Arial" w:eastAsia="宋体" w:cs="Arial"/>
        </w:rPr>
        <w:sectPr>
          <w:headerReference r:id="rId5" w:type="default"/>
          <w:footerReference r:id="rId6" w:type="default"/>
          <w:pgSz w:w="11906" w:h="16838"/>
          <w:pgMar w:top="1418" w:right="1418" w:bottom="1418" w:left="1418" w:header="720" w:footer="720" w:gutter="0"/>
          <w:pgNumType w:fmt="lowerRoman" w:start="2"/>
          <w:cols w:space="720" w:num="1"/>
          <w:docGrid w:type="lines" w:linePitch="312" w:charSpace="0"/>
        </w:sectPr>
      </w:pPr>
    </w:p>
    <w:p w14:paraId="674ACE89">
      <w:pPr>
        <w:widowControl/>
        <w:adjustRightInd w:val="0"/>
        <w:snapToGrid w:val="0"/>
        <w:spacing w:after="312" w:afterLines="100" w:line="300" w:lineRule="auto"/>
        <w:jc w:val="left"/>
        <w:rPr>
          <w:rFonts w:ascii="Arial" w:hAnsi="Arial" w:eastAsia="宋体" w:cs="Arial"/>
        </w:rPr>
      </w:pPr>
    </w:p>
    <w:p w14:paraId="77AB174F">
      <w:pPr>
        <w:adjustRightInd w:val="0"/>
        <w:snapToGrid w:val="0"/>
        <w:spacing w:after="312" w:afterLines="100" w:line="300" w:lineRule="auto"/>
        <w:jc w:val="center"/>
        <w:rPr>
          <w:rFonts w:ascii="Arial" w:hAnsi="Arial" w:eastAsia="宋体" w:cs="Arial"/>
          <w:b/>
          <w:sz w:val="48"/>
        </w:rPr>
      </w:pPr>
      <w:r>
        <w:rPr>
          <w:rFonts w:ascii="Arial" w:hAnsi="Arial" w:eastAsia="宋体" w:cs="Arial"/>
          <w:b/>
          <w:sz w:val="48"/>
        </w:rPr>
        <w:t>软件验证的一般原则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FFC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4080353">
            <w:pPr>
              <w:adjustRightInd w:val="0"/>
              <w:snapToGrid w:val="0"/>
              <w:spacing w:before="156" w:beforeLines="50" w:after="312" w:afterLines="100" w:line="300" w:lineRule="auto"/>
              <w:jc w:val="left"/>
              <w:rPr>
                <w:rFonts w:ascii="Arial" w:hAnsi="Arial" w:eastAsia="宋体" w:cs="Arial"/>
              </w:rPr>
            </w:pPr>
            <w:r>
              <w:rPr>
                <w:rFonts w:ascii="Arial" w:hAnsi="Arial" w:eastAsia="宋体" w:cs="Arial"/>
              </w:rPr>
              <w:t>本文件旨在提供指南。本指南代表食品药品监督管理局（FDA）对此主题的最新见解。其不会为任何人创造或赋予任何权利，也不对FDA或公众具有约束力。如果替代方法满足适用的法律、法规或其两者的要求，可以使用替代方法。</w:t>
            </w:r>
          </w:p>
        </w:tc>
      </w:tr>
    </w:tbl>
    <w:p w14:paraId="7615A1D0">
      <w:pPr>
        <w:adjustRightInd w:val="0"/>
        <w:snapToGrid w:val="0"/>
        <w:spacing w:after="312" w:afterLines="100" w:line="300" w:lineRule="auto"/>
        <w:jc w:val="left"/>
        <w:rPr>
          <w:rFonts w:ascii="Arial" w:hAnsi="Arial" w:eastAsia="宋体" w:cs="Arial"/>
        </w:rPr>
      </w:pPr>
    </w:p>
    <w:p w14:paraId="0C8231AA">
      <w:pPr>
        <w:adjustRightInd w:val="0"/>
        <w:snapToGrid w:val="0"/>
        <w:spacing w:after="312" w:afterLines="100" w:line="300" w:lineRule="auto"/>
        <w:jc w:val="center"/>
        <w:outlineLvl w:val="0"/>
        <w:rPr>
          <w:rFonts w:ascii="Arial" w:hAnsi="Arial" w:eastAsia="宋体" w:cs="Arial"/>
          <w:b/>
          <w:sz w:val="36"/>
        </w:rPr>
      </w:pPr>
      <w:bookmarkStart w:id="5" w:name="_Toc484792159"/>
      <w:r>
        <w:rPr>
          <w:rFonts w:ascii="Arial" w:hAnsi="Arial" w:eastAsia="宋体" w:cs="Arial"/>
          <w:b/>
          <w:sz w:val="36"/>
        </w:rPr>
        <w:t>第1章 目的</w:t>
      </w:r>
      <w:bookmarkEnd w:id="5"/>
    </w:p>
    <w:p w14:paraId="11F50D12">
      <w:pPr>
        <w:pStyle w:val="3"/>
        <w:adjustRightInd w:val="0"/>
        <w:snapToGrid w:val="0"/>
        <w:spacing w:before="0" w:after="312" w:afterLines="100" w:line="300" w:lineRule="auto"/>
        <w:ind w:left="0"/>
        <w:jc w:val="both"/>
        <w:rPr>
          <w:rFonts w:ascii="Arial" w:hAnsi="Arial" w:cs="Arial"/>
          <w:lang w:eastAsia="zh-CN"/>
        </w:rPr>
      </w:pPr>
      <w:r>
        <w:rPr>
          <w:rFonts w:ascii="Arial" w:hAnsi="Arial" w:cs="Arial"/>
          <w:lang w:eastAsia="zh-CN"/>
        </w:rPr>
        <w:t>本指南简要概述了食品药品监督管理局（FDA）认为适用于医疗器械软件的验证或用于设计、开发或生产医疗器械的软件验证的一般验证原则。最终指导性文件版本2.0将替代于1997年6月9日发布的草案文件《软件验证的一般原则，版本1.1》。</w:t>
      </w:r>
    </w:p>
    <w:p w14:paraId="06C15EF0">
      <w:pPr>
        <w:adjustRightInd w:val="0"/>
        <w:snapToGrid w:val="0"/>
        <w:spacing w:after="312" w:afterLines="100" w:line="300" w:lineRule="auto"/>
        <w:jc w:val="center"/>
        <w:outlineLvl w:val="0"/>
        <w:rPr>
          <w:rFonts w:ascii="Arial" w:hAnsi="Arial" w:eastAsia="宋体" w:cs="Arial"/>
          <w:b/>
          <w:sz w:val="36"/>
        </w:rPr>
      </w:pPr>
      <w:bookmarkStart w:id="6" w:name="_Toc484792160"/>
      <w:r>
        <w:rPr>
          <w:rFonts w:ascii="Arial" w:hAnsi="Arial" w:eastAsia="宋体" w:cs="Arial"/>
          <w:b/>
          <w:sz w:val="36"/>
        </w:rPr>
        <w:t>第2章 范围</w:t>
      </w:r>
      <w:bookmarkEnd w:id="6"/>
    </w:p>
    <w:p w14:paraId="5367DD9C">
      <w:pPr>
        <w:pStyle w:val="3"/>
        <w:snapToGrid w:val="0"/>
        <w:spacing w:before="0" w:after="312" w:afterLines="100" w:line="300" w:lineRule="auto"/>
        <w:ind w:left="0"/>
        <w:jc w:val="both"/>
        <w:rPr>
          <w:rFonts w:ascii="Arial" w:hAnsi="Arial" w:cs="Arial"/>
          <w:lang w:eastAsia="zh-CN"/>
        </w:rPr>
      </w:pPr>
      <w:r>
        <w:rPr>
          <w:rFonts w:ascii="Arial" w:hAnsi="Arial" w:cs="Arial"/>
          <w:lang w:eastAsia="zh-CN"/>
        </w:rPr>
        <w:t>本指南描述了如何将医疗器械质量体系法规的某些条款应用于软件以及机构用于评估软件验证系统的最新方法。例如，本文件列出了FDA可接受的用于软件验证的内容；但本文件并未列出在所有情况下符合法律规定需要执行的所有行为和任务。</w:t>
      </w:r>
    </w:p>
    <w:p w14:paraId="2AE5736F">
      <w:pPr>
        <w:pStyle w:val="3"/>
        <w:snapToGrid w:val="0"/>
        <w:spacing w:before="0" w:after="312" w:afterLines="100" w:line="300" w:lineRule="auto"/>
        <w:ind w:left="0"/>
        <w:jc w:val="both"/>
        <w:rPr>
          <w:rFonts w:ascii="Arial" w:hAnsi="Arial" w:cs="Arial"/>
          <w:lang w:eastAsia="zh-CN"/>
        </w:rPr>
      </w:pPr>
      <w:r>
        <w:rPr>
          <w:rFonts w:ascii="Arial" w:hAnsi="Arial" w:cs="Arial"/>
          <w:lang w:eastAsia="zh-CN"/>
        </w:rPr>
        <w:t>从某种程度上来说，本指南的范围要超过字面意义上所严格定义的验证范围。本指南中所讨论的软件计划、确认、测试、可追溯性、配置管理以及良好软件工程的其他方面均为重要的步骤，并且同样能够帮助得出软件经过验证的最终结论。</w:t>
      </w:r>
    </w:p>
    <w:p w14:paraId="7509C7AF">
      <w:pPr>
        <w:pStyle w:val="3"/>
        <w:snapToGrid w:val="0"/>
        <w:spacing w:before="0" w:after="312" w:afterLines="100" w:line="300" w:lineRule="auto"/>
        <w:ind w:left="0"/>
        <w:jc w:val="both"/>
        <w:rPr>
          <w:rFonts w:ascii="Arial" w:hAnsi="Arial" w:cs="Arial"/>
          <w:lang w:eastAsia="zh-CN"/>
        </w:rPr>
      </w:pPr>
      <w:r>
        <w:rPr>
          <w:rFonts w:ascii="Arial" w:hAnsi="Arial" w:cs="Arial"/>
          <w:lang w:eastAsia="zh-CN"/>
        </w:rPr>
        <w:t>本指南建议将软件生命周期管理与风险管理行为相结合。根据待开发软件的预期用途以及与其相关的安全风险，软件开发人员应当明确具体方法、应用到的各种技术结合以及工作的投入规模。虽然本指南不会推荐任何特定的生命周期模式或特定的技术或方法，但指南建议在整个软件生命周期内开展软件验证和确认的工作。</w:t>
      </w:r>
    </w:p>
    <w:p w14:paraId="3188D48A">
      <w:pPr>
        <w:pStyle w:val="3"/>
        <w:snapToGrid w:val="0"/>
        <w:spacing w:before="0" w:after="312" w:afterLines="100" w:line="300" w:lineRule="auto"/>
        <w:ind w:left="0"/>
        <w:jc w:val="both"/>
        <w:rPr>
          <w:rFonts w:ascii="Arial" w:hAnsi="Arial" w:cs="Arial"/>
          <w:lang w:eastAsia="zh-CN"/>
        </w:rPr>
      </w:pPr>
      <w:r>
        <w:rPr>
          <w:rFonts w:ascii="Arial" w:hAnsi="Arial" w:cs="Arial"/>
          <w:lang w:eastAsia="zh-CN"/>
        </w:rPr>
        <w:t>如果软件的开发者为其他人员而非器械的生产商（即成品软件），则软件的开发者可能无法直接负责遵守FDA法规。</w:t>
      </w:r>
    </w:p>
    <w:p w14:paraId="3A597EEE">
      <w:pPr>
        <w:widowControl/>
        <w:jc w:val="left"/>
        <w:rPr>
          <w:rFonts w:ascii="Arial" w:hAnsi="Arial" w:eastAsia="宋体" w:cs="Arial"/>
          <w:kern w:val="0"/>
          <w:sz w:val="24"/>
          <w:szCs w:val="24"/>
        </w:rPr>
      </w:pPr>
      <w:r>
        <w:rPr>
          <w:rFonts w:ascii="Arial" w:hAnsi="Arial" w:cs="Arial"/>
        </w:rPr>
        <w:br w:type="page"/>
      </w:r>
    </w:p>
    <w:p w14:paraId="54E9604C">
      <w:pPr>
        <w:pStyle w:val="3"/>
        <w:snapToGrid w:val="0"/>
        <w:spacing w:before="0" w:after="312" w:afterLines="100" w:line="300" w:lineRule="auto"/>
        <w:ind w:left="0"/>
        <w:jc w:val="both"/>
        <w:rPr>
          <w:rFonts w:ascii="Arial" w:hAnsi="Arial" w:cs="Arial"/>
          <w:lang w:eastAsia="zh-CN"/>
        </w:rPr>
      </w:pPr>
      <w:r>
        <w:rPr>
          <w:rFonts w:ascii="Arial" w:hAnsi="Arial" w:cs="Arial"/>
          <w:lang w:eastAsia="zh-CN"/>
        </w:rPr>
        <w:t>在这种情况下，需要承担法律责任的一方（及器械生产商）需要对成品软件开发者行为是否恰当做出评估，并明确软件经确认可以满足生产商预期用途还需要做出的努力。</w:t>
      </w:r>
    </w:p>
    <w:p w14:paraId="268CF174">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7" w:name="_Toc484792161"/>
      <w:r>
        <w:rPr>
          <w:rFonts w:ascii="Arial" w:hAnsi="Arial" w:eastAsia="宋体" w:cs="Arial"/>
          <w:b/>
          <w:sz w:val="24"/>
          <w:szCs w:val="24"/>
        </w:rPr>
        <w:t>2.1</w:t>
      </w:r>
      <w:r>
        <w:rPr>
          <w:rFonts w:hint="eastAsia" w:ascii="Arial" w:hAnsi="Arial" w:eastAsia="宋体" w:cs="Arial"/>
          <w:b/>
          <w:sz w:val="24"/>
          <w:szCs w:val="24"/>
        </w:rPr>
        <w:tab/>
      </w:r>
      <w:r>
        <w:rPr>
          <w:rFonts w:ascii="Arial" w:hAnsi="Arial" w:eastAsia="宋体" w:cs="Arial"/>
          <w:b/>
          <w:sz w:val="24"/>
          <w:szCs w:val="24"/>
        </w:rPr>
        <w:t>适用性</w:t>
      </w:r>
      <w:bookmarkEnd w:id="7"/>
    </w:p>
    <w:p w14:paraId="36C6686A">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本指南适用于：</w:t>
      </w:r>
    </w:p>
    <w:p w14:paraId="55551CA9">
      <w:pPr>
        <w:pStyle w:val="14"/>
        <w:numPr>
          <w:ilvl w:val="0"/>
          <w:numId w:val="1"/>
        </w:numPr>
        <w:adjustRightInd w:val="0"/>
        <w:snapToGrid w:val="0"/>
        <w:spacing w:after="312" w:afterLines="100" w:line="300" w:lineRule="auto"/>
        <w:ind w:left="480" w:hanging="480" w:hangingChars="200"/>
        <w:jc w:val="left"/>
        <w:rPr>
          <w:rFonts w:ascii="Arial" w:hAnsi="Arial" w:eastAsia="宋体" w:cs="Arial"/>
          <w:sz w:val="24"/>
          <w:szCs w:val="24"/>
        </w:rPr>
      </w:pPr>
      <w:r>
        <w:rPr>
          <w:rFonts w:ascii="Arial" w:hAnsi="Arial" w:eastAsia="宋体" w:cs="Arial"/>
          <w:sz w:val="24"/>
          <w:szCs w:val="24"/>
        </w:rPr>
        <w:t>作为医疗器械组件、部件或附件的软件；</w:t>
      </w:r>
    </w:p>
    <w:p w14:paraId="0B2B2EF5">
      <w:pPr>
        <w:pStyle w:val="14"/>
        <w:numPr>
          <w:ilvl w:val="0"/>
          <w:numId w:val="1"/>
        </w:numPr>
        <w:adjustRightInd w:val="0"/>
        <w:snapToGrid w:val="0"/>
        <w:spacing w:after="312" w:afterLines="100" w:line="300" w:lineRule="auto"/>
        <w:ind w:left="480" w:hanging="480" w:hangingChars="200"/>
        <w:jc w:val="left"/>
        <w:rPr>
          <w:rFonts w:ascii="Arial" w:hAnsi="Arial" w:eastAsia="宋体" w:cs="Arial"/>
          <w:sz w:val="24"/>
          <w:szCs w:val="24"/>
        </w:rPr>
      </w:pPr>
      <w:r>
        <w:rPr>
          <w:rFonts w:ascii="Arial" w:hAnsi="Arial" w:eastAsia="宋体" w:cs="Arial"/>
          <w:sz w:val="24"/>
          <w:szCs w:val="24"/>
        </w:rPr>
        <w:t>本身即为医疗器械的软件（如血站软件）；</w:t>
      </w:r>
    </w:p>
    <w:p w14:paraId="3E2E0D72">
      <w:pPr>
        <w:pStyle w:val="14"/>
        <w:numPr>
          <w:ilvl w:val="0"/>
          <w:numId w:val="1"/>
        </w:numPr>
        <w:adjustRightInd w:val="0"/>
        <w:snapToGrid w:val="0"/>
        <w:spacing w:after="312" w:afterLines="100" w:line="300" w:lineRule="auto"/>
        <w:ind w:left="480" w:hanging="480" w:hangingChars="200"/>
        <w:jc w:val="left"/>
        <w:rPr>
          <w:rFonts w:ascii="Arial" w:hAnsi="Arial" w:eastAsia="宋体" w:cs="Arial"/>
          <w:sz w:val="24"/>
          <w:szCs w:val="24"/>
        </w:rPr>
      </w:pPr>
      <w:r>
        <w:rPr>
          <w:rFonts w:ascii="Arial" w:hAnsi="Arial" w:eastAsia="宋体" w:cs="Arial"/>
          <w:sz w:val="24"/>
          <w:szCs w:val="24"/>
        </w:rPr>
        <w:t>用于器械生产的软件（如器械生产过程中的可编程序控制器）；以及</w:t>
      </w:r>
    </w:p>
    <w:p w14:paraId="2F8B1090">
      <w:pPr>
        <w:pStyle w:val="14"/>
        <w:numPr>
          <w:ilvl w:val="0"/>
          <w:numId w:val="1"/>
        </w:numPr>
        <w:adjustRightInd w:val="0"/>
        <w:snapToGrid w:val="0"/>
        <w:spacing w:after="312" w:afterLines="100" w:line="300" w:lineRule="auto"/>
        <w:ind w:left="480" w:hanging="480" w:hangingChars="200"/>
        <w:jc w:val="left"/>
        <w:rPr>
          <w:rFonts w:ascii="Arial" w:hAnsi="Arial" w:eastAsia="宋体" w:cs="Arial"/>
          <w:sz w:val="24"/>
          <w:szCs w:val="24"/>
        </w:rPr>
      </w:pPr>
      <w:r>
        <w:rPr>
          <w:rFonts w:ascii="Arial" w:hAnsi="Arial" w:eastAsia="宋体" w:cs="Arial"/>
          <w:sz w:val="24"/>
          <w:szCs w:val="24"/>
        </w:rPr>
        <w:t>用于实施器械生产商的质量控制体系的软件（如用于记录和存储器械历史记录的软件）。</w:t>
      </w:r>
    </w:p>
    <w:p w14:paraId="315BF1A3">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本文件基于普遍认可的软件验证原则，因此可以适用于所有的软件。对于FDA而言，本指南适用于所有与法规监管范围内的医疗器械相关的任何软件，这些法规包括联邦食品药品与化妆品法案（法案）以及现行的FDA软件与法规政策。本文件并不特别指明软件是否在监管范围内。</w:t>
      </w:r>
    </w:p>
    <w:p w14:paraId="67BBE935">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8" w:name="_Toc484792162"/>
      <w:r>
        <w:rPr>
          <w:rFonts w:ascii="Arial" w:hAnsi="Arial" w:eastAsia="宋体" w:cs="Arial"/>
          <w:b/>
          <w:sz w:val="24"/>
          <w:szCs w:val="24"/>
        </w:rPr>
        <w:t>2.2</w:t>
      </w:r>
      <w:r>
        <w:rPr>
          <w:rFonts w:hint="eastAsia" w:ascii="Arial" w:hAnsi="Arial" w:eastAsia="宋体" w:cs="Arial"/>
          <w:b/>
          <w:sz w:val="24"/>
          <w:szCs w:val="24"/>
        </w:rPr>
        <w:tab/>
      </w:r>
      <w:r>
        <w:rPr>
          <w:rFonts w:ascii="Arial" w:hAnsi="Arial" w:eastAsia="宋体" w:cs="Arial"/>
          <w:b/>
          <w:sz w:val="24"/>
          <w:szCs w:val="24"/>
        </w:rPr>
        <w:t>受众</w:t>
      </w:r>
      <w:bookmarkEnd w:id="8"/>
    </w:p>
    <w:p w14:paraId="674AED73">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本指南为下列个体提供有用的信息和建议：</w:t>
      </w:r>
    </w:p>
    <w:p w14:paraId="0A52365C">
      <w:pPr>
        <w:pStyle w:val="14"/>
        <w:numPr>
          <w:ilvl w:val="0"/>
          <w:numId w:val="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受到医疗器械质量体系监管的个体</w:t>
      </w:r>
    </w:p>
    <w:p w14:paraId="59B1FDF3">
      <w:pPr>
        <w:pStyle w:val="14"/>
        <w:numPr>
          <w:ilvl w:val="0"/>
          <w:numId w:val="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负责医疗器械软件的设计、开发或生产的个体</w:t>
      </w:r>
    </w:p>
    <w:p w14:paraId="6C0041B4">
      <w:pPr>
        <w:pStyle w:val="14"/>
        <w:numPr>
          <w:ilvl w:val="0"/>
          <w:numId w:val="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负责设计、开发、生产或采购用于设计、开发或生产医疗器械的自动化工具，或用于实施质量管理体系本身的软件工具的个体</w:t>
      </w:r>
    </w:p>
    <w:p w14:paraId="5DA6DC5A">
      <w:pPr>
        <w:pStyle w:val="14"/>
        <w:numPr>
          <w:ilvl w:val="0"/>
          <w:numId w:val="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FDA研究者</w:t>
      </w:r>
    </w:p>
    <w:p w14:paraId="4ADC45B9">
      <w:pPr>
        <w:pStyle w:val="14"/>
        <w:numPr>
          <w:ilvl w:val="0"/>
          <w:numId w:val="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FDA合规人员</w:t>
      </w:r>
    </w:p>
    <w:p w14:paraId="24C4A3CD">
      <w:pPr>
        <w:pStyle w:val="14"/>
        <w:numPr>
          <w:ilvl w:val="0"/>
          <w:numId w:val="2"/>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FDA科学审查员</w:t>
      </w:r>
    </w:p>
    <w:p w14:paraId="6B6FBAC7">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9" w:name="_Toc484792163"/>
      <w:r>
        <w:rPr>
          <w:rFonts w:ascii="Arial" w:hAnsi="Arial" w:eastAsia="宋体" w:cs="Arial"/>
          <w:b/>
          <w:sz w:val="24"/>
          <w:szCs w:val="24"/>
        </w:rPr>
        <w:t>2.3</w:t>
      </w:r>
      <w:r>
        <w:rPr>
          <w:rFonts w:hint="eastAsia" w:ascii="Arial" w:hAnsi="Arial" w:eastAsia="宋体" w:cs="Arial"/>
          <w:b/>
          <w:sz w:val="24"/>
          <w:szCs w:val="24"/>
        </w:rPr>
        <w:tab/>
      </w:r>
      <w:r>
        <w:rPr>
          <w:rFonts w:ascii="Arial" w:hAnsi="Arial" w:eastAsia="宋体" w:cs="Arial"/>
          <w:b/>
          <w:sz w:val="24"/>
          <w:szCs w:val="24"/>
        </w:rPr>
        <w:t>最小负担方法</w:t>
      </w:r>
      <w:bookmarkEnd w:id="9"/>
    </w:p>
    <w:p w14:paraId="66D50F9F">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我们认为我们应当在医疗器械法规的各个方面考虑最小负担方法。本指南可以体现出，我们对于相关的科学和法律要求进行了仔细的审查，并提供了我们认为符合这些要求的最小负担的方式。但如果贵公司认为有其他的方式能够带来更少的负担，那么请贵公司与我们取得联系，我们可以考虑贵公司的观点。贵公司可以将书面评论寄送给本指南前言列出的联系人，或寄给CDRH监察专员。关于CDEH</w:t>
      </w:r>
      <w:bookmarkStart w:id="10" w:name="OLE_LINK22"/>
      <w:bookmarkStart w:id="11" w:name="OLE_LINK21"/>
      <w:r>
        <w:rPr>
          <w:rFonts w:ascii="Arial" w:hAnsi="Arial" w:eastAsia="宋体" w:cs="Arial"/>
          <w:sz w:val="24"/>
          <w:szCs w:val="24"/>
        </w:rPr>
        <w:t>监察专员</w:t>
      </w:r>
      <w:bookmarkEnd w:id="10"/>
      <w:bookmarkEnd w:id="11"/>
      <w:r>
        <w:rPr>
          <w:rFonts w:ascii="Arial" w:hAnsi="Arial" w:eastAsia="宋体" w:cs="Arial"/>
          <w:sz w:val="24"/>
          <w:szCs w:val="24"/>
        </w:rPr>
        <w:t>的详细信息，包括与监察专员的联系方式可以在下列网站找到：</w:t>
      </w:r>
    </w:p>
    <w:p w14:paraId="10DB1E73">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http://www.fda.gov/cdrh/resolvingdisputes/ombudsman.html.</w:t>
      </w:r>
    </w:p>
    <w:p w14:paraId="7D016568">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12" w:name="_Toc484792164"/>
      <w:r>
        <w:rPr>
          <w:rFonts w:ascii="Arial" w:hAnsi="Arial" w:eastAsia="宋体" w:cs="Arial"/>
          <w:b/>
          <w:sz w:val="24"/>
          <w:szCs w:val="24"/>
        </w:rPr>
        <w:t>2.4</w:t>
      </w:r>
      <w:r>
        <w:rPr>
          <w:rFonts w:hint="eastAsia" w:ascii="Arial" w:hAnsi="Arial" w:eastAsia="宋体" w:cs="Arial"/>
          <w:b/>
          <w:sz w:val="24"/>
          <w:szCs w:val="24"/>
        </w:rPr>
        <w:tab/>
      </w:r>
      <w:r>
        <w:rPr>
          <w:rFonts w:ascii="Arial" w:hAnsi="Arial" w:eastAsia="宋体" w:cs="Arial"/>
          <w:b/>
          <w:sz w:val="24"/>
          <w:szCs w:val="24"/>
        </w:rPr>
        <w:t>软件验证的法律要求</w:t>
      </w:r>
      <w:bookmarkEnd w:id="12"/>
    </w:p>
    <w:p w14:paraId="09993AC2">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FDA对1992年至1998年间的3140例医疗器械召回进行了分析，结果发现其中242例（7.7%）是由于软件故障。在这些与软件相关的召回中，有192例（79%）是由于器械最初生产和销售后对软件进行变更而引入的软件缺陷。在本指南中所讨论的软件验证及其他相关的良好软件工程规范是避免这种缺陷及其导致的召回的最主要方式。</w:t>
      </w:r>
    </w:p>
    <w:p w14:paraId="02DD5C94">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验证是质量体系法规的要求，该法规于1996年10月7日于联邦公报发布，并于1997年6月1日起实行。（分别见于美国联邦法规（CFR）21章第820部分，以及61联邦公报（52602）。）验证要求适用于作为医疗器械组件的软件、本身为医疗器械的软件以及用于器械的生产或实施医疗器械生产商质量体系的软件。</w:t>
      </w:r>
    </w:p>
    <w:p w14:paraId="7C5E9790">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除非在分类法规中特别指明豁免，否则任何与1997年6月1日后开发的医疗器械软件产品，无论其器械类别如何，均适用于设计控制条例。（见21 CFR §820.30。）该要求包括当前开发项目的完结、所有的新开发项目以及所有对已有医疗器械软件的变更。医疗器械软件验证的具体要求见</w:t>
      </w:r>
      <w:bookmarkStart w:id="13" w:name="OLE_LINK1"/>
      <w:bookmarkStart w:id="14" w:name="OLE_LINK2"/>
      <w:r>
        <w:rPr>
          <w:rFonts w:ascii="Arial" w:hAnsi="Arial" w:eastAsia="宋体" w:cs="Arial"/>
          <w:sz w:val="24"/>
          <w:szCs w:val="24"/>
        </w:rPr>
        <w:t>21 CFR §820.30</w:t>
      </w:r>
      <w:bookmarkEnd w:id="13"/>
      <w:bookmarkEnd w:id="14"/>
      <w:r>
        <w:rPr>
          <w:rFonts w:ascii="Arial" w:hAnsi="Arial" w:eastAsia="宋体" w:cs="Arial"/>
          <w:sz w:val="24"/>
          <w:szCs w:val="24"/>
        </w:rPr>
        <w:t>（g）。医疗器械软件还要求其他的设计控制内容，例如计划、输入、验证以及审查。（见21 CFR §820.30。）上述过程相应的记录结果能够为医疗器械软件确认通过的最终结论提供额外的支持信息。</w:t>
      </w:r>
    </w:p>
    <w:p w14:paraId="4CC35254">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根据21 CFR §820.70（i）的要求，用于器械生产过程中的任何部分或用于质量体系管理的任何部分自动化的软件均应针对其预期用途进行验证。该要求适用于所有用于器械设计、测试、组件验收、生产、标签、包装、运输、投诉处理过程自动化的软件，以及用于质量管理体系的其他方面自动化的软件。</w:t>
      </w:r>
    </w:p>
    <w:p w14:paraId="777D5C85">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另外，用于生成、修改以及维护电子记录，以及用于管理电子签名的计算机系统均应符合验证要求（见</w:t>
      </w:r>
      <w:r>
        <w:rPr>
          <w:rFonts w:ascii="Arial" w:hAnsi="Arial" w:eastAsia="宋体" w:cs="Arial"/>
          <w:kern w:val="0"/>
          <w:sz w:val="24"/>
          <w:szCs w:val="24"/>
        </w:rPr>
        <w:t>21 CFR §11.10（a）。</w:t>
      </w:r>
      <w:r>
        <w:rPr>
          <w:rFonts w:ascii="Arial" w:hAnsi="Arial" w:eastAsia="宋体" w:cs="Arial"/>
          <w:sz w:val="24"/>
          <w:szCs w:val="24"/>
        </w:rPr>
        <w:t>）该计算机系统必须进行验证以确保准确性、可靠性、与预期性能一致，并能够识别无效的或改变的记录。</w:t>
      </w:r>
    </w:p>
    <w:p w14:paraId="57085304">
      <w:pPr>
        <w:widowControl/>
        <w:jc w:val="left"/>
        <w:rPr>
          <w:rFonts w:ascii="Arial" w:hAnsi="Arial" w:eastAsia="宋体" w:cs="Arial"/>
          <w:sz w:val="24"/>
          <w:szCs w:val="24"/>
        </w:rPr>
      </w:pPr>
      <w:r>
        <w:rPr>
          <w:rFonts w:ascii="Arial" w:hAnsi="Arial" w:eastAsia="宋体" w:cs="Arial"/>
          <w:sz w:val="24"/>
          <w:szCs w:val="24"/>
        </w:rPr>
        <w:br w:type="page"/>
      </w:r>
    </w:p>
    <w:p w14:paraId="7EEC1559">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用于上述用途的软件可以在公司内部开发，也可以通过合同订单的方式开发。但通常针对特定的预期用途来购买现有的软件。所有的产品和/或质量控制体系软件，即使是购买现成软件，也应当明确记录其预期用途，以及可以用于比较的检测结果或其他证据的信息，以表明该软件经验证适用于其预期用途。</w:t>
      </w:r>
    </w:p>
    <w:p w14:paraId="14F91295">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自动化医疗器械以及自动化生产和质量体系运行正越来越多地使用现成软件。现成软件可能有许多功能，而其中仅有一小部分是生产商所需要的。器械生产商有责任确保软件可以合适地应用于其医疗器械或医疗器械的生产。如果器械生产商购买了“现成”的软件，则其必须确保该软件能够在其选定的应用条件下按照预期工作。对用于生产或质量体系中的现成软件，本文件的6.3章节部分有其他的指南。对医疗器械中的软件，可以在FDA的文件《在医疗器械中使用现成软件的行业、FDA审查者及符合性指南》中找到其他的有用信息。</w:t>
      </w:r>
    </w:p>
    <w:p w14:paraId="3B2401E4">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15" w:name="_Toc484792165"/>
      <w:r>
        <w:rPr>
          <w:rFonts w:ascii="Arial" w:hAnsi="Arial" w:eastAsia="宋体" w:cs="Arial"/>
          <w:b/>
          <w:sz w:val="24"/>
          <w:szCs w:val="24"/>
        </w:rPr>
        <w:t>2.4</w:t>
      </w:r>
      <w:r>
        <w:rPr>
          <w:rFonts w:hint="eastAsia" w:ascii="Arial" w:hAnsi="Arial" w:eastAsia="宋体" w:cs="Arial"/>
          <w:b/>
          <w:sz w:val="24"/>
          <w:szCs w:val="24"/>
        </w:rPr>
        <w:tab/>
      </w:r>
      <w:r>
        <w:rPr>
          <w:rFonts w:ascii="Arial" w:hAnsi="Arial" w:eastAsia="宋体" w:cs="Arial"/>
          <w:b/>
          <w:sz w:val="24"/>
          <w:szCs w:val="24"/>
        </w:rPr>
        <w:t>质量体系法规与上市前提交</w:t>
      </w:r>
      <w:bookmarkEnd w:id="15"/>
    </w:p>
    <w:p w14:paraId="44ED82E6">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本文件针对涉及软件验证实施的质量体系法规提出了应对方案。其提供了管理及控制软件验证流程的指导意见。软件验证过程的管理与控制不应当与任何其他验证要求混淆，如自动化生产流程的验证。</w:t>
      </w:r>
    </w:p>
    <w:p w14:paraId="1AE1972B">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器械生产商可能使用同样的流程和记录来遵守质量体系和设计控制的要求，以及向FDA提交的上市前提交。本文不涉及任何与软件验证相关的安全性和有效性具体问题。本文也不解决设计方面的问题以及受监管软件的上市前提交所要求的文件资料。与安全性和有效性相关的具体问题，以及上市前提交所需要的文件资料应当由器械与放射健康中心（CDRH）的器械评估办公室（ODE）或生物制品评估和研究中心（CBER）的血液研究与审查办公室来确定。适用于上市前提交的FDA指导性文件见附录A的参考文件。</w:t>
      </w:r>
    </w:p>
    <w:p w14:paraId="24531F24">
      <w:pPr>
        <w:widowControl/>
        <w:jc w:val="left"/>
        <w:rPr>
          <w:rFonts w:ascii="Arial" w:hAnsi="Arial" w:eastAsia="宋体" w:cs="Arial"/>
          <w:sz w:val="24"/>
          <w:szCs w:val="24"/>
        </w:rPr>
      </w:pPr>
      <w:r>
        <w:rPr>
          <w:rFonts w:ascii="Arial" w:hAnsi="Arial" w:eastAsia="宋体" w:cs="Arial"/>
          <w:sz w:val="24"/>
          <w:szCs w:val="24"/>
        </w:rPr>
        <w:br w:type="page"/>
      </w:r>
    </w:p>
    <w:p w14:paraId="42C8542D">
      <w:pPr>
        <w:adjustRightInd w:val="0"/>
        <w:snapToGrid w:val="0"/>
        <w:spacing w:after="312" w:afterLines="100" w:line="300" w:lineRule="auto"/>
        <w:jc w:val="center"/>
        <w:outlineLvl w:val="0"/>
        <w:rPr>
          <w:rFonts w:ascii="Arial" w:hAnsi="Arial" w:eastAsia="宋体" w:cs="Arial"/>
          <w:b/>
          <w:sz w:val="36"/>
        </w:rPr>
      </w:pPr>
      <w:bookmarkStart w:id="16" w:name="_Toc484792166"/>
      <w:r>
        <w:rPr>
          <w:rFonts w:ascii="Arial" w:hAnsi="Arial" w:eastAsia="宋体" w:cs="Arial"/>
          <w:b/>
          <w:sz w:val="36"/>
        </w:rPr>
        <w:t>第</w:t>
      </w:r>
      <w:r>
        <w:rPr>
          <w:rFonts w:hint="eastAsia" w:ascii="Arial" w:hAnsi="Arial" w:eastAsia="宋体" w:cs="Arial"/>
          <w:b/>
          <w:sz w:val="36"/>
        </w:rPr>
        <w:t>3</w:t>
      </w:r>
      <w:r>
        <w:rPr>
          <w:rFonts w:ascii="Arial" w:hAnsi="Arial" w:eastAsia="宋体" w:cs="Arial"/>
          <w:b/>
          <w:sz w:val="36"/>
        </w:rPr>
        <w:t>章 软件验证的背景</w:t>
      </w:r>
      <w:bookmarkEnd w:id="16"/>
    </w:p>
    <w:p w14:paraId="4C316EF1">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有许多人请求关于如何确保满足FDA所要求的确保在软件验证方面符合质量体系法规的具体指南。本文件所提供的关于软件验证的信息并非全新。根据第4章和第5章列出的原理和任务所进行的软件验证工作已经应用于软件行业多个领域超过20年。</w:t>
      </w:r>
    </w:p>
    <w:p w14:paraId="1F01A6A6">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由于医疗器械、工艺以及生产设施种类繁多，所以无法在一份文件内列出所有适用的具体验证内容。但几个较为具有一般适用性的初步概念可以很好地作为软件验证的指南。这些宽泛的概念为确定软件验证的详细方法提供了可接受的框架。其他具体信息可以参考附录A中列出的一系列参考文件。</w:t>
      </w:r>
    </w:p>
    <w:p w14:paraId="45EE31A2">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17" w:name="_Toc484792167"/>
      <w:r>
        <w:rPr>
          <w:rFonts w:ascii="Arial" w:hAnsi="Arial" w:eastAsia="宋体" w:cs="Arial"/>
          <w:b/>
          <w:sz w:val="24"/>
          <w:szCs w:val="24"/>
        </w:rPr>
        <w:t>3.1</w:t>
      </w:r>
      <w:r>
        <w:rPr>
          <w:rFonts w:hint="eastAsia" w:ascii="Arial" w:hAnsi="Arial" w:eastAsia="宋体" w:cs="Arial"/>
          <w:b/>
          <w:sz w:val="24"/>
          <w:szCs w:val="24"/>
        </w:rPr>
        <w:tab/>
      </w:r>
      <w:r>
        <w:rPr>
          <w:rFonts w:ascii="Arial" w:hAnsi="Arial" w:eastAsia="宋体" w:cs="Arial"/>
          <w:b/>
          <w:sz w:val="24"/>
          <w:szCs w:val="24"/>
        </w:rPr>
        <w:t>定义与术语</w:t>
      </w:r>
      <w:bookmarkEnd w:id="17"/>
    </w:p>
    <w:p w14:paraId="1B133BF0">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除非由质量体系法规规定，或在下文中特别指明，否则本指南中所有使用的其它术语均根据当前版本的FDA《计算机化系统和软件开发的术语表》确定。</w:t>
      </w:r>
    </w:p>
    <w:p w14:paraId="6B2B14A9">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医疗器械的质量体系法规（21 CFR 820.3（k））将“确定”定义为“明确、记录并实施”。本指南中出现的“确定”及“已确定”应当解释为相同的意思。</w:t>
      </w:r>
    </w:p>
    <w:p w14:paraId="156EA33D">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医疗器械质量体系法规中的一些定义与软件行业常用的词汇相比可能会存在混淆。例如要求、</w:t>
      </w:r>
      <w:bookmarkStart w:id="18" w:name="OLE_LINK3"/>
      <w:bookmarkStart w:id="19" w:name="OLE_LINK4"/>
      <w:r>
        <w:rPr>
          <w:rFonts w:ascii="Arial" w:hAnsi="Arial" w:eastAsia="宋体" w:cs="Arial"/>
          <w:sz w:val="24"/>
          <w:szCs w:val="24"/>
        </w:rPr>
        <w:t>规格</w:t>
      </w:r>
      <w:bookmarkEnd w:id="18"/>
      <w:bookmarkEnd w:id="19"/>
      <w:r>
        <w:rPr>
          <w:rFonts w:ascii="Arial" w:hAnsi="Arial" w:eastAsia="宋体" w:cs="Arial"/>
          <w:sz w:val="24"/>
          <w:szCs w:val="24"/>
        </w:rPr>
        <w:t>、确认及验证。</w:t>
      </w:r>
    </w:p>
    <w:p w14:paraId="5D67F47A">
      <w:pPr>
        <w:adjustRightInd w:val="0"/>
        <w:snapToGrid w:val="0"/>
        <w:spacing w:after="312" w:afterLines="100" w:line="300" w:lineRule="auto"/>
        <w:jc w:val="left"/>
        <w:outlineLvl w:val="2"/>
        <w:rPr>
          <w:rFonts w:ascii="Arial" w:hAnsi="Arial" w:eastAsia="宋体" w:cs="Arial"/>
          <w:b/>
          <w:sz w:val="24"/>
          <w:szCs w:val="24"/>
        </w:rPr>
      </w:pPr>
      <w:bookmarkStart w:id="20" w:name="_Toc484792168"/>
      <w:r>
        <w:rPr>
          <w:rFonts w:ascii="Arial" w:hAnsi="Arial" w:eastAsia="宋体" w:cs="Arial"/>
          <w:b/>
          <w:sz w:val="24"/>
          <w:szCs w:val="24"/>
        </w:rPr>
        <w:t>3.1.1</w:t>
      </w:r>
      <w:r>
        <w:rPr>
          <w:rFonts w:hint="eastAsia" w:ascii="Arial" w:hAnsi="Arial" w:eastAsia="宋体" w:cs="Arial"/>
          <w:b/>
          <w:sz w:val="24"/>
          <w:szCs w:val="24"/>
        </w:rPr>
        <w:tab/>
      </w:r>
      <w:r>
        <w:rPr>
          <w:rFonts w:ascii="Arial" w:hAnsi="Arial" w:eastAsia="宋体" w:cs="Arial"/>
          <w:b/>
          <w:sz w:val="24"/>
          <w:szCs w:val="24"/>
        </w:rPr>
        <w:t>要求与规格</w:t>
      </w:r>
      <w:bookmarkEnd w:id="20"/>
    </w:p>
    <w:p w14:paraId="6EFC82DC">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虽然质量体系法规声明必须记录设计输入的要求，且必须对特定的要求进行确认，但规范并没有进一步指明“要求”与“规格”两个术语之间的差别。</w:t>
      </w:r>
      <w:r>
        <w:rPr>
          <w:rFonts w:hint="eastAsia" w:ascii="Arial" w:hAnsi="Arial" w:eastAsia="宋体" w:cs="Arial"/>
          <w:b/>
          <w:sz w:val="24"/>
          <w:szCs w:val="24"/>
        </w:rPr>
        <w:t>要求</w:t>
      </w:r>
      <w:r>
        <w:rPr>
          <w:rFonts w:ascii="Arial" w:hAnsi="Arial" w:eastAsia="宋体" w:cs="Arial"/>
          <w:sz w:val="24"/>
          <w:szCs w:val="24"/>
        </w:rPr>
        <w:t>指的是对于一个系统或其软件的任何形式的需要或期望。要求反映了消费者明确指出的或暗示的需要，可能是基于市场、合同或法律的，也可能是一个组织的内部要求。可能存在多种不同类型的要求（如设计、功能、实施、界面、性能或物理要求）。软件要求通常来自于涉及该系统分配给软件的系统功能方面的系统要求。软件要求通常以功能的方式进行描述，并且作为开发项目流程的形式进行确定、修改和更新。进行准确完整的软件要求记录是顺利完成软件验证的关键因素。</w:t>
      </w:r>
    </w:p>
    <w:p w14:paraId="1F575C30">
      <w:pPr>
        <w:widowControl/>
        <w:jc w:val="left"/>
        <w:rPr>
          <w:rFonts w:ascii="Arial" w:hAnsi="Arial" w:eastAsia="宋体" w:cs="Arial"/>
          <w:sz w:val="24"/>
          <w:szCs w:val="24"/>
        </w:rPr>
      </w:pPr>
      <w:r>
        <w:rPr>
          <w:rFonts w:ascii="Arial" w:hAnsi="Arial" w:eastAsia="宋体" w:cs="Arial"/>
          <w:sz w:val="24"/>
          <w:szCs w:val="24"/>
        </w:rPr>
        <w:br w:type="page"/>
      </w:r>
    </w:p>
    <w:p w14:paraId="646BFC76">
      <w:pPr>
        <w:adjustRightInd w:val="0"/>
        <w:snapToGrid w:val="0"/>
        <w:spacing w:after="312" w:afterLines="100" w:line="300" w:lineRule="auto"/>
        <w:jc w:val="left"/>
        <w:rPr>
          <w:rFonts w:ascii="Arial" w:hAnsi="Arial" w:eastAsia="宋体" w:cs="Arial"/>
          <w:sz w:val="24"/>
          <w:szCs w:val="24"/>
        </w:rPr>
      </w:pPr>
    </w:p>
    <w:p w14:paraId="064B83A6">
      <w:pPr>
        <w:adjustRightInd w:val="0"/>
        <w:snapToGrid w:val="0"/>
        <w:spacing w:after="312" w:afterLines="100" w:line="300" w:lineRule="auto"/>
        <w:jc w:val="left"/>
        <w:rPr>
          <w:rFonts w:ascii="Arial" w:hAnsi="Arial" w:eastAsia="宋体" w:cs="Arial"/>
          <w:sz w:val="24"/>
          <w:szCs w:val="24"/>
        </w:rPr>
      </w:pPr>
      <w:r>
        <w:rPr>
          <w:rFonts w:hint="eastAsia" w:ascii="Arial" w:hAnsi="Arial" w:eastAsia="宋体" w:cs="Arial"/>
          <w:b/>
          <w:sz w:val="24"/>
          <w:szCs w:val="24"/>
        </w:rPr>
        <w:t>规格</w:t>
      </w:r>
      <w:r>
        <w:rPr>
          <w:rFonts w:ascii="Arial" w:hAnsi="Arial" w:eastAsia="宋体" w:cs="Arial"/>
          <w:sz w:val="24"/>
          <w:szCs w:val="24"/>
        </w:rPr>
        <w:t>的定义为“说明要求的文件。”（见21 CFR§820.3（y）。）其可能会涉及或包含图像、模型或其他相关文件，并且通常会指明检查器械是否符合要求的方法和标准。有多种不同类型的书面规格，例如系统要求规格、软件要求规格、软件设计规格、软件测试规格、软件集成规格等。所有的这些文件共同组成“规格要求”，也是各种验证工作所必须的设计输出。</w:t>
      </w:r>
    </w:p>
    <w:p w14:paraId="5F8939AB">
      <w:pPr>
        <w:adjustRightInd w:val="0"/>
        <w:snapToGrid w:val="0"/>
        <w:spacing w:after="312" w:afterLines="100" w:line="300" w:lineRule="auto"/>
        <w:jc w:val="left"/>
        <w:outlineLvl w:val="2"/>
        <w:rPr>
          <w:rFonts w:ascii="Arial" w:hAnsi="Arial" w:eastAsia="宋体" w:cs="Arial"/>
          <w:b/>
          <w:sz w:val="24"/>
          <w:szCs w:val="24"/>
        </w:rPr>
      </w:pPr>
      <w:bookmarkStart w:id="21" w:name="_Toc484792169"/>
      <w:r>
        <w:rPr>
          <w:rFonts w:ascii="Arial" w:hAnsi="Arial" w:eastAsia="宋体" w:cs="Arial"/>
          <w:b/>
          <w:sz w:val="24"/>
          <w:szCs w:val="24"/>
        </w:rPr>
        <w:t>3.1.2</w:t>
      </w:r>
      <w:r>
        <w:rPr>
          <w:rFonts w:hint="eastAsia" w:ascii="Arial" w:hAnsi="Arial" w:eastAsia="宋体" w:cs="Arial"/>
          <w:b/>
          <w:sz w:val="24"/>
          <w:szCs w:val="24"/>
        </w:rPr>
        <w:tab/>
      </w:r>
      <w:r>
        <w:rPr>
          <w:rFonts w:ascii="Arial" w:hAnsi="Arial" w:eastAsia="宋体" w:cs="Arial"/>
          <w:b/>
          <w:sz w:val="24"/>
          <w:szCs w:val="24"/>
        </w:rPr>
        <w:t>确认与验证</w:t>
      </w:r>
      <w:bookmarkEnd w:id="21"/>
    </w:p>
    <w:p w14:paraId="1DF246D7">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在ISO 8402:1994中“</w:t>
      </w:r>
      <w:bookmarkStart w:id="22" w:name="OLE_LINK23"/>
      <w:bookmarkStart w:id="23" w:name="OLE_LINK24"/>
      <w:r>
        <w:rPr>
          <w:rFonts w:ascii="Arial" w:hAnsi="Arial" w:eastAsia="宋体" w:cs="Arial"/>
          <w:sz w:val="24"/>
          <w:szCs w:val="24"/>
        </w:rPr>
        <w:t>确认”</w:t>
      </w:r>
      <w:bookmarkEnd w:id="22"/>
      <w:bookmarkEnd w:id="23"/>
      <w:r>
        <w:rPr>
          <w:rFonts w:ascii="Arial" w:hAnsi="Arial" w:eastAsia="宋体" w:cs="Arial"/>
          <w:sz w:val="24"/>
          <w:szCs w:val="24"/>
        </w:rPr>
        <w:t>与“验证”是独立的不同的术语，而质量体系法规也与其协调一致。另一方面，许多软件工程期刊文章和教科书将“确认”与“验证”混合使用，或者有时候将软件的“确认、验证与检测（VV&amp;T）”作为一个独立的概念，对这三者不进行区分。</w:t>
      </w:r>
    </w:p>
    <w:p w14:paraId="52D6FD40">
      <w:pPr>
        <w:adjustRightInd w:val="0"/>
        <w:snapToGrid w:val="0"/>
        <w:spacing w:after="312" w:afterLines="100" w:line="300" w:lineRule="auto"/>
        <w:jc w:val="left"/>
        <w:rPr>
          <w:rFonts w:ascii="Arial" w:hAnsi="Arial" w:eastAsia="宋体" w:cs="Arial"/>
          <w:sz w:val="24"/>
          <w:szCs w:val="24"/>
        </w:rPr>
      </w:pPr>
      <w:r>
        <w:rPr>
          <w:rFonts w:hint="eastAsia" w:ascii="Arial" w:hAnsi="Arial" w:eastAsia="宋体" w:cs="Arial"/>
          <w:b/>
          <w:sz w:val="24"/>
          <w:szCs w:val="24"/>
        </w:rPr>
        <w:t>软件确认</w:t>
      </w:r>
      <w:r>
        <w:rPr>
          <w:rFonts w:ascii="Arial" w:hAnsi="Arial" w:eastAsia="宋体" w:cs="Arial"/>
          <w:sz w:val="24"/>
          <w:szCs w:val="24"/>
        </w:rPr>
        <w:t>提供了客观的证据来证明软件开发生命周期特定阶段的设计输出满足该阶段所有的具体要求。软件确认过程关注软件开发过程中的一致性、完整性、正确性及其支持的文件资料，并为软件已验证的后续结论提供支持。软件测试是众多确认过程中的一种，其旨在确认软件开发输出能够满足输入要求。其他的确认工作包括多种静态和动态分析、编码和文档检查、走查以及其他技术。</w:t>
      </w:r>
    </w:p>
    <w:p w14:paraId="3546169B">
      <w:pPr>
        <w:adjustRightInd w:val="0"/>
        <w:snapToGrid w:val="0"/>
        <w:spacing w:after="312" w:afterLines="100" w:line="300" w:lineRule="auto"/>
        <w:jc w:val="left"/>
        <w:rPr>
          <w:rFonts w:ascii="Arial" w:hAnsi="Arial" w:eastAsia="宋体" w:cs="Arial"/>
          <w:sz w:val="24"/>
          <w:szCs w:val="24"/>
        </w:rPr>
      </w:pPr>
      <w:r>
        <w:rPr>
          <w:rFonts w:hint="eastAsia" w:ascii="Arial" w:hAnsi="Arial" w:eastAsia="宋体" w:cs="Arial"/>
          <w:b/>
          <w:sz w:val="24"/>
          <w:szCs w:val="24"/>
        </w:rPr>
        <w:t>软件验证</w:t>
      </w:r>
      <w:r>
        <w:rPr>
          <w:rFonts w:ascii="Arial" w:hAnsi="Arial" w:eastAsia="宋体" w:cs="Arial"/>
          <w:sz w:val="24"/>
          <w:szCs w:val="24"/>
        </w:rPr>
        <w:t>是针对成品器械的设计进行验证的一个部分，但在质量体系法规中没有单独定义。在本指南中，FDA认为软件验证指的是“</w:t>
      </w:r>
      <w:r>
        <w:rPr>
          <w:rFonts w:hint="eastAsia" w:ascii="Arial" w:hAnsi="Arial" w:eastAsia="宋体" w:cs="Arial"/>
          <w:b/>
          <w:sz w:val="24"/>
          <w:szCs w:val="24"/>
        </w:rPr>
        <w:t>通过检查和提供客观的证据来确认软件的规格符合用户需求以及预期用途，并且通过软件实施的</w:t>
      </w:r>
      <w:r>
        <w:rPr>
          <w:rFonts w:ascii="Arial" w:hAnsi="Arial" w:eastAsia="宋体" w:cs="Arial"/>
          <w:b/>
          <w:sz w:val="24"/>
          <w:szCs w:val="24"/>
        </w:rPr>
        <w:t>特殊</w:t>
      </w:r>
      <w:r>
        <w:rPr>
          <w:rFonts w:hint="eastAsia" w:ascii="Arial" w:hAnsi="Arial" w:eastAsia="宋体" w:cs="Arial"/>
          <w:b/>
          <w:sz w:val="24"/>
          <w:szCs w:val="24"/>
        </w:rPr>
        <w:t>要求能够始终如一</w:t>
      </w:r>
      <w:r>
        <w:rPr>
          <w:rFonts w:ascii="Arial" w:hAnsi="Arial" w:eastAsia="宋体" w:cs="Arial"/>
          <w:b/>
          <w:sz w:val="24"/>
          <w:szCs w:val="24"/>
        </w:rPr>
        <w:t>地实现</w:t>
      </w:r>
      <w:r>
        <w:rPr>
          <w:rFonts w:hint="eastAsia" w:ascii="Arial" w:hAnsi="Arial" w:eastAsia="宋体" w:cs="Arial"/>
          <w:b/>
          <w:sz w:val="24"/>
          <w:szCs w:val="24"/>
        </w:rPr>
        <w:t>。</w:t>
      </w:r>
      <w:r>
        <w:rPr>
          <w:rFonts w:ascii="Arial" w:hAnsi="Arial" w:eastAsia="宋体" w:cs="Arial"/>
          <w:sz w:val="24"/>
          <w:szCs w:val="24"/>
        </w:rPr>
        <w:t>”事实上，软件验证过程可能同时在软件研发周期的过程中和结束后进行，以确保所有的要求得到满足。因为软件通常作为大型硬件系统的一个组成部分，因此软件的验证通常要包含相应的证据来证明所有的软件要求已恰当、完整实施，并且可追溯到系统要求。软件是否通过验证的结论高度依赖于软件开发生命周期各个阶段开展的综合性软件测试、检查、分析以及其他确认工作。软件自动化器械的整体设计验</w:t>
      </w:r>
      <w:bookmarkStart w:id="24" w:name="OLE_LINK26"/>
      <w:bookmarkStart w:id="25" w:name="OLE_LINK25"/>
      <w:r>
        <w:rPr>
          <w:rFonts w:ascii="Arial" w:hAnsi="Arial" w:eastAsia="宋体" w:cs="Arial"/>
          <w:sz w:val="24"/>
          <w:szCs w:val="24"/>
        </w:rPr>
        <w:t>证项目通常包</w:t>
      </w:r>
      <w:bookmarkEnd w:id="24"/>
      <w:bookmarkEnd w:id="25"/>
      <w:r>
        <w:rPr>
          <w:rFonts w:ascii="Arial" w:hAnsi="Arial" w:eastAsia="宋体" w:cs="Arial"/>
          <w:sz w:val="24"/>
          <w:szCs w:val="24"/>
        </w:rPr>
        <w:t>含在模拟使用环境下的器械软件功能测试以及用户现场测试。</w:t>
      </w:r>
    </w:p>
    <w:p w14:paraId="16330BEC">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确认和验证十分困难，因为一名开发者无法永远进行测试，而却也很难知道多少证据是足够的。软件确认的关键在很大程度上是确定能够证明该器械满足了软件自动化功能及器械特征所有要求和用户期望的“置信水平”。如规格文件中的缺陷，剩余缺陷估计，测试范围和其他技术的措施都用于在运输产品之前开发可接受的置信水平。置信水平，也即需要的软件验证、确认和测试水平会随着该器械的自动化功能可能引起的安全性风险（危害）的不同而不同。关于软件安全风险管理的其他指南信息参见FDA《</w:t>
      </w:r>
      <w:r>
        <w:rPr>
          <w:rFonts w:hint="eastAsia" w:ascii="Arial" w:hAnsi="Arial" w:eastAsia="宋体" w:cs="Arial"/>
          <w:color w:val="0000FF"/>
          <w:sz w:val="24"/>
          <w:szCs w:val="24"/>
        </w:rPr>
        <w:t>医疗器械所含软件上市前提交内容指南</w:t>
      </w:r>
      <w:r>
        <w:rPr>
          <w:rFonts w:ascii="Arial" w:hAnsi="Arial" w:eastAsia="宋体" w:cs="Arial"/>
          <w:sz w:val="24"/>
          <w:szCs w:val="24"/>
        </w:rPr>
        <w:t>》的第4章以及附录A中引用的国际标准ISO/IEC 14971-1和IEC 60601-1-4。</w:t>
      </w:r>
    </w:p>
    <w:p w14:paraId="536EEDB7">
      <w:pPr>
        <w:adjustRightInd w:val="0"/>
        <w:snapToGrid w:val="0"/>
        <w:spacing w:after="312" w:afterLines="100" w:line="300" w:lineRule="auto"/>
        <w:jc w:val="left"/>
        <w:outlineLvl w:val="2"/>
        <w:rPr>
          <w:rFonts w:ascii="Arial" w:hAnsi="Arial" w:eastAsia="宋体" w:cs="Arial"/>
          <w:b/>
          <w:sz w:val="24"/>
          <w:szCs w:val="24"/>
        </w:rPr>
      </w:pPr>
      <w:bookmarkStart w:id="26" w:name="_Toc484792170"/>
      <w:r>
        <w:rPr>
          <w:rFonts w:ascii="Arial" w:hAnsi="Arial" w:eastAsia="宋体" w:cs="Arial"/>
          <w:b/>
          <w:sz w:val="24"/>
          <w:szCs w:val="24"/>
        </w:rPr>
        <w:t xml:space="preserve">3.1.3 </w:t>
      </w:r>
      <w:bookmarkStart w:id="27" w:name="OLE_LINK5"/>
      <w:r>
        <w:rPr>
          <w:rFonts w:hint="eastAsia" w:ascii="Arial" w:hAnsi="Arial" w:eastAsia="宋体" w:cs="Arial"/>
          <w:b/>
          <w:sz w:val="24"/>
          <w:szCs w:val="24"/>
        </w:rPr>
        <w:tab/>
      </w:r>
      <w:r>
        <w:rPr>
          <w:rFonts w:ascii="Arial" w:hAnsi="Arial" w:eastAsia="宋体" w:cs="Arial"/>
          <w:b/>
          <w:sz w:val="24"/>
          <w:szCs w:val="24"/>
        </w:rPr>
        <w:t>IQ/ OQ/ PQ</w:t>
      </w:r>
      <w:bookmarkEnd w:id="26"/>
      <w:bookmarkEnd w:id="27"/>
    </w:p>
    <w:p w14:paraId="5EFC40C1">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很多年以来，FDA和受管辖行业均试图在流程确认术语库的背景下理解和定义软件验证过程。例如，行业文件和其他的FDA验证指南有时候会描述使用安装确认（IQ）、操作确认（OQ）以及性能确认（PQ）的方式描述用户现场软件验证过程。关于IQ/ OQ/ PQ的定义以及其他信息参见FDA于1987年5月11日发布的《</w:t>
      </w:r>
      <w:r>
        <w:rPr>
          <w:rFonts w:hint="eastAsia" w:ascii="Arial" w:hAnsi="Arial" w:eastAsia="宋体" w:cs="Arial"/>
          <w:color w:val="0000FF"/>
          <w:sz w:val="24"/>
          <w:szCs w:val="24"/>
        </w:rPr>
        <w:t>流程验证的一般原则</w:t>
      </w:r>
      <w:r>
        <w:rPr>
          <w:rFonts w:ascii="Arial" w:hAnsi="Arial" w:eastAsia="宋体" w:cs="Arial"/>
          <w:sz w:val="24"/>
          <w:szCs w:val="24"/>
        </w:rPr>
        <w:t>》以及1995年8月发布的《</w:t>
      </w:r>
      <w:r>
        <w:rPr>
          <w:rFonts w:hint="eastAsia" w:ascii="Arial" w:hAnsi="Arial" w:eastAsia="宋体" w:cs="Arial"/>
          <w:color w:val="0000FF"/>
          <w:sz w:val="24"/>
          <w:szCs w:val="24"/>
        </w:rPr>
        <w:t>计算机</w:t>
      </w:r>
      <w:r>
        <w:rPr>
          <w:rFonts w:ascii="Arial" w:hAnsi="Arial" w:eastAsia="宋体" w:cs="Arial"/>
          <w:color w:val="0000FF"/>
          <w:sz w:val="24"/>
          <w:szCs w:val="24"/>
        </w:rPr>
        <w:t>化</w:t>
      </w:r>
      <w:r>
        <w:rPr>
          <w:rFonts w:hint="eastAsia" w:ascii="Arial" w:hAnsi="Arial" w:eastAsia="宋体" w:cs="Arial"/>
          <w:color w:val="0000FF"/>
          <w:sz w:val="24"/>
          <w:szCs w:val="24"/>
        </w:rPr>
        <w:t>系统和软件开发术语表</w:t>
      </w:r>
      <w:r>
        <w:rPr>
          <w:rFonts w:ascii="Arial" w:hAnsi="Arial" w:eastAsia="宋体" w:cs="Arial"/>
          <w:sz w:val="24"/>
          <w:szCs w:val="24"/>
        </w:rPr>
        <w:t>》。</w:t>
      </w:r>
    </w:p>
    <w:p w14:paraId="1450E7E2">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虽然IQ/OQ/PQ术语很好地达到了目的，是在用户现场组织软件验证任务的许多合法方式之一，但是许多软件专业人士可能不太清楚这个术语，并没有在本文档的其他地方使用。然而，FDA人员和器械制造商都需要了解这些术语上的差异，因为这些术语要求并提供有关软件验证的信息。</w:t>
      </w:r>
    </w:p>
    <w:p w14:paraId="171DE9BE">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28" w:name="_Toc484792171"/>
      <w:r>
        <w:rPr>
          <w:rFonts w:ascii="Arial" w:hAnsi="Arial" w:eastAsia="宋体" w:cs="Arial"/>
          <w:b/>
          <w:sz w:val="24"/>
          <w:szCs w:val="24"/>
        </w:rPr>
        <w:t>3.2</w:t>
      </w:r>
      <w:r>
        <w:rPr>
          <w:rFonts w:hint="eastAsia" w:ascii="Arial" w:hAnsi="Arial" w:eastAsia="宋体" w:cs="Arial"/>
          <w:b/>
          <w:sz w:val="24"/>
          <w:szCs w:val="24"/>
        </w:rPr>
        <w:tab/>
      </w:r>
      <w:r>
        <w:rPr>
          <w:rFonts w:ascii="Arial" w:hAnsi="Arial" w:eastAsia="宋体" w:cs="Arial"/>
          <w:b/>
          <w:sz w:val="24"/>
          <w:szCs w:val="24"/>
        </w:rPr>
        <w:t>软件开发作为系统设计的一部分</w:t>
      </w:r>
      <w:bookmarkEnd w:id="28"/>
    </w:p>
    <w:p w14:paraId="52A7D3BE">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通常在系统设计过程中决定使用软件来实施系统功能。软件要求通常来自于整体的系统要求以及该系统中拟使用软件实施部分的设计要求。成品器械会有相应的用户需求和预期用途，但用户通常不会明确指出通过硬件、软件还是两者组合来满足这些要求。因此，软件验证工作必须在系统的整体设计验证背景下进行考虑。</w:t>
      </w:r>
    </w:p>
    <w:p w14:paraId="59339E70">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要求规格文档代表了产品开发需要依据的用户需求和预期用途。软件验证的主要目标是证明所有完成的软件产品符合所有记录的软件和系统要求。系统要求和软件要求的正确性和完整性应当作为器械设计验证流程的一部分来完成。软件验证过程包括确认所有的软件规格的合规情况，以及确认所有的软件要求可追溯至系统规格要求。确认过程是整体设计验证的重要部分，用于确保医疗器械所有方面均符合用户要求和预期用途。</w:t>
      </w:r>
    </w:p>
    <w:p w14:paraId="4600F0FE">
      <w:pPr>
        <w:widowControl/>
        <w:jc w:val="left"/>
        <w:rPr>
          <w:rFonts w:ascii="Arial" w:hAnsi="Arial" w:eastAsia="宋体" w:cs="Arial"/>
          <w:sz w:val="24"/>
          <w:szCs w:val="24"/>
        </w:rPr>
      </w:pPr>
      <w:r>
        <w:rPr>
          <w:rFonts w:ascii="Arial" w:hAnsi="Arial" w:eastAsia="宋体" w:cs="Arial"/>
          <w:sz w:val="24"/>
          <w:szCs w:val="24"/>
        </w:rPr>
        <w:br w:type="page"/>
      </w:r>
    </w:p>
    <w:p w14:paraId="571E3A5C">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29" w:name="_Toc484792172"/>
      <w:r>
        <w:rPr>
          <w:rFonts w:ascii="Arial" w:hAnsi="Arial" w:eastAsia="宋体" w:cs="Arial"/>
          <w:b/>
          <w:sz w:val="24"/>
          <w:szCs w:val="24"/>
        </w:rPr>
        <w:t>3.3</w:t>
      </w:r>
      <w:r>
        <w:rPr>
          <w:rFonts w:hint="eastAsia" w:ascii="Arial" w:hAnsi="Arial" w:eastAsia="宋体" w:cs="Arial"/>
          <w:b/>
          <w:sz w:val="24"/>
          <w:szCs w:val="24"/>
        </w:rPr>
        <w:tab/>
      </w:r>
      <w:r>
        <w:rPr>
          <w:rFonts w:ascii="Arial" w:hAnsi="Arial" w:eastAsia="宋体" w:cs="Arial"/>
          <w:b/>
          <w:sz w:val="24"/>
          <w:szCs w:val="24"/>
        </w:rPr>
        <w:t>软件不同于硬件</w:t>
      </w:r>
      <w:bookmarkEnd w:id="29"/>
    </w:p>
    <w:p w14:paraId="5F161AC2">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虽然软件有很多工程任务与硬件相同，但软件具有一些非常重要的不同点。例如：</w:t>
      </w:r>
    </w:p>
    <w:p w14:paraId="1219AA62">
      <w:pPr>
        <w:pStyle w:val="14"/>
        <w:numPr>
          <w:ilvl w:val="0"/>
          <w:numId w:val="3"/>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绝大多数的软件问题可追溯至设计和开发过程中的错误。虽然硬件产品的质量非常依赖于设计、开发和生产，但软件产品的质量主要取决于设计和开发过程，而对于软件生产的关注度较低。软件生产的过程由可以很容易进行确认的复制过程组成。生产数千份与初版功能完全相同的程序备份并不难；难点在于初版程序如何才能满足所有的规格要求。</w:t>
      </w:r>
    </w:p>
    <w:p w14:paraId="1BF431FC">
      <w:pPr>
        <w:pStyle w:val="14"/>
        <w:numPr>
          <w:ilvl w:val="0"/>
          <w:numId w:val="3"/>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软件最重要的一个特征是分支结构，即能够根据不同的输入执行不同序列的指令。这一特点也是软件的另一个特征—复杂性形成的主要因素。即使是很短的程序也非常复杂，很难完全理解。</w:t>
      </w:r>
    </w:p>
    <w:p w14:paraId="261473B6">
      <w:pPr>
        <w:pStyle w:val="14"/>
        <w:numPr>
          <w:ilvl w:val="0"/>
          <w:numId w:val="3"/>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通常来说，单独的测试过程无法完全确认软件是否完整和正确。除了测试，还需要其他的验证技术以及结构化的、记录的开发流程来确保全面的验证方法。</w:t>
      </w:r>
    </w:p>
    <w:p w14:paraId="46E683A2">
      <w:pPr>
        <w:pStyle w:val="14"/>
        <w:numPr>
          <w:ilvl w:val="0"/>
          <w:numId w:val="3"/>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与硬件不同，软件不是一个物理实体，不会磨损。事实上，由于一些原先未被发现的缺陷发现和排除，软件可能随着使用不断改进。但软件是不断更新和改变的，这种改进有时候会因为更改过程中引入了新的缺陷而抵消。</w:t>
      </w:r>
    </w:p>
    <w:p w14:paraId="7A9B34D5">
      <w:pPr>
        <w:pStyle w:val="14"/>
        <w:numPr>
          <w:ilvl w:val="0"/>
          <w:numId w:val="3"/>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与一些硬件故障不同，软件的故障发生前不会有征兆。软件的分支结构使得软件能够在执行中遵循不同的路径，这可能会掩盖掉一些未被发现的缺陷，直到软件产品进入市场一段时间后才被发现。</w:t>
      </w:r>
    </w:p>
    <w:p w14:paraId="52A0B5BA">
      <w:pPr>
        <w:pStyle w:val="14"/>
        <w:numPr>
          <w:ilvl w:val="0"/>
          <w:numId w:val="3"/>
        </w:numPr>
        <w:adjustRightInd w:val="0"/>
        <w:snapToGrid w:val="0"/>
        <w:spacing w:after="312" w:afterLines="100" w:line="300" w:lineRule="auto"/>
        <w:ind w:left="900" w:leftChars="200" w:hanging="480" w:hangingChars="200"/>
        <w:jc w:val="left"/>
        <w:rPr>
          <w:rFonts w:ascii="Arial" w:hAnsi="Arial" w:eastAsia="宋体" w:cs="Arial"/>
          <w:b/>
          <w:sz w:val="24"/>
          <w:szCs w:val="24"/>
        </w:rPr>
      </w:pPr>
      <w:r>
        <w:rPr>
          <w:rFonts w:ascii="Arial" w:hAnsi="Arial" w:eastAsia="宋体" w:cs="Arial"/>
          <w:sz w:val="24"/>
          <w:szCs w:val="24"/>
        </w:rPr>
        <w:t>与软件特性相关的另一个问题是其更改的速度和难易程度。这一因素会使得软件和非软件专家认为软件问题能够很容易纠正。再加上对软件的理解不够深入，管理者可能会认为软件并不需要与硬件类似的严格控制的工程管理。而事实上，结果恰恰相反。</w:t>
      </w:r>
      <w:r>
        <w:rPr>
          <w:rFonts w:hint="eastAsia" w:ascii="Arial" w:hAnsi="Arial" w:eastAsia="宋体" w:cs="Arial"/>
          <w:b/>
          <w:sz w:val="24"/>
          <w:szCs w:val="24"/>
        </w:rPr>
        <w:t>由于</w:t>
      </w:r>
      <w:r>
        <w:rPr>
          <w:rFonts w:ascii="Arial" w:hAnsi="Arial" w:eastAsia="宋体" w:cs="Arial"/>
          <w:b/>
          <w:sz w:val="24"/>
          <w:szCs w:val="24"/>
        </w:rPr>
        <w:t>软件的</w:t>
      </w:r>
      <w:r>
        <w:rPr>
          <w:rFonts w:hint="eastAsia" w:ascii="Arial" w:hAnsi="Arial" w:eastAsia="宋体" w:cs="Arial"/>
          <w:b/>
          <w:sz w:val="24"/>
          <w:szCs w:val="24"/>
        </w:rPr>
        <w:t>复杂性，软件开发过程应当有比硬件更为严格的控制，这样才能避免出现在开发过程中难以检测到的问题。</w:t>
      </w:r>
    </w:p>
    <w:p w14:paraId="48F5CD11">
      <w:pPr>
        <w:pStyle w:val="14"/>
        <w:numPr>
          <w:ilvl w:val="0"/>
          <w:numId w:val="3"/>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软件程序中一些看上去不重要的软件代码的更改能够引起非常严重的非预期问题。软件开发过程应当进行充足的计划、控制和记录，从软件更改过程中检测和纠正非预期结果。</w:t>
      </w:r>
    </w:p>
    <w:p w14:paraId="3D543E4A">
      <w:pPr>
        <w:widowControl/>
        <w:jc w:val="left"/>
        <w:rPr>
          <w:rFonts w:ascii="Arial" w:hAnsi="Arial" w:eastAsia="宋体" w:cs="Arial"/>
          <w:sz w:val="24"/>
          <w:szCs w:val="24"/>
        </w:rPr>
      </w:pPr>
      <w:r>
        <w:rPr>
          <w:rFonts w:ascii="Arial" w:hAnsi="Arial" w:eastAsia="宋体" w:cs="Arial"/>
          <w:sz w:val="24"/>
          <w:szCs w:val="24"/>
        </w:rPr>
        <w:br w:type="page"/>
      </w:r>
    </w:p>
    <w:p w14:paraId="0F5AB9ED">
      <w:pPr>
        <w:pStyle w:val="14"/>
        <w:numPr>
          <w:ilvl w:val="0"/>
          <w:numId w:val="3"/>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由于软件专业人员需求量大、劳动力流动性强，对软件进行维护性更新的软件人员可能没有参与到最初的软件开发过程中。因此，准确和详细的记录十分重要。</w:t>
      </w:r>
    </w:p>
    <w:p w14:paraId="7D1249AD">
      <w:pPr>
        <w:pStyle w:val="14"/>
        <w:numPr>
          <w:ilvl w:val="0"/>
          <w:numId w:val="3"/>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在过去，软件组件部分可能不像硬件组件一样多次标准化和可交换。但医疗器械软件的开发者已经开始使用基于组件的开发工具和技术。面向对象的方法和使用现成软件组件有望进行快速、低成本的软件开发。但基于组件的方法要求在集成过程中非常小心。在进行集成前，需要花时间完整地定义和开发可重复使用的软件代码，并深入理解现成软件组件的行为。</w:t>
      </w:r>
    </w:p>
    <w:p w14:paraId="3EFB8F2A">
      <w:pPr>
        <w:adjustRightInd w:val="0"/>
        <w:snapToGrid w:val="0"/>
        <w:spacing w:after="312" w:afterLines="100" w:line="300" w:lineRule="auto"/>
        <w:jc w:val="left"/>
        <w:rPr>
          <w:rFonts w:ascii="Arial" w:hAnsi="Arial" w:eastAsia="宋体" w:cs="Arial"/>
          <w:b/>
          <w:sz w:val="24"/>
          <w:szCs w:val="24"/>
        </w:rPr>
      </w:pPr>
      <w:r>
        <w:rPr>
          <w:rFonts w:hint="eastAsia" w:ascii="Arial" w:hAnsi="Arial" w:eastAsia="宋体" w:cs="Arial"/>
          <w:b/>
          <w:sz w:val="24"/>
          <w:szCs w:val="24"/>
        </w:rPr>
        <w:t>基于上述和其他原因，软件工程需要比硬件工程更高水平的管理审查和控制。</w:t>
      </w:r>
    </w:p>
    <w:p w14:paraId="5885543B">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30" w:name="_Toc484792173"/>
      <w:r>
        <w:rPr>
          <w:rFonts w:ascii="Arial" w:hAnsi="Arial" w:eastAsia="宋体" w:cs="Arial"/>
          <w:b/>
          <w:sz w:val="24"/>
          <w:szCs w:val="24"/>
        </w:rPr>
        <w:t>3.4</w:t>
      </w:r>
      <w:r>
        <w:rPr>
          <w:rFonts w:hint="eastAsia" w:ascii="Arial" w:hAnsi="Arial" w:eastAsia="宋体" w:cs="Arial"/>
          <w:b/>
          <w:sz w:val="24"/>
          <w:szCs w:val="24"/>
        </w:rPr>
        <w:tab/>
      </w:r>
      <w:r>
        <w:rPr>
          <w:rFonts w:ascii="Arial" w:hAnsi="Arial" w:eastAsia="宋体" w:cs="Arial"/>
          <w:b/>
          <w:sz w:val="24"/>
          <w:szCs w:val="24"/>
        </w:rPr>
        <w:t>软件验证的收益</w:t>
      </w:r>
      <w:bookmarkEnd w:id="30"/>
    </w:p>
    <w:p w14:paraId="08A0A0B5">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验证是用于确认器械软件质量和软件自动化操作的重要工具。软件验证能够增加器械的实用性和可靠性，能够降低故障率、减少召回和纠正措施、降低对患者和用户的风险，并降低器械生产商的责任风险。软件验证能够通过更为便捷、低成本的方式来对软件进行可靠的更改及再次验证这些更改，从而减少长期成本。软件维护成本占据了软件整个生命周期内的很大一部分总成本。已经确定的全面软件验证流程能够通过降低后续软件发布的验证成本的方式帮助降低软件的长期成本。</w:t>
      </w:r>
    </w:p>
    <w:p w14:paraId="627836D3">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31" w:name="_Toc484792174"/>
      <w:r>
        <w:rPr>
          <w:rFonts w:ascii="Arial" w:hAnsi="Arial" w:eastAsia="宋体" w:cs="Arial"/>
          <w:b/>
          <w:sz w:val="24"/>
          <w:szCs w:val="24"/>
        </w:rPr>
        <w:t>3.5</w:t>
      </w:r>
      <w:r>
        <w:rPr>
          <w:rFonts w:hint="eastAsia" w:ascii="Arial" w:hAnsi="Arial" w:eastAsia="宋体" w:cs="Arial"/>
          <w:b/>
          <w:sz w:val="24"/>
          <w:szCs w:val="24"/>
        </w:rPr>
        <w:tab/>
      </w:r>
      <w:r>
        <w:rPr>
          <w:rFonts w:ascii="Arial" w:hAnsi="Arial" w:eastAsia="宋体" w:cs="Arial"/>
          <w:b/>
          <w:sz w:val="24"/>
          <w:szCs w:val="24"/>
        </w:rPr>
        <w:t>设计审查</w:t>
      </w:r>
      <w:bookmarkEnd w:id="31"/>
    </w:p>
    <w:p w14:paraId="0F8BFBD7">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设计审查是针对软件设计的全面系统的已记录检查，用于评估设计要求是否恰当，以及评估设计是否满足这些要求，以及发现问题。虽然在软件项目内开发团队可能有许多非正式的技术审查，但正式的技术审查更为结构化，并且包含了开发团队外的参与者。规划式设计审查可能参考或纳入来自于其他正式或非正式审查的结果。设计审查可能单独针对软件进行，或者在软件与硬件集成入系统后进行，也可能两者均进行。设计审查应当包含对开发计划、要求规格、设计规格、测试计划和流程、所有的其它与项目相关的文件和工作、确定的生命周期每个阶段的确认结果以及整体器械的验证结果的审查。</w:t>
      </w:r>
    </w:p>
    <w:p w14:paraId="2FE1C322">
      <w:pPr>
        <w:widowControl/>
        <w:jc w:val="left"/>
        <w:rPr>
          <w:rFonts w:ascii="Arial" w:hAnsi="Arial" w:eastAsia="宋体" w:cs="Arial"/>
          <w:sz w:val="24"/>
          <w:szCs w:val="24"/>
        </w:rPr>
      </w:pPr>
      <w:r>
        <w:rPr>
          <w:rFonts w:ascii="Arial" w:hAnsi="Arial" w:eastAsia="宋体" w:cs="Arial"/>
          <w:sz w:val="24"/>
          <w:szCs w:val="24"/>
        </w:rPr>
        <w:br w:type="page"/>
      </w:r>
    </w:p>
    <w:p w14:paraId="177D7BB6">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设计审查是管理和评估开发项目的主要手段。例如，通过规划式设计审查管理者能够确保达到软件验证计划确定的所有目标。质量体系法规要求在器械设计流程中至少开展一项规划式设计审查。但我们推荐进行多项设计审查（例如在每个软件周期的设计工作结束后，且在准备继续进行下一项工作前）。在要求的设计工作结束或临近结束，主要资源用于特定的设计方案前，规划式设计审查尤其重要。在这个时间点发现的问题能够很容易解决，节省时间和金钱，并降低错过关键问题的可能性。</w:t>
      </w:r>
    </w:p>
    <w:p w14:paraId="5E1EBD8A">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在规划式设计生产过程中会对一些重要问题的解答进行记录。其中包括：</w:t>
      </w:r>
    </w:p>
    <w:p w14:paraId="1E41CDAF">
      <w:pPr>
        <w:pStyle w:val="14"/>
        <w:numPr>
          <w:ilvl w:val="0"/>
          <w:numId w:val="4"/>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软件生命周期的每个环节是否已经确定了恰当的任务以及预期结果、输出或产品？</w:t>
      </w:r>
    </w:p>
    <w:p w14:paraId="60E366D7">
      <w:pPr>
        <w:pStyle w:val="14"/>
        <w:numPr>
          <w:ilvl w:val="0"/>
          <w:numId w:val="4"/>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软件生命周期的每个环节的任务以及预期结果、输出或产品是否：</w:t>
      </w:r>
    </w:p>
    <w:p w14:paraId="637D3970">
      <w:pPr>
        <w:pStyle w:val="14"/>
        <w:numPr>
          <w:ilvl w:val="1"/>
          <w:numId w:val="4"/>
        </w:numPr>
        <w:adjustRightInd w:val="0"/>
        <w:snapToGrid w:val="0"/>
        <w:spacing w:after="312" w:afterLines="100" w:line="300" w:lineRule="auto"/>
        <w:ind w:left="1320" w:leftChars="400" w:hanging="480" w:hangingChars="200"/>
        <w:jc w:val="left"/>
        <w:rPr>
          <w:rFonts w:ascii="Arial" w:hAnsi="Arial" w:eastAsia="宋体" w:cs="Arial"/>
          <w:sz w:val="24"/>
          <w:szCs w:val="24"/>
        </w:rPr>
      </w:pPr>
      <w:r>
        <w:rPr>
          <w:rFonts w:ascii="Arial" w:hAnsi="Arial" w:eastAsia="宋体" w:cs="Arial"/>
          <w:sz w:val="24"/>
          <w:szCs w:val="24"/>
        </w:rPr>
        <w:t>在正确性、完整性、一致性和准确性方面是否符合其它软件生命周期工作的要求？</w:t>
      </w:r>
    </w:p>
    <w:p w14:paraId="7737AA18">
      <w:pPr>
        <w:pStyle w:val="14"/>
        <w:numPr>
          <w:ilvl w:val="1"/>
          <w:numId w:val="4"/>
        </w:numPr>
        <w:adjustRightInd w:val="0"/>
        <w:snapToGrid w:val="0"/>
        <w:spacing w:after="312" w:afterLines="100" w:line="300" w:lineRule="auto"/>
        <w:ind w:left="1320" w:leftChars="400" w:hanging="480" w:hangingChars="200"/>
        <w:jc w:val="left"/>
        <w:rPr>
          <w:rFonts w:ascii="Arial" w:hAnsi="Arial" w:eastAsia="宋体" w:cs="Arial"/>
          <w:sz w:val="24"/>
          <w:szCs w:val="24"/>
        </w:rPr>
      </w:pPr>
      <w:r>
        <w:rPr>
          <w:rFonts w:ascii="Arial" w:hAnsi="Arial" w:eastAsia="宋体" w:cs="Arial"/>
          <w:sz w:val="24"/>
          <w:szCs w:val="24"/>
        </w:rPr>
        <w:t>满足该项任务的标准、惯例和协议？</w:t>
      </w:r>
    </w:p>
    <w:p w14:paraId="5570CEED">
      <w:pPr>
        <w:pStyle w:val="14"/>
        <w:numPr>
          <w:ilvl w:val="1"/>
          <w:numId w:val="4"/>
        </w:numPr>
        <w:adjustRightInd w:val="0"/>
        <w:snapToGrid w:val="0"/>
        <w:spacing w:after="312" w:afterLines="100" w:line="300" w:lineRule="auto"/>
        <w:ind w:left="1320" w:leftChars="400" w:hanging="480" w:hangingChars="200"/>
        <w:jc w:val="left"/>
        <w:rPr>
          <w:rFonts w:ascii="Arial" w:hAnsi="Arial" w:eastAsia="宋体" w:cs="Arial"/>
          <w:sz w:val="24"/>
          <w:szCs w:val="24"/>
        </w:rPr>
      </w:pPr>
      <w:r>
        <w:rPr>
          <w:rFonts w:ascii="Arial" w:hAnsi="Arial" w:eastAsia="宋体" w:cs="Arial"/>
          <w:sz w:val="24"/>
          <w:szCs w:val="24"/>
        </w:rPr>
        <w:t>为启动下一项软件生命周期任务确定恰当的基础？</w:t>
      </w:r>
    </w:p>
    <w:p w14:paraId="456A517A">
      <w:pPr>
        <w:widowControl/>
        <w:jc w:val="left"/>
        <w:rPr>
          <w:rFonts w:ascii="Arial" w:hAnsi="Arial" w:eastAsia="宋体" w:cs="Arial"/>
          <w:sz w:val="24"/>
          <w:szCs w:val="24"/>
        </w:rPr>
      </w:pPr>
      <w:r>
        <w:rPr>
          <w:rFonts w:ascii="Arial" w:hAnsi="Arial" w:eastAsia="宋体" w:cs="Arial"/>
          <w:sz w:val="24"/>
          <w:szCs w:val="24"/>
        </w:rPr>
        <w:br w:type="page"/>
      </w:r>
    </w:p>
    <w:p w14:paraId="185A7797">
      <w:pPr>
        <w:adjustRightInd w:val="0"/>
        <w:snapToGrid w:val="0"/>
        <w:spacing w:after="312" w:afterLines="100" w:line="300" w:lineRule="auto"/>
        <w:jc w:val="center"/>
        <w:outlineLvl w:val="0"/>
        <w:rPr>
          <w:rFonts w:ascii="Arial" w:hAnsi="Arial" w:eastAsia="宋体" w:cs="Arial"/>
          <w:b/>
          <w:sz w:val="36"/>
        </w:rPr>
      </w:pPr>
      <w:bookmarkStart w:id="32" w:name="_Toc484792175"/>
      <w:r>
        <w:rPr>
          <w:rFonts w:ascii="Arial" w:hAnsi="Arial" w:eastAsia="宋体" w:cs="Arial"/>
          <w:b/>
          <w:sz w:val="36"/>
        </w:rPr>
        <w:t>第4章 软件验证的原则</w:t>
      </w:r>
      <w:bookmarkEnd w:id="32"/>
    </w:p>
    <w:p w14:paraId="33C49457">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本章列出了软件验证需要考虑的一般原则。</w:t>
      </w:r>
    </w:p>
    <w:p w14:paraId="0A320597">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33" w:name="_Toc484792176"/>
      <w:r>
        <w:rPr>
          <w:rFonts w:ascii="Arial" w:hAnsi="Arial" w:eastAsia="宋体" w:cs="Arial"/>
          <w:b/>
          <w:sz w:val="24"/>
          <w:szCs w:val="24"/>
        </w:rPr>
        <w:t>4.1</w:t>
      </w:r>
      <w:r>
        <w:rPr>
          <w:rFonts w:hint="eastAsia" w:ascii="Arial" w:hAnsi="Arial" w:eastAsia="宋体" w:cs="Arial"/>
          <w:b/>
          <w:sz w:val="24"/>
          <w:szCs w:val="24"/>
        </w:rPr>
        <w:tab/>
      </w:r>
      <w:r>
        <w:rPr>
          <w:rFonts w:ascii="Arial" w:hAnsi="Arial" w:eastAsia="宋体" w:cs="Arial"/>
          <w:b/>
          <w:sz w:val="24"/>
          <w:szCs w:val="24"/>
        </w:rPr>
        <w:t>要求</w:t>
      </w:r>
      <w:bookmarkEnd w:id="33"/>
    </w:p>
    <w:p w14:paraId="35D75102">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软件要求规格文件提供了软件验证和确认的基线。软件验证过程需要确定软件要求规格才能完成（参考文件：21 CFR 820.3（z）和 （aa）和820.30（f）和 （g））。</w:t>
      </w:r>
    </w:p>
    <w:p w14:paraId="1D2AF97D">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34" w:name="_Toc484792177"/>
      <w:r>
        <w:rPr>
          <w:rFonts w:ascii="Arial" w:hAnsi="Arial" w:eastAsia="宋体" w:cs="Arial"/>
          <w:b/>
          <w:sz w:val="24"/>
          <w:szCs w:val="24"/>
        </w:rPr>
        <w:t>4.2</w:t>
      </w:r>
      <w:r>
        <w:rPr>
          <w:rFonts w:hint="eastAsia" w:ascii="Arial" w:hAnsi="Arial" w:eastAsia="宋体" w:cs="Arial"/>
          <w:b/>
          <w:sz w:val="24"/>
          <w:szCs w:val="24"/>
        </w:rPr>
        <w:tab/>
      </w:r>
      <w:r>
        <w:rPr>
          <w:rFonts w:ascii="Arial" w:hAnsi="Arial" w:eastAsia="宋体" w:cs="Arial"/>
          <w:b/>
          <w:sz w:val="24"/>
          <w:szCs w:val="24"/>
        </w:rPr>
        <w:t>缺陷预防</w:t>
      </w:r>
      <w:bookmarkEnd w:id="34"/>
    </w:p>
    <w:p w14:paraId="5F639134">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的质量保证需要注意不要在软件开发过程中引入缺陷，不要试图在软件代码编写完成后再引入“检测质量”。软件测试在软件代码中显露缺陷方面的能力十分有限。例如，大多数软件的复杂度很高，因此无法彻底进行测试。</w:t>
      </w:r>
      <w:r>
        <w:rPr>
          <w:rFonts w:hint="eastAsia" w:ascii="Arial" w:hAnsi="Arial" w:eastAsia="宋体" w:cs="Arial"/>
          <w:b/>
          <w:sz w:val="24"/>
          <w:szCs w:val="24"/>
        </w:rPr>
        <w:t>软件测试</w:t>
      </w:r>
      <w:r>
        <w:rPr>
          <w:rFonts w:ascii="Arial" w:hAnsi="Arial" w:eastAsia="宋体" w:cs="Arial"/>
          <w:b/>
          <w:sz w:val="24"/>
          <w:szCs w:val="24"/>
        </w:rPr>
        <w:t>是</w:t>
      </w:r>
      <w:r>
        <w:rPr>
          <w:rFonts w:hint="eastAsia" w:ascii="Arial" w:hAnsi="Arial" w:eastAsia="宋体" w:cs="Arial"/>
          <w:b/>
          <w:sz w:val="24"/>
          <w:szCs w:val="24"/>
        </w:rPr>
        <w:t>一项必要的工作。但在大多数情况下测试本身不足以使我们确信软件适合其预期用途。</w:t>
      </w:r>
      <w:r>
        <w:rPr>
          <w:rFonts w:ascii="Arial" w:hAnsi="Arial" w:eastAsia="宋体" w:cs="Arial"/>
          <w:sz w:val="24"/>
          <w:szCs w:val="24"/>
        </w:rPr>
        <w:t>为了建立这种确信，软件开发者需要使用多种方法和技术来防止软件错误并且检测出未发生的软件错误。方法的“最佳组合”取决于许多因素，包括开发环境、应用、项目大小、编程语言及风险。</w:t>
      </w:r>
    </w:p>
    <w:p w14:paraId="28307434">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35" w:name="_Toc484792178"/>
      <w:r>
        <w:rPr>
          <w:rFonts w:ascii="Arial" w:hAnsi="Arial" w:eastAsia="宋体" w:cs="Arial"/>
          <w:b/>
          <w:sz w:val="24"/>
          <w:szCs w:val="24"/>
        </w:rPr>
        <w:t>4.3</w:t>
      </w:r>
      <w:r>
        <w:rPr>
          <w:rFonts w:hint="eastAsia" w:ascii="Arial" w:hAnsi="Arial" w:eastAsia="宋体" w:cs="Arial"/>
          <w:b/>
          <w:sz w:val="24"/>
          <w:szCs w:val="24"/>
        </w:rPr>
        <w:tab/>
      </w:r>
      <w:r>
        <w:rPr>
          <w:rFonts w:ascii="Arial" w:hAnsi="Arial" w:eastAsia="宋体" w:cs="Arial"/>
          <w:b/>
          <w:sz w:val="24"/>
          <w:szCs w:val="24"/>
        </w:rPr>
        <w:t>时间与努力</w:t>
      </w:r>
      <w:bookmarkEnd w:id="35"/>
    </w:p>
    <w:p w14:paraId="42BC0A2A">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完成软件验证的方案需要时间与努力。软件验证的准备工作应当尽早展开，例如在设计阶段、开发计划阶段以及设计输入阶段。软件经过验证的最终结论应要建立在整个软件生命周期中执行的既定工作所收集的证据上。</w:t>
      </w:r>
    </w:p>
    <w:p w14:paraId="4065D974">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36" w:name="_Toc484792179"/>
      <w:r>
        <w:rPr>
          <w:rFonts w:ascii="Arial" w:hAnsi="Arial" w:eastAsia="宋体" w:cs="Arial"/>
          <w:b/>
          <w:sz w:val="24"/>
          <w:szCs w:val="24"/>
        </w:rPr>
        <w:t>4.4</w:t>
      </w:r>
      <w:r>
        <w:rPr>
          <w:rFonts w:hint="eastAsia" w:ascii="Arial" w:hAnsi="Arial" w:eastAsia="宋体" w:cs="Arial"/>
          <w:b/>
          <w:sz w:val="24"/>
          <w:szCs w:val="24"/>
        </w:rPr>
        <w:tab/>
      </w:r>
      <w:r>
        <w:rPr>
          <w:rFonts w:ascii="Arial" w:hAnsi="Arial" w:eastAsia="宋体" w:cs="Arial"/>
          <w:b/>
          <w:sz w:val="24"/>
          <w:szCs w:val="24"/>
        </w:rPr>
        <w:t>软件生命周期</w:t>
      </w:r>
      <w:bookmarkEnd w:id="36"/>
    </w:p>
    <w:p w14:paraId="122D37FC">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的验证工作在确定的软件生命周期环境下展开。软件生命周期包含软件工程任务以及支持软件验证工作必要的文档记录。另外，软件生命周期还包含适用于该软件预期用途的具体确认和验证工作。本指南不推荐任何特定的生命周期模型—需要在软件开发项目中进行选择和使用。</w:t>
      </w:r>
    </w:p>
    <w:p w14:paraId="29ACBBBF">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37" w:name="_Toc484792180"/>
      <w:r>
        <w:rPr>
          <w:rFonts w:ascii="Arial" w:hAnsi="Arial" w:eastAsia="宋体" w:cs="Arial"/>
          <w:b/>
          <w:sz w:val="24"/>
          <w:szCs w:val="24"/>
        </w:rPr>
        <w:t>4.5</w:t>
      </w:r>
      <w:r>
        <w:rPr>
          <w:rFonts w:hint="eastAsia" w:ascii="Arial" w:hAnsi="Arial" w:eastAsia="宋体" w:cs="Arial"/>
          <w:b/>
          <w:sz w:val="24"/>
          <w:szCs w:val="24"/>
        </w:rPr>
        <w:tab/>
      </w:r>
      <w:r>
        <w:rPr>
          <w:rFonts w:ascii="Arial" w:hAnsi="Arial" w:eastAsia="宋体" w:cs="Arial"/>
          <w:b/>
          <w:sz w:val="24"/>
          <w:szCs w:val="24"/>
        </w:rPr>
        <w:t>计划</w:t>
      </w:r>
      <w:bookmarkEnd w:id="37"/>
    </w:p>
    <w:p w14:paraId="2BC77831">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验证流程通过使用计划来确定和控制。软件验证计划明确了在软件验证工作中“什么”是要完成的。软件验证计划是一种重要的质量体系工具。软件验证计划确定了工作领域，如范围、方法、资源、进度表，以及活动、任务和工作项目的类型和程度。</w:t>
      </w:r>
    </w:p>
    <w:p w14:paraId="54E287FE">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38" w:name="_Toc484792181"/>
      <w:r>
        <w:rPr>
          <w:rFonts w:ascii="Arial" w:hAnsi="Arial" w:eastAsia="宋体" w:cs="Arial"/>
          <w:b/>
          <w:sz w:val="24"/>
          <w:szCs w:val="24"/>
        </w:rPr>
        <w:t>4.6</w:t>
      </w:r>
      <w:r>
        <w:rPr>
          <w:rFonts w:hint="eastAsia" w:ascii="Arial" w:hAnsi="Arial" w:eastAsia="宋体" w:cs="Arial"/>
          <w:b/>
          <w:sz w:val="24"/>
          <w:szCs w:val="24"/>
        </w:rPr>
        <w:tab/>
      </w:r>
      <w:r>
        <w:rPr>
          <w:rFonts w:ascii="Arial" w:hAnsi="Arial" w:eastAsia="宋体" w:cs="Arial"/>
          <w:b/>
          <w:sz w:val="24"/>
          <w:szCs w:val="24"/>
        </w:rPr>
        <w:t>程序</w:t>
      </w:r>
      <w:bookmarkEnd w:id="38"/>
    </w:p>
    <w:p w14:paraId="569F8342">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软件验证的过程通过使用程序来执行。这些程序确定了“如何”来进行软件验证工作。程序应当明确完成每一项验证活动、任务和工作项目所必须采取的特定行动或行动顺序。</w:t>
      </w:r>
    </w:p>
    <w:p w14:paraId="53E63EC2">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39" w:name="_Toc484792182"/>
      <w:r>
        <w:rPr>
          <w:rFonts w:ascii="Arial" w:hAnsi="Arial" w:eastAsia="宋体" w:cs="Arial"/>
          <w:b/>
          <w:sz w:val="24"/>
          <w:szCs w:val="24"/>
        </w:rPr>
        <w:t>4.7</w:t>
      </w:r>
      <w:r>
        <w:rPr>
          <w:rFonts w:hint="eastAsia" w:ascii="Arial" w:hAnsi="Arial" w:eastAsia="宋体" w:cs="Arial"/>
          <w:b/>
          <w:sz w:val="24"/>
          <w:szCs w:val="24"/>
        </w:rPr>
        <w:tab/>
      </w:r>
      <w:r>
        <w:rPr>
          <w:rFonts w:ascii="Arial" w:hAnsi="Arial" w:eastAsia="宋体" w:cs="Arial"/>
          <w:b/>
          <w:sz w:val="24"/>
          <w:szCs w:val="24"/>
        </w:rPr>
        <w:t>变更后的软件验证</w:t>
      </w:r>
      <w:bookmarkEnd w:id="39"/>
    </w:p>
    <w:p w14:paraId="7F063923">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由于软件的复杂性，一些看起来很微小的局部改变就有可能对整个系统产生重大影响。在软件发生任何变更时（即使是很小的改变），软件的验证状态需要重新确定。</w:t>
      </w:r>
      <w:r>
        <w:rPr>
          <w:rFonts w:hint="eastAsia" w:ascii="Arial" w:hAnsi="Arial" w:eastAsia="宋体" w:cs="Arial"/>
          <w:b/>
          <w:sz w:val="24"/>
          <w:szCs w:val="24"/>
        </w:rPr>
        <w:t>如果软件发生了变更，需要进行验证分析，不仅为了验证每一处改变，也需要确定整个软件系统改变的程度和影响。</w:t>
      </w:r>
      <w:r>
        <w:rPr>
          <w:rFonts w:ascii="Arial" w:hAnsi="Arial" w:eastAsia="宋体" w:cs="Arial"/>
          <w:sz w:val="24"/>
          <w:szCs w:val="24"/>
        </w:rPr>
        <w:t>在这一分析的基础上，软件开发者随后应当进行恰当水平的软件回归测试，来证明系统中未发生改变但容易受到影响的部分没有受到负面影响。设计控制和恰当的回归测试能够提供信心表明软件在发生变更后仍然可以通过验证。</w:t>
      </w:r>
    </w:p>
    <w:p w14:paraId="64221E4E">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40" w:name="_Toc484792183"/>
      <w:r>
        <w:rPr>
          <w:rFonts w:ascii="Arial" w:hAnsi="Arial" w:eastAsia="宋体" w:cs="Arial"/>
          <w:b/>
          <w:sz w:val="24"/>
          <w:szCs w:val="24"/>
        </w:rPr>
        <w:t>4.8</w:t>
      </w:r>
      <w:r>
        <w:rPr>
          <w:rFonts w:hint="eastAsia" w:ascii="Arial" w:hAnsi="Arial" w:eastAsia="宋体" w:cs="Arial"/>
          <w:b/>
          <w:sz w:val="24"/>
          <w:szCs w:val="24"/>
        </w:rPr>
        <w:tab/>
      </w:r>
      <w:r>
        <w:rPr>
          <w:rFonts w:ascii="Arial" w:hAnsi="Arial" w:eastAsia="宋体" w:cs="Arial"/>
          <w:b/>
          <w:sz w:val="24"/>
          <w:szCs w:val="24"/>
        </w:rPr>
        <w:t>验证范围</w:t>
      </w:r>
      <w:bookmarkEnd w:id="40"/>
    </w:p>
    <w:p w14:paraId="6F87AF2F">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验证的范围应当基于软件的复杂性和安全风险确定—而不是公司规模或资源限制。验证活动、任务和工作项目的选择应当符合软件设计的复杂性以及与软件特定预期用途使用相关的风险。对于低风险器械，可能仅需要基础的验证活动。随着风险的增加，需要增加其他的验证活动以包含额外的风险。验证记录文件应当足够证明所有的软件验证计划和流程均成功完成。</w:t>
      </w:r>
    </w:p>
    <w:p w14:paraId="2FCEEFAA">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41" w:name="_Toc484792184"/>
      <w:r>
        <w:rPr>
          <w:rFonts w:ascii="Arial" w:hAnsi="Arial" w:eastAsia="宋体" w:cs="Arial"/>
          <w:b/>
          <w:sz w:val="24"/>
          <w:szCs w:val="24"/>
        </w:rPr>
        <w:t>4.9</w:t>
      </w:r>
      <w:r>
        <w:rPr>
          <w:rFonts w:hint="eastAsia" w:ascii="Arial" w:hAnsi="Arial" w:eastAsia="宋体" w:cs="Arial"/>
          <w:b/>
          <w:sz w:val="24"/>
          <w:szCs w:val="24"/>
        </w:rPr>
        <w:tab/>
      </w:r>
      <w:r>
        <w:rPr>
          <w:rFonts w:ascii="Arial" w:hAnsi="Arial" w:eastAsia="宋体" w:cs="Arial"/>
          <w:b/>
          <w:sz w:val="24"/>
          <w:szCs w:val="24"/>
        </w:rPr>
        <w:t>审查的独立性</w:t>
      </w:r>
      <w:bookmarkEnd w:id="41"/>
    </w:p>
    <w:p w14:paraId="339FDE24">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验证活动应当在最基本的质量保证原则“审查的独立性”的基础上进行。自我验证非常困难。如果可能的话，独立的评估更好，尤其对于高风险的应用而言。一些公司以签约承包的方式寻找第三方机构进行独立的验证和确认，但这种解决方案并非总是可行的。另外一种方式是由未参与到特定设计或实施中，但对于项目的评估以及执行验证和确认活动有充足知识的内部员工完成。较小的公司为了保证审查的内部独立性可能需要在如何组织和分配任务方面更有创造性。</w:t>
      </w:r>
    </w:p>
    <w:p w14:paraId="02D3AC03">
      <w:pPr>
        <w:widowControl/>
        <w:jc w:val="left"/>
        <w:rPr>
          <w:rFonts w:ascii="Arial" w:hAnsi="Arial" w:eastAsia="宋体" w:cs="Arial"/>
          <w:sz w:val="24"/>
          <w:szCs w:val="24"/>
        </w:rPr>
      </w:pPr>
      <w:r>
        <w:rPr>
          <w:rFonts w:ascii="Arial" w:hAnsi="Arial" w:eastAsia="宋体" w:cs="Arial"/>
          <w:sz w:val="24"/>
          <w:szCs w:val="24"/>
        </w:rPr>
        <w:br w:type="page"/>
      </w:r>
    </w:p>
    <w:p w14:paraId="30AB381E">
      <w:pPr>
        <w:adjustRightInd w:val="0"/>
        <w:snapToGrid w:val="0"/>
        <w:spacing w:after="312" w:afterLines="100" w:line="300" w:lineRule="auto"/>
        <w:jc w:val="left"/>
        <w:rPr>
          <w:rFonts w:ascii="Arial" w:hAnsi="Arial" w:eastAsia="宋体" w:cs="Arial"/>
          <w:sz w:val="24"/>
          <w:szCs w:val="24"/>
        </w:rPr>
      </w:pPr>
    </w:p>
    <w:p w14:paraId="40CD91C3">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42" w:name="_Toc484792185"/>
      <w:r>
        <w:rPr>
          <w:rFonts w:ascii="Arial" w:hAnsi="Arial" w:eastAsia="宋体" w:cs="Arial"/>
          <w:b/>
          <w:sz w:val="24"/>
          <w:szCs w:val="24"/>
        </w:rPr>
        <w:t>4.10</w:t>
      </w:r>
      <w:r>
        <w:rPr>
          <w:rFonts w:hint="eastAsia"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灵活性与责任</w:t>
      </w:r>
      <w:bookmarkEnd w:id="42"/>
    </w:p>
    <w:p w14:paraId="275761E9">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在具体实施这些软件验证原则时，在不同情况下可能会有很大差别。医疗器械的生产商在选择如何应用这些验证原则时有一定灵活性，但是仍然要对证明软件通过验证承担最终责任。</w:t>
      </w:r>
    </w:p>
    <w:p w14:paraId="3090BAE9">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软件的设计、开发、验证和监管在多种环境下进行，适用的医疗器械种类繁多，风险水平也各不相同。FDA监管的医疗器械应有包括下列情况的软件：</w:t>
      </w:r>
    </w:p>
    <w:p w14:paraId="1E6CAFD7">
      <w:pPr>
        <w:pStyle w:val="14"/>
        <w:numPr>
          <w:ilvl w:val="0"/>
          <w:numId w:val="5"/>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作为医疗器械的一个组件、部件或附件；</w:t>
      </w:r>
    </w:p>
    <w:p w14:paraId="776C1AFC">
      <w:pPr>
        <w:pStyle w:val="14"/>
        <w:numPr>
          <w:ilvl w:val="0"/>
          <w:numId w:val="5"/>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本身即为医疗器械；或</w:t>
      </w:r>
    </w:p>
    <w:p w14:paraId="15C76F6D">
      <w:pPr>
        <w:pStyle w:val="14"/>
        <w:numPr>
          <w:ilvl w:val="0"/>
          <w:numId w:val="5"/>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用于生产、设计、开发或质量体系的其它部分。</w:t>
      </w:r>
    </w:p>
    <w:p w14:paraId="1AFDF00C">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每种环境下，可能会使用不同来源的软件组件来确定应用（如自行开发的软件、现成软件、合同软件、共享软件）。另外，软件组件来源形式也有所不同（如应用软件、操作系统、编译器、调试器、配置管理工具及许多其他形式）。在这些环境下进行软件验证是一项复杂的工作；因此，恰当的做法是在设计软件验证流程的时候就考虑到所有的这些软件验证原则。按照原则制订出的软件验证流程应当与系统、器械或工艺相关的安全风险相适应。</w:t>
      </w:r>
    </w:p>
    <w:p w14:paraId="42771EC7">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软件验证活动和任务可能是分散的，由不同的组织在不同的地点开展。但无论任务分配、合同关系、组件来源或开发环境如何，医疗器械的生产商或规格的制定者都需要对确保软件经过验证负有最终责任。</w:t>
      </w:r>
    </w:p>
    <w:p w14:paraId="2DA483C4">
      <w:pPr>
        <w:widowControl/>
        <w:jc w:val="left"/>
        <w:rPr>
          <w:rFonts w:ascii="Arial" w:hAnsi="Arial" w:eastAsia="宋体" w:cs="Arial"/>
          <w:sz w:val="24"/>
          <w:szCs w:val="24"/>
        </w:rPr>
      </w:pPr>
      <w:r>
        <w:rPr>
          <w:rFonts w:ascii="Arial" w:hAnsi="Arial" w:eastAsia="宋体" w:cs="Arial"/>
          <w:sz w:val="24"/>
          <w:szCs w:val="24"/>
        </w:rPr>
        <w:br w:type="page"/>
      </w:r>
    </w:p>
    <w:p w14:paraId="5CD1ECA0">
      <w:pPr>
        <w:adjustRightInd w:val="0"/>
        <w:snapToGrid w:val="0"/>
        <w:spacing w:after="312" w:afterLines="100" w:line="300" w:lineRule="auto"/>
        <w:jc w:val="center"/>
        <w:outlineLvl w:val="0"/>
        <w:rPr>
          <w:rFonts w:ascii="Arial" w:hAnsi="Arial" w:eastAsia="宋体" w:cs="Arial"/>
          <w:b/>
          <w:sz w:val="36"/>
        </w:rPr>
      </w:pPr>
      <w:bookmarkStart w:id="43" w:name="_Toc484792186"/>
      <w:r>
        <w:rPr>
          <w:rFonts w:ascii="Arial" w:hAnsi="Arial" w:eastAsia="宋体" w:cs="Arial"/>
          <w:b/>
          <w:sz w:val="36"/>
        </w:rPr>
        <w:t>第5章 活动与任务</w:t>
      </w:r>
      <w:bookmarkEnd w:id="43"/>
    </w:p>
    <w:p w14:paraId="680508C5">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软件的验证工作通过软件开发生命周期不同阶段计划和执行的一系列活动与任务完成。这些任务可能是一次性的，也可能多次迭代，这取决于所使用的生命周期模型以及随着软件项目的进展而发生改变的范围。</w:t>
      </w:r>
    </w:p>
    <w:p w14:paraId="3331D6B9">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44" w:name="_Toc484792187"/>
      <w:r>
        <w:rPr>
          <w:rFonts w:ascii="Arial" w:hAnsi="Arial" w:eastAsia="宋体" w:cs="Arial"/>
          <w:b/>
          <w:sz w:val="24"/>
          <w:szCs w:val="24"/>
        </w:rPr>
        <w:t>5.1 软件生命周期活动</w:t>
      </w:r>
      <w:bookmarkEnd w:id="44"/>
    </w:p>
    <w:p w14:paraId="41B6DF72">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本指南不推荐使用任何特定的软件生命周期模型。软件开发者应当确定适合于其产品和组织的软件生命周期模型。软件生命周期模型的选择应当覆盖软件从产生到报废的整个周期。典型的软件生命周期模型活动包括下列内容：</w:t>
      </w:r>
    </w:p>
    <w:p w14:paraId="21E92368">
      <w:pPr>
        <w:pStyle w:val="14"/>
        <w:numPr>
          <w:ilvl w:val="0"/>
          <w:numId w:val="6"/>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质量计划</w:t>
      </w:r>
    </w:p>
    <w:p w14:paraId="0DA5F99F">
      <w:pPr>
        <w:pStyle w:val="14"/>
        <w:numPr>
          <w:ilvl w:val="0"/>
          <w:numId w:val="6"/>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系统要求确定</w:t>
      </w:r>
    </w:p>
    <w:p w14:paraId="7854170B">
      <w:pPr>
        <w:pStyle w:val="14"/>
        <w:numPr>
          <w:ilvl w:val="0"/>
          <w:numId w:val="6"/>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详细的软件要求规格</w:t>
      </w:r>
    </w:p>
    <w:p w14:paraId="63D28749">
      <w:pPr>
        <w:pStyle w:val="14"/>
        <w:numPr>
          <w:ilvl w:val="0"/>
          <w:numId w:val="6"/>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软件设计规格</w:t>
      </w:r>
    </w:p>
    <w:p w14:paraId="41D1162D">
      <w:pPr>
        <w:pStyle w:val="14"/>
        <w:numPr>
          <w:ilvl w:val="0"/>
          <w:numId w:val="6"/>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构架或编写代码</w:t>
      </w:r>
    </w:p>
    <w:p w14:paraId="70563861">
      <w:pPr>
        <w:pStyle w:val="14"/>
        <w:numPr>
          <w:ilvl w:val="0"/>
          <w:numId w:val="6"/>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测试</w:t>
      </w:r>
    </w:p>
    <w:p w14:paraId="51601C24">
      <w:pPr>
        <w:pStyle w:val="14"/>
        <w:numPr>
          <w:ilvl w:val="0"/>
          <w:numId w:val="6"/>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安装</w:t>
      </w:r>
    </w:p>
    <w:p w14:paraId="03DCF7BA">
      <w:pPr>
        <w:pStyle w:val="14"/>
        <w:numPr>
          <w:ilvl w:val="0"/>
          <w:numId w:val="6"/>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操作与支持</w:t>
      </w:r>
    </w:p>
    <w:p w14:paraId="4E4F3894">
      <w:pPr>
        <w:pStyle w:val="14"/>
        <w:numPr>
          <w:ilvl w:val="0"/>
          <w:numId w:val="6"/>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维护</w:t>
      </w:r>
    </w:p>
    <w:p w14:paraId="7A5948C0">
      <w:pPr>
        <w:pStyle w:val="14"/>
        <w:numPr>
          <w:ilvl w:val="0"/>
          <w:numId w:val="6"/>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报废</w:t>
      </w:r>
    </w:p>
    <w:p w14:paraId="09A38604">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支持软件验证的确认、测试及其他任务包含在上述活动中。软件生命周期模型以多种方式组织这些软件开发活动，并提供了监测和控制软件开发项目的框架。各种软件生命周期模型（如瀑布式开发、螺旋式开发、快速原型开发、增量开发等）可见于1995年8月FDA发布的文件《</w:t>
      </w:r>
      <w:r>
        <w:rPr>
          <w:rFonts w:hint="eastAsia" w:ascii="Arial" w:hAnsi="Arial" w:eastAsia="宋体" w:cs="Arial"/>
          <w:color w:val="0000FF"/>
          <w:sz w:val="24"/>
          <w:szCs w:val="24"/>
        </w:rPr>
        <w:t>计算机化系统与软件开发词汇表</w:t>
      </w:r>
      <w:r>
        <w:rPr>
          <w:rFonts w:ascii="Arial" w:hAnsi="Arial" w:eastAsia="宋体" w:cs="Arial"/>
          <w:sz w:val="24"/>
          <w:szCs w:val="24"/>
        </w:rPr>
        <w:t>》。附录A引用了上述及多种其他类型的软件开发生命周期模型。</w:t>
      </w:r>
    </w:p>
    <w:p w14:paraId="4E0CA5C9">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45" w:name="_Toc484792188"/>
      <w:r>
        <w:rPr>
          <w:rFonts w:ascii="Arial" w:hAnsi="Arial" w:eastAsia="宋体" w:cs="Arial"/>
          <w:b/>
          <w:sz w:val="24"/>
          <w:szCs w:val="24"/>
        </w:rPr>
        <w:t>5.2</w:t>
      </w:r>
      <w:r>
        <w:rPr>
          <w:rFonts w:hint="eastAsia" w:ascii="Arial" w:hAnsi="Arial" w:eastAsia="宋体" w:cs="Arial"/>
          <w:b/>
          <w:sz w:val="24"/>
          <w:szCs w:val="24"/>
        </w:rPr>
        <w:tab/>
      </w:r>
      <w:r>
        <w:rPr>
          <w:rFonts w:ascii="Arial" w:hAnsi="Arial" w:eastAsia="宋体" w:cs="Arial"/>
          <w:b/>
          <w:sz w:val="24"/>
          <w:szCs w:val="24"/>
        </w:rPr>
        <w:t>支持软件验证的典型任务</w:t>
      </w:r>
      <w:bookmarkEnd w:id="45"/>
    </w:p>
    <w:p w14:paraId="17A291D6">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对于每一种软件生命周期活动，存在支持软件已验证结论的特定“典型”任务。但需要执行的具体任务、执行顺序以及执行的迭代和计时都要受到具体选用的软件生命周期模型和与软件应用相关的安全风险的决定。对于风险非常低的应用，可能某些任务完全不需要。但软件开发人员至少应当对每一项任务进行考虑，并应当确定并记录那些任务是否适合具体应用。下面的讨论非常宽泛，不会规定任何特定的软件声明周期模型或任务执行的特定顺序。</w:t>
      </w:r>
    </w:p>
    <w:p w14:paraId="1EBB5079">
      <w:pPr>
        <w:adjustRightInd w:val="0"/>
        <w:snapToGrid w:val="0"/>
        <w:spacing w:after="312" w:afterLines="100" w:line="300" w:lineRule="auto"/>
        <w:jc w:val="left"/>
        <w:outlineLvl w:val="2"/>
        <w:rPr>
          <w:rFonts w:ascii="Arial" w:hAnsi="Arial" w:eastAsia="宋体" w:cs="Arial"/>
          <w:b/>
          <w:sz w:val="24"/>
          <w:szCs w:val="24"/>
        </w:rPr>
      </w:pPr>
      <w:bookmarkStart w:id="46" w:name="_Toc484792189"/>
      <w:r>
        <w:rPr>
          <w:rFonts w:ascii="Arial" w:hAnsi="Arial" w:eastAsia="宋体" w:cs="Arial"/>
          <w:b/>
          <w:sz w:val="24"/>
          <w:szCs w:val="24"/>
        </w:rPr>
        <w:t>5.2.1</w:t>
      </w:r>
      <w:r>
        <w:rPr>
          <w:rFonts w:hint="eastAsia" w:ascii="Arial" w:hAnsi="Arial" w:eastAsia="宋体" w:cs="Arial"/>
          <w:b/>
          <w:sz w:val="24"/>
          <w:szCs w:val="24"/>
        </w:rPr>
        <w:tab/>
      </w:r>
      <w:r>
        <w:rPr>
          <w:rFonts w:ascii="Arial" w:hAnsi="Arial" w:eastAsia="宋体" w:cs="Arial"/>
          <w:b/>
          <w:sz w:val="24"/>
          <w:szCs w:val="24"/>
        </w:rPr>
        <w:t>质量计划</w:t>
      </w:r>
      <w:bookmarkEnd w:id="46"/>
    </w:p>
    <w:p w14:paraId="6562372F">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设计和开发计划的最后应当给出一个计划，该计划明确了必要的任务、异常情况报告和解决流程、必要的资源，以及包括规划式设计审查在内的管理审查要求。软件生命周期模型以及相关的活动应当予以明确，每个软件生命周期活动必要的任务也应当明确。计划应当包含：</w:t>
      </w:r>
    </w:p>
    <w:p w14:paraId="7B79C99E">
      <w:pPr>
        <w:pStyle w:val="14"/>
        <w:numPr>
          <w:ilvl w:val="0"/>
          <w:numId w:val="7"/>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每项生命周期活动的具体任务；</w:t>
      </w:r>
    </w:p>
    <w:p w14:paraId="78C0DBB4">
      <w:pPr>
        <w:pStyle w:val="14"/>
        <w:numPr>
          <w:ilvl w:val="0"/>
          <w:numId w:val="7"/>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列举出重要的质量因素（如可信性、可维修性和可用性）；</w:t>
      </w:r>
    </w:p>
    <w:p w14:paraId="19FF4B4F">
      <w:pPr>
        <w:pStyle w:val="14"/>
        <w:numPr>
          <w:ilvl w:val="0"/>
          <w:numId w:val="7"/>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每项任务的方法和流程；</w:t>
      </w:r>
    </w:p>
    <w:p w14:paraId="3A397C18">
      <w:pPr>
        <w:pStyle w:val="14"/>
        <w:numPr>
          <w:ilvl w:val="0"/>
          <w:numId w:val="7"/>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任务验收标准；</w:t>
      </w:r>
    </w:p>
    <w:p w14:paraId="525AF023">
      <w:pPr>
        <w:pStyle w:val="14"/>
        <w:numPr>
          <w:ilvl w:val="0"/>
          <w:numId w:val="7"/>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确定和记录产品输出是否符合输入要求评估的标准；</w:t>
      </w:r>
    </w:p>
    <w:p w14:paraId="0BC685AB">
      <w:pPr>
        <w:pStyle w:val="14"/>
        <w:numPr>
          <w:ilvl w:val="0"/>
          <w:numId w:val="7"/>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每项任务的输入；</w:t>
      </w:r>
    </w:p>
    <w:p w14:paraId="1D240907">
      <w:pPr>
        <w:pStyle w:val="14"/>
        <w:numPr>
          <w:ilvl w:val="0"/>
          <w:numId w:val="7"/>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每项任务的输出；</w:t>
      </w:r>
    </w:p>
    <w:p w14:paraId="53750186">
      <w:pPr>
        <w:pStyle w:val="14"/>
        <w:numPr>
          <w:ilvl w:val="0"/>
          <w:numId w:val="7"/>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每项任务的作用、资源和责任；</w:t>
      </w:r>
    </w:p>
    <w:p w14:paraId="63832297">
      <w:pPr>
        <w:pStyle w:val="14"/>
        <w:numPr>
          <w:ilvl w:val="0"/>
          <w:numId w:val="7"/>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风险和假设；以及</w:t>
      </w:r>
    </w:p>
    <w:p w14:paraId="325BFF3F">
      <w:pPr>
        <w:pStyle w:val="14"/>
        <w:numPr>
          <w:ilvl w:val="0"/>
          <w:numId w:val="7"/>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用户需求文档。</w:t>
      </w:r>
    </w:p>
    <w:p w14:paraId="5A2EA801">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管理者必须确定并提供恰当的软件开发环境和资源。（见21 CFR §820.20（b）（1）和（2）。）一般来说，每项任务均需要人力和物力资源。计划应当明确每项任务的人力、设施和器械资源，以及风险（危害）管理要起到的作用。应当开发配置管理计划，用于引导和控制多项平行开发活动，以及确保恰当的交流和记录。为了确保构成软件系统的所有规格文件获批版本、源代码、目标代码以及测试套件能够正确恰当地对应，有必要采取控制。控制也应该确保能够准确识别并有权使用当前的批准版本。</w:t>
      </w:r>
    </w:p>
    <w:p w14:paraId="70AC236E">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需要确定用于报告和解决在验证或其他活动过程中所发现软件异常的流程。管理部分应当识别这些报告并指出每项报告中的内容、格式以及负责的组织要素。审查和软件开发结果的审批也有必要建立流程，包括相应审查和批准的责任组织要素。</w:t>
      </w:r>
    </w:p>
    <w:p w14:paraId="36FCAE95">
      <w:pPr>
        <w:adjustRightInd w:val="0"/>
        <w:snapToGrid w:val="0"/>
        <w:spacing w:after="312" w:afterLines="100" w:line="300" w:lineRule="auto"/>
        <w:jc w:val="left"/>
        <w:rPr>
          <w:rFonts w:ascii="Arial" w:hAnsi="Arial" w:eastAsia="宋体" w:cs="Arial"/>
          <w:sz w:val="24"/>
          <w:szCs w:val="24"/>
          <w:u w:val="single"/>
        </w:rPr>
      </w:pPr>
      <w:r>
        <w:rPr>
          <w:rFonts w:hint="eastAsia" w:ascii="Arial" w:hAnsi="Arial" w:eastAsia="宋体" w:cs="Arial"/>
          <w:sz w:val="24"/>
          <w:szCs w:val="24"/>
          <w:u w:val="single"/>
        </w:rPr>
        <w:t>典型任务—质量计划</w:t>
      </w:r>
    </w:p>
    <w:p w14:paraId="771BF36F">
      <w:pPr>
        <w:pStyle w:val="14"/>
        <w:numPr>
          <w:ilvl w:val="0"/>
          <w:numId w:val="8"/>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风险（危害）管理计划</w:t>
      </w:r>
    </w:p>
    <w:p w14:paraId="7914B979">
      <w:pPr>
        <w:pStyle w:val="14"/>
        <w:numPr>
          <w:ilvl w:val="0"/>
          <w:numId w:val="8"/>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配置管理计划</w:t>
      </w:r>
    </w:p>
    <w:p w14:paraId="53AD4B3B">
      <w:pPr>
        <w:pStyle w:val="14"/>
        <w:numPr>
          <w:ilvl w:val="0"/>
          <w:numId w:val="8"/>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软件质量保证计划</w:t>
      </w:r>
    </w:p>
    <w:p w14:paraId="3F8149FD">
      <w:pPr>
        <w:pStyle w:val="14"/>
        <w:numPr>
          <w:ilvl w:val="1"/>
          <w:numId w:val="8"/>
        </w:numPr>
        <w:adjustRightInd w:val="0"/>
        <w:snapToGrid w:val="0"/>
        <w:spacing w:after="156" w:afterLines="50" w:line="300" w:lineRule="auto"/>
        <w:ind w:left="1320" w:leftChars="400" w:hanging="480" w:hangingChars="200"/>
        <w:jc w:val="left"/>
        <w:rPr>
          <w:rFonts w:ascii="Arial" w:hAnsi="Arial" w:eastAsia="宋体" w:cs="Arial"/>
          <w:sz w:val="24"/>
          <w:szCs w:val="24"/>
        </w:rPr>
      </w:pPr>
      <w:r>
        <w:rPr>
          <w:rFonts w:ascii="Arial" w:hAnsi="Arial" w:eastAsia="宋体" w:cs="Arial"/>
          <w:sz w:val="24"/>
          <w:szCs w:val="24"/>
        </w:rPr>
        <w:t>软件确认和验证计划</w:t>
      </w:r>
    </w:p>
    <w:p w14:paraId="10A1DF2E">
      <w:pPr>
        <w:pStyle w:val="14"/>
        <w:numPr>
          <w:ilvl w:val="2"/>
          <w:numId w:val="8"/>
        </w:numPr>
        <w:adjustRightInd w:val="0"/>
        <w:snapToGrid w:val="0"/>
        <w:spacing w:after="156" w:afterLines="50" w:line="300" w:lineRule="auto"/>
        <w:ind w:left="1740" w:leftChars="600" w:hanging="480" w:hangingChars="200"/>
        <w:jc w:val="left"/>
        <w:rPr>
          <w:rFonts w:ascii="Arial" w:hAnsi="Arial" w:eastAsia="宋体" w:cs="Arial"/>
          <w:sz w:val="24"/>
          <w:szCs w:val="24"/>
        </w:rPr>
      </w:pPr>
      <w:r>
        <w:rPr>
          <w:rFonts w:ascii="Arial" w:hAnsi="Arial" w:eastAsia="宋体" w:cs="Arial"/>
          <w:sz w:val="24"/>
          <w:szCs w:val="24"/>
        </w:rPr>
        <w:t>确认和验证任务及验收标准</w:t>
      </w:r>
    </w:p>
    <w:p w14:paraId="15FBBD05">
      <w:pPr>
        <w:pStyle w:val="14"/>
        <w:numPr>
          <w:ilvl w:val="2"/>
          <w:numId w:val="8"/>
        </w:numPr>
        <w:adjustRightInd w:val="0"/>
        <w:snapToGrid w:val="0"/>
        <w:spacing w:after="156" w:afterLines="50" w:line="300" w:lineRule="auto"/>
        <w:ind w:left="1740" w:leftChars="600" w:hanging="480" w:hangingChars="200"/>
        <w:jc w:val="left"/>
        <w:rPr>
          <w:rFonts w:ascii="Arial" w:hAnsi="Arial" w:eastAsia="宋体" w:cs="Arial"/>
          <w:sz w:val="24"/>
          <w:szCs w:val="24"/>
        </w:rPr>
      </w:pPr>
      <w:r>
        <w:rPr>
          <w:rFonts w:ascii="Arial" w:hAnsi="Arial" w:eastAsia="宋体" w:cs="Arial"/>
          <w:sz w:val="24"/>
          <w:szCs w:val="24"/>
        </w:rPr>
        <w:t>计划表和资源分配（用于软件确认和验证行为）</w:t>
      </w:r>
    </w:p>
    <w:p w14:paraId="337A22EE">
      <w:pPr>
        <w:pStyle w:val="14"/>
        <w:numPr>
          <w:ilvl w:val="2"/>
          <w:numId w:val="8"/>
        </w:numPr>
        <w:adjustRightInd w:val="0"/>
        <w:snapToGrid w:val="0"/>
        <w:spacing w:after="156" w:afterLines="50" w:line="300" w:lineRule="auto"/>
        <w:ind w:left="1740" w:leftChars="600" w:hanging="480" w:hangingChars="200"/>
        <w:jc w:val="left"/>
        <w:rPr>
          <w:rFonts w:ascii="Arial" w:hAnsi="Arial" w:eastAsia="宋体" w:cs="Arial"/>
          <w:sz w:val="24"/>
          <w:szCs w:val="24"/>
        </w:rPr>
      </w:pPr>
      <w:r>
        <w:rPr>
          <w:rFonts w:ascii="Arial" w:hAnsi="Arial" w:eastAsia="宋体" w:cs="Arial"/>
          <w:sz w:val="24"/>
          <w:szCs w:val="24"/>
        </w:rPr>
        <w:t>报告要求</w:t>
      </w:r>
    </w:p>
    <w:p w14:paraId="27CDF683">
      <w:pPr>
        <w:pStyle w:val="14"/>
        <w:numPr>
          <w:ilvl w:val="1"/>
          <w:numId w:val="8"/>
        </w:numPr>
        <w:adjustRightInd w:val="0"/>
        <w:snapToGrid w:val="0"/>
        <w:spacing w:after="156" w:afterLines="50" w:line="300" w:lineRule="auto"/>
        <w:ind w:left="1320" w:leftChars="400" w:hanging="480" w:hangingChars="200"/>
        <w:jc w:val="left"/>
        <w:rPr>
          <w:rFonts w:ascii="Arial" w:hAnsi="Arial" w:eastAsia="宋体" w:cs="Arial"/>
          <w:sz w:val="24"/>
          <w:szCs w:val="24"/>
        </w:rPr>
      </w:pPr>
      <w:r>
        <w:rPr>
          <w:rFonts w:ascii="Arial" w:hAnsi="Arial" w:eastAsia="宋体" w:cs="Arial"/>
          <w:sz w:val="24"/>
          <w:szCs w:val="24"/>
        </w:rPr>
        <w:t>正式设计审查要求</w:t>
      </w:r>
    </w:p>
    <w:p w14:paraId="1DCA4AD1">
      <w:pPr>
        <w:pStyle w:val="14"/>
        <w:numPr>
          <w:ilvl w:val="1"/>
          <w:numId w:val="8"/>
        </w:numPr>
        <w:adjustRightInd w:val="0"/>
        <w:snapToGrid w:val="0"/>
        <w:spacing w:after="156" w:afterLines="50" w:line="300" w:lineRule="auto"/>
        <w:ind w:left="1320" w:leftChars="400" w:hanging="480" w:hangingChars="200"/>
        <w:jc w:val="left"/>
        <w:rPr>
          <w:rFonts w:ascii="Arial" w:hAnsi="Arial" w:eastAsia="宋体" w:cs="Arial"/>
          <w:sz w:val="24"/>
          <w:szCs w:val="24"/>
        </w:rPr>
      </w:pPr>
      <w:r>
        <w:rPr>
          <w:rFonts w:ascii="Arial" w:hAnsi="Arial" w:eastAsia="宋体" w:cs="Arial"/>
          <w:sz w:val="24"/>
          <w:szCs w:val="24"/>
        </w:rPr>
        <w:t>其他技术审查要求</w:t>
      </w:r>
    </w:p>
    <w:p w14:paraId="013F6502">
      <w:pPr>
        <w:pStyle w:val="14"/>
        <w:numPr>
          <w:ilvl w:val="0"/>
          <w:numId w:val="8"/>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报告的问题和解决流程</w:t>
      </w:r>
    </w:p>
    <w:p w14:paraId="5489694C">
      <w:pPr>
        <w:pStyle w:val="14"/>
        <w:numPr>
          <w:ilvl w:val="0"/>
          <w:numId w:val="8"/>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其他支持行为</w:t>
      </w:r>
    </w:p>
    <w:p w14:paraId="6A1C3F4D">
      <w:pPr>
        <w:adjustRightInd w:val="0"/>
        <w:snapToGrid w:val="0"/>
        <w:spacing w:after="312" w:afterLines="100" w:line="300" w:lineRule="auto"/>
        <w:jc w:val="left"/>
        <w:outlineLvl w:val="2"/>
        <w:rPr>
          <w:rFonts w:ascii="Arial" w:hAnsi="Arial" w:eastAsia="宋体" w:cs="Arial"/>
          <w:b/>
          <w:sz w:val="24"/>
          <w:szCs w:val="24"/>
        </w:rPr>
      </w:pPr>
      <w:bookmarkStart w:id="47" w:name="_Toc484792190"/>
      <w:r>
        <w:rPr>
          <w:rFonts w:ascii="Arial" w:hAnsi="Arial" w:eastAsia="宋体" w:cs="Arial"/>
          <w:b/>
          <w:sz w:val="24"/>
          <w:szCs w:val="24"/>
        </w:rPr>
        <w:t>5.2.2</w:t>
      </w:r>
      <w:r>
        <w:rPr>
          <w:rFonts w:hint="eastAsia" w:ascii="Arial" w:hAnsi="Arial" w:eastAsia="宋体" w:cs="Arial"/>
          <w:b/>
          <w:sz w:val="24"/>
          <w:szCs w:val="24"/>
        </w:rPr>
        <w:tab/>
      </w:r>
      <w:r>
        <w:rPr>
          <w:rFonts w:ascii="Arial" w:hAnsi="Arial" w:eastAsia="宋体" w:cs="Arial"/>
          <w:b/>
          <w:sz w:val="24"/>
          <w:szCs w:val="24"/>
        </w:rPr>
        <w:t>要求</w:t>
      </w:r>
      <w:bookmarkEnd w:id="47"/>
    </w:p>
    <w:p w14:paraId="5E77E268">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要求开发包括医疗器械及其预期用途相关信息的确定、分析和记录。特别重要的部分包括系统功能在硬件/软件中的分配、操作状态、用户特性、潜在危害和预期任务。另外，要求还应当清晰地说明软件的预期用途。</w:t>
      </w:r>
    </w:p>
    <w:p w14:paraId="15369A4E">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软件要求规格文档应当包含关于软件功能的书面定义。在没有预先确定并记录软件要求的情况下进行软件验证是不可能的。典型的软件要求规定了如下内容：</w:t>
      </w:r>
    </w:p>
    <w:p w14:paraId="24EF0DD3">
      <w:pPr>
        <w:pStyle w:val="14"/>
        <w:numPr>
          <w:ilvl w:val="0"/>
          <w:numId w:val="9"/>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所有的软件系统输入；</w:t>
      </w:r>
    </w:p>
    <w:p w14:paraId="6A0CC279">
      <w:pPr>
        <w:pStyle w:val="14"/>
        <w:numPr>
          <w:ilvl w:val="0"/>
          <w:numId w:val="9"/>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所有的软件系统输出；</w:t>
      </w:r>
    </w:p>
    <w:p w14:paraId="64970994">
      <w:pPr>
        <w:pStyle w:val="14"/>
        <w:numPr>
          <w:ilvl w:val="0"/>
          <w:numId w:val="9"/>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软件系统要执行的全部功能；</w:t>
      </w:r>
    </w:p>
    <w:p w14:paraId="0BECA9A0">
      <w:pPr>
        <w:pStyle w:val="14"/>
        <w:numPr>
          <w:ilvl w:val="0"/>
          <w:numId w:val="9"/>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软件需要满足的所有性能要求，（如数据吞吐量、可信性以及定时）；</w:t>
      </w:r>
    </w:p>
    <w:p w14:paraId="6FE0C536">
      <w:pPr>
        <w:pStyle w:val="14"/>
        <w:numPr>
          <w:ilvl w:val="0"/>
          <w:numId w:val="9"/>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所有外部和用户接口，以及内部软件与系统接口的定义；</w:t>
      </w:r>
    </w:p>
    <w:p w14:paraId="5FD54180">
      <w:pPr>
        <w:pStyle w:val="14"/>
        <w:numPr>
          <w:ilvl w:val="0"/>
          <w:numId w:val="9"/>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用户如何与系统交互；</w:t>
      </w:r>
    </w:p>
    <w:p w14:paraId="32B533E8">
      <w:pPr>
        <w:pStyle w:val="14"/>
        <w:numPr>
          <w:ilvl w:val="0"/>
          <w:numId w:val="9"/>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错误的构成以及处理错误的方法；</w:t>
      </w:r>
    </w:p>
    <w:p w14:paraId="2738FDD6">
      <w:pPr>
        <w:pStyle w:val="14"/>
        <w:numPr>
          <w:ilvl w:val="0"/>
          <w:numId w:val="9"/>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所需的相应时间；</w:t>
      </w:r>
    </w:p>
    <w:p w14:paraId="387C2357">
      <w:pPr>
        <w:pStyle w:val="14"/>
        <w:numPr>
          <w:ilvl w:val="0"/>
          <w:numId w:val="9"/>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如果是设计限制的话，应当指出软件预期的运行环境（如硬件平台、操作系统）；</w:t>
      </w:r>
    </w:p>
    <w:p w14:paraId="13B359DD">
      <w:pPr>
        <w:pStyle w:val="14"/>
        <w:numPr>
          <w:ilvl w:val="0"/>
          <w:numId w:val="9"/>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所有软件可接收的范围值、限制值、默认值以及特定值；以及</w:t>
      </w:r>
    </w:p>
    <w:p w14:paraId="104C9247">
      <w:pPr>
        <w:pStyle w:val="14"/>
        <w:numPr>
          <w:ilvl w:val="0"/>
          <w:numId w:val="9"/>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软件拟实施的所有与安全相关的要求、规格、特征或功能。</w:t>
      </w:r>
    </w:p>
    <w:p w14:paraId="728FD9FA">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安全要求来自于与系统要求开发流程紧密相连的技术风险管理流程。软件要求规格应当明确确定系统软件故障能够引发的潜在危害，以及软件需要实施的安全要求。需要对软件故障的结果进行评估，同时也要对减少该故障的措施进行评估（如通过硬件减少故障、防错性程序设计等）。通过这些分析，应当能够确定预防危害最恰当的必要措施。</w:t>
      </w:r>
    </w:p>
    <w:p w14:paraId="1486A70E">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质量系统法规要求建立解决不完整、模糊或相互冲突的要求的机制。（见21 CFR 820.30（c）。）软件要求规格中所确定的每项要求（如硬件、软件、用户、操作员界面以及安全性）应当进行准确性、完整性、一致性、可检测性、正确性和清晰性方面的评估。例如，软件要求应当进行评估并确认以下内容：</w:t>
      </w:r>
    </w:p>
    <w:p w14:paraId="5D3D3528">
      <w:pPr>
        <w:pStyle w:val="14"/>
        <w:numPr>
          <w:ilvl w:val="0"/>
          <w:numId w:val="10"/>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各种要求间不存在内部不一致性；</w:t>
      </w:r>
    </w:p>
    <w:p w14:paraId="7F763777">
      <w:pPr>
        <w:pStyle w:val="14"/>
        <w:numPr>
          <w:ilvl w:val="0"/>
          <w:numId w:val="10"/>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系统的所有性能要求均清晰阐明；</w:t>
      </w:r>
    </w:p>
    <w:p w14:paraId="17C90DB8">
      <w:pPr>
        <w:pStyle w:val="14"/>
        <w:numPr>
          <w:ilvl w:val="0"/>
          <w:numId w:val="10"/>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错误耐受度、安全性和保障性要求均完整恰当；</w:t>
      </w:r>
    </w:p>
    <w:p w14:paraId="671A040A">
      <w:pPr>
        <w:pStyle w:val="14"/>
        <w:numPr>
          <w:ilvl w:val="0"/>
          <w:numId w:val="10"/>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软件功能的分配准确完整；</w:t>
      </w:r>
    </w:p>
    <w:p w14:paraId="2C54B73B">
      <w:pPr>
        <w:pStyle w:val="14"/>
        <w:numPr>
          <w:ilvl w:val="0"/>
          <w:numId w:val="10"/>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软件要求适合于系统危害情况；以及</w:t>
      </w:r>
    </w:p>
    <w:p w14:paraId="21B1281D">
      <w:pPr>
        <w:pStyle w:val="14"/>
        <w:numPr>
          <w:ilvl w:val="0"/>
          <w:numId w:val="10"/>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所有的研究均使用可测量的或可客观确认的语言叙述。</w:t>
      </w:r>
    </w:p>
    <w:p w14:paraId="2A6AD1B5">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应当执行软件要求的可追溯性分析来将软件要求追溯至（以及从）系统要求和风险分析结果。除了各种用于确认软件要求的其他分析和记录外，还建议在软件设计工作全面展开前进行一项规划式设计审查来确认要求明确且恰当。要求可以分批审批和发布，但需要注意软件（和硬件）要求之间的交互和接口应当进行恰当地审查、分析和控制。</w:t>
      </w:r>
    </w:p>
    <w:p w14:paraId="64C8A591">
      <w:pPr>
        <w:adjustRightInd w:val="0"/>
        <w:snapToGrid w:val="0"/>
        <w:spacing w:after="312" w:afterLines="100" w:line="300" w:lineRule="auto"/>
        <w:jc w:val="left"/>
        <w:rPr>
          <w:rFonts w:ascii="Arial" w:hAnsi="Arial" w:eastAsia="宋体" w:cs="Arial"/>
          <w:sz w:val="24"/>
          <w:szCs w:val="24"/>
          <w:u w:val="single"/>
        </w:rPr>
      </w:pPr>
      <w:r>
        <w:rPr>
          <w:rFonts w:hint="eastAsia" w:ascii="Arial" w:hAnsi="Arial" w:eastAsia="宋体" w:cs="Arial"/>
          <w:sz w:val="24"/>
          <w:szCs w:val="24"/>
          <w:u w:val="single"/>
        </w:rPr>
        <w:t>典型的任务—要求</w:t>
      </w:r>
    </w:p>
    <w:p w14:paraId="631E66EF">
      <w:pPr>
        <w:pStyle w:val="14"/>
        <w:numPr>
          <w:ilvl w:val="0"/>
          <w:numId w:val="11"/>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初步的风险分析</w:t>
      </w:r>
    </w:p>
    <w:p w14:paraId="73B4A4D4">
      <w:pPr>
        <w:pStyle w:val="14"/>
        <w:numPr>
          <w:ilvl w:val="0"/>
          <w:numId w:val="11"/>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可追溯性分析</w:t>
      </w:r>
    </w:p>
    <w:p w14:paraId="7452BC48">
      <w:pPr>
        <w:pStyle w:val="14"/>
        <w:numPr>
          <w:ilvl w:val="1"/>
          <w:numId w:val="11"/>
        </w:numPr>
        <w:adjustRightInd w:val="0"/>
        <w:snapToGrid w:val="0"/>
        <w:spacing w:line="300" w:lineRule="auto"/>
        <w:ind w:left="839" w:firstLine="0" w:firstLineChars="0"/>
        <w:jc w:val="left"/>
        <w:rPr>
          <w:rFonts w:ascii="Arial" w:hAnsi="Arial" w:eastAsia="宋体" w:cs="Arial"/>
          <w:sz w:val="24"/>
          <w:szCs w:val="24"/>
        </w:rPr>
      </w:pPr>
      <w:r>
        <w:rPr>
          <w:rFonts w:ascii="Arial" w:hAnsi="Arial" w:eastAsia="宋体" w:cs="Arial"/>
          <w:sz w:val="24"/>
          <w:szCs w:val="24"/>
        </w:rPr>
        <w:t>从软件要求到系统要求（反之亦然）</w:t>
      </w:r>
    </w:p>
    <w:p w14:paraId="27BBD9CE">
      <w:pPr>
        <w:pStyle w:val="14"/>
        <w:numPr>
          <w:ilvl w:val="1"/>
          <w:numId w:val="11"/>
        </w:numPr>
        <w:adjustRightInd w:val="0"/>
        <w:snapToGrid w:val="0"/>
        <w:spacing w:line="300" w:lineRule="auto"/>
        <w:ind w:left="839" w:firstLine="0" w:firstLineChars="0"/>
        <w:jc w:val="left"/>
        <w:rPr>
          <w:rFonts w:ascii="Arial" w:hAnsi="Arial" w:eastAsia="宋体" w:cs="Arial"/>
          <w:sz w:val="24"/>
          <w:szCs w:val="24"/>
        </w:rPr>
      </w:pPr>
      <w:r>
        <w:rPr>
          <w:rFonts w:ascii="Arial" w:hAnsi="Arial" w:eastAsia="宋体" w:cs="Arial"/>
          <w:sz w:val="24"/>
          <w:szCs w:val="24"/>
        </w:rPr>
        <w:t>从软件要求到风险分析</w:t>
      </w:r>
    </w:p>
    <w:p w14:paraId="23853F03">
      <w:pPr>
        <w:pStyle w:val="14"/>
        <w:numPr>
          <w:ilvl w:val="0"/>
          <w:numId w:val="11"/>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用户特征描述</w:t>
      </w:r>
    </w:p>
    <w:p w14:paraId="3A5BE83C">
      <w:pPr>
        <w:pStyle w:val="14"/>
        <w:numPr>
          <w:ilvl w:val="0"/>
          <w:numId w:val="11"/>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列举主副存储器的特点和局限性</w:t>
      </w:r>
    </w:p>
    <w:p w14:paraId="14C3A6C5">
      <w:pPr>
        <w:pStyle w:val="14"/>
        <w:numPr>
          <w:ilvl w:val="0"/>
          <w:numId w:val="11"/>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软件要求评估</w:t>
      </w:r>
    </w:p>
    <w:p w14:paraId="38D654EC">
      <w:pPr>
        <w:pStyle w:val="14"/>
        <w:numPr>
          <w:ilvl w:val="0"/>
          <w:numId w:val="11"/>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软件用户界面要求分析</w:t>
      </w:r>
    </w:p>
    <w:p w14:paraId="3A44ACD3">
      <w:pPr>
        <w:pStyle w:val="14"/>
        <w:numPr>
          <w:ilvl w:val="0"/>
          <w:numId w:val="11"/>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系统测试计划生成</w:t>
      </w:r>
    </w:p>
    <w:p w14:paraId="63B9DB94">
      <w:pPr>
        <w:pStyle w:val="14"/>
        <w:numPr>
          <w:ilvl w:val="0"/>
          <w:numId w:val="11"/>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验收测试计划生成</w:t>
      </w:r>
    </w:p>
    <w:p w14:paraId="568B458E">
      <w:pPr>
        <w:pStyle w:val="14"/>
        <w:numPr>
          <w:ilvl w:val="0"/>
          <w:numId w:val="11"/>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模糊审查或分析</w:t>
      </w:r>
    </w:p>
    <w:p w14:paraId="70706795">
      <w:pPr>
        <w:adjustRightInd w:val="0"/>
        <w:snapToGrid w:val="0"/>
        <w:spacing w:after="312" w:afterLines="100" w:line="300" w:lineRule="auto"/>
        <w:jc w:val="left"/>
        <w:outlineLvl w:val="2"/>
        <w:rPr>
          <w:rFonts w:ascii="Arial" w:hAnsi="Arial" w:eastAsia="宋体" w:cs="Arial"/>
          <w:b/>
          <w:sz w:val="24"/>
          <w:szCs w:val="24"/>
        </w:rPr>
      </w:pPr>
      <w:bookmarkStart w:id="48" w:name="_Toc484792191"/>
      <w:r>
        <w:rPr>
          <w:rFonts w:ascii="Arial" w:hAnsi="Arial" w:eastAsia="宋体" w:cs="Arial"/>
          <w:b/>
          <w:sz w:val="24"/>
          <w:szCs w:val="24"/>
        </w:rPr>
        <w:t>5.2.3</w:t>
      </w:r>
      <w:r>
        <w:rPr>
          <w:rFonts w:hint="eastAsia" w:ascii="Arial" w:hAnsi="Arial" w:eastAsia="宋体" w:cs="Arial"/>
          <w:b/>
          <w:sz w:val="24"/>
          <w:szCs w:val="24"/>
        </w:rPr>
        <w:tab/>
      </w:r>
      <w:r>
        <w:rPr>
          <w:rFonts w:ascii="Arial" w:hAnsi="Arial" w:eastAsia="宋体" w:cs="Arial"/>
          <w:b/>
          <w:sz w:val="24"/>
          <w:szCs w:val="24"/>
        </w:rPr>
        <w:t>设计</w:t>
      </w:r>
      <w:bookmarkEnd w:id="48"/>
    </w:p>
    <w:p w14:paraId="58F8B93B">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设计过程中，软件要求规格转化为针对待实施软件的逻辑性和实际性的描述。软件设计规格是软件要做什么以及软件如何做的描述。由于项目的复杂性或者为了让不同等级、承担不同技术责任的人员清晰地理解设计信息，设计规格可能会同时包含设计的高度概括信息以及详细的设计信息。软件设计规格完成后会将程序员/编程员限制在商定的要求和设计范围内。完成的软件设计规格能够避免工程师进行点对点设计决策。</w:t>
      </w:r>
    </w:p>
    <w:p w14:paraId="6B253FAB">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设计需要解决人为因素。由于设计过于复杂，或者与用户操作过程中的直观期望相反而引起的使用错误是FDA遇到的最为常见和严重的问题之一。通常软件的设计是造成这种使用错误的因素之一。人因工程应当融入整个设计和开发流程，包括器械设计要求、分析和测试。在开发流程图、状态图、原型工具和测试计划中均</w:t>
      </w:r>
      <w:r>
        <w:rPr>
          <w:rFonts w:ascii="Arial" w:hAnsi="Arial" w:eastAsia="宋体" w:cs="Arial"/>
          <w:kern w:val="0"/>
          <w:sz w:val="24"/>
          <w:szCs w:val="24"/>
        </w:rPr>
        <w:t>应当考虑</w:t>
      </w:r>
      <w:r>
        <w:rPr>
          <w:rFonts w:ascii="Arial" w:hAnsi="Arial" w:eastAsia="宋体" w:cs="Arial"/>
          <w:sz w:val="24"/>
          <w:szCs w:val="24"/>
        </w:rPr>
        <w:t>器械安全性和可用性因素。同时还应当执行任务和功能分析、风险分析、原型测试和审查以及完整的可用性测试。在实施这些方法时应当纳入来自用户人群的参与者。</w:t>
      </w:r>
    </w:p>
    <w:p w14:paraId="33B3CB15">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软件设计规格应当包括：</w:t>
      </w:r>
    </w:p>
    <w:p w14:paraId="21830418">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软件要求规格，包括预先确定的软件验收标准；</w:t>
      </w:r>
    </w:p>
    <w:p w14:paraId="71782857">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软件风险分析；</w:t>
      </w:r>
    </w:p>
    <w:p w14:paraId="3B5A5DC0">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开发流程和编程指南（或其他编程流程）；</w:t>
      </w:r>
    </w:p>
    <w:p w14:paraId="08073593">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描述程序拟运行的系统背景的系统文档（如语言描述或环境描述图），包括硬件、软件与物理环境的关系；</w:t>
      </w:r>
    </w:p>
    <w:p w14:paraId="15633F1F">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使用的硬件；</w:t>
      </w:r>
    </w:p>
    <w:p w14:paraId="7C1D470C">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测量或记录的参数；</w:t>
      </w:r>
    </w:p>
    <w:p w14:paraId="404FA5DD">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逻辑结构（包括控制逻辑）和逻辑流程步骤（如算法）；</w:t>
      </w:r>
    </w:p>
    <w:p w14:paraId="41A75589">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数据结构和数据流程图；</w:t>
      </w:r>
    </w:p>
    <w:p w14:paraId="132B9C19">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变量定义（控制和数据）和这些变量使用环境的描述；</w:t>
      </w:r>
    </w:p>
    <w:p w14:paraId="26371CCE">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错误、报警和警告信息；</w:t>
      </w:r>
    </w:p>
    <w:p w14:paraId="166D1FDE">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支持性软件（如操作系统、驱动程序及其他应用软件）；</w:t>
      </w:r>
    </w:p>
    <w:p w14:paraId="40C4C1B2">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通信线路（软件内部模块间的连接、与支持性软件的连接、与硬件的连接、与用户的</w:t>
      </w:r>
      <w:bookmarkStart w:id="49" w:name="OLE_LINK6"/>
      <w:bookmarkStart w:id="50" w:name="OLE_LINK7"/>
      <w:r>
        <w:rPr>
          <w:rFonts w:ascii="Arial" w:hAnsi="Arial" w:eastAsia="宋体" w:cs="Arial"/>
          <w:sz w:val="24"/>
          <w:szCs w:val="24"/>
        </w:rPr>
        <w:t>连接</w:t>
      </w:r>
      <w:bookmarkEnd w:id="49"/>
      <w:bookmarkEnd w:id="50"/>
      <w:r>
        <w:rPr>
          <w:rFonts w:ascii="Arial" w:hAnsi="Arial" w:eastAsia="宋体" w:cs="Arial"/>
          <w:sz w:val="24"/>
          <w:szCs w:val="24"/>
        </w:rPr>
        <w:t>）；</w:t>
      </w:r>
    </w:p>
    <w:p w14:paraId="7BE4F0A2">
      <w:pPr>
        <w:pStyle w:val="14"/>
        <w:numPr>
          <w:ilvl w:val="0"/>
          <w:numId w:val="12"/>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安全措施（物理和逻辑安全措施）；以及</w:t>
      </w:r>
    </w:p>
    <w:p w14:paraId="40A11ADF">
      <w:pPr>
        <w:pStyle w:val="14"/>
        <w:numPr>
          <w:ilvl w:val="0"/>
          <w:numId w:val="12"/>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上述内容未指明的其他局限性。</w:t>
      </w:r>
    </w:p>
    <w:p w14:paraId="5B62868A">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上述的前四条内容通常为独立的已有文件，软件设计规格可以直接引用。软件要求规格在关于软件风险分析的前述章节已有讨论。书面开发流程能够作为组织的指南，书面编程流程能够作为每位程序员的指南。因为软件的验证无法脱离其所发挥功能的环境知识，因此还需要参考系统文档。如果上述的内容有部分不包含与软件中，则清晰地陈述这些情况（如程序中没有错误信息）对于将来软件的审查者和维护者将会有所帮助。</w:t>
      </w:r>
    </w:p>
    <w:p w14:paraId="731680EE">
      <w:pPr>
        <w:widowControl/>
        <w:jc w:val="left"/>
        <w:rPr>
          <w:rFonts w:ascii="Arial" w:hAnsi="Arial" w:eastAsia="宋体" w:cs="Arial"/>
          <w:sz w:val="24"/>
          <w:szCs w:val="24"/>
        </w:rPr>
      </w:pPr>
      <w:r>
        <w:rPr>
          <w:rFonts w:ascii="Arial" w:hAnsi="Arial" w:eastAsia="宋体" w:cs="Arial"/>
          <w:sz w:val="24"/>
          <w:szCs w:val="24"/>
        </w:rPr>
        <w:br w:type="page"/>
      </w:r>
    </w:p>
    <w:p w14:paraId="59235D0E">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软件设计过程中的这些工作有几个原因。进行软件设计评估是为了确定设计是否完整、正确、一致、准确、可行以及可维护。在设计过程中适当考虑软件结构（如模块结构）能够降低将来需要对软件进行更改时的验证工作规模。软件设计评估可能包括对控制流、数据流、复杂度、定时、选型、内存分配、关键性分析以及许多设计其他方面的分析。需要进行可追溯性分析来确认软件设计满足了所有的</w:t>
      </w:r>
      <w:bookmarkStart w:id="51" w:name="OLE_LINK27"/>
      <w:bookmarkStart w:id="52" w:name="OLE_LINK28"/>
      <w:r>
        <w:rPr>
          <w:rFonts w:ascii="Arial" w:hAnsi="Arial" w:eastAsia="宋体" w:cs="Arial"/>
          <w:sz w:val="24"/>
          <w:szCs w:val="24"/>
        </w:rPr>
        <w:t>软件要求。</w:t>
      </w:r>
      <w:bookmarkEnd w:id="51"/>
      <w:bookmarkEnd w:id="52"/>
      <w:r>
        <w:rPr>
          <w:rFonts w:ascii="Arial" w:hAnsi="Arial" w:eastAsia="宋体" w:cs="Arial"/>
          <w:sz w:val="24"/>
          <w:szCs w:val="24"/>
        </w:rPr>
        <w:t>作为一种识别不满足需求部分的技术，可追溯性分析也应当确认设计的所有方面均可追溯至软件要求。需要进行通信线路的分析来评估提出的设计与硬件、用户及相关的软件要求的关系。软件风险分析应当重新进行检查，确定是否有新的危害发现以及设计是否引入了新的危害。</w:t>
      </w:r>
    </w:p>
    <w:p w14:paraId="538734A9">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软件设计工作的最后、实施设计之前，应当进行一项规划式设计审查来确认该设计正确、一致、完整、准确和可测试。设计的各个部分可以分多次批准和发布用于实施；但应当注意对不同部分之间的交互和通信线路进行适当的审查、分析和控制。</w:t>
      </w:r>
    </w:p>
    <w:p w14:paraId="3E604D93">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大多数软件开发模型是迭代式的。这可能导致软件要求规格和软件设计规格都有若干个版本。所有获批的版本都应当根据确定的配置管理流程实现和控制。</w:t>
      </w:r>
    </w:p>
    <w:p w14:paraId="35CB9140">
      <w:pPr>
        <w:adjustRightInd w:val="0"/>
        <w:snapToGrid w:val="0"/>
        <w:spacing w:after="312" w:afterLines="100" w:line="300" w:lineRule="auto"/>
        <w:jc w:val="left"/>
        <w:rPr>
          <w:rFonts w:ascii="Arial" w:hAnsi="Arial" w:eastAsia="宋体" w:cs="Arial"/>
          <w:sz w:val="24"/>
          <w:szCs w:val="24"/>
          <w:u w:val="single"/>
        </w:rPr>
      </w:pPr>
      <w:r>
        <w:rPr>
          <w:rFonts w:hint="eastAsia" w:ascii="Arial" w:hAnsi="Arial" w:eastAsia="宋体" w:cs="Arial"/>
          <w:sz w:val="24"/>
          <w:szCs w:val="24"/>
          <w:u w:val="single"/>
        </w:rPr>
        <w:t>典型任务—设计</w:t>
      </w:r>
    </w:p>
    <w:p w14:paraId="264A6F12">
      <w:pPr>
        <w:pStyle w:val="14"/>
        <w:numPr>
          <w:ilvl w:val="0"/>
          <w:numId w:val="13"/>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更新的软件风险分析</w:t>
      </w:r>
    </w:p>
    <w:p w14:paraId="5B4F62B3">
      <w:pPr>
        <w:pStyle w:val="14"/>
        <w:numPr>
          <w:ilvl w:val="0"/>
          <w:numId w:val="13"/>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可追溯性分析—从设计规格到软件要求（反之亦然）</w:t>
      </w:r>
    </w:p>
    <w:p w14:paraId="42E7AC7F">
      <w:pPr>
        <w:pStyle w:val="14"/>
        <w:numPr>
          <w:ilvl w:val="0"/>
          <w:numId w:val="13"/>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软件设计评估</w:t>
      </w:r>
    </w:p>
    <w:p w14:paraId="0C5B6083">
      <w:pPr>
        <w:pStyle w:val="14"/>
        <w:numPr>
          <w:ilvl w:val="0"/>
          <w:numId w:val="13"/>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设计通信线路分析</w:t>
      </w:r>
    </w:p>
    <w:p w14:paraId="7442E7A4">
      <w:pPr>
        <w:pStyle w:val="14"/>
        <w:numPr>
          <w:ilvl w:val="0"/>
          <w:numId w:val="13"/>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模块测试计划生成</w:t>
      </w:r>
    </w:p>
    <w:p w14:paraId="604A42E7">
      <w:pPr>
        <w:pStyle w:val="14"/>
        <w:numPr>
          <w:ilvl w:val="0"/>
          <w:numId w:val="13"/>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集成测试计划生成</w:t>
      </w:r>
    </w:p>
    <w:p w14:paraId="62C8530B">
      <w:pPr>
        <w:pStyle w:val="14"/>
        <w:numPr>
          <w:ilvl w:val="0"/>
          <w:numId w:val="13"/>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测试设计生成（模块、集成、系统和可接受性）</w:t>
      </w:r>
    </w:p>
    <w:p w14:paraId="50C50D2F">
      <w:pPr>
        <w:widowControl/>
        <w:jc w:val="left"/>
        <w:rPr>
          <w:rFonts w:ascii="Arial" w:hAnsi="Arial" w:eastAsia="宋体" w:cs="Arial"/>
          <w:sz w:val="24"/>
          <w:szCs w:val="24"/>
        </w:rPr>
      </w:pPr>
      <w:r>
        <w:rPr>
          <w:rFonts w:ascii="Arial" w:hAnsi="Arial" w:eastAsia="宋体" w:cs="Arial"/>
          <w:sz w:val="24"/>
          <w:szCs w:val="24"/>
        </w:rPr>
        <w:br w:type="page"/>
      </w:r>
    </w:p>
    <w:p w14:paraId="22A77420">
      <w:pPr>
        <w:adjustRightInd w:val="0"/>
        <w:snapToGrid w:val="0"/>
        <w:spacing w:after="312" w:afterLines="100" w:line="300" w:lineRule="auto"/>
        <w:jc w:val="left"/>
        <w:outlineLvl w:val="2"/>
        <w:rPr>
          <w:rFonts w:ascii="Arial" w:hAnsi="Arial" w:eastAsia="宋体" w:cs="Arial"/>
          <w:b/>
          <w:sz w:val="24"/>
          <w:szCs w:val="24"/>
        </w:rPr>
      </w:pPr>
      <w:bookmarkStart w:id="53" w:name="_Toc484792192"/>
      <w:r>
        <w:rPr>
          <w:rFonts w:ascii="Arial" w:hAnsi="Arial" w:eastAsia="宋体" w:cs="Arial"/>
          <w:b/>
          <w:sz w:val="24"/>
          <w:szCs w:val="24"/>
        </w:rPr>
        <w:t>5.2.4</w:t>
      </w:r>
      <w:r>
        <w:rPr>
          <w:rFonts w:hint="eastAsia" w:ascii="Arial" w:hAnsi="Arial" w:eastAsia="宋体" w:cs="Arial"/>
          <w:b/>
          <w:sz w:val="24"/>
          <w:szCs w:val="24"/>
        </w:rPr>
        <w:tab/>
      </w:r>
      <w:r>
        <w:rPr>
          <w:rFonts w:ascii="Arial" w:hAnsi="Arial" w:eastAsia="宋体" w:cs="Arial"/>
          <w:b/>
          <w:sz w:val="24"/>
          <w:szCs w:val="24"/>
        </w:rPr>
        <w:t>构造或编程</w:t>
      </w:r>
      <w:bookmarkEnd w:id="53"/>
    </w:p>
    <w:p w14:paraId="3688D959">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用于新应用的软件可以通过编写代码（如编程）或通过将已有的软件组件组装（如从代码库、现成软件等）的方式来构造。编写代码是将详细的设计规格通过源代码的形式实施的过程。编写代码是软件开发流程概念的最低抽象水平。这是分解软件需求、将模块规格转化为编程语言的最后一步。</w:t>
      </w:r>
    </w:p>
    <w:p w14:paraId="4A365350">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编写代码通常会使用高级的编程语言，但对于时间要求严格的操作也可能使用汇编语言（或微代码）。源代码在应用于目标硬件平台时可能会进行编译或解释。在选择编程语言和软件构建工具（汇编器、连接器和编译器）时应当考虑与之对应的质量评估任务（如选择的编程语言是否有调试和测试工具）的影响。一些编译器提供了可供选择的用于错误检查的水平和指令，用于辅助代码调试。不同等级的错误检查工具在整个代码编写过程中均可使用，编译器的警告或其他信息也可能会记录或不记录。但在代码编写和调解阶段的最后，通常会进行最为严谨的错误检查，用于记录软件中仍然存在的编译错误。如果在软件最后的源代码转译过程中没有使用最为严格的错误检查方式，则需要记录使用较为宽松的转移错误检查方式的正当理由。同时，在最后的编译过程中应当记录编译过程及结果，包括所有的警告或来自编译器的其他信息以及解决方式，或者记录不解决这些问题的正当理由。</w:t>
      </w:r>
    </w:p>
    <w:p w14:paraId="7FFDF459">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公司经常使用特定的代码指南，这些指南规定了与软件代码编写过程相关的质量策略和流程。需要对源代码进行评估，以确认其符合特定的代码指南。上述指南应当包括与清晰性、代码风格、复杂度管理以及注释相关的编码惯例。代码注释应当提供模块有用的描述性信息，包括预期的输入和输出、引用的变量、预期的数据类型以及要进行的操作。应当对源代码进行评估已确认其符合相应的详细设计规格。已经完成并准备好进行集成和测试的模块应当记录其是否符合代码指南及其他适用的质量政策和流程。</w:t>
      </w:r>
    </w:p>
    <w:p w14:paraId="14468F55">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源代码评估常采用代码检查和代码走读的形式进行。这种静态分析为代码执行前检测错误提供了非常有效的方法。通过这种方法可以单独检查每一项错误，还可以帮助聚焦随后的软件动态测试。公司可以使用手动（人工）检查以及恰当的控制来确保一致性和独立性。源代码的评估应当扩展到不同模块和层（水平和垂直接口）之间的内部连接的验证，以及其是否符合设计规格。所使用的流程记录以及源代码评估的结果应当作为设计确认的一部分。</w:t>
      </w:r>
    </w:p>
    <w:p w14:paraId="12F0826C">
      <w:pPr>
        <w:widowControl/>
        <w:jc w:val="left"/>
        <w:rPr>
          <w:rFonts w:ascii="Arial" w:hAnsi="Arial" w:eastAsia="宋体" w:cs="Arial"/>
          <w:sz w:val="24"/>
          <w:szCs w:val="24"/>
        </w:rPr>
      </w:pPr>
      <w:r>
        <w:rPr>
          <w:rFonts w:ascii="Arial" w:hAnsi="Arial" w:eastAsia="宋体" w:cs="Arial"/>
          <w:sz w:val="24"/>
          <w:szCs w:val="24"/>
        </w:rPr>
        <w:br w:type="page"/>
      </w:r>
    </w:p>
    <w:p w14:paraId="71967D1B">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源代码的可追溯性分析是一种确认所有代码均连接到已确定规格和测试流程的重要工具。源代码可追溯性分析应当执行并记录以下内容的确认情况：</w:t>
      </w:r>
    </w:p>
    <w:p w14:paraId="4A04A251">
      <w:pPr>
        <w:pStyle w:val="14"/>
        <w:numPr>
          <w:ilvl w:val="0"/>
          <w:numId w:val="14"/>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软件设计规格的每个部分均在代码中实现；</w:t>
      </w:r>
    </w:p>
    <w:p w14:paraId="5DF5A032">
      <w:pPr>
        <w:pStyle w:val="14"/>
        <w:numPr>
          <w:ilvl w:val="0"/>
          <w:numId w:val="14"/>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代码实现的模块和功能能够追溯到软件设计规格和风险分析中的内容；</w:t>
      </w:r>
    </w:p>
    <w:p w14:paraId="17261AB7">
      <w:pPr>
        <w:pStyle w:val="14"/>
        <w:numPr>
          <w:ilvl w:val="0"/>
          <w:numId w:val="14"/>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模块和功能的测试可以追溯到软件设计规格和风险分析中的内容；以及</w:t>
      </w:r>
    </w:p>
    <w:p w14:paraId="59FC33CC">
      <w:pPr>
        <w:pStyle w:val="14"/>
        <w:numPr>
          <w:ilvl w:val="0"/>
          <w:numId w:val="14"/>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模块和功能的测试可以追溯到同一模块和功能的源代码。</w:t>
      </w:r>
    </w:p>
    <w:p w14:paraId="2182534F">
      <w:pPr>
        <w:adjustRightInd w:val="0"/>
        <w:snapToGrid w:val="0"/>
        <w:spacing w:after="312" w:afterLines="100" w:line="300" w:lineRule="auto"/>
        <w:jc w:val="left"/>
        <w:rPr>
          <w:rFonts w:ascii="Arial" w:hAnsi="Arial" w:eastAsia="宋体" w:cs="Arial"/>
          <w:sz w:val="24"/>
          <w:szCs w:val="24"/>
          <w:u w:val="single"/>
        </w:rPr>
      </w:pPr>
      <w:r>
        <w:rPr>
          <w:rFonts w:hint="eastAsia" w:ascii="Arial" w:hAnsi="Arial" w:eastAsia="宋体" w:cs="Arial"/>
          <w:sz w:val="24"/>
          <w:szCs w:val="24"/>
          <w:u w:val="single"/>
        </w:rPr>
        <w:t>典型任务—构建</w:t>
      </w:r>
      <w:r>
        <w:rPr>
          <w:rFonts w:ascii="Arial" w:hAnsi="Arial" w:eastAsia="宋体" w:cs="Arial"/>
          <w:sz w:val="24"/>
          <w:szCs w:val="24"/>
          <w:u w:val="single"/>
        </w:rPr>
        <w:t>或</w:t>
      </w:r>
      <w:r>
        <w:rPr>
          <w:rFonts w:hint="eastAsia" w:ascii="Arial" w:hAnsi="Arial" w:eastAsia="宋体" w:cs="Arial"/>
          <w:sz w:val="24"/>
          <w:szCs w:val="24"/>
          <w:u w:val="single"/>
        </w:rPr>
        <w:t>代码</w:t>
      </w:r>
    </w:p>
    <w:p w14:paraId="7D1E454F">
      <w:pPr>
        <w:pStyle w:val="14"/>
        <w:numPr>
          <w:ilvl w:val="0"/>
          <w:numId w:val="15"/>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可追溯性分析</w:t>
      </w:r>
    </w:p>
    <w:p w14:paraId="1BB40D2D">
      <w:pPr>
        <w:pStyle w:val="14"/>
        <w:numPr>
          <w:ilvl w:val="1"/>
          <w:numId w:val="15"/>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从源代码到设计规格（反之亦然）</w:t>
      </w:r>
    </w:p>
    <w:p w14:paraId="0455CA08">
      <w:pPr>
        <w:pStyle w:val="14"/>
        <w:numPr>
          <w:ilvl w:val="1"/>
          <w:numId w:val="15"/>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从源代码的测试用例到设计规格</w:t>
      </w:r>
    </w:p>
    <w:p w14:paraId="678F85F3">
      <w:pPr>
        <w:pStyle w:val="14"/>
        <w:numPr>
          <w:ilvl w:val="0"/>
          <w:numId w:val="15"/>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源代码和源代码文件的评估</w:t>
      </w:r>
    </w:p>
    <w:p w14:paraId="43395DE0">
      <w:pPr>
        <w:pStyle w:val="14"/>
        <w:numPr>
          <w:ilvl w:val="0"/>
          <w:numId w:val="15"/>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源代码接口分析</w:t>
      </w:r>
    </w:p>
    <w:p w14:paraId="10379754">
      <w:pPr>
        <w:pStyle w:val="14"/>
        <w:numPr>
          <w:ilvl w:val="0"/>
          <w:numId w:val="15"/>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测试流程和测试用例生成（模块、集成、系统和验收）</w:t>
      </w:r>
    </w:p>
    <w:p w14:paraId="56F32082">
      <w:pPr>
        <w:adjustRightInd w:val="0"/>
        <w:snapToGrid w:val="0"/>
        <w:spacing w:after="312" w:afterLines="100" w:line="300" w:lineRule="auto"/>
        <w:jc w:val="left"/>
        <w:outlineLvl w:val="2"/>
        <w:rPr>
          <w:rFonts w:ascii="Arial" w:hAnsi="Arial" w:eastAsia="宋体" w:cs="Arial"/>
          <w:b/>
          <w:sz w:val="24"/>
          <w:szCs w:val="24"/>
        </w:rPr>
      </w:pPr>
      <w:bookmarkStart w:id="54" w:name="_Toc484792193"/>
      <w:r>
        <w:rPr>
          <w:rFonts w:ascii="Arial" w:hAnsi="Arial" w:eastAsia="宋体" w:cs="Arial"/>
          <w:b/>
          <w:sz w:val="24"/>
          <w:szCs w:val="24"/>
        </w:rPr>
        <w:t>5.2.5</w:t>
      </w:r>
      <w:r>
        <w:rPr>
          <w:rFonts w:hint="eastAsia" w:ascii="Arial" w:hAnsi="Arial" w:eastAsia="宋体" w:cs="Arial"/>
          <w:b/>
          <w:sz w:val="24"/>
          <w:szCs w:val="24"/>
        </w:rPr>
        <w:tab/>
      </w:r>
      <w:r>
        <w:rPr>
          <w:rFonts w:ascii="Arial" w:hAnsi="Arial" w:eastAsia="宋体" w:cs="Arial"/>
          <w:b/>
          <w:sz w:val="24"/>
          <w:szCs w:val="24"/>
        </w:rPr>
        <w:t>软件开发者进行的测试</w:t>
      </w:r>
      <w:bookmarkEnd w:id="54"/>
    </w:p>
    <w:p w14:paraId="2D314984">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测试需要在已知的某些情况下运行软件产品，使用特定的输入值并且记录到与预先设定的结果相同的输出值。这是一项耗时、困难并且无法尽善尽美的工作。因此，为了有效且高效地完成，需要进行早期计划。</w:t>
      </w:r>
    </w:p>
    <w:p w14:paraId="280557AA">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测试计划和测试用例应当在软件开发过程尽可能早的阶段完成。其应当明确日程表、环境、资源（人力、工具等）、方法、方案（输入、流程、输出、预期结果）、记录和报告标准。在测试过程中付出的劳动成本与复杂度、关键性、可信度和/或安全因素相关（例如需要通过关于容错功能的加强测试来产生关键结果的功能或模块来挑战）。软件分类及软件测试工作的描述见于文献，例如：</w:t>
      </w:r>
    </w:p>
    <w:p w14:paraId="7702958E">
      <w:pPr>
        <w:pStyle w:val="14"/>
        <w:numPr>
          <w:ilvl w:val="0"/>
          <w:numId w:val="16"/>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NIST特种文献500-23，《结构化测试：一种使用圈复杂度度量的测试方法》；</w:t>
      </w:r>
    </w:p>
    <w:p w14:paraId="3355B1A5">
      <w:pPr>
        <w:pStyle w:val="14"/>
        <w:numPr>
          <w:ilvl w:val="0"/>
          <w:numId w:val="16"/>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NUREG/CR-6293，《高度集成化系统的确认和验证指南》；</w:t>
      </w:r>
      <w:r>
        <w:rPr>
          <w:rFonts w:hint="eastAsia" w:ascii="Arial" w:hAnsi="Arial" w:eastAsia="宋体" w:cs="Arial"/>
          <w:b/>
          <w:sz w:val="24"/>
          <w:szCs w:val="24"/>
        </w:rPr>
        <w:t>以及</w:t>
      </w:r>
    </w:p>
    <w:p w14:paraId="390DA831">
      <w:pPr>
        <w:pStyle w:val="14"/>
        <w:numPr>
          <w:ilvl w:val="0"/>
          <w:numId w:val="16"/>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IEEE计算机协会出版社，《软件可靠性工程手册》</w:t>
      </w:r>
    </w:p>
    <w:p w14:paraId="63F28763">
      <w:pPr>
        <w:widowControl/>
        <w:jc w:val="left"/>
        <w:rPr>
          <w:rFonts w:ascii="Arial" w:hAnsi="Arial" w:eastAsia="宋体" w:cs="Arial"/>
          <w:sz w:val="24"/>
          <w:szCs w:val="24"/>
        </w:rPr>
      </w:pPr>
      <w:r>
        <w:rPr>
          <w:rFonts w:ascii="Arial" w:hAnsi="Arial" w:eastAsia="宋体" w:cs="Arial"/>
          <w:sz w:val="24"/>
          <w:szCs w:val="24"/>
        </w:rPr>
        <w:br w:type="page"/>
      </w:r>
    </w:p>
    <w:p w14:paraId="5DEE072A">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软件测试计划应当明确开发的每个阶段要执行的具体任务，并包括对相应的完成标准所代表的工作规模等级的合理说明。</w:t>
      </w:r>
    </w:p>
    <w:p w14:paraId="2F528AA4">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软件测试存在着局限性，必须在计划特定软件产品的测试时予以识别和考虑。除非最简单的程序，否则软件无法完全测试。通常来说无法使用所有可能的输入量对软件产品进行测试，也不</w:t>
      </w:r>
      <w:bookmarkStart w:id="55" w:name="OLE_LINK29"/>
      <w:bookmarkStart w:id="56" w:name="OLE_LINK30"/>
      <w:r>
        <w:rPr>
          <w:rFonts w:ascii="Arial" w:hAnsi="Arial" w:eastAsia="宋体" w:cs="Arial"/>
          <w:sz w:val="24"/>
          <w:szCs w:val="24"/>
        </w:rPr>
        <w:t>可能测试</w:t>
      </w:r>
      <w:bookmarkEnd w:id="55"/>
      <w:bookmarkEnd w:id="56"/>
      <w:r>
        <w:rPr>
          <w:rFonts w:ascii="Arial" w:hAnsi="Arial" w:eastAsia="宋体" w:cs="Arial"/>
          <w:sz w:val="24"/>
          <w:szCs w:val="24"/>
        </w:rPr>
        <w:t>程序执行过程中能够出现的所有数据处理路径。没有哪一种测试或测试方法能够确保完全测试具体软件产品。对所有程序的功能进行测试并不是说所有的程序都经过了测试。测试所有程序的代码并不意味着程序中存在所有必需的功能。所有程序功能和所有程序代码的测试并不意味着程序是100％正确！没有发现错误的软件测试不应解释为意味着软件产品中不存在错误；这可能意味着测试不够深入。</w:t>
      </w:r>
    </w:p>
    <w:p w14:paraId="2634FDC1">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测试用例最核心的部分是预期结果。这是对实际测试结果进行客观评估的重要细节。这项必要的测试信息来自于相应的预先明确的定义或规格。软件规格文档必须明确，应当做什么、何时做、如何做以及为什么做，并且具备工程级（例如，可测量或可以客观验证）的细节才要达到可以确认通过测试的水平。进行有效的软件测试最主要的工作是确定测试什么而不是测试的实施。</w:t>
      </w:r>
    </w:p>
    <w:p w14:paraId="2C538D02">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软件测试流程应当建立在能够促进软件产品有效检查的基础上。适用的软件测试原则包括：</w:t>
      </w:r>
    </w:p>
    <w:p w14:paraId="778AC880">
      <w:pPr>
        <w:pStyle w:val="14"/>
        <w:numPr>
          <w:ilvl w:val="0"/>
          <w:numId w:val="17"/>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预先确定预期的测试结果；</w:t>
      </w:r>
    </w:p>
    <w:p w14:paraId="1AD27F9A">
      <w:pPr>
        <w:pStyle w:val="14"/>
        <w:numPr>
          <w:ilvl w:val="0"/>
          <w:numId w:val="17"/>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好的测试用例有将错误暴露出来的较高可能性；</w:t>
      </w:r>
    </w:p>
    <w:p w14:paraId="77E45862">
      <w:pPr>
        <w:pStyle w:val="14"/>
        <w:numPr>
          <w:ilvl w:val="0"/>
          <w:numId w:val="17"/>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成功的测试能够发现错误；</w:t>
      </w:r>
    </w:p>
    <w:p w14:paraId="0345E336">
      <w:pPr>
        <w:pStyle w:val="14"/>
        <w:numPr>
          <w:ilvl w:val="0"/>
          <w:numId w:val="17"/>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与代码编写独立；</w:t>
      </w:r>
    </w:p>
    <w:p w14:paraId="417A46A0">
      <w:pPr>
        <w:pStyle w:val="14"/>
        <w:numPr>
          <w:ilvl w:val="0"/>
          <w:numId w:val="17"/>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雇用应用（用户）和软件（编程）专家；</w:t>
      </w:r>
    </w:p>
    <w:p w14:paraId="5ED7E56A">
      <w:pPr>
        <w:pStyle w:val="14"/>
        <w:numPr>
          <w:ilvl w:val="0"/>
          <w:numId w:val="17"/>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测试者使用与代码编写者不同的工具；</w:t>
      </w:r>
    </w:p>
    <w:p w14:paraId="372AEED1">
      <w:pPr>
        <w:pStyle w:val="14"/>
        <w:numPr>
          <w:ilvl w:val="0"/>
          <w:numId w:val="17"/>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仅检查常规情况是不够的；</w:t>
      </w:r>
    </w:p>
    <w:p w14:paraId="1B232CC1">
      <w:pPr>
        <w:pStyle w:val="14"/>
        <w:numPr>
          <w:ilvl w:val="0"/>
          <w:numId w:val="17"/>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测试文档可以重复使用，并且在后续的审查中对测试输出结果的通过/未通过状态进行独立确认。</w:t>
      </w:r>
    </w:p>
    <w:p w14:paraId="3E936D5B">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一旦前期任务（如代码检查）成功完成，软件测试随即开始。软件测试从单位水平的测试开始，从系统水平的测试结束。可能有一个单独的集成水平测试。软件产品应该使用基于其内部结构和外部规格的测试用例进行测试。这些测试应当能够提供深入而严格的</w:t>
      </w:r>
      <w:bookmarkStart w:id="57" w:name="OLE_LINK31"/>
      <w:bookmarkStart w:id="58" w:name="OLE_LINK32"/>
      <w:r>
        <w:rPr>
          <w:rFonts w:ascii="Arial" w:hAnsi="Arial" w:eastAsia="宋体" w:cs="Arial"/>
          <w:sz w:val="24"/>
          <w:szCs w:val="24"/>
        </w:rPr>
        <w:t>检查</w:t>
      </w:r>
      <w:bookmarkEnd w:id="57"/>
      <w:bookmarkEnd w:id="58"/>
      <w:r>
        <w:rPr>
          <w:rFonts w:ascii="Arial" w:hAnsi="Arial" w:eastAsia="宋体" w:cs="Arial"/>
          <w:sz w:val="24"/>
          <w:szCs w:val="24"/>
        </w:rPr>
        <w:t>，检查软件产品是否符合其功能、性能、接口的定义与要求。</w:t>
      </w:r>
    </w:p>
    <w:p w14:paraId="5BB54724">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基于代码的测试也成为结构化测试或“白箱”测试。其确定的测试用例基于源代码、详细的设计规格及其他开发文档获得的内容。这些测试用例对程序作出的控制决定进行挑战；程序数据结构包括配置表格。结构化测试能够找出程序运行中从来没有执行过的“死”代码。结构化测试主要通过单元（模块）水平的测试实现，但可以扩展到软件测试的其他水平。</w:t>
      </w:r>
    </w:p>
    <w:p w14:paraId="33388840">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结构化测试的程度能够通过使用特定度量来进行评估，这些度量旨在显示结构化测试过程中已经评估的软件结构百分比。这些度量通常被称为“覆盖率”，是测试选择标准完成率的指标。结构化覆盖率的值应当与软件风险等级相当。使用术语“覆盖”通常指的是100%覆盖。例如，如果一项测试程序达到了“声明覆盖”，则意味着软件100%的声明至少执行了一次。常见的结构化覆盖度量包括：</w:t>
      </w:r>
    </w:p>
    <w:p w14:paraId="6941BDDA">
      <w:pPr>
        <w:pStyle w:val="14"/>
        <w:numPr>
          <w:ilvl w:val="0"/>
          <w:numId w:val="18"/>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声明覆盖</w:t>
      </w:r>
      <w:r>
        <w:rPr>
          <w:rFonts w:ascii="Arial" w:hAnsi="Arial" w:eastAsia="宋体" w:cs="Arial"/>
          <w:sz w:val="24"/>
          <w:szCs w:val="24"/>
        </w:rPr>
        <w:t>—该项标准要求每项程序声明进行充分的测试，要求执行至少一次；但完成声明覆盖不足以提供软件产品行为的可信度。</w:t>
      </w:r>
    </w:p>
    <w:p w14:paraId="1FAF0385">
      <w:pPr>
        <w:pStyle w:val="14"/>
        <w:numPr>
          <w:ilvl w:val="0"/>
          <w:numId w:val="18"/>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决策（分支）覆盖</w:t>
      </w:r>
      <w:r>
        <w:rPr>
          <w:rFonts w:ascii="Arial" w:hAnsi="Arial" w:eastAsia="宋体" w:cs="Arial"/>
          <w:sz w:val="24"/>
          <w:szCs w:val="24"/>
        </w:rPr>
        <w:t>—该项标准要求每项待执行的程序决策或分支均进行充分的测试，每项可能的结果出现至少一次。对于大多数软件产品来说这是最低程度的覆盖，但仅完成决策覆盖对于高度集成的应用是不够的。</w:t>
      </w:r>
    </w:p>
    <w:p w14:paraId="7E7A53BA">
      <w:pPr>
        <w:pStyle w:val="14"/>
        <w:numPr>
          <w:ilvl w:val="0"/>
          <w:numId w:val="18"/>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状态覆盖</w:t>
      </w:r>
      <w:r>
        <w:rPr>
          <w:rFonts w:ascii="Arial" w:hAnsi="Arial" w:eastAsia="宋体" w:cs="Arial"/>
          <w:sz w:val="24"/>
          <w:szCs w:val="24"/>
        </w:rPr>
        <w:t>—该标准需要在程序决策中为每个情况提供足够的测试用例，至少一次采取所有可能的结果。只有必须评估多个条件才能做出决定时，其才与分支覆盖不同。</w:t>
      </w:r>
    </w:p>
    <w:p w14:paraId="07BA52F2">
      <w:pPr>
        <w:pStyle w:val="14"/>
        <w:numPr>
          <w:ilvl w:val="0"/>
          <w:numId w:val="18"/>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多状态覆盖</w:t>
      </w:r>
      <w:r>
        <w:rPr>
          <w:rFonts w:ascii="Arial" w:hAnsi="Arial" w:eastAsia="宋体" w:cs="Arial"/>
          <w:sz w:val="24"/>
          <w:szCs w:val="24"/>
        </w:rPr>
        <w:t>—该标准需要足够的测试用例来执行程序决策中所有可能的条件组合。</w:t>
      </w:r>
    </w:p>
    <w:p w14:paraId="5965B2A6">
      <w:pPr>
        <w:pStyle w:val="14"/>
        <w:numPr>
          <w:ilvl w:val="0"/>
          <w:numId w:val="18"/>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循环覆盖</w:t>
      </w:r>
      <w:r>
        <w:rPr>
          <w:rFonts w:ascii="Arial" w:hAnsi="Arial" w:eastAsia="宋体" w:cs="Arial"/>
          <w:sz w:val="24"/>
          <w:szCs w:val="24"/>
        </w:rPr>
        <w:t>—该标准需要足够的测试用例，对所有程序循环进行充分测试，要求执行0次、1次、2次级多次迭代，包括初始化、典型线程和终止（边界）状态。</w:t>
      </w:r>
    </w:p>
    <w:p w14:paraId="29E6600D">
      <w:pPr>
        <w:pStyle w:val="14"/>
        <w:numPr>
          <w:ilvl w:val="0"/>
          <w:numId w:val="18"/>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路径覆盖</w:t>
      </w:r>
      <w:r>
        <w:rPr>
          <w:rFonts w:ascii="Arial" w:hAnsi="Arial" w:eastAsia="宋体" w:cs="Arial"/>
          <w:sz w:val="24"/>
          <w:szCs w:val="24"/>
        </w:rPr>
        <w:t>—该标准对每项可行的路径、基本路径等需要足够的测试用例，要求从确定的程序段从开始到退出进行测试，至少执行一次。因为软件程序中可能的路径数量非常多，因此路径覆盖率一般是无法达到的。路径覆盖率通常基于待测试软件的风险或关键性来确定。</w:t>
      </w:r>
    </w:p>
    <w:p w14:paraId="5038EEB8">
      <w:pPr>
        <w:pStyle w:val="14"/>
        <w:numPr>
          <w:ilvl w:val="0"/>
          <w:numId w:val="18"/>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数据流覆盖</w:t>
      </w:r>
      <w:r>
        <w:rPr>
          <w:rFonts w:ascii="Arial" w:hAnsi="Arial" w:eastAsia="宋体" w:cs="Arial"/>
          <w:sz w:val="24"/>
          <w:szCs w:val="24"/>
        </w:rPr>
        <w:t>—该项标准要求对每种可能的数据流需要足够的测试用例，要求每种数据流至少执行一次。有多种可用的数据流测试策略。</w:t>
      </w:r>
    </w:p>
    <w:p w14:paraId="02527486">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基于定义或基于规格的测试也被称为功能测试或“黑箱”测试。其基于软件产品（无论其为单元模块还是完整的程序）的预期用途来确定测试用例。这些测试用例针对程序的预期用途或功能、内部和外部接口进行测试。功能测试可以应用于所有的软件测试水平，从单元到系统水平的测试。</w:t>
      </w:r>
    </w:p>
    <w:p w14:paraId="2E6E5BB1">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下列各种类型的功能软件测试涉及了工作规模从低到高的测试方法：</w:t>
      </w:r>
    </w:p>
    <w:p w14:paraId="117C5642">
      <w:pPr>
        <w:pStyle w:val="14"/>
        <w:numPr>
          <w:ilvl w:val="0"/>
          <w:numId w:val="19"/>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ascii="Arial" w:hAnsi="Arial" w:eastAsia="宋体" w:cs="Arial"/>
          <w:b/>
          <w:sz w:val="24"/>
          <w:szCs w:val="24"/>
        </w:rPr>
        <w:t>常规方案</w:t>
      </w:r>
      <w:r>
        <w:rPr>
          <w:rFonts w:ascii="Arial" w:hAnsi="Arial" w:eastAsia="宋体" w:cs="Arial"/>
          <w:sz w:val="24"/>
          <w:szCs w:val="24"/>
        </w:rPr>
        <w:t>—使用常规输入进行测试是必要的。但仅使用预期、有效的输入值对软件进行检测并不能完全测试软件产品。使用这种方法，常规方案的测试不能提供软件产品可靠性的充足可信度。</w:t>
      </w:r>
    </w:p>
    <w:p w14:paraId="685EE969">
      <w:pPr>
        <w:pStyle w:val="14"/>
        <w:numPr>
          <w:ilvl w:val="0"/>
          <w:numId w:val="19"/>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ascii="Arial" w:hAnsi="Arial" w:eastAsia="宋体" w:cs="Arial"/>
          <w:b/>
          <w:sz w:val="24"/>
          <w:szCs w:val="24"/>
        </w:rPr>
        <w:t>输入强制</w:t>
      </w:r>
      <w:r>
        <w:rPr>
          <w:rFonts w:ascii="Arial" w:hAnsi="Arial" w:eastAsia="宋体" w:cs="Arial"/>
          <w:sz w:val="24"/>
          <w:szCs w:val="24"/>
        </w:rPr>
        <w:t>—选择测试输入以确保测试能够产生所选的（或所有的）软件输出。</w:t>
      </w:r>
    </w:p>
    <w:p w14:paraId="5D6267CD">
      <w:pPr>
        <w:pStyle w:val="14"/>
        <w:numPr>
          <w:ilvl w:val="0"/>
          <w:numId w:val="19"/>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ascii="Arial" w:hAnsi="Arial" w:eastAsia="宋体" w:cs="Arial"/>
          <w:b/>
          <w:sz w:val="24"/>
          <w:szCs w:val="24"/>
        </w:rPr>
        <w:t>稳健性</w:t>
      </w:r>
      <w:r>
        <w:rPr>
          <w:rFonts w:ascii="Arial" w:hAnsi="Arial" w:eastAsia="宋体" w:cs="Arial"/>
          <w:sz w:val="24"/>
          <w:szCs w:val="24"/>
        </w:rPr>
        <w:t>—软件测试应当能够证明软件产品在输入非预期的无效数据时仍然能够正确运行。确定满足要求的测试用例的方法包括等价类划分法、边界值分析法、特殊方案确定（错误猜测）。虽然这些技术很重要也很必要，但这些技术不能确保软件产品所有适合的测试项目均经过确认和测试。</w:t>
      </w:r>
    </w:p>
    <w:p w14:paraId="4726EAED">
      <w:pPr>
        <w:pStyle w:val="14"/>
        <w:numPr>
          <w:ilvl w:val="0"/>
          <w:numId w:val="19"/>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ascii="Arial" w:hAnsi="Arial" w:eastAsia="宋体" w:cs="Arial"/>
          <w:b/>
          <w:sz w:val="24"/>
          <w:szCs w:val="24"/>
        </w:rPr>
        <w:t>输入的组合</w:t>
      </w:r>
      <w:r>
        <w:rPr>
          <w:rFonts w:ascii="Arial" w:hAnsi="Arial" w:eastAsia="宋体" w:cs="Arial"/>
          <w:sz w:val="24"/>
          <w:szCs w:val="24"/>
        </w:rPr>
        <w:t>—功能测试方法明确了上述所有强调的独立或单项测试输入。大多数软件产品在使用状态下会接受多个输入。全面的软件产品测试应当考虑软件单元或系统在使用中可能会遇到的输入组合。错误猜测可以扩展到输入组合的确认，但这是一种点对点的技术。因果分析图表是一种可用于测试用例、能够系统地识别软件产品输入组合的功能软件测试技术。</w:t>
      </w:r>
    </w:p>
    <w:p w14:paraId="3C562A3D">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功能性和结构性软件测试用例的确定提供了测试特定的输入，而非任意的输入。这些技术的一个缺点是很难将结构性与功能测试的完成标准与软件产品的可信度进行联系。高级的软件测试方法，如统计测试，可以用来提供软件可信性的进一步的保证。统计测试使用从基于操作剖面（如软件产品的预期使用、危害性使用或恶意使用）确定的分布中随机生成的测试数据。可以生成大量的测试数据并用于覆盖特定领域或问题，从而有较高的可能性发现软件产品设计者或测试者预期之外的单个或多个罕见的运行情况。统计测试也提供了很高的结构覆盖率。其确实需要一个稳定的软件产品。因此，结构性和功能测试是进行软件产品的统计测试的前提。</w:t>
      </w:r>
    </w:p>
    <w:p w14:paraId="27DD5BC7">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测试的另一个方面是软件变更的测试。在软件开发过程中会有频繁的变更。这些变更的原因是1）调试中发现了错误并改正，2）新的要求或要求变更（“要求渐变”），和3）由于发现了更为有效的或效率更高的实现方法并修改了设计。一旦软件产品成为基线产品（批准），软件的任何变更都应该有其自己的“微生命周期”，包括测试。变更的软件产品的测试需要额外的工作规模。不仅要证明这种变更的实施是恰当的，还应该通过测试证明这些变更没有对软件产品的其它部分产生不利影响。可以使用回归分析和测试的方法来确保变更没有在软件产品的其它部分产生问题。回归分析是基于对相关文档的评估来确定变更影响的方法（例如软件要求规格、软件设计规格、源代码、测试计划、测试用例、测试脚本等），目的是确定要运行的必要的回归测试。回归测试会再次运行先前程序可以正确执行的测试用例并将当前的结果与先前结果进行比较，来检测软件变更是否造成了非预期的效应。在使用集成方法来建立软件产品时应当使用回归分析和回归测试来确保新集成的模块不会影响先前已经集成的模块运行。</w:t>
      </w:r>
    </w:p>
    <w:p w14:paraId="763449AB">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为了对软件产品进行深入和严格的检查，开发测试通常会分不同的等级来进行组织。例如，软件产品的测试可以在单元、集成和系统水平进行测试。</w:t>
      </w:r>
    </w:p>
    <w:p w14:paraId="7F5EC6B0">
      <w:pPr>
        <w:adjustRightInd w:val="0"/>
        <w:snapToGrid w:val="0"/>
        <w:spacing w:after="312" w:afterLines="100" w:line="300" w:lineRule="auto"/>
        <w:ind w:left="480" w:hanging="480" w:hangingChars="200"/>
        <w:jc w:val="left"/>
        <w:rPr>
          <w:rFonts w:ascii="Arial" w:hAnsi="Arial" w:eastAsia="宋体" w:cs="Arial"/>
          <w:sz w:val="24"/>
          <w:szCs w:val="24"/>
        </w:rPr>
      </w:pPr>
      <w:r>
        <w:rPr>
          <w:rFonts w:ascii="Arial" w:hAnsi="Arial" w:eastAsia="宋体" w:cs="Arial"/>
          <w:sz w:val="24"/>
          <w:szCs w:val="24"/>
        </w:rPr>
        <w:t>1）</w:t>
      </w:r>
      <w:r>
        <w:rPr>
          <w:rFonts w:hint="eastAsia" w:ascii="Arial" w:hAnsi="Arial" w:eastAsia="宋体" w:cs="Arial"/>
          <w:sz w:val="24"/>
          <w:szCs w:val="24"/>
        </w:rPr>
        <w:tab/>
      </w:r>
      <w:r>
        <w:rPr>
          <w:rFonts w:ascii="Arial" w:hAnsi="Arial" w:eastAsia="宋体" w:cs="Arial"/>
          <w:sz w:val="24"/>
          <w:szCs w:val="24"/>
        </w:rPr>
        <w:t>单元（模块或组件）水平的测试关注子程序功能的早期检查，能够保证对系统层面无法观察到的功能进行测试。单元测试确保了高质量软件单元来进行最终软件产品的集成。</w:t>
      </w:r>
    </w:p>
    <w:p w14:paraId="54F059C5">
      <w:pPr>
        <w:adjustRightInd w:val="0"/>
        <w:snapToGrid w:val="0"/>
        <w:spacing w:after="312" w:afterLines="100" w:line="300" w:lineRule="auto"/>
        <w:ind w:left="480" w:hanging="480" w:hangingChars="200"/>
        <w:jc w:val="left"/>
        <w:rPr>
          <w:rFonts w:ascii="Arial" w:hAnsi="Arial" w:eastAsia="宋体" w:cs="Arial"/>
          <w:sz w:val="24"/>
          <w:szCs w:val="24"/>
        </w:rPr>
      </w:pPr>
      <w:r>
        <w:rPr>
          <w:rFonts w:ascii="Arial" w:hAnsi="Arial" w:eastAsia="宋体" w:cs="Arial"/>
          <w:sz w:val="24"/>
          <w:szCs w:val="24"/>
        </w:rPr>
        <w:t>2）</w:t>
      </w:r>
      <w:r>
        <w:rPr>
          <w:rFonts w:hint="eastAsia" w:ascii="Arial" w:hAnsi="Arial" w:eastAsia="宋体" w:cs="Arial"/>
          <w:sz w:val="24"/>
          <w:szCs w:val="24"/>
        </w:rPr>
        <w:tab/>
      </w:r>
      <w:r>
        <w:rPr>
          <w:rFonts w:ascii="Arial" w:hAnsi="Arial" w:eastAsia="宋体" w:cs="Arial"/>
          <w:sz w:val="24"/>
          <w:szCs w:val="24"/>
        </w:rPr>
        <w:t>集成水平的测试关注数据和控制通过程序内部和外部接口的转移。外部接口是与其他软件（包括操作系统软件）、系统硬件以及用户的接口，可以描述为通信线路。</w:t>
      </w:r>
    </w:p>
    <w:p w14:paraId="15B8EF73">
      <w:pPr>
        <w:adjustRightInd w:val="0"/>
        <w:snapToGrid w:val="0"/>
        <w:spacing w:after="312" w:afterLines="100" w:line="300" w:lineRule="auto"/>
        <w:ind w:left="480" w:hanging="480" w:hangingChars="200"/>
        <w:jc w:val="left"/>
        <w:rPr>
          <w:rFonts w:ascii="Arial" w:hAnsi="Arial" w:eastAsia="宋体" w:cs="Arial"/>
          <w:sz w:val="24"/>
          <w:szCs w:val="24"/>
        </w:rPr>
      </w:pPr>
      <w:r>
        <w:rPr>
          <w:rFonts w:ascii="Arial" w:hAnsi="Arial" w:eastAsia="宋体" w:cs="Arial"/>
          <w:sz w:val="24"/>
          <w:szCs w:val="24"/>
        </w:rPr>
        <w:t>3）</w:t>
      </w:r>
      <w:r>
        <w:rPr>
          <w:rFonts w:hint="eastAsia" w:ascii="Arial" w:hAnsi="Arial" w:eastAsia="宋体" w:cs="Arial"/>
          <w:sz w:val="24"/>
          <w:szCs w:val="24"/>
        </w:rPr>
        <w:tab/>
      </w:r>
      <w:r>
        <w:rPr>
          <w:rFonts w:ascii="Arial" w:hAnsi="Arial" w:eastAsia="宋体" w:cs="Arial"/>
          <w:sz w:val="24"/>
          <w:szCs w:val="24"/>
        </w:rPr>
        <w:t>系统水平的测试可以证明所有具体的功能均满足，并且软件产品可以信赖。该测试确认了装配完成后的程序软件产品在特定操作平台上的的功能与性能的要求。系统水平的软件测试解决了功能方面的问题以及器械软件与预期用途相关的下列问题：</w:t>
      </w:r>
    </w:p>
    <w:p w14:paraId="18E0565F">
      <w:pPr>
        <w:pStyle w:val="14"/>
        <w:numPr>
          <w:ilvl w:val="0"/>
          <w:numId w:val="20"/>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性能问题（例如响应时间、可靠度测量）；</w:t>
      </w:r>
    </w:p>
    <w:p w14:paraId="2B5ACD83">
      <w:pPr>
        <w:pStyle w:val="14"/>
        <w:numPr>
          <w:ilvl w:val="0"/>
          <w:numId w:val="20"/>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压力状态应对，例如在最大载荷、连续使用下的运行情况；</w:t>
      </w:r>
    </w:p>
    <w:p w14:paraId="38B88694">
      <w:pPr>
        <w:pStyle w:val="14"/>
        <w:numPr>
          <w:ilvl w:val="0"/>
          <w:numId w:val="20"/>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内部和外部安全特征的操作；</w:t>
      </w:r>
    </w:p>
    <w:p w14:paraId="78A7D512">
      <w:pPr>
        <w:pStyle w:val="14"/>
        <w:numPr>
          <w:ilvl w:val="0"/>
          <w:numId w:val="20"/>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复原程序的有效性，包括灾难复原；</w:t>
      </w:r>
    </w:p>
    <w:p w14:paraId="0D9FE3DE">
      <w:pPr>
        <w:pStyle w:val="14"/>
        <w:numPr>
          <w:ilvl w:val="0"/>
          <w:numId w:val="20"/>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可使用性；</w:t>
      </w:r>
    </w:p>
    <w:p w14:paraId="092DD639">
      <w:pPr>
        <w:pStyle w:val="14"/>
        <w:numPr>
          <w:ilvl w:val="0"/>
          <w:numId w:val="20"/>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与其他软件产品的相容性；</w:t>
      </w:r>
    </w:p>
    <w:p w14:paraId="2AC6B605">
      <w:pPr>
        <w:pStyle w:val="14"/>
        <w:numPr>
          <w:ilvl w:val="0"/>
          <w:numId w:val="20"/>
        </w:numPr>
        <w:adjustRightInd w:val="0"/>
        <w:snapToGrid w:val="0"/>
        <w:spacing w:after="156" w:afterLines="5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在确定的硬件配置下的工作情况；以及</w:t>
      </w:r>
    </w:p>
    <w:p w14:paraId="64B8938D">
      <w:pPr>
        <w:pStyle w:val="14"/>
        <w:numPr>
          <w:ilvl w:val="0"/>
          <w:numId w:val="20"/>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软件记录的准确性。</w:t>
      </w:r>
    </w:p>
    <w:p w14:paraId="7F43E998">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应当使用控制措施（如可追溯性分析）来确保达到预期的覆盖度。</w:t>
      </w:r>
    </w:p>
    <w:p w14:paraId="536F151C">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系统水平的测试也显示了软件产品在预期的操作环境下的工作情况。这种测试的地点取决于软件开发者搭建目标操作环境的能力。根据环境条件，可能会在（潜在的）客户使用地点进行模拟和/或测试。测试计划应当明确必要的控制，确保达在非软件开发者直接控制的环境下开展系统水平的测试时能够到预期的覆盖率，且准备做好恰当记录。同时，对于本身为医疗器械或医疗器械组成部分、在FDA许可前要用于人体的软件产品，涉及受试者的测试可能需要研究用器械豁免政策（IDE）或伦理委员会（IRB）批准。</w:t>
      </w:r>
    </w:p>
    <w:p w14:paraId="285B8668">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测试流程、测试数据和测试结果的记录应当能够用于进行客观的通过/不通过决策。还需要适合测试后续的审查和客观决策，也要适合各种后续的回归测试。在测试中检测到的错误要记录日志、分类、审查并在软件发布前改正。开发生命周期中收集和分析的软件错误数据可能会用于确定软件产品是否适合商业销售的发布。测试报告应当与相应测试计划的要求一致。</w:t>
      </w:r>
    </w:p>
    <w:p w14:paraId="3DCB42C3">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医疗器械或其产品中发挥有效功能的软件产品通常十分复杂。常使用软件测试工具来确保软件产品测试过程的一致性、全面性和有效性，以及满足预期测试工作的要求。这些工具可能包括内置的支持软件来辅助进行单元（模块）测试、后续的集成测试（如驱动和桩模块）及商用软件测试工具。这些工具的质量水平应当不低于用其开发的软件产品。适当的文档记录能够提供相应的信息证明这些软件工具可以适用于其预期用途（见本指南的第6章）。</w:t>
      </w:r>
    </w:p>
    <w:p w14:paraId="526C389B">
      <w:pPr>
        <w:adjustRightInd w:val="0"/>
        <w:snapToGrid w:val="0"/>
        <w:spacing w:after="312" w:afterLines="100" w:line="300" w:lineRule="auto"/>
        <w:jc w:val="left"/>
        <w:rPr>
          <w:rFonts w:ascii="Arial" w:hAnsi="Arial" w:eastAsia="宋体" w:cs="Arial"/>
          <w:sz w:val="24"/>
          <w:szCs w:val="24"/>
          <w:u w:val="single"/>
        </w:rPr>
      </w:pPr>
      <w:r>
        <w:rPr>
          <w:rFonts w:hint="eastAsia" w:ascii="Arial" w:hAnsi="Arial" w:eastAsia="宋体" w:cs="Arial"/>
          <w:sz w:val="24"/>
          <w:szCs w:val="24"/>
          <w:u w:val="single"/>
        </w:rPr>
        <w:t>典型任务—软件开发者测试</w:t>
      </w:r>
    </w:p>
    <w:p w14:paraId="394A1073">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测试计划</w:t>
      </w:r>
    </w:p>
    <w:p w14:paraId="7049CF14">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结构测试用例确认</w:t>
      </w:r>
    </w:p>
    <w:p w14:paraId="138CDB27">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功能测试用例确认</w:t>
      </w:r>
    </w:p>
    <w:p w14:paraId="7254156F">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可追溯性分析—测试</w:t>
      </w:r>
    </w:p>
    <w:p w14:paraId="4C07F577">
      <w:pPr>
        <w:pStyle w:val="14"/>
        <w:numPr>
          <w:ilvl w:val="1"/>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从单元（模块）测试到详细设计</w:t>
      </w:r>
    </w:p>
    <w:p w14:paraId="6A0750E1">
      <w:pPr>
        <w:pStyle w:val="14"/>
        <w:numPr>
          <w:ilvl w:val="1"/>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从集成测试到较高水平的设计</w:t>
      </w:r>
    </w:p>
    <w:p w14:paraId="3D63F61B">
      <w:pPr>
        <w:pStyle w:val="14"/>
        <w:numPr>
          <w:ilvl w:val="1"/>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从系统测试到软件要求</w:t>
      </w:r>
    </w:p>
    <w:p w14:paraId="40323934">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单元（模块）测试执行</w:t>
      </w:r>
    </w:p>
    <w:p w14:paraId="7098A84E">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集成测试执行</w:t>
      </w:r>
    </w:p>
    <w:p w14:paraId="2CA79354">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功能测试执行</w:t>
      </w:r>
    </w:p>
    <w:p w14:paraId="35F25B5B">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系统测试执行</w:t>
      </w:r>
    </w:p>
    <w:p w14:paraId="67B7DEBC">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可接受性测试执行</w:t>
      </w:r>
    </w:p>
    <w:p w14:paraId="0ABCA70A">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测试结果评估</w:t>
      </w:r>
    </w:p>
    <w:p w14:paraId="60BC071B">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错误评估/解决方案</w:t>
      </w:r>
    </w:p>
    <w:p w14:paraId="2146A639">
      <w:pPr>
        <w:pStyle w:val="14"/>
        <w:numPr>
          <w:ilvl w:val="0"/>
          <w:numId w:val="21"/>
        </w:numPr>
        <w:adjustRightInd w:val="0"/>
        <w:snapToGrid w:val="0"/>
        <w:spacing w:after="156" w:afterLines="50" w:line="300" w:lineRule="auto"/>
        <w:ind w:firstLine="0" w:firstLineChars="0"/>
        <w:jc w:val="left"/>
        <w:rPr>
          <w:rFonts w:ascii="Arial" w:hAnsi="Arial" w:eastAsia="宋体" w:cs="Arial"/>
          <w:sz w:val="24"/>
          <w:szCs w:val="24"/>
        </w:rPr>
      </w:pPr>
      <w:r>
        <w:rPr>
          <w:rFonts w:ascii="Arial" w:hAnsi="Arial" w:eastAsia="宋体" w:cs="Arial"/>
          <w:sz w:val="24"/>
          <w:szCs w:val="24"/>
        </w:rPr>
        <w:t>最终测试报告</w:t>
      </w:r>
    </w:p>
    <w:p w14:paraId="4F055E92">
      <w:pPr>
        <w:adjustRightInd w:val="0"/>
        <w:snapToGrid w:val="0"/>
        <w:spacing w:after="312" w:afterLines="100" w:line="300" w:lineRule="auto"/>
        <w:jc w:val="left"/>
        <w:outlineLvl w:val="2"/>
        <w:rPr>
          <w:rFonts w:ascii="Arial" w:hAnsi="Arial" w:eastAsia="宋体" w:cs="Arial"/>
          <w:b/>
          <w:sz w:val="24"/>
          <w:szCs w:val="24"/>
        </w:rPr>
      </w:pPr>
      <w:bookmarkStart w:id="59" w:name="_Toc484792194"/>
      <w:r>
        <w:rPr>
          <w:rFonts w:ascii="Arial" w:hAnsi="Arial" w:eastAsia="宋体" w:cs="Arial"/>
          <w:b/>
          <w:sz w:val="24"/>
          <w:szCs w:val="24"/>
        </w:rPr>
        <w:t>5.2.6</w:t>
      </w:r>
      <w:r>
        <w:rPr>
          <w:rFonts w:hint="eastAsia" w:ascii="Arial" w:hAnsi="Arial" w:eastAsia="宋体" w:cs="Arial"/>
          <w:b/>
          <w:sz w:val="24"/>
          <w:szCs w:val="24"/>
        </w:rPr>
        <w:tab/>
      </w:r>
      <w:r>
        <w:rPr>
          <w:rFonts w:ascii="Arial" w:hAnsi="Arial" w:eastAsia="宋体" w:cs="Arial"/>
          <w:b/>
          <w:sz w:val="24"/>
          <w:szCs w:val="24"/>
        </w:rPr>
        <w:t>用户现场测试</w:t>
      </w:r>
      <w:bookmarkEnd w:id="59"/>
    </w:p>
    <w:p w14:paraId="4FFEF3E1">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在用户现场进行测试是软件验证的核心部分。质量体系规范对安装和检查流程（包括适用的测试）以及证明软件安装恰当的检查和测试的记录做出了要求。（见21 CFR §820.170。）同样，生产器械必须符合具体要求，并且自动化系统必须针对其预期用途进行验证。（分别见于21 CFR §820.70（g）和21 CFR §820.70（i））。</w:t>
      </w:r>
    </w:p>
    <w:p w14:paraId="23748C8E">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用户现场测试相关的术语容易混淆。在描述用户现场测试时使用了各种术语如Beta测试、地点验证、用户可接受性测试、安装确认以及安装测试等。在本指南中，术语“用户现场测试”综合了上述所有概念以及任何在开发者控制环境外进行的测试。该项测试应当在用户现场展开，并且使用实际作为安装系统配置一部分的硬件和软件进行。该项测试要在软件预期功能的环境中，通过真实的或模拟的软件使用来完成。</w:t>
      </w:r>
    </w:p>
    <w:p w14:paraId="002297F0">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这部分的指导内容一般都很基本，适用于任何的用户现场测试。但在某些情况下（例如血站系统），在用户现场测试的计划过程中需要考虑具体地点验证问题。制定测试计划的人应当核查FDA中心对于相应产品管理的规定，来确定用户现场测试有没有额外的法规要求。</w:t>
      </w:r>
    </w:p>
    <w:p w14:paraId="4A453948">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用户现场测试应当遵循预先前确定的书面计划、正式的测试总结和正式验收记录。应当记录所有测试流程、测试输入数据及测试结果。</w:t>
      </w:r>
    </w:p>
    <w:p w14:paraId="3C90D97A">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需要提供证据证明硬件与软件按照预定的要求安装与配置。应当采取措施确保所有的系统组件在测试中均运行过，并且这些组件的版本是指定的版本。测试计划应在整个操作条件下明确测试，并应明确持续足够的时间，使系统遭遇广泛的情况和事件，以便检测在更正常的活动中不明显的任何潜在故障。</w:t>
      </w:r>
    </w:p>
    <w:p w14:paraId="02330AD1">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早些时候由软件开发者在开发者地点进行的一些评估也应当在实际使用地点进行重复。这些测试可能包含涉及大量数据、较高负载或压力、安全性、故障检测（故障避免、故障检测、故障耐受和故障恢复）、错误信息以及安全要求实施相关的测试。开发者可能要向用户提供一些用于上述目的的测试数据集。</w:t>
      </w:r>
    </w:p>
    <w:p w14:paraId="5E9DA6BF">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除了软件预期系统功能正常运行的评估，还需要对系统的用户是否能够理解和恰当进行界面操作进行评估。操作者应当能够执行预期的功能，并恰当及时地应对所有的警告、警示和错误信息。</w:t>
      </w:r>
    </w:p>
    <w:p w14:paraId="5EC3C2E3">
      <w:pPr>
        <w:widowControl/>
        <w:jc w:val="left"/>
        <w:rPr>
          <w:rFonts w:ascii="Arial" w:hAnsi="Arial" w:eastAsia="宋体" w:cs="Arial"/>
          <w:sz w:val="24"/>
          <w:szCs w:val="24"/>
        </w:rPr>
      </w:pPr>
      <w:r>
        <w:rPr>
          <w:rFonts w:ascii="Arial" w:hAnsi="Arial" w:eastAsia="宋体" w:cs="Arial"/>
          <w:sz w:val="24"/>
          <w:szCs w:val="24"/>
        </w:rPr>
        <w:br w:type="page"/>
      </w:r>
    </w:p>
    <w:p w14:paraId="0D33FA73">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在用户现场测试中，需要同时对正常的系统表现以及遇到的任何系统故障进行记录。在用户现场测试中针对检测到故障的系统修改应当遵循与其他软件变更相同的流程和控制。</w:t>
      </w:r>
    </w:p>
    <w:p w14:paraId="260A554D">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的开发者可能或可能不参与用户现场测试。如果开发者参与了，则其要无缝执行用户现场测试与最后部分的设计水平系统测试。如果开发者没有参与，则更为重要的是用户中要有人能够理解细致的测试计划、预期测试结果的确定以及所有测试输出的记录的重要性。</w:t>
      </w:r>
    </w:p>
    <w:p w14:paraId="33B79526">
      <w:pPr>
        <w:adjustRightInd w:val="0"/>
        <w:snapToGrid w:val="0"/>
        <w:spacing w:after="312" w:afterLines="100" w:line="300" w:lineRule="auto"/>
        <w:jc w:val="left"/>
        <w:rPr>
          <w:rFonts w:ascii="Arial" w:hAnsi="Arial" w:eastAsia="宋体" w:cs="Arial"/>
          <w:sz w:val="24"/>
          <w:szCs w:val="24"/>
          <w:u w:val="single"/>
        </w:rPr>
      </w:pPr>
      <w:r>
        <w:rPr>
          <w:rFonts w:hint="eastAsia" w:ascii="Arial" w:hAnsi="Arial" w:eastAsia="宋体" w:cs="Arial"/>
          <w:sz w:val="24"/>
          <w:szCs w:val="24"/>
          <w:u w:val="single"/>
        </w:rPr>
        <w:t>典型任务—用户现场测试</w:t>
      </w:r>
    </w:p>
    <w:p w14:paraId="239117B9">
      <w:pPr>
        <w:pStyle w:val="14"/>
        <w:numPr>
          <w:ilvl w:val="0"/>
          <w:numId w:val="22"/>
        </w:numPr>
        <w:adjustRightInd w:val="0"/>
        <w:snapToGrid w:val="0"/>
        <w:spacing w:after="156" w:afterLines="50" w:line="300" w:lineRule="auto"/>
        <w:ind w:left="0" w:firstLine="0" w:firstLineChars="0"/>
        <w:jc w:val="left"/>
        <w:rPr>
          <w:rFonts w:ascii="Arial" w:hAnsi="Arial" w:eastAsia="宋体" w:cs="Arial"/>
          <w:sz w:val="24"/>
          <w:szCs w:val="24"/>
        </w:rPr>
      </w:pPr>
      <w:r>
        <w:rPr>
          <w:rFonts w:ascii="Arial" w:hAnsi="Arial" w:eastAsia="宋体" w:cs="Arial"/>
          <w:sz w:val="24"/>
          <w:szCs w:val="24"/>
        </w:rPr>
        <w:t>可接受性测试执行</w:t>
      </w:r>
    </w:p>
    <w:p w14:paraId="760DA634">
      <w:pPr>
        <w:pStyle w:val="14"/>
        <w:numPr>
          <w:ilvl w:val="0"/>
          <w:numId w:val="22"/>
        </w:numPr>
        <w:adjustRightInd w:val="0"/>
        <w:snapToGrid w:val="0"/>
        <w:spacing w:after="156" w:afterLines="50" w:line="300" w:lineRule="auto"/>
        <w:ind w:left="0" w:firstLine="0" w:firstLineChars="0"/>
        <w:jc w:val="left"/>
        <w:rPr>
          <w:rFonts w:ascii="Arial" w:hAnsi="Arial" w:eastAsia="宋体" w:cs="Arial"/>
          <w:sz w:val="24"/>
          <w:szCs w:val="24"/>
        </w:rPr>
      </w:pPr>
      <w:r>
        <w:rPr>
          <w:rFonts w:ascii="Arial" w:hAnsi="Arial" w:eastAsia="宋体" w:cs="Arial"/>
          <w:sz w:val="24"/>
          <w:szCs w:val="24"/>
        </w:rPr>
        <w:t>测试结果评估</w:t>
      </w:r>
    </w:p>
    <w:p w14:paraId="581517DA">
      <w:pPr>
        <w:pStyle w:val="14"/>
        <w:numPr>
          <w:ilvl w:val="0"/>
          <w:numId w:val="22"/>
        </w:numPr>
        <w:adjustRightInd w:val="0"/>
        <w:snapToGrid w:val="0"/>
        <w:spacing w:after="156" w:afterLines="50" w:line="300" w:lineRule="auto"/>
        <w:ind w:left="0" w:firstLine="0" w:firstLineChars="0"/>
        <w:jc w:val="left"/>
        <w:rPr>
          <w:rFonts w:ascii="Arial" w:hAnsi="Arial" w:eastAsia="宋体" w:cs="Arial"/>
          <w:sz w:val="24"/>
          <w:szCs w:val="24"/>
        </w:rPr>
      </w:pPr>
      <w:r>
        <w:rPr>
          <w:rFonts w:ascii="Arial" w:hAnsi="Arial" w:eastAsia="宋体" w:cs="Arial"/>
          <w:sz w:val="24"/>
          <w:szCs w:val="24"/>
        </w:rPr>
        <w:t>错误评估/解决</w:t>
      </w:r>
    </w:p>
    <w:p w14:paraId="0CB4D541">
      <w:pPr>
        <w:pStyle w:val="14"/>
        <w:numPr>
          <w:ilvl w:val="0"/>
          <w:numId w:val="22"/>
        </w:numPr>
        <w:adjustRightInd w:val="0"/>
        <w:snapToGrid w:val="0"/>
        <w:spacing w:after="468" w:afterLines="150" w:line="300" w:lineRule="auto"/>
        <w:ind w:left="0" w:firstLine="0" w:firstLineChars="0"/>
        <w:jc w:val="left"/>
        <w:rPr>
          <w:rFonts w:ascii="Arial" w:hAnsi="Arial" w:eastAsia="宋体" w:cs="Arial"/>
          <w:sz w:val="24"/>
          <w:szCs w:val="24"/>
        </w:rPr>
      </w:pPr>
      <w:r>
        <w:rPr>
          <w:rFonts w:ascii="Arial" w:hAnsi="Arial" w:eastAsia="宋体" w:cs="Arial"/>
          <w:sz w:val="24"/>
          <w:szCs w:val="24"/>
        </w:rPr>
        <w:t>最终测试报告</w:t>
      </w:r>
    </w:p>
    <w:p w14:paraId="3B7E891D">
      <w:pPr>
        <w:adjustRightInd w:val="0"/>
        <w:snapToGrid w:val="0"/>
        <w:spacing w:after="312" w:afterLines="100" w:line="300" w:lineRule="auto"/>
        <w:jc w:val="left"/>
        <w:outlineLvl w:val="2"/>
        <w:rPr>
          <w:rFonts w:ascii="Arial" w:hAnsi="Arial" w:eastAsia="宋体" w:cs="Arial"/>
          <w:b/>
          <w:sz w:val="24"/>
          <w:szCs w:val="24"/>
        </w:rPr>
      </w:pPr>
      <w:bookmarkStart w:id="60" w:name="_Toc484792195"/>
      <w:r>
        <w:rPr>
          <w:rFonts w:ascii="Arial" w:hAnsi="Arial" w:eastAsia="宋体" w:cs="Arial"/>
          <w:b/>
          <w:sz w:val="24"/>
          <w:szCs w:val="24"/>
        </w:rPr>
        <w:t>5.2.7</w:t>
      </w:r>
      <w:r>
        <w:rPr>
          <w:rFonts w:hint="eastAsia" w:ascii="Arial" w:hAnsi="Arial" w:eastAsia="宋体" w:cs="Arial"/>
          <w:b/>
          <w:sz w:val="24"/>
          <w:szCs w:val="24"/>
        </w:rPr>
        <w:tab/>
      </w:r>
      <w:r>
        <w:rPr>
          <w:rFonts w:ascii="Arial" w:hAnsi="Arial" w:eastAsia="宋体" w:cs="Arial"/>
          <w:b/>
          <w:sz w:val="24"/>
          <w:szCs w:val="24"/>
        </w:rPr>
        <w:t>维护与软件变更</w:t>
      </w:r>
      <w:bookmarkEnd w:id="60"/>
    </w:p>
    <w:p w14:paraId="12CDCFBB">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维护这一术语在应用于软件时与应用于硬件时含义不同。硬件和软件的操作性维护是不同的，因为其故障/错误机制不同。硬件维护通常包括预防性硬件维护工作、部件更换以及纠正性变更。软件维护包括纠正性、完善性和适应性维护，但不包括预防性维护工作或软件组件的更换。</w:t>
      </w:r>
    </w:p>
    <w:p w14:paraId="5FBEDCF6">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用于纠正软件中的错误和故障的变更叫做纠正性维护。为了提高性能、可维护性及其它软件系统属性对软件进行变更是完善性维护。使软件系统能够在改变的环境中使用的软件变更称为适应性变更。</w:t>
      </w:r>
    </w:p>
    <w:p w14:paraId="41A57FB3">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当软件系统发生改变时，如论在最初的开发过程中还是发布后的维护，均应当进行充足的回归分析和测试，来证明软件中没有发生变更的部分没有受到负面影响。还要进行用于评估实施的变更是否恰当的测试。</w:t>
      </w:r>
    </w:p>
    <w:p w14:paraId="6FB1CB1E">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每种软件特定的必要的验证工作取决于变更的类型、受到影响的开发产品以及软件运行中产品受到的影响。对设计结构和不同模块、接口等之间进行详细和完整的记录能够减少变更时验证的工作规模。完全验证变更的工作规模水平也取决于原始软件验证的记录和归档情况。例如，在进行后续的回归测试时需要测试记录、测试用例以及先前的验证和确认测试结果。如果无法对这些信息进行归档用于后续使用的话，会极大地增加软件变更后再验证的工作规模和支出。</w:t>
      </w:r>
    </w:p>
    <w:p w14:paraId="768366BB">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除了作为标准软件开发流程一部分的软件验证和确认任务，还需要完成下列其他的维护任务：</w:t>
      </w:r>
    </w:p>
    <w:p w14:paraId="2B45FB77">
      <w:pPr>
        <w:pStyle w:val="14"/>
        <w:numPr>
          <w:ilvl w:val="0"/>
          <w:numId w:val="23"/>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软件验证计划修订</w:t>
      </w:r>
      <w:r>
        <w:rPr>
          <w:rFonts w:ascii="Arial" w:hAnsi="Arial" w:eastAsia="宋体" w:cs="Arial"/>
          <w:sz w:val="24"/>
          <w:szCs w:val="24"/>
        </w:rPr>
        <w:t>—对于先前已经经过验证的软件，应当对已有的软件验证计划进行修订来支持变更后的软件验证。如果没有已有的软件验证计划，则应当建立一个计划来支持变更后软件的验证。</w:t>
      </w:r>
    </w:p>
    <w:p w14:paraId="4314B866">
      <w:pPr>
        <w:pStyle w:val="14"/>
        <w:numPr>
          <w:ilvl w:val="0"/>
          <w:numId w:val="23"/>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异常评估</w:t>
      </w:r>
      <w:r>
        <w:rPr>
          <w:rFonts w:ascii="Arial" w:hAnsi="Arial" w:eastAsia="宋体" w:cs="Arial"/>
          <w:sz w:val="24"/>
          <w:szCs w:val="24"/>
        </w:rPr>
        <w:t>—软件公司通常会进行各种记录，如描述发现的软件异常情况的软件问题报告，以及解决异常情况采取的纠正性行为。但更多的时候错误会重复出现，因为开发者不会进一步确定问题的根本原因并采取必要的措施更改处理或流程来避免问题再次出现。应当对软件异常的严重性及对系统运行和安全性的影响进行评估，但软件异常应当被看做质量体系中流程缺陷的表现来对待。对异常情况的根本原因的分析能够明确特定的质量体系缺陷。当识别到某种趋势时（如类似的软件异常情况重复出现），需要实施并记录适当的纠正和预防性措施来避免类似质量问题再次出现。（见21 CFR 820.100）。</w:t>
      </w:r>
    </w:p>
    <w:p w14:paraId="7A6FE5F5">
      <w:pPr>
        <w:pStyle w:val="14"/>
        <w:numPr>
          <w:ilvl w:val="0"/>
          <w:numId w:val="23"/>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问题识别与解决方案追踪</w:t>
      </w:r>
      <w:r>
        <w:rPr>
          <w:rFonts w:ascii="Arial" w:hAnsi="Arial" w:eastAsia="宋体" w:cs="Arial"/>
          <w:sz w:val="24"/>
          <w:szCs w:val="24"/>
        </w:rPr>
        <w:t>—软件维护过程中发现的所有问题都要进行记录。应当对每项问题的解决方案进行追踪，根据历史参照以及未来趋势的情况，确保其确实解决的问题。</w:t>
      </w:r>
    </w:p>
    <w:p w14:paraId="23B2E2DC">
      <w:pPr>
        <w:pStyle w:val="14"/>
        <w:numPr>
          <w:ilvl w:val="0"/>
          <w:numId w:val="23"/>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对拟进行的变更进行评估</w:t>
      </w:r>
      <w:r>
        <w:rPr>
          <w:rFonts w:ascii="Arial" w:hAnsi="Arial" w:eastAsia="宋体" w:cs="Arial"/>
          <w:sz w:val="24"/>
          <w:szCs w:val="24"/>
        </w:rPr>
        <w:t>—所有拟进行的修订、优化或添加都要进行评估，确定每项变更对系统的影响。该项信息应当确定确认和/或验证工作需要迭代的程度。</w:t>
      </w:r>
    </w:p>
    <w:p w14:paraId="30A0C1A1">
      <w:pPr>
        <w:pStyle w:val="14"/>
        <w:numPr>
          <w:ilvl w:val="0"/>
          <w:numId w:val="23"/>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任务迭代</w:t>
      </w:r>
      <w:r>
        <w:rPr>
          <w:rFonts w:ascii="Arial" w:hAnsi="Arial" w:eastAsia="宋体" w:cs="Arial"/>
          <w:sz w:val="24"/>
          <w:szCs w:val="24"/>
        </w:rPr>
        <w:t>—对于已经批准的软件变更，需要实施所有必要的确认和验证任务，确保预计的变更实施正确，所有的文档完整且最新，并且软件性能没有不可接受的改变出现。</w:t>
      </w:r>
    </w:p>
    <w:p w14:paraId="6CD540DC">
      <w:pPr>
        <w:pStyle w:val="14"/>
        <w:numPr>
          <w:ilvl w:val="0"/>
          <w:numId w:val="23"/>
        </w:numPr>
        <w:adjustRightInd w:val="0"/>
        <w:snapToGrid w:val="0"/>
        <w:spacing w:after="156" w:afterLines="50" w:line="300" w:lineRule="auto"/>
        <w:ind w:left="902" w:leftChars="200" w:hanging="482" w:hangingChars="200"/>
        <w:jc w:val="left"/>
        <w:rPr>
          <w:rFonts w:ascii="Arial" w:hAnsi="Arial" w:eastAsia="宋体" w:cs="Arial"/>
          <w:sz w:val="24"/>
          <w:szCs w:val="24"/>
        </w:rPr>
      </w:pPr>
      <w:r>
        <w:rPr>
          <w:rFonts w:hint="eastAsia" w:ascii="Arial" w:hAnsi="Arial" w:eastAsia="宋体" w:cs="Arial"/>
          <w:b/>
          <w:sz w:val="24"/>
          <w:szCs w:val="24"/>
        </w:rPr>
        <w:t>文档更新</w:t>
      </w:r>
      <w:r>
        <w:rPr>
          <w:rFonts w:ascii="Arial" w:hAnsi="Arial" w:eastAsia="宋体" w:cs="Arial"/>
          <w:sz w:val="24"/>
          <w:szCs w:val="24"/>
        </w:rPr>
        <w:t>—应当对记录进行仔细审查，确定那些记录部分受到了变更的影响。所有受到影响的已批准文件（例如规格、测试流程、用户手册等）均应当根据配置管理流程进行更新。规格应当在任何维护和软件变更执行前更新。</w:t>
      </w:r>
    </w:p>
    <w:p w14:paraId="2FC8A828">
      <w:pPr>
        <w:pStyle w:val="14"/>
        <w:adjustRightInd w:val="0"/>
        <w:snapToGrid w:val="0"/>
        <w:spacing w:after="312" w:afterLines="100" w:line="300" w:lineRule="auto"/>
        <w:ind w:left="420" w:firstLine="0" w:firstLineChars="0"/>
        <w:jc w:val="left"/>
        <w:rPr>
          <w:rFonts w:ascii="Arial" w:hAnsi="Arial" w:eastAsia="宋体" w:cs="Arial"/>
          <w:sz w:val="24"/>
          <w:szCs w:val="24"/>
        </w:rPr>
      </w:pPr>
    </w:p>
    <w:p w14:paraId="6315CD44">
      <w:pPr>
        <w:widowControl/>
        <w:jc w:val="left"/>
        <w:rPr>
          <w:rFonts w:ascii="Arial" w:hAnsi="Arial" w:eastAsia="宋体" w:cs="Arial"/>
          <w:sz w:val="24"/>
          <w:szCs w:val="24"/>
        </w:rPr>
      </w:pPr>
      <w:r>
        <w:rPr>
          <w:rFonts w:ascii="Arial" w:hAnsi="Arial" w:eastAsia="宋体" w:cs="Arial"/>
          <w:sz w:val="24"/>
          <w:szCs w:val="24"/>
        </w:rPr>
        <w:br w:type="page"/>
      </w:r>
    </w:p>
    <w:p w14:paraId="56442090">
      <w:pPr>
        <w:adjustRightInd w:val="0"/>
        <w:snapToGrid w:val="0"/>
        <w:spacing w:after="312" w:afterLines="100" w:line="300" w:lineRule="auto"/>
        <w:jc w:val="center"/>
        <w:outlineLvl w:val="0"/>
        <w:rPr>
          <w:rFonts w:ascii="Arial" w:hAnsi="Arial" w:eastAsia="宋体" w:cs="Arial"/>
          <w:b/>
          <w:sz w:val="36"/>
        </w:rPr>
      </w:pPr>
      <w:bookmarkStart w:id="61" w:name="_Toc484792196"/>
      <w:r>
        <w:rPr>
          <w:rFonts w:ascii="Arial" w:hAnsi="Arial" w:eastAsia="宋体" w:cs="Arial"/>
          <w:b/>
          <w:sz w:val="36"/>
        </w:rPr>
        <w:t>第6章</w:t>
      </w:r>
      <w:r>
        <w:rPr>
          <w:rFonts w:hint="eastAsia" w:ascii="Arial" w:hAnsi="Arial" w:eastAsia="宋体" w:cs="Arial"/>
          <w:b/>
          <w:sz w:val="36"/>
        </w:rPr>
        <w:t xml:space="preserve"> </w:t>
      </w:r>
      <w:r>
        <w:rPr>
          <w:rFonts w:ascii="Arial" w:hAnsi="Arial" w:eastAsia="宋体" w:cs="Arial"/>
          <w:b/>
          <w:sz w:val="36"/>
        </w:rPr>
        <w:t>自动化处理器械和质量体系软件验证</w:t>
      </w:r>
      <w:bookmarkEnd w:id="61"/>
    </w:p>
    <w:p w14:paraId="79B11484">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质量体系法规要求“当使用了计算机或自动化数据处理系统作为产品或质量体系的一部分，则【医疗器械】生产商应当根据已确定的规范针对其预期用途对计算机软件进行验证。”（见21 CFR §820.70（i））。自1978年以来，这是FDA的医疗器械良好生产规范（GMP）法规的监管要求。</w:t>
      </w:r>
    </w:p>
    <w:p w14:paraId="2B9639A3">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除了上述验证要求，作为医疗器械生产商产品流程或质量体系（或用于生成和存储FDA法规要求的记录）一部分的计算机系统也应遵循电子记录；电子签名法规。（见21 CFR第11部分。）该项法规对电子化记录的生产和存储提出了其他的安全性、数据集成和验证要求。这些来自第11部分的额外要求应当仔细考量并纳入到所有的自动化记录存储系统的系统要求和软件要求中。系统验证和软件验证应当证明满足了所有第11部分的要求。</w:t>
      </w:r>
    </w:p>
    <w:p w14:paraId="2F72CCDC">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计算机和自动化器械广泛应用于医疗器械设计、实验室测试和分析、产品检查和验收、生产和流程控制、环境控制、包装、标签、可追溯性、文档控制、投诉管理以及质量体系的许多方面。自动化车间系统的运行越来越多地涉及嵌入式系统的使用，这些应用包括：</w:t>
      </w:r>
    </w:p>
    <w:p w14:paraId="49F171E6">
      <w:pPr>
        <w:pStyle w:val="14"/>
        <w:numPr>
          <w:ilvl w:val="0"/>
          <w:numId w:val="24"/>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可编程式逻辑控制器；</w:t>
      </w:r>
    </w:p>
    <w:p w14:paraId="1980FD7B">
      <w:pPr>
        <w:pStyle w:val="14"/>
        <w:numPr>
          <w:ilvl w:val="0"/>
          <w:numId w:val="24"/>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数字功能控制器；</w:t>
      </w:r>
    </w:p>
    <w:p w14:paraId="32AD034F">
      <w:pPr>
        <w:pStyle w:val="14"/>
        <w:numPr>
          <w:ilvl w:val="0"/>
          <w:numId w:val="24"/>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统计过程控制；</w:t>
      </w:r>
    </w:p>
    <w:p w14:paraId="4A13FBBF">
      <w:pPr>
        <w:pStyle w:val="14"/>
        <w:numPr>
          <w:ilvl w:val="0"/>
          <w:numId w:val="24"/>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监视控制和数据采集；</w:t>
      </w:r>
    </w:p>
    <w:p w14:paraId="6364E63E">
      <w:pPr>
        <w:pStyle w:val="14"/>
        <w:numPr>
          <w:ilvl w:val="0"/>
          <w:numId w:val="24"/>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机器人技术；</w:t>
      </w:r>
    </w:p>
    <w:p w14:paraId="3A05BBCD">
      <w:pPr>
        <w:pStyle w:val="14"/>
        <w:numPr>
          <w:ilvl w:val="0"/>
          <w:numId w:val="24"/>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人机接口；</w:t>
      </w:r>
    </w:p>
    <w:p w14:paraId="1A3AD3F9">
      <w:pPr>
        <w:pStyle w:val="14"/>
        <w:numPr>
          <w:ilvl w:val="0"/>
          <w:numId w:val="24"/>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输入/输出器械；以及</w:t>
      </w:r>
    </w:p>
    <w:p w14:paraId="151C66F1">
      <w:pPr>
        <w:pStyle w:val="14"/>
        <w:numPr>
          <w:ilvl w:val="0"/>
          <w:numId w:val="24"/>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计算机操作系统。</w:t>
      </w:r>
    </w:p>
    <w:p w14:paraId="1C42D369">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在自动化医疗器械软件的设计、开发和测试过程中会频繁地使用软件工具。在质量体系实施过程中还会用到许多其它商业化的软件应用，如文字处理器、表格、数据库以及流程图软件。所有的这些应用均要满足软件验证的要求，但每种应用所使用的验证方法可以有很大差别。</w:t>
      </w:r>
    </w:p>
    <w:p w14:paraId="5B5B5CC8">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无论软件产品或质量体系软件由医疗器械生产商自主开发、由承包商开发或购买现成软件，其均应当根据本指南其它部分所规定的基本原则进行开发。医疗器械生产商在确定软件如何达到验证标准时有一定的选择和灵活度，但软件验证应当作为决定如何以及由谁来进行软件开发或从何处购买软件的主要考虑因素。软件开发者确定生命周期模型。一般来说下列内容支持软件验证：</w:t>
      </w:r>
    </w:p>
    <w:p w14:paraId="6DE61469">
      <w:pPr>
        <w:pStyle w:val="14"/>
        <w:numPr>
          <w:ilvl w:val="0"/>
          <w:numId w:val="25"/>
        </w:numPr>
        <w:adjustRightInd w:val="0"/>
        <w:snapToGrid w:val="0"/>
        <w:spacing w:line="300" w:lineRule="auto"/>
        <w:ind w:firstLine="0" w:firstLineChars="0"/>
        <w:jc w:val="left"/>
        <w:rPr>
          <w:rFonts w:ascii="Arial" w:hAnsi="Arial" w:eastAsia="宋体" w:cs="Arial"/>
          <w:sz w:val="24"/>
          <w:szCs w:val="24"/>
        </w:rPr>
      </w:pPr>
      <w:r>
        <w:rPr>
          <w:rFonts w:ascii="Arial" w:hAnsi="Arial" w:eastAsia="宋体" w:cs="Arial"/>
          <w:sz w:val="24"/>
          <w:szCs w:val="24"/>
        </w:rPr>
        <w:t>软件开发生命周期每个阶段的输出确认；以及</w:t>
      </w:r>
    </w:p>
    <w:p w14:paraId="6D6410EC">
      <w:pPr>
        <w:pStyle w:val="14"/>
        <w:numPr>
          <w:ilvl w:val="0"/>
          <w:numId w:val="25"/>
        </w:numPr>
        <w:adjustRightInd w:val="0"/>
        <w:snapToGrid w:val="0"/>
        <w:spacing w:after="312" w:afterLines="100" w:line="300" w:lineRule="auto"/>
        <w:ind w:firstLine="0" w:firstLineChars="0"/>
        <w:jc w:val="left"/>
        <w:rPr>
          <w:rFonts w:ascii="Arial" w:hAnsi="Arial" w:eastAsia="宋体" w:cs="Arial"/>
          <w:sz w:val="24"/>
          <w:szCs w:val="24"/>
        </w:rPr>
      </w:pPr>
      <w:r>
        <w:rPr>
          <w:rFonts w:ascii="Arial" w:hAnsi="Arial" w:eastAsia="宋体" w:cs="Arial"/>
          <w:sz w:val="24"/>
          <w:szCs w:val="24"/>
        </w:rPr>
        <w:t>开发完成的软件在医疗器械生产商预期使用的环境下正常运行的检查。</w:t>
      </w:r>
    </w:p>
    <w:p w14:paraId="2FE4044B">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62" w:name="_Toc484792197"/>
      <w:r>
        <w:rPr>
          <w:rFonts w:ascii="Arial" w:hAnsi="Arial" w:eastAsia="宋体" w:cs="Arial"/>
          <w:b/>
          <w:sz w:val="24"/>
          <w:szCs w:val="24"/>
        </w:rPr>
        <w:t>6.1</w:t>
      </w:r>
      <w:r>
        <w:rPr>
          <w:rFonts w:hint="eastAsia" w:ascii="Arial" w:hAnsi="Arial" w:eastAsia="宋体" w:cs="Arial"/>
          <w:b/>
          <w:sz w:val="24"/>
          <w:szCs w:val="24"/>
        </w:rPr>
        <w:tab/>
      </w:r>
      <w:r>
        <w:rPr>
          <w:rFonts w:ascii="Arial" w:hAnsi="Arial" w:eastAsia="宋体" w:cs="Arial"/>
          <w:b/>
          <w:sz w:val="24"/>
          <w:szCs w:val="24"/>
        </w:rPr>
        <w:t>需要多少验证证据？</w:t>
      </w:r>
      <w:bookmarkEnd w:id="62"/>
    </w:p>
    <w:p w14:paraId="4842D9D0">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验证工作规模水平应当与自动化运行带来的风险相一致。除了其他的风险因素，如流程软件的复杂性以及器械生产商依赖于自动化流程进行安全和有效器械生产的程度，还需要确定验证工作所需要的测试内容和程度。自动化流程的需求文档和风险分析有助于确定证明软件在预期用途下有效所需要的证据范围。例如，如果器械生产商能够证明在产品发布前运行输出会根据规格进行充分确认，则自动化铣床可能只需要很少的测试。另一方面，下列情况可能需要大规模的测试：</w:t>
      </w:r>
    </w:p>
    <w:p w14:paraId="4898836E">
      <w:pPr>
        <w:pStyle w:val="14"/>
        <w:numPr>
          <w:ilvl w:val="0"/>
          <w:numId w:val="26"/>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工作间范围的电子记录和电子化签名系统；</w:t>
      </w:r>
    </w:p>
    <w:p w14:paraId="240ACB1F">
      <w:pPr>
        <w:pStyle w:val="14"/>
        <w:numPr>
          <w:ilvl w:val="0"/>
          <w:numId w:val="26"/>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用于灭菌循环的自动化控制器；或</w:t>
      </w:r>
    </w:p>
    <w:p w14:paraId="5D8D60C7">
      <w:pPr>
        <w:pStyle w:val="14"/>
        <w:numPr>
          <w:ilvl w:val="0"/>
          <w:numId w:val="26"/>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用于检查生命维持/生命支持器械的电路板检查和可接受性分析的自动化测试器械。</w:t>
      </w:r>
    </w:p>
    <w:p w14:paraId="12340B9F">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质量系统可能会应用多种多样的商业化软件应用（例如用于质量体系统计的表格或统计软件包，用于趋势分析的画图软件包或者用于记录器械历史记录或投诉管理的商业化数据库）。这些软件所需要的验证证据等级取决于器械生产商记录的软件预期用途。例如，器械生产商选择不使用该软件供应商所提供的所有功能，则仅需要对需使用的</w:t>
      </w:r>
      <w:bookmarkStart w:id="63" w:name="OLE_LINK33"/>
      <w:bookmarkStart w:id="64" w:name="OLE_LINK34"/>
      <w:r>
        <w:rPr>
          <w:rFonts w:ascii="Arial" w:hAnsi="Arial" w:eastAsia="宋体" w:cs="Arial"/>
          <w:sz w:val="24"/>
          <w:szCs w:val="24"/>
        </w:rPr>
        <w:t>功能</w:t>
      </w:r>
      <w:bookmarkEnd w:id="63"/>
      <w:bookmarkEnd w:id="64"/>
      <w:r>
        <w:rPr>
          <w:rFonts w:ascii="Arial" w:hAnsi="Arial" w:eastAsia="宋体" w:cs="Arial"/>
          <w:sz w:val="24"/>
          <w:szCs w:val="24"/>
        </w:rPr>
        <w:t>、器械生产商依赖其作为生产或质量体系一部分的软件结果的功能进行验证。但高风险的应用不应当与未经验证的软件应用在相同的运行环境下运行，即使这些功能不会使用也不允许。当高风险应用和低风险应用在相同的运行环境里共同使用时可能需要考虑使用风险缓解技术，如存储区分或其他用于资源保护的方法。当软件升级或发生任何变更时，器械生产商应当考虑这些变更会如何影响软件“所用的部分”，并且必须重新确认和验证软件使用的部分。（见21 CFR §820.70（i））。</w:t>
      </w:r>
    </w:p>
    <w:p w14:paraId="64EAD6FD">
      <w:pPr>
        <w:widowControl/>
        <w:jc w:val="left"/>
        <w:rPr>
          <w:rFonts w:ascii="Arial" w:hAnsi="Arial" w:eastAsia="宋体" w:cs="Arial"/>
          <w:b/>
          <w:sz w:val="24"/>
          <w:szCs w:val="24"/>
        </w:rPr>
      </w:pPr>
      <w:r>
        <w:rPr>
          <w:rFonts w:ascii="Arial" w:hAnsi="Arial" w:eastAsia="宋体" w:cs="Arial"/>
          <w:b/>
          <w:sz w:val="24"/>
          <w:szCs w:val="24"/>
        </w:rPr>
        <w:br w:type="page"/>
      </w:r>
    </w:p>
    <w:p w14:paraId="0079B9D6">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65" w:name="_Toc484792198"/>
      <w:r>
        <w:rPr>
          <w:rFonts w:ascii="Arial" w:hAnsi="Arial" w:eastAsia="宋体" w:cs="Arial"/>
          <w:b/>
          <w:sz w:val="24"/>
          <w:szCs w:val="24"/>
        </w:rPr>
        <w:t>6.2</w:t>
      </w:r>
      <w:r>
        <w:rPr>
          <w:rFonts w:hint="eastAsia" w:ascii="Arial" w:hAnsi="Arial" w:eastAsia="宋体" w:cs="Arial"/>
          <w:b/>
          <w:sz w:val="24"/>
          <w:szCs w:val="24"/>
        </w:rPr>
        <w:tab/>
      </w:r>
      <w:r>
        <w:rPr>
          <w:rFonts w:ascii="Arial" w:hAnsi="Arial" w:eastAsia="宋体" w:cs="Arial"/>
          <w:b/>
          <w:sz w:val="24"/>
          <w:szCs w:val="24"/>
        </w:rPr>
        <w:t>确定的用户要求</w:t>
      </w:r>
      <w:bookmarkEnd w:id="65"/>
    </w:p>
    <w:p w14:paraId="625F95E3">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软件验证一个非常重要的关键问题是明确了一下内容的用户要求规格：</w:t>
      </w:r>
    </w:p>
    <w:p w14:paraId="2A397243">
      <w:pPr>
        <w:pStyle w:val="14"/>
        <w:numPr>
          <w:ilvl w:val="0"/>
          <w:numId w:val="27"/>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软件或自动化器械的“预期用途”；以及</w:t>
      </w:r>
    </w:p>
    <w:p w14:paraId="116C6F3F">
      <w:pPr>
        <w:pStyle w:val="14"/>
        <w:numPr>
          <w:ilvl w:val="0"/>
          <w:numId w:val="27"/>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在生产质量合格的医疗器械时器械生产商依赖于软件或器械的程度。</w:t>
      </w:r>
    </w:p>
    <w:p w14:paraId="4A9FD9D5">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器械生产商（用户）需要明确预期的运行环境，包括任何要求的硬件和软件配置、软件版本、实用程序等。用户还需要：</w:t>
      </w:r>
    </w:p>
    <w:p w14:paraId="2D150609">
      <w:pPr>
        <w:pStyle w:val="14"/>
        <w:numPr>
          <w:ilvl w:val="0"/>
          <w:numId w:val="28"/>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记录系统性能、质量、错误处理、开机、关机、安全性等的要求；</w:t>
      </w:r>
    </w:p>
    <w:p w14:paraId="635E953C">
      <w:pPr>
        <w:pStyle w:val="14"/>
        <w:numPr>
          <w:ilvl w:val="0"/>
          <w:numId w:val="28"/>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明确所有与安全相关的功能或特征，例如传感器、警告、联锁系统、逻辑处理步骤或命令序列；以及</w:t>
      </w:r>
    </w:p>
    <w:p w14:paraId="2ECA3305">
      <w:pPr>
        <w:pStyle w:val="14"/>
        <w:numPr>
          <w:ilvl w:val="0"/>
          <w:numId w:val="28"/>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明确可接受性能的客观标准。</w:t>
      </w:r>
    </w:p>
    <w:p w14:paraId="651712BB">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验证过程必须根据文档形式的规范展开，验证结果必须进行记录。（见21 CFR §820.70（i）。）测试用例应当进行记录，并运行系统，根据预先确定的标准测试其性能，尤其是最关键的参数。测试用例应当包括错误和警告状态、开机、关机、所有适用的用户功能和操作控制、潜在的操作错误、允许的最大和最小值以及适用于器械预期用途的压力条件。应当执行测试用例并记录结果，评估并确定结果是否支持软件已验证适用于其预期用途的结论。</w:t>
      </w:r>
    </w:p>
    <w:p w14:paraId="1FE4E7B5">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器械生产商可能会用自己的员工进行验证，也可能依赖于第三方人员，如器械/软件供应商或顾问。无论什么情况，器械生产商均应对确保产品和质量体系软件的下列方面最终负责：</w:t>
      </w:r>
    </w:p>
    <w:p w14:paraId="17F32E26">
      <w:pPr>
        <w:pStyle w:val="14"/>
        <w:numPr>
          <w:ilvl w:val="0"/>
          <w:numId w:val="28"/>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根据书面流程，在特定预期用途下软件通过验证；以及</w:t>
      </w:r>
    </w:p>
    <w:p w14:paraId="761CEE12">
      <w:pPr>
        <w:pStyle w:val="14"/>
        <w:numPr>
          <w:ilvl w:val="0"/>
          <w:numId w:val="28"/>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在选择的应用场景中的运行情况符合预期。</w:t>
      </w:r>
    </w:p>
    <w:p w14:paraId="662F625D">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器械生产商应当有下列文档：</w:t>
      </w:r>
    </w:p>
    <w:p w14:paraId="5C21C796">
      <w:pPr>
        <w:pStyle w:val="14"/>
        <w:numPr>
          <w:ilvl w:val="0"/>
          <w:numId w:val="28"/>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确定用户需求；</w:t>
      </w:r>
    </w:p>
    <w:p w14:paraId="719D72EA">
      <w:pPr>
        <w:pStyle w:val="14"/>
        <w:numPr>
          <w:ilvl w:val="0"/>
          <w:numId w:val="28"/>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使用的验证规范；</w:t>
      </w:r>
    </w:p>
    <w:p w14:paraId="56E2958D">
      <w:pPr>
        <w:pStyle w:val="14"/>
        <w:numPr>
          <w:ilvl w:val="0"/>
          <w:numId w:val="28"/>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验收标准；</w:t>
      </w:r>
    </w:p>
    <w:p w14:paraId="51E44E65">
      <w:pPr>
        <w:pStyle w:val="14"/>
        <w:numPr>
          <w:ilvl w:val="0"/>
          <w:numId w:val="28"/>
        </w:numPr>
        <w:adjustRightInd w:val="0"/>
        <w:snapToGrid w:val="0"/>
        <w:spacing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测试用例和结果；以及</w:t>
      </w:r>
    </w:p>
    <w:p w14:paraId="5BFD39DF">
      <w:pPr>
        <w:pStyle w:val="14"/>
        <w:numPr>
          <w:ilvl w:val="0"/>
          <w:numId w:val="28"/>
        </w:numPr>
        <w:adjustRightInd w:val="0"/>
        <w:snapToGrid w:val="0"/>
        <w:spacing w:after="312" w:afterLines="100" w:line="300" w:lineRule="auto"/>
        <w:ind w:left="900" w:leftChars="200" w:hanging="480" w:hangingChars="200"/>
        <w:jc w:val="left"/>
        <w:rPr>
          <w:rFonts w:ascii="Arial" w:hAnsi="Arial" w:eastAsia="宋体" w:cs="Arial"/>
          <w:sz w:val="24"/>
          <w:szCs w:val="24"/>
        </w:rPr>
      </w:pPr>
      <w:r>
        <w:rPr>
          <w:rFonts w:ascii="Arial" w:hAnsi="Arial" w:eastAsia="宋体" w:cs="Arial"/>
          <w:sz w:val="24"/>
          <w:szCs w:val="24"/>
        </w:rPr>
        <w:t>验证总结</w:t>
      </w:r>
    </w:p>
    <w:p w14:paraId="76683409">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上述文档客观确认了软件的预期用途经过验证。</w:t>
      </w:r>
    </w:p>
    <w:p w14:paraId="601AF6A5">
      <w:pPr>
        <w:adjustRightInd w:val="0"/>
        <w:snapToGrid w:val="0"/>
        <w:spacing w:after="312" w:afterLines="100" w:line="300" w:lineRule="auto"/>
        <w:ind w:left="482" w:hanging="482" w:hangingChars="200"/>
        <w:jc w:val="left"/>
        <w:outlineLvl w:val="1"/>
        <w:rPr>
          <w:rFonts w:ascii="Arial" w:hAnsi="Arial" w:eastAsia="宋体" w:cs="Arial"/>
          <w:b/>
          <w:sz w:val="24"/>
          <w:szCs w:val="24"/>
        </w:rPr>
      </w:pPr>
      <w:bookmarkStart w:id="66" w:name="_Toc484792199"/>
      <w:r>
        <w:rPr>
          <w:rFonts w:ascii="Arial" w:hAnsi="Arial" w:eastAsia="宋体" w:cs="Arial"/>
          <w:b/>
          <w:sz w:val="24"/>
          <w:szCs w:val="24"/>
        </w:rPr>
        <w:t>6.3</w:t>
      </w:r>
      <w:r>
        <w:rPr>
          <w:rFonts w:hint="eastAsia" w:ascii="Arial" w:hAnsi="Arial" w:eastAsia="宋体" w:cs="Arial"/>
          <w:b/>
          <w:sz w:val="24"/>
          <w:szCs w:val="24"/>
        </w:rPr>
        <w:tab/>
      </w:r>
      <w:r>
        <w:rPr>
          <w:rFonts w:ascii="Arial" w:hAnsi="Arial" w:eastAsia="宋体" w:cs="Arial"/>
          <w:b/>
          <w:sz w:val="24"/>
          <w:szCs w:val="24"/>
        </w:rPr>
        <w:t>现成软件和自动化器械验证</w:t>
      </w:r>
      <w:bookmarkEnd w:id="66"/>
    </w:p>
    <w:p w14:paraId="6074C26B">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大多数用于器械生产的自动化器械和系统均由第三方供应商提供，并购买现成软件（OTS）。器械生产商有责任确保OTS软件开发者适用的产品开发方法是恰当的，并且满足器械生产商预期使用OTS软件的要求。对于OTS软件和器械，器械生产商可能能够获得供应商的软件验证文档，也可能无法获得该文档。如果供应商能够提供关于其系统要求、软件要求、验证流程以及验证结果的信息，则医疗器械生产商能够使用这些信息作为验证文档的起点。供应商的生命周期文档，例如测试规范和结果、源代码、设计规格以及要求规格，能够确定软件经过验证。但很多时候这些文档无法从商业器械供应商处获得，或者供应商可能会拒绝提供其专有信息。</w:t>
      </w:r>
    </w:p>
    <w:p w14:paraId="058FEB94">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如果可能，并且取决于涉及的器械风险，器械生产商应该考虑对供应商的设计以及OTS软件开发中使用的方法进行审查，并且应当对OTS软件生成的开发和验证文档进行评估。该审查过程可以由器械生产商或具有资质的第三方来完成。审查应当证明供应商针对OTS软件的验证和确认流程和结果是恰当的，并且足够证明使用该软件生产的医疗器械满足安全性与有效性的要求。</w:t>
      </w:r>
    </w:p>
    <w:p w14:paraId="09947810">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一些供应商不习惯在监管环境下的操作，可能没有能够支持器械生产商验证要求的生命周期流程记录。其他的一些供应商可能不同意审查。如果无法从供应商获得必要的验证信息，则器械生产商需要进行足够的系统水平的“黑箱”测试，确定软件满足其“用户需求和预期用途”。对于很多应用来说，单独进行黑箱测试是不够的。根据器械产生的风险、OTS软件在流程中的作用、对供应商进行审查的能力以及供应商提供的信息是否充足等信息，使用OTS软件或器械可能是适合的，也可能是不适合的，尤其是当存在合适的其它替代方案时。器械生产商应还当考虑一旦供应商停止支持后后续的维护和OTS软件支持的问题（如果存在的话）。</w:t>
      </w:r>
    </w:p>
    <w:p w14:paraId="003ACD7E">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对于一些现成软件开发工具，例如软件编译器、连接程序、编辑器以及操作系统，由器械生产商进行全面的黑箱测试可能不太实际。不进行这些测试—验证工作的重要部分—可能无法验证这些软件工具。但可以通过其他的方式对运行情况进行可靠的推断。例如，第三方测试机构会经常对编译器进行认证，商业化软件产品可能会有“漏洞列表”，供应商提供的系统要求和其他操作信息可能与器械生产商预期使用情况进行比较，帮助集中“黑箱”测试工作。现成操作系统不需要作为单独的程序进行验证。但应用软件系统水平的验证测试应当包括使用所有操作系统服务，包括可能是用于应用程序预期用途的最大负载状态、文件操作、系统故障处理情况以及内存限制。</w:t>
      </w:r>
    </w:p>
    <w:p w14:paraId="2AF33DB9">
      <w:pPr>
        <w:widowControl/>
        <w:jc w:val="left"/>
        <w:rPr>
          <w:rFonts w:ascii="Arial" w:hAnsi="Arial" w:eastAsia="宋体" w:cs="Arial"/>
          <w:sz w:val="24"/>
          <w:szCs w:val="24"/>
        </w:rPr>
      </w:pPr>
      <w:r>
        <w:rPr>
          <w:rFonts w:ascii="Arial" w:hAnsi="Arial" w:eastAsia="宋体" w:cs="Arial"/>
          <w:sz w:val="24"/>
          <w:szCs w:val="24"/>
        </w:rPr>
        <w:br w:type="page"/>
      </w:r>
    </w:p>
    <w:p w14:paraId="0A1C7FC1">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更详细的信息请参阅附录A中的生产和处理软件参考文件。</w:t>
      </w:r>
    </w:p>
    <w:p w14:paraId="766498A5">
      <w:pPr>
        <w:widowControl/>
        <w:jc w:val="left"/>
        <w:rPr>
          <w:rFonts w:ascii="Arial" w:hAnsi="Arial" w:eastAsia="宋体" w:cs="Arial"/>
          <w:sz w:val="24"/>
          <w:szCs w:val="24"/>
        </w:rPr>
      </w:pPr>
      <w:r>
        <w:rPr>
          <w:rFonts w:ascii="Arial" w:hAnsi="Arial" w:eastAsia="宋体" w:cs="Arial"/>
          <w:sz w:val="24"/>
          <w:szCs w:val="24"/>
        </w:rPr>
        <w:br w:type="page"/>
      </w:r>
    </w:p>
    <w:p w14:paraId="5EE99E0D">
      <w:pPr>
        <w:adjustRightInd w:val="0"/>
        <w:snapToGrid w:val="0"/>
        <w:spacing w:after="312" w:afterLines="100" w:line="300" w:lineRule="auto"/>
        <w:jc w:val="center"/>
        <w:outlineLvl w:val="0"/>
        <w:rPr>
          <w:rFonts w:ascii="Arial" w:hAnsi="Arial" w:eastAsia="宋体" w:cs="Arial"/>
          <w:b/>
          <w:sz w:val="30"/>
          <w:szCs w:val="30"/>
        </w:rPr>
      </w:pPr>
      <w:bookmarkStart w:id="67" w:name="_Toc484792200"/>
      <w:r>
        <w:rPr>
          <w:rFonts w:ascii="Arial" w:hAnsi="Arial" w:eastAsia="宋体" w:cs="Arial"/>
          <w:b/>
          <w:sz w:val="30"/>
          <w:szCs w:val="30"/>
        </w:rPr>
        <w:t>附录A – 参考文件</w:t>
      </w:r>
      <w:bookmarkEnd w:id="67"/>
    </w:p>
    <w:p w14:paraId="23EED229">
      <w:pPr>
        <w:adjustRightInd w:val="0"/>
        <w:snapToGrid w:val="0"/>
        <w:spacing w:after="312" w:afterLines="100" w:line="300" w:lineRule="auto"/>
        <w:jc w:val="left"/>
        <w:outlineLvl w:val="1"/>
        <w:rPr>
          <w:rFonts w:ascii="Arial" w:hAnsi="Arial" w:eastAsia="宋体" w:cs="Arial"/>
          <w:b/>
          <w:sz w:val="24"/>
          <w:szCs w:val="24"/>
        </w:rPr>
      </w:pPr>
      <w:bookmarkStart w:id="68" w:name="_Toc484792201"/>
      <w:r>
        <w:rPr>
          <w:rFonts w:ascii="Arial" w:hAnsi="Arial" w:eastAsia="宋体" w:cs="Arial"/>
          <w:b/>
          <w:sz w:val="24"/>
          <w:szCs w:val="24"/>
        </w:rPr>
        <w:t>食品药品监督管理局参考文件</w:t>
      </w:r>
      <w:bookmarkEnd w:id="68"/>
    </w:p>
    <w:p w14:paraId="07431FFE">
      <w:pPr>
        <w:adjustRightInd w:val="0"/>
        <w:snapToGrid w:val="0"/>
        <w:spacing w:after="312" w:afterLines="100" w:line="300" w:lineRule="auto"/>
        <w:jc w:val="left"/>
        <w:rPr>
          <w:rFonts w:ascii="Arial" w:hAnsi="Arial" w:eastAsia="宋体" w:cs="Arial"/>
          <w:sz w:val="24"/>
          <w:szCs w:val="24"/>
        </w:rPr>
      </w:pPr>
      <w:r>
        <w:rPr>
          <w:rFonts w:hint="eastAsia" w:ascii="Arial" w:hAnsi="Arial" w:eastAsia="宋体" w:cs="Arial"/>
          <w:color w:val="0000FF"/>
          <w:sz w:val="24"/>
          <w:szCs w:val="24"/>
        </w:rPr>
        <w:t>医疗器械制造商设计控制指南</w:t>
      </w:r>
      <w:r>
        <w:rPr>
          <w:rFonts w:ascii="Arial" w:hAnsi="Arial" w:eastAsia="宋体" w:cs="Arial"/>
          <w:sz w:val="24"/>
          <w:szCs w:val="24"/>
        </w:rPr>
        <w:t>，</w:t>
      </w:r>
      <w:bookmarkStart w:id="69" w:name="OLE_LINK10"/>
      <w:bookmarkStart w:id="70" w:name="OLE_LINK11"/>
      <w:r>
        <w:rPr>
          <w:rFonts w:ascii="Arial" w:hAnsi="Arial" w:eastAsia="宋体" w:cs="Arial"/>
          <w:sz w:val="24"/>
          <w:szCs w:val="24"/>
        </w:rPr>
        <w:t>器械与放射健康中心，食品药品监督管理局，1997年3月。</w:t>
      </w:r>
      <w:bookmarkEnd w:id="69"/>
      <w:bookmarkEnd w:id="70"/>
    </w:p>
    <w:p w14:paraId="7A156C39">
      <w:pPr>
        <w:adjustRightInd w:val="0"/>
        <w:snapToGrid w:val="0"/>
        <w:spacing w:after="312" w:afterLines="100" w:line="300" w:lineRule="auto"/>
        <w:jc w:val="left"/>
        <w:rPr>
          <w:rFonts w:ascii="Arial" w:hAnsi="Arial" w:eastAsia="宋体" w:cs="Arial"/>
          <w:sz w:val="24"/>
          <w:szCs w:val="24"/>
        </w:rPr>
      </w:pPr>
      <w:r>
        <w:rPr>
          <w:rFonts w:hint="eastAsia" w:ascii="Arial" w:hAnsi="Arial" w:eastAsia="宋体" w:cs="Arial"/>
          <w:color w:val="0000FF"/>
          <w:sz w:val="24"/>
          <w:szCs w:val="24"/>
        </w:rPr>
        <w:t>设计实现，医疗器械人力因素介绍</w:t>
      </w:r>
      <w:r>
        <w:rPr>
          <w:rFonts w:ascii="Arial" w:hAnsi="Arial" w:eastAsia="宋体" w:cs="Arial"/>
          <w:sz w:val="24"/>
          <w:szCs w:val="24"/>
        </w:rPr>
        <w:t>，器械与放射健康中心，食品药品监督管理局，1997年3月。</w:t>
      </w:r>
    </w:p>
    <w:p w14:paraId="5BF971F7">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电子记录；电子签名最终规定，62联邦公报13430（1997年3月20日）。</w:t>
      </w:r>
    </w:p>
    <w:p w14:paraId="01278823">
      <w:pPr>
        <w:adjustRightInd w:val="0"/>
        <w:snapToGrid w:val="0"/>
        <w:spacing w:after="312" w:afterLines="100" w:line="300" w:lineRule="auto"/>
        <w:jc w:val="left"/>
        <w:rPr>
          <w:rFonts w:ascii="Arial" w:hAnsi="Arial" w:eastAsia="宋体" w:cs="Arial"/>
          <w:sz w:val="24"/>
          <w:szCs w:val="24"/>
        </w:rPr>
      </w:pPr>
      <w:r>
        <w:rPr>
          <w:rFonts w:hint="eastAsia" w:ascii="Arial" w:hAnsi="Arial" w:eastAsia="宋体" w:cs="Arial"/>
          <w:color w:val="0000FF"/>
          <w:sz w:val="24"/>
          <w:szCs w:val="24"/>
        </w:rPr>
        <w:t>计算机化系统和软件开发术语表</w:t>
      </w:r>
      <w:r>
        <w:rPr>
          <w:rFonts w:ascii="Arial" w:hAnsi="Arial" w:eastAsia="宋体" w:cs="Arial"/>
          <w:sz w:val="24"/>
          <w:szCs w:val="24"/>
        </w:rPr>
        <w:t>，实地调查部，</w:t>
      </w:r>
      <w:bookmarkStart w:id="71" w:name="OLE_LINK17"/>
      <w:bookmarkStart w:id="72" w:name="OLE_LINK16"/>
      <w:r>
        <w:rPr>
          <w:rFonts w:ascii="Arial" w:hAnsi="Arial" w:eastAsia="宋体" w:cs="Arial"/>
          <w:sz w:val="24"/>
          <w:szCs w:val="24"/>
        </w:rPr>
        <w:t>区域行动办公室，法规事务办公室，食品药品监督管理局，1995年8月。</w:t>
      </w:r>
    </w:p>
    <w:bookmarkEnd w:id="71"/>
    <w:bookmarkEnd w:id="72"/>
    <w:p w14:paraId="6816F7D6">
      <w:pPr>
        <w:adjustRightInd w:val="0"/>
        <w:snapToGrid w:val="0"/>
        <w:spacing w:after="312" w:afterLines="100" w:line="300" w:lineRule="auto"/>
        <w:jc w:val="left"/>
        <w:rPr>
          <w:rFonts w:ascii="Arial" w:hAnsi="Arial" w:eastAsia="宋体" w:cs="Arial"/>
          <w:kern w:val="0"/>
          <w:sz w:val="24"/>
          <w:szCs w:val="24"/>
        </w:rPr>
      </w:pPr>
      <w:r>
        <w:rPr>
          <w:rFonts w:hint="eastAsia" w:ascii="Arial" w:hAnsi="Arial" w:eastAsia="宋体" w:cs="Arial"/>
          <w:color w:val="0000FF"/>
          <w:sz w:val="24"/>
          <w:szCs w:val="24"/>
        </w:rPr>
        <w:t>医疗器械所含软件的上市前提交内容指南</w:t>
      </w:r>
      <w:r>
        <w:rPr>
          <w:rFonts w:ascii="Arial" w:hAnsi="Arial" w:eastAsia="宋体" w:cs="Arial"/>
          <w:sz w:val="24"/>
          <w:szCs w:val="24"/>
        </w:rPr>
        <w:t>，</w:t>
      </w:r>
      <w:bookmarkStart w:id="73" w:name="OLE_LINK12"/>
      <w:bookmarkStart w:id="74" w:name="OLE_LINK13"/>
      <w:r>
        <w:rPr>
          <w:rFonts w:ascii="Arial" w:hAnsi="Arial" w:eastAsia="宋体" w:cs="Arial"/>
          <w:sz w:val="24"/>
          <w:szCs w:val="24"/>
        </w:rPr>
        <w:t>器械评估办公室，</w:t>
      </w:r>
      <w:r>
        <w:rPr>
          <w:rFonts w:ascii="Arial" w:hAnsi="Arial" w:eastAsia="宋体" w:cs="Arial"/>
          <w:kern w:val="0"/>
          <w:sz w:val="24"/>
          <w:szCs w:val="24"/>
        </w:rPr>
        <w:t>器械与放射健康中心，食品药品监督管理局，</w:t>
      </w:r>
      <w:bookmarkEnd w:id="73"/>
      <w:bookmarkEnd w:id="74"/>
      <w:r>
        <w:rPr>
          <w:rFonts w:ascii="Arial" w:hAnsi="Arial" w:eastAsia="宋体" w:cs="Arial"/>
          <w:kern w:val="0"/>
          <w:sz w:val="24"/>
          <w:szCs w:val="24"/>
        </w:rPr>
        <w:t>1998年5月。</w:t>
      </w:r>
    </w:p>
    <w:p w14:paraId="2F66EA98">
      <w:pPr>
        <w:adjustRightInd w:val="0"/>
        <w:snapToGrid w:val="0"/>
        <w:spacing w:after="312" w:afterLines="100" w:line="300" w:lineRule="auto"/>
        <w:jc w:val="left"/>
        <w:rPr>
          <w:rFonts w:ascii="Arial" w:hAnsi="Arial" w:eastAsia="宋体" w:cs="Arial"/>
          <w:kern w:val="0"/>
          <w:sz w:val="24"/>
          <w:szCs w:val="24"/>
        </w:rPr>
      </w:pPr>
      <w:r>
        <w:rPr>
          <w:rFonts w:ascii="Arial" w:hAnsi="Arial" w:eastAsia="宋体" w:cs="Arial"/>
          <w:color w:val="0000FF"/>
          <w:kern w:val="0"/>
          <w:sz w:val="24"/>
          <w:szCs w:val="24"/>
        </w:rPr>
        <w:t>医疗器械中</w:t>
      </w:r>
      <w:r>
        <w:rPr>
          <w:rFonts w:hint="eastAsia" w:ascii="Arial" w:hAnsi="Arial" w:eastAsia="宋体" w:cs="Arial"/>
          <w:color w:val="0000FF"/>
          <w:kern w:val="0"/>
          <w:sz w:val="24"/>
          <w:szCs w:val="24"/>
        </w:rPr>
        <w:t>现成软件</w:t>
      </w:r>
      <w:r>
        <w:rPr>
          <w:rFonts w:ascii="Arial" w:hAnsi="Arial" w:eastAsia="宋体" w:cs="Arial"/>
          <w:color w:val="0000FF"/>
          <w:kern w:val="0"/>
          <w:sz w:val="24"/>
          <w:szCs w:val="24"/>
        </w:rPr>
        <w:t>使用</w:t>
      </w:r>
      <w:r>
        <w:rPr>
          <w:rFonts w:hint="eastAsia" w:ascii="Arial" w:hAnsi="Arial" w:eastAsia="宋体" w:cs="Arial"/>
          <w:color w:val="0000FF"/>
          <w:kern w:val="0"/>
          <w:sz w:val="24"/>
          <w:szCs w:val="24"/>
        </w:rPr>
        <w:t>的行业、</w:t>
      </w:r>
      <w:r>
        <w:rPr>
          <w:rFonts w:ascii="Arial" w:hAnsi="Arial" w:eastAsia="宋体" w:cs="Arial"/>
          <w:color w:val="0000FF"/>
          <w:kern w:val="0"/>
          <w:sz w:val="24"/>
          <w:szCs w:val="24"/>
        </w:rPr>
        <w:t>FDA</w:t>
      </w:r>
      <w:r>
        <w:rPr>
          <w:rFonts w:hint="eastAsia" w:ascii="Arial" w:hAnsi="Arial" w:eastAsia="宋体" w:cs="Arial"/>
          <w:color w:val="0000FF"/>
          <w:kern w:val="0"/>
          <w:sz w:val="24"/>
          <w:szCs w:val="24"/>
        </w:rPr>
        <w:t>工作人员</w:t>
      </w:r>
      <w:r>
        <w:rPr>
          <w:rFonts w:ascii="Arial" w:hAnsi="Arial" w:eastAsia="宋体" w:cs="Arial"/>
          <w:color w:val="0000FF"/>
          <w:kern w:val="0"/>
          <w:sz w:val="24"/>
          <w:szCs w:val="24"/>
        </w:rPr>
        <w:t>和符合性</w:t>
      </w:r>
      <w:r>
        <w:rPr>
          <w:rFonts w:hint="eastAsia" w:ascii="Arial" w:hAnsi="Arial" w:eastAsia="宋体" w:cs="Arial"/>
          <w:color w:val="0000FF"/>
          <w:kern w:val="0"/>
          <w:sz w:val="24"/>
          <w:szCs w:val="24"/>
        </w:rPr>
        <w:t>指南</w:t>
      </w:r>
      <w:r>
        <w:rPr>
          <w:rFonts w:ascii="Arial" w:hAnsi="Arial" w:eastAsia="宋体" w:cs="Arial"/>
          <w:kern w:val="0"/>
          <w:sz w:val="24"/>
          <w:szCs w:val="24"/>
        </w:rPr>
        <w:t>，</w:t>
      </w:r>
      <w:r>
        <w:rPr>
          <w:rFonts w:ascii="Arial" w:hAnsi="Arial" w:eastAsia="宋体" w:cs="Arial"/>
          <w:sz w:val="24"/>
          <w:szCs w:val="24"/>
        </w:rPr>
        <w:t>器械评估办公室，</w:t>
      </w:r>
      <w:bookmarkStart w:id="75" w:name="OLE_LINK14"/>
      <w:bookmarkStart w:id="76" w:name="OLE_LINK15"/>
      <w:r>
        <w:rPr>
          <w:rFonts w:ascii="Arial" w:hAnsi="Arial" w:eastAsia="宋体" w:cs="Arial"/>
          <w:kern w:val="0"/>
          <w:sz w:val="24"/>
          <w:szCs w:val="24"/>
        </w:rPr>
        <w:t>器械与放射健康中心，食品药品监督管理局，1999年9月。</w:t>
      </w:r>
      <w:bookmarkEnd w:id="75"/>
      <w:bookmarkEnd w:id="76"/>
    </w:p>
    <w:p w14:paraId="415DE12C">
      <w:pPr>
        <w:adjustRightInd w:val="0"/>
        <w:snapToGrid w:val="0"/>
        <w:spacing w:after="312" w:afterLines="100" w:line="300" w:lineRule="auto"/>
        <w:jc w:val="left"/>
        <w:rPr>
          <w:rFonts w:ascii="Arial" w:hAnsi="Arial" w:eastAsia="宋体" w:cs="Arial"/>
          <w:kern w:val="0"/>
          <w:sz w:val="24"/>
          <w:szCs w:val="24"/>
        </w:rPr>
      </w:pPr>
      <w:r>
        <w:rPr>
          <w:rFonts w:hint="eastAsia" w:ascii="Arial" w:hAnsi="Arial" w:eastAsia="宋体" w:cs="Arial"/>
          <w:color w:val="0000FF"/>
          <w:sz w:val="24"/>
          <w:szCs w:val="24"/>
        </w:rPr>
        <w:t>流程验证的一般原则指南</w:t>
      </w:r>
      <w:r>
        <w:rPr>
          <w:rFonts w:ascii="Arial" w:hAnsi="Arial" w:eastAsia="宋体" w:cs="Arial"/>
          <w:sz w:val="24"/>
          <w:szCs w:val="24"/>
        </w:rPr>
        <w:t>，药品与生物制品中心，</w:t>
      </w:r>
      <w:r>
        <w:rPr>
          <w:rFonts w:ascii="Arial" w:hAnsi="Arial" w:eastAsia="宋体" w:cs="Arial"/>
          <w:kern w:val="0"/>
          <w:sz w:val="24"/>
          <w:szCs w:val="24"/>
        </w:rPr>
        <w:t>器械与放射健康中心，食品药品监督管理局，1987年5月。</w:t>
      </w:r>
    </w:p>
    <w:p w14:paraId="2BAD81E0">
      <w:pPr>
        <w:adjustRightInd w:val="0"/>
        <w:snapToGrid w:val="0"/>
        <w:spacing w:after="312" w:afterLines="100" w:line="300" w:lineRule="auto"/>
        <w:jc w:val="left"/>
        <w:rPr>
          <w:rFonts w:ascii="Arial" w:hAnsi="Arial" w:eastAsia="宋体" w:cs="Arial"/>
          <w:kern w:val="0"/>
          <w:sz w:val="24"/>
          <w:szCs w:val="24"/>
        </w:rPr>
      </w:pPr>
      <w:r>
        <w:rPr>
          <w:rFonts w:ascii="Arial" w:hAnsi="Arial" w:eastAsia="宋体" w:cs="Arial"/>
          <w:kern w:val="0"/>
          <w:sz w:val="24"/>
          <w:szCs w:val="24"/>
        </w:rPr>
        <w:t>医疗器械；现行良好生产规范（CGMP）最终规定；质量体系法规，61联邦公报52602（1996年10月7日）。</w:t>
      </w:r>
    </w:p>
    <w:p w14:paraId="13F3C525">
      <w:pPr>
        <w:adjustRightInd w:val="0"/>
        <w:snapToGrid w:val="0"/>
        <w:spacing w:after="312" w:afterLines="100" w:line="300" w:lineRule="auto"/>
        <w:jc w:val="left"/>
        <w:rPr>
          <w:rFonts w:ascii="Arial" w:hAnsi="Arial" w:eastAsia="宋体" w:cs="Arial"/>
          <w:sz w:val="24"/>
          <w:szCs w:val="24"/>
        </w:rPr>
      </w:pPr>
      <w:r>
        <w:rPr>
          <w:rFonts w:hint="eastAsia" w:ascii="Arial" w:hAnsi="Arial" w:eastAsia="宋体" w:cs="Arial"/>
          <w:color w:val="0000FF"/>
          <w:sz w:val="24"/>
          <w:szCs w:val="24"/>
        </w:rPr>
        <w:t>血</w:t>
      </w:r>
      <w:r>
        <w:rPr>
          <w:rFonts w:ascii="Arial" w:hAnsi="Arial" w:eastAsia="宋体" w:cs="Arial"/>
          <w:color w:val="0000FF"/>
          <w:sz w:val="24"/>
          <w:szCs w:val="24"/>
        </w:rPr>
        <w:t>站</w:t>
      </w:r>
      <w:r>
        <w:rPr>
          <w:rFonts w:hint="eastAsia" w:ascii="Arial" w:hAnsi="Arial" w:eastAsia="宋体" w:cs="Arial"/>
          <w:color w:val="0000FF"/>
          <w:sz w:val="24"/>
          <w:szCs w:val="24"/>
        </w:rPr>
        <w:t>计算机软件上市前通告提交的审查员指南</w:t>
      </w:r>
      <w:r>
        <w:rPr>
          <w:rFonts w:ascii="Arial" w:hAnsi="Arial" w:eastAsia="宋体" w:cs="Arial"/>
          <w:sz w:val="24"/>
          <w:szCs w:val="24"/>
        </w:rPr>
        <w:t>，生物制品评估和研究中心，食品药品监督管理局，1997年1月。</w:t>
      </w:r>
    </w:p>
    <w:p w14:paraId="2B00BD59">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学生手册I，课程INV545，计算机系统验证，人力资源发展部，法规事务办公室，食品药品监督管理局，1997年。</w:t>
      </w:r>
    </w:p>
    <w:p w14:paraId="447778C0">
      <w:pPr>
        <w:adjustRightInd w:val="0"/>
        <w:snapToGrid w:val="0"/>
        <w:spacing w:after="312" w:afterLines="100" w:line="300" w:lineRule="auto"/>
        <w:jc w:val="left"/>
        <w:rPr>
          <w:rFonts w:ascii="Arial" w:hAnsi="Arial" w:eastAsia="宋体" w:cs="Arial"/>
          <w:sz w:val="24"/>
          <w:szCs w:val="24"/>
        </w:rPr>
      </w:pPr>
      <w:r>
        <w:rPr>
          <w:rFonts w:ascii="Arial" w:hAnsi="Arial" w:eastAsia="宋体" w:cs="Arial"/>
          <w:sz w:val="24"/>
          <w:szCs w:val="24"/>
        </w:rPr>
        <w:t>技术报告，软件开发工作，实地调查部，区域行动办公室，法规事务办公室，食品药品监督管理局，1987年7月。</w:t>
      </w:r>
    </w:p>
    <w:p w14:paraId="57863E01">
      <w:pPr>
        <w:widowControl/>
        <w:jc w:val="left"/>
        <w:rPr>
          <w:rFonts w:ascii="Arial" w:hAnsi="Arial" w:eastAsia="宋体" w:cs="Arial"/>
          <w:sz w:val="24"/>
          <w:szCs w:val="24"/>
        </w:rPr>
      </w:pPr>
      <w:r>
        <w:rPr>
          <w:rFonts w:ascii="Arial" w:hAnsi="Arial" w:eastAsia="宋体" w:cs="Arial"/>
          <w:sz w:val="24"/>
          <w:szCs w:val="24"/>
        </w:rPr>
        <w:br w:type="page"/>
      </w:r>
    </w:p>
    <w:p w14:paraId="3A1B9A72">
      <w:pPr>
        <w:adjustRightInd w:val="0"/>
        <w:snapToGrid w:val="0"/>
        <w:spacing w:after="312" w:afterLines="100" w:line="300" w:lineRule="auto"/>
        <w:jc w:val="left"/>
        <w:outlineLvl w:val="1"/>
        <w:rPr>
          <w:rFonts w:ascii="Arial" w:hAnsi="Arial" w:eastAsia="宋体" w:cs="Arial"/>
          <w:b/>
          <w:sz w:val="24"/>
          <w:szCs w:val="24"/>
        </w:rPr>
      </w:pPr>
      <w:bookmarkStart w:id="77" w:name="_Toc484792202"/>
      <w:r>
        <w:rPr>
          <w:rFonts w:ascii="Arial" w:hAnsi="Arial" w:eastAsia="宋体" w:cs="Arial"/>
          <w:b/>
          <w:sz w:val="24"/>
          <w:szCs w:val="24"/>
        </w:rPr>
        <w:t>其它政府参考文件</w:t>
      </w:r>
      <w:bookmarkEnd w:id="77"/>
    </w:p>
    <w:p w14:paraId="39920E66">
      <w:pPr>
        <w:autoSpaceDE w:val="0"/>
        <w:autoSpaceDN w:val="0"/>
        <w:adjustRightInd w:val="0"/>
        <w:snapToGrid w:val="0"/>
        <w:spacing w:after="156" w:afterLines="50" w:line="300" w:lineRule="auto"/>
        <w:rPr>
          <w:rFonts w:ascii="Arial" w:hAnsi="Arial" w:eastAsia="宋体" w:cs="Arial"/>
          <w:i/>
          <w:iCs/>
          <w:kern w:val="0"/>
          <w:sz w:val="24"/>
          <w:szCs w:val="24"/>
        </w:rPr>
      </w:pPr>
      <w:r>
        <w:rPr>
          <w:rFonts w:ascii="Arial" w:hAnsi="Arial" w:eastAsia="宋体" w:cs="Arial"/>
          <w:kern w:val="0"/>
          <w:sz w:val="24"/>
          <w:szCs w:val="24"/>
        </w:rPr>
        <w:t xml:space="preserve">W. Richards Adrion, Martha A. Branstad, John C. Cherniavsky. </w:t>
      </w:r>
      <w:r>
        <w:rPr>
          <w:rFonts w:ascii="Arial" w:hAnsi="Arial" w:eastAsia="宋体" w:cs="Arial"/>
          <w:i/>
          <w:iCs/>
          <w:kern w:val="0"/>
          <w:sz w:val="24"/>
          <w:szCs w:val="24"/>
        </w:rPr>
        <w:t xml:space="preserve">NBS Special Publication 500-75, Validation, Verification, and Testing of Computer Software, </w:t>
      </w:r>
      <w:r>
        <w:rPr>
          <w:rFonts w:ascii="Arial" w:hAnsi="Arial" w:eastAsia="宋体" w:cs="Arial"/>
          <w:kern w:val="0"/>
          <w:sz w:val="24"/>
          <w:szCs w:val="24"/>
        </w:rPr>
        <w:t>Center for Programming Science and</w:t>
      </w:r>
      <w:r>
        <w:rPr>
          <w:rFonts w:ascii="Arial" w:hAnsi="Arial" w:eastAsia="宋体" w:cs="Arial"/>
          <w:i/>
          <w:iCs/>
          <w:kern w:val="0"/>
          <w:sz w:val="24"/>
          <w:szCs w:val="24"/>
        </w:rPr>
        <w:t xml:space="preserve"> </w:t>
      </w:r>
      <w:r>
        <w:rPr>
          <w:rFonts w:ascii="Arial" w:hAnsi="Arial" w:eastAsia="宋体" w:cs="Arial"/>
          <w:kern w:val="0"/>
          <w:sz w:val="24"/>
          <w:szCs w:val="24"/>
        </w:rPr>
        <w:t>Technology, Institute for Computer Sciences and Technology, National Bureau of Standards, U.S.Department of Commerce, February 1981.</w:t>
      </w:r>
    </w:p>
    <w:p w14:paraId="5A2FE3C2">
      <w:pPr>
        <w:autoSpaceDE w:val="0"/>
        <w:autoSpaceDN w:val="0"/>
        <w:adjustRightInd w:val="0"/>
        <w:snapToGrid w:val="0"/>
        <w:spacing w:after="156" w:afterLines="50" w:line="300" w:lineRule="auto"/>
        <w:rPr>
          <w:rFonts w:ascii="Arial" w:hAnsi="Arial" w:eastAsia="宋体" w:cs="Arial"/>
          <w:i/>
          <w:iCs/>
          <w:kern w:val="0"/>
          <w:sz w:val="24"/>
          <w:szCs w:val="24"/>
        </w:rPr>
      </w:pPr>
      <w:r>
        <w:rPr>
          <w:rFonts w:ascii="Arial" w:hAnsi="Arial" w:eastAsia="宋体" w:cs="Arial"/>
          <w:kern w:val="0"/>
          <w:sz w:val="24"/>
          <w:szCs w:val="24"/>
        </w:rPr>
        <w:t xml:space="preserve">Martha A. Branstad, John C Cherniavsky, W. Richards Adrion, </w:t>
      </w:r>
      <w:r>
        <w:rPr>
          <w:rFonts w:ascii="Arial" w:hAnsi="Arial" w:eastAsia="宋体" w:cs="Arial"/>
          <w:i/>
          <w:iCs/>
          <w:kern w:val="0"/>
          <w:sz w:val="24"/>
          <w:szCs w:val="24"/>
        </w:rPr>
        <w:t>NBS Special Publication 500-56, Validation, Verification, and Testing for the Individual Programmer</w:t>
      </w:r>
      <w:r>
        <w:rPr>
          <w:rFonts w:ascii="Arial" w:hAnsi="Arial" w:eastAsia="宋体" w:cs="Arial"/>
          <w:kern w:val="0"/>
          <w:sz w:val="24"/>
          <w:szCs w:val="24"/>
        </w:rPr>
        <w:t>, Center for Programming</w:t>
      </w:r>
      <w:r>
        <w:rPr>
          <w:rFonts w:ascii="Arial" w:hAnsi="Arial" w:eastAsia="宋体" w:cs="Arial"/>
          <w:i/>
          <w:iCs/>
          <w:kern w:val="0"/>
          <w:sz w:val="24"/>
          <w:szCs w:val="24"/>
        </w:rPr>
        <w:t xml:space="preserve"> </w:t>
      </w:r>
      <w:r>
        <w:rPr>
          <w:rFonts w:ascii="Arial" w:hAnsi="Arial" w:eastAsia="宋体" w:cs="Arial"/>
          <w:kern w:val="0"/>
          <w:sz w:val="24"/>
          <w:szCs w:val="24"/>
        </w:rPr>
        <w:t>Science and Technology, Institute for Computer Sciences and Technology, National Bureau of</w:t>
      </w:r>
      <w:r>
        <w:rPr>
          <w:rFonts w:ascii="Arial" w:hAnsi="Arial" w:eastAsia="宋体" w:cs="Arial"/>
          <w:i/>
          <w:iCs/>
          <w:kern w:val="0"/>
          <w:sz w:val="24"/>
          <w:szCs w:val="24"/>
        </w:rPr>
        <w:t xml:space="preserve"> </w:t>
      </w:r>
      <w:r>
        <w:rPr>
          <w:rFonts w:ascii="Arial" w:hAnsi="Arial" w:eastAsia="宋体" w:cs="Arial"/>
          <w:kern w:val="0"/>
          <w:sz w:val="24"/>
          <w:szCs w:val="24"/>
        </w:rPr>
        <w:t>Standards, U.S. Department of Commerce, February 1980.</w:t>
      </w:r>
    </w:p>
    <w:p w14:paraId="0022D60D">
      <w:pPr>
        <w:autoSpaceDE w:val="0"/>
        <w:autoSpaceDN w:val="0"/>
        <w:adjustRightInd w:val="0"/>
        <w:snapToGrid w:val="0"/>
        <w:spacing w:after="156" w:afterLines="50" w:line="300" w:lineRule="auto"/>
        <w:rPr>
          <w:rFonts w:ascii="Arial" w:hAnsi="Arial" w:eastAsia="宋体" w:cs="Arial"/>
          <w:i/>
          <w:iCs/>
          <w:kern w:val="0"/>
          <w:sz w:val="24"/>
          <w:szCs w:val="24"/>
        </w:rPr>
      </w:pPr>
      <w:r>
        <w:rPr>
          <w:rFonts w:ascii="Arial" w:hAnsi="Arial" w:eastAsia="宋体" w:cs="Arial"/>
          <w:kern w:val="0"/>
          <w:sz w:val="24"/>
          <w:szCs w:val="24"/>
        </w:rPr>
        <w:t xml:space="preserve">J.L. Bryant, N.P. Wilburn, </w:t>
      </w:r>
      <w:r>
        <w:rPr>
          <w:rFonts w:ascii="Arial" w:hAnsi="Arial" w:eastAsia="宋体" w:cs="Arial"/>
          <w:i/>
          <w:iCs/>
          <w:kern w:val="0"/>
          <w:sz w:val="24"/>
          <w:szCs w:val="24"/>
        </w:rPr>
        <w:t>Handbook of Software Quality Assurance Techniques Applicable to the Nuclear Industry</w:t>
      </w:r>
      <w:r>
        <w:rPr>
          <w:rFonts w:ascii="Arial" w:hAnsi="Arial" w:eastAsia="宋体" w:cs="Arial"/>
          <w:kern w:val="0"/>
          <w:sz w:val="24"/>
          <w:szCs w:val="24"/>
        </w:rPr>
        <w:t>, NUREG/CR-4640, U.S. Nuclear Regulatory Commission, 1987.</w:t>
      </w:r>
    </w:p>
    <w:p w14:paraId="5D04D992">
      <w:pPr>
        <w:autoSpaceDE w:val="0"/>
        <w:autoSpaceDN w:val="0"/>
        <w:adjustRightInd w:val="0"/>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 xml:space="preserve">H. Hecht, et.al., </w:t>
      </w:r>
      <w:r>
        <w:rPr>
          <w:rFonts w:ascii="Arial" w:hAnsi="Arial" w:eastAsia="宋体" w:cs="Arial"/>
          <w:i/>
          <w:iCs/>
          <w:kern w:val="0"/>
          <w:sz w:val="24"/>
          <w:szCs w:val="24"/>
        </w:rPr>
        <w:t>Verification and Validation Guidelines for High Integrity Systems</w:t>
      </w:r>
      <w:r>
        <w:rPr>
          <w:rFonts w:ascii="Arial" w:hAnsi="Arial" w:eastAsia="宋体" w:cs="Arial"/>
          <w:kern w:val="0"/>
          <w:sz w:val="24"/>
          <w:szCs w:val="24"/>
        </w:rPr>
        <w:t>. NUREG/CR-6293. Prepared for U.S. Nuclear Regulatory Commission, 1995.</w:t>
      </w:r>
    </w:p>
    <w:p w14:paraId="6CAFFE3C">
      <w:pPr>
        <w:autoSpaceDE w:val="0"/>
        <w:autoSpaceDN w:val="0"/>
        <w:adjustRightInd w:val="0"/>
        <w:snapToGrid w:val="0"/>
        <w:spacing w:after="156" w:afterLines="50" w:line="300" w:lineRule="auto"/>
        <w:rPr>
          <w:rFonts w:ascii="Arial" w:hAnsi="Arial" w:eastAsia="宋体" w:cs="Arial"/>
          <w:i/>
          <w:iCs/>
          <w:kern w:val="0"/>
          <w:sz w:val="24"/>
          <w:szCs w:val="24"/>
        </w:rPr>
      </w:pPr>
      <w:r>
        <w:rPr>
          <w:rFonts w:ascii="Arial" w:hAnsi="Arial" w:eastAsia="宋体" w:cs="Arial"/>
          <w:kern w:val="0"/>
          <w:sz w:val="24"/>
          <w:szCs w:val="24"/>
        </w:rPr>
        <w:t xml:space="preserve">H. Hecht, et.al., </w:t>
      </w:r>
      <w:r>
        <w:rPr>
          <w:rFonts w:ascii="Arial" w:hAnsi="Arial" w:eastAsia="宋体" w:cs="Arial"/>
          <w:i/>
          <w:iCs/>
          <w:kern w:val="0"/>
          <w:sz w:val="24"/>
          <w:szCs w:val="24"/>
        </w:rPr>
        <w:t>Review Guidelines on Software Languages for Use in Nuclear Power Plant Safety Systems, Final Report</w:t>
      </w:r>
      <w:r>
        <w:rPr>
          <w:rFonts w:ascii="Arial" w:hAnsi="Arial" w:eastAsia="宋体" w:cs="Arial"/>
          <w:kern w:val="0"/>
          <w:sz w:val="24"/>
          <w:szCs w:val="24"/>
        </w:rPr>
        <w:t>. NUREG/CR-6463. Prepared for U.S. Nuclear Regulatory</w:t>
      </w:r>
      <w:r>
        <w:rPr>
          <w:rFonts w:ascii="Arial" w:hAnsi="Arial" w:eastAsia="宋体" w:cs="Arial"/>
          <w:i/>
          <w:iCs/>
          <w:kern w:val="0"/>
          <w:sz w:val="24"/>
          <w:szCs w:val="24"/>
        </w:rPr>
        <w:t xml:space="preserve"> </w:t>
      </w:r>
      <w:r>
        <w:rPr>
          <w:rFonts w:ascii="Arial" w:hAnsi="Arial" w:eastAsia="宋体" w:cs="Arial"/>
          <w:kern w:val="0"/>
          <w:sz w:val="24"/>
          <w:szCs w:val="24"/>
        </w:rPr>
        <w:t>Commission, 1996.</w:t>
      </w:r>
    </w:p>
    <w:p w14:paraId="4975C3FD">
      <w:pPr>
        <w:autoSpaceDE w:val="0"/>
        <w:autoSpaceDN w:val="0"/>
        <w:adjustRightInd w:val="0"/>
        <w:snapToGrid w:val="0"/>
        <w:spacing w:after="156" w:afterLines="50" w:line="300" w:lineRule="auto"/>
        <w:rPr>
          <w:rFonts w:ascii="Arial" w:hAnsi="Arial" w:eastAsia="宋体" w:cs="Arial"/>
          <w:i/>
          <w:iCs/>
          <w:kern w:val="0"/>
          <w:sz w:val="24"/>
          <w:szCs w:val="24"/>
        </w:rPr>
      </w:pPr>
      <w:r>
        <w:rPr>
          <w:rFonts w:ascii="Arial" w:hAnsi="Arial" w:eastAsia="宋体" w:cs="Arial"/>
          <w:kern w:val="0"/>
          <w:sz w:val="24"/>
          <w:szCs w:val="24"/>
        </w:rPr>
        <w:t>J.D. Lawrence, W.L. Persons</w:t>
      </w:r>
      <w:r>
        <w:rPr>
          <w:rFonts w:ascii="Arial" w:hAnsi="Arial" w:eastAsia="宋体" w:cs="Arial"/>
          <w:i/>
          <w:iCs/>
          <w:kern w:val="0"/>
          <w:sz w:val="24"/>
          <w:szCs w:val="24"/>
        </w:rPr>
        <w:t>, Survey of Industry Methods for Producing Highly Reliable Software</w:t>
      </w:r>
      <w:r>
        <w:rPr>
          <w:rFonts w:ascii="Arial" w:hAnsi="Arial" w:eastAsia="宋体" w:cs="Arial"/>
          <w:kern w:val="0"/>
          <w:sz w:val="24"/>
          <w:szCs w:val="24"/>
        </w:rPr>
        <w:t>, NUREG/CR-6278, U.S. Nuclear Regulatory Commission, 1994.</w:t>
      </w:r>
    </w:p>
    <w:p w14:paraId="209F3503">
      <w:pPr>
        <w:autoSpaceDE w:val="0"/>
        <w:autoSpaceDN w:val="0"/>
        <w:adjustRightInd w:val="0"/>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 xml:space="preserve">J.D. Lawrence, G.G. Preckshot, </w:t>
      </w:r>
      <w:r>
        <w:rPr>
          <w:rFonts w:ascii="Arial" w:hAnsi="Arial" w:eastAsia="宋体" w:cs="Arial"/>
          <w:i/>
          <w:iCs/>
          <w:kern w:val="0"/>
          <w:sz w:val="24"/>
          <w:szCs w:val="24"/>
        </w:rPr>
        <w:t>Design Factors for Safety-Critical Software</w:t>
      </w:r>
      <w:r>
        <w:rPr>
          <w:rFonts w:ascii="Arial" w:hAnsi="Arial" w:eastAsia="宋体" w:cs="Arial"/>
          <w:kern w:val="0"/>
          <w:sz w:val="24"/>
          <w:szCs w:val="24"/>
        </w:rPr>
        <w:t>, NUREG/CR-6294, U.S. Nuclear Regulatory Commission, 1994.</w:t>
      </w:r>
    </w:p>
    <w:p w14:paraId="098736D3">
      <w:pPr>
        <w:autoSpaceDE w:val="0"/>
        <w:autoSpaceDN w:val="0"/>
        <w:adjustRightInd w:val="0"/>
        <w:snapToGrid w:val="0"/>
        <w:spacing w:after="156" w:afterLines="50" w:line="300" w:lineRule="auto"/>
        <w:rPr>
          <w:rFonts w:ascii="Arial" w:hAnsi="Arial" w:eastAsia="宋体" w:cs="Arial"/>
          <w:i/>
          <w:iCs/>
          <w:kern w:val="0"/>
          <w:sz w:val="24"/>
          <w:szCs w:val="24"/>
        </w:rPr>
      </w:pPr>
      <w:r>
        <w:rPr>
          <w:rFonts w:ascii="Arial" w:hAnsi="Arial" w:eastAsia="宋体" w:cs="Arial"/>
          <w:kern w:val="0"/>
          <w:sz w:val="24"/>
          <w:szCs w:val="24"/>
        </w:rPr>
        <w:t xml:space="preserve">Patricia B. Powell, Editor. </w:t>
      </w:r>
      <w:r>
        <w:rPr>
          <w:rFonts w:ascii="Arial" w:hAnsi="Arial" w:eastAsia="宋体" w:cs="Arial"/>
          <w:i/>
          <w:iCs/>
          <w:kern w:val="0"/>
          <w:sz w:val="24"/>
          <w:szCs w:val="24"/>
        </w:rPr>
        <w:t xml:space="preserve">NBS Special Publication 500-98, Planning for Software Validation, Verification, and Testing, </w:t>
      </w:r>
      <w:r>
        <w:rPr>
          <w:rFonts w:ascii="Arial" w:hAnsi="Arial" w:eastAsia="宋体" w:cs="Arial"/>
          <w:kern w:val="0"/>
          <w:sz w:val="24"/>
          <w:szCs w:val="24"/>
        </w:rPr>
        <w:t>Center for Programming Science and Technology, Institute for Computer</w:t>
      </w:r>
      <w:r>
        <w:rPr>
          <w:rFonts w:ascii="Arial" w:hAnsi="Arial" w:eastAsia="宋体" w:cs="Arial"/>
          <w:i/>
          <w:iCs/>
          <w:kern w:val="0"/>
          <w:sz w:val="24"/>
          <w:szCs w:val="24"/>
        </w:rPr>
        <w:t xml:space="preserve"> </w:t>
      </w:r>
      <w:r>
        <w:rPr>
          <w:rFonts w:ascii="Arial" w:hAnsi="Arial" w:eastAsia="宋体" w:cs="Arial"/>
          <w:kern w:val="0"/>
          <w:sz w:val="24"/>
          <w:szCs w:val="24"/>
        </w:rPr>
        <w:t>Sciences and Technology, National Bureau of Standards, U.S. Department of Commerce, November</w:t>
      </w:r>
      <w:r>
        <w:rPr>
          <w:rFonts w:ascii="Arial" w:hAnsi="Arial" w:eastAsia="宋体" w:cs="Arial"/>
          <w:i/>
          <w:iCs/>
          <w:kern w:val="0"/>
          <w:sz w:val="24"/>
          <w:szCs w:val="24"/>
        </w:rPr>
        <w:t xml:space="preserve"> </w:t>
      </w:r>
      <w:r>
        <w:rPr>
          <w:rFonts w:ascii="Arial" w:hAnsi="Arial" w:eastAsia="宋体" w:cs="Arial"/>
          <w:kern w:val="0"/>
          <w:sz w:val="24"/>
          <w:szCs w:val="24"/>
        </w:rPr>
        <w:t>1982.</w:t>
      </w:r>
    </w:p>
    <w:p w14:paraId="0E01438A">
      <w:pPr>
        <w:autoSpaceDE w:val="0"/>
        <w:autoSpaceDN w:val="0"/>
        <w:adjustRightInd w:val="0"/>
        <w:snapToGrid w:val="0"/>
        <w:spacing w:after="156" w:afterLines="50" w:line="300" w:lineRule="auto"/>
        <w:rPr>
          <w:rFonts w:ascii="Arial" w:hAnsi="Arial" w:eastAsia="宋体" w:cs="Arial"/>
          <w:i/>
          <w:iCs/>
          <w:kern w:val="0"/>
          <w:sz w:val="24"/>
          <w:szCs w:val="24"/>
        </w:rPr>
      </w:pPr>
      <w:r>
        <w:rPr>
          <w:rFonts w:ascii="Arial" w:hAnsi="Arial" w:eastAsia="宋体" w:cs="Arial"/>
          <w:kern w:val="0"/>
          <w:sz w:val="24"/>
          <w:szCs w:val="24"/>
        </w:rPr>
        <w:t xml:space="preserve">Patricia B. Powell, Editor. </w:t>
      </w:r>
      <w:r>
        <w:rPr>
          <w:rFonts w:ascii="Arial" w:hAnsi="Arial" w:eastAsia="宋体" w:cs="Arial"/>
          <w:i/>
          <w:iCs/>
          <w:kern w:val="0"/>
          <w:sz w:val="24"/>
          <w:szCs w:val="24"/>
        </w:rPr>
        <w:t>NBS Special Publication 500-93, Software Validation, Verification, and Testing Technique and Tool Reference Guide</w:t>
      </w:r>
      <w:r>
        <w:rPr>
          <w:rFonts w:ascii="Arial" w:hAnsi="Arial" w:eastAsia="宋体" w:cs="Arial"/>
          <w:kern w:val="0"/>
          <w:sz w:val="24"/>
          <w:szCs w:val="24"/>
        </w:rPr>
        <w:t>, Center for Programming Science and</w:t>
      </w:r>
      <w:r>
        <w:rPr>
          <w:rFonts w:ascii="Arial" w:hAnsi="Arial" w:eastAsia="宋体" w:cs="Arial"/>
          <w:i/>
          <w:iCs/>
          <w:kern w:val="0"/>
          <w:sz w:val="24"/>
          <w:szCs w:val="24"/>
        </w:rPr>
        <w:t xml:space="preserve"> </w:t>
      </w:r>
      <w:r>
        <w:rPr>
          <w:rFonts w:ascii="Arial" w:hAnsi="Arial" w:eastAsia="宋体" w:cs="Arial"/>
          <w:kern w:val="0"/>
          <w:sz w:val="24"/>
          <w:szCs w:val="24"/>
        </w:rPr>
        <w:t>Technology, Institute for Computer Sciences and Technology, National Bureau of Standards, U.S.</w:t>
      </w:r>
      <w:r>
        <w:rPr>
          <w:rFonts w:ascii="Arial" w:hAnsi="Arial" w:eastAsia="宋体" w:cs="Arial"/>
          <w:i/>
          <w:iCs/>
          <w:kern w:val="0"/>
          <w:sz w:val="24"/>
          <w:szCs w:val="24"/>
        </w:rPr>
        <w:t xml:space="preserve"> </w:t>
      </w:r>
      <w:r>
        <w:rPr>
          <w:rFonts w:ascii="Arial" w:hAnsi="Arial" w:eastAsia="宋体" w:cs="Arial"/>
          <w:kern w:val="0"/>
          <w:sz w:val="24"/>
          <w:szCs w:val="24"/>
        </w:rPr>
        <w:t>Department of Commerce, September 1982.</w:t>
      </w:r>
    </w:p>
    <w:p w14:paraId="4C055C5E">
      <w:pPr>
        <w:autoSpaceDE w:val="0"/>
        <w:autoSpaceDN w:val="0"/>
        <w:adjustRightInd w:val="0"/>
        <w:snapToGrid w:val="0"/>
        <w:spacing w:after="156" w:afterLines="50" w:line="300" w:lineRule="auto"/>
        <w:rPr>
          <w:rFonts w:ascii="Arial" w:hAnsi="Arial" w:eastAsia="宋体" w:cs="Arial"/>
          <w:i/>
          <w:iCs/>
          <w:kern w:val="0"/>
          <w:sz w:val="24"/>
          <w:szCs w:val="24"/>
        </w:rPr>
      </w:pPr>
      <w:r>
        <w:rPr>
          <w:rFonts w:ascii="Arial" w:hAnsi="Arial" w:eastAsia="宋体" w:cs="Arial"/>
          <w:kern w:val="0"/>
          <w:sz w:val="24"/>
          <w:szCs w:val="24"/>
        </w:rPr>
        <w:t xml:space="preserve">Delores R. Wallace, Roger U. Fujii, </w:t>
      </w:r>
      <w:r>
        <w:rPr>
          <w:rFonts w:ascii="Arial" w:hAnsi="Arial" w:eastAsia="宋体" w:cs="Arial"/>
          <w:i/>
          <w:iCs/>
          <w:kern w:val="0"/>
          <w:sz w:val="24"/>
          <w:szCs w:val="24"/>
        </w:rPr>
        <w:t>NIST Special Publication 500-165, Software Verification and Validation: Its Role in Computer Assurance and Its Relationship with Software Project Management Standards</w:t>
      </w:r>
      <w:r>
        <w:rPr>
          <w:rFonts w:ascii="Arial" w:hAnsi="Arial" w:eastAsia="宋体" w:cs="Arial"/>
          <w:kern w:val="0"/>
          <w:sz w:val="24"/>
          <w:szCs w:val="24"/>
        </w:rPr>
        <w:t>, National Computer Systems Laboratory, National Institute of Standards and</w:t>
      </w:r>
      <w:r>
        <w:rPr>
          <w:rFonts w:ascii="Arial" w:hAnsi="Arial" w:eastAsia="宋体" w:cs="Arial"/>
          <w:i/>
          <w:iCs/>
          <w:kern w:val="0"/>
          <w:sz w:val="24"/>
          <w:szCs w:val="24"/>
        </w:rPr>
        <w:t xml:space="preserve"> </w:t>
      </w:r>
      <w:r>
        <w:rPr>
          <w:rFonts w:ascii="Arial" w:hAnsi="Arial" w:eastAsia="宋体" w:cs="Arial"/>
          <w:kern w:val="0"/>
          <w:sz w:val="24"/>
          <w:szCs w:val="24"/>
        </w:rPr>
        <w:t>Technology, U.S. Department of Commerce, September 1995.</w:t>
      </w:r>
    </w:p>
    <w:p w14:paraId="47707C25">
      <w:pPr>
        <w:autoSpaceDE w:val="0"/>
        <w:autoSpaceDN w:val="0"/>
        <w:adjustRightInd w:val="0"/>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 xml:space="preserve">Delores R. Wallace, Laura M. Ippolito, D. Richard Kuhn, </w:t>
      </w:r>
      <w:r>
        <w:rPr>
          <w:rFonts w:ascii="Arial" w:hAnsi="Arial" w:eastAsia="宋体" w:cs="Arial"/>
          <w:i/>
          <w:iCs/>
          <w:kern w:val="0"/>
          <w:sz w:val="24"/>
          <w:szCs w:val="24"/>
        </w:rPr>
        <w:t>NIST Special Publication 500-204, High Integrity Software, Standards and Guidelines</w:t>
      </w:r>
      <w:r>
        <w:rPr>
          <w:rFonts w:ascii="Arial" w:hAnsi="Arial" w:eastAsia="宋体" w:cs="Arial"/>
          <w:kern w:val="0"/>
          <w:sz w:val="24"/>
          <w:szCs w:val="24"/>
        </w:rPr>
        <w:t xml:space="preserve">, Computer Systems Laboratory, National Institute of Standards and Technology, U.S. Department of Commerce, September 1992. </w:t>
      </w:r>
    </w:p>
    <w:p w14:paraId="2A70A4E8">
      <w:pPr>
        <w:autoSpaceDE w:val="0"/>
        <w:autoSpaceDN w:val="0"/>
        <w:adjustRightInd w:val="0"/>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 xml:space="preserve">Delores R. Wallace, et.al. </w:t>
      </w:r>
      <w:r>
        <w:rPr>
          <w:rFonts w:ascii="Arial" w:hAnsi="Arial" w:eastAsia="宋体" w:cs="Arial"/>
          <w:i/>
          <w:iCs/>
          <w:kern w:val="0"/>
          <w:sz w:val="24"/>
          <w:szCs w:val="24"/>
        </w:rPr>
        <w:t>NIST Special Publication 500-234, Reference Information for the</w:t>
      </w:r>
      <w:r>
        <w:rPr>
          <w:rFonts w:ascii="Arial" w:hAnsi="Arial" w:eastAsia="宋体" w:cs="Arial"/>
          <w:kern w:val="0"/>
          <w:sz w:val="24"/>
          <w:szCs w:val="24"/>
        </w:rPr>
        <w:t xml:space="preserve"> </w:t>
      </w:r>
      <w:r>
        <w:rPr>
          <w:rFonts w:ascii="Arial" w:hAnsi="Arial" w:eastAsia="宋体" w:cs="Arial"/>
          <w:i/>
          <w:iCs/>
          <w:kern w:val="0"/>
          <w:sz w:val="24"/>
          <w:szCs w:val="24"/>
        </w:rPr>
        <w:t>Software Verification and Validation Process</w:t>
      </w:r>
      <w:r>
        <w:rPr>
          <w:rFonts w:ascii="Arial" w:hAnsi="Arial" w:eastAsia="宋体" w:cs="Arial"/>
          <w:kern w:val="0"/>
          <w:sz w:val="24"/>
          <w:szCs w:val="24"/>
        </w:rPr>
        <w:t>. Computer Systems Laboratory, National Institute of Standards and Technology, U.S. Department of Commerce, March 1996.</w:t>
      </w:r>
    </w:p>
    <w:p w14:paraId="5CAFDEA4">
      <w:pPr>
        <w:autoSpaceDE w:val="0"/>
        <w:autoSpaceDN w:val="0"/>
        <w:adjustRightInd w:val="0"/>
        <w:snapToGrid w:val="0"/>
        <w:spacing w:after="312" w:afterLines="100" w:line="300" w:lineRule="auto"/>
        <w:rPr>
          <w:rFonts w:ascii="Arial" w:hAnsi="Arial" w:eastAsia="宋体" w:cs="Arial"/>
          <w:kern w:val="0"/>
          <w:sz w:val="24"/>
          <w:szCs w:val="24"/>
        </w:rPr>
      </w:pPr>
      <w:r>
        <w:rPr>
          <w:rFonts w:ascii="Arial" w:hAnsi="Arial" w:eastAsia="宋体" w:cs="Arial"/>
          <w:kern w:val="0"/>
          <w:sz w:val="24"/>
          <w:szCs w:val="24"/>
        </w:rPr>
        <w:t xml:space="preserve">Delores R. Wallace, Editor. </w:t>
      </w:r>
      <w:r>
        <w:rPr>
          <w:rFonts w:ascii="Arial" w:hAnsi="Arial" w:eastAsia="宋体" w:cs="Arial"/>
          <w:i/>
          <w:iCs/>
          <w:kern w:val="0"/>
          <w:sz w:val="24"/>
          <w:szCs w:val="24"/>
        </w:rPr>
        <w:t>NIST Special Publication 500-235, Structured Testing: A Testing Methodology Using the Cyclomatic Complexity Metric</w:t>
      </w:r>
      <w:r>
        <w:rPr>
          <w:rFonts w:ascii="Arial" w:hAnsi="Arial" w:eastAsia="宋体" w:cs="Arial"/>
          <w:kern w:val="0"/>
          <w:sz w:val="24"/>
          <w:szCs w:val="24"/>
        </w:rPr>
        <w:t>. Computer Systems Laboratory, National</w:t>
      </w:r>
      <w:r>
        <w:rPr>
          <w:rFonts w:ascii="Arial" w:hAnsi="Arial" w:eastAsia="宋体" w:cs="Arial"/>
          <w:i/>
          <w:iCs/>
          <w:kern w:val="0"/>
          <w:sz w:val="24"/>
          <w:szCs w:val="24"/>
        </w:rPr>
        <w:t xml:space="preserve"> </w:t>
      </w:r>
      <w:r>
        <w:rPr>
          <w:rFonts w:ascii="Arial" w:hAnsi="Arial" w:eastAsia="宋体" w:cs="Arial"/>
          <w:kern w:val="0"/>
          <w:sz w:val="24"/>
          <w:szCs w:val="24"/>
        </w:rPr>
        <w:t>Institute of Standards and Technology, U.S. Department of Commerce, August 1996.</w:t>
      </w:r>
    </w:p>
    <w:p w14:paraId="6B45291C">
      <w:pPr>
        <w:autoSpaceDE w:val="0"/>
        <w:autoSpaceDN w:val="0"/>
        <w:adjustRightInd w:val="0"/>
        <w:snapToGrid w:val="0"/>
        <w:spacing w:after="312" w:afterLines="100" w:line="300" w:lineRule="auto"/>
        <w:rPr>
          <w:rFonts w:ascii="Arial" w:hAnsi="Arial" w:eastAsia="宋体" w:cs="Arial"/>
          <w:kern w:val="0"/>
          <w:sz w:val="24"/>
          <w:szCs w:val="24"/>
        </w:rPr>
      </w:pPr>
    </w:p>
    <w:p w14:paraId="27099423">
      <w:pPr>
        <w:adjustRightInd w:val="0"/>
        <w:snapToGrid w:val="0"/>
        <w:spacing w:after="312" w:afterLines="100" w:line="300" w:lineRule="auto"/>
        <w:jc w:val="left"/>
        <w:outlineLvl w:val="1"/>
        <w:rPr>
          <w:rFonts w:ascii="Arial" w:hAnsi="Arial" w:eastAsia="宋体" w:cs="Arial"/>
          <w:b/>
          <w:sz w:val="24"/>
          <w:szCs w:val="24"/>
        </w:rPr>
      </w:pPr>
      <w:bookmarkStart w:id="78" w:name="_Toc484792203"/>
      <w:r>
        <w:rPr>
          <w:rFonts w:hint="eastAsia" w:ascii="Arial" w:hAnsi="Arial" w:eastAsia="宋体" w:cs="Arial"/>
          <w:b/>
          <w:sz w:val="24"/>
          <w:szCs w:val="24"/>
        </w:rPr>
        <w:t>国际和国家共识标准</w:t>
      </w:r>
      <w:bookmarkEnd w:id="78"/>
    </w:p>
    <w:p w14:paraId="047EAEE0">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kern w:val="0"/>
          <w:sz w:val="24"/>
          <w:szCs w:val="24"/>
        </w:rPr>
        <w:t>ANSI/ANS-10.4-1987，</w:t>
      </w:r>
      <w:r>
        <w:rPr>
          <w:rFonts w:ascii="Arial" w:hAnsi="Arial" w:eastAsia="宋体" w:cs="Arial"/>
          <w:iCs/>
          <w:kern w:val="0"/>
          <w:sz w:val="24"/>
          <w:szCs w:val="24"/>
        </w:rPr>
        <w:t>《</w:t>
      </w:r>
      <w:r>
        <w:rPr>
          <w:rFonts w:hint="eastAsia" w:ascii="Arial" w:hAnsi="Arial" w:eastAsia="宋体" w:cs="Arial"/>
          <w:iCs/>
          <w:kern w:val="0"/>
          <w:sz w:val="24"/>
          <w:szCs w:val="24"/>
        </w:rPr>
        <w:t>核工业科研和工程用计算机程序验证和确认</w:t>
      </w:r>
      <w:r>
        <w:rPr>
          <w:rFonts w:ascii="Arial" w:hAnsi="Arial" w:eastAsia="宋体" w:cs="Arial"/>
          <w:iCs/>
          <w:kern w:val="0"/>
          <w:sz w:val="24"/>
          <w:szCs w:val="24"/>
        </w:rPr>
        <w:t>指南》，美国国家标准协会，1987年。</w:t>
      </w:r>
    </w:p>
    <w:p w14:paraId="47DB4D55">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ANSI/ASQC标准D1160-1995，《正式设计评论》，美国质量控制协会，1995。</w:t>
      </w:r>
    </w:p>
    <w:p w14:paraId="34A8CF9D">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ANSI/UL 1998：1998，《可编程组件中的软件安全标准》，</w:t>
      </w:r>
      <w:r>
        <w:rPr>
          <w:rFonts w:ascii="Arial" w:hAnsi="Arial" w:eastAsia="宋体" w:cs="Arial"/>
          <w:kern w:val="0"/>
          <w:sz w:val="24"/>
          <w:szCs w:val="24"/>
        </w:rPr>
        <w:t>Underwriters Laboratories, Inc.,</w:t>
      </w:r>
      <w:r>
        <w:rPr>
          <w:rFonts w:ascii="Arial" w:hAnsi="Arial" w:eastAsia="宋体" w:cs="Arial"/>
          <w:iCs/>
          <w:kern w:val="0"/>
          <w:sz w:val="24"/>
          <w:szCs w:val="24"/>
        </w:rPr>
        <w:t>，1998年。</w:t>
      </w:r>
    </w:p>
    <w:p w14:paraId="03629CCD">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AS 3563.1-1991，软件质量管理体系，第1部分：要求。由澳大利亚标准协会（澳大利亚标准协会）出版，</w:t>
      </w:r>
      <w:r>
        <w:rPr>
          <w:rFonts w:ascii="Arial" w:hAnsi="Arial" w:eastAsia="宋体" w:cs="Arial"/>
          <w:kern w:val="0"/>
          <w:sz w:val="24"/>
          <w:szCs w:val="24"/>
        </w:rPr>
        <w:t>1 The Crescent，Homebush，NSW 2140。</w:t>
      </w:r>
    </w:p>
    <w:p w14:paraId="0D090E9F">
      <w:pPr>
        <w:autoSpaceDE w:val="0"/>
        <w:autoSpaceDN w:val="0"/>
        <w:adjustRightInd w:val="0"/>
        <w:snapToGrid w:val="0"/>
        <w:spacing w:after="156" w:afterLines="50" w:line="300" w:lineRule="auto"/>
        <w:rPr>
          <w:rFonts w:ascii="Arial" w:hAnsi="Arial" w:eastAsia="宋体" w:cs="Arial"/>
          <w:kern w:val="0"/>
          <w:sz w:val="24"/>
          <w:szCs w:val="24"/>
        </w:rPr>
      </w:pPr>
      <w:r>
        <w:rPr>
          <w:rFonts w:ascii="Arial" w:hAnsi="Arial" w:eastAsia="宋体" w:cs="Arial"/>
          <w:iCs/>
          <w:kern w:val="0"/>
          <w:sz w:val="24"/>
          <w:szCs w:val="24"/>
        </w:rPr>
        <w:t>AS 3563.2-1991，软件质量管理体系，第2部分：实施指南。由澳大利亚标准协会（澳大利亚标准协会）出版</w:t>
      </w:r>
      <w:r>
        <w:rPr>
          <w:rFonts w:ascii="Arial" w:hAnsi="Arial" w:eastAsia="宋体" w:cs="Arial"/>
          <w:kern w:val="0"/>
          <w:sz w:val="24"/>
          <w:szCs w:val="24"/>
        </w:rPr>
        <w:t>1 The Crescent，Homebush，NSW 2140。</w:t>
      </w:r>
    </w:p>
    <w:p w14:paraId="54D4E02C">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IEC 60601-1-4：1996，医疗电气设备，第1部分：安全性的一般要求，4。并列标准：可编程电气医疗系统。国际电工委员会，1996年。</w:t>
      </w:r>
    </w:p>
    <w:p w14:paraId="26436990">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IEC 61506：1997，工业过程测量与控制-应用软件文件。国际电工委员会，1997年。</w:t>
      </w:r>
    </w:p>
    <w:p w14:paraId="32DF5A1C">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IEC 61508：1998，电气/电子/可编程电子安全相关系统的功能安全。国际电工委员会，1998年。</w:t>
      </w:r>
    </w:p>
    <w:p w14:paraId="664B08C2">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IEEE Std 1012-1986，软件验证和确认计划，电气及电子工程师学会，1986年。</w:t>
      </w:r>
    </w:p>
    <w:p w14:paraId="30BE6387">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IEEE标准收集，软件工程，电气及电子工程师学会，Inc.，1994.ISBN 1-55937-442-X。</w:t>
      </w:r>
    </w:p>
    <w:p w14:paraId="1968B1DC">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ISO 8402：1994，质量管理和质量保证-词汇。国际标准化组织，1994年。</w:t>
      </w:r>
    </w:p>
    <w:p w14:paraId="3B6B1172">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ISO 9000-3：1997质量管理和质量保证标准-第3部分：ISO 9001:1994计算机软件的开发、供应、安装和维护应用指南。国际标准化组织，1997年。</w:t>
      </w:r>
    </w:p>
    <w:p w14:paraId="7A41C679">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ISO 9001：1994质量体系-设计、开发、生产、安装和维修的质量保证模式。国际标准化组织，1994年。</w:t>
      </w:r>
    </w:p>
    <w:p w14:paraId="43A4EF29">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ISO 13485：1996质量体系-医疗器械-ISO 9001应用的特殊要求，国际标准化组织，1996年。</w:t>
      </w:r>
    </w:p>
    <w:p w14:paraId="04EA9370">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ISO/IEC 12119：1994，信息技术-软件包-质量要求和测试，联合技术委员会ISO/IEC JTC 1，国际标准化组织和国际电工委员会，1994年。</w:t>
      </w:r>
    </w:p>
    <w:p w14:paraId="5BB59267">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ISO/IEC 12207：1995，信息技术-软件生命周期流程，联合技术委员会ISO/IEC JTC 1，小组委员会SC 7，国际标准化组织和国际电工委员会，1995年。</w:t>
      </w:r>
    </w:p>
    <w:p w14:paraId="783D2D34">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ISO/IEC 14598：1999，信息技术-软件产品评估，联合技术委员会ISO/IEC JTC 1，小组委员会SC 7，国际标准化组织和国际电工委员会，1999年。</w:t>
      </w:r>
    </w:p>
    <w:p w14:paraId="5F2264E7">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ISO 14971-1：1998，医疗器械-风险管理-第1部分：风险分析的应用。国际标准化组织，1998年。</w:t>
      </w:r>
    </w:p>
    <w:p w14:paraId="1F9DAB31">
      <w:pPr>
        <w:autoSpaceDE w:val="0"/>
        <w:autoSpaceDN w:val="0"/>
        <w:adjustRightInd w:val="0"/>
        <w:snapToGrid w:val="0"/>
        <w:spacing w:after="156" w:afterLines="50" w:line="300" w:lineRule="auto"/>
        <w:rPr>
          <w:rFonts w:ascii="Arial" w:hAnsi="Arial" w:eastAsia="宋体" w:cs="Arial"/>
          <w:iCs/>
          <w:kern w:val="0"/>
          <w:sz w:val="24"/>
          <w:szCs w:val="24"/>
        </w:rPr>
      </w:pPr>
      <w:r>
        <w:rPr>
          <w:rFonts w:ascii="Arial" w:hAnsi="Arial" w:eastAsia="宋体" w:cs="Arial"/>
          <w:iCs/>
          <w:kern w:val="0"/>
          <w:sz w:val="24"/>
          <w:szCs w:val="24"/>
        </w:rPr>
        <w:t>机载系统和设备认证中的软件注意事项。特别委员会167 RTCA。RTCA Inc.，Washington，D.C.电话：202-833-9339。文件编号RTCA/DO-178B，1992年12月。</w:t>
      </w:r>
    </w:p>
    <w:p w14:paraId="5604CD22">
      <w:pPr>
        <w:autoSpaceDE w:val="0"/>
        <w:autoSpaceDN w:val="0"/>
        <w:adjustRightInd w:val="0"/>
        <w:snapToGrid w:val="0"/>
        <w:spacing w:after="312" w:afterLines="100" w:line="300" w:lineRule="auto"/>
        <w:jc w:val="left"/>
        <w:rPr>
          <w:rFonts w:ascii="Arial" w:hAnsi="Arial" w:eastAsia="宋体" w:cs="Arial"/>
          <w:iCs/>
          <w:kern w:val="0"/>
          <w:sz w:val="24"/>
          <w:szCs w:val="24"/>
        </w:rPr>
      </w:pPr>
    </w:p>
    <w:p w14:paraId="0B65040D">
      <w:pPr>
        <w:autoSpaceDE w:val="0"/>
        <w:autoSpaceDN w:val="0"/>
        <w:adjustRightInd w:val="0"/>
        <w:snapToGrid w:val="0"/>
        <w:spacing w:after="312" w:afterLines="100" w:line="300" w:lineRule="auto"/>
        <w:jc w:val="left"/>
        <w:outlineLvl w:val="1"/>
        <w:rPr>
          <w:rFonts w:ascii="Arial" w:hAnsi="Arial" w:eastAsia="宋体" w:cs="Arial"/>
          <w:b/>
          <w:iCs/>
          <w:kern w:val="0"/>
          <w:sz w:val="24"/>
          <w:szCs w:val="24"/>
        </w:rPr>
      </w:pPr>
      <w:bookmarkStart w:id="79" w:name="_Toc484792204"/>
      <w:r>
        <w:rPr>
          <w:rFonts w:hint="eastAsia" w:ascii="Arial" w:hAnsi="Arial" w:eastAsia="宋体" w:cs="Arial"/>
          <w:b/>
          <w:iCs/>
          <w:kern w:val="0"/>
          <w:sz w:val="24"/>
          <w:szCs w:val="24"/>
        </w:rPr>
        <w:t>生产过程软件参考</w:t>
      </w:r>
      <w:bookmarkEnd w:id="79"/>
    </w:p>
    <w:p w14:paraId="06A7EB6E">
      <w:pPr>
        <w:autoSpaceDE w:val="0"/>
        <w:autoSpaceDN w:val="0"/>
        <w:adjustRightInd w:val="0"/>
        <w:snapToGrid w:val="0"/>
        <w:spacing w:after="156" w:afterLines="50" w:line="300" w:lineRule="auto"/>
        <w:rPr>
          <w:rFonts w:ascii="Arial" w:hAnsi="Arial" w:eastAsia="宋体" w:cs="Arial"/>
          <w:i/>
          <w:iCs/>
          <w:kern w:val="0"/>
          <w:sz w:val="24"/>
          <w:szCs w:val="24"/>
        </w:rPr>
      </w:pPr>
      <w:r>
        <w:drawing>
          <wp:inline distT="0" distB="0" distL="0" distR="0">
            <wp:extent cx="5486400" cy="12928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486400" cy="1292860"/>
                    </a:xfrm>
                    <a:prstGeom prst="rect">
                      <a:avLst/>
                    </a:prstGeom>
                  </pic:spPr>
                </pic:pic>
              </a:graphicData>
            </a:graphic>
          </wp:inline>
        </w:drawing>
      </w:r>
    </w:p>
    <w:p w14:paraId="05F0943C">
      <w:pPr>
        <w:widowControl/>
        <w:jc w:val="left"/>
        <w:rPr>
          <w:rFonts w:ascii="Arial" w:hAnsi="Arial" w:eastAsia="宋体" w:cs="Arial"/>
          <w:i/>
          <w:iCs/>
          <w:kern w:val="0"/>
          <w:sz w:val="24"/>
          <w:szCs w:val="24"/>
        </w:rPr>
      </w:pPr>
      <w:r>
        <w:rPr>
          <w:rFonts w:ascii="Arial" w:hAnsi="Arial" w:eastAsia="宋体" w:cs="Arial"/>
          <w:i/>
          <w:iCs/>
          <w:kern w:val="0"/>
          <w:sz w:val="24"/>
          <w:szCs w:val="24"/>
        </w:rPr>
        <w:br w:type="page"/>
      </w:r>
    </w:p>
    <w:p w14:paraId="2F830C88">
      <w:pPr>
        <w:autoSpaceDE w:val="0"/>
        <w:autoSpaceDN w:val="0"/>
        <w:adjustRightInd w:val="0"/>
        <w:snapToGrid w:val="0"/>
        <w:spacing w:after="156" w:afterLines="50" w:line="300" w:lineRule="auto"/>
        <w:rPr>
          <w:rFonts w:ascii="Arial" w:hAnsi="Arial" w:eastAsia="宋体" w:cs="Arial"/>
          <w:i/>
          <w:iCs/>
          <w:kern w:val="0"/>
          <w:sz w:val="24"/>
          <w:szCs w:val="24"/>
        </w:rPr>
      </w:pPr>
      <w:r>
        <w:drawing>
          <wp:inline distT="0" distB="0" distL="0" distR="0">
            <wp:extent cx="5486400" cy="31692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486400" cy="3169285"/>
                    </a:xfrm>
                    <a:prstGeom prst="rect">
                      <a:avLst/>
                    </a:prstGeom>
                  </pic:spPr>
                </pic:pic>
              </a:graphicData>
            </a:graphic>
          </wp:inline>
        </w:drawing>
      </w:r>
    </w:p>
    <w:p w14:paraId="0B5EE853">
      <w:pPr>
        <w:autoSpaceDE w:val="0"/>
        <w:autoSpaceDN w:val="0"/>
        <w:adjustRightInd w:val="0"/>
        <w:snapToGrid w:val="0"/>
        <w:spacing w:after="312" w:afterLines="100" w:line="300" w:lineRule="auto"/>
        <w:jc w:val="left"/>
        <w:rPr>
          <w:rFonts w:ascii="Arial" w:hAnsi="Arial" w:eastAsia="宋体" w:cs="Arial"/>
          <w:b/>
          <w:iCs/>
          <w:kern w:val="0"/>
          <w:sz w:val="24"/>
          <w:szCs w:val="24"/>
        </w:rPr>
      </w:pPr>
    </w:p>
    <w:p w14:paraId="5F5D1968">
      <w:pPr>
        <w:autoSpaceDE w:val="0"/>
        <w:autoSpaceDN w:val="0"/>
        <w:adjustRightInd w:val="0"/>
        <w:snapToGrid w:val="0"/>
        <w:spacing w:after="312" w:afterLines="100" w:line="300" w:lineRule="auto"/>
        <w:jc w:val="left"/>
        <w:outlineLvl w:val="1"/>
        <w:rPr>
          <w:rFonts w:ascii="Arial" w:hAnsi="Arial" w:eastAsia="宋体" w:cs="Arial"/>
          <w:b/>
          <w:iCs/>
          <w:kern w:val="0"/>
          <w:sz w:val="24"/>
          <w:szCs w:val="24"/>
        </w:rPr>
      </w:pPr>
      <w:bookmarkStart w:id="80" w:name="_Toc484792205"/>
      <w:r>
        <w:rPr>
          <w:rFonts w:ascii="Arial" w:hAnsi="Arial" w:eastAsia="宋体" w:cs="Arial"/>
          <w:b/>
          <w:iCs/>
          <w:kern w:val="0"/>
          <w:sz w:val="24"/>
          <w:szCs w:val="24"/>
        </w:rPr>
        <w:t>一般软件质量参考</w:t>
      </w:r>
      <w:bookmarkEnd w:id="80"/>
    </w:p>
    <w:p w14:paraId="4F7E66D2">
      <w:pPr>
        <w:widowControl/>
        <w:jc w:val="left"/>
        <w:rPr>
          <w:rFonts w:ascii="Arial" w:hAnsi="Arial" w:eastAsia="宋体" w:cs="Arial"/>
          <w:b/>
          <w:iCs/>
          <w:kern w:val="0"/>
          <w:sz w:val="24"/>
          <w:szCs w:val="24"/>
        </w:rPr>
      </w:pPr>
      <w:r>
        <w:drawing>
          <wp:inline distT="0" distB="0" distL="0" distR="0">
            <wp:extent cx="5486400" cy="33578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486400" cy="3357880"/>
                    </a:xfrm>
                    <a:prstGeom prst="rect">
                      <a:avLst/>
                    </a:prstGeom>
                  </pic:spPr>
                </pic:pic>
              </a:graphicData>
            </a:graphic>
          </wp:inline>
        </w:drawing>
      </w:r>
    </w:p>
    <w:p w14:paraId="79334841">
      <w:pPr>
        <w:widowControl/>
        <w:jc w:val="left"/>
        <w:rPr>
          <w:rFonts w:ascii="Arial" w:hAnsi="Arial" w:eastAsia="宋体" w:cs="Arial"/>
          <w:b/>
          <w:iCs/>
          <w:kern w:val="0"/>
          <w:sz w:val="24"/>
          <w:szCs w:val="24"/>
        </w:rPr>
      </w:pPr>
      <w:r>
        <w:rPr>
          <w:rFonts w:ascii="Arial" w:hAnsi="Arial" w:eastAsia="宋体" w:cs="Arial"/>
          <w:b/>
          <w:iCs/>
          <w:kern w:val="0"/>
          <w:sz w:val="24"/>
          <w:szCs w:val="24"/>
        </w:rPr>
        <w:br w:type="page"/>
      </w:r>
    </w:p>
    <w:p w14:paraId="685C9030">
      <w:pPr>
        <w:widowControl/>
        <w:jc w:val="left"/>
        <w:rPr>
          <w:rFonts w:ascii="Arial" w:hAnsi="Arial" w:eastAsia="宋体" w:cs="Arial"/>
          <w:b/>
          <w:iCs/>
          <w:kern w:val="0"/>
          <w:sz w:val="24"/>
          <w:szCs w:val="24"/>
        </w:rPr>
      </w:pPr>
      <w:r>
        <w:drawing>
          <wp:inline distT="0" distB="0" distL="0" distR="0">
            <wp:extent cx="5486400" cy="71691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5486400" cy="7169150"/>
                    </a:xfrm>
                    <a:prstGeom prst="rect">
                      <a:avLst/>
                    </a:prstGeom>
                  </pic:spPr>
                </pic:pic>
              </a:graphicData>
            </a:graphic>
          </wp:inline>
        </w:drawing>
      </w:r>
    </w:p>
    <w:p w14:paraId="6E8C3CE6">
      <w:pPr>
        <w:widowControl/>
        <w:jc w:val="left"/>
        <w:rPr>
          <w:rFonts w:ascii="Arial" w:hAnsi="Arial" w:eastAsia="宋体" w:cs="Arial"/>
          <w:b/>
          <w:iCs/>
          <w:kern w:val="0"/>
          <w:sz w:val="24"/>
          <w:szCs w:val="24"/>
        </w:rPr>
      </w:pPr>
      <w:r>
        <w:rPr>
          <w:rFonts w:ascii="Arial" w:hAnsi="Arial" w:eastAsia="宋体" w:cs="Arial"/>
          <w:b/>
          <w:iCs/>
          <w:kern w:val="0"/>
          <w:sz w:val="24"/>
          <w:szCs w:val="24"/>
        </w:rPr>
        <w:br w:type="page"/>
      </w:r>
    </w:p>
    <w:p w14:paraId="40DBE6A4">
      <w:pPr>
        <w:widowControl/>
        <w:jc w:val="left"/>
        <w:rPr>
          <w:rFonts w:ascii="Arial" w:hAnsi="Arial" w:eastAsia="宋体" w:cs="Arial"/>
          <w:b/>
          <w:iCs/>
          <w:kern w:val="0"/>
          <w:sz w:val="24"/>
          <w:szCs w:val="24"/>
        </w:rPr>
      </w:pPr>
      <w:r>
        <w:drawing>
          <wp:inline distT="0" distB="0" distL="0" distR="0">
            <wp:extent cx="5486400" cy="69380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5486400" cy="6938010"/>
                    </a:xfrm>
                    <a:prstGeom prst="rect">
                      <a:avLst/>
                    </a:prstGeom>
                  </pic:spPr>
                </pic:pic>
              </a:graphicData>
            </a:graphic>
          </wp:inline>
        </w:drawing>
      </w:r>
    </w:p>
    <w:p w14:paraId="1D6874C1">
      <w:pPr>
        <w:widowControl/>
        <w:jc w:val="left"/>
        <w:rPr>
          <w:rFonts w:ascii="Arial" w:hAnsi="Arial" w:eastAsia="宋体" w:cs="Arial"/>
          <w:b/>
          <w:iCs/>
          <w:kern w:val="0"/>
          <w:sz w:val="24"/>
          <w:szCs w:val="24"/>
        </w:rPr>
      </w:pPr>
      <w:r>
        <w:rPr>
          <w:rFonts w:ascii="Arial" w:hAnsi="Arial" w:eastAsia="宋体" w:cs="Arial"/>
          <w:b/>
          <w:iCs/>
          <w:kern w:val="0"/>
          <w:sz w:val="24"/>
          <w:szCs w:val="24"/>
        </w:rPr>
        <w:br w:type="page"/>
      </w:r>
    </w:p>
    <w:p w14:paraId="0D4A8810">
      <w:pPr>
        <w:widowControl/>
        <w:jc w:val="left"/>
        <w:rPr>
          <w:rFonts w:ascii="Arial" w:hAnsi="Arial" w:eastAsia="宋体" w:cs="Arial"/>
          <w:b/>
          <w:iCs/>
          <w:kern w:val="0"/>
          <w:sz w:val="24"/>
          <w:szCs w:val="24"/>
        </w:rPr>
      </w:pPr>
      <w:r>
        <w:drawing>
          <wp:inline distT="0" distB="0" distL="0" distR="0">
            <wp:extent cx="5486400" cy="47066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5486400" cy="4706620"/>
                    </a:xfrm>
                    <a:prstGeom prst="rect">
                      <a:avLst/>
                    </a:prstGeom>
                  </pic:spPr>
                </pic:pic>
              </a:graphicData>
            </a:graphic>
          </wp:inline>
        </w:drawing>
      </w:r>
    </w:p>
    <w:p w14:paraId="0EFE2B70">
      <w:pPr>
        <w:widowControl/>
        <w:jc w:val="left"/>
        <w:rPr>
          <w:rFonts w:ascii="Arial" w:hAnsi="Arial" w:eastAsia="宋体" w:cs="Arial"/>
          <w:b/>
          <w:iCs/>
          <w:kern w:val="0"/>
          <w:sz w:val="24"/>
          <w:szCs w:val="24"/>
        </w:rPr>
      </w:pPr>
    </w:p>
    <w:p w14:paraId="7A677011">
      <w:pPr>
        <w:widowControl/>
        <w:jc w:val="left"/>
        <w:rPr>
          <w:rFonts w:ascii="Arial" w:hAnsi="Arial" w:eastAsia="宋体" w:cs="Arial"/>
          <w:b/>
          <w:iCs/>
          <w:kern w:val="0"/>
          <w:sz w:val="24"/>
          <w:szCs w:val="24"/>
        </w:rPr>
      </w:pPr>
    </w:p>
    <w:p w14:paraId="3ED9B615">
      <w:pPr>
        <w:widowControl/>
        <w:jc w:val="left"/>
        <w:rPr>
          <w:rFonts w:ascii="Arial" w:hAnsi="Arial" w:eastAsia="宋体" w:cs="Arial"/>
          <w:b/>
          <w:iCs/>
          <w:kern w:val="0"/>
          <w:sz w:val="24"/>
          <w:szCs w:val="24"/>
        </w:rPr>
      </w:pPr>
      <w:r>
        <w:rPr>
          <w:rFonts w:ascii="Arial" w:hAnsi="Arial" w:eastAsia="宋体" w:cs="Arial"/>
          <w:b/>
          <w:iCs/>
          <w:kern w:val="0"/>
          <w:sz w:val="24"/>
          <w:szCs w:val="24"/>
        </w:rPr>
        <w:br w:type="page"/>
      </w:r>
    </w:p>
    <w:p w14:paraId="73D2F448">
      <w:pPr>
        <w:autoSpaceDE w:val="0"/>
        <w:autoSpaceDN w:val="0"/>
        <w:adjustRightInd w:val="0"/>
        <w:snapToGrid w:val="0"/>
        <w:spacing w:after="312" w:afterLines="100" w:line="300" w:lineRule="auto"/>
        <w:jc w:val="left"/>
        <w:rPr>
          <w:rFonts w:ascii="Arial" w:hAnsi="Arial" w:eastAsia="宋体" w:cs="Arial"/>
          <w:b/>
          <w:iCs/>
          <w:kern w:val="0"/>
          <w:sz w:val="24"/>
          <w:szCs w:val="24"/>
        </w:rPr>
      </w:pPr>
    </w:p>
    <w:p w14:paraId="32D0D89A">
      <w:pPr>
        <w:adjustRightInd w:val="0"/>
        <w:snapToGrid w:val="0"/>
        <w:spacing w:after="312" w:afterLines="100" w:line="300" w:lineRule="auto"/>
        <w:jc w:val="center"/>
        <w:outlineLvl w:val="0"/>
        <w:rPr>
          <w:rFonts w:ascii="Arial" w:hAnsi="Arial" w:eastAsia="宋体" w:cs="Arial"/>
          <w:b/>
          <w:sz w:val="30"/>
          <w:szCs w:val="30"/>
        </w:rPr>
      </w:pPr>
      <w:bookmarkStart w:id="81" w:name="_Toc484792206"/>
      <w:r>
        <w:rPr>
          <w:rFonts w:ascii="Arial" w:hAnsi="Arial" w:eastAsia="宋体" w:cs="Arial"/>
          <w:b/>
          <w:sz w:val="30"/>
          <w:szCs w:val="30"/>
        </w:rPr>
        <w:t>附录B –开发团队</w:t>
      </w:r>
      <w:bookmarkEnd w:id="81"/>
    </w:p>
    <w:p w14:paraId="19631597">
      <w:pPr>
        <w:adjustRightInd w:val="0"/>
        <w:snapToGrid w:val="0"/>
        <w:spacing w:after="312" w:afterLines="100" w:line="300" w:lineRule="auto"/>
        <w:jc w:val="left"/>
        <w:rPr>
          <w:rFonts w:ascii="Arial" w:hAnsi="Arial" w:eastAsia="宋体" w:cs="Arial"/>
          <w:sz w:val="24"/>
          <w:szCs w:val="24"/>
          <w:u w:val="single"/>
        </w:rPr>
      </w:pPr>
      <w:r>
        <w:rPr>
          <w:rFonts w:ascii="Arial" w:hAnsi="Arial" w:eastAsia="宋体" w:cs="Arial"/>
          <w:sz w:val="24"/>
          <w:szCs w:val="24"/>
          <w:u w:val="single"/>
        </w:rPr>
        <w:t>器械与放射健康中心</w:t>
      </w:r>
    </w:p>
    <w:p w14:paraId="6D740C01">
      <w:pPr>
        <w:tabs>
          <w:tab w:val="left" w:pos="3828"/>
        </w:tabs>
        <w:adjustRightInd w:val="0"/>
        <w:snapToGrid w:val="0"/>
        <w:spacing w:after="312" w:afterLines="100" w:line="300" w:lineRule="auto"/>
        <w:ind w:left="420" w:leftChars="200"/>
        <w:jc w:val="left"/>
        <w:rPr>
          <w:rFonts w:ascii="Arial" w:hAnsi="Arial" w:eastAsia="宋体" w:cs="Arial"/>
          <w:sz w:val="24"/>
          <w:szCs w:val="24"/>
        </w:rPr>
      </w:pPr>
      <w:r>
        <w:rPr>
          <w:rFonts w:ascii="Arial" w:hAnsi="Arial" w:eastAsia="宋体" w:cs="Arial"/>
          <w:sz w:val="24"/>
          <w:szCs w:val="24"/>
        </w:rPr>
        <w:t>合规办公室</w:t>
      </w:r>
      <w:r>
        <w:rPr>
          <w:rFonts w:ascii="Arial" w:hAnsi="Arial" w:eastAsia="宋体" w:cs="Arial"/>
          <w:sz w:val="24"/>
          <w:szCs w:val="24"/>
        </w:rPr>
        <w:tab/>
      </w:r>
      <w:r>
        <w:rPr>
          <w:rFonts w:ascii="Arial" w:hAnsi="Arial" w:eastAsia="宋体" w:cs="Arial"/>
          <w:sz w:val="24"/>
          <w:szCs w:val="24"/>
        </w:rPr>
        <w:t>Stewart Crumpler</w:t>
      </w:r>
    </w:p>
    <w:p w14:paraId="041D0221">
      <w:pPr>
        <w:tabs>
          <w:tab w:val="left" w:pos="3828"/>
        </w:tabs>
        <w:adjustRightInd w:val="0"/>
        <w:snapToGrid w:val="0"/>
        <w:spacing w:after="312" w:afterLines="100" w:line="300" w:lineRule="auto"/>
        <w:ind w:left="420" w:leftChars="200"/>
        <w:jc w:val="left"/>
        <w:rPr>
          <w:rFonts w:ascii="Arial" w:hAnsi="Arial" w:eastAsia="宋体" w:cs="Arial"/>
          <w:sz w:val="24"/>
          <w:szCs w:val="24"/>
        </w:rPr>
      </w:pPr>
      <w:r>
        <w:rPr>
          <w:rFonts w:ascii="Arial" w:hAnsi="Arial" w:eastAsia="宋体" w:cs="Arial"/>
          <w:sz w:val="24"/>
          <w:szCs w:val="24"/>
        </w:rPr>
        <w:t>器械评估办公室</w:t>
      </w:r>
      <w:r>
        <w:rPr>
          <w:rFonts w:ascii="Arial" w:hAnsi="Arial" w:eastAsia="宋体" w:cs="Arial"/>
          <w:sz w:val="24"/>
          <w:szCs w:val="24"/>
        </w:rPr>
        <w:tab/>
      </w:r>
      <w:r>
        <w:rPr>
          <w:rFonts w:ascii="Arial" w:hAnsi="Arial" w:eastAsia="宋体" w:cs="Arial"/>
          <w:sz w:val="24"/>
          <w:szCs w:val="24"/>
        </w:rPr>
        <w:t>James Cheng, Donna-Bea Tillman</w:t>
      </w:r>
    </w:p>
    <w:p w14:paraId="29A15AE1">
      <w:pPr>
        <w:tabs>
          <w:tab w:val="left" w:pos="3828"/>
        </w:tabs>
        <w:adjustRightInd w:val="0"/>
        <w:snapToGrid w:val="0"/>
        <w:spacing w:after="312" w:afterLines="100" w:line="300" w:lineRule="auto"/>
        <w:ind w:left="420" w:leftChars="200"/>
        <w:jc w:val="left"/>
        <w:rPr>
          <w:rFonts w:ascii="Arial" w:hAnsi="Arial" w:eastAsia="宋体" w:cs="Arial"/>
          <w:sz w:val="24"/>
          <w:szCs w:val="24"/>
        </w:rPr>
      </w:pPr>
      <w:r>
        <w:rPr>
          <w:rFonts w:ascii="Arial" w:hAnsi="Arial" w:eastAsia="宋体" w:cs="Arial"/>
          <w:sz w:val="24"/>
          <w:szCs w:val="24"/>
        </w:rPr>
        <w:t>健康与行业项目办公室</w:t>
      </w:r>
      <w:r>
        <w:rPr>
          <w:rFonts w:ascii="Arial" w:hAnsi="Arial" w:eastAsia="宋体" w:cs="Arial"/>
          <w:sz w:val="24"/>
          <w:szCs w:val="24"/>
        </w:rPr>
        <w:tab/>
      </w:r>
      <w:r>
        <w:rPr>
          <w:rFonts w:ascii="Arial" w:hAnsi="Arial" w:eastAsia="宋体" w:cs="Arial"/>
          <w:sz w:val="24"/>
          <w:szCs w:val="24"/>
        </w:rPr>
        <w:t>Bryan Benesch, Dick Sawyer</w:t>
      </w:r>
    </w:p>
    <w:p w14:paraId="54C8C8A5">
      <w:pPr>
        <w:tabs>
          <w:tab w:val="left" w:pos="3828"/>
        </w:tabs>
        <w:adjustRightInd w:val="0"/>
        <w:snapToGrid w:val="0"/>
        <w:spacing w:after="312" w:afterLines="100" w:line="300" w:lineRule="auto"/>
        <w:ind w:left="420" w:leftChars="200"/>
        <w:jc w:val="left"/>
        <w:rPr>
          <w:rFonts w:ascii="Arial" w:hAnsi="Arial" w:eastAsia="宋体" w:cs="Arial"/>
          <w:sz w:val="24"/>
          <w:szCs w:val="24"/>
        </w:rPr>
      </w:pPr>
      <w:r>
        <w:rPr>
          <w:rFonts w:ascii="Arial" w:hAnsi="Arial" w:eastAsia="宋体" w:cs="Arial"/>
          <w:sz w:val="24"/>
          <w:szCs w:val="24"/>
        </w:rPr>
        <w:t>科学与技术办公室</w:t>
      </w:r>
      <w:r>
        <w:rPr>
          <w:rFonts w:ascii="Arial" w:hAnsi="Arial" w:eastAsia="宋体" w:cs="Arial"/>
          <w:sz w:val="24"/>
          <w:szCs w:val="24"/>
        </w:rPr>
        <w:tab/>
      </w:r>
      <w:r>
        <w:rPr>
          <w:rFonts w:ascii="Arial" w:hAnsi="Arial" w:eastAsia="宋体" w:cs="Arial"/>
          <w:sz w:val="24"/>
          <w:szCs w:val="24"/>
        </w:rPr>
        <w:t>John Murray</w:t>
      </w:r>
    </w:p>
    <w:p w14:paraId="5B8328CE">
      <w:pPr>
        <w:tabs>
          <w:tab w:val="left" w:pos="3828"/>
        </w:tabs>
        <w:adjustRightInd w:val="0"/>
        <w:snapToGrid w:val="0"/>
        <w:spacing w:after="312" w:afterLines="100" w:line="300" w:lineRule="auto"/>
        <w:ind w:left="420" w:leftChars="200"/>
        <w:jc w:val="left"/>
        <w:rPr>
          <w:rFonts w:ascii="Arial" w:hAnsi="Arial" w:eastAsia="宋体" w:cs="Arial"/>
          <w:sz w:val="24"/>
          <w:szCs w:val="24"/>
        </w:rPr>
      </w:pPr>
      <w:r>
        <w:rPr>
          <w:rFonts w:ascii="Arial" w:hAnsi="Arial" w:eastAsia="宋体" w:cs="Arial"/>
          <w:sz w:val="24"/>
          <w:szCs w:val="24"/>
        </w:rPr>
        <w:t>监测与生物统计办公室</w:t>
      </w:r>
      <w:r>
        <w:rPr>
          <w:rFonts w:ascii="Arial" w:hAnsi="Arial" w:eastAsia="宋体" w:cs="Arial"/>
          <w:sz w:val="24"/>
          <w:szCs w:val="24"/>
        </w:rPr>
        <w:tab/>
      </w:r>
      <w:r>
        <w:rPr>
          <w:rFonts w:ascii="Arial" w:hAnsi="Arial" w:eastAsia="宋体" w:cs="Arial"/>
          <w:sz w:val="24"/>
          <w:szCs w:val="24"/>
        </w:rPr>
        <w:t>Howard Press</w:t>
      </w:r>
    </w:p>
    <w:p w14:paraId="37BB8C2A">
      <w:pPr>
        <w:adjustRightInd w:val="0"/>
        <w:snapToGrid w:val="0"/>
        <w:spacing w:after="312" w:afterLines="100" w:line="300" w:lineRule="auto"/>
        <w:jc w:val="left"/>
        <w:rPr>
          <w:rFonts w:ascii="Arial" w:hAnsi="Arial" w:eastAsia="宋体" w:cs="Arial"/>
          <w:sz w:val="24"/>
          <w:szCs w:val="24"/>
          <w:u w:val="single"/>
        </w:rPr>
      </w:pPr>
      <w:r>
        <w:rPr>
          <w:rFonts w:hint="eastAsia" w:ascii="Arial" w:hAnsi="Arial" w:eastAsia="宋体" w:cs="Arial"/>
          <w:sz w:val="24"/>
          <w:szCs w:val="24"/>
          <w:u w:val="single"/>
        </w:rPr>
        <w:t>药品</w:t>
      </w:r>
      <w:r>
        <w:rPr>
          <w:rFonts w:ascii="Arial" w:hAnsi="Arial" w:eastAsia="宋体" w:cs="Arial"/>
          <w:sz w:val="24"/>
          <w:szCs w:val="24"/>
          <w:u w:val="single"/>
        </w:rPr>
        <w:t>评估</w:t>
      </w:r>
      <w:r>
        <w:rPr>
          <w:rFonts w:hint="eastAsia" w:ascii="Arial" w:hAnsi="Arial" w:eastAsia="宋体" w:cs="Arial"/>
          <w:sz w:val="24"/>
          <w:szCs w:val="24"/>
          <w:u w:val="single"/>
        </w:rPr>
        <w:t>和研究中心</w:t>
      </w:r>
    </w:p>
    <w:p w14:paraId="3ACE9A7E">
      <w:pPr>
        <w:tabs>
          <w:tab w:val="left" w:pos="3828"/>
        </w:tabs>
        <w:adjustRightInd w:val="0"/>
        <w:snapToGrid w:val="0"/>
        <w:spacing w:after="312" w:afterLines="100" w:line="300" w:lineRule="auto"/>
        <w:ind w:left="420" w:leftChars="200"/>
        <w:jc w:val="left"/>
        <w:rPr>
          <w:rFonts w:ascii="Arial" w:hAnsi="Arial" w:eastAsia="宋体" w:cs="Arial"/>
          <w:sz w:val="24"/>
          <w:szCs w:val="24"/>
        </w:rPr>
      </w:pPr>
      <w:r>
        <w:rPr>
          <w:rFonts w:ascii="Arial" w:hAnsi="Arial" w:eastAsia="宋体" w:cs="Arial"/>
          <w:sz w:val="24"/>
          <w:szCs w:val="24"/>
        </w:rPr>
        <w:t>医疗政策办公室</w:t>
      </w:r>
      <w:r>
        <w:rPr>
          <w:rFonts w:ascii="Arial" w:hAnsi="Arial" w:eastAsia="宋体" w:cs="Arial"/>
          <w:sz w:val="24"/>
          <w:szCs w:val="24"/>
        </w:rPr>
        <w:tab/>
      </w:r>
      <w:r>
        <w:rPr>
          <w:rFonts w:ascii="Arial" w:hAnsi="Arial" w:eastAsia="宋体" w:cs="Arial"/>
          <w:sz w:val="24"/>
          <w:szCs w:val="24"/>
        </w:rPr>
        <w:t>Charles Snipes</w:t>
      </w:r>
    </w:p>
    <w:p w14:paraId="3A2EAF01">
      <w:pPr>
        <w:adjustRightInd w:val="0"/>
        <w:snapToGrid w:val="0"/>
        <w:spacing w:after="312" w:afterLines="100" w:line="300" w:lineRule="auto"/>
        <w:jc w:val="left"/>
        <w:rPr>
          <w:rFonts w:ascii="Arial" w:hAnsi="Arial" w:eastAsia="宋体" w:cs="Arial"/>
          <w:sz w:val="24"/>
          <w:szCs w:val="24"/>
        </w:rPr>
      </w:pPr>
      <w:r>
        <w:rPr>
          <w:rFonts w:hint="eastAsia" w:ascii="Arial" w:hAnsi="Arial" w:eastAsia="宋体" w:cs="Arial"/>
          <w:sz w:val="24"/>
          <w:szCs w:val="24"/>
          <w:u w:val="single"/>
        </w:rPr>
        <w:t>生物制品评估</w:t>
      </w:r>
      <w:r>
        <w:rPr>
          <w:rFonts w:ascii="Arial" w:hAnsi="Arial" w:eastAsia="宋体" w:cs="Arial"/>
          <w:sz w:val="24"/>
          <w:szCs w:val="24"/>
          <w:u w:val="single"/>
        </w:rPr>
        <w:t>和研究中心</w:t>
      </w:r>
    </w:p>
    <w:p w14:paraId="29CC8038">
      <w:pPr>
        <w:tabs>
          <w:tab w:val="left" w:pos="3828"/>
        </w:tabs>
        <w:adjustRightInd w:val="0"/>
        <w:snapToGrid w:val="0"/>
        <w:spacing w:after="312" w:afterLines="100" w:line="300" w:lineRule="auto"/>
        <w:ind w:left="420" w:leftChars="200"/>
        <w:jc w:val="left"/>
        <w:rPr>
          <w:rFonts w:ascii="Arial" w:hAnsi="Arial" w:eastAsia="宋体" w:cs="Arial"/>
          <w:sz w:val="24"/>
          <w:szCs w:val="24"/>
        </w:rPr>
      </w:pPr>
      <w:r>
        <w:rPr>
          <w:rFonts w:ascii="Arial" w:hAnsi="Arial" w:eastAsia="宋体" w:cs="Arial"/>
          <w:sz w:val="24"/>
          <w:szCs w:val="24"/>
        </w:rPr>
        <w:t>合规与生物制品质量办公室</w:t>
      </w:r>
      <w:r>
        <w:rPr>
          <w:rFonts w:ascii="Arial" w:hAnsi="Arial" w:eastAsia="宋体" w:cs="Arial"/>
          <w:sz w:val="24"/>
          <w:szCs w:val="24"/>
        </w:rPr>
        <w:tab/>
      </w:r>
      <w:r>
        <w:rPr>
          <w:rFonts w:ascii="Arial" w:hAnsi="Arial" w:eastAsia="宋体" w:cs="Arial"/>
          <w:sz w:val="24"/>
          <w:szCs w:val="24"/>
        </w:rPr>
        <w:t>Alice Godziemski</w:t>
      </w:r>
    </w:p>
    <w:p w14:paraId="78489116">
      <w:pPr>
        <w:adjustRightInd w:val="0"/>
        <w:snapToGrid w:val="0"/>
        <w:spacing w:after="312" w:afterLines="100" w:line="300" w:lineRule="auto"/>
        <w:jc w:val="left"/>
        <w:rPr>
          <w:rFonts w:ascii="Arial" w:hAnsi="Arial" w:eastAsia="宋体" w:cs="Arial"/>
          <w:sz w:val="24"/>
          <w:szCs w:val="24"/>
          <w:u w:val="single"/>
        </w:rPr>
      </w:pPr>
      <w:r>
        <w:rPr>
          <w:rFonts w:hint="eastAsia" w:ascii="Arial" w:hAnsi="Arial" w:eastAsia="宋体" w:cs="Arial"/>
          <w:sz w:val="24"/>
          <w:szCs w:val="24"/>
          <w:u w:val="single"/>
        </w:rPr>
        <w:t>法规事务办公室</w:t>
      </w:r>
    </w:p>
    <w:p w14:paraId="115BCBA4">
      <w:pPr>
        <w:tabs>
          <w:tab w:val="left" w:pos="3828"/>
        </w:tabs>
        <w:adjustRightInd w:val="0"/>
        <w:snapToGrid w:val="0"/>
        <w:spacing w:after="312" w:afterLines="100" w:line="300" w:lineRule="auto"/>
        <w:ind w:left="420" w:leftChars="200"/>
        <w:jc w:val="left"/>
        <w:rPr>
          <w:rFonts w:ascii="Arial" w:hAnsi="Arial" w:eastAsia="宋体" w:cs="Arial"/>
          <w:sz w:val="24"/>
          <w:szCs w:val="24"/>
        </w:rPr>
      </w:pPr>
      <w:r>
        <w:rPr>
          <w:rFonts w:ascii="Arial" w:hAnsi="Arial" w:eastAsia="宋体" w:cs="Arial"/>
          <w:sz w:val="24"/>
          <w:szCs w:val="24"/>
        </w:rPr>
        <w:t>区域行动办公室</w:t>
      </w:r>
      <w:r>
        <w:rPr>
          <w:rFonts w:ascii="Arial" w:hAnsi="Arial" w:eastAsia="宋体" w:cs="Arial"/>
          <w:sz w:val="24"/>
          <w:szCs w:val="24"/>
        </w:rPr>
        <w:tab/>
      </w:r>
      <w:r>
        <w:rPr>
          <w:rFonts w:ascii="Arial" w:hAnsi="Arial" w:eastAsia="宋体" w:cs="Arial"/>
          <w:sz w:val="24"/>
          <w:szCs w:val="24"/>
        </w:rPr>
        <w:t>David Bergeson, Joan Loreng</w:t>
      </w:r>
    </w:p>
    <w:p w14:paraId="2BDB05F8">
      <w:pPr>
        <w:adjustRightInd w:val="0"/>
        <w:snapToGrid w:val="0"/>
        <w:spacing w:after="312" w:afterLines="100" w:line="300" w:lineRule="auto"/>
        <w:jc w:val="center"/>
        <w:rPr>
          <w:rFonts w:hint="eastAsia" w:eastAsia="等线"/>
          <w:lang w:eastAsia="zh-CN"/>
        </w:rPr>
      </w:pPr>
    </w:p>
    <w:p w14:paraId="60442158">
      <w:pPr>
        <w:adjustRightInd w:val="0"/>
        <w:snapToGrid w:val="0"/>
        <w:spacing w:after="312" w:afterLines="100" w:line="300" w:lineRule="auto"/>
        <w:jc w:val="center"/>
        <w:rPr>
          <w:rFonts w:hint="eastAsia" w:eastAsia="等线"/>
          <w:lang w:eastAsia="zh-CN"/>
        </w:rPr>
      </w:pPr>
    </w:p>
    <w:p w14:paraId="4C341024">
      <w:pPr>
        <w:adjustRightInd w:val="0"/>
        <w:snapToGrid w:val="0"/>
        <w:spacing w:after="312" w:afterLines="10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16"/>
                    <a:stretch>
                      <a:fillRect/>
                    </a:stretch>
                  </pic:blipFill>
                  <pic:spPr>
                    <a:xfrm>
                      <a:off x="0" y="0"/>
                      <a:ext cx="5210175" cy="7343775"/>
                    </a:xfrm>
                    <a:prstGeom prst="rect">
                      <a:avLst/>
                    </a:prstGeom>
                  </pic:spPr>
                </pic:pic>
              </a:graphicData>
            </a:graphic>
          </wp:inline>
        </w:drawing>
      </w:r>
    </w:p>
    <w:sectPr>
      <w:footerReference r:id="rId7" w:type="default"/>
      <w:pgSz w:w="11906" w:h="16838"/>
      <w:pgMar w:top="1418" w:right="1418" w:bottom="1418" w:left="1418"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158B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73B6">
    <w:pPr>
      <w:pStyle w:val="6"/>
      <w:jc w:val="center"/>
      <w:rPr>
        <w:rFonts w:ascii="Arial" w:hAnsi="Arial" w:eastAsia="宋体" w:cs="Arial"/>
        <w:sz w:val="24"/>
        <w:szCs w:val="24"/>
      </w:rPr>
    </w:pPr>
    <w:r>
      <w:rPr>
        <w:rFonts w:ascii="Arial" w:hAnsi="Arial" w:eastAsia="宋体" w:cs="Arial"/>
        <w:sz w:val="24"/>
        <w:szCs w:val="24"/>
      </w:rPr>
      <w:t>第</w:t>
    </w:r>
    <w:r>
      <w:rPr>
        <w:rFonts w:ascii="Arial" w:hAnsi="Arial" w:eastAsia="宋体" w:cs="Arial"/>
        <w:sz w:val="24"/>
        <w:szCs w:val="24"/>
      </w:rPr>
      <w:fldChar w:fldCharType="begin"/>
    </w:r>
    <w:r>
      <w:rPr>
        <w:rFonts w:ascii="Arial" w:hAnsi="Arial" w:eastAsia="宋体" w:cs="Arial"/>
        <w:sz w:val="24"/>
        <w:szCs w:val="24"/>
      </w:rPr>
      <w:instrText xml:space="preserve">PAGE   \* MERGEFORMAT</w:instrText>
    </w:r>
    <w:r>
      <w:rPr>
        <w:rFonts w:ascii="Arial" w:hAnsi="Arial" w:eastAsia="宋体" w:cs="Arial"/>
        <w:sz w:val="24"/>
        <w:szCs w:val="24"/>
      </w:rPr>
      <w:fldChar w:fldCharType="separate"/>
    </w:r>
    <w:r>
      <w:rPr>
        <w:rFonts w:ascii="Arial" w:hAnsi="Arial" w:eastAsia="宋体" w:cs="Arial"/>
        <w:sz w:val="24"/>
        <w:szCs w:val="24"/>
        <w:lang w:val="zh-CN"/>
      </w:rPr>
      <w:t>iv</w:t>
    </w:r>
    <w:r>
      <w:rPr>
        <w:rFonts w:ascii="Arial" w:hAnsi="Arial" w:eastAsia="宋体" w:cs="Arial"/>
        <w:sz w:val="24"/>
        <w:szCs w:val="24"/>
      </w:rPr>
      <w:fldChar w:fldCharType="end"/>
    </w:r>
    <w:r>
      <w:rPr>
        <w:rFonts w:ascii="Arial" w:hAnsi="Arial" w:eastAsia="宋体" w:cs="Arial"/>
        <w:sz w:val="24"/>
        <w:szCs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4F11">
    <w:pPr>
      <w:pStyle w:val="6"/>
      <w:jc w:val="center"/>
      <w:rPr>
        <w:rFonts w:ascii="Arial" w:hAnsi="Arial" w:eastAsia="宋体" w:cs="Arial"/>
        <w:sz w:val="24"/>
        <w:szCs w:val="24"/>
      </w:rPr>
    </w:pPr>
    <w:r>
      <w:rPr>
        <w:rFonts w:ascii="Arial" w:hAnsi="Arial" w:eastAsia="宋体" w:cs="Arial"/>
        <w:sz w:val="24"/>
        <w:szCs w:val="24"/>
      </w:rPr>
      <w:t>第</w:t>
    </w:r>
    <w:r>
      <w:rPr>
        <w:rFonts w:ascii="Arial" w:hAnsi="Arial" w:eastAsia="宋体" w:cs="Arial"/>
        <w:sz w:val="24"/>
        <w:szCs w:val="24"/>
      </w:rPr>
      <w:fldChar w:fldCharType="begin"/>
    </w:r>
    <w:r>
      <w:rPr>
        <w:rFonts w:ascii="Arial" w:hAnsi="Arial" w:eastAsia="宋体" w:cs="Arial"/>
        <w:sz w:val="24"/>
        <w:szCs w:val="24"/>
      </w:rPr>
      <w:instrText xml:space="preserve">PAGE   \* MERGEFORMAT</w:instrText>
    </w:r>
    <w:r>
      <w:rPr>
        <w:rFonts w:ascii="Arial" w:hAnsi="Arial" w:eastAsia="宋体" w:cs="Arial"/>
        <w:sz w:val="24"/>
        <w:szCs w:val="24"/>
      </w:rPr>
      <w:fldChar w:fldCharType="separate"/>
    </w:r>
    <w:r>
      <w:rPr>
        <w:rFonts w:ascii="Arial" w:hAnsi="Arial" w:eastAsia="宋体" w:cs="Arial"/>
        <w:sz w:val="24"/>
        <w:szCs w:val="24"/>
        <w:lang w:val="zh-CN"/>
      </w:rPr>
      <w:t>43</w:t>
    </w:r>
    <w:r>
      <w:rPr>
        <w:rFonts w:ascii="Arial" w:hAnsi="Arial" w:eastAsia="宋体" w:cs="Arial"/>
        <w:sz w:val="24"/>
        <w:szCs w:val="24"/>
      </w:rPr>
      <w:fldChar w:fldCharType="end"/>
    </w:r>
    <w:r>
      <w:rPr>
        <w:rFonts w:ascii="Arial" w:hAnsi="Arial" w:eastAsia="宋体" w:cs="Arial"/>
        <w:sz w:val="24"/>
        <w:szCs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8E65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735E">
    <w:pPr>
      <w:pStyle w:val="7"/>
      <w:pBdr>
        <w:bottom w:val="none" w:color="auto" w:sz="0" w:space="0"/>
      </w:pBdr>
      <w:tabs>
        <w:tab w:val="center" w:pos="7938"/>
        <w:tab w:val="right" w:pos="9072"/>
        <w:tab w:val="clear" w:pos="4153"/>
        <w:tab w:val="clear" w:pos="8306"/>
      </w:tabs>
      <w:jc w:val="left"/>
      <w:rPr>
        <w:rFonts w:ascii="Arial" w:hAnsi="Arial" w:eastAsia="宋体" w:cs="Arial"/>
        <w:sz w:val="24"/>
      </w:rPr>
    </w:pPr>
    <w:r>
      <w:rPr>
        <w:rFonts w:ascii="Arial" w:hAnsi="Arial" w:eastAsia="宋体" w:cs="Arial"/>
        <w:sz w:val="24"/>
      </w:rPr>
      <w:t>行业和FDA员工指南</w:t>
    </w:r>
    <w:r>
      <w:rPr>
        <w:rFonts w:hint="eastAsia" w:ascii="Arial" w:hAnsi="Arial" w:eastAsia="宋体" w:cs="Arial"/>
        <w:sz w:val="24"/>
      </w:rPr>
      <w:tab/>
    </w:r>
    <w:r>
      <w:rPr>
        <w:rFonts w:ascii="Arial" w:hAnsi="Arial" w:eastAsia="宋体" w:cs="Arial"/>
        <w:sz w:val="24"/>
      </w:rPr>
      <w:t>软件验证的一般原则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B0194"/>
    <w:multiLevelType w:val="multilevel"/>
    <w:tmpl w:val="0A9B019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9E0C14"/>
    <w:multiLevelType w:val="multilevel"/>
    <w:tmpl w:val="0A9E0C1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AD5ED1"/>
    <w:multiLevelType w:val="multilevel"/>
    <w:tmpl w:val="0DAD5ED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27B3651"/>
    <w:multiLevelType w:val="multilevel"/>
    <w:tmpl w:val="127B365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77B7672"/>
    <w:multiLevelType w:val="multilevel"/>
    <w:tmpl w:val="177B767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7ED14F4"/>
    <w:multiLevelType w:val="multilevel"/>
    <w:tmpl w:val="17ED14F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8A82D20"/>
    <w:multiLevelType w:val="multilevel"/>
    <w:tmpl w:val="18A82D2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9A34889"/>
    <w:multiLevelType w:val="multilevel"/>
    <w:tmpl w:val="19A3488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F497769"/>
    <w:multiLevelType w:val="multilevel"/>
    <w:tmpl w:val="1F49776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4422BAC"/>
    <w:multiLevelType w:val="multilevel"/>
    <w:tmpl w:val="24422BA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7260DBC"/>
    <w:multiLevelType w:val="multilevel"/>
    <w:tmpl w:val="27260DB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78F4CA7"/>
    <w:multiLevelType w:val="multilevel"/>
    <w:tmpl w:val="278F4CA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A525590"/>
    <w:multiLevelType w:val="multilevel"/>
    <w:tmpl w:val="2A52559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F70060F"/>
    <w:multiLevelType w:val="multilevel"/>
    <w:tmpl w:val="2F70060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09052E3"/>
    <w:multiLevelType w:val="multilevel"/>
    <w:tmpl w:val="309052E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7CE108C"/>
    <w:multiLevelType w:val="multilevel"/>
    <w:tmpl w:val="37CE108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B3A5780"/>
    <w:multiLevelType w:val="multilevel"/>
    <w:tmpl w:val="3B3A578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EC666CC"/>
    <w:multiLevelType w:val="multilevel"/>
    <w:tmpl w:val="3EC666C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FDD4D52"/>
    <w:multiLevelType w:val="multilevel"/>
    <w:tmpl w:val="3FDD4D5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57B334E"/>
    <w:multiLevelType w:val="multilevel"/>
    <w:tmpl w:val="457B334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60618A7"/>
    <w:multiLevelType w:val="multilevel"/>
    <w:tmpl w:val="460618A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EF97B2B"/>
    <w:multiLevelType w:val="multilevel"/>
    <w:tmpl w:val="4EF97B2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54632176"/>
    <w:multiLevelType w:val="multilevel"/>
    <w:tmpl w:val="5463217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5E0F1FA4"/>
    <w:multiLevelType w:val="multilevel"/>
    <w:tmpl w:val="5E0F1FA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5E4E1676"/>
    <w:multiLevelType w:val="multilevel"/>
    <w:tmpl w:val="5E4E167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6ABA22D5"/>
    <w:multiLevelType w:val="multilevel"/>
    <w:tmpl w:val="6ABA22D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6BE451B9"/>
    <w:multiLevelType w:val="multilevel"/>
    <w:tmpl w:val="6BE451B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0" w:hanging="420"/>
      </w:pPr>
      <w:rPr>
        <w:rFonts w:hint="default" w:ascii="Wingdings" w:hAnsi="Wingdings"/>
      </w:rPr>
    </w:lvl>
    <w:lvl w:ilvl="2" w:tentative="0">
      <w:start w:val="1"/>
      <w:numFmt w:val="bullet"/>
      <w:lvlText w:val=""/>
      <w:lvlJc w:val="left"/>
      <w:pPr>
        <w:ind w:left="420" w:hanging="420"/>
      </w:pPr>
      <w:rPr>
        <w:rFonts w:hint="default" w:ascii="Wingdings" w:hAnsi="Wingdings"/>
      </w:rPr>
    </w:lvl>
    <w:lvl w:ilvl="3" w:tentative="0">
      <w:start w:val="1"/>
      <w:numFmt w:val="bullet"/>
      <w:lvlText w:val=""/>
      <w:lvlJc w:val="left"/>
      <w:pPr>
        <w:ind w:left="840" w:hanging="420"/>
      </w:pPr>
      <w:rPr>
        <w:rFonts w:hint="default" w:ascii="Wingdings" w:hAnsi="Wingdings"/>
      </w:rPr>
    </w:lvl>
    <w:lvl w:ilvl="4" w:tentative="0">
      <w:start w:val="1"/>
      <w:numFmt w:val="bullet"/>
      <w:lvlText w:val=""/>
      <w:lvlJc w:val="left"/>
      <w:pPr>
        <w:ind w:left="1260" w:hanging="420"/>
      </w:pPr>
      <w:rPr>
        <w:rFonts w:hint="default" w:ascii="Wingdings" w:hAnsi="Wingdings"/>
      </w:rPr>
    </w:lvl>
    <w:lvl w:ilvl="5" w:tentative="0">
      <w:start w:val="1"/>
      <w:numFmt w:val="bullet"/>
      <w:lvlText w:val=""/>
      <w:lvlJc w:val="left"/>
      <w:pPr>
        <w:ind w:left="1680" w:hanging="420"/>
      </w:pPr>
      <w:rPr>
        <w:rFonts w:hint="default" w:ascii="Wingdings" w:hAnsi="Wingdings"/>
      </w:rPr>
    </w:lvl>
    <w:lvl w:ilvl="6" w:tentative="0">
      <w:start w:val="1"/>
      <w:numFmt w:val="bullet"/>
      <w:lvlText w:val=""/>
      <w:lvlJc w:val="left"/>
      <w:pPr>
        <w:ind w:left="2100" w:hanging="420"/>
      </w:pPr>
      <w:rPr>
        <w:rFonts w:hint="default" w:ascii="Wingdings" w:hAnsi="Wingdings"/>
      </w:rPr>
    </w:lvl>
    <w:lvl w:ilvl="7" w:tentative="0">
      <w:start w:val="1"/>
      <w:numFmt w:val="bullet"/>
      <w:lvlText w:val=""/>
      <w:lvlJc w:val="left"/>
      <w:pPr>
        <w:ind w:left="2520" w:hanging="420"/>
      </w:pPr>
      <w:rPr>
        <w:rFonts w:hint="default" w:ascii="Wingdings" w:hAnsi="Wingdings"/>
      </w:rPr>
    </w:lvl>
    <w:lvl w:ilvl="8" w:tentative="0">
      <w:start w:val="1"/>
      <w:numFmt w:val="bullet"/>
      <w:lvlText w:val=""/>
      <w:lvlJc w:val="left"/>
      <w:pPr>
        <w:ind w:left="2940" w:hanging="420"/>
      </w:pPr>
      <w:rPr>
        <w:rFonts w:hint="default" w:ascii="Wingdings" w:hAnsi="Wingdings"/>
      </w:rPr>
    </w:lvl>
  </w:abstractNum>
  <w:abstractNum w:abstractNumId="27">
    <w:nsid w:val="70CF17E2"/>
    <w:multiLevelType w:val="multilevel"/>
    <w:tmpl w:val="70CF17E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1"/>
  </w:num>
  <w:num w:numId="2">
    <w:abstractNumId w:val="1"/>
  </w:num>
  <w:num w:numId="3">
    <w:abstractNumId w:val="12"/>
  </w:num>
  <w:num w:numId="4">
    <w:abstractNumId w:val="0"/>
  </w:num>
  <w:num w:numId="5">
    <w:abstractNumId w:val="6"/>
  </w:num>
  <w:num w:numId="6">
    <w:abstractNumId w:val="16"/>
  </w:num>
  <w:num w:numId="7">
    <w:abstractNumId w:val="21"/>
  </w:num>
  <w:num w:numId="8">
    <w:abstractNumId w:val="10"/>
  </w:num>
  <w:num w:numId="9">
    <w:abstractNumId w:val="26"/>
  </w:num>
  <w:num w:numId="10">
    <w:abstractNumId w:val="2"/>
  </w:num>
  <w:num w:numId="11">
    <w:abstractNumId w:val="25"/>
  </w:num>
  <w:num w:numId="12">
    <w:abstractNumId w:val="24"/>
  </w:num>
  <w:num w:numId="13">
    <w:abstractNumId w:val="19"/>
  </w:num>
  <w:num w:numId="14">
    <w:abstractNumId w:val="4"/>
  </w:num>
  <w:num w:numId="15">
    <w:abstractNumId w:val="3"/>
  </w:num>
  <w:num w:numId="16">
    <w:abstractNumId w:val="8"/>
  </w:num>
  <w:num w:numId="17">
    <w:abstractNumId w:val="20"/>
  </w:num>
  <w:num w:numId="18">
    <w:abstractNumId w:val="5"/>
  </w:num>
  <w:num w:numId="19">
    <w:abstractNumId w:val="13"/>
  </w:num>
  <w:num w:numId="20">
    <w:abstractNumId w:val="9"/>
  </w:num>
  <w:num w:numId="21">
    <w:abstractNumId w:val="17"/>
  </w:num>
  <w:num w:numId="22">
    <w:abstractNumId w:val="27"/>
  </w:num>
  <w:num w:numId="23">
    <w:abstractNumId w:val="7"/>
  </w:num>
  <w:num w:numId="24">
    <w:abstractNumId w:val="18"/>
  </w:num>
  <w:num w:numId="25">
    <w:abstractNumId w:val="15"/>
  </w:num>
  <w:num w:numId="26">
    <w:abstractNumId w:val="23"/>
  </w:num>
  <w:num w:numId="27">
    <w:abstractNumId w:val="1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CE"/>
    <w:rsid w:val="00002107"/>
    <w:rsid w:val="00005B52"/>
    <w:rsid w:val="000062AC"/>
    <w:rsid w:val="00012722"/>
    <w:rsid w:val="000137BE"/>
    <w:rsid w:val="00040CC6"/>
    <w:rsid w:val="000420CA"/>
    <w:rsid w:val="000462B1"/>
    <w:rsid w:val="0005604F"/>
    <w:rsid w:val="0006031E"/>
    <w:rsid w:val="000726F7"/>
    <w:rsid w:val="00073EDF"/>
    <w:rsid w:val="000809DB"/>
    <w:rsid w:val="00083393"/>
    <w:rsid w:val="0008648D"/>
    <w:rsid w:val="00091D2B"/>
    <w:rsid w:val="00093FC6"/>
    <w:rsid w:val="00096E57"/>
    <w:rsid w:val="000A77B4"/>
    <w:rsid w:val="000B0D04"/>
    <w:rsid w:val="000B262A"/>
    <w:rsid w:val="000C2CC7"/>
    <w:rsid w:val="000D14E3"/>
    <w:rsid w:val="000D6024"/>
    <w:rsid w:val="000D73EB"/>
    <w:rsid w:val="000F48CE"/>
    <w:rsid w:val="000F4DC5"/>
    <w:rsid w:val="00100F9F"/>
    <w:rsid w:val="00112699"/>
    <w:rsid w:val="00124203"/>
    <w:rsid w:val="001330BA"/>
    <w:rsid w:val="00134B43"/>
    <w:rsid w:val="001359C7"/>
    <w:rsid w:val="00144DFE"/>
    <w:rsid w:val="00163F93"/>
    <w:rsid w:val="00167B4B"/>
    <w:rsid w:val="00171035"/>
    <w:rsid w:val="0017313B"/>
    <w:rsid w:val="0017530D"/>
    <w:rsid w:val="00182A9D"/>
    <w:rsid w:val="001856F6"/>
    <w:rsid w:val="00193ED6"/>
    <w:rsid w:val="001A4F2C"/>
    <w:rsid w:val="001B3966"/>
    <w:rsid w:val="001C1584"/>
    <w:rsid w:val="001C2FFA"/>
    <w:rsid w:val="001C4376"/>
    <w:rsid w:val="001C760E"/>
    <w:rsid w:val="001D4CF0"/>
    <w:rsid w:val="001D7B05"/>
    <w:rsid w:val="001E7C7B"/>
    <w:rsid w:val="001F652A"/>
    <w:rsid w:val="001F6877"/>
    <w:rsid w:val="0020121C"/>
    <w:rsid w:val="00217E7A"/>
    <w:rsid w:val="002202A9"/>
    <w:rsid w:val="00222D7F"/>
    <w:rsid w:val="00222DCB"/>
    <w:rsid w:val="002305D8"/>
    <w:rsid w:val="0023334B"/>
    <w:rsid w:val="00234B87"/>
    <w:rsid w:val="00237B9D"/>
    <w:rsid w:val="00242338"/>
    <w:rsid w:val="002440D9"/>
    <w:rsid w:val="0025315C"/>
    <w:rsid w:val="0026328B"/>
    <w:rsid w:val="0026427B"/>
    <w:rsid w:val="002754F5"/>
    <w:rsid w:val="0027763D"/>
    <w:rsid w:val="002A6721"/>
    <w:rsid w:val="002B1E29"/>
    <w:rsid w:val="002C75A6"/>
    <w:rsid w:val="002D1518"/>
    <w:rsid w:val="002D1995"/>
    <w:rsid w:val="002E2625"/>
    <w:rsid w:val="002E4AF5"/>
    <w:rsid w:val="002F08A7"/>
    <w:rsid w:val="003049FB"/>
    <w:rsid w:val="003107F7"/>
    <w:rsid w:val="003128A0"/>
    <w:rsid w:val="0032337C"/>
    <w:rsid w:val="003337CC"/>
    <w:rsid w:val="00344AAB"/>
    <w:rsid w:val="00365049"/>
    <w:rsid w:val="003716BD"/>
    <w:rsid w:val="00374414"/>
    <w:rsid w:val="003A56FF"/>
    <w:rsid w:val="003B0B50"/>
    <w:rsid w:val="003B1E67"/>
    <w:rsid w:val="003E17B8"/>
    <w:rsid w:val="003F2469"/>
    <w:rsid w:val="003F58E3"/>
    <w:rsid w:val="003F664B"/>
    <w:rsid w:val="00400AF8"/>
    <w:rsid w:val="00412658"/>
    <w:rsid w:val="00416355"/>
    <w:rsid w:val="00420D97"/>
    <w:rsid w:val="00423B19"/>
    <w:rsid w:val="004241AC"/>
    <w:rsid w:val="00427F52"/>
    <w:rsid w:val="00445B2D"/>
    <w:rsid w:val="0047208D"/>
    <w:rsid w:val="0048404E"/>
    <w:rsid w:val="004856F7"/>
    <w:rsid w:val="004910D1"/>
    <w:rsid w:val="004979FC"/>
    <w:rsid w:val="004A0D64"/>
    <w:rsid w:val="004A0EDD"/>
    <w:rsid w:val="004B1206"/>
    <w:rsid w:val="004B401E"/>
    <w:rsid w:val="004C2F1C"/>
    <w:rsid w:val="004C352F"/>
    <w:rsid w:val="004C492F"/>
    <w:rsid w:val="004C76C2"/>
    <w:rsid w:val="004D7D01"/>
    <w:rsid w:val="004E51CF"/>
    <w:rsid w:val="004E7885"/>
    <w:rsid w:val="004F2A44"/>
    <w:rsid w:val="004F2B81"/>
    <w:rsid w:val="004F5543"/>
    <w:rsid w:val="00501512"/>
    <w:rsid w:val="005030B4"/>
    <w:rsid w:val="00505E86"/>
    <w:rsid w:val="00527D4C"/>
    <w:rsid w:val="00531893"/>
    <w:rsid w:val="00542BB1"/>
    <w:rsid w:val="0055012F"/>
    <w:rsid w:val="00555CD3"/>
    <w:rsid w:val="0057005B"/>
    <w:rsid w:val="0057102B"/>
    <w:rsid w:val="00587F8A"/>
    <w:rsid w:val="00592F44"/>
    <w:rsid w:val="005D19FD"/>
    <w:rsid w:val="005D1B46"/>
    <w:rsid w:val="005D2B93"/>
    <w:rsid w:val="005D36AD"/>
    <w:rsid w:val="005E272D"/>
    <w:rsid w:val="005F4402"/>
    <w:rsid w:val="00605E65"/>
    <w:rsid w:val="0060662D"/>
    <w:rsid w:val="006116A6"/>
    <w:rsid w:val="00613983"/>
    <w:rsid w:val="00620284"/>
    <w:rsid w:val="00636296"/>
    <w:rsid w:val="006521DE"/>
    <w:rsid w:val="006527A5"/>
    <w:rsid w:val="0066516F"/>
    <w:rsid w:val="006761AD"/>
    <w:rsid w:val="00686947"/>
    <w:rsid w:val="006C5C20"/>
    <w:rsid w:val="006D16C9"/>
    <w:rsid w:val="006D1A51"/>
    <w:rsid w:val="006E7961"/>
    <w:rsid w:val="006F276B"/>
    <w:rsid w:val="00702920"/>
    <w:rsid w:val="007072FF"/>
    <w:rsid w:val="00716A3A"/>
    <w:rsid w:val="00717704"/>
    <w:rsid w:val="0071772F"/>
    <w:rsid w:val="00717AB0"/>
    <w:rsid w:val="0072005A"/>
    <w:rsid w:val="00733558"/>
    <w:rsid w:val="0074184F"/>
    <w:rsid w:val="00742874"/>
    <w:rsid w:val="00765030"/>
    <w:rsid w:val="007749F5"/>
    <w:rsid w:val="007876CA"/>
    <w:rsid w:val="007952CD"/>
    <w:rsid w:val="007A26CB"/>
    <w:rsid w:val="007A532D"/>
    <w:rsid w:val="007B2599"/>
    <w:rsid w:val="007B373F"/>
    <w:rsid w:val="007C0067"/>
    <w:rsid w:val="007C1503"/>
    <w:rsid w:val="007C1648"/>
    <w:rsid w:val="007D10A4"/>
    <w:rsid w:val="007D4F61"/>
    <w:rsid w:val="007E0EA1"/>
    <w:rsid w:val="007E52A0"/>
    <w:rsid w:val="007E6FDD"/>
    <w:rsid w:val="007F2043"/>
    <w:rsid w:val="007F5825"/>
    <w:rsid w:val="00800468"/>
    <w:rsid w:val="00824476"/>
    <w:rsid w:val="008344CC"/>
    <w:rsid w:val="00843ABF"/>
    <w:rsid w:val="00845348"/>
    <w:rsid w:val="0084556E"/>
    <w:rsid w:val="00847DF1"/>
    <w:rsid w:val="00856D09"/>
    <w:rsid w:val="00862454"/>
    <w:rsid w:val="00885C76"/>
    <w:rsid w:val="0088682F"/>
    <w:rsid w:val="00890609"/>
    <w:rsid w:val="008A075E"/>
    <w:rsid w:val="008A1853"/>
    <w:rsid w:val="008B72F0"/>
    <w:rsid w:val="008C383D"/>
    <w:rsid w:val="008C4012"/>
    <w:rsid w:val="008E458B"/>
    <w:rsid w:val="008F3489"/>
    <w:rsid w:val="0090134D"/>
    <w:rsid w:val="00912ED3"/>
    <w:rsid w:val="00915311"/>
    <w:rsid w:val="0091713F"/>
    <w:rsid w:val="0092007E"/>
    <w:rsid w:val="00920E98"/>
    <w:rsid w:val="00921029"/>
    <w:rsid w:val="00922E16"/>
    <w:rsid w:val="00926CEA"/>
    <w:rsid w:val="009348FE"/>
    <w:rsid w:val="0093515E"/>
    <w:rsid w:val="0094181F"/>
    <w:rsid w:val="00943CFC"/>
    <w:rsid w:val="009462C8"/>
    <w:rsid w:val="009651AC"/>
    <w:rsid w:val="00972E6E"/>
    <w:rsid w:val="009757BC"/>
    <w:rsid w:val="009C1682"/>
    <w:rsid w:val="009E1863"/>
    <w:rsid w:val="009E5928"/>
    <w:rsid w:val="009E64AD"/>
    <w:rsid w:val="00A0692B"/>
    <w:rsid w:val="00A12D2A"/>
    <w:rsid w:val="00A165AF"/>
    <w:rsid w:val="00A240D2"/>
    <w:rsid w:val="00A24660"/>
    <w:rsid w:val="00A32E44"/>
    <w:rsid w:val="00A35EDD"/>
    <w:rsid w:val="00A514CE"/>
    <w:rsid w:val="00A56EF0"/>
    <w:rsid w:val="00A63603"/>
    <w:rsid w:val="00A651A5"/>
    <w:rsid w:val="00A6602B"/>
    <w:rsid w:val="00A713D9"/>
    <w:rsid w:val="00A720CE"/>
    <w:rsid w:val="00A87023"/>
    <w:rsid w:val="00A91749"/>
    <w:rsid w:val="00AA0F57"/>
    <w:rsid w:val="00AA49FC"/>
    <w:rsid w:val="00AB22C7"/>
    <w:rsid w:val="00AB450A"/>
    <w:rsid w:val="00AC2329"/>
    <w:rsid w:val="00AC2A99"/>
    <w:rsid w:val="00AC5B28"/>
    <w:rsid w:val="00AD33EE"/>
    <w:rsid w:val="00AD5C1B"/>
    <w:rsid w:val="00AD639E"/>
    <w:rsid w:val="00AE086A"/>
    <w:rsid w:val="00AE4477"/>
    <w:rsid w:val="00B02926"/>
    <w:rsid w:val="00B20DCA"/>
    <w:rsid w:val="00B2414E"/>
    <w:rsid w:val="00B26619"/>
    <w:rsid w:val="00B30A22"/>
    <w:rsid w:val="00B34449"/>
    <w:rsid w:val="00B36872"/>
    <w:rsid w:val="00B41285"/>
    <w:rsid w:val="00B44B04"/>
    <w:rsid w:val="00B62538"/>
    <w:rsid w:val="00B646F3"/>
    <w:rsid w:val="00B72047"/>
    <w:rsid w:val="00B721C2"/>
    <w:rsid w:val="00B757D7"/>
    <w:rsid w:val="00B86357"/>
    <w:rsid w:val="00B87B85"/>
    <w:rsid w:val="00B9028C"/>
    <w:rsid w:val="00B94458"/>
    <w:rsid w:val="00BA17AD"/>
    <w:rsid w:val="00BA755C"/>
    <w:rsid w:val="00BB5D61"/>
    <w:rsid w:val="00BC2EBD"/>
    <w:rsid w:val="00BC6C05"/>
    <w:rsid w:val="00BC78C0"/>
    <w:rsid w:val="00BD2907"/>
    <w:rsid w:val="00BE1782"/>
    <w:rsid w:val="00BF20A0"/>
    <w:rsid w:val="00C076D3"/>
    <w:rsid w:val="00C1343A"/>
    <w:rsid w:val="00C22D6B"/>
    <w:rsid w:val="00C3765F"/>
    <w:rsid w:val="00C40E2C"/>
    <w:rsid w:val="00C4427B"/>
    <w:rsid w:val="00C4510F"/>
    <w:rsid w:val="00C5046F"/>
    <w:rsid w:val="00C66819"/>
    <w:rsid w:val="00C73F9D"/>
    <w:rsid w:val="00C75763"/>
    <w:rsid w:val="00C8053E"/>
    <w:rsid w:val="00C824BB"/>
    <w:rsid w:val="00C85B0A"/>
    <w:rsid w:val="00C905C3"/>
    <w:rsid w:val="00C94852"/>
    <w:rsid w:val="00CA0358"/>
    <w:rsid w:val="00CA67AE"/>
    <w:rsid w:val="00CB0E29"/>
    <w:rsid w:val="00CC02D5"/>
    <w:rsid w:val="00CD4F80"/>
    <w:rsid w:val="00CE3526"/>
    <w:rsid w:val="00CE6EAE"/>
    <w:rsid w:val="00D06272"/>
    <w:rsid w:val="00D13822"/>
    <w:rsid w:val="00D149D9"/>
    <w:rsid w:val="00D224C7"/>
    <w:rsid w:val="00D2589B"/>
    <w:rsid w:val="00D31F9F"/>
    <w:rsid w:val="00D509A0"/>
    <w:rsid w:val="00D56115"/>
    <w:rsid w:val="00D623E2"/>
    <w:rsid w:val="00D66C02"/>
    <w:rsid w:val="00D6703A"/>
    <w:rsid w:val="00D67CB5"/>
    <w:rsid w:val="00D729B3"/>
    <w:rsid w:val="00D76461"/>
    <w:rsid w:val="00D77975"/>
    <w:rsid w:val="00D82EFF"/>
    <w:rsid w:val="00D94EBC"/>
    <w:rsid w:val="00D955C3"/>
    <w:rsid w:val="00DA1C29"/>
    <w:rsid w:val="00DA6818"/>
    <w:rsid w:val="00DA69BA"/>
    <w:rsid w:val="00DB6D9D"/>
    <w:rsid w:val="00DD73C4"/>
    <w:rsid w:val="00DE4F1D"/>
    <w:rsid w:val="00DE63FB"/>
    <w:rsid w:val="00DF74E5"/>
    <w:rsid w:val="00E03250"/>
    <w:rsid w:val="00E0341E"/>
    <w:rsid w:val="00E10323"/>
    <w:rsid w:val="00E2280E"/>
    <w:rsid w:val="00E22C34"/>
    <w:rsid w:val="00E24331"/>
    <w:rsid w:val="00E30DC6"/>
    <w:rsid w:val="00E468C2"/>
    <w:rsid w:val="00E5133F"/>
    <w:rsid w:val="00E56A10"/>
    <w:rsid w:val="00E600F0"/>
    <w:rsid w:val="00E6286A"/>
    <w:rsid w:val="00E676EC"/>
    <w:rsid w:val="00E71B64"/>
    <w:rsid w:val="00E861F9"/>
    <w:rsid w:val="00E91918"/>
    <w:rsid w:val="00E96C38"/>
    <w:rsid w:val="00EC18FE"/>
    <w:rsid w:val="00EC3C8D"/>
    <w:rsid w:val="00EE22A7"/>
    <w:rsid w:val="00F019E4"/>
    <w:rsid w:val="00F05FA5"/>
    <w:rsid w:val="00F25C3A"/>
    <w:rsid w:val="00F34A3C"/>
    <w:rsid w:val="00F355CC"/>
    <w:rsid w:val="00F43643"/>
    <w:rsid w:val="00F53067"/>
    <w:rsid w:val="00F5697F"/>
    <w:rsid w:val="00F631A3"/>
    <w:rsid w:val="00F7314D"/>
    <w:rsid w:val="00F816CA"/>
    <w:rsid w:val="00F94F4C"/>
    <w:rsid w:val="00F9560E"/>
    <w:rsid w:val="00FA1E07"/>
    <w:rsid w:val="00FB320D"/>
    <w:rsid w:val="00FB4364"/>
    <w:rsid w:val="00FB74D2"/>
    <w:rsid w:val="00FB7B92"/>
    <w:rsid w:val="00FC6270"/>
    <w:rsid w:val="00FF00FC"/>
    <w:rsid w:val="00FF4DC6"/>
    <w:rsid w:val="00FF5DDC"/>
    <w:rsid w:val="104E0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uiPriority w:val="0"/>
    <w:pPr>
      <w:spacing w:before="181"/>
      <w:ind w:left="100"/>
      <w:jc w:val="left"/>
    </w:pPr>
    <w:rPr>
      <w:rFonts w:ascii="Times New Roman" w:hAnsi="Times New Roman" w:eastAsia="宋体" w:cs="Times New Roman"/>
      <w:kern w:val="0"/>
      <w:sz w:val="24"/>
      <w:szCs w:val="24"/>
      <w:lang w:eastAsia="en-US"/>
    </w:rPr>
  </w:style>
  <w:style w:type="paragraph" w:styleId="4">
    <w:name w:val="toc 3"/>
    <w:basedOn w:val="1"/>
    <w:next w:val="1"/>
    <w:autoRedefine/>
    <w:unhideWhenUsed/>
    <w:qFormat/>
    <w:uiPriority w:val="39"/>
    <w:pPr>
      <w:adjustRightInd w:val="0"/>
      <w:snapToGrid w:val="0"/>
      <w:spacing w:before="15" w:beforeLines="15" w:line="276" w:lineRule="auto"/>
      <w:ind w:left="400" w:leftChars="400"/>
    </w:pPr>
    <w:rPr>
      <w:rFonts w:ascii="Arial" w:hAnsi="Arial" w:eastAsia="宋体"/>
      <w:i/>
      <w:sz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adjustRightInd w:val="0"/>
      <w:snapToGrid w:val="0"/>
      <w:spacing w:before="100" w:beforeLines="100" w:after="100" w:afterLines="100"/>
    </w:pPr>
    <w:rPr>
      <w:rFonts w:ascii="Arial" w:hAnsi="Arial" w:eastAsia="宋体"/>
      <w:sz w:val="24"/>
    </w:rPr>
  </w:style>
  <w:style w:type="paragraph" w:styleId="9">
    <w:name w:val="toc 2"/>
    <w:basedOn w:val="1"/>
    <w:next w:val="1"/>
    <w:autoRedefine/>
    <w:unhideWhenUsed/>
    <w:uiPriority w:val="39"/>
    <w:pPr>
      <w:adjustRightInd w:val="0"/>
      <w:snapToGrid w:val="0"/>
      <w:spacing w:before="15" w:beforeLines="15" w:line="276" w:lineRule="auto"/>
      <w:ind w:left="200" w:leftChars="200"/>
    </w:pPr>
    <w:rPr>
      <w:rFonts w:ascii="Arial" w:hAnsi="Arial" w:eastAsia="宋体"/>
      <w:sz w:val="24"/>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563C1"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页眉 Char"/>
    <w:basedOn w:val="12"/>
    <w:link w:val="7"/>
    <w:qFormat/>
    <w:uiPriority w:val="99"/>
    <w:rPr>
      <w:sz w:val="18"/>
      <w:szCs w:val="18"/>
    </w:rPr>
  </w:style>
  <w:style w:type="character" w:customStyle="1" w:styleId="16">
    <w:name w:val="页脚 Char"/>
    <w:basedOn w:val="12"/>
    <w:link w:val="6"/>
    <w:uiPriority w:val="99"/>
    <w:rPr>
      <w:sz w:val="18"/>
      <w:szCs w:val="18"/>
    </w:rPr>
  </w:style>
  <w:style w:type="character" w:customStyle="1" w:styleId="17">
    <w:name w:val="批注框文本 Char"/>
    <w:basedOn w:val="12"/>
    <w:link w:val="5"/>
    <w:semiHidden/>
    <w:qFormat/>
    <w:uiPriority w:val="99"/>
    <w:rPr>
      <w:sz w:val="18"/>
      <w:szCs w:val="18"/>
    </w:rPr>
  </w:style>
  <w:style w:type="character" w:customStyle="1" w:styleId="18">
    <w:name w:val="正文文本 Char"/>
    <w:basedOn w:val="12"/>
    <w:link w:val="3"/>
    <w:qFormat/>
    <w:uiPriority w:val="0"/>
    <w:rPr>
      <w:rFonts w:ascii="Times New Roman" w:hAnsi="Times New Roman" w:eastAsia="宋体" w:cs="Times New Roman"/>
      <w:kern w:val="0"/>
      <w:sz w:val="24"/>
      <w:szCs w:val="24"/>
      <w:lang w:eastAsia="en-US"/>
    </w:rPr>
  </w:style>
  <w:style w:type="paragraph" w:customStyle="1" w:styleId="19">
    <w:name w:val="TOC 标题1"/>
    <w:basedOn w:val="2"/>
    <w:next w:val="1"/>
    <w:qFormat/>
    <w:uiPriority w:val="0"/>
    <w:pPr>
      <w:widowControl/>
      <w:snapToGrid w:val="0"/>
      <w:spacing w:before="240" w:after="150" w:afterLines="150" w:line="259" w:lineRule="auto"/>
      <w:ind w:hanging="162" w:hangingChars="162"/>
      <w:jc w:val="center"/>
      <w:outlineLvl w:val="9"/>
    </w:pPr>
    <w:rPr>
      <w:rFonts w:ascii="Cambria" w:hAnsi="Cambria" w:eastAsia="宋体" w:cs="Times New Roman"/>
      <w:b w:val="0"/>
      <w:bCs w:val="0"/>
      <w:color w:val="365F91"/>
      <w:sz w:val="32"/>
      <w:szCs w:val="32"/>
    </w:rPr>
  </w:style>
  <w:style w:type="character" w:customStyle="1" w:styleId="20">
    <w:name w:val="标题 1 Char"/>
    <w:basedOn w:val="12"/>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5544A-3A30-4975-96BE-0336F3E96C0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26598</Words>
  <Characters>30804</Characters>
  <Lines>247</Lines>
  <Paragraphs>69</Paragraphs>
  <TotalTime>1</TotalTime>
  <ScaleCrop>false</ScaleCrop>
  <LinksUpToDate>false</LinksUpToDate>
  <CharactersWithSpaces>31459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2017-06-09T09:43:00Z</dcterms:created>
  <dc:creator>Guozhen Liu</dc:creator>
  <cp:lastModifiedBy>太极箫客</cp:lastModifiedBy>
  <dcterms:modified xsi:type="dcterms:W3CDTF">2025-08-14T08:02:55Z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31356C634273435895FF1BED14F53504_12</vt:lpwstr>
  </property>
</Properties>
</file>