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1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7"/>
        <w:gridCol w:w="1552"/>
        <w:gridCol w:w="3217"/>
        <w:gridCol w:w="1384"/>
        <w:gridCol w:w="2433"/>
      </w:tblGrid>
      <w:tr w14:paraId="20DC3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1543" w:type="pct"/>
            <w:gridSpan w:val="2"/>
            <w:vAlign w:val="center"/>
          </w:tcPr>
          <w:p w14:paraId="2DD617C6">
            <w:pPr>
              <w:spacing w:line="360" w:lineRule="auto"/>
              <w:jc w:val="center"/>
              <w:rPr>
                <w:rFonts w:ascii="宋体" w:hAnsi="宋体"/>
              </w:rPr>
            </w:pPr>
            <w:bookmarkStart w:id="2" w:name="_GoBack"/>
            <w:bookmarkEnd w:id="2"/>
            <w:r>
              <w:rPr>
                <w:rFonts w:hint="eastAsia" w:ascii="宋体" w:hAnsi="宋体"/>
                <w:bCs/>
                <w:snapToGrid w:val="0"/>
                <w:kern w:val="0"/>
                <w:szCs w:val="21"/>
              </w:rPr>
              <w:t>文件编号</w:t>
            </w:r>
          </w:p>
        </w:tc>
        <w:tc>
          <w:tcPr>
            <w:tcW w:w="1581" w:type="pct"/>
            <w:vMerge w:val="restart"/>
            <w:vAlign w:val="center"/>
          </w:tcPr>
          <w:p w14:paraId="5E38CE6F">
            <w:pPr>
              <w:spacing w:line="360" w:lineRule="auto"/>
              <w:jc w:val="center"/>
              <w:rPr>
                <w:rFonts w:ascii="宋体" w:hAnsi="宋体"/>
                <w:sz w:val="32"/>
                <w:szCs w:val="32"/>
              </w:rPr>
            </w:pPr>
            <w:r>
              <w:rPr>
                <w:rFonts w:hint="eastAsia" w:ascii="宋体" w:hAnsi="宋体"/>
                <w:b/>
                <w:bCs/>
                <w:color w:val="000000"/>
                <w:sz w:val="32"/>
                <w:szCs w:val="32"/>
              </w:rPr>
              <w:t>软件停运管理制度</w:t>
            </w:r>
          </w:p>
        </w:tc>
        <w:tc>
          <w:tcPr>
            <w:tcW w:w="1877" w:type="pct"/>
            <w:gridSpan w:val="2"/>
            <w:vAlign w:val="center"/>
          </w:tcPr>
          <w:p w14:paraId="1FBFD301">
            <w:pPr>
              <w:spacing w:line="360" w:lineRule="auto"/>
              <w:jc w:val="center"/>
              <w:rPr>
                <w:rFonts w:ascii="宋体" w:hAnsi="宋体"/>
              </w:rPr>
            </w:pPr>
            <w:r>
              <w:rPr>
                <w:rFonts w:hint="eastAsia" w:ascii="宋体" w:hAnsi="宋体"/>
                <w:bCs/>
                <w:snapToGrid w:val="0"/>
                <w:kern w:val="0"/>
                <w:szCs w:val="21"/>
              </w:rPr>
              <w:t>受控状态</w:t>
            </w:r>
          </w:p>
        </w:tc>
      </w:tr>
      <w:tr w14:paraId="5F655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gridSpan w:val="2"/>
            <w:vAlign w:val="center"/>
          </w:tcPr>
          <w:p w14:paraId="42557CAC">
            <w:pPr>
              <w:spacing w:line="360" w:lineRule="auto"/>
              <w:jc w:val="center"/>
              <w:rPr>
                <w:rFonts w:ascii="宋体" w:hAnsi="宋体"/>
              </w:rPr>
            </w:pPr>
          </w:p>
        </w:tc>
        <w:tc>
          <w:tcPr>
            <w:tcW w:w="1581" w:type="pct"/>
            <w:vMerge w:val="continue"/>
            <w:vAlign w:val="center"/>
          </w:tcPr>
          <w:p w14:paraId="7A226117">
            <w:pPr>
              <w:spacing w:line="360" w:lineRule="auto"/>
              <w:jc w:val="center"/>
              <w:rPr>
                <w:rFonts w:ascii="宋体" w:hAnsi="宋体"/>
              </w:rPr>
            </w:pPr>
          </w:p>
        </w:tc>
        <w:tc>
          <w:tcPr>
            <w:tcW w:w="1877" w:type="pct"/>
            <w:gridSpan w:val="2"/>
            <w:vAlign w:val="center"/>
          </w:tcPr>
          <w:p w14:paraId="13617F0D">
            <w:pPr>
              <w:spacing w:line="360" w:lineRule="auto"/>
              <w:jc w:val="center"/>
              <w:rPr>
                <w:rFonts w:ascii="宋体" w:hAnsi="宋体"/>
              </w:rPr>
            </w:pPr>
          </w:p>
        </w:tc>
      </w:tr>
      <w:tr w14:paraId="3B62A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38C14D5E">
            <w:pPr>
              <w:spacing w:line="360" w:lineRule="auto"/>
              <w:jc w:val="center"/>
              <w:rPr>
                <w:rFonts w:ascii="宋体" w:hAnsi="宋体"/>
              </w:rPr>
            </w:pPr>
            <w:r>
              <w:rPr>
                <w:rFonts w:hint="eastAsia" w:ascii="宋体" w:hAnsi="宋体"/>
                <w:bCs/>
                <w:snapToGrid w:val="0"/>
                <w:kern w:val="0"/>
                <w:szCs w:val="21"/>
              </w:rPr>
              <w:t>拟 制 人</w:t>
            </w:r>
          </w:p>
        </w:tc>
        <w:tc>
          <w:tcPr>
            <w:tcW w:w="762" w:type="pct"/>
            <w:vAlign w:val="center"/>
          </w:tcPr>
          <w:p w14:paraId="1A860407">
            <w:pPr>
              <w:spacing w:line="360" w:lineRule="auto"/>
              <w:jc w:val="center"/>
              <w:rPr>
                <w:rFonts w:ascii="宋体" w:hAnsi="宋体"/>
              </w:rPr>
            </w:pPr>
          </w:p>
        </w:tc>
        <w:tc>
          <w:tcPr>
            <w:tcW w:w="1581" w:type="pct"/>
            <w:vMerge w:val="continue"/>
            <w:vAlign w:val="center"/>
          </w:tcPr>
          <w:p w14:paraId="0478538D">
            <w:pPr>
              <w:spacing w:line="360" w:lineRule="auto"/>
              <w:jc w:val="center"/>
              <w:rPr>
                <w:rFonts w:ascii="宋体" w:hAnsi="宋体"/>
              </w:rPr>
            </w:pPr>
          </w:p>
        </w:tc>
        <w:tc>
          <w:tcPr>
            <w:tcW w:w="680" w:type="pct"/>
            <w:vAlign w:val="center"/>
          </w:tcPr>
          <w:p w14:paraId="601D094B">
            <w:pPr>
              <w:spacing w:line="360" w:lineRule="auto"/>
              <w:jc w:val="center"/>
              <w:rPr>
                <w:rFonts w:ascii="宋体" w:hAnsi="宋体"/>
              </w:rPr>
            </w:pPr>
            <w:r>
              <w:rPr>
                <w:rFonts w:hint="eastAsia" w:ascii="宋体" w:hAnsi="宋体"/>
                <w:bCs/>
                <w:snapToGrid w:val="0"/>
                <w:kern w:val="0"/>
                <w:szCs w:val="21"/>
              </w:rPr>
              <w:t>版本/修订</w:t>
            </w:r>
          </w:p>
        </w:tc>
        <w:tc>
          <w:tcPr>
            <w:tcW w:w="1196" w:type="pct"/>
            <w:vAlign w:val="center"/>
          </w:tcPr>
          <w:p w14:paraId="6436012D">
            <w:pPr>
              <w:spacing w:line="360" w:lineRule="auto"/>
              <w:contextualSpacing/>
              <w:jc w:val="center"/>
              <w:rPr>
                <w:szCs w:val="21"/>
              </w:rPr>
            </w:pPr>
            <w:r>
              <w:rPr>
                <w:szCs w:val="21"/>
              </w:rPr>
              <w:t>A/A</w:t>
            </w:r>
            <w:r>
              <w:rPr>
                <w:szCs w:val="21"/>
                <w:vertAlign w:val="subscript"/>
              </w:rPr>
              <w:t>0</w:t>
            </w:r>
          </w:p>
        </w:tc>
      </w:tr>
      <w:tr w14:paraId="31652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08ADF748">
            <w:pPr>
              <w:spacing w:line="360" w:lineRule="auto"/>
              <w:jc w:val="center"/>
              <w:rPr>
                <w:rFonts w:ascii="宋体" w:hAnsi="宋体"/>
              </w:rPr>
            </w:pPr>
            <w:r>
              <w:rPr>
                <w:rFonts w:hint="eastAsia" w:ascii="宋体" w:hAnsi="宋体"/>
                <w:bCs/>
                <w:snapToGrid w:val="0"/>
                <w:kern w:val="0"/>
                <w:szCs w:val="21"/>
              </w:rPr>
              <w:t>审 核 人</w:t>
            </w:r>
          </w:p>
        </w:tc>
        <w:tc>
          <w:tcPr>
            <w:tcW w:w="762" w:type="pct"/>
            <w:vAlign w:val="center"/>
          </w:tcPr>
          <w:p w14:paraId="1E3D8BE9">
            <w:pPr>
              <w:spacing w:line="360" w:lineRule="auto"/>
              <w:jc w:val="center"/>
              <w:rPr>
                <w:rFonts w:ascii="宋体" w:hAnsi="宋体"/>
              </w:rPr>
            </w:pPr>
          </w:p>
        </w:tc>
        <w:tc>
          <w:tcPr>
            <w:tcW w:w="1581" w:type="pct"/>
            <w:vMerge w:val="continue"/>
            <w:vAlign w:val="center"/>
          </w:tcPr>
          <w:p w14:paraId="57687D04">
            <w:pPr>
              <w:spacing w:line="360" w:lineRule="auto"/>
              <w:jc w:val="center"/>
              <w:rPr>
                <w:rFonts w:ascii="宋体" w:hAnsi="宋体"/>
              </w:rPr>
            </w:pPr>
          </w:p>
        </w:tc>
        <w:tc>
          <w:tcPr>
            <w:tcW w:w="680" w:type="pct"/>
            <w:vAlign w:val="center"/>
          </w:tcPr>
          <w:p w14:paraId="689A72D8">
            <w:pPr>
              <w:spacing w:line="360" w:lineRule="auto"/>
              <w:jc w:val="center"/>
              <w:rPr>
                <w:rFonts w:ascii="宋体" w:hAnsi="宋体"/>
              </w:rPr>
            </w:pPr>
            <w:r>
              <w:rPr>
                <w:rFonts w:hint="eastAsia" w:ascii="宋体" w:hAnsi="宋体"/>
              </w:rPr>
              <w:t>制作份数</w:t>
            </w:r>
          </w:p>
        </w:tc>
        <w:tc>
          <w:tcPr>
            <w:tcW w:w="1196" w:type="pct"/>
            <w:vAlign w:val="center"/>
          </w:tcPr>
          <w:p w14:paraId="070682DE">
            <w:pPr>
              <w:spacing w:line="360" w:lineRule="auto"/>
              <w:contextualSpacing/>
              <w:jc w:val="center"/>
              <w:rPr>
                <w:szCs w:val="21"/>
              </w:rPr>
            </w:pPr>
            <w:r>
              <w:rPr>
                <w:szCs w:val="21"/>
              </w:rPr>
              <w:t>1</w:t>
            </w:r>
          </w:p>
        </w:tc>
      </w:tr>
      <w:tr w14:paraId="177DE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3CBF6AB3">
            <w:pPr>
              <w:spacing w:line="360" w:lineRule="auto"/>
              <w:jc w:val="center"/>
              <w:rPr>
                <w:rFonts w:ascii="宋体" w:hAnsi="宋体"/>
              </w:rPr>
            </w:pPr>
            <w:r>
              <w:rPr>
                <w:rFonts w:hint="eastAsia" w:ascii="宋体" w:hAnsi="宋体"/>
                <w:bCs/>
                <w:snapToGrid w:val="0"/>
                <w:kern w:val="0"/>
                <w:szCs w:val="21"/>
              </w:rPr>
              <w:t>批 准 人</w:t>
            </w:r>
          </w:p>
        </w:tc>
        <w:tc>
          <w:tcPr>
            <w:tcW w:w="762" w:type="pct"/>
            <w:vAlign w:val="center"/>
          </w:tcPr>
          <w:p w14:paraId="6412B0DD">
            <w:pPr>
              <w:spacing w:line="360" w:lineRule="auto"/>
              <w:jc w:val="center"/>
              <w:rPr>
                <w:rFonts w:ascii="宋体" w:hAnsi="宋体"/>
              </w:rPr>
            </w:pPr>
          </w:p>
        </w:tc>
        <w:tc>
          <w:tcPr>
            <w:tcW w:w="1581" w:type="pct"/>
            <w:vMerge w:val="continue"/>
            <w:vAlign w:val="center"/>
          </w:tcPr>
          <w:p w14:paraId="79BFC40A">
            <w:pPr>
              <w:spacing w:line="360" w:lineRule="auto"/>
              <w:jc w:val="center"/>
              <w:rPr>
                <w:rFonts w:ascii="宋体" w:hAnsi="宋体"/>
              </w:rPr>
            </w:pPr>
          </w:p>
        </w:tc>
        <w:tc>
          <w:tcPr>
            <w:tcW w:w="680" w:type="pct"/>
            <w:vAlign w:val="center"/>
          </w:tcPr>
          <w:p w14:paraId="4A634C3F">
            <w:pPr>
              <w:spacing w:line="360" w:lineRule="auto"/>
              <w:jc w:val="center"/>
              <w:rPr>
                <w:rFonts w:ascii="宋体" w:hAnsi="宋体"/>
              </w:rPr>
            </w:pPr>
            <w:r>
              <w:rPr>
                <w:rFonts w:hint="eastAsia" w:ascii="宋体" w:hAnsi="宋体"/>
                <w:snapToGrid w:val="0"/>
                <w:szCs w:val="21"/>
              </w:rPr>
              <w:t>生效日期</w:t>
            </w:r>
          </w:p>
        </w:tc>
        <w:tc>
          <w:tcPr>
            <w:tcW w:w="1196" w:type="pct"/>
            <w:vAlign w:val="center"/>
          </w:tcPr>
          <w:p w14:paraId="24C05F4E">
            <w:pPr>
              <w:spacing w:line="360" w:lineRule="auto"/>
              <w:jc w:val="center"/>
            </w:pPr>
            <w:bookmarkStart w:id="0" w:name="OLE_LINK2"/>
            <w:bookmarkStart w:id="1" w:name="OLE_LINK1"/>
            <w:r>
              <w:t>2018年10月26日</w:t>
            </w:r>
            <w:bookmarkEnd w:id="0"/>
            <w:bookmarkEnd w:id="1"/>
          </w:p>
        </w:tc>
      </w:tr>
      <w:tr w14:paraId="08F67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pct"/>
            <w:vAlign w:val="center"/>
          </w:tcPr>
          <w:p w14:paraId="2133DBBF">
            <w:pPr>
              <w:spacing w:line="360" w:lineRule="auto"/>
              <w:jc w:val="center"/>
              <w:rPr>
                <w:rFonts w:ascii="宋体" w:hAnsi="宋体"/>
              </w:rPr>
            </w:pPr>
            <w:r>
              <w:rPr>
                <w:rFonts w:hint="eastAsia" w:ascii="宋体" w:hAnsi="宋体"/>
                <w:bCs/>
                <w:snapToGrid w:val="0"/>
                <w:kern w:val="0"/>
                <w:szCs w:val="21"/>
              </w:rPr>
              <w:t>发放部门</w:t>
            </w:r>
          </w:p>
        </w:tc>
        <w:tc>
          <w:tcPr>
            <w:tcW w:w="4220" w:type="pct"/>
            <w:gridSpan w:val="4"/>
            <w:vAlign w:val="center"/>
          </w:tcPr>
          <w:p w14:paraId="59BC55AE">
            <w:pPr>
              <w:spacing w:line="360" w:lineRule="auto"/>
              <w:jc w:val="center"/>
              <w:rPr>
                <w:rFonts w:ascii="宋体" w:hAnsi="宋体"/>
                <w:szCs w:val="21"/>
              </w:rPr>
            </w:pPr>
          </w:p>
        </w:tc>
      </w:tr>
    </w:tbl>
    <w:p w14:paraId="0F122E54">
      <w:pPr>
        <w:numPr>
          <w:ilvl w:val="0"/>
          <w:numId w:val="1"/>
        </w:numPr>
        <w:spacing w:line="360" w:lineRule="auto"/>
        <w:rPr>
          <w:rFonts w:ascii="宋体" w:hAnsi="宋体"/>
          <w:b/>
          <w:sz w:val="24"/>
        </w:rPr>
      </w:pPr>
      <w:r>
        <w:rPr>
          <w:rFonts w:hint="eastAsia" w:ascii="宋体" w:hAnsi="宋体"/>
          <w:b/>
          <w:sz w:val="24"/>
        </w:rPr>
        <w:t>目的</w:t>
      </w:r>
    </w:p>
    <w:p w14:paraId="2EF48F48">
      <w:pPr>
        <w:spacing w:line="360" w:lineRule="auto"/>
        <w:ind w:firstLine="240" w:firstLineChars="100"/>
        <w:rPr>
          <w:rFonts w:ascii="宋体" w:hAnsi="宋体"/>
          <w:sz w:val="24"/>
        </w:rPr>
      </w:pPr>
      <w:r>
        <w:rPr>
          <w:rFonts w:hint="eastAsia" w:ascii="宋体" w:hAnsi="宋体"/>
          <w:sz w:val="24"/>
        </w:rPr>
        <w:t>建立软件停运管理制度以指导软件</w:t>
      </w:r>
      <w:r>
        <w:rPr>
          <w:rFonts w:ascii="宋体" w:hAnsi="宋体"/>
          <w:sz w:val="24"/>
        </w:rPr>
        <w:t>停运后续的用户服务、数据迁移、患者数据与隐私保护、用户告知等活动</w:t>
      </w:r>
      <w:r>
        <w:rPr>
          <w:rFonts w:hint="eastAsia" w:ascii="宋体" w:hAnsi="宋体"/>
          <w:sz w:val="24"/>
        </w:rPr>
        <w:t>过程。</w:t>
      </w:r>
    </w:p>
    <w:p w14:paraId="218F37A9">
      <w:pPr>
        <w:numPr>
          <w:ilvl w:val="0"/>
          <w:numId w:val="1"/>
        </w:numPr>
        <w:spacing w:line="360" w:lineRule="auto"/>
        <w:rPr>
          <w:rFonts w:ascii="宋体" w:hAnsi="宋体"/>
          <w:b/>
          <w:sz w:val="24"/>
        </w:rPr>
      </w:pPr>
      <w:r>
        <w:rPr>
          <w:rFonts w:hint="eastAsia" w:ascii="宋体" w:hAnsi="宋体"/>
          <w:b/>
          <w:sz w:val="24"/>
        </w:rPr>
        <w:t>范围</w:t>
      </w:r>
    </w:p>
    <w:p w14:paraId="317B39D0">
      <w:pPr>
        <w:spacing w:line="360" w:lineRule="auto"/>
        <w:ind w:firstLine="240" w:firstLineChars="100"/>
        <w:rPr>
          <w:rFonts w:ascii="宋体" w:hAnsi="宋体"/>
          <w:sz w:val="24"/>
        </w:rPr>
      </w:pPr>
      <w:r>
        <w:rPr>
          <w:rFonts w:hint="eastAsia" w:ascii="宋体" w:hAnsi="宋体"/>
          <w:sz w:val="24"/>
        </w:rPr>
        <w:t>公司软件产品件</w:t>
      </w:r>
      <w:r>
        <w:rPr>
          <w:rFonts w:ascii="宋体" w:hAnsi="宋体"/>
          <w:sz w:val="24"/>
        </w:rPr>
        <w:t>停运后续的用户服务、数据迁移、患者数据与隐私保护、用户告知等活动过程</w:t>
      </w:r>
      <w:r>
        <w:rPr>
          <w:rFonts w:hint="eastAsia" w:ascii="宋体" w:hAnsi="宋体"/>
          <w:sz w:val="24"/>
        </w:rPr>
        <w:t>。</w:t>
      </w:r>
    </w:p>
    <w:p w14:paraId="2C94485C">
      <w:pPr>
        <w:numPr>
          <w:ilvl w:val="0"/>
          <w:numId w:val="1"/>
        </w:numPr>
        <w:tabs>
          <w:tab w:val="left" w:pos="6479"/>
        </w:tabs>
        <w:spacing w:line="360" w:lineRule="auto"/>
        <w:rPr>
          <w:rFonts w:ascii="宋体" w:hAnsi="宋体"/>
          <w:b/>
          <w:sz w:val="24"/>
        </w:rPr>
      </w:pPr>
      <w:r>
        <w:rPr>
          <w:rFonts w:hint="eastAsia" w:ascii="宋体" w:hAnsi="宋体"/>
          <w:b/>
          <w:sz w:val="24"/>
        </w:rPr>
        <w:t>职责</w:t>
      </w:r>
    </w:p>
    <w:p w14:paraId="2BBD9725">
      <w:pPr>
        <w:pStyle w:val="16"/>
        <w:numPr>
          <w:ilvl w:val="0"/>
          <w:numId w:val="2"/>
        </w:numPr>
        <w:spacing w:line="360" w:lineRule="auto"/>
        <w:ind w:firstLineChars="0"/>
        <w:rPr>
          <w:rFonts w:ascii="宋体" w:hAnsi="宋体"/>
          <w:sz w:val="24"/>
        </w:rPr>
      </w:pPr>
      <w:r>
        <w:rPr>
          <w:rFonts w:hint="eastAsia" w:ascii="宋体" w:hAnsi="宋体"/>
          <w:sz w:val="24"/>
        </w:rPr>
        <w:t>销售市场部负责用户告知产品停运后的后续服务。</w:t>
      </w:r>
    </w:p>
    <w:p w14:paraId="07D9F800">
      <w:pPr>
        <w:pStyle w:val="16"/>
        <w:numPr>
          <w:ilvl w:val="0"/>
          <w:numId w:val="2"/>
        </w:numPr>
        <w:spacing w:line="360" w:lineRule="auto"/>
        <w:ind w:firstLineChars="0"/>
        <w:rPr>
          <w:rFonts w:ascii="宋体" w:hAnsi="宋体"/>
          <w:sz w:val="24"/>
        </w:rPr>
      </w:pPr>
      <w:r>
        <w:rPr>
          <w:rFonts w:hint="eastAsia" w:ascii="宋体" w:hAnsi="宋体"/>
          <w:sz w:val="24"/>
        </w:rPr>
        <w:t>I</w:t>
      </w:r>
      <w:r>
        <w:rPr>
          <w:rFonts w:ascii="宋体" w:hAnsi="宋体"/>
          <w:sz w:val="24"/>
        </w:rPr>
        <w:t>T部协助完成软件</w:t>
      </w:r>
      <w:r>
        <w:rPr>
          <w:rFonts w:hint="eastAsia" w:ascii="宋体" w:hAnsi="宋体"/>
          <w:sz w:val="24"/>
        </w:rPr>
        <w:t>停运后</w:t>
      </w:r>
      <w:r>
        <w:rPr>
          <w:rFonts w:ascii="宋体" w:hAnsi="宋体"/>
          <w:sz w:val="24"/>
        </w:rPr>
        <w:t>的服务</w:t>
      </w:r>
      <w:r>
        <w:rPr>
          <w:rFonts w:hint="eastAsia" w:ascii="宋体" w:hAnsi="宋体"/>
          <w:sz w:val="24"/>
        </w:rPr>
        <w:t>过程。</w:t>
      </w:r>
    </w:p>
    <w:p w14:paraId="1310E5C3">
      <w:pPr>
        <w:numPr>
          <w:ilvl w:val="0"/>
          <w:numId w:val="1"/>
        </w:numPr>
        <w:spacing w:line="360" w:lineRule="auto"/>
        <w:rPr>
          <w:rFonts w:ascii="宋体" w:hAnsi="宋体"/>
          <w:b/>
          <w:sz w:val="24"/>
        </w:rPr>
      </w:pPr>
      <w:r>
        <w:rPr>
          <w:rFonts w:hint="eastAsia" w:ascii="宋体" w:hAnsi="宋体"/>
          <w:b/>
          <w:sz w:val="24"/>
        </w:rPr>
        <w:t>程序</w:t>
      </w:r>
    </w:p>
    <w:p w14:paraId="2F7E63D0">
      <w:pPr>
        <w:pStyle w:val="16"/>
        <w:numPr>
          <w:ilvl w:val="1"/>
          <w:numId w:val="3"/>
        </w:numPr>
        <w:spacing w:line="360" w:lineRule="auto"/>
        <w:ind w:firstLine="240" w:firstLineChars="100"/>
        <w:rPr>
          <w:rFonts w:ascii="宋体" w:hAnsi="宋体"/>
          <w:sz w:val="24"/>
        </w:rPr>
      </w:pPr>
      <w:r>
        <w:rPr>
          <w:rFonts w:hint="eastAsia" w:ascii="宋体" w:hAnsi="宋体"/>
          <w:sz w:val="24"/>
        </w:rPr>
        <w:t>软件的停运：</w:t>
      </w:r>
    </w:p>
    <w:p w14:paraId="3E2D415E">
      <w:pPr>
        <w:pStyle w:val="16"/>
        <w:numPr>
          <w:ilvl w:val="0"/>
          <w:numId w:val="4"/>
        </w:numPr>
        <w:spacing w:line="360" w:lineRule="auto"/>
        <w:ind w:firstLineChars="0"/>
        <w:rPr>
          <w:rFonts w:ascii="宋体" w:hAnsi="宋体"/>
          <w:sz w:val="24"/>
        </w:rPr>
      </w:pPr>
      <w:r>
        <w:rPr>
          <w:rFonts w:hint="eastAsia" w:ascii="宋体" w:hAnsi="宋体"/>
          <w:sz w:val="24"/>
        </w:rPr>
        <w:t>根据软件产品市场数据分析判断，产品进入衰退期后，进行必要评估。根据评估结果做出软件产品是否退出市场的决定。</w:t>
      </w:r>
    </w:p>
    <w:p w14:paraId="5B552507">
      <w:pPr>
        <w:pStyle w:val="16"/>
        <w:numPr>
          <w:ilvl w:val="0"/>
          <w:numId w:val="4"/>
        </w:numPr>
        <w:spacing w:line="360" w:lineRule="auto"/>
        <w:ind w:firstLineChars="0"/>
        <w:rPr>
          <w:rFonts w:ascii="宋体" w:hAnsi="宋体"/>
          <w:sz w:val="24"/>
        </w:rPr>
      </w:pPr>
      <w:r>
        <w:rPr>
          <w:rFonts w:hint="eastAsia" w:ascii="宋体" w:hAnsi="宋体"/>
          <w:sz w:val="24"/>
        </w:rPr>
        <w:t>软件产品退市后需总结产品全生命周期中出现的问题、解决的方法、积累的经验，为其他产品的研发过程提供参考借鉴。</w:t>
      </w:r>
    </w:p>
    <w:p w14:paraId="17C85B88">
      <w:pPr>
        <w:pStyle w:val="16"/>
        <w:numPr>
          <w:ilvl w:val="1"/>
          <w:numId w:val="3"/>
        </w:numPr>
        <w:spacing w:line="360" w:lineRule="auto"/>
        <w:ind w:firstLine="240" w:firstLineChars="100"/>
        <w:rPr>
          <w:rFonts w:ascii="宋体" w:hAnsi="宋体"/>
          <w:sz w:val="24"/>
        </w:rPr>
      </w:pPr>
      <w:r>
        <w:rPr>
          <w:rFonts w:ascii="宋体" w:hAnsi="宋体"/>
          <w:sz w:val="24"/>
        </w:rPr>
        <w:t>用户告知</w:t>
      </w:r>
    </w:p>
    <w:p w14:paraId="5901A348">
      <w:pPr>
        <w:pStyle w:val="16"/>
        <w:spacing w:line="360" w:lineRule="auto"/>
        <w:ind w:left="240" w:firstLine="0" w:firstLineChars="0"/>
        <w:rPr>
          <w:rFonts w:ascii="宋体" w:hAnsi="宋体"/>
          <w:sz w:val="24"/>
        </w:rPr>
      </w:pPr>
      <w:r>
        <w:rPr>
          <w:rFonts w:ascii="宋体" w:hAnsi="宋体"/>
          <w:sz w:val="24"/>
        </w:rPr>
        <w:t>销售市场部负责调查市场上停运软件的使用情况</w:t>
      </w:r>
      <w:r>
        <w:rPr>
          <w:rFonts w:hint="eastAsia" w:ascii="宋体" w:hAnsi="宋体"/>
          <w:sz w:val="24"/>
        </w:rPr>
        <w:t>，</w:t>
      </w:r>
      <w:r>
        <w:rPr>
          <w:rFonts w:ascii="宋体" w:hAnsi="宋体"/>
          <w:sz w:val="24"/>
        </w:rPr>
        <w:t>并对客户发出告知书通报软件的停运决定以及停运后的后续服务内容</w:t>
      </w:r>
      <w:r>
        <w:rPr>
          <w:rFonts w:hint="eastAsia" w:ascii="宋体" w:hAnsi="宋体"/>
          <w:sz w:val="24"/>
        </w:rPr>
        <w:t>。</w:t>
      </w:r>
      <w:r>
        <w:rPr>
          <w:rFonts w:ascii="宋体" w:hAnsi="宋体"/>
          <w:sz w:val="24"/>
        </w:rPr>
        <w:t>与客户沟通明确客户后续服务项目</w:t>
      </w:r>
      <w:r>
        <w:rPr>
          <w:rFonts w:hint="eastAsia" w:ascii="宋体" w:hAnsi="宋体"/>
          <w:sz w:val="24"/>
        </w:rPr>
        <w:t>以及后续服务的跟进。</w:t>
      </w:r>
    </w:p>
    <w:p w14:paraId="55D4BEC6">
      <w:pPr>
        <w:pStyle w:val="16"/>
        <w:numPr>
          <w:ilvl w:val="1"/>
          <w:numId w:val="3"/>
        </w:numPr>
        <w:spacing w:line="360" w:lineRule="auto"/>
        <w:ind w:firstLine="240" w:firstLineChars="100"/>
        <w:rPr>
          <w:rFonts w:ascii="宋体" w:hAnsi="宋体"/>
          <w:sz w:val="24"/>
        </w:rPr>
      </w:pPr>
      <w:r>
        <w:rPr>
          <w:rFonts w:hint="eastAsia" w:ascii="宋体" w:hAnsi="宋体"/>
          <w:sz w:val="24"/>
        </w:rPr>
        <w:t>后续服务</w:t>
      </w:r>
    </w:p>
    <w:p w14:paraId="445710CC">
      <w:pPr>
        <w:pStyle w:val="16"/>
        <w:numPr>
          <w:ilvl w:val="0"/>
          <w:numId w:val="5"/>
        </w:numPr>
        <w:spacing w:line="360" w:lineRule="auto"/>
        <w:ind w:firstLineChars="0"/>
        <w:rPr>
          <w:rFonts w:ascii="宋体" w:hAnsi="宋体"/>
          <w:sz w:val="24"/>
        </w:rPr>
      </w:pPr>
      <w:r>
        <w:rPr>
          <w:rFonts w:ascii="宋体" w:hAnsi="宋体"/>
          <w:sz w:val="24"/>
        </w:rPr>
        <w:t>销售市场部负责与客户确认后续服务项目及服务期限</w:t>
      </w:r>
      <w:r>
        <w:rPr>
          <w:rFonts w:hint="eastAsia" w:ascii="宋体" w:hAnsi="宋体"/>
          <w:sz w:val="24"/>
        </w:rPr>
        <w:t>。</w:t>
      </w:r>
    </w:p>
    <w:p w14:paraId="0889FA3F">
      <w:pPr>
        <w:pStyle w:val="16"/>
        <w:numPr>
          <w:ilvl w:val="0"/>
          <w:numId w:val="5"/>
        </w:numPr>
        <w:spacing w:line="360" w:lineRule="auto"/>
        <w:ind w:firstLineChars="0"/>
        <w:rPr>
          <w:rFonts w:ascii="宋体" w:hAnsi="宋体"/>
          <w:sz w:val="24"/>
        </w:rPr>
      </w:pPr>
      <w:r>
        <w:rPr>
          <w:rFonts w:hint="eastAsia" w:ascii="宋体" w:hAnsi="宋体"/>
          <w:sz w:val="24"/>
        </w:rPr>
        <w:t>后续服务项目最长期限不得超过6个月。</w:t>
      </w:r>
    </w:p>
    <w:p w14:paraId="6E799C54">
      <w:pPr>
        <w:pStyle w:val="16"/>
        <w:numPr>
          <w:ilvl w:val="0"/>
          <w:numId w:val="5"/>
        </w:numPr>
        <w:spacing w:line="360" w:lineRule="auto"/>
        <w:ind w:firstLineChars="0"/>
        <w:rPr>
          <w:rFonts w:ascii="宋体" w:hAnsi="宋体"/>
          <w:sz w:val="24"/>
        </w:rPr>
      </w:pPr>
      <w:r>
        <w:rPr>
          <w:rFonts w:hint="eastAsia" w:ascii="宋体" w:hAnsi="宋体"/>
          <w:sz w:val="24"/>
        </w:rPr>
        <w:t>后续服务过程中销售市场部应及时向客户推荐替代使用产品，确保客户需求的到满足。</w:t>
      </w:r>
    </w:p>
    <w:p w14:paraId="1EDBBF9D">
      <w:pPr>
        <w:pStyle w:val="16"/>
        <w:numPr>
          <w:ilvl w:val="0"/>
          <w:numId w:val="6"/>
        </w:numPr>
        <w:spacing w:line="360" w:lineRule="auto"/>
        <w:ind w:firstLineChars="0"/>
        <w:rPr>
          <w:rFonts w:ascii="宋体" w:hAnsi="宋体"/>
          <w:sz w:val="24"/>
        </w:rPr>
      </w:pPr>
      <w:r>
        <w:rPr>
          <w:rFonts w:hint="eastAsia" w:ascii="宋体" w:hAnsi="宋体"/>
          <w:sz w:val="24"/>
        </w:rPr>
        <w:t>数据迁移</w:t>
      </w:r>
    </w:p>
    <w:p w14:paraId="5210BDE7">
      <w:pPr>
        <w:spacing w:line="360" w:lineRule="auto"/>
        <w:ind w:left="284"/>
        <w:rPr>
          <w:rFonts w:ascii="宋体" w:hAnsi="宋体"/>
          <w:sz w:val="24"/>
        </w:rPr>
      </w:pPr>
      <w:r>
        <w:rPr>
          <w:rFonts w:hint="eastAsia" w:ascii="宋体" w:hAnsi="宋体"/>
          <w:sz w:val="24"/>
        </w:rPr>
        <w:t>根据</w:t>
      </w:r>
      <w:r>
        <w:rPr>
          <w:rFonts w:ascii="宋体" w:hAnsi="宋体"/>
          <w:sz w:val="24"/>
        </w:rPr>
        <w:t>客户的需求由</w:t>
      </w:r>
      <w:r>
        <w:rPr>
          <w:rFonts w:hint="eastAsia" w:ascii="宋体" w:hAnsi="宋体"/>
          <w:sz w:val="24"/>
        </w:rPr>
        <w:t>I</w:t>
      </w:r>
      <w:r>
        <w:rPr>
          <w:rFonts w:ascii="宋体" w:hAnsi="宋体"/>
          <w:sz w:val="24"/>
        </w:rPr>
        <w:t>T工程师指导</w:t>
      </w:r>
      <w:r>
        <w:rPr>
          <w:rFonts w:hint="eastAsia" w:ascii="宋体" w:hAnsi="宋体"/>
          <w:sz w:val="24"/>
        </w:rPr>
        <w:t>、</w:t>
      </w:r>
      <w:r>
        <w:rPr>
          <w:rFonts w:ascii="宋体" w:hAnsi="宋体"/>
          <w:sz w:val="24"/>
        </w:rPr>
        <w:t>协助客户完成数据迁移工作</w:t>
      </w:r>
      <w:r>
        <w:rPr>
          <w:rFonts w:hint="eastAsia" w:ascii="宋体" w:hAnsi="宋体"/>
          <w:sz w:val="24"/>
        </w:rPr>
        <w:t>。</w:t>
      </w:r>
      <w:r>
        <w:rPr>
          <w:rFonts w:ascii="宋体" w:hAnsi="宋体"/>
          <w:sz w:val="24"/>
        </w:rPr>
        <w:t>根据软件产品的复杂程度</w:t>
      </w:r>
      <w:r>
        <w:rPr>
          <w:rFonts w:hint="eastAsia" w:ascii="宋体" w:hAnsi="宋体"/>
          <w:sz w:val="24"/>
        </w:rPr>
        <w:t>以及客户对数据的需求制定数据转移措施。</w:t>
      </w:r>
    </w:p>
    <w:p w14:paraId="31FFFEB3">
      <w:pPr>
        <w:pStyle w:val="16"/>
        <w:numPr>
          <w:ilvl w:val="0"/>
          <w:numId w:val="7"/>
        </w:numPr>
        <w:spacing w:line="360" w:lineRule="auto"/>
        <w:ind w:firstLineChars="0"/>
        <w:rPr>
          <w:rFonts w:ascii="宋体" w:hAnsi="宋体"/>
          <w:sz w:val="24"/>
        </w:rPr>
      </w:pPr>
      <w:r>
        <w:rPr>
          <w:rFonts w:hint="eastAsia" w:ascii="宋体" w:hAnsi="宋体"/>
          <w:sz w:val="24"/>
        </w:rPr>
        <w:t>简单数据迁移：由I</w:t>
      </w:r>
      <w:r>
        <w:rPr>
          <w:rFonts w:ascii="宋体" w:hAnsi="宋体"/>
          <w:sz w:val="24"/>
        </w:rPr>
        <w:t>T工程师指导客户使用</w:t>
      </w:r>
      <w:r>
        <w:rPr>
          <w:rFonts w:hint="eastAsia" w:ascii="宋体" w:hAnsi="宋体"/>
          <w:sz w:val="24"/>
        </w:rPr>
        <w:t>U盘、移动硬盘、网盘等工具进行数据导出。</w:t>
      </w:r>
    </w:p>
    <w:p w14:paraId="7B61842B">
      <w:pPr>
        <w:pStyle w:val="16"/>
        <w:numPr>
          <w:ilvl w:val="0"/>
          <w:numId w:val="7"/>
        </w:numPr>
        <w:spacing w:line="360" w:lineRule="auto"/>
        <w:ind w:firstLineChars="0"/>
        <w:rPr>
          <w:rFonts w:ascii="宋体" w:hAnsi="宋体"/>
          <w:sz w:val="24"/>
        </w:rPr>
      </w:pPr>
      <w:r>
        <w:rPr>
          <w:rFonts w:ascii="宋体" w:hAnsi="宋体"/>
          <w:sz w:val="24"/>
        </w:rPr>
        <w:t>复杂数据迁移</w:t>
      </w:r>
      <w:r>
        <w:rPr>
          <w:rFonts w:hint="eastAsia" w:ascii="宋体" w:hAnsi="宋体"/>
          <w:sz w:val="24"/>
        </w:rPr>
        <w:t>：</w:t>
      </w:r>
      <w:r>
        <w:rPr>
          <w:rFonts w:ascii="宋体" w:hAnsi="宋体"/>
          <w:sz w:val="24"/>
        </w:rPr>
        <w:t>由</w:t>
      </w:r>
      <w:r>
        <w:rPr>
          <w:rFonts w:hint="eastAsia" w:ascii="宋体" w:hAnsi="宋体"/>
          <w:sz w:val="24"/>
        </w:rPr>
        <w:t>I</w:t>
      </w:r>
      <w:r>
        <w:rPr>
          <w:rFonts w:ascii="宋体" w:hAnsi="宋体"/>
          <w:sz w:val="24"/>
        </w:rPr>
        <w:t>T工程师根据客户的需要对软件的数据进行导出</w:t>
      </w:r>
      <w:r>
        <w:rPr>
          <w:rFonts w:hint="eastAsia" w:ascii="宋体" w:hAnsi="宋体"/>
          <w:sz w:val="24"/>
        </w:rPr>
        <w:t>。</w:t>
      </w:r>
    </w:p>
    <w:p w14:paraId="7DA64EA4">
      <w:pPr>
        <w:pStyle w:val="16"/>
        <w:numPr>
          <w:ilvl w:val="0"/>
          <w:numId w:val="6"/>
        </w:numPr>
        <w:spacing w:line="360" w:lineRule="auto"/>
        <w:ind w:firstLineChars="0"/>
        <w:rPr>
          <w:rFonts w:ascii="宋体" w:hAnsi="宋体"/>
          <w:sz w:val="24"/>
        </w:rPr>
      </w:pPr>
      <w:r>
        <w:rPr>
          <w:rFonts w:hint="eastAsia" w:ascii="宋体" w:hAnsi="宋体"/>
          <w:sz w:val="24"/>
        </w:rPr>
        <w:t>患者数据</w:t>
      </w:r>
      <w:r>
        <w:rPr>
          <w:rFonts w:ascii="宋体" w:hAnsi="宋体"/>
          <w:sz w:val="24"/>
        </w:rPr>
        <w:t>与隐私保护</w:t>
      </w:r>
    </w:p>
    <w:p w14:paraId="3A7ED147">
      <w:pPr>
        <w:pStyle w:val="16"/>
        <w:numPr>
          <w:ilvl w:val="0"/>
          <w:numId w:val="8"/>
        </w:numPr>
        <w:spacing w:line="360" w:lineRule="auto"/>
        <w:ind w:firstLineChars="0"/>
        <w:rPr>
          <w:rFonts w:ascii="宋体" w:hAnsi="宋体"/>
          <w:sz w:val="24"/>
        </w:rPr>
      </w:pPr>
      <w:r>
        <w:rPr>
          <w:rFonts w:hint="eastAsia" w:ascii="宋体" w:hAnsi="宋体"/>
          <w:sz w:val="24"/>
        </w:rPr>
        <w:t>数据转移过程需在客户在场的情况下进行。</w:t>
      </w:r>
    </w:p>
    <w:p w14:paraId="61C9A0B7">
      <w:pPr>
        <w:pStyle w:val="16"/>
        <w:numPr>
          <w:ilvl w:val="0"/>
          <w:numId w:val="8"/>
        </w:numPr>
        <w:spacing w:line="360" w:lineRule="auto"/>
        <w:ind w:firstLineChars="0"/>
        <w:rPr>
          <w:rFonts w:ascii="宋体" w:hAnsi="宋体"/>
          <w:sz w:val="24"/>
        </w:rPr>
      </w:pPr>
      <w:r>
        <w:rPr>
          <w:rFonts w:hint="eastAsia" w:ascii="宋体" w:hAnsi="宋体"/>
          <w:sz w:val="24"/>
        </w:rPr>
        <w:t>数据转移所产生的载体均由客户保管。</w:t>
      </w:r>
    </w:p>
    <w:p w14:paraId="4D6EF1E5">
      <w:pPr>
        <w:pStyle w:val="16"/>
        <w:numPr>
          <w:ilvl w:val="0"/>
          <w:numId w:val="8"/>
        </w:numPr>
        <w:spacing w:line="360" w:lineRule="auto"/>
        <w:ind w:firstLineChars="0"/>
        <w:rPr>
          <w:rFonts w:ascii="宋体" w:hAnsi="宋体"/>
          <w:sz w:val="24"/>
        </w:rPr>
      </w:pPr>
      <w:r>
        <w:rPr>
          <w:rFonts w:hint="eastAsia" w:ascii="宋体" w:hAnsi="宋体"/>
          <w:sz w:val="24"/>
        </w:rPr>
        <w:t>I</w:t>
      </w:r>
      <w:r>
        <w:rPr>
          <w:rFonts w:ascii="宋体" w:hAnsi="宋体"/>
          <w:sz w:val="24"/>
        </w:rPr>
        <w:t>T工程师不得私自复制客户数据信息</w:t>
      </w:r>
      <w:r>
        <w:rPr>
          <w:rFonts w:hint="eastAsia" w:ascii="宋体" w:hAnsi="宋体"/>
          <w:sz w:val="24"/>
        </w:rPr>
        <w:t>，</w:t>
      </w:r>
      <w:r>
        <w:rPr>
          <w:rFonts w:ascii="宋体" w:hAnsi="宋体"/>
          <w:sz w:val="24"/>
        </w:rPr>
        <w:t>如发生该情况公司有权预期解除劳动合同</w:t>
      </w:r>
      <w:r>
        <w:rPr>
          <w:rFonts w:hint="eastAsia" w:ascii="宋体" w:hAnsi="宋体"/>
          <w:sz w:val="24"/>
        </w:rPr>
        <w:t>。</w:t>
      </w:r>
      <w:r>
        <w:rPr>
          <w:rFonts w:ascii="宋体" w:hAnsi="宋体"/>
          <w:sz w:val="24"/>
        </w:rPr>
        <w:t>涉及犯罪的将移交公安司法机关处理</w:t>
      </w:r>
      <w:r>
        <w:rPr>
          <w:rFonts w:hint="eastAsia" w:ascii="宋体" w:hAnsi="宋体"/>
          <w:sz w:val="24"/>
        </w:rPr>
        <w:t>。</w:t>
      </w:r>
    </w:p>
    <w:p w14:paraId="4818FF58">
      <w:pPr>
        <w:pStyle w:val="16"/>
        <w:numPr>
          <w:ilvl w:val="0"/>
          <w:numId w:val="8"/>
        </w:numPr>
        <w:spacing w:line="360" w:lineRule="auto"/>
        <w:ind w:firstLineChars="0"/>
        <w:rPr>
          <w:rFonts w:ascii="宋体" w:hAnsi="宋体"/>
          <w:sz w:val="24"/>
        </w:rPr>
      </w:pPr>
      <w:r>
        <w:rPr>
          <w:rFonts w:hint="eastAsia" w:ascii="宋体" w:hAnsi="宋体"/>
          <w:sz w:val="24"/>
        </w:rPr>
        <w:t>数据转移</w:t>
      </w:r>
      <w:r>
        <w:rPr>
          <w:rFonts w:ascii="宋体" w:hAnsi="宋体"/>
          <w:sz w:val="24"/>
        </w:rPr>
        <w:t>过程完成后由</w:t>
      </w:r>
      <w:r>
        <w:rPr>
          <w:rFonts w:hint="eastAsia" w:ascii="宋体" w:hAnsi="宋体"/>
          <w:sz w:val="24"/>
        </w:rPr>
        <w:t>I</w:t>
      </w:r>
      <w:r>
        <w:rPr>
          <w:rFonts w:ascii="宋体" w:hAnsi="宋体"/>
          <w:sz w:val="24"/>
        </w:rPr>
        <w:t>T工程师填写售后服务单</w:t>
      </w:r>
      <w:r>
        <w:rPr>
          <w:rFonts w:hint="eastAsia" w:ascii="宋体" w:hAnsi="宋体"/>
          <w:sz w:val="24"/>
        </w:rPr>
        <w:t>，</w:t>
      </w:r>
      <w:r>
        <w:rPr>
          <w:rFonts w:ascii="宋体" w:hAnsi="宋体"/>
          <w:sz w:val="24"/>
        </w:rPr>
        <w:t>写明数据转移的过程</w:t>
      </w:r>
      <w:r>
        <w:rPr>
          <w:rFonts w:hint="eastAsia" w:ascii="宋体" w:hAnsi="宋体"/>
          <w:sz w:val="24"/>
        </w:rPr>
        <w:t>、</w:t>
      </w:r>
      <w:r>
        <w:rPr>
          <w:rFonts w:ascii="宋体" w:hAnsi="宋体"/>
          <w:sz w:val="24"/>
        </w:rPr>
        <w:t>使用载体</w:t>
      </w:r>
      <w:r>
        <w:rPr>
          <w:rFonts w:hint="eastAsia" w:ascii="宋体" w:hAnsi="宋体"/>
          <w:sz w:val="24"/>
        </w:rPr>
        <w:t>、</w:t>
      </w:r>
      <w:r>
        <w:rPr>
          <w:rFonts w:ascii="宋体" w:hAnsi="宋体"/>
          <w:sz w:val="24"/>
        </w:rPr>
        <w:t>移交人员等信息</w:t>
      </w:r>
      <w:r>
        <w:rPr>
          <w:rFonts w:hint="eastAsia" w:ascii="宋体" w:hAnsi="宋体"/>
          <w:sz w:val="24"/>
        </w:rPr>
        <w:t>，</w:t>
      </w:r>
      <w:r>
        <w:rPr>
          <w:rFonts w:ascii="宋体" w:hAnsi="宋体"/>
          <w:sz w:val="24"/>
        </w:rPr>
        <w:t>经客户签字确认后由公司归档保存</w:t>
      </w:r>
      <w:r>
        <w:rPr>
          <w:rFonts w:hint="eastAsia" w:ascii="宋体" w:hAnsi="宋体"/>
          <w:sz w:val="24"/>
        </w:rPr>
        <w:t>。</w:t>
      </w:r>
    </w:p>
    <w:p w14:paraId="06DD7AFF">
      <w:pPr>
        <w:numPr>
          <w:ilvl w:val="0"/>
          <w:numId w:val="1"/>
        </w:numPr>
        <w:spacing w:line="360" w:lineRule="auto"/>
        <w:rPr>
          <w:rFonts w:ascii="宋体" w:hAnsi="宋体"/>
          <w:b/>
          <w:sz w:val="24"/>
        </w:rPr>
      </w:pPr>
      <w:r>
        <w:rPr>
          <w:rFonts w:hint="eastAsia" w:ascii="宋体" w:hAnsi="宋体"/>
          <w:b/>
          <w:sz w:val="24"/>
        </w:rPr>
        <w:t>相关文件</w:t>
      </w:r>
    </w:p>
    <w:p w14:paraId="4C91E568">
      <w:pPr>
        <w:spacing w:line="360" w:lineRule="auto"/>
        <w:rPr>
          <w:rFonts w:ascii="宋体" w:hAnsi="宋体"/>
          <w:b/>
          <w:sz w:val="24"/>
        </w:rPr>
      </w:pPr>
    </w:p>
    <w:p w14:paraId="5A60496B">
      <w:pPr>
        <w:numPr>
          <w:ilvl w:val="0"/>
          <w:numId w:val="1"/>
        </w:numPr>
        <w:spacing w:line="360" w:lineRule="auto"/>
        <w:rPr>
          <w:rFonts w:ascii="宋体" w:hAnsi="宋体"/>
          <w:b/>
          <w:sz w:val="24"/>
        </w:rPr>
      </w:pPr>
      <w:r>
        <w:rPr>
          <w:rFonts w:hint="eastAsia" w:ascii="宋体" w:hAnsi="宋体"/>
          <w:b/>
          <w:sz w:val="24"/>
        </w:rPr>
        <w:t>相关记录</w:t>
      </w:r>
    </w:p>
    <w:p w14:paraId="1A596CD1">
      <w:pPr>
        <w:spacing w:line="360" w:lineRule="auto"/>
        <w:ind w:firstLine="240" w:firstLineChars="100"/>
        <w:rPr>
          <w:rFonts w:ascii="宋体" w:hAnsi="宋体"/>
          <w:sz w:val="24"/>
        </w:rPr>
      </w:pPr>
      <w:r>
        <w:rPr>
          <w:rFonts w:hint="eastAsia" w:ascii="宋体" w:hAnsi="宋体"/>
          <w:sz w:val="24"/>
        </w:rPr>
        <w:t xml:space="preserve">《培训记录》                          </w:t>
      </w:r>
      <w:r>
        <w:rPr>
          <w:rFonts w:ascii="宋体" w:hAnsi="宋体"/>
          <w:sz w:val="24"/>
        </w:rPr>
        <w:t xml:space="preserve">            </w:t>
      </w:r>
      <w:r>
        <w:rPr>
          <w:rFonts w:hint="eastAsia" w:ascii="宋体" w:hAnsi="宋体"/>
          <w:sz w:val="24"/>
        </w:rPr>
        <w:t xml:space="preserve">  </w:t>
      </w:r>
    </w:p>
    <w:sectPr>
      <w:headerReference r:id="rId3" w:type="default"/>
      <w:footerReference r:id="rId4" w:type="default"/>
      <w:footerReference r:id="rId5" w:type="even"/>
      <w:pgSz w:w="11906" w:h="16838"/>
      <w:pgMar w:top="851" w:right="1134" w:bottom="851" w:left="1134" w:header="482" w:footer="48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25B3">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FB518">
    <w:pPr>
      <w:pStyle w:val="6"/>
      <w:framePr w:wrap="around" w:vAnchor="text" w:hAnchor="margin" w:xAlign="center" w:y="1"/>
      <w:rPr>
        <w:rStyle w:val="12"/>
      </w:rPr>
    </w:pPr>
    <w:r>
      <w:fldChar w:fldCharType="begin"/>
    </w:r>
    <w:r>
      <w:rPr>
        <w:rStyle w:val="12"/>
      </w:rPr>
      <w:instrText xml:space="preserve">PAGE  </w:instrText>
    </w:r>
    <w:r>
      <w:fldChar w:fldCharType="end"/>
    </w:r>
  </w:p>
  <w:p w14:paraId="00C00665">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B0B19">
    <w:pPr>
      <w:pBdr>
        <w:bottom w:val="single" w:color="auto" w:sz="4" w:space="1"/>
      </w:pBdr>
      <w:ind w:right="220"/>
      <w:rPr>
        <w:rFonts w:ascii="宋体" w:hAnsi="宋体"/>
        <w:b/>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DEB11"/>
    <w:multiLevelType w:val="singleLevel"/>
    <w:tmpl w:val="A91DEB11"/>
    <w:lvl w:ilvl="0" w:tentative="0">
      <w:start w:val="1"/>
      <w:numFmt w:val="decimal"/>
      <w:suff w:val="space"/>
      <w:lvlText w:val="%1."/>
      <w:lvlJc w:val="left"/>
      <w:rPr>
        <w:rFonts w:hint="default" w:ascii="Times New Roman" w:hAnsi="Times New Roman" w:cs="Times New Roman"/>
      </w:rPr>
    </w:lvl>
  </w:abstractNum>
  <w:abstractNum w:abstractNumId="1">
    <w:nsid w:val="139A2724"/>
    <w:multiLevelType w:val="multilevel"/>
    <w:tmpl w:val="139A2724"/>
    <w:lvl w:ilvl="0" w:tentative="0">
      <w:start w:val="1"/>
      <w:numFmt w:val="decimal"/>
      <w:lvlText w:val="4.4.%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2">
    <w:nsid w:val="313E5915"/>
    <w:multiLevelType w:val="multilevel"/>
    <w:tmpl w:val="313E5915"/>
    <w:lvl w:ilvl="0" w:tentative="0">
      <w:start w:val="1"/>
      <w:numFmt w:val="decimal"/>
      <w:lvlText w:val="3.%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35C33907"/>
    <w:multiLevelType w:val="multilevel"/>
    <w:tmpl w:val="35C33907"/>
    <w:lvl w:ilvl="0" w:tentative="0">
      <w:start w:val="1"/>
      <w:numFmt w:val="decimal"/>
      <w:lvlText w:val="4.1.%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4">
    <w:nsid w:val="45494658"/>
    <w:multiLevelType w:val="multilevel"/>
    <w:tmpl w:val="45494658"/>
    <w:lvl w:ilvl="0" w:tentative="0">
      <w:start w:val="1"/>
      <w:numFmt w:val="decimal"/>
      <w:lvlText w:val="4.3.%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5">
    <w:nsid w:val="4C9C3E1A"/>
    <w:multiLevelType w:val="multilevel"/>
    <w:tmpl w:val="4C9C3E1A"/>
    <w:lvl w:ilvl="0" w:tentative="0">
      <w:start w:val="4"/>
      <w:numFmt w:val="decimal"/>
      <w:lvlText w:val="4.%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abstractNum w:abstractNumId="6">
    <w:nsid w:val="511F5BCD"/>
    <w:multiLevelType w:val="multilevel"/>
    <w:tmpl w:val="511F5BCD"/>
    <w:lvl w:ilvl="0" w:tentative="0">
      <w:start w:val="4"/>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61B63E2A"/>
    <w:multiLevelType w:val="multilevel"/>
    <w:tmpl w:val="61B63E2A"/>
    <w:lvl w:ilvl="0" w:tentative="0">
      <w:start w:val="1"/>
      <w:numFmt w:val="decimal"/>
      <w:lvlText w:val="4.5.%1"/>
      <w:lvlJc w:val="left"/>
      <w:pPr>
        <w:ind w:left="709" w:hanging="425"/>
      </w:pPr>
      <w:rPr>
        <w:rFonts w:hint="eastAsia"/>
      </w:rPr>
    </w:lvl>
    <w:lvl w:ilvl="1" w:tentative="0">
      <w:start w:val="1"/>
      <w:numFmt w:val="decimal"/>
      <w:lvlText w:val="%1.%2"/>
      <w:lvlJc w:val="left"/>
      <w:pPr>
        <w:ind w:left="1276" w:hanging="567"/>
      </w:pPr>
      <w:rPr>
        <w:rFonts w:hint="eastAsia"/>
      </w:rPr>
    </w:lvl>
    <w:lvl w:ilvl="2" w:tentative="0">
      <w:start w:val="1"/>
      <w:numFmt w:val="decimal"/>
      <w:lvlText w:val="%1.%2.%3"/>
      <w:lvlJc w:val="left"/>
      <w:pPr>
        <w:ind w:left="1702" w:hanging="567"/>
      </w:pPr>
      <w:rPr>
        <w:rFonts w:hint="eastAsia"/>
      </w:rPr>
    </w:lvl>
    <w:lvl w:ilvl="3" w:tentative="0">
      <w:start w:val="1"/>
      <w:numFmt w:val="decimal"/>
      <w:lvlText w:val="%1.%2.%3.%4"/>
      <w:lvlJc w:val="left"/>
      <w:pPr>
        <w:ind w:left="2268" w:hanging="708"/>
      </w:pPr>
      <w:rPr>
        <w:rFonts w:hint="eastAsia"/>
      </w:rPr>
    </w:lvl>
    <w:lvl w:ilvl="4" w:tentative="0">
      <w:start w:val="1"/>
      <w:numFmt w:val="decimal"/>
      <w:lvlText w:val="%1.%2.%3.%4.%5"/>
      <w:lvlJc w:val="left"/>
      <w:pPr>
        <w:ind w:left="2835" w:hanging="850"/>
      </w:pPr>
      <w:rPr>
        <w:rFonts w:hint="eastAsia"/>
      </w:rPr>
    </w:lvl>
    <w:lvl w:ilvl="5" w:tentative="0">
      <w:start w:val="1"/>
      <w:numFmt w:val="decimal"/>
      <w:lvlText w:val="%1.%2.%3.%4.%5.%6"/>
      <w:lvlJc w:val="left"/>
      <w:pPr>
        <w:ind w:left="3544" w:hanging="1134"/>
      </w:pPr>
      <w:rPr>
        <w:rFonts w:hint="eastAsia"/>
      </w:rPr>
    </w:lvl>
    <w:lvl w:ilvl="6" w:tentative="0">
      <w:start w:val="1"/>
      <w:numFmt w:val="decimal"/>
      <w:lvlText w:val="%1.%2.%3.%4.%5.%6.%7"/>
      <w:lvlJc w:val="left"/>
      <w:pPr>
        <w:ind w:left="4111" w:hanging="1276"/>
      </w:pPr>
      <w:rPr>
        <w:rFonts w:hint="eastAsia"/>
      </w:rPr>
    </w:lvl>
    <w:lvl w:ilvl="7" w:tentative="0">
      <w:start w:val="1"/>
      <w:numFmt w:val="decimal"/>
      <w:lvlText w:val="%1.%2.%3.%4.%5.%6.%7.%8"/>
      <w:lvlJc w:val="left"/>
      <w:pPr>
        <w:ind w:left="4678" w:hanging="1418"/>
      </w:pPr>
      <w:rPr>
        <w:rFonts w:hint="eastAsia"/>
      </w:rPr>
    </w:lvl>
    <w:lvl w:ilvl="8" w:tentative="0">
      <w:start w:val="1"/>
      <w:numFmt w:val="decimal"/>
      <w:lvlText w:val="%1.%2.%3.%4.%5.%6.%7.%8.%9"/>
      <w:lvlJc w:val="left"/>
      <w:pPr>
        <w:ind w:left="5386" w:hanging="1700"/>
      </w:pPr>
      <w:rPr>
        <w:rFonts w:hint="eastAsia"/>
      </w:rPr>
    </w:lvl>
  </w:abstractNum>
  <w:num w:numId="1">
    <w:abstractNumId w:val="0"/>
  </w:num>
  <w:num w:numId="2">
    <w:abstractNumId w:val="2"/>
  </w:num>
  <w:num w:numId="3">
    <w:abstractNumId w:val="6"/>
    <w:lvlOverride w:ilvl="0">
      <w:lvl w:ilvl="0" w:tentative="1">
        <w:start w:val="4"/>
        <w:numFmt w:val="decimal"/>
        <w:lvlText w:val="%1"/>
        <w:lvlJc w:val="left"/>
        <w:pPr>
          <w:ind w:left="425" w:hanging="425"/>
        </w:pPr>
        <w:rPr>
          <w:rFonts w:hint="eastAsia"/>
        </w:rPr>
      </w:lvl>
    </w:lvlOverride>
    <w:lvlOverride w:ilvl="1">
      <w:lvl w:ilvl="1" w:tentative="1">
        <w:start w:val="1"/>
        <w:numFmt w:val="decimal"/>
        <w:suff w:val="space"/>
        <w:lvlText w:val="%1.%2"/>
        <w:lvlJc w:val="left"/>
        <w:pPr>
          <w:ind w:left="0" w:firstLine="0"/>
        </w:pPr>
        <w:rPr>
          <w:rFonts w:hint="default" w:ascii="Times New Roman" w:hAnsi="Times New Roman" w:cs="Times New Roman"/>
        </w:rPr>
      </w:lvl>
    </w:lvlOverride>
    <w:lvlOverride w:ilvl="2">
      <w:lvl w:ilvl="2" w:tentative="1">
        <w:start w:val="1"/>
        <w:numFmt w:val="decimal"/>
        <w:suff w:val="space"/>
        <w:lvlText w:val="%1.%2.%3"/>
        <w:lvlJc w:val="left"/>
        <w:pPr>
          <w:ind w:left="0" w:firstLine="0"/>
        </w:pPr>
        <w:rPr>
          <w:rFonts w:hint="default" w:ascii="Times New Roman" w:hAnsi="Times New Roman" w:cs="Times New Roman"/>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4">
    <w:abstractNumId w:val="3"/>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69"/>
    <w:rsid w:val="00006D0F"/>
    <w:rsid w:val="00011E22"/>
    <w:rsid w:val="00054BC9"/>
    <w:rsid w:val="00064AD0"/>
    <w:rsid w:val="00094DD7"/>
    <w:rsid w:val="000957A0"/>
    <w:rsid w:val="000A01DE"/>
    <w:rsid w:val="000A3D94"/>
    <w:rsid w:val="000C1A44"/>
    <w:rsid w:val="000C5CED"/>
    <w:rsid w:val="00106B60"/>
    <w:rsid w:val="00106C3D"/>
    <w:rsid w:val="00114335"/>
    <w:rsid w:val="00143DE6"/>
    <w:rsid w:val="00146ED2"/>
    <w:rsid w:val="001646E6"/>
    <w:rsid w:val="00177EE8"/>
    <w:rsid w:val="001818ED"/>
    <w:rsid w:val="00197DAD"/>
    <w:rsid w:val="001B5D3D"/>
    <w:rsid w:val="001C4809"/>
    <w:rsid w:val="001C79E8"/>
    <w:rsid w:val="001C7B96"/>
    <w:rsid w:val="001D2D52"/>
    <w:rsid w:val="002019F0"/>
    <w:rsid w:val="00203F13"/>
    <w:rsid w:val="00221B8E"/>
    <w:rsid w:val="00240DFE"/>
    <w:rsid w:val="00245450"/>
    <w:rsid w:val="0024786A"/>
    <w:rsid w:val="00250DBA"/>
    <w:rsid w:val="00273CA6"/>
    <w:rsid w:val="002768D4"/>
    <w:rsid w:val="00284B99"/>
    <w:rsid w:val="0029455A"/>
    <w:rsid w:val="00296B6F"/>
    <w:rsid w:val="002A16C7"/>
    <w:rsid w:val="0030309C"/>
    <w:rsid w:val="003107F3"/>
    <w:rsid w:val="00330BCC"/>
    <w:rsid w:val="00360B0A"/>
    <w:rsid w:val="00383E14"/>
    <w:rsid w:val="00384B1B"/>
    <w:rsid w:val="003A322B"/>
    <w:rsid w:val="003B08EC"/>
    <w:rsid w:val="003B55EF"/>
    <w:rsid w:val="003C082C"/>
    <w:rsid w:val="003F5F47"/>
    <w:rsid w:val="00407AAD"/>
    <w:rsid w:val="004167AD"/>
    <w:rsid w:val="004207CE"/>
    <w:rsid w:val="00440BDB"/>
    <w:rsid w:val="004470D0"/>
    <w:rsid w:val="00453A4B"/>
    <w:rsid w:val="00461B44"/>
    <w:rsid w:val="00462047"/>
    <w:rsid w:val="00470372"/>
    <w:rsid w:val="00472C66"/>
    <w:rsid w:val="00474989"/>
    <w:rsid w:val="004964E2"/>
    <w:rsid w:val="004A2626"/>
    <w:rsid w:val="004A7B06"/>
    <w:rsid w:val="004C1655"/>
    <w:rsid w:val="004E232E"/>
    <w:rsid w:val="004F5864"/>
    <w:rsid w:val="005060D5"/>
    <w:rsid w:val="005119ED"/>
    <w:rsid w:val="0052540E"/>
    <w:rsid w:val="00531644"/>
    <w:rsid w:val="00554810"/>
    <w:rsid w:val="0056392B"/>
    <w:rsid w:val="00582DBA"/>
    <w:rsid w:val="00583D0F"/>
    <w:rsid w:val="00590501"/>
    <w:rsid w:val="00595BD3"/>
    <w:rsid w:val="00595D9D"/>
    <w:rsid w:val="00596986"/>
    <w:rsid w:val="005B3E7F"/>
    <w:rsid w:val="005C289E"/>
    <w:rsid w:val="005C4F05"/>
    <w:rsid w:val="005F001A"/>
    <w:rsid w:val="00604D1C"/>
    <w:rsid w:val="00626DCC"/>
    <w:rsid w:val="00687D20"/>
    <w:rsid w:val="006A3500"/>
    <w:rsid w:val="006A44F5"/>
    <w:rsid w:val="006C1125"/>
    <w:rsid w:val="006E495F"/>
    <w:rsid w:val="006F7BF6"/>
    <w:rsid w:val="007021FB"/>
    <w:rsid w:val="00716C01"/>
    <w:rsid w:val="0072780E"/>
    <w:rsid w:val="00737DE7"/>
    <w:rsid w:val="00741B22"/>
    <w:rsid w:val="007645F8"/>
    <w:rsid w:val="00772D6C"/>
    <w:rsid w:val="00781F60"/>
    <w:rsid w:val="00785B98"/>
    <w:rsid w:val="00795959"/>
    <w:rsid w:val="00797E36"/>
    <w:rsid w:val="007A6BB7"/>
    <w:rsid w:val="007B11D5"/>
    <w:rsid w:val="007B308F"/>
    <w:rsid w:val="007D54EE"/>
    <w:rsid w:val="007F230B"/>
    <w:rsid w:val="007F4CEB"/>
    <w:rsid w:val="007F70E6"/>
    <w:rsid w:val="00803AF0"/>
    <w:rsid w:val="00822772"/>
    <w:rsid w:val="00833350"/>
    <w:rsid w:val="00842026"/>
    <w:rsid w:val="00847E7C"/>
    <w:rsid w:val="00862D13"/>
    <w:rsid w:val="00863BEB"/>
    <w:rsid w:val="008657B7"/>
    <w:rsid w:val="00871805"/>
    <w:rsid w:val="00873D17"/>
    <w:rsid w:val="00885EF8"/>
    <w:rsid w:val="008A52EE"/>
    <w:rsid w:val="008B273B"/>
    <w:rsid w:val="008B7789"/>
    <w:rsid w:val="008C1A7B"/>
    <w:rsid w:val="008D1E37"/>
    <w:rsid w:val="008E63AD"/>
    <w:rsid w:val="008E6588"/>
    <w:rsid w:val="008F32F0"/>
    <w:rsid w:val="00901692"/>
    <w:rsid w:val="0091686C"/>
    <w:rsid w:val="009309FD"/>
    <w:rsid w:val="00950CB7"/>
    <w:rsid w:val="00955B50"/>
    <w:rsid w:val="0097174A"/>
    <w:rsid w:val="00987365"/>
    <w:rsid w:val="009930F8"/>
    <w:rsid w:val="0099420F"/>
    <w:rsid w:val="00995051"/>
    <w:rsid w:val="009A0CAB"/>
    <w:rsid w:val="009B354F"/>
    <w:rsid w:val="009C0EFF"/>
    <w:rsid w:val="009C2F45"/>
    <w:rsid w:val="009C7C26"/>
    <w:rsid w:val="009D769D"/>
    <w:rsid w:val="00A257EE"/>
    <w:rsid w:val="00A400C4"/>
    <w:rsid w:val="00A40A2B"/>
    <w:rsid w:val="00A4440D"/>
    <w:rsid w:val="00A51C73"/>
    <w:rsid w:val="00A678A6"/>
    <w:rsid w:val="00A9512E"/>
    <w:rsid w:val="00A95E0F"/>
    <w:rsid w:val="00AA17DD"/>
    <w:rsid w:val="00AB0A23"/>
    <w:rsid w:val="00AB5CFB"/>
    <w:rsid w:val="00AD01F3"/>
    <w:rsid w:val="00AD5641"/>
    <w:rsid w:val="00AE3169"/>
    <w:rsid w:val="00AF4540"/>
    <w:rsid w:val="00B03012"/>
    <w:rsid w:val="00B0601C"/>
    <w:rsid w:val="00B07A8C"/>
    <w:rsid w:val="00B113CD"/>
    <w:rsid w:val="00B264A7"/>
    <w:rsid w:val="00B50101"/>
    <w:rsid w:val="00B84E40"/>
    <w:rsid w:val="00BA1D36"/>
    <w:rsid w:val="00BA4820"/>
    <w:rsid w:val="00BA5BA3"/>
    <w:rsid w:val="00BC3177"/>
    <w:rsid w:val="00BC7958"/>
    <w:rsid w:val="00BD447E"/>
    <w:rsid w:val="00BF0826"/>
    <w:rsid w:val="00C042E4"/>
    <w:rsid w:val="00C15F04"/>
    <w:rsid w:val="00C202BB"/>
    <w:rsid w:val="00C30341"/>
    <w:rsid w:val="00C342A8"/>
    <w:rsid w:val="00C40988"/>
    <w:rsid w:val="00C415BC"/>
    <w:rsid w:val="00C46051"/>
    <w:rsid w:val="00C632F0"/>
    <w:rsid w:val="00C73018"/>
    <w:rsid w:val="00C73F27"/>
    <w:rsid w:val="00C83F91"/>
    <w:rsid w:val="00C86DF1"/>
    <w:rsid w:val="00CA3C8F"/>
    <w:rsid w:val="00CA63EC"/>
    <w:rsid w:val="00CB5007"/>
    <w:rsid w:val="00CC6A4D"/>
    <w:rsid w:val="00CD5216"/>
    <w:rsid w:val="00CD53FC"/>
    <w:rsid w:val="00CE5CAE"/>
    <w:rsid w:val="00CF1282"/>
    <w:rsid w:val="00CF4A2D"/>
    <w:rsid w:val="00CF5AC7"/>
    <w:rsid w:val="00CF6D04"/>
    <w:rsid w:val="00D05713"/>
    <w:rsid w:val="00D24A95"/>
    <w:rsid w:val="00D25DE4"/>
    <w:rsid w:val="00D27FDC"/>
    <w:rsid w:val="00D41FEC"/>
    <w:rsid w:val="00D46234"/>
    <w:rsid w:val="00D5085E"/>
    <w:rsid w:val="00D56D30"/>
    <w:rsid w:val="00D61A3E"/>
    <w:rsid w:val="00D620F8"/>
    <w:rsid w:val="00D87F81"/>
    <w:rsid w:val="00DA0533"/>
    <w:rsid w:val="00DA58E7"/>
    <w:rsid w:val="00DB0687"/>
    <w:rsid w:val="00DB4553"/>
    <w:rsid w:val="00DC173F"/>
    <w:rsid w:val="00DD1621"/>
    <w:rsid w:val="00DD4AB9"/>
    <w:rsid w:val="00E125FE"/>
    <w:rsid w:val="00E23C88"/>
    <w:rsid w:val="00E31736"/>
    <w:rsid w:val="00E53CA9"/>
    <w:rsid w:val="00E67EBF"/>
    <w:rsid w:val="00E67FA5"/>
    <w:rsid w:val="00E87217"/>
    <w:rsid w:val="00E932B5"/>
    <w:rsid w:val="00EB0193"/>
    <w:rsid w:val="00EB6104"/>
    <w:rsid w:val="00EC38C6"/>
    <w:rsid w:val="00EC4A55"/>
    <w:rsid w:val="00ED6503"/>
    <w:rsid w:val="00EE087E"/>
    <w:rsid w:val="00EE440F"/>
    <w:rsid w:val="00EF562C"/>
    <w:rsid w:val="00F049F1"/>
    <w:rsid w:val="00F04A57"/>
    <w:rsid w:val="00F2042E"/>
    <w:rsid w:val="00F34B5F"/>
    <w:rsid w:val="00F4315F"/>
    <w:rsid w:val="00F5795A"/>
    <w:rsid w:val="00F64B06"/>
    <w:rsid w:val="00F86BCD"/>
    <w:rsid w:val="00FA0854"/>
    <w:rsid w:val="00FA745B"/>
    <w:rsid w:val="00FB6BC0"/>
    <w:rsid w:val="00FD547E"/>
    <w:rsid w:val="00FE2D9C"/>
    <w:rsid w:val="00FE4016"/>
    <w:rsid w:val="00FF61A5"/>
    <w:rsid w:val="0C05491E"/>
    <w:rsid w:val="3CDB5A22"/>
    <w:rsid w:val="662F2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uiPriority w:val="0"/>
    <w:pPr>
      <w:ind w:left="100" w:leftChars="2500"/>
    </w:pPr>
  </w:style>
  <w:style w:type="paragraph" w:styleId="4">
    <w:name w:val="Body Text Indent 2"/>
    <w:basedOn w:val="1"/>
    <w:uiPriority w:val="0"/>
    <w:pPr>
      <w:widowControl/>
      <w:ind w:left="1400"/>
      <w:jc w:val="left"/>
    </w:pPr>
    <w:rPr>
      <w:rFonts w:ascii="宋体"/>
      <w:kern w:val="0"/>
      <w:szCs w:val="20"/>
      <w:lang w:eastAsia="en-US"/>
    </w:rPr>
  </w:style>
  <w:style w:type="paragraph" w:styleId="5">
    <w:name w:val="Balloon Text"/>
    <w:basedOn w:val="1"/>
    <w:semiHidden/>
    <w:uiPriority w:val="0"/>
    <w:rPr>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uiPriority w:val="0"/>
    <w:pPr>
      <w:widowControl/>
      <w:ind w:left="1500"/>
      <w:jc w:val="left"/>
    </w:pPr>
    <w:rPr>
      <w:rFonts w:ascii="宋体"/>
      <w:kern w:val="0"/>
      <w:szCs w:val="20"/>
      <w:lang w:eastAsia="en-US"/>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page number"/>
    <w:basedOn w:val="11"/>
    <w:uiPriority w:val="0"/>
  </w:style>
  <w:style w:type="character" w:styleId="13">
    <w:name w:val="Hyperlink"/>
    <w:uiPriority w:val="0"/>
    <w:rPr>
      <w:color w:val="0000FF"/>
      <w:u w:val="single"/>
    </w:rPr>
  </w:style>
  <w:style w:type="character" w:customStyle="1" w:styleId="14">
    <w:name w:val="t31"/>
    <w:qFormat/>
    <w:uiPriority w:val="0"/>
    <w:rPr>
      <w:color w:val="000000"/>
      <w:sz w:val="26"/>
      <w:szCs w:val="26"/>
    </w:rPr>
  </w:style>
  <w:style w:type="character" w:customStyle="1" w:styleId="15">
    <w:name w:val="页脚 Char"/>
    <w:link w:val="6"/>
    <w:qFormat/>
    <w:uiPriority w:val="99"/>
    <w:rPr>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jxy</Company>
  <Pages>2</Pages>
  <Words>770</Words>
  <Characters>872</Characters>
  <Lines>6</Lines>
  <Paragraphs>1</Paragraphs>
  <TotalTime>240</TotalTime>
  <ScaleCrop>false</ScaleCrop>
  <LinksUpToDate>false</LinksUpToDate>
  <CharactersWithSpaces>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2020-12-04T01:57:00Z</dcterms:created>
  <dc:creator>guosiyu</dc:creator>
  <cp:lastModifiedBy>太极箫客</cp:lastModifiedBy>
  <cp:lastPrinted>2020-02-14T06:28:00Z</cp:lastPrinted>
  <dcterms:modified xsi:type="dcterms:W3CDTF">2025-08-14T08:02:42Z</dcterms:modified>
  <dc:title>USCIZL-2018-24 设备档案管理制度 20201204</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247BA097FF074B288533BDBF626A3D9D_12</vt:lpwstr>
  </property>
</Properties>
</file>