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E392F">
      <w:pPr>
        <w:autoSpaceDE w:val="0"/>
        <w:autoSpaceDN w:val="0"/>
        <w:adjustRightInd w:val="0"/>
        <w:spacing w:line="520" w:lineRule="exact"/>
        <w:rPr>
          <w:rFonts w:ascii="Times New Roman" w:hAnsi="Times New Roman" w:eastAsia="黑体" w:cs="Times New Roman"/>
          <w:sz w:val="32"/>
          <w:szCs w:val="32"/>
        </w:rPr>
      </w:pPr>
      <w:bookmarkStart w:id="0" w:name="_GoBack"/>
      <w:bookmarkEnd w:id="0"/>
      <w:r>
        <w:rPr>
          <w:rFonts w:ascii="Times New Roman" w:hAnsi="Times New Roman" w:eastAsia="黑体" w:cs="Times New Roman"/>
          <w:sz w:val="32"/>
          <w:szCs w:val="32"/>
        </w:rPr>
        <w:t>附件3</w:t>
      </w:r>
    </w:p>
    <w:p w14:paraId="40B50CBE">
      <w:pPr>
        <w:autoSpaceDE w:val="0"/>
        <w:autoSpaceDN w:val="0"/>
        <w:adjustRightInd w:val="0"/>
        <w:spacing w:line="520" w:lineRule="exact"/>
        <w:rPr>
          <w:rFonts w:ascii="Times New Roman" w:hAnsi="Times New Roman" w:eastAsia="黑体" w:cs="Times New Roman"/>
          <w:sz w:val="32"/>
          <w:szCs w:val="32"/>
        </w:rPr>
      </w:pPr>
    </w:p>
    <w:p w14:paraId="4997DA4E">
      <w:pPr>
        <w:autoSpaceDE w:val="0"/>
        <w:autoSpaceDN w:val="0"/>
        <w:adjustRightInd w:val="0"/>
        <w:spacing w:line="520" w:lineRule="exact"/>
        <w:jc w:val="center"/>
        <w:rPr>
          <w:rFonts w:ascii="Times New Roman" w:hAnsi="Times New Roman" w:eastAsia="方正小标宋_GBK" w:cs="Times New Roman"/>
          <w:spacing w:val="-6"/>
          <w:sz w:val="44"/>
          <w:szCs w:val="44"/>
        </w:rPr>
      </w:pPr>
      <w:r>
        <w:rPr>
          <w:rFonts w:ascii="Times New Roman" w:hAnsi="Times New Roman" w:eastAsia="方正小标宋_GBK" w:cs="Times New Roman"/>
          <w:spacing w:val="-6"/>
          <w:sz w:val="44"/>
          <w:szCs w:val="44"/>
        </w:rPr>
        <w:t>质控品注册审查指导原则——质控品赋值研究</w:t>
      </w:r>
    </w:p>
    <w:p w14:paraId="619EB295">
      <w:pPr>
        <w:spacing w:line="520" w:lineRule="exact"/>
        <w:ind w:firstLine="883" w:firstLineChars="200"/>
        <w:rPr>
          <w:rFonts w:ascii="Times New Roman" w:hAnsi="Times New Roman" w:eastAsia="黑体" w:cs="Times New Roman"/>
          <w:b/>
          <w:sz w:val="44"/>
          <w:szCs w:val="44"/>
        </w:rPr>
      </w:pPr>
    </w:p>
    <w:p w14:paraId="2035EC93">
      <w:pPr>
        <w:tabs>
          <w:tab w:val="left" w:pos="567"/>
        </w:tabs>
        <w:spacing w:line="520" w:lineRule="exact"/>
        <w:ind w:firstLine="640" w:firstLineChars="200"/>
        <w:rPr>
          <w:rFonts w:ascii="Times New Roman" w:hAnsi="Times New Roman" w:eastAsia="黑体" w:cs="Times New Roman"/>
          <w:sz w:val="32"/>
          <w:szCs w:val="32"/>
        </w:rPr>
      </w:pPr>
      <w:r>
        <w:rPr>
          <w:rFonts w:ascii="Times New Roman" w:hAnsi="Times New Roman" w:eastAsia="仿宋_GB2312" w:cs="Times New Roman"/>
          <w:sz w:val="32"/>
          <w:szCs w:val="32"/>
        </w:rPr>
        <w:t>本指导原则旨在指导注册申请人对注册申报资料中质控品赋值研究资料的准备及撰写，同时也为技术审评部门审评注册申报资料提供参考。</w:t>
      </w:r>
    </w:p>
    <w:p w14:paraId="4FC1933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本指导原则是对质控品赋值研究的一般要求，申请人应依据产品的具体特性确定其中内容是否适用，若不适用，需具体阐述理由及相应的科学依据，并依据产品的具体特性对注册申报资料的内容进行充实和细化。</w:t>
      </w:r>
    </w:p>
    <w:p w14:paraId="5038F68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6FF5C2A3">
      <w:pPr>
        <w:spacing w:line="520" w:lineRule="exact"/>
        <w:ind w:firstLine="640" w:firstLineChars="200"/>
        <w:rPr>
          <w:rFonts w:ascii="Times New Roman" w:hAnsi="Times New Roman" w:eastAsia="黑体" w:cs="Times New Roman"/>
          <w:sz w:val="32"/>
          <w:szCs w:val="32"/>
        </w:rPr>
      </w:pPr>
      <w:r>
        <w:rPr>
          <w:rFonts w:ascii="Times New Roman" w:hAnsi="Times New Roman" w:eastAsia="仿宋_GB2312" w:cs="Times New Roman"/>
          <w:sz w:val="32"/>
          <w:szCs w:val="32"/>
        </w:rPr>
        <w:t>本指导原则是在现行法规、标准体系及当前认知水平下制定的，随着法规、标准体系的不断完善和科学技术的不断发展，本指导原则相关内容也将适时进行调整。</w:t>
      </w:r>
    </w:p>
    <w:p w14:paraId="4238E4DF">
      <w:pPr>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一、适用范围</w:t>
      </w:r>
    </w:p>
    <w:p w14:paraId="1BB10A0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适用于与体外诊断试剂配套使用的定值质控品，可以是单独注册申报，也可以与配合使用的体外诊断试剂合并申请注册。可以是适用于单一检测项目，也可以是适用于多个检测项目（即复合质控品）。本文是质控品赋值研究的一般要求。</w:t>
      </w:r>
    </w:p>
    <w:p w14:paraId="71DA0E7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控制物（Control Material）是被其制造商预期用于验证体外诊断医疗器械性能特征的物质、材料或物品。通常又被称作质控物或质控品，本文全部以质控品来指代。质控品的用途包括检验系统性能验证，实验室内质量控制以及实验室间质量评价等。</w:t>
      </w:r>
    </w:p>
    <w:p w14:paraId="556A1BB0">
      <w:pPr>
        <w:spacing w:line="520" w:lineRule="exact"/>
        <w:ind w:firstLine="640" w:firstLineChars="200"/>
        <w:rPr>
          <w:rFonts w:ascii="Times New Roman" w:hAnsi="Times New Roman" w:eastAsia="仿宋_GB2312" w:cs="Times New Roman"/>
          <w:color w:val="FF0000"/>
          <w:sz w:val="32"/>
          <w:szCs w:val="32"/>
        </w:rPr>
      </w:pPr>
      <w:r>
        <w:rPr>
          <w:rFonts w:ascii="Times New Roman" w:hAnsi="Times New Roman" w:eastAsia="仿宋_GB2312" w:cs="Times New Roman"/>
          <w:sz w:val="32"/>
          <w:szCs w:val="32"/>
        </w:rPr>
        <w:t>与体外诊断试剂配套使用的质控品, 用于检验程序的质量控制。</w:t>
      </w:r>
    </w:p>
    <w:p w14:paraId="62B4FFC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根据是否给出了分析物的标示值，质控品可分为定值质控和非定值质控。定值质控品是制造商通过合适的分析方法或过程赋值，获得靶值和或范围。</w:t>
      </w:r>
    </w:p>
    <w:p w14:paraId="54C59B7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本指导原则不适用于用于室间质量评价的质控品。</w:t>
      </w:r>
    </w:p>
    <w:p w14:paraId="36D14728">
      <w:pPr>
        <w:spacing w:line="520" w:lineRule="exact"/>
        <w:ind w:firstLine="640" w:firstLineChars="200"/>
        <w:rPr>
          <w:rFonts w:ascii="Times New Roman" w:hAnsi="Times New Roman" w:eastAsia="黑体" w:cs="Times New Roman"/>
          <w:sz w:val="32"/>
          <w:szCs w:val="32"/>
        </w:rPr>
      </w:pPr>
      <w:r>
        <w:rPr>
          <w:rFonts w:ascii="Times New Roman" w:hAnsi="Times New Roman" w:eastAsia="仿宋_GB2312" w:cs="Times New Roman"/>
          <w:sz w:val="32"/>
          <w:szCs w:val="32"/>
        </w:rPr>
        <w:t>本指导原则适用于进行相关产品的注册和变更注册，包括申报资料中的部分要求，其他未尽事宜，应当符合《体外诊断试剂注册与备案管理办法》（国家市场监督管理总局令第48号）等相关法规要求。</w:t>
      </w:r>
    </w:p>
    <w:p w14:paraId="15A395E3">
      <w:pPr>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二、基本原则</w:t>
      </w:r>
    </w:p>
    <w:p w14:paraId="322DE4CF">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质控品的成分尽可能接近临床样本，减少基质和制备过程带来的影响。如有必要可对质控品的基质效应进行评估。</w:t>
      </w:r>
    </w:p>
    <w:p w14:paraId="3FB9DC76">
      <w:pPr>
        <w:pStyle w:val="7"/>
        <w:spacing w:before="0" w:after="0" w:line="52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sz w:val="32"/>
          <w:szCs w:val="32"/>
        </w:rPr>
        <w:t>赋值之前应先确认质控品的</w:t>
      </w:r>
      <w:r>
        <w:rPr>
          <w:rFonts w:ascii="Times New Roman" w:hAnsi="Times New Roman" w:eastAsia="仿宋_GB2312" w:cs="Times New Roman"/>
          <w:kern w:val="2"/>
          <w:sz w:val="32"/>
          <w:szCs w:val="32"/>
        </w:rPr>
        <w:t>均匀性和稳定性这两个基本特性。生产企业通过对原材料和生产工艺的选择和控制，确保质控品的均匀性和稳定性。质控品的均匀性要求应不低于国家标准、行业标准的规定。既定的靶值会随着时间变化而波动，在质控品声称的有效期内，靶值范围应是有效的。</w:t>
      </w:r>
    </w:p>
    <w:p w14:paraId="7BF079D5">
      <w:pPr>
        <w:spacing w:line="520" w:lineRule="exact"/>
        <w:ind w:firstLine="640" w:firstLineChars="200"/>
        <w:rPr>
          <w:rFonts w:ascii="Times New Roman" w:hAnsi="Times New Roman" w:eastAsia="黑体" w:cs="Times New Roman"/>
          <w:sz w:val="32"/>
          <w:szCs w:val="32"/>
        </w:rPr>
      </w:pPr>
      <w:r>
        <w:rPr>
          <w:rFonts w:ascii="Times New Roman" w:hAnsi="Times New Roman" w:eastAsia="仿宋_GB2312" w:cs="Times New Roman"/>
          <w:sz w:val="32"/>
          <w:szCs w:val="32"/>
        </w:rPr>
        <w:t>质控品的赋值应与检测系统关联。采用声称的检测系统进行赋值，检测系统包括检测试剂、检测设备、校准品等。如适用于多个检测系统，申请人应对每个检测系统的赋值做出充分的研究。完整的赋值报告包括赋值方案、试验数据、结果报告。</w:t>
      </w:r>
    </w:p>
    <w:p w14:paraId="537EECCB">
      <w:pPr>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三、审查要点</w:t>
      </w:r>
    </w:p>
    <w:p w14:paraId="474F10DF">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申请人应根据产品的特点，通过建立、验证或转移的一个或一系列过程，确定质控品在不同检测系统上的靶值及范围，最终将以靶值单或其他形式明确。</w:t>
      </w:r>
    </w:p>
    <w:p w14:paraId="3F470EC8">
      <w:pPr>
        <w:spacing w:line="52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（一）靶值的建立</w:t>
      </w:r>
    </w:p>
    <w:p w14:paraId="6B675CE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1.赋值方案</w:t>
      </w:r>
    </w:p>
    <w:p w14:paraId="7763936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合理的赋值方案应综合考虑如设备、时间、地点、操作人员、试剂批次等可能的影响因素。申请人应根据产品特性设计合理的赋值方案，具体描述所采用的材料和方法，如：</w:t>
      </w:r>
    </w:p>
    <w:p w14:paraId="421BE5D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1.1采用的检测系统</w:t>
      </w:r>
    </w:p>
    <w:p w14:paraId="434E0F5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其中检测系统应明确采用的检测试剂及其批号，校准品及批号（校准方式），或其他用于确认试验运行有效性的更高级别的校准品或质控品（如适用），设备型号，设备数量（序列号）。</w:t>
      </w:r>
    </w:p>
    <w:p w14:paraId="24AFAEC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1.2检测地点及检测人员</w:t>
      </w:r>
    </w:p>
    <w:p w14:paraId="02D12C9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明确检测的实验室数量，每个实验室对应的操作人员和设备安排。</w:t>
      </w:r>
    </w:p>
    <w:p w14:paraId="2DA9437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1.3具体的检测方案</w:t>
      </w:r>
    </w:p>
    <w:p w14:paraId="518E5AE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依据实际情况，描述检测用最小包装单元的数量，最小包装单元的取样次数，单个样本测定的重复次数，以及评估的时间范围等。</w:t>
      </w:r>
    </w:p>
    <w:p w14:paraId="5D41B6D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1.4验收标准</w:t>
      </w:r>
    </w:p>
    <w:p w14:paraId="3D0F4F8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如有针对检测过程的质量控制，应明确运行有效性的方案和验收标准。</w:t>
      </w:r>
    </w:p>
    <w:p w14:paraId="0F6B0BE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对于赋值结果应有明确的验收标准。如靶值在既定的范围内，或针对检测精密度作出相应要求。</w:t>
      </w:r>
    </w:p>
    <w:p w14:paraId="18B5055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2.数据处理</w:t>
      </w:r>
    </w:p>
    <w:p w14:paraId="26BF373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依据赋值方案，在确认检测系统运行有效后，详细记录数据结果，并对数据进行分析。</w:t>
      </w:r>
    </w:p>
    <w:p w14:paraId="195E2B2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2.1数据离群值的判断</w:t>
      </w:r>
    </w:p>
    <w:p w14:paraId="16AB85A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申请人应给出合理的统计方法，进行离群值的判定，明确存在离群值时的数据处理方案。</w:t>
      </w:r>
    </w:p>
    <w:p w14:paraId="16524848">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 建立靶值及其范围</w:t>
      </w:r>
    </w:p>
    <w:p w14:paraId="6DABB98F">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数据处理后，确定靶值，例如以平均值计为靶值时，需计算平均值</w:t>
      </w:r>
      <m:oMath>
        <m:acc>
          <m:accPr>
            <m:chr m:val="̅"/>
            <m:ctrlPr>
              <w:rPr>
                <w:rFonts w:ascii="Cambria Math" w:hAnsi="Cambria Math" w:eastAsia="仿宋_GB2312" w:cs="Times New Roman"/>
                <w:sz w:val="36"/>
                <w:szCs w:val="28"/>
              </w:rPr>
            </m:ctrlPr>
          </m:accPr>
          <m:e>
            <m:r>
              <m:rPr/>
              <w:rPr>
                <w:rFonts w:ascii="Cambria Math" w:hAnsi="Cambria Math" w:eastAsia="仿宋_GB2312" w:cs="Times New Roman"/>
                <w:sz w:val="36"/>
                <w:szCs w:val="28"/>
              </w:rPr>
              <m:t>x</m:t>
            </m:r>
            <m:ctrlPr>
              <w:rPr>
                <w:rFonts w:ascii="Cambria Math" w:hAnsi="Cambria Math" w:eastAsia="仿宋_GB2312" w:cs="Times New Roman"/>
                <w:sz w:val="36"/>
                <w:szCs w:val="28"/>
              </w:rPr>
            </m:ctrlPr>
          </m:e>
        </m:acc>
      </m:oMath>
      <w:r>
        <w:rPr>
          <w:rFonts w:ascii="Times New Roman" w:hAnsi="Times New Roman" w:eastAsia="仿宋_GB2312" w:cs="Times New Roman"/>
          <w:sz w:val="32"/>
          <w:szCs w:val="32"/>
        </w:rPr>
        <w:t>，标准差SD和变异系数CV。</w:t>
      </w:r>
    </w:p>
    <w:p w14:paraId="6FFAA71F">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一般情况下，以靶值±2SD或靶值±3SD作为靶值的允许的上下限值，即靶值范围。还可以用其它形式表示靶值范围，如扩展不确定度及扩展因子。提供的靶值范围应具有合理性。</w:t>
      </w:r>
    </w:p>
    <w:p w14:paraId="7DEA39FB">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通常，原料批次及质控品的生产批次发生改变，靶值也随之改变，需要重新建立。</w:t>
      </w:r>
    </w:p>
    <w:p w14:paraId="1DBF5DC7">
      <w:pPr>
        <w:spacing w:line="520" w:lineRule="exact"/>
        <w:ind w:firstLine="640" w:firstLineChars="200"/>
        <w:rPr>
          <w:rFonts w:ascii="楷体" w:hAnsi="楷体" w:eastAsia="楷体" w:cs="Times New Roman"/>
          <w:sz w:val="32"/>
          <w:szCs w:val="32"/>
        </w:rPr>
      </w:pPr>
      <w:r>
        <w:rPr>
          <w:rFonts w:ascii="楷体" w:hAnsi="楷体" w:eastAsia="楷体" w:cs="Times New Roman"/>
          <w:sz w:val="32"/>
          <w:szCs w:val="32"/>
        </w:rPr>
        <w:t>（二）靶值的确认</w:t>
      </w:r>
    </w:p>
    <w:p w14:paraId="517D5E0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初步靶值建立之后，可采用相对简化的检测方案，再对靶值进行确认。例如，采用不同批次的检测试剂进行检测，观察靶值是否适用。如不适用，建议将质控品靶值与赋值检测试剂批号进行关联。</w:t>
      </w:r>
    </w:p>
    <w:p w14:paraId="5276383E">
      <w:pPr>
        <w:spacing w:line="520" w:lineRule="exact"/>
        <w:ind w:firstLine="640" w:firstLineChars="200"/>
        <w:rPr>
          <w:rFonts w:ascii="楷体" w:hAnsi="楷体" w:eastAsia="楷体" w:cs="Times New Roman"/>
          <w:sz w:val="32"/>
          <w:szCs w:val="32"/>
        </w:rPr>
      </w:pPr>
      <w:r>
        <w:rPr>
          <w:rFonts w:ascii="楷体" w:hAnsi="楷体" w:eastAsia="楷体" w:cs="Times New Roman"/>
          <w:sz w:val="32"/>
          <w:szCs w:val="32"/>
        </w:rPr>
        <w:t>（三）靶值的转移</w:t>
      </w:r>
    </w:p>
    <w:p w14:paraId="1499DE4D">
      <w:pPr>
        <w:spacing w:line="520" w:lineRule="exact"/>
        <w:ind w:firstLine="640" w:firstLineChars="200"/>
        <w:rPr>
          <w:rFonts w:ascii="Times New Roman" w:hAnsi="Times New Roman" w:eastAsia="黑体" w:cs="Times New Roman"/>
          <w:b/>
          <w:sz w:val="32"/>
          <w:szCs w:val="32"/>
        </w:rPr>
      </w:pPr>
      <w:r>
        <w:rPr>
          <w:rFonts w:ascii="Times New Roman" w:hAnsi="Times New Roman" w:eastAsia="仿宋_GB2312" w:cs="Times New Roman"/>
          <w:sz w:val="32"/>
          <w:szCs w:val="32"/>
        </w:rPr>
        <w:t>不同检测设备的预期用途、采用的检验原理和操作原理相同时，可考虑靶值的转移。如同一生产企业设计开发的系列设备，已充分验证设备之间分析性能的等效性。提交设备对比说明以及等效性研究资料后，申请人可采用相对简化的靶值建立过程。确认是否可以将原有靶值及其范围转移到新的设备。</w:t>
      </w:r>
    </w:p>
    <w:p w14:paraId="6DF1E8FE">
      <w:pPr>
        <w:widowControl/>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四、名词解释</w:t>
      </w:r>
    </w:p>
    <w:p w14:paraId="74843AE0">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1.质控品：（Control Material）是被其制造商预期用于验证体外诊断医疗器械性能特征的物质、材料或物品。[GB/T 29791.1-2013,定义3.13]</w:t>
      </w:r>
    </w:p>
    <w:p w14:paraId="0FD3A51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2.质控品的赋值：由制造商适用合适的分析方法或过程分析的靶值，并指定靶值范围。</w:t>
      </w:r>
    </w:p>
    <w:p w14:paraId="0FB365C4">
      <w:pPr>
        <w:spacing w:line="520" w:lineRule="exact"/>
        <w:ind w:firstLine="640" w:firstLineChars="200"/>
        <w:rPr>
          <w:rFonts w:ascii="Times New Roman" w:hAnsi="Times New Roman" w:eastAsia="黑体" w:cs="Times New Roman"/>
          <w:sz w:val="32"/>
          <w:szCs w:val="32"/>
        </w:rPr>
      </w:pPr>
      <w:r>
        <w:rPr>
          <w:rFonts w:ascii="Times New Roman" w:hAnsi="Times New Roman" w:eastAsia="仿宋_GB2312" w:cs="Times New Roman"/>
          <w:sz w:val="32"/>
          <w:szCs w:val="32"/>
        </w:rPr>
        <w:t>3.分析物：具有可测量特性的样品组分。例如在“血浆中葡萄糖物质浓度”中，“葡萄糖”是分析物。</w:t>
      </w:r>
    </w:p>
    <w:p w14:paraId="7053BB6F">
      <w:pPr>
        <w:widowControl/>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五、参考文献</w:t>
      </w:r>
    </w:p>
    <w:p w14:paraId="574A8A1C">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 GB/T 29791.1-2013 体外诊断医疗器械制造商提供的信息（标示）第1部分：术语、定义和通用要求 [S].</w:t>
      </w:r>
    </w:p>
    <w:p w14:paraId="61A12684">
      <w:pPr>
        <w:widowControl/>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 GB/T 21415-2008体外诊断医疗器械生物样品中量的测量校准品和控制物质赋值的计量学溯源性 [S].</w:t>
      </w:r>
    </w:p>
    <w:p w14:paraId="7E4F87B1">
      <w:pPr>
        <w:widowControl/>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 CNAS-GL005 2018《实验室内部研制质量控制样品的指南》[Z].</w:t>
      </w:r>
    </w:p>
    <w:p w14:paraId="4C15872A">
      <w:pPr>
        <w:widowControl/>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 CNAS-GL003 2018《能力验证样品均匀性和稳定性评价指南》[Z].</w:t>
      </w:r>
    </w:p>
    <w:p w14:paraId="70EF2574">
      <w:pPr>
        <w:widowControl/>
        <w:spacing w:line="520" w:lineRule="exact"/>
        <w:ind w:firstLine="640" w:firstLineChars="200"/>
        <w:rPr>
          <w:rFonts w:ascii="Times New Roman" w:hAnsi="Times New Roman" w:eastAsia="黑体" w:cs="Times New Roman"/>
          <w:sz w:val="32"/>
          <w:szCs w:val="32"/>
        </w:rPr>
      </w:pPr>
      <w:r>
        <w:rPr>
          <w:rFonts w:ascii="Times New Roman" w:hAnsi="Times New Roman" w:eastAsia="仿宋_GB2312" w:cs="Times New Roman"/>
          <w:sz w:val="32"/>
          <w:szCs w:val="32"/>
        </w:rPr>
        <w:t>[5] CNAS-GL017 2018 标准物质_标准样品赋值的一般原则和统计方法(ISO GUIDE 35-2006) [Z].</w:t>
      </w:r>
    </w:p>
    <w:p w14:paraId="217CD31F">
      <w:pPr>
        <w:widowControl/>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 WS/T 641-2018临床检验定量测定室内质量控制[S].</w:t>
      </w:r>
    </w:p>
    <w:p w14:paraId="4CBC0907">
      <w:pPr>
        <w:widowControl/>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 WS/T 356-2011 基质效应与互通性评估指南[S].</w:t>
      </w:r>
    </w:p>
    <w:p w14:paraId="64B3374B">
      <w:pPr>
        <w:widowControl/>
        <w:spacing w:line="520" w:lineRule="exact"/>
        <w:ind w:right="84" w:rightChars="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 YY/T 1652-2019体外诊断试剂用质控物通用技术要求[S].</w:t>
      </w:r>
    </w:p>
    <w:p w14:paraId="4A5D2BB6">
      <w:pPr>
        <w:widowControl/>
        <w:spacing w:line="520" w:lineRule="exact"/>
        <w:ind w:right="84" w:rightChars="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 YY/T 0501-2014《尿液干化学分析质控物》[S].</w:t>
      </w:r>
    </w:p>
    <w:p w14:paraId="7362BB6F">
      <w:pPr>
        <w:widowControl/>
        <w:spacing w:line="520" w:lineRule="exact"/>
        <w:ind w:right="84" w:rightChars="40" w:firstLine="640" w:firstLineChars="200"/>
        <w:rPr>
          <w:rFonts w:ascii="Times New Roman" w:hAnsi="Times New Roman" w:eastAsia="仿宋_GB2312" w:cs="Times New Roman"/>
          <w:b/>
          <w:sz w:val="32"/>
          <w:szCs w:val="32"/>
        </w:rPr>
      </w:pPr>
      <w:r>
        <w:rPr>
          <w:rFonts w:ascii="Times New Roman" w:hAnsi="Times New Roman" w:eastAsia="仿宋_GB2312" w:cs="Times New Roman"/>
          <w:sz w:val="32"/>
          <w:szCs w:val="32"/>
        </w:rPr>
        <w:t>[10] YY/T 0702-2008 血细胞分析仪用质控物（品）[S].</w:t>
      </w:r>
    </w:p>
    <w:p w14:paraId="5834EB73">
      <w:pPr>
        <w:widowControl/>
        <w:spacing w:line="520" w:lineRule="exact"/>
        <w:ind w:firstLine="640" w:firstLineChars="200"/>
        <w:rPr>
          <w:rFonts w:ascii="Times New Roman" w:hAnsi="Times New Roman" w:eastAsia="黑体" w:cs="Times New Roman"/>
          <w:sz w:val="32"/>
          <w:szCs w:val="32"/>
        </w:rPr>
      </w:pPr>
      <w:r>
        <w:rPr>
          <w:rFonts w:ascii="Times New Roman" w:hAnsi="Times New Roman" w:eastAsia="仿宋_GB2312" w:cs="Times New Roman"/>
          <w:sz w:val="32"/>
          <w:szCs w:val="32"/>
        </w:rPr>
        <w:t>[11] 定量测量的统计学质量控制：原理和定义；批准指南第三版（C24-A3）2006 [Z].</w:t>
      </w:r>
    </w:p>
    <w:p w14:paraId="16A5A745">
      <w:pPr>
        <w:snapToGrid w:val="0"/>
        <w:spacing w:line="520" w:lineRule="exact"/>
        <w:ind w:firstLine="640" w:firstLineChars="200"/>
        <w:rPr>
          <w:rFonts w:ascii="Times New Roman" w:hAnsi="Times New Roman" w:eastAsia="仿宋_GB2312" w:cs="Times New Roman"/>
          <w:sz w:val="32"/>
          <w:szCs w:val="32"/>
        </w:rPr>
      </w:pPr>
    </w:p>
    <w:p w14:paraId="18B9D627">
      <w:pPr>
        <w:autoSpaceDE w:val="0"/>
        <w:autoSpaceDN w:val="0"/>
        <w:adjustRightInd w:val="0"/>
        <w:spacing w:line="520" w:lineRule="exact"/>
        <w:rPr>
          <w:rFonts w:hint="eastAsia" w:eastAsia="等线"/>
          <w:lang w:eastAsia="zh-CN"/>
        </w:rPr>
      </w:pPr>
    </w:p>
    <w:p w14:paraId="343A6310">
      <w:pPr>
        <w:autoSpaceDE w:val="0"/>
        <w:autoSpaceDN w:val="0"/>
        <w:adjustRightInd w:val="0"/>
        <w:spacing w:line="520" w:lineRule="exact"/>
        <w:jc w:val="center"/>
        <w:rPr>
          <w:rFonts w:hint="eastAsia" w:eastAsia="等线"/>
          <w:lang w:eastAsia="zh-CN"/>
        </w:rPr>
      </w:pPr>
    </w:p>
    <w:p w14:paraId="328CBE5E">
      <w:pPr>
        <w:autoSpaceDE w:val="0"/>
        <w:autoSpaceDN w:val="0"/>
        <w:adjustRightInd w:val="0"/>
        <w:spacing w:line="520" w:lineRule="exac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footerReference r:id="rId3" w:type="default"/>
      <w:pgSz w:w="11906" w:h="16838"/>
      <w:pgMar w:top="2098" w:right="1588" w:bottom="209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0F0D73-8D0D-48A0-9B7B-40E26E4114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799CA7D8-59F5-4E62-B136-777650CD27E3}"/>
  </w:font>
  <w:font w:name="方正小标宋_GBK">
    <w:panose1 w:val="02000000000000000000"/>
    <w:charset w:val="86"/>
    <w:family w:val="script"/>
    <w:pitch w:val="default"/>
    <w:sig w:usb0="A00002BF" w:usb1="38CF7CFA" w:usb2="00082016" w:usb3="00000000" w:csb0="00040001" w:csb1="00000000"/>
    <w:embedRegular r:id="rId3" w:fontKey="{E0D47B08-BF6C-46DF-9011-25B82A6FC149}"/>
  </w:font>
  <w:font w:name="仿宋_GB2312">
    <w:altName w:val="仿宋"/>
    <w:panose1 w:val="02010609030101010101"/>
    <w:charset w:val="86"/>
    <w:family w:val="modern"/>
    <w:pitch w:val="default"/>
    <w:sig w:usb0="00000000" w:usb1="00000000" w:usb2="00000010" w:usb3="00000000" w:csb0="00040000" w:csb1="00000000"/>
    <w:embedRegular r:id="rId4" w:fontKey="{1565C4C1-816E-402C-8253-00A34E02427C}"/>
  </w:font>
  <w:font w:name="楷体">
    <w:panose1 w:val="02010609060101010101"/>
    <w:charset w:val="86"/>
    <w:family w:val="modern"/>
    <w:pitch w:val="default"/>
    <w:sig w:usb0="800002BF" w:usb1="38CF7CFA" w:usb2="00000016" w:usb3="00000000" w:csb0="00040001" w:csb1="00000000"/>
    <w:embedRegular r:id="rId5" w:fontKey="{BCA0EBD6-6F4E-472F-B947-0456531742D5}"/>
  </w:font>
  <w:font w:name="Cambria Math">
    <w:panose1 w:val="02040503050406030204"/>
    <w:charset w:val="00"/>
    <w:family w:val="roman"/>
    <w:pitch w:val="default"/>
    <w:sig w:usb0="E00006FF" w:usb1="420024FF" w:usb2="02000000" w:usb3="00000000" w:csb0="2000019F" w:csb1="00000000"/>
    <w:embedRegular r:id="rId6" w:fontKey="{80BF3DDA-28F4-4303-BD7F-C8E986C95C2F}"/>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5456789"/>
      <w:docPartObj>
        <w:docPartGallery w:val="AutoText"/>
      </w:docPartObj>
    </w:sdtPr>
    <w:sdtContent>
      <w:p w14:paraId="024963A7">
        <w:pPr>
          <w:pStyle w:val="5"/>
          <w:jc w:val="center"/>
        </w:pPr>
        <w:r>
          <w:fldChar w:fldCharType="begin"/>
        </w:r>
        <w:r>
          <w:instrText xml:space="preserve">PAGE   \* MERGEFORMAT</w:instrText>
        </w:r>
        <w:r>
          <w:fldChar w:fldCharType="separate"/>
        </w:r>
        <w:r>
          <w:rPr>
            <w:lang w:val="zh-CN"/>
          </w:rPr>
          <w:t>2</w:t>
        </w:r>
        <w:r>
          <w:fldChar w:fldCharType="end"/>
        </w:r>
      </w:p>
    </w:sdtContent>
  </w:sdt>
  <w:p w14:paraId="3212A892">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5DD"/>
    <w:rsid w:val="000014EB"/>
    <w:rsid w:val="0000306E"/>
    <w:rsid w:val="00003AF5"/>
    <w:rsid w:val="00011216"/>
    <w:rsid w:val="00011FCF"/>
    <w:rsid w:val="00012194"/>
    <w:rsid w:val="00015039"/>
    <w:rsid w:val="00015D0C"/>
    <w:rsid w:val="0002179D"/>
    <w:rsid w:val="00026342"/>
    <w:rsid w:val="00026C83"/>
    <w:rsid w:val="000309EB"/>
    <w:rsid w:val="00033BE0"/>
    <w:rsid w:val="000347D6"/>
    <w:rsid w:val="00034BD6"/>
    <w:rsid w:val="00036F81"/>
    <w:rsid w:val="00037A39"/>
    <w:rsid w:val="000407B8"/>
    <w:rsid w:val="00040C85"/>
    <w:rsid w:val="00043A8C"/>
    <w:rsid w:val="0004406C"/>
    <w:rsid w:val="00046917"/>
    <w:rsid w:val="00050925"/>
    <w:rsid w:val="00051F24"/>
    <w:rsid w:val="00061ED2"/>
    <w:rsid w:val="000626B8"/>
    <w:rsid w:val="00064EB5"/>
    <w:rsid w:val="000650A8"/>
    <w:rsid w:val="000652BA"/>
    <w:rsid w:val="00067654"/>
    <w:rsid w:val="00071AC0"/>
    <w:rsid w:val="00071C82"/>
    <w:rsid w:val="00074860"/>
    <w:rsid w:val="0007723B"/>
    <w:rsid w:val="00083AB2"/>
    <w:rsid w:val="00092E09"/>
    <w:rsid w:val="00093131"/>
    <w:rsid w:val="00096F12"/>
    <w:rsid w:val="000A22A6"/>
    <w:rsid w:val="000A335C"/>
    <w:rsid w:val="000A58A2"/>
    <w:rsid w:val="000A72A6"/>
    <w:rsid w:val="000A7925"/>
    <w:rsid w:val="000B0908"/>
    <w:rsid w:val="000B0B78"/>
    <w:rsid w:val="000B15AC"/>
    <w:rsid w:val="000B3F1A"/>
    <w:rsid w:val="000B4511"/>
    <w:rsid w:val="000B5582"/>
    <w:rsid w:val="000B60D8"/>
    <w:rsid w:val="000C1C15"/>
    <w:rsid w:val="000C22FB"/>
    <w:rsid w:val="000C4D59"/>
    <w:rsid w:val="000C4FA4"/>
    <w:rsid w:val="000C5024"/>
    <w:rsid w:val="000C58B0"/>
    <w:rsid w:val="000C6C25"/>
    <w:rsid w:val="000C7E58"/>
    <w:rsid w:val="000D13A8"/>
    <w:rsid w:val="000E3127"/>
    <w:rsid w:val="000F0FB7"/>
    <w:rsid w:val="000F17C6"/>
    <w:rsid w:val="00101984"/>
    <w:rsid w:val="00103120"/>
    <w:rsid w:val="00104C3A"/>
    <w:rsid w:val="00104EC7"/>
    <w:rsid w:val="00105F35"/>
    <w:rsid w:val="00106A98"/>
    <w:rsid w:val="001075B9"/>
    <w:rsid w:val="00110FEA"/>
    <w:rsid w:val="001115E1"/>
    <w:rsid w:val="00114949"/>
    <w:rsid w:val="00117C2C"/>
    <w:rsid w:val="00123112"/>
    <w:rsid w:val="0012560D"/>
    <w:rsid w:val="001278D1"/>
    <w:rsid w:val="0013056D"/>
    <w:rsid w:val="001313E3"/>
    <w:rsid w:val="001334DE"/>
    <w:rsid w:val="001360C7"/>
    <w:rsid w:val="0013671A"/>
    <w:rsid w:val="00140756"/>
    <w:rsid w:val="00145924"/>
    <w:rsid w:val="00147CD4"/>
    <w:rsid w:val="001546B1"/>
    <w:rsid w:val="00160266"/>
    <w:rsid w:val="00161770"/>
    <w:rsid w:val="00163FBF"/>
    <w:rsid w:val="00165477"/>
    <w:rsid w:val="001665EE"/>
    <w:rsid w:val="001667C1"/>
    <w:rsid w:val="001708C6"/>
    <w:rsid w:val="0017179F"/>
    <w:rsid w:val="00175071"/>
    <w:rsid w:val="00175105"/>
    <w:rsid w:val="00177ECA"/>
    <w:rsid w:val="00180B3B"/>
    <w:rsid w:val="00180C6A"/>
    <w:rsid w:val="00187937"/>
    <w:rsid w:val="00191527"/>
    <w:rsid w:val="0019478A"/>
    <w:rsid w:val="001A2B9C"/>
    <w:rsid w:val="001A71DC"/>
    <w:rsid w:val="001B0E1B"/>
    <w:rsid w:val="001B3834"/>
    <w:rsid w:val="001B4A25"/>
    <w:rsid w:val="001B5C51"/>
    <w:rsid w:val="001B5F24"/>
    <w:rsid w:val="001B7E07"/>
    <w:rsid w:val="001C42AE"/>
    <w:rsid w:val="001D05D4"/>
    <w:rsid w:val="001D1DE2"/>
    <w:rsid w:val="001D40C6"/>
    <w:rsid w:val="001D6201"/>
    <w:rsid w:val="001E0D4A"/>
    <w:rsid w:val="001E28F8"/>
    <w:rsid w:val="001E6258"/>
    <w:rsid w:val="001E7CC4"/>
    <w:rsid w:val="001F0CE1"/>
    <w:rsid w:val="001F185B"/>
    <w:rsid w:val="001F3604"/>
    <w:rsid w:val="001F4740"/>
    <w:rsid w:val="001F551B"/>
    <w:rsid w:val="00202BD5"/>
    <w:rsid w:val="0020357D"/>
    <w:rsid w:val="0020564F"/>
    <w:rsid w:val="002060DF"/>
    <w:rsid w:val="00206692"/>
    <w:rsid w:val="0021311B"/>
    <w:rsid w:val="00213854"/>
    <w:rsid w:val="00214731"/>
    <w:rsid w:val="002227EF"/>
    <w:rsid w:val="00223C5D"/>
    <w:rsid w:val="0022467D"/>
    <w:rsid w:val="00225A16"/>
    <w:rsid w:val="00225E8D"/>
    <w:rsid w:val="0023637C"/>
    <w:rsid w:val="002413F3"/>
    <w:rsid w:val="00245209"/>
    <w:rsid w:val="00251EDB"/>
    <w:rsid w:val="00252A1A"/>
    <w:rsid w:val="00257740"/>
    <w:rsid w:val="00261628"/>
    <w:rsid w:val="00263CDD"/>
    <w:rsid w:val="00265061"/>
    <w:rsid w:val="00266CDB"/>
    <w:rsid w:val="002670E0"/>
    <w:rsid w:val="00267429"/>
    <w:rsid w:val="002715A9"/>
    <w:rsid w:val="002724B7"/>
    <w:rsid w:val="00272989"/>
    <w:rsid w:val="00273B5A"/>
    <w:rsid w:val="002754E0"/>
    <w:rsid w:val="0027623C"/>
    <w:rsid w:val="002767D4"/>
    <w:rsid w:val="00276C0D"/>
    <w:rsid w:val="00285769"/>
    <w:rsid w:val="0028603B"/>
    <w:rsid w:val="00287AAA"/>
    <w:rsid w:val="00287B95"/>
    <w:rsid w:val="002934D9"/>
    <w:rsid w:val="00293ABD"/>
    <w:rsid w:val="00296829"/>
    <w:rsid w:val="00296907"/>
    <w:rsid w:val="00297196"/>
    <w:rsid w:val="002A4E9F"/>
    <w:rsid w:val="002A5036"/>
    <w:rsid w:val="002A7765"/>
    <w:rsid w:val="002A7DA3"/>
    <w:rsid w:val="002B2A3B"/>
    <w:rsid w:val="002B2CA7"/>
    <w:rsid w:val="002C2604"/>
    <w:rsid w:val="002C5BE4"/>
    <w:rsid w:val="002C6128"/>
    <w:rsid w:val="002C6754"/>
    <w:rsid w:val="002C6F2F"/>
    <w:rsid w:val="002D16E7"/>
    <w:rsid w:val="002D433A"/>
    <w:rsid w:val="002D52EB"/>
    <w:rsid w:val="002E12C6"/>
    <w:rsid w:val="002E1C3A"/>
    <w:rsid w:val="002E23D2"/>
    <w:rsid w:val="002E3189"/>
    <w:rsid w:val="002E7603"/>
    <w:rsid w:val="002E7E26"/>
    <w:rsid w:val="002F0626"/>
    <w:rsid w:val="002F3773"/>
    <w:rsid w:val="0030004C"/>
    <w:rsid w:val="003011C1"/>
    <w:rsid w:val="00301283"/>
    <w:rsid w:val="00305037"/>
    <w:rsid w:val="00305AA7"/>
    <w:rsid w:val="00307380"/>
    <w:rsid w:val="00310F8A"/>
    <w:rsid w:val="003122F8"/>
    <w:rsid w:val="00315D2D"/>
    <w:rsid w:val="0032016A"/>
    <w:rsid w:val="00331D33"/>
    <w:rsid w:val="00333F54"/>
    <w:rsid w:val="00335CA1"/>
    <w:rsid w:val="00336FC0"/>
    <w:rsid w:val="00340B1A"/>
    <w:rsid w:val="00345803"/>
    <w:rsid w:val="003464C7"/>
    <w:rsid w:val="0035044E"/>
    <w:rsid w:val="00350A0C"/>
    <w:rsid w:val="00357225"/>
    <w:rsid w:val="003619FA"/>
    <w:rsid w:val="00375AA2"/>
    <w:rsid w:val="00377267"/>
    <w:rsid w:val="003800E4"/>
    <w:rsid w:val="00381BC3"/>
    <w:rsid w:val="00384A14"/>
    <w:rsid w:val="00386AC0"/>
    <w:rsid w:val="00397FB0"/>
    <w:rsid w:val="003A3B73"/>
    <w:rsid w:val="003A600A"/>
    <w:rsid w:val="003A6688"/>
    <w:rsid w:val="003B1F9B"/>
    <w:rsid w:val="003B2A8E"/>
    <w:rsid w:val="003B4D84"/>
    <w:rsid w:val="003B5AE8"/>
    <w:rsid w:val="003B612D"/>
    <w:rsid w:val="003B66EE"/>
    <w:rsid w:val="003C03B3"/>
    <w:rsid w:val="003C1DA7"/>
    <w:rsid w:val="003C2ABA"/>
    <w:rsid w:val="003C36D8"/>
    <w:rsid w:val="003C3FAA"/>
    <w:rsid w:val="003C6EC3"/>
    <w:rsid w:val="003D2550"/>
    <w:rsid w:val="003D5A08"/>
    <w:rsid w:val="003D6279"/>
    <w:rsid w:val="003E2E2D"/>
    <w:rsid w:val="003E4526"/>
    <w:rsid w:val="003E46F8"/>
    <w:rsid w:val="003E7965"/>
    <w:rsid w:val="003F1672"/>
    <w:rsid w:val="003F1FBA"/>
    <w:rsid w:val="003F5CD5"/>
    <w:rsid w:val="00403BD9"/>
    <w:rsid w:val="00411691"/>
    <w:rsid w:val="004121BE"/>
    <w:rsid w:val="00412944"/>
    <w:rsid w:val="00412957"/>
    <w:rsid w:val="00414C4C"/>
    <w:rsid w:val="00415AE8"/>
    <w:rsid w:val="00421D09"/>
    <w:rsid w:val="0042788D"/>
    <w:rsid w:val="00427BBE"/>
    <w:rsid w:val="004300E1"/>
    <w:rsid w:val="00430D5E"/>
    <w:rsid w:val="00441724"/>
    <w:rsid w:val="0044239B"/>
    <w:rsid w:val="00443DAB"/>
    <w:rsid w:val="00444DF2"/>
    <w:rsid w:val="00450177"/>
    <w:rsid w:val="00450C04"/>
    <w:rsid w:val="00450CF2"/>
    <w:rsid w:val="004552E9"/>
    <w:rsid w:val="00456603"/>
    <w:rsid w:val="0045737B"/>
    <w:rsid w:val="00461972"/>
    <w:rsid w:val="004664C6"/>
    <w:rsid w:val="00466D1A"/>
    <w:rsid w:val="004710E1"/>
    <w:rsid w:val="004717D8"/>
    <w:rsid w:val="00471E74"/>
    <w:rsid w:val="004736C4"/>
    <w:rsid w:val="00473D31"/>
    <w:rsid w:val="004755CD"/>
    <w:rsid w:val="0047762C"/>
    <w:rsid w:val="0047765E"/>
    <w:rsid w:val="00477D81"/>
    <w:rsid w:val="0048148E"/>
    <w:rsid w:val="0048211B"/>
    <w:rsid w:val="00482BA8"/>
    <w:rsid w:val="004843E6"/>
    <w:rsid w:val="00485DA1"/>
    <w:rsid w:val="00491299"/>
    <w:rsid w:val="00492490"/>
    <w:rsid w:val="00493BC9"/>
    <w:rsid w:val="00494199"/>
    <w:rsid w:val="004946CA"/>
    <w:rsid w:val="00496588"/>
    <w:rsid w:val="00496786"/>
    <w:rsid w:val="00496DB9"/>
    <w:rsid w:val="00497854"/>
    <w:rsid w:val="004B0B66"/>
    <w:rsid w:val="004B1366"/>
    <w:rsid w:val="004B1F34"/>
    <w:rsid w:val="004B3306"/>
    <w:rsid w:val="004B36A9"/>
    <w:rsid w:val="004B4E83"/>
    <w:rsid w:val="004B518E"/>
    <w:rsid w:val="004C26BF"/>
    <w:rsid w:val="004C4249"/>
    <w:rsid w:val="004D1C55"/>
    <w:rsid w:val="004D1D7E"/>
    <w:rsid w:val="004D3059"/>
    <w:rsid w:val="004D368B"/>
    <w:rsid w:val="004D414D"/>
    <w:rsid w:val="004E1185"/>
    <w:rsid w:val="004E1B69"/>
    <w:rsid w:val="004E3B78"/>
    <w:rsid w:val="004E440D"/>
    <w:rsid w:val="004F28D8"/>
    <w:rsid w:val="004F2BE5"/>
    <w:rsid w:val="004F47D5"/>
    <w:rsid w:val="004F7A88"/>
    <w:rsid w:val="004F7E4D"/>
    <w:rsid w:val="00502F0E"/>
    <w:rsid w:val="00513757"/>
    <w:rsid w:val="00514516"/>
    <w:rsid w:val="00514657"/>
    <w:rsid w:val="005161FD"/>
    <w:rsid w:val="00524D52"/>
    <w:rsid w:val="00527DD6"/>
    <w:rsid w:val="00531C92"/>
    <w:rsid w:val="00534B6A"/>
    <w:rsid w:val="005366BF"/>
    <w:rsid w:val="0054220F"/>
    <w:rsid w:val="0054507C"/>
    <w:rsid w:val="005451B3"/>
    <w:rsid w:val="0055137A"/>
    <w:rsid w:val="00551F5D"/>
    <w:rsid w:val="00553443"/>
    <w:rsid w:val="00553D48"/>
    <w:rsid w:val="005556E2"/>
    <w:rsid w:val="00555D93"/>
    <w:rsid w:val="0055744A"/>
    <w:rsid w:val="00562F8F"/>
    <w:rsid w:val="005637D3"/>
    <w:rsid w:val="00566DAD"/>
    <w:rsid w:val="00567BA6"/>
    <w:rsid w:val="00571CA8"/>
    <w:rsid w:val="00572106"/>
    <w:rsid w:val="00573DE5"/>
    <w:rsid w:val="005774B3"/>
    <w:rsid w:val="005847EE"/>
    <w:rsid w:val="005853C2"/>
    <w:rsid w:val="00585FC0"/>
    <w:rsid w:val="00587799"/>
    <w:rsid w:val="005913DC"/>
    <w:rsid w:val="005920A8"/>
    <w:rsid w:val="005928A8"/>
    <w:rsid w:val="00595F3F"/>
    <w:rsid w:val="005968D0"/>
    <w:rsid w:val="005A190E"/>
    <w:rsid w:val="005A281B"/>
    <w:rsid w:val="005A56D9"/>
    <w:rsid w:val="005B0C17"/>
    <w:rsid w:val="005B28F2"/>
    <w:rsid w:val="005B2ED8"/>
    <w:rsid w:val="005D3FC3"/>
    <w:rsid w:val="005D4C52"/>
    <w:rsid w:val="005D55B1"/>
    <w:rsid w:val="005D591C"/>
    <w:rsid w:val="005D7D04"/>
    <w:rsid w:val="005E121C"/>
    <w:rsid w:val="005E2E6F"/>
    <w:rsid w:val="005E42CD"/>
    <w:rsid w:val="005E6B41"/>
    <w:rsid w:val="005F2B62"/>
    <w:rsid w:val="00600789"/>
    <w:rsid w:val="00602CD2"/>
    <w:rsid w:val="0060558A"/>
    <w:rsid w:val="00605D9A"/>
    <w:rsid w:val="00615B41"/>
    <w:rsid w:val="006301D8"/>
    <w:rsid w:val="00632A37"/>
    <w:rsid w:val="00632F55"/>
    <w:rsid w:val="006334C8"/>
    <w:rsid w:val="006406F2"/>
    <w:rsid w:val="00641772"/>
    <w:rsid w:val="006429E7"/>
    <w:rsid w:val="00642B19"/>
    <w:rsid w:val="00643465"/>
    <w:rsid w:val="00645834"/>
    <w:rsid w:val="006467F6"/>
    <w:rsid w:val="00651736"/>
    <w:rsid w:val="006530AE"/>
    <w:rsid w:val="0065426A"/>
    <w:rsid w:val="00655A61"/>
    <w:rsid w:val="0065772C"/>
    <w:rsid w:val="0066122E"/>
    <w:rsid w:val="00662218"/>
    <w:rsid w:val="0066345C"/>
    <w:rsid w:val="00667A53"/>
    <w:rsid w:val="00670994"/>
    <w:rsid w:val="00670AAF"/>
    <w:rsid w:val="00671346"/>
    <w:rsid w:val="006725A7"/>
    <w:rsid w:val="00674F06"/>
    <w:rsid w:val="006779AB"/>
    <w:rsid w:val="00677A94"/>
    <w:rsid w:val="006832CA"/>
    <w:rsid w:val="006851B7"/>
    <w:rsid w:val="00686E9C"/>
    <w:rsid w:val="00690FB5"/>
    <w:rsid w:val="00691C99"/>
    <w:rsid w:val="00695225"/>
    <w:rsid w:val="0069611B"/>
    <w:rsid w:val="006A14C0"/>
    <w:rsid w:val="006A15AE"/>
    <w:rsid w:val="006A15DE"/>
    <w:rsid w:val="006A180C"/>
    <w:rsid w:val="006A25F6"/>
    <w:rsid w:val="006A47B4"/>
    <w:rsid w:val="006A4E80"/>
    <w:rsid w:val="006A606B"/>
    <w:rsid w:val="006A6743"/>
    <w:rsid w:val="006A6CB7"/>
    <w:rsid w:val="006B1105"/>
    <w:rsid w:val="006B1CBB"/>
    <w:rsid w:val="006B4774"/>
    <w:rsid w:val="006B5480"/>
    <w:rsid w:val="006B601B"/>
    <w:rsid w:val="006B72FF"/>
    <w:rsid w:val="006B7BC8"/>
    <w:rsid w:val="006C2A81"/>
    <w:rsid w:val="006C58BD"/>
    <w:rsid w:val="006C702E"/>
    <w:rsid w:val="006E3037"/>
    <w:rsid w:val="006E4C00"/>
    <w:rsid w:val="006E506E"/>
    <w:rsid w:val="006E654E"/>
    <w:rsid w:val="006F0ABD"/>
    <w:rsid w:val="006F16D7"/>
    <w:rsid w:val="006F3823"/>
    <w:rsid w:val="006F40A5"/>
    <w:rsid w:val="006F4994"/>
    <w:rsid w:val="0070101B"/>
    <w:rsid w:val="007033C8"/>
    <w:rsid w:val="007068A7"/>
    <w:rsid w:val="007077A5"/>
    <w:rsid w:val="0071314F"/>
    <w:rsid w:val="00716F20"/>
    <w:rsid w:val="00717D93"/>
    <w:rsid w:val="00724D28"/>
    <w:rsid w:val="00731C49"/>
    <w:rsid w:val="007409C3"/>
    <w:rsid w:val="00740C8D"/>
    <w:rsid w:val="00741D1A"/>
    <w:rsid w:val="0074243D"/>
    <w:rsid w:val="0074285A"/>
    <w:rsid w:val="00742EE2"/>
    <w:rsid w:val="00743847"/>
    <w:rsid w:val="0074535A"/>
    <w:rsid w:val="00753C3E"/>
    <w:rsid w:val="00761E54"/>
    <w:rsid w:val="00765514"/>
    <w:rsid w:val="007670CA"/>
    <w:rsid w:val="00771A8A"/>
    <w:rsid w:val="00776CAD"/>
    <w:rsid w:val="00780D69"/>
    <w:rsid w:val="00780DE8"/>
    <w:rsid w:val="00780FD8"/>
    <w:rsid w:val="007817E8"/>
    <w:rsid w:val="00790882"/>
    <w:rsid w:val="00792320"/>
    <w:rsid w:val="0079322E"/>
    <w:rsid w:val="00793AD6"/>
    <w:rsid w:val="007A0F8F"/>
    <w:rsid w:val="007A1924"/>
    <w:rsid w:val="007A6287"/>
    <w:rsid w:val="007A74F7"/>
    <w:rsid w:val="007B153F"/>
    <w:rsid w:val="007B46B5"/>
    <w:rsid w:val="007B50E9"/>
    <w:rsid w:val="007C10FB"/>
    <w:rsid w:val="007C303B"/>
    <w:rsid w:val="007C55B5"/>
    <w:rsid w:val="007D0220"/>
    <w:rsid w:val="007D0E28"/>
    <w:rsid w:val="007D0F93"/>
    <w:rsid w:val="007D21F4"/>
    <w:rsid w:val="007E0BB0"/>
    <w:rsid w:val="007E0DCF"/>
    <w:rsid w:val="007E52EB"/>
    <w:rsid w:val="007E5F3A"/>
    <w:rsid w:val="007E61CA"/>
    <w:rsid w:val="007F29CB"/>
    <w:rsid w:val="007F2C99"/>
    <w:rsid w:val="007F4A4C"/>
    <w:rsid w:val="007F6253"/>
    <w:rsid w:val="00803137"/>
    <w:rsid w:val="00803956"/>
    <w:rsid w:val="00804A34"/>
    <w:rsid w:val="00823DB0"/>
    <w:rsid w:val="008262EE"/>
    <w:rsid w:val="0083069F"/>
    <w:rsid w:val="008356CE"/>
    <w:rsid w:val="00836953"/>
    <w:rsid w:val="008371D5"/>
    <w:rsid w:val="0083738F"/>
    <w:rsid w:val="0084051D"/>
    <w:rsid w:val="00845517"/>
    <w:rsid w:val="00845590"/>
    <w:rsid w:val="008456BD"/>
    <w:rsid w:val="008474C5"/>
    <w:rsid w:val="00851E00"/>
    <w:rsid w:val="00853299"/>
    <w:rsid w:val="00854BFA"/>
    <w:rsid w:val="008557AD"/>
    <w:rsid w:val="0085761D"/>
    <w:rsid w:val="00864656"/>
    <w:rsid w:val="00864C49"/>
    <w:rsid w:val="008674F0"/>
    <w:rsid w:val="00867DE3"/>
    <w:rsid w:val="00872DF9"/>
    <w:rsid w:val="00873DB4"/>
    <w:rsid w:val="008755A5"/>
    <w:rsid w:val="008760F7"/>
    <w:rsid w:val="008802F0"/>
    <w:rsid w:val="00882872"/>
    <w:rsid w:val="00894FE0"/>
    <w:rsid w:val="00895D07"/>
    <w:rsid w:val="008A0213"/>
    <w:rsid w:val="008A27B2"/>
    <w:rsid w:val="008A33E0"/>
    <w:rsid w:val="008A3C01"/>
    <w:rsid w:val="008A4987"/>
    <w:rsid w:val="008A5150"/>
    <w:rsid w:val="008B4787"/>
    <w:rsid w:val="008B7D9D"/>
    <w:rsid w:val="008C03F7"/>
    <w:rsid w:val="008C20CF"/>
    <w:rsid w:val="008C29F9"/>
    <w:rsid w:val="008C4722"/>
    <w:rsid w:val="008E260D"/>
    <w:rsid w:val="008E360C"/>
    <w:rsid w:val="008E7EED"/>
    <w:rsid w:val="008F06BB"/>
    <w:rsid w:val="008F1C95"/>
    <w:rsid w:val="008F2652"/>
    <w:rsid w:val="008F46A8"/>
    <w:rsid w:val="008F554F"/>
    <w:rsid w:val="008F591C"/>
    <w:rsid w:val="008F665F"/>
    <w:rsid w:val="00900E32"/>
    <w:rsid w:val="00901502"/>
    <w:rsid w:val="00901553"/>
    <w:rsid w:val="00901C22"/>
    <w:rsid w:val="009122B4"/>
    <w:rsid w:val="0091511C"/>
    <w:rsid w:val="00916AA9"/>
    <w:rsid w:val="00920A6D"/>
    <w:rsid w:val="009222E9"/>
    <w:rsid w:val="009271E8"/>
    <w:rsid w:val="009279E8"/>
    <w:rsid w:val="009310E3"/>
    <w:rsid w:val="00931139"/>
    <w:rsid w:val="00933858"/>
    <w:rsid w:val="00934F08"/>
    <w:rsid w:val="009355DD"/>
    <w:rsid w:val="00935BE1"/>
    <w:rsid w:val="00936C34"/>
    <w:rsid w:val="00937F5B"/>
    <w:rsid w:val="00943845"/>
    <w:rsid w:val="00943D84"/>
    <w:rsid w:val="00944B8E"/>
    <w:rsid w:val="00951204"/>
    <w:rsid w:val="009517F3"/>
    <w:rsid w:val="00962BB9"/>
    <w:rsid w:val="00962BCC"/>
    <w:rsid w:val="00965BC1"/>
    <w:rsid w:val="0097050B"/>
    <w:rsid w:val="00970BEB"/>
    <w:rsid w:val="00973475"/>
    <w:rsid w:val="00975BCE"/>
    <w:rsid w:val="00980BC2"/>
    <w:rsid w:val="009834CF"/>
    <w:rsid w:val="0098623C"/>
    <w:rsid w:val="009909B9"/>
    <w:rsid w:val="00992FCA"/>
    <w:rsid w:val="00993738"/>
    <w:rsid w:val="00993DF8"/>
    <w:rsid w:val="00994961"/>
    <w:rsid w:val="00995357"/>
    <w:rsid w:val="00996983"/>
    <w:rsid w:val="009970A0"/>
    <w:rsid w:val="00997A42"/>
    <w:rsid w:val="00997FBB"/>
    <w:rsid w:val="009A4958"/>
    <w:rsid w:val="009A5262"/>
    <w:rsid w:val="009B0012"/>
    <w:rsid w:val="009B0C48"/>
    <w:rsid w:val="009B42A0"/>
    <w:rsid w:val="009B437A"/>
    <w:rsid w:val="009B4C13"/>
    <w:rsid w:val="009B5AF6"/>
    <w:rsid w:val="009C14E0"/>
    <w:rsid w:val="009C241D"/>
    <w:rsid w:val="009C35E4"/>
    <w:rsid w:val="009C3C5C"/>
    <w:rsid w:val="009C3F22"/>
    <w:rsid w:val="009C4882"/>
    <w:rsid w:val="009C7392"/>
    <w:rsid w:val="009D0915"/>
    <w:rsid w:val="009D1EA4"/>
    <w:rsid w:val="009D5B3C"/>
    <w:rsid w:val="009D5CFD"/>
    <w:rsid w:val="009E08D7"/>
    <w:rsid w:val="009E1C50"/>
    <w:rsid w:val="009E3A46"/>
    <w:rsid w:val="009E3B1F"/>
    <w:rsid w:val="009E3D40"/>
    <w:rsid w:val="009F0891"/>
    <w:rsid w:val="009F4BEE"/>
    <w:rsid w:val="009F77C2"/>
    <w:rsid w:val="00A00997"/>
    <w:rsid w:val="00A01672"/>
    <w:rsid w:val="00A0267B"/>
    <w:rsid w:val="00A061C0"/>
    <w:rsid w:val="00A068CA"/>
    <w:rsid w:val="00A068D0"/>
    <w:rsid w:val="00A070EE"/>
    <w:rsid w:val="00A07E9D"/>
    <w:rsid w:val="00A07F14"/>
    <w:rsid w:val="00A137E8"/>
    <w:rsid w:val="00A2299C"/>
    <w:rsid w:val="00A25283"/>
    <w:rsid w:val="00A265F9"/>
    <w:rsid w:val="00A266EE"/>
    <w:rsid w:val="00A2696A"/>
    <w:rsid w:val="00A26B04"/>
    <w:rsid w:val="00A3243A"/>
    <w:rsid w:val="00A34065"/>
    <w:rsid w:val="00A343DD"/>
    <w:rsid w:val="00A354AC"/>
    <w:rsid w:val="00A36D80"/>
    <w:rsid w:val="00A37401"/>
    <w:rsid w:val="00A427D7"/>
    <w:rsid w:val="00A43240"/>
    <w:rsid w:val="00A45D01"/>
    <w:rsid w:val="00A50604"/>
    <w:rsid w:val="00A51094"/>
    <w:rsid w:val="00A55A64"/>
    <w:rsid w:val="00A6519A"/>
    <w:rsid w:val="00A74F78"/>
    <w:rsid w:val="00A7562C"/>
    <w:rsid w:val="00A75F9E"/>
    <w:rsid w:val="00A80629"/>
    <w:rsid w:val="00A80A83"/>
    <w:rsid w:val="00A815BD"/>
    <w:rsid w:val="00A8750D"/>
    <w:rsid w:val="00A87550"/>
    <w:rsid w:val="00A91873"/>
    <w:rsid w:val="00A95F8F"/>
    <w:rsid w:val="00A96F04"/>
    <w:rsid w:val="00A978EC"/>
    <w:rsid w:val="00AA1DCE"/>
    <w:rsid w:val="00AA4ACE"/>
    <w:rsid w:val="00AA6BFF"/>
    <w:rsid w:val="00AB0180"/>
    <w:rsid w:val="00AB0B7F"/>
    <w:rsid w:val="00AB18B5"/>
    <w:rsid w:val="00AB5371"/>
    <w:rsid w:val="00AB64AF"/>
    <w:rsid w:val="00AB7616"/>
    <w:rsid w:val="00AC4C2F"/>
    <w:rsid w:val="00AD0E47"/>
    <w:rsid w:val="00AD1A31"/>
    <w:rsid w:val="00AD5564"/>
    <w:rsid w:val="00AE0BDD"/>
    <w:rsid w:val="00AE2E6E"/>
    <w:rsid w:val="00AF3028"/>
    <w:rsid w:val="00AF6417"/>
    <w:rsid w:val="00B000EB"/>
    <w:rsid w:val="00B01361"/>
    <w:rsid w:val="00B0345E"/>
    <w:rsid w:val="00B038A0"/>
    <w:rsid w:val="00B15B4B"/>
    <w:rsid w:val="00B161C8"/>
    <w:rsid w:val="00B175C0"/>
    <w:rsid w:val="00B178D5"/>
    <w:rsid w:val="00B2188F"/>
    <w:rsid w:val="00B22A18"/>
    <w:rsid w:val="00B23625"/>
    <w:rsid w:val="00B23841"/>
    <w:rsid w:val="00B23BD8"/>
    <w:rsid w:val="00B264BD"/>
    <w:rsid w:val="00B26C8A"/>
    <w:rsid w:val="00B3057D"/>
    <w:rsid w:val="00B32450"/>
    <w:rsid w:val="00B33231"/>
    <w:rsid w:val="00B358D5"/>
    <w:rsid w:val="00B36288"/>
    <w:rsid w:val="00B43A57"/>
    <w:rsid w:val="00B469CC"/>
    <w:rsid w:val="00B51C38"/>
    <w:rsid w:val="00B56ACF"/>
    <w:rsid w:val="00B56B2E"/>
    <w:rsid w:val="00B56EFC"/>
    <w:rsid w:val="00B624FE"/>
    <w:rsid w:val="00B634D7"/>
    <w:rsid w:val="00B636FF"/>
    <w:rsid w:val="00B64711"/>
    <w:rsid w:val="00B64DD3"/>
    <w:rsid w:val="00B65B91"/>
    <w:rsid w:val="00B70238"/>
    <w:rsid w:val="00B75C53"/>
    <w:rsid w:val="00B90ABD"/>
    <w:rsid w:val="00B96D5D"/>
    <w:rsid w:val="00BA5AA2"/>
    <w:rsid w:val="00BB2702"/>
    <w:rsid w:val="00BB54ED"/>
    <w:rsid w:val="00BB7476"/>
    <w:rsid w:val="00BC0C59"/>
    <w:rsid w:val="00BC16B7"/>
    <w:rsid w:val="00BD0A18"/>
    <w:rsid w:val="00BD15F7"/>
    <w:rsid w:val="00BD2D3D"/>
    <w:rsid w:val="00BE20AB"/>
    <w:rsid w:val="00BE2375"/>
    <w:rsid w:val="00BE3328"/>
    <w:rsid w:val="00BE5769"/>
    <w:rsid w:val="00BF0CD6"/>
    <w:rsid w:val="00BF6C4D"/>
    <w:rsid w:val="00C017D9"/>
    <w:rsid w:val="00C041C2"/>
    <w:rsid w:val="00C06128"/>
    <w:rsid w:val="00C067DC"/>
    <w:rsid w:val="00C06EEE"/>
    <w:rsid w:val="00C11A37"/>
    <w:rsid w:val="00C144D4"/>
    <w:rsid w:val="00C15410"/>
    <w:rsid w:val="00C16A13"/>
    <w:rsid w:val="00C3190E"/>
    <w:rsid w:val="00C34015"/>
    <w:rsid w:val="00C3565D"/>
    <w:rsid w:val="00C418DE"/>
    <w:rsid w:val="00C41915"/>
    <w:rsid w:val="00C42D22"/>
    <w:rsid w:val="00C45C48"/>
    <w:rsid w:val="00C45DAE"/>
    <w:rsid w:val="00C505CE"/>
    <w:rsid w:val="00C52F18"/>
    <w:rsid w:val="00C55A11"/>
    <w:rsid w:val="00C568E8"/>
    <w:rsid w:val="00C60C84"/>
    <w:rsid w:val="00C62D1A"/>
    <w:rsid w:val="00C63C5F"/>
    <w:rsid w:val="00C66958"/>
    <w:rsid w:val="00C67229"/>
    <w:rsid w:val="00C751D0"/>
    <w:rsid w:val="00C7738B"/>
    <w:rsid w:val="00C80455"/>
    <w:rsid w:val="00C814F5"/>
    <w:rsid w:val="00C8401A"/>
    <w:rsid w:val="00C87932"/>
    <w:rsid w:val="00C87DAF"/>
    <w:rsid w:val="00C90A0C"/>
    <w:rsid w:val="00C960D2"/>
    <w:rsid w:val="00C978E4"/>
    <w:rsid w:val="00CA5BAE"/>
    <w:rsid w:val="00CA741C"/>
    <w:rsid w:val="00CB05E6"/>
    <w:rsid w:val="00CB37FB"/>
    <w:rsid w:val="00CC2594"/>
    <w:rsid w:val="00CC7E3C"/>
    <w:rsid w:val="00CE0DA7"/>
    <w:rsid w:val="00CF663E"/>
    <w:rsid w:val="00CF7874"/>
    <w:rsid w:val="00D00102"/>
    <w:rsid w:val="00D0040F"/>
    <w:rsid w:val="00D07FE4"/>
    <w:rsid w:val="00D1032A"/>
    <w:rsid w:val="00D13066"/>
    <w:rsid w:val="00D1364C"/>
    <w:rsid w:val="00D136E2"/>
    <w:rsid w:val="00D14D31"/>
    <w:rsid w:val="00D16F54"/>
    <w:rsid w:val="00D179F0"/>
    <w:rsid w:val="00D30A30"/>
    <w:rsid w:val="00D363BB"/>
    <w:rsid w:val="00D37C94"/>
    <w:rsid w:val="00D37E51"/>
    <w:rsid w:val="00D4096E"/>
    <w:rsid w:val="00D415F6"/>
    <w:rsid w:val="00D41698"/>
    <w:rsid w:val="00D51541"/>
    <w:rsid w:val="00D521CD"/>
    <w:rsid w:val="00D521D2"/>
    <w:rsid w:val="00D52A7F"/>
    <w:rsid w:val="00D52C87"/>
    <w:rsid w:val="00D53D4C"/>
    <w:rsid w:val="00D652DD"/>
    <w:rsid w:val="00D667D3"/>
    <w:rsid w:val="00D733F6"/>
    <w:rsid w:val="00D73DB9"/>
    <w:rsid w:val="00D74BB6"/>
    <w:rsid w:val="00D7656A"/>
    <w:rsid w:val="00D81D22"/>
    <w:rsid w:val="00D8550C"/>
    <w:rsid w:val="00D87F94"/>
    <w:rsid w:val="00D92770"/>
    <w:rsid w:val="00D9389C"/>
    <w:rsid w:val="00D956A7"/>
    <w:rsid w:val="00D957F0"/>
    <w:rsid w:val="00D967BB"/>
    <w:rsid w:val="00D97EBF"/>
    <w:rsid w:val="00DA223F"/>
    <w:rsid w:val="00DA5E37"/>
    <w:rsid w:val="00DA6511"/>
    <w:rsid w:val="00DB0C0E"/>
    <w:rsid w:val="00DB2368"/>
    <w:rsid w:val="00DB37CB"/>
    <w:rsid w:val="00DB4E0A"/>
    <w:rsid w:val="00DB5C15"/>
    <w:rsid w:val="00DB6636"/>
    <w:rsid w:val="00DB6B63"/>
    <w:rsid w:val="00DC74B8"/>
    <w:rsid w:val="00DD33AC"/>
    <w:rsid w:val="00DD6C78"/>
    <w:rsid w:val="00DE00BB"/>
    <w:rsid w:val="00DE145A"/>
    <w:rsid w:val="00DE3D02"/>
    <w:rsid w:val="00DE46A6"/>
    <w:rsid w:val="00DE5A2C"/>
    <w:rsid w:val="00DF4E24"/>
    <w:rsid w:val="00DF70F6"/>
    <w:rsid w:val="00DF77ED"/>
    <w:rsid w:val="00DF7F6C"/>
    <w:rsid w:val="00E0049B"/>
    <w:rsid w:val="00E037CF"/>
    <w:rsid w:val="00E063F3"/>
    <w:rsid w:val="00E1222D"/>
    <w:rsid w:val="00E16C1C"/>
    <w:rsid w:val="00E3140D"/>
    <w:rsid w:val="00E31D85"/>
    <w:rsid w:val="00E3275A"/>
    <w:rsid w:val="00E34409"/>
    <w:rsid w:val="00E34644"/>
    <w:rsid w:val="00E3608F"/>
    <w:rsid w:val="00E36338"/>
    <w:rsid w:val="00E42769"/>
    <w:rsid w:val="00E47B74"/>
    <w:rsid w:val="00E520FD"/>
    <w:rsid w:val="00E56460"/>
    <w:rsid w:val="00E62714"/>
    <w:rsid w:val="00E63BCC"/>
    <w:rsid w:val="00E63E16"/>
    <w:rsid w:val="00E65212"/>
    <w:rsid w:val="00E6795E"/>
    <w:rsid w:val="00E67D18"/>
    <w:rsid w:val="00E70984"/>
    <w:rsid w:val="00E75C87"/>
    <w:rsid w:val="00E76E73"/>
    <w:rsid w:val="00E821AC"/>
    <w:rsid w:val="00E82B11"/>
    <w:rsid w:val="00E82BF8"/>
    <w:rsid w:val="00E82CE6"/>
    <w:rsid w:val="00E84095"/>
    <w:rsid w:val="00E840F0"/>
    <w:rsid w:val="00E8421C"/>
    <w:rsid w:val="00E84F51"/>
    <w:rsid w:val="00E850D0"/>
    <w:rsid w:val="00E85ED3"/>
    <w:rsid w:val="00E86D8C"/>
    <w:rsid w:val="00E93083"/>
    <w:rsid w:val="00E93CC3"/>
    <w:rsid w:val="00E945C2"/>
    <w:rsid w:val="00EA0363"/>
    <w:rsid w:val="00EA10D1"/>
    <w:rsid w:val="00EA1965"/>
    <w:rsid w:val="00EA197D"/>
    <w:rsid w:val="00EA303C"/>
    <w:rsid w:val="00EA33A9"/>
    <w:rsid w:val="00EA44AE"/>
    <w:rsid w:val="00EA590A"/>
    <w:rsid w:val="00EA5E7E"/>
    <w:rsid w:val="00EB082F"/>
    <w:rsid w:val="00EB259B"/>
    <w:rsid w:val="00EB2A3E"/>
    <w:rsid w:val="00EB2FA3"/>
    <w:rsid w:val="00EB3668"/>
    <w:rsid w:val="00EB5C2F"/>
    <w:rsid w:val="00EB5F42"/>
    <w:rsid w:val="00EB63C7"/>
    <w:rsid w:val="00EC091E"/>
    <w:rsid w:val="00EC1416"/>
    <w:rsid w:val="00EC6D10"/>
    <w:rsid w:val="00EC74D9"/>
    <w:rsid w:val="00EC7AEF"/>
    <w:rsid w:val="00ED2362"/>
    <w:rsid w:val="00ED32A1"/>
    <w:rsid w:val="00ED4000"/>
    <w:rsid w:val="00ED419D"/>
    <w:rsid w:val="00ED54F0"/>
    <w:rsid w:val="00ED6813"/>
    <w:rsid w:val="00ED6A22"/>
    <w:rsid w:val="00EE02E2"/>
    <w:rsid w:val="00EE1D0E"/>
    <w:rsid w:val="00EE348D"/>
    <w:rsid w:val="00EE59F8"/>
    <w:rsid w:val="00EE646A"/>
    <w:rsid w:val="00EF3565"/>
    <w:rsid w:val="00EF3D79"/>
    <w:rsid w:val="00EF5651"/>
    <w:rsid w:val="00EF6A5D"/>
    <w:rsid w:val="00F00492"/>
    <w:rsid w:val="00F00C6F"/>
    <w:rsid w:val="00F0211E"/>
    <w:rsid w:val="00F03638"/>
    <w:rsid w:val="00F15A55"/>
    <w:rsid w:val="00F1700C"/>
    <w:rsid w:val="00F173F7"/>
    <w:rsid w:val="00F20E29"/>
    <w:rsid w:val="00F23F12"/>
    <w:rsid w:val="00F24334"/>
    <w:rsid w:val="00F2686A"/>
    <w:rsid w:val="00F302EB"/>
    <w:rsid w:val="00F30319"/>
    <w:rsid w:val="00F32588"/>
    <w:rsid w:val="00F33358"/>
    <w:rsid w:val="00F33872"/>
    <w:rsid w:val="00F35F79"/>
    <w:rsid w:val="00F3691C"/>
    <w:rsid w:val="00F41BD3"/>
    <w:rsid w:val="00F43BED"/>
    <w:rsid w:val="00F4457A"/>
    <w:rsid w:val="00F47376"/>
    <w:rsid w:val="00F4772B"/>
    <w:rsid w:val="00F52923"/>
    <w:rsid w:val="00F5315E"/>
    <w:rsid w:val="00F53C95"/>
    <w:rsid w:val="00F548FC"/>
    <w:rsid w:val="00F5519B"/>
    <w:rsid w:val="00F56A9C"/>
    <w:rsid w:val="00F577EC"/>
    <w:rsid w:val="00F60D46"/>
    <w:rsid w:val="00F62FCE"/>
    <w:rsid w:val="00F63BDD"/>
    <w:rsid w:val="00F63C66"/>
    <w:rsid w:val="00F66943"/>
    <w:rsid w:val="00F67BAC"/>
    <w:rsid w:val="00F700C5"/>
    <w:rsid w:val="00F70C6F"/>
    <w:rsid w:val="00F74D30"/>
    <w:rsid w:val="00F754E4"/>
    <w:rsid w:val="00F7781C"/>
    <w:rsid w:val="00F8090B"/>
    <w:rsid w:val="00F8093D"/>
    <w:rsid w:val="00F833BF"/>
    <w:rsid w:val="00F8505C"/>
    <w:rsid w:val="00F86CD9"/>
    <w:rsid w:val="00F87296"/>
    <w:rsid w:val="00F87727"/>
    <w:rsid w:val="00F878C4"/>
    <w:rsid w:val="00F9493C"/>
    <w:rsid w:val="00F94960"/>
    <w:rsid w:val="00F95587"/>
    <w:rsid w:val="00F9619E"/>
    <w:rsid w:val="00FA118D"/>
    <w:rsid w:val="00FA2ECA"/>
    <w:rsid w:val="00FA3260"/>
    <w:rsid w:val="00FA38AB"/>
    <w:rsid w:val="00FA4209"/>
    <w:rsid w:val="00FA4AEE"/>
    <w:rsid w:val="00FA610B"/>
    <w:rsid w:val="00FA7350"/>
    <w:rsid w:val="00FB0164"/>
    <w:rsid w:val="00FB3BB8"/>
    <w:rsid w:val="00FB44BF"/>
    <w:rsid w:val="00FB6687"/>
    <w:rsid w:val="00FC1BD8"/>
    <w:rsid w:val="00FD04D7"/>
    <w:rsid w:val="00FD0BA8"/>
    <w:rsid w:val="00FD569B"/>
    <w:rsid w:val="00FD6050"/>
    <w:rsid w:val="00FD7C4E"/>
    <w:rsid w:val="00FE1430"/>
    <w:rsid w:val="00FF110C"/>
    <w:rsid w:val="00FF1377"/>
    <w:rsid w:val="00FF6289"/>
    <w:rsid w:val="7C605E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Date"/>
    <w:basedOn w:val="1"/>
    <w:next w:val="1"/>
    <w:link w:val="20"/>
    <w:semiHidden/>
    <w:unhideWhenUsed/>
    <w:qFormat/>
    <w:uiPriority w:val="99"/>
    <w:pPr>
      <w:ind w:left="100" w:leftChars="2500"/>
    </w:pPr>
  </w:style>
  <w:style w:type="paragraph" w:styleId="4">
    <w:name w:val="Balloon Text"/>
    <w:basedOn w:val="1"/>
    <w:link w:val="17"/>
    <w:semiHidden/>
    <w:unhideWhenUsed/>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75" w:after="75"/>
      <w:jc w:val="left"/>
    </w:pPr>
    <w:rPr>
      <w:rFonts w:ascii="宋体" w:hAnsi="宋体" w:eastAsia="宋体" w:cs="宋体"/>
      <w:kern w:val="0"/>
      <w:sz w:val="24"/>
      <w:szCs w:val="24"/>
    </w:rPr>
  </w:style>
  <w:style w:type="paragraph" w:styleId="8">
    <w:name w:val="annotation subject"/>
    <w:basedOn w:val="2"/>
    <w:next w:val="2"/>
    <w:link w:val="19"/>
    <w:semiHidden/>
    <w:unhideWhenUsed/>
    <w:uiPriority w:val="99"/>
    <w:rPr>
      <w:b/>
      <w:bCs/>
    </w:rPr>
  </w:style>
  <w:style w:type="table" w:styleId="10">
    <w:name w:val="Table Grid"/>
    <w:basedOn w:val="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
    <w:name w:val="Light Shading Accent 5"/>
    <w:basedOn w:val="9"/>
    <w:uiPriority w:val="60"/>
    <w:rPr>
      <w:color w:val="2F5597" w:themeColor="accent5" w:themeShade="BF"/>
    </w:rPr>
    <w:tblPr>
      <w:tblBorders>
        <w:top w:val="single" w:color="4472C4" w:themeColor="accent5" w:sz="8" w:space="0"/>
        <w:bottom w:val="single" w:color="4472C4" w:themeColor="accent5" w:sz="8" w:space="0"/>
      </w:tblBorders>
    </w:tblPr>
    <w:tblStylePr w:type="fir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la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left w:val="nil"/>
          <w:right w:val="nil"/>
          <w:insideH w:val="nil"/>
          <w:insideV w:val="nil"/>
        </w:tcBorders>
        <w:shd w:val="clear" w:color="auto" w:fill="D0DCF0" w:themeFill="accent5" w:themeFillTint="3F"/>
      </w:tcPr>
    </w:tblStylePr>
  </w:style>
  <w:style w:type="character" w:styleId="13">
    <w:name w:val="annotation reference"/>
    <w:basedOn w:val="12"/>
    <w:semiHidden/>
    <w:unhideWhenUsed/>
    <w:qFormat/>
    <w:uiPriority w:val="99"/>
    <w:rPr>
      <w:sz w:val="21"/>
      <w:szCs w:val="21"/>
    </w:rPr>
  </w:style>
  <w:style w:type="character" w:customStyle="1" w:styleId="14">
    <w:name w:val="页眉 字符"/>
    <w:basedOn w:val="12"/>
    <w:link w:val="6"/>
    <w:uiPriority w:val="99"/>
    <w:rPr>
      <w:sz w:val="18"/>
      <w:szCs w:val="18"/>
    </w:rPr>
  </w:style>
  <w:style w:type="character" w:customStyle="1" w:styleId="15">
    <w:name w:val="页脚 字符"/>
    <w:basedOn w:val="12"/>
    <w:link w:val="5"/>
    <w:uiPriority w:val="99"/>
    <w:rPr>
      <w:sz w:val="18"/>
      <w:szCs w:val="18"/>
    </w:rPr>
  </w:style>
  <w:style w:type="character" w:styleId="16">
    <w:name w:val="Placeholder Text"/>
    <w:basedOn w:val="12"/>
    <w:semiHidden/>
    <w:qFormat/>
    <w:uiPriority w:val="99"/>
    <w:rPr>
      <w:color w:val="808080"/>
    </w:rPr>
  </w:style>
  <w:style w:type="character" w:customStyle="1" w:styleId="17">
    <w:name w:val="批注框文本 字符"/>
    <w:basedOn w:val="12"/>
    <w:link w:val="4"/>
    <w:semiHidden/>
    <w:uiPriority w:val="99"/>
    <w:rPr>
      <w:sz w:val="18"/>
      <w:szCs w:val="18"/>
    </w:rPr>
  </w:style>
  <w:style w:type="character" w:customStyle="1" w:styleId="18">
    <w:name w:val="批注文字 字符"/>
    <w:basedOn w:val="12"/>
    <w:link w:val="2"/>
    <w:semiHidden/>
    <w:qFormat/>
    <w:uiPriority w:val="99"/>
  </w:style>
  <w:style w:type="character" w:customStyle="1" w:styleId="19">
    <w:name w:val="批注主题 字符"/>
    <w:basedOn w:val="18"/>
    <w:link w:val="8"/>
    <w:semiHidden/>
    <w:qFormat/>
    <w:uiPriority w:val="99"/>
    <w:rPr>
      <w:b/>
      <w:bCs/>
    </w:rPr>
  </w:style>
  <w:style w:type="character" w:customStyle="1" w:styleId="20">
    <w:name w:val="日期 字符"/>
    <w:basedOn w:val="12"/>
    <w:link w:val="3"/>
    <w:semiHidden/>
    <w:uiPriority w:val="99"/>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FE587-5B6A-4DBE-BFBD-8665D944CCFD}">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2398</Words>
  <Characters>2665</Characters>
  <Lines>19</Lines>
  <Paragraphs>5</Paragraphs>
  <TotalTime>137</TotalTime>
  <ScaleCrop>false</ScaleCrop>
  <LinksUpToDate>false</LinksUpToDate>
  <CharactersWithSpaces>2701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2021-12-16T02:59:00Z</dcterms:created>
  <dc:creator>2021</dc:creator>
  <cp:lastModifiedBy>太极箫客</cp:lastModifiedBy>
  <cp:lastPrinted>2021-08-19T08:21:00Z</cp:lastPrinted>
  <dcterms:modified xsi:type="dcterms:W3CDTF">2025-08-14T07:29:53Z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34F3CB8F50AE4B33A03A7FF512FF7EC0_12</vt:lpwstr>
  </property>
</Properties>
</file>