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7504B">
      <w:pPr>
        <w:topLinePunct/>
        <w:adjustRightInd w:val="0"/>
        <w:snapToGrid w:val="0"/>
        <w:spacing w:before="149" w:beforeLines="50" w:line="300" w:lineRule="auto"/>
        <w:jc w:val="both"/>
        <w:rPr>
          <w:rFonts w:ascii="Arial" w:hAnsi="Arial" w:eastAsia="宋体" w:cs="Arial"/>
          <w:snapToGrid w:val="0"/>
          <w:sz w:val="28"/>
          <w:szCs w:val="24"/>
        </w:rPr>
      </w:pPr>
      <w:bookmarkStart w:id="45" w:name="_GoBack"/>
      <w:bookmarkEnd w:id="45"/>
      <w:r>
        <w:rPr>
          <w:rFonts w:hint="eastAsia" w:ascii="宋体" w:hAnsi="宋体" w:eastAsia="宋体" w:cs="Arial"/>
          <w:snapToGrid w:val="0"/>
          <w:sz w:val="28"/>
          <w:szCs w:val="24"/>
        </w:rPr>
        <w:t>“</w:t>
      </w:r>
      <w:r>
        <w:rPr>
          <w:rFonts w:hint="eastAsia" w:ascii="Arial" w:hAnsi="Arial" w:eastAsia="宋体" w:cs="Arial"/>
          <w:snapToGrid w:val="0"/>
          <w:sz w:val="28"/>
          <w:szCs w:val="24"/>
        </w:rPr>
        <w:t>21世纪治愈法案</w:t>
      </w:r>
      <w:r>
        <w:rPr>
          <w:rFonts w:hint="eastAsia" w:ascii="宋体" w:hAnsi="宋体" w:eastAsia="宋体" w:cs="Arial"/>
          <w:snapToGrid w:val="0"/>
          <w:sz w:val="28"/>
          <w:szCs w:val="24"/>
        </w:rPr>
        <w:t>”</w:t>
      </w:r>
      <w:r>
        <w:rPr>
          <w:rFonts w:hint="eastAsia" w:ascii="Arial" w:hAnsi="Arial" w:eastAsia="宋体" w:cs="Arial"/>
          <w:snapToGrid w:val="0"/>
          <w:sz w:val="28"/>
          <w:szCs w:val="24"/>
        </w:rPr>
        <w:t>（治愈法）于2016年12月13日签署成法，其修正了</w:t>
      </w:r>
      <w:r>
        <w:rPr>
          <w:rFonts w:hint="eastAsia" w:ascii="宋体" w:hAnsi="宋体" w:eastAsia="宋体" w:cs="Arial"/>
          <w:snapToGrid w:val="0"/>
          <w:sz w:val="28"/>
          <w:szCs w:val="24"/>
        </w:rPr>
        <w:t>“</w:t>
      </w:r>
      <w:r>
        <w:rPr>
          <w:rFonts w:hint="eastAsia" w:ascii="Arial" w:hAnsi="Arial" w:eastAsia="宋体" w:cs="Arial"/>
          <w:snapToGrid w:val="0"/>
          <w:sz w:val="28"/>
          <w:szCs w:val="24"/>
        </w:rPr>
        <w:t>联邦食品、药品和化妆品法案</w:t>
      </w:r>
      <w:r>
        <w:rPr>
          <w:rFonts w:hint="eastAsia" w:ascii="宋体" w:hAnsi="宋体" w:eastAsia="宋体" w:cs="Arial"/>
          <w:snapToGrid w:val="0"/>
          <w:sz w:val="28"/>
          <w:szCs w:val="24"/>
        </w:rPr>
        <w:t>”</w:t>
      </w:r>
      <w:r>
        <w:rPr>
          <w:rFonts w:hint="eastAsia" w:ascii="Arial" w:hAnsi="Arial" w:eastAsia="宋体" w:cs="Arial"/>
          <w:snapToGrid w:val="0"/>
          <w:sz w:val="28"/>
          <w:szCs w:val="24"/>
        </w:rPr>
        <w:t>的若干条款。本指南于</w:t>
      </w:r>
      <w:r>
        <w:rPr>
          <w:rFonts w:hint="eastAsia" w:ascii="宋体" w:hAnsi="宋体" w:eastAsia="宋体" w:cs="Arial"/>
          <w:snapToGrid w:val="0"/>
          <w:sz w:val="28"/>
          <w:szCs w:val="24"/>
        </w:rPr>
        <w:t>“</w:t>
      </w:r>
      <w:r>
        <w:rPr>
          <w:rFonts w:hint="eastAsia" w:ascii="Arial" w:hAnsi="Arial" w:eastAsia="宋体" w:cs="Arial"/>
          <w:snapToGrid w:val="0"/>
          <w:sz w:val="28"/>
          <w:szCs w:val="24"/>
        </w:rPr>
        <w:t>治愈法</w:t>
      </w:r>
      <w:r>
        <w:rPr>
          <w:rFonts w:hint="eastAsia" w:ascii="宋体" w:hAnsi="宋体" w:eastAsia="宋体" w:cs="Arial"/>
          <w:snapToGrid w:val="0"/>
          <w:sz w:val="28"/>
          <w:szCs w:val="24"/>
        </w:rPr>
        <w:t>”</w:t>
      </w:r>
      <w:r>
        <w:rPr>
          <w:rFonts w:hint="eastAsia" w:ascii="Arial" w:hAnsi="Arial" w:eastAsia="宋体" w:cs="Arial"/>
          <w:snapToGrid w:val="0"/>
          <w:sz w:val="28"/>
          <w:szCs w:val="24"/>
        </w:rPr>
        <w:t>颁布之前制定和发布，因此，本指南的某些部分可能不再适用。FDA正在评估如何修改本指南，以便其能代表本机构目前对此主题的思考。有关更多信息，请联系</w:t>
      </w:r>
      <w:r>
        <w:fldChar w:fldCharType="begin"/>
      </w:r>
      <w:r>
        <w:instrText xml:space="preserve"> HYPERLINK "mailto:CDRH-Cures@fda.hhs.gov" \h </w:instrText>
      </w:r>
      <w:r>
        <w:fldChar w:fldCharType="separate"/>
      </w:r>
      <w:r>
        <w:rPr>
          <w:rFonts w:hint="eastAsia" w:ascii="Arial" w:hAnsi="Arial" w:eastAsia="宋体" w:cs="Arial"/>
          <w:snapToGrid w:val="0"/>
          <w:color w:val="0000FF"/>
          <w:sz w:val="28"/>
          <w:szCs w:val="24"/>
          <w:u w:val="single" w:color="0000FF"/>
        </w:rPr>
        <w:t>CDRH-Cures@fda.hhs.gov</w:t>
      </w:r>
      <w:r>
        <w:rPr>
          <w:rFonts w:hint="eastAsia" w:ascii="Arial" w:hAnsi="Arial" w:eastAsia="宋体" w:cs="Arial"/>
          <w:snapToGrid w:val="0"/>
          <w:color w:val="0000FF"/>
          <w:sz w:val="28"/>
          <w:szCs w:val="24"/>
          <w:u w:val="single" w:color="0000FF"/>
        </w:rPr>
        <w:fldChar w:fldCharType="end"/>
      </w:r>
      <w:r>
        <w:rPr>
          <w:rFonts w:hint="eastAsia" w:ascii="Arial" w:hAnsi="Arial" w:eastAsia="宋体" w:cs="Arial"/>
          <w:snapToGrid w:val="0"/>
          <w:sz w:val="28"/>
          <w:szCs w:val="24"/>
        </w:rPr>
        <w:t>。</w:t>
      </w:r>
    </w:p>
    <w:p w14:paraId="7BF558B7">
      <w:pPr>
        <w:topLinePunct/>
        <w:adjustRightInd w:val="0"/>
        <w:snapToGrid w:val="0"/>
        <w:spacing w:before="149" w:beforeLines="50" w:line="300" w:lineRule="auto"/>
        <w:jc w:val="both"/>
        <w:rPr>
          <w:rFonts w:ascii="Arial" w:hAnsi="Arial" w:eastAsia="宋体" w:cs="Arial"/>
          <w:snapToGrid w:val="0"/>
          <w:sz w:val="24"/>
          <w:szCs w:val="24"/>
        </w:rPr>
      </w:pPr>
    </w:p>
    <w:p w14:paraId="16F7D7BC">
      <w:pPr>
        <w:topLinePunct/>
        <w:adjustRightInd w:val="0"/>
        <w:snapToGrid w:val="0"/>
        <w:spacing w:before="149" w:beforeLines="50" w:line="300" w:lineRule="auto"/>
        <w:jc w:val="both"/>
        <w:rPr>
          <w:rFonts w:ascii="Arial" w:hAnsi="Arial" w:eastAsia="宋体" w:cs="Arial"/>
          <w:snapToGrid w:val="0"/>
          <w:sz w:val="24"/>
          <w:szCs w:val="24"/>
        </w:rPr>
        <w:sectPr>
          <w:headerReference r:id="rId4" w:type="default"/>
          <w:pgSz w:w="11906" w:h="16838"/>
          <w:pgMar w:top="1134" w:right="1440" w:bottom="1134" w:left="1440" w:header="720" w:footer="720" w:gutter="0"/>
          <w:cols w:space="720" w:num="1"/>
          <w:docGrid w:type="lines" w:linePitch="299" w:charSpace="0"/>
        </w:sectPr>
      </w:pPr>
    </w:p>
    <w:p w14:paraId="767C9191">
      <w:pPr>
        <w:pBdr>
          <w:bottom w:val="single" w:color="auto" w:sz="4" w:space="1"/>
        </w:pBdr>
        <w:topLinePunct/>
        <w:adjustRightInd w:val="0"/>
        <w:snapToGrid w:val="0"/>
        <w:spacing w:before="149" w:beforeLines="50" w:line="300" w:lineRule="auto"/>
        <w:jc w:val="center"/>
        <w:rPr>
          <w:rFonts w:ascii="Arial" w:hAnsi="Arial" w:eastAsia="宋体" w:cs="Arial"/>
          <w:snapToGrid w:val="0"/>
          <w:sz w:val="48"/>
          <w:szCs w:val="48"/>
        </w:rPr>
      </w:pPr>
      <w:r>
        <w:rPr>
          <w:rFonts w:hint="eastAsia" w:ascii="Arial" w:hAnsi="Arial" w:eastAsia="宋体" w:cs="Arial"/>
          <w:b/>
          <w:snapToGrid w:val="0"/>
          <w:sz w:val="48"/>
          <w:szCs w:val="48"/>
        </w:rPr>
        <w:t>豁免某些未分类、II类和I类保留医疗器械上市前通知要求的意图</w:t>
      </w:r>
    </w:p>
    <w:p w14:paraId="27C4C5A7">
      <w:pPr>
        <w:topLinePunct/>
        <w:adjustRightInd w:val="0"/>
        <w:snapToGrid w:val="0"/>
        <w:spacing w:before="149" w:beforeLines="50" w:line="300" w:lineRule="auto"/>
        <w:jc w:val="center"/>
        <w:rPr>
          <w:rFonts w:ascii="Arial" w:hAnsi="Arial" w:eastAsia="宋体" w:cs="Arial"/>
          <w:snapToGrid w:val="0"/>
          <w:sz w:val="48"/>
          <w:szCs w:val="48"/>
        </w:rPr>
      </w:pPr>
      <w:r>
        <w:rPr>
          <w:rFonts w:hint="eastAsia" w:ascii="Arial" w:hAnsi="Arial" w:eastAsia="宋体" w:cs="Arial"/>
          <w:b/>
          <w:snapToGrid w:val="0"/>
          <w:sz w:val="48"/>
          <w:szCs w:val="48"/>
        </w:rPr>
        <w:t>行业和食品药品监督管理局工作人员指南</w:t>
      </w:r>
    </w:p>
    <w:p w14:paraId="32FEB9D2">
      <w:pPr>
        <w:topLinePunct/>
        <w:adjustRightInd w:val="0"/>
        <w:snapToGrid w:val="0"/>
        <w:spacing w:before="149" w:beforeLines="50" w:line="300" w:lineRule="auto"/>
        <w:jc w:val="center"/>
        <w:rPr>
          <w:rFonts w:ascii="Arial" w:hAnsi="Arial" w:eastAsia="宋体" w:cs="Arial"/>
          <w:b/>
          <w:snapToGrid w:val="0"/>
          <w:sz w:val="24"/>
          <w:szCs w:val="24"/>
        </w:rPr>
      </w:pPr>
    </w:p>
    <w:p w14:paraId="0F7F7D19">
      <w:pPr>
        <w:topLinePunct/>
        <w:adjustRightInd w:val="0"/>
        <w:snapToGrid w:val="0"/>
        <w:spacing w:before="149" w:beforeLines="50" w:line="300" w:lineRule="auto"/>
        <w:jc w:val="center"/>
        <w:rPr>
          <w:rFonts w:ascii="Arial" w:hAnsi="Arial" w:eastAsia="宋体" w:cs="Arial"/>
          <w:snapToGrid w:val="0"/>
          <w:sz w:val="24"/>
          <w:szCs w:val="24"/>
        </w:rPr>
      </w:pPr>
      <w:r>
        <w:rPr>
          <w:rFonts w:hint="eastAsia" w:ascii="Arial" w:hAnsi="Arial" w:eastAsia="宋体" w:cs="Arial"/>
          <w:b/>
          <w:snapToGrid w:val="0"/>
          <w:sz w:val="24"/>
          <w:szCs w:val="24"/>
        </w:rPr>
        <w:t>文档于2015年8月14日发布。</w:t>
      </w:r>
    </w:p>
    <w:p w14:paraId="40252DBE">
      <w:pPr>
        <w:topLinePunct/>
        <w:adjustRightInd w:val="0"/>
        <w:snapToGrid w:val="0"/>
        <w:spacing w:before="149" w:beforeLines="50" w:line="300" w:lineRule="auto"/>
        <w:jc w:val="center"/>
        <w:rPr>
          <w:rFonts w:ascii="Arial" w:hAnsi="Arial" w:eastAsia="宋体" w:cs="Arial"/>
          <w:b/>
          <w:snapToGrid w:val="0"/>
          <w:sz w:val="24"/>
          <w:szCs w:val="24"/>
        </w:rPr>
      </w:pPr>
    </w:p>
    <w:p w14:paraId="1CBEAA86">
      <w:pPr>
        <w:topLinePunct/>
        <w:adjustRightInd w:val="0"/>
        <w:snapToGrid w:val="0"/>
        <w:spacing w:before="149" w:beforeLines="50" w:line="300" w:lineRule="auto"/>
        <w:jc w:val="center"/>
        <w:rPr>
          <w:rFonts w:ascii="Arial" w:hAnsi="Arial" w:eastAsia="宋体" w:cs="Arial"/>
          <w:b/>
          <w:snapToGrid w:val="0"/>
          <w:sz w:val="24"/>
          <w:szCs w:val="24"/>
        </w:rPr>
      </w:pPr>
      <w:r>
        <w:rPr>
          <w:rFonts w:hint="eastAsia" w:ascii="Arial" w:hAnsi="Arial" w:eastAsia="宋体" w:cs="Arial"/>
          <w:b/>
          <w:snapToGrid w:val="0"/>
          <w:sz w:val="24"/>
          <w:szCs w:val="24"/>
        </w:rPr>
        <w:t>本文档将更新并取代2015年7月1日发布的指南</w:t>
      </w:r>
      <w:r>
        <w:rPr>
          <w:rFonts w:hint="eastAsia" w:ascii="宋体" w:hAnsi="宋体" w:eastAsia="宋体" w:cs="Arial"/>
          <w:b/>
          <w:snapToGrid w:val="0"/>
          <w:sz w:val="24"/>
          <w:szCs w:val="24"/>
        </w:rPr>
        <w:t>“</w:t>
      </w:r>
      <w:r>
        <w:rPr>
          <w:rFonts w:hint="eastAsia" w:ascii="Arial" w:hAnsi="Arial" w:eastAsia="宋体" w:cs="Arial"/>
          <w:b/>
          <w:snapToGrid w:val="0"/>
          <w:sz w:val="24"/>
          <w:szCs w:val="24"/>
        </w:rPr>
        <w:t>旨在豁免某些未分类、II类和I类保留医疗器械的上市前通知要求</w:t>
      </w:r>
      <w:r>
        <w:rPr>
          <w:rFonts w:hint="eastAsia" w:ascii="宋体" w:hAnsi="宋体" w:eastAsia="宋体" w:cs="Arial"/>
          <w:b/>
          <w:snapToGrid w:val="0"/>
          <w:sz w:val="24"/>
          <w:szCs w:val="24"/>
        </w:rPr>
        <w:t>”</w:t>
      </w:r>
      <w:r>
        <w:rPr>
          <w:rFonts w:hint="eastAsia" w:ascii="Arial" w:hAnsi="Arial" w:eastAsia="宋体" w:cs="Arial"/>
          <w:b/>
          <w:snapToGrid w:val="0"/>
          <w:sz w:val="24"/>
          <w:szCs w:val="24"/>
        </w:rPr>
        <w:t>。</w:t>
      </w:r>
    </w:p>
    <w:p w14:paraId="1382D965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</w:p>
    <w:p w14:paraId="32044B07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</w:p>
    <w:p w14:paraId="57F3D233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针对本文档的问题，请致电联系Angela Krueger，电话：301-796-6380，或发送电子邮件至</w:t>
      </w:r>
      <w:r>
        <w:fldChar w:fldCharType="begin"/>
      </w:r>
      <w:r>
        <w:instrText xml:space="preserve"> HYPERLINK "mailto:angela.krueger@fda.hhs.gov" \h </w:instrText>
      </w:r>
      <w:r>
        <w:fldChar w:fldCharType="separate"/>
      </w:r>
      <w:r>
        <w:rPr>
          <w:rFonts w:hint="eastAsia" w:ascii="Arial" w:hAnsi="Arial" w:cs="Arial"/>
          <w:snapToGrid w:val="0"/>
        </w:rPr>
        <w:t>angela.krueger@fda.hhs.gov。</w:t>
      </w:r>
      <w:r>
        <w:rPr>
          <w:rFonts w:hint="eastAsia" w:ascii="Arial" w:hAnsi="Arial" w:cs="Arial"/>
          <w:snapToGrid w:val="0"/>
        </w:rPr>
        <w:fldChar w:fldCharType="end"/>
      </w:r>
    </w:p>
    <w:p w14:paraId="176D7789">
      <w:pPr>
        <w:topLinePunct/>
        <w:adjustRightInd w:val="0"/>
        <w:snapToGrid w:val="0"/>
        <w:spacing w:before="149" w:beforeLines="50" w:line="300" w:lineRule="auto"/>
        <w:jc w:val="both"/>
        <w:rPr>
          <w:rFonts w:ascii="Arial" w:hAnsi="Arial" w:eastAsia="宋体" w:cs="Arial"/>
          <w:snapToGrid w:val="0"/>
          <w:sz w:val="24"/>
          <w:szCs w:val="24"/>
        </w:rPr>
      </w:pPr>
    </w:p>
    <w:p w14:paraId="4AC6E945">
      <w:pPr>
        <w:topLinePunct/>
        <w:adjustRightInd w:val="0"/>
        <w:snapToGrid w:val="0"/>
        <w:spacing w:before="149" w:beforeLines="50" w:line="300" w:lineRule="auto"/>
        <w:jc w:val="both"/>
        <w:rPr>
          <w:rFonts w:ascii="Arial" w:hAnsi="Arial" w:eastAsia="宋体" w:cs="Arial"/>
          <w:snapToGrid w:val="0"/>
          <w:sz w:val="24"/>
          <w:szCs w:val="24"/>
        </w:rPr>
      </w:pPr>
    </w:p>
    <w:p w14:paraId="3363F2F0">
      <w:pPr>
        <w:topLinePunct/>
        <w:adjustRightInd w:val="0"/>
        <w:snapToGrid w:val="0"/>
        <w:spacing w:before="149" w:beforeLines="50" w:line="300" w:lineRule="auto"/>
        <w:jc w:val="both"/>
        <w:rPr>
          <w:rFonts w:ascii="Arial" w:hAnsi="Arial" w:eastAsia="宋体" w:cs="Arial"/>
          <w:snapToGrid w:val="0"/>
          <w:sz w:val="24"/>
          <w:szCs w:val="24"/>
        </w:rPr>
      </w:pPr>
    </w:p>
    <w:p w14:paraId="46DE9426">
      <w:pPr>
        <w:topLinePunct/>
        <w:adjustRightInd w:val="0"/>
        <w:snapToGrid w:val="0"/>
        <w:spacing w:before="149" w:beforeLines="50" w:line="300" w:lineRule="auto"/>
        <w:jc w:val="both"/>
        <w:rPr>
          <w:rFonts w:ascii="Arial" w:hAnsi="Arial" w:eastAsia="宋体" w:cs="Arial"/>
          <w:snapToGrid w:val="0"/>
          <w:sz w:val="24"/>
          <w:szCs w:val="24"/>
        </w:rPr>
      </w:pPr>
    </w:p>
    <w:p w14:paraId="14B43BDE">
      <w:pPr>
        <w:topLinePunct/>
        <w:adjustRightInd w:val="0"/>
        <w:snapToGrid w:val="0"/>
        <w:spacing w:before="149" w:beforeLines="50" w:line="300" w:lineRule="auto"/>
        <w:jc w:val="both"/>
        <w:rPr>
          <w:rFonts w:ascii="Arial" w:hAnsi="Arial" w:eastAsia="宋体" w:cs="Arial"/>
          <w:snapToGrid w:val="0"/>
          <w:sz w:val="24"/>
          <w:szCs w:val="24"/>
        </w:rPr>
      </w:pPr>
    </w:p>
    <w:p w14:paraId="38128971">
      <w:pPr>
        <w:topLinePunct/>
        <w:adjustRightInd w:val="0"/>
        <w:snapToGrid w:val="0"/>
        <w:spacing w:before="149" w:beforeLines="50" w:line="300" w:lineRule="auto"/>
        <w:jc w:val="both"/>
        <w:rPr>
          <w:rFonts w:ascii="Arial" w:hAnsi="Arial" w:eastAsia="宋体" w:cs="Arial"/>
          <w:snapToGrid w:val="0"/>
          <w:sz w:val="24"/>
          <w:szCs w:val="24"/>
        </w:rPr>
      </w:pPr>
    </w:p>
    <w:p w14:paraId="380C01D0">
      <w:pPr>
        <w:topLinePunct/>
        <w:adjustRightInd w:val="0"/>
        <w:snapToGrid w:val="0"/>
        <w:spacing w:line="300" w:lineRule="auto"/>
        <w:jc w:val="right"/>
        <w:rPr>
          <w:rFonts w:ascii="Arial" w:hAnsi="Arial" w:eastAsia="宋体" w:cs="Arial"/>
          <w:b/>
          <w:snapToGrid w:val="0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971550</wp:posOffset>
            </wp:positionH>
            <wp:positionV relativeFrom="paragraph">
              <wp:posOffset>40640</wp:posOffset>
            </wp:positionV>
            <wp:extent cx="914400" cy="95250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宋体" w:cs="Arial"/>
          <w:b/>
          <w:snapToGrid w:val="0"/>
          <w:sz w:val="24"/>
          <w:szCs w:val="24"/>
        </w:rPr>
        <w:t>美国卫生和人类服务署</w:t>
      </w:r>
    </w:p>
    <w:p w14:paraId="4A1A9344">
      <w:pPr>
        <w:topLinePunct/>
        <w:adjustRightInd w:val="0"/>
        <w:snapToGrid w:val="0"/>
        <w:spacing w:line="300" w:lineRule="auto"/>
        <w:jc w:val="right"/>
        <w:rPr>
          <w:rFonts w:ascii="Arial" w:hAnsi="Arial" w:eastAsia="宋体" w:cs="Arial"/>
          <w:b/>
          <w:snapToGrid w:val="0"/>
          <w:sz w:val="24"/>
          <w:szCs w:val="24"/>
        </w:rPr>
      </w:pPr>
      <w:r>
        <w:rPr>
          <w:rFonts w:hint="eastAsia" w:ascii="Arial" w:hAnsi="Arial" w:eastAsia="宋体" w:cs="Arial"/>
          <w:b/>
          <w:snapToGrid w:val="0"/>
          <w:sz w:val="24"/>
          <w:szCs w:val="24"/>
        </w:rPr>
        <w:t>食品药品监督管理局</w:t>
      </w:r>
    </w:p>
    <w:p w14:paraId="734A33BA">
      <w:pPr>
        <w:topLinePunct/>
        <w:adjustRightInd w:val="0"/>
        <w:snapToGrid w:val="0"/>
        <w:spacing w:line="300" w:lineRule="auto"/>
        <w:jc w:val="right"/>
        <w:rPr>
          <w:rFonts w:ascii="Arial" w:hAnsi="Arial" w:eastAsia="宋体" w:cs="Arial"/>
          <w:snapToGrid w:val="0"/>
          <w:sz w:val="24"/>
          <w:szCs w:val="24"/>
        </w:rPr>
      </w:pPr>
      <w:r>
        <w:rPr>
          <w:rFonts w:hint="eastAsia" w:ascii="Arial" w:hAnsi="Arial" w:eastAsia="宋体" w:cs="Arial"/>
          <w:b/>
          <w:snapToGrid w:val="0"/>
          <w:sz w:val="24"/>
          <w:szCs w:val="24"/>
        </w:rPr>
        <w:t>器械和放射卫生中心</w:t>
      </w:r>
    </w:p>
    <w:p w14:paraId="6E2D358A">
      <w:pPr>
        <w:topLinePunct/>
        <w:adjustRightInd w:val="0"/>
        <w:snapToGrid w:val="0"/>
        <w:spacing w:line="300" w:lineRule="auto"/>
        <w:jc w:val="right"/>
        <w:rPr>
          <w:rFonts w:ascii="Arial" w:hAnsi="Arial" w:eastAsia="宋体" w:cs="Arial"/>
          <w:snapToGrid w:val="0"/>
          <w:sz w:val="24"/>
          <w:szCs w:val="24"/>
        </w:rPr>
      </w:pPr>
      <w:r>
        <w:rPr>
          <w:rFonts w:hint="eastAsia" w:ascii="Arial" w:hAnsi="Arial" w:eastAsia="宋体" w:cs="Arial"/>
          <w:b/>
          <w:snapToGrid w:val="0"/>
          <w:sz w:val="24"/>
          <w:szCs w:val="24"/>
        </w:rPr>
        <w:t>器械评价办公室</w:t>
      </w:r>
    </w:p>
    <w:p w14:paraId="471FD7B8">
      <w:pPr>
        <w:topLinePunct/>
        <w:adjustRightInd w:val="0"/>
        <w:snapToGrid w:val="0"/>
        <w:spacing w:before="149" w:beforeLines="50" w:line="300" w:lineRule="auto"/>
        <w:jc w:val="both"/>
        <w:rPr>
          <w:rFonts w:ascii="Arial" w:hAnsi="Arial" w:eastAsia="宋体" w:cs="Arial"/>
          <w:b/>
          <w:bCs/>
          <w:snapToGrid w:val="0"/>
          <w:sz w:val="24"/>
          <w:szCs w:val="24"/>
        </w:rPr>
      </w:pPr>
      <w:r>
        <w:rPr>
          <w:rFonts w:ascii="Arial" w:hAnsi="Arial" w:eastAsia="宋体" w:cs="Arial"/>
          <w:snapToGrid w:val="0"/>
          <w:sz w:val="24"/>
          <w:szCs w:val="24"/>
        </w:rPr>
        <w:br w:type="page"/>
      </w:r>
    </w:p>
    <w:p w14:paraId="286A7638">
      <w:pPr>
        <w:topLinePunct/>
        <w:adjustRightInd w:val="0"/>
        <w:snapToGrid w:val="0"/>
        <w:spacing w:before="149" w:beforeLines="50" w:line="300" w:lineRule="auto"/>
        <w:jc w:val="center"/>
        <w:rPr>
          <w:rFonts w:ascii="Arial" w:hAnsi="Arial" w:eastAsia="宋体" w:cs="Arial"/>
          <w:snapToGrid w:val="0"/>
          <w:sz w:val="44"/>
          <w:szCs w:val="48"/>
        </w:rPr>
      </w:pPr>
      <w:r>
        <w:rPr>
          <w:rFonts w:hint="eastAsia" w:ascii="Arial" w:hAnsi="Arial" w:eastAsia="宋体" w:cs="Arial"/>
          <w:b/>
          <w:snapToGrid w:val="0"/>
          <w:sz w:val="44"/>
          <w:szCs w:val="48"/>
        </w:rPr>
        <w:t>引言</w:t>
      </w:r>
    </w:p>
    <w:p w14:paraId="040D246B">
      <w:pPr>
        <w:topLinePunct/>
        <w:adjustRightInd w:val="0"/>
        <w:snapToGrid w:val="0"/>
        <w:spacing w:before="149" w:beforeLines="50" w:line="300" w:lineRule="auto"/>
        <w:jc w:val="both"/>
        <w:rPr>
          <w:rFonts w:ascii="Arial" w:hAnsi="Arial" w:eastAsia="宋体" w:cs="Arial"/>
          <w:snapToGrid w:val="0"/>
          <w:sz w:val="32"/>
          <w:szCs w:val="32"/>
        </w:rPr>
      </w:pPr>
      <w:r>
        <w:rPr>
          <w:rFonts w:hint="eastAsia" w:ascii="Arial" w:hAnsi="Arial" w:eastAsia="宋体" w:cs="Arial"/>
          <w:b/>
          <w:snapToGrid w:val="0"/>
          <w:sz w:val="32"/>
          <w:szCs w:val="32"/>
        </w:rPr>
        <w:t>公共评论</w:t>
      </w:r>
    </w:p>
    <w:p w14:paraId="0997A3F4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为便于本机构收集评论和建议，电子评论和建议可随时提交至</w:t>
      </w:r>
      <w:r>
        <w:fldChar w:fldCharType="begin"/>
      </w:r>
      <w:r>
        <w:instrText xml:space="preserve"> HYPERLINK "http://www.regulations.gov/" \h </w:instrText>
      </w:r>
      <w:r>
        <w:fldChar w:fldCharType="separate"/>
      </w:r>
      <w:r>
        <w:rPr>
          <w:rFonts w:hint="eastAsia" w:ascii="Arial" w:hAnsi="Arial" w:cs="Arial"/>
          <w:snapToGrid w:val="0"/>
          <w:color w:val="0000FF"/>
          <w:u w:val="single" w:color="0000FF"/>
        </w:rPr>
        <w:t>http: //www.regulations.gov</w:t>
      </w:r>
      <w:r>
        <w:rPr>
          <w:rFonts w:hint="eastAsia" w:ascii="Arial" w:hAnsi="Arial" w:cs="Arial"/>
          <w:snapToGrid w:val="0"/>
          <w:color w:val="0000FF"/>
          <w:u w:val="single" w:color="0000FF"/>
        </w:rPr>
        <w:fldChar w:fldCharType="end"/>
      </w:r>
      <w:r>
        <w:rPr>
          <w:rFonts w:hint="eastAsia" w:ascii="Arial" w:hAnsi="Arial" w:cs="Arial"/>
          <w:snapToGrid w:val="0"/>
        </w:rPr>
        <w:t>。书面评论请提交至食品药品监督管理局案卷管理科，5630 Fishers Lane，Room 1061，（HFA-305），Rockville，MD 20852。请使用案卷编号FDA-2014-D-0967注明所有评论。再次进行文件修订或更新之前，本机构可能不会针对评论采取行动。</w:t>
      </w:r>
    </w:p>
    <w:p w14:paraId="01D49D3B">
      <w:pPr>
        <w:topLinePunct/>
        <w:adjustRightInd w:val="0"/>
        <w:snapToGrid w:val="0"/>
        <w:spacing w:before="149" w:beforeLines="50" w:line="300" w:lineRule="auto"/>
        <w:jc w:val="both"/>
        <w:rPr>
          <w:rFonts w:ascii="Arial" w:hAnsi="Arial" w:eastAsia="宋体" w:cs="Arial"/>
          <w:snapToGrid w:val="0"/>
          <w:sz w:val="32"/>
          <w:szCs w:val="32"/>
        </w:rPr>
      </w:pPr>
      <w:r>
        <w:rPr>
          <w:rFonts w:hint="eastAsia" w:ascii="Arial" w:hAnsi="Arial" w:eastAsia="宋体" w:cs="Arial"/>
          <w:b/>
          <w:snapToGrid w:val="0"/>
          <w:sz w:val="32"/>
          <w:szCs w:val="32"/>
        </w:rPr>
        <w:t>其他副本</w:t>
      </w:r>
    </w:p>
    <w:p w14:paraId="3205C592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其他副本可从互联网获得。您还可以向</w:t>
      </w:r>
      <w:r>
        <w:fldChar w:fldCharType="begin"/>
      </w:r>
      <w:r>
        <w:instrText xml:space="preserve"> HYPERLINK "mailto:CDRH-Guidance@fda.hhs.gov" \h </w:instrText>
      </w:r>
      <w:r>
        <w:fldChar w:fldCharType="separate"/>
      </w:r>
      <w:r>
        <w:fldChar w:fldCharType="end"/>
      </w:r>
      <w:r>
        <w:rPr>
          <w:rFonts w:hint="eastAsia" w:ascii="Arial" w:hAnsi="Arial" w:cs="Arial"/>
          <w:snapToGrid w:val="0"/>
          <w:color w:val="0000FF"/>
          <w:u w:val="single" w:color="0000FF"/>
        </w:rPr>
        <w:t>CDRH-Guidance@fda.hhs.gov</w:t>
      </w:r>
      <w:r>
        <w:fldChar w:fldCharType="begin"/>
      </w:r>
      <w:r>
        <w:instrText xml:space="preserve"> HYPERLINK "mailto:CDRH-Guidance@fda.hhs.gov" \h </w:instrText>
      </w:r>
      <w:r>
        <w:fldChar w:fldCharType="separate"/>
      </w:r>
      <w:r>
        <w:fldChar w:fldCharType="end"/>
      </w:r>
      <w:r>
        <w:rPr>
          <w:rFonts w:hint="eastAsia" w:ascii="Arial" w:hAnsi="Arial" w:cs="Arial"/>
          <w:snapToGrid w:val="0"/>
        </w:rPr>
        <w:t>发送电子邮件请求，以接收本指南副本。</w:t>
      </w:r>
      <w:r>
        <w:fldChar w:fldCharType="begin"/>
      </w:r>
      <w:r>
        <w:instrText xml:space="preserve"> HYPERLINK "mailto:CDRH-Guidance@fda.hhs.gov" \h </w:instrText>
      </w:r>
      <w:r>
        <w:fldChar w:fldCharType="separate"/>
      </w:r>
      <w:r>
        <w:rPr>
          <w:rFonts w:hint="eastAsia" w:ascii="Arial" w:hAnsi="Arial" w:cs="Arial"/>
          <w:snapToGrid w:val="0"/>
        </w:rPr>
        <w:t>请使用文档编号</w:t>
      </w:r>
      <w:r>
        <w:rPr>
          <w:rFonts w:hint="eastAsia" w:ascii="Arial" w:hAnsi="Arial" w:cs="Arial"/>
          <w:snapToGrid w:val="0"/>
        </w:rPr>
        <w:fldChar w:fldCharType="end"/>
      </w:r>
      <w:r>
        <w:rPr>
          <w:rFonts w:hint="eastAsia" w:ascii="Arial" w:hAnsi="Arial" w:cs="Arial"/>
          <w:snapToGrid w:val="0"/>
        </w:rPr>
        <w:t>1300046来注明贵公司所要求获得的指南。</w:t>
      </w:r>
    </w:p>
    <w:p w14:paraId="75B834AF">
      <w:pPr>
        <w:topLinePunct/>
        <w:adjustRightInd w:val="0"/>
        <w:snapToGrid w:val="0"/>
        <w:spacing w:before="149" w:beforeLines="50" w:line="300" w:lineRule="auto"/>
        <w:jc w:val="both"/>
        <w:rPr>
          <w:rFonts w:ascii="Arial" w:hAnsi="Arial" w:eastAsia="宋体" w:cs="Arial"/>
          <w:snapToGrid w:val="0"/>
          <w:sz w:val="24"/>
          <w:szCs w:val="24"/>
        </w:rPr>
      </w:pPr>
      <w:r>
        <w:rPr>
          <w:rFonts w:ascii="Arial" w:hAnsi="Arial" w:eastAsia="宋体" w:cs="Arial"/>
          <w:snapToGrid w:val="0"/>
          <w:sz w:val="24"/>
          <w:szCs w:val="24"/>
        </w:rPr>
        <w:br w:type="page"/>
      </w:r>
    </w:p>
    <w:p w14:paraId="21A84376">
      <w:pPr>
        <w:topLinePunct/>
        <w:adjustRightInd w:val="0"/>
        <w:snapToGrid w:val="0"/>
        <w:spacing w:before="149" w:beforeLines="50" w:line="300" w:lineRule="auto"/>
        <w:jc w:val="center"/>
        <w:rPr>
          <w:rFonts w:ascii="Arial" w:hAnsi="Arial" w:eastAsia="宋体" w:cs="Arial"/>
          <w:b/>
          <w:snapToGrid w:val="0"/>
          <w:sz w:val="32"/>
          <w:szCs w:val="24"/>
        </w:rPr>
      </w:pPr>
      <w:r>
        <w:rPr>
          <w:rFonts w:hint="eastAsia" w:ascii="Arial" w:hAnsi="Arial" w:eastAsia="宋体" w:cs="Arial"/>
          <w:b/>
          <w:snapToGrid w:val="0"/>
          <w:sz w:val="32"/>
          <w:szCs w:val="24"/>
        </w:rPr>
        <w:t>目录</w:t>
      </w:r>
    </w:p>
    <w:p w14:paraId="5DAB97B2">
      <w:pPr>
        <w:topLinePunct/>
        <w:adjustRightInd w:val="0"/>
        <w:snapToGrid w:val="0"/>
        <w:spacing w:before="149" w:beforeLines="50" w:line="300" w:lineRule="auto"/>
        <w:jc w:val="center"/>
        <w:rPr>
          <w:rFonts w:ascii="Arial" w:hAnsi="Arial" w:eastAsia="宋体" w:cs="Arial"/>
          <w:snapToGrid w:val="0"/>
          <w:sz w:val="32"/>
          <w:szCs w:val="24"/>
        </w:rPr>
      </w:pPr>
    </w:p>
    <w:p w14:paraId="7FCA7270">
      <w:pPr>
        <w:pStyle w:val="8"/>
        <w:tabs>
          <w:tab w:val="right" w:leader="dot" w:pos="9016"/>
        </w:tabs>
        <w:snapToGrid w:val="0"/>
        <w:spacing w:before="0" w:line="300" w:lineRule="auto"/>
        <w:ind w:hanging="820"/>
        <w:rPr>
          <w:rFonts w:ascii="Arial" w:hAnsi="Arial" w:cs="Arial" w:eastAsiaTheme="minorEastAsia"/>
          <w:kern w:val="2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fldChar w:fldCharType="begin"/>
      </w:r>
      <w:r>
        <w:rPr>
          <w:rFonts w:ascii="Arial" w:hAnsi="Arial" w:cs="Arial"/>
          <w:snapToGrid w:val="0"/>
          <w:sz w:val="24"/>
          <w:szCs w:val="24"/>
        </w:rPr>
        <w:instrText xml:space="preserve"> TOC \o "1-3" \h \z \u </w:instrText>
      </w:r>
      <w:r>
        <w:rPr>
          <w:rFonts w:ascii="Arial" w:hAnsi="Arial" w:cs="Arial"/>
          <w:snapToGrid w:val="0"/>
          <w:sz w:val="24"/>
          <w:szCs w:val="24"/>
        </w:rPr>
        <w:fldChar w:fldCharType="separate"/>
      </w:r>
      <w:r>
        <w:rPr>
          <w:rStyle w:val="13"/>
          <w:rFonts w:ascii="Arial" w:hAnsi="Arial" w:cs="Arial"/>
          <w:sz w:val="24"/>
          <w:szCs w:val="24"/>
        </w:rPr>
        <w:fldChar w:fldCharType="begin"/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/>
          <w:sz w:val="24"/>
          <w:szCs w:val="24"/>
        </w:rPr>
        <w:instrText xml:space="preserve">HYPERLINK \l "_Toc499626623"</w:instrText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Style w:val="13"/>
          <w:rFonts w:ascii="Arial" w:hAnsi="Arial" w:cs="Arial"/>
          <w:sz w:val="24"/>
          <w:szCs w:val="24"/>
        </w:rPr>
        <w:fldChar w:fldCharType="separate"/>
      </w:r>
      <w:r>
        <w:rPr>
          <w:rStyle w:val="13"/>
          <w:rFonts w:ascii="Arial" w:hAnsi="Arial" w:eastAsia="Times New Roman" w:cs="Arial"/>
          <w:snapToGrid w:val="0"/>
          <w:spacing w:val="-6"/>
          <w:sz w:val="24"/>
          <w:szCs w:val="24"/>
        </w:rPr>
        <w:t>I.</w:t>
      </w:r>
      <w:r>
        <w:rPr>
          <w:rFonts w:ascii="Arial" w:hAnsi="Arial" w:cs="Arial" w:eastAsiaTheme="minorEastAsia"/>
          <w:kern w:val="2"/>
          <w:sz w:val="24"/>
          <w:szCs w:val="24"/>
        </w:rPr>
        <w:tab/>
      </w:r>
      <w:r>
        <w:rPr>
          <w:rStyle w:val="13"/>
          <w:rFonts w:hint="eastAsia" w:ascii="Arial" w:hAnsi="Arial" w:cs="Arial"/>
          <w:snapToGrid w:val="0"/>
          <w:sz w:val="24"/>
          <w:szCs w:val="24"/>
        </w:rPr>
        <w:t>引言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PAGEREF _Toc499626623 \h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Style w:val="13"/>
          <w:rFonts w:ascii="Arial" w:hAnsi="Arial" w:cs="Arial"/>
          <w:sz w:val="24"/>
          <w:szCs w:val="24"/>
        </w:rPr>
        <w:fldChar w:fldCharType="end"/>
      </w:r>
    </w:p>
    <w:p w14:paraId="186161A9">
      <w:pPr>
        <w:pStyle w:val="8"/>
        <w:tabs>
          <w:tab w:val="right" w:leader="dot" w:pos="9016"/>
        </w:tabs>
        <w:snapToGrid w:val="0"/>
        <w:spacing w:before="0" w:line="300" w:lineRule="auto"/>
        <w:ind w:hanging="820"/>
        <w:rPr>
          <w:rFonts w:ascii="Arial" w:hAnsi="Arial" w:cs="Arial" w:eastAsiaTheme="minorEastAsia"/>
          <w:kern w:val="2"/>
          <w:sz w:val="24"/>
          <w:szCs w:val="24"/>
        </w:rPr>
      </w:pPr>
      <w:r>
        <w:rPr>
          <w:rStyle w:val="13"/>
          <w:rFonts w:ascii="Arial" w:hAnsi="Arial" w:cs="Arial"/>
          <w:sz w:val="24"/>
          <w:szCs w:val="24"/>
        </w:rPr>
        <w:fldChar w:fldCharType="begin"/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/>
          <w:sz w:val="24"/>
          <w:szCs w:val="24"/>
        </w:rPr>
        <w:instrText xml:space="preserve">HYPERLINK \l "_Toc499626624"</w:instrText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Style w:val="13"/>
          <w:rFonts w:ascii="Arial" w:hAnsi="Arial" w:cs="Arial"/>
          <w:sz w:val="24"/>
          <w:szCs w:val="24"/>
        </w:rPr>
        <w:fldChar w:fldCharType="separate"/>
      </w:r>
      <w:r>
        <w:rPr>
          <w:rStyle w:val="13"/>
          <w:rFonts w:ascii="Arial" w:hAnsi="Arial" w:eastAsia="Times New Roman" w:cs="Arial"/>
          <w:snapToGrid w:val="0"/>
          <w:spacing w:val="-6"/>
          <w:sz w:val="24"/>
          <w:szCs w:val="24"/>
        </w:rPr>
        <w:t>II.</w:t>
      </w:r>
      <w:r>
        <w:rPr>
          <w:rFonts w:ascii="Arial" w:hAnsi="Arial" w:cs="Arial" w:eastAsiaTheme="minorEastAsia"/>
          <w:kern w:val="2"/>
          <w:sz w:val="24"/>
          <w:szCs w:val="24"/>
        </w:rPr>
        <w:tab/>
      </w:r>
      <w:r>
        <w:rPr>
          <w:rStyle w:val="13"/>
          <w:rFonts w:hint="eastAsia" w:ascii="Arial" w:hAnsi="Arial" w:cs="Arial"/>
          <w:snapToGrid w:val="0"/>
          <w:sz w:val="24"/>
          <w:szCs w:val="24"/>
        </w:rPr>
        <w:t>背景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PAGEREF _Toc499626624 \h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Style w:val="13"/>
          <w:rFonts w:ascii="Arial" w:hAnsi="Arial" w:cs="Arial"/>
          <w:sz w:val="24"/>
          <w:szCs w:val="24"/>
        </w:rPr>
        <w:fldChar w:fldCharType="end"/>
      </w:r>
    </w:p>
    <w:p w14:paraId="71CCD995">
      <w:pPr>
        <w:pStyle w:val="8"/>
        <w:tabs>
          <w:tab w:val="right" w:leader="dot" w:pos="9016"/>
        </w:tabs>
        <w:snapToGrid w:val="0"/>
        <w:spacing w:before="0" w:line="300" w:lineRule="auto"/>
        <w:ind w:hanging="820"/>
        <w:rPr>
          <w:rFonts w:ascii="Arial" w:hAnsi="Arial" w:cs="Arial" w:eastAsiaTheme="minorEastAsia"/>
          <w:kern w:val="2"/>
          <w:sz w:val="24"/>
          <w:szCs w:val="24"/>
        </w:rPr>
      </w:pPr>
      <w:r>
        <w:rPr>
          <w:rStyle w:val="13"/>
          <w:rFonts w:ascii="Arial" w:hAnsi="Arial" w:cs="Arial"/>
          <w:sz w:val="24"/>
          <w:szCs w:val="24"/>
        </w:rPr>
        <w:fldChar w:fldCharType="begin"/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/>
          <w:sz w:val="24"/>
          <w:szCs w:val="24"/>
        </w:rPr>
        <w:instrText xml:space="preserve">HYPERLINK \l "_Toc499626625"</w:instrText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Style w:val="13"/>
          <w:rFonts w:ascii="Arial" w:hAnsi="Arial" w:cs="Arial"/>
          <w:sz w:val="24"/>
          <w:szCs w:val="24"/>
        </w:rPr>
        <w:fldChar w:fldCharType="separate"/>
      </w:r>
      <w:r>
        <w:rPr>
          <w:rStyle w:val="13"/>
          <w:rFonts w:ascii="Arial" w:hAnsi="Arial" w:eastAsia="Times New Roman" w:cs="Arial"/>
          <w:snapToGrid w:val="0"/>
          <w:spacing w:val="-6"/>
          <w:sz w:val="24"/>
          <w:szCs w:val="24"/>
        </w:rPr>
        <w:t>III.</w:t>
      </w:r>
      <w:r>
        <w:rPr>
          <w:rFonts w:ascii="Arial" w:hAnsi="Arial" w:cs="Arial" w:eastAsiaTheme="minorEastAsia"/>
          <w:kern w:val="2"/>
          <w:sz w:val="24"/>
          <w:szCs w:val="24"/>
        </w:rPr>
        <w:tab/>
      </w:r>
      <w:r>
        <w:rPr>
          <w:rStyle w:val="13"/>
          <w:rFonts w:hint="eastAsia" w:ascii="Arial" w:hAnsi="Arial" w:cs="Arial"/>
          <w:snapToGrid w:val="0"/>
          <w:sz w:val="24"/>
          <w:szCs w:val="24"/>
        </w:rPr>
        <w:t>范围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PAGEREF _Toc499626625 \h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Style w:val="13"/>
          <w:rFonts w:ascii="Arial" w:hAnsi="Arial" w:cs="Arial"/>
          <w:sz w:val="24"/>
          <w:szCs w:val="24"/>
        </w:rPr>
        <w:fldChar w:fldCharType="end"/>
      </w:r>
    </w:p>
    <w:p w14:paraId="6C588AA7">
      <w:pPr>
        <w:pStyle w:val="8"/>
        <w:tabs>
          <w:tab w:val="right" w:leader="dot" w:pos="9016"/>
        </w:tabs>
        <w:snapToGrid w:val="0"/>
        <w:spacing w:before="0" w:line="300" w:lineRule="auto"/>
        <w:ind w:hanging="820"/>
        <w:rPr>
          <w:rFonts w:ascii="Arial" w:hAnsi="Arial" w:cs="Arial" w:eastAsiaTheme="minorEastAsia"/>
          <w:kern w:val="2"/>
          <w:sz w:val="24"/>
          <w:szCs w:val="24"/>
        </w:rPr>
      </w:pPr>
      <w:r>
        <w:rPr>
          <w:rStyle w:val="13"/>
          <w:rFonts w:ascii="Arial" w:hAnsi="Arial" w:cs="Arial"/>
          <w:sz w:val="24"/>
          <w:szCs w:val="24"/>
        </w:rPr>
        <w:fldChar w:fldCharType="begin"/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/>
          <w:sz w:val="24"/>
          <w:szCs w:val="24"/>
        </w:rPr>
        <w:instrText xml:space="preserve">HYPERLINK \l "_Toc499626626"</w:instrText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Style w:val="13"/>
          <w:rFonts w:ascii="Arial" w:hAnsi="Arial" w:cs="Arial"/>
          <w:sz w:val="24"/>
          <w:szCs w:val="24"/>
        </w:rPr>
        <w:fldChar w:fldCharType="separate"/>
      </w:r>
      <w:r>
        <w:rPr>
          <w:rStyle w:val="13"/>
          <w:rFonts w:ascii="Arial" w:hAnsi="Arial" w:eastAsia="Times New Roman" w:cs="Arial"/>
          <w:snapToGrid w:val="0"/>
          <w:spacing w:val="-6"/>
          <w:sz w:val="24"/>
          <w:szCs w:val="24"/>
        </w:rPr>
        <w:t>IV.</w:t>
      </w:r>
      <w:r>
        <w:rPr>
          <w:rFonts w:ascii="Arial" w:hAnsi="Arial" w:cs="Arial" w:eastAsiaTheme="minorEastAsia"/>
          <w:kern w:val="2"/>
          <w:sz w:val="24"/>
          <w:szCs w:val="24"/>
        </w:rPr>
        <w:tab/>
      </w:r>
      <w:r>
        <w:rPr>
          <w:rStyle w:val="13"/>
          <w:rFonts w:ascii="Arial" w:hAnsi="Arial" w:cs="Arial"/>
          <w:snapToGrid w:val="0"/>
          <w:sz w:val="24"/>
          <w:szCs w:val="24"/>
        </w:rPr>
        <w:t>FDA</w:t>
      </w:r>
      <w:r>
        <w:rPr>
          <w:rStyle w:val="13"/>
          <w:rFonts w:hint="eastAsia" w:ascii="Arial" w:hAnsi="Arial" w:cs="Arial"/>
          <w:snapToGrid w:val="0"/>
          <w:sz w:val="24"/>
          <w:szCs w:val="24"/>
        </w:rPr>
        <w:t>旨在豁免上市前通知要求的未分类、</w:t>
      </w:r>
      <w:r>
        <w:rPr>
          <w:rStyle w:val="13"/>
          <w:rFonts w:ascii="Arial" w:hAnsi="Arial" w:cs="Arial"/>
          <w:snapToGrid w:val="0"/>
          <w:sz w:val="24"/>
          <w:szCs w:val="24"/>
        </w:rPr>
        <w:t>II</w:t>
      </w:r>
      <w:r>
        <w:rPr>
          <w:rStyle w:val="13"/>
          <w:rFonts w:hint="eastAsia" w:ascii="Arial" w:hAnsi="Arial" w:cs="Arial"/>
          <w:snapToGrid w:val="0"/>
          <w:sz w:val="24"/>
          <w:szCs w:val="24"/>
        </w:rPr>
        <w:t>类和</w:t>
      </w:r>
      <w:r>
        <w:rPr>
          <w:rStyle w:val="13"/>
          <w:rFonts w:ascii="Arial" w:hAnsi="Arial" w:cs="Arial"/>
          <w:snapToGrid w:val="0"/>
          <w:sz w:val="24"/>
          <w:szCs w:val="24"/>
        </w:rPr>
        <w:t>I</w:t>
      </w:r>
      <w:r>
        <w:rPr>
          <w:rStyle w:val="13"/>
          <w:rFonts w:hint="eastAsia" w:ascii="Arial" w:hAnsi="Arial" w:cs="Arial"/>
          <w:snapToGrid w:val="0"/>
          <w:sz w:val="24"/>
          <w:szCs w:val="24"/>
        </w:rPr>
        <w:t>类器械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PAGEREF _Toc499626626 \h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Style w:val="13"/>
          <w:rFonts w:ascii="Arial" w:hAnsi="Arial" w:cs="Arial"/>
          <w:sz w:val="24"/>
          <w:szCs w:val="24"/>
        </w:rPr>
        <w:fldChar w:fldCharType="end"/>
      </w:r>
    </w:p>
    <w:p w14:paraId="6E3045E6">
      <w:pPr>
        <w:pStyle w:val="10"/>
        <w:tabs>
          <w:tab w:val="right" w:leader="dot" w:pos="9016"/>
        </w:tabs>
        <w:snapToGrid w:val="0"/>
        <w:spacing w:before="0" w:line="300" w:lineRule="auto"/>
        <w:rPr>
          <w:rFonts w:ascii="Arial" w:hAnsi="Arial" w:cs="Arial" w:eastAsiaTheme="minorEastAsia"/>
          <w:kern w:val="2"/>
          <w:sz w:val="24"/>
          <w:szCs w:val="24"/>
        </w:rPr>
      </w:pPr>
      <w:r>
        <w:rPr>
          <w:rStyle w:val="13"/>
          <w:rFonts w:ascii="Arial" w:hAnsi="Arial" w:cs="Arial"/>
          <w:sz w:val="24"/>
          <w:szCs w:val="24"/>
        </w:rPr>
        <w:fldChar w:fldCharType="begin"/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/>
          <w:sz w:val="24"/>
          <w:szCs w:val="24"/>
        </w:rPr>
        <w:instrText xml:space="preserve">HYPERLINK \l "_Toc499626627"</w:instrText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Style w:val="13"/>
          <w:rFonts w:ascii="Arial" w:hAnsi="Arial" w:cs="Arial"/>
          <w:sz w:val="24"/>
          <w:szCs w:val="24"/>
        </w:rPr>
        <w:fldChar w:fldCharType="separate"/>
      </w:r>
      <w:r>
        <w:rPr>
          <w:rStyle w:val="13"/>
          <w:rFonts w:hint="eastAsia" w:ascii="Arial" w:hAnsi="Arial" w:cs="Arial"/>
          <w:snapToGrid w:val="0"/>
          <w:sz w:val="24"/>
          <w:szCs w:val="24"/>
          <w:u w:color="000000"/>
        </w:rPr>
        <w:t>麻醉学器械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PAGEREF _Toc499626627 \h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Style w:val="13"/>
          <w:rFonts w:ascii="Arial" w:hAnsi="Arial" w:cs="Arial"/>
          <w:sz w:val="24"/>
          <w:szCs w:val="24"/>
        </w:rPr>
        <w:fldChar w:fldCharType="end"/>
      </w:r>
    </w:p>
    <w:p w14:paraId="77FD6964">
      <w:pPr>
        <w:pStyle w:val="10"/>
        <w:tabs>
          <w:tab w:val="right" w:leader="dot" w:pos="9016"/>
        </w:tabs>
        <w:snapToGrid w:val="0"/>
        <w:spacing w:before="0" w:line="300" w:lineRule="auto"/>
        <w:rPr>
          <w:rFonts w:ascii="Arial" w:hAnsi="Arial" w:cs="Arial" w:eastAsiaTheme="minorEastAsia"/>
          <w:kern w:val="2"/>
          <w:sz w:val="24"/>
          <w:szCs w:val="24"/>
        </w:rPr>
      </w:pPr>
      <w:r>
        <w:rPr>
          <w:rStyle w:val="13"/>
          <w:rFonts w:ascii="Arial" w:hAnsi="Arial" w:cs="Arial"/>
          <w:sz w:val="24"/>
          <w:szCs w:val="24"/>
        </w:rPr>
        <w:fldChar w:fldCharType="begin"/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/>
          <w:sz w:val="24"/>
          <w:szCs w:val="24"/>
        </w:rPr>
        <w:instrText xml:space="preserve">HYPERLINK \l "_Toc499626628"</w:instrText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Style w:val="13"/>
          <w:rFonts w:ascii="Arial" w:hAnsi="Arial" w:cs="Arial"/>
          <w:sz w:val="24"/>
          <w:szCs w:val="24"/>
        </w:rPr>
        <w:fldChar w:fldCharType="separate"/>
      </w:r>
      <w:r>
        <w:rPr>
          <w:rStyle w:val="13"/>
          <w:rFonts w:hint="eastAsia" w:ascii="Arial" w:hAnsi="Arial" w:cs="Arial"/>
          <w:snapToGrid w:val="0"/>
          <w:sz w:val="24"/>
          <w:szCs w:val="24"/>
          <w:u w:color="000000"/>
        </w:rPr>
        <w:t>心血管器械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PAGEREF _Toc499626628 \h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Style w:val="13"/>
          <w:rFonts w:ascii="Arial" w:hAnsi="Arial" w:cs="Arial"/>
          <w:sz w:val="24"/>
          <w:szCs w:val="24"/>
        </w:rPr>
        <w:fldChar w:fldCharType="end"/>
      </w:r>
    </w:p>
    <w:p w14:paraId="171A3ECD">
      <w:pPr>
        <w:pStyle w:val="10"/>
        <w:tabs>
          <w:tab w:val="right" w:leader="dot" w:pos="9016"/>
        </w:tabs>
        <w:snapToGrid w:val="0"/>
        <w:spacing w:before="0" w:line="300" w:lineRule="auto"/>
        <w:rPr>
          <w:rFonts w:ascii="Arial" w:hAnsi="Arial" w:cs="Arial" w:eastAsiaTheme="minorEastAsia"/>
          <w:kern w:val="2"/>
          <w:sz w:val="24"/>
          <w:szCs w:val="24"/>
        </w:rPr>
      </w:pPr>
      <w:r>
        <w:rPr>
          <w:rStyle w:val="13"/>
          <w:rFonts w:ascii="Arial" w:hAnsi="Arial" w:cs="Arial"/>
          <w:sz w:val="24"/>
          <w:szCs w:val="24"/>
        </w:rPr>
        <w:fldChar w:fldCharType="begin"/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/>
          <w:sz w:val="24"/>
          <w:szCs w:val="24"/>
        </w:rPr>
        <w:instrText xml:space="preserve">HYPERLINK \l "_Toc499626629"</w:instrText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Style w:val="13"/>
          <w:rFonts w:ascii="Arial" w:hAnsi="Arial" w:cs="Arial"/>
          <w:sz w:val="24"/>
          <w:szCs w:val="24"/>
        </w:rPr>
        <w:fldChar w:fldCharType="separate"/>
      </w:r>
      <w:r>
        <w:rPr>
          <w:rStyle w:val="13"/>
          <w:rFonts w:hint="eastAsia" w:ascii="Arial" w:hAnsi="Arial" w:cs="Arial"/>
          <w:snapToGrid w:val="0"/>
          <w:sz w:val="24"/>
          <w:szCs w:val="24"/>
          <w:u w:color="000000"/>
        </w:rPr>
        <w:t>牙科器械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PAGEREF _Toc499626629 \h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Style w:val="13"/>
          <w:rFonts w:ascii="Arial" w:hAnsi="Arial" w:cs="Arial"/>
          <w:sz w:val="24"/>
          <w:szCs w:val="24"/>
        </w:rPr>
        <w:fldChar w:fldCharType="end"/>
      </w:r>
    </w:p>
    <w:p w14:paraId="44A25A5A">
      <w:pPr>
        <w:pStyle w:val="10"/>
        <w:tabs>
          <w:tab w:val="right" w:leader="dot" w:pos="9016"/>
        </w:tabs>
        <w:snapToGrid w:val="0"/>
        <w:spacing w:before="0" w:line="300" w:lineRule="auto"/>
        <w:rPr>
          <w:rFonts w:ascii="Arial" w:hAnsi="Arial" w:cs="Arial" w:eastAsiaTheme="minorEastAsia"/>
          <w:kern w:val="2"/>
          <w:sz w:val="24"/>
          <w:szCs w:val="24"/>
        </w:rPr>
      </w:pPr>
      <w:r>
        <w:rPr>
          <w:rStyle w:val="13"/>
          <w:rFonts w:ascii="Arial" w:hAnsi="Arial" w:cs="Arial"/>
          <w:sz w:val="24"/>
          <w:szCs w:val="24"/>
        </w:rPr>
        <w:fldChar w:fldCharType="begin"/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/>
          <w:sz w:val="24"/>
          <w:szCs w:val="24"/>
        </w:rPr>
        <w:instrText xml:space="preserve">HYPERLINK \l "_Toc499626630"</w:instrText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Style w:val="13"/>
          <w:rFonts w:ascii="Arial" w:hAnsi="Arial" w:cs="Arial"/>
          <w:sz w:val="24"/>
          <w:szCs w:val="24"/>
        </w:rPr>
        <w:fldChar w:fldCharType="separate"/>
      </w:r>
      <w:r>
        <w:rPr>
          <w:rStyle w:val="13"/>
          <w:rFonts w:hint="eastAsia" w:ascii="Arial" w:hAnsi="Arial" w:cs="Arial"/>
          <w:snapToGrid w:val="0"/>
          <w:sz w:val="24"/>
          <w:szCs w:val="24"/>
          <w:u w:color="000000"/>
        </w:rPr>
        <w:t>耳鼻喉器械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PAGEREF _Toc499626630 \h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Style w:val="13"/>
          <w:rFonts w:ascii="Arial" w:hAnsi="Arial" w:cs="Arial"/>
          <w:sz w:val="24"/>
          <w:szCs w:val="24"/>
        </w:rPr>
        <w:fldChar w:fldCharType="end"/>
      </w:r>
    </w:p>
    <w:p w14:paraId="7D769C13">
      <w:pPr>
        <w:pStyle w:val="10"/>
        <w:tabs>
          <w:tab w:val="right" w:leader="dot" w:pos="9016"/>
        </w:tabs>
        <w:snapToGrid w:val="0"/>
        <w:spacing w:before="0" w:line="300" w:lineRule="auto"/>
        <w:rPr>
          <w:rFonts w:ascii="Arial" w:hAnsi="Arial" w:cs="Arial" w:eastAsiaTheme="minorEastAsia"/>
          <w:kern w:val="2"/>
          <w:sz w:val="24"/>
          <w:szCs w:val="24"/>
        </w:rPr>
      </w:pPr>
      <w:r>
        <w:rPr>
          <w:rStyle w:val="13"/>
          <w:rFonts w:ascii="Arial" w:hAnsi="Arial" w:cs="Arial"/>
          <w:sz w:val="24"/>
          <w:szCs w:val="24"/>
        </w:rPr>
        <w:fldChar w:fldCharType="begin"/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/>
          <w:sz w:val="24"/>
          <w:szCs w:val="24"/>
        </w:rPr>
        <w:instrText xml:space="preserve">HYPERLINK \l "_Toc499626631"</w:instrText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Style w:val="13"/>
          <w:rFonts w:ascii="Arial" w:hAnsi="Arial" w:cs="Arial"/>
          <w:sz w:val="24"/>
          <w:szCs w:val="24"/>
        </w:rPr>
        <w:fldChar w:fldCharType="separate"/>
      </w:r>
      <w:r>
        <w:rPr>
          <w:rStyle w:val="13"/>
          <w:rFonts w:hint="eastAsia" w:ascii="Arial" w:hAnsi="Arial" w:cs="Arial"/>
          <w:snapToGrid w:val="0"/>
          <w:sz w:val="24"/>
          <w:szCs w:val="24"/>
          <w:u w:color="000000"/>
        </w:rPr>
        <w:t>肠胃病学及泌尿学器械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PAGEREF _Toc499626631 \h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Style w:val="13"/>
          <w:rFonts w:ascii="Arial" w:hAnsi="Arial" w:cs="Arial"/>
          <w:sz w:val="24"/>
          <w:szCs w:val="24"/>
        </w:rPr>
        <w:fldChar w:fldCharType="end"/>
      </w:r>
    </w:p>
    <w:p w14:paraId="7BF22191">
      <w:pPr>
        <w:pStyle w:val="10"/>
        <w:tabs>
          <w:tab w:val="right" w:leader="dot" w:pos="9016"/>
        </w:tabs>
        <w:snapToGrid w:val="0"/>
        <w:spacing w:before="0" w:line="300" w:lineRule="auto"/>
        <w:rPr>
          <w:rFonts w:ascii="Arial" w:hAnsi="Arial" w:cs="Arial" w:eastAsiaTheme="minorEastAsia"/>
          <w:kern w:val="2"/>
          <w:sz w:val="24"/>
          <w:szCs w:val="24"/>
        </w:rPr>
      </w:pPr>
      <w:r>
        <w:rPr>
          <w:rStyle w:val="13"/>
          <w:rFonts w:ascii="Arial" w:hAnsi="Arial" w:cs="Arial"/>
          <w:sz w:val="24"/>
          <w:szCs w:val="24"/>
        </w:rPr>
        <w:fldChar w:fldCharType="begin"/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/>
          <w:sz w:val="24"/>
          <w:szCs w:val="24"/>
        </w:rPr>
        <w:instrText xml:space="preserve">HYPERLINK \l "_Toc499626632"</w:instrText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Style w:val="13"/>
          <w:rFonts w:ascii="Arial" w:hAnsi="Arial" w:cs="Arial"/>
          <w:sz w:val="24"/>
          <w:szCs w:val="24"/>
        </w:rPr>
        <w:fldChar w:fldCharType="separate"/>
      </w:r>
      <w:r>
        <w:rPr>
          <w:rStyle w:val="13"/>
          <w:rFonts w:hint="eastAsia" w:ascii="Arial" w:hAnsi="Arial" w:cs="Arial"/>
          <w:snapToGrid w:val="0"/>
          <w:sz w:val="24"/>
          <w:szCs w:val="24"/>
          <w:u w:color="000000"/>
        </w:rPr>
        <w:t>通用外科及整形外科器械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PAGEREF _Toc499626632 \h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Style w:val="13"/>
          <w:rFonts w:ascii="Arial" w:hAnsi="Arial" w:cs="Arial"/>
          <w:sz w:val="24"/>
          <w:szCs w:val="24"/>
        </w:rPr>
        <w:fldChar w:fldCharType="end"/>
      </w:r>
    </w:p>
    <w:p w14:paraId="4268DBD5">
      <w:pPr>
        <w:pStyle w:val="10"/>
        <w:tabs>
          <w:tab w:val="right" w:leader="dot" w:pos="9016"/>
        </w:tabs>
        <w:snapToGrid w:val="0"/>
        <w:spacing w:before="0" w:line="300" w:lineRule="auto"/>
        <w:rPr>
          <w:rFonts w:ascii="Arial" w:hAnsi="Arial" w:cs="Arial" w:eastAsiaTheme="minorEastAsia"/>
          <w:kern w:val="2"/>
          <w:sz w:val="24"/>
          <w:szCs w:val="24"/>
        </w:rPr>
      </w:pPr>
      <w:r>
        <w:rPr>
          <w:rStyle w:val="13"/>
          <w:rFonts w:ascii="Arial" w:hAnsi="Arial" w:cs="Arial"/>
          <w:sz w:val="24"/>
          <w:szCs w:val="24"/>
        </w:rPr>
        <w:fldChar w:fldCharType="begin"/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/>
          <w:sz w:val="24"/>
          <w:szCs w:val="24"/>
        </w:rPr>
        <w:instrText xml:space="preserve">HYPERLINK \l "_Toc499626633"</w:instrText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Style w:val="13"/>
          <w:rFonts w:ascii="Arial" w:hAnsi="Arial" w:cs="Arial"/>
          <w:sz w:val="24"/>
          <w:szCs w:val="24"/>
        </w:rPr>
        <w:fldChar w:fldCharType="separate"/>
      </w:r>
      <w:r>
        <w:rPr>
          <w:rStyle w:val="13"/>
          <w:rFonts w:hint="eastAsia" w:ascii="Arial" w:hAnsi="Arial" w:cs="Arial"/>
          <w:snapToGrid w:val="0"/>
          <w:sz w:val="24"/>
          <w:szCs w:val="24"/>
          <w:u w:color="000000"/>
        </w:rPr>
        <w:t>综合医院和个人使用器械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PAGEREF _Toc499626633 \h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Style w:val="13"/>
          <w:rFonts w:ascii="Arial" w:hAnsi="Arial" w:cs="Arial"/>
          <w:sz w:val="24"/>
          <w:szCs w:val="24"/>
        </w:rPr>
        <w:fldChar w:fldCharType="end"/>
      </w:r>
    </w:p>
    <w:p w14:paraId="7A51E501">
      <w:pPr>
        <w:pStyle w:val="10"/>
        <w:tabs>
          <w:tab w:val="right" w:leader="dot" w:pos="9016"/>
        </w:tabs>
        <w:snapToGrid w:val="0"/>
        <w:spacing w:before="0" w:line="300" w:lineRule="auto"/>
        <w:rPr>
          <w:rFonts w:ascii="Arial" w:hAnsi="Arial" w:cs="Arial" w:eastAsiaTheme="minorEastAsia"/>
          <w:kern w:val="2"/>
          <w:sz w:val="24"/>
          <w:szCs w:val="24"/>
        </w:rPr>
      </w:pPr>
      <w:r>
        <w:rPr>
          <w:rStyle w:val="13"/>
          <w:rFonts w:ascii="Arial" w:hAnsi="Arial" w:cs="Arial"/>
          <w:sz w:val="24"/>
          <w:szCs w:val="24"/>
        </w:rPr>
        <w:fldChar w:fldCharType="begin"/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/>
          <w:sz w:val="24"/>
          <w:szCs w:val="24"/>
        </w:rPr>
        <w:instrText xml:space="preserve">HYPERLINK \l "_Toc499626634"</w:instrText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Style w:val="13"/>
          <w:rFonts w:ascii="Arial" w:hAnsi="Arial" w:cs="Arial"/>
          <w:sz w:val="24"/>
          <w:szCs w:val="24"/>
        </w:rPr>
        <w:fldChar w:fldCharType="separate"/>
      </w:r>
      <w:r>
        <w:rPr>
          <w:rStyle w:val="13"/>
          <w:rFonts w:hint="eastAsia" w:ascii="Arial" w:hAnsi="Arial" w:cs="Arial"/>
          <w:snapToGrid w:val="0"/>
          <w:sz w:val="24"/>
          <w:szCs w:val="24"/>
          <w:u w:color="000000"/>
        </w:rPr>
        <w:t>神经病学器械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PAGEREF _Toc499626634 \h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Style w:val="13"/>
          <w:rFonts w:ascii="Arial" w:hAnsi="Arial" w:cs="Arial"/>
          <w:sz w:val="24"/>
          <w:szCs w:val="24"/>
        </w:rPr>
        <w:fldChar w:fldCharType="end"/>
      </w:r>
    </w:p>
    <w:p w14:paraId="37717A8F">
      <w:pPr>
        <w:pStyle w:val="10"/>
        <w:tabs>
          <w:tab w:val="right" w:leader="dot" w:pos="9016"/>
        </w:tabs>
        <w:snapToGrid w:val="0"/>
        <w:spacing w:before="0" w:line="300" w:lineRule="auto"/>
        <w:rPr>
          <w:rFonts w:ascii="Arial" w:hAnsi="Arial" w:cs="Arial" w:eastAsiaTheme="minorEastAsia"/>
          <w:kern w:val="2"/>
          <w:sz w:val="24"/>
          <w:szCs w:val="24"/>
        </w:rPr>
      </w:pPr>
      <w:r>
        <w:rPr>
          <w:rStyle w:val="13"/>
          <w:rFonts w:ascii="Arial" w:hAnsi="Arial" w:cs="Arial"/>
          <w:sz w:val="24"/>
          <w:szCs w:val="24"/>
        </w:rPr>
        <w:fldChar w:fldCharType="begin"/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/>
          <w:sz w:val="24"/>
          <w:szCs w:val="24"/>
        </w:rPr>
        <w:instrText xml:space="preserve">HYPERLINK \l "_Toc499626635"</w:instrText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Style w:val="13"/>
          <w:rFonts w:ascii="Arial" w:hAnsi="Arial" w:cs="Arial"/>
          <w:sz w:val="24"/>
          <w:szCs w:val="24"/>
        </w:rPr>
        <w:fldChar w:fldCharType="separate"/>
      </w:r>
      <w:r>
        <w:rPr>
          <w:rStyle w:val="13"/>
          <w:rFonts w:hint="eastAsia" w:ascii="Arial" w:hAnsi="Arial" w:cs="Arial"/>
          <w:snapToGrid w:val="0"/>
          <w:sz w:val="24"/>
          <w:szCs w:val="24"/>
          <w:u w:color="000000"/>
        </w:rPr>
        <w:t>产科和妇科器械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PAGEREF _Toc499626635 \h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Style w:val="13"/>
          <w:rFonts w:ascii="Arial" w:hAnsi="Arial" w:cs="Arial"/>
          <w:sz w:val="24"/>
          <w:szCs w:val="24"/>
        </w:rPr>
        <w:fldChar w:fldCharType="end"/>
      </w:r>
    </w:p>
    <w:p w14:paraId="6A497F7F">
      <w:pPr>
        <w:pStyle w:val="10"/>
        <w:tabs>
          <w:tab w:val="right" w:leader="dot" w:pos="9016"/>
        </w:tabs>
        <w:snapToGrid w:val="0"/>
        <w:spacing w:before="0" w:line="300" w:lineRule="auto"/>
        <w:rPr>
          <w:rFonts w:ascii="Arial" w:hAnsi="Arial" w:cs="Arial" w:eastAsiaTheme="minorEastAsia"/>
          <w:kern w:val="2"/>
          <w:sz w:val="24"/>
          <w:szCs w:val="24"/>
        </w:rPr>
      </w:pPr>
      <w:r>
        <w:rPr>
          <w:rStyle w:val="13"/>
          <w:rFonts w:ascii="Arial" w:hAnsi="Arial" w:cs="Arial"/>
          <w:sz w:val="24"/>
          <w:szCs w:val="24"/>
        </w:rPr>
        <w:fldChar w:fldCharType="begin"/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/>
          <w:sz w:val="24"/>
          <w:szCs w:val="24"/>
        </w:rPr>
        <w:instrText xml:space="preserve">HYPERLINK \l "_Toc499626636"</w:instrText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Style w:val="13"/>
          <w:rFonts w:ascii="Arial" w:hAnsi="Arial" w:cs="Arial"/>
          <w:sz w:val="24"/>
          <w:szCs w:val="24"/>
        </w:rPr>
        <w:fldChar w:fldCharType="separate"/>
      </w:r>
      <w:r>
        <w:rPr>
          <w:rStyle w:val="13"/>
          <w:rFonts w:hint="eastAsia" w:ascii="Arial" w:hAnsi="Arial" w:cs="Arial"/>
          <w:snapToGrid w:val="0"/>
          <w:sz w:val="24"/>
          <w:szCs w:val="24"/>
          <w:u w:color="000000"/>
        </w:rPr>
        <w:t>眼科器械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PAGEREF _Toc499626636 \h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Style w:val="13"/>
          <w:rFonts w:ascii="Arial" w:hAnsi="Arial" w:cs="Arial"/>
          <w:sz w:val="24"/>
          <w:szCs w:val="24"/>
        </w:rPr>
        <w:fldChar w:fldCharType="end"/>
      </w:r>
    </w:p>
    <w:p w14:paraId="26C07BD9">
      <w:pPr>
        <w:pStyle w:val="10"/>
        <w:tabs>
          <w:tab w:val="right" w:leader="dot" w:pos="9016"/>
        </w:tabs>
        <w:snapToGrid w:val="0"/>
        <w:spacing w:before="0" w:line="300" w:lineRule="auto"/>
        <w:rPr>
          <w:rFonts w:ascii="Arial" w:hAnsi="Arial" w:cs="Arial" w:eastAsiaTheme="minorEastAsia"/>
          <w:kern w:val="2"/>
          <w:sz w:val="24"/>
          <w:szCs w:val="24"/>
        </w:rPr>
      </w:pPr>
      <w:r>
        <w:rPr>
          <w:rStyle w:val="13"/>
          <w:rFonts w:ascii="Arial" w:hAnsi="Arial" w:cs="Arial"/>
          <w:sz w:val="24"/>
          <w:szCs w:val="24"/>
        </w:rPr>
        <w:fldChar w:fldCharType="begin"/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/>
          <w:sz w:val="24"/>
          <w:szCs w:val="24"/>
        </w:rPr>
        <w:instrText xml:space="preserve">HYPERLINK \l "_Toc499626637"</w:instrText>
      </w:r>
      <w:r>
        <w:rPr>
          <w:rStyle w:val="13"/>
          <w:rFonts w:ascii="Arial" w:hAnsi="Arial" w:cs="Arial"/>
          <w:sz w:val="24"/>
          <w:szCs w:val="24"/>
        </w:rPr>
        <w:instrText xml:space="preserve"> </w:instrText>
      </w:r>
      <w:r>
        <w:rPr>
          <w:rStyle w:val="13"/>
          <w:rFonts w:ascii="Arial" w:hAnsi="Arial" w:cs="Arial"/>
          <w:sz w:val="24"/>
          <w:szCs w:val="24"/>
        </w:rPr>
        <w:fldChar w:fldCharType="separate"/>
      </w:r>
      <w:r>
        <w:rPr>
          <w:rStyle w:val="13"/>
          <w:rFonts w:hint="eastAsia" w:ascii="Arial" w:hAnsi="Arial" w:cs="Arial"/>
          <w:snapToGrid w:val="0"/>
          <w:sz w:val="24"/>
          <w:szCs w:val="24"/>
          <w:u w:color="000000"/>
        </w:rPr>
        <w:t>物理治疗器械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PAGEREF _Toc499626637 \h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Style w:val="13"/>
          <w:rFonts w:ascii="Arial" w:hAnsi="Arial" w:cs="Arial"/>
          <w:sz w:val="24"/>
          <w:szCs w:val="24"/>
        </w:rPr>
        <w:fldChar w:fldCharType="end"/>
      </w:r>
    </w:p>
    <w:p w14:paraId="28E86D16">
      <w:pPr>
        <w:topLinePunct/>
        <w:adjustRightInd w:val="0"/>
        <w:snapToGrid w:val="0"/>
        <w:spacing w:before="149" w:beforeLines="50" w:line="300" w:lineRule="auto"/>
        <w:jc w:val="center"/>
        <w:rPr>
          <w:rFonts w:ascii="Arial" w:hAnsi="Arial" w:eastAsia="宋体" w:cs="Arial"/>
          <w:snapToGrid w:val="0"/>
          <w:sz w:val="32"/>
          <w:szCs w:val="24"/>
        </w:rPr>
      </w:pPr>
      <w:r>
        <w:rPr>
          <w:rFonts w:ascii="Arial" w:hAnsi="Arial" w:eastAsia="宋体" w:cs="Arial"/>
          <w:snapToGrid w:val="0"/>
          <w:sz w:val="24"/>
          <w:szCs w:val="24"/>
        </w:rPr>
        <w:fldChar w:fldCharType="end"/>
      </w:r>
    </w:p>
    <w:p w14:paraId="529941F9">
      <w:pPr>
        <w:pBdr>
          <w:bottom w:val="single" w:color="auto" w:sz="4" w:space="1"/>
        </w:pBdr>
        <w:topLinePunct/>
        <w:adjustRightInd w:val="0"/>
        <w:snapToGrid w:val="0"/>
        <w:spacing w:before="149" w:beforeLines="50" w:line="300" w:lineRule="auto"/>
        <w:jc w:val="center"/>
        <w:rPr>
          <w:rFonts w:ascii="Arial" w:hAnsi="Arial" w:eastAsia="宋体" w:cs="Arial"/>
          <w:b/>
          <w:snapToGrid w:val="0"/>
          <w:sz w:val="44"/>
          <w:szCs w:val="48"/>
        </w:rPr>
      </w:pPr>
      <w:r>
        <w:rPr>
          <w:rFonts w:ascii="Arial" w:hAnsi="Arial" w:eastAsia="宋体" w:cs="Arial"/>
          <w:snapToGrid w:val="0"/>
          <w:sz w:val="24"/>
          <w:szCs w:val="24"/>
        </w:rPr>
        <w:br w:type="page"/>
      </w:r>
      <w:bookmarkStart w:id="0" w:name="Introduction"/>
      <w:bookmarkEnd w:id="0"/>
      <w:r>
        <w:rPr>
          <w:rFonts w:hint="eastAsia" w:ascii="Arial" w:hAnsi="Arial" w:eastAsia="宋体" w:cs="Arial"/>
          <w:b/>
          <w:snapToGrid w:val="0"/>
          <w:sz w:val="44"/>
          <w:szCs w:val="48"/>
        </w:rPr>
        <w:t>豁免某些未分类、II类和I类保留医疗器械上市前通知要求的意图</w:t>
      </w:r>
    </w:p>
    <w:p w14:paraId="3439C726">
      <w:pPr>
        <w:topLinePunct/>
        <w:adjustRightInd w:val="0"/>
        <w:snapToGrid w:val="0"/>
        <w:spacing w:before="149" w:beforeLines="50" w:line="300" w:lineRule="auto"/>
        <w:jc w:val="center"/>
        <w:rPr>
          <w:rFonts w:ascii="Arial" w:hAnsi="Arial" w:eastAsia="宋体" w:cs="Arial"/>
          <w:b/>
          <w:snapToGrid w:val="0"/>
          <w:sz w:val="44"/>
          <w:szCs w:val="48"/>
        </w:rPr>
      </w:pPr>
      <w:r>
        <w:rPr>
          <w:rFonts w:hint="eastAsia" w:ascii="Arial" w:hAnsi="Arial" w:eastAsia="宋体" w:cs="Arial"/>
          <w:b/>
          <w:snapToGrid w:val="0"/>
          <w:sz w:val="44"/>
          <w:szCs w:val="48"/>
        </w:rPr>
        <w:t>行业和食品药品监督管理局工作人员指南</w:t>
      </w:r>
    </w:p>
    <w:p w14:paraId="48B0017C">
      <w:pPr>
        <w:topLinePunct/>
        <w:adjustRightInd w:val="0"/>
        <w:snapToGrid w:val="0"/>
        <w:spacing w:before="149" w:beforeLines="50" w:line="300" w:lineRule="auto"/>
        <w:jc w:val="center"/>
        <w:rPr>
          <w:rFonts w:ascii="Arial" w:hAnsi="Arial" w:eastAsia="宋体" w:cs="Arial"/>
          <w:snapToGrid w:val="0"/>
          <w:sz w:val="44"/>
          <w:szCs w:val="48"/>
        </w:rPr>
      </w:pPr>
    </w:p>
    <w:p w14:paraId="239049FF">
      <w:pPr>
        <w:topLinePunct/>
        <w:adjustRightInd w:val="0"/>
        <w:snapToGrid w:val="0"/>
        <w:spacing w:before="149" w:beforeLines="50" w:line="300" w:lineRule="auto"/>
        <w:jc w:val="both"/>
        <w:rPr>
          <w:rFonts w:ascii="Arial" w:hAnsi="Arial" w:eastAsia="宋体" w:cs="Arial"/>
          <w:snapToGrid w:val="0"/>
          <w:sz w:val="4"/>
          <w:szCs w:val="4"/>
        </w:rPr>
      </w:pPr>
    </w:p>
    <w:p w14:paraId="0AD12CCF">
      <w:pPr>
        <w:pBdr>
          <w:top w:val="thinThickSmallGap" w:color="auto" w:sz="24" w:space="1"/>
          <w:left w:val="thinThickSmallGap" w:color="auto" w:sz="24" w:space="4"/>
          <w:bottom w:val="thickThinSmallGap" w:color="auto" w:sz="24" w:space="1"/>
          <w:right w:val="thickThinSmallGap" w:color="auto" w:sz="24" w:space="4"/>
        </w:pBdr>
        <w:topLinePunct/>
        <w:adjustRightInd w:val="0"/>
        <w:snapToGrid w:val="0"/>
        <w:spacing w:before="149" w:beforeLines="50" w:line="300" w:lineRule="auto"/>
        <w:jc w:val="both"/>
        <w:rPr>
          <w:rFonts w:ascii="Arial" w:hAnsi="Arial" w:eastAsia="宋体" w:cs="Arial"/>
          <w:b/>
          <w:i/>
          <w:snapToGrid w:val="0"/>
          <w:sz w:val="24"/>
          <w:szCs w:val="24"/>
        </w:rPr>
      </w:pPr>
      <w:r>
        <w:rPr>
          <w:rFonts w:hint="eastAsia" w:ascii="Arial" w:hAnsi="Arial" w:eastAsia="宋体" w:cs="Arial"/>
          <w:b/>
          <w:i/>
          <w:snapToGrid w:val="0"/>
          <w:sz w:val="24"/>
          <w:szCs w:val="24"/>
        </w:rPr>
        <w:t>本指南代表食品药品监督管理局（FDA）目前关于该主题的思考。其不会为任何人创造或赋予任何权利，也不对FDA或公众具有约束力。如果替代方法满足适用的法律法规的要求，则可以使用替代方法。如果要讨论一种替代方法，请联系本指南标题页上列出的负责实施本指南的FDA工作人员。</w:t>
      </w:r>
      <w:bookmarkStart w:id="1" w:name="_bookmark0"/>
      <w:bookmarkEnd w:id="1"/>
    </w:p>
    <w:p w14:paraId="6E9AE814">
      <w:pPr>
        <w:pStyle w:val="2"/>
        <w:tabs>
          <w:tab w:val="left" w:pos="999"/>
          <w:tab w:val="left" w:pos="1000"/>
        </w:tabs>
        <w:topLinePunct/>
        <w:adjustRightInd w:val="0"/>
        <w:snapToGrid w:val="0"/>
        <w:spacing w:before="149" w:beforeLines="50" w:line="300" w:lineRule="auto"/>
        <w:ind w:left="0"/>
        <w:rPr>
          <w:rFonts w:ascii="Arial" w:hAnsi="Arial" w:cs="Arial"/>
          <w:b w:val="0"/>
          <w:bCs w:val="0"/>
          <w:snapToGrid w:val="0"/>
          <w:sz w:val="32"/>
          <w:szCs w:val="32"/>
        </w:rPr>
      </w:pPr>
    </w:p>
    <w:p w14:paraId="59185DEC">
      <w:pPr>
        <w:pStyle w:val="2"/>
        <w:numPr>
          <w:ilvl w:val="1"/>
          <w:numId w:val="1"/>
        </w:numPr>
        <w:tabs>
          <w:tab w:val="left" w:pos="820"/>
        </w:tabs>
        <w:topLinePunct/>
        <w:adjustRightInd w:val="0"/>
        <w:snapToGrid w:val="0"/>
        <w:spacing w:before="149" w:beforeLines="50" w:line="300" w:lineRule="auto"/>
        <w:ind w:left="0" w:firstLine="0"/>
        <w:jc w:val="both"/>
        <w:rPr>
          <w:rFonts w:ascii="Arial" w:hAnsi="Arial" w:cs="Arial"/>
          <w:b w:val="0"/>
          <w:bCs w:val="0"/>
          <w:snapToGrid w:val="0"/>
          <w:sz w:val="32"/>
          <w:szCs w:val="32"/>
        </w:rPr>
      </w:pPr>
      <w:bookmarkStart w:id="2" w:name="_Toc499626623"/>
      <w:r>
        <w:rPr>
          <w:rFonts w:hint="eastAsia" w:ascii="Arial" w:hAnsi="Arial" w:cs="Arial"/>
          <w:snapToGrid w:val="0"/>
          <w:sz w:val="32"/>
          <w:szCs w:val="32"/>
        </w:rPr>
        <w:t>引言</w:t>
      </w:r>
      <w:bookmarkEnd w:id="2"/>
    </w:p>
    <w:p w14:paraId="181B7E5B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本指南说明了食品药品监督管理局（FDA）旨在豁免符合联邦食品、药品和化妆品法案（FD&amp;C法案），21 USC 360（l）第510（l）条保留标准的某些未分类医疗器械、某些II类医疗器械以及某些I类医疗器械的上市前通知要求。FDA认为，本指导性文件第IV节所述器械已充分了解，且无需进行上市前通知（510（k））来确保其安全性和有效性。FDA打算根据FD&amp;C法案第510（1）和510（m）条的标准，豁免此类器械的上市前通知要求，但须符合21 CFR 868.9、21 CFR 870.9、21 CFR 872.9、21 CFR 874.9、21 CFR 876.9、21 CFR 878.9、21 CFR 880.9、21 CFR 882.9、21 CFR 884.9、21 CFR 886.9和21 CFR 890.9规定的豁免标准。联邦公报将提供有关此提议的通知。在发布最终规则或命令，宣布此类器械豁免510（k）之前，FDA不打算强制要求此类器械符合510（k）要求。在此期间，FDA不要求制造商针对此类器械提交510（k）。</w:t>
      </w:r>
    </w:p>
    <w:p w14:paraId="3020DE37">
      <w:pPr>
        <w:topLinePunct/>
        <w:adjustRightInd w:val="0"/>
        <w:snapToGrid w:val="0"/>
        <w:spacing w:before="149" w:beforeLines="50" w:line="300" w:lineRule="auto"/>
        <w:jc w:val="both"/>
        <w:rPr>
          <w:rFonts w:ascii="Arial" w:hAnsi="Arial" w:eastAsia="宋体" w:cs="Arial"/>
          <w:snapToGrid w:val="0"/>
          <w:sz w:val="24"/>
          <w:szCs w:val="24"/>
        </w:rPr>
      </w:pPr>
      <w:r>
        <w:rPr>
          <w:rFonts w:ascii="Arial" w:hAnsi="Arial" w:eastAsia="宋体" w:cs="Arial"/>
          <w:snapToGrid w:val="0"/>
          <w:sz w:val="24"/>
          <w:szCs w:val="24"/>
        </w:rPr>
        <w:br w:type="page"/>
      </w:r>
    </w:p>
    <w:p w14:paraId="6E67FD0A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bookmarkStart w:id="3" w:name="Scope"/>
      <w:bookmarkEnd w:id="3"/>
      <w:bookmarkStart w:id="4" w:name="Anesthesiology_Devices"/>
      <w:bookmarkEnd w:id="4"/>
      <w:bookmarkStart w:id="5" w:name="Background"/>
      <w:bookmarkEnd w:id="5"/>
      <w:bookmarkStart w:id="6" w:name="Unclassified,_Class_II,_and_Class_I_Devi"/>
      <w:bookmarkEnd w:id="6"/>
      <w:r>
        <w:rPr>
          <w:rFonts w:hint="eastAsia" w:ascii="Arial" w:hAnsi="Arial" w:cs="Arial"/>
          <w:snapToGrid w:val="0"/>
        </w:rPr>
        <w:t>FDA指导性文件，包括本指南在内，不构成具有法律强制力的责任。相反，指南表明了本审查机构对某一主题的最新见解，除非引用具体的法规或法律要求，否则只应视为建议。在本审查机构指南中使用词语</w:t>
      </w:r>
      <w:r>
        <w:rPr>
          <w:rFonts w:hint="eastAsia" w:ascii="宋体" w:hAnsi="宋体" w:cs="Arial"/>
          <w:snapToGrid w:val="0"/>
        </w:rPr>
        <w:t>“</w:t>
      </w:r>
      <w:r>
        <w:rPr>
          <w:rFonts w:hint="eastAsia" w:ascii="Arial" w:hAnsi="Arial" w:cs="Arial"/>
          <w:snapToGrid w:val="0"/>
        </w:rPr>
        <w:t>应</w:t>
      </w:r>
      <w:r>
        <w:rPr>
          <w:rFonts w:hint="eastAsia" w:ascii="宋体" w:hAnsi="宋体" w:cs="Arial"/>
          <w:snapToGrid w:val="0"/>
        </w:rPr>
        <w:t>”</w:t>
      </w:r>
      <w:r>
        <w:rPr>
          <w:rFonts w:hint="eastAsia" w:ascii="Arial" w:hAnsi="Arial" w:cs="Arial"/>
          <w:snapToGrid w:val="0"/>
        </w:rPr>
        <w:t>是指建议或推荐进行某一事项，并非强制要求。</w:t>
      </w:r>
    </w:p>
    <w:p w14:paraId="4E602CCF">
      <w:pPr>
        <w:pStyle w:val="2"/>
        <w:numPr>
          <w:ilvl w:val="1"/>
          <w:numId w:val="1"/>
        </w:numPr>
        <w:tabs>
          <w:tab w:val="left" w:pos="820"/>
        </w:tabs>
        <w:topLinePunct/>
        <w:adjustRightInd w:val="0"/>
        <w:snapToGrid w:val="0"/>
        <w:spacing w:before="149" w:beforeLines="50" w:line="300" w:lineRule="auto"/>
        <w:ind w:left="0" w:firstLine="0"/>
        <w:jc w:val="both"/>
        <w:rPr>
          <w:rFonts w:ascii="Arial" w:hAnsi="Arial" w:cs="Arial"/>
          <w:b w:val="0"/>
          <w:bCs w:val="0"/>
          <w:snapToGrid w:val="0"/>
          <w:sz w:val="32"/>
          <w:szCs w:val="32"/>
        </w:rPr>
      </w:pPr>
      <w:bookmarkStart w:id="7" w:name="_bookmark1"/>
      <w:bookmarkEnd w:id="7"/>
      <w:bookmarkStart w:id="8" w:name="_Toc499626624"/>
      <w:r>
        <w:rPr>
          <w:rFonts w:hint="eastAsia" w:ascii="Arial" w:hAnsi="Arial" w:cs="Arial"/>
          <w:snapToGrid w:val="0"/>
          <w:sz w:val="32"/>
          <w:szCs w:val="32"/>
        </w:rPr>
        <w:t>背景</w:t>
      </w:r>
      <w:bookmarkEnd w:id="8"/>
    </w:p>
    <w:p w14:paraId="017CD803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在为执行2012年医疗器械用户费修正案的再授权过程而起草的承诺函（性能目标和程序第1.G节）（</w:t>
      </w:r>
      <w:r>
        <w:fldChar w:fldCharType="begin"/>
      </w:r>
      <w:r>
        <w:instrText xml:space="preserve"> HYPERLINK "http://www.fda.gov/downloads/MedicalDevices/NewsEvents/WorkshopsConferences/UCM295454.pdf" \h </w:instrText>
      </w:r>
      <w:r>
        <w:fldChar w:fldCharType="separate"/>
      </w:r>
      <w:r>
        <w:rPr>
          <w:rFonts w:hint="eastAsia" w:ascii="Arial" w:hAnsi="Arial" w:cs="Arial"/>
          <w:snapToGrid w:val="0"/>
          <w:color w:val="0000FF"/>
          <w:u w:val="single" w:color="0000FF"/>
        </w:rPr>
        <w:t xml:space="preserve">http: //www.fda.gov/downloads/MedicalDevices/NewsEvents/Work shopsConferences/UCM </w:t>
      </w:r>
      <w:r>
        <w:rPr>
          <w:rFonts w:hint="eastAsia" w:ascii="Arial" w:hAnsi="Arial" w:cs="Arial"/>
          <w:snapToGrid w:val="0"/>
          <w:color w:val="0000FF"/>
          <w:u w:val="single" w:color="0000FF"/>
        </w:rPr>
        <w:fldChar w:fldCharType="end"/>
      </w:r>
      <w:r>
        <w:fldChar w:fldCharType="begin"/>
      </w:r>
      <w:r>
        <w:instrText xml:space="preserve"> HYPERLINK "http://www.fda.gov/downloads/MedicalDevices/NewsEvents/WorkshopsConferences/UCM295454.pdf" \h </w:instrText>
      </w:r>
      <w:r>
        <w:fldChar w:fldCharType="separate"/>
      </w:r>
      <w:r>
        <w:rPr>
          <w:rFonts w:hint="eastAsia" w:ascii="Arial" w:hAnsi="Arial" w:cs="Arial"/>
          <w:snapToGrid w:val="0"/>
          <w:color w:val="0000FF"/>
          <w:u w:val="single" w:color="0000FF"/>
        </w:rPr>
        <w:t>295454.pdf</w:t>
      </w:r>
      <w:r>
        <w:rPr>
          <w:rFonts w:hint="eastAsia" w:ascii="Arial" w:hAnsi="Arial" w:cs="Arial"/>
          <w:snapToGrid w:val="0"/>
          <w:color w:val="0000FF"/>
          <w:u w:val="single" w:color="0000FF"/>
        </w:rPr>
        <w:fldChar w:fldCharType="end"/>
      </w:r>
      <w:r>
        <w:rPr>
          <w:rFonts w:hint="eastAsia" w:ascii="Arial" w:hAnsi="Arial" w:cs="Arial"/>
          <w:snapToGrid w:val="0"/>
        </w:rPr>
        <w:t>）中，FDA承诺将确定低风险医疗器械，并使其豁免上市前通知要求。FDA已经确定了某些未分类医疗器械（FDA打算分类为I类或II类），某些II类医疗器械以及某些I类保留医疗器械（但不再符合FD&amp;C法案第510（1）条</w:t>
      </w:r>
      <w:r>
        <w:rPr>
          <w:rFonts w:hint="eastAsia" w:ascii="宋体" w:hAnsi="宋体" w:cs="Arial"/>
          <w:snapToGrid w:val="0"/>
        </w:rPr>
        <w:t>“</w:t>
      </w:r>
      <w:r>
        <w:rPr>
          <w:rFonts w:hint="eastAsia" w:ascii="Arial" w:hAnsi="Arial" w:cs="Arial"/>
          <w:snapToGrid w:val="0"/>
        </w:rPr>
        <w:t>保留</w:t>
      </w:r>
      <w:r>
        <w:rPr>
          <w:rFonts w:hint="eastAsia" w:ascii="宋体" w:hAnsi="宋体" w:cs="Arial"/>
          <w:snapToGrid w:val="0"/>
        </w:rPr>
        <w:t>”</w:t>
      </w:r>
      <w:r>
        <w:rPr>
          <w:rFonts w:hint="eastAsia" w:ascii="Arial" w:hAnsi="Arial" w:cs="Arial"/>
          <w:snapToGrid w:val="0"/>
        </w:rPr>
        <w:t>标准），并认为在此类器械进入市场之前，无需进行上市前通知来保证安全性和有效性。</w:t>
      </w:r>
    </w:p>
    <w:p w14:paraId="5FE1AB84">
      <w:pPr>
        <w:pStyle w:val="2"/>
        <w:numPr>
          <w:ilvl w:val="1"/>
          <w:numId w:val="1"/>
        </w:numPr>
        <w:tabs>
          <w:tab w:val="left" w:pos="820"/>
        </w:tabs>
        <w:topLinePunct/>
        <w:adjustRightInd w:val="0"/>
        <w:snapToGrid w:val="0"/>
        <w:spacing w:before="149" w:beforeLines="50" w:line="300" w:lineRule="auto"/>
        <w:ind w:left="0" w:firstLine="0"/>
        <w:jc w:val="both"/>
        <w:rPr>
          <w:rFonts w:ascii="Arial" w:hAnsi="Arial" w:cs="Arial"/>
          <w:b w:val="0"/>
          <w:bCs w:val="0"/>
          <w:snapToGrid w:val="0"/>
          <w:sz w:val="32"/>
          <w:szCs w:val="32"/>
        </w:rPr>
      </w:pPr>
      <w:bookmarkStart w:id="9" w:name="_bookmark2"/>
      <w:bookmarkEnd w:id="9"/>
      <w:bookmarkStart w:id="10" w:name="_Toc499626625"/>
      <w:r>
        <w:rPr>
          <w:rFonts w:hint="eastAsia" w:ascii="Arial" w:hAnsi="Arial" w:cs="Arial"/>
          <w:snapToGrid w:val="0"/>
          <w:sz w:val="32"/>
          <w:szCs w:val="32"/>
        </w:rPr>
        <w:t>范围</w:t>
      </w:r>
      <w:bookmarkEnd w:id="10"/>
    </w:p>
    <w:p w14:paraId="104F0669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本文档旨在说明FDA旨在豁免下文第IV节所列未分类、II类和I类保留医疗器械的上市前通知要求，但符合21 CFR 868.9、21 CFR 870.9、21 49CFR 872.9、21 CFR 874.9、21 CFR 876.9、21 CFR 878.9、21 CFR 880.9、21 CFR 882.9、21 CFR 884.9、21 CFR 886.9和21 CFR 890.9规定的豁免标准。FDA并未打算使此类器械豁免其他法律和法规要求，包括但不限于：注册和列名（21 CFR第807部分）；标示（21 CFR第801部分）；质量体系法规（21 CFR第820部分）中规定的良好制造规范要求；和医疗器械报告要求（21 CFR第803部分）。FDA并未打算豁免任何可能属于本指南所述产品代码的复合产品。此外，含有抗菌剂的单一实体产品不在本指南范围内。</w:t>
      </w:r>
    </w:p>
    <w:p w14:paraId="6B6B052A">
      <w:pPr>
        <w:pStyle w:val="2"/>
        <w:numPr>
          <w:ilvl w:val="1"/>
          <w:numId w:val="1"/>
        </w:numPr>
        <w:tabs>
          <w:tab w:val="left" w:pos="820"/>
        </w:tabs>
        <w:topLinePunct/>
        <w:adjustRightInd w:val="0"/>
        <w:snapToGrid w:val="0"/>
        <w:spacing w:before="149" w:beforeLines="50" w:line="300" w:lineRule="auto"/>
        <w:ind w:left="820" w:hanging="820"/>
        <w:jc w:val="both"/>
        <w:rPr>
          <w:rFonts w:ascii="Arial" w:hAnsi="Arial" w:cs="Arial"/>
          <w:b w:val="0"/>
          <w:bCs w:val="0"/>
          <w:snapToGrid w:val="0"/>
          <w:sz w:val="32"/>
          <w:szCs w:val="32"/>
        </w:rPr>
      </w:pPr>
      <w:bookmarkStart w:id="11" w:name="_bookmark3"/>
      <w:bookmarkEnd w:id="11"/>
      <w:bookmarkStart w:id="12" w:name="_Toc499626626"/>
      <w:r>
        <w:rPr>
          <w:rFonts w:hint="eastAsia" w:ascii="Arial" w:hAnsi="Arial" w:cs="Arial"/>
          <w:snapToGrid w:val="0"/>
          <w:sz w:val="32"/>
          <w:szCs w:val="32"/>
        </w:rPr>
        <w:t>FDA旨在豁免上市前通知要求的未分类、II类和I类器械</w:t>
      </w:r>
      <w:bookmarkEnd w:id="12"/>
    </w:p>
    <w:p w14:paraId="35726371">
      <w:pPr>
        <w:pStyle w:val="3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b w:val="0"/>
          <w:bCs w:val="0"/>
          <w:snapToGrid w:val="0"/>
          <w:u w:val="none"/>
        </w:rPr>
      </w:pPr>
      <w:bookmarkStart w:id="13" w:name="_bookmark4"/>
      <w:bookmarkEnd w:id="13"/>
      <w:bookmarkStart w:id="14" w:name="_Toc499626627"/>
      <w:r>
        <w:rPr>
          <w:rFonts w:hint="eastAsia" w:ascii="Arial" w:hAnsi="Arial" w:cs="Arial"/>
          <w:snapToGrid w:val="0"/>
          <w:u w:val="thick" w:color="000000"/>
        </w:rPr>
        <w:t>麻醉学器械</w:t>
      </w:r>
      <w:bookmarkEnd w:id="14"/>
    </w:p>
    <w:p w14:paraId="69CE710D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868.1040电动痛觉计分类的器械——FDA打算豁免以下产品代码：</w:t>
      </w:r>
    </w:p>
    <w:p w14:paraId="6C914B30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BSI——电动痛觉计</w:t>
      </w:r>
    </w:p>
    <w:p w14:paraId="7BFB31F5">
      <w:pPr>
        <w:topLinePunct/>
        <w:adjustRightInd w:val="0"/>
        <w:snapToGrid w:val="0"/>
        <w:spacing w:before="149" w:beforeLines="50" w:line="300" w:lineRule="auto"/>
        <w:jc w:val="both"/>
        <w:rPr>
          <w:rFonts w:ascii="Arial" w:hAnsi="Arial" w:eastAsia="宋体" w:cs="Arial"/>
          <w:snapToGrid w:val="0"/>
          <w:sz w:val="24"/>
          <w:szCs w:val="24"/>
        </w:rPr>
      </w:pPr>
      <w:r>
        <w:rPr>
          <w:rFonts w:ascii="Arial" w:hAnsi="Arial" w:eastAsia="宋体" w:cs="Arial"/>
          <w:snapToGrid w:val="0"/>
          <w:sz w:val="24"/>
          <w:szCs w:val="24"/>
        </w:rPr>
        <w:br w:type="page"/>
      </w:r>
    </w:p>
    <w:p w14:paraId="74908833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bookmarkStart w:id="15" w:name="Cardiovascular_Devices"/>
      <w:bookmarkEnd w:id="15"/>
      <w:r>
        <w:rPr>
          <w:rFonts w:hint="eastAsia" w:ascii="Arial" w:hAnsi="Arial" w:cs="Arial"/>
          <w:snapToGrid w:val="0"/>
        </w:rPr>
        <w:t>根据21 CFR 868.2385二氧化氮分析仪分类的器械——FDA打算豁免以下产品代码：</w:t>
      </w:r>
    </w:p>
    <w:p w14:paraId="2646E1DB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MRQ——分析仪，二氧化氮。此意图仅适用于独立器械，而不适用于一氧化氮吸入治疗期间，用于监测二氧化氮水平的一氧化氮输送系统组件。</w:t>
      </w:r>
    </w:p>
    <w:p w14:paraId="76C8DEB2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868.2500皮肤氧气（PcO2）监测器分类的器械——FDA打算豁免以下产品代码：</w:t>
      </w:r>
    </w:p>
    <w:p w14:paraId="278378DC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KLK——监测器，氧气，皮肤，适用于非气体麻醉婴儿</w:t>
      </w:r>
    </w:p>
    <w:p w14:paraId="19526E26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LPP——监测器，氧气，皮肤，适用于非气体麻醉婴儿以外的婴儿</w:t>
      </w:r>
    </w:p>
    <w:p w14:paraId="53CF3657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868.2550呼吸速度计分类的器械——FDA打算豁免以下产品代码：</w:t>
      </w:r>
    </w:p>
    <w:p w14:paraId="1EC4F4C4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JAX——呼吸流速计</w:t>
      </w:r>
    </w:p>
    <w:p w14:paraId="73A5C7F2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868.5180摇床分类的器械——FDA打算豁免以下产品代码：</w:t>
      </w:r>
    </w:p>
    <w:p w14:paraId="210A1053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CCO——床，摇摆，呼吸辅助</w:t>
      </w:r>
    </w:p>
    <w:p w14:paraId="258098F0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868.6250便携式空气压缩机分类的器械——FDA打算豁免以下产品代码：</w:t>
      </w:r>
    </w:p>
    <w:p w14:paraId="458EFB69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BTI——压缩机，空气，便携式</w:t>
      </w:r>
    </w:p>
    <w:p w14:paraId="2090CF1B">
      <w:pPr>
        <w:pStyle w:val="3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b w:val="0"/>
          <w:bCs w:val="0"/>
          <w:snapToGrid w:val="0"/>
          <w:u w:val="none"/>
        </w:rPr>
      </w:pPr>
      <w:bookmarkStart w:id="16" w:name="_bookmark5"/>
      <w:bookmarkEnd w:id="16"/>
      <w:bookmarkStart w:id="17" w:name="_Toc499626628"/>
      <w:r>
        <w:rPr>
          <w:rFonts w:hint="eastAsia" w:ascii="Arial" w:hAnsi="Arial" w:cs="Arial"/>
          <w:snapToGrid w:val="0"/>
          <w:u w:val="thick" w:color="000000"/>
        </w:rPr>
        <w:t>心血管器械</w:t>
      </w:r>
      <w:bookmarkEnd w:id="17"/>
    </w:p>
    <w:p w14:paraId="7EBE66D9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870.1390套管针分类的器械——FDA打算豁免以下产品代码：</w:t>
      </w:r>
    </w:p>
    <w:p w14:paraId="2AB739FB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DRC——套管针</w:t>
      </w:r>
    </w:p>
    <w:p w14:paraId="329C5CAF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870.1875听诊器分类的器械——FDA打算豁免以下产品代码：</w:t>
      </w:r>
    </w:p>
    <w:p w14:paraId="22CD3DBF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OCR——肺音监测器</w:t>
      </w:r>
    </w:p>
    <w:p w14:paraId="7A2C6EFC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870.2675示波计分类的器械——FDA打算豁免以下产品代码：</w:t>
      </w:r>
    </w:p>
    <w:p w14:paraId="6BE225DC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DRZ——示波计</w:t>
      </w:r>
    </w:p>
    <w:p w14:paraId="4E8548B3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870.2770阻抗脉波计分类的器械——FDA打算豁免以下产品代码：</w:t>
      </w:r>
    </w:p>
    <w:p w14:paraId="1B2BA408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MNW -分析仪，带有以下标签的主要组成部分：不适用于诊断或治疗任何医疗状况。此意图不适用于标签或预期用途建议用于特定医疗状况的器械。</w:t>
      </w:r>
    </w:p>
    <w:p w14:paraId="4871EC14">
      <w:pPr>
        <w:topLinePunct/>
        <w:adjustRightInd w:val="0"/>
        <w:snapToGrid w:val="0"/>
        <w:spacing w:before="149" w:beforeLines="50" w:line="300" w:lineRule="auto"/>
        <w:jc w:val="both"/>
        <w:rPr>
          <w:rFonts w:ascii="Arial" w:hAnsi="Arial" w:eastAsia="宋体" w:cs="Arial"/>
          <w:snapToGrid w:val="0"/>
          <w:sz w:val="24"/>
          <w:szCs w:val="24"/>
        </w:rPr>
      </w:pPr>
      <w:r>
        <w:rPr>
          <w:rFonts w:ascii="Arial" w:hAnsi="Arial" w:eastAsia="宋体" w:cs="Arial"/>
          <w:snapToGrid w:val="0"/>
          <w:sz w:val="24"/>
          <w:szCs w:val="24"/>
        </w:rPr>
        <w:br w:type="page"/>
      </w:r>
    </w:p>
    <w:p w14:paraId="342C592D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bookmarkStart w:id="18" w:name="Dental_Devices"/>
      <w:bookmarkEnd w:id="18"/>
      <w:r>
        <w:rPr>
          <w:rFonts w:hint="eastAsia" w:ascii="Arial" w:hAnsi="Arial" w:cs="Arial"/>
          <w:snapToGrid w:val="0"/>
        </w:rPr>
        <w:t>根据21 CFR 870.4290心肺旁路适配器、旋塞阀、汇流管或配件分类的器械——FDA打算豁免以下产品代码：</w:t>
      </w:r>
    </w:p>
    <w:p w14:paraId="2EFEECED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DTL——适配器、旋塞阀、汇流管、配件、心肺旁路</w:t>
      </w:r>
    </w:p>
    <w:p w14:paraId="099E06D1">
      <w:pPr>
        <w:pStyle w:val="3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b w:val="0"/>
          <w:bCs w:val="0"/>
          <w:snapToGrid w:val="0"/>
          <w:u w:val="none"/>
        </w:rPr>
      </w:pPr>
      <w:bookmarkStart w:id="19" w:name="_bookmark6"/>
      <w:bookmarkEnd w:id="19"/>
      <w:bookmarkStart w:id="20" w:name="_Toc499626629"/>
      <w:r>
        <w:rPr>
          <w:rFonts w:hint="eastAsia" w:ascii="Arial" w:hAnsi="Arial" w:cs="Arial"/>
          <w:snapToGrid w:val="0"/>
          <w:u w:val="thick" w:color="000000"/>
        </w:rPr>
        <w:t>牙科器械</w:t>
      </w:r>
      <w:bookmarkEnd w:id="20"/>
    </w:p>
    <w:p w14:paraId="3EE936EB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872.1720纸浆测试仪分类的器械——FDA打算豁免以下产品代码：</w:t>
      </w:r>
    </w:p>
    <w:p w14:paraId="5BAF0D41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EAT——测试仪，纸浆</w:t>
      </w:r>
    </w:p>
    <w:p w14:paraId="28599D70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872.3540非处方假牙垫片或垫板分类的器械——FDA打算豁免以下产品代码：</w:t>
      </w:r>
    </w:p>
    <w:p w14:paraId="3F75AD17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EHR——垫板，假牙，非处方</w:t>
      </w:r>
    </w:p>
    <w:p w14:paraId="00C7E15B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EHS——垫片，假牙，非处方</w:t>
      </w:r>
    </w:p>
    <w:p w14:paraId="2EA3C856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872.3560非处方假牙换衬器分类的器械——FDA打算豁免以下产品代码：</w:t>
      </w:r>
    </w:p>
    <w:p w14:paraId="4320148B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EBP——换衬器，假牙，非处方</w:t>
      </w:r>
    </w:p>
    <w:p w14:paraId="2782E49E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872.3590成形塑料假牙床分类的器械——FDA打算豁免以下产品代码：</w:t>
      </w:r>
    </w:p>
    <w:p w14:paraId="174D6AE0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ELM——假牙，塑料，牙床</w:t>
      </w:r>
    </w:p>
    <w:p w14:paraId="79958B41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872.3600部分组装假牙盒分类的器械——FDA打算豁免以下产品代码：</w:t>
      </w:r>
    </w:p>
    <w:p w14:paraId="18A69BB0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EKO——成形假牙（部分预组装假牙）</w:t>
      </w:r>
    </w:p>
    <w:p w14:paraId="0C117B5E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872.3890牙髓固定板分类的器械——FDA打算豁免以下产品代码：</w:t>
      </w:r>
    </w:p>
    <w:p w14:paraId="47977E43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ELS——夹板，牙髓固定</w:t>
      </w:r>
    </w:p>
    <w:p w14:paraId="60223C1A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872.4565牙科手持工具分类的器械——FDA打算豁免以下产品代码：</w:t>
      </w:r>
    </w:p>
    <w:p w14:paraId="79A22D3D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EGI——平行仪</w:t>
      </w:r>
    </w:p>
    <w:p w14:paraId="613CB441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EIB——注射器，冲洗（牙科）</w:t>
      </w:r>
    </w:p>
    <w:p w14:paraId="476F099D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872.5550牙环分类的器械——FDA打算豁免以下产品代码：</w:t>
      </w:r>
    </w:p>
    <w:p w14:paraId="3174215F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KKO——环，出牙，充液</w:t>
      </w:r>
    </w:p>
    <w:p w14:paraId="3FFC708E">
      <w:pPr>
        <w:topLinePunct/>
        <w:adjustRightInd w:val="0"/>
        <w:snapToGrid w:val="0"/>
        <w:spacing w:before="149" w:beforeLines="50" w:line="300" w:lineRule="auto"/>
        <w:jc w:val="both"/>
        <w:rPr>
          <w:rFonts w:ascii="Arial" w:hAnsi="Arial" w:eastAsia="宋体" w:cs="Arial"/>
          <w:snapToGrid w:val="0"/>
          <w:sz w:val="24"/>
          <w:szCs w:val="24"/>
        </w:rPr>
      </w:pPr>
      <w:r>
        <w:rPr>
          <w:rFonts w:ascii="Arial" w:hAnsi="Arial" w:eastAsia="宋体" w:cs="Arial"/>
          <w:snapToGrid w:val="0"/>
          <w:sz w:val="24"/>
          <w:szCs w:val="24"/>
        </w:rPr>
        <w:br w:type="page"/>
      </w:r>
    </w:p>
    <w:p w14:paraId="23E3A517">
      <w:pPr>
        <w:pStyle w:val="3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b w:val="0"/>
          <w:bCs w:val="0"/>
          <w:snapToGrid w:val="0"/>
          <w:u w:val="none"/>
        </w:rPr>
      </w:pPr>
      <w:bookmarkStart w:id="21" w:name="Gastroenterology_-_Urology_Devices"/>
      <w:bookmarkEnd w:id="21"/>
      <w:bookmarkStart w:id="22" w:name="_bookmark7"/>
      <w:bookmarkEnd w:id="22"/>
      <w:bookmarkStart w:id="23" w:name="Ear,_Nose_&amp;_Throat_Devices"/>
      <w:bookmarkEnd w:id="23"/>
      <w:bookmarkStart w:id="24" w:name="_Toc499626630"/>
      <w:r>
        <w:rPr>
          <w:rFonts w:hint="eastAsia" w:ascii="Arial" w:hAnsi="Arial" w:cs="Arial"/>
          <w:snapToGrid w:val="0"/>
          <w:u w:val="thick" w:color="000000"/>
        </w:rPr>
        <w:t>耳鼻喉器械</w:t>
      </w:r>
      <w:bookmarkEnd w:id="24"/>
    </w:p>
    <w:p w14:paraId="6E8CEE5D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修正案前未分类器械——FDA打算豁免以下产品代码：</w:t>
      </w:r>
    </w:p>
    <w:p w14:paraId="61D8251F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 xml:space="preserve">            EWD——保护器，听力（插入式）</w:t>
      </w:r>
    </w:p>
    <w:p w14:paraId="18094116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EWE——保护器，听力（罩耳式）</w:t>
      </w:r>
    </w:p>
    <w:p w14:paraId="32C9A099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LEZ——辅助，听觉受损的言语训练（交流供电和患者接触）</w:t>
      </w:r>
    </w:p>
    <w:p w14:paraId="54FBE517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LFA——辅助，听觉受损的言语训练（电池供电或非患者）</w:t>
      </w:r>
    </w:p>
    <w:p w14:paraId="2F0FDD55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874.1325电声门图分类的器械——FDA打算豁免以下产品代码：</w:t>
      </w:r>
    </w:p>
    <w:p w14:paraId="6BCF5F24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KLX ——电声门图</w:t>
      </w:r>
    </w:p>
    <w:p w14:paraId="1F5F96E4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874.3310助听校正仪和分析系统分类的器械——FDA打算豁免以下产品代码：</w:t>
      </w:r>
    </w:p>
    <w:p w14:paraId="5A0307D3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ETW——校正仪，助听器／耳机和分析系统</w:t>
      </w:r>
    </w:p>
    <w:p w14:paraId="0060E1F7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874.3320集体助听器和集体听力训练仪分类的器械——FDA打算豁免以下产品代码：</w:t>
      </w:r>
    </w:p>
    <w:p w14:paraId="03E21F3F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EPF——助听器，集体和听力训练仪</w:t>
      </w:r>
    </w:p>
    <w:p w14:paraId="55D59BD5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LZI——器械，辅助听力</w:t>
      </w:r>
    </w:p>
    <w:p w14:paraId="7AE72DC6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874.3330主助听器分类的器械——FDA打算豁免以下产品代码：</w:t>
      </w:r>
    </w:p>
    <w:p w14:paraId="4F817240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KHL——助听器，主要</w:t>
      </w:r>
    </w:p>
    <w:p w14:paraId="41CCCDC9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874.3430中耳铸模分类的器械——FDA打算豁免以下产品代码：</w:t>
      </w:r>
    </w:p>
    <w:p w14:paraId="7CC90B31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ETC——铸模，中耳</w:t>
      </w:r>
    </w:p>
    <w:p w14:paraId="5F0B3E08">
      <w:pPr>
        <w:pStyle w:val="3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b w:val="0"/>
          <w:bCs w:val="0"/>
          <w:snapToGrid w:val="0"/>
          <w:u w:val="none"/>
        </w:rPr>
      </w:pPr>
      <w:bookmarkStart w:id="25" w:name="_bookmark8"/>
      <w:bookmarkEnd w:id="25"/>
      <w:bookmarkStart w:id="26" w:name="_Toc499626631"/>
      <w:r>
        <w:rPr>
          <w:rFonts w:hint="eastAsia" w:ascii="Arial" w:hAnsi="Arial" w:cs="Arial"/>
          <w:snapToGrid w:val="0"/>
          <w:u w:val="thick" w:color="000000"/>
        </w:rPr>
        <w:t>肠胃病学及泌尿学器械</w:t>
      </w:r>
      <w:bookmarkEnd w:id="26"/>
    </w:p>
    <w:p w14:paraId="50E1B9A1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修正案前未分类器械——FDA打算豁免以下产品代码：</w:t>
      </w:r>
    </w:p>
    <w:p w14:paraId="12A98B7F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LRL——垫片，痔疮</w:t>
      </w:r>
    </w:p>
    <w:p w14:paraId="57B50FE8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876.1500内窥镜及配件分类的器械——FDA打算豁免以下产品代码：</w:t>
      </w:r>
    </w:p>
    <w:p w14:paraId="42574EBB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FCW——光源，光纤，常规</w:t>
      </w:r>
    </w:p>
    <w:p w14:paraId="5FF6682A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GCT——光源，内窥镜，氙弧</w:t>
      </w:r>
    </w:p>
    <w:p w14:paraId="0F30C985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NTN——LED光源</w:t>
      </w:r>
    </w:p>
    <w:p w14:paraId="1D1BFD13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OCY——内窥镜导丝，肠胃病学及泌尿学</w:t>
      </w:r>
    </w:p>
    <w:p w14:paraId="1EA429F4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876.4020光纤式输尿管导管分类的器械——FDA打算豁免以下产品代码：</w:t>
      </w:r>
    </w:p>
    <w:p w14:paraId="6BB07388">
      <w:pPr>
        <w:topLinePunct/>
        <w:adjustRightInd w:val="0"/>
        <w:snapToGrid w:val="0"/>
        <w:spacing w:before="149" w:beforeLines="50" w:line="300" w:lineRule="auto"/>
        <w:jc w:val="both"/>
        <w:rPr>
          <w:rFonts w:ascii="Arial" w:hAnsi="Arial" w:eastAsia="宋体" w:cs="Arial"/>
          <w:snapToGrid w:val="0"/>
          <w:sz w:val="24"/>
          <w:szCs w:val="24"/>
        </w:rPr>
      </w:pPr>
      <w:r>
        <w:rPr>
          <w:rFonts w:ascii="Arial" w:hAnsi="Arial" w:eastAsia="宋体" w:cs="Arial"/>
          <w:snapToGrid w:val="0"/>
          <w:sz w:val="24"/>
          <w:szCs w:val="24"/>
        </w:rPr>
        <w:br w:type="page"/>
      </w:r>
    </w:p>
    <w:p w14:paraId="6DC7B6AA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FCS——光，导管，光纤，玻璃，输尿管</w:t>
      </w:r>
    </w:p>
    <w:p w14:paraId="0DF4F3F9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876.4270结肠造口杆分类的器械——FDA打算豁免以下产品代码：</w:t>
      </w:r>
    </w:p>
    <w:p w14:paraId="20E761ED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EZP——杆，结肠造口术</w:t>
      </w:r>
    </w:p>
    <w:p w14:paraId="5F9B9A5C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876.4400痔结扎器分类的器械——FDA打算豁免以下产品代码：</w:t>
      </w:r>
    </w:p>
    <w:p w14:paraId="57285B87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FHN——结扎器，痔</w:t>
      </w:r>
    </w:p>
    <w:p w14:paraId="7CF05C56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MND——结扎器，食道</w:t>
      </w:r>
    </w:p>
    <w:p w14:paraId="7A32E401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876.4500机械式碎石器分类的器械——FDA打算豁免以下产品代码：</w:t>
      </w:r>
    </w:p>
    <w:p w14:paraId="722B17EE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LQC——碎石器，胆道机械</w:t>
      </w:r>
    </w:p>
    <w:p w14:paraId="37906B0D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876.4770尿道刀分类的器械——FDA打算豁免以下产品代码：</w:t>
      </w:r>
    </w:p>
    <w:p w14:paraId="040DD20D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EZO——尿道刀</w:t>
      </w:r>
    </w:p>
    <w:p w14:paraId="576C9004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876.5160男性尿道夹分类的器械——FDA打算豁免以下产品代码：</w:t>
      </w:r>
    </w:p>
    <w:p w14:paraId="7BC9D4A4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MNG——外尿道封堵器，尿失禁控制，女性</w:t>
      </w:r>
    </w:p>
    <w:p w14:paraId="7ABB1276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876.5365食道扩张器分类的器械——FDA打算豁免以下产品代码：</w:t>
      </w:r>
    </w:p>
    <w:p w14:paraId="32CA8BE0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EZM——扩张器，食道（金属橄榄）胃肠泌尿学</w:t>
      </w:r>
    </w:p>
    <w:p w14:paraId="1C73E88F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FAT——探头，食道和胃肠，胃泌尿学</w:t>
      </w:r>
    </w:p>
    <w:p w14:paraId="280184A7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KNQ ——扩张器，食道</w:t>
      </w:r>
    </w:p>
    <w:p w14:paraId="1327DE47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876.5520尿道扩张器分类的器械——FDA打算豁免以下产品代码：</w:t>
      </w:r>
    </w:p>
    <w:p w14:paraId="3FFBC186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KOE——扩张器，尿道</w:t>
      </w:r>
    </w:p>
    <w:p w14:paraId="74B2C50D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876.5665血液透析用水净化系统分类的器械——FDA打算豁免以下产品代码：</w:t>
      </w:r>
    </w:p>
    <w:p w14:paraId="4661C69E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NIH ——消毒剂，子系统，水净化</w:t>
      </w:r>
    </w:p>
    <w:p w14:paraId="42836679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876.5895造口冲洗器分类的器械——FDA打算豁免以下产品代码：</w:t>
      </w:r>
    </w:p>
    <w:p w14:paraId="7C3AA41F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EXD——冲洗器，造口术</w:t>
      </w:r>
    </w:p>
    <w:p w14:paraId="4C030FD3">
      <w:pPr>
        <w:topLinePunct/>
        <w:adjustRightInd w:val="0"/>
        <w:snapToGrid w:val="0"/>
        <w:spacing w:before="149" w:beforeLines="50" w:line="300" w:lineRule="auto"/>
        <w:jc w:val="both"/>
        <w:rPr>
          <w:rFonts w:ascii="Arial" w:hAnsi="Arial" w:eastAsia="宋体" w:cs="Arial"/>
          <w:snapToGrid w:val="0"/>
          <w:sz w:val="24"/>
          <w:szCs w:val="24"/>
        </w:rPr>
      </w:pPr>
      <w:r>
        <w:rPr>
          <w:rFonts w:ascii="Arial" w:hAnsi="Arial" w:eastAsia="宋体" w:cs="Arial"/>
          <w:snapToGrid w:val="0"/>
          <w:sz w:val="24"/>
          <w:szCs w:val="24"/>
        </w:rPr>
        <w:br w:type="page"/>
      </w:r>
    </w:p>
    <w:p w14:paraId="28FACBD8">
      <w:pPr>
        <w:pStyle w:val="3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b w:val="0"/>
          <w:bCs w:val="0"/>
          <w:snapToGrid w:val="0"/>
          <w:u w:val="none"/>
        </w:rPr>
      </w:pPr>
      <w:bookmarkStart w:id="27" w:name="General_and_Plastic_Surgical_Devices"/>
      <w:bookmarkEnd w:id="27"/>
      <w:bookmarkStart w:id="28" w:name="General_Hospital_and_Personal_Use_Device"/>
      <w:bookmarkEnd w:id="28"/>
      <w:bookmarkStart w:id="29" w:name="_bookmark9"/>
      <w:bookmarkEnd w:id="29"/>
      <w:bookmarkStart w:id="30" w:name="_Toc499626632"/>
      <w:r>
        <w:rPr>
          <w:rFonts w:hint="eastAsia" w:ascii="Arial" w:hAnsi="Arial" w:cs="Arial"/>
          <w:snapToGrid w:val="0"/>
          <w:u w:val="thick" w:color="000000"/>
        </w:rPr>
        <w:t>通用外科及整形外科器械</w:t>
      </w:r>
      <w:bookmarkEnd w:id="30"/>
    </w:p>
    <w:p w14:paraId="3F5EF6CF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修正案前未分类器械——FDA打算豁免以下产品代码：</w:t>
      </w:r>
    </w:p>
    <w:p w14:paraId="2100FD2F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LKB——垫板，酒精，器械消毒剂</w:t>
      </w:r>
    </w:p>
    <w:p w14:paraId="1639484B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878.4014非可吸收外用纱布／海绵分类的器械——FDA打算豁免以下产品代码：</w:t>
      </w:r>
    </w:p>
    <w:p w14:paraId="4FBB7B31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OVR——工具盒，急救，谈话</w:t>
      </w:r>
    </w:p>
    <w:p w14:paraId="6BB96739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878.4370手术被单和手术被单配件分类的器械——FDA打算豁免以下产品代码：</w:t>
      </w:r>
    </w:p>
    <w:p w14:paraId="53CD3E8E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ERY——被单，外科，耳鼻喉科</w:t>
      </w:r>
    </w:p>
    <w:p w14:paraId="322075CD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EYX——被单，纯乳胶片，带自保持手指套</w:t>
      </w:r>
    </w:p>
    <w:p w14:paraId="6CB7A12E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EYY——被单，泌尿，一次性</w:t>
      </w:r>
    </w:p>
    <w:p w14:paraId="1654AE3D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FNW——垫板，方钻杆</w:t>
      </w:r>
    </w:p>
    <w:p w14:paraId="21BAACC7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HMT——被单，患者，眼科</w:t>
      </w:r>
    </w:p>
    <w:p w14:paraId="5F7BAF3B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HMW——被单，显微镜，眼科</w:t>
      </w:r>
    </w:p>
    <w:p w14:paraId="4A97DA98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KGW——环（伤口保护器），被单固定，内部</w:t>
      </w:r>
    </w:p>
    <w:p w14:paraId="17EF6EDC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KKX——被单，外科。此意图不适用于含有抗菌剂的器械。</w:t>
      </w:r>
    </w:p>
    <w:p w14:paraId="4A2E2A69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878.4580外科灯分类的器械——FDA打算豁免以下产品代码：</w:t>
      </w:r>
    </w:p>
    <w:p w14:paraId="3A094C92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FSQ——光，外科，工具</w:t>
      </w:r>
    </w:p>
    <w:p w14:paraId="41B5BA89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FSS——光，外科，落地式</w:t>
      </w:r>
    </w:p>
    <w:p w14:paraId="7BDE60E1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FSW——光，外科，内窥镜</w:t>
      </w:r>
    </w:p>
    <w:p w14:paraId="3FEB6079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FSX——光，外科，连接器</w:t>
      </w:r>
    </w:p>
    <w:p w14:paraId="01032F44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FSY——光，外科，顶置式</w:t>
      </w:r>
    </w:p>
    <w:p w14:paraId="6027E53B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FSZ——光，外科，载体</w:t>
      </w:r>
    </w:p>
    <w:p w14:paraId="0F03EECA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FTA ——光，外科，配件</w:t>
      </w:r>
    </w:p>
    <w:p w14:paraId="256E9610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FTD——灯，外科</w:t>
      </w:r>
    </w:p>
    <w:p w14:paraId="4A828B03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FTG——照明器，远程</w:t>
      </w:r>
    </w:p>
    <w:p w14:paraId="34852074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FQP——灯，手术室</w:t>
      </w:r>
    </w:p>
    <w:p w14:paraId="1230BE1E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GBC——灯，手术，白炽灯</w:t>
      </w:r>
    </w:p>
    <w:p w14:paraId="31A84A29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878.5070手术室用通风装置分类的器械——FDA打算豁免以下产品代码：</w:t>
      </w:r>
    </w:p>
    <w:p w14:paraId="051D7E94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FZG——装置，通风，台架</w:t>
      </w:r>
    </w:p>
    <w:p w14:paraId="2162E023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FZH——装置，通风，室</w:t>
      </w:r>
    </w:p>
    <w:p w14:paraId="7B51C840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FZI——装置，通风，附件</w:t>
      </w:r>
    </w:p>
    <w:p w14:paraId="30C0B56A">
      <w:pPr>
        <w:pStyle w:val="3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b w:val="0"/>
          <w:bCs w:val="0"/>
          <w:snapToGrid w:val="0"/>
          <w:u w:val="none"/>
        </w:rPr>
      </w:pPr>
      <w:bookmarkStart w:id="31" w:name="_bookmark10"/>
      <w:bookmarkEnd w:id="31"/>
      <w:bookmarkStart w:id="32" w:name="_Toc499626633"/>
      <w:r>
        <w:rPr>
          <w:rFonts w:hint="eastAsia" w:ascii="Arial" w:hAnsi="Arial" w:cs="Arial"/>
          <w:snapToGrid w:val="0"/>
          <w:u w:val="thick" w:color="000000"/>
        </w:rPr>
        <w:t>综合医院和个人使用器械</w:t>
      </w:r>
      <w:bookmarkEnd w:id="32"/>
    </w:p>
    <w:p w14:paraId="60BF8117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880.5780医用支撑袜分类的器械——FDA打算豁免以下产品代码：</w:t>
      </w:r>
    </w:p>
    <w:p w14:paraId="255B2146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DWL——袜，医用支撑（防止血液在腿部积聚）</w:t>
      </w:r>
    </w:p>
    <w:p w14:paraId="2DC7FD03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bookmarkStart w:id="33" w:name="Neurological_Devices"/>
      <w:bookmarkEnd w:id="33"/>
      <w:r>
        <w:rPr>
          <w:rFonts w:hint="eastAsia" w:ascii="Arial" w:hAnsi="Arial" w:cs="Arial"/>
          <w:snapToGrid w:val="0"/>
        </w:rPr>
        <w:t>根据21 CFR 880.6250患者检查手套分类的器械——FDA打算豁免以下产品代码：</w:t>
      </w:r>
    </w:p>
    <w:p w14:paraId="6DECFE1C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LZB——手指套</w:t>
      </w:r>
    </w:p>
    <w:p w14:paraId="4E6302F2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880.6375患者润滑剂分类的器械——FDA打算豁免以下产品代码：</w:t>
      </w:r>
    </w:p>
    <w:p w14:paraId="2FC8D45E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KMJ——润滑剂，患者</w:t>
      </w:r>
    </w:p>
    <w:p w14:paraId="1D5F1A49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880.6710医用紫外水净化器分类的器械——FDA打算豁免以下产品代码：</w:t>
      </w:r>
    </w:p>
    <w:p w14:paraId="6AFE659C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KMG——净化器，水，紫外线，医用</w:t>
      </w:r>
    </w:p>
    <w:p w14:paraId="62AC36A4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880.6760保护性限制带分类的器械——FDA打算豁免以下产品代码：</w:t>
      </w:r>
    </w:p>
    <w:p w14:paraId="4FDBFD9B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BRT——限制带，患者，导电</w:t>
      </w:r>
    </w:p>
    <w:p w14:paraId="0DB6A815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FMQ——限制带，保护</w:t>
      </w:r>
    </w:p>
    <w:p w14:paraId="30AE0926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OYS——带天篷／限制带的病床</w:t>
      </w:r>
    </w:p>
    <w:p w14:paraId="4CD01F9B">
      <w:pPr>
        <w:pStyle w:val="3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b w:val="0"/>
          <w:bCs w:val="0"/>
          <w:snapToGrid w:val="0"/>
          <w:u w:val="none"/>
        </w:rPr>
      </w:pPr>
      <w:bookmarkStart w:id="34" w:name="_bookmark11"/>
      <w:bookmarkEnd w:id="34"/>
      <w:bookmarkStart w:id="35" w:name="_Toc499626634"/>
      <w:r>
        <w:rPr>
          <w:rFonts w:hint="eastAsia" w:ascii="Arial" w:hAnsi="Arial" w:cs="Arial"/>
          <w:snapToGrid w:val="0"/>
          <w:u w:val="thick" w:color="000000"/>
        </w:rPr>
        <w:t>神经病学器械</w:t>
      </w:r>
      <w:bookmarkEnd w:id="35"/>
    </w:p>
    <w:p w14:paraId="06BA416E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修正案前未分类器械——FDA打算豁免以下产品代码：</w:t>
      </w:r>
    </w:p>
    <w:p w14:paraId="747B8B53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LLN——器械，振动阈值测量。此意图不适用于提供测量解释或临床意义的器械。</w:t>
      </w:r>
    </w:p>
    <w:p w14:paraId="244BA3F1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LQW——试验，温度辨别。此意图不适用于提供测量解释或临床意义的器械。</w:t>
      </w:r>
    </w:p>
    <w:p w14:paraId="13A9A269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882.1020僵硬度分析仪分类的器械——FDA打算豁免以下产品代码：</w:t>
      </w:r>
    </w:p>
    <w:p w14:paraId="5FC6E06F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GZM——分析仪，僵硬度。</w:t>
      </w:r>
    </w:p>
    <w:p w14:paraId="5A1DE8A8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882.1030共济失调描记器分类的器械</w:t>
      </w:r>
      <w:r>
        <w:rPr>
          <w:rStyle w:val="14"/>
          <w:rFonts w:ascii="Arial" w:hAnsi="Arial" w:cs="Arial"/>
          <w:snapToGrid w:val="0"/>
        </w:rPr>
        <w:footnoteReference w:id="0"/>
      </w:r>
      <w:r>
        <w:rPr>
          <w:rFonts w:hint="eastAsia" w:ascii="Arial" w:hAnsi="Arial" w:cs="Arial"/>
          <w:snapToGrid w:val="0"/>
        </w:rPr>
        <w:t>——FDA打算豁免以下产品代码：</w:t>
      </w:r>
    </w:p>
    <w:p w14:paraId="4B6E3C3C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GWW——共济失调描记器。此意图不适用于提供测量解释或临床意义的器械。</w:t>
      </w:r>
    </w:p>
    <w:p w14:paraId="456804C1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882.1540皮肤电反应测量器械分类的器械——FDA打算豁免以下产品代码：</w:t>
      </w:r>
    </w:p>
    <w:p w14:paraId="65907782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GZO——器械，皮肤电反应测量</w:t>
      </w:r>
    </w:p>
    <w:p w14:paraId="6BB6839A">
      <w:pPr>
        <w:topLinePunct/>
        <w:adjustRightInd w:val="0"/>
        <w:snapToGrid w:val="0"/>
        <w:spacing w:before="149" w:beforeLines="50" w:line="300" w:lineRule="auto"/>
        <w:jc w:val="both"/>
        <w:rPr>
          <w:rFonts w:ascii="Arial" w:hAnsi="Arial" w:eastAsia="宋体" w:cs="Arial"/>
          <w:snapToGrid w:val="0"/>
          <w:sz w:val="24"/>
          <w:szCs w:val="24"/>
        </w:rPr>
      </w:pPr>
      <w:r>
        <w:rPr>
          <w:rFonts w:ascii="Arial" w:hAnsi="Arial" w:eastAsia="宋体" w:cs="Arial"/>
          <w:snapToGrid w:val="0"/>
          <w:sz w:val="24"/>
          <w:szCs w:val="24"/>
        </w:rPr>
        <w:br w:type="page"/>
      </w:r>
    </w:p>
    <w:p w14:paraId="431ADAED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bookmarkStart w:id="36" w:name="Obstetrical_and_Gynecological_Devices"/>
      <w:bookmarkEnd w:id="36"/>
      <w:r>
        <w:rPr>
          <w:rFonts w:hint="eastAsia" w:ascii="Arial" w:hAnsi="Arial" w:cs="Arial"/>
          <w:snapToGrid w:val="0"/>
        </w:rPr>
        <w:t>根据21 CFR 882.1560皮肤电位测量器械分类的器械——FDA打算豁免以下产品代码：</w:t>
      </w:r>
    </w:p>
    <w:p w14:paraId="775A8371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HCJ——器械，皮肤电位测量</w:t>
      </w:r>
    </w:p>
    <w:p w14:paraId="79EF298C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882.4060脑室套管分类的器械——FDA打算豁免以下产品代码：</w:t>
      </w:r>
    </w:p>
    <w:p w14:paraId="53B2282A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HCD——套管，脑室</w:t>
      </w:r>
    </w:p>
    <w:p w14:paraId="5715D00D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882.4545分流系统植入工具分类的器械——FDA打算豁免以下产品代码：</w:t>
      </w:r>
    </w:p>
    <w:p w14:paraId="751745E0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GYK——工具，分流系统植入</w:t>
      </w:r>
    </w:p>
    <w:p w14:paraId="4F39092F">
      <w:pPr>
        <w:pStyle w:val="3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b w:val="0"/>
          <w:bCs w:val="0"/>
          <w:snapToGrid w:val="0"/>
          <w:u w:val="none"/>
        </w:rPr>
      </w:pPr>
      <w:bookmarkStart w:id="37" w:name="_bookmark13"/>
      <w:bookmarkEnd w:id="37"/>
      <w:bookmarkStart w:id="38" w:name="_Toc499626635"/>
      <w:r>
        <w:rPr>
          <w:rFonts w:hint="eastAsia" w:ascii="Arial" w:hAnsi="Arial" w:cs="Arial"/>
          <w:snapToGrid w:val="0"/>
          <w:u w:val="thick" w:color="000000"/>
        </w:rPr>
        <w:t>产科和妇科器械</w:t>
      </w:r>
      <w:bookmarkEnd w:id="38"/>
    </w:p>
    <w:p w14:paraId="5CBE4EE6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修正案前未分类器械——FDA打算豁免以下产品代码：</w:t>
      </w:r>
    </w:p>
    <w:p w14:paraId="2617B912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LHD——器械，生育诊断，发情</w:t>
      </w:r>
    </w:p>
    <w:p w14:paraId="4AB4EBA9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884.2982液晶温度描记系统分类的器械——FDA打算豁免以下产品代码：</w:t>
      </w:r>
    </w:p>
    <w:p w14:paraId="124D8DCE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LHM——系统，温度描记，液晶</w:t>
      </w:r>
    </w:p>
    <w:p w14:paraId="4DADCB6E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KYA——系统，温度描记，液晶，非电动（辅助用途）</w:t>
      </w:r>
    </w:p>
    <w:p w14:paraId="633AFF39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884.3200子宫颈引流管分类的器械——FDA打算豁免以下产品代码：</w:t>
      </w:r>
    </w:p>
    <w:p w14:paraId="64E079FC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HFL——引流管，子宫颈</w:t>
      </w:r>
    </w:p>
    <w:p w14:paraId="2A42AB58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884.4400产科钳分类的器械——FDA打算豁免以下产品代码：</w:t>
      </w:r>
    </w:p>
    <w:p w14:paraId="15608BF6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HDA——钳子，产科</w:t>
      </w:r>
    </w:p>
    <w:p w14:paraId="0D9A2E8D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884.4530产科妇科专用手动工具分类的器械——FDA打算豁免以下产品代码：</w:t>
      </w:r>
    </w:p>
    <w:p w14:paraId="75D44B79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HIB——阴道扩张器，阴道，非金属</w:t>
      </w:r>
    </w:p>
    <w:p w14:paraId="58545012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HFW——夹板，脐带</w:t>
      </w:r>
    </w:p>
    <w:p w14:paraId="41EB1D97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884.5200痔疮防压楔分类的器械——FDA打算豁免以下产品代码：</w:t>
      </w:r>
    </w:p>
    <w:p w14:paraId="50FC4219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OOA——痔疮，预防，压力，楔子</w:t>
      </w:r>
    </w:p>
    <w:p w14:paraId="51505D65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884.5390会阴加温器分类的器械——FDA打算豁免以下产品代码：</w:t>
      </w:r>
    </w:p>
    <w:p w14:paraId="7E69EEE2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HGZ——加温器，会阴，直接接触</w:t>
      </w:r>
    </w:p>
    <w:p w14:paraId="22614689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HHA——加温器，会阴，辐射，非接触</w:t>
      </w:r>
    </w:p>
    <w:p w14:paraId="6AD664B4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KND——加温器，会阴</w:t>
      </w:r>
    </w:p>
    <w:p w14:paraId="3FDE291A">
      <w:pPr>
        <w:topLinePunct/>
        <w:adjustRightInd w:val="0"/>
        <w:snapToGrid w:val="0"/>
        <w:spacing w:before="149" w:beforeLines="50" w:line="300" w:lineRule="auto"/>
        <w:jc w:val="both"/>
        <w:rPr>
          <w:rFonts w:ascii="Arial" w:hAnsi="Arial" w:eastAsia="宋体" w:cs="Arial"/>
          <w:snapToGrid w:val="0"/>
          <w:sz w:val="24"/>
          <w:szCs w:val="24"/>
        </w:rPr>
      </w:pPr>
      <w:r>
        <w:rPr>
          <w:rFonts w:ascii="Arial" w:hAnsi="Arial" w:eastAsia="宋体" w:cs="Arial"/>
          <w:snapToGrid w:val="0"/>
          <w:sz w:val="24"/>
          <w:szCs w:val="24"/>
        </w:rPr>
        <w:br w:type="page"/>
      </w:r>
    </w:p>
    <w:p w14:paraId="66B839F5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bookmarkStart w:id="39" w:name="Ophthalmic_Devices"/>
      <w:bookmarkEnd w:id="39"/>
      <w:r>
        <w:rPr>
          <w:rFonts w:hint="eastAsia" w:ascii="Arial" w:hAnsi="Arial" w:cs="Arial"/>
          <w:snapToGrid w:val="0"/>
        </w:rPr>
        <w:t>根据21 CFR 884.5400月经杯分类的器械——FDA打算豁免以下产品代码：</w:t>
      </w:r>
    </w:p>
    <w:p w14:paraId="6037803D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HHE——杯，月经</w:t>
      </w:r>
    </w:p>
    <w:p w14:paraId="78D267F1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884.5435无味月经垫分类的器械——FDA打算豁免以下产品代码：</w:t>
      </w:r>
    </w:p>
    <w:p w14:paraId="38535D83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NUQ——垫板，月经，可重复使用</w:t>
      </w:r>
    </w:p>
    <w:p w14:paraId="67C34276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NUR——垫板，阴唇间</w:t>
      </w:r>
    </w:p>
    <w:p w14:paraId="52CA31C3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884.5960治疗用生殖振动器分类的器械——FDA打算豁免以下产品代码：</w:t>
      </w:r>
    </w:p>
    <w:p w14:paraId="5AF36096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KXQ——治疗用振动器，生殖</w:t>
      </w:r>
    </w:p>
    <w:p w14:paraId="7B0D8EE9">
      <w:pPr>
        <w:pStyle w:val="3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b w:val="0"/>
          <w:bCs w:val="0"/>
          <w:snapToGrid w:val="0"/>
          <w:u w:val="none"/>
        </w:rPr>
      </w:pPr>
      <w:bookmarkStart w:id="40" w:name="_bookmark14"/>
      <w:bookmarkEnd w:id="40"/>
      <w:bookmarkStart w:id="41" w:name="_Toc499626636"/>
      <w:r>
        <w:rPr>
          <w:rFonts w:hint="eastAsia" w:ascii="Arial" w:hAnsi="Arial" w:cs="Arial"/>
          <w:snapToGrid w:val="0"/>
          <w:u w:val="thick" w:color="000000"/>
        </w:rPr>
        <w:t>眼科器械</w:t>
      </w:r>
      <w:bookmarkEnd w:id="41"/>
    </w:p>
    <w:p w14:paraId="4873834C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886.1120眼科摄像头分类的器械——FDA打算豁免以下产品代码：</w:t>
      </w:r>
    </w:p>
    <w:p w14:paraId="712DE3B3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PJZ——摄像头，眼科，交流供电，通用</w:t>
      </w:r>
    </w:p>
    <w:p w14:paraId="70A7B63C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MMF——摄影验光仪</w:t>
      </w:r>
    </w:p>
    <w:p w14:paraId="39BDCF57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886.1250直视镜分类的器械——FDA打算豁免以下产品代码：</w:t>
      </w:r>
    </w:p>
    <w:p w14:paraId="7258E52E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HMK——直视镜，交流供电</w:t>
      </w:r>
    </w:p>
    <w:p w14:paraId="0078D3F7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886.1570检眼镜分类的器械——FDA打算豁免以下产品代码：</w:t>
      </w:r>
    </w:p>
    <w:p w14:paraId="078C43D6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HLJ——检眼镜，电池供电</w:t>
      </w:r>
    </w:p>
    <w:p w14:paraId="047F8546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886.1945照透器分类的器械——FDA打算豁免以下产品代码：</w:t>
      </w:r>
    </w:p>
    <w:p w14:paraId="2FE5ABF1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HJM ——照透器，交流供电</w:t>
      </w:r>
    </w:p>
    <w:p w14:paraId="3BA20BDC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886.4070电动角膜钻孔器分类的器械——FDA打算豁免以下产品代码：</w:t>
      </w:r>
    </w:p>
    <w:p w14:paraId="2F248A08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HLD——发动机，环锯术，配件，气动</w:t>
      </w:r>
    </w:p>
    <w:p w14:paraId="0085C3BB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HOG——钻孔器，角膜，电池供电</w:t>
      </w:r>
    </w:p>
    <w:p w14:paraId="2C4EA8F4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HRF——发动机，环锯术，配件，电池供电</w:t>
      </w:r>
    </w:p>
    <w:p w14:paraId="2034A386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HRG——发动机，环锯术，配件，交流供电</w:t>
      </w:r>
    </w:p>
    <w:p w14:paraId="18023319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HQS——钻孔器，角膜，交流供电</w:t>
      </w:r>
    </w:p>
    <w:p w14:paraId="0F469953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886.4250眼科电解元件分类的器械——FDA打算豁免以下产品代码：</w:t>
      </w:r>
    </w:p>
    <w:p w14:paraId="08E1952C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HRO——元件，电解，交流供电，眼科</w:t>
      </w:r>
    </w:p>
    <w:p w14:paraId="45EECFAD">
      <w:pPr>
        <w:topLinePunct/>
        <w:adjustRightInd w:val="0"/>
        <w:snapToGrid w:val="0"/>
        <w:spacing w:before="149" w:beforeLines="50" w:line="300" w:lineRule="auto"/>
        <w:jc w:val="both"/>
        <w:rPr>
          <w:rFonts w:ascii="Arial" w:hAnsi="Arial" w:eastAsia="宋体" w:cs="Arial"/>
          <w:snapToGrid w:val="0"/>
          <w:sz w:val="24"/>
          <w:szCs w:val="24"/>
        </w:rPr>
      </w:pPr>
      <w:r>
        <w:rPr>
          <w:rFonts w:ascii="Arial" w:hAnsi="Arial" w:eastAsia="宋体" w:cs="Arial"/>
          <w:snapToGrid w:val="0"/>
          <w:sz w:val="24"/>
          <w:szCs w:val="24"/>
        </w:rPr>
        <w:br w:type="page"/>
      </w:r>
    </w:p>
    <w:p w14:paraId="185D8497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bookmarkStart w:id="42" w:name="Physical_Medicine_Devices"/>
      <w:bookmarkEnd w:id="42"/>
      <w:r>
        <w:rPr>
          <w:rFonts w:hint="eastAsia" w:ascii="Arial" w:hAnsi="Arial" w:cs="Arial"/>
          <w:snapToGrid w:val="0"/>
        </w:rPr>
        <w:t>根据21 CFR 886.4335手术照明灯分类的器械——FDA打算豁免以下产品代码：</w:t>
      </w:r>
    </w:p>
    <w:p w14:paraId="127319EF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FCT——照明灯，光纤聚焦</w:t>
      </w:r>
    </w:p>
    <w:p w14:paraId="0201148F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FSR——光，照明灯，外科</w:t>
      </w:r>
    </w:p>
    <w:p w14:paraId="32AFF207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HPQ——照明灯，手术，交流供电</w:t>
      </w:r>
    </w:p>
    <w:p w14:paraId="67B725BF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886.4400电子金属探测器分类的器械——FDA打算豁免以下产品代码：</w:t>
      </w:r>
    </w:p>
    <w:p w14:paraId="4361F10B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HPM ——探测器，金属，电子</w:t>
      </w:r>
    </w:p>
    <w:p w14:paraId="5A00788A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886.4440交流供电磁铁分类的器械——FDA打算豁免以下产品代码：</w:t>
      </w:r>
    </w:p>
    <w:p w14:paraId="32420F55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HPO ——磁铁，交流供电</w:t>
      </w:r>
    </w:p>
    <w:p w14:paraId="11D394BE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886.4790眼科海绵分类的器械——FDA打算豁免以下产品代码：</w:t>
      </w:r>
    </w:p>
    <w:p w14:paraId="1F8D2011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HOZ——海绵，眼科</w:t>
      </w:r>
    </w:p>
    <w:p w14:paraId="006EF966">
      <w:pPr>
        <w:pStyle w:val="3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b w:val="0"/>
          <w:bCs w:val="0"/>
          <w:snapToGrid w:val="0"/>
          <w:u w:val="none"/>
        </w:rPr>
      </w:pPr>
      <w:bookmarkStart w:id="43" w:name="_bookmark15"/>
      <w:bookmarkEnd w:id="43"/>
      <w:bookmarkStart w:id="44" w:name="_Toc499626637"/>
      <w:r>
        <w:rPr>
          <w:rFonts w:hint="eastAsia" w:ascii="Arial" w:hAnsi="Arial" w:cs="Arial"/>
          <w:snapToGrid w:val="0"/>
          <w:u w:val="thick" w:color="000000"/>
        </w:rPr>
        <w:t>物理治疗器械</w:t>
      </w:r>
      <w:bookmarkEnd w:id="44"/>
    </w:p>
    <w:p w14:paraId="48D70B1E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修正案前未分类器械——FDA打算豁免以下产品代码：</w:t>
      </w:r>
    </w:p>
    <w:p w14:paraId="7BC769CF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LZW——监测器，脊柱弯曲</w:t>
      </w:r>
    </w:p>
    <w:p w14:paraId="6A3DCBA8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890.1450电动反射锤分类的器械——FDA打算豁免以下产品代码：</w:t>
      </w:r>
    </w:p>
    <w:p w14:paraId="08500309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IKO ——锤子，反射，电动</w:t>
      </w:r>
    </w:p>
    <w:p w14:paraId="0BD78C7D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890.5100浸泡式水浴分类的器械——FDA打算豁免以下产品代码：</w:t>
      </w:r>
    </w:p>
    <w:p w14:paraId="3C4BC156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ILJ——浴，水按摩</w:t>
      </w:r>
    </w:p>
    <w:p w14:paraId="15674603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ILM——浴，坐，电动</w:t>
      </w:r>
    </w:p>
    <w:p w14:paraId="181D9876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890.5110石蜡浴分类的器械——FDA打算豁免以下产品代码：</w:t>
      </w:r>
    </w:p>
    <w:p w14:paraId="0A749B71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IMC——浴，石蜡</w:t>
      </w:r>
    </w:p>
    <w:p w14:paraId="0D742B0E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890.5360运动测量设备分类的器械——FDA打算豁免以下产品代码：</w:t>
      </w:r>
    </w:p>
    <w:p w14:paraId="167F0297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ISD——练习器，测量</w:t>
      </w:r>
    </w:p>
    <w:p w14:paraId="202EDD63">
      <w:pPr>
        <w:pStyle w:val="4"/>
        <w:topLinePunct/>
        <w:adjustRightInd w:val="0"/>
        <w:snapToGrid w:val="0"/>
        <w:spacing w:before="149" w:beforeLines="50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根据21 CFR 890.5575电动外部肢体超载警告器械分类的器械——FDA打算豁免以下产品代码：</w:t>
      </w:r>
    </w:p>
    <w:p w14:paraId="77C5ABD0">
      <w:pPr>
        <w:pStyle w:val="4"/>
        <w:topLinePunct/>
        <w:adjustRightInd w:val="0"/>
        <w:snapToGrid w:val="0"/>
        <w:spacing w:before="0" w:line="300" w:lineRule="auto"/>
        <w:ind w:left="849" w:leftChars="386"/>
        <w:jc w:val="both"/>
        <w:rPr>
          <w:rFonts w:ascii="Arial" w:hAnsi="Arial" w:cs="Arial"/>
          <w:snapToGrid w:val="0"/>
        </w:rPr>
      </w:pPr>
      <w:r>
        <w:rPr>
          <w:rFonts w:hint="eastAsia" w:ascii="Arial" w:hAnsi="Arial" w:cs="Arial"/>
          <w:snapToGrid w:val="0"/>
        </w:rPr>
        <w:t>IRN——器械，警告，超载，外部肢体，电动</w:t>
      </w:r>
    </w:p>
    <w:p w14:paraId="6F38018F">
      <w:pPr>
        <w:topLinePunct/>
        <w:adjustRightInd w:val="0"/>
        <w:snapToGrid w:val="0"/>
        <w:spacing w:before="149" w:beforeLines="50" w:line="300" w:lineRule="auto"/>
        <w:jc w:val="both"/>
        <w:rPr>
          <w:rFonts w:hint="eastAsia" w:eastAsia="宋体"/>
          <w:lang w:eastAsia="zh-CN"/>
        </w:rPr>
      </w:pPr>
    </w:p>
    <w:p w14:paraId="7736CAD4">
      <w:pPr>
        <w:topLinePunct/>
        <w:adjustRightInd w:val="0"/>
        <w:snapToGrid w:val="0"/>
        <w:spacing w:before="149" w:beforeLines="50" w:line="300" w:lineRule="auto"/>
        <w:jc w:val="center"/>
        <w:rPr>
          <w:rFonts w:hint="eastAsia" w:eastAsia="宋体"/>
          <w:lang w:eastAsia="zh-CN"/>
        </w:rPr>
      </w:pPr>
    </w:p>
    <w:p w14:paraId="723AD8AC">
      <w:pPr>
        <w:topLinePunct/>
        <w:adjustRightInd w:val="0"/>
        <w:snapToGrid w:val="0"/>
        <w:spacing w:before="149" w:beforeLines="50"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8"/>
      <w:pgMar w:top="1134" w:right="1440" w:bottom="1134" w:left="1440" w:header="720" w:footer="720" w:gutter="0"/>
      <w:pgNumType w:start="1"/>
      <w:cols w:space="720" w:num="1"/>
      <w:docGrid w:type="lines"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23954">
    <w:pPr>
      <w:rPr>
        <w:rFonts w:ascii="Arial" w:hAnsi="Arial" w:eastAsia="宋体" w:cs="Arial"/>
        <w:sz w:val="21"/>
        <w:szCs w:val="20"/>
      </w:rPr>
    </w:pPr>
  </w:p>
  <w:p w14:paraId="3B801459">
    <w:pPr>
      <w:jc w:val="right"/>
      <w:rPr>
        <w:rFonts w:ascii="Arial" w:hAnsi="Arial" w:eastAsia="宋体" w:cs="Arial"/>
        <w:sz w:val="21"/>
        <w:szCs w:val="20"/>
      </w:rPr>
    </w:pPr>
    <w:r>
      <w:rPr>
        <w:rFonts w:ascii="Arial" w:hAnsi="Arial" w:eastAsia="宋体" w:cs="Arial"/>
        <w:sz w:val="21"/>
        <w:szCs w:val="20"/>
      </w:rPr>
      <w:fldChar w:fldCharType="begin"/>
    </w:r>
    <w:r>
      <w:rPr>
        <w:rFonts w:ascii="Arial" w:hAnsi="Arial" w:eastAsia="宋体" w:cs="Arial"/>
        <w:sz w:val="21"/>
        <w:szCs w:val="20"/>
      </w:rPr>
      <w:instrText xml:space="preserve">PAGE   \* MERGEFORMAT</w:instrText>
    </w:r>
    <w:r>
      <w:rPr>
        <w:rFonts w:ascii="Arial" w:hAnsi="Arial" w:eastAsia="宋体" w:cs="Arial"/>
        <w:sz w:val="21"/>
        <w:szCs w:val="20"/>
      </w:rPr>
      <w:fldChar w:fldCharType="separate"/>
    </w:r>
    <w:r>
      <w:rPr>
        <w:rFonts w:ascii="Arial" w:hAnsi="Arial" w:eastAsia="宋体" w:cs="Arial"/>
        <w:sz w:val="21"/>
        <w:szCs w:val="20"/>
        <w:lang w:val="zh-CN"/>
      </w:rPr>
      <w:t>14</w:t>
    </w:r>
    <w:r>
      <w:rPr>
        <w:rFonts w:ascii="Arial" w:hAnsi="Arial" w:eastAsia="宋体" w:cs="Arial"/>
        <w:sz w:val="21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2D8F595A">
      <w:pPr>
        <w:pStyle w:val="9"/>
        <w:spacing w:line="300" w:lineRule="auto"/>
        <w:jc w:val="both"/>
        <w:rPr>
          <w:sz w:val="21"/>
          <w:szCs w:val="21"/>
        </w:rPr>
      </w:pPr>
      <w:r>
        <w:rPr>
          <w:rStyle w:val="14"/>
          <w:rFonts w:ascii="Arial" w:hAnsi="Arial" w:cs="Arial"/>
          <w:sz w:val="21"/>
          <w:szCs w:val="21"/>
        </w:rPr>
        <w:footnoteRef/>
      </w:r>
      <w:r>
        <w:rPr>
          <w:sz w:val="21"/>
          <w:szCs w:val="21"/>
        </w:rPr>
        <w:t xml:space="preserve"> </w:t>
      </w:r>
      <w:r>
        <w:rPr>
          <w:rFonts w:hint="eastAsia" w:ascii="Arial" w:hAnsi="Arial" w:eastAsia="宋体" w:cs="Arial"/>
          <w:snapToGrid w:val="0"/>
          <w:sz w:val="21"/>
          <w:szCs w:val="21"/>
        </w:rPr>
        <w:t>请注意，21 CFR 882.1030共济失调描记器被分类为I类（一般控制）。2001年，在FR中发布了有关本法规的更正（请参见66 FR 46951-46952），其中部分规定：</w:t>
      </w:r>
      <w:r>
        <w:rPr>
          <w:rFonts w:hint="eastAsia" w:ascii="宋体" w:hAnsi="宋体" w:eastAsia="宋体" w:cs="Arial"/>
          <w:snapToGrid w:val="0"/>
          <w:sz w:val="21"/>
          <w:szCs w:val="21"/>
        </w:rPr>
        <w:t>“</w:t>
      </w:r>
      <w:r>
        <w:rPr>
          <w:rFonts w:hint="eastAsia" w:ascii="Arial" w:hAnsi="Arial" w:eastAsia="宋体" w:cs="Arial"/>
          <w:snapToGrid w:val="0"/>
          <w:sz w:val="21"/>
          <w:szCs w:val="21"/>
        </w:rPr>
        <w:t>正如所公布的，无意在12个器械分类中加入了上市前通知要求豁免和一般限制语言引用，而此类器械分类不应含有该引用。此类器械不得豁免上市前通知要求。</w:t>
      </w:r>
      <w:r>
        <w:rPr>
          <w:rFonts w:hint="eastAsia" w:ascii="宋体" w:hAnsi="宋体" w:eastAsia="宋体" w:cs="Arial"/>
          <w:snapToGrid w:val="0"/>
          <w:sz w:val="21"/>
          <w:szCs w:val="21"/>
        </w:rPr>
        <w:t>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B92CE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9249C">
    <w:pPr>
      <w:pStyle w:val="7"/>
      <w:pBdr>
        <w:bottom w:val="none" w:color="auto" w:sz="0" w:space="0"/>
      </w:pBdr>
      <w:rPr>
        <w:rFonts w:ascii="Arial" w:hAnsi="Arial" w:eastAsia="宋体" w:cs="Arial"/>
        <w:b/>
        <w:i/>
        <w:snapToGrid w:val="0"/>
        <w:sz w:val="21"/>
        <w:szCs w:val="24"/>
      </w:rPr>
    </w:pPr>
    <w:r>
      <w:rPr>
        <w:rFonts w:hint="eastAsia" w:ascii="Arial" w:hAnsi="Arial" w:eastAsia="宋体" w:cs="Arial"/>
        <w:b/>
        <w:i/>
        <w:snapToGrid w:val="0"/>
        <w:sz w:val="21"/>
        <w:szCs w:val="24"/>
      </w:rPr>
      <w:t>所含建议不具约束力</w:t>
    </w:r>
  </w:p>
  <w:p w14:paraId="55CD3788">
    <w:pPr>
      <w:pStyle w:val="7"/>
      <w:pBdr>
        <w:bottom w:val="none" w:color="auto" w:sz="0" w:space="0"/>
      </w:pBdr>
    </w:pPr>
  </w:p>
  <w:p w14:paraId="276648B1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DC4A32"/>
    <w:multiLevelType w:val="multilevel"/>
    <w:tmpl w:val="28DC4A32"/>
    <w:lvl w:ilvl="0" w:tentative="0">
      <w:start w:val="1"/>
      <w:numFmt w:val="upperRoman"/>
      <w:lvlText w:val="%1."/>
      <w:lvlJc w:val="left"/>
      <w:pPr>
        <w:ind w:left="820" w:hanging="720"/>
        <w:jc w:val="left"/>
      </w:pPr>
      <w:rPr>
        <w:rFonts w:hint="default" w:ascii="Arial" w:hAnsi="Arial" w:eastAsia="Times New Roman" w:cs="Arial"/>
        <w:spacing w:val="-1"/>
        <w:w w:val="100"/>
        <w:sz w:val="24"/>
        <w:szCs w:val="24"/>
      </w:rPr>
    </w:lvl>
    <w:lvl w:ilvl="1" w:tentative="0">
      <w:start w:val="1"/>
      <w:numFmt w:val="upperRoman"/>
      <w:lvlText w:val="%2."/>
      <w:lvlJc w:val="left"/>
      <w:pPr>
        <w:ind w:left="460" w:hanging="720"/>
        <w:jc w:val="right"/>
      </w:pPr>
      <w:rPr>
        <w:rFonts w:hint="default" w:ascii="Arial" w:hAnsi="Arial" w:eastAsia="Times New Roman" w:cs="Arial"/>
        <w:b/>
        <w:bCs/>
        <w:spacing w:val="-6"/>
        <w:w w:val="100"/>
        <w:sz w:val="32"/>
        <w:szCs w:val="36"/>
      </w:rPr>
    </w:lvl>
    <w:lvl w:ilvl="2" w:tentative="0">
      <w:start w:val="1"/>
      <w:numFmt w:val="bullet"/>
      <w:lvlText w:val="•"/>
      <w:lvlJc w:val="left"/>
      <w:pPr>
        <w:ind w:left="1751" w:hanging="72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682" w:hanging="72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3613" w:hanging="72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544" w:hanging="72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475" w:hanging="72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406" w:hanging="72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337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rawingGridVerticalSpacing w:val="299"/>
  <w:displayHorizontalDrawingGridEvery w:val="2"/>
  <w:characterSpacingControl w:val="doNotCompress"/>
  <w:footnotePr>
    <w:footnote w:id="2"/>
    <w:footnote w:id="3"/>
  </w:foot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06"/>
    <w:rsid w:val="000071FB"/>
    <w:rsid w:val="00011BD5"/>
    <w:rsid w:val="00027A12"/>
    <w:rsid w:val="00057497"/>
    <w:rsid w:val="00074A65"/>
    <w:rsid w:val="000C0DE1"/>
    <w:rsid w:val="000C7B96"/>
    <w:rsid w:val="000E313B"/>
    <w:rsid w:val="00117995"/>
    <w:rsid w:val="001278C9"/>
    <w:rsid w:val="00156E9B"/>
    <w:rsid w:val="00166982"/>
    <w:rsid w:val="0018195A"/>
    <w:rsid w:val="001927A9"/>
    <w:rsid w:val="00192C28"/>
    <w:rsid w:val="001B7018"/>
    <w:rsid w:val="001C7407"/>
    <w:rsid w:val="00201BB3"/>
    <w:rsid w:val="00217010"/>
    <w:rsid w:val="00240F38"/>
    <w:rsid w:val="00270D36"/>
    <w:rsid w:val="00272BAD"/>
    <w:rsid w:val="002841D9"/>
    <w:rsid w:val="00287576"/>
    <w:rsid w:val="00331F48"/>
    <w:rsid w:val="003F4C44"/>
    <w:rsid w:val="00516741"/>
    <w:rsid w:val="005215E0"/>
    <w:rsid w:val="005F7DB5"/>
    <w:rsid w:val="00773969"/>
    <w:rsid w:val="007D30B8"/>
    <w:rsid w:val="007E64F8"/>
    <w:rsid w:val="00862508"/>
    <w:rsid w:val="008742C2"/>
    <w:rsid w:val="00881459"/>
    <w:rsid w:val="00885843"/>
    <w:rsid w:val="00915A17"/>
    <w:rsid w:val="009A2606"/>
    <w:rsid w:val="00A00360"/>
    <w:rsid w:val="00AB5046"/>
    <w:rsid w:val="00AE3599"/>
    <w:rsid w:val="00B01EE7"/>
    <w:rsid w:val="00B35B1D"/>
    <w:rsid w:val="00B42B58"/>
    <w:rsid w:val="00B51161"/>
    <w:rsid w:val="00B8444B"/>
    <w:rsid w:val="00C37E97"/>
    <w:rsid w:val="00CA3456"/>
    <w:rsid w:val="00CC7775"/>
    <w:rsid w:val="00CF4D3C"/>
    <w:rsid w:val="00DA6BA9"/>
    <w:rsid w:val="00DB7877"/>
    <w:rsid w:val="00E13BF1"/>
    <w:rsid w:val="00E576B6"/>
    <w:rsid w:val="00EA03E0"/>
    <w:rsid w:val="00EC2E64"/>
    <w:rsid w:val="00FD321B"/>
    <w:rsid w:val="1BF1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left="100"/>
      <w:outlineLvl w:val="0"/>
    </w:pPr>
    <w:rPr>
      <w:rFonts w:ascii="Times New Roman" w:hAnsi="Times New Roman" w:eastAsia="宋体"/>
      <w:b/>
      <w:bCs/>
      <w:sz w:val="36"/>
      <w:szCs w:val="36"/>
    </w:rPr>
  </w:style>
  <w:style w:type="paragraph" w:styleId="3">
    <w:name w:val="heading 2"/>
    <w:basedOn w:val="1"/>
    <w:qFormat/>
    <w:uiPriority w:val="1"/>
    <w:pPr>
      <w:ind w:left="100"/>
      <w:outlineLvl w:val="1"/>
    </w:pPr>
    <w:rPr>
      <w:rFonts w:ascii="Times New Roman" w:hAnsi="Times New Roman" w:eastAsia="宋体"/>
      <w:b/>
      <w:bCs/>
      <w:sz w:val="24"/>
      <w:szCs w:val="24"/>
      <w:u w:val="single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"/>
      <w:ind w:left="820"/>
    </w:pPr>
    <w:rPr>
      <w:rFonts w:ascii="Times New Roman" w:hAnsi="Times New Roman" w:eastAsia="宋体"/>
      <w:sz w:val="24"/>
      <w:szCs w:val="24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qFormat/>
    <w:uiPriority w:val="39"/>
    <w:pPr>
      <w:spacing w:before="4"/>
      <w:ind w:left="820" w:hanging="720"/>
    </w:pPr>
    <w:rPr>
      <w:rFonts w:ascii="Times New Roman" w:hAnsi="Times New Roman" w:eastAsia="宋体"/>
      <w:sz w:val="20"/>
      <w:szCs w:val="20"/>
    </w:rPr>
  </w:style>
  <w:style w:type="paragraph" w:styleId="9">
    <w:name w:val="footnote text"/>
    <w:basedOn w:val="1"/>
    <w:link w:val="21"/>
    <w:semiHidden/>
    <w:unhideWhenUsed/>
    <w:uiPriority w:val="99"/>
    <w:pPr>
      <w:snapToGrid w:val="0"/>
    </w:pPr>
    <w:rPr>
      <w:sz w:val="18"/>
      <w:szCs w:val="18"/>
    </w:rPr>
  </w:style>
  <w:style w:type="paragraph" w:styleId="10">
    <w:name w:val="toc 2"/>
    <w:basedOn w:val="1"/>
    <w:qFormat/>
    <w:uiPriority w:val="39"/>
    <w:pPr>
      <w:spacing w:before="4"/>
      <w:ind w:left="300"/>
    </w:pPr>
    <w:rPr>
      <w:rFonts w:ascii="Times New Roman" w:hAnsi="Times New Roman" w:eastAsia="宋体"/>
      <w:sz w:val="20"/>
      <w:szCs w:val="20"/>
    </w:rPr>
  </w:style>
  <w:style w:type="character" w:styleId="13">
    <w:name w:val="Hyperlink"/>
    <w:basedOn w:val="1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footnote reference"/>
    <w:basedOn w:val="12"/>
    <w:semiHidden/>
    <w:unhideWhenUsed/>
    <w:uiPriority w:val="99"/>
    <w:rPr>
      <w:vertAlign w:val="superscript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批注框文本 Char"/>
    <w:basedOn w:val="12"/>
    <w:link w:val="5"/>
    <w:semiHidden/>
    <w:uiPriority w:val="99"/>
    <w:rPr>
      <w:sz w:val="18"/>
      <w:szCs w:val="18"/>
    </w:rPr>
  </w:style>
  <w:style w:type="character" w:customStyle="1" w:styleId="19">
    <w:name w:val="页眉 Char"/>
    <w:basedOn w:val="12"/>
    <w:link w:val="7"/>
    <w:uiPriority w:val="99"/>
    <w:rPr>
      <w:sz w:val="18"/>
      <w:szCs w:val="18"/>
    </w:rPr>
  </w:style>
  <w:style w:type="character" w:customStyle="1" w:styleId="20">
    <w:name w:val="页脚 Char"/>
    <w:basedOn w:val="12"/>
    <w:link w:val="6"/>
    <w:uiPriority w:val="99"/>
    <w:rPr>
      <w:sz w:val="18"/>
      <w:szCs w:val="18"/>
    </w:rPr>
  </w:style>
  <w:style w:type="character" w:customStyle="1" w:styleId="21">
    <w:name w:val="脚注文本 Char"/>
    <w:basedOn w:val="12"/>
    <w:link w:val="9"/>
    <w:semiHidden/>
    <w:uiPriority w:val="99"/>
    <w:rPr>
      <w:sz w:val="18"/>
      <w:szCs w:val="18"/>
    </w:rPr>
  </w:style>
  <w:style w:type="paragraph" w:customStyle="1" w:styleId="22">
    <w:name w:val="TOC Heading"/>
    <w:basedOn w:val="2"/>
    <w:next w:val="1"/>
    <w:semiHidden/>
    <w:unhideWhenUsed/>
    <w:qFormat/>
    <w:uiPriority w:val="39"/>
    <w:pPr>
      <w:keepNext/>
      <w:keepLines/>
      <w:widowControl/>
      <w:spacing w:before="480" w:line="276" w:lineRule="auto"/>
      <w:ind w:left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ADE47-FA68-4044-915D-9C8BA7FA5B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15</Pages>
  <Words>5872</Words>
  <Characters>7588</Characters>
  <Lines>68</Lines>
  <Paragraphs>19</Paragraphs>
  <TotalTime>0</TotalTime>
  <ScaleCrop>false</ScaleCrop>
  <LinksUpToDate>false</LinksUpToDate>
  <CharactersWithSpaces>7835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2017-12-18T14:52:00Z</dcterms:created>
  <dc:creator>CDRH</dc:creator>
  <cp:lastModifiedBy>太极箫客</cp:lastModifiedBy>
  <dcterms:modified xsi:type="dcterms:W3CDTF">2025-08-14T07:29:28Z</dcterms:modified>
  <dc:title>Intent to Exempt Certain Unclassified, Class II, and Class I Reserved Medical Devices from Premarket Notification Requirements - Guidance for Industry and Food and Drug Administration Staff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2015-08-11T00:00:00Z</vt:filetime>
  </property>
  <property fmtid="{D5CDD505-2E9C-101B-9397-08002B2CF9AE}" pid="3" name="Creator">
    <vt:lpwstr>CommonLook Office-1.2.5.17</vt:lpwstr>
  </property>
  <property fmtid="{D5CDD505-2E9C-101B-9397-08002B2CF9AE}" pid="4" name="LastSaved">
    <vt:filetime>2017-11-06T00:00:00Z</vt:filetime>
  </property>
  <property fmtid="{D5CDD505-2E9C-101B-9397-08002B2CF9AE}" pid="5" name="KSOTemplateDocerSaveRecord">
    <vt:lpwstr>eyJoZGlkIjoiMDJiMzI3ODBiNTFmMWRjNDUyMjM1ZmZjODY5NDc2MWMiLCJ1c2VySWQiOiI0NTQ4Nzg1NzAifQ==</vt:lpwstr>
  </property>
  <property fmtid="{D5CDD505-2E9C-101B-9397-08002B2CF9AE}" pid="6" name="KSOProductBuildVer">
    <vt:lpwstr>2052-12.1.0.21915</vt:lpwstr>
  </property>
  <property fmtid="{D5CDD505-2E9C-101B-9397-08002B2CF9AE}" pid="7" name="ICV">
    <vt:lpwstr>23EE624026CB4150AF9297AE6CB046D5_12</vt:lpwstr>
  </property>
</Properties>
</file>