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CF24BB">
      <w:pPr>
        <w:spacing w:before="187"/>
      </w:pPr>
      <w:bookmarkStart w:id="26" w:name="_GoBack"/>
      <w:bookmarkEnd w:id="26"/>
    </w:p>
    <w:p w14:paraId="4ED31BA4">
      <w:pPr>
        <w:spacing w:before="187"/>
      </w:pPr>
    </w:p>
    <w:p w14:paraId="63B78EEF">
      <w:pPr>
        <w:spacing w:before="187"/>
      </w:pPr>
    </w:p>
    <w:p w14:paraId="06F23809">
      <w:pPr>
        <w:spacing w:before="187"/>
      </w:pPr>
    </w:p>
    <w:p w14:paraId="2E2FBC3A">
      <w:pPr>
        <w:spacing w:before="187"/>
      </w:pPr>
    </w:p>
    <w:p w14:paraId="44B1789A">
      <w:pPr>
        <w:spacing w:before="187"/>
      </w:pPr>
    </w:p>
    <w:p w14:paraId="3B55E76F">
      <w:pPr>
        <w:spacing w:before="187"/>
        <w:jc w:val="center"/>
      </w:pPr>
      <w:r>
        <w:rPr>
          <w:rFonts w:hint="eastAsia"/>
        </w:rPr>
        <w:t>本指南编写于</w:t>
      </w:r>
      <w:r>
        <w:t>1997年2月27日实施FDA的良好指导规范（GGP）之前。其不会为任何人创造或赋予任何权利，也不对FDA或公众具有约束力。如果替代方法满足适用的法律、法规或其两者的要求，可以使用替代方法。本指南将在下一版本中更新，以纳入GGP的标准部分。</w:t>
      </w:r>
    </w:p>
    <w:p w14:paraId="2CE69608">
      <w:pPr>
        <w:spacing w:before="187"/>
      </w:pPr>
    </w:p>
    <w:p w14:paraId="08998777">
      <w:pPr>
        <w:spacing w:before="187"/>
      </w:pPr>
      <w:r>
        <w:br w:type="page"/>
      </w:r>
    </w:p>
    <w:p w14:paraId="7B5EB49D">
      <w:pPr>
        <w:spacing w:before="187"/>
      </w:pPr>
      <w:bookmarkStart w:id="0" w:name="OLE_LINK2"/>
      <w:bookmarkStart w:id="1" w:name="OLE_LINK1"/>
    </w:p>
    <w:p w14:paraId="43BC4095">
      <w:pPr>
        <w:spacing w:before="187"/>
        <w:jc w:val="center"/>
        <w:rPr>
          <w:b/>
        </w:rPr>
      </w:pPr>
      <w:r>
        <w:rPr>
          <w:b/>
        </w:rPr>
        <w:t>评估药敏检测纸片</w:t>
      </w:r>
      <w:r>
        <w:rPr>
          <w:rFonts w:hint="eastAsia"/>
          <w:b/>
        </w:rPr>
        <w:t>的</w:t>
      </w:r>
      <w:r>
        <w:rPr>
          <w:b/>
        </w:rPr>
        <w:t>审查标准</w:t>
      </w:r>
    </w:p>
    <w:bookmarkEnd w:id="0"/>
    <w:bookmarkEnd w:id="1"/>
    <w:p w14:paraId="52B06935">
      <w:pPr>
        <w:spacing w:before="187"/>
      </w:pPr>
    </w:p>
    <w:p w14:paraId="7F53A6E6">
      <w:pPr>
        <w:spacing w:before="187"/>
      </w:pPr>
    </w:p>
    <w:p w14:paraId="1F1066B1">
      <w:pPr>
        <w:spacing w:before="187"/>
      </w:pPr>
    </w:p>
    <w:p w14:paraId="35A4F86C">
      <w:pPr>
        <w:spacing w:before="187"/>
        <w:rPr>
          <w:b/>
        </w:rPr>
      </w:pPr>
      <w:r>
        <w:rPr>
          <w:b/>
        </w:rPr>
        <w:t>本文件</w:t>
      </w:r>
      <w:r>
        <w:rPr>
          <w:rFonts w:hint="eastAsia"/>
          <w:b/>
        </w:rPr>
        <w:t>旨在为法规提交材料</w:t>
      </w:r>
      <w:r>
        <w:rPr>
          <w:b/>
        </w:rPr>
        <w:t>的准备过程提供</w:t>
      </w:r>
      <w:r>
        <w:rPr>
          <w:rFonts w:hint="eastAsia"/>
          <w:b/>
        </w:rPr>
        <w:t>指南</w:t>
      </w:r>
      <w:r>
        <w:rPr>
          <w:b/>
        </w:rPr>
        <w:t>。其不会以任何方式对FDA或受管制行业产生约束。</w:t>
      </w:r>
    </w:p>
    <w:p w14:paraId="1EDC3486">
      <w:pPr>
        <w:spacing w:before="187"/>
      </w:pPr>
    </w:p>
    <w:p w14:paraId="6071711D">
      <w:pPr>
        <w:spacing w:before="187"/>
      </w:pPr>
    </w:p>
    <w:p w14:paraId="61C0356D">
      <w:pPr>
        <w:spacing w:before="187"/>
      </w:pPr>
    </w:p>
    <w:p w14:paraId="55307077">
      <w:pPr>
        <w:spacing w:before="187"/>
      </w:pPr>
    </w:p>
    <w:p w14:paraId="6F274C0F">
      <w:pPr>
        <w:spacing w:before="187"/>
        <w:jc w:val="center"/>
      </w:pPr>
      <w:r>
        <w:t>临床实验器械部门微生物学分部，器械评估办公室</w:t>
      </w:r>
    </w:p>
    <w:p w14:paraId="5BD18242">
      <w:pPr>
        <w:spacing w:before="187"/>
      </w:pPr>
    </w:p>
    <w:p w14:paraId="0EBE5227">
      <w:pPr>
        <w:spacing w:before="187"/>
        <w:jc w:val="center"/>
      </w:pPr>
      <w:r>
        <w:t>文件发布时间：1996年10月30日</w:t>
      </w:r>
    </w:p>
    <w:p w14:paraId="0D0385E3">
      <w:pPr>
        <w:spacing w:before="187"/>
      </w:pPr>
    </w:p>
    <w:p w14:paraId="50FBABE7">
      <w:pPr>
        <w:spacing w:before="187"/>
      </w:pPr>
    </w:p>
    <w:p w14:paraId="251767C8">
      <w:pPr>
        <w:spacing w:before="187"/>
      </w:pPr>
    </w:p>
    <w:p w14:paraId="2879D4C9">
      <w:pPr>
        <w:spacing w:before="187"/>
      </w:pPr>
      <w:r>
        <w:t>虽然本指导文件为最终版文件，但在任何时候均可以通过写信给如下地址的方式给出评论及建议：Sharon L. Hansen</w:t>
      </w:r>
      <w:r>
        <w:rPr>
          <w:rFonts w:hint="eastAsia"/>
        </w:rPr>
        <w:t>博士，</w:t>
      </w:r>
      <w:r>
        <w:t xml:space="preserve"> Gaither Road 2098</w:t>
      </w:r>
      <w:r>
        <w:rPr>
          <w:rFonts w:hint="eastAsia"/>
        </w:rPr>
        <w:t>号</w:t>
      </w:r>
      <w:r>
        <w:t>, (HFZ-440)</w:t>
      </w:r>
      <w:r>
        <w:rPr>
          <w:rFonts w:hint="eastAsia"/>
        </w:rPr>
        <w:t>，</w:t>
      </w:r>
      <w:r>
        <w:t>Rockville</w:t>
      </w:r>
      <w:r>
        <w:rPr>
          <w:rFonts w:hint="eastAsia"/>
        </w:rPr>
        <w:t>，医学博士，</w:t>
      </w:r>
      <w:r>
        <w:t>20850</w:t>
      </w:r>
      <w:r>
        <w:rPr>
          <w:rFonts w:hint="eastAsia"/>
        </w:rPr>
        <w:t>， 供部门审议。</w:t>
      </w:r>
      <w:r>
        <w:t>如果对于本指南的使用或解释有疑问，可以联系Sharon L. Hansen博士，电话为（301）594-2096。</w:t>
      </w:r>
    </w:p>
    <w:p w14:paraId="72CED461">
      <w:pPr>
        <w:spacing w:before="187"/>
      </w:pPr>
    </w:p>
    <w:p w14:paraId="699D4380">
      <w:pPr>
        <w:spacing w:before="187"/>
        <w:jc w:val="center"/>
      </w:pPr>
      <w:r>
        <w:rPr>
          <w:rFonts w:hint="eastAsia"/>
        </w:rPr>
        <w:t>卫生与公众服务部</w:t>
      </w:r>
      <w:r>
        <w:br w:type="textWrapping"/>
      </w:r>
      <w:r>
        <w:rPr>
          <w:rFonts w:hint="eastAsia"/>
        </w:rPr>
        <w:t>食品药品监督管理局</w:t>
      </w:r>
      <w:r>
        <w:br w:type="textWrapping"/>
      </w:r>
      <w:r>
        <w:rPr>
          <w:rFonts w:hint="eastAsia"/>
        </w:rPr>
        <w:t>器械与放射健康中心</w:t>
      </w:r>
    </w:p>
    <w:p w14:paraId="10386EA7">
      <w:pPr>
        <w:spacing w:before="187"/>
      </w:pPr>
    </w:p>
    <w:p w14:paraId="6DBAAD7D">
      <w:pPr>
        <w:spacing w:before="187"/>
        <w:sectPr>
          <w:headerReference r:id="rId7" w:type="first"/>
          <w:footerReference r:id="rId10" w:type="first"/>
          <w:headerReference r:id="rId5" w:type="default"/>
          <w:footerReference r:id="rId8" w:type="default"/>
          <w:headerReference r:id="rId6" w:type="even"/>
          <w:footerReference r:id="rId9" w:type="even"/>
          <w:pgSz w:w="11906" w:h="16838"/>
          <w:pgMar w:top="1418" w:right="1418" w:bottom="1418" w:left="1418" w:header="720" w:footer="720" w:gutter="0"/>
          <w:cols w:space="720" w:num="1"/>
          <w:docGrid w:type="lines" w:linePitch="312" w:charSpace="0"/>
        </w:sectPr>
      </w:pPr>
    </w:p>
    <w:p w14:paraId="776BDB93">
      <w:pPr>
        <w:spacing w:before="195"/>
      </w:pPr>
    </w:p>
    <w:p w14:paraId="30D918AB">
      <w:pPr>
        <w:spacing w:before="195"/>
      </w:pPr>
    </w:p>
    <w:p w14:paraId="7506058F">
      <w:pPr>
        <w:spacing w:before="195"/>
      </w:pPr>
    </w:p>
    <w:p w14:paraId="65F5F343">
      <w:pPr>
        <w:spacing w:before="195"/>
      </w:pPr>
    </w:p>
    <w:p w14:paraId="649D548A">
      <w:pPr>
        <w:spacing w:before="195"/>
        <w:jc w:val="center"/>
        <w:rPr>
          <w:b/>
        </w:rPr>
      </w:pPr>
      <w:bookmarkStart w:id="2" w:name="OLE_LINK10"/>
      <w:bookmarkStart w:id="3" w:name="OLE_LINK11"/>
      <w:r>
        <w:rPr>
          <w:b/>
        </w:rPr>
        <w:t>评估药敏检测纸片的审查标准</w:t>
      </w:r>
    </w:p>
    <w:bookmarkEnd w:id="2"/>
    <w:bookmarkEnd w:id="3"/>
    <w:p w14:paraId="7E526E1F">
      <w:pPr>
        <w:spacing w:before="195"/>
        <w:jc w:val="center"/>
      </w:pPr>
    </w:p>
    <w:p w14:paraId="419AC8D2">
      <w:pPr>
        <w:spacing w:before="195"/>
        <w:jc w:val="center"/>
      </w:pPr>
      <w:r>
        <w:rPr>
          <w:rFonts w:hint="eastAsia"/>
        </w:rPr>
        <w:t>上市前通告</w:t>
      </w:r>
    </w:p>
    <w:p w14:paraId="7D6A2FE5">
      <w:pPr>
        <w:spacing w:before="195"/>
      </w:pPr>
    </w:p>
    <w:p w14:paraId="66ED792D">
      <w:pPr>
        <w:pStyle w:val="8"/>
        <w:numPr>
          <w:ilvl w:val="0"/>
          <w:numId w:val="1"/>
        </w:numPr>
        <w:tabs>
          <w:tab w:val="left" w:pos="480"/>
        </w:tabs>
        <w:spacing w:before="195"/>
        <w:ind w:left="0" w:firstLine="0" w:firstLineChars="0"/>
        <w:rPr>
          <w:b/>
        </w:rPr>
      </w:pPr>
      <w:r>
        <w:rPr>
          <w:rFonts w:hint="eastAsia"/>
          <w:b/>
        </w:rPr>
        <w:t>简介</w:t>
      </w:r>
    </w:p>
    <w:p w14:paraId="65772884">
      <w:pPr>
        <w:pStyle w:val="8"/>
        <w:numPr>
          <w:ilvl w:val="1"/>
          <w:numId w:val="2"/>
        </w:numPr>
        <w:tabs>
          <w:tab w:val="left" w:pos="960"/>
        </w:tabs>
        <w:spacing w:before="195"/>
        <w:ind w:left="480" w:leftChars="200" w:firstLineChars="0"/>
      </w:pPr>
      <w:r>
        <w:rPr>
          <w:rFonts w:hint="eastAsia"/>
        </w:rPr>
        <w:t>指南的简介及目的</w:t>
      </w:r>
    </w:p>
    <w:p w14:paraId="0E16F0B6">
      <w:pPr>
        <w:spacing w:before="195"/>
        <w:ind w:left="480" w:leftChars="200"/>
      </w:pPr>
      <w:r>
        <w:rPr>
          <w:rFonts w:hint="eastAsia"/>
        </w:rPr>
        <w:t>本文件描述</w:t>
      </w:r>
      <w:r>
        <w:t>药敏检测纸片</w:t>
      </w:r>
      <w:r>
        <w:rPr>
          <w:rFonts w:hint="eastAsia"/>
        </w:rPr>
        <w:t>目前的审查指南。该指南基于1）当前的科学知识，2）临床经验，3）生产厂商前期提交给食品药品监督管理局（FDA）的材料，以及4）1990年《安全医疗器械法案》和美国联邦法规的FDA法规（CFR）。随着科技和医学的进步，国家立法的实施发生一些变化，根据需要对这些审查标准进行评估和修订。</w:t>
      </w:r>
    </w:p>
    <w:p w14:paraId="15569411">
      <w:pPr>
        <w:spacing w:before="195"/>
        <w:ind w:left="480" w:leftChars="200"/>
      </w:pPr>
      <w:r>
        <w:rPr>
          <w:rFonts w:hint="eastAsia"/>
        </w:rPr>
        <w:t>本文件为CFR及其他关于510（k）申请材料准备和审查的FDA指导性文件的附件。本文件并不能取代上述文件，但能够在FDA许可器械上市前提供更多明确的要求。提交材料必须提供证据证明该器械安全、有效，并且与美国已合法上市的比较器械具有实质等同性。在某些情况下，可以通过与标准参考方法进行比较的方式确定该医疗器械的性能。</w:t>
      </w:r>
    </w:p>
    <w:p w14:paraId="4525DAEA">
      <w:pPr>
        <w:spacing w:before="195"/>
        <w:ind w:left="480" w:leftChars="200"/>
      </w:pPr>
      <w:r>
        <w:rPr>
          <w:rFonts w:hint="eastAsia"/>
        </w:rPr>
        <w:t>医疗器械上市前通告（510（k））所需要信息的主要参考依据是21 CFR</w:t>
      </w:r>
      <w:r>
        <w:t xml:space="preserve"> 807.87</w:t>
      </w:r>
      <w:r>
        <w:rPr>
          <w:rFonts w:hint="eastAsia"/>
        </w:rPr>
        <w:t>。确定已合法上市医疗器械的实质等同性需要考虑但不限于以下方面：预期用途、设计、电源与电源传输、材料、性能、安全性、有效性、标签及其他适用的特点。</w:t>
      </w:r>
    </w:p>
    <w:p w14:paraId="77A9605F">
      <w:pPr>
        <w:pStyle w:val="8"/>
        <w:numPr>
          <w:ilvl w:val="1"/>
          <w:numId w:val="2"/>
        </w:numPr>
        <w:tabs>
          <w:tab w:val="left" w:pos="960"/>
        </w:tabs>
        <w:spacing w:before="195"/>
        <w:ind w:left="480" w:leftChars="200" w:firstLineChars="0"/>
      </w:pPr>
      <w:r>
        <w:rPr>
          <w:rFonts w:hint="eastAsia"/>
        </w:rPr>
        <w:t>产品简介</w:t>
      </w:r>
    </w:p>
    <w:p w14:paraId="7096C017">
      <w:pPr>
        <w:spacing w:before="195"/>
        <w:ind w:left="480" w:leftChars="200"/>
      </w:pPr>
      <w:r>
        <w:rPr>
          <w:rFonts w:hint="eastAsia"/>
        </w:rPr>
        <w:t>根据FDA法规21 CFR</w:t>
      </w:r>
      <w:r>
        <w:t xml:space="preserve"> 866.1620</w:t>
      </w:r>
      <w:r>
        <w:rPr>
          <w:rFonts w:hint="eastAsia"/>
        </w:rPr>
        <w:t>（a）的描述，</w:t>
      </w:r>
      <w:r>
        <w:t>药敏检测纸片</w:t>
      </w:r>
      <w:r>
        <w:rPr>
          <w:rFonts w:hint="eastAsia"/>
        </w:rPr>
        <w:t>是一种“</w:t>
      </w:r>
      <w:bookmarkStart w:id="4" w:name="OLE_LINK12"/>
      <w:bookmarkStart w:id="5" w:name="OLE_LINK13"/>
      <w:r>
        <w:rPr>
          <w:rFonts w:hint="eastAsia"/>
        </w:rPr>
        <w:t>浸有药敏试验成分的纸片</w:t>
      </w:r>
      <w:bookmarkEnd w:id="4"/>
      <w:bookmarkEnd w:id="5"/>
      <w:r>
        <w:rPr>
          <w:rFonts w:hint="eastAsia"/>
        </w:rPr>
        <w:t>，通过</w:t>
      </w:r>
      <w:bookmarkStart w:id="6" w:name="OLE_LINK7"/>
      <w:bookmarkStart w:id="7" w:name="OLE_LINK6"/>
      <w:r>
        <w:rPr>
          <w:rFonts w:hint="eastAsia"/>
        </w:rPr>
        <w:t>纸片琼脂扩散技术</w:t>
      </w:r>
      <w:bookmarkEnd w:id="6"/>
      <w:bookmarkEnd w:id="7"/>
      <w:r>
        <w:rPr>
          <w:rFonts w:hint="eastAsia"/>
        </w:rPr>
        <w:t>或</w:t>
      </w:r>
      <w:bookmarkStart w:id="8" w:name="OLE_LINK8"/>
      <w:bookmarkStart w:id="9" w:name="OLE_LINK9"/>
      <w:r>
        <w:rPr>
          <w:rFonts w:hint="eastAsia"/>
        </w:rPr>
        <w:t>肉汤盘洗脱技术</w:t>
      </w:r>
      <w:bookmarkEnd w:id="8"/>
      <w:bookmarkEnd w:id="9"/>
      <w:r>
        <w:rPr>
          <w:rFonts w:hint="eastAsia"/>
        </w:rPr>
        <w:t>对大多数具有重要临床意义的细菌病原体进行抗菌剂的体外药敏测试。使用纸片琼脂扩散技术时，使用下述类型的器械直接对细菌药敏性进行判断：1）</w:t>
      </w:r>
      <w:r>
        <w:t>Becton Dickinson’s Sensi-Disc</w:t>
      </w:r>
      <w:r>
        <w:rPr>
          <w:rFonts w:hint="eastAsia"/>
        </w:rPr>
        <w:t>，其使用浸有特定抗菌剂的纸片制备。每片纸片均在两侧标有制剂与成分，成品为50片每盒。2）</w:t>
      </w:r>
      <w:r>
        <w:t>Difco’s Dispens-O-Discs</w:t>
      </w:r>
      <w:r>
        <w:rPr>
          <w:rFonts w:hint="eastAsia"/>
        </w:rPr>
        <w:t>，成品为自动取出的试剂盒，每盒为50片。</w:t>
      </w:r>
    </w:p>
    <w:p w14:paraId="2A646AD2">
      <w:pPr>
        <w:pStyle w:val="8"/>
        <w:numPr>
          <w:ilvl w:val="1"/>
          <w:numId w:val="2"/>
        </w:numPr>
        <w:tabs>
          <w:tab w:val="left" w:pos="960"/>
        </w:tabs>
        <w:spacing w:before="195"/>
        <w:ind w:left="480" w:leftChars="200" w:firstLineChars="0"/>
      </w:pPr>
      <w:r>
        <w:rPr>
          <w:rFonts w:hint="eastAsia"/>
        </w:rPr>
        <w:t>法规背景</w:t>
      </w:r>
    </w:p>
    <w:p w14:paraId="2C9CD8D2">
      <w:pPr>
        <w:spacing w:before="195"/>
        <w:ind w:left="480" w:leftChars="200"/>
      </w:pPr>
      <w:r>
        <w:rPr>
          <w:rFonts w:hint="eastAsia"/>
        </w:rPr>
        <w:t>在1982年11月9日的联邦公报（47 CFR</w:t>
      </w:r>
      <w:r>
        <w:t xml:space="preserve"> 50814</w:t>
      </w:r>
      <w:r>
        <w:rPr>
          <w:rFonts w:hint="eastAsia"/>
        </w:rPr>
        <w:t>）中，最终规定将药敏测试纸片（21 CFR</w:t>
      </w:r>
      <w:r>
        <w:t xml:space="preserve"> </w:t>
      </w:r>
      <w:r>
        <w:rPr>
          <w:rFonts w:hint="eastAsia"/>
        </w:rPr>
        <w:t>§</w:t>
      </w:r>
      <w:r>
        <w:t>866.1620</w:t>
      </w:r>
      <w:r>
        <w:rPr>
          <w:rFonts w:hint="eastAsia"/>
        </w:rPr>
        <w:t>）归为II类。这表明这一类医疗器械受到II类器械的控制。1991年5月，FDA发布文件《</w:t>
      </w:r>
      <w:bookmarkStart w:id="10" w:name="OLE_LINK23"/>
      <w:bookmarkStart w:id="11" w:name="OLE_LINK24"/>
      <w:r>
        <w:t>评估药敏检测纸片的审查标准</w:t>
      </w:r>
      <w:r>
        <w:rPr>
          <w:rFonts w:hint="eastAsia"/>
        </w:rPr>
        <w:t>》</w:t>
      </w:r>
      <w:bookmarkEnd w:id="10"/>
      <w:bookmarkEnd w:id="11"/>
      <w:r>
        <w:rPr>
          <w:rFonts w:hint="eastAsia"/>
        </w:rPr>
        <w:t>，在药敏测试系统中对药敏测试纸片进行描述。同时，该文件进一步指出，由于在抗菌药物（21 CFR</w:t>
      </w:r>
      <w:r>
        <w:t xml:space="preserve"> </w:t>
      </w:r>
      <w:r>
        <w:rPr>
          <w:rFonts w:hint="eastAsia"/>
        </w:rPr>
        <w:t>§</w:t>
      </w:r>
      <w:r>
        <w:t>430</w:t>
      </w:r>
      <w:r>
        <w:rPr>
          <w:rFonts w:hint="eastAsia"/>
        </w:rPr>
        <w:t>,</w:t>
      </w:r>
      <w:r>
        <w:t xml:space="preserve"> </w:t>
      </w:r>
      <w:r>
        <w:rPr>
          <w:rFonts w:hint="eastAsia"/>
        </w:rPr>
        <w:t>431,</w:t>
      </w:r>
      <w:r>
        <w:t xml:space="preserve"> </w:t>
      </w:r>
      <w:r>
        <w:rPr>
          <w:rFonts w:hint="eastAsia"/>
        </w:rPr>
        <w:t>460）的审查过程中药物评估及研究中心（CDER）对于此类测试纸片的科学评估十分完善，因此FDA仅进行标签审查。解释性标准以及质量控制流程根据FDA在抗菌药物审查中所设立的断点（CDER）确定。FDA也鼓励依据国家临床实验室标准委员会（NCCLS）M</w:t>
      </w:r>
      <w:r>
        <w:t>2</w:t>
      </w:r>
      <w:r>
        <w:rPr>
          <w:rFonts w:hint="eastAsia"/>
        </w:rPr>
        <w:t>-A</w:t>
      </w:r>
      <w:r>
        <w:t>5</w:t>
      </w:r>
      <w:r>
        <w:rPr>
          <w:rFonts w:hint="eastAsia"/>
        </w:rPr>
        <w:t>（1）以及M</w:t>
      </w:r>
      <w:r>
        <w:t>100</w:t>
      </w:r>
      <w:r>
        <w:rPr>
          <w:rFonts w:hint="eastAsia"/>
        </w:rPr>
        <w:t>-S</w:t>
      </w:r>
      <w:r>
        <w:t>5</w:t>
      </w:r>
      <w:r>
        <w:rPr>
          <w:rFonts w:hint="eastAsia"/>
        </w:rPr>
        <w:t>（2）中关于纸片药敏测试（M</w:t>
      </w:r>
      <w:r>
        <w:t>2</w:t>
      </w:r>
      <w:r>
        <w:rPr>
          <w:rFonts w:hint="eastAsia"/>
        </w:rPr>
        <w:t>-A</w:t>
      </w:r>
      <w:r>
        <w:t>5</w:t>
      </w:r>
      <w:r>
        <w:rPr>
          <w:rFonts w:hint="eastAsia"/>
        </w:rPr>
        <w:t>）和解释性标准（M</w:t>
      </w:r>
      <w:r>
        <w:t>100</w:t>
      </w:r>
      <w:r>
        <w:rPr>
          <w:rFonts w:hint="eastAsia"/>
        </w:rPr>
        <w:t>-S</w:t>
      </w:r>
      <w:r>
        <w:t>5</w:t>
      </w:r>
      <w:r>
        <w:rPr>
          <w:rFonts w:hint="eastAsia"/>
        </w:rPr>
        <w:t>）的详细规定进行操作。</w:t>
      </w:r>
    </w:p>
    <w:p w14:paraId="5B54A08C">
      <w:pPr>
        <w:pStyle w:val="8"/>
        <w:numPr>
          <w:ilvl w:val="0"/>
          <w:numId w:val="1"/>
        </w:numPr>
        <w:tabs>
          <w:tab w:val="left" w:pos="480"/>
        </w:tabs>
        <w:spacing w:before="195"/>
        <w:ind w:left="0" w:firstLine="0" w:firstLineChars="0"/>
        <w:rPr>
          <w:b/>
        </w:rPr>
      </w:pPr>
      <w:r>
        <w:rPr>
          <w:rFonts w:hint="eastAsia"/>
          <w:b/>
        </w:rPr>
        <w:t>器械描述</w:t>
      </w:r>
    </w:p>
    <w:p w14:paraId="35FD37AF">
      <w:pPr>
        <w:spacing w:before="195"/>
      </w:pPr>
      <w:bookmarkStart w:id="12" w:name="OLE_LINK16"/>
      <w:bookmarkStart w:id="13" w:name="OLE_LINK17"/>
      <w:r>
        <w:rPr>
          <w:rFonts w:hint="eastAsia"/>
        </w:rPr>
        <w:t>抗菌药物敏感性测试纸片</w:t>
      </w:r>
      <w:bookmarkEnd w:id="12"/>
      <w:bookmarkEnd w:id="13"/>
      <w:r>
        <w:rPr>
          <w:rFonts w:hint="eastAsia"/>
        </w:rPr>
        <w:t>是一种浸有特定抗菌剂的纸片或纸条，通常会标注药物浓度及纸片编码。检测流程基于Kirby-Bauer方法。将纸片放置于琼脂培养皿表面，然后注入纯化的待检测的细菌菌落，进行通宵培养。从临床角度讲，体外抗菌药物敏感性测试可以用于细菌敏感性不可预测，或者本应有效的治疗方法对于患者的感染不起作用时来决定使用何种抗菌药物进行治疗。</w:t>
      </w:r>
    </w:p>
    <w:p w14:paraId="0F45B6B8">
      <w:pPr>
        <w:pStyle w:val="8"/>
        <w:numPr>
          <w:ilvl w:val="0"/>
          <w:numId w:val="1"/>
        </w:numPr>
        <w:tabs>
          <w:tab w:val="left" w:pos="480"/>
        </w:tabs>
        <w:spacing w:before="195"/>
        <w:ind w:left="0" w:firstLine="0" w:firstLineChars="0"/>
        <w:rPr>
          <w:b/>
        </w:rPr>
      </w:pPr>
      <w:r>
        <w:rPr>
          <w:rFonts w:hint="eastAsia"/>
          <w:b/>
        </w:rPr>
        <w:t>器械的分类及分层</w:t>
      </w:r>
    </w:p>
    <w:p w14:paraId="55365521">
      <w:pPr>
        <w:spacing w:before="195"/>
      </w:pPr>
      <w:r>
        <w:rPr>
          <w:rFonts w:hint="eastAsia"/>
        </w:rPr>
        <w:t>联邦食品药品及化妆品法案第513章将该器械归为II类。该器械为II层。适当的面板是微生物学</w:t>
      </w:r>
      <w:r>
        <w:t>(MI 83)</w:t>
      </w:r>
      <w:r>
        <w:rPr>
          <w:rFonts w:hint="eastAsia"/>
        </w:rPr>
        <w:t>，产品代码为JTN。</w:t>
      </w:r>
    </w:p>
    <w:p w14:paraId="70AB6E54">
      <w:pPr>
        <w:pStyle w:val="8"/>
        <w:numPr>
          <w:ilvl w:val="0"/>
          <w:numId w:val="1"/>
        </w:numPr>
        <w:tabs>
          <w:tab w:val="left" w:pos="480"/>
        </w:tabs>
        <w:spacing w:before="195"/>
        <w:ind w:left="0" w:firstLine="0" w:firstLineChars="0"/>
        <w:rPr>
          <w:b/>
        </w:rPr>
      </w:pPr>
      <w:bookmarkStart w:id="14" w:name="OLE_LINK14"/>
      <w:bookmarkStart w:id="15" w:name="OLE_LINK15"/>
      <w:r>
        <w:rPr>
          <w:rFonts w:hint="eastAsia"/>
          <w:b/>
        </w:rPr>
        <w:t>可能的比较器械</w:t>
      </w:r>
      <w:bookmarkEnd w:id="14"/>
      <w:bookmarkEnd w:id="15"/>
    </w:p>
    <w:p w14:paraId="72B31056">
      <w:pPr>
        <w:spacing w:before="195"/>
      </w:pPr>
      <w:r>
        <w:rPr>
          <w:rFonts w:hint="eastAsia"/>
        </w:rPr>
        <w:t>美国上市的比较器械为</w:t>
      </w:r>
      <w:r>
        <w:t>Becton Dickinson's Cefepime 30 mcg Sensi-Discs</w:t>
      </w:r>
      <w:r>
        <w:rPr>
          <w:rFonts w:hint="eastAsia"/>
        </w:rPr>
        <w:t>以及</w:t>
      </w:r>
      <w:r>
        <w:t>Difco's Cefepime 30 mcg Dispens-O-Discs</w:t>
      </w:r>
      <w:r>
        <w:rPr>
          <w:rFonts w:hint="eastAsia"/>
        </w:rPr>
        <w:t>。</w:t>
      </w:r>
    </w:p>
    <w:p w14:paraId="61C934A5">
      <w:pPr>
        <w:spacing w:before="195"/>
      </w:pPr>
      <w:r>
        <w:br w:type="page"/>
      </w:r>
    </w:p>
    <w:p w14:paraId="3CD17AA8">
      <w:pPr>
        <w:pStyle w:val="8"/>
        <w:numPr>
          <w:ilvl w:val="0"/>
          <w:numId w:val="1"/>
        </w:numPr>
        <w:tabs>
          <w:tab w:val="left" w:pos="480"/>
        </w:tabs>
        <w:spacing w:before="195"/>
        <w:ind w:left="0" w:firstLine="0" w:firstLineChars="0"/>
        <w:rPr>
          <w:b/>
        </w:rPr>
      </w:pPr>
      <w:r>
        <w:rPr>
          <w:rFonts w:hint="eastAsia"/>
          <w:b/>
        </w:rPr>
        <w:t>需要的510（k）信息</w:t>
      </w:r>
    </w:p>
    <w:p w14:paraId="353BFC95">
      <w:pPr>
        <w:spacing w:before="195"/>
      </w:pPr>
      <w:r>
        <w:rPr>
          <w:rFonts w:hint="eastAsia"/>
        </w:rPr>
        <w:t>评估510（k）提交资料所需要的信息见于FDA文件《用于做出接受决定的上市前通告（510（k）清单）》。该文件可以从小型企业援助司（DSMA）获得，可以拨打下列号码进行联系：（800）638-</w:t>
      </w:r>
      <w:r>
        <w:t>2041</w:t>
      </w:r>
      <w:r>
        <w:rPr>
          <w:rFonts w:hint="eastAsia"/>
        </w:rPr>
        <w:t>或（301）443-</w:t>
      </w:r>
      <w:r>
        <w:t>6597</w:t>
      </w:r>
    </w:p>
    <w:p w14:paraId="03299D06">
      <w:pPr>
        <w:spacing w:before="195"/>
      </w:pPr>
      <w:r>
        <w:t>510</w:t>
      </w:r>
      <w:r>
        <w:rPr>
          <w:rFonts w:hint="eastAsia"/>
        </w:rPr>
        <w:t>（k）应当含有声明，即据提交者所知，所有提交的数据和信息真实准确，</w:t>
      </w:r>
      <w:r>
        <w:t>CFR 807.87 (j)</w:t>
      </w:r>
      <w:r>
        <w:rPr>
          <w:rFonts w:hint="eastAsia"/>
        </w:rPr>
        <w:t>中所阐述的材料无遗漏。另外还需要单独的适应症声明，该声明也可以通过DSMA获得。</w:t>
      </w:r>
    </w:p>
    <w:p w14:paraId="69D25532">
      <w:pPr>
        <w:spacing w:before="195"/>
      </w:pPr>
      <w:r>
        <w:rPr>
          <w:rFonts w:hint="eastAsia"/>
        </w:rPr>
        <w:t>1990年安全医疗器械法案（SMDA）要求所有提交上市前通告的申请者提交（1）510（k）申请中的安全性与有效性信息总结，该总结可以作为确定实质等同性的依据（510k总结）或（2）关于相关方申请即可获得器械的安全性和有效性信息的声明（510k声明）。</w:t>
      </w:r>
    </w:p>
    <w:p w14:paraId="0A817872">
      <w:pPr>
        <w:spacing w:before="195"/>
      </w:pPr>
      <w:r>
        <w:rPr>
          <w:rFonts w:hint="eastAsia"/>
        </w:rPr>
        <w:t>需要提交与已在美国合法上市的类似器械进行比较的实质等同性总结。该声明应当包含器械名称、制造商，如果已知的话还应包含510（k）编号。</w:t>
      </w:r>
    </w:p>
    <w:p w14:paraId="736E2E2D">
      <w:pPr>
        <w:pStyle w:val="8"/>
        <w:numPr>
          <w:ilvl w:val="0"/>
          <w:numId w:val="1"/>
        </w:numPr>
        <w:tabs>
          <w:tab w:val="left" w:pos="480"/>
        </w:tabs>
        <w:spacing w:before="195"/>
        <w:ind w:left="0" w:firstLine="0" w:firstLineChars="0"/>
        <w:rPr>
          <w:b/>
        </w:rPr>
      </w:pPr>
      <w:r>
        <w:rPr>
          <w:rFonts w:hint="eastAsia"/>
          <w:b/>
        </w:rPr>
        <w:t>标签审查</w:t>
      </w:r>
    </w:p>
    <w:p w14:paraId="036D7DB4">
      <w:pPr>
        <w:spacing w:before="195"/>
      </w:pPr>
      <w:r>
        <w:rPr>
          <w:rFonts w:hint="eastAsia"/>
        </w:rPr>
        <w:t>所附的清单用于辅助进行</w:t>
      </w:r>
      <w:bookmarkStart w:id="16" w:name="OLE_LINK18"/>
      <w:r>
        <w:rPr>
          <w:rFonts w:hint="eastAsia"/>
        </w:rPr>
        <w:t>抗菌药物敏感性测试纸片</w:t>
      </w:r>
      <w:bookmarkEnd w:id="16"/>
      <w:r>
        <w:rPr>
          <w:rFonts w:hint="eastAsia"/>
        </w:rPr>
        <w:t>的审查，同时用于确保审查流程的一致性。已完成的清单应当由审查者插入510（k）。</w:t>
      </w:r>
    </w:p>
    <w:p w14:paraId="7F4570F1">
      <w:pPr>
        <w:pStyle w:val="8"/>
        <w:numPr>
          <w:ilvl w:val="0"/>
          <w:numId w:val="3"/>
        </w:numPr>
        <w:spacing w:before="195"/>
        <w:ind w:left="960" w:leftChars="200" w:hanging="480" w:hangingChars="200"/>
      </w:pPr>
      <w:r>
        <w:rPr>
          <w:rFonts w:hint="eastAsia"/>
        </w:rPr>
        <w:t>初步评估</w:t>
      </w:r>
    </w:p>
    <w:p w14:paraId="1E5111E7">
      <w:pPr>
        <w:spacing w:before="195"/>
        <w:ind w:left="480" w:leftChars="200"/>
      </w:pPr>
      <w:r>
        <w:rPr>
          <w:rFonts w:hint="eastAsia"/>
        </w:rPr>
        <w:t>如果抗菌药物的提交审查未通过，则审查流程无法继续。提交者应当知悉如果FDA（CDER）不批准该抗菌药物，提交将会撤回。提交者应当提供该种药物应用的新药应用（NDA）编号。通过NDA编号，CDRH（微生物分部）能够获得批准状态。新药批准信息也可以通过互联网获得（</w:t>
      </w:r>
      <w:r>
        <w:t>http://www.fda.gov./cder/da/adp.htm</w:t>
      </w:r>
      <w:r>
        <w:rPr>
          <w:rFonts w:hint="eastAsia"/>
        </w:rPr>
        <w:t>），对于早些年获批的药物，产品标签可见于当前版本的《</w:t>
      </w:r>
      <w:bookmarkStart w:id="17" w:name="OLE_LINK25"/>
      <w:bookmarkStart w:id="18" w:name="OLE_LINK26"/>
      <w:r>
        <w:rPr>
          <w:rFonts w:hint="eastAsia"/>
        </w:rPr>
        <w:t>美国医生桌上参考手册</w:t>
      </w:r>
      <w:bookmarkEnd w:id="17"/>
      <w:bookmarkEnd w:id="18"/>
      <w:r>
        <w:rPr>
          <w:rFonts w:hint="eastAsia"/>
        </w:rPr>
        <w:t>》（PDR）。</w:t>
      </w:r>
    </w:p>
    <w:p w14:paraId="71A501AB">
      <w:pPr>
        <w:spacing w:before="195"/>
        <w:ind w:left="480" w:leftChars="200"/>
      </w:pPr>
      <w:r>
        <w:rPr>
          <w:rFonts w:hint="eastAsia"/>
        </w:rPr>
        <w:t>药敏测试纸片产品标签上关于预期用途的声明不应包含任何药品包装内嵌页“批准的适应症”部分未包含的微生物类型。</w:t>
      </w:r>
    </w:p>
    <w:p w14:paraId="634A99DF">
      <w:pPr>
        <w:spacing w:before="195"/>
        <w:ind w:left="480" w:leftChars="200"/>
      </w:pPr>
      <w:r>
        <w:br w:type="page"/>
      </w:r>
    </w:p>
    <w:p w14:paraId="3A3F97C1">
      <w:pPr>
        <w:spacing w:before="195"/>
        <w:ind w:left="480" w:leftChars="200"/>
      </w:pPr>
      <w:r>
        <w:rPr>
          <w:rFonts w:hint="eastAsia"/>
        </w:rPr>
        <w:t>药敏测试纸片上标注的纸片编码和药物浓度应当与药品说明书“药敏测试”部分的陈述一致。批准的纸片编码和浓度见于世界卫生组织（WHO）年度出版物《WHO技术报告系列——药敏测试要求》（4）；或</w:t>
      </w:r>
      <w:r>
        <w:t>Becton Dickinson</w:t>
      </w:r>
      <w:r>
        <w:rPr>
          <w:rFonts w:hint="eastAsia"/>
        </w:rPr>
        <w:t>药敏测试表格。如果纸片编码及浓度与FDA和WHO的不一致，则申请者需要进行改正，审查才可继续。</w:t>
      </w:r>
    </w:p>
    <w:p w14:paraId="2E208260">
      <w:pPr>
        <w:pStyle w:val="8"/>
        <w:numPr>
          <w:ilvl w:val="0"/>
          <w:numId w:val="3"/>
        </w:numPr>
        <w:spacing w:before="195"/>
        <w:ind w:left="960" w:leftChars="200" w:hanging="480" w:hangingChars="200"/>
      </w:pPr>
      <w:r>
        <w:rPr>
          <w:rFonts w:hint="eastAsia"/>
        </w:rPr>
        <w:t>解释性标准</w:t>
      </w:r>
    </w:p>
    <w:p w14:paraId="421C2735">
      <w:pPr>
        <w:spacing w:before="195"/>
        <w:ind w:left="480" w:leftChars="200"/>
      </w:pPr>
      <w:r>
        <w:rPr>
          <w:rFonts w:hint="eastAsia"/>
        </w:rPr>
        <w:t>纸片制造商的包装说明书均应当包含FDA批准的解释性标准和推荐的质量控制微生物类型及可接受范围。药敏试验的NCCLS性能标准M</w:t>
      </w:r>
      <w:r>
        <w:t>100</w:t>
      </w:r>
      <w:r>
        <w:rPr>
          <w:rFonts w:hint="eastAsia"/>
        </w:rPr>
        <w:t>-</w:t>
      </w:r>
      <w:r>
        <w:t>45</w:t>
      </w:r>
      <w:r>
        <w:rPr>
          <w:rFonts w:hint="eastAsia"/>
        </w:rPr>
        <w:t>通常也包含相同的数值。F</w:t>
      </w:r>
      <w:r>
        <w:t>DA</w:t>
      </w:r>
      <w:r>
        <w:rPr>
          <w:rFonts w:hint="eastAsia"/>
        </w:rPr>
        <w:t>批准的产品说明书可以替代NCCLS标准。如果FDA批准的产品标签与该适应症的使用不一致，则可能使用其他的NCCLS推荐的质量控制微生物类型。</w:t>
      </w:r>
    </w:p>
    <w:p w14:paraId="6A0259E7">
      <w:pPr>
        <w:spacing w:before="195"/>
        <w:ind w:left="480" w:leftChars="200"/>
      </w:pPr>
      <w:r>
        <w:rPr>
          <w:rFonts w:hint="eastAsia"/>
        </w:rPr>
        <w:t>清单应当包含制造商推荐的标准以及FDA标准。如果可用的话可以包含NCCLS断点。FDA断点及范围应列于药品标签的扩散技术章节“微生物”部分（区域直径以毫米表示）。同时也应当列出推荐的质量控制微生物类型以及可接受的区域直径。如果特定类型细菌检测的禁忌症指明的话，也应列出。</w:t>
      </w:r>
    </w:p>
    <w:p w14:paraId="0FCC5EB5">
      <w:pPr>
        <w:pStyle w:val="8"/>
        <w:numPr>
          <w:ilvl w:val="0"/>
          <w:numId w:val="3"/>
        </w:numPr>
        <w:spacing w:before="195"/>
        <w:ind w:left="960" w:leftChars="200" w:hanging="480" w:hangingChars="200"/>
      </w:pPr>
      <w:r>
        <w:rPr>
          <w:rFonts w:hint="eastAsia"/>
        </w:rPr>
        <w:t>数据</w:t>
      </w:r>
    </w:p>
    <w:p w14:paraId="75948D63">
      <w:pPr>
        <w:spacing w:before="195"/>
        <w:ind w:left="480" w:leftChars="200"/>
      </w:pPr>
      <w:r>
        <w:rPr>
          <w:rFonts w:hint="eastAsia"/>
        </w:rPr>
        <w:t>由于数据评估由CDER完成，因此除非制造商主张不同的解释性标准，否则不要求制造商提供性能数据。如果上述情况存在，根据FDA文件《</w:t>
      </w:r>
      <w:r>
        <w:t>评估药敏检测纸片的审查标准</w:t>
      </w:r>
      <w:r>
        <w:rPr>
          <w:rFonts w:hint="eastAsia"/>
        </w:rPr>
        <w:t>》要求制造商提供恰当的性能数据。</w:t>
      </w:r>
    </w:p>
    <w:p w14:paraId="5BE5A15F">
      <w:pPr>
        <w:spacing w:before="195"/>
        <w:ind w:left="480" w:leftChars="200"/>
      </w:pPr>
      <w:r>
        <w:rPr>
          <w:rFonts w:hint="eastAsia"/>
        </w:rPr>
        <w:t>数据提交后，对稳定性测试数据与药品包装说明书的一致性进行审查。制造商应当向GMP检查提供该数据，但在510（k）中并不作要求。</w:t>
      </w:r>
    </w:p>
    <w:p w14:paraId="6270AEBC">
      <w:pPr>
        <w:pStyle w:val="8"/>
        <w:numPr>
          <w:ilvl w:val="0"/>
          <w:numId w:val="3"/>
        </w:numPr>
        <w:spacing w:before="195"/>
        <w:ind w:left="960" w:leftChars="200" w:hanging="480" w:hangingChars="200"/>
      </w:pPr>
      <w:r>
        <w:rPr>
          <w:rFonts w:hint="eastAsia"/>
        </w:rPr>
        <w:t>标签注意事项</w:t>
      </w:r>
    </w:p>
    <w:p w14:paraId="3B180D2E">
      <w:pPr>
        <w:spacing w:before="195"/>
        <w:ind w:left="480" w:leftChars="200"/>
      </w:pPr>
      <w:r>
        <w:rPr>
          <w:rFonts w:hint="eastAsia"/>
        </w:rPr>
        <w:t>产品的标签必须遵循21 CFR</w:t>
      </w:r>
      <w:r>
        <w:t xml:space="preserve"> </w:t>
      </w:r>
      <w:r>
        <w:rPr>
          <w:rFonts w:hint="eastAsia"/>
        </w:rPr>
        <w:t>§</w:t>
      </w:r>
      <w:r>
        <w:t>809.10</w:t>
      </w:r>
      <w:r>
        <w:rPr>
          <w:rFonts w:hint="eastAsia"/>
        </w:rPr>
        <w:t>的规定。需要按照809.10所要求的格式包含所有要求的信息。</w:t>
      </w:r>
    </w:p>
    <w:p w14:paraId="79311E44">
      <w:pPr>
        <w:spacing w:before="195"/>
      </w:pPr>
      <w:r>
        <w:br w:type="page"/>
      </w:r>
    </w:p>
    <w:p w14:paraId="293DAC83">
      <w:pPr>
        <w:spacing w:before="195"/>
        <w:ind w:left="480" w:leftChars="200"/>
      </w:pPr>
      <w:r>
        <w:rPr>
          <w:rFonts w:hint="eastAsia"/>
        </w:rPr>
        <w:t>关于标签问题的指南见于ODE蓝皮书备忘录G</w:t>
      </w:r>
      <w:r>
        <w:t>91</w:t>
      </w:r>
      <w:r>
        <w:rPr>
          <w:rFonts w:hint="eastAsia"/>
        </w:rPr>
        <w:t>-</w:t>
      </w:r>
      <w:r>
        <w:t>1</w:t>
      </w:r>
      <w:r>
        <w:rPr>
          <w:rFonts w:hint="eastAsia"/>
        </w:rPr>
        <w:t>《器械标签指南（3/18/91）》。副本可以从器械与放射健康中心的DSMA获得。</w:t>
      </w:r>
    </w:p>
    <w:p w14:paraId="191ACD3D">
      <w:pPr>
        <w:spacing w:before="195"/>
        <w:ind w:left="480" w:leftChars="200"/>
      </w:pPr>
      <w:r>
        <w:rPr>
          <w:rFonts w:hint="eastAsia"/>
        </w:rPr>
        <w:t>解释性（S-I-R）断点以及推荐的质量控制微生物均应包含在产品标签内。制造商不应要求用户参考NCCLS标准文件。</w:t>
      </w:r>
    </w:p>
    <w:p w14:paraId="4E48E811">
      <w:pPr>
        <w:spacing w:before="195"/>
        <w:rPr>
          <w:b/>
        </w:rPr>
      </w:pPr>
      <w:r>
        <w:rPr>
          <w:rFonts w:hint="eastAsia"/>
          <w:b/>
        </w:rPr>
        <w:t>更多信息</w:t>
      </w:r>
    </w:p>
    <w:p w14:paraId="73A844FC">
      <w:pPr>
        <w:spacing w:before="195"/>
      </w:pPr>
      <w:r>
        <w:rPr>
          <w:rFonts w:hint="eastAsia"/>
        </w:rPr>
        <w:t>为了解更多信息，请参考FDA文件《</w:t>
      </w:r>
      <w:r>
        <w:t>评估药敏检测纸片的审查标准</w:t>
      </w:r>
      <w:r>
        <w:rPr>
          <w:rFonts w:hint="eastAsia"/>
        </w:rPr>
        <w:t>》，或联系Sharon</w:t>
      </w:r>
      <w:r>
        <w:t xml:space="preserve"> </w:t>
      </w:r>
      <w:r>
        <w:rPr>
          <w:rFonts w:hint="eastAsia"/>
        </w:rPr>
        <w:t xml:space="preserve">L. </w:t>
      </w:r>
      <w:r>
        <w:t>Hansen</w:t>
      </w:r>
      <w:r>
        <w:rPr>
          <w:rFonts w:hint="eastAsia"/>
        </w:rPr>
        <w:t>博士，微生物分部主管，临床试验器械分部，（301）594-</w:t>
      </w:r>
      <w:r>
        <w:t>2096</w:t>
      </w:r>
      <w:r>
        <w:rPr>
          <w:rFonts w:hint="eastAsia"/>
        </w:rPr>
        <w:t>。</w:t>
      </w:r>
    </w:p>
    <w:p w14:paraId="23C39A18">
      <w:pPr>
        <w:spacing w:before="195"/>
      </w:pPr>
    </w:p>
    <w:p w14:paraId="3FE4D943">
      <w:pPr>
        <w:spacing w:before="195"/>
      </w:pPr>
      <w:r>
        <w:rPr>
          <w:rFonts w:hint="eastAsia"/>
        </w:rPr>
        <w:t>参考文件：</w:t>
      </w:r>
    </w:p>
    <w:p w14:paraId="43CD9E44">
      <w:pPr>
        <w:pStyle w:val="8"/>
        <w:numPr>
          <w:ilvl w:val="0"/>
          <w:numId w:val="4"/>
        </w:numPr>
        <w:spacing w:before="195"/>
        <w:ind w:left="480" w:hanging="480" w:hangingChars="200"/>
      </w:pPr>
      <w:bookmarkStart w:id="19" w:name="OLE_LINK21"/>
      <w:bookmarkStart w:id="20" w:name="OLE_LINK22"/>
      <w:r>
        <w:rPr>
          <w:rFonts w:hint="eastAsia"/>
        </w:rPr>
        <w:t>国家临床实验室标准委员会，经批准的标准。</w:t>
      </w:r>
      <w:bookmarkEnd w:id="19"/>
      <w:bookmarkEnd w:id="20"/>
      <w:r>
        <w:t>M2-A5</w:t>
      </w:r>
      <w:r>
        <w:rPr>
          <w:rFonts w:hint="eastAsia"/>
        </w:rPr>
        <w:t>。</w:t>
      </w:r>
      <w:r>
        <w:t>药敏检测纸片</w:t>
      </w:r>
      <w:r>
        <w:rPr>
          <w:rFonts w:hint="eastAsia"/>
        </w:rPr>
        <w:t>试验的性能标准。第五版</w:t>
      </w:r>
      <w:r>
        <w:t>.NCCLS</w:t>
      </w:r>
      <w:r>
        <w:rPr>
          <w:rFonts w:hint="eastAsia"/>
        </w:rPr>
        <w:t>，</w:t>
      </w:r>
      <w:r>
        <w:t>Villanova</w:t>
      </w:r>
      <w:r>
        <w:rPr>
          <w:rFonts w:hint="eastAsia"/>
        </w:rPr>
        <w:t>，</w:t>
      </w:r>
      <w:r>
        <w:t>PA</w:t>
      </w:r>
      <w:r>
        <w:rPr>
          <w:rFonts w:hint="eastAsia"/>
        </w:rPr>
        <w:t>：</w:t>
      </w:r>
      <w:r>
        <w:t>1995</w:t>
      </w:r>
      <w:r>
        <w:rPr>
          <w:rFonts w:hint="eastAsia"/>
        </w:rPr>
        <w:t>。</w:t>
      </w:r>
    </w:p>
    <w:p w14:paraId="4C80506A">
      <w:pPr>
        <w:pStyle w:val="8"/>
        <w:numPr>
          <w:ilvl w:val="0"/>
          <w:numId w:val="4"/>
        </w:numPr>
        <w:spacing w:before="195"/>
        <w:ind w:left="480" w:hanging="480" w:hangingChars="200"/>
      </w:pPr>
      <w:r>
        <w:rPr>
          <w:rFonts w:hint="eastAsia"/>
        </w:rPr>
        <w:t>国家临床实验室标准委员会，经批准的标准。</w:t>
      </w:r>
      <w:r>
        <w:t>M</w:t>
      </w:r>
      <w:r>
        <w:rPr>
          <w:rFonts w:hint="eastAsia"/>
        </w:rPr>
        <w:t>100</w:t>
      </w:r>
      <w:r>
        <w:t>-</w:t>
      </w:r>
      <w:r>
        <w:rPr>
          <w:rFonts w:hint="eastAsia"/>
        </w:rPr>
        <w:t>S5</w:t>
      </w:r>
      <w:r>
        <w:t>。药敏试验</w:t>
      </w:r>
      <w:r>
        <w:rPr>
          <w:rFonts w:hint="eastAsia"/>
        </w:rPr>
        <w:t>的</w:t>
      </w:r>
      <w:r>
        <w:t>性能标准。第五版.NCCLS，Villanova，PA：199</w:t>
      </w:r>
      <w:r>
        <w:rPr>
          <w:rFonts w:hint="eastAsia"/>
        </w:rPr>
        <w:t>4</w:t>
      </w:r>
      <w:r>
        <w:t>。</w:t>
      </w:r>
    </w:p>
    <w:p w14:paraId="71EFF99B">
      <w:pPr>
        <w:pStyle w:val="8"/>
        <w:numPr>
          <w:ilvl w:val="0"/>
          <w:numId w:val="4"/>
        </w:numPr>
        <w:spacing w:before="195"/>
        <w:ind w:left="480" w:hanging="480" w:hangingChars="200"/>
      </w:pPr>
      <w:r>
        <w:rPr>
          <w:rFonts w:hint="eastAsia"/>
        </w:rPr>
        <w:t>美国医生桌上参考手册，49版，</w:t>
      </w:r>
      <w:r>
        <w:t>Oradell</w:t>
      </w:r>
      <w:r>
        <w:rPr>
          <w:rFonts w:hint="eastAsia"/>
        </w:rPr>
        <w:t>，</w:t>
      </w:r>
      <w:r>
        <w:t>NJ</w:t>
      </w:r>
      <w:r>
        <w:rPr>
          <w:rFonts w:hint="eastAsia"/>
        </w:rPr>
        <w:t>：</w:t>
      </w:r>
      <w:r>
        <w:t>Medical Economics Company, Inc.</w:t>
      </w:r>
      <w:r>
        <w:rPr>
          <w:rFonts w:hint="eastAsia"/>
        </w:rPr>
        <w:t>，</w:t>
      </w:r>
      <w:r>
        <w:t xml:space="preserve"> 1995. </w:t>
      </w:r>
    </w:p>
    <w:p w14:paraId="360D41C6">
      <w:pPr>
        <w:pStyle w:val="8"/>
        <w:numPr>
          <w:ilvl w:val="0"/>
          <w:numId w:val="4"/>
        </w:numPr>
        <w:spacing w:before="195"/>
        <w:ind w:left="480" w:hanging="480" w:hangingChars="200"/>
      </w:pPr>
      <w:r>
        <w:rPr>
          <w:rFonts w:hint="eastAsia"/>
        </w:rPr>
        <w:t>世界卫生组织生物标准化专家委员会。</w:t>
      </w:r>
      <w:r>
        <w:t>世卫组织技术报告系列。药敏试验的要求：使用药敏检测纸片</w:t>
      </w:r>
      <w:r>
        <w:rPr>
          <w:rFonts w:hint="eastAsia"/>
        </w:rPr>
        <w:t>的</w:t>
      </w:r>
      <w:r>
        <w:t>I.</w:t>
      </w:r>
      <w:r>
        <w:rPr>
          <w:rFonts w:hint="eastAsia"/>
        </w:rPr>
        <w:t>琼脂</w:t>
      </w:r>
      <w:r>
        <w:t>扩散试验。42nd</w:t>
      </w:r>
      <w:r>
        <w:rPr>
          <w:rFonts w:hint="eastAsia"/>
        </w:rPr>
        <w:t>报告：</w:t>
      </w:r>
      <w:r>
        <w:t>1992。</w:t>
      </w:r>
    </w:p>
    <w:p w14:paraId="7CCD85F7">
      <w:pPr>
        <w:spacing w:before="195"/>
      </w:pPr>
    </w:p>
    <w:p w14:paraId="756F2255">
      <w:pPr>
        <w:spacing w:before="195"/>
        <w:sectPr>
          <w:headerReference r:id="rId12" w:type="first"/>
          <w:headerReference r:id="rId11" w:type="default"/>
          <w:pgSz w:w="11906" w:h="16838"/>
          <w:pgMar w:top="1418" w:right="1418" w:bottom="1418" w:left="1418" w:header="720" w:footer="720" w:gutter="0"/>
          <w:pgNumType w:start="1"/>
          <w:cols w:space="720" w:num="1"/>
          <w:titlePg/>
          <w:docGrid w:type="lines" w:linePitch="326" w:charSpace="0"/>
        </w:sectPr>
      </w:pPr>
    </w:p>
    <w:p w14:paraId="7BBD7CD1">
      <w:pPr>
        <w:spacing w:before="97" w:beforeLines="30"/>
        <w:jc w:val="center"/>
        <w:rPr>
          <w:b/>
        </w:rPr>
      </w:pPr>
      <w:r>
        <w:rPr>
          <w:rFonts w:hint="eastAsia"/>
          <w:b/>
        </w:rPr>
        <w:t>AST</w:t>
      </w:r>
      <w:r>
        <w:rPr>
          <w:b/>
        </w:rPr>
        <w:t>药敏检测纸片的审查标准</w:t>
      </w:r>
    </w:p>
    <w:p w14:paraId="1E2F6AF1">
      <w:pPr>
        <w:tabs>
          <w:tab w:val="left" w:leader="dot" w:pos="3600"/>
          <w:tab w:val="left" w:leader="dot" w:pos="6720"/>
          <w:tab w:val="left" w:leader="dot" w:pos="9120"/>
        </w:tabs>
        <w:spacing w:before="97" w:beforeLines="30"/>
      </w:pPr>
      <w:r>
        <w:rPr>
          <w:rFonts w:hint="eastAsia"/>
        </w:rPr>
        <w:t>制造商：</w:t>
      </w:r>
      <w:r>
        <w:rPr>
          <w:rFonts w:hint="eastAsia"/>
        </w:rPr>
        <w:tab/>
      </w:r>
      <w:r>
        <w:rPr>
          <w:rFonts w:hint="eastAsia"/>
        </w:rPr>
        <w:t>抗菌剂：</w:t>
      </w:r>
      <w:r>
        <w:rPr>
          <w:rFonts w:hint="eastAsia"/>
        </w:rPr>
        <w:tab/>
      </w:r>
      <w:r>
        <w:rPr>
          <w:rFonts w:hint="eastAsia"/>
        </w:rPr>
        <w:t>K</w:t>
      </w:r>
      <w:r>
        <w:rPr>
          <w:rFonts w:hint="eastAsia"/>
        </w:rPr>
        <w:tab/>
      </w:r>
    </w:p>
    <w:p w14:paraId="090752FF">
      <w:pPr>
        <w:tabs>
          <w:tab w:val="left" w:leader="dot" w:pos="4320"/>
          <w:tab w:val="left" w:leader="dot" w:pos="5760"/>
          <w:tab w:val="left" w:leader="dot" w:pos="9120"/>
        </w:tabs>
        <w:spacing w:before="97" w:beforeLines="30"/>
      </w:pPr>
      <w:r>
        <w:rPr>
          <w:rFonts w:hint="eastAsia"/>
        </w:rPr>
        <w:t>FDA/CDER已批准该抗菌剂：是</w:t>
      </w:r>
      <w:r>
        <w:rPr>
          <w:rFonts w:hint="eastAsia"/>
        </w:rPr>
        <w:tab/>
      </w:r>
      <w:r>
        <w:rPr>
          <w:rFonts w:hint="eastAsia"/>
        </w:rPr>
        <w:t>否</w:t>
      </w:r>
      <w:r>
        <w:rPr>
          <w:rFonts w:hint="eastAsia"/>
        </w:rPr>
        <w:tab/>
      </w:r>
      <w:r>
        <w:rPr>
          <w:rFonts w:hint="eastAsia"/>
        </w:rPr>
        <w:t>新药申请编号</w:t>
      </w:r>
      <w:r>
        <w:rPr>
          <w:rFonts w:hint="eastAsia"/>
        </w:rPr>
        <w:tab/>
      </w:r>
    </w:p>
    <w:p w14:paraId="57BA45FA">
      <w:pPr>
        <w:tabs>
          <w:tab w:val="left" w:leader="dot" w:pos="5280"/>
          <w:tab w:val="left" w:leader="dot" w:pos="6720"/>
        </w:tabs>
        <w:spacing w:before="0" w:beforeLines="0"/>
        <w:jc w:val="center"/>
        <w:rPr>
          <w:sz w:val="21"/>
          <w:szCs w:val="21"/>
        </w:rPr>
      </w:pPr>
      <w:r>
        <w:rPr>
          <w:rFonts w:hint="eastAsia"/>
          <w:sz w:val="21"/>
          <w:szCs w:val="21"/>
        </w:rPr>
        <w:t>（如果选择否，审查无法继续。制造商应当撤回。）</w:t>
      </w:r>
    </w:p>
    <w:p w14:paraId="1BD9B80E">
      <w:pPr>
        <w:tabs>
          <w:tab w:val="left" w:leader="dot" w:pos="9120"/>
        </w:tabs>
        <w:spacing w:before="97" w:beforeLines="30"/>
      </w:pPr>
      <w:r>
        <w:rPr>
          <w:rFonts w:hint="eastAsia"/>
        </w:rPr>
        <w:t>已批准的适应症：</w:t>
      </w:r>
      <w:r>
        <w:rPr>
          <w:rFonts w:hint="eastAsia"/>
        </w:rPr>
        <w:tab/>
      </w:r>
    </w:p>
    <w:p w14:paraId="16D65023">
      <w:pPr>
        <w:tabs>
          <w:tab w:val="left" w:leader="dot" w:pos="5280"/>
          <w:tab w:val="left" w:leader="dot" w:pos="6720"/>
        </w:tabs>
        <w:spacing w:before="0" w:beforeLines="0"/>
        <w:jc w:val="center"/>
        <w:rPr>
          <w:sz w:val="21"/>
          <w:szCs w:val="21"/>
        </w:rPr>
      </w:pPr>
      <w:r>
        <w:rPr>
          <w:rFonts w:hint="eastAsia"/>
          <w:sz w:val="21"/>
          <w:szCs w:val="21"/>
        </w:rPr>
        <w:t>（已批准的适应症见于药品包装说明书）。</w:t>
      </w:r>
    </w:p>
    <w:p w14:paraId="77E758D8">
      <w:pPr>
        <w:tabs>
          <w:tab w:val="left" w:leader="dot" w:pos="4800"/>
          <w:tab w:val="left" w:leader="dot" w:pos="6720"/>
          <w:tab w:val="left" w:leader="dot" w:pos="9120"/>
        </w:tabs>
        <w:spacing w:before="97" w:beforeLines="30"/>
      </w:pPr>
      <w:bookmarkStart w:id="21" w:name="OLE_LINK31"/>
      <w:bookmarkStart w:id="22" w:name="OLE_LINK32"/>
      <w:r>
        <w:rPr>
          <w:rFonts w:hint="eastAsia"/>
        </w:rPr>
        <w:t>纸片编码及药物浓度</w:t>
      </w:r>
      <w:bookmarkEnd w:id="21"/>
      <w:bookmarkEnd w:id="22"/>
      <w:r>
        <w:rPr>
          <w:rFonts w:hint="eastAsia"/>
        </w:rPr>
        <w:t>：MFR：</w:t>
      </w:r>
      <w:r>
        <w:rPr>
          <w:rFonts w:hint="eastAsia"/>
        </w:rPr>
        <w:tab/>
      </w:r>
      <w:r>
        <w:rPr>
          <w:rFonts w:hint="eastAsia"/>
        </w:rPr>
        <w:t>WHO：</w:t>
      </w:r>
      <w:r>
        <w:rPr>
          <w:rFonts w:hint="eastAsia"/>
        </w:rPr>
        <w:tab/>
      </w:r>
      <w:r>
        <w:rPr>
          <w:rFonts w:hint="eastAsia"/>
        </w:rPr>
        <w:t>BBL：</w:t>
      </w:r>
      <w:r>
        <w:rPr>
          <w:rFonts w:hint="eastAsia"/>
        </w:rPr>
        <w:tab/>
      </w:r>
    </w:p>
    <w:p w14:paraId="7A943CF3">
      <w:pPr>
        <w:tabs>
          <w:tab w:val="left" w:leader="dot" w:pos="5280"/>
          <w:tab w:val="left" w:leader="dot" w:pos="6720"/>
        </w:tabs>
        <w:spacing w:before="0" w:beforeLines="0"/>
        <w:jc w:val="center"/>
        <w:rPr>
          <w:sz w:val="21"/>
          <w:szCs w:val="21"/>
        </w:rPr>
      </w:pPr>
      <w:r>
        <w:rPr>
          <w:rFonts w:hint="eastAsia"/>
          <w:sz w:val="21"/>
          <w:szCs w:val="21"/>
        </w:rPr>
        <w:t>（纸片编码及药物浓度必须与WHO推荐或列于BBL表格的内容一致）</w:t>
      </w:r>
    </w:p>
    <w:p w14:paraId="7FAB7A77">
      <w:pPr>
        <w:spacing w:before="195"/>
      </w:pPr>
      <w:r>
        <w:drawing>
          <wp:inline distT="0" distB="0" distL="0" distR="0">
            <wp:extent cx="5866765" cy="189865"/>
            <wp:effectExtent l="0" t="0" r="63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tretch>
                      <a:fillRect/>
                    </a:stretch>
                  </pic:blipFill>
                  <pic:spPr>
                    <a:xfrm>
                      <a:off x="0" y="0"/>
                      <a:ext cx="5941476" cy="192547"/>
                    </a:xfrm>
                    <a:prstGeom prst="rect">
                      <a:avLst/>
                    </a:prstGeom>
                  </pic:spPr>
                </pic:pic>
              </a:graphicData>
            </a:graphic>
          </wp:inline>
        </w:drawing>
      </w:r>
    </w:p>
    <w:p w14:paraId="06CB77A0">
      <w:pPr>
        <w:spacing w:before="97" w:beforeLines="30"/>
        <w:jc w:val="center"/>
      </w:pPr>
      <w:r>
        <w:rPr>
          <w:rFonts w:hint="eastAsia"/>
          <w:b/>
        </w:rPr>
        <w:t>解释性标准</w:t>
      </w:r>
      <w:r>
        <w:rPr>
          <w:rFonts w:hint="eastAsia"/>
        </w:rPr>
        <w:t>（区域大小）</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1578"/>
        <w:gridCol w:w="1985"/>
        <w:gridCol w:w="1984"/>
      </w:tblGrid>
      <w:tr w14:paraId="20204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14:paraId="1B65E92B">
            <w:pPr>
              <w:spacing w:before="65" w:beforeLines="20" w:after="65" w:afterLines="20" w:line="260" w:lineRule="exact"/>
              <w:rPr>
                <w:sz w:val="21"/>
                <w:szCs w:val="21"/>
              </w:rPr>
            </w:pPr>
          </w:p>
        </w:tc>
        <w:tc>
          <w:tcPr>
            <w:tcW w:w="1578" w:type="dxa"/>
          </w:tcPr>
          <w:p w14:paraId="33900255">
            <w:pPr>
              <w:spacing w:before="65" w:beforeLines="20" w:after="65" w:afterLines="20" w:line="260" w:lineRule="exact"/>
              <w:rPr>
                <w:b/>
                <w:sz w:val="21"/>
                <w:szCs w:val="21"/>
              </w:rPr>
            </w:pPr>
            <w:r>
              <w:rPr>
                <w:rFonts w:hint="eastAsia"/>
                <w:b/>
                <w:sz w:val="21"/>
                <w:szCs w:val="21"/>
              </w:rPr>
              <w:t>敏感</w:t>
            </w:r>
          </w:p>
        </w:tc>
        <w:tc>
          <w:tcPr>
            <w:tcW w:w="1985" w:type="dxa"/>
          </w:tcPr>
          <w:p w14:paraId="2D858D9A">
            <w:pPr>
              <w:spacing w:before="65" w:beforeLines="20" w:after="65" w:afterLines="20" w:line="260" w:lineRule="exact"/>
              <w:rPr>
                <w:b/>
                <w:sz w:val="21"/>
                <w:szCs w:val="21"/>
              </w:rPr>
            </w:pPr>
            <w:r>
              <w:rPr>
                <w:rFonts w:hint="eastAsia"/>
                <w:b/>
                <w:sz w:val="21"/>
                <w:szCs w:val="21"/>
              </w:rPr>
              <w:t>中间物</w:t>
            </w:r>
          </w:p>
        </w:tc>
        <w:tc>
          <w:tcPr>
            <w:tcW w:w="1984" w:type="dxa"/>
          </w:tcPr>
          <w:p w14:paraId="50B99D85">
            <w:pPr>
              <w:spacing w:before="65" w:beforeLines="20" w:after="65" w:afterLines="20" w:line="260" w:lineRule="exact"/>
              <w:rPr>
                <w:b/>
                <w:sz w:val="21"/>
                <w:szCs w:val="21"/>
              </w:rPr>
            </w:pPr>
            <w:r>
              <w:rPr>
                <w:rFonts w:hint="eastAsia"/>
                <w:b/>
                <w:sz w:val="21"/>
                <w:szCs w:val="21"/>
              </w:rPr>
              <w:t>耐受</w:t>
            </w:r>
          </w:p>
        </w:tc>
      </w:tr>
      <w:tr w14:paraId="06999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14:paraId="29CBA576">
            <w:pPr>
              <w:spacing w:before="65" w:beforeLines="20" w:after="65" w:afterLines="20" w:line="260" w:lineRule="exact"/>
              <w:rPr>
                <w:sz w:val="21"/>
                <w:szCs w:val="21"/>
              </w:rPr>
            </w:pPr>
            <w:bookmarkStart w:id="23" w:name="_Hlk475014589"/>
            <w:r>
              <w:rPr>
                <w:rFonts w:hint="eastAsia"/>
                <w:sz w:val="21"/>
                <w:szCs w:val="21"/>
              </w:rPr>
              <w:t>制造商</w:t>
            </w:r>
          </w:p>
        </w:tc>
        <w:tc>
          <w:tcPr>
            <w:tcW w:w="1578" w:type="dxa"/>
          </w:tcPr>
          <w:p w14:paraId="4DDC2CAF">
            <w:pPr>
              <w:spacing w:before="65" w:beforeLines="20" w:after="65" w:afterLines="20" w:line="260" w:lineRule="exact"/>
              <w:rPr>
                <w:sz w:val="21"/>
                <w:szCs w:val="21"/>
              </w:rPr>
            </w:pPr>
          </w:p>
        </w:tc>
        <w:tc>
          <w:tcPr>
            <w:tcW w:w="1985" w:type="dxa"/>
          </w:tcPr>
          <w:p w14:paraId="476DBD7B">
            <w:pPr>
              <w:spacing w:before="65" w:beforeLines="20" w:after="65" w:afterLines="20" w:line="260" w:lineRule="exact"/>
              <w:rPr>
                <w:sz w:val="21"/>
                <w:szCs w:val="21"/>
              </w:rPr>
            </w:pPr>
          </w:p>
        </w:tc>
        <w:tc>
          <w:tcPr>
            <w:tcW w:w="1984" w:type="dxa"/>
          </w:tcPr>
          <w:p w14:paraId="355DDE9C">
            <w:pPr>
              <w:spacing w:before="65" w:beforeLines="20" w:after="65" w:afterLines="20" w:line="260" w:lineRule="exact"/>
              <w:rPr>
                <w:sz w:val="21"/>
                <w:szCs w:val="21"/>
              </w:rPr>
            </w:pPr>
          </w:p>
        </w:tc>
      </w:tr>
      <w:tr w14:paraId="6B3B5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14:paraId="084E4B64">
            <w:pPr>
              <w:spacing w:before="65" w:beforeLines="20" w:after="65" w:afterLines="20" w:line="260" w:lineRule="exact"/>
              <w:rPr>
                <w:sz w:val="21"/>
                <w:szCs w:val="21"/>
              </w:rPr>
            </w:pPr>
            <w:r>
              <w:rPr>
                <w:rFonts w:hint="eastAsia"/>
                <w:sz w:val="21"/>
                <w:szCs w:val="21"/>
              </w:rPr>
              <w:t>FDA</w:t>
            </w:r>
          </w:p>
        </w:tc>
        <w:tc>
          <w:tcPr>
            <w:tcW w:w="1578" w:type="dxa"/>
          </w:tcPr>
          <w:p w14:paraId="5B664DE1">
            <w:pPr>
              <w:spacing w:before="65" w:beforeLines="20" w:after="65" w:afterLines="20" w:line="260" w:lineRule="exact"/>
              <w:rPr>
                <w:sz w:val="21"/>
                <w:szCs w:val="21"/>
              </w:rPr>
            </w:pPr>
          </w:p>
        </w:tc>
        <w:tc>
          <w:tcPr>
            <w:tcW w:w="1985" w:type="dxa"/>
          </w:tcPr>
          <w:p w14:paraId="3CFE9B16">
            <w:pPr>
              <w:spacing w:before="65" w:beforeLines="20" w:after="65" w:afterLines="20" w:line="260" w:lineRule="exact"/>
              <w:rPr>
                <w:sz w:val="21"/>
                <w:szCs w:val="21"/>
              </w:rPr>
            </w:pPr>
          </w:p>
        </w:tc>
        <w:tc>
          <w:tcPr>
            <w:tcW w:w="1984" w:type="dxa"/>
          </w:tcPr>
          <w:p w14:paraId="7C85D859">
            <w:pPr>
              <w:spacing w:before="65" w:beforeLines="20" w:after="65" w:afterLines="20" w:line="260" w:lineRule="exact"/>
              <w:rPr>
                <w:sz w:val="21"/>
                <w:szCs w:val="21"/>
              </w:rPr>
            </w:pPr>
          </w:p>
        </w:tc>
      </w:tr>
      <w:tr w14:paraId="1517B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14:paraId="76AE98A8">
            <w:pPr>
              <w:spacing w:before="65" w:beforeLines="20" w:after="65" w:afterLines="20" w:line="260" w:lineRule="exact"/>
              <w:rPr>
                <w:sz w:val="21"/>
                <w:szCs w:val="21"/>
              </w:rPr>
            </w:pPr>
            <w:r>
              <w:rPr>
                <w:rFonts w:hint="eastAsia"/>
                <w:sz w:val="21"/>
                <w:szCs w:val="21"/>
              </w:rPr>
              <w:t>NCCLS</w:t>
            </w:r>
          </w:p>
        </w:tc>
        <w:tc>
          <w:tcPr>
            <w:tcW w:w="1578" w:type="dxa"/>
          </w:tcPr>
          <w:p w14:paraId="33F69324">
            <w:pPr>
              <w:spacing w:before="65" w:beforeLines="20" w:after="65" w:afterLines="20" w:line="260" w:lineRule="exact"/>
              <w:rPr>
                <w:sz w:val="21"/>
                <w:szCs w:val="21"/>
              </w:rPr>
            </w:pPr>
          </w:p>
        </w:tc>
        <w:tc>
          <w:tcPr>
            <w:tcW w:w="1985" w:type="dxa"/>
          </w:tcPr>
          <w:p w14:paraId="6033DD8E">
            <w:pPr>
              <w:spacing w:before="65" w:beforeLines="20" w:after="65" w:afterLines="20" w:line="260" w:lineRule="exact"/>
              <w:rPr>
                <w:sz w:val="21"/>
                <w:szCs w:val="21"/>
              </w:rPr>
            </w:pPr>
          </w:p>
        </w:tc>
        <w:tc>
          <w:tcPr>
            <w:tcW w:w="1984" w:type="dxa"/>
          </w:tcPr>
          <w:p w14:paraId="3AC31DA2">
            <w:pPr>
              <w:spacing w:before="65" w:beforeLines="20" w:after="65" w:afterLines="20" w:line="260" w:lineRule="exact"/>
              <w:rPr>
                <w:sz w:val="21"/>
                <w:szCs w:val="21"/>
              </w:rPr>
            </w:pPr>
          </w:p>
        </w:tc>
      </w:tr>
      <w:bookmarkEnd w:id="23"/>
    </w:tbl>
    <w:p w14:paraId="4D639978">
      <w:pPr>
        <w:spacing w:before="97" w:beforeLines="30"/>
        <w:jc w:val="center"/>
        <w:rPr>
          <w:b/>
        </w:rPr>
      </w:pPr>
      <w:r>
        <w:rPr>
          <w:rFonts w:hint="eastAsia"/>
          <w:b/>
        </w:rPr>
        <w:t>质量控制范围</w:t>
      </w:r>
    </w:p>
    <w:tbl>
      <w:tblPr>
        <w:tblStyle w:val="6"/>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69"/>
        <w:gridCol w:w="1701"/>
        <w:gridCol w:w="1842"/>
        <w:gridCol w:w="2410"/>
      </w:tblGrid>
      <w:tr w14:paraId="5EEB7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tcPr>
          <w:p w14:paraId="5EAF2627">
            <w:pPr>
              <w:spacing w:before="65" w:beforeLines="20" w:after="65" w:afterLines="20" w:line="260" w:lineRule="exact"/>
              <w:rPr>
                <w:b/>
                <w:sz w:val="21"/>
                <w:szCs w:val="21"/>
              </w:rPr>
            </w:pPr>
            <w:r>
              <w:rPr>
                <w:rFonts w:hint="eastAsia"/>
                <w:b/>
                <w:sz w:val="21"/>
                <w:szCs w:val="21"/>
              </w:rPr>
              <w:t>质量控制</w:t>
            </w:r>
            <w:bookmarkStart w:id="24" w:name="OLE_LINK34"/>
            <w:bookmarkStart w:id="25" w:name="OLE_LINK33"/>
            <w:r>
              <w:rPr>
                <w:rFonts w:hint="eastAsia"/>
                <w:b/>
                <w:sz w:val="21"/>
                <w:szCs w:val="21"/>
              </w:rPr>
              <w:t>微生物类型</w:t>
            </w:r>
            <w:bookmarkEnd w:id="24"/>
            <w:bookmarkEnd w:id="25"/>
          </w:p>
        </w:tc>
        <w:tc>
          <w:tcPr>
            <w:tcW w:w="1701" w:type="dxa"/>
          </w:tcPr>
          <w:p w14:paraId="770D7A09">
            <w:pPr>
              <w:spacing w:before="65" w:beforeLines="20" w:after="65" w:afterLines="20" w:line="260" w:lineRule="exact"/>
              <w:rPr>
                <w:b/>
                <w:sz w:val="21"/>
                <w:szCs w:val="21"/>
              </w:rPr>
            </w:pPr>
            <w:r>
              <w:rPr>
                <w:rFonts w:hint="eastAsia"/>
                <w:b/>
                <w:sz w:val="21"/>
                <w:szCs w:val="21"/>
              </w:rPr>
              <w:t>制造商</w:t>
            </w:r>
          </w:p>
        </w:tc>
        <w:tc>
          <w:tcPr>
            <w:tcW w:w="1842" w:type="dxa"/>
          </w:tcPr>
          <w:p w14:paraId="58597DFA">
            <w:pPr>
              <w:spacing w:before="65" w:beforeLines="20" w:after="65" w:afterLines="20" w:line="260" w:lineRule="exact"/>
              <w:rPr>
                <w:b/>
                <w:sz w:val="21"/>
                <w:szCs w:val="21"/>
              </w:rPr>
            </w:pPr>
            <w:r>
              <w:rPr>
                <w:rFonts w:hint="eastAsia"/>
                <w:b/>
                <w:sz w:val="21"/>
                <w:szCs w:val="21"/>
              </w:rPr>
              <w:t>FDA</w:t>
            </w:r>
          </w:p>
        </w:tc>
        <w:tc>
          <w:tcPr>
            <w:tcW w:w="2410" w:type="dxa"/>
          </w:tcPr>
          <w:p w14:paraId="23A7B0D9">
            <w:pPr>
              <w:spacing w:before="65" w:beforeLines="20" w:after="65" w:afterLines="20" w:line="260" w:lineRule="exact"/>
              <w:rPr>
                <w:b/>
                <w:sz w:val="21"/>
                <w:szCs w:val="21"/>
              </w:rPr>
            </w:pPr>
            <w:r>
              <w:rPr>
                <w:rFonts w:hint="eastAsia"/>
                <w:b/>
                <w:sz w:val="21"/>
                <w:szCs w:val="21"/>
              </w:rPr>
              <w:t>NCCLS</w:t>
            </w:r>
          </w:p>
        </w:tc>
      </w:tr>
      <w:tr w14:paraId="7061F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tcPr>
          <w:p w14:paraId="5EDF82CF">
            <w:pPr>
              <w:spacing w:before="65" w:beforeLines="20" w:after="65" w:afterLines="20" w:line="260" w:lineRule="exact"/>
              <w:rPr>
                <w:sz w:val="21"/>
                <w:szCs w:val="21"/>
              </w:rPr>
            </w:pPr>
            <w:r>
              <w:rPr>
                <w:rFonts w:hint="eastAsia"/>
                <w:sz w:val="21"/>
                <w:szCs w:val="21"/>
              </w:rPr>
              <w:t>大肠杆菌ATCC</w:t>
            </w:r>
            <w:r>
              <w:rPr>
                <w:sz w:val="21"/>
                <w:szCs w:val="21"/>
              </w:rPr>
              <w:t xml:space="preserve"> 25922</w:t>
            </w:r>
          </w:p>
        </w:tc>
        <w:tc>
          <w:tcPr>
            <w:tcW w:w="1701" w:type="dxa"/>
          </w:tcPr>
          <w:p w14:paraId="728D4383">
            <w:pPr>
              <w:spacing w:before="65" w:beforeLines="20" w:after="65" w:afterLines="20" w:line="260" w:lineRule="exact"/>
              <w:rPr>
                <w:sz w:val="21"/>
                <w:szCs w:val="21"/>
              </w:rPr>
            </w:pPr>
          </w:p>
        </w:tc>
        <w:tc>
          <w:tcPr>
            <w:tcW w:w="1842" w:type="dxa"/>
          </w:tcPr>
          <w:p w14:paraId="3E057B52">
            <w:pPr>
              <w:spacing w:before="65" w:beforeLines="20" w:after="65" w:afterLines="20" w:line="260" w:lineRule="exact"/>
              <w:rPr>
                <w:sz w:val="21"/>
                <w:szCs w:val="21"/>
              </w:rPr>
            </w:pPr>
          </w:p>
        </w:tc>
        <w:tc>
          <w:tcPr>
            <w:tcW w:w="2410" w:type="dxa"/>
          </w:tcPr>
          <w:p w14:paraId="691D4230">
            <w:pPr>
              <w:spacing w:before="65" w:beforeLines="20" w:after="65" w:afterLines="20" w:line="260" w:lineRule="exact"/>
              <w:rPr>
                <w:sz w:val="21"/>
                <w:szCs w:val="21"/>
              </w:rPr>
            </w:pPr>
          </w:p>
        </w:tc>
      </w:tr>
      <w:tr w14:paraId="6652B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tcPr>
          <w:p w14:paraId="426A24D9">
            <w:pPr>
              <w:spacing w:before="65" w:beforeLines="20" w:after="65" w:afterLines="20" w:line="260" w:lineRule="exact"/>
              <w:rPr>
                <w:sz w:val="21"/>
                <w:szCs w:val="21"/>
              </w:rPr>
            </w:pPr>
            <w:r>
              <w:rPr>
                <w:rFonts w:hint="eastAsia"/>
                <w:sz w:val="21"/>
                <w:szCs w:val="21"/>
              </w:rPr>
              <w:t>铜绿假单胞菌 ATCC</w:t>
            </w:r>
            <w:r>
              <w:rPr>
                <w:sz w:val="21"/>
                <w:szCs w:val="21"/>
              </w:rPr>
              <w:t>27853</w:t>
            </w:r>
          </w:p>
        </w:tc>
        <w:tc>
          <w:tcPr>
            <w:tcW w:w="1701" w:type="dxa"/>
          </w:tcPr>
          <w:p w14:paraId="455F5C01">
            <w:pPr>
              <w:spacing w:before="65" w:beforeLines="20" w:after="65" w:afterLines="20" w:line="260" w:lineRule="exact"/>
              <w:rPr>
                <w:sz w:val="21"/>
                <w:szCs w:val="21"/>
              </w:rPr>
            </w:pPr>
          </w:p>
        </w:tc>
        <w:tc>
          <w:tcPr>
            <w:tcW w:w="1842" w:type="dxa"/>
          </w:tcPr>
          <w:p w14:paraId="157C53EC">
            <w:pPr>
              <w:spacing w:before="65" w:beforeLines="20" w:after="65" w:afterLines="20" w:line="260" w:lineRule="exact"/>
              <w:rPr>
                <w:sz w:val="21"/>
                <w:szCs w:val="21"/>
              </w:rPr>
            </w:pPr>
          </w:p>
        </w:tc>
        <w:tc>
          <w:tcPr>
            <w:tcW w:w="2410" w:type="dxa"/>
          </w:tcPr>
          <w:p w14:paraId="40DF7F83">
            <w:pPr>
              <w:spacing w:before="65" w:beforeLines="20" w:after="65" w:afterLines="20" w:line="260" w:lineRule="exact"/>
              <w:rPr>
                <w:sz w:val="21"/>
                <w:szCs w:val="21"/>
              </w:rPr>
            </w:pPr>
          </w:p>
        </w:tc>
      </w:tr>
      <w:tr w14:paraId="6248A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tcPr>
          <w:p w14:paraId="32BD8BDF">
            <w:pPr>
              <w:spacing w:before="65" w:beforeLines="20" w:after="65" w:afterLines="20" w:line="260" w:lineRule="exact"/>
              <w:rPr>
                <w:sz w:val="21"/>
                <w:szCs w:val="21"/>
              </w:rPr>
            </w:pPr>
            <w:r>
              <w:rPr>
                <w:rFonts w:hint="eastAsia"/>
                <w:sz w:val="21"/>
                <w:szCs w:val="21"/>
              </w:rPr>
              <w:t>大肠杆菌ATCC</w:t>
            </w:r>
            <w:r>
              <w:rPr>
                <w:sz w:val="21"/>
                <w:szCs w:val="21"/>
              </w:rPr>
              <w:t xml:space="preserve"> 35218</w:t>
            </w:r>
          </w:p>
        </w:tc>
        <w:tc>
          <w:tcPr>
            <w:tcW w:w="1701" w:type="dxa"/>
          </w:tcPr>
          <w:p w14:paraId="2A4A5396">
            <w:pPr>
              <w:spacing w:before="65" w:beforeLines="20" w:after="65" w:afterLines="20" w:line="260" w:lineRule="exact"/>
              <w:rPr>
                <w:sz w:val="21"/>
                <w:szCs w:val="21"/>
              </w:rPr>
            </w:pPr>
          </w:p>
        </w:tc>
        <w:tc>
          <w:tcPr>
            <w:tcW w:w="1842" w:type="dxa"/>
          </w:tcPr>
          <w:p w14:paraId="66BFEA1B">
            <w:pPr>
              <w:spacing w:before="65" w:beforeLines="20" w:after="65" w:afterLines="20" w:line="260" w:lineRule="exact"/>
              <w:rPr>
                <w:sz w:val="21"/>
                <w:szCs w:val="21"/>
              </w:rPr>
            </w:pPr>
          </w:p>
        </w:tc>
        <w:tc>
          <w:tcPr>
            <w:tcW w:w="2410" w:type="dxa"/>
          </w:tcPr>
          <w:p w14:paraId="2162E384">
            <w:pPr>
              <w:spacing w:before="65" w:beforeLines="20" w:after="65" w:afterLines="20" w:line="260" w:lineRule="exact"/>
              <w:rPr>
                <w:sz w:val="21"/>
                <w:szCs w:val="21"/>
              </w:rPr>
            </w:pPr>
          </w:p>
        </w:tc>
      </w:tr>
      <w:tr w14:paraId="6FA0C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tcPr>
          <w:p w14:paraId="57C7A4DA">
            <w:pPr>
              <w:spacing w:before="65" w:beforeLines="20" w:after="65" w:afterLines="20" w:line="260" w:lineRule="exact"/>
              <w:rPr>
                <w:sz w:val="21"/>
                <w:szCs w:val="21"/>
              </w:rPr>
            </w:pPr>
            <w:r>
              <w:rPr>
                <w:rFonts w:hint="eastAsia"/>
                <w:sz w:val="21"/>
                <w:szCs w:val="21"/>
              </w:rPr>
              <w:t>金黄色葡萄球菌ATCC</w:t>
            </w:r>
            <w:r>
              <w:rPr>
                <w:sz w:val="21"/>
                <w:szCs w:val="21"/>
              </w:rPr>
              <w:t xml:space="preserve"> 29213</w:t>
            </w:r>
            <w:r>
              <w:rPr>
                <w:rFonts w:hint="eastAsia"/>
                <w:sz w:val="21"/>
                <w:szCs w:val="21"/>
              </w:rPr>
              <w:t xml:space="preserve"> </w:t>
            </w:r>
          </w:p>
        </w:tc>
        <w:tc>
          <w:tcPr>
            <w:tcW w:w="1701" w:type="dxa"/>
          </w:tcPr>
          <w:p w14:paraId="3DA59EBB">
            <w:pPr>
              <w:spacing w:before="65" w:beforeLines="20" w:after="65" w:afterLines="20" w:line="260" w:lineRule="exact"/>
              <w:rPr>
                <w:sz w:val="21"/>
                <w:szCs w:val="21"/>
              </w:rPr>
            </w:pPr>
          </w:p>
        </w:tc>
        <w:tc>
          <w:tcPr>
            <w:tcW w:w="1842" w:type="dxa"/>
          </w:tcPr>
          <w:p w14:paraId="10BC85D4">
            <w:pPr>
              <w:spacing w:before="65" w:beforeLines="20" w:after="65" w:afterLines="20" w:line="260" w:lineRule="exact"/>
              <w:rPr>
                <w:sz w:val="21"/>
                <w:szCs w:val="21"/>
              </w:rPr>
            </w:pPr>
          </w:p>
        </w:tc>
        <w:tc>
          <w:tcPr>
            <w:tcW w:w="2410" w:type="dxa"/>
          </w:tcPr>
          <w:p w14:paraId="78C07DE9">
            <w:pPr>
              <w:spacing w:before="65" w:beforeLines="20" w:after="65" w:afterLines="20" w:line="260" w:lineRule="exact"/>
              <w:rPr>
                <w:sz w:val="21"/>
                <w:szCs w:val="21"/>
              </w:rPr>
            </w:pPr>
          </w:p>
        </w:tc>
      </w:tr>
      <w:tr w14:paraId="73C13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tcPr>
          <w:p w14:paraId="414489E1">
            <w:pPr>
              <w:spacing w:before="65" w:beforeLines="20" w:after="65" w:afterLines="20" w:line="260" w:lineRule="exact"/>
              <w:rPr>
                <w:sz w:val="21"/>
                <w:szCs w:val="21"/>
              </w:rPr>
            </w:pPr>
            <w:r>
              <w:rPr>
                <w:rFonts w:hint="eastAsia"/>
                <w:sz w:val="21"/>
                <w:szCs w:val="21"/>
              </w:rPr>
              <w:t>粪肠球菌ATCC</w:t>
            </w:r>
            <w:r>
              <w:rPr>
                <w:sz w:val="21"/>
                <w:szCs w:val="21"/>
              </w:rPr>
              <w:t xml:space="preserve"> 29212</w:t>
            </w:r>
          </w:p>
        </w:tc>
        <w:tc>
          <w:tcPr>
            <w:tcW w:w="1701" w:type="dxa"/>
          </w:tcPr>
          <w:p w14:paraId="5A438109">
            <w:pPr>
              <w:spacing w:before="65" w:beforeLines="20" w:after="65" w:afterLines="20" w:line="260" w:lineRule="exact"/>
              <w:rPr>
                <w:sz w:val="21"/>
                <w:szCs w:val="21"/>
              </w:rPr>
            </w:pPr>
          </w:p>
        </w:tc>
        <w:tc>
          <w:tcPr>
            <w:tcW w:w="1842" w:type="dxa"/>
          </w:tcPr>
          <w:p w14:paraId="39141F3E">
            <w:pPr>
              <w:spacing w:before="65" w:beforeLines="20" w:after="65" w:afterLines="20" w:line="260" w:lineRule="exact"/>
              <w:rPr>
                <w:sz w:val="21"/>
                <w:szCs w:val="21"/>
              </w:rPr>
            </w:pPr>
          </w:p>
        </w:tc>
        <w:tc>
          <w:tcPr>
            <w:tcW w:w="2410" w:type="dxa"/>
          </w:tcPr>
          <w:p w14:paraId="0139E2FA">
            <w:pPr>
              <w:spacing w:before="65" w:beforeLines="20" w:after="65" w:afterLines="20" w:line="260" w:lineRule="exact"/>
              <w:rPr>
                <w:sz w:val="21"/>
                <w:szCs w:val="21"/>
              </w:rPr>
            </w:pPr>
          </w:p>
        </w:tc>
      </w:tr>
      <w:tr w14:paraId="7151E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tcPr>
          <w:p w14:paraId="5ADA2B6E">
            <w:pPr>
              <w:spacing w:before="65" w:beforeLines="20" w:after="65" w:afterLines="20" w:line="260" w:lineRule="exact"/>
              <w:rPr>
                <w:sz w:val="21"/>
                <w:szCs w:val="21"/>
              </w:rPr>
            </w:pPr>
            <w:r>
              <w:rPr>
                <w:rFonts w:hint="eastAsia"/>
                <w:sz w:val="21"/>
                <w:szCs w:val="21"/>
              </w:rPr>
              <w:t>肺炎链球菌ATCC</w:t>
            </w:r>
            <w:r>
              <w:rPr>
                <w:sz w:val="21"/>
                <w:szCs w:val="21"/>
              </w:rPr>
              <w:t xml:space="preserve"> 49619</w:t>
            </w:r>
          </w:p>
        </w:tc>
        <w:tc>
          <w:tcPr>
            <w:tcW w:w="1701" w:type="dxa"/>
          </w:tcPr>
          <w:p w14:paraId="072BD3B8">
            <w:pPr>
              <w:spacing w:before="65" w:beforeLines="20" w:after="65" w:afterLines="20" w:line="260" w:lineRule="exact"/>
              <w:rPr>
                <w:sz w:val="21"/>
                <w:szCs w:val="21"/>
              </w:rPr>
            </w:pPr>
          </w:p>
        </w:tc>
        <w:tc>
          <w:tcPr>
            <w:tcW w:w="1842" w:type="dxa"/>
          </w:tcPr>
          <w:p w14:paraId="5CA85AFA">
            <w:pPr>
              <w:spacing w:before="65" w:beforeLines="20" w:after="65" w:afterLines="20" w:line="260" w:lineRule="exact"/>
              <w:rPr>
                <w:sz w:val="21"/>
                <w:szCs w:val="21"/>
              </w:rPr>
            </w:pPr>
          </w:p>
        </w:tc>
        <w:tc>
          <w:tcPr>
            <w:tcW w:w="2410" w:type="dxa"/>
          </w:tcPr>
          <w:p w14:paraId="1DAA61F1">
            <w:pPr>
              <w:spacing w:before="65" w:beforeLines="20" w:after="65" w:afterLines="20" w:line="260" w:lineRule="exact"/>
              <w:rPr>
                <w:sz w:val="21"/>
                <w:szCs w:val="21"/>
              </w:rPr>
            </w:pPr>
          </w:p>
        </w:tc>
      </w:tr>
      <w:tr w14:paraId="6E6B6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tcPr>
          <w:p w14:paraId="28678DDD">
            <w:pPr>
              <w:spacing w:before="65" w:beforeLines="20" w:after="65" w:afterLines="20" w:line="260" w:lineRule="exact"/>
              <w:rPr>
                <w:sz w:val="21"/>
                <w:szCs w:val="21"/>
              </w:rPr>
            </w:pPr>
            <w:r>
              <w:rPr>
                <w:rFonts w:hint="eastAsia"/>
                <w:sz w:val="21"/>
                <w:szCs w:val="21"/>
              </w:rPr>
              <w:t>流感病毒ATCC</w:t>
            </w:r>
            <w:r>
              <w:rPr>
                <w:sz w:val="21"/>
                <w:szCs w:val="21"/>
              </w:rPr>
              <w:t xml:space="preserve"> 49247</w:t>
            </w:r>
          </w:p>
        </w:tc>
        <w:tc>
          <w:tcPr>
            <w:tcW w:w="1701" w:type="dxa"/>
          </w:tcPr>
          <w:p w14:paraId="57C95215">
            <w:pPr>
              <w:spacing w:before="65" w:beforeLines="20" w:after="65" w:afterLines="20" w:line="260" w:lineRule="exact"/>
              <w:rPr>
                <w:sz w:val="21"/>
                <w:szCs w:val="21"/>
              </w:rPr>
            </w:pPr>
          </w:p>
        </w:tc>
        <w:tc>
          <w:tcPr>
            <w:tcW w:w="1842" w:type="dxa"/>
          </w:tcPr>
          <w:p w14:paraId="421B07D6">
            <w:pPr>
              <w:spacing w:before="65" w:beforeLines="20" w:after="65" w:afterLines="20" w:line="260" w:lineRule="exact"/>
              <w:rPr>
                <w:sz w:val="21"/>
                <w:szCs w:val="21"/>
              </w:rPr>
            </w:pPr>
          </w:p>
        </w:tc>
        <w:tc>
          <w:tcPr>
            <w:tcW w:w="2410" w:type="dxa"/>
          </w:tcPr>
          <w:p w14:paraId="4D05D2DB">
            <w:pPr>
              <w:spacing w:before="65" w:beforeLines="20" w:after="65" w:afterLines="20" w:line="260" w:lineRule="exact"/>
              <w:rPr>
                <w:sz w:val="21"/>
                <w:szCs w:val="21"/>
              </w:rPr>
            </w:pPr>
          </w:p>
        </w:tc>
      </w:tr>
      <w:tr w14:paraId="2CC77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tcPr>
          <w:p w14:paraId="797E9B6E">
            <w:pPr>
              <w:spacing w:before="65" w:beforeLines="20" w:after="65" w:afterLines="20" w:line="260" w:lineRule="exact"/>
              <w:rPr>
                <w:sz w:val="21"/>
                <w:szCs w:val="21"/>
              </w:rPr>
            </w:pPr>
            <w:r>
              <w:rPr>
                <w:rFonts w:hint="eastAsia"/>
                <w:sz w:val="21"/>
                <w:szCs w:val="21"/>
              </w:rPr>
              <w:t>（其他）</w:t>
            </w:r>
          </w:p>
        </w:tc>
        <w:tc>
          <w:tcPr>
            <w:tcW w:w="1701" w:type="dxa"/>
          </w:tcPr>
          <w:p w14:paraId="142B4A4B">
            <w:pPr>
              <w:spacing w:before="65" w:beforeLines="20" w:after="65" w:afterLines="20" w:line="260" w:lineRule="exact"/>
              <w:rPr>
                <w:sz w:val="21"/>
                <w:szCs w:val="21"/>
              </w:rPr>
            </w:pPr>
          </w:p>
        </w:tc>
        <w:tc>
          <w:tcPr>
            <w:tcW w:w="1842" w:type="dxa"/>
          </w:tcPr>
          <w:p w14:paraId="37552C79">
            <w:pPr>
              <w:spacing w:before="65" w:beforeLines="20" w:after="65" w:afterLines="20" w:line="260" w:lineRule="exact"/>
              <w:rPr>
                <w:sz w:val="21"/>
                <w:szCs w:val="21"/>
              </w:rPr>
            </w:pPr>
          </w:p>
        </w:tc>
        <w:tc>
          <w:tcPr>
            <w:tcW w:w="2410" w:type="dxa"/>
          </w:tcPr>
          <w:p w14:paraId="5C2C054A">
            <w:pPr>
              <w:spacing w:before="65" w:beforeLines="20" w:after="65" w:afterLines="20" w:line="260" w:lineRule="exact"/>
              <w:rPr>
                <w:sz w:val="21"/>
                <w:szCs w:val="21"/>
              </w:rPr>
            </w:pPr>
          </w:p>
        </w:tc>
      </w:tr>
      <w:tr w14:paraId="5ED58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tcPr>
          <w:p w14:paraId="306E81A1">
            <w:pPr>
              <w:spacing w:before="65" w:beforeLines="20" w:after="65" w:afterLines="20" w:line="260" w:lineRule="exact"/>
              <w:rPr>
                <w:sz w:val="21"/>
                <w:szCs w:val="21"/>
              </w:rPr>
            </w:pPr>
          </w:p>
        </w:tc>
        <w:tc>
          <w:tcPr>
            <w:tcW w:w="1701" w:type="dxa"/>
          </w:tcPr>
          <w:p w14:paraId="2E47E287">
            <w:pPr>
              <w:spacing w:before="65" w:beforeLines="20" w:after="65" w:afterLines="20" w:line="260" w:lineRule="exact"/>
              <w:rPr>
                <w:sz w:val="21"/>
                <w:szCs w:val="21"/>
              </w:rPr>
            </w:pPr>
          </w:p>
        </w:tc>
        <w:tc>
          <w:tcPr>
            <w:tcW w:w="1842" w:type="dxa"/>
          </w:tcPr>
          <w:p w14:paraId="0BA56836">
            <w:pPr>
              <w:spacing w:before="65" w:beforeLines="20" w:after="65" w:afterLines="20" w:line="260" w:lineRule="exact"/>
              <w:rPr>
                <w:sz w:val="21"/>
                <w:szCs w:val="21"/>
              </w:rPr>
            </w:pPr>
          </w:p>
        </w:tc>
        <w:tc>
          <w:tcPr>
            <w:tcW w:w="2410" w:type="dxa"/>
          </w:tcPr>
          <w:p w14:paraId="73E477D7">
            <w:pPr>
              <w:spacing w:before="65" w:beforeLines="20" w:after="65" w:afterLines="20" w:line="260" w:lineRule="exact"/>
              <w:rPr>
                <w:sz w:val="21"/>
                <w:szCs w:val="21"/>
              </w:rPr>
            </w:pPr>
          </w:p>
        </w:tc>
      </w:tr>
    </w:tbl>
    <w:p w14:paraId="7F9D9E47">
      <w:pPr>
        <w:spacing w:before="195"/>
      </w:pPr>
    </w:p>
    <w:p w14:paraId="485AA0AB">
      <w:pPr>
        <w:spacing w:before="97" w:beforeLines="30"/>
        <w:jc w:val="center"/>
        <w:rPr>
          <w:b/>
          <w:u w:val="single"/>
        </w:rPr>
      </w:pPr>
      <w:r>
        <w:rPr>
          <w:rFonts w:hint="eastAsia"/>
          <w:b/>
          <w:u w:val="single"/>
        </w:rPr>
        <w:t>标签注意事项</w:t>
      </w:r>
    </w:p>
    <w:p w14:paraId="51C91014">
      <w:pPr>
        <w:tabs>
          <w:tab w:val="left" w:leader="dot" w:pos="4536"/>
          <w:tab w:val="left" w:leader="dot" w:pos="5760"/>
        </w:tabs>
        <w:spacing w:before="97" w:beforeLines="30"/>
      </w:pPr>
      <w:r>
        <w:rPr>
          <w:rFonts w:hint="eastAsia"/>
        </w:rPr>
        <w:t>标签的解释性（S-I-R）断点：  是</w:t>
      </w:r>
      <w:r>
        <w:rPr>
          <w:rFonts w:hint="eastAsia"/>
        </w:rPr>
        <w:tab/>
      </w:r>
      <w:r>
        <w:rPr>
          <w:rFonts w:hint="eastAsia"/>
        </w:rPr>
        <w:t>否</w:t>
      </w:r>
      <w:r>
        <w:rPr>
          <w:rFonts w:hint="eastAsia"/>
        </w:rPr>
        <w:tab/>
      </w:r>
    </w:p>
    <w:p w14:paraId="0CEF8ED9">
      <w:pPr>
        <w:tabs>
          <w:tab w:val="left" w:leader="dot" w:pos="5387"/>
          <w:tab w:val="left" w:leader="dot" w:pos="6521"/>
        </w:tabs>
        <w:spacing w:before="97" w:beforeLines="30"/>
      </w:pPr>
      <w:r>
        <w:rPr>
          <w:rFonts w:hint="eastAsia"/>
        </w:rPr>
        <w:t>标签中质量控制的微生物及其范围：  是</w:t>
      </w:r>
      <w:r>
        <w:rPr>
          <w:rFonts w:hint="eastAsia"/>
        </w:rPr>
        <w:tab/>
      </w:r>
      <w:r>
        <w:rPr>
          <w:rFonts w:hint="eastAsia"/>
        </w:rPr>
        <w:t>否</w:t>
      </w:r>
      <w:r>
        <w:rPr>
          <w:rFonts w:hint="eastAsia"/>
        </w:rPr>
        <w:tab/>
      </w:r>
    </w:p>
    <w:p w14:paraId="7FCD8AB7">
      <w:pPr>
        <w:tabs>
          <w:tab w:val="left" w:leader="dot" w:pos="4320"/>
          <w:tab w:val="left" w:leader="dot" w:pos="5760"/>
        </w:tabs>
        <w:spacing w:before="97" w:beforeLines="30"/>
      </w:pPr>
      <w:r>
        <w:rPr>
          <w:rFonts w:hint="eastAsia"/>
        </w:rPr>
        <w:t>标签中陈述的适应症：  是</w:t>
      </w:r>
      <w:r>
        <w:rPr>
          <w:rFonts w:hint="eastAsia"/>
        </w:rPr>
        <w:tab/>
      </w:r>
      <w:r>
        <w:rPr>
          <w:rFonts w:hint="eastAsia"/>
        </w:rPr>
        <w:t>否</w:t>
      </w:r>
      <w:r>
        <w:rPr>
          <w:rFonts w:hint="eastAsia"/>
        </w:rPr>
        <w:tab/>
      </w:r>
    </w:p>
    <w:p w14:paraId="6EB7477E">
      <w:pPr>
        <w:tabs>
          <w:tab w:val="left" w:leader="dot" w:pos="3402"/>
          <w:tab w:val="left" w:leader="dot" w:pos="5760"/>
        </w:tabs>
        <w:spacing w:before="97" w:beforeLines="30"/>
      </w:pPr>
      <w:r>
        <w:rPr>
          <w:rFonts w:hint="eastAsia"/>
          <w:b/>
        </w:rPr>
        <w:t>实质等同性</w:t>
      </w:r>
      <w:r>
        <w:rPr>
          <w:rFonts w:hint="eastAsia"/>
          <w:b/>
        </w:rPr>
        <w:tab/>
      </w:r>
      <w:r>
        <w:rPr>
          <w:rFonts w:hint="eastAsia"/>
          <w:b/>
        </w:rPr>
        <w:t>比较器械</w:t>
      </w:r>
      <w:r>
        <w:rPr>
          <w:rFonts w:hint="eastAsia"/>
          <w:b/>
        </w:rPr>
        <w:tab/>
      </w:r>
    </w:p>
    <w:p w14:paraId="495AA5B5">
      <w:pPr>
        <w:spacing w:before="187"/>
        <w:rPr>
          <w:rFonts w:hint="eastAsia" w:eastAsia="等线"/>
          <w:lang w:eastAsia="zh-CN"/>
        </w:rPr>
      </w:pPr>
    </w:p>
    <w:p w14:paraId="690A3B0D">
      <w:pPr>
        <w:spacing w:before="187"/>
        <w:jc w:val="center"/>
        <w:rPr>
          <w:rFonts w:hint="eastAsia" w:eastAsia="等线"/>
          <w:lang w:eastAsia="zh-CN"/>
        </w:rPr>
      </w:pPr>
    </w:p>
    <w:p w14:paraId="6687F516">
      <w:pPr>
        <w:spacing w:before="187"/>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16"/>
                    <a:stretch>
                      <a:fillRect/>
                    </a:stretch>
                  </pic:blipFill>
                  <pic:spPr>
                    <a:xfrm>
                      <a:off x="0" y="0"/>
                      <a:ext cx="5210175" cy="7343775"/>
                    </a:xfrm>
                    <a:prstGeom prst="rect">
                      <a:avLst/>
                    </a:prstGeom>
                  </pic:spPr>
                </pic:pic>
              </a:graphicData>
            </a:graphic>
          </wp:inline>
        </w:drawing>
      </w:r>
    </w:p>
    <w:sectPr>
      <w:headerReference r:id="rId13" w:type="first"/>
      <w:pgSz w:w="11906" w:h="16838"/>
      <w:pgMar w:top="1418" w:right="1418" w:bottom="1418" w:left="1418" w:header="720" w:footer="720" w:gutter="0"/>
      <w:pgNumType w:start="1"/>
      <w:cols w:space="720" w:num="1"/>
      <w:titlePg/>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7750D">
    <w:pPr>
      <w:pStyle w:val="3"/>
      <w:spacing w:before="14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B81D0">
    <w:pPr>
      <w:pStyle w:val="3"/>
      <w:spacing w:before="14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D2ED1">
    <w:pPr>
      <w:pStyle w:val="3"/>
      <w:spacing w:before="14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C6D6D">
    <w:pPr>
      <w:pStyle w:val="4"/>
      <w:pBdr>
        <w:bottom w:val="none" w:color="auto" w:sz="0" w:space="0"/>
      </w:pBdr>
      <w:spacing w:before="14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73988">
    <w:pPr>
      <w:pStyle w:val="4"/>
      <w:spacing w:before="14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9A59C">
    <w:pPr>
      <w:pStyle w:val="4"/>
      <w:spacing w:before="14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7FD18">
    <w:pPr>
      <w:pStyle w:val="4"/>
      <w:pBdr>
        <w:bottom w:val="none" w:color="auto" w:sz="0" w:space="0"/>
      </w:pBdr>
      <w:spacing w:before="72" w:beforeLines="30" w:line="264" w:lineRule="auto"/>
      <w:jc w:val="right"/>
      <w:rPr>
        <w:sz w:val="21"/>
        <w:szCs w:val="21"/>
      </w:rPr>
    </w:pPr>
    <w:r>
      <w:rPr>
        <w:rFonts w:hint="eastAsia"/>
        <w:sz w:val="21"/>
        <w:szCs w:val="21"/>
      </w:rPr>
      <w:t>-</w:t>
    </w: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5</w:t>
    </w:r>
    <w:r>
      <w:rPr>
        <w:sz w:val="21"/>
        <w:szCs w:val="21"/>
      </w:rPr>
      <w:fldChar w:fldCharType="end"/>
    </w:r>
  </w:p>
  <w:p w14:paraId="7E6E310C">
    <w:pPr>
      <w:pStyle w:val="4"/>
      <w:pBdr>
        <w:bottom w:val="none" w:color="auto" w:sz="0" w:space="0"/>
      </w:pBdr>
      <w:spacing w:before="72" w:beforeLines="30" w:line="264" w:lineRule="auto"/>
      <w:jc w:val="right"/>
      <w:rPr>
        <w:sz w:val="21"/>
        <w:szCs w:val="21"/>
      </w:rPr>
    </w:pPr>
    <w:r>
      <w:rPr>
        <w:rFonts w:hint="eastAsia"/>
        <w:sz w:val="21"/>
        <w:szCs w:val="21"/>
      </w:rPr>
      <w:t>1996.10.03</w:t>
    </w:r>
  </w:p>
  <w:p w14:paraId="72ED2475">
    <w:pPr>
      <w:pStyle w:val="4"/>
      <w:pBdr>
        <w:bottom w:val="none" w:color="auto" w:sz="0" w:space="0"/>
      </w:pBdr>
      <w:spacing w:before="72" w:beforeLines="30" w:line="264" w:lineRule="auto"/>
      <w:jc w:val="right"/>
      <w:rPr>
        <w:sz w:val="21"/>
        <w:szCs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750B0">
    <w:pPr>
      <w:pStyle w:val="4"/>
      <w:pBdr>
        <w:bottom w:val="none" w:color="auto" w:sz="0" w:space="0"/>
      </w:pBdr>
      <w:spacing w:before="14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3CDC2">
    <w:pPr>
      <w:pStyle w:val="4"/>
      <w:pBdr>
        <w:bottom w:val="none" w:color="auto" w:sz="0" w:space="0"/>
      </w:pBdr>
      <w:spacing w:before="14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7E78E0"/>
    <w:multiLevelType w:val="multilevel"/>
    <w:tmpl w:val="297E78E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80F6301"/>
    <w:multiLevelType w:val="multilevel"/>
    <w:tmpl w:val="680F6301"/>
    <w:lvl w:ilvl="0" w:tentative="0">
      <w:start w:val="1"/>
      <w:numFmt w:val="upperRoman"/>
      <w:lvlText w:val="%1."/>
      <w:lvlJc w:val="left"/>
      <w:pPr>
        <w:ind w:left="420" w:hanging="420"/>
      </w:pPr>
      <w:rPr>
        <w:rFonts w:hint="eastAsia"/>
      </w:rPr>
    </w:lvl>
    <w:lvl w:ilvl="1" w:tentative="0">
      <w:start w:val="1"/>
      <w:numFmt w:val="upperLetter"/>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50E6089"/>
    <w:multiLevelType w:val="multilevel"/>
    <w:tmpl w:val="750E6089"/>
    <w:lvl w:ilvl="0" w:tentative="0">
      <w:start w:val="1"/>
      <w:numFmt w:val="upperLetter"/>
      <w:lvlText w:val="%1."/>
      <w:lvlJc w:val="left"/>
      <w:pPr>
        <w:ind w:left="420" w:hanging="420"/>
      </w:pPr>
    </w:lvl>
    <w:lvl w:ilvl="1" w:tentative="0">
      <w:start w:val="1"/>
      <w:numFmt w:val="upp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61006E4"/>
    <w:multiLevelType w:val="multilevel"/>
    <w:tmpl w:val="761006E4"/>
    <w:lvl w:ilvl="0" w:tentative="0">
      <w:start w:val="1"/>
      <w:numFmt w:val="upp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80"/>
  <w:drawingGridHorizontalSpacing w:val="120"/>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9FF"/>
    <w:rsid w:val="00020B6D"/>
    <w:rsid w:val="00046B42"/>
    <w:rsid w:val="00090E7F"/>
    <w:rsid w:val="000A4563"/>
    <w:rsid w:val="000F30DA"/>
    <w:rsid w:val="001214B4"/>
    <w:rsid w:val="00122F51"/>
    <w:rsid w:val="00187283"/>
    <w:rsid w:val="001926CF"/>
    <w:rsid w:val="00193510"/>
    <w:rsid w:val="001A6E56"/>
    <w:rsid w:val="001E47C8"/>
    <w:rsid w:val="002137E8"/>
    <w:rsid w:val="00251DDF"/>
    <w:rsid w:val="00265F22"/>
    <w:rsid w:val="0026682D"/>
    <w:rsid w:val="00280B55"/>
    <w:rsid w:val="002C7E0D"/>
    <w:rsid w:val="003308CF"/>
    <w:rsid w:val="00393A8E"/>
    <w:rsid w:val="004017D8"/>
    <w:rsid w:val="0041253F"/>
    <w:rsid w:val="004417F7"/>
    <w:rsid w:val="004515E4"/>
    <w:rsid w:val="0046345C"/>
    <w:rsid w:val="00477A39"/>
    <w:rsid w:val="004C7C7A"/>
    <w:rsid w:val="004E03C3"/>
    <w:rsid w:val="00504A01"/>
    <w:rsid w:val="00537E7B"/>
    <w:rsid w:val="00545936"/>
    <w:rsid w:val="005477BA"/>
    <w:rsid w:val="005A7317"/>
    <w:rsid w:val="005C177C"/>
    <w:rsid w:val="00660582"/>
    <w:rsid w:val="00662014"/>
    <w:rsid w:val="00671BC7"/>
    <w:rsid w:val="00685E42"/>
    <w:rsid w:val="0069295D"/>
    <w:rsid w:val="006A74AB"/>
    <w:rsid w:val="006E314F"/>
    <w:rsid w:val="006F3FDD"/>
    <w:rsid w:val="00712646"/>
    <w:rsid w:val="00744EFC"/>
    <w:rsid w:val="007A50C3"/>
    <w:rsid w:val="007C6E7E"/>
    <w:rsid w:val="007E5162"/>
    <w:rsid w:val="008264A3"/>
    <w:rsid w:val="008371BC"/>
    <w:rsid w:val="00845FDD"/>
    <w:rsid w:val="00854969"/>
    <w:rsid w:val="00870304"/>
    <w:rsid w:val="00872F36"/>
    <w:rsid w:val="008D05D7"/>
    <w:rsid w:val="008E2085"/>
    <w:rsid w:val="008E26A4"/>
    <w:rsid w:val="008E4CE0"/>
    <w:rsid w:val="008F555C"/>
    <w:rsid w:val="00916475"/>
    <w:rsid w:val="009273B4"/>
    <w:rsid w:val="00975193"/>
    <w:rsid w:val="0098741F"/>
    <w:rsid w:val="009B2754"/>
    <w:rsid w:val="009F40D1"/>
    <w:rsid w:val="00A02D93"/>
    <w:rsid w:val="00A04828"/>
    <w:rsid w:val="00A85EEA"/>
    <w:rsid w:val="00AD52E3"/>
    <w:rsid w:val="00B122E5"/>
    <w:rsid w:val="00BB5A06"/>
    <w:rsid w:val="00BE7061"/>
    <w:rsid w:val="00BE76D4"/>
    <w:rsid w:val="00C12B5F"/>
    <w:rsid w:val="00C46A8A"/>
    <w:rsid w:val="00C676D3"/>
    <w:rsid w:val="00C76BEA"/>
    <w:rsid w:val="00C8140E"/>
    <w:rsid w:val="00CD44B3"/>
    <w:rsid w:val="00D04AE6"/>
    <w:rsid w:val="00D242EE"/>
    <w:rsid w:val="00D42BAB"/>
    <w:rsid w:val="00DB4230"/>
    <w:rsid w:val="00DE75E3"/>
    <w:rsid w:val="00E42930"/>
    <w:rsid w:val="00E8536B"/>
    <w:rsid w:val="00E97C6F"/>
    <w:rsid w:val="00EA6470"/>
    <w:rsid w:val="00EE2AA7"/>
    <w:rsid w:val="00F25F48"/>
    <w:rsid w:val="00F678B5"/>
    <w:rsid w:val="00FA19FF"/>
    <w:rsid w:val="685F5D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before="60" w:beforeLines="60" w:line="312" w:lineRule="auto"/>
      <w:jc w:val="both"/>
    </w:pPr>
    <w:rPr>
      <w:rFonts w:ascii="Arial" w:hAnsi="Arial" w:eastAsia="宋体" w:cstheme="minorBidi"/>
      <w:kern w:val="2"/>
      <w:sz w:val="24"/>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11"/>
    <w:unhideWhenUsed/>
    <w:uiPriority w:val="99"/>
    <w:pPr>
      <w:tabs>
        <w:tab w:val="center" w:pos="4153"/>
        <w:tab w:val="right" w:pos="8306"/>
      </w:tabs>
      <w:spacing w:line="240" w:lineRule="auto"/>
      <w:jc w:val="left"/>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pacing w:line="240" w:lineRule="auto"/>
      <w:jc w:val="center"/>
    </w:pPr>
    <w:rPr>
      <w:sz w:val="18"/>
      <w:szCs w:val="18"/>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style>
  <w:style w:type="character" w:customStyle="1" w:styleId="9">
    <w:name w:val="批注框文本 Char"/>
    <w:basedOn w:val="7"/>
    <w:link w:val="2"/>
    <w:semiHidden/>
    <w:qFormat/>
    <w:uiPriority w:val="99"/>
    <w:rPr>
      <w:sz w:val="18"/>
      <w:szCs w:val="18"/>
    </w:rPr>
  </w:style>
  <w:style w:type="character" w:customStyle="1" w:styleId="10">
    <w:name w:val="页眉 Char"/>
    <w:basedOn w:val="7"/>
    <w:link w:val="4"/>
    <w:qFormat/>
    <w:uiPriority w:val="99"/>
    <w:rPr>
      <w:rFonts w:ascii="Arial" w:hAnsi="Arial" w:eastAsia="宋体"/>
      <w:sz w:val="18"/>
      <w:szCs w:val="18"/>
    </w:rPr>
  </w:style>
  <w:style w:type="character" w:customStyle="1" w:styleId="11">
    <w:name w:val="页脚 Char"/>
    <w:basedOn w:val="7"/>
    <w:link w:val="3"/>
    <w:uiPriority w:val="99"/>
    <w:rPr>
      <w:rFonts w:ascii="Arial" w:hAnsi="Arial" w:eastAsia="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4A008-AFC8-4ED6-91B0-36C4222BE41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3330</Words>
  <Characters>4097</Characters>
  <Lines>30</Lines>
  <Paragraphs>8</Paragraphs>
  <TotalTime>0</TotalTime>
  <ScaleCrop>false</ScaleCrop>
  <LinksUpToDate>false</LinksUpToDate>
  <CharactersWithSpaces>4175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2017-04-10T10:02:00Z</dcterms:created>
  <dc:creator>Guozhen Liu</dc:creator>
  <cp:lastModifiedBy>太极箫客</cp:lastModifiedBy>
  <dcterms:modified xsi:type="dcterms:W3CDTF">2025-08-14T07:28:19Z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9335A3B651944F11B355DB4AB77B21A1_12</vt:lpwstr>
  </property>
</Properties>
</file>