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B5DD6">
      <w:pPr>
        <w:pStyle w:val="10"/>
        <w:spacing w:before="120"/>
        <w:rPr>
          <w:lang w:eastAsia="zh-CN"/>
        </w:rPr>
      </w:pPr>
      <w:bookmarkStart w:id="18" w:name="_GoBack"/>
      <w:bookmarkEnd w:id="18"/>
      <w:r>
        <w:rPr>
          <w:lang w:eastAsia="zh-CN"/>
        </w:rPr>
        <w:t>记录用皮肤电极 - 基于安全性和性能途径的性能标准</w:t>
      </w:r>
    </w:p>
    <w:p w14:paraId="1C8BBE66">
      <w:pPr>
        <w:pStyle w:val="11"/>
        <w:spacing w:before="120"/>
        <w:rPr>
          <w:lang w:eastAsia="zh-CN"/>
        </w:rPr>
      </w:pPr>
      <w:r>
        <w:rPr>
          <w:lang w:eastAsia="zh-CN"/>
        </w:rPr>
        <w:t>对行业和美国食品药品监督管理局工作人员的指南</w:t>
      </w:r>
    </w:p>
    <w:p w14:paraId="381418DC">
      <w:pPr>
        <w:snapToGrid w:val="0"/>
        <w:spacing w:before="120" w:beforeLines="50"/>
        <w:jc w:val="center"/>
        <w:rPr>
          <w:sz w:val="28"/>
          <w:szCs w:val="28"/>
          <w:lang w:eastAsia="zh-CN"/>
        </w:rPr>
      </w:pPr>
      <w:r>
        <w:rPr>
          <w:b/>
          <w:bCs/>
          <w:sz w:val="28"/>
          <w:szCs w:val="28"/>
          <w:lang w:eastAsia="zh-CN"/>
        </w:rPr>
        <w:t>文件发布日期：2020年8月14日</w:t>
      </w:r>
    </w:p>
    <w:p w14:paraId="760A8689">
      <w:pPr>
        <w:snapToGrid w:val="0"/>
        <w:spacing w:before="120" w:beforeLines="50"/>
        <w:jc w:val="center"/>
        <w:rPr>
          <w:sz w:val="28"/>
          <w:szCs w:val="28"/>
          <w:lang w:eastAsia="zh-CN"/>
        </w:rPr>
      </w:pPr>
      <w:r>
        <w:rPr>
          <w:b/>
          <w:bCs/>
          <w:sz w:val="28"/>
          <w:szCs w:val="28"/>
          <w:lang w:eastAsia="zh-CN"/>
        </w:rPr>
        <w:t>文件草案发布日期</w:t>
      </w:r>
      <w:r>
        <w:rPr>
          <w:rFonts w:hint="eastAsia"/>
          <w:b/>
          <w:bCs/>
          <w:sz w:val="28"/>
          <w:szCs w:val="28"/>
          <w:lang w:eastAsia="zh-CN"/>
        </w:rPr>
        <w:t>：</w:t>
      </w:r>
      <w:r>
        <w:rPr>
          <w:b/>
          <w:bCs/>
          <w:sz w:val="28"/>
          <w:szCs w:val="28"/>
          <w:lang w:eastAsia="zh-CN"/>
        </w:rPr>
        <w:t>2019年9月20日</w:t>
      </w:r>
    </w:p>
    <w:p w14:paraId="0CD83513">
      <w:pPr>
        <w:snapToGrid w:val="0"/>
        <w:spacing w:before="120" w:beforeLines="50"/>
        <w:jc w:val="both"/>
        <w:rPr>
          <w:lang w:eastAsia="zh-CN"/>
        </w:rPr>
      </w:pPr>
    </w:p>
    <w:p w14:paraId="5D78E4C1">
      <w:pPr>
        <w:snapToGrid w:val="0"/>
        <w:spacing w:before="120" w:beforeLines="50"/>
        <w:jc w:val="both"/>
        <w:rPr>
          <w:sz w:val="24"/>
          <w:szCs w:val="24"/>
          <w:lang w:eastAsia="zh-CN"/>
        </w:rPr>
      </w:pPr>
      <w:r>
        <w:rPr>
          <w:rFonts w:hint="eastAsia"/>
          <w:sz w:val="24"/>
          <w:szCs w:val="24"/>
          <w:lang w:eastAsia="zh-CN"/>
        </w:rPr>
        <w:t>如对</w:t>
      </w:r>
      <w:r>
        <w:rPr>
          <w:sz w:val="24"/>
          <w:szCs w:val="24"/>
          <w:lang w:eastAsia="zh-CN"/>
        </w:rPr>
        <w:t>本文件</w:t>
      </w:r>
      <w:r>
        <w:rPr>
          <w:rFonts w:hint="eastAsia"/>
          <w:sz w:val="24"/>
          <w:szCs w:val="24"/>
          <w:lang w:eastAsia="zh-CN"/>
        </w:rPr>
        <w:t>有任何疑问</w:t>
      </w:r>
      <w:r>
        <w:rPr>
          <w:sz w:val="24"/>
          <w:szCs w:val="24"/>
          <w:lang w:eastAsia="zh-CN"/>
        </w:rPr>
        <w:t>，请通过301-796-6610联系DHT5B：神经调节及物理医疗器械部。</w:t>
      </w:r>
    </w:p>
    <w:p w14:paraId="01ECAB91">
      <w:pPr>
        <w:snapToGrid w:val="0"/>
        <w:spacing w:before="120" w:beforeLines="50"/>
        <w:jc w:val="both"/>
        <w:rPr>
          <w:lang w:eastAsia="zh-CN"/>
        </w:rPr>
      </w:pPr>
    </w:p>
    <w:p w14:paraId="6F7E78EB">
      <w:pPr>
        <w:snapToGrid w:val="0"/>
        <w:spacing w:before="120" w:beforeLines="50"/>
        <w:jc w:val="both"/>
        <w:rPr>
          <w:lang w:eastAsia="zh-CN"/>
        </w:rPr>
      </w:pPr>
    </w:p>
    <w:p w14:paraId="61F1C5C2">
      <w:pPr>
        <w:snapToGrid w:val="0"/>
        <w:spacing w:before="120" w:beforeLines="50"/>
        <w:jc w:val="both"/>
        <w:rPr>
          <w:lang w:eastAsia="zh-CN"/>
        </w:rPr>
      </w:pPr>
    </w:p>
    <w:p w14:paraId="133C9419">
      <w:pPr>
        <w:snapToGrid w:val="0"/>
        <w:spacing w:before="120" w:beforeLines="50"/>
        <w:jc w:val="both"/>
        <w:rPr>
          <w:lang w:eastAsia="zh-CN"/>
        </w:rPr>
      </w:pPr>
    </w:p>
    <w:p w14:paraId="160A36C9">
      <w:pPr>
        <w:snapToGrid w:val="0"/>
        <w:spacing w:before="120" w:beforeLines="50"/>
        <w:jc w:val="both"/>
        <w:rPr>
          <w:lang w:eastAsia="zh-CN"/>
        </w:rPr>
      </w:pPr>
    </w:p>
    <w:p w14:paraId="20E47D3C">
      <w:pPr>
        <w:snapToGrid w:val="0"/>
        <w:spacing w:before="120" w:beforeLines="50"/>
        <w:jc w:val="both"/>
        <w:rPr>
          <w:lang w:eastAsia="zh-CN"/>
        </w:rPr>
      </w:pPr>
    </w:p>
    <w:p w14:paraId="78A533D2">
      <w:pPr>
        <w:snapToGrid w:val="0"/>
        <w:spacing w:before="120" w:beforeLines="50"/>
        <w:jc w:val="both"/>
        <w:rPr>
          <w:lang w:eastAsia="zh-CN"/>
        </w:rPr>
      </w:pPr>
    </w:p>
    <w:p w14:paraId="74C1F500">
      <w:pPr>
        <w:snapToGrid w:val="0"/>
        <w:spacing w:before="120" w:beforeLines="50"/>
        <w:jc w:val="both"/>
        <w:rPr>
          <w:lang w:eastAsia="zh-CN"/>
        </w:rPr>
      </w:pPr>
    </w:p>
    <w:p w14:paraId="4FE0E8A0">
      <w:pPr>
        <w:snapToGrid w:val="0"/>
        <w:spacing w:before="120" w:beforeLines="50"/>
        <w:jc w:val="both"/>
        <w:rPr>
          <w:lang w:eastAsia="zh-CN"/>
        </w:rPr>
      </w:pPr>
    </w:p>
    <w:p w14:paraId="0249240F">
      <w:pPr>
        <w:snapToGrid w:val="0"/>
        <w:spacing w:before="120" w:beforeLines="50"/>
        <w:jc w:val="both"/>
        <w:rPr>
          <w:lang w:eastAsia="zh-CN"/>
        </w:rPr>
      </w:pPr>
    </w:p>
    <w:p w14:paraId="4AF9166F">
      <w:pPr>
        <w:snapToGrid w:val="0"/>
        <w:spacing w:before="120" w:beforeLines="50"/>
        <w:jc w:val="both"/>
        <w:rPr>
          <w:lang w:eastAsia="zh-CN"/>
        </w:rPr>
      </w:pPr>
    </w:p>
    <w:p w14:paraId="50DE8900">
      <w:pPr>
        <w:snapToGrid w:val="0"/>
        <w:spacing w:before="120" w:beforeLines="50"/>
        <w:jc w:val="both"/>
        <w:rPr>
          <w:lang w:eastAsia="zh-CN"/>
        </w:rPr>
      </w:pPr>
    </w:p>
    <w:p w14:paraId="043AAC55">
      <w:pPr>
        <w:snapToGrid w:val="0"/>
        <w:spacing w:before="120" w:beforeLines="50"/>
        <w:jc w:val="both"/>
        <w:rPr>
          <w:lang w:eastAsia="zh-CN"/>
        </w:rPr>
      </w:pPr>
    </w:p>
    <w:p w14:paraId="59F1D87F">
      <w:pPr>
        <w:snapToGrid w:val="0"/>
        <w:spacing w:before="120" w:beforeLines="50"/>
        <w:jc w:val="both"/>
        <w:rPr>
          <w:lang w:eastAsia="zh-CN"/>
        </w:rPr>
      </w:pPr>
    </w:p>
    <w:p w14:paraId="2E0B7301">
      <w:pPr>
        <w:snapToGrid w:val="0"/>
        <w:spacing w:before="120" w:beforeLines="50"/>
        <w:jc w:val="both"/>
        <w:rPr>
          <w:lang w:eastAsia="zh-CN"/>
        </w:rPr>
      </w:pPr>
    </w:p>
    <w:p w14:paraId="0847B24D">
      <w:pPr>
        <w:snapToGrid w:val="0"/>
        <w:spacing w:before="120" w:beforeLines="50"/>
        <w:jc w:val="both"/>
        <w:rPr>
          <w:lang w:eastAsia="zh-CN"/>
        </w:rPr>
      </w:pPr>
    </w:p>
    <w:p w14:paraId="418FEBA5">
      <w:pPr>
        <w:snapToGrid w:val="0"/>
        <w:spacing w:before="120" w:beforeLines="50"/>
        <w:jc w:val="both"/>
        <w:rPr>
          <w:lang w:eastAsia="zh-CN"/>
        </w:rPr>
      </w:pPr>
    </w:p>
    <w:p w14:paraId="494FF135">
      <w:pPr>
        <w:snapToGrid w:val="0"/>
        <w:spacing w:before="120" w:beforeLines="50"/>
        <w:jc w:val="both"/>
        <w:rPr>
          <w:lang w:eastAsia="zh-CN"/>
        </w:rPr>
      </w:pPr>
    </w:p>
    <w:p w14:paraId="1AE5570C">
      <w:pPr>
        <w:snapToGrid w:val="0"/>
        <w:spacing w:before="120" w:beforeLines="50"/>
        <w:jc w:val="both"/>
        <w:rPr>
          <w:lang w:eastAsia="zh-CN"/>
        </w:rPr>
      </w:pPr>
    </w:p>
    <w:tbl>
      <w:tblPr>
        <w:tblStyle w:val="5"/>
        <w:tblW w:w="0" w:type="auto"/>
        <w:tblInd w:w="0" w:type="dxa"/>
        <w:tblLayout w:type="autofit"/>
        <w:tblCellMar>
          <w:top w:w="0" w:type="dxa"/>
          <w:left w:w="57" w:type="dxa"/>
          <w:bottom w:w="0" w:type="dxa"/>
          <w:right w:w="57" w:type="dxa"/>
        </w:tblCellMar>
      </w:tblPr>
      <w:tblGrid>
        <w:gridCol w:w="774"/>
        <w:gridCol w:w="3394"/>
        <w:gridCol w:w="142"/>
        <w:gridCol w:w="4117"/>
      </w:tblGrid>
      <w:tr w14:paraId="5CE5F49F">
        <w:tblPrEx>
          <w:tblCellMar>
            <w:top w:w="0" w:type="dxa"/>
            <w:left w:w="57" w:type="dxa"/>
            <w:bottom w:w="0" w:type="dxa"/>
            <w:right w:w="57" w:type="dxa"/>
          </w:tblCellMar>
        </w:tblPrEx>
        <w:tc>
          <w:tcPr>
            <w:tcW w:w="774" w:type="dxa"/>
            <w:tcBorders>
              <w:right w:val="single" w:color="auto" w:sz="4" w:space="0"/>
            </w:tcBorders>
            <w:shd w:val="clear" w:color="auto" w:fill="000000" w:themeFill="text1"/>
          </w:tcPr>
          <w:p w14:paraId="6B492433">
            <w:pPr>
              <w:snapToGrid w:val="0"/>
              <w:jc w:val="right"/>
            </w:pPr>
            <w:r>
              <w:rPr>
                <w:lang w:eastAsia="zh-CN" w:bidi="ar-SA"/>
              </w:rPr>
              <w:drawing>
                <wp:inline distT="0" distB="0" distL="0" distR="0">
                  <wp:extent cx="395605" cy="464185"/>
                  <wp:effectExtent l="19050" t="0" r="4445" b="0"/>
                  <wp:docPr id="5" name="图片 3" descr="C:\Users\Asus\Desktop\谭-11.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Asus\Desktop\谭-11.11\media\image1.jpeg"/>
                          <pic:cNvPicPr>
                            <a:picLocks noChangeAspect="1" noChangeArrowheads="1"/>
                          </pic:cNvPicPr>
                        </pic:nvPicPr>
                        <pic:blipFill>
                          <a:blip r:embed="rId7" cstate="print"/>
                          <a:srcRect/>
                          <a:stretch>
                            <a:fillRect/>
                          </a:stretch>
                        </pic:blipFill>
                        <pic:spPr>
                          <a:xfrm>
                            <a:off x="0" y="0"/>
                            <a:ext cx="395605" cy="464185"/>
                          </a:xfrm>
                          <a:prstGeom prst="rect">
                            <a:avLst/>
                          </a:prstGeom>
                          <a:noFill/>
                          <a:ln w="9525">
                            <a:noFill/>
                            <a:miter lim="800000"/>
                            <a:headEnd/>
                            <a:tailEnd/>
                          </a:ln>
                        </pic:spPr>
                      </pic:pic>
                    </a:graphicData>
                  </a:graphic>
                </wp:inline>
              </w:drawing>
            </w:r>
          </w:p>
        </w:tc>
        <w:tc>
          <w:tcPr>
            <w:tcW w:w="3394" w:type="dxa"/>
            <w:tcBorders>
              <w:top w:val="single" w:color="auto" w:sz="4" w:space="0"/>
              <w:left w:val="single" w:color="auto" w:sz="4" w:space="0"/>
              <w:bottom w:val="single" w:color="auto" w:sz="4" w:space="0"/>
              <w:right w:val="single" w:color="auto" w:sz="4" w:space="0"/>
            </w:tcBorders>
            <w:shd w:val="clear" w:color="auto" w:fill="FFFFFF"/>
            <w:vAlign w:val="center"/>
          </w:tcPr>
          <w:p w14:paraId="6FFEA53F">
            <w:pPr>
              <w:snapToGrid w:val="0"/>
              <w:jc w:val="both"/>
              <w:rPr>
                <w:sz w:val="28"/>
                <w:szCs w:val="28"/>
                <w:lang w:eastAsia="zh-CN"/>
              </w:rPr>
            </w:pPr>
            <w:r>
              <w:rPr>
                <w:b/>
                <w:bCs/>
                <w:sz w:val="28"/>
                <w:szCs w:val="28"/>
                <w:lang w:eastAsia="zh-CN"/>
              </w:rPr>
              <w:t>美国食品药品监督管理局</w:t>
            </w:r>
          </w:p>
        </w:tc>
        <w:tc>
          <w:tcPr>
            <w:tcW w:w="142" w:type="dxa"/>
            <w:tcBorders>
              <w:left w:val="single" w:color="auto" w:sz="4" w:space="0"/>
            </w:tcBorders>
            <w:shd w:val="clear" w:color="auto" w:fill="FFFFFF"/>
          </w:tcPr>
          <w:p w14:paraId="1716514F">
            <w:pPr>
              <w:rPr>
                <w:lang w:eastAsia="zh-CN"/>
              </w:rPr>
            </w:pPr>
          </w:p>
          <w:p w14:paraId="4E39FB12">
            <w:pPr>
              <w:snapToGrid w:val="0"/>
              <w:jc w:val="both"/>
              <w:rPr>
                <w:lang w:eastAsia="zh-CN"/>
              </w:rPr>
            </w:pPr>
          </w:p>
        </w:tc>
        <w:tc>
          <w:tcPr>
            <w:tcW w:w="4117" w:type="dxa"/>
            <w:shd w:val="clear" w:color="auto" w:fill="FFFFFF"/>
          </w:tcPr>
          <w:p w14:paraId="2161C44C">
            <w:pPr>
              <w:snapToGrid w:val="0"/>
              <w:jc w:val="right"/>
              <w:rPr>
                <w:lang w:eastAsia="zh-CN"/>
              </w:rPr>
            </w:pPr>
            <w:r>
              <w:rPr>
                <w:b/>
                <w:bCs/>
                <w:lang w:eastAsia="zh-CN"/>
              </w:rPr>
              <w:t>美国卫生</w:t>
            </w:r>
            <w:r>
              <w:rPr>
                <w:rFonts w:hint="eastAsia"/>
                <w:b/>
                <w:bCs/>
                <w:lang w:eastAsia="zh-CN"/>
              </w:rPr>
              <w:t>与</w:t>
            </w:r>
            <w:r>
              <w:rPr>
                <w:b/>
                <w:bCs/>
                <w:lang w:eastAsia="zh-CN"/>
              </w:rPr>
              <w:t>公众服务部</w:t>
            </w:r>
          </w:p>
          <w:p w14:paraId="3EB45A85">
            <w:pPr>
              <w:snapToGrid w:val="0"/>
              <w:jc w:val="right"/>
              <w:rPr>
                <w:lang w:eastAsia="zh-CN"/>
              </w:rPr>
            </w:pPr>
            <w:r>
              <w:rPr>
                <w:b/>
                <w:bCs/>
                <w:lang w:eastAsia="zh-CN"/>
              </w:rPr>
              <w:t>美国食品药品监督管理局</w:t>
            </w:r>
          </w:p>
          <w:p w14:paraId="28018206">
            <w:pPr>
              <w:snapToGrid w:val="0"/>
              <w:jc w:val="right"/>
              <w:rPr>
                <w:lang w:eastAsia="zh-CN"/>
              </w:rPr>
            </w:pPr>
            <w:r>
              <w:rPr>
                <w:b/>
                <w:bCs/>
                <w:lang w:eastAsia="zh-CN"/>
              </w:rPr>
              <w:t>医疗器械和放射健康中心</w:t>
            </w:r>
          </w:p>
        </w:tc>
      </w:tr>
      <w:tr w14:paraId="07C9B044">
        <w:tblPrEx>
          <w:tblCellMar>
            <w:top w:w="0" w:type="dxa"/>
            <w:left w:w="57" w:type="dxa"/>
            <w:bottom w:w="0" w:type="dxa"/>
            <w:right w:w="57" w:type="dxa"/>
          </w:tblCellMar>
        </w:tblPrEx>
        <w:tc>
          <w:tcPr>
            <w:tcW w:w="774" w:type="dxa"/>
            <w:tcBorders>
              <w:right w:val="single" w:color="auto" w:sz="4" w:space="0"/>
            </w:tcBorders>
            <w:shd w:val="clear" w:color="auto" w:fill="auto"/>
          </w:tcPr>
          <w:p w14:paraId="7CE66CCC">
            <w:pPr>
              <w:snapToGrid w:val="0"/>
              <w:jc w:val="both"/>
              <w:rPr>
                <w:lang w:eastAsia="zh-CN"/>
              </w:rPr>
            </w:pPr>
          </w:p>
        </w:tc>
        <w:tc>
          <w:tcPr>
            <w:tcW w:w="3394"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14:paraId="2EE8C3AC">
            <w:pPr>
              <w:snapToGrid w:val="0"/>
              <w:jc w:val="both"/>
              <w:rPr>
                <w:b/>
                <w:bCs/>
                <w:sz w:val="15"/>
                <w:szCs w:val="15"/>
                <w:lang w:eastAsia="zh-CN"/>
              </w:rPr>
            </w:pPr>
            <w:r>
              <w:rPr>
                <w:b/>
                <w:bCs/>
                <w:color w:val="FFFFFF"/>
                <w:sz w:val="15"/>
                <w:szCs w:val="15"/>
                <w:lang w:eastAsia="zh-CN"/>
              </w:rPr>
              <w:t>医疗器械和放射健康中心</w:t>
            </w:r>
          </w:p>
        </w:tc>
        <w:tc>
          <w:tcPr>
            <w:tcW w:w="142" w:type="dxa"/>
            <w:tcBorders>
              <w:left w:val="single" w:color="auto" w:sz="4" w:space="0"/>
            </w:tcBorders>
            <w:shd w:val="clear" w:color="auto" w:fill="FFFFFF"/>
          </w:tcPr>
          <w:p w14:paraId="32A7772D">
            <w:pPr>
              <w:snapToGrid w:val="0"/>
              <w:jc w:val="both"/>
              <w:rPr>
                <w:b/>
                <w:bCs/>
                <w:sz w:val="28"/>
                <w:szCs w:val="28"/>
                <w:lang w:eastAsia="zh-CN"/>
              </w:rPr>
            </w:pPr>
          </w:p>
        </w:tc>
        <w:tc>
          <w:tcPr>
            <w:tcW w:w="4117" w:type="dxa"/>
            <w:shd w:val="clear" w:color="auto" w:fill="FFFFFF"/>
          </w:tcPr>
          <w:p w14:paraId="5D93BD15">
            <w:pPr>
              <w:snapToGrid w:val="0"/>
              <w:jc w:val="right"/>
              <w:rPr>
                <w:b/>
                <w:bCs/>
                <w:lang w:eastAsia="zh-CN"/>
              </w:rPr>
            </w:pPr>
          </w:p>
        </w:tc>
      </w:tr>
    </w:tbl>
    <w:p w14:paraId="5F7BC7D0">
      <w:pPr>
        <w:snapToGrid w:val="0"/>
        <w:spacing w:before="120" w:beforeLines="50"/>
        <w:jc w:val="both"/>
        <w:rPr>
          <w:lang w:eastAsia="zh-CN"/>
        </w:rPr>
      </w:pPr>
    </w:p>
    <w:p w14:paraId="2AAD6FB9">
      <w:pPr>
        <w:snapToGrid w:val="0"/>
        <w:spacing w:before="120" w:beforeLines="50"/>
        <w:jc w:val="both"/>
        <w:rPr>
          <w:lang w:eastAsia="zh-CN"/>
        </w:rPr>
        <w:sectPr>
          <w:headerReference r:id="rId3" w:type="default"/>
          <w:type w:val="continuous"/>
          <w:pgSz w:w="11907" w:h="16840"/>
          <w:pgMar w:top="1429" w:right="1797" w:bottom="1429" w:left="1797" w:header="720" w:footer="720" w:gutter="0"/>
          <w:cols w:space="720" w:num="1"/>
          <w:docGrid w:linePitch="360" w:charSpace="0"/>
        </w:sectPr>
      </w:pPr>
    </w:p>
    <w:p w14:paraId="5AA3DB08">
      <w:pPr>
        <w:snapToGrid w:val="0"/>
        <w:spacing w:before="120" w:beforeLines="50"/>
        <w:jc w:val="center"/>
        <w:rPr>
          <w:sz w:val="44"/>
          <w:szCs w:val="44"/>
        </w:rPr>
      </w:pPr>
      <w:bookmarkStart w:id="0" w:name="bookmark0"/>
      <w:r>
        <w:rPr>
          <w:b/>
          <w:bCs/>
          <w:sz w:val="44"/>
          <w:szCs w:val="44"/>
          <w:lang w:eastAsia="zh-CN"/>
        </w:rPr>
        <w:t>前言</w:t>
      </w:r>
      <w:bookmarkEnd w:id="0"/>
    </w:p>
    <w:p w14:paraId="5B169F0A">
      <w:pPr>
        <w:snapToGrid w:val="0"/>
        <w:spacing w:before="120" w:beforeLines="50"/>
        <w:jc w:val="both"/>
        <w:rPr>
          <w:b/>
          <w:bCs/>
          <w:sz w:val="28"/>
          <w:szCs w:val="28"/>
          <w:lang w:eastAsia="zh-CN"/>
        </w:rPr>
      </w:pPr>
      <w:bookmarkStart w:id="1" w:name="bookmark1"/>
    </w:p>
    <w:p w14:paraId="0DE03A5F">
      <w:pPr>
        <w:snapToGrid w:val="0"/>
        <w:spacing w:before="120" w:beforeLines="50"/>
        <w:jc w:val="both"/>
        <w:rPr>
          <w:sz w:val="28"/>
          <w:szCs w:val="28"/>
        </w:rPr>
      </w:pPr>
      <w:r>
        <w:rPr>
          <w:b/>
          <w:bCs/>
          <w:sz w:val="28"/>
          <w:szCs w:val="28"/>
          <w:lang w:eastAsia="zh-CN"/>
        </w:rPr>
        <w:t>公众意见</w:t>
      </w:r>
      <w:bookmarkEnd w:id="1"/>
    </w:p>
    <w:p w14:paraId="6E2C0C06">
      <w:pPr>
        <w:snapToGrid w:val="0"/>
        <w:spacing w:before="120" w:beforeLines="50"/>
        <w:jc w:val="both"/>
        <w:rPr>
          <w:sz w:val="24"/>
          <w:szCs w:val="24"/>
          <w:lang w:eastAsia="zh-CN"/>
        </w:rPr>
      </w:pPr>
    </w:p>
    <w:p w14:paraId="2AD64741">
      <w:pPr>
        <w:snapToGrid w:val="0"/>
        <w:spacing w:before="120" w:beforeLines="50"/>
        <w:jc w:val="both"/>
        <w:rPr>
          <w:sz w:val="24"/>
          <w:szCs w:val="24"/>
          <w:lang w:eastAsia="zh-CN"/>
        </w:rPr>
      </w:pPr>
      <w:r>
        <w:rPr>
          <w:rFonts w:hint="eastAsia"/>
          <w:sz w:val="24"/>
          <w:szCs w:val="24"/>
          <w:lang w:eastAsia="zh-CN"/>
        </w:rPr>
        <w:t>请</w:t>
      </w:r>
      <w:r>
        <w:rPr>
          <w:sz w:val="24"/>
          <w:szCs w:val="24"/>
          <w:lang w:eastAsia="zh-CN"/>
        </w:rPr>
        <w:t>随时提交电子意见和建议至</w:t>
      </w:r>
      <w:r>
        <w:fldChar w:fldCharType="begin"/>
      </w:r>
      <w:r>
        <w:instrText xml:space="preserve"> HYPERLINK "https://www.regulations.gov，以供FDA考虑。" </w:instrText>
      </w:r>
      <w:r>
        <w:fldChar w:fldCharType="separate"/>
      </w:r>
      <w:r>
        <w:rPr>
          <w:rStyle w:val="7"/>
          <w:sz w:val="24"/>
          <w:szCs w:val="24"/>
          <w:lang w:eastAsia="zh-CN"/>
        </w:rPr>
        <w:t>https://www.regulations.gov</w:t>
      </w:r>
      <w:r>
        <w:rPr>
          <w:rStyle w:val="7"/>
          <w:rFonts w:hint="eastAsia"/>
          <w:sz w:val="24"/>
          <w:szCs w:val="24"/>
          <w:lang w:eastAsia="zh-CN"/>
        </w:rPr>
        <w:t>，以供</w:t>
      </w:r>
      <w:r>
        <w:rPr>
          <w:rStyle w:val="7"/>
          <w:sz w:val="24"/>
          <w:szCs w:val="24"/>
          <w:lang w:eastAsia="zh-CN"/>
        </w:rPr>
        <w:t>FDA</w:t>
      </w:r>
      <w:r>
        <w:rPr>
          <w:rStyle w:val="7"/>
          <w:rFonts w:hint="eastAsia"/>
          <w:sz w:val="24"/>
          <w:szCs w:val="24"/>
          <w:lang w:eastAsia="zh-CN"/>
        </w:rPr>
        <w:t>考虑。</w:t>
      </w:r>
      <w:r>
        <w:rPr>
          <w:rStyle w:val="7"/>
          <w:rFonts w:hint="eastAsia"/>
          <w:sz w:val="24"/>
          <w:szCs w:val="24"/>
          <w:lang w:eastAsia="zh-CN"/>
        </w:rPr>
        <w:fldChar w:fldCharType="end"/>
      </w:r>
      <w:r>
        <w:rPr>
          <w:sz w:val="24"/>
          <w:szCs w:val="24"/>
          <w:lang w:eastAsia="zh-CN"/>
        </w:rPr>
        <w:t>请提交书面意见至</w:t>
      </w:r>
      <w:r>
        <w:rPr>
          <w:rFonts w:hint="eastAsia"/>
          <w:sz w:val="24"/>
          <w:szCs w:val="24"/>
          <w:lang w:eastAsia="zh-CN"/>
        </w:rPr>
        <w:t>美国食品药品监督管理局备案文件管理部（5630 Fishers Lane, Room 1061, (HFA-305), Rockville, MD 20852）</w:t>
      </w:r>
      <w:r>
        <w:rPr>
          <w:sz w:val="24"/>
          <w:szCs w:val="24"/>
          <w:lang w:eastAsia="zh-CN"/>
        </w:rPr>
        <w:t>。所有意见都应标记档案编号FDA-2019-D-1649。</w:t>
      </w:r>
      <w:r>
        <w:rPr>
          <w:rFonts w:hint="eastAsia"/>
          <w:sz w:val="24"/>
          <w:szCs w:val="24"/>
          <w:lang w:eastAsia="zh-CN"/>
        </w:rPr>
        <w:t>在下次修订或更新文件以前，FDA可能不会对公众意见采取措施。</w:t>
      </w:r>
    </w:p>
    <w:p w14:paraId="797852DD">
      <w:pPr>
        <w:snapToGrid w:val="0"/>
        <w:spacing w:before="120" w:beforeLines="50"/>
        <w:jc w:val="both"/>
        <w:rPr>
          <w:sz w:val="24"/>
          <w:szCs w:val="24"/>
          <w:lang w:eastAsia="zh-CN"/>
        </w:rPr>
      </w:pPr>
    </w:p>
    <w:p w14:paraId="180FE8B7">
      <w:pPr>
        <w:snapToGrid w:val="0"/>
        <w:spacing w:before="120" w:beforeLines="50"/>
        <w:jc w:val="both"/>
        <w:rPr>
          <w:sz w:val="28"/>
          <w:szCs w:val="28"/>
          <w:lang w:eastAsia="zh-CN"/>
        </w:rPr>
      </w:pPr>
      <w:bookmarkStart w:id="2" w:name="bookmark2"/>
      <w:r>
        <w:rPr>
          <w:rFonts w:hint="eastAsia"/>
          <w:b/>
          <w:bCs/>
          <w:sz w:val="28"/>
          <w:szCs w:val="28"/>
          <w:lang w:eastAsia="zh-CN"/>
        </w:rPr>
        <w:t>更多</w:t>
      </w:r>
      <w:r>
        <w:rPr>
          <w:b/>
          <w:bCs/>
          <w:sz w:val="28"/>
          <w:szCs w:val="28"/>
          <w:lang w:eastAsia="zh-CN"/>
        </w:rPr>
        <w:t>副本</w:t>
      </w:r>
      <w:bookmarkEnd w:id="2"/>
    </w:p>
    <w:p w14:paraId="355F74D8">
      <w:pPr>
        <w:snapToGrid w:val="0"/>
        <w:spacing w:before="120" w:beforeLines="50"/>
        <w:rPr>
          <w:sz w:val="24"/>
          <w:szCs w:val="24"/>
          <w:lang w:eastAsia="zh-CN"/>
        </w:rPr>
      </w:pPr>
    </w:p>
    <w:p w14:paraId="2A125D6F">
      <w:pPr>
        <w:snapToGrid w:val="0"/>
        <w:spacing w:before="120" w:beforeLines="50"/>
        <w:rPr>
          <w:sz w:val="24"/>
          <w:szCs w:val="24"/>
          <w:lang w:eastAsia="zh-CN"/>
        </w:rPr>
      </w:pPr>
      <w:r>
        <w:rPr>
          <w:sz w:val="24"/>
          <w:szCs w:val="24"/>
          <w:lang w:eastAsia="zh-CN"/>
        </w:rPr>
        <w:t>可从互联网获取</w:t>
      </w:r>
      <w:r>
        <w:rPr>
          <w:rFonts w:hint="eastAsia"/>
          <w:sz w:val="24"/>
          <w:szCs w:val="24"/>
          <w:lang w:eastAsia="zh-CN"/>
        </w:rPr>
        <w:t>更多</w:t>
      </w:r>
      <w:r>
        <w:rPr>
          <w:sz w:val="24"/>
          <w:szCs w:val="24"/>
          <w:lang w:eastAsia="zh-CN"/>
        </w:rPr>
        <w:t>副本。也可发送电子邮件请求至</w:t>
      </w:r>
      <w:r>
        <w:fldChar w:fldCharType="begin"/>
      </w:r>
      <w:r>
        <w:instrText xml:space="preserve"> HYPERLINK "mailto:CDRH-Guidance@fda.hhs.gov" </w:instrText>
      </w:r>
      <w:r>
        <w:fldChar w:fldCharType="separate"/>
      </w:r>
      <w:r>
        <w:rPr>
          <w:rStyle w:val="7"/>
          <w:color w:val="0000FF"/>
          <w:sz w:val="24"/>
          <w:szCs w:val="24"/>
          <w:lang w:eastAsia="zh-CN"/>
        </w:rPr>
        <w:t>CDRH-Guidance@fda.hhs.gov</w:t>
      </w:r>
      <w:r>
        <w:rPr>
          <w:rStyle w:val="7"/>
          <w:color w:val="0000FF"/>
          <w:sz w:val="24"/>
          <w:szCs w:val="24"/>
          <w:lang w:eastAsia="zh-CN"/>
        </w:rPr>
        <w:fldChar w:fldCharType="end"/>
      </w:r>
      <w:r>
        <w:rPr>
          <w:rFonts w:hint="eastAsia"/>
          <w:sz w:val="24"/>
          <w:szCs w:val="24"/>
          <w:lang w:eastAsia="zh-CN"/>
        </w:rPr>
        <w:t>获取</w:t>
      </w:r>
      <w:r>
        <w:rPr>
          <w:sz w:val="24"/>
          <w:szCs w:val="24"/>
          <w:lang w:eastAsia="zh-CN"/>
        </w:rPr>
        <w:t>指南副本。请在申请中提供文件编号19014和完整的指南标题。</w:t>
      </w:r>
    </w:p>
    <w:p w14:paraId="1D97326F">
      <w:pPr>
        <w:snapToGrid w:val="0"/>
        <w:spacing w:before="120" w:beforeLines="50"/>
        <w:jc w:val="both"/>
        <w:rPr>
          <w:lang w:eastAsia="zh-CN"/>
        </w:rPr>
      </w:pPr>
      <w:r>
        <w:rPr>
          <w:lang w:eastAsia="zh-CN"/>
        </w:rPr>
        <w:br w:type="page"/>
      </w:r>
    </w:p>
    <w:p w14:paraId="4C768E43">
      <w:pPr>
        <w:pStyle w:val="10"/>
        <w:spacing w:before="120"/>
        <w:rPr>
          <w:lang w:eastAsia="zh-CN"/>
        </w:rPr>
      </w:pPr>
      <w:r>
        <w:rPr>
          <w:lang w:eastAsia="zh-CN"/>
        </w:rPr>
        <w:t>记录用皮肤电极 - 基于安全性和性能途径的性能标准</w:t>
      </w:r>
    </w:p>
    <w:p w14:paraId="7B3C742E">
      <w:pPr>
        <w:pStyle w:val="11"/>
        <w:spacing w:before="120"/>
        <w:rPr>
          <w:lang w:eastAsia="zh-CN"/>
        </w:rPr>
      </w:pPr>
      <w:r>
        <w:rPr>
          <w:lang w:eastAsia="zh-CN"/>
        </w:rPr>
        <w:t>对行业和美国食品药品监督管理局工作人员的指南</w:t>
      </w:r>
    </w:p>
    <w:p w14:paraId="594212BA">
      <w:pPr>
        <w:snapToGrid w:val="0"/>
        <w:jc w:val="both"/>
        <w:rPr>
          <w:lang w:eastAsia="zh-CN"/>
        </w:rPr>
      </w:pPr>
    </w:p>
    <w:tbl>
      <w:tblPr>
        <w:tblStyle w:val="5"/>
        <w:tblW w:w="0" w:type="auto"/>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8529"/>
      </w:tblGrid>
      <w:tr w14:paraId="51E63E05">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2174" w:hRule="atLeast"/>
        </w:trPr>
        <w:tc>
          <w:tcPr>
            <w:tcW w:w="9437" w:type="dxa"/>
            <w:shd w:val="clear" w:color="auto" w:fill="FFFFFF"/>
            <w:vAlign w:val="center"/>
          </w:tcPr>
          <w:p w14:paraId="56D559E3">
            <w:pPr>
              <w:snapToGrid w:val="0"/>
              <w:spacing w:before="120" w:beforeLines="50"/>
              <w:jc w:val="both"/>
              <w:rPr>
                <w:lang w:eastAsia="zh-CN"/>
              </w:rPr>
            </w:pPr>
            <w:r>
              <w:rPr>
                <w:rFonts w:hint="eastAsia"/>
                <w:b/>
                <w:bCs/>
                <w:i/>
                <w:iCs/>
                <w:sz w:val="24"/>
                <w:szCs w:val="24"/>
                <w:lang w:eastAsia="zh-CN"/>
              </w:rPr>
              <w:t>本指南代表美国食品药品监督管理局（</w:t>
            </w:r>
            <w:r>
              <w:rPr>
                <w:b/>
                <w:bCs/>
                <w:i/>
                <w:iCs/>
                <w:sz w:val="24"/>
                <w:szCs w:val="24"/>
                <w:lang w:eastAsia="zh-CN"/>
              </w:rPr>
              <w:t>FDA</w:t>
            </w:r>
            <w:r>
              <w:rPr>
                <w:rFonts w:hint="eastAsia"/>
                <w:b/>
                <w:bCs/>
                <w:i/>
                <w:iCs/>
                <w:sz w:val="24"/>
                <w:szCs w:val="24"/>
                <w:lang w:eastAsia="zh-CN"/>
              </w:rPr>
              <w:t>）对该主题的当前看法。本文件不赋予任何人任何权利，对</w:t>
            </w:r>
            <w:r>
              <w:rPr>
                <w:b/>
                <w:bCs/>
                <w:i/>
                <w:iCs/>
                <w:sz w:val="24"/>
                <w:szCs w:val="24"/>
                <w:lang w:eastAsia="zh-CN"/>
              </w:rPr>
              <w:t>FDA</w:t>
            </w:r>
            <w:r>
              <w:rPr>
                <w:rFonts w:hint="eastAsia"/>
                <w:b/>
                <w:bCs/>
                <w:i/>
                <w:iCs/>
                <w:sz w:val="24"/>
                <w:szCs w:val="24"/>
                <w:lang w:eastAsia="zh-CN"/>
              </w:rPr>
              <w:t>或公众不具有约束力。如果替代方法满足适用的情形和法规</w:t>
            </w:r>
            <w:r>
              <w:rPr>
                <w:b/>
                <w:bCs/>
                <w:i/>
                <w:iCs/>
                <w:sz w:val="24"/>
                <w:szCs w:val="24"/>
                <w:lang w:eastAsia="zh-CN"/>
              </w:rPr>
              <w:t xml:space="preserve"> </w:t>
            </w:r>
            <w:r>
              <w:rPr>
                <w:rFonts w:hint="eastAsia"/>
                <w:b/>
                <w:bCs/>
                <w:i/>
                <w:iCs/>
                <w:sz w:val="24"/>
                <w:szCs w:val="24"/>
                <w:lang w:eastAsia="zh-CN"/>
              </w:rPr>
              <w:t>的要求，则贵司可使用替代方法。如需讨论替代方法，请联系标题页所列负责本指南的</w:t>
            </w:r>
            <w:r>
              <w:rPr>
                <w:b/>
                <w:bCs/>
                <w:i/>
                <w:iCs/>
                <w:sz w:val="24"/>
                <w:szCs w:val="24"/>
                <w:lang w:eastAsia="zh-CN"/>
              </w:rPr>
              <w:t>FDA</w:t>
            </w:r>
            <w:r>
              <w:rPr>
                <w:rFonts w:hint="eastAsia"/>
                <w:b/>
                <w:bCs/>
                <w:i/>
                <w:iCs/>
                <w:sz w:val="24"/>
                <w:szCs w:val="24"/>
                <w:lang w:eastAsia="zh-CN"/>
              </w:rPr>
              <w:t>工作人员或办公室。</w:t>
            </w:r>
          </w:p>
        </w:tc>
      </w:tr>
    </w:tbl>
    <w:p w14:paraId="08E61685">
      <w:pPr>
        <w:tabs>
          <w:tab w:val="left" w:pos="720"/>
        </w:tabs>
        <w:snapToGrid w:val="0"/>
        <w:jc w:val="both"/>
        <w:rPr>
          <w:b/>
          <w:bCs/>
          <w:lang w:eastAsia="zh-CN"/>
        </w:rPr>
      </w:pPr>
      <w:bookmarkStart w:id="3" w:name="bookmark6"/>
    </w:p>
    <w:p w14:paraId="7DFA917A">
      <w:pPr>
        <w:pStyle w:val="12"/>
        <w:spacing w:before="120" w:after="120"/>
        <w:rPr>
          <w:lang w:eastAsia="zh-CN"/>
        </w:rPr>
      </w:pPr>
      <w:r>
        <w:rPr>
          <w:lang w:eastAsia="zh-CN"/>
        </w:rPr>
        <w:t>I.</w:t>
      </w:r>
      <w:r>
        <w:rPr>
          <w:lang w:eastAsia="zh-CN"/>
        </w:rPr>
        <w:tab/>
      </w:r>
      <w:r>
        <w:rPr>
          <w:lang w:eastAsia="zh-CN"/>
        </w:rPr>
        <w:t>引言</w:t>
      </w:r>
      <w:bookmarkEnd w:id="3"/>
    </w:p>
    <w:p w14:paraId="10ABF91F">
      <w:pPr>
        <w:snapToGrid w:val="0"/>
        <w:spacing w:before="120" w:beforeLines="50"/>
        <w:jc w:val="both"/>
        <w:rPr>
          <w:sz w:val="24"/>
          <w:szCs w:val="24"/>
          <w:lang w:eastAsia="zh-CN"/>
        </w:rPr>
      </w:pPr>
      <w:r>
        <w:rPr>
          <w:sz w:val="24"/>
          <w:szCs w:val="24"/>
          <w:lang w:eastAsia="zh-CN"/>
        </w:rPr>
        <w:t>本指南提供了皮肤电极的性能标准，以支持</w:t>
      </w:r>
      <w:r>
        <w:fldChar w:fldCharType="begin"/>
      </w:r>
      <w:r>
        <w:instrText xml:space="preserve"> HYPERLINK "https://www.fda.gov/regulatory-information/search-fda-guidance-documents/safety-and-performance-based-pathway" </w:instrText>
      </w:r>
      <w:r>
        <w:fldChar w:fldCharType="separate"/>
      </w:r>
      <w:r>
        <w:rPr>
          <w:rStyle w:val="7"/>
          <w:color w:val="0000FF"/>
          <w:sz w:val="24"/>
          <w:szCs w:val="24"/>
          <w:lang w:eastAsia="zh-CN"/>
        </w:rPr>
        <w:t xml:space="preserve"> 基于安全性</w:t>
      </w:r>
      <w:r>
        <w:rPr>
          <w:rStyle w:val="7"/>
          <w:color w:val="0000FF"/>
          <w:sz w:val="24"/>
          <w:szCs w:val="24"/>
          <w:lang w:eastAsia="zh-CN"/>
        </w:rPr>
        <w:fldChar w:fldCharType="end"/>
      </w:r>
      <w:r>
        <w:fldChar w:fldCharType="begin"/>
      </w:r>
      <w:r>
        <w:instrText xml:space="preserve"> HYPERLINK "https://www.fda.gov/regulatory-information/search-fda-guidance-documents/safety-and-performance-based-pathway" </w:instrText>
      </w:r>
      <w:r>
        <w:fldChar w:fldCharType="separate"/>
      </w:r>
      <w:r>
        <w:rPr>
          <w:rStyle w:val="7"/>
          <w:color w:val="0000FF"/>
          <w:sz w:val="24"/>
          <w:szCs w:val="24"/>
          <w:lang w:eastAsia="zh-CN"/>
        </w:rPr>
        <w:t>和性能的途径。</w:t>
      </w:r>
      <w:r>
        <w:rPr>
          <w:rStyle w:val="7"/>
          <w:color w:val="0000FF"/>
          <w:sz w:val="24"/>
          <w:szCs w:val="24"/>
          <w:lang w:eastAsia="zh-CN"/>
        </w:rPr>
        <w:fldChar w:fldCharType="end"/>
      </w:r>
      <w:r>
        <w:fldChar w:fldCharType="begin"/>
      </w:r>
      <w:r>
        <w:instrText xml:space="preserve"> HYPERLINK \l "bookmark3" \o "当前文件" \h </w:instrText>
      </w:r>
      <w:r>
        <w:fldChar w:fldCharType="separate"/>
      </w:r>
      <w:r>
        <w:rPr>
          <w:sz w:val="24"/>
          <w:szCs w:val="24"/>
          <w:vertAlign w:val="superscript"/>
          <w:lang w:eastAsia="zh-CN"/>
        </w:rPr>
        <w:t>1</w:t>
      </w:r>
      <w:r>
        <w:rPr>
          <w:sz w:val="24"/>
          <w:szCs w:val="24"/>
          <w:lang w:eastAsia="zh-CN"/>
        </w:rPr>
        <w:t xml:space="preserve"> </w:t>
      </w:r>
      <w:r>
        <w:rPr>
          <w:sz w:val="24"/>
          <w:szCs w:val="24"/>
          <w:lang w:eastAsia="zh-CN"/>
        </w:rPr>
        <w:fldChar w:fldCharType="end"/>
      </w:r>
      <w:r>
        <w:rPr>
          <w:sz w:val="24"/>
          <w:szCs w:val="24"/>
          <w:lang w:eastAsia="zh-CN"/>
        </w:rPr>
        <w:t>在本框架下，计划使用皮肤电极的基于安全性和性能的途径</w:t>
      </w:r>
      <w:r>
        <w:rPr>
          <w:rFonts w:hint="eastAsia"/>
          <w:sz w:val="24"/>
          <w:szCs w:val="24"/>
          <w:lang w:eastAsia="zh-CN"/>
        </w:rPr>
        <w:t>申请</w:t>
      </w:r>
      <w:r>
        <w:rPr>
          <w:sz w:val="24"/>
          <w:szCs w:val="24"/>
          <w:lang w:eastAsia="zh-CN"/>
        </w:rPr>
        <w:t>510（k）的提交者可以选择使用本指南中提出的性能标准支持实质等同性，</w:t>
      </w:r>
      <w:r>
        <w:rPr>
          <w:rFonts w:hint="eastAsia"/>
          <w:sz w:val="24"/>
          <w:szCs w:val="24"/>
          <w:lang w:eastAsia="zh-CN"/>
        </w:rPr>
        <w:t>无需</w:t>
      </w:r>
      <w:r>
        <w:rPr>
          <w:sz w:val="24"/>
          <w:szCs w:val="24"/>
          <w:lang w:eastAsia="zh-CN"/>
        </w:rPr>
        <w:t>对</w:t>
      </w:r>
      <w:r>
        <w:rPr>
          <w:rFonts w:hint="eastAsia"/>
          <w:sz w:val="24"/>
          <w:szCs w:val="24"/>
          <w:lang w:eastAsia="zh-CN"/>
        </w:rPr>
        <w:t>申请</w:t>
      </w:r>
      <w:r>
        <w:rPr>
          <w:sz w:val="24"/>
          <w:szCs w:val="24"/>
          <w:lang w:eastAsia="zh-CN"/>
        </w:rPr>
        <w:t>器械的性能与实质等同器械的性能进行直接比较。</w:t>
      </w:r>
    </w:p>
    <w:p w14:paraId="3080E138">
      <w:pPr>
        <w:snapToGrid w:val="0"/>
        <w:spacing w:before="120" w:beforeLines="50"/>
        <w:jc w:val="both"/>
        <w:rPr>
          <w:sz w:val="24"/>
          <w:szCs w:val="24"/>
          <w:lang w:eastAsia="zh-CN"/>
        </w:rPr>
      </w:pPr>
      <w:r>
        <w:rPr>
          <w:sz w:val="24"/>
          <w:szCs w:val="24"/>
          <w:lang w:eastAsia="zh-CN"/>
        </w:rPr>
        <w:t>对于本文件中</w:t>
      </w:r>
      <w:r>
        <w:rPr>
          <w:rFonts w:hint="eastAsia"/>
          <w:sz w:val="24"/>
          <w:szCs w:val="24"/>
          <w:lang w:eastAsia="zh-CN"/>
        </w:rPr>
        <w:t>经</w:t>
      </w:r>
      <w:r>
        <w:rPr>
          <w:sz w:val="24"/>
          <w:szCs w:val="24"/>
          <w:lang w:eastAsia="zh-CN"/>
        </w:rPr>
        <w:t>FDA认可的现行标准，请查看</w:t>
      </w:r>
      <w:r>
        <w:fldChar w:fldCharType="begin"/>
      </w:r>
      <w:r>
        <w:instrText xml:space="preserve"> HYPERLINK "http://www.accessdata.fda.gov/scripts/cdrh/cfdocs/cfStandards/search.cfm" </w:instrText>
      </w:r>
      <w:r>
        <w:fldChar w:fldCharType="separate"/>
      </w:r>
      <w:r>
        <w:rPr>
          <w:rStyle w:val="7"/>
          <w:color w:val="0000FF"/>
          <w:sz w:val="24"/>
          <w:szCs w:val="24"/>
          <w:lang w:eastAsia="zh-CN"/>
        </w:rPr>
        <w:t>经FDA许可的共识标准数据库。</w:t>
      </w:r>
      <w:r>
        <w:rPr>
          <w:rStyle w:val="7"/>
          <w:color w:val="0000FF"/>
          <w:sz w:val="24"/>
          <w:szCs w:val="24"/>
          <w:lang w:eastAsia="zh-CN"/>
        </w:rPr>
        <w:fldChar w:fldCharType="end"/>
      </w:r>
      <w:r>
        <w:fldChar w:fldCharType="begin"/>
      </w:r>
      <w:r>
        <w:instrText xml:space="preserve"> HYPERLINK \l "bookmark4" \o "当前文件" \h </w:instrText>
      </w:r>
      <w:r>
        <w:fldChar w:fldCharType="separate"/>
      </w:r>
      <w:r>
        <w:rPr>
          <w:sz w:val="24"/>
          <w:szCs w:val="24"/>
          <w:vertAlign w:val="superscript"/>
          <w:lang w:eastAsia="zh-CN"/>
        </w:rPr>
        <w:t>2</w:t>
      </w:r>
      <w:r>
        <w:rPr>
          <w:sz w:val="24"/>
          <w:szCs w:val="24"/>
          <w:lang w:eastAsia="zh-CN"/>
        </w:rPr>
        <w:t xml:space="preserve"> </w:t>
      </w:r>
      <w:r>
        <w:rPr>
          <w:sz w:val="24"/>
          <w:szCs w:val="24"/>
          <w:lang w:eastAsia="zh-CN"/>
        </w:rPr>
        <w:fldChar w:fldCharType="end"/>
      </w:r>
      <w:r>
        <w:rPr>
          <w:sz w:val="24"/>
          <w:szCs w:val="24"/>
          <w:lang w:eastAsia="zh-CN"/>
        </w:rPr>
        <w:t>有关在注册申报中使用共识标准的更多信息，请参阅FDA指南</w:t>
      </w:r>
      <w:r>
        <w:fldChar w:fldCharType="begin"/>
      </w:r>
      <w:r>
        <w:instrText xml:space="preserve"> HYPERLINK "https://www.fda.gov/regulatory-information/search-fda-guidance-documents/appropriate-use-voluntary-consensus-standards-premarket-submissions-medical-devices" </w:instrText>
      </w:r>
      <w:r>
        <w:fldChar w:fldCharType="separate"/>
      </w:r>
      <w:r>
        <w:rPr>
          <w:rStyle w:val="7"/>
          <w:color w:val="0000FF"/>
          <w:sz w:val="24"/>
          <w:szCs w:val="24"/>
          <w:lang w:eastAsia="zh-CN"/>
        </w:rPr>
        <w:t>在医疗器械的上市前提交中适当使用自愿共识标准</w:t>
      </w:r>
      <w:r>
        <w:rPr>
          <w:rStyle w:val="7"/>
          <w:color w:val="0000FF"/>
          <w:sz w:val="24"/>
          <w:szCs w:val="24"/>
          <w:lang w:eastAsia="zh-CN"/>
        </w:rPr>
        <w:fldChar w:fldCharType="end"/>
      </w:r>
      <w:r>
        <w:fldChar w:fldCharType="begin"/>
      </w:r>
      <w:r>
        <w:instrText xml:space="preserve"> HYPERLINK "https://www.fda.gov/regulatory-information/search-fda-guidance-documents/appropriate-use-voluntary-consensus-standards-premarket-submissions-medical-devices" </w:instrText>
      </w:r>
      <w:r>
        <w:fldChar w:fldCharType="separate"/>
      </w:r>
      <w:r>
        <w:rPr>
          <w:rStyle w:val="7"/>
          <w:color w:val="0000FF"/>
          <w:sz w:val="24"/>
          <w:szCs w:val="24"/>
          <w:lang w:eastAsia="zh-CN"/>
        </w:rPr>
        <w:t>。</w:t>
      </w:r>
      <w:r>
        <w:rPr>
          <w:rStyle w:val="7"/>
          <w:color w:val="0000FF"/>
          <w:sz w:val="24"/>
          <w:szCs w:val="24"/>
          <w:lang w:eastAsia="zh-CN"/>
        </w:rPr>
        <w:fldChar w:fldCharType="end"/>
      </w:r>
      <w:r>
        <w:fldChar w:fldCharType="begin"/>
      </w:r>
      <w:r>
        <w:instrText xml:space="preserve"> HYPERLINK \l "bookmark5" \o "当前文件" \h </w:instrText>
      </w:r>
      <w:r>
        <w:fldChar w:fldCharType="separate"/>
      </w:r>
      <w:r>
        <w:rPr>
          <w:sz w:val="24"/>
          <w:szCs w:val="24"/>
          <w:vertAlign w:val="superscript"/>
          <w:lang w:eastAsia="zh-CN"/>
        </w:rPr>
        <w:t>3</w:t>
      </w:r>
      <w:r>
        <w:rPr>
          <w:sz w:val="24"/>
          <w:szCs w:val="24"/>
          <w:vertAlign w:val="superscript"/>
          <w:lang w:eastAsia="zh-CN"/>
        </w:rPr>
        <w:fldChar w:fldCharType="end"/>
      </w:r>
    </w:p>
    <w:p w14:paraId="5B4CFBB5">
      <w:pPr>
        <w:snapToGrid w:val="0"/>
        <w:spacing w:before="120" w:beforeLines="50"/>
        <w:jc w:val="both"/>
        <w:rPr>
          <w:sz w:val="24"/>
          <w:szCs w:val="24"/>
          <w:lang w:eastAsia="zh-CN"/>
        </w:rPr>
      </w:pPr>
      <w:r>
        <w:rPr>
          <w:sz w:val="24"/>
          <w:szCs w:val="24"/>
          <w:lang w:eastAsia="zh-CN"/>
        </w:rPr>
        <w:t>FDA</w:t>
      </w:r>
      <w:r>
        <w:rPr>
          <w:rFonts w:hint="eastAsia"/>
          <w:sz w:val="24"/>
          <w:szCs w:val="24"/>
          <w:lang w:eastAsia="zh-CN"/>
        </w:rPr>
        <w:t>指南文件，包括本指南，并未规定具有法律强制力的责任。相反，指南描述了</w:t>
      </w:r>
      <w:r>
        <w:rPr>
          <w:sz w:val="24"/>
          <w:szCs w:val="24"/>
          <w:lang w:eastAsia="zh-CN"/>
        </w:rPr>
        <w:t>FDA</w:t>
      </w:r>
      <w:r>
        <w:rPr>
          <w:rFonts w:hint="eastAsia"/>
          <w:sz w:val="24"/>
          <w:szCs w:val="24"/>
          <w:lang w:eastAsia="zh-CN"/>
        </w:rPr>
        <w:t>对该主题的当前看法，除非引用了具体监管或法定要求，否则应仅视为建议。</w:t>
      </w:r>
      <w:r>
        <w:rPr>
          <w:sz w:val="24"/>
          <w:szCs w:val="24"/>
          <w:lang w:eastAsia="zh-CN"/>
        </w:rPr>
        <w:t>FDA</w:t>
      </w:r>
      <w:r>
        <w:rPr>
          <w:rFonts w:hint="eastAsia"/>
          <w:sz w:val="24"/>
          <w:szCs w:val="24"/>
          <w:lang w:eastAsia="zh-CN"/>
        </w:rPr>
        <w:t>指南中使用的“</w:t>
      </w:r>
      <w:r>
        <w:rPr>
          <w:rFonts w:hint="eastAsia"/>
          <w:i/>
          <w:iCs/>
          <w:sz w:val="24"/>
          <w:szCs w:val="24"/>
          <w:lang w:eastAsia="zh-CN"/>
        </w:rPr>
        <w:t>应该（</w:t>
      </w:r>
      <w:r>
        <w:rPr>
          <w:i/>
          <w:iCs/>
          <w:sz w:val="24"/>
          <w:szCs w:val="24"/>
          <w:lang w:eastAsia="zh-CN"/>
        </w:rPr>
        <w:t>should</w:t>
      </w:r>
      <w:r>
        <w:rPr>
          <w:rFonts w:hint="eastAsia"/>
          <w:i/>
          <w:iCs/>
          <w:sz w:val="24"/>
          <w:szCs w:val="24"/>
          <w:lang w:eastAsia="zh-CN"/>
        </w:rPr>
        <w:t>）</w:t>
      </w:r>
      <w:r>
        <w:rPr>
          <w:rFonts w:hint="eastAsia"/>
          <w:sz w:val="24"/>
          <w:szCs w:val="24"/>
          <w:lang w:eastAsia="zh-CN"/>
        </w:rPr>
        <w:t>”一词指建议或推荐进行某一事项，并非强制要求。</w:t>
      </w:r>
    </w:p>
    <w:p w14:paraId="33612AD8">
      <w:pPr>
        <w:snapToGrid w:val="0"/>
        <w:spacing w:before="120" w:beforeLines="50"/>
        <w:jc w:val="both"/>
        <w:rPr>
          <w:sz w:val="24"/>
          <w:szCs w:val="24"/>
          <w:lang w:eastAsia="zh-CN"/>
        </w:rPr>
      </w:pPr>
    </w:p>
    <w:p w14:paraId="31B55D03">
      <w:pPr>
        <w:snapToGrid w:val="0"/>
        <w:spacing w:before="120" w:beforeLines="50"/>
        <w:jc w:val="both"/>
        <w:rPr>
          <w:sz w:val="24"/>
          <w:szCs w:val="24"/>
          <w:lang w:eastAsia="zh-CN"/>
        </w:rPr>
      </w:pPr>
    </w:p>
    <w:p w14:paraId="15BE0CF1">
      <w:pPr>
        <w:snapToGrid w:val="0"/>
        <w:spacing w:before="120" w:beforeLines="50"/>
        <w:jc w:val="both"/>
        <w:rPr>
          <w:sz w:val="24"/>
          <w:szCs w:val="24"/>
          <w:lang w:eastAsia="zh-CN"/>
        </w:rPr>
      </w:pPr>
    </w:p>
    <w:p w14:paraId="37032CA7">
      <w:pPr>
        <w:snapToGrid w:val="0"/>
        <w:spacing w:before="120" w:beforeLines="50"/>
        <w:jc w:val="both"/>
        <w:rPr>
          <w:sz w:val="24"/>
          <w:szCs w:val="24"/>
          <w:lang w:eastAsia="zh-CN"/>
        </w:rPr>
      </w:pPr>
    </w:p>
    <w:p w14:paraId="0FD4D7DD">
      <w:pPr>
        <w:snapToGrid w:val="0"/>
        <w:spacing w:before="120" w:beforeLines="50"/>
        <w:jc w:val="both"/>
        <w:rPr>
          <w:sz w:val="24"/>
          <w:szCs w:val="24"/>
          <w:lang w:eastAsia="zh-CN"/>
        </w:rPr>
      </w:pPr>
    </w:p>
    <w:p w14:paraId="736A00EA">
      <w:pPr>
        <w:snapToGrid w:val="0"/>
        <w:spacing w:before="120" w:beforeLines="50"/>
        <w:jc w:val="both"/>
        <w:rPr>
          <w:sz w:val="18"/>
          <w:szCs w:val="18"/>
        </w:rPr>
      </w:pPr>
      <w:r>
        <w:rPr>
          <w:sz w:val="18"/>
          <w:szCs w:val="18"/>
          <w:lang w:eastAsia="zh-CN"/>
        </w:rPr>
        <w:t>____________________</w:t>
      </w:r>
    </w:p>
    <w:p w14:paraId="44B203B9">
      <w:pPr>
        <w:tabs>
          <w:tab w:val="left" w:pos="125"/>
        </w:tabs>
        <w:snapToGrid w:val="0"/>
        <w:spacing w:before="120" w:beforeLines="50"/>
        <w:rPr>
          <w:color w:val="0000FF"/>
          <w:sz w:val="18"/>
          <w:szCs w:val="18"/>
        </w:rPr>
      </w:pPr>
      <w:bookmarkStart w:id="4" w:name="bookmark3"/>
      <w:r>
        <w:rPr>
          <w:sz w:val="18"/>
          <w:szCs w:val="18"/>
          <w:vertAlign w:val="superscript"/>
          <w:lang w:eastAsia="zh-CN"/>
        </w:rPr>
        <w:t>1</w:t>
      </w:r>
      <w:r>
        <w:rPr>
          <w:sz w:val="18"/>
          <w:szCs w:val="18"/>
          <w:lang w:eastAsia="zh-CN"/>
        </w:rPr>
        <w:tab/>
      </w:r>
      <w:r>
        <w:rPr>
          <w:sz w:val="18"/>
          <w:szCs w:val="18"/>
          <w:lang w:eastAsia="zh-CN"/>
        </w:rPr>
        <w:t>请访问</w:t>
      </w:r>
      <w:r>
        <w:fldChar w:fldCharType="begin"/>
      </w:r>
      <w:r>
        <w:instrText xml:space="preserve"> HYPERLINK "https://www.fda.gov/regulatory-information/search-fda-guidance-documents/safety-and-performance-based-pathway" </w:instrText>
      </w:r>
      <w:r>
        <w:fldChar w:fldCharType="separate"/>
      </w:r>
      <w:r>
        <w:rPr>
          <w:rStyle w:val="7"/>
          <w:color w:val="0000FF"/>
          <w:sz w:val="18"/>
          <w:szCs w:val="18"/>
          <w:lang w:eastAsia="zh-CN"/>
        </w:rPr>
        <w:t xml:space="preserve"> https://www.fda.gov/regulatory-information/search-fda-guidance-documents/safety-and-performance-</w:t>
      </w:r>
      <w:r>
        <w:rPr>
          <w:rStyle w:val="7"/>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"https://www.fda.gov/regulatory-information/search-fda-guidance-documents/safety-and-performance-based-pathway" </w:instrText>
      </w:r>
      <w:r>
        <w:fldChar w:fldCharType="separate"/>
      </w:r>
      <w:r>
        <w:rPr>
          <w:rStyle w:val="7"/>
          <w:color w:val="0000FF"/>
          <w:sz w:val="18"/>
          <w:szCs w:val="18"/>
          <w:lang w:eastAsia="zh-CN"/>
        </w:rPr>
        <w:t>based-pathway</w:t>
      </w:r>
      <w:bookmarkEnd w:id="4"/>
      <w:r>
        <w:rPr>
          <w:rStyle w:val="7"/>
          <w:color w:val="0000FF"/>
          <w:sz w:val="18"/>
          <w:szCs w:val="18"/>
          <w:lang w:eastAsia="zh-CN"/>
        </w:rPr>
        <w:fldChar w:fldCharType="end"/>
      </w:r>
    </w:p>
    <w:p w14:paraId="7C45ADA4">
      <w:pPr>
        <w:tabs>
          <w:tab w:val="left" w:pos="115"/>
        </w:tabs>
        <w:snapToGrid w:val="0"/>
        <w:spacing w:before="120" w:beforeLines="50"/>
        <w:rPr>
          <w:color w:val="0000FF"/>
          <w:sz w:val="18"/>
          <w:szCs w:val="18"/>
        </w:rPr>
      </w:pPr>
      <w:bookmarkStart w:id="5" w:name="bookmark4"/>
      <w:r>
        <w:rPr>
          <w:sz w:val="18"/>
          <w:szCs w:val="18"/>
          <w:vertAlign w:val="superscript"/>
          <w:lang w:eastAsia="zh-CN"/>
        </w:rPr>
        <w:t>2</w:t>
      </w:r>
      <w:r>
        <w:rPr>
          <w:sz w:val="18"/>
          <w:szCs w:val="18"/>
          <w:lang w:eastAsia="zh-CN"/>
        </w:rPr>
        <w:tab/>
      </w:r>
      <w:r>
        <w:rPr>
          <w:sz w:val="18"/>
          <w:szCs w:val="18"/>
          <w:lang w:eastAsia="zh-CN"/>
        </w:rPr>
        <w:t>请访问</w:t>
      </w:r>
      <w:r>
        <w:fldChar w:fldCharType="begin"/>
      </w:r>
      <w:r>
        <w:instrText xml:space="preserve"> HYPERLINK "https://www.accessdata.fda.gov/scripts/cdrh/cfdocs/cfStandards/search.cfm" </w:instrText>
      </w:r>
      <w:r>
        <w:fldChar w:fldCharType="separate"/>
      </w:r>
      <w:r>
        <w:rPr>
          <w:rStyle w:val="7"/>
          <w:color w:val="0000FF"/>
          <w:sz w:val="18"/>
          <w:szCs w:val="18"/>
          <w:lang w:eastAsia="zh-CN"/>
        </w:rPr>
        <w:t xml:space="preserve"> https://www.accessdata.fda.gov/scripts/cdrh/cfdocs/cfStandards/search.cfm</w:t>
      </w:r>
      <w:bookmarkEnd w:id="5"/>
      <w:r>
        <w:rPr>
          <w:rStyle w:val="7"/>
          <w:color w:val="0000FF"/>
          <w:sz w:val="18"/>
          <w:szCs w:val="18"/>
          <w:lang w:eastAsia="zh-CN"/>
        </w:rPr>
        <w:fldChar w:fldCharType="end"/>
      </w:r>
    </w:p>
    <w:p w14:paraId="182359D4">
      <w:pPr>
        <w:tabs>
          <w:tab w:val="left" w:pos="125"/>
        </w:tabs>
        <w:snapToGrid w:val="0"/>
        <w:spacing w:before="120" w:beforeLines="50"/>
        <w:rPr>
          <w:color w:val="0000FF"/>
          <w:sz w:val="18"/>
          <w:szCs w:val="18"/>
        </w:rPr>
      </w:pPr>
      <w:bookmarkStart w:id="6" w:name="bookmark5"/>
      <w:r>
        <w:rPr>
          <w:sz w:val="18"/>
          <w:szCs w:val="18"/>
          <w:vertAlign w:val="superscript"/>
          <w:lang w:eastAsia="zh-CN"/>
        </w:rPr>
        <w:t>3</w:t>
      </w:r>
      <w:r>
        <w:rPr>
          <w:sz w:val="18"/>
          <w:szCs w:val="18"/>
          <w:lang w:eastAsia="zh-CN"/>
        </w:rPr>
        <w:tab/>
      </w:r>
      <w:r>
        <w:rPr>
          <w:sz w:val="18"/>
          <w:szCs w:val="18"/>
          <w:lang w:eastAsia="zh-CN"/>
        </w:rPr>
        <w:t>请访问</w:t>
      </w:r>
      <w:r>
        <w:fldChar w:fldCharType="begin"/>
      </w:r>
      <w:r>
        <w:instrText xml:space="preserve"> HYPERLINK "https://www.fda.gov/regulatory-information/search-fda-guidance-documents/appropriate-use-voluntary-consensus-standards-premarket-submissions-medical-devices" </w:instrText>
      </w:r>
      <w:r>
        <w:fldChar w:fldCharType="separate"/>
      </w:r>
      <w:r>
        <w:rPr>
          <w:rStyle w:val="7"/>
          <w:color w:val="0000FF"/>
          <w:sz w:val="18"/>
          <w:szCs w:val="18"/>
          <w:u w:val="none"/>
          <w:lang w:eastAsia="zh-CN"/>
        </w:rPr>
        <w:t xml:space="preserve"> </w:t>
      </w:r>
      <w:r>
        <w:rPr>
          <w:rStyle w:val="7"/>
          <w:color w:val="0000FF"/>
          <w:sz w:val="18"/>
          <w:szCs w:val="18"/>
          <w:lang w:eastAsia="zh-CN"/>
        </w:rPr>
        <w:t>https://www.fda.gov/regulatory-information/search-fda-guidance-documents/appropriate-use-</w:t>
      </w:r>
      <w:r>
        <w:rPr>
          <w:rStyle w:val="7"/>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"https://www.fda.gov/regulatory-information/search-fda-guidance-documents/appropriate-use-voluntary-consensus-standards-premarket-submissions-medical-devices" </w:instrText>
      </w:r>
      <w:r>
        <w:fldChar w:fldCharType="separate"/>
      </w:r>
      <w:r>
        <w:rPr>
          <w:rStyle w:val="7"/>
          <w:color w:val="0000FF"/>
          <w:sz w:val="18"/>
          <w:szCs w:val="18"/>
          <w:lang w:eastAsia="zh-CN"/>
        </w:rPr>
        <w:t>voluntary-consensus-standards-premarket-submissions-medical-devices</w:t>
      </w:r>
      <w:bookmarkEnd w:id="6"/>
      <w:r>
        <w:rPr>
          <w:rStyle w:val="7"/>
          <w:color w:val="0000FF"/>
          <w:sz w:val="18"/>
          <w:szCs w:val="18"/>
          <w:lang w:eastAsia="zh-CN"/>
        </w:rPr>
        <w:fldChar w:fldCharType="end"/>
      </w:r>
    </w:p>
    <w:p w14:paraId="1F39C733">
      <w:pPr>
        <w:tabs>
          <w:tab w:val="left" w:pos="125"/>
        </w:tabs>
        <w:snapToGrid w:val="0"/>
        <w:spacing w:before="120" w:beforeLines="50"/>
        <w:jc w:val="both"/>
      </w:pPr>
      <w:r>
        <w:rPr>
          <w:lang w:eastAsia="zh-CN"/>
        </w:rPr>
        <w:br w:type="page"/>
      </w:r>
    </w:p>
    <w:p w14:paraId="069BB750">
      <w:pPr>
        <w:pStyle w:val="12"/>
        <w:spacing w:before="120" w:after="120"/>
        <w:rPr>
          <w:lang w:eastAsia="zh-CN"/>
        </w:rPr>
      </w:pPr>
      <w:bookmarkStart w:id="7" w:name="bookmark7"/>
      <w:r>
        <w:rPr>
          <w:lang w:eastAsia="zh-CN"/>
        </w:rPr>
        <w:t>II.</w:t>
      </w:r>
      <w:r>
        <w:rPr>
          <w:lang w:eastAsia="zh-CN"/>
        </w:rPr>
        <w:tab/>
      </w:r>
      <w:r>
        <w:rPr>
          <w:lang w:eastAsia="zh-CN"/>
        </w:rPr>
        <w:t xml:space="preserve"> 范围/器械介绍</w:t>
      </w:r>
      <w:bookmarkEnd w:id="7"/>
    </w:p>
    <w:p w14:paraId="1ED42BFD">
      <w:pPr>
        <w:snapToGrid w:val="0"/>
        <w:spacing w:before="120" w:beforeLines="50"/>
        <w:jc w:val="both"/>
        <w:rPr>
          <w:sz w:val="24"/>
          <w:szCs w:val="24"/>
          <w:lang w:eastAsia="zh-CN"/>
        </w:rPr>
      </w:pPr>
      <w:r>
        <w:rPr>
          <w:sz w:val="24"/>
          <w:szCs w:val="24"/>
          <w:lang w:eastAsia="zh-CN"/>
        </w:rPr>
        <w:t>遵循本指南的皮肤电极是预期用于正常、健康、干净、完好皮肤以达到记录目的的无创性一次性使用电极。这些器械为II类器械，按照21 CFR 882.1320进行监管，产品代码为GXY（电极，皮肤）。</w:t>
      </w:r>
    </w:p>
    <w:p w14:paraId="4CA85E07">
      <w:pPr>
        <w:snapToGrid w:val="0"/>
        <w:spacing w:before="120" w:beforeLines="50"/>
        <w:jc w:val="both"/>
        <w:rPr>
          <w:b/>
          <w:bCs/>
          <w:sz w:val="24"/>
          <w:szCs w:val="24"/>
          <w:lang w:eastAsia="zh-CN"/>
        </w:rPr>
      </w:pPr>
      <w:bookmarkStart w:id="8" w:name="bookmark8"/>
    </w:p>
    <w:p w14:paraId="722C1991">
      <w:pPr>
        <w:snapToGrid w:val="0"/>
        <w:spacing w:before="120" w:beforeLines="50"/>
        <w:jc w:val="both"/>
        <w:rPr>
          <w:sz w:val="24"/>
          <w:szCs w:val="24"/>
          <w:lang w:eastAsia="zh-CN"/>
        </w:rPr>
      </w:pPr>
      <w:r>
        <w:rPr>
          <w:b/>
          <w:bCs/>
          <w:sz w:val="24"/>
          <w:szCs w:val="24"/>
          <w:lang w:eastAsia="zh-CN"/>
        </w:rPr>
        <w:t>预期用途/适用范围：</w:t>
      </w:r>
      <w:bookmarkEnd w:id="8"/>
    </w:p>
    <w:p w14:paraId="20DDC684">
      <w:pPr>
        <w:snapToGrid w:val="0"/>
        <w:spacing w:before="120" w:beforeLines="50"/>
        <w:jc w:val="both"/>
        <w:rPr>
          <w:sz w:val="24"/>
          <w:szCs w:val="24"/>
          <w:lang w:eastAsia="zh-CN"/>
        </w:rPr>
      </w:pPr>
      <w:r>
        <w:rPr>
          <w:sz w:val="24"/>
          <w:szCs w:val="24"/>
          <w:lang w:eastAsia="zh-CN"/>
        </w:rPr>
        <w:t>本指南范围内的皮肤电极预期仅用于无创记录目的。这些器械预期直接贴在患者皮肤上以记录生理信号（例如脑电图、肌电图）。电极仅贴在正常、完好、干净和健康的皮肤上，含有导电介质。</w:t>
      </w:r>
    </w:p>
    <w:p w14:paraId="77156CB9">
      <w:pPr>
        <w:snapToGrid w:val="0"/>
        <w:spacing w:before="120" w:beforeLines="50"/>
        <w:jc w:val="both"/>
        <w:rPr>
          <w:sz w:val="24"/>
          <w:szCs w:val="24"/>
          <w:lang w:eastAsia="zh-CN"/>
        </w:rPr>
      </w:pPr>
      <w:r>
        <w:rPr>
          <w:sz w:val="24"/>
          <w:szCs w:val="24"/>
          <w:lang w:eastAsia="zh-CN"/>
        </w:rPr>
        <w:t>具有以下预期用途的皮肤电极</w:t>
      </w:r>
      <w:r>
        <w:rPr>
          <w:sz w:val="24"/>
          <w:szCs w:val="24"/>
          <w:u w:val="single"/>
          <w:lang w:eastAsia="zh-CN"/>
        </w:rPr>
        <w:t>不</w:t>
      </w:r>
      <w:r>
        <w:rPr>
          <w:sz w:val="24"/>
          <w:szCs w:val="24"/>
          <w:lang w:eastAsia="zh-CN"/>
        </w:rPr>
        <w:t>适用于采用本指南中基于安全性和性能的途径：</w:t>
      </w:r>
    </w:p>
    <w:p w14:paraId="0BF8ECF2">
      <w:pPr>
        <w:pStyle w:val="17"/>
        <w:spacing w:before="120"/>
        <w:ind w:left="1213" w:hanging="648"/>
        <w:rPr>
          <w:sz w:val="24"/>
          <w:szCs w:val="24"/>
          <w:lang w:eastAsia="zh-CN"/>
        </w:rPr>
      </w:pPr>
      <w:r>
        <w:rPr>
          <w:sz w:val="24"/>
          <w:szCs w:val="24"/>
          <w:lang w:eastAsia="zh-CN"/>
        </w:rPr>
        <w:t>•</w:t>
      </w:r>
      <w:r>
        <w:rPr>
          <w:sz w:val="24"/>
          <w:szCs w:val="24"/>
          <w:lang w:eastAsia="zh-CN"/>
        </w:rPr>
        <w:tab/>
      </w:r>
      <w:r>
        <w:rPr>
          <w:sz w:val="24"/>
          <w:szCs w:val="24"/>
          <w:lang w:eastAsia="zh-CN"/>
        </w:rPr>
        <w:t>输送刺激</w:t>
      </w:r>
    </w:p>
    <w:p w14:paraId="67A6BD94">
      <w:pPr>
        <w:pStyle w:val="17"/>
        <w:spacing w:before="120"/>
        <w:ind w:left="1213" w:hanging="648"/>
        <w:rPr>
          <w:sz w:val="24"/>
          <w:szCs w:val="24"/>
          <w:lang w:eastAsia="zh-CN"/>
        </w:rPr>
      </w:pPr>
      <w:r>
        <w:rPr>
          <w:sz w:val="24"/>
          <w:szCs w:val="24"/>
          <w:lang w:eastAsia="zh-CN"/>
        </w:rPr>
        <w:t>•</w:t>
      </w:r>
      <w:r>
        <w:rPr>
          <w:sz w:val="24"/>
          <w:szCs w:val="24"/>
          <w:lang w:eastAsia="zh-CN"/>
        </w:rPr>
        <w:tab/>
      </w:r>
      <w:r>
        <w:rPr>
          <w:sz w:val="24"/>
          <w:szCs w:val="24"/>
          <w:lang w:eastAsia="zh-CN"/>
        </w:rPr>
        <w:t>用于MR环境</w:t>
      </w:r>
    </w:p>
    <w:p w14:paraId="02C3C36A">
      <w:pPr>
        <w:pStyle w:val="17"/>
        <w:spacing w:before="120"/>
        <w:ind w:left="1213" w:hanging="648"/>
        <w:rPr>
          <w:sz w:val="24"/>
          <w:szCs w:val="24"/>
          <w:lang w:eastAsia="zh-CN"/>
        </w:rPr>
      </w:pPr>
      <w:r>
        <w:rPr>
          <w:sz w:val="24"/>
          <w:szCs w:val="24"/>
          <w:lang w:eastAsia="zh-CN"/>
        </w:rPr>
        <w:t>•</w:t>
      </w:r>
      <w:r>
        <w:rPr>
          <w:sz w:val="24"/>
          <w:szCs w:val="24"/>
          <w:lang w:eastAsia="zh-CN"/>
        </w:rPr>
        <w:tab/>
      </w:r>
      <w:r>
        <w:rPr>
          <w:sz w:val="24"/>
          <w:szCs w:val="24"/>
          <w:lang w:eastAsia="zh-CN"/>
        </w:rPr>
        <w:t>对于进行不同监管的预期用途（例如21 CFR 870.2360、21 CFR 878.4400）</w:t>
      </w:r>
    </w:p>
    <w:p w14:paraId="2B2C7B85">
      <w:pPr>
        <w:pStyle w:val="17"/>
        <w:spacing w:before="120"/>
        <w:ind w:left="1213" w:hanging="648"/>
        <w:rPr>
          <w:sz w:val="24"/>
          <w:szCs w:val="24"/>
          <w:lang w:eastAsia="zh-CN"/>
        </w:rPr>
      </w:pPr>
      <w:r>
        <w:rPr>
          <w:sz w:val="24"/>
          <w:szCs w:val="24"/>
          <w:lang w:eastAsia="zh-CN"/>
        </w:rPr>
        <w:t>•</w:t>
      </w:r>
      <w:r>
        <w:rPr>
          <w:sz w:val="24"/>
          <w:szCs w:val="24"/>
          <w:lang w:eastAsia="zh-CN"/>
        </w:rPr>
        <w:tab/>
      </w:r>
      <w:r>
        <w:rPr>
          <w:sz w:val="24"/>
          <w:szCs w:val="24"/>
          <w:lang w:eastAsia="zh-CN"/>
        </w:rPr>
        <w:t>预期重复使用（即非一次性使用）</w:t>
      </w:r>
    </w:p>
    <w:p w14:paraId="648B7821">
      <w:pPr>
        <w:pStyle w:val="17"/>
        <w:spacing w:before="120"/>
        <w:ind w:left="1213" w:hanging="648"/>
        <w:rPr>
          <w:sz w:val="24"/>
          <w:szCs w:val="24"/>
          <w:lang w:eastAsia="zh-CN"/>
        </w:rPr>
      </w:pPr>
      <w:r>
        <w:rPr>
          <w:sz w:val="24"/>
          <w:szCs w:val="24"/>
          <w:lang w:eastAsia="zh-CN"/>
        </w:rPr>
        <w:t>•</w:t>
      </w:r>
      <w:r>
        <w:rPr>
          <w:sz w:val="24"/>
          <w:szCs w:val="24"/>
          <w:lang w:eastAsia="zh-CN"/>
        </w:rPr>
        <w:tab/>
      </w:r>
      <w:r>
        <w:rPr>
          <w:sz w:val="24"/>
          <w:szCs w:val="24"/>
          <w:lang w:eastAsia="zh-CN"/>
        </w:rPr>
        <w:t>干电极（即</w:t>
      </w:r>
      <w:r>
        <w:rPr>
          <w:rFonts w:hint="eastAsia"/>
          <w:sz w:val="24"/>
          <w:szCs w:val="24"/>
          <w:lang w:eastAsia="zh-CN"/>
        </w:rPr>
        <w:t>不含</w:t>
      </w:r>
      <w:r>
        <w:rPr>
          <w:sz w:val="24"/>
          <w:szCs w:val="24"/>
          <w:lang w:eastAsia="zh-CN"/>
        </w:rPr>
        <w:t>导电介质）</w:t>
      </w:r>
    </w:p>
    <w:p w14:paraId="558C8086">
      <w:pPr>
        <w:pStyle w:val="17"/>
        <w:spacing w:before="120"/>
        <w:ind w:left="1213" w:hanging="648"/>
        <w:rPr>
          <w:sz w:val="24"/>
          <w:szCs w:val="24"/>
          <w:lang w:eastAsia="zh-CN"/>
        </w:rPr>
      </w:pPr>
    </w:p>
    <w:p w14:paraId="0A2B7C29">
      <w:pPr>
        <w:snapToGrid w:val="0"/>
        <w:spacing w:before="120" w:beforeLines="50"/>
        <w:jc w:val="both"/>
        <w:rPr>
          <w:sz w:val="24"/>
          <w:szCs w:val="24"/>
          <w:lang w:eastAsia="zh-CN"/>
        </w:rPr>
      </w:pPr>
      <w:bookmarkStart w:id="9" w:name="bookmark9"/>
      <w:r>
        <w:rPr>
          <w:b/>
          <w:bCs/>
          <w:sz w:val="24"/>
          <w:szCs w:val="24"/>
          <w:lang w:eastAsia="zh-CN"/>
        </w:rPr>
        <w:t>器械设计特征：</w:t>
      </w:r>
      <w:bookmarkEnd w:id="9"/>
    </w:p>
    <w:p w14:paraId="4146DE74">
      <w:pPr>
        <w:snapToGrid w:val="0"/>
        <w:spacing w:before="120" w:beforeLines="50"/>
        <w:jc w:val="both"/>
        <w:rPr>
          <w:sz w:val="24"/>
          <w:szCs w:val="24"/>
          <w:lang w:eastAsia="zh-CN"/>
        </w:rPr>
      </w:pPr>
      <w:r>
        <w:rPr>
          <w:sz w:val="24"/>
          <w:szCs w:val="24"/>
          <w:lang w:eastAsia="zh-CN"/>
        </w:rPr>
        <w:t>本指</w:t>
      </w:r>
      <w:r>
        <w:rPr>
          <w:rFonts w:hint="eastAsia"/>
          <w:sz w:val="24"/>
          <w:szCs w:val="24"/>
          <w:lang w:eastAsia="zh-CN"/>
        </w:rPr>
        <w:t>南</w:t>
      </w:r>
      <w:r>
        <w:rPr>
          <w:sz w:val="24"/>
          <w:szCs w:val="24"/>
          <w:lang w:eastAsia="zh-CN"/>
        </w:rPr>
        <w:t>文件范围内的皮肤电极设计为以无创形式用于完好皮肤。皮肤电极可能结合导电介质（例如预交联凝胶）。如果皮肤电极</w:t>
      </w:r>
      <w:r>
        <w:rPr>
          <w:rFonts w:hint="eastAsia"/>
          <w:sz w:val="24"/>
          <w:szCs w:val="24"/>
          <w:lang w:eastAsia="zh-CN"/>
        </w:rPr>
        <w:t>设计为</w:t>
      </w:r>
      <w:r>
        <w:rPr>
          <w:sz w:val="24"/>
          <w:szCs w:val="24"/>
          <w:lang w:eastAsia="zh-CN"/>
        </w:rPr>
        <w:t>不含导电介质，则皮肤电极应成功符合已合法上市的与电极配合使用的导电介质的试验性能标准（如本指南所述）（21 CFR 882.1275）。电极应与导电介质配合使用。请注意，本指</w:t>
      </w:r>
      <w:r>
        <w:rPr>
          <w:rFonts w:hint="eastAsia"/>
          <w:sz w:val="24"/>
          <w:szCs w:val="24"/>
          <w:lang w:eastAsia="zh-CN"/>
        </w:rPr>
        <w:t>南</w:t>
      </w:r>
      <w:r>
        <w:rPr>
          <w:sz w:val="24"/>
          <w:szCs w:val="24"/>
          <w:lang w:eastAsia="zh-CN"/>
        </w:rPr>
        <w:t>文件的范围不含导电介质器械（21 CFR 882.1275）。此外，本指</w:t>
      </w:r>
      <w:r>
        <w:rPr>
          <w:rFonts w:hint="eastAsia"/>
          <w:sz w:val="24"/>
          <w:szCs w:val="24"/>
          <w:lang w:eastAsia="zh-CN"/>
        </w:rPr>
        <w:t>南</w:t>
      </w:r>
      <w:r>
        <w:rPr>
          <w:sz w:val="24"/>
          <w:szCs w:val="24"/>
          <w:lang w:eastAsia="zh-CN"/>
        </w:rPr>
        <w:t>文件不含针状电极（21 CFR 882.1350）。</w:t>
      </w:r>
    </w:p>
    <w:p w14:paraId="56D0CC66">
      <w:pPr>
        <w:snapToGrid w:val="0"/>
        <w:spacing w:before="120" w:beforeLines="50"/>
        <w:jc w:val="both"/>
        <w:rPr>
          <w:sz w:val="24"/>
          <w:szCs w:val="24"/>
          <w:lang w:eastAsia="zh-CN"/>
        </w:rPr>
      </w:pPr>
      <w:r>
        <w:rPr>
          <w:sz w:val="24"/>
          <w:szCs w:val="24"/>
          <w:lang w:eastAsia="zh-CN"/>
        </w:rPr>
        <w:t>电极设计（例如尺寸、形状和类型）应与使用部位和预期用途相对应，因为这些属性可能影响记录的安全性和有效性。此外，电极的尺寸和间距应适用于目标患者人群（例如儿童、成人）。</w:t>
      </w:r>
    </w:p>
    <w:p w14:paraId="233E511A">
      <w:pPr>
        <w:snapToGrid w:val="0"/>
        <w:spacing w:before="120" w:beforeLines="50"/>
        <w:jc w:val="both"/>
        <w:rPr>
          <w:sz w:val="24"/>
          <w:szCs w:val="24"/>
          <w:lang w:eastAsia="zh-CN"/>
        </w:rPr>
      </w:pPr>
      <w:r>
        <w:rPr>
          <w:sz w:val="24"/>
          <w:szCs w:val="24"/>
          <w:lang w:eastAsia="zh-CN"/>
        </w:rPr>
        <w:t>FDA可以逐一确定是否需要</w:t>
      </w:r>
      <w:r>
        <w:rPr>
          <w:rFonts w:hint="eastAsia"/>
          <w:sz w:val="24"/>
          <w:szCs w:val="24"/>
          <w:lang w:eastAsia="zh-CN"/>
        </w:rPr>
        <w:t>额外</w:t>
      </w:r>
      <w:r>
        <w:rPr>
          <w:sz w:val="24"/>
          <w:szCs w:val="24"/>
          <w:lang w:eastAsia="zh-CN"/>
        </w:rPr>
        <w:t>的数据来评价器械是否适用于采</w:t>
      </w:r>
      <w:r>
        <w:rPr>
          <w:rFonts w:hint="eastAsia"/>
          <w:sz w:val="24"/>
          <w:szCs w:val="24"/>
          <w:lang w:eastAsia="zh-CN"/>
        </w:rPr>
        <w:t>用</w:t>
      </w:r>
      <w:r>
        <w:rPr>
          <w:sz w:val="24"/>
          <w:szCs w:val="24"/>
          <w:lang w:eastAsia="zh-CN"/>
        </w:rPr>
        <w:t>基于安全性和性能的途径。如果确定需要开展本指南范围之外的其他试验，以确定器械是否适用于采</w:t>
      </w:r>
      <w:r>
        <w:rPr>
          <w:rFonts w:hint="eastAsia"/>
          <w:sz w:val="24"/>
          <w:szCs w:val="24"/>
          <w:lang w:eastAsia="zh-CN"/>
        </w:rPr>
        <w:t>用</w:t>
      </w:r>
      <w:r>
        <w:rPr>
          <w:sz w:val="24"/>
          <w:szCs w:val="24"/>
          <w:lang w:eastAsia="zh-CN"/>
        </w:rPr>
        <w:t>基于安全性和性能的途径，我们鼓励申办者提交预提交文件</w:t>
      </w:r>
      <w:r>
        <w:fldChar w:fldCharType="begin"/>
      </w:r>
      <w:r>
        <w:instrText xml:space="preserve"> HYPERLINK \l "bookmark12" \o "当前文件" \h </w:instrText>
      </w:r>
      <w:r>
        <w:fldChar w:fldCharType="separate"/>
      </w:r>
      <w:r>
        <w:rPr>
          <w:sz w:val="24"/>
          <w:szCs w:val="24"/>
          <w:vertAlign w:val="superscript"/>
          <w:lang w:eastAsia="zh-CN"/>
        </w:rPr>
        <w:t>4</w:t>
      </w:r>
      <w:r>
        <w:rPr>
          <w:sz w:val="24"/>
          <w:szCs w:val="24"/>
          <w:vertAlign w:val="superscript"/>
          <w:lang w:eastAsia="zh-CN"/>
        </w:rPr>
        <w:fldChar w:fldCharType="end"/>
      </w:r>
      <w:r>
        <w:rPr>
          <w:sz w:val="24"/>
          <w:szCs w:val="24"/>
          <w:lang w:eastAsia="zh-CN"/>
        </w:rPr>
        <w:t>，以便在与</w:t>
      </w:r>
      <w:r>
        <w:rPr>
          <w:rFonts w:hint="eastAsia"/>
          <w:sz w:val="24"/>
          <w:szCs w:val="24"/>
          <w:lang w:eastAsia="zh-CN"/>
        </w:rPr>
        <w:t>F</w:t>
      </w:r>
      <w:r>
        <w:rPr>
          <w:sz w:val="24"/>
          <w:szCs w:val="24"/>
          <w:lang w:eastAsia="zh-CN"/>
        </w:rPr>
        <w:t>DA讨论过后再提交510（k）。</w:t>
      </w:r>
    </w:p>
    <w:p w14:paraId="28BA2970">
      <w:pPr>
        <w:snapToGrid w:val="0"/>
        <w:spacing w:before="120" w:beforeLines="50"/>
        <w:jc w:val="both"/>
        <w:rPr>
          <w:lang w:eastAsia="zh-CN"/>
        </w:rPr>
      </w:pPr>
      <w:r>
        <w:rPr>
          <w:lang w:eastAsia="zh-CN"/>
        </w:rPr>
        <w:br w:type="page"/>
      </w:r>
    </w:p>
    <w:p w14:paraId="08D4831C">
      <w:pPr>
        <w:snapToGrid w:val="0"/>
        <w:spacing w:before="120" w:beforeLines="50"/>
        <w:jc w:val="both"/>
        <w:rPr>
          <w:lang w:eastAsia="zh-CN"/>
        </w:rPr>
      </w:pPr>
    </w:p>
    <w:p w14:paraId="5BB67F58">
      <w:pPr>
        <w:pStyle w:val="12"/>
        <w:spacing w:before="120" w:after="120"/>
        <w:rPr>
          <w:lang w:eastAsia="zh-CN"/>
        </w:rPr>
      </w:pPr>
      <w:bookmarkStart w:id="10" w:name="bookmark10"/>
      <w:r>
        <w:rPr>
          <w:lang w:eastAsia="zh-CN"/>
        </w:rPr>
        <w:t>III.</w:t>
      </w:r>
      <w:r>
        <w:rPr>
          <w:lang w:eastAsia="zh-CN"/>
        </w:rPr>
        <w:tab/>
      </w:r>
      <w:r>
        <w:rPr>
          <w:lang w:eastAsia="zh-CN"/>
        </w:rPr>
        <w:t>试验性能标准</w:t>
      </w:r>
      <w:bookmarkEnd w:id="10"/>
    </w:p>
    <w:p w14:paraId="03403953">
      <w:pPr>
        <w:snapToGrid w:val="0"/>
        <w:spacing w:before="120" w:beforeLines="50"/>
        <w:jc w:val="both"/>
        <w:rPr>
          <w:lang w:eastAsia="zh-CN"/>
        </w:rPr>
      </w:pPr>
      <w:r>
        <w:rPr>
          <w:sz w:val="24"/>
          <w:szCs w:val="24"/>
          <w:lang w:eastAsia="zh-CN"/>
        </w:rPr>
        <w:t>如果器械适用于通过基于安全性和性能的途径进行提交，您也选择该方案，则无需与已合法上市的实质等同器械进行直接比较试验来证明性能特征具有实质等效性。为确保本指南中的性能标准</w:t>
      </w:r>
      <w:r>
        <w:rPr>
          <w:rFonts w:hint="eastAsia"/>
          <w:sz w:val="24"/>
          <w:szCs w:val="24"/>
          <w:lang w:eastAsia="zh-CN"/>
        </w:rPr>
        <w:t>与时俱进</w:t>
      </w:r>
      <w:r>
        <w:rPr>
          <w:sz w:val="24"/>
          <w:szCs w:val="24"/>
          <w:lang w:eastAsia="zh-CN"/>
        </w:rPr>
        <w:t>，考虑到近期</w:t>
      </w:r>
      <w:r>
        <w:rPr>
          <w:rFonts w:hint="eastAsia"/>
          <w:sz w:val="24"/>
          <w:szCs w:val="24"/>
          <w:lang w:eastAsia="zh-CN"/>
        </w:rPr>
        <w:t>批准</w:t>
      </w:r>
      <w:r>
        <w:rPr>
          <w:sz w:val="24"/>
          <w:szCs w:val="24"/>
          <w:lang w:eastAsia="zh-CN"/>
        </w:rPr>
        <w:t>的相关数据，除以下每次试验或评价的其他</w:t>
      </w:r>
      <w:r>
        <w:rPr>
          <w:rFonts w:hint="eastAsia"/>
          <w:sz w:val="24"/>
          <w:szCs w:val="24"/>
          <w:lang w:eastAsia="zh-CN"/>
        </w:rPr>
        <w:t>申请</w:t>
      </w:r>
      <w:r>
        <w:rPr>
          <w:sz w:val="24"/>
          <w:szCs w:val="24"/>
          <w:lang w:eastAsia="zh-CN"/>
        </w:rPr>
        <w:t>信息（例如合规声明（DoC））以外，FDA建议也提供所有试验的结果汇总。除非以下</w:t>
      </w:r>
      <w:r>
        <w:rPr>
          <w:rFonts w:hint="eastAsia"/>
          <w:sz w:val="24"/>
          <w:szCs w:val="24"/>
          <w:lang w:eastAsia="zh-CN"/>
        </w:rPr>
        <w:t>申请</w:t>
      </w:r>
      <w:r>
        <w:rPr>
          <w:sz w:val="24"/>
          <w:szCs w:val="24"/>
          <w:lang w:eastAsia="zh-CN"/>
        </w:rPr>
        <w:t>信息部分另行规定，</w:t>
      </w:r>
      <w:r>
        <w:rPr>
          <w:sz w:val="24"/>
          <w:lang w:eastAsia="zh-CN"/>
        </w:rPr>
        <w:t>否则</w:t>
      </w:r>
      <w:r>
        <w:rPr>
          <w:sz w:val="24"/>
          <w:szCs w:val="24"/>
          <w:lang w:eastAsia="zh-CN"/>
        </w:rPr>
        <w:t>应按照FDA指南</w:t>
      </w:r>
      <w:r>
        <w:fldChar w:fldCharType="begin"/>
      </w:r>
      <w:r>
        <w:instrText xml:space="preserve"> HYPERLINK "https://www.fda.gov/regulatory-information/search-fda-guidance-documents/safety-and-performance-based-pathway" </w:instrText>
      </w:r>
      <w:r>
        <w:fldChar w:fldCharType="separate"/>
      </w:r>
      <w:r>
        <w:rPr>
          <w:rStyle w:val="7"/>
          <w:color w:val="0000FF"/>
          <w:sz w:val="24"/>
          <w:szCs w:val="24"/>
          <w:lang w:eastAsia="zh-CN"/>
        </w:rPr>
        <w:t>基于安全性和性能的途径</w:t>
      </w:r>
      <w:r>
        <w:rPr>
          <w:rStyle w:val="7"/>
          <w:color w:val="0000FF"/>
          <w:sz w:val="24"/>
          <w:szCs w:val="24"/>
          <w:lang w:eastAsia="zh-CN"/>
        </w:rPr>
        <w:fldChar w:fldCharType="end"/>
      </w:r>
      <w:r>
        <w:fldChar w:fldCharType="begin"/>
      </w:r>
      <w:r>
        <w:instrText xml:space="preserve"> HYPERLINK \l "bookmark13" \o "当前文件" \h </w:instrText>
      </w:r>
      <w:r>
        <w:fldChar w:fldCharType="separate"/>
      </w:r>
      <w:r>
        <w:rPr>
          <w:sz w:val="24"/>
          <w:szCs w:val="24"/>
          <w:vertAlign w:val="superscript"/>
          <w:lang w:eastAsia="zh-CN"/>
        </w:rPr>
        <w:t>5</w:t>
      </w:r>
      <w:r>
        <w:rPr>
          <w:sz w:val="24"/>
          <w:szCs w:val="24"/>
          <w:lang w:eastAsia="zh-CN"/>
        </w:rPr>
        <w:t xml:space="preserve"> </w:t>
      </w:r>
      <w:r>
        <w:rPr>
          <w:sz w:val="24"/>
          <w:szCs w:val="24"/>
          <w:lang w:eastAsia="zh-CN"/>
        </w:rPr>
        <w:fldChar w:fldCharType="end"/>
      </w:r>
      <w:r>
        <w:rPr>
          <w:sz w:val="24"/>
          <w:szCs w:val="24"/>
          <w:lang w:eastAsia="zh-CN"/>
        </w:rPr>
        <w:t>所述，在510（k）中提交结果汇总、试验方案或完整试验报告等试验信息。有关提交非临床台架试验信息的</w:t>
      </w:r>
      <w:r>
        <w:rPr>
          <w:rFonts w:hint="eastAsia"/>
          <w:sz w:val="24"/>
          <w:szCs w:val="24"/>
          <w:lang w:eastAsia="zh-CN"/>
        </w:rPr>
        <w:t>更多</w:t>
      </w:r>
      <w:r>
        <w:rPr>
          <w:sz w:val="24"/>
          <w:szCs w:val="24"/>
          <w:lang w:eastAsia="zh-CN"/>
        </w:rPr>
        <w:t>信息，请参</w:t>
      </w:r>
      <w:r>
        <w:rPr>
          <w:rFonts w:hint="eastAsia"/>
          <w:sz w:val="24"/>
          <w:szCs w:val="24"/>
          <w:lang w:eastAsia="zh-CN"/>
        </w:rPr>
        <w:t>见</w:t>
      </w:r>
      <w:r>
        <w:rPr>
          <w:sz w:val="24"/>
          <w:szCs w:val="24"/>
          <w:lang w:eastAsia="zh-CN"/>
        </w:rPr>
        <w:t>FDA指南</w:t>
      </w:r>
      <w:r>
        <w:fldChar w:fldCharType="begin"/>
      </w:r>
      <w:r>
        <w:instrText xml:space="preserve"> HYPERLINK "https://www.fda.gov/regulatory-information/search-fda-guidance-documents/recommended-content-and-format-non-clinical-bench-performance-testing-information-premarket" </w:instrText>
      </w:r>
      <w:r>
        <w:fldChar w:fldCharType="separate"/>
      </w:r>
      <w:r>
        <w:rPr>
          <w:rStyle w:val="7"/>
          <w:color w:val="0000FF"/>
          <w:sz w:val="24"/>
          <w:szCs w:val="24"/>
          <w:lang w:eastAsia="zh-CN"/>
        </w:rPr>
        <w:t>上市前提交中非临床台架性能试验信息的推荐内容和格式</w:t>
      </w:r>
      <w:r>
        <w:rPr>
          <w:rStyle w:val="7"/>
          <w:color w:val="0000FF"/>
          <w:sz w:val="24"/>
          <w:szCs w:val="24"/>
          <w:lang w:eastAsia="zh-CN"/>
        </w:rPr>
        <w:fldChar w:fldCharType="end"/>
      </w:r>
      <w:r>
        <w:fldChar w:fldCharType="begin"/>
      </w:r>
      <w:r>
        <w:instrText xml:space="preserve"> HYPERLINK "https://www.fda.gov/regulatory-information/search-fda-guidance-documents/recommended-content-and-format-non-clinical-bench-performance-testing-information-premarket" </w:instrText>
      </w:r>
      <w:r>
        <w:fldChar w:fldCharType="separate"/>
      </w:r>
      <w:r>
        <w:rPr>
          <w:rStyle w:val="7"/>
          <w:color w:val="0000FF"/>
          <w:sz w:val="24"/>
          <w:szCs w:val="24"/>
          <w:lang w:eastAsia="zh-CN"/>
        </w:rPr>
        <w:t>。</w:t>
      </w:r>
      <w:r>
        <w:rPr>
          <w:rStyle w:val="7"/>
          <w:color w:val="0000FF"/>
          <w:sz w:val="24"/>
          <w:szCs w:val="24"/>
          <w:lang w:eastAsia="zh-CN"/>
        </w:rPr>
        <w:fldChar w:fldCharType="end"/>
      </w:r>
      <w:r>
        <w:fldChar w:fldCharType="begin"/>
      </w:r>
      <w:r>
        <w:instrText xml:space="preserve"> HYPERLINK \l "bookmark14" \o "当前文件" \h </w:instrText>
      </w:r>
      <w:r>
        <w:fldChar w:fldCharType="separate"/>
      </w:r>
      <w:r>
        <w:rPr>
          <w:sz w:val="24"/>
          <w:szCs w:val="24"/>
          <w:vertAlign w:val="superscript"/>
          <w:lang w:eastAsia="zh-CN"/>
        </w:rPr>
        <w:t>6</w:t>
      </w:r>
      <w:r>
        <w:rPr>
          <w:sz w:val="24"/>
          <w:szCs w:val="24"/>
          <w:vertAlign w:val="superscript"/>
          <w:lang w:eastAsia="zh-CN"/>
        </w:rPr>
        <w:fldChar w:fldCharType="end"/>
      </w:r>
    </w:p>
    <w:p w14:paraId="51E3DD46">
      <w:pPr>
        <w:snapToGrid w:val="0"/>
        <w:spacing w:before="120" w:beforeLines="50"/>
        <w:jc w:val="both"/>
        <w:rPr>
          <w:sz w:val="24"/>
          <w:szCs w:val="24"/>
          <w:lang w:eastAsia="zh-CN"/>
        </w:rPr>
      </w:pPr>
    </w:p>
    <w:p w14:paraId="2DACA225">
      <w:pPr>
        <w:snapToGrid w:val="0"/>
        <w:spacing w:before="120" w:beforeLines="50"/>
        <w:jc w:val="both"/>
        <w:rPr>
          <w:sz w:val="24"/>
          <w:szCs w:val="24"/>
          <w:lang w:eastAsia="zh-CN"/>
        </w:rPr>
      </w:pPr>
      <w:bookmarkStart w:id="11" w:name="bookmark11"/>
      <w:r>
        <w:rPr>
          <w:b/>
          <w:bCs/>
          <w:sz w:val="24"/>
          <w:szCs w:val="24"/>
          <w:u w:val="single"/>
          <w:lang w:eastAsia="zh-CN"/>
        </w:rPr>
        <w:t>电极表征</w:t>
      </w:r>
      <w:bookmarkEnd w:id="11"/>
    </w:p>
    <w:p w14:paraId="52D53C82">
      <w:pPr>
        <w:pStyle w:val="16"/>
        <w:spacing w:before="120"/>
        <w:ind w:left="650" w:hanging="648"/>
        <w:rPr>
          <w:sz w:val="24"/>
          <w:szCs w:val="24"/>
          <w:lang w:eastAsia="zh-CN"/>
        </w:rPr>
      </w:pPr>
      <w:r>
        <w:rPr>
          <w:b/>
          <w:bCs/>
          <w:sz w:val="24"/>
          <w:szCs w:val="24"/>
          <w:lang w:eastAsia="zh-CN"/>
        </w:rPr>
        <w:t>1.</w:t>
      </w:r>
      <w:r>
        <w:rPr>
          <w:b/>
          <w:bCs/>
          <w:sz w:val="24"/>
          <w:szCs w:val="24"/>
          <w:lang w:eastAsia="zh-CN"/>
        </w:rPr>
        <w:tab/>
      </w:r>
      <w:r>
        <w:rPr>
          <w:b/>
          <w:bCs/>
          <w:sz w:val="24"/>
          <w:szCs w:val="24"/>
          <w:lang w:eastAsia="zh-CN"/>
        </w:rPr>
        <w:t>测试名称：</w:t>
      </w:r>
      <w:r>
        <w:rPr>
          <w:sz w:val="24"/>
          <w:szCs w:val="24"/>
          <w:lang w:eastAsia="zh-CN"/>
        </w:rPr>
        <w:t>交流阻抗（电气性能）</w:t>
      </w:r>
    </w:p>
    <w:p w14:paraId="597F239D">
      <w:pPr>
        <w:snapToGrid w:val="0"/>
        <w:spacing w:before="120" w:beforeLines="50"/>
        <w:ind w:left="567" w:leftChars="270"/>
        <w:jc w:val="both"/>
        <w:rPr>
          <w:sz w:val="24"/>
          <w:szCs w:val="24"/>
          <w:lang w:eastAsia="zh-CN"/>
        </w:rPr>
      </w:pPr>
      <w:r>
        <w:rPr>
          <w:b/>
          <w:bCs/>
          <w:sz w:val="24"/>
          <w:szCs w:val="24"/>
          <w:lang w:eastAsia="zh-CN"/>
        </w:rPr>
        <w:t>方法：</w:t>
      </w:r>
      <w:r>
        <w:rPr>
          <w:sz w:val="24"/>
          <w:szCs w:val="24"/>
          <w:lang w:eastAsia="zh-CN"/>
        </w:rPr>
        <w:t>FDA当前</w:t>
      </w:r>
      <w:r>
        <w:rPr>
          <w:rFonts w:hint="eastAsia"/>
          <w:sz w:val="24"/>
          <w:szCs w:val="24"/>
          <w:lang w:eastAsia="zh-CN"/>
        </w:rPr>
        <w:t>认可</w:t>
      </w:r>
      <w:r>
        <w:rPr>
          <w:sz w:val="24"/>
          <w:szCs w:val="24"/>
          <w:lang w:eastAsia="zh-CN"/>
        </w:rPr>
        <w:t>的美国国家标准协会/美国医疗仪器促进协会（ANSI/AAMI）EC12</w:t>
      </w:r>
      <w:r>
        <w:rPr>
          <w:i/>
          <w:sz w:val="24"/>
          <w:szCs w:val="24"/>
          <w:lang w:eastAsia="zh-CN"/>
        </w:rPr>
        <w:t>一次性使用心电电极</w:t>
      </w:r>
    </w:p>
    <w:p w14:paraId="7D861672">
      <w:pPr>
        <w:snapToGrid w:val="0"/>
        <w:spacing w:before="120" w:beforeLines="50"/>
        <w:ind w:left="567" w:leftChars="270"/>
        <w:jc w:val="both"/>
        <w:rPr>
          <w:sz w:val="24"/>
          <w:szCs w:val="24"/>
          <w:lang w:eastAsia="zh-CN"/>
        </w:rPr>
      </w:pPr>
      <w:r>
        <w:rPr>
          <w:b/>
          <w:bCs/>
          <w:sz w:val="24"/>
          <w:szCs w:val="24"/>
          <w:lang w:eastAsia="zh-CN"/>
        </w:rPr>
        <w:t>性能标准：</w:t>
      </w:r>
      <w:r>
        <w:rPr>
          <w:sz w:val="24"/>
          <w:szCs w:val="24"/>
          <w:lang w:eastAsia="zh-CN"/>
        </w:rPr>
        <w:t>最大2千欧姆（12个电极对的平均值10 Hz阻抗）、最大3千欧姆（个体电极对的阻抗）</w:t>
      </w:r>
    </w:p>
    <w:p w14:paraId="1C182082">
      <w:pPr>
        <w:snapToGrid w:val="0"/>
        <w:spacing w:before="120" w:beforeLines="50"/>
        <w:ind w:left="567" w:leftChars="270"/>
        <w:jc w:val="both"/>
        <w:rPr>
          <w:i/>
          <w:sz w:val="24"/>
          <w:szCs w:val="24"/>
          <w:lang w:eastAsia="zh-CN"/>
        </w:rPr>
      </w:pPr>
      <w:r>
        <w:rPr>
          <w:b/>
          <w:bCs/>
          <w:sz w:val="24"/>
          <w:szCs w:val="24"/>
          <w:lang w:eastAsia="zh-CN"/>
        </w:rPr>
        <w:t>性能标准来源：</w:t>
      </w:r>
      <w:r>
        <w:rPr>
          <w:sz w:val="24"/>
          <w:szCs w:val="24"/>
          <w:lang w:eastAsia="zh-CN"/>
        </w:rPr>
        <w:t>ANSI/AAMI EC12：2000/(R)2015</w:t>
      </w:r>
      <w:r>
        <w:rPr>
          <w:i/>
          <w:sz w:val="24"/>
          <w:szCs w:val="24"/>
          <w:lang w:eastAsia="zh-CN"/>
        </w:rPr>
        <w:t>一次性使用心电电极</w:t>
      </w:r>
    </w:p>
    <w:p w14:paraId="64A3CFE6">
      <w:pPr>
        <w:snapToGrid w:val="0"/>
        <w:spacing w:before="120" w:beforeLines="50"/>
        <w:ind w:left="567" w:leftChars="270"/>
        <w:jc w:val="both"/>
        <w:rPr>
          <w:sz w:val="24"/>
          <w:szCs w:val="24"/>
          <w:lang w:eastAsia="zh-CN"/>
        </w:rPr>
      </w:pPr>
      <w:r>
        <w:rPr>
          <w:rFonts w:hint="eastAsia"/>
          <w:b/>
          <w:bCs/>
          <w:sz w:val="24"/>
          <w:szCs w:val="24"/>
          <w:lang w:eastAsia="zh-CN"/>
        </w:rPr>
        <w:t>申请</w:t>
      </w:r>
      <w:r>
        <w:rPr>
          <w:b/>
          <w:bCs/>
          <w:sz w:val="24"/>
          <w:szCs w:val="24"/>
          <w:lang w:eastAsia="zh-CN"/>
        </w:rPr>
        <w:t>信息：</w:t>
      </w:r>
      <w:r>
        <w:rPr>
          <w:sz w:val="24"/>
          <w:szCs w:val="24"/>
          <w:lang w:eastAsia="zh-CN"/>
        </w:rPr>
        <w:t>DoC</w:t>
      </w:r>
    </w:p>
    <w:p w14:paraId="7B6B9EFD">
      <w:pPr>
        <w:snapToGrid w:val="0"/>
        <w:spacing w:before="120" w:beforeLines="50"/>
        <w:ind w:left="567" w:leftChars="270"/>
        <w:jc w:val="both"/>
        <w:rPr>
          <w:sz w:val="24"/>
          <w:szCs w:val="24"/>
          <w:lang w:eastAsia="zh-CN"/>
        </w:rPr>
      </w:pPr>
    </w:p>
    <w:p w14:paraId="6ABF5A73">
      <w:pPr>
        <w:pStyle w:val="16"/>
        <w:spacing w:before="120"/>
        <w:ind w:left="650" w:hanging="648"/>
        <w:rPr>
          <w:sz w:val="24"/>
          <w:szCs w:val="24"/>
          <w:lang w:eastAsia="zh-CN"/>
        </w:rPr>
      </w:pPr>
      <w:r>
        <w:rPr>
          <w:b/>
          <w:bCs/>
          <w:sz w:val="24"/>
          <w:szCs w:val="24"/>
          <w:lang w:eastAsia="zh-CN"/>
        </w:rPr>
        <w:t>2.</w:t>
      </w:r>
      <w:r>
        <w:rPr>
          <w:b/>
          <w:bCs/>
          <w:sz w:val="24"/>
          <w:szCs w:val="24"/>
          <w:lang w:eastAsia="zh-CN"/>
        </w:rPr>
        <w:tab/>
      </w:r>
      <w:r>
        <w:rPr>
          <w:b/>
          <w:bCs/>
          <w:sz w:val="24"/>
          <w:szCs w:val="24"/>
          <w:lang w:eastAsia="zh-CN"/>
        </w:rPr>
        <w:t>测试名称：</w:t>
      </w:r>
      <w:r>
        <w:rPr>
          <w:sz w:val="24"/>
          <w:szCs w:val="24"/>
          <w:lang w:eastAsia="zh-CN"/>
        </w:rPr>
        <w:t>失调电压（电气性能）</w:t>
      </w:r>
    </w:p>
    <w:p w14:paraId="49FDE86F">
      <w:pPr>
        <w:snapToGrid w:val="0"/>
        <w:spacing w:before="120" w:beforeLines="50"/>
        <w:ind w:left="567" w:leftChars="270"/>
        <w:jc w:val="both"/>
        <w:rPr>
          <w:sz w:val="24"/>
          <w:szCs w:val="24"/>
        </w:rPr>
      </w:pPr>
      <w:r>
        <w:rPr>
          <w:b/>
          <w:bCs/>
          <w:sz w:val="24"/>
          <w:szCs w:val="24"/>
          <w:lang w:eastAsia="zh-CN"/>
        </w:rPr>
        <w:t>方法：</w:t>
      </w:r>
      <w:r>
        <w:rPr>
          <w:sz w:val="24"/>
          <w:szCs w:val="24"/>
          <w:lang w:eastAsia="zh-CN"/>
        </w:rPr>
        <w:t>ANSI/AAMI EC12一次性使用心电电极</w:t>
      </w:r>
    </w:p>
    <w:p w14:paraId="2CCAD16D">
      <w:pPr>
        <w:snapToGrid w:val="0"/>
        <w:spacing w:before="120" w:beforeLines="50"/>
        <w:ind w:left="567" w:leftChars="270"/>
        <w:jc w:val="both"/>
        <w:rPr>
          <w:sz w:val="24"/>
          <w:szCs w:val="24"/>
        </w:rPr>
      </w:pPr>
      <w:r>
        <w:rPr>
          <w:b/>
          <w:bCs/>
          <w:sz w:val="24"/>
          <w:szCs w:val="24"/>
          <w:lang w:eastAsia="zh-CN"/>
        </w:rPr>
        <w:t>性能标准：</w:t>
      </w:r>
      <w:r>
        <w:rPr>
          <w:sz w:val="24"/>
          <w:szCs w:val="24"/>
          <w:lang w:eastAsia="zh-CN"/>
        </w:rPr>
        <w:t xml:space="preserve">最大100 mV </w:t>
      </w:r>
    </w:p>
    <w:p w14:paraId="7BD11A09">
      <w:pPr>
        <w:snapToGrid w:val="0"/>
        <w:spacing w:before="120" w:beforeLines="50"/>
        <w:ind w:left="567" w:leftChars="270"/>
        <w:jc w:val="both"/>
        <w:rPr>
          <w:sz w:val="24"/>
          <w:szCs w:val="24"/>
        </w:rPr>
      </w:pPr>
      <w:r>
        <w:rPr>
          <w:b/>
          <w:bCs/>
          <w:sz w:val="24"/>
          <w:szCs w:val="24"/>
          <w:lang w:eastAsia="zh-CN"/>
        </w:rPr>
        <w:t>性能标准来源：</w:t>
      </w:r>
      <w:r>
        <w:rPr>
          <w:sz w:val="24"/>
          <w:szCs w:val="24"/>
          <w:lang w:eastAsia="zh-CN"/>
        </w:rPr>
        <w:t>ANSI/AAMI EC12：2000/(R)2015一次性使用心电电极</w:t>
      </w:r>
    </w:p>
    <w:p w14:paraId="1FE0CA80">
      <w:pPr>
        <w:snapToGrid w:val="0"/>
        <w:spacing w:before="120" w:beforeLines="50"/>
        <w:ind w:left="567" w:leftChars="270"/>
        <w:jc w:val="both"/>
        <w:rPr>
          <w:sz w:val="24"/>
          <w:szCs w:val="24"/>
          <w:lang w:eastAsia="zh-CN"/>
        </w:rPr>
      </w:pPr>
      <w:r>
        <w:rPr>
          <w:b/>
          <w:bCs/>
          <w:sz w:val="24"/>
          <w:szCs w:val="24"/>
          <w:lang w:eastAsia="zh-CN"/>
        </w:rPr>
        <w:t>申报信息：</w:t>
      </w:r>
      <w:r>
        <w:rPr>
          <w:sz w:val="24"/>
          <w:szCs w:val="24"/>
          <w:lang w:eastAsia="zh-CN"/>
        </w:rPr>
        <w:t>DoC</w:t>
      </w:r>
    </w:p>
    <w:p w14:paraId="0DC55477">
      <w:pPr>
        <w:snapToGrid w:val="0"/>
        <w:spacing w:before="120" w:beforeLines="50"/>
        <w:ind w:left="567" w:leftChars="270"/>
        <w:jc w:val="both"/>
        <w:rPr>
          <w:sz w:val="24"/>
          <w:szCs w:val="24"/>
          <w:lang w:eastAsia="zh-CN"/>
        </w:rPr>
      </w:pPr>
    </w:p>
    <w:p w14:paraId="6646030A">
      <w:pPr>
        <w:pStyle w:val="16"/>
        <w:spacing w:before="120"/>
        <w:ind w:left="650" w:hanging="648"/>
        <w:rPr>
          <w:sz w:val="24"/>
          <w:szCs w:val="24"/>
          <w:lang w:eastAsia="zh-CN"/>
        </w:rPr>
      </w:pPr>
      <w:r>
        <w:rPr>
          <w:b/>
          <w:bCs/>
          <w:sz w:val="24"/>
          <w:szCs w:val="24"/>
          <w:lang w:eastAsia="zh-CN"/>
        </w:rPr>
        <w:t>3.</w:t>
      </w:r>
      <w:r>
        <w:rPr>
          <w:b/>
          <w:bCs/>
          <w:sz w:val="24"/>
          <w:szCs w:val="24"/>
          <w:lang w:eastAsia="zh-CN"/>
        </w:rPr>
        <w:tab/>
      </w:r>
      <w:r>
        <w:rPr>
          <w:b/>
          <w:bCs/>
          <w:sz w:val="24"/>
          <w:szCs w:val="24"/>
          <w:lang w:eastAsia="zh-CN"/>
        </w:rPr>
        <w:t>测试名称：</w:t>
      </w:r>
      <w:r>
        <w:rPr>
          <w:sz w:val="24"/>
          <w:szCs w:val="24"/>
          <w:lang w:eastAsia="zh-CN"/>
        </w:rPr>
        <w:t>组合偏移不稳定和内部噪声（电气性能）</w:t>
      </w:r>
    </w:p>
    <w:p w14:paraId="26EF7E1C">
      <w:pPr>
        <w:tabs>
          <w:tab w:val="left" w:pos="718"/>
        </w:tabs>
        <w:snapToGrid w:val="0"/>
        <w:spacing w:before="120" w:beforeLines="50"/>
        <w:ind w:left="567" w:leftChars="270"/>
        <w:jc w:val="both"/>
        <w:rPr>
          <w:sz w:val="24"/>
          <w:szCs w:val="24"/>
        </w:rPr>
      </w:pPr>
      <w:r>
        <w:rPr>
          <w:b/>
          <w:bCs/>
          <w:sz w:val="24"/>
          <w:szCs w:val="24"/>
          <w:lang w:eastAsia="zh-CN"/>
        </w:rPr>
        <w:t>方法：</w:t>
      </w:r>
      <w:r>
        <w:rPr>
          <w:sz w:val="24"/>
          <w:szCs w:val="24"/>
          <w:lang w:eastAsia="zh-CN"/>
        </w:rPr>
        <w:t>ANSI/AAMI EC12</w:t>
      </w:r>
      <w:r>
        <w:rPr>
          <w:i/>
          <w:sz w:val="24"/>
          <w:szCs w:val="24"/>
          <w:lang w:eastAsia="zh-CN"/>
        </w:rPr>
        <w:t>一次性使用心电电极</w:t>
      </w:r>
    </w:p>
    <w:p w14:paraId="4CC5CC17">
      <w:pPr>
        <w:snapToGrid w:val="0"/>
        <w:spacing w:before="120" w:beforeLines="50"/>
        <w:jc w:val="both"/>
        <w:rPr>
          <w:sz w:val="18"/>
          <w:szCs w:val="18"/>
          <w:lang w:eastAsia="zh-CN"/>
        </w:rPr>
      </w:pPr>
      <w:bookmarkStart w:id="12" w:name="bookmark12"/>
      <w:bookmarkStart w:id="13" w:name="bookmark13"/>
    </w:p>
    <w:p w14:paraId="5B3378FA">
      <w:pPr>
        <w:snapToGrid w:val="0"/>
        <w:spacing w:before="120" w:beforeLines="50"/>
        <w:jc w:val="both"/>
        <w:rPr>
          <w:sz w:val="18"/>
          <w:szCs w:val="18"/>
          <w:lang w:eastAsia="zh-CN"/>
        </w:rPr>
      </w:pPr>
    </w:p>
    <w:p w14:paraId="60B4FADE">
      <w:pPr>
        <w:snapToGrid w:val="0"/>
        <w:spacing w:before="120" w:beforeLines="50"/>
        <w:jc w:val="both"/>
        <w:rPr>
          <w:sz w:val="18"/>
          <w:szCs w:val="18"/>
        </w:rPr>
      </w:pPr>
      <w:r>
        <w:rPr>
          <w:sz w:val="18"/>
          <w:szCs w:val="18"/>
          <w:lang w:eastAsia="zh-CN"/>
        </w:rPr>
        <w:t>____________________</w:t>
      </w:r>
    </w:p>
    <w:p w14:paraId="1A08EDA5">
      <w:pPr>
        <w:tabs>
          <w:tab w:val="left" w:pos="115"/>
        </w:tabs>
        <w:snapToGrid w:val="0"/>
        <w:spacing w:before="120" w:beforeLines="50"/>
        <w:rPr>
          <w:sz w:val="18"/>
          <w:szCs w:val="18"/>
        </w:rPr>
      </w:pPr>
      <w:r>
        <w:rPr>
          <w:sz w:val="18"/>
          <w:szCs w:val="18"/>
          <w:vertAlign w:val="superscript"/>
          <w:lang w:eastAsia="zh-CN"/>
        </w:rPr>
        <w:t>4</w:t>
      </w:r>
      <w:r>
        <w:rPr>
          <w:sz w:val="18"/>
          <w:szCs w:val="18"/>
          <w:lang w:eastAsia="zh-CN"/>
        </w:rPr>
        <w:tab/>
      </w:r>
      <w:r>
        <w:rPr>
          <w:sz w:val="18"/>
          <w:szCs w:val="18"/>
          <w:lang w:eastAsia="zh-CN"/>
        </w:rPr>
        <w:t>请访问</w:t>
      </w:r>
      <w:r>
        <w:fldChar w:fldCharType="begin"/>
      </w:r>
      <w:r>
        <w:instrText xml:space="preserve"> HYPERLINK "https://www.fda.gov/regulatory-information/search-fda-guidance-documents/requests-feedback-and-meetings-medical-device-submissions-q-submission-program" </w:instrText>
      </w:r>
      <w:r>
        <w:fldChar w:fldCharType="separate"/>
      </w:r>
      <w:r>
        <w:rPr>
          <w:rStyle w:val="7"/>
          <w:color w:val="0000FF"/>
          <w:sz w:val="18"/>
          <w:szCs w:val="18"/>
          <w:lang w:eastAsia="zh-CN"/>
        </w:rPr>
        <w:t xml:space="preserve"> https://www.fda.gov/regulatory-information/search-fda-guidance-documents/requests-feedback-and-</w:t>
      </w:r>
      <w:r>
        <w:rPr>
          <w:rStyle w:val="7"/>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"https://www.fda.gov/regulatory-information/search-fda-guidance-documents/requests-feedback-and-meetings-medical-device-submissions-q-submission-program" </w:instrText>
      </w:r>
      <w:r>
        <w:fldChar w:fldCharType="separate"/>
      </w:r>
      <w:r>
        <w:rPr>
          <w:rStyle w:val="7"/>
          <w:color w:val="0000FF"/>
          <w:sz w:val="18"/>
          <w:szCs w:val="18"/>
          <w:lang w:eastAsia="zh-CN"/>
        </w:rPr>
        <w:t>meetings-medical-device-submissions-a-submission-program</w:t>
      </w:r>
      <w:bookmarkEnd w:id="12"/>
      <w:bookmarkEnd w:id="13"/>
      <w:r>
        <w:rPr>
          <w:rStyle w:val="7"/>
          <w:color w:val="0000FF"/>
          <w:sz w:val="18"/>
          <w:szCs w:val="18"/>
          <w:lang w:eastAsia="zh-CN"/>
        </w:rPr>
        <w:fldChar w:fldCharType="end"/>
      </w:r>
    </w:p>
    <w:p w14:paraId="639181FF">
      <w:pPr>
        <w:tabs>
          <w:tab w:val="left" w:pos="125"/>
        </w:tabs>
        <w:snapToGrid w:val="0"/>
        <w:spacing w:before="120" w:beforeLines="50"/>
        <w:rPr>
          <w:sz w:val="18"/>
          <w:szCs w:val="18"/>
        </w:rPr>
      </w:pPr>
      <w:r>
        <w:rPr>
          <w:sz w:val="18"/>
          <w:szCs w:val="18"/>
          <w:vertAlign w:val="superscript"/>
          <w:lang w:eastAsia="zh-CN"/>
        </w:rPr>
        <w:t>5</w:t>
      </w:r>
      <w:r>
        <w:rPr>
          <w:sz w:val="18"/>
          <w:szCs w:val="18"/>
          <w:lang w:eastAsia="zh-CN"/>
        </w:rPr>
        <w:tab/>
      </w:r>
      <w:r>
        <w:rPr>
          <w:sz w:val="18"/>
          <w:szCs w:val="18"/>
          <w:lang w:eastAsia="zh-CN"/>
        </w:rPr>
        <w:t>请访问</w:t>
      </w:r>
      <w:r>
        <w:fldChar w:fldCharType="begin"/>
      </w:r>
      <w:r>
        <w:instrText xml:space="preserve"> HYPERLINK "https://www.fda.gov/regulatory-information/search-fda-guidance-documents/safety-and-performance-based-pathway" </w:instrText>
      </w:r>
      <w:r>
        <w:fldChar w:fldCharType="separate"/>
      </w:r>
      <w:r>
        <w:rPr>
          <w:rStyle w:val="7"/>
          <w:color w:val="0000FF"/>
          <w:sz w:val="18"/>
          <w:szCs w:val="18"/>
          <w:lang w:eastAsia="zh-CN"/>
        </w:rPr>
        <w:t xml:space="preserve"> https://www.fda.gov/regulatorv-information/search-fda-guidance-documents/safetv-and-performance-</w:t>
      </w:r>
      <w:r>
        <w:rPr>
          <w:rStyle w:val="7"/>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"https://www.fda.gov/regulatory-information/search-fda-guidance-documents/safety-and-performance-based-pathway" </w:instrText>
      </w:r>
      <w:r>
        <w:fldChar w:fldCharType="separate"/>
      </w:r>
      <w:r>
        <w:rPr>
          <w:rStyle w:val="7"/>
          <w:color w:val="0000FF"/>
          <w:sz w:val="18"/>
          <w:szCs w:val="18"/>
          <w:lang w:eastAsia="zh-CN"/>
        </w:rPr>
        <w:t>based-pathway</w:t>
      </w:r>
      <w:r>
        <w:rPr>
          <w:rStyle w:val="7"/>
          <w:color w:val="0000FF"/>
          <w:sz w:val="18"/>
          <w:szCs w:val="18"/>
          <w:lang w:eastAsia="zh-CN"/>
        </w:rPr>
        <w:fldChar w:fldCharType="end"/>
      </w:r>
    </w:p>
    <w:p w14:paraId="6034F02C">
      <w:pPr>
        <w:tabs>
          <w:tab w:val="left" w:pos="115"/>
        </w:tabs>
        <w:snapToGrid w:val="0"/>
        <w:spacing w:before="120" w:beforeLines="50"/>
        <w:rPr>
          <w:color w:val="0000FF"/>
          <w:sz w:val="18"/>
          <w:szCs w:val="18"/>
        </w:rPr>
      </w:pPr>
      <w:bookmarkStart w:id="14" w:name="bookmark14"/>
      <w:r>
        <w:rPr>
          <w:sz w:val="18"/>
          <w:szCs w:val="18"/>
          <w:vertAlign w:val="superscript"/>
          <w:lang w:eastAsia="zh-CN"/>
        </w:rPr>
        <w:t>6</w:t>
      </w:r>
      <w:r>
        <w:rPr>
          <w:sz w:val="18"/>
          <w:szCs w:val="18"/>
          <w:lang w:eastAsia="zh-CN"/>
        </w:rPr>
        <w:tab/>
      </w:r>
      <w:r>
        <w:rPr>
          <w:sz w:val="18"/>
          <w:szCs w:val="18"/>
          <w:lang w:eastAsia="zh-CN"/>
        </w:rPr>
        <w:t>请访问</w:t>
      </w:r>
      <w:r>
        <w:fldChar w:fldCharType="begin"/>
      </w:r>
      <w:r>
        <w:instrText xml:space="preserve"> HYPERLINK "https://www.fda.gov/regulatory-information/search-fda-guidance-documents/recommended-content-and-format-non-clinical-bench-performance-testing-information-premarket" </w:instrText>
      </w:r>
      <w:r>
        <w:fldChar w:fldCharType="separate"/>
      </w:r>
      <w:r>
        <w:rPr>
          <w:rStyle w:val="7"/>
          <w:color w:val="0000FF"/>
          <w:sz w:val="18"/>
          <w:szCs w:val="18"/>
          <w:lang w:eastAsia="zh-CN"/>
        </w:rPr>
        <w:t xml:space="preserve"> https://www.fda.gov/regulatorv-information/search-fda-guidance-documents/recommended-content-</w:t>
      </w:r>
      <w:r>
        <w:rPr>
          <w:rStyle w:val="7"/>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"https://www.fda.gov/regulatory-information/search-fda-guidance-documents/recommended-content-and-format-non-clinical-bench-performance-testing-information-premarket" </w:instrText>
      </w:r>
      <w:r>
        <w:fldChar w:fldCharType="separate"/>
      </w:r>
      <w:r>
        <w:rPr>
          <w:rStyle w:val="7"/>
          <w:color w:val="0000FF"/>
          <w:sz w:val="18"/>
          <w:szCs w:val="18"/>
          <w:lang w:eastAsia="zh-CN"/>
        </w:rPr>
        <w:t>and-format-non-clinical-bench-performance-testing-information-premarket</w:t>
      </w:r>
      <w:bookmarkEnd w:id="14"/>
      <w:r>
        <w:rPr>
          <w:rStyle w:val="7"/>
          <w:color w:val="0000FF"/>
          <w:sz w:val="18"/>
          <w:szCs w:val="18"/>
          <w:lang w:eastAsia="zh-CN"/>
        </w:rPr>
        <w:fldChar w:fldCharType="end"/>
      </w:r>
    </w:p>
    <w:p w14:paraId="69EEAE56">
      <w:pPr>
        <w:tabs>
          <w:tab w:val="left" w:pos="115"/>
        </w:tabs>
        <w:snapToGrid w:val="0"/>
        <w:spacing w:before="120" w:beforeLines="50"/>
        <w:jc w:val="both"/>
      </w:pPr>
      <w:r>
        <w:rPr>
          <w:lang w:eastAsia="zh-CN"/>
        </w:rPr>
        <w:br w:type="page"/>
      </w:r>
    </w:p>
    <w:p w14:paraId="04A2F7BB">
      <w:pPr>
        <w:snapToGrid w:val="0"/>
        <w:spacing w:before="120" w:beforeLines="50"/>
        <w:ind w:left="567" w:leftChars="270"/>
        <w:jc w:val="both"/>
        <w:rPr>
          <w:sz w:val="24"/>
          <w:szCs w:val="24"/>
          <w:lang w:eastAsia="zh-CN"/>
        </w:rPr>
      </w:pPr>
      <w:r>
        <w:rPr>
          <w:b/>
          <w:bCs/>
          <w:sz w:val="24"/>
          <w:szCs w:val="24"/>
          <w:lang w:eastAsia="zh-CN"/>
        </w:rPr>
        <w:t>性能标准：</w:t>
      </w:r>
      <w:r>
        <w:rPr>
          <w:sz w:val="24"/>
          <w:szCs w:val="24"/>
          <w:lang w:eastAsia="zh-CN"/>
        </w:rPr>
        <w:t xml:space="preserve">最大150 µV </w:t>
      </w:r>
    </w:p>
    <w:p w14:paraId="7B067647">
      <w:pPr>
        <w:snapToGrid w:val="0"/>
        <w:spacing w:before="120" w:beforeLines="50"/>
        <w:ind w:left="567" w:leftChars="270"/>
        <w:jc w:val="both"/>
        <w:rPr>
          <w:i/>
          <w:sz w:val="24"/>
          <w:szCs w:val="24"/>
          <w:lang w:eastAsia="zh-CN"/>
        </w:rPr>
      </w:pPr>
      <w:r>
        <w:rPr>
          <w:b/>
          <w:bCs/>
          <w:sz w:val="24"/>
          <w:szCs w:val="24"/>
          <w:lang w:eastAsia="zh-CN"/>
        </w:rPr>
        <w:t>性能标准来源：</w:t>
      </w:r>
      <w:r>
        <w:rPr>
          <w:sz w:val="24"/>
          <w:szCs w:val="24"/>
          <w:lang w:eastAsia="zh-CN"/>
        </w:rPr>
        <w:t>ANSI/AAMI EC12：2000/(R)2015</w:t>
      </w:r>
      <w:r>
        <w:rPr>
          <w:i/>
          <w:sz w:val="24"/>
          <w:szCs w:val="24"/>
          <w:lang w:eastAsia="zh-CN"/>
        </w:rPr>
        <w:t>一次性使用心电电极</w:t>
      </w:r>
    </w:p>
    <w:p w14:paraId="41F48E95">
      <w:pPr>
        <w:snapToGrid w:val="0"/>
        <w:spacing w:before="120" w:beforeLines="50"/>
        <w:ind w:left="567" w:leftChars="270"/>
        <w:jc w:val="both"/>
        <w:rPr>
          <w:sz w:val="24"/>
          <w:szCs w:val="24"/>
          <w:lang w:eastAsia="zh-CN"/>
        </w:rPr>
      </w:pPr>
      <w:r>
        <w:rPr>
          <w:b/>
          <w:bCs/>
          <w:sz w:val="24"/>
          <w:szCs w:val="24"/>
          <w:lang w:eastAsia="zh-CN"/>
        </w:rPr>
        <w:t>申报信息：</w:t>
      </w:r>
      <w:r>
        <w:rPr>
          <w:sz w:val="24"/>
          <w:szCs w:val="24"/>
          <w:lang w:eastAsia="zh-CN"/>
        </w:rPr>
        <w:t>DoC</w:t>
      </w:r>
    </w:p>
    <w:p w14:paraId="5E0ECFA8">
      <w:pPr>
        <w:pStyle w:val="16"/>
        <w:spacing w:before="120"/>
        <w:ind w:left="650" w:hanging="648"/>
        <w:rPr>
          <w:sz w:val="24"/>
          <w:szCs w:val="24"/>
          <w:lang w:eastAsia="zh-CN"/>
        </w:rPr>
      </w:pPr>
      <w:r>
        <w:rPr>
          <w:b/>
          <w:bCs/>
          <w:sz w:val="24"/>
          <w:szCs w:val="24"/>
          <w:lang w:eastAsia="zh-CN"/>
        </w:rPr>
        <w:t>4.</w:t>
      </w:r>
      <w:r>
        <w:rPr>
          <w:b/>
          <w:bCs/>
          <w:sz w:val="24"/>
          <w:szCs w:val="24"/>
          <w:lang w:eastAsia="zh-CN"/>
        </w:rPr>
        <w:tab/>
      </w:r>
      <w:r>
        <w:rPr>
          <w:b/>
          <w:bCs/>
          <w:sz w:val="24"/>
          <w:szCs w:val="24"/>
          <w:lang w:eastAsia="zh-CN"/>
        </w:rPr>
        <w:t>测试名称：</w:t>
      </w:r>
      <w:r>
        <w:rPr>
          <w:sz w:val="24"/>
          <w:szCs w:val="24"/>
          <w:lang w:eastAsia="zh-CN"/>
        </w:rPr>
        <w:t xml:space="preserve">偏置电流公差（直流电压偏移）（电气性能） </w:t>
      </w:r>
    </w:p>
    <w:p w14:paraId="79413E96">
      <w:pPr>
        <w:tabs>
          <w:tab w:val="left" w:pos="721"/>
        </w:tabs>
        <w:snapToGrid w:val="0"/>
        <w:spacing w:before="120" w:beforeLines="50"/>
        <w:ind w:left="567" w:leftChars="270"/>
        <w:jc w:val="both"/>
        <w:rPr>
          <w:i/>
          <w:iCs/>
          <w:sz w:val="24"/>
          <w:szCs w:val="24"/>
        </w:rPr>
      </w:pPr>
      <w:r>
        <w:rPr>
          <w:b/>
          <w:bCs/>
          <w:sz w:val="24"/>
          <w:szCs w:val="24"/>
          <w:lang w:eastAsia="zh-CN"/>
        </w:rPr>
        <w:t>方法：</w:t>
      </w:r>
      <w:r>
        <w:rPr>
          <w:sz w:val="24"/>
          <w:szCs w:val="24"/>
          <w:lang w:eastAsia="zh-CN"/>
        </w:rPr>
        <w:t>ANSI/AAMI EC12</w:t>
      </w:r>
      <w:r>
        <w:rPr>
          <w:i/>
          <w:sz w:val="24"/>
          <w:szCs w:val="24"/>
          <w:lang w:eastAsia="zh-CN"/>
        </w:rPr>
        <w:t>一次性使用心电电极</w:t>
      </w:r>
      <w:r>
        <w:rPr>
          <w:i/>
          <w:iCs/>
          <w:sz w:val="24"/>
          <w:szCs w:val="24"/>
          <w:lang w:eastAsia="zh-CN"/>
        </w:rPr>
        <w:t xml:space="preserve"> </w:t>
      </w:r>
    </w:p>
    <w:p w14:paraId="570B0989">
      <w:pPr>
        <w:tabs>
          <w:tab w:val="left" w:pos="721"/>
        </w:tabs>
        <w:snapToGrid w:val="0"/>
        <w:spacing w:before="120" w:beforeLines="50"/>
        <w:ind w:left="567" w:leftChars="270"/>
        <w:jc w:val="both"/>
        <w:rPr>
          <w:sz w:val="24"/>
          <w:szCs w:val="24"/>
        </w:rPr>
      </w:pPr>
      <w:r>
        <w:rPr>
          <w:b/>
          <w:bCs/>
          <w:sz w:val="24"/>
          <w:szCs w:val="24"/>
          <w:lang w:eastAsia="zh-CN"/>
        </w:rPr>
        <w:t>性能标准：</w:t>
      </w:r>
      <w:r>
        <w:rPr>
          <w:sz w:val="24"/>
          <w:szCs w:val="24"/>
          <w:lang w:eastAsia="zh-CN"/>
        </w:rPr>
        <w:t xml:space="preserve">最大100 mV </w:t>
      </w:r>
    </w:p>
    <w:p w14:paraId="5D79AF26">
      <w:pPr>
        <w:tabs>
          <w:tab w:val="left" w:pos="721"/>
        </w:tabs>
        <w:snapToGrid w:val="0"/>
        <w:spacing w:before="120" w:beforeLines="50"/>
        <w:ind w:left="567" w:leftChars="270"/>
        <w:jc w:val="both"/>
        <w:rPr>
          <w:sz w:val="24"/>
          <w:szCs w:val="24"/>
        </w:rPr>
      </w:pPr>
      <w:r>
        <w:rPr>
          <w:b/>
          <w:bCs/>
          <w:sz w:val="24"/>
          <w:szCs w:val="24"/>
          <w:lang w:eastAsia="zh-CN"/>
        </w:rPr>
        <w:t>性能标准来源：</w:t>
      </w:r>
      <w:r>
        <w:rPr>
          <w:sz w:val="24"/>
          <w:szCs w:val="24"/>
          <w:lang w:eastAsia="zh-CN"/>
        </w:rPr>
        <w:t>ANSI/AAMI EC12：2000/(R)2015</w:t>
      </w:r>
      <w:r>
        <w:rPr>
          <w:i/>
          <w:sz w:val="24"/>
          <w:szCs w:val="24"/>
          <w:lang w:eastAsia="zh-CN"/>
        </w:rPr>
        <w:t>一次性使用心电电极</w:t>
      </w:r>
    </w:p>
    <w:p w14:paraId="2041319A">
      <w:pPr>
        <w:snapToGrid w:val="0"/>
        <w:spacing w:before="120" w:beforeLines="50"/>
        <w:ind w:left="567" w:leftChars="270"/>
        <w:jc w:val="both"/>
        <w:rPr>
          <w:sz w:val="24"/>
          <w:szCs w:val="24"/>
          <w:lang w:eastAsia="zh-CN"/>
        </w:rPr>
      </w:pPr>
      <w:r>
        <w:rPr>
          <w:b/>
          <w:bCs/>
          <w:sz w:val="24"/>
          <w:szCs w:val="24"/>
          <w:lang w:eastAsia="zh-CN"/>
        </w:rPr>
        <w:t>申报信息：</w:t>
      </w:r>
      <w:r>
        <w:rPr>
          <w:sz w:val="24"/>
          <w:szCs w:val="24"/>
          <w:lang w:eastAsia="zh-CN"/>
        </w:rPr>
        <w:t>DoC</w:t>
      </w:r>
    </w:p>
    <w:p w14:paraId="0018B0E6">
      <w:pPr>
        <w:snapToGrid w:val="0"/>
        <w:spacing w:before="120" w:beforeLines="50"/>
        <w:ind w:left="567" w:leftChars="270"/>
        <w:jc w:val="both"/>
        <w:rPr>
          <w:sz w:val="24"/>
          <w:szCs w:val="24"/>
          <w:lang w:eastAsia="zh-CN"/>
        </w:rPr>
      </w:pPr>
    </w:p>
    <w:p w14:paraId="4E4713C3">
      <w:pPr>
        <w:pStyle w:val="16"/>
        <w:spacing w:before="120"/>
        <w:ind w:left="650" w:hanging="648"/>
        <w:rPr>
          <w:sz w:val="24"/>
          <w:szCs w:val="24"/>
          <w:lang w:eastAsia="zh-CN"/>
        </w:rPr>
      </w:pPr>
      <w:r>
        <w:rPr>
          <w:b/>
          <w:bCs/>
          <w:sz w:val="24"/>
          <w:szCs w:val="24"/>
          <w:lang w:eastAsia="zh-CN"/>
        </w:rPr>
        <w:t>5.</w:t>
      </w:r>
      <w:r>
        <w:rPr>
          <w:b/>
          <w:bCs/>
          <w:sz w:val="24"/>
          <w:szCs w:val="24"/>
          <w:lang w:eastAsia="zh-CN"/>
        </w:rPr>
        <w:tab/>
      </w:r>
      <w:r>
        <w:rPr>
          <w:b/>
          <w:bCs/>
          <w:sz w:val="24"/>
          <w:szCs w:val="24"/>
          <w:lang w:eastAsia="zh-CN"/>
        </w:rPr>
        <w:t>测试名称：</w:t>
      </w:r>
      <w:r>
        <w:rPr>
          <w:sz w:val="24"/>
          <w:szCs w:val="24"/>
          <w:lang w:eastAsia="zh-CN"/>
        </w:rPr>
        <w:t>粘合剂性能</w:t>
      </w:r>
    </w:p>
    <w:p w14:paraId="17CE0020">
      <w:pPr>
        <w:snapToGrid w:val="0"/>
        <w:spacing w:before="120" w:beforeLines="50"/>
        <w:ind w:left="567" w:leftChars="270"/>
        <w:jc w:val="both"/>
        <w:rPr>
          <w:sz w:val="24"/>
          <w:szCs w:val="24"/>
          <w:lang w:eastAsia="zh-CN"/>
        </w:rPr>
      </w:pPr>
      <w:r>
        <w:rPr>
          <w:b/>
          <w:bCs/>
          <w:sz w:val="24"/>
          <w:szCs w:val="24"/>
          <w:lang w:eastAsia="zh-CN"/>
        </w:rPr>
        <w:t>方法：</w:t>
      </w:r>
      <w:r>
        <w:rPr>
          <w:sz w:val="24"/>
          <w:szCs w:val="24"/>
          <w:lang w:eastAsia="zh-CN"/>
        </w:rPr>
        <w:t>FDA当前</w:t>
      </w:r>
      <w:r>
        <w:rPr>
          <w:rFonts w:hint="eastAsia"/>
          <w:sz w:val="24"/>
          <w:szCs w:val="24"/>
          <w:lang w:eastAsia="zh-CN"/>
        </w:rPr>
        <w:t>认可</w:t>
      </w:r>
      <w:r>
        <w:rPr>
          <w:sz w:val="24"/>
          <w:szCs w:val="24"/>
          <w:lang w:eastAsia="zh-CN"/>
        </w:rPr>
        <w:t>的国际电工委员会（IEC）60601-2-2</w:t>
      </w:r>
      <w:r>
        <w:rPr>
          <w:i/>
          <w:sz w:val="24"/>
          <w:szCs w:val="24"/>
          <w:lang w:eastAsia="zh-CN"/>
        </w:rPr>
        <w:t>医用电气设备</w:t>
      </w:r>
      <w:r>
        <w:rPr>
          <w:i/>
          <w:iCs/>
          <w:sz w:val="24"/>
          <w:szCs w:val="24"/>
          <w:lang w:eastAsia="zh-CN"/>
        </w:rPr>
        <w:t xml:space="preserve"> - 第2-2部分：高频手术设备及高频附件的基本安全和基本性能专用要求：</w:t>
      </w:r>
      <w:r>
        <w:rPr>
          <w:sz w:val="24"/>
          <w:szCs w:val="24"/>
          <w:lang w:eastAsia="zh-CN"/>
        </w:rPr>
        <w:t>（a）拉伸试验、（b）合规试验、（c）液体公差试验</w:t>
      </w:r>
    </w:p>
    <w:p w14:paraId="54E79C66">
      <w:pPr>
        <w:snapToGrid w:val="0"/>
        <w:spacing w:before="120" w:beforeLines="50"/>
        <w:ind w:left="567" w:leftChars="270"/>
        <w:jc w:val="both"/>
        <w:rPr>
          <w:sz w:val="24"/>
          <w:szCs w:val="24"/>
          <w:lang w:eastAsia="zh-CN"/>
        </w:rPr>
      </w:pPr>
      <w:r>
        <w:rPr>
          <w:b/>
          <w:bCs/>
          <w:sz w:val="24"/>
          <w:szCs w:val="24"/>
          <w:lang w:eastAsia="zh-CN"/>
        </w:rPr>
        <w:t>性能标准：</w:t>
      </w:r>
      <w:r>
        <w:rPr>
          <w:sz w:val="24"/>
          <w:szCs w:val="24"/>
          <w:lang w:eastAsia="zh-CN"/>
        </w:rPr>
        <w:t>（a）在至少90%的试验中，电极粘合剂区域与皮肤表面分离不得过5%。（b）在施用1小时后，电极粘合剂区域与皮肤表面分离不得过10%。（c）在倒入生理盐水后15分钟内，电极粘合剂区域与皮肤表面分离不得过10%。</w:t>
      </w:r>
    </w:p>
    <w:p w14:paraId="5467C78D">
      <w:pPr>
        <w:snapToGrid w:val="0"/>
        <w:spacing w:before="120" w:beforeLines="50"/>
        <w:ind w:left="567" w:leftChars="270"/>
        <w:jc w:val="both"/>
        <w:rPr>
          <w:sz w:val="24"/>
          <w:szCs w:val="24"/>
          <w:lang w:eastAsia="zh-CN"/>
        </w:rPr>
      </w:pPr>
      <w:r>
        <w:rPr>
          <w:b/>
          <w:bCs/>
          <w:sz w:val="24"/>
          <w:szCs w:val="24"/>
          <w:lang w:eastAsia="zh-CN"/>
        </w:rPr>
        <w:t>性能标准来源：</w:t>
      </w:r>
      <w:r>
        <w:rPr>
          <w:sz w:val="24"/>
          <w:szCs w:val="24"/>
          <w:lang w:eastAsia="zh-CN"/>
        </w:rPr>
        <w:t>IEC 60601-2-2（2016）（a）拉伸试验、（b）合规试验、（c）液体公差试验</w:t>
      </w:r>
    </w:p>
    <w:p w14:paraId="2C5F458A">
      <w:pPr>
        <w:snapToGrid w:val="0"/>
        <w:spacing w:before="120" w:beforeLines="50"/>
        <w:ind w:left="567" w:leftChars="270"/>
        <w:jc w:val="both"/>
        <w:rPr>
          <w:sz w:val="24"/>
          <w:szCs w:val="24"/>
          <w:lang w:eastAsia="zh-CN"/>
        </w:rPr>
      </w:pPr>
      <w:r>
        <w:rPr>
          <w:b/>
          <w:bCs/>
          <w:sz w:val="24"/>
          <w:szCs w:val="24"/>
          <w:lang w:eastAsia="zh-CN"/>
        </w:rPr>
        <w:t>申报信息：</w:t>
      </w:r>
      <w:r>
        <w:rPr>
          <w:sz w:val="24"/>
          <w:szCs w:val="24"/>
          <w:lang w:eastAsia="zh-CN"/>
        </w:rPr>
        <w:t>DoC</w:t>
      </w:r>
    </w:p>
    <w:p w14:paraId="5DFB8663">
      <w:pPr>
        <w:snapToGrid w:val="0"/>
        <w:spacing w:before="120" w:beforeLines="50"/>
        <w:ind w:left="567" w:leftChars="270"/>
        <w:jc w:val="both"/>
        <w:rPr>
          <w:sz w:val="24"/>
          <w:szCs w:val="24"/>
          <w:lang w:eastAsia="zh-CN"/>
        </w:rPr>
      </w:pPr>
    </w:p>
    <w:p w14:paraId="155F7A34">
      <w:pPr>
        <w:pStyle w:val="16"/>
        <w:spacing w:before="120"/>
        <w:ind w:left="650" w:hanging="648"/>
        <w:rPr>
          <w:sz w:val="24"/>
          <w:szCs w:val="24"/>
          <w:lang w:eastAsia="zh-CN"/>
        </w:rPr>
      </w:pPr>
      <w:r>
        <w:rPr>
          <w:b/>
          <w:bCs/>
          <w:sz w:val="24"/>
          <w:szCs w:val="24"/>
          <w:lang w:eastAsia="zh-CN"/>
        </w:rPr>
        <w:t>6.</w:t>
      </w:r>
      <w:r>
        <w:rPr>
          <w:b/>
          <w:bCs/>
          <w:sz w:val="24"/>
          <w:szCs w:val="24"/>
          <w:lang w:eastAsia="zh-CN"/>
        </w:rPr>
        <w:tab/>
      </w:r>
      <w:r>
        <w:rPr>
          <w:b/>
          <w:bCs/>
          <w:sz w:val="24"/>
          <w:szCs w:val="24"/>
          <w:lang w:eastAsia="zh-CN"/>
        </w:rPr>
        <w:t>测试名称：</w:t>
      </w:r>
      <w:r>
        <w:rPr>
          <w:sz w:val="24"/>
          <w:szCs w:val="24"/>
          <w:lang w:eastAsia="zh-CN"/>
        </w:rPr>
        <w:t>货架有效期</w:t>
      </w:r>
    </w:p>
    <w:p w14:paraId="0ADFE87F">
      <w:pPr>
        <w:snapToGrid w:val="0"/>
        <w:spacing w:before="120" w:beforeLines="50"/>
        <w:ind w:left="567" w:leftChars="270"/>
        <w:jc w:val="both"/>
        <w:rPr>
          <w:sz w:val="24"/>
          <w:szCs w:val="24"/>
          <w:lang w:eastAsia="zh-CN"/>
        </w:rPr>
      </w:pPr>
      <w:r>
        <w:rPr>
          <w:b/>
          <w:bCs/>
          <w:sz w:val="24"/>
          <w:szCs w:val="24"/>
          <w:lang w:eastAsia="zh-CN"/>
        </w:rPr>
        <w:t>方法：</w:t>
      </w:r>
      <w:r>
        <w:rPr>
          <w:sz w:val="24"/>
          <w:szCs w:val="24"/>
          <w:lang w:eastAsia="zh-CN"/>
        </w:rPr>
        <w:t>进行本指南文件（上文）的电极表征试验1-5，将器械样本实时或加速老化至标示的失效日期的30天内。</w:t>
      </w:r>
    </w:p>
    <w:p w14:paraId="4AE70E2D">
      <w:pPr>
        <w:snapToGrid w:val="0"/>
        <w:spacing w:before="120" w:beforeLines="50"/>
        <w:ind w:left="567" w:leftChars="270"/>
        <w:jc w:val="both"/>
        <w:rPr>
          <w:sz w:val="24"/>
          <w:szCs w:val="24"/>
          <w:lang w:eastAsia="zh-CN"/>
        </w:rPr>
      </w:pPr>
      <w:r>
        <w:rPr>
          <w:b/>
          <w:bCs/>
          <w:sz w:val="24"/>
          <w:szCs w:val="24"/>
          <w:lang w:eastAsia="zh-CN"/>
        </w:rPr>
        <w:t>性能标准：</w:t>
      </w:r>
      <w:r>
        <w:rPr>
          <w:sz w:val="24"/>
          <w:szCs w:val="24"/>
          <w:lang w:eastAsia="zh-CN"/>
        </w:rPr>
        <w:t>本指南文件试验1-5确定的电极表征性能标准（上文）</w:t>
      </w:r>
    </w:p>
    <w:p w14:paraId="1D17BD79">
      <w:pPr>
        <w:snapToGrid w:val="0"/>
        <w:spacing w:before="120" w:beforeLines="50"/>
        <w:ind w:left="567" w:leftChars="270"/>
        <w:jc w:val="both"/>
        <w:rPr>
          <w:i/>
          <w:iCs/>
          <w:sz w:val="24"/>
          <w:szCs w:val="24"/>
        </w:rPr>
      </w:pPr>
      <w:r>
        <w:rPr>
          <w:b/>
          <w:bCs/>
          <w:sz w:val="24"/>
          <w:szCs w:val="24"/>
          <w:lang w:eastAsia="zh-CN"/>
        </w:rPr>
        <w:t>性能标准来源：</w:t>
      </w:r>
      <w:r>
        <w:rPr>
          <w:sz w:val="24"/>
          <w:szCs w:val="24"/>
          <w:lang w:eastAsia="zh-CN"/>
        </w:rPr>
        <w:t>IEC 60601-2-2（2016）和ANSI/AAMI EC12：2000/(R)2015</w:t>
      </w:r>
      <w:r>
        <w:rPr>
          <w:i/>
          <w:sz w:val="24"/>
          <w:szCs w:val="24"/>
          <w:lang w:eastAsia="zh-CN"/>
        </w:rPr>
        <w:t>一次性使用心电电极</w:t>
      </w:r>
      <w:r>
        <w:rPr>
          <w:i/>
          <w:iCs/>
          <w:sz w:val="24"/>
          <w:szCs w:val="24"/>
          <w:lang w:eastAsia="zh-CN"/>
        </w:rPr>
        <w:t xml:space="preserve"> </w:t>
      </w:r>
    </w:p>
    <w:p w14:paraId="32CC9EBA">
      <w:pPr>
        <w:snapToGrid w:val="0"/>
        <w:spacing w:before="120" w:beforeLines="50"/>
        <w:ind w:left="567" w:leftChars="270"/>
        <w:jc w:val="both"/>
        <w:rPr>
          <w:sz w:val="24"/>
          <w:szCs w:val="24"/>
          <w:lang w:eastAsia="zh-CN"/>
        </w:rPr>
      </w:pPr>
      <w:r>
        <w:rPr>
          <w:b/>
          <w:bCs/>
          <w:sz w:val="24"/>
          <w:szCs w:val="24"/>
          <w:lang w:eastAsia="zh-CN"/>
        </w:rPr>
        <w:t>申报信息：</w:t>
      </w:r>
      <w:r>
        <w:rPr>
          <w:sz w:val="24"/>
          <w:szCs w:val="24"/>
          <w:lang w:eastAsia="zh-CN"/>
        </w:rPr>
        <w:t>DoC</w:t>
      </w:r>
    </w:p>
    <w:p w14:paraId="6EF22241">
      <w:pPr>
        <w:snapToGrid w:val="0"/>
        <w:spacing w:before="120" w:beforeLines="50"/>
        <w:jc w:val="both"/>
        <w:rPr>
          <w:sz w:val="24"/>
          <w:szCs w:val="24"/>
          <w:lang w:eastAsia="zh-CN"/>
        </w:rPr>
      </w:pPr>
      <w:r>
        <w:rPr>
          <w:sz w:val="24"/>
          <w:szCs w:val="24"/>
          <w:lang w:eastAsia="zh-CN"/>
        </w:rPr>
        <w:t>如果包含电极导线：</w:t>
      </w:r>
    </w:p>
    <w:p w14:paraId="5A190BE7">
      <w:pPr>
        <w:pStyle w:val="16"/>
        <w:spacing w:before="120"/>
        <w:ind w:left="650" w:hanging="648"/>
        <w:rPr>
          <w:sz w:val="24"/>
          <w:szCs w:val="24"/>
          <w:lang w:eastAsia="zh-CN"/>
        </w:rPr>
      </w:pPr>
      <w:r>
        <w:rPr>
          <w:b/>
          <w:bCs/>
          <w:sz w:val="24"/>
          <w:szCs w:val="24"/>
          <w:lang w:eastAsia="zh-CN"/>
        </w:rPr>
        <w:t>7.</w:t>
      </w:r>
      <w:r>
        <w:rPr>
          <w:b/>
          <w:bCs/>
          <w:sz w:val="24"/>
          <w:szCs w:val="24"/>
          <w:lang w:eastAsia="zh-CN"/>
        </w:rPr>
        <w:tab/>
      </w:r>
      <w:r>
        <w:rPr>
          <w:b/>
          <w:bCs/>
          <w:sz w:val="24"/>
          <w:szCs w:val="24"/>
          <w:lang w:eastAsia="zh-CN"/>
        </w:rPr>
        <w:t>测试名称：</w:t>
      </w:r>
      <w:r>
        <w:rPr>
          <w:sz w:val="24"/>
          <w:szCs w:val="24"/>
          <w:lang w:eastAsia="zh-CN"/>
        </w:rPr>
        <w:t>导电连接合规（患者电极导线或患者电缆）</w:t>
      </w:r>
    </w:p>
    <w:p w14:paraId="0DEA732A">
      <w:pPr>
        <w:tabs>
          <w:tab w:val="left" w:pos="567"/>
        </w:tabs>
        <w:snapToGrid w:val="0"/>
        <w:spacing w:before="120" w:beforeLines="50"/>
        <w:ind w:left="567" w:leftChars="270"/>
        <w:jc w:val="both"/>
        <w:rPr>
          <w:sz w:val="24"/>
          <w:szCs w:val="24"/>
          <w:lang w:eastAsia="zh-CN"/>
        </w:rPr>
      </w:pPr>
      <w:r>
        <w:rPr>
          <w:b/>
          <w:bCs/>
          <w:sz w:val="24"/>
          <w:szCs w:val="24"/>
          <w:lang w:eastAsia="zh-CN"/>
        </w:rPr>
        <w:t>方法：</w:t>
      </w:r>
      <w:r>
        <w:rPr>
          <w:sz w:val="24"/>
          <w:szCs w:val="24"/>
          <w:lang w:eastAsia="zh-CN"/>
        </w:rPr>
        <w:t>FDA当前</w:t>
      </w:r>
      <w:r>
        <w:rPr>
          <w:rFonts w:hint="eastAsia"/>
          <w:sz w:val="24"/>
          <w:szCs w:val="24"/>
          <w:lang w:eastAsia="zh-CN"/>
        </w:rPr>
        <w:t>认可</w:t>
      </w:r>
      <w:r>
        <w:rPr>
          <w:sz w:val="24"/>
          <w:szCs w:val="24"/>
          <w:lang w:eastAsia="zh-CN"/>
        </w:rPr>
        <w:t>的ES 60601-1：</w:t>
      </w:r>
      <w:r>
        <w:rPr>
          <w:i/>
          <w:iCs/>
          <w:sz w:val="24"/>
          <w:szCs w:val="24"/>
          <w:lang w:eastAsia="zh-CN"/>
        </w:rPr>
        <w:t>医用电气设备 - 第1部分：基本安全和基本性能的通用要求</w:t>
      </w:r>
    </w:p>
    <w:p w14:paraId="7650C85A">
      <w:pPr>
        <w:tabs>
          <w:tab w:val="left" w:pos="567"/>
        </w:tabs>
        <w:snapToGrid w:val="0"/>
        <w:spacing w:before="120" w:beforeLines="50"/>
        <w:ind w:left="567" w:leftChars="270"/>
        <w:jc w:val="both"/>
        <w:rPr>
          <w:sz w:val="24"/>
          <w:szCs w:val="24"/>
          <w:lang w:eastAsia="zh-CN"/>
        </w:rPr>
      </w:pPr>
      <w:r>
        <w:rPr>
          <w:b/>
          <w:bCs/>
          <w:sz w:val="24"/>
          <w:szCs w:val="24"/>
          <w:lang w:eastAsia="zh-CN"/>
        </w:rPr>
        <w:t>性能标准：</w:t>
      </w:r>
      <w:r>
        <w:rPr>
          <w:sz w:val="24"/>
          <w:szCs w:val="24"/>
          <w:lang w:eastAsia="zh-CN"/>
        </w:rPr>
        <w:t>符合ES 60601-1共识标准</w:t>
      </w:r>
    </w:p>
    <w:p w14:paraId="14232A72">
      <w:pPr>
        <w:tabs>
          <w:tab w:val="left" w:pos="567"/>
        </w:tabs>
        <w:snapToGrid w:val="0"/>
        <w:spacing w:before="120" w:beforeLines="50"/>
        <w:ind w:left="567" w:leftChars="270"/>
        <w:jc w:val="both"/>
        <w:rPr>
          <w:sz w:val="24"/>
          <w:szCs w:val="24"/>
          <w:lang w:eastAsia="zh-CN"/>
        </w:rPr>
      </w:pPr>
      <w:r>
        <w:rPr>
          <w:b/>
          <w:bCs/>
          <w:sz w:val="24"/>
          <w:szCs w:val="24"/>
          <w:lang w:eastAsia="zh-CN"/>
        </w:rPr>
        <w:t>性能标准来源：</w:t>
      </w:r>
      <w:r>
        <w:rPr>
          <w:sz w:val="24"/>
          <w:szCs w:val="24"/>
          <w:lang w:eastAsia="zh-CN"/>
        </w:rPr>
        <w:t>ES 60601-1</w:t>
      </w:r>
    </w:p>
    <w:p w14:paraId="242013BC">
      <w:pPr>
        <w:snapToGrid w:val="0"/>
        <w:spacing w:before="120" w:beforeLines="50"/>
        <w:jc w:val="both"/>
        <w:rPr>
          <w:lang w:eastAsia="zh-CN"/>
        </w:rPr>
      </w:pPr>
      <w:r>
        <w:rPr>
          <w:lang w:eastAsia="zh-CN"/>
        </w:rPr>
        <w:br w:type="page"/>
      </w:r>
    </w:p>
    <w:p w14:paraId="7DA1CF3C">
      <w:pPr>
        <w:snapToGrid w:val="0"/>
        <w:spacing w:before="120" w:beforeLines="50"/>
        <w:ind w:left="567" w:leftChars="270"/>
        <w:jc w:val="both"/>
        <w:rPr>
          <w:sz w:val="24"/>
          <w:szCs w:val="24"/>
          <w:vertAlign w:val="superscript"/>
          <w:lang w:eastAsia="zh-CN"/>
        </w:rPr>
      </w:pPr>
      <w:r>
        <w:rPr>
          <w:b/>
          <w:bCs/>
          <w:sz w:val="24"/>
          <w:szCs w:val="24"/>
          <w:lang w:eastAsia="zh-CN"/>
        </w:rPr>
        <w:t>需求：</w:t>
      </w:r>
      <w:r>
        <w:rPr>
          <w:sz w:val="24"/>
          <w:szCs w:val="24"/>
          <w:lang w:eastAsia="zh-CN"/>
        </w:rPr>
        <w:t>与患者存在导电连接的经皮电极导线或其他电缆必须符合《美国联邦法规》第21篇第898.12部分中的性能标准，其中规定，电缆或电极导线中与患者存在导电连接的任何连接器构造方式均应符合以下标准的分条款56.3（c）：国际电工委员会（IEC）601-1：</w:t>
      </w:r>
      <w:r>
        <w:rPr>
          <w:i/>
          <w:sz w:val="24"/>
          <w:szCs w:val="24"/>
          <w:lang w:eastAsia="zh-CN"/>
        </w:rPr>
        <w:t>医用电气设备 - 第1部分：安全性通用要求</w:t>
      </w:r>
      <w:r>
        <w:rPr>
          <w:sz w:val="24"/>
          <w:szCs w:val="24"/>
          <w:lang w:eastAsia="zh-CN"/>
        </w:rPr>
        <w:t>（1988，修正案1，1991；修正案2，1995）。然而，FDA认为，符合FDA当前</w:t>
      </w:r>
      <w:r>
        <w:rPr>
          <w:rFonts w:hint="eastAsia"/>
          <w:sz w:val="24"/>
          <w:szCs w:val="24"/>
          <w:lang w:eastAsia="zh-CN"/>
        </w:rPr>
        <w:t>认可</w:t>
      </w:r>
      <w:r>
        <w:rPr>
          <w:sz w:val="24"/>
          <w:szCs w:val="24"/>
          <w:lang w:eastAsia="zh-CN"/>
        </w:rPr>
        <w:t xml:space="preserve">的ES 60601-1 </w:t>
      </w:r>
      <w:r>
        <w:rPr>
          <w:i/>
          <w:sz w:val="24"/>
          <w:szCs w:val="24"/>
          <w:lang w:eastAsia="zh-CN"/>
        </w:rPr>
        <w:t>医用电气设备第1部分 - 基本安全和基本性能的通用要求</w:t>
      </w:r>
      <w:r>
        <w:rPr>
          <w:sz w:val="24"/>
          <w:szCs w:val="24"/>
          <w:lang w:eastAsia="zh-CN"/>
        </w:rPr>
        <w:t>（2005，MOD）标准中的适用条款能够对</w:t>
      </w:r>
      <w:r>
        <w:rPr>
          <w:rFonts w:hint="eastAsia"/>
          <w:sz w:val="24"/>
          <w:szCs w:val="24"/>
          <w:lang w:eastAsia="zh-CN"/>
        </w:rPr>
        <w:t>公众健康</w:t>
      </w:r>
      <w:r>
        <w:rPr>
          <w:sz w:val="24"/>
          <w:szCs w:val="24"/>
          <w:lang w:eastAsia="zh-CN"/>
        </w:rPr>
        <w:t>和安全提供与21 CFR 898.12中的FDA性能标准相同的非预期电击</w:t>
      </w:r>
      <w:r>
        <w:rPr>
          <w:rFonts w:hint="eastAsia"/>
          <w:sz w:val="24"/>
          <w:szCs w:val="24"/>
          <w:lang w:eastAsia="zh-CN"/>
        </w:rPr>
        <w:t>防护</w:t>
      </w:r>
      <w:r>
        <w:rPr>
          <w:sz w:val="24"/>
          <w:szCs w:val="24"/>
          <w:lang w:eastAsia="zh-CN"/>
        </w:rPr>
        <w:t>水平，符合FDA当前</w:t>
      </w:r>
      <w:r>
        <w:rPr>
          <w:rFonts w:hint="eastAsia"/>
          <w:sz w:val="24"/>
          <w:szCs w:val="24"/>
          <w:lang w:eastAsia="zh-CN"/>
        </w:rPr>
        <w:t>认可</w:t>
      </w:r>
      <w:r>
        <w:rPr>
          <w:sz w:val="24"/>
          <w:szCs w:val="24"/>
          <w:lang w:eastAsia="zh-CN"/>
        </w:rPr>
        <w:t>的本标准足以符合21 CFR 898.12中的性能标准。因此，可以提交符合FDA</w:t>
      </w:r>
      <w:r>
        <w:rPr>
          <w:rFonts w:hint="eastAsia"/>
          <w:sz w:val="24"/>
          <w:szCs w:val="24"/>
          <w:lang w:eastAsia="zh-CN"/>
        </w:rPr>
        <w:t>认可</w:t>
      </w:r>
      <w:r>
        <w:rPr>
          <w:sz w:val="24"/>
          <w:szCs w:val="24"/>
          <w:lang w:eastAsia="zh-CN"/>
        </w:rPr>
        <w:t>的本标准的DoC。</w:t>
      </w:r>
      <w:r>
        <w:fldChar w:fldCharType="begin"/>
      </w:r>
      <w:r>
        <w:instrText xml:space="preserve"> HYPERLINK \l "bookmark16" \o "当前文件" \h </w:instrText>
      </w:r>
      <w:r>
        <w:fldChar w:fldCharType="separate"/>
      </w:r>
      <w:r>
        <w:rPr>
          <w:sz w:val="24"/>
          <w:szCs w:val="24"/>
          <w:vertAlign w:val="superscript"/>
          <w:lang w:eastAsia="zh-CN"/>
        </w:rPr>
        <w:t>7</w:t>
      </w:r>
      <w:r>
        <w:rPr>
          <w:sz w:val="24"/>
          <w:szCs w:val="24"/>
          <w:vertAlign w:val="superscript"/>
          <w:lang w:eastAsia="zh-CN"/>
        </w:rPr>
        <w:fldChar w:fldCharType="end"/>
      </w:r>
      <w:r>
        <w:rPr>
          <w:sz w:val="24"/>
          <w:szCs w:val="24"/>
          <w:vertAlign w:val="superscript"/>
          <w:lang w:eastAsia="zh-CN"/>
        </w:rPr>
        <w:t xml:space="preserve"> </w:t>
      </w:r>
    </w:p>
    <w:p w14:paraId="43983CFD">
      <w:pPr>
        <w:snapToGrid w:val="0"/>
        <w:spacing w:before="120" w:beforeLines="50"/>
        <w:ind w:left="567" w:leftChars="270"/>
        <w:jc w:val="both"/>
        <w:rPr>
          <w:sz w:val="24"/>
          <w:szCs w:val="24"/>
          <w:lang w:eastAsia="zh-CN"/>
        </w:rPr>
      </w:pPr>
      <w:r>
        <w:rPr>
          <w:b/>
          <w:bCs/>
          <w:sz w:val="24"/>
          <w:szCs w:val="24"/>
          <w:lang w:eastAsia="zh-CN"/>
        </w:rPr>
        <w:t>申报信息：</w:t>
      </w:r>
      <w:r>
        <w:rPr>
          <w:sz w:val="24"/>
          <w:szCs w:val="24"/>
          <w:lang w:eastAsia="zh-CN"/>
        </w:rPr>
        <w:t>DoC</w:t>
      </w:r>
    </w:p>
    <w:p w14:paraId="42688A0E">
      <w:pPr>
        <w:snapToGrid w:val="0"/>
        <w:spacing w:before="120" w:beforeLines="50"/>
        <w:ind w:left="567" w:leftChars="270"/>
        <w:jc w:val="both"/>
        <w:rPr>
          <w:sz w:val="24"/>
          <w:szCs w:val="24"/>
          <w:lang w:eastAsia="zh-CN"/>
        </w:rPr>
      </w:pPr>
    </w:p>
    <w:p w14:paraId="3F851440">
      <w:pPr>
        <w:snapToGrid w:val="0"/>
        <w:spacing w:before="120" w:beforeLines="50"/>
        <w:jc w:val="both"/>
        <w:rPr>
          <w:sz w:val="24"/>
          <w:szCs w:val="24"/>
          <w:lang w:eastAsia="zh-CN"/>
        </w:rPr>
      </w:pPr>
      <w:bookmarkStart w:id="15" w:name="bookmark15"/>
      <w:r>
        <w:rPr>
          <w:b/>
          <w:bCs/>
          <w:sz w:val="24"/>
          <w:szCs w:val="24"/>
          <w:u w:val="single"/>
          <w:lang w:eastAsia="zh-CN"/>
        </w:rPr>
        <w:t>生物相容性评价</w:t>
      </w:r>
      <w:bookmarkEnd w:id="15"/>
    </w:p>
    <w:p w14:paraId="6F66BAEE">
      <w:pPr>
        <w:snapToGrid w:val="0"/>
        <w:spacing w:before="120" w:beforeLines="50"/>
        <w:jc w:val="both"/>
        <w:rPr>
          <w:sz w:val="24"/>
          <w:szCs w:val="24"/>
          <w:lang w:eastAsia="zh-CN"/>
        </w:rPr>
      </w:pPr>
      <w:r>
        <w:rPr>
          <w:sz w:val="24"/>
          <w:szCs w:val="24"/>
          <w:lang w:eastAsia="zh-CN"/>
        </w:rPr>
        <w:t>为确定要纳入生物相容性评价的生物相容性终点，应使用CDRH指南</w:t>
      </w:r>
      <w:r>
        <w:fldChar w:fldCharType="begin"/>
      </w:r>
      <w:r>
        <w:instrText xml:space="preserve"> HYPERLINK "https://www.fda.gov/regulatory-information/search-fda-guidance-documents/use-international-standard-iso-10993-1-biological-evaluation-medical-devices-part-1-evaluation-and" </w:instrText>
      </w:r>
      <w:r>
        <w:fldChar w:fldCharType="separate"/>
      </w:r>
      <w:r>
        <w:rPr>
          <w:rStyle w:val="7"/>
          <w:color w:val="0000FF"/>
          <w:sz w:val="24"/>
          <w:szCs w:val="24"/>
          <w:lang w:eastAsia="zh-CN"/>
        </w:rPr>
        <w:t xml:space="preserve">使用国际标准ISO 10993-1 </w:t>
      </w:r>
      <w:r>
        <w:rPr>
          <w:rStyle w:val="7"/>
          <w:color w:val="0000FF"/>
          <w:sz w:val="24"/>
          <w:szCs w:val="24"/>
          <w:lang w:eastAsia="zh-CN"/>
        </w:rPr>
        <w:fldChar w:fldCharType="end"/>
      </w:r>
      <w:r>
        <w:fldChar w:fldCharType="begin"/>
      </w:r>
      <w:r>
        <w:instrText xml:space="preserve"> HYPERLINK "https://www.fda.gov/regulatory-information/search-fda-guidance-documents/use-international-standard-iso-10993-1-biological-evaluation-medical-devices-part-1-evaluation-and" </w:instrText>
      </w:r>
      <w:r>
        <w:fldChar w:fldCharType="separate"/>
      </w:r>
      <w:r>
        <w:rPr>
          <w:rStyle w:val="7"/>
          <w:color w:val="0000FF"/>
          <w:sz w:val="24"/>
          <w:szCs w:val="24"/>
          <w:lang w:eastAsia="zh-CN"/>
        </w:rPr>
        <w:t>医疗器械生物学评价 - 第1部分：风险管理过程中的评价与试验</w:t>
      </w:r>
      <w:r>
        <w:rPr>
          <w:rStyle w:val="7"/>
          <w:color w:val="0000FF"/>
          <w:sz w:val="24"/>
          <w:szCs w:val="24"/>
          <w:lang w:eastAsia="zh-CN"/>
        </w:rPr>
        <w:fldChar w:fldCharType="end"/>
      </w:r>
      <w:r>
        <w:rPr>
          <w:sz w:val="24"/>
          <w:szCs w:val="24"/>
          <w:u w:val="single"/>
          <w:lang w:eastAsia="zh-CN"/>
        </w:rPr>
        <w:t xml:space="preserve"> </w:t>
      </w:r>
      <w:r>
        <w:fldChar w:fldCharType="begin"/>
      </w:r>
      <w:r>
        <w:instrText xml:space="preserve"> HYPERLINK "https://www.fda.gov/regulatory-information/search-fda-guidance-documents/use-international-standard-iso-10993-1-biological-evaluation-medical-devices-part-1-evaluation-and" </w:instrText>
      </w:r>
      <w:r>
        <w:fldChar w:fldCharType="separate"/>
      </w:r>
      <w:r>
        <w:fldChar w:fldCharType="end"/>
      </w:r>
      <w:r>
        <w:fldChar w:fldCharType="begin"/>
      </w:r>
      <w:r>
        <w:instrText xml:space="preserve"> HYPERLINK \l "bookmark17" \o "当前文件" \h </w:instrText>
      </w:r>
      <w:r>
        <w:fldChar w:fldCharType="separate"/>
      </w:r>
      <w:r>
        <w:rPr>
          <w:sz w:val="24"/>
          <w:szCs w:val="24"/>
          <w:vertAlign w:val="superscript"/>
          <w:lang w:eastAsia="zh-CN"/>
        </w:rPr>
        <w:t>8</w:t>
      </w:r>
      <w:r>
        <w:rPr>
          <w:sz w:val="24"/>
          <w:szCs w:val="24"/>
          <w:lang w:eastAsia="zh-CN"/>
        </w:rPr>
        <w:t xml:space="preserve"> </w:t>
      </w:r>
      <w:r>
        <w:rPr>
          <w:sz w:val="24"/>
          <w:szCs w:val="24"/>
          <w:lang w:eastAsia="zh-CN"/>
        </w:rPr>
        <w:fldChar w:fldCharType="end"/>
      </w:r>
      <w:r>
        <w:rPr>
          <w:sz w:val="24"/>
          <w:szCs w:val="24"/>
          <w:lang w:eastAsia="zh-CN"/>
        </w:rPr>
        <w:t>的附件A，为简洁起见，在本文件中的其余部分称为CDRH生物相容性指南。FDA认为本指南中的器械分类为接触完好皮肤的</w:t>
      </w:r>
      <w:r>
        <w:rPr>
          <w:rFonts w:ascii="宋体" w:hAnsi="宋体"/>
          <w:sz w:val="24"/>
          <w:szCs w:val="24"/>
          <w:lang w:eastAsia="zh-CN"/>
        </w:rPr>
        <w:t>“</w:t>
      </w:r>
      <w:r>
        <w:rPr>
          <w:sz w:val="24"/>
          <w:szCs w:val="24"/>
          <w:lang w:eastAsia="zh-CN"/>
        </w:rPr>
        <w:t>体表器械</w:t>
      </w:r>
      <w:r>
        <w:rPr>
          <w:rFonts w:ascii="宋体" w:hAnsi="宋体"/>
          <w:sz w:val="24"/>
          <w:szCs w:val="24"/>
          <w:lang w:eastAsia="zh-CN"/>
        </w:rPr>
        <w:t>”</w:t>
      </w:r>
      <w:r>
        <w:rPr>
          <w:sz w:val="24"/>
          <w:szCs w:val="24"/>
          <w:lang w:eastAsia="zh-CN"/>
        </w:rPr>
        <w:t>，应该根据CDRH生物相容性指南的附件A评估以下终点。</w:t>
      </w:r>
    </w:p>
    <w:p w14:paraId="531E3AF0">
      <w:pPr>
        <w:pStyle w:val="17"/>
        <w:spacing w:before="120"/>
        <w:ind w:left="1213" w:hanging="648"/>
        <w:rPr>
          <w:sz w:val="24"/>
          <w:szCs w:val="24"/>
          <w:lang w:eastAsia="zh-CN"/>
        </w:rPr>
      </w:pPr>
      <w:r>
        <w:rPr>
          <w:sz w:val="24"/>
          <w:szCs w:val="24"/>
          <w:lang w:eastAsia="zh-CN"/>
        </w:rPr>
        <w:t>•</w:t>
      </w:r>
      <w:r>
        <w:rPr>
          <w:sz w:val="24"/>
          <w:szCs w:val="24"/>
          <w:lang w:eastAsia="zh-CN"/>
        </w:rPr>
        <w:tab/>
      </w:r>
      <w:r>
        <w:rPr>
          <w:sz w:val="24"/>
          <w:szCs w:val="24"/>
          <w:lang w:eastAsia="zh-CN"/>
        </w:rPr>
        <w:t>细胞毒性</w:t>
      </w:r>
    </w:p>
    <w:p w14:paraId="49C7FA67">
      <w:pPr>
        <w:pStyle w:val="17"/>
        <w:spacing w:before="120"/>
        <w:ind w:left="1213" w:hanging="648"/>
        <w:rPr>
          <w:sz w:val="24"/>
          <w:szCs w:val="24"/>
          <w:lang w:eastAsia="zh-CN"/>
        </w:rPr>
      </w:pPr>
      <w:r>
        <w:rPr>
          <w:sz w:val="24"/>
          <w:szCs w:val="24"/>
          <w:lang w:eastAsia="zh-CN"/>
        </w:rPr>
        <w:t>•</w:t>
      </w:r>
      <w:r>
        <w:rPr>
          <w:sz w:val="24"/>
          <w:szCs w:val="24"/>
          <w:lang w:eastAsia="zh-CN"/>
        </w:rPr>
        <w:tab/>
      </w:r>
      <w:r>
        <w:rPr>
          <w:sz w:val="24"/>
          <w:szCs w:val="24"/>
          <w:lang w:eastAsia="zh-CN"/>
        </w:rPr>
        <w:t>致敏性</w:t>
      </w:r>
    </w:p>
    <w:p w14:paraId="17DE2CDE">
      <w:pPr>
        <w:pStyle w:val="17"/>
        <w:spacing w:before="120"/>
        <w:ind w:left="1213" w:hanging="648"/>
        <w:rPr>
          <w:sz w:val="24"/>
          <w:szCs w:val="24"/>
          <w:lang w:eastAsia="zh-CN"/>
        </w:rPr>
      </w:pPr>
      <w:r>
        <w:rPr>
          <w:sz w:val="24"/>
          <w:szCs w:val="24"/>
          <w:lang w:eastAsia="zh-CN"/>
        </w:rPr>
        <w:t>•</w:t>
      </w:r>
      <w:r>
        <w:rPr>
          <w:sz w:val="24"/>
          <w:szCs w:val="24"/>
          <w:lang w:eastAsia="zh-CN"/>
        </w:rPr>
        <w:tab/>
      </w:r>
      <w:r>
        <w:rPr>
          <w:sz w:val="24"/>
          <w:szCs w:val="24"/>
          <w:lang w:eastAsia="zh-CN"/>
        </w:rPr>
        <w:t>刺激或皮内反应</w:t>
      </w:r>
    </w:p>
    <w:p w14:paraId="416C0642">
      <w:pPr>
        <w:pStyle w:val="17"/>
        <w:spacing w:before="120"/>
        <w:ind w:left="1213" w:hanging="648"/>
        <w:rPr>
          <w:sz w:val="24"/>
          <w:szCs w:val="24"/>
          <w:lang w:eastAsia="zh-CN"/>
        </w:rPr>
      </w:pPr>
    </w:p>
    <w:p w14:paraId="6838E1FF">
      <w:pPr>
        <w:snapToGrid w:val="0"/>
        <w:spacing w:before="120" w:beforeLines="50"/>
        <w:jc w:val="both"/>
        <w:rPr>
          <w:sz w:val="24"/>
          <w:szCs w:val="24"/>
          <w:lang w:eastAsia="zh-CN"/>
        </w:rPr>
      </w:pPr>
      <w:r>
        <w:rPr>
          <w:b/>
          <w:bCs/>
          <w:sz w:val="24"/>
          <w:szCs w:val="24"/>
          <w:lang w:eastAsia="zh-CN"/>
        </w:rPr>
        <w:t>替代试验</w:t>
      </w:r>
      <w:r>
        <w:rPr>
          <w:rFonts w:hint="eastAsia"/>
          <w:b/>
          <w:bCs/>
          <w:sz w:val="24"/>
          <w:szCs w:val="24"/>
          <w:lang w:eastAsia="zh-CN"/>
        </w:rPr>
        <w:t>的</w:t>
      </w:r>
      <w:r>
        <w:rPr>
          <w:b/>
          <w:bCs/>
          <w:sz w:val="24"/>
          <w:szCs w:val="24"/>
          <w:lang w:eastAsia="zh-CN"/>
        </w:rPr>
        <w:t>依据：</w:t>
      </w:r>
      <w:r>
        <w:rPr>
          <w:sz w:val="24"/>
          <w:szCs w:val="24"/>
          <w:lang w:eastAsia="zh-CN"/>
        </w:rPr>
        <w:t>如果申请器械使用与实质等同器械（组织接触的类型和持续时间相同）相同的原材料和制造</w:t>
      </w:r>
      <w:r>
        <w:rPr>
          <w:rFonts w:hint="eastAsia"/>
          <w:sz w:val="24"/>
          <w:szCs w:val="24"/>
          <w:lang w:eastAsia="zh-CN"/>
        </w:rPr>
        <w:t>工艺</w:t>
      </w:r>
      <w:r>
        <w:rPr>
          <w:sz w:val="24"/>
          <w:szCs w:val="24"/>
          <w:lang w:eastAsia="zh-CN"/>
        </w:rPr>
        <w:t>制成，并且预计几何形状的任何变化不会影响生物学反应，如果也提供了CDRH生物相容性指南的附件F中的文件，则通常足以确定生物相容性的实质等效性。</w:t>
      </w:r>
    </w:p>
    <w:p w14:paraId="6942F38A">
      <w:pPr>
        <w:snapToGrid w:val="0"/>
        <w:spacing w:before="120" w:beforeLines="50"/>
        <w:jc w:val="both"/>
        <w:rPr>
          <w:sz w:val="24"/>
          <w:szCs w:val="24"/>
          <w:lang w:eastAsia="zh-CN"/>
        </w:rPr>
      </w:pPr>
    </w:p>
    <w:p w14:paraId="4885D14B">
      <w:pPr>
        <w:snapToGrid w:val="0"/>
        <w:spacing w:before="120" w:beforeLines="50"/>
        <w:jc w:val="both"/>
        <w:rPr>
          <w:sz w:val="24"/>
          <w:szCs w:val="24"/>
          <w:lang w:eastAsia="zh-CN"/>
        </w:rPr>
      </w:pPr>
      <w:r>
        <w:rPr>
          <w:b/>
          <w:bCs/>
          <w:sz w:val="24"/>
          <w:szCs w:val="24"/>
          <w:lang w:eastAsia="zh-CN"/>
        </w:rPr>
        <w:t>测试：</w:t>
      </w:r>
      <w:r>
        <w:rPr>
          <w:sz w:val="24"/>
          <w:szCs w:val="24"/>
          <w:lang w:eastAsia="zh-CN"/>
        </w:rPr>
        <w:t>如果确定需要</w:t>
      </w:r>
      <w:r>
        <w:rPr>
          <w:rFonts w:hint="eastAsia"/>
          <w:sz w:val="24"/>
          <w:szCs w:val="24"/>
          <w:lang w:eastAsia="zh-CN"/>
        </w:rPr>
        <w:t>通过</w:t>
      </w:r>
      <w:r>
        <w:rPr>
          <w:sz w:val="24"/>
          <w:szCs w:val="24"/>
          <w:lang w:eastAsia="zh-CN"/>
        </w:rPr>
        <w:t>试验明确某些或所有已确定的终点，根据CDRH生物相容性指南的附件E，FDA建议对进行的所有试验提供完整的试验报告，除非适当提供不含补充信息的合规声明。任何试验的阳性、阴性和/或试剂对照都应符合预期，应对方案偏离进行充分描述和论证。然而，应注意，某些方案偏离可能导致与以下性能标准的比较无效，需要提交传统、特殊或简略510（k）。</w:t>
      </w:r>
    </w:p>
    <w:p w14:paraId="50BB141E">
      <w:pPr>
        <w:snapToGrid w:val="0"/>
        <w:spacing w:before="120" w:beforeLines="50"/>
        <w:jc w:val="both"/>
        <w:rPr>
          <w:sz w:val="18"/>
          <w:szCs w:val="18"/>
          <w:lang w:eastAsia="zh-CN"/>
        </w:rPr>
      </w:pPr>
      <w:bookmarkStart w:id="16" w:name="bookmark16"/>
    </w:p>
    <w:p w14:paraId="33FFB5FD">
      <w:pPr>
        <w:snapToGrid w:val="0"/>
        <w:spacing w:before="120" w:beforeLines="50"/>
        <w:jc w:val="both"/>
        <w:rPr>
          <w:sz w:val="18"/>
          <w:szCs w:val="18"/>
          <w:lang w:eastAsia="zh-CN"/>
        </w:rPr>
      </w:pPr>
    </w:p>
    <w:p w14:paraId="73F584BF">
      <w:pPr>
        <w:snapToGrid w:val="0"/>
        <w:spacing w:before="120" w:beforeLines="50"/>
        <w:jc w:val="both"/>
        <w:rPr>
          <w:sz w:val="18"/>
          <w:szCs w:val="18"/>
          <w:lang w:eastAsia="zh-CN"/>
        </w:rPr>
      </w:pPr>
    </w:p>
    <w:p w14:paraId="2CF28B6C">
      <w:pPr>
        <w:snapToGrid w:val="0"/>
        <w:spacing w:before="120" w:beforeLines="50"/>
        <w:jc w:val="both"/>
        <w:rPr>
          <w:sz w:val="18"/>
          <w:szCs w:val="18"/>
          <w:lang w:eastAsia="zh-CN"/>
        </w:rPr>
      </w:pPr>
      <w:r>
        <w:rPr>
          <w:sz w:val="18"/>
          <w:szCs w:val="18"/>
          <w:lang w:eastAsia="zh-CN"/>
        </w:rPr>
        <w:t>____________________</w:t>
      </w:r>
    </w:p>
    <w:p w14:paraId="6FDB87C5">
      <w:pPr>
        <w:tabs>
          <w:tab w:val="left" w:pos="125"/>
        </w:tabs>
        <w:snapToGrid w:val="0"/>
        <w:spacing w:before="120" w:beforeLines="50"/>
        <w:rPr>
          <w:sz w:val="18"/>
          <w:szCs w:val="18"/>
          <w:lang w:eastAsia="zh-CN"/>
        </w:rPr>
      </w:pPr>
      <w:r>
        <w:rPr>
          <w:sz w:val="18"/>
          <w:szCs w:val="18"/>
          <w:vertAlign w:val="superscript"/>
          <w:lang w:eastAsia="zh-CN"/>
        </w:rPr>
        <w:t>7</w:t>
      </w:r>
      <w:r>
        <w:rPr>
          <w:sz w:val="18"/>
          <w:szCs w:val="18"/>
          <w:lang w:eastAsia="zh-CN"/>
        </w:rPr>
        <w:tab/>
      </w:r>
      <w:r>
        <w:rPr>
          <w:sz w:val="18"/>
          <w:szCs w:val="18"/>
          <w:lang w:eastAsia="zh-CN"/>
        </w:rPr>
        <w:t>见美国联邦食品、药品和化妆品法案的第514(c)节。</w:t>
      </w:r>
      <w:bookmarkEnd w:id="16"/>
    </w:p>
    <w:p w14:paraId="53F49317">
      <w:pPr>
        <w:tabs>
          <w:tab w:val="left" w:pos="115"/>
        </w:tabs>
        <w:snapToGrid w:val="0"/>
        <w:spacing w:before="120" w:beforeLines="50"/>
        <w:rPr>
          <w:sz w:val="18"/>
          <w:szCs w:val="18"/>
        </w:rPr>
      </w:pPr>
      <w:bookmarkStart w:id="17" w:name="bookmark17"/>
      <w:r>
        <w:rPr>
          <w:sz w:val="18"/>
          <w:szCs w:val="18"/>
          <w:vertAlign w:val="superscript"/>
          <w:lang w:eastAsia="zh-CN"/>
        </w:rPr>
        <w:t>8</w:t>
      </w:r>
      <w:r>
        <w:rPr>
          <w:sz w:val="18"/>
          <w:szCs w:val="18"/>
          <w:lang w:eastAsia="zh-CN"/>
        </w:rPr>
        <w:tab/>
      </w:r>
      <w:r>
        <w:rPr>
          <w:sz w:val="18"/>
          <w:szCs w:val="18"/>
          <w:lang w:eastAsia="zh-CN"/>
        </w:rPr>
        <w:t>请访问</w:t>
      </w:r>
      <w:r>
        <w:fldChar w:fldCharType="begin"/>
      </w:r>
      <w:r>
        <w:instrText xml:space="preserve"> HYPERLINK "https://www.fda.gov/regulatory-information/search-fda-guidance-documents/use-international-standard-iso-10993-1-biological-evaluation-medical-devices-part-1-evaluation-and" </w:instrText>
      </w:r>
      <w:r>
        <w:fldChar w:fldCharType="separate"/>
      </w:r>
      <w:r>
        <w:rPr>
          <w:rStyle w:val="7"/>
          <w:color w:val="0000FF"/>
          <w:sz w:val="18"/>
          <w:szCs w:val="18"/>
          <w:lang w:eastAsia="zh-CN"/>
        </w:rPr>
        <w:t xml:space="preserve"> https://www.fda.gov/regulatorv-information/search-fda-guidance-documents/use-international-</w:t>
      </w:r>
      <w:r>
        <w:rPr>
          <w:rStyle w:val="7"/>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"https://www.fda.gov/regulatory-information/search-fda-guidance-documents/use-international-standard-iso-10993-1-biological-evaluation-medical-devices-part-1-evaluation-and" </w:instrText>
      </w:r>
      <w:r>
        <w:fldChar w:fldCharType="separate"/>
      </w:r>
      <w:r>
        <w:rPr>
          <w:rStyle w:val="7"/>
          <w:color w:val="0000FF"/>
          <w:sz w:val="18"/>
          <w:szCs w:val="18"/>
          <w:lang w:eastAsia="zh-CN"/>
        </w:rPr>
        <w:t>standard-iso-10993-1-biological-evaluation-medical-devices-part-1-evaluation-and</w:t>
      </w:r>
      <w:bookmarkEnd w:id="17"/>
      <w:r>
        <w:rPr>
          <w:rStyle w:val="7"/>
          <w:color w:val="0000FF"/>
          <w:sz w:val="18"/>
          <w:szCs w:val="18"/>
          <w:lang w:eastAsia="zh-CN"/>
        </w:rPr>
        <w:fldChar w:fldCharType="end"/>
      </w:r>
    </w:p>
    <w:p w14:paraId="68BBC360">
      <w:pPr>
        <w:tabs>
          <w:tab w:val="left" w:pos="115"/>
        </w:tabs>
        <w:snapToGrid w:val="0"/>
        <w:spacing w:before="120" w:beforeLines="50"/>
        <w:jc w:val="both"/>
      </w:pPr>
      <w:r>
        <w:rPr>
          <w:lang w:eastAsia="zh-CN"/>
        </w:rPr>
        <w:br w:type="page"/>
      </w:r>
    </w:p>
    <w:p w14:paraId="06433AE8">
      <w:pPr>
        <w:pStyle w:val="16"/>
        <w:spacing w:before="120"/>
        <w:ind w:left="650" w:hanging="648"/>
        <w:rPr>
          <w:sz w:val="24"/>
          <w:szCs w:val="24"/>
          <w:lang w:eastAsia="zh-CN"/>
        </w:rPr>
      </w:pPr>
      <w:r>
        <w:rPr>
          <w:b/>
          <w:bCs/>
          <w:sz w:val="24"/>
          <w:szCs w:val="24"/>
          <w:lang w:eastAsia="zh-CN"/>
        </w:rPr>
        <w:t>8.</w:t>
      </w:r>
      <w:r>
        <w:rPr>
          <w:b/>
          <w:bCs/>
          <w:sz w:val="24"/>
          <w:szCs w:val="24"/>
          <w:lang w:eastAsia="zh-CN"/>
        </w:rPr>
        <w:tab/>
      </w:r>
      <w:r>
        <w:rPr>
          <w:b/>
          <w:bCs/>
          <w:sz w:val="24"/>
          <w:szCs w:val="24"/>
          <w:lang w:eastAsia="zh-CN"/>
        </w:rPr>
        <w:t>测试名称：</w:t>
      </w:r>
      <w:r>
        <w:rPr>
          <w:sz w:val="24"/>
          <w:szCs w:val="24"/>
          <w:lang w:eastAsia="zh-CN"/>
        </w:rPr>
        <w:t>生物相容性终点（根据CDRH生物相容性指南确定）</w:t>
      </w:r>
    </w:p>
    <w:p w14:paraId="5C378183">
      <w:pPr>
        <w:snapToGrid w:val="0"/>
        <w:spacing w:before="120" w:beforeLines="50"/>
        <w:ind w:left="567" w:leftChars="270"/>
        <w:jc w:val="both"/>
        <w:rPr>
          <w:sz w:val="24"/>
          <w:szCs w:val="24"/>
          <w:lang w:eastAsia="zh-CN"/>
        </w:rPr>
      </w:pPr>
      <w:r>
        <w:rPr>
          <w:b/>
          <w:bCs/>
          <w:sz w:val="24"/>
          <w:szCs w:val="24"/>
          <w:lang w:eastAsia="zh-CN"/>
        </w:rPr>
        <w:t>方法：</w:t>
      </w:r>
      <w:r>
        <w:rPr>
          <w:sz w:val="24"/>
          <w:szCs w:val="24"/>
          <w:lang w:eastAsia="zh-CN"/>
        </w:rPr>
        <w:t>FDA当前</w:t>
      </w:r>
      <w:r>
        <w:rPr>
          <w:rFonts w:hint="eastAsia"/>
          <w:sz w:val="24"/>
          <w:szCs w:val="24"/>
          <w:lang w:eastAsia="zh-CN"/>
        </w:rPr>
        <w:t>认可</w:t>
      </w:r>
      <w:r>
        <w:rPr>
          <w:sz w:val="24"/>
          <w:szCs w:val="24"/>
          <w:lang w:eastAsia="zh-CN"/>
        </w:rPr>
        <w:t>的生物相容性共识标准</w:t>
      </w:r>
    </w:p>
    <w:p w14:paraId="58707760">
      <w:pPr>
        <w:snapToGrid w:val="0"/>
        <w:spacing w:before="120" w:beforeLines="50"/>
        <w:ind w:left="567" w:leftChars="270"/>
        <w:jc w:val="both"/>
        <w:rPr>
          <w:sz w:val="24"/>
          <w:szCs w:val="24"/>
          <w:lang w:eastAsia="zh-CN"/>
        </w:rPr>
      </w:pPr>
      <w:r>
        <w:rPr>
          <w:b/>
          <w:bCs/>
          <w:sz w:val="24"/>
          <w:szCs w:val="24"/>
          <w:lang w:eastAsia="zh-CN"/>
        </w:rPr>
        <w:t>性能标准：</w:t>
      </w:r>
      <w:r>
        <w:rPr>
          <w:sz w:val="24"/>
          <w:szCs w:val="24"/>
          <w:lang w:eastAsia="zh-CN"/>
        </w:rPr>
        <w:t>所有直接或间接接触器械组件和器械特定仪器的组织都应确定其生物反应可接受。</w:t>
      </w:r>
    </w:p>
    <w:p w14:paraId="6DA07038">
      <w:pPr>
        <w:snapToGrid w:val="0"/>
        <w:spacing w:before="120" w:beforeLines="50"/>
        <w:ind w:left="567" w:leftChars="270"/>
        <w:jc w:val="both"/>
        <w:rPr>
          <w:sz w:val="24"/>
          <w:szCs w:val="24"/>
          <w:lang w:eastAsia="zh-CN"/>
        </w:rPr>
      </w:pPr>
      <w:r>
        <w:rPr>
          <w:b/>
          <w:bCs/>
          <w:sz w:val="24"/>
          <w:szCs w:val="24"/>
          <w:lang w:eastAsia="zh-CN"/>
        </w:rPr>
        <w:t>性能标准来源：</w:t>
      </w:r>
      <w:r>
        <w:rPr>
          <w:sz w:val="24"/>
          <w:szCs w:val="24"/>
          <w:lang w:eastAsia="zh-CN"/>
        </w:rPr>
        <w:t>CDRH生物相容性指南</w:t>
      </w:r>
    </w:p>
    <w:p w14:paraId="3EFE0616">
      <w:pPr>
        <w:snapToGrid w:val="0"/>
        <w:spacing w:before="120" w:beforeLines="50"/>
        <w:ind w:left="567" w:leftChars="270"/>
        <w:jc w:val="both"/>
        <w:rPr>
          <w:sz w:val="24"/>
          <w:szCs w:val="24"/>
          <w:lang w:eastAsia="zh-CN"/>
        </w:rPr>
      </w:pPr>
      <w:r>
        <w:rPr>
          <w:b/>
          <w:bCs/>
          <w:sz w:val="24"/>
          <w:szCs w:val="24"/>
          <w:lang w:eastAsia="zh-CN"/>
        </w:rPr>
        <w:t>其他考虑因素：</w:t>
      </w:r>
      <w:r>
        <w:rPr>
          <w:sz w:val="24"/>
          <w:szCs w:val="24"/>
          <w:lang w:eastAsia="zh-CN"/>
        </w:rPr>
        <w:t>对于任何发生不良生物反应的生物相容性试验样本，生物相容性评价应解释毒性水平可接受的原因。可能需要</w:t>
      </w:r>
      <w:r>
        <w:rPr>
          <w:rFonts w:hint="eastAsia"/>
          <w:sz w:val="24"/>
          <w:szCs w:val="24"/>
          <w:lang w:eastAsia="zh-CN"/>
        </w:rPr>
        <w:t>与</w:t>
      </w:r>
      <w:r>
        <w:rPr>
          <w:sz w:val="24"/>
          <w:szCs w:val="24"/>
          <w:lang w:eastAsia="zh-CN"/>
        </w:rPr>
        <w:t>已合法上市的同品种器械进行一定比较（根据基于安全性和性能的途径，可接受），以支持CDRH生物相容性指南中解释的依据。对于包含比较器械对照样本的标准生物相容性试验方法，根据以上对</w:t>
      </w:r>
      <w:r>
        <w:rPr>
          <w:rFonts w:hint="eastAsia"/>
          <w:sz w:val="24"/>
          <w:szCs w:val="24"/>
          <w:lang w:eastAsia="zh-CN"/>
        </w:rPr>
        <w:t>申请</w:t>
      </w:r>
      <w:r>
        <w:rPr>
          <w:sz w:val="24"/>
          <w:szCs w:val="24"/>
          <w:lang w:eastAsia="zh-CN"/>
        </w:rPr>
        <w:t>器械样本的规定，已合法上市的比较器械对照样本应符合预期。</w:t>
      </w:r>
    </w:p>
    <w:p w14:paraId="323C49A4">
      <w:pPr>
        <w:snapToGrid w:val="0"/>
        <w:spacing w:before="120" w:beforeLines="50"/>
        <w:ind w:left="567" w:leftChars="270"/>
        <w:jc w:val="both"/>
        <w:rPr>
          <w:sz w:val="24"/>
          <w:szCs w:val="24"/>
          <w:lang w:eastAsia="zh-CN"/>
        </w:rPr>
      </w:pPr>
      <w:r>
        <w:rPr>
          <w:rFonts w:hint="eastAsia"/>
          <w:b/>
          <w:bCs/>
          <w:sz w:val="24"/>
          <w:szCs w:val="24"/>
          <w:lang w:eastAsia="zh-CN"/>
        </w:rPr>
        <w:t>申请</w:t>
      </w:r>
      <w:r>
        <w:rPr>
          <w:b/>
          <w:bCs/>
          <w:sz w:val="24"/>
          <w:szCs w:val="24"/>
          <w:lang w:eastAsia="zh-CN"/>
        </w:rPr>
        <w:t>信息：</w:t>
      </w:r>
      <w:r>
        <w:rPr>
          <w:sz w:val="24"/>
          <w:szCs w:val="24"/>
          <w:lang w:eastAsia="zh-CN"/>
        </w:rPr>
        <w:t>请参阅CDRH生物相容性指南</w:t>
      </w:r>
    </w:p>
    <w:p w14:paraId="4DE1F5A3">
      <w:pPr>
        <w:snapToGrid w:val="0"/>
        <w:spacing w:before="120" w:beforeLines="50"/>
        <w:jc w:val="both"/>
        <w:rPr>
          <w:lang w:eastAsia="zh-CN"/>
        </w:rPr>
      </w:pPr>
    </w:p>
    <w:p w14:paraId="142522B1">
      <w:pPr>
        <w:pStyle w:val="10"/>
        <w:spacing w:before="120"/>
        <w:rPr>
          <w:rFonts w:hint="eastAsia" w:eastAsia="宋体"/>
          <w:lang w:eastAsia="zh-CN"/>
        </w:rPr>
      </w:pPr>
    </w:p>
    <w:p w14:paraId="3324C3CD">
      <w:pPr>
        <w:pStyle w:val="10"/>
        <w:spacing w:before="120"/>
        <w:jc w:val="center"/>
        <w:rPr>
          <w:rFonts w:hint="eastAsia" w:eastAsia="宋体"/>
          <w:lang w:eastAsia="zh-CN"/>
        </w:rPr>
      </w:pPr>
    </w:p>
    <w:p w14:paraId="0AA80DE2">
      <w:pPr>
        <w:pStyle w:val="10"/>
        <w:spacing w:before="12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4" w:type="default"/>
      <w:footerReference r:id="rId5" w:type="default"/>
      <w:pgSz w:w="11907" w:h="16840"/>
      <w:pgMar w:top="1429" w:right="1797" w:bottom="1429" w:left="1797"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096DB">
    <w:pPr>
      <w:pStyle w:val="3"/>
      <w:jc w:val="right"/>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Pr>
        <w:sz w:val="21"/>
        <w:szCs w:val="21"/>
        <w:lang w:eastAsia="zh-CN"/>
      </w:rPr>
      <w:t>2</w:t>
    </w:r>
    <w:r>
      <w:rPr>
        <w:sz w:val="21"/>
        <w:szCs w:val="21"/>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AA696">
    <w:pPr>
      <w:pStyle w:val="4"/>
      <w:pBdr>
        <w:bottom w:val="none" w:color="auto" w:sz="0" w:space="0"/>
      </w:pBdr>
    </w:pPr>
    <w:r>
      <w:rPr>
        <w:rFonts w:hint="eastAsia"/>
        <w:sz w:val="21"/>
        <w:szCs w:val="21"/>
        <w:lang w:eastAsia="zh-CN"/>
      </w:rPr>
      <w:t>所含建议不具约束力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85515">
    <w:pPr>
      <w:pStyle w:val="4"/>
      <w:pBdr>
        <w:bottom w:val="none" w:color="auto" w:sz="0" w:space="0"/>
      </w:pBdr>
      <w:rPr>
        <w:b/>
        <w:bCs/>
        <w:i/>
        <w:iCs/>
      </w:rPr>
    </w:pPr>
    <w:r>
      <w:rPr>
        <w:rFonts w:hint="eastAsia"/>
        <w:b/>
        <w:bCs/>
        <w:i/>
        <w:iCs/>
        <w:sz w:val="21"/>
        <w:szCs w:val="21"/>
      </w:rPr>
      <w:t>所含建议</w:t>
    </w:r>
    <w:r>
      <w:rPr>
        <w:b/>
        <w:bCs/>
        <w:i/>
        <w:iCs/>
        <w:sz w:val="21"/>
        <w:szCs w:val="21"/>
      </w:rPr>
      <w:t>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compat>
    <w:doNotExpandShiftReturn/>
    <w:useFELayout/>
    <w:compatSetting w:name="compatibilityMode" w:uri="http://schemas.microsoft.com/office/word" w:val="12"/>
  </w:compat>
  <w:rsids>
    <w:rsidRoot w:val="004667FB"/>
    <w:rsid w:val="00036BE0"/>
    <w:rsid w:val="00047258"/>
    <w:rsid w:val="000615C9"/>
    <w:rsid w:val="00072E66"/>
    <w:rsid w:val="00077FE3"/>
    <w:rsid w:val="000903E3"/>
    <w:rsid w:val="000C3358"/>
    <w:rsid w:val="000E3F3E"/>
    <w:rsid w:val="000F3C26"/>
    <w:rsid w:val="001148AE"/>
    <w:rsid w:val="00120E22"/>
    <w:rsid w:val="0016234C"/>
    <w:rsid w:val="001644CF"/>
    <w:rsid w:val="00185631"/>
    <w:rsid w:val="00200FB7"/>
    <w:rsid w:val="00227D9E"/>
    <w:rsid w:val="00254C8F"/>
    <w:rsid w:val="002551B3"/>
    <w:rsid w:val="00283C4E"/>
    <w:rsid w:val="002901A2"/>
    <w:rsid w:val="002C741C"/>
    <w:rsid w:val="002E0909"/>
    <w:rsid w:val="00315789"/>
    <w:rsid w:val="00321787"/>
    <w:rsid w:val="0032268D"/>
    <w:rsid w:val="00353B76"/>
    <w:rsid w:val="00396C21"/>
    <w:rsid w:val="00397A0D"/>
    <w:rsid w:val="003D4A97"/>
    <w:rsid w:val="00402495"/>
    <w:rsid w:val="00411E1D"/>
    <w:rsid w:val="00450461"/>
    <w:rsid w:val="0046486C"/>
    <w:rsid w:val="004667FB"/>
    <w:rsid w:val="004A6A76"/>
    <w:rsid w:val="00512675"/>
    <w:rsid w:val="00512858"/>
    <w:rsid w:val="00516419"/>
    <w:rsid w:val="005277B0"/>
    <w:rsid w:val="005343A3"/>
    <w:rsid w:val="005841C0"/>
    <w:rsid w:val="00630121"/>
    <w:rsid w:val="00656344"/>
    <w:rsid w:val="007267F8"/>
    <w:rsid w:val="00730397"/>
    <w:rsid w:val="00747951"/>
    <w:rsid w:val="007706B5"/>
    <w:rsid w:val="007D0DFB"/>
    <w:rsid w:val="00801694"/>
    <w:rsid w:val="00827083"/>
    <w:rsid w:val="00840670"/>
    <w:rsid w:val="00851A88"/>
    <w:rsid w:val="008839C8"/>
    <w:rsid w:val="008D113A"/>
    <w:rsid w:val="009346D7"/>
    <w:rsid w:val="00944B0F"/>
    <w:rsid w:val="00996795"/>
    <w:rsid w:val="009A5CEB"/>
    <w:rsid w:val="009B508E"/>
    <w:rsid w:val="00A229C2"/>
    <w:rsid w:val="00A71587"/>
    <w:rsid w:val="00AA45CF"/>
    <w:rsid w:val="00AB602D"/>
    <w:rsid w:val="00B01C4D"/>
    <w:rsid w:val="00BD6308"/>
    <w:rsid w:val="00C55631"/>
    <w:rsid w:val="00C67777"/>
    <w:rsid w:val="00C72F1B"/>
    <w:rsid w:val="00C82C37"/>
    <w:rsid w:val="00C830EA"/>
    <w:rsid w:val="00CA3C6F"/>
    <w:rsid w:val="00D228E7"/>
    <w:rsid w:val="00D31EAB"/>
    <w:rsid w:val="00D7704D"/>
    <w:rsid w:val="00D97B28"/>
    <w:rsid w:val="00E20254"/>
    <w:rsid w:val="00E85BF9"/>
    <w:rsid w:val="00EA648F"/>
    <w:rsid w:val="00F27B47"/>
    <w:rsid w:val="00F43BC8"/>
    <w:rsid w:val="00F44A72"/>
    <w:rsid w:val="00F4503A"/>
    <w:rsid w:val="00FC7D05"/>
    <w:rsid w:val="00FE289A"/>
    <w:rsid w:val="21BD1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color w:val="000000"/>
      <w:sz w:val="21"/>
      <w:szCs w:val="21"/>
      <w:lang w:val="en-US" w:eastAsia="en-US" w:bidi="en-US"/>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8"/>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66CC"/>
      <w:u w:val="single"/>
    </w:rPr>
  </w:style>
  <w:style w:type="character" w:customStyle="1" w:styleId="8">
    <w:name w:val="页眉 字符"/>
    <w:basedOn w:val="6"/>
    <w:link w:val="4"/>
    <w:uiPriority w:val="99"/>
    <w:rPr>
      <w:rFonts w:eastAsia="Times New Roman"/>
      <w:color w:val="000000"/>
      <w:sz w:val="18"/>
      <w:szCs w:val="18"/>
    </w:rPr>
  </w:style>
  <w:style w:type="character" w:customStyle="1" w:styleId="9">
    <w:name w:val="页脚 字符"/>
    <w:basedOn w:val="6"/>
    <w:link w:val="3"/>
    <w:uiPriority w:val="99"/>
    <w:rPr>
      <w:rFonts w:eastAsia="Times New Roman"/>
      <w:color w:val="000000"/>
      <w:sz w:val="18"/>
      <w:szCs w:val="18"/>
    </w:rPr>
  </w:style>
  <w:style w:type="paragraph" w:customStyle="1" w:styleId="10">
    <w:name w:val="样式b1"/>
    <w:basedOn w:val="1"/>
    <w:uiPriority w:val="0"/>
    <w:pPr>
      <w:pBdr>
        <w:bottom w:val="single" w:color="auto" w:sz="4" w:space="1"/>
      </w:pBdr>
      <w:snapToGrid w:val="0"/>
      <w:spacing w:beforeLines="50"/>
      <w:jc w:val="center"/>
    </w:pPr>
    <w:rPr>
      <w:b/>
      <w:bCs/>
      <w:sz w:val="52"/>
      <w:szCs w:val="52"/>
    </w:rPr>
  </w:style>
  <w:style w:type="paragraph" w:customStyle="1" w:styleId="11">
    <w:name w:val="样式b2"/>
    <w:basedOn w:val="1"/>
    <w:uiPriority w:val="0"/>
    <w:pPr>
      <w:snapToGrid w:val="0"/>
      <w:spacing w:beforeLines="50"/>
      <w:jc w:val="center"/>
    </w:pPr>
    <w:rPr>
      <w:b/>
      <w:bCs/>
      <w:sz w:val="52"/>
      <w:szCs w:val="52"/>
    </w:rPr>
  </w:style>
  <w:style w:type="paragraph" w:customStyle="1" w:styleId="12">
    <w:name w:val="样式m1"/>
    <w:basedOn w:val="1"/>
    <w:autoRedefine/>
    <w:uiPriority w:val="0"/>
    <w:pPr>
      <w:tabs>
        <w:tab w:val="left" w:pos="567"/>
      </w:tabs>
      <w:snapToGrid w:val="0"/>
      <w:spacing w:beforeLines="50" w:afterLines="50"/>
      <w:ind w:left="565" w:hanging="565" w:hangingChars="201"/>
      <w:jc w:val="both"/>
    </w:pPr>
    <w:rPr>
      <w:b/>
      <w:bCs/>
      <w:sz w:val="28"/>
      <w:szCs w:val="28"/>
    </w:rPr>
  </w:style>
  <w:style w:type="paragraph" w:customStyle="1" w:styleId="13">
    <w:name w:val="样式m2"/>
    <w:basedOn w:val="1"/>
    <w:uiPriority w:val="0"/>
    <w:pPr>
      <w:tabs>
        <w:tab w:val="left" w:pos="1560"/>
      </w:tabs>
      <w:snapToGrid w:val="0"/>
      <w:spacing w:beforeLines="50" w:afterLines="50"/>
      <w:ind w:left="708" w:leftChars="337"/>
      <w:jc w:val="both"/>
    </w:pPr>
    <w:rPr>
      <w:b/>
      <w:bCs/>
    </w:rPr>
  </w:style>
  <w:style w:type="paragraph" w:customStyle="1" w:styleId="14">
    <w:name w:val="样式m22"/>
    <w:basedOn w:val="1"/>
    <w:uiPriority w:val="0"/>
    <w:pPr>
      <w:tabs>
        <w:tab w:val="left" w:pos="1560"/>
      </w:tabs>
      <w:snapToGrid w:val="0"/>
      <w:spacing w:beforeLines="50" w:afterLines="50"/>
      <w:jc w:val="both"/>
    </w:pPr>
    <w:rPr>
      <w:b/>
      <w:bCs/>
    </w:rPr>
  </w:style>
  <w:style w:type="paragraph" w:customStyle="1" w:styleId="15">
    <w:name w:val="样式m3"/>
    <w:basedOn w:val="1"/>
    <w:qFormat/>
    <w:uiPriority w:val="0"/>
    <w:pPr>
      <w:snapToGrid w:val="0"/>
      <w:spacing w:beforeLines="50" w:afterLines="50"/>
      <w:jc w:val="both"/>
    </w:pPr>
    <w:rPr>
      <w:b/>
      <w:bCs/>
    </w:rPr>
  </w:style>
  <w:style w:type="paragraph" w:customStyle="1" w:styleId="16">
    <w:name w:val="样式x"/>
    <w:basedOn w:val="1"/>
    <w:qFormat/>
    <w:uiPriority w:val="0"/>
    <w:pPr>
      <w:tabs>
        <w:tab w:val="left" w:pos="567"/>
      </w:tabs>
      <w:snapToGrid w:val="0"/>
      <w:spacing w:beforeLines="50"/>
      <w:ind w:left="567" w:leftChars="1" w:hanging="565" w:hangingChars="269"/>
      <w:jc w:val="both"/>
    </w:pPr>
  </w:style>
  <w:style w:type="paragraph" w:customStyle="1" w:styleId="17">
    <w:name w:val="样式x2"/>
    <w:basedOn w:val="1"/>
    <w:qFormat/>
    <w:uiPriority w:val="0"/>
    <w:pPr>
      <w:snapToGrid w:val="0"/>
      <w:spacing w:beforeLines="50"/>
      <w:ind w:left="1132" w:leftChars="269" w:hanging="567" w:hangingChars="270"/>
      <w:jc w:val="both"/>
    </w:pPr>
  </w:style>
  <w:style w:type="character" w:customStyle="1" w:styleId="18">
    <w:name w:val="批注框文本 字符"/>
    <w:basedOn w:val="6"/>
    <w:link w:val="2"/>
    <w:semiHidden/>
    <w:qFormat/>
    <w:uiPriority w:val="99"/>
    <w:rPr>
      <w:rFonts w:eastAsia="宋体"/>
      <w:color w:val="000000"/>
      <w:sz w:val="18"/>
      <w:szCs w:val="18"/>
    </w:rPr>
  </w:style>
  <w:style w:type="paragraph" w:customStyle="1" w:styleId="19">
    <w:name w:val="Revision"/>
    <w:hidden/>
    <w:semiHidden/>
    <w:qFormat/>
    <w:uiPriority w:val="99"/>
    <w:pPr>
      <w:widowControl/>
    </w:pPr>
    <w:rPr>
      <w:rFonts w:ascii="Times New Roman" w:hAnsi="Times New Roman" w:eastAsia="宋体" w:cs="Times New Roman"/>
      <w:color w:val="000000"/>
      <w:sz w:val="21"/>
      <w:szCs w:val="21"/>
      <w:lang w:val="en-US" w:eastAsia="en-US" w:bidi="en-US"/>
    </w:rPr>
  </w:style>
  <w:style w:type="character" w:customStyle="1" w:styleId="20">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2A8B341-D13E-4394-819D-9C81E24FCEC9}">
  <ds:schemaRefs/>
</ds:datastoreItem>
</file>

<file path=docProps/app.xml><?xml version="1.0" encoding="utf-8"?>
<Properties xmlns="http://schemas.openxmlformats.org/officeDocument/2006/extended-properties" xmlns:vt="http://schemas.openxmlformats.org/officeDocument/2006/docPropsVTypes">
  <Template>Normal</Template>
  <Pages>8</Pages>
  <Words>3635</Words>
  <Characters>5239</Characters>
  <Lines>68</Lines>
  <Paragraphs>19</Paragraphs>
  <TotalTime>165</TotalTime>
  <ScaleCrop>false</ScaleCrop>
  <LinksUpToDate>false</LinksUpToDate>
  <CharactersWithSpaces>5353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2021-11-12T12:25:00Z</dcterms:created>
  <dc:creator>Food and Drug Administration</dc:creator>
  <cp:lastModifiedBy>太极箫客</cp:lastModifiedBy>
  <dcterms:modified xsi:type="dcterms:W3CDTF">2025-08-14T07:26:34Z</dcterms:modified>
  <dc:subject>Draft guidance for sponsors, sponsor-investigators, researchers, industry, and FDA Staff</dc:subject>
  <dc:title>Certificates of Confidentiality Draft Guidance</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D0197C4685084985A6724E2CFE16DE5B_12</vt:lpwstr>
  </property>
</Properties>
</file>