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F7E2C">
      <w:pPr>
        <w:snapToGrid w:val="0"/>
        <w:spacing w:before="156" w:beforeLines="50" w:after="156" w:afterLines="50" w:line="300" w:lineRule="auto"/>
        <w:jc w:val="center"/>
        <w:rPr>
          <w:rFonts w:ascii="Arial" w:hAnsi="Arial" w:eastAsia="宋体" w:cs="Arial"/>
          <w:b/>
          <w:sz w:val="36"/>
          <w:szCs w:val="36"/>
        </w:rPr>
      </w:pPr>
      <w:bookmarkStart w:id="10" w:name="_GoBack"/>
      <w:bookmarkEnd w:id="10"/>
      <w:r>
        <w:rPr>
          <w:rFonts w:ascii="Arial" w:hAnsi="Arial" w:eastAsia="宋体" w:cs="Arial"/>
          <w:b/>
          <w:sz w:val="36"/>
          <w:szCs w:val="36"/>
        </w:rPr>
        <w:t>认定510（k）器械预期用途；CDRH工作人员指南（更新至K98-1）</w:t>
      </w:r>
    </w:p>
    <w:p w14:paraId="1883FEF0">
      <w:pPr>
        <w:snapToGrid w:val="0"/>
        <w:spacing w:before="468" w:beforeLines="150" w:after="468" w:afterLines="150" w:line="300" w:lineRule="auto"/>
        <w:jc w:val="center"/>
        <w:rPr>
          <w:rFonts w:ascii="Arial" w:hAnsi="Arial" w:eastAsia="宋体" w:cs="Arial"/>
        </w:rPr>
      </w:pPr>
      <w:r>
        <w:rPr>
          <w:rFonts w:ascii="Arial" w:hAnsi="Arial" w:eastAsia="宋体" w:cs="Arial"/>
        </w:rPr>
        <w:t>文件发布日期：2002年12月3日</w:t>
      </w:r>
    </w:p>
    <w:p w14:paraId="6CFE0663">
      <w:pPr>
        <w:snapToGrid w:val="0"/>
        <w:spacing w:before="156" w:beforeLines="50" w:after="156" w:afterLines="50" w:line="300" w:lineRule="auto"/>
        <w:jc w:val="center"/>
        <w:rPr>
          <w:rFonts w:ascii="Arial" w:hAnsi="Arial" w:eastAsia="宋体" w:cs="Arial"/>
        </w:rPr>
      </w:pPr>
      <w:r>
        <w:rPr>
          <w:rFonts w:ascii="Arial" w:hAnsi="Arial" w:eastAsia="宋体" w:cs="Arial"/>
        </w:rPr>
        <w:t>本文件替代于1998年1月30日发布的认定510（k）器械预期用途；行业和CDRH工作人员指南</w:t>
      </w:r>
    </w:p>
    <w:p w14:paraId="75684DAD">
      <w:pPr>
        <w:snapToGrid w:val="0"/>
        <w:spacing w:before="156" w:beforeLines="50" w:after="156" w:afterLines="50" w:line="300" w:lineRule="auto"/>
        <w:jc w:val="center"/>
        <w:rPr>
          <w:rFonts w:ascii="Arial" w:hAnsi="Arial" w:eastAsia="宋体" w:cs="Arial"/>
        </w:rPr>
      </w:pPr>
    </w:p>
    <w:p w14:paraId="77132D9B">
      <w:pPr>
        <w:snapToGrid w:val="0"/>
        <w:spacing w:before="156" w:beforeLines="50" w:after="156" w:afterLines="50" w:line="300" w:lineRule="auto"/>
        <w:jc w:val="center"/>
        <w:rPr>
          <w:rFonts w:ascii="Arial" w:hAnsi="Arial" w:eastAsia="宋体" w:cs="Arial"/>
        </w:rPr>
      </w:pPr>
    </w:p>
    <w:p w14:paraId="7AD2A2C4">
      <w:pPr>
        <w:snapToGrid w:val="0"/>
        <w:spacing w:before="156" w:beforeLines="50" w:after="156" w:afterLines="50" w:line="300" w:lineRule="auto"/>
        <w:jc w:val="center"/>
        <w:rPr>
          <w:rFonts w:ascii="Arial" w:hAnsi="Arial" w:eastAsia="宋体" w:cs="Arial"/>
        </w:rPr>
      </w:pPr>
      <w:r>
        <w:rPr>
          <w:rFonts w:ascii="Arial" w:hAnsi="Arial" w:eastAsia="宋体" w:cs="Arial"/>
        </w:rPr>
        <mc:AlternateContent>
          <mc:Choice Requires="wps">
            <w:drawing>
              <wp:anchor distT="0" distB="0" distL="114300" distR="114300" simplePos="0" relativeHeight="251659264" behindDoc="0" locked="0" layoutInCell="1" allowOverlap="1">
                <wp:simplePos x="0" y="0"/>
                <wp:positionH relativeFrom="column">
                  <wp:posOffset>220345</wp:posOffset>
                </wp:positionH>
                <wp:positionV relativeFrom="paragraph">
                  <wp:posOffset>290195</wp:posOffset>
                </wp:positionV>
                <wp:extent cx="1985645" cy="1711325"/>
                <wp:effectExtent l="0" t="0" r="0" b="0"/>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85645" cy="1711325"/>
                        </a:xfrm>
                        <a:prstGeom prst="rect">
                          <a:avLst/>
                        </a:prstGeom>
                        <a:noFill/>
                        <a:ln>
                          <a:noFill/>
                        </a:ln>
                      </wps:spPr>
                      <wps:txbx>
                        <w:txbxContent>
                          <w:p w14:paraId="7B364D83">
                            <w:r>
                              <w:drawing>
                                <wp:inline distT="0" distB="0" distL="0" distR="0">
                                  <wp:extent cx="1152525" cy="12001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152686" cy="120031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7.35pt;margin-top:22.85pt;height:134.75pt;width:156.35pt;z-index:251659264;mso-width-relative:page;mso-height-relative:page;" filled="f" stroked="f" coordsize="21600,21600" o:gfxdata="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pMQ9LVAAAACQEAAA8AAAAAAAAAAQAgAAAAIgAAAGRy&#10;cy9kb3ducmV2LnhtbFBLAQIUABQAAAAIAIdO4kC2j2ohCAIAABUEAAAOAAAAAAAAAAEAIAAAACQB&#10;AABkcnMvZTJvRG9jLnhtbFBLBQYAAAAABgAGAFkBAACeBQAAAAA=&#10;">
                <v:fill on="f" focussize="0,0"/>
                <v:stroke on="f"/>
                <v:imagedata o:title=""/>
                <o:lock v:ext="edit" aspectratio="f"/>
                <v:textbox>
                  <w:txbxContent>
                    <w:p w14:paraId="7B364D83">
                      <w:r>
                        <w:drawing>
                          <wp:inline distT="0" distB="0" distL="0" distR="0">
                            <wp:extent cx="1152525" cy="12001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152686" cy="1200318"/>
                                    </a:xfrm>
                                    <a:prstGeom prst="rect">
                                      <a:avLst/>
                                    </a:prstGeom>
                                  </pic:spPr>
                                </pic:pic>
                              </a:graphicData>
                            </a:graphic>
                          </wp:inline>
                        </w:drawing>
                      </w:r>
                    </w:p>
                  </w:txbxContent>
                </v:textbox>
              </v:shape>
            </w:pict>
          </mc:Fallback>
        </mc:AlternateContent>
      </w:r>
    </w:p>
    <w:p w14:paraId="45BFCCC3">
      <w:pPr>
        <w:snapToGrid w:val="0"/>
        <w:spacing w:before="156" w:beforeLines="50" w:after="156" w:afterLines="50" w:line="300" w:lineRule="auto"/>
        <w:jc w:val="center"/>
        <w:rPr>
          <w:rFonts w:ascii="Arial" w:hAnsi="Arial" w:eastAsia="宋体" w:cs="Arial"/>
        </w:rPr>
      </w:pPr>
    </w:p>
    <w:p w14:paraId="2B81C9B2">
      <w:pPr>
        <w:snapToGrid w:val="0"/>
        <w:spacing w:before="156" w:beforeLines="50" w:after="156" w:afterLines="50" w:line="300" w:lineRule="auto"/>
        <w:jc w:val="center"/>
        <w:rPr>
          <w:rFonts w:ascii="Arial" w:hAnsi="Arial" w:eastAsia="宋体" w:cs="Arial"/>
        </w:rPr>
      </w:pPr>
    </w:p>
    <w:p w14:paraId="35B7D657">
      <w:pPr>
        <w:snapToGrid w:val="0"/>
        <w:spacing w:before="156" w:beforeLines="50" w:after="156" w:afterLines="50" w:line="300" w:lineRule="auto"/>
        <w:jc w:val="center"/>
        <w:rPr>
          <w:rFonts w:ascii="Arial" w:hAnsi="Arial" w:eastAsia="宋体" w:cs="Arial"/>
        </w:rPr>
      </w:pPr>
    </w:p>
    <w:p w14:paraId="150B7A1C">
      <w:pPr>
        <w:snapToGrid w:val="0"/>
        <w:spacing w:before="156" w:beforeLines="50" w:after="156" w:afterLines="50" w:line="300" w:lineRule="auto"/>
        <w:jc w:val="center"/>
        <w:rPr>
          <w:rFonts w:ascii="Arial" w:hAnsi="Arial" w:eastAsia="宋体" w:cs="Arial"/>
        </w:rPr>
      </w:pPr>
    </w:p>
    <w:p w14:paraId="0962C0D8">
      <w:pPr>
        <w:snapToGrid w:val="0"/>
        <w:spacing w:before="156" w:beforeLines="50" w:after="156" w:afterLines="50" w:line="300" w:lineRule="auto"/>
        <w:jc w:val="right"/>
        <w:rPr>
          <w:rFonts w:ascii="Arial" w:hAnsi="Arial" w:eastAsia="宋体" w:cs="Arial"/>
        </w:rPr>
      </w:pPr>
      <w:r>
        <w:rPr>
          <w:rFonts w:ascii="Arial" w:hAnsi="Arial" w:eastAsia="宋体" w:cs="Arial"/>
        </w:rPr>
        <w:t>美国卫生与公众服务部</w:t>
      </w:r>
    </w:p>
    <w:p w14:paraId="5733DBFB">
      <w:pPr>
        <w:snapToGrid w:val="0"/>
        <w:spacing w:before="156" w:beforeLines="50" w:after="156" w:afterLines="50" w:line="300" w:lineRule="auto"/>
        <w:jc w:val="right"/>
        <w:rPr>
          <w:rFonts w:ascii="Arial" w:hAnsi="Arial" w:eastAsia="宋体" w:cs="Arial"/>
        </w:rPr>
      </w:pPr>
      <w:r>
        <w:rPr>
          <w:rFonts w:ascii="Arial" w:hAnsi="Arial" w:eastAsia="宋体" w:cs="Arial"/>
        </w:rPr>
        <w:t>食品药品监督管理局</w:t>
      </w:r>
    </w:p>
    <w:p w14:paraId="56FCE038">
      <w:pPr>
        <w:snapToGrid w:val="0"/>
        <w:spacing w:before="156" w:beforeLines="50" w:after="156" w:afterLines="50" w:line="300" w:lineRule="auto"/>
        <w:jc w:val="right"/>
        <w:rPr>
          <w:rFonts w:ascii="Arial" w:hAnsi="Arial" w:eastAsia="宋体" w:cs="Arial"/>
        </w:rPr>
      </w:pPr>
      <w:r>
        <w:rPr>
          <w:rFonts w:ascii="Arial" w:hAnsi="Arial" w:eastAsia="宋体" w:cs="Arial"/>
        </w:rPr>
        <w:t>器械与放射健康中心</w:t>
      </w:r>
    </w:p>
    <w:p w14:paraId="2E85CD74">
      <w:pPr>
        <w:snapToGrid w:val="0"/>
        <w:spacing w:before="156" w:beforeLines="50" w:after="156" w:afterLines="50" w:line="300" w:lineRule="auto"/>
        <w:jc w:val="right"/>
        <w:rPr>
          <w:rFonts w:ascii="Arial" w:hAnsi="Arial" w:eastAsia="宋体" w:cs="Arial"/>
        </w:rPr>
      </w:pPr>
    </w:p>
    <w:p w14:paraId="20E4FA8D">
      <w:pPr>
        <w:snapToGrid w:val="0"/>
        <w:spacing w:before="156" w:beforeLines="50" w:after="156" w:afterLines="50" w:line="300" w:lineRule="auto"/>
        <w:jc w:val="right"/>
        <w:rPr>
          <w:rFonts w:ascii="Arial" w:hAnsi="Arial" w:eastAsia="宋体" w:cs="Arial"/>
        </w:rPr>
      </w:pPr>
      <w:r>
        <w:rPr>
          <w:rFonts w:ascii="Arial" w:hAnsi="Arial" w:eastAsia="宋体" w:cs="Arial"/>
        </w:rPr>
        <w:t>器械评估办公室和</w:t>
      </w:r>
    </w:p>
    <w:p w14:paraId="5CE7A603">
      <w:pPr>
        <w:snapToGrid w:val="0"/>
        <w:spacing w:before="156" w:beforeLines="50" w:after="156" w:afterLines="50" w:line="300" w:lineRule="auto"/>
        <w:jc w:val="right"/>
        <w:rPr>
          <w:rFonts w:ascii="Arial" w:hAnsi="Arial" w:eastAsia="宋体" w:cs="Arial"/>
        </w:rPr>
      </w:pPr>
      <w:r>
        <w:rPr>
          <w:rFonts w:ascii="Arial" w:hAnsi="Arial" w:eastAsia="宋体" w:cs="Arial"/>
        </w:rPr>
        <w:t>体外诊断器械评估和安全办公室</w:t>
      </w:r>
    </w:p>
    <w:p w14:paraId="7E1CEB82">
      <w:pPr>
        <w:snapToGrid w:val="0"/>
        <w:spacing w:before="156" w:beforeLines="50" w:after="156" w:afterLines="50" w:line="300" w:lineRule="auto"/>
        <w:rPr>
          <w:rFonts w:ascii="Arial" w:hAnsi="Arial" w:eastAsia="宋体" w:cs="Arial"/>
        </w:rPr>
      </w:pPr>
    </w:p>
    <w:p w14:paraId="4E15A732">
      <w:pPr>
        <w:snapToGrid w:val="0"/>
        <w:spacing w:before="156" w:beforeLines="50" w:after="156" w:afterLines="50" w:line="300" w:lineRule="auto"/>
        <w:rPr>
          <w:rFonts w:ascii="Arial" w:hAnsi="Arial" w:eastAsia="宋体" w:cs="Arial"/>
        </w:rPr>
      </w:pPr>
    </w:p>
    <w:p w14:paraId="288EC6A8">
      <w:pPr>
        <w:snapToGrid w:val="0"/>
        <w:spacing w:before="156" w:beforeLines="50" w:after="156" w:afterLines="50" w:line="300" w:lineRule="auto"/>
        <w:rPr>
          <w:rFonts w:ascii="Arial" w:hAnsi="Arial" w:eastAsia="宋体" w:cs="Arial"/>
        </w:rPr>
      </w:pPr>
    </w:p>
    <w:p w14:paraId="620B11C5">
      <w:pPr>
        <w:snapToGrid w:val="0"/>
        <w:spacing w:before="156" w:beforeLines="50" w:after="156" w:afterLines="50" w:line="300" w:lineRule="auto"/>
        <w:rPr>
          <w:rFonts w:ascii="Arial" w:hAnsi="Arial" w:eastAsia="宋体" w:cs="Arial"/>
        </w:rPr>
      </w:pPr>
    </w:p>
    <w:p w14:paraId="7EE124F7">
      <w:pPr>
        <w:snapToGrid w:val="0"/>
        <w:spacing w:before="156" w:beforeLines="50" w:after="156" w:afterLines="50" w:line="300" w:lineRule="auto"/>
        <w:rPr>
          <w:rFonts w:ascii="Arial" w:hAnsi="Arial" w:eastAsia="宋体" w:cs="Arial"/>
        </w:rPr>
      </w:pPr>
    </w:p>
    <w:p w14:paraId="65424F7E">
      <w:pPr>
        <w:snapToGrid w:val="0"/>
        <w:spacing w:before="156" w:beforeLines="50" w:after="156" w:afterLines="50" w:line="300" w:lineRule="auto"/>
        <w:rPr>
          <w:rFonts w:ascii="Arial" w:hAnsi="Arial" w:eastAsia="宋体" w:cs="Arial"/>
        </w:rPr>
      </w:pPr>
    </w:p>
    <w:p w14:paraId="6B658276">
      <w:pPr>
        <w:snapToGrid w:val="0"/>
        <w:spacing w:before="156" w:beforeLines="50" w:after="156" w:afterLines="50" w:line="300" w:lineRule="auto"/>
        <w:rPr>
          <w:rFonts w:ascii="Arial" w:hAnsi="Arial" w:eastAsia="宋体" w:cs="Arial"/>
        </w:rPr>
      </w:pPr>
    </w:p>
    <w:p w14:paraId="444B3913">
      <w:pPr>
        <w:snapToGrid w:val="0"/>
        <w:spacing w:before="156" w:beforeLines="50" w:after="156" w:afterLines="50" w:line="300" w:lineRule="auto"/>
        <w:rPr>
          <w:rFonts w:ascii="Arial" w:hAnsi="Arial" w:eastAsia="宋体" w:cs="Arial"/>
        </w:rPr>
      </w:pPr>
    </w:p>
    <w:p w14:paraId="03D8EFC3">
      <w:pPr>
        <w:snapToGrid w:val="0"/>
        <w:spacing w:before="156" w:beforeLines="50" w:after="156" w:afterLines="50" w:line="300" w:lineRule="auto"/>
        <w:rPr>
          <w:rFonts w:ascii="Arial" w:hAnsi="Arial" w:eastAsia="宋体" w:cs="Arial"/>
        </w:rPr>
      </w:pPr>
    </w:p>
    <w:p w14:paraId="2C00A193">
      <w:pPr>
        <w:snapToGrid w:val="0"/>
        <w:spacing w:before="156" w:beforeLines="50" w:after="156" w:afterLines="50" w:line="300" w:lineRule="auto"/>
        <w:rPr>
          <w:rFonts w:ascii="Arial" w:hAnsi="Arial" w:eastAsia="宋体" w:cs="Arial"/>
        </w:rPr>
      </w:pPr>
    </w:p>
    <w:p w14:paraId="45BBF201">
      <w:pPr>
        <w:snapToGrid w:val="0"/>
        <w:spacing w:before="156" w:beforeLines="50" w:after="156" w:afterLines="50" w:line="300" w:lineRule="auto"/>
        <w:rPr>
          <w:rFonts w:ascii="Arial" w:hAnsi="Arial" w:eastAsia="宋体" w:cs="Arial"/>
        </w:rPr>
      </w:pPr>
    </w:p>
    <w:p w14:paraId="0974002C">
      <w:pPr>
        <w:snapToGrid w:val="0"/>
        <w:spacing w:before="156" w:beforeLines="50" w:after="156" w:afterLines="50" w:line="300" w:lineRule="auto"/>
        <w:rPr>
          <w:rFonts w:ascii="Arial" w:hAnsi="Arial" w:eastAsia="宋体" w:cs="Arial"/>
        </w:rPr>
      </w:pPr>
    </w:p>
    <w:p w14:paraId="5EFB448F">
      <w:pPr>
        <w:snapToGrid w:val="0"/>
        <w:spacing w:before="156" w:beforeLines="50" w:after="156" w:afterLines="50" w:line="300" w:lineRule="auto"/>
        <w:rPr>
          <w:rFonts w:ascii="Arial" w:hAnsi="Arial" w:eastAsia="宋体" w:cs="Arial"/>
        </w:rPr>
      </w:pPr>
    </w:p>
    <w:p w14:paraId="3B65FECE">
      <w:pPr>
        <w:snapToGrid w:val="0"/>
        <w:spacing w:before="156" w:beforeLines="50" w:after="156" w:afterLines="50" w:line="300" w:lineRule="auto"/>
        <w:jc w:val="center"/>
        <w:rPr>
          <w:rFonts w:ascii="Arial" w:hAnsi="Arial" w:eastAsia="宋体" w:cs="Arial"/>
          <w:b/>
          <w:sz w:val="36"/>
          <w:szCs w:val="36"/>
        </w:rPr>
      </w:pPr>
      <w:r>
        <w:rPr>
          <w:rFonts w:ascii="Arial" w:hAnsi="Arial" w:eastAsia="宋体" w:cs="Arial"/>
          <w:b/>
          <w:sz w:val="36"/>
          <w:szCs w:val="36"/>
        </w:rPr>
        <w:t>前言</w:t>
      </w:r>
    </w:p>
    <w:p w14:paraId="7EB3227F">
      <w:pPr>
        <w:snapToGrid w:val="0"/>
        <w:spacing w:before="156" w:beforeLines="50" w:after="156" w:afterLines="50" w:line="300" w:lineRule="auto"/>
        <w:rPr>
          <w:rFonts w:ascii="Arial" w:hAnsi="Arial" w:eastAsia="宋体" w:cs="Arial"/>
          <w:b/>
          <w:sz w:val="28"/>
          <w:szCs w:val="28"/>
        </w:rPr>
      </w:pPr>
      <w:r>
        <w:rPr>
          <w:rFonts w:ascii="Arial" w:hAnsi="Arial" w:eastAsia="宋体" w:cs="Arial"/>
          <w:b/>
          <w:sz w:val="28"/>
          <w:szCs w:val="28"/>
        </w:rPr>
        <w:t>公众评论</w:t>
      </w:r>
    </w:p>
    <w:p w14:paraId="4C5571AB">
      <w:pPr>
        <w:snapToGrid w:val="0"/>
        <w:spacing w:before="156" w:beforeLines="50" w:after="156" w:afterLines="50" w:line="300" w:lineRule="auto"/>
        <w:rPr>
          <w:rFonts w:ascii="Arial" w:hAnsi="Arial" w:eastAsia="宋体" w:cs="Arial"/>
        </w:rPr>
      </w:pPr>
      <w:r>
        <w:rPr>
          <w:rFonts w:ascii="Arial" w:hAnsi="Arial" w:eastAsia="宋体" w:cs="Arial"/>
        </w:rPr>
        <w:t>可随时向食品药品监督管理局，人力资源和管理服务办公室，管理系统和政策部，档案管理分部，5630 Fishers Lane, Room 1061, （HFA-305）, Rockville, MD, 20852提交评论和建议，供部门审议。提交评论时，应参考档案编号98D-0081。可能直到文件下次修订或更新时，评论才会被机构受理。</w:t>
      </w:r>
    </w:p>
    <w:p w14:paraId="115C7CAB">
      <w:pPr>
        <w:snapToGrid w:val="0"/>
        <w:spacing w:before="156" w:beforeLines="50" w:after="156" w:afterLines="50" w:line="300" w:lineRule="auto"/>
        <w:rPr>
          <w:rFonts w:ascii="Arial" w:hAnsi="Arial" w:eastAsia="宋体" w:cs="Arial"/>
        </w:rPr>
      </w:pPr>
      <w:r>
        <w:rPr>
          <w:rFonts w:ascii="Arial" w:hAnsi="Arial" w:eastAsia="宋体" w:cs="Arial"/>
        </w:rPr>
        <w:t>若有与使用或解释本指南相关的问题，请联系上市前通告（510（k））部门，电话301-796-5640。</w:t>
      </w:r>
    </w:p>
    <w:p w14:paraId="73B61D10">
      <w:pPr>
        <w:snapToGrid w:val="0"/>
        <w:spacing w:before="156" w:beforeLines="50" w:after="156" w:afterLines="50" w:line="300" w:lineRule="auto"/>
        <w:rPr>
          <w:rFonts w:ascii="Arial" w:hAnsi="Arial" w:eastAsia="宋体" w:cs="Arial"/>
          <w:b/>
          <w:sz w:val="28"/>
          <w:szCs w:val="28"/>
        </w:rPr>
      </w:pPr>
      <w:r>
        <w:rPr>
          <w:rFonts w:ascii="Arial" w:hAnsi="Arial" w:eastAsia="宋体" w:cs="Arial"/>
          <w:b/>
          <w:sz w:val="28"/>
          <w:szCs w:val="28"/>
        </w:rPr>
        <w:t>其他副本</w:t>
      </w:r>
    </w:p>
    <w:p w14:paraId="257A4238">
      <w:pPr>
        <w:snapToGrid w:val="0"/>
        <w:spacing w:before="156" w:beforeLines="50" w:after="156" w:afterLines="50" w:line="300" w:lineRule="auto"/>
        <w:rPr>
          <w:rFonts w:ascii="Arial" w:hAnsi="Arial" w:eastAsia="宋体" w:cs="Arial"/>
        </w:rPr>
      </w:pPr>
      <w:r>
        <w:rPr>
          <w:rFonts w:ascii="Arial" w:hAnsi="Arial" w:eastAsia="宋体" w:cs="Arial"/>
        </w:rPr>
        <w:t>可通过网站：</w:t>
      </w:r>
      <w:r>
        <w:fldChar w:fldCharType="begin"/>
      </w:r>
      <w:r>
        <w:instrText xml:space="preserve"> HYPERLINK "http://www.fda.gov/cdrh/ode/guidance/857.pdf" </w:instrText>
      </w:r>
      <w:r>
        <w:fldChar w:fldCharType="separate"/>
      </w:r>
      <w:r>
        <w:rPr>
          <w:rStyle w:val="9"/>
          <w:rFonts w:ascii="Arial" w:hAnsi="Arial" w:eastAsia="宋体" w:cs="Arial"/>
        </w:rPr>
        <w:t>http://www.fda.gov/cdrh/ode/guidance/857.pdf</w:t>
      </w:r>
      <w:r>
        <w:rPr>
          <w:rStyle w:val="9"/>
          <w:rFonts w:ascii="Arial" w:hAnsi="Arial" w:eastAsia="宋体" w:cs="Arial"/>
        </w:rPr>
        <w:fldChar w:fldCharType="end"/>
      </w:r>
      <w:r>
        <w:rPr>
          <w:rFonts w:ascii="Arial" w:hAnsi="Arial" w:eastAsia="宋体" w:cs="Arial"/>
        </w:rPr>
        <w:t>获得额外副本，或利用贵公司的传真机，拨打资源索取自动回传系统的按键电话，800-899-0381或301-827-0111获得本文件。按1，进入系统。在听到第二声语音提示时，按下1订购本文件。输入文件编号（857），随后，按下井号键（#）。按照后续提示音来完成贵公司的申请。</w:t>
      </w:r>
    </w:p>
    <w:p w14:paraId="2E7C4DEC">
      <w:pPr>
        <w:snapToGrid w:val="0"/>
        <w:spacing w:before="156" w:beforeLines="50" w:after="156" w:afterLines="50" w:line="300" w:lineRule="auto"/>
        <w:rPr>
          <w:rFonts w:ascii="Arial" w:hAnsi="Arial" w:eastAsia="宋体" w:cs="Arial"/>
        </w:rPr>
      </w:pPr>
    </w:p>
    <w:p w14:paraId="4E8DE499">
      <w:pPr>
        <w:snapToGrid w:val="0"/>
        <w:spacing w:before="156" w:beforeLines="50" w:after="156" w:afterLines="50" w:line="300" w:lineRule="auto"/>
        <w:rPr>
          <w:rFonts w:ascii="Arial" w:hAnsi="Arial" w:eastAsia="宋体" w:cs="Arial"/>
        </w:rPr>
      </w:pPr>
    </w:p>
    <w:p w14:paraId="03A26F34">
      <w:pPr>
        <w:snapToGrid w:val="0"/>
        <w:spacing w:before="156" w:beforeLines="50" w:after="156" w:afterLines="50" w:line="300" w:lineRule="auto"/>
        <w:rPr>
          <w:rFonts w:ascii="Arial" w:hAnsi="Arial" w:eastAsia="宋体" w:cs="Arial"/>
        </w:rPr>
      </w:pPr>
    </w:p>
    <w:p w14:paraId="288789C9">
      <w:pPr>
        <w:snapToGrid w:val="0"/>
        <w:spacing w:before="156" w:beforeLines="50" w:after="156" w:afterLines="50" w:line="300" w:lineRule="auto"/>
        <w:rPr>
          <w:rFonts w:ascii="Arial" w:hAnsi="Arial" w:eastAsia="宋体" w:cs="Arial"/>
        </w:rPr>
      </w:pPr>
    </w:p>
    <w:p w14:paraId="1AAD0F07">
      <w:pPr>
        <w:snapToGrid w:val="0"/>
        <w:spacing w:before="156" w:beforeLines="50" w:after="156" w:afterLines="50" w:line="300" w:lineRule="auto"/>
        <w:rPr>
          <w:rFonts w:ascii="Arial" w:hAnsi="Arial" w:eastAsia="宋体" w:cs="Arial"/>
        </w:rPr>
      </w:pPr>
    </w:p>
    <w:p w14:paraId="37EA6D76">
      <w:pPr>
        <w:snapToGrid w:val="0"/>
        <w:spacing w:before="156" w:beforeLines="50" w:after="156" w:afterLines="50" w:line="300" w:lineRule="auto"/>
        <w:rPr>
          <w:rFonts w:ascii="Arial" w:hAnsi="Arial" w:eastAsia="宋体" w:cs="Arial"/>
        </w:rPr>
      </w:pPr>
    </w:p>
    <w:p w14:paraId="728400D0">
      <w:pPr>
        <w:snapToGrid w:val="0"/>
        <w:spacing w:before="156" w:beforeLines="50" w:after="156" w:afterLines="50" w:line="300" w:lineRule="auto"/>
        <w:rPr>
          <w:rFonts w:ascii="Arial" w:hAnsi="Arial" w:eastAsia="宋体" w:cs="Arial"/>
        </w:rPr>
      </w:pPr>
    </w:p>
    <w:p w14:paraId="15A063AC">
      <w:pPr>
        <w:snapToGrid w:val="0"/>
        <w:spacing w:before="156" w:beforeLines="50" w:after="156" w:afterLines="50" w:line="300" w:lineRule="auto"/>
        <w:rPr>
          <w:rFonts w:ascii="Arial" w:hAnsi="Arial" w:eastAsia="宋体" w:cs="Arial"/>
        </w:rPr>
      </w:pPr>
    </w:p>
    <w:p w14:paraId="66B7590B">
      <w:pPr>
        <w:snapToGrid w:val="0"/>
        <w:spacing w:before="156" w:beforeLines="50" w:after="156" w:afterLines="50" w:line="300" w:lineRule="auto"/>
        <w:rPr>
          <w:rFonts w:ascii="Arial" w:hAnsi="Arial" w:eastAsia="宋体" w:cs="Arial"/>
        </w:rPr>
      </w:pPr>
    </w:p>
    <w:p w14:paraId="39B3453C">
      <w:pPr>
        <w:snapToGrid w:val="0"/>
        <w:spacing w:before="156" w:beforeLines="50" w:after="156" w:afterLines="50" w:line="300" w:lineRule="auto"/>
        <w:rPr>
          <w:rFonts w:ascii="Arial" w:hAnsi="Arial" w:eastAsia="宋体" w:cs="Arial"/>
        </w:rPr>
      </w:pPr>
    </w:p>
    <w:p w14:paraId="7DBFE303">
      <w:pPr>
        <w:snapToGrid w:val="0"/>
        <w:spacing w:before="156" w:beforeLines="50" w:after="156" w:afterLines="50" w:line="300" w:lineRule="auto"/>
        <w:rPr>
          <w:rFonts w:ascii="Arial" w:hAnsi="Arial" w:eastAsia="宋体" w:cs="Arial"/>
        </w:rPr>
      </w:pPr>
    </w:p>
    <w:p w14:paraId="4DFD779B">
      <w:pPr>
        <w:snapToGrid w:val="0"/>
        <w:spacing w:before="156" w:beforeLines="50" w:after="156" w:afterLines="50" w:line="300" w:lineRule="auto"/>
        <w:rPr>
          <w:rFonts w:ascii="Arial" w:hAnsi="Arial" w:eastAsia="宋体" w:cs="Arial"/>
        </w:rPr>
      </w:pPr>
    </w:p>
    <w:p w14:paraId="37779353">
      <w:pPr>
        <w:snapToGrid w:val="0"/>
        <w:spacing w:before="156" w:beforeLines="50" w:after="156" w:afterLines="50" w:line="300" w:lineRule="auto"/>
        <w:rPr>
          <w:rFonts w:ascii="Arial" w:hAnsi="Arial" w:eastAsia="宋体" w:cs="Arial"/>
        </w:rPr>
      </w:pPr>
    </w:p>
    <w:p w14:paraId="7E89531F">
      <w:pPr>
        <w:snapToGrid w:val="0"/>
        <w:spacing w:before="156" w:beforeLines="50" w:after="156" w:afterLines="50" w:line="300" w:lineRule="auto"/>
        <w:rPr>
          <w:rFonts w:ascii="Arial" w:hAnsi="Arial" w:eastAsia="宋体" w:cs="Arial"/>
        </w:rPr>
      </w:pPr>
    </w:p>
    <w:p w14:paraId="63BA0D7D">
      <w:pPr>
        <w:snapToGrid w:val="0"/>
        <w:spacing w:before="156" w:beforeLines="50" w:after="156" w:afterLines="50" w:line="300" w:lineRule="auto"/>
        <w:rPr>
          <w:rFonts w:ascii="Arial" w:hAnsi="Arial" w:eastAsia="宋体" w:cs="Arial"/>
        </w:rPr>
      </w:pPr>
    </w:p>
    <w:p w14:paraId="0AC53D97">
      <w:pPr>
        <w:snapToGrid w:val="0"/>
        <w:spacing w:before="156" w:beforeLines="50" w:after="156" w:afterLines="50" w:line="300" w:lineRule="auto"/>
        <w:rPr>
          <w:rFonts w:ascii="Arial" w:hAnsi="Arial" w:eastAsia="宋体" w:cs="Arial"/>
        </w:rPr>
      </w:pPr>
    </w:p>
    <w:p w14:paraId="2E0EBE42">
      <w:pPr>
        <w:snapToGrid w:val="0"/>
        <w:spacing w:before="156" w:beforeLines="50" w:after="156" w:afterLines="50" w:line="300" w:lineRule="auto"/>
        <w:rPr>
          <w:rFonts w:ascii="Arial" w:hAnsi="Arial" w:eastAsia="宋体" w:cs="Arial"/>
        </w:rPr>
      </w:pPr>
    </w:p>
    <w:p w14:paraId="77CFF6E9">
      <w:pPr>
        <w:snapToGrid w:val="0"/>
        <w:spacing w:before="156" w:beforeLines="50" w:after="156" w:afterLines="50" w:line="300" w:lineRule="auto"/>
        <w:rPr>
          <w:rFonts w:ascii="Arial" w:hAnsi="Arial" w:eastAsia="宋体" w:cs="Arial"/>
        </w:rPr>
      </w:pPr>
    </w:p>
    <w:p w14:paraId="49952A66">
      <w:pPr>
        <w:snapToGrid w:val="0"/>
        <w:spacing w:before="156" w:beforeLines="50" w:after="156" w:afterLines="50" w:line="300" w:lineRule="auto"/>
        <w:rPr>
          <w:rFonts w:ascii="Arial" w:hAnsi="Arial" w:eastAsia="宋体" w:cs="Arial"/>
          <w:b/>
          <w:sz w:val="36"/>
          <w:szCs w:val="36"/>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14:paraId="18770918">
      <w:pPr>
        <w:snapToGrid w:val="0"/>
        <w:spacing w:before="156" w:beforeLines="50" w:after="156" w:afterLines="50" w:line="300" w:lineRule="auto"/>
        <w:jc w:val="center"/>
        <w:rPr>
          <w:rFonts w:ascii="Arial" w:hAnsi="Arial" w:eastAsia="宋体" w:cs="Arial"/>
          <w:b/>
          <w:sz w:val="36"/>
          <w:szCs w:val="36"/>
        </w:rPr>
      </w:pPr>
      <w:r>
        <w:rPr>
          <w:rFonts w:ascii="Arial" w:hAnsi="Arial" w:eastAsia="宋体" w:cs="Arial"/>
          <w:b/>
          <w:sz w:val="36"/>
          <w:szCs w:val="36"/>
        </w:rPr>
        <w:t>认定510（k） 器械预期用途；CDRH工作人员指南</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1CDD99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06" w:type="dxa"/>
          </w:tcPr>
          <w:p w14:paraId="44D03A28">
            <w:pPr>
              <w:snapToGrid w:val="0"/>
              <w:spacing w:before="156" w:beforeLines="50" w:after="156" w:afterLines="50" w:line="300" w:lineRule="auto"/>
              <w:rPr>
                <w:rFonts w:ascii="Arial" w:hAnsi="Arial" w:eastAsia="宋体" w:cs="Arial"/>
                <w:i/>
              </w:rPr>
            </w:pPr>
            <w:r>
              <w:rPr>
                <w:rFonts w:ascii="Arial" w:hAnsi="Arial" w:eastAsia="宋体" w:cs="Arial"/>
                <w:i/>
              </w:rPr>
              <w:t>本文件旨在提供指南。该文件代表机构目前对本主题的想法。本文件不为或不对任何人赋予任何权利，也不对食品药品监督管理局（FDA）或公众存在任何约束力。可采用符合适用条例和法规要求的其它任何方法。</w:t>
            </w:r>
          </w:p>
        </w:tc>
      </w:tr>
    </w:tbl>
    <w:p w14:paraId="62FD8C8B">
      <w:pPr>
        <w:snapToGrid w:val="0"/>
        <w:spacing w:before="156" w:beforeLines="50" w:after="156" w:afterLines="50" w:line="300" w:lineRule="auto"/>
        <w:rPr>
          <w:rFonts w:ascii="Arial" w:hAnsi="Arial" w:eastAsia="宋体" w:cs="Arial"/>
          <w:b/>
          <w:sz w:val="28"/>
          <w:szCs w:val="28"/>
        </w:rPr>
      </w:pPr>
      <w:r>
        <w:rPr>
          <w:rFonts w:ascii="Arial" w:hAnsi="Arial" w:eastAsia="宋体" w:cs="Arial"/>
          <w:b/>
          <w:sz w:val="28"/>
          <w:szCs w:val="28"/>
        </w:rPr>
        <w:t>目的</w:t>
      </w:r>
    </w:p>
    <w:p w14:paraId="1E6961CE">
      <w:pPr>
        <w:snapToGrid w:val="0"/>
        <w:spacing w:before="156" w:beforeLines="50" w:after="156" w:afterLines="50" w:line="300" w:lineRule="auto"/>
        <w:rPr>
          <w:rFonts w:ascii="Arial" w:hAnsi="Arial" w:eastAsia="宋体" w:cs="Arial"/>
        </w:rPr>
      </w:pPr>
      <w:r>
        <w:rPr>
          <w:rFonts w:ascii="Arial" w:hAnsi="Arial" w:eastAsia="宋体" w:cs="Arial"/>
        </w:rPr>
        <w:t>本指导性文件的主要目的是撤销联邦食品、药品和化妆品法案（法案）中条款513（i）（E）中的落日条款。该落日条款将由2002年颁布的</w:t>
      </w:r>
      <w:r>
        <w:rPr>
          <w:rFonts w:hint="eastAsia" w:eastAsia="宋体"/>
        </w:rPr>
        <w:t>医疗器械使用费和现代化法案</w:t>
      </w:r>
      <w:r>
        <w:rPr>
          <w:rFonts w:ascii="Arial" w:hAnsi="Arial" w:eastAsia="宋体" w:cs="Arial"/>
        </w:rPr>
        <w:t>（MDUFMA）中条款208进行撤销，准许器械与放射健康中心（CDRH）工作人员继续遵循已确立的程序来决定510（k）提交中的预期用途。</w:t>
      </w:r>
    </w:p>
    <w:p w14:paraId="466AD5FE">
      <w:pPr>
        <w:snapToGrid w:val="0"/>
        <w:spacing w:before="156" w:beforeLines="50" w:after="156" w:afterLines="50" w:line="300" w:lineRule="auto"/>
        <w:rPr>
          <w:rFonts w:ascii="Arial" w:hAnsi="Arial" w:eastAsia="宋体" w:cs="Arial"/>
        </w:rPr>
      </w:pPr>
      <w:r>
        <w:rPr>
          <w:rFonts w:ascii="Arial" w:hAnsi="Arial" w:eastAsia="宋体" w:cs="Arial"/>
        </w:rPr>
        <w:t>本指南更新了我们的规程，以便包含自执行条款513（i）（1）（E）以来的微小变更。此外，我们已修订标题，澄清尽管这些规程会对行业造成影响，但是这些规程是CDRH工作人员的规程。本指南替代了1998年1月30日颁布的认定</w:t>
      </w:r>
      <w:r>
        <w:rPr>
          <w:rFonts w:ascii="Arial" w:hAnsi="Arial" w:eastAsia="宋体" w:cs="Arial"/>
          <w:b/>
        </w:rPr>
        <w:t>510（k）器械预期用途；行业和CDRH工作人员指南</w:t>
      </w:r>
      <w:r>
        <w:rPr>
          <w:rFonts w:ascii="Arial" w:hAnsi="Arial" w:eastAsia="宋体" w:cs="Arial"/>
        </w:rPr>
        <w:t>。</w:t>
      </w:r>
    </w:p>
    <w:p w14:paraId="37B319DF">
      <w:pPr>
        <w:snapToGrid w:val="0"/>
        <w:spacing w:before="156" w:beforeLines="50" w:after="156" w:afterLines="50" w:line="300" w:lineRule="auto"/>
        <w:rPr>
          <w:rFonts w:ascii="Arial" w:hAnsi="Arial" w:eastAsia="宋体" w:cs="Arial"/>
          <w:b/>
          <w:sz w:val="28"/>
          <w:szCs w:val="28"/>
        </w:rPr>
      </w:pPr>
      <w:r>
        <w:rPr>
          <w:rFonts w:ascii="Arial" w:hAnsi="Arial" w:eastAsia="宋体" w:cs="Arial"/>
          <w:b/>
          <w:sz w:val="28"/>
          <w:szCs w:val="28"/>
        </w:rPr>
        <w:t>背景</w:t>
      </w:r>
    </w:p>
    <w:p w14:paraId="670C72AD">
      <w:pPr>
        <w:snapToGrid w:val="0"/>
        <w:spacing w:before="156" w:beforeLines="50" w:after="156" w:afterLines="50" w:line="300" w:lineRule="auto"/>
        <w:rPr>
          <w:rFonts w:ascii="Arial" w:hAnsi="Arial" w:eastAsia="宋体" w:cs="Arial"/>
        </w:rPr>
      </w:pPr>
      <w:r>
        <w:rPr>
          <w:rFonts w:ascii="Arial" w:hAnsi="Arial" w:eastAsia="宋体" w:cs="Arial"/>
        </w:rPr>
        <w:t>根据法案中条款513（i）的规定，如已决定</w:t>
      </w:r>
      <w:r>
        <w:rPr>
          <w:rFonts w:hint="eastAsia" w:ascii="Arial" w:hAnsi="Arial" w:eastAsia="宋体" w:cs="Arial"/>
        </w:rPr>
        <w:t>即将</w:t>
      </w:r>
      <w:r>
        <w:rPr>
          <w:rFonts w:ascii="Arial" w:hAnsi="Arial" w:eastAsia="宋体" w:cs="Arial"/>
        </w:rPr>
        <w:t>上市流通的器械与实质等同器械的预期用途相同并且与合法销售的器械具有相同的安全性和有效性时，FDA可能发布关于实质等同性的法规。通常，法案中的条款513（i）（1）（E）通过提交资料中所包含的拟定标签对作为</w:t>
      </w:r>
      <w:r>
        <w:rPr>
          <w:rFonts w:hint="eastAsia" w:ascii="Arial" w:hAnsi="Arial" w:eastAsia="宋体" w:cs="Arial"/>
        </w:rPr>
        <w:t>上市前通告</w:t>
      </w:r>
      <w:r>
        <w:rPr>
          <w:rFonts w:ascii="Arial" w:hAnsi="Arial" w:eastAsia="宋体" w:cs="Arial"/>
        </w:rPr>
        <w:t>（510（k））主体器械的预期用途认定做出了限制。</w:t>
      </w:r>
    </w:p>
    <w:p w14:paraId="6E4392D8">
      <w:pPr>
        <w:snapToGrid w:val="0"/>
        <w:spacing w:before="156" w:beforeLines="50" w:after="156" w:afterLines="50" w:line="300" w:lineRule="auto"/>
        <w:rPr>
          <w:rFonts w:ascii="Arial" w:hAnsi="Arial" w:eastAsia="宋体" w:cs="Arial"/>
        </w:rPr>
      </w:pPr>
      <w:r>
        <w:rPr>
          <w:rFonts w:ascii="Arial" w:hAnsi="Arial" w:eastAsia="宋体" w:cs="Arial"/>
        </w:rPr>
        <w:t>法案条款201（m） 将“标签”定义为“（1）存在于任何物品上或其任何容器或包裹物上，或（2）该物品的任何附属物上的任何标签和其他书写、印刷或具有图像的物质”。认定实质等同性过程中，要求在510（k）提交中提供拟定标签、标记和足以对器械、其预期用途和使用说明进行描述的宣传材料，以供审查。（参见21 CFR 807.87（e））</w:t>
      </w:r>
    </w:p>
    <w:p w14:paraId="236AD379">
      <w:pPr>
        <w:snapToGrid w:val="0"/>
        <w:spacing w:before="156" w:beforeLines="50" w:after="156" w:afterLines="50" w:line="300" w:lineRule="auto"/>
        <w:rPr>
          <w:rFonts w:ascii="Arial" w:hAnsi="Arial" w:eastAsia="宋体" w:cs="Arial"/>
        </w:rPr>
      </w:pPr>
      <w:r>
        <w:rPr>
          <w:rFonts w:ascii="Arial" w:hAnsi="Arial" w:eastAsia="宋体" w:cs="Arial"/>
        </w:rPr>
        <w:t>因此，综上所述，通过对510（k）提交过程中提交的器械标签进行评估，认定器械的预期用途。如名为器械和放射健康中心上市前通告审查计划指南（1986年6月30日）</w:t>
      </w:r>
      <w:r>
        <w:rPr>
          <w:rFonts w:ascii="Arial" w:hAnsi="Arial" w:eastAsia="宋体" w:cs="Arial"/>
          <w:color w:val="0000FF"/>
          <w:kern w:val="0"/>
          <w:sz w:val="24"/>
          <w:szCs w:val="24"/>
        </w:rPr>
        <w:t>http://www.fda.gov/cdrh/k863.html</w:t>
      </w:r>
      <w:r>
        <w:rPr>
          <w:rFonts w:ascii="Arial" w:hAnsi="Arial" w:eastAsia="宋体" w:cs="Arial"/>
        </w:rPr>
        <w:t>的ODE蓝皮书备忘录编号K86-3中所述，“通常，通过参照“标签”或宣传要求来决定预期用途；仅在极少数情况下通过其它类型的信息来推断预期用途”。</w:t>
      </w:r>
    </w:p>
    <w:p w14:paraId="685F4B34">
      <w:pPr>
        <w:snapToGrid w:val="0"/>
        <w:spacing w:before="156" w:beforeLines="50" w:after="156" w:afterLines="50" w:line="300" w:lineRule="auto"/>
        <w:rPr>
          <w:rFonts w:ascii="Arial" w:hAnsi="Arial" w:eastAsia="宋体" w:cs="Arial"/>
        </w:rPr>
      </w:pPr>
    </w:p>
    <w:p w14:paraId="07863ADA">
      <w:pPr>
        <w:snapToGrid w:val="0"/>
        <w:spacing w:before="156" w:beforeLines="50" w:after="156" w:afterLines="50" w:line="300" w:lineRule="auto"/>
        <w:rPr>
          <w:rFonts w:ascii="Arial" w:hAnsi="Arial" w:eastAsia="宋体" w:cs="Arial"/>
        </w:rPr>
      </w:pPr>
    </w:p>
    <w:p w14:paraId="0443E63A">
      <w:pPr>
        <w:snapToGrid w:val="0"/>
        <w:spacing w:before="156" w:beforeLines="50" w:after="156" w:afterLines="50" w:line="300" w:lineRule="auto"/>
        <w:rPr>
          <w:rFonts w:ascii="Arial" w:hAnsi="Arial" w:eastAsia="宋体" w:cs="Arial"/>
        </w:rPr>
      </w:pPr>
    </w:p>
    <w:p w14:paraId="5EF6D59B">
      <w:pPr>
        <w:snapToGrid w:val="0"/>
        <w:spacing w:before="156" w:beforeLines="50" w:after="156" w:afterLines="50" w:line="300" w:lineRule="auto"/>
        <w:rPr>
          <w:rFonts w:ascii="Arial" w:hAnsi="Arial" w:eastAsia="宋体" w:cs="Arial"/>
        </w:rPr>
      </w:pPr>
    </w:p>
    <w:p w14:paraId="1EA5B2E1">
      <w:pPr>
        <w:snapToGrid w:val="0"/>
        <w:spacing w:before="156" w:beforeLines="50" w:after="156" w:afterLines="50" w:line="300" w:lineRule="auto"/>
        <w:rPr>
          <w:rFonts w:ascii="Arial" w:hAnsi="Arial" w:eastAsia="宋体" w:cs="Arial"/>
        </w:rPr>
      </w:pPr>
    </w:p>
    <w:p w14:paraId="4947D820">
      <w:pPr>
        <w:snapToGrid w:val="0"/>
        <w:spacing w:before="156" w:beforeLines="50" w:after="156" w:afterLines="50" w:line="300" w:lineRule="auto"/>
        <w:rPr>
          <w:rFonts w:ascii="Arial" w:hAnsi="Arial" w:eastAsia="宋体" w:cs="Arial"/>
        </w:rPr>
      </w:pPr>
    </w:p>
    <w:p w14:paraId="4E67F024">
      <w:pPr>
        <w:snapToGrid w:val="0"/>
        <w:spacing w:before="156" w:beforeLines="50" w:after="156" w:afterLines="50" w:line="300" w:lineRule="auto"/>
        <w:rPr>
          <w:rFonts w:ascii="Arial" w:hAnsi="Arial" w:eastAsia="宋体" w:cs="Arial"/>
        </w:rPr>
      </w:pPr>
    </w:p>
    <w:p w14:paraId="0C95A67F">
      <w:pPr>
        <w:snapToGrid w:val="0"/>
        <w:spacing w:before="156" w:beforeLines="50" w:after="156" w:afterLines="50" w:line="300" w:lineRule="auto"/>
        <w:rPr>
          <w:rFonts w:ascii="Arial" w:hAnsi="Arial" w:eastAsia="宋体" w:cs="Arial"/>
        </w:rPr>
      </w:pPr>
    </w:p>
    <w:p w14:paraId="035FEA90">
      <w:pPr>
        <w:snapToGrid w:val="0"/>
        <w:spacing w:before="156" w:beforeLines="50" w:after="156" w:afterLines="50" w:line="300" w:lineRule="auto"/>
        <w:rPr>
          <w:rFonts w:ascii="Arial" w:hAnsi="Arial" w:eastAsia="宋体" w:cs="Arial"/>
        </w:rPr>
      </w:pPr>
    </w:p>
    <w:p w14:paraId="68E54CB0">
      <w:pPr>
        <w:snapToGrid w:val="0"/>
        <w:spacing w:before="156" w:beforeLines="50" w:after="156" w:afterLines="50" w:line="300" w:lineRule="auto"/>
        <w:rPr>
          <w:rFonts w:ascii="Arial" w:hAnsi="Arial" w:eastAsia="宋体" w:cs="Arial"/>
        </w:rPr>
      </w:pPr>
      <w:r>
        <w:rPr>
          <w:rFonts w:ascii="Arial" w:hAnsi="Arial" w:eastAsia="宋体" w:cs="Arial"/>
        </w:rPr>
        <w:t>除与决定预期用途相关的限制条件外，如果办公室主任认为“器械可能用于未在器械拟定标签中标明的预期用途”并且“这种应用可能产生危害”，法律定义了一系列需遵循的规程。（参见条款513（i）（1）（E）（ii））。下述对这些规程进行了描述。</w:t>
      </w:r>
    </w:p>
    <w:p w14:paraId="0B79F949">
      <w:pPr>
        <w:snapToGrid w:val="0"/>
        <w:spacing w:before="156" w:beforeLines="50" w:after="156" w:afterLines="50" w:line="300" w:lineRule="auto"/>
        <w:rPr>
          <w:rFonts w:ascii="Arial" w:hAnsi="Arial" w:eastAsia="宋体" w:cs="Arial"/>
          <w:b/>
          <w:sz w:val="28"/>
          <w:szCs w:val="28"/>
        </w:rPr>
      </w:pPr>
      <w:r>
        <w:rPr>
          <w:rFonts w:ascii="Arial" w:hAnsi="Arial" w:eastAsia="宋体" w:cs="Arial"/>
          <w:b/>
          <w:sz w:val="28"/>
          <w:szCs w:val="28"/>
        </w:rPr>
        <w:t>规程</w:t>
      </w:r>
    </w:p>
    <w:p w14:paraId="04096BB3">
      <w:pPr>
        <w:snapToGrid w:val="0"/>
        <w:spacing w:before="156" w:beforeLines="50" w:after="156" w:afterLines="50" w:line="300" w:lineRule="auto"/>
        <w:ind w:left="307" w:leftChars="146" w:firstLine="1"/>
        <w:rPr>
          <w:rFonts w:ascii="Arial" w:hAnsi="Arial" w:eastAsia="宋体" w:cs="Arial"/>
        </w:rPr>
      </w:pPr>
      <w:r>
        <w:rPr>
          <w:rFonts w:ascii="Arial" w:hAnsi="Arial" w:eastAsia="宋体" w:cs="Arial"/>
        </w:rPr>
        <w:t>A. 针对部门工作人员的</w:t>
      </w:r>
      <w:bookmarkStart w:id="0" w:name="OLE_LINK33"/>
      <w:bookmarkStart w:id="1" w:name="OLE_LINK34"/>
      <w:r>
        <w:rPr>
          <w:rFonts w:ascii="Arial" w:hAnsi="Arial" w:eastAsia="宋体" w:cs="Arial"/>
        </w:rPr>
        <w:t>规程</w:t>
      </w:r>
      <w:bookmarkEnd w:id="0"/>
      <w:bookmarkEnd w:id="1"/>
    </w:p>
    <w:p w14:paraId="4F2A7DC3">
      <w:pPr>
        <w:snapToGrid w:val="0"/>
        <w:spacing w:before="156" w:beforeLines="50" w:after="156" w:afterLines="50" w:line="300" w:lineRule="auto"/>
        <w:ind w:left="307" w:leftChars="146" w:firstLine="1"/>
        <w:rPr>
          <w:rFonts w:ascii="Arial" w:hAnsi="Arial" w:eastAsia="宋体" w:cs="Arial"/>
        </w:rPr>
      </w:pPr>
      <w:r>
        <w:rPr>
          <w:rFonts w:ascii="Arial" w:hAnsi="Arial" w:eastAsia="宋体" w:cs="Arial"/>
        </w:rPr>
        <w:t>决定申请510（k）器械的预期用途时，审查者应继续遵循蓝皮书编号K86-3指南，该指南称应根据产品的拟定标签来决定器械的预期用途。如上述定义所述，标签包括器械的实际标签和所有附加信息，如使用说明和宣传材料。</w:t>
      </w:r>
    </w:p>
    <w:p w14:paraId="740C67FE">
      <w:pPr>
        <w:snapToGrid w:val="0"/>
        <w:spacing w:before="156" w:beforeLines="50" w:after="156" w:afterLines="50" w:line="300" w:lineRule="auto"/>
        <w:ind w:left="307" w:leftChars="146" w:firstLine="1"/>
        <w:rPr>
          <w:rFonts w:ascii="Arial" w:hAnsi="Arial" w:eastAsia="宋体" w:cs="Arial"/>
        </w:rPr>
      </w:pPr>
      <w:r>
        <w:rPr>
          <w:rFonts w:ascii="Arial" w:hAnsi="Arial" w:eastAsia="宋体" w:cs="Arial"/>
        </w:rPr>
        <w:t>审查上市前通告时，只在极少数情况下，器械的设计或已公布的、引用提交器械或同类器械的文献会使人们相信可能存在与标签声明预期用途不同的预期用途。一旦出现这种情况，审查者应将这种差异告知部门高级管理层。</w:t>
      </w:r>
    </w:p>
    <w:p w14:paraId="6275329F">
      <w:pPr>
        <w:snapToGrid w:val="0"/>
        <w:spacing w:before="156" w:beforeLines="50" w:after="156" w:afterLines="50" w:line="300" w:lineRule="auto"/>
        <w:ind w:left="307" w:leftChars="146" w:firstLine="1"/>
        <w:rPr>
          <w:rFonts w:ascii="Arial" w:hAnsi="Arial" w:eastAsia="宋体" w:cs="Arial"/>
        </w:rPr>
      </w:pPr>
      <w:r>
        <w:rPr>
          <w:rFonts w:ascii="Arial" w:hAnsi="Arial" w:eastAsia="宋体" w:cs="Arial"/>
        </w:rPr>
        <w:t>审查者和部门管理层应考虑：</w:t>
      </w:r>
    </w:p>
    <w:p w14:paraId="2EA7E40E">
      <w:pPr>
        <w:pStyle w:val="10"/>
        <w:numPr>
          <w:ilvl w:val="0"/>
          <w:numId w:val="1"/>
        </w:numPr>
        <w:snapToGrid w:val="0"/>
        <w:spacing w:before="156" w:beforeLines="50" w:after="156" w:afterLines="50" w:line="300" w:lineRule="auto"/>
        <w:ind w:left="307" w:leftChars="146" w:firstLine="295" w:firstLineChars="0"/>
        <w:rPr>
          <w:rFonts w:ascii="Arial" w:hAnsi="Arial" w:eastAsia="宋体" w:cs="Arial"/>
        </w:rPr>
      </w:pPr>
      <w:r>
        <w:rPr>
          <w:rFonts w:ascii="Arial" w:hAnsi="Arial" w:eastAsia="宋体" w:cs="Arial"/>
        </w:rPr>
        <w:t>是否存在一种</w:t>
      </w:r>
      <w:r>
        <w:rPr>
          <w:rFonts w:ascii="Arial" w:hAnsi="Arial" w:eastAsia="宋体" w:cs="Arial"/>
          <w:b/>
          <w:u w:val="single"/>
        </w:rPr>
        <w:t>合理的可能性</w:t>
      </w:r>
      <w:r>
        <w:rPr>
          <w:rFonts w:ascii="Arial" w:hAnsi="Arial" w:eastAsia="宋体" w:cs="Arial"/>
        </w:rPr>
        <w:t>，即该器械将用于未在器械拟定标签上标明的预期用途，</w:t>
      </w:r>
      <w:r>
        <w:rPr>
          <w:rFonts w:ascii="Arial" w:hAnsi="Arial" w:eastAsia="宋体" w:cs="Arial"/>
          <w:b/>
          <w:u w:val="single"/>
        </w:rPr>
        <w:t>并且</w:t>
      </w:r>
      <w:r>
        <w:rPr>
          <w:rFonts w:ascii="Arial" w:hAnsi="Arial" w:eastAsia="宋体" w:cs="Arial"/>
        </w:rPr>
        <w:t>，</w:t>
      </w:r>
    </w:p>
    <w:p w14:paraId="5CC76519">
      <w:pPr>
        <w:pStyle w:val="10"/>
        <w:numPr>
          <w:ilvl w:val="0"/>
          <w:numId w:val="1"/>
        </w:numPr>
        <w:snapToGrid w:val="0"/>
        <w:spacing w:before="156" w:beforeLines="50" w:after="156" w:afterLines="50" w:line="300" w:lineRule="auto"/>
        <w:ind w:left="307" w:leftChars="146" w:firstLine="295" w:firstLineChars="0"/>
        <w:rPr>
          <w:rFonts w:ascii="Arial" w:hAnsi="Arial" w:eastAsia="宋体" w:cs="Arial"/>
        </w:rPr>
      </w:pPr>
      <w:r>
        <w:rPr>
          <w:rFonts w:ascii="Arial" w:hAnsi="Arial" w:eastAsia="宋体" w:cs="Arial"/>
        </w:rPr>
        <w:t>这种应用是否会对患者或客户</w:t>
      </w:r>
      <w:r>
        <w:rPr>
          <w:rFonts w:ascii="Arial" w:hAnsi="Arial" w:eastAsia="宋体" w:cs="Arial"/>
          <w:b/>
          <w:u w:val="single"/>
        </w:rPr>
        <w:t>造成</w:t>
      </w:r>
      <w:r>
        <w:rPr>
          <w:rFonts w:hint="eastAsia" w:ascii="Arial" w:hAnsi="Arial" w:eastAsia="宋体" w:cs="Arial"/>
          <w:b/>
          <w:u w:val="single"/>
        </w:rPr>
        <w:t>损害</w:t>
      </w:r>
      <w:r>
        <w:rPr>
          <w:rFonts w:ascii="Arial" w:hAnsi="Arial" w:eastAsia="宋体" w:cs="Arial"/>
        </w:rPr>
        <w:t>。</w:t>
      </w:r>
    </w:p>
    <w:p w14:paraId="11976F43">
      <w:pPr>
        <w:snapToGrid w:val="0"/>
        <w:spacing w:before="156" w:beforeLines="50" w:after="156" w:afterLines="50" w:line="300" w:lineRule="auto"/>
        <w:ind w:left="307" w:leftChars="146" w:firstLine="1"/>
        <w:rPr>
          <w:rFonts w:ascii="Arial" w:hAnsi="Arial" w:eastAsia="宋体" w:cs="Arial"/>
        </w:rPr>
      </w:pPr>
      <w:r>
        <w:rPr>
          <w:rFonts w:ascii="Arial" w:hAnsi="Arial" w:eastAsia="宋体" w:cs="Arial"/>
        </w:rPr>
        <w:t>进行510（k）审查时，如果经部门认定，存在合理的可能性，即该器械将用于未在拟定标签中标明的预期用途（下述简称为适应症外应用），而这种预期用途会造成损害，那么，应按下述程序继续提交审查。审查者应与公司讨论除与适应症外应用相关缺陷以外的、与提交相关的全部缺陷，并根据已确立的部门规程来解决这些缺陷。一旦其它悬而未决的问题得到解决，审查者应向上市前通告部门主管（主管）和计划操作人员（POS）简要报告适应症外应用。主管将负责与相应的办公室主任协商解决适应症外应用。审查510（k）时，如果审查者发现不存在与实质等同性建议相悖的缺陷，而是发现了与适应症外应用相关的问题，该部门应在完成510（k）审查后，尽快将该问题告知POS。</w:t>
      </w:r>
    </w:p>
    <w:p w14:paraId="48874C54">
      <w:pPr>
        <w:snapToGrid w:val="0"/>
        <w:spacing w:before="156" w:beforeLines="50" w:after="156" w:afterLines="50" w:line="300" w:lineRule="auto"/>
        <w:ind w:left="307" w:leftChars="146" w:firstLine="1"/>
        <w:rPr>
          <w:rFonts w:ascii="Arial" w:hAnsi="Arial" w:eastAsia="宋体" w:cs="Arial"/>
        </w:rPr>
      </w:pPr>
    </w:p>
    <w:p w14:paraId="01312EC3">
      <w:pPr>
        <w:snapToGrid w:val="0"/>
        <w:spacing w:before="156" w:beforeLines="50" w:after="156" w:afterLines="50" w:line="300" w:lineRule="auto"/>
        <w:ind w:left="307" w:leftChars="146" w:firstLine="1"/>
        <w:rPr>
          <w:rFonts w:ascii="Arial" w:hAnsi="Arial" w:eastAsia="宋体" w:cs="Arial"/>
        </w:rPr>
      </w:pPr>
    </w:p>
    <w:p w14:paraId="0A56FEC5">
      <w:pPr>
        <w:snapToGrid w:val="0"/>
        <w:spacing w:before="156" w:beforeLines="50" w:after="156" w:afterLines="50" w:line="300" w:lineRule="auto"/>
        <w:ind w:left="307" w:leftChars="146" w:firstLine="1"/>
        <w:rPr>
          <w:rFonts w:ascii="Arial" w:hAnsi="Arial" w:eastAsia="宋体" w:cs="Arial"/>
        </w:rPr>
      </w:pPr>
    </w:p>
    <w:p w14:paraId="4A48B46D">
      <w:pPr>
        <w:snapToGrid w:val="0"/>
        <w:spacing w:before="156" w:beforeLines="50" w:after="156" w:afterLines="50" w:line="300" w:lineRule="auto"/>
        <w:ind w:left="307" w:leftChars="146" w:firstLine="1"/>
        <w:rPr>
          <w:rFonts w:ascii="Arial" w:hAnsi="Arial" w:eastAsia="宋体" w:cs="Arial"/>
        </w:rPr>
      </w:pPr>
    </w:p>
    <w:p w14:paraId="322FD039">
      <w:pPr>
        <w:snapToGrid w:val="0"/>
        <w:spacing w:before="156" w:beforeLines="50" w:after="156" w:afterLines="50" w:line="300" w:lineRule="auto"/>
        <w:ind w:left="307" w:leftChars="146" w:firstLine="1"/>
        <w:rPr>
          <w:rFonts w:ascii="Arial" w:hAnsi="Arial" w:eastAsia="宋体" w:cs="Arial"/>
        </w:rPr>
      </w:pPr>
    </w:p>
    <w:p w14:paraId="7819F62F">
      <w:pPr>
        <w:snapToGrid w:val="0"/>
        <w:spacing w:before="156" w:beforeLines="50" w:after="156" w:afterLines="50" w:line="300" w:lineRule="auto"/>
        <w:ind w:left="307" w:leftChars="146" w:firstLine="1"/>
        <w:rPr>
          <w:rFonts w:ascii="Arial" w:hAnsi="Arial" w:eastAsia="宋体" w:cs="Arial"/>
        </w:rPr>
      </w:pPr>
    </w:p>
    <w:p w14:paraId="6FEF1B02">
      <w:pPr>
        <w:snapToGrid w:val="0"/>
        <w:spacing w:before="156" w:beforeLines="50" w:after="156" w:afterLines="50" w:line="300" w:lineRule="auto"/>
        <w:ind w:left="307" w:leftChars="146" w:firstLine="1"/>
        <w:rPr>
          <w:rFonts w:ascii="Arial" w:hAnsi="Arial" w:eastAsia="宋体" w:cs="Arial"/>
        </w:rPr>
      </w:pPr>
    </w:p>
    <w:p w14:paraId="47B2E74B">
      <w:pPr>
        <w:snapToGrid w:val="0"/>
        <w:spacing w:before="156" w:beforeLines="50" w:after="156" w:afterLines="50" w:line="300" w:lineRule="auto"/>
        <w:ind w:left="307" w:leftChars="146" w:firstLine="1"/>
        <w:rPr>
          <w:rFonts w:ascii="Arial" w:hAnsi="Arial" w:eastAsia="宋体" w:cs="Arial"/>
        </w:rPr>
      </w:pPr>
    </w:p>
    <w:p w14:paraId="73C6F23E">
      <w:pPr>
        <w:snapToGrid w:val="0"/>
        <w:spacing w:before="156" w:beforeLines="50" w:after="156" w:afterLines="50" w:line="300" w:lineRule="auto"/>
        <w:ind w:left="307" w:leftChars="146" w:firstLine="1"/>
        <w:rPr>
          <w:rFonts w:ascii="Arial" w:hAnsi="Arial" w:eastAsia="宋体" w:cs="Arial"/>
        </w:rPr>
      </w:pPr>
    </w:p>
    <w:p w14:paraId="59D83060">
      <w:pPr>
        <w:snapToGrid w:val="0"/>
        <w:spacing w:before="156" w:beforeLines="50" w:after="156" w:afterLines="50" w:line="300" w:lineRule="auto"/>
        <w:ind w:left="307" w:leftChars="146" w:firstLine="1"/>
        <w:rPr>
          <w:rFonts w:ascii="Arial" w:hAnsi="Arial" w:eastAsia="宋体" w:cs="Arial"/>
        </w:rPr>
      </w:pPr>
    </w:p>
    <w:p w14:paraId="18236E7E">
      <w:pPr>
        <w:snapToGrid w:val="0"/>
        <w:spacing w:before="156" w:beforeLines="50" w:after="156" w:afterLines="50" w:line="300" w:lineRule="auto"/>
        <w:ind w:left="307" w:leftChars="146" w:firstLine="1"/>
        <w:rPr>
          <w:rFonts w:ascii="Arial" w:hAnsi="Arial" w:eastAsia="宋体" w:cs="Arial"/>
        </w:rPr>
      </w:pPr>
    </w:p>
    <w:p w14:paraId="4892862F">
      <w:pPr>
        <w:snapToGrid w:val="0"/>
        <w:spacing w:before="156" w:beforeLines="50" w:after="156" w:afterLines="50" w:line="300" w:lineRule="auto"/>
        <w:ind w:left="307" w:leftChars="146" w:firstLine="1"/>
        <w:rPr>
          <w:rFonts w:ascii="Arial" w:hAnsi="Arial" w:eastAsia="宋体" w:cs="Arial"/>
        </w:rPr>
      </w:pPr>
    </w:p>
    <w:p w14:paraId="5DD2FF34">
      <w:pPr>
        <w:snapToGrid w:val="0"/>
        <w:spacing w:before="156" w:beforeLines="50" w:after="156" w:afterLines="50" w:line="300" w:lineRule="auto"/>
        <w:ind w:left="307" w:leftChars="146" w:firstLine="1"/>
        <w:rPr>
          <w:rFonts w:ascii="Arial" w:hAnsi="Arial" w:eastAsia="宋体" w:cs="Arial"/>
        </w:rPr>
      </w:pPr>
    </w:p>
    <w:p w14:paraId="3B0B9EDC">
      <w:pPr>
        <w:snapToGrid w:val="0"/>
        <w:spacing w:before="156" w:beforeLines="50" w:after="156" w:afterLines="50" w:line="300" w:lineRule="auto"/>
        <w:ind w:left="307" w:leftChars="146" w:firstLine="1"/>
        <w:rPr>
          <w:rFonts w:ascii="Arial" w:hAnsi="Arial" w:eastAsia="宋体" w:cs="Arial"/>
        </w:rPr>
      </w:pPr>
      <w:r>
        <w:rPr>
          <w:rFonts w:ascii="Arial" w:hAnsi="Arial" w:eastAsia="宋体" w:cs="Arial"/>
        </w:rPr>
        <w:t>如果办公室主任根据条款513（i）（1）（E）限制了某一种合理销售的器械的适应症外应用，那么，与这种器械具有实质等同性的器械也应存在相同的适应症外应用限制。审查部门应谨慎识别此类器械。当审查部门在审查应与等同器械存在相同适应症外应用局限性的器械时，审查部门应取出等同器械的“实质等同（SE）和局限性”信函副本，并将其与提交资料交给上述POS。</w:t>
      </w:r>
    </w:p>
    <w:p w14:paraId="0F91DB68">
      <w:pPr>
        <w:snapToGrid w:val="0"/>
        <w:spacing w:before="156" w:beforeLines="50" w:after="156" w:afterLines="50" w:line="300" w:lineRule="auto"/>
        <w:ind w:left="307" w:leftChars="146" w:firstLine="1"/>
        <w:rPr>
          <w:rFonts w:ascii="Arial" w:hAnsi="Arial" w:eastAsia="宋体" w:cs="Arial"/>
        </w:rPr>
      </w:pPr>
      <w:r>
        <w:rPr>
          <w:rFonts w:ascii="Arial" w:hAnsi="Arial" w:eastAsia="宋体" w:cs="Arial"/>
        </w:rPr>
        <w:t>B. 针对办公室主任的规程</w:t>
      </w:r>
    </w:p>
    <w:p w14:paraId="61B9E050">
      <w:pPr>
        <w:snapToGrid w:val="0"/>
        <w:spacing w:before="156" w:beforeLines="50" w:after="156" w:afterLines="50" w:line="300" w:lineRule="auto"/>
        <w:ind w:left="307" w:leftChars="146" w:firstLine="1"/>
        <w:rPr>
          <w:rFonts w:ascii="Arial" w:hAnsi="Arial" w:eastAsia="宋体" w:cs="Arial"/>
        </w:rPr>
      </w:pPr>
      <w:r>
        <w:rPr>
          <w:rFonts w:ascii="Arial" w:hAnsi="Arial" w:eastAsia="宋体" w:cs="Arial"/>
        </w:rPr>
        <w:t>当办公室主任从POS获得关于适应症外应用的资料时，该办公室主任应评估所提供的信息，并</w:t>
      </w:r>
      <w:bookmarkStart w:id="2" w:name="OLE_LINK35"/>
      <w:bookmarkStart w:id="3" w:name="OLE_LINK36"/>
      <w:r>
        <w:rPr>
          <w:rFonts w:ascii="Arial" w:hAnsi="Arial" w:eastAsia="宋体" w:cs="Arial"/>
        </w:rPr>
        <w:t>决定</w:t>
      </w:r>
      <w:bookmarkEnd w:id="2"/>
      <w:bookmarkEnd w:id="3"/>
      <w:r>
        <w:rPr>
          <w:rFonts w:ascii="Arial" w:hAnsi="Arial" w:eastAsia="宋体" w:cs="Arial"/>
        </w:rPr>
        <w:t>是否符合两项法定准则。即，办公室主任必须决定（1）是否存在一种</w:t>
      </w:r>
      <w:r>
        <w:rPr>
          <w:rFonts w:ascii="Arial" w:hAnsi="Arial" w:eastAsia="宋体" w:cs="Arial"/>
          <w:b/>
          <w:u w:val="single"/>
        </w:rPr>
        <w:t>合理的可能性</w:t>
      </w:r>
      <w:r>
        <w:rPr>
          <w:rFonts w:ascii="Arial" w:hAnsi="Arial" w:eastAsia="宋体" w:cs="Arial"/>
        </w:rPr>
        <w:t>，即该器械将用于一种未在器械拟定标签上标明的预期用途，</w:t>
      </w:r>
      <w:r>
        <w:rPr>
          <w:rFonts w:ascii="Arial" w:hAnsi="Arial" w:eastAsia="宋体" w:cs="Arial"/>
          <w:b/>
          <w:u w:val="single"/>
        </w:rPr>
        <w:t>并且</w:t>
      </w:r>
      <w:r>
        <w:rPr>
          <w:rFonts w:ascii="Arial" w:hAnsi="Arial" w:eastAsia="宋体" w:cs="Arial"/>
        </w:rPr>
        <w:t>，（2）这种应用是否会对患者或客户</w:t>
      </w:r>
      <w:r>
        <w:rPr>
          <w:rFonts w:ascii="Arial" w:hAnsi="Arial" w:eastAsia="宋体" w:cs="Arial"/>
          <w:b/>
          <w:u w:val="single"/>
        </w:rPr>
        <w:t>造成损害</w:t>
      </w:r>
      <w:r>
        <w:rPr>
          <w:rFonts w:ascii="Arial" w:hAnsi="Arial" w:eastAsia="宋体" w:cs="Arial"/>
        </w:rPr>
        <w:t>。</w:t>
      </w:r>
      <w:r>
        <w:rPr>
          <w:rFonts w:ascii="Arial" w:hAnsi="Arial" w:eastAsia="宋体" w:cs="Arial"/>
          <w:vertAlign w:val="superscript"/>
        </w:rPr>
        <w:t>2</w:t>
      </w:r>
      <w:r>
        <w:rPr>
          <w:rFonts w:ascii="Arial" w:hAnsi="Arial" w:eastAsia="宋体" w:cs="Arial"/>
        </w:rPr>
        <w:t>如果经办公室主任决定不符合这些准则，办公室主任应在文件中记录所讨论的内容，并且，办公室应立即发布“实质等同性”（SE）信函。但是，如果办公室主任认为符合两项准则，510（k）提交中将可能需要进行商议。</w:t>
      </w:r>
    </w:p>
    <w:p w14:paraId="497EE101">
      <w:pPr>
        <w:snapToGrid w:val="0"/>
        <w:spacing w:before="156" w:beforeLines="50" w:after="156" w:afterLines="50" w:line="300" w:lineRule="auto"/>
        <w:rPr>
          <w:rFonts w:ascii="Arial" w:hAnsi="Arial" w:eastAsia="宋体" w:cs="Arial"/>
          <w:b/>
          <w:sz w:val="28"/>
          <w:szCs w:val="28"/>
        </w:rPr>
      </w:pPr>
      <w:r>
        <w:rPr>
          <w:rFonts w:ascii="Arial" w:hAnsi="Arial" w:eastAsia="宋体" w:cs="Arial"/>
          <w:b/>
          <w:sz w:val="28"/>
          <w:szCs w:val="28"/>
        </w:rPr>
        <w:t>商议</w:t>
      </w:r>
    </w:p>
    <w:p w14:paraId="600C7AD3">
      <w:pPr>
        <w:snapToGrid w:val="0"/>
        <w:spacing w:before="156" w:beforeLines="50" w:after="156" w:afterLines="50" w:line="300" w:lineRule="auto"/>
        <w:rPr>
          <w:rFonts w:ascii="Arial" w:hAnsi="Arial" w:eastAsia="宋体" w:cs="Arial"/>
        </w:rPr>
      </w:pPr>
      <w:r>
        <w:rPr>
          <w:rFonts w:ascii="Arial" w:hAnsi="Arial" w:eastAsia="宋体" w:cs="Arial"/>
        </w:rPr>
        <w:t>办公室主任和510（k）提交者可通过电话或召开会议来进行商议。商议的形式将取决于双方的需求以及最有效的解决途径。</w:t>
      </w:r>
    </w:p>
    <w:p w14:paraId="53C79F74">
      <w:pPr>
        <w:snapToGrid w:val="0"/>
        <w:spacing w:before="156" w:beforeLines="50" w:after="156" w:afterLines="50" w:line="300" w:lineRule="auto"/>
        <w:rPr>
          <w:rFonts w:ascii="Arial" w:hAnsi="Arial" w:eastAsia="宋体" w:cs="Arial"/>
          <w:b/>
          <w:sz w:val="28"/>
          <w:szCs w:val="28"/>
        </w:rPr>
      </w:pPr>
      <w:r>
        <w:rPr>
          <w:rFonts w:ascii="Arial" w:hAnsi="Arial" w:eastAsia="宋体" w:cs="Arial"/>
          <w:b/>
          <w:sz w:val="28"/>
          <w:szCs w:val="28"/>
        </w:rPr>
        <w:t>解决</w:t>
      </w:r>
    </w:p>
    <w:p w14:paraId="38260431">
      <w:pPr>
        <w:snapToGrid w:val="0"/>
        <w:spacing w:before="156" w:beforeLines="50" w:after="156" w:afterLines="50" w:line="300" w:lineRule="auto"/>
        <w:rPr>
          <w:rFonts w:ascii="Arial" w:hAnsi="Arial" w:eastAsia="宋体" w:cs="Arial"/>
        </w:rPr>
      </w:pPr>
      <w:r>
        <w:rPr>
          <w:rFonts w:ascii="Arial" w:hAnsi="Arial" w:eastAsia="宋体" w:cs="Arial"/>
        </w:rPr>
        <w:t>进行商议后，可能需要采取其中一项措施。</w:t>
      </w:r>
    </w:p>
    <w:p w14:paraId="22991E4C">
      <w:pPr>
        <w:pStyle w:val="10"/>
        <w:snapToGrid w:val="0"/>
        <w:spacing w:before="156" w:beforeLines="50" w:after="156" w:afterLines="50" w:line="300" w:lineRule="auto"/>
        <w:ind w:firstLine="0" w:firstLineChars="0"/>
        <w:rPr>
          <w:rFonts w:ascii="Arial" w:hAnsi="Arial" w:eastAsia="宋体" w:cs="Arial"/>
          <w:vertAlign w:val="superscript"/>
        </w:rPr>
      </w:pPr>
    </w:p>
    <w:p w14:paraId="55D375EA">
      <w:pPr>
        <w:pStyle w:val="10"/>
        <w:snapToGrid w:val="0"/>
        <w:spacing w:before="156" w:beforeLines="50" w:after="156" w:afterLines="50" w:line="300" w:lineRule="auto"/>
        <w:ind w:firstLine="0" w:firstLineChars="0"/>
        <w:rPr>
          <w:rFonts w:ascii="Arial" w:hAnsi="Arial" w:eastAsia="宋体" w:cs="Arial"/>
          <w:vertAlign w:val="superscript"/>
        </w:rPr>
      </w:pPr>
    </w:p>
    <w:p w14:paraId="1742BBCC">
      <w:pPr>
        <w:pStyle w:val="10"/>
        <w:snapToGrid w:val="0"/>
        <w:spacing w:before="156" w:beforeLines="50" w:after="156" w:afterLines="50" w:line="300" w:lineRule="auto"/>
        <w:ind w:firstLine="0" w:firstLineChars="0"/>
        <w:rPr>
          <w:rFonts w:ascii="Arial" w:hAnsi="Arial" w:eastAsia="宋体" w:cs="Arial"/>
          <w:vertAlign w:val="superscript"/>
        </w:rPr>
      </w:pPr>
    </w:p>
    <w:p w14:paraId="37B20638">
      <w:pPr>
        <w:pStyle w:val="10"/>
        <w:snapToGrid w:val="0"/>
        <w:spacing w:before="156" w:beforeLines="50" w:after="156" w:afterLines="50" w:line="300" w:lineRule="auto"/>
        <w:ind w:firstLine="0" w:firstLineChars="0"/>
        <w:rPr>
          <w:rFonts w:ascii="Arial" w:hAnsi="Arial" w:eastAsia="宋体" w:cs="Arial"/>
          <w:vertAlign w:val="superscript"/>
        </w:rPr>
      </w:pPr>
    </w:p>
    <w:p w14:paraId="6CD2E935">
      <w:pPr>
        <w:pStyle w:val="10"/>
        <w:snapToGrid w:val="0"/>
        <w:spacing w:before="156" w:beforeLines="50" w:after="156" w:afterLines="50" w:line="300" w:lineRule="auto"/>
        <w:ind w:firstLine="0" w:firstLineChars="0"/>
        <w:rPr>
          <w:rFonts w:ascii="Arial" w:hAnsi="Arial" w:eastAsia="宋体" w:cs="Arial"/>
          <w:vertAlign w:val="superscript"/>
        </w:rPr>
      </w:pPr>
    </w:p>
    <w:p w14:paraId="7892C275">
      <w:pPr>
        <w:pStyle w:val="10"/>
        <w:snapToGrid w:val="0"/>
        <w:spacing w:before="156" w:beforeLines="50" w:after="156" w:afterLines="50" w:line="300" w:lineRule="auto"/>
        <w:ind w:firstLine="0" w:firstLineChars="0"/>
        <w:rPr>
          <w:rFonts w:ascii="Arial" w:hAnsi="Arial" w:eastAsia="宋体" w:cs="Arial"/>
          <w:vertAlign w:val="superscript"/>
        </w:rPr>
      </w:pPr>
    </w:p>
    <w:p w14:paraId="58CCCE69">
      <w:pPr>
        <w:pStyle w:val="10"/>
        <w:snapToGrid w:val="0"/>
        <w:spacing w:before="156" w:beforeLines="50" w:after="156" w:afterLines="50" w:line="300" w:lineRule="auto"/>
        <w:ind w:firstLine="0" w:firstLineChars="0"/>
        <w:rPr>
          <w:rFonts w:ascii="Arial" w:hAnsi="Arial" w:eastAsia="宋体" w:cs="Arial"/>
          <w:vertAlign w:val="superscript"/>
        </w:rPr>
      </w:pPr>
    </w:p>
    <w:p w14:paraId="27B452D8">
      <w:pPr>
        <w:pStyle w:val="10"/>
        <w:snapToGrid w:val="0"/>
        <w:spacing w:before="156" w:beforeLines="50" w:after="156" w:afterLines="50" w:line="300" w:lineRule="auto"/>
        <w:ind w:firstLine="0" w:firstLineChars="0"/>
        <w:rPr>
          <w:rFonts w:ascii="Arial" w:hAnsi="Arial" w:eastAsia="宋体" w:cs="Arial"/>
          <w:vertAlign w:val="superscript"/>
        </w:rPr>
      </w:pPr>
    </w:p>
    <w:p w14:paraId="618C3D00">
      <w:pPr>
        <w:pStyle w:val="10"/>
        <w:snapToGrid w:val="0"/>
        <w:spacing w:before="156" w:beforeLines="50" w:after="156" w:afterLines="50" w:line="300" w:lineRule="auto"/>
        <w:ind w:firstLine="0" w:firstLineChars="0"/>
        <w:rPr>
          <w:rFonts w:ascii="Arial" w:hAnsi="Arial" w:eastAsia="宋体" w:cs="Arial"/>
          <w:vertAlign w:val="superscript"/>
        </w:rPr>
      </w:pPr>
    </w:p>
    <w:p w14:paraId="25B07CD0">
      <w:pPr>
        <w:pStyle w:val="10"/>
        <w:snapToGrid w:val="0"/>
        <w:spacing w:before="156" w:beforeLines="50" w:after="156" w:afterLines="50" w:line="300" w:lineRule="auto"/>
        <w:ind w:firstLine="0" w:firstLineChars="0"/>
        <w:rPr>
          <w:rFonts w:ascii="Arial" w:hAnsi="Arial" w:eastAsia="宋体" w:cs="Arial"/>
          <w:vertAlign w:val="superscript"/>
        </w:rPr>
      </w:pPr>
    </w:p>
    <w:p w14:paraId="2E9A4ECD">
      <w:pPr>
        <w:pStyle w:val="10"/>
        <w:snapToGrid w:val="0"/>
        <w:spacing w:before="156" w:beforeLines="50" w:after="156" w:afterLines="50" w:line="300" w:lineRule="auto"/>
        <w:ind w:firstLine="0" w:firstLineChars="0"/>
        <w:rPr>
          <w:rFonts w:ascii="Arial" w:hAnsi="Arial" w:eastAsia="宋体" w:cs="Arial"/>
          <w:vertAlign w:val="superscript"/>
        </w:rPr>
      </w:pPr>
    </w:p>
    <w:p w14:paraId="77EBA094">
      <w:pPr>
        <w:pStyle w:val="10"/>
        <w:snapToGrid w:val="0"/>
        <w:spacing w:before="156" w:beforeLines="50" w:after="156" w:afterLines="50" w:line="300" w:lineRule="auto"/>
        <w:ind w:firstLine="0" w:firstLineChars="0"/>
        <w:rPr>
          <w:rFonts w:ascii="Arial" w:hAnsi="Arial" w:eastAsia="宋体" w:cs="Arial"/>
          <w:vertAlign w:val="superscript"/>
        </w:rPr>
      </w:pPr>
      <w:r>
        <w:rPr>
          <w:rFonts w:ascii="Arial" w:hAnsi="Arial" w:eastAsia="宋体" w:cs="Arial"/>
          <w:vertAlign w:val="superscript"/>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210185</wp:posOffset>
                </wp:positionV>
                <wp:extent cx="1608455" cy="0"/>
                <wp:effectExtent l="12700" t="13970" r="7620" b="5080"/>
                <wp:wrapNone/>
                <wp:docPr id="2" name="AutoShape 3"/>
                <wp:cNvGraphicFramePr/>
                <a:graphic xmlns:a="http://schemas.openxmlformats.org/drawingml/2006/main">
                  <a:graphicData uri="http://schemas.microsoft.com/office/word/2010/wordprocessingShape">
                    <wps:wsp>
                      <wps:cNvCnPr>
                        <a:cxnSpLocks noChangeShapeType="1"/>
                      </wps:cNvCnPr>
                      <wps:spPr bwMode="auto">
                        <a:xfrm>
                          <a:off x="0" y="0"/>
                          <a:ext cx="1608455"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1.3pt;margin-top:16.55pt;height:0pt;width:126.65pt;z-index:251660288;mso-width-relative:page;mso-height-relative:page;" filled="f" stroked="t" coordsize="21600,21600" o:gfxdata="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MX1+LVAAAABwEAAA8AAAAAAAAAAQAgAAAA&#10;IgAAAGRycy9kb3ducmV2LnhtbFBLAQIUABQAAAAIAIdO4kBGSvlp1QEAALIDAAAOAAAAAAAAAAEA&#10;IAAAACQBAABkcnMvZTJvRG9jLnhtbFBLBQYAAAAABgAGAFkBAABrBQAAAAA=&#10;">
                <v:fill on="f" focussize="0,0"/>
                <v:stroke color="#000000" joinstyle="round"/>
                <v:imagedata o:title=""/>
                <o:lock v:ext="edit" aspectratio="f"/>
              </v:shape>
            </w:pict>
          </mc:Fallback>
        </mc:AlternateContent>
      </w:r>
    </w:p>
    <w:p w14:paraId="35F18B59">
      <w:pPr>
        <w:pStyle w:val="10"/>
        <w:snapToGrid w:val="0"/>
        <w:spacing w:before="156" w:beforeLines="50" w:after="156" w:afterLines="50" w:line="300" w:lineRule="auto"/>
        <w:ind w:firstLine="0" w:firstLineChars="0"/>
        <w:rPr>
          <w:rFonts w:ascii="Arial" w:hAnsi="Arial" w:eastAsia="宋体" w:cs="Arial"/>
        </w:rPr>
      </w:pPr>
      <w:r>
        <w:rPr>
          <w:rFonts w:ascii="Arial" w:hAnsi="Arial" w:eastAsia="宋体" w:cs="Arial"/>
          <w:vertAlign w:val="superscript"/>
        </w:rPr>
        <w:t>1</w:t>
      </w:r>
      <w:r>
        <w:rPr>
          <w:rFonts w:ascii="Arial" w:hAnsi="Arial" w:eastAsia="宋体" w:cs="Arial"/>
        </w:rPr>
        <w:t>当出现这种情况时，CDRH已确定最便捷的过程是由POS向510（k）提交者发送“</w:t>
      </w:r>
      <w:bookmarkStart w:id="4" w:name="OLE_LINK37"/>
      <w:bookmarkStart w:id="5" w:name="OLE_LINK38"/>
      <w:r>
        <w:rPr>
          <w:rFonts w:ascii="Arial" w:hAnsi="Arial" w:eastAsia="宋体" w:cs="Arial"/>
        </w:rPr>
        <w:t>带有限制条款的SE</w:t>
      </w:r>
      <w:bookmarkEnd w:id="4"/>
      <w:bookmarkEnd w:id="5"/>
      <w:r>
        <w:rPr>
          <w:rFonts w:ascii="Arial" w:hAnsi="Arial" w:eastAsia="宋体" w:cs="Arial"/>
        </w:rPr>
        <w:t>”信函草稿。该信拟定的限制项将与办公室主任为等同器械制定的限制项相同。提交者将可能同意在本备忘录的“商议”部分中概述的程序，或就该程序来申请与办公室主任进行电话通话或召开会议。一旦提交者同意拟定的限制项，办公室主任将立即发布最终裁定。</w:t>
      </w:r>
    </w:p>
    <w:p w14:paraId="4140F24B">
      <w:pPr>
        <w:pStyle w:val="10"/>
        <w:snapToGrid w:val="0"/>
        <w:spacing w:before="156" w:beforeLines="50" w:after="156" w:afterLines="50" w:line="300" w:lineRule="auto"/>
        <w:ind w:firstLine="0" w:firstLineChars="0"/>
        <w:rPr>
          <w:rFonts w:ascii="Arial" w:hAnsi="Arial" w:eastAsia="宋体" w:cs="Arial"/>
        </w:rPr>
      </w:pPr>
      <w:r>
        <w:rPr>
          <w:rFonts w:hint="eastAsia" w:ascii="Arial" w:hAnsi="Arial" w:eastAsia="宋体" w:cs="Arial"/>
          <w:vertAlign w:val="superscript"/>
        </w:rPr>
        <w:t>2</w:t>
      </w:r>
      <w:r>
        <w:rPr>
          <w:rFonts w:ascii="Arial" w:hAnsi="Arial" w:eastAsia="宋体" w:cs="Arial"/>
        </w:rPr>
        <w:t>根据本文件的目的，术语“用户”一词可能指代患者、医疗服务人员或任何其他自身使用或为别人使用本器械的人员。</w:t>
      </w:r>
    </w:p>
    <w:p w14:paraId="11D5495C">
      <w:pPr>
        <w:snapToGrid w:val="0"/>
        <w:spacing w:before="156" w:beforeLines="50" w:after="156" w:afterLines="50" w:line="300" w:lineRule="auto"/>
        <w:rPr>
          <w:rFonts w:ascii="Arial" w:hAnsi="Arial" w:eastAsia="宋体" w:cs="Arial"/>
        </w:rPr>
      </w:pPr>
      <w:r>
        <w:rPr>
          <w:rFonts w:ascii="Arial" w:hAnsi="Arial" w:eastAsia="宋体" w:cs="Arial"/>
        </w:rPr>
        <w:t>与公司讨论适应症外应用后，办公室主任首先可能决定不符合与适应症外应用相关的两个准则，并且命令部门发布实质等同性</w:t>
      </w:r>
      <w:bookmarkStart w:id="6" w:name="OLE_LINK40"/>
      <w:bookmarkStart w:id="7" w:name="OLE_LINK39"/>
      <w:r>
        <w:rPr>
          <w:rFonts w:ascii="Arial" w:hAnsi="Arial" w:eastAsia="宋体" w:cs="Arial"/>
        </w:rPr>
        <w:t>判定</w:t>
      </w:r>
      <w:bookmarkEnd w:id="6"/>
      <w:bookmarkEnd w:id="7"/>
      <w:r>
        <w:rPr>
          <w:rFonts w:ascii="Arial" w:hAnsi="Arial" w:eastAsia="宋体" w:cs="Arial"/>
        </w:rPr>
        <w:t>。</w:t>
      </w:r>
    </w:p>
    <w:p w14:paraId="60159F6A">
      <w:pPr>
        <w:snapToGrid w:val="0"/>
        <w:spacing w:before="156" w:beforeLines="50" w:after="156" w:afterLines="50" w:line="300" w:lineRule="auto"/>
        <w:rPr>
          <w:rFonts w:ascii="Arial" w:hAnsi="Arial" w:eastAsia="宋体" w:cs="Arial"/>
        </w:rPr>
      </w:pPr>
      <w:r>
        <w:rPr>
          <w:rFonts w:ascii="Arial" w:hAnsi="Arial" w:eastAsia="宋体" w:cs="Arial"/>
        </w:rPr>
        <w:t>或者，如果办公室主任相信存在合理的可能性，即该器械将用于未在器械拟定标签上标明的预期用途，并且这种应用会对患者或客户造成损害，公司将可能需要：</w:t>
      </w:r>
    </w:p>
    <w:p w14:paraId="34397D5D">
      <w:pPr>
        <w:pStyle w:val="10"/>
        <w:numPr>
          <w:ilvl w:val="0"/>
          <w:numId w:val="2"/>
        </w:numPr>
        <w:snapToGrid w:val="0"/>
        <w:spacing w:before="156" w:beforeLines="50" w:after="156" w:afterLines="50" w:line="300" w:lineRule="auto"/>
        <w:ind w:hanging="98" w:firstLineChars="0"/>
        <w:rPr>
          <w:rFonts w:ascii="Arial" w:hAnsi="Arial" w:eastAsia="宋体" w:cs="Arial"/>
        </w:rPr>
      </w:pPr>
      <w:r>
        <w:rPr>
          <w:rFonts w:ascii="Arial" w:hAnsi="Arial" w:eastAsia="宋体" w:cs="Arial"/>
        </w:rPr>
        <w:t>改良器械设计，以便解决适应症外应用问题；</w:t>
      </w:r>
      <w:r>
        <w:rPr>
          <w:rFonts w:ascii="Arial" w:hAnsi="Arial" w:eastAsia="宋体" w:cs="Arial"/>
          <w:b/>
          <w:u w:val="single"/>
        </w:rPr>
        <w:t>或</w:t>
      </w:r>
    </w:p>
    <w:p w14:paraId="54C8C8EC">
      <w:pPr>
        <w:pStyle w:val="10"/>
        <w:numPr>
          <w:ilvl w:val="0"/>
          <w:numId w:val="2"/>
        </w:numPr>
        <w:snapToGrid w:val="0"/>
        <w:spacing w:before="156" w:beforeLines="50" w:after="156" w:afterLines="50" w:line="300" w:lineRule="auto"/>
        <w:ind w:hanging="98" w:firstLineChars="0"/>
        <w:rPr>
          <w:rFonts w:ascii="Arial" w:hAnsi="Arial" w:eastAsia="宋体" w:cs="Arial"/>
        </w:rPr>
      </w:pPr>
      <w:r>
        <w:rPr>
          <w:rFonts w:ascii="Arial" w:hAnsi="Arial" w:eastAsia="宋体" w:cs="Arial"/>
        </w:rPr>
        <w:t>向办公室主任申请书面认定。</w:t>
      </w:r>
    </w:p>
    <w:p w14:paraId="1452B0AD">
      <w:pPr>
        <w:snapToGrid w:val="0"/>
        <w:spacing w:before="156" w:beforeLines="50" w:after="156" w:afterLines="50" w:line="300" w:lineRule="auto"/>
        <w:rPr>
          <w:rFonts w:ascii="Arial" w:hAnsi="Arial" w:eastAsia="宋体" w:cs="Arial"/>
        </w:rPr>
      </w:pPr>
      <w:r>
        <w:rPr>
          <w:rFonts w:ascii="Arial" w:hAnsi="Arial" w:eastAsia="宋体" w:cs="Arial"/>
        </w:rPr>
        <w:t>如果经改良的设计符合部门在适应症外应用方面的考虑事项，部门将发布实质等同性认定。</w:t>
      </w:r>
    </w:p>
    <w:p w14:paraId="363620E3">
      <w:pPr>
        <w:snapToGrid w:val="0"/>
        <w:spacing w:before="156" w:beforeLines="50" w:after="156" w:afterLines="50" w:line="300" w:lineRule="auto"/>
        <w:rPr>
          <w:rFonts w:ascii="Arial" w:hAnsi="Arial" w:eastAsia="宋体" w:cs="Arial"/>
        </w:rPr>
      </w:pPr>
      <w:r>
        <w:rPr>
          <w:rFonts w:ascii="Arial" w:hAnsi="Arial" w:eastAsia="宋体" w:cs="Arial"/>
        </w:rPr>
        <w:t>最后，如果公司既不改良器械，也不决定向办公室主任申请书面认定，那么，办公室主任在商议后10天内，将发布“带有限制条款的SE”信函。</w:t>
      </w:r>
    </w:p>
    <w:p w14:paraId="296F2C07">
      <w:pPr>
        <w:snapToGrid w:val="0"/>
        <w:spacing w:before="156" w:beforeLines="50" w:after="156" w:afterLines="50" w:line="300" w:lineRule="auto"/>
        <w:rPr>
          <w:rFonts w:ascii="Arial" w:hAnsi="Arial" w:eastAsia="宋体" w:cs="Arial"/>
        </w:rPr>
      </w:pPr>
      <w:r>
        <w:rPr>
          <w:rFonts w:ascii="Arial" w:hAnsi="Arial" w:eastAsia="宋体" w:cs="Arial"/>
        </w:rPr>
        <w:t>“带有限制条款的SE”信函（信函）将告知510（k）提交者，办公室主任已经做出下述认定：</w:t>
      </w:r>
    </w:p>
    <w:p w14:paraId="2C5CA971">
      <w:pPr>
        <w:pStyle w:val="10"/>
        <w:numPr>
          <w:ilvl w:val="0"/>
          <w:numId w:val="2"/>
        </w:numPr>
        <w:snapToGrid w:val="0"/>
        <w:spacing w:before="156" w:beforeLines="50" w:after="156" w:afterLines="50" w:line="300" w:lineRule="auto"/>
        <w:ind w:hanging="98" w:firstLineChars="0"/>
        <w:rPr>
          <w:rFonts w:ascii="Arial" w:hAnsi="Arial" w:eastAsia="宋体" w:cs="Arial"/>
        </w:rPr>
      </w:pPr>
      <w:r>
        <w:rPr>
          <w:rFonts w:ascii="Arial" w:hAnsi="Arial" w:eastAsia="宋体" w:cs="Arial"/>
        </w:rPr>
        <w:t>存在合理的可能性，即该器械将用于未在器械拟定标签上标明的预期用途，并且，</w:t>
      </w:r>
    </w:p>
    <w:p w14:paraId="4B2A998E">
      <w:pPr>
        <w:pStyle w:val="10"/>
        <w:numPr>
          <w:ilvl w:val="0"/>
          <w:numId w:val="2"/>
        </w:numPr>
        <w:snapToGrid w:val="0"/>
        <w:spacing w:before="156" w:beforeLines="50" w:after="156" w:afterLines="50" w:line="300" w:lineRule="auto"/>
        <w:ind w:hanging="98" w:firstLineChars="0"/>
        <w:rPr>
          <w:rFonts w:ascii="Arial" w:hAnsi="Arial" w:eastAsia="宋体" w:cs="Arial"/>
        </w:rPr>
      </w:pPr>
      <w:r>
        <w:rPr>
          <w:rFonts w:ascii="Arial" w:hAnsi="Arial" w:eastAsia="宋体" w:cs="Arial"/>
        </w:rPr>
        <w:t>这种应用会对患者或客户造成损害。</w:t>
      </w:r>
    </w:p>
    <w:p w14:paraId="72DE6103">
      <w:pPr>
        <w:snapToGrid w:val="0"/>
        <w:spacing w:before="156" w:beforeLines="50" w:after="156" w:afterLines="50" w:line="300" w:lineRule="auto"/>
        <w:rPr>
          <w:rFonts w:ascii="Arial" w:hAnsi="Arial" w:eastAsia="宋体" w:cs="Arial"/>
        </w:rPr>
      </w:pPr>
      <w:r>
        <w:rPr>
          <w:rFonts w:ascii="Arial" w:hAnsi="Arial" w:eastAsia="宋体" w:cs="Arial"/>
        </w:rPr>
        <w:t>该信函将规定在器械标签中增加与适应症外应用相关的限制条款。可以用样板文件信函中所提供的标准化语言对这些标签限制条款进行描述3，或者这些标签限制条款可能包含其他经办公室主任确定的、针对器械和适应症外应用的标签限制条款。本信函将要求有器械标签中的预防措施、警告事项、禁忌症或其它适当部分中增加这些限制条款。最后，本信函将规定仅当器械标签与本信件中所规定的限制条款相符时，本器械才具有实质等同性。</w:t>
      </w:r>
    </w:p>
    <w:p w14:paraId="74C915CC">
      <w:pPr>
        <w:snapToGrid w:val="0"/>
        <w:spacing w:before="156" w:beforeLines="50" w:after="156" w:afterLines="50" w:line="300" w:lineRule="auto"/>
        <w:rPr>
          <w:rFonts w:ascii="Arial" w:hAnsi="Arial" w:eastAsia="宋体" w:cs="Arial"/>
          <w:b/>
          <w:sz w:val="28"/>
          <w:szCs w:val="28"/>
        </w:rPr>
      </w:pPr>
      <w:r>
        <w:rPr>
          <w:rFonts w:ascii="Arial" w:hAnsi="Arial" w:eastAsia="宋体" w:cs="Arial"/>
          <w:b/>
          <w:sz w:val="28"/>
          <w:szCs w:val="28"/>
        </w:rPr>
        <w:t>注意事项</w:t>
      </w:r>
    </w:p>
    <w:p w14:paraId="79193D77">
      <w:pPr>
        <w:snapToGrid w:val="0"/>
        <w:spacing w:before="156" w:beforeLines="50" w:after="156" w:afterLines="50" w:line="300" w:lineRule="auto"/>
        <w:rPr>
          <w:rFonts w:ascii="Arial" w:hAnsi="Arial" w:eastAsia="宋体" w:cs="Arial"/>
        </w:rPr>
      </w:pPr>
      <w:r>
        <w:rPr>
          <w:rFonts w:ascii="Arial" w:hAnsi="Arial" w:eastAsia="宋体" w:cs="Arial"/>
        </w:rPr>
        <w:t>根据法案中的条款513（i）（1）（E），办公室主任可能不会委派其在本备忘录中规定的任何责任。</w:t>
      </w:r>
    </w:p>
    <w:p w14:paraId="0234C6C5">
      <w:pPr>
        <w:snapToGrid w:val="0"/>
        <w:spacing w:before="156" w:beforeLines="50" w:after="156" w:afterLines="50" w:line="300" w:lineRule="auto"/>
        <w:rPr>
          <w:rFonts w:ascii="Arial" w:hAnsi="Arial" w:eastAsia="宋体" w:cs="Arial"/>
        </w:rPr>
      </w:pPr>
    </w:p>
    <w:p w14:paraId="6A4B3525">
      <w:pPr>
        <w:snapToGrid w:val="0"/>
        <w:spacing w:before="156" w:beforeLines="50" w:after="156" w:afterLines="50" w:line="300" w:lineRule="auto"/>
        <w:rPr>
          <w:rFonts w:ascii="Arial" w:hAnsi="Arial" w:eastAsia="宋体" w:cs="Arial"/>
        </w:rPr>
      </w:pPr>
    </w:p>
    <w:p w14:paraId="550272BF">
      <w:pPr>
        <w:snapToGrid w:val="0"/>
        <w:spacing w:before="156" w:beforeLines="50" w:after="156" w:afterLines="50" w:line="300" w:lineRule="auto"/>
        <w:rPr>
          <w:rFonts w:ascii="Arial" w:hAnsi="Arial" w:eastAsia="宋体" w:cs="Arial"/>
        </w:rPr>
      </w:pPr>
    </w:p>
    <w:p w14:paraId="64A82750">
      <w:pPr>
        <w:snapToGrid w:val="0"/>
        <w:spacing w:before="156" w:beforeLines="50" w:after="156" w:afterLines="50" w:line="300" w:lineRule="auto"/>
        <w:rPr>
          <w:rFonts w:ascii="Arial" w:hAnsi="Arial" w:eastAsia="宋体" w:cs="Arial"/>
        </w:rPr>
      </w:pPr>
    </w:p>
    <w:p w14:paraId="5437A39A">
      <w:pPr>
        <w:snapToGrid w:val="0"/>
        <w:spacing w:before="156" w:beforeLines="50" w:after="156" w:afterLines="50" w:line="300" w:lineRule="auto"/>
        <w:rPr>
          <w:rFonts w:ascii="Arial" w:hAnsi="Arial" w:eastAsia="宋体" w:cs="Arial"/>
        </w:rPr>
      </w:pPr>
    </w:p>
    <w:p w14:paraId="533544B0">
      <w:pPr>
        <w:snapToGrid w:val="0"/>
        <w:spacing w:before="156" w:beforeLines="50" w:after="156" w:afterLines="50" w:line="300" w:lineRule="auto"/>
        <w:rPr>
          <w:rFonts w:ascii="Arial" w:hAnsi="Arial" w:eastAsia="宋体" w:cs="Arial"/>
        </w:rPr>
      </w:pPr>
    </w:p>
    <w:p w14:paraId="0558B106">
      <w:pPr>
        <w:snapToGrid w:val="0"/>
        <w:spacing w:before="156" w:beforeLines="50" w:after="156" w:afterLines="50" w:line="300" w:lineRule="auto"/>
        <w:rPr>
          <w:rFonts w:ascii="Arial" w:hAnsi="Arial" w:eastAsia="宋体" w:cs="Arial"/>
        </w:rPr>
      </w:pPr>
    </w:p>
    <w:p w14:paraId="69FB9923">
      <w:pPr>
        <w:snapToGrid w:val="0"/>
        <w:spacing w:before="156" w:beforeLines="50" w:after="156" w:afterLines="50" w:line="300" w:lineRule="auto"/>
        <w:rPr>
          <w:rFonts w:ascii="Arial" w:hAnsi="Arial" w:eastAsia="宋体" w:cs="Arial"/>
        </w:rPr>
      </w:pPr>
    </w:p>
    <w:p w14:paraId="34850867">
      <w:pPr>
        <w:snapToGrid w:val="0"/>
        <w:spacing w:before="156" w:beforeLines="50" w:after="156" w:afterLines="50" w:line="300" w:lineRule="auto"/>
        <w:rPr>
          <w:rFonts w:ascii="Arial" w:hAnsi="Arial" w:eastAsia="宋体" w:cs="Arial"/>
        </w:rPr>
      </w:pPr>
    </w:p>
    <w:p w14:paraId="400D2FB3">
      <w:pPr>
        <w:snapToGrid w:val="0"/>
        <w:spacing w:before="156" w:beforeLines="50" w:after="156" w:afterLines="50" w:line="300" w:lineRule="auto"/>
        <w:rPr>
          <w:rFonts w:ascii="Arial" w:hAnsi="Arial" w:eastAsia="宋体" w:cs="Arial"/>
        </w:rPr>
      </w:pPr>
    </w:p>
    <w:p w14:paraId="4BE3B471">
      <w:pPr>
        <w:snapToGrid w:val="0"/>
        <w:spacing w:before="156" w:beforeLines="50" w:after="156" w:afterLines="50" w:line="300" w:lineRule="auto"/>
        <w:rPr>
          <w:rFonts w:ascii="Arial" w:hAnsi="Arial" w:eastAsia="宋体" w:cs="Arial"/>
        </w:rPr>
      </w:pPr>
    </w:p>
    <w:p w14:paraId="58A4E6A6">
      <w:pPr>
        <w:pStyle w:val="10"/>
        <w:snapToGrid w:val="0"/>
        <w:spacing w:before="156" w:beforeLines="50" w:after="156" w:afterLines="50" w:line="300" w:lineRule="auto"/>
        <w:ind w:firstLine="0" w:firstLineChars="0"/>
        <w:rPr>
          <w:rFonts w:ascii="Arial" w:hAnsi="Arial" w:eastAsia="宋体" w:cs="Arial"/>
          <w:vertAlign w:val="superscript"/>
        </w:rPr>
      </w:pPr>
      <w:r>
        <w:rPr>
          <w:rFonts w:ascii="Arial" w:hAnsi="Arial" w:eastAsia="宋体" w:cs="Arial"/>
          <w:vertAlign w:val="superscript"/>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210185</wp:posOffset>
                </wp:positionV>
                <wp:extent cx="1608455" cy="0"/>
                <wp:effectExtent l="12700" t="9525" r="7620" b="9525"/>
                <wp:wrapNone/>
                <wp:docPr id="1" name="AutoShape 4"/>
                <wp:cNvGraphicFramePr/>
                <a:graphic xmlns:a="http://schemas.openxmlformats.org/drawingml/2006/main">
                  <a:graphicData uri="http://schemas.microsoft.com/office/word/2010/wordprocessingShape">
                    <wps:wsp>
                      <wps:cNvCnPr>
                        <a:cxnSpLocks noChangeShapeType="1"/>
                      </wps:cNvCnPr>
                      <wps:spPr bwMode="auto">
                        <a:xfrm>
                          <a:off x="0" y="0"/>
                          <a:ext cx="1608455" cy="0"/>
                        </a:xfrm>
                        <a:prstGeom prst="straightConnector1">
                          <a:avLst/>
                        </a:prstGeom>
                        <a:noFill/>
                        <a:ln w="9525">
                          <a:solidFill>
                            <a:srgbClr val="000000"/>
                          </a:solidFill>
                          <a:round/>
                        </a:ln>
                      </wps:spPr>
                      <wps:bodyPr/>
                    </wps:wsp>
                  </a:graphicData>
                </a:graphic>
              </wp:anchor>
            </w:drawing>
          </mc:Choice>
          <mc:Fallback>
            <w:pict>
              <v:shape id="AutoShape 4" o:spid="_x0000_s1026" o:spt="32" type="#_x0000_t32" style="position:absolute;left:0pt;margin-left:1.3pt;margin-top:16.55pt;height:0pt;width:126.65pt;z-index:251661312;mso-width-relative:page;mso-height-relative:page;" filled="f" stroked="t" coordsize="21600,21600" o:gfxdata="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xfX4tUAAAAHAQAADwAAAAAAAAABACAAAAAi&#10;AAAAZHJzL2Rvd25yZXYueG1sUEsBAhQAFAAAAAgAh07iQMpiGYXUAQAAsgMAAA4AAAAAAAAAAQAg&#10;AAAAJAEAAGRycy9lMm9Eb2MueG1sUEsFBgAAAAAGAAYAWQEAAGoFAAAAAA==&#10;">
                <v:fill on="f" focussize="0,0"/>
                <v:stroke color="#000000" joinstyle="round"/>
                <v:imagedata o:title=""/>
                <o:lock v:ext="edit" aspectratio="f"/>
              </v:shape>
            </w:pict>
          </mc:Fallback>
        </mc:AlternateContent>
      </w:r>
    </w:p>
    <w:p w14:paraId="64DDA975">
      <w:pPr>
        <w:snapToGrid w:val="0"/>
        <w:spacing w:before="156" w:beforeLines="50" w:after="156" w:afterLines="50" w:line="300" w:lineRule="auto"/>
        <w:rPr>
          <w:rFonts w:ascii="Arial" w:hAnsi="Arial" w:eastAsia="宋体" w:cs="Arial"/>
        </w:rPr>
      </w:pPr>
      <w:r>
        <w:rPr>
          <w:rFonts w:ascii="Arial" w:hAnsi="Arial" w:eastAsia="宋体" w:cs="Arial"/>
          <w:vertAlign w:val="superscript"/>
        </w:rPr>
        <w:t>3</w:t>
      </w:r>
      <w:r>
        <w:rPr>
          <w:rFonts w:ascii="Arial" w:hAnsi="Arial" w:eastAsia="宋体" w:cs="Arial"/>
        </w:rPr>
        <w:t>根据以上条件，起草样板文件“带有限制条款的SE”。CDRH工作人员可在共享光驱H:\中获得器械评估办公室（ODE）和体外诊断器械评价与安全办公室（OIVDES）的“带有限制条款的SE”。</w:t>
      </w:r>
    </w:p>
    <w:p w14:paraId="65809A5A">
      <w:pPr>
        <w:snapToGrid w:val="0"/>
        <w:spacing w:before="156" w:beforeLines="50" w:after="156" w:afterLines="50" w:line="300" w:lineRule="auto"/>
        <w:rPr>
          <w:rFonts w:ascii="Arial" w:hAnsi="Arial" w:eastAsia="宋体" w:cs="Arial"/>
        </w:rPr>
      </w:pPr>
      <w:r>
        <w:rPr>
          <w:rFonts w:ascii="Arial" w:hAnsi="Arial" w:eastAsia="宋体" w:cs="Arial"/>
        </w:rPr>
        <w:t>根据标题为“决定何时为现有器械来提交510（k）”的ODE蓝皮书编号K97-1，</w:t>
      </w:r>
      <w:r>
        <w:fldChar w:fldCharType="begin"/>
      </w:r>
      <w:r>
        <w:instrText xml:space="preserve"> HYPERLINK "http://www.fda.gov/cdrh/ode/510kmod.htm" </w:instrText>
      </w:r>
      <w:r>
        <w:fldChar w:fldCharType="separate"/>
      </w:r>
      <w:r>
        <w:rPr>
          <w:rStyle w:val="9"/>
          <w:rFonts w:ascii="Arial" w:hAnsi="Arial" w:eastAsia="宋体" w:cs="Arial"/>
        </w:rPr>
        <w:t>http://www.fda.gov/cdrh/ode/510kmod.htm</w:t>
      </w:r>
      <w:r>
        <w:rPr>
          <w:rStyle w:val="9"/>
          <w:rFonts w:ascii="Arial" w:hAnsi="Arial" w:eastAsia="宋体" w:cs="Arial"/>
        </w:rPr>
        <w:fldChar w:fldCharType="end"/>
      </w:r>
      <w:r>
        <w:rPr>
          <w:rFonts w:ascii="Arial" w:hAnsi="Arial" w:eastAsia="宋体" w:cs="Arial"/>
        </w:rPr>
        <w:t>，允许制造商在不重新提交510（k）的情况下，进行某些标签变更。但是，法案中条款513（i）（1）（E）要求纳入“</w:t>
      </w:r>
      <w:bookmarkStart w:id="8" w:name="OLE_LINK41"/>
      <w:bookmarkStart w:id="9" w:name="OLE_LINK42"/>
      <w:r>
        <w:rPr>
          <w:rFonts w:ascii="Arial" w:hAnsi="Arial" w:eastAsia="宋体" w:cs="Arial"/>
        </w:rPr>
        <w:t>带有限制条款的SE</w:t>
      </w:r>
      <w:bookmarkEnd w:id="8"/>
      <w:bookmarkEnd w:id="9"/>
      <w:r>
        <w:rPr>
          <w:rFonts w:ascii="Arial" w:hAnsi="Arial" w:eastAsia="宋体" w:cs="Arial"/>
        </w:rPr>
        <w:t>”信函中所包含的标签限制条款。因此，在通过任何方式对这些限制条款进行修改或从器械标签中删除这些限制条款前，制造商必须提交新的510（k）申请。</w:t>
      </w:r>
    </w:p>
    <w:p w14:paraId="29D87ACB">
      <w:pPr>
        <w:snapToGrid w:val="0"/>
        <w:spacing w:before="156" w:beforeLines="50" w:after="156" w:afterLines="50" w:line="300" w:lineRule="auto"/>
        <w:jc w:val="center"/>
        <w:rPr>
          <w:rFonts w:hint="eastAsia" w:eastAsia="宋体"/>
          <w:lang w:eastAsia="zh-CN"/>
        </w:rPr>
      </w:pPr>
    </w:p>
    <w:p w14:paraId="3D9EA548">
      <w:pPr>
        <w:snapToGrid w:val="0"/>
        <w:spacing w:before="156" w:beforeLines="50" w:after="156" w:afterLines="50" w:line="300" w:lineRule="auto"/>
        <w:jc w:val="center"/>
        <w:rPr>
          <w:rFonts w:hint="eastAsia" w:eastAsia="宋体"/>
          <w:lang w:eastAsia="zh-CN"/>
        </w:rPr>
      </w:pPr>
    </w:p>
    <w:p w14:paraId="4B68E100">
      <w:pPr>
        <w:snapToGrid w:val="0"/>
        <w:spacing w:before="156" w:beforeLines="50" w:after="156"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5" name="图片 5" descr="2"/>
            <wp:cNvGraphicFramePr/>
            <a:graphic xmlns:a="http://schemas.openxmlformats.org/drawingml/2006/main">
              <a:graphicData uri="http://schemas.openxmlformats.org/drawingml/2006/picture">
                <pic:pic xmlns:pic="http://schemas.openxmlformats.org/drawingml/2006/picture">
                  <pic:nvPicPr>
                    <pic:cNvPr id="5" name="图片 5"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5"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97274"/>
      <w:docPartObj>
        <w:docPartGallery w:val="AutoText"/>
      </w:docPartObj>
    </w:sdtPr>
    <w:sdtContent>
      <w:p w14:paraId="6357E569">
        <w:pPr>
          <w:pStyle w:val="3"/>
          <w:jc w:val="right"/>
        </w:pPr>
      </w:p>
    </w:sdtContent>
  </w:sdt>
  <w:p w14:paraId="781FA64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426392035"/>
      <w:docPartObj>
        <w:docPartGallery w:val="AutoText"/>
      </w:docPartObj>
    </w:sdtPr>
    <w:sdtEndPr>
      <w:rPr>
        <w:rFonts w:ascii="Arial" w:hAnsi="Arial" w:cs="Arial"/>
        <w:sz w:val="21"/>
        <w:szCs w:val="21"/>
      </w:rPr>
    </w:sdtEndPr>
    <w:sdtContent>
      <w:p w14:paraId="35684891">
        <w:pPr>
          <w:pStyle w:val="3"/>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5</w:t>
        </w:r>
        <w:r>
          <w:rPr>
            <w:rFonts w:ascii="Arial" w:hAnsi="Arial" w:cs="Arial"/>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A056">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52EA8"/>
    <w:multiLevelType w:val="multilevel"/>
    <w:tmpl w:val="43B52EA8"/>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CFD4B2F"/>
    <w:multiLevelType w:val="multilevel"/>
    <w:tmpl w:val="7CFD4B2F"/>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4F"/>
    <w:rsid w:val="0000459B"/>
    <w:rsid w:val="000500BA"/>
    <w:rsid w:val="000B471A"/>
    <w:rsid w:val="000C1B1D"/>
    <w:rsid w:val="000C2C82"/>
    <w:rsid w:val="000F0DA1"/>
    <w:rsid w:val="0010042C"/>
    <w:rsid w:val="00165030"/>
    <w:rsid w:val="001C2E16"/>
    <w:rsid w:val="00215BAD"/>
    <w:rsid w:val="00253678"/>
    <w:rsid w:val="002B124F"/>
    <w:rsid w:val="003868AE"/>
    <w:rsid w:val="00400E15"/>
    <w:rsid w:val="00412E5F"/>
    <w:rsid w:val="00420952"/>
    <w:rsid w:val="00423674"/>
    <w:rsid w:val="004A6E29"/>
    <w:rsid w:val="006266D7"/>
    <w:rsid w:val="00671232"/>
    <w:rsid w:val="006A1EEA"/>
    <w:rsid w:val="006E0B49"/>
    <w:rsid w:val="006E1492"/>
    <w:rsid w:val="00740E85"/>
    <w:rsid w:val="00766BB5"/>
    <w:rsid w:val="007A2A3A"/>
    <w:rsid w:val="007A4592"/>
    <w:rsid w:val="007D4F59"/>
    <w:rsid w:val="007E11DA"/>
    <w:rsid w:val="007F4782"/>
    <w:rsid w:val="00820DA2"/>
    <w:rsid w:val="0082478F"/>
    <w:rsid w:val="008A1A2A"/>
    <w:rsid w:val="00910FBB"/>
    <w:rsid w:val="009517B7"/>
    <w:rsid w:val="009579EC"/>
    <w:rsid w:val="00981064"/>
    <w:rsid w:val="00981883"/>
    <w:rsid w:val="009A77A2"/>
    <w:rsid w:val="009D574E"/>
    <w:rsid w:val="00A41271"/>
    <w:rsid w:val="00A81433"/>
    <w:rsid w:val="00A8345E"/>
    <w:rsid w:val="00A91096"/>
    <w:rsid w:val="00AA605D"/>
    <w:rsid w:val="00AF1962"/>
    <w:rsid w:val="00B16BBD"/>
    <w:rsid w:val="00B31197"/>
    <w:rsid w:val="00B51E3A"/>
    <w:rsid w:val="00B977A0"/>
    <w:rsid w:val="00BC1E2A"/>
    <w:rsid w:val="00BD7B57"/>
    <w:rsid w:val="00C248E0"/>
    <w:rsid w:val="00C53FAA"/>
    <w:rsid w:val="00CC644E"/>
    <w:rsid w:val="00D23923"/>
    <w:rsid w:val="00DA50CC"/>
    <w:rsid w:val="00DA69CB"/>
    <w:rsid w:val="00DC48C0"/>
    <w:rsid w:val="00DD26A2"/>
    <w:rsid w:val="00DF47CC"/>
    <w:rsid w:val="00E0556A"/>
    <w:rsid w:val="00E2392F"/>
    <w:rsid w:val="00E2731E"/>
    <w:rsid w:val="00E36B57"/>
    <w:rsid w:val="00EB7F04"/>
    <w:rsid w:val="00F156B1"/>
    <w:rsid w:val="00F24540"/>
    <w:rsid w:val="00F303D4"/>
    <w:rsid w:val="00F75899"/>
    <w:rsid w:val="00F7725D"/>
    <w:rsid w:val="00FE615B"/>
    <w:rsid w:val="1EF71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Strong"/>
    <w:basedOn w:val="7"/>
    <w:qFormat/>
    <w:uiPriority w:val="22"/>
    <w:rPr>
      <w:b/>
      <w:bCs/>
    </w:rPr>
  </w:style>
  <w:style w:type="character" w:styleId="9">
    <w:name w:val="Hyperlink"/>
    <w:basedOn w:val="7"/>
    <w:unhideWhenUsed/>
    <w:uiPriority w:val="99"/>
    <w:rPr>
      <w:color w:val="0000FF"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3436</Words>
  <Characters>3815</Characters>
  <Lines>28</Lines>
  <Paragraphs>8</Paragraphs>
  <TotalTime>0</TotalTime>
  <ScaleCrop>false</ScaleCrop>
  <LinksUpToDate>false</LinksUpToDate>
  <CharactersWithSpaces>3829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2017-04-06T10:52:00Z</dcterms:created>
  <dc:creator>User</dc:creator>
  <cp:lastModifiedBy>太极箫客</cp:lastModifiedBy>
  <dcterms:modified xsi:type="dcterms:W3CDTF">2025-08-14T07:26:30Z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5717BD95E54145818B7B23CF8DF5D3B0_12</vt:lpwstr>
  </property>
</Properties>
</file>