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C2A21">
      <w:pPr>
        <w:topLinePunct/>
        <w:adjustRightInd w:val="0"/>
        <w:snapToGrid w:val="0"/>
        <w:spacing w:after="234" w:afterLines="75" w:line="288" w:lineRule="auto"/>
        <w:jc w:val="center"/>
        <w:rPr>
          <w:rFonts w:ascii="Arial" w:hAnsi="Arial" w:eastAsia="宋体" w:cs="Arial"/>
          <w:b/>
          <w:snapToGrid w:val="0"/>
          <w:kern w:val="0"/>
          <w:sz w:val="72"/>
        </w:rPr>
      </w:pPr>
      <w:bookmarkStart w:id="0" w:name="_GoBack"/>
      <w:bookmarkEnd w:id="0"/>
      <w:r>
        <w:rPr>
          <w:rFonts w:ascii="Arial" w:hAnsi="Arial" w:eastAsia="宋体" w:cs="Arial"/>
          <w:b/>
          <w:snapToGrid w:val="0"/>
          <w:kern w:val="0"/>
          <w:sz w:val="72"/>
        </w:rPr>
        <w:t>行业指南</w:t>
      </w:r>
    </w:p>
    <w:p w14:paraId="49FFEED8">
      <w:pPr>
        <w:topLinePunct/>
        <w:adjustRightInd w:val="0"/>
        <w:snapToGrid w:val="0"/>
        <w:spacing w:after="234" w:afterLines="75" w:line="288" w:lineRule="auto"/>
        <w:jc w:val="center"/>
        <w:rPr>
          <w:rFonts w:ascii="Arial" w:hAnsi="Arial" w:eastAsia="宋体" w:cs="Arial"/>
          <w:b/>
          <w:snapToGrid w:val="0"/>
          <w:kern w:val="0"/>
          <w:sz w:val="36"/>
        </w:rPr>
      </w:pPr>
      <w:r>
        <w:rPr>
          <w:rFonts w:ascii="Arial" w:hAnsi="Arial" w:eastAsia="宋体" w:cs="Arial"/>
          <w:b/>
          <w:snapToGrid w:val="0"/>
          <w:kern w:val="0"/>
          <w:sz w:val="36"/>
        </w:rPr>
        <w:t>行业支持的科学和教育活动</w:t>
      </w:r>
    </w:p>
    <w:p w14:paraId="7C9444B9">
      <w:pPr>
        <w:topLinePunct/>
        <w:adjustRightInd w:val="0"/>
        <w:snapToGrid w:val="0"/>
        <w:spacing w:after="234" w:afterLines="75" w:line="288" w:lineRule="auto"/>
        <w:rPr>
          <w:rFonts w:ascii="Arial" w:hAnsi="Arial" w:eastAsia="宋体" w:cs="Arial"/>
          <w:snapToGrid w:val="0"/>
          <w:kern w:val="0"/>
          <w:sz w:val="24"/>
        </w:rPr>
      </w:pPr>
    </w:p>
    <w:p w14:paraId="7B271EAF">
      <w:pPr>
        <w:topLinePunct/>
        <w:adjustRightInd w:val="0"/>
        <w:snapToGrid w:val="0"/>
        <w:spacing w:after="234" w:afterLines="75" w:line="288" w:lineRule="auto"/>
        <w:rPr>
          <w:rFonts w:ascii="Arial" w:hAnsi="Arial" w:eastAsia="宋体" w:cs="Arial"/>
          <w:snapToGrid w:val="0"/>
          <w:kern w:val="0"/>
          <w:sz w:val="24"/>
        </w:rPr>
      </w:pPr>
    </w:p>
    <w:p w14:paraId="3DAEAEC2">
      <w:pPr>
        <w:topLinePunct/>
        <w:adjustRightInd w:val="0"/>
        <w:snapToGrid w:val="0"/>
        <w:spacing w:after="234" w:afterLines="75" w:line="288" w:lineRule="auto"/>
        <w:rPr>
          <w:rFonts w:ascii="Arial" w:hAnsi="Arial" w:eastAsia="宋体" w:cs="Arial"/>
          <w:snapToGrid w:val="0"/>
          <w:kern w:val="0"/>
          <w:sz w:val="24"/>
        </w:rPr>
      </w:pPr>
    </w:p>
    <w:p w14:paraId="0FFD230C">
      <w:pPr>
        <w:topLinePunct/>
        <w:adjustRightInd w:val="0"/>
        <w:snapToGrid w:val="0"/>
        <w:spacing w:after="234" w:afterLines="75" w:line="288" w:lineRule="auto"/>
        <w:rPr>
          <w:rFonts w:ascii="Arial" w:hAnsi="Arial" w:eastAsia="宋体" w:cs="Arial"/>
          <w:snapToGrid w:val="0"/>
          <w:kern w:val="0"/>
          <w:sz w:val="24"/>
        </w:rPr>
      </w:pPr>
    </w:p>
    <w:p w14:paraId="17C2ACA2">
      <w:pPr>
        <w:topLinePunct/>
        <w:adjustRightInd w:val="0"/>
        <w:snapToGrid w:val="0"/>
        <w:spacing w:after="234" w:afterLines="75" w:line="288" w:lineRule="auto"/>
        <w:rPr>
          <w:rFonts w:ascii="Arial" w:hAnsi="Arial" w:eastAsia="宋体" w:cs="Arial"/>
          <w:snapToGrid w:val="0"/>
          <w:kern w:val="0"/>
          <w:sz w:val="24"/>
        </w:rPr>
      </w:pPr>
    </w:p>
    <w:p w14:paraId="59338E5A">
      <w:pPr>
        <w:topLinePunct/>
        <w:adjustRightInd w:val="0"/>
        <w:snapToGrid w:val="0"/>
        <w:spacing w:after="234" w:afterLines="75" w:line="288" w:lineRule="auto"/>
        <w:rPr>
          <w:rFonts w:ascii="Arial" w:hAnsi="Arial" w:eastAsia="宋体" w:cs="Arial"/>
          <w:snapToGrid w:val="0"/>
          <w:kern w:val="0"/>
          <w:sz w:val="24"/>
        </w:rPr>
      </w:pPr>
    </w:p>
    <w:p w14:paraId="72655FB8">
      <w:pPr>
        <w:topLinePunct/>
        <w:adjustRightInd w:val="0"/>
        <w:snapToGrid w:val="0"/>
        <w:spacing w:after="234" w:afterLines="75" w:line="288" w:lineRule="auto"/>
        <w:rPr>
          <w:rFonts w:ascii="Arial" w:hAnsi="Arial" w:eastAsia="宋体" w:cs="Arial"/>
          <w:snapToGrid w:val="0"/>
          <w:kern w:val="0"/>
          <w:sz w:val="24"/>
        </w:rPr>
      </w:pPr>
    </w:p>
    <w:p w14:paraId="6F41A1DC">
      <w:pPr>
        <w:topLinePunct/>
        <w:adjustRightInd w:val="0"/>
        <w:snapToGrid w:val="0"/>
        <w:spacing w:after="234" w:afterLines="75" w:line="288" w:lineRule="auto"/>
        <w:rPr>
          <w:rFonts w:ascii="Arial" w:hAnsi="Arial" w:eastAsia="宋体" w:cs="Arial"/>
          <w:snapToGrid w:val="0"/>
          <w:kern w:val="0"/>
          <w:sz w:val="24"/>
        </w:rPr>
      </w:pPr>
    </w:p>
    <w:p w14:paraId="767FB724">
      <w:pPr>
        <w:topLinePunct/>
        <w:adjustRightInd w:val="0"/>
        <w:snapToGrid w:val="0"/>
        <w:spacing w:after="234" w:afterLines="75" w:line="288" w:lineRule="auto"/>
        <w:rPr>
          <w:rFonts w:ascii="Arial" w:hAnsi="Arial" w:eastAsia="宋体" w:cs="Arial"/>
          <w:snapToGrid w:val="0"/>
          <w:kern w:val="0"/>
          <w:sz w:val="24"/>
        </w:rPr>
      </w:pPr>
    </w:p>
    <w:p w14:paraId="704600D2">
      <w:pPr>
        <w:topLinePunct/>
        <w:adjustRightInd w:val="0"/>
        <w:snapToGrid w:val="0"/>
        <w:spacing w:after="234" w:afterLines="75" w:line="288" w:lineRule="auto"/>
        <w:rPr>
          <w:rFonts w:ascii="Arial" w:hAnsi="Arial" w:eastAsia="宋体" w:cs="Arial"/>
          <w:snapToGrid w:val="0"/>
          <w:kern w:val="0"/>
          <w:sz w:val="24"/>
        </w:rPr>
      </w:pPr>
    </w:p>
    <w:p w14:paraId="52EFE869">
      <w:pPr>
        <w:topLinePunct/>
        <w:adjustRightInd w:val="0"/>
        <w:snapToGrid w:val="0"/>
        <w:spacing w:after="234" w:afterLines="75" w:line="288" w:lineRule="auto"/>
        <w:rPr>
          <w:rFonts w:ascii="Arial" w:hAnsi="Arial" w:eastAsia="宋体" w:cs="Arial"/>
          <w:snapToGrid w:val="0"/>
          <w:kern w:val="0"/>
          <w:sz w:val="24"/>
        </w:rPr>
      </w:pPr>
    </w:p>
    <w:p w14:paraId="6D72C771">
      <w:pPr>
        <w:topLinePunct/>
        <w:adjustRightInd w:val="0"/>
        <w:snapToGrid w:val="0"/>
        <w:spacing w:after="234" w:afterLines="75" w:line="288" w:lineRule="auto"/>
        <w:rPr>
          <w:rFonts w:ascii="Arial" w:hAnsi="Arial" w:eastAsia="宋体" w:cs="Arial"/>
          <w:snapToGrid w:val="0"/>
          <w:kern w:val="0"/>
          <w:sz w:val="24"/>
        </w:rPr>
      </w:pPr>
    </w:p>
    <w:p w14:paraId="53652DFE">
      <w:pPr>
        <w:topLinePunct/>
        <w:adjustRightInd w:val="0"/>
        <w:snapToGrid w:val="0"/>
        <w:spacing w:after="234" w:afterLines="75" w:line="288" w:lineRule="auto"/>
        <w:rPr>
          <w:rFonts w:ascii="Arial" w:hAnsi="Arial" w:eastAsia="宋体" w:cs="Arial"/>
          <w:snapToGrid w:val="0"/>
          <w:kern w:val="0"/>
          <w:sz w:val="24"/>
        </w:rPr>
      </w:pPr>
    </w:p>
    <w:p w14:paraId="07CA6F0E">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美国卫生和人类服务署</w:t>
      </w:r>
    </w:p>
    <w:p w14:paraId="0D8D98D2">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食品药品监督管理局</w:t>
      </w:r>
    </w:p>
    <w:p w14:paraId="5550B83C">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政策办公室</w:t>
      </w:r>
    </w:p>
    <w:p w14:paraId="278D9229">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1997年11月</w:t>
      </w:r>
    </w:p>
    <w:p w14:paraId="74EABB4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br w:type="page"/>
      </w:r>
    </w:p>
    <w:p w14:paraId="79941B4C">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行业指南</w:t>
      </w:r>
      <w:r>
        <w:rPr>
          <w:rStyle w:val="9"/>
          <w:rFonts w:ascii="Arial" w:hAnsi="Arial" w:eastAsia="宋体" w:cs="Arial"/>
          <w:b/>
          <w:snapToGrid w:val="0"/>
          <w:kern w:val="0"/>
          <w:sz w:val="24"/>
        </w:rPr>
        <w:footnoteReference w:id="0"/>
      </w:r>
    </w:p>
    <w:p w14:paraId="345B1B26">
      <w:pPr>
        <w:topLinePunct/>
        <w:adjustRightInd w:val="0"/>
        <w:snapToGrid w:val="0"/>
        <w:spacing w:after="234" w:afterLines="75" w:line="360" w:lineRule="auto"/>
        <w:rPr>
          <w:rFonts w:ascii="Arial" w:hAnsi="Arial" w:eastAsia="宋体" w:cs="Arial"/>
          <w:b/>
          <w:snapToGrid w:val="0"/>
          <w:kern w:val="0"/>
          <w:sz w:val="24"/>
        </w:rPr>
      </w:pPr>
      <w:r>
        <w:rPr>
          <w:rFonts w:ascii="Arial" w:hAnsi="Arial" w:eastAsia="宋体" w:cs="Arial"/>
          <w:b/>
          <w:snapToGrid w:val="0"/>
          <w:kern w:val="0"/>
          <w:sz w:val="24"/>
        </w:rPr>
        <w:t>行业支持的科学和教育活动</w:t>
      </w:r>
    </w:p>
    <w:p w14:paraId="6CBC9CAA">
      <w:pPr>
        <w:pStyle w:val="14"/>
        <w:numPr>
          <w:ilvl w:val="0"/>
          <w:numId w:val="1"/>
        </w:numPr>
        <w:topLinePunct/>
        <w:adjustRightInd w:val="0"/>
        <w:snapToGrid w:val="0"/>
        <w:spacing w:after="234" w:afterLines="75" w:line="360" w:lineRule="auto"/>
        <w:ind w:firstLineChars="0"/>
        <w:rPr>
          <w:rFonts w:ascii="Arial" w:hAnsi="Arial" w:eastAsia="宋体" w:cs="Arial"/>
          <w:b/>
          <w:i/>
          <w:snapToGrid w:val="0"/>
          <w:kern w:val="0"/>
          <w:sz w:val="24"/>
        </w:rPr>
      </w:pPr>
      <w:r>
        <w:rPr>
          <w:rFonts w:ascii="Arial" w:hAnsi="Arial" w:eastAsia="宋体" w:cs="Arial"/>
          <w:b/>
          <w:i/>
          <w:snapToGrid w:val="0"/>
          <w:kern w:val="0"/>
          <w:sz w:val="24"/>
        </w:rPr>
        <w:t>背景：推广、教育和独立性</w:t>
      </w:r>
    </w:p>
    <w:p w14:paraId="2A9A4EE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健康护理专家关于治疗性产品（由美国食品药品监督管理局（FDA）监管的人类和动物药品、生物制剂以及医疗器械）的两个重要的信息源是：（1）由销售该产品的公司举行或代表的活动（项目和材料）；和（2）由公司支持，除此之外与支持公司的推广性影响无关的活动。虽然上述两者都可以为健康护理专家提供有用的甚至是至关重要的信息，但公司举行的和</w:t>
      </w:r>
      <w:r>
        <w:rPr>
          <w:rFonts w:hint="eastAsia" w:ascii="Arial" w:hAnsi="Arial" w:eastAsia="宋体" w:cs="Arial"/>
          <w:snapToGrid w:val="0"/>
          <w:kern w:val="0"/>
          <w:sz w:val="24"/>
        </w:rPr>
        <w:t>传播</w:t>
      </w:r>
      <w:r>
        <w:rPr>
          <w:rFonts w:ascii="Arial" w:hAnsi="Arial" w:eastAsia="宋体" w:cs="Arial"/>
          <w:snapToGrid w:val="0"/>
          <w:kern w:val="0"/>
          <w:sz w:val="24"/>
        </w:rPr>
        <w:t>的项目和材料需要接受联邦食品药品与化妆品法案（法案）中标签和广告条款的监管，而真正独立的和非营销性质的行业支持活动不在FDA监管范围内。</w:t>
      </w:r>
      <w:r>
        <w:rPr>
          <w:rStyle w:val="9"/>
          <w:rFonts w:ascii="Arial" w:hAnsi="Arial" w:eastAsia="宋体" w:cs="Arial"/>
          <w:snapToGrid w:val="0"/>
          <w:kern w:val="0"/>
          <w:sz w:val="24"/>
        </w:rPr>
        <w:footnoteReference w:id="1"/>
      </w:r>
    </w:p>
    <w:p w14:paraId="629379E1">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司法路线十分重要，因为关于广告和标签的限制，</w:t>
      </w:r>
      <w:r>
        <w:rPr>
          <w:rStyle w:val="9"/>
          <w:rFonts w:ascii="Arial" w:hAnsi="Arial" w:eastAsia="宋体" w:cs="Arial"/>
          <w:snapToGrid w:val="0"/>
          <w:kern w:val="0"/>
          <w:sz w:val="24"/>
        </w:rPr>
        <w:footnoteReference w:id="2"/>
      </w:r>
      <w:r>
        <w:rPr>
          <w:rFonts w:ascii="Arial" w:hAnsi="Arial" w:eastAsia="宋体" w:cs="Arial"/>
          <w:snapToGrid w:val="0"/>
          <w:kern w:val="0"/>
          <w:sz w:val="24"/>
        </w:rPr>
        <w:t>一旦应用于科学和教育活动，则可以限制参与者讨论其数据或传达其观点的自由。具体来说，讨论未批准产品的使用情况是科学和教育活动中的重要组成部分，而在本指南中所讨论的情况下，即销售该产品的公司对该活动可以产生（因为活动的组织者没有完全的自主性）实质性影响时，这种讨论是不允许的。因此，在过去，机构会避免监管与产品销售公司影响无关的活动。机构认为，行业支持的活动也可以是非营销性和教育性的。</w:t>
      </w:r>
    </w:p>
    <w:p w14:paraId="7CBA9274">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63DF195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由于行业参与支持医疗护理专家毕业后教育和继续教育的程度越来越多，区分公司开展或代表的活动（需要接受监管）和完全独立于其影响的活动也越来越难。</w:t>
      </w:r>
    </w:p>
    <w:p w14:paraId="4C78D6C1">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在过去，机构认可该重要的公共政策，即不将所有的行业支持的活动作为广告或标签进行监管。为允许完全用于科学和教育讨论的行业支持，包括对未批准使用情况的讨论，FDA对公司支持的非营销性、除公司支持外不受任何实质性影响的活动与其他类活动进行了区分。机构认为不受支持公司的影响的非营销性活动不会被作为广告或标签接受监管，也不在机构的监管范围内。</w:t>
      </w:r>
    </w:p>
    <w:p w14:paraId="2F84AA81">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在确定某项活动是否不受到公司的实质性影响过程中，机构会检查是否以及在何种程度上该公司会影响与其产品相关的信息的展示，或者是否会将表面上的独立项目转化为营销媒介。FDA十分关注公司可能会以直接或间接的形式影响教育项目的内容。直接方式包括在演讲人的选择中或在讨论主题的处理中涉及产品。间接的方式包括通过公司与活动提供者的合作关系性质实现（例如，活动的提供者是否会认为未来该公司的经济支持与项目中对其产品的营销相关。）</w:t>
      </w:r>
    </w:p>
    <w:p w14:paraId="081009EB">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FDA有责任确定非营销性的科学和教育活动确实不会受到监管产品销售商的实质性影响。但机构认为，研究生和继续教育以及科学交流监管的主要责任应由科学和健康护理团体以及授权机构承担。因此，FDA将于科学和专业健康护理团体及授权机构密切合作，帮助确保活动的提供方的独立性。</w:t>
      </w:r>
    </w:p>
    <w:p w14:paraId="0987DD0A">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6834746C">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机构制定了本指南，用以描述机构与行业支持的科学和教育活动相关的政策。本指南希望能够区分FDA认为属于非营销性的科学和教育活动和机构认为属于营销性的活动，以及提供行业支持活动</w:t>
      </w:r>
      <w:r>
        <w:rPr>
          <w:rFonts w:hint="eastAsia" w:ascii="Arial" w:hAnsi="Arial" w:eastAsia="宋体" w:cs="Arial"/>
          <w:snapToGrid w:val="0"/>
          <w:kern w:val="0"/>
          <w:sz w:val="24"/>
        </w:rPr>
        <w:t>而</w:t>
      </w:r>
      <w:r>
        <w:rPr>
          <w:rFonts w:ascii="Arial" w:hAnsi="Arial" w:eastAsia="宋体" w:cs="Arial"/>
          <w:snapToGrid w:val="0"/>
          <w:kern w:val="0"/>
          <w:sz w:val="24"/>
        </w:rPr>
        <w:t>无需接受法案标签和广告条理监管的指导。</w:t>
      </w:r>
    </w:p>
    <w:p w14:paraId="1792115C">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本指南仅适用于公司支持的与支持公司的产品或竞争产品相关的活动。如果公司支持的教育活动或活动中支持的某一部分与公司产品或竞争产品无关，或不涉及宣传使用该公司的产品，则在本指南中不会认定为营销性活动。</w:t>
      </w:r>
    </w:p>
    <w:p w14:paraId="34C39449">
      <w:pPr>
        <w:pStyle w:val="14"/>
        <w:numPr>
          <w:ilvl w:val="0"/>
          <w:numId w:val="1"/>
        </w:numPr>
        <w:topLinePunct/>
        <w:adjustRightInd w:val="0"/>
        <w:snapToGrid w:val="0"/>
        <w:spacing w:after="234" w:afterLines="75" w:line="360" w:lineRule="auto"/>
        <w:ind w:left="426" w:hanging="426" w:firstLineChars="0"/>
        <w:rPr>
          <w:rFonts w:ascii="Arial" w:hAnsi="Arial" w:eastAsia="宋体" w:cs="Arial"/>
          <w:b/>
          <w:snapToGrid w:val="0"/>
          <w:kern w:val="0"/>
          <w:sz w:val="24"/>
        </w:rPr>
      </w:pPr>
      <w:r>
        <w:rPr>
          <w:rFonts w:ascii="Arial" w:hAnsi="Arial" w:eastAsia="宋体" w:cs="Arial"/>
          <w:b/>
          <w:snapToGrid w:val="0"/>
          <w:kern w:val="0"/>
          <w:sz w:val="24"/>
        </w:rPr>
        <w:t>指南：行业支持的科学和教育活动</w:t>
      </w:r>
    </w:p>
    <w:p w14:paraId="389A4E6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FDA没有也不希望针对由行业支持的但独立于支持公司影响的科学和教育活动开展法案标签和广告条款范围内的监管。如果公司和活动举办方希望能够确保其活动不受监管，则应当根据下文所述的评估活动和确定独立性的因素，在设计和开展活动过程中避免受到公司的影响和偏见。这些因素为此类活动的设计和开展提供了指导，以便保证其本质上为教育性和非营销性活动。这些因素将作为活动整体评估的一部分；单个指标本身不能确定行为的独立性。</w:t>
      </w:r>
    </w:p>
    <w:p w14:paraId="0C4FB759">
      <w:pPr>
        <w:topLinePunct/>
        <w:adjustRightInd w:val="0"/>
        <w:snapToGrid w:val="0"/>
        <w:spacing w:after="234" w:afterLines="75" w:line="360" w:lineRule="auto"/>
        <w:rPr>
          <w:rFonts w:ascii="Arial" w:hAnsi="Arial" w:eastAsia="宋体" w:cs="Arial"/>
          <w:i/>
          <w:snapToGrid w:val="0"/>
          <w:kern w:val="0"/>
          <w:sz w:val="24"/>
        </w:rPr>
      </w:pPr>
      <w:r>
        <w:rPr>
          <w:rFonts w:ascii="Arial" w:hAnsi="Arial" w:eastAsia="宋体" w:cs="Arial"/>
          <w:i/>
          <w:snapToGrid w:val="0"/>
          <w:kern w:val="0"/>
          <w:sz w:val="24"/>
        </w:rPr>
        <w:t>A.在评估活动和确定独立性中考虑的因素</w:t>
      </w:r>
    </w:p>
    <w:p w14:paraId="2D3EF7CC">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在评估项目和活动以及确定独立性过程中，FDA会考虑下列因素：</w:t>
      </w:r>
    </w:p>
    <w:p w14:paraId="0A95D88D">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5410039F">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（1）内容控制，以及演讲人和主持人的选择</w:t>
      </w:r>
    </w:p>
    <w:p w14:paraId="258ADC70">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活动提供者是否可以完全控制项目内容的选择、项目内容的计划、以及演讲人和主持人的选择。在此过程中，机构会查看支持公司是否参与了撰稿、确定重点、或采取了其他旨在影响项目内容的行为。另外，机构会考虑该公司是否建议了涉及或可能涉及公司产品宣传的演讲人，或与涉及误导性或带有偏见性宣传公司产品相关投诉或异议相关的演讲人。</w:t>
      </w:r>
    </w:p>
    <w:p w14:paraId="796341B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（2）披露</w:t>
      </w:r>
    </w:p>
    <w:p w14:paraId="132780A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项目中是否会向听众披露以下有意义的内容：（1）公司支持了该项目；（2）活动组织者、演讲人或主持人、以及支持的公司之间重要的关系（例如雇员、受资助人、重大利益或股权持有人）；和（3）是否会讨论任何未经批准的产品使用；</w:t>
      </w:r>
    </w:p>
    <w:p w14:paraId="0AB49626">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（3）项目关注点</w:t>
      </w:r>
    </w:p>
    <w:p w14:paraId="3A2D4889">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机构会考虑公司和组织方的目标是否为举办独立的、非营销性的、关注与教育内容且不受商业影响或偏见的活动。机构会考虑活动的主题是否恰当，以及主题是否可以准确代表演讲的范围。</w:t>
      </w:r>
    </w:p>
    <w:p w14:paraId="40A08D19">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通过查看活动的关注点来确定该活动中心主题是否为公司销售的独立产品或竞争产品，除非现有的治疗选择非常有限，无法对其他治疗选择开展有意义的讨论。这并不代表每种治疗方案都必须以完全相同的重要性进行讨论。但如果着重讨论该演讲人认为的新的或更为有效的治疗模式时，应当在讨论所有可行和相关选项的背景下进行讨论。</w:t>
      </w:r>
    </w:p>
    <w:p w14:paraId="4FE36F04">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59F7A1C0">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（4）活动组织方和支持公司的关系</w:t>
      </w:r>
    </w:p>
    <w:p w14:paraId="395DF1D8">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机构会考虑公司和提供方是否存在可能对活动的内容产生影响的法律、商务或其他关系（例如，提供方隶属于该公司，或无法离开活动支持公司的支持）。</w:t>
      </w:r>
    </w:p>
    <w:p w14:paraId="08F5AE8C">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（5）活动组织方参与销售或市场营销</w:t>
      </w:r>
    </w:p>
    <w:p w14:paraId="186C5E07">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机构会考虑组织方的雇员以及参与科学或教育项目设计或执行的个体是否也参与或协助了公司产品的销售或市场营销。</w:t>
      </w:r>
    </w:p>
    <w:p w14:paraId="0A025052">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（6）组织方表现出的非合规情况</w:t>
      </w:r>
    </w:p>
    <w:p w14:paraId="5582D8A8">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机构会考虑组织方在组织表面上独立的教育项目时，是否存在不符合独立、平衡、客观或科学性标准的项目的记录。</w:t>
      </w:r>
    </w:p>
    <w:p w14:paraId="219B10A2">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（7）多个演讲人</w:t>
      </w:r>
    </w:p>
    <w:p w14:paraId="4034FB01">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机构会考虑是否针对相同的项目开展了多次演讲。</w:t>
      </w:r>
      <w:r>
        <w:rPr>
          <w:rStyle w:val="9"/>
          <w:rFonts w:ascii="Arial" w:hAnsi="Arial" w:eastAsia="宋体" w:cs="Arial"/>
          <w:snapToGrid w:val="0"/>
          <w:kern w:val="0"/>
          <w:sz w:val="24"/>
        </w:rPr>
        <w:footnoteReference w:id="3"/>
      </w:r>
    </w:p>
    <w:p w14:paraId="6DCB1EE7">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（8）听众选择</w:t>
      </w:r>
    </w:p>
    <w:p w14:paraId="128953C3">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机构会考虑受支持活动的邀请或邮件列表是否由支持公司的销售或营销部门指定，或</w:t>
      </w:r>
      <w:r>
        <w:rPr>
          <w:rFonts w:hint="eastAsia" w:ascii="Arial" w:hAnsi="Arial" w:eastAsia="宋体" w:cs="Arial"/>
          <w:snapToGrid w:val="0"/>
          <w:kern w:val="0"/>
          <w:sz w:val="24"/>
        </w:rPr>
        <w:t>表明</w:t>
      </w:r>
      <w:r>
        <w:rPr>
          <w:rFonts w:ascii="Arial" w:hAnsi="Arial" w:eastAsia="宋体" w:cs="Arial"/>
          <w:snapToGrid w:val="0"/>
          <w:kern w:val="0"/>
          <w:sz w:val="24"/>
        </w:rPr>
        <w:t>销售或营销目标（例如，回馈公司产品的大量订购方，或影响</w:t>
      </w:r>
      <w:r>
        <w:rPr>
          <w:rFonts w:ascii="宋体" w:hAnsi="宋体" w:eastAsia="宋体" w:cs="Arial"/>
          <w:snapToGrid w:val="0"/>
          <w:kern w:val="0"/>
          <w:sz w:val="24"/>
        </w:rPr>
        <w:t>“</w:t>
      </w:r>
      <w:r>
        <w:rPr>
          <w:rFonts w:ascii="Arial" w:hAnsi="Arial" w:eastAsia="宋体" w:cs="Arial"/>
          <w:snapToGrid w:val="0"/>
          <w:kern w:val="0"/>
          <w:sz w:val="24"/>
        </w:rPr>
        <w:t>意见领袖</w:t>
      </w:r>
      <w:r>
        <w:rPr>
          <w:rFonts w:ascii="宋体" w:hAnsi="宋体" w:eastAsia="宋体" w:cs="Arial"/>
          <w:snapToGrid w:val="0"/>
          <w:kern w:val="0"/>
          <w:sz w:val="24"/>
        </w:rPr>
        <w:t>”</w:t>
      </w:r>
      <w:r>
        <w:rPr>
          <w:rFonts w:ascii="Arial" w:hAnsi="Arial" w:eastAsia="宋体" w:cs="Arial"/>
          <w:snapToGrid w:val="0"/>
          <w:kern w:val="0"/>
          <w:sz w:val="24"/>
        </w:rPr>
        <w:t>）。</w:t>
      </w:r>
    </w:p>
    <w:p w14:paraId="2C2D16F7">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（9）讨论机会</w:t>
      </w:r>
    </w:p>
    <w:p w14:paraId="6848A81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对于现场演讲，机构会考虑项目期间是否会提供有意义的讨论会提问机会。</w:t>
      </w:r>
    </w:p>
    <w:p w14:paraId="5102E188">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53D2FBF">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（10）传播</w:t>
      </w:r>
    </w:p>
    <w:p w14:paraId="015AE6B4">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机构会考虑在科学或教育活动期间呈现的支持公司的产品信息是否会在项目完成后，由公司或公司的授意进一步传播，而非通过下文中讨论的索取后或通过独立的组织者进行传播。</w:t>
      </w:r>
    </w:p>
    <w:p w14:paraId="53890C56">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（11）附加的营销活动</w:t>
      </w:r>
    </w:p>
    <w:p w14:paraId="59E8BF0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机构会考虑会议室内是否有营销性活动，如销售代表演讲或营销展览。</w:t>
      </w:r>
    </w:p>
    <w:p w14:paraId="1BE5A79E">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（12）投诉</w:t>
      </w:r>
    </w:p>
    <w:p w14:paraId="3704B0FD">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机构会考虑是否有组织者、演讲人或参与者提出了与支持公司试图影响内容相关的投诉。</w:t>
      </w:r>
    </w:p>
    <w:p w14:paraId="4303B439">
      <w:pPr>
        <w:topLinePunct/>
        <w:adjustRightInd w:val="0"/>
        <w:snapToGrid w:val="0"/>
        <w:spacing w:after="234" w:afterLines="75" w:line="360" w:lineRule="auto"/>
        <w:rPr>
          <w:rFonts w:ascii="Arial" w:hAnsi="Arial" w:eastAsia="宋体" w:cs="Arial"/>
          <w:i/>
          <w:snapToGrid w:val="0"/>
          <w:kern w:val="0"/>
          <w:sz w:val="24"/>
        </w:rPr>
      </w:pPr>
      <w:r>
        <w:rPr>
          <w:rFonts w:ascii="Arial" w:hAnsi="Arial" w:eastAsia="宋体" w:cs="Arial"/>
          <w:i/>
          <w:snapToGrid w:val="0"/>
          <w:kern w:val="0"/>
          <w:sz w:val="24"/>
        </w:rPr>
        <w:t>B.其他考虑</w:t>
      </w:r>
    </w:p>
    <w:p w14:paraId="4C41E384">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上述因素并非旨在列出所有影响因素，特定情况下可能还需要考虑其他因素。</w:t>
      </w:r>
    </w:p>
    <w:p w14:paraId="267650DF">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记录所采取的确保活动独立性措施的一种方式是组织者与支持公司达成书面协议。该文件应指明，组织方仅负责活动的设计和执行，且该活动为教育性、非营销性、不受商业偏见影响。虽然没有强制要求，但书面协议以及上文所述的因素能够提供有用的证据，证明活动是否为独立的和非营销性的。</w:t>
      </w:r>
    </w:p>
    <w:p w14:paraId="2610E5E6">
      <w:pPr>
        <w:pStyle w:val="14"/>
        <w:numPr>
          <w:ilvl w:val="0"/>
          <w:numId w:val="1"/>
        </w:numPr>
        <w:topLinePunct/>
        <w:adjustRightInd w:val="0"/>
        <w:snapToGrid w:val="0"/>
        <w:spacing w:after="234" w:afterLines="75" w:line="360" w:lineRule="auto"/>
        <w:ind w:left="426" w:hanging="426" w:firstLineChars="0"/>
        <w:rPr>
          <w:rFonts w:ascii="Arial" w:hAnsi="Arial" w:eastAsia="宋体" w:cs="Arial"/>
          <w:b/>
          <w:snapToGrid w:val="0"/>
          <w:kern w:val="0"/>
          <w:sz w:val="24"/>
        </w:rPr>
      </w:pPr>
      <w:r>
        <w:rPr>
          <w:rFonts w:ascii="Arial" w:hAnsi="Arial" w:eastAsia="宋体" w:cs="Arial"/>
          <w:b/>
          <w:snapToGrid w:val="0"/>
          <w:kern w:val="0"/>
          <w:sz w:val="24"/>
        </w:rPr>
        <w:t>FDA与主要相关机构的合作</w:t>
      </w:r>
    </w:p>
    <w:p w14:paraId="125D8C9A">
      <w:pPr>
        <w:topLinePunct/>
        <w:adjustRightInd w:val="0"/>
        <w:snapToGrid w:val="0"/>
        <w:spacing w:after="234" w:afterLines="75" w:line="360" w:lineRule="auto"/>
        <w:rPr>
          <w:rFonts w:ascii="Arial" w:hAnsi="Arial" w:eastAsia="宋体" w:cs="Arial"/>
          <w:snapToGrid w:val="0"/>
          <w:kern w:val="0"/>
          <w:sz w:val="24"/>
        </w:rPr>
      </w:pPr>
      <w:r>
        <w:rPr>
          <w:rFonts w:ascii="Arial" w:hAnsi="Arial" w:eastAsia="宋体" w:cs="Arial"/>
          <w:snapToGrid w:val="0"/>
          <w:kern w:val="0"/>
          <w:sz w:val="24"/>
        </w:rPr>
        <w:t>FDA认为，授权机构能够在确保行业赞助的教育活动的独立性和非营销性过程中</w:t>
      </w:r>
      <w:r>
        <w:rPr>
          <w:rFonts w:hint="eastAsia" w:ascii="Arial" w:hAnsi="Arial" w:eastAsia="宋体" w:cs="Arial"/>
          <w:snapToGrid w:val="0"/>
          <w:kern w:val="0"/>
          <w:sz w:val="24"/>
        </w:rPr>
        <w:t>承担</w:t>
      </w:r>
      <w:r>
        <w:rPr>
          <w:rFonts w:ascii="Arial" w:hAnsi="Arial" w:eastAsia="宋体" w:cs="Arial"/>
          <w:snapToGrid w:val="0"/>
          <w:kern w:val="0"/>
          <w:sz w:val="24"/>
        </w:rPr>
        <w:t>重要的</w:t>
      </w:r>
      <w:r>
        <w:rPr>
          <w:rFonts w:hint="eastAsia" w:ascii="Arial" w:hAnsi="Arial" w:eastAsia="宋体" w:cs="Arial"/>
          <w:snapToGrid w:val="0"/>
          <w:kern w:val="0"/>
          <w:sz w:val="24"/>
        </w:rPr>
        <w:t>职责</w:t>
      </w:r>
      <w:r>
        <w:rPr>
          <w:rFonts w:ascii="Arial" w:hAnsi="Arial" w:eastAsia="宋体" w:cs="Arial"/>
          <w:snapToGrid w:val="0"/>
          <w:kern w:val="0"/>
          <w:sz w:val="24"/>
        </w:rPr>
        <w:t>。机构也认为，在确保公司营销性活动符合适用的法律要求时，政府应避免过多干预健康护理专家研究生教育和继续教育。因此，机构会继续与主要授权机构一起，监督由授权组织方开展的公司支持的教育活动。</w:t>
      </w:r>
    </w:p>
    <w:p w14:paraId="2A262D75">
      <w:pPr>
        <w:widowControl/>
        <w:jc w:val="left"/>
        <w:rPr>
          <w:rFonts w:ascii="Arial" w:hAnsi="Arial" w:eastAsia="宋体" w:cs="Arial"/>
          <w:snapToGrid w:val="0"/>
          <w:kern w:val="0"/>
          <w:sz w:val="20"/>
        </w:rPr>
      </w:pPr>
      <w:r>
        <w:rPr>
          <w:rFonts w:ascii="Arial" w:hAnsi="Arial" w:eastAsia="宋体" w:cs="Arial"/>
          <w:snapToGrid w:val="0"/>
          <w:kern w:val="0"/>
          <w:sz w:val="20"/>
        </w:rPr>
        <w:br w:type="page"/>
      </w:r>
    </w:p>
    <w:p w14:paraId="736F8D1A">
      <w:pPr>
        <w:topLinePunct/>
        <w:adjustRightInd w:val="0"/>
        <w:snapToGrid w:val="0"/>
        <w:spacing w:line="360" w:lineRule="auto"/>
        <w:rPr>
          <w:rFonts w:ascii="Arial" w:hAnsi="Arial" w:eastAsia="宋体" w:cs="Arial"/>
          <w:snapToGrid w:val="0"/>
          <w:kern w:val="0"/>
          <w:sz w:val="20"/>
        </w:rPr>
      </w:pPr>
      <w:r>
        <w:rPr>
          <w:rFonts w:hint="eastAsia" w:ascii="Arial" w:hAnsi="Arial" w:eastAsia="宋体" w:cs="Arial"/>
          <w:snapToGrid w:val="0"/>
          <w:kern w:val="0"/>
          <w:sz w:val="20"/>
        </w:rPr>
        <w:t>【</w:t>
      </w:r>
      <w:r>
        <w:rPr>
          <w:rFonts w:ascii="Arial" w:hAnsi="Arial" w:eastAsia="宋体" w:cs="Arial"/>
          <w:snapToGrid w:val="0"/>
          <w:kern w:val="0"/>
          <w:sz w:val="20"/>
        </w:rPr>
        <w:t>FR Doc. 97–31741</w:t>
      </w:r>
      <w:r>
        <w:rPr>
          <w:rFonts w:hint="eastAsia" w:ascii="Arial" w:hAnsi="Arial" w:eastAsia="宋体" w:cs="Arial"/>
          <w:snapToGrid w:val="0"/>
          <w:kern w:val="0"/>
          <w:sz w:val="20"/>
        </w:rPr>
        <w:t>于</w:t>
      </w:r>
      <w:r>
        <w:rPr>
          <w:rFonts w:ascii="Arial" w:hAnsi="Arial" w:eastAsia="宋体" w:cs="Arial"/>
          <w:snapToGrid w:val="0"/>
          <w:kern w:val="0"/>
          <w:sz w:val="20"/>
        </w:rPr>
        <w:t>1997</w:t>
      </w:r>
      <w:r>
        <w:rPr>
          <w:rFonts w:hint="eastAsia" w:ascii="Arial" w:hAnsi="Arial" w:eastAsia="宋体" w:cs="Arial"/>
          <w:snapToGrid w:val="0"/>
          <w:kern w:val="0"/>
          <w:sz w:val="20"/>
        </w:rPr>
        <w:t>年</w:t>
      </w:r>
      <w:r>
        <w:rPr>
          <w:rFonts w:ascii="Arial" w:hAnsi="Arial" w:eastAsia="宋体" w:cs="Arial"/>
          <w:snapToGrid w:val="0"/>
          <w:kern w:val="0"/>
          <w:sz w:val="20"/>
        </w:rPr>
        <w:t>12</w:t>
      </w:r>
      <w:r>
        <w:rPr>
          <w:rFonts w:hint="eastAsia" w:ascii="Arial" w:hAnsi="Arial" w:eastAsia="宋体" w:cs="Arial"/>
          <w:snapToGrid w:val="0"/>
          <w:kern w:val="0"/>
          <w:sz w:val="20"/>
        </w:rPr>
        <w:t>月</w:t>
      </w:r>
      <w:r>
        <w:rPr>
          <w:rFonts w:ascii="Arial" w:hAnsi="Arial" w:eastAsia="宋体" w:cs="Arial"/>
          <w:snapToGrid w:val="0"/>
          <w:kern w:val="0"/>
          <w:sz w:val="20"/>
        </w:rPr>
        <w:t>2</w:t>
      </w:r>
      <w:r>
        <w:rPr>
          <w:rFonts w:hint="eastAsia" w:ascii="Arial" w:hAnsi="Arial" w:eastAsia="宋体" w:cs="Arial"/>
          <w:snapToGrid w:val="0"/>
          <w:kern w:val="0"/>
          <w:sz w:val="20"/>
        </w:rPr>
        <w:t>日；</w:t>
      </w:r>
      <w:r>
        <w:rPr>
          <w:rFonts w:ascii="Arial" w:hAnsi="Arial" w:eastAsia="宋体" w:cs="Arial"/>
          <w:snapToGrid w:val="0"/>
          <w:kern w:val="0"/>
          <w:sz w:val="20"/>
        </w:rPr>
        <w:t>8:45 am</w:t>
      </w:r>
      <w:r>
        <w:rPr>
          <w:rFonts w:hint="eastAsia" w:ascii="Arial" w:hAnsi="Arial" w:eastAsia="宋体" w:cs="Arial"/>
          <w:snapToGrid w:val="0"/>
          <w:kern w:val="0"/>
          <w:sz w:val="20"/>
        </w:rPr>
        <w:t>】</w:t>
      </w:r>
    </w:p>
    <w:p w14:paraId="011181AF">
      <w:pPr>
        <w:topLinePunct/>
        <w:adjustRightInd w:val="0"/>
        <w:snapToGrid w:val="0"/>
        <w:spacing w:line="360" w:lineRule="auto"/>
        <w:rPr>
          <w:rFonts w:ascii="Arial" w:hAnsi="Arial" w:eastAsia="宋体" w:cs="Arial"/>
          <w:b/>
          <w:snapToGrid w:val="0"/>
          <w:kern w:val="0"/>
          <w:sz w:val="18"/>
        </w:rPr>
      </w:pPr>
      <w:r>
        <w:rPr>
          <w:rFonts w:hint="eastAsia" w:ascii="Arial" w:hAnsi="Arial" w:eastAsia="宋体" w:cs="Arial"/>
          <w:b/>
          <w:snapToGrid w:val="0"/>
          <w:kern w:val="0"/>
          <w:sz w:val="18"/>
        </w:rPr>
        <w:t>法案代码</w:t>
      </w:r>
      <w:r>
        <w:rPr>
          <w:rFonts w:ascii="Arial" w:hAnsi="Arial" w:eastAsia="宋体" w:cs="Arial"/>
          <w:b/>
          <w:snapToGrid w:val="0"/>
          <w:kern w:val="0"/>
          <w:sz w:val="18"/>
        </w:rPr>
        <w:t>4160–01–C</w:t>
      </w:r>
    </w:p>
    <w:p w14:paraId="1F9ECA6D">
      <w:pPr>
        <w:topLinePunct/>
        <w:adjustRightInd w:val="0"/>
        <w:snapToGrid w:val="0"/>
        <w:spacing w:after="234" w:afterLines="75" w:line="360" w:lineRule="auto"/>
        <w:rPr>
          <w:rFonts w:ascii="Arial" w:hAnsi="Arial" w:eastAsia="宋体" w:cs="Arial"/>
          <w:snapToGrid w:val="0"/>
          <w:kern w:val="0"/>
          <w:sz w:val="24"/>
        </w:rPr>
      </w:pPr>
    </w:p>
    <w:p w14:paraId="11C72199">
      <w:pPr>
        <w:topLinePunct/>
        <w:adjustRightInd w:val="0"/>
        <w:snapToGrid w:val="0"/>
        <w:spacing w:after="234" w:afterLines="75" w:line="288" w:lineRule="auto"/>
        <w:jc w:val="center"/>
        <w:rPr>
          <w:rFonts w:hint="eastAsia" w:eastAsia="等线"/>
          <w:lang w:eastAsia="zh-CN"/>
        </w:rPr>
      </w:pPr>
    </w:p>
    <w:p w14:paraId="54D6A7BC">
      <w:pPr>
        <w:topLinePunct/>
        <w:adjustRightInd w:val="0"/>
        <w:snapToGrid w:val="0"/>
        <w:spacing w:after="234" w:afterLines="75" w:line="288" w:lineRule="auto"/>
        <w:jc w:val="center"/>
        <w:rPr>
          <w:rFonts w:hint="eastAsia" w:eastAsia="等线"/>
          <w:lang w:eastAsia="zh-CN"/>
        </w:rPr>
      </w:pPr>
    </w:p>
    <w:p w14:paraId="02CBA67F">
      <w:pPr>
        <w:topLinePunct/>
        <w:adjustRightInd w:val="0"/>
        <w:snapToGrid w:val="0"/>
        <w:spacing w:after="234" w:afterLines="75" w:line="288"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default"/>
      <w:headerReference r:id="rId5" w:type="even"/>
      <w:pgSz w:w="11906" w:h="16838"/>
      <w:pgMar w:top="1134" w:right="1440" w:bottom="1134" w:left="1440" w:header="720" w:footer="720" w:gutter="0"/>
      <w:pgNumType w:start="6409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375AB069">
      <w:pPr>
        <w:pStyle w:val="5"/>
        <w:spacing w:line="360" w:lineRule="auto"/>
        <w:jc w:val="both"/>
        <w:rPr>
          <w:rFonts w:ascii="Arial" w:hAnsi="Arial" w:eastAsia="宋体" w:cs="Arial"/>
          <w:sz w:val="21"/>
        </w:rPr>
      </w:pPr>
      <w:r>
        <w:rPr>
          <w:rStyle w:val="9"/>
          <w:rFonts w:ascii="Arial" w:hAnsi="Arial" w:eastAsia="宋体" w:cs="Arial"/>
          <w:sz w:val="21"/>
        </w:rPr>
        <w:footnoteRef/>
      </w:r>
      <w:r>
        <w:rPr>
          <w:rFonts w:ascii="Arial" w:hAnsi="Arial" w:eastAsia="宋体" w:cs="Arial"/>
          <w:sz w:val="21"/>
        </w:rPr>
        <w:t xml:space="preserve"> 本指南由FDA广告和营销机构内部工作组制定。其代表机构对行业支持的科学和教育活动的最新见解。其不会为任何人创造或赋予任何权利，也不对FDA或公众具有约束力。如果替代方法满足适用的法律、法规或其两者的要求，可以使用替代方法。</w:t>
      </w:r>
    </w:p>
  </w:footnote>
  <w:footnote w:id="1">
    <w:p w14:paraId="04AD3EAE">
      <w:pPr>
        <w:pStyle w:val="5"/>
        <w:spacing w:line="360" w:lineRule="auto"/>
        <w:jc w:val="both"/>
        <w:rPr>
          <w:rFonts w:ascii="Arial" w:hAnsi="Arial" w:eastAsia="宋体" w:cs="Arial"/>
          <w:sz w:val="21"/>
        </w:rPr>
      </w:pPr>
      <w:r>
        <w:rPr>
          <w:rStyle w:val="9"/>
          <w:rFonts w:ascii="Arial" w:hAnsi="Arial" w:eastAsia="宋体" w:cs="Arial"/>
          <w:sz w:val="21"/>
        </w:rPr>
        <w:footnoteRef/>
      </w:r>
      <w:r>
        <w:rPr>
          <w:rFonts w:ascii="Arial" w:hAnsi="Arial" w:eastAsia="宋体" w:cs="Arial"/>
          <w:sz w:val="21"/>
        </w:rPr>
        <w:t xml:space="preserve"> 在此上下文中</w:t>
      </w:r>
      <w:r>
        <w:rPr>
          <w:rFonts w:ascii="宋体" w:hAnsi="宋体" w:eastAsia="宋体" w:cs="Arial"/>
          <w:sz w:val="21"/>
        </w:rPr>
        <w:t>，“独立”</w:t>
      </w:r>
      <w:r>
        <w:rPr>
          <w:rFonts w:ascii="Arial" w:hAnsi="Arial" w:eastAsia="宋体" w:cs="Arial"/>
          <w:sz w:val="21"/>
        </w:rPr>
        <w:t>和</w:t>
      </w:r>
      <w:r>
        <w:rPr>
          <w:rFonts w:ascii="宋体" w:hAnsi="宋体" w:eastAsia="宋体" w:cs="Arial"/>
          <w:sz w:val="21"/>
        </w:rPr>
        <w:t>“非营销性”可</w:t>
      </w:r>
      <w:r>
        <w:rPr>
          <w:rFonts w:ascii="Arial" w:hAnsi="Arial" w:eastAsia="宋体" w:cs="Arial"/>
          <w:sz w:val="21"/>
        </w:rPr>
        <w:t>以互相替代使用。机构将独立性作为某项活动是否为非营销性的指标。</w:t>
      </w:r>
    </w:p>
  </w:footnote>
  <w:footnote w:id="2">
    <w:p w14:paraId="35DDB0D3">
      <w:pPr>
        <w:pStyle w:val="5"/>
        <w:spacing w:line="360" w:lineRule="auto"/>
        <w:jc w:val="both"/>
        <w:rPr>
          <w:rFonts w:ascii="Arial" w:hAnsi="Arial" w:eastAsia="宋体" w:cs="Arial"/>
          <w:sz w:val="21"/>
        </w:rPr>
      </w:pPr>
      <w:r>
        <w:rPr>
          <w:rStyle w:val="9"/>
          <w:rFonts w:ascii="Arial" w:hAnsi="Arial" w:eastAsia="宋体" w:cs="Arial"/>
          <w:sz w:val="21"/>
        </w:rPr>
        <w:footnoteRef/>
      </w:r>
      <w:r>
        <w:rPr>
          <w:rFonts w:ascii="Arial" w:hAnsi="Arial" w:eastAsia="宋体" w:cs="Arial"/>
          <w:sz w:val="21"/>
        </w:rPr>
        <w:t xml:space="preserve"> 这些条款要求公司确保内容不涉及未批准使用情况的推广，并且对公司产品的讨论不得存在虚假或误导性，不应有失公允。</w:t>
      </w:r>
    </w:p>
  </w:footnote>
  <w:footnote w:id="3">
    <w:p w14:paraId="174211F1">
      <w:pPr>
        <w:pStyle w:val="5"/>
        <w:spacing w:line="360" w:lineRule="auto"/>
        <w:jc w:val="both"/>
        <w:rPr>
          <w:rFonts w:ascii="Arial" w:hAnsi="Arial" w:eastAsia="宋体" w:cs="Arial"/>
          <w:sz w:val="21"/>
        </w:rPr>
      </w:pPr>
      <w:r>
        <w:rPr>
          <w:rStyle w:val="9"/>
          <w:rFonts w:ascii="Arial" w:hAnsi="Arial" w:eastAsia="宋体" w:cs="Arial"/>
          <w:sz w:val="21"/>
        </w:rPr>
        <w:footnoteRef/>
      </w:r>
      <w:r>
        <w:rPr>
          <w:rFonts w:ascii="Arial" w:hAnsi="Arial" w:eastAsia="宋体" w:cs="Arial"/>
          <w:sz w:val="21"/>
        </w:rPr>
        <w:t xml:space="preserve"> FDA认为重复的项目可能涉及公共卫生利益。卫生和人类服务署有时会鼓励针对选定的重要议题多次开展演讲。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A64F">
    <w:pPr>
      <w:pStyle w:val="4"/>
      <w:pBdr>
        <w:bottom w:val="none" w:color="auto" w:sz="0" w:space="0"/>
      </w:pBdr>
      <w:tabs>
        <w:tab w:val="right" w:pos="9015"/>
        <w:tab w:val="clear" w:pos="8306"/>
      </w:tabs>
      <w:rPr>
        <w:rFonts w:ascii="Arial" w:hAnsi="Arial" w:eastAsia="宋体" w:cs="Arial"/>
        <w:sz w:val="21"/>
        <w:szCs w:val="21"/>
      </w:rPr>
    </w:pPr>
    <w:r>
      <w:rPr>
        <w:rFonts w:ascii="Arial" w:hAnsi="Arial" w:eastAsia="宋体" w:cs="Arial"/>
        <w:b/>
        <w:bCs/>
        <w:kern w:val="0"/>
        <w:sz w:val="21"/>
        <w:szCs w:val="21"/>
      </w:rPr>
      <w:tab/>
    </w:r>
    <w:r>
      <w:rPr>
        <w:rFonts w:hint="eastAsia" w:ascii="Arial" w:hAnsi="Arial" w:eastAsia="宋体" w:cs="Arial"/>
        <w:b/>
        <w:bCs/>
        <w:kern w:val="0"/>
        <w:sz w:val="21"/>
        <w:szCs w:val="21"/>
      </w:rPr>
      <w:t>联邦注册</w:t>
    </w:r>
    <w:r>
      <w:rPr>
        <w:rFonts w:ascii="Arial" w:hAnsi="Arial" w:eastAsia="宋体" w:cs="Arial"/>
        <w:kern w:val="0"/>
        <w:sz w:val="21"/>
        <w:szCs w:val="21"/>
      </w:rPr>
      <w:t>/</w:t>
    </w:r>
    <w:r>
      <w:rPr>
        <w:rFonts w:hint="eastAsia" w:ascii="Arial" w:hAnsi="Arial" w:eastAsia="宋体" w:cs="Arial"/>
        <w:kern w:val="0"/>
        <w:sz w:val="21"/>
        <w:szCs w:val="21"/>
      </w:rPr>
      <w:t>卷</w:t>
    </w:r>
    <w:r>
      <w:rPr>
        <w:rFonts w:ascii="Arial" w:hAnsi="Arial" w:eastAsia="宋体" w:cs="Arial"/>
        <w:kern w:val="0"/>
        <w:sz w:val="21"/>
        <w:szCs w:val="21"/>
      </w:rPr>
      <w:t>62</w:t>
    </w:r>
    <w:r>
      <w:rPr>
        <w:rFonts w:hint="eastAsia" w:ascii="Arial" w:hAnsi="Arial" w:eastAsia="宋体" w:cs="Arial"/>
        <w:kern w:val="0"/>
        <w:sz w:val="21"/>
        <w:szCs w:val="21"/>
      </w:rPr>
      <w:t>，编号</w:t>
    </w:r>
    <w:r>
      <w:rPr>
        <w:rFonts w:ascii="Arial" w:hAnsi="Arial" w:eastAsia="宋体" w:cs="Arial"/>
        <w:kern w:val="0"/>
        <w:sz w:val="21"/>
        <w:szCs w:val="21"/>
      </w:rPr>
      <w:t>232/</w:t>
    </w:r>
    <w:r>
      <w:rPr>
        <w:rFonts w:hint="eastAsia" w:ascii="Arial" w:hAnsi="Arial" w:eastAsia="宋体" w:cs="Arial"/>
        <w:kern w:val="0"/>
        <w:sz w:val="21"/>
        <w:szCs w:val="21"/>
      </w:rPr>
      <w:t>周三，</w:t>
    </w:r>
    <w:r>
      <w:rPr>
        <w:rFonts w:ascii="Arial" w:hAnsi="Arial" w:eastAsia="宋体" w:cs="Arial"/>
        <w:kern w:val="0"/>
        <w:sz w:val="21"/>
        <w:szCs w:val="21"/>
      </w:rPr>
      <w:t>1997</w:t>
    </w:r>
    <w:r>
      <w:rPr>
        <w:rFonts w:hint="eastAsia" w:ascii="Arial" w:hAnsi="Arial" w:eastAsia="宋体" w:cs="Arial"/>
        <w:kern w:val="0"/>
        <w:sz w:val="21"/>
        <w:szCs w:val="21"/>
      </w:rPr>
      <w:t>年</w:t>
    </w:r>
    <w:r>
      <w:rPr>
        <w:rFonts w:ascii="Arial" w:hAnsi="Arial" w:eastAsia="宋体" w:cs="Arial"/>
        <w:kern w:val="0"/>
        <w:sz w:val="21"/>
        <w:szCs w:val="21"/>
      </w:rPr>
      <w:t>12</w:t>
    </w:r>
    <w:r>
      <w:rPr>
        <w:rFonts w:hint="eastAsia" w:ascii="Arial" w:hAnsi="Arial" w:eastAsia="宋体" w:cs="Arial"/>
        <w:kern w:val="0"/>
        <w:sz w:val="21"/>
        <w:szCs w:val="21"/>
      </w:rPr>
      <w:t>月</w:t>
    </w:r>
    <w:r>
      <w:rPr>
        <w:rFonts w:ascii="Arial" w:hAnsi="Arial" w:eastAsia="宋体" w:cs="Arial"/>
        <w:kern w:val="0"/>
        <w:sz w:val="21"/>
        <w:szCs w:val="21"/>
      </w:rPr>
      <w:t>3</w:t>
    </w:r>
    <w:r>
      <w:rPr>
        <w:rFonts w:hint="eastAsia" w:ascii="Arial" w:hAnsi="Arial" w:eastAsia="宋体" w:cs="Arial"/>
        <w:kern w:val="0"/>
        <w:sz w:val="21"/>
        <w:szCs w:val="21"/>
      </w:rPr>
      <w:t>日</w:t>
    </w:r>
    <w:r>
      <w:rPr>
        <w:rFonts w:ascii="Arial" w:hAnsi="Arial" w:eastAsia="宋体" w:cs="Arial"/>
        <w:kern w:val="0"/>
        <w:sz w:val="21"/>
        <w:szCs w:val="21"/>
      </w:rPr>
      <w:t xml:space="preserve"> /</w:t>
    </w:r>
    <w:r>
      <w:rPr>
        <w:rFonts w:hint="eastAsia" w:ascii="Arial" w:hAnsi="Arial" w:eastAsia="宋体" w:cs="Arial"/>
        <w:kern w:val="0"/>
        <w:sz w:val="21"/>
        <w:szCs w:val="21"/>
      </w:rPr>
      <w:t>通告</w:t>
    </w:r>
    <w:r>
      <w:rPr>
        <w:rFonts w:ascii="Arial" w:hAnsi="Arial" w:eastAsia="宋体" w:cs="Arial"/>
        <w:kern w:val="0"/>
        <w:sz w:val="21"/>
        <w:szCs w:val="21"/>
      </w:rPr>
      <w:t xml:space="preserve"> </w:t>
    </w:r>
    <w:r>
      <w:rPr>
        <w:rFonts w:ascii="Arial" w:hAnsi="Arial" w:eastAsia="宋体" w:cs="Arial"/>
        <w:b/>
        <w:bCs/>
        <w:kern w:val="0"/>
        <w:sz w:val="21"/>
        <w:szCs w:val="21"/>
      </w:rPr>
      <w:tab/>
    </w:r>
    <w:r>
      <w:rPr>
        <w:rFonts w:ascii="Arial" w:hAnsi="Arial" w:eastAsia="宋体" w:cs="Arial"/>
        <w:b/>
        <w:bCs/>
        <w:kern w:val="0"/>
        <w:sz w:val="21"/>
        <w:szCs w:val="21"/>
      </w:rPr>
      <w:fldChar w:fldCharType="begin"/>
    </w:r>
    <w:r>
      <w:rPr>
        <w:rFonts w:ascii="Arial" w:hAnsi="Arial" w:eastAsia="宋体" w:cs="Arial"/>
        <w:b/>
        <w:bCs/>
        <w:kern w:val="0"/>
        <w:sz w:val="21"/>
        <w:szCs w:val="21"/>
      </w:rPr>
      <w:instrText xml:space="preserve">PAGE   \* MERGEFORMAT</w:instrText>
    </w:r>
    <w:r>
      <w:rPr>
        <w:rFonts w:ascii="Arial" w:hAnsi="Arial" w:eastAsia="宋体" w:cs="Arial"/>
        <w:b/>
        <w:bCs/>
        <w:kern w:val="0"/>
        <w:sz w:val="21"/>
        <w:szCs w:val="21"/>
      </w:rPr>
      <w:fldChar w:fldCharType="separate"/>
    </w:r>
    <w:r>
      <w:rPr>
        <w:rFonts w:ascii="Arial" w:hAnsi="Arial" w:eastAsia="宋体" w:cs="Arial"/>
        <w:b/>
        <w:bCs/>
        <w:kern w:val="0"/>
        <w:sz w:val="21"/>
        <w:szCs w:val="21"/>
      </w:rPr>
      <w:t>64093</w:t>
    </w:r>
    <w:r>
      <w:rPr>
        <w:rFonts w:ascii="Arial" w:hAnsi="Arial" w:eastAsia="宋体" w:cs="Arial"/>
        <w:b/>
        <w:bCs/>
        <w:kern w:val="0"/>
        <w:sz w:val="21"/>
        <w:szCs w:val="21"/>
      </w:rPr>
      <w:fldChar w:fldCharType="end"/>
    </w:r>
  </w:p>
  <w:p w14:paraId="0B0FB927">
    <w:pPr>
      <w:pStyle w:val="4"/>
      <w:pBdr>
        <w:bottom w:val="none" w:color="auto" w:sz="0" w:space="0"/>
      </w:pBdr>
    </w:pPr>
    <w:r>
      <w:rPr>
        <w:rFonts w:hint="eastAsia"/>
      </w:rPr>
      <w:drawing>
        <wp:inline distT="0" distB="0" distL="0" distR="0">
          <wp:extent cx="5731510" cy="819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81996"/>
                  </a:xfrm>
                  <a:prstGeom prst="rect">
                    <a:avLst/>
                  </a:prstGeom>
                  <a:noFill/>
                  <a:ln>
                    <a:noFill/>
                  </a:ln>
                </pic:spPr>
              </pic:pic>
            </a:graphicData>
          </a:graphic>
        </wp:inline>
      </w:drawing>
    </w:r>
  </w:p>
  <w:p w14:paraId="2450F22F">
    <w:pPr>
      <w:pStyle w:val="4"/>
      <w:pBdr>
        <w:bottom w:val="none" w:color="auto" w:sz="0" w:space="0"/>
      </w:pBdr>
    </w:pPr>
  </w:p>
  <w:p w14:paraId="5793148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DD9A">
    <w:pPr>
      <w:pStyle w:val="4"/>
      <w:pBdr>
        <w:bottom w:val="none" w:color="auto" w:sz="0" w:space="0"/>
      </w:pBdr>
      <w:tabs>
        <w:tab w:val="center" w:pos="4820"/>
        <w:tab w:val="right" w:pos="9015"/>
        <w:tab w:val="clear" w:pos="4153"/>
        <w:tab w:val="clear" w:pos="8306"/>
      </w:tabs>
      <w:rPr>
        <w:rFonts w:ascii="Arial" w:hAnsi="Arial" w:eastAsia="宋体" w:cs="Arial"/>
        <w:sz w:val="21"/>
        <w:szCs w:val="21"/>
      </w:rPr>
    </w:pPr>
    <w:r>
      <w:rPr>
        <w:rFonts w:ascii="Arial" w:hAnsi="Arial" w:eastAsia="宋体" w:cs="Arial"/>
        <w:b/>
        <w:bCs/>
        <w:kern w:val="0"/>
        <w:sz w:val="21"/>
        <w:szCs w:val="21"/>
      </w:rPr>
      <w:fldChar w:fldCharType="begin"/>
    </w:r>
    <w:r>
      <w:rPr>
        <w:rFonts w:ascii="Arial" w:hAnsi="Arial" w:eastAsia="宋体" w:cs="Arial"/>
        <w:b/>
        <w:bCs/>
        <w:kern w:val="0"/>
        <w:sz w:val="21"/>
        <w:szCs w:val="21"/>
      </w:rPr>
      <w:instrText xml:space="preserve">PAGE   \* MERGEFORMAT</w:instrText>
    </w:r>
    <w:r>
      <w:rPr>
        <w:rFonts w:ascii="Arial" w:hAnsi="Arial" w:eastAsia="宋体" w:cs="Arial"/>
        <w:b/>
        <w:bCs/>
        <w:kern w:val="0"/>
        <w:sz w:val="21"/>
        <w:szCs w:val="21"/>
      </w:rPr>
      <w:fldChar w:fldCharType="separate"/>
    </w:r>
    <w:r>
      <w:rPr>
        <w:rFonts w:ascii="Arial" w:hAnsi="Arial" w:eastAsia="宋体" w:cs="Arial"/>
        <w:b/>
        <w:bCs/>
        <w:kern w:val="0"/>
        <w:sz w:val="21"/>
        <w:szCs w:val="21"/>
      </w:rPr>
      <w:t>64100</w:t>
    </w:r>
    <w:r>
      <w:rPr>
        <w:rFonts w:ascii="Arial" w:hAnsi="Arial" w:eastAsia="宋体" w:cs="Arial"/>
        <w:b/>
        <w:bCs/>
        <w:kern w:val="0"/>
        <w:sz w:val="21"/>
        <w:szCs w:val="21"/>
      </w:rPr>
      <w:fldChar w:fldCharType="end"/>
    </w:r>
    <w:r>
      <w:rPr>
        <w:rFonts w:ascii="Arial" w:hAnsi="Arial" w:eastAsia="宋体" w:cs="Arial"/>
        <w:b/>
        <w:bCs/>
        <w:kern w:val="0"/>
        <w:sz w:val="21"/>
        <w:szCs w:val="21"/>
      </w:rPr>
      <w:tab/>
    </w:r>
    <w:r>
      <w:rPr>
        <w:rFonts w:hint="eastAsia" w:ascii="Arial" w:hAnsi="Arial" w:eastAsia="宋体" w:cs="Arial"/>
        <w:b/>
        <w:bCs/>
        <w:kern w:val="0"/>
        <w:sz w:val="21"/>
        <w:szCs w:val="21"/>
      </w:rPr>
      <w:t>联邦注册</w:t>
    </w:r>
    <w:r>
      <w:rPr>
        <w:rFonts w:ascii="Arial" w:hAnsi="Arial" w:eastAsia="宋体" w:cs="Arial"/>
        <w:kern w:val="0"/>
        <w:sz w:val="21"/>
        <w:szCs w:val="21"/>
      </w:rPr>
      <w:t>/</w:t>
    </w:r>
    <w:r>
      <w:rPr>
        <w:rFonts w:hint="eastAsia" w:ascii="Arial" w:hAnsi="Arial" w:eastAsia="宋体" w:cs="Arial"/>
        <w:kern w:val="0"/>
        <w:sz w:val="21"/>
        <w:szCs w:val="21"/>
      </w:rPr>
      <w:t>卷</w:t>
    </w:r>
    <w:r>
      <w:rPr>
        <w:rFonts w:ascii="Arial" w:hAnsi="Arial" w:eastAsia="宋体" w:cs="Arial"/>
        <w:kern w:val="0"/>
        <w:sz w:val="21"/>
        <w:szCs w:val="21"/>
      </w:rPr>
      <w:t>62</w:t>
    </w:r>
    <w:r>
      <w:rPr>
        <w:rFonts w:hint="eastAsia" w:ascii="Arial" w:hAnsi="Arial" w:eastAsia="宋体" w:cs="Arial"/>
        <w:kern w:val="0"/>
        <w:sz w:val="21"/>
        <w:szCs w:val="21"/>
      </w:rPr>
      <w:t>，编号</w:t>
    </w:r>
    <w:r>
      <w:rPr>
        <w:rFonts w:ascii="Arial" w:hAnsi="Arial" w:eastAsia="宋体" w:cs="Arial"/>
        <w:kern w:val="0"/>
        <w:sz w:val="21"/>
        <w:szCs w:val="21"/>
      </w:rPr>
      <w:t xml:space="preserve">232 / </w:t>
    </w:r>
    <w:r>
      <w:rPr>
        <w:rFonts w:hint="eastAsia" w:ascii="Arial" w:hAnsi="Arial" w:eastAsia="宋体" w:cs="Arial"/>
        <w:kern w:val="0"/>
        <w:sz w:val="21"/>
        <w:szCs w:val="21"/>
      </w:rPr>
      <w:t>周三，</w:t>
    </w:r>
    <w:r>
      <w:rPr>
        <w:rFonts w:ascii="Arial" w:hAnsi="Arial" w:eastAsia="宋体" w:cs="Arial"/>
        <w:kern w:val="0"/>
        <w:sz w:val="21"/>
        <w:szCs w:val="21"/>
      </w:rPr>
      <w:t>1997</w:t>
    </w:r>
    <w:r>
      <w:rPr>
        <w:rFonts w:hint="eastAsia" w:ascii="Arial" w:hAnsi="Arial" w:eastAsia="宋体" w:cs="Arial"/>
        <w:kern w:val="0"/>
        <w:sz w:val="21"/>
        <w:szCs w:val="21"/>
      </w:rPr>
      <w:t>年</w:t>
    </w:r>
    <w:r>
      <w:rPr>
        <w:rFonts w:ascii="Arial" w:hAnsi="Arial" w:eastAsia="宋体" w:cs="Arial"/>
        <w:kern w:val="0"/>
        <w:sz w:val="21"/>
        <w:szCs w:val="21"/>
      </w:rPr>
      <w:t>12</w:t>
    </w:r>
    <w:r>
      <w:rPr>
        <w:rFonts w:hint="eastAsia" w:ascii="Arial" w:hAnsi="Arial" w:eastAsia="宋体" w:cs="Arial"/>
        <w:kern w:val="0"/>
        <w:sz w:val="21"/>
        <w:szCs w:val="21"/>
      </w:rPr>
      <w:t>月</w:t>
    </w:r>
    <w:r>
      <w:rPr>
        <w:rFonts w:ascii="Arial" w:hAnsi="Arial" w:eastAsia="宋体" w:cs="Arial"/>
        <w:kern w:val="0"/>
        <w:sz w:val="21"/>
        <w:szCs w:val="21"/>
      </w:rPr>
      <w:t>3</w:t>
    </w:r>
    <w:r>
      <w:rPr>
        <w:rFonts w:hint="eastAsia" w:ascii="Arial" w:hAnsi="Arial" w:eastAsia="宋体" w:cs="Arial"/>
        <w:kern w:val="0"/>
        <w:sz w:val="21"/>
        <w:szCs w:val="21"/>
      </w:rPr>
      <w:t>日</w:t>
    </w:r>
    <w:r>
      <w:rPr>
        <w:rFonts w:ascii="Arial" w:hAnsi="Arial" w:eastAsia="宋体" w:cs="Arial"/>
        <w:kern w:val="0"/>
        <w:sz w:val="21"/>
        <w:szCs w:val="21"/>
      </w:rPr>
      <w:t>/</w:t>
    </w:r>
    <w:r>
      <w:rPr>
        <w:rFonts w:hint="eastAsia" w:ascii="Arial" w:hAnsi="Arial" w:eastAsia="宋体" w:cs="Arial"/>
        <w:kern w:val="0"/>
        <w:sz w:val="21"/>
        <w:szCs w:val="21"/>
      </w:rPr>
      <w:t>通告</w:t>
    </w:r>
    <w:r>
      <w:rPr>
        <w:rFonts w:ascii="Arial" w:hAnsi="Arial" w:eastAsia="宋体" w:cs="Arial"/>
        <w:b/>
        <w:bCs/>
        <w:kern w:val="0"/>
        <w:sz w:val="21"/>
        <w:szCs w:val="21"/>
      </w:rPr>
      <w:tab/>
    </w:r>
  </w:p>
  <w:p w14:paraId="516C7005">
    <w:pPr>
      <w:pStyle w:val="4"/>
      <w:pBdr>
        <w:bottom w:val="none" w:color="auto" w:sz="0" w:space="0"/>
      </w:pBdr>
    </w:pPr>
    <w:r>
      <w:rPr>
        <w:rFonts w:hint="eastAsia"/>
      </w:rPr>
      <w:drawing>
        <wp:inline distT="0" distB="0" distL="0" distR="0">
          <wp:extent cx="5731510" cy="8191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81996"/>
                  </a:xfrm>
                  <a:prstGeom prst="rect">
                    <a:avLst/>
                  </a:prstGeom>
                  <a:noFill/>
                  <a:ln>
                    <a:noFill/>
                  </a:ln>
                </pic:spPr>
              </pic:pic>
            </a:graphicData>
          </a:graphic>
        </wp:inline>
      </w:drawing>
    </w:r>
  </w:p>
  <w:p w14:paraId="6D5BEC62">
    <w:pPr>
      <w:pStyle w:val="4"/>
      <w:pBdr>
        <w:bottom w:val="none" w:color="auto" w:sz="0" w:space="0"/>
      </w:pBdr>
    </w:pPr>
  </w:p>
  <w:p w14:paraId="4CF7AD8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F3A3E"/>
    <w:multiLevelType w:val="multilevel"/>
    <w:tmpl w:val="208F3A3E"/>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05"/>
    <w:rsid w:val="00053324"/>
    <w:rsid w:val="00053835"/>
    <w:rsid w:val="000609A7"/>
    <w:rsid w:val="00081EA1"/>
    <w:rsid w:val="001237A7"/>
    <w:rsid w:val="00144437"/>
    <w:rsid w:val="0018526F"/>
    <w:rsid w:val="001D5738"/>
    <w:rsid w:val="002905FD"/>
    <w:rsid w:val="002D0A57"/>
    <w:rsid w:val="002D1A5F"/>
    <w:rsid w:val="003136C7"/>
    <w:rsid w:val="00314CEA"/>
    <w:rsid w:val="003A3440"/>
    <w:rsid w:val="003D2185"/>
    <w:rsid w:val="00420E6A"/>
    <w:rsid w:val="0045797A"/>
    <w:rsid w:val="00466E29"/>
    <w:rsid w:val="00494A24"/>
    <w:rsid w:val="004961B9"/>
    <w:rsid w:val="005910C4"/>
    <w:rsid w:val="005921DA"/>
    <w:rsid w:val="005D1BCA"/>
    <w:rsid w:val="0061066A"/>
    <w:rsid w:val="00651BB1"/>
    <w:rsid w:val="00685D1B"/>
    <w:rsid w:val="007021ED"/>
    <w:rsid w:val="00733DB3"/>
    <w:rsid w:val="00770319"/>
    <w:rsid w:val="009B543B"/>
    <w:rsid w:val="009C6F07"/>
    <w:rsid w:val="009C7C1D"/>
    <w:rsid w:val="009D483A"/>
    <w:rsid w:val="00A72538"/>
    <w:rsid w:val="00A82C3E"/>
    <w:rsid w:val="00AB16FD"/>
    <w:rsid w:val="00B8480A"/>
    <w:rsid w:val="00B94348"/>
    <w:rsid w:val="00BD2F14"/>
    <w:rsid w:val="00CF0F1D"/>
    <w:rsid w:val="00CF4405"/>
    <w:rsid w:val="00DF7C9E"/>
    <w:rsid w:val="00E91D0A"/>
    <w:rsid w:val="00EA7861"/>
    <w:rsid w:val="00EB6FDE"/>
    <w:rsid w:val="00F007E1"/>
    <w:rsid w:val="00F0169D"/>
    <w:rsid w:val="00F371D6"/>
    <w:rsid w:val="00F62DF1"/>
    <w:rsid w:val="00F91703"/>
    <w:rsid w:val="00FE59C3"/>
    <w:rsid w:val="593C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0"/>
    <w:semiHidden/>
    <w:unhideWhenUsed/>
    <w:uiPriority w:val="99"/>
    <w:pPr>
      <w:snapToGrid w:val="0"/>
      <w:jc w:val="left"/>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semiHidden/>
    <w:unhideWhenUsed/>
    <w:uiPriority w:val="99"/>
    <w:rPr>
      <w:vertAlign w:val="superscript"/>
    </w:rPr>
  </w:style>
  <w:style w:type="character" w:customStyle="1" w:styleId="10">
    <w:name w:val="脚注文本 Char"/>
    <w:basedOn w:val="8"/>
    <w:link w:val="5"/>
    <w:semiHidden/>
    <w:uiPriority w:val="99"/>
    <w:rPr>
      <w:sz w:val="18"/>
      <w:szCs w:val="18"/>
    </w:rPr>
  </w:style>
  <w:style w:type="character" w:customStyle="1" w:styleId="11">
    <w:name w:val="页眉 Char"/>
    <w:basedOn w:val="8"/>
    <w:link w:val="4"/>
    <w:uiPriority w:val="99"/>
    <w:rPr>
      <w:sz w:val="18"/>
      <w:szCs w:val="18"/>
    </w:rPr>
  </w:style>
  <w:style w:type="character" w:customStyle="1" w:styleId="12">
    <w:name w:val="页脚 Char"/>
    <w:basedOn w:val="8"/>
    <w:link w:val="3"/>
    <w:uiPriority w:val="99"/>
    <w:rPr>
      <w:sz w:val="18"/>
      <w:szCs w:val="18"/>
    </w:rPr>
  </w:style>
  <w:style w:type="character" w:customStyle="1" w:styleId="13">
    <w:name w:val="批注框文本 Char"/>
    <w:basedOn w:val="8"/>
    <w:link w:val="2"/>
    <w:semiHidden/>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6450-2301-45A9-B4D7-3B8B0B3BCB3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2955</Words>
  <Characters>3022</Characters>
  <Lines>21</Lines>
  <Paragraphs>6</Paragraphs>
  <TotalTime>0</TotalTime>
  <ScaleCrop>false</ScaleCrop>
  <LinksUpToDate>false</LinksUpToDate>
  <CharactersWithSpaces>3025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2017-12-18T15:09:00Z</dcterms:created>
  <dc:creator>Guozhen Liu</dc:creator>
  <cp:lastModifiedBy>太极箫客</cp:lastModifiedBy>
  <dcterms:modified xsi:type="dcterms:W3CDTF">2025-08-14T07:25:15Z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E5F8CA7166444FA7945CC64E816EE6AD_12</vt:lpwstr>
  </property>
</Properties>
</file>