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E4FF">
      <w:pPr>
        <w:snapToGrid w:val="0"/>
        <w:spacing w:before="6" w:line="300" w:lineRule="auto"/>
        <w:rPr>
          <w:rFonts w:ascii="Arial" w:hAnsi="Arial" w:eastAsia="宋体" w:cs="Arial"/>
          <w:sz w:val="14"/>
          <w:szCs w:val="14"/>
        </w:rPr>
      </w:pPr>
      <w:bookmarkStart w:id="4" w:name="_GoBack"/>
      <w:bookmarkEnd w:id="4"/>
    </w:p>
    <w:p w14:paraId="78636DF8">
      <w:pPr>
        <w:snapToGrid w:val="0"/>
        <w:spacing w:before="22" w:line="300" w:lineRule="auto"/>
        <w:jc w:val="center"/>
        <w:rPr>
          <w:rFonts w:hint="eastAsia" w:ascii="Arial" w:hAnsi="Arial" w:eastAsia="宋体" w:cs="Arial"/>
          <w:b/>
          <w:spacing w:val="-1"/>
          <w:sz w:val="60"/>
          <w:lang w:eastAsia="zh-CN"/>
        </w:rPr>
      </w:pPr>
    </w:p>
    <w:p w14:paraId="6F15E129">
      <w:pPr>
        <w:snapToGrid w:val="0"/>
        <w:spacing w:before="22" w:line="300" w:lineRule="auto"/>
        <w:jc w:val="center"/>
        <w:rPr>
          <w:rFonts w:hint="eastAsia" w:ascii="Arial" w:hAnsi="Arial" w:eastAsia="宋体" w:cs="Arial"/>
          <w:b/>
          <w:spacing w:val="-1"/>
          <w:sz w:val="60"/>
          <w:lang w:eastAsia="zh-CN"/>
        </w:rPr>
      </w:pPr>
    </w:p>
    <w:p w14:paraId="54D48380">
      <w:pPr>
        <w:snapToGrid w:val="0"/>
        <w:spacing w:before="22" w:line="300" w:lineRule="auto"/>
        <w:jc w:val="center"/>
        <w:rPr>
          <w:rFonts w:ascii="Arial" w:hAnsi="Arial" w:eastAsia="宋体" w:cs="Arial"/>
          <w:sz w:val="60"/>
          <w:szCs w:val="60"/>
          <w:lang w:eastAsia="zh-CN"/>
        </w:rPr>
      </w:pPr>
      <w:r>
        <w:rPr>
          <w:rFonts w:ascii="Arial" w:hAnsi="Arial" w:eastAsia="宋体" w:cs="Arial"/>
          <w:b/>
          <w:spacing w:val="-1"/>
          <w:sz w:val="60"/>
          <w:lang w:eastAsia="zh-CN"/>
        </w:rPr>
        <w:t>治疗一般心律失常的心脏消融导管；行业指南</w:t>
      </w:r>
    </w:p>
    <w:p w14:paraId="0CA50078">
      <w:pPr>
        <w:snapToGrid w:val="0"/>
        <w:spacing w:line="300" w:lineRule="auto"/>
        <w:rPr>
          <w:rFonts w:ascii="Arial" w:hAnsi="Arial" w:eastAsia="宋体" w:cs="Arial"/>
          <w:b/>
          <w:bCs/>
          <w:sz w:val="60"/>
          <w:szCs w:val="60"/>
          <w:lang w:eastAsia="zh-CN"/>
        </w:rPr>
      </w:pPr>
    </w:p>
    <w:p w14:paraId="70AEB90B">
      <w:pPr>
        <w:pStyle w:val="5"/>
        <w:snapToGrid w:val="0"/>
        <w:spacing w:before="374" w:line="300" w:lineRule="auto"/>
        <w:ind w:left="0"/>
        <w:jc w:val="center"/>
        <w:rPr>
          <w:rFonts w:ascii="Arial" w:hAnsi="Arial" w:eastAsia="宋体" w:cs="Arial"/>
          <w:b w:val="0"/>
          <w:bCs w:val="0"/>
          <w:lang w:eastAsia="zh-CN"/>
        </w:rPr>
      </w:pPr>
      <w:r>
        <w:rPr>
          <w:rFonts w:ascii="Arial" w:hAnsi="Arial" w:eastAsia="宋体" w:cs="Arial"/>
          <w:spacing w:val="-3"/>
          <w:lang w:eastAsia="zh-CN"/>
        </w:rPr>
        <w:t>文件发布日期：2002年7月1日</w:t>
      </w:r>
    </w:p>
    <w:p w14:paraId="1ACF3F80">
      <w:pPr>
        <w:snapToGrid w:val="0"/>
        <w:spacing w:before="11" w:line="300" w:lineRule="auto"/>
        <w:rPr>
          <w:rFonts w:ascii="Arial" w:hAnsi="Arial" w:eastAsia="宋体" w:cs="Arial"/>
          <w:b/>
          <w:bCs/>
          <w:sz w:val="24"/>
          <w:szCs w:val="24"/>
          <w:lang w:eastAsia="zh-CN"/>
        </w:rPr>
      </w:pPr>
    </w:p>
    <w:p w14:paraId="3C5F7808">
      <w:pPr>
        <w:snapToGrid w:val="0"/>
        <w:spacing w:line="300" w:lineRule="auto"/>
        <w:jc w:val="both"/>
        <w:rPr>
          <w:rFonts w:ascii="Arial" w:hAnsi="Arial" w:eastAsia="宋体" w:cs="Arial"/>
          <w:sz w:val="28"/>
          <w:szCs w:val="28"/>
          <w:lang w:eastAsia="zh-CN"/>
        </w:rPr>
      </w:pPr>
      <w:r>
        <w:rPr>
          <w:rFonts w:ascii="Arial" w:hAnsi="Arial" w:eastAsia="宋体" w:cs="Arial"/>
          <w:sz w:val="28"/>
          <w:szCs w:val="28"/>
          <w:lang w:eastAsia="zh-CN"/>
        </w:rPr>
        <w:t>本文件将取代于2001年12月7日发布的“治疗一般心律失常的心脏消融导管； 行业指南草案”</w:t>
      </w:r>
    </w:p>
    <w:p w14:paraId="070E5DDA">
      <w:pPr>
        <w:snapToGrid w:val="0"/>
        <w:spacing w:line="300" w:lineRule="auto"/>
        <w:rPr>
          <w:rFonts w:ascii="Arial" w:hAnsi="Arial" w:eastAsia="宋体" w:cs="Arial"/>
          <w:b/>
          <w:bCs/>
          <w:sz w:val="28"/>
          <w:szCs w:val="28"/>
          <w:lang w:eastAsia="zh-CN"/>
        </w:rPr>
      </w:pPr>
    </w:p>
    <w:p w14:paraId="4DBD6902">
      <w:pPr>
        <w:snapToGrid w:val="0"/>
        <w:spacing w:line="300" w:lineRule="auto"/>
        <w:rPr>
          <w:rFonts w:ascii="Arial" w:hAnsi="Arial" w:eastAsia="宋体" w:cs="Arial"/>
          <w:b/>
          <w:bCs/>
          <w:sz w:val="28"/>
          <w:szCs w:val="28"/>
          <w:lang w:eastAsia="zh-CN"/>
        </w:rPr>
      </w:pPr>
    </w:p>
    <w:p w14:paraId="2CA0EB91">
      <w:pPr>
        <w:snapToGrid w:val="0"/>
        <w:spacing w:line="300" w:lineRule="auto"/>
        <w:rPr>
          <w:rFonts w:ascii="Arial" w:hAnsi="Arial" w:eastAsia="宋体" w:cs="Arial"/>
          <w:b/>
          <w:bCs/>
          <w:sz w:val="28"/>
          <w:szCs w:val="28"/>
          <w:lang w:eastAsia="zh-CN"/>
        </w:rPr>
      </w:pPr>
    </w:p>
    <w:p w14:paraId="5727C75E">
      <w:pPr>
        <w:snapToGrid w:val="0"/>
        <w:spacing w:before="1" w:line="300" w:lineRule="auto"/>
        <w:rPr>
          <w:rFonts w:ascii="Arial" w:hAnsi="Arial" w:eastAsia="宋体" w:cs="Arial"/>
          <w:b/>
          <w:bCs/>
          <w:sz w:val="28"/>
          <w:szCs w:val="28"/>
          <w:lang w:eastAsia="zh-CN"/>
        </w:rPr>
      </w:pPr>
    </w:p>
    <w:p w14:paraId="5B047FB2">
      <w:pPr>
        <w:pStyle w:val="6"/>
        <w:snapToGrid w:val="0"/>
        <w:spacing w:line="300" w:lineRule="auto"/>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60288" behindDoc="0" locked="0" layoutInCell="1" allowOverlap="1">
            <wp:simplePos x="0" y="0"/>
            <wp:positionH relativeFrom="page">
              <wp:posOffset>1276350</wp:posOffset>
            </wp:positionH>
            <wp:positionV relativeFrom="paragraph">
              <wp:posOffset>-162560</wp:posOffset>
            </wp:positionV>
            <wp:extent cx="876300" cy="98107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76300" cy="981075"/>
                    </a:xfrm>
                    <a:prstGeom prst="rect">
                      <a:avLst/>
                    </a:prstGeom>
                    <a:noFill/>
                  </pic:spPr>
                </pic:pic>
              </a:graphicData>
            </a:graphic>
          </wp:anchor>
        </w:drawing>
      </w:r>
      <w:r>
        <w:rPr>
          <w:rFonts w:ascii="Arial" w:hAnsi="Arial" w:eastAsia="宋体" w:cs="Arial"/>
          <w:lang w:eastAsia="zh-CN"/>
        </w:rPr>
        <w:t>美国卫生和公众服务部</w:t>
      </w:r>
    </w:p>
    <w:p w14:paraId="3560A48B">
      <w:pPr>
        <w:snapToGrid w:val="0"/>
        <w:spacing w:before="17" w:line="300" w:lineRule="auto"/>
        <w:ind w:firstLine="2040"/>
        <w:jc w:val="right"/>
        <w:rPr>
          <w:rFonts w:ascii="Arial" w:hAnsi="Arial" w:eastAsia="宋体" w:cs="Arial"/>
          <w:b/>
          <w:sz w:val="24"/>
          <w:szCs w:val="24"/>
          <w:lang w:eastAsia="zh-CN"/>
        </w:rPr>
      </w:pPr>
      <w:r>
        <w:rPr>
          <w:rFonts w:hint="eastAsia" w:ascii="Arial" w:hAnsi="Arial" w:eastAsia="宋体" w:cs="Arial"/>
          <w:b/>
          <w:sz w:val="24"/>
          <w:szCs w:val="24"/>
          <w:lang w:eastAsia="zh-CN"/>
        </w:rPr>
        <w:t>食品药品监督管理局</w:t>
      </w:r>
    </w:p>
    <w:p w14:paraId="18033871">
      <w:pPr>
        <w:snapToGrid w:val="0"/>
        <w:spacing w:before="17" w:line="300" w:lineRule="auto"/>
        <w:ind w:firstLine="2040"/>
        <w:jc w:val="right"/>
        <w:rPr>
          <w:rFonts w:ascii="Arial" w:hAnsi="Arial" w:eastAsia="宋体" w:cs="Arial"/>
          <w:sz w:val="24"/>
          <w:szCs w:val="24"/>
          <w:lang w:eastAsia="zh-CN"/>
        </w:rPr>
      </w:pPr>
      <w:r>
        <w:rPr>
          <w:rFonts w:ascii="Arial" w:hAnsi="Arial" w:eastAsia="宋体" w:cs="Arial"/>
          <w:b/>
          <w:sz w:val="24"/>
          <w:szCs w:val="24"/>
          <w:lang w:eastAsia="zh-CN"/>
        </w:rPr>
        <w:t>器械</w:t>
      </w:r>
      <w:r>
        <w:rPr>
          <w:rFonts w:hint="eastAsia" w:ascii="Arial" w:hAnsi="Arial" w:eastAsia="宋体" w:cs="Arial"/>
          <w:b/>
          <w:sz w:val="24"/>
          <w:szCs w:val="24"/>
          <w:lang w:eastAsia="zh-CN"/>
        </w:rPr>
        <w:t>和</w:t>
      </w:r>
      <w:r>
        <w:rPr>
          <w:rFonts w:ascii="Arial" w:hAnsi="Arial" w:eastAsia="宋体" w:cs="Arial"/>
          <w:b/>
          <w:sz w:val="24"/>
          <w:szCs w:val="24"/>
          <w:lang w:eastAsia="zh-CN"/>
        </w:rPr>
        <w:t>放射</w:t>
      </w:r>
      <w:r>
        <w:rPr>
          <w:rFonts w:hint="eastAsia" w:ascii="Arial" w:hAnsi="Arial" w:eastAsia="宋体" w:cs="Arial"/>
          <w:b/>
          <w:sz w:val="24"/>
          <w:szCs w:val="24"/>
          <w:lang w:eastAsia="zh-CN"/>
        </w:rPr>
        <w:t>卫生</w:t>
      </w:r>
      <w:r>
        <w:rPr>
          <w:rFonts w:ascii="Arial" w:hAnsi="Arial" w:eastAsia="宋体" w:cs="Arial"/>
          <w:b/>
          <w:sz w:val="24"/>
          <w:szCs w:val="24"/>
          <w:lang w:eastAsia="zh-CN"/>
        </w:rPr>
        <w:t>中心</w:t>
      </w:r>
    </w:p>
    <w:p w14:paraId="5630DF9B">
      <w:pPr>
        <w:snapToGrid w:val="0"/>
        <w:spacing w:before="9" w:line="300" w:lineRule="auto"/>
        <w:rPr>
          <w:rFonts w:ascii="Arial" w:hAnsi="Arial" w:eastAsia="宋体" w:cs="Arial"/>
          <w:b/>
          <w:bCs/>
          <w:sz w:val="24"/>
          <w:szCs w:val="24"/>
          <w:lang w:eastAsia="zh-CN"/>
        </w:rPr>
      </w:pPr>
    </w:p>
    <w:p w14:paraId="656D2593">
      <w:pPr>
        <w:snapToGrid w:val="0"/>
        <w:spacing w:line="300" w:lineRule="auto"/>
        <w:ind w:firstLine="105"/>
        <w:jc w:val="right"/>
        <w:rPr>
          <w:rFonts w:ascii="Arial" w:hAnsi="Arial" w:eastAsia="宋体" w:cs="Arial"/>
          <w:b/>
          <w:sz w:val="24"/>
          <w:szCs w:val="24"/>
          <w:lang w:eastAsia="zh-CN"/>
        </w:rPr>
      </w:pPr>
      <w:r>
        <w:rPr>
          <w:rFonts w:ascii="Arial" w:hAnsi="Arial" w:eastAsia="宋体" w:cs="Arial"/>
          <w:b/>
          <w:sz w:val="24"/>
          <w:szCs w:val="24"/>
          <w:lang w:eastAsia="zh-CN"/>
        </w:rPr>
        <w:t>心脏电生理与监测分部</w:t>
      </w:r>
    </w:p>
    <w:p w14:paraId="09D6A705">
      <w:pPr>
        <w:snapToGrid w:val="0"/>
        <w:spacing w:line="300" w:lineRule="auto"/>
        <w:ind w:firstLine="105"/>
        <w:jc w:val="right"/>
        <w:rPr>
          <w:rFonts w:ascii="Arial" w:hAnsi="Arial" w:eastAsia="宋体" w:cs="Arial"/>
          <w:sz w:val="24"/>
          <w:szCs w:val="24"/>
          <w:lang w:eastAsia="zh-CN"/>
        </w:rPr>
      </w:pPr>
      <w:r>
        <w:rPr>
          <w:rFonts w:ascii="Arial" w:hAnsi="Arial" w:eastAsia="宋体" w:cs="Arial"/>
          <w:b/>
          <w:sz w:val="24"/>
          <w:szCs w:val="24"/>
          <w:lang w:eastAsia="zh-CN"/>
        </w:rPr>
        <w:t>心血管和呼吸器械部</w:t>
      </w:r>
    </w:p>
    <w:p w14:paraId="06E78621">
      <w:pPr>
        <w:snapToGrid w:val="0"/>
        <w:spacing w:before="7" w:line="300" w:lineRule="auto"/>
        <w:jc w:val="right"/>
        <w:rPr>
          <w:rFonts w:ascii="Arial" w:hAnsi="Arial" w:eastAsia="宋体" w:cs="Arial"/>
          <w:sz w:val="24"/>
          <w:szCs w:val="24"/>
          <w:lang w:eastAsia="zh-CN"/>
        </w:rPr>
      </w:pPr>
      <w:r>
        <w:rPr>
          <w:rFonts w:ascii="Arial" w:hAnsi="Arial" w:eastAsia="宋体" w:cs="Arial"/>
          <w:b/>
          <w:sz w:val="24"/>
          <w:szCs w:val="24"/>
          <w:lang w:eastAsia="zh-CN"/>
        </w:rPr>
        <w:t>器械评估办公室</w:t>
      </w:r>
    </w:p>
    <w:p w14:paraId="6E0D0EC0">
      <w:pPr>
        <w:snapToGrid w:val="0"/>
        <w:spacing w:line="300" w:lineRule="auto"/>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2B9C469C">
      <w:pPr>
        <w:snapToGrid w:val="0"/>
        <w:spacing w:line="300" w:lineRule="auto"/>
        <w:rPr>
          <w:rFonts w:ascii="Arial" w:hAnsi="Arial" w:eastAsia="宋体" w:cs="Arial"/>
          <w:b/>
          <w:bCs/>
          <w:sz w:val="20"/>
          <w:szCs w:val="20"/>
          <w:lang w:eastAsia="zh-CN"/>
        </w:rPr>
      </w:pPr>
    </w:p>
    <w:p w14:paraId="3DE7B667">
      <w:pPr>
        <w:snapToGrid w:val="0"/>
        <w:spacing w:line="300" w:lineRule="auto"/>
        <w:rPr>
          <w:rFonts w:ascii="Arial" w:hAnsi="Arial" w:eastAsia="宋体" w:cs="Arial"/>
          <w:b/>
          <w:bCs/>
          <w:sz w:val="20"/>
          <w:szCs w:val="20"/>
          <w:lang w:eastAsia="zh-CN"/>
        </w:rPr>
      </w:pPr>
    </w:p>
    <w:p w14:paraId="2136D5CC">
      <w:pPr>
        <w:snapToGrid w:val="0"/>
        <w:spacing w:before="2" w:line="300" w:lineRule="auto"/>
        <w:rPr>
          <w:rFonts w:ascii="Arial" w:hAnsi="Arial" w:eastAsia="宋体" w:cs="Arial"/>
          <w:b/>
          <w:bCs/>
          <w:sz w:val="18"/>
          <w:szCs w:val="18"/>
          <w:lang w:eastAsia="zh-CN"/>
        </w:rPr>
      </w:pPr>
    </w:p>
    <w:p w14:paraId="05851471">
      <w:pPr>
        <w:snapToGrid w:val="0"/>
        <w:spacing w:before="8" w:line="300" w:lineRule="auto"/>
        <w:rPr>
          <w:rFonts w:ascii="Arial" w:hAnsi="Arial" w:eastAsia="宋体" w:cs="Arial"/>
          <w:b/>
          <w:bCs/>
          <w:sz w:val="39"/>
          <w:szCs w:val="39"/>
          <w:lang w:eastAsia="zh-CN"/>
        </w:rPr>
      </w:pPr>
    </w:p>
    <w:p w14:paraId="00F79336">
      <w:pPr>
        <w:widowControl/>
        <w:rPr>
          <w:rFonts w:ascii="Arial" w:hAnsi="Arial" w:eastAsia="宋体" w:cs="Arial"/>
          <w:b/>
          <w:sz w:val="32"/>
          <w:lang w:eastAsia="zh-CN"/>
        </w:rPr>
      </w:pPr>
      <w:r>
        <w:rPr>
          <w:rFonts w:ascii="Arial" w:hAnsi="Arial" w:eastAsia="宋体" w:cs="Arial"/>
          <w:b/>
          <w:sz w:val="32"/>
          <w:lang w:eastAsia="zh-CN"/>
        </w:rPr>
        <w:br w:type="page"/>
      </w:r>
    </w:p>
    <w:p w14:paraId="733B9487">
      <w:pPr>
        <w:snapToGrid w:val="0"/>
        <w:spacing w:before="38" w:line="300" w:lineRule="auto"/>
        <w:ind w:left="100"/>
        <w:jc w:val="center"/>
        <w:rPr>
          <w:rFonts w:ascii="Arial" w:hAnsi="Arial" w:eastAsia="宋体" w:cs="Arial"/>
          <w:b/>
          <w:sz w:val="44"/>
          <w:szCs w:val="44"/>
          <w:lang w:eastAsia="zh-CN"/>
        </w:rPr>
      </w:pPr>
      <w:r>
        <w:rPr>
          <w:rFonts w:hint="eastAsia" w:ascii="Arial" w:hAnsi="Arial" w:eastAsia="宋体" w:cs="Arial"/>
          <w:b/>
          <w:sz w:val="44"/>
          <w:szCs w:val="44"/>
          <w:lang w:eastAsia="zh-CN"/>
        </w:rPr>
        <w:t>前言</w:t>
      </w:r>
    </w:p>
    <w:p w14:paraId="26B0BA54">
      <w:pPr>
        <w:snapToGrid w:val="0"/>
        <w:spacing w:before="38" w:line="300" w:lineRule="auto"/>
        <w:ind w:left="100"/>
        <w:rPr>
          <w:rFonts w:ascii="Arial" w:hAnsi="Arial" w:eastAsia="宋体" w:cs="Arial"/>
          <w:b/>
          <w:sz w:val="32"/>
          <w:lang w:eastAsia="zh-CN"/>
        </w:rPr>
      </w:pPr>
    </w:p>
    <w:p w14:paraId="1B45A0D5">
      <w:pPr>
        <w:snapToGrid w:val="0"/>
        <w:spacing w:line="300" w:lineRule="auto"/>
        <w:ind w:left="100"/>
        <w:rPr>
          <w:rFonts w:ascii="Arial" w:hAnsi="Arial" w:eastAsia="宋体" w:cs="Arial"/>
          <w:b/>
          <w:sz w:val="36"/>
          <w:szCs w:val="36"/>
          <w:lang w:eastAsia="zh-CN"/>
        </w:rPr>
      </w:pPr>
      <w:r>
        <w:rPr>
          <w:rFonts w:ascii="Arial" w:hAnsi="Arial" w:eastAsia="宋体" w:cs="Arial"/>
          <w:b/>
          <w:sz w:val="36"/>
          <w:szCs w:val="36"/>
          <w:lang w:eastAsia="zh-CN"/>
        </w:rPr>
        <w:t>公共评论</w:t>
      </w:r>
    </w:p>
    <w:p w14:paraId="5C6A68D6">
      <w:pPr>
        <w:snapToGrid w:val="0"/>
        <w:spacing w:line="300" w:lineRule="auto"/>
        <w:rPr>
          <w:rFonts w:ascii="Arial" w:hAnsi="Arial" w:eastAsia="宋体" w:cs="Arial"/>
          <w:b/>
          <w:bCs/>
          <w:sz w:val="16"/>
          <w:szCs w:val="16"/>
          <w:lang w:eastAsia="zh-CN"/>
        </w:rPr>
      </w:pPr>
    </w:p>
    <w:p w14:paraId="4EC556E6">
      <w:pPr>
        <w:pStyle w:val="8"/>
        <w:snapToGrid w:val="0"/>
        <w:spacing w:line="300" w:lineRule="auto"/>
        <w:ind w:left="100" w:firstLine="0"/>
        <w:jc w:val="both"/>
        <w:rPr>
          <w:rFonts w:ascii="Arial" w:hAnsi="Arial" w:eastAsia="宋体" w:cs="Arial"/>
          <w:lang w:eastAsia="zh-CN"/>
        </w:rPr>
      </w:pPr>
      <w:r>
        <w:rPr>
          <w:rFonts w:ascii="Arial" w:hAnsi="Arial" w:eastAsia="宋体" w:cs="Arial"/>
          <w:lang w:eastAsia="zh-CN"/>
        </w:rPr>
        <w:t>贵公司可以随时提交书面评论和建议至食品药品监督管理局，人类资源与管理服务办公室，管理体系与政策部，文档管理部（地址为：5630 Fishers Lane，Room 1061，（HFA-305），Rockville，MD，20852），供部门审议。提交评论时，请参考第01D-0519号文档。可能直到文件下次修订或更新时，评论才会被机构受理。</w:t>
      </w:r>
    </w:p>
    <w:p w14:paraId="7187E6D9">
      <w:pPr>
        <w:snapToGrid w:val="0"/>
        <w:spacing w:before="7" w:line="300" w:lineRule="auto"/>
        <w:jc w:val="both"/>
        <w:rPr>
          <w:rFonts w:ascii="Arial" w:hAnsi="Arial" w:eastAsia="宋体" w:cs="Arial"/>
          <w:sz w:val="23"/>
          <w:szCs w:val="23"/>
          <w:lang w:eastAsia="zh-CN"/>
        </w:rPr>
      </w:pPr>
    </w:p>
    <w:p w14:paraId="35B87627">
      <w:pPr>
        <w:tabs>
          <w:tab w:val="left" w:pos="670"/>
        </w:tabs>
        <w:snapToGrid w:val="0"/>
        <w:spacing w:line="300" w:lineRule="auto"/>
        <w:ind w:left="100"/>
        <w:jc w:val="both"/>
        <w:rPr>
          <w:rFonts w:ascii="Arial" w:hAnsi="Arial" w:eastAsia="宋体" w:cs="Arial"/>
          <w:sz w:val="24"/>
          <w:szCs w:val="24"/>
          <w:lang w:eastAsia="zh-CN"/>
        </w:rPr>
      </w:pPr>
      <w:r>
        <w:rPr>
          <w:rFonts w:ascii="Arial" w:hAnsi="Arial" w:eastAsia="宋体" w:cs="Arial"/>
          <w:sz w:val="24"/>
          <w:szCs w:val="24"/>
          <w:lang w:eastAsia="zh-CN"/>
        </w:rPr>
        <w:t>有关本指南的使用或解释的问题，请联系</w:t>
      </w:r>
      <w:r>
        <w:rPr>
          <w:rFonts w:ascii="Arial" w:hAnsi="Arial" w:eastAsia="宋体" w:cs="Arial"/>
          <w:sz w:val="24"/>
          <w:szCs w:val="24"/>
          <w:u w:val="single"/>
          <w:lang w:eastAsia="zh-CN"/>
        </w:rPr>
        <w:t>Randall Brockman</w:t>
      </w:r>
      <w:r>
        <w:rPr>
          <w:rFonts w:ascii="Arial" w:hAnsi="Arial" w:eastAsia="宋体" w:cs="Arial"/>
          <w:sz w:val="24"/>
          <w:szCs w:val="24"/>
          <w:lang w:eastAsia="zh-CN"/>
        </w:rPr>
        <w:t>，电话：（240）276-4080或电子邮件：</w:t>
      </w:r>
      <w:r>
        <w:rPr>
          <w:rFonts w:ascii="Arial" w:hAnsi="Arial" w:eastAsia="宋体" w:cs="Arial"/>
          <w:sz w:val="24"/>
          <w:szCs w:val="24"/>
          <w:u w:val="single"/>
          <w:lang w:eastAsia="zh-CN"/>
        </w:rPr>
        <w:t>r.andall.brockman</w:t>
      </w:r>
      <w:r>
        <w:rPr>
          <w:rFonts w:ascii="Arial" w:hAnsi="Arial" w:eastAsia="宋体" w:cs="Arial"/>
          <w:sz w:val="24"/>
          <w:szCs w:val="24"/>
          <w:lang w:eastAsia="zh-CN"/>
        </w:rPr>
        <w:t>@fda.hhs.gov。</w:t>
      </w:r>
    </w:p>
    <w:p w14:paraId="107502CD">
      <w:pPr>
        <w:snapToGrid w:val="0"/>
        <w:spacing w:line="300" w:lineRule="auto"/>
        <w:jc w:val="both"/>
        <w:rPr>
          <w:rFonts w:ascii="Arial" w:hAnsi="Arial" w:eastAsia="宋体" w:cs="Arial"/>
          <w:sz w:val="20"/>
          <w:szCs w:val="20"/>
          <w:lang w:eastAsia="zh-CN"/>
        </w:rPr>
      </w:pPr>
    </w:p>
    <w:p w14:paraId="3445A1C9">
      <w:pPr>
        <w:snapToGrid w:val="0"/>
        <w:spacing w:before="9" w:line="300" w:lineRule="auto"/>
        <w:jc w:val="both"/>
        <w:rPr>
          <w:rFonts w:ascii="Arial" w:hAnsi="Arial" w:eastAsia="宋体" w:cs="Arial"/>
          <w:sz w:val="23"/>
          <w:szCs w:val="23"/>
          <w:lang w:eastAsia="zh-CN"/>
        </w:rPr>
      </w:pPr>
    </w:p>
    <w:p w14:paraId="18E8AF56">
      <w:pPr>
        <w:pStyle w:val="3"/>
        <w:snapToGrid w:val="0"/>
        <w:spacing w:before="53" w:line="300" w:lineRule="auto"/>
        <w:jc w:val="both"/>
        <w:rPr>
          <w:rFonts w:ascii="Arial" w:hAnsi="Arial" w:eastAsia="宋体" w:cs="Arial"/>
          <w:bCs w:val="0"/>
          <w:lang w:eastAsia="zh-CN"/>
        </w:rPr>
      </w:pPr>
      <w:r>
        <w:rPr>
          <w:rFonts w:hint="eastAsia" w:ascii="Arial" w:hAnsi="Arial" w:eastAsia="宋体" w:cs="Arial"/>
          <w:bCs w:val="0"/>
          <w:lang w:eastAsia="zh-CN"/>
        </w:rPr>
        <w:t>其他副本</w:t>
      </w:r>
    </w:p>
    <w:p w14:paraId="40339DEB">
      <w:pPr>
        <w:pStyle w:val="8"/>
        <w:snapToGrid w:val="0"/>
        <w:spacing w:before="268" w:line="300" w:lineRule="auto"/>
        <w:ind w:left="100" w:firstLine="0"/>
        <w:jc w:val="both"/>
        <w:rPr>
          <w:rFonts w:ascii="Arial" w:hAnsi="Arial" w:eastAsia="宋体" w:cs="Arial"/>
          <w:lang w:eastAsia="zh-CN"/>
        </w:rPr>
      </w:pPr>
      <w:r>
        <w:rPr>
          <w:rFonts w:ascii="Arial" w:hAnsi="Arial" w:eastAsia="宋体" w:cs="Arial"/>
          <w:lang w:eastAsia="zh-CN"/>
        </w:rPr>
        <w:t>其他副本可从互联网获得，网址为：</w:t>
      </w:r>
      <w:r>
        <w:rPr>
          <w:rFonts w:ascii="Arial" w:hAnsi="Arial" w:eastAsia="宋体" w:cs="Arial"/>
          <w:color w:val="0033CC"/>
          <w:u w:val="single"/>
          <w:lang w:eastAsia="zh-CN"/>
        </w:rPr>
        <w:t>http://www.fda.gov/cdrh/ode/guidance/1382.pdf</w:t>
      </w:r>
      <w:r>
        <w:rPr>
          <w:rFonts w:ascii="Arial" w:hAnsi="Arial" w:eastAsia="宋体" w:cs="Arial"/>
          <w:lang w:eastAsia="zh-CN"/>
        </w:rPr>
        <w:t xml:space="preserve">或CDRH </w:t>
      </w:r>
      <w:bookmarkStart w:id="0" w:name="OLE_LINK54"/>
      <w:bookmarkStart w:id="1" w:name="OLE_LINK53"/>
      <w:r>
        <w:rPr>
          <w:rFonts w:ascii="Arial" w:hAnsi="Arial" w:eastAsia="宋体" w:cs="Arial"/>
          <w:shd w:val="clear" w:color="auto" w:fill="FFFFFF"/>
          <w:lang w:eastAsia="zh-CN"/>
        </w:rPr>
        <w:t>资源索取</w:t>
      </w:r>
      <w:r>
        <w:rPr>
          <w:rFonts w:ascii="Arial" w:hAnsi="Arial" w:eastAsia="宋体" w:cs="Arial"/>
          <w:lang w:eastAsia="zh-CN"/>
        </w:rPr>
        <w:t>自动回传系统</w:t>
      </w:r>
      <w:bookmarkEnd w:id="0"/>
      <w:bookmarkEnd w:id="1"/>
      <w:r>
        <w:rPr>
          <w:rFonts w:ascii="Arial" w:hAnsi="Arial" w:eastAsia="宋体" w:cs="Arial"/>
          <w:lang w:eastAsia="zh-CN"/>
        </w:rPr>
        <w:t>。为了通过贵公司的传真机接收本文件，请通过按键式电话机致电800- 899-0381或301-827-0111呼叫</w:t>
      </w:r>
      <w:r>
        <w:rPr>
          <w:rFonts w:ascii="Arial" w:hAnsi="Arial" w:eastAsia="宋体" w:cs="Arial"/>
          <w:shd w:val="clear" w:color="auto" w:fill="FFFFFF"/>
          <w:lang w:eastAsia="zh-CN"/>
        </w:rPr>
        <w:t>资源索取</w:t>
      </w:r>
      <w:r>
        <w:rPr>
          <w:rFonts w:ascii="Arial" w:hAnsi="Arial" w:eastAsia="宋体" w:cs="Arial"/>
          <w:lang w:eastAsia="zh-CN"/>
        </w:rPr>
        <w:t>自动回传系统。按1进入系统；在出现第二个语音提示时，按1指定</w:t>
      </w:r>
      <w:bookmarkStart w:id="2" w:name="OLE_LINK58"/>
      <w:bookmarkStart w:id="3" w:name="OLE_LINK59"/>
      <w:r>
        <w:rPr>
          <w:rFonts w:ascii="Arial" w:hAnsi="Arial" w:eastAsia="宋体" w:cs="Arial"/>
          <w:lang w:eastAsia="zh-CN"/>
        </w:rPr>
        <w:t>文档</w:t>
      </w:r>
      <w:bookmarkEnd w:id="2"/>
      <w:bookmarkEnd w:id="3"/>
      <w:r>
        <w:rPr>
          <w:rFonts w:ascii="Arial" w:hAnsi="Arial" w:eastAsia="宋体" w:cs="Arial"/>
          <w:lang w:eastAsia="zh-CN"/>
        </w:rPr>
        <w:t>；输入文件编号（1382），然后输入井号（＃）。请按照其他语音提示来完成贵公司的请求。”</w:t>
      </w:r>
    </w:p>
    <w:p w14:paraId="67D0F2ED">
      <w:pPr>
        <w:pStyle w:val="8"/>
        <w:snapToGrid w:val="0"/>
        <w:spacing w:before="268" w:line="300" w:lineRule="auto"/>
        <w:ind w:left="100" w:firstLine="0"/>
        <w:rPr>
          <w:rFonts w:ascii="Arial" w:hAnsi="Arial" w:eastAsia="宋体" w:cs="Arial"/>
          <w:lang w:eastAsia="zh-CN"/>
        </w:rPr>
        <w:sectPr>
          <w:type w:val="continuous"/>
          <w:pgSz w:w="12240" w:h="15840"/>
          <w:pgMar w:top="1134" w:right="1134" w:bottom="1134" w:left="1134" w:header="720" w:footer="720" w:gutter="0"/>
          <w:cols w:space="720" w:num="1"/>
          <w:docGrid w:linePitch="299" w:charSpace="0"/>
        </w:sectPr>
      </w:pPr>
    </w:p>
    <w:p w14:paraId="17FE62EF">
      <w:pPr>
        <w:pStyle w:val="2"/>
        <w:snapToGrid w:val="0"/>
        <w:spacing w:before="211" w:line="300" w:lineRule="auto"/>
        <w:ind w:left="0" w:firstLine="17"/>
        <w:jc w:val="center"/>
        <w:rPr>
          <w:rFonts w:ascii="Arial" w:hAnsi="Arial" w:eastAsia="宋体" w:cs="Arial"/>
          <w:lang w:eastAsia="zh-CN"/>
        </w:rPr>
      </w:pPr>
      <w:r>
        <w:rPr>
          <w:rFonts w:ascii="Arial" w:hAnsi="Arial" w:eastAsia="宋体" w:cs="Arial"/>
          <w:lang w:eastAsia="zh-CN"/>
        </w:rPr>
        <w:t>治疗一般心律失常的心脏消融导管；</w:t>
      </w:r>
      <w:r>
        <w:rPr>
          <w:rFonts w:ascii="Arial" w:hAnsi="Arial" w:eastAsia="宋体" w:cs="Arial"/>
          <w:lang w:eastAsia="zh-CN"/>
        </w:rPr>
        <w:br w:type="textWrapping"/>
      </w:r>
      <w:r>
        <w:rPr>
          <w:rFonts w:ascii="Arial" w:hAnsi="Arial" w:eastAsia="宋体" w:cs="Arial"/>
          <w:lang w:eastAsia="zh-CN"/>
        </w:rPr>
        <w:t>行业指南</w:t>
      </w:r>
    </w:p>
    <w:p w14:paraId="3DFA90EA">
      <w:pPr>
        <w:snapToGrid w:val="0"/>
        <w:spacing w:before="11" w:line="300" w:lineRule="auto"/>
        <w:rPr>
          <w:rFonts w:ascii="Arial" w:hAnsi="Arial" w:eastAsia="宋体" w:cs="Arial"/>
          <w:b/>
          <w:bCs/>
          <w:sz w:val="26"/>
          <w:szCs w:val="26"/>
          <w:lang w:eastAsia="zh-CN"/>
        </w:rPr>
      </w:pPr>
    </w:p>
    <w:p w14:paraId="373E4B57">
      <w:pPr>
        <w:snapToGrid w:val="0"/>
        <w:spacing w:line="300" w:lineRule="auto"/>
        <w:rPr>
          <w:rFonts w:ascii="Arial" w:hAnsi="Arial" w:eastAsia="宋体" w:cs="Arial"/>
          <w:sz w:val="20"/>
          <w:szCs w:val="20"/>
        </w:rPr>
      </w:pPr>
      <w:r>
        <w:rPr>
          <w:rFonts w:ascii="Arial" w:hAnsi="Arial" w:eastAsia="宋体" w:cs="Arial"/>
          <w:position w:val="-28"/>
          <w:sz w:val="20"/>
          <w:szCs w:val="20"/>
          <w:lang w:eastAsia="zh-CN"/>
        </w:rPr>
        <mc:AlternateContent>
          <mc:Choice Requires="wps">
            <w:drawing>
              <wp:inline distT="0" distB="0" distL="0" distR="0">
                <wp:extent cx="6296660" cy="643890"/>
                <wp:effectExtent l="0" t="0" r="27940" b="22860"/>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6296891" cy="644236"/>
                        </a:xfrm>
                        <a:prstGeom prst="rect">
                          <a:avLst/>
                        </a:prstGeom>
                        <a:noFill/>
                        <a:ln w="9525">
                          <a:solidFill>
                            <a:srgbClr val="000000"/>
                          </a:solidFill>
                          <a:miter lim="800000"/>
                        </a:ln>
                      </wps:spPr>
                      <wps:txbx>
                        <w:txbxContent>
                          <w:p w14:paraId="2960C3EA">
                            <w:pPr>
                              <w:spacing w:before="3" w:line="237" w:lineRule="auto"/>
                              <w:ind w:left="30" w:right="566"/>
                              <w:rPr>
                                <w:rFonts w:ascii="Times New Roman" w:hAnsi="Times New Roman" w:eastAsia="Times New Roman" w:cs="Times New Roman"/>
                                <w:b/>
                                <w:bCs/>
                                <w:i/>
                                <w:sz w:val="24"/>
                                <w:szCs w:val="24"/>
                                <w:lang w:eastAsia="zh-CN"/>
                              </w:rPr>
                            </w:pPr>
                            <w:r>
                              <w:rPr>
                                <w:rFonts w:hint="eastAsia" w:ascii="宋体" w:hAnsi="宋体" w:eastAsia="宋体" w:cs="宋体"/>
                                <w:b/>
                                <w:bCs/>
                                <w:i/>
                                <w:sz w:val="24"/>
                                <w:szCs w:val="24"/>
                                <w:lang w:eastAsia="zh-CN"/>
                              </w:rPr>
                              <w:t>本文件旨在提供指导。其表明本审查机构目前关于这一主题的见解。其不会为任何人创造或赋予任何权利，也不对FDA或公众具有约束力。如果替代方法满足适用的法律、法规或其两者的要求，可以使用替代方法。</w:t>
                            </w:r>
                          </w:p>
                        </w:txbxContent>
                      </wps:txbx>
                      <wps:bodyPr rot="0" vert="horz" wrap="square" lIns="0" tIns="0" rIns="0" bIns="0" anchor="t" anchorCtr="0" upright="1">
                        <a:noAutofit/>
                      </wps:bodyPr>
                    </wps:wsp>
                  </a:graphicData>
                </a:graphic>
              </wp:inline>
            </w:drawing>
          </mc:Choice>
          <mc:Fallback>
            <w:pict>
              <v:shape id="Text Box 4" o:spid="_x0000_s1026" o:spt="202" type="#_x0000_t202" style="height:50.7pt;width:495.8pt;" filled="f" stroked="t" coordsize="21600,21600" o:gfxdata="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66r&#10;otYAAAAFAQAADwAAAAAAAAABACAAAAAiAAAAZHJzL2Rvd25yZXYueG1sUEsBAhQAFAAAAAgAh07i&#10;QLvHDKgkAgAATQQAAA4AAAAAAAAAAQAgAAAAJQEAAGRycy9lMm9Eb2MueG1sUEsFBgAAAAAGAAYA&#10;WQEAALsFAAAAAA==&#10;">
                <v:fill on="f" focussize="0,0"/>
                <v:stroke color="#000000" miterlimit="8" joinstyle="miter"/>
                <v:imagedata o:title=""/>
                <o:lock v:ext="edit" aspectratio="f"/>
                <v:textbox inset="0mm,0mm,0mm,0mm">
                  <w:txbxContent>
                    <w:p w14:paraId="2960C3EA">
                      <w:pPr>
                        <w:spacing w:before="3" w:line="237" w:lineRule="auto"/>
                        <w:ind w:left="30" w:right="566"/>
                        <w:rPr>
                          <w:rFonts w:ascii="Times New Roman" w:hAnsi="Times New Roman" w:eastAsia="Times New Roman" w:cs="Times New Roman"/>
                          <w:b/>
                          <w:bCs/>
                          <w:i/>
                          <w:sz w:val="24"/>
                          <w:szCs w:val="24"/>
                          <w:lang w:eastAsia="zh-CN"/>
                        </w:rPr>
                      </w:pPr>
                      <w:r>
                        <w:rPr>
                          <w:rFonts w:hint="eastAsia" w:ascii="宋体" w:hAnsi="宋体" w:eastAsia="宋体" w:cs="宋体"/>
                          <w:b/>
                          <w:bCs/>
                          <w:i/>
                          <w:sz w:val="24"/>
                          <w:szCs w:val="24"/>
                          <w:lang w:eastAsia="zh-CN"/>
                        </w:rPr>
                        <w:t>本文件旨在提供指导。其表明本审查机构目前关于这一主题的见解。其不会为任何人创造或赋予任何权利，也不对FDA或公众具有约束力。如果替代方法满足适用的法律、法规或其两者的要求，可以使用替代方法。</w:t>
                      </w:r>
                    </w:p>
                  </w:txbxContent>
                </v:textbox>
                <w10:wrap type="none"/>
                <w10:anchorlock/>
              </v:shape>
            </w:pict>
          </mc:Fallback>
        </mc:AlternateContent>
      </w:r>
    </w:p>
    <w:p w14:paraId="03A4C8CB">
      <w:pPr>
        <w:snapToGrid w:val="0"/>
        <w:spacing w:line="300" w:lineRule="auto"/>
        <w:rPr>
          <w:rFonts w:ascii="Arial" w:hAnsi="Arial" w:eastAsia="宋体" w:cs="Arial"/>
          <w:b/>
          <w:bCs/>
          <w:sz w:val="20"/>
          <w:szCs w:val="20"/>
        </w:rPr>
      </w:pPr>
    </w:p>
    <w:p w14:paraId="1BB23420">
      <w:pPr>
        <w:snapToGrid w:val="0"/>
        <w:spacing w:before="176" w:line="300" w:lineRule="auto"/>
        <w:jc w:val="both"/>
        <w:rPr>
          <w:rFonts w:ascii="Arial" w:hAnsi="Arial" w:eastAsia="宋体" w:cs="Arial"/>
          <w:b/>
          <w:sz w:val="36"/>
          <w:szCs w:val="36"/>
          <w:lang w:eastAsia="zh-CN"/>
        </w:rPr>
      </w:pPr>
      <w:r>
        <w:rPr>
          <w:rFonts w:ascii="Arial" w:hAnsi="Arial" w:eastAsia="宋体" w:cs="Arial"/>
          <w:b/>
          <w:sz w:val="36"/>
          <w:szCs w:val="36"/>
          <w:lang w:eastAsia="zh-CN"/>
        </w:rPr>
        <w:t>引言</w:t>
      </w:r>
    </w:p>
    <w:p w14:paraId="5D2C75C9">
      <w:pPr>
        <w:pStyle w:val="8"/>
        <w:snapToGrid w:val="0"/>
        <w:spacing w:before="160" w:line="300" w:lineRule="auto"/>
        <w:ind w:left="0" w:firstLine="0"/>
        <w:jc w:val="both"/>
        <w:rPr>
          <w:rFonts w:ascii="Arial" w:hAnsi="Arial" w:eastAsia="宋体" w:cs="Arial"/>
          <w:lang w:eastAsia="zh-CN"/>
        </w:rPr>
      </w:pPr>
      <w:r>
        <w:rPr>
          <w:rFonts w:ascii="Arial" w:hAnsi="Arial" w:eastAsia="宋体" w:cs="Arial"/>
          <w:lang w:eastAsia="zh-CN"/>
        </w:rPr>
        <w:t>在过去10年中，基于导管的射频（RF）消融术已经迅速成为患有某些心律失常的患者的护理标准，并且研究者已经广泛研究了用于执行该手术的器械。大多数上市器械具有相似设计，且旨在创建心内膜损伤。医学文献中已经报道这些III类器械用于治疗许多常见心律失常的安全性和有效性，且其现在已经有良好表征。</w:t>
      </w:r>
      <w:r>
        <w:rPr>
          <w:rFonts w:ascii="Arial" w:hAnsi="Arial" w:eastAsia="宋体" w:cs="Arial"/>
          <w:vertAlign w:val="superscript"/>
          <w:lang w:eastAsia="zh-CN"/>
        </w:rPr>
        <w:t>1-12</w:t>
      </w:r>
    </w:p>
    <w:p w14:paraId="54FFBDB1">
      <w:pPr>
        <w:pStyle w:val="8"/>
        <w:snapToGrid w:val="0"/>
        <w:spacing w:before="160" w:line="300" w:lineRule="auto"/>
        <w:ind w:left="0" w:firstLine="0"/>
        <w:jc w:val="both"/>
        <w:rPr>
          <w:rFonts w:ascii="Arial" w:hAnsi="Arial" w:eastAsia="宋体" w:cs="Arial"/>
          <w:lang w:eastAsia="zh-CN"/>
        </w:rPr>
      </w:pPr>
      <w:r>
        <w:rPr>
          <w:rFonts w:ascii="Arial" w:hAnsi="Arial" w:eastAsia="宋体" w:cs="Arial"/>
          <w:lang w:eastAsia="zh-CN"/>
        </w:rPr>
        <w:t>出于我们对这些器械用于各种心律失常的安全性和有效性的了解，食品药品监督管理局（FDA）器械与放射健康中心（CDRH）一直鼓励生产已批准常规射频消融导管的制造商提交PMA补充材料，修订其适应症声明，即从心律失常特异性适应症修订为一般心律失常治疗适应症。本文件的目的是为FDA的建议提供支持，其与治疗一般心律失常的适应症对已批准常规射频消融导管进行标记有关。</w:t>
      </w:r>
      <w:r>
        <w:rPr>
          <w:rFonts w:hint="eastAsia" w:ascii="Arial" w:hAnsi="Arial" w:eastAsia="宋体" w:cs="Arial"/>
          <w:u w:val="single"/>
          <w:lang w:eastAsia="zh-CN"/>
        </w:rPr>
        <w:t>本文件中讨论的建议仅限于使用射频导管治疗心律失常与消融，而不适用于任何其他治疗方式。</w:t>
      </w:r>
    </w:p>
    <w:p w14:paraId="09C9893B">
      <w:pPr>
        <w:snapToGrid w:val="0"/>
        <w:spacing w:before="1" w:line="300" w:lineRule="auto"/>
        <w:jc w:val="both"/>
        <w:rPr>
          <w:rFonts w:ascii="Arial" w:hAnsi="Arial" w:eastAsia="宋体" w:cs="Arial"/>
          <w:sz w:val="21"/>
          <w:szCs w:val="21"/>
          <w:lang w:eastAsia="zh-CN"/>
        </w:rPr>
      </w:pPr>
    </w:p>
    <w:p w14:paraId="7486D9B8">
      <w:pPr>
        <w:snapToGrid w:val="0"/>
        <w:spacing w:line="300" w:lineRule="auto"/>
        <w:jc w:val="both"/>
        <w:rPr>
          <w:rFonts w:ascii="Arial" w:hAnsi="Arial" w:eastAsia="宋体" w:cs="Arial"/>
          <w:b/>
          <w:sz w:val="36"/>
          <w:szCs w:val="36"/>
          <w:lang w:eastAsia="zh-CN"/>
        </w:rPr>
      </w:pPr>
      <w:r>
        <w:rPr>
          <w:rFonts w:hint="eastAsia" w:ascii="Arial" w:hAnsi="Arial" w:eastAsia="宋体" w:cs="Arial"/>
          <w:b/>
          <w:sz w:val="36"/>
          <w:szCs w:val="36"/>
          <w:lang w:eastAsia="zh-CN"/>
        </w:rPr>
        <w:t>范围</w:t>
      </w:r>
    </w:p>
    <w:p w14:paraId="097EF0ED">
      <w:pPr>
        <w:pStyle w:val="8"/>
        <w:snapToGrid w:val="0"/>
        <w:spacing w:before="103" w:line="300" w:lineRule="auto"/>
        <w:ind w:left="0" w:firstLine="0"/>
        <w:jc w:val="both"/>
        <w:rPr>
          <w:rFonts w:ascii="Arial" w:hAnsi="Arial" w:eastAsia="宋体" w:cs="Arial"/>
          <w:lang w:eastAsia="zh-CN"/>
        </w:rPr>
      </w:pPr>
      <w:r>
        <w:rPr>
          <w:rFonts w:ascii="Arial" w:hAnsi="Arial" w:eastAsia="宋体" w:cs="Arial"/>
          <w:lang w:eastAsia="zh-CN"/>
        </w:rPr>
        <w:t>基于对医学文献的综述，FDA将常规射频心脏消融导管定义为具有以下特征的导管：</w:t>
      </w:r>
    </w:p>
    <w:p w14:paraId="26BC4D38">
      <w:pPr>
        <w:pStyle w:val="15"/>
        <w:tabs>
          <w:tab w:val="left" w:pos="840"/>
        </w:tabs>
        <w:snapToGrid w:val="0"/>
        <w:spacing w:before="141" w:line="300" w:lineRule="auto"/>
        <w:jc w:val="both"/>
        <w:rPr>
          <w:rFonts w:ascii="Arial" w:hAnsi="Arial" w:eastAsia="宋体" w:cs="Arial"/>
          <w:sz w:val="24"/>
          <w:szCs w:val="24"/>
          <w:lang w:eastAsia="zh-CN"/>
        </w:rPr>
      </w:pPr>
    </w:p>
    <w:p w14:paraId="42A97C24">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rPr>
      </w:pPr>
      <w:r>
        <w:rPr>
          <w:rFonts w:ascii="Arial" w:hAnsi="Arial" w:eastAsia="宋体" w:cs="Arial"/>
          <w:sz w:val="24"/>
          <w:szCs w:val="24"/>
        </w:rPr>
        <w:t>创建心内膜损伤</w:t>
      </w:r>
    </w:p>
    <w:p w14:paraId="3841251D">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rPr>
      </w:pPr>
      <w:r>
        <w:rPr>
          <w:rFonts w:ascii="Arial" w:hAnsi="Arial" w:eastAsia="宋体" w:cs="Arial"/>
          <w:sz w:val="24"/>
          <w:szCs w:val="24"/>
        </w:rPr>
        <w:t>4-5mm消融单电极</w:t>
      </w:r>
    </w:p>
    <w:p w14:paraId="7FD9B371">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rPr>
      </w:pPr>
      <w:r>
        <w:rPr>
          <w:rFonts w:ascii="Arial" w:hAnsi="Arial" w:eastAsia="宋体" w:cs="Arial"/>
          <w:sz w:val="24"/>
          <w:szCs w:val="24"/>
        </w:rPr>
        <w:t>温度检测功能</w:t>
      </w:r>
    </w:p>
    <w:p w14:paraId="12C45688">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rPr>
      </w:pPr>
      <w:r>
        <w:rPr>
          <w:rFonts w:ascii="Arial" w:hAnsi="Arial" w:eastAsia="宋体" w:cs="Arial"/>
          <w:sz w:val="24"/>
          <w:szCs w:val="24"/>
          <w:lang w:eastAsia="zh-CN"/>
        </w:rPr>
        <w:t>未冲洗</w:t>
      </w:r>
      <w:r>
        <w:rPr>
          <w:rFonts w:ascii="Arial" w:hAnsi="Arial" w:eastAsia="宋体" w:cs="Arial"/>
          <w:sz w:val="24"/>
          <w:szCs w:val="24"/>
        </w:rPr>
        <w:t>或冷却</w:t>
      </w:r>
    </w:p>
    <w:p w14:paraId="1000869C">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hint="eastAsia" w:ascii="Arial" w:hAnsi="Arial" w:eastAsia="宋体" w:cs="Arial"/>
          <w:sz w:val="24"/>
          <w:szCs w:val="24"/>
          <w:lang w:eastAsia="zh-CN"/>
        </w:rPr>
        <w:t>“可调节</w:t>
      </w:r>
      <w:r>
        <w:rPr>
          <w:rFonts w:ascii="Arial" w:hAnsi="Arial" w:eastAsia="宋体" w:cs="Arial"/>
          <w:sz w:val="24"/>
          <w:szCs w:val="24"/>
          <w:lang w:eastAsia="zh-CN"/>
        </w:rPr>
        <w:t>”（即，导管具有可手动偏转的尖端）</w:t>
      </w:r>
    </w:p>
    <w:p w14:paraId="0E6FDBE3">
      <w:pPr>
        <w:widowControl/>
        <w:rPr>
          <w:rFonts w:ascii="Arial" w:hAnsi="Arial" w:eastAsia="宋体" w:cs="Arial"/>
          <w:sz w:val="24"/>
          <w:szCs w:val="24"/>
          <w:lang w:eastAsia="zh-CN"/>
        </w:rPr>
      </w:pPr>
      <w:r>
        <w:rPr>
          <w:rFonts w:ascii="Arial" w:hAnsi="Arial" w:eastAsia="宋体" w:cs="Arial"/>
          <w:sz w:val="24"/>
          <w:szCs w:val="24"/>
          <w:lang w:eastAsia="zh-CN"/>
        </w:rPr>
        <w:br w:type="page"/>
      </w:r>
    </w:p>
    <w:p w14:paraId="7F7A3D88">
      <w:pPr>
        <w:pStyle w:val="15"/>
        <w:numPr>
          <w:ilvl w:val="1"/>
          <w:numId w:val="1"/>
        </w:numPr>
        <w:tabs>
          <w:tab w:val="left" w:pos="840"/>
        </w:tabs>
        <w:snapToGrid w:val="0"/>
        <w:spacing w:before="141" w:line="300" w:lineRule="auto"/>
        <w:ind w:left="363" w:leftChars="165"/>
        <w:jc w:val="both"/>
        <w:rPr>
          <w:rFonts w:ascii="Arial" w:hAnsi="Arial" w:eastAsia="宋体" w:cs="Arial"/>
          <w:sz w:val="24"/>
          <w:szCs w:val="24"/>
        </w:rPr>
      </w:pPr>
      <w:r>
        <w:rPr>
          <w:rFonts w:ascii="Arial" w:hAnsi="Arial" w:eastAsia="宋体" w:cs="Arial"/>
          <w:sz w:val="24"/>
          <w:szCs w:val="24"/>
        </w:rPr>
        <w:t>经皮放置</w:t>
      </w:r>
    </w:p>
    <w:p w14:paraId="73A0A7B1">
      <w:pPr>
        <w:pStyle w:val="15"/>
        <w:numPr>
          <w:ilvl w:val="1"/>
          <w:numId w:val="1"/>
        </w:numPr>
        <w:tabs>
          <w:tab w:val="left" w:pos="840"/>
        </w:tabs>
        <w:snapToGrid w:val="0"/>
        <w:spacing w:before="141" w:line="300" w:lineRule="auto"/>
        <w:ind w:left="363" w:leftChars="165"/>
        <w:jc w:val="both"/>
        <w:rPr>
          <w:rFonts w:ascii="Arial" w:hAnsi="Arial" w:eastAsia="宋体" w:cs="Arial"/>
          <w:sz w:val="24"/>
          <w:szCs w:val="24"/>
          <w:lang w:eastAsia="zh-CN"/>
        </w:rPr>
      </w:pPr>
      <w:r>
        <w:rPr>
          <w:rFonts w:ascii="Arial" w:hAnsi="Arial" w:eastAsia="宋体" w:cs="Arial"/>
          <w:sz w:val="24"/>
          <w:szCs w:val="24"/>
          <w:lang w:eastAsia="zh-CN"/>
        </w:rPr>
        <w:t>设计用于向心内膜传输最大50W射频功率</w:t>
      </w:r>
    </w:p>
    <w:p w14:paraId="38FDAD84">
      <w:pPr>
        <w:snapToGrid w:val="0"/>
        <w:spacing w:line="300" w:lineRule="auto"/>
        <w:jc w:val="both"/>
        <w:rPr>
          <w:rFonts w:ascii="Arial" w:hAnsi="Arial" w:eastAsia="宋体" w:cs="Arial"/>
          <w:sz w:val="24"/>
          <w:szCs w:val="24"/>
          <w:lang w:eastAsia="zh-CN"/>
        </w:rPr>
      </w:pPr>
    </w:p>
    <w:p w14:paraId="1B3D57E8">
      <w:pPr>
        <w:pStyle w:val="3"/>
        <w:snapToGrid w:val="0"/>
        <w:spacing w:before="145" w:line="300" w:lineRule="auto"/>
        <w:ind w:left="0"/>
        <w:jc w:val="both"/>
        <w:rPr>
          <w:rFonts w:ascii="Arial" w:hAnsi="Arial" w:eastAsia="宋体" w:cs="Arial"/>
          <w:b w:val="0"/>
          <w:bCs w:val="0"/>
          <w:lang w:eastAsia="zh-CN"/>
        </w:rPr>
      </w:pPr>
      <w:r>
        <w:rPr>
          <w:rFonts w:ascii="Arial" w:hAnsi="Arial" w:eastAsia="宋体" w:cs="Arial"/>
          <w:lang w:eastAsia="zh-CN"/>
        </w:rPr>
        <w:t>目前FDA对研究性射频消融系统临床评价的建议</w:t>
      </w:r>
    </w:p>
    <w:p w14:paraId="46E3F131">
      <w:pPr>
        <w:pStyle w:val="8"/>
        <w:snapToGrid w:val="0"/>
        <w:spacing w:before="114" w:line="300" w:lineRule="auto"/>
        <w:ind w:left="0" w:firstLine="0"/>
        <w:jc w:val="both"/>
        <w:rPr>
          <w:rFonts w:ascii="Arial" w:hAnsi="Arial" w:eastAsia="宋体" w:cs="Arial"/>
          <w:lang w:eastAsia="zh-CN"/>
        </w:rPr>
      </w:pPr>
      <w:r>
        <w:rPr>
          <w:rFonts w:ascii="Arial" w:hAnsi="Arial" w:eastAsia="宋体" w:cs="Arial"/>
          <w:lang w:eastAsia="zh-CN"/>
        </w:rPr>
        <w:t>常规射频消融导管先前经FDA批准用于治疗室上性心动过速（SVTs），包括以下：</w:t>
      </w:r>
    </w:p>
    <w:p w14:paraId="76B34DB8">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房室（AV）折返性心动过速</w:t>
      </w:r>
    </w:p>
    <w:p w14:paraId="4083A0BA">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AV节点折返性心动过速</w:t>
      </w:r>
    </w:p>
    <w:p w14:paraId="44CDB3E6">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有快速心室反应的房性心动过速</w:t>
      </w:r>
    </w:p>
    <w:p w14:paraId="109591DB">
      <w:pPr>
        <w:pStyle w:val="8"/>
        <w:snapToGrid w:val="0"/>
        <w:spacing w:before="128" w:line="300" w:lineRule="auto"/>
        <w:ind w:left="0" w:firstLine="0"/>
        <w:jc w:val="both"/>
        <w:rPr>
          <w:rFonts w:ascii="Arial" w:hAnsi="Arial" w:eastAsia="宋体" w:cs="Arial"/>
          <w:lang w:eastAsia="zh-CN"/>
        </w:rPr>
      </w:pPr>
      <w:r>
        <w:rPr>
          <w:rFonts w:ascii="Arial" w:hAnsi="Arial" w:eastAsia="宋体" w:cs="Arial"/>
          <w:lang w:eastAsia="zh-CN"/>
        </w:rPr>
        <w:t>为了获得常规射频消融系统的上市前批准，制造商目前需要进行前瞻性临床研究，收集可证明消融系统治疗特定心律失常的安全性和有效性可得到合理保证的数据。通常，所评价的终点包括急性成功、慢性成功（3-6个月成功）和安全性（主要并发症的发生率）。下表1提供了这些研究对终点的目标值和置信界限的估计（基于目前的医学文献）。对于上述特定适应症，申办方可以将其研究性消融系统的临床性能与医学文献中报道的临床数据进行统计学比较。</w:t>
      </w:r>
    </w:p>
    <w:p w14:paraId="1C4EE833">
      <w:pPr>
        <w:snapToGrid w:val="0"/>
        <w:spacing w:before="7" w:line="300" w:lineRule="auto"/>
        <w:jc w:val="both"/>
        <w:rPr>
          <w:rFonts w:ascii="Arial" w:hAnsi="Arial" w:eastAsia="宋体" w:cs="Arial"/>
          <w:sz w:val="26"/>
          <w:szCs w:val="26"/>
          <w:lang w:eastAsia="zh-CN"/>
        </w:rPr>
      </w:pPr>
    </w:p>
    <w:p w14:paraId="7E0C5885">
      <w:pPr>
        <w:pStyle w:val="6"/>
        <w:snapToGrid w:val="0"/>
        <w:spacing w:line="300" w:lineRule="auto"/>
        <w:jc w:val="both"/>
        <w:rPr>
          <w:rFonts w:ascii="Arial" w:hAnsi="Arial" w:eastAsia="宋体" w:cs="Arial"/>
          <w:b w:val="0"/>
          <w:bCs w:val="0"/>
          <w:lang w:eastAsia="zh-CN"/>
        </w:rPr>
      </w:pPr>
      <w:r>
        <w:rPr>
          <w:rFonts w:ascii="Arial" w:hAnsi="Arial" w:eastAsia="宋体" w:cs="Arial"/>
          <w:lang w:eastAsia="zh-CN"/>
        </w:rPr>
        <w:t>表1.基于医学文献的可接受终点标准</w:t>
      </w:r>
    </w:p>
    <w:p w14:paraId="71688508">
      <w:pPr>
        <w:snapToGrid w:val="0"/>
        <w:spacing w:before="5" w:line="300" w:lineRule="auto"/>
        <w:jc w:val="both"/>
        <w:rPr>
          <w:rFonts w:ascii="Arial" w:hAnsi="Arial" w:eastAsia="宋体" w:cs="Arial"/>
          <w:b/>
          <w:bCs/>
          <w:sz w:val="12"/>
          <w:szCs w:val="12"/>
          <w:lang w:eastAsia="zh-CN"/>
        </w:rPr>
      </w:pPr>
    </w:p>
    <w:tbl>
      <w:tblPr>
        <w:tblStyle w:val="14"/>
        <w:tblW w:w="8820" w:type="dxa"/>
        <w:tblInd w:w="105" w:type="dxa"/>
        <w:tblLayout w:type="fixed"/>
        <w:tblCellMar>
          <w:top w:w="0" w:type="dxa"/>
          <w:left w:w="0" w:type="dxa"/>
          <w:bottom w:w="0" w:type="dxa"/>
          <w:right w:w="0" w:type="dxa"/>
        </w:tblCellMar>
      </w:tblPr>
      <w:tblGrid>
        <w:gridCol w:w="2790"/>
        <w:gridCol w:w="2250"/>
        <w:gridCol w:w="3780"/>
      </w:tblGrid>
      <w:tr w14:paraId="6FEC213B">
        <w:tblPrEx>
          <w:tblCellMar>
            <w:top w:w="0" w:type="dxa"/>
            <w:left w:w="0" w:type="dxa"/>
            <w:bottom w:w="0" w:type="dxa"/>
            <w:right w:w="0" w:type="dxa"/>
          </w:tblCellMar>
        </w:tblPrEx>
        <w:trPr>
          <w:trHeight w:val="390" w:hRule="exact"/>
        </w:trPr>
        <w:tc>
          <w:tcPr>
            <w:tcW w:w="2790" w:type="dxa"/>
            <w:tcBorders>
              <w:top w:val="single" w:color="000000" w:sz="6" w:space="0"/>
              <w:left w:val="single" w:color="000000" w:sz="6" w:space="0"/>
              <w:bottom w:val="single" w:color="000000" w:sz="6" w:space="0"/>
              <w:right w:val="single" w:color="000000" w:sz="6" w:space="0"/>
            </w:tcBorders>
            <w:shd w:val="clear" w:color="auto" w:fill="FFDAB6"/>
          </w:tcPr>
          <w:p w14:paraId="4A3FF751">
            <w:pPr>
              <w:pStyle w:val="16"/>
              <w:snapToGrid w:val="0"/>
              <w:spacing w:before="46" w:line="300" w:lineRule="auto"/>
              <w:jc w:val="center"/>
              <w:rPr>
                <w:rFonts w:ascii="Arial" w:hAnsi="Arial" w:eastAsia="宋体" w:cs="Arial"/>
                <w:b/>
                <w:sz w:val="24"/>
                <w:szCs w:val="24"/>
              </w:rPr>
            </w:pPr>
            <w:r>
              <w:rPr>
                <w:rFonts w:ascii="Arial" w:hAnsi="Arial" w:eastAsia="宋体" w:cs="Arial"/>
                <w:b/>
                <w:sz w:val="24"/>
                <w:szCs w:val="24"/>
                <w:lang w:eastAsia="zh-CN"/>
              </w:rPr>
              <w:t>研究终点</w:t>
            </w:r>
          </w:p>
        </w:tc>
        <w:tc>
          <w:tcPr>
            <w:tcW w:w="2250" w:type="dxa"/>
            <w:tcBorders>
              <w:top w:val="single" w:color="000000" w:sz="6" w:space="0"/>
              <w:left w:val="single" w:color="000000" w:sz="6" w:space="0"/>
              <w:bottom w:val="single" w:color="000000" w:sz="6" w:space="0"/>
              <w:right w:val="single" w:color="000000" w:sz="6" w:space="0"/>
            </w:tcBorders>
            <w:shd w:val="clear" w:color="auto" w:fill="FFDAB6"/>
          </w:tcPr>
          <w:p w14:paraId="1C54A7C2">
            <w:pPr>
              <w:pStyle w:val="16"/>
              <w:snapToGrid w:val="0"/>
              <w:spacing w:before="46" w:line="300" w:lineRule="auto"/>
              <w:jc w:val="center"/>
              <w:rPr>
                <w:rFonts w:ascii="Arial" w:hAnsi="Arial" w:eastAsia="宋体" w:cs="Arial"/>
                <w:b/>
                <w:sz w:val="24"/>
                <w:szCs w:val="24"/>
              </w:rPr>
            </w:pPr>
            <w:r>
              <w:rPr>
                <w:rFonts w:ascii="Arial" w:hAnsi="Arial" w:eastAsia="宋体" w:cs="Arial"/>
                <w:b/>
                <w:sz w:val="24"/>
                <w:szCs w:val="24"/>
                <w:lang w:eastAsia="zh-CN"/>
              </w:rPr>
              <w:t>目标值</w:t>
            </w:r>
          </w:p>
        </w:tc>
        <w:tc>
          <w:tcPr>
            <w:tcW w:w="3780" w:type="dxa"/>
            <w:tcBorders>
              <w:top w:val="single" w:color="000000" w:sz="6" w:space="0"/>
              <w:left w:val="single" w:color="000000" w:sz="6" w:space="0"/>
              <w:bottom w:val="single" w:color="000000" w:sz="6" w:space="0"/>
              <w:right w:val="single" w:color="000000" w:sz="6" w:space="0"/>
            </w:tcBorders>
            <w:shd w:val="clear" w:color="auto" w:fill="FFDAB6"/>
          </w:tcPr>
          <w:p w14:paraId="539CD090">
            <w:pPr>
              <w:pStyle w:val="16"/>
              <w:snapToGrid w:val="0"/>
              <w:spacing w:before="46" w:line="300" w:lineRule="auto"/>
              <w:jc w:val="center"/>
              <w:rPr>
                <w:rFonts w:ascii="Arial" w:hAnsi="Arial" w:eastAsia="宋体" w:cs="Arial"/>
                <w:b/>
                <w:sz w:val="24"/>
                <w:szCs w:val="24"/>
              </w:rPr>
            </w:pPr>
            <w:r>
              <w:rPr>
                <w:rFonts w:ascii="Arial" w:hAnsi="Arial" w:eastAsia="宋体" w:cs="Arial"/>
                <w:b/>
                <w:sz w:val="24"/>
              </w:rPr>
              <w:t xml:space="preserve">95 % </w:t>
            </w:r>
            <w:r>
              <w:rPr>
                <w:rFonts w:ascii="Arial" w:hAnsi="Arial" w:eastAsia="宋体" w:cs="Arial"/>
                <w:b/>
                <w:sz w:val="24"/>
                <w:lang w:eastAsia="zh-CN"/>
              </w:rPr>
              <w:t>置信界限</w:t>
            </w:r>
          </w:p>
        </w:tc>
      </w:tr>
      <w:tr w14:paraId="392D2593">
        <w:tblPrEx>
          <w:tblCellMar>
            <w:top w:w="0" w:type="dxa"/>
            <w:left w:w="0" w:type="dxa"/>
            <w:bottom w:w="0" w:type="dxa"/>
            <w:right w:w="0" w:type="dxa"/>
          </w:tblCellMar>
        </w:tblPrEx>
        <w:trPr>
          <w:trHeight w:val="390" w:hRule="exact"/>
        </w:trPr>
        <w:tc>
          <w:tcPr>
            <w:tcW w:w="2790" w:type="dxa"/>
            <w:tcBorders>
              <w:top w:val="single" w:color="000000" w:sz="6" w:space="0"/>
              <w:left w:val="single" w:color="000000" w:sz="6" w:space="0"/>
              <w:bottom w:val="single" w:color="000000" w:sz="6" w:space="0"/>
              <w:right w:val="single" w:color="000000" w:sz="6" w:space="0"/>
            </w:tcBorders>
          </w:tcPr>
          <w:p w14:paraId="36EABEB8">
            <w:pPr>
              <w:snapToGrid w:val="0"/>
              <w:spacing w:line="300" w:lineRule="auto"/>
              <w:jc w:val="both"/>
              <w:rPr>
                <w:rFonts w:ascii="Arial" w:hAnsi="Arial" w:eastAsia="宋体" w:cs="Arial"/>
              </w:rPr>
            </w:pPr>
            <w:r>
              <w:rPr>
                <w:rFonts w:ascii="Arial" w:hAnsi="Arial" w:eastAsia="宋体" w:cs="Arial"/>
              </w:rPr>
              <w:t>急性成功</w:t>
            </w:r>
          </w:p>
        </w:tc>
        <w:tc>
          <w:tcPr>
            <w:tcW w:w="2250" w:type="dxa"/>
            <w:tcBorders>
              <w:top w:val="single" w:color="000000" w:sz="6" w:space="0"/>
              <w:left w:val="single" w:color="000000" w:sz="6" w:space="0"/>
              <w:bottom w:val="single" w:color="000000" w:sz="6" w:space="0"/>
              <w:right w:val="single" w:color="000000" w:sz="6" w:space="0"/>
            </w:tcBorders>
          </w:tcPr>
          <w:p w14:paraId="488A5D38">
            <w:pPr>
              <w:pStyle w:val="16"/>
              <w:snapToGrid w:val="0"/>
              <w:spacing w:before="46" w:line="300" w:lineRule="auto"/>
              <w:jc w:val="center"/>
              <w:rPr>
                <w:rFonts w:ascii="Arial" w:hAnsi="Arial" w:eastAsia="宋体" w:cs="Arial"/>
                <w:sz w:val="24"/>
                <w:szCs w:val="24"/>
              </w:rPr>
            </w:pPr>
            <w:r>
              <w:rPr>
                <w:rFonts w:ascii="Arial" w:hAnsi="Arial" w:eastAsia="宋体" w:cs="Arial"/>
                <w:sz w:val="24"/>
              </w:rPr>
              <w:t>&gt; 95</w:t>
            </w:r>
            <w:r>
              <w:rPr>
                <w:rFonts w:ascii="Arial" w:hAnsi="Arial" w:eastAsia="宋体" w:cs="Arial"/>
                <w:spacing w:val="-6"/>
                <w:sz w:val="24"/>
              </w:rPr>
              <w:t xml:space="preserve"> </w:t>
            </w:r>
            <w:r>
              <w:rPr>
                <w:rFonts w:ascii="Arial" w:hAnsi="Arial" w:eastAsia="宋体" w:cs="Arial"/>
                <w:sz w:val="24"/>
              </w:rPr>
              <w:t>%</w:t>
            </w:r>
          </w:p>
        </w:tc>
        <w:tc>
          <w:tcPr>
            <w:tcW w:w="3780" w:type="dxa"/>
            <w:tcBorders>
              <w:top w:val="single" w:color="000000" w:sz="6" w:space="0"/>
              <w:left w:val="single" w:color="000000" w:sz="6" w:space="0"/>
              <w:bottom w:val="single" w:color="000000" w:sz="6" w:space="0"/>
              <w:right w:val="single" w:color="000000" w:sz="6" w:space="0"/>
            </w:tcBorders>
          </w:tcPr>
          <w:p w14:paraId="2D181B6F">
            <w:pPr>
              <w:pStyle w:val="16"/>
              <w:snapToGrid w:val="0"/>
              <w:spacing w:before="43" w:line="300" w:lineRule="auto"/>
              <w:ind w:right="693" w:rightChars="315"/>
              <w:jc w:val="center"/>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w:t>
            </w:r>
            <w:r>
              <w:rPr>
                <w:rFonts w:ascii="Arial" w:hAnsi="Arial" w:eastAsia="宋体" w:cs="Arial"/>
                <w:sz w:val="24"/>
                <w:szCs w:val="24"/>
              </w:rPr>
              <w:t>85</w:t>
            </w:r>
            <w:r>
              <w:rPr>
                <w:rFonts w:ascii="Arial" w:hAnsi="Arial" w:eastAsia="宋体" w:cs="Arial"/>
                <w:spacing w:val="-1"/>
                <w:sz w:val="24"/>
                <w:szCs w:val="24"/>
              </w:rPr>
              <w:t xml:space="preserve"> </w:t>
            </w:r>
            <w:r>
              <w:rPr>
                <w:rFonts w:ascii="Arial" w:hAnsi="Arial" w:eastAsia="宋体" w:cs="Arial"/>
                <w:sz w:val="24"/>
                <w:szCs w:val="24"/>
              </w:rPr>
              <w:t>%</w:t>
            </w:r>
          </w:p>
        </w:tc>
      </w:tr>
      <w:tr w14:paraId="5449E174">
        <w:tblPrEx>
          <w:tblCellMar>
            <w:top w:w="0" w:type="dxa"/>
            <w:left w:w="0" w:type="dxa"/>
            <w:bottom w:w="0" w:type="dxa"/>
            <w:right w:w="0" w:type="dxa"/>
          </w:tblCellMar>
        </w:tblPrEx>
        <w:trPr>
          <w:trHeight w:val="405" w:hRule="exact"/>
        </w:trPr>
        <w:tc>
          <w:tcPr>
            <w:tcW w:w="2790" w:type="dxa"/>
            <w:tcBorders>
              <w:top w:val="single" w:color="000000" w:sz="6" w:space="0"/>
              <w:left w:val="single" w:color="000000" w:sz="6" w:space="0"/>
              <w:bottom w:val="single" w:color="000000" w:sz="6" w:space="0"/>
              <w:right w:val="single" w:color="000000" w:sz="6" w:space="0"/>
            </w:tcBorders>
          </w:tcPr>
          <w:p w14:paraId="5D292F70">
            <w:pPr>
              <w:snapToGrid w:val="0"/>
              <w:spacing w:line="300" w:lineRule="auto"/>
              <w:jc w:val="both"/>
              <w:rPr>
                <w:rFonts w:ascii="Arial" w:hAnsi="Arial" w:eastAsia="宋体" w:cs="Arial"/>
              </w:rPr>
            </w:pPr>
            <w:r>
              <w:rPr>
                <w:rFonts w:ascii="Arial" w:hAnsi="Arial" w:eastAsia="宋体" w:cs="Arial"/>
              </w:rPr>
              <w:t>慢性成功</w:t>
            </w:r>
          </w:p>
        </w:tc>
        <w:tc>
          <w:tcPr>
            <w:tcW w:w="2250" w:type="dxa"/>
            <w:tcBorders>
              <w:top w:val="single" w:color="000000" w:sz="6" w:space="0"/>
              <w:left w:val="single" w:color="000000" w:sz="6" w:space="0"/>
              <w:bottom w:val="single" w:color="000000" w:sz="6" w:space="0"/>
              <w:right w:val="single" w:color="000000" w:sz="6" w:space="0"/>
            </w:tcBorders>
          </w:tcPr>
          <w:p w14:paraId="7524206C">
            <w:pPr>
              <w:pStyle w:val="16"/>
              <w:snapToGrid w:val="0"/>
              <w:spacing w:before="46" w:line="300" w:lineRule="auto"/>
              <w:jc w:val="center"/>
              <w:rPr>
                <w:rFonts w:ascii="Arial" w:hAnsi="Arial" w:eastAsia="宋体" w:cs="Arial"/>
                <w:sz w:val="24"/>
                <w:szCs w:val="24"/>
              </w:rPr>
            </w:pPr>
            <w:r>
              <w:rPr>
                <w:rFonts w:ascii="Arial" w:hAnsi="Arial" w:eastAsia="宋体" w:cs="Arial"/>
                <w:sz w:val="24"/>
              </w:rPr>
              <w:t>&gt; 90</w:t>
            </w:r>
            <w:r>
              <w:rPr>
                <w:rFonts w:ascii="Arial" w:hAnsi="Arial" w:eastAsia="宋体" w:cs="Arial"/>
                <w:spacing w:val="-6"/>
                <w:sz w:val="24"/>
              </w:rPr>
              <w:t xml:space="preserve"> </w:t>
            </w:r>
            <w:r>
              <w:rPr>
                <w:rFonts w:ascii="Arial" w:hAnsi="Arial" w:eastAsia="宋体" w:cs="Arial"/>
                <w:sz w:val="24"/>
              </w:rPr>
              <w:t>%</w:t>
            </w:r>
          </w:p>
        </w:tc>
        <w:tc>
          <w:tcPr>
            <w:tcW w:w="3780" w:type="dxa"/>
            <w:tcBorders>
              <w:top w:val="single" w:color="000000" w:sz="6" w:space="0"/>
              <w:left w:val="single" w:color="000000" w:sz="6" w:space="0"/>
              <w:bottom w:val="single" w:color="000000" w:sz="6" w:space="0"/>
              <w:right w:val="single" w:color="000000" w:sz="6" w:space="0"/>
            </w:tcBorders>
          </w:tcPr>
          <w:p w14:paraId="5022A9EE">
            <w:pPr>
              <w:pStyle w:val="16"/>
              <w:snapToGrid w:val="0"/>
              <w:spacing w:before="43" w:line="300" w:lineRule="auto"/>
              <w:ind w:right="693" w:rightChars="315"/>
              <w:jc w:val="center"/>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w:t>
            </w:r>
            <w:r>
              <w:rPr>
                <w:rFonts w:ascii="Arial" w:hAnsi="Arial" w:eastAsia="宋体" w:cs="Arial"/>
                <w:sz w:val="24"/>
                <w:szCs w:val="24"/>
              </w:rPr>
              <w:t>80</w:t>
            </w:r>
            <w:r>
              <w:rPr>
                <w:rFonts w:ascii="Arial" w:hAnsi="Arial" w:eastAsia="宋体" w:cs="Arial"/>
                <w:spacing w:val="-1"/>
                <w:sz w:val="24"/>
                <w:szCs w:val="24"/>
              </w:rPr>
              <w:t xml:space="preserve"> </w:t>
            </w:r>
            <w:r>
              <w:rPr>
                <w:rFonts w:ascii="Arial" w:hAnsi="Arial" w:eastAsia="宋体" w:cs="Arial"/>
                <w:sz w:val="24"/>
                <w:szCs w:val="24"/>
              </w:rPr>
              <w:t>%</w:t>
            </w:r>
          </w:p>
        </w:tc>
      </w:tr>
      <w:tr w14:paraId="350CD41B">
        <w:tblPrEx>
          <w:tblCellMar>
            <w:top w:w="0" w:type="dxa"/>
            <w:left w:w="0" w:type="dxa"/>
            <w:bottom w:w="0" w:type="dxa"/>
            <w:right w:w="0" w:type="dxa"/>
          </w:tblCellMar>
        </w:tblPrEx>
        <w:trPr>
          <w:trHeight w:val="405" w:hRule="exact"/>
        </w:trPr>
        <w:tc>
          <w:tcPr>
            <w:tcW w:w="2790" w:type="dxa"/>
            <w:tcBorders>
              <w:top w:val="single" w:color="000000" w:sz="6" w:space="0"/>
              <w:left w:val="single" w:color="000000" w:sz="6" w:space="0"/>
              <w:bottom w:val="single" w:color="000000" w:sz="6" w:space="0"/>
              <w:right w:val="single" w:color="000000" w:sz="6" w:space="0"/>
            </w:tcBorders>
          </w:tcPr>
          <w:p w14:paraId="685D107C">
            <w:pPr>
              <w:snapToGrid w:val="0"/>
              <w:spacing w:line="300" w:lineRule="auto"/>
              <w:jc w:val="both"/>
              <w:rPr>
                <w:rFonts w:ascii="Arial" w:hAnsi="Arial" w:eastAsia="宋体" w:cs="Arial"/>
              </w:rPr>
            </w:pPr>
            <w:r>
              <w:rPr>
                <w:rFonts w:ascii="Arial" w:hAnsi="Arial" w:eastAsia="宋体" w:cs="Arial"/>
              </w:rPr>
              <w:t>主要并发症</w:t>
            </w:r>
          </w:p>
        </w:tc>
        <w:tc>
          <w:tcPr>
            <w:tcW w:w="2250" w:type="dxa"/>
            <w:tcBorders>
              <w:top w:val="single" w:color="000000" w:sz="6" w:space="0"/>
              <w:left w:val="single" w:color="000000" w:sz="6" w:space="0"/>
              <w:bottom w:val="single" w:color="000000" w:sz="6" w:space="0"/>
              <w:right w:val="single" w:color="000000" w:sz="6" w:space="0"/>
            </w:tcBorders>
          </w:tcPr>
          <w:p w14:paraId="21929793">
            <w:pPr>
              <w:pStyle w:val="16"/>
              <w:snapToGrid w:val="0"/>
              <w:spacing w:before="46" w:line="300" w:lineRule="auto"/>
              <w:jc w:val="center"/>
              <w:rPr>
                <w:rFonts w:ascii="Arial" w:hAnsi="Arial" w:eastAsia="宋体" w:cs="Arial"/>
                <w:sz w:val="24"/>
                <w:szCs w:val="24"/>
              </w:rPr>
            </w:pPr>
            <w:r>
              <w:rPr>
                <w:rFonts w:ascii="Arial" w:hAnsi="Arial" w:eastAsia="宋体" w:cs="Arial"/>
                <w:sz w:val="24"/>
              </w:rPr>
              <w:t>&lt; 2.5</w:t>
            </w:r>
            <w:r>
              <w:rPr>
                <w:rFonts w:ascii="Arial" w:hAnsi="Arial" w:eastAsia="宋体" w:cs="Arial"/>
                <w:spacing w:val="-8"/>
                <w:sz w:val="24"/>
              </w:rPr>
              <w:t xml:space="preserve"> </w:t>
            </w:r>
            <w:r>
              <w:rPr>
                <w:rFonts w:ascii="Arial" w:hAnsi="Arial" w:eastAsia="宋体" w:cs="Arial"/>
                <w:sz w:val="24"/>
              </w:rPr>
              <w:t>%</w:t>
            </w:r>
          </w:p>
        </w:tc>
        <w:tc>
          <w:tcPr>
            <w:tcW w:w="3780" w:type="dxa"/>
            <w:tcBorders>
              <w:top w:val="single" w:color="000000" w:sz="6" w:space="0"/>
              <w:left w:val="single" w:color="000000" w:sz="6" w:space="0"/>
              <w:bottom w:val="single" w:color="000000" w:sz="6" w:space="0"/>
              <w:right w:val="single" w:color="000000" w:sz="6" w:space="0"/>
            </w:tcBorders>
          </w:tcPr>
          <w:p w14:paraId="0ED03A5D">
            <w:pPr>
              <w:pStyle w:val="16"/>
              <w:snapToGrid w:val="0"/>
              <w:spacing w:before="43" w:line="300" w:lineRule="auto"/>
              <w:ind w:right="693" w:rightChars="315" w:firstLine="208" w:firstLineChars="87"/>
              <w:jc w:val="center"/>
              <w:rPr>
                <w:rFonts w:ascii="Arial" w:hAnsi="Arial" w:eastAsia="宋体" w:cs="Arial"/>
                <w:sz w:val="24"/>
                <w:szCs w:val="24"/>
              </w:rPr>
            </w:pPr>
            <w:r>
              <w:rPr>
                <w:rFonts w:hint="eastAsia" w:ascii="Arial" w:hAnsi="Arial" w:eastAsia="宋体" w:cs="Arial"/>
                <w:sz w:val="24"/>
                <w:szCs w:val="24"/>
              </w:rPr>
              <w:t>≤</w:t>
            </w:r>
            <w:r>
              <w:rPr>
                <w:rFonts w:ascii="Arial" w:hAnsi="Arial" w:eastAsia="宋体" w:cs="Arial"/>
                <w:sz w:val="24"/>
                <w:szCs w:val="24"/>
              </w:rPr>
              <w:t>7 %</w:t>
            </w:r>
          </w:p>
        </w:tc>
      </w:tr>
    </w:tbl>
    <w:p w14:paraId="2F0CEE12">
      <w:pPr>
        <w:snapToGrid w:val="0"/>
        <w:spacing w:before="1" w:line="300" w:lineRule="auto"/>
        <w:jc w:val="both"/>
        <w:rPr>
          <w:rFonts w:ascii="Arial" w:hAnsi="Arial" w:eastAsia="宋体" w:cs="Arial"/>
          <w:b/>
          <w:bCs/>
          <w:sz w:val="8"/>
          <w:szCs w:val="8"/>
        </w:rPr>
      </w:pPr>
    </w:p>
    <w:p w14:paraId="305B9FF3">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急性成功 - 目标心律失常的非诱导性</w:t>
      </w:r>
    </w:p>
    <w:p w14:paraId="3D48F4C7">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慢性成功 - 3个月内目标心律失常无复发</w:t>
      </w:r>
    </w:p>
    <w:p w14:paraId="38D03B6F">
      <w:pPr>
        <w:pStyle w:val="15"/>
        <w:numPr>
          <w:ilvl w:val="1"/>
          <w:numId w:val="1"/>
        </w:numPr>
        <w:tabs>
          <w:tab w:val="left" w:pos="840"/>
        </w:tabs>
        <w:snapToGrid w:val="0"/>
        <w:spacing w:before="141" w:line="300" w:lineRule="auto"/>
        <w:ind w:left="720" w:leftChars="165" w:hanging="357"/>
        <w:jc w:val="both"/>
        <w:rPr>
          <w:rFonts w:ascii="Arial" w:hAnsi="Arial" w:eastAsia="宋体" w:cs="Arial"/>
          <w:sz w:val="24"/>
          <w:szCs w:val="24"/>
          <w:lang w:eastAsia="zh-CN"/>
        </w:rPr>
      </w:pPr>
      <w:r>
        <w:rPr>
          <w:rFonts w:ascii="Arial" w:hAnsi="Arial" w:eastAsia="宋体" w:cs="Arial"/>
          <w:sz w:val="24"/>
          <w:szCs w:val="24"/>
          <w:lang w:eastAsia="zh-CN"/>
        </w:rPr>
        <w:t>主要并发症 - 手术或器械相关的不良事件，其需要进行任何干预以预防永久性医疗干预</w:t>
      </w:r>
    </w:p>
    <w:p w14:paraId="5A56A6AF">
      <w:pPr>
        <w:snapToGrid w:val="0"/>
        <w:spacing w:line="300" w:lineRule="auto"/>
        <w:jc w:val="both"/>
        <w:rPr>
          <w:rFonts w:ascii="Arial" w:hAnsi="Arial" w:eastAsia="宋体" w:cs="Arial"/>
          <w:sz w:val="24"/>
          <w:szCs w:val="24"/>
          <w:lang w:eastAsia="zh-CN"/>
        </w:rPr>
        <w:sectPr>
          <w:footerReference r:id="rId3" w:type="default"/>
          <w:pgSz w:w="12240" w:h="15840"/>
          <w:pgMar w:top="1134" w:right="1134" w:bottom="1134" w:left="1134" w:header="0" w:footer="850" w:gutter="0"/>
          <w:pgNumType w:start="1"/>
          <w:cols w:space="720" w:num="1"/>
          <w:docGrid w:linePitch="299" w:charSpace="0"/>
        </w:sectPr>
      </w:pPr>
    </w:p>
    <w:p w14:paraId="0A30103A">
      <w:pPr>
        <w:snapToGrid w:val="0"/>
        <w:spacing w:before="1" w:line="300" w:lineRule="auto"/>
        <w:jc w:val="both"/>
        <w:rPr>
          <w:rFonts w:ascii="Arial" w:hAnsi="Arial" w:eastAsia="宋体" w:cs="Arial"/>
          <w:sz w:val="13"/>
          <w:szCs w:val="13"/>
          <w:lang w:eastAsia="zh-CN"/>
        </w:rPr>
      </w:pPr>
    </w:p>
    <w:p w14:paraId="31F3B076">
      <w:pPr>
        <w:pStyle w:val="3"/>
        <w:snapToGrid w:val="0"/>
        <w:spacing w:before="53" w:line="276" w:lineRule="auto"/>
        <w:ind w:left="0"/>
        <w:jc w:val="both"/>
        <w:rPr>
          <w:rFonts w:ascii="Arial" w:hAnsi="Arial" w:eastAsia="宋体" w:cs="Arial"/>
          <w:b w:val="0"/>
          <w:bCs w:val="0"/>
          <w:lang w:eastAsia="zh-CN"/>
        </w:rPr>
      </w:pPr>
      <w:r>
        <w:rPr>
          <w:rFonts w:ascii="Arial" w:hAnsi="Arial" w:eastAsia="宋体" w:cs="Arial"/>
          <w:lang w:eastAsia="zh-CN"/>
        </w:rPr>
        <w:t>医学文献中报道的临床数据</w:t>
      </w:r>
    </w:p>
    <w:p w14:paraId="487E64D1">
      <w:pPr>
        <w:pStyle w:val="8"/>
        <w:snapToGrid w:val="0"/>
        <w:spacing w:before="127" w:line="276" w:lineRule="auto"/>
        <w:ind w:left="0" w:firstLine="0"/>
        <w:jc w:val="both"/>
        <w:rPr>
          <w:rFonts w:ascii="Arial" w:hAnsi="Arial" w:eastAsia="宋体" w:cs="Arial"/>
          <w:lang w:eastAsia="zh-CN"/>
        </w:rPr>
      </w:pPr>
      <w:r>
        <w:rPr>
          <w:rFonts w:ascii="Arial" w:hAnsi="Arial" w:eastAsia="宋体" w:cs="Arial"/>
          <w:lang w:eastAsia="zh-CN"/>
        </w:rPr>
        <w:t>用于治疗心律失常的射频消融导管是一项成熟技术。如医学文献中所报道，使用常规射频技术时射频损伤创建的生物物理学也已通过良好表征并具有可预测性。</w:t>
      </w:r>
      <w:r>
        <w:rPr>
          <w:rFonts w:ascii="Arial" w:hAnsi="Arial" w:eastAsia="宋体" w:cs="Arial"/>
          <w:vertAlign w:val="superscript"/>
          <w:lang w:eastAsia="zh-CN"/>
        </w:rPr>
        <w:t>13-15</w:t>
      </w:r>
    </w:p>
    <w:p w14:paraId="02DCCF68">
      <w:pPr>
        <w:snapToGrid w:val="0"/>
        <w:spacing w:before="2" w:line="276" w:lineRule="auto"/>
        <w:jc w:val="both"/>
        <w:rPr>
          <w:rFonts w:ascii="Arial" w:hAnsi="Arial" w:eastAsia="宋体" w:cs="Arial"/>
          <w:sz w:val="25"/>
          <w:szCs w:val="25"/>
          <w:lang w:eastAsia="zh-CN"/>
        </w:rPr>
      </w:pPr>
    </w:p>
    <w:p w14:paraId="4AA903C6">
      <w:pPr>
        <w:pStyle w:val="3"/>
        <w:snapToGrid w:val="0"/>
        <w:spacing w:line="276" w:lineRule="auto"/>
        <w:ind w:left="0"/>
        <w:jc w:val="both"/>
        <w:rPr>
          <w:rFonts w:ascii="Arial" w:hAnsi="Arial" w:eastAsia="宋体" w:cs="Arial"/>
          <w:b w:val="0"/>
          <w:bCs w:val="0"/>
          <w:lang w:eastAsia="zh-CN"/>
        </w:rPr>
      </w:pPr>
      <w:r>
        <w:rPr>
          <w:rFonts w:ascii="Arial" w:hAnsi="Arial" w:eastAsia="宋体" w:cs="Arial"/>
          <w:lang w:eastAsia="zh-CN"/>
        </w:rPr>
        <w:t>安全性和有效性</w:t>
      </w:r>
    </w:p>
    <w:p w14:paraId="72FE2B33">
      <w:pPr>
        <w:pStyle w:val="8"/>
        <w:snapToGrid w:val="0"/>
        <w:spacing w:before="103" w:line="276" w:lineRule="auto"/>
        <w:ind w:left="0" w:firstLine="0"/>
        <w:jc w:val="both"/>
        <w:rPr>
          <w:rFonts w:ascii="Arial" w:hAnsi="Arial" w:eastAsia="宋体" w:cs="Arial"/>
          <w:lang w:eastAsia="zh-CN"/>
        </w:rPr>
      </w:pPr>
      <w:r>
        <w:rPr>
          <w:rFonts w:ascii="Arial" w:hAnsi="Arial" w:eastAsia="宋体" w:cs="Arial"/>
          <w:lang w:eastAsia="zh-CN"/>
        </w:rPr>
        <w:t>除上述所列以外，有大量医学文献报道称，常规射频消融导管可安全有效地用于治疗各种心律失常。表2示出了来源于医学文献且有关于三种心律失常的数据，具体说明不同的消融技术。我们选择与这些心律失常相关的文献数据的原因在于证明使用常规射频导管在心脏的四个房室中的任一个中创建局部或线性损伤的安全性和有效性。下面将更详细地讨论有关治疗这三种心律失常的现有数据。</w:t>
      </w:r>
    </w:p>
    <w:p w14:paraId="5B9D7962">
      <w:pPr>
        <w:snapToGrid w:val="0"/>
        <w:spacing w:before="8" w:line="276" w:lineRule="auto"/>
        <w:jc w:val="both"/>
        <w:rPr>
          <w:rFonts w:ascii="Arial" w:hAnsi="Arial" w:eastAsia="宋体" w:cs="Arial"/>
          <w:lang w:eastAsia="zh-CN"/>
        </w:rPr>
      </w:pPr>
    </w:p>
    <w:p w14:paraId="6FCAC8D5">
      <w:pPr>
        <w:pStyle w:val="6"/>
        <w:snapToGrid w:val="0"/>
        <w:spacing w:line="276" w:lineRule="auto"/>
        <w:jc w:val="both"/>
        <w:rPr>
          <w:rFonts w:ascii="Arial" w:hAnsi="Arial" w:eastAsia="宋体" w:cs="Arial"/>
          <w:b w:val="0"/>
          <w:bCs w:val="0"/>
          <w:lang w:eastAsia="zh-CN"/>
        </w:rPr>
      </w:pPr>
      <w:r>
        <w:rPr>
          <w:rFonts w:ascii="Arial" w:hAnsi="Arial" w:eastAsia="宋体" w:cs="Arial"/>
          <w:spacing w:val="-3"/>
          <w:lang w:eastAsia="zh-CN"/>
        </w:rPr>
        <w:t>表2：使用常规射频消融导管的射频消融术的安全性和有效性</w:t>
      </w:r>
    </w:p>
    <w:tbl>
      <w:tblPr>
        <w:tblStyle w:val="14"/>
        <w:tblW w:w="9630" w:type="dxa"/>
        <w:tblInd w:w="105" w:type="dxa"/>
        <w:tblLayout w:type="fixed"/>
        <w:tblCellMar>
          <w:top w:w="0" w:type="dxa"/>
          <w:left w:w="0" w:type="dxa"/>
          <w:bottom w:w="0" w:type="dxa"/>
          <w:right w:w="0" w:type="dxa"/>
        </w:tblCellMar>
      </w:tblPr>
      <w:tblGrid>
        <w:gridCol w:w="2055"/>
        <w:gridCol w:w="735"/>
        <w:gridCol w:w="1350"/>
        <w:gridCol w:w="1440"/>
        <w:gridCol w:w="2340"/>
        <w:gridCol w:w="1710"/>
      </w:tblGrid>
      <w:tr w14:paraId="16FC230E">
        <w:tblPrEx>
          <w:tblCellMar>
            <w:top w:w="0" w:type="dxa"/>
            <w:left w:w="0" w:type="dxa"/>
            <w:bottom w:w="0" w:type="dxa"/>
            <w:right w:w="0" w:type="dxa"/>
          </w:tblCellMar>
        </w:tblPrEx>
        <w:trPr>
          <w:trHeight w:val="570" w:hRule="exact"/>
        </w:trPr>
        <w:tc>
          <w:tcPr>
            <w:tcW w:w="2055" w:type="dxa"/>
            <w:tcBorders>
              <w:top w:val="single" w:color="000000" w:sz="6" w:space="0"/>
              <w:left w:val="single" w:color="000000" w:sz="6" w:space="0"/>
              <w:bottom w:val="single" w:color="000000" w:sz="6" w:space="0"/>
              <w:right w:val="single" w:color="000000" w:sz="6" w:space="0"/>
            </w:tcBorders>
            <w:shd w:val="clear" w:color="auto" w:fill="FFE1C2"/>
          </w:tcPr>
          <w:p w14:paraId="5C412340">
            <w:pPr>
              <w:pStyle w:val="16"/>
              <w:snapToGrid w:val="0"/>
              <w:spacing w:before="46" w:line="276" w:lineRule="auto"/>
              <w:jc w:val="both"/>
              <w:rPr>
                <w:rFonts w:ascii="Arial" w:hAnsi="Arial" w:eastAsia="宋体" w:cs="Arial"/>
                <w:sz w:val="24"/>
                <w:szCs w:val="24"/>
              </w:rPr>
            </w:pPr>
            <w:r>
              <w:rPr>
                <w:rFonts w:ascii="Arial" w:hAnsi="Arial" w:eastAsia="宋体" w:cs="Arial"/>
                <w:sz w:val="24"/>
                <w:szCs w:val="24"/>
                <w:lang w:eastAsia="zh-CN"/>
              </w:rPr>
              <w:t>心律失常</w:t>
            </w:r>
          </w:p>
        </w:tc>
        <w:tc>
          <w:tcPr>
            <w:tcW w:w="735" w:type="dxa"/>
            <w:tcBorders>
              <w:top w:val="single" w:color="000000" w:sz="6" w:space="0"/>
              <w:left w:val="single" w:color="000000" w:sz="6" w:space="0"/>
              <w:bottom w:val="single" w:color="000000" w:sz="6" w:space="0"/>
              <w:right w:val="single" w:color="000000" w:sz="6" w:space="0"/>
            </w:tcBorders>
            <w:shd w:val="clear" w:color="auto" w:fill="FFE1C2"/>
          </w:tcPr>
          <w:p w14:paraId="5E301AB8">
            <w:pPr>
              <w:pStyle w:val="16"/>
              <w:snapToGrid w:val="0"/>
              <w:spacing w:line="276" w:lineRule="auto"/>
              <w:jc w:val="both"/>
              <w:rPr>
                <w:rFonts w:ascii="Arial" w:hAnsi="Arial" w:eastAsia="宋体" w:cs="Arial"/>
                <w:sz w:val="24"/>
                <w:szCs w:val="24"/>
                <w:lang w:eastAsia="zh-CN"/>
              </w:rPr>
            </w:pPr>
            <w:r>
              <w:rPr>
                <w:rFonts w:ascii="Arial" w:hAnsi="Arial" w:eastAsia="宋体" w:cs="Arial"/>
                <w:b/>
                <w:sz w:val="24"/>
                <w:lang w:eastAsia="zh-CN"/>
              </w:rPr>
              <w:t>数量</w:t>
            </w:r>
          </w:p>
        </w:tc>
        <w:tc>
          <w:tcPr>
            <w:tcW w:w="1350" w:type="dxa"/>
            <w:tcBorders>
              <w:top w:val="single" w:color="000000" w:sz="6" w:space="0"/>
              <w:left w:val="single" w:color="000000" w:sz="6" w:space="0"/>
              <w:bottom w:val="single" w:color="000000" w:sz="6" w:space="0"/>
              <w:right w:val="single" w:color="000000" w:sz="6" w:space="0"/>
            </w:tcBorders>
            <w:shd w:val="clear" w:color="auto" w:fill="FFE1C2"/>
          </w:tcPr>
          <w:p w14:paraId="4873F591">
            <w:pPr>
              <w:pStyle w:val="16"/>
              <w:snapToGrid w:val="0"/>
              <w:spacing w:line="276" w:lineRule="auto"/>
              <w:jc w:val="both"/>
              <w:rPr>
                <w:rFonts w:ascii="Arial" w:hAnsi="Arial" w:eastAsia="宋体" w:cs="Arial"/>
                <w:sz w:val="24"/>
                <w:szCs w:val="24"/>
              </w:rPr>
            </w:pPr>
            <w:r>
              <w:rPr>
                <w:rFonts w:ascii="Arial" w:hAnsi="Arial" w:eastAsia="宋体" w:cs="Arial"/>
                <w:sz w:val="24"/>
                <w:szCs w:val="24"/>
                <w:lang w:eastAsia="zh-CN"/>
              </w:rPr>
              <w:t>急性成功</w:t>
            </w:r>
          </w:p>
        </w:tc>
        <w:tc>
          <w:tcPr>
            <w:tcW w:w="1440" w:type="dxa"/>
            <w:tcBorders>
              <w:top w:val="single" w:color="000000" w:sz="6" w:space="0"/>
              <w:left w:val="single" w:color="000000" w:sz="6" w:space="0"/>
              <w:bottom w:val="single" w:color="000000" w:sz="6" w:space="0"/>
              <w:right w:val="single" w:color="000000" w:sz="6" w:space="0"/>
            </w:tcBorders>
            <w:shd w:val="clear" w:color="auto" w:fill="FFE1C2"/>
          </w:tcPr>
          <w:p w14:paraId="7CB652A4">
            <w:pPr>
              <w:pStyle w:val="16"/>
              <w:snapToGrid w:val="0"/>
              <w:spacing w:line="276" w:lineRule="auto"/>
              <w:jc w:val="both"/>
              <w:rPr>
                <w:rFonts w:ascii="Arial" w:hAnsi="Arial" w:eastAsia="宋体" w:cs="Arial"/>
                <w:sz w:val="24"/>
                <w:szCs w:val="24"/>
              </w:rPr>
            </w:pPr>
            <w:r>
              <w:rPr>
                <w:rFonts w:ascii="Arial" w:hAnsi="Arial" w:eastAsia="宋体" w:cs="Arial"/>
                <w:sz w:val="24"/>
                <w:szCs w:val="24"/>
                <w:lang w:eastAsia="zh-CN"/>
              </w:rPr>
              <w:t>慢性成功</w:t>
            </w:r>
          </w:p>
        </w:tc>
        <w:tc>
          <w:tcPr>
            <w:tcW w:w="2340" w:type="dxa"/>
            <w:tcBorders>
              <w:top w:val="single" w:color="000000" w:sz="6" w:space="0"/>
              <w:left w:val="single" w:color="000000" w:sz="6" w:space="0"/>
              <w:bottom w:val="single" w:color="000000" w:sz="6" w:space="0"/>
              <w:right w:val="single" w:color="000000" w:sz="6" w:space="0"/>
            </w:tcBorders>
            <w:shd w:val="clear" w:color="auto" w:fill="FFE1C2"/>
          </w:tcPr>
          <w:p w14:paraId="044C6739">
            <w:pPr>
              <w:pStyle w:val="16"/>
              <w:snapToGrid w:val="0"/>
              <w:spacing w:line="276" w:lineRule="auto"/>
              <w:jc w:val="both"/>
              <w:rPr>
                <w:rFonts w:ascii="Arial" w:hAnsi="Arial" w:eastAsia="宋体" w:cs="Arial"/>
                <w:sz w:val="24"/>
                <w:szCs w:val="24"/>
              </w:rPr>
            </w:pPr>
            <w:r>
              <w:rPr>
                <w:rFonts w:ascii="Arial" w:hAnsi="Arial" w:eastAsia="宋体" w:cs="Arial"/>
                <w:sz w:val="24"/>
                <w:szCs w:val="24"/>
                <w:lang w:eastAsia="zh-CN"/>
              </w:rPr>
              <w:t>并发症</w:t>
            </w:r>
          </w:p>
        </w:tc>
        <w:tc>
          <w:tcPr>
            <w:tcW w:w="1710" w:type="dxa"/>
            <w:tcBorders>
              <w:top w:val="single" w:color="000000" w:sz="6" w:space="0"/>
              <w:left w:val="single" w:color="000000" w:sz="6" w:space="0"/>
              <w:bottom w:val="single" w:color="000000" w:sz="6" w:space="0"/>
              <w:right w:val="single" w:color="000000" w:sz="6" w:space="0"/>
            </w:tcBorders>
            <w:shd w:val="clear" w:color="auto" w:fill="FFE1C2"/>
          </w:tcPr>
          <w:p w14:paraId="69E3D203">
            <w:pPr>
              <w:pStyle w:val="16"/>
              <w:snapToGrid w:val="0"/>
              <w:spacing w:line="276" w:lineRule="auto"/>
              <w:jc w:val="both"/>
              <w:rPr>
                <w:rFonts w:ascii="Arial" w:hAnsi="Arial" w:eastAsia="宋体" w:cs="Arial"/>
                <w:sz w:val="24"/>
                <w:szCs w:val="24"/>
              </w:rPr>
            </w:pPr>
            <w:r>
              <w:rPr>
                <w:rFonts w:ascii="Arial" w:hAnsi="Arial" w:eastAsia="宋体" w:cs="Arial"/>
                <w:sz w:val="24"/>
                <w:szCs w:val="24"/>
                <w:lang w:eastAsia="zh-CN"/>
              </w:rPr>
              <w:t>注释</w:t>
            </w:r>
          </w:p>
        </w:tc>
      </w:tr>
      <w:tr w14:paraId="10211C53">
        <w:tblPrEx>
          <w:tblCellMar>
            <w:top w:w="0" w:type="dxa"/>
            <w:left w:w="0" w:type="dxa"/>
            <w:bottom w:w="0" w:type="dxa"/>
            <w:right w:w="0" w:type="dxa"/>
          </w:tblCellMar>
        </w:tblPrEx>
        <w:trPr>
          <w:trHeight w:val="675" w:hRule="exact"/>
        </w:trPr>
        <w:tc>
          <w:tcPr>
            <w:tcW w:w="2055" w:type="dxa"/>
            <w:tcBorders>
              <w:top w:val="single" w:color="000000" w:sz="6" w:space="0"/>
              <w:left w:val="single" w:color="000000" w:sz="6" w:space="0"/>
              <w:bottom w:val="single" w:color="000000" w:sz="6" w:space="0"/>
              <w:right w:val="single" w:color="000000" w:sz="6" w:space="0"/>
            </w:tcBorders>
          </w:tcPr>
          <w:p w14:paraId="111825A8">
            <w:pPr>
              <w:pStyle w:val="16"/>
              <w:snapToGrid w:val="0"/>
              <w:spacing w:before="80" w:line="276" w:lineRule="auto"/>
              <w:jc w:val="both"/>
              <w:rPr>
                <w:rFonts w:ascii="Arial" w:hAnsi="Arial" w:eastAsia="宋体" w:cs="Arial"/>
                <w:sz w:val="16"/>
                <w:szCs w:val="16"/>
              </w:rPr>
            </w:pPr>
            <w:r>
              <w:rPr>
                <w:rFonts w:ascii="Arial" w:hAnsi="Arial" w:eastAsia="宋体" w:cs="Arial"/>
                <w:sz w:val="24"/>
              </w:rPr>
              <w:t>心房扑动</w:t>
            </w:r>
            <w:r>
              <w:rPr>
                <w:rFonts w:ascii="Arial" w:hAnsi="Arial" w:eastAsia="宋体" w:cs="Arial"/>
                <w:position w:val="10"/>
                <w:sz w:val="16"/>
              </w:rPr>
              <w:t>1,6-</w:t>
            </w:r>
          </w:p>
          <w:p w14:paraId="3F86EA37">
            <w:pPr>
              <w:pStyle w:val="16"/>
              <w:snapToGrid w:val="0"/>
              <w:spacing w:line="276" w:lineRule="auto"/>
              <w:jc w:val="both"/>
              <w:rPr>
                <w:rFonts w:ascii="Arial" w:hAnsi="Arial" w:eastAsia="宋体" w:cs="Arial"/>
                <w:sz w:val="16"/>
                <w:szCs w:val="16"/>
              </w:rPr>
            </w:pPr>
            <w:r>
              <w:rPr>
                <w:rFonts w:ascii="Arial" w:hAnsi="Arial" w:eastAsia="宋体" w:cs="Arial"/>
                <w:spacing w:val="-3"/>
                <w:sz w:val="16"/>
              </w:rPr>
              <w:t>8,10,11,16</w:t>
            </w:r>
          </w:p>
        </w:tc>
        <w:tc>
          <w:tcPr>
            <w:tcW w:w="735" w:type="dxa"/>
            <w:tcBorders>
              <w:top w:val="single" w:color="000000" w:sz="6" w:space="0"/>
              <w:left w:val="single" w:color="000000" w:sz="6" w:space="0"/>
              <w:bottom w:val="single" w:color="000000" w:sz="6" w:space="0"/>
              <w:right w:val="single" w:color="000000" w:sz="6" w:space="0"/>
            </w:tcBorders>
          </w:tcPr>
          <w:p w14:paraId="4F536521">
            <w:pPr>
              <w:pStyle w:val="16"/>
              <w:snapToGrid w:val="0"/>
              <w:spacing w:before="3" w:line="276" w:lineRule="auto"/>
              <w:jc w:val="both"/>
              <w:rPr>
                <w:rFonts w:ascii="Arial" w:hAnsi="Arial" w:eastAsia="宋体" w:cs="Arial"/>
                <w:b/>
                <w:bCs/>
              </w:rPr>
            </w:pPr>
          </w:p>
          <w:p w14:paraId="4800B33F">
            <w:pPr>
              <w:pStyle w:val="16"/>
              <w:snapToGrid w:val="0"/>
              <w:spacing w:line="276" w:lineRule="auto"/>
              <w:jc w:val="both"/>
              <w:rPr>
                <w:rFonts w:ascii="Arial" w:hAnsi="Arial" w:eastAsia="宋体" w:cs="Arial"/>
                <w:sz w:val="24"/>
                <w:szCs w:val="24"/>
              </w:rPr>
            </w:pPr>
            <w:r>
              <w:rPr>
                <w:rFonts w:ascii="Arial" w:hAnsi="Arial" w:eastAsia="宋体" w:cs="Arial"/>
                <w:sz w:val="24"/>
              </w:rPr>
              <w:t>1437</w:t>
            </w:r>
          </w:p>
        </w:tc>
        <w:tc>
          <w:tcPr>
            <w:tcW w:w="1350" w:type="dxa"/>
            <w:tcBorders>
              <w:top w:val="single" w:color="000000" w:sz="6" w:space="0"/>
              <w:left w:val="single" w:color="000000" w:sz="6" w:space="0"/>
              <w:bottom w:val="single" w:color="000000" w:sz="6" w:space="0"/>
              <w:right w:val="single" w:color="000000" w:sz="6" w:space="0"/>
            </w:tcBorders>
          </w:tcPr>
          <w:p w14:paraId="633ECA92">
            <w:pPr>
              <w:pStyle w:val="16"/>
              <w:snapToGrid w:val="0"/>
              <w:spacing w:before="3" w:line="276" w:lineRule="auto"/>
              <w:jc w:val="both"/>
              <w:rPr>
                <w:rFonts w:ascii="Arial" w:hAnsi="Arial" w:eastAsia="宋体" w:cs="Arial"/>
                <w:b/>
                <w:bCs/>
              </w:rPr>
            </w:pPr>
          </w:p>
          <w:p w14:paraId="0D83EBA7">
            <w:pPr>
              <w:pStyle w:val="16"/>
              <w:snapToGrid w:val="0"/>
              <w:spacing w:line="276" w:lineRule="auto"/>
              <w:jc w:val="both"/>
              <w:rPr>
                <w:rFonts w:ascii="Arial" w:hAnsi="Arial" w:eastAsia="宋体" w:cs="Arial"/>
                <w:sz w:val="24"/>
                <w:szCs w:val="24"/>
              </w:rPr>
            </w:pPr>
            <w:r>
              <w:rPr>
                <w:rFonts w:ascii="Arial" w:hAnsi="Arial" w:eastAsia="宋体" w:cs="Arial"/>
                <w:sz w:val="24"/>
              </w:rPr>
              <w:t>72 -</w:t>
            </w:r>
            <w:r>
              <w:rPr>
                <w:rFonts w:ascii="Arial" w:hAnsi="Arial" w:eastAsia="宋体" w:cs="Arial"/>
                <w:spacing w:val="2"/>
                <w:sz w:val="24"/>
              </w:rPr>
              <w:t xml:space="preserve"> </w:t>
            </w:r>
            <w:r>
              <w:rPr>
                <w:rFonts w:ascii="Arial" w:hAnsi="Arial" w:eastAsia="宋体" w:cs="Arial"/>
                <w:sz w:val="24"/>
              </w:rPr>
              <w:t>100%</w:t>
            </w:r>
          </w:p>
        </w:tc>
        <w:tc>
          <w:tcPr>
            <w:tcW w:w="1440" w:type="dxa"/>
            <w:tcBorders>
              <w:top w:val="single" w:color="000000" w:sz="6" w:space="0"/>
              <w:left w:val="single" w:color="000000" w:sz="6" w:space="0"/>
              <w:bottom w:val="single" w:color="000000" w:sz="6" w:space="0"/>
              <w:right w:val="single" w:color="000000" w:sz="6" w:space="0"/>
            </w:tcBorders>
          </w:tcPr>
          <w:p w14:paraId="243A607B">
            <w:pPr>
              <w:pStyle w:val="16"/>
              <w:snapToGrid w:val="0"/>
              <w:spacing w:before="3" w:line="276" w:lineRule="auto"/>
              <w:jc w:val="both"/>
              <w:rPr>
                <w:rFonts w:ascii="Arial" w:hAnsi="Arial" w:eastAsia="宋体" w:cs="Arial"/>
                <w:b/>
                <w:bCs/>
              </w:rPr>
            </w:pPr>
          </w:p>
          <w:p w14:paraId="369E3276">
            <w:pPr>
              <w:pStyle w:val="16"/>
              <w:snapToGrid w:val="0"/>
              <w:spacing w:line="276" w:lineRule="auto"/>
              <w:jc w:val="both"/>
              <w:rPr>
                <w:rFonts w:ascii="Arial" w:hAnsi="Arial" w:eastAsia="宋体" w:cs="Arial"/>
                <w:sz w:val="24"/>
                <w:szCs w:val="24"/>
              </w:rPr>
            </w:pPr>
            <w:r>
              <w:rPr>
                <w:rFonts w:ascii="Arial" w:hAnsi="Arial" w:eastAsia="宋体" w:cs="Arial"/>
                <w:sz w:val="24"/>
              </w:rPr>
              <w:t>85-100%</w:t>
            </w:r>
          </w:p>
        </w:tc>
        <w:tc>
          <w:tcPr>
            <w:tcW w:w="2340" w:type="dxa"/>
            <w:tcBorders>
              <w:top w:val="single" w:color="000000" w:sz="6" w:space="0"/>
              <w:left w:val="single" w:color="000000" w:sz="6" w:space="0"/>
              <w:bottom w:val="single" w:color="000000" w:sz="6" w:space="0"/>
              <w:right w:val="single" w:color="000000" w:sz="6" w:space="0"/>
            </w:tcBorders>
          </w:tcPr>
          <w:p w14:paraId="7A55FDE1">
            <w:pPr>
              <w:pStyle w:val="16"/>
              <w:snapToGrid w:val="0"/>
              <w:spacing w:before="3" w:line="276" w:lineRule="auto"/>
              <w:jc w:val="both"/>
              <w:rPr>
                <w:rFonts w:ascii="Arial" w:hAnsi="Arial" w:eastAsia="宋体" w:cs="Arial"/>
                <w:b/>
                <w:bCs/>
              </w:rPr>
            </w:pPr>
          </w:p>
          <w:p w14:paraId="66A26A15">
            <w:pPr>
              <w:pStyle w:val="16"/>
              <w:snapToGrid w:val="0"/>
              <w:spacing w:line="276" w:lineRule="auto"/>
              <w:jc w:val="both"/>
              <w:rPr>
                <w:rFonts w:ascii="Arial" w:hAnsi="Arial" w:eastAsia="宋体" w:cs="Arial"/>
                <w:sz w:val="24"/>
                <w:szCs w:val="24"/>
              </w:rPr>
            </w:pPr>
            <w:r>
              <w:rPr>
                <w:rFonts w:ascii="Arial" w:hAnsi="Arial" w:eastAsia="宋体" w:cs="Arial"/>
                <w:sz w:val="24"/>
              </w:rPr>
              <w:t>0 -</w:t>
            </w:r>
            <w:r>
              <w:rPr>
                <w:rFonts w:ascii="Arial" w:hAnsi="Arial" w:eastAsia="宋体" w:cs="Arial"/>
                <w:spacing w:val="10"/>
                <w:sz w:val="24"/>
              </w:rPr>
              <w:t xml:space="preserve"> </w:t>
            </w:r>
            <w:r>
              <w:rPr>
                <w:rFonts w:ascii="Arial" w:hAnsi="Arial" w:eastAsia="宋体" w:cs="Arial"/>
                <w:spacing w:val="-3"/>
                <w:sz w:val="24"/>
              </w:rPr>
              <w:t>6%</w:t>
            </w:r>
          </w:p>
        </w:tc>
        <w:tc>
          <w:tcPr>
            <w:tcW w:w="1710" w:type="dxa"/>
            <w:tcBorders>
              <w:top w:val="single" w:color="000000" w:sz="6" w:space="0"/>
              <w:left w:val="single" w:color="000000" w:sz="6" w:space="0"/>
              <w:bottom w:val="single" w:color="000000" w:sz="6" w:space="0"/>
              <w:right w:val="single" w:color="000000" w:sz="6" w:space="0"/>
            </w:tcBorders>
          </w:tcPr>
          <w:p w14:paraId="461E18BB">
            <w:pPr>
              <w:snapToGrid w:val="0"/>
              <w:spacing w:line="276" w:lineRule="auto"/>
              <w:jc w:val="both"/>
              <w:rPr>
                <w:rFonts w:ascii="Arial" w:hAnsi="Arial" w:eastAsia="宋体" w:cs="Arial"/>
              </w:rPr>
            </w:pPr>
            <w:r>
              <w:rPr>
                <w:rFonts w:ascii="Arial" w:hAnsi="Arial" w:eastAsia="宋体" w:cs="Arial"/>
              </w:rPr>
              <w:t>横跨峡部的线性</w:t>
            </w:r>
            <w:r>
              <w:rPr>
                <w:rFonts w:ascii="Arial" w:hAnsi="Arial" w:eastAsia="宋体" w:cs="Arial"/>
                <w:lang w:eastAsia="zh-CN"/>
              </w:rPr>
              <w:t>损伤</w:t>
            </w:r>
          </w:p>
        </w:tc>
      </w:tr>
      <w:tr w14:paraId="6EAA0E3E">
        <w:tblPrEx>
          <w:tblCellMar>
            <w:top w:w="0" w:type="dxa"/>
            <w:left w:w="0" w:type="dxa"/>
            <w:bottom w:w="0" w:type="dxa"/>
            <w:right w:w="0" w:type="dxa"/>
          </w:tblCellMar>
        </w:tblPrEx>
        <w:trPr>
          <w:trHeight w:val="690" w:hRule="exact"/>
        </w:trPr>
        <w:tc>
          <w:tcPr>
            <w:tcW w:w="2055" w:type="dxa"/>
            <w:tcBorders>
              <w:top w:val="single" w:color="000000" w:sz="6" w:space="0"/>
              <w:left w:val="single" w:color="000000" w:sz="6" w:space="0"/>
              <w:bottom w:val="single" w:color="000000" w:sz="6" w:space="0"/>
              <w:right w:val="single" w:color="000000" w:sz="6" w:space="0"/>
            </w:tcBorders>
          </w:tcPr>
          <w:p w14:paraId="683AA8A7">
            <w:pPr>
              <w:pStyle w:val="16"/>
              <w:snapToGrid w:val="0"/>
              <w:spacing w:before="10" w:line="276" w:lineRule="auto"/>
              <w:jc w:val="both"/>
              <w:rPr>
                <w:rFonts w:ascii="Arial" w:hAnsi="Arial" w:eastAsia="宋体" w:cs="Arial"/>
                <w:sz w:val="16"/>
                <w:szCs w:val="16"/>
              </w:rPr>
            </w:pPr>
            <w:r>
              <w:rPr>
                <w:rFonts w:ascii="Arial" w:hAnsi="Arial" w:eastAsia="宋体" w:cs="Arial"/>
                <w:sz w:val="24"/>
              </w:rPr>
              <w:t>室性心动过速</w:t>
            </w:r>
            <w:r>
              <w:rPr>
                <w:rFonts w:ascii="Arial" w:hAnsi="Arial" w:eastAsia="宋体" w:cs="Arial"/>
                <w:position w:val="10"/>
                <w:sz w:val="16"/>
              </w:rPr>
              <w:t>10,11,16</w:t>
            </w:r>
          </w:p>
        </w:tc>
        <w:tc>
          <w:tcPr>
            <w:tcW w:w="735" w:type="dxa"/>
            <w:tcBorders>
              <w:top w:val="single" w:color="000000" w:sz="6" w:space="0"/>
              <w:left w:val="single" w:color="000000" w:sz="6" w:space="0"/>
              <w:bottom w:val="single" w:color="000000" w:sz="6" w:space="0"/>
              <w:right w:val="single" w:color="000000" w:sz="6" w:space="0"/>
            </w:tcBorders>
          </w:tcPr>
          <w:p w14:paraId="69E4FF32">
            <w:pPr>
              <w:pStyle w:val="16"/>
              <w:snapToGrid w:val="0"/>
              <w:spacing w:before="3" w:line="276" w:lineRule="auto"/>
              <w:jc w:val="both"/>
              <w:rPr>
                <w:rFonts w:ascii="Arial" w:hAnsi="Arial" w:eastAsia="宋体" w:cs="Arial"/>
                <w:b/>
                <w:bCs/>
              </w:rPr>
            </w:pPr>
          </w:p>
          <w:p w14:paraId="7E140077">
            <w:pPr>
              <w:pStyle w:val="16"/>
              <w:snapToGrid w:val="0"/>
              <w:spacing w:line="276" w:lineRule="auto"/>
              <w:jc w:val="both"/>
              <w:rPr>
                <w:rFonts w:ascii="Arial" w:hAnsi="Arial" w:eastAsia="宋体" w:cs="Arial"/>
                <w:sz w:val="24"/>
                <w:szCs w:val="24"/>
              </w:rPr>
            </w:pPr>
            <w:r>
              <w:rPr>
                <w:rFonts w:ascii="Arial" w:hAnsi="Arial" w:eastAsia="宋体" w:cs="Arial"/>
                <w:sz w:val="24"/>
              </w:rPr>
              <w:t>1463</w:t>
            </w:r>
          </w:p>
        </w:tc>
        <w:tc>
          <w:tcPr>
            <w:tcW w:w="1350" w:type="dxa"/>
            <w:tcBorders>
              <w:top w:val="single" w:color="000000" w:sz="6" w:space="0"/>
              <w:left w:val="single" w:color="000000" w:sz="6" w:space="0"/>
              <w:bottom w:val="single" w:color="000000" w:sz="6" w:space="0"/>
              <w:right w:val="single" w:color="000000" w:sz="6" w:space="0"/>
            </w:tcBorders>
          </w:tcPr>
          <w:p w14:paraId="1E244D98">
            <w:pPr>
              <w:pStyle w:val="16"/>
              <w:snapToGrid w:val="0"/>
              <w:spacing w:before="3" w:line="276" w:lineRule="auto"/>
              <w:jc w:val="both"/>
              <w:rPr>
                <w:rFonts w:ascii="Arial" w:hAnsi="Arial" w:eastAsia="宋体" w:cs="Arial"/>
                <w:b/>
                <w:bCs/>
              </w:rPr>
            </w:pPr>
          </w:p>
          <w:p w14:paraId="3C67F86C">
            <w:pPr>
              <w:pStyle w:val="16"/>
              <w:snapToGrid w:val="0"/>
              <w:spacing w:line="276" w:lineRule="auto"/>
              <w:jc w:val="both"/>
              <w:rPr>
                <w:rFonts w:ascii="Arial" w:hAnsi="Arial" w:eastAsia="宋体" w:cs="Arial"/>
                <w:sz w:val="24"/>
                <w:szCs w:val="24"/>
              </w:rPr>
            </w:pPr>
            <w:r>
              <w:rPr>
                <w:rFonts w:ascii="Arial" w:hAnsi="Arial" w:eastAsia="宋体" w:cs="Arial"/>
                <w:sz w:val="24"/>
              </w:rPr>
              <w:t>66 -</w:t>
            </w:r>
            <w:r>
              <w:rPr>
                <w:rFonts w:ascii="Arial" w:hAnsi="Arial" w:eastAsia="宋体" w:cs="Arial"/>
                <w:spacing w:val="10"/>
                <w:sz w:val="24"/>
              </w:rPr>
              <w:t xml:space="preserve"> </w:t>
            </w:r>
            <w:r>
              <w:rPr>
                <w:rFonts w:ascii="Arial" w:hAnsi="Arial" w:eastAsia="宋体" w:cs="Arial"/>
                <w:spacing w:val="-2"/>
                <w:sz w:val="24"/>
              </w:rPr>
              <w:t>85%</w:t>
            </w:r>
          </w:p>
        </w:tc>
        <w:tc>
          <w:tcPr>
            <w:tcW w:w="1440" w:type="dxa"/>
            <w:tcBorders>
              <w:top w:val="single" w:color="000000" w:sz="6" w:space="0"/>
              <w:left w:val="single" w:color="000000" w:sz="6" w:space="0"/>
              <w:bottom w:val="single" w:color="000000" w:sz="6" w:space="0"/>
              <w:right w:val="single" w:color="000000" w:sz="6" w:space="0"/>
            </w:tcBorders>
          </w:tcPr>
          <w:p w14:paraId="1DA1FD06">
            <w:pPr>
              <w:pStyle w:val="16"/>
              <w:snapToGrid w:val="0"/>
              <w:spacing w:before="3" w:line="276" w:lineRule="auto"/>
              <w:jc w:val="both"/>
              <w:rPr>
                <w:rFonts w:ascii="Arial" w:hAnsi="Arial" w:eastAsia="宋体" w:cs="Arial"/>
                <w:b/>
                <w:bCs/>
              </w:rPr>
            </w:pPr>
          </w:p>
          <w:p w14:paraId="67A9E93B">
            <w:pPr>
              <w:pStyle w:val="16"/>
              <w:snapToGrid w:val="0"/>
              <w:spacing w:line="276" w:lineRule="auto"/>
              <w:jc w:val="both"/>
              <w:rPr>
                <w:rFonts w:ascii="Arial" w:hAnsi="Arial" w:eastAsia="宋体" w:cs="Arial"/>
                <w:sz w:val="24"/>
                <w:szCs w:val="24"/>
              </w:rPr>
            </w:pPr>
            <w:r>
              <w:rPr>
                <w:rFonts w:ascii="Arial" w:hAnsi="Arial" w:eastAsia="宋体" w:cs="Arial"/>
                <w:spacing w:val="-2"/>
                <w:sz w:val="24"/>
              </w:rPr>
              <w:t>86%</w:t>
            </w:r>
          </w:p>
        </w:tc>
        <w:tc>
          <w:tcPr>
            <w:tcW w:w="2340" w:type="dxa"/>
            <w:tcBorders>
              <w:top w:val="single" w:color="000000" w:sz="6" w:space="0"/>
              <w:left w:val="single" w:color="000000" w:sz="6" w:space="0"/>
              <w:bottom w:val="single" w:color="000000" w:sz="6" w:space="0"/>
              <w:right w:val="single" w:color="000000" w:sz="6" w:space="0"/>
            </w:tcBorders>
          </w:tcPr>
          <w:p w14:paraId="2BABB4C2">
            <w:pPr>
              <w:pStyle w:val="16"/>
              <w:snapToGrid w:val="0"/>
              <w:spacing w:before="3" w:line="276" w:lineRule="auto"/>
              <w:jc w:val="both"/>
              <w:rPr>
                <w:rFonts w:ascii="Arial" w:hAnsi="Arial" w:eastAsia="宋体" w:cs="Arial"/>
                <w:b/>
                <w:bCs/>
              </w:rPr>
            </w:pPr>
          </w:p>
          <w:p w14:paraId="553964FF">
            <w:pPr>
              <w:pStyle w:val="16"/>
              <w:snapToGrid w:val="0"/>
              <w:spacing w:line="276" w:lineRule="auto"/>
              <w:jc w:val="both"/>
              <w:rPr>
                <w:rFonts w:ascii="Arial" w:hAnsi="Arial" w:eastAsia="宋体" w:cs="Arial"/>
                <w:sz w:val="24"/>
                <w:szCs w:val="24"/>
              </w:rPr>
            </w:pPr>
            <w:r>
              <w:rPr>
                <w:rFonts w:ascii="Arial" w:hAnsi="Arial" w:eastAsia="宋体" w:cs="Arial"/>
                <w:sz w:val="24"/>
              </w:rPr>
              <w:t>2 -</w:t>
            </w:r>
            <w:r>
              <w:rPr>
                <w:rFonts w:ascii="Arial" w:hAnsi="Arial" w:eastAsia="宋体" w:cs="Arial"/>
                <w:spacing w:val="10"/>
                <w:sz w:val="24"/>
              </w:rPr>
              <w:t xml:space="preserve"> </w:t>
            </w:r>
            <w:r>
              <w:rPr>
                <w:rFonts w:ascii="Arial" w:hAnsi="Arial" w:eastAsia="宋体" w:cs="Arial"/>
                <w:spacing w:val="-3"/>
                <w:sz w:val="24"/>
              </w:rPr>
              <w:t>8%</w:t>
            </w:r>
          </w:p>
        </w:tc>
        <w:tc>
          <w:tcPr>
            <w:tcW w:w="1710" w:type="dxa"/>
            <w:tcBorders>
              <w:top w:val="single" w:color="000000" w:sz="6" w:space="0"/>
              <w:left w:val="single" w:color="000000" w:sz="6" w:space="0"/>
              <w:bottom w:val="single" w:color="000000" w:sz="6" w:space="0"/>
              <w:right w:val="single" w:color="000000" w:sz="6" w:space="0"/>
            </w:tcBorders>
          </w:tcPr>
          <w:p w14:paraId="5ABCB6A9">
            <w:pPr>
              <w:snapToGrid w:val="0"/>
              <w:spacing w:line="276" w:lineRule="auto"/>
              <w:jc w:val="both"/>
              <w:rPr>
                <w:rFonts w:ascii="Arial" w:hAnsi="Arial" w:eastAsia="宋体" w:cs="Arial"/>
              </w:rPr>
            </w:pPr>
            <w:r>
              <w:rPr>
                <w:rFonts w:ascii="Arial" w:hAnsi="Arial" w:eastAsia="宋体" w:cs="Arial"/>
              </w:rPr>
              <w:t>右心室和左心室</w:t>
            </w:r>
          </w:p>
        </w:tc>
      </w:tr>
      <w:tr w14:paraId="67650A6D">
        <w:tblPrEx>
          <w:tblCellMar>
            <w:top w:w="0" w:type="dxa"/>
            <w:left w:w="0" w:type="dxa"/>
            <w:bottom w:w="0" w:type="dxa"/>
            <w:right w:w="0" w:type="dxa"/>
          </w:tblCellMar>
        </w:tblPrEx>
        <w:trPr>
          <w:trHeight w:val="675" w:hRule="exact"/>
        </w:trPr>
        <w:tc>
          <w:tcPr>
            <w:tcW w:w="2055" w:type="dxa"/>
            <w:tcBorders>
              <w:top w:val="single" w:color="000000" w:sz="6" w:space="0"/>
              <w:left w:val="single" w:color="000000" w:sz="6" w:space="0"/>
              <w:bottom w:val="single" w:color="000000" w:sz="6" w:space="0"/>
              <w:right w:val="single" w:color="000000" w:sz="6" w:space="0"/>
            </w:tcBorders>
          </w:tcPr>
          <w:p w14:paraId="7D69B4ED">
            <w:pPr>
              <w:pStyle w:val="16"/>
              <w:snapToGrid w:val="0"/>
              <w:spacing w:before="114" w:line="276" w:lineRule="auto"/>
              <w:jc w:val="both"/>
              <w:rPr>
                <w:rFonts w:ascii="Arial" w:hAnsi="Arial" w:eastAsia="宋体" w:cs="Arial"/>
                <w:sz w:val="16"/>
                <w:szCs w:val="16"/>
              </w:rPr>
            </w:pPr>
            <w:r>
              <w:rPr>
                <w:rFonts w:ascii="Arial" w:hAnsi="Arial" w:eastAsia="宋体" w:cs="Arial"/>
                <w:sz w:val="24"/>
              </w:rPr>
              <w:t>房性心动过速</w:t>
            </w:r>
            <w:r>
              <w:rPr>
                <w:rFonts w:ascii="Arial" w:hAnsi="Arial" w:eastAsia="宋体" w:cs="Arial"/>
                <w:position w:val="10"/>
                <w:sz w:val="16"/>
              </w:rPr>
              <w:t>4,16</w:t>
            </w:r>
          </w:p>
        </w:tc>
        <w:tc>
          <w:tcPr>
            <w:tcW w:w="735" w:type="dxa"/>
            <w:tcBorders>
              <w:top w:val="single" w:color="000000" w:sz="6" w:space="0"/>
              <w:left w:val="single" w:color="000000" w:sz="6" w:space="0"/>
              <w:bottom w:val="single" w:color="000000" w:sz="6" w:space="0"/>
              <w:right w:val="single" w:color="000000" w:sz="6" w:space="0"/>
            </w:tcBorders>
          </w:tcPr>
          <w:p w14:paraId="3F269046">
            <w:pPr>
              <w:pStyle w:val="16"/>
              <w:snapToGrid w:val="0"/>
              <w:spacing w:before="3" w:line="276" w:lineRule="auto"/>
              <w:jc w:val="both"/>
              <w:rPr>
                <w:rFonts w:ascii="Arial" w:hAnsi="Arial" w:eastAsia="宋体" w:cs="Arial"/>
                <w:b/>
                <w:bCs/>
              </w:rPr>
            </w:pPr>
          </w:p>
          <w:p w14:paraId="049D2B84">
            <w:pPr>
              <w:pStyle w:val="16"/>
              <w:snapToGrid w:val="0"/>
              <w:spacing w:line="276" w:lineRule="auto"/>
              <w:jc w:val="both"/>
              <w:rPr>
                <w:rFonts w:ascii="Arial" w:hAnsi="Arial" w:eastAsia="宋体" w:cs="Arial"/>
                <w:sz w:val="24"/>
                <w:szCs w:val="24"/>
              </w:rPr>
            </w:pPr>
            <w:r>
              <w:rPr>
                <w:rFonts w:ascii="Arial" w:hAnsi="Arial" w:eastAsia="宋体" w:cs="Arial"/>
                <w:sz w:val="24"/>
              </w:rPr>
              <w:t>494</w:t>
            </w:r>
          </w:p>
        </w:tc>
        <w:tc>
          <w:tcPr>
            <w:tcW w:w="1350" w:type="dxa"/>
            <w:tcBorders>
              <w:top w:val="single" w:color="000000" w:sz="6" w:space="0"/>
              <w:left w:val="single" w:color="000000" w:sz="6" w:space="0"/>
              <w:bottom w:val="single" w:color="000000" w:sz="6" w:space="0"/>
              <w:right w:val="single" w:color="000000" w:sz="6" w:space="0"/>
            </w:tcBorders>
          </w:tcPr>
          <w:p w14:paraId="3489FE79">
            <w:pPr>
              <w:pStyle w:val="16"/>
              <w:snapToGrid w:val="0"/>
              <w:spacing w:before="3" w:line="276" w:lineRule="auto"/>
              <w:jc w:val="both"/>
              <w:rPr>
                <w:rFonts w:ascii="Arial" w:hAnsi="Arial" w:eastAsia="宋体" w:cs="Arial"/>
                <w:b/>
                <w:bCs/>
              </w:rPr>
            </w:pPr>
          </w:p>
          <w:p w14:paraId="30DDB4AB">
            <w:pPr>
              <w:pStyle w:val="16"/>
              <w:snapToGrid w:val="0"/>
              <w:spacing w:line="276" w:lineRule="auto"/>
              <w:jc w:val="both"/>
              <w:rPr>
                <w:rFonts w:ascii="Arial" w:hAnsi="Arial" w:eastAsia="宋体" w:cs="Arial"/>
                <w:sz w:val="24"/>
                <w:szCs w:val="24"/>
              </w:rPr>
            </w:pPr>
            <w:r>
              <w:rPr>
                <w:rFonts w:ascii="Arial" w:hAnsi="Arial" w:eastAsia="宋体" w:cs="Arial"/>
                <w:spacing w:val="-2"/>
                <w:sz w:val="24"/>
              </w:rPr>
              <w:t>91%</w:t>
            </w:r>
          </w:p>
        </w:tc>
        <w:tc>
          <w:tcPr>
            <w:tcW w:w="1440" w:type="dxa"/>
            <w:tcBorders>
              <w:top w:val="single" w:color="000000" w:sz="6" w:space="0"/>
              <w:left w:val="single" w:color="000000" w:sz="6" w:space="0"/>
              <w:bottom w:val="single" w:color="000000" w:sz="6" w:space="0"/>
              <w:right w:val="single" w:color="000000" w:sz="6" w:space="0"/>
            </w:tcBorders>
          </w:tcPr>
          <w:p w14:paraId="403694F7">
            <w:pPr>
              <w:pStyle w:val="16"/>
              <w:snapToGrid w:val="0"/>
              <w:spacing w:before="3" w:line="276" w:lineRule="auto"/>
              <w:jc w:val="both"/>
              <w:rPr>
                <w:rFonts w:ascii="Arial" w:hAnsi="Arial" w:eastAsia="宋体" w:cs="Arial"/>
                <w:b/>
                <w:bCs/>
              </w:rPr>
            </w:pPr>
          </w:p>
          <w:p w14:paraId="5A62B3E5">
            <w:pPr>
              <w:pStyle w:val="16"/>
              <w:snapToGrid w:val="0"/>
              <w:spacing w:line="276" w:lineRule="auto"/>
              <w:jc w:val="both"/>
              <w:rPr>
                <w:rFonts w:ascii="Arial" w:hAnsi="Arial" w:eastAsia="宋体" w:cs="Arial"/>
                <w:sz w:val="24"/>
                <w:szCs w:val="24"/>
              </w:rPr>
            </w:pPr>
            <w:r>
              <w:rPr>
                <w:rFonts w:ascii="Arial" w:hAnsi="Arial" w:eastAsia="宋体" w:cs="Arial"/>
                <w:spacing w:val="-2"/>
                <w:sz w:val="24"/>
              </w:rPr>
              <w:t>85%</w:t>
            </w:r>
          </w:p>
        </w:tc>
        <w:tc>
          <w:tcPr>
            <w:tcW w:w="2340" w:type="dxa"/>
            <w:tcBorders>
              <w:top w:val="single" w:color="000000" w:sz="6" w:space="0"/>
              <w:left w:val="single" w:color="000000" w:sz="6" w:space="0"/>
              <w:bottom w:val="single" w:color="000000" w:sz="6" w:space="0"/>
              <w:right w:val="single" w:color="000000" w:sz="6" w:space="0"/>
            </w:tcBorders>
          </w:tcPr>
          <w:p w14:paraId="45AE7A69">
            <w:pPr>
              <w:pStyle w:val="16"/>
              <w:snapToGrid w:val="0"/>
              <w:spacing w:before="3" w:line="276" w:lineRule="auto"/>
              <w:jc w:val="both"/>
              <w:rPr>
                <w:rFonts w:ascii="Arial" w:hAnsi="Arial" w:eastAsia="宋体" w:cs="Arial"/>
                <w:b/>
                <w:bCs/>
              </w:rPr>
            </w:pPr>
          </w:p>
          <w:p w14:paraId="5A94F326">
            <w:pPr>
              <w:pStyle w:val="16"/>
              <w:snapToGrid w:val="0"/>
              <w:spacing w:line="276" w:lineRule="auto"/>
              <w:jc w:val="both"/>
              <w:rPr>
                <w:rFonts w:ascii="Arial" w:hAnsi="Arial" w:eastAsia="宋体" w:cs="Arial"/>
                <w:sz w:val="24"/>
                <w:szCs w:val="24"/>
              </w:rPr>
            </w:pPr>
            <w:r>
              <w:rPr>
                <w:rFonts w:ascii="Arial" w:hAnsi="Arial" w:eastAsia="宋体" w:cs="Arial"/>
                <w:spacing w:val="-3"/>
                <w:sz w:val="24"/>
              </w:rPr>
              <w:t>3%</w:t>
            </w:r>
          </w:p>
        </w:tc>
        <w:tc>
          <w:tcPr>
            <w:tcW w:w="1710" w:type="dxa"/>
            <w:tcBorders>
              <w:top w:val="single" w:color="000000" w:sz="6" w:space="0"/>
              <w:left w:val="single" w:color="000000" w:sz="6" w:space="0"/>
              <w:bottom w:val="single" w:color="000000" w:sz="6" w:space="0"/>
              <w:right w:val="single" w:color="000000" w:sz="6" w:space="0"/>
            </w:tcBorders>
          </w:tcPr>
          <w:p w14:paraId="441D1E45">
            <w:pPr>
              <w:snapToGrid w:val="0"/>
              <w:spacing w:line="276" w:lineRule="auto"/>
              <w:jc w:val="both"/>
              <w:rPr>
                <w:rFonts w:ascii="Arial" w:hAnsi="Arial" w:eastAsia="宋体" w:cs="Arial"/>
              </w:rPr>
            </w:pPr>
            <w:r>
              <w:rPr>
                <w:rFonts w:ascii="Arial" w:hAnsi="Arial" w:eastAsia="宋体" w:cs="Arial"/>
              </w:rPr>
              <w:t>左心房和右心房</w:t>
            </w:r>
          </w:p>
        </w:tc>
      </w:tr>
    </w:tbl>
    <w:p w14:paraId="1B18E036">
      <w:pPr>
        <w:snapToGrid w:val="0"/>
        <w:spacing w:before="3" w:line="276" w:lineRule="auto"/>
        <w:jc w:val="both"/>
        <w:rPr>
          <w:rFonts w:ascii="Arial" w:hAnsi="Arial" w:eastAsia="宋体" w:cs="Arial"/>
          <w:b/>
          <w:bCs/>
          <w:sz w:val="16"/>
          <w:szCs w:val="16"/>
        </w:rPr>
      </w:pPr>
    </w:p>
    <w:p w14:paraId="348591BA">
      <w:pPr>
        <w:pStyle w:val="7"/>
        <w:snapToGrid w:val="0"/>
        <w:spacing w:before="69" w:line="276" w:lineRule="auto"/>
        <w:ind w:left="0"/>
        <w:jc w:val="both"/>
        <w:rPr>
          <w:rFonts w:ascii="Arial" w:hAnsi="Arial" w:eastAsia="宋体" w:cs="Arial"/>
          <w:b w:val="0"/>
          <w:bCs w:val="0"/>
          <w:i w:val="0"/>
        </w:rPr>
      </w:pPr>
      <w:r>
        <w:rPr>
          <w:rFonts w:ascii="Arial" w:hAnsi="Arial" w:eastAsia="宋体" w:cs="Arial"/>
        </w:rPr>
        <w:t>心房</w:t>
      </w:r>
      <w:r>
        <w:rPr>
          <w:rFonts w:ascii="Arial" w:hAnsi="Arial" w:eastAsia="宋体" w:cs="Arial"/>
          <w:lang w:eastAsia="zh-CN"/>
        </w:rPr>
        <w:t>扑动</w:t>
      </w:r>
    </w:p>
    <w:p w14:paraId="64B9D781">
      <w:pPr>
        <w:pStyle w:val="8"/>
        <w:snapToGrid w:val="0"/>
        <w:spacing w:before="18" w:line="276" w:lineRule="auto"/>
        <w:ind w:left="0" w:firstLine="0"/>
        <w:jc w:val="both"/>
        <w:rPr>
          <w:rFonts w:ascii="Arial" w:hAnsi="Arial" w:eastAsia="宋体" w:cs="Arial"/>
        </w:rPr>
      </w:pPr>
    </w:p>
    <w:p w14:paraId="6B82F3DB">
      <w:pPr>
        <w:pStyle w:val="8"/>
        <w:snapToGrid w:val="0"/>
        <w:spacing w:before="18" w:line="276" w:lineRule="auto"/>
        <w:ind w:left="0" w:firstLine="0"/>
        <w:jc w:val="both"/>
        <w:rPr>
          <w:rFonts w:ascii="Arial" w:hAnsi="Arial" w:eastAsia="宋体" w:cs="Arial"/>
          <w:lang w:eastAsia="zh-CN"/>
        </w:rPr>
      </w:pPr>
      <w:r>
        <w:rPr>
          <w:rFonts w:ascii="Arial" w:hAnsi="Arial" w:eastAsia="宋体" w:cs="Arial"/>
          <w:lang w:eastAsia="zh-CN"/>
        </w:rPr>
        <w:t>心房扑动通常是一个定义明确的大折返环路，其中，临界区的定义为三尖瓣与下腔静脉之间的峡部。经证明，在多数所治疗的患者中，可成功在该位置针对心房扑动进行射频消融并横跨三尖瓣峡部创建线性损伤。使用射频消融的这种技术正成为心房扑动的一线疗法，且具有高度可预测的结果。在1998年的北美起搏与电生理学会（NASPE）前瞻性导管消融登记册中，</w:t>
      </w:r>
      <w:r>
        <w:rPr>
          <w:rFonts w:ascii="Arial" w:hAnsi="Arial" w:eastAsia="宋体" w:cs="Arial"/>
          <w:vertAlign w:val="superscript"/>
          <w:lang w:eastAsia="zh-CN"/>
        </w:rPr>
        <w:t>16</w:t>
      </w:r>
      <w:r>
        <w:rPr>
          <w:rFonts w:ascii="Arial" w:hAnsi="Arial" w:eastAsia="宋体" w:cs="Arial"/>
          <w:lang w:eastAsia="zh-CN"/>
        </w:rPr>
        <w:t xml:space="preserve"> 477例患者接受射频消融术来治疗心房扑动。主要并发症的发生率小于3％，并包括出血/血肿（3例患者）、心包填塞（1例患者）、血气胸（1例患者）、新三尖瓣反流（1例患者）、缺氧（1例患者）和低血压 （1例患者）。</w:t>
      </w:r>
    </w:p>
    <w:p w14:paraId="2A129AD4">
      <w:pPr>
        <w:snapToGrid w:val="0"/>
        <w:spacing w:before="1" w:line="276" w:lineRule="auto"/>
        <w:jc w:val="both"/>
        <w:rPr>
          <w:rFonts w:ascii="Arial" w:hAnsi="Arial" w:eastAsia="宋体" w:cs="Arial"/>
          <w:sz w:val="24"/>
          <w:szCs w:val="24"/>
          <w:lang w:eastAsia="zh-CN"/>
        </w:rPr>
      </w:pPr>
    </w:p>
    <w:p w14:paraId="47C450AE">
      <w:pPr>
        <w:pStyle w:val="7"/>
        <w:snapToGrid w:val="0"/>
        <w:spacing w:line="276" w:lineRule="auto"/>
        <w:ind w:left="0"/>
        <w:jc w:val="both"/>
        <w:rPr>
          <w:rFonts w:ascii="Arial" w:hAnsi="Arial" w:eastAsia="宋体" w:cs="Arial"/>
          <w:lang w:eastAsia="zh-CN"/>
        </w:rPr>
      </w:pPr>
      <w:r>
        <w:rPr>
          <w:rFonts w:ascii="Arial" w:hAnsi="Arial" w:eastAsia="宋体" w:cs="Arial"/>
          <w:lang w:eastAsia="zh-CN"/>
        </w:rPr>
        <w:t>室性心动过速</w:t>
      </w:r>
    </w:p>
    <w:p w14:paraId="410F40D7">
      <w:pPr>
        <w:pStyle w:val="8"/>
        <w:snapToGrid w:val="0"/>
        <w:spacing w:before="114" w:line="276" w:lineRule="auto"/>
        <w:ind w:left="0" w:firstLine="0"/>
        <w:jc w:val="both"/>
        <w:rPr>
          <w:rFonts w:ascii="Arial" w:hAnsi="Arial" w:eastAsia="宋体" w:cs="Arial"/>
          <w:lang w:eastAsia="zh-CN"/>
        </w:rPr>
      </w:pPr>
    </w:p>
    <w:p w14:paraId="33EA10C9">
      <w:pPr>
        <w:pStyle w:val="8"/>
        <w:snapToGrid w:val="0"/>
        <w:spacing w:before="18" w:line="276" w:lineRule="auto"/>
        <w:ind w:left="0" w:firstLine="0"/>
        <w:jc w:val="both"/>
        <w:rPr>
          <w:rFonts w:ascii="Arial" w:hAnsi="Arial" w:eastAsia="宋体" w:cs="Arial"/>
          <w:lang w:eastAsia="zh-CN"/>
        </w:rPr>
      </w:pPr>
      <w:r>
        <w:rPr>
          <w:rFonts w:ascii="Arial" w:hAnsi="Arial" w:eastAsia="宋体" w:cs="Arial"/>
          <w:lang w:eastAsia="zh-CN"/>
        </w:rPr>
        <w:t>用射频消融治疗室性心动过速（VT）的患者通常有缺血性VT或“正常心脏”VT。缺血性VT的患者通常具有多种合并症，并且已接受各种其他治疗方式，包括多种抗心律失常药物治疗。用于治疗VT的射频消融术需要将导管置于右心室或左心室中，这取决于潜在的基片。急性和慢性成功率并不恒定，因为患者通常具有多种VT形态，特别是在缺血性心脏病患者中，其中，原疾病基片为进行性基片。</w:t>
      </w:r>
    </w:p>
    <w:p w14:paraId="76CCAF46">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“正常心脏”VT的射频消融手术通常具有一定疗效，而缺血性VT的手术通常仅可起到一定的缓和作用（即减少因心室心动过速发作移除植入式心律转变除颤器的次数）。在1998年的NASPE前瞻性导管消融登记册中，</w:t>
      </w:r>
      <w:r>
        <w:rPr>
          <w:rFonts w:ascii="Arial" w:hAnsi="Arial" w:eastAsia="宋体" w:cs="Arial"/>
          <w:vertAlign w:val="superscript"/>
          <w:lang w:eastAsia="zh-CN"/>
        </w:rPr>
        <w:t>16</w:t>
      </w:r>
      <w:r>
        <w:rPr>
          <w:rFonts w:ascii="Arial" w:hAnsi="Arial" w:eastAsia="宋体" w:cs="Arial"/>
          <w:lang w:eastAsia="zh-CN"/>
        </w:rPr>
        <w:t>299例患者接受了射频消融术以治疗VT。主要并发症的发生率为3.8％，包括心包填塞（2例患者）、呼吸衰竭（1例患者）、败血症（1例患者）、恶化充血性心力衰竭（2例患者）和心包炎（1例患者）。</w:t>
      </w:r>
    </w:p>
    <w:p w14:paraId="2CD48482">
      <w:pPr>
        <w:snapToGrid w:val="0"/>
        <w:spacing w:before="4" w:line="300" w:lineRule="auto"/>
        <w:jc w:val="both"/>
        <w:rPr>
          <w:rFonts w:ascii="Arial" w:hAnsi="Arial" w:eastAsia="宋体" w:cs="Arial"/>
          <w:sz w:val="24"/>
          <w:szCs w:val="24"/>
          <w:lang w:eastAsia="zh-CN"/>
        </w:rPr>
      </w:pPr>
    </w:p>
    <w:p w14:paraId="6F629CF4">
      <w:pPr>
        <w:pStyle w:val="7"/>
        <w:snapToGrid w:val="0"/>
        <w:spacing w:line="300" w:lineRule="auto"/>
        <w:ind w:left="0"/>
        <w:jc w:val="both"/>
        <w:rPr>
          <w:rFonts w:ascii="Arial" w:hAnsi="Arial" w:eastAsia="宋体" w:cs="Arial"/>
          <w:b w:val="0"/>
          <w:bCs w:val="0"/>
          <w:i w:val="0"/>
          <w:lang w:eastAsia="zh-CN"/>
        </w:rPr>
      </w:pPr>
      <w:r>
        <w:rPr>
          <w:rFonts w:ascii="Arial" w:hAnsi="Arial" w:eastAsia="宋体" w:cs="Arial"/>
          <w:lang w:eastAsia="zh-CN"/>
        </w:rPr>
        <w:t>房性心动过速</w:t>
      </w:r>
    </w:p>
    <w:p w14:paraId="37DCA963">
      <w:pPr>
        <w:pStyle w:val="8"/>
        <w:snapToGrid w:val="0"/>
        <w:spacing w:before="18" w:line="300" w:lineRule="auto"/>
        <w:ind w:left="0" w:firstLine="0"/>
        <w:jc w:val="both"/>
        <w:rPr>
          <w:rFonts w:ascii="Arial" w:hAnsi="Arial" w:eastAsia="宋体" w:cs="Arial"/>
          <w:lang w:eastAsia="zh-CN"/>
        </w:rPr>
      </w:pPr>
    </w:p>
    <w:p w14:paraId="5426050E">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通常用射频消融术进行治疗的第三种房性心律失常是房性心动过速（AT）。用于治疗AT的射频消融术通常包括在右心房或左心房中创建局部损伤。AT的电生理机制包括自动化、触发式自动化和折返。由于这种心律失常具有异质性，成功率有所不同。在1998年的NASPE前瞻性导管消融登记册中，</w:t>
      </w:r>
      <w:r>
        <w:rPr>
          <w:rFonts w:ascii="Arial" w:hAnsi="Arial" w:eastAsia="宋体" w:cs="Arial"/>
          <w:vertAlign w:val="superscript"/>
          <w:lang w:eastAsia="zh-CN"/>
        </w:rPr>
        <w:t xml:space="preserve">16 </w:t>
      </w:r>
      <w:r>
        <w:rPr>
          <w:rFonts w:ascii="Arial" w:hAnsi="Arial" w:eastAsia="宋体" w:cs="Arial"/>
          <w:lang w:eastAsia="zh-CN"/>
        </w:rPr>
        <w:t>216例患者接受了房性心动过速消融术，且主要并发症的发生率为3％。所报告的并发症为心包填塞（2例患者）、暂时性AV阻滞（1例患者）、吸入性肺炎（1例患者）、右心房至主动脉瘘（1例患者）。</w:t>
      </w:r>
    </w:p>
    <w:p w14:paraId="4D6EEA38">
      <w:pPr>
        <w:snapToGrid w:val="0"/>
        <w:spacing w:before="8" w:line="300" w:lineRule="auto"/>
        <w:jc w:val="both"/>
        <w:rPr>
          <w:rFonts w:ascii="Arial" w:hAnsi="Arial" w:eastAsia="宋体" w:cs="Arial"/>
          <w:sz w:val="24"/>
          <w:szCs w:val="24"/>
          <w:lang w:eastAsia="zh-CN"/>
        </w:rPr>
      </w:pPr>
    </w:p>
    <w:p w14:paraId="462A82FF">
      <w:pPr>
        <w:snapToGrid w:val="0"/>
        <w:spacing w:line="300" w:lineRule="auto"/>
        <w:jc w:val="both"/>
        <w:rPr>
          <w:rFonts w:ascii="Arial" w:hAnsi="Arial" w:eastAsia="宋体" w:cs="Arial"/>
          <w:sz w:val="36"/>
          <w:szCs w:val="36"/>
          <w:lang w:eastAsia="zh-CN"/>
        </w:rPr>
      </w:pPr>
      <w:r>
        <w:rPr>
          <w:rFonts w:ascii="Arial" w:hAnsi="Arial" w:eastAsia="宋体" w:cs="Arial"/>
          <w:sz w:val="36"/>
          <w:lang w:eastAsia="zh-CN"/>
        </w:rPr>
        <w:t>美国心脏病学会/美国心脏协会指南</w:t>
      </w:r>
    </w:p>
    <w:p w14:paraId="4A2ED42C">
      <w:pPr>
        <w:pStyle w:val="8"/>
        <w:snapToGrid w:val="0"/>
        <w:spacing w:before="18" w:line="300" w:lineRule="auto"/>
        <w:ind w:left="0" w:firstLine="0"/>
        <w:jc w:val="both"/>
        <w:rPr>
          <w:rFonts w:ascii="Arial" w:hAnsi="Arial" w:eastAsia="宋体" w:cs="Arial"/>
          <w:lang w:eastAsia="zh-CN"/>
        </w:rPr>
      </w:pPr>
    </w:p>
    <w:p w14:paraId="44537F50">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根据临床电生理和导管消融手术的美国心脏病学会/美国心脏协会（ACC/AHA）指南，</w:t>
      </w:r>
      <w:r>
        <w:rPr>
          <w:rFonts w:ascii="Arial" w:hAnsi="Arial" w:eastAsia="宋体" w:cs="Arial"/>
          <w:vertAlign w:val="superscript"/>
          <w:lang w:eastAsia="zh-CN"/>
        </w:rPr>
        <w:t>12</w:t>
      </w:r>
      <w:r>
        <w:rPr>
          <w:rFonts w:ascii="Arial" w:hAnsi="Arial" w:eastAsia="宋体" w:cs="Arial"/>
          <w:lang w:eastAsia="zh-CN"/>
        </w:rPr>
        <w:t>将射频消融术归为用于治疗多种快速性心律失常的I类适应症。I类适应症的定义为医学界普遍认同的首选治疗方式。</w:t>
      </w:r>
    </w:p>
    <w:p w14:paraId="7A45BDE8">
      <w:pPr>
        <w:pStyle w:val="8"/>
        <w:snapToGrid w:val="0"/>
        <w:spacing w:before="18" w:line="300" w:lineRule="auto"/>
        <w:ind w:left="0" w:firstLine="0"/>
        <w:jc w:val="both"/>
        <w:rPr>
          <w:rFonts w:ascii="Arial" w:hAnsi="Arial" w:eastAsia="宋体" w:cs="Arial"/>
          <w:spacing w:val="-4"/>
          <w:lang w:eastAsia="zh-CN"/>
        </w:rPr>
      </w:pPr>
      <w:r>
        <w:rPr>
          <w:rFonts w:ascii="Arial" w:hAnsi="Arial" w:eastAsia="宋体" w:cs="Arial"/>
          <w:spacing w:val="-4"/>
          <w:lang w:eastAsia="zh-CN"/>
        </w:rPr>
        <w:t>ACC/AHA指南已被普遍接受并被纳入当前的医学规范中，并被纳入心脏电生理学培训项目当中。</w:t>
      </w:r>
    </w:p>
    <w:p w14:paraId="535B6275">
      <w:pPr>
        <w:pStyle w:val="8"/>
        <w:snapToGrid w:val="0"/>
        <w:spacing w:before="18" w:line="300" w:lineRule="auto"/>
        <w:ind w:left="0" w:firstLine="0"/>
        <w:jc w:val="both"/>
        <w:rPr>
          <w:rFonts w:ascii="Arial" w:hAnsi="Arial" w:eastAsia="宋体" w:cs="Arial"/>
          <w:lang w:eastAsia="zh-CN"/>
        </w:rPr>
      </w:pPr>
    </w:p>
    <w:p w14:paraId="3C8FE638">
      <w:pPr>
        <w:pStyle w:val="3"/>
        <w:snapToGrid w:val="0"/>
        <w:spacing w:line="300" w:lineRule="auto"/>
        <w:ind w:left="0"/>
        <w:jc w:val="both"/>
        <w:rPr>
          <w:rFonts w:ascii="Arial" w:hAnsi="Arial" w:eastAsia="宋体" w:cs="Arial"/>
          <w:b w:val="0"/>
          <w:bCs w:val="0"/>
          <w:lang w:eastAsia="zh-CN"/>
        </w:rPr>
      </w:pPr>
      <w:r>
        <w:rPr>
          <w:rFonts w:ascii="Arial" w:hAnsi="Arial" w:eastAsia="宋体" w:cs="Arial"/>
          <w:lang w:eastAsia="zh-CN"/>
        </w:rPr>
        <w:t>一般心律失常适应症</w:t>
      </w:r>
    </w:p>
    <w:p w14:paraId="3B41EF88">
      <w:pPr>
        <w:pStyle w:val="8"/>
        <w:snapToGrid w:val="0"/>
        <w:spacing w:before="103" w:line="300" w:lineRule="auto"/>
        <w:ind w:left="0" w:firstLine="0"/>
        <w:jc w:val="both"/>
        <w:rPr>
          <w:rFonts w:ascii="Arial" w:hAnsi="Arial" w:eastAsia="宋体" w:cs="Arial"/>
          <w:lang w:eastAsia="zh-CN"/>
        </w:rPr>
      </w:pPr>
    </w:p>
    <w:p w14:paraId="2C6A10DA">
      <w:pPr>
        <w:pStyle w:val="8"/>
        <w:snapToGrid w:val="0"/>
        <w:spacing w:before="103" w:line="300" w:lineRule="auto"/>
        <w:ind w:left="0" w:firstLine="0"/>
        <w:jc w:val="both"/>
        <w:rPr>
          <w:rFonts w:ascii="Arial" w:hAnsi="Arial" w:eastAsia="宋体" w:cs="Arial"/>
          <w:lang w:eastAsia="zh-CN"/>
        </w:rPr>
      </w:pPr>
      <w:r>
        <w:rPr>
          <w:rFonts w:ascii="Arial" w:hAnsi="Arial" w:eastAsia="宋体" w:cs="Arial"/>
          <w:lang w:eastAsia="zh-CN"/>
        </w:rPr>
        <w:t xml:space="preserve">如果将所公布的安全性和有效性数据以及已发布的ACC / AHA医疗指南结合，则可为支持一般心律失常适应症提供有说服力的证据。FDA鼓励生产已批准常规射频消融导管的制造商提交PMA补充材料，修订其适应症声明，即将心律失常特异性适应症修订为一般心律失常治疗适应症，例如： </w:t>
      </w:r>
    </w:p>
    <w:p w14:paraId="55F8E240">
      <w:pPr>
        <w:pStyle w:val="8"/>
        <w:snapToGrid w:val="0"/>
        <w:spacing w:before="111" w:line="300" w:lineRule="auto"/>
        <w:ind w:left="0" w:firstLine="0"/>
        <w:jc w:val="both"/>
        <w:rPr>
          <w:rFonts w:ascii="Arial" w:hAnsi="Arial" w:eastAsia="宋体" w:cs="Arial"/>
          <w:spacing w:val="-4"/>
          <w:lang w:eastAsia="zh-CN"/>
        </w:rPr>
      </w:pPr>
      <w:r>
        <w:rPr>
          <w:rFonts w:ascii="Arial" w:hAnsi="Arial" w:eastAsia="宋体" w:cs="Arial"/>
          <w:lang w:eastAsia="zh-CN"/>
        </w:rPr>
        <w:t>在心脏消融手术中创建心内膜损伤来治疗心律失常。</w:t>
      </w:r>
    </w:p>
    <w:p w14:paraId="600809CD">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PMA补充材料应说明由于一般适应症而作出的任何标签更改。</w:t>
      </w:r>
    </w:p>
    <w:p w14:paraId="4808FB7B">
      <w:pPr>
        <w:pStyle w:val="8"/>
        <w:snapToGrid w:val="0"/>
        <w:spacing w:before="18" w:line="300" w:lineRule="auto"/>
        <w:ind w:left="0" w:firstLine="0"/>
        <w:jc w:val="both"/>
        <w:rPr>
          <w:rFonts w:ascii="Arial" w:hAnsi="Arial" w:eastAsia="宋体" w:cs="Arial"/>
          <w:lang w:eastAsia="zh-CN"/>
        </w:rPr>
      </w:pPr>
    </w:p>
    <w:p w14:paraId="2F203BBE">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如果制造商打算指出用于治疗心律失常除上述以外的器械，则可能需要提供支持性临床信息。</w:t>
      </w:r>
    </w:p>
    <w:p w14:paraId="03E5F9A7">
      <w:pPr>
        <w:snapToGrid w:val="0"/>
        <w:spacing w:before="2" w:line="300" w:lineRule="auto"/>
        <w:jc w:val="both"/>
        <w:rPr>
          <w:rFonts w:ascii="Arial" w:hAnsi="Arial" w:eastAsia="宋体" w:cs="Arial"/>
          <w:lang w:eastAsia="zh-CN"/>
        </w:rPr>
      </w:pPr>
    </w:p>
    <w:p w14:paraId="1AC48EE7">
      <w:pPr>
        <w:pStyle w:val="3"/>
        <w:snapToGrid w:val="0"/>
        <w:spacing w:line="300" w:lineRule="auto"/>
        <w:ind w:left="0"/>
        <w:jc w:val="both"/>
        <w:rPr>
          <w:rFonts w:ascii="Arial" w:hAnsi="Arial" w:eastAsia="宋体" w:cs="Arial"/>
          <w:bCs w:val="0"/>
          <w:lang w:eastAsia="zh-CN"/>
        </w:rPr>
      </w:pPr>
      <w:r>
        <w:rPr>
          <w:rFonts w:ascii="Arial" w:hAnsi="Arial" w:eastAsia="宋体" w:cs="Arial"/>
          <w:bCs w:val="0"/>
          <w:lang w:eastAsia="zh-CN"/>
        </w:rPr>
        <w:t>结论</w:t>
      </w:r>
    </w:p>
    <w:p w14:paraId="4F78CBA8">
      <w:pPr>
        <w:pStyle w:val="8"/>
        <w:snapToGrid w:val="0"/>
        <w:spacing w:before="18" w:line="300" w:lineRule="auto"/>
        <w:ind w:left="0" w:firstLine="0"/>
        <w:jc w:val="both"/>
        <w:rPr>
          <w:rFonts w:ascii="Arial" w:hAnsi="Arial" w:eastAsia="宋体" w:cs="Arial"/>
          <w:lang w:eastAsia="zh-CN"/>
        </w:rPr>
      </w:pPr>
    </w:p>
    <w:p w14:paraId="00B836EE">
      <w:pPr>
        <w:pStyle w:val="8"/>
        <w:snapToGrid w:val="0"/>
        <w:spacing w:before="18" w:line="300" w:lineRule="auto"/>
        <w:ind w:left="0" w:firstLine="0"/>
        <w:jc w:val="both"/>
        <w:rPr>
          <w:rFonts w:ascii="Arial" w:hAnsi="Arial" w:eastAsia="宋体" w:cs="Arial"/>
          <w:lang w:eastAsia="zh-CN"/>
        </w:rPr>
      </w:pPr>
      <w:r>
        <w:rPr>
          <w:rFonts w:ascii="Arial" w:hAnsi="Arial" w:eastAsia="宋体" w:cs="Arial"/>
          <w:lang w:eastAsia="zh-CN"/>
        </w:rPr>
        <w:t>总之，FDA现在建议，生产已批准常规射频消融导管的制造商应考虑提交PMA补充材料，修订其适应症声明，即将心律失常特异性适应症修订为一般心律失常治疗适应症。FDA认为，有关特定心律失常的产品特异性临床数据以及可用的文献数据可支持将常规RF心脏消融导管用于更通用的心律失常治疗适应症。</w:t>
      </w:r>
    </w:p>
    <w:p w14:paraId="28F70CE6">
      <w:pPr>
        <w:snapToGrid w:val="0"/>
        <w:spacing w:before="8" w:line="300" w:lineRule="auto"/>
        <w:jc w:val="both"/>
        <w:rPr>
          <w:rFonts w:ascii="Arial" w:hAnsi="Arial" w:eastAsia="宋体" w:cs="Arial"/>
          <w:sz w:val="23"/>
          <w:szCs w:val="23"/>
          <w:lang w:eastAsia="zh-CN"/>
        </w:rPr>
      </w:pPr>
    </w:p>
    <w:p w14:paraId="460F72B7">
      <w:pPr>
        <w:pStyle w:val="3"/>
        <w:snapToGrid w:val="0"/>
        <w:spacing w:line="300" w:lineRule="auto"/>
        <w:ind w:left="0"/>
        <w:jc w:val="both"/>
        <w:rPr>
          <w:rFonts w:ascii="Arial" w:hAnsi="Arial" w:eastAsia="宋体" w:cs="Arial"/>
        </w:rPr>
      </w:pPr>
      <w:r>
        <w:rPr>
          <w:rFonts w:ascii="Arial" w:hAnsi="Arial" w:eastAsia="宋体" w:cs="Arial"/>
        </w:rPr>
        <w:t>参考书目</w:t>
      </w:r>
    </w:p>
    <w:p w14:paraId="62A8FE8C">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Kay GN, Epstein AE, Dailey SM, Plumb VJ. Role of RF ablation in the management of supraventricular arrhythmias: Experience in 760 consecutive patients. J Cardiovasc Electrophysiol 1993；4:371-389.</w:t>
      </w:r>
    </w:p>
    <w:p w14:paraId="0A3BA2F4">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Calkins H, et al. Recurrence of conduction following RF catheter ablation procedures: Relationship to ablation target and electrode temperature. J Cardiovasc Electrophysiol 1996；7:704.</w:t>
      </w:r>
    </w:p>
    <w:p w14:paraId="37A69A8A">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Ganz L, Friedman P. Supraventricular tachycardia. N Engl J Med 1995；332(3):162-173.</w:t>
      </w:r>
    </w:p>
    <w:p w14:paraId="0D06EAEE">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Wharton M, et al. Ablation of atrial tachycardia in adults. In: Huang S and Wilber D, eds Radiofrequency Catheter Ablation of Cardiac Arrhythmias. Armonk, NY: Futura, 2000 pp139.</w:t>
      </w:r>
    </w:p>
    <w:p w14:paraId="2EE41FFF">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Tai CT, et al. Long-term outcome of radiofrequency catheter ablation for typical atrial flutter: risk prediction of recurrent arrhythmias. J Cardiovasc Electrophysiol 1998；9:115- 121.</w:t>
      </w:r>
    </w:p>
    <w:p w14:paraId="2BA93B3B">
      <w:pPr>
        <w:pStyle w:val="3"/>
        <w:numPr>
          <w:ilvl w:val="0"/>
          <w:numId w:val="2"/>
        </w:numPr>
        <w:snapToGrid w:val="0"/>
        <w:spacing w:after="120" w:afterLines="50" w:line="300" w:lineRule="auto"/>
        <w:jc w:val="both"/>
        <w:rPr>
          <w:rFonts w:ascii="Arial" w:hAnsi="Arial" w:eastAsia="宋体" w:cs="Arial"/>
          <w:b w:val="0"/>
          <w:sz w:val="24"/>
          <w:lang w:eastAsia="zh-CN"/>
        </w:rPr>
      </w:pPr>
      <w:r>
        <w:rPr>
          <w:rFonts w:ascii="Arial" w:hAnsi="Arial" w:eastAsia="宋体" w:cs="Arial"/>
          <w:b w:val="0"/>
          <w:sz w:val="24"/>
          <w:lang w:eastAsia="zh-CN"/>
        </w:rPr>
        <w:t>Saxen L, et al. Result of Radiofrequency Catheter Ablation for Atrial Flutter. Am J Cardiol 1996； 77:1014-1016.</w:t>
      </w:r>
    </w:p>
    <w:p w14:paraId="4ED60233">
      <w:pPr>
        <w:widowControl/>
        <w:rPr>
          <w:rFonts w:ascii="Arial" w:hAnsi="Arial" w:eastAsia="宋体" w:cs="Arial"/>
          <w:bCs/>
          <w:sz w:val="24"/>
          <w:szCs w:val="36"/>
        </w:rPr>
      </w:pPr>
      <w:r>
        <w:rPr>
          <w:rFonts w:ascii="Arial" w:hAnsi="Arial" w:eastAsia="宋体" w:cs="Arial"/>
          <w:b/>
          <w:sz w:val="24"/>
        </w:rPr>
        <w:br w:type="page"/>
      </w:r>
    </w:p>
    <w:p w14:paraId="256F470A">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Fisher B, et al. Radiofrequency catheter abla tion of common atrial flutter in 200 patients. J Cardiovasc Electrophysiol 1996；7:1225-1233.</w:t>
      </w:r>
    </w:p>
    <w:p w14:paraId="4CDBC7A0">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Tsai CF, et al. Is 8-mm more effective than 4-mm tip electrode catheter for ablation of typical atrial flutter. Circulation 1999；100:768-771.</w:t>
      </w:r>
    </w:p>
    <w:p w14:paraId="46F640B7">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Ganz LI, Stevenson WG. Catheter mapping and ablation of ventricular tachycardia. Coron Artery Dis 1996；7(1):29-35.</w:t>
      </w:r>
    </w:p>
    <w:p w14:paraId="7687E341">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Hindricks G, et al. The Multicenter European radiofrequency survey (MERFS): Complications of radiofrequency catheter ablation of arrhythmias. Eur Heart J 1995；14:1644- 1653.</w:t>
      </w:r>
    </w:p>
    <w:p w14:paraId="50B06872">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Scheinman, M. NASPE survey on catheter ablation. PACE 1995；18:1474-1478.</w:t>
      </w:r>
    </w:p>
    <w:p w14:paraId="037249FC">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ACC/AHA Guidelines for clinical intracardiac electrophysiological catheter ablation procedures. Circulation；92:673-691.</w:t>
      </w:r>
    </w:p>
    <w:p w14:paraId="7F08DC42">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Haines DE, Watson DD. Tissue heating during radiofrequency catheter ablation: a thermodynamic model and observations in isolated perfused and superfused canine right ventricular free wall. Pacing Clin Electrophysiol 1989；12:962-76.</w:t>
      </w:r>
    </w:p>
    <w:p w14:paraId="7D612323">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Langberg JJ, et al. Radiofrequency catheter ablation: The effect of electrode size on lesion volume in vitro. PACE 1990；13:1242-1248.</w:t>
      </w:r>
    </w:p>
    <w:p w14:paraId="5FDD6ED7">
      <w:pPr>
        <w:pStyle w:val="3"/>
        <w:numPr>
          <w:ilvl w:val="0"/>
          <w:numId w:val="2"/>
        </w:numPr>
        <w:snapToGrid w:val="0"/>
        <w:spacing w:after="120" w:afterLines="50" w:line="300" w:lineRule="auto"/>
        <w:jc w:val="both"/>
        <w:rPr>
          <w:rFonts w:ascii="Arial" w:hAnsi="Arial" w:eastAsia="宋体" w:cs="Arial"/>
          <w:b w:val="0"/>
          <w:sz w:val="24"/>
        </w:rPr>
      </w:pPr>
      <w:r>
        <w:rPr>
          <w:rFonts w:ascii="Arial" w:hAnsi="Arial" w:eastAsia="宋体" w:cs="Arial"/>
          <w:b w:val="0"/>
          <w:sz w:val="24"/>
        </w:rPr>
        <w:t>Avital B, et al. Physics and engineering of transcatheter cardiac tissue ablation. J Am Coll Cardiol 1993；22:921-32.</w:t>
      </w:r>
    </w:p>
    <w:p w14:paraId="3782A016">
      <w:pPr>
        <w:pStyle w:val="3"/>
        <w:spacing w:after="120" w:afterLines="50"/>
        <w:ind w:left="377" w:hanging="376" w:hangingChars="157"/>
        <w:rPr>
          <w:rFonts w:ascii="Arial" w:hAnsi="Arial" w:eastAsia="宋体" w:cs="Arial"/>
          <w:sz w:val="24"/>
          <w:lang w:eastAsia="zh-CN"/>
        </w:rPr>
      </w:pPr>
      <w:r>
        <w:rPr>
          <w:rFonts w:ascii="Arial" w:hAnsi="Arial" w:eastAsia="宋体" w:cs="Arial"/>
          <w:b w:val="0"/>
          <w:sz w:val="24"/>
        </w:rPr>
        <w:t>16. Scheinman, M and S Huang. The 1998 NASPE Prospective Catheter Ablation Registry. PACE 2000；23:1020-1028.</w:t>
      </w:r>
    </w:p>
    <w:p w14:paraId="265A4A02">
      <w:pPr>
        <w:snapToGrid w:val="0"/>
        <w:spacing w:before="6" w:line="300" w:lineRule="auto"/>
        <w:rPr>
          <w:rFonts w:hint="eastAsia" w:eastAsia="宋体"/>
          <w:lang w:eastAsia="zh-CN"/>
        </w:rPr>
      </w:pPr>
    </w:p>
    <w:p w14:paraId="0DF80E1A">
      <w:pPr>
        <w:snapToGrid w:val="0"/>
        <w:spacing w:before="6" w:line="300" w:lineRule="auto"/>
        <w:jc w:val="center"/>
        <w:rPr>
          <w:rFonts w:hint="eastAsia" w:eastAsia="宋体"/>
          <w:lang w:eastAsia="zh-CN"/>
        </w:rPr>
      </w:pPr>
    </w:p>
    <w:p w14:paraId="16A8BB80">
      <w:pPr>
        <w:snapToGrid w:val="0"/>
        <w:spacing w:before="6"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144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522849650"/>
      <w:docPartObj>
        <w:docPartGallery w:val="AutoText"/>
      </w:docPartObj>
    </w:sdtPr>
    <w:sdtEndPr>
      <w:rPr>
        <w:rFonts w:ascii="Arial" w:hAnsi="Arial" w:cs="Arial"/>
        <w:sz w:val="24"/>
        <w:szCs w:val="24"/>
      </w:rPr>
    </w:sdtEndPr>
    <w:sdtContent>
      <w:p w14:paraId="578EF269">
        <w:pPr>
          <w:pStyle w:val="10"/>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eastAsia="zh-CN"/>
          </w:rPr>
          <w:t>4</w:t>
        </w:r>
        <w:r>
          <w:rPr>
            <w:rFonts w:ascii="Arial" w:hAnsi="Arial" w:cs="Arial"/>
            <w:sz w:val="24"/>
            <w:szCs w:val="24"/>
          </w:rPr>
          <w:fldChar w:fldCharType="end"/>
        </w:r>
      </w:p>
    </w:sdtContent>
  </w:sdt>
  <w:p w14:paraId="1976C7F0">
    <w:pPr>
      <w:spacing w:line="14" w:lineRule="auto"/>
      <w:rPr>
        <w:rFonts w:ascii="Arial" w:hAnsi="Arial" w:cs="Arial"/>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C221A"/>
    <w:multiLevelType w:val="multilevel"/>
    <w:tmpl w:val="1A8C22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FA07C7"/>
    <w:multiLevelType w:val="multilevel"/>
    <w:tmpl w:val="7EFA07C7"/>
    <w:lvl w:ilvl="0" w:tentative="0">
      <w:start w:val="240"/>
      <w:numFmt w:val="decimal"/>
      <w:lvlText w:val="(%1)"/>
      <w:lvlJc w:val="left"/>
      <w:pPr>
        <w:ind w:left="670" w:hanging="570"/>
      </w:pPr>
      <w:rPr>
        <w:rFonts w:hint="default" w:ascii="Times New Roman" w:hAnsi="Times New Roman" w:eastAsia="Times New Roman"/>
        <w:spacing w:val="-2"/>
        <w:w w:val="99"/>
        <w:sz w:val="24"/>
        <w:szCs w:val="24"/>
      </w:rPr>
    </w:lvl>
    <w:lvl w:ilvl="1" w:tentative="0">
      <w:start w:val="1"/>
      <w:numFmt w:val="bullet"/>
      <w:lvlText w:val=""/>
      <w:lvlJc w:val="left"/>
      <w:pPr>
        <w:ind w:left="840" w:hanging="360"/>
      </w:pPr>
      <w:rPr>
        <w:rFonts w:hint="default" w:ascii="Symbol" w:hAnsi="Symbol" w:eastAsia="Symbol"/>
        <w:w w:val="100"/>
        <w:sz w:val="24"/>
        <w:szCs w:val="24"/>
      </w:rPr>
    </w:lvl>
    <w:lvl w:ilvl="2" w:tentative="0">
      <w:start w:val="1"/>
      <w:numFmt w:val="bullet"/>
      <w:lvlText w:val="•"/>
      <w:lvlJc w:val="left"/>
      <w:pPr>
        <w:ind w:left="1797" w:hanging="360"/>
      </w:pPr>
      <w:rPr>
        <w:rFonts w:hint="default"/>
      </w:rPr>
    </w:lvl>
    <w:lvl w:ilvl="3" w:tentative="0">
      <w:start w:val="1"/>
      <w:numFmt w:val="bullet"/>
      <w:lvlText w:val="•"/>
      <w:lvlJc w:val="left"/>
      <w:pPr>
        <w:ind w:left="2755" w:hanging="360"/>
      </w:pPr>
      <w:rPr>
        <w:rFonts w:hint="default"/>
      </w:rPr>
    </w:lvl>
    <w:lvl w:ilvl="4" w:tentative="0">
      <w:start w:val="1"/>
      <w:numFmt w:val="bullet"/>
      <w:lvlText w:val="•"/>
      <w:lvlJc w:val="left"/>
      <w:pPr>
        <w:ind w:left="3713" w:hanging="360"/>
      </w:pPr>
      <w:rPr>
        <w:rFonts w:hint="default"/>
      </w:rPr>
    </w:lvl>
    <w:lvl w:ilvl="5" w:tentative="0">
      <w:start w:val="1"/>
      <w:numFmt w:val="bullet"/>
      <w:lvlText w:val="•"/>
      <w:lvlJc w:val="left"/>
      <w:pPr>
        <w:ind w:left="4671" w:hanging="360"/>
      </w:pPr>
      <w:rPr>
        <w:rFonts w:hint="default"/>
      </w:rPr>
    </w:lvl>
    <w:lvl w:ilvl="6" w:tentative="0">
      <w:start w:val="1"/>
      <w:numFmt w:val="bullet"/>
      <w:lvlText w:val="•"/>
      <w:lvlJc w:val="left"/>
      <w:pPr>
        <w:ind w:left="5628" w:hanging="360"/>
      </w:pPr>
      <w:rPr>
        <w:rFonts w:hint="default"/>
      </w:rPr>
    </w:lvl>
    <w:lvl w:ilvl="7" w:tentative="0">
      <w:start w:val="1"/>
      <w:numFmt w:val="bullet"/>
      <w:lvlText w:val="•"/>
      <w:lvlJc w:val="left"/>
      <w:pPr>
        <w:ind w:left="6586" w:hanging="360"/>
      </w:pPr>
      <w:rPr>
        <w:rFonts w:hint="default"/>
      </w:rPr>
    </w:lvl>
    <w:lvl w:ilvl="8" w:tentative="0">
      <w:start w:val="1"/>
      <w:numFmt w:val="bullet"/>
      <w:lvlText w:val="•"/>
      <w:lvlJc w:val="left"/>
      <w:pPr>
        <w:ind w:left="75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B3"/>
    <w:rsid w:val="00031711"/>
    <w:rsid w:val="00093ECF"/>
    <w:rsid w:val="0009455E"/>
    <w:rsid w:val="0009627F"/>
    <w:rsid w:val="000D3FEE"/>
    <w:rsid w:val="000F3CDF"/>
    <w:rsid w:val="001453A3"/>
    <w:rsid w:val="00147906"/>
    <w:rsid w:val="00154B66"/>
    <w:rsid w:val="001A5BA3"/>
    <w:rsid w:val="001B4EE1"/>
    <w:rsid w:val="0020765C"/>
    <w:rsid w:val="00245993"/>
    <w:rsid w:val="002D0D58"/>
    <w:rsid w:val="00374803"/>
    <w:rsid w:val="00391340"/>
    <w:rsid w:val="003E67F8"/>
    <w:rsid w:val="003F7EA5"/>
    <w:rsid w:val="00441FE6"/>
    <w:rsid w:val="004570F9"/>
    <w:rsid w:val="00477E8C"/>
    <w:rsid w:val="004966D6"/>
    <w:rsid w:val="004C1766"/>
    <w:rsid w:val="004C424F"/>
    <w:rsid w:val="004F04CA"/>
    <w:rsid w:val="00502B4E"/>
    <w:rsid w:val="00523BEB"/>
    <w:rsid w:val="0056258E"/>
    <w:rsid w:val="00563A20"/>
    <w:rsid w:val="005B691A"/>
    <w:rsid w:val="005C7991"/>
    <w:rsid w:val="005E58C2"/>
    <w:rsid w:val="006D0B95"/>
    <w:rsid w:val="006E6EBE"/>
    <w:rsid w:val="0074624A"/>
    <w:rsid w:val="00750C9A"/>
    <w:rsid w:val="00773888"/>
    <w:rsid w:val="007848D6"/>
    <w:rsid w:val="007E52E2"/>
    <w:rsid w:val="00900001"/>
    <w:rsid w:val="00A1022B"/>
    <w:rsid w:val="00A20B8C"/>
    <w:rsid w:val="00AB39B3"/>
    <w:rsid w:val="00B01777"/>
    <w:rsid w:val="00B1192D"/>
    <w:rsid w:val="00B9307B"/>
    <w:rsid w:val="00BE0E8A"/>
    <w:rsid w:val="00CA1385"/>
    <w:rsid w:val="00CB26D6"/>
    <w:rsid w:val="00D117F2"/>
    <w:rsid w:val="00D3287A"/>
    <w:rsid w:val="00D364CC"/>
    <w:rsid w:val="00D41314"/>
    <w:rsid w:val="00DC1433"/>
    <w:rsid w:val="00DC154E"/>
    <w:rsid w:val="00E45072"/>
    <w:rsid w:val="00E7281A"/>
    <w:rsid w:val="00E824C3"/>
    <w:rsid w:val="00E83DAF"/>
    <w:rsid w:val="00EC683D"/>
    <w:rsid w:val="00F10593"/>
    <w:rsid w:val="00F61FD8"/>
    <w:rsid w:val="00F92D59"/>
    <w:rsid w:val="00FE3ACD"/>
    <w:rsid w:val="324344F1"/>
    <w:rsid w:val="6EB5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38"/>
      <w:ind w:left="100"/>
      <w:outlineLvl w:val="0"/>
    </w:pPr>
    <w:rPr>
      <w:rFonts w:ascii="Times New Roman" w:hAnsi="Times New Roman" w:eastAsia="Times New Roman"/>
      <w:b/>
      <w:bCs/>
      <w:sz w:val="48"/>
      <w:szCs w:val="48"/>
    </w:rPr>
  </w:style>
  <w:style w:type="paragraph" w:styleId="3">
    <w:name w:val="heading 2"/>
    <w:basedOn w:val="1"/>
    <w:next w:val="4"/>
    <w:qFormat/>
    <w:uiPriority w:val="1"/>
    <w:pPr>
      <w:ind w:left="100"/>
      <w:outlineLvl w:val="1"/>
    </w:pPr>
    <w:rPr>
      <w:rFonts w:ascii="Times New Roman" w:hAnsi="Times New Roman" w:eastAsia="Times New Roman"/>
      <w:b/>
      <w:bCs/>
      <w:sz w:val="36"/>
      <w:szCs w:val="36"/>
    </w:rPr>
  </w:style>
  <w:style w:type="paragraph" w:styleId="5">
    <w:name w:val="heading 3"/>
    <w:basedOn w:val="1"/>
    <w:next w:val="1"/>
    <w:qFormat/>
    <w:uiPriority w:val="1"/>
    <w:pPr>
      <w:ind w:left="100"/>
      <w:outlineLvl w:val="2"/>
    </w:pPr>
    <w:rPr>
      <w:rFonts w:ascii="Times New Roman" w:hAnsi="Times New Roman" w:eastAsia="Times New Roman"/>
      <w:b/>
      <w:bCs/>
      <w:sz w:val="28"/>
      <w:szCs w:val="28"/>
    </w:rPr>
  </w:style>
  <w:style w:type="paragraph" w:styleId="6">
    <w:name w:val="heading 4"/>
    <w:basedOn w:val="1"/>
    <w:next w:val="1"/>
    <w:qFormat/>
    <w:uiPriority w:val="1"/>
    <w:pPr>
      <w:outlineLvl w:val="3"/>
    </w:pPr>
    <w:rPr>
      <w:rFonts w:ascii="Times New Roman" w:hAnsi="Times New Roman" w:eastAsia="Times New Roman"/>
      <w:b/>
      <w:bCs/>
      <w:sz w:val="24"/>
      <w:szCs w:val="24"/>
    </w:rPr>
  </w:style>
  <w:style w:type="paragraph" w:styleId="7">
    <w:name w:val="heading 5"/>
    <w:basedOn w:val="1"/>
    <w:next w:val="1"/>
    <w:qFormat/>
    <w:uiPriority w:val="1"/>
    <w:pPr>
      <w:ind w:left="120"/>
      <w:outlineLvl w:val="4"/>
    </w:pPr>
    <w:rPr>
      <w:rFonts w:ascii="Times New Roman" w:hAnsi="Times New Roman" w:eastAsia="Times New Roman"/>
      <w:b/>
      <w:bCs/>
      <w:i/>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8">
    <w:name w:val="Body Text"/>
    <w:basedOn w:val="1"/>
    <w:qFormat/>
    <w:uiPriority w:val="1"/>
    <w:pPr>
      <w:ind w:left="460" w:hanging="360"/>
    </w:pPr>
    <w:rPr>
      <w:rFonts w:ascii="Times New Roman" w:hAnsi="Times New Roman" w:eastAsia="Times New Roman"/>
      <w:sz w:val="24"/>
      <w:szCs w:val="24"/>
    </w:rPr>
  </w:style>
  <w:style w:type="paragraph" w:styleId="9">
    <w:name w:val="Balloon Text"/>
    <w:basedOn w:val="1"/>
    <w:link w:val="19"/>
    <w:semiHidden/>
    <w:unhideWhenUsed/>
    <w:qFormat/>
    <w:uiPriority w:val="99"/>
    <w:rPr>
      <w:sz w:val="18"/>
      <w:szCs w:val="18"/>
    </w:rPr>
  </w:style>
  <w:style w:type="paragraph" w:styleId="10">
    <w:name w:val="footer"/>
    <w:basedOn w:val="1"/>
    <w:link w:val="21"/>
    <w:unhideWhenUsed/>
    <w:uiPriority w:val="99"/>
    <w:pPr>
      <w:tabs>
        <w:tab w:val="center" w:pos="4153"/>
        <w:tab w:val="right" w:pos="8306"/>
      </w:tabs>
      <w:snapToGrid w:val="0"/>
    </w:pPr>
    <w:rPr>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列出段落1"/>
    <w:basedOn w:val="1"/>
    <w:qFormat/>
    <w:uiPriority w:val="1"/>
  </w:style>
  <w:style w:type="paragraph" w:customStyle="1" w:styleId="16">
    <w:name w:val="Table Paragraph"/>
    <w:basedOn w:val="1"/>
    <w:qFormat/>
    <w:uiPriority w:val="1"/>
  </w:style>
  <w:style w:type="paragraph" w:styleId="17">
    <w:name w:val="List Paragraph"/>
    <w:basedOn w:val="1"/>
    <w:qFormat/>
    <w:uiPriority w:val="99"/>
    <w:pPr>
      <w:ind w:firstLine="420" w:firstLineChars="200"/>
    </w:pPr>
  </w:style>
  <w:style w:type="character" w:customStyle="1" w:styleId="18">
    <w:name w:val="web-item2"/>
    <w:basedOn w:val="13"/>
    <w:qFormat/>
    <w:uiPriority w:val="0"/>
    <w:rPr>
      <w:sz w:val="18"/>
      <w:szCs w:val="18"/>
    </w:rPr>
  </w:style>
  <w:style w:type="character" w:customStyle="1" w:styleId="19">
    <w:name w:val="批注框文本 Char"/>
    <w:basedOn w:val="13"/>
    <w:link w:val="9"/>
    <w:semiHidden/>
    <w:qFormat/>
    <w:uiPriority w:val="99"/>
    <w:rPr>
      <w:sz w:val="18"/>
      <w:szCs w:val="18"/>
      <w:lang w:eastAsia="en-US"/>
    </w:rPr>
  </w:style>
  <w:style w:type="character" w:customStyle="1" w:styleId="20">
    <w:name w:val="页眉 Char"/>
    <w:basedOn w:val="13"/>
    <w:link w:val="11"/>
    <w:qFormat/>
    <w:uiPriority w:val="99"/>
    <w:rPr>
      <w:sz w:val="18"/>
      <w:szCs w:val="18"/>
      <w:lang w:eastAsia="en-US"/>
    </w:rPr>
  </w:style>
  <w:style w:type="character" w:customStyle="1" w:styleId="21">
    <w:name w:val="页脚 Char"/>
    <w:basedOn w:val="13"/>
    <w:link w:val="10"/>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3396</Words>
  <Characters>5450</Characters>
  <Lines>41</Lines>
  <Paragraphs>11</Paragraphs>
  <TotalTime>0</TotalTime>
  <ScaleCrop>false</ScaleCrop>
  <LinksUpToDate>false</LinksUpToDate>
  <CharactersWithSpaces>5778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2017-05-09T10:16:00Z</dcterms:created>
  <dc:creator>Author: ODE</dc:creator>
  <cp:keywords>Posted: 07-01-2002, ablation, catheters, cardiac</cp:keywords>
  <cp:lastModifiedBy>太极箫客</cp:lastModifiedBy>
  <dcterms:modified xsi:type="dcterms:W3CDTF">2025-08-14T07:25:04Z</dcterms:modified>
  <dc:subject>Issued: 07-01-2002</dc:subject>
  <dc:title>Cardiac Ablation Catheters Generic Arrhythmia Indications for Use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2002-07-01T00:00:00Z</vt:filetime>
  </property>
  <property fmtid="{D5CDD505-2E9C-101B-9397-08002B2CF9AE}" pid="3" name="Creator">
    <vt:lpwstr>GENERIC ABLATION FINAL - Microsoft Word</vt:lpwstr>
  </property>
  <property fmtid="{D5CDD505-2E9C-101B-9397-08002B2CF9AE}" pid="4" name="LastSaved">
    <vt:filetime>2017-03-18T00:00:00Z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32FA5F5FA38143EBBE1EA398510FC823_12</vt:lpwstr>
  </property>
</Properties>
</file>