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A887D">
      <w:pPr>
        <w:pBdr>
          <w:bottom w:val="single" w:color="auto" w:sz="4" w:space="1"/>
        </w:pBdr>
        <w:overflowPunct w:val="0"/>
        <w:snapToGrid w:val="0"/>
        <w:spacing w:after="240" w:line="300" w:lineRule="auto"/>
        <w:jc w:val="center"/>
        <w:rPr>
          <w:rFonts w:ascii="Arial" w:hAnsi="Arial" w:eastAsia="宋体" w:cs="Arial"/>
          <w:b/>
          <w:bCs/>
          <w:kern w:val="36"/>
          <w:sz w:val="52"/>
          <w:szCs w:val="52"/>
        </w:rPr>
      </w:pPr>
      <w:bookmarkStart w:id="38" w:name="_GoBack"/>
      <w:bookmarkEnd w:id="38"/>
      <w:r>
        <w:rPr>
          <w:rFonts w:ascii="Arial" w:hAnsi="Arial" w:eastAsia="宋体" w:cs="Arial"/>
          <w:b/>
          <w:bCs/>
          <w:kern w:val="36"/>
          <w:sz w:val="52"/>
          <w:szCs w:val="52"/>
        </w:rPr>
        <w:t>行业</w:t>
      </w:r>
      <w:r>
        <w:rPr>
          <w:rFonts w:hint="eastAsia" w:ascii="Arial" w:hAnsi="Arial" w:eastAsia="宋体" w:cs="Arial"/>
          <w:b/>
          <w:bCs/>
          <w:kern w:val="36"/>
          <w:sz w:val="52"/>
          <w:szCs w:val="52"/>
        </w:rPr>
        <w:t>及</w:t>
      </w:r>
      <w:r>
        <w:rPr>
          <w:rFonts w:ascii="Arial" w:hAnsi="Arial" w:eastAsia="宋体" w:cs="Arial"/>
          <w:b/>
          <w:bCs/>
          <w:kern w:val="36"/>
          <w:sz w:val="52"/>
          <w:szCs w:val="52"/>
        </w:rPr>
        <w:t>FDA工作人员指南草案</w:t>
      </w:r>
    </w:p>
    <w:p w14:paraId="4BE24014">
      <w:pPr>
        <w:overflowPunct w:val="0"/>
        <w:snapToGrid w:val="0"/>
        <w:spacing w:after="240" w:line="300" w:lineRule="auto"/>
        <w:jc w:val="center"/>
        <w:rPr>
          <w:rFonts w:ascii="Arial" w:hAnsi="Arial" w:eastAsia="宋体" w:cs="Arial"/>
          <w:b/>
          <w:bCs/>
          <w:kern w:val="36"/>
          <w:sz w:val="52"/>
          <w:szCs w:val="52"/>
        </w:rPr>
      </w:pPr>
      <w:r>
        <w:rPr>
          <w:rFonts w:ascii="Arial" w:hAnsi="Arial" w:eastAsia="宋体" w:cs="Arial"/>
          <w:b/>
          <w:bCs/>
          <w:kern w:val="36"/>
          <w:sz w:val="52"/>
          <w:szCs w:val="52"/>
        </w:rPr>
        <w:t>包含抗菌剂的医疗器械上市前通知</w:t>
      </w:r>
      <w:r>
        <w:rPr>
          <w:rFonts w:hint="eastAsia" w:ascii="Arial" w:hAnsi="Arial" w:eastAsia="宋体" w:cs="Arial"/>
          <w:b/>
          <w:bCs/>
          <w:kern w:val="36"/>
          <w:sz w:val="52"/>
          <w:szCs w:val="52"/>
        </w:rPr>
        <w:t>【</w:t>
      </w:r>
      <w:r>
        <w:rPr>
          <w:rFonts w:ascii="Arial" w:hAnsi="Arial" w:eastAsia="宋体" w:cs="Arial"/>
          <w:b/>
          <w:bCs/>
          <w:kern w:val="36"/>
          <w:sz w:val="52"/>
          <w:szCs w:val="52"/>
        </w:rPr>
        <w:t>510（k）</w:t>
      </w:r>
      <w:r>
        <w:rPr>
          <w:rFonts w:hint="eastAsia" w:ascii="Arial" w:hAnsi="Arial" w:eastAsia="宋体" w:cs="Arial"/>
          <w:b/>
          <w:bCs/>
          <w:kern w:val="36"/>
          <w:sz w:val="52"/>
          <w:szCs w:val="52"/>
        </w:rPr>
        <w:t>】</w:t>
      </w:r>
      <w:r>
        <w:rPr>
          <w:rFonts w:ascii="Arial" w:hAnsi="Arial" w:eastAsia="宋体" w:cs="Arial"/>
          <w:b/>
          <w:bCs/>
          <w:kern w:val="36"/>
          <w:sz w:val="52"/>
          <w:szCs w:val="52"/>
        </w:rPr>
        <w:t>申请</w:t>
      </w:r>
    </w:p>
    <w:p w14:paraId="0BF78C03">
      <w:pPr>
        <w:overflowPunct w:val="0"/>
        <w:snapToGrid w:val="0"/>
        <w:spacing w:after="240" w:line="300" w:lineRule="auto"/>
        <w:jc w:val="center"/>
        <w:rPr>
          <w:rFonts w:ascii="Arial" w:hAnsi="Arial" w:eastAsia="宋体" w:cs="Arial"/>
          <w:b/>
          <w:bCs/>
          <w:i/>
          <w:kern w:val="36"/>
          <w:sz w:val="32"/>
          <w:szCs w:val="32"/>
        </w:rPr>
      </w:pPr>
      <w:r>
        <w:rPr>
          <w:rFonts w:ascii="Arial" w:hAnsi="Arial" w:eastAsia="宋体" w:cs="Arial"/>
          <w:b/>
          <w:bCs/>
          <w:i/>
          <w:iCs/>
          <w:kern w:val="36"/>
          <w:sz w:val="32"/>
          <w:szCs w:val="32"/>
        </w:rPr>
        <w:t>指南草案</w:t>
      </w:r>
    </w:p>
    <w:p w14:paraId="3F4AEEA9">
      <w:pPr>
        <w:overflowPunct w:val="0"/>
        <w:snapToGrid w:val="0"/>
        <w:spacing w:line="300" w:lineRule="auto"/>
        <w:jc w:val="center"/>
        <w:rPr>
          <w:rFonts w:ascii="Arial" w:hAnsi="Arial" w:eastAsia="宋体" w:cs="Arial"/>
          <w:b/>
          <w:bCs/>
          <w:kern w:val="36"/>
          <w:sz w:val="28"/>
          <w:szCs w:val="28"/>
        </w:rPr>
      </w:pPr>
      <w:r>
        <w:rPr>
          <w:rFonts w:ascii="Arial" w:hAnsi="Arial" w:eastAsia="宋体" w:cs="Arial"/>
          <w:b/>
          <w:bCs/>
          <w:kern w:val="36"/>
          <w:sz w:val="28"/>
          <w:szCs w:val="28"/>
        </w:rPr>
        <w:t>本指导性文件</w:t>
      </w:r>
      <w:r>
        <w:rPr>
          <w:rFonts w:hint="eastAsia" w:ascii="Arial" w:hAnsi="Arial" w:eastAsia="宋体" w:cs="Arial"/>
          <w:b/>
          <w:bCs/>
          <w:kern w:val="36"/>
          <w:sz w:val="28"/>
          <w:szCs w:val="28"/>
        </w:rPr>
        <w:t>公布的目的仅用于征询意见、建议用途</w:t>
      </w:r>
      <w:r>
        <w:rPr>
          <w:rFonts w:ascii="Arial" w:hAnsi="Arial" w:eastAsia="宋体" w:cs="Arial"/>
          <w:b/>
          <w:bCs/>
          <w:kern w:val="36"/>
          <w:sz w:val="28"/>
          <w:szCs w:val="28"/>
        </w:rPr>
        <w:t>。</w:t>
      </w:r>
    </w:p>
    <w:p w14:paraId="00880C5B">
      <w:pPr>
        <w:overflowPunct w:val="0"/>
        <w:snapToGrid w:val="0"/>
        <w:spacing w:after="240" w:line="300" w:lineRule="auto"/>
        <w:jc w:val="center"/>
        <w:rPr>
          <w:rFonts w:ascii="Arial" w:hAnsi="Arial" w:eastAsia="宋体" w:cs="Arial"/>
          <w:b/>
          <w:bCs/>
          <w:kern w:val="36"/>
          <w:sz w:val="28"/>
          <w:szCs w:val="28"/>
        </w:rPr>
      </w:pPr>
      <w:r>
        <w:rPr>
          <w:rFonts w:ascii="Arial" w:hAnsi="Arial" w:eastAsia="宋体" w:cs="Arial"/>
          <w:b/>
          <w:bCs/>
          <w:kern w:val="36"/>
          <w:sz w:val="28"/>
          <w:szCs w:val="28"/>
        </w:rPr>
        <w:t>文件发布时间：2007年7月19日</w:t>
      </w:r>
    </w:p>
    <w:p w14:paraId="0FF85E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关于本草案文件的任何评论及建议，请于联邦公报刊载草案文件发布通知的90天内提交。评论请提交至食品药品监督管理局案卷管理科（HFA-305）（5630 Fishers Lane，rm. 1061，Rockville，MD 20852）。您也可以通过网址</w:t>
      </w:r>
      <w:r>
        <w:rPr>
          <w:rFonts w:ascii="Arial" w:hAnsi="Arial" w:eastAsia="宋体" w:cs="Arial"/>
          <w:sz w:val="24"/>
          <w:szCs w:val="24"/>
          <w:u w:val="single"/>
        </w:rPr>
        <w:t>http://www.fda.gov/dockets/ecomments</w:t>
      </w:r>
      <w:r>
        <w:rPr>
          <w:rFonts w:ascii="Arial" w:hAnsi="Arial" w:eastAsia="宋体" w:cs="Arial"/>
          <w:sz w:val="24"/>
          <w:szCs w:val="24"/>
        </w:rPr>
        <w:t>提交电子版评论。所有评论应注明案卷编号，该编号在联邦公报上公布的可用性通知中列出。</w:t>
      </w:r>
    </w:p>
    <w:p w14:paraId="6BADDD8A">
      <w:pPr>
        <w:overflowPunct w:val="0"/>
        <w:snapToGrid w:val="0"/>
        <w:spacing w:after="240" w:line="300" w:lineRule="auto"/>
        <w:jc w:val="left"/>
        <w:rPr>
          <w:rFonts w:ascii="Arial" w:hAnsi="Arial" w:eastAsia="宋体" w:cs="Arial"/>
          <w:bCs/>
          <w:kern w:val="36"/>
          <w:sz w:val="24"/>
          <w:szCs w:val="24"/>
        </w:rPr>
      </w:pPr>
      <w:r>
        <w:rPr>
          <w:rFonts w:ascii="Arial" w:hAnsi="Arial" w:eastAsia="宋体" w:cs="Arial"/>
          <w:sz w:val="24"/>
          <w:szCs w:val="24"/>
        </w:rPr>
        <w:t>关于草案文件的任何问题，请联系（CBER）Sheila Murphey，MD或Mechelle Rios，电话240-276-3747；或通过邮件联系，邮箱分别为</w:t>
      </w:r>
      <w:r>
        <w:rPr>
          <w:rFonts w:ascii="Arial" w:hAnsi="Arial" w:eastAsia="宋体" w:cs="Arial"/>
          <w:sz w:val="24"/>
          <w:szCs w:val="24"/>
          <w:u w:val="single"/>
        </w:rPr>
        <w:t>sheila.murphey@fda.hhs.gov</w:t>
      </w:r>
      <w:r>
        <w:rPr>
          <w:rFonts w:ascii="Arial" w:hAnsi="Arial" w:eastAsia="宋体" w:cs="Arial"/>
          <w:sz w:val="24"/>
          <w:szCs w:val="24"/>
        </w:rPr>
        <w:t>和</w:t>
      </w:r>
      <w:r>
        <w:rPr>
          <w:rFonts w:ascii="Arial" w:hAnsi="Arial" w:eastAsia="宋体" w:cs="Arial"/>
          <w:sz w:val="24"/>
          <w:szCs w:val="24"/>
          <w:u w:val="single"/>
        </w:rPr>
        <w:t>michelle.rios@fda.hhs.gov</w:t>
      </w:r>
      <w:r>
        <w:rPr>
          <w:rFonts w:ascii="Arial" w:hAnsi="Arial" w:eastAsia="宋体" w:cs="Arial"/>
          <w:sz w:val="24"/>
          <w:szCs w:val="24"/>
        </w:rPr>
        <w:t>。</w:t>
      </w:r>
    </w:p>
    <w:p w14:paraId="7F2E3692">
      <w:pPr>
        <w:overflowPunct w:val="0"/>
        <w:snapToGrid w:val="0"/>
        <w:spacing w:after="240" w:line="300" w:lineRule="auto"/>
        <w:rPr>
          <w:rFonts w:ascii="Arial" w:hAnsi="Arial" w:eastAsia="宋体" w:cs="Arial"/>
          <w:bCs/>
          <w:iCs/>
          <w:kern w:val="36"/>
          <w:szCs w:val="21"/>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191770</wp:posOffset>
            </wp:positionV>
            <wp:extent cx="895350" cy="923925"/>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95238" cy="923810"/>
                    </a:xfrm>
                    <a:prstGeom prst="rect">
                      <a:avLst/>
                    </a:prstGeom>
                  </pic:spPr>
                </pic:pic>
              </a:graphicData>
            </a:graphic>
          </wp:anchor>
        </w:drawing>
      </w:r>
    </w:p>
    <w:p w14:paraId="31B48BFF">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766B7267">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1310BF2C">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2D8D5DD4">
      <w:pPr>
        <w:overflowPunct w:val="0"/>
        <w:snapToGrid w:val="0"/>
        <w:spacing w:line="300" w:lineRule="auto"/>
        <w:jc w:val="right"/>
        <w:rPr>
          <w:rFonts w:ascii="Arial" w:hAnsi="Arial" w:eastAsia="宋体" w:cs="Arial"/>
          <w:b/>
          <w:sz w:val="24"/>
          <w:szCs w:val="24"/>
        </w:rPr>
      </w:pPr>
    </w:p>
    <w:p w14:paraId="01E4EFEA">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器械评价办公室</w:t>
      </w:r>
    </w:p>
    <w:p w14:paraId="7908C5BF">
      <w:pPr>
        <w:widowControl/>
        <w:overflowPunct w:val="0"/>
        <w:snapToGrid w:val="0"/>
        <w:spacing w:line="300" w:lineRule="auto"/>
        <w:rPr>
          <w:rFonts w:ascii="Arial" w:hAnsi="Arial" w:eastAsia="宋体" w:cs="Arial"/>
        </w:rPr>
        <w:sectPr>
          <w:headerReference r:id="rId6" w:type="first"/>
          <w:headerReference r:id="rId4" w:type="default"/>
          <w:headerReference r:id="rId5" w:type="even"/>
          <w:pgSz w:w="11906" w:h="16838"/>
          <w:pgMar w:top="1440" w:right="1800" w:bottom="1440" w:left="1800" w:header="851" w:footer="992" w:gutter="0"/>
          <w:cols w:space="425" w:num="1"/>
          <w:docGrid w:type="lines" w:linePitch="312" w:charSpace="0"/>
        </w:sectPr>
      </w:pPr>
    </w:p>
    <w:p w14:paraId="21C33717">
      <w:pPr>
        <w:overflowPunct w:val="0"/>
        <w:snapToGrid w:val="0"/>
        <w:spacing w:after="240" w:line="300" w:lineRule="auto"/>
        <w:jc w:val="center"/>
        <w:rPr>
          <w:rFonts w:ascii="Arial" w:hAnsi="Arial" w:eastAsia="宋体" w:cs="Arial"/>
          <w:b/>
          <w:bCs/>
          <w:kern w:val="36"/>
          <w:sz w:val="44"/>
          <w:szCs w:val="44"/>
        </w:rPr>
      </w:pPr>
      <w:r>
        <w:rPr>
          <w:rFonts w:ascii="Arial" w:hAnsi="Arial" w:eastAsia="宋体" w:cs="Arial"/>
          <w:b/>
          <w:bCs/>
          <w:kern w:val="36"/>
          <w:sz w:val="44"/>
          <w:szCs w:val="44"/>
        </w:rPr>
        <w:t>前言</w:t>
      </w:r>
    </w:p>
    <w:p w14:paraId="592540D3">
      <w:pPr>
        <w:overflowPunct w:val="0"/>
        <w:snapToGrid w:val="0"/>
        <w:spacing w:after="240" w:line="300" w:lineRule="auto"/>
        <w:rPr>
          <w:rFonts w:ascii="Arial" w:hAnsi="Arial" w:eastAsia="宋体" w:cs="Arial"/>
          <w:b/>
          <w:bCs/>
          <w:kern w:val="36"/>
          <w:sz w:val="28"/>
          <w:szCs w:val="28"/>
        </w:rPr>
      </w:pPr>
      <w:r>
        <w:rPr>
          <w:rFonts w:ascii="Arial" w:hAnsi="Arial" w:eastAsia="宋体" w:cs="Arial"/>
          <w:b/>
          <w:bCs/>
          <w:kern w:val="36"/>
          <w:sz w:val="28"/>
          <w:szCs w:val="28"/>
        </w:rPr>
        <w:t>其他副本</w:t>
      </w:r>
    </w:p>
    <w:p w14:paraId="251B8582">
      <w:pPr>
        <w:overflowPunct w:val="0"/>
        <w:snapToGrid w:val="0"/>
        <w:spacing w:after="240" w:line="300" w:lineRule="auto"/>
        <w:rPr>
          <w:rFonts w:ascii="Arial" w:hAnsi="Arial" w:eastAsia="宋体" w:cs="Arial"/>
        </w:rPr>
      </w:pPr>
      <w:r>
        <w:rPr>
          <w:rFonts w:ascii="Arial" w:hAnsi="Arial" w:eastAsia="宋体" w:cs="Arial"/>
        </w:rPr>
        <w:t>其他副本可从互联网获得：http://www.fda.gov/cdrh/ode/guidance/1557.pdf。您还可以向dsmica@fda.hhs.gov 发送电子邮件请求以接收本指南的电子副本，或向240-276-3151发送传真请求以接收副本。请使用文件编号</w:t>
      </w:r>
      <w:r>
        <w:rPr>
          <w:rFonts w:hint="eastAsia" w:ascii="Arial" w:hAnsi="Arial" w:eastAsia="宋体" w:cs="Arial"/>
        </w:rPr>
        <w:t>（</w:t>
      </w:r>
      <w:r>
        <w:rPr>
          <w:rFonts w:ascii="Arial" w:hAnsi="Arial" w:eastAsia="宋体" w:cs="Arial"/>
        </w:rPr>
        <w:t>1557</w:t>
      </w:r>
      <w:r>
        <w:rPr>
          <w:rFonts w:hint="eastAsia" w:ascii="Arial" w:hAnsi="Arial" w:eastAsia="宋体" w:cs="Arial"/>
        </w:rPr>
        <w:t>）</w:t>
      </w:r>
      <w:r>
        <w:rPr>
          <w:rFonts w:ascii="Arial" w:hAnsi="Arial" w:eastAsia="宋体" w:cs="Arial"/>
        </w:rPr>
        <w:t>来注明您所要求获得的指南。</w:t>
      </w:r>
    </w:p>
    <w:p w14:paraId="6F3BE2BC">
      <w:pPr>
        <w:widowControl/>
        <w:overflowPunct w:val="0"/>
        <w:snapToGrid w:val="0"/>
        <w:spacing w:line="300" w:lineRule="auto"/>
        <w:rPr>
          <w:rFonts w:ascii="Arial" w:hAnsi="Arial" w:eastAsia="宋体" w:cs="Arial"/>
        </w:rPr>
      </w:pPr>
      <w:r>
        <w:rPr>
          <w:rFonts w:ascii="Arial" w:hAnsi="Arial" w:eastAsia="宋体" w:cs="Arial"/>
        </w:rPr>
        <w:br w:type="page"/>
      </w:r>
    </w:p>
    <w:sdt>
      <w:sdtPr>
        <w:rPr>
          <w:rFonts w:asciiTheme="minorHAnsi" w:hAnsiTheme="minorHAnsi" w:eastAsiaTheme="minorEastAsia" w:cstheme="minorBidi"/>
          <w:b w:val="0"/>
          <w:bCs w:val="0"/>
          <w:color w:val="auto"/>
          <w:kern w:val="2"/>
          <w:sz w:val="21"/>
          <w:szCs w:val="22"/>
          <w:lang w:val="zh-CN"/>
        </w:rPr>
        <w:id w:val="-1418706476"/>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313B7550">
          <w:pPr>
            <w:pStyle w:val="32"/>
            <w:snapToGrid w:val="0"/>
            <w:spacing w:before="0" w:after="156" w:afterLines="50" w:line="300" w:lineRule="auto"/>
            <w:jc w:val="center"/>
            <w:rPr>
              <w:rFonts w:ascii="Arial" w:hAnsi="Arial" w:eastAsia="宋体" w:cs="Arial"/>
              <w:color w:val="auto"/>
              <w:kern w:val="36"/>
              <w:sz w:val="44"/>
              <w:szCs w:val="44"/>
            </w:rPr>
          </w:pPr>
          <w:r>
            <w:rPr>
              <w:rFonts w:ascii="Arial" w:hAnsi="Arial" w:eastAsia="宋体" w:cs="Arial"/>
              <w:color w:val="auto"/>
              <w:kern w:val="36"/>
              <w:sz w:val="44"/>
              <w:szCs w:val="44"/>
            </w:rPr>
            <w:t>目录</w:t>
          </w:r>
        </w:p>
        <w:p w14:paraId="6CE6553C">
          <w:pPr>
            <w:pStyle w:val="11"/>
            <w:tabs>
              <w:tab w:val="left" w:pos="400"/>
              <w:tab w:val="right" w:leader="dot" w:pos="8296"/>
            </w:tabs>
            <w:rPr>
              <w:rFonts w:eastAsiaTheme="minorEastAsia"/>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"_Toc497150750" </w:instrText>
          </w:r>
          <w:r>
            <w:fldChar w:fldCharType="separate"/>
          </w:r>
          <w:r>
            <w:rPr>
              <w:rStyle w:val="21"/>
              <w:rFonts w:ascii="Arial" w:hAnsi="Arial" w:cs="Arial"/>
              <w:b/>
              <w:bCs/>
              <w:kern w:val="36"/>
            </w:rPr>
            <w:t>I.</w:t>
          </w:r>
          <w:r>
            <w:rPr>
              <w:rFonts w:eastAsiaTheme="minorEastAsia"/>
            </w:rPr>
            <w:tab/>
          </w:r>
          <w:r>
            <w:rPr>
              <w:rStyle w:val="21"/>
              <w:rFonts w:hint="eastAsia" w:ascii="Arial" w:hAnsi="Arial" w:cs="Arial"/>
              <w:b/>
              <w:bCs/>
              <w:kern w:val="36"/>
            </w:rPr>
            <w:t>引言</w:t>
          </w:r>
          <w:r>
            <w:tab/>
          </w:r>
          <w:r>
            <w:fldChar w:fldCharType="begin"/>
          </w:r>
          <w:r>
            <w:instrText xml:space="preserve"> PAGEREF _Toc497150750 \h </w:instrText>
          </w:r>
          <w:r>
            <w:fldChar w:fldCharType="separate"/>
          </w:r>
          <w:r>
            <w:t>1</w:t>
          </w:r>
          <w:r>
            <w:fldChar w:fldCharType="end"/>
          </w:r>
          <w:r>
            <w:fldChar w:fldCharType="end"/>
          </w:r>
        </w:p>
        <w:p w14:paraId="5B60C9B8">
          <w:pPr>
            <w:pStyle w:val="13"/>
            <w:rPr>
              <w:rFonts w:eastAsiaTheme="minorEastAsia"/>
            </w:rPr>
          </w:pPr>
          <w:r>
            <w:fldChar w:fldCharType="begin"/>
          </w:r>
          <w:r>
            <w:instrText xml:space="preserve"> HYPERLINK \l "_Toc497150751" </w:instrText>
          </w:r>
          <w:r>
            <w:fldChar w:fldCharType="separate"/>
          </w:r>
          <w:r>
            <w:rPr>
              <w:rStyle w:val="21"/>
              <w:rFonts w:hint="eastAsia" w:ascii="Arial" w:hAnsi="Arial" w:cs="Arial"/>
              <w:b/>
            </w:rPr>
            <w:t>最小负担手段原则</w:t>
          </w:r>
          <w:r>
            <w:tab/>
          </w:r>
          <w:r>
            <w:fldChar w:fldCharType="begin"/>
          </w:r>
          <w:r>
            <w:instrText xml:space="preserve"> PAGEREF _Toc497150751 \h </w:instrText>
          </w:r>
          <w:r>
            <w:fldChar w:fldCharType="separate"/>
          </w:r>
          <w:r>
            <w:t>1</w:t>
          </w:r>
          <w:r>
            <w:fldChar w:fldCharType="end"/>
          </w:r>
          <w:r>
            <w:fldChar w:fldCharType="end"/>
          </w:r>
        </w:p>
        <w:p w14:paraId="2B27797A">
          <w:pPr>
            <w:pStyle w:val="11"/>
            <w:tabs>
              <w:tab w:val="left" w:pos="400"/>
              <w:tab w:val="right" w:leader="dot" w:pos="8296"/>
            </w:tabs>
            <w:rPr>
              <w:rFonts w:eastAsiaTheme="minorEastAsia"/>
            </w:rPr>
          </w:pPr>
          <w:r>
            <w:fldChar w:fldCharType="begin"/>
          </w:r>
          <w:r>
            <w:instrText xml:space="preserve"> HYPERLINK \l "_Toc497150752" </w:instrText>
          </w:r>
          <w:r>
            <w:fldChar w:fldCharType="separate"/>
          </w:r>
          <w:r>
            <w:rPr>
              <w:rStyle w:val="21"/>
              <w:rFonts w:ascii="Arial" w:hAnsi="Arial" w:cs="Arial"/>
              <w:b/>
              <w:bCs/>
              <w:kern w:val="36"/>
            </w:rPr>
            <w:t>II.</w:t>
          </w:r>
          <w:r>
            <w:rPr>
              <w:rFonts w:eastAsiaTheme="minorEastAsia"/>
            </w:rPr>
            <w:tab/>
          </w:r>
          <w:r>
            <w:rPr>
              <w:rStyle w:val="21"/>
              <w:rFonts w:hint="eastAsia" w:ascii="Arial" w:hAnsi="Arial" w:cs="Arial"/>
              <w:b/>
              <w:bCs/>
              <w:kern w:val="36"/>
            </w:rPr>
            <w:t>背景</w:t>
          </w:r>
          <w:r>
            <w:tab/>
          </w:r>
          <w:r>
            <w:fldChar w:fldCharType="begin"/>
          </w:r>
          <w:r>
            <w:instrText xml:space="preserve"> PAGEREF _Toc497150752 \h </w:instrText>
          </w:r>
          <w:r>
            <w:fldChar w:fldCharType="separate"/>
          </w:r>
          <w:r>
            <w:t>2</w:t>
          </w:r>
          <w:r>
            <w:fldChar w:fldCharType="end"/>
          </w:r>
          <w:r>
            <w:fldChar w:fldCharType="end"/>
          </w:r>
        </w:p>
        <w:p w14:paraId="246C0ACC">
          <w:pPr>
            <w:pStyle w:val="11"/>
            <w:tabs>
              <w:tab w:val="left" w:pos="630"/>
              <w:tab w:val="right" w:leader="dot" w:pos="8296"/>
            </w:tabs>
            <w:rPr>
              <w:rFonts w:eastAsiaTheme="minorEastAsia"/>
            </w:rPr>
          </w:pPr>
          <w:r>
            <w:fldChar w:fldCharType="begin"/>
          </w:r>
          <w:r>
            <w:instrText xml:space="preserve"> HYPERLINK \l "_Toc497150753" </w:instrText>
          </w:r>
          <w:r>
            <w:fldChar w:fldCharType="separate"/>
          </w:r>
          <w:r>
            <w:rPr>
              <w:rStyle w:val="21"/>
              <w:rFonts w:ascii="Arial" w:hAnsi="Arial" w:cs="Arial"/>
              <w:b/>
              <w:bCs/>
              <w:kern w:val="36"/>
            </w:rPr>
            <w:t>III.</w:t>
          </w:r>
          <w:r>
            <w:rPr>
              <w:rFonts w:eastAsiaTheme="minorEastAsia"/>
            </w:rPr>
            <w:tab/>
          </w:r>
          <w:r>
            <w:rPr>
              <w:rStyle w:val="21"/>
              <w:rFonts w:hint="eastAsia" w:ascii="Arial" w:hAnsi="Arial" w:cs="Arial"/>
              <w:b/>
              <w:bCs/>
              <w:kern w:val="36"/>
            </w:rPr>
            <w:t>范围</w:t>
          </w:r>
          <w:r>
            <w:tab/>
          </w:r>
          <w:r>
            <w:fldChar w:fldCharType="begin"/>
          </w:r>
          <w:r>
            <w:instrText xml:space="preserve"> PAGEREF _Toc497150753 \h </w:instrText>
          </w:r>
          <w:r>
            <w:fldChar w:fldCharType="separate"/>
          </w:r>
          <w:r>
            <w:t>3</w:t>
          </w:r>
          <w:r>
            <w:fldChar w:fldCharType="end"/>
          </w:r>
          <w:r>
            <w:fldChar w:fldCharType="end"/>
          </w:r>
        </w:p>
        <w:p w14:paraId="5FE706E7">
          <w:pPr>
            <w:pStyle w:val="13"/>
            <w:rPr>
              <w:rFonts w:eastAsiaTheme="minorEastAsia"/>
            </w:rPr>
          </w:pPr>
          <w:r>
            <w:fldChar w:fldCharType="begin"/>
          </w:r>
          <w:r>
            <w:instrText xml:space="preserve"> HYPERLINK \l "_Toc497150754" </w:instrText>
          </w:r>
          <w:r>
            <w:fldChar w:fldCharType="separate"/>
          </w:r>
          <w:r>
            <w:rPr>
              <w:rStyle w:val="21"/>
              <w:rFonts w:ascii="Arial" w:hAnsi="Arial" w:cs="Arial"/>
              <w:b/>
              <w:bCs/>
              <w:kern w:val="36"/>
            </w:rPr>
            <w:t>A.</w:t>
          </w:r>
          <w:r>
            <w:rPr>
              <w:rFonts w:eastAsiaTheme="minorEastAsia"/>
            </w:rPr>
            <w:tab/>
          </w:r>
          <w:r>
            <w:rPr>
              <w:rStyle w:val="21"/>
              <w:rFonts w:hint="eastAsia" w:ascii="Arial" w:hAnsi="Arial" w:cs="Arial"/>
              <w:b/>
              <w:bCs/>
              <w:kern w:val="36"/>
            </w:rPr>
            <w:t>除外条款</w:t>
          </w:r>
          <w:r>
            <w:tab/>
          </w:r>
          <w:r>
            <w:fldChar w:fldCharType="begin"/>
          </w:r>
          <w:r>
            <w:instrText xml:space="preserve"> PAGEREF _Toc497150754 \h </w:instrText>
          </w:r>
          <w:r>
            <w:fldChar w:fldCharType="separate"/>
          </w:r>
          <w:r>
            <w:t>3</w:t>
          </w:r>
          <w:r>
            <w:fldChar w:fldCharType="end"/>
          </w:r>
          <w:r>
            <w:fldChar w:fldCharType="end"/>
          </w:r>
        </w:p>
        <w:p w14:paraId="3D00C11B">
          <w:pPr>
            <w:pStyle w:val="13"/>
            <w:rPr>
              <w:rFonts w:eastAsiaTheme="minorEastAsia"/>
            </w:rPr>
          </w:pPr>
          <w:r>
            <w:fldChar w:fldCharType="begin"/>
          </w:r>
          <w:r>
            <w:instrText xml:space="preserve"> HYPERLINK \l "_Toc497150755" </w:instrText>
          </w:r>
          <w:r>
            <w:fldChar w:fldCharType="separate"/>
          </w:r>
          <w:r>
            <w:rPr>
              <w:rStyle w:val="21"/>
              <w:rFonts w:ascii="Arial" w:hAnsi="Arial" w:cs="Arial"/>
              <w:b/>
              <w:bCs/>
              <w:kern w:val="36"/>
            </w:rPr>
            <w:t>B.</w:t>
          </w:r>
          <w:r>
            <w:rPr>
              <w:rFonts w:eastAsiaTheme="minorEastAsia"/>
            </w:rPr>
            <w:tab/>
          </w:r>
          <w:r>
            <w:rPr>
              <w:rStyle w:val="21"/>
              <w:rFonts w:hint="eastAsia" w:ascii="Arial" w:hAnsi="Arial" w:cs="Arial"/>
              <w:b/>
              <w:bCs/>
              <w:kern w:val="36"/>
            </w:rPr>
            <w:t>其他信息</w:t>
          </w:r>
          <w:r>
            <w:tab/>
          </w:r>
          <w:r>
            <w:fldChar w:fldCharType="begin"/>
          </w:r>
          <w:r>
            <w:instrText xml:space="preserve"> PAGEREF _Toc497150755 \h </w:instrText>
          </w:r>
          <w:r>
            <w:fldChar w:fldCharType="separate"/>
          </w:r>
          <w:r>
            <w:t>3</w:t>
          </w:r>
          <w:r>
            <w:fldChar w:fldCharType="end"/>
          </w:r>
          <w:r>
            <w:fldChar w:fldCharType="end"/>
          </w:r>
        </w:p>
        <w:p w14:paraId="60FD05F1">
          <w:pPr>
            <w:pStyle w:val="11"/>
            <w:tabs>
              <w:tab w:val="left" w:pos="630"/>
              <w:tab w:val="right" w:leader="dot" w:pos="8296"/>
            </w:tabs>
            <w:rPr>
              <w:rFonts w:eastAsiaTheme="minorEastAsia"/>
            </w:rPr>
          </w:pPr>
          <w:r>
            <w:fldChar w:fldCharType="begin"/>
          </w:r>
          <w:r>
            <w:instrText xml:space="preserve"> HYPERLINK \l "_Toc497150756" </w:instrText>
          </w:r>
          <w:r>
            <w:fldChar w:fldCharType="separate"/>
          </w:r>
          <w:r>
            <w:rPr>
              <w:rStyle w:val="21"/>
              <w:rFonts w:ascii="Arial" w:hAnsi="Arial" w:cs="Arial"/>
              <w:b/>
              <w:bCs/>
              <w:kern w:val="36"/>
            </w:rPr>
            <w:t>IV.</w:t>
          </w:r>
          <w:r>
            <w:rPr>
              <w:rFonts w:eastAsiaTheme="minorEastAsia"/>
            </w:rPr>
            <w:tab/>
          </w:r>
          <w:r>
            <w:rPr>
              <w:rStyle w:val="21"/>
              <w:rFonts w:hint="eastAsia" w:ascii="Arial" w:hAnsi="Arial" w:cs="Arial"/>
              <w:b/>
              <w:bCs/>
              <w:kern w:val="36"/>
            </w:rPr>
            <w:t>对包含抗菌剂医疗器械的建议</w:t>
          </w:r>
          <w:r>
            <w:tab/>
          </w:r>
          <w:r>
            <w:fldChar w:fldCharType="begin"/>
          </w:r>
          <w:r>
            <w:instrText xml:space="preserve"> PAGEREF _Toc497150756 \h </w:instrText>
          </w:r>
          <w:r>
            <w:fldChar w:fldCharType="separate"/>
          </w:r>
          <w:r>
            <w:t>4</w:t>
          </w:r>
          <w:r>
            <w:fldChar w:fldCharType="end"/>
          </w:r>
          <w:r>
            <w:fldChar w:fldCharType="end"/>
          </w:r>
        </w:p>
        <w:p w14:paraId="65D9E649">
          <w:pPr>
            <w:pStyle w:val="11"/>
            <w:tabs>
              <w:tab w:val="left" w:pos="630"/>
              <w:tab w:val="right" w:leader="dot" w:pos="8296"/>
            </w:tabs>
            <w:rPr>
              <w:rFonts w:eastAsiaTheme="minorEastAsia"/>
            </w:rPr>
          </w:pPr>
          <w:r>
            <w:fldChar w:fldCharType="begin"/>
          </w:r>
          <w:r>
            <w:instrText xml:space="preserve"> HYPERLINK \l "_Toc497150757" </w:instrText>
          </w:r>
          <w:r>
            <w:fldChar w:fldCharType="separate"/>
          </w:r>
          <w:r>
            <w:rPr>
              <w:rStyle w:val="21"/>
              <w:rFonts w:ascii="Arial" w:hAnsi="Arial" w:cs="Arial"/>
              <w:b/>
              <w:bCs/>
              <w:kern w:val="36"/>
            </w:rPr>
            <w:t>V.</w:t>
          </w:r>
          <w:r>
            <w:rPr>
              <w:rFonts w:eastAsiaTheme="minorEastAsia"/>
            </w:rPr>
            <w:tab/>
          </w:r>
          <w:r>
            <w:rPr>
              <w:rStyle w:val="21"/>
              <w:rFonts w:hint="eastAsia" w:ascii="Arial" w:hAnsi="Arial" w:cs="Arial"/>
              <w:b/>
              <w:bCs/>
              <w:kern w:val="36"/>
            </w:rPr>
            <w:t>器械描述</w:t>
          </w:r>
          <w:r>
            <w:tab/>
          </w:r>
          <w:r>
            <w:fldChar w:fldCharType="begin"/>
          </w:r>
          <w:r>
            <w:instrText xml:space="preserve"> PAGEREF _Toc497150757 \h </w:instrText>
          </w:r>
          <w:r>
            <w:fldChar w:fldCharType="separate"/>
          </w:r>
          <w:r>
            <w:t>7</w:t>
          </w:r>
          <w:r>
            <w:fldChar w:fldCharType="end"/>
          </w:r>
          <w:r>
            <w:fldChar w:fldCharType="end"/>
          </w:r>
        </w:p>
        <w:p w14:paraId="73646265">
          <w:pPr>
            <w:pStyle w:val="13"/>
            <w:rPr>
              <w:rFonts w:eastAsiaTheme="minorEastAsia"/>
            </w:rPr>
          </w:pPr>
          <w:r>
            <w:fldChar w:fldCharType="begin"/>
          </w:r>
          <w:r>
            <w:instrText xml:space="preserve"> HYPERLINK \l "_Toc497150758" </w:instrText>
          </w:r>
          <w:r>
            <w:fldChar w:fldCharType="separate"/>
          </w:r>
          <w:r>
            <w:rPr>
              <w:rStyle w:val="21"/>
              <w:rFonts w:ascii="Arial" w:hAnsi="Arial" w:cs="Arial"/>
              <w:b/>
              <w:bCs/>
              <w:kern w:val="36"/>
            </w:rPr>
            <w:t>A.</w:t>
          </w:r>
          <w:r>
            <w:rPr>
              <w:rFonts w:eastAsiaTheme="minorEastAsia"/>
            </w:rPr>
            <w:tab/>
          </w:r>
          <w:r>
            <w:rPr>
              <w:rStyle w:val="21"/>
              <w:rFonts w:hint="eastAsia" w:ascii="Arial" w:hAnsi="Arial" w:cs="Arial"/>
              <w:b/>
              <w:bCs/>
              <w:kern w:val="36"/>
            </w:rPr>
            <w:t>适应症</w:t>
          </w:r>
          <w:r>
            <w:tab/>
          </w:r>
          <w:r>
            <w:fldChar w:fldCharType="begin"/>
          </w:r>
          <w:r>
            <w:instrText xml:space="preserve"> PAGEREF _Toc497150758 \h </w:instrText>
          </w:r>
          <w:r>
            <w:fldChar w:fldCharType="separate"/>
          </w:r>
          <w:r>
            <w:t>7</w:t>
          </w:r>
          <w:r>
            <w:fldChar w:fldCharType="end"/>
          </w:r>
          <w:r>
            <w:fldChar w:fldCharType="end"/>
          </w:r>
        </w:p>
        <w:p w14:paraId="6D1FC1C3">
          <w:pPr>
            <w:pStyle w:val="13"/>
            <w:rPr>
              <w:rFonts w:eastAsiaTheme="minorEastAsia"/>
            </w:rPr>
          </w:pPr>
          <w:r>
            <w:fldChar w:fldCharType="begin"/>
          </w:r>
          <w:r>
            <w:instrText xml:space="preserve"> HYPERLINK \l "_Toc497150759" </w:instrText>
          </w:r>
          <w:r>
            <w:fldChar w:fldCharType="separate"/>
          </w:r>
          <w:r>
            <w:rPr>
              <w:rStyle w:val="21"/>
              <w:rFonts w:ascii="Arial" w:hAnsi="Arial" w:cs="Arial"/>
              <w:b/>
              <w:bCs/>
              <w:kern w:val="36"/>
            </w:rPr>
            <w:t>B.</w:t>
          </w:r>
          <w:r>
            <w:rPr>
              <w:rFonts w:eastAsiaTheme="minorEastAsia"/>
            </w:rPr>
            <w:tab/>
          </w:r>
          <w:r>
            <w:rPr>
              <w:rStyle w:val="21"/>
              <w:rFonts w:hint="eastAsia" w:ascii="Arial" w:hAnsi="Arial" w:cs="Arial"/>
              <w:b/>
              <w:bCs/>
              <w:kern w:val="36"/>
            </w:rPr>
            <w:t>医疗器械添加抗菌剂的原因</w:t>
          </w:r>
          <w:r>
            <w:tab/>
          </w:r>
          <w:r>
            <w:fldChar w:fldCharType="begin"/>
          </w:r>
          <w:r>
            <w:instrText xml:space="preserve"> PAGEREF _Toc497150759 \h </w:instrText>
          </w:r>
          <w:r>
            <w:fldChar w:fldCharType="separate"/>
          </w:r>
          <w:r>
            <w:t>7</w:t>
          </w:r>
          <w:r>
            <w:fldChar w:fldCharType="end"/>
          </w:r>
          <w:r>
            <w:fldChar w:fldCharType="end"/>
          </w:r>
        </w:p>
        <w:p w14:paraId="76594674">
          <w:pPr>
            <w:pStyle w:val="13"/>
            <w:rPr>
              <w:rFonts w:eastAsiaTheme="minorEastAsia"/>
            </w:rPr>
          </w:pPr>
          <w:r>
            <w:fldChar w:fldCharType="begin"/>
          </w:r>
          <w:r>
            <w:instrText xml:space="preserve"> HYPERLINK \l "_Toc497150760" </w:instrText>
          </w:r>
          <w:r>
            <w:fldChar w:fldCharType="separate"/>
          </w:r>
          <w:r>
            <w:rPr>
              <w:rStyle w:val="21"/>
              <w:rFonts w:ascii="Arial" w:hAnsi="Arial" w:cs="Arial"/>
              <w:b/>
              <w:bCs/>
              <w:kern w:val="36"/>
            </w:rPr>
            <w:t>C.</w:t>
          </w:r>
          <w:r>
            <w:rPr>
              <w:rFonts w:eastAsiaTheme="minorEastAsia"/>
            </w:rPr>
            <w:tab/>
          </w:r>
          <w:r>
            <w:rPr>
              <w:rStyle w:val="21"/>
              <w:rFonts w:hint="eastAsia" w:ascii="Arial" w:hAnsi="Arial" w:cs="Arial"/>
              <w:b/>
              <w:bCs/>
              <w:kern w:val="36"/>
            </w:rPr>
            <w:t>含抗菌剂医疗器械的详细描述</w:t>
          </w:r>
          <w:r>
            <w:tab/>
          </w:r>
          <w:r>
            <w:fldChar w:fldCharType="begin"/>
          </w:r>
          <w:r>
            <w:instrText xml:space="preserve"> PAGEREF _Toc497150760 \h </w:instrText>
          </w:r>
          <w:r>
            <w:fldChar w:fldCharType="separate"/>
          </w:r>
          <w:r>
            <w:t>7</w:t>
          </w:r>
          <w:r>
            <w:fldChar w:fldCharType="end"/>
          </w:r>
          <w:r>
            <w:fldChar w:fldCharType="end"/>
          </w:r>
        </w:p>
        <w:p w14:paraId="59F0D0A4">
          <w:pPr>
            <w:pStyle w:val="11"/>
            <w:tabs>
              <w:tab w:val="left" w:pos="630"/>
              <w:tab w:val="right" w:leader="dot" w:pos="8296"/>
            </w:tabs>
            <w:rPr>
              <w:rFonts w:eastAsiaTheme="minorEastAsia"/>
            </w:rPr>
          </w:pPr>
          <w:r>
            <w:fldChar w:fldCharType="begin"/>
          </w:r>
          <w:r>
            <w:instrText xml:space="preserve"> HYPERLINK \l "_Toc497150761" </w:instrText>
          </w:r>
          <w:r>
            <w:fldChar w:fldCharType="separate"/>
          </w:r>
          <w:r>
            <w:rPr>
              <w:rStyle w:val="21"/>
              <w:rFonts w:ascii="Arial" w:hAnsi="Arial" w:cs="Arial"/>
              <w:b/>
              <w:bCs/>
              <w:kern w:val="36"/>
            </w:rPr>
            <w:t>VI.</w:t>
          </w:r>
          <w:r>
            <w:rPr>
              <w:rFonts w:eastAsiaTheme="minorEastAsia"/>
            </w:rPr>
            <w:tab/>
          </w:r>
          <w:r>
            <w:rPr>
              <w:rStyle w:val="21"/>
              <w:rFonts w:hint="eastAsia" w:ascii="Arial" w:hAnsi="Arial" w:cs="Arial"/>
              <w:b/>
              <w:bCs/>
              <w:kern w:val="36"/>
            </w:rPr>
            <w:t>抗菌剂的特性</w:t>
          </w:r>
          <w:r>
            <w:tab/>
          </w:r>
          <w:r>
            <w:fldChar w:fldCharType="begin"/>
          </w:r>
          <w:r>
            <w:instrText xml:space="preserve"> PAGEREF _Toc497150761 \h </w:instrText>
          </w:r>
          <w:r>
            <w:fldChar w:fldCharType="separate"/>
          </w:r>
          <w:r>
            <w:t>8</w:t>
          </w:r>
          <w:r>
            <w:fldChar w:fldCharType="end"/>
          </w:r>
          <w:r>
            <w:fldChar w:fldCharType="end"/>
          </w:r>
        </w:p>
        <w:p w14:paraId="06811134">
          <w:pPr>
            <w:pStyle w:val="13"/>
            <w:rPr>
              <w:rFonts w:eastAsiaTheme="minorEastAsia"/>
            </w:rPr>
          </w:pPr>
          <w:r>
            <w:fldChar w:fldCharType="begin"/>
          </w:r>
          <w:r>
            <w:instrText xml:space="preserve"> HYPERLINK \l "_Toc497150762" </w:instrText>
          </w:r>
          <w:r>
            <w:fldChar w:fldCharType="separate"/>
          </w:r>
          <w:r>
            <w:rPr>
              <w:rStyle w:val="21"/>
              <w:rFonts w:ascii="Arial" w:hAnsi="Arial" w:cs="Arial"/>
              <w:b/>
              <w:bCs/>
              <w:kern w:val="36"/>
            </w:rPr>
            <w:t>A.</w:t>
          </w:r>
          <w:r>
            <w:rPr>
              <w:rFonts w:eastAsiaTheme="minorEastAsia"/>
            </w:rPr>
            <w:tab/>
          </w:r>
          <w:r>
            <w:rPr>
              <w:rStyle w:val="21"/>
              <w:rFonts w:hint="eastAsia" w:ascii="Arial" w:hAnsi="Arial" w:cs="Arial"/>
              <w:b/>
              <w:bCs/>
              <w:kern w:val="36"/>
            </w:rPr>
            <w:t>特性和配方</w:t>
          </w:r>
          <w:r>
            <w:tab/>
          </w:r>
          <w:r>
            <w:fldChar w:fldCharType="begin"/>
          </w:r>
          <w:r>
            <w:instrText xml:space="preserve"> PAGEREF _Toc497150762 \h </w:instrText>
          </w:r>
          <w:r>
            <w:fldChar w:fldCharType="separate"/>
          </w:r>
          <w:r>
            <w:t>8</w:t>
          </w:r>
          <w:r>
            <w:fldChar w:fldCharType="end"/>
          </w:r>
          <w:r>
            <w:fldChar w:fldCharType="end"/>
          </w:r>
        </w:p>
        <w:p w14:paraId="207DA167">
          <w:pPr>
            <w:pStyle w:val="13"/>
            <w:rPr>
              <w:rFonts w:eastAsiaTheme="minorEastAsia"/>
            </w:rPr>
          </w:pPr>
          <w:r>
            <w:fldChar w:fldCharType="begin"/>
          </w:r>
          <w:r>
            <w:instrText xml:space="preserve"> HYPERLINK \l "_Toc497150763" </w:instrText>
          </w:r>
          <w:r>
            <w:fldChar w:fldCharType="separate"/>
          </w:r>
          <w:r>
            <w:rPr>
              <w:rStyle w:val="21"/>
              <w:rFonts w:ascii="Arial" w:hAnsi="Arial" w:cs="Arial"/>
              <w:b/>
              <w:bCs/>
              <w:kern w:val="36"/>
            </w:rPr>
            <w:t>B.</w:t>
          </w:r>
          <w:r>
            <w:rPr>
              <w:rFonts w:eastAsiaTheme="minorEastAsia"/>
            </w:rPr>
            <w:tab/>
          </w:r>
          <w:r>
            <w:rPr>
              <w:rStyle w:val="21"/>
              <w:rFonts w:hint="eastAsia" w:ascii="Arial" w:hAnsi="Arial" w:cs="Arial"/>
              <w:b/>
              <w:bCs/>
              <w:kern w:val="36"/>
            </w:rPr>
            <w:t>浓度</w:t>
          </w:r>
          <w:r>
            <w:tab/>
          </w:r>
          <w:r>
            <w:fldChar w:fldCharType="begin"/>
          </w:r>
          <w:r>
            <w:instrText xml:space="preserve"> PAGEREF _Toc497150763 \h </w:instrText>
          </w:r>
          <w:r>
            <w:fldChar w:fldCharType="separate"/>
          </w:r>
          <w:r>
            <w:t>9</w:t>
          </w:r>
          <w:r>
            <w:fldChar w:fldCharType="end"/>
          </w:r>
          <w:r>
            <w:fldChar w:fldCharType="end"/>
          </w:r>
        </w:p>
        <w:p w14:paraId="0EA5B806">
          <w:pPr>
            <w:pStyle w:val="13"/>
            <w:rPr>
              <w:rFonts w:eastAsiaTheme="minorEastAsia"/>
            </w:rPr>
          </w:pPr>
          <w:r>
            <w:fldChar w:fldCharType="begin"/>
          </w:r>
          <w:r>
            <w:instrText xml:space="preserve"> HYPERLINK \l "_Toc497150764" </w:instrText>
          </w:r>
          <w:r>
            <w:fldChar w:fldCharType="separate"/>
          </w:r>
          <w:r>
            <w:rPr>
              <w:rStyle w:val="21"/>
              <w:rFonts w:ascii="Arial" w:hAnsi="Arial" w:cs="Arial"/>
              <w:b/>
              <w:bCs/>
              <w:kern w:val="36"/>
            </w:rPr>
            <w:t>C.</w:t>
          </w:r>
          <w:r>
            <w:rPr>
              <w:rFonts w:eastAsiaTheme="minorEastAsia"/>
            </w:rPr>
            <w:tab/>
          </w:r>
          <w:r>
            <w:rPr>
              <w:rStyle w:val="21"/>
              <w:rFonts w:hint="eastAsia" w:ascii="Arial" w:hAnsi="Arial" w:cs="Arial"/>
              <w:b/>
              <w:bCs/>
              <w:kern w:val="36"/>
            </w:rPr>
            <w:t>应用于器械的方法</w:t>
          </w:r>
          <w:r>
            <w:tab/>
          </w:r>
          <w:r>
            <w:fldChar w:fldCharType="begin"/>
          </w:r>
          <w:r>
            <w:instrText xml:space="preserve"> PAGEREF _Toc497150764 \h </w:instrText>
          </w:r>
          <w:r>
            <w:fldChar w:fldCharType="separate"/>
          </w:r>
          <w:r>
            <w:t>9</w:t>
          </w:r>
          <w:r>
            <w:fldChar w:fldCharType="end"/>
          </w:r>
          <w:r>
            <w:fldChar w:fldCharType="end"/>
          </w:r>
        </w:p>
        <w:p w14:paraId="06917C39">
          <w:pPr>
            <w:pStyle w:val="13"/>
            <w:rPr>
              <w:rFonts w:eastAsiaTheme="minorEastAsia"/>
            </w:rPr>
          </w:pPr>
          <w:r>
            <w:fldChar w:fldCharType="begin"/>
          </w:r>
          <w:r>
            <w:instrText xml:space="preserve"> HYPERLINK \l "_Toc497150765" </w:instrText>
          </w:r>
          <w:r>
            <w:fldChar w:fldCharType="separate"/>
          </w:r>
          <w:r>
            <w:rPr>
              <w:rStyle w:val="21"/>
              <w:rFonts w:ascii="Arial" w:hAnsi="Arial" w:cs="Arial"/>
              <w:b/>
              <w:bCs/>
              <w:kern w:val="36"/>
            </w:rPr>
            <w:t>D.</w:t>
          </w:r>
          <w:r>
            <w:rPr>
              <w:rFonts w:eastAsiaTheme="minorEastAsia"/>
            </w:rPr>
            <w:tab/>
          </w:r>
          <w:r>
            <w:rPr>
              <w:rStyle w:val="21"/>
              <w:rFonts w:hint="eastAsia" w:ascii="Arial" w:hAnsi="Arial" w:cs="Arial"/>
              <w:b/>
              <w:bCs/>
              <w:kern w:val="36"/>
            </w:rPr>
            <w:t>作用机制</w:t>
          </w:r>
          <w:r>
            <w:tab/>
          </w:r>
          <w:r>
            <w:fldChar w:fldCharType="begin"/>
          </w:r>
          <w:r>
            <w:instrText xml:space="preserve"> PAGEREF _Toc497150765 \h </w:instrText>
          </w:r>
          <w:r>
            <w:fldChar w:fldCharType="separate"/>
          </w:r>
          <w:r>
            <w:t>9</w:t>
          </w:r>
          <w:r>
            <w:fldChar w:fldCharType="end"/>
          </w:r>
          <w:r>
            <w:fldChar w:fldCharType="end"/>
          </w:r>
        </w:p>
        <w:p w14:paraId="16575979">
          <w:pPr>
            <w:pStyle w:val="13"/>
            <w:rPr>
              <w:rFonts w:eastAsiaTheme="minorEastAsia"/>
            </w:rPr>
          </w:pPr>
          <w:r>
            <w:fldChar w:fldCharType="begin"/>
          </w:r>
          <w:r>
            <w:instrText xml:space="preserve"> HYPERLINK \l "_Toc497150766" </w:instrText>
          </w:r>
          <w:r>
            <w:fldChar w:fldCharType="separate"/>
          </w:r>
          <w:r>
            <w:rPr>
              <w:rStyle w:val="21"/>
              <w:rFonts w:ascii="Arial" w:hAnsi="Arial" w:cs="Arial"/>
              <w:b/>
              <w:bCs/>
              <w:kern w:val="36"/>
            </w:rPr>
            <w:t>E.</w:t>
          </w:r>
          <w:r>
            <w:rPr>
              <w:rFonts w:eastAsiaTheme="minorEastAsia"/>
            </w:rPr>
            <w:tab/>
          </w:r>
          <w:r>
            <w:rPr>
              <w:rStyle w:val="21"/>
              <w:rFonts w:hint="eastAsia" w:ascii="Arial" w:hAnsi="Arial" w:cs="Arial"/>
              <w:b/>
              <w:bCs/>
              <w:kern w:val="36"/>
            </w:rPr>
            <w:t>抗菌活性谱（简介）</w:t>
          </w:r>
          <w:r>
            <w:tab/>
          </w:r>
          <w:r>
            <w:fldChar w:fldCharType="begin"/>
          </w:r>
          <w:r>
            <w:instrText xml:space="preserve"> PAGEREF _Toc497150766 \h </w:instrText>
          </w:r>
          <w:r>
            <w:fldChar w:fldCharType="separate"/>
          </w:r>
          <w:r>
            <w:t>9</w:t>
          </w:r>
          <w:r>
            <w:fldChar w:fldCharType="end"/>
          </w:r>
          <w:r>
            <w:fldChar w:fldCharType="end"/>
          </w:r>
        </w:p>
        <w:p w14:paraId="3010245D">
          <w:pPr>
            <w:pStyle w:val="13"/>
            <w:rPr>
              <w:rFonts w:eastAsiaTheme="minorEastAsia"/>
            </w:rPr>
          </w:pPr>
          <w:r>
            <w:fldChar w:fldCharType="begin"/>
          </w:r>
          <w:r>
            <w:instrText xml:space="preserve"> HYPERLINK \l "_Toc497150767" </w:instrText>
          </w:r>
          <w:r>
            <w:fldChar w:fldCharType="separate"/>
          </w:r>
          <w:r>
            <w:rPr>
              <w:rStyle w:val="21"/>
              <w:rFonts w:ascii="Arial" w:hAnsi="Arial" w:cs="Arial"/>
              <w:b/>
              <w:bCs/>
              <w:kern w:val="36"/>
            </w:rPr>
            <w:t>F.</w:t>
          </w:r>
          <w:r>
            <w:rPr>
              <w:rFonts w:eastAsiaTheme="minorEastAsia"/>
            </w:rPr>
            <w:tab/>
          </w:r>
          <w:r>
            <w:rPr>
              <w:rStyle w:val="21"/>
              <w:rFonts w:hint="eastAsia" w:ascii="Arial" w:hAnsi="Arial" w:cs="Arial"/>
              <w:b/>
              <w:bCs/>
              <w:kern w:val="36"/>
            </w:rPr>
            <w:t>抗菌剂的释放动力学</w:t>
          </w:r>
          <w:r>
            <w:tab/>
          </w:r>
          <w:r>
            <w:fldChar w:fldCharType="begin"/>
          </w:r>
          <w:r>
            <w:instrText xml:space="preserve"> PAGEREF _Toc497150767 \h </w:instrText>
          </w:r>
          <w:r>
            <w:fldChar w:fldCharType="separate"/>
          </w:r>
          <w:r>
            <w:t>9</w:t>
          </w:r>
          <w:r>
            <w:fldChar w:fldCharType="end"/>
          </w:r>
          <w:r>
            <w:fldChar w:fldCharType="end"/>
          </w:r>
        </w:p>
        <w:p w14:paraId="764FE078">
          <w:pPr>
            <w:pStyle w:val="13"/>
            <w:rPr>
              <w:rFonts w:eastAsiaTheme="minorEastAsia"/>
            </w:rPr>
          </w:pPr>
          <w:r>
            <w:fldChar w:fldCharType="begin"/>
          </w:r>
          <w:r>
            <w:instrText xml:space="preserve"> HYPERLINK \l "_Toc497150768" </w:instrText>
          </w:r>
          <w:r>
            <w:fldChar w:fldCharType="separate"/>
          </w:r>
          <w:r>
            <w:rPr>
              <w:rStyle w:val="21"/>
              <w:rFonts w:ascii="Arial" w:hAnsi="Arial" w:cs="Arial"/>
              <w:b/>
              <w:bCs/>
              <w:kern w:val="36"/>
            </w:rPr>
            <w:t>G.</w:t>
          </w:r>
          <w:r>
            <w:rPr>
              <w:rFonts w:eastAsiaTheme="minorEastAsia"/>
            </w:rPr>
            <w:tab/>
          </w:r>
          <w:r>
            <w:rPr>
              <w:rStyle w:val="21"/>
              <w:rFonts w:hint="eastAsia" w:ascii="Arial" w:hAnsi="Arial" w:cs="Arial"/>
              <w:b/>
              <w:bCs/>
              <w:kern w:val="36"/>
            </w:rPr>
            <w:t>最低有效浓度（</w:t>
          </w:r>
          <w:r>
            <w:rPr>
              <w:rStyle w:val="21"/>
              <w:rFonts w:ascii="Arial" w:hAnsi="Arial" w:cs="Arial"/>
              <w:b/>
              <w:bCs/>
              <w:kern w:val="36"/>
            </w:rPr>
            <w:t>MEC</w:t>
          </w:r>
          <w:r>
            <w:rPr>
              <w:rStyle w:val="21"/>
              <w:rFonts w:hint="eastAsia" w:ascii="Arial" w:hAnsi="Arial" w:cs="Arial"/>
              <w:b/>
              <w:bCs/>
              <w:kern w:val="36"/>
            </w:rPr>
            <w:t>）</w:t>
          </w:r>
          <w:r>
            <w:tab/>
          </w:r>
          <w:r>
            <w:fldChar w:fldCharType="begin"/>
          </w:r>
          <w:r>
            <w:instrText xml:space="preserve"> PAGEREF _Toc497150768 \h </w:instrText>
          </w:r>
          <w:r>
            <w:fldChar w:fldCharType="separate"/>
          </w:r>
          <w:r>
            <w:t>10</w:t>
          </w:r>
          <w:r>
            <w:fldChar w:fldCharType="end"/>
          </w:r>
          <w:r>
            <w:fldChar w:fldCharType="end"/>
          </w:r>
        </w:p>
        <w:p w14:paraId="71634FE1">
          <w:pPr>
            <w:pStyle w:val="13"/>
            <w:rPr>
              <w:rFonts w:eastAsiaTheme="minorEastAsia"/>
            </w:rPr>
          </w:pPr>
          <w:r>
            <w:fldChar w:fldCharType="begin"/>
          </w:r>
          <w:r>
            <w:instrText xml:space="preserve"> HYPERLINK \l "_Toc497150769" </w:instrText>
          </w:r>
          <w:r>
            <w:fldChar w:fldCharType="separate"/>
          </w:r>
          <w:r>
            <w:rPr>
              <w:rStyle w:val="21"/>
              <w:rFonts w:ascii="Arial" w:hAnsi="Arial" w:cs="Arial"/>
              <w:b/>
              <w:bCs/>
              <w:kern w:val="36"/>
            </w:rPr>
            <w:t>H.</w:t>
          </w:r>
          <w:r>
            <w:rPr>
              <w:rFonts w:eastAsiaTheme="minorEastAsia"/>
            </w:rPr>
            <w:tab/>
          </w:r>
          <w:r>
            <w:rPr>
              <w:rStyle w:val="21"/>
              <w:rFonts w:hint="eastAsia" w:ascii="Arial" w:hAnsi="Arial" w:cs="Arial"/>
              <w:b/>
              <w:bCs/>
              <w:kern w:val="36"/>
            </w:rPr>
            <w:t>毒性</w:t>
          </w:r>
          <w:r>
            <w:tab/>
          </w:r>
          <w:r>
            <w:fldChar w:fldCharType="begin"/>
          </w:r>
          <w:r>
            <w:instrText xml:space="preserve"> PAGEREF _Toc497150769 \h </w:instrText>
          </w:r>
          <w:r>
            <w:fldChar w:fldCharType="separate"/>
          </w:r>
          <w:r>
            <w:t>10</w:t>
          </w:r>
          <w:r>
            <w:fldChar w:fldCharType="end"/>
          </w:r>
          <w:r>
            <w:fldChar w:fldCharType="end"/>
          </w:r>
        </w:p>
        <w:p w14:paraId="09FC6759">
          <w:pPr>
            <w:pStyle w:val="11"/>
            <w:tabs>
              <w:tab w:val="left" w:pos="630"/>
              <w:tab w:val="right" w:leader="dot" w:pos="8296"/>
            </w:tabs>
            <w:rPr>
              <w:rFonts w:eastAsiaTheme="minorEastAsia"/>
            </w:rPr>
          </w:pPr>
          <w:r>
            <w:fldChar w:fldCharType="begin"/>
          </w:r>
          <w:r>
            <w:instrText xml:space="preserve"> HYPERLINK \l "_Toc497150770" </w:instrText>
          </w:r>
          <w:r>
            <w:fldChar w:fldCharType="separate"/>
          </w:r>
          <w:r>
            <w:rPr>
              <w:rStyle w:val="21"/>
              <w:rFonts w:ascii="Arial" w:hAnsi="Arial" w:cs="Arial"/>
              <w:b/>
              <w:bCs/>
              <w:kern w:val="36"/>
            </w:rPr>
            <w:t>VII.</w:t>
          </w:r>
          <w:r>
            <w:rPr>
              <w:rFonts w:eastAsiaTheme="minorEastAsia"/>
            </w:rPr>
            <w:tab/>
          </w:r>
          <w:r>
            <w:rPr>
              <w:rStyle w:val="21"/>
              <w:rFonts w:hint="eastAsia" w:ascii="Arial" w:hAnsi="Arial" w:cs="Arial"/>
              <w:b/>
              <w:bCs/>
              <w:kern w:val="36"/>
            </w:rPr>
            <w:t>含抗菌剂医疗器械的特征</w:t>
          </w:r>
          <w:r>
            <w:tab/>
          </w:r>
          <w:r>
            <w:fldChar w:fldCharType="begin"/>
          </w:r>
          <w:r>
            <w:instrText xml:space="preserve"> PAGEREF _Toc497150770 \h </w:instrText>
          </w:r>
          <w:r>
            <w:fldChar w:fldCharType="separate"/>
          </w:r>
          <w:r>
            <w:t>10</w:t>
          </w:r>
          <w:r>
            <w:fldChar w:fldCharType="end"/>
          </w:r>
          <w:r>
            <w:fldChar w:fldCharType="end"/>
          </w:r>
        </w:p>
        <w:p w14:paraId="33157782">
          <w:pPr>
            <w:pStyle w:val="13"/>
            <w:rPr>
              <w:rFonts w:eastAsiaTheme="minorEastAsia"/>
            </w:rPr>
          </w:pPr>
          <w:r>
            <w:fldChar w:fldCharType="begin"/>
          </w:r>
          <w:r>
            <w:instrText xml:space="preserve"> HYPERLINK \l "_Toc497150771" </w:instrText>
          </w:r>
          <w:r>
            <w:fldChar w:fldCharType="separate"/>
          </w:r>
          <w:r>
            <w:rPr>
              <w:rStyle w:val="21"/>
              <w:rFonts w:ascii="Arial" w:hAnsi="Arial" w:cs="Arial"/>
              <w:b/>
              <w:bCs/>
              <w:kern w:val="36"/>
            </w:rPr>
            <w:t>A.</w:t>
          </w:r>
          <w:r>
            <w:rPr>
              <w:rFonts w:eastAsiaTheme="minorEastAsia"/>
            </w:rPr>
            <w:tab/>
          </w:r>
          <w:r>
            <w:rPr>
              <w:rStyle w:val="21"/>
              <w:rFonts w:hint="eastAsia" w:ascii="Arial" w:hAnsi="Arial" w:cs="Arial"/>
              <w:b/>
              <w:bCs/>
              <w:kern w:val="36"/>
            </w:rPr>
            <w:t>描述性比较</w:t>
          </w:r>
          <w:r>
            <w:tab/>
          </w:r>
          <w:r>
            <w:fldChar w:fldCharType="begin"/>
          </w:r>
          <w:r>
            <w:instrText xml:space="preserve"> PAGEREF _Toc497150771 \h </w:instrText>
          </w:r>
          <w:r>
            <w:fldChar w:fldCharType="separate"/>
          </w:r>
          <w:r>
            <w:t>11</w:t>
          </w:r>
          <w:r>
            <w:fldChar w:fldCharType="end"/>
          </w:r>
          <w:r>
            <w:fldChar w:fldCharType="end"/>
          </w:r>
        </w:p>
        <w:p w14:paraId="59967637">
          <w:pPr>
            <w:pStyle w:val="13"/>
            <w:rPr>
              <w:rFonts w:eastAsiaTheme="minorEastAsia"/>
            </w:rPr>
          </w:pPr>
          <w:r>
            <w:fldChar w:fldCharType="begin"/>
          </w:r>
          <w:r>
            <w:instrText xml:space="preserve"> HYPERLINK \l "_Toc497150772" </w:instrText>
          </w:r>
          <w:r>
            <w:fldChar w:fldCharType="separate"/>
          </w:r>
          <w:r>
            <w:rPr>
              <w:rStyle w:val="21"/>
              <w:rFonts w:ascii="Arial" w:hAnsi="Arial" w:cs="Arial"/>
              <w:b/>
              <w:bCs/>
              <w:kern w:val="36"/>
            </w:rPr>
            <w:t>B.</w:t>
          </w:r>
          <w:r>
            <w:rPr>
              <w:rFonts w:eastAsiaTheme="minorEastAsia"/>
            </w:rPr>
            <w:tab/>
          </w:r>
          <w:r>
            <w:rPr>
              <w:rStyle w:val="21"/>
              <w:rFonts w:hint="eastAsia" w:ascii="Arial" w:hAnsi="Arial" w:cs="Arial"/>
              <w:b/>
              <w:bCs/>
              <w:kern w:val="36"/>
            </w:rPr>
            <w:t>最终成品的无菌性</w:t>
          </w:r>
          <w:r>
            <w:tab/>
          </w:r>
          <w:r>
            <w:fldChar w:fldCharType="begin"/>
          </w:r>
          <w:r>
            <w:instrText xml:space="preserve"> PAGEREF _Toc497150772 \h </w:instrText>
          </w:r>
          <w:r>
            <w:fldChar w:fldCharType="separate"/>
          </w:r>
          <w:r>
            <w:t>11</w:t>
          </w:r>
          <w:r>
            <w:fldChar w:fldCharType="end"/>
          </w:r>
          <w:r>
            <w:fldChar w:fldCharType="end"/>
          </w:r>
        </w:p>
        <w:p w14:paraId="7C41FA76">
          <w:pPr>
            <w:pStyle w:val="13"/>
            <w:rPr>
              <w:rFonts w:eastAsiaTheme="minorEastAsia"/>
            </w:rPr>
          </w:pPr>
          <w:r>
            <w:fldChar w:fldCharType="begin"/>
          </w:r>
          <w:r>
            <w:instrText xml:space="preserve"> HYPERLINK \l "_Toc497150773" </w:instrText>
          </w:r>
          <w:r>
            <w:fldChar w:fldCharType="separate"/>
          </w:r>
          <w:r>
            <w:rPr>
              <w:rStyle w:val="21"/>
              <w:rFonts w:ascii="Arial" w:hAnsi="Arial" w:cs="Arial"/>
              <w:b/>
              <w:bCs/>
              <w:kern w:val="36"/>
            </w:rPr>
            <w:t>C.</w:t>
          </w:r>
          <w:r>
            <w:rPr>
              <w:rFonts w:eastAsiaTheme="minorEastAsia"/>
            </w:rPr>
            <w:tab/>
          </w:r>
          <w:r>
            <w:rPr>
              <w:rStyle w:val="21"/>
              <w:rFonts w:hint="eastAsia" w:ascii="Arial" w:hAnsi="Arial" w:cs="Arial"/>
              <w:b/>
              <w:bCs/>
              <w:kern w:val="36"/>
            </w:rPr>
            <w:t>最终成品的生物相容性测试</w:t>
          </w:r>
          <w:r>
            <w:tab/>
          </w:r>
          <w:r>
            <w:fldChar w:fldCharType="begin"/>
          </w:r>
          <w:r>
            <w:instrText xml:space="preserve"> PAGEREF _Toc497150773 \h </w:instrText>
          </w:r>
          <w:r>
            <w:fldChar w:fldCharType="separate"/>
          </w:r>
          <w:r>
            <w:t>11</w:t>
          </w:r>
          <w:r>
            <w:fldChar w:fldCharType="end"/>
          </w:r>
          <w:r>
            <w:fldChar w:fldCharType="end"/>
          </w:r>
        </w:p>
        <w:p w14:paraId="0A3282F2">
          <w:pPr>
            <w:pStyle w:val="13"/>
            <w:rPr>
              <w:rFonts w:eastAsiaTheme="minorEastAsia"/>
            </w:rPr>
          </w:pPr>
          <w:r>
            <w:fldChar w:fldCharType="begin"/>
          </w:r>
          <w:r>
            <w:instrText xml:space="preserve"> HYPERLINK \l "_Toc497150774" </w:instrText>
          </w:r>
          <w:r>
            <w:fldChar w:fldCharType="separate"/>
          </w:r>
          <w:r>
            <w:rPr>
              <w:rStyle w:val="21"/>
              <w:rFonts w:ascii="Arial" w:hAnsi="Arial" w:cs="Arial"/>
              <w:b/>
              <w:bCs/>
              <w:kern w:val="36"/>
            </w:rPr>
            <w:t>D.</w:t>
          </w:r>
          <w:r>
            <w:rPr>
              <w:rFonts w:eastAsiaTheme="minorEastAsia"/>
            </w:rPr>
            <w:tab/>
          </w:r>
          <w:r>
            <w:rPr>
              <w:rStyle w:val="21"/>
              <w:rFonts w:hint="eastAsia" w:ascii="Arial" w:hAnsi="Arial" w:cs="Arial"/>
              <w:b/>
              <w:bCs/>
              <w:kern w:val="36"/>
            </w:rPr>
            <w:t>性能测试</w:t>
          </w:r>
          <w:r>
            <w:tab/>
          </w:r>
          <w:r>
            <w:fldChar w:fldCharType="begin"/>
          </w:r>
          <w:r>
            <w:instrText xml:space="preserve"> PAGEREF _Toc497150774 \h </w:instrText>
          </w:r>
          <w:r>
            <w:fldChar w:fldCharType="separate"/>
          </w:r>
          <w:r>
            <w:t>11</w:t>
          </w:r>
          <w:r>
            <w:fldChar w:fldCharType="end"/>
          </w:r>
          <w:r>
            <w:fldChar w:fldCharType="end"/>
          </w:r>
        </w:p>
        <w:p w14:paraId="4ED63DFA">
          <w:pPr>
            <w:pStyle w:val="7"/>
            <w:tabs>
              <w:tab w:val="left" w:pos="1260"/>
              <w:tab w:val="right" w:leader="dot" w:pos="8296"/>
            </w:tabs>
            <w:ind w:left="840"/>
            <w:rPr>
              <w:rFonts w:eastAsiaTheme="minorEastAsia"/>
              <w:i w:val="0"/>
            </w:rPr>
          </w:pPr>
          <w:r>
            <w:fldChar w:fldCharType="begin"/>
          </w:r>
          <w:r>
            <w:instrText xml:space="preserve"> HYPERLINK \l "_Toc497150775" </w:instrText>
          </w:r>
          <w:r>
            <w:fldChar w:fldCharType="separate"/>
          </w:r>
          <w:r>
            <w:rPr>
              <w:rStyle w:val="21"/>
              <w:rFonts w:ascii="Arial" w:hAnsi="Arial" w:cs="Arial"/>
              <w:b/>
              <w:bCs/>
              <w:kern w:val="36"/>
            </w:rPr>
            <w:t>1.</w:t>
          </w:r>
          <w:r>
            <w:rPr>
              <w:rFonts w:eastAsiaTheme="minorEastAsia"/>
              <w:i w:val="0"/>
            </w:rPr>
            <w:tab/>
          </w:r>
          <w:r>
            <w:rPr>
              <w:rStyle w:val="21"/>
              <w:rFonts w:hint="eastAsia" w:ascii="Arial" w:hAnsi="Arial" w:cs="Arial"/>
              <w:b/>
              <w:bCs/>
              <w:kern w:val="36"/>
            </w:rPr>
            <w:t>台架测试</w:t>
          </w:r>
          <w:r>
            <w:tab/>
          </w:r>
          <w:r>
            <w:fldChar w:fldCharType="begin"/>
          </w:r>
          <w:r>
            <w:instrText xml:space="preserve"> PAGEREF _Toc497150775 \h </w:instrText>
          </w:r>
          <w:r>
            <w:fldChar w:fldCharType="separate"/>
          </w:r>
          <w:r>
            <w:t>12</w:t>
          </w:r>
          <w:r>
            <w:fldChar w:fldCharType="end"/>
          </w:r>
          <w:r>
            <w:fldChar w:fldCharType="end"/>
          </w:r>
        </w:p>
        <w:p w14:paraId="0C148547">
          <w:pPr>
            <w:pStyle w:val="7"/>
            <w:tabs>
              <w:tab w:val="left" w:pos="1260"/>
              <w:tab w:val="right" w:leader="dot" w:pos="8296"/>
            </w:tabs>
            <w:ind w:left="840"/>
            <w:rPr>
              <w:rFonts w:eastAsiaTheme="minorEastAsia"/>
              <w:i w:val="0"/>
            </w:rPr>
          </w:pPr>
          <w:r>
            <w:fldChar w:fldCharType="begin"/>
          </w:r>
          <w:r>
            <w:instrText xml:space="preserve"> HYPERLINK \l "_Toc497150776" </w:instrText>
          </w:r>
          <w:r>
            <w:fldChar w:fldCharType="separate"/>
          </w:r>
          <w:r>
            <w:rPr>
              <w:rStyle w:val="21"/>
              <w:rFonts w:ascii="Arial" w:hAnsi="Arial" w:cs="Arial"/>
              <w:b/>
              <w:bCs/>
              <w:kern w:val="36"/>
            </w:rPr>
            <w:t>2.</w:t>
          </w:r>
          <w:r>
            <w:rPr>
              <w:rFonts w:eastAsiaTheme="minorEastAsia"/>
              <w:i w:val="0"/>
            </w:rPr>
            <w:tab/>
          </w:r>
          <w:r>
            <w:rPr>
              <w:rStyle w:val="21"/>
              <w:rFonts w:hint="eastAsia" w:ascii="Arial" w:hAnsi="Arial" w:cs="Arial"/>
              <w:b/>
              <w:bCs/>
              <w:kern w:val="36"/>
            </w:rPr>
            <w:t>动物研究</w:t>
          </w:r>
          <w:r>
            <w:tab/>
          </w:r>
          <w:r>
            <w:fldChar w:fldCharType="begin"/>
          </w:r>
          <w:r>
            <w:instrText xml:space="preserve"> PAGEREF _Toc497150776 \h </w:instrText>
          </w:r>
          <w:r>
            <w:fldChar w:fldCharType="separate"/>
          </w:r>
          <w:r>
            <w:t>13</w:t>
          </w:r>
          <w:r>
            <w:fldChar w:fldCharType="end"/>
          </w:r>
          <w:r>
            <w:fldChar w:fldCharType="end"/>
          </w:r>
        </w:p>
        <w:p w14:paraId="0A49A606">
          <w:pPr>
            <w:pStyle w:val="7"/>
            <w:tabs>
              <w:tab w:val="left" w:pos="1260"/>
              <w:tab w:val="right" w:leader="dot" w:pos="8296"/>
            </w:tabs>
            <w:ind w:left="840"/>
            <w:rPr>
              <w:rFonts w:eastAsiaTheme="minorEastAsia"/>
              <w:i w:val="0"/>
            </w:rPr>
          </w:pPr>
          <w:r>
            <w:fldChar w:fldCharType="begin"/>
          </w:r>
          <w:r>
            <w:instrText xml:space="preserve"> HYPERLINK \l "_Toc497150777" </w:instrText>
          </w:r>
          <w:r>
            <w:fldChar w:fldCharType="separate"/>
          </w:r>
          <w:r>
            <w:rPr>
              <w:rStyle w:val="21"/>
              <w:rFonts w:ascii="Arial" w:hAnsi="Arial" w:cs="Arial"/>
              <w:b/>
              <w:bCs/>
              <w:kern w:val="36"/>
            </w:rPr>
            <w:t>3.</w:t>
          </w:r>
          <w:r>
            <w:rPr>
              <w:rFonts w:eastAsiaTheme="minorEastAsia"/>
              <w:i w:val="0"/>
            </w:rPr>
            <w:tab/>
          </w:r>
          <w:r>
            <w:rPr>
              <w:rStyle w:val="21"/>
              <w:rFonts w:hint="eastAsia" w:ascii="Arial" w:hAnsi="Arial" w:cs="Arial"/>
              <w:b/>
              <w:bCs/>
              <w:kern w:val="36"/>
            </w:rPr>
            <w:t>临床研究</w:t>
          </w:r>
          <w:r>
            <w:tab/>
          </w:r>
          <w:r>
            <w:fldChar w:fldCharType="begin"/>
          </w:r>
          <w:r>
            <w:instrText xml:space="preserve"> PAGEREF _Toc497150777 \h </w:instrText>
          </w:r>
          <w:r>
            <w:fldChar w:fldCharType="separate"/>
          </w:r>
          <w:r>
            <w:t>13</w:t>
          </w:r>
          <w:r>
            <w:fldChar w:fldCharType="end"/>
          </w:r>
          <w:r>
            <w:fldChar w:fldCharType="end"/>
          </w:r>
        </w:p>
        <w:p w14:paraId="4672F49E">
          <w:pPr>
            <w:pStyle w:val="11"/>
            <w:tabs>
              <w:tab w:val="left" w:pos="630"/>
              <w:tab w:val="right" w:leader="dot" w:pos="8296"/>
            </w:tabs>
            <w:rPr>
              <w:rFonts w:eastAsiaTheme="minorEastAsia"/>
            </w:rPr>
          </w:pPr>
          <w:r>
            <w:fldChar w:fldCharType="begin"/>
          </w:r>
          <w:r>
            <w:instrText xml:space="preserve"> HYPERLINK \l "_Toc497150778" </w:instrText>
          </w:r>
          <w:r>
            <w:fldChar w:fldCharType="separate"/>
          </w:r>
          <w:r>
            <w:rPr>
              <w:rStyle w:val="21"/>
              <w:rFonts w:ascii="Arial" w:hAnsi="Arial" w:cs="Arial"/>
              <w:b/>
              <w:bCs/>
              <w:kern w:val="36"/>
            </w:rPr>
            <w:t>VIII.</w:t>
          </w:r>
          <w:r>
            <w:rPr>
              <w:rFonts w:eastAsiaTheme="minorEastAsia"/>
            </w:rPr>
            <w:tab/>
          </w:r>
          <w:r>
            <w:rPr>
              <w:rStyle w:val="21"/>
              <w:rFonts w:hint="eastAsia" w:ascii="Arial" w:hAnsi="Arial" w:cs="Arial"/>
              <w:b/>
              <w:bCs/>
              <w:kern w:val="36"/>
            </w:rPr>
            <w:t>标签</w:t>
          </w:r>
          <w:r>
            <w:tab/>
          </w:r>
          <w:r>
            <w:fldChar w:fldCharType="begin"/>
          </w:r>
          <w:r>
            <w:instrText xml:space="preserve"> PAGEREF _Toc497150778 \h </w:instrText>
          </w:r>
          <w:r>
            <w:fldChar w:fldCharType="separate"/>
          </w:r>
          <w:r>
            <w:t>14</w:t>
          </w:r>
          <w:r>
            <w:fldChar w:fldCharType="end"/>
          </w:r>
          <w:r>
            <w:fldChar w:fldCharType="end"/>
          </w:r>
        </w:p>
        <w:p w14:paraId="511046D1">
          <w:r>
            <w:rPr>
              <w:rFonts w:ascii="Arial" w:hAnsi="Arial" w:eastAsia="宋体" w:cs="Arial"/>
            </w:rPr>
            <w:fldChar w:fldCharType="end"/>
          </w:r>
        </w:p>
      </w:sdtContent>
    </w:sdt>
    <w:p w14:paraId="7F84B688">
      <w:pPr>
        <w:widowControl/>
        <w:overflowPunct w:val="0"/>
        <w:snapToGrid w:val="0"/>
        <w:spacing w:line="300" w:lineRule="auto"/>
        <w:rPr>
          <w:rFonts w:ascii="Arial" w:hAnsi="Arial" w:eastAsia="宋体" w:cs="Arial"/>
          <w:bCs/>
          <w:kern w:val="36"/>
          <w:szCs w:val="21"/>
        </w:rPr>
        <w:sectPr>
          <w:headerReference r:id="rId9" w:type="first"/>
          <w:headerReference r:id="rId7" w:type="default"/>
          <w:headerReference r:id="rId8" w:type="even"/>
          <w:pgSz w:w="11906" w:h="16838"/>
          <w:pgMar w:top="1440" w:right="1800" w:bottom="1440" w:left="1800" w:header="851" w:footer="992" w:gutter="0"/>
          <w:cols w:space="425" w:num="1"/>
          <w:docGrid w:type="lines" w:linePitch="312" w:charSpace="0"/>
        </w:sectPr>
      </w:pPr>
    </w:p>
    <w:p w14:paraId="742AB42A">
      <w:pPr>
        <w:pBdr>
          <w:bottom w:val="single" w:color="auto" w:sz="4" w:space="1"/>
        </w:pBdr>
        <w:overflowPunct w:val="0"/>
        <w:snapToGrid w:val="0"/>
        <w:spacing w:after="240" w:line="300" w:lineRule="auto"/>
        <w:jc w:val="center"/>
        <w:rPr>
          <w:rFonts w:ascii="Arial" w:hAnsi="Arial" w:eastAsia="宋体" w:cs="Arial"/>
          <w:b/>
          <w:bCs/>
          <w:kern w:val="36"/>
          <w:sz w:val="52"/>
          <w:szCs w:val="52"/>
        </w:rPr>
      </w:pPr>
      <w:r>
        <w:rPr>
          <w:rFonts w:ascii="Arial" w:hAnsi="Arial" w:eastAsia="宋体" w:cs="Arial"/>
          <w:b/>
          <w:bCs/>
          <w:kern w:val="36"/>
          <w:sz w:val="52"/>
          <w:szCs w:val="52"/>
        </w:rPr>
        <w:t>行业</w:t>
      </w:r>
      <w:r>
        <w:rPr>
          <w:rFonts w:hint="eastAsia" w:ascii="Arial" w:hAnsi="Arial" w:eastAsia="宋体" w:cs="Arial"/>
          <w:b/>
          <w:bCs/>
          <w:kern w:val="36"/>
          <w:sz w:val="52"/>
          <w:szCs w:val="52"/>
        </w:rPr>
        <w:t>及</w:t>
      </w:r>
      <w:r>
        <w:rPr>
          <w:rFonts w:ascii="Arial" w:hAnsi="Arial" w:eastAsia="宋体" w:cs="Arial"/>
          <w:b/>
          <w:bCs/>
          <w:kern w:val="36"/>
          <w:sz w:val="52"/>
          <w:szCs w:val="52"/>
        </w:rPr>
        <w:t>FDA工作人员指南草案</w:t>
      </w:r>
    </w:p>
    <w:p w14:paraId="04A80F12">
      <w:pPr>
        <w:overflowPunct w:val="0"/>
        <w:snapToGrid w:val="0"/>
        <w:spacing w:after="240" w:line="300" w:lineRule="auto"/>
        <w:jc w:val="center"/>
        <w:rPr>
          <w:rFonts w:ascii="Arial" w:hAnsi="Arial" w:eastAsia="宋体" w:cs="Arial"/>
          <w:b/>
          <w:bCs/>
          <w:kern w:val="36"/>
          <w:sz w:val="52"/>
          <w:szCs w:val="52"/>
        </w:rPr>
      </w:pPr>
      <w:r>
        <w:rPr>
          <w:rFonts w:ascii="Arial" w:hAnsi="Arial" w:eastAsia="宋体" w:cs="Arial"/>
          <w:b/>
          <w:bCs/>
          <w:kern w:val="36"/>
          <w:sz w:val="52"/>
          <w:szCs w:val="52"/>
        </w:rPr>
        <w:t>包含抗菌剂的医疗器械上市前通知【510（k）】申请</w:t>
      </w:r>
    </w:p>
    <w:tbl>
      <w:tblPr>
        <w:tblStyle w:val="16"/>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296"/>
      </w:tblGrid>
      <w:tr w14:paraId="1932B07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296" w:type="dxa"/>
          </w:tcPr>
          <w:p w14:paraId="6C552328">
            <w:pPr>
              <w:overflowPunct w:val="0"/>
              <w:adjustRightInd w:val="0"/>
              <w:snapToGrid w:val="0"/>
              <w:spacing w:line="300" w:lineRule="auto"/>
              <w:rPr>
                <w:rFonts w:ascii="Arial" w:hAnsi="Arial" w:eastAsia="宋体" w:cs="Arial"/>
                <w:bCs/>
                <w:i/>
                <w:kern w:val="36"/>
                <w:szCs w:val="21"/>
              </w:rPr>
            </w:pPr>
            <w:r>
              <w:rPr>
                <w:rFonts w:hint="eastAsia"/>
                <w:i/>
              </w:rPr>
              <w:t>本指南草案代表</w:t>
            </w:r>
            <w:r>
              <w:rPr>
                <w:i/>
              </w:rPr>
              <w:t>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4F6477A">
      <w:pPr>
        <w:pStyle w:val="29"/>
        <w:widowControl/>
        <w:numPr>
          <w:ilvl w:val="0"/>
          <w:numId w:val="1"/>
        </w:numPr>
        <w:overflowPunct w:val="0"/>
        <w:snapToGrid w:val="0"/>
        <w:spacing w:before="156" w:beforeLines="50" w:after="240" w:line="300" w:lineRule="auto"/>
        <w:ind w:left="0" w:firstLine="0" w:firstLineChars="0"/>
        <w:outlineLvl w:val="0"/>
        <w:rPr>
          <w:rFonts w:ascii="Arial" w:hAnsi="Arial" w:eastAsia="宋体" w:cs="Arial"/>
          <w:b/>
          <w:bCs/>
          <w:kern w:val="36"/>
          <w:sz w:val="32"/>
          <w:szCs w:val="32"/>
        </w:rPr>
      </w:pPr>
      <w:bookmarkStart w:id="0" w:name="_Toc497150750"/>
      <w:r>
        <w:rPr>
          <w:rFonts w:ascii="Arial" w:hAnsi="Arial" w:eastAsia="宋体" w:cs="Arial"/>
          <w:b/>
          <w:bCs/>
          <w:kern w:val="36"/>
          <w:sz w:val="32"/>
          <w:szCs w:val="32"/>
        </w:rPr>
        <w:t>引言</w:t>
      </w:r>
      <w:bookmarkEnd w:id="0"/>
    </w:p>
    <w:p w14:paraId="2415B878">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近年来，针对特定的或具体的适应症，在医疗器械内添加抗菌剂的情况越来越多，例如减少或预防与器械有关的感染，或减少或抑制医疗器械的定植等。FDA接</w:t>
      </w:r>
      <w:r>
        <w:rPr>
          <w:rFonts w:hint="eastAsia" w:ascii="Arial" w:hAnsi="Arial" w:eastAsia="宋体" w:cs="Arial"/>
          <w:bCs/>
          <w:kern w:val="36"/>
          <w:sz w:val="24"/>
          <w:szCs w:val="24"/>
        </w:rPr>
        <w:t>收</w:t>
      </w:r>
      <w:r>
        <w:rPr>
          <w:rFonts w:ascii="Arial" w:hAnsi="Arial" w:eastAsia="宋体" w:cs="Arial"/>
          <w:bCs/>
          <w:kern w:val="36"/>
          <w:sz w:val="24"/>
          <w:szCs w:val="24"/>
        </w:rPr>
        <w:t>的包含抗菌剂的医疗器械510（k）申请也越来越多。因此FDA制定了本指导性文件，以协助行业准备包含抗菌剂的医疗器械的上市前通知（510（k））</w:t>
      </w:r>
      <w:r>
        <w:rPr>
          <w:rStyle w:val="22"/>
          <w:rFonts w:ascii="Arial" w:hAnsi="Arial" w:eastAsia="宋体" w:cs="Arial"/>
          <w:bCs/>
          <w:kern w:val="36"/>
          <w:sz w:val="24"/>
          <w:szCs w:val="24"/>
        </w:rPr>
        <w:footnoteReference w:id="0"/>
      </w:r>
      <w:r>
        <w:rPr>
          <w:rFonts w:ascii="Arial" w:hAnsi="Arial" w:eastAsia="宋体" w:cs="Arial"/>
          <w:bCs/>
          <w:kern w:val="36"/>
          <w:sz w:val="24"/>
          <w:szCs w:val="24"/>
        </w:rPr>
        <w:t>。</w:t>
      </w:r>
    </w:p>
    <w:p w14:paraId="4DC89A6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，不构成具有法律强制力的责任。相反，指南表明了本审查机构</w:t>
      </w:r>
      <w:r>
        <w:rPr>
          <w:rFonts w:hint="eastAsia" w:ascii="Arial" w:hAnsi="Arial" w:eastAsia="宋体" w:cs="Arial"/>
          <w:sz w:val="24"/>
          <w:szCs w:val="24"/>
        </w:rPr>
        <w:t>目前关于</w:t>
      </w:r>
      <w:r>
        <w:rPr>
          <w:rFonts w:ascii="Arial" w:hAnsi="Arial" w:eastAsia="宋体" w:cs="Arial"/>
          <w:sz w:val="24"/>
          <w:szCs w:val="24"/>
        </w:rPr>
        <w:t>某一主题的</w:t>
      </w:r>
      <w:r>
        <w:rPr>
          <w:rFonts w:hint="eastAsia" w:ascii="Arial" w:hAnsi="Arial" w:eastAsia="宋体" w:cs="Arial"/>
          <w:sz w:val="24"/>
          <w:szCs w:val="24"/>
        </w:rPr>
        <w:t>思考</w:t>
      </w:r>
      <w:r>
        <w:rPr>
          <w:rFonts w:ascii="Arial" w:hAnsi="Arial" w:eastAsia="宋体" w:cs="Arial"/>
          <w:sz w:val="24"/>
          <w:szCs w:val="24"/>
        </w:rPr>
        <w:t>，除非引用具体的法规或法律要求，否则只应视为建议。在本审查机构指南中使用词语</w:t>
      </w:r>
      <w:r>
        <w:rPr>
          <w:rFonts w:ascii="宋体" w:hAnsi="宋体" w:eastAsia="宋体" w:cs="Arial"/>
          <w:sz w:val="24"/>
          <w:szCs w:val="24"/>
        </w:rPr>
        <w:t>“</w:t>
      </w:r>
      <w:r>
        <w:rPr>
          <w:rFonts w:ascii="Arial" w:hAnsi="Arial" w:eastAsia="宋体" w:cs="Arial"/>
          <w:sz w:val="24"/>
          <w:szCs w:val="24"/>
        </w:rPr>
        <w:t>应当</w:t>
      </w:r>
      <w:r>
        <w:rPr>
          <w:rFonts w:ascii="宋体" w:hAnsi="宋体" w:eastAsia="宋体" w:cs="Arial"/>
          <w:sz w:val="24"/>
          <w:szCs w:val="24"/>
        </w:rPr>
        <w:t>”</w:t>
      </w:r>
      <w:r>
        <w:rPr>
          <w:rFonts w:ascii="Arial" w:hAnsi="Arial" w:eastAsia="宋体" w:cs="Arial"/>
          <w:sz w:val="24"/>
          <w:szCs w:val="24"/>
        </w:rPr>
        <w:t>是指建议或推荐进行某一事项，并非强制要求。</w:t>
      </w:r>
    </w:p>
    <w:p w14:paraId="2D876131">
      <w:pPr>
        <w:overflowPunct w:val="0"/>
        <w:snapToGrid w:val="0"/>
        <w:spacing w:after="240" w:line="300" w:lineRule="auto"/>
        <w:ind w:left="420" w:leftChars="200"/>
        <w:outlineLvl w:val="1"/>
        <w:rPr>
          <w:rFonts w:ascii="Arial" w:hAnsi="Arial" w:eastAsia="宋体" w:cs="Arial"/>
          <w:b/>
          <w:sz w:val="24"/>
          <w:szCs w:val="24"/>
        </w:rPr>
      </w:pPr>
      <w:bookmarkStart w:id="1" w:name="_Toc497150751"/>
      <w:r>
        <w:rPr>
          <w:rFonts w:hint="eastAsia" w:ascii="Arial" w:hAnsi="Arial" w:eastAsia="宋体" w:cs="Arial"/>
          <w:b/>
          <w:sz w:val="24"/>
          <w:szCs w:val="24"/>
        </w:rPr>
        <w:t>最小负担手段原则</w:t>
      </w:r>
      <w:bookmarkEnd w:id="1"/>
    </w:p>
    <w:p w14:paraId="41B6A992">
      <w:pPr>
        <w:overflowPunct w:val="0"/>
        <w:adjustRightInd w:val="0"/>
        <w:snapToGrid w:val="0"/>
        <w:spacing w:after="240" w:line="300" w:lineRule="auto"/>
        <w:ind w:left="420" w:leftChars="200"/>
        <w:rPr>
          <w:rFonts w:ascii="Arial" w:hAnsi="Arial" w:eastAsia="宋体" w:cs="Arial"/>
          <w:bCs/>
          <w:kern w:val="36"/>
          <w:sz w:val="24"/>
          <w:szCs w:val="24"/>
        </w:rPr>
      </w:pPr>
      <w:r>
        <w:rPr>
          <w:rFonts w:ascii="Arial" w:hAnsi="Arial" w:eastAsia="宋体" w:cs="Arial"/>
          <w:sz w:val="24"/>
          <w:szCs w:val="24"/>
        </w:rPr>
        <w:t>本指南反映了我们对与含抗菌剂的医疗器械相关问题的仔细</w:t>
      </w:r>
      <w:r>
        <w:rPr>
          <w:rFonts w:hint="eastAsia" w:ascii="Arial" w:hAnsi="Arial" w:eastAsia="宋体" w:cs="Arial"/>
          <w:sz w:val="24"/>
          <w:szCs w:val="24"/>
        </w:rPr>
        <w:t>审查</w:t>
      </w:r>
      <w:r>
        <w:rPr>
          <w:rFonts w:ascii="Arial" w:hAnsi="Arial" w:eastAsia="宋体" w:cs="Arial"/>
          <w:sz w:val="24"/>
          <w:szCs w:val="24"/>
        </w:rPr>
        <w:t>，以及我们认为解决这些问题的最</w:t>
      </w:r>
      <w:r>
        <w:rPr>
          <w:rFonts w:hint="eastAsia" w:ascii="Arial" w:hAnsi="Arial" w:eastAsia="宋体" w:cs="Arial"/>
          <w:sz w:val="24"/>
          <w:szCs w:val="24"/>
        </w:rPr>
        <w:t>小</w:t>
      </w:r>
      <w:r>
        <w:rPr>
          <w:rFonts w:ascii="Arial" w:hAnsi="Arial" w:eastAsia="宋体" w:cs="Arial"/>
          <w:sz w:val="24"/>
          <w:szCs w:val="24"/>
        </w:rPr>
        <w:t>负担</w:t>
      </w:r>
      <w:r>
        <w:rPr>
          <w:rFonts w:hint="eastAsia" w:ascii="Arial" w:hAnsi="Arial" w:eastAsia="宋体" w:cs="Arial"/>
          <w:sz w:val="24"/>
          <w:szCs w:val="24"/>
        </w:rPr>
        <w:t>手段</w:t>
      </w:r>
      <w:r>
        <w:rPr>
          <w:rFonts w:ascii="Arial" w:hAnsi="Arial" w:eastAsia="宋体" w:cs="Arial"/>
          <w:sz w:val="24"/>
          <w:szCs w:val="24"/>
        </w:rPr>
        <w:t>。但如果您对于是否有更</w:t>
      </w:r>
      <w:r>
        <w:rPr>
          <w:rFonts w:hint="eastAsia" w:ascii="Arial" w:hAnsi="Arial" w:eastAsia="宋体" w:cs="Arial"/>
          <w:sz w:val="24"/>
          <w:szCs w:val="24"/>
        </w:rPr>
        <w:t>小</w:t>
      </w:r>
      <w:r>
        <w:rPr>
          <w:rFonts w:ascii="Arial" w:hAnsi="Arial" w:eastAsia="宋体" w:cs="Arial"/>
          <w:sz w:val="24"/>
          <w:szCs w:val="24"/>
        </w:rPr>
        <w:t>负担</w:t>
      </w:r>
      <w:r>
        <w:rPr>
          <w:rFonts w:hint="eastAsia" w:ascii="Arial" w:hAnsi="Arial" w:eastAsia="宋体" w:cs="Arial"/>
          <w:sz w:val="24"/>
          <w:szCs w:val="24"/>
        </w:rPr>
        <w:t>手段</w:t>
      </w:r>
      <w:r>
        <w:rPr>
          <w:rFonts w:ascii="Arial" w:hAnsi="Arial" w:eastAsia="宋体" w:cs="Arial"/>
          <w:sz w:val="24"/>
          <w:szCs w:val="24"/>
        </w:rPr>
        <w:t>有任何评论，请根据本指南封面中列出的联系方式提交评论。</w:t>
      </w:r>
    </w:p>
    <w:p w14:paraId="65B390E2">
      <w:pPr>
        <w:widowControl/>
        <w:jc w:val="left"/>
        <w:rPr>
          <w:rFonts w:ascii="Arial" w:hAnsi="Arial" w:eastAsia="宋体" w:cs="Arial"/>
          <w:b/>
          <w:bCs/>
          <w:kern w:val="36"/>
          <w:sz w:val="32"/>
          <w:szCs w:val="32"/>
        </w:rPr>
      </w:pPr>
      <w:r>
        <w:rPr>
          <w:rFonts w:ascii="Arial" w:hAnsi="Arial" w:eastAsia="宋体" w:cs="Arial"/>
          <w:b/>
          <w:bCs/>
          <w:kern w:val="36"/>
          <w:sz w:val="32"/>
          <w:szCs w:val="32"/>
        </w:rPr>
        <w:br w:type="page"/>
      </w:r>
    </w:p>
    <w:p w14:paraId="434B36E1">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bookmarkStart w:id="2" w:name="_Toc497150752"/>
      <w:r>
        <w:rPr>
          <w:rFonts w:ascii="Arial" w:hAnsi="Arial" w:eastAsia="宋体" w:cs="Arial"/>
          <w:b/>
          <w:bCs/>
          <w:kern w:val="36"/>
          <w:sz w:val="32"/>
          <w:szCs w:val="32"/>
        </w:rPr>
        <w:t>背景</w:t>
      </w:r>
      <w:bookmarkEnd w:id="2"/>
    </w:p>
    <w:p w14:paraId="378525B0">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抗菌剂是可以杀死或抑制微生物生长的物质。在某些情况下，当抗菌剂用于器械时，将</w:t>
      </w:r>
      <w:r>
        <w:rPr>
          <w:rFonts w:hint="eastAsia" w:ascii="Arial" w:hAnsi="Arial" w:eastAsia="宋体" w:cs="Arial"/>
          <w:bCs/>
          <w:kern w:val="36"/>
          <w:sz w:val="24"/>
          <w:szCs w:val="24"/>
        </w:rPr>
        <w:t>其</w:t>
      </w:r>
      <w:r>
        <w:rPr>
          <w:rFonts w:ascii="Arial" w:hAnsi="Arial" w:eastAsia="宋体" w:cs="Arial"/>
          <w:bCs/>
          <w:kern w:val="36"/>
          <w:sz w:val="24"/>
          <w:szCs w:val="24"/>
        </w:rPr>
        <w:t>视为药物</w:t>
      </w:r>
      <w:r>
        <w:rPr>
          <w:rStyle w:val="22"/>
          <w:rFonts w:ascii="Arial" w:hAnsi="Arial" w:eastAsia="宋体" w:cs="Arial"/>
          <w:bCs/>
          <w:kern w:val="36"/>
          <w:sz w:val="24"/>
          <w:szCs w:val="24"/>
        </w:rPr>
        <w:footnoteReference w:id="1"/>
      </w:r>
      <w:r>
        <w:rPr>
          <w:rFonts w:ascii="Arial" w:hAnsi="Arial" w:eastAsia="宋体" w:cs="Arial"/>
          <w:bCs/>
          <w:kern w:val="36"/>
          <w:sz w:val="24"/>
          <w:szCs w:val="24"/>
        </w:rPr>
        <w:t>，并且根据21 CFR 3.2（e）中的定义，包含抗菌剂的医疗器械将认为是组合产品。在许多情况下，抗菌剂在人体外部发挥作用，例如患者手术中使用的抗菌</w:t>
      </w:r>
      <w:r>
        <w:rPr>
          <w:rFonts w:hint="eastAsia" w:ascii="Arial" w:hAnsi="Arial" w:eastAsia="宋体" w:cs="Arial"/>
          <w:bCs/>
          <w:kern w:val="36"/>
          <w:sz w:val="24"/>
          <w:szCs w:val="24"/>
        </w:rPr>
        <w:t>性</w:t>
      </w:r>
      <w:r>
        <w:rPr>
          <w:rFonts w:ascii="Arial" w:hAnsi="Arial" w:eastAsia="宋体" w:cs="Arial"/>
          <w:bCs/>
          <w:kern w:val="36"/>
          <w:sz w:val="24"/>
          <w:szCs w:val="24"/>
        </w:rPr>
        <w:t>无菌铺巾和手套等，在这类器械中FDA不将抗菌剂视为药物。FDA已经将这些产品作为医疗器械进行管理，而非组合产品。</w:t>
      </w:r>
    </w:p>
    <w:p w14:paraId="0A03A383">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在主要作用模式为器械</w:t>
      </w:r>
      <w:r>
        <w:rPr>
          <w:rStyle w:val="22"/>
          <w:rFonts w:ascii="Arial" w:hAnsi="Arial" w:eastAsia="宋体" w:cs="Arial"/>
          <w:bCs/>
          <w:kern w:val="36"/>
          <w:sz w:val="24"/>
          <w:szCs w:val="24"/>
        </w:rPr>
        <w:footnoteReference w:id="2"/>
      </w:r>
      <w:r>
        <w:rPr>
          <w:rFonts w:ascii="Arial" w:hAnsi="Arial" w:eastAsia="宋体" w:cs="Arial"/>
          <w:bCs/>
          <w:kern w:val="36"/>
          <w:sz w:val="24"/>
          <w:szCs w:val="24"/>
        </w:rPr>
        <w:t>的情况下，包含抗菌剂的医疗器械和组合产品应接受器械和放射卫生中心（CDRH）的管理。该类器械和组合产品由CDRH根据联邦食品药品和化妆品法案</w:t>
      </w:r>
      <w:r>
        <w:rPr>
          <w:rStyle w:val="22"/>
          <w:rFonts w:ascii="Arial" w:hAnsi="Arial" w:eastAsia="宋体" w:cs="Arial"/>
          <w:bCs/>
          <w:kern w:val="36"/>
          <w:sz w:val="24"/>
          <w:szCs w:val="24"/>
        </w:rPr>
        <w:footnoteReference w:id="3"/>
      </w:r>
      <w:r>
        <w:rPr>
          <w:rFonts w:ascii="Arial" w:hAnsi="Arial" w:eastAsia="宋体" w:cs="Arial"/>
          <w:bCs/>
          <w:kern w:val="36"/>
          <w:sz w:val="24"/>
          <w:szCs w:val="24"/>
        </w:rPr>
        <w:t>中关于医疗器械的规定进行管理。在以下指导性文件中，术语</w:t>
      </w:r>
      <w:r>
        <w:rPr>
          <w:rFonts w:ascii="宋体" w:hAnsi="宋体" w:eastAsia="宋体" w:cs="Arial"/>
          <w:bCs/>
          <w:kern w:val="36"/>
          <w:sz w:val="24"/>
          <w:szCs w:val="24"/>
        </w:rPr>
        <w:t>“</w:t>
      </w:r>
      <w:r>
        <w:rPr>
          <w:rFonts w:ascii="Arial" w:hAnsi="Arial" w:eastAsia="宋体" w:cs="Arial"/>
          <w:bCs/>
          <w:kern w:val="36"/>
          <w:sz w:val="24"/>
          <w:szCs w:val="24"/>
        </w:rPr>
        <w:t>抗菌剂</w:t>
      </w:r>
      <w:r>
        <w:rPr>
          <w:rFonts w:ascii="宋体" w:hAnsi="宋体" w:eastAsia="宋体" w:cs="Arial"/>
          <w:bCs/>
          <w:kern w:val="36"/>
          <w:sz w:val="24"/>
          <w:szCs w:val="24"/>
        </w:rPr>
        <w:t>”</w:t>
      </w:r>
      <w:r>
        <w:rPr>
          <w:rFonts w:ascii="Arial" w:hAnsi="Arial" w:eastAsia="宋体" w:cs="Arial"/>
          <w:bCs/>
          <w:kern w:val="36"/>
          <w:sz w:val="24"/>
          <w:szCs w:val="24"/>
        </w:rPr>
        <w:t>是指任意形式的抗菌剂，包括认为是药物的抗菌剂。本指南中的术语</w:t>
      </w:r>
      <w:r>
        <w:rPr>
          <w:rFonts w:ascii="宋体" w:hAnsi="宋体" w:eastAsia="宋体" w:cs="Arial"/>
          <w:bCs/>
          <w:kern w:val="36"/>
          <w:sz w:val="24"/>
          <w:szCs w:val="24"/>
        </w:rPr>
        <w:t>“</w:t>
      </w:r>
      <w:r>
        <w:rPr>
          <w:rFonts w:ascii="Arial" w:hAnsi="Arial" w:eastAsia="宋体" w:cs="Arial"/>
          <w:bCs/>
          <w:kern w:val="36"/>
          <w:sz w:val="24"/>
          <w:szCs w:val="24"/>
        </w:rPr>
        <w:t>器械</w:t>
      </w:r>
      <w:r>
        <w:rPr>
          <w:rFonts w:ascii="宋体" w:hAnsi="宋体" w:eastAsia="宋体" w:cs="Arial"/>
          <w:bCs/>
          <w:kern w:val="36"/>
          <w:sz w:val="24"/>
          <w:szCs w:val="24"/>
        </w:rPr>
        <w:t>”</w:t>
      </w:r>
      <w:r>
        <w:rPr>
          <w:rFonts w:ascii="Arial" w:hAnsi="Arial" w:eastAsia="宋体" w:cs="Arial"/>
          <w:bCs/>
          <w:kern w:val="36"/>
          <w:sz w:val="24"/>
          <w:szCs w:val="24"/>
        </w:rPr>
        <w:t>是指含有抗菌剂的器械和含有抗菌剂的复合性器械/药物产品。</w:t>
      </w:r>
    </w:p>
    <w:p w14:paraId="48A49282">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FDA意识到，使用任何抗菌剂，包括在器械中或器械表面的使用均会产生暴露，这可能会导致暴露下的微生物群体中出现对抗菌剂的耐药性。抗菌剂耐药性是一个越来越严重的临床问题。此外，抗菌剂的灵敏度抗菌谱也会随时间而变化。FDA认为，使用抗菌剂（包括其在医疗器械中的使用）的潜在临床收益应超过相关风险。在进行实质等同性评价时，FDA会比较含抗菌剂的医疗器械和不含抗菌剂器械的风险和收益情况</w:t>
      </w:r>
      <w:r>
        <w:rPr>
          <w:rStyle w:val="22"/>
          <w:rFonts w:ascii="Arial" w:hAnsi="Arial" w:eastAsia="宋体" w:cs="Arial"/>
          <w:bCs/>
          <w:kern w:val="36"/>
          <w:sz w:val="24"/>
          <w:szCs w:val="24"/>
        </w:rPr>
        <w:footnoteReference w:id="4"/>
      </w:r>
      <w:r>
        <w:rPr>
          <w:rFonts w:ascii="Arial" w:hAnsi="Arial" w:eastAsia="宋体" w:cs="Arial"/>
          <w:bCs/>
          <w:kern w:val="36"/>
          <w:sz w:val="24"/>
          <w:szCs w:val="24"/>
        </w:rPr>
        <w:t>。</w:t>
      </w:r>
    </w:p>
    <w:p w14:paraId="439F8D04">
      <w:pPr>
        <w:widowControl/>
        <w:jc w:val="left"/>
        <w:rPr>
          <w:rFonts w:ascii="Arial" w:hAnsi="Arial" w:eastAsia="宋体" w:cs="Arial"/>
          <w:b/>
          <w:bCs/>
          <w:kern w:val="36"/>
          <w:sz w:val="32"/>
          <w:szCs w:val="32"/>
        </w:rPr>
      </w:pPr>
      <w:r>
        <w:rPr>
          <w:rFonts w:ascii="Arial" w:hAnsi="Arial" w:eastAsia="宋体" w:cs="Arial"/>
          <w:b/>
          <w:bCs/>
          <w:kern w:val="36"/>
          <w:sz w:val="32"/>
          <w:szCs w:val="32"/>
        </w:rPr>
        <w:br w:type="page"/>
      </w:r>
    </w:p>
    <w:p w14:paraId="6C956EB9">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bookmarkStart w:id="3" w:name="_Toc497150753"/>
      <w:r>
        <w:rPr>
          <w:rFonts w:ascii="Arial" w:hAnsi="Arial" w:eastAsia="宋体" w:cs="Arial"/>
          <w:b/>
          <w:bCs/>
          <w:kern w:val="36"/>
          <w:sz w:val="32"/>
          <w:szCs w:val="32"/>
        </w:rPr>
        <w:t>范围</w:t>
      </w:r>
      <w:bookmarkEnd w:id="3"/>
    </w:p>
    <w:p w14:paraId="3BC5A5D2">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本指南适用于含有抗菌剂的医疗器械，以及含有抗菌剂、且主要作用模式为医疗器械的组合产品。本文件提供了FDA对含有抗菌剂或多种抗菌剂的医疗器械或组合产品510（k）申请中应提交信息的建议。</w:t>
      </w:r>
    </w:p>
    <w:p w14:paraId="28773172">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4" w:name="_Toc497150754"/>
      <w:r>
        <w:rPr>
          <w:rFonts w:ascii="Arial" w:hAnsi="Arial" w:eastAsia="宋体" w:cs="Arial"/>
          <w:b/>
          <w:bCs/>
          <w:kern w:val="36"/>
          <w:sz w:val="28"/>
          <w:szCs w:val="28"/>
        </w:rPr>
        <w:t>除外条款</w:t>
      </w:r>
      <w:bookmarkEnd w:id="4"/>
    </w:p>
    <w:p w14:paraId="7FB0B92D">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以下列出的产品不在本指南的范围内：</w:t>
      </w:r>
    </w:p>
    <w:p w14:paraId="39BD0097">
      <w:pPr>
        <w:pStyle w:val="29"/>
        <w:numPr>
          <w:ilvl w:val="0"/>
          <w:numId w:val="2"/>
        </w:numPr>
        <w:overflowPunct w:val="0"/>
        <w:adjustRightInd w:val="0"/>
        <w:snapToGrid w:val="0"/>
        <w:spacing w:after="240" w:line="300" w:lineRule="auto"/>
        <w:ind w:firstLineChars="0"/>
        <w:rPr>
          <w:rFonts w:ascii="Arial" w:hAnsi="Arial" w:eastAsia="宋体" w:cs="Arial"/>
          <w:bCs/>
          <w:kern w:val="36"/>
          <w:sz w:val="24"/>
          <w:szCs w:val="24"/>
        </w:rPr>
      </w:pPr>
      <w:r>
        <w:rPr>
          <w:rFonts w:ascii="Arial" w:hAnsi="Arial" w:eastAsia="宋体" w:cs="Arial"/>
          <w:bCs/>
          <w:kern w:val="36"/>
          <w:sz w:val="24"/>
          <w:szCs w:val="24"/>
        </w:rPr>
        <w:t>药物输送器械，且其主要用途是输送抗菌剂；</w:t>
      </w:r>
    </w:p>
    <w:p w14:paraId="22CC6378">
      <w:pPr>
        <w:pStyle w:val="29"/>
        <w:numPr>
          <w:ilvl w:val="0"/>
          <w:numId w:val="2"/>
        </w:numPr>
        <w:overflowPunct w:val="0"/>
        <w:adjustRightInd w:val="0"/>
        <w:snapToGrid w:val="0"/>
        <w:spacing w:after="240" w:line="300" w:lineRule="auto"/>
        <w:ind w:firstLineChars="0"/>
        <w:rPr>
          <w:rFonts w:ascii="Arial" w:hAnsi="Arial" w:eastAsia="宋体" w:cs="Arial"/>
          <w:bCs/>
          <w:kern w:val="36"/>
          <w:sz w:val="24"/>
          <w:szCs w:val="24"/>
        </w:rPr>
      </w:pPr>
      <w:r>
        <w:rPr>
          <w:rFonts w:ascii="Arial" w:hAnsi="Arial" w:eastAsia="宋体" w:cs="Arial"/>
          <w:bCs/>
          <w:kern w:val="36"/>
          <w:sz w:val="24"/>
          <w:szCs w:val="24"/>
        </w:rPr>
        <w:t>用于再处理可</w:t>
      </w:r>
      <w:r>
        <w:rPr>
          <w:rFonts w:hint="eastAsia" w:ascii="Arial" w:hAnsi="Arial" w:eastAsia="宋体" w:cs="Arial"/>
          <w:bCs/>
          <w:kern w:val="36"/>
          <w:sz w:val="24"/>
          <w:szCs w:val="24"/>
        </w:rPr>
        <w:t>再次</w:t>
      </w:r>
      <w:r>
        <w:rPr>
          <w:rFonts w:ascii="Arial" w:hAnsi="Arial" w:eastAsia="宋体" w:cs="Arial"/>
          <w:bCs/>
          <w:kern w:val="36"/>
          <w:sz w:val="24"/>
          <w:szCs w:val="24"/>
        </w:rPr>
        <w:t>使用的关键和半关键</w:t>
      </w:r>
      <w:r>
        <w:rPr>
          <w:rFonts w:hint="eastAsia" w:ascii="Arial" w:hAnsi="Arial" w:eastAsia="宋体" w:cs="Arial"/>
          <w:bCs/>
          <w:kern w:val="36"/>
          <w:sz w:val="24"/>
          <w:szCs w:val="24"/>
        </w:rPr>
        <w:t>性</w:t>
      </w:r>
      <w:r>
        <w:rPr>
          <w:rFonts w:ascii="Arial" w:hAnsi="Arial" w:eastAsia="宋体" w:cs="Arial"/>
          <w:bCs/>
          <w:kern w:val="36"/>
          <w:sz w:val="24"/>
          <w:szCs w:val="24"/>
        </w:rPr>
        <w:t>医疗器械的杀菌剂或灭菌剂</w:t>
      </w:r>
      <w:r>
        <w:rPr>
          <w:rStyle w:val="22"/>
          <w:rFonts w:ascii="Arial" w:hAnsi="Arial" w:eastAsia="宋体" w:cs="Arial"/>
          <w:bCs/>
          <w:kern w:val="36"/>
          <w:sz w:val="24"/>
          <w:szCs w:val="24"/>
        </w:rPr>
        <w:footnoteReference w:id="5"/>
      </w:r>
      <w:r>
        <w:rPr>
          <w:rFonts w:ascii="Arial" w:hAnsi="Arial" w:eastAsia="宋体" w:cs="Arial"/>
          <w:bCs/>
          <w:kern w:val="36"/>
          <w:sz w:val="24"/>
          <w:szCs w:val="24"/>
        </w:rPr>
        <w:t>；</w:t>
      </w:r>
    </w:p>
    <w:p w14:paraId="1610B86E">
      <w:pPr>
        <w:pStyle w:val="29"/>
        <w:numPr>
          <w:ilvl w:val="0"/>
          <w:numId w:val="2"/>
        </w:numPr>
        <w:overflowPunct w:val="0"/>
        <w:adjustRightInd w:val="0"/>
        <w:snapToGrid w:val="0"/>
        <w:spacing w:after="240" w:line="300" w:lineRule="auto"/>
        <w:ind w:firstLineChars="0"/>
        <w:rPr>
          <w:rFonts w:ascii="Arial" w:hAnsi="Arial" w:eastAsia="宋体" w:cs="Arial"/>
          <w:bCs/>
          <w:kern w:val="36"/>
          <w:sz w:val="24"/>
          <w:szCs w:val="24"/>
        </w:rPr>
      </w:pPr>
      <w:r>
        <w:rPr>
          <w:rFonts w:ascii="Arial" w:hAnsi="Arial" w:eastAsia="宋体" w:cs="Arial"/>
          <w:bCs/>
          <w:kern w:val="36"/>
          <w:sz w:val="24"/>
          <w:szCs w:val="24"/>
        </w:rPr>
        <w:t>根据标签说明，在终端灭菌或消毒前使用，用于对关键或半关键</w:t>
      </w:r>
      <w:r>
        <w:rPr>
          <w:rFonts w:hint="eastAsia" w:ascii="Arial" w:hAnsi="Arial" w:eastAsia="宋体" w:cs="Arial"/>
          <w:bCs/>
          <w:kern w:val="36"/>
          <w:sz w:val="24"/>
          <w:szCs w:val="24"/>
        </w:rPr>
        <w:t>性</w:t>
      </w:r>
      <w:r>
        <w:rPr>
          <w:rFonts w:ascii="Arial" w:hAnsi="Arial" w:eastAsia="宋体" w:cs="Arial"/>
          <w:bCs/>
          <w:kern w:val="36"/>
          <w:sz w:val="24"/>
          <w:szCs w:val="24"/>
        </w:rPr>
        <w:t>器械表面进行预清洁或去污的杀菌剂或灭菌剂；</w:t>
      </w:r>
    </w:p>
    <w:p w14:paraId="1A801287">
      <w:pPr>
        <w:pStyle w:val="29"/>
        <w:numPr>
          <w:ilvl w:val="0"/>
          <w:numId w:val="2"/>
        </w:numPr>
        <w:overflowPunct w:val="0"/>
        <w:adjustRightInd w:val="0"/>
        <w:snapToGrid w:val="0"/>
        <w:spacing w:after="240" w:line="300" w:lineRule="auto"/>
        <w:ind w:firstLineChars="0"/>
        <w:rPr>
          <w:rFonts w:ascii="Arial" w:hAnsi="Arial" w:eastAsia="宋体" w:cs="Arial"/>
          <w:bCs/>
          <w:kern w:val="36"/>
          <w:sz w:val="24"/>
          <w:szCs w:val="24"/>
        </w:rPr>
      </w:pPr>
      <w:r>
        <w:rPr>
          <w:rFonts w:ascii="Arial" w:hAnsi="Arial" w:eastAsia="宋体" w:cs="Arial"/>
          <w:bCs/>
          <w:kern w:val="36"/>
          <w:sz w:val="24"/>
          <w:szCs w:val="24"/>
        </w:rPr>
        <w:t>药物成分是新化学品（NCE）的组合产品</w:t>
      </w:r>
      <w:r>
        <w:rPr>
          <w:rStyle w:val="22"/>
          <w:rFonts w:ascii="Arial" w:hAnsi="Arial" w:eastAsia="宋体" w:cs="Arial"/>
          <w:bCs/>
          <w:kern w:val="36"/>
          <w:sz w:val="24"/>
          <w:szCs w:val="24"/>
        </w:rPr>
        <w:footnoteReference w:id="6"/>
      </w:r>
      <w:r>
        <w:rPr>
          <w:rFonts w:ascii="Arial" w:hAnsi="Arial" w:eastAsia="宋体" w:cs="Arial"/>
          <w:bCs/>
          <w:kern w:val="36"/>
          <w:sz w:val="24"/>
          <w:szCs w:val="24"/>
        </w:rPr>
        <w:t>。</w:t>
      </w:r>
    </w:p>
    <w:p w14:paraId="3E539238">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5" w:name="_Toc497150755"/>
      <w:r>
        <w:rPr>
          <w:rFonts w:hint="eastAsia" w:ascii="Arial" w:hAnsi="Arial" w:eastAsia="宋体" w:cs="Arial"/>
          <w:b/>
          <w:bCs/>
          <w:kern w:val="36"/>
          <w:sz w:val="28"/>
          <w:szCs w:val="28"/>
        </w:rPr>
        <w:t>其他</w:t>
      </w:r>
      <w:r>
        <w:rPr>
          <w:rFonts w:ascii="Arial" w:hAnsi="Arial" w:eastAsia="宋体" w:cs="Arial"/>
          <w:b/>
          <w:bCs/>
          <w:kern w:val="36"/>
          <w:sz w:val="28"/>
          <w:szCs w:val="28"/>
        </w:rPr>
        <w:t>信息</w:t>
      </w:r>
      <w:bookmarkEnd w:id="5"/>
    </w:p>
    <w:p w14:paraId="271D4BA2">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FDA建议使用本指导性文件作为其他CDRH指南的补充，特别是与您的器械相关的特定器械指南。</w:t>
      </w:r>
    </w:p>
    <w:p w14:paraId="29EB3ECC">
      <w:pPr>
        <w:overflowPunct w:val="0"/>
        <w:adjustRightInd w:val="0"/>
        <w:snapToGrid w:val="0"/>
        <w:spacing w:after="240" w:line="300" w:lineRule="auto"/>
        <w:jc w:val="left"/>
        <w:rPr>
          <w:rFonts w:ascii="Arial" w:hAnsi="Arial" w:eastAsia="宋体" w:cs="Arial"/>
          <w:bCs/>
          <w:kern w:val="36"/>
          <w:sz w:val="24"/>
          <w:szCs w:val="24"/>
        </w:rPr>
      </w:pPr>
      <w:r>
        <w:rPr>
          <w:rFonts w:ascii="Arial" w:hAnsi="Arial" w:eastAsia="宋体" w:cs="Arial"/>
          <w:bCs/>
          <w:kern w:val="36"/>
          <w:sz w:val="24"/>
          <w:szCs w:val="24"/>
        </w:rPr>
        <w:t>关于准备510（k）的更多信息，制造商还应参考21 CFR 807.87，指南</w:t>
      </w:r>
      <w:r>
        <w:rPr>
          <w:rFonts w:ascii="宋体" w:hAnsi="宋体" w:eastAsia="宋体" w:cs="Arial"/>
          <w:bCs/>
          <w:kern w:val="36"/>
          <w:sz w:val="24"/>
          <w:szCs w:val="24"/>
        </w:rPr>
        <w:t>“</w:t>
      </w:r>
      <w:r>
        <w:rPr>
          <w:rFonts w:ascii="Arial" w:hAnsi="Arial" w:eastAsia="宋体" w:cs="Arial"/>
          <w:b/>
          <w:bCs/>
          <w:kern w:val="36"/>
          <w:sz w:val="24"/>
          <w:szCs w:val="24"/>
        </w:rPr>
        <w:t>传统和简化510（k）的格式</w:t>
      </w:r>
      <w:r>
        <w:rPr>
          <w:rFonts w:ascii="宋体" w:hAnsi="宋体" w:eastAsia="宋体" w:cs="Arial"/>
          <w:bCs/>
          <w:kern w:val="36"/>
          <w:sz w:val="24"/>
          <w:szCs w:val="24"/>
        </w:rPr>
        <w:t>”</w:t>
      </w:r>
      <w:r>
        <w:rPr>
          <w:rStyle w:val="22"/>
          <w:rFonts w:ascii="Arial" w:hAnsi="Arial" w:eastAsia="宋体" w:cs="Arial"/>
          <w:bCs/>
          <w:kern w:val="36"/>
          <w:sz w:val="24"/>
          <w:szCs w:val="24"/>
        </w:rPr>
        <w:footnoteReference w:id="7"/>
      </w:r>
      <w:r>
        <w:rPr>
          <w:rFonts w:ascii="Arial" w:hAnsi="Arial" w:eastAsia="宋体" w:cs="Arial"/>
          <w:bCs/>
          <w:kern w:val="36"/>
          <w:sz w:val="24"/>
          <w:szCs w:val="24"/>
        </w:rPr>
        <w:t>和CDRH医疗器械建议的</w:t>
      </w:r>
      <w:r>
        <w:rPr>
          <w:rFonts w:ascii="宋体" w:hAnsi="宋体" w:eastAsia="宋体" w:cs="Arial"/>
          <w:bCs/>
          <w:kern w:val="36"/>
          <w:sz w:val="24"/>
          <w:szCs w:val="24"/>
        </w:rPr>
        <w:t>“</w:t>
      </w:r>
      <w:r>
        <w:rPr>
          <w:rFonts w:ascii="Arial" w:hAnsi="Arial" w:eastAsia="宋体" w:cs="Arial"/>
          <w:b/>
          <w:bCs/>
          <w:kern w:val="36"/>
          <w:sz w:val="24"/>
          <w:szCs w:val="24"/>
        </w:rPr>
        <w:t>如何准备510（k）申请</w:t>
      </w:r>
      <w:r>
        <w:rPr>
          <w:rFonts w:ascii="宋体" w:hAnsi="宋体" w:eastAsia="宋体" w:cs="Arial"/>
          <w:bCs/>
          <w:kern w:val="36"/>
          <w:sz w:val="24"/>
          <w:szCs w:val="24"/>
        </w:rPr>
        <w:t>”</w:t>
      </w:r>
      <w:r>
        <w:rPr>
          <w:rStyle w:val="22"/>
          <w:rFonts w:ascii="Arial" w:hAnsi="Arial" w:eastAsia="宋体" w:cs="Arial"/>
          <w:bCs/>
          <w:kern w:val="36"/>
          <w:sz w:val="24"/>
          <w:szCs w:val="24"/>
        </w:rPr>
        <w:footnoteReference w:id="8"/>
      </w:r>
      <w:r>
        <w:rPr>
          <w:rFonts w:ascii="Arial" w:hAnsi="Arial" w:eastAsia="宋体" w:cs="Arial"/>
          <w:bCs/>
          <w:kern w:val="36"/>
          <w:sz w:val="24"/>
          <w:szCs w:val="24"/>
        </w:rPr>
        <w:t>一节。制造商也可以通过致电（301）427-1934或通过网站</w:t>
      </w:r>
      <w:r>
        <w:rPr>
          <w:rFonts w:ascii="Arial" w:hAnsi="Arial" w:eastAsia="宋体" w:cs="Arial"/>
          <w:bCs/>
          <w:color w:val="0000FF"/>
          <w:kern w:val="36"/>
          <w:sz w:val="24"/>
          <w:szCs w:val="24"/>
          <w:u w:val="single"/>
        </w:rPr>
        <w:t>http://www.fda.gov/oc/combination/</w:t>
      </w:r>
      <w:r>
        <w:rPr>
          <w:rFonts w:ascii="Arial" w:hAnsi="Arial" w:eastAsia="宋体" w:cs="Arial"/>
          <w:bCs/>
          <w:kern w:val="36"/>
          <w:sz w:val="24"/>
          <w:szCs w:val="24"/>
        </w:rPr>
        <w:t>向FDA组合产品办公室获取关于组合产品的更多信息。</w:t>
      </w:r>
    </w:p>
    <w:p w14:paraId="3D9C6BCC">
      <w:pPr>
        <w:widowControl/>
        <w:jc w:val="left"/>
        <w:rPr>
          <w:rFonts w:ascii="Arial" w:hAnsi="Arial" w:eastAsia="宋体" w:cs="Arial"/>
          <w:b/>
          <w:bCs/>
          <w:kern w:val="36"/>
          <w:sz w:val="32"/>
          <w:szCs w:val="32"/>
        </w:rPr>
      </w:pPr>
      <w:r>
        <w:rPr>
          <w:rFonts w:ascii="Arial" w:hAnsi="Arial" w:eastAsia="宋体" w:cs="Arial"/>
          <w:b/>
          <w:bCs/>
          <w:kern w:val="36"/>
          <w:sz w:val="32"/>
          <w:szCs w:val="32"/>
        </w:rPr>
        <w:br w:type="page"/>
      </w:r>
    </w:p>
    <w:p w14:paraId="40D4F3BF">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bookmarkStart w:id="6" w:name="_Toc497150756"/>
      <w:r>
        <w:rPr>
          <w:rFonts w:ascii="Arial" w:hAnsi="Arial" w:eastAsia="宋体" w:cs="Arial"/>
          <w:b/>
          <w:bCs/>
          <w:kern w:val="36"/>
          <w:sz w:val="32"/>
          <w:szCs w:val="32"/>
        </w:rPr>
        <w:t>对包含抗菌剂医疗器械的建议</w:t>
      </w:r>
      <w:bookmarkEnd w:id="6"/>
    </w:p>
    <w:p w14:paraId="4497C5D8">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FDA认为，向合法销售的医疗器械添加抗菌剂一般为重大修改，并且根据21 CFR 807.87（g）的要求需要提交新的510（k）申请</w:t>
      </w:r>
      <w:r>
        <w:rPr>
          <w:rStyle w:val="22"/>
          <w:rFonts w:ascii="Arial" w:hAnsi="Arial" w:eastAsia="宋体" w:cs="Arial"/>
          <w:bCs/>
          <w:kern w:val="36"/>
          <w:sz w:val="24"/>
          <w:szCs w:val="24"/>
        </w:rPr>
        <w:footnoteReference w:id="9"/>
      </w:r>
      <w:r>
        <w:rPr>
          <w:rFonts w:ascii="Arial" w:hAnsi="Arial" w:eastAsia="宋体" w:cs="Arial"/>
          <w:bCs/>
          <w:kern w:val="36"/>
          <w:sz w:val="24"/>
          <w:szCs w:val="24"/>
        </w:rPr>
        <w:t>。我们也认为，向合法销售</w:t>
      </w:r>
      <w:r>
        <w:rPr>
          <w:rFonts w:hint="eastAsia" w:ascii="Arial" w:hAnsi="Arial" w:eastAsia="宋体" w:cs="Arial"/>
          <w:bCs/>
          <w:kern w:val="36"/>
          <w:sz w:val="24"/>
          <w:szCs w:val="24"/>
        </w:rPr>
        <w:t>且</w:t>
      </w:r>
      <w:r>
        <w:rPr>
          <w:rFonts w:ascii="Arial" w:hAnsi="Arial" w:eastAsia="宋体" w:cs="Arial"/>
          <w:bCs/>
          <w:kern w:val="36"/>
          <w:sz w:val="24"/>
          <w:szCs w:val="24"/>
        </w:rPr>
        <w:t>豁免510（k）的I类或II类器械中添加抗菌剂，通常超过了适用部分一般规定中所述的豁免范围（见第21 C.F.R.第862-892部分第9条款）。当修改超出豁免范围时，修改后的器械不能免除510（k）要求。</w:t>
      </w:r>
    </w:p>
    <w:p w14:paraId="0D8DD90C">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我们对包含抗菌剂的医疗器械的建议部分取决于市场上是否有与该器械具有相同的器械设计和使用相同的抗菌剂的合法等效产品（21 CFR 807.92（a）（3））。</w:t>
      </w:r>
    </w:p>
    <w:p w14:paraId="15CC5237">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在本指南中，如果出现以下情况，FDA认为含抗菌剂的医疗器械具有</w:t>
      </w:r>
      <w:r>
        <w:rPr>
          <w:rFonts w:ascii="宋体" w:hAnsi="宋体" w:eastAsia="宋体" w:cs="Arial"/>
          <w:bCs/>
          <w:kern w:val="36"/>
          <w:sz w:val="24"/>
          <w:szCs w:val="24"/>
        </w:rPr>
        <w:t>“</w:t>
      </w:r>
      <w:r>
        <w:rPr>
          <w:rFonts w:ascii="Arial" w:hAnsi="Arial" w:eastAsia="宋体" w:cs="Arial"/>
          <w:bCs/>
          <w:kern w:val="36"/>
          <w:sz w:val="24"/>
          <w:szCs w:val="24"/>
        </w:rPr>
        <w:t>相同性</w:t>
      </w:r>
      <w:r>
        <w:rPr>
          <w:rFonts w:ascii="宋体" w:hAnsi="宋体" w:eastAsia="宋体" w:cs="Arial"/>
          <w:bCs/>
          <w:kern w:val="36"/>
          <w:sz w:val="24"/>
          <w:szCs w:val="24"/>
        </w:rPr>
        <w:t>”</w:t>
      </w:r>
      <w:r>
        <w:rPr>
          <w:rFonts w:ascii="Arial" w:hAnsi="Arial" w:eastAsia="宋体" w:cs="Arial"/>
          <w:bCs/>
          <w:kern w:val="36"/>
          <w:sz w:val="24"/>
          <w:szCs w:val="24"/>
        </w:rPr>
        <w:t>：</w:t>
      </w:r>
    </w:p>
    <w:p w14:paraId="5A7ACBF0">
      <w:pPr>
        <w:pStyle w:val="29"/>
        <w:numPr>
          <w:ilvl w:val="0"/>
          <w:numId w:val="3"/>
        </w:numPr>
        <w:overflowPunct w:val="0"/>
        <w:adjustRightInd w:val="0"/>
        <w:snapToGrid w:val="0"/>
        <w:spacing w:after="240" w:line="300" w:lineRule="auto"/>
        <w:ind w:left="567" w:leftChars="100" w:hanging="357" w:firstLineChars="0"/>
        <w:rPr>
          <w:rFonts w:ascii="Arial" w:hAnsi="Arial" w:eastAsia="宋体" w:cs="Arial"/>
          <w:bCs/>
          <w:kern w:val="36"/>
          <w:sz w:val="24"/>
          <w:szCs w:val="24"/>
        </w:rPr>
      </w:pPr>
      <w:r>
        <w:rPr>
          <w:rFonts w:hint="eastAsia" w:ascii="Arial" w:hAnsi="Arial" w:eastAsia="宋体" w:cs="Arial"/>
          <w:bCs/>
          <w:kern w:val="36"/>
          <w:sz w:val="24"/>
          <w:szCs w:val="24"/>
        </w:rPr>
        <w:t>与等同产品相比，</w:t>
      </w:r>
      <w:r>
        <w:rPr>
          <w:rFonts w:ascii="Arial" w:hAnsi="Arial" w:eastAsia="宋体" w:cs="Arial"/>
          <w:bCs/>
          <w:kern w:val="36"/>
          <w:sz w:val="24"/>
          <w:szCs w:val="24"/>
        </w:rPr>
        <w:t>抗菌剂具有相同的：</w:t>
      </w:r>
    </w:p>
    <w:p w14:paraId="33EEACBA">
      <w:pPr>
        <w:pStyle w:val="29"/>
        <w:numPr>
          <w:ilvl w:val="0"/>
          <w:numId w:val="4"/>
        </w:numPr>
        <w:overflowPunct w:val="0"/>
        <w:adjustRightInd w:val="0"/>
        <w:snapToGrid w:val="0"/>
        <w:spacing w:after="240" w:line="300" w:lineRule="auto"/>
        <w:ind w:firstLine="168" w:firstLineChars="0"/>
        <w:rPr>
          <w:rFonts w:ascii="Arial" w:hAnsi="Arial" w:eastAsia="宋体" w:cs="Arial"/>
          <w:bCs/>
          <w:kern w:val="36"/>
          <w:sz w:val="24"/>
          <w:szCs w:val="24"/>
        </w:rPr>
      </w:pPr>
      <w:r>
        <w:rPr>
          <w:rFonts w:hint="eastAsia" w:ascii="Arial" w:hAnsi="Arial" w:eastAsia="宋体" w:cs="Arial"/>
          <w:bCs/>
          <w:kern w:val="36"/>
          <w:sz w:val="24"/>
          <w:szCs w:val="24"/>
        </w:rPr>
        <w:t>特性</w:t>
      </w:r>
      <w:r>
        <w:rPr>
          <w:rFonts w:ascii="Arial" w:hAnsi="Arial" w:eastAsia="宋体" w:cs="Arial"/>
          <w:bCs/>
          <w:kern w:val="36"/>
          <w:sz w:val="24"/>
          <w:szCs w:val="24"/>
        </w:rPr>
        <w:t>，配方和浓度</w:t>
      </w:r>
    </w:p>
    <w:p w14:paraId="66651CAE">
      <w:pPr>
        <w:pStyle w:val="29"/>
        <w:numPr>
          <w:ilvl w:val="0"/>
          <w:numId w:val="4"/>
        </w:numPr>
        <w:overflowPunct w:val="0"/>
        <w:adjustRightInd w:val="0"/>
        <w:snapToGrid w:val="0"/>
        <w:spacing w:after="240" w:line="300" w:lineRule="auto"/>
        <w:ind w:firstLine="168" w:firstLineChars="0"/>
        <w:rPr>
          <w:rFonts w:ascii="Arial" w:hAnsi="Arial" w:eastAsia="宋体" w:cs="Arial"/>
          <w:bCs/>
          <w:kern w:val="36"/>
          <w:sz w:val="24"/>
          <w:szCs w:val="24"/>
        </w:rPr>
      </w:pPr>
      <w:r>
        <w:rPr>
          <w:rFonts w:ascii="Arial" w:hAnsi="Arial" w:eastAsia="宋体" w:cs="Arial"/>
          <w:bCs/>
          <w:kern w:val="36"/>
          <w:sz w:val="24"/>
          <w:szCs w:val="24"/>
        </w:rPr>
        <w:t>应用于器械的方法（如附加，结合或涂层）</w:t>
      </w:r>
    </w:p>
    <w:p w14:paraId="500A397E">
      <w:pPr>
        <w:pStyle w:val="29"/>
        <w:numPr>
          <w:ilvl w:val="0"/>
          <w:numId w:val="4"/>
        </w:numPr>
        <w:overflowPunct w:val="0"/>
        <w:adjustRightInd w:val="0"/>
        <w:snapToGrid w:val="0"/>
        <w:spacing w:after="240" w:line="300" w:lineRule="auto"/>
        <w:ind w:firstLine="168" w:firstLineChars="0"/>
        <w:rPr>
          <w:rFonts w:ascii="Arial" w:hAnsi="Arial" w:eastAsia="宋体" w:cs="Arial"/>
          <w:bCs/>
          <w:kern w:val="36"/>
          <w:sz w:val="24"/>
          <w:szCs w:val="24"/>
        </w:rPr>
      </w:pPr>
      <w:r>
        <w:rPr>
          <w:rFonts w:ascii="Arial" w:hAnsi="Arial" w:eastAsia="宋体" w:cs="Arial"/>
          <w:bCs/>
          <w:kern w:val="36"/>
          <w:sz w:val="24"/>
          <w:szCs w:val="24"/>
        </w:rPr>
        <w:t>抗菌剂从器械释放的机制；和</w:t>
      </w:r>
    </w:p>
    <w:p w14:paraId="334C8166">
      <w:pPr>
        <w:pStyle w:val="29"/>
        <w:numPr>
          <w:ilvl w:val="0"/>
          <w:numId w:val="3"/>
        </w:numPr>
        <w:overflowPunct w:val="0"/>
        <w:adjustRightInd w:val="0"/>
        <w:snapToGrid w:val="0"/>
        <w:spacing w:after="240" w:line="300" w:lineRule="auto"/>
        <w:ind w:left="567" w:leftChars="100" w:hanging="357" w:firstLineChars="0"/>
        <w:rPr>
          <w:rFonts w:ascii="Arial" w:hAnsi="Arial" w:eastAsia="宋体" w:cs="Arial"/>
          <w:bCs/>
          <w:kern w:val="36"/>
          <w:sz w:val="24"/>
          <w:szCs w:val="24"/>
        </w:rPr>
      </w:pPr>
      <w:r>
        <w:rPr>
          <w:rFonts w:ascii="Arial" w:hAnsi="Arial" w:eastAsia="宋体" w:cs="Arial"/>
          <w:bCs/>
          <w:kern w:val="36"/>
          <w:sz w:val="24"/>
          <w:szCs w:val="24"/>
        </w:rPr>
        <w:t>含抗菌剂的器械与等同器械相比具有相同的适应症，包括产品应用解剖部位应保持一致；和</w:t>
      </w:r>
    </w:p>
    <w:p w14:paraId="190CEBBE">
      <w:pPr>
        <w:pStyle w:val="29"/>
        <w:numPr>
          <w:ilvl w:val="0"/>
          <w:numId w:val="3"/>
        </w:numPr>
        <w:overflowPunct w:val="0"/>
        <w:adjustRightInd w:val="0"/>
        <w:snapToGrid w:val="0"/>
        <w:spacing w:after="240" w:line="300" w:lineRule="auto"/>
        <w:ind w:left="567" w:leftChars="100" w:hanging="357" w:firstLineChars="0"/>
        <w:rPr>
          <w:rFonts w:ascii="Arial" w:hAnsi="Arial" w:eastAsia="宋体" w:cs="Arial"/>
          <w:bCs/>
          <w:kern w:val="36"/>
          <w:sz w:val="24"/>
          <w:szCs w:val="24"/>
        </w:rPr>
      </w:pPr>
      <w:r>
        <w:rPr>
          <w:rFonts w:ascii="Arial" w:hAnsi="Arial" w:eastAsia="宋体" w:cs="Arial"/>
          <w:bCs/>
          <w:kern w:val="36"/>
          <w:sz w:val="24"/>
          <w:szCs w:val="24"/>
        </w:rPr>
        <w:t>器械具有与等同器械相同的设计特征（如材料，几何，功能）。</w:t>
      </w:r>
    </w:p>
    <w:p w14:paraId="1FBC88A7">
      <w:pPr>
        <w:overflowPunct w:val="0"/>
        <w:adjustRightInd w:val="0"/>
        <w:snapToGrid w:val="0"/>
        <w:spacing w:after="240" w:line="300" w:lineRule="auto"/>
        <w:rPr>
          <w:rFonts w:ascii="Arial" w:hAnsi="Arial" w:eastAsia="宋体" w:cs="Arial"/>
          <w:bCs/>
          <w:kern w:val="36"/>
          <w:sz w:val="24"/>
          <w:szCs w:val="24"/>
        </w:rPr>
      </w:pPr>
      <w:bookmarkStart w:id="7" w:name="OLE_LINK2"/>
      <w:bookmarkStart w:id="8" w:name="OLE_LINK1"/>
      <w:r>
        <w:rPr>
          <w:rFonts w:ascii="Arial" w:hAnsi="Arial" w:eastAsia="宋体" w:cs="Arial"/>
          <w:bCs/>
          <w:kern w:val="36"/>
          <w:sz w:val="24"/>
          <w:szCs w:val="24"/>
        </w:rPr>
        <w:t>在本指导性文件中，</w:t>
      </w:r>
      <w:bookmarkEnd w:id="7"/>
      <w:bookmarkEnd w:id="8"/>
      <w:r>
        <w:rPr>
          <w:rFonts w:ascii="Arial" w:hAnsi="Arial" w:eastAsia="宋体" w:cs="Arial"/>
          <w:bCs/>
          <w:kern w:val="36"/>
          <w:sz w:val="24"/>
          <w:szCs w:val="24"/>
        </w:rPr>
        <w:t>FDA将包含抗菌剂但不符合上述标准的医疗器械认定为</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。在这种情况下，</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的器械是指，例如，具有不同的聚合物配方、不同的抗菌剂结合于器械表面或内部的方式、或不同类型的抗菌剂的器械。</w:t>
      </w:r>
    </w:p>
    <w:p w14:paraId="71E988F3">
      <w:pPr>
        <w:widowControl/>
        <w:jc w:val="left"/>
        <w:rPr>
          <w:rFonts w:ascii="Arial" w:hAnsi="Arial" w:eastAsia="宋体" w:cs="Arial"/>
          <w:bCs/>
          <w:kern w:val="36"/>
          <w:sz w:val="24"/>
          <w:szCs w:val="24"/>
        </w:rPr>
      </w:pPr>
      <w:r>
        <w:rPr>
          <w:rFonts w:ascii="Arial" w:hAnsi="Arial" w:eastAsia="宋体" w:cs="Arial"/>
          <w:bCs/>
          <w:kern w:val="36"/>
          <w:sz w:val="24"/>
          <w:szCs w:val="24"/>
        </w:rPr>
        <w:br w:type="page"/>
      </w:r>
    </w:p>
    <w:p w14:paraId="1ED34417">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在本指导性文件中，若医疗器械被确定为</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，则支持实质等</w:t>
      </w:r>
      <w:r>
        <w:rPr>
          <w:rFonts w:hint="eastAsia" w:ascii="Arial" w:hAnsi="Arial" w:eastAsia="宋体" w:cs="Arial"/>
          <w:bCs/>
          <w:kern w:val="36"/>
          <w:sz w:val="24"/>
          <w:szCs w:val="24"/>
        </w:rPr>
        <w:t>同</w:t>
      </w:r>
      <w:r>
        <w:rPr>
          <w:rFonts w:ascii="Arial" w:hAnsi="Arial" w:eastAsia="宋体" w:cs="Arial"/>
          <w:bCs/>
          <w:kern w:val="36"/>
          <w:sz w:val="24"/>
          <w:szCs w:val="24"/>
        </w:rPr>
        <w:t>性所需的信息通常要少于</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器械所需的信息。当器械确定为</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（如本指南中所述）时，FDA建议制造商提供有关抗菌剂特性、医疗器械和附加抗菌剂的医疗器械的更多信息。表1总结了FDA建议您为含抗菌剂的器械提交的信息和测试结果。</w:t>
      </w:r>
    </w:p>
    <w:p w14:paraId="630121EE">
      <w:pPr>
        <w:widowControl/>
        <w:jc w:val="left"/>
        <w:rPr>
          <w:rFonts w:ascii="Arial" w:hAnsi="Arial" w:eastAsia="宋体" w:cs="Arial"/>
          <w:bCs/>
          <w:kern w:val="36"/>
          <w:sz w:val="24"/>
          <w:szCs w:val="24"/>
        </w:rPr>
      </w:pPr>
      <w:r>
        <w:rPr>
          <w:rFonts w:ascii="Arial" w:hAnsi="Arial" w:eastAsia="宋体" w:cs="Arial"/>
          <w:bCs/>
          <w:kern w:val="36"/>
          <w:sz w:val="24"/>
          <w:szCs w:val="24"/>
        </w:rPr>
        <w:br w:type="page"/>
      </w:r>
    </w:p>
    <w:p w14:paraId="29E7DC88">
      <w:pPr>
        <w:overflowPunct w:val="0"/>
        <w:adjustRightInd w:val="0"/>
        <w:snapToGrid w:val="0"/>
        <w:spacing w:after="240" w:line="300" w:lineRule="auto"/>
        <w:rPr>
          <w:rFonts w:ascii="Arial" w:hAnsi="Arial" w:eastAsia="宋体" w:cs="Arial"/>
          <w:b/>
          <w:bCs/>
          <w:kern w:val="36"/>
          <w:sz w:val="24"/>
          <w:szCs w:val="24"/>
        </w:rPr>
      </w:pPr>
      <w:r>
        <w:rPr>
          <w:rFonts w:ascii="Arial" w:hAnsi="Arial" w:eastAsia="宋体" w:cs="Arial"/>
          <w:b/>
          <w:bCs/>
          <w:kern w:val="36"/>
          <w:sz w:val="24"/>
          <w:szCs w:val="24"/>
        </w:rPr>
        <w:t>表1. 针对含抗菌剂医疗器械的建议</w:t>
      </w:r>
    </w:p>
    <w:tbl>
      <w:tblPr>
        <w:tblStyle w:val="15"/>
        <w:tblW w:w="5000" w:type="pct"/>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77"/>
        <w:gridCol w:w="4075"/>
        <w:gridCol w:w="3194"/>
      </w:tblGrid>
      <w:tr w14:paraId="7603DA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747" w:type="pct"/>
            <w:tcBorders>
              <w:top w:val="single" w:color="DDDDDD" w:sz="6" w:space="0"/>
              <w:left w:val="single" w:color="DDDDDD" w:sz="6" w:space="0"/>
              <w:bottom w:val="single" w:color="DDDDDD" w:sz="6" w:space="0"/>
              <w:right w:val="single" w:color="DDDDDD" w:sz="6" w:space="0"/>
            </w:tcBorders>
            <w:shd w:val="clear" w:color="auto" w:fill="CCFFFF"/>
            <w:tcMar>
              <w:top w:w="120" w:type="dxa"/>
              <w:left w:w="120" w:type="dxa"/>
              <w:bottom w:w="120" w:type="dxa"/>
              <w:right w:w="120" w:type="dxa"/>
            </w:tcMar>
          </w:tcPr>
          <w:p w14:paraId="0142F100">
            <w:pPr>
              <w:widowControl/>
              <w:overflowPunct w:val="0"/>
              <w:snapToGrid w:val="0"/>
              <w:spacing w:before="46" w:beforeLines="15" w:after="46" w:afterLines="15" w:line="276" w:lineRule="auto"/>
              <w:rPr>
                <w:rFonts w:ascii="Arial" w:hAnsi="Arial" w:eastAsia="宋体" w:cs="Arial"/>
                <w:kern w:val="0"/>
                <w:szCs w:val="21"/>
              </w:rPr>
            </w:pPr>
          </w:p>
        </w:tc>
        <w:tc>
          <w:tcPr>
            <w:tcW w:w="2384" w:type="pct"/>
            <w:tcBorders>
              <w:top w:val="single" w:color="DDDDDD" w:sz="6" w:space="0"/>
              <w:left w:val="single" w:color="DDDDDD" w:sz="6" w:space="0"/>
              <w:bottom w:val="single" w:color="DDDDDD" w:sz="6" w:space="0"/>
              <w:right w:val="single" w:color="DDDDDD" w:sz="6" w:space="0"/>
            </w:tcBorders>
            <w:shd w:val="clear" w:color="auto" w:fill="CCFFFF"/>
            <w:tcMar>
              <w:top w:w="120" w:type="dxa"/>
              <w:left w:w="120" w:type="dxa"/>
              <w:bottom w:w="120" w:type="dxa"/>
              <w:right w:w="120" w:type="dxa"/>
            </w:tcMar>
          </w:tcPr>
          <w:p w14:paraId="00243AC9">
            <w:pPr>
              <w:widowControl/>
              <w:overflowPunct w:val="0"/>
              <w:snapToGrid w:val="0"/>
              <w:spacing w:before="46" w:beforeLines="15" w:after="46" w:afterLines="15" w:line="276" w:lineRule="auto"/>
              <w:rPr>
                <w:rFonts w:ascii="Arial" w:hAnsi="Arial" w:eastAsia="宋体" w:cs="Arial"/>
                <w:kern w:val="0"/>
                <w:szCs w:val="21"/>
              </w:rPr>
            </w:pPr>
            <w:r>
              <w:rPr>
                <w:rFonts w:ascii="宋体" w:hAnsi="宋体" w:eastAsia="宋体" w:cs="Arial"/>
                <w:b/>
                <w:bCs/>
                <w:kern w:val="0"/>
                <w:szCs w:val="21"/>
              </w:rPr>
              <w:t>“</w:t>
            </w:r>
            <w:r>
              <w:rPr>
                <w:rFonts w:ascii="Arial" w:hAnsi="Arial" w:eastAsia="宋体" w:cs="Arial"/>
                <w:b/>
                <w:bCs/>
                <w:kern w:val="0"/>
                <w:szCs w:val="21"/>
              </w:rPr>
              <w:t>相同</w:t>
            </w:r>
            <w:r>
              <w:rPr>
                <w:rFonts w:ascii="宋体" w:hAnsi="宋体" w:eastAsia="宋体" w:cs="Arial"/>
                <w:b/>
                <w:bCs/>
                <w:kern w:val="0"/>
                <w:szCs w:val="21"/>
              </w:rPr>
              <w:t>”</w:t>
            </w:r>
          </w:p>
        </w:tc>
        <w:tc>
          <w:tcPr>
            <w:tcW w:w="1869" w:type="pct"/>
            <w:tcBorders>
              <w:top w:val="single" w:color="DDDDDD" w:sz="6" w:space="0"/>
              <w:left w:val="single" w:color="DDDDDD" w:sz="6" w:space="0"/>
              <w:bottom w:val="single" w:color="DDDDDD" w:sz="6" w:space="0"/>
              <w:right w:val="single" w:color="DDDDDD" w:sz="6" w:space="0"/>
            </w:tcBorders>
            <w:shd w:val="clear" w:color="auto" w:fill="CCFFFF"/>
            <w:tcMar>
              <w:top w:w="120" w:type="dxa"/>
              <w:left w:w="120" w:type="dxa"/>
              <w:bottom w:w="120" w:type="dxa"/>
              <w:right w:w="120" w:type="dxa"/>
            </w:tcMar>
          </w:tcPr>
          <w:p w14:paraId="08EFE3D3">
            <w:pPr>
              <w:widowControl/>
              <w:overflowPunct w:val="0"/>
              <w:snapToGrid w:val="0"/>
              <w:spacing w:before="46" w:beforeLines="15" w:after="46" w:afterLines="15" w:line="276" w:lineRule="auto"/>
              <w:rPr>
                <w:rFonts w:ascii="Arial" w:hAnsi="Arial" w:eastAsia="宋体" w:cs="Arial"/>
                <w:kern w:val="0"/>
                <w:szCs w:val="21"/>
              </w:rPr>
            </w:pPr>
            <w:r>
              <w:rPr>
                <w:rFonts w:ascii="宋体" w:hAnsi="宋体" w:eastAsia="宋体" w:cs="Arial"/>
                <w:b/>
                <w:bCs/>
                <w:kern w:val="0"/>
                <w:szCs w:val="21"/>
              </w:rPr>
              <w:t>“</w:t>
            </w:r>
            <w:r>
              <w:rPr>
                <w:rFonts w:ascii="Arial" w:hAnsi="Arial" w:eastAsia="宋体" w:cs="Arial"/>
                <w:b/>
                <w:bCs/>
                <w:kern w:val="0"/>
                <w:szCs w:val="21"/>
              </w:rPr>
              <w:t>修改</w:t>
            </w:r>
            <w:r>
              <w:rPr>
                <w:rFonts w:ascii="宋体" w:hAnsi="宋体" w:eastAsia="宋体" w:cs="Arial"/>
                <w:b/>
                <w:bCs/>
                <w:kern w:val="0"/>
                <w:szCs w:val="21"/>
              </w:rPr>
              <w:t>”</w:t>
            </w:r>
          </w:p>
        </w:tc>
      </w:tr>
      <w:tr w14:paraId="52EF2F3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729" w:hRule="atLeast"/>
        </w:trPr>
        <w:tc>
          <w:tcPr>
            <w:tcW w:w="747"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E1269B">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产品描述</w:t>
            </w:r>
          </w:p>
        </w:tc>
        <w:tc>
          <w:tcPr>
            <w:tcW w:w="2384"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404869">
            <w:pPr>
              <w:widowControl/>
              <w:overflowPunct w:val="0"/>
              <w:snapToGrid w:val="0"/>
              <w:spacing w:before="46" w:beforeLines="15" w:after="46" w:afterLines="15" w:line="276" w:lineRule="auto"/>
              <w:rPr>
                <w:rFonts w:ascii="Arial" w:hAnsi="Arial" w:eastAsia="宋体" w:cs="Arial"/>
                <w:kern w:val="0"/>
                <w:szCs w:val="21"/>
              </w:rPr>
            </w:pPr>
            <w:r>
              <w:rPr>
                <w:rFonts w:hint="eastAsia" w:ascii="Arial" w:hAnsi="Arial" w:eastAsia="宋体" w:cs="Arial"/>
                <w:kern w:val="0"/>
                <w:szCs w:val="21"/>
              </w:rPr>
              <w:t>适应症</w:t>
            </w:r>
            <w:r>
              <w:rPr>
                <w:rFonts w:ascii="Arial" w:hAnsi="Arial" w:eastAsia="宋体" w:cs="Arial"/>
                <w:kern w:val="0"/>
                <w:szCs w:val="21"/>
              </w:rPr>
              <w:t>（与等同器械相同——包括解剖部位）</w:t>
            </w:r>
          </w:p>
          <w:p w14:paraId="0413531A">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医疗器械添加抗菌剂的原因</w:t>
            </w:r>
          </w:p>
          <w:p w14:paraId="7467CB16">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器械的详细描述</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7D3750">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适应症（与等同器械相同或不同）</w:t>
            </w:r>
          </w:p>
          <w:p w14:paraId="065033AA">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医疗器械添加抗菌剂的原因</w:t>
            </w:r>
          </w:p>
          <w:p w14:paraId="7BB1113C">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器械的详细描述</w:t>
            </w:r>
          </w:p>
        </w:tc>
      </w:tr>
      <w:tr w14:paraId="00E223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747"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F26981">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抗菌剂的描述性表征</w:t>
            </w:r>
          </w:p>
        </w:tc>
        <w:tc>
          <w:tcPr>
            <w:tcW w:w="2384"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AC6599F">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与含有相同抗菌剂的</w:t>
            </w:r>
            <w:r>
              <w:rPr>
                <w:rFonts w:hint="eastAsia" w:ascii="Arial" w:hAnsi="Arial" w:eastAsia="宋体" w:cs="Arial"/>
                <w:kern w:val="0"/>
                <w:szCs w:val="21"/>
              </w:rPr>
              <w:t>等同</w:t>
            </w:r>
            <w:r>
              <w:rPr>
                <w:rFonts w:ascii="Arial" w:hAnsi="Arial" w:eastAsia="宋体" w:cs="Arial"/>
                <w:kern w:val="0"/>
                <w:szCs w:val="21"/>
              </w:rPr>
              <w:t>器械的描述性比较，通过比较申请器械和等同器械的以下方面证明抗菌剂相同：</w:t>
            </w:r>
          </w:p>
          <w:p w14:paraId="45B3EFBF">
            <w:pPr>
              <w:widowControl/>
              <w:numPr>
                <w:ilvl w:val="0"/>
                <w:numId w:val="5"/>
              </w:numPr>
              <w:overflowPunct w:val="0"/>
              <w:snapToGrid w:val="0"/>
              <w:spacing w:before="46" w:beforeLines="15" w:after="46" w:afterLines="15" w:line="276" w:lineRule="auto"/>
              <w:ind w:firstLine="0"/>
              <w:rPr>
                <w:rFonts w:ascii="Arial" w:hAnsi="Arial" w:eastAsia="宋体" w:cs="Arial"/>
                <w:kern w:val="0"/>
                <w:szCs w:val="21"/>
              </w:rPr>
            </w:pPr>
            <w:r>
              <w:rPr>
                <w:rFonts w:hint="eastAsia" w:ascii="Arial" w:hAnsi="Arial" w:eastAsia="宋体" w:cs="Arial"/>
                <w:kern w:val="0"/>
                <w:szCs w:val="21"/>
              </w:rPr>
              <w:t>特性</w:t>
            </w:r>
            <w:r>
              <w:rPr>
                <w:rFonts w:ascii="Arial" w:hAnsi="Arial" w:eastAsia="宋体" w:cs="Arial"/>
                <w:kern w:val="0"/>
                <w:szCs w:val="21"/>
              </w:rPr>
              <w:t>，配方和浓度</w:t>
            </w:r>
          </w:p>
          <w:p w14:paraId="23014B2E">
            <w:pPr>
              <w:widowControl/>
              <w:numPr>
                <w:ilvl w:val="0"/>
                <w:numId w:val="5"/>
              </w:numPr>
              <w:overflowPunct w:val="0"/>
              <w:snapToGrid w:val="0"/>
              <w:spacing w:before="46" w:beforeLines="15" w:after="46" w:afterLines="15" w:line="276" w:lineRule="auto"/>
              <w:ind w:firstLine="0"/>
              <w:rPr>
                <w:rFonts w:ascii="Arial" w:hAnsi="Arial" w:eastAsia="宋体" w:cs="Arial"/>
                <w:kern w:val="0"/>
                <w:szCs w:val="21"/>
              </w:rPr>
            </w:pPr>
            <w:r>
              <w:rPr>
                <w:rFonts w:ascii="Arial" w:hAnsi="Arial" w:eastAsia="宋体" w:cs="Arial"/>
                <w:kern w:val="0"/>
                <w:szCs w:val="21"/>
              </w:rPr>
              <w:t>应用于器械的方法</w:t>
            </w:r>
          </w:p>
          <w:p w14:paraId="240E86CE">
            <w:pPr>
              <w:widowControl/>
              <w:numPr>
                <w:ilvl w:val="0"/>
                <w:numId w:val="5"/>
              </w:numPr>
              <w:overflowPunct w:val="0"/>
              <w:snapToGrid w:val="0"/>
              <w:spacing w:before="46" w:beforeLines="15" w:after="46" w:afterLines="15" w:line="276" w:lineRule="auto"/>
              <w:ind w:firstLine="0"/>
              <w:rPr>
                <w:rFonts w:ascii="Arial" w:hAnsi="Arial" w:eastAsia="宋体" w:cs="Arial"/>
                <w:kern w:val="0"/>
                <w:szCs w:val="21"/>
              </w:rPr>
            </w:pPr>
            <w:r>
              <w:rPr>
                <w:rFonts w:ascii="Arial" w:hAnsi="Arial" w:eastAsia="宋体" w:cs="Arial"/>
                <w:kern w:val="0"/>
                <w:szCs w:val="21"/>
              </w:rPr>
              <w:t>抗菌剂从器械释放的机制</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1EC106">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抗菌剂的详细说明和预临床试验结果：</w:t>
            </w:r>
          </w:p>
          <w:p w14:paraId="37DFF419">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特性和配方</w:t>
            </w:r>
          </w:p>
          <w:p w14:paraId="51B2F323">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浓度</w:t>
            </w:r>
          </w:p>
          <w:p w14:paraId="7C030309">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应用于器械的方法</w:t>
            </w:r>
          </w:p>
          <w:p w14:paraId="1F6E5D0B">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作用机制</w:t>
            </w:r>
          </w:p>
          <w:p w14:paraId="67F430A2">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抗菌活性谱（分布）</w:t>
            </w:r>
          </w:p>
          <w:p w14:paraId="1DFA9530">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释放动力学</w:t>
            </w:r>
          </w:p>
          <w:p w14:paraId="313A2037">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最低有效浓度（MEC）</w:t>
            </w:r>
          </w:p>
          <w:p w14:paraId="1DF2A64A">
            <w:pPr>
              <w:widowControl/>
              <w:numPr>
                <w:ilvl w:val="0"/>
                <w:numId w:val="6"/>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抗菌剂毒性</w:t>
            </w:r>
          </w:p>
        </w:tc>
      </w:tr>
      <w:tr w14:paraId="7B62813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747"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6E2057">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产品特性†</w:t>
            </w:r>
          </w:p>
        </w:tc>
        <w:tc>
          <w:tcPr>
            <w:tcW w:w="2384"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1DB9341">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与等同器械的描述性比较††</w:t>
            </w:r>
          </w:p>
          <w:p w14:paraId="6D0BDE65">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无菌性（如无菌）</w:t>
            </w:r>
          </w:p>
          <w:p w14:paraId="20273EEE">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生物相容性</w:t>
            </w:r>
          </w:p>
          <w:p w14:paraId="737BFC69">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器械的性能测试††</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0FDD8F">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与等同器械的描述性比较</w:t>
            </w:r>
          </w:p>
          <w:p w14:paraId="71B3BC3E">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无菌性（如无菌）</w:t>
            </w:r>
          </w:p>
          <w:p w14:paraId="17499C20">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生物相容性</w:t>
            </w:r>
          </w:p>
          <w:p w14:paraId="72C22CC5">
            <w:pPr>
              <w:widowControl/>
              <w:overflowPunct w:val="0"/>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性能测试表明该产品与等同器械一样安全有效，包括：</w:t>
            </w:r>
          </w:p>
          <w:p w14:paraId="1E3C79FB">
            <w:pPr>
              <w:widowControl/>
              <w:numPr>
                <w:ilvl w:val="0"/>
                <w:numId w:val="7"/>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iCs/>
                <w:kern w:val="0"/>
                <w:szCs w:val="21"/>
              </w:rPr>
              <w:t>体外</w:t>
            </w:r>
            <w:r>
              <w:rPr>
                <w:rFonts w:ascii="Arial" w:hAnsi="Arial" w:eastAsia="宋体" w:cs="Arial"/>
                <w:kern w:val="0"/>
                <w:szCs w:val="21"/>
              </w:rPr>
              <w:t>测试</w:t>
            </w:r>
          </w:p>
          <w:p w14:paraId="112041C4">
            <w:pPr>
              <w:widowControl/>
              <w:numPr>
                <w:ilvl w:val="0"/>
                <w:numId w:val="7"/>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动物实验</w:t>
            </w:r>
          </w:p>
          <w:p w14:paraId="1D87BCCB">
            <w:pPr>
              <w:widowControl/>
              <w:numPr>
                <w:ilvl w:val="0"/>
                <w:numId w:val="7"/>
              </w:numPr>
              <w:overflowPunct w:val="0"/>
              <w:snapToGrid w:val="0"/>
              <w:spacing w:before="46" w:beforeLines="15" w:after="46" w:afterLines="15" w:line="276" w:lineRule="auto"/>
              <w:ind w:left="300" w:firstLine="0"/>
              <w:rPr>
                <w:rFonts w:ascii="Arial" w:hAnsi="Arial" w:eastAsia="宋体" w:cs="Arial"/>
                <w:kern w:val="0"/>
                <w:szCs w:val="21"/>
              </w:rPr>
            </w:pPr>
            <w:r>
              <w:rPr>
                <w:rFonts w:ascii="Arial" w:hAnsi="Arial" w:eastAsia="宋体" w:cs="Arial"/>
                <w:kern w:val="0"/>
                <w:szCs w:val="21"/>
              </w:rPr>
              <w:t>临床研究***</w:t>
            </w:r>
          </w:p>
        </w:tc>
      </w:tr>
    </w:tbl>
    <w:p w14:paraId="566744DB">
      <w:pPr>
        <w:overflowPunct w:val="0"/>
        <w:adjustRightInd w:val="0"/>
        <w:snapToGrid w:val="0"/>
        <w:spacing w:after="240" w:line="300" w:lineRule="auto"/>
        <w:rPr>
          <w:rFonts w:ascii="Arial" w:hAnsi="Arial" w:eastAsia="宋体" w:cs="Arial"/>
          <w:bCs/>
          <w:kern w:val="36"/>
          <w:szCs w:val="21"/>
        </w:rPr>
      </w:pPr>
      <w:r>
        <w:rPr>
          <w:rFonts w:ascii="Arial" w:hAnsi="Arial" w:eastAsia="宋体" w:cs="Arial"/>
          <w:bCs/>
          <w:kern w:val="36"/>
          <w:szCs w:val="21"/>
        </w:rPr>
        <w:t>†FDA建议您在所有测试中使用最终成品。</w:t>
      </w:r>
    </w:p>
    <w:p w14:paraId="52C975CD">
      <w:pPr>
        <w:overflowPunct w:val="0"/>
        <w:adjustRightInd w:val="0"/>
        <w:snapToGrid w:val="0"/>
        <w:spacing w:after="240" w:line="300" w:lineRule="auto"/>
        <w:rPr>
          <w:rFonts w:ascii="Arial" w:hAnsi="Arial" w:eastAsia="宋体" w:cs="Arial"/>
          <w:bCs/>
          <w:kern w:val="36"/>
          <w:szCs w:val="21"/>
        </w:rPr>
      </w:pPr>
      <w:r>
        <w:rPr>
          <w:rFonts w:ascii="Arial" w:hAnsi="Arial" w:eastAsia="宋体" w:cs="Arial"/>
          <w:bCs/>
          <w:kern w:val="36"/>
          <w:szCs w:val="21"/>
        </w:rPr>
        <w:t>††在本指南中FDA建议，一般情况下，应为确定为</w:t>
      </w:r>
      <w:r>
        <w:rPr>
          <w:rFonts w:ascii="宋体" w:hAnsi="宋体" w:eastAsia="宋体" w:cs="Arial"/>
          <w:bCs/>
          <w:kern w:val="36"/>
          <w:szCs w:val="21"/>
        </w:rPr>
        <w:t>“</w:t>
      </w:r>
      <w:r>
        <w:rPr>
          <w:rFonts w:ascii="Arial" w:hAnsi="Arial" w:eastAsia="宋体" w:cs="Arial"/>
          <w:bCs/>
          <w:kern w:val="36"/>
          <w:szCs w:val="21"/>
        </w:rPr>
        <w:t>相同</w:t>
      </w:r>
      <w:r>
        <w:rPr>
          <w:rFonts w:ascii="宋体" w:hAnsi="宋体" w:eastAsia="宋体" w:cs="Arial"/>
          <w:bCs/>
          <w:kern w:val="36"/>
          <w:szCs w:val="21"/>
        </w:rPr>
        <w:t>”</w:t>
      </w:r>
      <w:r>
        <w:rPr>
          <w:rFonts w:ascii="Arial" w:hAnsi="Arial" w:eastAsia="宋体" w:cs="Arial"/>
          <w:bCs/>
          <w:kern w:val="36"/>
          <w:szCs w:val="21"/>
        </w:rPr>
        <w:t>的医疗器械提交与等同器械相同的描述性比较和性能测试。但是，FDA可能会根据器械的功能和特性来推荐更多信息。</w:t>
      </w:r>
    </w:p>
    <w:p w14:paraId="78B66F44">
      <w:pPr>
        <w:overflowPunct w:val="0"/>
        <w:adjustRightInd w:val="0"/>
        <w:snapToGrid w:val="0"/>
        <w:spacing w:after="240" w:line="300" w:lineRule="auto"/>
        <w:rPr>
          <w:rFonts w:ascii="Arial" w:hAnsi="Arial" w:eastAsia="宋体" w:cs="Arial"/>
          <w:bCs/>
          <w:kern w:val="36"/>
          <w:szCs w:val="21"/>
        </w:rPr>
      </w:pPr>
      <w:r>
        <w:rPr>
          <w:rFonts w:ascii="Arial" w:hAnsi="Arial" w:eastAsia="宋体" w:cs="Arial"/>
          <w:bCs/>
          <w:kern w:val="36"/>
          <w:szCs w:val="21"/>
        </w:rPr>
        <w:t>***是否需要临床数据，以及具体的临床研究设计的建议取决于申请的适应症、器械设计、抗菌剂的特性、以及任何其他潜在的安全性和有效性考虑。</w:t>
      </w:r>
    </w:p>
    <w:p w14:paraId="09D77539">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以下三个章节分别解释了表1中使用的术语，并详细介绍了我们建议您提交的信息。</w:t>
      </w:r>
    </w:p>
    <w:p w14:paraId="29B8C661">
      <w:pPr>
        <w:pStyle w:val="29"/>
        <w:widowControl/>
        <w:numPr>
          <w:ilvl w:val="0"/>
          <w:numId w:val="1"/>
        </w:numPr>
        <w:overflowPunct w:val="0"/>
        <w:snapToGrid w:val="0"/>
        <w:spacing w:before="156" w:beforeLines="50" w:after="156" w:afterLines="50" w:line="288" w:lineRule="auto"/>
        <w:ind w:left="0" w:firstLine="0" w:firstLineChars="0"/>
        <w:outlineLvl w:val="0"/>
        <w:rPr>
          <w:rFonts w:ascii="Arial" w:hAnsi="Arial" w:eastAsia="宋体" w:cs="Arial"/>
          <w:b/>
          <w:bCs/>
          <w:kern w:val="36"/>
          <w:sz w:val="32"/>
          <w:szCs w:val="32"/>
        </w:rPr>
      </w:pPr>
      <w:bookmarkStart w:id="9" w:name="_Toc497150757"/>
      <w:r>
        <w:rPr>
          <w:rFonts w:ascii="Arial" w:hAnsi="Arial" w:eastAsia="宋体" w:cs="Arial"/>
          <w:b/>
          <w:bCs/>
          <w:kern w:val="36"/>
          <w:sz w:val="32"/>
          <w:szCs w:val="32"/>
        </w:rPr>
        <w:t>器械描述</w:t>
      </w:r>
      <w:bookmarkEnd w:id="9"/>
    </w:p>
    <w:p w14:paraId="309F3355">
      <w:pPr>
        <w:overflowPunct w:val="0"/>
        <w:adjustRightInd w:val="0"/>
        <w:snapToGrid w:val="0"/>
        <w:spacing w:after="240" w:line="288" w:lineRule="auto"/>
        <w:rPr>
          <w:rFonts w:ascii="Arial" w:hAnsi="Arial" w:eastAsia="宋体" w:cs="Arial"/>
          <w:bCs/>
          <w:kern w:val="36"/>
          <w:sz w:val="24"/>
          <w:szCs w:val="24"/>
        </w:rPr>
      </w:pPr>
      <w:r>
        <w:rPr>
          <w:rFonts w:ascii="Arial" w:hAnsi="Arial" w:eastAsia="宋体" w:cs="Arial"/>
          <w:bCs/>
          <w:kern w:val="36"/>
          <w:sz w:val="24"/>
          <w:szCs w:val="24"/>
        </w:rPr>
        <w:t>FDA认为，在医疗器械中添加抗菌剂有潜在增加抗菌剂耐药性的风险。因此，FDA不鼓励在器械上不加选择地使用抗菌剂，并建议与等同器械相比，添加的抗菌剂的临床收益应超过相关风险。在包含抗菌剂的所有器械的510（k）中，制造商应说明适应症和添加抗菌剂的理由，如下所述。</w:t>
      </w:r>
    </w:p>
    <w:p w14:paraId="66811147">
      <w:pPr>
        <w:pStyle w:val="29"/>
        <w:numPr>
          <w:ilvl w:val="1"/>
          <w:numId w:val="1"/>
        </w:numPr>
        <w:overflowPunct w:val="0"/>
        <w:adjustRightInd w:val="0"/>
        <w:snapToGrid w:val="0"/>
        <w:spacing w:after="240" w:line="288" w:lineRule="auto"/>
        <w:ind w:firstLineChars="0"/>
        <w:outlineLvl w:val="1"/>
        <w:rPr>
          <w:rFonts w:ascii="Arial" w:hAnsi="Arial" w:eastAsia="宋体" w:cs="Arial"/>
          <w:b/>
          <w:bCs/>
          <w:kern w:val="36"/>
          <w:sz w:val="28"/>
          <w:szCs w:val="28"/>
        </w:rPr>
      </w:pPr>
      <w:bookmarkStart w:id="10" w:name="_Toc497150758"/>
      <w:r>
        <w:rPr>
          <w:rFonts w:ascii="Arial" w:hAnsi="Arial" w:eastAsia="宋体" w:cs="Arial"/>
          <w:b/>
          <w:bCs/>
          <w:kern w:val="36"/>
          <w:sz w:val="28"/>
          <w:szCs w:val="28"/>
        </w:rPr>
        <w:t>适应症</w:t>
      </w:r>
      <w:bookmarkEnd w:id="10"/>
    </w:p>
    <w:p w14:paraId="0080C2FD">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510（k）应说明含抗菌剂医疗器械的适应症。FDA认为以下适应症可能适用于含抗菌剂的医疗器械：</w:t>
      </w:r>
    </w:p>
    <w:p w14:paraId="66C5107E">
      <w:pPr>
        <w:pStyle w:val="29"/>
        <w:numPr>
          <w:ilvl w:val="0"/>
          <w:numId w:val="8"/>
        </w:numPr>
        <w:overflowPunct w:val="0"/>
        <w:adjustRightInd w:val="0"/>
        <w:snapToGrid w:val="0"/>
        <w:spacing w:after="240" w:line="288" w:lineRule="auto"/>
        <w:ind w:firstLine="42" w:firstLineChars="0"/>
        <w:rPr>
          <w:rFonts w:ascii="Arial" w:hAnsi="Arial" w:eastAsia="宋体" w:cs="Arial"/>
          <w:bCs/>
          <w:kern w:val="36"/>
          <w:sz w:val="24"/>
          <w:szCs w:val="24"/>
        </w:rPr>
      </w:pPr>
      <w:r>
        <w:rPr>
          <w:rFonts w:ascii="Arial" w:hAnsi="Arial" w:eastAsia="宋体" w:cs="Arial"/>
          <w:bCs/>
          <w:kern w:val="36"/>
          <w:sz w:val="24"/>
          <w:szCs w:val="24"/>
        </w:rPr>
        <w:t>减少或防止与器械相关的感染</w:t>
      </w:r>
    </w:p>
    <w:p w14:paraId="31168E89">
      <w:pPr>
        <w:pStyle w:val="29"/>
        <w:numPr>
          <w:ilvl w:val="0"/>
          <w:numId w:val="8"/>
        </w:numPr>
        <w:overflowPunct w:val="0"/>
        <w:adjustRightInd w:val="0"/>
        <w:snapToGrid w:val="0"/>
        <w:spacing w:after="240" w:line="288" w:lineRule="auto"/>
        <w:ind w:firstLine="42" w:firstLineChars="0"/>
        <w:rPr>
          <w:rFonts w:ascii="Arial" w:hAnsi="Arial" w:eastAsia="宋体" w:cs="Arial"/>
          <w:bCs/>
          <w:kern w:val="36"/>
          <w:sz w:val="24"/>
          <w:szCs w:val="24"/>
        </w:rPr>
      </w:pPr>
      <w:r>
        <w:rPr>
          <w:rFonts w:ascii="Arial" w:hAnsi="Arial" w:eastAsia="宋体" w:cs="Arial"/>
          <w:bCs/>
          <w:kern w:val="36"/>
          <w:sz w:val="24"/>
          <w:szCs w:val="24"/>
        </w:rPr>
        <w:t>减少或抑制医疗器械上的微生物定植。</w:t>
      </w:r>
    </w:p>
    <w:p w14:paraId="4966FE21">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hint="eastAsia" w:ascii="Arial" w:hAnsi="Arial" w:eastAsia="宋体" w:cs="Arial"/>
          <w:bCs/>
          <w:kern w:val="36"/>
          <w:sz w:val="24"/>
          <w:szCs w:val="24"/>
        </w:rPr>
        <w:t>含抗菌剂医疗器械的适应症说明还应包括种属靶标病原菌的标识。</w:t>
      </w:r>
      <w:r>
        <w:rPr>
          <w:rFonts w:ascii="Arial" w:hAnsi="Arial" w:eastAsia="宋体" w:cs="Arial"/>
          <w:bCs/>
          <w:kern w:val="36"/>
          <w:sz w:val="24"/>
          <w:szCs w:val="24"/>
        </w:rPr>
        <w:t>用于支持含抗菌剂器械特定适应症的研究方案，例如清除或防止生物膜积聚，应该提前与FDA进行讨论。</w:t>
      </w:r>
    </w:p>
    <w:p w14:paraId="0F300218">
      <w:pPr>
        <w:pStyle w:val="29"/>
        <w:numPr>
          <w:ilvl w:val="1"/>
          <w:numId w:val="1"/>
        </w:numPr>
        <w:overflowPunct w:val="0"/>
        <w:adjustRightInd w:val="0"/>
        <w:snapToGrid w:val="0"/>
        <w:spacing w:after="240" w:line="288" w:lineRule="auto"/>
        <w:ind w:firstLineChars="0"/>
        <w:outlineLvl w:val="1"/>
        <w:rPr>
          <w:rFonts w:ascii="Arial" w:hAnsi="Arial" w:eastAsia="宋体" w:cs="Arial"/>
          <w:b/>
          <w:bCs/>
          <w:kern w:val="36"/>
          <w:sz w:val="28"/>
          <w:szCs w:val="28"/>
        </w:rPr>
      </w:pPr>
      <w:bookmarkStart w:id="11" w:name="_Toc497150759"/>
      <w:r>
        <w:rPr>
          <w:rFonts w:ascii="Arial" w:hAnsi="Arial" w:eastAsia="宋体" w:cs="Arial"/>
          <w:b/>
          <w:bCs/>
          <w:kern w:val="36"/>
          <w:sz w:val="28"/>
          <w:szCs w:val="28"/>
        </w:rPr>
        <w:t>医疗器械添加抗菌剂的原因</w:t>
      </w:r>
      <w:bookmarkEnd w:id="11"/>
    </w:p>
    <w:p w14:paraId="3FCD1ED9">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510（k）应包括针对医疗器械添加特定抗菌剂背后的科学或临床理由（或两者都适用）的讨论。其中应该包括目标细菌种类（属和亚型）的确定。此外，理由应该对抗菌剂对耐药性菌株出现的潜在影响与抗菌剂在器械上的预期益处进行比较。</w:t>
      </w:r>
    </w:p>
    <w:p w14:paraId="0CB13004">
      <w:pPr>
        <w:pStyle w:val="29"/>
        <w:numPr>
          <w:ilvl w:val="1"/>
          <w:numId w:val="1"/>
        </w:numPr>
        <w:overflowPunct w:val="0"/>
        <w:adjustRightInd w:val="0"/>
        <w:snapToGrid w:val="0"/>
        <w:spacing w:after="240" w:line="288" w:lineRule="auto"/>
        <w:ind w:firstLineChars="0"/>
        <w:outlineLvl w:val="1"/>
        <w:rPr>
          <w:rFonts w:ascii="Arial" w:hAnsi="Arial" w:eastAsia="宋体" w:cs="Arial"/>
          <w:b/>
          <w:bCs/>
          <w:kern w:val="36"/>
          <w:sz w:val="28"/>
          <w:szCs w:val="28"/>
        </w:rPr>
      </w:pPr>
      <w:bookmarkStart w:id="12" w:name="_Toc497150760"/>
      <w:r>
        <w:rPr>
          <w:rFonts w:ascii="Arial" w:hAnsi="Arial" w:eastAsia="宋体" w:cs="Arial"/>
          <w:b/>
          <w:bCs/>
          <w:kern w:val="36"/>
          <w:sz w:val="28"/>
          <w:szCs w:val="28"/>
        </w:rPr>
        <w:t>含抗菌剂医疗器械的详细描述</w:t>
      </w:r>
      <w:bookmarkEnd w:id="12"/>
    </w:p>
    <w:p w14:paraId="1D2D6A2A">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对含抗菌剂医疗</w:t>
      </w:r>
      <w:r>
        <w:rPr>
          <w:rFonts w:ascii="Arial" w:hAnsi="Arial" w:eastAsia="宋体" w:cs="Arial"/>
          <w:kern w:val="0"/>
          <w:sz w:val="24"/>
          <w:szCs w:val="24"/>
        </w:rPr>
        <w:t>器械的描述应尽量详细</w:t>
      </w:r>
      <w:r>
        <w:rPr>
          <w:rFonts w:ascii="Arial" w:hAnsi="Arial" w:eastAsia="宋体" w:cs="Arial"/>
          <w:bCs/>
          <w:kern w:val="36"/>
          <w:sz w:val="24"/>
          <w:szCs w:val="24"/>
        </w:rPr>
        <w:t>，包括：</w:t>
      </w:r>
    </w:p>
    <w:p w14:paraId="724E7D49">
      <w:pPr>
        <w:pStyle w:val="29"/>
        <w:numPr>
          <w:ilvl w:val="0"/>
          <w:numId w:val="8"/>
        </w:numPr>
        <w:overflowPunct w:val="0"/>
        <w:adjustRightInd w:val="0"/>
        <w:snapToGrid w:val="0"/>
        <w:spacing w:after="240" w:line="288" w:lineRule="auto"/>
        <w:ind w:left="1260" w:hanging="378" w:firstLineChars="0"/>
        <w:rPr>
          <w:rFonts w:ascii="Arial" w:hAnsi="Arial" w:eastAsia="宋体" w:cs="Arial"/>
          <w:bCs/>
          <w:kern w:val="36"/>
          <w:sz w:val="24"/>
          <w:szCs w:val="24"/>
        </w:rPr>
      </w:pPr>
      <w:r>
        <w:rPr>
          <w:rFonts w:ascii="Arial" w:hAnsi="Arial" w:eastAsia="宋体" w:cs="Arial"/>
          <w:bCs/>
          <w:kern w:val="36"/>
          <w:sz w:val="24"/>
          <w:szCs w:val="24"/>
        </w:rPr>
        <w:t>含抗菌剂医疗器械制造材料和</w:t>
      </w:r>
      <w:r>
        <w:rPr>
          <w:rFonts w:hint="eastAsia" w:ascii="Arial" w:hAnsi="Arial" w:eastAsia="宋体" w:cs="Arial"/>
          <w:bCs/>
          <w:kern w:val="36"/>
          <w:sz w:val="24"/>
          <w:szCs w:val="24"/>
        </w:rPr>
        <w:t>质量标准</w:t>
      </w:r>
      <w:r>
        <w:rPr>
          <w:rFonts w:ascii="Arial" w:hAnsi="Arial" w:eastAsia="宋体" w:cs="Arial"/>
          <w:bCs/>
          <w:kern w:val="36"/>
          <w:sz w:val="24"/>
          <w:szCs w:val="24"/>
        </w:rPr>
        <w:t>的信息，包括任何添加剂，增塑剂或其他化合物；</w:t>
      </w:r>
    </w:p>
    <w:p w14:paraId="482943EB">
      <w:pPr>
        <w:pStyle w:val="29"/>
        <w:numPr>
          <w:ilvl w:val="0"/>
          <w:numId w:val="8"/>
        </w:numPr>
        <w:overflowPunct w:val="0"/>
        <w:adjustRightInd w:val="0"/>
        <w:snapToGrid w:val="0"/>
        <w:spacing w:after="240" w:line="288" w:lineRule="auto"/>
        <w:ind w:left="1260" w:hanging="378" w:firstLineChars="0"/>
        <w:rPr>
          <w:rFonts w:ascii="Arial" w:hAnsi="Arial" w:eastAsia="宋体" w:cs="Arial"/>
          <w:bCs/>
          <w:kern w:val="36"/>
          <w:sz w:val="24"/>
          <w:szCs w:val="24"/>
        </w:rPr>
      </w:pPr>
      <w:r>
        <w:rPr>
          <w:rFonts w:ascii="Arial" w:hAnsi="Arial" w:eastAsia="宋体" w:cs="Arial"/>
          <w:bCs/>
          <w:kern w:val="36"/>
          <w:sz w:val="24"/>
          <w:szCs w:val="24"/>
        </w:rPr>
        <w:t>所有器械材料的清单，并确定含有抗菌剂涂层、与抗菌剂组合、或与患者接触的材料；和</w:t>
      </w:r>
    </w:p>
    <w:p w14:paraId="721F6583">
      <w:pPr>
        <w:pStyle w:val="29"/>
        <w:numPr>
          <w:ilvl w:val="0"/>
          <w:numId w:val="8"/>
        </w:numPr>
        <w:overflowPunct w:val="0"/>
        <w:adjustRightInd w:val="0"/>
        <w:snapToGrid w:val="0"/>
        <w:spacing w:after="240" w:line="288" w:lineRule="auto"/>
        <w:ind w:left="1260" w:hanging="378" w:firstLineChars="0"/>
        <w:rPr>
          <w:rFonts w:ascii="Arial" w:hAnsi="Arial" w:eastAsia="宋体" w:cs="Arial"/>
          <w:bCs/>
          <w:kern w:val="36"/>
          <w:sz w:val="24"/>
          <w:szCs w:val="24"/>
        </w:rPr>
      </w:pPr>
      <w:r>
        <w:rPr>
          <w:rFonts w:ascii="Arial" w:hAnsi="Arial" w:eastAsia="宋体" w:cs="Arial"/>
          <w:bCs/>
          <w:kern w:val="36"/>
          <w:sz w:val="24"/>
          <w:szCs w:val="24"/>
        </w:rPr>
        <w:t>与添加抗菌剂相关的器械的质量标准或性能的任何影响。可能包括材料或表面变化、器械完整性、稳定性和机械耐久性的变化。</w:t>
      </w:r>
    </w:p>
    <w:p w14:paraId="398635F2">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r>
        <w:rPr>
          <w:rFonts w:ascii="Arial" w:hAnsi="Arial" w:eastAsia="宋体" w:cs="Arial"/>
          <w:bCs/>
          <w:kern w:val="36"/>
          <w:sz w:val="24"/>
          <w:szCs w:val="24"/>
        </w:rPr>
        <w:t xml:space="preserve"> </w:t>
      </w:r>
      <w:bookmarkStart w:id="13" w:name="_Toc497150761"/>
      <w:r>
        <w:rPr>
          <w:rFonts w:ascii="Arial" w:hAnsi="Arial" w:eastAsia="宋体" w:cs="Arial"/>
          <w:b/>
          <w:bCs/>
          <w:kern w:val="36"/>
          <w:sz w:val="32"/>
          <w:szCs w:val="32"/>
        </w:rPr>
        <w:t>抗菌剂的特性</w:t>
      </w:r>
      <w:bookmarkEnd w:id="13"/>
    </w:p>
    <w:p w14:paraId="6CD0595B">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对于为本指导性文件中确定为</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的器械，FDA建议制造商提供该器械与使用相同的抗菌剂的等同器械的描述性比较。制造商应该通过比较下列内容证明抗菌剂是相同的：</w:t>
      </w:r>
    </w:p>
    <w:p w14:paraId="1000ED1A">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bookmarkStart w:id="14" w:name="OLE_LINK4"/>
      <w:bookmarkStart w:id="15" w:name="OLE_LINK5"/>
      <w:r>
        <w:rPr>
          <w:rFonts w:ascii="Arial" w:hAnsi="Arial" w:eastAsia="宋体" w:cs="Arial"/>
          <w:bCs/>
          <w:kern w:val="36"/>
          <w:sz w:val="24"/>
          <w:szCs w:val="24"/>
        </w:rPr>
        <w:t>抗菌剂的特性和配方</w:t>
      </w:r>
    </w:p>
    <w:p w14:paraId="0E94A76F">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抗菌剂在器械上的浓度</w:t>
      </w:r>
    </w:p>
    <w:p w14:paraId="77E80E82">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抗菌剂应用于该器械的方法</w:t>
      </w:r>
    </w:p>
    <w:bookmarkEnd w:id="14"/>
    <w:bookmarkEnd w:id="15"/>
    <w:p w14:paraId="1C81927B">
      <w:pPr>
        <w:pStyle w:val="29"/>
        <w:numPr>
          <w:ilvl w:val="0"/>
          <w:numId w:val="9"/>
        </w:numPr>
        <w:overflowPunct w:val="0"/>
        <w:adjustRightInd w:val="0"/>
        <w:snapToGrid w:val="0"/>
        <w:spacing w:after="240" w:line="300" w:lineRule="auto"/>
        <w:ind w:firstLine="0" w:firstLineChars="0"/>
        <w:rPr>
          <w:rFonts w:ascii="Arial" w:hAnsi="Arial" w:eastAsia="宋体" w:cs="Arial"/>
          <w:bCs/>
          <w:kern w:val="36"/>
          <w:sz w:val="24"/>
          <w:szCs w:val="24"/>
        </w:rPr>
      </w:pPr>
      <w:r>
        <w:rPr>
          <w:rFonts w:ascii="Arial" w:hAnsi="Arial" w:eastAsia="宋体" w:cs="Arial"/>
          <w:bCs/>
          <w:kern w:val="36"/>
          <w:sz w:val="24"/>
          <w:szCs w:val="24"/>
        </w:rPr>
        <w:t>抗菌剂释放的机制。</w:t>
      </w:r>
    </w:p>
    <w:p w14:paraId="31DD38E6">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对于为本指导性文件中确定为</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的器械，FDA建议制造商提供详细信息和临床前测试，以证明其实质等同性。此类信息和测试应包括：</w:t>
      </w:r>
    </w:p>
    <w:p w14:paraId="3CC196D1">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抗菌剂的特性和配方</w:t>
      </w:r>
    </w:p>
    <w:p w14:paraId="69C3B693">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抗菌剂在器械上的浓度</w:t>
      </w:r>
    </w:p>
    <w:p w14:paraId="14401FC3">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抗菌剂应用于该器械的方法</w:t>
      </w:r>
    </w:p>
    <w:p w14:paraId="2B18DFE7">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抗菌剂的作用机制</w:t>
      </w:r>
    </w:p>
    <w:p w14:paraId="7452610E">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抗菌剂的抗菌活性谱</w:t>
      </w:r>
    </w:p>
    <w:p w14:paraId="322FE934">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抗菌剂随时间从医疗器械释放的动力学</w:t>
      </w:r>
    </w:p>
    <w:p w14:paraId="731240A9">
      <w:pPr>
        <w:pStyle w:val="29"/>
        <w:numPr>
          <w:ilvl w:val="0"/>
          <w:numId w:val="9"/>
        </w:numPr>
        <w:overflowPunct w:val="0"/>
        <w:adjustRightInd w:val="0"/>
        <w:snapToGrid w:val="0"/>
        <w:spacing w:line="300" w:lineRule="auto"/>
        <w:ind w:left="782" w:firstLine="0" w:firstLineChars="0"/>
        <w:rPr>
          <w:rFonts w:ascii="Arial" w:hAnsi="Arial" w:eastAsia="宋体" w:cs="Arial"/>
          <w:bCs/>
          <w:kern w:val="36"/>
          <w:sz w:val="24"/>
          <w:szCs w:val="24"/>
        </w:rPr>
      </w:pPr>
      <w:r>
        <w:rPr>
          <w:rFonts w:ascii="Arial" w:hAnsi="Arial" w:eastAsia="宋体" w:cs="Arial"/>
          <w:bCs/>
          <w:kern w:val="36"/>
          <w:sz w:val="24"/>
          <w:szCs w:val="24"/>
        </w:rPr>
        <w:t>最低有效浓度（MEC）</w:t>
      </w:r>
    </w:p>
    <w:p w14:paraId="2B89BBB6">
      <w:pPr>
        <w:pStyle w:val="29"/>
        <w:numPr>
          <w:ilvl w:val="0"/>
          <w:numId w:val="9"/>
        </w:numPr>
        <w:overflowPunct w:val="0"/>
        <w:adjustRightInd w:val="0"/>
        <w:snapToGrid w:val="0"/>
        <w:spacing w:after="240" w:line="300" w:lineRule="auto"/>
        <w:ind w:firstLine="0" w:firstLineChars="0"/>
        <w:rPr>
          <w:rFonts w:ascii="Arial" w:hAnsi="Arial" w:eastAsia="宋体" w:cs="Arial"/>
          <w:bCs/>
          <w:kern w:val="36"/>
          <w:sz w:val="24"/>
          <w:szCs w:val="24"/>
        </w:rPr>
      </w:pPr>
      <w:r>
        <w:rPr>
          <w:rFonts w:ascii="Arial" w:hAnsi="Arial" w:eastAsia="宋体" w:cs="Arial"/>
          <w:bCs/>
          <w:kern w:val="36"/>
          <w:sz w:val="24"/>
          <w:szCs w:val="24"/>
        </w:rPr>
        <w:t>抗菌剂毒性</w:t>
      </w:r>
    </w:p>
    <w:p w14:paraId="3D146F68">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上述主题会在下文中进行讨论。</w:t>
      </w:r>
    </w:p>
    <w:p w14:paraId="5402BDE6">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对于已经通过了新药申请（NDA）或属于非处方药（OTC）的抗菌剂，通过参考NDA或OTC，制造商简化证明该类含抗菌剂医疗器械实质等同性所需的信息量。如果制造商从持有人处获取了参考权，则制造商可以只依赖专有数据。这些参考文献可以简化制造商需要获取的用于描述抗菌剂特征的信息量。制造商应确定已批准的药物产品（NDA或OTC）与添加到医疗器械中的抗菌剂之间的差异。上述差异可能包含预期用途、剂量、使用药物的解剖部位、配方和浓度的差异等。</w:t>
      </w:r>
    </w:p>
    <w:p w14:paraId="083C0796">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16" w:name="_Toc497150762"/>
      <w:r>
        <w:rPr>
          <w:rFonts w:ascii="Arial" w:hAnsi="Arial" w:eastAsia="宋体" w:cs="Arial"/>
          <w:b/>
          <w:bCs/>
          <w:kern w:val="36"/>
          <w:sz w:val="28"/>
          <w:szCs w:val="28"/>
        </w:rPr>
        <w:t>特性和配方</w:t>
      </w:r>
      <w:bookmarkEnd w:id="16"/>
    </w:p>
    <w:p w14:paraId="01FBAF9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制造商应确定抗菌剂，并描述其成分，包括：</w:t>
      </w:r>
    </w:p>
    <w:p w14:paraId="2F8C83EF">
      <w:pPr>
        <w:pStyle w:val="29"/>
        <w:numPr>
          <w:ilvl w:val="0"/>
          <w:numId w:val="8"/>
        </w:numPr>
        <w:overflowPunct w:val="0"/>
        <w:adjustRightInd w:val="0"/>
        <w:snapToGrid w:val="0"/>
        <w:spacing w:line="288" w:lineRule="auto"/>
        <w:ind w:left="839" w:firstLine="40" w:firstLineChars="0"/>
        <w:rPr>
          <w:rFonts w:ascii="Arial" w:hAnsi="Arial" w:eastAsia="宋体" w:cs="Arial"/>
          <w:bCs/>
          <w:kern w:val="36"/>
          <w:sz w:val="24"/>
          <w:szCs w:val="24"/>
        </w:rPr>
      </w:pPr>
      <w:r>
        <w:rPr>
          <w:rFonts w:ascii="Arial" w:hAnsi="Arial" w:eastAsia="宋体" w:cs="Arial"/>
          <w:bCs/>
          <w:kern w:val="36"/>
          <w:sz w:val="24"/>
          <w:szCs w:val="24"/>
        </w:rPr>
        <w:t>任何伴随的聚合物基质或添加剂</w:t>
      </w:r>
    </w:p>
    <w:p w14:paraId="3CAE2B43">
      <w:pPr>
        <w:pStyle w:val="29"/>
        <w:numPr>
          <w:ilvl w:val="0"/>
          <w:numId w:val="8"/>
        </w:numPr>
        <w:overflowPunct w:val="0"/>
        <w:adjustRightInd w:val="0"/>
        <w:snapToGrid w:val="0"/>
        <w:spacing w:line="288" w:lineRule="auto"/>
        <w:ind w:left="839" w:firstLine="40" w:firstLineChars="0"/>
        <w:rPr>
          <w:rFonts w:ascii="Arial" w:hAnsi="Arial" w:eastAsia="宋体" w:cs="Arial"/>
          <w:bCs/>
          <w:kern w:val="36"/>
          <w:sz w:val="24"/>
          <w:szCs w:val="24"/>
        </w:rPr>
      </w:pPr>
      <w:r>
        <w:rPr>
          <w:rFonts w:ascii="Arial" w:hAnsi="Arial" w:eastAsia="宋体" w:cs="Arial"/>
          <w:bCs/>
          <w:kern w:val="36"/>
          <w:sz w:val="24"/>
          <w:szCs w:val="24"/>
        </w:rPr>
        <w:t>伴随物质的目的</w:t>
      </w:r>
    </w:p>
    <w:p w14:paraId="00BE861B">
      <w:pPr>
        <w:pStyle w:val="29"/>
        <w:numPr>
          <w:ilvl w:val="0"/>
          <w:numId w:val="8"/>
        </w:numPr>
        <w:overflowPunct w:val="0"/>
        <w:adjustRightInd w:val="0"/>
        <w:snapToGrid w:val="0"/>
        <w:spacing w:after="240" w:line="288" w:lineRule="auto"/>
        <w:ind w:firstLine="42" w:firstLineChars="0"/>
        <w:rPr>
          <w:rFonts w:ascii="Arial" w:hAnsi="Arial" w:eastAsia="宋体" w:cs="Arial"/>
          <w:bCs/>
          <w:kern w:val="36"/>
          <w:sz w:val="24"/>
          <w:szCs w:val="24"/>
        </w:rPr>
      </w:pPr>
      <w:r>
        <w:rPr>
          <w:rFonts w:ascii="Arial" w:hAnsi="Arial" w:eastAsia="宋体" w:cs="Arial"/>
          <w:bCs/>
          <w:kern w:val="36"/>
          <w:sz w:val="24"/>
          <w:szCs w:val="24"/>
        </w:rPr>
        <w:t>在施加到器械之前和之后的所有成分的配方和浓度。</w:t>
      </w:r>
    </w:p>
    <w:p w14:paraId="282B6857">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17" w:name="_Toc497150763"/>
      <w:r>
        <w:rPr>
          <w:rFonts w:ascii="Arial" w:hAnsi="Arial" w:eastAsia="宋体" w:cs="Arial"/>
          <w:b/>
          <w:bCs/>
          <w:kern w:val="36"/>
          <w:sz w:val="28"/>
          <w:szCs w:val="28"/>
        </w:rPr>
        <w:t>浓度</w:t>
      </w:r>
      <w:bookmarkEnd w:id="17"/>
    </w:p>
    <w:p w14:paraId="244EA3B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制造商应描述在任何适用的终端处理步骤之后，每个型号和尺寸的器械中或器械上的抗菌剂的起始浓度，以及用于计算浓度的方法。</w:t>
      </w:r>
    </w:p>
    <w:p w14:paraId="77EBFEE8">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18" w:name="_Toc497150764"/>
      <w:r>
        <w:rPr>
          <w:rFonts w:ascii="Arial" w:hAnsi="Arial" w:eastAsia="宋体" w:cs="Arial"/>
          <w:b/>
          <w:bCs/>
          <w:kern w:val="36"/>
          <w:sz w:val="28"/>
          <w:szCs w:val="28"/>
        </w:rPr>
        <w:t>应用于器械的方法</w:t>
      </w:r>
      <w:bookmarkEnd w:id="18"/>
    </w:p>
    <w:p w14:paraId="339EF4C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制造商应描述将抗菌剂添加到医疗器械的制造过程。描述应包括质量标准，如浓度，（涂层）厚度，以及抗菌剂如何结合或附着到器械上。</w:t>
      </w:r>
    </w:p>
    <w:p w14:paraId="7421DE31">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19" w:name="_Toc497150765"/>
      <w:r>
        <w:rPr>
          <w:rFonts w:ascii="Arial" w:hAnsi="Arial" w:eastAsia="宋体" w:cs="Arial"/>
          <w:b/>
          <w:bCs/>
          <w:kern w:val="36"/>
          <w:sz w:val="28"/>
          <w:szCs w:val="28"/>
        </w:rPr>
        <w:t>作用机制</w:t>
      </w:r>
      <w:bookmarkEnd w:id="19"/>
    </w:p>
    <w:p w14:paraId="525604D2">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制造商应描述作用机制，并提供证明抗菌剂如何发挥其作用的支持数据。例如，制造商应该指出抗菌剂的作用是在器械附着的位置实现，还是由于试剂从器械释放而在局部发挥作用。</w:t>
      </w:r>
    </w:p>
    <w:p w14:paraId="4903D26B">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20" w:name="_Toc497150766"/>
      <w:r>
        <w:rPr>
          <w:rFonts w:ascii="Arial" w:hAnsi="Arial" w:eastAsia="宋体" w:cs="Arial"/>
          <w:b/>
          <w:bCs/>
          <w:kern w:val="36"/>
          <w:sz w:val="28"/>
          <w:szCs w:val="28"/>
        </w:rPr>
        <w:t>抗菌活性谱（简介）</w:t>
      </w:r>
      <w:bookmarkEnd w:id="20"/>
    </w:p>
    <w:p w14:paraId="32AC1C74">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提供所添加抗菌剂的抗菌活性谱（即抗菌活性简介）的信息。如果引用的文献与抗菌剂和目标病原体明显相关，则近期的参考文献就可以达到上述要求。或者，如果在NDA、药品清单或药品主文件中提供了抗菌剂活动谱的信息，则制造商可以参考这些文件，替代建议提供的信息，但前提是制造商已经获得了所有专有信息的有效参考权。</w:t>
      </w:r>
    </w:p>
    <w:p w14:paraId="0FCC4FD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抗菌剂的活性谱可以通过标准化方法来确定，例如由美国临床实验室标准化协会开发的标准方法【CLSI（1,2）】。</w:t>
      </w:r>
      <w:r>
        <w:rPr>
          <w:rStyle w:val="22"/>
          <w:rFonts w:ascii="Arial" w:hAnsi="Arial" w:eastAsia="宋体" w:cs="Arial"/>
          <w:bCs/>
          <w:kern w:val="36"/>
          <w:sz w:val="24"/>
          <w:szCs w:val="24"/>
        </w:rPr>
        <w:footnoteReference w:id="10"/>
      </w:r>
      <w:r>
        <w:rPr>
          <w:rStyle w:val="22"/>
          <w:rFonts w:ascii="Arial" w:hAnsi="Arial" w:eastAsia="宋体" w:cs="Arial"/>
          <w:bCs/>
          <w:kern w:val="36"/>
          <w:sz w:val="24"/>
          <w:szCs w:val="24"/>
        </w:rPr>
        <w:footnoteReference w:id="11"/>
      </w:r>
    </w:p>
    <w:p w14:paraId="2C204380">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21" w:name="_Toc497150767"/>
      <w:r>
        <w:rPr>
          <w:rFonts w:ascii="Arial" w:hAnsi="Arial" w:eastAsia="宋体" w:cs="Arial"/>
          <w:b/>
          <w:bCs/>
          <w:kern w:val="36"/>
          <w:sz w:val="28"/>
          <w:szCs w:val="28"/>
        </w:rPr>
        <w:t>抗菌剂的释放动力学</w:t>
      </w:r>
      <w:bookmarkEnd w:id="21"/>
    </w:p>
    <w:p w14:paraId="6CCA4F27">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应详细描述抗菌剂的释放机制，并且应该使用具有足够检测水平的方法来证明该器械的释放动力学。应对洗脱方法进行验证，并提供检测限度。释放动力学信息应包括抗菌剂在器械上的初始浓度以及随着时间的推移在器械上的浓度的全部变化情况。</w:t>
      </w:r>
    </w:p>
    <w:p w14:paraId="284B7A37">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如果抗菌剂不能从器械中洗脱出来，制造商应该证明抗菌剂永久地结合到医疗器械上。如果抗菌剂从植入式医疗器械中洗脱出来，那么制造商应提供有关抗菌剂在组织或身体部位的积聚分布和速率的信息。如果可以从NDA、药品清单或药品主文件中获取抗菌剂的分布动力学信息，则制造商可以参考这些文件，替代提供抗菌剂的动力学信息。</w:t>
      </w:r>
    </w:p>
    <w:p w14:paraId="729C4AF2">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22" w:name="_Toc497150768"/>
      <w:r>
        <w:rPr>
          <w:rFonts w:ascii="Arial" w:hAnsi="Arial" w:eastAsia="宋体" w:cs="Arial"/>
          <w:b/>
          <w:bCs/>
          <w:kern w:val="36"/>
          <w:sz w:val="28"/>
          <w:szCs w:val="28"/>
        </w:rPr>
        <w:t>最低有效浓度（MEC）</w:t>
      </w:r>
      <w:bookmarkEnd w:id="22"/>
    </w:p>
    <w:p w14:paraId="70F4243E">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确定可以实现所述功能的情况下，医疗器械中或表面的抗菌剂的最低有效浓度。最低有效浓度应当使用单位表面积的浓度和单个器械的总浓度来表示。制造商应在与该器械临床使用条件一致的情况下进行测试来测量MEC。510（k）应包括对这些方法和条件的描述。</w:t>
      </w:r>
    </w:p>
    <w:p w14:paraId="611F41F4">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23" w:name="_Toc497150769"/>
      <w:r>
        <w:rPr>
          <w:rFonts w:ascii="Arial" w:hAnsi="Arial" w:eastAsia="宋体" w:cs="Arial"/>
          <w:b/>
          <w:bCs/>
          <w:kern w:val="36"/>
          <w:sz w:val="28"/>
          <w:szCs w:val="28"/>
        </w:rPr>
        <w:t>毒性</w:t>
      </w:r>
      <w:bookmarkEnd w:id="23"/>
    </w:p>
    <w:p w14:paraId="073208F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制造商应评估体内抗菌剂、活性代谢物和降解产物的毒性。制造商还应包括研究抗菌剂及其活性代谢物和降解产物的毒性的所有文献。此外，制造商应提供关于可从医疗器械中浸出的残留物或物质的信息，并描述如何减轻这些残留物对用户造成的任何风险。</w:t>
      </w:r>
    </w:p>
    <w:p w14:paraId="04E78144">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可以使用临床前研究或临床研究的数据描述抗菌剂的毒性。毒性测试应确定添加的抗菌剂的全部副作用，如药剂引起的不良反应（过敏/免疫应答或其他毒性）或抗菌剂与器械材料的相互作用。510（k）应包括所有研究方案和使用的测试方法的描述。</w:t>
      </w:r>
    </w:p>
    <w:p w14:paraId="5A9FBA7F">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bookmarkStart w:id="24" w:name="_Toc497150770"/>
      <w:r>
        <w:rPr>
          <w:rFonts w:ascii="Arial" w:hAnsi="Arial" w:eastAsia="宋体" w:cs="Arial"/>
          <w:b/>
          <w:bCs/>
          <w:kern w:val="36"/>
          <w:sz w:val="32"/>
          <w:szCs w:val="32"/>
        </w:rPr>
        <w:t>含抗菌剂医疗器械的特征</w:t>
      </w:r>
      <w:bookmarkEnd w:id="24"/>
    </w:p>
    <w:p w14:paraId="3CC27001">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在本指导性文件中，描述医疗器械特征所需的信息和测试取决于器械抗菌剂是否被确定为</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还是</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。FDA对本指南中涉及的产品的建议详细描述如下。有关器械特征描述的其他信息，</w:t>
      </w:r>
      <w:bookmarkStart w:id="25" w:name="OLE_LINK7"/>
      <w:bookmarkStart w:id="26" w:name="OLE_LINK8"/>
      <w:r>
        <w:rPr>
          <w:rFonts w:ascii="Arial" w:hAnsi="Arial" w:eastAsia="宋体" w:cs="Arial"/>
          <w:bCs/>
          <w:kern w:val="36"/>
          <w:sz w:val="24"/>
          <w:szCs w:val="24"/>
        </w:rPr>
        <w:t>制造商应参考该类器械特定的指南（如果器械类型有可用指南）或联系器械</w:t>
      </w:r>
      <w:r>
        <w:rPr>
          <w:rFonts w:hint="eastAsia" w:ascii="Arial" w:hAnsi="Arial" w:eastAsia="宋体" w:cs="Arial"/>
          <w:bCs/>
          <w:kern w:val="36"/>
          <w:sz w:val="24"/>
          <w:szCs w:val="24"/>
        </w:rPr>
        <w:t>审查</w:t>
      </w:r>
      <w:r>
        <w:rPr>
          <w:rFonts w:ascii="Arial" w:hAnsi="Arial" w:eastAsia="宋体" w:cs="Arial"/>
          <w:bCs/>
          <w:kern w:val="36"/>
          <w:sz w:val="24"/>
          <w:szCs w:val="24"/>
        </w:rPr>
        <w:t>分部</w:t>
      </w:r>
      <w:bookmarkEnd w:id="25"/>
      <w:bookmarkEnd w:id="26"/>
      <w:r>
        <w:rPr>
          <w:rFonts w:ascii="Arial" w:hAnsi="Arial" w:eastAsia="宋体" w:cs="Arial"/>
          <w:bCs/>
          <w:kern w:val="36"/>
          <w:sz w:val="24"/>
          <w:szCs w:val="24"/>
        </w:rPr>
        <w:t>。</w:t>
      </w:r>
    </w:p>
    <w:p w14:paraId="4F7CB426">
      <w:pPr>
        <w:widowControl/>
        <w:jc w:val="left"/>
        <w:rPr>
          <w:rFonts w:ascii="Arial" w:hAnsi="Arial" w:eastAsia="宋体" w:cs="Arial"/>
          <w:b/>
          <w:bCs/>
          <w:kern w:val="36"/>
          <w:sz w:val="28"/>
          <w:szCs w:val="28"/>
        </w:rPr>
      </w:pPr>
      <w:r>
        <w:rPr>
          <w:rFonts w:ascii="Arial" w:hAnsi="Arial" w:eastAsia="宋体" w:cs="Arial"/>
          <w:b/>
          <w:bCs/>
          <w:kern w:val="36"/>
          <w:sz w:val="28"/>
          <w:szCs w:val="28"/>
        </w:rPr>
        <w:br w:type="page"/>
      </w:r>
    </w:p>
    <w:p w14:paraId="0A4FB65A">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27" w:name="_Toc497150771"/>
      <w:r>
        <w:rPr>
          <w:rFonts w:ascii="Arial" w:hAnsi="Arial" w:eastAsia="宋体" w:cs="Arial"/>
          <w:b/>
          <w:bCs/>
          <w:kern w:val="36"/>
          <w:sz w:val="28"/>
          <w:szCs w:val="28"/>
        </w:rPr>
        <w:t>描述性比较</w:t>
      </w:r>
      <w:bookmarkEnd w:id="27"/>
    </w:p>
    <w:p w14:paraId="2F1341F6">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通常，对于包含抗菌剂的器械，无论是</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还是</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，FDA建议您提交与不含抗菌剂的同类器械相同的描述性比较。</w:t>
      </w:r>
    </w:p>
    <w:p w14:paraId="10D634BD">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在本指导性文件中，如果器械确定为</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，则</w:t>
      </w:r>
      <w:r>
        <w:rPr>
          <w:rFonts w:hint="eastAsia" w:ascii="Arial" w:hAnsi="Arial" w:eastAsia="宋体" w:cs="Arial"/>
          <w:bCs/>
          <w:kern w:val="36"/>
          <w:sz w:val="24"/>
          <w:szCs w:val="24"/>
        </w:rPr>
        <w:t>一般需要适当</w:t>
      </w:r>
      <w:r>
        <w:rPr>
          <w:rFonts w:ascii="Arial" w:hAnsi="Arial" w:eastAsia="宋体" w:cs="Arial"/>
          <w:bCs/>
          <w:kern w:val="36"/>
          <w:sz w:val="24"/>
          <w:szCs w:val="24"/>
        </w:rPr>
        <w:t>提供与该器械类型实质等同性相关的描述性比较，包括特点、功能和</w:t>
      </w:r>
      <w:bookmarkStart w:id="28" w:name="OLE_LINK9"/>
      <w:bookmarkStart w:id="29" w:name="OLE_LINK3"/>
      <w:r>
        <w:rPr>
          <w:rFonts w:ascii="Arial" w:hAnsi="Arial" w:eastAsia="宋体" w:cs="Arial"/>
          <w:bCs/>
          <w:kern w:val="36"/>
          <w:sz w:val="24"/>
          <w:szCs w:val="24"/>
        </w:rPr>
        <w:t>特性</w:t>
      </w:r>
      <w:bookmarkEnd w:id="28"/>
      <w:bookmarkEnd w:id="29"/>
      <w:r>
        <w:rPr>
          <w:rFonts w:ascii="Arial" w:hAnsi="Arial" w:eastAsia="宋体" w:cs="Arial"/>
          <w:bCs/>
          <w:kern w:val="36"/>
          <w:sz w:val="24"/>
          <w:szCs w:val="24"/>
        </w:rPr>
        <w:t>等。但是，如果仅</w:t>
      </w:r>
      <w:r>
        <w:rPr>
          <w:rFonts w:hint="eastAsia" w:ascii="Arial" w:hAnsi="Arial" w:eastAsia="宋体" w:cs="Arial"/>
          <w:bCs/>
          <w:kern w:val="36"/>
          <w:sz w:val="24"/>
          <w:szCs w:val="24"/>
        </w:rPr>
        <w:t>提供</w:t>
      </w:r>
      <w:r>
        <w:rPr>
          <w:rFonts w:ascii="Arial" w:hAnsi="Arial" w:eastAsia="宋体" w:cs="Arial"/>
          <w:bCs/>
          <w:kern w:val="36"/>
          <w:sz w:val="24"/>
          <w:szCs w:val="24"/>
        </w:rPr>
        <w:t>描述性特性是不足的，则FDA可能建议根据具体器械的设计、技术、适应症或其他方面的内容提交附加信息或测试。</w:t>
      </w:r>
    </w:p>
    <w:p w14:paraId="04B1FD3F">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30" w:name="_Toc497150772"/>
      <w:r>
        <w:rPr>
          <w:rFonts w:ascii="Arial" w:hAnsi="Arial" w:eastAsia="宋体" w:cs="Arial"/>
          <w:b/>
          <w:bCs/>
          <w:kern w:val="36"/>
          <w:sz w:val="28"/>
          <w:szCs w:val="28"/>
        </w:rPr>
        <w:t>最终成品的无菌性</w:t>
      </w:r>
      <w:bookmarkEnd w:id="30"/>
    </w:p>
    <w:p w14:paraId="3B4D1169">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对于以无菌</w:t>
      </w:r>
      <w:r>
        <w:rPr>
          <w:rFonts w:hint="eastAsia" w:ascii="Arial" w:hAnsi="Arial" w:eastAsia="宋体" w:cs="Arial"/>
          <w:bCs/>
          <w:kern w:val="36"/>
          <w:sz w:val="24"/>
          <w:szCs w:val="24"/>
        </w:rPr>
        <w:t>形式</w:t>
      </w:r>
      <w:r>
        <w:rPr>
          <w:rFonts w:ascii="Arial" w:hAnsi="Arial" w:eastAsia="宋体" w:cs="Arial"/>
          <w:bCs/>
          <w:kern w:val="36"/>
          <w:sz w:val="24"/>
          <w:szCs w:val="24"/>
        </w:rPr>
        <w:t>销售的器械，我们建议您遵循指南，更新版510（k）无菌检查指南K90-1</w:t>
      </w:r>
      <w:r>
        <w:rPr>
          <w:rStyle w:val="22"/>
          <w:rFonts w:ascii="Arial" w:hAnsi="Arial" w:eastAsia="宋体" w:cs="Arial"/>
          <w:bCs/>
          <w:kern w:val="36"/>
          <w:sz w:val="24"/>
          <w:szCs w:val="24"/>
        </w:rPr>
        <w:footnoteReference w:id="12"/>
      </w:r>
      <w:r>
        <w:rPr>
          <w:rFonts w:ascii="Arial" w:hAnsi="Arial" w:eastAsia="宋体" w:cs="Arial"/>
          <w:bCs/>
          <w:kern w:val="36"/>
          <w:sz w:val="24"/>
          <w:szCs w:val="24"/>
        </w:rPr>
        <w:t>。</w:t>
      </w:r>
    </w:p>
    <w:p w14:paraId="16A1B37A">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我们还建议您提供数据，证明灭菌过程不会对抗菌剂的活性产生不利影响。</w:t>
      </w:r>
    </w:p>
    <w:p w14:paraId="546F09FD">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如果申请文件中确定了器械的保质期，则应通过适当的台架测试来支持该保质期。我们建议您在任何适用的终端加工步骤（如灭菌）后，提供有关抗菌剂在器械保质期内的稳定性的信息。我们还建议您使用释放测试来评估抗菌剂的溶出度，从而确定稳定性和保质期。</w:t>
      </w:r>
    </w:p>
    <w:p w14:paraId="42DF115E">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31" w:name="_Toc497150773"/>
      <w:r>
        <w:rPr>
          <w:rFonts w:ascii="Arial" w:hAnsi="Arial" w:eastAsia="宋体" w:cs="Arial"/>
          <w:b/>
          <w:bCs/>
          <w:kern w:val="36"/>
          <w:sz w:val="28"/>
          <w:szCs w:val="28"/>
        </w:rPr>
        <w:t>最终成品的生物相容性测试</w:t>
      </w:r>
      <w:bookmarkEnd w:id="31"/>
    </w:p>
    <w:p w14:paraId="02AA108E">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如果您的器械包含与患者直接或间接接触的成分，则应评估患者接触材料的生物相容性。所有测试应使用含抗菌剂的最终成品进行。请参考指导性文件</w:t>
      </w:r>
      <w:r>
        <w:rPr>
          <w:rFonts w:ascii="宋体" w:hAnsi="宋体" w:eastAsia="宋体" w:cs="Arial"/>
          <w:bCs/>
          <w:kern w:val="36"/>
          <w:sz w:val="24"/>
          <w:szCs w:val="24"/>
        </w:rPr>
        <w:t>“</w:t>
      </w:r>
      <w:r>
        <w:rPr>
          <w:rFonts w:ascii="Arial" w:hAnsi="Arial" w:eastAsia="宋体" w:cs="Arial"/>
          <w:b/>
          <w:bCs/>
          <w:kern w:val="36"/>
          <w:sz w:val="24"/>
          <w:szCs w:val="24"/>
        </w:rPr>
        <w:t>使用国际标准ISO-10993和医疗器械生物学评估第1部分：评估与测试</w:t>
      </w:r>
      <w:r>
        <w:rPr>
          <w:rFonts w:ascii="宋体" w:hAnsi="宋体" w:eastAsia="宋体" w:cs="Arial"/>
          <w:bCs/>
          <w:kern w:val="36"/>
          <w:sz w:val="24"/>
          <w:szCs w:val="24"/>
        </w:rPr>
        <w:t>”</w:t>
      </w:r>
      <w:r>
        <w:rPr>
          <w:rStyle w:val="22"/>
          <w:rFonts w:ascii="Arial" w:hAnsi="Arial" w:eastAsia="宋体" w:cs="Arial"/>
          <w:bCs/>
          <w:kern w:val="36"/>
          <w:sz w:val="24"/>
          <w:szCs w:val="24"/>
        </w:rPr>
        <w:footnoteReference w:id="13"/>
      </w:r>
      <w:r>
        <w:rPr>
          <w:rFonts w:ascii="Arial" w:hAnsi="Arial" w:eastAsia="宋体" w:cs="Arial"/>
          <w:bCs/>
          <w:kern w:val="36"/>
          <w:sz w:val="24"/>
          <w:szCs w:val="24"/>
        </w:rPr>
        <w:t>。应该选择适合您的器械设计的接触持续时间和类型的生物相容性测试，并提交通过/失败标准，或在某些情况下，提交结果的总结。</w:t>
      </w:r>
    </w:p>
    <w:p w14:paraId="5149BD0D">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如果</w:t>
      </w:r>
      <w:r>
        <w:rPr>
          <w:rFonts w:hint="eastAsia" w:ascii="Arial" w:hAnsi="Arial" w:eastAsia="宋体" w:cs="Arial"/>
          <w:bCs/>
          <w:kern w:val="36"/>
          <w:sz w:val="24"/>
          <w:szCs w:val="24"/>
        </w:rPr>
        <w:t>等同</w:t>
      </w:r>
      <w:r>
        <w:rPr>
          <w:rFonts w:ascii="Arial" w:hAnsi="Arial" w:eastAsia="宋体" w:cs="Arial"/>
          <w:bCs/>
          <w:kern w:val="36"/>
          <w:sz w:val="24"/>
          <w:szCs w:val="24"/>
        </w:rPr>
        <w:t>器械使用了与含抗菌剂相同类型的材料，且与患者的接触类型和持续时间相同，则</w:t>
      </w:r>
      <w:r>
        <w:rPr>
          <w:rFonts w:hint="eastAsia" w:ascii="Arial" w:hAnsi="Arial" w:eastAsia="宋体" w:cs="Arial"/>
          <w:bCs/>
          <w:kern w:val="36"/>
          <w:sz w:val="24"/>
          <w:szCs w:val="24"/>
        </w:rPr>
        <w:t>应</w:t>
      </w:r>
      <w:r>
        <w:rPr>
          <w:rFonts w:ascii="Arial" w:hAnsi="Arial" w:eastAsia="宋体" w:cs="Arial"/>
          <w:bCs/>
          <w:kern w:val="36"/>
          <w:sz w:val="24"/>
          <w:szCs w:val="24"/>
        </w:rPr>
        <w:t>确定该等同器械</w:t>
      </w:r>
      <w:r>
        <w:rPr>
          <w:rFonts w:hint="eastAsia" w:ascii="Arial" w:hAnsi="Arial" w:eastAsia="宋体" w:cs="Arial"/>
          <w:bCs/>
          <w:kern w:val="36"/>
          <w:sz w:val="24"/>
          <w:szCs w:val="24"/>
        </w:rPr>
        <w:t>而不是</w:t>
      </w:r>
      <w:r>
        <w:rPr>
          <w:rFonts w:ascii="Arial" w:hAnsi="Arial" w:eastAsia="宋体" w:cs="Arial"/>
          <w:bCs/>
          <w:kern w:val="36"/>
          <w:sz w:val="24"/>
          <w:szCs w:val="24"/>
        </w:rPr>
        <w:t>进行生物相容性测试，并声明</w:t>
      </w:r>
      <w:r>
        <w:rPr>
          <w:rFonts w:hint="eastAsia" w:ascii="Arial" w:hAnsi="Arial" w:eastAsia="宋体" w:cs="Arial"/>
          <w:bCs/>
          <w:kern w:val="36"/>
          <w:sz w:val="24"/>
          <w:szCs w:val="24"/>
        </w:rPr>
        <w:t>该</w:t>
      </w:r>
      <w:r>
        <w:rPr>
          <w:rFonts w:ascii="Arial" w:hAnsi="Arial" w:eastAsia="宋体" w:cs="Arial"/>
          <w:bCs/>
          <w:kern w:val="36"/>
          <w:sz w:val="24"/>
          <w:szCs w:val="24"/>
        </w:rPr>
        <w:t>器械由相同的制造方法处理的相同材料组成。如果您是该等同器械的制造商，并且所使用的制造方法和材料都有完整的文档，那么这种方式是最合适的。</w:t>
      </w:r>
    </w:p>
    <w:p w14:paraId="14E66EAC">
      <w:pPr>
        <w:pStyle w:val="29"/>
        <w:numPr>
          <w:ilvl w:val="1"/>
          <w:numId w:val="1"/>
        </w:numPr>
        <w:overflowPunct w:val="0"/>
        <w:adjustRightInd w:val="0"/>
        <w:snapToGrid w:val="0"/>
        <w:spacing w:after="240" w:line="300" w:lineRule="auto"/>
        <w:ind w:firstLineChars="0"/>
        <w:outlineLvl w:val="1"/>
        <w:rPr>
          <w:rFonts w:ascii="Arial" w:hAnsi="Arial" w:eastAsia="宋体" w:cs="Arial"/>
          <w:b/>
          <w:bCs/>
          <w:kern w:val="36"/>
          <w:sz w:val="28"/>
          <w:szCs w:val="28"/>
        </w:rPr>
      </w:pPr>
      <w:bookmarkStart w:id="32" w:name="_Toc497150774"/>
      <w:r>
        <w:rPr>
          <w:rFonts w:ascii="Arial" w:hAnsi="Arial" w:eastAsia="宋体" w:cs="Arial"/>
          <w:b/>
          <w:bCs/>
          <w:kern w:val="36"/>
          <w:sz w:val="28"/>
          <w:szCs w:val="28"/>
        </w:rPr>
        <w:t>性能测试</w:t>
      </w:r>
      <w:bookmarkEnd w:id="32"/>
    </w:p>
    <w:p w14:paraId="673089E2">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u w:val="single"/>
        </w:rPr>
        <w:t>与器械相关的抗菌剂的适应症决定了制造商需要进行的附加测试的范围。</w:t>
      </w:r>
      <w:r>
        <w:rPr>
          <w:rFonts w:hint="eastAsia" w:ascii="Arial" w:hAnsi="Arial" w:eastAsia="宋体" w:cs="Arial"/>
          <w:bCs/>
          <w:kern w:val="36"/>
          <w:sz w:val="24"/>
          <w:szCs w:val="24"/>
        </w:rPr>
        <w:t>对于本指导性文件中确定为</w:t>
      </w:r>
      <w:r>
        <w:rPr>
          <w:rFonts w:ascii="Arial" w:hAnsi="Arial" w:eastAsia="宋体" w:cs="Arial"/>
          <w:bCs/>
          <w:kern w:val="36"/>
          <w:sz w:val="24"/>
          <w:szCs w:val="24"/>
        </w:rPr>
        <w:t>“</w:t>
      </w:r>
      <w:r>
        <w:rPr>
          <w:rFonts w:hint="eastAsia" w:ascii="Arial" w:hAnsi="Arial" w:eastAsia="宋体" w:cs="Arial"/>
          <w:bCs/>
          <w:kern w:val="36"/>
          <w:sz w:val="24"/>
          <w:szCs w:val="24"/>
        </w:rPr>
        <w:t>修改</w:t>
      </w:r>
      <w:r>
        <w:rPr>
          <w:rFonts w:ascii="Arial" w:hAnsi="Arial" w:eastAsia="宋体" w:cs="Arial"/>
          <w:bCs/>
          <w:kern w:val="36"/>
          <w:sz w:val="24"/>
          <w:szCs w:val="24"/>
        </w:rPr>
        <w:t>”</w:t>
      </w:r>
      <w:r>
        <w:rPr>
          <w:rFonts w:hint="eastAsia" w:ascii="Arial" w:hAnsi="Arial" w:eastAsia="宋体" w:cs="Arial"/>
          <w:bCs/>
          <w:kern w:val="36"/>
          <w:sz w:val="24"/>
          <w:szCs w:val="24"/>
        </w:rPr>
        <w:t>的器械</w:t>
      </w:r>
      <w:r>
        <w:rPr>
          <w:rFonts w:ascii="Arial" w:hAnsi="Arial" w:eastAsia="宋体" w:cs="Arial"/>
          <w:bCs/>
          <w:kern w:val="36"/>
          <w:sz w:val="24"/>
          <w:szCs w:val="24"/>
        </w:rPr>
        <w:t>，FDA建议制造商按照实际情况提交体外测试、动物实验和临床数据，以证明含抗菌剂的器械与等同器械具有同样的安全性和有效性</w:t>
      </w:r>
      <w:r>
        <w:rPr>
          <w:rStyle w:val="22"/>
          <w:rFonts w:ascii="Arial" w:hAnsi="Arial" w:eastAsia="宋体" w:cs="Arial"/>
          <w:bCs/>
          <w:kern w:val="36"/>
          <w:sz w:val="24"/>
          <w:szCs w:val="24"/>
        </w:rPr>
        <w:footnoteReference w:id="14"/>
      </w:r>
      <w:r>
        <w:rPr>
          <w:rFonts w:ascii="Arial" w:hAnsi="Arial" w:eastAsia="宋体" w:cs="Arial"/>
          <w:bCs/>
          <w:kern w:val="36"/>
          <w:sz w:val="24"/>
          <w:szCs w:val="24"/>
        </w:rPr>
        <w:t>。我们对这些研究的建议详细描述如下。</w:t>
      </w:r>
    </w:p>
    <w:p w14:paraId="4C26954B">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在本指导性文件中，对于确定为</w:t>
      </w:r>
      <w:r>
        <w:rPr>
          <w:rFonts w:ascii="宋体" w:hAnsi="宋体" w:eastAsia="宋体" w:cs="Arial"/>
          <w:bCs/>
          <w:kern w:val="36"/>
          <w:sz w:val="24"/>
          <w:szCs w:val="24"/>
        </w:rPr>
        <w:t>“</w:t>
      </w:r>
      <w:r>
        <w:rPr>
          <w:rFonts w:ascii="Arial" w:hAnsi="Arial" w:eastAsia="宋体" w:cs="Arial"/>
          <w:bCs/>
          <w:kern w:val="36"/>
          <w:sz w:val="24"/>
          <w:szCs w:val="24"/>
        </w:rPr>
        <w:t>相同</w:t>
      </w:r>
      <w:r>
        <w:rPr>
          <w:rFonts w:ascii="宋体" w:hAnsi="宋体" w:eastAsia="宋体" w:cs="Arial"/>
          <w:bCs/>
          <w:kern w:val="36"/>
          <w:sz w:val="24"/>
          <w:szCs w:val="24"/>
        </w:rPr>
        <w:t>”</w:t>
      </w:r>
      <w:r>
        <w:rPr>
          <w:rFonts w:ascii="Arial" w:hAnsi="Arial" w:eastAsia="宋体" w:cs="Arial"/>
          <w:bCs/>
          <w:kern w:val="36"/>
          <w:sz w:val="24"/>
          <w:szCs w:val="24"/>
        </w:rPr>
        <w:t>的医疗器械，一般而言FDA认为不含抗菌剂的该类型器械的性能测试即可满足要求。但FDA可能建议根据具体器械的设计、技术、适应症或其他方面的内容提交附加信息或测试</w:t>
      </w:r>
      <w:r>
        <w:rPr>
          <w:rFonts w:hint="eastAsia" w:ascii="Arial" w:hAnsi="Arial" w:eastAsia="宋体" w:cs="Arial"/>
          <w:bCs/>
          <w:kern w:val="36"/>
          <w:sz w:val="24"/>
          <w:szCs w:val="24"/>
        </w:rPr>
        <w:t>。</w:t>
      </w:r>
    </w:p>
    <w:p w14:paraId="7F3A3130">
      <w:pPr>
        <w:overflowPunct w:val="0"/>
        <w:adjustRightInd w:val="0"/>
        <w:snapToGrid w:val="0"/>
        <w:spacing w:after="240" w:line="288" w:lineRule="auto"/>
        <w:ind w:left="442" w:leftChars="205" w:hanging="12" w:hangingChars="5"/>
        <w:rPr>
          <w:rFonts w:ascii="Arial" w:hAnsi="Arial" w:eastAsia="宋体" w:cs="Arial"/>
          <w:bCs/>
          <w:kern w:val="36"/>
          <w:sz w:val="24"/>
          <w:szCs w:val="24"/>
        </w:rPr>
      </w:pPr>
      <w:r>
        <w:rPr>
          <w:rFonts w:ascii="Arial" w:hAnsi="Arial" w:eastAsia="宋体" w:cs="Arial"/>
          <w:bCs/>
          <w:kern w:val="36"/>
          <w:sz w:val="24"/>
          <w:szCs w:val="24"/>
        </w:rPr>
        <w:t>有关性能测试的其他信息，制造商应参考该类器械特定的指南（如果器械类型有可用指南）或联系器械</w:t>
      </w:r>
      <w:r>
        <w:rPr>
          <w:rFonts w:hint="eastAsia" w:ascii="Arial" w:hAnsi="Arial" w:eastAsia="宋体" w:cs="Arial"/>
          <w:bCs/>
          <w:kern w:val="36"/>
          <w:sz w:val="24"/>
          <w:szCs w:val="24"/>
        </w:rPr>
        <w:t>审查</w:t>
      </w:r>
      <w:r>
        <w:rPr>
          <w:rFonts w:ascii="Arial" w:hAnsi="Arial" w:eastAsia="宋体" w:cs="Arial"/>
          <w:bCs/>
          <w:kern w:val="36"/>
          <w:sz w:val="24"/>
          <w:szCs w:val="24"/>
        </w:rPr>
        <w:t>分部。对于本指南中涉及的器械，FDA建议制造商在成品器械上进行所有测试，即完成包装和任何适用的终端加工步骤（如灭菌）后的含抗菌剂器械。510（k）应包括最终成品器械的性能质量标准。</w:t>
      </w:r>
    </w:p>
    <w:p w14:paraId="767E018F">
      <w:pPr>
        <w:pStyle w:val="29"/>
        <w:numPr>
          <w:ilvl w:val="1"/>
          <w:numId w:val="5"/>
        </w:numPr>
        <w:overflowPunct w:val="0"/>
        <w:adjustRightInd w:val="0"/>
        <w:snapToGrid w:val="0"/>
        <w:spacing w:after="240" w:line="300" w:lineRule="auto"/>
        <w:ind w:left="1077" w:hanging="357" w:firstLineChars="0"/>
        <w:outlineLvl w:val="2"/>
        <w:rPr>
          <w:rFonts w:ascii="Arial" w:hAnsi="Arial" w:eastAsia="宋体" w:cs="Arial"/>
          <w:b/>
          <w:bCs/>
          <w:kern w:val="36"/>
          <w:sz w:val="28"/>
          <w:szCs w:val="28"/>
        </w:rPr>
      </w:pPr>
      <w:bookmarkStart w:id="33" w:name="_Toc497150775"/>
      <w:r>
        <w:rPr>
          <w:rFonts w:ascii="Arial" w:hAnsi="Arial" w:eastAsia="宋体" w:cs="Arial"/>
          <w:b/>
          <w:bCs/>
          <w:kern w:val="36"/>
          <w:sz w:val="28"/>
          <w:szCs w:val="28"/>
        </w:rPr>
        <w:t>台架测试</w:t>
      </w:r>
      <w:bookmarkEnd w:id="33"/>
    </w:p>
    <w:p w14:paraId="5B0EC65B">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对于含抗菌剂的</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器械，FDA建议制造商进行体外研究，以证明该器械上的抗菌剂在声称的适应症下具有有效性。体外研究应使用模拟器械临床使用的暴露条件。根据具体的器械类型，这些条件可能包括：</w:t>
      </w:r>
    </w:p>
    <w:p w14:paraId="60DC7131">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温度</w:t>
      </w:r>
    </w:p>
    <w:p w14:paraId="03EF405E">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器械在体液中预处理</w:t>
      </w:r>
    </w:p>
    <w:p w14:paraId="0C850847">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动态（而非静态）环境</w:t>
      </w:r>
    </w:p>
    <w:p w14:paraId="669B531F">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与身体接触的时间</w:t>
      </w:r>
    </w:p>
    <w:p w14:paraId="6FD0C977">
      <w:pPr>
        <w:pStyle w:val="29"/>
        <w:numPr>
          <w:ilvl w:val="0"/>
          <w:numId w:val="10"/>
        </w:numPr>
        <w:overflowPunct w:val="0"/>
        <w:adjustRightInd w:val="0"/>
        <w:snapToGrid w:val="0"/>
        <w:spacing w:after="240"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与微生物的接触时间。</w:t>
      </w:r>
    </w:p>
    <w:p w14:paraId="37CDC814">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制造商应使用正常菌群和相关临床分离株的代表性样本评估抗菌效果，以证明抗菌剂在医疗器械上的抗菌谱和活性。FDA建议研究中使用的临床分离物在原始分离物的1-2代内。该研究应包括</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后的器械与对照组器械的比较。对照组器械应与不含抗菌剂的</w:t>
      </w:r>
      <w:r>
        <w:rPr>
          <w:rFonts w:ascii="宋体" w:hAnsi="宋体" w:eastAsia="宋体" w:cs="Arial"/>
          <w:bCs/>
          <w:kern w:val="36"/>
          <w:sz w:val="24"/>
          <w:szCs w:val="24"/>
        </w:rPr>
        <w:t>“</w:t>
      </w:r>
      <w:r>
        <w:rPr>
          <w:rFonts w:ascii="Arial" w:hAnsi="Arial" w:eastAsia="宋体" w:cs="Arial"/>
          <w:bCs/>
          <w:kern w:val="36"/>
          <w:sz w:val="24"/>
          <w:szCs w:val="24"/>
        </w:rPr>
        <w:t>修改</w:t>
      </w:r>
      <w:r>
        <w:rPr>
          <w:rFonts w:ascii="宋体" w:hAnsi="宋体" w:eastAsia="宋体" w:cs="Arial"/>
          <w:bCs/>
          <w:kern w:val="36"/>
          <w:sz w:val="24"/>
          <w:szCs w:val="24"/>
        </w:rPr>
        <w:t>”</w:t>
      </w:r>
      <w:r>
        <w:rPr>
          <w:rFonts w:ascii="Arial" w:hAnsi="Arial" w:eastAsia="宋体" w:cs="Arial"/>
          <w:bCs/>
          <w:kern w:val="36"/>
          <w:sz w:val="24"/>
          <w:szCs w:val="24"/>
        </w:rPr>
        <w:t>后器械相同。</w:t>
      </w:r>
    </w:p>
    <w:p w14:paraId="6C8165D4">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该研究还应确定抗菌剂有效性与器械中或器械表面的抗菌剂的有效浓度之间的关系。如果抗菌剂随时间从器械中洗脱出来，则应设计研究以测试这种洗脱随时间的变化对抗菌效力的影响。</w:t>
      </w:r>
    </w:p>
    <w:p w14:paraId="3B2C698E">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提交的内容应包括所有测试方法的描述，包括：</w:t>
      </w:r>
    </w:p>
    <w:p w14:paraId="31DA4A06">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测试用微生物的接种和回收技术</w:t>
      </w:r>
    </w:p>
    <w:p w14:paraId="1E568F10">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中和剂使用情况（在回收过程中和抗菌剂的残留）</w:t>
      </w:r>
    </w:p>
    <w:p w14:paraId="79BB2C34">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回收媒介</w:t>
      </w:r>
    </w:p>
    <w:p w14:paraId="1C9BCD77">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培养温度</w:t>
      </w:r>
    </w:p>
    <w:p w14:paraId="20260A66">
      <w:pPr>
        <w:pStyle w:val="29"/>
        <w:numPr>
          <w:ilvl w:val="0"/>
          <w:numId w:val="10"/>
        </w:numPr>
        <w:overflowPunct w:val="0"/>
        <w:adjustRightInd w:val="0"/>
        <w:snapToGrid w:val="0"/>
        <w:spacing w:after="156" w:afterLines="50"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培养时间。</w:t>
      </w:r>
    </w:p>
    <w:p w14:paraId="6E69BF6C">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除了研究抗菌效果外，我们建议您进行实验室研究，以评估抗菌剂对器械质量标准或性能的影响（如果有的话）。其中应包括对材料或表面变化的评估，以及器械完整性、稳定性和机械耐久性的变化。</w:t>
      </w:r>
    </w:p>
    <w:p w14:paraId="69E1804D">
      <w:pPr>
        <w:pStyle w:val="29"/>
        <w:numPr>
          <w:ilvl w:val="1"/>
          <w:numId w:val="5"/>
        </w:numPr>
        <w:overflowPunct w:val="0"/>
        <w:adjustRightInd w:val="0"/>
        <w:snapToGrid w:val="0"/>
        <w:spacing w:after="240" w:line="300" w:lineRule="auto"/>
        <w:ind w:left="1077" w:hanging="357" w:firstLineChars="0"/>
        <w:outlineLvl w:val="2"/>
        <w:rPr>
          <w:rFonts w:ascii="Arial" w:hAnsi="Arial" w:eastAsia="宋体" w:cs="Arial"/>
          <w:b/>
          <w:bCs/>
          <w:kern w:val="36"/>
          <w:sz w:val="28"/>
          <w:szCs w:val="28"/>
        </w:rPr>
      </w:pPr>
      <w:bookmarkStart w:id="34" w:name="_Toc497150776"/>
      <w:r>
        <w:rPr>
          <w:rFonts w:ascii="Arial" w:hAnsi="Arial" w:eastAsia="宋体" w:cs="Arial"/>
          <w:b/>
          <w:bCs/>
          <w:kern w:val="36"/>
          <w:sz w:val="28"/>
          <w:szCs w:val="28"/>
        </w:rPr>
        <w:t>动物研究</w:t>
      </w:r>
      <w:bookmarkEnd w:id="34"/>
    </w:p>
    <w:p w14:paraId="0B0403BC">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动物研究适用于评估含抗菌剂的医疗器械针对其适应症的有效性。我们建议您联系FDA以获取进一步的指导（请参阅标题页的联系信息）。</w:t>
      </w:r>
    </w:p>
    <w:p w14:paraId="340FFD24">
      <w:pPr>
        <w:pStyle w:val="29"/>
        <w:numPr>
          <w:ilvl w:val="1"/>
          <w:numId w:val="5"/>
        </w:numPr>
        <w:overflowPunct w:val="0"/>
        <w:adjustRightInd w:val="0"/>
        <w:snapToGrid w:val="0"/>
        <w:spacing w:after="240" w:line="300" w:lineRule="auto"/>
        <w:ind w:left="1077" w:hanging="357" w:firstLineChars="0"/>
        <w:outlineLvl w:val="2"/>
        <w:rPr>
          <w:rFonts w:ascii="Arial" w:hAnsi="Arial" w:eastAsia="宋体" w:cs="Arial"/>
          <w:b/>
          <w:bCs/>
          <w:kern w:val="36"/>
          <w:sz w:val="28"/>
          <w:szCs w:val="28"/>
        </w:rPr>
      </w:pPr>
      <w:bookmarkStart w:id="35" w:name="_Toc497150777"/>
      <w:r>
        <w:rPr>
          <w:rFonts w:ascii="Arial" w:hAnsi="Arial" w:eastAsia="宋体" w:cs="Arial"/>
          <w:b/>
          <w:bCs/>
          <w:kern w:val="36"/>
          <w:sz w:val="28"/>
          <w:szCs w:val="28"/>
        </w:rPr>
        <w:t>临床研究</w:t>
      </w:r>
      <w:bookmarkEnd w:id="35"/>
    </w:p>
    <w:p w14:paraId="646F309B">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FDA认为应通过临床资料支持适应症可以</w:t>
      </w:r>
      <w:r>
        <w:rPr>
          <w:rFonts w:ascii="宋体" w:hAnsi="宋体" w:eastAsia="宋体" w:cs="Arial"/>
          <w:bCs/>
          <w:kern w:val="36"/>
          <w:sz w:val="24"/>
          <w:szCs w:val="24"/>
        </w:rPr>
        <w:t>“</w:t>
      </w:r>
      <w:r>
        <w:rPr>
          <w:rFonts w:ascii="Arial" w:hAnsi="Arial" w:eastAsia="宋体" w:cs="Arial"/>
          <w:bCs/>
          <w:kern w:val="36"/>
          <w:sz w:val="24"/>
          <w:szCs w:val="24"/>
        </w:rPr>
        <w:t>减少或预防器械相关感染</w:t>
      </w:r>
      <w:r>
        <w:rPr>
          <w:rFonts w:ascii="宋体" w:hAnsi="宋体" w:eastAsia="宋体" w:cs="Arial"/>
          <w:bCs/>
          <w:kern w:val="36"/>
          <w:sz w:val="24"/>
          <w:szCs w:val="24"/>
        </w:rPr>
        <w:t>”</w:t>
      </w:r>
      <w:r>
        <w:rPr>
          <w:rFonts w:ascii="Arial" w:hAnsi="Arial" w:eastAsia="宋体" w:cs="Arial"/>
          <w:bCs/>
          <w:kern w:val="36"/>
          <w:sz w:val="24"/>
          <w:szCs w:val="24"/>
        </w:rPr>
        <w:t>。此外，在某些情况下，如果某些问题无法通过体外实验室测试或动物研究得到满意的解决，则FDA可能会建议使用临床资料来确定其安全性或有效性问题。</w:t>
      </w:r>
    </w:p>
    <w:p w14:paraId="18A8A50B">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根据适应症、抗菌剂的性质和研究方案，FDA可能会将该器械视为21 CFR 812.3（m）（4）</w:t>
      </w:r>
      <w:r>
        <w:rPr>
          <w:rStyle w:val="22"/>
          <w:rFonts w:ascii="Arial" w:hAnsi="Arial" w:eastAsia="宋体" w:cs="Arial"/>
          <w:bCs/>
          <w:kern w:val="36"/>
          <w:sz w:val="24"/>
          <w:szCs w:val="24"/>
        </w:rPr>
        <w:footnoteReference w:id="15"/>
      </w:r>
      <w:r>
        <w:rPr>
          <w:rFonts w:ascii="Arial" w:hAnsi="Arial" w:eastAsia="宋体" w:cs="Arial"/>
          <w:bCs/>
          <w:kern w:val="36"/>
          <w:sz w:val="24"/>
          <w:szCs w:val="24"/>
        </w:rPr>
        <w:t>中定义的重大风险器械。在这种情况下，研究必须在经过批准的研究性器械豁免（IDE）下进行，见21 CFR第812部分。而如果该器械被认定位非重大风险器械，则研究不需要获取FDA的IDE批准，但需要满足21 CFR 812.2（b）</w:t>
      </w:r>
      <w:r>
        <w:rPr>
          <w:rFonts w:hint="eastAsia" w:ascii="Arial" w:hAnsi="Arial" w:eastAsia="宋体" w:cs="Arial"/>
          <w:bCs/>
          <w:kern w:val="36"/>
          <w:sz w:val="24"/>
          <w:szCs w:val="24"/>
        </w:rPr>
        <w:t>简短</w:t>
      </w:r>
      <w:r>
        <w:rPr>
          <w:rFonts w:ascii="Arial" w:hAnsi="Arial" w:eastAsia="宋体" w:cs="Arial"/>
          <w:bCs/>
          <w:kern w:val="36"/>
          <w:sz w:val="24"/>
          <w:szCs w:val="24"/>
        </w:rPr>
        <w:t>要求。在上述任意一种情况下，临床研究的发起者必须遵守机构审查委员会（21 CFR第56部分）和有关知情同意书（21 CFR第50部分）的规定。</w:t>
      </w:r>
    </w:p>
    <w:p w14:paraId="18D05EB5">
      <w:pPr>
        <w:overflowPunct w:val="0"/>
        <w:adjustRightInd w:val="0"/>
        <w:snapToGrid w:val="0"/>
        <w:spacing w:after="240" w:line="300" w:lineRule="auto"/>
        <w:ind w:left="720"/>
        <w:rPr>
          <w:rFonts w:ascii="Arial" w:hAnsi="Arial" w:eastAsia="宋体" w:cs="Arial"/>
          <w:bCs/>
          <w:kern w:val="36"/>
          <w:sz w:val="24"/>
          <w:szCs w:val="24"/>
        </w:rPr>
      </w:pPr>
      <w:r>
        <w:rPr>
          <w:rFonts w:ascii="Arial" w:hAnsi="Arial" w:eastAsia="宋体" w:cs="Arial"/>
          <w:bCs/>
          <w:kern w:val="36"/>
          <w:sz w:val="24"/>
          <w:szCs w:val="24"/>
        </w:rPr>
        <w:t>对于临床研究中使用的任何旨在证明减少或预防抗菌剂感染的临床研究的终点的替代标记物，临床研究者均应提供理由。我们认为，充分的理由通常包括在同行评审的文献中报道的关于使用受试者替代感染标志物的既定共识。</w:t>
      </w:r>
    </w:p>
    <w:p w14:paraId="0CCDF2B7">
      <w:pPr>
        <w:pStyle w:val="29"/>
        <w:widowControl/>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bCs/>
          <w:kern w:val="36"/>
          <w:sz w:val="32"/>
          <w:szCs w:val="32"/>
        </w:rPr>
      </w:pPr>
      <w:bookmarkStart w:id="36" w:name="_Toc497150778"/>
      <w:r>
        <w:rPr>
          <w:rFonts w:ascii="Arial" w:hAnsi="Arial" w:eastAsia="宋体" w:cs="Arial"/>
          <w:b/>
          <w:bCs/>
          <w:kern w:val="36"/>
          <w:sz w:val="32"/>
          <w:szCs w:val="32"/>
        </w:rPr>
        <w:t>标签</w:t>
      </w:r>
      <w:bookmarkEnd w:id="36"/>
    </w:p>
    <w:p w14:paraId="53E5095B">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510（k）应包括足够详细的标签，以满足21 CFR 807.87（e）的要求。以下建议旨在帮助您准备符合21 CFR 第801部分要求的标签</w:t>
      </w:r>
      <w:r>
        <w:rPr>
          <w:rStyle w:val="22"/>
          <w:rFonts w:ascii="Arial" w:hAnsi="Arial" w:eastAsia="宋体" w:cs="Arial"/>
          <w:bCs/>
          <w:kern w:val="36"/>
          <w:sz w:val="24"/>
          <w:szCs w:val="24"/>
        </w:rPr>
        <w:footnoteReference w:id="16"/>
      </w:r>
      <w:r>
        <w:rPr>
          <w:rFonts w:ascii="Arial" w:hAnsi="Arial" w:eastAsia="宋体" w:cs="Arial"/>
          <w:bCs/>
          <w:kern w:val="36"/>
          <w:sz w:val="24"/>
          <w:szCs w:val="24"/>
        </w:rPr>
        <w:t>。</w:t>
      </w:r>
    </w:p>
    <w:p w14:paraId="14A4CEB7">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一般来说，标签应描述器械、</w:t>
      </w:r>
      <w:r>
        <w:rPr>
          <w:rFonts w:hint="eastAsia" w:ascii="Arial" w:hAnsi="Arial" w:eastAsia="宋体" w:cs="Arial"/>
          <w:bCs/>
          <w:kern w:val="36"/>
          <w:sz w:val="24"/>
          <w:szCs w:val="24"/>
        </w:rPr>
        <w:t>器械</w:t>
      </w:r>
      <w:r>
        <w:rPr>
          <w:rFonts w:ascii="Arial" w:hAnsi="Arial" w:eastAsia="宋体" w:cs="Arial"/>
          <w:bCs/>
          <w:kern w:val="36"/>
          <w:sz w:val="24"/>
          <w:szCs w:val="24"/>
        </w:rPr>
        <w:t>适应症，并提供使用说明。使用说明应包括适用的警告、禁忌症和限制。对于特定器械类型的标签建议，制造商应参考该类器械特定的指南（如果器械类型有可用指南）或联系医疗器械评价部门。</w:t>
      </w:r>
    </w:p>
    <w:p w14:paraId="119AF01D">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标签应包括的单独章节：</w:t>
      </w:r>
    </w:p>
    <w:p w14:paraId="7FFA53C2">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抗菌剂的适应症</w:t>
      </w:r>
    </w:p>
    <w:p w14:paraId="416C47C4">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每种抗菌剂的化学名称</w:t>
      </w:r>
    </w:p>
    <w:p w14:paraId="720A01A4">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目标病原体（属和物种）</w:t>
      </w:r>
    </w:p>
    <w:p w14:paraId="04EDEFCF">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抗菌剂的活性谱，包括该活性谱与临床应用过程中实际接触的生物体的类型的关联关系</w:t>
      </w:r>
    </w:p>
    <w:p w14:paraId="37159C29">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器械上抗菌剂的浓度以及在器械使用期间释放到或接触患者的量（如果适用）</w:t>
      </w:r>
    </w:p>
    <w:p w14:paraId="5314A111">
      <w:pPr>
        <w:pStyle w:val="29"/>
        <w:numPr>
          <w:ilvl w:val="0"/>
          <w:numId w:val="10"/>
        </w:numPr>
        <w:overflowPunct w:val="0"/>
        <w:adjustRightInd w:val="0"/>
        <w:snapToGrid w:val="0"/>
        <w:spacing w:after="156" w:afterLines="50"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含抗菌剂的医疗器械的安全性和有效性数据的概述，包括所有临床研究结果（如果适用）。</w:t>
      </w:r>
    </w:p>
    <w:p w14:paraId="5973F0A7">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如果有的话，标签还应包括关于器械使用的警告或禁忌症，例如：</w:t>
      </w:r>
    </w:p>
    <w:p w14:paraId="4FE40A96">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抗菌剂可能的过敏症或过敏反应</w:t>
      </w:r>
    </w:p>
    <w:p w14:paraId="7A77071D">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hint="eastAsia" w:ascii="Arial" w:hAnsi="Arial" w:eastAsia="宋体" w:cs="Arial"/>
          <w:bCs/>
          <w:kern w:val="36"/>
          <w:sz w:val="24"/>
          <w:szCs w:val="24"/>
        </w:rPr>
        <w:t>有</w:t>
      </w:r>
      <w:r>
        <w:rPr>
          <w:rFonts w:ascii="Arial" w:hAnsi="Arial" w:eastAsia="宋体" w:cs="Arial"/>
          <w:bCs/>
          <w:kern w:val="36"/>
          <w:sz w:val="24"/>
          <w:szCs w:val="24"/>
        </w:rPr>
        <w:t>抗菌剂过敏史</w:t>
      </w:r>
      <w:r>
        <w:rPr>
          <w:rFonts w:hint="eastAsia" w:ascii="Arial" w:hAnsi="Arial" w:eastAsia="宋体" w:cs="Arial"/>
          <w:bCs/>
          <w:kern w:val="36"/>
          <w:sz w:val="24"/>
          <w:szCs w:val="24"/>
        </w:rPr>
        <w:t>的</w:t>
      </w:r>
      <w:r>
        <w:rPr>
          <w:rFonts w:ascii="Arial" w:hAnsi="Arial" w:eastAsia="宋体" w:cs="Arial"/>
          <w:bCs/>
          <w:kern w:val="36"/>
          <w:sz w:val="24"/>
          <w:szCs w:val="24"/>
        </w:rPr>
        <w:t>患者使用该器械的禁忌症</w:t>
      </w:r>
    </w:p>
    <w:p w14:paraId="4358CF95">
      <w:pPr>
        <w:pStyle w:val="29"/>
        <w:numPr>
          <w:ilvl w:val="0"/>
          <w:numId w:val="10"/>
        </w:numPr>
        <w:overflowPunct w:val="0"/>
        <w:adjustRightInd w:val="0"/>
        <w:snapToGrid w:val="0"/>
        <w:spacing w:after="156" w:afterLines="50"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某些药物使用过程中的禁忌症。</w:t>
      </w:r>
    </w:p>
    <w:p w14:paraId="41205E45">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标签还应提供抗菌剂特征的信息：</w:t>
      </w:r>
    </w:p>
    <w:p w14:paraId="11CD606D">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化学</w:t>
      </w:r>
    </w:p>
    <w:p w14:paraId="0EF8E388">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药理学</w:t>
      </w:r>
    </w:p>
    <w:p w14:paraId="7D3D9924">
      <w:pPr>
        <w:pStyle w:val="29"/>
        <w:numPr>
          <w:ilvl w:val="0"/>
          <w:numId w:val="10"/>
        </w:numPr>
        <w:overflowPunct w:val="0"/>
        <w:adjustRightInd w:val="0"/>
        <w:snapToGrid w:val="0"/>
        <w:spacing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毒理学</w:t>
      </w:r>
    </w:p>
    <w:p w14:paraId="3F28F7E2">
      <w:pPr>
        <w:pStyle w:val="29"/>
        <w:numPr>
          <w:ilvl w:val="0"/>
          <w:numId w:val="10"/>
        </w:numPr>
        <w:overflowPunct w:val="0"/>
        <w:adjustRightInd w:val="0"/>
        <w:snapToGrid w:val="0"/>
        <w:spacing w:after="156" w:afterLines="50" w:line="300" w:lineRule="auto"/>
        <w:ind w:left="1140" w:firstLineChars="0"/>
        <w:rPr>
          <w:rFonts w:ascii="Arial" w:hAnsi="Arial" w:eastAsia="宋体" w:cs="Arial"/>
          <w:bCs/>
          <w:kern w:val="36"/>
          <w:sz w:val="24"/>
          <w:szCs w:val="24"/>
        </w:rPr>
      </w:pPr>
      <w:r>
        <w:rPr>
          <w:rFonts w:ascii="Arial" w:hAnsi="Arial" w:eastAsia="宋体" w:cs="Arial"/>
          <w:bCs/>
          <w:kern w:val="36"/>
          <w:sz w:val="24"/>
          <w:szCs w:val="24"/>
        </w:rPr>
        <w:t>代谢和排泄信息，如果适用。</w:t>
      </w:r>
    </w:p>
    <w:p w14:paraId="21BA720B">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如果适应症是减少或抑制医疗器械上的微生物定植，则标签应包含适当的免责声明。例如：</w:t>
      </w:r>
    </w:p>
    <w:p w14:paraId="41D564C9">
      <w:pPr>
        <w:overflowPunct w:val="0"/>
        <w:adjustRightInd w:val="0"/>
        <w:snapToGrid w:val="0"/>
        <w:spacing w:after="240" w:line="300" w:lineRule="auto"/>
        <w:rPr>
          <w:rFonts w:ascii="Arial" w:hAnsi="Arial" w:eastAsia="宋体" w:cs="Arial"/>
          <w:bCs/>
          <w:kern w:val="36"/>
          <w:sz w:val="24"/>
          <w:szCs w:val="24"/>
        </w:rPr>
      </w:pPr>
      <w:r>
        <w:rPr>
          <w:rFonts w:ascii="Arial" w:hAnsi="Arial" w:eastAsia="宋体" w:cs="Arial"/>
          <w:bCs/>
          <w:kern w:val="36"/>
          <w:sz w:val="24"/>
          <w:szCs w:val="24"/>
        </w:rPr>
        <w:t>尚未有研究显示医疗器械上微生物定植或生长的减少与患者感染的减少相关。尚未进行相关临床研究评估感染的减少。</w:t>
      </w:r>
    </w:p>
    <w:p w14:paraId="4D0AF3E8">
      <w:pPr>
        <w:pBdr>
          <w:bottom w:val="single" w:color="auto" w:sz="4" w:space="1"/>
        </w:pBdr>
        <w:overflowPunct w:val="0"/>
        <w:snapToGrid w:val="0"/>
        <w:spacing w:after="240" w:line="300" w:lineRule="auto"/>
        <w:jc w:val="center"/>
        <w:rPr>
          <w:rFonts w:hint="eastAsia" w:eastAsia="等线"/>
          <w:lang w:eastAsia="zh-CN"/>
        </w:rPr>
      </w:pPr>
    </w:p>
    <w:p w14:paraId="1ADA59CE">
      <w:pPr>
        <w:pBdr>
          <w:bottom w:val="single" w:color="auto" w:sz="4" w:space="1"/>
        </w:pBdr>
        <w:overflowPunct w:val="0"/>
        <w:snapToGrid w:val="0"/>
        <w:spacing w:after="240" w:line="300" w:lineRule="auto"/>
        <w:jc w:val="center"/>
        <w:rPr>
          <w:rFonts w:hint="eastAsia" w:eastAsia="等线"/>
          <w:lang w:eastAsia="zh-CN"/>
        </w:rPr>
      </w:pPr>
    </w:p>
    <w:p w14:paraId="3C0E8D7A">
      <w:pPr>
        <w:pBdr>
          <w:bottom w:val="single" w:color="auto" w:sz="4" w:space="1"/>
        </w:pBdr>
        <w:overflowPunct w:val="0"/>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12" w:type="first"/>
      <w:headerReference r:id="rId10" w:type="default"/>
      <w:footerReference r:id="rId13" w:type="default"/>
      <w:headerReference r:id="rId11"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617558461"/>
      <w:docPartObj>
        <w:docPartGallery w:val="AutoText"/>
      </w:docPartObj>
    </w:sdtPr>
    <w:sdtEndPr>
      <w:rPr>
        <w:rFonts w:ascii="Arial" w:hAnsi="Arial" w:cs="Arial"/>
        <w:sz w:val="21"/>
        <w:szCs w:val="21"/>
      </w:rPr>
    </w:sdtEndPr>
    <w:sdtContent>
      <w:p w14:paraId="4FED390C">
        <w:pPr>
          <w:pStyle w:val="9"/>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38A4A5D7">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如果抗菌剂成分满足法案第201（g）部分对药品的定义（见21 CFR 3.2（e）），那么在医疗器械中添加抗菌剂形成了新的复合性产品。关于复合性产品管理的更多信息，请咨询FDA复合性产品办公室（</w:t>
      </w:r>
      <w:r>
        <w:rPr>
          <w:rFonts w:ascii="Arial" w:hAnsi="Arial" w:eastAsia="宋体" w:cs="Arial"/>
          <w:u w:val="single"/>
        </w:rPr>
        <w:t>http://www.fda.gov/oc/combination</w:t>
      </w:r>
      <w:r>
        <w:rPr>
          <w:rFonts w:ascii="Arial" w:hAnsi="Arial" w:eastAsia="宋体" w:cs="Arial"/>
        </w:rPr>
        <w:t>）。</w:t>
      </w:r>
    </w:p>
  </w:footnote>
  <w:footnote w:id="1">
    <w:p w14:paraId="6EB0BD56">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在联邦食品药品与化妆品法案（法案）201（g）章节部分中规定，药品是</w:t>
      </w:r>
      <w:r>
        <w:rPr>
          <w:rFonts w:ascii="宋体" w:hAnsi="宋体" w:eastAsia="宋体" w:cs="Arial"/>
        </w:rPr>
        <w:t>“</w:t>
      </w:r>
      <w:r>
        <w:rPr>
          <w:rFonts w:ascii="Arial" w:hAnsi="Arial" w:eastAsia="宋体" w:cs="Arial"/>
        </w:rPr>
        <w:t>（A）官方版本的美国药典、美国顺势疗法词典、美国国家处方集、及上述文件的补充文件认可的制品；和（B）用于人类或动物疾病的诊断、治疗、缓解、处理或预防的制品；和（C）用于影响人类或动物身体结构或功能的制品（非食品）；和（D）作为条款（A），（B）或（C）所规定制品中的任何成分的制品。</w:t>
      </w:r>
      <w:r>
        <w:rPr>
          <w:rFonts w:ascii="宋体" w:hAnsi="宋体" w:eastAsia="宋体" w:cs="Arial"/>
        </w:rPr>
        <w:t>”</w:t>
      </w:r>
      <w:r>
        <w:rPr>
          <w:rFonts w:ascii="Arial" w:hAnsi="Arial" w:eastAsia="宋体" w:cs="Arial"/>
        </w:rPr>
        <w:t>（21 USC 321（g））。</w:t>
      </w:r>
    </w:p>
  </w:footnote>
  <w:footnote w:id="2">
    <w:p w14:paraId="0D7FE176">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复合性产品的主要模式方式是提供该复合性产品最重要治疗功能的单一作用模式（例如药品、医疗器械、生物制剂）。21 C.F.R. 3.2（m）。该作用模式也是复合性产品预期对整体治疗效果产生最大作用效应的模式。根据法案503（g）部分的规定，复合性产品的主要作用模式决定了该产品的上市前评价的责任机构。在本指导性文件中，如果某种抗菌剂符合法案201（g）（1）中对药品的定义，则该抗菌剂包含药品的作用模式，并且其不包含生物制剂或医疗器械的作用模式。另外，在某些情况下，如抗菌棉签，抗菌剂-医疗器械复合性产品的主要作用模式由抗菌剂成分决定，那么在这种情况下应接受CDER的监管。</w:t>
      </w:r>
    </w:p>
  </w:footnote>
  <w:footnote w:id="3">
    <w:p w14:paraId="593922A0">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见21 C.F.R. §3.4</w:t>
      </w:r>
    </w:p>
  </w:footnote>
  <w:footnote w:id="4">
    <w:p w14:paraId="2F83D5B5">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法案513（a）（2）部分规定医疗器械的安全性和有效性的确定，应基于 </w:t>
      </w:r>
      <w:r>
        <w:rPr>
          <w:rFonts w:ascii="宋体" w:hAnsi="宋体" w:eastAsia="宋体" w:cs="Arial"/>
        </w:rPr>
        <w:t>“</w:t>
      </w:r>
      <w:r>
        <w:rPr>
          <w:rFonts w:ascii="Arial" w:hAnsi="Arial" w:eastAsia="宋体" w:cs="Arial"/>
        </w:rPr>
        <w:t>使用该器械所带来的健康收益应大于使用该器械所带来的</w:t>
      </w:r>
      <w:r>
        <w:rPr>
          <w:rFonts w:hint="eastAsia" w:ascii="Arial" w:hAnsi="Arial" w:eastAsia="宋体" w:cs="Arial"/>
        </w:rPr>
        <w:t>潜在</w:t>
      </w:r>
      <w:r>
        <w:rPr>
          <w:rFonts w:ascii="Arial" w:hAnsi="Arial" w:eastAsia="宋体" w:cs="Arial"/>
        </w:rPr>
        <w:t>风险、损伤或疾病。</w:t>
      </w:r>
      <w:r>
        <w:rPr>
          <w:rFonts w:ascii="宋体" w:hAnsi="宋体" w:eastAsia="宋体" w:cs="Arial"/>
        </w:rPr>
        <w:t>”</w:t>
      </w:r>
      <w:r>
        <w:rPr>
          <w:rFonts w:ascii="Arial" w:hAnsi="Arial" w:eastAsia="宋体" w:cs="Arial"/>
        </w:rPr>
        <w:t>因此，确定医疗器械的安全性和有效性涉及风险和收益评估。</w:t>
      </w:r>
    </w:p>
  </w:footnote>
  <w:footnote w:id="5">
    <w:p w14:paraId="0D8F24B8">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属于</w:t>
      </w:r>
      <w:r>
        <w:rPr>
          <w:rFonts w:ascii="宋体" w:hAnsi="宋体" w:eastAsia="宋体" w:cs="Arial"/>
        </w:rPr>
        <w:t>“</w:t>
      </w:r>
      <w:r>
        <w:rPr>
          <w:rFonts w:ascii="Arial" w:hAnsi="Arial" w:eastAsia="宋体" w:cs="Arial"/>
        </w:rPr>
        <w:t>关键</w:t>
      </w:r>
      <w:r>
        <w:rPr>
          <w:rFonts w:hint="eastAsia" w:ascii="Arial" w:hAnsi="Arial" w:eastAsia="宋体" w:cs="Arial"/>
        </w:rPr>
        <w:t>性</w:t>
      </w:r>
      <w:r>
        <w:rPr>
          <w:rFonts w:ascii="Arial" w:hAnsi="Arial" w:eastAsia="宋体" w:cs="Arial"/>
        </w:rPr>
        <w:t>器械</w:t>
      </w:r>
      <w:r>
        <w:rPr>
          <w:rFonts w:ascii="宋体" w:hAnsi="宋体" w:eastAsia="宋体" w:cs="Arial"/>
        </w:rPr>
        <w:t>”</w:t>
      </w:r>
      <w:r>
        <w:rPr>
          <w:rFonts w:ascii="Arial" w:hAnsi="Arial" w:eastAsia="宋体" w:cs="Arial"/>
        </w:rPr>
        <w:t>和</w:t>
      </w:r>
      <w:r>
        <w:rPr>
          <w:rFonts w:ascii="宋体" w:hAnsi="宋体" w:eastAsia="宋体" w:cs="Arial"/>
        </w:rPr>
        <w:t>“</w:t>
      </w:r>
      <w:r>
        <w:rPr>
          <w:rFonts w:ascii="Arial" w:hAnsi="Arial" w:eastAsia="宋体" w:cs="Arial"/>
        </w:rPr>
        <w:t>半关键</w:t>
      </w:r>
      <w:r>
        <w:rPr>
          <w:rFonts w:hint="eastAsia" w:ascii="Arial" w:hAnsi="Arial" w:eastAsia="宋体" w:cs="Arial"/>
        </w:rPr>
        <w:t>性</w:t>
      </w:r>
      <w:r>
        <w:rPr>
          <w:rFonts w:ascii="Arial" w:hAnsi="Arial" w:eastAsia="宋体" w:cs="Arial"/>
        </w:rPr>
        <w:t>器械</w:t>
      </w:r>
      <w:r>
        <w:rPr>
          <w:rFonts w:ascii="宋体" w:hAnsi="宋体" w:eastAsia="宋体" w:cs="Arial"/>
        </w:rPr>
        <w:t>”</w:t>
      </w:r>
      <w:r>
        <w:rPr>
          <w:rFonts w:ascii="Arial" w:hAnsi="Arial" w:eastAsia="宋体" w:cs="Arial"/>
        </w:rPr>
        <w:t>一般指的是在使用过程中接触常规消毒组织或身体的医疗器械（关键），以及在使用过程中接触黏膜或非活性皮肤的医疗器械（半关键）</w:t>
      </w:r>
    </w:p>
  </w:footnote>
  <w:footnote w:id="6">
    <w:p w14:paraId="2F5CC9B2">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新型化学品（NCE）是指成分中含有FDA在其他申请中根据联邦食品药品与化妆品法案505（b）章节批准的活性成分的药品。活性成分指的是分子或原子，不包括药品分子的酯化、盐化（包括含有氢键或配位键的盐）、或其他非共价衍生物（如复合物、螯合物或笼形化合）中添加的分子取代基，且负责产生药品生理或药代动力学作用的物质。见21 C.F.R. § 314.108。</w:t>
      </w:r>
    </w:p>
  </w:footnote>
  <w:footnote w:id="7">
    <w:p w14:paraId="7EAFF82B">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w:t>
      </w:r>
      <w:r>
        <w:rPr>
          <w:rFonts w:ascii="Arial" w:hAnsi="Arial" w:eastAsia="宋体" w:cs="Arial"/>
          <w:color w:val="0000FF"/>
          <w:u w:val="single"/>
        </w:rPr>
        <w:t>http://www.fda.gov/cdrh/ode/guidance/1567.html</w:t>
      </w:r>
    </w:p>
  </w:footnote>
  <w:footnote w:id="8">
    <w:p w14:paraId="149E1D72">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w:t>
      </w:r>
      <w:r>
        <w:rPr>
          <w:rFonts w:ascii="Arial" w:hAnsi="Arial" w:eastAsia="宋体" w:cs="Arial"/>
          <w:color w:val="0000FF"/>
          <w:u w:val="single"/>
        </w:rPr>
        <w:t>http://www.fda.gov/cdrh/devadvice/314.html</w:t>
      </w:r>
    </w:p>
  </w:footnote>
  <w:footnote w:id="9">
    <w:p w14:paraId="3C9B238E">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在某些情况下，我们会发现修改后的医疗器械产生了新的安全性和有效性问题。如果确实如此，那么修改后的器械会不满足实质等同性（NSE）。该器械会被分类为III类器械，并需要接受法案要求的上市前审批（PMA）（法案513（a）部分，21 U.S.C. 360c（a））。</w:t>
      </w:r>
    </w:p>
  </w:footnote>
  <w:footnote w:id="10">
    <w:p w14:paraId="7778B7DD">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CLSI。抗菌药物纸片敏感性测试性能标准；</w:t>
      </w:r>
      <w:bookmarkStart w:id="37" w:name="OLE_LINK6"/>
      <w:r>
        <w:rPr>
          <w:rFonts w:ascii="Arial" w:hAnsi="Arial" w:eastAsia="宋体" w:cs="Arial"/>
        </w:rPr>
        <w:t>批准的标准第9版。NCCLS文件M2-A9。CLSI，940，West Valley Rd., Ste 1400, Wayne, PA 19087-1898, 2006。</w:t>
      </w:r>
      <w:bookmarkEnd w:id="37"/>
    </w:p>
  </w:footnote>
  <w:footnote w:id="11">
    <w:p w14:paraId="16698DD2">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CLSI。厌氧菌稀释抗菌敏感性测试方法；批准的标准第7版。NCCLS文件M7-A7 (ISBN 1-56238-394-9)。CLSI，940，West Valley Rd., Ste 1400, Wayne, PA 19087-1898, 2006。</w:t>
      </w:r>
    </w:p>
  </w:footnote>
  <w:footnote w:id="12">
    <w:p w14:paraId="7A90E9AD">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www.fda.gov/cdrh/ode/guidance/361.html</w:t>
      </w:r>
    </w:p>
  </w:footnote>
  <w:footnote w:id="13">
    <w:p w14:paraId="0DC22DC0">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www.fda.gov/cdrh/g951.html</w:t>
      </w:r>
    </w:p>
  </w:footnote>
  <w:footnote w:id="14">
    <w:p w14:paraId="75EFC067">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见法案513(i)(1)(A)(ii)(I)部分</w:t>
      </w:r>
    </w:p>
  </w:footnote>
  <w:footnote w:id="15">
    <w:p w14:paraId="058EE915">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见http://www.fda.gov/oc/ohrt/irbs/devices.html#risk</w:t>
      </w:r>
    </w:p>
  </w:footnote>
  <w:footnote w:id="16">
    <w:p w14:paraId="0A4DD8C2">
      <w:pPr>
        <w:pStyle w:val="12"/>
        <w:jc w:val="both"/>
        <w:rPr>
          <w:rFonts w:ascii="Arial" w:hAnsi="Arial" w:eastAsia="宋体" w:cs="Arial"/>
        </w:rPr>
      </w:pPr>
      <w:r>
        <w:rPr>
          <w:rStyle w:val="22"/>
          <w:rFonts w:ascii="Arial" w:hAnsi="Arial" w:eastAsia="宋体" w:cs="Arial"/>
        </w:rPr>
        <w:footnoteRef/>
      </w:r>
      <w:r>
        <w:rPr>
          <w:rFonts w:ascii="Arial" w:hAnsi="Arial" w:eastAsia="宋体" w:cs="Arial"/>
        </w:rPr>
        <w:t xml:space="preserve"> 虽然510（k）批准并不要求最终版标签，但在医疗器械进入市场前，其最终版标签必须符合21 CFR 801的要求。另外，处方用医疗器械的最终标签必须遵守21 CFR 801.109。本指导性文件中的标签建议与第801部分一致。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B37E">
    <w:pPr>
      <w:pStyle w:val="10"/>
      <w:pBdr>
        <w:bottom w:val="none" w:color="auto" w:sz="0" w:space="0"/>
      </w:pBdr>
    </w:pPr>
    <w:r>
      <w:pict>
        <v:shape id="PowerPlusWaterMarkObject17944095" o:spid="_x0000_s10244" o:spt="136" type="#_x0000_t136" style="position:absolute;left:0pt;height:129.75pt;width:259.5pt;mso-position-horizontal:center;mso-position-horizontal-relative:margin;mso-position-vertical:center;mso-position-vertical-relative:margin;z-index:-251654144;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CE7B">
    <w:pPr>
      <w:pStyle w:val="10"/>
    </w:pPr>
    <w:r>
      <w:pict>
        <v:shape id="PowerPlusWaterMarkObject17944094" o:spid="_x0000_s10243" o:spt="136" type="#_x0000_t136" style="position:absolute;left:0pt;height:129.75pt;width:259.5pt;mso-position-horizontal:center;mso-position-horizontal-relative:margin;mso-position-vertical:center;mso-position-vertical-relative:margin;z-index:-251655168;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5010">
    <w:pPr>
      <w:pStyle w:val="10"/>
    </w:pPr>
    <w:r>
      <w:pict>
        <v:shape id="PowerPlusWaterMarkObject17944093" o:spid="_x0000_s10242" o:spt="136" type="#_x0000_t136" style="position:absolute;left:0pt;height:129.75pt;width:259.5pt;mso-position-horizontal:center;mso-position-horizontal-relative:margin;mso-position-vertical:center;mso-position-vertical-relative:margin;z-index:-251656192;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E6DCD">
    <w:pPr>
      <w:autoSpaceDE w:val="0"/>
      <w:autoSpaceDN w:val="0"/>
      <w:adjustRightInd w:val="0"/>
      <w:snapToGrid w:val="0"/>
      <w:spacing w:after="120" w:afterLines="50" w:line="300" w:lineRule="auto"/>
      <w:jc w:val="center"/>
      <w:rPr>
        <w:rFonts w:ascii="Arial" w:hAnsi="Arial" w:cs="Arial"/>
        <w:b/>
        <w:bCs/>
        <w:i/>
        <w:iCs/>
        <w:kern w:val="0"/>
        <w:sz w:val="24"/>
        <w:szCs w:val="24"/>
      </w:rPr>
    </w:pPr>
    <w:r>
      <w:pict>
        <v:shape id="PowerPlusWaterMarkObject17944098" o:spid="_x0000_s10247" o:spt="136" type="#_x0000_t136" style="position:absolute;left:0pt;height:129.75pt;width:259.5pt;mso-position-horizontal:center;mso-position-horizontal-relative:margin;mso-position-vertical:center;mso-position-vertical-relative:margin;z-index:-251651072;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r>
      <w:rPr>
        <w:rFonts w:hint="eastAsia" w:ascii="Arial" w:hAnsi="Arial" w:cs="Arial"/>
        <w:b/>
        <w:bCs/>
        <w:i/>
        <w:iCs/>
        <w:kern w:val="0"/>
        <w:sz w:val="24"/>
        <w:szCs w:val="24"/>
      </w:rPr>
      <w:t>所含建议不具约束力</w:t>
    </w:r>
  </w:p>
  <w:p w14:paraId="10CD3313">
    <w:pPr>
      <w:pStyle w:val="10"/>
      <w:pBdr>
        <w:bottom w:val="none" w:color="auto" w:sz="0" w:space="0"/>
      </w:pBdr>
      <w:spacing w:after="120" w:afterLines="50" w:line="300" w:lineRule="auto"/>
      <w:rPr>
        <w:rFonts w:ascii="Arial" w:hAnsi="Arial" w:cs="Arial"/>
        <w:i/>
        <w:iCs/>
        <w:kern w:val="0"/>
        <w:sz w:val="24"/>
        <w:szCs w:val="24"/>
      </w:rPr>
    </w:pPr>
    <w:r>
      <w:rPr>
        <w:rFonts w:hint="eastAsia" w:ascii="Arial" w:hAnsi="Arial" w:cs="Arial"/>
        <w:i/>
        <w:iCs/>
        <w:kern w:val="0"/>
        <w:sz w:val="24"/>
        <w:szCs w:val="24"/>
      </w:rPr>
      <w:t>草案</w:t>
    </w:r>
    <w:r>
      <w:rPr>
        <w:rFonts w:ascii="Arial" w:hAnsi="Arial" w:cs="Arial"/>
        <w:i/>
        <w:iCs/>
        <w:kern w:val="0"/>
        <w:sz w:val="24"/>
        <w:szCs w:val="24"/>
      </w:rPr>
      <w:t>-</w:t>
    </w:r>
    <w:r>
      <w:rPr>
        <w:rFonts w:hint="eastAsia" w:ascii="Arial" w:hAnsi="Arial" w:cs="Arial"/>
        <w:i/>
        <w:iCs/>
        <w:kern w:val="0"/>
        <w:sz w:val="24"/>
        <w:szCs w:val="24"/>
      </w:rPr>
      <w:t>不用于实施</w:t>
    </w:r>
  </w:p>
  <w:p w14:paraId="6B7F0764">
    <w:pPr>
      <w:pStyle w:val="10"/>
      <w:pBdr>
        <w:bottom w:val="none" w:color="auto" w:sz="0" w:space="0"/>
      </w:pBdr>
      <w:spacing w:after="120" w:afterLines="50" w:line="300" w:lineRule="auto"/>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0FD5">
    <w:pPr>
      <w:pStyle w:val="10"/>
    </w:pPr>
    <w:r>
      <w:pict>
        <v:shape id="PowerPlusWaterMarkObject17944097" o:spid="_x0000_s10246" o:spt="136" type="#_x0000_t136" style="position:absolute;left:0pt;height:129.75pt;width:259.5pt;mso-position-horizontal:center;mso-position-horizontal-relative:margin;mso-position-vertical:center;mso-position-vertical-relative:margin;z-index:-251652096;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86A6">
    <w:pPr>
      <w:pStyle w:val="10"/>
    </w:pPr>
    <w:r>
      <w:pict>
        <v:shape id="PowerPlusWaterMarkObject17944096" o:spid="_x0000_s10245" o:spt="136" type="#_x0000_t136" style="position:absolute;left:0pt;height:129.75pt;width:259.5pt;mso-position-horizontal:center;mso-position-horizontal-relative:margin;mso-position-vertical:center;mso-position-vertical-relative:margin;z-index:-251653120;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03F9">
    <w:pPr>
      <w:autoSpaceDE w:val="0"/>
      <w:autoSpaceDN w:val="0"/>
      <w:adjustRightInd w:val="0"/>
      <w:snapToGrid w:val="0"/>
      <w:spacing w:after="120" w:afterLines="50" w:line="300" w:lineRule="auto"/>
      <w:jc w:val="center"/>
      <w:rPr>
        <w:rFonts w:ascii="Arial" w:hAnsi="Arial" w:cs="Arial"/>
        <w:b/>
        <w:bCs/>
        <w:i/>
        <w:iCs/>
        <w:kern w:val="0"/>
        <w:sz w:val="24"/>
        <w:szCs w:val="24"/>
      </w:rPr>
    </w:pPr>
    <w:r>
      <w:rPr>
        <w:rFonts w:hint="eastAsia" w:ascii="Arial" w:hAnsi="Arial" w:cs="Arial"/>
        <w:b/>
        <w:bCs/>
        <w:i/>
        <w:iCs/>
        <w:kern w:val="0"/>
        <w:sz w:val="24"/>
        <w:szCs w:val="24"/>
      </w:rPr>
      <w:t>所含建议不具约束力</w:t>
    </w:r>
  </w:p>
  <w:p w14:paraId="18E12CB2">
    <w:pPr>
      <w:pStyle w:val="10"/>
      <w:pBdr>
        <w:bottom w:val="none" w:color="auto" w:sz="0" w:space="0"/>
      </w:pBdr>
      <w:spacing w:after="120" w:afterLines="50" w:line="300" w:lineRule="auto"/>
      <w:rPr>
        <w:rFonts w:ascii="Arial" w:hAnsi="Arial" w:cs="Arial"/>
        <w:i/>
        <w:iCs/>
        <w:kern w:val="0"/>
        <w:sz w:val="24"/>
        <w:szCs w:val="24"/>
      </w:rPr>
    </w:pPr>
    <w:r>
      <w:rPr>
        <w:rFonts w:hint="eastAsia" w:ascii="Arial" w:hAnsi="Arial" w:cs="Arial"/>
        <w:i/>
        <w:iCs/>
        <w:kern w:val="0"/>
        <w:sz w:val="24"/>
        <w:szCs w:val="24"/>
      </w:rPr>
      <w:t>草案-不用于实施</w:t>
    </w:r>
  </w:p>
  <w:p w14:paraId="267CC534">
    <w:pPr>
      <w:pStyle w:val="10"/>
      <w:pBdr>
        <w:bottom w:val="none" w:color="auto" w:sz="0" w:space="0"/>
      </w:pBdr>
      <w:spacing w:after="120" w:afterLines="50" w:line="300" w:lineRule="auto"/>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C0B8">
    <w:pPr>
      <w:pStyle w:val="10"/>
    </w:pPr>
    <w:r>
      <w:pict>
        <v:shape id="PowerPlusWaterMarkObject17944100" o:spid="_x0000_s10249" o:spt="136" type="#_x0000_t136" style="position:absolute;left:0pt;height:129.75pt;width:259.5pt;mso-position-horizontal:center;mso-position-horizontal-relative:margin;mso-position-vertical:center;mso-position-vertical-relative:margin;z-index:-251649024;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E67E">
    <w:pPr>
      <w:pStyle w:val="10"/>
    </w:pPr>
    <w:r>
      <w:pict>
        <v:shape id="PowerPlusWaterMarkObject17944099" o:spid="_x0000_s10248" o:spt="136" type="#_x0000_t136" style="position:absolute;left:0pt;height:129.75pt;width:259.5pt;mso-position-horizontal:center;mso-position-horizontal-relative:margin;mso-position-vertical:center;mso-position-vertical-relative:margin;z-index:-251650048;mso-width-relative:page;mso-height-relative:page;" fillcolor="#C0C0C0" filled="t" stroked="f" coordsize="21600,21600" o:allowincell="f">
          <v:path/>
          <v:fill on="t" focussize="0,0"/>
          <v:stroke on="f"/>
          <v:imagedata o:title=""/>
          <o:lock v:ext="edit"/>
          <v:textpath on="t" fitpath="t" trim="f" xscale="f" string="草案" style="font-family:宋体;font-size:13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52F7"/>
    <w:multiLevelType w:val="multilevel"/>
    <w:tmpl w:val="14D852F7"/>
    <w:lvl w:ilvl="0" w:tentative="0">
      <w:start w:val="1"/>
      <w:numFmt w:val="upperRoman"/>
      <w:lvlText w:val="%1."/>
      <w:lvlJc w:val="left"/>
      <w:pPr>
        <w:ind w:left="420" w:hanging="420"/>
      </w:pPr>
      <w:rPr>
        <w:rFonts w:hint="eastAsia"/>
      </w:r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F7670A"/>
    <w:multiLevelType w:val="multilevel"/>
    <w:tmpl w:val="2EF7670A"/>
    <w:lvl w:ilvl="0" w:tentative="0">
      <w:start w:val="1"/>
      <w:numFmt w:val="bullet"/>
      <w:lvlText w:val=""/>
      <w:lvlJc w:val="left"/>
      <w:pPr>
        <w:tabs>
          <w:tab w:val="left" w:pos="360"/>
        </w:tabs>
        <w:ind w:left="360" w:hanging="360"/>
      </w:pPr>
      <w:rPr>
        <w:rFonts w:hint="default" w:ascii="Symbol" w:hAnsi="Symbol"/>
        <w:sz w:val="20"/>
      </w:rPr>
    </w:lvl>
    <w:lvl w:ilvl="1" w:tentative="0">
      <w:start w:val="1"/>
      <w:numFmt w:val="decimal"/>
      <w:lvlText w:val="%2."/>
      <w:lvlJc w:val="left"/>
      <w:pPr>
        <w:ind w:left="1080" w:hanging="360"/>
      </w:pPr>
      <w:rPr>
        <w:rFonts w:hint="default"/>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2">
    <w:nsid w:val="328D1191"/>
    <w:multiLevelType w:val="multilevel"/>
    <w:tmpl w:val="328D119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FCA66C3"/>
    <w:multiLevelType w:val="multilevel"/>
    <w:tmpl w:val="3FCA66C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DC71D19"/>
    <w:multiLevelType w:val="multilevel"/>
    <w:tmpl w:val="4DC71D19"/>
    <w:lvl w:ilvl="0" w:tentative="0">
      <w:start w:val="1"/>
      <w:numFmt w:val="bullet"/>
      <w:lvlText w:val="●"/>
      <w:lvlJc w:val="left"/>
      <w:pPr>
        <w:ind w:left="840" w:hanging="420"/>
      </w:pPr>
      <w:rPr>
        <w:rFonts w:hint="default" w:ascii="Arial" w:hAnsi="Arial"/>
        <w:w w:val="10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16E001C"/>
    <w:multiLevelType w:val="multilevel"/>
    <w:tmpl w:val="616E00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0C77DA"/>
    <w:multiLevelType w:val="multilevel"/>
    <w:tmpl w:val="670C77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8F13C1F"/>
    <w:multiLevelType w:val="multilevel"/>
    <w:tmpl w:val="68F13C1F"/>
    <w:lvl w:ilvl="0" w:tentative="0">
      <w:start w:val="3"/>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F6D6CDE"/>
    <w:multiLevelType w:val="multilevel"/>
    <w:tmpl w:val="6F6D6CDE"/>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3D04526"/>
    <w:multiLevelType w:val="multilevel"/>
    <w:tmpl w:val="73D045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5"/>
  </w:num>
  <w:num w:numId="4">
    <w:abstractNumId w:val="8"/>
  </w:num>
  <w:num w:numId="5">
    <w:abstractNumId w:val="1"/>
  </w:num>
  <w:num w:numId="6">
    <w:abstractNumId w:val="9"/>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0"/>
    </o:shapelayout>
  </w:hdrShapeDefaults>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B0"/>
    <w:rsid w:val="00002942"/>
    <w:rsid w:val="00005AD0"/>
    <w:rsid w:val="00017C20"/>
    <w:rsid w:val="00032105"/>
    <w:rsid w:val="00066E6F"/>
    <w:rsid w:val="00067E19"/>
    <w:rsid w:val="0008448E"/>
    <w:rsid w:val="00093418"/>
    <w:rsid w:val="000A7AAF"/>
    <w:rsid w:val="000B2B02"/>
    <w:rsid w:val="000B340E"/>
    <w:rsid w:val="000C4EFD"/>
    <w:rsid w:val="000D7A4E"/>
    <w:rsid w:val="000F6366"/>
    <w:rsid w:val="00122C9E"/>
    <w:rsid w:val="001234B0"/>
    <w:rsid w:val="00123648"/>
    <w:rsid w:val="00125F98"/>
    <w:rsid w:val="00131138"/>
    <w:rsid w:val="00137452"/>
    <w:rsid w:val="001656AD"/>
    <w:rsid w:val="00174ED7"/>
    <w:rsid w:val="001A4AB2"/>
    <w:rsid w:val="001C3B73"/>
    <w:rsid w:val="001E0AB6"/>
    <w:rsid w:val="001F07D1"/>
    <w:rsid w:val="001F6E48"/>
    <w:rsid w:val="00214A38"/>
    <w:rsid w:val="00234301"/>
    <w:rsid w:val="00236E61"/>
    <w:rsid w:val="0025001B"/>
    <w:rsid w:val="002645F6"/>
    <w:rsid w:val="002701DC"/>
    <w:rsid w:val="002A587E"/>
    <w:rsid w:val="002A746A"/>
    <w:rsid w:val="002E5735"/>
    <w:rsid w:val="0030236D"/>
    <w:rsid w:val="00307483"/>
    <w:rsid w:val="0031018F"/>
    <w:rsid w:val="00334BDB"/>
    <w:rsid w:val="00341B13"/>
    <w:rsid w:val="00371C0E"/>
    <w:rsid w:val="0038193C"/>
    <w:rsid w:val="003831F3"/>
    <w:rsid w:val="0039229E"/>
    <w:rsid w:val="003B3F7E"/>
    <w:rsid w:val="003B4883"/>
    <w:rsid w:val="00400542"/>
    <w:rsid w:val="0040115E"/>
    <w:rsid w:val="004431E3"/>
    <w:rsid w:val="004569EF"/>
    <w:rsid w:val="00491CB0"/>
    <w:rsid w:val="00494B9F"/>
    <w:rsid w:val="004F1871"/>
    <w:rsid w:val="004F3783"/>
    <w:rsid w:val="00515697"/>
    <w:rsid w:val="00562487"/>
    <w:rsid w:val="005A6F93"/>
    <w:rsid w:val="005C6090"/>
    <w:rsid w:val="005D7596"/>
    <w:rsid w:val="005E19CE"/>
    <w:rsid w:val="005E27FB"/>
    <w:rsid w:val="005F3C5F"/>
    <w:rsid w:val="00620570"/>
    <w:rsid w:val="00623BCF"/>
    <w:rsid w:val="0062618A"/>
    <w:rsid w:val="0063279D"/>
    <w:rsid w:val="00636D2A"/>
    <w:rsid w:val="0065480D"/>
    <w:rsid w:val="00667889"/>
    <w:rsid w:val="006807C5"/>
    <w:rsid w:val="006A1A4F"/>
    <w:rsid w:val="006A3999"/>
    <w:rsid w:val="006B2F43"/>
    <w:rsid w:val="006D0129"/>
    <w:rsid w:val="006D7EFF"/>
    <w:rsid w:val="006E6109"/>
    <w:rsid w:val="00736337"/>
    <w:rsid w:val="0073709A"/>
    <w:rsid w:val="00740A4A"/>
    <w:rsid w:val="00741666"/>
    <w:rsid w:val="00755C14"/>
    <w:rsid w:val="007623FE"/>
    <w:rsid w:val="007755D5"/>
    <w:rsid w:val="007D70C2"/>
    <w:rsid w:val="007D7548"/>
    <w:rsid w:val="007E6DC7"/>
    <w:rsid w:val="007F77AA"/>
    <w:rsid w:val="00815D98"/>
    <w:rsid w:val="008168B5"/>
    <w:rsid w:val="00840D17"/>
    <w:rsid w:val="008619D8"/>
    <w:rsid w:val="00865DCE"/>
    <w:rsid w:val="00870510"/>
    <w:rsid w:val="008A04C8"/>
    <w:rsid w:val="008B46B0"/>
    <w:rsid w:val="008D5354"/>
    <w:rsid w:val="008D53F0"/>
    <w:rsid w:val="008E3392"/>
    <w:rsid w:val="008F64CA"/>
    <w:rsid w:val="008F67D9"/>
    <w:rsid w:val="009501AA"/>
    <w:rsid w:val="0095248E"/>
    <w:rsid w:val="0095345C"/>
    <w:rsid w:val="00956055"/>
    <w:rsid w:val="009561BD"/>
    <w:rsid w:val="00966110"/>
    <w:rsid w:val="009706FE"/>
    <w:rsid w:val="0097474C"/>
    <w:rsid w:val="00975349"/>
    <w:rsid w:val="009A2A4B"/>
    <w:rsid w:val="009B74DA"/>
    <w:rsid w:val="009F0686"/>
    <w:rsid w:val="00A00FE7"/>
    <w:rsid w:val="00A40B3F"/>
    <w:rsid w:val="00A412E5"/>
    <w:rsid w:val="00A41F2D"/>
    <w:rsid w:val="00A76A7D"/>
    <w:rsid w:val="00AA4D55"/>
    <w:rsid w:val="00AB313C"/>
    <w:rsid w:val="00AC2C02"/>
    <w:rsid w:val="00AC4841"/>
    <w:rsid w:val="00AE118D"/>
    <w:rsid w:val="00AF357F"/>
    <w:rsid w:val="00B2785D"/>
    <w:rsid w:val="00B67820"/>
    <w:rsid w:val="00B71EC9"/>
    <w:rsid w:val="00B72E6A"/>
    <w:rsid w:val="00B83697"/>
    <w:rsid w:val="00B900EC"/>
    <w:rsid w:val="00BA6978"/>
    <w:rsid w:val="00BD0DD7"/>
    <w:rsid w:val="00BF1604"/>
    <w:rsid w:val="00C139FE"/>
    <w:rsid w:val="00C24B07"/>
    <w:rsid w:val="00C25865"/>
    <w:rsid w:val="00C30807"/>
    <w:rsid w:val="00C52C12"/>
    <w:rsid w:val="00C82BA6"/>
    <w:rsid w:val="00C97386"/>
    <w:rsid w:val="00CC0AD1"/>
    <w:rsid w:val="00CD5FE5"/>
    <w:rsid w:val="00D04F0E"/>
    <w:rsid w:val="00D07278"/>
    <w:rsid w:val="00D132D4"/>
    <w:rsid w:val="00D27D62"/>
    <w:rsid w:val="00D462C0"/>
    <w:rsid w:val="00D56545"/>
    <w:rsid w:val="00D729C2"/>
    <w:rsid w:val="00DB5003"/>
    <w:rsid w:val="00DC1F4A"/>
    <w:rsid w:val="00DC7A3E"/>
    <w:rsid w:val="00DE4024"/>
    <w:rsid w:val="00E56B36"/>
    <w:rsid w:val="00E56D02"/>
    <w:rsid w:val="00E6235A"/>
    <w:rsid w:val="00E914EB"/>
    <w:rsid w:val="00EA60DB"/>
    <w:rsid w:val="00ED37C9"/>
    <w:rsid w:val="00EE622F"/>
    <w:rsid w:val="00EF1E31"/>
    <w:rsid w:val="00F007E2"/>
    <w:rsid w:val="00F14401"/>
    <w:rsid w:val="00F30D0C"/>
    <w:rsid w:val="00F31CBD"/>
    <w:rsid w:val="00F4015D"/>
    <w:rsid w:val="00F41047"/>
    <w:rsid w:val="00F53DA2"/>
    <w:rsid w:val="00F67C09"/>
    <w:rsid w:val="00F7144F"/>
    <w:rsid w:val="00F81F26"/>
    <w:rsid w:val="00F833B2"/>
    <w:rsid w:val="00F87683"/>
    <w:rsid w:val="00F93D23"/>
    <w:rsid w:val="00FB3964"/>
    <w:rsid w:val="00FB4FEF"/>
    <w:rsid w:val="00FC65C6"/>
    <w:rsid w:val="00FC7188"/>
    <w:rsid w:val="00FD0939"/>
    <w:rsid w:val="00FD76EC"/>
    <w:rsid w:val="7B94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next w:val="1"/>
    <w:link w:val="33"/>
    <w:semiHidden/>
    <w:unhideWhenUsed/>
    <w:qFormat/>
    <w:uiPriority w:val="9"/>
    <w:pPr>
      <w:keepNext/>
      <w:keepLines/>
      <w:spacing w:before="260" w:after="260" w:line="416" w:lineRule="auto"/>
      <w:outlineLvl w:val="1"/>
    </w:pPr>
    <w:rPr>
      <w:rFonts w:eastAsia="宋体" w:asciiTheme="majorHAnsi" w:hAnsiTheme="majorHAnsi" w:cstheme="majorBidi"/>
      <w:bCs/>
      <w:kern w:val="2"/>
      <w:sz w:val="32"/>
      <w:szCs w:val="32"/>
      <w:lang w:val="en-US" w:eastAsia="zh-CN" w:bidi="ar-SA"/>
    </w:rPr>
  </w:style>
  <w:style w:type="paragraph" w:styleId="4">
    <w:name w:val="heading 3"/>
    <w:link w:val="24"/>
    <w:qFormat/>
    <w:uiPriority w:val="9"/>
    <w:pPr>
      <w:spacing w:before="100" w:beforeAutospacing="1" w:after="100" w:afterAutospacing="1"/>
      <w:outlineLvl w:val="2"/>
    </w:pPr>
    <w:rPr>
      <w:rFonts w:ascii="宋体" w:hAnsi="宋体" w:eastAsia="宋体" w:cs="宋体"/>
      <w:bCs/>
      <w:kern w:val="0"/>
      <w:sz w:val="27"/>
      <w:szCs w:val="27"/>
      <w:lang w:val="en-US" w:eastAsia="zh-CN" w:bidi="ar-SA"/>
    </w:rPr>
  </w:style>
  <w:style w:type="paragraph" w:styleId="5">
    <w:name w:val="heading 4"/>
    <w:basedOn w:val="1"/>
    <w:link w:val="2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link w:val="26"/>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autoRedefine/>
    <w:unhideWhenUsed/>
    <w:uiPriority w:val="39"/>
    <w:pPr>
      <w:snapToGrid w:val="0"/>
      <w:spacing w:line="300" w:lineRule="auto"/>
      <w:ind w:left="400" w:leftChars="400"/>
    </w:pPr>
    <w:rPr>
      <w:rFonts w:eastAsia="宋体"/>
      <w:i/>
    </w:rPr>
  </w:style>
  <w:style w:type="paragraph" w:styleId="8">
    <w:name w:val="Balloon Text"/>
    <w:basedOn w:val="1"/>
    <w:link w:val="31"/>
    <w:semiHidden/>
    <w:unhideWhenUsed/>
    <w:uiPriority w:val="99"/>
    <w:rPr>
      <w:sz w:val="18"/>
      <w:szCs w:val="18"/>
    </w:rPr>
  </w:style>
  <w:style w:type="paragraph" w:styleId="9">
    <w:name w:val="footer"/>
    <w:basedOn w:val="1"/>
    <w:link w:val="28"/>
    <w:unhideWhenUsed/>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adjustRightInd w:val="0"/>
      <w:snapToGrid w:val="0"/>
      <w:spacing w:line="300" w:lineRule="auto"/>
    </w:pPr>
    <w:rPr>
      <w:rFonts w:eastAsia="宋体"/>
    </w:rPr>
  </w:style>
  <w:style w:type="paragraph" w:styleId="12">
    <w:name w:val="footnote text"/>
    <w:basedOn w:val="1"/>
    <w:link w:val="30"/>
    <w:semiHidden/>
    <w:unhideWhenUsed/>
    <w:uiPriority w:val="99"/>
    <w:pPr>
      <w:snapToGrid w:val="0"/>
      <w:jc w:val="left"/>
    </w:pPr>
    <w:rPr>
      <w:sz w:val="18"/>
      <w:szCs w:val="18"/>
    </w:rPr>
  </w:style>
  <w:style w:type="paragraph" w:styleId="13">
    <w:name w:val="toc 2"/>
    <w:basedOn w:val="1"/>
    <w:next w:val="1"/>
    <w:autoRedefine/>
    <w:unhideWhenUsed/>
    <w:qFormat/>
    <w:uiPriority w:val="39"/>
    <w:pPr>
      <w:tabs>
        <w:tab w:val="left" w:pos="1050"/>
        <w:tab w:val="right" w:leader="dot" w:pos="8296"/>
      </w:tabs>
      <w:snapToGrid w:val="0"/>
      <w:spacing w:line="300" w:lineRule="auto"/>
      <w:ind w:left="420" w:leftChars="200"/>
    </w:pPr>
    <w:rPr>
      <w:rFonts w:eastAsia="宋体"/>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Emphasis"/>
    <w:basedOn w:val="17"/>
    <w:qFormat/>
    <w:uiPriority w:val="20"/>
    <w:rPr>
      <w:i/>
      <w:iCs/>
    </w:rPr>
  </w:style>
  <w:style w:type="character" w:styleId="21">
    <w:name w:val="Hyperlink"/>
    <w:basedOn w:val="17"/>
    <w:unhideWhenUsed/>
    <w:qFormat/>
    <w:uiPriority w:val="99"/>
    <w:rPr>
      <w:color w:val="0000FF"/>
      <w:u w:val="single"/>
    </w:rPr>
  </w:style>
  <w:style w:type="character" w:styleId="22">
    <w:name w:val="footnote reference"/>
    <w:basedOn w:val="17"/>
    <w:semiHidden/>
    <w:unhideWhenUsed/>
    <w:uiPriority w:val="99"/>
    <w:rPr>
      <w:vertAlign w:val="superscript"/>
    </w:rPr>
  </w:style>
  <w:style w:type="character" w:customStyle="1" w:styleId="23">
    <w:name w:val="标题 1 Char"/>
    <w:basedOn w:val="17"/>
    <w:link w:val="2"/>
    <w:qFormat/>
    <w:uiPriority w:val="9"/>
    <w:rPr>
      <w:rFonts w:ascii="宋体" w:hAnsi="宋体" w:eastAsia="宋体" w:cs="宋体"/>
      <w:b/>
      <w:bCs/>
      <w:kern w:val="36"/>
      <w:sz w:val="48"/>
      <w:szCs w:val="48"/>
    </w:rPr>
  </w:style>
  <w:style w:type="character" w:customStyle="1" w:styleId="24">
    <w:name w:val="标题 3 Char"/>
    <w:basedOn w:val="17"/>
    <w:link w:val="4"/>
    <w:qFormat/>
    <w:uiPriority w:val="9"/>
    <w:rPr>
      <w:rFonts w:ascii="宋体" w:hAnsi="宋体" w:eastAsia="宋体" w:cs="宋体"/>
      <w:bCs/>
      <w:kern w:val="0"/>
      <w:sz w:val="27"/>
      <w:szCs w:val="27"/>
    </w:rPr>
  </w:style>
  <w:style w:type="character" w:customStyle="1" w:styleId="25">
    <w:name w:val="标题 4 Char"/>
    <w:basedOn w:val="17"/>
    <w:link w:val="5"/>
    <w:qFormat/>
    <w:uiPriority w:val="9"/>
    <w:rPr>
      <w:rFonts w:ascii="宋体" w:hAnsi="宋体" w:eastAsia="宋体" w:cs="宋体"/>
      <w:b/>
      <w:bCs/>
      <w:kern w:val="0"/>
      <w:sz w:val="24"/>
      <w:szCs w:val="24"/>
    </w:rPr>
  </w:style>
  <w:style w:type="character" w:customStyle="1" w:styleId="26">
    <w:name w:val="标题 5 Char"/>
    <w:basedOn w:val="17"/>
    <w:link w:val="6"/>
    <w:qFormat/>
    <w:uiPriority w:val="9"/>
    <w:rPr>
      <w:rFonts w:ascii="宋体" w:hAnsi="宋体" w:eastAsia="宋体" w:cs="宋体"/>
      <w:b/>
      <w:bCs/>
      <w:kern w:val="0"/>
      <w:sz w:val="20"/>
      <w:szCs w:val="20"/>
    </w:rPr>
  </w:style>
  <w:style w:type="character" w:customStyle="1" w:styleId="27">
    <w:name w:val="页眉 Char"/>
    <w:basedOn w:val="17"/>
    <w:link w:val="10"/>
    <w:qFormat/>
    <w:uiPriority w:val="99"/>
    <w:rPr>
      <w:sz w:val="18"/>
      <w:szCs w:val="18"/>
    </w:rPr>
  </w:style>
  <w:style w:type="character" w:customStyle="1" w:styleId="28">
    <w:name w:val="页脚 Char"/>
    <w:basedOn w:val="17"/>
    <w:link w:val="9"/>
    <w:uiPriority w:val="99"/>
    <w:rPr>
      <w:sz w:val="18"/>
      <w:szCs w:val="18"/>
    </w:rPr>
  </w:style>
  <w:style w:type="paragraph" w:styleId="29">
    <w:name w:val="List Paragraph"/>
    <w:basedOn w:val="1"/>
    <w:qFormat/>
    <w:uiPriority w:val="34"/>
    <w:pPr>
      <w:ind w:firstLine="420" w:firstLineChars="200"/>
    </w:pPr>
  </w:style>
  <w:style w:type="character" w:customStyle="1" w:styleId="30">
    <w:name w:val="脚注文本 Char"/>
    <w:basedOn w:val="17"/>
    <w:link w:val="12"/>
    <w:semiHidden/>
    <w:qFormat/>
    <w:uiPriority w:val="99"/>
    <w:rPr>
      <w:sz w:val="18"/>
      <w:szCs w:val="18"/>
    </w:rPr>
  </w:style>
  <w:style w:type="character" w:customStyle="1" w:styleId="31">
    <w:name w:val="批注框文本 Char"/>
    <w:basedOn w:val="17"/>
    <w:link w:val="8"/>
    <w:semiHidden/>
    <w:qFormat/>
    <w:uiPriority w:val="99"/>
    <w:rPr>
      <w:sz w:val="18"/>
      <w:szCs w:val="18"/>
    </w:rPr>
  </w:style>
  <w:style w:type="paragraph" w:customStyle="1" w:styleId="32">
    <w:name w:val="TOC Heading"/>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33">
    <w:name w:val="标题 2 Char"/>
    <w:basedOn w:val="17"/>
    <w:link w:val="3"/>
    <w:semiHidden/>
    <w:uiPriority w:val="9"/>
    <w:rPr>
      <w:rFonts w:eastAsia="宋体" w:asciiTheme="majorHAnsi" w:hAnsiTheme="majorHAnsi" w:cstheme="majorBidi"/>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44"/>
    <customShpInfo spid="_x0000_s10243"/>
    <customShpInfo spid="_x0000_s10242"/>
    <customShpInfo spid="_x0000_s10247"/>
    <customShpInfo spid="_x0000_s10246"/>
    <customShpInfo spid="_x0000_s10245"/>
    <customShpInfo spid="_x0000_s10249"/>
    <customShpInfo spid="_x0000_s102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CDC39-C3A9-4277-8080-42CCCFC1B8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7981</Words>
  <Characters>8727</Characters>
  <Lines>76</Lines>
  <Paragraphs>21</Paragraphs>
  <TotalTime>1</TotalTime>
  <ScaleCrop>false</ScaleCrop>
  <LinksUpToDate>false</LinksUpToDate>
  <CharactersWithSpaces>8927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2017-11-17T06:03:00Z</dcterms:created>
  <dc:creator>Guozhen Liu</dc:creator>
  <cp:lastModifiedBy>太极箫客</cp:lastModifiedBy>
  <dcterms:modified xsi:type="dcterms:W3CDTF">2025-08-14T07:24:53Z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B0CE5468BCF547849E1137FEF23762FF_12</vt:lpwstr>
  </property>
</Properties>
</file>