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404FE">
      <w:pPr>
        <w:pStyle w:val="2"/>
        <w:pBdr>
          <w:bottom w:val="single" w:color="auto" w:sz="4" w:space="1"/>
        </w:pBdr>
        <w:topLinePunct/>
        <w:autoSpaceDE/>
        <w:autoSpaceDN/>
        <w:adjustRightInd w:val="0"/>
        <w:snapToGrid w:val="0"/>
        <w:spacing w:before="0" w:after="224" w:afterLines="75" w:line="288" w:lineRule="auto"/>
        <w:ind w:left="0"/>
        <w:rPr>
          <w:rFonts w:ascii="Arial" w:hAnsi="Arial" w:eastAsia="宋体" w:cs="Arial"/>
          <w:b w:val="0"/>
          <w:snapToGrid w:val="0"/>
          <w:szCs w:val="72"/>
        </w:rPr>
      </w:pPr>
      <w:bookmarkStart w:id="0" w:name="_Toc499129113"/>
      <w:bookmarkStart w:id="60" w:name="_GoBack"/>
      <w:bookmarkEnd w:id="60"/>
      <w:r>
        <w:rPr>
          <w:rFonts w:hint="eastAsia" w:ascii="Arial" w:hAnsi="Arial" w:eastAsia="宋体" w:cs="Arial"/>
          <w:snapToGrid w:val="0"/>
          <w:szCs w:val="72"/>
          <w:lang w:eastAsia="zh-CN"/>
        </w:rPr>
        <w:t>血液透析用植入式血液通路器械</w:t>
      </w:r>
      <w:bookmarkEnd w:id="0"/>
    </w:p>
    <w:p w14:paraId="2E2793EB">
      <w:pPr>
        <w:topLinePunct/>
        <w:autoSpaceDE/>
        <w:autoSpaceDN/>
        <w:adjustRightInd w:val="0"/>
        <w:snapToGrid w:val="0"/>
        <w:spacing w:after="224" w:afterLines="75" w:line="288" w:lineRule="auto"/>
        <w:jc w:val="center"/>
        <w:rPr>
          <w:rFonts w:ascii="Arial" w:hAnsi="Arial" w:eastAsia="宋体" w:cs="Arial"/>
          <w:b/>
          <w:snapToGrid w:val="0"/>
          <w:sz w:val="56"/>
          <w:szCs w:val="72"/>
          <w:lang w:eastAsia="zh-CN"/>
        </w:rPr>
      </w:pPr>
      <w:r>
        <w:rPr>
          <w:rFonts w:hint="eastAsia" w:ascii="Arial" w:hAnsi="Arial" w:eastAsia="宋体" w:cs="Arial"/>
          <w:b/>
          <w:snapToGrid w:val="0"/>
          <w:sz w:val="56"/>
          <w:szCs w:val="72"/>
          <w:lang w:eastAsia="zh-CN"/>
        </w:rPr>
        <w:t>行业及食品药品监督管理局工作人员指南</w:t>
      </w:r>
    </w:p>
    <w:p w14:paraId="6C167F51">
      <w:pPr>
        <w:pStyle w:val="5"/>
        <w:tabs>
          <w:tab w:val="left" w:pos="7321"/>
        </w:tabs>
        <w:topLinePunct/>
        <w:autoSpaceDE/>
        <w:autoSpaceDN/>
        <w:adjustRightInd w:val="0"/>
        <w:snapToGrid w:val="0"/>
        <w:spacing w:before="0" w:after="224" w:afterLines="75" w:line="288" w:lineRule="auto"/>
        <w:ind w:left="0" w:firstLine="0"/>
        <w:jc w:val="center"/>
        <w:rPr>
          <w:rFonts w:ascii="Arial" w:hAnsi="Arial" w:eastAsia="宋体" w:cs="Arial"/>
          <w:snapToGrid w:val="0"/>
          <w:sz w:val="24"/>
          <w:lang w:eastAsia="zh-CN"/>
        </w:rPr>
      </w:pPr>
    </w:p>
    <w:p w14:paraId="657F7A95">
      <w:pPr>
        <w:pStyle w:val="5"/>
        <w:tabs>
          <w:tab w:val="left" w:pos="7321"/>
        </w:tabs>
        <w:topLinePunct/>
        <w:autoSpaceDE/>
        <w:autoSpaceDN/>
        <w:adjustRightInd w:val="0"/>
        <w:snapToGrid w:val="0"/>
        <w:spacing w:before="0" w:after="224" w:afterLines="75" w:line="288" w:lineRule="auto"/>
        <w:ind w:left="0" w:firstLine="0"/>
        <w:jc w:val="center"/>
        <w:rPr>
          <w:rFonts w:ascii="Arial" w:hAnsi="Arial" w:eastAsia="宋体" w:cs="Arial"/>
          <w:snapToGrid w:val="0"/>
          <w:sz w:val="24"/>
          <w:lang w:eastAsia="zh-CN"/>
        </w:rPr>
      </w:pPr>
      <w:bookmarkStart w:id="1" w:name="_Toc499129114"/>
      <w:r>
        <w:rPr>
          <w:rFonts w:hint="eastAsia" w:ascii="Arial" w:hAnsi="Arial" w:eastAsia="宋体" w:cs="Arial"/>
          <w:snapToGrid w:val="0"/>
          <w:sz w:val="24"/>
          <w:lang w:eastAsia="zh-CN"/>
        </w:rPr>
        <w:t>文件发布于2016年1月21日。</w:t>
      </w:r>
      <w:bookmarkEnd w:id="1"/>
    </w:p>
    <w:p w14:paraId="22004282">
      <w:pPr>
        <w:pStyle w:val="5"/>
        <w:tabs>
          <w:tab w:val="left" w:pos="7321"/>
        </w:tabs>
        <w:topLinePunct/>
        <w:autoSpaceDE/>
        <w:autoSpaceDN/>
        <w:adjustRightInd w:val="0"/>
        <w:snapToGrid w:val="0"/>
        <w:spacing w:before="0" w:after="224" w:afterLines="75" w:line="288" w:lineRule="auto"/>
        <w:ind w:left="0" w:firstLine="0"/>
        <w:jc w:val="center"/>
        <w:rPr>
          <w:rFonts w:ascii="Arial" w:hAnsi="Arial" w:eastAsia="宋体" w:cs="Arial"/>
          <w:snapToGrid w:val="0"/>
          <w:sz w:val="24"/>
          <w:lang w:eastAsia="zh-CN"/>
        </w:rPr>
      </w:pPr>
      <w:bookmarkStart w:id="2" w:name="_Toc499129115"/>
      <w:r>
        <w:rPr>
          <w:rFonts w:hint="eastAsia" w:ascii="Arial" w:hAnsi="Arial" w:eastAsia="宋体" w:cs="Arial"/>
          <w:snapToGrid w:val="0"/>
          <w:sz w:val="24"/>
          <w:lang w:eastAsia="zh-CN"/>
        </w:rPr>
        <w:t>本文件草稿发布于2013年6月28日。</w:t>
      </w:r>
      <w:bookmarkEnd w:id="2"/>
    </w:p>
    <w:p w14:paraId="40AE35B2">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p>
    <w:p w14:paraId="474F1AD5">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r>
        <w:rPr>
          <w:rFonts w:hint="eastAsia" w:ascii="Arial" w:hAnsi="Arial" w:eastAsia="宋体" w:cs="Arial"/>
          <w:snapToGrid w:val="0"/>
          <w:lang w:eastAsia="zh-CN"/>
        </w:rPr>
        <w:t>关于本文件的问题，请电</w:t>
      </w:r>
      <w:r>
        <w:rPr>
          <w:rFonts w:ascii="Arial" w:hAnsi="Arial" w:eastAsia="宋体" w:cs="Arial"/>
          <w:snapToGrid w:val="0"/>
          <w:lang w:eastAsia="zh-CN"/>
        </w:rPr>
        <w:t>301-796-7030</w:t>
      </w:r>
      <w:r>
        <w:rPr>
          <w:rFonts w:hint="eastAsia" w:ascii="Arial" w:hAnsi="Arial" w:eastAsia="宋体" w:cs="Arial"/>
          <w:snapToGrid w:val="0"/>
          <w:lang w:eastAsia="zh-CN"/>
        </w:rPr>
        <w:t>联系生殖、胃肠肾脏及泌尿系统器械部，</w:t>
      </w:r>
      <w:r>
        <w:rPr>
          <w:rFonts w:ascii="Arial" w:hAnsi="Arial" w:eastAsia="宋体" w:cs="Arial"/>
          <w:snapToGrid w:val="0"/>
          <w:lang w:eastAsia="zh-CN"/>
        </w:rPr>
        <w:t>301-796-7030</w:t>
      </w:r>
      <w:r>
        <w:rPr>
          <w:rFonts w:hint="eastAsia" w:ascii="Arial" w:hAnsi="Arial" w:eastAsia="宋体" w:cs="Arial"/>
          <w:snapToGrid w:val="0"/>
          <w:lang w:eastAsia="zh-CN"/>
        </w:rPr>
        <w:t>和</w:t>
      </w:r>
      <w:r>
        <w:rPr>
          <w:rFonts w:ascii="Arial" w:hAnsi="Arial" w:eastAsia="宋体" w:cs="Arial"/>
          <w:snapToGrid w:val="0"/>
          <w:lang w:eastAsia="zh-CN"/>
        </w:rPr>
        <w:t>Frank Hurst</w:t>
      </w:r>
      <w:r>
        <w:rPr>
          <w:rFonts w:hint="eastAsia" w:ascii="Arial" w:hAnsi="Arial" w:eastAsia="宋体" w:cs="Arial"/>
          <w:snapToGrid w:val="0"/>
          <w:lang w:eastAsia="zh-CN"/>
        </w:rPr>
        <w:t>，MD（</w:t>
      </w:r>
      <w:r>
        <w:rPr>
          <w:rFonts w:ascii="Arial" w:hAnsi="Arial" w:eastAsia="宋体" w:cs="Arial"/>
          <w:snapToGrid w:val="0"/>
          <w:lang w:eastAsia="zh-CN"/>
        </w:rPr>
        <w:t>301</w:t>
      </w:r>
      <w:r>
        <w:rPr>
          <w:rFonts w:hint="eastAsia" w:ascii="Arial" w:hAnsi="Arial" w:eastAsia="宋体" w:cs="Arial"/>
          <w:snapToGrid w:val="0"/>
          <w:lang w:eastAsia="zh-CN"/>
        </w:rPr>
        <w:t>）</w:t>
      </w:r>
      <w:r>
        <w:rPr>
          <w:rFonts w:ascii="Arial" w:hAnsi="Arial" w:eastAsia="宋体" w:cs="Arial"/>
          <w:snapToGrid w:val="0"/>
          <w:lang w:eastAsia="zh-CN"/>
        </w:rPr>
        <w:t>796-5960</w:t>
      </w:r>
      <w:r>
        <w:rPr>
          <w:rFonts w:hint="eastAsia" w:ascii="Arial" w:hAnsi="Arial" w:eastAsia="宋体" w:cs="Arial"/>
          <w:snapToGrid w:val="0"/>
          <w:lang w:eastAsia="zh-CN"/>
        </w:rPr>
        <w:t>或发送邮件至</w:t>
      </w:r>
      <w:r>
        <w:rPr>
          <w:rFonts w:ascii="Arial" w:hAnsi="Arial" w:eastAsia="宋体" w:cs="Arial"/>
          <w:snapToGrid w:val="0"/>
          <w:lang w:eastAsia="zh-CN"/>
        </w:rPr>
        <w:t>frank.hurst@fda.hhs.gov</w:t>
      </w:r>
      <w:r>
        <w:rPr>
          <w:rFonts w:hint="eastAsia" w:ascii="Arial" w:hAnsi="Arial" w:eastAsia="宋体" w:cs="Arial"/>
          <w:snapToGrid w:val="0"/>
          <w:lang w:eastAsia="zh-CN"/>
        </w:rPr>
        <w:t>。</w:t>
      </w:r>
    </w:p>
    <w:p w14:paraId="5E9C650B">
      <w:pPr>
        <w:pStyle w:val="6"/>
        <w:topLinePunct/>
        <w:autoSpaceDE/>
        <w:autoSpaceDN/>
        <w:adjustRightInd w:val="0"/>
        <w:snapToGrid w:val="0"/>
        <w:spacing w:after="224" w:afterLines="75" w:line="288" w:lineRule="auto"/>
        <w:ind w:left="0"/>
        <w:jc w:val="both"/>
        <w:rPr>
          <w:rFonts w:ascii="Arial" w:hAnsi="Arial" w:eastAsia="宋体" w:cs="Arial"/>
          <w:b w:val="0"/>
          <w:snapToGrid w:val="0"/>
          <w:lang w:eastAsia="zh-CN"/>
        </w:rPr>
      </w:pPr>
    </w:p>
    <w:p w14:paraId="07B78443">
      <w:pPr>
        <w:pStyle w:val="6"/>
        <w:topLinePunct/>
        <w:autoSpaceDE/>
        <w:autoSpaceDN/>
        <w:adjustRightInd w:val="0"/>
        <w:snapToGrid w:val="0"/>
        <w:spacing w:after="224" w:afterLines="75" w:line="288" w:lineRule="auto"/>
        <w:ind w:left="0"/>
        <w:jc w:val="both"/>
        <w:rPr>
          <w:rFonts w:ascii="Arial" w:hAnsi="Arial" w:eastAsia="宋体" w:cs="Arial"/>
          <w:b w:val="0"/>
          <w:snapToGrid w:val="0"/>
          <w:lang w:eastAsia="zh-CN"/>
        </w:rPr>
      </w:pPr>
    </w:p>
    <w:p w14:paraId="1865A88E">
      <w:pPr>
        <w:pStyle w:val="6"/>
        <w:topLinePunct/>
        <w:autoSpaceDE/>
        <w:autoSpaceDN/>
        <w:adjustRightInd w:val="0"/>
        <w:snapToGrid w:val="0"/>
        <w:spacing w:after="224" w:afterLines="75" w:line="288" w:lineRule="auto"/>
        <w:ind w:left="0"/>
        <w:jc w:val="both"/>
        <w:rPr>
          <w:rFonts w:ascii="Arial" w:hAnsi="Arial" w:eastAsia="宋体" w:cs="Arial"/>
          <w:b w:val="0"/>
          <w:snapToGrid w:val="0"/>
          <w:lang w:eastAsia="zh-CN"/>
        </w:rPr>
      </w:pPr>
    </w:p>
    <w:p w14:paraId="7CC08C6D">
      <w:pPr>
        <w:pStyle w:val="6"/>
        <w:topLinePunct/>
        <w:autoSpaceDE/>
        <w:autoSpaceDN/>
        <w:adjustRightInd w:val="0"/>
        <w:snapToGrid w:val="0"/>
        <w:spacing w:after="224" w:afterLines="75" w:line="288" w:lineRule="auto"/>
        <w:ind w:left="0"/>
        <w:jc w:val="both"/>
        <w:rPr>
          <w:rFonts w:ascii="Arial" w:hAnsi="Arial" w:eastAsia="宋体" w:cs="Arial"/>
          <w:b w:val="0"/>
          <w:snapToGrid w:val="0"/>
          <w:lang w:eastAsia="zh-CN"/>
        </w:rPr>
      </w:pPr>
    </w:p>
    <w:p w14:paraId="44701D02">
      <w:pPr>
        <w:pStyle w:val="6"/>
        <w:topLinePunct/>
        <w:autoSpaceDE/>
        <w:autoSpaceDN/>
        <w:adjustRightInd w:val="0"/>
        <w:snapToGrid w:val="0"/>
        <w:spacing w:after="224" w:afterLines="75" w:line="288" w:lineRule="auto"/>
        <w:ind w:left="0"/>
        <w:jc w:val="both"/>
        <w:rPr>
          <w:rFonts w:ascii="Arial" w:hAnsi="Arial" w:eastAsia="宋体" w:cs="Arial"/>
          <w:b w:val="0"/>
          <w:snapToGrid w:val="0"/>
          <w:lang w:eastAsia="zh-CN"/>
        </w:rPr>
      </w:pPr>
    </w:p>
    <w:p w14:paraId="76BAF3F7">
      <w:pPr>
        <w:pStyle w:val="6"/>
        <w:topLinePunct/>
        <w:autoSpaceDE/>
        <w:autoSpaceDN/>
        <w:adjustRightInd w:val="0"/>
        <w:snapToGrid w:val="0"/>
        <w:spacing w:after="224" w:afterLines="75" w:line="288" w:lineRule="auto"/>
        <w:ind w:left="0"/>
        <w:jc w:val="both"/>
        <w:rPr>
          <w:rFonts w:ascii="Arial" w:hAnsi="Arial" w:eastAsia="宋体" w:cs="Arial"/>
          <w:b w:val="0"/>
          <w:snapToGrid w:val="0"/>
          <w:lang w:eastAsia="zh-CN"/>
        </w:rPr>
      </w:pPr>
    </w:p>
    <w:p w14:paraId="7A88A919">
      <w:pPr>
        <w:pStyle w:val="6"/>
        <w:topLinePunct/>
        <w:autoSpaceDE/>
        <w:autoSpaceDN/>
        <w:adjustRightInd w:val="0"/>
        <w:snapToGrid w:val="0"/>
        <w:spacing w:after="224" w:afterLines="75" w:line="288" w:lineRule="auto"/>
        <w:ind w:left="0"/>
        <w:jc w:val="both"/>
        <w:rPr>
          <w:rFonts w:ascii="Arial" w:hAnsi="Arial" w:eastAsia="宋体" w:cs="Arial"/>
          <w:b w:val="0"/>
          <w:snapToGrid w:val="0"/>
          <w:lang w:eastAsia="zh-CN"/>
        </w:rPr>
      </w:pPr>
    </w:p>
    <w:p w14:paraId="654F7B35">
      <w:pPr>
        <w:pStyle w:val="6"/>
        <w:topLinePunct/>
        <w:autoSpaceDE/>
        <w:autoSpaceDN/>
        <w:adjustRightInd w:val="0"/>
        <w:snapToGrid w:val="0"/>
        <w:spacing w:after="224" w:afterLines="75" w:line="288" w:lineRule="auto"/>
        <w:ind w:left="0"/>
        <w:jc w:val="both"/>
        <w:rPr>
          <w:rFonts w:ascii="Arial" w:hAnsi="Arial" w:eastAsia="宋体" w:cs="Arial"/>
          <w:b w:val="0"/>
          <w:snapToGrid w:val="0"/>
          <w:lang w:eastAsia="zh-CN"/>
        </w:rPr>
      </w:pPr>
    </w:p>
    <w:p w14:paraId="7660060F">
      <w:pPr>
        <w:pStyle w:val="6"/>
        <w:topLinePunct/>
        <w:autoSpaceDE/>
        <w:autoSpaceDN/>
        <w:adjustRightInd w:val="0"/>
        <w:snapToGrid w:val="0"/>
        <w:spacing w:after="224" w:afterLines="75" w:line="288" w:lineRule="auto"/>
        <w:ind w:left="0"/>
        <w:jc w:val="both"/>
        <w:rPr>
          <w:rFonts w:ascii="Arial" w:hAnsi="Arial" w:eastAsia="宋体" w:cs="Arial"/>
          <w:b w:val="0"/>
          <w:snapToGrid w:val="0"/>
          <w:lang w:eastAsia="zh-CN"/>
        </w:rPr>
      </w:pPr>
    </w:p>
    <w:p w14:paraId="24D3747A">
      <w:pPr>
        <w:pStyle w:val="6"/>
        <w:topLinePunct/>
        <w:autoSpaceDE/>
        <w:autoSpaceDN/>
        <w:adjustRightInd w:val="0"/>
        <w:snapToGrid w:val="0"/>
        <w:spacing w:after="224" w:afterLines="75" w:line="288" w:lineRule="auto"/>
        <w:ind w:left="0"/>
        <w:jc w:val="both"/>
        <w:rPr>
          <w:rFonts w:ascii="Arial" w:hAnsi="Arial" w:eastAsia="宋体" w:cs="Arial"/>
          <w:b w:val="0"/>
          <w:snapToGrid w:val="0"/>
          <w:lang w:eastAsia="zh-CN"/>
        </w:rPr>
      </w:pPr>
      <w:r>
        <w:rPr>
          <w:rFonts w:ascii="Arial" w:hAnsi="Arial" w:eastAsia="宋体" w:cs="Arial"/>
          <w:snapToGrid w:val="0"/>
          <w:lang w:eastAsia="zh-CN" w:bidi="ar-SA"/>
        </w:rPr>
        <w:drawing>
          <wp:anchor distT="0" distB="0" distL="0" distR="0" simplePos="0" relativeHeight="251659264" behindDoc="0" locked="0" layoutInCell="1" allowOverlap="1">
            <wp:simplePos x="0" y="0"/>
            <wp:positionH relativeFrom="page">
              <wp:posOffset>1284605</wp:posOffset>
            </wp:positionH>
            <wp:positionV relativeFrom="paragraph">
              <wp:posOffset>53975</wp:posOffset>
            </wp:positionV>
            <wp:extent cx="871220" cy="98107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9" cstate="print"/>
                    <a:stretch>
                      <a:fillRect/>
                    </a:stretch>
                  </pic:blipFill>
                  <pic:spPr>
                    <a:xfrm>
                      <a:off x="0" y="0"/>
                      <a:ext cx="871448" cy="981075"/>
                    </a:xfrm>
                    <a:prstGeom prst="rect">
                      <a:avLst/>
                    </a:prstGeom>
                  </pic:spPr>
                </pic:pic>
              </a:graphicData>
            </a:graphic>
          </wp:anchor>
        </w:drawing>
      </w:r>
    </w:p>
    <w:p w14:paraId="24C8BF37">
      <w:pPr>
        <w:topLinePunct/>
        <w:autoSpaceDE/>
        <w:autoSpaceDN/>
        <w:adjustRightInd w:val="0"/>
        <w:snapToGrid w:val="0"/>
        <w:spacing w:line="288" w:lineRule="auto"/>
        <w:jc w:val="right"/>
        <w:rPr>
          <w:rFonts w:ascii="Arial" w:hAnsi="Arial" w:eastAsia="宋体" w:cs="Arial"/>
          <w:b/>
          <w:snapToGrid w:val="0"/>
          <w:sz w:val="24"/>
          <w:lang w:eastAsia="zh-CN"/>
        </w:rPr>
      </w:pPr>
      <w:r>
        <w:rPr>
          <w:rFonts w:hint="eastAsia" w:ascii="Arial" w:hAnsi="Arial" w:eastAsia="宋体" w:cs="Arial"/>
          <w:b/>
          <w:snapToGrid w:val="0"/>
          <w:sz w:val="24"/>
          <w:lang w:eastAsia="zh-CN"/>
        </w:rPr>
        <w:t>美国卫生和人类服务署</w:t>
      </w:r>
    </w:p>
    <w:p w14:paraId="56D5DE3A">
      <w:pPr>
        <w:topLinePunct/>
        <w:autoSpaceDE/>
        <w:autoSpaceDN/>
        <w:adjustRightInd w:val="0"/>
        <w:snapToGrid w:val="0"/>
        <w:spacing w:line="288" w:lineRule="auto"/>
        <w:jc w:val="right"/>
        <w:rPr>
          <w:rFonts w:ascii="Arial" w:hAnsi="Arial" w:eastAsia="宋体" w:cs="Arial"/>
          <w:b/>
          <w:snapToGrid w:val="0"/>
          <w:sz w:val="24"/>
          <w:lang w:eastAsia="zh-CN"/>
        </w:rPr>
      </w:pPr>
      <w:r>
        <w:rPr>
          <w:rFonts w:hint="eastAsia" w:ascii="Arial" w:hAnsi="Arial" w:eastAsia="宋体" w:cs="Arial"/>
          <w:b/>
          <w:snapToGrid w:val="0"/>
          <w:sz w:val="24"/>
          <w:lang w:eastAsia="zh-CN"/>
        </w:rPr>
        <w:t>食品药品监督管理局</w:t>
      </w:r>
    </w:p>
    <w:p w14:paraId="02615687">
      <w:pPr>
        <w:topLinePunct/>
        <w:autoSpaceDE/>
        <w:autoSpaceDN/>
        <w:adjustRightInd w:val="0"/>
        <w:snapToGrid w:val="0"/>
        <w:spacing w:line="288" w:lineRule="auto"/>
        <w:jc w:val="right"/>
        <w:rPr>
          <w:rFonts w:ascii="Arial" w:hAnsi="Arial" w:eastAsia="宋体" w:cs="Arial"/>
          <w:b/>
          <w:snapToGrid w:val="0"/>
          <w:sz w:val="24"/>
          <w:lang w:eastAsia="zh-CN"/>
        </w:rPr>
      </w:pPr>
      <w:r>
        <w:rPr>
          <w:rFonts w:hint="eastAsia" w:ascii="Arial" w:hAnsi="Arial" w:eastAsia="宋体" w:cs="Arial"/>
          <w:b/>
          <w:snapToGrid w:val="0"/>
          <w:sz w:val="24"/>
          <w:lang w:eastAsia="zh-CN"/>
        </w:rPr>
        <w:t>器械和放射卫生中心</w:t>
      </w:r>
    </w:p>
    <w:p w14:paraId="4BC899E2">
      <w:pPr>
        <w:topLinePunct/>
        <w:autoSpaceDE/>
        <w:autoSpaceDN/>
        <w:adjustRightInd w:val="0"/>
        <w:snapToGrid w:val="0"/>
        <w:spacing w:line="288" w:lineRule="auto"/>
        <w:jc w:val="right"/>
        <w:rPr>
          <w:rFonts w:ascii="Arial" w:hAnsi="Arial" w:eastAsia="宋体" w:cs="Arial"/>
          <w:b/>
          <w:snapToGrid w:val="0"/>
          <w:sz w:val="24"/>
          <w:lang w:eastAsia="zh-CN"/>
        </w:rPr>
      </w:pPr>
      <w:r>
        <w:rPr>
          <w:rFonts w:hint="eastAsia" w:ascii="Arial" w:hAnsi="Arial" w:eastAsia="宋体" w:cs="Arial"/>
          <w:b/>
          <w:snapToGrid w:val="0"/>
          <w:sz w:val="24"/>
          <w:lang w:eastAsia="zh-CN"/>
        </w:rPr>
        <w:t>器械评价办公室</w:t>
      </w:r>
    </w:p>
    <w:p w14:paraId="7997C47E">
      <w:pPr>
        <w:topLinePunct/>
        <w:autoSpaceDE/>
        <w:autoSpaceDN/>
        <w:adjustRightInd w:val="0"/>
        <w:snapToGrid w:val="0"/>
        <w:spacing w:line="288" w:lineRule="auto"/>
        <w:jc w:val="right"/>
        <w:rPr>
          <w:rFonts w:ascii="Arial" w:hAnsi="Arial" w:eastAsia="宋体" w:cs="Arial"/>
          <w:b/>
          <w:snapToGrid w:val="0"/>
          <w:sz w:val="24"/>
          <w:lang w:eastAsia="zh-CN"/>
        </w:rPr>
      </w:pPr>
      <w:r>
        <w:rPr>
          <w:rFonts w:hint="eastAsia" w:ascii="Arial" w:hAnsi="Arial" w:eastAsia="宋体" w:cs="Arial"/>
          <w:b/>
          <w:snapToGrid w:val="0"/>
          <w:sz w:val="24"/>
          <w:lang w:eastAsia="zh-CN"/>
        </w:rPr>
        <w:t>生殖、胃肠肾脏及泌尿系统器械部</w:t>
      </w:r>
    </w:p>
    <w:p w14:paraId="02C0D7A8">
      <w:pPr>
        <w:topLinePunct/>
        <w:autoSpaceDE/>
        <w:autoSpaceDN/>
        <w:adjustRightInd w:val="0"/>
        <w:snapToGrid w:val="0"/>
        <w:spacing w:line="288" w:lineRule="auto"/>
        <w:jc w:val="both"/>
        <w:rPr>
          <w:rFonts w:ascii="Arial" w:hAnsi="Arial" w:eastAsia="宋体" w:cs="Arial"/>
          <w:snapToGrid w:val="0"/>
          <w:sz w:val="24"/>
          <w:lang w:eastAsia="zh-CN"/>
        </w:rPr>
        <w:sectPr>
          <w:footerReference r:id="rId4" w:type="default"/>
          <w:pgSz w:w="11906" w:h="16838"/>
          <w:pgMar w:top="1134" w:right="1440" w:bottom="1134" w:left="1440" w:header="720" w:footer="720" w:gutter="0"/>
          <w:cols w:space="720" w:num="1"/>
          <w:docGrid w:type="lines" w:linePitch="299" w:charSpace="0"/>
        </w:sectPr>
      </w:pPr>
    </w:p>
    <w:p w14:paraId="7AC91663">
      <w:pPr>
        <w:topLinePunct/>
        <w:autoSpaceDE/>
        <w:autoSpaceDN/>
        <w:adjustRightInd w:val="0"/>
        <w:snapToGrid w:val="0"/>
        <w:spacing w:after="224" w:afterLines="75" w:line="288" w:lineRule="auto"/>
        <w:jc w:val="center"/>
        <w:rPr>
          <w:rFonts w:ascii="Arial" w:hAnsi="Arial" w:eastAsia="宋体" w:cs="Arial"/>
          <w:b/>
          <w:snapToGrid w:val="0"/>
          <w:sz w:val="48"/>
          <w:szCs w:val="48"/>
        </w:rPr>
      </w:pPr>
      <w:r>
        <w:rPr>
          <w:rFonts w:hint="eastAsia" w:ascii="Arial" w:hAnsi="Arial" w:eastAsia="宋体" w:cs="Arial"/>
          <w:b/>
          <w:snapToGrid w:val="0"/>
          <w:sz w:val="48"/>
          <w:szCs w:val="48"/>
          <w:lang w:eastAsia="zh-CN"/>
        </w:rPr>
        <w:t>前言</w:t>
      </w:r>
    </w:p>
    <w:p w14:paraId="185D4831">
      <w:pPr>
        <w:topLinePunct/>
        <w:autoSpaceDE/>
        <w:autoSpaceDN/>
        <w:adjustRightInd w:val="0"/>
        <w:snapToGrid w:val="0"/>
        <w:spacing w:after="224" w:afterLines="75" w:line="288" w:lineRule="auto"/>
        <w:jc w:val="both"/>
        <w:rPr>
          <w:rFonts w:ascii="Arial" w:hAnsi="Arial" w:eastAsia="宋体" w:cs="Arial"/>
          <w:b/>
          <w:snapToGrid w:val="0"/>
          <w:sz w:val="36"/>
        </w:rPr>
      </w:pPr>
      <w:r>
        <w:rPr>
          <w:rFonts w:hint="eastAsia" w:ascii="Arial" w:hAnsi="Arial" w:eastAsia="宋体" w:cs="Arial"/>
          <w:b/>
          <w:snapToGrid w:val="0"/>
          <w:sz w:val="36"/>
          <w:lang w:eastAsia="zh-CN"/>
        </w:rPr>
        <w:t>公开评论</w:t>
      </w:r>
    </w:p>
    <w:p w14:paraId="17839980">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r>
        <w:rPr>
          <w:rFonts w:hint="eastAsia" w:ascii="Arial" w:hAnsi="Arial" w:eastAsia="宋体" w:cs="Arial"/>
          <w:snapToGrid w:val="0"/>
          <w:lang w:eastAsia="zh-CN"/>
        </w:rPr>
        <w:t>为便于本机构收集评论和建议，可随时将电子评论提交至</w:t>
      </w:r>
      <w:r>
        <w:rPr>
          <w:rFonts w:ascii="Arial" w:hAnsi="Arial" w:eastAsia="宋体" w:cs="Arial"/>
          <w:snapToGrid w:val="0"/>
          <w:lang w:eastAsia="zh-CN"/>
        </w:rPr>
        <w:t>http</w:t>
      </w:r>
      <w:r>
        <w:rPr>
          <w:rFonts w:hint="eastAsia" w:ascii="Arial" w:hAnsi="Arial" w:eastAsia="宋体" w:cs="Arial"/>
          <w:snapToGrid w:val="0"/>
          <w:lang w:eastAsia="zh-CN"/>
        </w:rPr>
        <w:t>://</w:t>
      </w:r>
      <w:r>
        <w:rPr>
          <w:rFonts w:ascii="Arial" w:hAnsi="Arial" w:eastAsia="宋体" w:cs="Arial"/>
          <w:snapToGrid w:val="0"/>
          <w:lang w:eastAsia="zh-CN"/>
        </w:rPr>
        <w:t>www.regulations.gov</w:t>
      </w:r>
      <w:r>
        <w:rPr>
          <w:rFonts w:hint="eastAsia" w:ascii="Arial" w:hAnsi="Arial" w:eastAsia="宋体" w:cs="Arial"/>
          <w:snapToGrid w:val="0"/>
          <w:lang w:eastAsia="zh-CN"/>
        </w:rPr>
        <w:t>。书面评论可提交至食品药品监督管理局案卷管理科（</w:t>
      </w:r>
      <w:r>
        <w:rPr>
          <w:rFonts w:ascii="Arial" w:hAnsi="Arial" w:eastAsia="宋体" w:cs="Arial"/>
          <w:snapToGrid w:val="0"/>
          <w:lang w:eastAsia="zh-CN"/>
        </w:rPr>
        <w:t>5630 Fishers Lane</w:t>
      </w:r>
      <w:r>
        <w:rPr>
          <w:rFonts w:hint="eastAsia" w:ascii="Arial" w:hAnsi="Arial" w:eastAsia="宋体" w:cs="Arial"/>
          <w:snapToGrid w:val="0"/>
          <w:lang w:eastAsia="zh-CN"/>
        </w:rPr>
        <w:t>，</w:t>
      </w:r>
      <w:r>
        <w:rPr>
          <w:rFonts w:ascii="Arial" w:hAnsi="Arial" w:eastAsia="宋体" w:cs="Arial"/>
          <w:snapToGrid w:val="0"/>
          <w:lang w:eastAsia="zh-CN"/>
        </w:rPr>
        <w:t>ROOM 1061</w:t>
      </w:r>
      <w:r>
        <w:rPr>
          <w:rFonts w:hint="eastAsia" w:ascii="Arial" w:hAnsi="Arial" w:eastAsia="宋体" w:cs="Arial"/>
          <w:snapToGrid w:val="0"/>
          <w:lang w:eastAsia="zh-CN"/>
        </w:rPr>
        <w:t>（</w:t>
      </w:r>
      <w:r>
        <w:rPr>
          <w:rFonts w:ascii="Arial" w:hAnsi="Arial" w:eastAsia="宋体" w:cs="Arial"/>
          <w:snapToGrid w:val="0"/>
          <w:lang w:eastAsia="zh-CN"/>
        </w:rPr>
        <w:t>HFA-305</w:t>
      </w:r>
      <w:r>
        <w:rPr>
          <w:rFonts w:hint="eastAsia" w:ascii="Arial" w:hAnsi="Arial" w:eastAsia="宋体" w:cs="Arial"/>
          <w:snapToGrid w:val="0"/>
          <w:lang w:eastAsia="zh-CN"/>
        </w:rPr>
        <w:t>），</w:t>
      </w:r>
      <w:r>
        <w:rPr>
          <w:rFonts w:ascii="Arial" w:hAnsi="Arial" w:eastAsia="宋体" w:cs="Arial"/>
          <w:snapToGrid w:val="0"/>
          <w:lang w:eastAsia="zh-CN"/>
        </w:rPr>
        <w:t>Rockville</w:t>
      </w:r>
      <w:r>
        <w:rPr>
          <w:rFonts w:hint="eastAsia" w:ascii="Arial" w:hAnsi="Arial" w:eastAsia="宋体" w:cs="Arial"/>
          <w:snapToGrid w:val="0"/>
          <w:lang w:eastAsia="zh-CN"/>
        </w:rPr>
        <w:t>，</w:t>
      </w:r>
      <w:r>
        <w:rPr>
          <w:rFonts w:ascii="Arial" w:hAnsi="Arial" w:eastAsia="宋体" w:cs="Arial"/>
          <w:snapToGrid w:val="0"/>
          <w:lang w:eastAsia="zh-CN"/>
        </w:rPr>
        <w:t>MD</w:t>
      </w:r>
      <w:r>
        <w:rPr>
          <w:rFonts w:hint="eastAsia" w:ascii="Arial" w:hAnsi="Arial" w:eastAsia="宋体" w:cs="Arial"/>
          <w:snapToGrid w:val="0"/>
          <w:lang w:eastAsia="zh-CN"/>
        </w:rPr>
        <w:t>，</w:t>
      </w:r>
      <w:r>
        <w:rPr>
          <w:rFonts w:ascii="Arial" w:hAnsi="Arial" w:eastAsia="宋体" w:cs="Arial"/>
          <w:snapToGrid w:val="0"/>
          <w:lang w:eastAsia="zh-CN"/>
        </w:rPr>
        <w:t>20852</w:t>
      </w:r>
      <w:r>
        <w:rPr>
          <w:rFonts w:hint="eastAsia" w:ascii="Arial" w:hAnsi="Arial" w:eastAsia="宋体" w:cs="Arial"/>
          <w:snapToGrid w:val="0"/>
          <w:lang w:eastAsia="zh-CN"/>
        </w:rPr>
        <w:t>）。所有评论应注明案卷编号</w:t>
      </w:r>
      <w:r>
        <w:rPr>
          <w:rFonts w:ascii="Arial" w:hAnsi="Arial" w:eastAsia="宋体" w:cs="Arial"/>
          <w:snapToGrid w:val="0"/>
          <w:lang w:eastAsia="zh-CN"/>
        </w:rPr>
        <w:t>FDA-2013-D-0749</w:t>
      </w:r>
      <w:r>
        <w:rPr>
          <w:rFonts w:hint="eastAsia" w:ascii="Arial" w:hAnsi="Arial" w:eastAsia="宋体" w:cs="Arial"/>
          <w:snapToGrid w:val="0"/>
          <w:lang w:eastAsia="zh-CN"/>
        </w:rPr>
        <w:t>。再次进行文件修订或更新之前，本机构可能不会针对评论采取行动。</w:t>
      </w:r>
    </w:p>
    <w:p w14:paraId="22A861B3">
      <w:pPr>
        <w:pStyle w:val="7"/>
        <w:topLinePunct/>
        <w:autoSpaceDE/>
        <w:autoSpaceDN/>
        <w:adjustRightInd w:val="0"/>
        <w:snapToGrid w:val="0"/>
        <w:spacing w:after="224" w:afterLines="75" w:line="288" w:lineRule="auto"/>
        <w:jc w:val="both"/>
        <w:rPr>
          <w:rFonts w:ascii="Arial" w:hAnsi="Arial" w:eastAsia="宋体" w:cs="Arial"/>
          <w:b/>
          <w:snapToGrid w:val="0"/>
          <w:sz w:val="36"/>
          <w:lang w:eastAsia="zh-CN"/>
        </w:rPr>
      </w:pPr>
      <w:r>
        <w:rPr>
          <w:rFonts w:hint="eastAsia" w:ascii="Arial" w:hAnsi="Arial" w:eastAsia="宋体" w:cs="Arial"/>
          <w:b/>
          <w:snapToGrid w:val="0"/>
          <w:sz w:val="36"/>
          <w:lang w:eastAsia="zh-CN"/>
        </w:rPr>
        <w:t>其他副本</w:t>
      </w:r>
    </w:p>
    <w:p w14:paraId="7E680E93">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r>
        <w:rPr>
          <w:rFonts w:hint="eastAsia" w:ascii="Arial" w:hAnsi="Arial" w:eastAsia="宋体" w:cs="Arial"/>
          <w:snapToGrid w:val="0"/>
          <w:lang w:eastAsia="zh-CN"/>
        </w:rPr>
        <w:t>其他副本可从互联网获得。您还可以向</w:t>
      </w:r>
      <w:r>
        <w:fldChar w:fldCharType="begin"/>
      </w:r>
      <w:r>
        <w:instrText xml:space="preserve"> HYPERLINK "mailto:CDRH-Guidance@fda.hhs.gov" </w:instrText>
      </w:r>
      <w:r>
        <w:fldChar w:fldCharType="separate"/>
      </w:r>
      <w:r>
        <w:rPr>
          <w:rStyle w:val="19"/>
          <w:rFonts w:ascii="Arial" w:hAnsi="Arial" w:eastAsia="宋体" w:cs="Arial"/>
          <w:snapToGrid w:val="0"/>
          <w:lang w:eastAsia="zh-CN"/>
        </w:rPr>
        <w:t>CDRH-Guidance@fda.hhs.gov</w:t>
      </w:r>
      <w:r>
        <w:rPr>
          <w:rStyle w:val="19"/>
          <w:rFonts w:ascii="Arial" w:hAnsi="Arial" w:eastAsia="宋体" w:cs="Arial"/>
          <w:snapToGrid w:val="0"/>
          <w:lang w:eastAsia="zh-CN"/>
        </w:rPr>
        <w:fldChar w:fldCharType="end"/>
      </w:r>
      <w:r>
        <w:rPr>
          <w:rFonts w:hint="eastAsia" w:ascii="Arial" w:hAnsi="Arial" w:eastAsia="宋体" w:cs="Arial"/>
          <w:snapToGrid w:val="0"/>
          <w:lang w:eastAsia="zh-CN"/>
        </w:rPr>
        <w:t>发送电子邮件请求以获取本指南副本。请使用文件编号</w:t>
      </w:r>
      <w:r>
        <w:rPr>
          <w:rFonts w:ascii="Arial" w:hAnsi="Arial" w:eastAsia="宋体" w:cs="Arial"/>
          <w:snapToGrid w:val="0"/>
          <w:lang w:eastAsia="zh-CN"/>
        </w:rPr>
        <w:t>1781</w:t>
      </w:r>
      <w:r>
        <w:rPr>
          <w:rFonts w:hint="eastAsia" w:ascii="Arial" w:hAnsi="Arial" w:eastAsia="宋体" w:cs="Arial"/>
          <w:snapToGrid w:val="0"/>
          <w:lang w:eastAsia="zh-CN"/>
        </w:rPr>
        <w:t>来注明您所要求获得的指南。</w:t>
      </w:r>
    </w:p>
    <w:p w14:paraId="39BF7EA0">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r>
        <w:rPr>
          <w:rFonts w:ascii="Arial" w:hAnsi="Arial" w:eastAsia="宋体" w:cs="Arial"/>
          <w:snapToGrid w:val="0"/>
          <w:lang w:eastAsia="zh-CN"/>
        </w:rPr>
        <w:br w:type="page"/>
      </w:r>
    </w:p>
    <w:p w14:paraId="70E6371D">
      <w:pPr>
        <w:pStyle w:val="3"/>
        <w:topLinePunct/>
        <w:autoSpaceDE/>
        <w:autoSpaceDN/>
        <w:adjustRightInd w:val="0"/>
        <w:snapToGrid w:val="0"/>
        <w:spacing w:after="224" w:afterLines="75" w:line="288" w:lineRule="auto"/>
        <w:ind w:left="0" w:firstLine="0"/>
        <w:jc w:val="center"/>
        <w:rPr>
          <w:rFonts w:ascii="Arial" w:hAnsi="Arial" w:eastAsia="宋体" w:cs="Arial"/>
          <w:snapToGrid w:val="0"/>
          <w:sz w:val="32"/>
          <w:lang w:eastAsia="zh-CN"/>
        </w:rPr>
      </w:pPr>
      <w:bookmarkStart w:id="3" w:name="_Toc499129116"/>
      <w:r>
        <w:rPr>
          <w:rFonts w:hint="eastAsia" w:ascii="Arial" w:hAnsi="Arial" w:eastAsia="宋体" w:cs="Arial"/>
          <w:snapToGrid w:val="0"/>
          <w:sz w:val="32"/>
          <w:lang w:eastAsia="zh-CN"/>
        </w:rPr>
        <w:t>目录</w:t>
      </w:r>
      <w:bookmarkEnd w:id="3"/>
    </w:p>
    <w:p w14:paraId="53931634">
      <w:pPr>
        <w:pStyle w:val="12"/>
        <w:tabs>
          <w:tab w:val="right" w:leader="dot" w:pos="9016"/>
        </w:tabs>
        <w:rPr>
          <w:rFonts w:asciiTheme="minorHAnsi" w:hAnsiTheme="minorHAnsi" w:eastAsiaTheme="minorEastAsia" w:cstheme="minorBidi"/>
          <w:kern w:val="2"/>
          <w:sz w:val="21"/>
          <w:szCs w:val="22"/>
          <w:lang w:eastAsia="zh-CN" w:bidi="ar-SA"/>
        </w:rPr>
      </w:pPr>
      <w:r>
        <w:rPr>
          <w:rFonts w:ascii="Arial" w:hAnsi="Arial" w:eastAsia="宋体" w:cs="Arial"/>
          <w:snapToGrid w:val="0"/>
          <w:lang w:eastAsia="zh-CN"/>
        </w:rPr>
        <w:fldChar w:fldCharType="begin"/>
      </w:r>
      <w:r>
        <w:rPr>
          <w:rFonts w:ascii="Arial" w:hAnsi="Arial" w:eastAsia="宋体" w:cs="Arial"/>
          <w:snapToGrid w:val="0"/>
          <w:lang w:eastAsia="zh-CN"/>
        </w:rPr>
        <w:instrText xml:space="preserve"> </w:instrText>
      </w:r>
      <w:r>
        <w:rPr>
          <w:rFonts w:hint="eastAsia" w:ascii="Arial" w:hAnsi="Arial" w:eastAsia="宋体" w:cs="Arial"/>
          <w:snapToGrid w:val="0"/>
          <w:lang w:eastAsia="zh-CN"/>
        </w:rPr>
        <w:instrText xml:space="preserve">TOC \o "1-4" \h \z \u</w:instrText>
      </w:r>
      <w:r>
        <w:rPr>
          <w:rFonts w:ascii="Arial" w:hAnsi="Arial" w:eastAsia="宋体" w:cs="Arial"/>
          <w:snapToGrid w:val="0"/>
          <w:lang w:eastAsia="zh-CN"/>
        </w:rPr>
        <w:instrText xml:space="preserve"> </w:instrText>
      </w:r>
      <w:r>
        <w:rPr>
          <w:rFonts w:ascii="Arial" w:hAnsi="Arial" w:eastAsia="宋体" w:cs="Arial"/>
          <w:snapToGrid w:val="0"/>
          <w:lang w:eastAsia="zh-CN"/>
        </w:rPr>
        <w:fldChar w:fldCharType="separate"/>
      </w:r>
    </w:p>
    <w:p w14:paraId="1948651D">
      <w:pPr>
        <w:pStyle w:val="15"/>
        <w:tabs>
          <w:tab w:val="right" w:leader="dot" w:pos="9016"/>
        </w:tabs>
        <w:ind w:left="590" w:right="440" w:hanging="590"/>
        <w:rPr>
          <w:rFonts w:asciiTheme="minorHAnsi" w:hAnsiTheme="minorHAnsi" w:eastAsiaTheme="minorEastAsia" w:cstheme="minorBidi"/>
          <w:b w:val="0"/>
          <w:bCs w:val="0"/>
          <w:i w:val="0"/>
          <w:kern w:val="2"/>
          <w:sz w:val="21"/>
          <w:szCs w:val="22"/>
          <w:lang w:eastAsia="zh-CN" w:bidi="ar-SA"/>
        </w:rPr>
      </w:pPr>
      <w:r>
        <w:fldChar w:fldCharType="begin"/>
      </w:r>
      <w:r>
        <w:instrText xml:space="preserve"> HYPERLINK \l "_Toc499129118" </w:instrText>
      </w:r>
      <w:r>
        <w:fldChar w:fldCharType="separate"/>
      </w:r>
      <w:r>
        <w:rPr>
          <w:rStyle w:val="19"/>
          <w:rFonts w:cs="Arial"/>
          <w:b w:val="0"/>
          <w:i w:val="0"/>
          <w:snapToGrid w:val="0"/>
          <w:spacing w:val="-6"/>
        </w:rPr>
        <w:t>I.</w:t>
      </w:r>
      <w:r>
        <w:rPr>
          <w:rFonts w:asciiTheme="minorHAnsi" w:hAnsiTheme="minorHAnsi" w:eastAsiaTheme="minorEastAsia" w:cstheme="minorBidi"/>
          <w:b w:val="0"/>
          <w:bCs w:val="0"/>
          <w:i w:val="0"/>
          <w:kern w:val="2"/>
          <w:sz w:val="21"/>
          <w:szCs w:val="22"/>
          <w:lang w:eastAsia="zh-CN" w:bidi="ar-SA"/>
        </w:rPr>
        <w:tab/>
      </w:r>
      <w:r>
        <w:rPr>
          <w:rStyle w:val="19"/>
          <w:rFonts w:hint="eastAsia" w:eastAsia="宋体" w:cs="Arial"/>
          <w:b w:val="0"/>
          <w:i w:val="0"/>
          <w:snapToGrid w:val="0"/>
          <w:lang w:eastAsia="zh-CN"/>
        </w:rPr>
        <w:t>引言</w:t>
      </w:r>
      <w:r>
        <w:rPr>
          <w:b w:val="0"/>
          <w:i w:val="0"/>
        </w:rPr>
        <w:tab/>
      </w:r>
      <w:r>
        <w:rPr>
          <w:b w:val="0"/>
          <w:i w:val="0"/>
        </w:rPr>
        <w:fldChar w:fldCharType="begin"/>
      </w:r>
      <w:r>
        <w:rPr>
          <w:b w:val="0"/>
          <w:i w:val="0"/>
        </w:rPr>
        <w:instrText xml:space="preserve"> PAGEREF _Toc499129118 \h </w:instrText>
      </w:r>
      <w:r>
        <w:rPr>
          <w:b w:val="0"/>
          <w:i w:val="0"/>
        </w:rPr>
        <w:fldChar w:fldCharType="separate"/>
      </w:r>
      <w:r>
        <w:rPr>
          <w:b w:val="0"/>
          <w:i w:val="0"/>
        </w:rPr>
        <w:t>1</w:t>
      </w:r>
      <w:r>
        <w:rPr>
          <w:b w:val="0"/>
          <w:i w:val="0"/>
        </w:rPr>
        <w:fldChar w:fldCharType="end"/>
      </w:r>
      <w:r>
        <w:rPr>
          <w:b w:val="0"/>
          <w:i w:val="0"/>
        </w:rPr>
        <w:fldChar w:fldCharType="end"/>
      </w:r>
    </w:p>
    <w:p w14:paraId="17F122A1">
      <w:pPr>
        <w:pStyle w:val="15"/>
        <w:tabs>
          <w:tab w:val="right" w:leader="dot" w:pos="9016"/>
        </w:tabs>
        <w:ind w:left="590" w:right="440" w:hanging="590"/>
        <w:rPr>
          <w:rFonts w:asciiTheme="minorHAnsi" w:hAnsiTheme="minorHAnsi" w:eastAsiaTheme="minorEastAsia" w:cstheme="minorBidi"/>
          <w:b w:val="0"/>
          <w:bCs w:val="0"/>
          <w:i w:val="0"/>
          <w:kern w:val="2"/>
          <w:sz w:val="21"/>
          <w:szCs w:val="22"/>
          <w:lang w:eastAsia="zh-CN" w:bidi="ar-SA"/>
        </w:rPr>
      </w:pPr>
      <w:r>
        <w:fldChar w:fldCharType="begin"/>
      </w:r>
      <w:r>
        <w:instrText xml:space="preserve"> HYPERLINK \l "_Toc499129119" </w:instrText>
      </w:r>
      <w:r>
        <w:fldChar w:fldCharType="separate"/>
      </w:r>
      <w:r>
        <w:rPr>
          <w:rStyle w:val="19"/>
          <w:rFonts w:cs="Arial"/>
          <w:b w:val="0"/>
          <w:i w:val="0"/>
          <w:snapToGrid w:val="0"/>
          <w:spacing w:val="-6"/>
        </w:rPr>
        <w:t>II.</w:t>
      </w:r>
      <w:r>
        <w:rPr>
          <w:rFonts w:asciiTheme="minorHAnsi" w:hAnsiTheme="minorHAnsi" w:eastAsiaTheme="minorEastAsia" w:cstheme="minorBidi"/>
          <w:b w:val="0"/>
          <w:bCs w:val="0"/>
          <w:i w:val="0"/>
          <w:kern w:val="2"/>
          <w:sz w:val="21"/>
          <w:szCs w:val="22"/>
          <w:lang w:eastAsia="zh-CN" w:bidi="ar-SA"/>
        </w:rPr>
        <w:tab/>
      </w:r>
      <w:r>
        <w:rPr>
          <w:rStyle w:val="19"/>
          <w:rFonts w:hint="eastAsia" w:eastAsia="宋体" w:cs="Arial"/>
          <w:b w:val="0"/>
          <w:i w:val="0"/>
          <w:snapToGrid w:val="0"/>
          <w:lang w:eastAsia="zh-CN"/>
        </w:rPr>
        <w:t>背景</w:t>
      </w:r>
      <w:r>
        <w:rPr>
          <w:b w:val="0"/>
          <w:i w:val="0"/>
        </w:rPr>
        <w:tab/>
      </w:r>
      <w:r>
        <w:rPr>
          <w:b w:val="0"/>
          <w:i w:val="0"/>
        </w:rPr>
        <w:fldChar w:fldCharType="begin"/>
      </w:r>
      <w:r>
        <w:rPr>
          <w:b w:val="0"/>
          <w:i w:val="0"/>
        </w:rPr>
        <w:instrText xml:space="preserve"> PAGEREF _Toc499129119 \h </w:instrText>
      </w:r>
      <w:r>
        <w:rPr>
          <w:b w:val="0"/>
          <w:i w:val="0"/>
        </w:rPr>
        <w:fldChar w:fldCharType="separate"/>
      </w:r>
      <w:r>
        <w:rPr>
          <w:b w:val="0"/>
          <w:i w:val="0"/>
        </w:rPr>
        <w:t>1</w:t>
      </w:r>
      <w:r>
        <w:rPr>
          <w:b w:val="0"/>
          <w:i w:val="0"/>
        </w:rPr>
        <w:fldChar w:fldCharType="end"/>
      </w:r>
      <w:r>
        <w:rPr>
          <w:b w:val="0"/>
          <w:i w:val="0"/>
        </w:rPr>
        <w:fldChar w:fldCharType="end"/>
      </w:r>
    </w:p>
    <w:p w14:paraId="47927376">
      <w:pPr>
        <w:pStyle w:val="15"/>
        <w:tabs>
          <w:tab w:val="right" w:leader="dot" w:pos="9016"/>
        </w:tabs>
        <w:ind w:left="590" w:right="440" w:hanging="590"/>
        <w:rPr>
          <w:rFonts w:asciiTheme="minorHAnsi" w:hAnsiTheme="minorHAnsi" w:eastAsiaTheme="minorEastAsia" w:cstheme="minorBidi"/>
          <w:b w:val="0"/>
          <w:bCs w:val="0"/>
          <w:i w:val="0"/>
          <w:kern w:val="2"/>
          <w:sz w:val="21"/>
          <w:szCs w:val="22"/>
          <w:lang w:eastAsia="zh-CN" w:bidi="ar-SA"/>
        </w:rPr>
      </w:pPr>
      <w:r>
        <w:fldChar w:fldCharType="begin"/>
      </w:r>
      <w:r>
        <w:instrText xml:space="preserve"> HYPERLINK \l "_Toc499129120" </w:instrText>
      </w:r>
      <w:r>
        <w:fldChar w:fldCharType="separate"/>
      </w:r>
      <w:r>
        <w:rPr>
          <w:rStyle w:val="19"/>
          <w:rFonts w:cs="Arial"/>
          <w:b w:val="0"/>
          <w:i w:val="0"/>
          <w:snapToGrid w:val="0"/>
          <w:spacing w:val="-6"/>
        </w:rPr>
        <w:t>III.</w:t>
      </w:r>
      <w:r>
        <w:rPr>
          <w:rFonts w:asciiTheme="minorHAnsi" w:hAnsiTheme="minorHAnsi" w:eastAsiaTheme="minorEastAsia" w:cstheme="minorBidi"/>
          <w:b w:val="0"/>
          <w:bCs w:val="0"/>
          <w:i w:val="0"/>
          <w:kern w:val="2"/>
          <w:sz w:val="21"/>
          <w:szCs w:val="22"/>
          <w:lang w:eastAsia="zh-CN" w:bidi="ar-SA"/>
        </w:rPr>
        <w:tab/>
      </w:r>
      <w:r>
        <w:rPr>
          <w:rStyle w:val="19"/>
          <w:rFonts w:hint="eastAsia" w:eastAsia="宋体" w:cs="Arial"/>
          <w:b w:val="0"/>
          <w:i w:val="0"/>
          <w:snapToGrid w:val="0"/>
          <w:lang w:eastAsia="zh-CN"/>
        </w:rPr>
        <w:t>范围</w:t>
      </w:r>
      <w:r>
        <w:rPr>
          <w:b w:val="0"/>
          <w:i w:val="0"/>
        </w:rPr>
        <w:tab/>
      </w:r>
      <w:r>
        <w:rPr>
          <w:b w:val="0"/>
          <w:i w:val="0"/>
        </w:rPr>
        <w:fldChar w:fldCharType="begin"/>
      </w:r>
      <w:r>
        <w:rPr>
          <w:b w:val="0"/>
          <w:i w:val="0"/>
        </w:rPr>
        <w:instrText xml:space="preserve"> PAGEREF _Toc499129120 \h </w:instrText>
      </w:r>
      <w:r>
        <w:rPr>
          <w:b w:val="0"/>
          <w:i w:val="0"/>
        </w:rPr>
        <w:fldChar w:fldCharType="separate"/>
      </w:r>
      <w:r>
        <w:rPr>
          <w:b w:val="0"/>
          <w:i w:val="0"/>
        </w:rPr>
        <w:t>2</w:t>
      </w:r>
      <w:r>
        <w:rPr>
          <w:b w:val="0"/>
          <w:i w:val="0"/>
        </w:rPr>
        <w:fldChar w:fldCharType="end"/>
      </w:r>
      <w:r>
        <w:rPr>
          <w:b w:val="0"/>
          <w:i w:val="0"/>
        </w:rPr>
        <w:fldChar w:fldCharType="end"/>
      </w:r>
    </w:p>
    <w:p w14:paraId="493B7371">
      <w:pPr>
        <w:pStyle w:val="15"/>
        <w:tabs>
          <w:tab w:val="right" w:leader="dot" w:pos="9016"/>
        </w:tabs>
        <w:ind w:left="590" w:right="440" w:hanging="590"/>
        <w:rPr>
          <w:rFonts w:asciiTheme="minorHAnsi" w:hAnsiTheme="minorHAnsi" w:eastAsiaTheme="minorEastAsia" w:cstheme="minorBidi"/>
          <w:b w:val="0"/>
          <w:bCs w:val="0"/>
          <w:i w:val="0"/>
          <w:kern w:val="2"/>
          <w:sz w:val="21"/>
          <w:szCs w:val="22"/>
          <w:lang w:eastAsia="zh-CN" w:bidi="ar-SA"/>
        </w:rPr>
      </w:pPr>
      <w:r>
        <w:fldChar w:fldCharType="begin"/>
      </w:r>
      <w:r>
        <w:instrText xml:space="preserve"> HYPERLINK \l "_Toc499129121" </w:instrText>
      </w:r>
      <w:r>
        <w:fldChar w:fldCharType="separate"/>
      </w:r>
      <w:r>
        <w:rPr>
          <w:rStyle w:val="19"/>
          <w:rFonts w:cs="Arial"/>
          <w:b w:val="0"/>
          <w:i w:val="0"/>
          <w:snapToGrid w:val="0"/>
          <w:spacing w:val="-6"/>
        </w:rPr>
        <w:t>IV.</w:t>
      </w:r>
      <w:r>
        <w:rPr>
          <w:rFonts w:asciiTheme="minorHAnsi" w:hAnsiTheme="minorHAnsi" w:eastAsiaTheme="minorEastAsia" w:cstheme="minorBidi"/>
          <w:b w:val="0"/>
          <w:bCs w:val="0"/>
          <w:i w:val="0"/>
          <w:kern w:val="2"/>
          <w:sz w:val="21"/>
          <w:szCs w:val="22"/>
          <w:lang w:eastAsia="zh-CN" w:bidi="ar-SA"/>
        </w:rPr>
        <w:tab/>
      </w:r>
      <w:r>
        <w:rPr>
          <w:rStyle w:val="19"/>
          <w:rFonts w:eastAsia="宋体" w:cs="Arial"/>
          <w:b w:val="0"/>
          <w:i w:val="0"/>
          <w:snapToGrid w:val="0"/>
        </w:rPr>
        <w:t>510</w:t>
      </w:r>
      <w:r>
        <w:rPr>
          <w:rStyle w:val="19"/>
          <w:rFonts w:hint="eastAsia" w:eastAsia="宋体" w:cs="Arial"/>
          <w:b w:val="0"/>
          <w:i w:val="0"/>
          <w:snapToGrid w:val="0"/>
        </w:rPr>
        <w:t>（</w:t>
      </w:r>
      <w:r>
        <w:rPr>
          <w:rStyle w:val="19"/>
          <w:rFonts w:eastAsia="宋体" w:cs="Arial"/>
          <w:b w:val="0"/>
          <w:i w:val="0"/>
          <w:snapToGrid w:val="0"/>
        </w:rPr>
        <w:t>k</w:t>
      </w:r>
      <w:r>
        <w:rPr>
          <w:rStyle w:val="19"/>
          <w:rFonts w:hint="eastAsia" w:eastAsia="宋体" w:cs="Arial"/>
          <w:b w:val="0"/>
          <w:i w:val="0"/>
          <w:snapToGrid w:val="0"/>
        </w:rPr>
        <w:t>）</w:t>
      </w:r>
      <w:r>
        <w:rPr>
          <w:rStyle w:val="19"/>
          <w:rFonts w:hint="eastAsia" w:eastAsia="宋体" w:cs="Arial"/>
          <w:b w:val="0"/>
          <w:i w:val="0"/>
          <w:snapToGrid w:val="0"/>
          <w:lang w:eastAsia="zh-CN"/>
        </w:rPr>
        <w:t>申报建议</w:t>
      </w:r>
      <w:r>
        <w:rPr>
          <w:b w:val="0"/>
          <w:i w:val="0"/>
        </w:rPr>
        <w:tab/>
      </w:r>
      <w:r>
        <w:rPr>
          <w:b w:val="0"/>
          <w:i w:val="0"/>
        </w:rPr>
        <w:fldChar w:fldCharType="begin"/>
      </w:r>
      <w:r>
        <w:rPr>
          <w:b w:val="0"/>
          <w:i w:val="0"/>
        </w:rPr>
        <w:instrText xml:space="preserve"> PAGEREF _Toc499129121 \h </w:instrText>
      </w:r>
      <w:r>
        <w:rPr>
          <w:b w:val="0"/>
          <w:i w:val="0"/>
        </w:rPr>
        <w:fldChar w:fldCharType="separate"/>
      </w:r>
      <w:r>
        <w:rPr>
          <w:b w:val="0"/>
          <w:i w:val="0"/>
        </w:rPr>
        <w:t>2</w:t>
      </w:r>
      <w:r>
        <w:rPr>
          <w:b w:val="0"/>
          <w:i w:val="0"/>
        </w:rPr>
        <w:fldChar w:fldCharType="end"/>
      </w:r>
      <w:r>
        <w:rPr>
          <w:b w:val="0"/>
          <w:i w:val="0"/>
        </w:rPr>
        <w:fldChar w:fldCharType="end"/>
      </w:r>
    </w:p>
    <w:p w14:paraId="33404C01">
      <w:pPr>
        <w:pStyle w:val="8"/>
        <w:tabs>
          <w:tab w:val="left" w:pos="1470"/>
          <w:tab w:val="right" w:leader="dot" w:pos="9016"/>
        </w:tabs>
        <w:ind w:left="1134" w:hanging="518"/>
        <w:rPr>
          <w:rFonts w:asciiTheme="minorHAnsi" w:hAnsiTheme="minorHAnsi" w:eastAsiaTheme="minorEastAsia" w:cstheme="minorBidi"/>
          <w:kern w:val="2"/>
          <w:sz w:val="21"/>
          <w:szCs w:val="22"/>
          <w:lang w:eastAsia="zh-CN" w:bidi="ar-SA"/>
        </w:rPr>
      </w:pPr>
      <w:r>
        <w:fldChar w:fldCharType="begin"/>
      </w:r>
      <w:r>
        <w:instrText xml:space="preserve"> HYPERLINK \l "_Toc499129122" </w:instrText>
      </w:r>
      <w:r>
        <w:fldChar w:fldCharType="separate"/>
      </w:r>
      <w:r>
        <w:rPr>
          <w:rStyle w:val="19"/>
          <w:rFonts w:cs="Arial"/>
          <w:snapToGrid w:val="0"/>
          <w:spacing w:val="-1"/>
        </w:rPr>
        <w:t>A.</w:t>
      </w:r>
      <w:r>
        <w:rPr>
          <w:rFonts w:asciiTheme="minorHAnsi" w:hAnsiTheme="minorHAnsi" w:eastAsiaTheme="minorEastAsia" w:cstheme="minorBidi"/>
          <w:kern w:val="2"/>
          <w:sz w:val="21"/>
          <w:szCs w:val="22"/>
          <w:lang w:eastAsia="zh-CN" w:bidi="ar-SA"/>
        </w:rPr>
        <w:tab/>
      </w:r>
      <w:r>
        <w:rPr>
          <w:rStyle w:val="19"/>
          <w:rFonts w:hint="eastAsia" w:eastAsia="宋体" w:cs="Arial"/>
          <w:snapToGrid w:val="0"/>
          <w:lang w:eastAsia="zh-CN"/>
        </w:rPr>
        <w:t>器械描述</w:t>
      </w:r>
      <w:r>
        <w:tab/>
      </w:r>
      <w:r>
        <w:fldChar w:fldCharType="begin"/>
      </w:r>
      <w:r>
        <w:instrText xml:space="preserve"> PAGEREF _Toc499129122 \h </w:instrText>
      </w:r>
      <w:r>
        <w:fldChar w:fldCharType="separate"/>
      </w:r>
      <w:r>
        <w:t>2</w:t>
      </w:r>
      <w:r>
        <w:fldChar w:fldCharType="end"/>
      </w:r>
      <w:r>
        <w:fldChar w:fldCharType="end"/>
      </w:r>
    </w:p>
    <w:p w14:paraId="18CF2D3F">
      <w:pPr>
        <w:pStyle w:val="8"/>
        <w:tabs>
          <w:tab w:val="left" w:pos="1470"/>
          <w:tab w:val="right" w:leader="dot" w:pos="9016"/>
        </w:tabs>
        <w:ind w:left="1134" w:hanging="518"/>
        <w:rPr>
          <w:rStyle w:val="19"/>
          <w:rFonts w:eastAsia="宋体" w:cs="Arial"/>
          <w:snapToGrid w:val="0"/>
        </w:rPr>
      </w:pPr>
      <w:r>
        <w:fldChar w:fldCharType="begin"/>
      </w:r>
      <w:r>
        <w:instrText xml:space="preserve"> HYPERLINK \l "_Toc499129123" </w:instrText>
      </w:r>
      <w:r>
        <w:fldChar w:fldCharType="separate"/>
      </w:r>
      <w:r>
        <w:rPr>
          <w:rStyle w:val="19"/>
          <w:rFonts w:eastAsia="宋体" w:cs="Arial"/>
          <w:snapToGrid w:val="0"/>
          <w:lang w:eastAsia="zh-CN"/>
        </w:rPr>
        <w:t>B.</w:t>
      </w:r>
      <w:r>
        <w:rPr>
          <w:rStyle w:val="19"/>
          <w:rFonts w:eastAsia="宋体" w:cs="Arial"/>
          <w:snapToGrid w:val="0"/>
        </w:rPr>
        <w:tab/>
      </w:r>
      <w:r>
        <w:rPr>
          <w:rStyle w:val="19"/>
          <w:rFonts w:hint="eastAsia" w:eastAsia="宋体" w:cs="Arial"/>
          <w:snapToGrid w:val="0"/>
          <w:lang w:eastAsia="zh-CN"/>
        </w:rPr>
        <w:t>器械材料</w:t>
      </w:r>
      <w:r>
        <w:rPr>
          <w:rStyle w:val="19"/>
          <w:rFonts w:eastAsia="宋体" w:cs="Arial"/>
          <w:snapToGrid w:val="0"/>
          <w:lang w:eastAsia="zh-CN"/>
        </w:rPr>
        <w:tab/>
      </w:r>
      <w:r>
        <w:rPr>
          <w:rStyle w:val="19"/>
          <w:rFonts w:eastAsia="宋体" w:cs="Arial"/>
          <w:snapToGrid w:val="0"/>
          <w:lang w:eastAsia="zh-CN"/>
        </w:rPr>
        <w:fldChar w:fldCharType="begin"/>
      </w:r>
      <w:r>
        <w:rPr>
          <w:rStyle w:val="19"/>
          <w:rFonts w:eastAsia="宋体" w:cs="Arial"/>
          <w:snapToGrid w:val="0"/>
          <w:lang w:eastAsia="zh-CN"/>
        </w:rPr>
        <w:instrText xml:space="preserve"> PAGEREF _Toc499129123 \h </w:instrText>
      </w:r>
      <w:r>
        <w:rPr>
          <w:rStyle w:val="19"/>
          <w:rFonts w:eastAsia="宋体" w:cs="Arial"/>
          <w:snapToGrid w:val="0"/>
          <w:lang w:eastAsia="zh-CN"/>
        </w:rPr>
        <w:fldChar w:fldCharType="separate"/>
      </w:r>
      <w:r>
        <w:rPr>
          <w:rStyle w:val="19"/>
          <w:rFonts w:eastAsia="宋体" w:cs="Arial"/>
          <w:snapToGrid w:val="0"/>
          <w:lang w:eastAsia="zh-CN"/>
        </w:rPr>
        <w:t>5</w:t>
      </w:r>
      <w:r>
        <w:rPr>
          <w:rStyle w:val="19"/>
          <w:rFonts w:eastAsia="宋体" w:cs="Arial"/>
          <w:snapToGrid w:val="0"/>
          <w:lang w:eastAsia="zh-CN"/>
        </w:rPr>
        <w:fldChar w:fldCharType="end"/>
      </w:r>
      <w:r>
        <w:rPr>
          <w:rStyle w:val="19"/>
          <w:rFonts w:eastAsia="宋体" w:cs="Arial"/>
          <w:snapToGrid w:val="0"/>
          <w:lang w:eastAsia="zh-CN"/>
        </w:rPr>
        <w:fldChar w:fldCharType="end"/>
      </w:r>
    </w:p>
    <w:p w14:paraId="0E9D6F73">
      <w:pPr>
        <w:pStyle w:val="8"/>
        <w:tabs>
          <w:tab w:val="left" w:pos="1470"/>
          <w:tab w:val="right" w:leader="dot" w:pos="9016"/>
        </w:tabs>
        <w:ind w:left="1134" w:hanging="518"/>
        <w:rPr>
          <w:rStyle w:val="19"/>
          <w:rFonts w:eastAsia="宋体" w:cs="Arial"/>
          <w:snapToGrid w:val="0"/>
        </w:rPr>
      </w:pPr>
      <w:r>
        <w:fldChar w:fldCharType="begin"/>
      </w:r>
      <w:r>
        <w:instrText xml:space="preserve"> HYPERLINK \l "_Toc499129124" </w:instrText>
      </w:r>
      <w:r>
        <w:fldChar w:fldCharType="separate"/>
      </w:r>
      <w:r>
        <w:rPr>
          <w:rStyle w:val="19"/>
          <w:rFonts w:eastAsia="宋体" w:cs="Arial"/>
          <w:snapToGrid w:val="0"/>
          <w:lang w:eastAsia="zh-CN"/>
        </w:rPr>
        <w:t>C.</w:t>
      </w:r>
      <w:r>
        <w:rPr>
          <w:rStyle w:val="19"/>
          <w:rFonts w:eastAsia="宋体" w:cs="Arial"/>
          <w:snapToGrid w:val="0"/>
        </w:rPr>
        <w:tab/>
      </w:r>
      <w:r>
        <w:rPr>
          <w:rStyle w:val="19"/>
          <w:rFonts w:hint="eastAsia" w:eastAsia="宋体" w:cs="Arial"/>
          <w:snapToGrid w:val="0"/>
          <w:lang w:eastAsia="zh-CN"/>
        </w:rPr>
        <w:t>生物相容性</w:t>
      </w:r>
      <w:r>
        <w:rPr>
          <w:rStyle w:val="19"/>
          <w:rFonts w:eastAsia="宋体" w:cs="Arial"/>
          <w:snapToGrid w:val="0"/>
          <w:lang w:eastAsia="zh-CN"/>
        </w:rPr>
        <w:tab/>
      </w:r>
      <w:r>
        <w:rPr>
          <w:rStyle w:val="19"/>
          <w:rFonts w:eastAsia="宋体" w:cs="Arial"/>
          <w:snapToGrid w:val="0"/>
          <w:lang w:eastAsia="zh-CN"/>
        </w:rPr>
        <w:fldChar w:fldCharType="begin"/>
      </w:r>
      <w:r>
        <w:rPr>
          <w:rStyle w:val="19"/>
          <w:rFonts w:eastAsia="宋体" w:cs="Arial"/>
          <w:snapToGrid w:val="0"/>
          <w:lang w:eastAsia="zh-CN"/>
        </w:rPr>
        <w:instrText xml:space="preserve"> PAGEREF _Toc499129124 \h </w:instrText>
      </w:r>
      <w:r>
        <w:rPr>
          <w:rStyle w:val="19"/>
          <w:rFonts w:eastAsia="宋体" w:cs="Arial"/>
          <w:snapToGrid w:val="0"/>
          <w:lang w:eastAsia="zh-CN"/>
        </w:rPr>
        <w:fldChar w:fldCharType="separate"/>
      </w:r>
      <w:r>
        <w:rPr>
          <w:rStyle w:val="19"/>
          <w:rFonts w:eastAsia="宋体" w:cs="Arial"/>
          <w:snapToGrid w:val="0"/>
          <w:lang w:eastAsia="zh-CN"/>
        </w:rPr>
        <w:t>5</w:t>
      </w:r>
      <w:r>
        <w:rPr>
          <w:rStyle w:val="19"/>
          <w:rFonts w:eastAsia="宋体" w:cs="Arial"/>
          <w:snapToGrid w:val="0"/>
          <w:lang w:eastAsia="zh-CN"/>
        </w:rPr>
        <w:fldChar w:fldCharType="end"/>
      </w:r>
      <w:r>
        <w:rPr>
          <w:rStyle w:val="19"/>
          <w:rFonts w:eastAsia="宋体" w:cs="Arial"/>
          <w:snapToGrid w:val="0"/>
          <w:lang w:eastAsia="zh-CN"/>
        </w:rPr>
        <w:fldChar w:fldCharType="end"/>
      </w:r>
    </w:p>
    <w:p w14:paraId="144BAE61">
      <w:pPr>
        <w:pStyle w:val="8"/>
        <w:tabs>
          <w:tab w:val="left" w:pos="1470"/>
          <w:tab w:val="right" w:leader="dot" w:pos="9016"/>
        </w:tabs>
        <w:ind w:left="1134" w:hanging="518"/>
        <w:rPr>
          <w:rStyle w:val="19"/>
          <w:rFonts w:eastAsia="宋体" w:cs="Arial"/>
          <w:snapToGrid w:val="0"/>
        </w:rPr>
      </w:pPr>
      <w:r>
        <w:fldChar w:fldCharType="begin"/>
      </w:r>
      <w:r>
        <w:instrText xml:space="preserve"> HYPERLINK \l "_Toc499129125" </w:instrText>
      </w:r>
      <w:r>
        <w:fldChar w:fldCharType="separate"/>
      </w:r>
      <w:r>
        <w:rPr>
          <w:rStyle w:val="19"/>
          <w:rFonts w:eastAsia="宋体" w:cs="Arial"/>
          <w:snapToGrid w:val="0"/>
          <w:lang w:eastAsia="zh-CN"/>
        </w:rPr>
        <w:t>D.</w:t>
      </w:r>
      <w:r>
        <w:rPr>
          <w:rStyle w:val="19"/>
          <w:rFonts w:eastAsia="宋体" w:cs="Arial"/>
          <w:snapToGrid w:val="0"/>
        </w:rPr>
        <w:tab/>
      </w:r>
      <w:r>
        <w:rPr>
          <w:rStyle w:val="19"/>
          <w:rFonts w:hint="eastAsia" w:eastAsia="宋体" w:cs="Arial"/>
          <w:snapToGrid w:val="0"/>
          <w:lang w:eastAsia="zh-CN"/>
        </w:rPr>
        <w:t>性能测试</w:t>
      </w:r>
      <w:r>
        <w:rPr>
          <w:rStyle w:val="19"/>
          <w:rFonts w:eastAsia="宋体" w:cs="Arial"/>
          <w:snapToGrid w:val="0"/>
          <w:lang w:eastAsia="zh-CN"/>
        </w:rPr>
        <w:t>–</w:t>
      </w:r>
      <w:r>
        <w:rPr>
          <w:rStyle w:val="19"/>
          <w:rFonts w:hint="eastAsia" w:eastAsia="宋体" w:cs="Arial"/>
          <w:snapToGrid w:val="0"/>
          <w:lang w:eastAsia="zh-CN"/>
        </w:rPr>
        <w:t>台架试验</w:t>
      </w:r>
      <w:r>
        <w:rPr>
          <w:rStyle w:val="19"/>
          <w:rFonts w:eastAsia="宋体" w:cs="Arial"/>
          <w:snapToGrid w:val="0"/>
          <w:lang w:eastAsia="zh-CN"/>
        </w:rPr>
        <w:tab/>
      </w:r>
      <w:r>
        <w:rPr>
          <w:rStyle w:val="19"/>
          <w:rFonts w:eastAsia="宋体" w:cs="Arial"/>
          <w:snapToGrid w:val="0"/>
          <w:lang w:eastAsia="zh-CN"/>
        </w:rPr>
        <w:fldChar w:fldCharType="begin"/>
      </w:r>
      <w:r>
        <w:rPr>
          <w:rStyle w:val="19"/>
          <w:rFonts w:eastAsia="宋体" w:cs="Arial"/>
          <w:snapToGrid w:val="0"/>
          <w:lang w:eastAsia="zh-CN"/>
        </w:rPr>
        <w:instrText xml:space="preserve"> PAGEREF _Toc499129125 \h </w:instrText>
      </w:r>
      <w:r>
        <w:rPr>
          <w:rStyle w:val="19"/>
          <w:rFonts w:eastAsia="宋体" w:cs="Arial"/>
          <w:snapToGrid w:val="0"/>
          <w:lang w:eastAsia="zh-CN"/>
        </w:rPr>
        <w:fldChar w:fldCharType="separate"/>
      </w:r>
      <w:r>
        <w:rPr>
          <w:rStyle w:val="19"/>
          <w:rFonts w:eastAsia="宋体" w:cs="Arial"/>
          <w:snapToGrid w:val="0"/>
          <w:lang w:eastAsia="zh-CN"/>
        </w:rPr>
        <w:t>6</w:t>
      </w:r>
      <w:r>
        <w:rPr>
          <w:rStyle w:val="19"/>
          <w:rFonts w:eastAsia="宋体" w:cs="Arial"/>
          <w:snapToGrid w:val="0"/>
          <w:lang w:eastAsia="zh-CN"/>
        </w:rPr>
        <w:fldChar w:fldCharType="end"/>
      </w:r>
      <w:r>
        <w:rPr>
          <w:rStyle w:val="19"/>
          <w:rFonts w:eastAsia="宋体" w:cs="Arial"/>
          <w:snapToGrid w:val="0"/>
          <w:lang w:eastAsia="zh-CN"/>
        </w:rPr>
        <w:fldChar w:fldCharType="end"/>
      </w:r>
    </w:p>
    <w:p w14:paraId="24E9B5E6">
      <w:pPr>
        <w:pStyle w:val="8"/>
        <w:tabs>
          <w:tab w:val="left" w:pos="1470"/>
          <w:tab w:val="right" w:leader="dot" w:pos="9016"/>
        </w:tabs>
        <w:ind w:left="1134" w:hanging="518"/>
        <w:rPr>
          <w:rStyle w:val="19"/>
          <w:rFonts w:eastAsia="宋体" w:cs="Arial"/>
          <w:snapToGrid w:val="0"/>
        </w:rPr>
      </w:pPr>
      <w:r>
        <w:fldChar w:fldCharType="begin"/>
      </w:r>
      <w:r>
        <w:instrText xml:space="preserve"> HYPERLINK \l "_Toc499129126" </w:instrText>
      </w:r>
      <w:r>
        <w:fldChar w:fldCharType="separate"/>
      </w:r>
      <w:r>
        <w:rPr>
          <w:rStyle w:val="19"/>
          <w:rFonts w:eastAsia="宋体" w:cs="Arial"/>
          <w:snapToGrid w:val="0"/>
          <w:lang w:eastAsia="zh-CN"/>
        </w:rPr>
        <w:t>E.</w:t>
      </w:r>
      <w:r>
        <w:rPr>
          <w:rStyle w:val="19"/>
          <w:rFonts w:eastAsia="宋体" w:cs="Arial"/>
          <w:snapToGrid w:val="0"/>
        </w:rPr>
        <w:tab/>
      </w:r>
      <w:r>
        <w:rPr>
          <w:rStyle w:val="19"/>
          <w:rFonts w:hint="eastAsia" w:eastAsia="宋体" w:cs="Arial"/>
          <w:snapToGrid w:val="0"/>
          <w:lang w:eastAsia="zh-CN"/>
        </w:rPr>
        <w:t>无菌性与有效期</w:t>
      </w:r>
      <w:r>
        <w:rPr>
          <w:rStyle w:val="19"/>
          <w:rFonts w:eastAsia="宋体" w:cs="Arial"/>
          <w:snapToGrid w:val="0"/>
          <w:lang w:eastAsia="zh-CN"/>
        </w:rPr>
        <w:tab/>
      </w:r>
      <w:r>
        <w:rPr>
          <w:rStyle w:val="19"/>
          <w:rFonts w:eastAsia="宋体" w:cs="Arial"/>
          <w:snapToGrid w:val="0"/>
          <w:lang w:eastAsia="zh-CN"/>
        </w:rPr>
        <w:fldChar w:fldCharType="begin"/>
      </w:r>
      <w:r>
        <w:rPr>
          <w:rStyle w:val="19"/>
          <w:rFonts w:eastAsia="宋体" w:cs="Arial"/>
          <w:snapToGrid w:val="0"/>
          <w:lang w:eastAsia="zh-CN"/>
        </w:rPr>
        <w:instrText xml:space="preserve"> PAGEREF _Toc499129126 \h </w:instrText>
      </w:r>
      <w:r>
        <w:rPr>
          <w:rStyle w:val="19"/>
          <w:rFonts w:eastAsia="宋体" w:cs="Arial"/>
          <w:snapToGrid w:val="0"/>
          <w:lang w:eastAsia="zh-CN"/>
        </w:rPr>
        <w:fldChar w:fldCharType="separate"/>
      </w:r>
      <w:r>
        <w:rPr>
          <w:rStyle w:val="19"/>
          <w:rFonts w:eastAsia="宋体" w:cs="Arial"/>
          <w:snapToGrid w:val="0"/>
          <w:lang w:eastAsia="zh-CN"/>
        </w:rPr>
        <w:t>8</w:t>
      </w:r>
      <w:r>
        <w:rPr>
          <w:rStyle w:val="19"/>
          <w:rFonts w:eastAsia="宋体" w:cs="Arial"/>
          <w:snapToGrid w:val="0"/>
          <w:lang w:eastAsia="zh-CN"/>
        </w:rPr>
        <w:fldChar w:fldCharType="end"/>
      </w:r>
      <w:r>
        <w:rPr>
          <w:rStyle w:val="19"/>
          <w:rFonts w:eastAsia="宋体" w:cs="Arial"/>
          <w:snapToGrid w:val="0"/>
          <w:lang w:eastAsia="zh-CN"/>
        </w:rPr>
        <w:fldChar w:fldCharType="end"/>
      </w:r>
    </w:p>
    <w:p w14:paraId="395A0921">
      <w:pPr>
        <w:pStyle w:val="8"/>
        <w:tabs>
          <w:tab w:val="left" w:pos="1470"/>
          <w:tab w:val="right" w:leader="dot" w:pos="9016"/>
        </w:tabs>
        <w:ind w:left="1134" w:hanging="518"/>
        <w:rPr>
          <w:rStyle w:val="19"/>
          <w:rFonts w:eastAsia="宋体" w:cs="Arial"/>
          <w:snapToGrid w:val="0"/>
        </w:rPr>
      </w:pPr>
      <w:r>
        <w:fldChar w:fldCharType="begin"/>
      </w:r>
      <w:r>
        <w:instrText xml:space="preserve"> HYPERLINK \l "_Toc499129127" </w:instrText>
      </w:r>
      <w:r>
        <w:fldChar w:fldCharType="separate"/>
      </w:r>
      <w:r>
        <w:rPr>
          <w:rStyle w:val="19"/>
          <w:rFonts w:eastAsia="宋体" w:cs="Arial"/>
          <w:snapToGrid w:val="0"/>
          <w:lang w:eastAsia="zh-CN"/>
        </w:rPr>
        <w:t>F.</w:t>
      </w:r>
      <w:r>
        <w:rPr>
          <w:rStyle w:val="19"/>
          <w:rFonts w:eastAsia="宋体" w:cs="Arial"/>
          <w:snapToGrid w:val="0"/>
        </w:rPr>
        <w:tab/>
      </w:r>
      <w:r>
        <w:rPr>
          <w:rStyle w:val="19"/>
          <w:rFonts w:hint="eastAsia" w:eastAsia="宋体" w:cs="Arial"/>
          <w:snapToGrid w:val="0"/>
          <w:lang w:eastAsia="zh-CN"/>
        </w:rPr>
        <w:t>广义标签</w:t>
      </w:r>
      <w:r>
        <w:rPr>
          <w:rStyle w:val="19"/>
          <w:rFonts w:eastAsia="宋体" w:cs="Arial"/>
          <w:snapToGrid w:val="0"/>
          <w:lang w:eastAsia="zh-CN"/>
        </w:rPr>
        <w:tab/>
      </w:r>
      <w:r>
        <w:rPr>
          <w:rStyle w:val="19"/>
          <w:rFonts w:eastAsia="宋体" w:cs="Arial"/>
          <w:snapToGrid w:val="0"/>
          <w:lang w:eastAsia="zh-CN"/>
        </w:rPr>
        <w:fldChar w:fldCharType="begin"/>
      </w:r>
      <w:r>
        <w:rPr>
          <w:rStyle w:val="19"/>
          <w:rFonts w:eastAsia="宋体" w:cs="Arial"/>
          <w:snapToGrid w:val="0"/>
          <w:lang w:eastAsia="zh-CN"/>
        </w:rPr>
        <w:instrText xml:space="preserve"> PAGEREF _Toc499129127 \h </w:instrText>
      </w:r>
      <w:r>
        <w:rPr>
          <w:rStyle w:val="19"/>
          <w:rFonts w:eastAsia="宋体" w:cs="Arial"/>
          <w:snapToGrid w:val="0"/>
          <w:lang w:eastAsia="zh-CN"/>
        </w:rPr>
        <w:fldChar w:fldCharType="separate"/>
      </w:r>
      <w:r>
        <w:rPr>
          <w:rStyle w:val="19"/>
          <w:rFonts w:eastAsia="宋体" w:cs="Arial"/>
          <w:snapToGrid w:val="0"/>
          <w:lang w:eastAsia="zh-CN"/>
        </w:rPr>
        <w:t>10</w:t>
      </w:r>
      <w:r>
        <w:rPr>
          <w:rStyle w:val="19"/>
          <w:rFonts w:eastAsia="宋体" w:cs="Arial"/>
          <w:snapToGrid w:val="0"/>
          <w:lang w:eastAsia="zh-CN"/>
        </w:rPr>
        <w:fldChar w:fldCharType="end"/>
      </w:r>
      <w:r>
        <w:rPr>
          <w:rStyle w:val="19"/>
          <w:rFonts w:eastAsia="宋体" w:cs="Arial"/>
          <w:snapToGrid w:val="0"/>
          <w:lang w:eastAsia="zh-CN"/>
        </w:rPr>
        <w:fldChar w:fldCharType="end"/>
      </w:r>
    </w:p>
    <w:p w14:paraId="54FC3FC7">
      <w:pPr>
        <w:pStyle w:val="8"/>
        <w:tabs>
          <w:tab w:val="left" w:pos="1470"/>
          <w:tab w:val="right" w:leader="dot" w:pos="9016"/>
        </w:tabs>
        <w:ind w:left="1134" w:hanging="518"/>
        <w:rPr>
          <w:rStyle w:val="19"/>
          <w:rFonts w:eastAsia="宋体" w:cs="Arial"/>
          <w:snapToGrid w:val="0"/>
        </w:rPr>
      </w:pPr>
      <w:r>
        <w:fldChar w:fldCharType="begin"/>
      </w:r>
      <w:r>
        <w:instrText xml:space="preserve"> HYPERLINK \l "_Toc499129128" </w:instrText>
      </w:r>
      <w:r>
        <w:fldChar w:fldCharType="separate"/>
      </w:r>
      <w:r>
        <w:rPr>
          <w:rStyle w:val="19"/>
          <w:rFonts w:eastAsia="宋体" w:cs="Arial"/>
          <w:snapToGrid w:val="0"/>
          <w:lang w:eastAsia="zh-CN"/>
        </w:rPr>
        <w:t>G.</w:t>
      </w:r>
      <w:r>
        <w:rPr>
          <w:rStyle w:val="19"/>
          <w:rFonts w:eastAsia="宋体" w:cs="Arial"/>
          <w:snapToGrid w:val="0"/>
        </w:rPr>
        <w:tab/>
      </w:r>
      <w:r>
        <w:rPr>
          <w:rStyle w:val="19"/>
          <w:rFonts w:hint="eastAsia" w:eastAsia="宋体" w:cs="Arial"/>
          <w:snapToGrid w:val="0"/>
          <w:lang w:eastAsia="zh-CN"/>
        </w:rPr>
        <w:t>动物与临床试验</w:t>
      </w:r>
      <w:r>
        <w:rPr>
          <w:rStyle w:val="19"/>
          <w:rFonts w:eastAsia="宋体" w:cs="Arial"/>
          <w:snapToGrid w:val="0"/>
          <w:lang w:eastAsia="zh-CN"/>
        </w:rPr>
        <w:tab/>
      </w:r>
      <w:r>
        <w:rPr>
          <w:rStyle w:val="19"/>
          <w:rFonts w:eastAsia="宋体" w:cs="Arial"/>
          <w:snapToGrid w:val="0"/>
          <w:lang w:eastAsia="zh-CN"/>
        </w:rPr>
        <w:fldChar w:fldCharType="begin"/>
      </w:r>
      <w:r>
        <w:rPr>
          <w:rStyle w:val="19"/>
          <w:rFonts w:eastAsia="宋体" w:cs="Arial"/>
          <w:snapToGrid w:val="0"/>
          <w:lang w:eastAsia="zh-CN"/>
        </w:rPr>
        <w:instrText xml:space="preserve"> PAGEREF _Toc499129128 \h </w:instrText>
      </w:r>
      <w:r>
        <w:rPr>
          <w:rStyle w:val="19"/>
          <w:rFonts w:eastAsia="宋体" w:cs="Arial"/>
          <w:snapToGrid w:val="0"/>
          <w:lang w:eastAsia="zh-CN"/>
        </w:rPr>
        <w:fldChar w:fldCharType="separate"/>
      </w:r>
      <w:r>
        <w:rPr>
          <w:rStyle w:val="19"/>
          <w:rFonts w:eastAsia="宋体" w:cs="Arial"/>
          <w:snapToGrid w:val="0"/>
          <w:lang w:eastAsia="zh-CN"/>
        </w:rPr>
        <w:t>12</w:t>
      </w:r>
      <w:r>
        <w:rPr>
          <w:rStyle w:val="19"/>
          <w:rFonts w:eastAsia="宋体" w:cs="Arial"/>
          <w:snapToGrid w:val="0"/>
          <w:lang w:eastAsia="zh-CN"/>
        </w:rPr>
        <w:fldChar w:fldCharType="end"/>
      </w:r>
      <w:r>
        <w:rPr>
          <w:rStyle w:val="19"/>
          <w:rFonts w:eastAsia="宋体" w:cs="Arial"/>
          <w:snapToGrid w:val="0"/>
          <w:lang w:eastAsia="zh-CN"/>
        </w:rPr>
        <w:fldChar w:fldCharType="end"/>
      </w:r>
    </w:p>
    <w:p w14:paraId="1B67F4C3">
      <w:pPr>
        <w:pStyle w:val="13"/>
        <w:tabs>
          <w:tab w:val="left" w:pos="1470"/>
          <w:tab w:val="right" w:leader="dot" w:pos="9016"/>
        </w:tabs>
        <w:ind w:left="1470"/>
        <w:rPr>
          <w:rFonts w:asciiTheme="minorHAnsi" w:hAnsiTheme="minorHAnsi" w:eastAsiaTheme="minorEastAsia" w:cstheme="minorBidi"/>
          <w:b w:val="0"/>
          <w:bCs w:val="0"/>
          <w:kern w:val="2"/>
          <w:sz w:val="21"/>
          <w:lang w:eastAsia="zh-CN" w:bidi="ar-SA"/>
        </w:rPr>
      </w:pPr>
      <w:r>
        <w:fldChar w:fldCharType="begin"/>
      </w:r>
      <w:r>
        <w:instrText xml:space="preserve"> HYPERLINK \l "_Toc499129129" </w:instrText>
      </w:r>
      <w:r>
        <w:fldChar w:fldCharType="separate"/>
      </w:r>
      <w:r>
        <w:rPr>
          <w:rStyle w:val="19"/>
          <w:rFonts w:cs="Arial"/>
          <w:b w:val="0"/>
          <w:snapToGrid w:val="0"/>
          <w:spacing w:val="-1"/>
        </w:rPr>
        <w:t>(1)</w:t>
      </w:r>
      <w:r>
        <w:rPr>
          <w:rFonts w:asciiTheme="minorHAnsi" w:hAnsiTheme="minorHAnsi" w:eastAsiaTheme="minorEastAsia" w:cstheme="minorBidi"/>
          <w:b w:val="0"/>
          <w:bCs w:val="0"/>
          <w:kern w:val="2"/>
          <w:sz w:val="21"/>
          <w:lang w:eastAsia="zh-CN" w:bidi="ar-SA"/>
        </w:rPr>
        <w:tab/>
      </w:r>
      <w:r>
        <w:rPr>
          <w:rStyle w:val="19"/>
          <w:rFonts w:hint="eastAsia" w:eastAsia="宋体" w:cs="Arial"/>
          <w:b w:val="0"/>
          <w:snapToGrid w:val="0"/>
          <w:lang w:eastAsia="zh-CN"/>
        </w:rPr>
        <w:t>性能试验</w:t>
      </w:r>
      <w:r>
        <w:rPr>
          <w:rStyle w:val="19"/>
          <w:rFonts w:eastAsia="宋体" w:cs="Arial"/>
          <w:b w:val="0"/>
          <w:snapToGrid w:val="0"/>
        </w:rPr>
        <w:t>–</w:t>
      </w:r>
      <w:r>
        <w:rPr>
          <w:rStyle w:val="19"/>
          <w:rFonts w:hint="eastAsia" w:eastAsia="宋体" w:cs="Arial"/>
          <w:b w:val="0"/>
          <w:snapToGrid w:val="0"/>
          <w:lang w:eastAsia="zh-CN"/>
        </w:rPr>
        <w:t>动物</w:t>
      </w:r>
      <w:r>
        <w:rPr>
          <w:b w:val="0"/>
        </w:rPr>
        <w:tab/>
      </w:r>
      <w:r>
        <w:rPr>
          <w:b w:val="0"/>
        </w:rPr>
        <w:fldChar w:fldCharType="begin"/>
      </w:r>
      <w:r>
        <w:rPr>
          <w:b w:val="0"/>
        </w:rPr>
        <w:instrText xml:space="preserve"> PAGEREF _Toc499129129 \h </w:instrText>
      </w:r>
      <w:r>
        <w:rPr>
          <w:b w:val="0"/>
        </w:rPr>
        <w:fldChar w:fldCharType="separate"/>
      </w:r>
      <w:r>
        <w:rPr>
          <w:b w:val="0"/>
        </w:rPr>
        <w:t>12</w:t>
      </w:r>
      <w:r>
        <w:rPr>
          <w:b w:val="0"/>
        </w:rPr>
        <w:fldChar w:fldCharType="end"/>
      </w:r>
      <w:r>
        <w:rPr>
          <w:b w:val="0"/>
        </w:rPr>
        <w:fldChar w:fldCharType="end"/>
      </w:r>
    </w:p>
    <w:p w14:paraId="7D2A719C">
      <w:pPr>
        <w:pStyle w:val="13"/>
        <w:tabs>
          <w:tab w:val="left" w:pos="1470"/>
          <w:tab w:val="right" w:leader="dot" w:pos="9016"/>
        </w:tabs>
        <w:ind w:left="1470"/>
        <w:rPr>
          <w:rFonts w:asciiTheme="minorHAnsi" w:hAnsiTheme="minorHAnsi" w:eastAsiaTheme="minorEastAsia" w:cstheme="minorBidi"/>
          <w:b w:val="0"/>
          <w:bCs w:val="0"/>
          <w:kern w:val="2"/>
          <w:sz w:val="21"/>
          <w:lang w:eastAsia="zh-CN" w:bidi="ar-SA"/>
        </w:rPr>
      </w:pPr>
      <w:r>
        <w:fldChar w:fldCharType="begin"/>
      </w:r>
      <w:r>
        <w:instrText xml:space="preserve"> HYPERLINK \l "_Toc499129130" </w:instrText>
      </w:r>
      <w:r>
        <w:fldChar w:fldCharType="separate"/>
      </w:r>
      <w:r>
        <w:rPr>
          <w:rStyle w:val="19"/>
          <w:rFonts w:cs="Arial"/>
          <w:b w:val="0"/>
          <w:snapToGrid w:val="0"/>
          <w:spacing w:val="-1"/>
        </w:rPr>
        <w:t>(2)</w:t>
      </w:r>
      <w:r>
        <w:rPr>
          <w:rFonts w:asciiTheme="minorHAnsi" w:hAnsiTheme="minorHAnsi" w:eastAsiaTheme="minorEastAsia" w:cstheme="minorBidi"/>
          <w:b w:val="0"/>
          <w:bCs w:val="0"/>
          <w:kern w:val="2"/>
          <w:sz w:val="21"/>
          <w:lang w:eastAsia="zh-CN" w:bidi="ar-SA"/>
        </w:rPr>
        <w:tab/>
      </w:r>
      <w:r>
        <w:rPr>
          <w:rStyle w:val="19"/>
          <w:rFonts w:hint="eastAsia" w:eastAsia="宋体" w:cs="Arial"/>
          <w:b w:val="0"/>
          <w:snapToGrid w:val="0"/>
          <w:lang w:eastAsia="zh-CN"/>
        </w:rPr>
        <w:t>性能试验</w:t>
      </w:r>
      <w:r>
        <w:rPr>
          <w:rStyle w:val="19"/>
          <w:rFonts w:eastAsia="宋体" w:cs="Arial"/>
          <w:b w:val="0"/>
          <w:snapToGrid w:val="0"/>
        </w:rPr>
        <w:t>–</w:t>
      </w:r>
      <w:r>
        <w:rPr>
          <w:rStyle w:val="19"/>
          <w:rFonts w:hint="eastAsia" w:eastAsia="宋体" w:cs="Arial"/>
          <w:b w:val="0"/>
          <w:snapToGrid w:val="0"/>
          <w:lang w:eastAsia="zh-CN"/>
        </w:rPr>
        <w:t>临床</w:t>
      </w:r>
      <w:r>
        <w:rPr>
          <w:b w:val="0"/>
        </w:rPr>
        <w:tab/>
      </w:r>
      <w:r>
        <w:rPr>
          <w:b w:val="0"/>
        </w:rPr>
        <w:fldChar w:fldCharType="begin"/>
      </w:r>
      <w:r>
        <w:rPr>
          <w:b w:val="0"/>
        </w:rPr>
        <w:instrText xml:space="preserve"> PAGEREF _Toc499129130 \h </w:instrText>
      </w:r>
      <w:r>
        <w:rPr>
          <w:b w:val="0"/>
        </w:rPr>
        <w:fldChar w:fldCharType="separate"/>
      </w:r>
      <w:r>
        <w:rPr>
          <w:b w:val="0"/>
        </w:rPr>
        <w:t>12</w:t>
      </w:r>
      <w:r>
        <w:rPr>
          <w:b w:val="0"/>
        </w:rPr>
        <w:fldChar w:fldCharType="end"/>
      </w:r>
      <w:r>
        <w:rPr>
          <w:b w:val="0"/>
        </w:rPr>
        <w:fldChar w:fldCharType="end"/>
      </w:r>
    </w:p>
    <w:p w14:paraId="1277F062">
      <w:pPr>
        <w:pStyle w:val="8"/>
        <w:tabs>
          <w:tab w:val="left" w:pos="1470"/>
          <w:tab w:val="right" w:leader="dot" w:pos="9016"/>
        </w:tabs>
        <w:ind w:left="1134" w:hanging="518"/>
        <w:rPr>
          <w:rFonts w:asciiTheme="minorHAnsi" w:hAnsiTheme="minorHAnsi" w:eastAsiaTheme="minorEastAsia" w:cstheme="minorBidi"/>
          <w:kern w:val="2"/>
          <w:sz w:val="21"/>
          <w:szCs w:val="22"/>
          <w:lang w:eastAsia="zh-CN" w:bidi="ar-SA"/>
        </w:rPr>
      </w:pPr>
      <w:r>
        <w:fldChar w:fldCharType="begin"/>
      </w:r>
      <w:r>
        <w:instrText xml:space="preserve"> HYPERLINK \l "_Toc499129131" </w:instrText>
      </w:r>
      <w:r>
        <w:fldChar w:fldCharType="separate"/>
      </w:r>
      <w:r>
        <w:rPr>
          <w:rStyle w:val="19"/>
          <w:rFonts w:cs="Arial"/>
          <w:snapToGrid w:val="0"/>
          <w:spacing w:val="-1"/>
        </w:rPr>
        <w:t>H.</w:t>
      </w:r>
      <w:r>
        <w:rPr>
          <w:rFonts w:asciiTheme="minorHAnsi" w:hAnsiTheme="minorHAnsi" w:eastAsiaTheme="minorEastAsia" w:cstheme="minorBidi"/>
          <w:kern w:val="2"/>
          <w:sz w:val="21"/>
          <w:szCs w:val="22"/>
          <w:lang w:eastAsia="zh-CN" w:bidi="ar-SA"/>
        </w:rPr>
        <w:tab/>
      </w:r>
      <w:r>
        <w:rPr>
          <w:rStyle w:val="19"/>
          <w:rFonts w:hint="eastAsia" w:eastAsia="宋体" w:cs="Arial"/>
          <w:snapToGrid w:val="0"/>
          <w:lang w:eastAsia="zh-CN"/>
        </w:rPr>
        <w:t>特殊考虑</w:t>
      </w:r>
      <w:r>
        <w:tab/>
      </w:r>
      <w:r>
        <w:fldChar w:fldCharType="begin"/>
      </w:r>
      <w:r>
        <w:instrText xml:space="preserve"> PAGEREF _Toc499129131 \h </w:instrText>
      </w:r>
      <w:r>
        <w:fldChar w:fldCharType="separate"/>
      </w:r>
      <w:r>
        <w:t>13</w:t>
      </w:r>
      <w:r>
        <w:fldChar w:fldCharType="end"/>
      </w:r>
      <w:r>
        <w:fldChar w:fldCharType="end"/>
      </w:r>
    </w:p>
    <w:p w14:paraId="61B8441F">
      <w:pPr>
        <w:pStyle w:val="13"/>
        <w:tabs>
          <w:tab w:val="left" w:pos="1470"/>
          <w:tab w:val="right" w:leader="dot" w:pos="9016"/>
        </w:tabs>
        <w:ind w:left="1470"/>
        <w:rPr>
          <w:rFonts w:asciiTheme="minorHAnsi" w:hAnsiTheme="minorHAnsi" w:eastAsiaTheme="minorEastAsia" w:cstheme="minorBidi"/>
          <w:b w:val="0"/>
          <w:bCs w:val="0"/>
          <w:kern w:val="2"/>
          <w:sz w:val="21"/>
          <w:lang w:eastAsia="zh-CN" w:bidi="ar-SA"/>
        </w:rPr>
      </w:pPr>
      <w:r>
        <w:fldChar w:fldCharType="begin"/>
      </w:r>
      <w:r>
        <w:instrText xml:space="preserve"> HYPERLINK \l "_Toc499129132" </w:instrText>
      </w:r>
      <w:r>
        <w:fldChar w:fldCharType="separate"/>
      </w:r>
      <w:r>
        <w:rPr>
          <w:rStyle w:val="19"/>
          <w:rFonts w:cs="Arial"/>
          <w:b w:val="0"/>
          <w:snapToGrid w:val="0"/>
          <w:spacing w:val="-1"/>
        </w:rPr>
        <w:t>(1)</w:t>
      </w:r>
      <w:r>
        <w:rPr>
          <w:rFonts w:asciiTheme="minorHAnsi" w:hAnsiTheme="minorHAnsi" w:eastAsiaTheme="minorEastAsia" w:cstheme="minorBidi"/>
          <w:b w:val="0"/>
          <w:bCs w:val="0"/>
          <w:kern w:val="2"/>
          <w:sz w:val="21"/>
          <w:lang w:eastAsia="zh-CN" w:bidi="ar-SA"/>
        </w:rPr>
        <w:tab/>
      </w:r>
      <w:r>
        <w:rPr>
          <w:rStyle w:val="19"/>
          <w:rFonts w:hint="eastAsia" w:eastAsia="宋体" w:cs="Arial"/>
          <w:b w:val="0"/>
          <w:snapToGrid w:val="0"/>
          <w:lang w:eastAsia="zh-CN"/>
        </w:rPr>
        <w:t>皮下导管</w:t>
      </w:r>
      <w:r>
        <w:rPr>
          <w:b w:val="0"/>
        </w:rPr>
        <w:tab/>
      </w:r>
      <w:r>
        <w:rPr>
          <w:b w:val="0"/>
        </w:rPr>
        <w:fldChar w:fldCharType="begin"/>
      </w:r>
      <w:r>
        <w:rPr>
          <w:b w:val="0"/>
        </w:rPr>
        <w:instrText xml:space="preserve"> PAGEREF _Toc499129132 \h </w:instrText>
      </w:r>
      <w:r>
        <w:rPr>
          <w:b w:val="0"/>
        </w:rPr>
        <w:fldChar w:fldCharType="separate"/>
      </w:r>
      <w:r>
        <w:rPr>
          <w:b w:val="0"/>
        </w:rPr>
        <w:t>13</w:t>
      </w:r>
      <w:r>
        <w:rPr>
          <w:b w:val="0"/>
        </w:rPr>
        <w:fldChar w:fldCharType="end"/>
      </w:r>
      <w:r>
        <w:rPr>
          <w:b w:val="0"/>
        </w:rPr>
        <w:fldChar w:fldCharType="end"/>
      </w:r>
    </w:p>
    <w:p w14:paraId="35D4CFE4">
      <w:pPr>
        <w:pStyle w:val="13"/>
        <w:tabs>
          <w:tab w:val="left" w:pos="1470"/>
          <w:tab w:val="right" w:leader="dot" w:pos="9016"/>
        </w:tabs>
        <w:ind w:left="1470"/>
        <w:rPr>
          <w:rFonts w:asciiTheme="minorHAnsi" w:hAnsiTheme="minorHAnsi" w:eastAsiaTheme="minorEastAsia" w:cstheme="minorBidi"/>
          <w:b w:val="0"/>
          <w:bCs w:val="0"/>
          <w:kern w:val="2"/>
          <w:sz w:val="21"/>
          <w:lang w:eastAsia="zh-CN" w:bidi="ar-SA"/>
        </w:rPr>
      </w:pPr>
      <w:r>
        <w:fldChar w:fldCharType="begin"/>
      </w:r>
      <w:r>
        <w:instrText xml:space="preserve"> HYPERLINK \l "_Toc499129133" </w:instrText>
      </w:r>
      <w:r>
        <w:fldChar w:fldCharType="separate"/>
      </w:r>
      <w:r>
        <w:rPr>
          <w:rStyle w:val="19"/>
          <w:rFonts w:cs="Arial"/>
          <w:b w:val="0"/>
          <w:snapToGrid w:val="0"/>
          <w:spacing w:val="-1"/>
        </w:rPr>
        <w:t>(2)</w:t>
      </w:r>
      <w:r>
        <w:rPr>
          <w:rFonts w:asciiTheme="minorHAnsi" w:hAnsiTheme="minorHAnsi" w:eastAsiaTheme="minorEastAsia" w:cstheme="minorBidi"/>
          <w:b w:val="0"/>
          <w:bCs w:val="0"/>
          <w:kern w:val="2"/>
          <w:sz w:val="21"/>
          <w:lang w:eastAsia="zh-CN" w:bidi="ar-SA"/>
        </w:rPr>
        <w:tab/>
      </w:r>
      <w:r>
        <w:rPr>
          <w:rStyle w:val="19"/>
          <w:rFonts w:hint="eastAsia" w:eastAsia="宋体" w:cs="Arial"/>
          <w:b w:val="0"/>
          <w:snapToGrid w:val="0"/>
          <w:lang w:eastAsia="zh-CN"/>
        </w:rPr>
        <w:t>涂层</w:t>
      </w:r>
      <w:r>
        <w:rPr>
          <w:b w:val="0"/>
        </w:rPr>
        <w:tab/>
      </w:r>
      <w:r>
        <w:rPr>
          <w:b w:val="0"/>
        </w:rPr>
        <w:fldChar w:fldCharType="begin"/>
      </w:r>
      <w:r>
        <w:rPr>
          <w:b w:val="0"/>
        </w:rPr>
        <w:instrText xml:space="preserve"> PAGEREF _Toc499129133 \h </w:instrText>
      </w:r>
      <w:r>
        <w:rPr>
          <w:b w:val="0"/>
        </w:rPr>
        <w:fldChar w:fldCharType="separate"/>
      </w:r>
      <w:r>
        <w:rPr>
          <w:b w:val="0"/>
        </w:rPr>
        <w:t>14</w:t>
      </w:r>
      <w:r>
        <w:rPr>
          <w:b w:val="0"/>
        </w:rPr>
        <w:fldChar w:fldCharType="end"/>
      </w:r>
      <w:r>
        <w:rPr>
          <w:b w:val="0"/>
        </w:rPr>
        <w:fldChar w:fldCharType="end"/>
      </w:r>
    </w:p>
    <w:p w14:paraId="0335F545">
      <w:pPr>
        <w:pStyle w:val="13"/>
        <w:tabs>
          <w:tab w:val="left" w:pos="1470"/>
          <w:tab w:val="right" w:leader="dot" w:pos="9016"/>
        </w:tabs>
        <w:ind w:left="1470"/>
        <w:rPr>
          <w:rFonts w:asciiTheme="minorHAnsi" w:hAnsiTheme="minorHAnsi" w:eastAsiaTheme="minorEastAsia" w:cstheme="minorBidi"/>
          <w:b w:val="0"/>
          <w:bCs w:val="0"/>
          <w:kern w:val="2"/>
          <w:sz w:val="21"/>
          <w:lang w:eastAsia="zh-CN" w:bidi="ar-SA"/>
        </w:rPr>
      </w:pPr>
      <w:r>
        <w:fldChar w:fldCharType="begin"/>
      </w:r>
      <w:r>
        <w:instrText xml:space="preserve"> HYPERLINK \l "_Toc499129134" </w:instrText>
      </w:r>
      <w:r>
        <w:fldChar w:fldCharType="separate"/>
      </w:r>
      <w:r>
        <w:rPr>
          <w:rStyle w:val="19"/>
          <w:rFonts w:cs="Arial"/>
          <w:b w:val="0"/>
          <w:snapToGrid w:val="0"/>
          <w:spacing w:val="-1"/>
        </w:rPr>
        <w:t>(3)</w:t>
      </w:r>
      <w:r>
        <w:rPr>
          <w:rFonts w:asciiTheme="minorHAnsi" w:hAnsiTheme="minorHAnsi" w:eastAsiaTheme="minorEastAsia" w:cstheme="minorBidi"/>
          <w:b w:val="0"/>
          <w:bCs w:val="0"/>
          <w:kern w:val="2"/>
          <w:sz w:val="21"/>
          <w:lang w:eastAsia="zh-CN" w:bidi="ar-SA"/>
        </w:rPr>
        <w:tab/>
      </w:r>
      <w:r>
        <w:rPr>
          <w:rStyle w:val="19"/>
          <w:rFonts w:hint="eastAsia" w:eastAsia="宋体" w:cs="Arial"/>
          <w:b w:val="0"/>
          <w:snapToGrid w:val="0"/>
          <w:lang w:eastAsia="zh-CN"/>
        </w:rPr>
        <w:t>动静脉（</w:t>
      </w:r>
      <w:r>
        <w:rPr>
          <w:rStyle w:val="19"/>
          <w:rFonts w:eastAsia="宋体" w:cs="Arial"/>
          <w:b w:val="0"/>
          <w:snapToGrid w:val="0"/>
          <w:lang w:eastAsia="zh-CN"/>
        </w:rPr>
        <w:t>A-V</w:t>
      </w:r>
      <w:r>
        <w:rPr>
          <w:rStyle w:val="19"/>
          <w:rFonts w:hint="eastAsia" w:eastAsia="宋体" w:cs="Arial"/>
          <w:b w:val="0"/>
          <w:snapToGrid w:val="0"/>
          <w:lang w:eastAsia="zh-CN"/>
        </w:rPr>
        <w:t>）分流管（带血管尖端）</w:t>
      </w:r>
      <w:r>
        <w:rPr>
          <w:b w:val="0"/>
        </w:rPr>
        <w:tab/>
      </w:r>
      <w:r>
        <w:rPr>
          <w:b w:val="0"/>
        </w:rPr>
        <w:fldChar w:fldCharType="begin"/>
      </w:r>
      <w:r>
        <w:rPr>
          <w:b w:val="0"/>
        </w:rPr>
        <w:instrText xml:space="preserve"> PAGEREF _Toc499129134 \h </w:instrText>
      </w:r>
      <w:r>
        <w:rPr>
          <w:b w:val="0"/>
        </w:rPr>
        <w:fldChar w:fldCharType="separate"/>
      </w:r>
      <w:r>
        <w:rPr>
          <w:b w:val="0"/>
        </w:rPr>
        <w:t>15</w:t>
      </w:r>
      <w:r>
        <w:rPr>
          <w:b w:val="0"/>
        </w:rPr>
        <w:fldChar w:fldCharType="end"/>
      </w:r>
      <w:r>
        <w:rPr>
          <w:b w:val="0"/>
        </w:rPr>
        <w:fldChar w:fldCharType="end"/>
      </w:r>
    </w:p>
    <w:p w14:paraId="2E154C62">
      <w:pPr>
        <w:pStyle w:val="15"/>
        <w:tabs>
          <w:tab w:val="right" w:leader="dot" w:pos="9016"/>
        </w:tabs>
        <w:ind w:left="590" w:right="440" w:hanging="590"/>
        <w:rPr>
          <w:rFonts w:asciiTheme="minorHAnsi" w:hAnsiTheme="minorHAnsi" w:eastAsiaTheme="minorEastAsia" w:cstheme="minorBidi"/>
          <w:b w:val="0"/>
          <w:bCs w:val="0"/>
          <w:i w:val="0"/>
          <w:kern w:val="2"/>
          <w:sz w:val="21"/>
          <w:szCs w:val="22"/>
          <w:lang w:eastAsia="zh-CN" w:bidi="ar-SA"/>
        </w:rPr>
      </w:pPr>
      <w:r>
        <w:fldChar w:fldCharType="begin"/>
      </w:r>
      <w:r>
        <w:instrText xml:space="preserve"> HYPERLINK \l "_Toc499129135" </w:instrText>
      </w:r>
      <w:r>
        <w:fldChar w:fldCharType="separate"/>
      </w:r>
      <w:r>
        <w:rPr>
          <w:rStyle w:val="19"/>
          <w:rFonts w:hint="eastAsia" w:eastAsia="宋体" w:cs="Arial"/>
          <w:b w:val="0"/>
          <w:i w:val="0"/>
          <w:snapToGrid w:val="0"/>
          <w:lang w:eastAsia="zh-CN"/>
        </w:rPr>
        <w:t>附录</w:t>
      </w:r>
      <w:r>
        <w:rPr>
          <w:rStyle w:val="19"/>
          <w:rFonts w:eastAsia="宋体" w:cs="Arial"/>
          <w:b w:val="0"/>
          <w:i w:val="0"/>
          <w:snapToGrid w:val="0"/>
          <w:lang w:eastAsia="zh-CN"/>
        </w:rPr>
        <w:t>A</w:t>
      </w:r>
      <w:r>
        <w:rPr>
          <w:b w:val="0"/>
          <w:i w:val="0"/>
        </w:rPr>
        <w:tab/>
      </w:r>
      <w:r>
        <w:rPr>
          <w:b w:val="0"/>
          <w:i w:val="0"/>
        </w:rPr>
        <w:fldChar w:fldCharType="begin"/>
      </w:r>
      <w:r>
        <w:rPr>
          <w:b w:val="0"/>
          <w:i w:val="0"/>
        </w:rPr>
        <w:instrText xml:space="preserve"> PAGEREF _Toc499129135 \h </w:instrText>
      </w:r>
      <w:r>
        <w:rPr>
          <w:b w:val="0"/>
          <w:i w:val="0"/>
        </w:rPr>
        <w:fldChar w:fldCharType="separate"/>
      </w:r>
      <w:r>
        <w:rPr>
          <w:b w:val="0"/>
          <w:i w:val="0"/>
        </w:rPr>
        <w:t>17</w:t>
      </w:r>
      <w:r>
        <w:rPr>
          <w:b w:val="0"/>
          <w:i w:val="0"/>
        </w:rPr>
        <w:fldChar w:fldCharType="end"/>
      </w:r>
      <w:r>
        <w:rPr>
          <w:b w:val="0"/>
          <w:i w:val="0"/>
        </w:rPr>
        <w:fldChar w:fldCharType="end"/>
      </w:r>
    </w:p>
    <w:p w14:paraId="2B2365EE">
      <w:pPr>
        <w:pStyle w:val="2"/>
        <w:topLinePunct/>
        <w:autoSpaceDE/>
        <w:autoSpaceDN/>
        <w:adjustRightInd w:val="0"/>
        <w:snapToGrid w:val="0"/>
        <w:spacing w:before="0" w:after="224" w:afterLines="75" w:line="288" w:lineRule="auto"/>
        <w:ind w:left="0"/>
        <w:jc w:val="both"/>
        <w:rPr>
          <w:rFonts w:ascii="Arial" w:hAnsi="Arial" w:eastAsia="宋体" w:cs="Arial"/>
          <w:snapToGrid w:val="0"/>
          <w:sz w:val="24"/>
          <w:lang w:eastAsia="zh-CN"/>
        </w:rPr>
      </w:pPr>
      <w:r>
        <w:rPr>
          <w:rFonts w:ascii="Arial" w:hAnsi="Arial" w:eastAsia="宋体" w:cs="Arial"/>
          <w:b w:val="0"/>
          <w:snapToGrid w:val="0"/>
          <w:sz w:val="24"/>
          <w:lang w:eastAsia="zh-CN"/>
        </w:rPr>
        <w:fldChar w:fldCharType="end"/>
      </w:r>
    </w:p>
    <w:p w14:paraId="32E02F61">
      <w:pPr>
        <w:pStyle w:val="2"/>
        <w:topLinePunct/>
        <w:autoSpaceDE/>
        <w:autoSpaceDN/>
        <w:adjustRightInd w:val="0"/>
        <w:snapToGrid w:val="0"/>
        <w:spacing w:before="0" w:after="224" w:afterLines="75" w:line="288" w:lineRule="auto"/>
        <w:ind w:left="0"/>
        <w:jc w:val="both"/>
        <w:rPr>
          <w:rFonts w:ascii="Arial" w:hAnsi="Arial" w:eastAsia="宋体" w:cs="Arial"/>
          <w:snapToGrid w:val="0"/>
          <w:sz w:val="24"/>
          <w:lang w:eastAsia="zh-CN"/>
        </w:rPr>
      </w:pPr>
    </w:p>
    <w:p w14:paraId="6612B294">
      <w:pPr>
        <w:pStyle w:val="2"/>
        <w:topLinePunct/>
        <w:autoSpaceDE/>
        <w:autoSpaceDN/>
        <w:adjustRightInd w:val="0"/>
        <w:snapToGrid w:val="0"/>
        <w:spacing w:before="0" w:after="224" w:afterLines="75" w:line="288" w:lineRule="auto"/>
        <w:ind w:left="0"/>
        <w:jc w:val="both"/>
        <w:rPr>
          <w:rFonts w:ascii="Arial" w:hAnsi="Arial" w:eastAsia="宋体" w:cs="Arial"/>
          <w:snapToGrid w:val="0"/>
          <w:sz w:val="24"/>
        </w:rPr>
        <w:sectPr>
          <w:headerReference r:id="rId5" w:type="default"/>
          <w:pgSz w:w="11906" w:h="16838"/>
          <w:pgMar w:top="1134" w:right="1440" w:bottom="1134" w:left="1440" w:header="720" w:footer="720" w:gutter="0"/>
          <w:cols w:space="720" w:num="1"/>
          <w:docGrid w:type="lines" w:linePitch="299" w:charSpace="0"/>
        </w:sectPr>
      </w:pPr>
    </w:p>
    <w:p w14:paraId="7A67B57E">
      <w:pPr>
        <w:pStyle w:val="2"/>
        <w:pBdr>
          <w:bottom w:val="single" w:color="auto" w:sz="4" w:space="1"/>
        </w:pBdr>
        <w:topLinePunct/>
        <w:autoSpaceDE/>
        <w:autoSpaceDN/>
        <w:adjustRightInd w:val="0"/>
        <w:snapToGrid w:val="0"/>
        <w:spacing w:before="0" w:after="224" w:afterLines="75" w:line="288" w:lineRule="auto"/>
        <w:ind w:left="0"/>
        <w:rPr>
          <w:rFonts w:ascii="Arial" w:hAnsi="Arial" w:eastAsia="宋体" w:cs="Arial"/>
          <w:b w:val="0"/>
          <w:snapToGrid w:val="0"/>
          <w:sz w:val="44"/>
        </w:rPr>
      </w:pPr>
      <w:bookmarkStart w:id="4" w:name="Introduction"/>
      <w:bookmarkEnd w:id="4"/>
      <w:bookmarkStart w:id="5" w:name="Background"/>
      <w:bookmarkEnd w:id="5"/>
      <w:bookmarkStart w:id="6" w:name="_Toc499129117"/>
      <w:r>
        <w:rPr>
          <w:rFonts w:hint="eastAsia" w:ascii="Arial" w:hAnsi="Arial" w:eastAsia="宋体" w:cs="Arial"/>
          <w:snapToGrid w:val="0"/>
          <w:sz w:val="44"/>
          <w:lang w:eastAsia="zh-CN"/>
        </w:rPr>
        <w:t>血液透析用植入式血液通路器械</w:t>
      </w:r>
      <w:bookmarkEnd w:id="6"/>
    </w:p>
    <w:p w14:paraId="68BB29F8">
      <w:pPr>
        <w:topLinePunct/>
        <w:autoSpaceDE/>
        <w:autoSpaceDN/>
        <w:adjustRightInd w:val="0"/>
        <w:snapToGrid w:val="0"/>
        <w:spacing w:after="224" w:afterLines="75" w:line="288" w:lineRule="auto"/>
        <w:jc w:val="center"/>
        <w:rPr>
          <w:rFonts w:ascii="Arial" w:hAnsi="Arial" w:eastAsia="宋体" w:cs="Arial"/>
          <w:b/>
          <w:snapToGrid w:val="0"/>
          <w:sz w:val="44"/>
          <w:lang w:eastAsia="zh-CN"/>
        </w:rPr>
      </w:pPr>
      <w:r>
        <w:rPr>
          <w:rFonts w:hint="eastAsia" w:ascii="Arial" w:hAnsi="Arial" w:eastAsia="宋体" w:cs="Arial"/>
          <w:b/>
          <w:snapToGrid w:val="0"/>
          <w:sz w:val="44"/>
          <w:lang w:eastAsia="zh-CN"/>
        </w:rPr>
        <w:t>行业及食品药品监督管理局工作人员指南</w:t>
      </w:r>
    </w:p>
    <w:p w14:paraId="2318307D">
      <w:pPr>
        <w:pStyle w:val="7"/>
        <w:topLinePunct/>
        <w:autoSpaceDE/>
        <w:autoSpaceDN/>
        <w:adjustRightInd w:val="0"/>
        <w:snapToGrid w:val="0"/>
        <w:spacing w:after="224" w:afterLines="75" w:line="288" w:lineRule="auto"/>
        <w:jc w:val="both"/>
        <w:rPr>
          <w:rFonts w:ascii="Arial" w:hAnsi="Arial" w:eastAsia="宋体" w:cs="Arial"/>
          <w:b/>
          <w:snapToGrid w:val="0"/>
          <w:lang w:eastAsia="zh-CN"/>
        </w:rPr>
      </w:pPr>
    </w:p>
    <w:p w14:paraId="3EA636E7">
      <w:pPr>
        <w:pStyle w:val="7"/>
        <w:pBdr>
          <w:top w:val="thinThickSmallGap" w:color="auto" w:sz="24" w:space="1"/>
          <w:left w:val="thinThickSmallGap" w:color="auto" w:sz="24" w:space="4"/>
          <w:bottom w:val="thickThinSmallGap" w:color="auto" w:sz="24" w:space="1"/>
          <w:right w:val="thickThinSmallGap" w:color="auto" w:sz="24" w:space="4"/>
        </w:pBdr>
        <w:topLinePunct/>
        <w:autoSpaceDE/>
        <w:autoSpaceDN/>
        <w:adjustRightInd w:val="0"/>
        <w:snapToGrid w:val="0"/>
        <w:spacing w:after="224" w:afterLines="75" w:line="288" w:lineRule="auto"/>
        <w:jc w:val="both"/>
        <w:rPr>
          <w:rFonts w:ascii="Arial" w:hAnsi="Arial" w:eastAsia="宋体" w:cs="Arial"/>
          <w:b/>
          <w:i/>
          <w:snapToGrid w:val="0"/>
          <w:lang w:eastAsia="zh-CN"/>
        </w:rPr>
      </w:pPr>
      <w:r>
        <w:rPr>
          <w:rFonts w:hint="eastAsia" w:ascii="Arial" w:hAnsi="Arial" w:eastAsia="宋体" w:cs="Arial"/>
          <w:b/>
          <w:i/>
          <w:snapToGrid w:val="0"/>
          <w:lang w:eastAsia="zh-CN"/>
        </w:rPr>
        <w:t>本指南代表食品药品监督管理局（</w:t>
      </w:r>
      <w:r>
        <w:rPr>
          <w:rFonts w:ascii="Arial" w:hAnsi="Arial" w:eastAsia="宋体" w:cs="Arial"/>
          <w:b/>
          <w:i/>
          <w:snapToGrid w:val="0"/>
          <w:lang w:eastAsia="zh-CN"/>
        </w:rPr>
        <w:t>FDA</w:t>
      </w:r>
      <w:r>
        <w:rPr>
          <w:rFonts w:hint="eastAsia" w:ascii="Arial" w:hAnsi="Arial" w:eastAsia="宋体" w:cs="Arial"/>
          <w:b/>
          <w:i/>
          <w:snapToGrid w:val="0"/>
          <w:lang w:eastAsia="zh-CN"/>
        </w:rPr>
        <w:t>或管理局）目前关于该主题的思考。其不会为任何人创造或赋予任何权利，也不会对</w:t>
      </w:r>
      <w:r>
        <w:rPr>
          <w:rFonts w:ascii="Arial" w:hAnsi="Arial" w:eastAsia="宋体" w:cs="Arial"/>
          <w:b/>
          <w:i/>
          <w:snapToGrid w:val="0"/>
          <w:lang w:eastAsia="zh-CN"/>
        </w:rPr>
        <w:t>FDA</w:t>
      </w:r>
      <w:r>
        <w:rPr>
          <w:rFonts w:hint="eastAsia" w:ascii="Arial" w:hAnsi="Arial" w:eastAsia="宋体" w:cs="Arial"/>
          <w:b/>
          <w:i/>
          <w:snapToGrid w:val="0"/>
          <w:lang w:eastAsia="zh-CN"/>
        </w:rPr>
        <w:t>或公众产生约束。如果替代方法满足适用的法律法规的要求，则可以使用该方法。如果您想讨论另一种方法，请联系本指南标题页上列出的负责本指南的FDA人员。</w:t>
      </w:r>
    </w:p>
    <w:p w14:paraId="41A7FE58">
      <w:pPr>
        <w:pStyle w:val="7"/>
        <w:topLinePunct/>
        <w:autoSpaceDE/>
        <w:autoSpaceDN/>
        <w:adjustRightInd w:val="0"/>
        <w:snapToGrid w:val="0"/>
        <w:spacing w:after="224" w:afterLines="75" w:line="288" w:lineRule="auto"/>
        <w:jc w:val="both"/>
        <w:rPr>
          <w:rFonts w:ascii="Arial" w:hAnsi="Arial" w:eastAsia="宋体" w:cs="Arial"/>
          <w:b/>
          <w:snapToGrid w:val="0"/>
          <w:lang w:eastAsia="zh-CN"/>
        </w:rPr>
      </w:pPr>
    </w:p>
    <w:p w14:paraId="335AAD5C">
      <w:pPr>
        <w:pStyle w:val="3"/>
        <w:numPr>
          <w:ilvl w:val="0"/>
          <w:numId w:val="1"/>
        </w:numPr>
        <w:tabs>
          <w:tab w:val="left" w:pos="959"/>
          <w:tab w:val="left" w:pos="960"/>
        </w:tabs>
        <w:topLinePunct/>
        <w:autoSpaceDE/>
        <w:autoSpaceDN/>
        <w:adjustRightInd w:val="0"/>
        <w:snapToGrid w:val="0"/>
        <w:spacing w:after="224" w:afterLines="75" w:line="288" w:lineRule="auto"/>
        <w:ind w:left="0" w:firstLine="0"/>
        <w:jc w:val="both"/>
        <w:rPr>
          <w:rFonts w:ascii="Arial" w:hAnsi="Arial" w:eastAsia="宋体" w:cs="Arial"/>
          <w:snapToGrid w:val="0"/>
          <w:sz w:val="32"/>
          <w:szCs w:val="32"/>
        </w:rPr>
      </w:pPr>
      <w:bookmarkStart w:id="7" w:name="_bookmark0"/>
      <w:bookmarkEnd w:id="7"/>
      <w:bookmarkStart w:id="8" w:name="_Toc499129118"/>
      <w:r>
        <w:rPr>
          <w:rFonts w:hint="eastAsia" w:ascii="Arial" w:hAnsi="Arial" w:eastAsia="宋体" w:cs="Arial"/>
          <w:snapToGrid w:val="0"/>
          <w:sz w:val="32"/>
          <w:szCs w:val="32"/>
          <w:lang w:eastAsia="zh-CN"/>
        </w:rPr>
        <w:t>引言</w:t>
      </w:r>
      <w:bookmarkEnd w:id="8"/>
    </w:p>
    <w:p w14:paraId="72937EF6">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r>
        <w:rPr>
          <w:rFonts w:hint="eastAsia" w:ascii="Arial" w:hAnsi="Arial" w:eastAsia="宋体" w:cs="Arial"/>
          <w:snapToGrid w:val="0"/>
          <w:lang w:eastAsia="zh-CN"/>
        </w:rPr>
        <w:t>本指导性文件提供了关于遵循作为血液透析用植入式血液通路器械被重新分为II类的一部分颁布的特殊控制（特殊控制）的建议</w:t>
      </w:r>
      <w:r>
        <w:rPr>
          <w:rFonts w:ascii="Arial" w:hAnsi="Arial" w:eastAsia="宋体" w:cs="Arial"/>
          <w:snapToGrid w:val="0"/>
          <w:lang w:eastAsia="zh-CN"/>
        </w:rPr>
        <w:t>。</w:t>
      </w:r>
      <w:r>
        <w:fldChar w:fldCharType="begin"/>
      </w:r>
      <w:r>
        <w:instrText xml:space="preserve"> HYPERLINK \l "_bookmark2" </w:instrText>
      </w:r>
      <w:r>
        <w:fldChar w:fldCharType="separate"/>
      </w:r>
      <w:r>
        <w:rPr>
          <w:rStyle w:val="20"/>
          <w:rFonts w:ascii="Arial" w:hAnsi="Arial" w:cs="Arial"/>
        </w:rPr>
        <w:footnoteReference w:id="0"/>
      </w:r>
      <w:r>
        <w:rPr>
          <w:rFonts w:ascii="Arial" w:hAnsi="Arial" w:eastAsia="宋体" w:cs="Arial"/>
          <w:snapToGrid w:val="0"/>
          <w:lang w:eastAsia="zh-CN"/>
        </w:rPr>
        <w:t xml:space="preserve"> </w:t>
      </w:r>
      <w:r>
        <w:rPr>
          <w:rFonts w:ascii="Arial" w:hAnsi="Arial" w:eastAsia="宋体" w:cs="Arial"/>
          <w:snapToGrid w:val="0"/>
          <w:lang w:eastAsia="zh-CN"/>
        </w:rPr>
        <w:fldChar w:fldCharType="end"/>
      </w:r>
      <w:r>
        <w:rPr>
          <w:rFonts w:hint="eastAsia" w:ascii="Arial" w:hAnsi="Arial" w:eastAsia="宋体" w:cs="Arial"/>
          <w:snapToGrid w:val="0"/>
          <w:lang w:eastAsia="zh-CN"/>
        </w:rPr>
        <w:t>这些器械预期为患者提供血液透析通路。</w:t>
      </w:r>
    </w:p>
    <w:p w14:paraId="363738F9">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r>
        <w:rPr>
          <w:rFonts w:hint="eastAsia" w:ascii="Arial" w:hAnsi="Arial" w:eastAsia="宋体" w:cs="Arial"/>
          <w:snapToGrid w:val="0"/>
          <w:lang w:eastAsia="zh-CN"/>
        </w:rPr>
        <w:t>FDA的指导性文件（包括本指南）不确定强制性法律责任。相反，指南描述了管理局目前关于该主题的思考，除非引用了特定法规或法令要求，否则应仅视作建议。管理局指南中使用</w:t>
      </w:r>
      <w:r>
        <w:rPr>
          <w:rFonts w:hint="eastAsia" w:ascii="宋体" w:hAnsi="宋体" w:eastAsia="宋体" w:cs="Arial"/>
          <w:i/>
          <w:snapToGrid w:val="0"/>
          <w:lang w:eastAsia="zh-CN"/>
        </w:rPr>
        <w:t>“</w:t>
      </w:r>
      <w:r>
        <w:rPr>
          <w:rFonts w:hint="eastAsia" w:ascii="Arial" w:hAnsi="Arial" w:eastAsia="宋体" w:cs="Arial"/>
          <w:i/>
          <w:snapToGrid w:val="0"/>
          <w:lang w:eastAsia="zh-CN"/>
        </w:rPr>
        <w:t>应当</w:t>
      </w:r>
      <w:r>
        <w:rPr>
          <w:rFonts w:hint="eastAsia" w:ascii="宋体" w:hAnsi="宋体" w:eastAsia="宋体" w:cs="Arial"/>
          <w:i/>
          <w:snapToGrid w:val="0"/>
          <w:lang w:eastAsia="zh-CN"/>
        </w:rPr>
        <w:t>”</w:t>
      </w:r>
      <w:r>
        <w:rPr>
          <w:rFonts w:hint="eastAsia" w:ascii="Arial" w:hAnsi="Arial" w:eastAsia="宋体" w:cs="Arial"/>
          <w:snapToGrid w:val="0"/>
          <w:lang w:eastAsia="zh-CN"/>
        </w:rPr>
        <w:t>一词意味着推荐或建议，并非要求。</w:t>
      </w:r>
    </w:p>
    <w:p w14:paraId="22908107">
      <w:pPr>
        <w:pStyle w:val="3"/>
        <w:numPr>
          <w:ilvl w:val="0"/>
          <w:numId w:val="1"/>
        </w:numPr>
        <w:tabs>
          <w:tab w:val="left" w:pos="959"/>
          <w:tab w:val="left" w:pos="960"/>
        </w:tabs>
        <w:topLinePunct/>
        <w:autoSpaceDE/>
        <w:autoSpaceDN/>
        <w:adjustRightInd w:val="0"/>
        <w:snapToGrid w:val="0"/>
        <w:spacing w:after="224" w:afterLines="75" w:line="288" w:lineRule="auto"/>
        <w:ind w:left="0" w:firstLine="0"/>
        <w:jc w:val="both"/>
        <w:rPr>
          <w:rFonts w:ascii="Arial" w:hAnsi="Arial" w:eastAsia="宋体" w:cs="Arial"/>
          <w:snapToGrid w:val="0"/>
          <w:sz w:val="32"/>
          <w:szCs w:val="32"/>
        </w:rPr>
      </w:pPr>
      <w:bookmarkStart w:id="9" w:name="_bookmark1"/>
      <w:bookmarkEnd w:id="9"/>
      <w:bookmarkStart w:id="10" w:name="_Toc499129119"/>
      <w:r>
        <w:rPr>
          <w:rFonts w:hint="eastAsia" w:ascii="Arial" w:hAnsi="Arial" w:eastAsia="宋体" w:cs="Arial"/>
          <w:snapToGrid w:val="0"/>
          <w:sz w:val="32"/>
          <w:szCs w:val="32"/>
          <w:lang w:eastAsia="zh-CN"/>
        </w:rPr>
        <w:t>背景</w:t>
      </w:r>
      <w:bookmarkEnd w:id="10"/>
    </w:p>
    <w:p w14:paraId="56C2B068">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r>
        <w:rPr>
          <w:rFonts w:hint="eastAsia" w:ascii="Arial" w:hAnsi="Arial" w:eastAsia="宋体" w:cs="Arial"/>
          <w:snapToGrid w:val="0"/>
          <w:lang w:eastAsia="zh-CN"/>
        </w:rPr>
        <w:t>FDA已颁布将修订前为III类器械的血液透析用植入式血液通路器械重新归为II类器械（特殊控制）且受上市前通知的约束的最终裁定。FDA根据关于该器械的新信息依照联邦食品、药品与化妆品法案（FD&amp;C法案）最终确定重新分类。本指导性文件旨在提供关于如何遵守</w:t>
      </w:r>
      <w:r>
        <w:rPr>
          <w:rFonts w:ascii="Arial" w:hAnsi="Arial" w:eastAsia="宋体" w:cs="Arial"/>
          <w:snapToGrid w:val="0"/>
          <w:lang w:eastAsia="zh-CN"/>
        </w:rPr>
        <w:t>21 CFR 876.5540 (b</w:t>
      </w:r>
      <w:r>
        <w:rPr>
          <w:rFonts w:hint="eastAsia" w:ascii="Arial" w:hAnsi="Arial" w:eastAsia="宋体" w:cs="Arial"/>
          <w:snapToGrid w:val="0"/>
          <w:lang w:eastAsia="zh-CN"/>
        </w:rPr>
        <w:t>)（</w:t>
      </w:r>
      <w:r>
        <w:rPr>
          <w:rFonts w:ascii="Arial" w:hAnsi="Arial" w:eastAsia="宋体" w:cs="Arial"/>
          <w:snapToGrid w:val="0"/>
          <w:lang w:eastAsia="zh-CN"/>
        </w:rPr>
        <w:t>1</w:t>
      </w:r>
      <w:r>
        <w:rPr>
          <w:rFonts w:hint="eastAsia" w:ascii="Arial" w:hAnsi="Arial" w:eastAsia="宋体" w:cs="Arial"/>
          <w:snapToGrid w:val="0"/>
          <w:lang w:eastAsia="zh-CN"/>
        </w:rPr>
        <w:t>）中规定的特殊控制的建议，并注明建议在510（k）中提供的提交给FDA的信息，以证实已满足特殊控制。指南中全文以</w:t>
      </w:r>
      <w:r>
        <w:rPr>
          <w:rFonts w:hint="eastAsia" w:ascii="宋体" w:hAnsi="宋体" w:eastAsia="宋体" w:cs="Arial"/>
          <w:i/>
          <w:snapToGrid w:val="0"/>
          <w:lang w:eastAsia="zh-CN"/>
        </w:rPr>
        <w:t>“</w:t>
      </w:r>
      <w:r>
        <w:rPr>
          <w:rFonts w:hint="eastAsia" w:ascii="Arial" w:hAnsi="Arial" w:eastAsia="宋体" w:cs="Arial"/>
          <w:i/>
          <w:snapToGrid w:val="0"/>
          <w:lang w:eastAsia="zh-CN"/>
        </w:rPr>
        <w:t>斜体字</w:t>
      </w:r>
      <w:r>
        <w:rPr>
          <w:rFonts w:hint="eastAsia" w:ascii="宋体" w:hAnsi="宋体" w:eastAsia="宋体" w:cs="Arial"/>
          <w:i/>
          <w:snapToGrid w:val="0"/>
          <w:lang w:eastAsia="zh-CN"/>
        </w:rPr>
        <w:t>”</w:t>
      </w:r>
      <w:r>
        <w:rPr>
          <w:rFonts w:hint="eastAsia" w:ascii="Arial" w:hAnsi="Arial" w:eastAsia="宋体" w:cs="Arial"/>
          <w:snapToGrid w:val="0"/>
          <w:lang w:eastAsia="zh-CN"/>
        </w:rPr>
        <w:t>注明特殊控制的要求。</w:t>
      </w:r>
    </w:p>
    <w:p w14:paraId="54C5C9A1">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bookmarkStart w:id="11" w:name="_bookmark2"/>
      <w:bookmarkEnd w:id="11"/>
      <w:r>
        <w:rPr>
          <w:rFonts w:ascii="Arial" w:hAnsi="Arial" w:eastAsia="宋体" w:cs="Arial"/>
          <w:snapToGrid w:val="0"/>
          <w:lang w:eastAsia="zh-CN"/>
        </w:rPr>
        <w:br w:type="page"/>
      </w:r>
    </w:p>
    <w:p w14:paraId="71C23031">
      <w:pPr>
        <w:pStyle w:val="7"/>
        <w:topLinePunct/>
        <w:autoSpaceDE/>
        <w:autoSpaceDN/>
        <w:adjustRightInd w:val="0"/>
        <w:snapToGrid w:val="0"/>
        <w:spacing w:after="224" w:afterLines="75" w:line="288" w:lineRule="auto"/>
        <w:rPr>
          <w:rFonts w:ascii="Arial" w:hAnsi="Arial" w:eastAsia="宋体" w:cs="Arial"/>
          <w:snapToGrid w:val="0"/>
          <w:lang w:eastAsia="zh-CN"/>
        </w:rPr>
      </w:pPr>
      <w:bookmarkStart w:id="12" w:name="Scope"/>
      <w:bookmarkEnd w:id="12"/>
      <w:bookmarkStart w:id="13" w:name="510(k)_Submission_Recommendations"/>
      <w:bookmarkEnd w:id="13"/>
      <w:bookmarkStart w:id="14" w:name="Device_Description"/>
      <w:bookmarkEnd w:id="14"/>
      <w:r>
        <w:rPr>
          <w:rFonts w:hint="eastAsia" w:ascii="Arial" w:hAnsi="Arial" w:eastAsia="宋体" w:cs="Arial"/>
          <w:snapToGrid w:val="0"/>
          <w:lang w:eastAsia="zh-CN"/>
        </w:rPr>
        <w:t>该文件补充了其他关于上市前通知【</w:t>
      </w:r>
      <w:r>
        <w:rPr>
          <w:rFonts w:ascii="Arial" w:hAnsi="Arial" w:eastAsia="宋体" w:cs="Arial"/>
          <w:snapToGrid w:val="0"/>
          <w:lang w:eastAsia="zh-CN"/>
        </w:rPr>
        <w:t>510</w:t>
      </w:r>
      <w:r>
        <w:rPr>
          <w:rFonts w:hint="eastAsia" w:ascii="Arial" w:hAnsi="Arial" w:eastAsia="宋体" w:cs="Arial"/>
          <w:snapToGrid w:val="0"/>
          <w:lang w:eastAsia="zh-CN"/>
        </w:rPr>
        <w:t>（</w:t>
      </w:r>
      <w:r>
        <w:rPr>
          <w:rFonts w:ascii="Arial" w:hAnsi="Arial" w:eastAsia="宋体" w:cs="Arial"/>
          <w:snapToGrid w:val="0"/>
          <w:lang w:eastAsia="zh-CN"/>
        </w:rPr>
        <w:t>k</w:t>
      </w:r>
      <w:r>
        <w:rPr>
          <w:rFonts w:hint="eastAsia" w:ascii="Arial" w:hAnsi="Arial" w:eastAsia="宋体" w:cs="Arial"/>
          <w:snapToGrid w:val="0"/>
          <w:lang w:eastAsia="zh-CN"/>
        </w:rPr>
        <w:t>）】申请特定内容要求的FDA文件。您还应参照</w:t>
      </w:r>
      <w:r>
        <w:rPr>
          <w:rFonts w:ascii="Arial" w:hAnsi="Arial" w:eastAsia="宋体" w:cs="Arial"/>
          <w:snapToGrid w:val="0"/>
          <w:lang w:eastAsia="zh-CN"/>
        </w:rPr>
        <w:t>21 CFR 807.87</w:t>
      </w:r>
      <w:r>
        <w:rPr>
          <w:rFonts w:hint="eastAsia" w:ascii="Arial" w:hAnsi="Arial" w:eastAsia="宋体" w:cs="Arial"/>
          <w:snapToGrid w:val="0"/>
          <w:lang w:eastAsia="zh-CN"/>
        </w:rPr>
        <w:t>与FDA指南</w:t>
      </w:r>
      <w:r>
        <w:rPr>
          <w:rFonts w:hint="eastAsia" w:ascii="宋体" w:hAnsi="宋体" w:eastAsia="宋体" w:cs="Arial"/>
          <w:snapToGrid w:val="0"/>
          <w:lang w:eastAsia="zh-CN"/>
        </w:rPr>
        <w:t>“</w:t>
      </w:r>
      <w:r>
        <w:rPr>
          <w:rFonts w:hint="eastAsia" w:ascii="Arial" w:hAnsi="Arial" w:eastAsia="宋体" w:cs="Arial"/>
          <w:snapToGrid w:val="0"/>
          <w:lang w:eastAsia="zh-CN"/>
        </w:rPr>
        <w:t>传统与节略的510（k）格式</w:t>
      </w:r>
      <w:r>
        <w:rPr>
          <w:rFonts w:hint="eastAsia" w:ascii="宋体" w:hAnsi="宋体" w:eastAsia="宋体" w:cs="Arial"/>
          <w:snapToGrid w:val="0"/>
          <w:lang w:eastAsia="zh-CN"/>
        </w:rPr>
        <w:t>”</w:t>
      </w:r>
      <w:r>
        <w:rPr>
          <w:rFonts w:hint="eastAsia" w:ascii="Arial" w:hAnsi="Arial" w:eastAsia="宋体" w:cs="Arial"/>
          <w:snapToGrid w:val="0"/>
          <w:lang w:eastAsia="zh-CN"/>
        </w:rPr>
        <w:t>（</w:t>
      </w:r>
      <w:r>
        <w:fldChar w:fldCharType="begin"/>
      </w:r>
      <w:r>
        <w:instrText xml:space="preserve"> HYPERLINK "http://www.fda.gov/MedicalDevices/DeviceRegulationandGuidance/GuidanceDocuments/ucm084365.htm" \h </w:instrText>
      </w:r>
      <w:r>
        <w:fldChar w:fldCharType="separate"/>
      </w:r>
      <w:r>
        <w:rPr>
          <w:rFonts w:ascii="Arial" w:hAnsi="Arial" w:eastAsia="宋体" w:cs="Arial"/>
          <w:snapToGrid w:val="0"/>
          <w:color w:val="0000FF"/>
          <w:u w:val="single" w:color="0000FF"/>
          <w:lang w:eastAsia="zh-CN"/>
        </w:rPr>
        <w:t>http</w:t>
      </w:r>
      <w:r>
        <w:rPr>
          <w:rFonts w:hint="eastAsia" w:ascii="Arial" w:hAnsi="Arial" w:eastAsia="宋体" w:cs="Arial"/>
          <w:snapToGrid w:val="0"/>
          <w:color w:val="0000FF"/>
          <w:u w:val="single" w:color="0000FF"/>
          <w:lang w:eastAsia="zh-CN"/>
        </w:rPr>
        <w:t>://</w:t>
      </w:r>
      <w:r>
        <w:rPr>
          <w:rFonts w:ascii="Arial" w:hAnsi="Arial" w:eastAsia="宋体" w:cs="Arial"/>
          <w:snapToGrid w:val="0"/>
          <w:color w:val="0000FF"/>
          <w:u w:val="single" w:color="0000FF"/>
          <w:lang w:eastAsia="zh-CN"/>
        </w:rPr>
        <w:t>www.fda.gov/MedicalDevices/DeviceRegulationandGuidance/GuidanceDocuments/ucm</w:t>
      </w:r>
      <w:r>
        <w:rPr>
          <w:rFonts w:ascii="Arial" w:hAnsi="Arial" w:eastAsia="宋体" w:cs="Arial"/>
          <w:snapToGrid w:val="0"/>
          <w:color w:val="0000FF"/>
          <w:u w:val="single" w:color="0000FF"/>
          <w:lang w:eastAsia="zh-CN"/>
        </w:rPr>
        <w:fldChar w:fldCharType="end"/>
      </w:r>
      <w:r>
        <w:rPr>
          <w:rFonts w:ascii="Arial" w:hAnsi="Arial" w:eastAsia="宋体" w:cs="Arial"/>
          <w:snapToGrid w:val="0"/>
          <w:color w:val="0000FF"/>
          <w:u w:val="single" w:color="0000FF"/>
          <w:lang w:eastAsia="zh-CN"/>
        </w:rPr>
        <w:t>0</w:t>
      </w:r>
      <w:r>
        <w:rPr>
          <w:rFonts w:ascii="Arial" w:hAnsi="Arial" w:eastAsia="宋体" w:cs="Arial"/>
          <w:snapToGrid w:val="0"/>
          <w:color w:val="0000FF"/>
          <w:lang w:eastAsia="zh-CN"/>
        </w:rPr>
        <w:t xml:space="preserve"> </w:t>
      </w:r>
      <w:r>
        <w:fldChar w:fldCharType="begin"/>
      </w:r>
      <w:r>
        <w:instrText xml:space="preserve"> HYPERLINK "http://www.fda.gov/MedicalDevices/DeviceRegulationandGuidance/GuidanceDocuments/ucm084365.htm" \h </w:instrText>
      </w:r>
      <w:r>
        <w:fldChar w:fldCharType="separate"/>
      </w:r>
      <w:r>
        <w:rPr>
          <w:rFonts w:ascii="Arial" w:hAnsi="Arial" w:eastAsia="宋体" w:cs="Arial"/>
          <w:snapToGrid w:val="0"/>
          <w:color w:val="0000FF"/>
          <w:u w:val="single" w:color="0000FF"/>
          <w:lang w:eastAsia="zh-CN"/>
        </w:rPr>
        <w:t>84365.htm</w:t>
      </w:r>
      <w:r>
        <w:rPr>
          <w:rFonts w:hint="eastAsia" w:ascii="Arial" w:hAnsi="Arial" w:eastAsia="宋体" w:cs="Arial"/>
          <w:snapToGrid w:val="0"/>
          <w:lang w:eastAsia="zh-CN"/>
        </w:rPr>
        <w:t>）。</w:t>
      </w:r>
      <w:r>
        <w:rPr>
          <w:rFonts w:hint="eastAsia" w:ascii="Arial" w:hAnsi="Arial" w:eastAsia="宋体" w:cs="Arial"/>
          <w:snapToGrid w:val="0"/>
          <w:lang w:eastAsia="zh-CN"/>
        </w:rPr>
        <w:fldChar w:fldCharType="end"/>
      </w:r>
    </w:p>
    <w:p w14:paraId="438432B6">
      <w:pPr>
        <w:pStyle w:val="3"/>
        <w:numPr>
          <w:ilvl w:val="0"/>
          <w:numId w:val="1"/>
        </w:numPr>
        <w:tabs>
          <w:tab w:val="left" w:pos="959"/>
          <w:tab w:val="left" w:pos="960"/>
        </w:tabs>
        <w:topLinePunct/>
        <w:autoSpaceDE/>
        <w:autoSpaceDN/>
        <w:adjustRightInd w:val="0"/>
        <w:snapToGrid w:val="0"/>
        <w:spacing w:after="224" w:afterLines="75" w:line="288" w:lineRule="auto"/>
        <w:ind w:left="0" w:firstLine="0"/>
        <w:jc w:val="both"/>
        <w:rPr>
          <w:rFonts w:ascii="Arial" w:hAnsi="Arial" w:eastAsia="宋体" w:cs="Arial"/>
          <w:snapToGrid w:val="0"/>
          <w:sz w:val="32"/>
          <w:szCs w:val="32"/>
        </w:rPr>
      </w:pPr>
      <w:bookmarkStart w:id="15" w:name="_bookmark3"/>
      <w:bookmarkEnd w:id="15"/>
      <w:bookmarkStart w:id="16" w:name="_Toc499129120"/>
      <w:r>
        <w:rPr>
          <w:rFonts w:hint="eastAsia" w:ascii="Arial" w:hAnsi="Arial" w:eastAsia="宋体" w:cs="Arial"/>
          <w:snapToGrid w:val="0"/>
          <w:sz w:val="32"/>
          <w:szCs w:val="32"/>
          <w:lang w:eastAsia="zh-CN"/>
        </w:rPr>
        <w:t>范围</w:t>
      </w:r>
      <w:bookmarkEnd w:id="16"/>
    </w:p>
    <w:p w14:paraId="0CC3D343">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r>
        <w:rPr>
          <w:rFonts w:hint="eastAsia" w:ascii="Arial" w:hAnsi="Arial" w:eastAsia="宋体" w:cs="Arial"/>
          <w:snapToGrid w:val="0"/>
          <w:lang w:eastAsia="zh-CN"/>
        </w:rPr>
        <w:t>本文件范围局限于受</w:t>
      </w:r>
      <w:r>
        <w:rPr>
          <w:rFonts w:ascii="Arial" w:hAnsi="Arial" w:eastAsia="宋体" w:cs="Arial"/>
          <w:snapToGrid w:val="0"/>
          <w:lang w:eastAsia="zh-CN"/>
        </w:rPr>
        <w:t>21 CFR § 876.5540 (a</w:t>
      </w:r>
      <w:r>
        <w:rPr>
          <w:rFonts w:hint="eastAsia" w:ascii="Arial" w:hAnsi="Arial" w:eastAsia="宋体" w:cs="Arial"/>
          <w:snapToGrid w:val="0"/>
          <w:lang w:eastAsia="zh-CN"/>
        </w:rPr>
        <w:t>)（</w:t>
      </w:r>
      <w:r>
        <w:rPr>
          <w:rFonts w:ascii="Arial" w:hAnsi="Arial" w:eastAsia="宋体" w:cs="Arial"/>
          <w:snapToGrid w:val="0"/>
          <w:lang w:eastAsia="zh-CN"/>
        </w:rPr>
        <w:t>1</w:t>
      </w:r>
      <w:r>
        <w:rPr>
          <w:rFonts w:hint="eastAsia" w:ascii="Arial" w:hAnsi="Arial" w:eastAsia="宋体" w:cs="Arial"/>
          <w:snapToGrid w:val="0"/>
          <w:lang w:eastAsia="zh-CN"/>
        </w:rPr>
        <w:t>）监管的血液透析用植入式血液通路器械，产品代码在下表中列出：</w:t>
      </w:r>
    </w:p>
    <w:tbl>
      <w:tblPr>
        <w:tblStyle w:val="17"/>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5008"/>
      </w:tblGrid>
      <w:tr w14:paraId="6F344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985" w:type="dxa"/>
          </w:tcPr>
          <w:p w14:paraId="2986F3DF">
            <w:pPr>
              <w:pStyle w:val="23"/>
              <w:topLinePunct/>
              <w:autoSpaceDE/>
              <w:autoSpaceDN/>
              <w:adjustRightInd w:val="0"/>
              <w:snapToGrid w:val="0"/>
              <w:spacing w:before="44" w:beforeLines="15" w:after="44" w:afterLines="15" w:line="320" w:lineRule="exact"/>
              <w:ind w:left="0"/>
              <w:jc w:val="both"/>
              <w:rPr>
                <w:rFonts w:ascii="Arial" w:hAnsi="Arial" w:eastAsia="宋体" w:cs="Arial"/>
                <w:b/>
                <w:snapToGrid w:val="0"/>
                <w:sz w:val="21"/>
              </w:rPr>
            </w:pPr>
            <w:r>
              <w:rPr>
                <w:rFonts w:hint="eastAsia" w:ascii="Arial" w:hAnsi="Arial" w:eastAsia="宋体" w:cs="Arial"/>
                <w:b/>
                <w:snapToGrid w:val="0"/>
                <w:sz w:val="21"/>
                <w:lang w:eastAsia="zh-CN"/>
              </w:rPr>
              <w:t>产品代码</w:t>
            </w:r>
          </w:p>
        </w:tc>
        <w:tc>
          <w:tcPr>
            <w:tcW w:w="5008" w:type="dxa"/>
          </w:tcPr>
          <w:p w14:paraId="146EFD43">
            <w:pPr>
              <w:pStyle w:val="23"/>
              <w:topLinePunct/>
              <w:autoSpaceDE/>
              <w:autoSpaceDN/>
              <w:adjustRightInd w:val="0"/>
              <w:snapToGrid w:val="0"/>
              <w:spacing w:before="44" w:beforeLines="15" w:after="44" w:afterLines="15" w:line="320" w:lineRule="exact"/>
              <w:ind w:left="0"/>
              <w:jc w:val="both"/>
              <w:rPr>
                <w:rFonts w:ascii="Arial" w:hAnsi="Arial" w:eastAsia="宋体" w:cs="Arial"/>
                <w:b/>
                <w:snapToGrid w:val="0"/>
                <w:sz w:val="21"/>
              </w:rPr>
            </w:pPr>
            <w:r>
              <w:rPr>
                <w:rFonts w:hint="eastAsia" w:ascii="Arial" w:hAnsi="Arial" w:eastAsia="宋体" w:cs="Arial"/>
                <w:b/>
                <w:snapToGrid w:val="0"/>
                <w:sz w:val="21"/>
                <w:lang w:eastAsia="zh-CN"/>
              </w:rPr>
              <w:t>名称</w:t>
            </w:r>
          </w:p>
        </w:tc>
      </w:tr>
      <w:tr w14:paraId="636F5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1985" w:type="dxa"/>
          </w:tcPr>
          <w:p w14:paraId="415C8827">
            <w:pPr>
              <w:pStyle w:val="23"/>
              <w:topLinePunct/>
              <w:autoSpaceDE/>
              <w:autoSpaceDN/>
              <w:adjustRightInd w:val="0"/>
              <w:snapToGrid w:val="0"/>
              <w:spacing w:before="44" w:beforeLines="15" w:after="44" w:afterLines="15" w:line="320" w:lineRule="exact"/>
              <w:ind w:left="0"/>
              <w:jc w:val="both"/>
              <w:rPr>
                <w:rFonts w:ascii="Arial" w:hAnsi="Arial" w:eastAsia="宋体" w:cs="Arial"/>
                <w:snapToGrid w:val="0"/>
                <w:sz w:val="21"/>
              </w:rPr>
            </w:pPr>
            <w:r>
              <w:rPr>
                <w:rFonts w:ascii="Arial" w:hAnsi="Arial" w:eastAsia="宋体" w:cs="Arial"/>
                <w:snapToGrid w:val="0"/>
                <w:sz w:val="21"/>
              </w:rPr>
              <w:t>FIQ</w:t>
            </w:r>
          </w:p>
          <w:p w14:paraId="04119D86">
            <w:pPr>
              <w:pStyle w:val="23"/>
              <w:topLinePunct/>
              <w:autoSpaceDE/>
              <w:autoSpaceDN/>
              <w:adjustRightInd w:val="0"/>
              <w:snapToGrid w:val="0"/>
              <w:spacing w:before="44" w:beforeLines="15" w:after="44" w:afterLines="15" w:line="320" w:lineRule="exact"/>
              <w:ind w:left="0"/>
              <w:jc w:val="both"/>
              <w:rPr>
                <w:rFonts w:ascii="Arial" w:hAnsi="Arial" w:eastAsia="宋体" w:cs="Arial"/>
                <w:snapToGrid w:val="0"/>
                <w:sz w:val="21"/>
              </w:rPr>
            </w:pPr>
            <w:r>
              <w:rPr>
                <w:rFonts w:ascii="Arial" w:hAnsi="Arial" w:eastAsia="宋体" w:cs="Arial"/>
                <w:snapToGrid w:val="0"/>
                <w:sz w:val="21"/>
              </w:rPr>
              <w:t>FKW</w:t>
            </w:r>
          </w:p>
          <w:p w14:paraId="2353AB32">
            <w:pPr>
              <w:pStyle w:val="23"/>
              <w:topLinePunct/>
              <w:autoSpaceDE/>
              <w:autoSpaceDN/>
              <w:adjustRightInd w:val="0"/>
              <w:snapToGrid w:val="0"/>
              <w:spacing w:before="44" w:beforeLines="15" w:after="44" w:afterLines="15" w:line="320" w:lineRule="exact"/>
              <w:ind w:left="0"/>
              <w:jc w:val="both"/>
              <w:rPr>
                <w:rFonts w:ascii="Arial" w:hAnsi="Arial" w:eastAsia="宋体" w:cs="Arial"/>
                <w:snapToGrid w:val="0"/>
                <w:sz w:val="21"/>
              </w:rPr>
            </w:pPr>
            <w:r>
              <w:rPr>
                <w:rFonts w:ascii="Arial" w:hAnsi="Arial" w:eastAsia="宋体" w:cs="Arial"/>
                <w:snapToGrid w:val="0"/>
                <w:sz w:val="21"/>
              </w:rPr>
              <w:t>LFJ</w:t>
            </w:r>
          </w:p>
          <w:p w14:paraId="1FA28007">
            <w:pPr>
              <w:pStyle w:val="23"/>
              <w:topLinePunct/>
              <w:autoSpaceDE/>
              <w:autoSpaceDN/>
              <w:adjustRightInd w:val="0"/>
              <w:snapToGrid w:val="0"/>
              <w:spacing w:before="44" w:beforeLines="15" w:after="44" w:afterLines="15" w:line="320" w:lineRule="exact"/>
              <w:ind w:left="0"/>
              <w:jc w:val="both"/>
              <w:rPr>
                <w:rFonts w:ascii="Arial" w:hAnsi="Arial" w:eastAsia="宋体" w:cs="Arial"/>
                <w:snapToGrid w:val="0"/>
                <w:sz w:val="21"/>
              </w:rPr>
            </w:pPr>
            <w:r>
              <w:rPr>
                <w:rFonts w:ascii="Arial" w:hAnsi="Arial" w:eastAsia="宋体" w:cs="Arial"/>
                <w:snapToGrid w:val="0"/>
                <w:sz w:val="21"/>
              </w:rPr>
              <w:t>MSD</w:t>
            </w:r>
          </w:p>
          <w:p w14:paraId="35E34BDD">
            <w:pPr>
              <w:pStyle w:val="23"/>
              <w:topLinePunct/>
              <w:autoSpaceDE/>
              <w:autoSpaceDN/>
              <w:adjustRightInd w:val="0"/>
              <w:snapToGrid w:val="0"/>
              <w:spacing w:before="44" w:beforeLines="15" w:after="44" w:afterLines="15" w:line="320" w:lineRule="exact"/>
              <w:ind w:left="0"/>
              <w:jc w:val="both"/>
              <w:rPr>
                <w:rFonts w:ascii="Arial" w:hAnsi="Arial" w:eastAsia="宋体" w:cs="Arial"/>
                <w:snapToGrid w:val="0"/>
                <w:sz w:val="21"/>
              </w:rPr>
            </w:pPr>
            <w:r>
              <w:rPr>
                <w:rFonts w:ascii="Arial" w:hAnsi="Arial" w:eastAsia="宋体" w:cs="Arial"/>
                <w:snapToGrid w:val="0"/>
                <w:sz w:val="21"/>
              </w:rPr>
              <w:t>NYU</w:t>
            </w:r>
          </w:p>
          <w:p w14:paraId="77962EC0">
            <w:pPr>
              <w:pStyle w:val="23"/>
              <w:topLinePunct/>
              <w:autoSpaceDE/>
              <w:autoSpaceDN/>
              <w:adjustRightInd w:val="0"/>
              <w:snapToGrid w:val="0"/>
              <w:spacing w:before="44" w:beforeLines="15" w:after="44" w:afterLines="15" w:line="320" w:lineRule="exact"/>
              <w:ind w:left="0"/>
              <w:jc w:val="both"/>
              <w:rPr>
                <w:rFonts w:ascii="Arial" w:hAnsi="Arial" w:eastAsia="宋体" w:cs="Arial"/>
                <w:snapToGrid w:val="0"/>
                <w:sz w:val="21"/>
              </w:rPr>
            </w:pPr>
            <w:r>
              <w:rPr>
                <w:rFonts w:ascii="Arial" w:hAnsi="Arial" w:eastAsia="宋体" w:cs="Arial"/>
                <w:snapToGrid w:val="0"/>
                <w:sz w:val="21"/>
              </w:rPr>
              <w:t>PKI</w:t>
            </w:r>
          </w:p>
        </w:tc>
        <w:tc>
          <w:tcPr>
            <w:tcW w:w="5008" w:type="dxa"/>
          </w:tcPr>
          <w:p w14:paraId="4AB1C3A3">
            <w:pPr>
              <w:pStyle w:val="23"/>
              <w:topLinePunct/>
              <w:autoSpaceDE/>
              <w:autoSpaceDN/>
              <w:adjustRightInd w:val="0"/>
              <w:snapToGrid w:val="0"/>
              <w:spacing w:before="44" w:beforeLines="15" w:after="44" w:afterLines="15" w:line="320" w:lineRule="exact"/>
              <w:ind w:left="0"/>
              <w:jc w:val="both"/>
              <w:rPr>
                <w:rFonts w:ascii="Arial" w:hAnsi="Arial" w:eastAsia="宋体" w:cs="Arial"/>
                <w:snapToGrid w:val="0"/>
                <w:sz w:val="21"/>
                <w:lang w:eastAsia="zh-CN"/>
              </w:rPr>
            </w:pPr>
            <w:r>
              <w:rPr>
                <w:rFonts w:hint="eastAsia" w:ascii="Arial" w:hAnsi="Arial" w:eastAsia="宋体" w:cs="Arial"/>
                <w:snapToGrid w:val="0"/>
                <w:sz w:val="21"/>
                <w:lang w:eastAsia="zh-CN"/>
              </w:rPr>
              <w:t>A-V分流管</w:t>
            </w:r>
          </w:p>
          <w:p w14:paraId="63081D47">
            <w:pPr>
              <w:pStyle w:val="23"/>
              <w:topLinePunct/>
              <w:autoSpaceDE/>
              <w:autoSpaceDN/>
              <w:adjustRightInd w:val="0"/>
              <w:snapToGrid w:val="0"/>
              <w:spacing w:before="44" w:beforeLines="15" w:after="44" w:afterLines="15" w:line="320" w:lineRule="exact"/>
              <w:ind w:left="0"/>
              <w:jc w:val="both"/>
              <w:rPr>
                <w:rFonts w:ascii="Arial" w:hAnsi="Arial" w:eastAsia="宋体" w:cs="Arial"/>
                <w:snapToGrid w:val="0"/>
                <w:sz w:val="21"/>
                <w:lang w:eastAsia="zh-CN"/>
              </w:rPr>
            </w:pPr>
            <w:r>
              <w:rPr>
                <w:rFonts w:hint="eastAsia" w:ascii="Arial" w:hAnsi="Arial" w:eastAsia="宋体" w:cs="Arial"/>
                <w:snapToGrid w:val="0"/>
                <w:sz w:val="21"/>
                <w:lang w:eastAsia="zh-CN"/>
              </w:rPr>
              <w:t>血管尖端</w:t>
            </w:r>
          </w:p>
          <w:p w14:paraId="14DC7BD8">
            <w:pPr>
              <w:pStyle w:val="23"/>
              <w:topLinePunct/>
              <w:autoSpaceDE/>
              <w:autoSpaceDN/>
              <w:adjustRightInd w:val="0"/>
              <w:snapToGrid w:val="0"/>
              <w:spacing w:before="44" w:beforeLines="15" w:after="44" w:afterLines="15" w:line="320" w:lineRule="exact"/>
              <w:ind w:left="0"/>
              <w:jc w:val="both"/>
              <w:rPr>
                <w:rFonts w:ascii="Arial" w:hAnsi="Arial" w:eastAsia="宋体" w:cs="Arial"/>
                <w:snapToGrid w:val="0"/>
                <w:sz w:val="21"/>
                <w:lang w:eastAsia="zh-CN"/>
              </w:rPr>
            </w:pPr>
            <w:r>
              <w:rPr>
                <w:rFonts w:hint="eastAsia" w:ascii="Arial" w:hAnsi="Arial" w:eastAsia="宋体" w:cs="Arial"/>
                <w:snapToGrid w:val="0"/>
                <w:sz w:val="21"/>
                <w:lang w:eastAsia="zh-CN"/>
              </w:rPr>
              <w:t>锁骨下导管</w:t>
            </w:r>
          </w:p>
          <w:p w14:paraId="3E5121AE">
            <w:pPr>
              <w:pStyle w:val="23"/>
              <w:topLinePunct/>
              <w:autoSpaceDE/>
              <w:autoSpaceDN/>
              <w:adjustRightInd w:val="0"/>
              <w:snapToGrid w:val="0"/>
              <w:spacing w:before="44" w:beforeLines="15" w:after="44" w:afterLines="15" w:line="320" w:lineRule="exact"/>
              <w:ind w:left="0"/>
              <w:jc w:val="both"/>
              <w:rPr>
                <w:rFonts w:ascii="Arial" w:hAnsi="Arial" w:eastAsia="宋体" w:cs="Arial"/>
                <w:snapToGrid w:val="0"/>
                <w:sz w:val="21"/>
                <w:lang w:eastAsia="zh-CN"/>
              </w:rPr>
            </w:pPr>
            <w:r>
              <w:rPr>
                <w:rFonts w:hint="eastAsia" w:ascii="Arial" w:hAnsi="Arial" w:eastAsia="宋体" w:cs="Arial"/>
                <w:snapToGrid w:val="0"/>
                <w:sz w:val="21"/>
                <w:lang w:eastAsia="zh-CN"/>
              </w:rPr>
              <w:t>植入式血液透析导管</w:t>
            </w:r>
          </w:p>
          <w:p w14:paraId="7E133893">
            <w:pPr>
              <w:pStyle w:val="23"/>
              <w:topLinePunct/>
              <w:autoSpaceDE/>
              <w:autoSpaceDN/>
              <w:adjustRightInd w:val="0"/>
              <w:snapToGrid w:val="0"/>
              <w:spacing w:before="44" w:beforeLines="15" w:after="44" w:afterLines="15" w:line="320" w:lineRule="exact"/>
              <w:ind w:left="0"/>
              <w:jc w:val="both"/>
              <w:rPr>
                <w:rFonts w:ascii="Arial" w:hAnsi="Arial" w:eastAsia="宋体" w:cs="Arial"/>
                <w:snapToGrid w:val="0"/>
                <w:sz w:val="21"/>
                <w:lang w:eastAsia="zh-CN"/>
              </w:rPr>
            </w:pPr>
            <w:r>
              <w:rPr>
                <w:rFonts w:hint="eastAsia" w:ascii="Arial" w:hAnsi="Arial" w:eastAsia="宋体" w:cs="Arial"/>
                <w:snapToGrid w:val="0"/>
                <w:sz w:val="21"/>
                <w:lang w:eastAsia="zh-CN"/>
              </w:rPr>
              <w:t>植入式带涂层血液透析导管</w:t>
            </w:r>
          </w:p>
          <w:p w14:paraId="1DA2D686">
            <w:pPr>
              <w:pStyle w:val="23"/>
              <w:topLinePunct/>
              <w:autoSpaceDE/>
              <w:autoSpaceDN/>
              <w:adjustRightInd w:val="0"/>
              <w:snapToGrid w:val="0"/>
              <w:spacing w:before="44" w:beforeLines="15" w:after="44" w:afterLines="15" w:line="320" w:lineRule="exact"/>
              <w:ind w:left="0"/>
              <w:jc w:val="both"/>
              <w:rPr>
                <w:rFonts w:ascii="Arial" w:hAnsi="Arial" w:eastAsia="宋体" w:cs="Arial"/>
                <w:snapToGrid w:val="0"/>
                <w:sz w:val="21"/>
                <w:lang w:eastAsia="zh-CN"/>
              </w:rPr>
            </w:pPr>
            <w:r>
              <w:rPr>
                <w:rFonts w:hint="eastAsia" w:ascii="Arial" w:hAnsi="Arial" w:eastAsia="宋体" w:cs="Arial"/>
                <w:snapToGrid w:val="0"/>
                <w:sz w:val="21"/>
                <w:lang w:eastAsia="zh-CN"/>
              </w:rPr>
              <w:t>全皮下植入式血液透析导管</w:t>
            </w:r>
          </w:p>
        </w:tc>
      </w:tr>
    </w:tbl>
    <w:p w14:paraId="62BEB798">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p>
    <w:p w14:paraId="0A91178F">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r>
        <w:rPr>
          <w:rFonts w:hint="eastAsia" w:ascii="Arial" w:hAnsi="Arial" w:eastAsia="宋体" w:cs="Arial"/>
          <w:snapToGrid w:val="0"/>
          <w:lang w:eastAsia="zh-CN"/>
        </w:rPr>
        <w:t>超出该分类规定子部分范围的植入式血液通路器械不在本指南范围内。</w:t>
      </w:r>
    </w:p>
    <w:p w14:paraId="20B8D09F">
      <w:pPr>
        <w:pStyle w:val="3"/>
        <w:numPr>
          <w:ilvl w:val="0"/>
          <w:numId w:val="1"/>
        </w:numPr>
        <w:tabs>
          <w:tab w:val="left" w:pos="959"/>
          <w:tab w:val="left" w:pos="960"/>
        </w:tabs>
        <w:topLinePunct/>
        <w:autoSpaceDE/>
        <w:autoSpaceDN/>
        <w:adjustRightInd w:val="0"/>
        <w:snapToGrid w:val="0"/>
        <w:spacing w:after="224" w:afterLines="75" w:line="288" w:lineRule="auto"/>
        <w:ind w:left="0" w:firstLine="0"/>
        <w:jc w:val="both"/>
        <w:rPr>
          <w:rFonts w:ascii="Arial" w:hAnsi="Arial" w:eastAsia="宋体" w:cs="Arial"/>
          <w:snapToGrid w:val="0"/>
          <w:sz w:val="32"/>
          <w:szCs w:val="32"/>
          <w:lang w:eastAsia="zh-CN"/>
        </w:rPr>
      </w:pPr>
      <w:bookmarkStart w:id="17" w:name="_bookmark4"/>
      <w:bookmarkEnd w:id="17"/>
      <w:bookmarkStart w:id="18" w:name="_Toc499129121"/>
      <w:r>
        <w:rPr>
          <w:rFonts w:ascii="Arial" w:hAnsi="Arial" w:eastAsia="宋体" w:cs="Arial"/>
          <w:snapToGrid w:val="0"/>
          <w:sz w:val="32"/>
          <w:szCs w:val="32"/>
          <w:lang w:eastAsia="zh-CN"/>
        </w:rPr>
        <w:t>510</w:t>
      </w:r>
      <w:r>
        <w:rPr>
          <w:rFonts w:hint="eastAsia" w:ascii="Arial" w:hAnsi="Arial" w:eastAsia="宋体" w:cs="Arial"/>
          <w:snapToGrid w:val="0"/>
          <w:sz w:val="32"/>
          <w:szCs w:val="32"/>
          <w:lang w:eastAsia="zh-CN"/>
        </w:rPr>
        <w:t>（</w:t>
      </w:r>
      <w:r>
        <w:rPr>
          <w:rFonts w:ascii="Arial" w:hAnsi="Arial" w:eastAsia="宋体" w:cs="Arial"/>
          <w:snapToGrid w:val="0"/>
          <w:sz w:val="32"/>
          <w:szCs w:val="32"/>
          <w:lang w:eastAsia="zh-CN"/>
        </w:rPr>
        <w:t>k</w:t>
      </w:r>
      <w:r>
        <w:rPr>
          <w:rFonts w:hint="eastAsia" w:ascii="Arial" w:hAnsi="Arial" w:eastAsia="宋体" w:cs="Arial"/>
          <w:snapToGrid w:val="0"/>
          <w:sz w:val="32"/>
          <w:szCs w:val="32"/>
          <w:lang w:eastAsia="zh-CN"/>
        </w:rPr>
        <w:t>）申报建议</w:t>
      </w:r>
      <w:bookmarkEnd w:id="18"/>
    </w:p>
    <w:p w14:paraId="412CB7FC">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r>
        <w:rPr>
          <w:rFonts w:hint="eastAsia" w:ascii="Arial" w:hAnsi="Arial" w:eastAsia="宋体" w:cs="Arial"/>
          <w:snapToGrid w:val="0"/>
          <w:lang w:eastAsia="zh-CN"/>
        </w:rPr>
        <w:t>以下章节提供了关于包含在血液透析用植入式血液通路器械</w:t>
      </w:r>
      <w:r>
        <w:rPr>
          <w:rFonts w:ascii="Arial" w:hAnsi="Arial" w:eastAsia="宋体" w:cs="Arial"/>
          <w:snapToGrid w:val="0"/>
          <w:lang w:eastAsia="zh-CN"/>
        </w:rPr>
        <w:t>510</w:t>
      </w:r>
      <w:r>
        <w:rPr>
          <w:rFonts w:hint="eastAsia" w:ascii="Arial" w:hAnsi="Arial" w:eastAsia="宋体" w:cs="Arial"/>
          <w:snapToGrid w:val="0"/>
          <w:lang w:eastAsia="zh-CN"/>
        </w:rPr>
        <w:t>（</w:t>
      </w:r>
      <w:r>
        <w:rPr>
          <w:rFonts w:ascii="Arial" w:hAnsi="Arial" w:eastAsia="宋体" w:cs="Arial"/>
          <w:snapToGrid w:val="0"/>
          <w:lang w:eastAsia="zh-CN"/>
        </w:rPr>
        <w:t>k</w:t>
      </w:r>
      <w:r>
        <w:rPr>
          <w:rFonts w:hint="eastAsia" w:ascii="Arial" w:hAnsi="Arial" w:eastAsia="宋体" w:cs="Arial"/>
          <w:snapToGrid w:val="0"/>
          <w:lang w:eastAsia="zh-CN"/>
        </w:rPr>
        <w:t>）申报中信息的建议。这些建议包括遵守特殊控制的建议。</w:t>
      </w:r>
    </w:p>
    <w:p w14:paraId="46EF2E87">
      <w:pPr>
        <w:pStyle w:val="4"/>
        <w:numPr>
          <w:ilvl w:val="1"/>
          <w:numId w:val="1"/>
        </w:numPr>
        <w:tabs>
          <w:tab w:val="left" w:pos="1679"/>
          <w:tab w:val="left" w:pos="1680"/>
        </w:tabs>
        <w:topLinePunct/>
        <w:autoSpaceDE/>
        <w:autoSpaceDN/>
        <w:adjustRightInd w:val="0"/>
        <w:snapToGrid w:val="0"/>
        <w:spacing w:after="224" w:afterLines="75" w:line="288" w:lineRule="auto"/>
        <w:ind w:left="719" w:leftChars="327" w:firstLine="0"/>
        <w:jc w:val="both"/>
        <w:rPr>
          <w:rFonts w:ascii="Arial" w:hAnsi="Arial" w:eastAsia="宋体" w:cs="Arial"/>
          <w:snapToGrid w:val="0"/>
          <w:sz w:val="28"/>
        </w:rPr>
      </w:pPr>
      <w:bookmarkStart w:id="19" w:name="_bookmark5"/>
      <w:bookmarkEnd w:id="19"/>
      <w:bookmarkStart w:id="20" w:name="_Toc499129122"/>
      <w:r>
        <w:rPr>
          <w:rFonts w:hint="eastAsia" w:ascii="Arial" w:hAnsi="Arial" w:eastAsia="宋体" w:cs="Arial"/>
          <w:snapToGrid w:val="0"/>
          <w:sz w:val="28"/>
          <w:lang w:eastAsia="zh-CN"/>
        </w:rPr>
        <w:t>器械描述</w:t>
      </w:r>
      <w:bookmarkEnd w:id="20"/>
    </w:p>
    <w:p w14:paraId="3EB6E132">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r>
        <w:rPr>
          <w:rFonts w:ascii="Arial" w:hAnsi="Arial" w:eastAsia="宋体" w:cs="Arial"/>
          <w:snapToGrid w:val="0"/>
          <w:lang w:eastAsia="zh-CN"/>
        </w:rPr>
        <w:t>21 CFR § 876.5540</w:t>
      </w:r>
      <w:r>
        <w:rPr>
          <w:rFonts w:hint="eastAsia" w:ascii="Arial" w:hAnsi="Arial" w:eastAsia="宋体" w:cs="Arial"/>
          <w:snapToGrid w:val="0"/>
          <w:lang w:eastAsia="zh-CN"/>
        </w:rPr>
        <w:t>中将血液透析用植入式血液通路器械描述为一种预期提供患者血液通路以进行血液透析或其他慢性用途的器械。被用于血液透析时，它是人工肾脏系统的一部分，用于治疗肾功能衰竭或毒血症患者，为血液透析提供血液通路。</w:t>
      </w:r>
    </w:p>
    <w:p w14:paraId="4A4BC65D">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r>
        <w:rPr>
          <w:rFonts w:hint="eastAsia" w:ascii="Arial" w:hAnsi="Arial" w:eastAsia="宋体" w:cs="Arial"/>
          <w:snapToGrid w:val="0"/>
          <w:lang w:eastAsia="zh-CN"/>
        </w:rPr>
        <w:t>依照</w:t>
      </w:r>
      <w:r>
        <w:rPr>
          <w:rFonts w:ascii="Arial" w:hAnsi="Arial" w:eastAsia="宋体" w:cs="Arial"/>
          <w:snapToGrid w:val="0"/>
          <w:lang w:eastAsia="zh-CN"/>
        </w:rPr>
        <w:t>21 CFR § 876.5540 (</w:t>
      </w:r>
      <w:r>
        <w:rPr>
          <w:rFonts w:hint="eastAsia" w:ascii="Arial" w:hAnsi="Arial" w:eastAsia="宋体" w:cs="Arial"/>
          <w:snapToGrid w:val="0"/>
          <w:lang w:eastAsia="zh-CN"/>
        </w:rPr>
        <w:t>a)（</w:t>
      </w:r>
      <w:r>
        <w:rPr>
          <w:rFonts w:ascii="Arial" w:hAnsi="Arial" w:eastAsia="宋体" w:cs="Arial"/>
          <w:snapToGrid w:val="0"/>
          <w:lang w:eastAsia="zh-CN"/>
        </w:rPr>
        <w:t>1</w:t>
      </w:r>
      <w:r>
        <w:rPr>
          <w:rFonts w:hint="eastAsia" w:ascii="Arial" w:hAnsi="Arial" w:eastAsia="宋体" w:cs="Arial"/>
          <w:snapToGrid w:val="0"/>
          <w:lang w:eastAsia="zh-CN"/>
        </w:rPr>
        <w:t>）定义，植入式血液通路器械是一种处方器械，由各种软质或硬质导管组成，例如导管或套管，经手术植入适当血管，可能穿过皮肤，预期在体内保留30天或更久。这种通用类型器械包括各种导管、分流管和专门为提供血液通路设计的连接管，例如带Cuff的单腔与双腔导管、全皮下入口导管系统和A-V分流套管（带血管尖端）。植入式血液通路器械可能还包含涂层或粘合剂，可提供其他器械功能。</w:t>
      </w:r>
    </w:p>
    <w:p w14:paraId="41D86E36">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r>
        <w:rPr>
          <w:rFonts w:ascii="Arial" w:hAnsi="Arial" w:eastAsia="宋体" w:cs="Arial"/>
          <w:snapToGrid w:val="0"/>
          <w:lang w:eastAsia="zh-CN"/>
        </w:rPr>
        <w:br w:type="page"/>
      </w:r>
    </w:p>
    <w:p w14:paraId="56724AD4">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r>
        <w:rPr>
          <w:rFonts w:hint="eastAsia" w:ascii="Arial" w:hAnsi="Arial" w:eastAsia="宋体" w:cs="Arial"/>
          <w:snapToGrid w:val="0"/>
          <w:lang w:eastAsia="zh-CN"/>
        </w:rPr>
        <w:t>我们建议依照法规和第III节</w:t>
      </w:r>
      <w:r>
        <w:rPr>
          <w:rFonts w:hint="eastAsia" w:ascii="宋体" w:hAnsi="宋体" w:eastAsia="宋体" w:cs="Arial"/>
          <w:snapToGrid w:val="0"/>
          <w:lang w:eastAsia="zh-CN"/>
        </w:rPr>
        <w:t>“</w:t>
      </w:r>
      <w:r>
        <w:rPr>
          <w:rFonts w:hint="eastAsia" w:ascii="Arial" w:hAnsi="Arial" w:eastAsia="宋体" w:cs="Arial"/>
          <w:snapToGrid w:val="0"/>
          <w:lang w:eastAsia="zh-CN"/>
        </w:rPr>
        <w:t>范围</w:t>
      </w:r>
      <w:r>
        <w:rPr>
          <w:rFonts w:hint="eastAsia" w:ascii="宋体" w:hAnsi="宋体" w:eastAsia="宋体" w:cs="Arial"/>
          <w:snapToGrid w:val="0"/>
          <w:lang w:eastAsia="zh-CN"/>
        </w:rPr>
        <w:t>”</w:t>
      </w:r>
      <w:r>
        <w:rPr>
          <w:rFonts w:hint="eastAsia" w:ascii="Arial" w:hAnsi="Arial" w:eastAsia="宋体" w:cs="Arial"/>
          <w:snapToGrid w:val="0"/>
          <w:lang w:eastAsia="zh-CN"/>
        </w:rPr>
        <w:t>中所述产品代码识别器械。依照</w:t>
      </w:r>
      <w:r>
        <w:rPr>
          <w:rFonts w:ascii="Arial" w:hAnsi="Arial" w:eastAsia="宋体" w:cs="Arial"/>
          <w:snapToGrid w:val="0"/>
          <w:lang w:eastAsia="zh-CN"/>
        </w:rPr>
        <w:t>21 CFR 807.87</w:t>
      </w:r>
      <w:r>
        <w:rPr>
          <w:rFonts w:hint="eastAsia" w:ascii="Arial" w:hAnsi="Arial" w:eastAsia="宋体" w:cs="Arial"/>
          <w:snapToGrid w:val="0"/>
          <w:lang w:eastAsia="zh-CN"/>
        </w:rPr>
        <w:t>，还必须识别器械常用名（如双腔血液透析导管）以及商品名或专有名。我们建议您同时提供以下信息：</w:t>
      </w:r>
    </w:p>
    <w:p w14:paraId="0DDC904E">
      <w:pPr>
        <w:pStyle w:val="22"/>
        <w:numPr>
          <w:ilvl w:val="0"/>
          <w:numId w:val="2"/>
        </w:numPr>
        <w:tabs>
          <w:tab w:val="left" w:pos="960"/>
        </w:tabs>
        <w:topLinePunct/>
        <w:autoSpaceDE/>
        <w:autoSpaceDN/>
        <w:adjustRightInd w:val="0"/>
        <w:snapToGrid w:val="0"/>
        <w:spacing w:after="224" w:afterLines="75" w:line="288" w:lineRule="auto"/>
        <w:ind w:left="993" w:leftChars="228" w:hanging="491"/>
        <w:jc w:val="both"/>
        <w:rPr>
          <w:rFonts w:ascii="Arial" w:hAnsi="Arial" w:eastAsia="宋体" w:cs="Arial"/>
          <w:snapToGrid w:val="0"/>
          <w:sz w:val="24"/>
          <w:lang w:eastAsia="zh-CN"/>
        </w:rPr>
      </w:pPr>
      <w:r>
        <w:rPr>
          <w:rFonts w:hint="eastAsia" w:ascii="Arial" w:hAnsi="Arial" w:eastAsia="宋体" w:cs="Arial"/>
          <w:snapToGrid w:val="0"/>
          <w:sz w:val="24"/>
          <w:lang w:eastAsia="zh-CN"/>
        </w:rPr>
        <w:t>分类名称（例如血液通路器械）；</w:t>
      </w:r>
    </w:p>
    <w:p w14:paraId="4635A8FB">
      <w:pPr>
        <w:pStyle w:val="22"/>
        <w:numPr>
          <w:ilvl w:val="0"/>
          <w:numId w:val="2"/>
        </w:numPr>
        <w:tabs>
          <w:tab w:val="left" w:pos="960"/>
        </w:tabs>
        <w:topLinePunct/>
        <w:autoSpaceDE/>
        <w:autoSpaceDN/>
        <w:adjustRightInd w:val="0"/>
        <w:snapToGrid w:val="0"/>
        <w:spacing w:after="224" w:afterLines="75" w:line="288" w:lineRule="auto"/>
        <w:ind w:left="993" w:leftChars="228" w:hanging="491"/>
        <w:jc w:val="both"/>
        <w:rPr>
          <w:rFonts w:ascii="Arial" w:hAnsi="Arial" w:eastAsia="宋体" w:cs="Arial"/>
          <w:snapToGrid w:val="0"/>
          <w:sz w:val="24"/>
          <w:lang w:eastAsia="zh-CN"/>
        </w:rPr>
      </w:pPr>
      <w:r>
        <w:rPr>
          <w:rFonts w:hint="eastAsia" w:ascii="Arial" w:hAnsi="Arial" w:eastAsia="宋体" w:cs="Arial"/>
          <w:snapToGrid w:val="0"/>
          <w:sz w:val="24"/>
          <w:lang w:eastAsia="zh-CN"/>
        </w:rPr>
        <w:t>所有型号列表（若已知）；</w:t>
      </w:r>
    </w:p>
    <w:p w14:paraId="7485E023">
      <w:pPr>
        <w:pStyle w:val="22"/>
        <w:numPr>
          <w:ilvl w:val="0"/>
          <w:numId w:val="2"/>
        </w:numPr>
        <w:tabs>
          <w:tab w:val="left" w:pos="960"/>
        </w:tabs>
        <w:topLinePunct/>
        <w:autoSpaceDE/>
        <w:autoSpaceDN/>
        <w:adjustRightInd w:val="0"/>
        <w:snapToGrid w:val="0"/>
        <w:spacing w:after="224" w:afterLines="75" w:line="288" w:lineRule="auto"/>
        <w:ind w:left="993" w:leftChars="228" w:hanging="491"/>
        <w:jc w:val="both"/>
        <w:rPr>
          <w:rFonts w:ascii="Arial" w:hAnsi="Arial" w:eastAsia="宋体" w:cs="Arial"/>
          <w:snapToGrid w:val="0"/>
          <w:sz w:val="24"/>
          <w:lang w:eastAsia="zh-CN"/>
        </w:rPr>
      </w:pPr>
      <w:r>
        <w:rPr>
          <w:rFonts w:hint="eastAsia" w:ascii="Arial" w:hAnsi="Arial" w:eastAsia="宋体" w:cs="Arial"/>
          <w:snapToGrid w:val="0"/>
          <w:sz w:val="24"/>
          <w:lang w:eastAsia="zh-CN"/>
        </w:rPr>
        <w:t>器械建议预期用途的清楚描述</w:t>
      </w:r>
    </w:p>
    <w:p w14:paraId="5AF38AD1">
      <w:pPr>
        <w:pStyle w:val="22"/>
        <w:numPr>
          <w:ilvl w:val="0"/>
          <w:numId w:val="2"/>
        </w:numPr>
        <w:tabs>
          <w:tab w:val="left" w:pos="960"/>
        </w:tabs>
        <w:topLinePunct/>
        <w:autoSpaceDE/>
        <w:autoSpaceDN/>
        <w:adjustRightInd w:val="0"/>
        <w:snapToGrid w:val="0"/>
        <w:spacing w:after="224" w:afterLines="75" w:line="288" w:lineRule="auto"/>
        <w:ind w:left="993" w:leftChars="228" w:hanging="491"/>
        <w:jc w:val="both"/>
        <w:rPr>
          <w:rFonts w:ascii="Arial" w:hAnsi="Arial" w:eastAsia="宋体" w:cs="Arial"/>
          <w:snapToGrid w:val="0"/>
          <w:sz w:val="24"/>
          <w:lang w:eastAsia="zh-CN"/>
        </w:rPr>
      </w:pPr>
      <w:r>
        <w:rPr>
          <w:rFonts w:hint="eastAsia" w:ascii="Arial" w:hAnsi="Arial" w:eastAsia="宋体" w:cs="Arial"/>
          <w:snapToGrid w:val="0"/>
          <w:sz w:val="24"/>
          <w:lang w:eastAsia="zh-CN"/>
        </w:rPr>
        <w:t>您认为监管器械和任何部件／配件的CFR分类法规编号。</w:t>
      </w:r>
    </w:p>
    <w:p w14:paraId="75B75B39">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r>
        <w:rPr>
          <w:rFonts w:hint="eastAsia" w:ascii="Arial" w:hAnsi="Arial" w:eastAsia="宋体" w:cs="Arial"/>
          <w:snapToGrid w:val="0"/>
          <w:lang w:eastAsia="zh-CN"/>
        </w:rPr>
        <w:t>器械描述应包含申报内容中包含的各种型号的带标图示和规格（例如长度，内、外直径，法国尺寸，袖带位置，连接管</w:t>
      </w:r>
      <w:r>
        <w:rPr>
          <w:rStyle w:val="20"/>
          <w:rFonts w:ascii="Arial" w:hAnsi="Arial" w:eastAsia="宋体" w:cs="Arial"/>
          <w:snapToGrid w:val="0"/>
          <w:lang w:eastAsia="zh-CN"/>
        </w:rPr>
        <w:footnoteReference w:id="1"/>
      </w:r>
      <w:r>
        <w:rPr>
          <w:rFonts w:hint="eastAsia" w:ascii="Arial" w:hAnsi="Arial" w:eastAsia="宋体" w:cs="Arial"/>
          <w:snapToGrid w:val="0"/>
          <w:lang w:eastAsia="zh-CN"/>
        </w:rPr>
        <w:t>，拉伸长度，孔直径与位置）。物理描述应包含：</w:t>
      </w:r>
    </w:p>
    <w:p w14:paraId="3769711E">
      <w:pPr>
        <w:pStyle w:val="22"/>
        <w:numPr>
          <w:ilvl w:val="0"/>
          <w:numId w:val="3"/>
        </w:numPr>
        <w:tabs>
          <w:tab w:val="left" w:pos="960"/>
        </w:tabs>
        <w:topLinePunct/>
        <w:autoSpaceDE/>
        <w:autoSpaceDN/>
        <w:adjustRightInd w:val="0"/>
        <w:snapToGrid w:val="0"/>
        <w:spacing w:after="224" w:afterLines="75" w:line="288" w:lineRule="auto"/>
        <w:ind w:left="990" w:leftChars="227" w:hanging="491"/>
        <w:jc w:val="both"/>
        <w:rPr>
          <w:rFonts w:ascii="Arial" w:hAnsi="Arial" w:eastAsia="宋体" w:cs="Arial"/>
          <w:snapToGrid w:val="0"/>
          <w:sz w:val="24"/>
          <w:lang w:eastAsia="zh-CN"/>
        </w:rPr>
      </w:pPr>
      <w:r>
        <w:rPr>
          <w:rFonts w:hint="eastAsia" w:ascii="Arial" w:hAnsi="Arial" w:eastAsia="宋体" w:cs="Arial"/>
          <w:snapToGrid w:val="0"/>
          <w:sz w:val="24"/>
          <w:lang w:eastAsia="zh-CN"/>
        </w:rPr>
        <w:t>总体器械系统描述，包括配件、图片、样品（若可行）和工程图示；</w:t>
      </w:r>
    </w:p>
    <w:p w14:paraId="733F2946">
      <w:pPr>
        <w:pStyle w:val="22"/>
        <w:numPr>
          <w:ilvl w:val="0"/>
          <w:numId w:val="3"/>
        </w:numPr>
        <w:tabs>
          <w:tab w:val="left" w:pos="960"/>
        </w:tabs>
        <w:topLinePunct/>
        <w:autoSpaceDE/>
        <w:autoSpaceDN/>
        <w:adjustRightInd w:val="0"/>
        <w:snapToGrid w:val="0"/>
        <w:spacing w:after="224" w:afterLines="75" w:line="288" w:lineRule="auto"/>
        <w:ind w:left="990" w:leftChars="227" w:hanging="491"/>
        <w:jc w:val="both"/>
        <w:rPr>
          <w:rFonts w:ascii="Arial" w:hAnsi="Arial" w:eastAsia="宋体" w:cs="Arial"/>
          <w:snapToGrid w:val="0"/>
          <w:sz w:val="24"/>
          <w:lang w:eastAsia="zh-CN"/>
        </w:rPr>
      </w:pPr>
      <w:r>
        <w:rPr>
          <w:rFonts w:hint="eastAsia" w:ascii="Arial" w:hAnsi="Arial" w:eastAsia="宋体" w:cs="Arial"/>
          <w:snapToGrid w:val="0"/>
          <w:sz w:val="24"/>
          <w:lang w:eastAsia="zh-CN"/>
        </w:rPr>
        <w:t>导管系统单个部件的功能描述（包括规格，若适用）；和</w:t>
      </w:r>
    </w:p>
    <w:p w14:paraId="539B3B89">
      <w:pPr>
        <w:pStyle w:val="22"/>
        <w:numPr>
          <w:ilvl w:val="0"/>
          <w:numId w:val="3"/>
        </w:numPr>
        <w:tabs>
          <w:tab w:val="left" w:pos="960"/>
        </w:tabs>
        <w:topLinePunct/>
        <w:autoSpaceDE/>
        <w:autoSpaceDN/>
        <w:adjustRightInd w:val="0"/>
        <w:snapToGrid w:val="0"/>
        <w:spacing w:after="224" w:afterLines="75" w:line="288" w:lineRule="auto"/>
        <w:ind w:left="990" w:leftChars="227" w:hanging="491"/>
        <w:jc w:val="both"/>
        <w:rPr>
          <w:rFonts w:ascii="Arial" w:hAnsi="Arial" w:eastAsia="宋体" w:cs="Arial"/>
          <w:snapToGrid w:val="0"/>
          <w:sz w:val="24"/>
          <w:lang w:eastAsia="zh-CN"/>
        </w:rPr>
      </w:pPr>
      <w:r>
        <w:rPr>
          <w:rFonts w:hint="eastAsia" w:ascii="Arial" w:hAnsi="Arial" w:eastAsia="宋体" w:cs="Arial"/>
          <w:snapToGrid w:val="0"/>
          <w:sz w:val="24"/>
          <w:lang w:eastAsia="zh-CN"/>
        </w:rPr>
        <w:t>放置导管或分流管可能使用的配件描述。任何有与申报导管系统共同使用标签的配件器械应处于目前可与此类血液透析导管系统共同使用的上市状态，或处于作为提议导管系统的510（k）申报的一部分状态。应提供能够确定实质等同性的配件器械的相关信息。</w:t>
      </w:r>
    </w:p>
    <w:p w14:paraId="764BE050">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r>
        <w:rPr>
          <w:rFonts w:ascii="Arial" w:hAnsi="Arial" w:eastAsia="宋体" w:cs="Arial"/>
          <w:snapToGrid w:val="0"/>
          <w:lang w:eastAsia="zh-CN"/>
        </w:rPr>
        <w:t>510</w:t>
      </w:r>
      <w:r>
        <w:rPr>
          <w:rFonts w:hint="eastAsia" w:ascii="Arial" w:hAnsi="Arial" w:eastAsia="宋体" w:cs="Arial"/>
          <w:snapToGrid w:val="0"/>
          <w:lang w:eastAsia="zh-CN"/>
        </w:rPr>
        <w:t>（</w:t>
      </w:r>
      <w:r>
        <w:rPr>
          <w:rFonts w:ascii="Arial" w:hAnsi="Arial" w:eastAsia="宋体" w:cs="Arial"/>
          <w:snapToGrid w:val="0"/>
          <w:lang w:eastAsia="zh-CN"/>
        </w:rPr>
        <w:t>k</w:t>
      </w:r>
      <w:r>
        <w:rPr>
          <w:rFonts w:hint="eastAsia" w:ascii="Arial" w:hAnsi="Arial" w:eastAsia="宋体" w:cs="Arial"/>
          <w:snapToGrid w:val="0"/>
          <w:lang w:eastAsia="zh-CN"/>
        </w:rPr>
        <w:t>）应包括申报器械与合法上市器械的对比，后者通常称作</w:t>
      </w:r>
      <w:r>
        <w:rPr>
          <w:rFonts w:hint="eastAsia" w:ascii="宋体" w:hAnsi="宋体" w:eastAsia="宋体" w:cs="Arial"/>
          <w:snapToGrid w:val="0"/>
          <w:lang w:eastAsia="zh-CN"/>
        </w:rPr>
        <w:t>“</w:t>
      </w:r>
      <w:r>
        <w:rPr>
          <w:rFonts w:hint="eastAsia" w:ascii="Arial" w:hAnsi="Arial" w:eastAsia="宋体" w:cs="Arial"/>
          <w:snapToGrid w:val="0"/>
          <w:lang w:eastAsia="zh-CN"/>
        </w:rPr>
        <w:t>指定器械</w:t>
      </w:r>
      <w:r>
        <w:rPr>
          <w:rFonts w:hint="eastAsia" w:ascii="宋体" w:hAnsi="宋体" w:eastAsia="宋体" w:cs="Arial"/>
          <w:snapToGrid w:val="0"/>
          <w:lang w:eastAsia="zh-CN"/>
        </w:rPr>
        <w:t>”</w:t>
      </w:r>
      <w:r>
        <w:rPr>
          <w:rFonts w:hint="eastAsia" w:ascii="Arial" w:hAnsi="Arial" w:eastAsia="宋体" w:cs="Arial"/>
          <w:snapToGrid w:val="0"/>
          <w:lang w:eastAsia="zh-CN"/>
        </w:rPr>
        <w:t>。</w:t>
      </w:r>
      <w:r>
        <w:rPr>
          <w:rStyle w:val="20"/>
          <w:rFonts w:ascii="Arial" w:hAnsi="Arial" w:eastAsia="宋体" w:cs="Arial"/>
          <w:snapToGrid w:val="0"/>
          <w:lang w:eastAsia="zh-CN"/>
        </w:rPr>
        <w:footnoteReference w:id="2"/>
      </w:r>
    </w:p>
    <w:p w14:paraId="4128B856">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r>
        <w:rPr>
          <w:rFonts w:ascii="Arial" w:hAnsi="Arial" w:eastAsia="宋体" w:cs="Arial"/>
          <w:snapToGrid w:val="0"/>
          <w:lang w:eastAsia="zh-CN"/>
        </w:rPr>
        <w:br w:type="page"/>
      </w:r>
    </w:p>
    <w:p w14:paraId="51C1A3D7">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r>
        <w:rPr>
          <w:rFonts w:hint="eastAsia" w:ascii="Arial" w:hAnsi="Arial" w:eastAsia="宋体" w:cs="Arial"/>
          <w:snapToGrid w:val="0"/>
          <w:lang w:eastAsia="zh-CN"/>
        </w:rPr>
        <w:t>FDA建议以清楚易懂的方式提供所有比较，例如以表格形式列出申报器械与指定器械在预期用途、技术特征、性能规格和其他确定申报器械与指定器械之间实质等同性需要的重要信息等方面的相似与不同之处。</w:t>
      </w:r>
    </w:p>
    <w:p w14:paraId="28F0C807">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r>
        <w:rPr>
          <w:rFonts w:ascii="Arial" w:hAnsi="Arial" w:eastAsia="宋体" w:cs="Arial"/>
          <w:snapToGrid w:val="0"/>
          <w:lang w:eastAsia="zh-CN"/>
        </w:rPr>
        <w:t>510</w:t>
      </w:r>
      <w:r>
        <w:rPr>
          <w:rFonts w:hint="eastAsia" w:ascii="Arial" w:hAnsi="Arial" w:eastAsia="宋体" w:cs="Arial"/>
          <w:snapToGrid w:val="0"/>
          <w:lang w:eastAsia="zh-CN"/>
        </w:rPr>
        <w:t>（</w:t>
      </w:r>
      <w:r>
        <w:rPr>
          <w:rFonts w:ascii="Arial" w:hAnsi="Arial" w:eastAsia="宋体" w:cs="Arial"/>
          <w:snapToGrid w:val="0"/>
          <w:lang w:eastAsia="zh-CN"/>
        </w:rPr>
        <w:t>k</w:t>
      </w:r>
      <w:r>
        <w:rPr>
          <w:rFonts w:hint="eastAsia" w:ascii="Arial" w:hAnsi="Arial" w:eastAsia="宋体" w:cs="Arial"/>
          <w:snapToGrid w:val="0"/>
          <w:lang w:eastAsia="zh-CN"/>
        </w:rPr>
        <w:t>）应注明与申报器械对比的指定器械。</w:t>
      </w:r>
      <w:r>
        <w:rPr>
          <w:rFonts w:ascii="Arial" w:hAnsi="Arial" w:eastAsia="宋体" w:cs="Arial"/>
          <w:snapToGrid w:val="0"/>
          <w:lang w:eastAsia="zh-CN"/>
        </w:rPr>
        <w:t>510</w:t>
      </w:r>
      <w:r>
        <w:rPr>
          <w:rFonts w:hint="eastAsia" w:ascii="Arial" w:hAnsi="Arial" w:eastAsia="宋体" w:cs="Arial"/>
          <w:snapToGrid w:val="0"/>
          <w:lang w:eastAsia="zh-CN"/>
        </w:rPr>
        <w:t>（</w:t>
      </w:r>
      <w:r>
        <w:rPr>
          <w:rFonts w:ascii="Arial" w:hAnsi="Arial" w:eastAsia="宋体" w:cs="Arial"/>
          <w:snapToGrid w:val="0"/>
          <w:lang w:eastAsia="zh-CN"/>
        </w:rPr>
        <w:t>k</w:t>
      </w:r>
      <w:r>
        <w:rPr>
          <w:rFonts w:hint="eastAsia" w:ascii="Arial" w:hAnsi="Arial" w:eastAsia="宋体" w:cs="Arial"/>
          <w:snapToGrid w:val="0"/>
          <w:lang w:eastAsia="zh-CN"/>
        </w:rPr>
        <w:t>）中应尽可能多地提供关于指定器械的信息，例如专用名与常用名、制造商、型号、</w:t>
      </w:r>
      <w:r>
        <w:rPr>
          <w:rFonts w:ascii="Arial" w:hAnsi="Arial" w:eastAsia="宋体" w:cs="Arial"/>
          <w:snapToGrid w:val="0"/>
          <w:lang w:eastAsia="zh-CN"/>
        </w:rPr>
        <w:t>510</w:t>
      </w:r>
      <w:r>
        <w:rPr>
          <w:rFonts w:hint="eastAsia" w:ascii="Arial" w:hAnsi="Arial" w:eastAsia="宋体" w:cs="Arial"/>
          <w:snapToGrid w:val="0"/>
          <w:lang w:eastAsia="zh-CN"/>
        </w:rPr>
        <w:t>（</w:t>
      </w:r>
      <w:r>
        <w:rPr>
          <w:rFonts w:ascii="Arial" w:hAnsi="Arial" w:eastAsia="宋体" w:cs="Arial"/>
          <w:snapToGrid w:val="0"/>
          <w:lang w:eastAsia="zh-CN"/>
        </w:rPr>
        <w:t>k</w:t>
      </w:r>
      <w:r>
        <w:rPr>
          <w:rFonts w:hint="eastAsia" w:ascii="Arial" w:hAnsi="Arial" w:eastAsia="宋体" w:cs="Arial"/>
          <w:snapToGrid w:val="0"/>
          <w:lang w:eastAsia="zh-CN"/>
        </w:rPr>
        <w:t>）参照编号、修订前状态</w:t>
      </w:r>
      <w:r>
        <w:rPr>
          <w:rStyle w:val="20"/>
          <w:rFonts w:ascii="Arial" w:hAnsi="Arial" w:eastAsia="宋体" w:cs="Arial"/>
          <w:snapToGrid w:val="0"/>
          <w:lang w:eastAsia="zh-CN"/>
        </w:rPr>
        <w:footnoteReference w:id="3"/>
      </w:r>
      <w:r>
        <w:rPr>
          <w:rFonts w:hint="eastAsia" w:ascii="Arial" w:hAnsi="Arial" w:eastAsia="宋体" w:cs="Arial"/>
          <w:snapToGrid w:val="0"/>
          <w:lang w:eastAsia="zh-CN"/>
        </w:rPr>
        <w:t>（即1976年5月28日之前在美国上市）等。</w:t>
      </w:r>
    </w:p>
    <w:p w14:paraId="17FFB991">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r>
        <w:rPr>
          <w:rFonts w:hint="eastAsia" w:ascii="Arial" w:hAnsi="Arial" w:eastAsia="宋体" w:cs="Arial"/>
          <w:snapToGrid w:val="0"/>
          <w:lang w:eastAsia="zh-CN"/>
        </w:rPr>
        <w:t>应提供信息描述申报器械与指定器械的相似与不同之处（</w:t>
      </w:r>
      <w:r>
        <w:rPr>
          <w:rFonts w:ascii="Arial" w:hAnsi="Arial" w:eastAsia="宋体" w:cs="Arial"/>
          <w:snapToGrid w:val="0"/>
          <w:lang w:eastAsia="zh-CN"/>
        </w:rPr>
        <w:t>21 CFR 807.87</w:t>
      </w:r>
      <w:r>
        <w:rPr>
          <w:rFonts w:hint="eastAsia" w:ascii="Arial" w:hAnsi="Arial" w:eastAsia="宋体" w:cs="Arial"/>
          <w:snapToGrid w:val="0"/>
          <w:lang w:eastAsia="zh-CN"/>
        </w:rPr>
        <w:t>（</w:t>
      </w:r>
      <w:r>
        <w:rPr>
          <w:rFonts w:ascii="Arial" w:hAnsi="Arial" w:eastAsia="宋体" w:cs="Arial"/>
          <w:snapToGrid w:val="0"/>
          <w:lang w:eastAsia="zh-CN"/>
        </w:rPr>
        <w:t>f</w:t>
      </w:r>
      <w:r>
        <w:rPr>
          <w:rFonts w:hint="eastAsia" w:ascii="Arial" w:hAnsi="Arial" w:eastAsia="宋体" w:cs="Arial"/>
          <w:snapToGrid w:val="0"/>
          <w:lang w:eastAsia="zh-CN"/>
        </w:rPr>
        <w:t>）），只要可能，最好使用并排比较。</w:t>
      </w:r>
    </w:p>
    <w:p w14:paraId="588C0B0F">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r>
        <w:rPr>
          <w:rFonts w:hint="eastAsia" w:ascii="Arial" w:hAnsi="Arial" w:eastAsia="宋体" w:cs="Arial"/>
          <w:snapToGrid w:val="0"/>
          <w:lang w:eastAsia="zh-CN"/>
        </w:rPr>
        <w:t>申报器械与指定器械之间对比应至少包括以下信息：</w:t>
      </w:r>
    </w:p>
    <w:p w14:paraId="3DE02188">
      <w:pPr>
        <w:pStyle w:val="22"/>
        <w:numPr>
          <w:ilvl w:val="0"/>
          <w:numId w:val="4"/>
        </w:numPr>
        <w:tabs>
          <w:tab w:val="left" w:pos="960"/>
        </w:tabs>
        <w:topLinePunct/>
        <w:autoSpaceDE/>
        <w:autoSpaceDN/>
        <w:adjustRightInd w:val="0"/>
        <w:snapToGrid w:val="0"/>
        <w:spacing w:after="224" w:afterLines="75" w:line="288" w:lineRule="auto"/>
        <w:ind w:left="565" w:leftChars="257" w:firstLine="0"/>
        <w:jc w:val="both"/>
        <w:rPr>
          <w:rFonts w:ascii="Arial" w:hAnsi="Arial" w:eastAsia="宋体" w:cs="Arial"/>
          <w:snapToGrid w:val="0"/>
          <w:sz w:val="24"/>
          <w:lang w:eastAsia="zh-CN"/>
        </w:rPr>
      </w:pPr>
      <w:r>
        <w:rPr>
          <w:rFonts w:hint="eastAsia" w:ascii="Arial" w:hAnsi="Arial" w:eastAsia="宋体" w:cs="Arial"/>
          <w:snapToGrid w:val="0"/>
          <w:sz w:val="24"/>
          <w:lang w:eastAsia="zh-CN"/>
        </w:rPr>
        <w:t>预期用途／使用适应证包括（视情况而定）：</w:t>
      </w:r>
    </w:p>
    <w:p w14:paraId="5937A4B3">
      <w:pPr>
        <w:pStyle w:val="22"/>
        <w:numPr>
          <w:ilvl w:val="1"/>
          <w:numId w:val="4"/>
        </w:numPr>
        <w:topLinePunct/>
        <w:autoSpaceDE/>
        <w:autoSpaceDN/>
        <w:adjustRightInd w:val="0"/>
        <w:snapToGrid w:val="0"/>
        <w:spacing w:line="288" w:lineRule="auto"/>
        <w:ind w:left="1416" w:leftChars="451" w:hanging="424" w:hangingChars="177"/>
        <w:jc w:val="both"/>
        <w:rPr>
          <w:rFonts w:ascii="Arial" w:hAnsi="Arial" w:eastAsia="宋体" w:cs="Arial"/>
          <w:snapToGrid w:val="0"/>
          <w:sz w:val="24"/>
          <w:lang w:eastAsia="zh-CN"/>
        </w:rPr>
      </w:pPr>
      <w:r>
        <w:rPr>
          <w:rFonts w:hint="eastAsia" w:ascii="Arial" w:hAnsi="Arial" w:eastAsia="宋体" w:cs="Arial"/>
          <w:snapToGrid w:val="0"/>
          <w:sz w:val="24"/>
          <w:lang w:eastAsia="zh-CN"/>
        </w:rPr>
        <w:t>器械一般用途（例如血液透析治疗用血液通路）</w:t>
      </w:r>
    </w:p>
    <w:p w14:paraId="31F4F062">
      <w:pPr>
        <w:pStyle w:val="22"/>
        <w:numPr>
          <w:ilvl w:val="1"/>
          <w:numId w:val="4"/>
        </w:numPr>
        <w:topLinePunct/>
        <w:autoSpaceDE/>
        <w:autoSpaceDN/>
        <w:adjustRightInd w:val="0"/>
        <w:snapToGrid w:val="0"/>
        <w:spacing w:line="288" w:lineRule="auto"/>
        <w:ind w:left="1416" w:leftChars="451" w:hanging="424" w:hangingChars="177"/>
        <w:jc w:val="both"/>
        <w:rPr>
          <w:rFonts w:ascii="Arial" w:hAnsi="Arial" w:eastAsia="宋体" w:cs="Arial"/>
          <w:snapToGrid w:val="0"/>
          <w:sz w:val="24"/>
          <w:lang w:eastAsia="zh-CN"/>
        </w:rPr>
      </w:pPr>
      <w:r>
        <w:rPr>
          <w:rFonts w:hint="eastAsia" w:ascii="Arial" w:hAnsi="Arial" w:eastAsia="宋体" w:cs="Arial"/>
          <w:snapToGrid w:val="0"/>
          <w:sz w:val="24"/>
          <w:lang w:eastAsia="zh-CN"/>
        </w:rPr>
        <w:t>使用部位（例如颈内静脉、股骨、锁骨下、经肝、经腰）；</w:t>
      </w:r>
    </w:p>
    <w:p w14:paraId="17A690E1">
      <w:pPr>
        <w:pStyle w:val="22"/>
        <w:numPr>
          <w:ilvl w:val="1"/>
          <w:numId w:val="4"/>
        </w:numPr>
        <w:topLinePunct/>
        <w:autoSpaceDE/>
        <w:autoSpaceDN/>
        <w:adjustRightInd w:val="0"/>
        <w:snapToGrid w:val="0"/>
        <w:spacing w:line="288" w:lineRule="auto"/>
        <w:ind w:left="1416" w:leftChars="451" w:hanging="424" w:hangingChars="177"/>
        <w:jc w:val="both"/>
        <w:rPr>
          <w:rFonts w:ascii="Arial" w:hAnsi="Arial" w:eastAsia="宋体" w:cs="Arial"/>
          <w:snapToGrid w:val="0"/>
          <w:sz w:val="24"/>
        </w:rPr>
      </w:pPr>
      <w:r>
        <w:rPr>
          <w:rFonts w:hint="eastAsia" w:ascii="Arial" w:hAnsi="Arial" w:eastAsia="宋体" w:cs="Arial"/>
          <w:snapToGrid w:val="0"/>
          <w:sz w:val="24"/>
          <w:lang w:eastAsia="zh-CN"/>
        </w:rPr>
        <w:t>导管长度与直径；</w:t>
      </w:r>
    </w:p>
    <w:p w14:paraId="7141EF1A">
      <w:pPr>
        <w:pStyle w:val="22"/>
        <w:numPr>
          <w:ilvl w:val="1"/>
          <w:numId w:val="4"/>
        </w:numPr>
        <w:topLinePunct/>
        <w:autoSpaceDE/>
        <w:autoSpaceDN/>
        <w:adjustRightInd w:val="0"/>
        <w:snapToGrid w:val="0"/>
        <w:spacing w:line="288" w:lineRule="auto"/>
        <w:ind w:left="1416" w:leftChars="451" w:hanging="424" w:hangingChars="177"/>
        <w:jc w:val="both"/>
        <w:rPr>
          <w:rFonts w:ascii="Arial" w:hAnsi="Arial" w:eastAsia="宋体" w:cs="Arial"/>
          <w:snapToGrid w:val="0"/>
          <w:sz w:val="24"/>
          <w:lang w:eastAsia="zh-CN"/>
        </w:rPr>
      </w:pPr>
      <w:r>
        <w:rPr>
          <w:rFonts w:hint="eastAsia" w:ascii="Arial" w:hAnsi="Arial" w:eastAsia="宋体" w:cs="Arial"/>
          <w:snapToGrid w:val="0"/>
          <w:sz w:val="24"/>
          <w:lang w:eastAsia="zh-CN"/>
        </w:rPr>
        <w:t>使用时间（例如长期【&gt;</w:t>
      </w:r>
      <w:r>
        <w:rPr>
          <w:rFonts w:ascii="Arial" w:hAnsi="Arial" w:eastAsia="宋体" w:cs="Arial"/>
          <w:snapToGrid w:val="0"/>
          <w:sz w:val="24"/>
          <w:lang w:eastAsia="zh-CN"/>
        </w:rPr>
        <w:t>30</w:t>
      </w:r>
      <w:r>
        <w:rPr>
          <w:rFonts w:hint="eastAsia" w:ascii="Arial" w:hAnsi="Arial" w:eastAsia="宋体" w:cs="Arial"/>
          <w:snapToGrid w:val="0"/>
          <w:sz w:val="24"/>
          <w:lang w:eastAsia="zh-CN"/>
        </w:rPr>
        <w:t>天】）；和</w:t>
      </w:r>
    </w:p>
    <w:p w14:paraId="7EB75AE2">
      <w:pPr>
        <w:pStyle w:val="22"/>
        <w:numPr>
          <w:ilvl w:val="1"/>
          <w:numId w:val="4"/>
        </w:numPr>
        <w:topLinePunct/>
        <w:autoSpaceDE/>
        <w:autoSpaceDN/>
        <w:adjustRightInd w:val="0"/>
        <w:snapToGrid w:val="0"/>
        <w:spacing w:after="224" w:afterLines="75" w:line="288" w:lineRule="auto"/>
        <w:ind w:left="1416" w:leftChars="451" w:hanging="424" w:hangingChars="177"/>
        <w:jc w:val="both"/>
        <w:rPr>
          <w:rFonts w:ascii="Arial" w:hAnsi="Arial" w:eastAsia="宋体" w:cs="Arial"/>
          <w:snapToGrid w:val="0"/>
          <w:sz w:val="24"/>
          <w:lang w:eastAsia="zh-CN"/>
        </w:rPr>
      </w:pPr>
      <w:r>
        <w:rPr>
          <w:rFonts w:hint="eastAsia" w:ascii="Arial" w:hAnsi="Arial" w:eastAsia="宋体" w:cs="Arial"/>
          <w:snapToGrid w:val="0"/>
          <w:sz w:val="24"/>
          <w:lang w:eastAsia="zh-CN"/>
        </w:rPr>
        <w:t>使用条件（例如急性肾衰竭，慢性肾衰竭）。</w:t>
      </w:r>
    </w:p>
    <w:p w14:paraId="26E19723">
      <w:pPr>
        <w:pStyle w:val="22"/>
        <w:numPr>
          <w:ilvl w:val="0"/>
          <w:numId w:val="4"/>
        </w:numPr>
        <w:tabs>
          <w:tab w:val="left" w:pos="960"/>
        </w:tabs>
        <w:topLinePunct/>
        <w:autoSpaceDE/>
        <w:autoSpaceDN/>
        <w:adjustRightInd w:val="0"/>
        <w:snapToGrid w:val="0"/>
        <w:spacing w:after="224" w:afterLines="75" w:line="288" w:lineRule="auto"/>
        <w:ind w:left="991" w:leftChars="271" w:hanging="395"/>
        <w:jc w:val="both"/>
        <w:rPr>
          <w:rFonts w:ascii="Arial" w:hAnsi="Arial" w:eastAsia="宋体" w:cs="Arial"/>
          <w:snapToGrid w:val="0"/>
          <w:sz w:val="24"/>
          <w:lang w:eastAsia="zh-CN"/>
        </w:rPr>
      </w:pPr>
      <w:r>
        <w:rPr>
          <w:rFonts w:hint="eastAsia" w:ascii="Arial" w:hAnsi="Arial" w:eastAsia="宋体" w:cs="Arial"/>
          <w:snapToGrid w:val="0"/>
          <w:sz w:val="24"/>
          <w:lang w:eastAsia="zh-CN"/>
        </w:rPr>
        <w:t>所用材料，包括各器械部件的供应商、材料名称和材料标准编号，适当时包括：</w:t>
      </w:r>
    </w:p>
    <w:p w14:paraId="6F4816AC">
      <w:pPr>
        <w:pStyle w:val="22"/>
        <w:numPr>
          <w:ilvl w:val="1"/>
          <w:numId w:val="4"/>
        </w:numPr>
        <w:tabs>
          <w:tab w:val="left" w:pos="1418"/>
        </w:tabs>
        <w:topLinePunct/>
        <w:autoSpaceDE/>
        <w:autoSpaceDN/>
        <w:adjustRightInd w:val="0"/>
        <w:snapToGrid w:val="0"/>
        <w:spacing w:line="288" w:lineRule="auto"/>
        <w:ind w:left="1416" w:leftChars="451" w:hanging="424" w:hangingChars="177"/>
        <w:jc w:val="both"/>
        <w:rPr>
          <w:rFonts w:ascii="Arial" w:hAnsi="Arial" w:eastAsia="宋体" w:cs="Arial"/>
          <w:snapToGrid w:val="0"/>
          <w:sz w:val="24"/>
        </w:rPr>
      </w:pPr>
      <w:r>
        <w:rPr>
          <w:rFonts w:hint="eastAsia" w:ascii="Arial" w:hAnsi="Arial" w:eastAsia="宋体" w:cs="Arial"/>
          <w:snapToGrid w:val="0"/>
          <w:sz w:val="24"/>
          <w:lang w:eastAsia="zh-CN"/>
        </w:rPr>
        <w:t>导管腔与延长管；</w:t>
      </w:r>
    </w:p>
    <w:p w14:paraId="11EEBA3A">
      <w:pPr>
        <w:pStyle w:val="22"/>
        <w:numPr>
          <w:ilvl w:val="1"/>
          <w:numId w:val="4"/>
        </w:numPr>
        <w:tabs>
          <w:tab w:val="left" w:pos="1418"/>
        </w:tabs>
        <w:topLinePunct/>
        <w:autoSpaceDE/>
        <w:autoSpaceDN/>
        <w:adjustRightInd w:val="0"/>
        <w:snapToGrid w:val="0"/>
        <w:spacing w:line="288" w:lineRule="auto"/>
        <w:ind w:left="1416" w:leftChars="451" w:hanging="424" w:hangingChars="177"/>
        <w:jc w:val="both"/>
        <w:rPr>
          <w:rFonts w:ascii="Arial" w:hAnsi="Arial" w:eastAsia="宋体" w:cs="Arial"/>
          <w:snapToGrid w:val="0"/>
          <w:sz w:val="24"/>
        </w:rPr>
      </w:pPr>
      <w:r>
        <w:rPr>
          <w:rFonts w:hint="eastAsia" w:ascii="Arial" w:hAnsi="Arial" w:eastAsia="宋体" w:cs="Arial"/>
          <w:snapToGrid w:val="0"/>
          <w:sz w:val="24"/>
          <w:lang w:eastAsia="zh-CN"/>
        </w:rPr>
        <w:t>夹子；</w:t>
      </w:r>
    </w:p>
    <w:p w14:paraId="07860054">
      <w:pPr>
        <w:pStyle w:val="22"/>
        <w:numPr>
          <w:ilvl w:val="1"/>
          <w:numId w:val="4"/>
        </w:numPr>
        <w:tabs>
          <w:tab w:val="left" w:pos="1418"/>
        </w:tabs>
        <w:topLinePunct/>
        <w:autoSpaceDE/>
        <w:autoSpaceDN/>
        <w:adjustRightInd w:val="0"/>
        <w:snapToGrid w:val="0"/>
        <w:spacing w:line="288" w:lineRule="auto"/>
        <w:ind w:left="1416" w:leftChars="451" w:hanging="424" w:hangingChars="177"/>
        <w:jc w:val="both"/>
        <w:rPr>
          <w:rFonts w:ascii="Arial" w:hAnsi="Arial" w:eastAsia="宋体" w:cs="Arial"/>
          <w:snapToGrid w:val="0"/>
          <w:sz w:val="24"/>
        </w:rPr>
      </w:pPr>
      <w:r>
        <w:rPr>
          <w:rFonts w:hint="eastAsia" w:ascii="Arial" w:hAnsi="Arial" w:eastAsia="宋体" w:cs="Arial"/>
          <w:snapToGrid w:val="0"/>
          <w:sz w:val="24"/>
          <w:lang w:eastAsia="zh-CN"/>
        </w:rPr>
        <w:t>袖带；</w:t>
      </w:r>
    </w:p>
    <w:p w14:paraId="17FDFED2">
      <w:pPr>
        <w:pStyle w:val="22"/>
        <w:numPr>
          <w:ilvl w:val="1"/>
          <w:numId w:val="4"/>
        </w:numPr>
        <w:tabs>
          <w:tab w:val="left" w:pos="1418"/>
        </w:tabs>
        <w:topLinePunct/>
        <w:autoSpaceDE/>
        <w:autoSpaceDN/>
        <w:adjustRightInd w:val="0"/>
        <w:snapToGrid w:val="0"/>
        <w:spacing w:line="288" w:lineRule="auto"/>
        <w:ind w:left="1416" w:leftChars="451" w:hanging="424" w:hangingChars="177"/>
        <w:jc w:val="both"/>
        <w:rPr>
          <w:rFonts w:ascii="Arial" w:hAnsi="Arial" w:eastAsia="宋体" w:cs="Arial"/>
          <w:snapToGrid w:val="0"/>
          <w:sz w:val="24"/>
          <w:lang w:eastAsia="zh-CN"/>
        </w:rPr>
      </w:pPr>
      <w:r>
        <w:rPr>
          <w:rFonts w:hint="eastAsia" w:ascii="Arial" w:hAnsi="Arial" w:eastAsia="宋体" w:cs="Arial"/>
          <w:snapToGrid w:val="0"/>
          <w:sz w:val="24"/>
          <w:lang w:eastAsia="zh-CN"/>
        </w:rPr>
        <w:t>鲁尔接口适配器（血管管路连接器）；</w:t>
      </w:r>
    </w:p>
    <w:p w14:paraId="0D597A71">
      <w:pPr>
        <w:pStyle w:val="22"/>
        <w:numPr>
          <w:ilvl w:val="1"/>
          <w:numId w:val="4"/>
        </w:numPr>
        <w:tabs>
          <w:tab w:val="left" w:pos="1418"/>
        </w:tabs>
        <w:topLinePunct/>
        <w:autoSpaceDE/>
        <w:autoSpaceDN/>
        <w:adjustRightInd w:val="0"/>
        <w:snapToGrid w:val="0"/>
        <w:spacing w:line="288" w:lineRule="auto"/>
        <w:ind w:left="1416" w:leftChars="451" w:hanging="424" w:hangingChars="177"/>
        <w:jc w:val="both"/>
        <w:rPr>
          <w:rFonts w:ascii="Arial" w:hAnsi="Arial" w:eastAsia="宋体" w:cs="Arial"/>
          <w:snapToGrid w:val="0"/>
          <w:sz w:val="24"/>
        </w:rPr>
      </w:pPr>
      <w:r>
        <w:rPr>
          <w:rFonts w:hint="eastAsia" w:ascii="Arial" w:hAnsi="Arial" w:eastAsia="宋体" w:cs="Arial"/>
          <w:snapToGrid w:val="0"/>
          <w:sz w:val="24"/>
          <w:lang w:eastAsia="zh-CN"/>
        </w:rPr>
        <w:t>接口；</w:t>
      </w:r>
    </w:p>
    <w:p w14:paraId="40759A19">
      <w:pPr>
        <w:pStyle w:val="22"/>
        <w:numPr>
          <w:ilvl w:val="1"/>
          <w:numId w:val="4"/>
        </w:numPr>
        <w:tabs>
          <w:tab w:val="left" w:pos="1418"/>
        </w:tabs>
        <w:topLinePunct/>
        <w:autoSpaceDE/>
        <w:autoSpaceDN/>
        <w:adjustRightInd w:val="0"/>
        <w:snapToGrid w:val="0"/>
        <w:spacing w:line="288" w:lineRule="auto"/>
        <w:ind w:left="1416" w:leftChars="451" w:hanging="424" w:hangingChars="177"/>
        <w:jc w:val="both"/>
        <w:rPr>
          <w:rFonts w:ascii="Arial" w:hAnsi="Arial" w:eastAsia="宋体" w:cs="Arial"/>
          <w:snapToGrid w:val="0"/>
          <w:sz w:val="24"/>
        </w:rPr>
      </w:pPr>
      <w:r>
        <w:rPr>
          <w:rFonts w:hint="eastAsia" w:ascii="Arial" w:hAnsi="Arial" w:eastAsia="宋体" w:cs="Arial"/>
          <w:snapToGrid w:val="0"/>
          <w:sz w:val="24"/>
          <w:highlight w:val="yellow"/>
          <w:lang w:eastAsia="zh-CN"/>
        </w:rPr>
        <w:t>缝线翼</w:t>
      </w:r>
      <w:r>
        <w:rPr>
          <w:rFonts w:hint="eastAsia" w:ascii="Arial" w:hAnsi="Arial" w:eastAsia="宋体" w:cs="Arial"/>
          <w:snapToGrid w:val="0"/>
          <w:sz w:val="24"/>
          <w:lang w:eastAsia="zh-CN"/>
        </w:rPr>
        <w:t>；</w:t>
      </w:r>
    </w:p>
    <w:p w14:paraId="0957C181">
      <w:pPr>
        <w:pStyle w:val="22"/>
        <w:numPr>
          <w:ilvl w:val="1"/>
          <w:numId w:val="4"/>
        </w:numPr>
        <w:tabs>
          <w:tab w:val="left" w:pos="1418"/>
        </w:tabs>
        <w:topLinePunct/>
        <w:autoSpaceDE/>
        <w:autoSpaceDN/>
        <w:adjustRightInd w:val="0"/>
        <w:snapToGrid w:val="0"/>
        <w:spacing w:line="288" w:lineRule="auto"/>
        <w:ind w:left="1416" w:leftChars="451" w:hanging="424" w:hangingChars="177"/>
        <w:jc w:val="both"/>
        <w:rPr>
          <w:rFonts w:ascii="Arial" w:hAnsi="Arial" w:eastAsia="宋体" w:cs="Arial"/>
          <w:snapToGrid w:val="0"/>
          <w:sz w:val="24"/>
        </w:rPr>
      </w:pPr>
      <w:r>
        <w:rPr>
          <w:rFonts w:hint="eastAsia" w:ascii="Arial" w:hAnsi="Arial" w:eastAsia="宋体" w:cs="Arial"/>
          <w:snapToGrid w:val="0"/>
          <w:sz w:val="24"/>
          <w:highlight w:val="yellow"/>
          <w:lang w:eastAsia="zh-CN"/>
        </w:rPr>
        <w:t>端帽</w:t>
      </w:r>
      <w:r>
        <w:rPr>
          <w:rFonts w:hint="eastAsia" w:ascii="Arial" w:hAnsi="Arial" w:eastAsia="宋体" w:cs="Arial"/>
          <w:snapToGrid w:val="0"/>
          <w:sz w:val="24"/>
          <w:lang w:eastAsia="zh-CN"/>
        </w:rPr>
        <w:t>；</w:t>
      </w:r>
    </w:p>
    <w:p w14:paraId="038C92CE">
      <w:pPr>
        <w:pStyle w:val="22"/>
        <w:numPr>
          <w:ilvl w:val="1"/>
          <w:numId w:val="4"/>
        </w:numPr>
        <w:tabs>
          <w:tab w:val="left" w:pos="1418"/>
        </w:tabs>
        <w:topLinePunct/>
        <w:autoSpaceDE/>
        <w:autoSpaceDN/>
        <w:adjustRightInd w:val="0"/>
        <w:snapToGrid w:val="0"/>
        <w:spacing w:line="288" w:lineRule="auto"/>
        <w:ind w:left="1416" w:leftChars="451" w:hanging="424" w:hangingChars="177"/>
        <w:jc w:val="both"/>
        <w:rPr>
          <w:rFonts w:ascii="Arial" w:hAnsi="Arial" w:eastAsia="宋体" w:cs="Arial"/>
          <w:snapToGrid w:val="0"/>
          <w:sz w:val="24"/>
        </w:rPr>
      </w:pPr>
      <w:r>
        <w:rPr>
          <w:rFonts w:hint="eastAsia" w:ascii="Arial" w:hAnsi="Arial" w:eastAsia="宋体" w:cs="Arial"/>
          <w:snapToGrid w:val="0"/>
          <w:sz w:val="24"/>
          <w:lang w:eastAsia="zh-CN"/>
        </w:rPr>
        <w:t>涂层；</w:t>
      </w:r>
    </w:p>
    <w:p w14:paraId="5933091C">
      <w:pPr>
        <w:pStyle w:val="22"/>
        <w:numPr>
          <w:ilvl w:val="1"/>
          <w:numId w:val="4"/>
        </w:numPr>
        <w:tabs>
          <w:tab w:val="left" w:pos="1418"/>
        </w:tabs>
        <w:topLinePunct/>
        <w:autoSpaceDE/>
        <w:autoSpaceDN/>
        <w:adjustRightInd w:val="0"/>
        <w:snapToGrid w:val="0"/>
        <w:spacing w:line="288" w:lineRule="auto"/>
        <w:ind w:left="1416" w:leftChars="451" w:hanging="424" w:hangingChars="177"/>
        <w:jc w:val="both"/>
        <w:rPr>
          <w:rFonts w:ascii="Arial" w:hAnsi="Arial" w:eastAsia="宋体" w:cs="Arial"/>
          <w:snapToGrid w:val="0"/>
          <w:sz w:val="24"/>
        </w:rPr>
      </w:pPr>
      <w:r>
        <w:rPr>
          <w:rFonts w:hint="eastAsia" w:ascii="Arial" w:hAnsi="Arial" w:eastAsia="宋体" w:cs="Arial"/>
          <w:snapToGrid w:val="0"/>
          <w:sz w:val="24"/>
          <w:lang w:eastAsia="zh-CN"/>
        </w:rPr>
        <w:t>粘合剂；和</w:t>
      </w:r>
    </w:p>
    <w:p w14:paraId="73A4CE18">
      <w:pPr>
        <w:pStyle w:val="22"/>
        <w:numPr>
          <w:ilvl w:val="1"/>
          <w:numId w:val="4"/>
        </w:numPr>
        <w:tabs>
          <w:tab w:val="left" w:pos="1418"/>
        </w:tabs>
        <w:topLinePunct/>
        <w:autoSpaceDE/>
        <w:autoSpaceDN/>
        <w:adjustRightInd w:val="0"/>
        <w:snapToGrid w:val="0"/>
        <w:spacing w:after="299" w:afterLines="100" w:line="288" w:lineRule="auto"/>
        <w:ind w:left="1416" w:leftChars="451" w:hanging="424" w:hangingChars="177"/>
        <w:jc w:val="both"/>
        <w:rPr>
          <w:rFonts w:ascii="Arial" w:hAnsi="Arial" w:eastAsia="宋体" w:cs="Arial"/>
          <w:snapToGrid w:val="0"/>
          <w:sz w:val="24"/>
        </w:rPr>
      </w:pPr>
      <w:r>
        <w:rPr>
          <w:rFonts w:hint="eastAsia" w:ascii="Arial" w:hAnsi="Arial" w:eastAsia="宋体" w:cs="Arial"/>
          <w:snapToGrid w:val="0"/>
          <w:sz w:val="24"/>
          <w:lang w:eastAsia="zh-CN"/>
        </w:rPr>
        <w:t>着色剂或印墨。</w:t>
      </w:r>
    </w:p>
    <w:p w14:paraId="2D354A0C">
      <w:pPr>
        <w:pStyle w:val="22"/>
        <w:numPr>
          <w:ilvl w:val="0"/>
          <w:numId w:val="4"/>
        </w:numPr>
        <w:tabs>
          <w:tab w:val="left" w:pos="960"/>
        </w:tabs>
        <w:topLinePunct/>
        <w:autoSpaceDE/>
        <w:autoSpaceDN/>
        <w:adjustRightInd w:val="0"/>
        <w:snapToGrid w:val="0"/>
        <w:spacing w:after="224" w:afterLines="75" w:line="288" w:lineRule="auto"/>
        <w:ind w:left="991" w:leftChars="271" w:hanging="395"/>
        <w:jc w:val="both"/>
        <w:rPr>
          <w:rFonts w:ascii="Arial" w:hAnsi="Arial" w:eastAsia="宋体" w:cs="Arial"/>
          <w:snapToGrid w:val="0"/>
          <w:sz w:val="24"/>
        </w:rPr>
      </w:pPr>
      <w:bookmarkStart w:id="21" w:name="Biocompatibility"/>
      <w:bookmarkEnd w:id="21"/>
      <w:bookmarkStart w:id="22" w:name="Device_Materials"/>
      <w:bookmarkEnd w:id="22"/>
      <w:r>
        <w:rPr>
          <w:rFonts w:hint="eastAsia" w:ascii="Arial" w:hAnsi="Arial" w:eastAsia="宋体" w:cs="Arial"/>
          <w:snapToGrid w:val="0"/>
          <w:sz w:val="24"/>
          <w:lang w:eastAsia="zh-CN"/>
        </w:rPr>
        <w:t>性能规格</w:t>
      </w:r>
    </w:p>
    <w:p w14:paraId="594A51F8">
      <w:pPr>
        <w:pStyle w:val="22"/>
        <w:numPr>
          <w:ilvl w:val="0"/>
          <w:numId w:val="4"/>
        </w:numPr>
        <w:tabs>
          <w:tab w:val="left" w:pos="960"/>
        </w:tabs>
        <w:topLinePunct/>
        <w:autoSpaceDE/>
        <w:autoSpaceDN/>
        <w:adjustRightInd w:val="0"/>
        <w:snapToGrid w:val="0"/>
        <w:spacing w:after="224" w:afterLines="75" w:line="288" w:lineRule="auto"/>
        <w:ind w:left="991" w:leftChars="271" w:hanging="395"/>
        <w:jc w:val="both"/>
        <w:rPr>
          <w:rFonts w:ascii="Arial" w:hAnsi="Arial" w:eastAsia="宋体" w:cs="Arial"/>
          <w:snapToGrid w:val="0"/>
          <w:sz w:val="24"/>
        </w:rPr>
      </w:pPr>
      <w:r>
        <w:rPr>
          <w:rFonts w:hint="eastAsia" w:ascii="Arial" w:hAnsi="Arial" w:eastAsia="宋体" w:cs="Arial"/>
          <w:snapToGrid w:val="0"/>
          <w:sz w:val="24"/>
          <w:lang w:eastAsia="zh-CN"/>
        </w:rPr>
        <w:t>设计参数</w:t>
      </w:r>
      <w:r>
        <w:rPr>
          <w:rFonts w:hint="eastAsia" w:ascii="Arial" w:hAnsi="Arial" w:eastAsia="宋体" w:cs="Arial"/>
          <w:snapToGrid w:val="0"/>
          <w:sz w:val="24"/>
        </w:rPr>
        <w:t>，</w:t>
      </w:r>
      <w:r>
        <w:rPr>
          <w:rFonts w:hint="eastAsia" w:ascii="Arial" w:hAnsi="Arial" w:eastAsia="宋体" w:cs="Arial"/>
          <w:snapToGrid w:val="0"/>
          <w:sz w:val="24"/>
          <w:lang w:eastAsia="zh-CN"/>
        </w:rPr>
        <w:t>包括：</w:t>
      </w:r>
    </w:p>
    <w:p w14:paraId="1C37D4A9">
      <w:pPr>
        <w:pStyle w:val="22"/>
        <w:numPr>
          <w:ilvl w:val="1"/>
          <w:numId w:val="4"/>
        </w:numPr>
        <w:tabs>
          <w:tab w:val="left" w:pos="1320"/>
        </w:tabs>
        <w:topLinePunct/>
        <w:autoSpaceDE/>
        <w:autoSpaceDN/>
        <w:adjustRightInd w:val="0"/>
        <w:snapToGrid w:val="0"/>
        <w:spacing w:line="288" w:lineRule="auto"/>
        <w:ind w:left="1416" w:leftChars="451" w:hanging="424" w:hangingChars="177"/>
        <w:jc w:val="both"/>
        <w:rPr>
          <w:rFonts w:ascii="Arial" w:hAnsi="Arial" w:eastAsia="宋体" w:cs="Arial"/>
          <w:snapToGrid w:val="0"/>
          <w:sz w:val="24"/>
        </w:rPr>
      </w:pPr>
      <w:r>
        <w:rPr>
          <w:rFonts w:hint="eastAsia" w:ascii="Arial" w:hAnsi="Arial" w:eastAsia="宋体" w:cs="Arial"/>
          <w:snapToGrid w:val="0"/>
          <w:sz w:val="24"/>
          <w:lang w:eastAsia="zh-CN"/>
        </w:rPr>
        <w:t>导管类型</w:t>
      </w:r>
      <w:r>
        <w:rPr>
          <w:rFonts w:hint="eastAsia" w:ascii="Arial" w:hAnsi="Arial" w:eastAsia="宋体" w:cs="Arial"/>
          <w:snapToGrid w:val="0"/>
          <w:sz w:val="24"/>
        </w:rPr>
        <w:t>；</w:t>
      </w:r>
    </w:p>
    <w:p w14:paraId="1644724A">
      <w:pPr>
        <w:pStyle w:val="22"/>
        <w:numPr>
          <w:ilvl w:val="1"/>
          <w:numId w:val="4"/>
        </w:numPr>
        <w:tabs>
          <w:tab w:val="left" w:pos="1320"/>
        </w:tabs>
        <w:topLinePunct/>
        <w:autoSpaceDE/>
        <w:autoSpaceDN/>
        <w:adjustRightInd w:val="0"/>
        <w:snapToGrid w:val="0"/>
        <w:spacing w:line="288" w:lineRule="auto"/>
        <w:ind w:left="1416" w:leftChars="451" w:hanging="424" w:hangingChars="177"/>
        <w:jc w:val="both"/>
        <w:rPr>
          <w:rFonts w:ascii="Arial" w:hAnsi="Arial" w:eastAsia="宋体" w:cs="Arial"/>
          <w:snapToGrid w:val="0"/>
          <w:sz w:val="24"/>
        </w:rPr>
      </w:pPr>
      <w:r>
        <w:rPr>
          <w:rFonts w:hint="eastAsia" w:ascii="Arial" w:hAnsi="Arial" w:eastAsia="宋体" w:cs="Arial"/>
          <w:snapToGrid w:val="0"/>
          <w:sz w:val="24"/>
          <w:lang w:eastAsia="zh-CN"/>
        </w:rPr>
        <w:t>袖带数量；</w:t>
      </w:r>
    </w:p>
    <w:p w14:paraId="73FCF9F9">
      <w:pPr>
        <w:pStyle w:val="22"/>
        <w:numPr>
          <w:ilvl w:val="1"/>
          <w:numId w:val="4"/>
        </w:numPr>
        <w:tabs>
          <w:tab w:val="left" w:pos="1320"/>
        </w:tabs>
        <w:topLinePunct/>
        <w:autoSpaceDE/>
        <w:autoSpaceDN/>
        <w:adjustRightInd w:val="0"/>
        <w:snapToGrid w:val="0"/>
        <w:spacing w:line="288" w:lineRule="auto"/>
        <w:ind w:left="1416" w:leftChars="451" w:hanging="424" w:hangingChars="177"/>
        <w:jc w:val="both"/>
        <w:rPr>
          <w:rFonts w:ascii="Arial" w:hAnsi="Arial" w:eastAsia="宋体" w:cs="Arial"/>
          <w:snapToGrid w:val="0"/>
          <w:sz w:val="24"/>
        </w:rPr>
      </w:pPr>
      <w:r>
        <w:rPr>
          <w:rFonts w:hint="eastAsia" w:ascii="Arial" w:hAnsi="Arial" w:eastAsia="宋体" w:cs="Arial"/>
          <w:snapToGrid w:val="0"/>
          <w:sz w:val="24"/>
          <w:lang w:eastAsia="zh-CN"/>
        </w:rPr>
        <w:t>外径与内径；</w:t>
      </w:r>
    </w:p>
    <w:p w14:paraId="5209CEDF">
      <w:pPr>
        <w:pStyle w:val="22"/>
        <w:numPr>
          <w:ilvl w:val="1"/>
          <w:numId w:val="4"/>
        </w:numPr>
        <w:tabs>
          <w:tab w:val="left" w:pos="1320"/>
        </w:tabs>
        <w:topLinePunct/>
        <w:autoSpaceDE/>
        <w:autoSpaceDN/>
        <w:adjustRightInd w:val="0"/>
        <w:snapToGrid w:val="0"/>
        <w:spacing w:line="288" w:lineRule="auto"/>
        <w:ind w:left="1416" w:leftChars="451" w:hanging="424" w:hangingChars="177"/>
        <w:jc w:val="both"/>
        <w:rPr>
          <w:rFonts w:ascii="Arial" w:hAnsi="Arial" w:eastAsia="宋体" w:cs="Arial"/>
          <w:snapToGrid w:val="0"/>
          <w:sz w:val="24"/>
        </w:rPr>
      </w:pPr>
      <w:r>
        <w:rPr>
          <w:rFonts w:hint="eastAsia" w:ascii="Arial" w:hAnsi="Arial" w:eastAsia="宋体" w:cs="Arial"/>
          <w:snapToGrid w:val="0"/>
          <w:sz w:val="24"/>
          <w:lang w:eastAsia="zh-CN"/>
        </w:rPr>
        <w:t>长度；和</w:t>
      </w:r>
    </w:p>
    <w:p w14:paraId="3F949D5A">
      <w:pPr>
        <w:pStyle w:val="22"/>
        <w:numPr>
          <w:ilvl w:val="1"/>
          <w:numId w:val="4"/>
        </w:numPr>
        <w:tabs>
          <w:tab w:val="left" w:pos="1320"/>
        </w:tabs>
        <w:topLinePunct/>
        <w:autoSpaceDE/>
        <w:autoSpaceDN/>
        <w:adjustRightInd w:val="0"/>
        <w:snapToGrid w:val="0"/>
        <w:spacing w:after="224" w:afterLines="75" w:line="288" w:lineRule="auto"/>
        <w:ind w:left="1416" w:leftChars="451" w:hanging="424" w:hangingChars="177"/>
        <w:jc w:val="both"/>
        <w:rPr>
          <w:rFonts w:ascii="Arial" w:hAnsi="Arial" w:eastAsia="宋体" w:cs="Arial"/>
          <w:snapToGrid w:val="0"/>
          <w:sz w:val="24"/>
        </w:rPr>
      </w:pPr>
      <w:r>
        <w:rPr>
          <w:rFonts w:hint="eastAsia" w:ascii="Arial" w:hAnsi="Arial" w:eastAsia="宋体" w:cs="Arial"/>
          <w:snapToGrid w:val="0"/>
          <w:sz w:val="24"/>
          <w:lang w:eastAsia="zh-CN"/>
        </w:rPr>
        <w:t>缝合器信息。</w:t>
      </w:r>
    </w:p>
    <w:p w14:paraId="50645C79">
      <w:pPr>
        <w:pStyle w:val="4"/>
        <w:numPr>
          <w:ilvl w:val="1"/>
          <w:numId w:val="1"/>
        </w:numPr>
        <w:tabs>
          <w:tab w:val="left" w:pos="1679"/>
          <w:tab w:val="left" w:pos="1680"/>
        </w:tabs>
        <w:topLinePunct/>
        <w:autoSpaceDE/>
        <w:autoSpaceDN/>
        <w:adjustRightInd w:val="0"/>
        <w:snapToGrid w:val="0"/>
        <w:spacing w:after="224" w:afterLines="75" w:line="288" w:lineRule="auto"/>
        <w:ind w:left="719" w:leftChars="327" w:firstLine="0"/>
        <w:jc w:val="both"/>
        <w:rPr>
          <w:rFonts w:ascii="Arial" w:hAnsi="Arial" w:eastAsia="宋体" w:cs="Arial"/>
          <w:snapToGrid w:val="0"/>
          <w:sz w:val="28"/>
        </w:rPr>
      </w:pPr>
      <w:bookmarkStart w:id="23" w:name="_bookmark9"/>
      <w:bookmarkEnd w:id="23"/>
      <w:bookmarkStart w:id="24" w:name="_Toc499129123"/>
      <w:r>
        <w:rPr>
          <w:rFonts w:hint="eastAsia" w:ascii="Arial" w:hAnsi="Arial" w:eastAsia="宋体" w:cs="Arial"/>
          <w:snapToGrid w:val="0"/>
          <w:sz w:val="28"/>
        </w:rPr>
        <w:t>器械材料</w:t>
      </w:r>
      <w:bookmarkEnd w:id="24"/>
    </w:p>
    <w:p w14:paraId="765082C0">
      <w:pPr>
        <w:topLinePunct/>
        <w:autoSpaceDE/>
        <w:autoSpaceDN/>
        <w:adjustRightInd w:val="0"/>
        <w:snapToGrid w:val="0"/>
        <w:spacing w:after="224" w:afterLines="75" w:line="288" w:lineRule="auto"/>
        <w:jc w:val="both"/>
        <w:rPr>
          <w:rFonts w:ascii="Arial" w:hAnsi="Arial" w:eastAsia="宋体" w:cs="Arial"/>
          <w:i/>
          <w:snapToGrid w:val="0"/>
          <w:sz w:val="24"/>
          <w:lang w:eastAsia="zh-CN"/>
        </w:rPr>
      </w:pPr>
      <w:r>
        <w:rPr>
          <w:rFonts w:ascii="Arial" w:hAnsi="Arial" w:eastAsia="宋体" w:cs="Arial"/>
          <w:snapToGrid w:val="0"/>
          <w:sz w:val="24"/>
          <w:lang w:eastAsia="zh-CN"/>
        </w:rPr>
        <w:t>FDA</w:t>
      </w:r>
      <w:r>
        <w:rPr>
          <w:rFonts w:hint="eastAsia" w:ascii="Arial" w:hAnsi="Arial" w:eastAsia="宋体" w:cs="Arial"/>
          <w:snapToGrid w:val="0"/>
          <w:sz w:val="24"/>
          <w:lang w:eastAsia="zh-CN"/>
        </w:rPr>
        <w:t>已制定要求</w:t>
      </w:r>
      <w:r>
        <w:rPr>
          <w:rFonts w:hint="eastAsia" w:ascii="宋体" w:hAnsi="宋体" w:eastAsia="宋体" w:cs="Arial"/>
          <w:snapToGrid w:val="0"/>
          <w:sz w:val="24"/>
          <w:lang w:eastAsia="zh-CN"/>
        </w:rPr>
        <w:t>“</w:t>
      </w:r>
      <w:r>
        <w:rPr>
          <w:rFonts w:hint="eastAsia" w:ascii="Arial" w:hAnsi="Arial" w:eastAsia="宋体" w:cs="Arial"/>
          <w:snapToGrid w:val="0"/>
          <w:sz w:val="24"/>
          <w:lang w:eastAsia="zh-CN"/>
        </w:rPr>
        <w:t>必须提供材料名称和指定标准编号</w:t>
      </w:r>
      <w:r>
        <w:rPr>
          <w:rFonts w:hint="eastAsia" w:ascii="宋体" w:hAnsi="宋体" w:eastAsia="宋体" w:cs="Arial"/>
          <w:snapToGrid w:val="0"/>
          <w:sz w:val="24"/>
          <w:lang w:eastAsia="zh-CN"/>
        </w:rPr>
        <w:t>”</w:t>
      </w:r>
      <w:r>
        <w:rPr>
          <w:rFonts w:hint="eastAsia" w:ascii="Arial" w:hAnsi="Arial" w:eastAsia="宋体" w:cs="Arial"/>
          <w:snapToGrid w:val="0"/>
          <w:sz w:val="24"/>
          <w:lang w:eastAsia="zh-CN"/>
        </w:rPr>
        <w:t>的特殊控制</w:t>
      </w:r>
      <w:r>
        <w:rPr>
          <w:rFonts w:hint="eastAsia" w:ascii="Arial" w:hAnsi="Arial" w:eastAsia="宋体" w:cs="Arial"/>
          <w:i/>
          <w:snapToGrid w:val="0"/>
          <w:sz w:val="24"/>
          <w:lang w:eastAsia="zh-CN"/>
        </w:rPr>
        <w:t>（</w:t>
      </w:r>
      <w:r>
        <w:rPr>
          <w:rFonts w:ascii="Arial" w:hAnsi="Arial" w:eastAsia="宋体" w:cs="Arial"/>
          <w:i/>
          <w:snapToGrid w:val="0"/>
          <w:sz w:val="24"/>
          <w:lang w:eastAsia="zh-CN"/>
        </w:rPr>
        <w:t>21 CFR 876.5540</w:t>
      </w:r>
      <w:r>
        <w:rPr>
          <w:rFonts w:hint="eastAsia" w:ascii="Arial" w:hAnsi="Arial" w:eastAsia="宋体" w:cs="Arial"/>
          <w:i/>
          <w:snapToGrid w:val="0"/>
          <w:sz w:val="24"/>
          <w:lang w:eastAsia="zh-CN"/>
        </w:rPr>
        <w:t>（</w:t>
      </w:r>
      <w:r>
        <w:rPr>
          <w:rFonts w:ascii="Arial" w:hAnsi="Arial" w:eastAsia="宋体" w:cs="Arial"/>
          <w:i/>
          <w:snapToGrid w:val="0"/>
          <w:sz w:val="24"/>
          <w:lang w:eastAsia="zh-CN"/>
        </w:rPr>
        <w:t>b</w:t>
      </w:r>
      <w:r>
        <w:rPr>
          <w:rFonts w:hint="eastAsia" w:ascii="Arial" w:hAnsi="Arial" w:eastAsia="宋体" w:cs="Arial"/>
          <w:i/>
          <w:snapToGrid w:val="0"/>
          <w:sz w:val="24"/>
          <w:lang w:eastAsia="zh-CN"/>
        </w:rPr>
        <w:t>）（</w:t>
      </w:r>
      <w:r>
        <w:rPr>
          <w:rFonts w:ascii="Arial" w:hAnsi="Arial" w:eastAsia="宋体" w:cs="Arial"/>
          <w:i/>
          <w:snapToGrid w:val="0"/>
          <w:sz w:val="24"/>
          <w:lang w:eastAsia="zh-CN"/>
        </w:rPr>
        <w:t>1</w:t>
      </w:r>
      <w:r>
        <w:rPr>
          <w:rFonts w:hint="eastAsia" w:ascii="Arial" w:hAnsi="Arial" w:eastAsia="宋体" w:cs="Arial"/>
          <w:i/>
          <w:snapToGrid w:val="0"/>
          <w:sz w:val="24"/>
          <w:lang w:eastAsia="zh-CN"/>
        </w:rPr>
        <w:t>）（</w:t>
      </w:r>
      <w:r>
        <w:rPr>
          <w:rFonts w:ascii="Arial" w:hAnsi="Arial" w:eastAsia="宋体" w:cs="Arial"/>
          <w:i/>
          <w:snapToGrid w:val="0"/>
          <w:sz w:val="24"/>
          <w:lang w:eastAsia="zh-CN"/>
        </w:rPr>
        <w:t>i</w:t>
      </w:r>
      <w:r>
        <w:rPr>
          <w:rFonts w:hint="eastAsia" w:ascii="Arial" w:hAnsi="Arial" w:eastAsia="宋体" w:cs="Arial"/>
          <w:i/>
          <w:snapToGrid w:val="0"/>
          <w:sz w:val="24"/>
          <w:lang w:eastAsia="zh-CN"/>
        </w:rPr>
        <w:t>））。</w:t>
      </w:r>
    </w:p>
    <w:p w14:paraId="48EF9167">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r>
        <w:rPr>
          <w:rFonts w:hint="eastAsia" w:ascii="Arial" w:hAnsi="Arial" w:eastAsia="宋体" w:cs="Arial"/>
          <w:snapToGrid w:val="0"/>
          <w:lang w:eastAsia="zh-CN"/>
        </w:rPr>
        <w:t>建议：如上述A节</w:t>
      </w:r>
      <w:r>
        <w:rPr>
          <w:rFonts w:hint="eastAsia" w:ascii="宋体" w:hAnsi="宋体" w:eastAsia="宋体" w:cs="Arial"/>
          <w:snapToGrid w:val="0"/>
          <w:lang w:eastAsia="zh-CN"/>
        </w:rPr>
        <w:t>“</w:t>
      </w:r>
      <w:r>
        <w:rPr>
          <w:rFonts w:hint="eastAsia" w:ascii="Arial" w:hAnsi="Arial" w:eastAsia="宋体" w:cs="Arial"/>
          <w:snapToGrid w:val="0"/>
          <w:lang w:eastAsia="zh-CN"/>
        </w:rPr>
        <w:t>器械描述</w:t>
      </w:r>
      <w:r>
        <w:rPr>
          <w:rFonts w:hint="eastAsia" w:ascii="宋体" w:hAnsi="宋体" w:eastAsia="宋体" w:cs="Arial"/>
          <w:snapToGrid w:val="0"/>
          <w:lang w:eastAsia="zh-CN"/>
        </w:rPr>
        <w:t>”</w:t>
      </w:r>
      <w:r>
        <w:rPr>
          <w:rFonts w:hint="eastAsia" w:ascii="Arial" w:hAnsi="Arial" w:eastAsia="宋体" w:cs="Arial"/>
          <w:snapToGrid w:val="0"/>
          <w:lang w:eastAsia="zh-CN"/>
        </w:rPr>
        <w:t>中规定，510（k）中应提供用于制造血液透析管路全部部件的所有材料的标识，包括全部着色剂（印墨、染料、标记等）、塑化剂（包括二（</w:t>
      </w:r>
      <w:r>
        <w:rPr>
          <w:rFonts w:ascii="Arial" w:hAnsi="Arial" w:eastAsia="宋体" w:cs="Arial"/>
          <w:snapToGrid w:val="0"/>
          <w:lang w:eastAsia="zh-CN"/>
        </w:rPr>
        <w:t>2</w:t>
      </w:r>
      <w:r>
        <w:rPr>
          <w:rFonts w:hint="eastAsia" w:ascii="Arial" w:hAnsi="Arial" w:eastAsia="宋体" w:cs="Arial"/>
          <w:snapToGrid w:val="0"/>
          <w:lang w:eastAsia="zh-CN"/>
        </w:rPr>
        <w:t>-乙基己基）邻苯二甲酸或</w:t>
      </w:r>
      <w:r>
        <w:rPr>
          <w:rFonts w:ascii="Arial" w:hAnsi="Arial" w:eastAsia="宋体" w:cs="Arial"/>
          <w:snapToGrid w:val="0"/>
          <w:lang w:eastAsia="zh-CN"/>
        </w:rPr>
        <w:t>DEHP</w:t>
      </w:r>
      <w:r>
        <w:rPr>
          <w:rFonts w:hint="eastAsia" w:ascii="Arial" w:hAnsi="Arial" w:eastAsia="宋体" w:cs="Arial"/>
          <w:snapToGrid w:val="0"/>
          <w:lang w:eastAsia="zh-CN"/>
        </w:rPr>
        <w:t>）、乳化剂、脱模剂、添加剂或涂层（进一步讨论见第I节</w:t>
      </w:r>
      <w:r>
        <w:rPr>
          <w:rFonts w:hint="eastAsia" w:ascii="宋体" w:hAnsi="宋体" w:eastAsia="宋体" w:cs="Arial"/>
          <w:snapToGrid w:val="0"/>
          <w:lang w:eastAsia="zh-CN"/>
        </w:rPr>
        <w:t>“</w:t>
      </w:r>
      <w:r>
        <w:rPr>
          <w:rFonts w:hint="eastAsia" w:ascii="Arial" w:hAnsi="Arial" w:eastAsia="宋体" w:cs="Arial"/>
          <w:snapToGrid w:val="0"/>
          <w:lang w:eastAsia="zh-CN"/>
        </w:rPr>
        <w:t>特殊考虑</w:t>
      </w:r>
      <w:r>
        <w:rPr>
          <w:rFonts w:ascii="Arial" w:hAnsi="Arial" w:eastAsia="宋体" w:cs="Arial"/>
          <w:snapToGrid w:val="0"/>
          <w:lang w:eastAsia="zh-CN"/>
        </w:rPr>
        <w:t>–</w:t>
      </w:r>
      <w:r>
        <w:rPr>
          <w:rFonts w:hint="eastAsia" w:ascii="Arial" w:hAnsi="Arial" w:eastAsia="宋体" w:cs="Arial"/>
          <w:snapToGrid w:val="0"/>
          <w:lang w:eastAsia="zh-CN"/>
        </w:rPr>
        <w:t>涂层</w:t>
      </w:r>
      <w:r>
        <w:rPr>
          <w:rFonts w:hint="eastAsia" w:ascii="宋体" w:hAnsi="宋体" w:eastAsia="宋体" w:cs="Arial"/>
          <w:snapToGrid w:val="0"/>
          <w:lang w:eastAsia="zh-CN"/>
        </w:rPr>
        <w:t>”</w:t>
      </w:r>
      <w:r>
        <w:rPr>
          <w:rFonts w:hint="eastAsia" w:ascii="Arial" w:hAnsi="Arial" w:eastAsia="宋体" w:cs="Arial"/>
          <w:snapToGrid w:val="0"/>
          <w:lang w:eastAsia="zh-CN"/>
        </w:rPr>
        <w:t>）。我们建议您根据其直接或间接接触循环血液将这些材料分组。如第A节</w:t>
      </w:r>
      <w:r>
        <w:rPr>
          <w:rFonts w:hint="eastAsia" w:ascii="宋体" w:hAnsi="宋体" w:eastAsia="宋体" w:cs="Arial"/>
          <w:snapToGrid w:val="0"/>
          <w:lang w:eastAsia="zh-CN"/>
        </w:rPr>
        <w:t>“</w:t>
      </w:r>
      <w:r>
        <w:rPr>
          <w:rFonts w:hint="eastAsia" w:ascii="Arial" w:hAnsi="Arial" w:eastAsia="宋体" w:cs="Arial"/>
          <w:snapToGrid w:val="0"/>
          <w:lang w:eastAsia="zh-CN"/>
        </w:rPr>
        <w:t>器械描述</w:t>
      </w:r>
      <w:r>
        <w:rPr>
          <w:rFonts w:hint="eastAsia" w:ascii="宋体" w:hAnsi="宋体" w:eastAsia="宋体" w:cs="Arial"/>
          <w:snapToGrid w:val="0"/>
          <w:lang w:eastAsia="zh-CN"/>
        </w:rPr>
        <w:t>”</w:t>
      </w:r>
      <w:r>
        <w:rPr>
          <w:rFonts w:hint="eastAsia" w:ascii="Arial" w:hAnsi="Arial" w:eastAsia="宋体" w:cs="Arial"/>
          <w:snapToGrid w:val="0"/>
          <w:lang w:eastAsia="zh-CN"/>
        </w:rPr>
        <w:t>中讨论，您应提供申报材料与指定器械材料的详细对比。</w:t>
      </w:r>
    </w:p>
    <w:p w14:paraId="3A5AB493">
      <w:pPr>
        <w:pStyle w:val="4"/>
        <w:numPr>
          <w:ilvl w:val="1"/>
          <w:numId w:val="1"/>
        </w:numPr>
        <w:tabs>
          <w:tab w:val="left" w:pos="1679"/>
          <w:tab w:val="left" w:pos="1680"/>
        </w:tabs>
        <w:topLinePunct/>
        <w:autoSpaceDE/>
        <w:autoSpaceDN/>
        <w:adjustRightInd w:val="0"/>
        <w:snapToGrid w:val="0"/>
        <w:spacing w:after="224" w:afterLines="75" w:line="288" w:lineRule="auto"/>
        <w:ind w:left="719" w:leftChars="327" w:firstLine="0"/>
        <w:jc w:val="both"/>
        <w:rPr>
          <w:rFonts w:ascii="Arial" w:hAnsi="Arial" w:eastAsia="宋体" w:cs="Arial"/>
          <w:snapToGrid w:val="0"/>
          <w:sz w:val="28"/>
        </w:rPr>
      </w:pPr>
      <w:bookmarkStart w:id="25" w:name="_bookmark10"/>
      <w:bookmarkEnd w:id="25"/>
      <w:bookmarkStart w:id="26" w:name="_Toc499129124"/>
      <w:r>
        <w:rPr>
          <w:rFonts w:hint="eastAsia" w:ascii="Arial" w:hAnsi="Arial" w:eastAsia="宋体" w:cs="Arial"/>
          <w:snapToGrid w:val="0"/>
          <w:sz w:val="28"/>
        </w:rPr>
        <w:t>生物相容性</w:t>
      </w:r>
      <w:bookmarkEnd w:id="26"/>
    </w:p>
    <w:p w14:paraId="1E6F51FF">
      <w:pPr>
        <w:topLinePunct/>
        <w:autoSpaceDE/>
        <w:autoSpaceDN/>
        <w:adjustRightInd w:val="0"/>
        <w:snapToGrid w:val="0"/>
        <w:spacing w:after="224" w:afterLines="75" w:line="288" w:lineRule="auto"/>
        <w:jc w:val="both"/>
        <w:rPr>
          <w:rFonts w:ascii="Arial" w:hAnsi="Arial" w:eastAsia="宋体" w:cs="Arial"/>
          <w:i/>
          <w:snapToGrid w:val="0"/>
          <w:sz w:val="24"/>
          <w:lang w:eastAsia="zh-CN"/>
        </w:rPr>
      </w:pPr>
      <w:r>
        <w:rPr>
          <w:rFonts w:ascii="Arial" w:hAnsi="Arial" w:eastAsia="宋体" w:cs="Arial"/>
          <w:snapToGrid w:val="0"/>
          <w:sz w:val="24"/>
          <w:lang w:eastAsia="zh-CN"/>
        </w:rPr>
        <w:t>FDA</w:t>
      </w:r>
      <w:r>
        <w:rPr>
          <w:rFonts w:hint="eastAsia" w:ascii="Arial" w:hAnsi="Arial" w:eastAsia="宋体" w:cs="Arial"/>
          <w:snapToGrid w:val="0"/>
          <w:sz w:val="24"/>
          <w:lang w:eastAsia="zh-CN"/>
        </w:rPr>
        <w:t>已制定要求</w:t>
      </w:r>
      <w:r>
        <w:rPr>
          <w:rFonts w:hint="eastAsia" w:ascii="宋体" w:hAnsi="宋体" w:eastAsia="宋体" w:cs="Arial"/>
          <w:snapToGrid w:val="0"/>
          <w:sz w:val="24"/>
          <w:lang w:eastAsia="zh-CN"/>
        </w:rPr>
        <w:t>“</w:t>
      </w:r>
      <w:r>
        <w:rPr>
          <w:rFonts w:hint="eastAsia" w:ascii="Arial" w:hAnsi="Arial" w:eastAsia="宋体" w:cs="Arial"/>
          <w:snapToGrid w:val="0"/>
          <w:sz w:val="24"/>
          <w:lang w:eastAsia="zh-CN"/>
        </w:rPr>
        <w:t>必须证明接触人体器械的部件具有生物相容性</w:t>
      </w:r>
      <w:r>
        <w:rPr>
          <w:rFonts w:hint="eastAsia" w:ascii="宋体" w:hAnsi="宋体" w:eastAsia="宋体" w:cs="Arial"/>
          <w:snapToGrid w:val="0"/>
          <w:sz w:val="24"/>
          <w:lang w:eastAsia="zh-CN"/>
        </w:rPr>
        <w:t>”</w:t>
      </w:r>
      <w:r>
        <w:rPr>
          <w:rFonts w:hint="eastAsia" w:ascii="Arial" w:hAnsi="Arial" w:eastAsia="宋体" w:cs="Arial"/>
          <w:snapToGrid w:val="0"/>
          <w:sz w:val="24"/>
          <w:lang w:eastAsia="zh-CN"/>
        </w:rPr>
        <w:t>的特殊控制</w:t>
      </w:r>
      <w:r>
        <w:rPr>
          <w:rFonts w:hint="eastAsia" w:ascii="Arial" w:hAnsi="Arial" w:eastAsia="宋体" w:cs="Arial"/>
          <w:i/>
          <w:snapToGrid w:val="0"/>
          <w:sz w:val="24"/>
          <w:lang w:eastAsia="zh-CN"/>
        </w:rPr>
        <w:t>（</w:t>
      </w:r>
      <w:r>
        <w:rPr>
          <w:rFonts w:ascii="Arial" w:hAnsi="Arial" w:eastAsia="宋体" w:cs="Arial"/>
          <w:i/>
          <w:snapToGrid w:val="0"/>
          <w:sz w:val="24"/>
          <w:lang w:eastAsia="zh-CN"/>
        </w:rPr>
        <w:t>21 CFR 876.5540</w:t>
      </w:r>
      <w:r>
        <w:rPr>
          <w:rFonts w:hint="eastAsia" w:ascii="Arial" w:hAnsi="Arial" w:eastAsia="宋体" w:cs="Arial"/>
          <w:i/>
          <w:snapToGrid w:val="0"/>
          <w:sz w:val="24"/>
          <w:lang w:eastAsia="zh-CN"/>
        </w:rPr>
        <w:t>（</w:t>
      </w:r>
      <w:r>
        <w:rPr>
          <w:rFonts w:ascii="Arial" w:hAnsi="Arial" w:eastAsia="宋体" w:cs="Arial"/>
          <w:i/>
          <w:snapToGrid w:val="0"/>
          <w:sz w:val="24"/>
          <w:lang w:eastAsia="zh-CN"/>
        </w:rPr>
        <w:t>b</w:t>
      </w:r>
      <w:r>
        <w:rPr>
          <w:rFonts w:hint="eastAsia" w:ascii="Arial" w:hAnsi="Arial" w:eastAsia="宋体" w:cs="Arial"/>
          <w:i/>
          <w:snapToGrid w:val="0"/>
          <w:sz w:val="24"/>
          <w:lang w:eastAsia="zh-CN"/>
        </w:rPr>
        <w:t>）（</w:t>
      </w:r>
      <w:r>
        <w:rPr>
          <w:rFonts w:ascii="Arial" w:hAnsi="Arial" w:eastAsia="宋体" w:cs="Arial"/>
          <w:i/>
          <w:snapToGrid w:val="0"/>
          <w:sz w:val="24"/>
          <w:lang w:eastAsia="zh-CN"/>
        </w:rPr>
        <w:t>1</w:t>
      </w:r>
      <w:r>
        <w:rPr>
          <w:rFonts w:hint="eastAsia" w:ascii="Arial" w:hAnsi="Arial" w:eastAsia="宋体" w:cs="Arial"/>
          <w:i/>
          <w:snapToGrid w:val="0"/>
          <w:sz w:val="24"/>
          <w:lang w:eastAsia="zh-CN"/>
        </w:rPr>
        <w:t>）（</w:t>
      </w:r>
      <w:r>
        <w:rPr>
          <w:rFonts w:ascii="Arial" w:hAnsi="Arial" w:eastAsia="宋体" w:cs="Arial"/>
          <w:i/>
          <w:snapToGrid w:val="0"/>
          <w:sz w:val="24"/>
          <w:lang w:eastAsia="zh-CN"/>
        </w:rPr>
        <w:t>i</w:t>
      </w:r>
      <w:r>
        <w:rPr>
          <w:rFonts w:hint="eastAsia" w:ascii="Arial" w:hAnsi="Arial" w:eastAsia="宋体" w:cs="Arial"/>
          <w:i/>
          <w:snapToGrid w:val="0"/>
          <w:sz w:val="24"/>
          <w:lang w:eastAsia="zh-CN"/>
        </w:rPr>
        <w:t>））。</w:t>
      </w:r>
    </w:p>
    <w:p w14:paraId="708D9BDF">
      <w:pPr>
        <w:pStyle w:val="7"/>
        <w:topLinePunct/>
        <w:autoSpaceDE/>
        <w:autoSpaceDN/>
        <w:adjustRightInd w:val="0"/>
        <w:snapToGrid w:val="0"/>
        <w:spacing w:after="224" w:afterLines="75" w:line="288" w:lineRule="auto"/>
        <w:rPr>
          <w:rFonts w:ascii="Arial" w:hAnsi="Arial" w:eastAsia="宋体" w:cs="Arial"/>
          <w:snapToGrid w:val="0"/>
          <w:lang w:eastAsia="zh-CN"/>
        </w:rPr>
      </w:pPr>
      <w:r>
        <w:rPr>
          <w:rFonts w:hint="eastAsia" w:ascii="Arial" w:hAnsi="Arial" w:eastAsia="宋体" w:cs="Arial"/>
          <w:snapToGrid w:val="0"/>
          <w:lang w:eastAsia="zh-CN"/>
        </w:rPr>
        <w:t>建议：应当按照题为</w:t>
      </w:r>
      <w:r>
        <w:rPr>
          <w:rFonts w:ascii="Arial" w:hAnsi="Arial" w:eastAsia="宋体" w:cs="Arial"/>
          <w:snapToGrid w:val="0"/>
          <w:lang w:eastAsia="zh-CN"/>
        </w:rPr>
        <w:t>"</w:t>
      </w:r>
      <w:r>
        <w:rPr>
          <w:rFonts w:hint="eastAsia" w:ascii="Arial" w:hAnsi="Arial" w:eastAsia="宋体" w:cs="Arial"/>
          <w:snapToGrid w:val="0"/>
          <w:lang w:eastAsia="zh-CN"/>
        </w:rPr>
        <w:t>国际标准</w:t>
      </w:r>
      <w:r>
        <w:rPr>
          <w:rFonts w:ascii="Arial" w:hAnsi="Arial" w:eastAsia="宋体" w:cs="Arial"/>
          <w:snapToGrid w:val="0"/>
          <w:lang w:eastAsia="zh-CN"/>
        </w:rPr>
        <w:t>ISO-10993</w:t>
      </w:r>
      <w:r>
        <w:rPr>
          <w:rFonts w:hint="eastAsia" w:ascii="Arial" w:hAnsi="Arial" w:eastAsia="宋体" w:cs="Arial"/>
          <w:snapToGrid w:val="0"/>
          <w:lang w:eastAsia="zh-CN"/>
        </w:rPr>
        <w:t>的使用，‘</w:t>
      </w:r>
      <w:r>
        <w:fldChar w:fldCharType="begin"/>
      </w:r>
      <w:r>
        <w:instrText xml:space="preserve"> HYPERLINK "http://www.fda.gov/MedicalDevices/DeviceRegulationandGuidance/GuidanceDocuments/ucm080735.htm" \h </w:instrText>
      </w:r>
      <w:r>
        <w:fldChar w:fldCharType="separate"/>
      </w:r>
      <w:r>
        <w:rPr>
          <w:rFonts w:hint="eastAsia" w:ascii="Arial" w:hAnsi="Arial" w:eastAsia="宋体" w:cs="Arial"/>
          <w:snapToGrid w:val="0"/>
          <w:color w:val="0000FF"/>
          <w:u w:val="single" w:color="0000FF"/>
          <w:lang w:eastAsia="zh-CN"/>
        </w:rPr>
        <w:t>医疗器械生物学评价，第</w:t>
      </w:r>
      <w:r>
        <w:rPr>
          <w:rFonts w:ascii="Arial" w:hAnsi="Arial" w:eastAsia="宋体" w:cs="Arial"/>
          <w:snapToGrid w:val="0"/>
          <w:color w:val="0000FF"/>
          <w:u w:val="single" w:color="0000FF"/>
          <w:lang w:eastAsia="zh-CN"/>
        </w:rPr>
        <w:t>1</w:t>
      </w:r>
      <w:r>
        <w:rPr>
          <w:rFonts w:hint="eastAsia" w:ascii="Arial" w:hAnsi="Arial" w:eastAsia="宋体" w:cs="Arial"/>
          <w:snapToGrid w:val="0"/>
          <w:color w:val="0000FF"/>
          <w:u w:val="single" w:color="0000FF"/>
          <w:lang w:eastAsia="zh-CN"/>
        </w:rPr>
        <w:t>部分：评价与检验</w:t>
      </w:r>
      <w:r>
        <w:rPr>
          <w:rFonts w:hint="eastAsia" w:ascii="Arial" w:hAnsi="Arial" w:eastAsia="宋体" w:cs="Arial"/>
          <w:snapToGrid w:val="0"/>
          <w:color w:val="0000FF"/>
          <w:u w:val="single" w:color="0000FF"/>
          <w:lang w:eastAsia="zh-CN"/>
        </w:rPr>
        <w:fldChar w:fldCharType="end"/>
      </w:r>
      <w:r>
        <w:rPr>
          <w:rFonts w:hint="eastAsia" w:ascii="Arial" w:hAnsi="Arial" w:eastAsia="宋体" w:cs="Arial"/>
          <w:snapToGrid w:val="0"/>
          <w:lang w:eastAsia="zh-CN"/>
        </w:rPr>
        <w:t>’的</w:t>
      </w:r>
      <w:r>
        <w:rPr>
          <w:rFonts w:ascii="Arial" w:hAnsi="Arial" w:eastAsia="宋体" w:cs="Arial"/>
          <w:snapToGrid w:val="0"/>
          <w:lang w:eastAsia="zh-CN"/>
        </w:rPr>
        <w:t>ODE</w:t>
      </w:r>
      <w:r>
        <w:rPr>
          <w:rFonts w:hint="eastAsia" w:ascii="Arial" w:hAnsi="Arial" w:eastAsia="宋体" w:cs="Arial"/>
          <w:snapToGrid w:val="0"/>
          <w:lang w:eastAsia="zh-CN"/>
        </w:rPr>
        <w:t>一般项目备忘录</w:t>
      </w:r>
      <w:r>
        <w:rPr>
          <w:rFonts w:ascii="Arial" w:hAnsi="Arial" w:eastAsia="宋体" w:cs="Arial"/>
          <w:snapToGrid w:val="0"/>
          <w:lang w:eastAsia="zh-CN"/>
        </w:rPr>
        <w:t>#G95-1</w:t>
      </w:r>
      <w:r>
        <w:rPr>
          <w:rFonts w:hint="eastAsia" w:ascii="Arial" w:hAnsi="Arial" w:eastAsia="宋体" w:cs="Arial"/>
          <w:snapToGrid w:val="0"/>
          <w:lang w:eastAsia="zh-CN"/>
        </w:rPr>
        <w:t>（</w:t>
      </w:r>
      <w:r>
        <w:rPr>
          <w:rFonts w:ascii="Arial" w:hAnsi="Arial" w:eastAsia="宋体" w:cs="Arial"/>
          <w:snapToGrid w:val="0"/>
          <w:lang w:eastAsia="zh-CN"/>
        </w:rPr>
        <w:t>1995</w:t>
      </w:r>
      <w:r>
        <w:rPr>
          <w:rFonts w:hint="eastAsia" w:ascii="Arial" w:hAnsi="Arial" w:eastAsia="宋体" w:cs="Arial"/>
          <w:snapToGrid w:val="0"/>
          <w:lang w:eastAsia="zh-CN"/>
        </w:rPr>
        <w:t>）（</w:t>
      </w:r>
      <w:r>
        <w:fldChar w:fldCharType="begin"/>
      </w:r>
      <w:r>
        <w:instrText xml:space="preserve"> HYPERLINK "http://www.fda.gov/MedicalDevices/DeviceRegulationandGuidance/GuidanceDocuments/ucm" \h </w:instrText>
      </w:r>
      <w:r>
        <w:fldChar w:fldCharType="separate"/>
      </w:r>
      <w:r>
        <w:rPr>
          <w:rFonts w:ascii="Arial" w:hAnsi="Arial" w:eastAsia="宋体" w:cs="Arial"/>
          <w:snapToGrid w:val="0"/>
          <w:lang w:eastAsia="zh-CN"/>
        </w:rPr>
        <w:t>http</w:t>
      </w:r>
      <w:r>
        <w:rPr>
          <w:rFonts w:hint="eastAsia" w:ascii="Arial" w:hAnsi="Arial" w:eastAsia="宋体" w:cs="Arial"/>
          <w:snapToGrid w:val="0"/>
          <w:lang w:eastAsia="zh-CN"/>
        </w:rPr>
        <w:t>://</w:t>
      </w:r>
      <w:r>
        <w:rPr>
          <w:rFonts w:ascii="Arial" w:hAnsi="Arial" w:eastAsia="宋体" w:cs="Arial"/>
          <w:snapToGrid w:val="0"/>
          <w:lang w:eastAsia="zh-CN"/>
        </w:rPr>
        <w:t>www.fda.gov/MedicalDevices/DeviceRegulationandGuidance/GuidanceDocuments/ucm</w:t>
      </w:r>
      <w:r>
        <w:rPr>
          <w:rFonts w:ascii="Arial" w:hAnsi="Arial" w:eastAsia="宋体" w:cs="Arial"/>
          <w:snapToGrid w:val="0"/>
          <w:lang w:eastAsia="zh-CN"/>
        </w:rPr>
        <w:fldChar w:fldCharType="end"/>
      </w:r>
      <w:r>
        <w:rPr>
          <w:rFonts w:ascii="Arial" w:hAnsi="Arial" w:eastAsia="宋体" w:cs="Arial"/>
          <w:snapToGrid w:val="0"/>
          <w:lang w:eastAsia="zh-CN"/>
        </w:rPr>
        <w:t xml:space="preserve"> 080735.htm</w:t>
      </w:r>
      <w:r>
        <w:rPr>
          <w:rFonts w:hint="eastAsia" w:ascii="Arial" w:hAnsi="Arial" w:eastAsia="宋体" w:cs="Arial"/>
          <w:snapToGrid w:val="0"/>
          <w:lang w:eastAsia="zh-CN"/>
        </w:rPr>
        <w:t>）建议，对于所有接触患者的材料，提供关于无菌成品的适当生物相容性测试。血液透析管路被视为</w:t>
      </w:r>
      <w:r>
        <w:rPr>
          <w:rFonts w:hint="eastAsia" w:ascii="宋体" w:hAnsi="宋体" w:eastAsia="宋体" w:cs="Arial"/>
          <w:snapToGrid w:val="0"/>
          <w:lang w:eastAsia="zh-CN"/>
        </w:rPr>
        <w:t>“</w:t>
      </w:r>
      <w:r>
        <w:rPr>
          <w:rFonts w:hint="eastAsia" w:ascii="Arial" w:hAnsi="Arial" w:eastAsia="宋体" w:cs="Arial"/>
          <w:snapToGrid w:val="0"/>
          <w:lang w:eastAsia="zh-CN"/>
        </w:rPr>
        <w:t>外部交通器械</w:t>
      </w:r>
      <w:r>
        <w:rPr>
          <w:rFonts w:hint="eastAsia" w:ascii="宋体" w:hAnsi="宋体" w:eastAsia="宋体" w:cs="Arial"/>
          <w:snapToGrid w:val="0"/>
          <w:lang w:eastAsia="zh-CN"/>
        </w:rPr>
        <w:t>”</w:t>
      </w:r>
      <w:r>
        <w:rPr>
          <w:rFonts w:hint="eastAsia" w:ascii="Arial" w:hAnsi="Arial" w:eastAsia="宋体" w:cs="Arial"/>
          <w:snapToGrid w:val="0"/>
          <w:lang w:eastAsia="zh-CN"/>
        </w:rPr>
        <w:t>、</w:t>
      </w:r>
      <w:r>
        <w:rPr>
          <w:rFonts w:hint="eastAsia" w:ascii="宋体" w:hAnsi="宋体" w:eastAsia="宋体" w:cs="Arial"/>
          <w:snapToGrid w:val="0"/>
          <w:lang w:eastAsia="zh-CN"/>
        </w:rPr>
        <w:t>“</w:t>
      </w:r>
      <w:r>
        <w:rPr>
          <w:rFonts w:hint="eastAsia" w:ascii="Arial" w:hAnsi="Arial" w:eastAsia="宋体" w:cs="Arial"/>
          <w:snapToGrid w:val="0"/>
          <w:lang w:eastAsia="zh-CN"/>
        </w:rPr>
        <w:t>循环血液</w:t>
      </w:r>
      <w:r>
        <w:rPr>
          <w:rFonts w:hint="eastAsia" w:ascii="宋体" w:hAnsi="宋体" w:eastAsia="宋体" w:cs="Arial"/>
          <w:snapToGrid w:val="0"/>
          <w:lang w:eastAsia="zh-CN"/>
        </w:rPr>
        <w:t>”</w:t>
      </w:r>
      <w:r>
        <w:rPr>
          <w:rFonts w:hint="eastAsia" w:ascii="Arial" w:hAnsi="Arial" w:eastAsia="宋体" w:cs="Arial"/>
          <w:snapToGrid w:val="0"/>
          <w:lang w:eastAsia="zh-CN"/>
        </w:rPr>
        <w:t>、</w:t>
      </w:r>
      <w:r>
        <w:rPr>
          <w:rFonts w:hint="eastAsia" w:ascii="宋体" w:hAnsi="宋体" w:eastAsia="宋体" w:cs="Arial"/>
          <w:snapToGrid w:val="0"/>
          <w:lang w:eastAsia="zh-CN"/>
        </w:rPr>
        <w:t>“</w:t>
      </w:r>
      <w:r>
        <w:rPr>
          <w:rFonts w:hint="eastAsia" w:ascii="Arial" w:hAnsi="Arial" w:eastAsia="宋体" w:cs="Arial"/>
          <w:snapToGrid w:val="0"/>
          <w:lang w:eastAsia="zh-CN"/>
        </w:rPr>
        <w:t>永久性接触-</w:t>
      </w:r>
      <w:r>
        <w:rPr>
          <w:rFonts w:ascii="Arial" w:hAnsi="Arial" w:eastAsia="宋体" w:cs="Arial"/>
          <w:snapToGrid w:val="0"/>
          <w:lang w:eastAsia="zh-CN"/>
        </w:rPr>
        <w:t>（</w:t>
      </w:r>
      <w:r>
        <w:rPr>
          <w:rFonts w:hint="eastAsia" w:ascii="Arial" w:hAnsi="Arial" w:eastAsia="宋体" w:cs="Arial"/>
          <w:snapToGrid w:val="0"/>
          <w:lang w:eastAsia="zh-CN"/>
        </w:rPr>
        <w:t>C类）</w:t>
      </w:r>
      <w:r>
        <w:rPr>
          <w:rFonts w:hint="eastAsia" w:ascii="宋体" w:hAnsi="宋体" w:eastAsia="宋体" w:cs="Arial"/>
          <w:snapToGrid w:val="0"/>
          <w:lang w:eastAsia="zh-CN"/>
        </w:rPr>
        <w:t>”</w:t>
      </w:r>
      <w:r>
        <w:rPr>
          <w:rFonts w:hint="eastAsia" w:ascii="Arial" w:hAnsi="Arial" w:eastAsia="宋体" w:cs="Arial"/>
          <w:snapToGrid w:val="0"/>
          <w:lang w:eastAsia="zh-CN"/>
        </w:rPr>
        <w:t>。</w:t>
      </w:r>
    </w:p>
    <w:p w14:paraId="6AE41B8D">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r>
        <w:rPr>
          <w:rFonts w:hint="eastAsia" w:ascii="Arial" w:hAnsi="Arial" w:eastAsia="宋体" w:cs="Arial"/>
          <w:snapToGrid w:val="0"/>
          <w:lang w:eastAsia="zh-CN"/>
        </w:rPr>
        <w:t>若不能确定与申报器械使用相同材料并具有类似接触部位／时间及预期用途的合法上市指定器械，我们建议您实施并提供生物相容性风险评估。评估应解释已识别的生物相容性风险之间的关系、为降低已识别风险能获得的信息，并应确定所有剩余的认知差距。随后，应确定所有为降低任何剩余风险而实施的生物相容性测试或其他评价。除非已用其他方法降低，否则应实施以下生物相容性评价：</w:t>
      </w:r>
    </w:p>
    <w:p w14:paraId="1E3EECBA">
      <w:pPr>
        <w:pStyle w:val="22"/>
        <w:numPr>
          <w:ilvl w:val="0"/>
          <w:numId w:val="5"/>
        </w:numPr>
        <w:tabs>
          <w:tab w:val="left" w:pos="1218"/>
        </w:tabs>
        <w:topLinePunct/>
        <w:autoSpaceDE/>
        <w:autoSpaceDN/>
        <w:adjustRightInd w:val="0"/>
        <w:snapToGrid w:val="0"/>
        <w:spacing w:line="288" w:lineRule="auto"/>
        <w:ind w:left="719" w:leftChars="327" w:firstLine="0"/>
        <w:jc w:val="both"/>
        <w:rPr>
          <w:rFonts w:ascii="Arial" w:hAnsi="Arial" w:eastAsia="宋体" w:cs="Arial"/>
          <w:snapToGrid w:val="0"/>
          <w:sz w:val="24"/>
        </w:rPr>
      </w:pPr>
      <w:bookmarkStart w:id="27" w:name="Performance_Testing_-_Bench"/>
      <w:bookmarkEnd w:id="27"/>
      <w:r>
        <w:rPr>
          <w:rFonts w:hint="eastAsia" w:ascii="Arial" w:hAnsi="Arial" w:eastAsia="宋体" w:cs="Arial"/>
          <w:snapToGrid w:val="0"/>
          <w:sz w:val="24"/>
          <w:lang w:eastAsia="zh-CN"/>
        </w:rPr>
        <w:t>细胞毒性</w:t>
      </w:r>
    </w:p>
    <w:p w14:paraId="3065585C">
      <w:pPr>
        <w:pStyle w:val="22"/>
        <w:numPr>
          <w:ilvl w:val="0"/>
          <w:numId w:val="5"/>
        </w:numPr>
        <w:tabs>
          <w:tab w:val="left" w:pos="1218"/>
        </w:tabs>
        <w:topLinePunct/>
        <w:autoSpaceDE/>
        <w:autoSpaceDN/>
        <w:adjustRightInd w:val="0"/>
        <w:snapToGrid w:val="0"/>
        <w:spacing w:line="288" w:lineRule="auto"/>
        <w:ind w:left="719" w:leftChars="327" w:firstLine="0"/>
        <w:jc w:val="both"/>
        <w:rPr>
          <w:rFonts w:ascii="Arial" w:hAnsi="Arial" w:eastAsia="宋体" w:cs="Arial"/>
          <w:snapToGrid w:val="0"/>
          <w:sz w:val="24"/>
          <w:lang w:eastAsia="zh-CN"/>
        </w:rPr>
      </w:pPr>
      <w:r>
        <w:rPr>
          <w:rFonts w:hint="eastAsia" w:ascii="Arial" w:hAnsi="Arial" w:eastAsia="宋体" w:cs="Arial"/>
          <w:snapToGrid w:val="0"/>
          <w:sz w:val="24"/>
          <w:lang w:eastAsia="zh-CN"/>
        </w:rPr>
        <w:t>致敏性（极性与非极性浸提物的豚鼠最大化试验）</w:t>
      </w:r>
    </w:p>
    <w:p w14:paraId="57E2D13F">
      <w:pPr>
        <w:pStyle w:val="22"/>
        <w:numPr>
          <w:ilvl w:val="0"/>
          <w:numId w:val="5"/>
        </w:numPr>
        <w:tabs>
          <w:tab w:val="left" w:pos="1218"/>
        </w:tabs>
        <w:topLinePunct/>
        <w:autoSpaceDE/>
        <w:autoSpaceDN/>
        <w:adjustRightInd w:val="0"/>
        <w:snapToGrid w:val="0"/>
        <w:spacing w:line="288" w:lineRule="auto"/>
        <w:ind w:left="719" w:leftChars="327" w:firstLine="0"/>
        <w:jc w:val="both"/>
        <w:rPr>
          <w:rFonts w:ascii="Arial" w:hAnsi="Arial" w:eastAsia="宋体" w:cs="Arial"/>
          <w:snapToGrid w:val="0"/>
          <w:sz w:val="24"/>
        </w:rPr>
      </w:pPr>
      <w:r>
        <w:rPr>
          <w:rFonts w:hint="eastAsia" w:ascii="Arial" w:hAnsi="Arial" w:eastAsia="宋体" w:cs="Arial"/>
          <w:snapToGrid w:val="0"/>
          <w:sz w:val="24"/>
          <w:lang w:eastAsia="zh-CN"/>
        </w:rPr>
        <w:t>刺激或皮下反应</w:t>
      </w:r>
    </w:p>
    <w:p w14:paraId="53881A87">
      <w:pPr>
        <w:pStyle w:val="22"/>
        <w:numPr>
          <w:ilvl w:val="0"/>
          <w:numId w:val="5"/>
        </w:numPr>
        <w:tabs>
          <w:tab w:val="left" w:pos="1218"/>
        </w:tabs>
        <w:topLinePunct/>
        <w:autoSpaceDE/>
        <w:autoSpaceDN/>
        <w:adjustRightInd w:val="0"/>
        <w:snapToGrid w:val="0"/>
        <w:spacing w:line="288" w:lineRule="auto"/>
        <w:ind w:left="719" w:leftChars="327" w:firstLine="0"/>
        <w:jc w:val="both"/>
        <w:rPr>
          <w:rFonts w:ascii="Arial" w:hAnsi="Arial" w:eastAsia="宋体" w:cs="Arial"/>
          <w:snapToGrid w:val="0"/>
          <w:sz w:val="24"/>
        </w:rPr>
      </w:pPr>
      <w:r>
        <w:rPr>
          <w:rFonts w:hint="eastAsia" w:ascii="Arial" w:hAnsi="Arial" w:eastAsia="宋体" w:cs="Arial"/>
          <w:snapToGrid w:val="0"/>
          <w:sz w:val="24"/>
          <w:lang w:eastAsia="zh-CN"/>
        </w:rPr>
        <w:t>全身毒性（急性）</w:t>
      </w:r>
    </w:p>
    <w:p w14:paraId="4F1AEDE1">
      <w:pPr>
        <w:pStyle w:val="22"/>
        <w:numPr>
          <w:ilvl w:val="0"/>
          <w:numId w:val="5"/>
        </w:numPr>
        <w:tabs>
          <w:tab w:val="left" w:pos="1218"/>
        </w:tabs>
        <w:topLinePunct/>
        <w:autoSpaceDE/>
        <w:autoSpaceDN/>
        <w:adjustRightInd w:val="0"/>
        <w:snapToGrid w:val="0"/>
        <w:spacing w:line="288" w:lineRule="auto"/>
        <w:ind w:left="719" w:leftChars="327" w:firstLine="0"/>
        <w:jc w:val="both"/>
        <w:rPr>
          <w:rFonts w:ascii="Arial" w:hAnsi="Arial" w:eastAsia="宋体" w:cs="Arial"/>
          <w:snapToGrid w:val="0"/>
          <w:sz w:val="24"/>
        </w:rPr>
      </w:pPr>
      <w:r>
        <w:rPr>
          <w:rFonts w:hint="eastAsia" w:ascii="Arial" w:hAnsi="Arial" w:eastAsia="宋体" w:cs="Arial"/>
          <w:snapToGrid w:val="0"/>
          <w:sz w:val="24"/>
          <w:lang w:eastAsia="zh-CN"/>
        </w:rPr>
        <w:t>亚慢性毒性</w:t>
      </w:r>
    </w:p>
    <w:p w14:paraId="430F8FDA">
      <w:pPr>
        <w:pStyle w:val="22"/>
        <w:numPr>
          <w:ilvl w:val="0"/>
          <w:numId w:val="5"/>
        </w:numPr>
        <w:tabs>
          <w:tab w:val="left" w:pos="1218"/>
        </w:tabs>
        <w:topLinePunct/>
        <w:autoSpaceDE/>
        <w:autoSpaceDN/>
        <w:adjustRightInd w:val="0"/>
        <w:snapToGrid w:val="0"/>
        <w:spacing w:line="288" w:lineRule="auto"/>
        <w:ind w:left="719" w:leftChars="327" w:firstLine="0"/>
        <w:jc w:val="both"/>
        <w:rPr>
          <w:rFonts w:ascii="Arial" w:hAnsi="Arial" w:eastAsia="宋体" w:cs="Arial"/>
          <w:snapToGrid w:val="0"/>
          <w:sz w:val="24"/>
        </w:rPr>
      </w:pPr>
      <w:r>
        <w:rPr>
          <w:rFonts w:hint="eastAsia" w:ascii="Arial" w:hAnsi="Arial" w:eastAsia="宋体" w:cs="Arial"/>
          <w:snapToGrid w:val="0"/>
          <w:sz w:val="24"/>
          <w:lang w:eastAsia="zh-CN"/>
        </w:rPr>
        <w:t>植入</w:t>
      </w:r>
      <w:r>
        <w:rPr>
          <w:rStyle w:val="20"/>
          <w:rFonts w:ascii="Arial" w:hAnsi="Arial" w:eastAsia="宋体" w:cs="Arial"/>
          <w:snapToGrid w:val="0"/>
          <w:sz w:val="24"/>
          <w:lang w:eastAsia="zh-CN"/>
        </w:rPr>
        <w:footnoteReference w:id="4"/>
      </w:r>
    </w:p>
    <w:p w14:paraId="68B74007">
      <w:pPr>
        <w:pStyle w:val="22"/>
        <w:numPr>
          <w:ilvl w:val="0"/>
          <w:numId w:val="5"/>
        </w:numPr>
        <w:tabs>
          <w:tab w:val="left" w:pos="1218"/>
        </w:tabs>
        <w:topLinePunct/>
        <w:autoSpaceDE/>
        <w:autoSpaceDN/>
        <w:adjustRightInd w:val="0"/>
        <w:snapToGrid w:val="0"/>
        <w:spacing w:line="288" w:lineRule="auto"/>
        <w:ind w:left="719" w:leftChars="327" w:firstLine="0"/>
        <w:jc w:val="both"/>
        <w:rPr>
          <w:rFonts w:ascii="Arial" w:hAnsi="Arial" w:eastAsia="宋体" w:cs="Arial"/>
          <w:snapToGrid w:val="0"/>
          <w:sz w:val="24"/>
        </w:rPr>
      </w:pPr>
      <w:r>
        <w:rPr>
          <w:rFonts w:hint="eastAsia" w:ascii="Arial" w:hAnsi="Arial" w:eastAsia="宋体" w:cs="Arial"/>
          <w:snapToGrid w:val="0"/>
          <w:sz w:val="24"/>
          <w:lang w:eastAsia="zh-CN"/>
        </w:rPr>
        <w:t>血液相容性</w:t>
      </w:r>
    </w:p>
    <w:p w14:paraId="69FD370B">
      <w:pPr>
        <w:pStyle w:val="22"/>
        <w:numPr>
          <w:ilvl w:val="0"/>
          <w:numId w:val="5"/>
        </w:numPr>
        <w:tabs>
          <w:tab w:val="left" w:pos="1218"/>
        </w:tabs>
        <w:topLinePunct/>
        <w:autoSpaceDE/>
        <w:autoSpaceDN/>
        <w:adjustRightInd w:val="0"/>
        <w:snapToGrid w:val="0"/>
        <w:spacing w:after="224" w:afterLines="75" w:line="288" w:lineRule="auto"/>
        <w:ind w:left="719" w:leftChars="327" w:firstLine="0"/>
        <w:jc w:val="both"/>
        <w:rPr>
          <w:rFonts w:ascii="Arial" w:hAnsi="Arial" w:eastAsia="宋体" w:cs="Arial"/>
          <w:snapToGrid w:val="0"/>
          <w:sz w:val="24"/>
        </w:rPr>
      </w:pPr>
      <w:r>
        <w:rPr>
          <w:rFonts w:hint="eastAsia" w:ascii="Arial" w:hAnsi="Arial" w:eastAsia="宋体" w:cs="Arial"/>
          <w:snapToGrid w:val="0"/>
          <w:sz w:val="24"/>
          <w:lang w:eastAsia="zh-CN"/>
        </w:rPr>
        <w:t>遗传毒性</w:t>
      </w:r>
    </w:p>
    <w:p w14:paraId="432F3CEE">
      <w:pPr>
        <w:pStyle w:val="4"/>
        <w:numPr>
          <w:ilvl w:val="1"/>
          <w:numId w:val="1"/>
        </w:numPr>
        <w:tabs>
          <w:tab w:val="left" w:pos="1679"/>
          <w:tab w:val="left" w:pos="1680"/>
        </w:tabs>
        <w:topLinePunct/>
        <w:autoSpaceDE/>
        <w:autoSpaceDN/>
        <w:adjustRightInd w:val="0"/>
        <w:snapToGrid w:val="0"/>
        <w:spacing w:after="224" w:afterLines="75" w:line="288" w:lineRule="auto"/>
        <w:ind w:left="719" w:leftChars="327" w:firstLine="0"/>
        <w:jc w:val="both"/>
        <w:rPr>
          <w:rFonts w:ascii="Arial" w:hAnsi="Arial" w:eastAsia="宋体" w:cs="Arial"/>
          <w:snapToGrid w:val="0"/>
          <w:sz w:val="28"/>
        </w:rPr>
      </w:pPr>
      <w:bookmarkStart w:id="28" w:name="_bookmark11"/>
      <w:bookmarkEnd w:id="28"/>
      <w:bookmarkStart w:id="29" w:name="_Toc499129125"/>
      <w:r>
        <w:rPr>
          <w:rFonts w:hint="eastAsia" w:ascii="Arial" w:hAnsi="Arial" w:eastAsia="宋体" w:cs="Arial"/>
          <w:snapToGrid w:val="0"/>
          <w:sz w:val="28"/>
        </w:rPr>
        <w:t>性能测试</w:t>
      </w:r>
      <w:r>
        <w:rPr>
          <w:rFonts w:ascii="Arial" w:hAnsi="Arial" w:eastAsia="宋体" w:cs="Arial"/>
          <w:snapToGrid w:val="0"/>
          <w:sz w:val="28"/>
        </w:rPr>
        <w:t>–</w:t>
      </w:r>
      <w:r>
        <w:rPr>
          <w:rFonts w:hint="eastAsia" w:ascii="Arial" w:hAnsi="Arial" w:eastAsia="宋体" w:cs="Arial"/>
          <w:snapToGrid w:val="0"/>
          <w:sz w:val="28"/>
        </w:rPr>
        <w:t>台架试验</w:t>
      </w:r>
      <w:bookmarkEnd w:id="29"/>
    </w:p>
    <w:p w14:paraId="3DDDC777">
      <w:pPr>
        <w:topLinePunct/>
        <w:autoSpaceDE/>
        <w:autoSpaceDN/>
        <w:adjustRightInd w:val="0"/>
        <w:snapToGrid w:val="0"/>
        <w:spacing w:after="224" w:afterLines="75" w:line="288" w:lineRule="auto"/>
        <w:jc w:val="both"/>
        <w:rPr>
          <w:rFonts w:ascii="Arial" w:hAnsi="Arial" w:eastAsia="宋体" w:cs="Arial"/>
          <w:i/>
          <w:snapToGrid w:val="0"/>
          <w:sz w:val="24"/>
          <w:lang w:eastAsia="zh-CN"/>
        </w:rPr>
      </w:pPr>
      <w:r>
        <w:rPr>
          <w:rFonts w:ascii="Arial" w:hAnsi="Arial" w:eastAsia="宋体" w:cs="Arial"/>
          <w:snapToGrid w:val="0"/>
          <w:sz w:val="24"/>
          <w:lang w:eastAsia="zh-CN"/>
        </w:rPr>
        <w:t>FDA</w:t>
      </w:r>
      <w:r>
        <w:rPr>
          <w:rFonts w:hint="eastAsia" w:ascii="Arial" w:hAnsi="Arial" w:eastAsia="宋体" w:cs="Arial"/>
          <w:snapToGrid w:val="0"/>
          <w:sz w:val="24"/>
          <w:lang w:eastAsia="zh-CN"/>
        </w:rPr>
        <w:t>已制定要求</w:t>
      </w:r>
      <w:r>
        <w:rPr>
          <w:rFonts w:hint="eastAsia" w:ascii="宋体" w:hAnsi="宋体" w:eastAsia="宋体" w:cs="Arial"/>
          <w:snapToGrid w:val="0"/>
          <w:sz w:val="24"/>
          <w:lang w:eastAsia="zh-CN"/>
        </w:rPr>
        <w:t>“</w:t>
      </w:r>
      <w:r>
        <w:rPr>
          <w:rFonts w:hint="eastAsia" w:ascii="Arial" w:hAnsi="Arial" w:eastAsia="宋体" w:cs="Arial"/>
          <w:snapToGrid w:val="0"/>
          <w:sz w:val="24"/>
          <w:lang w:eastAsia="zh-CN"/>
        </w:rPr>
        <w:t>性能数据必须证明在预期使用条件下器械能够按预期运行</w:t>
      </w:r>
      <w:r>
        <w:rPr>
          <w:rFonts w:hint="eastAsia" w:ascii="宋体" w:hAnsi="宋体" w:eastAsia="宋体" w:cs="Arial"/>
          <w:snapToGrid w:val="0"/>
          <w:sz w:val="24"/>
          <w:lang w:eastAsia="zh-CN"/>
        </w:rPr>
        <w:t>”</w:t>
      </w:r>
      <w:r>
        <w:rPr>
          <w:rFonts w:hint="eastAsia" w:ascii="Arial" w:hAnsi="Arial" w:eastAsia="宋体" w:cs="Arial"/>
          <w:snapToGrid w:val="0"/>
          <w:sz w:val="24"/>
          <w:lang w:eastAsia="zh-CN"/>
        </w:rPr>
        <w:t>的特殊控制</w:t>
      </w:r>
      <w:r>
        <w:rPr>
          <w:rFonts w:hint="eastAsia" w:ascii="Arial" w:hAnsi="Arial" w:eastAsia="宋体" w:cs="Arial"/>
          <w:i/>
          <w:snapToGrid w:val="0"/>
          <w:sz w:val="24"/>
          <w:lang w:eastAsia="zh-CN"/>
        </w:rPr>
        <w:t>（</w:t>
      </w:r>
      <w:r>
        <w:rPr>
          <w:rFonts w:ascii="Arial" w:hAnsi="Arial" w:eastAsia="宋体" w:cs="Arial"/>
          <w:i/>
          <w:snapToGrid w:val="0"/>
          <w:sz w:val="24"/>
          <w:lang w:eastAsia="zh-CN"/>
        </w:rPr>
        <w:t>21 CFR 876.5540</w:t>
      </w:r>
      <w:r>
        <w:rPr>
          <w:rFonts w:hint="eastAsia" w:ascii="Arial" w:hAnsi="Arial" w:eastAsia="宋体" w:cs="Arial"/>
          <w:i/>
          <w:snapToGrid w:val="0"/>
          <w:sz w:val="24"/>
          <w:lang w:eastAsia="zh-CN"/>
        </w:rPr>
        <w:t>（</w:t>
      </w:r>
      <w:r>
        <w:rPr>
          <w:rFonts w:ascii="Arial" w:hAnsi="Arial" w:eastAsia="宋体" w:cs="Arial"/>
          <w:i/>
          <w:snapToGrid w:val="0"/>
          <w:sz w:val="24"/>
          <w:lang w:eastAsia="zh-CN"/>
        </w:rPr>
        <w:t>b</w:t>
      </w:r>
      <w:r>
        <w:rPr>
          <w:rFonts w:hint="eastAsia" w:ascii="Arial" w:hAnsi="Arial" w:eastAsia="宋体" w:cs="Arial"/>
          <w:i/>
          <w:snapToGrid w:val="0"/>
          <w:sz w:val="24"/>
          <w:lang w:eastAsia="zh-CN"/>
        </w:rPr>
        <w:t>）（</w:t>
      </w:r>
      <w:r>
        <w:rPr>
          <w:rFonts w:ascii="Arial" w:hAnsi="Arial" w:eastAsia="宋体" w:cs="Arial"/>
          <w:i/>
          <w:snapToGrid w:val="0"/>
          <w:sz w:val="24"/>
          <w:lang w:eastAsia="zh-CN"/>
        </w:rPr>
        <w:t>1</w:t>
      </w:r>
      <w:r>
        <w:rPr>
          <w:rFonts w:hint="eastAsia" w:ascii="Arial" w:hAnsi="Arial" w:eastAsia="宋体" w:cs="Arial"/>
          <w:i/>
          <w:snapToGrid w:val="0"/>
          <w:sz w:val="24"/>
          <w:lang w:eastAsia="zh-CN"/>
        </w:rPr>
        <w:t>）（</w:t>
      </w:r>
      <w:r>
        <w:rPr>
          <w:rFonts w:ascii="Arial" w:hAnsi="Arial" w:eastAsia="宋体" w:cs="Arial"/>
          <w:i/>
          <w:snapToGrid w:val="0"/>
          <w:sz w:val="24"/>
          <w:lang w:eastAsia="zh-CN"/>
        </w:rPr>
        <w:t>i</w:t>
      </w:r>
      <w:r>
        <w:rPr>
          <w:rFonts w:hint="eastAsia" w:ascii="Arial" w:hAnsi="Arial" w:eastAsia="宋体" w:cs="Arial"/>
          <w:i/>
          <w:snapToGrid w:val="0"/>
          <w:sz w:val="24"/>
          <w:lang w:eastAsia="zh-CN"/>
        </w:rPr>
        <w:t>））。</w:t>
      </w:r>
    </w:p>
    <w:p w14:paraId="5DCFEB1E">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r>
        <w:rPr>
          <w:rFonts w:hint="eastAsia" w:ascii="Arial" w:hAnsi="Arial" w:eastAsia="宋体" w:cs="Arial"/>
          <w:snapToGrid w:val="0"/>
          <w:lang w:eastAsia="zh-CN"/>
        </w:rPr>
        <w:t>建议：</w:t>
      </w:r>
      <w:r>
        <w:rPr>
          <w:rFonts w:ascii="Arial" w:hAnsi="Arial" w:eastAsia="宋体" w:cs="Arial"/>
          <w:snapToGrid w:val="0"/>
          <w:lang w:eastAsia="zh-CN"/>
        </w:rPr>
        <w:t>510</w:t>
      </w:r>
      <w:r>
        <w:rPr>
          <w:rFonts w:hint="eastAsia" w:ascii="Arial" w:hAnsi="Arial" w:eastAsia="宋体" w:cs="Arial"/>
          <w:snapToGrid w:val="0"/>
          <w:lang w:eastAsia="zh-CN"/>
        </w:rPr>
        <w:t>（</w:t>
      </w:r>
      <w:r>
        <w:rPr>
          <w:rFonts w:ascii="Arial" w:hAnsi="Arial" w:eastAsia="宋体" w:cs="Arial"/>
          <w:snapToGrid w:val="0"/>
          <w:lang w:eastAsia="zh-CN"/>
        </w:rPr>
        <w:t>k</w:t>
      </w:r>
      <w:r>
        <w:rPr>
          <w:rFonts w:hint="eastAsia" w:ascii="Arial" w:hAnsi="Arial" w:eastAsia="宋体" w:cs="Arial"/>
          <w:snapToGrid w:val="0"/>
          <w:lang w:eastAsia="zh-CN"/>
        </w:rPr>
        <w:t>）应包含描述器械性能特征的充足信息，至少应包含功能测试。</w:t>
      </w:r>
    </w:p>
    <w:p w14:paraId="48D06EB9">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r>
        <w:rPr>
          <w:rFonts w:hint="eastAsia" w:ascii="Arial" w:hAnsi="Arial" w:eastAsia="宋体" w:cs="Arial"/>
          <w:snapToGrid w:val="0"/>
          <w:lang w:eastAsia="zh-CN"/>
        </w:rPr>
        <w:t>应对每种型号至少3件器械实施以下性能测试。若您选择测试一种或更多型号代表产品系列的子集，应提供详细描述这种做法为何适当的样本选择理由。特殊控制规定了以下检验要求与性能特征。</w:t>
      </w:r>
    </w:p>
    <w:p w14:paraId="0E8E38A6">
      <w:pPr>
        <w:pStyle w:val="22"/>
        <w:numPr>
          <w:ilvl w:val="0"/>
          <w:numId w:val="6"/>
        </w:numPr>
        <w:topLinePunct/>
        <w:autoSpaceDE/>
        <w:autoSpaceDN/>
        <w:adjustRightInd w:val="0"/>
        <w:snapToGrid w:val="0"/>
        <w:spacing w:after="224" w:afterLines="75" w:line="288" w:lineRule="auto"/>
        <w:ind w:left="1176" w:leftChars="327" w:hanging="457"/>
        <w:jc w:val="both"/>
        <w:rPr>
          <w:rFonts w:ascii="Arial" w:hAnsi="Arial" w:eastAsia="宋体" w:cs="Arial"/>
          <w:i/>
          <w:snapToGrid w:val="0"/>
          <w:sz w:val="24"/>
          <w:lang w:eastAsia="zh-CN"/>
        </w:rPr>
      </w:pPr>
      <w:r>
        <w:rPr>
          <w:rFonts w:hint="eastAsia" w:ascii="Arial" w:hAnsi="Arial" w:eastAsia="宋体" w:cs="Arial"/>
          <w:i/>
          <w:snapToGrid w:val="0"/>
          <w:sz w:val="24"/>
          <w:lang w:eastAsia="zh-CN"/>
        </w:rPr>
        <w:t>必须确定动脉管腔与静脉管腔的压力流速比，从最小流速至最大流速，以</w:t>
      </w:r>
      <w:r>
        <w:rPr>
          <w:rFonts w:ascii="Arial" w:hAnsi="Arial" w:eastAsia="宋体" w:cs="Arial"/>
          <w:i/>
          <w:snapToGrid w:val="0"/>
          <w:sz w:val="24"/>
          <w:lang w:eastAsia="zh-CN"/>
        </w:rPr>
        <w:t>100ml/min</w:t>
      </w:r>
      <w:r>
        <w:rPr>
          <w:rFonts w:hint="eastAsia" w:ascii="Arial" w:hAnsi="Arial" w:eastAsia="宋体" w:cs="Arial"/>
          <w:i/>
          <w:snapToGrid w:val="0"/>
          <w:sz w:val="24"/>
          <w:lang w:eastAsia="zh-CN"/>
        </w:rPr>
        <w:t>间隔递增。必须注明检验过程中所用液体及其粘滞性（</w:t>
      </w:r>
      <w:r>
        <w:rPr>
          <w:rFonts w:ascii="Arial" w:hAnsi="Arial" w:eastAsia="宋体" w:cs="Arial"/>
          <w:i/>
          <w:snapToGrid w:val="0"/>
          <w:sz w:val="24"/>
          <w:lang w:eastAsia="zh-CN"/>
        </w:rPr>
        <w:t>21 CFR 876.5540</w:t>
      </w:r>
      <w:r>
        <w:rPr>
          <w:rFonts w:hint="eastAsia" w:ascii="Arial" w:hAnsi="Arial" w:eastAsia="宋体" w:cs="Arial"/>
          <w:i/>
          <w:snapToGrid w:val="0"/>
          <w:sz w:val="24"/>
          <w:lang w:eastAsia="zh-CN"/>
        </w:rPr>
        <w:t>（</w:t>
      </w:r>
      <w:r>
        <w:rPr>
          <w:rFonts w:ascii="Arial" w:hAnsi="Arial" w:eastAsia="宋体" w:cs="Arial"/>
          <w:i/>
          <w:snapToGrid w:val="0"/>
          <w:sz w:val="24"/>
          <w:lang w:eastAsia="zh-CN"/>
        </w:rPr>
        <w:t>b</w:t>
      </w:r>
      <w:r>
        <w:rPr>
          <w:rFonts w:hint="eastAsia" w:ascii="Arial" w:hAnsi="Arial" w:eastAsia="宋体" w:cs="Arial"/>
          <w:i/>
          <w:snapToGrid w:val="0"/>
          <w:sz w:val="24"/>
          <w:lang w:eastAsia="zh-CN"/>
        </w:rPr>
        <w:t>）（</w:t>
      </w:r>
      <w:r>
        <w:rPr>
          <w:rFonts w:ascii="Arial" w:hAnsi="Arial" w:eastAsia="宋体" w:cs="Arial"/>
          <w:i/>
          <w:snapToGrid w:val="0"/>
          <w:sz w:val="24"/>
          <w:lang w:eastAsia="zh-CN"/>
        </w:rPr>
        <w:t>1</w:t>
      </w:r>
      <w:r>
        <w:rPr>
          <w:rFonts w:hint="eastAsia" w:ascii="Arial" w:hAnsi="Arial" w:eastAsia="宋体" w:cs="Arial"/>
          <w:i/>
          <w:snapToGrid w:val="0"/>
          <w:sz w:val="24"/>
          <w:lang w:eastAsia="zh-CN"/>
        </w:rPr>
        <w:t>）（</w:t>
      </w:r>
      <w:r>
        <w:rPr>
          <w:rFonts w:ascii="Arial" w:hAnsi="Arial" w:eastAsia="宋体" w:cs="Arial"/>
          <w:i/>
          <w:snapToGrid w:val="0"/>
          <w:sz w:val="24"/>
          <w:lang w:eastAsia="zh-CN"/>
        </w:rPr>
        <w:t>ii</w:t>
      </w:r>
      <w:r>
        <w:rPr>
          <w:rFonts w:hint="eastAsia" w:ascii="Arial" w:hAnsi="Arial" w:eastAsia="宋体" w:cs="Arial"/>
          <w:i/>
          <w:snapToGrid w:val="0"/>
          <w:sz w:val="24"/>
          <w:lang w:eastAsia="zh-CN"/>
        </w:rPr>
        <w:t>）（</w:t>
      </w:r>
      <w:r>
        <w:rPr>
          <w:rFonts w:ascii="Arial" w:hAnsi="Arial" w:eastAsia="宋体" w:cs="Arial"/>
          <w:i/>
          <w:snapToGrid w:val="0"/>
          <w:sz w:val="24"/>
          <w:lang w:eastAsia="zh-CN"/>
        </w:rPr>
        <w:t>A</w:t>
      </w:r>
      <w:r>
        <w:rPr>
          <w:rFonts w:hint="eastAsia" w:ascii="Arial" w:hAnsi="Arial" w:eastAsia="宋体" w:cs="Arial"/>
          <w:i/>
          <w:snapToGrid w:val="0"/>
          <w:sz w:val="24"/>
          <w:lang w:eastAsia="zh-CN"/>
        </w:rPr>
        <w:t>））。</w:t>
      </w:r>
    </w:p>
    <w:p w14:paraId="29188655">
      <w:pPr>
        <w:pStyle w:val="22"/>
        <w:topLinePunct/>
        <w:autoSpaceDE/>
        <w:autoSpaceDN/>
        <w:adjustRightInd w:val="0"/>
        <w:snapToGrid w:val="0"/>
        <w:spacing w:after="224" w:afterLines="75" w:line="288" w:lineRule="auto"/>
        <w:ind w:left="1176" w:firstLine="0"/>
        <w:jc w:val="both"/>
        <w:rPr>
          <w:rFonts w:ascii="Arial" w:hAnsi="Arial" w:eastAsia="宋体" w:cs="Arial"/>
          <w:snapToGrid w:val="0"/>
          <w:lang w:eastAsia="zh-CN"/>
        </w:rPr>
      </w:pPr>
      <w:r>
        <w:rPr>
          <w:rFonts w:hint="eastAsia" w:ascii="Arial" w:hAnsi="Arial" w:eastAsia="宋体" w:cs="Arial"/>
          <w:snapToGrid w:val="0"/>
          <w:lang w:eastAsia="zh-CN"/>
        </w:rPr>
        <w:t>建议：为提供能代表器械临床使用的压力流速比特性研究数据，检验过程中应使用粘滞度与血液类似（粘滞度=</w:t>
      </w:r>
      <w:r>
        <w:rPr>
          <w:rFonts w:ascii="Arial" w:hAnsi="Arial" w:eastAsia="宋体" w:cs="Arial"/>
          <w:snapToGrid w:val="0"/>
          <w:lang w:eastAsia="zh-CN"/>
        </w:rPr>
        <w:t>3.2–3.8cP</w:t>
      </w:r>
      <w:r>
        <w:rPr>
          <w:rFonts w:hint="eastAsia" w:ascii="Arial" w:hAnsi="Arial" w:eastAsia="宋体" w:cs="Arial"/>
          <w:snapToGrid w:val="0"/>
          <w:lang w:eastAsia="zh-CN"/>
        </w:rPr>
        <w:t>）的液体。这与目前大部分制造商的做法一致。应将测试结果与指定器械对比（首选列表形式）。应使用相同方法和测试液体同步测试指定器械与申报器械。</w:t>
      </w:r>
    </w:p>
    <w:p w14:paraId="74E4B504">
      <w:pPr>
        <w:pStyle w:val="22"/>
        <w:numPr>
          <w:ilvl w:val="0"/>
          <w:numId w:val="6"/>
        </w:numPr>
        <w:topLinePunct/>
        <w:autoSpaceDE/>
        <w:autoSpaceDN/>
        <w:adjustRightInd w:val="0"/>
        <w:snapToGrid w:val="0"/>
        <w:spacing w:after="224" w:afterLines="75" w:line="288" w:lineRule="auto"/>
        <w:ind w:left="1176" w:leftChars="327" w:hanging="457"/>
        <w:jc w:val="both"/>
        <w:rPr>
          <w:rFonts w:ascii="Arial" w:hAnsi="Arial" w:eastAsia="宋体" w:cs="Arial"/>
          <w:i/>
          <w:snapToGrid w:val="0"/>
          <w:sz w:val="24"/>
          <w:lang w:eastAsia="zh-CN"/>
        </w:rPr>
      </w:pPr>
      <w:r>
        <w:rPr>
          <w:rFonts w:hint="eastAsia" w:ascii="Arial" w:hAnsi="Arial" w:eastAsia="宋体" w:cs="Arial"/>
          <w:i/>
          <w:snapToGrid w:val="0"/>
          <w:sz w:val="24"/>
          <w:lang w:eastAsia="zh-CN"/>
        </w:rPr>
        <w:t>必须确定前向和反向流动构型的再循环速率，并建立必须提供的用于实施测试的方案（</w:t>
      </w:r>
      <w:r>
        <w:rPr>
          <w:rFonts w:ascii="Arial" w:hAnsi="Arial" w:eastAsia="宋体" w:cs="Arial"/>
          <w:i/>
          <w:snapToGrid w:val="0"/>
          <w:sz w:val="24"/>
          <w:lang w:eastAsia="zh-CN"/>
        </w:rPr>
        <w:t>21 CFR 876.5540</w:t>
      </w:r>
      <w:r>
        <w:rPr>
          <w:rFonts w:hint="eastAsia" w:ascii="Arial" w:hAnsi="Arial" w:eastAsia="宋体" w:cs="Arial"/>
          <w:i/>
          <w:snapToGrid w:val="0"/>
          <w:sz w:val="24"/>
          <w:lang w:eastAsia="zh-CN"/>
        </w:rPr>
        <w:t>（</w:t>
      </w:r>
      <w:r>
        <w:rPr>
          <w:rFonts w:ascii="Arial" w:hAnsi="Arial" w:eastAsia="宋体" w:cs="Arial"/>
          <w:i/>
          <w:snapToGrid w:val="0"/>
          <w:sz w:val="24"/>
          <w:lang w:eastAsia="zh-CN"/>
        </w:rPr>
        <w:t>b</w:t>
      </w:r>
      <w:r>
        <w:rPr>
          <w:rFonts w:hint="eastAsia" w:ascii="Arial" w:hAnsi="Arial" w:eastAsia="宋体" w:cs="Arial"/>
          <w:i/>
          <w:snapToGrid w:val="0"/>
          <w:sz w:val="24"/>
          <w:lang w:eastAsia="zh-CN"/>
        </w:rPr>
        <w:t>）（</w:t>
      </w:r>
      <w:r>
        <w:rPr>
          <w:rFonts w:ascii="Arial" w:hAnsi="Arial" w:eastAsia="宋体" w:cs="Arial"/>
          <w:i/>
          <w:snapToGrid w:val="0"/>
          <w:sz w:val="24"/>
          <w:lang w:eastAsia="zh-CN"/>
        </w:rPr>
        <w:t>1</w:t>
      </w:r>
      <w:r>
        <w:rPr>
          <w:rFonts w:hint="eastAsia" w:ascii="Arial" w:hAnsi="Arial" w:eastAsia="宋体" w:cs="Arial"/>
          <w:i/>
          <w:snapToGrid w:val="0"/>
          <w:sz w:val="24"/>
          <w:lang w:eastAsia="zh-CN"/>
        </w:rPr>
        <w:t>）（</w:t>
      </w:r>
      <w:r>
        <w:rPr>
          <w:rFonts w:ascii="Arial" w:hAnsi="Arial" w:eastAsia="宋体" w:cs="Arial"/>
          <w:i/>
          <w:snapToGrid w:val="0"/>
          <w:sz w:val="24"/>
          <w:lang w:eastAsia="zh-CN"/>
        </w:rPr>
        <w:t>ii</w:t>
      </w:r>
      <w:r>
        <w:rPr>
          <w:rFonts w:hint="eastAsia" w:ascii="Arial" w:hAnsi="Arial" w:eastAsia="宋体" w:cs="Arial"/>
          <w:i/>
          <w:snapToGrid w:val="0"/>
          <w:sz w:val="24"/>
          <w:lang w:eastAsia="zh-CN"/>
        </w:rPr>
        <w:t>）（</w:t>
      </w:r>
      <w:r>
        <w:rPr>
          <w:rFonts w:ascii="Arial" w:hAnsi="Arial" w:eastAsia="宋体" w:cs="Arial"/>
          <w:i/>
          <w:snapToGrid w:val="0"/>
          <w:sz w:val="24"/>
          <w:lang w:eastAsia="zh-CN"/>
        </w:rPr>
        <w:t>B</w:t>
      </w:r>
      <w:r>
        <w:rPr>
          <w:rFonts w:hint="eastAsia" w:ascii="Arial" w:hAnsi="Arial" w:eastAsia="宋体" w:cs="Arial"/>
          <w:i/>
          <w:snapToGrid w:val="0"/>
          <w:sz w:val="24"/>
          <w:lang w:eastAsia="zh-CN"/>
        </w:rPr>
        <w:t>））。</w:t>
      </w:r>
    </w:p>
    <w:p w14:paraId="40C17182">
      <w:pPr>
        <w:pStyle w:val="22"/>
        <w:topLinePunct/>
        <w:autoSpaceDE/>
        <w:autoSpaceDN/>
        <w:adjustRightInd w:val="0"/>
        <w:snapToGrid w:val="0"/>
        <w:spacing w:after="224" w:afterLines="75" w:line="288" w:lineRule="auto"/>
        <w:ind w:left="1176" w:firstLine="0"/>
        <w:jc w:val="both"/>
        <w:rPr>
          <w:rFonts w:ascii="Arial" w:hAnsi="Arial" w:eastAsia="宋体" w:cs="Arial"/>
          <w:snapToGrid w:val="0"/>
          <w:lang w:eastAsia="zh-CN"/>
        </w:rPr>
      </w:pPr>
      <w:r>
        <w:rPr>
          <w:rFonts w:hint="eastAsia" w:ascii="Arial" w:hAnsi="Arial" w:eastAsia="宋体" w:cs="Arial"/>
          <w:snapToGrid w:val="0"/>
          <w:lang w:eastAsia="zh-CN"/>
        </w:rPr>
        <w:t>建议：应将再循环速率与指定器械对比（首选列表形式）。应使用相同方法同步测试指定器械与申报器械。</w:t>
      </w:r>
    </w:p>
    <w:p w14:paraId="43F0775D">
      <w:pPr>
        <w:rPr>
          <w:rFonts w:ascii="Arial" w:hAnsi="Arial" w:eastAsia="宋体" w:cs="Arial"/>
          <w:i/>
          <w:snapToGrid w:val="0"/>
          <w:sz w:val="24"/>
          <w:lang w:eastAsia="zh-CN"/>
        </w:rPr>
      </w:pPr>
      <w:r>
        <w:rPr>
          <w:rFonts w:ascii="Arial" w:hAnsi="Arial" w:eastAsia="宋体" w:cs="Arial"/>
          <w:i/>
          <w:snapToGrid w:val="0"/>
          <w:sz w:val="24"/>
          <w:lang w:eastAsia="zh-CN"/>
        </w:rPr>
        <w:br w:type="page"/>
      </w:r>
    </w:p>
    <w:p w14:paraId="2A6C9747">
      <w:pPr>
        <w:pStyle w:val="22"/>
        <w:numPr>
          <w:ilvl w:val="0"/>
          <w:numId w:val="6"/>
        </w:numPr>
        <w:topLinePunct/>
        <w:autoSpaceDE/>
        <w:autoSpaceDN/>
        <w:adjustRightInd w:val="0"/>
        <w:snapToGrid w:val="0"/>
        <w:spacing w:after="224" w:afterLines="75" w:line="288" w:lineRule="auto"/>
        <w:ind w:left="1176" w:leftChars="327" w:hanging="457"/>
        <w:jc w:val="both"/>
        <w:rPr>
          <w:rFonts w:ascii="Arial" w:hAnsi="Arial" w:eastAsia="宋体" w:cs="Arial"/>
          <w:i/>
          <w:snapToGrid w:val="0"/>
          <w:sz w:val="24"/>
          <w:lang w:eastAsia="zh-CN"/>
        </w:rPr>
      </w:pPr>
      <w:r>
        <w:rPr>
          <w:rFonts w:hint="eastAsia" w:ascii="Arial" w:hAnsi="Arial" w:eastAsia="宋体" w:cs="Arial"/>
          <w:i/>
          <w:snapToGrid w:val="0"/>
          <w:sz w:val="24"/>
          <w:lang w:eastAsia="zh-CN"/>
        </w:rPr>
        <w:t>必须确定预冲量</w:t>
      </w:r>
      <w:r>
        <w:fldChar w:fldCharType="begin"/>
      </w:r>
      <w:r>
        <w:instrText xml:space="preserve"> HYPERLINK \l "_bookmark13" </w:instrText>
      </w:r>
      <w:r>
        <w:fldChar w:fldCharType="separate"/>
      </w:r>
      <w:r>
        <w:rPr>
          <w:rStyle w:val="20"/>
        </w:rPr>
        <w:footnoteReference w:id="5"/>
      </w:r>
      <w:r>
        <w:rPr>
          <w:rFonts w:ascii="Arial" w:hAnsi="Arial" w:eastAsia="宋体" w:cs="Arial"/>
          <w:i/>
          <w:snapToGrid w:val="0"/>
          <w:sz w:val="24"/>
          <w:lang w:eastAsia="zh-CN"/>
        </w:rPr>
        <w:t xml:space="preserve"> </w:t>
      </w:r>
      <w:r>
        <w:rPr>
          <w:rFonts w:ascii="Arial" w:hAnsi="Arial" w:eastAsia="宋体" w:cs="Arial"/>
          <w:i/>
          <w:snapToGrid w:val="0"/>
          <w:sz w:val="24"/>
          <w:lang w:eastAsia="zh-CN"/>
        </w:rPr>
        <w:fldChar w:fldCharType="end"/>
      </w:r>
      <w:r>
        <w:rPr>
          <w:rFonts w:hint="eastAsia" w:ascii="Arial" w:hAnsi="Arial" w:eastAsia="宋体" w:cs="Arial"/>
          <w:i/>
          <w:snapToGrid w:val="0"/>
          <w:sz w:val="24"/>
          <w:lang w:eastAsia="zh-CN"/>
        </w:rPr>
        <w:t>（</w:t>
      </w:r>
      <w:r>
        <w:rPr>
          <w:rFonts w:ascii="Arial" w:hAnsi="Arial" w:eastAsia="宋体" w:cs="Arial"/>
          <w:i/>
          <w:snapToGrid w:val="0"/>
          <w:sz w:val="24"/>
          <w:lang w:eastAsia="zh-CN"/>
        </w:rPr>
        <w:t>21 CFR 876.5540</w:t>
      </w:r>
      <w:r>
        <w:rPr>
          <w:rFonts w:hint="eastAsia" w:ascii="Arial" w:hAnsi="Arial" w:eastAsia="宋体" w:cs="Arial"/>
          <w:i/>
          <w:snapToGrid w:val="0"/>
          <w:sz w:val="24"/>
          <w:lang w:eastAsia="zh-CN"/>
        </w:rPr>
        <w:t>（</w:t>
      </w:r>
      <w:r>
        <w:rPr>
          <w:rFonts w:ascii="Arial" w:hAnsi="Arial" w:eastAsia="宋体" w:cs="Arial"/>
          <w:i/>
          <w:snapToGrid w:val="0"/>
          <w:sz w:val="24"/>
          <w:lang w:eastAsia="zh-CN"/>
        </w:rPr>
        <w:t>b</w:t>
      </w:r>
      <w:r>
        <w:rPr>
          <w:rFonts w:hint="eastAsia" w:ascii="Arial" w:hAnsi="Arial" w:eastAsia="宋体" w:cs="Arial"/>
          <w:i/>
          <w:snapToGrid w:val="0"/>
          <w:sz w:val="24"/>
          <w:lang w:eastAsia="zh-CN"/>
        </w:rPr>
        <w:t>）（</w:t>
      </w:r>
      <w:r>
        <w:rPr>
          <w:rFonts w:ascii="Arial" w:hAnsi="Arial" w:eastAsia="宋体" w:cs="Arial"/>
          <w:i/>
          <w:snapToGrid w:val="0"/>
          <w:sz w:val="24"/>
          <w:lang w:eastAsia="zh-CN"/>
        </w:rPr>
        <w:t>1</w:t>
      </w:r>
      <w:r>
        <w:rPr>
          <w:rFonts w:hint="eastAsia" w:ascii="Arial" w:hAnsi="Arial" w:eastAsia="宋体" w:cs="Arial"/>
          <w:i/>
          <w:snapToGrid w:val="0"/>
          <w:sz w:val="24"/>
          <w:lang w:eastAsia="zh-CN"/>
        </w:rPr>
        <w:t>）（</w:t>
      </w:r>
      <w:r>
        <w:rPr>
          <w:rFonts w:ascii="Arial" w:hAnsi="Arial" w:eastAsia="宋体" w:cs="Arial"/>
          <w:i/>
          <w:snapToGrid w:val="0"/>
          <w:sz w:val="24"/>
          <w:lang w:eastAsia="zh-CN"/>
        </w:rPr>
        <w:t>ii</w:t>
      </w:r>
      <w:r>
        <w:rPr>
          <w:rFonts w:hint="eastAsia" w:ascii="Arial" w:hAnsi="Arial" w:eastAsia="宋体" w:cs="Arial"/>
          <w:i/>
          <w:snapToGrid w:val="0"/>
          <w:sz w:val="24"/>
          <w:lang w:eastAsia="zh-CN"/>
        </w:rPr>
        <w:t>）（</w:t>
      </w:r>
      <w:r>
        <w:rPr>
          <w:rFonts w:ascii="Arial" w:hAnsi="Arial" w:eastAsia="宋体" w:cs="Arial"/>
          <w:i/>
          <w:snapToGrid w:val="0"/>
          <w:sz w:val="24"/>
          <w:lang w:eastAsia="zh-CN"/>
        </w:rPr>
        <w:t>C</w:t>
      </w:r>
      <w:r>
        <w:rPr>
          <w:rFonts w:hint="eastAsia" w:ascii="Arial" w:hAnsi="Arial" w:eastAsia="宋体" w:cs="Arial"/>
          <w:i/>
          <w:snapToGrid w:val="0"/>
          <w:sz w:val="24"/>
          <w:lang w:eastAsia="zh-CN"/>
        </w:rPr>
        <w:t>））。</w:t>
      </w:r>
    </w:p>
    <w:p w14:paraId="7B5AC3FE">
      <w:pPr>
        <w:pStyle w:val="22"/>
        <w:numPr>
          <w:ilvl w:val="0"/>
          <w:numId w:val="6"/>
        </w:numPr>
        <w:topLinePunct/>
        <w:autoSpaceDE/>
        <w:autoSpaceDN/>
        <w:adjustRightInd w:val="0"/>
        <w:snapToGrid w:val="0"/>
        <w:spacing w:after="224" w:afterLines="75" w:line="288" w:lineRule="auto"/>
        <w:ind w:left="1176" w:leftChars="327" w:hanging="457"/>
        <w:jc w:val="both"/>
        <w:rPr>
          <w:rFonts w:ascii="Arial" w:hAnsi="Arial" w:eastAsia="宋体" w:cs="Arial"/>
          <w:i/>
          <w:snapToGrid w:val="0"/>
          <w:sz w:val="24"/>
          <w:lang w:eastAsia="zh-CN"/>
        </w:rPr>
      </w:pPr>
      <w:r>
        <w:rPr>
          <w:rFonts w:hint="eastAsia" w:ascii="Arial" w:hAnsi="Arial" w:eastAsia="宋体" w:cs="Arial"/>
          <w:i/>
          <w:snapToGrid w:val="0"/>
          <w:sz w:val="24"/>
          <w:lang w:eastAsia="zh-CN"/>
        </w:rPr>
        <w:t>必须实施连接处与材料的抗张检验。最低验收标准必须适于其预期用途（</w:t>
      </w:r>
      <w:r>
        <w:rPr>
          <w:rFonts w:ascii="Arial" w:hAnsi="Arial" w:eastAsia="宋体" w:cs="Arial"/>
          <w:i/>
          <w:snapToGrid w:val="0"/>
          <w:sz w:val="24"/>
          <w:lang w:eastAsia="zh-CN"/>
        </w:rPr>
        <w:t>21 CFR 876.5540</w:t>
      </w:r>
      <w:r>
        <w:rPr>
          <w:rFonts w:hint="eastAsia" w:ascii="Arial" w:hAnsi="Arial" w:eastAsia="宋体" w:cs="Arial"/>
          <w:i/>
          <w:snapToGrid w:val="0"/>
          <w:sz w:val="24"/>
          <w:lang w:eastAsia="zh-CN"/>
        </w:rPr>
        <w:t>（</w:t>
      </w:r>
      <w:r>
        <w:rPr>
          <w:rFonts w:ascii="Arial" w:hAnsi="Arial" w:eastAsia="宋体" w:cs="Arial"/>
          <w:i/>
          <w:snapToGrid w:val="0"/>
          <w:sz w:val="24"/>
          <w:lang w:eastAsia="zh-CN"/>
        </w:rPr>
        <w:t>b</w:t>
      </w:r>
      <w:r>
        <w:rPr>
          <w:rFonts w:hint="eastAsia" w:ascii="Arial" w:hAnsi="Arial" w:eastAsia="宋体" w:cs="Arial"/>
          <w:i/>
          <w:snapToGrid w:val="0"/>
          <w:sz w:val="24"/>
          <w:lang w:eastAsia="zh-CN"/>
        </w:rPr>
        <w:t>）（</w:t>
      </w:r>
      <w:r>
        <w:rPr>
          <w:rFonts w:ascii="Arial" w:hAnsi="Arial" w:eastAsia="宋体" w:cs="Arial"/>
          <w:i/>
          <w:snapToGrid w:val="0"/>
          <w:sz w:val="24"/>
          <w:lang w:eastAsia="zh-CN"/>
        </w:rPr>
        <w:t>1</w:t>
      </w:r>
      <w:r>
        <w:rPr>
          <w:rFonts w:hint="eastAsia" w:ascii="Arial" w:hAnsi="Arial" w:eastAsia="宋体" w:cs="Arial"/>
          <w:i/>
          <w:snapToGrid w:val="0"/>
          <w:sz w:val="24"/>
          <w:lang w:eastAsia="zh-CN"/>
        </w:rPr>
        <w:t>）（</w:t>
      </w:r>
      <w:r>
        <w:rPr>
          <w:rFonts w:ascii="Arial" w:hAnsi="Arial" w:eastAsia="宋体" w:cs="Arial"/>
          <w:i/>
          <w:snapToGrid w:val="0"/>
          <w:sz w:val="24"/>
          <w:lang w:eastAsia="zh-CN"/>
        </w:rPr>
        <w:t>ii</w:t>
      </w:r>
      <w:r>
        <w:rPr>
          <w:rFonts w:hint="eastAsia" w:ascii="Arial" w:hAnsi="Arial" w:eastAsia="宋体" w:cs="Arial"/>
          <w:i/>
          <w:snapToGrid w:val="0"/>
          <w:sz w:val="24"/>
          <w:lang w:eastAsia="zh-CN"/>
        </w:rPr>
        <w:t>）（</w:t>
      </w:r>
      <w:r>
        <w:rPr>
          <w:rFonts w:ascii="Arial" w:hAnsi="Arial" w:eastAsia="宋体" w:cs="Arial"/>
          <w:i/>
          <w:snapToGrid w:val="0"/>
          <w:sz w:val="24"/>
          <w:lang w:eastAsia="zh-CN"/>
        </w:rPr>
        <w:t>D</w:t>
      </w:r>
      <w:r>
        <w:rPr>
          <w:rFonts w:hint="eastAsia" w:ascii="Arial" w:hAnsi="Arial" w:eastAsia="宋体" w:cs="Arial"/>
          <w:i/>
          <w:snapToGrid w:val="0"/>
          <w:sz w:val="24"/>
          <w:lang w:eastAsia="zh-CN"/>
        </w:rPr>
        <w:t>））。</w:t>
      </w:r>
    </w:p>
    <w:p w14:paraId="65A916DA">
      <w:pPr>
        <w:pStyle w:val="7"/>
        <w:topLinePunct/>
        <w:autoSpaceDE/>
        <w:autoSpaceDN/>
        <w:adjustRightInd w:val="0"/>
        <w:snapToGrid w:val="0"/>
        <w:spacing w:after="224" w:afterLines="75" w:line="288" w:lineRule="auto"/>
        <w:ind w:left="1162" w:leftChars="528"/>
        <w:jc w:val="both"/>
        <w:rPr>
          <w:rFonts w:ascii="Arial" w:hAnsi="Arial" w:eastAsia="宋体" w:cs="Arial"/>
          <w:snapToGrid w:val="0"/>
          <w:lang w:eastAsia="zh-CN"/>
        </w:rPr>
      </w:pPr>
      <w:r>
        <w:rPr>
          <w:rFonts w:hint="eastAsia" w:ascii="Arial" w:hAnsi="Arial" w:eastAsia="宋体" w:cs="Arial"/>
          <w:snapToGrid w:val="0"/>
          <w:lang w:eastAsia="zh-CN"/>
        </w:rPr>
        <w:t>建议：最低验收标准应至少等于指定器械。我们建议聚氨酯连接处与构成导管尖端之外导管主要管腔的聚氨酯材料的最小断裂力应为10磅（因血液透析导管的使用较普通导管更频繁）。应按照FDA目前认可的公认标准版本</w:t>
      </w:r>
      <w:r>
        <w:rPr>
          <w:rFonts w:ascii="Arial" w:hAnsi="Arial" w:eastAsia="宋体" w:cs="Arial"/>
          <w:snapToGrid w:val="0"/>
          <w:lang w:eastAsia="zh-CN"/>
        </w:rPr>
        <w:t>ISO 10555-1</w:t>
      </w:r>
      <w:r>
        <w:rPr>
          <w:rFonts w:hint="eastAsia" w:ascii="宋体" w:hAnsi="宋体" w:eastAsia="宋体" w:cs="Arial"/>
          <w:snapToGrid w:val="0"/>
          <w:lang w:eastAsia="zh-CN"/>
        </w:rPr>
        <w:t>“</w:t>
      </w:r>
      <w:r>
        <w:rPr>
          <w:rFonts w:hint="eastAsia" w:ascii="Arial" w:hAnsi="Arial" w:eastAsia="宋体" w:cs="Arial"/>
          <w:snapToGrid w:val="0"/>
          <w:lang w:eastAsia="zh-CN"/>
        </w:rPr>
        <w:t>一次性无菌血管内导管</w:t>
      </w:r>
      <w:r>
        <w:rPr>
          <w:rFonts w:ascii="Arial" w:hAnsi="Arial" w:eastAsia="宋体" w:cs="Arial"/>
          <w:snapToGrid w:val="0"/>
          <w:lang w:eastAsia="zh-CN"/>
        </w:rPr>
        <w:t>–</w:t>
      </w:r>
      <w:r>
        <w:rPr>
          <w:rFonts w:hint="eastAsia" w:ascii="Arial" w:hAnsi="Arial" w:eastAsia="宋体" w:cs="Arial"/>
          <w:snapToGrid w:val="0"/>
          <w:lang w:eastAsia="zh-CN"/>
        </w:rPr>
        <w:t>第1部分：一般要求</w:t>
      </w:r>
      <w:r>
        <w:rPr>
          <w:rFonts w:hint="eastAsia" w:ascii="宋体" w:hAnsi="宋体" w:eastAsia="宋体" w:cs="Arial"/>
          <w:snapToGrid w:val="0"/>
          <w:lang w:eastAsia="zh-CN"/>
        </w:rPr>
        <w:t>”</w:t>
      </w:r>
      <w:r>
        <w:rPr>
          <w:rStyle w:val="20"/>
          <w:rFonts w:ascii="宋体" w:hAnsi="宋体" w:eastAsia="宋体" w:cs="Arial"/>
          <w:snapToGrid w:val="0"/>
          <w:lang w:eastAsia="zh-CN"/>
        </w:rPr>
        <w:footnoteReference w:id="6"/>
      </w:r>
      <w:r>
        <w:rPr>
          <w:rFonts w:hint="eastAsia" w:ascii="Arial" w:hAnsi="Arial" w:eastAsia="宋体" w:cs="Arial"/>
          <w:snapToGrid w:val="0"/>
          <w:lang w:eastAsia="zh-CN"/>
        </w:rPr>
        <w:t>规定完成检验。</w:t>
      </w:r>
    </w:p>
    <w:p w14:paraId="4AF6DF40">
      <w:pPr>
        <w:pStyle w:val="22"/>
        <w:numPr>
          <w:ilvl w:val="0"/>
          <w:numId w:val="6"/>
        </w:numPr>
        <w:topLinePunct/>
        <w:autoSpaceDE/>
        <w:autoSpaceDN/>
        <w:adjustRightInd w:val="0"/>
        <w:snapToGrid w:val="0"/>
        <w:spacing w:after="224" w:afterLines="75" w:line="288" w:lineRule="auto"/>
        <w:ind w:left="1176" w:leftChars="327" w:hanging="457"/>
        <w:jc w:val="both"/>
        <w:rPr>
          <w:rFonts w:ascii="Arial" w:hAnsi="Arial" w:eastAsia="宋体" w:cs="Arial"/>
          <w:i/>
          <w:snapToGrid w:val="0"/>
          <w:sz w:val="24"/>
          <w:lang w:eastAsia="zh-CN"/>
        </w:rPr>
      </w:pPr>
      <w:r>
        <w:rPr>
          <w:rFonts w:hint="eastAsia" w:ascii="Arial" w:hAnsi="Arial" w:eastAsia="宋体" w:cs="Arial"/>
          <w:i/>
          <w:snapToGrid w:val="0"/>
          <w:sz w:val="24"/>
          <w:lang w:eastAsia="zh-CN"/>
        </w:rPr>
        <w:t>必须实施漏气检验和漏液检验（</w:t>
      </w:r>
      <w:r>
        <w:rPr>
          <w:rFonts w:ascii="Arial" w:hAnsi="Arial" w:eastAsia="宋体" w:cs="Arial"/>
          <w:i/>
          <w:snapToGrid w:val="0"/>
          <w:sz w:val="24"/>
          <w:lang w:eastAsia="zh-CN"/>
        </w:rPr>
        <w:t>21 CFR 876.5540</w:t>
      </w:r>
      <w:r>
        <w:rPr>
          <w:rFonts w:hint="eastAsia" w:ascii="Arial" w:hAnsi="Arial" w:eastAsia="宋体" w:cs="Arial"/>
          <w:i/>
          <w:snapToGrid w:val="0"/>
          <w:sz w:val="24"/>
          <w:lang w:eastAsia="zh-CN"/>
        </w:rPr>
        <w:t>（</w:t>
      </w:r>
      <w:r>
        <w:rPr>
          <w:rFonts w:ascii="Arial" w:hAnsi="Arial" w:eastAsia="宋体" w:cs="Arial"/>
          <w:i/>
          <w:snapToGrid w:val="0"/>
          <w:sz w:val="24"/>
          <w:lang w:eastAsia="zh-CN"/>
        </w:rPr>
        <w:t>b</w:t>
      </w:r>
      <w:r>
        <w:rPr>
          <w:rFonts w:hint="eastAsia" w:ascii="Arial" w:hAnsi="Arial" w:eastAsia="宋体" w:cs="Arial"/>
          <w:i/>
          <w:snapToGrid w:val="0"/>
          <w:sz w:val="24"/>
          <w:lang w:eastAsia="zh-CN"/>
        </w:rPr>
        <w:t>）（</w:t>
      </w:r>
      <w:r>
        <w:rPr>
          <w:rFonts w:ascii="Arial" w:hAnsi="Arial" w:eastAsia="宋体" w:cs="Arial"/>
          <w:i/>
          <w:snapToGrid w:val="0"/>
          <w:sz w:val="24"/>
          <w:lang w:eastAsia="zh-CN"/>
        </w:rPr>
        <w:t>1</w:t>
      </w:r>
      <w:r>
        <w:rPr>
          <w:rFonts w:hint="eastAsia" w:ascii="Arial" w:hAnsi="Arial" w:eastAsia="宋体" w:cs="Arial"/>
          <w:i/>
          <w:snapToGrid w:val="0"/>
          <w:sz w:val="24"/>
          <w:lang w:eastAsia="zh-CN"/>
        </w:rPr>
        <w:t>）（</w:t>
      </w:r>
      <w:r>
        <w:rPr>
          <w:rFonts w:ascii="Arial" w:hAnsi="Arial" w:eastAsia="宋体" w:cs="Arial"/>
          <w:i/>
          <w:snapToGrid w:val="0"/>
          <w:sz w:val="24"/>
          <w:lang w:eastAsia="zh-CN"/>
        </w:rPr>
        <w:t>ii</w:t>
      </w:r>
      <w:r>
        <w:rPr>
          <w:rFonts w:hint="eastAsia" w:ascii="Arial" w:hAnsi="Arial" w:eastAsia="宋体" w:cs="Arial"/>
          <w:i/>
          <w:snapToGrid w:val="0"/>
          <w:sz w:val="24"/>
          <w:lang w:eastAsia="zh-CN"/>
        </w:rPr>
        <w:t>）（</w:t>
      </w:r>
      <w:r>
        <w:rPr>
          <w:rFonts w:ascii="Arial" w:hAnsi="Arial" w:eastAsia="宋体" w:cs="Arial"/>
          <w:i/>
          <w:snapToGrid w:val="0"/>
          <w:sz w:val="24"/>
          <w:lang w:eastAsia="zh-CN"/>
        </w:rPr>
        <w:t>E</w:t>
      </w:r>
      <w:r>
        <w:rPr>
          <w:rFonts w:hint="eastAsia" w:ascii="Arial" w:hAnsi="Arial" w:eastAsia="宋体" w:cs="Arial"/>
          <w:i/>
          <w:snapToGrid w:val="0"/>
          <w:sz w:val="24"/>
          <w:lang w:eastAsia="zh-CN"/>
        </w:rPr>
        <w:t>））。</w:t>
      </w:r>
    </w:p>
    <w:p w14:paraId="64F0A2AF">
      <w:pPr>
        <w:pStyle w:val="7"/>
        <w:topLinePunct/>
        <w:autoSpaceDE/>
        <w:autoSpaceDN/>
        <w:adjustRightInd w:val="0"/>
        <w:snapToGrid w:val="0"/>
        <w:spacing w:after="224" w:afterLines="75" w:line="288" w:lineRule="auto"/>
        <w:ind w:left="1162" w:leftChars="528"/>
        <w:jc w:val="both"/>
        <w:rPr>
          <w:rFonts w:ascii="Arial" w:hAnsi="Arial" w:eastAsia="宋体" w:cs="Arial"/>
          <w:snapToGrid w:val="0"/>
          <w:lang w:eastAsia="zh-CN"/>
        </w:rPr>
      </w:pPr>
      <w:r>
        <w:rPr>
          <w:rFonts w:hint="eastAsia" w:ascii="Arial" w:hAnsi="Arial" w:eastAsia="宋体" w:cs="Arial"/>
          <w:snapToGrid w:val="0"/>
          <w:lang w:eastAsia="zh-CN"/>
        </w:rPr>
        <w:t>建议：应按照FDA目前认可的公认标准版本</w:t>
      </w:r>
      <w:r>
        <w:rPr>
          <w:rFonts w:ascii="Arial" w:hAnsi="Arial" w:eastAsia="宋体" w:cs="Arial"/>
          <w:snapToGrid w:val="0"/>
          <w:lang w:eastAsia="zh-CN"/>
        </w:rPr>
        <w:t>ISO 10555-1</w:t>
      </w:r>
      <w:r>
        <w:rPr>
          <w:rFonts w:hint="eastAsia" w:ascii="Arial" w:hAnsi="Arial" w:eastAsia="宋体" w:cs="Arial"/>
          <w:snapToGrid w:val="0"/>
          <w:lang w:eastAsia="zh-CN"/>
        </w:rPr>
        <w:t>附录D的规定完成漏气检验测试，按照</w:t>
      </w:r>
      <w:r>
        <w:rPr>
          <w:rFonts w:ascii="Arial" w:hAnsi="Arial" w:eastAsia="宋体" w:cs="Arial"/>
          <w:snapToGrid w:val="0"/>
          <w:lang w:eastAsia="zh-CN"/>
        </w:rPr>
        <w:t>ISO 10555-1</w:t>
      </w:r>
      <w:r>
        <w:rPr>
          <w:rFonts w:hint="eastAsia" w:ascii="Arial" w:hAnsi="Arial" w:eastAsia="宋体" w:cs="Arial"/>
          <w:snapToGrid w:val="0"/>
          <w:lang w:eastAsia="zh-CN"/>
        </w:rPr>
        <w:t>附录C的规定完成漏液测试。</w:t>
      </w:r>
    </w:p>
    <w:p w14:paraId="60AD807A">
      <w:pPr>
        <w:pStyle w:val="22"/>
        <w:numPr>
          <w:ilvl w:val="0"/>
          <w:numId w:val="6"/>
        </w:numPr>
        <w:topLinePunct/>
        <w:autoSpaceDE/>
        <w:autoSpaceDN/>
        <w:adjustRightInd w:val="0"/>
        <w:snapToGrid w:val="0"/>
        <w:spacing w:after="224" w:afterLines="75" w:line="288" w:lineRule="auto"/>
        <w:ind w:left="1176" w:leftChars="327" w:hanging="457"/>
        <w:jc w:val="both"/>
        <w:rPr>
          <w:rFonts w:ascii="Arial" w:hAnsi="Arial" w:eastAsia="宋体" w:cs="Arial"/>
          <w:i/>
          <w:snapToGrid w:val="0"/>
          <w:sz w:val="24"/>
          <w:lang w:eastAsia="zh-CN"/>
        </w:rPr>
      </w:pPr>
      <w:r>
        <w:rPr>
          <w:rFonts w:hint="eastAsia" w:ascii="Arial" w:hAnsi="Arial" w:eastAsia="宋体" w:cs="Arial"/>
          <w:i/>
          <w:snapToGrid w:val="0"/>
          <w:sz w:val="24"/>
          <w:lang w:eastAsia="zh-CN"/>
        </w:rPr>
        <w:t>必须对模拟导管寿命期内使用的延长管反复夹闭实施检验，并重新检验泄漏（</w:t>
      </w:r>
      <w:r>
        <w:rPr>
          <w:rFonts w:ascii="Arial" w:hAnsi="Arial" w:eastAsia="宋体" w:cs="Arial"/>
          <w:i/>
          <w:snapToGrid w:val="0"/>
          <w:sz w:val="24"/>
          <w:lang w:eastAsia="zh-CN"/>
        </w:rPr>
        <w:t>21 CFR 876.5540</w:t>
      </w:r>
      <w:r>
        <w:rPr>
          <w:rFonts w:hint="eastAsia" w:ascii="Arial" w:hAnsi="Arial" w:eastAsia="宋体" w:cs="Arial"/>
          <w:i/>
          <w:snapToGrid w:val="0"/>
          <w:sz w:val="24"/>
          <w:lang w:eastAsia="zh-CN"/>
        </w:rPr>
        <w:t>（</w:t>
      </w:r>
      <w:r>
        <w:rPr>
          <w:rFonts w:ascii="Arial" w:hAnsi="Arial" w:eastAsia="宋体" w:cs="Arial"/>
          <w:i/>
          <w:snapToGrid w:val="0"/>
          <w:sz w:val="24"/>
          <w:lang w:eastAsia="zh-CN"/>
        </w:rPr>
        <w:t>b</w:t>
      </w:r>
      <w:r>
        <w:rPr>
          <w:rFonts w:hint="eastAsia" w:ascii="Arial" w:hAnsi="Arial" w:eastAsia="宋体" w:cs="Arial"/>
          <w:i/>
          <w:snapToGrid w:val="0"/>
          <w:sz w:val="24"/>
          <w:lang w:eastAsia="zh-CN"/>
        </w:rPr>
        <w:t>）（</w:t>
      </w:r>
      <w:r>
        <w:rPr>
          <w:rFonts w:ascii="Arial" w:hAnsi="Arial" w:eastAsia="宋体" w:cs="Arial"/>
          <w:i/>
          <w:snapToGrid w:val="0"/>
          <w:sz w:val="24"/>
          <w:lang w:eastAsia="zh-CN"/>
        </w:rPr>
        <w:t>1</w:t>
      </w:r>
      <w:r>
        <w:rPr>
          <w:rFonts w:hint="eastAsia" w:ascii="Arial" w:hAnsi="Arial" w:eastAsia="宋体" w:cs="Arial"/>
          <w:i/>
          <w:snapToGrid w:val="0"/>
          <w:sz w:val="24"/>
          <w:lang w:eastAsia="zh-CN"/>
        </w:rPr>
        <w:t>）（</w:t>
      </w:r>
      <w:r>
        <w:rPr>
          <w:rFonts w:ascii="Arial" w:hAnsi="Arial" w:eastAsia="宋体" w:cs="Arial"/>
          <w:i/>
          <w:snapToGrid w:val="0"/>
          <w:sz w:val="24"/>
          <w:lang w:eastAsia="zh-CN"/>
        </w:rPr>
        <w:t>ii</w:t>
      </w:r>
      <w:r>
        <w:rPr>
          <w:rFonts w:hint="eastAsia" w:ascii="Arial" w:hAnsi="Arial" w:eastAsia="宋体" w:cs="Arial"/>
          <w:i/>
          <w:snapToGrid w:val="0"/>
          <w:sz w:val="24"/>
          <w:lang w:eastAsia="zh-CN"/>
        </w:rPr>
        <w:t>）（</w:t>
      </w:r>
      <w:r>
        <w:rPr>
          <w:rFonts w:ascii="Arial" w:hAnsi="Arial" w:eastAsia="宋体" w:cs="Arial"/>
          <w:i/>
          <w:snapToGrid w:val="0"/>
          <w:sz w:val="24"/>
          <w:lang w:eastAsia="zh-CN"/>
        </w:rPr>
        <w:t>F</w:t>
      </w:r>
      <w:r>
        <w:rPr>
          <w:rFonts w:hint="eastAsia" w:ascii="Arial" w:hAnsi="Arial" w:eastAsia="宋体" w:cs="Arial"/>
          <w:i/>
          <w:snapToGrid w:val="0"/>
          <w:sz w:val="24"/>
          <w:lang w:eastAsia="zh-CN"/>
        </w:rPr>
        <w:t>））。</w:t>
      </w:r>
    </w:p>
    <w:p w14:paraId="65ADA448">
      <w:pPr>
        <w:pStyle w:val="7"/>
        <w:topLinePunct/>
        <w:autoSpaceDE/>
        <w:autoSpaceDN/>
        <w:adjustRightInd w:val="0"/>
        <w:snapToGrid w:val="0"/>
        <w:spacing w:after="224" w:afterLines="75" w:line="288" w:lineRule="auto"/>
        <w:ind w:left="1162" w:leftChars="528"/>
        <w:jc w:val="both"/>
        <w:rPr>
          <w:rFonts w:ascii="Arial" w:hAnsi="Arial" w:eastAsia="宋体" w:cs="Arial"/>
          <w:snapToGrid w:val="0"/>
          <w:lang w:eastAsia="zh-CN"/>
        </w:rPr>
      </w:pPr>
      <w:r>
        <w:rPr>
          <w:rFonts w:hint="eastAsia" w:ascii="Arial" w:hAnsi="Arial" w:eastAsia="宋体" w:cs="Arial"/>
          <w:snapToGrid w:val="0"/>
          <w:lang w:eastAsia="zh-CN"/>
        </w:rPr>
        <w:t>建议：假设每次治疗夹闭</w:t>
      </w:r>
      <w:r>
        <w:rPr>
          <w:rFonts w:ascii="Arial" w:hAnsi="Arial" w:eastAsia="宋体" w:cs="Arial"/>
          <w:snapToGrid w:val="0"/>
          <w:lang w:eastAsia="zh-CN"/>
        </w:rPr>
        <w:t>5</w:t>
      </w:r>
      <w:r>
        <w:rPr>
          <w:rFonts w:hint="eastAsia" w:ascii="Arial" w:hAnsi="Arial" w:eastAsia="宋体" w:cs="Arial"/>
          <w:snapToGrid w:val="0"/>
          <w:lang w:eastAsia="zh-CN"/>
        </w:rPr>
        <w:t>次，每周平均治疗</w:t>
      </w:r>
      <w:r>
        <w:rPr>
          <w:rFonts w:ascii="Arial" w:hAnsi="Arial" w:eastAsia="宋体" w:cs="Arial"/>
          <w:snapToGrid w:val="0"/>
          <w:lang w:eastAsia="zh-CN"/>
        </w:rPr>
        <w:t>3</w:t>
      </w:r>
      <w:r>
        <w:rPr>
          <w:rFonts w:hint="eastAsia" w:ascii="Arial" w:hAnsi="Arial" w:eastAsia="宋体" w:cs="Arial"/>
          <w:snapToGrid w:val="0"/>
          <w:lang w:eastAsia="zh-CN"/>
        </w:rPr>
        <w:t>次，导管平均寿命期</w:t>
      </w:r>
      <w:r>
        <w:rPr>
          <w:rFonts w:ascii="Arial" w:hAnsi="Arial" w:eastAsia="宋体" w:cs="Arial"/>
          <w:snapToGrid w:val="0"/>
          <w:lang w:eastAsia="zh-CN"/>
        </w:rPr>
        <w:t>26</w:t>
      </w:r>
      <w:r>
        <w:rPr>
          <w:rFonts w:hint="eastAsia" w:ascii="Arial" w:hAnsi="Arial" w:eastAsia="宋体" w:cs="Arial"/>
          <w:snapToGrid w:val="0"/>
          <w:lang w:eastAsia="zh-CN"/>
        </w:rPr>
        <w:t>周且安全系数为</w:t>
      </w:r>
      <w:r>
        <w:rPr>
          <w:rFonts w:ascii="Arial" w:hAnsi="Arial" w:eastAsia="宋体" w:cs="Arial"/>
          <w:snapToGrid w:val="0"/>
          <w:lang w:eastAsia="zh-CN"/>
        </w:rPr>
        <w:t>3</w:t>
      </w:r>
      <w:r>
        <w:rPr>
          <w:rFonts w:hint="eastAsia" w:ascii="Arial" w:hAnsi="Arial" w:eastAsia="宋体" w:cs="Arial"/>
          <w:snapToGrid w:val="0"/>
          <w:lang w:eastAsia="zh-CN"/>
        </w:rPr>
        <w:t>倍，反复夹闭至少</w:t>
      </w:r>
      <w:r>
        <w:rPr>
          <w:rFonts w:ascii="Arial" w:hAnsi="Arial" w:eastAsia="宋体" w:cs="Arial"/>
          <w:snapToGrid w:val="0"/>
          <w:lang w:eastAsia="zh-CN"/>
        </w:rPr>
        <w:t>1200</w:t>
      </w:r>
      <w:r>
        <w:rPr>
          <w:rFonts w:hint="eastAsia" w:ascii="Arial" w:hAnsi="Arial" w:eastAsia="宋体" w:cs="Arial"/>
          <w:snapToGrid w:val="0"/>
          <w:lang w:eastAsia="zh-CN"/>
        </w:rPr>
        <w:t>次并随后进行抗张强度和泄漏检验（如上述</w:t>
      </w:r>
      <w:r>
        <w:rPr>
          <w:rFonts w:hint="eastAsia" w:ascii="宋体" w:hAnsi="宋体" w:eastAsia="宋体" w:cs="Arial"/>
          <w:snapToGrid w:val="0"/>
          <w:lang w:eastAsia="zh-CN"/>
        </w:rPr>
        <w:t>“</w:t>
      </w:r>
      <w:r>
        <w:rPr>
          <w:rFonts w:hint="eastAsia" w:ascii="Arial" w:hAnsi="Arial" w:eastAsia="宋体" w:cs="Arial"/>
          <w:snapToGrid w:val="0"/>
          <w:lang w:eastAsia="zh-CN"/>
        </w:rPr>
        <w:t>d</w:t>
      </w:r>
      <w:r>
        <w:rPr>
          <w:rFonts w:hint="eastAsia" w:ascii="宋体" w:hAnsi="宋体" w:eastAsia="宋体" w:cs="Arial"/>
          <w:snapToGrid w:val="0"/>
          <w:lang w:eastAsia="zh-CN"/>
        </w:rPr>
        <w:t>”</w:t>
      </w:r>
      <w:r>
        <w:rPr>
          <w:rFonts w:hint="eastAsia" w:ascii="Arial" w:hAnsi="Arial" w:eastAsia="宋体" w:cs="Arial"/>
          <w:snapToGrid w:val="0"/>
          <w:lang w:eastAsia="zh-CN"/>
        </w:rPr>
        <w:t>和</w:t>
      </w:r>
      <w:r>
        <w:rPr>
          <w:rFonts w:hint="eastAsia" w:ascii="宋体" w:hAnsi="宋体" w:eastAsia="宋体" w:cs="Arial"/>
          <w:snapToGrid w:val="0"/>
          <w:lang w:eastAsia="zh-CN"/>
        </w:rPr>
        <w:t>“</w:t>
      </w:r>
      <w:r>
        <w:rPr>
          <w:rFonts w:hint="eastAsia" w:ascii="Arial" w:hAnsi="Arial" w:eastAsia="宋体" w:cs="Arial"/>
          <w:snapToGrid w:val="0"/>
          <w:lang w:eastAsia="zh-CN"/>
        </w:rPr>
        <w:t>e</w:t>
      </w:r>
      <w:r>
        <w:rPr>
          <w:rFonts w:hint="eastAsia" w:ascii="宋体" w:hAnsi="宋体" w:eastAsia="宋体" w:cs="Arial"/>
          <w:snapToGrid w:val="0"/>
          <w:lang w:eastAsia="zh-CN"/>
        </w:rPr>
        <w:t>”</w:t>
      </w:r>
      <w:r>
        <w:rPr>
          <w:rFonts w:hint="eastAsia" w:ascii="Arial" w:hAnsi="Arial" w:eastAsia="宋体" w:cs="Arial"/>
          <w:snapToGrid w:val="0"/>
          <w:lang w:eastAsia="zh-CN"/>
        </w:rPr>
        <w:t>中描述）应能保证延长管持久性。</w:t>
      </w:r>
    </w:p>
    <w:p w14:paraId="115C28DE">
      <w:pPr>
        <w:pStyle w:val="22"/>
        <w:numPr>
          <w:ilvl w:val="0"/>
          <w:numId w:val="6"/>
        </w:numPr>
        <w:topLinePunct/>
        <w:autoSpaceDE/>
        <w:autoSpaceDN/>
        <w:adjustRightInd w:val="0"/>
        <w:snapToGrid w:val="0"/>
        <w:spacing w:after="224" w:afterLines="75" w:line="288" w:lineRule="auto"/>
        <w:ind w:left="1176" w:leftChars="327" w:hanging="457"/>
        <w:jc w:val="both"/>
        <w:rPr>
          <w:rFonts w:ascii="Arial" w:hAnsi="Arial" w:eastAsia="宋体" w:cs="Arial"/>
          <w:i/>
          <w:snapToGrid w:val="0"/>
          <w:sz w:val="24"/>
          <w:lang w:eastAsia="zh-CN"/>
        </w:rPr>
      </w:pPr>
      <w:r>
        <w:rPr>
          <w:rFonts w:hint="eastAsia" w:ascii="Arial" w:hAnsi="Arial" w:eastAsia="宋体" w:cs="Arial"/>
          <w:i/>
          <w:snapToGrid w:val="0"/>
          <w:sz w:val="24"/>
          <w:lang w:eastAsia="zh-CN"/>
        </w:rPr>
        <w:t>必须对影响血流类型的新器械设计或改动后器械设计实施机械性溶血检验（</w:t>
      </w:r>
      <w:r>
        <w:rPr>
          <w:rFonts w:ascii="Arial" w:hAnsi="Arial" w:eastAsia="宋体" w:cs="Arial"/>
          <w:i/>
          <w:snapToGrid w:val="0"/>
          <w:sz w:val="24"/>
          <w:lang w:eastAsia="zh-CN"/>
        </w:rPr>
        <w:t>21 CFR 876.5540</w:t>
      </w:r>
      <w:r>
        <w:rPr>
          <w:rFonts w:hint="eastAsia" w:ascii="Arial" w:hAnsi="Arial" w:eastAsia="宋体" w:cs="Arial"/>
          <w:i/>
          <w:snapToGrid w:val="0"/>
          <w:sz w:val="24"/>
          <w:lang w:eastAsia="zh-CN"/>
        </w:rPr>
        <w:t>（</w:t>
      </w:r>
      <w:r>
        <w:rPr>
          <w:rFonts w:ascii="Arial" w:hAnsi="Arial" w:eastAsia="宋体" w:cs="Arial"/>
          <w:i/>
          <w:snapToGrid w:val="0"/>
          <w:sz w:val="24"/>
          <w:lang w:eastAsia="zh-CN"/>
        </w:rPr>
        <w:t>b</w:t>
      </w:r>
      <w:r>
        <w:rPr>
          <w:rFonts w:hint="eastAsia" w:ascii="Arial" w:hAnsi="Arial" w:eastAsia="宋体" w:cs="Arial"/>
          <w:i/>
          <w:snapToGrid w:val="0"/>
          <w:sz w:val="24"/>
          <w:lang w:eastAsia="zh-CN"/>
        </w:rPr>
        <w:t>）（</w:t>
      </w:r>
      <w:r>
        <w:rPr>
          <w:rFonts w:ascii="Arial" w:hAnsi="Arial" w:eastAsia="宋体" w:cs="Arial"/>
          <w:i/>
          <w:snapToGrid w:val="0"/>
          <w:sz w:val="24"/>
          <w:lang w:eastAsia="zh-CN"/>
        </w:rPr>
        <w:t>1</w:t>
      </w:r>
      <w:r>
        <w:rPr>
          <w:rFonts w:hint="eastAsia" w:ascii="Arial" w:hAnsi="Arial" w:eastAsia="宋体" w:cs="Arial"/>
          <w:i/>
          <w:snapToGrid w:val="0"/>
          <w:sz w:val="24"/>
          <w:lang w:eastAsia="zh-CN"/>
        </w:rPr>
        <w:t>）（</w:t>
      </w:r>
      <w:r>
        <w:rPr>
          <w:rFonts w:ascii="Arial" w:hAnsi="Arial" w:eastAsia="宋体" w:cs="Arial"/>
          <w:i/>
          <w:snapToGrid w:val="0"/>
          <w:sz w:val="24"/>
          <w:lang w:eastAsia="zh-CN"/>
        </w:rPr>
        <w:t>ii</w:t>
      </w:r>
      <w:r>
        <w:rPr>
          <w:rFonts w:hint="eastAsia" w:ascii="Arial" w:hAnsi="Arial" w:eastAsia="宋体" w:cs="Arial"/>
          <w:i/>
          <w:snapToGrid w:val="0"/>
          <w:sz w:val="24"/>
          <w:lang w:eastAsia="zh-CN"/>
        </w:rPr>
        <w:t>）（</w:t>
      </w:r>
      <w:r>
        <w:rPr>
          <w:rFonts w:ascii="Arial" w:hAnsi="Arial" w:eastAsia="宋体" w:cs="Arial"/>
          <w:i/>
          <w:snapToGrid w:val="0"/>
          <w:sz w:val="24"/>
          <w:lang w:eastAsia="zh-CN"/>
        </w:rPr>
        <w:t>G</w:t>
      </w:r>
      <w:r>
        <w:rPr>
          <w:rFonts w:hint="eastAsia" w:ascii="Arial" w:hAnsi="Arial" w:eastAsia="宋体" w:cs="Arial"/>
          <w:i/>
          <w:snapToGrid w:val="0"/>
          <w:sz w:val="24"/>
          <w:lang w:eastAsia="zh-CN"/>
        </w:rPr>
        <w:t>））。</w:t>
      </w:r>
    </w:p>
    <w:p w14:paraId="75B6DCBF">
      <w:pPr>
        <w:pStyle w:val="7"/>
        <w:topLinePunct/>
        <w:autoSpaceDE/>
        <w:autoSpaceDN/>
        <w:adjustRightInd w:val="0"/>
        <w:snapToGrid w:val="0"/>
        <w:spacing w:after="224" w:afterLines="75" w:line="288" w:lineRule="auto"/>
        <w:ind w:left="1162" w:leftChars="528"/>
        <w:jc w:val="both"/>
        <w:rPr>
          <w:rFonts w:ascii="Arial" w:hAnsi="Arial" w:eastAsia="宋体" w:cs="Arial"/>
          <w:snapToGrid w:val="0"/>
          <w:lang w:eastAsia="zh-CN"/>
        </w:rPr>
      </w:pPr>
      <w:r>
        <w:rPr>
          <w:rFonts w:hint="eastAsia" w:ascii="Arial" w:hAnsi="Arial" w:eastAsia="宋体" w:cs="Arial"/>
          <w:snapToGrid w:val="0"/>
          <w:lang w:eastAsia="zh-CN"/>
        </w:rPr>
        <w:t>建议：应对新血液透析导管设计实施体外机械性溶血检验。若血流类型或器械表面特征受到影响，则设计较之前有所改动的器械（例如添加涂层的导管）也应接受体外溶血检验。应对达到有效期的器械进行溶血检验（应包括从暴露到模拟运输与储存条件期间的灭菌与热循环）。</w:t>
      </w:r>
    </w:p>
    <w:p w14:paraId="5AF81E37">
      <w:pPr>
        <w:pStyle w:val="7"/>
        <w:topLinePunct/>
        <w:autoSpaceDE/>
        <w:autoSpaceDN/>
        <w:adjustRightInd w:val="0"/>
        <w:snapToGrid w:val="0"/>
        <w:spacing w:after="224" w:afterLines="75" w:line="288" w:lineRule="auto"/>
        <w:ind w:left="1162" w:leftChars="528"/>
        <w:jc w:val="both"/>
        <w:rPr>
          <w:rFonts w:ascii="Arial" w:hAnsi="Arial" w:eastAsia="宋体" w:cs="Arial"/>
          <w:snapToGrid w:val="0"/>
          <w:lang w:eastAsia="zh-CN"/>
        </w:rPr>
      </w:pPr>
      <w:r>
        <w:rPr>
          <w:rFonts w:hint="eastAsia" w:ascii="Arial" w:hAnsi="Arial" w:eastAsia="宋体" w:cs="Arial"/>
          <w:snapToGrid w:val="0"/>
          <w:lang w:eastAsia="zh-CN"/>
        </w:rPr>
        <w:t>但若能论证器械有效期内接触血液表面的化学与物理性质不会改变，则检验</w:t>
      </w:r>
      <w:r>
        <w:rPr>
          <w:rFonts w:hint="eastAsia" w:ascii="Arial" w:hAnsi="Arial" w:eastAsia="宋体" w:cs="Arial"/>
          <w:snapToGrid w:val="0"/>
          <w:u w:val="single"/>
          <w:lang w:eastAsia="zh-CN"/>
        </w:rPr>
        <w:t>未到期</w:t>
      </w:r>
      <w:r>
        <w:rPr>
          <w:rFonts w:hint="eastAsia" w:ascii="Arial" w:hAnsi="Arial" w:eastAsia="宋体" w:cs="Arial"/>
          <w:snapToGrid w:val="0"/>
          <w:lang w:eastAsia="zh-CN"/>
        </w:rPr>
        <w:t>灭菌器械也是可接受的。应将申报器械的溶血数据与指定器械数据对比，并证明申报设计相比指定器械不会发生更多红细胞溶解。</w:t>
      </w:r>
    </w:p>
    <w:p w14:paraId="44270660">
      <w:pPr>
        <w:rPr>
          <w:rFonts w:ascii="Arial" w:hAnsi="Arial" w:eastAsia="宋体" w:cs="Arial"/>
          <w:snapToGrid w:val="0"/>
          <w:sz w:val="24"/>
          <w:szCs w:val="24"/>
          <w:lang w:eastAsia="zh-CN"/>
        </w:rPr>
      </w:pPr>
      <w:bookmarkStart w:id="30" w:name="Sterility_and_Shelf-Life"/>
      <w:bookmarkEnd w:id="30"/>
      <w:r>
        <w:rPr>
          <w:rFonts w:ascii="Arial" w:hAnsi="Arial" w:eastAsia="宋体" w:cs="Arial"/>
          <w:snapToGrid w:val="0"/>
          <w:lang w:eastAsia="zh-CN"/>
        </w:rPr>
        <w:br w:type="page"/>
      </w:r>
    </w:p>
    <w:p w14:paraId="6553E1CA">
      <w:pPr>
        <w:pStyle w:val="7"/>
        <w:topLinePunct/>
        <w:autoSpaceDE/>
        <w:autoSpaceDN/>
        <w:adjustRightInd w:val="0"/>
        <w:snapToGrid w:val="0"/>
        <w:spacing w:after="224" w:afterLines="75" w:line="288" w:lineRule="auto"/>
        <w:ind w:left="1162" w:leftChars="528"/>
        <w:jc w:val="both"/>
        <w:rPr>
          <w:rFonts w:ascii="Arial" w:hAnsi="Arial" w:eastAsia="宋体" w:cs="Arial"/>
          <w:snapToGrid w:val="0"/>
          <w:lang w:eastAsia="zh-CN"/>
        </w:rPr>
      </w:pPr>
      <w:r>
        <w:rPr>
          <w:rFonts w:hint="eastAsia" w:ascii="Arial" w:hAnsi="Arial" w:eastAsia="宋体" w:cs="Arial"/>
          <w:snapToGrid w:val="0"/>
          <w:lang w:eastAsia="zh-CN"/>
        </w:rPr>
        <w:t>检验应对申报器械使用标记的最大血流量（检验考虑参见附录A）。对于导管系列，应对预期具有最大溶血潜力的型号实施溶血检验（例如最小内径与最长长度）。</w:t>
      </w:r>
    </w:p>
    <w:p w14:paraId="5286EACD">
      <w:pPr>
        <w:pStyle w:val="22"/>
        <w:numPr>
          <w:ilvl w:val="0"/>
          <w:numId w:val="6"/>
        </w:numPr>
        <w:topLinePunct/>
        <w:autoSpaceDE/>
        <w:autoSpaceDN/>
        <w:adjustRightInd w:val="0"/>
        <w:snapToGrid w:val="0"/>
        <w:spacing w:after="224" w:afterLines="75" w:line="288" w:lineRule="auto"/>
        <w:ind w:left="1176" w:leftChars="327" w:hanging="457"/>
        <w:jc w:val="both"/>
        <w:rPr>
          <w:rFonts w:ascii="Arial" w:hAnsi="Arial" w:eastAsia="宋体" w:cs="Arial"/>
          <w:i/>
          <w:snapToGrid w:val="0"/>
          <w:sz w:val="24"/>
          <w:lang w:eastAsia="zh-CN"/>
        </w:rPr>
      </w:pPr>
      <w:r>
        <w:rPr>
          <w:rFonts w:hint="eastAsia" w:ascii="Arial" w:hAnsi="Arial" w:eastAsia="宋体" w:cs="Arial"/>
          <w:i/>
          <w:snapToGrid w:val="0"/>
          <w:sz w:val="24"/>
          <w:lang w:eastAsia="zh-CN"/>
        </w:rPr>
        <w:t>应确定反复暴露于常用消毒剂的器械的化学耐受性（</w:t>
      </w:r>
      <w:r>
        <w:rPr>
          <w:rFonts w:ascii="Arial" w:hAnsi="Arial" w:eastAsia="宋体" w:cs="Arial"/>
          <w:i/>
          <w:snapToGrid w:val="0"/>
          <w:sz w:val="24"/>
          <w:lang w:eastAsia="zh-CN"/>
        </w:rPr>
        <w:t>21 CFR 876.5540</w:t>
      </w:r>
      <w:r>
        <w:rPr>
          <w:rFonts w:hint="eastAsia" w:ascii="Arial" w:hAnsi="Arial" w:eastAsia="宋体" w:cs="Arial"/>
          <w:i/>
          <w:snapToGrid w:val="0"/>
          <w:sz w:val="24"/>
          <w:lang w:eastAsia="zh-CN"/>
        </w:rPr>
        <w:t>（</w:t>
      </w:r>
      <w:r>
        <w:rPr>
          <w:rFonts w:ascii="Arial" w:hAnsi="Arial" w:eastAsia="宋体" w:cs="Arial"/>
          <w:i/>
          <w:snapToGrid w:val="0"/>
          <w:sz w:val="24"/>
          <w:lang w:eastAsia="zh-CN"/>
        </w:rPr>
        <w:t>b</w:t>
      </w:r>
      <w:r>
        <w:rPr>
          <w:rFonts w:hint="eastAsia" w:ascii="Arial" w:hAnsi="Arial" w:eastAsia="宋体" w:cs="Arial"/>
          <w:i/>
          <w:snapToGrid w:val="0"/>
          <w:sz w:val="24"/>
          <w:lang w:eastAsia="zh-CN"/>
        </w:rPr>
        <w:t>）（</w:t>
      </w:r>
      <w:r>
        <w:rPr>
          <w:rFonts w:ascii="Arial" w:hAnsi="Arial" w:eastAsia="宋体" w:cs="Arial"/>
          <w:i/>
          <w:snapToGrid w:val="0"/>
          <w:sz w:val="24"/>
          <w:lang w:eastAsia="zh-CN"/>
        </w:rPr>
        <w:t>1</w:t>
      </w:r>
      <w:r>
        <w:rPr>
          <w:rFonts w:hint="eastAsia" w:ascii="Arial" w:hAnsi="Arial" w:eastAsia="宋体" w:cs="Arial"/>
          <w:i/>
          <w:snapToGrid w:val="0"/>
          <w:sz w:val="24"/>
          <w:lang w:eastAsia="zh-CN"/>
        </w:rPr>
        <w:t>）（</w:t>
      </w:r>
      <w:r>
        <w:rPr>
          <w:rFonts w:ascii="Arial" w:hAnsi="Arial" w:eastAsia="宋体" w:cs="Arial"/>
          <w:i/>
          <w:snapToGrid w:val="0"/>
          <w:sz w:val="24"/>
          <w:lang w:eastAsia="zh-CN"/>
        </w:rPr>
        <w:t>ii</w:t>
      </w:r>
      <w:r>
        <w:rPr>
          <w:rFonts w:hint="eastAsia" w:ascii="Arial" w:hAnsi="Arial" w:eastAsia="宋体" w:cs="Arial"/>
          <w:i/>
          <w:snapToGrid w:val="0"/>
          <w:sz w:val="24"/>
          <w:lang w:eastAsia="zh-CN"/>
        </w:rPr>
        <w:t>）（</w:t>
      </w:r>
      <w:r>
        <w:rPr>
          <w:rFonts w:ascii="Arial" w:hAnsi="Arial" w:eastAsia="宋体" w:cs="Arial"/>
          <w:i/>
          <w:snapToGrid w:val="0"/>
          <w:sz w:val="24"/>
          <w:lang w:eastAsia="zh-CN"/>
        </w:rPr>
        <w:t>H</w:t>
      </w:r>
      <w:r>
        <w:rPr>
          <w:rFonts w:hint="eastAsia" w:ascii="Arial" w:hAnsi="Arial" w:eastAsia="宋体" w:cs="Arial"/>
          <w:i/>
          <w:snapToGrid w:val="0"/>
          <w:sz w:val="24"/>
          <w:lang w:eastAsia="zh-CN"/>
        </w:rPr>
        <w:t>））。</w:t>
      </w:r>
    </w:p>
    <w:p w14:paraId="1F5CC8B4">
      <w:pPr>
        <w:pStyle w:val="7"/>
        <w:topLinePunct/>
        <w:autoSpaceDE/>
        <w:autoSpaceDN/>
        <w:adjustRightInd w:val="0"/>
        <w:snapToGrid w:val="0"/>
        <w:spacing w:after="224" w:afterLines="75" w:line="288" w:lineRule="auto"/>
        <w:ind w:left="1162" w:leftChars="528"/>
        <w:jc w:val="both"/>
        <w:rPr>
          <w:rFonts w:ascii="Arial" w:hAnsi="Arial" w:eastAsia="宋体" w:cs="Arial"/>
          <w:snapToGrid w:val="0"/>
          <w:lang w:eastAsia="zh-CN"/>
        </w:rPr>
      </w:pPr>
      <w:r>
        <w:rPr>
          <w:rFonts w:hint="eastAsia" w:ascii="Arial" w:hAnsi="Arial" w:eastAsia="宋体" w:cs="Arial"/>
          <w:snapToGrid w:val="0"/>
          <w:lang w:eastAsia="zh-CN"/>
        </w:rPr>
        <w:t>建议：FDA认为以下是常用消毒剂</w:t>
      </w:r>
      <w:r>
        <w:rPr>
          <w:rStyle w:val="20"/>
          <w:rFonts w:ascii="Arial" w:hAnsi="Arial" w:eastAsia="宋体" w:cs="Arial"/>
          <w:snapToGrid w:val="0"/>
          <w:lang w:eastAsia="zh-CN"/>
        </w:rPr>
        <w:footnoteReference w:id="7"/>
      </w:r>
      <w:r>
        <w:rPr>
          <w:rFonts w:hint="eastAsia" w:ascii="Arial" w:hAnsi="Arial" w:eastAsia="宋体" w:cs="Arial"/>
          <w:snapToGrid w:val="0"/>
          <w:lang w:eastAsia="zh-CN"/>
        </w:rPr>
        <w:t>：氯己定、次氯酸钠、聚维酮碘（膏和溶液）、</w:t>
      </w:r>
      <w:r>
        <w:rPr>
          <w:rFonts w:ascii="Arial" w:hAnsi="Arial" w:eastAsia="宋体" w:cs="Arial"/>
          <w:snapToGrid w:val="0"/>
          <w:lang w:eastAsia="zh-CN"/>
        </w:rPr>
        <w:t>70%</w:t>
      </w:r>
      <w:r>
        <w:rPr>
          <w:rFonts w:hint="eastAsia" w:ascii="Arial" w:hAnsi="Arial" w:eastAsia="宋体" w:cs="Arial"/>
          <w:snapToGrid w:val="0"/>
          <w:lang w:eastAsia="zh-CN"/>
        </w:rPr>
        <w:t>酒精、莫匹罗星、复方多粘菌素或三联抗生素软膏、双氧水和庆大霉素。检验应至少包含这些消毒剂，但若制造商推荐其他特定消毒剂，还应检验其他制剂。检验条件应模拟预期临床使用。</w:t>
      </w:r>
    </w:p>
    <w:p w14:paraId="4C26D34F">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r>
        <w:rPr>
          <w:rFonts w:hint="eastAsia" w:ascii="Arial" w:hAnsi="Arial" w:eastAsia="宋体" w:cs="Arial"/>
          <w:snapToGrid w:val="0"/>
          <w:lang w:eastAsia="zh-CN"/>
        </w:rPr>
        <w:t>申报器械性能检验结果应与指定器械的结果对比。若申报器械的检验结果超出指定器械范围，</w:t>
      </w:r>
      <w:r>
        <w:rPr>
          <w:rFonts w:ascii="Arial" w:hAnsi="Arial" w:eastAsia="宋体" w:cs="Arial"/>
          <w:snapToGrid w:val="0"/>
          <w:lang w:eastAsia="zh-CN"/>
        </w:rPr>
        <w:t>510</w:t>
      </w:r>
      <w:r>
        <w:rPr>
          <w:rFonts w:hint="eastAsia" w:ascii="Arial" w:hAnsi="Arial" w:eastAsia="宋体" w:cs="Arial"/>
          <w:snapToGrid w:val="0"/>
          <w:lang w:eastAsia="zh-CN"/>
        </w:rPr>
        <w:t>（</w:t>
      </w:r>
      <w:r>
        <w:rPr>
          <w:rFonts w:ascii="Arial" w:hAnsi="Arial" w:eastAsia="宋体" w:cs="Arial"/>
          <w:snapToGrid w:val="0"/>
          <w:lang w:eastAsia="zh-CN"/>
        </w:rPr>
        <w:t>k</w:t>
      </w:r>
      <w:r>
        <w:rPr>
          <w:rFonts w:hint="eastAsia" w:ascii="Arial" w:hAnsi="Arial" w:eastAsia="宋体" w:cs="Arial"/>
          <w:snapToGrid w:val="0"/>
          <w:lang w:eastAsia="zh-CN"/>
        </w:rPr>
        <w:t>）应包含对为何这种差异支持申报器械实质等同性的解释。应注明这些差异，并在</w:t>
      </w:r>
      <w:r>
        <w:rPr>
          <w:rFonts w:ascii="Arial" w:hAnsi="Arial" w:eastAsia="宋体" w:cs="Arial"/>
          <w:snapToGrid w:val="0"/>
          <w:lang w:eastAsia="zh-CN"/>
        </w:rPr>
        <w:t>510</w:t>
      </w:r>
      <w:r>
        <w:rPr>
          <w:rFonts w:hint="eastAsia" w:ascii="Arial" w:hAnsi="Arial" w:eastAsia="宋体" w:cs="Arial"/>
          <w:snapToGrid w:val="0"/>
          <w:lang w:eastAsia="zh-CN"/>
        </w:rPr>
        <w:t>（</w:t>
      </w:r>
      <w:r>
        <w:rPr>
          <w:rFonts w:ascii="Arial" w:hAnsi="Arial" w:eastAsia="宋体" w:cs="Arial"/>
          <w:snapToGrid w:val="0"/>
          <w:lang w:eastAsia="zh-CN"/>
        </w:rPr>
        <w:t>k</w:t>
      </w:r>
      <w:r>
        <w:rPr>
          <w:rFonts w:hint="eastAsia" w:ascii="Arial" w:hAnsi="Arial" w:eastAsia="宋体" w:cs="Arial"/>
          <w:snapToGrid w:val="0"/>
          <w:lang w:eastAsia="zh-CN"/>
        </w:rPr>
        <w:t>）申报中论证与指定器械结果的所有显著偏差是合理的。</w:t>
      </w:r>
    </w:p>
    <w:p w14:paraId="287E681A">
      <w:pPr>
        <w:pStyle w:val="4"/>
        <w:numPr>
          <w:ilvl w:val="1"/>
          <w:numId w:val="1"/>
        </w:numPr>
        <w:tabs>
          <w:tab w:val="left" w:pos="1679"/>
          <w:tab w:val="left" w:pos="1680"/>
        </w:tabs>
        <w:topLinePunct/>
        <w:autoSpaceDE/>
        <w:autoSpaceDN/>
        <w:adjustRightInd w:val="0"/>
        <w:snapToGrid w:val="0"/>
        <w:spacing w:after="224" w:afterLines="75" w:line="288" w:lineRule="auto"/>
        <w:ind w:left="719" w:leftChars="327" w:firstLine="0"/>
        <w:jc w:val="both"/>
        <w:rPr>
          <w:rFonts w:ascii="Arial" w:hAnsi="Arial" w:eastAsia="宋体" w:cs="Arial"/>
          <w:snapToGrid w:val="0"/>
          <w:sz w:val="28"/>
          <w:lang w:eastAsia="zh-CN"/>
        </w:rPr>
      </w:pPr>
      <w:bookmarkStart w:id="31" w:name="_bookmark15"/>
      <w:bookmarkEnd w:id="31"/>
      <w:bookmarkStart w:id="32" w:name="_Toc499129126"/>
      <w:r>
        <w:rPr>
          <w:rFonts w:hint="eastAsia" w:ascii="Arial" w:hAnsi="Arial" w:eastAsia="宋体" w:cs="Arial"/>
          <w:snapToGrid w:val="0"/>
          <w:sz w:val="28"/>
          <w:lang w:eastAsia="zh-CN"/>
        </w:rPr>
        <w:t>无菌性与有效期</w:t>
      </w:r>
      <w:bookmarkEnd w:id="32"/>
    </w:p>
    <w:p w14:paraId="7A227BBD">
      <w:pPr>
        <w:topLinePunct/>
        <w:autoSpaceDE/>
        <w:autoSpaceDN/>
        <w:adjustRightInd w:val="0"/>
        <w:snapToGrid w:val="0"/>
        <w:spacing w:after="224" w:afterLines="75" w:line="288" w:lineRule="auto"/>
        <w:jc w:val="both"/>
        <w:rPr>
          <w:rFonts w:ascii="Arial" w:hAnsi="Arial" w:eastAsia="宋体" w:cs="Arial"/>
          <w:i/>
          <w:snapToGrid w:val="0"/>
          <w:sz w:val="24"/>
          <w:lang w:eastAsia="zh-CN"/>
        </w:rPr>
      </w:pPr>
      <w:r>
        <w:rPr>
          <w:rFonts w:ascii="Arial" w:hAnsi="Arial" w:eastAsia="宋体" w:cs="Arial"/>
          <w:snapToGrid w:val="0"/>
          <w:sz w:val="24"/>
          <w:lang w:eastAsia="zh-CN"/>
        </w:rPr>
        <w:t>FDA</w:t>
      </w:r>
      <w:r>
        <w:rPr>
          <w:rFonts w:hint="eastAsia" w:ascii="Arial" w:hAnsi="Arial" w:eastAsia="宋体" w:cs="Arial"/>
          <w:snapToGrid w:val="0"/>
          <w:sz w:val="24"/>
          <w:lang w:eastAsia="zh-CN"/>
        </w:rPr>
        <w:t>已制定特殊控制，要求</w:t>
      </w:r>
      <w:r>
        <w:rPr>
          <w:rFonts w:hint="eastAsia" w:ascii="宋体" w:hAnsi="宋体" w:eastAsia="宋体" w:cs="Arial"/>
          <w:i/>
          <w:snapToGrid w:val="0"/>
          <w:sz w:val="24"/>
          <w:lang w:eastAsia="zh-CN"/>
        </w:rPr>
        <w:t>“</w:t>
      </w:r>
      <w:r>
        <w:rPr>
          <w:rFonts w:hint="eastAsia" w:ascii="Arial" w:hAnsi="Arial" w:eastAsia="宋体" w:cs="Arial"/>
          <w:i/>
          <w:snapToGrid w:val="0"/>
          <w:sz w:val="24"/>
          <w:lang w:eastAsia="zh-CN"/>
        </w:rPr>
        <w:t>性能数据必须证实器械无菌性，必须支持要求的有效期内器械关于持续无菌性、包装完整性和功能的有效期，必须包括抗张检验、反复夹闭检验与泄漏检验（</w:t>
      </w:r>
      <w:r>
        <w:rPr>
          <w:rFonts w:ascii="Arial" w:hAnsi="Arial" w:eastAsia="宋体" w:cs="Arial"/>
          <w:i/>
          <w:snapToGrid w:val="0"/>
          <w:sz w:val="24"/>
          <w:lang w:eastAsia="zh-CN"/>
        </w:rPr>
        <w:t>21 CFR 876.5540</w:t>
      </w:r>
      <w:r>
        <w:rPr>
          <w:rFonts w:hint="eastAsia" w:ascii="Arial" w:hAnsi="Arial" w:eastAsia="宋体" w:cs="Arial"/>
          <w:i/>
          <w:snapToGrid w:val="0"/>
          <w:sz w:val="24"/>
          <w:lang w:eastAsia="zh-CN"/>
        </w:rPr>
        <w:t>（</w:t>
      </w:r>
      <w:r>
        <w:rPr>
          <w:rFonts w:ascii="Arial" w:hAnsi="Arial" w:eastAsia="宋体" w:cs="Arial"/>
          <w:i/>
          <w:snapToGrid w:val="0"/>
          <w:sz w:val="24"/>
          <w:lang w:eastAsia="zh-CN"/>
        </w:rPr>
        <w:t>b</w:t>
      </w:r>
      <w:r>
        <w:rPr>
          <w:rFonts w:hint="eastAsia" w:ascii="Arial" w:hAnsi="Arial" w:eastAsia="宋体" w:cs="Arial"/>
          <w:i/>
          <w:snapToGrid w:val="0"/>
          <w:sz w:val="24"/>
          <w:lang w:eastAsia="zh-CN"/>
        </w:rPr>
        <w:t>）（</w:t>
      </w:r>
      <w:r>
        <w:rPr>
          <w:rFonts w:ascii="Arial" w:hAnsi="Arial" w:eastAsia="宋体" w:cs="Arial"/>
          <w:i/>
          <w:snapToGrid w:val="0"/>
          <w:sz w:val="24"/>
          <w:lang w:eastAsia="zh-CN"/>
        </w:rPr>
        <w:t>1</w:t>
      </w:r>
      <w:r>
        <w:rPr>
          <w:rFonts w:hint="eastAsia" w:ascii="Arial" w:hAnsi="Arial" w:eastAsia="宋体" w:cs="Arial"/>
          <w:i/>
          <w:snapToGrid w:val="0"/>
          <w:sz w:val="24"/>
          <w:lang w:eastAsia="zh-CN"/>
        </w:rPr>
        <w:t>）（</w:t>
      </w:r>
      <w:r>
        <w:rPr>
          <w:rFonts w:ascii="Arial" w:hAnsi="Arial" w:eastAsia="宋体" w:cs="Arial"/>
          <w:i/>
          <w:snapToGrid w:val="0"/>
          <w:sz w:val="24"/>
          <w:lang w:eastAsia="zh-CN"/>
        </w:rPr>
        <w:t>iii</w:t>
      </w:r>
      <w:r>
        <w:rPr>
          <w:rFonts w:hint="eastAsia" w:ascii="Arial" w:hAnsi="Arial" w:eastAsia="宋体" w:cs="Arial"/>
          <w:i/>
          <w:snapToGrid w:val="0"/>
          <w:sz w:val="24"/>
          <w:lang w:eastAsia="zh-CN"/>
        </w:rPr>
        <w:t>）和（</w:t>
      </w:r>
      <w:r>
        <w:rPr>
          <w:rFonts w:ascii="Arial" w:hAnsi="Arial" w:eastAsia="宋体" w:cs="Arial"/>
          <w:i/>
          <w:snapToGrid w:val="0"/>
          <w:sz w:val="24"/>
          <w:lang w:eastAsia="zh-CN"/>
        </w:rPr>
        <w:t>21 CFR 876.5540</w:t>
      </w:r>
      <w:r>
        <w:rPr>
          <w:rFonts w:hint="eastAsia" w:ascii="Arial" w:hAnsi="Arial" w:eastAsia="宋体" w:cs="Arial"/>
          <w:i/>
          <w:snapToGrid w:val="0"/>
          <w:sz w:val="24"/>
          <w:lang w:eastAsia="zh-CN"/>
        </w:rPr>
        <w:t>（</w:t>
      </w:r>
      <w:r>
        <w:rPr>
          <w:rFonts w:ascii="Arial" w:hAnsi="Arial" w:eastAsia="宋体" w:cs="Arial"/>
          <w:i/>
          <w:snapToGrid w:val="0"/>
          <w:sz w:val="24"/>
          <w:lang w:eastAsia="zh-CN"/>
        </w:rPr>
        <w:t>b</w:t>
      </w:r>
      <w:r>
        <w:rPr>
          <w:rFonts w:hint="eastAsia" w:ascii="Arial" w:hAnsi="Arial" w:eastAsia="宋体" w:cs="Arial"/>
          <w:i/>
          <w:snapToGrid w:val="0"/>
          <w:sz w:val="24"/>
          <w:lang w:eastAsia="zh-CN"/>
        </w:rPr>
        <w:t>）（</w:t>
      </w:r>
      <w:r>
        <w:rPr>
          <w:rFonts w:ascii="Arial" w:hAnsi="Arial" w:eastAsia="宋体" w:cs="Arial"/>
          <w:i/>
          <w:snapToGrid w:val="0"/>
          <w:sz w:val="24"/>
          <w:lang w:eastAsia="zh-CN"/>
        </w:rPr>
        <w:t>1</w:t>
      </w:r>
      <w:r>
        <w:rPr>
          <w:rFonts w:hint="eastAsia" w:ascii="Arial" w:hAnsi="Arial" w:eastAsia="宋体" w:cs="Arial"/>
          <w:i/>
          <w:snapToGrid w:val="0"/>
          <w:sz w:val="24"/>
          <w:lang w:eastAsia="zh-CN"/>
        </w:rPr>
        <w:t>）（</w:t>
      </w:r>
      <w:r>
        <w:rPr>
          <w:rFonts w:ascii="Arial" w:hAnsi="Arial" w:eastAsia="宋体" w:cs="Arial"/>
          <w:i/>
          <w:snapToGrid w:val="0"/>
          <w:sz w:val="24"/>
          <w:lang w:eastAsia="zh-CN"/>
        </w:rPr>
        <w:t>iv</w:t>
      </w:r>
      <w:r>
        <w:rPr>
          <w:rFonts w:hint="eastAsia" w:ascii="Arial" w:hAnsi="Arial" w:eastAsia="宋体" w:cs="Arial"/>
          <w:i/>
          <w:snapToGrid w:val="0"/>
          <w:sz w:val="24"/>
          <w:lang w:eastAsia="zh-CN"/>
        </w:rPr>
        <w:t>））。”</w:t>
      </w:r>
    </w:p>
    <w:p w14:paraId="067275E4">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r>
        <w:rPr>
          <w:rFonts w:hint="eastAsia" w:ascii="Arial" w:hAnsi="Arial" w:eastAsia="宋体" w:cs="Arial"/>
          <w:snapToGrid w:val="0"/>
          <w:lang w:eastAsia="zh-CN"/>
        </w:rPr>
        <w:t>建议：</w:t>
      </w:r>
      <w:r>
        <w:rPr>
          <w:rFonts w:ascii="Arial" w:hAnsi="Arial" w:eastAsia="宋体" w:cs="Arial"/>
          <w:snapToGrid w:val="0"/>
          <w:lang w:eastAsia="zh-CN"/>
        </w:rPr>
        <w:t>FDA</w:t>
      </w:r>
      <w:r>
        <w:rPr>
          <w:rFonts w:hint="eastAsia" w:ascii="Arial" w:hAnsi="Arial" w:eastAsia="宋体" w:cs="Arial"/>
          <w:snapToGrid w:val="0"/>
          <w:lang w:eastAsia="zh-CN"/>
        </w:rPr>
        <w:t>的指南</w:t>
      </w:r>
      <w:r>
        <w:rPr>
          <w:rFonts w:ascii="宋体" w:hAnsi="宋体" w:eastAsia="宋体" w:cs="Arial"/>
          <w:snapToGrid w:val="0"/>
          <w:lang w:eastAsia="zh-CN"/>
        </w:rPr>
        <w:t>“</w:t>
      </w:r>
      <w:r>
        <w:rPr>
          <w:rFonts w:hint="eastAsia" w:ascii="Arial" w:hAnsi="Arial" w:eastAsia="宋体" w:cs="Arial"/>
          <w:snapToGrid w:val="0"/>
          <w:lang w:eastAsia="zh-CN"/>
        </w:rPr>
        <w:t>对标明无菌器械的上市前申请510（k）申报材料中的灭菌信息的申报与审核”（</w:t>
      </w:r>
      <w:r>
        <w:fldChar w:fldCharType="begin"/>
      </w:r>
      <w:r>
        <w:instrText xml:space="preserve"> HYPERLINK "http://www.fda.gov/downloads/MedicalDevices/DeviceRegulationandGuidance/GuidanceDocu" \h </w:instrText>
      </w:r>
      <w:r>
        <w:fldChar w:fldCharType="separate"/>
      </w:r>
      <w:r>
        <w:rPr>
          <w:rFonts w:ascii="Arial" w:hAnsi="Arial" w:eastAsia="宋体" w:cs="Arial"/>
          <w:snapToGrid w:val="0"/>
          <w:lang w:eastAsia="zh-CN"/>
        </w:rPr>
        <w:t>http</w:t>
      </w:r>
      <w:r>
        <w:rPr>
          <w:rFonts w:hint="eastAsia" w:ascii="Arial" w:hAnsi="Arial" w:eastAsia="宋体" w:cs="Arial"/>
          <w:snapToGrid w:val="0"/>
          <w:lang w:eastAsia="zh-CN"/>
        </w:rPr>
        <w:t>://</w:t>
      </w:r>
      <w:r>
        <w:rPr>
          <w:rFonts w:ascii="Arial" w:hAnsi="Arial" w:eastAsia="宋体" w:cs="Arial"/>
          <w:snapToGrid w:val="0"/>
          <w:lang w:eastAsia="zh-CN"/>
        </w:rPr>
        <w:t>www.fda.gov/downloads/MedicalDevices/DeviceRegulationandGuidance/GuidanceDocu</w:t>
      </w:r>
      <w:r>
        <w:rPr>
          <w:rFonts w:ascii="Arial" w:hAnsi="Arial" w:eastAsia="宋体" w:cs="Arial"/>
          <w:snapToGrid w:val="0"/>
          <w:lang w:eastAsia="zh-CN"/>
        </w:rPr>
        <w:fldChar w:fldCharType="end"/>
      </w:r>
      <w:r>
        <w:rPr>
          <w:rFonts w:ascii="Arial" w:hAnsi="Arial" w:eastAsia="宋体" w:cs="Arial"/>
          <w:snapToGrid w:val="0"/>
          <w:lang w:eastAsia="zh-CN"/>
        </w:rPr>
        <w:t xml:space="preserve"> ments/ucm109897.pdf</w:t>
      </w:r>
      <w:r>
        <w:rPr>
          <w:rFonts w:hint="eastAsia" w:ascii="Arial" w:hAnsi="Arial" w:eastAsia="宋体" w:cs="Arial"/>
          <w:snapToGrid w:val="0"/>
          <w:lang w:eastAsia="zh-CN"/>
        </w:rPr>
        <w:t>）提供了关于无菌性问题的基本信息。一般认为所有预期用于体内使用的无菌器械均满足</w:t>
      </w:r>
      <w:r>
        <w:rPr>
          <w:rFonts w:ascii="Arial" w:hAnsi="Arial" w:eastAsia="宋体" w:cs="Arial"/>
          <w:snapToGrid w:val="0"/>
          <w:lang w:eastAsia="zh-CN"/>
        </w:rPr>
        <w:t>10</w:t>
      </w:r>
      <w:r>
        <w:rPr>
          <w:rFonts w:ascii="Arial" w:hAnsi="Arial" w:eastAsia="宋体" w:cs="Arial"/>
          <w:snapToGrid w:val="0"/>
          <w:vertAlign w:val="superscript"/>
          <w:lang w:eastAsia="zh-CN"/>
        </w:rPr>
        <w:t>-6</w:t>
      </w:r>
      <w:r>
        <w:rPr>
          <w:rFonts w:hint="eastAsia" w:ascii="Arial" w:hAnsi="Arial" w:eastAsia="宋体" w:cs="Arial"/>
          <w:snapToGrid w:val="0"/>
          <w:lang w:eastAsia="zh-CN"/>
        </w:rPr>
        <w:t>无菌保证水平（</w:t>
      </w:r>
      <w:r>
        <w:rPr>
          <w:rFonts w:ascii="Arial" w:hAnsi="Arial" w:eastAsia="宋体" w:cs="Arial"/>
          <w:snapToGrid w:val="0"/>
          <w:lang w:eastAsia="zh-CN"/>
        </w:rPr>
        <w:t>SAL</w:t>
      </w:r>
      <w:r>
        <w:rPr>
          <w:rFonts w:hint="eastAsia" w:ascii="Arial" w:hAnsi="Arial" w:eastAsia="宋体" w:cs="Arial"/>
          <w:snapToGrid w:val="0"/>
          <w:lang w:eastAsia="zh-CN"/>
        </w:rPr>
        <w:t>）。您的申报应包括以下信息：</w:t>
      </w:r>
    </w:p>
    <w:p w14:paraId="354FF48D">
      <w:pPr>
        <w:pStyle w:val="22"/>
        <w:numPr>
          <w:ilvl w:val="0"/>
          <w:numId w:val="7"/>
        </w:numPr>
        <w:tabs>
          <w:tab w:val="left" w:pos="960"/>
        </w:tabs>
        <w:topLinePunct/>
        <w:autoSpaceDE/>
        <w:autoSpaceDN/>
        <w:adjustRightInd w:val="0"/>
        <w:snapToGrid w:val="0"/>
        <w:spacing w:after="224" w:afterLines="75" w:line="288" w:lineRule="auto"/>
        <w:ind w:hanging="393"/>
        <w:jc w:val="both"/>
        <w:rPr>
          <w:rFonts w:ascii="Arial" w:hAnsi="Arial" w:eastAsia="宋体" w:cs="Arial"/>
          <w:snapToGrid w:val="0"/>
          <w:sz w:val="24"/>
        </w:rPr>
      </w:pPr>
      <w:r>
        <w:rPr>
          <w:rFonts w:hint="eastAsia" w:ascii="Arial" w:hAnsi="Arial" w:eastAsia="宋体" w:cs="Arial"/>
          <w:snapToGrid w:val="0"/>
          <w:sz w:val="24"/>
          <w:lang w:eastAsia="zh-CN"/>
        </w:rPr>
        <w:t>灭菌方法</w:t>
      </w:r>
      <w:r>
        <w:rPr>
          <w:rFonts w:hint="eastAsia" w:ascii="Arial" w:hAnsi="Arial" w:eastAsia="宋体" w:cs="Arial"/>
          <w:snapToGrid w:val="0"/>
          <w:sz w:val="24"/>
        </w:rPr>
        <w:t>；</w:t>
      </w:r>
    </w:p>
    <w:p w14:paraId="5C3F20AC">
      <w:pPr>
        <w:pStyle w:val="22"/>
        <w:numPr>
          <w:ilvl w:val="0"/>
          <w:numId w:val="7"/>
        </w:numPr>
        <w:tabs>
          <w:tab w:val="left" w:pos="960"/>
        </w:tabs>
        <w:topLinePunct/>
        <w:autoSpaceDE/>
        <w:autoSpaceDN/>
        <w:adjustRightInd w:val="0"/>
        <w:snapToGrid w:val="0"/>
        <w:spacing w:after="224" w:afterLines="75" w:line="288" w:lineRule="auto"/>
        <w:ind w:hanging="393"/>
        <w:jc w:val="both"/>
        <w:rPr>
          <w:rFonts w:ascii="Arial" w:hAnsi="Arial" w:eastAsia="宋体" w:cs="Arial"/>
          <w:snapToGrid w:val="0"/>
          <w:sz w:val="24"/>
          <w:lang w:eastAsia="zh-CN"/>
        </w:rPr>
      </w:pPr>
      <w:r>
        <w:rPr>
          <w:rFonts w:hint="eastAsia" w:ascii="Arial" w:hAnsi="Arial" w:eastAsia="宋体" w:cs="Arial"/>
          <w:snapToGrid w:val="0"/>
          <w:sz w:val="24"/>
          <w:lang w:eastAsia="zh-CN"/>
        </w:rPr>
        <w:t>辐射剂量或灭菌成品上残留的环氧乙烷与氯乙烯最大残留剂量，以适用为准。对于环氧乙烷残留物，可参见FDA目前认可版本的</w:t>
      </w:r>
      <w:r>
        <w:rPr>
          <w:rFonts w:ascii="Arial" w:hAnsi="Arial" w:eastAsia="宋体" w:cs="Arial"/>
          <w:snapToGrid w:val="0"/>
          <w:sz w:val="24"/>
          <w:lang w:eastAsia="zh-CN"/>
        </w:rPr>
        <w:t>ANSI/AAMI/ISO 10993-7共识标</w:t>
      </w:r>
      <w:r>
        <w:rPr>
          <w:rFonts w:ascii="宋体" w:hAnsi="宋体" w:eastAsia="宋体" w:cs="Arial"/>
          <w:snapToGrid w:val="0"/>
          <w:sz w:val="24"/>
          <w:lang w:eastAsia="zh-CN"/>
        </w:rPr>
        <w:t>准“医</w:t>
      </w:r>
      <w:r>
        <w:rPr>
          <w:rFonts w:ascii="Arial" w:hAnsi="Arial" w:eastAsia="宋体" w:cs="Arial"/>
          <w:snapToGrid w:val="0"/>
          <w:sz w:val="24"/>
          <w:lang w:eastAsia="zh-CN"/>
        </w:rPr>
        <w:t>疗器械生物学评价–第7部分：环氧乙烷灭菌残</w:t>
      </w:r>
      <w:r>
        <w:rPr>
          <w:rFonts w:ascii="宋体" w:hAnsi="宋体" w:eastAsia="宋体" w:cs="Arial"/>
          <w:snapToGrid w:val="0"/>
          <w:sz w:val="24"/>
          <w:lang w:eastAsia="zh-CN"/>
        </w:rPr>
        <w:t>留”</w:t>
      </w:r>
      <w:r>
        <w:rPr>
          <w:rFonts w:ascii="Arial" w:hAnsi="Arial" w:eastAsia="宋体" w:cs="Arial"/>
          <w:snapToGrid w:val="0"/>
          <w:sz w:val="24"/>
          <w:lang w:eastAsia="zh-CN"/>
        </w:rPr>
        <w:t>；</w:t>
      </w:r>
      <w:r>
        <w:rPr>
          <w:rFonts w:ascii="Arial" w:hAnsi="Arial" w:eastAsia="宋体" w:cs="Arial"/>
          <w:b/>
          <w:snapToGrid w:val="0"/>
          <w:sz w:val="24"/>
          <w:highlight w:val="red"/>
          <w:vertAlign w:val="superscript"/>
          <w:lang w:eastAsia="zh-CN"/>
        </w:rPr>
        <w:t>Error!</w:t>
      </w:r>
      <w:r>
        <w:rPr>
          <w:rFonts w:ascii="Arial" w:hAnsi="Arial" w:eastAsia="宋体" w:cs="Arial"/>
          <w:b/>
          <w:snapToGrid w:val="0"/>
          <w:sz w:val="24"/>
          <w:highlight w:val="red"/>
          <w:lang w:eastAsia="zh-CN"/>
        </w:rPr>
        <w:t xml:space="preserve"> </w:t>
      </w:r>
      <w:r>
        <w:rPr>
          <w:rFonts w:ascii="Arial" w:hAnsi="Arial" w:eastAsia="宋体" w:cs="Arial"/>
          <w:b/>
          <w:snapToGrid w:val="0"/>
          <w:sz w:val="24"/>
          <w:highlight w:val="red"/>
          <w:vertAlign w:val="superscript"/>
          <w:lang w:eastAsia="zh-CN"/>
        </w:rPr>
        <w:t>Bookmark</w:t>
      </w:r>
      <w:r>
        <w:rPr>
          <w:rFonts w:ascii="Arial" w:hAnsi="Arial" w:eastAsia="宋体" w:cs="Arial"/>
          <w:b/>
          <w:snapToGrid w:val="0"/>
          <w:sz w:val="24"/>
          <w:highlight w:val="red"/>
          <w:lang w:eastAsia="zh-CN"/>
        </w:rPr>
        <w:t xml:space="preserve"> </w:t>
      </w:r>
      <w:r>
        <w:rPr>
          <w:rFonts w:ascii="Arial" w:hAnsi="Arial" w:eastAsia="宋体" w:cs="Arial"/>
          <w:b/>
          <w:snapToGrid w:val="0"/>
          <w:sz w:val="24"/>
          <w:highlight w:val="red"/>
          <w:vertAlign w:val="superscript"/>
          <w:lang w:eastAsia="zh-CN"/>
        </w:rPr>
        <w:t>not</w:t>
      </w:r>
      <w:r>
        <w:rPr>
          <w:rFonts w:ascii="Arial" w:hAnsi="Arial" w:eastAsia="宋体" w:cs="Arial"/>
          <w:b/>
          <w:snapToGrid w:val="0"/>
          <w:sz w:val="24"/>
          <w:highlight w:val="red"/>
          <w:lang w:eastAsia="zh-CN"/>
        </w:rPr>
        <w:t xml:space="preserve"> </w:t>
      </w:r>
      <w:r>
        <w:rPr>
          <w:rFonts w:ascii="Arial" w:hAnsi="Arial" w:eastAsia="宋体" w:cs="Arial"/>
          <w:b/>
          <w:snapToGrid w:val="0"/>
          <w:sz w:val="24"/>
          <w:highlight w:val="red"/>
          <w:vertAlign w:val="superscript"/>
          <w:lang w:eastAsia="zh-CN"/>
        </w:rPr>
        <w:t>defined</w:t>
      </w:r>
    </w:p>
    <w:p w14:paraId="110B0E25">
      <w:pPr>
        <w:pStyle w:val="22"/>
        <w:numPr>
          <w:ilvl w:val="0"/>
          <w:numId w:val="7"/>
        </w:numPr>
        <w:tabs>
          <w:tab w:val="left" w:pos="960"/>
        </w:tabs>
        <w:topLinePunct/>
        <w:autoSpaceDE/>
        <w:autoSpaceDN/>
        <w:adjustRightInd w:val="0"/>
        <w:snapToGrid w:val="0"/>
        <w:spacing w:after="224" w:afterLines="75" w:line="288" w:lineRule="auto"/>
        <w:ind w:hanging="393"/>
        <w:jc w:val="both"/>
        <w:rPr>
          <w:rFonts w:ascii="Arial" w:hAnsi="Arial" w:eastAsia="宋体" w:cs="Arial"/>
          <w:snapToGrid w:val="0"/>
          <w:sz w:val="24"/>
          <w:lang w:eastAsia="zh-CN"/>
        </w:rPr>
      </w:pPr>
      <w:r>
        <w:rPr>
          <w:rFonts w:hint="eastAsia" w:ascii="Arial" w:hAnsi="Arial" w:eastAsia="宋体" w:cs="Arial"/>
          <w:snapToGrid w:val="0"/>
          <w:sz w:val="24"/>
          <w:lang w:eastAsia="zh-CN"/>
        </w:rPr>
        <w:t>灭菌周期验证方法与灭菌保证水平（SAL）；</w:t>
      </w:r>
    </w:p>
    <w:p w14:paraId="06747F97">
      <w:pPr>
        <w:pStyle w:val="22"/>
        <w:numPr>
          <w:ilvl w:val="0"/>
          <w:numId w:val="7"/>
        </w:numPr>
        <w:tabs>
          <w:tab w:val="left" w:pos="960"/>
        </w:tabs>
        <w:topLinePunct/>
        <w:autoSpaceDE/>
        <w:autoSpaceDN/>
        <w:adjustRightInd w:val="0"/>
        <w:snapToGrid w:val="0"/>
        <w:spacing w:after="224" w:afterLines="75" w:line="288" w:lineRule="auto"/>
        <w:ind w:hanging="393"/>
        <w:jc w:val="both"/>
        <w:rPr>
          <w:rFonts w:ascii="Arial" w:hAnsi="Arial" w:eastAsia="宋体" w:cs="Arial"/>
          <w:snapToGrid w:val="0"/>
          <w:sz w:val="24"/>
          <w:lang w:eastAsia="zh-CN"/>
        </w:rPr>
      </w:pPr>
      <w:r>
        <w:rPr>
          <w:rFonts w:hint="eastAsia" w:ascii="Arial" w:hAnsi="Arial" w:eastAsia="宋体" w:cs="Arial"/>
          <w:snapToGrid w:val="0"/>
          <w:sz w:val="24"/>
          <w:lang w:eastAsia="zh-CN"/>
        </w:rPr>
        <w:t>由于产品应标记为</w:t>
      </w:r>
      <w:r>
        <w:rPr>
          <w:rFonts w:hint="eastAsia" w:ascii="宋体" w:hAnsi="宋体" w:eastAsia="宋体" w:cs="Arial"/>
          <w:snapToGrid w:val="0"/>
          <w:sz w:val="24"/>
          <w:lang w:eastAsia="zh-CN"/>
        </w:rPr>
        <w:t>“</w:t>
      </w:r>
      <w:r>
        <w:rPr>
          <w:rFonts w:hint="eastAsia" w:ascii="Arial" w:hAnsi="Arial" w:eastAsia="宋体" w:cs="Arial"/>
          <w:snapToGrid w:val="0"/>
          <w:sz w:val="24"/>
          <w:lang w:eastAsia="zh-CN"/>
        </w:rPr>
        <w:t>非制热原</w:t>
      </w:r>
      <w:r>
        <w:rPr>
          <w:rFonts w:hint="eastAsia" w:ascii="宋体" w:hAnsi="宋体" w:eastAsia="宋体" w:cs="Arial"/>
          <w:snapToGrid w:val="0"/>
          <w:sz w:val="24"/>
          <w:lang w:eastAsia="zh-CN"/>
        </w:rPr>
        <w:t>”</w:t>
      </w:r>
      <w:r>
        <w:rPr>
          <w:rFonts w:hint="eastAsia" w:ascii="Arial" w:hAnsi="Arial" w:eastAsia="宋体" w:cs="Arial"/>
          <w:snapToGrid w:val="0"/>
          <w:sz w:val="24"/>
          <w:lang w:eastAsia="zh-CN"/>
        </w:rPr>
        <w:t>，测定所用方法（例如鲎变形细胞溶解物（LAL））和方法敏感性（以每毫升内毒素单位表示，</w:t>
      </w:r>
      <w:r>
        <w:rPr>
          <w:rFonts w:ascii="Arial" w:hAnsi="Arial" w:eastAsia="宋体" w:cs="Arial"/>
          <w:snapToGrid w:val="0"/>
          <w:sz w:val="24"/>
          <w:lang w:eastAsia="zh-CN"/>
        </w:rPr>
        <w:t>EU/mL</w:t>
      </w:r>
      <w:r>
        <w:rPr>
          <w:rFonts w:hint="eastAsia" w:ascii="Arial" w:hAnsi="Arial" w:eastAsia="宋体" w:cs="Arial"/>
          <w:snapToGrid w:val="0"/>
          <w:sz w:val="24"/>
          <w:lang w:eastAsia="zh-CN"/>
        </w:rPr>
        <w:t>）描述；</w:t>
      </w:r>
    </w:p>
    <w:p w14:paraId="69E913F1">
      <w:pPr>
        <w:pStyle w:val="22"/>
        <w:numPr>
          <w:ilvl w:val="0"/>
          <w:numId w:val="7"/>
        </w:numPr>
        <w:tabs>
          <w:tab w:val="left" w:pos="960"/>
        </w:tabs>
        <w:topLinePunct/>
        <w:autoSpaceDE/>
        <w:autoSpaceDN/>
        <w:adjustRightInd w:val="0"/>
        <w:snapToGrid w:val="0"/>
        <w:spacing w:after="224" w:afterLines="75" w:line="288" w:lineRule="auto"/>
        <w:ind w:hanging="393"/>
        <w:jc w:val="both"/>
        <w:rPr>
          <w:rFonts w:ascii="Arial" w:hAnsi="Arial" w:eastAsia="宋体" w:cs="Arial"/>
          <w:snapToGrid w:val="0"/>
          <w:sz w:val="24"/>
          <w:lang w:eastAsia="zh-CN"/>
        </w:rPr>
      </w:pPr>
      <w:r>
        <w:rPr>
          <w:rFonts w:hint="eastAsia" w:ascii="Arial" w:hAnsi="Arial" w:eastAsia="宋体" w:cs="Arial"/>
          <w:snapToGrid w:val="0"/>
          <w:sz w:val="24"/>
          <w:lang w:eastAsia="zh-CN"/>
        </w:rPr>
        <w:t>包装系统描述，和</w:t>
      </w:r>
    </w:p>
    <w:p w14:paraId="0DFD8A99">
      <w:pPr>
        <w:pStyle w:val="22"/>
        <w:numPr>
          <w:ilvl w:val="0"/>
          <w:numId w:val="7"/>
        </w:numPr>
        <w:tabs>
          <w:tab w:val="left" w:pos="960"/>
        </w:tabs>
        <w:topLinePunct/>
        <w:autoSpaceDE/>
        <w:autoSpaceDN/>
        <w:adjustRightInd w:val="0"/>
        <w:snapToGrid w:val="0"/>
        <w:spacing w:after="224" w:afterLines="75" w:line="288" w:lineRule="auto"/>
        <w:ind w:hanging="393"/>
        <w:jc w:val="both"/>
        <w:rPr>
          <w:rFonts w:ascii="Arial" w:hAnsi="Arial" w:eastAsia="宋体" w:cs="Arial"/>
          <w:snapToGrid w:val="0"/>
          <w:sz w:val="24"/>
          <w:lang w:eastAsia="zh-CN"/>
        </w:rPr>
      </w:pPr>
      <w:r>
        <w:rPr>
          <w:rFonts w:hint="eastAsia" w:ascii="Arial" w:hAnsi="Arial" w:eastAsia="宋体" w:cs="Arial"/>
          <w:snapToGrid w:val="0"/>
          <w:sz w:val="24"/>
          <w:lang w:eastAsia="zh-CN"/>
        </w:rPr>
        <w:t>证实包装及其内容物保持无菌的检验。</w:t>
      </w:r>
    </w:p>
    <w:p w14:paraId="099ED687">
      <w:pPr>
        <w:topLinePunct/>
        <w:autoSpaceDE/>
        <w:autoSpaceDN/>
        <w:adjustRightInd w:val="0"/>
        <w:snapToGrid w:val="0"/>
        <w:spacing w:after="224" w:afterLines="75" w:line="288" w:lineRule="auto"/>
        <w:jc w:val="both"/>
        <w:rPr>
          <w:rFonts w:ascii="Arial" w:hAnsi="Arial" w:eastAsia="宋体" w:cs="Arial"/>
          <w:i/>
          <w:snapToGrid w:val="0"/>
          <w:sz w:val="24"/>
          <w:lang w:eastAsia="zh-CN"/>
        </w:rPr>
      </w:pPr>
      <w:r>
        <w:rPr>
          <w:rFonts w:ascii="Arial" w:hAnsi="Arial" w:eastAsia="宋体" w:cs="Arial"/>
          <w:snapToGrid w:val="0"/>
          <w:sz w:val="24"/>
          <w:lang w:eastAsia="zh-CN"/>
        </w:rPr>
        <w:t>FDA</w:t>
      </w:r>
      <w:r>
        <w:rPr>
          <w:rFonts w:hint="eastAsia" w:ascii="Arial" w:hAnsi="Arial" w:eastAsia="宋体" w:cs="Arial"/>
          <w:snapToGrid w:val="0"/>
          <w:sz w:val="24"/>
          <w:lang w:eastAsia="zh-CN"/>
        </w:rPr>
        <w:t>已制定特殊控制，要求</w:t>
      </w:r>
      <w:r>
        <w:rPr>
          <w:rFonts w:hint="eastAsia" w:ascii="宋体" w:hAnsi="宋体" w:eastAsia="宋体" w:cs="Arial"/>
          <w:i/>
          <w:snapToGrid w:val="0"/>
          <w:sz w:val="24"/>
          <w:lang w:eastAsia="zh-CN"/>
        </w:rPr>
        <w:t>“</w:t>
      </w:r>
      <w:r>
        <w:rPr>
          <w:rFonts w:hint="eastAsia" w:ascii="Arial" w:hAnsi="Arial" w:eastAsia="宋体" w:cs="Arial"/>
          <w:i/>
          <w:snapToGrid w:val="0"/>
          <w:sz w:val="24"/>
          <w:lang w:eastAsia="zh-CN"/>
        </w:rPr>
        <w:t>血液透析导管植入式血液通路器械的标签必须注明失效日期</w:t>
      </w:r>
      <w:r>
        <w:rPr>
          <w:rFonts w:hint="eastAsia" w:ascii="宋体" w:hAnsi="宋体" w:eastAsia="宋体" w:cs="Arial"/>
          <w:i/>
          <w:snapToGrid w:val="0"/>
          <w:sz w:val="24"/>
          <w:lang w:eastAsia="zh-CN"/>
        </w:rPr>
        <w:t>”</w:t>
      </w:r>
      <w:r>
        <w:rPr>
          <w:rFonts w:hint="eastAsia" w:ascii="Arial" w:hAnsi="Arial" w:eastAsia="宋体" w:cs="Arial"/>
          <w:i/>
          <w:snapToGrid w:val="0"/>
          <w:sz w:val="24"/>
          <w:lang w:eastAsia="zh-CN"/>
        </w:rPr>
        <w:t>，</w:t>
      </w:r>
      <w:r>
        <w:rPr>
          <w:rFonts w:hint="eastAsia" w:ascii="Arial" w:hAnsi="Arial" w:eastAsia="宋体" w:cs="Arial"/>
          <w:snapToGrid w:val="0"/>
          <w:sz w:val="24"/>
          <w:lang w:eastAsia="zh-CN"/>
        </w:rPr>
        <w:t>且如上所述，</w:t>
      </w:r>
      <w:r>
        <w:rPr>
          <w:rFonts w:hint="eastAsia" w:ascii="宋体" w:hAnsi="宋体" w:eastAsia="宋体" w:cs="Arial"/>
          <w:i/>
          <w:snapToGrid w:val="0"/>
          <w:sz w:val="24"/>
          <w:lang w:eastAsia="zh-CN"/>
        </w:rPr>
        <w:t>“</w:t>
      </w:r>
      <w:r>
        <w:rPr>
          <w:rFonts w:hint="eastAsia" w:ascii="Arial" w:hAnsi="Arial" w:eastAsia="宋体" w:cs="Arial"/>
          <w:i/>
          <w:snapToGrid w:val="0"/>
          <w:sz w:val="24"/>
          <w:lang w:eastAsia="zh-CN"/>
        </w:rPr>
        <w:t>性能数据必须支持产品有效期</w:t>
      </w:r>
      <w:r>
        <w:rPr>
          <w:rFonts w:hint="eastAsia" w:ascii="宋体" w:hAnsi="宋体" w:eastAsia="宋体" w:cs="Arial"/>
          <w:i/>
          <w:snapToGrid w:val="0"/>
          <w:sz w:val="24"/>
          <w:lang w:eastAsia="zh-CN"/>
        </w:rPr>
        <w:t>”</w:t>
      </w:r>
      <w:r>
        <w:rPr>
          <w:rFonts w:hint="eastAsia" w:ascii="Arial" w:hAnsi="Arial" w:eastAsia="宋体" w:cs="Arial"/>
          <w:i/>
          <w:snapToGrid w:val="0"/>
          <w:sz w:val="24"/>
          <w:lang w:eastAsia="zh-CN"/>
        </w:rPr>
        <w:t>（</w:t>
      </w:r>
      <w:r>
        <w:rPr>
          <w:rFonts w:ascii="Arial" w:hAnsi="Arial" w:eastAsia="宋体" w:cs="Arial"/>
          <w:i/>
          <w:snapToGrid w:val="0"/>
          <w:sz w:val="24"/>
          <w:lang w:eastAsia="zh-CN"/>
        </w:rPr>
        <w:t>21 CFR 876.5540</w:t>
      </w:r>
      <w:r>
        <w:rPr>
          <w:rFonts w:hint="eastAsia" w:ascii="Arial" w:hAnsi="Arial" w:eastAsia="宋体" w:cs="Arial"/>
          <w:i/>
          <w:snapToGrid w:val="0"/>
          <w:sz w:val="24"/>
          <w:lang w:eastAsia="zh-CN"/>
        </w:rPr>
        <w:t>（</w:t>
      </w:r>
      <w:r>
        <w:rPr>
          <w:rFonts w:ascii="Arial" w:hAnsi="Arial" w:eastAsia="宋体" w:cs="Arial"/>
          <w:i/>
          <w:snapToGrid w:val="0"/>
          <w:sz w:val="24"/>
          <w:lang w:eastAsia="zh-CN"/>
        </w:rPr>
        <w:t>b</w:t>
      </w:r>
      <w:r>
        <w:rPr>
          <w:rFonts w:hint="eastAsia" w:ascii="Arial" w:hAnsi="Arial" w:eastAsia="宋体" w:cs="Arial"/>
          <w:i/>
          <w:snapToGrid w:val="0"/>
          <w:sz w:val="24"/>
          <w:lang w:eastAsia="zh-CN"/>
        </w:rPr>
        <w:t>）（</w:t>
      </w:r>
      <w:r>
        <w:rPr>
          <w:rFonts w:ascii="Arial" w:hAnsi="Arial" w:eastAsia="宋体" w:cs="Arial"/>
          <w:i/>
          <w:snapToGrid w:val="0"/>
          <w:sz w:val="24"/>
          <w:lang w:eastAsia="zh-CN"/>
        </w:rPr>
        <w:t>1</w:t>
      </w:r>
      <w:r>
        <w:rPr>
          <w:rFonts w:hint="eastAsia" w:ascii="Arial" w:hAnsi="Arial" w:eastAsia="宋体" w:cs="Arial"/>
          <w:i/>
          <w:snapToGrid w:val="0"/>
          <w:sz w:val="24"/>
          <w:lang w:eastAsia="zh-CN"/>
        </w:rPr>
        <w:t>）（</w:t>
      </w:r>
      <w:r>
        <w:rPr>
          <w:rFonts w:ascii="Arial" w:hAnsi="Arial" w:eastAsia="宋体" w:cs="Arial"/>
          <w:i/>
          <w:snapToGrid w:val="0"/>
          <w:sz w:val="24"/>
          <w:lang w:eastAsia="zh-CN"/>
        </w:rPr>
        <w:t>v</w:t>
      </w:r>
      <w:r>
        <w:rPr>
          <w:rFonts w:hint="eastAsia" w:ascii="Arial" w:hAnsi="Arial" w:eastAsia="宋体" w:cs="Arial"/>
          <w:i/>
          <w:snapToGrid w:val="0"/>
          <w:sz w:val="24"/>
          <w:lang w:eastAsia="zh-CN"/>
        </w:rPr>
        <w:t>）（</w:t>
      </w:r>
      <w:r>
        <w:rPr>
          <w:rFonts w:ascii="Arial" w:hAnsi="Arial" w:eastAsia="宋体" w:cs="Arial"/>
          <w:i/>
          <w:snapToGrid w:val="0"/>
          <w:sz w:val="24"/>
          <w:lang w:eastAsia="zh-CN"/>
        </w:rPr>
        <w:t>D</w:t>
      </w:r>
      <w:r>
        <w:rPr>
          <w:rFonts w:hint="eastAsia" w:ascii="Arial" w:hAnsi="Arial" w:eastAsia="宋体" w:cs="Arial"/>
          <w:i/>
          <w:snapToGrid w:val="0"/>
          <w:sz w:val="24"/>
          <w:lang w:eastAsia="zh-CN"/>
        </w:rPr>
        <w:t>）和（</w:t>
      </w:r>
      <w:r>
        <w:rPr>
          <w:rFonts w:ascii="Arial" w:hAnsi="Arial" w:eastAsia="宋体" w:cs="Arial"/>
          <w:i/>
          <w:snapToGrid w:val="0"/>
          <w:sz w:val="24"/>
          <w:lang w:eastAsia="zh-CN"/>
        </w:rPr>
        <w:t>21 CFR 876.5540</w:t>
      </w:r>
      <w:r>
        <w:rPr>
          <w:rFonts w:hint="eastAsia" w:ascii="Arial" w:hAnsi="Arial" w:eastAsia="宋体" w:cs="Arial"/>
          <w:i/>
          <w:snapToGrid w:val="0"/>
          <w:sz w:val="24"/>
          <w:lang w:eastAsia="zh-CN"/>
        </w:rPr>
        <w:t>（</w:t>
      </w:r>
      <w:r>
        <w:rPr>
          <w:rFonts w:ascii="Arial" w:hAnsi="Arial" w:eastAsia="宋体" w:cs="Arial"/>
          <w:i/>
          <w:snapToGrid w:val="0"/>
          <w:sz w:val="24"/>
          <w:lang w:eastAsia="zh-CN"/>
        </w:rPr>
        <w:t>b</w:t>
      </w:r>
      <w:r>
        <w:rPr>
          <w:rFonts w:hint="eastAsia" w:ascii="Arial" w:hAnsi="Arial" w:eastAsia="宋体" w:cs="Arial"/>
          <w:i/>
          <w:snapToGrid w:val="0"/>
          <w:sz w:val="24"/>
          <w:lang w:eastAsia="zh-CN"/>
        </w:rPr>
        <w:t>）（</w:t>
      </w:r>
      <w:r>
        <w:rPr>
          <w:rFonts w:ascii="Arial" w:hAnsi="Arial" w:eastAsia="宋体" w:cs="Arial"/>
          <w:i/>
          <w:snapToGrid w:val="0"/>
          <w:sz w:val="24"/>
          <w:lang w:eastAsia="zh-CN"/>
        </w:rPr>
        <w:t>1</w:t>
      </w:r>
      <w:r>
        <w:rPr>
          <w:rFonts w:hint="eastAsia" w:ascii="Arial" w:hAnsi="Arial" w:eastAsia="宋体" w:cs="Arial"/>
          <w:i/>
          <w:snapToGrid w:val="0"/>
          <w:sz w:val="24"/>
          <w:lang w:eastAsia="zh-CN"/>
        </w:rPr>
        <w:t>）（</w:t>
      </w:r>
      <w:r>
        <w:rPr>
          <w:rFonts w:ascii="Arial" w:hAnsi="Arial" w:eastAsia="宋体" w:cs="Arial"/>
          <w:i/>
          <w:snapToGrid w:val="0"/>
          <w:sz w:val="24"/>
          <w:lang w:eastAsia="zh-CN"/>
        </w:rPr>
        <w:t>iv</w:t>
      </w:r>
      <w:r>
        <w:rPr>
          <w:rFonts w:hint="eastAsia" w:ascii="Arial" w:hAnsi="Arial" w:eastAsia="宋体" w:cs="Arial"/>
          <w:i/>
          <w:snapToGrid w:val="0"/>
          <w:sz w:val="24"/>
          <w:lang w:eastAsia="zh-CN"/>
        </w:rPr>
        <w:t>））。</w:t>
      </w:r>
    </w:p>
    <w:p w14:paraId="3B6DA81E">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r>
        <w:rPr>
          <w:rFonts w:hint="eastAsia" w:ascii="Arial" w:hAnsi="Arial" w:eastAsia="宋体" w:cs="Arial"/>
          <w:snapToGrid w:val="0"/>
          <w:lang w:eastAsia="zh-CN"/>
        </w:rPr>
        <w:t>建议：应提供以下测试结果或适当理由证明规定失效日期的有效性：</w:t>
      </w:r>
    </w:p>
    <w:p w14:paraId="6EA0BC27">
      <w:pPr>
        <w:pStyle w:val="22"/>
        <w:numPr>
          <w:ilvl w:val="0"/>
          <w:numId w:val="8"/>
        </w:numPr>
        <w:tabs>
          <w:tab w:val="left" w:pos="960"/>
        </w:tabs>
        <w:topLinePunct/>
        <w:autoSpaceDE/>
        <w:autoSpaceDN/>
        <w:adjustRightInd w:val="0"/>
        <w:snapToGrid w:val="0"/>
        <w:spacing w:after="224" w:afterLines="75" w:line="288" w:lineRule="auto"/>
        <w:ind w:hanging="393"/>
        <w:jc w:val="both"/>
        <w:rPr>
          <w:rFonts w:ascii="Arial" w:hAnsi="Arial" w:eastAsia="宋体" w:cs="Arial"/>
          <w:snapToGrid w:val="0"/>
          <w:sz w:val="24"/>
          <w:lang w:eastAsia="zh-CN"/>
        </w:rPr>
      </w:pPr>
      <w:r>
        <w:rPr>
          <w:rFonts w:hint="eastAsia" w:ascii="Arial" w:hAnsi="Arial" w:eastAsia="宋体" w:cs="Arial"/>
          <w:snapToGrid w:val="0"/>
          <w:sz w:val="24"/>
          <w:lang w:eastAsia="zh-CN"/>
        </w:rPr>
        <w:t>对老化样品的性能测试，至少包含D节</w:t>
      </w:r>
      <w:r>
        <w:rPr>
          <w:rFonts w:hint="eastAsia" w:ascii="宋体" w:hAnsi="宋体" w:eastAsia="宋体" w:cs="Arial"/>
          <w:snapToGrid w:val="0"/>
          <w:sz w:val="24"/>
          <w:lang w:eastAsia="zh-CN"/>
        </w:rPr>
        <w:t>“</w:t>
      </w:r>
      <w:r>
        <w:rPr>
          <w:rFonts w:hint="eastAsia" w:ascii="Arial" w:hAnsi="Arial" w:eastAsia="宋体" w:cs="Arial"/>
          <w:snapToGrid w:val="0"/>
          <w:sz w:val="24"/>
          <w:lang w:eastAsia="zh-CN"/>
        </w:rPr>
        <w:t>性能测试</w:t>
      </w:r>
      <w:r>
        <w:rPr>
          <w:rFonts w:ascii="宋体" w:hAnsi="宋体" w:eastAsia="宋体" w:cs="Arial"/>
          <w:snapToGrid w:val="0"/>
          <w:sz w:val="24"/>
          <w:lang w:eastAsia="zh-CN"/>
        </w:rPr>
        <w:t>–</w:t>
      </w:r>
      <w:r>
        <w:rPr>
          <w:rFonts w:hint="eastAsia" w:ascii="Arial" w:hAnsi="Arial" w:eastAsia="宋体" w:cs="Arial"/>
          <w:snapToGrid w:val="0"/>
          <w:sz w:val="24"/>
          <w:lang w:eastAsia="zh-CN"/>
        </w:rPr>
        <w:t>台架</w:t>
      </w:r>
      <w:r>
        <w:rPr>
          <w:rFonts w:hint="eastAsia" w:ascii="宋体" w:hAnsi="宋体" w:eastAsia="宋体" w:cs="Arial"/>
          <w:snapToGrid w:val="0"/>
          <w:sz w:val="24"/>
          <w:lang w:eastAsia="zh-CN"/>
        </w:rPr>
        <w:t>”中</w:t>
      </w:r>
      <w:r>
        <w:rPr>
          <w:rFonts w:hint="eastAsia" w:ascii="Arial" w:hAnsi="Arial" w:eastAsia="宋体" w:cs="Arial"/>
          <w:snapToGrid w:val="0"/>
          <w:sz w:val="24"/>
          <w:lang w:eastAsia="zh-CN"/>
        </w:rPr>
        <w:t>所述针对拉伸、反复夹闭和泄漏的性能测试；和</w:t>
      </w:r>
    </w:p>
    <w:p w14:paraId="778BE53E">
      <w:pPr>
        <w:pStyle w:val="22"/>
        <w:numPr>
          <w:ilvl w:val="0"/>
          <w:numId w:val="8"/>
        </w:numPr>
        <w:tabs>
          <w:tab w:val="left" w:pos="960"/>
        </w:tabs>
        <w:topLinePunct/>
        <w:autoSpaceDE/>
        <w:autoSpaceDN/>
        <w:adjustRightInd w:val="0"/>
        <w:snapToGrid w:val="0"/>
        <w:spacing w:after="224" w:afterLines="75" w:line="288" w:lineRule="auto"/>
        <w:ind w:hanging="393"/>
        <w:jc w:val="both"/>
        <w:rPr>
          <w:rFonts w:ascii="Arial" w:hAnsi="Arial" w:eastAsia="宋体" w:cs="Arial"/>
          <w:snapToGrid w:val="0"/>
          <w:sz w:val="24"/>
          <w:lang w:eastAsia="zh-CN"/>
        </w:rPr>
      </w:pPr>
      <w:r>
        <w:rPr>
          <w:rFonts w:ascii="Arial" w:hAnsi="Arial" w:eastAsia="宋体" w:cs="Arial"/>
          <w:snapToGrid w:val="0"/>
          <w:sz w:val="24"/>
          <w:lang w:eastAsia="zh-CN"/>
        </w:rPr>
        <w:t>FDA</w:t>
      </w:r>
      <w:r>
        <w:rPr>
          <w:rFonts w:hint="eastAsia" w:ascii="Arial" w:hAnsi="Arial" w:eastAsia="宋体" w:cs="Arial"/>
          <w:snapToGrid w:val="0"/>
          <w:sz w:val="24"/>
          <w:lang w:eastAsia="zh-CN"/>
        </w:rPr>
        <w:t>目前认可版本的</w:t>
      </w:r>
      <w:r>
        <w:rPr>
          <w:rFonts w:ascii="Arial" w:hAnsi="Arial" w:eastAsia="宋体" w:cs="Arial"/>
          <w:snapToGrid w:val="0"/>
          <w:sz w:val="24"/>
          <w:lang w:eastAsia="zh-CN"/>
        </w:rPr>
        <w:t>ASTM F1980-7</w:t>
      </w:r>
      <w:r>
        <w:rPr>
          <w:rFonts w:hint="eastAsia" w:ascii="宋体" w:hAnsi="宋体" w:eastAsia="宋体" w:cs="Arial"/>
          <w:snapToGrid w:val="0"/>
          <w:sz w:val="24"/>
          <w:lang w:eastAsia="zh-CN"/>
        </w:rPr>
        <w:t>“</w:t>
      </w:r>
      <w:r>
        <w:rPr>
          <w:rFonts w:hint="eastAsia" w:ascii="Arial" w:hAnsi="Arial" w:eastAsia="宋体" w:cs="Arial"/>
          <w:snapToGrid w:val="0"/>
          <w:sz w:val="24"/>
          <w:lang w:eastAsia="zh-CN"/>
        </w:rPr>
        <w:t>医疗器械无菌屏障系统加速老化的标准指南</w:t>
      </w:r>
      <w:r>
        <w:rPr>
          <w:rFonts w:hint="eastAsia" w:ascii="宋体" w:hAnsi="宋体" w:eastAsia="宋体" w:cs="Arial"/>
          <w:snapToGrid w:val="0"/>
          <w:sz w:val="24"/>
          <w:lang w:eastAsia="zh-CN"/>
        </w:rPr>
        <w:t>”</w:t>
      </w:r>
      <w:r>
        <w:rPr>
          <w:rFonts w:hint="eastAsia" w:ascii="Arial" w:hAnsi="Arial" w:eastAsia="宋体" w:cs="Arial"/>
          <w:snapToGrid w:val="0"/>
          <w:sz w:val="24"/>
          <w:lang w:eastAsia="zh-CN"/>
        </w:rPr>
        <w:t>中规定的包装完整性检验</w:t>
      </w:r>
      <w:r>
        <w:rPr>
          <w:rFonts w:ascii="Arial" w:hAnsi="Arial" w:eastAsia="宋体" w:cs="Arial"/>
          <w:snapToGrid w:val="0"/>
          <w:sz w:val="24"/>
          <w:vertAlign w:val="superscript"/>
          <w:lang w:eastAsia="zh-CN"/>
        </w:rPr>
        <w:t>7</w:t>
      </w:r>
      <w:r>
        <w:rPr>
          <w:rFonts w:hint="eastAsia" w:ascii="Arial" w:hAnsi="Arial" w:eastAsia="宋体" w:cs="Arial"/>
          <w:snapToGrid w:val="0"/>
          <w:sz w:val="24"/>
          <w:vertAlign w:val="superscript"/>
          <w:lang w:eastAsia="zh-CN"/>
        </w:rPr>
        <w:t>，</w:t>
      </w:r>
      <w:r>
        <w:rPr>
          <w:rFonts w:hint="eastAsia" w:ascii="Arial" w:hAnsi="Arial" w:eastAsia="宋体" w:cs="Arial"/>
          <w:snapToGrid w:val="0"/>
          <w:sz w:val="24"/>
          <w:lang w:eastAsia="zh-CN"/>
        </w:rPr>
        <w:t>以证实在标签上的有效期内仍保持无菌性和非致热原性。</w:t>
      </w:r>
    </w:p>
    <w:p w14:paraId="7A91836D">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r>
        <w:rPr>
          <w:rFonts w:hint="eastAsia" w:ascii="Arial" w:hAnsi="Arial" w:eastAsia="宋体" w:cs="Arial"/>
          <w:snapToGrid w:val="0"/>
          <w:lang w:eastAsia="zh-CN"/>
        </w:rPr>
        <w:t>对于材料和设计已确定的器械，可使用为制定失效日期的加速条件或可接受的科学原理支持</w:t>
      </w:r>
      <w:r>
        <w:rPr>
          <w:rFonts w:ascii="Arial" w:hAnsi="Arial" w:eastAsia="宋体" w:cs="Arial"/>
          <w:snapToGrid w:val="0"/>
          <w:lang w:eastAsia="zh-CN"/>
        </w:rPr>
        <w:t>510</w:t>
      </w:r>
      <w:r>
        <w:rPr>
          <w:rFonts w:hint="eastAsia" w:ascii="Arial" w:hAnsi="Arial" w:eastAsia="宋体" w:cs="Arial"/>
          <w:snapToGrid w:val="0"/>
          <w:lang w:eastAsia="zh-CN"/>
        </w:rPr>
        <w:t>（</w:t>
      </w:r>
      <w:r>
        <w:rPr>
          <w:rFonts w:ascii="Arial" w:hAnsi="Arial" w:eastAsia="宋体" w:cs="Arial"/>
          <w:snapToGrid w:val="0"/>
          <w:lang w:eastAsia="zh-CN"/>
        </w:rPr>
        <w:t>k</w:t>
      </w:r>
      <w:r>
        <w:rPr>
          <w:rFonts w:hint="eastAsia" w:ascii="Arial" w:hAnsi="Arial" w:eastAsia="宋体" w:cs="Arial"/>
          <w:snapToGrid w:val="0"/>
          <w:lang w:eastAsia="zh-CN"/>
        </w:rPr>
        <w:t>）申报。这种情况下，通常可以接受的做法是在申报中提供初始时间点（如</w:t>
      </w:r>
      <w:r>
        <w:rPr>
          <w:rFonts w:hint="eastAsia" w:ascii="宋体" w:hAnsi="宋体" w:eastAsia="宋体" w:cs="Arial"/>
          <w:snapToGrid w:val="0"/>
          <w:lang w:eastAsia="zh-CN"/>
        </w:rPr>
        <w:t>“</w:t>
      </w:r>
      <w:r>
        <w:rPr>
          <w:rFonts w:hint="eastAsia" w:ascii="Arial" w:hAnsi="Arial" w:eastAsia="宋体" w:cs="Arial"/>
          <w:snapToGrid w:val="0"/>
          <w:lang w:eastAsia="zh-CN"/>
        </w:rPr>
        <w:t>6个月等效点</w:t>
      </w:r>
      <w:r>
        <w:rPr>
          <w:rFonts w:hint="eastAsia" w:ascii="宋体" w:hAnsi="宋体" w:eastAsia="宋体" w:cs="Arial"/>
          <w:snapToGrid w:val="0"/>
          <w:lang w:eastAsia="zh-CN"/>
        </w:rPr>
        <w:t>”</w:t>
      </w:r>
      <w:r>
        <w:rPr>
          <w:rFonts w:hint="eastAsia" w:ascii="Arial" w:hAnsi="Arial" w:eastAsia="宋体" w:cs="Arial"/>
          <w:snapToGrid w:val="0"/>
          <w:lang w:eastAsia="zh-CN"/>
        </w:rPr>
        <w:t>）的加速老化结果。涂层或增材可能造成加速老化不适当。标签上的有效期应反映510（k）提供的初始测试结果，但可随着获得根据依照FDA认可方案实施的后续加速老化检验的结果被延长。这些检验代表更长时间点。</w:t>
      </w:r>
      <w:r>
        <w:rPr>
          <w:rStyle w:val="20"/>
          <w:rFonts w:ascii="Arial" w:hAnsi="Arial" w:eastAsia="宋体" w:cs="Arial"/>
          <w:snapToGrid w:val="0"/>
          <w:lang w:eastAsia="zh-CN"/>
        </w:rPr>
        <w:footnoteReference w:id="8"/>
      </w:r>
      <w:r>
        <w:rPr>
          <w:rFonts w:hint="eastAsia" w:ascii="Arial" w:hAnsi="Arial" w:eastAsia="宋体" w:cs="Arial"/>
          <w:snapToGrid w:val="0"/>
          <w:lang w:eastAsia="zh-CN"/>
        </w:rPr>
        <w:t>除此之外，应提供科学原理支持加速老化检验选定的条件。器械历史文件中应加入实时检验结果，供FDA后续审查。</w:t>
      </w:r>
      <w:r>
        <w:rPr>
          <w:rStyle w:val="20"/>
          <w:rFonts w:ascii="Arial" w:hAnsi="Arial" w:eastAsia="宋体" w:cs="Arial"/>
          <w:snapToGrid w:val="0"/>
          <w:lang w:eastAsia="zh-CN"/>
        </w:rPr>
        <w:footnoteReference w:id="9"/>
      </w:r>
    </w:p>
    <w:p w14:paraId="2F5EDE5D">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r>
        <w:rPr>
          <w:rFonts w:ascii="Arial" w:hAnsi="Arial" w:eastAsia="宋体" w:cs="Arial"/>
          <w:snapToGrid w:val="0"/>
          <w:lang w:eastAsia="zh-CN"/>
        </w:rPr>
        <w:br w:type="page"/>
      </w:r>
    </w:p>
    <w:p w14:paraId="44F64ED5">
      <w:pPr>
        <w:pStyle w:val="4"/>
        <w:numPr>
          <w:ilvl w:val="1"/>
          <w:numId w:val="1"/>
        </w:numPr>
        <w:tabs>
          <w:tab w:val="left" w:pos="1679"/>
          <w:tab w:val="left" w:pos="1680"/>
        </w:tabs>
        <w:topLinePunct/>
        <w:autoSpaceDE/>
        <w:autoSpaceDN/>
        <w:adjustRightInd w:val="0"/>
        <w:snapToGrid w:val="0"/>
        <w:spacing w:after="224" w:afterLines="75" w:line="288" w:lineRule="auto"/>
        <w:ind w:left="719" w:leftChars="327" w:firstLine="0"/>
        <w:jc w:val="both"/>
        <w:rPr>
          <w:rFonts w:ascii="Arial" w:hAnsi="Arial" w:eastAsia="宋体" w:cs="Arial"/>
          <w:snapToGrid w:val="0"/>
          <w:sz w:val="28"/>
        </w:rPr>
      </w:pPr>
      <w:bookmarkStart w:id="33" w:name="Labeling"/>
      <w:bookmarkEnd w:id="33"/>
      <w:bookmarkStart w:id="34" w:name="_bookmark19"/>
      <w:bookmarkEnd w:id="34"/>
      <w:bookmarkStart w:id="35" w:name="_Toc499129127"/>
      <w:r>
        <w:rPr>
          <w:rFonts w:hint="eastAsia" w:ascii="Arial" w:hAnsi="Arial" w:eastAsia="宋体" w:cs="Arial"/>
          <w:snapToGrid w:val="0"/>
          <w:sz w:val="28"/>
          <w:lang w:eastAsia="zh-CN"/>
        </w:rPr>
        <w:t>广义</w:t>
      </w:r>
      <w:r>
        <w:rPr>
          <w:rFonts w:hint="eastAsia" w:ascii="Arial" w:hAnsi="Arial" w:eastAsia="宋体" w:cs="Arial"/>
          <w:snapToGrid w:val="0"/>
          <w:sz w:val="28"/>
        </w:rPr>
        <w:t>标签</w:t>
      </w:r>
      <w:bookmarkEnd w:id="35"/>
    </w:p>
    <w:p w14:paraId="1CD791E1">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r>
        <w:rPr>
          <w:rFonts w:ascii="Arial" w:hAnsi="Arial" w:eastAsia="宋体" w:cs="Arial"/>
          <w:snapToGrid w:val="0"/>
          <w:lang w:eastAsia="zh-CN"/>
        </w:rPr>
        <w:t>510</w:t>
      </w:r>
      <w:r>
        <w:rPr>
          <w:rFonts w:hint="eastAsia" w:ascii="Arial" w:hAnsi="Arial" w:eastAsia="宋体" w:cs="Arial"/>
          <w:snapToGrid w:val="0"/>
          <w:lang w:eastAsia="zh-CN"/>
        </w:rPr>
        <w:t>（</w:t>
      </w:r>
      <w:r>
        <w:rPr>
          <w:rFonts w:ascii="Arial" w:hAnsi="Arial" w:eastAsia="宋体" w:cs="Arial"/>
          <w:snapToGrid w:val="0"/>
          <w:lang w:eastAsia="zh-CN"/>
        </w:rPr>
        <w:t>k</w:t>
      </w:r>
      <w:r>
        <w:rPr>
          <w:rFonts w:hint="eastAsia" w:ascii="Arial" w:hAnsi="Arial" w:eastAsia="宋体" w:cs="Arial"/>
          <w:snapToGrid w:val="0"/>
          <w:lang w:eastAsia="zh-CN"/>
        </w:rPr>
        <w:t>）申报的广义标签必须包含充分详细信息以满足</w:t>
      </w:r>
      <w:r>
        <w:rPr>
          <w:rFonts w:ascii="Arial" w:hAnsi="Arial" w:eastAsia="宋体" w:cs="Arial"/>
          <w:snapToGrid w:val="0"/>
          <w:lang w:eastAsia="zh-CN"/>
        </w:rPr>
        <w:t>21 CFR 807.87</w:t>
      </w:r>
      <w:r>
        <w:rPr>
          <w:rFonts w:hint="eastAsia" w:ascii="Arial" w:hAnsi="Arial" w:eastAsia="宋体" w:cs="Arial"/>
          <w:snapToGrid w:val="0"/>
          <w:lang w:eastAsia="zh-CN"/>
        </w:rPr>
        <w:t>（</w:t>
      </w:r>
      <w:r>
        <w:rPr>
          <w:rFonts w:ascii="Arial" w:hAnsi="Arial" w:eastAsia="宋体" w:cs="Arial"/>
          <w:snapToGrid w:val="0"/>
          <w:lang w:eastAsia="zh-CN"/>
        </w:rPr>
        <w:t>e</w:t>
      </w:r>
      <w:r>
        <w:rPr>
          <w:rFonts w:hint="eastAsia" w:ascii="Arial" w:hAnsi="Arial" w:eastAsia="宋体" w:cs="Arial"/>
          <w:snapToGrid w:val="0"/>
          <w:lang w:eastAsia="zh-CN"/>
        </w:rPr>
        <w:t>）的要求。以下建议帮助您准备满足21 CFR</w:t>
      </w:r>
      <w:r>
        <w:rPr>
          <w:rFonts w:ascii="Arial" w:hAnsi="Arial" w:eastAsia="宋体" w:cs="Arial"/>
          <w:snapToGrid w:val="0"/>
          <w:lang w:eastAsia="zh-CN"/>
        </w:rPr>
        <w:t xml:space="preserve"> 801</w:t>
      </w:r>
      <w:r>
        <w:rPr>
          <w:rFonts w:hint="eastAsia" w:ascii="Arial" w:hAnsi="Arial" w:eastAsia="宋体" w:cs="Arial"/>
          <w:snapToGrid w:val="0"/>
          <w:lang w:eastAsia="zh-CN"/>
        </w:rPr>
        <w:t>部分要求与这种器械类型特殊控制的广义标签。</w:t>
      </w:r>
    </w:p>
    <w:p w14:paraId="682E8046">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r>
        <w:rPr>
          <w:rFonts w:hint="eastAsia" w:ascii="Arial" w:hAnsi="Arial" w:eastAsia="宋体" w:cs="Arial"/>
          <w:snapToGrid w:val="0"/>
          <w:lang w:eastAsia="zh-CN"/>
        </w:rPr>
        <w:t>作为一种处方器械，根据</w:t>
      </w:r>
      <w:r>
        <w:rPr>
          <w:rFonts w:ascii="Arial" w:hAnsi="Arial" w:eastAsia="宋体" w:cs="Arial"/>
          <w:snapToGrid w:val="0"/>
          <w:lang w:eastAsia="zh-CN"/>
        </w:rPr>
        <w:t>21 CFR 801.109</w:t>
      </w:r>
      <w:r>
        <w:rPr>
          <w:rFonts w:hint="eastAsia" w:ascii="Arial" w:hAnsi="Arial" w:eastAsia="宋体" w:cs="Arial"/>
          <w:snapToGrid w:val="0"/>
          <w:lang w:eastAsia="zh-CN"/>
        </w:rPr>
        <w:t>，该器械免于提供针对外行使用的适当说明。尽管如此，标签说明必须包含针对医生使用器械的充分信息，包括适应证、效果、途径、方法和所有相关危害、禁忌症、副作用和注意事项（</w:t>
      </w:r>
      <w:r>
        <w:rPr>
          <w:rFonts w:ascii="Arial" w:hAnsi="Arial" w:eastAsia="宋体" w:cs="Arial"/>
          <w:snapToGrid w:val="0"/>
          <w:lang w:eastAsia="zh-CN"/>
        </w:rPr>
        <w:t>21 CFR 801.109</w:t>
      </w:r>
      <w:r>
        <w:rPr>
          <w:rFonts w:hint="eastAsia" w:ascii="Arial" w:hAnsi="Arial" w:eastAsia="宋体" w:cs="Arial"/>
          <w:snapToGrid w:val="0"/>
          <w:lang w:eastAsia="zh-CN"/>
        </w:rPr>
        <w:t>（</w:t>
      </w:r>
      <w:r>
        <w:rPr>
          <w:rFonts w:ascii="Arial" w:hAnsi="Arial" w:eastAsia="宋体" w:cs="Arial"/>
          <w:snapToGrid w:val="0"/>
          <w:lang w:eastAsia="zh-CN"/>
        </w:rPr>
        <w:t>d</w:t>
      </w:r>
      <w:r>
        <w:rPr>
          <w:rFonts w:hint="eastAsia" w:ascii="Arial" w:hAnsi="Arial" w:eastAsia="宋体" w:cs="Arial"/>
          <w:snapToGrid w:val="0"/>
          <w:lang w:eastAsia="zh-CN"/>
        </w:rPr>
        <w:t>））。</w:t>
      </w:r>
    </w:p>
    <w:p w14:paraId="1FD1CCE9">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r>
        <w:rPr>
          <w:rFonts w:hint="eastAsia" w:ascii="Arial" w:hAnsi="Arial" w:eastAsia="宋体" w:cs="Arial"/>
          <w:snapToGrid w:val="0"/>
          <w:lang w:eastAsia="zh-CN"/>
        </w:rPr>
        <w:t>必须提供足以充分描述器械、预期用途和使用说明的申报狭义标签、广义标签和广告（</w:t>
      </w:r>
      <w:r>
        <w:rPr>
          <w:rFonts w:ascii="Arial" w:hAnsi="Arial" w:eastAsia="宋体" w:cs="Arial"/>
          <w:snapToGrid w:val="0"/>
          <w:lang w:eastAsia="zh-CN"/>
        </w:rPr>
        <w:t>21 CFR 807.87</w:t>
      </w:r>
      <w:r>
        <w:rPr>
          <w:rFonts w:hint="eastAsia" w:ascii="Arial" w:hAnsi="Arial" w:eastAsia="宋体" w:cs="Arial"/>
          <w:snapToGrid w:val="0"/>
          <w:lang w:eastAsia="zh-CN"/>
        </w:rPr>
        <w:t>（</w:t>
      </w:r>
      <w:r>
        <w:rPr>
          <w:rFonts w:ascii="Arial" w:hAnsi="Arial" w:eastAsia="宋体" w:cs="Arial"/>
          <w:snapToGrid w:val="0"/>
          <w:lang w:eastAsia="zh-CN"/>
        </w:rPr>
        <w:t>e</w:t>
      </w:r>
      <w:r>
        <w:rPr>
          <w:rFonts w:hint="eastAsia" w:ascii="Arial" w:hAnsi="Arial" w:eastAsia="宋体" w:cs="Arial"/>
          <w:snapToGrid w:val="0"/>
          <w:lang w:eastAsia="zh-CN"/>
        </w:rPr>
        <w:t>））。除此之外，还应明确显示特异性预期使用声明和所有警告、禁忌症或限制。</w:t>
      </w:r>
    </w:p>
    <w:p w14:paraId="6D4EE97E">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r>
        <w:rPr>
          <w:rFonts w:hint="eastAsia" w:ascii="Arial" w:hAnsi="Arial" w:eastAsia="宋体" w:cs="Arial"/>
          <w:snapToGrid w:val="0"/>
          <w:lang w:eastAsia="zh-CN"/>
        </w:rPr>
        <w:t>根据</w:t>
      </w:r>
      <w:r>
        <w:rPr>
          <w:rFonts w:ascii="Arial" w:hAnsi="Arial" w:eastAsia="宋体" w:cs="Arial"/>
          <w:snapToGrid w:val="0"/>
          <w:lang w:eastAsia="zh-CN"/>
        </w:rPr>
        <w:t>21 CFR 801.109</w:t>
      </w:r>
      <w:r>
        <w:rPr>
          <w:rFonts w:hint="eastAsia" w:ascii="Arial" w:hAnsi="Arial" w:eastAsia="宋体" w:cs="Arial"/>
          <w:snapToGrid w:val="0"/>
          <w:lang w:eastAsia="zh-CN"/>
        </w:rPr>
        <w:t>，使用说明书必须包含使用适应证以及与使用器械有关的警告、注意事项与禁忌症。使用说明书还应包含操作原理、器械描述、特征和／或配件、器械使用说明、植入手术和故障排除。应提供关于导管护理的详细说明，例如清洗、置管部位护理和消毒。</w:t>
      </w:r>
    </w:p>
    <w:p w14:paraId="2E1E95A6">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r>
        <w:rPr>
          <w:rFonts w:hint="eastAsia" w:ascii="Arial" w:hAnsi="Arial" w:eastAsia="宋体" w:cs="Arial"/>
          <w:snapToGrid w:val="0"/>
          <w:lang w:eastAsia="zh-CN"/>
        </w:rPr>
        <w:t>附在器械包装上的器械标签必须包含制造商、包装商或经销商的名称与地址（</w:t>
      </w:r>
      <w:r>
        <w:rPr>
          <w:rFonts w:ascii="Arial" w:hAnsi="Arial" w:eastAsia="宋体" w:cs="Arial"/>
          <w:snapToGrid w:val="0"/>
          <w:lang w:eastAsia="zh-CN"/>
        </w:rPr>
        <w:t>21 CFR 801.1</w:t>
      </w:r>
      <w:r>
        <w:rPr>
          <w:rFonts w:hint="eastAsia" w:ascii="Arial" w:hAnsi="Arial" w:eastAsia="宋体" w:cs="Arial"/>
          <w:snapToGrid w:val="0"/>
          <w:lang w:eastAsia="zh-CN"/>
        </w:rPr>
        <w:t>）。标签还应包含器械名称、美国联系点、储存条件、预冲量、无菌状态与方法、批号和失效日期。</w:t>
      </w:r>
    </w:p>
    <w:p w14:paraId="61D6A48B">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r>
        <w:rPr>
          <w:rFonts w:hint="eastAsia" w:ascii="Arial" w:hAnsi="Arial" w:eastAsia="宋体" w:cs="Arial"/>
          <w:snapToGrid w:val="0"/>
          <w:lang w:eastAsia="zh-CN"/>
        </w:rPr>
        <w:t>除上述一般标记建议和条款之外，我们专门针对血液透析导管提出以下标签考虑建议：</w:t>
      </w:r>
    </w:p>
    <w:p w14:paraId="056A089F">
      <w:pPr>
        <w:pStyle w:val="22"/>
        <w:numPr>
          <w:ilvl w:val="0"/>
          <w:numId w:val="9"/>
        </w:numPr>
        <w:tabs>
          <w:tab w:val="left" w:pos="960"/>
        </w:tabs>
        <w:topLinePunct/>
        <w:autoSpaceDE/>
        <w:autoSpaceDN/>
        <w:adjustRightInd w:val="0"/>
        <w:snapToGrid w:val="0"/>
        <w:spacing w:after="224" w:afterLines="75" w:line="288" w:lineRule="auto"/>
        <w:ind w:hanging="393"/>
        <w:jc w:val="both"/>
        <w:rPr>
          <w:rFonts w:ascii="Arial" w:hAnsi="Arial" w:eastAsia="宋体" w:cs="Arial"/>
          <w:snapToGrid w:val="0"/>
          <w:sz w:val="24"/>
          <w:lang w:eastAsia="zh-CN"/>
        </w:rPr>
      </w:pPr>
      <w:r>
        <w:rPr>
          <w:rFonts w:hint="eastAsia" w:ascii="Arial" w:hAnsi="Arial" w:eastAsia="宋体" w:cs="Arial"/>
          <w:snapToGrid w:val="0"/>
          <w:sz w:val="24"/>
          <w:lang w:eastAsia="zh-CN"/>
        </w:rPr>
        <w:t>预期使用声明应包含特异性适应证与预期患者人群。</w:t>
      </w:r>
    </w:p>
    <w:p w14:paraId="0EE7A567">
      <w:pPr>
        <w:pStyle w:val="22"/>
        <w:numPr>
          <w:ilvl w:val="0"/>
          <w:numId w:val="9"/>
        </w:numPr>
        <w:tabs>
          <w:tab w:val="left" w:pos="960"/>
        </w:tabs>
        <w:topLinePunct/>
        <w:autoSpaceDE/>
        <w:autoSpaceDN/>
        <w:adjustRightInd w:val="0"/>
        <w:snapToGrid w:val="0"/>
        <w:spacing w:after="224" w:afterLines="75" w:line="288" w:lineRule="auto"/>
        <w:ind w:hanging="393"/>
        <w:jc w:val="both"/>
        <w:rPr>
          <w:rFonts w:ascii="Arial" w:hAnsi="Arial" w:eastAsia="宋体" w:cs="Arial"/>
          <w:snapToGrid w:val="0"/>
          <w:sz w:val="24"/>
          <w:lang w:eastAsia="zh-CN"/>
        </w:rPr>
      </w:pPr>
      <w:r>
        <w:rPr>
          <w:rFonts w:hint="eastAsia" w:ascii="Arial" w:hAnsi="Arial" w:eastAsia="宋体" w:cs="Arial"/>
          <w:snapToGrid w:val="0"/>
          <w:sz w:val="24"/>
          <w:lang w:eastAsia="zh-CN"/>
        </w:rPr>
        <w:t>血液透析导管的器械标签应强调以下与插入部位有关的器械潜在并发症：</w:t>
      </w:r>
    </w:p>
    <w:p w14:paraId="337EB98E">
      <w:pPr>
        <w:pStyle w:val="22"/>
        <w:numPr>
          <w:ilvl w:val="1"/>
          <w:numId w:val="9"/>
        </w:numPr>
        <w:tabs>
          <w:tab w:val="left" w:pos="1320"/>
        </w:tabs>
        <w:topLinePunct/>
        <w:autoSpaceDE/>
        <w:autoSpaceDN/>
        <w:adjustRightInd w:val="0"/>
        <w:snapToGrid w:val="0"/>
        <w:spacing w:after="224" w:afterLines="75" w:line="288" w:lineRule="auto"/>
        <w:ind w:left="959" w:leftChars="436" w:firstLine="0"/>
        <w:jc w:val="both"/>
        <w:rPr>
          <w:rFonts w:ascii="Arial" w:hAnsi="Arial" w:eastAsia="宋体" w:cs="Arial"/>
          <w:snapToGrid w:val="0"/>
          <w:sz w:val="24"/>
          <w:lang w:eastAsia="zh-CN"/>
        </w:rPr>
      </w:pPr>
      <w:r>
        <w:rPr>
          <w:rFonts w:hint="eastAsia" w:ascii="Arial" w:hAnsi="Arial" w:eastAsia="宋体" w:cs="Arial"/>
          <w:snapToGrid w:val="0"/>
          <w:sz w:val="24"/>
          <w:lang w:eastAsia="zh-CN"/>
        </w:rPr>
        <w:t>若适用股静脉导管，标签应包括：</w:t>
      </w:r>
    </w:p>
    <w:p w14:paraId="68AAF414">
      <w:pPr>
        <w:pStyle w:val="22"/>
        <w:numPr>
          <w:ilvl w:val="2"/>
          <w:numId w:val="9"/>
        </w:numPr>
        <w:tabs>
          <w:tab w:val="left" w:pos="1679"/>
          <w:tab w:val="left" w:pos="1680"/>
        </w:tabs>
        <w:topLinePunct/>
        <w:autoSpaceDE/>
        <w:autoSpaceDN/>
        <w:adjustRightInd w:val="0"/>
        <w:snapToGrid w:val="0"/>
        <w:spacing w:after="224" w:afterLines="75" w:line="288" w:lineRule="auto"/>
        <w:ind w:left="1679" w:hanging="349"/>
        <w:jc w:val="both"/>
        <w:rPr>
          <w:rFonts w:ascii="Arial" w:hAnsi="Arial" w:eastAsia="宋体" w:cs="Arial"/>
          <w:snapToGrid w:val="0"/>
          <w:sz w:val="24"/>
          <w:lang w:eastAsia="zh-CN"/>
        </w:rPr>
      </w:pPr>
      <w:r>
        <w:rPr>
          <w:rFonts w:hint="eastAsia" w:ascii="Arial" w:hAnsi="Arial" w:eastAsia="宋体" w:cs="Arial"/>
          <w:snapToGrid w:val="0"/>
          <w:sz w:val="24"/>
          <w:lang w:eastAsia="zh-CN"/>
        </w:rPr>
        <w:t>规定置管部位的措辞，例如</w:t>
      </w:r>
      <w:r>
        <w:rPr>
          <w:rFonts w:hint="eastAsia" w:ascii="宋体" w:hAnsi="宋体" w:eastAsia="宋体" w:cs="Arial"/>
          <w:snapToGrid w:val="0"/>
          <w:sz w:val="24"/>
          <w:lang w:eastAsia="zh-CN"/>
        </w:rPr>
        <w:t>“</w:t>
      </w:r>
      <w:r>
        <w:rPr>
          <w:rFonts w:hint="eastAsia" w:ascii="Arial" w:hAnsi="Arial" w:eastAsia="宋体" w:cs="Arial"/>
          <w:snapToGrid w:val="0"/>
          <w:sz w:val="24"/>
          <w:lang w:eastAsia="zh-CN"/>
        </w:rPr>
        <w:t>40cm以上导管预期用于股静脉置管</w:t>
      </w:r>
      <w:r>
        <w:rPr>
          <w:rFonts w:hint="eastAsia" w:ascii="宋体" w:hAnsi="宋体" w:eastAsia="宋体" w:cs="Arial"/>
          <w:snapToGrid w:val="0"/>
          <w:sz w:val="24"/>
          <w:lang w:eastAsia="zh-CN"/>
        </w:rPr>
        <w:t>”</w:t>
      </w:r>
      <w:r>
        <w:rPr>
          <w:rFonts w:hint="eastAsia" w:ascii="Arial" w:hAnsi="Arial" w:eastAsia="宋体" w:cs="Arial"/>
          <w:snapToGrid w:val="0"/>
          <w:sz w:val="24"/>
          <w:lang w:eastAsia="zh-CN"/>
        </w:rPr>
        <w:t>；</w:t>
      </w:r>
    </w:p>
    <w:p w14:paraId="56BE7775">
      <w:pPr>
        <w:pStyle w:val="22"/>
        <w:numPr>
          <w:ilvl w:val="2"/>
          <w:numId w:val="9"/>
        </w:numPr>
        <w:tabs>
          <w:tab w:val="left" w:pos="1679"/>
          <w:tab w:val="left" w:pos="1680"/>
        </w:tabs>
        <w:topLinePunct/>
        <w:autoSpaceDE/>
        <w:autoSpaceDN/>
        <w:adjustRightInd w:val="0"/>
        <w:snapToGrid w:val="0"/>
        <w:spacing w:after="224" w:afterLines="75" w:line="288" w:lineRule="auto"/>
        <w:ind w:left="1679" w:hanging="349"/>
        <w:jc w:val="both"/>
        <w:rPr>
          <w:rFonts w:ascii="Arial" w:hAnsi="Arial" w:eastAsia="宋体" w:cs="Arial"/>
          <w:snapToGrid w:val="0"/>
          <w:sz w:val="24"/>
          <w:lang w:eastAsia="zh-CN"/>
        </w:rPr>
      </w:pPr>
      <w:r>
        <w:rPr>
          <w:rFonts w:hint="eastAsia" w:ascii="Arial" w:hAnsi="Arial" w:eastAsia="宋体" w:cs="Arial"/>
          <w:snapToGrid w:val="0"/>
          <w:sz w:val="24"/>
          <w:lang w:eastAsia="zh-CN"/>
        </w:rPr>
        <w:t>专门针对股静脉置管的潜在并发症（股动脉出血、股神经损伤、腹膜后出血和静脉狭窄）；</w:t>
      </w:r>
    </w:p>
    <w:p w14:paraId="39953F3A">
      <w:pPr>
        <w:pStyle w:val="22"/>
        <w:numPr>
          <w:ilvl w:val="2"/>
          <w:numId w:val="9"/>
        </w:numPr>
        <w:tabs>
          <w:tab w:val="left" w:pos="1679"/>
          <w:tab w:val="left" w:pos="1680"/>
        </w:tabs>
        <w:topLinePunct/>
        <w:autoSpaceDE/>
        <w:autoSpaceDN/>
        <w:adjustRightInd w:val="0"/>
        <w:snapToGrid w:val="0"/>
        <w:spacing w:after="224" w:afterLines="75" w:line="288" w:lineRule="auto"/>
        <w:ind w:left="1679" w:hanging="349"/>
        <w:jc w:val="both"/>
        <w:rPr>
          <w:rFonts w:ascii="Arial" w:hAnsi="Arial" w:eastAsia="宋体" w:cs="Arial"/>
          <w:snapToGrid w:val="0"/>
          <w:sz w:val="24"/>
          <w:lang w:eastAsia="zh-CN"/>
        </w:rPr>
      </w:pPr>
      <w:r>
        <w:rPr>
          <w:rFonts w:hint="eastAsia" w:ascii="Arial" w:hAnsi="Arial" w:eastAsia="宋体" w:cs="Arial"/>
          <w:snapToGrid w:val="0"/>
          <w:sz w:val="24"/>
          <w:lang w:eastAsia="zh-CN"/>
        </w:rPr>
        <w:t>关于避免感染的建议，例如将导管沿隧道插入盆部区域，而非腹股沟区域；以及</w:t>
      </w:r>
    </w:p>
    <w:p w14:paraId="451460FD">
      <w:pPr>
        <w:pStyle w:val="22"/>
        <w:numPr>
          <w:ilvl w:val="2"/>
          <w:numId w:val="9"/>
        </w:numPr>
        <w:tabs>
          <w:tab w:val="left" w:pos="1680"/>
        </w:tabs>
        <w:topLinePunct/>
        <w:autoSpaceDE/>
        <w:autoSpaceDN/>
        <w:adjustRightInd w:val="0"/>
        <w:snapToGrid w:val="0"/>
        <w:spacing w:after="224" w:afterLines="75" w:line="288" w:lineRule="auto"/>
        <w:ind w:left="1679" w:hanging="349"/>
        <w:jc w:val="both"/>
        <w:rPr>
          <w:rFonts w:ascii="Arial" w:hAnsi="Arial" w:eastAsia="宋体" w:cs="Arial"/>
          <w:snapToGrid w:val="0"/>
          <w:sz w:val="24"/>
        </w:rPr>
      </w:pPr>
      <w:r>
        <w:rPr>
          <w:rFonts w:hint="eastAsia" w:ascii="Arial" w:hAnsi="Arial" w:eastAsia="宋体" w:cs="Arial"/>
          <w:snapToGrid w:val="0"/>
          <w:sz w:val="24"/>
          <w:lang w:eastAsia="zh-CN"/>
        </w:rPr>
        <w:t>表明有感染增加可能性的警告。</w:t>
      </w:r>
    </w:p>
    <w:p w14:paraId="7728209F">
      <w:pPr>
        <w:pStyle w:val="7"/>
        <w:topLinePunct/>
        <w:autoSpaceDE/>
        <w:autoSpaceDN/>
        <w:adjustRightInd w:val="0"/>
        <w:snapToGrid w:val="0"/>
        <w:spacing w:after="224" w:afterLines="75" w:line="288" w:lineRule="auto"/>
        <w:jc w:val="both"/>
        <w:rPr>
          <w:rFonts w:ascii="Arial" w:hAnsi="Arial" w:eastAsia="宋体" w:cs="Arial"/>
          <w:snapToGrid w:val="0"/>
        </w:rPr>
      </w:pPr>
      <w:r>
        <w:rPr>
          <w:rFonts w:ascii="Arial" w:hAnsi="Arial" w:eastAsia="宋体" w:cs="Arial"/>
          <w:snapToGrid w:val="0"/>
        </w:rPr>
        <w:br w:type="page"/>
      </w:r>
    </w:p>
    <w:p w14:paraId="652B5525">
      <w:pPr>
        <w:pStyle w:val="22"/>
        <w:numPr>
          <w:ilvl w:val="1"/>
          <w:numId w:val="9"/>
        </w:numPr>
        <w:tabs>
          <w:tab w:val="left" w:pos="1320"/>
        </w:tabs>
        <w:topLinePunct/>
        <w:autoSpaceDE/>
        <w:autoSpaceDN/>
        <w:adjustRightInd w:val="0"/>
        <w:snapToGrid w:val="0"/>
        <w:spacing w:after="224" w:afterLines="75" w:line="288" w:lineRule="auto"/>
        <w:ind w:left="959" w:leftChars="436" w:firstLine="0"/>
        <w:jc w:val="both"/>
        <w:rPr>
          <w:rFonts w:ascii="Arial" w:hAnsi="Arial" w:eastAsia="宋体" w:cs="Arial"/>
          <w:snapToGrid w:val="0"/>
          <w:sz w:val="24"/>
          <w:lang w:eastAsia="zh-CN"/>
        </w:rPr>
      </w:pPr>
      <w:r>
        <w:rPr>
          <w:rFonts w:hint="eastAsia" w:ascii="Arial" w:hAnsi="Arial" w:eastAsia="宋体" w:cs="Arial"/>
          <w:snapToGrid w:val="0"/>
          <w:sz w:val="24"/>
          <w:lang w:eastAsia="zh-CN"/>
        </w:rPr>
        <w:t>若适用经腰导管，标签应包括：</w:t>
      </w:r>
    </w:p>
    <w:p w14:paraId="11747286">
      <w:pPr>
        <w:pStyle w:val="22"/>
        <w:numPr>
          <w:ilvl w:val="2"/>
          <w:numId w:val="9"/>
        </w:numPr>
        <w:tabs>
          <w:tab w:val="left" w:pos="1679"/>
          <w:tab w:val="left" w:pos="1680"/>
        </w:tabs>
        <w:topLinePunct/>
        <w:autoSpaceDE/>
        <w:autoSpaceDN/>
        <w:adjustRightInd w:val="0"/>
        <w:snapToGrid w:val="0"/>
        <w:spacing w:after="224" w:afterLines="75" w:line="288" w:lineRule="auto"/>
        <w:ind w:left="1658" w:leftChars="595" w:hanging="349"/>
        <w:jc w:val="both"/>
        <w:rPr>
          <w:rFonts w:ascii="Arial" w:hAnsi="Arial" w:eastAsia="宋体" w:cs="Arial"/>
          <w:snapToGrid w:val="0"/>
          <w:sz w:val="24"/>
          <w:lang w:eastAsia="zh-CN"/>
        </w:rPr>
      </w:pPr>
      <w:r>
        <w:rPr>
          <w:rFonts w:hint="eastAsia" w:ascii="Arial" w:hAnsi="Arial" w:eastAsia="宋体" w:cs="Arial"/>
          <w:snapToGrid w:val="0"/>
          <w:sz w:val="24"/>
          <w:lang w:eastAsia="zh-CN"/>
        </w:rPr>
        <w:t>规定置管部位的措辞；和</w:t>
      </w:r>
    </w:p>
    <w:p w14:paraId="3F508B98">
      <w:pPr>
        <w:pStyle w:val="22"/>
        <w:numPr>
          <w:ilvl w:val="2"/>
          <w:numId w:val="9"/>
        </w:numPr>
        <w:tabs>
          <w:tab w:val="left" w:pos="1680"/>
        </w:tabs>
        <w:topLinePunct/>
        <w:autoSpaceDE/>
        <w:autoSpaceDN/>
        <w:adjustRightInd w:val="0"/>
        <w:snapToGrid w:val="0"/>
        <w:spacing w:after="224" w:afterLines="75" w:line="288" w:lineRule="auto"/>
        <w:ind w:left="1658" w:leftChars="595" w:hanging="349"/>
        <w:jc w:val="both"/>
        <w:rPr>
          <w:rFonts w:ascii="Arial" w:hAnsi="Arial" w:eastAsia="宋体" w:cs="Arial"/>
          <w:snapToGrid w:val="0"/>
          <w:sz w:val="24"/>
          <w:lang w:eastAsia="zh-CN"/>
        </w:rPr>
      </w:pPr>
      <w:r>
        <w:rPr>
          <w:rFonts w:hint="eastAsia" w:ascii="Arial" w:hAnsi="Arial" w:eastAsia="宋体" w:cs="Arial"/>
          <w:snapToGrid w:val="0"/>
          <w:sz w:val="24"/>
          <w:lang w:eastAsia="zh-CN"/>
        </w:rPr>
        <w:t>专门针对经腰置管的潜在并发症，包括导管尖端移位进入皮下组织、腹膜后或髂静脉（造成血肿或腹部出血）。</w:t>
      </w:r>
    </w:p>
    <w:p w14:paraId="7C44F10D">
      <w:pPr>
        <w:pStyle w:val="22"/>
        <w:numPr>
          <w:ilvl w:val="1"/>
          <w:numId w:val="9"/>
        </w:numPr>
        <w:tabs>
          <w:tab w:val="left" w:pos="1320"/>
        </w:tabs>
        <w:topLinePunct/>
        <w:autoSpaceDE/>
        <w:autoSpaceDN/>
        <w:adjustRightInd w:val="0"/>
        <w:snapToGrid w:val="0"/>
        <w:spacing w:after="224" w:afterLines="75" w:line="288" w:lineRule="auto"/>
        <w:ind w:left="959" w:leftChars="436" w:firstLine="0"/>
        <w:jc w:val="both"/>
        <w:rPr>
          <w:rFonts w:ascii="Arial" w:hAnsi="Arial" w:eastAsia="宋体" w:cs="Arial"/>
          <w:snapToGrid w:val="0"/>
          <w:sz w:val="24"/>
          <w:lang w:eastAsia="zh-CN"/>
        </w:rPr>
      </w:pPr>
      <w:r>
        <w:rPr>
          <w:rFonts w:hint="eastAsia" w:ascii="Arial" w:hAnsi="Arial" w:eastAsia="宋体" w:cs="Arial"/>
          <w:snapToGrid w:val="0"/>
          <w:sz w:val="24"/>
          <w:lang w:eastAsia="zh-CN"/>
        </w:rPr>
        <w:t>若适用锁骨下导管，标签应包括：</w:t>
      </w:r>
    </w:p>
    <w:p w14:paraId="0FD6292A">
      <w:pPr>
        <w:pStyle w:val="22"/>
        <w:numPr>
          <w:ilvl w:val="2"/>
          <w:numId w:val="9"/>
        </w:numPr>
        <w:tabs>
          <w:tab w:val="left" w:pos="1679"/>
          <w:tab w:val="left" w:pos="1680"/>
        </w:tabs>
        <w:topLinePunct/>
        <w:autoSpaceDE/>
        <w:autoSpaceDN/>
        <w:adjustRightInd w:val="0"/>
        <w:snapToGrid w:val="0"/>
        <w:spacing w:after="224" w:afterLines="75" w:line="288" w:lineRule="auto"/>
        <w:ind w:left="1658" w:leftChars="595" w:hanging="349"/>
        <w:jc w:val="both"/>
        <w:rPr>
          <w:rFonts w:ascii="Arial" w:hAnsi="Arial" w:eastAsia="宋体" w:cs="Arial"/>
          <w:snapToGrid w:val="0"/>
          <w:sz w:val="24"/>
        </w:rPr>
      </w:pPr>
      <w:r>
        <w:rPr>
          <w:rFonts w:hint="eastAsia" w:ascii="Arial" w:hAnsi="Arial" w:eastAsia="宋体" w:cs="Arial"/>
          <w:snapToGrid w:val="0"/>
          <w:sz w:val="24"/>
          <w:lang w:eastAsia="zh-CN"/>
        </w:rPr>
        <w:t>规定置管部位的措辞</w:t>
      </w:r>
      <w:r>
        <w:rPr>
          <w:rFonts w:hint="eastAsia" w:ascii="Arial" w:hAnsi="Arial" w:eastAsia="宋体" w:cs="Arial"/>
          <w:snapToGrid w:val="0"/>
          <w:sz w:val="24"/>
        </w:rPr>
        <w:t>；</w:t>
      </w:r>
    </w:p>
    <w:p w14:paraId="2D4C9B70">
      <w:pPr>
        <w:pStyle w:val="22"/>
        <w:numPr>
          <w:ilvl w:val="2"/>
          <w:numId w:val="9"/>
        </w:numPr>
        <w:tabs>
          <w:tab w:val="left" w:pos="1680"/>
        </w:tabs>
        <w:topLinePunct/>
        <w:autoSpaceDE/>
        <w:autoSpaceDN/>
        <w:adjustRightInd w:val="0"/>
        <w:snapToGrid w:val="0"/>
        <w:spacing w:after="224" w:afterLines="75" w:line="288" w:lineRule="auto"/>
        <w:ind w:left="1658" w:leftChars="595" w:hanging="349"/>
        <w:jc w:val="both"/>
        <w:rPr>
          <w:rFonts w:ascii="Arial" w:hAnsi="Arial" w:eastAsia="宋体" w:cs="Arial"/>
          <w:snapToGrid w:val="0"/>
          <w:sz w:val="24"/>
          <w:lang w:eastAsia="zh-CN"/>
        </w:rPr>
      </w:pPr>
      <w:r>
        <w:rPr>
          <w:rFonts w:hint="eastAsia" w:ascii="Arial" w:hAnsi="Arial" w:eastAsia="宋体" w:cs="Arial"/>
          <w:snapToGrid w:val="0"/>
          <w:sz w:val="24"/>
          <w:lang w:eastAsia="zh-CN"/>
        </w:rPr>
        <w:t>专门针对锁骨下置管的潜在并发症，包括气胸和血胸；</w:t>
      </w:r>
    </w:p>
    <w:p w14:paraId="5750724D">
      <w:pPr>
        <w:pStyle w:val="22"/>
        <w:numPr>
          <w:ilvl w:val="2"/>
          <w:numId w:val="9"/>
        </w:numPr>
        <w:tabs>
          <w:tab w:val="left" w:pos="1680"/>
        </w:tabs>
        <w:topLinePunct/>
        <w:autoSpaceDE/>
        <w:autoSpaceDN/>
        <w:adjustRightInd w:val="0"/>
        <w:snapToGrid w:val="0"/>
        <w:spacing w:after="224" w:afterLines="75" w:line="288" w:lineRule="auto"/>
        <w:ind w:left="1658" w:leftChars="595" w:hanging="349"/>
        <w:jc w:val="both"/>
        <w:rPr>
          <w:rFonts w:ascii="Arial" w:hAnsi="Arial" w:eastAsia="宋体" w:cs="Arial"/>
          <w:snapToGrid w:val="0"/>
          <w:sz w:val="24"/>
          <w:lang w:eastAsia="zh-CN"/>
        </w:rPr>
      </w:pPr>
      <w:r>
        <w:rPr>
          <w:rFonts w:hint="eastAsia" w:ascii="Arial" w:hAnsi="Arial" w:eastAsia="宋体" w:cs="Arial"/>
          <w:snapToGrid w:val="0"/>
          <w:sz w:val="24"/>
          <w:lang w:eastAsia="zh-CN"/>
        </w:rPr>
        <w:t>关于使用锁骨下静脉时锁骨下静脉狭窄风险的警告声明；和</w:t>
      </w:r>
    </w:p>
    <w:p w14:paraId="33E46AAA">
      <w:pPr>
        <w:pStyle w:val="22"/>
        <w:numPr>
          <w:ilvl w:val="2"/>
          <w:numId w:val="9"/>
        </w:numPr>
        <w:tabs>
          <w:tab w:val="left" w:pos="1680"/>
        </w:tabs>
        <w:topLinePunct/>
        <w:autoSpaceDE/>
        <w:autoSpaceDN/>
        <w:adjustRightInd w:val="0"/>
        <w:snapToGrid w:val="0"/>
        <w:spacing w:after="224" w:afterLines="75" w:line="288" w:lineRule="auto"/>
        <w:ind w:left="1658" w:leftChars="595" w:hanging="349"/>
        <w:jc w:val="both"/>
        <w:rPr>
          <w:rFonts w:ascii="Arial" w:hAnsi="Arial" w:eastAsia="宋体" w:cs="Arial"/>
          <w:snapToGrid w:val="0"/>
          <w:sz w:val="24"/>
          <w:lang w:eastAsia="zh-CN"/>
        </w:rPr>
      </w:pPr>
      <w:r>
        <w:rPr>
          <w:rFonts w:hint="eastAsia" w:ascii="Arial" w:hAnsi="Arial" w:eastAsia="宋体" w:cs="Arial"/>
          <w:snapToGrid w:val="0"/>
          <w:sz w:val="24"/>
          <w:lang w:eastAsia="zh-CN"/>
        </w:rPr>
        <w:t>声明应当仅在不能获得其他上肢或胸壁选择时才使用锁骨下通路的警告声明。</w:t>
      </w:r>
    </w:p>
    <w:p w14:paraId="47E0F4D3">
      <w:pPr>
        <w:pStyle w:val="22"/>
        <w:numPr>
          <w:ilvl w:val="0"/>
          <w:numId w:val="9"/>
        </w:numPr>
        <w:tabs>
          <w:tab w:val="left" w:pos="960"/>
        </w:tabs>
        <w:topLinePunct/>
        <w:autoSpaceDE/>
        <w:autoSpaceDN/>
        <w:adjustRightInd w:val="0"/>
        <w:snapToGrid w:val="0"/>
        <w:spacing w:after="224" w:afterLines="75" w:line="288" w:lineRule="auto"/>
        <w:ind w:hanging="393"/>
        <w:jc w:val="both"/>
        <w:rPr>
          <w:rFonts w:ascii="Arial" w:hAnsi="Arial" w:eastAsia="宋体" w:cs="Arial"/>
          <w:snapToGrid w:val="0"/>
          <w:sz w:val="24"/>
          <w:lang w:eastAsia="zh-CN"/>
        </w:rPr>
      </w:pPr>
      <w:r>
        <w:rPr>
          <w:rFonts w:hint="eastAsia" w:ascii="Arial" w:hAnsi="Arial" w:eastAsia="宋体" w:cs="Arial"/>
          <w:snapToGrid w:val="0"/>
          <w:sz w:val="24"/>
          <w:lang w:eastAsia="zh-CN"/>
        </w:rPr>
        <w:t>适当时，标签应总结证实实质等同性所需临床性能数据的结果。</w:t>
      </w:r>
    </w:p>
    <w:p w14:paraId="4E10B97C">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r>
        <w:rPr>
          <w:rFonts w:ascii="Arial" w:hAnsi="Arial" w:eastAsia="宋体" w:cs="Arial"/>
          <w:snapToGrid w:val="0"/>
          <w:lang w:eastAsia="zh-CN"/>
        </w:rPr>
        <w:t>FDA</w:t>
      </w:r>
      <w:r>
        <w:rPr>
          <w:rFonts w:hint="eastAsia" w:ascii="Arial" w:hAnsi="Arial" w:eastAsia="宋体" w:cs="Arial"/>
          <w:snapToGrid w:val="0"/>
          <w:lang w:eastAsia="zh-CN"/>
        </w:rPr>
        <w:t>已制定特殊控制，要求关于使用血液透析用植入式血液通路器械的标签，包括以下内容：</w:t>
      </w:r>
    </w:p>
    <w:p w14:paraId="5CE53FE1">
      <w:pPr>
        <w:pStyle w:val="22"/>
        <w:numPr>
          <w:ilvl w:val="0"/>
          <w:numId w:val="10"/>
        </w:numPr>
        <w:tabs>
          <w:tab w:val="left" w:pos="960"/>
        </w:tabs>
        <w:topLinePunct/>
        <w:autoSpaceDE/>
        <w:autoSpaceDN/>
        <w:adjustRightInd w:val="0"/>
        <w:snapToGrid w:val="0"/>
        <w:spacing w:after="224" w:afterLines="75" w:line="288" w:lineRule="auto"/>
        <w:ind w:hanging="393"/>
        <w:jc w:val="both"/>
        <w:rPr>
          <w:rFonts w:ascii="Arial" w:hAnsi="Arial" w:eastAsia="宋体" w:cs="Arial"/>
          <w:i/>
          <w:snapToGrid w:val="0"/>
          <w:sz w:val="24"/>
          <w:lang w:eastAsia="zh-CN"/>
        </w:rPr>
      </w:pPr>
      <w:r>
        <w:rPr>
          <w:rFonts w:hint="eastAsia" w:ascii="Arial" w:hAnsi="Arial" w:eastAsia="宋体" w:cs="Arial"/>
          <w:i/>
          <w:snapToGrid w:val="0"/>
          <w:sz w:val="24"/>
          <w:lang w:eastAsia="zh-CN"/>
        </w:rPr>
        <w:t>标识必须提供动脉与静脉压力流速比，可采用列表或图形格式。必须注明测试过程中所用液体及其粘滞度（</w:t>
      </w:r>
      <w:r>
        <w:rPr>
          <w:rFonts w:ascii="Arial" w:hAnsi="Arial" w:eastAsia="宋体" w:cs="Arial"/>
          <w:i/>
          <w:snapToGrid w:val="0"/>
          <w:sz w:val="24"/>
          <w:lang w:eastAsia="zh-CN"/>
        </w:rPr>
        <w:t>21 CFR 876.5540</w:t>
      </w:r>
      <w:r>
        <w:rPr>
          <w:rFonts w:hint="eastAsia" w:ascii="Arial" w:hAnsi="Arial" w:eastAsia="宋体" w:cs="Arial"/>
          <w:i/>
          <w:snapToGrid w:val="0"/>
          <w:sz w:val="24"/>
          <w:lang w:eastAsia="zh-CN"/>
        </w:rPr>
        <w:t>（</w:t>
      </w:r>
      <w:r>
        <w:rPr>
          <w:rFonts w:ascii="Arial" w:hAnsi="Arial" w:eastAsia="宋体" w:cs="Arial"/>
          <w:i/>
          <w:snapToGrid w:val="0"/>
          <w:sz w:val="24"/>
          <w:lang w:eastAsia="zh-CN"/>
        </w:rPr>
        <w:t>b</w:t>
      </w:r>
      <w:r>
        <w:rPr>
          <w:rFonts w:hint="eastAsia" w:ascii="Arial" w:hAnsi="Arial" w:eastAsia="宋体" w:cs="Arial"/>
          <w:i/>
          <w:snapToGrid w:val="0"/>
          <w:sz w:val="24"/>
          <w:lang w:eastAsia="zh-CN"/>
        </w:rPr>
        <w:t>）（</w:t>
      </w:r>
      <w:r>
        <w:rPr>
          <w:rFonts w:ascii="Arial" w:hAnsi="Arial" w:eastAsia="宋体" w:cs="Arial"/>
          <w:i/>
          <w:snapToGrid w:val="0"/>
          <w:sz w:val="24"/>
          <w:lang w:eastAsia="zh-CN"/>
        </w:rPr>
        <w:t>1</w:t>
      </w:r>
      <w:r>
        <w:rPr>
          <w:rFonts w:hint="eastAsia" w:ascii="Arial" w:hAnsi="Arial" w:eastAsia="宋体" w:cs="Arial"/>
          <w:i/>
          <w:snapToGrid w:val="0"/>
          <w:sz w:val="24"/>
          <w:lang w:eastAsia="zh-CN"/>
        </w:rPr>
        <w:t>）（</w:t>
      </w:r>
      <w:r>
        <w:rPr>
          <w:rFonts w:ascii="Arial" w:hAnsi="Arial" w:eastAsia="宋体" w:cs="Arial"/>
          <w:i/>
          <w:snapToGrid w:val="0"/>
          <w:sz w:val="24"/>
          <w:lang w:eastAsia="zh-CN"/>
        </w:rPr>
        <w:t>v</w:t>
      </w:r>
      <w:r>
        <w:rPr>
          <w:rFonts w:hint="eastAsia" w:ascii="Arial" w:hAnsi="Arial" w:eastAsia="宋体" w:cs="Arial"/>
          <w:i/>
          <w:snapToGrid w:val="0"/>
          <w:sz w:val="24"/>
          <w:lang w:eastAsia="zh-CN"/>
        </w:rPr>
        <w:t>）（</w:t>
      </w:r>
      <w:r>
        <w:rPr>
          <w:rFonts w:ascii="Arial" w:hAnsi="Arial" w:eastAsia="宋体" w:cs="Arial"/>
          <w:i/>
          <w:snapToGrid w:val="0"/>
          <w:sz w:val="24"/>
          <w:lang w:eastAsia="zh-CN"/>
        </w:rPr>
        <w:t>A</w:t>
      </w:r>
      <w:r>
        <w:rPr>
          <w:rFonts w:hint="eastAsia" w:ascii="Arial" w:hAnsi="Arial" w:eastAsia="宋体" w:cs="Arial"/>
          <w:i/>
          <w:snapToGrid w:val="0"/>
          <w:sz w:val="24"/>
          <w:lang w:eastAsia="zh-CN"/>
        </w:rPr>
        <w:t>））。</w:t>
      </w:r>
    </w:p>
    <w:p w14:paraId="5D628B80">
      <w:pPr>
        <w:pStyle w:val="22"/>
        <w:numPr>
          <w:ilvl w:val="0"/>
          <w:numId w:val="10"/>
        </w:numPr>
        <w:tabs>
          <w:tab w:val="left" w:pos="960"/>
        </w:tabs>
        <w:topLinePunct/>
        <w:autoSpaceDE/>
        <w:autoSpaceDN/>
        <w:adjustRightInd w:val="0"/>
        <w:snapToGrid w:val="0"/>
        <w:spacing w:after="224" w:afterLines="75" w:line="288" w:lineRule="auto"/>
        <w:ind w:hanging="393"/>
        <w:jc w:val="both"/>
        <w:rPr>
          <w:rFonts w:ascii="Arial" w:hAnsi="Arial" w:eastAsia="宋体" w:cs="Arial"/>
          <w:i/>
          <w:snapToGrid w:val="0"/>
          <w:sz w:val="24"/>
          <w:lang w:eastAsia="zh-CN"/>
        </w:rPr>
      </w:pPr>
      <w:r>
        <w:rPr>
          <w:rFonts w:hint="eastAsia" w:ascii="Arial" w:hAnsi="Arial" w:eastAsia="宋体" w:cs="Arial"/>
          <w:i/>
          <w:snapToGrid w:val="0"/>
          <w:sz w:val="24"/>
          <w:lang w:eastAsia="zh-CN"/>
        </w:rPr>
        <w:t>标识必须注明前向和反向再循环速率（</w:t>
      </w:r>
      <w:r>
        <w:rPr>
          <w:rFonts w:ascii="Arial" w:hAnsi="Arial" w:eastAsia="宋体" w:cs="Arial"/>
          <w:i/>
          <w:snapToGrid w:val="0"/>
          <w:sz w:val="24"/>
          <w:lang w:eastAsia="zh-CN"/>
        </w:rPr>
        <w:t>21 CFR 876.5540</w:t>
      </w:r>
      <w:r>
        <w:rPr>
          <w:rFonts w:hint="eastAsia" w:ascii="Arial" w:hAnsi="Arial" w:eastAsia="宋体" w:cs="Arial"/>
          <w:i/>
          <w:snapToGrid w:val="0"/>
          <w:sz w:val="24"/>
          <w:lang w:eastAsia="zh-CN"/>
        </w:rPr>
        <w:t>（</w:t>
      </w:r>
      <w:r>
        <w:rPr>
          <w:rFonts w:ascii="Arial" w:hAnsi="Arial" w:eastAsia="宋体" w:cs="Arial"/>
          <w:i/>
          <w:snapToGrid w:val="0"/>
          <w:sz w:val="24"/>
          <w:lang w:eastAsia="zh-CN"/>
        </w:rPr>
        <w:t>b</w:t>
      </w:r>
      <w:r>
        <w:rPr>
          <w:rFonts w:hint="eastAsia" w:ascii="Arial" w:hAnsi="Arial" w:eastAsia="宋体" w:cs="Arial"/>
          <w:i/>
          <w:snapToGrid w:val="0"/>
          <w:sz w:val="24"/>
          <w:lang w:eastAsia="zh-CN"/>
        </w:rPr>
        <w:t>）（</w:t>
      </w:r>
      <w:r>
        <w:rPr>
          <w:rFonts w:ascii="Arial" w:hAnsi="Arial" w:eastAsia="宋体" w:cs="Arial"/>
          <w:i/>
          <w:snapToGrid w:val="0"/>
          <w:sz w:val="24"/>
          <w:lang w:eastAsia="zh-CN"/>
        </w:rPr>
        <w:t>1</w:t>
      </w:r>
      <w:r>
        <w:rPr>
          <w:rFonts w:hint="eastAsia" w:ascii="Arial" w:hAnsi="Arial" w:eastAsia="宋体" w:cs="Arial"/>
          <w:i/>
          <w:snapToGrid w:val="0"/>
          <w:sz w:val="24"/>
          <w:lang w:eastAsia="zh-CN"/>
        </w:rPr>
        <w:t>）（</w:t>
      </w:r>
      <w:r>
        <w:rPr>
          <w:rFonts w:ascii="Arial" w:hAnsi="Arial" w:eastAsia="宋体" w:cs="Arial"/>
          <w:i/>
          <w:snapToGrid w:val="0"/>
          <w:sz w:val="24"/>
          <w:lang w:eastAsia="zh-CN"/>
        </w:rPr>
        <w:t>v</w:t>
      </w:r>
      <w:r>
        <w:rPr>
          <w:rFonts w:hint="eastAsia" w:ascii="Arial" w:hAnsi="Arial" w:eastAsia="宋体" w:cs="Arial"/>
          <w:i/>
          <w:snapToGrid w:val="0"/>
          <w:sz w:val="24"/>
          <w:lang w:eastAsia="zh-CN"/>
        </w:rPr>
        <w:t>）（</w:t>
      </w:r>
      <w:r>
        <w:rPr>
          <w:rFonts w:ascii="Arial" w:hAnsi="Arial" w:eastAsia="宋体" w:cs="Arial"/>
          <w:i/>
          <w:snapToGrid w:val="0"/>
          <w:sz w:val="24"/>
          <w:lang w:eastAsia="zh-CN"/>
        </w:rPr>
        <w:t>B</w:t>
      </w:r>
      <w:r>
        <w:rPr>
          <w:rFonts w:hint="eastAsia" w:ascii="Arial" w:hAnsi="Arial" w:eastAsia="宋体" w:cs="Arial"/>
          <w:i/>
          <w:snapToGrid w:val="0"/>
          <w:sz w:val="24"/>
          <w:lang w:eastAsia="zh-CN"/>
        </w:rPr>
        <w:t>））。</w:t>
      </w:r>
    </w:p>
    <w:p w14:paraId="46DAD101">
      <w:pPr>
        <w:pStyle w:val="7"/>
        <w:topLinePunct/>
        <w:autoSpaceDE/>
        <w:autoSpaceDN/>
        <w:adjustRightInd w:val="0"/>
        <w:snapToGrid w:val="0"/>
        <w:spacing w:after="224" w:afterLines="75" w:line="288" w:lineRule="auto"/>
        <w:ind w:left="960" w:firstLine="6"/>
        <w:jc w:val="both"/>
        <w:rPr>
          <w:rFonts w:ascii="Arial" w:hAnsi="Arial" w:eastAsia="宋体" w:cs="Arial"/>
          <w:snapToGrid w:val="0"/>
          <w:lang w:eastAsia="zh-CN"/>
        </w:rPr>
      </w:pPr>
      <w:r>
        <w:rPr>
          <w:rFonts w:hint="eastAsia" w:ascii="Arial" w:hAnsi="Arial" w:eastAsia="宋体" w:cs="Arial"/>
          <w:snapToGrid w:val="0"/>
          <w:lang w:eastAsia="zh-CN"/>
        </w:rPr>
        <w:t>建议：建议反向时再循环大于50%的导管的标签中应包含列出反向再循环百分数的警告。</w:t>
      </w:r>
    </w:p>
    <w:p w14:paraId="005BD3D5">
      <w:pPr>
        <w:pStyle w:val="22"/>
        <w:numPr>
          <w:ilvl w:val="0"/>
          <w:numId w:val="10"/>
        </w:numPr>
        <w:tabs>
          <w:tab w:val="left" w:pos="960"/>
        </w:tabs>
        <w:topLinePunct/>
        <w:autoSpaceDE/>
        <w:autoSpaceDN/>
        <w:adjustRightInd w:val="0"/>
        <w:snapToGrid w:val="0"/>
        <w:spacing w:after="224" w:afterLines="75" w:line="288" w:lineRule="auto"/>
        <w:ind w:hanging="393"/>
        <w:jc w:val="both"/>
        <w:rPr>
          <w:rFonts w:ascii="Arial" w:hAnsi="Arial" w:eastAsia="宋体" w:cs="Arial"/>
          <w:i/>
          <w:snapToGrid w:val="0"/>
          <w:sz w:val="24"/>
          <w:lang w:eastAsia="zh-CN"/>
        </w:rPr>
      </w:pPr>
      <w:r>
        <w:rPr>
          <w:rFonts w:hint="eastAsia" w:ascii="Arial" w:hAnsi="Arial" w:eastAsia="宋体" w:cs="Arial"/>
          <w:i/>
          <w:snapToGrid w:val="0"/>
          <w:sz w:val="24"/>
          <w:lang w:eastAsia="zh-CN"/>
        </w:rPr>
        <w:t>标签必须提供动脉与静脉预冲量（</w:t>
      </w:r>
      <w:r>
        <w:rPr>
          <w:rFonts w:ascii="Arial" w:hAnsi="Arial" w:eastAsia="宋体" w:cs="Arial"/>
          <w:i/>
          <w:snapToGrid w:val="0"/>
          <w:sz w:val="24"/>
          <w:lang w:eastAsia="zh-CN"/>
        </w:rPr>
        <w:t>21 CFR 876.5540</w:t>
      </w:r>
      <w:r>
        <w:rPr>
          <w:rFonts w:hint="eastAsia" w:ascii="Arial" w:hAnsi="Arial" w:eastAsia="宋体" w:cs="Arial"/>
          <w:i/>
          <w:snapToGrid w:val="0"/>
          <w:sz w:val="24"/>
          <w:lang w:eastAsia="zh-CN"/>
        </w:rPr>
        <w:t>（</w:t>
      </w:r>
      <w:r>
        <w:rPr>
          <w:rFonts w:ascii="Arial" w:hAnsi="Arial" w:eastAsia="宋体" w:cs="Arial"/>
          <w:i/>
          <w:snapToGrid w:val="0"/>
          <w:sz w:val="24"/>
          <w:lang w:eastAsia="zh-CN"/>
        </w:rPr>
        <w:t>b</w:t>
      </w:r>
      <w:r>
        <w:rPr>
          <w:rFonts w:hint="eastAsia" w:ascii="Arial" w:hAnsi="Arial" w:eastAsia="宋体" w:cs="Arial"/>
          <w:i/>
          <w:snapToGrid w:val="0"/>
          <w:sz w:val="24"/>
          <w:lang w:eastAsia="zh-CN"/>
        </w:rPr>
        <w:t>）（</w:t>
      </w:r>
      <w:r>
        <w:rPr>
          <w:rFonts w:ascii="Arial" w:hAnsi="Arial" w:eastAsia="宋体" w:cs="Arial"/>
          <w:i/>
          <w:snapToGrid w:val="0"/>
          <w:sz w:val="24"/>
          <w:lang w:eastAsia="zh-CN"/>
        </w:rPr>
        <w:t>1</w:t>
      </w:r>
      <w:r>
        <w:rPr>
          <w:rFonts w:hint="eastAsia" w:ascii="Arial" w:hAnsi="Arial" w:eastAsia="宋体" w:cs="Arial"/>
          <w:i/>
          <w:snapToGrid w:val="0"/>
          <w:sz w:val="24"/>
          <w:lang w:eastAsia="zh-CN"/>
        </w:rPr>
        <w:t>）（</w:t>
      </w:r>
      <w:r>
        <w:rPr>
          <w:rFonts w:ascii="Arial" w:hAnsi="Arial" w:eastAsia="宋体" w:cs="Arial"/>
          <w:i/>
          <w:snapToGrid w:val="0"/>
          <w:sz w:val="24"/>
          <w:lang w:eastAsia="zh-CN"/>
        </w:rPr>
        <w:t>v</w:t>
      </w:r>
      <w:r>
        <w:rPr>
          <w:rFonts w:hint="eastAsia" w:ascii="Arial" w:hAnsi="Arial" w:eastAsia="宋体" w:cs="Arial"/>
          <w:i/>
          <w:snapToGrid w:val="0"/>
          <w:sz w:val="24"/>
          <w:lang w:eastAsia="zh-CN"/>
        </w:rPr>
        <w:t>）（</w:t>
      </w:r>
      <w:r>
        <w:rPr>
          <w:rFonts w:ascii="Arial" w:hAnsi="Arial" w:eastAsia="宋体" w:cs="Arial"/>
          <w:i/>
          <w:snapToGrid w:val="0"/>
          <w:sz w:val="24"/>
          <w:lang w:eastAsia="zh-CN"/>
        </w:rPr>
        <w:t>C</w:t>
      </w:r>
      <w:r>
        <w:rPr>
          <w:rFonts w:hint="eastAsia" w:ascii="Arial" w:hAnsi="Arial" w:eastAsia="宋体" w:cs="Arial"/>
          <w:i/>
          <w:snapToGrid w:val="0"/>
          <w:sz w:val="24"/>
          <w:lang w:eastAsia="zh-CN"/>
        </w:rPr>
        <w:t>））。</w:t>
      </w:r>
    </w:p>
    <w:p w14:paraId="64A4AD1E">
      <w:pPr>
        <w:pStyle w:val="7"/>
        <w:topLinePunct/>
        <w:autoSpaceDE/>
        <w:autoSpaceDN/>
        <w:adjustRightInd w:val="0"/>
        <w:snapToGrid w:val="0"/>
        <w:spacing w:after="224" w:afterLines="75" w:line="288" w:lineRule="auto"/>
        <w:ind w:left="960" w:firstLine="6"/>
        <w:jc w:val="both"/>
        <w:rPr>
          <w:rFonts w:ascii="Arial" w:hAnsi="Arial" w:eastAsia="宋体" w:cs="Arial"/>
          <w:snapToGrid w:val="0"/>
          <w:lang w:eastAsia="zh-CN"/>
        </w:rPr>
      </w:pPr>
      <w:r>
        <w:rPr>
          <w:rFonts w:hint="eastAsia" w:ascii="Arial" w:hAnsi="Arial" w:eastAsia="宋体" w:cs="Arial"/>
          <w:snapToGrid w:val="0"/>
          <w:lang w:eastAsia="zh-CN"/>
        </w:rPr>
        <w:t>建议：可能时，这些内容应直接印刷在导管上。</w:t>
      </w:r>
    </w:p>
    <w:p w14:paraId="183B68BD">
      <w:pPr>
        <w:pStyle w:val="22"/>
        <w:numPr>
          <w:ilvl w:val="0"/>
          <w:numId w:val="10"/>
        </w:numPr>
        <w:tabs>
          <w:tab w:val="left" w:pos="960"/>
        </w:tabs>
        <w:topLinePunct/>
        <w:autoSpaceDE/>
        <w:autoSpaceDN/>
        <w:adjustRightInd w:val="0"/>
        <w:snapToGrid w:val="0"/>
        <w:spacing w:after="224" w:afterLines="75" w:line="288" w:lineRule="auto"/>
        <w:ind w:hanging="393"/>
        <w:jc w:val="both"/>
        <w:rPr>
          <w:rFonts w:ascii="Arial" w:hAnsi="Arial" w:eastAsia="宋体" w:cs="Arial"/>
          <w:i/>
          <w:snapToGrid w:val="0"/>
          <w:sz w:val="24"/>
          <w:lang w:eastAsia="zh-CN"/>
        </w:rPr>
      </w:pPr>
      <w:r>
        <w:rPr>
          <w:rFonts w:hint="eastAsia" w:ascii="Arial" w:hAnsi="Arial" w:eastAsia="宋体" w:cs="Arial"/>
          <w:i/>
          <w:snapToGrid w:val="0"/>
          <w:sz w:val="24"/>
          <w:lang w:eastAsia="zh-CN"/>
        </w:rPr>
        <w:t>标签必须注明失效日期（</w:t>
      </w:r>
      <w:r>
        <w:rPr>
          <w:rFonts w:ascii="Arial" w:hAnsi="Arial" w:eastAsia="宋体" w:cs="Arial"/>
          <w:i/>
          <w:snapToGrid w:val="0"/>
          <w:sz w:val="24"/>
          <w:lang w:eastAsia="zh-CN"/>
        </w:rPr>
        <w:t>21 CFR 876.5540</w:t>
      </w:r>
      <w:r>
        <w:rPr>
          <w:rFonts w:hint="eastAsia" w:ascii="Arial" w:hAnsi="Arial" w:eastAsia="宋体" w:cs="Arial"/>
          <w:i/>
          <w:snapToGrid w:val="0"/>
          <w:sz w:val="24"/>
          <w:lang w:eastAsia="zh-CN"/>
        </w:rPr>
        <w:t>（</w:t>
      </w:r>
      <w:r>
        <w:rPr>
          <w:rFonts w:ascii="Arial" w:hAnsi="Arial" w:eastAsia="宋体" w:cs="Arial"/>
          <w:i/>
          <w:snapToGrid w:val="0"/>
          <w:sz w:val="24"/>
          <w:lang w:eastAsia="zh-CN"/>
        </w:rPr>
        <w:t>b</w:t>
      </w:r>
      <w:r>
        <w:rPr>
          <w:rFonts w:hint="eastAsia" w:ascii="Arial" w:hAnsi="Arial" w:eastAsia="宋体" w:cs="Arial"/>
          <w:i/>
          <w:snapToGrid w:val="0"/>
          <w:sz w:val="24"/>
          <w:lang w:eastAsia="zh-CN"/>
        </w:rPr>
        <w:t>）（</w:t>
      </w:r>
      <w:r>
        <w:rPr>
          <w:rFonts w:ascii="Arial" w:hAnsi="Arial" w:eastAsia="宋体" w:cs="Arial"/>
          <w:i/>
          <w:snapToGrid w:val="0"/>
          <w:sz w:val="24"/>
          <w:lang w:eastAsia="zh-CN"/>
        </w:rPr>
        <w:t>1</w:t>
      </w:r>
      <w:r>
        <w:rPr>
          <w:rFonts w:hint="eastAsia" w:ascii="Arial" w:hAnsi="Arial" w:eastAsia="宋体" w:cs="Arial"/>
          <w:i/>
          <w:snapToGrid w:val="0"/>
          <w:sz w:val="24"/>
          <w:lang w:eastAsia="zh-CN"/>
        </w:rPr>
        <w:t>）（</w:t>
      </w:r>
      <w:r>
        <w:rPr>
          <w:rFonts w:ascii="Arial" w:hAnsi="Arial" w:eastAsia="宋体" w:cs="Arial"/>
          <w:i/>
          <w:snapToGrid w:val="0"/>
          <w:sz w:val="24"/>
          <w:lang w:eastAsia="zh-CN"/>
        </w:rPr>
        <w:t>v</w:t>
      </w:r>
      <w:r>
        <w:rPr>
          <w:rFonts w:hint="eastAsia" w:ascii="Arial" w:hAnsi="Arial" w:eastAsia="宋体" w:cs="Arial"/>
          <w:i/>
          <w:snapToGrid w:val="0"/>
          <w:sz w:val="24"/>
          <w:lang w:eastAsia="zh-CN"/>
        </w:rPr>
        <w:t>）（</w:t>
      </w:r>
      <w:r>
        <w:rPr>
          <w:rFonts w:ascii="Arial" w:hAnsi="Arial" w:eastAsia="宋体" w:cs="Arial"/>
          <w:i/>
          <w:snapToGrid w:val="0"/>
          <w:sz w:val="24"/>
          <w:lang w:eastAsia="zh-CN"/>
        </w:rPr>
        <w:t>D</w:t>
      </w:r>
      <w:r>
        <w:rPr>
          <w:rFonts w:hint="eastAsia" w:ascii="Arial" w:hAnsi="Arial" w:eastAsia="宋体" w:cs="Arial"/>
          <w:i/>
          <w:snapToGrid w:val="0"/>
          <w:sz w:val="24"/>
          <w:lang w:eastAsia="zh-CN"/>
        </w:rPr>
        <w:t>））。</w:t>
      </w:r>
    </w:p>
    <w:p w14:paraId="0C6F1D1F">
      <w:pPr>
        <w:pStyle w:val="7"/>
        <w:topLinePunct/>
        <w:autoSpaceDE/>
        <w:autoSpaceDN/>
        <w:adjustRightInd w:val="0"/>
        <w:snapToGrid w:val="0"/>
        <w:spacing w:after="224" w:afterLines="75" w:line="288" w:lineRule="auto"/>
        <w:ind w:left="960" w:firstLine="6"/>
        <w:jc w:val="both"/>
        <w:rPr>
          <w:rFonts w:ascii="Arial" w:hAnsi="Arial" w:eastAsia="宋体" w:cs="Arial"/>
          <w:snapToGrid w:val="0"/>
          <w:lang w:eastAsia="zh-CN"/>
        </w:rPr>
      </w:pPr>
      <w:r>
        <w:rPr>
          <w:rFonts w:hint="eastAsia" w:ascii="Arial" w:hAnsi="Arial" w:eastAsia="宋体" w:cs="Arial"/>
          <w:snapToGrid w:val="0"/>
          <w:lang w:eastAsia="zh-CN"/>
        </w:rPr>
        <w:t>建议：更多详细内容请参见第E节</w:t>
      </w:r>
      <w:r>
        <w:rPr>
          <w:rFonts w:hint="eastAsia" w:ascii="宋体" w:hAnsi="宋体" w:eastAsia="宋体" w:cs="Arial"/>
          <w:snapToGrid w:val="0"/>
          <w:lang w:eastAsia="zh-CN"/>
        </w:rPr>
        <w:t>“</w:t>
      </w:r>
      <w:r>
        <w:rPr>
          <w:rFonts w:hint="eastAsia" w:ascii="Arial" w:hAnsi="Arial" w:eastAsia="宋体" w:cs="Arial"/>
          <w:snapToGrid w:val="0"/>
          <w:lang w:eastAsia="zh-CN"/>
        </w:rPr>
        <w:t>无菌性与有效期</w:t>
      </w:r>
      <w:r>
        <w:rPr>
          <w:rFonts w:hint="eastAsia" w:ascii="宋体" w:hAnsi="宋体" w:eastAsia="宋体" w:cs="Arial"/>
          <w:snapToGrid w:val="0"/>
          <w:lang w:eastAsia="zh-CN"/>
        </w:rPr>
        <w:t>”</w:t>
      </w:r>
      <w:r>
        <w:rPr>
          <w:rFonts w:hint="eastAsia" w:ascii="Arial" w:hAnsi="Arial" w:eastAsia="宋体" w:cs="Arial"/>
          <w:snapToGrid w:val="0"/>
          <w:lang w:eastAsia="zh-CN"/>
        </w:rPr>
        <w:t>。</w:t>
      </w:r>
    </w:p>
    <w:p w14:paraId="7C768D2A">
      <w:pPr>
        <w:pStyle w:val="22"/>
        <w:numPr>
          <w:ilvl w:val="0"/>
          <w:numId w:val="10"/>
        </w:numPr>
        <w:tabs>
          <w:tab w:val="left" w:pos="960"/>
        </w:tabs>
        <w:topLinePunct/>
        <w:autoSpaceDE/>
        <w:autoSpaceDN/>
        <w:adjustRightInd w:val="0"/>
        <w:snapToGrid w:val="0"/>
        <w:spacing w:after="224" w:afterLines="75" w:line="288" w:lineRule="auto"/>
        <w:ind w:hanging="393"/>
        <w:jc w:val="both"/>
        <w:rPr>
          <w:rFonts w:ascii="Arial" w:hAnsi="Arial" w:eastAsia="宋体" w:cs="Arial"/>
          <w:i/>
          <w:snapToGrid w:val="0"/>
          <w:sz w:val="24"/>
          <w:lang w:eastAsia="zh-CN"/>
        </w:rPr>
      </w:pPr>
      <w:r>
        <w:rPr>
          <w:rFonts w:hint="eastAsia" w:ascii="Arial" w:hAnsi="Arial" w:eastAsia="宋体" w:cs="Arial"/>
          <w:i/>
          <w:snapToGrid w:val="0"/>
          <w:sz w:val="24"/>
          <w:lang w:eastAsia="zh-CN"/>
        </w:rPr>
        <w:t>标签必须注明所有不能被用于清洁器械任何部件的消毒剂（</w:t>
      </w:r>
      <w:r>
        <w:rPr>
          <w:rFonts w:ascii="Arial" w:hAnsi="Arial" w:eastAsia="宋体" w:cs="Arial"/>
          <w:i/>
          <w:snapToGrid w:val="0"/>
          <w:sz w:val="24"/>
          <w:lang w:eastAsia="zh-CN"/>
        </w:rPr>
        <w:t>21 CFR 876.5540</w:t>
      </w:r>
      <w:r>
        <w:rPr>
          <w:rFonts w:hint="eastAsia" w:ascii="Arial" w:hAnsi="Arial" w:eastAsia="宋体" w:cs="Arial"/>
          <w:i/>
          <w:snapToGrid w:val="0"/>
          <w:sz w:val="24"/>
          <w:lang w:eastAsia="zh-CN"/>
        </w:rPr>
        <w:t>（</w:t>
      </w:r>
      <w:r>
        <w:rPr>
          <w:rFonts w:ascii="Arial" w:hAnsi="Arial" w:eastAsia="宋体" w:cs="Arial"/>
          <w:i/>
          <w:snapToGrid w:val="0"/>
          <w:sz w:val="24"/>
          <w:lang w:eastAsia="zh-CN"/>
        </w:rPr>
        <w:t>b</w:t>
      </w:r>
      <w:r>
        <w:rPr>
          <w:rFonts w:hint="eastAsia" w:ascii="Arial" w:hAnsi="Arial" w:eastAsia="宋体" w:cs="Arial"/>
          <w:i/>
          <w:snapToGrid w:val="0"/>
          <w:sz w:val="24"/>
          <w:lang w:eastAsia="zh-CN"/>
        </w:rPr>
        <w:t>）（</w:t>
      </w:r>
      <w:r>
        <w:rPr>
          <w:rFonts w:ascii="Arial" w:hAnsi="Arial" w:eastAsia="宋体" w:cs="Arial"/>
          <w:i/>
          <w:snapToGrid w:val="0"/>
          <w:sz w:val="24"/>
          <w:lang w:eastAsia="zh-CN"/>
        </w:rPr>
        <w:t>1</w:t>
      </w:r>
      <w:r>
        <w:rPr>
          <w:rFonts w:hint="eastAsia" w:ascii="Arial" w:hAnsi="Arial" w:eastAsia="宋体" w:cs="Arial"/>
          <w:i/>
          <w:snapToGrid w:val="0"/>
          <w:sz w:val="24"/>
          <w:lang w:eastAsia="zh-CN"/>
        </w:rPr>
        <w:t>）（</w:t>
      </w:r>
      <w:r>
        <w:rPr>
          <w:rFonts w:ascii="Arial" w:hAnsi="Arial" w:eastAsia="宋体" w:cs="Arial"/>
          <w:i/>
          <w:snapToGrid w:val="0"/>
          <w:sz w:val="24"/>
          <w:lang w:eastAsia="zh-CN"/>
        </w:rPr>
        <w:t>v</w:t>
      </w:r>
      <w:r>
        <w:rPr>
          <w:rFonts w:hint="eastAsia" w:ascii="Arial" w:hAnsi="Arial" w:eastAsia="宋体" w:cs="Arial"/>
          <w:i/>
          <w:snapToGrid w:val="0"/>
          <w:sz w:val="24"/>
          <w:lang w:eastAsia="zh-CN"/>
        </w:rPr>
        <w:t>）（</w:t>
      </w:r>
      <w:r>
        <w:rPr>
          <w:rFonts w:ascii="Arial" w:hAnsi="Arial" w:eastAsia="宋体" w:cs="Arial"/>
          <w:i/>
          <w:snapToGrid w:val="0"/>
          <w:sz w:val="24"/>
          <w:lang w:eastAsia="zh-CN"/>
        </w:rPr>
        <w:t>E</w:t>
      </w:r>
      <w:r>
        <w:rPr>
          <w:rFonts w:hint="eastAsia" w:ascii="Arial" w:hAnsi="Arial" w:eastAsia="宋体" w:cs="Arial"/>
          <w:i/>
          <w:snapToGrid w:val="0"/>
          <w:sz w:val="24"/>
          <w:lang w:eastAsia="zh-CN"/>
        </w:rPr>
        <w:t>））。</w:t>
      </w:r>
    </w:p>
    <w:p w14:paraId="0E45EABD">
      <w:pPr>
        <w:pStyle w:val="22"/>
        <w:numPr>
          <w:ilvl w:val="0"/>
          <w:numId w:val="10"/>
        </w:numPr>
        <w:topLinePunct/>
        <w:autoSpaceDE/>
        <w:autoSpaceDN/>
        <w:adjustRightInd w:val="0"/>
        <w:snapToGrid w:val="0"/>
        <w:spacing w:after="224" w:afterLines="75" w:line="288" w:lineRule="auto"/>
        <w:ind w:hanging="393"/>
        <w:jc w:val="both"/>
        <w:rPr>
          <w:rFonts w:ascii="Arial" w:hAnsi="Arial" w:eastAsia="宋体" w:cs="Arial"/>
          <w:i/>
          <w:snapToGrid w:val="0"/>
          <w:sz w:val="24"/>
          <w:lang w:eastAsia="zh-CN"/>
        </w:rPr>
      </w:pPr>
      <w:bookmarkStart w:id="36" w:name="Performance_Testing_–_Clinical"/>
      <w:bookmarkEnd w:id="36"/>
      <w:bookmarkStart w:id="37" w:name="Animal_and_Clinical_Testing"/>
      <w:bookmarkEnd w:id="37"/>
      <w:bookmarkStart w:id="38" w:name="Performance_Testing_–_Animal"/>
      <w:bookmarkEnd w:id="38"/>
      <w:r>
        <w:rPr>
          <w:rFonts w:hint="eastAsia" w:ascii="Arial" w:hAnsi="Arial" w:eastAsia="宋体" w:cs="Arial"/>
          <w:i/>
          <w:snapToGrid w:val="0"/>
          <w:sz w:val="24"/>
          <w:lang w:eastAsia="zh-CN"/>
        </w:rPr>
        <w:t>必须在导管上以印刷警告的方式注明所有因材料不兼容被禁用的消毒剂。或者，也可用贴在患者病历上的标签或直接提供给患者的书面说明注明禁用的消毒剂（</w:t>
      </w:r>
      <w:r>
        <w:rPr>
          <w:rFonts w:ascii="Arial" w:hAnsi="Arial" w:eastAsia="宋体" w:cs="Arial"/>
          <w:i/>
          <w:snapToGrid w:val="0"/>
          <w:sz w:val="24"/>
          <w:lang w:eastAsia="zh-CN"/>
        </w:rPr>
        <w:t>21 CFR 876.5540</w:t>
      </w:r>
      <w:r>
        <w:rPr>
          <w:rFonts w:hint="eastAsia" w:ascii="Arial" w:hAnsi="Arial" w:eastAsia="宋体" w:cs="Arial"/>
          <w:i/>
          <w:snapToGrid w:val="0"/>
          <w:sz w:val="24"/>
          <w:lang w:eastAsia="zh-CN"/>
        </w:rPr>
        <w:t>（</w:t>
      </w:r>
      <w:r>
        <w:rPr>
          <w:rFonts w:ascii="Arial" w:hAnsi="Arial" w:eastAsia="宋体" w:cs="Arial"/>
          <w:i/>
          <w:snapToGrid w:val="0"/>
          <w:sz w:val="24"/>
          <w:lang w:eastAsia="zh-CN"/>
        </w:rPr>
        <w:t>b</w:t>
      </w:r>
      <w:r>
        <w:rPr>
          <w:rFonts w:hint="eastAsia" w:ascii="Arial" w:hAnsi="Arial" w:eastAsia="宋体" w:cs="Arial"/>
          <w:i/>
          <w:snapToGrid w:val="0"/>
          <w:sz w:val="24"/>
          <w:lang w:eastAsia="zh-CN"/>
        </w:rPr>
        <w:t>）（</w:t>
      </w:r>
      <w:r>
        <w:rPr>
          <w:rFonts w:ascii="Arial" w:hAnsi="Arial" w:eastAsia="宋体" w:cs="Arial"/>
          <w:i/>
          <w:snapToGrid w:val="0"/>
          <w:sz w:val="24"/>
          <w:lang w:eastAsia="zh-CN"/>
        </w:rPr>
        <w:t>1</w:t>
      </w:r>
      <w:r>
        <w:rPr>
          <w:rFonts w:hint="eastAsia" w:ascii="Arial" w:hAnsi="Arial" w:eastAsia="宋体" w:cs="Arial"/>
          <w:i/>
          <w:snapToGrid w:val="0"/>
          <w:sz w:val="24"/>
          <w:lang w:eastAsia="zh-CN"/>
        </w:rPr>
        <w:t>）（</w:t>
      </w:r>
      <w:r>
        <w:rPr>
          <w:rFonts w:ascii="Arial" w:hAnsi="Arial" w:eastAsia="宋体" w:cs="Arial"/>
          <w:i/>
          <w:snapToGrid w:val="0"/>
          <w:sz w:val="24"/>
          <w:lang w:eastAsia="zh-CN"/>
        </w:rPr>
        <w:t>v</w:t>
      </w:r>
      <w:r>
        <w:rPr>
          <w:rFonts w:hint="eastAsia" w:ascii="Arial" w:hAnsi="Arial" w:eastAsia="宋体" w:cs="Arial"/>
          <w:i/>
          <w:snapToGrid w:val="0"/>
          <w:sz w:val="24"/>
          <w:lang w:eastAsia="zh-CN"/>
        </w:rPr>
        <w:t>）（</w:t>
      </w:r>
      <w:r>
        <w:rPr>
          <w:rFonts w:ascii="Arial" w:hAnsi="Arial" w:eastAsia="宋体" w:cs="Arial"/>
          <w:i/>
          <w:snapToGrid w:val="0"/>
          <w:sz w:val="24"/>
          <w:lang w:eastAsia="zh-CN"/>
        </w:rPr>
        <w:t>F</w:t>
      </w:r>
      <w:r>
        <w:rPr>
          <w:rFonts w:hint="eastAsia" w:ascii="Arial" w:hAnsi="Arial" w:eastAsia="宋体" w:cs="Arial"/>
          <w:i/>
          <w:snapToGrid w:val="0"/>
          <w:sz w:val="24"/>
          <w:lang w:eastAsia="zh-CN"/>
        </w:rPr>
        <w:t>））。</w:t>
      </w:r>
    </w:p>
    <w:p w14:paraId="4072153A">
      <w:pPr>
        <w:pStyle w:val="22"/>
        <w:numPr>
          <w:ilvl w:val="0"/>
          <w:numId w:val="10"/>
        </w:numPr>
        <w:tabs>
          <w:tab w:val="left" w:pos="960"/>
        </w:tabs>
        <w:topLinePunct/>
        <w:autoSpaceDE/>
        <w:autoSpaceDN/>
        <w:adjustRightInd w:val="0"/>
        <w:snapToGrid w:val="0"/>
        <w:spacing w:after="224" w:afterLines="75" w:line="288" w:lineRule="auto"/>
        <w:ind w:hanging="393"/>
        <w:jc w:val="both"/>
        <w:rPr>
          <w:rFonts w:ascii="Arial" w:hAnsi="Arial" w:eastAsia="宋体" w:cs="Arial"/>
          <w:i/>
          <w:snapToGrid w:val="0"/>
          <w:sz w:val="24"/>
          <w:lang w:eastAsia="zh-CN"/>
        </w:rPr>
      </w:pPr>
      <w:r>
        <w:rPr>
          <w:rFonts w:hint="eastAsia" w:ascii="Arial" w:hAnsi="Arial" w:eastAsia="宋体" w:cs="Arial"/>
          <w:i/>
          <w:snapToGrid w:val="0"/>
          <w:sz w:val="24"/>
          <w:lang w:eastAsia="zh-CN"/>
        </w:rPr>
        <w:t>标签必须包含患者植入卡（</w:t>
      </w:r>
      <w:r>
        <w:rPr>
          <w:rFonts w:ascii="Arial" w:hAnsi="Arial" w:eastAsia="宋体" w:cs="Arial"/>
          <w:i/>
          <w:snapToGrid w:val="0"/>
          <w:sz w:val="24"/>
          <w:lang w:eastAsia="zh-CN"/>
        </w:rPr>
        <w:t>21 CFR 876.5540</w:t>
      </w:r>
      <w:r>
        <w:rPr>
          <w:rFonts w:hint="eastAsia" w:ascii="Arial" w:hAnsi="Arial" w:eastAsia="宋体" w:cs="Arial"/>
          <w:i/>
          <w:snapToGrid w:val="0"/>
          <w:sz w:val="24"/>
          <w:lang w:eastAsia="zh-CN"/>
        </w:rPr>
        <w:t>（</w:t>
      </w:r>
      <w:r>
        <w:rPr>
          <w:rFonts w:ascii="Arial" w:hAnsi="Arial" w:eastAsia="宋体" w:cs="Arial"/>
          <w:i/>
          <w:snapToGrid w:val="0"/>
          <w:sz w:val="24"/>
          <w:lang w:eastAsia="zh-CN"/>
        </w:rPr>
        <w:t>b</w:t>
      </w:r>
      <w:r>
        <w:rPr>
          <w:rFonts w:hint="eastAsia" w:ascii="Arial" w:hAnsi="Arial" w:eastAsia="宋体" w:cs="Arial"/>
          <w:i/>
          <w:snapToGrid w:val="0"/>
          <w:sz w:val="24"/>
          <w:lang w:eastAsia="zh-CN"/>
        </w:rPr>
        <w:t>）（</w:t>
      </w:r>
      <w:r>
        <w:rPr>
          <w:rFonts w:ascii="Arial" w:hAnsi="Arial" w:eastAsia="宋体" w:cs="Arial"/>
          <w:i/>
          <w:snapToGrid w:val="0"/>
          <w:sz w:val="24"/>
          <w:lang w:eastAsia="zh-CN"/>
        </w:rPr>
        <w:t>1</w:t>
      </w:r>
      <w:r>
        <w:rPr>
          <w:rFonts w:hint="eastAsia" w:ascii="Arial" w:hAnsi="Arial" w:eastAsia="宋体" w:cs="Arial"/>
          <w:i/>
          <w:snapToGrid w:val="0"/>
          <w:sz w:val="24"/>
          <w:lang w:eastAsia="zh-CN"/>
        </w:rPr>
        <w:t>）（</w:t>
      </w:r>
      <w:r>
        <w:rPr>
          <w:rFonts w:ascii="Arial" w:hAnsi="Arial" w:eastAsia="宋体" w:cs="Arial"/>
          <w:i/>
          <w:snapToGrid w:val="0"/>
          <w:sz w:val="24"/>
          <w:lang w:eastAsia="zh-CN"/>
        </w:rPr>
        <w:t>v</w:t>
      </w:r>
      <w:r>
        <w:rPr>
          <w:rFonts w:hint="eastAsia" w:ascii="Arial" w:hAnsi="Arial" w:eastAsia="宋体" w:cs="Arial"/>
          <w:i/>
          <w:snapToGrid w:val="0"/>
          <w:sz w:val="24"/>
          <w:lang w:eastAsia="zh-CN"/>
        </w:rPr>
        <w:t>）（</w:t>
      </w:r>
      <w:r>
        <w:rPr>
          <w:rFonts w:ascii="Arial" w:hAnsi="Arial" w:eastAsia="宋体" w:cs="Arial"/>
          <w:i/>
          <w:snapToGrid w:val="0"/>
          <w:sz w:val="24"/>
          <w:lang w:eastAsia="zh-CN"/>
        </w:rPr>
        <w:t>G</w:t>
      </w:r>
      <w:r>
        <w:rPr>
          <w:rFonts w:hint="eastAsia" w:ascii="Arial" w:hAnsi="Arial" w:eastAsia="宋体" w:cs="Arial"/>
          <w:i/>
          <w:snapToGrid w:val="0"/>
          <w:sz w:val="24"/>
          <w:lang w:eastAsia="zh-CN"/>
        </w:rPr>
        <w:t>））。</w:t>
      </w:r>
    </w:p>
    <w:p w14:paraId="386538BD">
      <w:pPr>
        <w:pStyle w:val="7"/>
        <w:topLinePunct/>
        <w:autoSpaceDE/>
        <w:autoSpaceDN/>
        <w:adjustRightInd w:val="0"/>
        <w:snapToGrid w:val="0"/>
        <w:spacing w:after="224" w:afterLines="75" w:line="288" w:lineRule="auto"/>
        <w:ind w:left="959" w:leftChars="436" w:firstLine="6"/>
        <w:jc w:val="both"/>
        <w:rPr>
          <w:rFonts w:ascii="Arial" w:hAnsi="Arial" w:eastAsia="宋体" w:cs="Arial"/>
          <w:snapToGrid w:val="0"/>
          <w:lang w:eastAsia="zh-CN"/>
        </w:rPr>
      </w:pPr>
      <w:r>
        <w:rPr>
          <w:rFonts w:hint="eastAsia" w:ascii="Arial" w:hAnsi="Arial" w:eastAsia="宋体" w:cs="Arial"/>
          <w:snapToGrid w:val="0"/>
          <w:lang w:eastAsia="zh-CN"/>
        </w:rPr>
        <w:t>建议：植入卡应在植入时提供给患者，应包含器械名称与型号（或序列号</w:t>
      </w:r>
      <w:r>
        <w:rPr>
          <w:rFonts w:ascii="Arial" w:hAnsi="Arial" w:eastAsia="宋体" w:cs="Arial"/>
          <w:snapToGrid w:val="0"/>
          <w:lang w:eastAsia="zh-CN"/>
        </w:rPr>
        <w:t>／</w:t>
      </w:r>
      <w:r>
        <w:rPr>
          <w:rFonts w:hint="eastAsia" w:ascii="Arial" w:hAnsi="Arial" w:eastAsia="宋体" w:cs="Arial"/>
          <w:snapToGrid w:val="0"/>
          <w:lang w:eastAsia="zh-CN"/>
        </w:rPr>
        <w:t>适用的独有器械标识符）、公司名称与联系信息、完整使用说明书参照和填写植入医生姓名与联系信息的空白区。可能针对独特情况建议其他信息，例如禁用的消毒剂、MRI兼容性或其他特殊说明。</w:t>
      </w:r>
    </w:p>
    <w:p w14:paraId="04BAD6B9">
      <w:pPr>
        <w:pStyle w:val="22"/>
        <w:numPr>
          <w:ilvl w:val="0"/>
          <w:numId w:val="10"/>
        </w:numPr>
        <w:tabs>
          <w:tab w:val="left" w:pos="960"/>
        </w:tabs>
        <w:topLinePunct/>
        <w:autoSpaceDE/>
        <w:autoSpaceDN/>
        <w:adjustRightInd w:val="0"/>
        <w:snapToGrid w:val="0"/>
        <w:spacing w:after="224" w:afterLines="75" w:line="288" w:lineRule="auto"/>
        <w:ind w:hanging="393"/>
        <w:jc w:val="both"/>
        <w:rPr>
          <w:rFonts w:ascii="Arial" w:hAnsi="Arial" w:eastAsia="宋体" w:cs="Arial"/>
          <w:i/>
          <w:snapToGrid w:val="0"/>
          <w:sz w:val="24"/>
          <w:lang w:eastAsia="zh-CN"/>
        </w:rPr>
      </w:pPr>
      <w:r>
        <w:rPr>
          <w:rFonts w:hint="eastAsia" w:ascii="Arial" w:hAnsi="Arial" w:eastAsia="宋体" w:cs="Arial"/>
          <w:i/>
          <w:snapToGrid w:val="0"/>
          <w:sz w:val="24"/>
          <w:lang w:eastAsia="zh-CN"/>
        </w:rPr>
        <w:t>标识必须包含针对以下内容的详细说明（</w:t>
      </w:r>
      <w:r>
        <w:rPr>
          <w:rFonts w:ascii="Arial" w:hAnsi="Arial" w:eastAsia="宋体" w:cs="Arial"/>
          <w:i/>
          <w:snapToGrid w:val="0"/>
          <w:sz w:val="24"/>
          <w:lang w:eastAsia="zh-CN"/>
        </w:rPr>
        <w:t>21 CFR 876.5540</w:t>
      </w:r>
      <w:r>
        <w:rPr>
          <w:rFonts w:hint="eastAsia" w:ascii="Arial" w:hAnsi="Arial" w:eastAsia="宋体" w:cs="Arial"/>
          <w:i/>
          <w:snapToGrid w:val="0"/>
          <w:sz w:val="24"/>
          <w:lang w:eastAsia="zh-CN"/>
        </w:rPr>
        <w:t>（</w:t>
      </w:r>
      <w:r>
        <w:rPr>
          <w:rFonts w:ascii="Arial" w:hAnsi="Arial" w:eastAsia="宋体" w:cs="Arial"/>
          <w:i/>
          <w:snapToGrid w:val="0"/>
          <w:sz w:val="24"/>
          <w:lang w:eastAsia="zh-CN"/>
        </w:rPr>
        <w:t>b</w:t>
      </w:r>
      <w:r>
        <w:rPr>
          <w:rFonts w:hint="eastAsia" w:ascii="Arial" w:hAnsi="Arial" w:eastAsia="宋体" w:cs="Arial"/>
          <w:i/>
          <w:snapToGrid w:val="0"/>
          <w:sz w:val="24"/>
          <w:lang w:eastAsia="zh-CN"/>
        </w:rPr>
        <w:t>）(</w:t>
      </w:r>
      <w:r>
        <w:rPr>
          <w:rFonts w:ascii="Arial" w:hAnsi="Arial" w:eastAsia="宋体" w:cs="Arial"/>
          <w:i/>
          <w:snapToGrid w:val="0"/>
          <w:sz w:val="24"/>
          <w:lang w:eastAsia="zh-CN"/>
        </w:rPr>
        <w:t xml:space="preserve">1) </w:t>
      </w:r>
      <w:r>
        <w:rPr>
          <w:rFonts w:hint="eastAsia" w:ascii="Arial" w:hAnsi="Arial" w:eastAsia="宋体" w:cs="Arial"/>
          <w:i/>
          <w:snapToGrid w:val="0"/>
          <w:sz w:val="24"/>
          <w:lang w:eastAsia="zh-CN"/>
        </w:rPr>
        <w:t>(</w:t>
      </w:r>
      <w:r>
        <w:rPr>
          <w:rFonts w:ascii="Arial" w:hAnsi="Arial" w:eastAsia="宋体" w:cs="Arial"/>
          <w:i/>
          <w:snapToGrid w:val="0"/>
          <w:sz w:val="24"/>
          <w:lang w:eastAsia="zh-CN"/>
        </w:rPr>
        <w:t xml:space="preserve">v) </w:t>
      </w:r>
      <w:r>
        <w:rPr>
          <w:rFonts w:hint="eastAsia" w:ascii="Arial" w:hAnsi="Arial" w:eastAsia="宋体" w:cs="Arial"/>
          <w:i/>
          <w:snapToGrid w:val="0"/>
          <w:sz w:val="24"/>
          <w:lang w:eastAsia="zh-CN"/>
        </w:rPr>
        <w:t>(</w:t>
      </w:r>
      <w:r>
        <w:rPr>
          <w:rFonts w:ascii="Arial" w:hAnsi="Arial" w:eastAsia="宋体" w:cs="Arial"/>
          <w:i/>
          <w:snapToGrid w:val="0"/>
          <w:sz w:val="24"/>
          <w:lang w:eastAsia="zh-CN"/>
        </w:rPr>
        <w:t>H</w:t>
      </w:r>
      <w:r>
        <w:rPr>
          <w:rFonts w:hint="eastAsia" w:ascii="Arial" w:hAnsi="Arial" w:eastAsia="宋体" w:cs="Arial"/>
          <w:i/>
          <w:snapToGrid w:val="0"/>
          <w:sz w:val="24"/>
          <w:lang w:eastAsia="zh-CN"/>
        </w:rPr>
        <w:t>)（</w:t>
      </w:r>
      <w:r>
        <w:rPr>
          <w:rFonts w:ascii="Arial" w:hAnsi="Arial" w:eastAsia="宋体" w:cs="Arial"/>
          <w:i/>
          <w:snapToGrid w:val="0"/>
          <w:sz w:val="24"/>
          <w:lang w:eastAsia="zh-CN"/>
        </w:rPr>
        <w:t>1-6</w:t>
      </w:r>
      <w:r>
        <w:rPr>
          <w:rFonts w:hint="eastAsia" w:ascii="Arial" w:hAnsi="Arial" w:eastAsia="宋体" w:cs="Arial"/>
          <w:i/>
          <w:snapToGrid w:val="0"/>
          <w:sz w:val="24"/>
          <w:lang w:eastAsia="zh-CN"/>
        </w:rPr>
        <w:t>））：</w:t>
      </w:r>
    </w:p>
    <w:p w14:paraId="795D20B4">
      <w:pPr>
        <w:pStyle w:val="22"/>
        <w:numPr>
          <w:ilvl w:val="1"/>
          <w:numId w:val="10"/>
        </w:numPr>
        <w:tabs>
          <w:tab w:val="left" w:pos="1320"/>
        </w:tabs>
        <w:topLinePunct/>
        <w:autoSpaceDE/>
        <w:autoSpaceDN/>
        <w:adjustRightInd w:val="0"/>
        <w:snapToGrid w:val="0"/>
        <w:spacing w:after="224" w:afterLines="75" w:line="288" w:lineRule="auto"/>
        <w:ind w:left="1328" w:leftChars="435" w:hanging="371"/>
        <w:jc w:val="both"/>
        <w:rPr>
          <w:rFonts w:ascii="Arial" w:hAnsi="Arial" w:eastAsia="宋体" w:cs="Arial"/>
          <w:i/>
          <w:snapToGrid w:val="0"/>
          <w:sz w:val="24"/>
          <w:lang w:eastAsia="zh-CN"/>
        </w:rPr>
      </w:pPr>
      <w:r>
        <w:rPr>
          <w:rFonts w:hint="eastAsia" w:ascii="Arial" w:hAnsi="Arial" w:eastAsia="宋体" w:cs="Arial"/>
          <w:i/>
          <w:snapToGrid w:val="0"/>
          <w:sz w:val="24"/>
          <w:lang w:eastAsia="zh-CN"/>
        </w:rPr>
        <w:t>器械的准备与插入，包括推荐插入部位、插入方法和尖端适当放置部位的参考；</w:t>
      </w:r>
    </w:p>
    <w:p w14:paraId="555FFC10">
      <w:pPr>
        <w:pStyle w:val="22"/>
        <w:numPr>
          <w:ilvl w:val="1"/>
          <w:numId w:val="10"/>
        </w:numPr>
        <w:tabs>
          <w:tab w:val="left" w:pos="1320"/>
        </w:tabs>
        <w:topLinePunct/>
        <w:autoSpaceDE/>
        <w:autoSpaceDN/>
        <w:adjustRightInd w:val="0"/>
        <w:snapToGrid w:val="0"/>
        <w:spacing w:after="224" w:afterLines="75" w:line="288" w:lineRule="auto"/>
        <w:ind w:left="1328" w:leftChars="435" w:hanging="371"/>
        <w:jc w:val="both"/>
        <w:rPr>
          <w:rFonts w:ascii="Arial" w:hAnsi="Arial" w:eastAsia="宋体" w:cs="Arial"/>
          <w:i/>
          <w:snapToGrid w:val="0"/>
          <w:sz w:val="24"/>
          <w:lang w:eastAsia="zh-CN"/>
        </w:rPr>
      </w:pPr>
      <w:r>
        <w:rPr>
          <w:rFonts w:hint="eastAsia" w:ascii="Arial" w:hAnsi="Arial" w:eastAsia="宋体" w:cs="Arial"/>
          <w:i/>
          <w:snapToGrid w:val="0"/>
          <w:sz w:val="24"/>
          <w:lang w:eastAsia="zh-CN"/>
        </w:rPr>
        <w:t>器械与器械出口位的适当护理与维护；</w:t>
      </w:r>
    </w:p>
    <w:p w14:paraId="1D5DBFCF">
      <w:pPr>
        <w:pStyle w:val="22"/>
        <w:numPr>
          <w:ilvl w:val="1"/>
          <w:numId w:val="10"/>
        </w:numPr>
        <w:tabs>
          <w:tab w:val="left" w:pos="1320"/>
        </w:tabs>
        <w:topLinePunct/>
        <w:autoSpaceDE/>
        <w:autoSpaceDN/>
        <w:adjustRightInd w:val="0"/>
        <w:snapToGrid w:val="0"/>
        <w:spacing w:after="224" w:afterLines="75" w:line="288" w:lineRule="auto"/>
        <w:ind w:left="1328" w:leftChars="435" w:hanging="371"/>
        <w:jc w:val="both"/>
        <w:rPr>
          <w:rFonts w:ascii="Arial" w:hAnsi="Arial" w:eastAsia="宋体" w:cs="Arial"/>
          <w:i/>
          <w:snapToGrid w:val="0"/>
          <w:sz w:val="24"/>
          <w:lang w:eastAsia="zh-CN"/>
        </w:rPr>
      </w:pPr>
      <w:r>
        <w:rPr>
          <w:rFonts w:hint="eastAsia" w:ascii="Arial" w:hAnsi="Arial" w:eastAsia="宋体" w:cs="Arial"/>
          <w:i/>
          <w:snapToGrid w:val="0"/>
          <w:sz w:val="24"/>
          <w:lang w:eastAsia="zh-CN"/>
        </w:rPr>
        <w:t>取出器械；</w:t>
      </w:r>
    </w:p>
    <w:p w14:paraId="791F9171">
      <w:pPr>
        <w:pStyle w:val="22"/>
        <w:numPr>
          <w:ilvl w:val="1"/>
          <w:numId w:val="10"/>
        </w:numPr>
        <w:tabs>
          <w:tab w:val="left" w:pos="1320"/>
        </w:tabs>
        <w:topLinePunct/>
        <w:autoSpaceDE/>
        <w:autoSpaceDN/>
        <w:adjustRightInd w:val="0"/>
        <w:snapToGrid w:val="0"/>
        <w:spacing w:after="224" w:afterLines="75" w:line="288" w:lineRule="auto"/>
        <w:ind w:left="1328" w:leftChars="435" w:hanging="371"/>
        <w:jc w:val="both"/>
        <w:rPr>
          <w:rFonts w:ascii="Arial" w:hAnsi="Arial" w:eastAsia="宋体" w:cs="Arial"/>
          <w:i/>
          <w:snapToGrid w:val="0"/>
          <w:sz w:val="24"/>
          <w:lang w:eastAsia="zh-CN"/>
        </w:rPr>
      </w:pPr>
      <w:r>
        <w:rPr>
          <w:rFonts w:hint="eastAsia" w:ascii="Arial" w:hAnsi="Arial" w:eastAsia="宋体" w:cs="Arial"/>
          <w:i/>
          <w:snapToGrid w:val="0"/>
          <w:sz w:val="24"/>
          <w:lang w:eastAsia="zh-CN"/>
        </w:rPr>
        <w:t>抗凝；</w:t>
      </w:r>
    </w:p>
    <w:p w14:paraId="112A54A4">
      <w:pPr>
        <w:pStyle w:val="22"/>
        <w:numPr>
          <w:ilvl w:val="1"/>
          <w:numId w:val="10"/>
        </w:numPr>
        <w:tabs>
          <w:tab w:val="left" w:pos="1320"/>
        </w:tabs>
        <w:topLinePunct/>
        <w:autoSpaceDE/>
        <w:autoSpaceDN/>
        <w:adjustRightInd w:val="0"/>
        <w:snapToGrid w:val="0"/>
        <w:spacing w:after="224" w:afterLines="75" w:line="288" w:lineRule="auto"/>
        <w:ind w:left="1328" w:leftChars="435" w:hanging="371"/>
        <w:jc w:val="both"/>
        <w:rPr>
          <w:rFonts w:ascii="Arial" w:hAnsi="Arial" w:eastAsia="宋体" w:cs="Arial"/>
          <w:i/>
          <w:snapToGrid w:val="0"/>
          <w:sz w:val="24"/>
          <w:lang w:eastAsia="zh-CN"/>
        </w:rPr>
      </w:pPr>
      <w:r>
        <w:rPr>
          <w:rFonts w:hint="eastAsia" w:ascii="Arial" w:hAnsi="Arial" w:eastAsia="宋体" w:cs="Arial"/>
          <w:i/>
          <w:snapToGrid w:val="0"/>
          <w:sz w:val="24"/>
          <w:lang w:eastAsia="zh-CN"/>
        </w:rPr>
        <w:t>梗阻和血栓形成的处理；</w:t>
      </w:r>
    </w:p>
    <w:p w14:paraId="0020EF7B">
      <w:pPr>
        <w:pStyle w:val="22"/>
        <w:numPr>
          <w:ilvl w:val="1"/>
          <w:numId w:val="10"/>
        </w:numPr>
        <w:tabs>
          <w:tab w:val="left" w:pos="1320"/>
        </w:tabs>
        <w:topLinePunct/>
        <w:autoSpaceDE/>
        <w:autoSpaceDN/>
        <w:adjustRightInd w:val="0"/>
        <w:snapToGrid w:val="0"/>
        <w:spacing w:after="224" w:afterLines="75" w:line="288" w:lineRule="auto"/>
        <w:ind w:left="1328" w:leftChars="435" w:hanging="371"/>
        <w:jc w:val="both"/>
        <w:rPr>
          <w:rFonts w:ascii="Arial" w:hAnsi="Arial" w:eastAsia="宋体" w:cs="Arial"/>
          <w:i/>
          <w:snapToGrid w:val="0"/>
          <w:sz w:val="24"/>
          <w:lang w:eastAsia="zh-CN"/>
        </w:rPr>
      </w:pPr>
      <w:r>
        <w:rPr>
          <w:rFonts w:hint="eastAsia" w:ascii="Arial" w:hAnsi="Arial" w:eastAsia="宋体" w:cs="Arial"/>
          <w:i/>
          <w:snapToGrid w:val="0"/>
          <w:sz w:val="24"/>
          <w:lang w:eastAsia="zh-CN"/>
        </w:rPr>
        <w:t>实施置管术、维护和取出器械的临床医生资质评定。</w:t>
      </w:r>
    </w:p>
    <w:p w14:paraId="16E88B61">
      <w:pPr>
        <w:pStyle w:val="4"/>
        <w:numPr>
          <w:ilvl w:val="1"/>
          <w:numId w:val="1"/>
        </w:numPr>
        <w:tabs>
          <w:tab w:val="left" w:pos="1679"/>
          <w:tab w:val="left" w:pos="1680"/>
        </w:tabs>
        <w:topLinePunct/>
        <w:autoSpaceDE/>
        <w:autoSpaceDN/>
        <w:adjustRightInd w:val="0"/>
        <w:snapToGrid w:val="0"/>
        <w:spacing w:after="224" w:afterLines="75" w:line="288" w:lineRule="auto"/>
        <w:ind w:left="719" w:leftChars="327" w:firstLine="0"/>
        <w:jc w:val="both"/>
        <w:rPr>
          <w:rFonts w:ascii="Arial" w:hAnsi="Arial" w:eastAsia="宋体" w:cs="Arial"/>
          <w:snapToGrid w:val="0"/>
          <w:sz w:val="28"/>
        </w:rPr>
      </w:pPr>
      <w:bookmarkStart w:id="39" w:name="_bookmark20"/>
      <w:bookmarkEnd w:id="39"/>
      <w:bookmarkStart w:id="40" w:name="_Toc499129128"/>
      <w:r>
        <w:rPr>
          <w:rFonts w:hint="eastAsia" w:ascii="Arial" w:hAnsi="Arial" w:eastAsia="宋体" w:cs="Arial"/>
          <w:snapToGrid w:val="0"/>
          <w:sz w:val="28"/>
        </w:rPr>
        <w:t>动物与临床试验</w:t>
      </w:r>
      <w:bookmarkEnd w:id="40"/>
    </w:p>
    <w:p w14:paraId="371EA0F4">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r>
        <w:rPr>
          <w:rFonts w:hint="eastAsia" w:ascii="Arial" w:hAnsi="Arial" w:eastAsia="宋体" w:cs="Arial"/>
          <w:snapToGrid w:val="0"/>
          <w:lang w:eastAsia="zh-CN"/>
        </w:rPr>
        <w:t>若与已合法上市的植入式血液通路器械具有类似设计与技术，如第H节（特殊考虑）所述，血液透析用植入式血液通路器械通常不接受动物或临床试验。但若发生适应证变更或显著不同的技术特征，除需要非临床性能试验之外，还可能需要动物或临床试验才能证实实质等同性。</w:t>
      </w:r>
    </w:p>
    <w:p w14:paraId="1660D890">
      <w:pPr>
        <w:pStyle w:val="5"/>
        <w:numPr>
          <w:ilvl w:val="2"/>
          <w:numId w:val="1"/>
        </w:numPr>
        <w:tabs>
          <w:tab w:val="left" w:pos="2399"/>
          <w:tab w:val="left" w:pos="2400"/>
        </w:tabs>
        <w:topLinePunct/>
        <w:autoSpaceDE/>
        <w:autoSpaceDN/>
        <w:adjustRightInd w:val="0"/>
        <w:snapToGrid w:val="0"/>
        <w:spacing w:before="0" w:after="224" w:afterLines="75" w:line="288" w:lineRule="auto"/>
        <w:ind w:left="1701" w:leftChars="773" w:firstLine="0"/>
        <w:jc w:val="both"/>
        <w:rPr>
          <w:rFonts w:ascii="Arial" w:hAnsi="Arial" w:eastAsia="宋体" w:cs="Arial"/>
          <w:snapToGrid w:val="0"/>
          <w:sz w:val="24"/>
        </w:rPr>
      </w:pPr>
      <w:bookmarkStart w:id="41" w:name="_bookmark21"/>
      <w:bookmarkEnd w:id="41"/>
      <w:bookmarkStart w:id="42" w:name="_Toc499129129"/>
      <w:r>
        <w:rPr>
          <w:rFonts w:hint="eastAsia" w:ascii="Arial" w:hAnsi="Arial" w:eastAsia="宋体" w:cs="Arial"/>
          <w:snapToGrid w:val="0"/>
          <w:sz w:val="24"/>
          <w:lang w:eastAsia="zh-CN"/>
        </w:rPr>
        <w:t>性能试验</w:t>
      </w:r>
      <w:r>
        <w:rPr>
          <w:rFonts w:ascii="Arial" w:hAnsi="Arial" w:eastAsia="宋体" w:cs="Arial"/>
          <w:snapToGrid w:val="0"/>
          <w:sz w:val="24"/>
        </w:rPr>
        <w:t>–</w:t>
      </w:r>
      <w:r>
        <w:rPr>
          <w:rFonts w:hint="eastAsia" w:ascii="Arial" w:hAnsi="Arial" w:eastAsia="宋体" w:cs="Arial"/>
          <w:snapToGrid w:val="0"/>
          <w:sz w:val="24"/>
          <w:lang w:eastAsia="zh-CN"/>
        </w:rPr>
        <w:t>动物</w:t>
      </w:r>
      <w:bookmarkEnd w:id="42"/>
    </w:p>
    <w:p w14:paraId="71A2B30C">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r>
        <w:rPr>
          <w:rFonts w:hint="eastAsia" w:ascii="Arial" w:hAnsi="Arial" w:eastAsia="宋体" w:cs="Arial"/>
          <w:snapToGrid w:val="0"/>
          <w:lang w:eastAsia="zh-CN"/>
        </w:rPr>
        <w:t>动物试验可用于支持实质等同性。用于动物试验的部分领域是为了证实抗血栓性或检验充分血流。这类检验必须遵循21 CFR</w:t>
      </w:r>
      <w:r>
        <w:rPr>
          <w:rFonts w:ascii="Arial" w:hAnsi="Arial" w:eastAsia="宋体" w:cs="Arial"/>
          <w:snapToGrid w:val="0"/>
          <w:lang w:eastAsia="zh-CN"/>
        </w:rPr>
        <w:t xml:space="preserve"> 58</w:t>
      </w:r>
      <w:r>
        <w:rPr>
          <w:rFonts w:hint="eastAsia" w:ascii="Arial" w:hAnsi="Arial" w:eastAsia="宋体" w:cs="Arial"/>
          <w:snapToGrid w:val="0"/>
          <w:lang w:eastAsia="zh-CN"/>
        </w:rPr>
        <w:t>部分，该部分描述了非临床研究的</w:t>
      </w:r>
      <w:r>
        <w:rPr>
          <w:rFonts w:hint="eastAsia" w:ascii="Arial" w:hAnsi="Arial" w:eastAsia="宋体" w:cs="Arial"/>
          <w:snapToGrid w:val="0"/>
          <w:highlight w:val="yellow"/>
          <w:lang w:eastAsia="zh-CN"/>
        </w:rPr>
        <w:t>实验室质量管理规范</w:t>
      </w:r>
      <w:r>
        <w:rPr>
          <w:rFonts w:hint="eastAsia" w:ascii="Arial" w:hAnsi="Arial" w:eastAsia="宋体" w:cs="Arial"/>
          <w:snapToGrid w:val="0"/>
          <w:lang w:eastAsia="zh-CN"/>
        </w:rPr>
        <w:t>。</w:t>
      </w:r>
    </w:p>
    <w:p w14:paraId="5CD9A89A">
      <w:pPr>
        <w:pStyle w:val="5"/>
        <w:numPr>
          <w:ilvl w:val="2"/>
          <w:numId w:val="1"/>
        </w:numPr>
        <w:tabs>
          <w:tab w:val="left" w:pos="2399"/>
          <w:tab w:val="left" w:pos="2400"/>
        </w:tabs>
        <w:topLinePunct/>
        <w:autoSpaceDE/>
        <w:autoSpaceDN/>
        <w:adjustRightInd w:val="0"/>
        <w:snapToGrid w:val="0"/>
        <w:spacing w:before="0" w:after="224" w:afterLines="75" w:line="288" w:lineRule="auto"/>
        <w:ind w:left="1701" w:leftChars="773" w:firstLine="0"/>
        <w:jc w:val="both"/>
        <w:rPr>
          <w:rFonts w:ascii="Arial" w:hAnsi="Arial" w:eastAsia="宋体" w:cs="Arial"/>
          <w:snapToGrid w:val="0"/>
          <w:sz w:val="24"/>
        </w:rPr>
      </w:pPr>
      <w:bookmarkStart w:id="43" w:name="_bookmark22"/>
      <w:bookmarkEnd w:id="43"/>
      <w:bookmarkStart w:id="44" w:name="_Toc499129130"/>
      <w:r>
        <w:rPr>
          <w:rFonts w:hint="eastAsia" w:ascii="Arial" w:hAnsi="Arial" w:eastAsia="宋体" w:cs="Arial"/>
          <w:snapToGrid w:val="0"/>
          <w:sz w:val="24"/>
          <w:lang w:eastAsia="zh-CN"/>
        </w:rPr>
        <w:t>性能试验</w:t>
      </w:r>
      <w:r>
        <w:rPr>
          <w:rFonts w:ascii="Arial" w:hAnsi="Arial" w:eastAsia="宋体" w:cs="Arial"/>
          <w:snapToGrid w:val="0"/>
          <w:sz w:val="24"/>
        </w:rPr>
        <w:t>–</w:t>
      </w:r>
      <w:r>
        <w:rPr>
          <w:rFonts w:hint="eastAsia" w:ascii="Arial" w:hAnsi="Arial" w:eastAsia="宋体" w:cs="Arial"/>
          <w:snapToGrid w:val="0"/>
          <w:sz w:val="24"/>
          <w:lang w:eastAsia="zh-CN"/>
        </w:rPr>
        <w:t>临床</w:t>
      </w:r>
      <w:bookmarkEnd w:id="44"/>
    </w:p>
    <w:p w14:paraId="5DF05229">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r>
        <w:rPr>
          <w:rFonts w:hint="eastAsia" w:ascii="Arial" w:hAnsi="Arial" w:eastAsia="宋体" w:cs="Arial"/>
          <w:snapToGrid w:val="0"/>
          <w:lang w:eastAsia="zh-CN"/>
        </w:rPr>
        <w:t>除H节</w:t>
      </w:r>
      <w:r>
        <w:rPr>
          <w:rFonts w:hint="eastAsia" w:ascii="宋体" w:hAnsi="宋体" w:eastAsia="宋体" w:cs="Arial"/>
          <w:snapToGrid w:val="0"/>
          <w:lang w:eastAsia="zh-CN"/>
        </w:rPr>
        <w:t>“</w:t>
      </w:r>
      <w:r>
        <w:rPr>
          <w:rFonts w:hint="eastAsia" w:ascii="Arial" w:hAnsi="Arial" w:eastAsia="宋体" w:cs="Arial"/>
          <w:snapToGrid w:val="0"/>
          <w:lang w:eastAsia="zh-CN"/>
        </w:rPr>
        <w:t>特殊考虑</w:t>
      </w:r>
      <w:r>
        <w:rPr>
          <w:rFonts w:hint="eastAsia" w:ascii="宋体" w:hAnsi="宋体" w:eastAsia="宋体" w:cs="Arial"/>
          <w:snapToGrid w:val="0"/>
          <w:lang w:eastAsia="zh-CN"/>
        </w:rPr>
        <w:t>”</w:t>
      </w:r>
      <w:r>
        <w:rPr>
          <w:rFonts w:hint="eastAsia" w:ascii="Arial" w:hAnsi="Arial" w:eastAsia="宋体" w:cs="Arial"/>
          <w:snapToGrid w:val="0"/>
          <w:lang w:eastAsia="zh-CN"/>
        </w:rPr>
        <w:t>中所述，血液透析用植入式血液通路器械一般不需要临床证据；但在特殊情况下可能需要这种检验，例如：</w:t>
      </w:r>
    </w:p>
    <w:p w14:paraId="4E51D3C3">
      <w:pPr>
        <w:pStyle w:val="22"/>
        <w:numPr>
          <w:ilvl w:val="0"/>
          <w:numId w:val="11"/>
        </w:numPr>
        <w:topLinePunct/>
        <w:autoSpaceDE/>
        <w:autoSpaceDN/>
        <w:adjustRightInd w:val="0"/>
        <w:snapToGrid w:val="0"/>
        <w:spacing w:after="224" w:afterLines="75" w:line="288" w:lineRule="auto"/>
        <w:ind w:left="1188" w:leftChars="326" w:hanging="471"/>
        <w:jc w:val="both"/>
        <w:rPr>
          <w:rFonts w:ascii="Arial" w:hAnsi="Arial" w:eastAsia="宋体" w:cs="Arial"/>
          <w:snapToGrid w:val="0"/>
          <w:sz w:val="24"/>
          <w:lang w:eastAsia="zh-CN"/>
        </w:rPr>
      </w:pPr>
      <w:bookmarkStart w:id="45" w:name="Special_Considerations"/>
      <w:bookmarkEnd w:id="45"/>
      <w:bookmarkStart w:id="46" w:name="Subcutaneous_Catheters"/>
      <w:bookmarkEnd w:id="46"/>
      <w:r>
        <w:rPr>
          <w:rFonts w:hint="eastAsia" w:ascii="Arial" w:hAnsi="Arial" w:eastAsia="宋体" w:cs="Arial"/>
          <w:snapToGrid w:val="0"/>
          <w:sz w:val="24"/>
          <w:lang w:eastAsia="zh-CN"/>
        </w:rPr>
        <w:t>使用适应证与合法上市同类型器械不同；</w:t>
      </w:r>
    </w:p>
    <w:p w14:paraId="049591CA">
      <w:pPr>
        <w:pStyle w:val="22"/>
        <w:numPr>
          <w:ilvl w:val="0"/>
          <w:numId w:val="11"/>
        </w:numPr>
        <w:topLinePunct/>
        <w:autoSpaceDE/>
        <w:autoSpaceDN/>
        <w:adjustRightInd w:val="0"/>
        <w:snapToGrid w:val="0"/>
        <w:spacing w:after="224" w:afterLines="75" w:line="288" w:lineRule="auto"/>
        <w:ind w:left="1188" w:leftChars="326" w:hanging="471"/>
        <w:jc w:val="both"/>
        <w:rPr>
          <w:rFonts w:ascii="Arial" w:hAnsi="Arial" w:eastAsia="宋体" w:cs="Arial"/>
          <w:snapToGrid w:val="0"/>
          <w:sz w:val="24"/>
          <w:lang w:eastAsia="zh-CN"/>
        </w:rPr>
      </w:pPr>
      <w:r>
        <w:rPr>
          <w:rFonts w:hint="eastAsia" w:ascii="Arial" w:hAnsi="Arial" w:eastAsia="宋体" w:cs="Arial"/>
          <w:snapToGrid w:val="0"/>
          <w:sz w:val="24"/>
          <w:lang w:eastAsia="zh-CN"/>
        </w:rPr>
        <w:t>技术不同，即技术与合法上市同类型器械所用技术不同，但未引起不同安全性或有效性问题；或者</w:t>
      </w:r>
    </w:p>
    <w:p w14:paraId="5BFC6919">
      <w:pPr>
        <w:pStyle w:val="22"/>
        <w:numPr>
          <w:ilvl w:val="0"/>
          <w:numId w:val="11"/>
        </w:numPr>
        <w:topLinePunct/>
        <w:autoSpaceDE/>
        <w:autoSpaceDN/>
        <w:adjustRightInd w:val="0"/>
        <w:snapToGrid w:val="0"/>
        <w:spacing w:after="224" w:afterLines="75" w:line="288" w:lineRule="auto"/>
        <w:ind w:left="1188" w:leftChars="326" w:hanging="471"/>
        <w:jc w:val="both"/>
        <w:rPr>
          <w:rFonts w:ascii="Arial" w:hAnsi="Arial" w:eastAsia="宋体" w:cs="Arial"/>
          <w:snapToGrid w:val="0"/>
          <w:sz w:val="24"/>
          <w:lang w:eastAsia="zh-CN"/>
        </w:rPr>
      </w:pPr>
      <w:r>
        <w:rPr>
          <w:rFonts w:hint="eastAsia" w:ascii="Arial" w:hAnsi="Arial" w:eastAsia="宋体" w:cs="Arial"/>
          <w:snapToGrid w:val="0"/>
          <w:sz w:val="24"/>
          <w:lang w:eastAsia="zh-CN"/>
        </w:rPr>
        <w:t>工程学和／或动物试验提出需要临床证据进一步评价的问题时。</w:t>
      </w:r>
    </w:p>
    <w:p w14:paraId="09B47A3A">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r>
        <w:rPr>
          <w:rFonts w:hint="eastAsia" w:ascii="Arial" w:hAnsi="Arial" w:eastAsia="宋体" w:cs="Arial"/>
          <w:snapToGrid w:val="0"/>
          <w:lang w:eastAsia="zh-CN"/>
        </w:rPr>
        <w:t>当申报替代产品具有适当科学原理支持时，</w:t>
      </w:r>
      <w:r>
        <w:rPr>
          <w:rFonts w:ascii="Arial" w:hAnsi="Arial" w:eastAsia="宋体" w:cs="Arial"/>
          <w:snapToGrid w:val="0"/>
          <w:lang w:eastAsia="zh-CN"/>
        </w:rPr>
        <w:t>FDA</w:t>
      </w:r>
      <w:r>
        <w:rPr>
          <w:rFonts w:hint="eastAsia" w:ascii="Arial" w:hAnsi="Arial" w:eastAsia="宋体" w:cs="Arial"/>
          <w:snapToGrid w:val="0"/>
          <w:lang w:eastAsia="zh-CN"/>
        </w:rPr>
        <w:t>将考虑临床检验的替代方式。</w:t>
      </w:r>
    </w:p>
    <w:p w14:paraId="6377F676">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r>
        <w:rPr>
          <w:rFonts w:hint="eastAsia" w:ascii="Arial" w:hAnsi="Arial" w:eastAsia="宋体" w:cs="Arial"/>
          <w:snapToGrid w:val="0"/>
          <w:lang w:eastAsia="zh-CN"/>
        </w:rPr>
        <w:t>标签上关于体内器械性能的任何声明应具有适当台架检验以及动物和／或临床检验支持。</w:t>
      </w:r>
    </w:p>
    <w:p w14:paraId="0EC13145">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r>
        <w:rPr>
          <w:rFonts w:hint="eastAsia" w:ascii="Arial" w:hAnsi="Arial" w:eastAsia="宋体" w:cs="Arial"/>
          <w:snapToGrid w:val="0"/>
          <w:lang w:eastAsia="zh-CN"/>
        </w:rPr>
        <w:t>FDA认为按照</w:t>
      </w:r>
      <w:r>
        <w:rPr>
          <w:rFonts w:ascii="Arial" w:hAnsi="Arial" w:eastAsia="宋体" w:cs="Arial"/>
          <w:snapToGrid w:val="0"/>
          <w:lang w:eastAsia="zh-CN"/>
        </w:rPr>
        <w:t>21 CFR 812.3 (m</w:t>
      </w:r>
      <w:r>
        <w:rPr>
          <w:rFonts w:hint="eastAsia" w:ascii="Arial" w:hAnsi="Arial" w:eastAsia="宋体" w:cs="Arial"/>
          <w:snapToGrid w:val="0"/>
          <w:lang w:eastAsia="zh-CN"/>
        </w:rPr>
        <w:t>)（</w:t>
      </w:r>
      <w:r>
        <w:rPr>
          <w:rFonts w:ascii="Arial" w:hAnsi="Arial" w:eastAsia="宋体" w:cs="Arial"/>
          <w:snapToGrid w:val="0"/>
          <w:lang w:eastAsia="zh-CN"/>
        </w:rPr>
        <w:t>4</w:t>
      </w:r>
      <w:r>
        <w:rPr>
          <w:rFonts w:hint="eastAsia" w:ascii="Arial" w:hAnsi="Arial" w:eastAsia="宋体" w:cs="Arial"/>
          <w:snapToGrid w:val="0"/>
          <w:lang w:eastAsia="zh-CN"/>
        </w:rPr>
        <w:t>）中定义，本指导性文件中针对的血液透析用植入式血液通路器械被视为具有显著风险。因此若需要前瞻性临床研究证实实质等同性，在美国实施时，该研究必须获得FDA批准，且必须遵循研究性器械豁免（IDE）法规21 CFR</w:t>
      </w:r>
      <w:r>
        <w:rPr>
          <w:rFonts w:ascii="Arial" w:hAnsi="Arial" w:eastAsia="宋体" w:cs="Arial"/>
          <w:snapToGrid w:val="0"/>
          <w:lang w:eastAsia="zh-CN"/>
        </w:rPr>
        <w:t xml:space="preserve"> 812</w:t>
      </w:r>
      <w:r>
        <w:rPr>
          <w:rFonts w:hint="eastAsia" w:ascii="Arial" w:hAnsi="Arial" w:eastAsia="宋体" w:cs="Arial"/>
          <w:snapToGrid w:val="0"/>
          <w:lang w:eastAsia="zh-CN"/>
        </w:rPr>
        <w:t>部分。除</w:t>
      </w:r>
      <w:r>
        <w:rPr>
          <w:rFonts w:ascii="Arial" w:hAnsi="Arial" w:eastAsia="宋体" w:cs="Arial"/>
          <w:snapToGrid w:val="0"/>
          <w:lang w:eastAsia="zh-CN"/>
        </w:rPr>
        <w:t>21 CFR 812</w:t>
      </w:r>
      <w:r>
        <w:rPr>
          <w:rFonts w:hint="eastAsia" w:ascii="Arial" w:hAnsi="Arial" w:eastAsia="宋体" w:cs="Arial"/>
          <w:snapToGrid w:val="0"/>
          <w:lang w:eastAsia="zh-CN"/>
        </w:rPr>
        <w:t>的要求外，这类研究的申办方必须遵守关于机构审查委员会（</w:t>
      </w:r>
      <w:r>
        <w:rPr>
          <w:rFonts w:ascii="Arial" w:hAnsi="Arial" w:eastAsia="宋体" w:cs="Arial"/>
          <w:snapToGrid w:val="0"/>
          <w:lang w:eastAsia="zh-CN"/>
        </w:rPr>
        <w:t>21 CFR 56</w:t>
      </w:r>
      <w:r>
        <w:rPr>
          <w:rFonts w:hint="eastAsia" w:ascii="Arial" w:hAnsi="Arial" w:eastAsia="宋体" w:cs="Arial"/>
          <w:snapToGrid w:val="0"/>
          <w:lang w:eastAsia="zh-CN"/>
        </w:rPr>
        <w:t>部分）和知情同意（</w:t>
      </w:r>
      <w:r>
        <w:rPr>
          <w:rFonts w:ascii="Arial" w:hAnsi="Arial" w:eastAsia="宋体" w:cs="Arial"/>
          <w:snapToGrid w:val="0"/>
          <w:lang w:eastAsia="zh-CN"/>
        </w:rPr>
        <w:t>21 CFR 50</w:t>
      </w:r>
      <w:r>
        <w:rPr>
          <w:rFonts w:hint="eastAsia" w:ascii="Arial" w:hAnsi="Arial" w:eastAsia="宋体" w:cs="Arial"/>
          <w:snapToGrid w:val="0"/>
          <w:lang w:eastAsia="zh-CN"/>
        </w:rPr>
        <w:t>部分）的法规。此外，FD</w:t>
      </w:r>
      <w:r>
        <w:rPr>
          <w:rFonts w:ascii="Arial" w:hAnsi="Arial" w:eastAsia="宋体" w:cs="Arial"/>
          <w:snapToGrid w:val="0"/>
          <w:lang w:eastAsia="zh-CN"/>
        </w:rPr>
        <w:t>A</w:t>
      </w:r>
      <w:r>
        <w:rPr>
          <w:rFonts w:hint="eastAsia" w:ascii="Arial" w:hAnsi="Arial" w:eastAsia="宋体" w:cs="Arial"/>
          <w:snapToGrid w:val="0"/>
          <w:lang w:eastAsia="zh-CN"/>
        </w:rPr>
        <w:t>的</w:t>
      </w:r>
      <w:r>
        <w:rPr>
          <w:rFonts w:hint="eastAsia" w:ascii="宋体" w:hAnsi="宋体" w:eastAsia="宋体" w:cs="Arial"/>
          <w:snapToGrid w:val="0"/>
          <w:lang w:eastAsia="zh-CN"/>
        </w:rPr>
        <w:t>“关于</w:t>
      </w:r>
      <w:r>
        <w:rPr>
          <w:rFonts w:hint="eastAsia" w:ascii="Arial" w:hAnsi="Arial" w:eastAsia="宋体" w:cs="Arial"/>
          <w:snapToGrid w:val="0"/>
          <w:lang w:eastAsia="zh-CN"/>
        </w:rPr>
        <w:t>临床研究者对临床研究者、行业及</w:t>
      </w:r>
      <w:r>
        <w:rPr>
          <w:rFonts w:ascii="Arial" w:hAnsi="Arial" w:eastAsia="宋体" w:cs="Arial"/>
          <w:snapToGrid w:val="0"/>
          <w:lang w:eastAsia="zh-CN"/>
        </w:rPr>
        <w:t>FDA</w:t>
      </w:r>
      <w:r>
        <w:rPr>
          <w:rFonts w:hint="eastAsia" w:ascii="Arial" w:hAnsi="Arial" w:eastAsia="宋体" w:cs="Arial"/>
          <w:snapToGrid w:val="0"/>
          <w:lang w:eastAsia="zh-CN"/>
        </w:rPr>
        <w:t>工作人员财务披露的指南</w:t>
      </w:r>
      <w:r>
        <w:rPr>
          <w:rFonts w:hint="eastAsia" w:ascii="宋体" w:hAnsi="宋体" w:eastAsia="宋体" w:cs="Arial"/>
          <w:snapToGrid w:val="0"/>
          <w:lang w:eastAsia="zh-CN"/>
        </w:rPr>
        <w:t>”</w:t>
      </w:r>
      <w:r>
        <w:rPr>
          <w:rFonts w:hint="eastAsia" w:ascii="Arial" w:hAnsi="Arial" w:eastAsia="宋体" w:cs="Arial"/>
          <w:snapToGrid w:val="0"/>
          <w:lang w:eastAsia="zh-CN"/>
        </w:rPr>
        <w:t>（</w:t>
      </w:r>
      <w:r>
        <w:fldChar w:fldCharType="begin"/>
      </w:r>
      <w:r>
        <w:instrText xml:space="preserve"> HYPERLINK </w:instrText>
      </w:r>
      <w:r>
        <w:fldChar w:fldCharType="separate"/>
      </w:r>
      <w:r>
        <w:rPr>
          <w:rStyle w:val="19"/>
          <w:rFonts w:ascii="Arial" w:hAnsi="Arial" w:eastAsia="宋体" w:cs="Arial"/>
          <w:snapToGrid w:val="0"/>
          <w:u w:color="0000FF"/>
          <w:lang w:eastAsia="zh-CN"/>
        </w:rPr>
        <w:t>http</w:t>
      </w:r>
      <w:r>
        <w:rPr>
          <w:rStyle w:val="19"/>
          <w:rFonts w:hint="eastAsia" w:ascii="Arial" w:hAnsi="Arial" w:eastAsia="宋体" w:cs="Arial"/>
          <w:snapToGrid w:val="0"/>
          <w:u w:color="0000FF"/>
          <w:lang w:eastAsia="zh-CN"/>
        </w:rPr>
        <w:t>://</w:t>
      </w:r>
      <w:r>
        <w:rPr>
          <w:rStyle w:val="19"/>
          <w:rFonts w:ascii="Arial" w:hAnsi="Arial" w:eastAsia="宋体" w:cs="Arial"/>
          <w:snapToGrid w:val="0"/>
          <w:u w:color="0000FF"/>
          <w:lang w:eastAsia="zh-CN"/>
        </w:rPr>
        <w:t>www.fda.</w:t>
      </w:r>
      <w:r>
        <w:rPr>
          <w:rStyle w:val="19"/>
          <w:rFonts w:hint="eastAsia" w:ascii="Arial" w:hAnsi="Arial" w:eastAsia="宋体" w:cs="Arial"/>
          <w:snapToGrid w:val="0"/>
          <w:u w:color="0000FF"/>
          <w:lang w:eastAsia="zh-CN"/>
        </w:rPr>
        <w:t xml:space="preserve"> </w:t>
      </w:r>
      <w:r>
        <w:rPr>
          <w:rStyle w:val="19"/>
          <w:rFonts w:ascii="Arial" w:hAnsi="Arial" w:eastAsia="宋体" w:cs="Arial"/>
          <w:snapToGrid w:val="0"/>
          <w:u w:color="0000FF"/>
          <w:lang w:eastAsia="zh-CN"/>
        </w:rPr>
        <w:t>gov/downloads/RegulatoryInformation/Guidances/UCM341008.pdf</w:t>
      </w:r>
      <w:r>
        <w:rPr>
          <w:rStyle w:val="19"/>
          <w:rFonts w:hint="eastAsia" w:ascii="Arial" w:hAnsi="Arial" w:eastAsia="宋体" w:cs="Arial"/>
          <w:snapToGrid w:val="0"/>
          <w:lang w:eastAsia="zh-CN"/>
        </w:rPr>
        <w:t>）</w:t>
      </w:r>
      <w:r>
        <w:rPr>
          <w:rStyle w:val="19"/>
          <w:rFonts w:hint="eastAsia" w:ascii="Arial" w:hAnsi="Arial" w:eastAsia="宋体" w:cs="Arial"/>
          <w:snapToGrid w:val="0"/>
          <w:lang w:eastAsia="zh-CN"/>
        </w:rPr>
        <w:fldChar w:fldCharType="end"/>
      </w:r>
      <w:r>
        <w:rPr>
          <w:rFonts w:hint="eastAsia" w:ascii="Arial" w:hAnsi="Arial" w:eastAsia="宋体" w:cs="Arial"/>
          <w:snapToGrid w:val="0"/>
          <w:lang w:eastAsia="zh-CN"/>
        </w:rPr>
        <w:t>提供了建议，帮助临床研究者和申办方解释并遵守关于管理临床研究者做出的财务披露的法规（21 CFR</w:t>
      </w:r>
      <w:r>
        <w:rPr>
          <w:rFonts w:ascii="Arial" w:hAnsi="Arial" w:eastAsia="宋体" w:cs="Arial"/>
          <w:snapToGrid w:val="0"/>
          <w:lang w:eastAsia="zh-CN"/>
        </w:rPr>
        <w:t xml:space="preserve"> 54</w:t>
      </w:r>
      <w:r>
        <w:rPr>
          <w:rFonts w:hint="eastAsia" w:ascii="Arial" w:hAnsi="Arial" w:eastAsia="宋体" w:cs="Arial"/>
          <w:snapToGrid w:val="0"/>
          <w:lang w:eastAsia="zh-CN"/>
        </w:rPr>
        <w:t>部分）。</w:t>
      </w:r>
    </w:p>
    <w:p w14:paraId="2D6E1BA4">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r>
        <w:rPr>
          <w:rFonts w:hint="eastAsia" w:ascii="Arial" w:hAnsi="Arial" w:eastAsia="宋体" w:cs="Arial"/>
          <w:snapToGrid w:val="0"/>
          <w:lang w:eastAsia="zh-CN"/>
        </w:rPr>
        <w:t>植入式血液通路器械的临床研究应包含解决申报器械安全性和有效性问题的终点，以支持其与指定器械的实质等同性。有效性终点应重点关注器械长期正常工作的能力，如180天。安全性应重点关注评价植入式血液通路器械预期可能具有的不良事件。FDA鼓励提交IDE申请之前利用机会寻求针对前瞻性IDE临床研究的建议。FDA指南</w:t>
      </w:r>
      <w:r>
        <w:rPr>
          <w:rFonts w:hint="eastAsia" w:ascii="宋体" w:hAnsi="宋体" w:eastAsia="宋体" w:cs="Arial"/>
          <w:snapToGrid w:val="0"/>
          <w:lang w:eastAsia="zh-CN"/>
        </w:rPr>
        <w:t>“</w:t>
      </w:r>
      <w:r>
        <w:rPr>
          <w:rFonts w:hint="eastAsia" w:ascii="Arial" w:hAnsi="Arial" w:eastAsia="宋体" w:cs="Arial"/>
          <w:snapToGrid w:val="0"/>
          <w:lang w:eastAsia="zh-CN"/>
        </w:rPr>
        <w:t>医疗器械申报反馈要求：预申报项目和与食品药物监督管理局工作人员的会议</w:t>
      </w:r>
      <w:r>
        <w:rPr>
          <w:rFonts w:hint="eastAsia" w:ascii="宋体" w:hAnsi="宋体" w:eastAsia="宋体" w:cs="Arial"/>
          <w:snapToGrid w:val="0"/>
          <w:lang w:eastAsia="zh-CN"/>
        </w:rPr>
        <w:t>”</w:t>
      </w:r>
      <w:r>
        <w:rPr>
          <w:rFonts w:hint="eastAsia" w:ascii="Arial" w:hAnsi="Arial" w:eastAsia="宋体" w:cs="Arial"/>
          <w:snapToGrid w:val="0"/>
          <w:lang w:eastAsia="zh-CN"/>
        </w:rPr>
        <w:t>（</w:t>
      </w:r>
      <w:r>
        <w:fldChar w:fldCharType="begin"/>
      </w:r>
      <w:r>
        <w:instrText xml:space="preserve"> HYPERLINK </w:instrText>
      </w:r>
      <w:r>
        <w:fldChar w:fldCharType="separate"/>
      </w:r>
      <w:r>
        <w:rPr>
          <w:rStyle w:val="19"/>
          <w:rFonts w:ascii="Arial" w:hAnsi="Arial" w:eastAsia="宋体" w:cs="Arial"/>
          <w:snapToGrid w:val="0"/>
          <w:u w:color="0000FF"/>
          <w:lang w:eastAsia="zh-CN"/>
        </w:rPr>
        <w:t>http</w:t>
      </w:r>
      <w:r>
        <w:rPr>
          <w:rStyle w:val="19"/>
          <w:rFonts w:hint="eastAsia" w:ascii="Arial" w:hAnsi="Arial" w:eastAsia="宋体" w:cs="Arial"/>
          <w:snapToGrid w:val="0"/>
          <w:u w:color="0000FF"/>
          <w:lang w:eastAsia="zh-CN"/>
        </w:rPr>
        <w:t>://</w:t>
      </w:r>
      <w:r>
        <w:rPr>
          <w:rStyle w:val="19"/>
          <w:rFonts w:ascii="Arial" w:hAnsi="Arial" w:eastAsia="宋体" w:cs="Arial"/>
          <w:snapToGrid w:val="0"/>
          <w:u w:color="0000FF"/>
          <w:lang w:eastAsia="zh-CN"/>
        </w:rPr>
        <w:t>www.fda.</w:t>
      </w:r>
      <w:r>
        <w:rPr>
          <w:rStyle w:val="19"/>
          <w:rFonts w:hint="eastAsia" w:ascii="Arial" w:hAnsi="Arial" w:eastAsia="宋体" w:cs="Arial"/>
          <w:snapToGrid w:val="0"/>
          <w:u w:color="0000FF"/>
          <w:lang w:eastAsia="zh-CN"/>
        </w:rPr>
        <w:t xml:space="preserve"> </w:t>
      </w:r>
      <w:r>
        <w:rPr>
          <w:rStyle w:val="19"/>
          <w:rFonts w:ascii="Arial" w:hAnsi="Arial" w:eastAsia="宋体" w:cs="Arial"/>
          <w:snapToGrid w:val="0"/>
          <w:u w:color="0000FF"/>
          <w:lang w:eastAsia="zh-CN"/>
        </w:rPr>
        <w:t>gov/downloads/medicaldevices/deviceregulationandguidance/guidancedocume</w:t>
      </w:r>
      <w:r>
        <w:rPr>
          <w:rStyle w:val="19"/>
          <w:rFonts w:ascii="Arial" w:hAnsi="Arial" w:eastAsia="宋体" w:cs="Arial"/>
          <w:snapToGrid w:val="0"/>
          <w:u w:color="0000FF"/>
          <w:lang w:eastAsia="zh-CN"/>
        </w:rPr>
        <w:fldChar w:fldCharType="end"/>
      </w:r>
      <w:r>
        <w:rPr>
          <w:rFonts w:ascii="Arial" w:hAnsi="Arial" w:eastAsia="宋体" w:cs="Arial"/>
          <w:snapToGrid w:val="0"/>
          <w:color w:val="0000FF"/>
          <w:u w:val="single" w:color="0000FF"/>
          <w:lang w:eastAsia="zh-CN"/>
        </w:rPr>
        <w:t>n</w:t>
      </w:r>
      <w:r>
        <w:rPr>
          <w:rFonts w:ascii="Arial" w:hAnsi="Arial" w:eastAsia="宋体" w:cs="Arial"/>
          <w:snapToGrid w:val="0"/>
          <w:color w:val="0000FF"/>
          <w:lang w:eastAsia="zh-CN"/>
        </w:rPr>
        <w:t xml:space="preserve"> </w:t>
      </w:r>
      <w:r>
        <w:fldChar w:fldCharType="begin"/>
      </w:r>
      <w:r>
        <w:instrText xml:space="preserve"> HYPERLINK "http://www.fda.gov/downloads/medicaldevices/deviceregulationandguidance/guidancedocuments/ucm311176.pdf" \h </w:instrText>
      </w:r>
      <w:r>
        <w:fldChar w:fldCharType="separate"/>
      </w:r>
      <w:r>
        <w:rPr>
          <w:rFonts w:ascii="Arial" w:hAnsi="Arial" w:eastAsia="宋体" w:cs="Arial"/>
          <w:snapToGrid w:val="0"/>
          <w:color w:val="0000FF"/>
          <w:u w:val="single" w:color="0000FF"/>
          <w:lang w:eastAsia="zh-CN"/>
        </w:rPr>
        <w:t>ts/ucm311176.pdf</w:t>
      </w:r>
      <w:r>
        <w:rPr>
          <w:rFonts w:hint="eastAsia" w:ascii="Arial" w:hAnsi="Arial" w:eastAsia="宋体" w:cs="Arial"/>
          <w:snapToGrid w:val="0"/>
          <w:lang w:eastAsia="zh-CN"/>
        </w:rPr>
        <w:t>）</w:t>
      </w:r>
      <w:r>
        <w:rPr>
          <w:rFonts w:hint="eastAsia" w:ascii="Arial" w:hAnsi="Arial" w:eastAsia="宋体" w:cs="Arial"/>
          <w:snapToGrid w:val="0"/>
          <w:lang w:eastAsia="zh-CN"/>
        </w:rPr>
        <w:fldChar w:fldCharType="end"/>
      </w:r>
      <w:r>
        <w:rPr>
          <w:rFonts w:hint="eastAsia" w:ascii="Arial" w:hAnsi="Arial" w:eastAsia="宋体" w:cs="Arial"/>
          <w:snapToGrid w:val="0"/>
          <w:lang w:eastAsia="zh-CN"/>
        </w:rPr>
        <w:t>概述了寻求FDA对临床研究设计反馈的建议流程。</w:t>
      </w:r>
    </w:p>
    <w:p w14:paraId="25365A5B">
      <w:pPr>
        <w:pStyle w:val="4"/>
        <w:numPr>
          <w:ilvl w:val="1"/>
          <w:numId w:val="1"/>
        </w:numPr>
        <w:tabs>
          <w:tab w:val="left" w:pos="1679"/>
          <w:tab w:val="left" w:pos="1680"/>
        </w:tabs>
        <w:topLinePunct/>
        <w:autoSpaceDE/>
        <w:autoSpaceDN/>
        <w:adjustRightInd w:val="0"/>
        <w:snapToGrid w:val="0"/>
        <w:spacing w:after="224" w:afterLines="75" w:line="288" w:lineRule="auto"/>
        <w:ind w:left="719" w:leftChars="327" w:firstLine="0"/>
        <w:jc w:val="both"/>
        <w:rPr>
          <w:rFonts w:ascii="Arial" w:hAnsi="Arial" w:eastAsia="宋体" w:cs="Arial"/>
          <w:snapToGrid w:val="0"/>
          <w:sz w:val="28"/>
        </w:rPr>
      </w:pPr>
      <w:bookmarkStart w:id="47" w:name="_bookmark23"/>
      <w:bookmarkEnd w:id="47"/>
      <w:bookmarkStart w:id="48" w:name="_Toc499129131"/>
      <w:r>
        <w:rPr>
          <w:rFonts w:hint="eastAsia" w:ascii="Arial" w:hAnsi="Arial" w:eastAsia="宋体" w:cs="Arial"/>
          <w:snapToGrid w:val="0"/>
          <w:sz w:val="28"/>
        </w:rPr>
        <w:t>特殊考虑</w:t>
      </w:r>
      <w:bookmarkEnd w:id="48"/>
    </w:p>
    <w:p w14:paraId="16235ACC">
      <w:pPr>
        <w:pStyle w:val="5"/>
        <w:numPr>
          <w:ilvl w:val="2"/>
          <w:numId w:val="1"/>
        </w:numPr>
        <w:tabs>
          <w:tab w:val="left" w:pos="2399"/>
          <w:tab w:val="left" w:pos="2400"/>
        </w:tabs>
        <w:topLinePunct/>
        <w:autoSpaceDE/>
        <w:autoSpaceDN/>
        <w:adjustRightInd w:val="0"/>
        <w:snapToGrid w:val="0"/>
        <w:spacing w:before="0" w:after="224" w:afterLines="75" w:line="288" w:lineRule="auto"/>
        <w:ind w:left="1701" w:leftChars="773" w:firstLine="0"/>
        <w:jc w:val="both"/>
        <w:rPr>
          <w:rFonts w:ascii="Arial" w:hAnsi="Arial" w:eastAsia="宋体" w:cs="Arial"/>
          <w:snapToGrid w:val="0"/>
          <w:sz w:val="24"/>
        </w:rPr>
      </w:pPr>
      <w:bookmarkStart w:id="49" w:name="_bookmark24"/>
      <w:bookmarkEnd w:id="49"/>
      <w:bookmarkStart w:id="50" w:name="_Toc499129132"/>
      <w:r>
        <w:rPr>
          <w:rFonts w:hint="eastAsia" w:ascii="Arial" w:hAnsi="Arial" w:eastAsia="宋体" w:cs="Arial"/>
          <w:snapToGrid w:val="0"/>
          <w:sz w:val="24"/>
          <w:lang w:eastAsia="zh-CN"/>
        </w:rPr>
        <w:t>皮下导管</w:t>
      </w:r>
      <w:bookmarkEnd w:id="50"/>
    </w:p>
    <w:p w14:paraId="3828D95A">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r>
        <w:rPr>
          <w:rFonts w:hint="eastAsia" w:ascii="Arial" w:hAnsi="Arial" w:eastAsia="宋体" w:cs="Arial"/>
          <w:snapToGrid w:val="0"/>
          <w:lang w:eastAsia="zh-CN"/>
        </w:rPr>
        <w:t>皮下导管指的是完全植入皮肤表面下方、无器械部件暴露在体外的导管。</w:t>
      </w:r>
    </w:p>
    <w:p w14:paraId="5A0C0B8E">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r>
        <w:rPr>
          <w:rFonts w:ascii="Arial" w:hAnsi="Arial" w:eastAsia="宋体" w:cs="Arial"/>
          <w:snapToGrid w:val="0"/>
          <w:lang w:eastAsia="zh-CN"/>
        </w:rPr>
        <w:br w:type="page"/>
      </w:r>
    </w:p>
    <w:p w14:paraId="00111479">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bookmarkStart w:id="51" w:name="Coatings"/>
      <w:bookmarkEnd w:id="51"/>
      <w:r>
        <w:rPr>
          <w:rFonts w:hint="eastAsia" w:ascii="Arial" w:hAnsi="Arial" w:eastAsia="宋体" w:cs="Arial"/>
          <w:snapToGrid w:val="0"/>
          <w:lang w:eastAsia="zh-CN"/>
        </w:rPr>
        <w:t>皮下导管需要进行比上述内容更多的检验，以解决关于感染率、透析充分性、血流维持和长期通畅性的问题。</w:t>
      </w:r>
    </w:p>
    <w:p w14:paraId="13510D53">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r>
        <w:rPr>
          <w:rFonts w:hint="eastAsia" w:ascii="Arial" w:hAnsi="Arial" w:eastAsia="宋体" w:cs="Arial"/>
          <w:snapToGrid w:val="0"/>
          <w:lang w:eastAsia="zh-CN"/>
        </w:rPr>
        <w:t>除前述考虑外，根据已制定的特殊控制，包含皮下入口的植入式血液通路器械必须包含以下内容：</w:t>
      </w:r>
    </w:p>
    <w:p w14:paraId="7CCF6BF4">
      <w:pPr>
        <w:pStyle w:val="22"/>
        <w:numPr>
          <w:ilvl w:val="0"/>
          <w:numId w:val="12"/>
        </w:numPr>
        <w:tabs>
          <w:tab w:val="left" w:pos="960"/>
        </w:tabs>
        <w:topLinePunct/>
        <w:autoSpaceDE/>
        <w:autoSpaceDN/>
        <w:adjustRightInd w:val="0"/>
        <w:snapToGrid w:val="0"/>
        <w:spacing w:after="224" w:afterLines="75" w:line="288" w:lineRule="auto"/>
        <w:ind w:hanging="534"/>
        <w:jc w:val="both"/>
        <w:rPr>
          <w:rFonts w:ascii="Arial" w:hAnsi="Arial" w:eastAsia="宋体" w:cs="Arial"/>
          <w:i/>
          <w:snapToGrid w:val="0"/>
          <w:sz w:val="24"/>
          <w:lang w:eastAsia="zh-CN"/>
        </w:rPr>
      </w:pPr>
      <w:r>
        <w:rPr>
          <w:rFonts w:hint="eastAsia" w:ascii="Arial" w:hAnsi="Arial" w:eastAsia="宋体" w:cs="Arial"/>
          <w:i/>
          <w:snapToGrid w:val="0"/>
          <w:sz w:val="24"/>
          <w:lang w:eastAsia="zh-CN"/>
        </w:rPr>
        <w:t>广义标签必须包含建立通路推荐的针头类型以及关于入口、皮下囊袋和入口上方皮肤护理与维护的详细说明（</w:t>
      </w:r>
      <w:r>
        <w:rPr>
          <w:rFonts w:ascii="Arial" w:hAnsi="Arial" w:eastAsia="宋体" w:cs="Arial"/>
          <w:i/>
          <w:snapToGrid w:val="0"/>
          <w:sz w:val="24"/>
          <w:lang w:eastAsia="zh-CN"/>
        </w:rPr>
        <w:t>21 CFR 876.5540</w:t>
      </w:r>
      <w:r>
        <w:rPr>
          <w:rFonts w:hint="eastAsia" w:ascii="Arial" w:hAnsi="Arial" w:eastAsia="宋体" w:cs="Arial"/>
          <w:i/>
          <w:snapToGrid w:val="0"/>
          <w:sz w:val="24"/>
          <w:lang w:eastAsia="zh-CN"/>
        </w:rPr>
        <w:t>（</w:t>
      </w:r>
      <w:r>
        <w:rPr>
          <w:rFonts w:ascii="Arial" w:hAnsi="Arial" w:eastAsia="宋体" w:cs="Arial"/>
          <w:i/>
          <w:snapToGrid w:val="0"/>
          <w:sz w:val="24"/>
          <w:lang w:eastAsia="zh-CN"/>
        </w:rPr>
        <w:t>b</w:t>
      </w:r>
      <w:r>
        <w:rPr>
          <w:rFonts w:hint="eastAsia" w:ascii="Arial" w:hAnsi="Arial" w:eastAsia="宋体" w:cs="Arial"/>
          <w:i/>
          <w:snapToGrid w:val="0"/>
          <w:sz w:val="24"/>
          <w:lang w:eastAsia="zh-CN"/>
        </w:rPr>
        <w:t>）（</w:t>
      </w:r>
      <w:r>
        <w:rPr>
          <w:rFonts w:ascii="Arial" w:hAnsi="Arial" w:eastAsia="宋体" w:cs="Arial"/>
          <w:i/>
          <w:snapToGrid w:val="0"/>
          <w:sz w:val="24"/>
          <w:lang w:eastAsia="zh-CN"/>
        </w:rPr>
        <w:t>1</w:t>
      </w:r>
      <w:r>
        <w:rPr>
          <w:rFonts w:hint="eastAsia" w:ascii="Arial" w:hAnsi="Arial" w:eastAsia="宋体" w:cs="Arial"/>
          <w:i/>
          <w:snapToGrid w:val="0"/>
          <w:sz w:val="24"/>
          <w:lang w:eastAsia="zh-CN"/>
        </w:rPr>
        <w:t>）（</w:t>
      </w:r>
      <w:r>
        <w:rPr>
          <w:rFonts w:ascii="Arial" w:hAnsi="Arial" w:eastAsia="宋体" w:cs="Arial"/>
          <w:i/>
          <w:snapToGrid w:val="0"/>
          <w:sz w:val="24"/>
          <w:lang w:eastAsia="zh-CN"/>
        </w:rPr>
        <w:t>vi</w:t>
      </w:r>
      <w:r>
        <w:rPr>
          <w:rFonts w:hint="eastAsia" w:ascii="Arial" w:hAnsi="Arial" w:eastAsia="宋体" w:cs="Arial"/>
          <w:i/>
          <w:snapToGrid w:val="0"/>
          <w:sz w:val="24"/>
          <w:lang w:eastAsia="zh-CN"/>
        </w:rPr>
        <w:t>）（</w:t>
      </w:r>
      <w:r>
        <w:rPr>
          <w:rFonts w:ascii="Arial" w:hAnsi="Arial" w:eastAsia="宋体" w:cs="Arial"/>
          <w:i/>
          <w:snapToGrid w:val="0"/>
          <w:sz w:val="24"/>
          <w:lang w:eastAsia="zh-CN"/>
        </w:rPr>
        <w:t>A</w:t>
      </w:r>
      <w:r>
        <w:rPr>
          <w:rFonts w:hint="eastAsia" w:ascii="Arial" w:hAnsi="Arial" w:eastAsia="宋体" w:cs="Arial"/>
          <w:i/>
          <w:snapToGrid w:val="0"/>
          <w:sz w:val="24"/>
          <w:lang w:eastAsia="zh-CN"/>
        </w:rPr>
        <w:t>））。</w:t>
      </w:r>
    </w:p>
    <w:p w14:paraId="6E623782">
      <w:pPr>
        <w:pStyle w:val="22"/>
        <w:numPr>
          <w:ilvl w:val="0"/>
          <w:numId w:val="12"/>
        </w:numPr>
        <w:tabs>
          <w:tab w:val="left" w:pos="960"/>
        </w:tabs>
        <w:topLinePunct/>
        <w:autoSpaceDE/>
        <w:autoSpaceDN/>
        <w:adjustRightInd w:val="0"/>
        <w:snapToGrid w:val="0"/>
        <w:spacing w:after="224" w:afterLines="75" w:line="288" w:lineRule="auto"/>
        <w:ind w:hanging="534"/>
        <w:jc w:val="both"/>
        <w:rPr>
          <w:rFonts w:ascii="Arial" w:hAnsi="Arial" w:eastAsia="宋体" w:cs="Arial"/>
          <w:i/>
          <w:snapToGrid w:val="0"/>
          <w:sz w:val="24"/>
          <w:lang w:eastAsia="zh-CN"/>
        </w:rPr>
      </w:pPr>
      <w:r>
        <w:rPr>
          <w:rFonts w:hint="eastAsia" w:ascii="Arial" w:hAnsi="Arial" w:eastAsia="宋体" w:cs="Arial"/>
          <w:i/>
          <w:snapToGrid w:val="0"/>
          <w:sz w:val="24"/>
          <w:lang w:eastAsia="zh-CN"/>
        </w:rPr>
        <w:t>性能检验必须包含模拟使用的器械预期寿命期内入口反复使用结果。（</w:t>
      </w:r>
      <w:r>
        <w:rPr>
          <w:rFonts w:ascii="Arial" w:hAnsi="Arial" w:eastAsia="宋体" w:cs="Arial"/>
          <w:i/>
          <w:snapToGrid w:val="0"/>
          <w:sz w:val="24"/>
          <w:lang w:eastAsia="zh-CN"/>
        </w:rPr>
        <w:t>21 CFR 876.5540</w:t>
      </w:r>
      <w:r>
        <w:rPr>
          <w:rFonts w:hint="eastAsia" w:ascii="Arial" w:hAnsi="Arial" w:eastAsia="宋体" w:cs="Arial"/>
          <w:i/>
          <w:snapToGrid w:val="0"/>
          <w:sz w:val="24"/>
          <w:lang w:eastAsia="zh-CN"/>
        </w:rPr>
        <w:t>（</w:t>
      </w:r>
      <w:r>
        <w:rPr>
          <w:rFonts w:ascii="Arial" w:hAnsi="Arial" w:eastAsia="宋体" w:cs="Arial"/>
          <w:i/>
          <w:snapToGrid w:val="0"/>
          <w:sz w:val="24"/>
          <w:lang w:eastAsia="zh-CN"/>
        </w:rPr>
        <w:t>b</w:t>
      </w:r>
      <w:r>
        <w:rPr>
          <w:rFonts w:hint="eastAsia" w:ascii="Arial" w:hAnsi="Arial" w:eastAsia="宋体" w:cs="Arial"/>
          <w:i/>
          <w:snapToGrid w:val="0"/>
          <w:sz w:val="24"/>
          <w:lang w:eastAsia="zh-CN"/>
        </w:rPr>
        <w:t>）（</w:t>
      </w:r>
      <w:r>
        <w:rPr>
          <w:rFonts w:ascii="Arial" w:hAnsi="Arial" w:eastAsia="宋体" w:cs="Arial"/>
          <w:i/>
          <w:snapToGrid w:val="0"/>
          <w:sz w:val="24"/>
          <w:lang w:eastAsia="zh-CN"/>
        </w:rPr>
        <w:t>1</w:t>
      </w:r>
      <w:r>
        <w:rPr>
          <w:rFonts w:hint="eastAsia" w:ascii="Arial" w:hAnsi="Arial" w:eastAsia="宋体" w:cs="Arial"/>
          <w:i/>
          <w:snapToGrid w:val="0"/>
          <w:sz w:val="24"/>
          <w:lang w:eastAsia="zh-CN"/>
        </w:rPr>
        <w:t>）（</w:t>
      </w:r>
      <w:r>
        <w:rPr>
          <w:rFonts w:ascii="Arial" w:hAnsi="Arial" w:eastAsia="宋体" w:cs="Arial"/>
          <w:i/>
          <w:snapToGrid w:val="0"/>
          <w:sz w:val="24"/>
          <w:lang w:eastAsia="zh-CN"/>
        </w:rPr>
        <w:t>vi</w:t>
      </w:r>
      <w:r>
        <w:rPr>
          <w:rFonts w:hint="eastAsia" w:ascii="Arial" w:hAnsi="Arial" w:eastAsia="宋体" w:cs="Arial"/>
          <w:i/>
          <w:snapToGrid w:val="0"/>
          <w:sz w:val="24"/>
          <w:lang w:eastAsia="zh-CN"/>
        </w:rPr>
        <w:t>）（</w:t>
      </w:r>
      <w:r>
        <w:rPr>
          <w:rFonts w:ascii="Arial" w:hAnsi="Arial" w:eastAsia="宋体" w:cs="Arial"/>
          <w:i/>
          <w:snapToGrid w:val="0"/>
          <w:sz w:val="24"/>
          <w:lang w:eastAsia="zh-CN"/>
        </w:rPr>
        <w:t>B</w:t>
      </w:r>
      <w:r>
        <w:rPr>
          <w:rFonts w:hint="eastAsia" w:ascii="Arial" w:hAnsi="Arial" w:eastAsia="宋体" w:cs="Arial"/>
          <w:i/>
          <w:snapToGrid w:val="0"/>
          <w:sz w:val="24"/>
          <w:lang w:eastAsia="zh-CN"/>
        </w:rPr>
        <w:t>)）。</w:t>
      </w:r>
    </w:p>
    <w:p w14:paraId="412103A6">
      <w:pPr>
        <w:pStyle w:val="22"/>
        <w:numPr>
          <w:ilvl w:val="0"/>
          <w:numId w:val="12"/>
        </w:numPr>
        <w:tabs>
          <w:tab w:val="left" w:pos="960"/>
        </w:tabs>
        <w:topLinePunct/>
        <w:autoSpaceDE/>
        <w:autoSpaceDN/>
        <w:adjustRightInd w:val="0"/>
        <w:snapToGrid w:val="0"/>
        <w:spacing w:after="224" w:afterLines="75" w:line="288" w:lineRule="auto"/>
        <w:ind w:hanging="534"/>
        <w:jc w:val="both"/>
        <w:rPr>
          <w:rFonts w:ascii="Arial" w:hAnsi="Arial" w:eastAsia="宋体" w:cs="Arial"/>
          <w:i/>
          <w:snapToGrid w:val="0"/>
          <w:sz w:val="24"/>
          <w:lang w:eastAsia="zh-CN"/>
        </w:rPr>
      </w:pPr>
      <w:r>
        <w:rPr>
          <w:rFonts w:hint="eastAsia" w:ascii="Arial" w:hAnsi="Arial" w:eastAsia="宋体" w:cs="Arial"/>
          <w:i/>
          <w:snapToGrid w:val="0"/>
          <w:sz w:val="24"/>
          <w:lang w:eastAsia="zh-CN"/>
        </w:rPr>
        <w:t>临床性能检验必须证实使用安全有效，并收集临床使用过程中观察到的所有不良事件（</w:t>
      </w:r>
      <w:r>
        <w:rPr>
          <w:rFonts w:ascii="Arial" w:hAnsi="Arial" w:eastAsia="宋体" w:cs="Arial"/>
          <w:i/>
          <w:snapToGrid w:val="0"/>
          <w:sz w:val="24"/>
          <w:lang w:eastAsia="zh-CN"/>
        </w:rPr>
        <w:t>21 CFR 876.5540</w:t>
      </w:r>
      <w:r>
        <w:rPr>
          <w:rFonts w:hint="eastAsia" w:ascii="Arial" w:hAnsi="Arial" w:eastAsia="宋体" w:cs="Arial"/>
          <w:i/>
          <w:snapToGrid w:val="0"/>
          <w:sz w:val="24"/>
          <w:lang w:eastAsia="zh-CN"/>
        </w:rPr>
        <w:t>（</w:t>
      </w:r>
      <w:r>
        <w:rPr>
          <w:rFonts w:ascii="Arial" w:hAnsi="Arial" w:eastAsia="宋体" w:cs="Arial"/>
          <w:i/>
          <w:snapToGrid w:val="0"/>
          <w:sz w:val="24"/>
          <w:lang w:eastAsia="zh-CN"/>
        </w:rPr>
        <w:t>b</w:t>
      </w:r>
      <w:r>
        <w:rPr>
          <w:rFonts w:hint="eastAsia" w:ascii="Arial" w:hAnsi="Arial" w:eastAsia="宋体" w:cs="Arial"/>
          <w:i/>
          <w:snapToGrid w:val="0"/>
          <w:sz w:val="24"/>
          <w:lang w:eastAsia="zh-CN"/>
        </w:rPr>
        <w:t>）（</w:t>
      </w:r>
      <w:r>
        <w:rPr>
          <w:rFonts w:ascii="Arial" w:hAnsi="Arial" w:eastAsia="宋体" w:cs="Arial"/>
          <w:i/>
          <w:snapToGrid w:val="0"/>
          <w:sz w:val="24"/>
          <w:lang w:eastAsia="zh-CN"/>
        </w:rPr>
        <w:t>1</w:t>
      </w:r>
      <w:r>
        <w:rPr>
          <w:rFonts w:hint="eastAsia" w:ascii="Arial" w:hAnsi="Arial" w:eastAsia="宋体" w:cs="Arial"/>
          <w:i/>
          <w:snapToGrid w:val="0"/>
          <w:sz w:val="24"/>
          <w:lang w:eastAsia="zh-CN"/>
        </w:rPr>
        <w:t>）（</w:t>
      </w:r>
      <w:r>
        <w:rPr>
          <w:rFonts w:ascii="Arial" w:hAnsi="Arial" w:eastAsia="宋体" w:cs="Arial"/>
          <w:i/>
          <w:snapToGrid w:val="0"/>
          <w:sz w:val="24"/>
          <w:lang w:eastAsia="zh-CN"/>
        </w:rPr>
        <w:t>vi</w:t>
      </w:r>
      <w:r>
        <w:rPr>
          <w:rFonts w:hint="eastAsia" w:ascii="Arial" w:hAnsi="Arial" w:eastAsia="宋体" w:cs="Arial"/>
          <w:i/>
          <w:snapToGrid w:val="0"/>
          <w:sz w:val="24"/>
          <w:lang w:eastAsia="zh-CN"/>
        </w:rPr>
        <w:t>）（</w:t>
      </w:r>
      <w:r>
        <w:rPr>
          <w:rFonts w:ascii="Arial" w:hAnsi="Arial" w:eastAsia="宋体" w:cs="Arial"/>
          <w:i/>
          <w:snapToGrid w:val="0"/>
          <w:sz w:val="24"/>
          <w:lang w:eastAsia="zh-CN"/>
        </w:rPr>
        <w:t>C</w:t>
      </w:r>
      <w:r>
        <w:rPr>
          <w:rFonts w:hint="eastAsia" w:ascii="Arial" w:hAnsi="Arial" w:eastAsia="宋体" w:cs="Arial"/>
          <w:i/>
          <w:snapToGrid w:val="0"/>
          <w:sz w:val="24"/>
          <w:lang w:eastAsia="zh-CN"/>
        </w:rPr>
        <w:t>））。</w:t>
      </w:r>
    </w:p>
    <w:p w14:paraId="339EEC6A">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r>
        <w:rPr>
          <w:rFonts w:hint="eastAsia" w:ascii="Arial" w:hAnsi="Arial" w:eastAsia="宋体" w:cs="Arial"/>
          <w:snapToGrid w:val="0"/>
          <w:lang w:eastAsia="zh-CN"/>
        </w:rPr>
        <w:t>建议：临床性能数据应证实导管与目前已上市的血液透析血管通路器械（例如植入式血液透析导管）同样安全有效。</w:t>
      </w:r>
    </w:p>
    <w:p w14:paraId="1E18B288">
      <w:pPr>
        <w:pStyle w:val="5"/>
        <w:numPr>
          <w:ilvl w:val="2"/>
          <w:numId w:val="1"/>
        </w:numPr>
        <w:tabs>
          <w:tab w:val="left" w:pos="2399"/>
          <w:tab w:val="left" w:pos="2400"/>
        </w:tabs>
        <w:topLinePunct/>
        <w:autoSpaceDE/>
        <w:autoSpaceDN/>
        <w:adjustRightInd w:val="0"/>
        <w:snapToGrid w:val="0"/>
        <w:spacing w:before="0" w:after="224" w:afterLines="75" w:line="288" w:lineRule="auto"/>
        <w:ind w:left="1701" w:leftChars="773" w:firstLine="0"/>
        <w:jc w:val="both"/>
        <w:rPr>
          <w:rFonts w:ascii="Arial" w:hAnsi="Arial" w:eastAsia="宋体" w:cs="Arial"/>
          <w:snapToGrid w:val="0"/>
          <w:sz w:val="24"/>
        </w:rPr>
      </w:pPr>
      <w:bookmarkStart w:id="52" w:name="_bookmark25"/>
      <w:bookmarkEnd w:id="52"/>
      <w:bookmarkStart w:id="53" w:name="_Toc499129133"/>
      <w:r>
        <w:rPr>
          <w:rFonts w:hint="eastAsia" w:ascii="Arial" w:hAnsi="Arial" w:eastAsia="宋体" w:cs="Arial"/>
          <w:snapToGrid w:val="0"/>
          <w:sz w:val="24"/>
          <w:lang w:eastAsia="zh-CN"/>
        </w:rPr>
        <w:t>涂层</w:t>
      </w:r>
      <w:bookmarkEnd w:id="53"/>
    </w:p>
    <w:p w14:paraId="010DF19F">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r>
        <w:rPr>
          <w:rFonts w:hint="eastAsia" w:ascii="Arial" w:hAnsi="Arial" w:eastAsia="宋体" w:cs="Arial"/>
          <w:snapToGrid w:val="0"/>
          <w:lang w:eastAsia="zh-CN"/>
        </w:rPr>
        <w:t>血液透析用植入式血液通路器械可能包含涂层、增材，或具有抗栓、抗菌等材料特性或其他器械新型特性。</w:t>
      </w:r>
    </w:p>
    <w:p w14:paraId="368A1420">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r>
        <w:rPr>
          <w:rFonts w:hint="eastAsia" w:ascii="Arial" w:hAnsi="Arial" w:eastAsia="宋体" w:cs="Arial"/>
          <w:snapToGrid w:val="0"/>
          <w:lang w:eastAsia="zh-CN"/>
        </w:rPr>
        <w:t>根据已制定的特殊控制，除前述针对血液透析用植入式血液通路器械的要求之外，带涂层或增材的植入式血液通路器械必须包含以下内容：</w:t>
      </w:r>
    </w:p>
    <w:p w14:paraId="75A5C029">
      <w:pPr>
        <w:pStyle w:val="22"/>
        <w:numPr>
          <w:ilvl w:val="0"/>
          <w:numId w:val="13"/>
        </w:numPr>
        <w:topLinePunct/>
        <w:autoSpaceDE/>
        <w:autoSpaceDN/>
        <w:adjustRightInd w:val="0"/>
        <w:snapToGrid w:val="0"/>
        <w:spacing w:after="224" w:afterLines="75" w:line="288" w:lineRule="auto"/>
        <w:ind w:left="1069" w:leftChars="243" w:hanging="534"/>
        <w:jc w:val="both"/>
        <w:rPr>
          <w:rFonts w:ascii="Arial" w:hAnsi="Arial" w:eastAsia="宋体" w:cs="Arial"/>
          <w:i/>
          <w:snapToGrid w:val="0"/>
          <w:sz w:val="24"/>
          <w:lang w:eastAsia="zh-CN"/>
        </w:rPr>
      </w:pPr>
      <w:r>
        <w:rPr>
          <w:rFonts w:hint="eastAsia" w:ascii="Arial" w:hAnsi="Arial" w:eastAsia="宋体" w:cs="Arial"/>
          <w:i/>
          <w:snapToGrid w:val="0"/>
          <w:sz w:val="24"/>
          <w:lang w:eastAsia="zh-CN"/>
        </w:rPr>
        <w:t>关于涂层或增材的描述和材料特性表达、涂层或增材的目的、有效期以及应用涂层的方式与部位（</w:t>
      </w:r>
      <w:r>
        <w:rPr>
          <w:rFonts w:ascii="Arial" w:hAnsi="Arial" w:eastAsia="宋体" w:cs="Arial"/>
          <w:i/>
          <w:snapToGrid w:val="0"/>
          <w:sz w:val="24"/>
          <w:lang w:eastAsia="zh-CN"/>
        </w:rPr>
        <w:t>21 CFR 876.5540</w:t>
      </w:r>
      <w:r>
        <w:rPr>
          <w:rFonts w:hint="eastAsia" w:ascii="Arial" w:hAnsi="Arial" w:eastAsia="宋体" w:cs="Arial"/>
          <w:i/>
          <w:snapToGrid w:val="0"/>
          <w:sz w:val="24"/>
          <w:lang w:eastAsia="zh-CN"/>
        </w:rPr>
        <w:t>（</w:t>
      </w:r>
      <w:r>
        <w:rPr>
          <w:rFonts w:ascii="Arial" w:hAnsi="Arial" w:eastAsia="宋体" w:cs="Arial"/>
          <w:i/>
          <w:snapToGrid w:val="0"/>
          <w:sz w:val="24"/>
          <w:lang w:eastAsia="zh-CN"/>
        </w:rPr>
        <w:t>b</w:t>
      </w:r>
      <w:r>
        <w:rPr>
          <w:rFonts w:hint="eastAsia" w:ascii="Arial" w:hAnsi="Arial" w:eastAsia="宋体" w:cs="Arial"/>
          <w:i/>
          <w:snapToGrid w:val="0"/>
          <w:sz w:val="24"/>
          <w:lang w:eastAsia="zh-CN"/>
        </w:rPr>
        <w:t>）（</w:t>
      </w:r>
      <w:r>
        <w:rPr>
          <w:rFonts w:ascii="Arial" w:hAnsi="Arial" w:eastAsia="宋体" w:cs="Arial"/>
          <w:i/>
          <w:snapToGrid w:val="0"/>
          <w:sz w:val="24"/>
          <w:lang w:eastAsia="zh-CN"/>
        </w:rPr>
        <w:t>1</w:t>
      </w:r>
      <w:r>
        <w:rPr>
          <w:rFonts w:hint="eastAsia" w:ascii="Arial" w:hAnsi="Arial" w:eastAsia="宋体" w:cs="Arial"/>
          <w:i/>
          <w:snapToGrid w:val="0"/>
          <w:sz w:val="24"/>
          <w:lang w:eastAsia="zh-CN"/>
        </w:rPr>
        <w:t>）（</w:t>
      </w:r>
      <w:r>
        <w:rPr>
          <w:rFonts w:ascii="Arial" w:hAnsi="Arial" w:eastAsia="宋体" w:cs="Arial"/>
          <w:i/>
          <w:snapToGrid w:val="0"/>
          <w:sz w:val="24"/>
          <w:lang w:eastAsia="zh-CN"/>
        </w:rPr>
        <w:t>vii</w:t>
      </w:r>
      <w:r>
        <w:rPr>
          <w:rFonts w:hint="eastAsia" w:ascii="Arial" w:hAnsi="Arial" w:eastAsia="宋体" w:cs="Arial"/>
          <w:i/>
          <w:snapToGrid w:val="0"/>
          <w:sz w:val="24"/>
          <w:lang w:eastAsia="zh-CN"/>
        </w:rPr>
        <w:t>）（</w:t>
      </w:r>
      <w:r>
        <w:rPr>
          <w:rFonts w:ascii="Arial" w:hAnsi="Arial" w:eastAsia="宋体" w:cs="Arial"/>
          <w:i/>
          <w:snapToGrid w:val="0"/>
          <w:sz w:val="24"/>
          <w:lang w:eastAsia="zh-CN"/>
        </w:rPr>
        <w:t>A</w:t>
      </w:r>
      <w:r>
        <w:rPr>
          <w:rFonts w:hint="eastAsia" w:ascii="Arial" w:hAnsi="Arial" w:eastAsia="宋体" w:cs="Arial"/>
          <w:i/>
          <w:snapToGrid w:val="0"/>
          <w:sz w:val="24"/>
          <w:lang w:eastAsia="zh-CN"/>
        </w:rPr>
        <w:t>））。</w:t>
      </w:r>
    </w:p>
    <w:p w14:paraId="05661AC8">
      <w:pPr>
        <w:pStyle w:val="22"/>
        <w:numPr>
          <w:ilvl w:val="0"/>
          <w:numId w:val="13"/>
        </w:numPr>
        <w:topLinePunct/>
        <w:autoSpaceDE/>
        <w:autoSpaceDN/>
        <w:adjustRightInd w:val="0"/>
        <w:snapToGrid w:val="0"/>
        <w:spacing w:after="224" w:afterLines="75" w:line="288" w:lineRule="auto"/>
        <w:ind w:left="1069" w:leftChars="243" w:hanging="534"/>
        <w:jc w:val="both"/>
        <w:rPr>
          <w:rFonts w:ascii="Arial" w:hAnsi="Arial" w:eastAsia="宋体" w:cs="Arial"/>
          <w:i/>
          <w:snapToGrid w:val="0"/>
          <w:sz w:val="24"/>
          <w:lang w:eastAsia="zh-CN"/>
        </w:rPr>
      </w:pPr>
      <w:r>
        <w:rPr>
          <w:rFonts w:hint="eastAsia" w:ascii="Arial" w:hAnsi="Arial" w:eastAsia="宋体" w:cs="Arial"/>
          <w:i/>
          <w:snapToGrid w:val="0"/>
          <w:sz w:val="24"/>
          <w:lang w:eastAsia="zh-CN"/>
        </w:rPr>
        <w:t>广义标签中关于所有涂层或增材的标识，或对具有特异性特征的所有涂层或材料的性能检验结果总结，例如血栓形成减少或抗菌特性（</w:t>
      </w:r>
      <w:r>
        <w:rPr>
          <w:rFonts w:ascii="Arial" w:hAnsi="Arial" w:eastAsia="宋体" w:cs="Arial"/>
          <w:i/>
          <w:snapToGrid w:val="0"/>
          <w:sz w:val="24"/>
          <w:lang w:eastAsia="zh-CN"/>
        </w:rPr>
        <w:t>21 CFR 876.5540</w:t>
      </w:r>
      <w:r>
        <w:rPr>
          <w:rFonts w:hint="eastAsia" w:ascii="Arial" w:hAnsi="Arial" w:eastAsia="宋体" w:cs="Arial"/>
          <w:i/>
          <w:snapToGrid w:val="0"/>
          <w:sz w:val="24"/>
          <w:lang w:eastAsia="zh-CN"/>
        </w:rPr>
        <w:t>（</w:t>
      </w:r>
      <w:r>
        <w:rPr>
          <w:rFonts w:ascii="Arial" w:hAnsi="Arial" w:eastAsia="宋体" w:cs="Arial"/>
          <w:i/>
          <w:snapToGrid w:val="0"/>
          <w:sz w:val="24"/>
          <w:lang w:eastAsia="zh-CN"/>
        </w:rPr>
        <w:t>b</w:t>
      </w:r>
      <w:r>
        <w:rPr>
          <w:rFonts w:hint="eastAsia" w:ascii="Arial" w:hAnsi="Arial" w:eastAsia="宋体" w:cs="Arial"/>
          <w:i/>
          <w:snapToGrid w:val="0"/>
          <w:sz w:val="24"/>
          <w:lang w:eastAsia="zh-CN"/>
        </w:rPr>
        <w:t>）（</w:t>
      </w:r>
      <w:r>
        <w:rPr>
          <w:rFonts w:ascii="Arial" w:hAnsi="Arial" w:eastAsia="宋体" w:cs="Arial"/>
          <w:i/>
          <w:snapToGrid w:val="0"/>
          <w:sz w:val="24"/>
          <w:lang w:eastAsia="zh-CN"/>
        </w:rPr>
        <w:t>1</w:t>
      </w:r>
      <w:r>
        <w:rPr>
          <w:rFonts w:hint="eastAsia" w:ascii="Arial" w:hAnsi="Arial" w:eastAsia="宋体" w:cs="Arial"/>
          <w:i/>
          <w:snapToGrid w:val="0"/>
          <w:sz w:val="24"/>
          <w:lang w:eastAsia="zh-CN"/>
        </w:rPr>
        <w:t>）（</w:t>
      </w:r>
      <w:r>
        <w:rPr>
          <w:rFonts w:ascii="Arial" w:hAnsi="Arial" w:eastAsia="宋体" w:cs="Arial"/>
          <w:i/>
          <w:snapToGrid w:val="0"/>
          <w:sz w:val="24"/>
          <w:lang w:eastAsia="zh-CN"/>
        </w:rPr>
        <w:t>vii</w:t>
      </w:r>
      <w:r>
        <w:rPr>
          <w:rFonts w:hint="eastAsia" w:ascii="Arial" w:hAnsi="Arial" w:eastAsia="宋体" w:cs="Arial"/>
          <w:i/>
          <w:snapToGrid w:val="0"/>
          <w:sz w:val="24"/>
          <w:lang w:eastAsia="zh-CN"/>
        </w:rPr>
        <w:t>）（</w:t>
      </w:r>
      <w:r>
        <w:rPr>
          <w:rFonts w:ascii="Arial" w:hAnsi="Arial" w:eastAsia="宋体" w:cs="Arial"/>
          <w:i/>
          <w:snapToGrid w:val="0"/>
          <w:sz w:val="24"/>
          <w:lang w:eastAsia="zh-CN"/>
        </w:rPr>
        <w:t>B</w:t>
      </w:r>
      <w:r>
        <w:rPr>
          <w:rFonts w:hint="eastAsia" w:ascii="Arial" w:hAnsi="Arial" w:eastAsia="宋体" w:cs="Arial"/>
          <w:i/>
          <w:snapToGrid w:val="0"/>
          <w:sz w:val="24"/>
          <w:lang w:eastAsia="zh-CN"/>
        </w:rPr>
        <w:t>））。</w:t>
      </w:r>
    </w:p>
    <w:p w14:paraId="75E616BA">
      <w:pPr>
        <w:pStyle w:val="22"/>
        <w:numPr>
          <w:ilvl w:val="0"/>
          <w:numId w:val="13"/>
        </w:numPr>
        <w:topLinePunct/>
        <w:autoSpaceDE/>
        <w:autoSpaceDN/>
        <w:adjustRightInd w:val="0"/>
        <w:snapToGrid w:val="0"/>
        <w:spacing w:after="224" w:afterLines="75" w:line="288" w:lineRule="auto"/>
        <w:ind w:left="1069" w:leftChars="243" w:hanging="534"/>
        <w:jc w:val="both"/>
        <w:rPr>
          <w:rFonts w:ascii="Arial" w:hAnsi="Arial" w:eastAsia="宋体" w:cs="Arial"/>
          <w:i/>
          <w:snapToGrid w:val="0"/>
          <w:sz w:val="24"/>
          <w:lang w:eastAsia="zh-CN"/>
        </w:rPr>
      </w:pPr>
      <w:r>
        <w:rPr>
          <w:rFonts w:hint="eastAsia" w:ascii="Arial" w:hAnsi="Arial" w:eastAsia="宋体" w:cs="Arial"/>
          <w:i/>
          <w:snapToGrid w:val="0"/>
          <w:sz w:val="24"/>
          <w:lang w:eastAsia="zh-CN"/>
        </w:rPr>
        <w:t>标签中关于潜在过敏反应的警告声明，包括涂层或增材包含已知过敏原时的预防措施（</w:t>
      </w:r>
      <w:r>
        <w:rPr>
          <w:rFonts w:ascii="Arial" w:hAnsi="Arial" w:eastAsia="宋体" w:cs="Arial"/>
          <w:i/>
          <w:snapToGrid w:val="0"/>
          <w:sz w:val="24"/>
          <w:lang w:eastAsia="zh-CN"/>
        </w:rPr>
        <w:t>21 CFR 876.5540</w:t>
      </w:r>
      <w:r>
        <w:rPr>
          <w:rFonts w:hint="eastAsia" w:ascii="Arial" w:hAnsi="Arial" w:eastAsia="宋体" w:cs="Arial"/>
          <w:i/>
          <w:snapToGrid w:val="0"/>
          <w:sz w:val="24"/>
          <w:lang w:eastAsia="zh-CN"/>
        </w:rPr>
        <w:t>（</w:t>
      </w:r>
      <w:r>
        <w:rPr>
          <w:rFonts w:ascii="Arial" w:hAnsi="Arial" w:eastAsia="宋体" w:cs="Arial"/>
          <w:i/>
          <w:snapToGrid w:val="0"/>
          <w:sz w:val="24"/>
          <w:lang w:eastAsia="zh-CN"/>
        </w:rPr>
        <w:t>b</w:t>
      </w:r>
      <w:r>
        <w:rPr>
          <w:rFonts w:hint="eastAsia" w:ascii="Arial" w:hAnsi="Arial" w:eastAsia="宋体" w:cs="Arial"/>
          <w:i/>
          <w:snapToGrid w:val="0"/>
          <w:sz w:val="24"/>
          <w:lang w:eastAsia="zh-CN"/>
        </w:rPr>
        <w:t>）（</w:t>
      </w:r>
      <w:r>
        <w:rPr>
          <w:rFonts w:ascii="Arial" w:hAnsi="Arial" w:eastAsia="宋体" w:cs="Arial"/>
          <w:i/>
          <w:snapToGrid w:val="0"/>
          <w:sz w:val="24"/>
          <w:lang w:eastAsia="zh-CN"/>
        </w:rPr>
        <w:t>1</w:t>
      </w:r>
      <w:r>
        <w:rPr>
          <w:rFonts w:hint="eastAsia" w:ascii="Arial" w:hAnsi="Arial" w:eastAsia="宋体" w:cs="Arial"/>
          <w:i/>
          <w:snapToGrid w:val="0"/>
          <w:sz w:val="24"/>
          <w:lang w:eastAsia="zh-CN"/>
        </w:rPr>
        <w:t>）（</w:t>
      </w:r>
      <w:r>
        <w:rPr>
          <w:rFonts w:ascii="Arial" w:hAnsi="Arial" w:eastAsia="宋体" w:cs="Arial"/>
          <w:i/>
          <w:snapToGrid w:val="0"/>
          <w:sz w:val="24"/>
          <w:lang w:eastAsia="zh-CN"/>
        </w:rPr>
        <w:t>vii</w:t>
      </w:r>
      <w:r>
        <w:rPr>
          <w:rFonts w:hint="eastAsia" w:ascii="Arial" w:hAnsi="Arial" w:eastAsia="宋体" w:cs="Arial"/>
          <w:i/>
          <w:snapToGrid w:val="0"/>
          <w:sz w:val="24"/>
          <w:lang w:eastAsia="zh-CN"/>
        </w:rPr>
        <w:t>）（</w:t>
      </w:r>
      <w:r>
        <w:rPr>
          <w:rFonts w:ascii="Arial" w:hAnsi="Arial" w:eastAsia="宋体" w:cs="Arial"/>
          <w:i/>
          <w:snapToGrid w:val="0"/>
          <w:sz w:val="24"/>
          <w:lang w:eastAsia="zh-CN"/>
        </w:rPr>
        <w:t>C</w:t>
      </w:r>
      <w:r>
        <w:rPr>
          <w:rFonts w:hint="eastAsia" w:ascii="Arial" w:hAnsi="Arial" w:eastAsia="宋体" w:cs="Arial"/>
          <w:i/>
          <w:snapToGrid w:val="0"/>
          <w:sz w:val="24"/>
          <w:lang w:eastAsia="zh-CN"/>
        </w:rPr>
        <w:t>））。</w:t>
      </w:r>
    </w:p>
    <w:p w14:paraId="4E478C78">
      <w:pPr>
        <w:pStyle w:val="22"/>
        <w:numPr>
          <w:ilvl w:val="0"/>
          <w:numId w:val="13"/>
        </w:numPr>
        <w:topLinePunct/>
        <w:autoSpaceDE/>
        <w:autoSpaceDN/>
        <w:adjustRightInd w:val="0"/>
        <w:snapToGrid w:val="0"/>
        <w:spacing w:after="224" w:afterLines="75" w:line="288" w:lineRule="auto"/>
        <w:ind w:left="1069" w:leftChars="243" w:hanging="534"/>
        <w:jc w:val="both"/>
        <w:rPr>
          <w:rFonts w:ascii="Arial" w:hAnsi="Arial" w:eastAsia="宋体" w:cs="Arial"/>
          <w:i/>
          <w:snapToGrid w:val="0"/>
          <w:sz w:val="24"/>
          <w:lang w:eastAsia="zh-CN"/>
        </w:rPr>
      </w:pPr>
      <w:r>
        <w:rPr>
          <w:rFonts w:hint="eastAsia" w:ascii="Arial" w:hAnsi="Arial" w:eastAsia="宋体" w:cs="Arial"/>
          <w:i/>
          <w:snapToGrid w:val="0"/>
          <w:sz w:val="24"/>
          <w:lang w:eastAsia="zh-CN"/>
        </w:rPr>
        <w:t>性能数据必须证实涂层或增材的有效性以及有效性持续时间（</w:t>
      </w:r>
      <w:r>
        <w:rPr>
          <w:rFonts w:ascii="Arial" w:hAnsi="Arial" w:eastAsia="宋体" w:cs="Arial"/>
          <w:i/>
          <w:snapToGrid w:val="0"/>
          <w:sz w:val="24"/>
          <w:lang w:eastAsia="zh-CN"/>
        </w:rPr>
        <w:t>21 CFR 876.5540</w:t>
      </w:r>
      <w:r>
        <w:rPr>
          <w:rFonts w:hint="eastAsia" w:ascii="Arial" w:hAnsi="Arial" w:eastAsia="宋体" w:cs="Arial"/>
          <w:i/>
          <w:snapToGrid w:val="0"/>
          <w:sz w:val="24"/>
          <w:lang w:eastAsia="zh-CN"/>
        </w:rPr>
        <w:t>（</w:t>
      </w:r>
      <w:r>
        <w:rPr>
          <w:rFonts w:ascii="Arial" w:hAnsi="Arial" w:eastAsia="宋体" w:cs="Arial"/>
          <w:i/>
          <w:snapToGrid w:val="0"/>
          <w:sz w:val="24"/>
          <w:lang w:eastAsia="zh-CN"/>
        </w:rPr>
        <w:t>b</w:t>
      </w:r>
      <w:r>
        <w:rPr>
          <w:rFonts w:hint="eastAsia" w:ascii="Arial" w:hAnsi="Arial" w:eastAsia="宋体" w:cs="Arial"/>
          <w:i/>
          <w:snapToGrid w:val="0"/>
          <w:sz w:val="24"/>
          <w:lang w:eastAsia="zh-CN"/>
        </w:rPr>
        <w:t>）（</w:t>
      </w:r>
      <w:r>
        <w:rPr>
          <w:rFonts w:ascii="Arial" w:hAnsi="Arial" w:eastAsia="宋体" w:cs="Arial"/>
          <w:i/>
          <w:snapToGrid w:val="0"/>
          <w:sz w:val="24"/>
          <w:lang w:eastAsia="zh-CN"/>
        </w:rPr>
        <w:t>1</w:t>
      </w:r>
      <w:r>
        <w:rPr>
          <w:rFonts w:hint="eastAsia" w:ascii="Arial" w:hAnsi="Arial" w:eastAsia="宋体" w:cs="Arial"/>
          <w:i/>
          <w:snapToGrid w:val="0"/>
          <w:sz w:val="24"/>
          <w:lang w:eastAsia="zh-CN"/>
        </w:rPr>
        <w:t>）（</w:t>
      </w:r>
      <w:r>
        <w:rPr>
          <w:rFonts w:ascii="Arial" w:hAnsi="Arial" w:eastAsia="宋体" w:cs="Arial"/>
          <w:i/>
          <w:snapToGrid w:val="0"/>
          <w:sz w:val="24"/>
          <w:lang w:eastAsia="zh-CN"/>
        </w:rPr>
        <w:t>vii</w:t>
      </w:r>
      <w:r>
        <w:rPr>
          <w:rFonts w:hint="eastAsia" w:ascii="Arial" w:hAnsi="Arial" w:eastAsia="宋体" w:cs="Arial"/>
          <w:i/>
          <w:snapToGrid w:val="0"/>
          <w:sz w:val="24"/>
          <w:lang w:eastAsia="zh-CN"/>
        </w:rPr>
        <w:t>）（</w:t>
      </w:r>
      <w:r>
        <w:rPr>
          <w:rFonts w:ascii="Arial" w:hAnsi="Arial" w:eastAsia="宋体" w:cs="Arial"/>
          <w:i/>
          <w:snapToGrid w:val="0"/>
          <w:sz w:val="24"/>
          <w:lang w:eastAsia="zh-CN"/>
        </w:rPr>
        <w:t>D</w:t>
      </w:r>
      <w:r>
        <w:rPr>
          <w:rFonts w:hint="eastAsia" w:ascii="Arial" w:hAnsi="Arial" w:eastAsia="宋体" w:cs="Arial"/>
          <w:i/>
          <w:snapToGrid w:val="0"/>
          <w:sz w:val="24"/>
          <w:lang w:eastAsia="zh-CN"/>
        </w:rPr>
        <w:t>））。</w:t>
      </w:r>
    </w:p>
    <w:p w14:paraId="35FC912F">
      <w:pPr>
        <w:pStyle w:val="7"/>
        <w:topLinePunct/>
        <w:autoSpaceDE/>
        <w:autoSpaceDN/>
        <w:adjustRightInd w:val="0"/>
        <w:snapToGrid w:val="0"/>
        <w:spacing w:after="224" w:afterLines="75" w:line="288" w:lineRule="auto"/>
        <w:jc w:val="both"/>
        <w:rPr>
          <w:rFonts w:ascii="Arial" w:hAnsi="Arial" w:eastAsia="宋体" w:cs="Arial"/>
          <w:i/>
          <w:snapToGrid w:val="0"/>
          <w:lang w:eastAsia="zh-CN"/>
        </w:rPr>
      </w:pPr>
      <w:r>
        <w:rPr>
          <w:rFonts w:ascii="Arial" w:hAnsi="Arial" w:eastAsia="宋体" w:cs="Arial"/>
          <w:snapToGrid w:val="0"/>
          <w:lang w:eastAsia="zh-CN"/>
        </w:rPr>
        <w:br w:type="page"/>
      </w:r>
    </w:p>
    <w:p w14:paraId="0A4555C4">
      <w:pPr>
        <w:pStyle w:val="7"/>
        <w:topLinePunct/>
        <w:autoSpaceDE/>
        <w:autoSpaceDN/>
        <w:adjustRightInd w:val="0"/>
        <w:snapToGrid w:val="0"/>
        <w:spacing w:after="224" w:afterLines="75" w:line="288" w:lineRule="auto"/>
        <w:ind w:left="1063" w:leftChars="483" w:firstLine="14" w:firstLineChars="6"/>
        <w:jc w:val="both"/>
        <w:rPr>
          <w:rFonts w:ascii="Arial" w:hAnsi="Arial" w:eastAsia="宋体" w:cs="Arial"/>
          <w:snapToGrid w:val="0"/>
          <w:lang w:eastAsia="zh-CN"/>
        </w:rPr>
      </w:pPr>
      <w:bookmarkStart w:id="54" w:name="Arteriovenous_(A-V)_shunt_cannulae_(with"/>
      <w:bookmarkEnd w:id="54"/>
      <w:r>
        <w:rPr>
          <w:rFonts w:hint="eastAsia" w:ascii="Arial" w:hAnsi="Arial" w:eastAsia="宋体" w:cs="Arial"/>
          <w:snapToGrid w:val="0"/>
          <w:lang w:eastAsia="zh-CN"/>
        </w:rPr>
        <w:t>建议：若这类涂层有临床效益，FDA建议标识中提供临床研究结果支持这些效益。</w:t>
      </w:r>
    </w:p>
    <w:p w14:paraId="0C553901">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r>
        <w:rPr>
          <w:rFonts w:hint="eastAsia" w:ascii="Arial" w:hAnsi="Arial" w:eastAsia="宋体" w:cs="Arial"/>
          <w:snapToGrid w:val="0"/>
          <w:lang w:eastAsia="zh-CN"/>
        </w:rPr>
        <w:t>通常需要对抗菌涂层进行临床研究以证实感染率或微生物定植率相比非涂层导管在临床上和统计学上均显著下降。与针对类似适应证的已获批涂层相同的涂层可能不需要新临床支持数据。</w:t>
      </w:r>
      <w:r>
        <w:rPr>
          <w:rFonts w:ascii="Arial" w:hAnsi="Arial" w:eastAsia="宋体" w:cs="Arial"/>
          <w:snapToGrid w:val="0"/>
          <w:lang w:eastAsia="zh-CN"/>
        </w:rPr>
        <w:t>510</w:t>
      </w:r>
      <w:r>
        <w:rPr>
          <w:rFonts w:hint="eastAsia" w:ascii="Arial" w:hAnsi="Arial" w:eastAsia="宋体" w:cs="Arial"/>
          <w:snapToGrid w:val="0"/>
          <w:lang w:eastAsia="zh-CN"/>
        </w:rPr>
        <w:t>（</w:t>
      </w:r>
      <w:r>
        <w:rPr>
          <w:rFonts w:ascii="Arial" w:hAnsi="Arial" w:eastAsia="宋体" w:cs="Arial"/>
          <w:snapToGrid w:val="0"/>
          <w:lang w:eastAsia="zh-CN"/>
        </w:rPr>
        <w:t>k</w:t>
      </w:r>
      <w:r>
        <w:rPr>
          <w:rFonts w:hint="eastAsia" w:ascii="Arial" w:hAnsi="Arial" w:eastAsia="宋体" w:cs="Arial"/>
          <w:snapToGrid w:val="0"/>
          <w:lang w:eastAsia="zh-CN"/>
        </w:rPr>
        <w:t>）申报应至少包括化学成分、浓度、物理规格（颗粒大小、表面纹理等）、洗脱外形和制造方法对比。</w:t>
      </w:r>
    </w:p>
    <w:p w14:paraId="74A5A804">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r>
        <w:rPr>
          <w:rFonts w:hint="eastAsia" w:ascii="Arial" w:hAnsi="Arial" w:eastAsia="宋体" w:cs="Arial"/>
          <w:snapToGrid w:val="0"/>
          <w:lang w:eastAsia="zh-CN"/>
        </w:rPr>
        <w:t>抗菌涂层可能导致出现对涂层以及其他抗菌产品内抗菌药耐药的微生物。</w:t>
      </w:r>
      <w:r>
        <w:rPr>
          <w:rFonts w:ascii="Arial" w:hAnsi="Arial" w:eastAsia="宋体" w:cs="Arial"/>
          <w:snapToGrid w:val="0"/>
          <w:lang w:eastAsia="zh-CN"/>
        </w:rPr>
        <w:t>510</w:t>
      </w:r>
      <w:r>
        <w:rPr>
          <w:rFonts w:hint="eastAsia" w:ascii="Arial" w:hAnsi="Arial" w:eastAsia="宋体" w:cs="Arial"/>
          <w:snapToGrid w:val="0"/>
          <w:lang w:eastAsia="zh-CN"/>
        </w:rPr>
        <w:t>（</w:t>
      </w:r>
      <w:r>
        <w:rPr>
          <w:rFonts w:ascii="Arial" w:hAnsi="Arial" w:eastAsia="宋体" w:cs="Arial"/>
          <w:snapToGrid w:val="0"/>
          <w:lang w:eastAsia="zh-CN"/>
        </w:rPr>
        <w:t>k</w:t>
      </w:r>
      <w:r>
        <w:rPr>
          <w:rFonts w:hint="eastAsia" w:ascii="Arial" w:hAnsi="Arial" w:eastAsia="宋体" w:cs="Arial"/>
          <w:snapToGrid w:val="0"/>
          <w:lang w:eastAsia="zh-CN"/>
        </w:rPr>
        <w:t>）申报应解决涂层导致抗生素耐药性的可能性，必要时还应包括证实涂层不会诱导产生耐药微生物的试验。</w:t>
      </w:r>
    </w:p>
    <w:p w14:paraId="4121CE3E">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r>
        <w:rPr>
          <w:rFonts w:hint="eastAsia" w:ascii="Arial" w:hAnsi="Arial" w:eastAsia="宋体" w:cs="Arial"/>
          <w:snapToGrid w:val="0"/>
          <w:lang w:eastAsia="zh-CN"/>
        </w:rPr>
        <w:t>加入具有新药物成分的涂层或导管释放的涂层可能改变预期使用或提出不同的安全性和有效性问题。抗菌涂层应作为联合产品。当申报加入指定器械不包含的药物时，我们强烈建议进行预申报。</w:t>
      </w:r>
    </w:p>
    <w:p w14:paraId="4F3D2878">
      <w:pPr>
        <w:pStyle w:val="5"/>
        <w:numPr>
          <w:ilvl w:val="2"/>
          <w:numId w:val="1"/>
        </w:numPr>
        <w:tabs>
          <w:tab w:val="left" w:pos="2399"/>
          <w:tab w:val="left" w:pos="2400"/>
        </w:tabs>
        <w:topLinePunct/>
        <w:autoSpaceDE/>
        <w:autoSpaceDN/>
        <w:adjustRightInd w:val="0"/>
        <w:snapToGrid w:val="0"/>
        <w:spacing w:before="0" w:after="224" w:afterLines="75" w:line="288" w:lineRule="auto"/>
        <w:ind w:left="1701" w:leftChars="773" w:firstLine="0"/>
        <w:jc w:val="both"/>
        <w:rPr>
          <w:rFonts w:ascii="Arial" w:hAnsi="Arial" w:eastAsia="宋体" w:cs="Arial"/>
          <w:snapToGrid w:val="0"/>
          <w:sz w:val="24"/>
          <w:lang w:eastAsia="zh-CN"/>
        </w:rPr>
      </w:pPr>
      <w:bookmarkStart w:id="55" w:name="_bookmark26"/>
      <w:bookmarkEnd w:id="55"/>
      <w:bookmarkStart w:id="56" w:name="_Toc499129134"/>
      <w:r>
        <w:rPr>
          <w:rFonts w:hint="eastAsia" w:ascii="Arial" w:hAnsi="Arial" w:eastAsia="宋体" w:cs="Arial"/>
          <w:snapToGrid w:val="0"/>
          <w:sz w:val="24"/>
          <w:lang w:eastAsia="zh-CN"/>
        </w:rPr>
        <w:t>动静脉（</w:t>
      </w:r>
      <w:r>
        <w:rPr>
          <w:rFonts w:ascii="Arial" w:hAnsi="Arial" w:eastAsia="宋体" w:cs="Arial"/>
          <w:snapToGrid w:val="0"/>
          <w:sz w:val="24"/>
          <w:lang w:eastAsia="zh-CN"/>
        </w:rPr>
        <w:t>A-V</w:t>
      </w:r>
      <w:r>
        <w:rPr>
          <w:rFonts w:hint="eastAsia" w:ascii="Arial" w:hAnsi="Arial" w:eastAsia="宋体" w:cs="Arial"/>
          <w:snapToGrid w:val="0"/>
          <w:sz w:val="24"/>
          <w:lang w:eastAsia="zh-CN"/>
        </w:rPr>
        <w:t>）分流管（带血管尖端）</w:t>
      </w:r>
      <w:bookmarkEnd w:id="56"/>
    </w:p>
    <w:p w14:paraId="2D0B02E9">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r>
        <w:rPr>
          <w:rFonts w:hint="eastAsia" w:ascii="Arial" w:hAnsi="Arial" w:eastAsia="宋体" w:cs="Arial"/>
          <w:snapToGrid w:val="0"/>
          <w:lang w:eastAsia="zh-CN"/>
        </w:rPr>
        <w:t>动静脉（</w:t>
      </w:r>
      <w:r>
        <w:rPr>
          <w:rFonts w:ascii="Arial" w:hAnsi="Arial" w:eastAsia="宋体" w:cs="Arial"/>
          <w:snapToGrid w:val="0"/>
          <w:lang w:eastAsia="zh-CN"/>
        </w:rPr>
        <w:t>A-V</w:t>
      </w:r>
      <w:r>
        <w:rPr>
          <w:rFonts w:hint="eastAsia" w:ascii="Arial" w:hAnsi="Arial" w:eastAsia="宋体" w:cs="Arial"/>
          <w:snapToGrid w:val="0"/>
          <w:lang w:eastAsia="zh-CN"/>
        </w:rPr>
        <w:t>）分流管（带血管尖端）是用于血液透析的第一种血管通路，但随着并发症发生率更低的新型植入式血液通路器械的开发，该器械自20世纪80年代早期已不再用于美国临床工作。尽管如此，它仍是血液透析用植入式血液通路器械法规分类的一部分。相比同期植入式血液通路器械（例如植入式血液透析导管），A-V分流管的出血风险更高。鉴于器械会进入动脉循环，该器械还有导致动脉狭窄、形成动脉血栓和血管通路窃血综合征等特有风险。</w:t>
      </w:r>
    </w:p>
    <w:p w14:paraId="29C566E5">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r>
        <w:rPr>
          <w:rFonts w:hint="eastAsia" w:ascii="Arial" w:hAnsi="Arial" w:eastAsia="宋体" w:cs="Arial"/>
          <w:snapToGrid w:val="0"/>
          <w:lang w:eastAsia="zh-CN"/>
        </w:rPr>
        <w:t>除前述血液透析用植入式血液通路器械的要求之外（除不再适用的再循环率与预冲量性能检验和标识）（</w:t>
      </w:r>
      <w:r>
        <w:rPr>
          <w:rFonts w:ascii="Arial" w:hAnsi="Arial" w:eastAsia="宋体" w:cs="Arial"/>
          <w:snapToGrid w:val="0"/>
          <w:lang w:eastAsia="zh-CN"/>
        </w:rPr>
        <w:t>21 CFR 876.5540</w:t>
      </w:r>
      <w:r>
        <w:rPr>
          <w:rFonts w:hint="eastAsia" w:ascii="Arial" w:hAnsi="Arial" w:eastAsia="宋体" w:cs="Arial"/>
          <w:snapToGrid w:val="0"/>
          <w:lang w:eastAsia="zh-CN"/>
        </w:rPr>
        <w:t>（</w:t>
      </w:r>
      <w:r>
        <w:rPr>
          <w:rFonts w:ascii="Arial" w:hAnsi="Arial" w:eastAsia="宋体" w:cs="Arial"/>
          <w:snapToGrid w:val="0"/>
          <w:lang w:eastAsia="zh-CN"/>
        </w:rPr>
        <w:t>b</w:t>
      </w:r>
      <w:r>
        <w:rPr>
          <w:rFonts w:hint="eastAsia" w:ascii="Arial" w:hAnsi="Arial" w:eastAsia="宋体" w:cs="Arial"/>
          <w:snapToGrid w:val="0"/>
          <w:lang w:eastAsia="zh-CN"/>
        </w:rPr>
        <w:t>）（</w:t>
      </w:r>
      <w:r>
        <w:rPr>
          <w:rFonts w:ascii="Arial" w:hAnsi="Arial" w:eastAsia="宋体" w:cs="Arial"/>
          <w:snapToGrid w:val="0"/>
          <w:lang w:eastAsia="zh-CN"/>
        </w:rPr>
        <w:t>1</w:t>
      </w:r>
      <w:r>
        <w:rPr>
          <w:rFonts w:hint="eastAsia" w:ascii="Arial" w:hAnsi="Arial" w:eastAsia="宋体" w:cs="Arial"/>
          <w:snapToGrid w:val="0"/>
          <w:lang w:eastAsia="zh-CN"/>
        </w:rPr>
        <w:t>）（</w:t>
      </w:r>
      <w:r>
        <w:rPr>
          <w:rFonts w:ascii="Arial" w:hAnsi="Arial" w:eastAsia="宋体" w:cs="Arial"/>
          <w:snapToGrid w:val="0"/>
          <w:lang w:eastAsia="zh-CN"/>
        </w:rPr>
        <w:t>viii</w:t>
      </w:r>
      <w:r>
        <w:rPr>
          <w:rFonts w:hint="eastAsia" w:ascii="Arial" w:hAnsi="Arial" w:eastAsia="宋体" w:cs="Arial"/>
          <w:snapToGrid w:val="0"/>
          <w:lang w:eastAsia="zh-CN"/>
        </w:rPr>
        <w:t>）（</w:t>
      </w:r>
      <w:r>
        <w:rPr>
          <w:rFonts w:ascii="Arial" w:hAnsi="Arial" w:eastAsia="宋体" w:cs="Arial"/>
          <w:snapToGrid w:val="0"/>
          <w:lang w:eastAsia="zh-CN"/>
        </w:rPr>
        <w:t>A</w:t>
      </w:r>
      <w:r>
        <w:rPr>
          <w:rFonts w:hint="eastAsia" w:ascii="Arial" w:hAnsi="Arial" w:eastAsia="宋体" w:cs="Arial"/>
          <w:snapToGrid w:val="0"/>
          <w:lang w:eastAsia="zh-CN"/>
        </w:rPr>
        <w:t>)），根据针对这种器械类型的特殊控制，必须满足以下条件：</w:t>
      </w:r>
    </w:p>
    <w:p w14:paraId="1149A35F">
      <w:pPr>
        <w:pStyle w:val="22"/>
        <w:numPr>
          <w:ilvl w:val="0"/>
          <w:numId w:val="14"/>
        </w:numPr>
        <w:tabs>
          <w:tab w:val="left" w:pos="960"/>
        </w:tabs>
        <w:topLinePunct/>
        <w:autoSpaceDE/>
        <w:autoSpaceDN/>
        <w:adjustRightInd w:val="0"/>
        <w:snapToGrid w:val="0"/>
        <w:spacing w:after="224" w:afterLines="75" w:line="288" w:lineRule="auto"/>
        <w:ind w:hanging="393"/>
        <w:jc w:val="both"/>
        <w:rPr>
          <w:rFonts w:ascii="Arial" w:hAnsi="Arial" w:eastAsia="宋体" w:cs="Arial"/>
          <w:i/>
          <w:snapToGrid w:val="0"/>
          <w:sz w:val="24"/>
          <w:lang w:eastAsia="zh-CN"/>
        </w:rPr>
      </w:pPr>
      <w:r>
        <w:rPr>
          <w:rFonts w:hint="eastAsia" w:ascii="Arial" w:hAnsi="Arial" w:eastAsia="宋体" w:cs="Arial"/>
          <w:i/>
          <w:snapToGrid w:val="0"/>
          <w:sz w:val="24"/>
          <w:lang w:eastAsia="zh-CN"/>
        </w:rPr>
        <w:t>鉴于器械会进入动脉循环，广义标签必须包含针对血管通路窃血综合征、动脉狭窄、动脉血栓形成以及出血（包括失血过多）可能性的警告声明（</w:t>
      </w:r>
      <w:r>
        <w:rPr>
          <w:rFonts w:ascii="Arial" w:hAnsi="Arial" w:eastAsia="宋体" w:cs="Arial"/>
          <w:i/>
          <w:snapToGrid w:val="0"/>
          <w:sz w:val="24"/>
          <w:lang w:eastAsia="zh-CN"/>
        </w:rPr>
        <w:t>21 CFR 876.5540</w:t>
      </w:r>
      <w:r>
        <w:rPr>
          <w:rFonts w:hint="eastAsia" w:ascii="Arial" w:hAnsi="Arial" w:eastAsia="宋体" w:cs="Arial"/>
          <w:i/>
          <w:snapToGrid w:val="0"/>
          <w:sz w:val="24"/>
          <w:lang w:eastAsia="zh-CN"/>
        </w:rPr>
        <w:t>（</w:t>
      </w:r>
      <w:r>
        <w:rPr>
          <w:rFonts w:ascii="Arial" w:hAnsi="Arial" w:eastAsia="宋体" w:cs="Arial"/>
          <w:i/>
          <w:snapToGrid w:val="0"/>
          <w:sz w:val="24"/>
          <w:lang w:eastAsia="zh-CN"/>
        </w:rPr>
        <w:t>b</w:t>
      </w:r>
      <w:r>
        <w:rPr>
          <w:rFonts w:hint="eastAsia" w:ascii="Arial" w:hAnsi="Arial" w:eastAsia="宋体" w:cs="Arial"/>
          <w:i/>
          <w:snapToGrid w:val="0"/>
          <w:sz w:val="24"/>
          <w:lang w:eastAsia="zh-CN"/>
        </w:rPr>
        <w:t>）（</w:t>
      </w:r>
      <w:r>
        <w:rPr>
          <w:rFonts w:ascii="Arial" w:hAnsi="Arial" w:eastAsia="宋体" w:cs="Arial"/>
          <w:i/>
          <w:snapToGrid w:val="0"/>
          <w:sz w:val="24"/>
          <w:lang w:eastAsia="zh-CN"/>
        </w:rPr>
        <w:t>1</w:t>
      </w:r>
      <w:r>
        <w:rPr>
          <w:rFonts w:hint="eastAsia" w:ascii="Arial" w:hAnsi="Arial" w:eastAsia="宋体" w:cs="Arial"/>
          <w:i/>
          <w:snapToGrid w:val="0"/>
          <w:sz w:val="24"/>
          <w:lang w:eastAsia="zh-CN"/>
        </w:rPr>
        <w:t>）（</w:t>
      </w:r>
      <w:r>
        <w:rPr>
          <w:rFonts w:ascii="Arial" w:hAnsi="Arial" w:eastAsia="宋体" w:cs="Arial"/>
          <w:i/>
          <w:snapToGrid w:val="0"/>
          <w:sz w:val="24"/>
          <w:lang w:eastAsia="zh-CN"/>
        </w:rPr>
        <w:t>viii</w:t>
      </w:r>
      <w:r>
        <w:rPr>
          <w:rFonts w:hint="eastAsia" w:ascii="Arial" w:hAnsi="Arial" w:eastAsia="宋体" w:cs="Arial"/>
          <w:i/>
          <w:snapToGrid w:val="0"/>
          <w:sz w:val="24"/>
          <w:lang w:eastAsia="zh-CN"/>
        </w:rPr>
        <w:t>）（</w:t>
      </w:r>
      <w:r>
        <w:rPr>
          <w:rFonts w:ascii="Arial" w:hAnsi="Arial" w:eastAsia="宋体" w:cs="Arial"/>
          <w:i/>
          <w:snapToGrid w:val="0"/>
          <w:sz w:val="24"/>
          <w:lang w:eastAsia="zh-CN"/>
        </w:rPr>
        <w:t>B</w:t>
      </w:r>
      <w:r>
        <w:rPr>
          <w:rFonts w:hint="eastAsia" w:ascii="Arial" w:hAnsi="Arial" w:eastAsia="宋体" w:cs="Arial"/>
          <w:i/>
          <w:snapToGrid w:val="0"/>
          <w:sz w:val="24"/>
          <w:lang w:eastAsia="zh-CN"/>
        </w:rPr>
        <w:t>））。</w:t>
      </w:r>
    </w:p>
    <w:p w14:paraId="5BDC748D">
      <w:pPr>
        <w:pStyle w:val="22"/>
        <w:numPr>
          <w:ilvl w:val="0"/>
          <w:numId w:val="14"/>
        </w:numPr>
        <w:tabs>
          <w:tab w:val="left" w:pos="960"/>
        </w:tabs>
        <w:topLinePunct/>
        <w:autoSpaceDE/>
        <w:autoSpaceDN/>
        <w:adjustRightInd w:val="0"/>
        <w:snapToGrid w:val="0"/>
        <w:spacing w:after="224" w:afterLines="75" w:line="288" w:lineRule="auto"/>
        <w:ind w:hanging="393"/>
        <w:jc w:val="both"/>
        <w:rPr>
          <w:rFonts w:ascii="Arial" w:hAnsi="Arial" w:eastAsia="宋体" w:cs="Arial"/>
          <w:i/>
          <w:snapToGrid w:val="0"/>
          <w:sz w:val="24"/>
          <w:lang w:eastAsia="zh-CN"/>
        </w:rPr>
      </w:pPr>
      <w:r>
        <w:rPr>
          <w:rFonts w:hint="eastAsia" w:ascii="Arial" w:hAnsi="Arial" w:eastAsia="宋体" w:cs="Arial"/>
          <w:i/>
          <w:snapToGrid w:val="0"/>
          <w:sz w:val="24"/>
          <w:lang w:eastAsia="zh-CN"/>
        </w:rPr>
        <w:t>临床性能检验必须证实使用安全有效，并收集临床使用过程中观察到的所有不良事件（</w:t>
      </w:r>
      <w:r>
        <w:rPr>
          <w:rFonts w:ascii="Arial" w:hAnsi="Arial" w:eastAsia="宋体" w:cs="Arial"/>
          <w:i/>
          <w:snapToGrid w:val="0"/>
          <w:sz w:val="24"/>
          <w:lang w:eastAsia="zh-CN"/>
        </w:rPr>
        <w:t>21 CFR 876.5540</w:t>
      </w:r>
      <w:r>
        <w:rPr>
          <w:rFonts w:hint="eastAsia" w:ascii="Arial" w:hAnsi="Arial" w:eastAsia="宋体" w:cs="Arial"/>
          <w:i/>
          <w:snapToGrid w:val="0"/>
          <w:sz w:val="24"/>
          <w:lang w:eastAsia="zh-CN"/>
        </w:rPr>
        <w:t>（</w:t>
      </w:r>
      <w:r>
        <w:rPr>
          <w:rFonts w:ascii="Arial" w:hAnsi="Arial" w:eastAsia="宋体" w:cs="Arial"/>
          <w:i/>
          <w:snapToGrid w:val="0"/>
          <w:sz w:val="24"/>
          <w:lang w:eastAsia="zh-CN"/>
        </w:rPr>
        <w:t>b</w:t>
      </w:r>
      <w:r>
        <w:rPr>
          <w:rFonts w:hint="eastAsia" w:ascii="Arial" w:hAnsi="Arial" w:eastAsia="宋体" w:cs="Arial"/>
          <w:i/>
          <w:snapToGrid w:val="0"/>
          <w:sz w:val="24"/>
          <w:lang w:eastAsia="zh-CN"/>
        </w:rPr>
        <w:t>）（</w:t>
      </w:r>
      <w:r>
        <w:rPr>
          <w:rFonts w:ascii="Arial" w:hAnsi="Arial" w:eastAsia="宋体" w:cs="Arial"/>
          <w:i/>
          <w:snapToGrid w:val="0"/>
          <w:sz w:val="24"/>
          <w:lang w:eastAsia="zh-CN"/>
        </w:rPr>
        <w:t>1</w:t>
      </w:r>
      <w:r>
        <w:rPr>
          <w:rFonts w:hint="eastAsia" w:ascii="Arial" w:hAnsi="Arial" w:eastAsia="宋体" w:cs="Arial"/>
          <w:i/>
          <w:snapToGrid w:val="0"/>
          <w:sz w:val="24"/>
          <w:lang w:eastAsia="zh-CN"/>
        </w:rPr>
        <w:t>）（</w:t>
      </w:r>
      <w:r>
        <w:rPr>
          <w:rFonts w:ascii="Arial" w:hAnsi="Arial" w:eastAsia="宋体" w:cs="Arial"/>
          <w:i/>
          <w:snapToGrid w:val="0"/>
          <w:sz w:val="24"/>
          <w:lang w:eastAsia="zh-CN"/>
        </w:rPr>
        <w:t>viii</w:t>
      </w:r>
      <w:r>
        <w:rPr>
          <w:rFonts w:hint="eastAsia" w:ascii="Arial" w:hAnsi="Arial" w:eastAsia="宋体" w:cs="Arial"/>
          <w:i/>
          <w:snapToGrid w:val="0"/>
          <w:sz w:val="24"/>
          <w:lang w:eastAsia="zh-CN"/>
        </w:rPr>
        <w:t>）（</w:t>
      </w:r>
      <w:r>
        <w:rPr>
          <w:rFonts w:ascii="Arial" w:hAnsi="Arial" w:eastAsia="宋体" w:cs="Arial"/>
          <w:i/>
          <w:snapToGrid w:val="0"/>
          <w:sz w:val="24"/>
          <w:lang w:eastAsia="zh-CN"/>
        </w:rPr>
        <w:t>C</w:t>
      </w:r>
      <w:r>
        <w:rPr>
          <w:rFonts w:hint="eastAsia" w:ascii="Arial" w:hAnsi="Arial" w:eastAsia="宋体" w:cs="Arial"/>
          <w:i/>
          <w:snapToGrid w:val="0"/>
          <w:sz w:val="24"/>
          <w:lang w:eastAsia="zh-CN"/>
        </w:rPr>
        <w:t>））。</w:t>
      </w:r>
    </w:p>
    <w:p w14:paraId="560645B2">
      <w:pPr>
        <w:pStyle w:val="7"/>
        <w:topLinePunct/>
        <w:autoSpaceDE/>
        <w:autoSpaceDN/>
        <w:adjustRightInd w:val="0"/>
        <w:snapToGrid w:val="0"/>
        <w:spacing w:after="224" w:afterLines="75" w:line="288" w:lineRule="auto"/>
        <w:jc w:val="both"/>
        <w:rPr>
          <w:rFonts w:ascii="Arial" w:hAnsi="Arial" w:eastAsia="宋体" w:cs="Arial"/>
          <w:i/>
          <w:snapToGrid w:val="0"/>
          <w:lang w:eastAsia="zh-CN"/>
        </w:rPr>
      </w:pPr>
      <w:r>
        <w:rPr>
          <w:rFonts w:ascii="Arial" w:hAnsi="Arial" w:eastAsia="宋体" w:cs="Arial"/>
          <w:snapToGrid w:val="0"/>
          <w:lang w:eastAsia="zh-CN"/>
        </w:rPr>
        <w:br w:type="page"/>
      </w:r>
    </w:p>
    <w:p w14:paraId="76C039EB">
      <w:pPr>
        <w:pStyle w:val="7"/>
        <w:topLinePunct/>
        <w:autoSpaceDE/>
        <w:autoSpaceDN/>
        <w:adjustRightInd w:val="0"/>
        <w:snapToGrid w:val="0"/>
        <w:spacing w:after="224" w:afterLines="75" w:line="288" w:lineRule="auto"/>
        <w:ind w:left="992" w:leftChars="451"/>
        <w:jc w:val="both"/>
        <w:rPr>
          <w:rFonts w:ascii="Arial" w:hAnsi="Arial" w:eastAsia="宋体" w:cs="Arial"/>
          <w:snapToGrid w:val="0"/>
          <w:lang w:eastAsia="zh-CN"/>
        </w:rPr>
      </w:pPr>
      <w:r>
        <w:rPr>
          <w:rFonts w:hint="eastAsia" w:ascii="Arial" w:hAnsi="Arial" w:eastAsia="宋体" w:cs="Arial"/>
          <w:snapToGrid w:val="0"/>
          <w:lang w:eastAsia="zh-CN"/>
        </w:rPr>
        <w:t>建议：临床性能数据应证实导管与目前上市的血液透析血管通路器械（例如植入式血液透析导管或动静脉人工血管）同样安全有效（</w:t>
      </w:r>
      <w:r>
        <w:rPr>
          <w:rFonts w:ascii="Arial" w:hAnsi="Arial" w:eastAsia="宋体" w:cs="Arial"/>
          <w:snapToGrid w:val="0"/>
          <w:lang w:eastAsia="zh-CN"/>
        </w:rPr>
        <w:t>21 CFR 870.3450</w:t>
      </w:r>
      <w:r>
        <w:rPr>
          <w:rFonts w:hint="eastAsia" w:ascii="Arial" w:hAnsi="Arial" w:eastAsia="宋体" w:cs="Arial"/>
          <w:snapToGrid w:val="0"/>
          <w:lang w:eastAsia="zh-CN"/>
        </w:rPr>
        <w:t>）。</w:t>
      </w:r>
    </w:p>
    <w:p w14:paraId="4A81D23A">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r>
        <w:rPr>
          <w:rFonts w:ascii="Arial" w:hAnsi="Arial" w:eastAsia="宋体" w:cs="Arial"/>
          <w:snapToGrid w:val="0"/>
          <w:lang w:eastAsia="zh-CN"/>
        </w:rPr>
        <w:br w:type="page"/>
      </w:r>
    </w:p>
    <w:p w14:paraId="4E3ED9BB">
      <w:pPr>
        <w:pStyle w:val="3"/>
        <w:topLinePunct/>
        <w:autoSpaceDE/>
        <w:autoSpaceDN/>
        <w:adjustRightInd w:val="0"/>
        <w:snapToGrid w:val="0"/>
        <w:spacing w:after="224" w:afterLines="75" w:line="288" w:lineRule="auto"/>
        <w:ind w:left="0" w:firstLine="0"/>
        <w:jc w:val="both"/>
        <w:rPr>
          <w:rFonts w:ascii="Arial" w:hAnsi="Arial" w:eastAsia="宋体" w:cs="Arial"/>
          <w:snapToGrid w:val="0"/>
          <w:lang w:eastAsia="zh-CN"/>
        </w:rPr>
      </w:pPr>
      <w:bookmarkStart w:id="57" w:name="Appendix_A"/>
      <w:bookmarkEnd w:id="57"/>
      <w:bookmarkStart w:id="58" w:name="_bookmark27"/>
      <w:bookmarkEnd w:id="58"/>
      <w:bookmarkStart w:id="59" w:name="_Toc499129135"/>
      <w:r>
        <w:rPr>
          <w:rFonts w:hint="eastAsia" w:ascii="Arial" w:hAnsi="Arial" w:eastAsia="宋体" w:cs="Arial"/>
          <w:snapToGrid w:val="0"/>
          <w:lang w:eastAsia="zh-CN"/>
        </w:rPr>
        <w:t>附录</w:t>
      </w:r>
      <w:r>
        <w:rPr>
          <w:rFonts w:ascii="Arial" w:hAnsi="Arial" w:eastAsia="宋体" w:cs="Arial"/>
          <w:snapToGrid w:val="0"/>
          <w:lang w:eastAsia="zh-CN"/>
        </w:rPr>
        <w:t>A</w:t>
      </w:r>
      <w:bookmarkEnd w:id="59"/>
    </w:p>
    <w:p w14:paraId="1955EC55">
      <w:pPr>
        <w:pStyle w:val="6"/>
        <w:topLinePunct/>
        <w:autoSpaceDE/>
        <w:autoSpaceDN/>
        <w:adjustRightInd w:val="0"/>
        <w:snapToGrid w:val="0"/>
        <w:spacing w:after="224" w:afterLines="75" w:line="288" w:lineRule="auto"/>
        <w:ind w:left="0"/>
        <w:jc w:val="both"/>
        <w:rPr>
          <w:rFonts w:ascii="Arial" w:hAnsi="Arial" w:eastAsia="宋体" w:cs="Arial"/>
          <w:snapToGrid w:val="0"/>
          <w:lang w:eastAsia="zh-CN"/>
        </w:rPr>
      </w:pPr>
      <w:r>
        <w:rPr>
          <w:rFonts w:hint="eastAsia" w:ascii="Arial" w:hAnsi="Arial" w:eastAsia="宋体" w:cs="Arial"/>
          <w:snapToGrid w:val="0"/>
          <w:lang w:eastAsia="zh-CN"/>
        </w:rPr>
        <w:t>血液透析导管的机械性溶血试验</w:t>
      </w:r>
    </w:p>
    <w:p w14:paraId="37CDA8D3">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r>
        <w:rPr>
          <w:rFonts w:hint="eastAsia" w:ascii="Arial" w:hAnsi="Arial" w:eastAsia="宋体" w:cs="Arial"/>
          <w:snapToGrid w:val="0"/>
          <w:lang w:eastAsia="zh-CN"/>
        </w:rPr>
        <w:t>为评价血液透析导管导致血液损伤的可能性，通常使用动物血液进行模拟临床使用的体外试验。由于动物血液在人工体外环境中接受检验并且比血液透析患者的血液更容易受到物理损伤，因此台架测试结果向临床环境外推的价值有限。但通过利用相同动物来源的血液进行配对试验，可相对比较新器械与指定器械。</w:t>
      </w:r>
    </w:p>
    <w:p w14:paraId="662B78F2">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r>
        <w:rPr>
          <w:rFonts w:hint="eastAsia" w:ascii="Arial" w:hAnsi="Arial" w:eastAsia="宋体" w:cs="Arial"/>
          <w:snapToGrid w:val="0"/>
          <w:lang w:eastAsia="zh-CN"/>
        </w:rPr>
        <w:t>附录中的参考文献解决了很多关于体外溶血试验的问题，代表FDA关于实施这类试验的当前见解，可用作对于检验血液透析导管的指导文件</w:t>
      </w:r>
      <w:r>
        <w:rPr>
          <w:rStyle w:val="20"/>
          <w:rFonts w:ascii="Arial" w:hAnsi="Arial" w:eastAsia="宋体" w:cs="Arial"/>
          <w:snapToGrid w:val="0"/>
          <w:lang w:eastAsia="zh-CN"/>
        </w:rPr>
        <w:footnoteReference w:id="10"/>
      </w:r>
      <w:r>
        <w:rPr>
          <w:rFonts w:hint="eastAsia" w:ascii="Arial" w:hAnsi="Arial" w:eastAsia="宋体" w:cs="Arial"/>
          <w:snapToGrid w:val="0"/>
          <w:vertAlign w:val="superscript"/>
          <w:lang w:eastAsia="zh-CN"/>
        </w:rPr>
        <w:t>，</w:t>
      </w:r>
      <w:r>
        <w:fldChar w:fldCharType="begin"/>
      </w:r>
      <w:r>
        <w:instrText xml:space="preserve"> HYPERLINK \l "_bookmark29" </w:instrText>
      </w:r>
      <w:r>
        <w:fldChar w:fldCharType="separate"/>
      </w:r>
      <w:r>
        <w:rPr>
          <w:rStyle w:val="20"/>
        </w:rPr>
        <w:footnoteReference w:id="11"/>
      </w:r>
      <w:r>
        <w:rPr>
          <w:rFonts w:hint="eastAsia" w:ascii="Arial" w:hAnsi="Arial" w:eastAsia="宋体" w:cs="Arial"/>
          <w:snapToGrid w:val="0"/>
          <w:vertAlign w:val="superscript"/>
          <w:lang w:eastAsia="zh-CN"/>
        </w:rPr>
        <w:t>，</w:t>
      </w:r>
      <w:r>
        <w:rPr>
          <w:rFonts w:hint="eastAsia" w:ascii="Arial" w:hAnsi="Arial" w:eastAsia="宋体" w:cs="Arial"/>
          <w:snapToGrid w:val="0"/>
          <w:vertAlign w:val="superscript"/>
          <w:lang w:eastAsia="zh-CN"/>
        </w:rPr>
        <w:fldChar w:fldCharType="end"/>
      </w:r>
      <w:r>
        <w:rPr>
          <w:rStyle w:val="20"/>
          <w:rFonts w:ascii="Arial" w:hAnsi="Arial" w:eastAsia="宋体" w:cs="Arial"/>
          <w:snapToGrid w:val="0"/>
          <w:lang w:eastAsia="zh-CN"/>
        </w:rPr>
        <w:footnoteReference w:id="12"/>
      </w:r>
      <w:r>
        <w:rPr>
          <w:rFonts w:ascii="Arial" w:hAnsi="Arial" w:eastAsia="宋体" w:cs="Arial"/>
          <w:snapToGrid w:val="0"/>
          <w:vertAlign w:val="superscript"/>
          <w:lang w:eastAsia="zh-CN"/>
        </w:rPr>
        <w:t xml:space="preserve"> ，</w:t>
      </w:r>
      <w:r>
        <w:rPr>
          <w:rStyle w:val="20"/>
          <w:rFonts w:ascii="Arial" w:hAnsi="Arial" w:eastAsia="宋体" w:cs="Arial"/>
          <w:snapToGrid w:val="0"/>
          <w:lang w:eastAsia="zh-CN"/>
        </w:rPr>
        <w:footnoteReference w:id="13"/>
      </w:r>
      <w:r>
        <w:rPr>
          <w:rFonts w:ascii="Arial" w:hAnsi="Arial" w:eastAsia="宋体" w:cs="Arial"/>
          <w:snapToGrid w:val="0"/>
          <w:vertAlign w:val="superscript"/>
          <w:lang w:eastAsia="zh-CN"/>
        </w:rPr>
        <w:t>，</w:t>
      </w:r>
      <w:r>
        <w:rPr>
          <w:rStyle w:val="20"/>
          <w:rFonts w:ascii="Arial" w:hAnsi="Arial" w:eastAsia="宋体" w:cs="Arial"/>
          <w:snapToGrid w:val="0"/>
          <w:lang w:eastAsia="zh-CN"/>
        </w:rPr>
        <w:footnoteReference w:id="14"/>
      </w:r>
      <w:r>
        <w:rPr>
          <w:rFonts w:hint="eastAsia" w:ascii="Arial" w:hAnsi="Arial" w:eastAsia="宋体" w:cs="Arial"/>
          <w:snapToGrid w:val="0"/>
          <w:lang w:eastAsia="zh-CN"/>
        </w:rPr>
        <w:t>。试验由三部分组成：试验设置、实施试验和报告与解释结果。</w:t>
      </w:r>
    </w:p>
    <w:p w14:paraId="2833C656">
      <w:pPr>
        <w:pStyle w:val="6"/>
        <w:topLinePunct/>
        <w:autoSpaceDE/>
        <w:autoSpaceDN/>
        <w:adjustRightInd w:val="0"/>
        <w:snapToGrid w:val="0"/>
        <w:spacing w:after="224" w:afterLines="75" w:line="288" w:lineRule="auto"/>
        <w:ind w:left="0"/>
        <w:jc w:val="both"/>
        <w:rPr>
          <w:rFonts w:ascii="Arial" w:hAnsi="Arial" w:eastAsia="宋体" w:cs="Arial"/>
          <w:snapToGrid w:val="0"/>
        </w:rPr>
      </w:pPr>
      <w:r>
        <w:rPr>
          <w:rFonts w:hint="eastAsia" w:ascii="Arial" w:hAnsi="Arial" w:eastAsia="宋体" w:cs="Arial"/>
          <w:snapToGrid w:val="0"/>
          <w:u w:val="thick"/>
          <w:lang w:eastAsia="zh-CN"/>
        </w:rPr>
        <w:t>试验设置</w:t>
      </w:r>
      <w:r>
        <w:rPr>
          <w:rFonts w:hint="eastAsia" w:ascii="Arial" w:hAnsi="Arial" w:eastAsia="宋体" w:cs="Arial"/>
          <w:snapToGrid w:val="0"/>
          <w:u w:val="thick"/>
        </w:rPr>
        <w:t>：</w:t>
      </w:r>
    </w:p>
    <w:p w14:paraId="65DCE022">
      <w:pPr>
        <w:pStyle w:val="22"/>
        <w:numPr>
          <w:ilvl w:val="0"/>
          <w:numId w:val="15"/>
        </w:numPr>
        <w:tabs>
          <w:tab w:val="left" w:pos="480"/>
        </w:tabs>
        <w:topLinePunct/>
        <w:autoSpaceDE/>
        <w:autoSpaceDN/>
        <w:adjustRightInd w:val="0"/>
        <w:snapToGrid w:val="0"/>
        <w:spacing w:after="224" w:afterLines="75" w:line="288" w:lineRule="auto"/>
        <w:ind w:left="0" w:firstLine="0"/>
        <w:jc w:val="both"/>
        <w:rPr>
          <w:rFonts w:ascii="Arial" w:hAnsi="Arial" w:eastAsia="宋体" w:cs="Arial"/>
          <w:snapToGrid w:val="0"/>
          <w:sz w:val="24"/>
          <w:lang w:eastAsia="zh-CN"/>
        </w:rPr>
      </w:pPr>
      <w:r>
        <w:rPr>
          <w:rFonts w:hint="eastAsia" w:ascii="Arial" w:hAnsi="Arial" w:eastAsia="宋体" w:cs="Arial"/>
          <w:snapToGrid w:val="0"/>
          <w:sz w:val="24"/>
          <w:lang w:eastAsia="zh-CN"/>
        </w:rPr>
        <w:t>已对关于动态检验条件下医疗器械所致血液损伤的体外评估所用血液收集与制备方法的标准化指南描述</w:t>
      </w:r>
      <w:r>
        <w:rPr>
          <w:rFonts w:ascii="Arial" w:hAnsi="Arial" w:eastAsia="宋体" w:cs="Arial"/>
          <w:snapToGrid w:val="0"/>
          <w:sz w:val="24"/>
          <w:vertAlign w:val="superscript"/>
          <w:lang w:eastAsia="zh-CN"/>
        </w:rPr>
        <w:t>11</w:t>
      </w:r>
      <w:r>
        <w:rPr>
          <w:rFonts w:hint="eastAsia" w:ascii="Arial" w:hAnsi="Arial" w:eastAsia="宋体" w:cs="Arial"/>
          <w:snapToGrid w:val="0"/>
          <w:sz w:val="24"/>
          <w:lang w:eastAsia="zh-CN"/>
        </w:rPr>
        <w:t>。简言之，应从健康动物采集血液，并立即与适当抗凝剂混合（例如每升血液</w:t>
      </w:r>
      <w:r>
        <w:rPr>
          <w:rFonts w:ascii="Arial" w:hAnsi="Arial" w:eastAsia="宋体" w:cs="Arial"/>
          <w:snapToGrid w:val="0"/>
          <w:sz w:val="24"/>
          <w:lang w:eastAsia="zh-CN"/>
        </w:rPr>
        <w:t>4000-6000 USP</w:t>
      </w:r>
      <w:r>
        <w:rPr>
          <w:rFonts w:hint="eastAsia" w:ascii="Arial" w:hAnsi="Arial" w:eastAsia="宋体" w:cs="Arial"/>
          <w:snapToGrid w:val="0"/>
          <w:sz w:val="24"/>
          <w:lang w:eastAsia="zh-CN"/>
        </w:rPr>
        <w:t>单位肝素）。若不立即使用，应在</w:t>
      </w:r>
      <w:r>
        <w:rPr>
          <w:rFonts w:ascii="Arial" w:hAnsi="Arial" w:eastAsia="宋体" w:cs="Arial"/>
          <w:snapToGrid w:val="0"/>
          <w:sz w:val="24"/>
          <w:lang w:eastAsia="zh-CN"/>
        </w:rPr>
        <w:t>2</w:t>
      </w:r>
      <w:r>
        <w:rPr>
          <w:rFonts w:hint="eastAsia" w:ascii="Arial" w:hAnsi="Arial" w:eastAsia="宋体" w:cs="Arial"/>
          <w:snapToGrid w:val="0"/>
          <w:sz w:val="24"/>
          <w:lang w:eastAsia="zh-CN"/>
        </w:rPr>
        <w:t>-</w:t>
      </w:r>
      <w:r>
        <w:rPr>
          <w:rFonts w:ascii="Arial" w:hAnsi="Arial" w:eastAsia="宋体" w:cs="Arial"/>
          <w:snapToGrid w:val="0"/>
          <w:sz w:val="24"/>
          <w:lang w:eastAsia="zh-CN"/>
        </w:rPr>
        <w:t>8</w:t>
      </w:r>
      <w:r>
        <w:rPr>
          <w:rFonts w:hint="eastAsia" w:ascii="宋体" w:hAnsi="宋体" w:eastAsia="宋体" w:cs="Arial"/>
          <w:snapToGrid w:val="0"/>
          <w:sz w:val="24"/>
          <w:lang w:eastAsia="zh-CN"/>
        </w:rPr>
        <w:t>℃</w:t>
      </w:r>
      <w:r>
        <w:rPr>
          <w:rFonts w:hint="eastAsia" w:ascii="Arial" w:hAnsi="Arial" w:eastAsia="宋体" w:cs="Arial"/>
          <w:snapToGrid w:val="0"/>
          <w:sz w:val="24"/>
          <w:lang w:eastAsia="zh-CN"/>
        </w:rPr>
        <w:t>下离心血液，且应在解冻后</w:t>
      </w:r>
      <w:r>
        <w:rPr>
          <w:rFonts w:ascii="Arial" w:hAnsi="Arial" w:eastAsia="宋体" w:cs="Arial"/>
          <w:snapToGrid w:val="0"/>
          <w:sz w:val="24"/>
          <w:lang w:eastAsia="zh-CN"/>
        </w:rPr>
        <w:t>48</w:t>
      </w:r>
      <w:r>
        <w:rPr>
          <w:rFonts w:hint="eastAsia" w:ascii="Arial" w:hAnsi="Arial" w:eastAsia="宋体" w:cs="Arial"/>
          <w:snapToGrid w:val="0"/>
          <w:sz w:val="24"/>
          <w:lang w:eastAsia="zh-CN"/>
        </w:rPr>
        <w:t>小时内使用。试验前应过滤血液，并调节红细胞压积至标准水平（例如</w:t>
      </w:r>
      <w:r>
        <w:rPr>
          <w:rFonts w:ascii="Arial" w:hAnsi="Arial" w:eastAsia="宋体" w:cs="Arial"/>
          <w:snapToGrid w:val="0"/>
          <w:sz w:val="24"/>
          <w:lang w:eastAsia="zh-CN"/>
        </w:rPr>
        <w:t>35+/-2%</w:t>
      </w:r>
      <w:r>
        <w:rPr>
          <w:rFonts w:hint="eastAsia" w:ascii="Arial" w:hAnsi="Arial" w:eastAsia="宋体" w:cs="Arial"/>
          <w:snapToGrid w:val="0"/>
          <w:sz w:val="24"/>
          <w:lang w:eastAsia="zh-CN"/>
        </w:rPr>
        <w:t>）。</w:t>
      </w:r>
    </w:p>
    <w:p w14:paraId="3C0BB3FC">
      <w:pPr>
        <w:pStyle w:val="22"/>
        <w:numPr>
          <w:ilvl w:val="0"/>
          <w:numId w:val="15"/>
        </w:numPr>
        <w:tabs>
          <w:tab w:val="left" w:pos="480"/>
        </w:tabs>
        <w:topLinePunct/>
        <w:autoSpaceDE/>
        <w:autoSpaceDN/>
        <w:adjustRightInd w:val="0"/>
        <w:snapToGrid w:val="0"/>
        <w:spacing w:after="224" w:afterLines="75" w:line="288" w:lineRule="auto"/>
        <w:ind w:left="0" w:firstLine="0"/>
        <w:jc w:val="both"/>
        <w:rPr>
          <w:rFonts w:ascii="Arial" w:hAnsi="Arial" w:eastAsia="宋体" w:cs="Arial"/>
          <w:snapToGrid w:val="0"/>
          <w:sz w:val="24"/>
          <w:lang w:eastAsia="zh-CN"/>
        </w:rPr>
      </w:pPr>
      <w:r>
        <w:rPr>
          <w:rFonts w:hint="eastAsia" w:ascii="Arial" w:hAnsi="Arial" w:eastAsia="宋体" w:cs="Arial"/>
          <w:snapToGrid w:val="0"/>
          <w:sz w:val="24"/>
          <w:lang w:eastAsia="zh-CN"/>
        </w:rPr>
        <w:t>为进行配对试验，应分别安装两套相同的循环血液环路；一套用于指定器械，一套用于新器械。</w:t>
      </w:r>
      <w:r>
        <w:rPr>
          <w:rFonts w:ascii="Arial" w:hAnsi="Arial" w:eastAsia="宋体" w:cs="Arial"/>
          <w:snapToGrid w:val="0"/>
          <w:sz w:val="24"/>
          <w:lang w:eastAsia="zh-CN"/>
        </w:rPr>
        <w:t xml:space="preserve"> </w:t>
      </w:r>
    </w:p>
    <w:p w14:paraId="5E92724C">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r>
        <w:rPr>
          <w:rFonts w:ascii="Arial" w:hAnsi="Arial" w:eastAsia="宋体" w:cs="Arial"/>
          <w:snapToGrid w:val="0"/>
          <w:lang w:eastAsia="zh-CN"/>
        </w:rPr>
        <w:br w:type="page"/>
      </w:r>
    </w:p>
    <w:p w14:paraId="0E4DAF7D">
      <w:pPr>
        <w:pStyle w:val="7"/>
        <w:topLinePunct/>
        <w:autoSpaceDE/>
        <w:autoSpaceDN/>
        <w:adjustRightInd w:val="0"/>
        <w:snapToGrid w:val="0"/>
        <w:spacing w:after="224" w:afterLines="75" w:line="288" w:lineRule="auto"/>
        <w:jc w:val="both"/>
        <w:rPr>
          <w:rFonts w:ascii="Arial" w:hAnsi="Arial" w:eastAsia="宋体" w:cs="Arial"/>
          <w:snapToGrid w:val="0"/>
          <w:lang w:eastAsia="zh-CN"/>
        </w:rPr>
      </w:pPr>
      <w:r>
        <w:rPr>
          <w:rFonts w:hint="eastAsia" w:ascii="Arial" w:hAnsi="Arial" w:eastAsia="宋体" w:cs="Arial"/>
          <w:snapToGrid w:val="0"/>
          <w:lang w:eastAsia="zh-CN"/>
        </w:rPr>
        <w:t>血流环路的组成部分应包含血泵、有侧孔供采集血样的血液透析管路、连接导管的鲁尔接头、动脉与静脉导管部件中压力的测量系统、测量适当临床动脉与静脉压条件下血流速率的校准方法以及血液相容性材料制成的储液池（可加热至生理温度保存血液）。由于不同动物来源的血液具有内在差异，在每个试验日内，应在两个配对试验构型模拟环路中使用来自相同血库的血液（在相同血流条件下同时运行）。</w:t>
      </w:r>
    </w:p>
    <w:p w14:paraId="24B50682">
      <w:pPr>
        <w:pStyle w:val="22"/>
        <w:numPr>
          <w:ilvl w:val="0"/>
          <w:numId w:val="15"/>
        </w:numPr>
        <w:tabs>
          <w:tab w:val="left" w:pos="480"/>
        </w:tabs>
        <w:topLinePunct/>
        <w:autoSpaceDE/>
        <w:autoSpaceDN/>
        <w:adjustRightInd w:val="0"/>
        <w:snapToGrid w:val="0"/>
        <w:spacing w:after="224" w:afterLines="75" w:line="288" w:lineRule="auto"/>
        <w:ind w:left="0" w:firstLine="0"/>
        <w:jc w:val="both"/>
        <w:rPr>
          <w:rFonts w:ascii="Arial" w:hAnsi="Arial" w:eastAsia="宋体" w:cs="Arial"/>
          <w:snapToGrid w:val="0"/>
          <w:sz w:val="24"/>
          <w:lang w:eastAsia="zh-CN"/>
        </w:rPr>
      </w:pPr>
      <w:r>
        <w:rPr>
          <w:rFonts w:hint="eastAsia" w:ascii="Arial" w:hAnsi="Arial" w:eastAsia="宋体" w:cs="Arial"/>
          <w:snapToGrid w:val="0"/>
          <w:sz w:val="24"/>
          <w:lang w:eastAsia="zh-CN"/>
        </w:rPr>
        <w:t>溶血试验所用血泵是容积式滚柱闭塞泵。遵照用户手册，测试前仔细检查血泵的闭塞设置。应在适当临床动脉与静脉压条件下校准通过血泵的血流速率。</w:t>
      </w:r>
    </w:p>
    <w:p w14:paraId="7C75722E">
      <w:pPr>
        <w:pStyle w:val="22"/>
        <w:numPr>
          <w:ilvl w:val="0"/>
          <w:numId w:val="15"/>
        </w:numPr>
        <w:tabs>
          <w:tab w:val="left" w:pos="480"/>
        </w:tabs>
        <w:topLinePunct/>
        <w:autoSpaceDE/>
        <w:autoSpaceDN/>
        <w:adjustRightInd w:val="0"/>
        <w:snapToGrid w:val="0"/>
        <w:spacing w:after="224" w:afterLines="75" w:line="288" w:lineRule="auto"/>
        <w:ind w:left="0" w:firstLine="0"/>
        <w:jc w:val="both"/>
        <w:rPr>
          <w:rFonts w:ascii="Arial" w:hAnsi="Arial" w:eastAsia="宋体" w:cs="Arial"/>
          <w:snapToGrid w:val="0"/>
          <w:sz w:val="24"/>
          <w:lang w:eastAsia="zh-CN"/>
        </w:rPr>
      </w:pPr>
      <w:r>
        <w:rPr>
          <w:rFonts w:hint="eastAsia" w:ascii="Arial" w:hAnsi="Arial" w:eastAsia="宋体" w:cs="Arial"/>
          <w:snapToGrid w:val="0"/>
          <w:sz w:val="24"/>
          <w:lang w:eastAsia="zh-CN"/>
        </w:rPr>
        <w:t>两个试验环路中的总血流量应相等并最小化，以增加试验敏感性。但储液池中血量必须足够，以保证导管所有出入口均完全没在液面下方并且血液充分混合，但气液界面处混合不显著（例如应考虑使用柱形容器或血袋作为储液池）。</w:t>
      </w:r>
    </w:p>
    <w:p w14:paraId="7D1572EF">
      <w:pPr>
        <w:pStyle w:val="22"/>
        <w:numPr>
          <w:ilvl w:val="0"/>
          <w:numId w:val="15"/>
        </w:numPr>
        <w:tabs>
          <w:tab w:val="left" w:pos="480"/>
        </w:tabs>
        <w:topLinePunct/>
        <w:autoSpaceDE/>
        <w:autoSpaceDN/>
        <w:adjustRightInd w:val="0"/>
        <w:snapToGrid w:val="0"/>
        <w:spacing w:after="224" w:afterLines="75" w:line="288" w:lineRule="auto"/>
        <w:ind w:left="0" w:firstLine="0"/>
        <w:jc w:val="both"/>
        <w:rPr>
          <w:rFonts w:ascii="Arial" w:hAnsi="Arial" w:eastAsia="宋体" w:cs="Arial"/>
          <w:snapToGrid w:val="0"/>
          <w:sz w:val="24"/>
          <w:lang w:eastAsia="zh-CN"/>
        </w:rPr>
      </w:pPr>
      <w:r>
        <w:rPr>
          <w:rFonts w:hint="eastAsia" w:ascii="Arial" w:hAnsi="Arial" w:eastAsia="宋体" w:cs="Arial"/>
          <w:snapToGrid w:val="0"/>
          <w:sz w:val="24"/>
          <w:lang w:eastAsia="zh-CN"/>
        </w:rPr>
        <w:t>利用上述配对试验方案对比新器械与指定器械的每个队列样本量通常为5件器械。应在申报器械标识的最大血流速率时进行试验。对于导管系列，应在具有最大预期溶血潜力的型号（例如最小内径、最长长度、最大压力丢失和最大血流速率）上进行溶血试验。</w:t>
      </w:r>
    </w:p>
    <w:p w14:paraId="1E91EAB9">
      <w:pPr>
        <w:pStyle w:val="6"/>
        <w:topLinePunct/>
        <w:autoSpaceDE/>
        <w:autoSpaceDN/>
        <w:adjustRightInd w:val="0"/>
        <w:snapToGrid w:val="0"/>
        <w:spacing w:after="224" w:afterLines="75" w:line="288" w:lineRule="auto"/>
        <w:ind w:left="0"/>
        <w:jc w:val="both"/>
        <w:rPr>
          <w:rFonts w:ascii="Arial" w:hAnsi="Arial" w:eastAsia="宋体" w:cs="Arial"/>
          <w:snapToGrid w:val="0"/>
        </w:rPr>
      </w:pPr>
      <w:r>
        <w:rPr>
          <w:rFonts w:hint="eastAsia" w:ascii="Arial" w:hAnsi="Arial" w:eastAsia="宋体" w:cs="Arial"/>
          <w:snapToGrid w:val="0"/>
          <w:u w:val="thick"/>
          <w:lang w:eastAsia="zh-CN"/>
        </w:rPr>
        <w:t>进行试验</w:t>
      </w:r>
      <w:r>
        <w:rPr>
          <w:rFonts w:hint="eastAsia" w:ascii="Arial" w:hAnsi="Arial" w:eastAsia="宋体" w:cs="Arial"/>
          <w:snapToGrid w:val="0"/>
          <w:u w:val="thick"/>
        </w:rPr>
        <w:t>：</w:t>
      </w:r>
    </w:p>
    <w:p w14:paraId="0EBC4E3C">
      <w:pPr>
        <w:pStyle w:val="22"/>
        <w:numPr>
          <w:ilvl w:val="0"/>
          <w:numId w:val="15"/>
        </w:numPr>
        <w:tabs>
          <w:tab w:val="left" w:pos="480"/>
        </w:tabs>
        <w:topLinePunct/>
        <w:autoSpaceDE/>
        <w:autoSpaceDN/>
        <w:adjustRightInd w:val="0"/>
        <w:snapToGrid w:val="0"/>
        <w:spacing w:after="224" w:afterLines="75" w:line="288" w:lineRule="auto"/>
        <w:ind w:left="0" w:firstLine="0"/>
        <w:jc w:val="both"/>
        <w:rPr>
          <w:rFonts w:ascii="Arial" w:hAnsi="Arial" w:eastAsia="宋体" w:cs="Arial"/>
          <w:snapToGrid w:val="0"/>
          <w:sz w:val="24"/>
          <w:lang w:eastAsia="zh-CN"/>
        </w:rPr>
      </w:pPr>
      <w:r>
        <w:rPr>
          <w:rFonts w:hint="eastAsia" w:ascii="Arial" w:hAnsi="Arial" w:eastAsia="宋体" w:cs="Arial"/>
          <w:snapToGrid w:val="0"/>
          <w:sz w:val="24"/>
          <w:lang w:eastAsia="zh-CN"/>
        </w:rPr>
        <w:t>进行血液试验前，应在回路中循环缓冲盐水5分钟，以冲洗表面。</w:t>
      </w:r>
    </w:p>
    <w:p w14:paraId="3976D21E">
      <w:pPr>
        <w:pStyle w:val="22"/>
        <w:numPr>
          <w:ilvl w:val="0"/>
          <w:numId w:val="15"/>
        </w:numPr>
        <w:tabs>
          <w:tab w:val="left" w:pos="480"/>
        </w:tabs>
        <w:topLinePunct/>
        <w:autoSpaceDE/>
        <w:autoSpaceDN/>
        <w:adjustRightInd w:val="0"/>
        <w:snapToGrid w:val="0"/>
        <w:spacing w:after="224" w:afterLines="75" w:line="288" w:lineRule="auto"/>
        <w:ind w:left="0" w:firstLine="0"/>
        <w:jc w:val="both"/>
        <w:rPr>
          <w:rFonts w:ascii="Arial" w:hAnsi="Arial" w:eastAsia="宋体" w:cs="Arial"/>
          <w:snapToGrid w:val="0"/>
          <w:sz w:val="24"/>
        </w:rPr>
      </w:pPr>
      <w:r>
        <w:rPr>
          <w:rFonts w:hint="eastAsia" w:ascii="Arial" w:hAnsi="Arial" w:eastAsia="宋体" w:cs="Arial"/>
          <w:snapToGrid w:val="0"/>
          <w:sz w:val="24"/>
          <w:lang w:eastAsia="zh-CN"/>
        </w:rPr>
        <w:t>试验前与测试过程中应加热血液并维持在生理温度（</w:t>
      </w:r>
      <w:r>
        <w:rPr>
          <w:rFonts w:ascii="Arial" w:hAnsi="Arial" w:eastAsia="宋体" w:cs="Arial"/>
          <w:snapToGrid w:val="0"/>
          <w:sz w:val="24"/>
          <w:lang w:eastAsia="zh-CN"/>
        </w:rPr>
        <w:t>35– 38ºC</w:t>
      </w:r>
      <w:r>
        <w:rPr>
          <w:rFonts w:hint="eastAsia" w:ascii="Arial" w:hAnsi="Arial" w:eastAsia="宋体" w:cs="Arial"/>
          <w:snapToGrid w:val="0"/>
          <w:sz w:val="24"/>
          <w:lang w:eastAsia="zh-CN"/>
        </w:rPr>
        <w:t>），同时避免血液暴露于39</w:t>
      </w:r>
      <w:r>
        <w:rPr>
          <w:rFonts w:hint="eastAsia" w:ascii="宋体" w:hAnsi="宋体" w:eastAsia="宋体" w:cs="Arial"/>
          <w:snapToGrid w:val="0"/>
          <w:sz w:val="24"/>
          <w:lang w:eastAsia="zh-CN"/>
        </w:rPr>
        <w:t>℃</w:t>
      </w:r>
      <w:r>
        <w:rPr>
          <w:rFonts w:hint="eastAsia" w:ascii="Arial" w:hAnsi="Arial" w:eastAsia="宋体" w:cs="Arial"/>
          <w:snapToGrid w:val="0"/>
          <w:sz w:val="24"/>
          <w:lang w:eastAsia="zh-CN"/>
        </w:rPr>
        <w:t>以上温度（例如从水浴中）。引出环路的盐水，注入加热后血液，从模拟环路中排空气泡。采集基线样本（时间=</w:t>
      </w:r>
      <w:r>
        <w:rPr>
          <w:rFonts w:ascii="Arial" w:hAnsi="Arial" w:eastAsia="宋体" w:cs="Arial"/>
          <w:snapToGrid w:val="0"/>
          <w:sz w:val="24"/>
          <w:lang w:eastAsia="zh-CN"/>
        </w:rPr>
        <w:t>0</w:t>
      </w:r>
      <w:r>
        <w:rPr>
          <w:rFonts w:hint="eastAsia" w:ascii="Arial" w:hAnsi="Arial" w:eastAsia="宋体" w:cs="Arial"/>
          <w:snapToGrid w:val="0"/>
          <w:sz w:val="24"/>
          <w:lang w:eastAsia="zh-CN"/>
        </w:rPr>
        <w:t>）之前，应允许血液在环路中循环约3分钟。测定基线样品的红细胞压积、全血血红蛋白浓度和血浆血红蛋白浓度。应使用验证的方法评估关键测量参数，即血浆血红蛋白浓度。</w:t>
      </w:r>
      <w:r>
        <w:rPr>
          <w:rFonts w:ascii="Arial" w:hAnsi="Arial" w:eastAsia="宋体" w:cs="Arial"/>
          <w:snapToGrid w:val="0"/>
          <w:sz w:val="24"/>
          <w:vertAlign w:val="superscript"/>
        </w:rPr>
        <w:t>15</w:t>
      </w:r>
    </w:p>
    <w:p w14:paraId="35F4C530">
      <w:pPr>
        <w:pStyle w:val="22"/>
        <w:numPr>
          <w:ilvl w:val="0"/>
          <w:numId w:val="15"/>
        </w:numPr>
        <w:tabs>
          <w:tab w:val="left" w:pos="480"/>
        </w:tabs>
        <w:topLinePunct/>
        <w:autoSpaceDE/>
        <w:autoSpaceDN/>
        <w:adjustRightInd w:val="0"/>
        <w:snapToGrid w:val="0"/>
        <w:spacing w:after="224" w:afterLines="75" w:line="288" w:lineRule="auto"/>
        <w:ind w:left="0" w:firstLine="0"/>
        <w:jc w:val="both"/>
        <w:rPr>
          <w:rFonts w:ascii="Arial" w:hAnsi="Arial" w:eastAsia="宋体" w:cs="Arial"/>
          <w:snapToGrid w:val="0"/>
          <w:sz w:val="24"/>
          <w:lang w:eastAsia="zh-CN"/>
        </w:rPr>
      </w:pPr>
      <w:r>
        <w:rPr>
          <w:rFonts w:hint="eastAsia" w:ascii="Arial" w:hAnsi="Arial" w:eastAsia="宋体" w:cs="Arial"/>
          <w:snapToGrid w:val="0"/>
          <w:sz w:val="24"/>
          <w:lang w:eastAsia="zh-CN"/>
        </w:rPr>
        <w:t>通常只要器械被标识用于临床治疗，就要实施体外血液试验。对于时长为4小时的试验，可在0、30分钟、60分钟、120分钟、180分钟和240分钟时采集血样分析血浆血红蛋白浓度。</w:t>
      </w:r>
    </w:p>
    <w:p w14:paraId="23AC49B8">
      <w:pPr>
        <w:rPr>
          <w:rFonts w:ascii="Arial" w:hAnsi="Arial" w:eastAsia="宋体" w:cs="Arial"/>
          <w:snapToGrid w:val="0"/>
          <w:sz w:val="24"/>
          <w:lang w:eastAsia="zh-CN"/>
        </w:rPr>
      </w:pPr>
      <w:r>
        <w:rPr>
          <w:rFonts w:ascii="Arial" w:hAnsi="Arial" w:eastAsia="宋体" w:cs="Arial"/>
          <w:snapToGrid w:val="0"/>
          <w:sz w:val="24"/>
          <w:lang w:eastAsia="zh-CN"/>
        </w:rPr>
        <w:br w:type="page"/>
      </w:r>
    </w:p>
    <w:p w14:paraId="18BC32D2">
      <w:pPr>
        <w:pStyle w:val="22"/>
        <w:numPr>
          <w:ilvl w:val="0"/>
          <w:numId w:val="15"/>
        </w:numPr>
        <w:tabs>
          <w:tab w:val="left" w:pos="480"/>
        </w:tabs>
        <w:topLinePunct/>
        <w:autoSpaceDE/>
        <w:autoSpaceDN/>
        <w:adjustRightInd w:val="0"/>
        <w:snapToGrid w:val="0"/>
        <w:spacing w:after="224" w:afterLines="75" w:line="288" w:lineRule="auto"/>
        <w:ind w:left="0" w:firstLine="0"/>
        <w:jc w:val="both"/>
        <w:rPr>
          <w:rFonts w:ascii="Arial" w:hAnsi="Arial" w:eastAsia="宋体" w:cs="Arial"/>
          <w:snapToGrid w:val="0"/>
          <w:sz w:val="24"/>
          <w:lang w:eastAsia="zh-CN"/>
        </w:rPr>
      </w:pPr>
      <w:r>
        <w:rPr>
          <w:rFonts w:hint="eastAsia" w:ascii="Arial" w:hAnsi="Arial" w:eastAsia="宋体" w:cs="Arial"/>
          <w:snapToGrid w:val="0"/>
          <w:sz w:val="24"/>
          <w:lang w:eastAsia="zh-CN"/>
        </w:rPr>
        <w:t>为保证血样充分混合，可从管路鲁尔侧口轻轻采血。由于使用小取样针头可能导致溶血，建议使用无针头注射器。首先用无针头注射器抽出一定量新鲜血液（</w:t>
      </w:r>
      <w:r>
        <w:rPr>
          <w:rFonts w:ascii="Arial" w:hAnsi="Arial" w:eastAsia="宋体" w:cs="Arial"/>
          <w:snapToGrid w:val="0"/>
          <w:sz w:val="24"/>
          <w:lang w:eastAsia="zh-CN"/>
        </w:rPr>
        <w:t>1 mL</w:t>
      </w:r>
      <w:r>
        <w:rPr>
          <w:rFonts w:hint="eastAsia" w:ascii="Arial" w:hAnsi="Arial" w:eastAsia="宋体" w:cs="Arial"/>
          <w:snapToGrid w:val="0"/>
          <w:sz w:val="24"/>
          <w:lang w:eastAsia="zh-CN"/>
        </w:rPr>
        <w:t>）清洁出口。然后用新注射器抽取采集新鲜血样进行分析。建议每个时间段采集2份样品。避免过快拉动注射器活塞或将采集的血液用力推入采血管，以防止压力或速度诱导溶血。</w:t>
      </w:r>
    </w:p>
    <w:p w14:paraId="124C9865">
      <w:pPr>
        <w:pStyle w:val="22"/>
        <w:numPr>
          <w:ilvl w:val="0"/>
          <w:numId w:val="15"/>
        </w:numPr>
        <w:tabs>
          <w:tab w:val="left" w:pos="600"/>
        </w:tabs>
        <w:topLinePunct/>
        <w:autoSpaceDE/>
        <w:autoSpaceDN/>
        <w:adjustRightInd w:val="0"/>
        <w:snapToGrid w:val="0"/>
        <w:spacing w:after="224" w:afterLines="75" w:line="288" w:lineRule="auto"/>
        <w:ind w:left="0" w:firstLine="0"/>
        <w:jc w:val="both"/>
        <w:rPr>
          <w:rFonts w:ascii="Arial" w:hAnsi="Arial" w:eastAsia="宋体" w:cs="Arial"/>
          <w:snapToGrid w:val="0"/>
          <w:sz w:val="24"/>
          <w:lang w:eastAsia="zh-CN"/>
        </w:rPr>
      </w:pPr>
      <w:r>
        <w:rPr>
          <w:rFonts w:hint="eastAsia" w:ascii="Arial" w:hAnsi="Arial" w:eastAsia="宋体" w:cs="Arial"/>
          <w:snapToGrid w:val="0"/>
          <w:sz w:val="24"/>
          <w:lang w:eastAsia="zh-CN"/>
        </w:rPr>
        <w:t>检验过程中，应定期测量并记录每个环路的动脉与静脉导管压力、血液温度和血流速率。</w:t>
      </w:r>
    </w:p>
    <w:p w14:paraId="70EB3CDF">
      <w:pPr>
        <w:pStyle w:val="6"/>
        <w:topLinePunct/>
        <w:autoSpaceDE/>
        <w:autoSpaceDN/>
        <w:adjustRightInd w:val="0"/>
        <w:snapToGrid w:val="0"/>
        <w:spacing w:after="224" w:afterLines="75" w:line="288" w:lineRule="auto"/>
        <w:ind w:left="0"/>
        <w:jc w:val="both"/>
        <w:rPr>
          <w:rFonts w:ascii="Arial" w:hAnsi="Arial" w:eastAsia="宋体" w:cs="Arial"/>
          <w:snapToGrid w:val="0"/>
        </w:rPr>
      </w:pPr>
      <w:r>
        <w:rPr>
          <w:rFonts w:hint="eastAsia" w:ascii="Arial" w:hAnsi="Arial" w:eastAsia="宋体" w:cs="Arial"/>
          <w:snapToGrid w:val="0"/>
          <w:u w:val="thick"/>
          <w:lang w:eastAsia="zh-CN"/>
        </w:rPr>
        <w:t>报告检验结果</w:t>
      </w:r>
      <w:r>
        <w:rPr>
          <w:rFonts w:ascii="Arial" w:hAnsi="Arial" w:eastAsia="宋体" w:cs="Arial"/>
          <w:snapToGrid w:val="0"/>
          <w:u w:val="thick"/>
        </w:rPr>
        <w:t>／</w:t>
      </w:r>
      <w:r>
        <w:rPr>
          <w:rFonts w:hint="eastAsia" w:ascii="Arial" w:hAnsi="Arial" w:eastAsia="宋体" w:cs="Arial"/>
          <w:snapToGrid w:val="0"/>
          <w:u w:val="thick"/>
          <w:lang w:eastAsia="zh-CN"/>
        </w:rPr>
        <w:t>解释</w:t>
      </w:r>
      <w:r>
        <w:rPr>
          <w:rFonts w:hint="eastAsia" w:ascii="Arial" w:hAnsi="Arial" w:eastAsia="宋体" w:cs="Arial"/>
          <w:snapToGrid w:val="0"/>
          <w:u w:val="thick"/>
        </w:rPr>
        <w:t>：</w:t>
      </w:r>
    </w:p>
    <w:p w14:paraId="7C5B4D7B">
      <w:pPr>
        <w:pStyle w:val="22"/>
        <w:numPr>
          <w:ilvl w:val="0"/>
          <w:numId w:val="15"/>
        </w:numPr>
        <w:tabs>
          <w:tab w:val="left" w:pos="600"/>
        </w:tabs>
        <w:topLinePunct/>
        <w:autoSpaceDE/>
        <w:autoSpaceDN/>
        <w:adjustRightInd w:val="0"/>
        <w:snapToGrid w:val="0"/>
        <w:spacing w:after="224" w:afterLines="75" w:line="288" w:lineRule="auto"/>
        <w:ind w:left="0" w:firstLine="0"/>
        <w:jc w:val="both"/>
        <w:rPr>
          <w:rFonts w:ascii="Arial" w:hAnsi="Arial" w:eastAsia="宋体" w:cs="Arial"/>
          <w:snapToGrid w:val="0"/>
          <w:sz w:val="24"/>
          <w:lang w:eastAsia="zh-CN"/>
        </w:rPr>
      </w:pPr>
      <w:r>
        <w:rPr>
          <w:rFonts w:hint="eastAsia" w:ascii="Arial" w:hAnsi="Arial" w:eastAsia="宋体" w:cs="Arial"/>
          <w:snapToGrid w:val="0"/>
          <w:sz w:val="24"/>
          <w:lang w:eastAsia="zh-CN"/>
        </w:rPr>
        <w:t>应与体外试验环路图示同时提供一份实施血液损伤检验的详细方案。应在最终报告中记录每个试验环路所用日期、时间和血池。</w:t>
      </w:r>
    </w:p>
    <w:p w14:paraId="35BE2FEA">
      <w:pPr>
        <w:pStyle w:val="22"/>
        <w:numPr>
          <w:ilvl w:val="0"/>
          <w:numId w:val="15"/>
        </w:numPr>
        <w:tabs>
          <w:tab w:val="left" w:pos="690"/>
        </w:tabs>
        <w:topLinePunct/>
        <w:autoSpaceDE/>
        <w:autoSpaceDN/>
        <w:adjustRightInd w:val="0"/>
        <w:snapToGrid w:val="0"/>
        <w:spacing w:after="224" w:afterLines="75" w:line="288" w:lineRule="auto"/>
        <w:ind w:left="0" w:firstLine="0"/>
        <w:jc w:val="both"/>
        <w:rPr>
          <w:rFonts w:ascii="Arial" w:hAnsi="Arial" w:eastAsia="宋体" w:cs="Arial"/>
          <w:snapToGrid w:val="0"/>
          <w:sz w:val="24"/>
          <w:lang w:eastAsia="zh-CN"/>
        </w:rPr>
      </w:pPr>
      <w:r>
        <w:rPr>
          <w:rFonts w:hint="eastAsia" w:ascii="Arial" w:hAnsi="Arial" w:eastAsia="宋体" w:cs="Arial"/>
          <w:snapToGrid w:val="0"/>
          <w:sz w:val="24"/>
          <w:lang w:eastAsia="zh-CN"/>
        </w:rPr>
        <w:t>应以列表和图形形式提供各项试验的数据。血浆血红蛋白应以浓度（</w:t>
      </w:r>
      <w:r>
        <w:rPr>
          <w:rFonts w:ascii="Arial" w:hAnsi="Arial" w:eastAsia="宋体" w:cs="Arial"/>
          <w:snapToGrid w:val="0"/>
          <w:sz w:val="24"/>
          <w:lang w:eastAsia="zh-CN"/>
        </w:rPr>
        <w:t>mg/dL</w:t>
      </w:r>
      <w:r>
        <w:rPr>
          <w:rFonts w:hint="eastAsia" w:ascii="Arial" w:hAnsi="Arial" w:eastAsia="宋体" w:cs="Arial"/>
          <w:snapToGrid w:val="0"/>
          <w:sz w:val="24"/>
          <w:lang w:eastAsia="zh-CN"/>
        </w:rPr>
        <w:t>）随时间推移增加的形式报道，利用对每个不同试验环路的覆盖线图。由于这些图形一般随时间推移呈线性表现，可计算每个试验环路数据的最小二乘法拟合。最小拟合线的斜率是血浆血红蛋白生成速率。</w:t>
      </w:r>
    </w:p>
    <w:p w14:paraId="1527ABF9">
      <w:pPr>
        <w:pStyle w:val="22"/>
        <w:numPr>
          <w:ilvl w:val="0"/>
          <w:numId w:val="15"/>
        </w:numPr>
        <w:tabs>
          <w:tab w:val="left" w:pos="749"/>
          <w:tab w:val="left" w:pos="750"/>
        </w:tabs>
        <w:topLinePunct/>
        <w:autoSpaceDE/>
        <w:autoSpaceDN/>
        <w:adjustRightInd w:val="0"/>
        <w:snapToGrid w:val="0"/>
        <w:spacing w:after="224" w:afterLines="75" w:line="288" w:lineRule="auto"/>
        <w:ind w:left="0" w:firstLine="0"/>
        <w:jc w:val="both"/>
        <w:rPr>
          <w:rFonts w:ascii="Arial" w:hAnsi="Arial" w:eastAsia="宋体" w:cs="Arial"/>
          <w:snapToGrid w:val="0"/>
          <w:sz w:val="24"/>
          <w:lang w:eastAsia="zh-CN"/>
        </w:rPr>
      </w:pPr>
      <w:r>
        <w:rPr>
          <w:rFonts w:hint="eastAsia" w:ascii="Arial" w:hAnsi="Arial" w:eastAsia="宋体" w:cs="Arial"/>
          <w:snapToGrid w:val="0"/>
          <w:sz w:val="24"/>
          <w:lang w:eastAsia="zh-CN"/>
        </w:rPr>
        <w:t>应对每个不同导管组以列表和图形形式显示平均值（</w:t>
      </w:r>
      <w:r>
        <w:rPr>
          <w:rFonts w:ascii="Arial" w:hAnsi="Arial" w:eastAsia="宋体" w:cs="Arial"/>
          <w:snapToGrid w:val="0"/>
          <w:sz w:val="24"/>
          <w:lang w:eastAsia="zh-CN"/>
        </w:rPr>
        <w:t>+/- SD</w:t>
      </w:r>
      <w:r>
        <w:rPr>
          <w:rFonts w:hint="eastAsia" w:ascii="Arial" w:hAnsi="Arial" w:eastAsia="宋体" w:cs="Arial"/>
          <w:snapToGrid w:val="0"/>
          <w:sz w:val="24"/>
          <w:lang w:eastAsia="zh-CN"/>
        </w:rPr>
        <w:t>）结果。</w:t>
      </w:r>
    </w:p>
    <w:p w14:paraId="6A167746">
      <w:pPr>
        <w:pStyle w:val="22"/>
        <w:numPr>
          <w:ilvl w:val="0"/>
          <w:numId w:val="15"/>
        </w:numPr>
        <w:tabs>
          <w:tab w:val="left" w:pos="749"/>
          <w:tab w:val="left" w:pos="750"/>
        </w:tabs>
        <w:topLinePunct/>
        <w:autoSpaceDE/>
        <w:autoSpaceDN/>
        <w:adjustRightInd w:val="0"/>
        <w:snapToGrid w:val="0"/>
        <w:spacing w:after="224" w:afterLines="75" w:line="288" w:lineRule="auto"/>
        <w:ind w:left="0" w:firstLine="0"/>
        <w:jc w:val="both"/>
        <w:rPr>
          <w:rFonts w:ascii="Arial" w:hAnsi="Arial" w:eastAsia="宋体" w:cs="Arial"/>
          <w:snapToGrid w:val="0"/>
          <w:sz w:val="24"/>
          <w:lang w:eastAsia="zh-CN"/>
        </w:rPr>
      </w:pPr>
      <w:r>
        <w:rPr>
          <w:rFonts w:hint="eastAsia" w:ascii="Arial" w:hAnsi="Arial" w:eastAsia="宋体" w:cs="Arial"/>
          <w:snapToGrid w:val="0"/>
          <w:sz w:val="24"/>
          <w:lang w:eastAsia="zh-CN"/>
        </w:rPr>
        <w:t>利用各项配对试验环路的配对统计检验，可对比新导管与指定导管的血浆血红蛋白生成速率。</w:t>
      </w:r>
    </w:p>
    <w:p w14:paraId="5D481C88">
      <w:pPr>
        <w:pStyle w:val="2"/>
        <w:pBdr>
          <w:bottom w:val="single" w:color="auto" w:sz="4" w:space="1"/>
        </w:pBdr>
        <w:topLinePunct/>
        <w:autoSpaceDE/>
        <w:autoSpaceDN/>
        <w:adjustRightInd w:val="0"/>
        <w:snapToGrid w:val="0"/>
        <w:spacing w:before="0" w:after="224" w:afterLines="75" w:line="288" w:lineRule="auto"/>
        <w:ind w:left="0"/>
        <w:rPr>
          <w:rFonts w:hint="eastAsia" w:eastAsia="宋体"/>
          <w:lang w:eastAsia="zh-CN"/>
        </w:rPr>
      </w:pPr>
    </w:p>
    <w:p w14:paraId="32C0112C">
      <w:pPr>
        <w:pStyle w:val="2"/>
        <w:pBdr>
          <w:bottom w:val="single" w:color="auto" w:sz="4" w:space="1"/>
        </w:pBdr>
        <w:topLinePunct/>
        <w:autoSpaceDE/>
        <w:autoSpaceDN/>
        <w:adjustRightInd w:val="0"/>
        <w:snapToGrid w:val="0"/>
        <w:spacing w:before="0" w:after="224" w:afterLines="75" w:line="288" w:lineRule="auto"/>
        <w:ind w:left="0"/>
        <w:jc w:val="center"/>
        <w:rPr>
          <w:rFonts w:hint="eastAsia" w:eastAsia="宋体"/>
          <w:lang w:eastAsia="zh-CN"/>
        </w:rPr>
      </w:pPr>
    </w:p>
    <w:p w14:paraId="77ABC1B8">
      <w:pPr>
        <w:pStyle w:val="2"/>
        <w:pBdr>
          <w:bottom w:val="single" w:color="auto" w:sz="4" w:space="1"/>
        </w:pBdr>
        <w:topLinePunct/>
        <w:autoSpaceDE/>
        <w:autoSpaceDN/>
        <w:adjustRightInd w:val="0"/>
        <w:snapToGrid w:val="0"/>
        <w:spacing w:before="0" w:after="224" w:afterLines="75" w:line="288" w:lineRule="auto"/>
        <w:ind w:left="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10"/>
                    <a:stretch>
                      <a:fillRect/>
                    </a:stretch>
                  </pic:blipFill>
                  <pic:spPr>
                    <a:xfrm>
                      <a:off x="0" y="0"/>
                      <a:ext cx="5210175" cy="7343775"/>
                    </a:xfrm>
                    <a:prstGeom prst="rect">
                      <a:avLst/>
                    </a:prstGeom>
                  </pic:spPr>
                </pic:pic>
              </a:graphicData>
            </a:graphic>
          </wp:inline>
        </w:drawing>
      </w:r>
    </w:p>
    <w:sectPr>
      <w:headerReference r:id="rId6" w:type="default"/>
      <w:footerReference r:id="rId7" w:type="default"/>
      <w:pgSz w:w="11906" w:h="16838"/>
      <w:pgMar w:top="1134" w:right="1440" w:bottom="1134" w:left="1440" w:header="720" w:footer="720" w:gutter="0"/>
      <w:pgNumType w:start="1"/>
      <w:cols w:space="720" w:num="1"/>
      <w:docGrid w:type="lines"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B069C">
    <w:pPr>
      <w:pStyle w:val="7"/>
      <w:spacing w:line="14" w:lineRule="auto"/>
      <w:rPr>
        <w:rFonts w:ascii="Arial" w:hAnsi="Arial" w:eastAsia="宋体" w:cs="Arial"/>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EC166">
    <w:pPr>
      <w:pStyle w:val="7"/>
      <w:rPr>
        <w:rFonts w:ascii="Arial" w:hAnsi="Arial" w:eastAsia="宋体" w:cs="Arial"/>
        <w:sz w:val="21"/>
        <w:lang w:eastAsia="zh-CN"/>
      </w:rPr>
    </w:pPr>
  </w:p>
  <w:p w14:paraId="2EE24BA1">
    <w:pPr>
      <w:pStyle w:val="7"/>
      <w:rPr>
        <w:rFonts w:ascii="Arial" w:hAnsi="Arial" w:eastAsia="宋体" w:cs="Arial"/>
        <w:sz w:val="21"/>
        <w:lang w:eastAsia="zh-CN"/>
      </w:rPr>
    </w:pPr>
  </w:p>
  <w:p w14:paraId="40FC151C">
    <w:pPr>
      <w:pStyle w:val="7"/>
      <w:jc w:val="right"/>
      <w:rPr>
        <w:rFonts w:ascii="Arial" w:hAnsi="Arial" w:eastAsia="宋体" w:cs="Arial"/>
        <w:sz w:val="21"/>
        <w:lang w:eastAsia="zh-CN"/>
      </w:rPr>
    </w:pPr>
    <w:r>
      <w:rPr>
        <w:rFonts w:ascii="Arial" w:hAnsi="Arial" w:eastAsia="宋体" w:cs="Arial"/>
        <w:sz w:val="21"/>
        <w:lang w:eastAsia="zh-CN"/>
      </w:rPr>
      <w:fldChar w:fldCharType="begin"/>
    </w:r>
    <w:r>
      <w:rPr>
        <w:rFonts w:ascii="Arial" w:hAnsi="Arial" w:eastAsia="宋体" w:cs="Arial"/>
        <w:sz w:val="21"/>
        <w:lang w:eastAsia="zh-CN"/>
      </w:rPr>
      <w:instrText xml:space="preserve">PAGE   \* MERGEFORMAT</w:instrText>
    </w:r>
    <w:r>
      <w:rPr>
        <w:rFonts w:ascii="Arial" w:hAnsi="Arial" w:eastAsia="宋体" w:cs="Arial"/>
        <w:sz w:val="21"/>
        <w:lang w:eastAsia="zh-CN"/>
      </w:rPr>
      <w:fldChar w:fldCharType="separate"/>
    </w:r>
    <w:r>
      <w:rPr>
        <w:rFonts w:ascii="Arial" w:hAnsi="Arial" w:eastAsia="宋体" w:cs="Arial"/>
        <w:sz w:val="21"/>
        <w:lang w:val="zh-CN" w:eastAsia="zh-CN"/>
      </w:rPr>
      <w:t>21</w:t>
    </w:r>
    <w:r>
      <w:rPr>
        <w:rFonts w:ascii="Arial" w:hAnsi="Arial" w:eastAsia="宋体" w:cs="Arial"/>
        <w:sz w:val="21"/>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0">
    <w:p>
      <w:r>
        <w:separator/>
      </w:r>
    </w:p>
  </w:footnote>
  <w:footnote w:type="continuationSeparator" w:id="31">
    <w:p>
      <w:r>
        <w:continuationSeparator/>
      </w:r>
    </w:p>
  </w:footnote>
  <w:footnote w:id="0">
    <w:p w14:paraId="0F3B6600">
      <w:pPr>
        <w:pStyle w:val="14"/>
        <w:spacing w:line="300" w:lineRule="auto"/>
        <w:jc w:val="both"/>
        <w:rPr>
          <w:rFonts w:eastAsiaTheme="minorEastAsia"/>
          <w:sz w:val="21"/>
          <w:szCs w:val="21"/>
          <w:lang w:eastAsia="zh-CN"/>
        </w:rPr>
      </w:pPr>
      <w:r>
        <w:rPr>
          <w:rStyle w:val="20"/>
          <w:rFonts w:ascii="Arial" w:hAnsi="Arial" w:cs="Arial"/>
          <w:sz w:val="21"/>
          <w:szCs w:val="21"/>
        </w:rPr>
        <w:footnoteRef/>
      </w:r>
      <w:r>
        <w:rPr>
          <w:rFonts w:ascii="Arial" w:hAnsi="Arial" w:cs="Arial"/>
          <w:sz w:val="21"/>
          <w:szCs w:val="21"/>
          <w:lang w:eastAsia="zh-CN"/>
        </w:rPr>
        <w:t xml:space="preserve"> </w:t>
      </w:r>
      <w:r>
        <w:rPr>
          <w:rFonts w:ascii="Arial" w:hAnsi="Arial" w:eastAsia="宋体" w:cs="Arial"/>
          <w:snapToGrid w:val="0"/>
          <w:sz w:val="21"/>
          <w:szCs w:val="21"/>
          <w:lang w:eastAsia="zh-CN"/>
        </w:rPr>
        <w:t>79 FR 43241</w:t>
      </w:r>
      <w:r>
        <w:rPr>
          <w:rFonts w:hint="eastAsia" w:ascii="Arial" w:hAnsi="Arial" w:eastAsia="宋体" w:cs="Arial"/>
          <w:snapToGrid w:val="0"/>
          <w:sz w:val="21"/>
          <w:szCs w:val="21"/>
          <w:lang w:eastAsia="zh-CN"/>
        </w:rPr>
        <w:t>，2014年7月25日</w:t>
      </w:r>
    </w:p>
  </w:footnote>
  <w:footnote w:id="1">
    <w:p w14:paraId="39EB24C2">
      <w:pPr>
        <w:topLinePunct/>
        <w:autoSpaceDE/>
        <w:autoSpaceDN/>
        <w:adjustRightInd w:val="0"/>
        <w:snapToGrid w:val="0"/>
        <w:spacing w:line="300" w:lineRule="auto"/>
        <w:jc w:val="both"/>
        <w:rPr>
          <w:rFonts w:ascii="Arial" w:hAnsi="Arial" w:eastAsia="宋体" w:cs="Arial"/>
          <w:snapToGrid w:val="0"/>
          <w:sz w:val="21"/>
          <w:szCs w:val="21"/>
          <w:lang w:eastAsia="zh-CN"/>
        </w:rPr>
      </w:pPr>
      <w:r>
        <w:rPr>
          <w:rStyle w:val="20"/>
          <w:sz w:val="21"/>
          <w:szCs w:val="21"/>
        </w:rPr>
        <w:footnoteRef/>
      </w:r>
      <w:r>
        <w:rPr>
          <w:rFonts w:hint="eastAsia" w:ascii="Arial" w:hAnsi="Arial" w:eastAsia="宋体" w:cs="Arial"/>
          <w:snapToGrid w:val="0"/>
          <w:sz w:val="21"/>
          <w:szCs w:val="21"/>
          <w:lang w:eastAsia="zh-CN"/>
        </w:rPr>
        <w:t>目前经FDA认可版本的以下标准可能适用于植入式血液通路器械连接管：</w:t>
      </w:r>
      <w:r>
        <w:rPr>
          <w:rFonts w:ascii="Arial" w:hAnsi="Arial" w:eastAsia="宋体" w:cs="Arial"/>
          <w:snapToGrid w:val="0"/>
          <w:sz w:val="21"/>
          <w:szCs w:val="21"/>
          <w:lang w:eastAsia="zh-CN"/>
        </w:rPr>
        <w:t>ISO 80369</w:t>
      </w:r>
      <w:r>
        <w:rPr>
          <w:rFonts w:hint="eastAsia" w:ascii="宋体" w:hAnsi="宋体" w:eastAsia="宋体" w:cs="Arial"/>
          <w:snapToGrid w:val="0"/>
          <w:sz w:val="21"/>
          <w:szCs w:val="21"/>
          <w:lang w:eastAsia="zh-CN"/>
        </w:rPr>
        <w:t>“</w:t>
      </w:r>
      <w:r>
        <w:rPr>
          <w:rFonts w:hint="eastAsia" w:ascii="Arial" w:hAnsi="Arial" w:eastAsia="宋体" w:cs="Arial"/>
          <w:snapToGrid w:val="0"/>
          <w:sz w:val="21"/>
          <w:szCs w:val="21"/>
          <w:lang w:eastAsia="zh-CN"/>
        </w:rPr>
        <w:t>卫生保健应用中液体与气体用小口径连接器</w:t>
      </w:r>
      <w:r>
        <w:rPr>
          <w:rFonts w:hint="eastAsia" w:ascii="宋体" w:hAnsi="宋体" w:eastAsia="宋体" w:cs="Arial"/>
          <w:snapToGrid w:val="0"/>
          <w:sz w:val="21"/>
          <w:szCs w:val="21"/>
          <w:lang w:eastAsia="zh-CN"/>
        </w:rPr>
        <w:t>”</w:t>
      </w:r>
      <w:r>
        <w:rPr>
          <w:rFonts w:hint="eastAsia" w:ascii="Arial" w:hAnsi="Arial" w:eastAsia="宋体" w:cs="Arial"/>
          <w:snapToGrid w:val="0"/>
          <w:sz w:val="21"/>
          <w:szCs w:val="21"/>
          <w:lang w:eastAsia="zh-CN"/>
        </w:rPr>
        <w:t>和</w:t>
      </w:r>
      <w:r>
        <w:rPr>
          <w:rFonts w:ascii="Arial" w:hAnsi="Arial" w:eastAsia="宋体" w:cs="Arial"/>
          <w:snapToGrid w:val="0"/>
          <w:sz w:val="21"/>
          <w:szCs w:val="21"/>
          <w:lang w:eastAsia="zh-CN"/>
        </w:rPr>
        <w:t>ISO 594</w:t>
      </w:r>
      <w:r>
        <w:rPr>
          <w:rFonts w:hint="eastAsia" w:ascii="宋体" w:hAnsi="宋体" w:eastAsia="宋体" w:cs="Arial"/>
          <w:snapToGrid w:val="0"/>
          <w:sz w:val="21"/>
          <w:szCs w:val="21"/>
          <w:lang w:eastAsia="zh-CN"/>
        </w:rPr>
        <w:t>“用于</w:t>
      </w:r>
      <w:r>
        <w:rPr>
          <w:rFonts w:hint="eastAsia" w:ascii="Arial" w:hAnsi="Arial" w:eastAsia="宋体" w:cs="Arial"/>
          <w:snapToGrid w:val="0"/>
          <w:sz w:val="21"/>
          <w:szCs w:val="21"/>
          <w:lang w:eastAsia="zh-CN"/>
        </w:rPr>
        <w:t>注射器、针头及其他医疗设备的含6%（鲁尔）接头的圆锥配件</w:t>
      </w:r>
      <w:r>
        <w:rPr>
          <w:rFonts w:ascii="Arial" w:hAnsi="Arial" w:eastAsia="宋体" w:cs="Arial"/>
          <w:snapToGrid w:val="0"/>
          <w:sz w:val="21"/>
          <w:szCs w:val="21"/>
          <w:lang w:eastAsia="zh-CN"/>
        </w:rPr>
        <w:t>–</w:t>
      </w:r>
      <w:r>
        <w:rPr>
          <w:rFonts w:hint="eastAsia" w:ascii="Arial" w:hAnsi="Arial" w:eastAsia="宋体" w:cs="Arial"/>
          <w:snapToGrid w:val="0"/>
          <w:sz w:val="21"/>
          <w:szCs w:val="21"/>
          <w:lang w:eastAsia="zh-CN"/>
        </w:rPr>
        <w:t>第1部分：一般要求</w:t>
      </w:r>
      <w:r>
        <w:rPr>
          <w:rFonts w:hint="eastAsia" w:ascii="宋体" w:hAnsi="宋体" w:eastAsia="宋体" w:cs="Arial"/>
          <w:snapToGrid w:val="0"/>
          <w:sz w:val="21"/>
          <w:szCs w:val="21"/>
          <w:lang w:eastAsia="zh-CN"/>
        </w:rPr>
        <w:t>”</w:t>
      </w:r>
    </w:p>
    <w:p w14:paraId="1EA6D73D">
      <w:pPr>
        <w:pStyle w:val="14"/>
        <w:spacing w:line="300" w:lineRule="auto"/>
        <w:rPr>
          <w:rFonts w:eastAsiaTheme="minorEastAsia"/>
          <w:sz w:val="21"/>
          <w:szCs w:val="21"/>
          <w:lang w:eastAsia="zh-CN"/>
        </w:rPr>
      </w:pPr>
      <w:r>
        <w:rPr>
          <w:rFonts w:hint="eastAsia" w:ascii="Arial" w:hAnsi="Arial" w:eastAsia="宋体" w:cs="Arial"/>
          <w:snapToGrid w:val="0"/>
          <w:sz w:val="21"/>
          <w:szCs w:val="21"/>
          <w:lang w:eastAsia="zh-CN"/>
        </w:rPr>
        <w:t>可通过</w:t>
      </w:r>
      <w:r>
        <w:rPr>
          <w:rFonts w:ascii="Arial" w:hAnsi="Arial" w:eastAsia="宋体" w:cs="Arial"/>
          <w:snapToGrid w:val="0"/>
          <w:sz w:val="21"/>
          <w:szCs w:val="21"/>
          <w:u w:val="single"/>
          <w:lang w:eastAsia="zh-CN"/>
        </w:rPr>
        <w:t>FDA</w:t>
      </w:r>
      <w:r>
        <w:rPr>
          <w:rFonts w:hint="eastAsia" w:ascii="Arial" w:hAnsi="Arial" w:eastAsia="宋体" w:cs="Arial"/>
          <w:snapToGrid w:val="0"/>
          <w:sz w:val="21"/>
          <w:szCs w:val="21"/>
          <w:u w:val="single"/>
          <w:lang w:eastAsia="zh-CN"/>
        </w:rPr>
        <w:t>标准数据库</w:t>
      </w:r>
      <w:r>
        <w:rPr>
          <w:rFonts w:hint="eastAsia" w:ascii="Arial" w:hAnsi="Arial" w:eastAsia="宋体" w:cs="Arial"/>
          <w:snapToGrid w:val="0"/>
          <w:sz w:val="21"/>
          <w:szCs w:val="21"/>
          <w:lang w:eastAsia="zh-CN"/>
        </w:rPr>
        <w:t>查找任何</w:t>
      </w:r>
      <w:r>
        <w:rPr>
          <w:rFonts w:ascii="Arial" w:hAnsi="Arial" w:eastAsia="宋体" w:cs="Arial"/>
          <w:snapToGrid w:val="0"/>
          <w:sz w:val="21"/>
          <w:szCs w:val="21"/>
          <w:lang w:eastAsia="zh-CN"/>
        </w:rPr>
        <w:t>FDA</w:t>
      </w:r>
      <w:r>
        <w:rPr>
          <w:rFonts w:hint="eastAsia" w:ascii="Arial" w:hAnsi="Arial" w:eastAsia="宋体" w:cs="Arial"/>
          <w:snapToGrid w:val="0"/>
          <w:sz w:val="21"/>
          <w:szCs w:val="21"/>
          <w:lang w:eastAsia="zh-CN"/>
        </w:rPr>
        <w:t>目前认可的标准版本与认可程度</w:t>
      </w:r>
      <w:r>
        <w:fldChar w:fldCharType="begin"/>
      </w:r>
      <w:r>
        <w:instrText xml:space="preserve"> HYPERLINK "http://www.accessdata.fda.gov/scripts/cdrh/cfdocs/cfstandards/search.cfm" \h </w:instrText>
      </w:r>
      <w:r>
        <w:fldChar w:fldCharType="separate"/>
      </w:r>
      <w:r>
        <w:rPr>
          <w:rFonts w:hint="eastAsia" w:ascii="Arial" w:hAnsi="Arial" w:eastAsia="宋体" w:cs="Arial"/>
          <w:snapToGrid w:val="0"/>
          <w:color w:val="0000FF"/>
          <w:sz w:val="21"/>
          <w:szCs w:val="21"/>
        </w:rPr>
        <w:t>（</w:t>
      </w:r>
      <w:r>
        <w:rPr>
          <w:rFonts w:ascii="Arial" w:hAnsi="Arial" w:eastAsia="宋体" w:cs="Arial"/>
          <w:snapToGrid w:val="0"/>
          <w:sz w:val="21"/>
          <w:szCs w:val="21"/>
        </w:rPr>
        <w:t>http</w:t>
      </w:r>
      <w:r>
        <w:rPr>
          <w:rFonts w:hint="eastAsia" w:ascii="Arial" w:hAnsi="Arial" w:eastAsia="宋体" w:cs="Arial"/>
          <w:snapToGrid w:val="0"/>
          <w:sz w:val="21"/>
          <w:szCs w:val="21"/>
        </w:rPr>
        <w:t>://</w:t>
      </w:r>
      <w:r>
        <w:rPr>
          <w:rFonts w:ascii="Arial" w:hAnsi="Arial" w:eastAsia="宋体" w:cs="Arial"/>
          <w:snapToGrid w:val="0"/>
          <w:sz w:val="21"/>
          <w:szCs w:val="21"/>
        </w:rPr>
        <w:t>www.accessdata.fda.gov/scripts/cdrh/cfdocs/cfstandards/search.cfm</w:t>
      </w:r>
      <w:r>
        <w:rPr>
          <w:rFonts w:hint="eastAsia" w:ascii="Arial" w:hAnsi="Arial" w:eastAsia="宋体" w:cs="Arial"/>
          <w:snapToGrid w:val="0"/>
          <w:sz w:val="21"/>
          <w:szCs w:val="21"/>
        </w:rPr>
        <w:t>）</w:t>
      </w:r>
      <w:r>
        <w:rPr>
          <w:rFonts w:hint="eastAsia" w:ascii="Arial" w:hAnsi="Arial" w:eastAsia="宋体" w:cs="Arial"/>
          <w:snapToGrid w:val="0"/>
          <w:sz w:val="21"/>
          <w:szCs w:val="21"/>
        </w:rPr>
        <w:fldChar w:fldCharType="end"/>
      </w:r>
    </w:p>
  </w:footnote>
  <w:footnote w:id="2">
    <w:p w14:paraId="3B0F1C7A">
      <w:pPr>
        <w:pStyle w:val="14"/>
        <w:spacing w:line="300" w:lineRule="auto"/>
        <w:jc w:val="both"/>
        <w:rPr>
          <w:rFonts w:eastAsiaTheme="minorEastAsia"/>
          <w:sz w:val="21"/>
          <w:szCs w:val="21"/>
          <w:lang w:eastAsia="zh-CN"/>
        </w:rPr>
      </w:pPr>
      <w:r>
        <w:rPr>
          <w:rStyle w:val="20"/>
          <w:sz w:val="21"/>
          <w:szCs w:val="21"/>
        </w:rPr>
        <w:footnoteRef/>
      </w:r>
      <w:r>
        <w:rPr>
          <w:sz w:val="21"/>
          <w:szCs w:val="21"/>
          <w:lang w:eastAsia="zh-CN"/>
        </w:rPr>
        <w:t xml:space="preserve"> </w:t>
      </w:r>
      <w:r>
        <w:rPr>
          <w:rFonts w:ascii="Arial" w:hAnsi="Arial" w:eastAsia="宋体" w:cs="Arial"/>
          <w:snapToGrid w:val="0"/>
          <w:sz w:val="21"/>
          <w:szCs w:val="21"/>
          <w:lang w:eastAsia="zh-CN"/>
        </w:rPr>
        <w:t>21 CFR 807.92 (a</w:t>
      </w:r>
      <w:r>
        <w:rPr>
          <w:rFonts w:hint="eastAsia" w:ascii="Arial" w:hAnsi="Arial" w:eastAsia="宋体" w:cs="Arial"/>
          <w:snapToGrid w:val="0"/>
          <w:sz w:val="21"/>
          <w:szCs w:val="21"/>
          <w:lang w:eastAsia="zh-CN"/>
        </w:rPr>
        <w:t>)（</w:t>
      </w:r>
      <w:r>
        <w:rPr>
          <w:rFonts w:ascii="Arial" w:hAnsi="Arial" w:eastAsia="宋体" w:cs="Arial"/>
          <w:snapToGrid w:val="0"/>
          <w:sz w:val="21"/>
          <w:szCs w:val="21"/>
          <w:lang w:eastAsia="zh-CN"/>
        </w:rPr>
        <w:t>3</w:t>
      </w:r>
      <w:r>
        <w:rPr>
          <w:rFonts w:hint="eastAsia" w:ascii="Arial" w:hAnsi="Arial" w:eastAsia="宋体" w:cs="Arial"/>
          <w:snapToGrid w:val="0"/>
          <w:sz w:val="21"/>
          <w:szCs w:val="21"/>
          <w:lang w:eastAsia="zh-CN"/>
        </w:rPr>
        <w:t>）中所述合法上市器械是符合以下条件之一的器械：（i）1976年5月28日之前已合法上市的器械（修订前器械），不需要获得PMA；或（ii）已从III类被重新归为II类或I类的器械；或（iii）经510（k）过程已经豁免（SE）的器械。用于确定实质等同性的的合法上市器械通常被称作</w:t>
      </w:r>
      <w:r>
        <w:rPr>
          <w:rFonts w:hint="eastAsia" w:ascii="宋体" w:hAnsi="宋体" w:eastAsia="宋体" w:cs="Arial"/>
          <w:snapToGrid w:val="0"/>
          <w:sz w:val="21"/>
          <w:szCs w:val="21"/>
          <w:lang w:eastAsia="zh-CN"/>
        </w:rPr>
        <w:t>“</w:t>
      </w:r>
      <w:r>
        <w:rPr>
          <w:rFonts w:hint="eastAsia" w:ascii="Arial" w:hAnsi="Arial" w:eastAsia="宋体" w:cs="Arial"/>
          <w:snapToGrid w:val="0"/>
          <w:sz w:val="21"/>
          <w:szCs w:val="21"/>
          <w:lang w:eastAsia="zh-CN"/>
        </w:rPr>
        <w:t>指定器械</w:t>
      </w:r>
      <w:r>
        <w:rPr>
          <w:rFonts w:hint="eastAsia" w:ascii="宋体" w:hAnsi="宋体" w:eastAsia="宋体" w:cs="Arial"/>
          <w:snapToGrid w:val="0"/>
          <w:sz w:val="21"/>
          <w:szCs w:val="21"/>
          <w:lang w:eastAsia="zh-CN"/>
        </w:rPr>
        <w:t>”</w:t>
      </w:r>
      <w:r>
        <w:rPr>
          <w:rFonts w:hint="eastAsia" w:ascii="Arial" w:hAnsi="Arial" w:eastAsia="宋体" w:cs="Arial"/>
          <w:snapToGrid w:val="0"/>
          <w:sz w:val="21"/>
          <w:szCs w:val="21"/>
          <w:lang w:eastAsia="zh-CN"/>
        </w:rPr>
        <w:t>。</w:t>
      </w:r>
    </w:p>
  </w:footnote>
  <w:footnote w:id="3">
    <w:p w14:paraId="2A138322">
      <w:pPr>
        <w:pStyle w:val="14"/>
        <w:spacing w:line="300" w:lineRule="auto"/>
        <w:jc w:val="both"/>
        <w:rPr>
          <w:rFonts w:ascii="Arial" w:hAnsi="Arial" w:eastAsia="宋体" w:cs="Arial"/>
          <w:snapToGrid w:val="0"/>
          <w:sz w:val="21"/>
          <w:szCs w:val="21"/>
          <w:lang w:eastAsia="zh-CN"/>
        </w:rPr>
      </w:pPr>
      <w:r>
        <w:rPr>
          <w:rFonts w:ascii="Arial" w:hAnsi="Arial" w:eastAsia="宋体" w:cs="Arial"/>
          <w:snapToGrid w:val="0"/>
          <w:sz w:val="21"/>
          <w:szCs w:val="21"/>
          <w:lang w:eastAsia="zh-CN"/>
        </w:rPr>
        <w:t>FD&amp;C</w:t>
      </w:r>
      <w:r>
        <w:rPr>
          <w:rFonts w:hint="eastAsia" w:ascii="Arial" w:hAnsi="Arial" w:eastAsia="宋体" w:cs="Arial"/>
          <w:snapToGrid w:val="0"/>
          <w:sz w:val="21"/>
          <w:szCs w:val="21"/>
          <w:lang w:eastAsia="zh-CN"/>
        </w:rPr>
        <w:t>法案第</w:t>
      </w:r>
      <w:r>
        <w:rPr>
          <w:rFonts w:ascii="Arial" w:hAnsi="Arial" w:eastAsia="宋体" w:cs="Arial"/>
          <w:snapToGrid w:val="0"/>
          <w:sz w:val="21"/>
          <w:szCs w:val="21"/>
          <w:lang w:eastAsia="zh-CN"/>
        </w:rPr>
        <w:t>513</w:t>
      </w:r>
      <w:r>
        <w:rPr>
          <w:rFonts w:hint="eastAsia" w:ascii="Arial" w:hAnsi="Arial" w:eastAsia="宋体" w:cs="Arial"/>
          <w:snapToGrid w:val="0"/>
          <w:sz w:val="21"/>
          <w:szCs w:val="21"/>
          <w:lang w:eastAsia="zh-CN"/>
        </w:rPr>
        <w:t>（</w:t>
      </w:r>
      <w:r>
        <w:rPr>
          <w:rFonts w:ascii="Arial" w:hAnsi="Arial" w:eastAsia="宋体" w:cs="Arial"/>
          <w:snapToGrid w:val="0"/>
          <w:sz w:val="21"/>
          <w:szCs w:val="21"/>
          <w:lang w:eastAsia="zh-CN"/>
        </w:rPr>
        <w:t>i</w:t>
      </w:r>
      <w:r>
        <w:rPr>
          <w:rFonts w:hint="eastAsia" w:ascii="Arial" w:hAnsi="Arial" w:eastAsia="宋体" w:cs="Arial"/>
          <w:snapToGrid w:val="0"/>
          <w:sz w:val="21"/>
          <w:szCs w:val="21"/>
          <w:lang w:eastAsia="zh-CN"/>
        </w:rPr>
        <w:t>）节规定视为与指定器械具有实质等同性的新器械必须具有与（主要）指定器械相同的预期用途以及相同技术特征或不同技术特征但不会引起不同于指定器械的安全性和效果问题。</w:t>
      </w:r>
    </w:p>
    <w:p w14:paraId="53799DCB">
      <w:pPr>
        <w:pStyle w:val="14"/>
        <w:spacing w:line="300" w:lineRule="auto"/>
        <w:jc w:val="both"/>
        <w:rPr>
          <w:rFonts w:ascii="Arial" w:hAnsi="Arial" w:eastAsia="宋体" w:cs="Arial"/>
          <w:i/>
          <w:snapToGrid w:val="0"/>
          <w:sz w:val="21"/>
          <w:szCs w:val="21"/>
          <w:lang w:eastAsia="zh-CN"/>
        </w:rPr>
      </w:pPr>
    </w:p>
    <w:p w14:paraId="3BEC30F8">
      <w:pPr>
        <w:pStyle w:val="14"/>
        <w:spacing w:line="300" w:lineRule="auto"/>
        <w:rPr>
          <w:rFonts w:eastAsiaTheme="minorEastAsia"/>
          <w:sz w:val="21"/>
          <w:szCs w:val="21"/>
          <w:lang w:eastAsia="zh-CN"/>
        </w:rPr>
      </w:pPr>
      <w:r>
        <w:rPr>
          <w:rStyle w:val="20"/>
          <w:sz w:val="21"/>
          <w:szCs w:val="21"/>
        </w:rPr>
        <w:footnoteRef/>
      </w:r>
      <w:r>
        <w:rPr>
          <w:rFonts w:hint="eastAsia" w:ascii="Arial" w:hAnsi="Arial" w:eastAsia="宋体" w:cs="Arial"/>
          <w:i/>
          <w:snapToGrid w:val="0"/>
          <w:sz w:val="21"/>
          <w:szCs w:val="21"/>
          <w:lang w:eastAsia="zh-CN"/>
        </w:rPr>
        <w:t>参见</w:t>
      </w:r>
      <w:r>
        <w:fldChar w:fldCharType="begin"/>
      </w:r>
      <w:r>
        <w:instrText xml:space="preserve"> HYPERLINK "http://www.fda.gov/MedicalDevices/DeviceRegulationandGuidance/ComplianceActivities/ucm072746.htm" \h </w:instrText>
      </w:r>
      <w:r>
        <w:fldChar w:fldCharType="separate"/>
      </w:r>
      <w:r>
        <w:rPr>
          <w:rFonts w:ascii="Arial" w:hAnsi="Arial" w:eastAsia="宋体" w:cs="Arial"/>
          <w:snapToGrid w:val="0"/>
          <w:color w:val="0000FF"/>
          <w:sz w:val="21"/>
          <w:szCs w:val="21"/>
          <w:u w:val="single" w:color="0000FF"/>
        </w:rPr>
        <w:t>Preamendment Status</w:t>
      </w:r>
      <w:r>
        <w:rPr>
          <w:rFonts w:ascii="Arial" w:hAnsi="Arial" w:eastAsia="宋体" w:cs="Arial"/>
          <w:snapToGrid w:val="0"/>
          <w:color w:val="0000FF"/>
          <w:sz w:val="21"/>
          <w:szCs w:val="21"/>
          <w:u w:val="single" w:color="0000FF"/>
        </w:rPr>
        <w:fldChar w:fldCharType="end"/>
      </w:r>
      <w:r>
        <w:rPr>
          <w:rFonts w:hint="eastAsia" w:ascii="Arial" w:hAnsi="Arial" w:eastAsia="宋体" w:cs="Arial"/>
          <w:snapToGrid w:val="0"/>
          <w:color w:val="0000FF"/>
          <w:sz w:val="21"/>
          <w:szCs w:val="21"/>
        </w:rPr>
        <w:t>（</w:t>
      </w:r>
      <w:r>
        <w:fldChar w:fldCharType="begin"/>
      </w:r>
      <w:r>
        <w:instrText xml:space="preserve"> HYPERLINK "http://www.fda.gov/MedicalDevices/DeviceRegulationandGuidance/ComplianceActivities/ucm072746.htm" \h </w:instrText>
      </w:r>
      <w:r>
        <w:fldChar w:fldCharType="separate"/>
      </w:r>
      <w:r>
        <w:rPr>
          <w:rFonts w:ascii="Arial" w:hAnsi="Arial" w:eastAsia="宋体" w:cs="Arial"/>
          <w:snapToGrid w:val="0"/>
          <w:color w:val="0000FF"/>
          <w:sz w:val="21"/>
          <w:szCs w:val="21"/>
          <w:u w:val="single" w:color="0000FF"/>
        </w:rPr>
        <w:t>http</w:t>
      </w:r>
      <w:r>
        <w:rPr>
          <w:rFonts w:hint="eastAsia" w:ascii="Arial" w:hAnsi="Arial" w:eastAsia="宋体" w:cs="Arial"/>
          <w:snapToGrid w:val="0"/>
          <w:color w:val="0000FF"/>
          <w:sz w:val="21"/>
          <w:szCs w:val="21"/>
          <w:u w:val="single" w:color="0000FF"/>
        </w:rPr>
        <w:t>://</w:t>
      </w:r>
      <w:r>
        <w:rPr>
          <w:rFonts w:ascii="Arial" w:hAnsi="Arial" w:eastAsia="宋体" w:cs="Arial"/>
          <w:snapToGrid w:val="0"/>
          <w:color w:val="0000FF"/>
          <w:sz w:val="21"/>
          <w:szCs w:val="21"/>
          <w:u w:val="single" w:color="0000FF"/>
        </w:rPr>
        <w:t>www.fda.gov/MedicalDevices/DeviceRegulationandGuidance/ComplianceActivities/ucm072746.htm</w:t>
      </w:r>
      <w:r>
        <w:rPr>
          <w:rFonts w:hint="eastAsia" w:ascii="Arial" w:hAnsi="Arial" w:eastAsia="宋体" w:cs="Arial"/>
          <w:snapToGrid w:val="0"/>
          <w:sz w:val="21"/>
          <w:szCs w:val="21"/>
        </w:rPr>
        <w:t>）</w:t>
      </w:r>
      <w:r>
        <w:rPr>
          <w:rFonts w:hint="eastAsia" w:ascii="Arial" w:hAnsi="Arial" w:eastAsia="宋体" w:cs="Arial"/>
          <w:snapToGrid w:val="0"/>
          <w:sz w:val="21"/>
          <w:szCs w:val="21"/>
        </w:rPr>
        <w:fldChar w:fldCharType="end"/>
      </w:r>
    </w:p>
  </w:footnote>
  <w:footnote w:id="4">
    <w:p w14:paraId="23E148CA">
      <w:pPr>
        <w:pStyle w:val="14"/>
        <w:spacing w:line="300" w:lineRule="auto"/>
        <w:jc w:val="both"/>
        <w:rPr>
          <w:rFonts w:eastAsiaTheme="minorEastAsia"/>
          <w:sz w:val="21"/>
          <w:szCs w:val="21"/>
          <w:lang w:eastAsia="zh-CN"/>
        </w:rPr>
      </w:pPr>
      <w:r>
        <w:rPr>
          <w:rStyle w:val="20"/>
          <w:sz w:val="21"/>
          <w:szCs w:val="21"/>
        </w:rPr>
        <w:footnoteRef/>
      </w:r>
      <w:r>
        <w:rPr>
          <w:rFonts w:hint="eastAsia" w:ascii="Arial" w:hAnsi="Arial" w:eastAsia="宋体" w:cs="Arial"/>
          <w:snapToGrid w:val="0"/>
          <w:sz w:val="21"/>
          <w:szCs w:val="21"/>
          <w:lang w:eastAsia="zh-CN"/>
        </w:rPr>
        <w:t>患者长期暴露于可能重复使用的血液透析导管和分流管材料。长期（90-</w:t>
      </w:r>
      <w:r>
        <w:rPr>
          <w:rFonts w:ascii="Arial" w:hAnsi="Arial" w:eastAsia="宋体" w:cs="Arial"/>
          <w:snapToGrid w:val="0"/>
          <w:sz w:val="21"/>
          <w:szCs w:val="21"/>
          <w:lang w:eastAsia="zh-CN"/>
        </w:rPr>
        <w:t>120</w:t>
      </w:r>
      <w:r>
        <w:rPr>
          <w:rFonts w:hint="eastAsia" w:ascii="Arial" w:hAnsi="Arial" w:eastAsia="宋体" w:cs="Arial"/>
          <w:snapToGrid w:val="0"/>
          <w:sz w:val="21"/>
          <w:szCs w:val="21"/>
          <w:lang w:eastAsia="zh-CN"/>
        </w:rPr>
        <w:t>天）组织病理学植入研究可能代替亚慢性毒性。</w:t>
      </w:r>
    </w:p>
  </w:footnote>
  <w:footnote w:id="5">
    <w:p w14:paraId="0F1FF949">
      <w:pPr>
        <w:pStyle w:val="14"/>
        <w:spacing w:line="300" w:lineRule="auto"/>
        <w:jc w:val="both"/>
        <w:rPr>
          <w:rFonts w:eastAsiaTheme="minorEastAsia"/>
          <w:sz w:val="21"/>
          <w:szCs w:val="21"/>
          <w:lang w:eastAsia="zh-CN"/>
        </w:rPr>
      </w:pPr>
      <w:r>
        <w:rPr>
          <w:rStyle w:val="20"/>
          <w:sz w:val="21"/>
          <w:szCs w:val="21"/>
        </w:rPr>
        <w:footnoteRef/>
      </w:r>
      <w:r>
        <w:rPr>
          <w:rFonts w:hint="eastAsia" w:ascii="Arial" w:hAnsi="Arial" w:eastAsia="宋体" w:cs="Arial"/>
          <w:snapToGrid w:val="0"/>
          <w:sz w:val="21"/>
          <w:szCs w:val="21"/>
          <w:lang w:eastAsia="zh-CN"/>
        </w:rPr>
        <w:t>预冲量是充满导管内部从接口至尖端部分需要的液体量。</w:t>
      </w:r>
    </w:p>
  </w:footnote>
  <w:footnote w:id="6">
    <w:p w14:paraId="2D22C2A9">
      <w:pPr>
        <w:pStyle w:val="14"/>
        <w:spacing w:line="300" w:lineRule="auto"/>
        <w:rPr>
          <w:rFonts w:eastAsiaTheme="minorEastAsia"/>
          <w:sz w:val="21"/>
          <w:szCs w:val="21"/>
          <w:lang w:eastAsia="zh-CN"/>
        </w:rPr>
      </w:pPr>
      <w:r>
        <w:rPr>
          <w:rStyle w:val="20"/>
          <w:sz w:val="21"/>
          <w:szCs w:val="21"/>
        </w:rPr>
        <w:footnoteRef/>
      </w:r>
      <w:r>
        <w:rPr>
          <w:sz w:val="21"/>
          <w:szCs w:val="21"/>
        </w:rPr>
        <w:t xml:space="preserve"> </w:t>
      </w:r>
      <w:r>
        <w:rPr>
          <w:rFonts w:ascii="Arial" w:hAnsi="Arial" w:eastAsia="宋体" w:cs="Arial"/>
          <w:snapToGrid w:val="0"/>
          <w:sz w:val="21"/>
          <w:szCs w:val="21"/>
        </w:rPr>
        <w:t>FDA</w:t>
      </w:r>
      <w:r>
        <w:rPr>
          <w:rFonts w:hint="eastAsia" w:ascii="Arial" w:hAnsi="Arial" w:eastAsia="宋体" w:cs="Arial"/>
          <w:snapToGrid w:val="0"/>
          <w:sz w:val="21"/>
          <w:szCs w:val="21"/>
          <w:lang w:eastAsia="zh-CN"/>
        </w:rPr>
        <w:t>目前认可的公认标准版本与认可程度参见FDA标准数据库（</w:t>
      </w:r>
      <w:r>
        <w:fldChar w:fldCharType="begin"/>
      </w:r>
      <w:r>
        <w:instrText xml:space="preserve"> HYPERLINK "http://www.accessdata.fda.gov/scripts/cdrh/cfdocs/cfstandards/search.cfm" \h </w:instrText>
      </w:r>
      <w:r>
        <w:fldChar w:fldCharType="separate"/>
      </w:r>
      <w:r>
        <w:rPr>
          <w:rFonts w:ascii="Arial" w:hAnsi="Arial" w:eastAsia="宋体" w:cs="Arial"/>
          <w:snapToGrid w:val="0"/>
          <w:color w:val="0000FF"/>
          <w:sz w:val="21"/>
          <w:szCs w:val="21"/>
          <w:u w:val="single" w:color="0000FF"/>
        </w:rPr>
        <w:t>http</w:t>
      </w:r>
      <w:r>
        <w:rPr>
          <w:rFonts w:hint="eastAsia" w:ascii="Arial" w:hAnsi="Arial" w:eastAsia="宋体" w:cs="Arial"/>
          <w:snapToGrid w:val="0"/>
          <w:color w:val="0000FF"/>
          <w:sz w:val="21"/>
          <w:szCs w:val="21"/>
          <w:u w:val="single" w:color="0000FF"/>
        </w:rPr>
        <w:t>://</w:t>
      </w:r>
      <w:r>
        <w:rPr>
          <w:rFonts w:ascii="Arial" w:hAnsi="Arial" w:eastAsia="宋体" w:cs="Arial"/>
          <w:snapToGrid w:val="0"/>
          <w:color w:val="0000FF"/>
          <w:sz w:val="21"/>
          <w:szCs w:val="21"/>
          <w:u w:val="single" w:color="0000FF"/>
        </w:rPr>
        <w:t>www.accessdata.fda.gov/scripts/cdrh/cfdocs/cfstandards/search.cfm</w:t>
      </w:r>
      <w:r>
        <w:rPr>
          <w:rFonts w:hint="eastAsia" w:ascii="Arial" w:hAnsi="Arial" w:eastAsia="宋体" w:cs="Arial"/>
          <w:snapToGrid w:val="0"/>
          <w:sz w:val="21"/>
          <w:szCs w:val="21"/>
        </w:rPr>
        <w:t>）</w:t>
      </w:r>
      <w:r>
        <w:rPr>
          <w:rFonts w:hint="eastAsia" w:ascii="Arial" w:hAnsi="Arial" w:eastAsia="宋体" w:cs="Arial"/>
          <w:snapToGrid w:val="0"/>
          <w:sz w:val="21"/>
          <w:szCs w:val="21"/>
        </w:rPr>
        <w:fldChar w:fldCharType="end"/>
      </w:r>
    </w:p>
  </w:footnote>
  <w:footnote w:id="7">
    <w:p w14:paraId="59D555D8">
      <w:pPr>
        <w:pStyle w:val="14"/>
        <w:spacing w:line="300" w:lineRule="auto"/>
        <w:jc w:val="both"/>
        <w:rPr>
          <w:rFonts w:eastAsiaTheme="minorEastAsia"/>
          <w:sz w:val="21"/>
          <w:szCs w:val="21"/>
          <w:lang w:eastAsia="zh-CN"/>
        </w:rPr>
      </w:pPr>
      <w:r>
        <w:rPr>
          <w:rStyle w:val="20"/>
          <w:sz w:val="21"/>
          <w:szCs w:val="21"/>
        </w:rPr>
        <w:footnoteRef/>
      </w:r>
      <w:r>
        <w:rPr>
          <w:sz w:val="21"/>
          <w:szCs w:val="21"/>
        </w:rPr>
        <w:t xml:space="preserve"> </w:t>
      </w:r>
      <w:r>
        <w:rPr>
          <w:rFonts w:ascii="Arial" w:hAnsi="Arial" w:eastAsia="宋体" w:cs="Arial"/>
          <w:snapToGrid w:val="0"/>
          <w:sz w:val="21"/>
          <w:szCs w:val="21"/>
        </w:rPr>
        <w:t>Patel PR</w:t>
      </w:r>
      <w:r>
        <w:rPr>
          <w:rFonts w:hint="eastAsia" w:ascii="Arial" w:hAnsi="Arial" w:eastAsia="宋体" w:cs="Arial"/>
          <w:snapToGrid w:val="0"/>
          <w:sz w:val="21"/>
          <w:szCs w:val="21"/>
        </w:rPr>
        <w:t>，</w:t>
      </w:r>
      <w:r>
        <w:rPr>
          <w:rFonts w:ascii="Arial" w:hAnsi="Arial" w:eastAsia="宋体" w:cs="Arial"/>
          <w:snapToGrid w:val="0"/>
          <w:sz w:val="21"/>
          <w:szCs w:val="21"/>
        </w:rPr>
        <w:t>Coutts K</w:t>
      </w:r>
      <w:r>
        <w:rPr>
          <w:rFonts w:hint="eastAsia" w:ascii="Arial" w:hAnsi="Arial" w:eastAsia="宋体" w:cs="Arial"/>
          <w:snapToGrid w:val="0"/>
          <w:sz w:val="21"/>
          <w:szCs w:val="21"/>
        </w:rPr>
        <w:t>，</w:t>
      </w:r>
      <w:r>
        <w:rPr>
          <w:rFonts w:ascii="Arial" w:hAnsi="Arial" w:eastAsia="宋体" w:cs="Arial"/>
          <w:snapToGrid w:val="0"/>
          <w:sz w:val="21"/>
          <w:szCs w:val="21"/>
        </w:rPr>
        <w:t>Sauer AG</w:t>
      </w:r>
      <w:r>
        <w:rPr>
          <w:rFonts w:hint="eastAsia" w:ascii="Arial" w:hAnsi="Arial" w:eastAsia="宋体" w:cs="Arial"/>
          <w:snapToGrid w:val="0"/>
          <w:sz w:val="21"/>
          <w:szCs w:val="21"/>
        </w:rPr>
        <w:t>，</w:t>
      </w:r>
      <w:r>
        <w:rPr>
          <w:rFonts w:ascii="Arial" w:hAnsi="Arial" w:eastAsia="宋体" w:cs="Arial"/>
          <w:snapToGrid w:val="0"/>
          <w:sz w:val="21"/>
          <w:szCs w:val="21"/>
        </w:rPr>
        <w:t>Shugart A</w:t>
      </w:r>
      <w:r>
        <w:rPr>
          <w:rFonts w:hint="eastAsia" w:ascii="Arial" w:hAnsi="Arial" w:eastAsia="宋体" w:cs="Arial"/>
          <w:snapToGrid w:val="0"/>
          <w:sz w:val="21"/>
          <w:szCs w:val="21"/>
        </w:rPr>
        <w:t>，</w:t>
      </w:r>
      <w:r>
        <w:rPr>
          <w:rFonts w:ascii="Arial" w:hAnsi="Arial" w:eastAsia="宋体" w:cs="Arial"/>
          <w:snapToGrid w:val="0"/>
          <w:sz w:val="21"/>
          <w:szCs w:val="21"/>
        </w:rPr>
        <w:t>Melville AM</w:t>
      </w:r>
      <w:r>
        <w:rPr>
          <w:rFonts w:hint="eastAsia" w:ascii="Arial" w:hAnsi="Arial" w:eastAsia="宋体" w:cs="Arial"/>
          <w:snapToGrid w:val="0"/>
          <w:sz w:val="21"/>
          <w:szCs w:val="21"/>
        </w:rPr>
        <w:t>，</w:t>
      </w:r>
      <w:r>
        <w:rPr>
          <w:rFonts w:ascii="Arial" w:hAnsi="Arial" w:eastAsia="宋体" w:cs="Arial"/>
          <w:snapToGrid w:val="0"/>
          <w:sz w:val="21"/>
          <w:szCs w:val="21"/>
        </w:rPr>
        <w:t>Arduino MJ</w:t>
      </w:r>
      <w:r>
        <w:rPr>
          <w:rFonts w:hint="eastAsia" w:ascii="Arial" w:hAnsi="Arial" w:eastAsia="宋体" w:cs="Arial"/>
          <w:snapToGrid w:val="0"/>
          <w:sz w:val="21"/>
          <w:szCs w:val="21"/>
        </w:rPr>
        <w:t>，</w:t>
      </w:r>
      <w:r>
        <w:rPr>
          <w:rFonts w:ascii="Arial" w:hAnsi="Arial" w:eastAsia="宋体" w:cs="Arial"/>
          <w:snapToGrid w:val="0"/>
          <w:sz w:val="21"/>
          <w:szCs w:val="21"/>
        </w:rPr>
        <w:t>Thompson ND</w:t>
      </w:r>
      <w:r>
        <w:rPr>
          <w:rFonts w:hint="eastAsia" w:ascii="Arial" w:hAnsi="Arial" w:eastAsia="宋体" w:cs="Arial"/>
          <w:snapToGrid w:val="0"/>
          <w:sz w:val="21"/>
          <w:szCs w:val="21"/>
        </w:rPr>
        <w:t>，</w:t>
      </w:r>
      <w:r>
        <w:rPr>
          <w:rFonts w:ascii="Arial" w:hAnsi="Arial" w:eastAsia="宋体" w:cs="Arial"/>
          <w:snapToGrid w:val="0"/>
          <w:sz w:val="21"/>
          <w:szCs w:val="21"/>
        </w:rPr>
        <w:t>Kallen A.</w:t>
      </w:r>
      <w:r>
        <w:rPr>
          <w:rFonts w:hint="eastAsia" w:ascii="Arial" w:hAnsi="Arial" w:eastAsia="宋体" w:cs="Arial"/>
          <w:snapToGrid w:val="0"/>
          <w:sz w:val="21"/>
          <w:szCs w:val="21"/>
          <w:lang w:eastAsia="zh-CN"/>
        </w:rPr>
        <w:t>“</w:t>
      </w:r>
      <w:r>
        <w:rPr>
          <w:rFonts w:ascii="Arial" w:hAnsi="Arial" w:eastAsia="宋体" w:cs="Arial"/>
          <w:snapToGrid w:val="0"/>
          <w:sz w:val="21"/>
          <w:szCs w:val="21"/>
        </w:rPr>
        <w:t>2012</w:t>
      </w:r>
      <w:r>
        <w:rPr>
          <w:rFonts w:hint="eastAsia" w:ascii="Arial" w:hAnsi="Arial" w:eastAsia="宋体" w:cs="Arial"/>
          <w:snapToGrid w:val="0"/>
          <w:sz w:val="21"/>
          <w:szCs w:val="21"/>
          <w:lang w:eastAsia="zh-CN"/>
        </w:rPr>
        <w:t>年全国血液透析感染预防与血管通路实践调查。”</w:t>
      </w:r>
      <w:r>
        <w:rPr>
          <w:rFonts w:ascii="Arial" w:hAnsi="Arial" w:eastAsia="宋体" w:cs="Arial"/>
          <w:snapToGrid w:val="0"/>
          <w:sz w:val="21"/>
          <w:szCs w:val="21"/>
          <w:lang w:eastAsia="zh-CN"/>
        </w:rPr>
        <w:t>#SA-OR044</w:t>
      </w:r>
      <w:r>
        <w:rPr>
          <w:rFonts w:hint="eastAsia" w:ascii="Arial" w:hAnsi="Arial" w:eastAsia="宋体" w:cs="Arial"/>
          <w:snapToGrid w:val="0"/>
          <w:sz w:val="21"/>
          <w:szCs w:val="21"/>
          <w:lang w:eastAsia="zh-CN"/>
        </w:rPr>
        <w:t>在“美国肾脏病学会（ASN）肾脏周”上陈述；2013年11月9日，亚特兰大，GA。</w:t>
      </w:r>
    </w:p>
  </w:footnote>
  <w:footnote w:id="8">
    <w:p w14:paraId="45A1599F">
      <w:pPr>
        <w:pStyle w:val="14"/>
        <w:spacing w:line="300" w:lineRule="auto"/>
        <w:rPr>
          <w:rFonts w:eastAsiaTheme="minorEastAsia"/>
          <w:sz w:val="21"/>
          <w:szCs w:val="21"/>
          <w:lang w:eastAsia="zh-CN"/>
        </w:rPr>
      </w:pPr>
      <w:r>
        <w:rPr>
          <w:rStyle w:val="20"/>
          <w:sz w:val="21"/>
          <w:szCs w:val="21"/>
        </w:rPr>
        <w:footnoteRef/>
      </w:r>
      <w:r>
        <w:rPr>
          <w:rFonts w:hint="eastAsia" w:ascii="Arial" w:hAnsi="Arial" w:eastAsia="宋体" w:cs="Arial"/>
          <w:snapToGrid w:val="0"/>
          <w:sz w:val="21"/>
          <w:szCs w:val="21"/>
          <w:lang w:eastAsia="zh-CN"/>
        </w:rPr>
        <w:t>关于决定何时需要对器械或标签说明的变更提交新的510（k）申报的更多信息，请参见FDA指南</w:t>
      </w:r>
      <w:r>
        <w:rPr>
          <w:rFonts w:hint="eastAsia" w:ascii="宋体" w:hAnsi="宋体" w:eastAsia="宋体" w:cs="Arial"/>
          <w:snapToGrid w:val="0"/>
          <w:sz w:val="21"/>
          <w:szCs w:val="21"/>
          <w:lang w:eastAsia="zh-CN"/>
        </w:rPr>
        <w:t>“</w:t>
      </w:r>
      <w:r>
        <w:rPr>
          <w:rFonts w:hint="eastAsia" w:ascii="Arial" w:hAnsi="Arial" w:eastAsia="宋体" w:cs="Arial"/>
          <w:snapToGrid w:val="0"/>
          <w:sz w:val="21"/>
          <w:szCs w:val="21"/>
          <w:lang w:eastAsia="zh-CN"/>
        </w:rPr>
        <w:t>决定何时为现有器械变更提交510（k）申报（</w:t>
      </w:r>
      <w:r>
        <w:rPr>
          <w:rFonts w:ascii="Arial" w:hAnsi="Arial" w:eastAsia="宋体" w:cs="Arial"/>
          <w:snapToGrid w:val="0"/>
          <w:sz w:val="21"/>
          <w:szCs w:val="21"/>
          <w:lang w:eastAsia="zh-CN"/>
        </w:rPr>
        <w:t>K97-1</w:t>
      </w:r>
      <w:r>
        <w:rPr>
          <w:rFonts w:hint="eastAsia" w:ascii="Arial" w:hAnsi="Arial" w:eastAsia="宋体" w:cs="Arial"/>
          <w:snapToGrid w:val="0"/>
          <w:sz w:val="21"/>
          <w:szCs w:val="21"/>
          <w:lang w:eastAsia="zh-CN"/>
        </w:rPr>
        <w:t>）</w:t>
      </w:r>
      <w:r>
        <w:fldChar w:fldCharType="begin"/>
      </w:r>
      <w:r>
        <w:instrText xml:space="preserve"> HYPERLINK "http://www.fda.gov/medicaldevices/deviceregulationandguidance/guidancedocuments/ucm080235.htm" \h </w:instrText>
      </w:r>
      <w:r>
        <w:fldChar w:fldCharType="separate"/>
      </w:r>
      <w:r>
        <w:rPr>
          <w:rFonts w:ascii="宋体" w:hAnsi="宋体" w:eastAsia="宋体" w:cs="Arial"/>
          <w:snapToGrid w:val="0"/>
          <w:sz w:val="21"/>
          <w:szCs w:val="21"/>
        </w:rPr>
        <w:t>”</w:t>
      </w:r>
      <w:r>
        <w:rPr>
          <w:rFonts w:hint="eastAsia" w:ascii="Arial" w:hAnsi="Arial" w:eastAsia="宋体" w:cs="Arial"/>
          <w:snapToGrid w:val="0"/>
          <w:sz w:val="21"/>
          <w:szCs w:val="21"/>
        </w:rPr>
        <w:t>（</w:t>
      </w:r>
      <w:r>
        <w:rPr>
          <w:rFonts w:ascii="Arial" w:hAnsi="Arial" w:eastAsia="宋体" w:cs="Arial"/>
          <w:snapToGrid w:val="0"/>
          <w:sz w:val="21"/>
          <w:szCs w:val="21"/>
        </w:rPr>
        <w:t>http</w:t>
      </w:r>
      <w:r>
        <w:rPr>
          <w:rFonts w:hint="eastAsia" w:ascii="Arial" w:hAnsi="Arial" w:eastAsia="宋体" w:cs="Arial"/>
          <w:snapToGrid w:val="0"/>
          <w:sz w:val="21"/>
          <w:szCs w:val="21"/>
        </w:rPr>
        <w:t>://</w:t>
      </w:r>
      <w:r>
        <w:rPr>
          <w:rFonts w:ascii="Arial" w:hAnsi="Arial" w:eastAsia="宋体" w:cs="Arial"/>
          <w:snapToGrid w:val="0"/>
          <w:sz w:val="21"/>
          <w:szCs w:val="21"/>
        </w:rPr>
        <w:t>www.fda.gov/medicaldevices/deviceregulationandguidance/guidancedocuments/ucm080235.htm</w:t>
      </w:r>
      <w:r>
        <w:rPr>
          <w:rFonts w:hint="eastAsia" w:ascii="Arial" w:hAnsi="Arial" w:eastAsia="宋体" w:cs="Arial"/>
          <w:snapToGrid w:val="0"/>
          <w:sz w:val="21"/>
          <w:szCs w:val="21"/>
        </w:rPr>
        <w:t>）</w:t>
      </w:r>
      <w:r>
        <w:rPr>
          <w:rFonts w:hint="eastAsia" w:ascii="Arial" w:hAnsi="Arial" w:eastAsia="宋体" w:cs="Arial"/>
          <w:snapToGrid w:val="0"/>
          <w:sz w:val="21"/>
          <w:szCs w:val="21"/>
        </w:rPr>
        <w:fldChar w:fldCharType="end"/>
      </w:r>
    </w:p>
  </w:footnote>
  <w:footnote w:id="9">
    <w:p w14:paraId="757F9779">
      <w:pPr>
        <w:pStyle w:val="14"/>
        <w:spacing w:line="300" w:lineRule="auto"/>
        <w:jc w:val="both"/>
        <w:rPr>
          <w:rFonts w:eastAsiaTheme="minorEastAsia"/>
          <w:sz w:val="21"/>
          <w:szCs w:val="21"/>
          <w:lang w:eastAsia="zh-CN"/>
        </w:rPr>
      </w:pPr>
      <w:r>
        <w:rPr>
          <w:rStyle w:val="20"/>
          <w:sz w:val="21"/>
          <w:szCs w:val="21"/>
        </w:rPr>
        <w:footnoteRef/>
      </w:r>
      <w:r>
        <w:rPr>
          <w:sz w:val="21"/>
          <w:szCs w:val="21"/>
          <w:lang w:eastAsia="zh-CN"/>
        </w:rPr>
        <w:t xml:space="preserve"> </w:t>
      </w:r>
      <w:r>
        <w:rPr>
          <w:rFonts w:ascii="Arial" w:hAnsi="Arial" w:eastAsia="宋体" w:cs="Arial"/>
          <w:snapToGrid w:val="0"/>
          <w:sz w:val="21"/>
          <w:szCs w:val="21"/>
          <w:lang w:eastAsia="zh-CN"/>
        </w:rPr>
        <w:t>21 CFR 820.30</w:t>
      </w:r>
      <w:r>
        <w:rPr>
          <w:rFonts w:hint="eastAsia" w:ascii="Arial" w:hAnsi="Arial" w:eastAsia="宋体" w:cs="Arial"/>
          <w:snapToGrid w:val="0"/>
          <w:sz w:val="21"/>
          <w:szCs w:val="21"/>
          <w:lang w:eastAsia="zh-CN"/>
        </w:rPr>
        <w:t>器械历史文件</w:t>
      </w:r>
    </w:p>
  </w:footnote>
  <w:footnote w:id="10">
    <w:p w14:paraId="55567DB2">
      <w:pPr>
        <w:pStyle w:val="14"/>
        <w:spacing w:line="300" w:lineRule="auto"/>
        <w:jc w:val="both"/>
        <w:rPr>
          <w:rFonts w:eastAsiaTheme="minorEastAsia"/>
          <w:sz w:val="21"/>
          <w:szCs w:val="21"/>
          <w:lang w:eastAsia="zh-CN"/>
        </w:rPr>
      </w:pPr>
      <w:r>
        <w:rPr>
          <w:rStyle w:val="20"/>
          <w:sz w:val="21"/>
          <w:szCs w:val="21"/>
        </w:rPr>
        <w:footnoteRef/>
      </w:r>
      <w:r>
        <w:rPr>
          <w:sz w:val="21"/>
          <w:szCs w:val="21"/>
          <w:lang w:eastAsia="zh-CN"/>
        </w:rPr>
        <w:t xml:space="preserve"> </w:t>
      </w:r>
      <w:r>
        <w:rPr>
          <w:rFonts w:ascii="Arial" w:hAnsi="Arial" w:eastAsia="宋体" w:cs="Arial"/>
          <w:snapToGrid w:val="0"/>
          <w:sz w:val="21"/>
          <w:szCs w:val="21"/>
          <w:lang w:eastAsia="zh-CN"/>
        </w:rPr>
        <w:t>ASTM F1830-97</w:t>
      </w:r>
      <w:r>
        <w:rPr>
          <w:rFonts w:hint="eastAsia" w:ascii="Arial" w:hAnsi="Arial" w:eastAsia="宋体" w:cs="Arial"/>
          <w:snapToGrid w:val="0"/>
          <w:sz w:val="21"/>
          <w:szCs w:val="21"/>
          <w:lang w:eastAsia="zh-CN"/>
        </w:rPr>
        <w:t>：评价实验室血泵用血液的选择标准操作规程。美国材料与试验协会（</w:t>
      </w:r>
      <w:r>
        <w:rPr>
          <w:rFonts w:ascii="Arial" w:hAnsi="Arial" w:eastAsia="宋体" w:cs="Arial"/>
          <w:snapToGrid w:val="0"/>
          <w:sz w:val="21"/>
          <w:szCs w:val="21"/>
          <w:lang w:eastAsia="zh-CN"/>
        </w:rPr>
        <w:t>ASTM</w:t>
      </w:r>
      <w:r>
        <w:rPr>
          <w:rFonts w:hint="eastAsia" w:ascii="Arial" w:hAnsi="Arial" w:eastAsia="宋体" w:cs="Arial"/>
          <w:snapToGrid w:val="0"/>
          <w:sz w:val="21"/>
          <w:szCs w:val="21"/>
          <w:lang w:eastAsia="zh-CN"/>
        </w:rPr>
        <w:t>）国际版，</w:t>
      </w:r>
      <w:r>
        <w:rPr>
          <w:rFonts w:ascii="Arial" w:hAnsi="Arial" w:eastAsia="宋体" w:cs="Arial"/>
          <w:snapToGrid w:val="0"/>
          <w:sz w:val="21"/>
          <w:szCs w:val="21"/>
          <w:lang w:eastAsia="zh-CN"/>
        </w:rPr>
        <w:t>West Conshohocken</w:t>
      </w:r>
      <w:r>
        <w:rPr>
          <w:rFonts w:hint="eastAsia" w:ascii="Arial" w:hAnsi="Arial" w:eastAsia="宋体" w:cs="Arial"/>
          <w:snapToGrid w:val="0"/>
          <w:sz w:val="21"/>
          <w:szCs w:val="21"/>
          <w:lang w:eastAsia="zh-CN"/>
        </w:rPr>
        <w:t>，</w:t>
      </w:r>
      <w:r>
        <w:rPr>
          <w:rFonts w:ascii="Arial" w:hAnsi="Arial" w:eastAsia="宋体" w:cs="Arial"/>
          <w:snapToGrid w:val="0"/>
          <w:sz w:val="21"/>
          <w:szCs w:val="21"/>
          <w:lang w:eastAsia="zh-CN"/>
        </w:rPr>
        <w:t>PA.</w:t>
      </w:r>
    </w:p>
  </w:footnote>
  <w:footnote w:id="11">
    <w:p w14:paraId="73960ABB">
      <w:pPr>
        <w:pStyle w:val="14"/>
        <w:spacing w:line="300" w:lineRule="auto"/>
        <w:jc w:val="both"/>
        <w:rPr>
          <w:rFonts w:eastAsiaTheme="minorEastAsia"/>
          <w:sz w:val="21"/>
          <w:szCs w:val="21"/>
          <w:lang w:eastAsia="zh-CN"/>
        </w:rPr>
      </w:pPr>
      <w:r>
        <w:rPr>
          <w:rStyle w:val="20"/>
          <w:sz w:val="21"/>
          <w:szCs w:val="21"/>
        </w:rPr>
        <w:footnoteRef/>
      </w:r>
      <w:r>
        <w:rPr>
          <w:sz w:val="21"/>
          <w:szCs w:val="21"/>
          <w:lang w:eastAsia="zh-CN"/>
        </w:rPr>
        <w:t xml:space="preserve"> </w:t>
      </w:r>
      <w:r>
        <w:rPr>
          <w:rFonts w:ascii="Arial" w:hAnsi="Arial" w:eastAsia="宋体" w:cs="Arial"/>
          <w:snapToGrid w:val="0"/>
          <w:sz w:val="21"/>
          <w:szCs w:val="21"/>
          <w:lang w:eastAsia="zh-CN"/>
        </w:rPr>
        <w:t>ASTM F1841-97</w:t>
      </w:r>
      <w:r>
        <w:rPr>
          <w:rFonts w:hint="eastAsia" w:ascii="Arial" w:hAnsi="Arial" w:eastAsia="宋体" w:cs="Arial"/>
          <w:snapToGrid w:val="0"/>
          <w:sz w:val="21"/>
          <w:szCs w:val="21"/>
          <w:lang w:eastAsia="zh-CN"/>
        </w:rPr>
        <w:t>：连续流动血泵里溶血评定的标准操作规程。美国材料与试验协会（</w:t>
      </w:r>
      <w:r>
        <w:rPr>
          <w:rFonts w:ascii="Arial" w:hAnsi="Arial" w:eastAsia="宋体" w:cs="Arial"/>
          <w:snapToGrid w:val="0"/>
          <w:sz w:val="21"/>
          <w:szCs w:val="21"/>
          <w:lang w:eastAsia="zh-CN"/>
        </w:rPr>
        <w:t>ASTM</w:t>
      </w:r>
      <w:r>
        <w:rPr>
          <w:rFonts w:hint="eastAsia" w:ascii="Arial" w:hAnsi="Arial" w:eastAsia="宋体" w:cs="Arial"/>
          <w:snapToGrid w:val="0"/>
          <w:sz w:val="21"/>
          <w:szCs w:val="21"/>
          <w:lang w:eastAsia="zh-CN"/>
        </w:rPr>
        <w:t>）国际版，</w:t>
      </w:r>
      <w:r>
        <w:rPr>
          <w:rFonts w:ascii="Arial" w:hAnsi="Arial" w:eastAsia="宋体" w:cs="Arial"/>
          <w:snapToGrid w:val="0"/>
          <w:sz w:val="21"/>
          <w:szCs w:val="21"/>
          <w:lang w:eastAsia="zh-CN"/>
        </w:rPr>
        <w:t>West Conshohocken</w:t>
      </w:r>
      <w:r>
        <w:rPr>
          <w:rFonts w:hint="eastAsia" w:ascii="Arial" w:hAnsi="Arial" w:eastAsia="宋体" w:cs="Arial"/>
          <w:snapToGrid w:val="0"/>
          <w:sz w:val="21"/>
          <w:szCs w:val="21"/>
          <w:lang w:eastAsia="zh-CN"/>
        </w:rPr>
        <w:t>，</w:t>
      </w:r>
      <w:r>
        <w:rPr>
          <w:rFonts w:ascii="Arial" w:hAnsi="Arial" w:eastAsia="宋体" w:cs="Arial"/>
          <w:snapToGrid w:val="0"/>
          <w:sz w:val="21"/>
          <w:szCs w:val="21"/>
          <w:lang w:eastAsia="zh-CN"/>
        </w:rPr>
        <w:t>PA.</w:t>
      </w:r>
    </w:p>
  </w:footnote>
  <w:footnote w:id="12">
    <w:p w14:paraId="52F5262C">
      <w:pPr>
        <w:pStyle w:val="14"/>
        <w:spacing w:line="300" w:lineRule="auto"/>
        <w:rPr>
          <w:rFonts w:eastAsiaTheme="minorEastAsia"/>
          <w:sz w:val="21"/>
          <w:szCs w:val="21"/>
          <w:lang w:eastAsia="zh-CN"/>
        </w:rPr>
      </w:pPr>
      <w:r>
        <w:rPr>
          <w:rStyle w:val="20"/>
          <w:sz w:val="21"/>
          <w:szCs w:val="21"/>
        </w:rPr>
        <w:footnoteRef/>
      </w:r>
      <w:r>
        <w:rPr>
          <w:sz w:val="21"/>
          <w:szCs w:val="21"/>
          <w:lang w:eastAsia="zh-CN"/>
        </w:rPr>
        <w:t xml:space="preserve"> </w:t>
      </w:r>
      <w:r>
        <w:fldChar w:fldCharType="begin"/>
      </w:r>
      <w:r>
        <w:instrText xml:space="preserve"> HYPERLINK "http://www.fda.gov/MedicalDevices/DeviceRegulationandGuidance/GuidanceDocuments/ucm073668.htm" \h </w:instrText>
      </w:r>
      <w:r>
        <w:fldChar w:fldCharType="separate"/>
      </w:r>
      <w:r>
        <w:rPr>
          <w:rFonts w:hint="eastAsia" w:ascii="Arial" w:hAnsi="Arial" w:eastAsia="宋体" w:cs="Arial"/>
          <w:snapToGrid w:val="0"/>
          <w:color w:val="0000FF"/>
          <w:sz w:val="21"/>
          <w:szCs w:val="21"/>
          <w:u w:val="single" w:color="0000FF"/>
          <w:lang w:eastAsia="zh-CN"/>
        </w:rPr>
        <w:t>心肺循环制氧机的</w:t>
      </w:r>
      <w:r>
        <w:rPr>
          <w:rFonts w:ascii="Arial" w:hAnsi="Arial" w:eastAsia="宋体" w:cs="Arial"/>
          <w:snapToGrid w:val="0"/>
          <w:color w:val="0000FF"/>
          <w:sz w:val="21"/>
          <w:szCs w:val="21"/>
          <w:u w:val="single" w:color="0000FF"/>
          <w:lang w:eastAsia="zh-CN"/>
        </w:rPr>
        <w:t>510</w:t>
      </w:r>
      <w:r>
        <w:rPr>
          <w:rFonts w:hint="eastAsia" w:ascii="Arial" w:hAnsi="Arial" w:eastAsia="宋体" w:cs="Arial"/>
          <w:snapToGrid w:val="0"/>
          <w:color w:val="0000FF"/>
          <w:sz w:val="21"/>
          <w:szCs w:val="21"/>
          <w:u w:val="single" w:color="0000FF"/>
          <w:lang w:eastAsia="zh-CN"/>
        </w:rPr>
        <w:t>（</w:t>
      </w:r>
      <w:r>
        <w:rPr>
          <w:rFonts w:ascii="Arial" w:hAnsi="Arial" w:eastAsia="宋体" w:cs="Arial"/>
          <w:snapToGrid w:val="0"/>
          <w:color w:val="0000FF"/>
          <w:sz w:val="21"/>
          <w:szCs w:val="21"/>
          <w:u w:val="single" w:color="0000FF"/>
          <w:lang w:eastAsia="zh-CN"/>
        </w:rPr>
        <w:t>k</w:t>
      </w:r>
      <w:r>
        <w:rPr>
          <w:rFonts w:hint="eastAsia" w:ascii="Arial" w:hAnsi="Arial" w:eastAsia="宋体" w:cs="Arial"/>
          <w:snapToGrid w:val="0"/>
          <w:color w:val="0000FF"/>
          <w:sz w:val="21"/>
          <w:szCs w:val="21"/>
          <w:u w:val="single" w:color="0000FF"/>
          <w:lang w:eastAsia="zh-CN"/>
        </w:rPr>
        <w:t>）申报指南；行业及</w:t>
      </w:r>
      <w:r>
        <w:rPr>
          <w:rFonts w:ascii="Arial" w:hAnsi="Arial" w:eastAsia="宋体" w:cs="Arial"/>
          <w:snapToGrid w:val="0"/>
          <w:color w:val="0000FF"/>
          <w:sz w:val="21"/>
          <w:szCs w:val="21"/>
          <w:u w:val="single" w:color="0000FF"/>
          <w:lang w:eastAsia="zh-CN"/>
        </w:rPr>
        <w:t>FDA</w:t>
      </w:r>
      <w:r>
        <w:rPr>
          <w:rFonts w:hint="eastAsia" w:ascii="Arial" w:hAnsi="Arial" w:eastAsia="宋体" w:cs="Arial"/>
          <w:snapToGrid w:val="0"/>
          <w:color w:val="0000FF"/>
          <w:sz w:val="21"/>
          <w:szCs w:val="21"/>
          <w:u w:val="single" w:color="0000FF"/>
          <w:lang w:eastAsia="zh-CN"/>
        </w:rPr>
        <w:t>工作人员最终指南</w:t>
      </w:r>
      <w:r>
        <w:rPr>
          <w:rFonts w:hint="eastAsia" w:ascii="Arial" w:hAnsi="Arial" w:eastAsia="宋体" w:cs="Arial"/>
          <w:snapToGrid w:val="0"/>
          <w:color w:val="0000FF"/>
          <w:sz w:val="21"/>
          <w:szCs w:val="21"/>
          <w:u w:val="single" w:color="0000FF"/>
          <w:lang w:eastAsia="zh-CN"/>
        </w:rPr>
        <w:fldChar w:fldCharType="end"/>
      </w:r>
      <w:r>
        <w:rPr>
          <w:rFonts w:hint="eastAsia" w:ascii="Arial" w:hAnsi="Arial" w:eastAsia="宋体" w:cs="Arial"/>
          <w:snapToGrid w:val="0"/>
          <w:color w:val="0000FF"/>
          <w:sz w:val="21"/>
          <w:szCs w:val="21"/>
          <w:lang w:eastAsia="zh-CN"/>
        </w:rPr>
        <w:t>（</w:t>
      </w:r>
      <w:r>
        <w:fldChar w:fldCharType="begin"/>
      </w:r>
      <w:r>
        <w:instrText xml:space="preserve"> HYPERLINK "http://www.fda.gov/MedicalDevices/DeviceRegulationandGuidance/GuidanceDocuments/ucm073668.htm" \h </w:instrText>
      </w:r>
      <w:r>
        <w:fldChar w:fldCharType="separate"/>
      </w:r>
      <w:r>
        <w:rPr>
          <w:rFonts w:ascii="Arial" w:hAnsi="Arial" w:eastAsia="宋体" w:cs="Arial"/>
          <w:snapToGrid w:val="0"/>
          <w:sz w:val="21"/>
          <w:szCs w:val="21"/>
          <w:u w:val="single"/>
          <w:lang w:eastAsia="zh-CN"/>
        </w:rPr>
        <w:t>http</w:t>
      </w:r>
      <w:r>
        <w:rPr>
          <w:rFonts w:hint="eastAsia" w:ascii="Arial" w:hAnsi="Arial" w:eastAsia="宋体" w:cs="Arial"/>
          <w:snapToGrid w:val="0"/>
          <w:sz w:val="21"/>
          <w:szCs w:val="21"/>
          <w:u w:val="single"/>
          <w:lang w:eastAsia="zh-CN"/>
        </w:rPr>
        <w:t>://</w:t>
      </w:r>
      <w:r>
        <w:rPr>
          <w:rFonts w:ascii="Arial" w:hAnsi="Arial" w:eastAsia="宋体" w:cs="Arial"/>
          <w:snapToGrid w:val="0"/>
          <w:sz w:val="21"/>
          <w:szCs w:val="21"/>
          <w:u w:val="single"/>
          <w:lang w:eastAsia="zh-CN"/>
        </w:rPr>
        <w:t>www.fda.gov/MedicalDevices/DeviceRegulationandGuidance/GuidanceDocuments/ucm073668.ht</w:t>
      </w:r>
      <w:r>
        <w:rPr>
          <w:rFonts w:ascii="Arial" w:hAnsi="Arial" w:eastAsia="宋体" w:cs="Arial"/>
          <w:snapToGrid w:val="0"/>
          <w:sz w:val="21"/>
          <w:szCs w:val="21"/>
          <w:u w:val="single"/>
          <w:lang w:eastAsia="zh-CN"/>
        </w:rPr>
        <w:fldChar w:fldCharType="end"/>
      </w:r>
      <w:r>
        <w:fldChar w:fldCharType="begin"/>
      </w:r>
      <w:r>
        <w:instrText xml:space="preserve"> HYPERLINK "http://www.fda.gov/MedicalDevices/DeviceRegulationandGuidance/GuidanceDocuments/ucm073668.htm" \h </w:instrText>
      </w:r>
      <w:r>
        <w:fldChar w:fldCharType="separate"/>
      </w:r>
      <w:r>
        <w:rPr>
          <w:rFonts w:ascii="Arial" w:hAnsi="Arial" w:eastAsia="宋体" w:cs="Arial"/>
          <w:snapToGrid w:val="0"/>
          <w:sz w:val="21"/>
          <w:szCs w:val="21"/>
          <w:u w:val="single"/>
          <w:lang w:eastAsia="zh-CN"/>
        </w:rPr>
        <w:t>m</w:t>
      </w:r>
      <w:r>
        <w:rPr>
          <w:rFonts w:hint="eastAsia" w:ascii="Arial" w:hAnsi="Arial" w:eastAsia="宋体" w:cs="Arial"/>
          <w:snapToGrid w:val="0"/>
          <w:sz w:val="21"/>
          <w:szCs w:val="21"/>
          <w:lang w:eastAsia="zh-CN"/>
        </w:rPr>
        <w:t>）</w:t>
      </w:r>
      <w:r>
        <w:rPr>
          <w:rFonts w:hint="eastAsia" w:ascii="Arial" w:hAnsi="Arial" w:eastAsia="宋体" w:cs="Arial"/>
          <w:snapToGrid w:val="0"/>
          <w:sz w:val="21"/>
          <w:szCs w:val="21"/>
          <w:lang w:eastAsia="zh-CN"/>
        </w:rPr>
        <w:fldChar w:fldCharType="end"/>
      </w:r>
    </w:p>
  </w:footnote>
  <w:footnote w:id="13">
    <w:p w14:paraId="2317FBC3">
      <w:pPr>
        <w:pStyle w:val="14"/>
        <w:spacing w:line="300" w:lineRule="auto"/>
        <w:jc w:val="both"/>
        <w:rPr>
          <w:rFonts w:eastAsiaTheme="minorEastAsia"/>
          <w:sz w:val="21"/>
          <w:szCs w:val="21"/>
          <w:lang w:eastAsia="zh-CN"/>
        </w:rPr>
      </w:pPr>
      <w:r>
        <w:rPr>
          <w:rStyle w:val="20"/>
          <w:sz w:val="21"/>
          <w:szCs w:val="21"/>
        </w:rPr>
        <w:footnoteRef/>
      </w:r>
      <w:r>
        <w:rPr>
          <w:sz w:val="21"/>
          <w:szCs w:val="21"/>
          <w:lang w:eastAsia="zh-CN"/>
        </w:rPr>
        <w:t xml:space="preserve"> </w:t>
      </w:r>
      <w:r>
        <w:rPr>
          <w:rFonts w:ascii="Arial" w:hAnsi="Arial" w:eastAsia="宋体" w:cs="Arial"/>
          <w:snapToGrid w:val="0"/>
          <w:sz w:val="21"/>
          <w:szCs w:val="21"/>
          <w:lang w:eastAsia="zh-CN"/>
        </w:rPr>
        <w:t>Mueller</w:t>
      </w:r>
      <w:r>
        <w:rPr>
          <w:rFonts w:hint="eastAsia" w:ascii="Arial" w:hAnsi="Arial" w:eastAsia="宋体" w:cs="Arial"/>
          <w:snapToGrid w:val="0"/>
          <w:sz w:val="21"/>
          <w:szCs w:val="21"/>
          <w:lang w:eastAsia="zh-CN"/>
        </w:rPr>
        <w:t>，</w:t>
      </w:r>
      <w:r>
        <w:rPr>
          <w:rFonts w:ascii="Arial" w:hAnsi="Arial" w:eastAsia="宋体" w:cs="Arial"/>
          <w:snapToGrid w:val="0"/>
          <w:sz w:val="21"/>
          <w:szCs w:val="21"/>
          <w:lang w:eastAsia="zh-CN"/>
        </w:rPr>
        <w:t>MR</w:t>
      </w:r>
      <w:r>
        <w:rPr>
          <w:rFonts w:hint="eastAsia" w:ascii="Arial" w:hAnsi="Arial" w:eastAsia="宋体" w:cs="Arial"/>
          <w:snapToGrid w:val="0"/>
          <w:sz w:val="21"/>
          <w:szCs w:val="21"/>
          <w:lang w:eastAsia="zh-CN"/>
        </w:rPr>
        <w:t>，</w:t>
      </w:r>
      <w:r>
        <w:rPr>
          <w:rFonts w:ascii="Arial" w:hAnsi="Arial" w:eastAsia="宋体" w:cs="Arial"/>
          <w:snapToGrid w:val="0"/>
          <w:sz w:val="21"/>
          <w:szCs w:val="21"/>
          <w:lang w:eastAsia="zh-CN"/>
        </w:rPr>
        <w:t>Schima</w:t>
      </w:r>
      <w:r>
        <w:rPr>
          <w:rFonts w:hint="eastAsia" w:ascii="Arial" w:hAnsi="Arial" w:eastAsia="宋体" w:cs="Arial"/>
          <w:snapToGrid w:val="0"/>
          <w:sz w:val="21"/>
          <w:szCs w:val="21"/>
          <w:lang w:eastAsia="zh-CN"/>
        </w:rPr>
        <w:t>，</w:t>
      </w:r>
      <w:r>
        <w:rPr>
          <w:rFonts w:ascii="Arial" w:hAnsi="Arial" w:eastAsia="宋体" w:cs="Arial"/>
          <w:snapToGrid w:val="0"/>
          <w:sz w:val="21"/>
          <w:szCs w:val="21"/>
          <w:lang w:eastAsia="zh-CN"/>
        </w:rPr>
        <w:t>H</w:t>
      </w:r>
      <w:r>
        <w:rPr>
          <w:rFonts w:hint="eastAsia" w:ascii="Arial" w:hAnsi="Arial" w:eastAsia="宋体" w:cs="Arial"/>
          <w:snapToGrid w:val="0"/>
          <w:sz w:val="21"/>
          <w:szCs w:val="21"/>
          <w:lang w:eastAsia="zh-CN"/>
        </w:rPr>
        <w:t>，</w:t>
      </w:r>
      <w:r>
        <w:rPr>
          <w:rFonts w:ascii="Arial" w:hAnsi="Arial" w:eastAsia="宋体" w:cs="Arial"/>
          <w:snapToGrid w:val="0"/>
          <w:sz w:val="21"/>
          <w:szCs w:val="21"/>
          <w:lang w:eastAsia="zh-CN"/>
        </w:rPr>
        <w:t>et al.</w:t>
      </w:r>
      <w:r>
        <w:rPr>
          <w:rFonts w:hint="eastAsia" w:ascii="Arial" w:hAnsi="Arial" w:eastAsia="宋体" w:cs="Arial"/>
          <w:snapToGrid w:val="0"/>
          <w:sz w:val="21"/>
          <w:szCs w:val="21"/>
          <w:lang w:eastAsia="zh-CN"/>
        </w:rPr>
        <w:t>旋转式血泵的</w:t>
      </w:r>
      <w:r>
        <w:rPr>
          <w:rFonts w:hint="eastAsia" w:ascii="Arial" w:hAnsi="Arial" w:eastAsia="宋体" w:cs="Arial"/>
          <w:i/>
          <w:snapToGrid w:val="0"/>
          <w:sz w:val="21"/>
          <w:szCs w:val="21"/>
          <w:lang w:eastAsia="zh-CN"/>
        </w:rPr>
        <w:t>体外</w:t>
      </w:r>
      <w:r>
        <w:rPr>
          <w:rFonts w:hint="eastAsia" w:ascii="Arial" w:hAnsi="Arial" w:eastAsia="宋体" w:cs="Arial"/>
          <w:snapToGrid w:val="0"/>
          <w:sz w:val="21"/>
          <w:szCs w:val="21"/>
          <w:lang w:eastAsia="zh-CN"/>
        </w:rPr>
        <w:t>血液学检验：关于标准化与数据解释的评论。</w:t>
      </w:r>
      <w:r>
        <w:rPr>
          <w:rFonts w:ascii="Arial" w:hAnsi="Arial" w:eastAsia="宋体" w:cs="Arial"/>
          <w:snapToGrid w:val="0"/>
          <w:sz w:val="21"/>
          <w:szCs w:val="21"/>
        </w:rPr>
        <w:t>Artificial Organs</w:t>
      </w:r>
      <w:r>
        <w:rPr>
          <w:rFonts w:hint="eastAsia" w:ascii="Arial" w:hAnsi="Arial" w:eastAsia="宋体" w:cs="Arial"/>
          <w:snapToGrid w:val="0"/>
          <w:sz w:val="21"/>
          <w:szCs w:val="21"/>
        </w:rPr>
        <w:t>，</w:t>
      </w:r>
      <w:r>
        <w:rPr>
          <w:rFonts w:ascii="Arial" w:hAnsi="Arial" w:eastAsia="宋体" w:cs="Arial"/>
          <w:snapToGrid w:val="0"/>
          <w:sz w:val="21"/>
          <w:szCs w:val="21"/>
        </w:rPr>
        <w:t>17</w:t>
      </w:r>
      <w:r>
        <w:rPr>
          <w:rFonts w:hint="eastAsia" w:ascii="Arial" w:hAnsi="Arial" w:eastAsia="宋体" w:cs="Arial"/>
          <w:snapToGrid w:val="0"/>
          <w:sz w:val="21"/>
          <w:szCs w:val="21"/>
        </w:rPr>
        <w:t>（</w:t>
      </w:r>
      <w:r>
        <w:rPr>
          <w:rFonts w:ascii="Arial" w:hAnsi="Arial" w:eastAsia="宋体" w:cs="Arial"/>
          <w:snapToGrid w:val="0"/>
          <w:sz w:val="21"/>
          <w:szCs w:val="21"/>
        </w:rPr>
        <w:t>2</w:t>
      </w:r>
      <w:r>
        <w:rPr>
          <w:rFonts w:hint="eastAsia" w:ascii="Arial" w:hAnsi="Arial" w:eastAsia="宋体" w:cs="Arial"/>
          <w:snapToGrid w:val="0"/>
          <w:sz w:val="21"/>
          <w:szCs w:val="21"/>
        </w:rPr>
        <w:t>）：</w:t>
      </w:r>
      <w:r>
        <w:rPr>
          <w:rFonts w:ascii="Arial" w:hAnsi="Arial" w:eastAsia="宋体" w:cs="Arial"/>
          <w:snapToGrid w:val="0"/>
          <w:sz w:val="21"/>
          <w:szCs w:val="21"/>
        </w:rPr>
        <w:t>103-110</w:t>
      </w:r>
      <w:r>
        <w:rPr>
          <w:rFonts w:hint="eastAsia" w:ascii="Arial" w:hAnsi="Arial" w:eastAsia="宋体" w:cs="Arial"/>
          <w:snapToGrid w:val="0"/>
          <w:sz w:val="21"/>
          <w:szCs w:val="21"/>
        </w:rPr>
        <w:t>，</w:t>
      </w:r>
      <w:r>
        <w:rPr>
          <w:rFonts w:ascii="Arial" w:hAnsi="Arial" w:eastAsia="宋体" w:cs="Arial"/>
          <w:snapToGrid w:val="0"/>
          <w:sz w:val="21"/>
          <w:szCs w:val="21"/>
        </w:rPr>
        <w:t>1993.</w:t>
      </w:r>
    </w:p>
  </w:footnote>
  <w:footnote w:id="14">
    <w:p w14:paraId="22F619D7">
      <w:pPr>
        <w:pStyle w:val="14"/>
        <w:spacing w:line="300" w:lineRule="auto"/>
        <w:jc w:val="both"/>
        <w:rPr>
          <w:rFonts w:eastAsiaTheme="minorEastAsia"/>
          <w:sz w:val="21"/>
          <w:szCs w:val="21"/>
          <w:lang w:eastAsia="zh-CN"/>
        </w:rPr>
      </w:pPr>
      <w:r>
        <w:rPr>
          <w:rStyle w:val="20"/>
          <w:sz w:val="21"/>
          <w:szCs w:val="21"/>
        </w:rPr>
        <w:footnoteRef/>
      </w:r>
      <w:r>
        <w:rPr>
          <w:sz w:val="21"/>
          <w:szCs w:val="21"/>
          <w:lang w:eastAsia="zh-CN"/>
        </w:rPr>
        <w:t xml:space="preserve"> </w:t>
      </w:r>
      <w:r>
        <w:rPr>
          <w:rFonts w:ascii="Arial" w:hAnsi="Arial" w:eastAsia="宋体" w:cs="Arial"/>
          <w:snapToGrid w:val="0"/>
          <w:sz w:val="21"/>
          <w:szCs w:val="21"/>
          <w:lang w:eastAsia="zh-CN"/>
        </w:rPr>
        <w:t>Malinauskas</w:t>
      </w:r>
      <w:r>
        <w:rPr>
          <w:rFonts w:hint="eastAsia" w:ascii="Arial" w:hAnsi="Arial" w:eastAsia="宋体" w:cs="Arial"/>
          <w:snapToGrid w:val="0"/>
          <w:sz w:val="21"/>
          <w:szCs w:val="21"/>
          <w:lang w:eastAsia="zh-CN"/>
        </w:rPr>
        <w:t>，</w:t>
      </w:r>
      <w:r>
        <w:rPr>
          <w:rFonts w:ascii="Arial" w:hAnsi="Arial" w:eastAsia="宋体" w:cs="Arial"/>
          <w:snapToGrid w:val="0"/>
          <w:sz w:val="21"/>
          <w:szCs w:val="21"/>
          <w:lang w:eastAsia="zh-CN"/>
        </w:rPr>
        <w:t>R.</w:t>
      </w:r>
      <w:r>
        <w:rPr>
          <w:rFonts w:hint="eastAsia" w:ascii="Arial" w:hAnsi="Arial" w:eastAsia="宋体" w:cs="Arial"/>
          <w:snapToGrid w:val="0"/>
          <w:sz w:val="21"/>
          <w:szCs w:val="21"/>
          <w:lang w:eastAsia="zh-CN"/>
        </w:rPr>
        <w:t>医疗器械所致血液损伤体外评价的血浆血红蛋白测量技术。</w:t>
      </w:r>
      <w:r>
        <w:rPr>
          <w:rFonts w:ascii="Arial" w:hAnsi="Arial" w:eastAsia="宋体" w:cs="Arial"/>
          <w:snapToGrid w:val="0"/>
          <w:sz w:val="21"/>
          <w:szCs w:val="21"/>
          <w:lang w:eastAsia="zh-CN"/>
        </w:rPr>
        <w:t xml:space="preserve"> </w:t>
      </w:r>
      <w:r>
        <w:rPr>
          <w:rFonts w:ascii="Arial" w:hAnsi="Arial" w:eastAsia="宋体" w:cs="Arial"/>
          <w:snapToGrid w:val="0"/>
          <w:sz w:val="21"/>
          <w:szCs w:val="21"/>
        </w:rPr>
        <w:t>Artificial Organs</w:t>
      </w:r>
      <w:r>
        <w:rPr>
          <w:rFonts w:hint="eastAsia" w:ascii="Arial" w:hAnsi="Arial" w:eastAsia="宋体" w:cs="Arial"/>
          <w:snapToGrid w:val="0"/>
          <w:sz w:val="21"/>
          <w:szCs w:val="21"/>
        </w:rPr>
        <w:t>，</w:t>
      </w:r>
      <w:r>
        <w:rPr>
          <w:rFonts w:ascii="Arial" w:hAnsi="Arial" w:eastAsia="宋体" w:cs="Arial"/>
          <w:snapToGrid w:val="0"/>
          <w:sz w:val="21"/>
          <w:szCs w:val="21"/>
        </w:rPr>
        <w:t>21</w:t>
      </w:r>
      <w:r>
        <w:rPr>
          <w:rFonts w:hint="eastAsia" w:ascii="Arial" w:hAnsi="Arial" w:eastAsia="宋体" w:cs="Arial"/>
          <w:snapToGrid w:val="0"/>
          <w:sz w:val="21"/>
          <w:szCs w:val="21"/>
        </w:rPr>
        <w:t>（</w:t>
      </w:r>
      <w:r>
        <w:rPr>
          <w:rFonts w:ascii="Arial" w:hAnsi="Arial" w:eastAsia="宋体" w:cs="Arial"/>
          <w:snapToGrid w:val="0"/>
          <w:sz w:val="21"/>
          <w:szCs w:val="21"/>
        </w:rPr>
        <w:t>12</w:t>
      </w:r>
      <w:r>
        <w:rPr>
          <w:rFonts w:hint="eastAsia" w:ascii="Arial" w:hAnsi="Arial" w:eastAsia="宋体" w:cs="Arial"/>
          <w:snapToGrid w:val="0"/>
          <w:sz w:val="21"/>
          <w:szCs w:val="21"/>
        </w:rPr>
        <w:t>）：</w:t>
      </w:r>
      <w:r>
        <w:rPr>
          <w:rFonts w:ascii="Arial" w:hAnsi="Arial" w:eastAsia="宋体" w:cs="Arial"/>
          <w:snapToGrid w:val="0"/>
          <w:sz w:val="21"/>
          <w:szCs w:val="21"/>
        </w:rPr>
        <w:t>1255-67</w:t>
      </w:r>
      <w:r>
        <w:rPr>
          <w:rFonts w:hint="eastAsia" w:ascii="Arial" w:hAnsi="Arial" w:eastAsia="宋体" w:cs="Arial"/>
          <w:snapToGrid w:val="0"/>
          <w:sz w:val="21"/>
          <w:szCs w:val="21"/>
        </w:rPr>
        <w:t>，</w:t>
      </w:r>
      <w:r>
        <w:rPr>
          <w:rFonts w:ascii="Arial" w:hAnsi="Arial" w:eastAsia="宋体" w:cs="Arial"/>
          <w:snapToGrid w:val="0"/>
          <w:sz w:val="21"/>
          <w:szCs w:val="21"/>
        </w:rPr>
        <w:t>1997.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46820">
    <w:pPr>
      <w:pStyle w:val="11"/>
      <w:pBdr>
        <w:bottom w:val="none" w:color="auto" w:sz="0" w:space="0"/>
      </w:pBdr>
      <w:rPr>
        <w:rFonts w:ascii="Arial" w:hAnsi="Arial" w:eastAsia="宋体" w:cs="Arial"/>
        <w:b/>
        <w:i/>
        <w:snapToGrid w:val="0"/>
        <w:sz w:val="21"/>
        <w:lang w:eastAsia="zh-CN"/>
      </w:rPr>
    </w:pPr>
    <w:r>
      <w:rPr>
        <w:rFonts w:hint="eastAsia" w:ascii="Arial" w:hAnsi="Arial" w:eastAsia="宋体" w:cs="Arial"/>
        <w:b/>
        <w:i/>
        <w:snapToGrid w:val="0"/>
        <w:sz w:val="21"/>
        <w:lang w:eastAsia="zh-CN"/>
      </w:rPr>
      <w:t>含不具约束力建议</w:t>
    </w:r>
  </w:p>
  <w:p w14:paraId="3909B1B5">
    <w:pPr>
      <w:pStyle w:val="11"/>
      <w:pBdr>
        <w:bottom w:val="none" w:color="auto" w:sz="0" w:space="0"/>
      </w:pBdr>
      <w:rPr>
        <w:rFonts w:ascii="Arial" w:hAnsi="Arial" w:eastAsia="宋体" w:cs="Arial"/>
        <w:b/>
        <w:i/>
        <w:snapToGrid w:val="0"/>
        <w:sz w:val="24"/>
        <w:lang w:eastAsia="zh-CN"/>
      </w:rPr>
    </w:pPr>
  </w:p>
  <w:p w14:paraId="39245C37">
    <w:pPr>
      <w:pStyle w:val="11"/>
      <w:pBdr>
        <w:bottom w:val="none" w:color="auto" w:sz="0" w:space="0"/>
      </w:pBdr>
      <w:rP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3CE65">
    <w:pPr>
      <w:pStyle w:val="11"/>
      <w:pBdr>
        <w:bottom w:val="none" w:color="auto" w:sz="0" w:space="0"/>
      </w:pBdr>
      <w:rPr>
        <w:rFonts w:ascii="Arial" w:hAnsi="Arial" w:eastAsia="宋体" w:cs="Arial"/>
        <w:b/>
        <w:i/>
        <w:snapToGrid w:val="0"/>
        <w:sz w:val="21"/>
        <w:lang w:eastAsia="zh-CN"/>
      </w:rPr>
    </w:pPr>
    <w:r>
      <w:rPr>
        <w:rFonts w:hint="eastAsia" w:ascii="Arial" w:hAnsi="Arial" w:eastAsia="宋体" w:cs="Arial"/>
        <w:b/>
        <w:i/>
        <w:snapToGrid w:val="0"/>
        <w:sz w:val="21"/>
        <w:lang w:eastAsia="zh-CN"/>
      </w:rPr>
      <w:t>含不具约束力建议</w:t>
    </w:r>
  </w:p>
  <w:p w14:paraId="6056127E">
    <w:pPr>
      <w:pStyle w:val="11"/>
      <w:pBdr>
        <w:bottom w:val="none" w:color="auto" w:sz="0" w:space="0"/>
      </w:pBdr>
      <w:rPr>
        <w:rFonts w:ascii="Arial" w:hAnsi="Arial" w:eastAsia="宋体" w:cs="Arial"/>
        <w:b/>
        <w:i/>
        <w:snapToGrid w:val="0"/>
        <w:sz w:val="24"/>
        <w:lang w:eastAsia="zh-CN"/>
      </w:rPr>
    </w:pPr>
  </w:p>
  <w:p w14:paraId="06F44744">
    <w:pPr>
      <w:pStyle w:val="11"/>
      <w:pBdr>
        <w:bottom w:val="none" w:color="auto" w:sz="0" w:space="0"/>
      </w:pBdr>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C926E4"/>
    <w:multiLevelType w:val="multilevel"/>
    <w:tmpl w:val="01C926E4"/>
    <w:lvl w:ilvl="0" w:tentative="0">
      <w:start w:val="1"/>
      <w:numFmt w:val="lowerLetter"/>
      <w:lvlText w:val="%1."/>
      <w:lvlJc w:val="left"/>
      <w:pPr>
        <w:ind w:left="960" w:hanging="360"/>
      </w:pPr>
      <w:rPr>
        <w:rFonts w:hint="default" w:ascii="Arial" w:hAnsi="Arial" w:eastAsia="Times New Roman" w:cs="Arial"/>
        <w:spacing w:val="-2"/>
        <w:w w:val="100"/>
        <w:sz w:val="24"/>
        <w:szCs w:val="24"/>
        <w:lang w:val="en-US" w:eastAsia="en-US" w:bidi="en-US"/>
      </w:rPr>
    </w:lvl>
    <w:lvl w:ilvl="1" w:tentative="0">
      <w:start w:val="1"/>
      <w:numFmt w:val="decimal"/>
      <w:lvlText w:val="%2."/>
      <w:lvlJc w:val="left"/>
      <w:pPr>
        <w:ind w:left="1320" w:hanging="360"/>
      </w:pPr>
      <w:rPr>
        <w:rFonts w:hint="default" w:ascii="Arial" w:hAnsi="Arial" w:eastAsia="Times New Roman" w:cs="Arial"/>
        <w:spacing w:val="-2"/>
        <w:w w:val="100"/>
        <w:sz w:val="24"/>
        <w:szCs w:val="24"/>
        <w:lang w:val="en-US" w:eastAsia="en-US" w:bidi="en-US"/>
      </w:rPr>
    </w:lvl>
    <w:lvl w:ilvl="2" w:tentative="0">
      <w:start w:val="1"/>
      <w:numFmt w:val="lowerRoman"/>
      <w:lvlText w:val="%3."/>
      <w:lvlJc w:val="left"/>
      <w:pPr>
        <w:ind w:left="1680" w:hanging="360"/>
      </w:pPr>
      <w:rPr>
        <w:rFonts w:hint="default" w:ascii="Arial" w:hAnsi="Arial" w:eastAsia="Times New Roman" w:cs="Arial"/>
        <w:spacing w:val="-2"/>
        <w:w w:val="100"/>
        <w:sz w:val="24"/>
        <w:szCs w:val="24"/>
        <w:lang w:val="en-US" w:eastAsia="en-US" w:bidi="en-US"/>
      </w:rPr>
    </w:lvl>
    <w:lvl w:ilvl="3" w:tentative="0">
      <w:start w:val="0"/>
      <w:numFmt w:val="bullet"/>
      <w:lvlText w:val="•"/>
      <w:lvlJc w:val="left"/>
      <w:pPr>
        <w:ind w:left="2702" w:hanging="360"/>
      </w:pPr>
      <w:rPr>
        <w:rFonts w:hint="default"/>
        <w:lang w:val="en-US" w:eastAsia="en-US" w:bidi="en-US"/>
      </w:rPr>
    </w:lvl>
    <w:lvl w:ilvl="4" w:tentative="0">
      <w:start w:val="0"/>
      <w:numFmt w:val="bullet"/>
      <w:lvlText w:val="•"/>
      <w:lvlJc w:val="left"/>
      <w:pPr>
        <w:ind w:left="3725" w:hanging="360"/>
      </w:pPr>
      <w:rPr>
        <w:rFonts w:hint="default"/>
        <w:lang w:val="en-US" w:eastAsia="en-US" w:bidi="en-US"/>
      </w:rPr>
    </w:lvl>
    <w:lvl w:ilvl="5" w:tentative="0">
      <w:start w:val="0"/>
      <w:numFmt w:val="bullet"/>
      <w:lvlText w:val="•"/>
      <w:lvlJc w:val="left"/>
      <w:pPr>
        <w:ind w:left="4747" w:hanging="360"/>
      </w:pPr>
      <w:rPr>
        <w:rFonts w:hint="default"/>
        <w:lang w:val="en-US" w:eastAsia="en-US" w:bidi="en-US"/>
      </w:rPr>
    </w:lvl>
    <w:lvl w:ilvl="6" w:tentative="0">
      <w:start w:val="0"/>
      <w:numFmt w:val="bullet"/>
      <w:lvlText w:val="•"/>
      <w:lvlJc w:val="left"/>
      <w:pPr>
        <w:ind w:left="5770" w:hanging="360"/>
      </w:pPr>
      <w:rPr>
        <w:rFonts w:hint="default"/>
        <w:lang w:val="en-US" w:eastAsia="en-US" w:bidi="en-US"/>
      </w:rPr>
    </w:lvl>
    <w:lvl w:ilvl="7" w:tentative="0">
      <w:start w:val="0"/>
      <w:numFmt w:val="bullet"/>
      <w:lvlText w:val="•"/>
      <w:lvlJc w:val="left"/>
      <w:pPr>
        <w:ind w:left="6792" w:hanging="360"/>
      </w:pPr>
      <w:rPr>
        <w:rFonts w:hint="default"/>
        <w:lang w:val="en-US" w:eastAsia="en-US" w:bidi="en-US"/>
      </w:rPr>
    </w:lvl>
    <w:lvl w:ilvl="8" w:tentative="0">
      <w:start w:val="0"/>
      <w:numFmt w:val="bullet"/>
      <w:lvlText w:val="•"/>
      <w:lvlJc w:val="left"/>
      <w:pPr>
        <w:ind w:left="7815" w:hanging="360"/>
      </w:pPr>
      <w:rPr>
        <w:rFonts w:hint="default"/>
        <w:lang w:val="en-US" w:eastAsia="en-US" w:bidi="en-US"/>
      </w:rPr>
    </w:lvl>
  </w:abstractNum>
  <w:abstractNum w:abstractNumId="1">
    <w:nsid w:val="0BB9577F"/>
    <w:multiLevelType w:val="multilevel"/>
    <w:tmpl w:val="0BB9577F"/>
    <w:lvl w:ilvl="0" w:tentative="0">
      <w:start w:val="1"/>
      <w:numFmt w:val="lowerLetter"/>
      <w:lvlText w:val="%1."/>
      <w:lvlJc w:val="left"/>
      <w:pPr>
        <w:ind w:left="960" w:hanging="360"/>
      </w:pPr>
      <w:rPr>
        <w:rFonts w:hint="default" w:ascii="Arial" w:hAnsi="Arial" w:eastAsia="Times New Roman" w:cs="Arial"/>
        <w:i/>
        <w:spacing w:val="-3"/>
        <w:w w:val="100"/>
        <w:sz w:val="24"/>
        <w:szCs w:val="24"/>
        <w:lang w:val="en-US" w:eastAsia="en-US" w:bidi="en-US"/>
      </w:rPr>
    </w:lvl>
    <w:lvl w:ilvl="1" w:tentative="0">
      <w:start w:val="0"/>
      <w:numFmt w:val="bullet"/>
      <w:lvlText w:val="•"/>
      <w:lvlJc w:val="left"/>
      <w:pPr>
        <w:ind w:left="1850" w:hanging="360"/>
      </w:pPr>
      <w:rPr>
        <w:rFonts w:hint="default"/>
        <w:lang w:val="en-US" w:eastAsia="en-US" w:bidi="en-US"/>
      </w:rPr>
    </w:lvl>
    <w:lvl w:ilvl="2" w:tentative="0">
      <w:start w:val="0"/>
      <w:numFmt w:val="bullet"/>
      <w:lvlText w:val="•"/>
      <w:lvlJc w:val="left"/>
      <w:pPr>
        <w:ind w:left="2740" w:hanging="360"/>
      </w:pPr>
      <w:rPr>
        <w:rFonts w:hint="default"/>
        <w:lang w:val="en-US" w:eastAsia="en-US" w:bidi="en-US"/>
      </w:rPr>
    </w:lvl>
    <w:lvl w:ilvl="3" w:tentative="0">
      <w:start w:val="0"/>
      <w:numFmt w:val="bullet"/>
      <w:lvlText w:val="•"/>
      <w:lvlJc w:val="left"/>
      <w:pPr>
        <w:ind w:left="3630" w:hanging="360"/>
      </w:pPr>
      <w:rPr>
        <w:rFonts w:hint="default"/>
        <w:lang w:val="en-US" w:eastAsia="en-US" w:bidi="en-US"/>
      </w:rPr>
    </w:lvl>
    <w:lvl w:ilvl="4" w:tentative="0">
      <w:start w:val="0"/>
      <w:numFmt w:val="bullet"/>
      <w:lvlText w:val="•"/>
      <w:lvlJc w:val="left"/>
      <w:pPr>
        <w:ind w:left="4520" w:hanging="360"/>
      </w:pPr>
      <w:rPr>
        <w:rFonts w:hint="default"/>
        <w:lang w:val="en-US" w:eastAsia="en-US" w:bidi="en-US"/>
      </w:rPr>
    </w:lvl>
    <w:lvl w:ilvl="5" w:tentative="0">
      <w:start w:val="0"/>
      <w:numFmt w:val="bullet"/>
      <w:lvlText w:val="•"/>
      <w:lvlJc w:val="left"/>
      <w:pPr>
        <w:ind w:left="5410" w:hanging="360"/>
      </w:pPr>
      <w:rPr>
        <w:rFonts w:hint="default"/>
        <w:lang w:val="en-US" w:eastAsia="en-US" w:bidi="en-US"/>
      </w:rPr>
    </w:lvl>
    <w:lvl w:ilvl="6" w:tentative="0">
      <w:start w:val="0"/>
      <w:numFmt w:val="bullet"/>
      <w:lvlText w:val="•"/>
      <w:lvlJc w:val="left"/>
      <w:pPr>
        <w:ind w:left="6300" w:hanging="360"/>
      </w:pPr>
      <w:rPr>
        <w:rFonts w:hint="default"/>
        <w:lang w:val="en-US" w:eastAsia="en-US" w:bidi="en-US"/>
      </w:rPr>
    </w:lvl>
    <w:lvl w:ilvl="7" w:tentative="0">
      <w:start w:val="0"/>
      <w:numFmt w:val="bullet"/>
      <w:lvlText w:val="•"/>
      <w:lvlJc w:val="left"/>
      <w:pPr>
        <w:ind w:left="7190" w:hanging="360"/>
      </w:pPr>
      <w:rPr>
        <w:rFonts w:hint="default"/>
        <w:lang w:val="en-US" w:eastAsia="en-US" w:bidi="en-US"/>
      </w:rPr>
    </w:lvl>
    <w:lvl w:ilvl="8" w:tentative="0">
      <w:start w:val="0"/>
      <w:numFmt w:val="bullet"/>
      <w:lvlText w:val="•"/>
      <w:lvlJc w:val="left"/>
      <w:pPr>
        <w:ind w:left="8080" w:hanging="360"/>
      </w:pPr>
      <w:rPr>
        <w:rFonts w:hint="default"/>
        <w:lang w:val="en-US" w:eastAsia="en-US" w:bidi="en-US"/>
      </w:rPr>
    </w:lvl>
  </w:abstractNum>
  <w:abstractNum w:abstractNumId="2">
    <w:nsid w:val="0F305F49"/>
    <w:multiLevelType w:val="multilevel"/>
    <w:tmpl w:val="0F305F49"/>
    <w:lvl w:ilvl="0" w:tentative="0">
      <w:start w:val="1"/>
      <w:numFmt w:val="lowerLetter"/>
      <w:lvlText w:val="%1."/>
      <w:lvlJc w:val="left"/>
      <w:pPr>
        <w:ind w:left="960" w:hanging="360"/>
      </w:pPr>
      <w:rPr>
        <w:rFonts w:hint="default" w:ascii="Arial" w:hAnsi="Arial" w:eastAsia="Times New Roman" w:cs="Arial"/>
        <w:i/>
        <w:spacing w:val="-3"/>
        <w:w w:val="100"/>
        <w:sz w:val="24"/>
        <w:szCs w:val="24"/>
        <w:lang w:val="en-US" w:eastAsia="en-US" w:bidi="en-US"/>
      </w:rPr>
    </w:lvl>
    <w:lvl w:ilvl="1" w:tentative="0">
      <w:start w:val="1"/>
      <w:numFmt w:val="decimal"/>
      <w:lvlText w:val="%2."/>
      <w:lvlJc w:val="left"/>
      <w:pPr>
        <w:ind w:left="1320" w:hanging="360"/>
      </w:pPr>
      <w:rPr>
        <w:rFonts w:hint="default" w:ascii="Arial" w:hAnsi="Arial" w:eastAsia="Times New Roman" w:cs="Arial"/>
        <w:i/>
        <w:spacing w:val="0"/>
        <w:w w:val="100"/>
        <w:sz w:val="24"/>
        <w:szCs w:val="24"/>
        <w:lang w:val="en-US" w:eastAsia="en-US" w:bidi="en-US"/>
      </w:rPr>
    </w:lvl>
    <w:lvl w:ilvl="2" w:tentative="0">
      <w:start w:val="0"/>
      <w:numFmt w:val="bullet"/>
      <w:lvlText w:val="•"/>
      <w:lvlJc w:val="left"/>
      <w:pPr>
        <w:ind w:left="2268" w:hanging="360"/>
      </w:pPr>
      <w:rPr>
        <w:rFonts w:hint="default"/>
        <w:lang w:val="en-US" w:eastAsia="en-US" w:bidi="en-US"/>
      </w:rPr>
    </w:lvl>
    <w:lvl w:ilvl="3" w:tentative="0">
      <w:start w:val="0"/>
      <w:numFmt w:val="bullet"/>
      <w:lvlText w:val="•"/>
      <w:lvlJc w:val="left"/>
      <w:pPr>
        <w:ind w:left="3217" w:hanging="360"/>
      </w:pPr>
      <w:rPr>
        <w:rFonts w:hint="default"/>
        <w:lang w:val="en-US" w:eastAsia="en-US" w:bidi="en-US"/>
      </w:rPr>
    </w:lvl>
    <w:lvl w:ilvl="4" w:tentative="0">
      <w:start w:val="0"/>
      <w:numFmt w:val="bullet"/>
      <w:lvlText w:val="•"/>
      <w:lvlJc w:val="left"/>
      <w:pPr>
        <w:ind w:left="4166" w:hanging="360"/>
      </w:pPr>
      <w:rPr>
        <w:rFonts w:hint="default"/>
        <w:lang w:val="en-US" w:eastAsia="en-US" w:bidi="en-US"/>
      </w:rPr>
    </w:lvl>
    <w:lvl w:ilvl="5" w:tentative="0">
      <w:start w:val="0"/>
      <w:numFmt w:val="bullet"/>
      <w:lvlText w:val="•"/>
      <w:lvlJc w:val="left"/>
      <w:pPr>
        <w:ind w:left="5115" w:hanging="360"/>
      </w:pPr>
      <w:rPr>
        <w:rFonts w:hint="default"/>
        <w:lang w:val="en-US" w:eastAsia="en-US" w:bidi="en-US"/>
      </w:rPr>
    </w:lvl>
    <w:lvl w:ilvl="6" w:tentative="0">
      <w:start w:val="0"/>
      <w:numFmt w:val="bullet"/>
      <w:lvlText w:val="•"/>
      <w:lvlJc w:val="left"/>
      <w:pPr>
        <w:ind w:left="6064" w:hanging="360"/>
      </w:pPr>
      <w:rPr>
        <w:rFonts w:hint="default"/>
        <w:lang w:val="en-US" w:eastAsia="en-US" w:bidi="en-US"/>
      </w:rPr>
    </w:lvl>
    <w:lvl w:ilvl="7" w:tentative="0">
      <w:start w:val="0"/>
      <w:numFmt w:val="bullet"/>
      <w:lvlText w:val="•"/>
      <w:lvlJc w:val="left"/>
      <w:pPr>
        <w:ind w:left="7013" w:hanging="360"/>
      </w:pPr>
      <w:rPr>
        <w:rFonts w:hint="default"/>
        <w:lang w:val="en-US" w:eastAsia="en-US" w:bidi="en-US"/>
      </w:rPr>
    </w:lvl>
    <w:lvl w:ilvl="8" w:tentative="0">
      <w:start w:val="0"/>
      <w:numFmt w:val="bullet"/>
      <w:lvlText w:val="•"/>
      <w:lvlJc w:val="left"/>
      <w:pPr>
        <w:ind w:left="7962" w:hanging="360"/>
      </w:pPr>
      <w:rPr>
        <w:rFonts w:hint="default"/>
        <w:lang w:val="en-US" w:eastAsia="en-US" w:bidi="en-US"/>
      </w:rPr>
    </w:lvl>
  </w:abstractNum>
  <w:abstractNum w:abstractNumId="3">
    <w:nsid w:val="16F55849"/>
    <w:multiLevelType w:val="multilevel"/>
    <w:tmpl w:val="16F55849"/>
    <w:lvl w:ilvl="0" w:tentative="0">
      <w:start w:val="1"/>
      <w:numFmt w:val="lowerLetter"/>
      <w:lvlText w:val="%1."/>
      <w:lvlJc w:val="left"/>
      <w:pPr>
        <w:ind w:left="960" w:hanging="360"/>
      </w:pPr>
      <w:rPr>
        <w:rFonts w:hint="default" w:ascii="Arial" w:hAnsi="Arial" w:eastAsia="Times New Roman" w:cs="Arial"/>
        <w:spacing w:val="-1"/>
        <w:w w:val="100"/>
        <w:sz w:val="24"/>
        <w:szCs w:val="24"/>
        <w:lang w:val="en-US" w:eastAsia="en-US" w:bidi="en-US"/>
      </w:rPr>
    </w:lvl>
    <w:lvl w:ilvl="1" w:tentative="0">
      <w:start w:val="1"/>
      <w:numFmt w:val="decimal"/>
      <w:lvlText w:val="%2."/>
      <w:lvlJc w:val="left"/>
      <w:pPr>
        <w:ind w:left="1320" w:hanging="342"/>
      </w:pPr>
      <w:rPr>
        <w:rFonts w:hint="default" w:ascii="Arial" w:hAnsi="Arial" w:eastAsia="Times New Roman" w:cs="Arial"/>
        <w:spacing w:val="0"/>
        <w:w w:val="100"/>
        <w:sz w:val="24"/>
        <w:szCs w:val="24"/>
        <w:lang w:val="en-US" w:eastAsia="en-US" w:bidi="en-US"/>
      </w:rPr>
    </w:lvl>
    <w:lvl w:ilvl="2" w:tentative="0">
      <w:start w:val="0"/>
      <w:numFmt w:val="bullet"/>
      <w:lvlText w:val="•"/>
      <w:lvlJc w:val="left"/>
      <w:pPr>
        <w:ind w:left="2268" w:hanging="342"/>
      </w:pPr>
      <w:rPr>
        <w:rFonts w:hint="default"/>
        <w:lang w:val="en-US" w:eastAsia="en-US" w:bidi="en-US"/>
      </w:rPr>
    </w:lvl>
    <w:lvl w:ilvl="3" w:tentative="0">
      <w:start w:val="0"/>
      <w:numFmt w:val="bullet"/>
      <w:lvlText w:val="•"/>
      <w:lvlJc w:val="left"/>
      <w:pPr>
        <w:ind w:left="3217" w:hanging="342"/>
      </w:pPr>
      <w:rPr>
        <w:rFonts w:hint="default"/>
        <w:lang w:val="en-US" w:eastAsia="en-US" w:bidi="en-US"/>
      </w:rPr>
    </w:lvl>
    <w:lvl w:ilvl="4" w:tentative="0">
      <w:start w:val="0"/>
      <w:numFmt w:val="bullet"/>
      <w:lvlText w:val="•"/>
      <w:lvlJc w:val="left"/>
      <w:pPr>
        <w:ind w:left="4166" w:hanging="342"/>
      </w:pPr>
      <w:rPr>
        <w:rFonts w:hint="default"/>
        <w:lang w:val="en-US" w:eastAsia="en-US" w:bidi="en-US"/>
      </w:rPr>
    </w:lvl>
    <w:lvl w:ilvl="5" w:tentative="0">
      <w:start w:val="0"/>
      <w:numFmt w:val="bullet"/>
      <w:lvlText w:val="•"/>
      <w:lvlJc w:val="left"/>
      <w:pPr>
        <w:ind w:left="5115" w:hanging="342"/>
      </w:pPr>
      <w:rPr>
        <w:rFonts w:hint="default"/>
        <w:lang w:val="en-US" w:eastAsia="en-US" w:bidi="en-US"/>
      </w:rPr>
    </w:lvl>
    <w:lvl w:ilvl="6" w:tentative="0">
      <w:start w:val="0"/>
      <w:numFmt w:val="bullet"/>
      <w:lvlText w:val="•"/>
      <w:lvlJc w:val="left"/>
      <w:pPr>
        <w:ind w:left="6064" w:hanging="342"/>
      </w:pPr>
      <w:rPr>
        <w:rFonts w:hint="default"/>
        <w:lang w:val="en-US" w:eastAsia="en-US" w:bidi="en-US"/>
      </w:rPr>
    </w:lvl>
    <w:lvl w:ilvl="7" w:tentative="0">
      <w:start w:val="0"/>
      <w:numFmt w:val="bullet"/>
      <w:lvlText w:val="•"/>
      <w:lvlJc w:val="left"/>
      <w:pPr>
        <w:ind w:left="7013" w:hanging="342"/>
      </w:pPr>
      <w:rPr>
        <w:rFonts w:hint="default"/>
        <w:lang w:val="en-US" w:eastAsia="en-US" w:bidi="en-US"/>
      </w:rPr>
    </w:lvl>
    <w:lvl w:ilvl="8" w:tentative="0">
      <w:start w:val="0"/>
      <w:numFmt w:val="bullet"/>
      <w:lvlText w:val="•"/>
      <w:lvlJc w:val="left"/>
      <w:pPr>
        <w:ind w:left="7962" w:hanging="342"/>
      </w:pPr>
      <w:rPr>
        <w:rFonts w:hint="default"/>
        <w:lang w:val="en-US" w:eastAsia="en-US" w:bidi="en-US"/>
      </w:rPr>
    </w:lvl>
  </w:abstractNum>
  <w:abstractNum w:abstractNumId="4">
    <w:nsid w:val="189B2CE6"/>
    <w:multiLevelType w:val="multilevel"/>
    <w:tmpl w:val="189B2CE6"/>
    <w:lvl w:ilvl="0" w:tentative="0">
      <w:start w:val="1"/>
      <w:numFmt w:val="lowerLetter"/>
      <w:lvlText w:val="%1."/>
      <w:lvlJc w:val="left"/>
      <w:pPr>
        <w:ind w:left="960" w:hanging="360"/>
      </w:pPr>
      <w:rPr>
        <w:rFonts w:hint="default"/>
        <w:i/>
        <w:spacing w:val="-2"/>
        <w:w w:val="100"/>
        <w:lang w:val="en-US" w:eastAsia="en-US" w:bidi="en-US"/>
      </w:rPr>
    </w:lvl>
    <w:lvl w:ilvl="1" w:tentative="0">
      <w:start w:val="0"/>
      <w:numFmt w:val="bullet"/>
      <w:lvlText w:val="•"/>
      <w:lvlJc w:val="left"/>
      <w:pPr>
        <w:ind w:left="1850" w:hanging="360"/>
      </w:pPr>
      <w:rPr>
        <w:rFonts w:hint="default"/>
        <w:lang w:val="en-US" w:eastAsia="en-US" w:bidi="en-US"/>
      </w:rPr>
    </w:lvl>
    <w:lvl w:ilvl="2" w:tentative="0">
      <w:start w:val="0"/>
      <w:numFmt w:val="bullet"/>
      <w:lvlText w:val="•"/>
      <w:lvlJc w:val="left"/>
      <w:pPr>
        <w:ind w:left="2740" w:hanging="360"/>
      </w:pPr>
      <w:rPr>
        <w:rFonts w:hint="default"/>
        <w:lang w:val="en-US" w:eastAsia="en-US" w:bidi="en-US"/>
      </w:rPr>
    </w:lvl>
    <w:lvl w:ilvl="3" w:tentative="0">
      <w:start w:val="0"/>
      <w:numFmt w:val="bullet"/>
      <w:lvlText w:val="•"/>
      <w:lvlJc w:val="left"/>
      <w:pPr>
        <w:ind w:left="3630" w:hanging="360"/>
      </w:pPr>
      <w:rPr>
        <w:rFonts w:hint="default"/>
        <w:lang w:val="en-US" w:eastAsia="en-US" w:bidi="en-US"/>
      </w:rPr>
    </w:lvl>
    <w:lvl w:ilvl="4" w:tentative="0">
      <w:start w:val="0"/>
      <w:numFmt w:val="bullet"/>
      <w:lvlText w:val="•"/>
      <w:lvlJc w:val="left"/>
      <w:pPr>
        <w:ind w:left="4520" w:hanging="360"/>
      </w:pPr>
      <w:rPr>
        <w:rFonts w:hint="default"/>
        <w:lang w:val="en-US" w:eastAsia="en-US" w:bidi="en-US"/>
      </w:rPr>
    </w:lvl>
    <w:lvl w:ilvl="5" w:tentative="0">
      <w:start w:val="0"/>
      <w:numFmt w:val="bullet"/>
      <w:lvlText w:val="•"/>
      <w:lvlJc w:val="left"/>
      <w:pPr>
        <w:ind w:left="5410" w:hanging="360"/>
      </w:pPr>
      <w:rPr>
        <w:rFonts w:hint="default"/>
        <w:lang w:val="en-US" w:eastAsia="en-US" w:bidi="en-US"/>
      </w:rPr>
    </w:lvl>
    <w:lvl w:ilvl="6" w:tentative="0">
      <w:start w:val="0"/>
      <w:numFmt w:val="bullet"/>
      <w:lvlText w:val="•"/>
      <w:lvlJc w:val="left"/>
      <w:pPr>
        <w:ind w:left="6300" w:hanging="360"/>
      </w:pPr>
      <w:rPr>
        <w:rFonts w:hint="default"/>
        <w:lang w:val="en-US" w:eastAsia="en-US" w:bidi="en-US"/>
      </w:rPr>
    </w:lvl>
    <w:lvl w:ilvl="7" w:tentative="0">
      <w:start w:val="0"/>
      <w:numFmt w:val="bullet"/>
      <w:lvlText w:val="•"/>
      <w:lvlJc w:val="left"/>
      <w:pPr>
        <w:ind w:left="7190" w:hanging="360"/>
      </w:pPr>
      <w:rPr>
        <w:rFonts w:hint="default"/>
        <w:lang w:val="en-US" w:eastAsia="en-US" w:bidi="en-US"/>
      </w:rPr>
    </w:lvl>
    <w:lvl w:ilvl="8" w:tentative="0">
      <w:start w:val="0"/>
      <w:numFmt w:val="bullet"/>
      <w:lvlText w:val="•"/>
      <w:lvlJc w:val="left"/>
      <w:pPr>
        <w:ind w:left="8080" w:hanging="360"/>
      </w:pPr>
      <w:rPr>
        <w:rFonts w:hint="default"/>
        <w:lang w:val="en-US" w:eastAsia="en-US" w:bidi="en-US"/>
      </w:rPr>
    </w:lvl>
  </w:abstractNum>
  <w:abstractNum w:abstractNumId="5">
    <w:nsid w:val="1EDD408A"/>
    <w:multiLevelType w:val="multilevel"/>
    <w:tmpl w:val="1EDD408A"/>
    <w:lvl w:ilvl="0" w:tentative="0">
      <w:start w:val="0"/>
      <w:numFmt w:val="bullet"/>
      <w:lvlText w:val=""/>
      <w:lvlJc w:val="left"/>
      <w:pPr>
        <w:ind w:left="960" w:hanging="360"/>
      </w:pPr>
      <w:rPr>
        <w:rFonts w:hint="default" w:ascii="Symbol" w:hAnsi="Symbol" w:eastAsia="Symbol" w:cs="Symbol"/>
        <w:w w:val="100"/>
        <w:sz w:val="24"/>
        <w:szCs w:val="24"/>
        <w:lang w:val="en-US" w:eastAsia="en-US" w:bidi="en-US"/>
      </w:rPr>
    </w:lvl>
    <w:lvl w:ilvl="1" w:tentative="0">
      <w:start w:val="0"/>
      <w:numFmt w:val="bullet"/>
      <w:lvlText w:val="•"/>
      <w:lvlJc w:val="left"/>
      <w:pPr>
        <w:ind w:left="1850" w:hanging="360"/>
      </w:pPr>
      <w:rPr>
        <w:rFonts w:hint="default"/>
        <w:lang w:val="en-US" w:eastAsia="en-US" w:bidi="en-US"/>
      </w:rPr>
    </w:lvl>
    <w:lvl w:ilvl="2" w:tentative="0">
      <w:start w:val="0"/>
      <w:numFmt w:val="bullet"/>
      <w:lvlText w:val="•"/>
      <w:lvlJc w:val="left"/>
      <w:pPr>
        <w:ind w:left="2740" w:hanging="360"/>
      </w:pPr>
      <w:rPr>
        <w:rFonts w:hint="default"/>
        <w:lang w:val="en-US" w:eastAsia="en-US" w:bidi="en-US"/>
      </w:rPr>
    </w:lvl>
    <w:lvl w:ilvl="3" w:tentative="0">
      <w:start w:val="0"/>
      <w:numFmt w:val="bullet"/>
      <w:lvlText w:val="•"/>
      <w:lvlJc w:val="left"/>
      <w:pPr>
        <w:ind w:left="3630" w:hanging="360"/>
      </w:pPr>
      <w:rPr>
        <w:rFonts w:hint="default"/>
        <w:lang w:val="en-US" w:eastAsia="en-US" w:bidi="en-US"/>
      </w:rPr>
    </w:lvl>
    <w:lvl w:ilvl="4" w:tentative="0">
      <w:start w:val="0"/>
      <w:numFmt w:val="bullet"/>
      <w:lvlText w:val="•"/>
      <w:lvlJc w:val="left"/>
      <w:pPr>
        <w:ind w:left="4520" w:hanging="360"/>
      </w:pPr>
      <w:rPr>
        <w:rFonts w:hint="default"/>
        <w:lang w:val="en-US" w:eastAsia="en-US" w:bidi="en-US"/>
      </w:rPr>
    </w:lvl>
    <w:lvl w:ilvl="5" w:tentative="0">
      <w:start w:val="0"/>
      <w:numFmt w:val="bullet"/>
      <w:lvlText w:val="•"/>
      <w:lvlJc w:val="left"/>
      <w:pPr>
        <w:ind w:left="5410" w:hanging="360"/>
      </w:pPr>
      <w:rPr>
        <w:rFonts w:hint="default"/>
        <w:lang w:val="en-US" w:eastAsia="en-US" w:bidi="en-US"/>
      </w:rPr>
    </w:lvl>
    <w:lvl w:ilvl="6" w:tentative="0">
      <w:start w:val="0"/>
      <w:numFmt w:val="bullet"/>
      <w:lvlText w:val="•"/>
      <w:lvlJc w:val="left"/>
      <w:pPr>
        <w:ind w:left="6300" w:hanging="360"/>
      </w:pPr>
      <w:rPr>
        <w:rFonts w:hint="default"/>
        <w:lang w:val="en-US" w:eastAsia="en-US" w:bidi="en-US"/>
      </w:rPr>
    </w:lvl>
    <w:lvl w:ilvl="7" w:tentative="0">
      <w:start w:val="0"/>
      <w:numFmt w:val="bullet"/>
      <w:lvlText w:val="•"/>
      <w:lvlJc w:val="left"/>
      <w:pPr>
        <w:ind w:left="7190" w:hanging="360"/>
      </w:pPr>
      <w:rPr>
        <w:rFonts w:hint="default"/>
        <w:lang w:val="en-US" w:eastAsia="en-US" w:bidi="en-US"/>
      </w:rPr>
    </w:lvl>
    <w:lvl w:ilvl="8" w:tentative="0">
      <w:start w:val="0"/>
      <w:numFmt w:val="bullet"/>
      <w:lvlText w:val="•"/>
      <w:lvlJc w:val="left"/>
      <w:pPr>
        <w:ind w:left="8080" w:hanging="360"/>
      </w:pPr>
      <w:rPr>
        <w:rFonts w:hint="default"/>
        <w:lang w:val="en-US" w:eastAsia="en-US" w:bidi="en-US"/>
      </w:rPr>
    </w:lvl>
  </w:abstractNum>
  <w:abstractNum w:abstractNumId="6">
    <w:nsid w:val="273B3AD6"/>
    <w:multiLevelType w:val="multilevel"/>
    <w:tmpl w:val="273B3AD6"/>
    <w:lvl w:ilvl="0" w:tentative="0">
      <w:start w:val="1"/>
      <w:numFmt w:val="lowerLetter"/>
      <w:lvlText w:val="%1."/>
      <w:lvlJc w:val="left"/>
      <w:pPr>
        <w:ind w:left="960" w:hanging="360"/>
      </w:pPr>
      <w:rPr>
        <w:rFonts w:hint="default" w:ascii="Arial" w:hAnsi="Arial" w:eastAsia="Times New Roman" w:cs="Arial"/>
        <w:spacing w:val="-2"/>
        <w:w w:val="100"/>
        <w:sz w:val="24"/>
        <w:szCs w:val="24"/>
        <w:lang w:val="en-US" w:eastAsia="en-US" w:bidi="en-US"/>
      </w:rPr>
    </w:lvl>
    <w:lvl w:ilvl="1" w:tentative="0">
      <w:start w:val="0"/>
      <w:numFmt w:val="bullet"/>
      <w:lvlText w:val="•"/>
      <w:lvlJc w:val="left"/>
      <w:pPr>
        <w:ind w:left="1850" w:hanging="360"/>
      </w:pPr>
      <w:rPr>
        <w:rFonts w:hint="default"/>
        <w:lang w:val="en-US" w:eastAsia="en-US" w:bidi="en-US"/>
      </w:rPr>
    </w:lvl>
    <w:lvl w:ilvl="2" w:tentative="0">
      <w:start w:val="0"/>
      <w:numFmt w:val="bullet"/>
      <w:lvlText w:val="•"/>
      <w:lvlJc w:val="left"/>
      <w:pPr>
        <w:ind w:left="2740" w:hanging="360"/>
      </w:pPr>
      <w:rPr>
        <w:rFonts w:hint="default"/>
        <w:lang w:val="en-US" w:eastAsia="en-US" w:bidi="en-US"/>
      </w:rPr>
    </w:lvl>
    <w:lvl w:ilvl="3" w:tentative="0">
      <w:start w:val="0"/>
      <w:numFmt w:val="bullet"/>
      <w:lvlText w:val="•"/>
      <w:lvlJc w:val="left"/>
      <w:pPr>
        <w:ind w:left="3630" w:hanging="360"/>
      </w:pPr>
      <w:rPr>
        <w:rFonts w:hint="default"/>
        <w:lang w:val="en-US" w:eastAsia="en-US" w:bidi="en-US"/>
      </w:rPr>
    </w:lvl>
    <w:lvl w:ilvl="4" w:tentative="0">
      <w:start w:val="0"/>
      <w:numFmt w:val="bullet"/>
      <w:lvlText w:val="•"/>
      <w:lvlJc w:val="left"/>
      <w:pPr>
        <w:ind w:left="4520" w:hanging="360"/>
      </w:pPr>
      <w:rPr>
        <w:rFonts w:hint="default"/>
        <w:lang w:val="en-US" w:eastAsia="en-US" w:bidi="en-US"/>
      </w:rPr>
    </w:lvl>
    <w:lvl w:ilvl="5" w:tentative="0">
      <w:start w:val="0"/>
      <w:numFmt w:val="bullet"/>
      <w:lvlText w:val="•"/>
      <w:lvlJc w:val="left"/>
      <w:pPr>
        <w:ind w:left="5410" w:hanging="360"/>
      </w:pPr>
      <w:rPr>
        <w:rFonts w:hint="default"/>
        <w:lang w:val="en-US" w:eastAsia="en-US" w:bidi="en-US"/>
      </w:rPr>
    </w:lvl>
    <w:lvl w:ilvl="6" w:tentative="0">
      <w:start w:val="0"/>
      <w:numFmt w:val="bullet"/>
      <w:lvlText w:val="•"/>
      <w:lvlJc w:val="left"/>
      <w:pPr>
        <w:ind w:left="6300" w:hanging="360"/>
      </w:pPr>
      <w:rPr>
        <w:rFonts w:hint="default"/>
        <w:lang w:val="en-US" w:eastAsia="en-US" w:bidi="en-US"/>
      </w:rPr>
    </w:lvl>
    <w:lvl w:ilvl="7" w:tentative="0">
      <w:start w:val="0"/>
      <w:numFmt w:val="bullet"/>
      <w:lvlText w:val="•"/>
      <w:lvlJc w:val="left"/>
      <w:pPr>
        <w:ind w:left="7190" w:hanging="360"/>
      </w:pPr>
      <w:rPr>
        <w:rFonts w:hint="default"/>
        <w:lang w:val="en-US" w:eastAsia="en-US" w:bidi="en-US"/>
      </w:rPr>
    </w:lvl>
    <w:lvl w:ilvl="8" w:tentative="0">
      <w:start w:val="0"/>
      <w:numFmt w:val="bullet"/>
      <w:lvlText w:val="•"/>
      <w:lvlJc w:val="left"/>
      <w:pPr>
        <w:ind w:left="8080" w:hanging="360"/>
      </w:pPr>
      <w:rPr>
        <w:rFonts w:hint="default"/>
        <w:lang w:val="en-US" w:eastAsia="en-US" w:bidi="en-US"/>
      </w:rPr>
    </w:lvl>
  </w:abstractNum>
  <w:abstractNum w:abstractNumId="7">
    <w:nsid w:val="3ED365CA"/>
    <w:multiLevelType w:val="multilevel"/>
    <w:tmpl w:val="3ED365CA"/>
    <w:lvl w:ilvl="0" w:tentative="0">
      <w:start w:val="1"/>
      <w:numFmt w:val="lowerLetter"/>
      <w:lvlText w:val="%1."/>
      <w:lvlJc w:val="left"/>
      <w:pPr>
        <w:ind w:left="960" w:hanging="360"/>
      </w:pPr>
      <w:rPr>
        <w:rFonts w:hint="default" w:ascii="Arial" w:hAnsi="Arial" w:eastAsia="Times New Roman" w:cs="Arial"/>
        <w:spacing w:val="-2"/>
        <w:w w:val="100"/>
        <w:sz w:val="24"/>
        <w:szCs w:val="24"/>
        <w:lang w:val="en-US" w:eastAsia="en-US" w:bidi="en-US"/>
      </w:rPr>
    </w:lvl>
    <w:lvl w:ilvl="1" w:tentative="0">
      <w:start w:val="0"/>
      <w:numFmt w:val="bullet"/>
      <w:lvlText w:val="•"/>
      <w:lvlJc w:val="left"/>
      <w:pPr>
        <w:ind w:left="1850" w:hanging="360"/>
      </w:pPr>
      <w:rPr>
        <w:rFonts w:hint="default"/>
        <w:lang w:val="en-US" w:eastAsia="en-US" w:bidi="en-US"/>
      </w:rPr>
    </w:lvl>
    <w:lvl w:ilvl="2" w:tentative="0">
      <w:start w:val="0"/>
      <w:numFmt w:val="bullet"/>
      <w:lvlText w:val="•"/>
      <w:lvlJc w:val="left"/>
      <w:pPr>
        <w:ind w:left="2740" w:hanging="360"/>
      </w:pPr>
      <w:rPr>
        <w:rFonts w:hint="default"/>
        <w:lang w:val="en-US" w:eastAsia="en-US" w:bidi="en-US"/>
      </w:rPr>
    </w:lvl>
    <w:lvl w:ilvl="3" w:tentative="0">
      <w:start w:val="0"/>
      <w:numFmt w:val="bullet"/>
      <w:lvlText w:val="•"/>
      <w:lvlJc w:val="left"/>
      <w:pPr>
        <w:ind w:left="3630" w:hanging="360"/>
      </w:pPr>
      <w:rPr>
        <w:rFonts w:hint="default"/>
        <w:lang w:val="en-US" w:eastAsia="en-US" w:bidi="en-US"/>
      </w:rPr>
    </w:lvl>
    <w:lvl w:ilvl="4" w:tentative="0">
      <w:start w:val="0"/>
      <w:numFmt w:val="bullet"/>
      <w:lvlText w:val="•"/>
      <w:lvlJc w:val="left"/>
      <w:pPr>
        <w:ind w:left="4520" w:hanging="360"/>
      </w:pPr>
      <w:rPr>
        <w:rFonts w:hint="default"/>
        <w:lang w:val="en-US" w:eastAsia="en-US" w:bidi="en-US"/>
      </w:rPr>
    </w:lvl>
    <w:lvl w:ilvl="5" w:tentative="0">
      <w:start w:val="0"/>
      <w:numFmt w:val="bullet"/>
      <w:lvlText w:val="•"/>
      <w:lvlJc w:val="left"/>
      <w:pPr>
        <w:ind w:left="5410" w:hanging="360"/>
      </w:pPr>
      <w:rPr>
        <w:rFonts w:hint="default"/>
        <w:lang w:val="en-US" w:eastAsia="en-US" w:bidi="en-US"/>
      </w:rPr>
    </w:lvl>
    <w:lvl w:ilvl="6" w:tentative="0">
      <w:start w:val="0"/>
      <w:numFmt w:val="bullet"/>
      <w:lvlText w:val="•"/>
      <w:lvlJc w:val="left"/>
      <w:pPr>
        <w:ind w:left="6300" w:hanging="360"/>
      </w:pPr>
      <w:rPr>
        <w:rFonts w:hint="default"/>
        <w:lang w:val="en-US" w:eastAsia="en-US" w:bidi="en-US"/>
      </w:rPr>
    </w:lvl>
    <w:lvl w:ilvl="7" w:tentative="0">
      <w:start w:val="0"/>
      <w:numFmt w:val="bullet"/>
      <w:lvlText w:val="•"/>
      <w:lvlJc w:val="left"/>
      <w:pPr>
        <w:ind w:left="7190" w:hanging="360"/>
      </w:pPr>
      <w:rPr>
        <w:rFonts w:hint="default"/>
        <w:lang w:val="en-US" w:eastAsia="en-US" w:bidi="en-US"/>
      </w:rPr>
    </w:lvl>
    <w:lvl w:ilvl="8" w:tentative="0">
      <w:start w:val="0"/>
      <w:numFmt w:val="bullet"/>
      <w:lvlText w:val="•"/>
      <w:lvlJc w:val="left"/>
      <w:pPr>
        <w:ind w:left="8080" w:hanging="360"/>
      </w:pPr>
      <w:rPr>
        <w:rFonts w:hint="default"/>
        <w:lang w:val="en-US" w:eastAsia="en-US" w:bidi="en-US"/>
      </w:rPr>
    </w:lvl>
  </w:abstractNum>
  <w:abstractNum w:abstractNumId="8">
    <w:nsid w:val="45187DE6"/>
    <w:multiLevelType w:val="multilevel"/>
    <w:tmpl w:val="45187DE6"/>
    <w:lvl w:ilvl="0" w:tentative="0">
      <w:start w:val="1"/>
      <w:numFmt w:val="decimal"/>
      <w:lvlText w:val="%1."/>
      <w:lvlJc w:val="left"/>
      <w:pPr>
        <w:ind w:left="240" w:hanging="240"/>
      </w:pPr>
      <w:rPr>
        <w:rFonts w:hint="default" w:ascii="Arial" w:hAnsi="Arial" w:eastAsia="Times New Roman" w:cs="Arial"/>
        <w:spacing w:val="0"/>
        <w:w w:val="100"/>
        <w:sz w:val="24"/>
        <w:szCs w:val="24"/>
        <w:lang w:val="en-US" w:eastAsia="en-US" w:bidi="en-US"/>
      </w:rPr>
    </w:lvl>
    <w:lvl w:ilvl="1" w:tentative="0">
      <w:start w:val="0"/>
      <w:numFmt w:val="bullet"/>
      <w:lvlText w:val="•"/>
      <w:lvlJc w:val="left"/>
      <w:pPr>
        <w:ind w:left="1202" w:hanging="240"/>
      </w:pPr>
      <w:rPr>
        <w:rFonts w:hint="default"/>
        <w:lang w:val="en-US" w:eastAsia="en-US" w:bidi="en-US"/>
      </w:rPr>
    </w:lvl>
    <w:lvl w:ilvl="2" w:tentative="0">
      <w:start w:val="0"/>
      <w:numFmt w:val="bullet"/>
      <w:lvlText w:val="•"/>
      <w:lvlJc w:val="left"/>
      <w:pPr>
        <w:ind w:left="2164" w:hanging="240"/>
      </w:pPr>
      <w:rPr>
        <w:rFonts w:hint="default"/>
        <w:lang w:val="en-US" w:eastAsia="en-US" w:bidi="en-US"/>
      </w:rPr>
    </w:lvl>
    <w:lvl w:ilvl="3" w:tentative="0">
      <w:start w:val="0"/>
      <w:numFmt w:val="bullet"/>
      <w:lvlText w:val="•"/>
      <w:lvlJc w:val="left"/>
      <w:pPr>
        <w:ind w:left="3126" w:hanging="240"/>
      </w:pPr>
      <w:rPr>
        <w:rFonts w:hint="default"/>
        <w:lang w:val="en-US" w:eastAsia="en-US" w:bidi="en-US"/>
      </w:rPr>
    </w:lvl>
    <w:lvl w:ilvl="4" w:tentative="0">
      <w:start w:val="0"/>
      <w:numFmt w:val="bullet"/>
      <w:lvlText w:val="•"/>
      <w:lvlJc w:val="left"/>
      <w:pPr>
        <w:ind w:left="4088" w:hanging="240"/>
      </w:pPr>
      <w:rPr>
        <w:rFonts w:hint="default"/>
        <w:lang w:val="en-US" w:eastAsia="en-US" w:bidi="en-US"/>
      </w:rPr>
    </w:lvl>
    <w:lvl w:ilvl="5" w:tentative="0">
      <w:start w:val="0"/>
      <w:numFmt w:val="bullet"/>
      <w:lvlText w:val="•"/>
      <w:lvlJc w:val="left"/>
      <w:pPr>
        <w:ind w:left="5050" w:hanging="240"/>
      </w:pPr>
      <w:rPr>
        <w:rFonts w:hint="default"/>
        <w:lang w:val="en-US" w:eastAsia="en-US" w:bidi="en-US"/>
      </w:rPr>
    </w:lvl>
    <w:lvl w:ilvl="6" w:tentative="0">
      <w:start w:val="0"/>
      <w:numFmt w:val="bullet"/>
      <w:lvlText w:val="•"/>
      <w:lvlJc w:val="left"/>
      <w:pPr>
        <w:ind w:left="6012" w:hanging="240"/>
      </w:pPr>
      <w:rPr>
        <w:rFonts w:hint="default"/>
        <w:lang w:val="en-US" w:eastAsia="en-US" w:bidi="en-US"/>
      </w:rPr>
    </w:lvl>
    <w:lvl w:ilvl="7" w:tentative="0">
      <w:start w:val="0"/>
      <w:numFmt w:val="bullet"/>
      <w:lvlText w:val="•"/>
      <w:lvlJc w:val="left"/>
      <w:pPr>
        <w:ind w:left="6974" w:hanging="240"/>
      </w:pPr>
      <w:rPr>
        <w:rFonts w:hint="default"/>
        <w:lang w:val="en-US" w:eastAsia="en-US" w:bidi="en-US"/>
      </w:rPr>
    </w:lvl>
    <w:lvl w:ilvl="8" w:tentative="0">
      <w:start w:val="0"/>
      <w:numFmt w:val="bullet"/>
      <w:lvlText w:val="•"/>
      <w:lvlJc w:val="left"/>
      <w:pPr>
        <w:ind w:left="7936" w:hanging="240"/>
      </w:pPr>
      <w:rPr>
        <w:rFonts w:hint="default"/>
        <w:lang w:val="en-US" w:eastAsia="en-US" w:bidi="en-US"/>
      </w:rPr>
    </w:lvl>
  </w:abstractNum>
  <w:abstractNum w:abstractNumId="9">
    <w:nsid w:val="521C3E2F"/>
    <w:multiLevelType w:val="multilevel"/>
    <w:tmpl w:val="521C3E2F"/>
    <w:lvl w:ilvl="0" w:tentative="0">
      <w:start w:val="1"/>
      <w:numFmt w:val="upperRoman"/>
      <w:lvlText w:val="%1."/>
      <w:lvlJc w:val="left"/>
      <w:pPr>
        <w:ind w:left="960" w:hanging="720"/>
      </w:pPr>
      <w:rPr>
        <w:rFonts w:hint="default" w:ascii="Arial" w:hAnsi="Arial" w:eastAsia="Times New Roman" w:cs="Arial"/>
        <w:b/>
        <w:bCs/>
        <w:spacing w:val="-6"/>
        <w:w w:val="100"/>
        <w:sz w:val="32"/>
        <w:szCs w:val="36"/>
        <w:lang w:val="en-US" w:eastAsia="en-US" w:bidi="en-US"/>
      </w:rPr>
    </w:lvl>
    <w:lvl w:ilvl="1" w:tentative="0">
      <w:start w:val="1"/>
      <w:numFmt w:val="upperLetter"/>
      <w:lvlText w:val="%2."/>
      <w:lvlJc w:val="left"/>
      <w:pPr>
        <w:ind w:left="1680" w:hanging="720"/>
      </w:pPr>
      <w:rPr>
        <w:rFonts w:hint="default" w:ascii="Arial" w:hAnsi="Arial" w:eastAsia="Times New Roman" w:cs="Arial"/>
        <w:b/>
        <w:bCs/>
        <w:spacing w:val="-1"/>
        <w:w w:val="100"/>
        <w:sz w:val="28"/>
        <w:szCs w:val="32"/>
        <w:lang w:val="en-US" w:eastAsia="en-US" w:bidi="en-US"/>
      </w:rPr>
    </w:lvl>
    <w:lvl w:ilvl="2" w:tentative="0">
      <w:start w:val="1"/>
      <w:numFmt w:val="decimal"/>
      <w:lvlText w:val="(%3)"/>
      <w:lvlJc w:val="left"/>
      <w:pPr>
        <w:ind w:left="2400" w:hanging="720"/>
      </w:pPr>
      <w:rPr>
        <w:rFonts w:hint="default" w:ascii="Arial" w:hAnsi="Arial" w:eastAsia="Times New Roman" w:cs="Arial"/>
        <w:b/>
        <w:bCs/>
        <w:spacing w:val="-1"/>
        <w:w w:val="100"/>
        <w:sz w:val="24"/>
        <w:szCs w:val="28"/>
        <w:lang w:val="en-US" w:eastAsia="en-US" w:bidi="en-US"/>
      </w:rPr>
    </w:lvl>
    <w:lvl w:ilvl="3" w:tentative="0">
      <w:start w:val="0"/>
      <w:numFmt w:val="bullet"/>
      <w:lvlText w:val="•"/>
      <w:lvlJc w:val="left"/>
      <w:pPr>
        <w:ind w:left="3332" w:hanging="720"/>
      </w:pPr>
      <w:rPr>
        <w:rFonts w:hint="default"/>
        <w:lang w:val="en-US" w:eastAsia="en-US" w:bidi="en-US"/>
      </w:rPr>
    </w:lvl>
    <w:lvl w:ilvl="4" w:tentative="0">
      <w:start w:val="0"/>
      <w:numFmt w:val="bullet"/>
      <w:lvlText w:val="•"/>
      <w:lvlJc w:val="left"/>
      <w:pPr>
        <w:ind w:left="4265" w:hanging="720"/>
      </w:pPr>
      <w:rPr>
        <w:rFonts w:hint="default"/>
        <w:lang w:val="en-US" w:eastAsia="en-US" w:bidi="en-US"/>
      </w:rPr>
    </w:lvl>
    <w:lvl w:ilvl="5" w:tentative="0">
      <w:start w:val="0"/>
      <w:numFmt w:val="bullet"/>
      <w:lvlText w:val="•"/>
      <w:lvlJc w:val="left"/>
      <w:pPr>
        <w:ind w:left="5197" w:hanging="720"/>
      </w:pPr>
      <w:rPr>
        <w:rFonts w:hint="default"/>
        <w:lang w:val="en-US" w:eastAsia="en-US" w:bidi="en-US"/>
      </w:rPr>
    </w:lvl>
    <w:lvl w:ilvl="6" w:tentative="0">
      <w:start w:val="0"/>
      <w:numFmt w:val="bullet"/>
      <w:lvlText w:val="•"/>
      <w:lvlJc w:val="left"/>
      <w:pPr>
        <w:ind w:left="6130" w:hanging="720"/>
      </w:pPr>
      <w:rPr>
        <w:rFonts w:hint="default"/>
        <w:lang w:val="en-US" w:eastAsia="en-US" w:bidi="en-US"/>
      </w:rPr>
    </w:lvl>
    <w:lvl w:ilvl="7" w:tentative="0">
      <w:start w:val="0"/>
      <w:numFmt w:val="bullet"/>
      <w:lvlText w:val="•"/>
      <w:lvlJc w:val="left"/>
      <w:pPr>
        <w:ind w:left="7062" w:hanging="720"/>
      </w:pPr>
      <w:rPr>
        <w:rFonts w:hint="default"/>
        <w:lang w:val="en-US" w:eastAsia="en-US" w:bidi="en-US"/>
      </w:rPr>
    </w:lvl>
    <w:lvl w:ilvl="8" w:tentative="0">
      <w:start w:val="0"/>
      <w:numFmt w:val="bullet"/>
      <w:lvlText w:val="•"/>
      <w:lvlJc w:val="left"/>
      <w:pPr>
        <w:ind w:left="7995" w:hanging="720"/>
      </w:pPr>
      <w:rPr>
        <w:rFonts w:hint="default"/>
        <w:lang w:val="en-US" w:eastAsia="en-US" w:bidi="en-US"/>
      </w:rPr>
    </w:lvl>
  </w:abstractNum>
  <w:abstractNum w:abstractNumId="10">
    <w:nsid w:val="56485251"/>
    <w:multiLevelType w:val="multilevel"/>
    <w:tmpl w:val="56485251"/>
    <w:lvl w:ilvl="0" w:tentative="0">
      <w:start w:val="1"/>
      <w:numFmt w:val="lowerLetter"/>
      <w:lvlText w:val="%1."/>
      <w:lvlJc w:val="left"/>
      <w:pPr>
        <w:ind w:left="960" w:hanging="360"/>
      </w:pPr>
      <w:rPr>
        <w:rFonts w:hint="default" w:ascii="Arial" w:hAnsi="Arial" w:eastAsia="Times New Roman" w:cs="Arial"/>
        <w:spacing w:val="-2"/>
        <w:w w:val="100"/>
        <w:sz w:val="24"/>
        <w:szCs w:val="24"/>
        <w:lang w:val="en-US" w:eastAsia="en-US" w:bidi="en-US"/>
      </w:rPr>
    </w:lvl>
    <w:lvl w:ilvl="1" w:tentative="0">
      <w:start w:val="0"/>
      <w:numFmt w:val="bullet"/>
      <w:lvlText w:val="•"/>
      <w:lvlJc w:val="left"/>
      <w:pPr>
        <w:ind w:left="1850" w:hanging="360"/>
      </w:pPr>
      <w:rPr>
        <w:rFonts w:hint="default"/>
        <w:lang w:val="en-US" w:eastAsia="en-US" w:bidi="en-US"/>
      </w:rPr>
    </w:lvl>
    <w:lvl w:ilvl="2" w:tentative="0">
      <w:start w:val="0"/>
      <w:numFmt w:val="bullet"/>
      <w:lvlText w:val="•"/>
      <w:lvlJc w:val="left"/>
      <w:pPr>
        <w:ind w:left="2740" w:hanging="360"/>
      </w:pPr>
      <w:rPr>
        <w:rFonts w:hint="default"/>
        <w:lang w:val="en-US" w:eastAsia="en-US" w:bidi="en-US"/>
      </w:rPr>
    </w:lvl>
    <w:lvl w:ilvl="3" w:tentative="0">
      <w:start w:val="0"/>
      <w:numFmt w:val="bullet"/>
      <w:lvlText w:val="•"/>
      <w:lvlJc w:val="left"/>
      <w:pPr>
        <w:ind w:left="3630" w:hanging="360"/>
      </w:pPr>
      <w:rPr>
        <w:rFonts w:hint="default"/>
        <w:lang w:val="en-US" w:eastAsia="en-US" w:bidi="en-US"/>
      </w:rPr>
    </w:lvl>
    <w:lvl w:ilvl="4" w:tentative="0">
      <w:start w:val="0"/>
      <w:numFmt w:val="bullet"/>
      <w:lvlText w:val="•"/>
      <w:lvlJc w:val="left"/>
      <w:pPr>
        <w:ind w:left="4520" w:hanging="360"/>
      </w:pPr>
      <w:rPr>
        <w:rFonts w:hint="default"/>
        <w:lang w:val="en-US" w:eastAsia="en-US" w:bidi="en-US"/>
      </w:rPr>
    </w:lvl>
    <w:lvl w:ilvl="5" w:tentative="0">
      <w:start w:val="0"/>
      <w:numFmt w:val="bullet"/>
      <w:lvlText w:val="•"/>
      <w:lvlJc w:val="left"/>
      <w:pPr>
        <w:ind w:left="5410" w:hanging="360"/>
      </w:pPr>
      <w:rPr>
        <w:rFonts w:hint="default"/>
        <w:lang w:val="en-US" w:eastAsia="en-US" w:bidi="en-US"/>
      </w:rPr>
    </w:lvl>
    <w:lvl w:ilvl="6" w:tentative="0">
      <w:start w:val="0"/>
      <w:numFmt w:val="bullet"/>
      <w:lvlText w:val="•"/>
      <w:lvlJc w:val="left"/>
      <w:pPr>
        <w:ind w:left="6300" w:hanging="360"/>
      </w:pPr>
      <w:rPr>
        <w:rFonts w:hint="default"/>
        <w:lang w:val="en-US" w:eastAsia="en-US" w:bidi="en-US"/>
      </w:rPr>
    </w:lvl>
    <w:lvl w:ilvl="7" w:tentative="0">
      <w:start w:val="0"/>
      <w:numFmt w:val="bullet"/>
      <w:lvlText w:val="•"/>
      <w:lvlJc w:val="left"/>
      <w:pPr>
        <w:ind w:left="7190" w:hanging="360"/>
      </w:pPr>
      <w:rPr>
        <w:rFonts w:hint="default"/>
        <w:lang w:val="en-US" w:eastAsia="en-US" w:bidi="en-US"/>
      </w:rPr>
    </w:lvl>
    <w:lvl w:ilvl="8" w:tentative="0">
      <w:start w:val="0"/>
      <w:numFmt w:val="bullet"/>
      <w:lvlText w:val="•"/>
      <w:lvlJc w:val="left"/>
      <w:pPr>
        <w:ind w:left="8080" w:hanging="360"/>
      </w:pPr>
      <w:rPr>
        <w:rFonts w:hint="default"/>
        <w:lang w:val="en-US" w:eastAsia="en-US" w:bidi="en-US"/>
      </w:rPr>
    </w:lvl>
  </w:abstractNum>
  <w:abstractNum w:abstractNumId="11">
    <w:nsid w:val="5993165E"/>
    <w:multiLevelType w:val="multilevel"/>
    <w:tmpl w:val="5993165E"/>
    <w:lvl w:ilvl="0" w:tentative="0">
      <w:start w:val="1"/>
      <w:numFmt w:val="lowerLetter"/>
      <w:lvlText w:val="%1."/>
      <w:lvlJc w:val="left"/>
      <w:pPr>
        <w:ind w:left="960" w:hanging="360"/>
      </w:pPr>
      <w:rPr>
        <w:rFonts w:hint="default" w:ascii="Arial" w:hAnsi="Arial" w:eastAsia="Times New Roman" w:cs="Arial"/>
        <w:i/>
        <w:spacing w:val="-3"/>
        <w:w w:val="100"/>
        <w:sz w:val="24"/>
        <w:szCs w:val="24"/>
        <w:lang w:val="en-US" w:eastAsia="en-US" w:bidi="en-US"/>
      </w:rPr>
    </w:lvl>
    <w:lvl w:ilvl="1" w:tentative="0">
      <w:start w:val="0"/>
      <w:numFmt w:val="bullet"/>
      <w:lvlText w:val="•"/>
      <w:lvlJc w:val="left"/>
      <w:pPr>
        <w:ind w:left="1850" w:hanging="360"/>
      </w:pPr>
      <w:rPr>
        <w:rFonts w:hint="default"/>
        <w:lang w:val="en-US" w:eastAsia="en-US" w:bidi="en-US"/>
      </w:rPr>
    </w:lvl>
    <w:lvl w:ilvl="2" w:tentative="0">
      <w:start w:val="0"/>
      <w:numFmt w:val="bullet"/>
      <w:lvlText w:val="•"/>
      <w:lvlJc w:val="left"/>
      <w:pPr>
        <w:ind w:left="2740" w:hanging="360"/>
      </w:pPr>
      <w:rPr>
        <w:rFonts w:hint="default"/>
        <w:lang w:val="en-US" w:eastAsia="en-US" w:bidi="en-US"/>
      </w:rPr>
    </w:lvl>
    <w:lvl w:ilvl="3" w:tentative="0">
      <w:start w:val="0"/>
      <w:numFmt w:val="bullet"/>
      <w:lvlText w:val="•"/>
      <w:lvlJc w:val="left"/>
      <w:pPr>
        <w:ind w:left="3630" w:hanging="360"/>
      </w:pPr>
      <w:rPr>
        <w:rFonts w:hint="default"/>
        <w:lang w:val="en-US" w:eastAsia="en-US" w:bidi="en-US"/>
      </w:rPr>
    </w:lvl>
    <w:lvl w:ilvl="4" w:tentative="0">
      <w:start w:val="0"/>
      <w:numFmt w:val="bullet"/>
      <w:lvlText w:val="•"/>
      <w:lvlJc w:val="left"/>
      <w:pPr>
        <w:ind w:left="4520" w:hanging="360"/>
      </w:pPr>
      <w:rPr>
        <w:rFonts w:hint="default"/>
        <w:lang w:val="en-US" w:eastAsia="en-US" w:bidi="en-US"/>
      </w:rPr>
    </w:lvl>
    <w:lvl w:ilvl="5" w:tentative="0">
      <w:start w:val="0"/>
      <w:numFmt w:val="bullet"/>
      <w:lvlText w:val="•"/>
      <w:lvlJc w:val="left"/>
      <w:pPr>
        <w:ind w:left="5410" w:hanging="360"/>
      </w:pPr>
      <w:rPr>
        <w:rFonts w:hint="default"/>
        <w:lang w:val="en-US" w:eastAsia="en-US" w:bidi="en-US"/>
      </w:rPr>
    </w:lvl>
    <w:lvl w:ilvl="6" w:tentative="0">
      <w:start w:val="0"/>
      <w:numFmt w:val="bullet"/>
      <w:lvlText w:val="•"/>
      <w:lvlJc w:val="left"/>
      <w:pPr>
        <w:ind w:left="6300" w:hanging="360"/>
      </w:pPr>
      <w:rPr>
        <w:rFonts w:hint="default"/>
        <w:lang w:val="en-US" w:eastAsia="en-US" w:bidi="en-US"/>
      </w:rPr>
    </w:lvl>
    <w:lvl w:ilvl="7" w:tentative="0">
      <w:start w:val="0"/>
      <w:numFmt w:val="bullet"/>
      <w:lvlText w:val="•"/>
      <w:lvlJc w:val="left"/>
      <w:pPr>
        <w:ind w:left="7190" w:hanging="360"/>
      </w:pPr>
      <w:rPr>
        <w:rFonts w:hint="default"/>
        <w:lang w:val="en-US" w:eastAsia="en-US" w:bidi="en-US"/>
      </w:rPr>
    </w:lvl>
    <w:lvl w:ilvl="8" w:tentative="0">
      <w:start w:val="0"/>
      <w:numFmt w:val="bullet"/>
      <w:lvlText w:val="•"/>
      <w:lvlJc w:val="left"/>
      <w:pPr>
        <w:ind w:left="8080" w:hanging="360"/>
      </w:pPr>
      <w:rPr>
        <w:rFonts w:hint="default"/>
        <w:lang w:val="en-US" w:eastAsia="en-US" w:bidi="en-US"/>
      </w:rPr>
    </w:lvl>
  </w:abstractNum>
  <w:abstractNum w:abstractNumId="12">
    <w:nsid w:val="73A30E17"/>
    <w:multiLevelType w:val="multilevel"/>
    <w:tmpl w:val="73A30E17"/>
    <w:lvl w:ilvl="0" w:tentative="0">
      <w:start w:val="1"/>
      <w:numFmt w:val="lowerLetter"/>
      <w:lvlText w:val="%1."/>
      <w:lvlJc w:val="left"/>
      <w:pPr>
        <w:ind w:left="960" w:hanging="360"/>
      </w:pPr>
      <w:rPr>
        <w:rFonts w:hint="default" w:ascii="Arial" w:hAnsi="Arial" w:eastAsia="Times New Roman" w:cs="Arial"/>
        <w:spacing w:val="-2"/>
        <w:w w:val="100"/>
        <w:sz w:val="24"/>
        <w:szCs w:val="24"/>
        <w:lang w:val="en-US" w:eastAsia="en-US" w:bidi="en-US"/>
      </w:rPr>
    </w:lvl>
    <w:lvl w:ilvl="1" w:tentative="0">
      <w:start w:val="0"/>
      <w:numFmt w:val="bullet"/>
      <w:lvlText w:val="•"/>
      <w:lvlJc w:val="left"/>
      <w:pPr>
        <w:ind w:left="1850" w:hanging="360"/>
      </w:pPr>
      <w:rPr>
        <w:rFonts w:hint="default"/>
        <w:lang w:val="en-US" w:eastAsia="en-US" w:bidi="en-US"/>
      </w:rPr>
    </w:lvl>
    <w:lvl w:ilvl="2" w:tentative="0">
      <w:start w:val="0"/>
      <w:numFmt w:val="bullet"/>
      <w:lvlText w:val="•"/>
      <w:lvlJc w:val="left"/>
      <w:pPr>
        <w:ind w:left="2740" w:hanging="360"/>
      </w:pPr>
      <w:rPr>
        <w:rFonts w:hint="default"/>
        <w:lang w:val="en-US" w:eastAsia="en-US" w:bidi="en-US"/>
      </w:rPr>
    </w:lvl>
    <w:lvl w:ilvl="3" w:tentative="0">
      <w:start w:val="0"/>
      <w:numFmt w:val="bullet"/>
      <w:lvlText w:val="•"/>
      <w:lvlJc w:val="left"/>
      <w:pPr>
        <w:ind w:left="3630" w:hanging="360"/>
      </w:pPr>
      <w:rPr>
        <w:rFonts w:hint="default"/>
        <w:lang w:val="en-US" w:eastAsia="en-US" w:bidi="en-US"/>
      </w:rPr>
    </w:lvl>
    <w:lvl w:ilvl="4" w:tentative="0">
      <w:start w:val="0"/>
      <w:numFmt w:val="bullet"/>
      <w:lvlText w:val="•"/>
      <w:lvlJc w:val="left"/>
      <w:pPr>
        <w:ind w:left="4520" w:hanging="360"/>
      </w:pPr>
      <w:rPr>
        <w:rFonts w:hint="default"/>
        <w:lang w:val="en-US" w:eastAsia="en-US" w:bidi="en-US"/>
      </w:rPr>
    </w:lvl>
    <w:lvl w:ilvl="5" w:tentative="0">
      <w:start w:val="0"/>
      <w:numFmt w:val="bullet"/>
      <w:lvlText w:val="•"/>
      <w:lvlJc w:val="left"/>
      <w:pPr>
        <w:ind w:left="5410" w:hanging="360"/>
      </w:pPr>
      <w:rPr>
        <w:rFonts w:hint="default"/>
        <w:lang w:val="en-US" w:eastAsia="en-US" w:bidi="en-US"/>
      </w:rPr>
    </w:lvl>
    <w:lvl w:ilvl="6" w:tentative="0">
      <w:start w:val="0"/>
      <w:numFmt w:val="bullet"/>
      <w:lvlText w:val="•"/>
      <w:lvlJc w:val="left"/>
      <w:pPr>
        <w:ind w:left="6300" w:hanging="360"/>
      </w:pPr>
      <w:rPr>
        <w:rFonts w:hint="default"/>
        <w:lang w:val="en-US" w:eastAsia="en-US" w:bidi="en-US"/>
      </w:rPr>
    </w:lvl>
    <w:lvl w:ilvl="7" w:tentative="0">
      <w:start w:val="0"/>
      <w:numFmt w:val="bullet"/>
      <w:lvlText w:val="•"/>
      <w:lvlJc w:val="left"/>
      <w:pPr>
        <w:ind w:left="7190" w:hanging="360"/>
      </w:pPr>
      <w:rPr>
        <w:rFonts w:hint="default"/>
        <w:lang w:val="en-US" w:eastAsia="en-US" w:bidi="en-US"/>
      </w:rPr>
    </w:lvl>
    <w:lvl w:ilvl="8" w:tentative="0">
      <w:start w:val="0"/>
      <w:numFmt w:val="bullet"/>
      <w:lvlText w:val="•"/>
      <w:lvlJc w:val="left"/>
      <w:pPr>
        <w:ind w:left="8080" w:hanging="360"/>
      </w:pPr>
      <w:rPr>
        <w:rFonts w:hint="default"/>
        <w:lang w:val="en-US" w:eastAsia="en-US" w:bidi="en-US"/>
      </w:rPr>
    </w:lvl>
  </w:abstractNum>
  <w:abstractNum w:abstractNumId="13">
    <w:nsid w:val="78A11DE7"/>
    <w:multiLevelType w:val="multilevel"/>
    <w:tmpl w:val="78A11DE7"/>
    <w:lvl w:ilvl="0" w:tentative="0">
      <w:start w:val="1"/>
      <w:numFmt w:val="lowerLetter"/>
      <w:lvlText w:val="%1."/>
      <w:lvlJc w:val="left"/>
      <w:pPr>
        <w:ind w:left="960" w:hanging="360"/>
      </w:pPr>
      <w:rPr>
        <w:rFonts w:hint="default" w:ascii="Arial" w:hAnsi="Arial" w:eastAsia="Times New Roman" w:cs="Arial"/>
        <w:i/>
        <w:spacing w:val="-3"/>
        <w:w w:val="100"/>
        <w:sz w:val="24"/>
        <w:szCs w:val="24"/>
        <w:lang w:val="en-US" w:eastAsia="en-US" w:bidi="en-US"/>
      </w:rPr>
    </w:lvl>
    <w:lvl w:ilvl="1" w:tentative="0">
      <w:start w:val="0"/>
      <w:numFmt w:val="bullet"/>
      <w:lvlText w:val="•"/>
      <w:lvlJc w:val="left"/>
      <w:pPr>
        <w:ind w:left="1850" w:hanging="360"/>
      </w:pPr>
      <w:rPr>
        <w:rFonts w:hint="default"/>
        <w:lang w:val="en-US" w:eastAsia="en-US" w:bidi="en-US"/>
      </w:rPr>
    </w:lvl>
    <w:lvl w:ilvl="2" w:tentative="0">
      <w:start w:val="0"/>
      <w:numFmt w:val="bullet"/>
      <w:lvlText w:val="•"/>
      <w:lvlJc w:val="left"/>
      <w:pPr>
        <w:ind w:left="2740" w:hanging="360"/>
      </w:pPr>
      <w:rPr>
        <w:rFonts w:hint="default"/>
        <w:lang w:val="en-US" w:eastAsia="en-US" w:bidi="en-US"/>
      </w:rPr>
    </w:lvl>
    <w:lvl w:ilvl="3" w:tentative="0">
      <w:start w:val="0"/>
      <w:numFmt w:val="bullet"/>
      <w:lvlText w:val="•"/>
      <w:lvlJc w:val="left"/>
      <w:pPr>
        <w:ind w:left="3630" w:hanging="360"/>
      </w:pPr>
      <w:rPr>
        <w:rFonts w:hint="default"/>
        <w:lang w:val="en-US" w:eastAsia="en-US" w:bidi="en-US"/>
      </w:rPr>
    </w:lvl>
    <w:lvl w:ilvl="4" w:tentative="0">
      <w:start w:val="0"/>
      <w:numFmt w:val="bullet"/>
      <w:lvlText w:val="•"/>
      <w:lvlJc w:val="left"/>
      <w:pPr>
        <w:ind w:left="4520" w:hanging="360"/>
      </w:pPr>
      <w:rPr>
        <w:rFonts w:hint="default"/>
        <w:lang w:val="en-US" w:eastAsia="en-US" w:bidi="en-US"/>
      </w:rPr>
    </w:lvl>
    <w:lvl w:ilvl="5" w:tentative="0">
      <w:start w:val="0"/>
      <w:numFmt w:val="bullet"/>
      <w:lvlText w:val="•"/>
      <w:lvlJc w:val="left"/>
      <w:pPr>
        <w:ind w:left="5410" w:hanging="360"/>
      </w:pPr>
      <w:rPr>
        <w:rFonts w:hint="default"/>
        <w:lang w:val="en-US" w:eastAsia="en-US" w:bidi="en-US"/>
      </w:rPr>
    </w:lvl>
    <w:lvl w:ilvl="6" w:tentative="0">
      <w:start w:val="0"/>
      <w:numFmt w:val="bullet"/>
      <w:lvlText w:val="•"/>
      <w:lvlJc w:val="left"/>
      <w:pPr>
        <w:ind w:left="6300" w:hanging="360"/>
      </w:pPr>
      <w:rPr>
        <w:rFonts w:hint="default"/>
        <w:lang w:val="en-US" w:eastAsia="en-US" w:bidi="en-US"/>
      </w:rPr>
    </w:lvl>
    <w:lvl w:ilvl="7" w:tentative="0">
      <w:start w:val="0"/>
      <w:numFmt w:val="bullet"/>
      <w:lvlText w:val="•"/>
      <w:lvlJc w:val="left"/>
      <w:pPr>
        <w:ind w:left="7190" w:hanging="360"/>
      </w:pPr>
      <w:rPr>
        <w:rFonts w:hint="default"/>
        <w:lang w:val="en-US" w:eastAsia="en-US" w:bidi="en-US"/>
      </w:rPr>
    </w:lvl>
    <w:lvl w:ilvl="8" w:tentative="0">
      <w:start w:val="0"/>
      <w:numFmt w:val="bullet"/>
      <w:lvlText w:val="•"/>
      <w:lvlJc w:val="left"/>
      <w:pPr>
        <w:ind w:left="8080" w:hanging="360"/>
      </w:pPr>
      <w:rPr>
        <w:rFonts w:hint="default"/>
        <w:lang w:val="en-US" w:eastAsia="en-US" w:bidi="en-US"/>
      </w:rPr>
    </w:lvl>
  </w:abstractNum>
  <w:abstractNum w:abstractNumId="14">
    <w:nsid w:val="7D3239A2"/>
    <w:multiLevelType w:val="multilevel"/>
    <w:tmpl w:val="7D3239A2"/>
    <w:lvl w:ilvl="0" w:tentative="0">
      <w:start w:val="1"/>
      <w:numFmt w:val="lowerLetter"/>
      <w:lvlText w:val="%1."/>
      <w:lvlJc w:val="left"/>
      <w:pPr>
        <w:ind w:left="960" w:hanging="360"/>
      </w:pPr>
      <w:rPr>
        <w:rFonts w:hint="default" w:ascii="Arial" w:hAnsi="Arial" w:eastAsia="Times New Roman" w:cs="Arial"/>
        <w:spacing w:val="-2"/>
        <w:w w:val="100"/>
        <w:sz w:val="24"/>
        <w:szCs w:val="24"/>
        <w:lang w:val="en-US" w:eastAsia="en-US" w:bidi="en-US"/>
      </w:rPr>
    </w:lvl>
    <w:lvl w:ilvl="1" w:tentative="0">
      <w:start w:val="0"/>
      <w:numFmt w:val="bullet"/>
      <w:lvlText w:val="•"/>
      <w:lvlJc w:val="left"/>
      <w:pPr>
        <w:ind w:left="1850" w:hanging="360"/>
      </w:pPr>
      <w:rPr>
        <w:rFonts w:hint="default"/>
        <w:lang w:val="en-US" w:eastAsia="en-US" w:bidi="en-US"/>
      </w:rPr>
    </w:lvl>
    <w:lvl w:ilvl="2" w:tentative="0">
      <w:start w:val="0"/>
      <w:numFmt w:val="bullet"/>
      <w:lvlText w:val="•"/>
      <w:lvlJc w:val="left"/>
      <w:pPr>
        <w:ind w:left="2740" w:hanging="360"/>
      </w:pPr>
      <w:rPr>
        <w:rFonts w:hint="default"/>
        <w:lang w:val="en-US" w:eastAsia="en-US" w:bidi="en-US"/>
      </w:rPr>
    </w:lvl>
    <w:lvl w:ilvl="3" w:tentative="0">
      <w:start w:val="0"/>
      <w:numFmt w:val="bullet"/>
      <w:lvlText w:val="•"/>
      <w:lvlJc w:val="left"/>
      <w:pPr>
        <w:ind w:left="3630" w:hanging="360"/>
      </w:pPr>
      <w:rPr>
        <w:rFonts w:hint="default"/>
        <w:lang w:val="en-US" w:eastAsia="en-US" w:bidi="en-US"/>
      </w:rPr>
    </w:lvl>
    <w:lvl w:ilvl="4" w:tentative="0">
      <w:start w:val="0"/>
      <w:numFmt w:val="bullet"/>
      <w:lvlText w:val="•"/>
      <w:lvlJc w:val="left"/>
      <w:pPr>
        <w:ind w:left="4520" w:hanging="360"/>
      </w:pPr>
      <w:rPr>
        <w:rFonts w:hint="default"/>
        <w:lang w:val="en-US" w:eastAsia="en-US" w:bidi="en-US"/>
      </w:rPr>
    </w:lvl>
    <w:lvl w:ilvl="5" w:tentative="0">
      <w:start w:val="0"/>
      <w:numFmt w:val="bullet"/>
      <w:lvlText w:val="•"/>
      <w:lvlJc w:val="left"/>
      <w:pPr>
        <w:ind w:left="5410" w:hanging="360"/>
      </w:pPr>
      <w:rPr>
        <w:rFonts w:hint="default"/>
        <w:lang w:val="en-US" w:eastAsia="en-US" w:bidi="en-US"/>
      </w:rPr>
    </w:lvl>
    <w:lvl w:ilvl="6" w:tentative="0">
      <w:start w:val="0"/>
      <w:numFmt w:val="bullet"/>
      <w:lvlText w:val="•"/>
      <w:lvlJc w:val="left"/>
      <w:pPr>
        <w:ind w:left="6300" w:hanging="360"/>
      </w:pPr>
      <w:rPr>
        <w:rFonts w:hint="default"/>
        <w:lang w:val="en-US" w:eastAsia="en-US" w:bidi="en-US"/>
      </w:rPr>
    </w:lvl>
    <w:lvl w:ilvl="7" w:tentative="0">
      <w:start w:val="0"/>
      <w:numFmt w:val="bullet"/>
      <w:lvlText w:val="•"/>
      <w:lvlJc w:val="left"/>
      <w:pPr>
        <w:ind w:left="7190" w:hanging="360"/>
      </w:pPr>
      <w:rPr>
        <w:rFonts w:hint="default"/>
        <w:lang w:val="en-US" w:eastAsia="en-US" w:bidi="en-US"/>
      </w:rPr>
    </w:lvl>
    <w:lvl w:ilvl="8" w:tentative="0">
      <w:start w:val="0"/>
      <w:numFmt w:val="bullet"/>
      <w:lvlText w:val="•"/>
      <w:lvlJc w:val="left"/>
      <w:pPr>
        <w:ind w:left="8080" w:hanging="360"/>
      </w:pPr>
      <w:rPr>
        <w:rFonts w:hint="default"/>
        <w:lang w:val="en-US" w:eastAsia="en-US" w:bidi="en-US"/>
      </w:rPr>
    </w:lvl>
  </w:abstractNum>
  <w:num w:numId="1">
    <w:abstractNumId w:val="9"/>
  </w:num>
  <w:num w:numId="2">
    <w:abstractNumId w:val="6"/>
  </w:num>
  <w:num w:numId="3">
    <w:abstractNumId w:val="7"/>
  </w:num>
  <w:num w:numId="4">
    <w:abstractNumId w:val="3"/>
  </w:num>
  <w:num w:numId="5">
    <w:abstractNumId w:val="5"/>
  </w:num>
  <w:num w:numId="6">
    <w:abstractNumId w:val="4"/>
  </w:num>
  <w:num w:numId="7">
    <w:abstractNumId w:val="14"/>
  </w:num>
  <w:num w:numId="8">
    <w:abstractNumId w:val="12"/>
  </w:num>
  <w:num w:numId="9">
    <w:abstractNumId w:val="0"/>
  </w:num>
  <w:num w:numId="10">
    <w:abstractNumId w:val="2"/>
  </w:num>
  <w:num w:numId="11">
    <w:abstractNumId w:val="10"/>
  </w:num>
  <w:num w:numId="12">
    <w:abstractNumId w:val="11"/>
  </w:num>
  <w:num w:numId="13">
    <w:abstractNumId w:val="1"/>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dit="readOnly" w:enforcement="0"/>
  <w:defaultTabStop w:val="720"/>
  <w:drawingGridHorizontalSpacing w:val="110"/>
  <w:drawingGridVerticalSpacing w:val="299"/>
  <w:displayHorizontalDrawingGridEvery w:val="2"/>
  <w:characterSpacingControl w:val="doNotCompress"/>
  <w:footnotePr>
    <w:footnote w:id="30"/>
    <w:footnote w:id="31"/>
  </w:foot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621"/>
    <w:rsid w:val="00027A41"/>
    <w:rsid w:val="00033494"/>
    <w:rsid w:val="00094C1C"/>
    <w:rsid w:val="00125FD1"/>
    <w:rsid w:val="00155D08"/>
    <w:rsid w:val="001679C1"/>
    <w:rsid w:val="00170AE2"/>
    <w:rsid w:val="00180D19"/>
    <w:rsid w:val="001810B5"/>
    <w:rsid w:val="001836F7"/>
    <w:rsid w:val="001D10FD"/>
    <w:rsid w:val="001E02F3"/>
    <w:rsid w:val="001F65A2"/>
    <w:rsid w:val="001F7139"/>
    <w:rsid w:val="00226912"/>
    <w:rsid w:val="0025192D"/>
    <w:rsid w:val="002A6912"/>
    <w:rsid w:val="002D44F8"/>
    <w:rsid w:val="002D7DBF"/>
    <w:rsid w:val="002E43AA"/>
    <w:rsid w:val="002E53F3"/>
    <w:rsid w:val="00312C98"/>
    <w:rsid w:val="00332A56"/>
    <w:rsid w:val="0042121A"/>
    <w:rsid w:val="00423C53"/>
    <w:rsid w:val="00440399"/>
    <w:rsid w:val="004920C1"/>
    <w:rsid w:val="004C159A"/>
    <w:rsid w:val="005102B8"/>
    <w:rsid w:val="0051518B"/>
    <w:rsid w:val="005209EF"/>
    <w:rsid w:val="00575279"/>
    <w:rsid w:val="005824F8"/>
    <w:rsid w:val="0059067F"/>
    <w:rsid w:val="00591429"/>
    <w:rsid w:val="005A4EE0"/>
    <w:rsid w:val="005A5B99"/>
    <w:rsid w:val="005A7514"/>
    <w:rsid w:val="005B3C1A"/>
    <w:rsid w:val="005E006F"/>
    <w:rsid w:val="005F082F"/>
    <w:rsid w:val="0066189E"/>
    <w:rsid w:val="00685687"/>
    <w:rsid w:val="006973CF"/>
    <w:rsid w:val="006E6B75"/>
    <w:rsid w:val="00731AB6"/>
    <w:rsid w:val="00735561"/>
    <w:rsid w:val="007C58B3"/>
    <w:rsid w:val="008250E3"/>
    <w:rsid w:val="008355B8"/>
    <w:rsid w:val="00835767"/>
    <w:rsid w:val="00836BDF"/>
    <w:rsid w:val="00841DE4"/>
    <w:rsid w:val="00867779"/>
    <w:rsid w:val="0088212F"/>
    <w:rsid w:val="00893912"/>
    <w:rsid w:val="008C28B9"/>
    <w:rsid w:val="00952168"/>
    <w:rsid w:val="00961709"/>
    <w:rsid w:val="0099147B"/>
    <w:rsid w:val="00997C70"/>
    <w:rsid w:val="009B4AD9"/>
    <w:rsid w:val="009C27EF"/>
    <w:rsid w:val="009E2E3D"/>
    <w:rsid w:val="009E74D0"/>
    <w:rsid w:val="00A146F5"/>
    <w:rsid w:val="00A43F41"/>
    <w:rsid w:val="00A92163"/>
    <w:rsid w:val="00AD7122"/>
    <w:rsid w:val="00AE7331"/>
    <w:rsid w:val="00B318BD"/>
    <w:rsid w:val="00B80E30"/>
    <w:rsid w:val="00B81331"/>
    <w:rsid w:val="00B927C9"/>
    <w:rsid w:val="00B9656D"/>
    <w:rsid w:val="00BA7652"/>
    <w:rsid w:val="00BB0189"/>
    <w:rsid w:val="00BE2D7C"/>
    <w:rsid w:val="00C0368E"/>
    <w:rsid w:val="00C132E1"/>
    <w:rsid w:val="00C33D2B"/>
    <w:rsid w:val="00C51DC7"/>
    <w:rsid w:val="00C9523D"/>
    <w:rsid w:val="00CC30A6"/>
    <w:rsid w:val="00CD1024"/>
    <w:rsid w:val="00CD57C6"/>
    <w:rsid w:val="00D07408"/>
    <w:rsid w:val="00D13234"/>
    <w:rsid w:val="00D1393E"/>
    <w:rsid w:val="00D22F66"/>
    <w:rsid w:val="00D31C79"/>
    <w:rsid w:val="00D84411"/>
    <w:rsid w:val="00D84604"/>
    <w:rsid w:val="00DA58D8"/>
    <w:rsid w:val="00DC5481"/>
    <w:rsid w:val="00E0244D"/>
    <w:rsid w:val="00E13267"/>
    <w:rsid w:val="00E16621"/>
    <w:rsid w:val="00E42D6E"/>
    <w:rsid w:val="00EB429F"/>
    <w:rsid w:val="00EF3266"/>
    <w:rsid w:val="00F32077"/>
    <w:rsid w:val="00F46CC1"/>
    <w:rsid w:val="00F52FB2"/>
    <w:rsid w:val="00F65CC9"/>
    <w:rsid w:val="00F861EC"/>
    <w:rsid w:val="00FC746B"/>
    <w:rsid w:val="00FD1DA4"/>
    <w:rsid w:val="00FD670F"/>
    <w:rsid w:val="00FF43F7"/>
    <w:rsid w:val="30520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en-US"/>
    </w:rPr>
  </w:style>
  <w:style w:type="paragraph" w:styleId="2">
    <w:name w:val="heading 1"/>
    <w:basedOn w:val="1"/>
    <w:qFormat/>
    <w:uiPriority w:val="1"/>
    <w:pPr>
      <w:spacing w:before="1"/>
      <w:ind w:left="320"/>
      <w:jc w:val="center"/>
      <w:outlineLvl w:val="0"/>
    </w:pPr>
    <w:rPr>
      <w:b/>
      <w:bCs/>
      <w:sz w:val="56"/>
      <w:szCs w:val="56"/>
    </w:rPr>
  </w:style>
  <w:style w:type="paragraph" w:styleId="3">
    <w:name w:val="heading 2"/>
    <w:basedOn w:val="1"/>
    <w:qFormat/>
    <w:uiPriority w:val="1"/>
    <w:pPr>
      <w:ind w:left="960" w:hanging="720"/>
      <w:outlineLvl w:val="1"/>
    </w:pPr>
    <w:rPr>
      <w:b/>
      <w:bCs/>
      <w:sz w:val="36"/>
      <w:szCs w:val="36"/>
    </w:rPr>
  </w:style>
  <w:style w:type="paragraph" w:styleId="4">
    <w:name w:val="heading 3"/>
    <w:basedOn w:val="1"/>
    <w:qFormat/>
    <w:uiPriority w:val="1"/>
    <w:pPr>
      <w:ind w:left="1680" w:hanging="720"/>
      <w:outlineLvl w:val="2"/>
    </w:pPr>
    <w:rPr>
      <w:b/>
      <w:bCs/>
      <w:sz w:val="32"/>
      <w:szCs w:val="32"/>
    </w:rPr>
  </w:style>
  <w:style w:type="paragraph" w:styleId="5">
    <w:name w:val="heading 4"/>
    <w:basedOn w:val="1"/>
    <w:qFormat/>
    <w:uiPriority w:val="1"/>
    <w:pPr>
      <w:spacing w:before="128"/>
      <w:ind w:left="2400" w:hanging="720"/>
      <w:outlineLvl w:val="3"/>
    </w:pPr>
    <w:rPr>
      <w:b/>
      <w:bCs/>
      <w:sz w:val="28"/>
      <w:szCs w:val="28"/>
    </w:rPr>
  </w:style>
  <w:style w:type="paragraph" w:styleId="6">
    <w:name w:val="heading 5"/>
    <w:basedOn w:val="1"/>
    <w:qFormat/>
    <w:uiPriority w:val="1"/>
    <w:pPr>
      <w:ind w:left="240"/>
      <w:outlineLvl w:val="4"/>
    </w:pPr>
    <w:rPr>
      <w:b/>
      <w:bCs/>
      <w:sz w:val="24"/>
      <w:szCs w:val="24"/>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7">
    <w:name w:val="Body Text"/>
    <w:basedOn w:val="1"/>
    <w:qFormat/>
    <w:uiPriority w:val="1"/>
    <w:rPr>
      <w:sz w:val="24"/>
      <w:szCs w:val="24"/>
    </w:rPr>
  </w:style>
  <w:style w:type="paragraph" w:styleId="8">
    <w:name w:val="toc 3"/>
    <w:basedOn w:val="1"/>
    <w:qFormat/>
    <w:uiPriority w:val="39"/>
    <w:pPr>
      <w:snapToGrid w:val="0"/>
      <w:spacing w:line="300" w:lineRule="auto"/>
      <w:ind w:left="1140" w:hanging="301"/>
    </w:pPr>
    <w:rPr>
      <w:rFonts w:ascii="Arial" w:hAnsi="Arial"/>
      <w:sz w:val="24"/>
      <w:szCs w:val="16"/>
    </w:rPr>
  </w:style>
  <w:style w:type="paragraph" w:styleId="9">
    <w:name w:val="Balloon Text"/>
    <w:basedOn w:val="1"/>
    <w:link w:val="24"/>
    <w:semiHidden/>
    <w:unhideWhenUsed/>
    <w:uiPriority w:val="99"/>
    <w:rPr>
      <w:sz w:val="18"/>
      <w:szCs w:val="18"/>
    </w:rPr>
  </w:style>
  <w:style w:type="paragraph" w:styleId="10">
    <w:name w:val="footer"/>
    <w:basedOn w:val="1"/>
    <w:link w:val="26"/>
    <w:unhideWhenUsed/>
    <w:uiPriority w:val="99"/>
    <w:pPr>
      <w:tabs>
        <w:tab w:val="center" w:pos="4153"/>
        <w:tab w:val="right" w:pos="8306"/>
      </w:tabs>
      <w:snapToGrid w:val="0"/>
    </w:pPr>
    <w:rPr>
      <w:sz w:val="18"/>
      <w:szCs w:val="18"/>
    </w:rPr>
  </w:style>
  <w:style w:type="paragraph" w:styleId="11">
    <w:name w:val="header"/>
    <w:basedOn w:val="1"/>
    <w:link w:val="25"/>
    <w:unhideWhenUsed/>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qFormat/>
    <w:uiPriority w:val="39"/>
    <w:pPr>
      <w:spacing w:before="4"/>
      <w:ind w:left="1140" w:hanging="540"/>
    </w:pPr>
    <w:rPr>
      <w:sz w:val="24"/>
      <w:szCs w:val="24"/>
    </w:rPr>
  </w:style>
  <w:style w:type="paragraph" w:styleId="13">
    <w:name w:val="toc 4"/>
    <w:basedOn w:val="1"/>
    <w:qFormat/>
    <w:uiPriority w:val="39"/>
    <w:pPr>
      <w:snapToGrid w:val="0"/>
      <w:spacing w:line="300" w:lineRule="auto"/>
      <w:ind w:left="1140" w:hanging="301"/>
    </w:pPr>
    <w:rPr>
      <w:rFonts w:ascii="Arial" w:hAnsi="Arial"/>
      <w:b/>
      <w:bCs/>
      <w:i/>
      <w:sz w:val="24"/>
    </w:rPr>
  </w:style>
  <w:style w:type="paragraph" w:styleId="14">
    <w:name w:val="footnote text"/>
    <w:basedOn w:val="1"/>
    <w:link w:val="27"/>
    <w:semiHidden/>
    <w:unhideWhenUsed/>
    <w:qFormat/>
    <w:uiPriority w:val="99"/>
    <w:pPr>
      <w:snapToGrid w:val="0"/>
    </w:pPr>
    <w:rPr>
      <w:sz w:val="18"/>
      <w:szCs w:val="18"/>
    </w:rPr>
  </w:style>
  <w:style w:type="paragraph" w:styleId="15">
    <w:name w:val="toc 2"/>
    <w:basedOn w:val="1"/>
    <w:qFormat/>
    <w:uiPriority w:val="39"/>
    <w:pPr>
      <w:snapToGrid w:val="0"/>
      <w:spacing w:line="300" w:lineRule="auto"/>
      <w:ind w:right="200" w:rightChars="200" w:hanging="539" w:hangingChars="245"/>
    </w:pPr>
    <w:rPr>
      <w:rFonts w:ascii="Arial" w:hAnsi="Arial"/>
      <w:b/>
      <w:bCs/>
      <w:i/>
      <w:sz w:val="24"/>
      <w:szCs w:val="20"/>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footnote reference"/>
    <w:basedOn w:val="18"/>
    <w:semiHidden/>
    <w:unhideWhenUsed/>
    <w:qFormat/>
    <w:uiPriority w:val="99"/>
    <w:rPr>
      <w:vertAlign w:val="superscript"/>
    </w:rPr>
  </w:style>
  <w:style w:type="table" w:customStyle="1" w:styleId="21">
    <w:name w:val="Table Normal"/>
    <w:semiHidden/>
    <w:unhideWhenUsed/>
    <w:qFormat/>
    <w:uiPriority w:val="2"/>
    <w:tblPr>
      <w:tblCellMar>
        <w:top w:w="0" w:type="dxa"/>
        <w:left w:w="0" w:type="dxa"/>
        <w:bottom w:w="0" w:type="dxa"/>
        <w:right w:w="0" w:type="dxa"/>
      </w:tblCellMar>
    </w:tblPr>
  </w:style>
  <w:style w:type="paragraph" w:styleId="22">
    <w:name w:val="List Paragraph"/>
    <w:basedOn w:val="1"/>
    <w:qFormat/>
    <w:uiPriority w:val="1"/>
    <w:pPr>
      <w:ind w:left="960" w:hanging="360"/>
    </w:pPr>
  </w:style>
  <w:style w:type="paragraph" w:customStyle="1" w:styleId="23">
    <w:name w:val="Table Paragraph"/>
    <w:basedOn w:val="1"/>
    <w:qFormat/>
    <w:uiPriority w:val="1"/>
    <w:pPr>
      <w:spacing w:line="260" w:lineRule="exact"/>
      <w:ind w:left="109"/>
    </w:pPr>
  </w:style>
  <w:style w:type="character" w:customStyle="1" w:styleId="24">
    <w:name w:val="批注框文本 Char"/>
    <w:basedOn w:val="18"/>
    <w:link w:val="9"/>
    <w:semiHidden/>
    <w:qFormat/>
    <w:uiPriority w:val="99"/>
    <w:rPr>
      <w:rFonts w:ascii="Times New Roman" w:hAnsi="Times New Roman" w:eastAsia="Times New Roman" w:cs="Times New Roman"/>
      <w:sz w:val="18"/>
      <w:szCs w:val="18"/>
      <w:lang w:bidi="en-US"/>
    </w:rPr>
  </w:style>
  <w:style w:type="character" w:customStyle="1" w:styleId="25">
    <w:name w:val="页眉 Char"/>
    <w:basedOn w:val="18"/>
    <w:link w:val="11"/>
    <w:qFormat/>
    <w:uiPriority w:val="99"/>
    <w:rPr>
      <w:rFonts w:ascii="Times New Roman" w:hAnsi="Times New Roman" w:eastAsia="Times New Roman" w:cs="Times New Roman"/>
      <w:sz w:val="18"/>
      <w:szCs w:val="18"/>
      <w:lang w:bidi="en-US"/>
    </w:rPr>
  </w:style>
  <w:style w:type="character" w:customStyle="1" w:styleId="26">
    <w:name w:val="页脚 Char"/>
    <w:basedOn w:val="18"/>
    <w:link w:val="10"/>
    <w:qFormat/>
    <w:uiPriority w:val="99"/>
    <w:rPr>
      <w:rFonts w:ascii="Times New Roman" w:hAnsi="Times New Roman" w:eastAsia="Times New Roman" w:cs="Times New Roman"/>
      <w:sz w:val="18"/>
      <w:szCs w:val="18"/>
      <w:lang w:bidi="en-US"/>
    </w:rPr>
  </w:style>
  <w:style w:type="character" w:customStyle="1" w:styleId="27">
    <w:name w:val="脚注文本 Char"/>
    <w:basedOn w:val="18"/>
    <w:link w:val="14"/>
    <w:semiHidden/>
    <w:qFormat/>
    <w:uiPriority w:val="99"/>
    <w:rPr>
      <w:rFonts w:ascii="Times New Roman" w:hAnsi="Times New Roman" w:eastAsia="Times New Roman" w:cs="Times New Roman"/>
      <w:sz w:val="18"/>
      <w:szCs w:val="18"/>
      <w:lang w:bidi="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82D1A-6D26-45DB-A4CE-A22F9A4AE24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11132</Words>
  <Characters>12955</Characters>
  <Lines>107</Lines>
  <Paragraphs>30</Paragraphs>
  <TotalTime>1</TotalTime>
  <ScaleCrop>false</ScaleCrop>
  <LinksUpToDate>false</LinksUpToDate>
  <CharactersWithSpaces>13135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2017-12-18T15:04:00Z</dcterms:created>
  <dc:creator>CDRH</dc:creator>
  <cp:lastModifiedBy>太极箫客</cp:lastModifiedBy>
  <dcterms:modified xsi:type="dcterms:W3CDTF">2025-08-14T07:24:00Z</dcterms:modified>
  <dc:title>Implanted Blood Access Devices for Hemodialysis - Guidance for Industry and Food and Drug Administration Staff</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2016-01-14T00:00:00Z</vt:filetime>
  </property>
  <property fmtid="{D5CDD505-2E9C-101B-9397-08002B2CF9AE}" pid="3" name="Creator">
    <vt:lpwstr>CommonLook Office-1.2.5.17</vt:lpwstr>
  </property>
  <property fmtid="{D5CDD505-2E9C-101B-9397-08002B2CF9AE}" pid="4" name="LastSaved">
    <vt:filetime>2017-10-18T00:00:00Z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BE7B663E1D0F4E89BF46D99156B80D28_12</vt:lpwstr>
  </property>
</Properties>
</file>