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4658D">
      <w:pPr>
        <w:pBdr>
          <w:bottom w:val="single" w:color="auto" w:sz="4" w:space="1"/>
        </w:pBdr>
        <w:spacing w:before="187"/>
        <w:jc w:val="center"/>
        <w:rPr>
          <w:b/>
          <w:snapToGrid w:val="0"/>
          <w:sz w:val="44"/>
          <w:szCs w:val="44"/>
          <w:shd w:val="clear" w:color="auto" w:fill="FFFFFF"/>
        </w:rPr>
      </w:pPr>
      <w:bookmarkStart w:id="20" w:name="_GoBack"/>
      <w:bookmarkEnd w:id="20"/>
      <w:bookmarkStart w:id="0" w:name="_Toc426899804"/>
      <w:r>
        <w:rPr>
          <w:rFonts w:hint="eastAsia"/>
          <w:b/>
          <w:snapToGrid w:val="0"/>
          <w:sz w:val="44"/>
          <w:szCs w:val="44"/>
          <w:shd w:val="clear" w:color="auto" w:fill="FFFFFF"/>
        </w:rPr>
        <w:t>行业和FDA工作人员指南</w:t>
      </w:r>
    </w:p>
    <w:p w14:paraId="6D85133C">
      <w:pPr>
        <w:spacing w:before="187"/>
        <w:rPr>
          <w:snapToGrid w:val="0"/>
          <w:szCs w:val="28"/>
        </w:rPr>
      </w:pPr>
    </w:p>
    <w:p w14:paraId="5D2663AD">
      <w:pPr>
        <w:spacing w:before="187"/>
        <w:jc w:val="center"/>
        <w:rPr>
          <w:b/>
          <w:snapToGrid w:val="0"/>
          <w:sz w:val="44"/>
          <w:szCs w:val="44"/>
          <w:shd w:val="clear" w:color="auto" w:fill="FFFFFF"/>
        </w:rPr>
      </w:pPr>
      <w:r>
        <w:rPr>
          <w:b/>
          <w:snapToGrid w:val="0"/>
          <w:sz w:val="44"/>
          <w:szCs w:val="44"/>
          <w:shd w:val="clear" w:color="auto" w:fill="FFFFFF"/>
        </w:rPr>
        <w:t>血凝分析仪</w:t>
      </w:r>
      <w:r>
        <w:rPr>
          <w:rFonts w:hint="eastAsia"/>
          <w:b/>
          <w:snapToGrid w:val="0"/>
          <w:sz w:val="44"/>
          <w:szCs w:val="44"/>
          <w:shd w:val="clear" w:color="auto" w:fill="FFFFFF"/>
        </w:rPr>
        <w:t>的510（k）提交资料</w:t>
      </w:r>
    </w:p>
    <w:p w14:paraId="1D33553E">
      <w:pPr>
        <w:spacing w:before="187"/>
        <w:rPr>
          <w:snapToGrid w:val="0"/>
          <w:szCs w:val="28"/>
          <w:shd w:val="clear" w:color="auto" w:fill="FFFFFF"/>
        </w:rPr>
      </w:pPr>
    </w:p>
    <w:p w14:paraId="14BAD47A">
      <w:pPr>
        <w:spacing w:before="187"/>
        <w:rPr>
          <w:snapToGrid w:val="0"/>
          <w:szCs w:val="28"/>
          <w:shd w:val="clear" w:color="auto" w:fill="FFFFFF"/>
        </w:rPr>
      </w:pPr>
    </w:p>
    <w:p w14:paraId="00703817">
      <w:pPr>
        <w:spacing w:before="187"/>
        <w:rPr>
          <w:snapToGrid w:val="0"/>
          <w:szCs w:val="28"/>
          <w:shd w:val="clear" w:color="auto" w:fill="FFFFFF"/>
        </w:rPr>
      </w:pPr>
    </w:p>
    <w:p w14:paraId="3CB0298D">
      <w:pPr>
        <w:spacing w:before="187"/>
        <w:jc w:val="center"/>
        <w:rPr>
          <w:b/>
          <w:snapToGrid w:val="0"/>
          <w:shd w:val="clear" w:color="auto" w:fill="FFFFFF"/>
        </w:rPr>
      </w:pPr>
      <w:r>
        <w:rPr>
          <w:rFonts w:hint="eastAsia"/>
          <w:b/>
          <w:snapToGrid w:val="0"/>
          <w:shd w:val="clear" w:color="auto" w:fill="FFFFFF"/>
        </w:rPr>
        <w:t>发布日期：2003年6月19日</w:t>
      </w:r>
    </w:p>
    <w:p w14:paraId="683BE8F6">
      <w:pPr>
        <w:spacing w:before="187"/>
        <w:rPr>
          <w:snapToGrid w:val="0"/>
          <w:szCs w:val="28"/>
          <w:shd w:val="clear" w:color="auto" w:fill="FFFFFF"/>
        </w:rPr>
      </w:pPr>
    </w:p>
    <w:p w14:paraId="12D410DF">
      <w:pPr>
        <w:spacing w:before="187"/>
        <w:rPr>
          <w:snapToGrid w:val="0"/>
          <w:szCs w:val="28"/>
          <w:shd w:val="clear" w:color="auto" w:fill="FFFFFF"/>
        </w:rPr>
      </w:pPr>
    </w:p>
    <w:p w14:paraId="398B01C8">
      <w:pPr>
        <w:spacing w:before="187"/>
        <w:rPr>
          <w:snapToGrid w:val="0"/>
          <w:szCs w:val="28"/>
          <w:shd w:val="clear" w:color="auto" w:fill="FFFFFF"/>
        </w:rPr>
      </w:pPr>
    </w:p>
    <w:p w14:paraId="3AB8FD11">
      <w:pPr>
        <w:spacing w:before="187"/>
        <w:rPr>
          <w:snapToGrid w:val="0"/>
          <w:szCs w:val="28"/>
          <w:shd w:val="clear" w:color="auto" w:fill="FFFFFF"/>
        </w:rPr>
      </w:pPr>
      <w:r>
        <w:rPr>
          <w:rFonts w:hint="eastAsia"/>
          <w:snapToGrid w:val="0"/>
          <w:shd w:val="clear" w:color="auto" w:fill="FFFFFF"/>
        </w:rPr>
        <w:t>有关此文档的问题，请联系</w:t>
      </w:r>
      <w:r>
        <w:rPr>
          <w:snapToGrid w:val="0"/>
        </w:rPr>
        <w:t>Valerie R. Dada</w:t>
      </w:r>
      <w:r>
        <w:rPr>
          <w:rFonts w:hint="eastAsia"/>
          <w:snapToGrid w:val="0"/>
        </w:rPr>
        <w:t>，电话号码：（301）594-1243，或发送电子邮件至</w:t>
      </w:r>
      <w:r>
        <w:rPr>
          <w:snapToGrid w:val="0"/>
          <w:u w:val="single"/>
        </w:rPr>
        <w:t>vrd@cdrh.fda.gov.</w:t>
      </w:r>
    </w:p>
    <w:p w14:paraId="79B66FE3">
      <w:pPr>
        <w:spacing w:before="187"/>
        <w:rPr>
          <w:snapToGrid w:val="0"/>
          <w:szCs w:val="21"/>
          <w:shd w:val="clear" w:color="auto" w:fill="FFFFFF"/>
        </w:rPr>
      </w:pPr>
      <w:r>
        <w:drawing>
          <wp:inline distT="0" distB="0" distL="0" distR="0">
            <wp:extent cx="1076960" cy="75247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082479" cy="756061"/>
                    </a:xfrm>
                    <a:prstGeom prst="rect">
                      <a:avLst/>
                    </a:prstGeom>
                  </pic:spPr>
                </pic:pic>
              </a:graphicData>
            </a:graphic>
          </wp:inline>
        </w:drawing>
      </w:r>
    </w:p>
    <w:p w14:paraId="30EB3D27">
      <w:pPr>
        <w:spacing w:before="187"/>
        <w:jc w:val="right"/>
        <w:rPr>
          <w:b/>
          <w:snapToGrid w:val="0"/>
          <w:shd w:val="clear" w:color="auto" w:fill="FFFFFF"/>
        </w:rPr>
      </w:pPr>
      <w:r>
        <w:rPr>
          <w:b/>
          <w:snapToGrid w:val="0"/>
        </w:rPr>
        <w:t>美国卫生与公共服务部</w:t>
      </w:r>
      <w:r>
        <w:rPr>
          <w:rFonts w:hint="eastAsia"/>
          <w:b/>
          <w:snapToGrid w:val="0"/>
        </w:rPr>
        <w:br w:type="textWrapping"/>
      </w:r>
      <w:r>
        <w:rPr>
          <w:b/>
          <w:snapToGrid w:val="0"/>
        </w:rPr>
        <w:t>食品药品监督管理局</w:t>
      </w:r>
      <w:r>
        <w:rPr>
          <w:rFonts w:hint="eastAsia"/>
          <w:b/>
          <w:snapToGrid w:val="0"/>
        </w:rPr>
        <w:br w:type="textWrapping"/>
      </w:r>
      <w:r>
        <w:rPr>
          <w:b/>
          <w:snapToGrid w:val="0"/>
          <w:shd w:val="clear" w:color="auto" w:fill="FFFFFF"/>
        </w:rPr>
        <w:t>器械与放射健康中心</w:t>
      </w:r>
    </w:p>
    <w:p w14:paraId="50EF4A7A">
      <w:pPr>
        <w:spacing w:before="187"/>
        <w:jc w:val="right"/>
        <w:rPr>
          <w:b/>
          <w:snapToGrid w:val="0"/>
          <w:szCs w:val="21"/>
          <w:shd w:val="clear" w:color="auto" w:fill="FFFFFF"/>
        </w:rPr>
      </w:pPr>
      <w:r>
        <w:rPr>
          <w:b/>
          <w:snapToGrid w:val="0"/>
        </w:rPr>
        <w:t>临床化学和临床毒理学</w:t>
      </w:r>
      <w:r>
        <w:rPr>
          <w:b/>
          <w:snapToGrid w:val="0"/>
          <w:shd w:val="clear" w:color="auto" w:fill="FFFFFF"/>
        </w:rPr>
        <w:t>器械</w:t>
      </w:r>
      <w:r>
        <w:rPr>
          <w:rFonts w:hint="eastAsia"/>
          <w:b/>
          <w:snapToGrid w:val="0"/>
        </w:rPr>
        <w:t>部</w:t>
      </w:r>
      <w:r>
        <w:rPr>
          <w:b/>
          <w:snapToGrid w:val="0"/>
        </w:rPr>
        <w:br w:type="textWrapping"/>
      </w:r>
      <w:r>
        <w:rPr>
          <w:b/>
          <w:snapToGrid w:val="0"/>
        </w:rPr>
        <w:t>体外诊断器械评估与安全办公室</w:t>
      </w:r>
    </w:p>
    <w:p w14:paraId="709ABFD8">
      <w:pPr>
        <w:spacing w:before="187"/>
        <w:rPr>
          <w:snapToGrid w:val="0"/>
          <w:szCs w:val="21"/>
          <w:shd w:val="clear" w:color="auto" w:fill="FFFFFF"/>
        </w:rPr>
      </w:pPr>
    </w:p>
    <w:p w14:paraId="4E932811">
      <w:pPr>
        <w:spacing w:before="187"/>
        <w:rPr>
          <w:snapToGrid w:val="0"/>
          <w:szCs w:val="21"/>
          <w:shd w:val="clear" w:color="auto" w:fill="FFFFFF"/>
        </w:rPr>
      </w:pPr>
    </w:p>
    <w:p w14:paraId="34F35EAE">
      <w:pPr>
        <w:spacing w:before="187"/>
        <w:rPr>
          <w:snapToGrid w:val="0"/>
          <w:szCs w:val="21"/>
          <w:shd w:val="clear" w:color="auto" w:fill="FFFFFF"/>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docGrid w:type="lines" w:linePitch="312" w:charSpace="0"/>
        </w:sectPr>
      </w:pPr>
    </w:p>
    <w:p w14:paraId="263156CE">
      <w:pPr>
        <w:spacing w:before="187"/>
        <w:jc w:val="center"/>
        <w:rPr>
          <w:b/>
          <w:snapToGrid w:val="0"/>
          <w:sz w:val="32"/>
          <w:szCs w:val="32"/>
          <w:shd w:val="clear" w:color="auto" w:fill="FFFFFF"/>
        </w:rPr>
      </w:pPr>
      <w:r>
        <w:rPr>
          <w:rFonts w:hint="eastAsia"/>
          <w:b/>
          <w:snapToGrid w:val="0"/>
          <w:sz w:val="32"/>
          <w:szCs w:val="32"/>
          <w:shd w:val="clear" w:color="auto" w:fill="FFFFFF"/>
        </w:rPr>
        <w:t>前言</w:t>
      </w:r>
    </w:p>
    <w:p w14:paraId="49E256F3">
      <w:pPr>
        <w:spacing w:before="187"/>
        <w:rPr>
          <w:snapToGrid w:val="0"/>
          <w:szCs w:val="21"/>
          <w:shd w:val="clear" w:color="auto" w:fill="FFFFFF"/>
        </w:rPr>
      </w:pPr>
    </w:p>
    <w:p w14:paraId="009D8E70">
      <w:pPr>
        <w:spacing w:before="187"/>
        <w:rPr>
          <w:b/>
          <w:snapToGrid w:val="0"/>
          <w:sz w:val="28"/>
          <w:szCs w:val="28"/>
          <w:shd w:val="clear" w:color="auto" w:fill="FFFFFF"/>
        </w:rPr>
      </w:pPr>
      <w:r>
        <w:rPr>
          <w:rFonts w:hint="eastAsia"/>
          <w:b/>
          <w:snapToGrid w:val="0"/>
          <w:sz w:val="28"/>
          <w:szCs w:val="28"/>
          <w:shd w:val="clear" w:color="auto" w:fill="FFFFFF"/>
        </w:rPr>
        <w:t>公众评论</w:t>
      </w:r>
    </w:p>
    <w:p w14:paraId="4DE26B7D">
      <w:pPr>
        <w:spacing w:before="187"/>
        <w:rPr>
          <w:snapToGrid w:val="0"/>
          <w:shd w:val="clear" w:color="auto" w:fill="FFFFFF"/>
        </w:rPr>
      </w:pPr>
      <w:bookmarkStart w:id="1" w:name="OLE_LINK18"/>
      <w:r>
        <w:rPr>
          <w:rFonts w:hint="eastAsia"/>
          <w:snapToGrid w:val="0"/>
          <w:shd w:val="clear" w:color="auto" w:fill="FFFFFF"/>
        </w:rPr>
        <w:t>评论</w:t>
      </w:r>
      <w:bookmarkEnd w:id="1"/>
      <w:r>
        <w:rPr>
          <w:snapToGrid w:val="0"/>
          <w:shd w:val="clear" w:color="auto" w:fill="FFFFFF"/>
        </w:rPr>
        <w:t>和建议可在任何时间提交至</w:t>
      </w:r>
      <w:r>
        <w:rPr>
          <w:snapToGrid w:val="0"/>
        </w:rPr>
        <w:t>食品药品监督管理局，</w:t>
      </w:r>
      <w:r>
        <w:rPr>
          <w:snapToGrid w:val="0"/>
          <w:shd w:val="clear" w:color="auto" w:fill="FFFFFF"/>
        </w:rPr>
        <w:t>人力资源与管理服务部</w:t>
      </w:r>
      <w:r>
        <w:rPr>
          <w:snapToGrid w:val="0"/>
        </w:rPr>
        <w:t>，管理</w:t>
      </w:r>
      <w:r>
        <w:rPr>
          <w:rFonts w:hint="eastAsia"/>
          <w:snapToGrid w:val="0"/>
        </w:rPr>
        <w:t>系统</w:t>
      </w:r>
      <w:r>
        <w:rPr>
          <w:snapToGrid w:val="0"/>
        </w:rPr>
        <w:t>与政策部，</w:t>
      </w:r>
      <w:r>
        <w:rPr>
          <w:snapToGrid w:val="0"/>
          <w:shd w:val="clear" w:color="auto" w:fill="FFFFFF"/>
        </w:rPr>
        <w:t>待审问题管理处</w:t>
      </w:r>
      <w:r>
        <w:rPr>
          <w:snapToGrid w:val="0"/>
        </w:rPr>
        <w:t>，5630 Fishers Lane, Room 1061, (HFA-305), Rockville, MD, 20852</w:t>
      </w:r>
      <w:r>
        <w:rPr>
          <w:rFonts w:hint="eastAsia"/>
          <w:snapToGrid w:val="0"/>
        </w:rPr>
        <w:t>，</w:t>
      </w:r>
      <w:r>
        <w:rPr>
          <w:snapToGrid w:val="0"/>
        </w:rPr>
        <w:t>供</w:t>
      </w:r>
      <w:r>
        <w:rPr>
          <w:snapToGrid w:val="0"/>
          <w:shd w:val="clear" w:color="auto" w:fill="FFFFFF"/>
        </w:rPr>
        <w:t>部门审议。</w:t>
      </w:r>
    </w:p>
    <w:p w14:paraId="71A3D51B">
      <w:pPr>
        <w:spacing w:before="187"/>
        <w:rPr>
          <w:snapToGrid w:val="0"/>
          <w:shd w:val="clear" w:color="auto" w:fill="FFFFFF"/>
        </w:rPr>
      </w:pPr>
      <w:r>
        <w:rPr>
          <w:snapToGrid w:val="0"/>
          <w:shd w:val="clear" w:color="auto" w:fill="FFFFFF"/>
        </w:rPr>
        <w:t>提交</w:t>
      </w:r>
      <w:r>
        <w:rPr>
          <w:rFonts w:hint="eastAsia"/>
          <w:snapToGrid w:val="0"/>
          <w:shd w:val="clear" w:color="auto" w:fill="FFFFFF"/>
        </w:rPr>
        <w:t>评论</w:t>
      </w:r>
      <w:r>
        <w:rPr>
          <w:snapToGrid w:val="0"/>
          <w:shd w:val="clear" w:color="auto" w:fill="FFFFFF"/>
        </w:rPr>
        <w:t>时，请标注本指</w:t>
      </w:r>
      <w:r>
        <w:rPr>
          <w:rFonts w:hint="eastAsia"/>
          <w:snapToGrid w:val="0"/>
          <w:shd w:val="clear" w:color="auto" w:fill="FFFFFF"/>
        </w:rPr>
        <w:t>南</w:t>
      </w:r>
      <w:r>
        <w:rPr>
          <w:snapToGrid w:val="0"/>
          <w:shd w:val="clear" w:color="auto" w:fill="FFFFFF"/>
        </w:rPr>
        <w:t>文件的确切名称。</w:t>
      </w:r>
      <w:r>
        <w:rPr>
          <w:rFonts w:hint="eastAsia"/>
          <w:snapToGrid w:val="0"/>
          <w:shd w:val="clear" w:color="auto" w:fill="FFFFFF"/>
        </w:rPr>
        <w:t>可能直到文件下次修订或更新时，评论才会被机构受理。</w:t>
      </w:r>
    </w:p>
    <w:p w14:paraId="3FFB6BE7">
      <w:pPr>
        <w:spacing w:before="187"/>
        <w:rPr>
          <w:snapToGrid w:val="0"/>
        </w:rPr>
      </w:pPr>
    </w:p>
    <w:p w14:paraId="7F7F38FA">
      <w:pPr>
        <w:spacing w:before="187"/>
        <w:rPr>
          <w:b/>
          <w:snapToGrid w:val="0"/>
          <w:sz w:val="28"/>
          <w:szCs w:val="28"/>
          <w:shd w:val="clear" w:color="auto" w:fill="FFFFFF"/>
        </w:rPr>
      </w:pPr>
      <w:r>
        <w:rPr>
          <w:rFonts w:hint="eastAsia"/>
          <w:b/>
          <w:snapToGrid w:val="0"/>
          <w:sz w:val="28"/>
          <w:szCs w:val="28"/>
          <w:shd w:val="clear" w:color="auto" w:fill="FFFFFF"/>
        </w:rPr>
        <w:t>其他副本</w:t>
      </w:r>
    </w:p>
    <w:p w14:paraId="3D20D5BA">
      <w:pPr>
        <w:spacing w:before="187"/>
        <w:rPr>
          <w:snapToGrid w:val="0"/>
          <w:shd w:val="clear" w:color="auto" w:fill="FFFFFF"/>
        </w:rPr>
      </w:pPr>
      <w:r>
        <w:rPr>
          <w:snapToGrid w:val="0"/>
          <w:shd w:val="clear" w:color="auto" w:fill="FFFFFF"/>
        </w:rPr>
        <w:t>其他副本可从互联网上获得：</w:t>
      </w:r>
    </w:p>
    <w:p w14:paraId="057A25CA">
      <w:pPr>
        <w:spacing w:before="187"/>
        <w:rPr>
          <w:snapToGrid w:val="0"/>
          <w:u w:val="single"/>
        </w:rPr>
      </w:pPr>
      <w:r>
        <w:rPr>
          <w:snapToGrid w:val="0"/>
          <w:u w:val="single"/>
        </w:rPr>
        <w:t>http: //www.fda.gov/cdrh/oivd/guidance/1223.pdf</w:t>
      </w:r>
      <w:r>
        <w:rPr>
          <w:snapToGrid w:val="0"/>
        </w:rPr>
        <w:t>或通过传真接收本文件，从</w:t>
      </w:r>
      <w:r>
        <w:rPr>
          <w:snapToGrid w:val="0"/>
          <w:shd w:val="clear" w:color="auto" w:fill="FFFFFF"/>
        </w:rPr>
        <w:t>按键式电话机</w:t>
      </w:r>
      <w:r>
        <w:rPr>
          <w:snapToGrid w:val="0"/>
        </w:rPr>
        <w:t>拨打CDRH</w:t>
      </w:r>
      <w:r>
        <w:rPr>
          <w:snapToGrid w:val="0"/>
          <w:shd w:val="clear" w:color="auto" w:fill="FFFFFF"/>
        </w:rPr>
        <w:t>资源索取</w:t>
      </w:r>
      <w:r>
        <w:rPr>
          <w:snapToGrid w:val="0"/>
        </w:rPr>
        <w:t>自动回传系统：800-899-0381或301-827-0111，按1进入系统。</w:t>
      </w:r>
      <w:r>
        <w:rPr>
          <w:snapToGrid w:val="0"/>
          <w:shd w:val="clear" w:color="auto" w:fill="FFFFFF"/>
        </w:rPr>
        <w:t>在第二个语音提示时，按1订购文件。输入文件编号1223，并以（#）结束。</w:t>
      </w:r>
      <w:r>
        <w:rPr>
          <w:rFonts w:hint="eastAsia"/>
          <w:snapToGrid w:val="0"/>
          <w:shd w:val="clear" w:color="auto" w:fill="FFFFFF"/>
        </w:rPr>
        <w:t>遵照之后</w:t>
      </w:r>
      <w:r>
        <w:rPr>
          <w:snapToGrid w:val="0"/>
          <w:shd w:val="clear" w:color="auto" w:fill="FFFFFF"/>
        </w:rPr>
        <w:t>的语音提示完成贵公司的请求。</w:t>
      </w:r>
    </w:p>
    <w:p w14:paraId="5E3EE6DA">
      <w:pPr>
        <w:spacing w:before="187"/>
        <w:rPr>
          <w:snapToGrid w:val="0"/>
          <w:shd w:val="clear" w:color="auto" w:fill="FFFFFF"/>
        </w:rPr>
      </w:pPr>
    </w:p>
    <w:p w14:paraId="6A138D67">
      <w:pPr>
        <w:spacing w:before="187"/>
        <w:rPr>
          <w:snapToGrid w:val="0"/>
          <w:sz w:val="21"/>
          <w:szCs w:val="21"/>
        </w:rPr>
      </w:pPr>
      <w:r>
        <w:rPr>
          <w:snapToGrid w:val="0"/>
          <w:sz w:val="21"/>
          <w:szCs w:val="21"/>
        </w:rPr>
        <w:br w:type="page"/>
      </w:r>
    </w:p>
    <w:p w14:paraId="41BDAA64">
      <w:pPr>
        <w:spacing w:before="187"/>
        <w:jc w:val="center"/>
        <w:rPr>
          <w:b/>
          <w:snapToGrid w:val="0"/>
          <w:sz w:val="32"/>
          <w:szCs w:val="32"/>
        </w:rPr>
      </w:pPr>
      <w:r>
        <w:rPr>
          <w:b/>
          <w:snapToGrid w:val="0"/>
          <w:sz w:val="32"/>
          <w:szCs w:val="32"/>
        </w:rPr>
        <w:t>目录</w:t>
      </w:r>
      <w:bookmarkEnd w:id="0"/>
    </w:p>
    <w:p w14:paraId="13F7FB13">
      <w:pPr>
        <w:pStyle w:val="15"/>
        <w:rPr>
          <w:rFonts w:asciiTheme="minorHAnsi" w:hAnsiTheme="minorHAnsi" w:eastAsiaTheme="minorEastAsia" w:cstheme="minorBidi"/>
          <w:sz w:val="21"/>
          <w:lang w:val="en-US"/>
        </w:rPr>
      </w:pPr>
      <w:r>
        <w:rPr>
          <w:snapToGrid w:val="0"/>
          <w:szCs w:val="28"/>
        </w:rPr>
        <w:fldChar w:fldCharType="begin"/>
      </w:r>
      <w:r>
        <w:rPr>
          <w:snapToGrid w:val="0"/>
          <w:szCs w:val="28"/>
        </w:rPr>
        <w:instrText xml:space="preserve"> </w:instrText>
      </w:r>
      <w:r>
        <w:rPr>
          <w:rFonts w:hint="eastAsia"/>
          <w:snapToGrid w:val="0"/>
          <w:szCs w:val="28"/>
        </w:rPr>
        <w:instrText xml:space="preserve">TOC \o "1-1" \h \z \u</w:instrText>
      </w:r>
      <w:r>
        <w:rPr>
          <w:snapToGrid w:val="0"/>
          <w:szCs w:val="28"/>
        </w:rPr>
        <w:instrText xml:space="preserve"> </w:instrText>
      </w:r>
      <w:r>
        <w:rPr>
          <w:snapToGrid w:val="0"/>
          <w:szCs w:val="28"/>
        </w:rPr>
        <w:fldChar w:fldCharType="separate"/>
      </w:r>
      <w:r>
        <w:fldChar w:fldCharType="begin"/>
      </w:r>
      <w:r>
        <w:instrText xml:space="preserve"> HYPERLINK \l "_Toc477515072" </w:instrText>
      </w:r>
      <w:r>
        <w:fldChar w:fldCharType="separate"/>
      </w:r>
      <w:r>
        <w:rPr>
          <w:rStyle w:val="27"/>
          <w:b/>
          <w:snapToGrid w:val="0"/>
          <w:lang w:bidi="zh-CN"/>
        </w:rPr>
        <w:t>1.</w:t>
      </w:r>
      <w:r>
        <w:rPr>
          <w:rFonts w:asciiTheme="minorHAnsi" w:hAnsiTheme="minorHAnsi" w:eastAsiaTheme="minorEastAsia" w:cstheme="minorBidi"/>
          <w:sz w:val="21"/>
          <w:lang w:val="en-US"/>
        </w:rPr>
        <w:tab/>
      </w:r>
      <w:r>
        <w:rPr>
          <w:rStyle w:val="27"/>
          <w:rFonts w:hint="eastAsia"/>
          <w:b/>
          <w:snapToGrid w:val="0"/>
          <w:lang w:bidi="zh-CN"/>
        </w:rPr>
        <w:t>前言</w:t>
      </w:r>
      <w:r>
        <w:tab/>
      </w:r>
      <w:r>
        <w:fldChar w:fldCharType="begin"/>
      </w:r>
      <w:r>
        <w:instrText xml:space="preserve"> PAGEREF _Toc477515072 \h </w:instrText>
      </w:r>
      <w:r>
        <w:fldChar w:fldCharType="separate"/>
      </w:r>
      <w:r>
        <w:t>1</w:t>
      </w:r>
      <w:r>
        <w:fldChar w:fldCharType="end"/>
      </w:r>
      <w:r>
        <w:fldChar w:fldCharType="end"/>
      </w:r>
    </w:p>
    <w:p w14:paraId="77FF701E">
      <w:pPr>
        <w:pStyle w:val="15"/>
        <w:rPr>
          <w:rFonts w:asciiTheme="minorHAnsi" w:hAnsiTheme="minorHAnsi" w:eastAsiaTheme="minorEastAsia" w:cstheme="minorBidi"/>
          <w:sz w:val="21"/>
          <w:lang w:val="en-US"/>
        </w:rPr>
      </w:pPr>
      <w:r>
        <w:fldChar w:fldCharType="begin"/>
      </w:r>
      <w:r>
        <w:instrText xml:space="preserve"> HYPERLINK \l "_Toc477515073" </w:instrText>
      </w:r>
      <w:r>
        <w:fldChar w:fldCharType="separate"/>
      </w:r>
      <w:r>
        <w:rPr>
          <w:rStyle w:val="27"/>
          <w:b/>
          <w:snapToGrid w:val="0"/>
          <w:lang w:bidi="zh-CN"/>
        </w:rPr>
        <w:t>2.</w:t>
      </w:r>
      <w:r>
        <w:rPr>
          <w:rFonts w:asciiTheme="minorHAnsi" w:hAnsiTheme="minorHAnsi" w:eastAsiaTheme="minorEastAsia" w:cstheme="minorBidi"/>
          <w:sz w:val="21"/>
          <w:lang w:val="en-US"/>
        </w:rPr>
        <w:tab/>
      </w:r>
      <w:r>
        <w:rPr>
          <w:rStyle w:val="27"/>
          <w:rFonts w:hint="eastAsia"/>
          <w:b/>
          <w:snapToGrid w:val="0"/>
          <w:lang w:bidi="zh-CN"/>
        </w:rPr>
        <w:t>背景</w:t>
      </w:r>
      <w:r>
        <w:tab/>
      </w:r>
      <w:r>
        <w:fldChar w:fldCharType="begin"/>
      </w:r>
      <w:r>
        <w:instrText xml:space="preserve"> PAGEREF _Toc477515073 \h </w:instrText>
      </w:r>
      <w:r>
        <w:fldChar w:fldCharType="separate"/>
      </w:r>
      <w:r>
        <w:t>2</w:t>
      </w:r>
      <w:r>
        <w:fldChar w:fldCharType="end"/>
      </w:r>
      <w:r>
        <w:fldChar w:fldCharType="end"/>
      </w:r>
    </w:p>
    <w:p w14:paraId="3C7FC9F8">
      <w:pPr>
        <w:pStyle w:val="15"/>
        <w:rPr>
          <w:rFonts w:asciiTheme="minorHAnsi" w:hAnsiTheme="minorHAnsi" w:eastAsiaTheme="minorEastAsia" w:cstheme="minorBidi"/>
          <w:sz w:val="21"/>
          <w:lang w:val="en-US"/>
        </w:rPr>
      </w:pPr>
      <w:r>
        <w:fldChar w:fldCharType="begin"/>
      </w:r>
      <w:r>
        <w:instrText xml:space="preserve"> HYPERLINK \l "_Toc477515074" </w:instrText>
      </w:r>
      <w:r>
        <w:fldChar w:fldCharType="separate"/>
      </w:r>
      <w:r>
        <w:rPr>
          <w:rStyle w:val="27"/>
          <w:b/>
          <w:snapToGrid w:val="0"/>
          <w:lang w:bidi="zh-CN"/>
        </w:rPr>
        <w:t>3.</w:t>
      </w:r>
      <w:r>
        <w:rPr>
          <w:rFonts w:asciiTheme="minorHAnsi" w:hAnsiTheme="minorHAnsi" w:eastAsiaTheme="minorEastAsia" w:cstheme="minorBidi"/>
          <w:sz w:val="21"/>
          <w:lang w:val="en-US"/>
        </w:rPr>
        <w:tab/>
      </w:r>
      <w:r>
        <w:rPr>
          <w:rStyle w:val="27"/>
          <w:rFonts w:hint="eastAsia"/>
          <w:b/>
          <w:snapToGrid w:val="0"/>
          <w:lang w:bidi="zh-CN"/>
        </w:rPr>
        <w:t>简化</w:t>
      </w:r>
      <w:r>
        <w:rPr>
          <w:rStyle w:val="27"/>
          <w:b/>
          <w:snapToGrid w:val="0"/>
          <w:lang w:bidi="zh-CN"/>
        </w:rPr>
        <w:t>510</w:t>
      </w:r>
      <w:r>
        <w:rPr>
          <w:rStyle w:val="27"/>
          <w:rFonts w:hint="eastAsia"/>
          <w:b/>
          <w:snapToGrid w:val="0"/>
          <w:lang w:bidi="zh-CN"/>
        </w:rPr>
        <w:t>（</w:t>
      </w:r>
      <w:r>
        <w:rPr>
          <w:rStyle w:val="27"/>
          <w:b/>
          <w:snapToGrid w:val="0"/>
          <w:lang w:bidi="zh-CN"/>
        </w:rPr>
        <w:t>k</w:t>
      </w:r>
      <w:r>
        <w:rPr>
          <w:rStyle w:val="27"/>
          <w:rFonts w:hint="eastAsia"/>
          <w:b/>
          <w:snapToGrid w:val="0"/>
          <w:lang w:bidi="zh-CN"/>
        </w:rPr>
        <w:t>）提交资料的内容和格式</w:t>
      </w:r>
      <w:r>
        <w:tab/>
      </w:r>
      <w:r>
        <w:fldChar w:fldCharType="begin"/>
      </w:r>
      <w:r>
        <w:instrText xml:space="preserve"> PAGEREF _Toc477515074 \h </w:instrText>
      </w:r>
      <w:r>
        <w:fldChar w:fldCharType="separate"/>
      </w:r>
      <w:r>
        <w:t>2</w:t>
      </w:r>
      <w:r>
        <w:fldChar w:fldCharType="end"/>
      </w:r>
      <w:r>
        <w:fldChar w:fldCharType="end"/>
      </w:r>
    </w:p>
    <w:p w14:paraId="45553C0B">
      <w:pPr>
        <w:pStyle w:val="15"/>
        <w:rPr>
          <w:rFonts w:asciiTheme="minorHAnsi" w:hAnsiTheme="minorHAnsi" w:eastAsiaTheme="minorEastAsia" w:cstheme="minorBidi"/>
          <w:sz w:val="21"/>
          <w:lang w:val="en-US"/>
        </w:rPr>
      </w:pPr>
      <w:r>
        <w:fldChar w:fldCharType="begin"/>
      </w:r>
      <w:r>
        <w:instrText xml:space="preserve"> HYPERLINK \l "_Toc477515075" </w:instrText>
      </w:r>
      <w:r>
        <w:fldChar w:fldCharType="separate"/>
      </w:r>
      <w:r>
        <w:rPr>
          <w:rStyle w:val="27"/>
          <w:b/>
          <w:snapToGrid w:val="0"/>
          <w:lang w:bidi="zh-CN"/>
        </w:rPr>
        <w:t>4.</w:t>
      </w:r>
      <w:r>
        <w:rPr>
          <w:rFonts w:asciiTheme="minorHAnsi" w:hAnsiTheme="minorHAnsi" w:eastAsiaTheme="minorEastAsia" w:cstheme="minorBidi"/>
          <w:sz w:val="21"/>
          <w:lang w:val="en-US"/>
        </w:rPr>
        <w:tab/>
      </w:r>
      <w:r>
        <w:rPr>
          <w:rStyle w:val="27"/>
          <w:rFonts w:hint="eastAsia"/>
          <w:b/>
          <w:snapToGrid w:val="0"/>
          <w:lang w:bidi="zh-CN"/>
        </w:rPr>
        <w:t>范围</w:t>
      </w:r>
      <w:r>
        <w:tab/>
      </w:r>
      <w:r>
        <w:fldChar w:fldCharType="begin"/>
      </w:r>
      <w:r>
        <w:instrText xml:space="preserve"> PAGEREF _Toc477515075 \h </w:instrText>
      </w:r>
      <w:r>
        <w:fldChar w:fldCharType="separate"/>
      </w:r>
      <w:r>
        <w:t>4</w:t>
      </w:r>
      <w:r>
        <w:fldChar w:fldCharType="end"/>
      </w:r>
      <w:r>
        <w:fldChar w:fldCharType="end"/>
      </w:r>
    </w:p>
    <w:p w14:paraId="4C9EBD0F">
      <w:pPr>
        <w:pStyle w:val="15"/>
        <w:rPr>
          <w:rFonts w:asciiTheme="minorHAnsi" w:hAnsiTheme="minorHAnsi" w:eastAsiaTheme="minorEastAsia" w:cstheme="minorBidi"/>
          <w:sz w:val="21"/>
          <w:lang w:val="en-US"/>
        </w:rPr>
      </w:pPr>
      <w:r>
        <w:fldChar w:fldCharType="begin"/>
      </w:r>
      <w:r>
        <w:instrText xml:space="preserve"> HYPERLINK \l "_Toc477515076" </w:instrText>
      </w:r>
      <w:r>
        <w:fldChar w:fldCharType="separate"/>
      </w:r>
      <w:r>
        <w:rPr>
          <w:rStyle w:val="27"/>
          <w:b/>
          <w:snapToGrid w:val="0"/>
          <w:lang w:bidi="zh-CN"/>
        </w:rPr>
        <w:t>5.</w:t>
      </w:r>
      <w:r>
        <w:rPr>
          <w:rFonts w:asciiTheme="minorHAnsi" w:hAnsiTheme="minorHAnsi" w:eastAsiaTheme="minorEastAsia" w:cstheme="minorBidi"/>
          <w:sz w:val="21"/>
          <w:lang w:val="en-US"/>
        </w:rPr>
        <w:tab/>
      </w:r>
      <w:r>
        <w:rPr>
          <w:rStyle w:val="27"/>
          <w:rFonts w:hint="eastAsia"/>
          <w:b/>
          <w:snapToGrid w:val="0"/>
          <w:lang w:bidi="zh-CN"/>
        </w:rPr>
        <w:t>健康风险</w:t>
      </w:r>
      <w:r>
        <w:tab/>
      </w:r>
      <w:r>
        <w:fldChar w:fldCharType="begin"/>
      </w:r>
      <w:r>
        <w:instrText xml:space="preserve"> PAGEREF _Toc477515076 \h </w:instrText>
      </w:r>
      <w:r>
        <w:fldChar w:fldCharType="separate"/>
      </w:r>
      <w:r>
        <w:t>5</w:t>
      </w:r>
      <w:r>
        <w:fldChar w:fldCharType="end"/>
      </w:r>
      <w:r>
        <w:fldChar w:fldCharType="end"/>
      </w:r>
    </w:p>
    <w:p w14:paraId="7E749F6D">
      <w:pPr>
        <w:pStyle w:val="15"/>
        <w:rPr>
          <w:rFonts w:asciiTheme="minorHAnsi" w:hAnsiTheme="minorHAnsi" w:eastAsiaTheme="minorEastAsia" w:cstheme="minorBidi"/>
          <w:sz w:val="21"/>
          <w:lang w:val="en-US"/>
        </w:rPr>
      </w:pPr>
      <w:r>
        <w:fldChar w:fldCharType="begin"/>
      </w:r>
      <w:r>
        <w:instrText xml:space="preserve"> HYPERLINK \l "_Toc477515077" </w:instrText>
      </w:r>
      <w:r>
        <w:fldChar w:fldCharType="separate"/>
      </w:r>
      <w:r>
        <w:rPr>
          <w:rStyle w:val="27"/>
          <w:b/>
          <w:snapToGrid w:val="0"/>
          <w:lang w:bidi="zh-CN"/>
        </w:rPr>
        <w:t>6.</w:t>
      </w:r>
      <w:r>
        <w:rPr>
          <w:rFonts w:asciiTheme="minorHAnsi" w:hAnsiTheme="minorHAnsi" w:eastAsiaTheme="minorEastAsia" w:cstheme="minorBidi"/>
          <w:sz w:val="21"/>
          <w:lang w:val="en-US"/>
        </w:rPr>
        <w:tab/>
      </w:r>
      <w:r>
        <w:rPr>
          <w:rStyle w:val="27"/>
          <w:rFonts w:hint="eastAsia"/>
          <w:b/>
          <w:snapToGrid w:val="0"/>
          <w:lang w:bidi="zh-CN"/>
        </w:rPr>
        <w:t>性能特征</w:t>
      </w:r>
      <w:r>
        <w:tab/>
      </w:r>
      <w:r>
        <w:fldChar w:fldCharType="begin"/>
      </w:r>
      <w:r>
        <w:instrText xml:space="preserve"> PAGEREF _Toc477515077 \h </w:instrText>
      </w:r>
      <w:r>
        <w:fldChar w:fldCharType="separate"/>
      </w:r>
      <w:r>
        <w:t>5</w:t>
      </w:r>
      <w:r>
        <w:fldChar w:fldCharType="end"/>
      </w:r>
      <w:r>
        <w:fldChar w:fldCharType="end"/>
      </w:r>
    </w:p>
    <w:p w14:paraId="024AFBFC">
      <w:pPr>
        <w:pStyle w:val="15"/>
        <w:rPr>
          <w:rFonts w:asciiTheme="minorHAnsi" w:hAnsiTheme="minorHAnsi" w:eastAsiaTheme="minorEastAsia" w:cstheme="minorBidi"/>
          <w:sz w:val="21"/>
          <w:lang w:val="en-US"/>
        </w:rPr>
      </w:pPr>
      <w:r>
        <w:fldChar w:fldCharType="begin"/>
      </w:r>
      <w:r>
        <w:instrText xml:space="preserve"> HYPERLINK \l "_Toc477515078" </w:instrText>
      </w:r>
      <w:r>
        <w:fldChar w:fldCharType="separate"/>
      </w:r>
      <w:r>
        <w:rPr>
          <w:rStyle w:val="27"/>
          <w:b/>
          <w:snapToGrid w:val="0"/>
          <w:lang w:bidi="zh-CN"/>
        </w:rPr>
        <w:t>7.</w:t>
      </w:r>
      <w:r>
        <w:rPr>
          <w:rFonts w:asciiTheme="minorHAnsi" w:hAnsiTheme="minorHAnsi" w:eastAsiaTheme="minorEastAsia" w:cstheme="minorBidi"/>
          <w:sz w:val="21"/>
          <w:lang w:val="en-US"/>
        </w:rPr>
        <w:tab/>
      </w:r>
      <w:r>
        <w:rPr>
          <w:rStyle w:val="27"/>
          <w:rFonts w:hint="eastAsia"/>
          <w:b/>
          <w:snapToGrid w:val="0"/>
          <w:lang w:bidi="zh-CN"/>
        </w:rPr>
        <w:t>方法比较</w:t>
      </w:r>
      <w:r>
        <w:tab/>
      </w:r>
      <w:r>
        <w:fldChar w:fldCharType="begin"/>
      </w:r>
      <w:r>
        <w:instrText xml:space="preserve"> PAGEREF _Toc477515078 \h </w:instrText>
      </w:r>
      <w:r>
        <w:fldChar w:fldCharType="separate"/>
      </w:r>
      <w:r>
        <w:t>9</w:t>
      </w:r>
      <w:r>
        <w:fldChar w:fldCharType="end"/>
      </w:r>
      <w:r>
        <w:fldChar w:fldCharType="end"/>
      </w:r>
    </w:p>
    <w:p w14:paraId="055E55F4">
      <w:pPr>
        <w:pStyle w:val="15"/>
        <w:rPr>
          <w:rFonts w:asciiTheme="minorHAnsi" w:hAnsiTheme="minorHAnsi" w:eastAsiaTheme="minorEastAsia" w:cstheme="minorBidi"/>
          <w:sz w:val="21"/>
          <w:lang w:val="en-US"/>
        </w:rPr>
      </w:pPr>
      <w:r>
        <w:fldChar w:fldCharType="begin"/>
      </w:r>
      <w:r>
        <w:instrText xml:space="preserve"> HYPERLINK \l "_Toc477515079" </w:instrText>
      </w:r>
      <w:r>
        <w:fldChar w:fldCharType="separate"/>
      </w:r>
      <w:r>
        <w:rPr>
          <w:rStyle w:val="27"/>
          <w:b/>
          <w:snapToGrid w:val="0"/>
          <w:lang w:bidi="zh-CN"/>
        </w:rPr>
        <w:t>8.</w:t>
      </w:r>
      <w:r>
        <w:rPr>
          <w:rFonts w:asciiTheme="minorHAnsi" w:hAnsiTheme="minorHAnsi" w:eastAsiaTheme="minorEastAsia" w:cstheme="minorBidi"/>
          <w:sz w:val="21"/>
          <w:lang w:val="en-US"/>
        </w:rPr>
        <w:tab/>
      </w:r>
      <w:r>
        <w:rPr>
          <w:rStyle w:val="27"/>
          <w:rFonts w:hint="eastAsia"/>
          <w:b/>
          <w:snapToGrid w:val="0"/>
          <w:lang w:bidi="zh-CN"/>
        </w:rPr>
        <w:t>标签</w:t>
      </w:r>
      <w:r>
        <w:tab/>
      </w:r>
      <w:r>
        <w:fldChar w:fldCharType="begin"/>
      </w:r>
      <w:r>
        <w:instrText xml:space="preserve"> PAGEREF _Toc477515079 \h </w:instrText>
      </w:r>
      <w:r>
        <w:fldChar w:fldCharType="separate"/>
      </w:r>
      <w:r>
        <w:t>10</w:t>
      </w:r>
      <w:r>
        <w:fldChar w:fldCharType="end"/>
      </w:r>
      <w:r>
        <w:fldChar w:fldCharType="end"/>
      </w:r>
    </w:p>
    <w:p w14:paraId="395D8200">
      <w:pPr>
        <w:spacing w:before="187"/>
        <w:rPr>
          <w:snapToGrid w:val="0"/>
          <w:szCs w:val="28"/>
        </w:rPr>
      </w:pPr>
      <w:r>
        <w:rPr>
          <w:b/>
          <w:snapToGrid w:val="0"/>
          <w:szCs w:val="28"/>
        </w:rPr>
        <w:fldChar w:fldCharType="end"/>
      </w:r>
    </w:p>
    <w:p w14:paraId="5C9854D7">
      <w:pPr>
        <w:spacing w:before="187"/>
        <w:rPr>
          <w:snapToGrid w:val="0"/>
        </w:rPr>
      </w:pPr>
    </w:p>
    <w:p w14:paraId="149355D7">
      <w:pPr>
        <w:spacing w:before="187"/>
        <w:rPr>
          <w:snapToGrid w:val="0"/>
        </w:rPr>
        <w:sectPr>
          <w:footerReference r:id="rId11" w:type="default"/>
          <w:pgSz w:w="11906" w:h="16838"/>
          <w:pgMar w:top="1418" w:right="1418" w:bottom="1418" w:left="1418" w:header="720" w:footer="720" w:gutter="0"/>
          <w:cols w:space="425" w:num="1"/>
          <w:docGrid w:type="lines" w:linePitch="312" w:charSpace="0"/>
        </w:sectPr>
      </w:pPr>
    </w:p>
    <w:p w14:paraId="5D49D951">
      <w:pPr>
        <w:pBdr>
          <w:bottom w:val="single" w:color="auto" w:sz="4" w:space="1"/>
        </w:pBdr>
        <w:spacing w:before="187"/>
        <w:jc w:val="center"/>
        <w:rPr>
          <w:b/>
          <w:snapToGrid w:val="0"/>
          <w:sz w:val="44"/>
          <w:szCs w:val="44"/>
          <w:shd w:val="clear" w:color="auto" w:fill="FFFFFF"/>
        </w:rPr>
      </w:pPr>
      <w:r>
        <w:rPr>
          <w:rFonts w:hint="eastAsia"/>
          <w:b/>
          <w:snapToGrid w:val="0"/>
          <w:sz w:val="44"/>
          <w:szCs w:val="44"/>
          <w:shd w:val="clear" w:color="auto" w:fill="FFFFFF"/>
        </w:rPr>
        <w:t>行业和</w:t>
      </w:r>
      <w:r>
        <w:rPr>
          <w:b/>
          <w:snapToGrid w:val="0"/>
          <w:sz w:val="44"/>
          <w:szCs w:val="44"/>
          <w:shd w:val="clear" w:color="auto" w:fill="FFFFFF"/>
        </w:rPr>
        <w:t>FDA</w:t>
      </w:r>
      <w:r>
        <w:rPr>
          <w:rFonts w:hint="eastAsia"/>
          <w:b/>
          <w:snapToGrid w:val="0"/>
          <w:sz w:val="44"/>
          <w:szCs w:val="44"/>
          <w:shd w:val="clear" w:color="auto" w:fill="FFFFFF"/>
        </w:rPr>
        <w:t>工作人员指南</w:t>
      </w:r>
    </w:p>
    <w:p w14:paraId="50F40AFA">
      <w:pPr>
        <w:spacing w:before="187"/>
        <w:rPr>
          <w:snapToGrid w:val="0"/>
          <w:szCs w:val="28"/>
        </w:rPr>
      </w:pPr>
    </w:p>
    <w:p w14:paraId="6035D642">
      <w:pPr>
        <w:spacing w:before="187"/>
        <w:jc w:val="center"/>
        <w:rPr>
          <w:b/>
          <w:snapToGrid w:val="0"/>
          <w:sz w:val="44"/>
          <w:szCs w:val="44"/>
          <w:shd w:val="clear" w:color="auto" w:fill="FFFFFF"/>
        </w:rPr>
      </w:pPr>
      <w:r>
        <w:rPr>
          <w:b/>
          <w:snapToGrid w:val="0"/>
          <w:sz w:val="44"/>
          <w:szCs w:val="44"/>
        </w:rPr>
        <w:t>血凝</w:t>
      </w:r>
      <w:r>
        <w:rPr>
          <w:b/>
          <w:snapToGrid w:val="0"/>
          <w:sz w:val="44"/>
          <w:szCs w:val="44"/>
          <w:shd w:val="clear" w:color="auto" w:fill="FFFFFF"/>
        </w:rPr>
        <w:t>分析仪</w:t>
      </w:r>
      <w:r>
        <w:rPr>
          <w:rFonts w:hint="eastAsia"/>
          <w:b/>
          <w:snapToGrid w:val="0"/>
          <w:sz w:val="44"/>
          <w:szCs w:val="44"/>
          <w:shd w:val="clear" w:color="auto" w:fill="FFFFFF"/>
        </w:rPr>
        <w:t>的510（k）提交资料</w:t>
      </w:r>
    </w:p>
    <w:p w14:paraId="341C8A7A">
      <w:pPr>
        <w:spacing w:before="187"/>
        <w:rPr>
          <w:snapToGrid w:val="0"/>
        </w:rPr>
      </w:pPr>
    </w:p>
    <w:tbl>
      <w:tblPr>
        <w:tblStyle w:val="23"/>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86"/>
      </w:tblGrid>
      <w:tr w14:paraId="0440EF4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286" w:type="dxa"/>
          </w:tcPr>
          <w:p w14:paraId="0605791B">
            <w:pPr>
              <w:spacing w:before="187"/>
              <w:rPr>
                <w:snapToGrid w:val="0"/>
              </w:rPr>
            </w:pPr>
            <w:r>
              <w:rPr>
                <w:rFonts w:hint="eastAsia"/>
                <w:snapToGrid w:val="0"/>
                <w:shd w:val="clear" w:color="auto" w:fill="FFFFFF"/>
              </w:rPr>
              <w:t>本指南代表</w:t>
            </w:r>
            <w:r>
              <w:rPr>
                <w:snapToGrid w:val="0"/>
              </w:rPr>
              <w:t>食品药品监督管理局（</w:t>
            </w:r>
            <w:r>
              <w:rPr>
                <w:rFonts w:hint="eastAsia"/>
                <w:snapToGrid w:val="0"/>
                <w:shd w:val="clear" w:color="auto" w:fill="FFFFFF"/>
              </w:rPr>
              <w:t>FDA</w:t>
            </w:r>
            <w:r>
              <w:rPr>
                <w:rFonts w:hint="eastAsia"/>
                <w:snapToGrid w:val="0"/>
              </w:rPr>
              <w:t>）关于本主题的当前见解。其不会为任何人创造或赋予任何权利，也不对FDA或公众具有约束力。如果替代方法满足适用的法律、法规或其两者的要求，可以使用替代方法。</w:t>
            </w:r>
            <w:r>
              <w:rPr>
                <w:snapToGrid w:val="0"/>
                <w:shd w:val="clear" w:color="auto" w:fill="FFFFFF"/>
              </w:rPr>
              <w:t>如果贵公司</w:t>
            </w:r>
            <w:r>
              <w:rPr>
                <w:rFonts w:hint="eastAsia"/>
                <w:snapToGrid w:val="0"/>
                <w:shd w:val="clear" w:color="auto" w:fill="FFFFFF"/>
              </w:rPr>
              <w:t>想</w:t>
            </w:r>
            <w:r>
              <w:rPr>
                <w:snapToGrid w:val="0"/>
                <w:shd w:val="clear" w:color="auto" w:fill="FFFFFF"/>
              </w:rPr>
              <w:t>讨论替代的方法，请联系</w:t>
            </w:r>
            <w:r>
              <w:rPr>
                <w:rFonts w:hint="eastAsia"/>
                <w:snapToGrid w:val="0"/>
                <w:shd w:val="clear" w:color="auto" w:fill="FFFFFF"/>
              </w:rPr>
              <w:t>负责实施本指南的</w:t>
            </w:r>
            <w:r>
              <w:rPr>
                <w:snapToGrid w:val="0"/>
                <w:shd w:val="clear" w:color="auto" w:fill="FFFFFF"/>
              </w:rPr>
              <w:t>FDA工作人员</w:t>
            </w:r>
            <w:r>
              <w:rPr>
                <w:rFonts w:hint="eastAsia"/>
                <w:snapToGrid w:val="0"/>
                <w:shd w:val="clear" w:color="auto" w:fill="FFFFFF"/>
              </w:rPr>
              <w:t>。</w:t>
            </w:r>
            <w:r>
              <w:rPr>
                <w:snapToGrid w:val="0"/>
                <w:shd w:val="clear" w:color="auto" w:fill="FFFFFF"/>
              </w:rPr>
              <w:t>如果贵公司不能确定合适的FDA工作人员，</w:t>
            </w:r>
            <w:r>
              <w:rPr>
                <w:rFonts w:hint="eastAsia"/>
                <w:snapToGrid w:val="0"/>
                <w:shd w:val="clear" w:color="auto" w:fill="FFFFFF"/>
              </w:rPr>
              <w:t>请拔打本指南封面页上列出的适当电话号码。</w:t>
            </w:r>
          </w:p>
        </w:tc>
      </w:tr>
    </w:tbl>
    <w:p w14:paraId="53E72A1B">
      <w:pPr>
        <w:spacing w:before="187"/>
        <w:rPr>
          <w:snapToGrid w:val="0"/>
        </w:rPr>
      </w:pPr>
    </w:p>
    <w:p w14:paraId="7AF68399">
      <w:pPr>
        <w:pStyle w:val="42"/>
        <w:numPr>
          <w:ilvl w:val="0"/>
          <w:numId w:val="3"/>
        </w:numPr>
        <w:spacing w:before="312" w:beforeLines="100" w:after="156" w:afterLines="50"/>
        <w:ind w:left="602" w:hanging="602" w:hangingChars="200"/>
        <w:outlineLvl w:val="0"/>
        <w:rPr>
          <w:b/>
          <w:snapToGrid w:val="0"/>
          <w:sz w:val="30"/>
          <w:szCs w:val="30"/>
        </w:rPr>
      </w:pPr>
      <w:bookmarkStart w:id="2" w:name="_Toc476057304"/>
      <w:bookmarkStart w:id="3" w:name="_Toc477515072"/>
      <w:r>
        <w:rPr>
          <w:b/>
          <w:snapToGrid w:val="0"/>
          <w:sz w:val="30"/>
          <w:szCs w:val="30"/>
        </w:rPr>
        <w:t>前言</w:t>
      </w:r>
      <w:bookmarkEnd w:id="2"/>
      <w:bookmarkEnd w:id="3"/>
    </w:p>
    <w:p w14:paraId="04D380DA">
      <w:pPr>
        <w:spacing w:before="187"/>
        <w:rPr>
          <w:snapToGrid w:val="0"/>
        </w:rPr>
      </w:pPr>
      <w:r>
        <w:rPr>
          <w:snapToGrid w:val="0"/>
        </w:rPr>
        <w:t>FDA制定本指导性文件草案，用于协助企业准备基于实验室的血凝</w:t>
      </w:r>
      <w:r>
        <w:rPr>
          <w:rFonts w:hint="eastAsia"/>
          <w:snapToGrid w:val="0"/>
        </w:rPr>
        <w:t>试验</w:t>
      </w:r>
      <w:r>
        <w:rPr>
          <w:snapToGrid w:val="0"/>
        </w:rPr>
        <w:t>系统</w:t>
      </w:r>
      <w:r>
        <w:rPr>
          <w:snapToGrid w:val="0"/>
          <w:shd w:val="clear" w:color="auto" w:fill="FFFFFF"/>
        </w:rPr>
        <w:t>仪器</w:t>
      </w:r>
      <w:r>
        <w:rPr>
          <w:snapToGrid w:val="0"/>
        </w:rPr>
        <w:t>组件的上市前通告提交资料510（k）。FDA</w:t>
      </w:r>
      <w:r>
        <w:rPr>
          <w:rFonts w:hint="eastAsia"/>
          <w:snapToGrid w:val="0"/>
        </w:rPr>
        <w:t>认识到</w:t>
      </w:r>
      <w:r>
        <w:rPr>
          <w:snapToGrid w:val="0"/>
        </w:rPr>
        <w:t>一次提交资料</w:t>
      </w:r>
      <w:r>
        <w:rPr>
          <w:rFonts w:hint="eastAsia"/>
          <w:snapToGrid w:val="0"/>
        </w:rPr>
        <w:t>可</w:t>
      </w:r>
      <w:r>
        <w:rPr>
          <w:snapToGrid w:val="0"/>
        </w:rPr>
        <w:t>合理评价多个化验或试剂（参见</w:t>
      </w:r>
      <w:r>
        <w:rPr>
          <w:rFonts w:ascii="宋体" w:hAnsi="宋体"/>
          <w:snapToGrid w:val="0"/>
        </w:rPr>
        <w:t>“</w:t>
      </w:r>
      <w:r>
        <w:rPr>
          <w:snapToGrid w:val="0"/>
        </w:rPr>
        <w:t>评估使用费：</w:t>
      </w:r>
      <w:r>
        <w:rPr>
          <w:snapToGrid w:val="0"/>
          <w:shd w:val="clear" w:color="auto" w:fill="FFFFFF"/>
        </w:rPr>
        <w:t>PMA补充定义、模块化的PMA费、BLA和有效性补充定义、</w:t>
      </w:r>
      <w:r>
        <w:rPr>
          <w:rFonts w:hint="eastAsia"/>
          <w:snapToGrid w:val="0"/>
          <w:shd w:val="clear" w:color="auto" w:fill="FFFFFF"/>
        </w:rPr>
        <w:t>单一</w:t>
      </w:r>
      <w:r>
        <w:rPr>
          <w:snapToGrid w:val="0"/>
          <w:shd w:val="clear" w:color="auto" w:fill="FFFFFF"/>
        </w:rPr>
        <w:t>应用</w:t>
      </w:r>
      <w:r>
        <w:rPr>
          <w:rFonts w:hint="eastAsia"/>
          <w:snapToGrid w:val="0"/>
          <w:shd w:val="clear" w:color="auto" w:fill="FFFFFF"/>
        </w:rPr>
        <w:t>的</w:t>
      </w:r>
      <w:r>
        <w:rPr>
          <w:snapToGrid w:val="0"/>
          <w:shd w:val="clear" w:color="auto" w:fill="FFFFFF"/>
        </w:rPr>
        <w:t>多个器械结合和组合产品费用；行业和</w:t>
      </w:r>
      <w:r>
        <w:rPr>
          <w:snapToGrid w:val="0"/>
        </w:rPr>
        <w:t>FDA</w:t>
      </w:r>
      <w:r>
        <w:rPr>
          <w:snapToGrid w:val="0"/>
          <w:shd w:val="clear" w:color="auto" w:fill="FFFFFF"/>
        </w:rPr>
        <w:t>指南</w:t>
      </w:r>
      <w:r>
        <w:rPr>
          <w:rStyle w:val="29"/>
          <w:snapToGrid w:val="0"/>
          <w:shd w:val="clear" w:color="auto" w:fill="FFFFFF"/>
        </w:rPr>
        <w:footnoteReference w:id="0"/>
      </w:r>
      <w:r>
        <w:rPr>
          <w:rFonts w:ascii="宋体" w:hAnsi="宋体"/>
          <w:snapToGrid w:val="0"/>
        </w:rPr>
        <w:t>”</w:t>
      </w:r>
      <w:r>
        <w:rPr>
          <w:snapToGrid w:val="0"/>
        </w:rPr>
        <w:t>）。为了符合政策，我们建议贵公司在下列情况下提交一份申请：</w:t>
      </w:r>
    </w:p>
    <w:p w14:paraId="3227936D">
      <w:pPr>
        <w:pStyle w:val="42"/>
        <w:numPr>
          <w:ilvl w:val="0"/>
          <w:numId w:val="4"/>
        </w:numPr>
        <w:spacing w:before="187"/>
        <w:ind w:left="960" w:leftChars="200" w:hanging="480" w:hangingChars="200"/>
        <w:rPr>
          <w:snapToGrid w:val="0"/>
        </w:rPr>
      </w:pPr>
      <w:r>
        <w:rPr>
          <w:snapToGrid w:val="0"/>
          <w:shd w:val="clear" w:color="auto" w:fill="FFFFFF"/>
        </w:rPr>
        <w:t>使用新的化验或试剂系统的新仪器，或</w:t>
      </w:r>
    </w:p>
    <w:p w14:paraId="2818E9B5">
      <w:pPr>
        <w:pStyle w:val="42"/>
        <w:numPr>
          <w:ilvl w:val="0"/>
          <w:numId w:val="4"/>
        </w:numPr>
        <w:spacing w:before="187"/>
        <w:ind w:left="960" w:leftChars="200" w:hanging="480" w:hangingChars="200"/>
        <w:rPr>
          <w:snapToGrid w:val="0"/>
        </w:rPr>
      </w:pPr>
      <w:r>
        <w:rPr>
          <w:snapToGrid w:val="0"/>
          <w:shd w:val="clear" w:color="auto" w:fill="FFFFFF"/>
        </w:rPr>
        <w:t>使用</w:t>
      </w:r>
      <w:r>
        <w:rPr>
          <w:rFonts w:hint="eastAsia"/>
          <w:snapToGrid w:val="0"/>
          <w:shd w:val="clear" w:color="auto" w:fill="FFFFFF"/>
        </w:rPr>
        <w:t>以前许可</w:t>
      </w:r>
      <w:r>
        <w:rPr>
          <w:snapToGrid w:val="0"/>
          <w:shd w:val="clear" w:color="auto" w:fill="FFFFFF"/>
        </w:rPr>
        <w:t>的化验或试剂系统的新仪器</w:t>
      </w:r>
      <w:r>
        <w:rPr>
          <w:rFonts w:hint="eastAsia"/>
          <w:snapToGrid w:val="0"/>
          <w:shd w:val="clear" w:color="auto" w:fill="FFFFFF"/>
        </w:rPr>
        <w:t>，或</w:t>
      </w:r>
    </w:p>
    <w:p w14:paraId="14678EE4">
      <w:pPr>
        <w:pStyle w:val="42"/>
        <w:numPr>
          <w:ilvl w:val="0"/>
          <w:numId w:val="4"/>
        </w:numPr>
        <w:spacing w:before="187"/>
        <w:ind w:left="960" w:leftChars="200" w:hanging="480" w:hangingChars="200"/>
        <w:rPr>
          <w:snapToGrid w:val="0"/>
        </w:rPr>
      </w:pPr>
      <w:r>
        <w:rPr>
          <w:snapToGrid w:val="0"/>
          <w:shd w:val="clear" w:color="auto" w:fill="FFFFFF"/>
        </w:rPr>
        <w:t>使用新的化验或试剂系统</w:t>
      </w:r>
      <w:r>
        <w:rPr>
          <w:rFonts w:hint="eastAsia"/>
          <w:snapToGrid w:val="0"/>
          <w:shd w:val="clear" w:color="auto" w:fill="FFFFFF"/>
        </w:rPr>
        <w:t>的先前许可的仪器。</w:t>
      </w:r>
    </w:p>
    <w:p w14:paraId="4FC78207">
      <w:pPr>
        <w:spacing w:before="187"/>
        <w:rPr>
          <w:snapToGrid w:val="0"/>
          <w:shd w:val="clear" w:color="auto" w:fill="FFFFFF"/>
        </w:rPr>
      </w:pPr>
      <w:r>
        <w:rPr>
          <w:snapToGrid w:val="0"/>
        </w:rPr>
        <w:t>FDA</w:t>
      </w:r>
      <w:r>
        <w:rPr>
          <w:snapToGrid w:val="0"/>
          <w:shd w:val="clear" w:color="auto" w:fill="FFFFFF"/>
        </w:rPr>
        <w:t>指导性文件</w:t>
      </w:r>
      <w:r>
        <w:rPr>
          <w:rFonts w:hint="eastAsia"/>
          <w:snapToGrid w:val="0"/>
          <w:shd w:val="clear" w:color="auto" w:fill="FFFFFF"/>
        </w:rPr>
        <w:t>，</w:t>
      </w:r>
      <w:r>
        <w:rPr>
          <w:snapToGrid w:val="0"/>
          <w:shd w:val="clear" w:color="auto" w:fill="FFFFFF"/>
        </w:rPr>
        <w:t>包括本指南</w:t>
      </w:r>
      <w:r>
        <w:rPr>
          <w:rFonts w:hint="eastAsia"/>
          <w:snapToGrid w:val="0"/>
          <w:shd w:val="clear" w:color="auto" w:fill="FFFFFF"/>
        </w:rPr>
        <w:t>，</w:t>
      </w:r>
      <w:r>
        <w:rPr>
          <w:snapToGrid w:val="0"/>
          <w:shd w:val="clear" w:color="auto" w:fill="FFFFFF"/>
        </w:rPr>
        <w:t>并不具备法规强制性。相反，</w:t>
      </w:r>
      <w:r>
        <w:rPr>
          <w:rFonts w:hint="eastAsia"/>
          <w:snapToGrid w:val="0"/>
          <w:shd w:val="clear" w:color="auto" w:fill="FFFFFF"/>
        </w:rPr>
        <w:t>若无</w:t>
      </w:r>
      <w:r>
        <w:rPr>
          <w:snapToGrid w:val="0"/>
          <w:shd w:val="clear" w:color="auto" w:fill="FFFFFF"/>
        </w:rPr>
        <w:t>引用特定的法规或法定要求</w:t>
      </w:r>
      <w:r>
        <w:rPr>
          <w:rFonts w:hint="eastAsia"/>
          <w:snapToGrid w:val="0"/>
          <w:shd w:val="clear" w:color="auto" w:fill="FFFFFF"/>
        </w:rPr>
        <w:t>，</w:t>
      </w:r>
      <w:r>
        <w:rPr>
          <w:snapToGrid w:val="0"/>
          <w:shd w:val="clear" w:color="auto" w:fill="FFFFFF"/>
        </w:rPr>
        <w:t>指南描述部门关于主题的当前见解，应仅将其视为建议。部门指南中使用</w:t>
      </w:r>
      <w:r>
        <w:rPr>
          <w:rFonts w:hint="eastAsia" w:ascii="宋体" w:hAnsi="宋体"/>
          <w:snapToGrid w:val="0"/>
          <w:shd w:val="clear" w:color="auto" w:fill="FFFFFF"/>
        </w:rPr>
        <w:t>“</w:t>
      </w:r>
      <w:r>
        <w:rPr>
          <w:snapToGrid w:val="0"/>
          <w:shd w:val="clear" w:color="auto" w:fill="FFFFFF"/>
        </w:rPr>
        <w:t>应当</w:t>
      </w:r>
      <w:r>
        <w:rPr>
          <w:rFonts w:hint="eastAsia" w:ascii="宋体" w:hAnsi="宋体"/>
          <w:snapToGrid w:val="0"/>
          <w:shd w:val="clear" w:color="auto" w:fill="FFFFFF"/>
        </w:rPr>
        <w:t>”</w:t>
      </w:r>
      <w:r>
        <w:rPr>
          <w:snapToGrid w:val="0"/>
          <w:shd w:val="clear" w:color="auto" w:fill="FFFFFF"/>
        </w:rPr>
        <w:t>一词，意味着某事是建议或推荐，而非强制要求。</w:t>
      </w:r>
    </w:p>
    <w:p w14:paraId="38698356">
      <w:pPr>
        <w:spacing w:before="187"/>
        <w:rPr>
          <w:b/>
          <w:snapToGrid w:val="0"/>
          <w:sz w:val="28"/>
          <w:szCs w:val="28"/>
          <w:shd w:val="clear" w:color="auto" w:fill="FFFFFF"/>
        </w:rPr>
      </w:pPr>
      <w:r>
        <w:rPr>
          <w:rFonts w:hint="eastAsia"/>
          <w:b/>
          <w:snapToGrid w:val="0"/>
          <w:sz w:val="28"/>
          <w:szCs w:val="28"/>
          <w:shd w:val="clear" w:color="auto" w:fill="FFFFFF"/>
        </w:rPr>
        <w:t>最小负担方法</w:t>
      </w:r>
    </w:p>
    <w:p w14:paraId="739F074F">
      <w:pPr>
        <w:spacing w:before="187"/>
        <w:rPr>
          <w:snapToGrid w:val="0"/>
          <w:u w:val="single"/>
        </w:rPr>
      </w:pPr>
      <w:r>
        <w:rPr>
          <w:snapToGrid w:val="0"/>
          <w:shd w:val="clear" w:color="auto" w:fill="FFFFFF"/>
        </w:rPr>
        <w:t>指导性文件中确认的问题，代表我们认为贵公司器械上市前需要解决的问题。制定本指南过程中，我们仔细考虑有关部门决策的法定标准。我们还考虑贵公司符合指南和解决我们所确认问题的过程中可能出现的负担。我们认为我们已考虑产生最小负担的方法来解决指南文件中出现的问题。然而，如果贵公司认为贵公司有产生更</w:t>
      </w:r>
      <w:r>
        <w:rPr>
          <w:rFonts w:hint="eastAsia"/>
          <w:snapToGrid w:val="0"/>
          <w:shd w:val="clear" w:color="auto" w:fill="FFFFFF"/>
        </w:rPr>
        <w:t>小</w:t>
      </w:r>
      <w:r>
        <w:rPr>
          <w:snapToGrid w:val="0"/>
          <w:shd w:val="clear" w:color="auto" w:fill="FFFFFF"/>
        </w:rPr>
        <w:t>负担的方式来解决这些问题，贵公司应</w:t>
      </w:r>
      <w:r>
        <w:rPr>
          <w:rFonts w:hint="eastAsia"/>
          <w:snapToGrid w:val="0"/>
          <w:shd w:val="clear" w:color="auto" w:fill="FFFFFF"/>
        </w:rPr>
        <w:t>当</w:t>
      </w:r>
      <w:r>
        <w:rPr>
          <w:snapToGrid w:val="0"/>
          <w:shd w:val="clear" w:color="auto" w:fill="FFFFFF"/>
        </w:rPr>
        <w:t>遵从</w:t>
      </w:r>
      <w:r>
        <w:rPr>
          <w:rFonts w:hint="eastAsia" w:ascii="宋体" w:hAnsi="宋体"/>
          <w:snapToGrid w:val="0"/>
          <w:shd w:val="clear" w:color="auto" w:fill="FFFFFF"/>
        </w:rPr>
        <w:t>“</w:t>
      </w:r>
      <w:r>
        <w:rPr>
          <w:snapToGrid w:val="0"/>
          <w:shd w:val="clear" w:color="auto" w:fill="FFFFFF"/>
        </w:rPr>
        <w:t>解决最小负担问题的建议方法</w:t>
      </w:r>
      <w:r>
        <w:rPr>
          <w:rFonts w:hint="eastAsia" w:ascii="宋体" w:hAnsi="宋体"/>
          <w:snapToGrid w:val="0"/>
          <w:shd w:val="clear" w:color="auto" w:fill="FFFFFF"/>
        </w:rPr>
        <w:t>”</w:t>
      </w:r>
      <w:r>
        <w:rPr>
          <w:snapToGrid w:val="0"/>
          <w:shd w:val="clear" w:color="auto" w:fill="FFFFFF"/>
        </w:rPr>
        <w:t>文件中所规定的程序。该文件可在我们的中心网页上获取：</w:t>
      </w:r>
      <w:r>
        <w:fldChar w:fldCharType="begin"/>
      </w:r>
      <w:r>
        <w:instrText xml:space="preserve"> HYPERLINK "http://www.fda.gov/cdrh/modact/leastburdensome.html" </w:instrText>
      </w:r>
      <w:r>
        <w:fldChar w:fldCharType="separate"/>
      </w:r>
      <w:r>
        <w:rPr>
          <w:rStyle w:val="27"/>
          <w:rFonts w:cs="Arial"/>
          <w:snapToGrid w:val="0"/>
          <w:kern w:val="0"/>
          <w:szCs w:val="24"/>
        </w:rPr>
        <w:t>http: //www.fda.gov/cdrh/modact/leastburdensome.html</w:t>
      </w:r>
      <w:r>
        <w:rPr>
          <w:rStyle w:val="27"/>
          <w:rFonts w:cs="Arial"/>
          <w:snapToGrid w:val="0"/>
          <w:kern w:val="0"/>
          <w:szCs w:val="24"/>
        </w:rPr>
        <w:fldChar w:fldCharType="end"/>
      </w:r>
      <w:r>
        <w:rPr>
          <w:snapToGrid w:val="0"/>
          <w:u w:val="single"/>
        </w:rPr>
        <w:t>.</w:t>
      </w:r>
    </w:p>
    <w:p w14:paraId="786C2192">
      <w:pPr>
        <w:pStyle w:val="42"/>
        <w:numPr>
          <w:ilvl w:val="0"/>
          <w:numId w:val="3"/>
        </w:numPr>
        <w:spacing w:before="312" w:beforeLines="100" w:after="156" w:afterLines="50"/>
        <w:ind w:left="602" w:hanging="602" w:hangingChars="200"/>
        <w:outlineLvl w:val="0"/>
        <w:rPr>
          <w:b/>
          <w:snapToGrid w:val="0"/>
          <w:sz w:val="30"/>
          <w:szCs w:val="30"/>
        </w:rPr>
      </w:pPr>
      <w:bookmarkStart w:id="4" w:name="_Toc476057305"/>
      <w:bookmarkStart w:id="5" w:name="_Toc477515073"/>
      <w:r>
        <w:rPr>
          <w:rFonts w:hint="eastAsia"/>
          <w:b/>
          <w:snapToGrid w:val="0"/>
          <w:sz w:val="30"/>
          <w:szCs w:val="30"/>
        </w:rPr>
        <w:t>背景</w:t>
      </w:r>
      <w:bookmarkEnd w:id="4"/>
      <w:bookmarkEnd w:id="5"/>
    </w:p>
    <w:p w14:paraId="5E4B55B4">
      <w:pPr>
        <w:spacing w:before="187"/>
        <w:rPr>
          <w:snapToGrid w:val="0"/>
          <w:shd w:val="clear" w:color="auto" w:fill="FFFFFF"/>
        </w:rPr>
      </w:pPr>
      <w:r>
        <w:rPr>
          <w:rFonts w:hint="eastAsia"/>
          <w:snapToGrid w:val="0"/>
          <w:shd w:val="clear" w:color="auto" w:fill="FFFFFF"/>
        </w:rPr>
        <w:t>打算将这种通用类型的器械推向市场的制</w:t>
      </w:r>
      <w:r>
        <w:rPr>
          <w:snapToGrid w:val="0"/>
          <w:shd w:val="clear" w:color="auto" w:fill="FFFFFF"/>
        </w:rPr>
        <w:t>造商应当：（1）符合美国《联邦食品，药品和化妆品法》（法案）的</w:t>
      </w:r>
      <w:r>
        <w:rPr>
          <w:rFonts w:hint="eastAsia"/>
          <w:snapToGrid w:val="0"/>
          <w:shd w:val="clear" w:color="auto" w:fill="FFFFFF"/>
        </w:rPr>
        <w:t>通用</w:t>
      </w:r>
      <w:r>
        <w:rPr>
          <w:snapToGrid w:val="0"/>
          <w:shd w:val="clear" w:color="auto" w:fill="FFFFFF"/>
        </w:rPr>
        <w:t>管理，包括21 CFR 807部分E中描述的上市前通告要求</w:t>
      </w:r>
      <w:r>
        <w:rPr>
          <w:snapToGrid w:val="0"/>
        </w:rPr>
        <w:t>，（2）</w:t>
      </w:r>
      <w:r>
        <w:rPr>
          <w:snapToGrid w:val="0"/>
          <w:shd w:val="clear" w:color="auto" w:fill="FFFFFF"/>
        </w:rPr>
        <w:t>解决本指南认定的与血凝分析仪相关的健康风险和（3）除非获法案的上市前通告要求（参见21 CFR 807.85）豁免，否则应在器械上市之前从</w:t>
      </w:r>
      <w:r>
        <w:rPr>
          <w:snapToGrid w:val="0"/>
        </w:rPr>
        <w:t>FDA</w:t>
      </w:r>
      <w:r>
        <w:rPr>
          <w:snapToGrid w:val="0"/>
          <w:shd w:val="clear" w:color="auto" w:fill="FFFFFF"/>
        </w:rPr>
        <w:t>获得实质等同性</w:t>
      </w:r>
      <w:r>
        <w:rPr>
          <w:rFonts w:hint="eastAsia"/>
          <w:snapToGrid w:val="0"/>
          <w:shd w:val="clear" w:color="auto" w:fill="FFFFFF"/>
        </w:rPr>
        <w:t>判定</w:t>
      </w:r>
      <w:r>
        <w:rPr>
          <w:snapToGrid w:val="0"/>
          <w:shd w:val="clear" w:color="auto" w:fill="FFFFFF"/>
        </w:rPr>
        <w:t>。</w:t>
      </w:r>
    </w:p>
    <w:p w14:paraId="024CC60A">
      <w:pPr>
        <w:spacing w:before="187"/>
        <w:rPr>
          <w:snapToGrid w:val="0"/>
          <w:szCs w:val="24"/>
          <w:u w:val="single"/>
        </w:rPr>
      </w:pPr>
      <w:r>
        <w:rPr>
          <w:snapToGrid w:val="0"/>
          <w:szCs w:val="24"/>
          <w:shd w:val="clear" w:color="auto" w:fill="FFFFFF"/>
        </w:rPr>
        <w:t>本指导性文件确认血凝分析仪的分类</w:t>
      </w:r>
      <w:r>
        <w:rPr>
          <w:rFonts w:hint="eastAsia"/>
          <w:snapToGrid w:val="0"/>
          <w:szCs w:val="24"/>
          <w:shd w:val="clear" w:color="auto" w:fill="FFFFFF"/>
        </w:rPr>
        <w:t>监管</w:t>
      </w:r>
      <w:r>
        <w:rPr>
          <w:snapToGrid w:val="0"/>
          <w:szCs w:val="24"/>
          <w:shd w:val="clear" w:color="auto" w:fill="FFFFFF"/>
        </w:rPr>
        <w:t>和产品代码（参加第4部分-范围）。除此以外，本指导性文件的其他部分列出了由</w:t>
      </w:r>
      <w:r>
        <w:rPr>
          <w:snapToGrid w:val="0"/>
          <w:szCs w:val="24"/>
        </w:rPr>
        <w:t>FDA</w:t>
      </w:r>
      <w:r>
        <w:rPr>
          <w:snapToGrid w:val="0"/>
          <w:szCs w:val="24"/>
          <w:shd w:val="clear" w:color="auto" w:fill="FFFFFF"/>
        </w:rPr>
        <w:t>识别的健康风险，并描述了相应措施，如果制造商遵循</w:t>
      </w:r>
      <w:r>
        <w:rPr>
          <w:rFonts w:hint="eastAsia"/>
          <w:snapToGrid w:val="0"/>
          <w:szCs w:val="24"/>
          <w:shd w:val="clear" w:color="auto" w:fill="FFFFFF"/>
        </w:rPr>
        <w:t>这些措施</w:t>
      </w:r>
      <w:r>
        <w:rPr>
          <w:snapToGrid w:val="0"/>
          <w:szCs w:val="24"/>
          <w:shd w:val="clear" w:color="auto" w:fill="FFFFFF"/>
        </w:rPr>
        <w:t>并结合</w:t>
      </w:r>
      <w:r>
        <w:rPr>
          <w:rFonts w:hint="eastAsia"/>
          <w:snapToGrid w:val="0"/>
          <w:szCs w:val="24"/>
          <w:shd w:val="clear" w:color="auto" w:fill="FFFFFF"/>
        </w:rPr>
        <w:t>通用</w:t>
      </w:r>
      <w:r>
        <w:rPr>
          <w:snapToGrid w:val="0"/>
          <w:szCs w:val="24"/>
          <w:shd w:val="clear" w:color="auto" w:fill="FFFFFF"/>
        </w:rPr>
        <w:t>管理</w:t>
      </w:r>
      <w:r>
        <w:rPr>
          <w:rFonts w:hint="eastAsia"/>
          <w:snapToGrid w:val="0"/>
          <w:szCs w:val="24"/>
          <w:shd w:val="clear" w:color="auto" w:fill="FFFFFF"/>
        </w:rPr>
        <w:t>，</w:t>
      </w:r>
      <w:r>
        <w:rPr>
          <w:snapToGrid w:val="0"/>
          <w:szCs w:val="24"/>
          <w:shd w:val="clear" w:color="auto" w:fill="FFFFFF"/>
        </w:rPr>
        <w:t>则通常可解决与血凝分析仪相关的风险</w:t>
      </w:r>
      <w:r>
        <w:rPr>
          <w:rFonts w:hint="eastAsia"/>
          <w:snapToGrid w:val="0"/>
          <w:szCs w:val="24"/>
          <w:shd w:val="clear" w:color="auto" w:fill="FFFFFF"/>
        </w:rPr>
        <w:t>，</w:t>
      </w:r>
      <w:r>
        <w:rPr>
          <w:snapToGrid w:val="0"/>
          <w:szCs w:val="24"/>
          <w:shd w:val="clear" w:color="auto" w:fill="FFFFFF"/>
        </w:rPr>
        <w:t>从而及时对上市前通告</w:t>
      </w:r>
      <w:r>
        <w:rPr>
          <w:snapToGrid w:val="0"/>
          <w:szCs w:val="24"/>
        </w:rPr>
        <w:t>[510 (k) ]</w:t>
      </w:r>
      <w:r>
        <w:rPr>
          <w:snapToGrid w:val="0"/>
          <w:szCs w:val="24"/>
          <w:shd w:val="clear" w:color="auto" w:fill="FFFFFF"/>
        </w:rPr>
        <w:t>进行审查和许可。本文件是其他关于上市前通告提交资料具体内容要求的FDA文件补充文件。贵公司也可以参考21 CFR 807.87和其他关于此主题的FDA文件，如510</w:t>
      </w:r>
      <w:r>
        <w:rPr>
          <w:rFonts w:hint="eastAsia"/>
          <w:snapToGrid w:val="0"/>
          <w:szCs w:val="24"/>
          <w:shd w:val="clear" w:color="auto" w:fill="FFFFFF"/>
        </w:rPr>
        <w:t>（</w:t>
      </w:r>
      <w:r>
        <w:rPr>
          <w:snapToGrid w:val="0"/>
          <w:szCs w:val="24"/>
          <w:shd w:val="clear" w:color="auto" w:fill="FFFFFF"/>
        </w:rPr>
        <w:t>k</w:t>
      </w:r>
      <w:r>
        <w:rPr>
          <w:rFonts w:hint="eastAsia"/>
          <w:snapToGrid w:val="0"/>
          <w:szCs w:val="24"/>
          <w:shd w:val="clear" w:color="auto" w:fill="FFFFFF"/>
        </w:rPr>
        <w:t>）手册</w:t>
      </w:r>
      <w:r>
        <w:rPr>
          <w:snapToGrid w:val="0"/>
          <w:szCs w:val="24"/>
          <w:shd w:val="clear" w:color="auto" w:fill="FFFFFF"/>
        </w:rPr>
        <w:t>-</w:t>
      </w:r>
      <w:r>
        <w:rPr>
          <w:rFonts w:hint="eastAsia"/>
          <w:snapToGrid w:val="0"/>
          <w:szCs w:val="24"/>
          <w:shd w:val="clear" w:color="auto" w:fill="FFFFFF"/>
        </w:rPr>
        <w:t>上市前通告：</w:t>
      </w:r>
      <w:r>
        <w:rPr>
          <w:snapToGrid w:val="0"/>
          <w:szCs w:val="24"/>
          <w:shd w:val="clear" w:color="auto" w:fill="FFFFFF"/>
        </w:rPr>
        <w:t>510 (k) -</w:t>
      </w:r>
      <w:r>
        <w:rPr>
          <w:rFonts w:hint="eastAsia"/>
          <w:snapToGrid w:val="0"/>
          <w:szCs w:val="24"/>
          <w:shd w:val="clear" w:color="auto" w:fill="FFFFFF"/>
        </w:rPr>
        <w:t>医疗器械的法规要求，</w:t>
      </w:r>
      <w:r>
        <w:fldChar w:fldCharType="begin"/>
      </w:r>
      <w:r>
        <w:instrText xml:space="preserve"> HYPERLINK "http://www.fda.gov/cdrh/manual/510kprt1.html" </w:instrText>
      </w:r>
      <w:r>
        <w:fldChar w:fldCharType="separate"/>
      </w:r>
      <w:r>
        <w:rPr>
          <w:rStyle w:val="27"/>
          <w:rFonts w:cs="Arial"/>
          <w:snapToGrid w:val="0"/>
          <w:kern w:val="0"/>
          <w:szCs w:val="24"/>
        </w:rPr>
        <w:t>http: //www.fda.gov/cdrh/manual/510kprt1.html</w:t>
      </w:r>
      <w:r>
        <w:rPr>
          <w:rStyle w:val="27"/>
          <w:rFonts w:cs="Arial"/>
          <w:snapToGrid w:val="0"/>
          <w:kern w:val="0"/>
          <w:szCs w:val="24"/>
        </w:rPr>
        <w:fldChar w:fldCharType="end"/>
      </w:r>
      <w:r>
        <w:rPr>
          <w:snapToGrid w:val="0"/>
          <w:szCs w:val="24"/>
          <w:u w:val="single"/>
        </w:rPr>
        <w:t>.</w:t>
      </w:r>
    </w:p>
    <w:p w14:paraId="490AB46D">
      <w:pPr>
        <w:spacing w:before="187"/>
        <w:rPr>
          <w:snapToGrid w:val="0"/>
          <w:szCs w:val="24"/>
          <w:shd w:val="clear" w:color="auto" w:fill="FFFFFF"/>
        </w:rPr>
      </w:pPr>
      <w:r>
        <w:rPr>
          <w:snapToGrid w:val="0"/>
          <w:szCs w:val="24"/>
        </w:rPr>
        <w:t>按照</w:t>
      </w:r>
      <w:r>
        <w:rPr>
          <w:rFonts w:ascii="宋体" w:hAnsi="宋体"/>
          <w:snapToGrid w:val="0"/>
          <w:szCs w:val="24"/>
        </w:rPr>
        <w:t>“</w:t>
      </w:r>
      <w:r>
        <w:rPr>
          <w:snapToGrid w:val="0"/>
          <w:szCs w:val="24"/>
        </w:rPr>
        <w:t>新510（k）范例-证实上市前通告中的实质等同性的替换方法；</w:t>
      </w:r>
      <w:r>
        <w:rPr>
          <w:rFonts w:hint="eastAsia"/>
          <w:snapToGrid w:val="0"/>
          <w:szCs w:val="24"/>
        </w:rPr>
        <w:t>最终指南</w:t>
      </w:r>
      <w:r>
        <w:rPr>
          <w:rStyle w:val="29"/>
          <w:snapToGrid w:val="0"/>
          <w:szCs w:val="24"/>
        </w:rPr>
        <w:footnoteReference w:id="1"/>
      </w:r>
      <w:r>
        <w:rPr>
          <w:rFonts w:ascii="宋体" w:hAnsi="宋体"/>
          <w:snapToGrid w:val="0"/>
          <w:szCs w:val="24"/>
        </w:rPr>
        <w:t>”</w:t>
      </w:r>
      <w:r>
        <w:rPr>
          <w:snapToGrid w:val="0"/>
          <w:szCs w:val="24"/>
        </w:rPr>
        <w:t>，制造商可以提交传统510（k）或可以选择提交简化510（k）或特殊510（k）。FDA认为简化510（k）提供证实新器械实质等同性的最小负担方法，</w:t>
      </w:r>
      <w:r>
        <w:rPr>
          <w:snapToGrid w:val="0"/>
          <w:szCs w:val="24"/>
          <w:shd w:val="clear" w:color="auto" w:fill="FFFFFF"/>
        </w:rPr>
        <w:t>特别是</w:t>
      </w:r>
      <w:r>
        <w:rPr>
          <w:rFonts w:hint="eastAsia"/>
          <w:snapToGrid w:val="0"/>
          <w:szCs w:val="24"/>
          <w:shd w:val="clear" w:color="auto" w:fill="FFFFFF"/>
        </w:rPr>
        <w:t>在</w:t>
      </w:r>
      <w:r>
        <w:rPr>
          <w:snapToGrid w:val="0"/>
          <w:szCs w:val="24"/>
          <w:shd w:val="clear" w:color="auto" w:fill="FFFFFF"/>
        </w:rPr>
        <w:t>FDA发布指导性文件后。</w:t>
      </w:r>
      <w:r>
        <w:rPr>
          <w:rFonts w:hint="eastAsia"/>
          <w:snapToGrid w:val="0"/>
          <w:szCs w:val="24"/>
          <w:shd w:val="clear" w:color="auto" w:fill="FFFFFF"/>
        </w:rPr>
        <w:t>考虑修改自己许可器械的制造商可以通过提交特殊510（k）来减少法规负担。</w:t>
      </w:r>
    </w:p>
    <w:p w14:paraId="4311DB1C">
      <w:pPr>
        <w:pStyle w:val="42"/>
        <w:numPr>
          <w:ilvl w:val="0"/>
          <w:numId w:val="3"/>
        </w:numPr>
        <w:spacing w:before="312" w:beforeLines="100" w:after="156" w:afterLines="50"/>
        <w:ind w:left="602" w:hanging="602" w:hangingChars="200"/>
        <w:outlineLvl w:val="0"/>
        <w:rPr>
          <w:b/>
          <w:snapToGrid w:val="0"/>
          <w:sz w:val="30"/>
          <w:szCs w:val="30"/>
        </w:rPr>
      </w:pPr>
      <w:bookmarkStart w:id="6" w:name="_Toc477515074"/>
      <w:bookmarkStart w:id="7" w:name="_Toc476057306"/>
      <w:r>
        <w:rPr>
          <w:rFonts w:hint="eastAsia"/>
          <w:b/>
          <w:snapToGrid w:val="0"/>
          <w:sz w:val="30"/>
          <w:szCs w:val="30"/>
        </w:rPr>
        <w:t>简化510（k）提交资料的内容和格式</w:t>
      </w:r>
      <w:bookmarkEnd w:id="6"/>
      <w:bookmarkEnd w:id="7"/>
    </w:p>
    <w:p w14:paraId="2EB2614F">
      <w:pPr>
        <w:spacing w:before="187"/>
        <w:rPr>
          <w:snapToGrid w:val="0"/>
          <w:shd w:val="clear" w:color="auto" w:fill="FFFFFF"/>
        </w:rPr>
      </w:pPr>
      <w:r>
        <w:rPr>
          <w:snapToGrid w:val="0"/>
        </w:rPr>
        <w:t>简化510（k）提交资料必须包含21 CFR 807.87</w:t>
      </w:r>
      <w:r>
        <w:rPr>
          <w:rFonts w:hint="eastAsia"/>
          <w:snapToGrid w:val="0"/>
        </w:rPr>
        <w:t>中认定</w:t>
      </w:r>
      <w:r>
        <w:rPr>
          <w:snapToGrid w:val="0"/>
        </w:rPr>
        <w:t>的</w:t>
      </w:r>
      <w:r>
        <w:rPr>
          <w:rFonts w:hint="eastAsia"/>
          <w:snapToGrid w:val="0"/>
        </w:rPr>
        <w:t>必备要素</w:t>
      </w:r>
      <w:r>
        <w:rPr>
          <w:snapToGrid w:val="0"/>
        </w:rPr>
        <w:t>，包括足以描述器械的</w:t>
      </w:r>
      <w:r>
        <w:rPr>
          <w:rFonts w:hint="eastAsia"/>
          <w:snapToGrid w:val="0"/>
        </w:rPr>
        <w:t>拟定</w:t>
      </w:r>
      <w:r>
        <w:rPr>
          <w:snapToGrid w:val="0"/>
        </w:rPr>
        <w:t>标签，</w:t>
      </w:r>
      <w:r>
        <w:rPr>
          <w:rFonts w:hint="eastAsia"/>
          <w:snapToGrid w:val="0"/>
        </w:rPr>
        <w:t>器械</w:t>
      </w:r>
      <w:r>
        <w:rPr>
          <w:snapToGrid w:val="0"/>
        </w:rPr>
        <w:t>预期用途和</w:t>
      </w:r>
      <w:r>
        <w:rPr>
          <w:rFonts w:hint="eastAsia"/>
          <w:snapToGrid w:val="0"/>
        </w:rPr>
        <w:t>使用说明书</w:t>
      </w:r>
      <w:r>
        <w:rPr>
          <w:snapToGrid w:val="0"/>
        </w:rPr>
        <w:t>。简化510（k）中，FDA可以考虑采用摘要报告的内容</w:t>
      </w:r>
      <w:r>
        <w:rPr>
          <w:rFonts w:hint="eastAsia"/>
          <w:snapToGrid w:val="0"/>
        </w:rPr>
        <w:t>作为</w:t>
      </w:r>
      <w:r>
        <w:rPr>
          <w:snapToGrid w:val="0"/>
        </w:rPr>
        <w:t>21 CFR 807.87（f）或（g）含义中的适当支持数据。</w:t>
      </w:r>
      <w:r>
        <w:rPr>
          <w:snapToGrid w:val="0"/>
          <w:shd w:val="clear" w:color="auto" w:fill="FFFFFF"/>
        </w:rPr>
        <w:t>因此，我们建议贵公司包</w:t>
      </w:r>
      <w:r>
        <w:rPr>
          <w:rFonts w:hint="eastAsia"/>
          <w:snapToGrid w:val="0"/>
          <w:shd w:val="clear" w:color="auto" w:fill="FFFFFF"/>
        </w:rPr>
        <w:t>含一份</w:t>
      </w:r>
      <w:r>
        <w:rPr>
          <w:snapToGrid w:val="0"/>
          <w:shd w:val="clear" w:color="auto" w:fill="FFFFFF"/>
        </w:rPr>
        <w:t>摘要报告。该报告应</w:t>
      </w:r>
      <w:r>
        <w:rPr>
          <w:rFonts w:hint="eastAsia"/>
          <w:snapToGrid w:val="0"/>
          <w:shd w:val="clear" w:color="auto" w:fill="FFFFFF"/>
        </w:rPr>
        <w:t>当</w:t>
      </w:r>
      <w:r>
        <w:rPr>
          <w:snapToGrid w:val="0"/>
          <w:shd w:val="clear" w:color="auto" w:fill="FFFFFF"/>
        </w:rPr>
        <w:t>描述在器械开发和</w:t>
      </w:r>
      <w:r>
        <w:rPr>
          <w:rFonts w:hint="eastAsia"/>
          <w:snapToGrid w:val="0"/>
          <w:shd w:val="clear" w:color="auto" w:fill="FFFFFF"/>
        </w:rPr>
        <w:t>试验</w:t>
      </w:r>
      <w:r>
        <w:rPr>
          <w:snapToGrid w:val="0"/>
          <w:shd w:val="clear" w:color="auto" w:fill="FFFFFF"/>
        </w:rPr>
        <w:t>过程中如何使用该指导性文件，并应简要描述所使用的方法或</w:t>
      </w:r>
      <w:r>
        <w:rPr>
          <w:rFonts w:hint="eastAsia"/>
          <w:snapToGrid w:val="0"/>
          <w:shd w:val="clear" w:color="auto" w:fill="FFFFFF"/>
        </w:rPr>
        <w:t>试验</w:t>
      </w:r>
      <w:r>
        <w:rPr>
          <w:snapToGrid w:val="0"/>
          <w:shd w:val="clear" w:color="auto" w:fill="FFFFFF"/>
        </w:rPr>
        <w:t>和</w:t>
      </w:r>
      <w:r>
        <w:rPr>
          <w:rFonts w:hint="eastAsia"/>
          <w:snapToGrid w:val="0"/>
          <w:shd w:val="clear" w:color="auto" w:fill="FFFFFF"/>
        </w:rPr>
        <w:t>试验</w:t>
      </w:r>
      <w:r>
        <w:rPr>
          <w:snapToGrid w:val="0"/>
          <w:shd w:val="clear" w:color="auto" w:fill="FFFFFF"/>
        </w:rPr>
        <w:t>数据的</w:t>
      </w:r>
      <w:r>
        <w:rPr>
          <w:rFonts w:hint="eastAsia"/>
          <w:snapToGrid w:val="0"/>
          <w:shd w:val="clear" w:color="auto" w:fill="FFFFFF"/>
        </w:rPr>
        <w:t>摘要</w:t>
      </w:r>
      <w:r>
        <w:rPr>
          <w:snapToGrid w:val="0"/>
          <w:shd w:val="clear" w:color="auto" w:fill="FFFFFF"/>
        </w:rPr>
        <w:t>，或描述用于解决在本文件中所识别风险以及贵公司器械的任何其他特定风险的验收标准。本部分建议</w:t>
      </w:r>
      <w:r>
        <w:rPr>
          <w:rFonts w:hint="eastAsia"/>
          <w:snapToGrid w:val="0"/>
          <w:shd w:val="clear" w:color="auto" w:fill="FFFFFF"/>
        </w:rPr>
        <w:t>了</w:t>
      </w:r>
      <w:r>
        <w:rPr>
          <w:snapToGrid w:val="0"/>
          <w:shd w:val="clear" w:color="auto" w:fill="FFFFFF"/>
        </w:rPr>
        <w:t>满足807.87某些要求</w:t>
      </w:r>
      <w:r>
        <w:rPr>
          <w:rFonts w:hint="eastAsia"/>
          <w:snapToGrid w:val="0"/>
          <w:shd w:val="clear" w:color="auto" w:fill="FFFFFF"/>
        </w:rPr>
        <w:t>的信息以及</w:t>
      </w:r>
      <w:r>
        <w:rPr>
          <w:snapToGrid w:val="0"/>
          <w:shd w:val="clear" w:color="auto" w:fill="FFFFFF"/>
        </w:rPr>
        <w:t>我们建议贵公司简化510（k）中包括</w:t>
      </w:r>
      <w:r>
        <w:rPr>
          <w:rFonts w:hint="eastAsia"/>
          <w:snapToGrid w:val="0"/>
          <w:shd w:val="clear" w:color="auto" w:fill="FFFFFF"/>
        </w:rPr>
        <w:t>的</w:t>
      </w:r>
      <w:r>
        <w:rPr>
          <w:snapToGrid w:val="0"/>
          <w:shd w:val="clear" w:color="auto" w:fill="FFFFFF"/>
        </w:rPr>
        <w:t>其他项目。</w:t>
      </w:r>
    </w:p>
    <w:p w14:paraId="5332D605">
      <w:pPr>
        <w:spacing w:before="187"/>
        <w:ind w:left="480" w:leftChars="200"/>
        <w:rPr>
          <w:b/>
          <w:snapToGrid w:val="0"/>
        </w:rPr>
      </w:pPr>
      <w:r>
        <w:rPr>
          <w:rFonts w:hint="eastAsia"/>
          <w:b/>
          <w:snapToGrid w:val="0"/>
        </w:rPr>
        <w:t>封面</w:t>
      </w:r>
    </w:p>
    <w:p w14:paraId="301FA4D4">
      <w:pPr>
        <w:spacing w:before="187"/>
        <w:ind w:left="480" w:leftChars="200"/>
        <w:rPr>
          <w:snapToGrid w:val="0"/>
          <w:shd w:val="clear" w:color="auto" w:fill="FFFFFF"/>
        </w:rPr>
      </w:pPr>
      <w:r>
        <w:rPr>
          <w:rFonts w:hint="eastAsia"/>
          <w:snapToGrid w:val="0"/>
        </w:rPr>
        <w:t>封面</w:t>
      </w:r>
      <w:r>
        <w:rPr>
          <w:snapToGrid w:val="0"/>
          <w:shd w:val="clear" w:color="auto" w:fill="FFFFFF"/>
        </w:rPr>
        <w:t>应</w:t>
      </w:r>
      <w:r>
        <w:rPr>
          <w:rFonts w:hint="eastAsia"/>
          <w:snapToGrid w:val="0"/>
          <w:shd w:val="clear" w:color="auto" w:fill="FFFFFF"/>
        </w:rPr>
        <w:t>当</w:t>
      </w:r>
      <w:r>
        <w:rPr>
          <w:snapToGrid w:val="0"/>
          <w:shd w:val="clear" w:color="auto" w:fill="FFFFFF"/>
        </w:rPr>
        <w:t>醒目</w:t>
      </w:r>
      <w:r>
        <w:rPr>
          <w:rFonts w:hint="eastAsia"/>
          <w:snapToGrid w:val="0"/>
          <w:shd w:val="clear" w:color="auto" w:fill="FFFFFF"/>
        </w:rPr>
        <w:t>表明提交资料为简化510（k），并</w:t>
      </w:r>
      <w:r>
        <w:rPr>
          <w:snapToGrid w:val="0"/>
          <w:shd w:val="clear" w:color="auto" w:fill="FFFFFF"/>
        </w:rPr>
        <w:t>引用本指导性文件的标题。</w:t>
      </w:r>
    </w:p>
    <w:p w14:paraId="7DE29360">
      <w:pPr>
        <w:spacing w:before="187"/>
        <w:ind w:left="480" w:leftChars="200"/>
        <w:rPr>
          <w:b/>
          <w:snapToGrid w:val="0"/>
          <w:shd w:val="clear" w:color="auto" w:fill="FFFFFF"/>
        </w:rPr>
      </w:pPr>
      <w:r>
        <w:rPr>
          <w:rFonts w:hint="eastAsia"/>
          <w:b/>
          <w:snapToGrid w:val="0"/>
          <w:shd w:val="clear" w:color="auto" w:fill="FFFFFF"/>
        </w:rPr>
        <w:t>拟定标签</w:t>
      </w:r>
    </w:p>
    <w:p w14:paraId="3464991D">
      <w:pPr>
        <w:spacing w:before="187"/>
        <w:ind w:left="480" w:leftChars="200"/>
        <w:rPr>
          <w:snapToGrid w:val="0"/>
          <w:shd w:val="clear" w:color="auto" w:fill="FFFFFF"/>
        </w:rPr>
      </w:pPr>
      <w:r>
        <w:rPr>
          <w:rFonts w:hint="eastAsia"/>
          <w:snapToGrid w:val="0"/>
          <w:shd w:val="clear" w:color="auto" w:fill="FFFFFF"/>
        </w:rPr>
        <w:t>拟定标签</w:t>
      </w:r>
      <w:r>
        <w:rPr>
          <w:snapToGrid w:val="0"/>
          <w:shd w:val="clear" w:color="auto" w:fill="FFFFFF"/>
        </w:rPr>
        <w:t>应该足以描述该</w:t>
      </w:r>
      <w:r>
        <w:rPr>
          <w:rFonts w:hint="eastAsia"/>
          <w:snapToGrid w:val="0"/>
          <w:shd w:val="clear" w:color="auto" w:fill="FFFFFF"/>
        </w:rPr>
        <w:t>医疗</w:t>
      </w:r>
      <w:r>
        <w:rPr>
          <w:snapToGrid w:val="0"/>
          <w:shd w:val="clear" w:color="auto" w:fill="FFFFFF"/>
        </w:rPr>
        <w:t>器械</w:t>
      </w:r>
      <w:r>
        <w:rPr>
          <w:rFonts w:hint="eastAsia"/>
          <w:snapToGrid w:val="0"/>
          <w:shd w:val="clear" w:color="auto" w:fill="FFFFFF"/>
        </w:rPr>
        <w:t>，</w:t>
      </w:r>
      <w:r>
        <w:rPr>
          <w:snapToGrid w:val="0"/>
          <w:shd w:val="clear" w:color="auto" w:fill="FFFFFF"/>
        </w:rPr>
        <w:t>预期用途和</w:t>
      </w:r>
      <w:r>
        <w:rPr>
          <w:rFonts w:hint="eastAsia"/>
          <w:snapToGrid w:val="0"/>
          <w:shd w:val="clear" w:color="auto" w:fill="FFFFFF"/>
        </w:rPr>
        <w:t>使用说明书</w:t>
      </w:r>
      <w:r>
        <w:rPr>
          <w:snapToGrid w:val="0"/>
          <w:shd w:val="clear" w:color="auto" w:fill="FFFFFF"/>
        </w:rPr>
        <w:t>。（对于本指导性文件所涵盖的</w:t>
      </w:r>
      <w:r>
        <w:rPr>
          <w:rFonts w:hint="eastAsia"/>
          <w:snapToGrid w:val="0"/>
          <w:shd w:val="clear" w:color="auto" w:fill="FFFFFF"/>
        </w:rPr>
        <w:t>医疗</w:t>
      </w:r>
      <w:r>
        <w:rPr>
          <w:snapToGrid w:val="0"/>
          <w:shd w:val="clear" w:color="auto" w:fill="FFFFFF"/>
        </w:rPr>
        <w:t>器械类型，</w:t>
      </w:r>
      <w:r>
        <w:rPr>
          <w:rFonts w:hint="eastAsia"/>
          <w:snapToGrid w:val="0"/>
          <w:shd w:val="clear" w:color="auto" w:fill="FFFFFF"/>
        </w:rPr>
        <w:t>有关</w:t>
      </w:r>
      <w:r>
        <w:rPr>
          <w:snapToGrid w:val="0"/>
          <w:shd w:val="clear" w:color="auto" w:fill="FFFFFF"/>
        </w:rPr>
        <w:t>标签中的具体信息</w:t>
      </w:r>
      <w:r>
        <w:rPr>
          <w:rFonts w:hint="eastAsia"/>
          <w:snapToGrid w:val="0"/>
          <w:shd w:val="clear" w:color="auto" w:fill="FFFFFF"/>
        </w:rPr>
        <w:t>，请</w:t>
      </w:r>
      <w:r>
        <w:rPr>
          <w:snapToGrid w:val="0"/>
          <w:shd w:val="clear" w:color="auto" w:fill="FFFFFF"/>
        </w:rPr>
        <w:t>参见第7部分。）</w:t>
      </w:r>
    </w:p>
    <w:p w14:paraId="61E34664">
      <w:pPr>
        <w:spacing w:before="187"/>
        <w:ind w:left="480" w:leftChars="200"/>
        <w:rPr>
          <w:b/>
          <w:snapToGrid w:val="0"/>
          <w:shd w:val="clear" w:color="auto" w:fill="FFFFFF"/>
        </w:rPr>
      </w:pPr>
      <w:r>
        <w:rPr>
          <w:rFonts w:hint="eastAsia"/>
          <w:b/>
          <w:snapToGrid w:val="0"/>
          <w:shd w:val="clear" w:color="auto" w:fill="FFFFFF"/>
        </w:rPr>
        <w:t>摘要报告</w:t>
      </w:r>
    </w:p>
    <w:p w14:paraId="66E97C34">
      <w:pPr>
        <w:spacing w:before="187"/>
        <w:ind w:left="480" w:leftChars="200"/>
        <w:rPr>
          <w:snapToGrid w:val="0"/>
        </w:rPr>
      </w:pPr>
      <w:r>
        <w:rPr>
          <w:rFonts w:hint="eastAsia"/>
          <w:snapToGrid w:val="0"/>
        </w:rPr>
        <w:t>我们建议摘要报告包含以下方面内容：</w:t>
      </w:r>
    </w:p>
    <w:p w14:paraId="1369556B">
      <w:pPr>
        <w:pStyle w:val="42"/>
        <w:numPr>
          <w:ilvl w:val="0"/>
          <w:numId w:val="5"/>
        </w:numPr>
        <w:spacing w:before="187"/>
        <w:ind w:left="960" w:leftChars="200" w:hanging="480" w:hangingChars="200"/>
        <w:contextualSpacing w:val="0"/>
        <w:rPr>
          <w:snapToGrid w:val="0"/>
        </w:rPr>
      </w:pPr>
      <w:r>
        <w:rPr>
          <w:rFonts w:hint="eastAsia"/>
          <w:snapToGrid w:val="0"/>
          <w:shd w:val="clear" w:color="auto" w:fill="FFFFFF"/>
        </w:rPr>
        <w:t>医疗</w:t>
      </w:r>
      <w:r>
        <w:rPr>
          <w:snapToGrid w:val="0"/>
          <w:shd w:val="clear" w:color="auto" w:fill="FFFFFF"/>
        </w:rPr>
        <w:t>器械及其预期用途的描述。我们建议描述应包括完整的性能</w:t>
      </w:r>
      <w:r>
        <w:rPr>
          <w:rFonts w:hint="eastAsia"/>
          <w:snapToGrid w:val="0"/>
          <w:shd w:val="clear" w:color="auto" w:fill="FFFFFF"/>
        </w:rPr>
        <w:t>质量标准</w:t>
      </w:r>
      <w:r>
        <w:rPr>
          <w:snapToGrid w:val="0"/>
          <w:shd w:val="clear" w:color="auto" w:fill="FFFFFF"/>
        </w:rPr>
        <w:t>探讨，并包括详细、带有标签的</w:t>
      </w:r>
      <w:r>
        <w:rPr>
          <w:rFonts w:hint="eastAsia"/>
          <w:snapToGrid w:val="0"/>
          <w:shd w:val="clear" w:color="auto" w:fill="FFFFFF"/>
        </w:rPr>
        <w:t>医疗</w:t>
      </w:r>
      <w:r>
        <w:rPr>
          <w:snapToGrid w:val="0"/>
          <w:shd w:val="clear" w:color="auto" w:fill="FFFFFF"/>
        </w:rPr>
        <w:t>器械图纸（适</w:t>
      </w:r>
      <w:r>
        <w:rPr>
          <w:rFonts w:hint="eastAsia"/>
          <w:snapToGrid w:val="0"/>
          <w:shd w:val="clear" w:color="auto" w:fill="FFFFFF"/>
        </w:rPr>
        <w:t>用</w:t>
      </w:r>
      <w:r>
        <w:rPr>
          <w:snapToGrid w:val="0"/>
          <w:shd w:val="clear" w:color="auto" w:fill="FFFFFF"/>
        </w:rPr>
        <w:t>时）。贵公司还应提交</w:t>
      </w:r>
      <w:r>
        <w:rPr>
          <w:rFonts w:hint="eastAsia" w:ascii="宋体" w:hAnsi="宋体"/>
          <w:snapToGrid w:val="0"/>
          <w:shd w:val="clear" w:color="auto" w:fill="FFFFFF"/>
        </w:rPr>
        <w:t>“</w:t>
      </w:r>
      <w:r>
        <w:rPr>
          <w:rFonts w:hint="eastAsia"/>
          <w:snapToGrid w:val="0"/>
          <w:shd w:val="clear" w:color="auto" w:fill="FFFFFF"/>
        </w:rPr>
        <w:t>适应症</w:t>
      </w:r>
      <w:r>
        <w:rPr>
          <w:rFonts w:hint="eastAsia" w:ascii="宋体" w:hAnsi="宋体"/>
          <w:snapToGrid w:val="0"/>
          <w:shd w:val="clear" w:color="auto" w:fill="FFFFFF"/>
        </w:rPr>
        <w:t>”</w:t>
      </w:r>
      <w:r>
        <w:rPr>
          <w:snapToGrid w:val="0"/>
          <w:shd w:val="clear" w:color="auto" w:fill="FFFFFF"/>
        </w:rPr>
        <w:t>附件。</w:t>
      </w:r>
      <w:r>
        <w:rPr>
          <w:rStyle w:val="29"/>
          <w:snapToGrid w:val="0"/>
          <w:shd w:val="clear" w:color="auto" w:fill="FFFFFF"/>
        </w:rPr>
        <w:footnoteReference w:id="2"/>
      </w:r>
    </w:p>
    <w:p w14:paraId="34E03939">
      <w:pPr>
        <w:pStyle w:val="42"/>
        <w:numPr>
          <w:ilvl w:val="0"/>
          <w:numId w:val="5"/>
        </w:numPr>
        <w:spacing w:before="187"/>
        <w:ind w:left="960" w:leftChars="200" w:hanging="480" w:hangingChars="200"/>
        <w:contextualSpacing w:val="0"/>
        <w:rPr>
          <w:snapToGrid w:val="0"/>
        </w:rPr>
      </w:pPr>
      <w:r>
        <w:rPr>
          <w:rFonts w:hint="eastAsia"/>
          <w:snapToGrid w:val="0"/>
          <w:shd w:val="clear" w:color="auto" w:fill="FFFFFF"/>
        </w:rPr>
        <w:t>医疗</w:t>
      </w:r>
      <w:r>
        <w:rPr>
          <w:snapToGrid w:val="0"/>
          <w:shd w:val="clear" w:color="auto" w:fill="FFFFFF"/>
        </w:rPr>
        <w:t>器械设计要求的描述。</w:t>
      </w:r>
    </w:p>
    <w:p w14:paraId="46DA58F8">
      <w:pPr>
        <w:pStyle w:val="42"/>
        <w:numPr>
          <w:ilvl w:val="0"/>
          <w:numId w:val="5"/>
        </w:numPr>
        <w:spacing w:before="187"/>
        <w:ind w:left="960" w:leftChars="200" w:hanging="480" w:hangingChars="200"/>
        <w:contextualSpacing w:val="0"/>
        <w:rPr>
          <w:snapToGrid w:val="0"/>
        </w:rPr>
      </w:pPr>
      <w:r>
        <w:rPr>
          <w:snapToGrid w:val="0"/>
        </w:rPr>
        <w:t>用于</w:t>
      </w:r>
      <w:r>
        <w:rPr>
          <w:rFonts w:hint="eastAsia"/>
          <w:snapToGrid w:val="0"/>
        </w:rPr>
        <w:t>评定</w:t>
      </w:r>
      <w:r>
        <w:rPr>
          <w:snapToGrid w:val="0"/>
        </w:rPr>
        <w:t>风险概况的风险分析方法</w:t>
      </w:r>
      <w:r>
        <w:rPr>
          <w:snapToGrid w:val="0"/>
          <w:shd w:val="clear" w:color="auto" w:fill="FFFFFF"/>
        </w:rPr>
        <w:t>以及具体</w:t>
      </w:r>
      <w:r>
        <w:rPr>
          <w:rFonts w:hint="eastAsia"/>
          <w:snapToGrid w:val="0"/>
          <w:shd w:val="clear" w:color="auto" w:fill="FFFFFF"/>
        </w:rPr>
        <w:t>医疗</w:t>
      </w:r>
      <w:r>
        <w:rPr>
          <w:snapToGrid w:val="0"/>
          <w:shd w:val="clear" w:color="auto" w:fill="FFFFFF"/>
        </w:rPr>
        <w:t>器械的设计和分析结果</w:t>
      </w:r>
      <w:r>
        <w:rPr>
          <w:snapToGrid w:val="0"/>
        </w:rPr>
        <w:t>的识别。（对于</w:t>
      </w:r>
      <w:r>
        <w:rPr>
          <w:rFonts w:hint="eastAsia"/>
          <w:snapToGrid w:val="0"/>
        </w:rPr>
        <w:t>FDA</w:t>
      </w:r>
      <w:r>
        <w:rPr>
          <w:snapToGrid w:val="0"/>
        </w:rPr>
        <w:t>已经确定的通常与使用此器械相关的健康风险，请参见第5部分。）</w:t>
      </w:r>
    </w:p>
    <w:p w14:paraId="1DF1C8CA">
      <w:pPr>
        <w:pStyle w:val="42"/>
        <w:numPr>
          <w:ilvl w:val="0"/>
          <w:numId w:val="5"/>
        </w:numPr>
        <w:spacing w:before="187"/>
        <w:ind w:left="960" w:leftChars="200" w:hanging="480" w:hangingChars="200"/>
        <w:contextualSpacing w:val="0"/>
        <w:rPr>
          <w:snapToGrid w:val="0"/>
        </w:rPr>
      </w:pPr>
      <w:r>
        <w:rPr>
          <w:rFonts w:hint="eastAsia"/>
          <w:snapToGrid w:val="0"/>
        </w:rPr>
        <w:t>解决本指导性文件中所识别风险以及任何在贵公司的风险分析中所识别的其他风险的医疗器械特性讨论。</w:t>
      </w:r>
    </w:p>
    <w:p w14:paraId="56E6E562">
      <w:pPr>
        <w:pStyle w:val="42"/>
        <w:numPr>
          <w:ilvl w:val="0"/>
          <w:numId w:val="5"/>
        </w:numPr>
        <w:spacing w:before="187"/>
        <w:ind w:left="960" w:leftChars="200" w:hanging="480" w:hangingChars="200"/>
        <w:contextualSpacing w:val="0"/>
        <w:rPr>
          <w:snapToGrid w:val="0"/>
        </w:rPr>
      </w:pPr>
      <w:r>
        <w:rPr>
          <w:snapToGrid w:val="0"/>
          <w:shd w:val="clear" w:color="auto" w:fill="FFFFFF"/>
        </w:rPr>
        <w:t>贵公司所使用过的或</w:t>
      </w:r>
      <w:r>
        <w:rPr>
          <w:rFonts w:hint="eastAsia"/>
          <w:snapToGrid w:val="0"/>
          <w:shd w:val="clear" w:color="auto" w:fill="FFFFFF"/>
        </w:rPr>
        <w:t>预期</w:t>
      </w:r>
      <w:r>
        <w:rPr>
          <w:snapToGrid w:val="0"/>
          <w:shd w:val="clear" w:color="auto" w:fill="FFFFFF"/>
        </w:rPr>
        <w:t>用于解决在本指导性文件第6部分和第7部分中所识别每个性能</w:t>
      </w:r>
      <w:r>
        <w:rPr>
          <w:rFonts w:hint="eastAsia"/>
          <w:snapToGrid w:val="0"/>
          <w:shd w:val="clear" w:color="auto" w:fill="FFFFFF"/>
        </w:rPr>
        <w:t>方</w:t>
      </w:r>
      <w:r>
        <w:rPr>
          <w:snapToGrid w:val="0"/>
          <w:shd w:val="clear" w:color="auto" w:fill="FFFFFF"/>
        </w:rPr>
        <w:t>面的试验方法的简要说明。如果贵公司遵从建议的试验方法，贵公司可以引用该方法而不是对其进行描述。如果贵公司修改建议的试验方法，贵公司可以引用该方法，但应该提供足够的信息来解释修改的性质和原因。对于每个试验，贵公司可以（1）以明确和简洁的形式来简要介绍来自试验的数据，比如表格，</w:t>
      </w:r>
      <w:r>
        <w:rPr>
          <w:snapToGrid w:val="0"/>
          <w:u w:val="single"/>
          <w:shd w:val="clear" w:color="auto" w:fill="FFFFFF"/>
        </w:rPr>
        <w:t>或（</w:t>
      </w:r>
      <w:r>
        <w:rPr>
          <w:snapToGrid w:val="0"/>
          <w:shd w:val="clear" w:color="auto" w:fill="FFFFFF"/>
        </w:rPr>
        <w:t>2）描述贵公司将应用于贵公司的试验结果的</w:t>
      </w:r>
      <w:r>
        <w:rPr>
          <w:rFonts w:hint="eastAsia"/>
          <w:snapToGrid w:val="0"/>
          <w:shd w:val="clear" w:color="auto" w:fill="FFFFFF"/>
        </w:rPr>
        <w:t>验收</w:t>
      </w:r>
      <w:r>
        <w:rPr>
          <w:snapToGrid w:val="0"/>
          <w:shd w:val="clear" w:color="auto" w:fill="FFFFFF"/>
        </w:rPr>
        <w:t>标准。</w:t>
      </w:r>
      <w:r>
        <w:rPr>
          <w:rStyle w:val="29"/>
          <w:snapToGrid w:val="0"/>
          <w:shd w:val="clear" w:color="auto" w:fill="FFFFFF"/>
        </w:rPr>
        <w:footnoteReference w:id="3"/>
      </w:r>
      <w:r>
        <w:rPr>
          <w:snapToGrid w:val="0"/>
          <w:shd w:val="clear" w:color="auto" w:fill="FFFFFF"/>
        </w:rPr>
        <w:t>（参见21 CFR 820.30，C</w:t>
      </w:r>
      <w:r>
        <w:rPr>
          <w:rFonts w:hint="eastAsia"/>
          <w:snapToGrid w:val="0"/>
          <w:shd w:val="clear" w:color="auto" w:fill="FFFFFF"/>
        </w:rPr>
        <w:t>分</w:t>
      </w:r>
      <w:r>
        <w:rPr>
          <w:snapToGrid w:val="0"/>
          <w:shd w:val="clear" w:color="auto" w:fill="FFFFFF"/>
        </w:rPr>
        <w:t>部分-质量体系法规的设计控制。）</w:t>
      </w:r>
    </w:p>
    <w:p w14:paraId="11C10EB7">
      <w:pPr>
        <w:pStyle w:val="42"/>
        <w:numPr>
          <w:ilvl w:val="0"/>
          <w:numId w:val="5"/>
        </w:numPr>
        <w:spacing w:before="187"/>
        <w:ind w:left="960" w:leftChars="200" w:hanging="480" w:hangingChars="200"/>
        <w:contextualSpacing w:val="0"/>
        <w:rPr>
          <w:snapToGrid w:val="0"/>
          <w:lang w:val="en-US"/>
        </w:rPr>
      </w:pPr>
      <w:r>
        <w:rPr>
          <w:snapToGrid w:val="0"/>
          <w:shd w:val="clear" w:color="auto" w:fill="FFFFFF"/>
        </w:rPr>
        <w:t>如果器械设计或试验的任何部分依赖于公认的标准，（1）在产品上市前将进行的试验和符合指定验收标准的声明，或（2）符合标准的声明</w:t>
      </w:r>
      <w:r>
        <w:rPr>
          <w:rFonts w:hint="eastAsia"/>
          <w:snapToGrid w:val="0"/>
          <w:shd w:val="clear" w:color="auto" w:fill="FFFFFF"/>
        </w:rPr>
        <w:t>。</w:t>
      </w:r>
      <w:r>
        <w:rPr>
          <w:rStyle w:val="29"/>
          <w:snapToGrid w:val="0"/>
          <w:shd w:val="clear" w:color="auto" w:fill="FFFFFF"/>
        </w:rPr>
        <w:footnoteReference w:id="4"/>
      </w:r>
      <w:r>
        <w:rPr>
          <w:snapToGrid w:val="0"/>
          <w:u w:val="single"/>
          <w:shd w:val="clear" w:color="auto" w:fill="FFFFFF"/>
        </w:rPr>
        <w:t>请注意，试验必须在提交符合公认标准的声明之前完成。</w:t>
      </w:r>
      <w:r>
        <w:rPr>
          <w:snapToGrid w:val="0"/>
          <w:u w:val="single"/>
          <w:shd w:val="clear" w:color="auto" w:fill="FFFFFF"/>
          <w:lang w:val="en-US"/>
        </w:rPr>
        <w:t>（21 USC 514（c）（2）（B））</w:t>
      </w:r>
      <w:r>
        <w:rPr>
          <w:snapToGrid w:val="0"/>
          <w:u w:val="single"/>
          <w:shd w:val="clear" w:color="auto" w:fill="FFFFFF"/>
        </w:rPr>
        <w:t>。</w:t>
      </w:r>
      <w:r>
        <w:rPr>
          <w:snapToGrid w:val="0"/>
          <w:shd w:val="clear" w:color="auto" w:fill="FFFFFF"/>
        </w:rPr>
        <w:t>欲了解更多信息</w:t>
      </w:r>
      <w:r>
        <w:rPr>
          <w:snapToGrid w:val="0"/>
          <w:shd w:val="clear" w:color="auto" w:fill="FFFFFF"/>
          <w:lang w:val="en-US"/>
        </w:rPr>
        <w:t>，</w:t>
      </w:r>
      <w:r>
        <w:rPr>
          <w:snapToGrid w:val="0"/>
          <w:shd w:val="clear" w:color="auto" w:fill="FFFFFF"/>
        </w:rPr>
        <w:t>请参阅</w:t>
      </w:r>
      <w:r>
        <w:rPr>
          <w:snapToGrid w:val="0"/>
          <w:shd w:val="clear" w:color="auto" w:fill="FFFFFF"/>
          <w:lang w:val="en-US"/>
        </w:rPr>
        <w:t>FDA</w:t>
      </w:r>
      <w:r>
        <w:rPr>
          <w:snapToGrid w:val="0"/>
          <w:shd w:val="clear" w:color="auto" w:fill="FFFFFF"/>
        </w:rPr>
        <w:t>指南</w:t>
      </w:r>
      <w:r>
        <w:rPr>
          <w:snapToGrid w:val="0"/>
          <w:shd w:val="clear" w:color="auto" w:fill="FFFFFF"/>
          <w:lang w:val="en-US"/>
        </w:rPr>
        <w:t>，</w:t>
      </w:r>
      <w:r>
        <w:rPr>
          <w:snapToGrid w:val="0"/>
        </w:rPr>
        <w:t>实质</w:t>
      </w:r>
      <w:r>
        <w:rPr>
          <w:snapToGrid w:val="0"/>
          <w:shd w:val="clear" w:color="auto" w:fill="FFFFFF"/>
        </w:rPr>
        <w:t>等同性</w:t>
      </w:r>
      <w:r>
        <w:rPr>
          <w:rFonts w:hint="eastAsia"/>
          <w:snapToGrid w:val="0"/>
        </w:rPr>
        <w:t>判定</w:t>
      </w:r>
      <w:r>
        <w:rPr>
          <w:snapToGrid w:val="0"/>
        </w:rPr>
        <w:t>使用标准</w:t>
      </w:r>
      <w:r>
        <w:rPr>
          <w:snapToGrid w:val="0"/>
          <w:lang w:val="en-US"/>
        </w:rPr>
        <w:t>；</w:t>
      </w:r>
      <w:r>
        <w:rPr>
          <w:rFonts w:hint="eastAsia"/>
          <w:snapToGrid w:val="0"/>
          <w:sz w:val="21"/>
        </w:rPr>
        <w:t>行业和</w:t>
      </w:r>
      <w:r>
        <w:rPr>
          <w:snapToGrid w:val="0"/>
          <w:sz w:val="21"/>
          <w:lang w:val="en-US"/>
        </w:rPr>
        <w:t>FDA</w:t>
      </w:r>
      <w:r>
        <w:rPr>
          <w:rFonts w:hint="eastAsia"/>
          <w:snapToGrid w:val="0"/>
        </w:rPr>
        <w:t>最终指南</w:t>
      </w:r>
      <w:r>
        <w:rPr>
          <w:snapToGrid w:val="0"/>
          <w:lang w:val="en-US"/>
        </w:rPr>
        <w:t>，</w:t>
      </w:r>
      <w:r>
        <w:fldChar w:fldCharType="begin"/>
      </w:r>
      <w:r>
        <w:instrText xml:space="preserve"> HYPERLINK "http://www.fda.gov/cdrh/ode/guidance/1131.html" </w:instrText>
      </w:r>
      <w:r>
        <w:fldChar w:fldCharType="separate"/>
      </w:r>
      <w:r>
        <w:rPr>
          <w:rStyle w:val="27"/>
          <w:rFonts w:cs="Arial"/>
          <w:snapToGrid w:val="0"/>
          <w:szCs w:val="24"/>
          <w:lang w:val="en-US"/>
        </w:rPr>
        <w:t>http: //www.fda.gov/cdrh/ode/guidance/1131.html</w:t>
      </w:r>
      <w:r>
        <w:rPr>
          <w:rStyle w:val="27"/>
          <w:rFonts w:cs="Arial"/>
          <w:snapToGrid w:val="0"/>
          <w:szCs w:val="24"/>
          <w:lang w:val="en-US"/>
        </w:rPr>
        <w:fldChar w:fldCharType="end"/>
      </w:r>
      <w:r>
        <w:rPr>
          <w:snapToGrid w:val="0"/>
          <w:u w:val="single"/>
          <w:lang w:val="en-US"/>
        </w:rPr>
        <w:t>.</w:t>
      </w:r>
    </w:p>
    <w:p w14:paraId="21B8F9D9">
      <w:pPr>
        <w:spacing w:before="187"/>
        <w:rPr>
          <w:snapToGrid w:val="0"/>
        </w:rPr>
      </w:pPr>
      <w:r>
        <w:rPr>
          <w:snapToGrid w:val="0"/>
          <w:shd w:val="clear" w:color="auto" w:fill="FFFFFF"/>
        </w:rPr>
        <w:t>如果不清楚</w:t>
      </w:r>
      <w:r>
        <w:rPr>
          <w:rFonts w:hint="eastAsia"/>
          <w:snapToGrid w:val="0"/>
          <w:shd w:val="clear" w:color="auto" w:fill="FFFFFF"/>
        </w:rPr>
        <w:t>贵公司</w:t>
      </w:r>
      <w:r>
        <w:rPr>
          <w:snapToGrid w:val="0"/>
          <w:shd w:val="clear" w:color="auto" w:fill="FFFFFF"/>
        </w:rPr>
        <w:t>如何解决FDA识别的风险或通过贵公司的风险分析所确定的附加风险，我们可</w:t>
      </w:r>
      <w:r>
        <w:rPr>
          <w:rFonts w:hint="eastAsia"/>
          <w:snapToGrid w:val="0"/>
          <w:shd w:val="clear" w:color="auto" w:fill="FFFFFF"/>
        </w:rPr>
        <w:t>能</w:t>
      </w:r>
      <w:r>
        <w:rPr>
          <w:snapToGrid w:val="0"/>
          <w:shd w:val="clear" w:color="auto" w:fill="FFFFFF"/>
        </w:rPr>
        <w:t>要求有关</w:t>
      </w:r>
      <w:r>
        <w:rPr>
          <w:rFonts w:hint="eastAsia"/>
          <w:snapToGrid w:val="0"/>
          <w:shd w:val="clear" w:color="auto" w:fill="FFFFFF"/>
        </w:rPr>
        <w:t>医疗</w:t>
      </w:r>
      <w:r>
        <w:rPr>
          <w:snapToGrid w:val="0"/>
          <w:shd w:val="clear" w:color="auto" w:fill="FFFFFF"/>
        </w:rPr>
        <w:t>器械性能特征方面的其他信息。如果我们需要其他信息来评估贵公司的验收标准是否</w:t>
      </w:r>
      <w:r>
        <w:rPr>
          <w:rFonts w:hint="eastAsia"/>
          <w:snapToGrid w:val="0"/>
          <w:shd w:val="clear" w:color="auto" w:fill="FFFFFF"/>
        </w:rPr>
        <w:t>充分</w:t>
      </w:r>
      <w:r>
        <w:rPr>
          <w:snapToGrid w:val="0"/>
          <w:shd w:val="clear" w:color="auto" w:fill="FFFFFF"/>
        </w:rPr>
        <w:t>，我们也可能要求贵公司提供</w:t>
      </w:r>
      <w:r>
        <w:rPr>
          <w:rFonts w:hint="eastAsia"/>
          <w:snapToGrid w:val="0"/>
          <w:shd w:val="clear" w:color="auto" w:fill="FFFFFF"/>
        </w:rPr>
        <w:t>相关</w:t>
      </w:r>
      <w:r>
        <w:rPr>
          <w:snapToGrid w:val="0"/>
          <w:shd w:val="clear" w:color="auto" w:fill="FFFFFF"/>
        </w:rPr>
        <w:t>补充资料。（根据21 CFR 807.87（1），我们可能要求确定有关实质等同性所必须的任何</w:t>
      </w:r>
      <w:r>
        <w:rPr>
          <w:rFonts w:hint="eastAsia"/>
          <w:snapToGrid w:val="0"/>
          <w:shd w:val="clear" w:color="auto" w:fill="FFFFFF"/>
        </w:rPr>
        <w:t>其他</w:t>
      </w:r>
      <w:r>
        <w:rPr>
          <w:snapToGrid w:val="0"/>
          <w:shd w:val="clear" w:color="auto" w:fill="FFFFFF"/>
        </w:rPr>
        <w:t>资料。）</w:t>
      </w:r>
    </w:p>
    <w:p w14:paraId="21F396DE">
      <w:pPr>
        <w:spacing w:before="187"/>
        <w:rPr>
          <w:snapToGrid w:val="0"/>
          <w:shd w:val="clear" w:color="auto" w:fill="FFFFFF"/>
        </w:rPr>
      </w:pPr>
      <w:r>
        <w:rPr>
          <w:snapToGrid w:val="0"/>
          <w:shd w:val="clear" w:color="auto" w:fill="FFFFFF"/>
        </w:rPr>
        <w:t>作为提交简化510（k）的替代方案，贵公司可以提交传统510（k），提供根据21 CFR 807.87和本指南中所描述的所有信息和数据。传统510（k）应当包括贵公司所有的方法、数据、验收标准和结论。考虑修改自己</w:t>
      </w:r>
      <w:r>
        <w:rPr>
          <w:rFonts w:hint="eastAsia"/>
          <w:snapToGrid w:val="0"/>
          <w:shd w:val="clear" w:color="auto" w:fill="FFFFFF"/>
        </w:rPr>
        <w:t>许可</w:t>
      </w:r>
      <w:r>
        <w:rPr>
          <w:snapToGrid w:val="0"/>
          <w:shd w:val="clear" w:color="auto" w:fill="FFFFFF"/>
        </w:rPr>
        <w:t>器械的制造商应考虑提交特殊510（k）。</w:t>
      </w:r>
    </w:p>
    <w:p w14:paraId="340530D9">
      <w:pPr>
        <w:pStyle w:val="42"/>
        <w:numPr>
          <w:ilvl w:val="0"/>
          <w:numId w:val="3"/>
        </w:numPr>
        <w:spacing w:before="312" w:beforeLines="100" w:after="156" w:afterLines="50"/>
        <w:ind w:left="602" w:hanging="602" w:hangingChars="200"/>
        <w:outlineLvl w:val="0"/>
        <w:rPr>
          <w:b/>
          <w:snapToGrid w:val="0"/>
          <w:sz w:val="30"/>
          <w:szCs w:val="30"/>
        </w:rPr>
      </w:pPr>
      <w:bookmarkStart w:id="8" w:name="_Toc476057307"/>
      <w:bookmarkStart w:id="9" w:name="_Toc477515075"/>
      <w:r>
        <w:rPr>
          <w:rFonts w:hint="eastAsia"/>
          <w:b/>
          <w:snapToGrid w:val="0"/>
          <w:sz w:val="30"/>
          <w:szCs w:val="30"/>
        </w:rPr>
        <w:t>范围</w:t>
      </w:r>
      <w:bookmarkEnd w:id="8"/>
      <w:bookmarkEnd w:id="9"/>
    </w:p>
    <w:p w14:paraId="08157901">
      <w:pPr>
        <w:spacing w:before="187"/>
        <w:rPr>
          <w:snapToGrid w:val="0"/>
          <w:shd w:val="clear" w:color="auto" w:fill="FFFFFF"/>
        </w:rPr>
      </w:pPr>
      <w:r>
        <w:rPr>
          <w:snapToGrid w:val="0"/>
        </w:rPr>
        <w:t>该</w:t>
      </w:r>
      <w:r>
        <w:rPr>
          <w:rFonts w:hint="eastAsia"/>
          <w:snapToGrid w:val="0"/>
        </w:rPr>
        <w:t>医疗</w:t>
      </w:r>
      <w:r>
        <w:rPr>
          <w:snapToGrid w:val="0"/>
        </w:rPr>
        <w:t>器械技术包括但不限于以下自动化方法：</w:t>
      </w:r>
      <w:r>
        <w:rPr>
          <w:snapToGrid w:val="0"/>
          <w:shd w:val="clear" w:color="auto" w:fill="FFFFFF"/>
        </w:rPr>
        <w:t>光学</w:t>
      </w:r>
      <w:r>
        <w:rPr>
          <w:rFonts w:hint="eastAsia"/>
          <w:snapToGrid w:val="0"/>
          <w:shd w:val="clear" w:color="auto" w:fill="FFFFFF"/>
        </w:rPr>
        <w:t>、</w:t>
      </w:r>
      <w:r>
        <w:rPr>
          <w:snapToGrid w:val="0"/>
          <w:shd w:val="clear" w:color="auto" w:fill="FFFFFF"/>
        </w:rPr>
        <w:t>荧光</w:t>
      </w:r>
      <w:r>
        <w:rPr>
          <w:rFonts w:hint="eastAsia"/>
          <w:snapToGrid w:val="0"/>
          <w:shd w:val="clear" w:color="auto" w:fill="FFFFFF"/>
        </w:rPr>
        <w:t>、</w:t>
      </w:r>
      <w:r>
        <w:rPr>
          <w:snapToGrid w:val="0"/>
          <w:shd w:val="clear" w:color="auto" w:fill="FFFFFF"/>
        </w:rPr>
        <w:t>机械和阻抗</w:t>
      </w:r>
      <w:r>
        <w:rPr>
          <w:snapToGrid w:val="0"/>
        </w:rPr>
        <w:t>。</w:t>
      </w:r>
      <w:r>
        <w:rPr>
          <w:snapToGrid w:val="0"/>
          <w:shd w:val="clear" w:color="auto" w:fill="FFFFFF"/>
        </w:rPr>
        <w:t>这种通用类型的</w:t>
      </w:r>
      <w:r>
        <w:rPr>
          <w:rFonts w:hint="eastAsia"/>
          <w:snapToGrid w:val="0"/>
          <w:shd w:val="clear" w:color="auto" w:fill="FFFFFF"/>
        </w:rPr>
        <w:t>医疗</w:t>
      </w:r>
      <w:r>
        <w:rPr>
          <w:snapToGrid w:val="0"/>
          <w:shd w:val="clear" w:color="auto" w:fill="FFFFFF"/>
        </w:rPr>
        <w:t>器械包括：</w:t>
      </w:r>
    </w:p>
    <w:p w14:paraId="7FC3B4BE">
      <w:pPr>
        <w:spacing w:before="187"/>
        <w:rPr>
          <w:snapToGrid w:val="0"/>
          <w:shd w:val="clear" w:color="auto" w:fill="FFFFFF"/>
        </w:rPr>
      </w:pPr>
      <w:r>
        <w:rPr>
          <w:snapToGrid w:val="0"/>
          <w:shd w:val="clear" w:color="auto" w:fill="FFFFFF"/>
        </w:rPr>
        <w:t>21</w:t>
      </w:r>
      <w:r>
        <w:rPr>
          <w:snapToGrid w:val="0"/>
          <w:u w:val="single"/>
          <w:shd w:val="clear" w:color="auto" w:fill="FFFFFF"/>
        </w:rPr>
        <w:t xml:space="preserve"> CFR 864.5400.血凝分析仪。</w:t>
      </w:r>
      <w:r>
        <w:rPr>
          <w:snapToGrid w:val="0"/>
          <w:shd w:val="clear" w:color="auto" w:fill="FFFFFF"/>
        </w:rPr>
        <w:t>血凝分析仪是一种自动化或半自动化</w:t>
      </w:r>
      <w:r>
        <w:rPr>
          <w:rFonts w:hint="eastAsia"/>
          <w:snapToGrid w:val="0"/>
          <w:shd w:val="clear" w:color="auto" w:fill="FFFFFF"/>
        </w:rPr>
        <w:t>的医疗</w:t>
      </w:r>
      <w:r>
        <w:rPr>
          <w:snapToGrid w:val="0"/>
          <w:shd w:val="clear" w:color="auto" w:fill="FFFFFF"/>
        </w:rPr>
        <w:t>器械，用于体外血凝研究</w:t>
      </w:r>
      <w:r>
        <w:rPr>
          <w:rFonts w:hint="eastAsia"/>
          <w:snapToGrid w:val="0"/>
          <w:shd w:val="clear" w:color="auto" w:fill="FFFFFF"/>
        </w:rPr>
        <w:t>中确定凝块的开始形成</w:t>
      </w:r>
      <w:r>
        <w:rPr>
          <w:snapToGrid w:val="0"/>
          <w:shd w:val="clear" w:color="auto" w:fill="FFFFFF"/>
        </w:rPr>
        <w:t>。</w:t>
      </w:r>
    </w:p>
    <w:p w14:paraId="38403733">
      <w:pPr>
        <w:spacing w:before="187"/>
        <w:rPr>
          <w:snapToGrid w:val="0"/>
          <w:shd w:val="clear" w:color="auto" w:fill="FFFFFF"/>
        </w:rPr>
      </w:pPr>
      <w:r>
        <w:rPr>
          <w:snapToGrid w:val="0"/>
          <w:shd w:val="clear" w:color="auto" w:fill="FFFFFF"/>
        </w:rPr>
        <w:br w:type="page"/>
      </w:r>
    </w:p>
    <w:p w14:paraId="57597BEE">
      <w:pPr>
        <w:spacing w:before="187"/>
        <w:ind w:left="480" w:leftChars="200"/>
        <w:rPr>
          <w:snapToGrid w:val="0"/>
        </w:rPr>
      </w:pPr>
      <w:r>
        <w:rPr>
          <w:rFonts w:hint="eastAsia"/>
          <w:snapToGrid w:val="0"/>
        </w:rPr>
        <w:t>产品代码：</w:t>
      </w:r>
    </w:p>
    <w:p w14:paraId="4EE90CC6">
      <w:pPr>
        <w:tabs>
          <w:tab w:val="left" w:pos="1440"/>
        </w:tabs>
        <w:spacing w:before="187"/>
        <w:ind w:left="480" w:leftChars="200"/>
        <w:rPr>
          <w:bCs/>
          <w:snapToGrid w:val="0"/>
          <w:shd w:val="clear" w:color="auto" w:fill="FFFFFF"/>
        </w:rPr>
      </w:pPr>
      <w:r>
        <w:rPr>
          <w:b/>
          <w:snapToGrid w:val="0"/>
        </w:rPr>
        <w:t>GIE</w:t>
      </w:r>
      <w:r>
        <w:rPr>
          <w:snapToGrid w:val="0"/>
        </w:rPr>
        <w:t xml:space="preserve"> </w:t>
      </w:r>
      <w:r>
        <w:rPr>
          <w:rFonts w:hint="eastAsia"/>
          <w:snapToGrid w:val="0"/>
        </w:rPr>
        <w:tab/>
      </w:r>
      <w:r>
        <w:rPr>
          <w:bCs/>
          <w:snapToGrid w:val="0"/>
          <w:shd w:val="clear" w:color="auto" w:fill="FFFFFF"/>
        </w:rPr>
        <w:t>纤维蛋白检测法</w:t>
      </w:r>
    </w:p>
    <w:p w14:paraId="094E1C00">
      <w:pPr>
        <w:tabs>
          <w:tab w:val="left" w:pos="1440"/>
        </w:tabs>
        <w:spacing w:before="187"/>
        <w:ind w:left="480" w:leftChars="200"/>
        <w:rPr>
          <w:bCs/>
          <w:snapToGrid w:val="0"/>
          <w:shd w:val="clear" w:color="auto" w:fill="FFFFFF"/>
        </w:rPr>
      </w:pPr>
      <w:r>
        <w:rPr>
          <w:b/>
          <w:bCs/>
          <w:snapToGrid w:val="0"/>
          <w:shd w:val="clear" w:color="auto" w:fill="FFFFFF"/>
        </w:rPr>
        <w:t>KQG</w:t>
      </w:r>
      <w:r>
        <w:rPr>
          <w:rFonts w:hint="eastAsia"/>
          <w:b/>
          <w:bCs/>
          <w:snapToGrid w:val="0"/>
          <w:shd w:val="clear" w:color="auto" w:fill="FFFFFF"/>
        </w:rPr>
        <w:tab/>
      </w:r>
      <w:r>
        <w:rPr>
          <w:rFonts w:hint="eastAsia"/>
          <w:bCs/>
          <w:snapToGrid w:val="0"/>
          <w:shd w:val="clear" w:color="auto" w:fill="FFFFFF"/>
        </w:rPr>
        <w:t>仪器，凝血</w:t>
      </w:r>
    </w:p>
    <w:p w14:paraId="2329E520">
      <w:pPr>
        <w:tabs>
          <w:tab w:val="left" w:pos="1440"/>
        </w:tabs>
        <w:spacing w:before="187"/>
        <w:ind w:left="480" w:leftChars="200"/>
        <w:rPr>
          <w:bCs/>
          <w:snapToGrid w:val="0"/>
          <w:shd w:val="clear" w:color="auto" w:fill="FFFFFF"/>
        </w:rPr>
      </w:pPr>
      <w:r>
        <w:rPr>
          <w:b/>
          <w:bCs/>
          <w:snapToGrid w:val="0"/>
          <w:shd w:val="clear" w:color="auto" w:fill="FFFFFF"/>
        </w:rPr>
        <w:t>GKP</w:t>
      </w:r>
      <w:r>
        <w:rPr>
          <w:bCs/>
          <w:snapToGrid w:val="0"/>
          <w:shd w:val="clear" w:color="auto" w:fill="FFFFFF"/>
        </w:rPr>
        <w:t xml:space="preserve"> </w:t>
      </w:r>
      <w:r>
        <w:rPr>
          <w:rFonts w:hint="eastAsia"/>
          <w:bCs/>
          <w:snapToGrid w:val="0"/>
          <w:shd w:val="clear" w:color="auto" w:fill="FFFFFF"/>
        </w:rPr>
        <w:tab/>
      </w:r>
      <w:r>
        <w:rPr>
          <w:rFonts w:hint="eastAsia"/>
          <w:bCs/>
          <w:snapToGrid w:val="0"/>
          <w:shd w:val="clear" w:color="auto" w:fill="FFFFFF"/>
        </w:rPr>
        <w:t>仪器，凝血</w:t>
      </w:r>
    </w:p>
    <w:p w14:paraId="417D7C8A">
      <w:pPr>
        <w:spacing w:before="187"/>
        <w:rPr>
          <w:snapToGrid w:val="0"/>
          <w:shd w:val="clear" w:color="auto" w:fill="FFFFFF"/>
        </w:rPr>
      </w:pPr>
      <w:r>
        <w:rPr>
          <w:snapToGrid w:val="0"/>
          <w:shd w:val="clear" w:color="auto" w:fill="FFFFFF"/>
        </w:rPr>
        <w:t>21</w:t>
      </w:r>
      <w:r>
        <w:rPr>
          <w:snapToGrid w:val="0"/>
          <w:u w:val="single"/>
          <w:shd w:val="clear" w:color="auto" w:fill="FFFFFF"/>
        </w:rPr>
        <w:t xml:space="preserve"> CFR 864.5425.体外凝</w:t>
      </w:r>
      <w:r>
        <w:rPr>
          <w:rFonts w:hint="eastAsia"/>
          <w:snapToGrid w:val="0"/>
          <w:u w:val="single"/>
          <w:shd w:val="clear" w:color="auto" w:fill="FFFFFF"/>
        </w:rPr>
        <w:t>血</w:t>
      </w:r>
      <w:r>
        <w:rPr>
          <w:snapToGrid w:val="0"/>
          <w:u w:val="single"/>
          <w:shd w:val="clear" w:color="auto" w:fill="FFFFFF"/>
        </w:rPr>
        <w:t>研究用多用途系统。</w:t>
      </w:r>
      <w:r>
        <w:rPr>
          <w:snapToGrid w:val="0"/>
          <w:shd w:val="clear" w:color="auto" w:fill="FFFFFF"/>
        </w:rPr>
        <w:t>体外凝</w:t>
      </w:r>
      <w:r>
        <w:rPr>
          <w:rFonts w:hint="eastAsia"/>
          <w:snapToGrid w:val="0"/>
          <w:shd w:val="clear" w:color="auto" w:fill="FFFFFF"/>
        </w:rPr>
        <w:t>血</w:t>
      </w:r>
      <w:r>
        <w:rPr>
          <w:snapToGrid w:val="0"/>
          <w:shd w:val="clear" w:color="auto" w:fill="FFFFFF"/>
        </w:rPr>
        <w:t>研究用多用途系统血凝分析仪是一种由自动化或半自动化仪器及其相关试剂和控件组成的器械。该系统用于执行一系列</w:t>
      </w:r>
      <w:r>
        <w:rPr>
          <w:rFonts w:hint="eastAsia"/>
          <w:snapToGrid w:val="0"/>
          <w:shd w:val="clear" w:color="auto" w:fill="FFFFFF"/>
        </w:rPr>
        <w:t>的</w:t>
      </w:r>
      <w:r>
        <w:rPr>
          <w:snapToGrid w:val="0"/>
          <w:shd w:val="clear" w:color="auto" w:fill="FFFFFF"/>
        </w:rPr>
        <w:t>凝血研究和凝血因子</w:t>
      </w:r>
      <w:r>
        <w:rPr>
          <w:rFonts w:hint="eastAsia"/>
          <w:snapToGrid w:val="0"/>
          <w:shd w:val="clear" w:color="auto" w:fill="FFFFFF"/>
        </w:rPr>
        <w:t>化验</w:t>
      </w:r>
      <w:r>
        <w:rPr>
          <w:snapToGrid w:val="0"/>
          <w:shd w:val="clear" w:color="auto" w:fill="FFFFFF"/>
        </w:rPr>
        <w:t>。</w:t>
      </w:r>
    </w:p>
    <w:p w14:paraId="28F19158">
      <w:pPr>
        <w:spacing w:before="187"/>
        <w:ind w:left="480" w:leftChars="200"/>
        <w:rPr>
          <w:snapToGrid w:val="0"/>
        </w:rPr>
      </w:pPr>
      <w:r>
        <w:rPr>
          <w:rFonts w:hint="eastAsia"/>
          <w:snapToGrid w:val="0"/>
        </w:rPr>
        <w:t>产品代码：</w:t>
      </w:r>
    </w:p>
    <w:p w14:paraId="156FD7BB">
      <w:pPr>
        <w:tabs>
          <w:tab w:val="left" w:pos="1440"/>
        </w:tabs>
        <w:spacing w:before="187"/>
        <w:ind w:left="480" w:leftChars="200"/>
        <w:rPr>
          <w:b/>
          <w:snapToGrid w:val="0"/>
        </w:rPr>
      </w:pPr>
      <w:r>
        <w:rPr>
          <w:b/>
          <w:snapToGrid w:val="0"/>
        </w:rPr>
        <w:t>G</w:t>
      </w:r>
      <w:r>
        <w:rPr>
          <w:rFonts w:hint="eastAsia"/>
          <w:b/>
          <w:snapToGrid w:val="0"/>
        </w:rPr>
        <w:t>KN</w:t>
      </w:r>
      <w:r>
        <w:rPr>
          <w:rFonts w:hint="eastAsia"/>
          <w:snapToGrid w:val="0"/>
        </w:rPr>
        <w:tab/>
      </w:r>
      <w:r>
        <w:rPr>
          <w:rFonts w:hint="eastAsia"/>
          <w:snapToGrid w:val="0"/>
        </w:rPr>
        <w:t>定时器、凝块、自动化</w:t>
      </w:r>
    </w:p>
    <w:p w14:paraId="393B358F">
      <w:pPr>
        <w:tabs>
          <w:tab w:val="left" w:pos="1440"/>
        </w:tabs>
        <w:spacing w:before="187"/>
        <w:ind w:left="480" w:leftChars="200"/>
        <w:rPr>
          <w:b/>
          <w:snapToGrid w:val="0"/>
        </w:rPr>
      </w:pPr>
      <w:r>
        <w:rPr>
          <w:rFonts w:hint="eastAsia"/>
          <w:b/>
          <w:snapToGrid w:val="0"/>
        </w:rPr>
        <w:t>JBT</w:t>
      </w:r>
      <w:r>
        <w:rPr>
          <w:rFonts w:hint="eastAsia"/>
          <w:snapToGrid w:val="0"/>
        </w:rPr>
        <w:tab/>
      </w:r>
      <w:r>
        <w:rPr>
          <w:rFonts w:hint="eastAsia"/>
          <w:snapToGrid w:val="0"/>
        </w:rPr>
        <w:t>定时器、凝血</w:t>
      </w:r>
    </w:p>
    <w:p w14:paraId="01D4DCFF">
      <w:pPr>
        <w:tabs>
          <w:tab w:val="left" w:pos="1440"/>
        </w:tabs>
        <w:spacing w:before="187"/>
        <w:ind w:left="480" w:leftChars="200"/>
        <w:rPr>
          <w:b/>
          <w:snapToGrid w:val="0"/>
        </w:rPr>
      </w:pPr>
      <w:r>
        <w:rPr>
          <w:rFonts w:hint="eastAsia"/>
          <w:b/>
          <w:snapToGrid w:val="0"/>
        </w:rPr>
        <w:t>JPA</w:t>
      </w:r>
      <w:r>
        <w:rPr>
          <w:rFonts w:hint="eastAsia"/>
          <w:snapToGrid w:val="0"/>
        </w:rPr>
        <w:tab/>
      </w:r>
      <w:r>
        <w:rPr>
          <w:rFonts w:hint="eastAsia"/>
          <w:snapToGrid w:val="0"/>
        </w:rPr>
        <w:t>系统、多用途体外凝血</w:t>
      </w:r>
    </w:p>
    <w:p w14:paraId="0DD0990E">
      <w:pPr>
        <w:spacing w:before="187"/>
        <w:rPr>
          <w:snapToGrid w:val="0"/>
        </w:rPr>
      </w:pPr>
      <w:r>
        <w:rPr>
          <w:snapToGrid w:val="0"/>
        </w:rPr>
        <w:t>这些通用血凝分析仪均为</w:t>
      </w:r>
      <w:r>
        <w:rPr>
          <w:rFonts w:hint="eastAsia" w:ascii="宋体" w:hAnsi="宋体" w:cs="宋体"/>
          <w:snapToGrid w:val="0"/>
        </w:rPr>
        <w:t>Ⅱ</w:t>
      </w:r>
      <w:r>
        <w:rPr>
          <w:snapToGrid w:val="0"/>
        </w:rPr>
        <w:t>类器械，血液学及病理学器械组。</w:t>
      </w:r>
    </w:p>
    <w:p w14:paraId="614F10C6">
      <w:pPr>
        <w:pStyle w:val="42"/>
        <w:numPr>
          <w:ilvl w:val="0"/>
          <w:numId w:val="3"/>
        </w:numPr>
        <w:spacing w:before="312" w:beforeLines="100" w:after="156" w:afterLines="50"/>
        <w:ind w:left="602" w:hanging="602" w:hangingChars="200"/>
        <w:outlineLvl w:val="0"/>
        <w:rPr>
          <w:b/>
          <w:snapToGrid w:val="0"/>
          <w:sz w:val="30"/>
          <w:szCs w:val="30"/>
        </w:rPr>
      </w:pPr>
      <w:bookmarkStart w:id="10" w:name="_Toc476057308"/>
      <w:bookmarkStart w:id="11" w:name="_Toc477515076"/>
      <w:r>
        <w:rPr>
          <w:rFonts w:hint="eastAsia"/>
          <w:b/>
          <w:snapToGrid w:val="0"/>
          <w:sz w:val="30"/>
          <w:szCs w:val="30"/>
        </w:rPr>
        <w:t>健康风险</w:t>
      </w:r>
      <w:bookmarkEnd w:id="10"/>
      <w:bookmarkEnd w:id="11"/>
    </w:p>
    <w:p w14:paraId="3B2473CE">
      <w:pPr>
        <w:spacing w:before="187"/>
        <w:rPr>
          <w:snapToGrid w:val="0"/>
        </w:rPr>
      </w:pPr>
      <w:r>
        <w:rPr>
          <w:rFonts w:hint="eastAsia"/>
          <w:snapToGrid w:val="0"/>
        </w:rPr>
        <w:t>没有对患者健康产生已知的直接风险。然而，所示的试验系统执行故障或结果的解释错误可能导致患者管理不当。</w:t>
      </w:r>
    </w:p>
    <w:p w14:paraId="409BDC99">
      <w:pPr>
        <w:spacing w:before="187"/>
        <w:rPr>
          <w:snapToGrid w:val="0"/>
          <w:shd w:val="clear" w:color="auto" w:fill="FFFFFF"/>
        </w:rPr>
      </w:pPr>
      <w:r>
        <w:rPr>
          <w:snapToGrid w:val="0"/>
          <w:shd w:val="clear" w:color="auto" w:fill="FFFFFF"/>
        </w:rPr>
        <w:t>在下面的表格中，</w:t>
      </w:r>
      <w:r>
        <w:rPr>
          <w:snapToGrid w:val="0"/>
        </w:rPr>
        <w:t>FDA</w:t>
      </w:r>
      <w:r>
        <w:rPr>
          <w:snapToGrid w:val="0"/>
          <w:shd w:val="clear" w:color="auto" w:fill="FFFFFF"/>
        </w:rPr>
        <w:t>已识别与本文件中提到的血凝分析仪使用相关的健康风险。这些措施推荐用于</w:t>
      </w:r>
      <w:r>
        <w:rPr>
          <w:rFonts w:hint="eastAsia"/>
          <w:snapToGrid w:val="0"/>
          <w:shd w:val="clear" w:color="auto" w:fill="FFFFFF"/>
        </w:rPr>
        <w:t>缓解</w:t>
      </w:r>
      <w:r>
        <w:rPr>
          <w:snapToGrid w:val="0"/>
          <w:shd w:val="clear" w:color="auto" w:fill="FFFFFF"/>
        </w:rPr>
        <w:t>在本文件中给出的这些识别风险，如下表所示。我们建议贵公司在提交上市前通告之前，先进行风险分析，以识别贵公司器械的任何其他特定风险。上市前通告应当描述风险分析方法。如果</w:t>
      </w:r>
      <w:r>
        <w:rPr>
          <w:rFonts w:hint="eastAsia"/>
          <w:snapToGrid w:val="0"/>
          <w:shd w:val="clear" w:color="auto" w:fill="FFFFFF"/>
        </w:rPr>
        <w:t>贵公司</w:t>
      </w:r>
      <w:r>
        <w:rPr>
          <w:snapToGrid w:val="0"/>
          <w:shd w:val="clear" w:color="auto" w:fill="FFFFFF"/>
        </w:rPr>
        <w:t>选择使用替代的方法来解决在本文件中识别的特定风险或在本文档中已识别的附加风险，贵公司应当提供足够的细节来支持贵公司用于解决这些风险的方法。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12FC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shd w:val="clear" w:color="auto" w:fill="CCECFF"/>
          </w:tcPr>
          <w:p w14:paraId="2BD0AC7F">
            <w:pPr>
              <w:spacing w:before="93" w:beforeLines="30" w:after="93" w:afterLines="30" w:line="260" w:lineRule="exact"/>
              <w:jc w:val="center"/>
              <w:rPr>
                <w:b/>
                <w:snapToGrid w:val="0"/>
                <w:sz w:val="21"/>
                <w:szCs w:val="21"/>
              </w:rPr>
            </w:pPr>
            <w:r>
              <w:rPr>
                <w:rFonts w:hint="eastAsia"/>
                <w:b/>
                <w:snapToGrid w:val="0"/>
                <w:sz w:val="21"/>
                <w:szCs w:val="21"/>
              </w:rPr>
              <w:t>识别的风险</w:t>
            </w:r>
          </w:p>
        </w:tc>
        <w:tc>
          <w:tcPr>
            <w:tcW w:w="4621" w:type="dxa"/>
            <w:shd w:val="clear" w:color="auto" w:fill="CCECFF"/>
          </w:tcPr>
          <w:p w14:paraId="7A1670B8">
            <w:pPr>
              <w:spacing w:before="93" w:beforeLines="30" w:after="93" w:afterLines="30" w:line="260" w:lineRule="exact"/>
              <w:jc w:val="center"/>
              <w:rPr>
                <w:b/>
                <w:snapToGrid w:val="0"/>
                <w:sz w:val="21"/>
                <w:szCs w:val="21"/>
              </w:rPr>
            </w:pPr>
            <w:r>
              <w:rPr>
                <w:rFonts w:hint="eastAsia"/>
                <w:b/>
                <w:snapToGrid w:val="0"/>
                <w:sz w:val="21"/>
                <w:szCs w:val="21"/>
              </w:rPr>
              <w:t>建议缓解措施</w:t>
            </w:r>
          </w:p>
        </w:tc>
      </w:tr>
      <w:tr w14:paraId="6C15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0785EB5">
            <w:pPr>
              <w:spacing w:before="93" w:beforeLines="30" w:after="93" w:afterLines="30" w:line="260" w:lineRule="exact"/>
              <w:jc w:val="center"/>
              <w:rPr>
                <w:snapToGrid w:val="0"/>
                <w:sz w:val="21"/>
                <w:szCs w:val="21"/>
              </w:rPr>
            </w:pPr>
            <w:r>
              <w:rPr>
                <w:rFonts w:hint="eastAsia"/>
                <w:snapToGrid w:val="0"/>
                <w:sz w:val="21"/>
                <w:szCs w:val="21"/>
              </w:rPr>
              <w:t>患者管理不当</w:t>
            </w:r>
          </w:p>
        </w:tc>
        <w:tc>
          <w:tcPr>
            <w:tcW w:w="4621" w:type="dxa"/>
          </w:tcPr>
          <w:p w14:paraId="55604F38">
            <w:pPr>
              <w:spacing w:before="93" w:beforeLines="30" w:after="93" w:afterLines="30" w:line="260" w:lineRule="exact"/>
              <w:jc w:val="center"/>
              <w:rPr>
                <w:snapToGrid w:val="0"/>
                <w:sz w:val="21"/>
                <w:szCs w:val="21"/>
              </w:rPr>
            </w:pPr>
            <w:r>
              <w:rPr>
                <w:rFonts w:hint="eastAsia"/>
                <w:snapToGrid w:val="0"/>
                <w:sz w:val="21"/>
                <w:szCs w:val="21"/>
              </w:rPr>
              <w:t>第6、7和8部分</w:t>
            </w:r>
          </w:p>
        </w:tc>
      </w:tr>
    </w:tbl>
    <w:p w14:paraId="2A4AF20C">
      <w:pPr>
        <w:spacing w:before="187"/>
        <w:rPr>
          <w:snapToGrid w:val="0"/>
        </w:rPr>
      </w:pPr>
      <w:bookmarkStart w:id="12" w:name="_Toc476057309"/>
    </w:p>
    <w:p w14:paraId="0BB0CEE2">
      <w:pPr>
        <w:pStyle w:val="42"/>
        <w:numPr>
          <w:ilvl w:val="0"/>
          <w:numId w:val="3"/>
        </w:numPr>
        <w:spacing w:before="312" w:beforeLines="100" w:after="156" w:afterLines="50"/>
        <w:ind w:left="602" w:hanging="602" w:hangingChars="200"/>
        <w:outlineLvl w:val="0"/>
        <w:rPr>
          <w:b/>
          <w:snapToGrid w:val="0"/>
          <w:sz w:val="30"/>
          <w:szCs w:val="30"/>
        </w:rPr>
      </w:pPr>
      <w:bookmarkStart w:id="13" w:name="_Toc477515077"/>
      <w:r>
        <w:rPr>
          <w:rFonts w:hint="eastAsia"/>
          <w:b/>
          <w:snapToGrid w:val="0"/>
          <w:sz w:val="30"/>
          <w:szCs w:val="30"/>
        </w:rPr>
        <w:t>性能特征</w:t>
      </w:r>
      <w:bookmarkEnd w:id="12"/>
      <w:bookmarkEnd w:id="13"/>
    </w:p>
    <w:p w14:paraId="290766CA">
      <w:pPr>
        <w:spacing w:before="187"/>
        <w:rPr>
          <w:b/>
          <w:snapToGrid w:val="0"/>
        </w:rPr>
      </w:pPr>
      <w:r>
        <w:rPr>
          <w:rFonts w:hint="eastAsia"/>
          <w:b/>
          <w:snapToGrid w:val="0"/>
        </w:rPr>
        <w:t>一般研究建议</w:t>
      </w:r>
    </w:p>
    <w:p w14:paraId="5A6F8CAD">
      <w:pPr>
        <w:spacing w:before="187"/>
        <w:rPr>
          <w:snapToGrid w:val="0"/>
          <w:shd w:val="clear" w:color="auto" w:fill="FFFFFF"/>
        </w:rPr>
      </w:pPr>
      <w:r>
        <w:rPr>
          <w:rFonts w:hint="eastAsia"/>
          <w:snapToGrid w:val="0"/>
          <w:shd w:val="clear" w:color="auto" w:fill="FFFFFF"/>
        </w:rPr>
        <w:t>如果</w:t>
      </w:r>
      <w:r>
        <w:rPr>
          <w:snapToGrid w:val="0"/>
          <w:shd w:val="clear" w:color="auto" w:fill="FFFFFF"/>
        </w:rPr>
        <w:t>可能，我们建议贵公司</w:t>
      </w:r>
      <w:r>
        <w:rPr>
          <w:rFonts w:hint="eastAsia"/>
          <w:snapToGrid w:val="0"/>
          <w:shd w:val="clear" w:color="auto" w:fill="FFFFFF"/>
        </w:rPr>
        <w:t>纳入</w:t>
      </w:r>
      <w:r>
        <w:rPr>
          <w:snapToGrid w:val="0"/>
          <w:shd w:val="clear" w:color="auto" w:fill="FFFFFF"/>
        </w:rPr>
        <w:t>来自预期使用人群（即评价凝血异常的患者）的患者样本或样本池，用于下面所描述的分析方案。我们建议贵公司使用最终量产的模型器械进行研究，而</w:t>
      </w:r>
      <w:r>
        <w:rPr>
          <w:rFonts w:hint="eastAsia"/>
          <w:snapToGrid w:val="0"/>
          <w:shd w:val="clear" w:color="auto" w:fill="FFFFFF"/>
        </w:rPr>
        <w:t>非</w:t>
      </w:r>
      <w:r>
        <w:rPr>
          <w:snapToGrid w:val="0"/>
          <w:shd w:val="clear" w:color="auto" w:fill="FFFFFF"/>
        </w:rPr>
        <w:t>采用原型机进行研究。</w:t>
      </w:r>
    </w:p>
    <w:p w14:paraId="080CA2C4">
      <w:pPr>
        <w:spacing w:before="187"/>
        <w:rPr>
          <w:snapToGrid w:val="0"/>
          <w:shd w:val="clear" w:color="auto" w:fill="FFFFFF"/>
        </w:rPr>
      </w:pPr>
      <w:r>
        <w:rPr>
          <w:snapToGrid w:val="0"/>
        </w:rPr>
        <w:t>FDA建议贵公司在除制造商所在地以外</w:t>
      </w:r>
      <w:r>
        <w:rPr>
          <w:rFonts w:hint="eastAsia"/>
          <w:snapToGrid w:val="0"/>
        </w:rPr>
        <w:t>的</w:t>
      </w:r>
      <w:r>
        <w:rPr>
          <w:snapToGrid w:val="0"/>
        </w:rPr>
        <w:t>至少2个外部场所评价分析仪。一般来说，我们建议器械由将在临床实践中</w:t>
      </w:r>
      <w:r>
        <w:rPr>
          <w:rFonts w:hint="eastAsia"/>
          <w:snapToGrid w:val="0"/>
        </w:rPr>
        <w:t>进行</w:t>
      </w:r>
      <w:r>
        <w:rPr>
          <w:snapToGrid w:val="0"/>
        </w:rPr>
        <w:t>该试验的个人（例如，接受过培训的专业技术人员）在最终使用的试验环境中（如中心实验室）进行性能评估。我们建议贵公司首先单独分析数据，以评价任何内部</w:t>
      </w:r>
      <w:r>
        <w:rPr>
          <w:rFonts w:hint="eastAsia"/>
          <w:snapToGrid w:val="0"/>
        </w:rPr>
        <w:t>场所</w:t>
      </w:r>
      <w:r>
        <w:rPr>
          <w:snapToGrid w:val="0"/>
        </w:rPr>
        <w:t>间的变化，</w:t>
      </w:r>
      <w:r>
        <w:rPr>
          <w:snapToGrid w:val="0"/>
          <w:shd w:val="clear" w:color="auto" w:fill="FFFFFF"/>
        </w:rPr>
        <w:t>并将分析结果包括在510（k）总结报告中。如果贵公司证明在不同</w:t>
      </w:r>
      <w:r>
        <w:rPr>
          <w:rFonts w:hint="eastAsia"/>
          <w:snapToGrid w:val="0"/>
          <w:shd w:val="clear" w:color="auto" w:fill="FFFFFF"/>
        </w:rPr>
        <w:t>场所</w:t>
      </w:r>
      <w:r>
        <w:rPr>
          <w:snapToGrid w:val="0"/>
          <w:shd w:val="clear" w:color="auto" w:fill="FFFFFF"/>
        </w:rPr>
        <w:t>之间的结果没有显著差异，贵公司可以在</w:t>
      </w:r>
      <w:r>
        <w:rPr>
          <w:rFonts w:hint="eastAsia"/>
          <w:snapToGrid w:val="0"/>
          <w:shd w:val="clear" w:color="auto" w:fill="FFFFFF"/>
        </w:rPr>
        <w:t>包装</w:t>
      </w:r>
      <w:r>
        <w:rPr>
          <w:snapToGrid w:val="0"/>
          <w:shd w:val="clear" w:color="auto" w:fill="FFFFFF"/>
        </w:rPr>
        <w:t>说明书中混合来自个别站点的方法比较结果。开始任何临床研究之前，贵公司可以联系免疫学和血液学器械部。</w:t>
      </w:r>
    </w:p>
    <w:p w14:paraId="0E0B2555">
      <w:pPr>
        <w:spacing w:before="187"/>
        <w:rPr>
          <w:snapToGrid w:val="0"/>
          <w:shd w:val="clear" w:color="auto" w:fill="FFFFFF"/>
        </w:rPr>
      </w:pPr>
      <w:r>
        <w:rPr>
          <w:snapToGrid w:val="0"/>
          <w:shd w:val="clear" w:color="auto" w:fill="FFFFFF"/>
        </w:rPr>
        <w:t>虽然加标样品可以用来补充研究，</w:t>
      </w:r>
      <w:r>
        <w:rPr>
          <w:snapToGrid w:val="0"/>
        </w:rPr>
        <w:t>FDA</w:t>
      </w:r>
      <w:r>
        <w:rPr>
          <w:snapToGrid w:val="0"/>
          <w:shd w:val="clear" w:color="auto" w:fill="FFFFFF"/>
        </w:rPr>
        <w:t>警告不要使用加标样品作为评价的唯一</w:t>
      </w:r>
      <w:r>
        <w:rPr>
          <w:rFonts w:hint="eastAsia"/>
          <w:snapToGrid w:val="0"/>
          <w:shd w:val="clear" w:color="auto" w:fill="FFFFFF"/>
        </w:rPr>
        <w:t>基质</w:t>
      </w:r>
      <w:r>
        <w:rPr>
          <w:snapToGrid w:val="0"/>
          <w:shd w:val="clear" w:color="auto" w:fill="FFFFFF"/>
        </w:rPr>
        <w:t>，因为加标的样品可能无法提供准确的性能特征评估。</w:t>
      </w:r>
      <w:r>
        <w:rPr>
          <w:snapToGrid w:val="0"/>
        </w:rPr>
        <w:t>FDA</w:t>
      </w:r>
      <w:r>
        <w:rPr>
          <w:snapToGrid w:val="0"/>
          <w:shd w:val="clear" w:color="auto" w:fill="FFFFFF"/>
        </w:rPr>
        <w:t>建议贵公司再分析研究中不要使用红细胞溶解液（经常在</w:t>
      </w:r>
      <w:r>
        <w:rPr>
          <w:rFonts w:hint="eastAsia"/>
          <w:snapToGrid w:val="0"/>
          <w:shd w:val="clear" w:color="auto" w:fill="FFFFFF"/>
        </w:rPr>
        <w:t>对照</w:t>
      </w:r>
      <w:r>
        <w:rPr>
          <w:snapToGrid w:val="0"/>
          <w:shd w:val="clear" w:color="auto" w:fill="FFFFFF"/>
        </w:rPr>
        <w:t>或校准材料中发现），因为这些标本不能</w:t>
      </w:r>
      <w:r>
        <w:rPr>
          <w:rFonts w:hint="eastAsia"/>
          <w:snapToGrid w:val="0"/>
          <w:shd w:val="clear" w:color="auto" w:fill="FFFFFF"/>
        </w:rPr>
        <w:t>测试</w:t>
      </w:r>
      <w:r>
        <w:rPr>
          <w:snapToGrid w:val="0"/>
          <w:shd w:val="clear" w:color="auto" w:fill="FFFFFF"/>
        </w:rPr>
        <w:t>所有准备步骤对试验性能的影响。</w:t>
      </w:r>
    </w:p>
    <w:p w14:paraId="23309B91">
      <w:pPr>
        <w:spacing w:before="187"/>
        <w:rPr>
          <w:snapToGrid w:val="0"/>
          <w:shd w:val="clear" w:color="auto" w:fill="FFFFFF"/>
        </w:rPr>
      </w:pPr>
      <w:r>
        <w:rPr>
          <w:snapToGrid w:val="0"/>
          <w:shd w:val="clear" w:color="auto" w:fill="FFFFFF"/>
        </w:rPr>
        <w:t>我们建议贵公司提供有关方案的适当细节，以便验收标准或数据摘要在审查期间可以获得最</w:t>
      </w:r>
      <w:r>
        <w:rPr>
          <w:rFonts w:hint="eastAsia"/>
          <w:snapToGrid w:val="0"/>
          <w:shd w:val="clear" w:color="auto" w:fill="FFFFFF"/>
        </w:rPr>
        <w:t>好</w:t>
      </w:r>
      <w:r>
        <w:rPr>
          <w:snapToGrid w:val="0"/>
          <w:shd w:val="clear" w:color="auto" w:fill="FFFFFF"/>
        </w:rPr>
        <w:t>的解释。这些细节对于帮助用户解释标签中的信息也是有必要的。例如，当参考NCCLS方案或指南时，我们建议贵公司</w:t>
      </w:r>
      <w:r>
        <w:rPr>
          <w:rFonts w:hint="eastAsia"/>
          <w:snapToGrid w:val="0"/>
          <w:shd w:val="clear" w:color="auto" w:fill="FFFFFF"/>
        </w:rPr>
        <w:t>表明</w:t>
      </w:r>
      <w:r>
        <w:rPr>
          <w:snapToGrid w:val="0"/>
          <w:shd w:val="clear" w:color="auto" w:fill="FFFFFF"/>
        </w:rPr>
        <w:t>贵公司所遵从的方案或指南的具体方面。</w:t>
      </w:r>
    </w:p>
    <w:p w14:paraId="38D16D0D">
      <w:pPr>
        <w:spacing w:before="187"/>
        <w:rPr>
          <w:b/>
          <w:snapToGrid w:val="0"/>
          <w:shd w:val="clear" w:color="auto" w:fill="FFFFFF"/>
        </w:rPr>
      </w:pPr>
      <w:r>
        <w:rPr>
          <w:rFonts w:hint="eastAsia"/>
          <w:b/>
          <w:snapToGrid w:val="0"/>
          <w:shd w:val="clear" w:color="auto" w:fill="FFFFFF"/>
        </w:rPr>
        <w:t>具体性能特征</w:t>
      </w:r>
    </w:p>
    <w:p w14:paraId="693AD420">
      <w:pPr>
        <w:spacing w:before="187"/>
        <w:ind w:left="480" w:leftChars="200"/>
        <w:rPr>
          <w:b/>
          <w:snapToGrid w:val="0"/>
          <w:u w:val="single"/>
          <w:shd w:val="clear" w:color="auto" w:fill="FFFFFF"/>
        </w:rPr>
      </w:pPr>
      <w:r>
        <w:rPr>
          <w:rFonts w:hint="eastAsia"/>
          <w:b/>
          <w:snapToGrid w:val="0"/>
          <w:u w:val="single"/>
          <w:shd w:val="clear" w:color="auto" w:fill="FFFFFF"/>
        </w:rPr>
        <w:t>精密度</w:t>
      </w:r>
    </w:p>
    <w:p w14:paraId="1A835475">
      <w:pPr>
        <w:spacing w:before="187"/>
        <w:ind w:left="480" w:leftChars="200"/>
        <w:rPr>
          <w:snapToGrid w:val="0"/>
          <w:shd w:val="clear" w:color="auto" w:fill="FFFFFF"/>
        </w:rPr>
      </w:pPr>
      <w:r>
        <w:rPr>
          <w:snapToGrid w:val="0"/>
        </w:rPr>
        <w:t>我们建议贵公司根据</w:t>
      </w:r>
      <w:r>
        <w:rPr>
          <w:rFonts w:hint="eastAsia"/>
          <w:snapToGrid w:val="0"/>
        </w:rPr>
        <w:t>NCCLS批</w:t>
      </w:r>
      <w:r>
        <w:rPr>
          <w:snapToGrid w:val="0"/>
        </w:rPr>
        <w:t>准指南（1999年）文件EP5-A</w:t>
      </w:r>
      <w:r>
        <w:rPr>
          <w:snapToGrid w:val="0"/>
          <w:shd w:val="clear" w:color="auto" w:fill="FFFFFF"/>
        </w:rPr>
        <w:t>《</w:t>
      </w:r>
      <w:r>
        <w:rPr>
          <w:snapToGrid w:val="0"/>
        </w:rPr>
        <w:t>临床化学仪器精密</w:t>
      </w:r>
      <w:r>
        <w:rPr>
          <w:snapToGrid w:val="0"/>
          <w:shd w:val="clear" w:color="auto" w:fill="FFFFFF"/>
        </w:rPr>
        <w:t>度</w:t>
      </w:r>
      <w:r>
        <w:rPr>
          <w:snapToGrid w:val="0"/>
        </w:rPr>
        <w:t>性能评价</w:t>
      </w:r>
      <w:r>
        <w:rPr>
          <w:snapToGrid w:val="0"/>
          <w:shd w:val="clear" w:color="auto" w:fill="FFFFFF"/>
        </w:rPr>
        <w:t>》中的</w:t>
      </w:r>
      <w:r>
        <w:rPr>
          <w:rFonts w:hint="eastAsia"/>
          <w:snapToGrid w:val="0"/>
          <w:shd w:val="clear" w:color="auto" w:fill="FFFFFF"/>
        </w:rPr>
        <w:t>指南</w:t>
      </w:r>
      <w:r>
        <w:rPr>
          <w:snapToGrid w:val="0"/>
          <w:shd w:val="clear" w:color="auto" w:fill="FFFFFF"/>
        </w:rPr>
        <w:t>描述</w:t>
      </w:r>
      <w:r>
        <w:rPr>
          <w:rFonts w:hint="eastAsia"/>
          <w:snapToGrid w:val="0"/>
          <w:shd w:val="clear" w:color="auto" w:fill="FFFFFF"/>
        </w:rPr>
        <w:t>批内</w:t>
      </w:r>
      <w:r>
        <w:rPr>
          <w:snapToGrid w:val="0"/>
          <w:shd w:val="clear" w:color="auto" w:fill="FFFFFF"/>
        </w:rPr>
        <w:t>精密度和总精密度。该文件包括实验设计、计算的指南和陈述性能声明的格式。我们建议贵公司在接近医疗决策点的相关浓度和接近可报告范围限度的浓度评价精密度。</w:t>
      </w:r>
    </w:p>
    <w:p w14:paraId="0A96865F">
      <w:pPr>
        <w:spacing w:before="187"/>
        <w:ind w:left="480" w:leftChars="200"/>
        <w:rPr>
          <w:snapToGrid w:val="0"/>
          <w:shd w:val="clear" w:color="auto" w:fill="FFFFFF"/>
        </w:rPr>
      </w:pPr>
      <w:r>
        <w:rPr>
          <w:rFonts w:hint="eastAsia"/>
          <w:snapToGrid w:val="0"/>
          <w:shd w:val="clear" w:color="auto" w:fill="FFFFFF"/>
        </w:rPr>
        <w:t>我们建议贵公司包括以下所列项目：</w:t>
      </w:r>
    </w:p>
    <w:p w14:paraId="2E8B64E3">
      <w:pPr>
        <w:pStyle w:val="42"/>
        <w:numPr>
          <w:ilvl w:val="0"/>
          <w:numId w:val="6"/>
        </w:numPr>
        <w:spacing w:before="187"/>
        <w:ind w:left="1440" w:leftChars="400" w:hanging="480" w:hangingChars="200"/>
        <w:contextualSpacing w:val="0"/>
        <w:rPr>
          <w:snapToGrid w:val="0"/>
        </w:rPr>
      </w:pPr>
      <w:r>
        <w:rPr>
          <w:rFonts w:hint="eastAsia"/>
          <w:snapToGrid w:val="0"/>
        </w:rPr>
        <w:t>样本类型</w:t>
      </w:r>
      <w:r>
        <w:rPr>
          <w:snapToGrid w:val="0"/>
        </w:rPr>
        <w:t>的描述</w:t>
      </w:r>
    </w:p>
    <w:p w14:paraId="0C525FD4">
      <w:pPr>
        <w:pStyle w:val="42"/>
        <w:numPr>
          <w:ilvl w:val="0"/>
          <w:numId w:val="6"/>
        </w:numPr>
        <w:spacing w:before="187"/>
        <w:ind w:left="1440" w:leftChars="400" w:hanging="480" w:hangingChars="200"/>
        <w:contextualSpacing w:val="0"/>
        <w:rPr>
          <w:snapToGrid w:val="0"/>
        </w:rPr>
      </w:pPr>
      <w:r>
        <w:rPr>
          <w:rFonts w:hint="eastAsia"/>
          <w:snapToGrid w:val="0"/>
        </w:rPr>
        <w:t>浓度点估计</w:t>
      </w:r>
    </w:p>
    <w:p w14:paraId="7FA4483D">
      <w:pPr>
        <w:pStyle w:val="42"/>
        <w:numPr>
          <w:ilvl w:val="0"/>
          <w:numId w:val="6"/>
        </w:numPr>
        <w:spacing w:before="187"/>
        <w:ind w:left="1440" w:leftChars="400" w:hanging="480" w:hangingChars="200"/>
        <w:contextualSpacing w:val="0"/>
        <w:rPr>
          <w:snapToGrid w:val="0"/>
        </w:rPr>
      </w:pPr>
      <w:r>
        <w:rPr>
          <w:rFonts w:hint="eastAsia"/>
          <w:snapToGrid w:val="0"/>
        </w:rPr>
        <w:t>批内紧密度和总精密度的标准偏差</w:t>
      </w:r>
    </w:p>
    <w:p w14:paraId="0650A338">
      <w:pPr>
        <w:pStyle w:val="42"/>
        <w:numPr>
          <w:ilvl w:val="0"/>
          <w:numId w:val="6"/>
        </w:numPr>
        <w:spacing w:before="187"/>
        <w:ind w:left="1440" w:leftChars="400" w:hanging="480" w:hangingChars="200"/>
        <w:contextualSpacing w:val="0"/>
        <w:rPr>
          <w:snapToGrid w:val="0"/>
        </w:rPr>
      </w:pPr>
      <w:r>
        <w:rPr>
          <w:rFonts w:hint="eastAsia"/>
          <w:snapToGrid w:val="0"/>
        </w:rPr>
        <w:t>精密度方案运行的场所</w:t>
      </w:r>
    </w:p>
    <w:p w14:paraId="7CB02643">
      <w:pPr>
        <w:pStyle w:val="42"/>
        <w:numPr>
          <w:ilvl w:val="0"/>
          <w:numId w:val="6"/>
        </w:numPr>
        <w:spacing w:before="187"/>
        <w:ind w:left="1440" w:leftChars="400" w:hanging="480" w:hangingChars="200"/>
        <w:contextualSpacing w:val="0"/>
        <w:rPr>
          <w:snapToGrid w:val="0"/>
        </w:rPr>
      </w:pPr>
      <w:r>
        <w:rPr>
          <w:rFonts w:hint="eastAsia"/>
          <w:snapToGrid w:val="0"/>
        </w:rPr>
        <w:t>天数、运行和观察结果的次数</w:t>
      </w:r>
    </w:p>
    <w:p w14:paraId="029B0B4E">
      <w:pPr>
        <w:pStyle w:val="42"/>
        <w:numPr>
          <w:ilvl w:val="0"/>
          <w:numId w:val="6"/>
        </w:numPr>
        <w:spacing w:before="187"/>
        <w:ind w:left="1440" w:leftChars="400" w:hanging="480" w:hangingChars="200"/>
        <w:contextualSpacing w:val="0"/>
        <w:rPr>
          <w:snapToGrid w:val="0"/>
        </w:rPr>
      </w:pPr>
      <w:r>
        <w:rPr>
          <w:rFonts w:hint="eastAsia"/>
          <w:snapToGrid w:val="0"/>
        </w:rPr>
        <w:t>所使用的批数</w:t>
      </w:r>
    </w:p>
    <w:p w14:paraId="1DE8C2A8">
      <w:pPr>
        <w:spacing w:before="187"/>
        <w:ind w:left="480" w:leftChars="200"/>
        <w:rPr>
          <w:snapToGrid w:val="0"/>
          <w:shd w:val="clear" w:color="auto" w:fill="FFFFFF"/>
        </w:rPr>
      </w:pPr>
      <w:r>
        <w:rPr>
          <w:snapToGrid w:val="0"/>
          <w:shd w:val="clear" w:color="auto" w:fill="FFFFFF"/>
        </w:rPr>
        <w:t>我们建议贵公司确定哪些因素（仪器校准、试剂批号、操作人员）保持不变、哪些因素在评价过程中变化，如果计算方法与NCCLS EP5-A中所描述的方法不同，则需要对计算方法进行描述。</w:t>
      </w:r>
    </w:p>
    <w:p w14:paraId="3B8FEC92">
      <w:pPr>
        <w:spacing w:before="187"/>
        <w:ind w:left="480" w:leftChars="200"/>
        <w:rPr>
          <w:b/>
          <w:snapToGrid w:val="0"/>
          <w:u w:val="single"/>
          <w:shd w:val="clear" w:color="auto" w:fill="FFFFFF"/>
        </w:rPr>
      </w:pPr>
      <w:r>
        <w:rPr>
          <w:rFonts w:hint="eastAsia"/>
          <w:b/>
          <w:snapToGrid w:val="0"/>
          <w:u w:val="single"/>
          <w:shd w:val="clear" w:color="auto" w:fill="FFFFFF"/>
        </w:rPr>
        <w:t>干扰</w:t>
      </w:r>
    </w:p>
    <w:p w14:paraId="7A005FBA">
      <w:pPr>
        <w:spacing w:before="187"/>
        <w:ind w:left="480" w:leftChars="200"/>
        <w:rPr>
          <w:snapToGrid w:val="0"/>
          <w:shd w:val="clear" w:color="auto" w:fill="FFFFFF"/>
        </w:rPr>
      </w:pPr>
      <w:r>
        <w:rPr>
          <w:snapToGrid w:val="0"/>
          <w:shd w:val="clear" w:color="auto" w:fill="FFFFFF"/>
        </w:rPr>
        <w:t>我们建议贵公司描述潜在干扰对每种试验参数（在分析仪上正在寻求许可的参数）的影响。实验设计的示例，包括选择试验干扰的指导，在</w:t>
      </w:r>
      <w:r>
        <w:rPr>
          <w:rFonts w:hint="eastAsia"/>
          <w:snapToGrid w:val="0"/>
          <w:shd w:val="clear" w:color="auto" w:fill="FFFFFF"/>
        </w:rPr>
        <w:t>NCCLS</w:t>
      </w:r>
      <w:r>
        <w:rPr>
          <w:snapToGrid w:val="0"/>
          <w:shd w:val="clear" w:color="auto" w:fill="FFFFFF"/>
        </w:rPr>
        <w:t>《</w:t>
      </w:r>
      <w:r>
        <w:rPr>
          <w:snapToGrid w:val="0"/>
        </w:rPr>
        <w:t>临床化学干扰试验</w:t>
      </w:r>
      <w:r>
        <w:rPr>
          <w:snapToGrid w:val="0"/>
          <w:shd w:val="clear" w:color="auto" w:fill="FFFFFF"/>
        </w:rPr>
        <w:t>》推荐</w:t>
      </w:r>
      <w:r>
        <w:rPr>
          <w:snapToGrid w:val="0"/>
        </w:rPr>
        <w:t>指南（1986年）</w:t>
      </w:r>
      <w:r>
        <w:rPr>
          <w:snapToGrid w:val="0"/>
          <w:shd w:val="clear" w:color="auto" w:fill="FFFFFF"/>
        </w:rPr>
        <w:t>EP7-P文件中有详细描述。通常，干扰研究包括在样本中加入潜在的干扰和测定试验参数相对于对照样本（未加入干扰的样本）回收的任何偏差。</w:t>
      </w:r>
    </w:p>
    <w:p w14:paraId="7DCEE61B">
      <w:pPr>
        <w:spacing w:before="187"/>
        <w:ind w:left="480" w:leftChars="200"/>
        <w:rPr>
          <w:snapToGrid w:val="0"/>
          <w:shd w:val="clear" w:color="auto" w:fill="FFFFFF"/>
        </w:rPr>
      </w:pPr>
      <w:r>
        <w:rPr>
          <w:rFonts w:hint="eastAsia"/>
          <w:snapToGrid w:val="0"/>
          <w:shd w:val="clear" w:color="auto" w:fill="FFFFFF"/>
        </w:rPr>
        <w:t>我们建议贵公司包括以下所列项目：</w:t>
      </w:r>
    </w:p>
    <w:p w14:paraId="6DC5ABF5">
      <w:pPr>
        <w:pStyle w:val="42"/>
        <w:numPr>
          <w:ilvl w:val="0"/>
          <w:numId w:val="6"/>
        </w:numPr>
        <w:spacing w:before="187"/>
        <w:ind w:left="1440" w:leftChars="400" w:hanging="480" w:hangingChars="200"/>
        <w:contextualSpacing w:val="0"/>
        <w:rPr>
          <w:snapToGrid w:val="0"/>
        </w:rPr>
      </w:pPr>
      <w:r>
        <w:rPr>
          <w:rFonts w:hint="eastAsia"/>
          <w:snapToGrid w:val="0"/>
        </w:rPr>
        <w:t>所试验干扰的类型和浓度</w:t>
      </w:r>
    </w:p>
    <w:p w14:paraId="41A7C0C9">
      <w:pPr>
        <w:pStyle w:val="42"/>
        <w:numPr>
          <w:ilvl w:val="0"/>
          <w:numId w:val="6"/>
        </w:numPr>
        <w:spacing w:before="187"/>
        <w:ind w:left="1440" w:leftChars="400" w:hanging="480" w:hangingChars="200"/>
        <w:contextualSpacing w:val="0"/>
        <w:rPr>
          <w:snapToGrid w:val="0"/>
        </w:rPr>
      </w:pPr>
      <w:r>
        <w:rPr>
          <w:rFonts w:hint="eastAsia"/>
          <w:snapToGrid w:val="0"/>
        </w:rPr>
        <w:t>样本类型</w:t>
      </w:r>
    </w:p>
    <w:p w14:paraId="5E3068E0">
      <w:pPr>
        <w:pStyle w:val="42"/>
        <w:numPr>
          <w:ilvl w:val="0"/>
          <w:numId w:val="6"/>
        </w:numPr>
        <w:spacing w:before="187"/>
        <w:ind w:left="1440" w:leftChars="400" w:hanging="480" w:hangingChars="200"/>
        <w:contextualSpacing w:val="0"/>
        <w:rPr>
          <w:snapToGrid w:val="0"/>
        </w:rPr>
      </w:pPr>
      <w:r>
        <w:rPr>
          <w:rFonts w:hint="eastAsia"/>
          <w:snapToGrid w:val="0"/>
        </w:rPr>
        <w:t>样本中试验参数的浓度</w:t>
      </w:r>
    </w:p>
    <w:p w14:paraId="2573D295">
      <w:pPr>
        <w:pStyle w:val="42"/>
        <w:numPr>
          <w:ilvl w:val="0"/>
          <w:numId w:val="6"/>
        </w:numPr>
        <w:spacing w:before="187"/>
        <w:ind w:left="1440" w:leftChars="400" w:hanging="480" w:hangingChars="200"/>
        <w:contextualSpacing w:val="0"/>
        <w:rPr>
          <w:snapToGrid w:val="0"/>
        </w:rPr>
      </w:pPr>
      <w:r>
        <w:rPr>
          <w:rFonts w:hint="eastAsia"/>
          <w:snapToGrid w:val="0"/>
        </w:rPr>
        <w:t>所试验的重复次数</w:t>
      </w:r>
    </w:p>
    <w:p w14:paraId="7EBE147A">
      <w:pPr>
        <w:pStyle w:val="42"/>
        <w:numPr>
          <w:ilvl w:val="0"/>
          <w:numId w:val="6"/>
        </w:numPr>
        <w:spacing w:before="187"/>
        <w:ind w:left="1440" w:leftChars="400" w:hanging="480" w:hangingChars="200"/>
        <w:contextualSpacing w:val="0"/>
        <w:rPr>
          <w:snapToGrid w:val="0"/>
        </w:rPr>
      </w:pPr>
      <w:r>
        <w:rPr>
          <w:rFonts w:hint="eastAsia"/>
          <w:snapToGrid w:val="0"/>
        </w:rPr>
        <w:t>计算干扰的定义或方法</w:t>
      </w:r>
    </w:p>
    <w:p w14:paraId="442865C4">
      <w:pPr>
        <w:spacing w:before="187"/>
        <w:ind w:left="480" w:leftChars="200"/>
        <w:rPr>
          <w:snapToGrid w:val="0"/>
          <w:shd w:val="clear" w:color="auto" w:fill="FFFFFF"/>
        </w:rPr>
      </w:pPr>
      <w:r>
        <w:rPr>
          <w:snapToGrid w:val="0"/>
          <w:shd w:val="clear" w:color="auto" w:fill="FFFFFF"/>
        </w:rPr>
        <w:t>贵公司可能不需要对在文献或其他来源中识别的潜在干扰执行潜在的</w:t>
      </w:r>
      <w:r>
        <w:rPr>
          <w:rFonts w:hint="eastAsia"/>
          <w:snapToGrid w:val="0"/>
          <w:shd w:val="clear" w:color="auto" w:fill="FFFFFF"/>
        </w:rPr>
        <w:t>其他</w:t>
      </w:r>
      <w:r>
        <w:rPr>
          <w:snapToGrid w:val="0"/>
          <w:shd w:val="clear" w:color="auto" w:fill="FFFFFF"/>
        </w:rPr>
        <w:t>干扰试验。但是，我们建议贵公司将这些潜在干扰包括在标签中。</w:t>
      </w:r>
    </w:p>
    <w:p w14:paraId="0162E127">
      <w:pPr>
        <w:spacing w:before="187"/>
        <w:ind w:left="480" w:leftChars="200"/>
        <w:rPr>
          <w:snapToGrid w:val="0"/>
          <w:shd w:val="clear" w:color="auto" w:fill="FFFFFF"/>
        </w:rPr>
      </w:pPr>
      <w:r>
        <w:rPr>
          <w:rFonts w:hint="eastAsia"/>
          <w:b/>
          <w:snapToGrid w:val="0"/>
          <w:u w:val="single"/>
          <w:shd w:val="clear" w:color="auto" w:fill="FFFFFF"/>
        </w:rPr>
        <w:t>线性</w:t>
      </w:r>
      <w:r>
        <w:rPr>
          <w:rFonts w:hint="eastAsia"/>
          <w:snapToGrid w:val="0"/>
          <w:shd w:val="clear" w:color="auto" w:fill="FFFFFF"/>
        </w:rPr>
        <w:t>（如果是定量或半定量化验）</w:t>
      </w:r>
    </w:p>
    <w:p w14:paraId="5898DBDC">
      <w:pPr>
        <w:spacing w:before="187"/>
        <w:ind w:left="480" w:leftChars="200"/>
        <w:rPr>
          <w:snapToGrid w:val="0"/>
          <w:shd w:val="clear" w:color="auto" w:fill="FFFFFF"/>
        </w:rPr>
      </w:pPr>
      <w:r>
        <w:rPr>
          <w:snapToGrid w:val="0"/>
          <w:shd w:val="clear" w:color="auto" w:fill="FFFFFF"/>
        </w:rPr>
        <w:t>我们建议贵公司通过评价样本来描述化验的线性范围，已知这些样本的浓度</w:t>
      </w:r>
      <w:r>
        <w:rPr>
          <w:rFonts w:hint="eastAsia"/>
          <w:snapToGrid w:val="0"/>
          <w:shd w:val="clear" w:color="auto" w:fill="FFFFFF"/>
        </w:rPr>
        <w:t>彼此相关</w:t>
      </w:r>
      <w:r>
        <w:rPr>
          <w:snapToGrid w:val="0"/>
          <w:shd w:val="clear" w:color="auto" w:fill="FFFFFF"/>
        </w:rPr>
        <w:t>。</w:t>
      </w:r>
      <w:r>
        <w:rPr>
          <w:rFonts w:hint="eastAsia"/>
          <w:snapToGrid w:val="0"/>
          <w:shd w:val="clear" w:color="auto" w:fill="FFFFFF"/>
        </w:rPr>
        <w:t>NCCLS</w:t>
      </w:r>
      <w:r>
        <w:rPr>
          <w:snapToGrid w:val="0"/>
        </w:rPr>
        <w:t>文件EP6-P</w:t>
      </w:r>
      <w:r>
        <w:rPr>
          <w:snapToGrid w:val="0"/>
          <w:shd w:val="clear" w:color="auto" w:fill="FFFFFF"/>
        </w:rPr>
        <w:t>《定量分析方法的线性评价》提议指南中描述样本制备和赋值的方案，以及声明性能特征的格式。</w:t>
      </w:r>
    </w:p>
    <w:p w14:paraId="36CE543A">
      <w:pPr>
        <w:spacing w:before="187"/>
        <w:ind w:left="480" w:leftChars="200"/>
        <w:rPr>
          <w:snapToGrid w:val="0"/>
          <w:shd w:val="clear" w:color="auto" w:fill="FFFFFF"/>
        </w:rPr>
      </w:pPr>
      <w:r>
        <w:rPr>
          <w:snapToGrid w:val="0"/>
          <w:shd w:val="clear" w:color="auto" w:fill="FFFFFF"/>
        </w:rPr>
        <w:t>我们建议贵公司描述样本类型和制备、浓度和重复次数。描述贵公司的验收标准或汇总数据时，我们建议贵公司包括斜率、截距、估计线的置信区间、线性范围，以及所观察到的与估计线的偏差程度（偏倚），或被认为是可以接受的各种浓度水平。通常，这些偏差可以通过列出所观察到的或相对于每种评价水平预期值的可接受值进行最佳描述。</w:t>
      </w:r>
    </w:p>
    <w:p w14:paraId="578313CF">
      <w:pPr>
        <w:spacing w:before="187"/>
        <w:ind w:left="480" w:leftChars="200"/>
        <w:rPr>
          <w:b/>
          <w:snapToGrid w:val="0"/>
          <w:u w:val="single"/>
          <w:shd w:val="clear" w:color="auto" w:fill="FFFFFF"/>
        </w:rPr>
      </w:pPr>
      <w:r>
        <w:rPr>
          <w:rFonts w:hint="eastAsia"/>
          <w:b/>
          <w:snapToGrid w:val="0"/>
          <w:u w:val="single"/>
          <w:shd w:val="clear" w:color="auto" w:fill="FFFFFF"/>
        </w:rPr>
        <w:t>校准</w:t>
      </w:r>
    </w:p>
    <w:p w14:paraId="267ACBFD">
      <w:pPr>
        <w:spacing w:before="187"/>
        <w:ind w:left="480" w:leftChars="200"/>
        <w:rPr>
          <w:snapToGrid w:val="0"/>
          <w:shd w:val="clear" w:color="auto" w:fill="FFFFFF"/>
        </w:rPr>
      </w:pPr>
      <w:r>
        <w:rPr>
          <w:rFonts w:hint="eastAsia"/>
          <w:snapToGrid w:val="0"/>
          <w:shd w:val="clear" w:color="auto" w:fill="FFFFFF"/>
        </w:rPr>
        <w:t>我们建议贵公司提供以下关于化验试剂盒中校准品的信息：</w:t>
      </w:r>
    </w:p>
    <w:p w14:paraId="690B3904">
      <w:pPr>
        <w:pStyle w:val="42"/>
        <w:numPr>
          <w:ilvl w:val="0"/>
          <w:numId w:val="6"/>
        </w:numPr>
        <w:spacing w:before="187"/>
        <w:ind w:left="1440" w:leftChars="400" w:hanging="480" w:hangingChars="200"/>
        <w:contextualSpacing w:val="0"/>
        <w:rPr>
          <w:snapToGrid w:val="0"/>
        </w:rPr>
      </w:pPr>
      <w:r>
        <w:rPr>
          <w:rFonts w:hint="eastAsia"/>
          <w:snapToGrid w:val="0"/>
        </w:rPr>
        <w:t>打开和未打开校准品的实时或加速稳定性研究的方案和验收标准。</w:t>
      </w:r>
    </w:p>
    <w:p w14:paraId="727D252E">
      <w:pPr>
        <w:pStyle w:val="42"/>
        <w:numPr>
          <w:ilvl w:val="0"/>
          <w:numId w:val="6"/>
        </w:numPr>
        <w:spacing w:before="187"/>
        <w:ind w:left="1440" w:leftChars="400" w:hanging="480" w:hangingChars="200"/>
        <w:contextualSpacing w:val="0"/>
        <w:rPr>
          <w:snapToGrid w:val="0"/>
        </w:rPr>
      </w:pPr>
      <w:r>
        <w:rPr>
          <w:rFonts w:hint="eastAsia"/>
          <w:snapToGrid w:val="0"/>
        </w:rPr>
        <w:t>赋值和确认的方案和验收标准，包括使用的任何特定仪器应用或统计分析。</w:t>
      </w:r>
    </w:p>
    <w:p w14:paraId="1C829883">
      <w:pPr>
        <w:pStyle w:val="42"/>
        <w:numPr>
          <w:ilvl w:val="0"/>
          <w:numId w:val="6"/>
        </w:numPr>
        <w:spacing w:before="187"/>
        <w:ind w:left="1440" w:leftChars="400" w:hanging="480" w:hangingChars="200"/>
        <w:contextualSpacing w:val="0"/>
        <w:rPr>
          <w:snapToGrid w:val="0"/>
        </w:rPr>
      </w:pPr>
      <w:r>
        <w:rPr>
          <w:rFonts w:hint="eastAsia"/>
          <w:snapToGrid w:val="0"/>
        </w:rPr>
        <w:t>国内或国际标准参考材料的可追溯性识别。</w:t>
      </w:r>
    </w:p>
    <w:p w14:paraId="48237FC6">
      <w:pPr>
        <w:pStyle w:val="42"/>
        <w:numPr>
          <w:ilvl w:val="0"/>
          <w:numId w:val="6"/>
        </w:numPr>
        <w:spacing w:before="187"/>
        <w:ind w:left="1440" w:leftChars="400" w:hanging="480" w:hangingChars="200"/>
        <w:contextualSpacing w:val="0"/>
        <w:rPr>
          <w:snapToGrid w:val="0"/>
        </w:rPr>
      </w:pPr>
      <w:r>
        <w:rPr>
          <w:rFonts w:hint="eastAsia"/>
          <w:snapToGrid w:val="0"/>
        </w:rPr>
        <w:t>一级校准品的性能转移至至二级校准品的方案和验收标准。</w:t>
      </w:r>
    </w:p>
    <w:p w14:paraId="14C44BDE">
      <w:pPr>
        <w:spacing w:before="187"/>
        <w:ind w:left="480" w:leftChars="200"/>
        <w:rPr>
          <w:snapToGrid w:val="0"/>
          <w:color w:val="000000"/>
        </w:rPr>
      </w:pPr>
      <w:r>
        <w:rPr>
          <w:rFonts w:hint="eastAsia"/>
          <w:snapToGrid w:val="0"/>
          <w:shd w:val="clear" w:color="auto" w:fill="FFFFFF"/>
        </w:rPr>
        <w:t>有关根据862.1150归类为Ⅱ类器械的单独销售校准品信息，请参见指南《体外诊断校准品的简化510（k）提交资料》，</w:t>
      </w:r>
      <w:r>
        <w:fldChar w:fldCharType="begin"/>
      </w:r>
      <w:r>
        <w:instrText xml:space="preserve"> HYPERLINK "http://www.fda.gov/cdrh/ode/calibrator.html" </w:instrText>
      </w:r>
      <w:r>
        <w:fldChar w:fldCharType="separate"/>
      </w:r>
      <w:r>
        <w:rPr>
          <w:rStyle w:val="27"/>
          <w:rFonts w:cs="Arial"/>
          <w:snapToGrid w:val="0"/>
          <w:kern w:val="0"/>
          <w:szCs w:val="24"/>
        </w:rPr>
        <w:t>http: //www.fda.gov/cdrh/ode/calibrator.html</w:t>
      </w:r>
      <w:r>
        <w:rPr>
          <w:rStyle w:val="27"/>
          <w:rFonts w:cs="Arial"/>
          <w:snapToGrid w:val="0"/>
          <w:kern w:val="0"/>
          <w:szCs w:val="24"/>
        </w:rPr>
        <w:fldChar w:fldCharType="end"/>
      </w:r>
      <w:r>
        <w:rPr>
          <w:snapToGrid w:val="0"/>
          <w:color w:val="000000"/>
        </w:rPr>
        <w:t>.</w:t>
      </w:r>
    </w:p>
    <w:p w14:paraId="328B2FCC">
      <w:pPr>
        <w:spacing w:before="187"/>
        <w:ind w:left="480" w:leftChars="200"/>
        <w:rPr>
          <w:b/>
          <w:snapToGrid w:val="0"/>
          <w:color w:val="000000"/>
          <w:u w:val="single"/>
        </w:rPr>
      </w:pPr>
      <w:r>
        <w:rPr>
          <w:rFonts w:hint="eastAsia"/>
          <w:b/>
          <w:snapToGrid w:val="0"/>
          <w:color w:val="000000"/>
          <w:u w:val="single"/>
        </w:rPr>
        <w:t>参考值</w:t>
      </w:r>
    </w:p>
    <w:p w14:paraId="368435FE">
      <w:pPr>
        <w:spacing w:before="187"/>
        <w:ind w:left="480" w:leftChars="200"/>
        <w:rPr>
          <w:snapToGrid w:val="0"/>
          <w:color w:val="000000"/>
        </w:rPr>
      </w:pPr>
      <w:r>
        <w:rPr>
          <w:rFonts w:hint="eastAsia"/>
          <w:snapToGrid w:val="0"/>
          <w:color w:val="000000"/>
        </w:rPr>
        <w:t>我们建议贵公司按照</w:t>
      </w:r>
      <w:r>
        <w:rPr>
          <w:rFonts w:hint="eastAsia"/>
          <w:snapToGrid w:val="0"/>
          <w:shd w:val="clear" w:color="auto" w:fill="FFFFFF"/>
        </w:rPr>
        <w:t>NCCLS</w:t>
      </w:r>
      <w:r>
        <w:rPr>
          <w:rFonts w:hint="eastAsia"/>
          <w:snapToGrid w:val="0"/>
          <w:color w:val="000000"/>
        </w:rPr>
        <w:t>文件确定预期值：</w:t>
      </w:r>
    </w:p>
    <w:p w14:paraId="0DDEED62">
      <w:pPr>
        <w:spacing w:before="187"/>
        <w:ind w:left="960" w:leftChars="400"/>
        <w:rPr>
          <w:snapToGrid w:val="0"/>
        </w:rPr>
      </w:pPr>
      <w:r>
        <w:rPr>
          <w:snapToGrid w:val="0"/>
          <w:shd w:val="clear" w:color="auto" w:fill="FFFFFF"/>
        </w:rPr>
        <w:t>如何定义和确定临床实验室的参考区间；</w:t>
      </w:r>
      <w:r>
        <w:rPr>
          <w:rFonts w:hint="eastAsia"/>
          <w:snapToGrid w:val="0"/>
          <w:shd w:val="clear" w:color="auto" w:fill="FFFFFF"/>
        </w:rPr>
        <w:t>批</w:t>
      </w:r>
      <w:r>
        <w:rPr>
          <w:snapToGrid w:val="0"/>
          <w:shd w:val="clear" w:color="auto" w:fill="FFFFFF"/>
        </w:rPr>
        <w:t>准指南-第二版，</w:t>
      </w:r>
      <w:r>
        <w:rPr>
          <w:rFonts w:hint="eastAsia"/>
          <w:snapToGrid w:val="0"/>
          <w:shd w:val="clear" w:color="auto" w:fill="FFFFFF"/>
        </w:rPr>
        <w:t>NCCLS</w:t>
      </w:r>
      <w:r>
        <w:rPr>
          <w:snapToGrid w:val="0"/>
          <w:shd w:val="clear" w:color="auto" w:fill="FFFFFF"/>
        </w:rPr>
        <w:t>文件C28-A2，（ISBN P56238-269-I），NCCLS，940</w:t>
      </w:r>
      <w:r>
        <w:rPr>
          <w:snapToGrid w:val="0"/>
        </w:rPr>
        <w:t>West Valley Road, Suite 1400, Wayne, PA 19087-1898, 2000.</w:t>
      </w:r>
    </w:p>
    <w:p w14:paraId="097A486C">
      <w:pPr>
        <w:spacing w:before="187"/>
        <w:rPr>
          <w:snapToGrid w:val="0"/>
          <w:color w:val="000000"/>
          <w:u w:val="single"/>
        </w:rPr>
      </w:pPr>
    </w:p>
    <w:p w14:paraId="0D72845A">
      <w:pPr>
        <w:spacing w:before="187"/>
        <w:rPr>
          <w:snapToGrid w:val="0"/>
          <w:color w:val="000000"/>
          <w:u w:val="single"/>
        </w:rPr>
      </w:pPr>
    </w:p>
    <w:p w14:paraId="05E82B85">
      <w:pPr>
        <w:spacing w:before="187"/>
        <w:rPr>
          <w:snapToGrid w:val="0"/>
          <w:color w:val="000000"/>
          <w:u w:val="single"/>
        </w:rPr>
      </w:pPr>
    </w:p>
    <w:p w14:paraId="1DB12237">
      <w:pPr>
        <w:spacing w:before="187"/>
        <w:rPr>
          <w:snapToGrid w:val="0"/>
          <w:color w:val="000000"/>
          <w:u w:val="single"/>
        </w:rPr>
      </w:pPr>
    </w:p>
    <w:p w14:paraId="55AC7C20">
      <w:pPr>
        <w:spacing w:before="187"/>
        <w:rPr>
          <w:snapToGrid w:val="0"/>
          <w:color w:val="000000"/>
          <w:u w:val="single"/>
        </w:rPr>
      </w:pPr>
    </w:p>
    <w:p w14:paraId="676553EA">
      <w:pPr>
        <w:spacing w:before="187"/>
        <w:rPr>
          <w:snapToGrid w:val="0"/>
          <w:color w:val="000000"/>
          <w:u w:val="single"/>
        </w:rPr>
      </w:pPr>
    </w:p>
    <w:p w14:paraId="4B9C1630">
      <w:pPr>
        <w:spacing w:before="187"/>
        <w:ind w:left="480" w:leftChars="200"/>
        <w:rPr>
          <w:b/>
          <w:snapToGrid w:val="0"/>
          <w:color w:val="000000"/>
          <w:u w:val="single"/>
        </w:rPr>
      </w:pPr>
      <w:r>
        <w:rPr>
          <w:rFonts w:hint="eastAsia"/>
          <w:b/>
          <w:snapToGrid w:val="0"/>
          <w:color w:val="000000"/>
          <w:u w:val="single"/>
        </w:rPr>
        <w:t>软件</w:t>
      </w:r>
    </w:p>
    <w:p w14:paraId="1BB64365">
      <w:pPr>
        <w:spacing w:before="187"/>
        <w:ind w:left="480" w:leftChars="200"/>
        <w:rPr>
          <w:snapToGrid w:val="0"/>
          <w:color w:val="0000FF"/>
        </w:rPr>
      </w:pPr>
      <w:r>
        <w:rPr>
          <w:snapToGrid w:val="0"/>
        </w:rPr>
        <w:t>对于采用软件控制的</w:t>
      </w:r>
      <w:r>
        <w:rPr>
          <w:rFonts w:hint="eastAsia"/>
          <w:snapToGrid w:val="0"/>
        </w:rPr>
        <w:t>医疗</w:t>
      </w:r>
      <w:r>
        <w:rPr>
          <w:snapToGrid w:val="0"/>
        </w:rPr>
        <w:t>器械，我们建议贵公司提供确认或验证资料，以及在FDA的《</w:t>
      </w:r>
      <w:r>
        <w:rPr>
          <w:snapToGrid w:val="0"/>
          <w:shd w:val="clear" w:color="auto" w:fill="FFFFFF"/>
        </w:rPr>
        <w:t>医疗器械中软件的上市前提交内容的指南</w:t>
      </w:r>
      <w:r>
        <w:rPr>
          <w:snapToGrid w:val="0"/>
        </w:rPr>
        <w:t>》</w:t>
      </w:r>
      <w:r>
        <w:rPr>
          <w:rFonts w:hint="eastAsia"/>
          <w:snapToGrid w:val="0"/>
        </w:rPr>
        <w:t>（</w:t>
      </w:r>
      <w:r>
        <w:fldChar w:fldCharType="begin"/>
      </w:r>
      <w:r>
        <w:instrText xml:space="preserve"> HYPERLINK "http://www.fda.gov/cdrh/ode/57.html" </w:instrText>
      </w:r>
      <w:r>
        <w:fldChar w:fldCharType="separate"/>
      </w:r>
      <w:r>
        <w:rPr>
          <w:rStyle w:val="27"/>
          <w:rFonts w:cs="Arial"/>
          <w:snapToGrid w:val="0"/>
          <w:kern w:val="0"/>
          <w:szCs w:val="24"/>
        </w:rPr>
        <w:t>http: //www.fda.gov/cdrh/ode/57.html</w:t>
      </w:r>
      <w:r>
        <w:rPr>
          <w:rStyle w:val="27"/>
          <w:rFonts w:cs="Arial"/>
          <w:snapToGrid w:val="0"/>
          <w:kern w:val="0"/>
          <w:szCs w:val="24"/>
        </w:rPr>
        <w:fldChar w:fldCharType="end"/>
      </w:r>
      <w:r>
        <w:rPr>
          <w:snapToGrid w:val="0"/>
          <w:color w:val="000000"/>
        </w:rPr>
        <w:t>）.中所描述的危害分析。贵公司可以参考：医疗器械使用安全：将人机工程纳入风险管理（</w:t>
      </w:r>
      <w:r>
        <w:fldChar w:fldCharType="begin"/>
      </w:r>
      <w:r>
        <w:instrText xml:space="preserve"> HYPERLINK "http://www.fda.gov/cdrh/humfac/1497.html" </w:instrText>
      </w:r>
      <w:r>
        <w:fldChar w:fldCharType="separate"/>
      </w:r>
      <w:r>
        <w:rPr>
          <w:rStyle w:val="27"/>
          <w:rFonts w:cs="Arial"/>
          <w:snapToGrid w:val="0"/>
          <w:kern w:val="0"/>
          <w:szCs w:val="24"/>
        </w:rPr>
        <w:t>http: //www.fda.gov/cdrh/humfac/1497.html</w:t>
      </w:r>
      <w:r>
        <w:rPr>
          <w:rStyle w:val="27"/>
          <w:rFonts w:cs="Arial"/>
          <w:snapToGrid w:val="0"/>
          <w:kern w:val="0"/>
          <w:szCs w:val="24"/>
        </w:rPr>
        <w:fldChar w:fldCharType="end"/>
      </w:r>
      <w:r>
        <w:rPr>
          <w:snapToGrid w:val="0"/>
          <w:color w:val="0000FF"/>
        </w:rPr>
        <w:t>），</w:t>
      </w:r>
      <w:r>
        <w:rPr>
          <w:snapToGrid w:val="0"/>
        </w:rPr>
        <w:t>或</w:t>
      </w:r>
      <w:r>
        <w:rPr>
          <w:snapToGrid w:val="0"/>
          <w:shd w:val="clear" w:color="auto" w:fill="FFFFFF"/>
        </w:rPr>
        <w:t>软件</w:t>
      </w:r>
      <w:r>
        <w:rPr>
          <w:rFonts w:hint="eastAsia"/>
          <w:snapToGrid w:val="0"/>
          <w:shd w:val="clear" w:color="auto" w:fill="FFFFFF"/>
        </w:rPr>
        <w:t>确认</w:t>
      </w:r>
      <w:r>
        <w:rPr>
          <w:snapToGrid w:val="0"/>
          <w:shd w:val="clear" w:color="auto" w:fill="FFFFFF"/>
        </w:rPr>
        <w:t>的一般原则</w:t>
      </w:r>
      <w:r>
        <w:rPr>
          <w:snapToGrid w:val="0"/>
          <w:color w:val="0000FF"/>
        </w:rPr>
        <w:t>http: //www.fda.gov/cdrh/comp/guidance/938.html</w:t>
      </w:r>
    </w:p>
    <w:p w14:paraId="39B982EA">
      <w:pPr>
        <w:spacing w:before="187"/>
        <w:rPr>
          <w:snapToGrid w:val="0"/>
        </w:rPr>
      </w:pPr>
      <w:r>
        <w:rPr>
          <w:snapToGrid w:val="0"/>
        </w:rPr>
        <w:br w:type="page"/>
      </w:r>
    </w:p>
    <w:p w14:paraId="124AAF19">
      <w:pPr>
        <w:pStyle w:val="42"/>
        <w:numPr>
          <w:ilvl w:val="0"/>
          <w:numId w:val="3"/>
        </w:numPr>
        <w:spacing w:before="312" w:beforeLines="100" w:after="156" w:afterLines="50"/>
        <w:ind w:left="602" w:hanging="602" w:hangingChars="200"/>
        <w:outlineLvl w:val="0"/>
        <w:rPr>
          <w:b/>
          <w:snapToGrid w:val="0"/>
          <w:sz w:val="30"/>
          <w:szCs w:val="30"/>
        </w:rPr>
      </w:pPr>
      <w:bookmarkStart w:id="14" w:name="_Toc476057310"/>
      <w:bookmarkStart w:id="15" w:name="_Toc477515078"/>
      <w:r>
        <w:rPr>
          <w:rFonts w:hint="eastAsia"/>
          <w:b/>
          <w:snapToGrid w:val="0"/>
          <w:sz w:val="30"/>
          <w:szCs w:val="30"/>
        </w:rPr>
        <w:t>方法比较</w:t>
      </w:r>
      <w:bookmarkEnd w:id="14"/>
      <w:bookmarkEnd w:id="15"/>
    </w:p>
    <w:p w14:paraId="799F0B47">
      <w:pPr>
        <w:spacing w:before="187"/>
        <w:rPr>
          <w:snapToGrid w:val="0"/>
        </w:rPr>
      </w:pPr>
      <w:r>
        <w:rPr>
          <w:snapToGrid w:val="0"/>
        </w:rPr>
        <w:t>对于血凝分析仪，我们建议贵公司将贵公司的</w:t>
      </w:r>
      <w:r>
        <w:rPr>
          <w:rFonts w:hint="eastAsia"/>
          <w:snapToGrid w:val="0"/>
        </w:rPr>
        <w:t>医疗</w:t>
      </w:r>
      <w:r>
        <w:rPr>
          <w:snapToGrid w:val="0"/>
        </w:rPr>
        <w:t>器械与合法销售的</w:t>
      </w:r>
      <w:r>
        <w:rPr>
          <w:rFonts w:hint="eastAsia"/>
          <w:snapToGrid w:val="0"/>
        </w:rPr>
        <w:t>比较医疗</w:t>
      </w:r>
      <w:r>
        <w:rPr>
          <w:snapToGrid w:val="0"/>
        </w:rPr>
        <w:t>器械进行比较，或与贵公司打算销售的</w:t>
      </w:r>
      <w:r>
        <w:rPr>
          <w:rFonts w:hint="eastAsia"/>
          <w:snapToGrid w:val="0"/>
        </w:rPr>
        <w:t>分析仪</w:t>
      </w:r>
      <w:r>
        <w:rPr>
          <w:snapToGrid w:val="0"/>
        </w:rPr>
        <w:t>具有相同预期用途的合适参考方法进行比较。作为评估性能特点的研究，贵公司可以联系FDA免疫学和血液学器械部，在启动比较研究之前输</w:t>
      </w:r>
      <w:r>
        <w:rPr>
          <w:rFonts w:hint="eastAsia"/>
          <w:snapToGrid w:val="0"/>
        </w:rPr>
        <w:t>入贵公司的研究计划</w:t>
      </w:r>
      <w:r>
        <w:rPr>
          <w:snapToGrid w:val="0"/>
        </w:rPr>
        <w:t>。</w:t>
      </w:r>
    </w:p>
    <w:p w14:paraId="02B19563">
      <w:pPr>
        <w:spacing w:before="187"/>
        <w:rPr>
          <w:snapToGrid w:val="0"/>
        </w:rPr>
      </w:pPr>
      <w:r>
        <w:rPr>
          <w:snapToGrid w:val="0"/>
        </w:rPr>
        <w:t>FDA建议贵公司遵从文件中提供的指南，</w:t>
      </w:r>
      <w:r>
        <w:rPr>
          <w:rFonts w:hint="eastAsia" w:ascii="宋体" w:hAnsi="宋体"/>
          <w:snapToGrid w:val="0"/>
        </w:rPr>
        <w:t>“</w:t>
      </w:r>
      <w:r>
        <w:rPr>
          <w:snapToGrid w:val="0"/>
        </w:rPr>
        <w:t>用患者样本</w:t>
      </w:r>
      <w:r>
        <w:rPr>
          <w:snapToGrid w:val="0"/>
          <w:shd w:val="clear" w:color="auto" w:fill="FFFFFF"/>
        </w:rPr>
        <w:t>进行</w:t>
      </w:r>
      <w:r>
        <w:rPr>
          <w:snapToGrid w:val="0"/>
        </w:rPr>
        <w:t>方法比较和偏差估计；</w:t>
      </w:r>
      <w:r>
        <w:rPr>
          <w:rFonts w:hint="eastAsia"/>
          <w:snapToGrid w:val="0"/>
        </w:rPr>
        <w:t>批准</w:t>
      </w:r>
      <w:r>
        <w:rPr>
          <w:snapToGrid w:val="0"/>
        </w:rPr>
        <w:t>指南</w:t>
      </w:r>
      <w:r>
        <w:rPr>
          <w:rFonts w:hint="eastAsia" w:ascii="宋体" w:hAnsi="宋体"/>
          <w:snapToGrid w:val="0"/>
        </w:rPr>
        <w:t>”</w:t>
      </w:r>
      <w:r>
        <w:rPr>
          <w:snapToGrid w:val="0"/>
        </w:rPr>
        <w:t>（1995）NCCLS，关于实验指南和性能特征声明的文件EP9A。</w:t>
      </w:r>
    </w:p>
    <w:p w14:paraId="563BE675">
      <w:pPr>
        <w:spacing w:before="187"/>
        <w:rPr>
          <w:snapToGrid w:val="0"/>
        </w:rPr>
      </w:pPr>
      <w:r>
        <w:rPr>
          <w:rFonts w:hint="eastAsia"/>
          <w:snapToGrid w:val="0"/>
        </w:rPr>
        <w:t>只要可以获得以下关于样本特性的信息，库存（回顾性）样本可能适合某些研究。</w:t>
      </w:r>
    </w:p>
    <w:p w14:paraId="4652C5B5">
      <w:pPr>
        <w:spacing w:before="187"/>
        <w:rPr>
          <w:b/>
          <w:snapToGrid w:val="0"/>
          <w:u w:val="single"/>
        </w:rPr>
      </w:pPr>
      <w:r>
        <w:rPr>
          <w:rFonts w:hint="eastAsia"/>
          <w:b/>
          <w:snapToGrid w:val="0"/>
          <w:u w:val="single"/>
        </w:rPr>
        <w:t>样本收集和处理条件</w:t>
      </w:r>
    </w:p>
    <w:p w14:paraId="558BE5B9">
      <w:pPr>
        <w:spacing w:before="187"/>
        <w:rPr>
          <w:snapToGrid w:val="0"/>
        </w:rPr>
      </w:pPr>
      <w:r>
        <w:rPr>
          <w:rFonts w:hint="eastAsia"/>
          <w:snapToGrid w:val="0"/>
        </w:rPr>
        <w:t>我们建议贵公司通过评估医疗器械是否可以通过在建议用户的存储时间和温度内保持可接受的性能，来证明在贵公司的标签中关于样本存储和运输的声明。例如，适当的研究可能包括在时间、温度条件下存储，或所允许的冻融循环次数的等分试样分析。我们建议贵公司对在推荐存储和处理条件下回收的可接受范围标准进行声明。</w:t>
      </w:r>
    </w:p>
    <w:p w14:paraId="065FCDC1">
      <w:pPr>
        <w:spacing w:before="187"/>
        <w:rPr>
          <w:b/>
          <w:snapToGrid w:val="0"/>
          <w:u w:val="single"/>
        </w:rPr>
      </w:pPr>
      <w:r>
        <w:rPr>
          <w:rFonts w:hint="eastAsia"/>
          <w:b/>
          <w:snapToGrid w:val="0"/>
          <w:u w:val="single"/>
        </w:rPr>
        <w:t>样本筛选、入选和排除标准</w:t>
      </w:r>
    </w:p>
    <w:p w14:paraId="47E140F2">
      <w:pPr>
        <w:spacing w:before="187"/>
        <w:rPr>
          <w:snapToGrid w:val="0"/>
        </w:rPr>
      </w:pPr>
      <w:r>
        <w:rPr>
          <w:snapToGrid w:val="0"/>
        </w:rPr>
        <w:t>我们建议贵公司评价来自贵公司的预期用途中指定目标人群的患者样本，（例如，含或不含所关注的试验参数）</w:t>
      </w:r>
      <w:r>
        <w:rPr>
          <w:snapToGrid w:val="0"/>
          <w:shd w:val="clear" w:color="auto" w:fill="FFFFFF"/>
        </w:rPr>
        <w:t>参数值分布在</w:t>
      </w:r>
      <w:r>
        <w:rPr>
          <w:rFonts w:hint="eastAsia"/>
          <w:snapToGrid w:val="0"/>
          <w:shd w:val="clear" w:color="auto" w:fill="FFFFFF"/>
        </w:rPr>
        <w:t>化验</w:t>
      </w:r>
      <w:r>
        <w:rPr>
          <w:snapToGrid w:val="0"/>
          <w:shd w:val="clear" w:color="auto" w:fill="FFFFFF"/>
        </w:rPr>
        <w:t>的可报告范围，包括接近临床相关决策点的</w:t>
      </w:r>
      <w:r>
        <w:rPr>
          <w:rFonts w:hint="eastAsia"/>
          <w:snapToGrid w:val="0"/>
          <w:shd w:val="clear" w:color="auto" w:fill="FFFFFF"/>
        </w:rPr>
        <w:t>样</w:t>
      </w:r>
      <w:r>
        <w:rPr>
          <w:snapToGrid w:val="0"/>
          <w:shd w:val="clear" w:color="auto" w:fill="FFFFFF"/>
        </w:rPr>
        <w:t>本。无论是否使用前瞻性或回顾性收集样本，</w:t>
      </w:r>
      <w:r>
        <w:rPr>
          <w:snapToGrid w:val="0"/>
        </w:rPr>
        <w:t>FDA</w:t>
      </w:r>
      <w:r>
        <w:rPr>
          <w:snapToGrid w:val="0"/>
          <w:shd w:val="clear" w:color="auto" w:fill="FFFFFF"/>
        </w:rPr>
        <w:t>建议贵公司提供清晰的描述，说明样本如何筛选，包括排除样本的理由。我们建议贵公司指明样本是否选自具有特定临床结局或其他特征的患者。</w:t>
      </w:r>
    </w:p>
    <w:p w14:paraId="421738F6">
      <w:pPr>
        <w:spacing w:before="187"/>
        <w:rPr>
          <w:snapToGrid w:val="0"/>
        </w:rPr>
      </w:pPr>
      <w:r>
        <w:rPr>
          <w:snapToGrid w:val="0"/>
          <w:shd w:val="clear" w:color="auto" w:fill="FFFFFF"/>
        </w:rPr>
        <w:t>合适的样本量取决于试验的精度、干扰、范围和其他性能特征等因素。我们建议贵公司提供统计合理性</w:t>
      </w:r>
      <w:r>
        <w:rPr>
          <w:rFonts w:hint="eastAsia"/>
          <w:snapToGrid w:val="0"/>
          <w:shd w:val="clear" w:color="auto" w:fill="FFFFFF"/>
        </w:rPr>
        <w:t>，</w:t>
      </w:r>
      <w:r>
        <w:rPr>
          <w:snapToGrid w:val="0"/>
          <w:shd w:val="clear" w:color="auto" w:fill="FFFFFF"/>
        </w:rPr>
        <w:t>支持研究样本量。患者数量应当足够大，以便可以观察到个体间</w:t>
      </w:r>
      <w:r>
        <w:rPr>
          <w:rFonts w:hint="eastAsia"/>
          <w:snapToGrid w:val="0"/>
          <w:shd w:val="clear" w:color="auto" w:fill="FFFFFF"/>
        </w:rPr>
        <w:t>差异</w:t>
      </w:r>
      <w:r>
        <w:rPr>
          <w:snapToGrid w:val="0"/>
          <w:shd w:val="clear" w:color="auto" w:fill="FFFFFF"/>
        </w:rPr>
        <w:t>。</w:t>
      </w:r>
    </w:p>
    <w:p w14:paraId="5F1F01F0">
      <w:pPr>
        <w:spacing w:before="187"/>
        <w:rPr>
          <w:b/>
          <w:snapToGrid w:val="0"/>
          <w:u w:val="single"/>
        </w:rPr>
      </w:pPr>
      <w:r>
        <w:rPr>
          <w:rFonts w:hint="eastAsia"/>
          <w:b/>
          <w:snapToGrid w:val="0"/>
          <w:u w:val="single"/>
        </w:rPr>
        <w:t>结果说明</w:t>
      </w:r>
    </w:p>
    <w:p w14:paraId="43FB0FDC">
      <w:pPr>
        <w:spacing w:before="187"/>
        <w:rPr>
          <w:snapToGrid w:val="0"/>
        </w:rPr>
      </w:pPr>
      <w:r>
        <w:rPr>
          <w:rFonts w:hint="eastAsia"/>
          <w:snapToGrid w:val="0"/>
        </w:rPr>
        <w:t>我们建议贵公司对贵公司研究的每个小组进行单独的数据分析。提供方法比较研究的结果时，我们建议贵公司包括以下信息：</w:t>
      </w:r>
    </w:p>
    <w:p w14:paraId="5595F034">
      <w:pPr>
        <w:pStyle w:val="42"/>
        <w:numPr>
          <w:ilvl w:val="0"/>
          <w:numId w:val="7"/>
        </w:numPr>
        <w:spacing w:before="187"/>
        <w:ind w:left="960" w:leftChars="200" w:hanging="480" w:hangingChars="200"/>
        <w:contextualSpacing w:val="0"/>
        <w:rPr>
          <w:snapToGrid w:val="0"/>
        </w:rPr>
      </w:pPr>
      <w:r>
        <w:rPr>
          <w:rFonts w:hint="eastAsia"/>
          <w:snapToGrid w:val="0"/>
          <w:shd w:val="clear" w:color="auto" w:fill="FFFFFF"/>
        </w:rPr>
        <w:t>化验是否定量或半定量：以来自新化验的结果为纵坐标（y轴），以参比方法为横坐标（x轴）进行作图，包括所有数据点、估计回归线和识别线</w:t>
      </w:r>
      <w:r>
        <w:rPr>
          <w:snapToGrid w:val="0"/>
          <w:shd w:val="clear" w:color="auto" w:fill="FFFFFF"/>
        </w:rPr>
        <w:t>。</w:t>
      </w:r>
      <w:r>
        <w:rPr>
          <w:rFonts w:hint="eastAsia"/>
          <w:snapToGrid w:val="0"/>
          <w:shd w:val="clear" w:color="auto" w:fill="FFFFFF"/>
        </w:rPr>
        <w:t>数据点应当代表个体测量。</w:t>
      </w:r>
    </w:p>
    <w:p w14:paraId="30EAB066">
      <w:pPr>
        <w:pStyle w:val="42"/>
        <w:numPr>
          <w:ilvl w:val="0"/>
          <w:numId w:val="7"/>
        </w:numPr>
        <w:spacing w:before="187"/>
        <w:ind w:left="960" w:leftChars="200" w:hanging="480" w:hangingChars="200"/>
        <w:contextualSpacing w:val="0"/>
        <w:rPr>
          <w:snapToGrid w:val="0"/>
        </w:rPr>
      </w:pPr>
      <w:r>
        <w:rPr>
          <w:rFonts w:hint="eastAsia"/>
          <w:snapToGrid w:val="0"/>
          <w:shd w:val="clear" w:color="auto" w:fill="FFFFFF"/>
        </w:rPr>
        <w:t>用于拟合回归线的分析方法的描述和回归分析的结果，包括具有95%置信限的斜率和截距，估计的标准误差（以y轴方向计算）和相关系数，</w:t>
      </w:r>
      <w:r>
        <w:rPr>
          <w:rFonts w:hint="eastAsia"/>
          <w:snapToGrid w:val="0"/>
          <w:u w:val="single"/>
          <w:shd w:val="clear" w:color="auto" w:fill="FFFFFF"/>
        </w:rPr>
        <w:t>或</w:t>
      </w:r>
      <w:r>
        <w:rPr>
          <w:rFonts w:hint="eastAsia"/>
          <w:snapToGrid w:val="0"/>
          <w:shd w:val="clear" w:color="auto" w:fill="FFFFFF"/>
        </w:rPr>
        <w:t>衍生的百分比阳性、百分比阴性或方法之间的整体一致性，包括95%</w:t>
      </w:r>
      <w:bookmarkStart w:id="16" w:name="OLE_LINK24"/>
      <w:bookmarkStart w:id="17" w:name="OLE_LINK25"/>
      <w:r>
        <w:rPr>
          <w:rFonts w:hint="eastAsia"/>
          <w:snapToGrid w:val="0"/>
          <w:shd w:val="clear" w:color="auto" w:fill="FFFFFF"/>
        </w:rPr>
        <w:t>置信区间</w:t>
      </w:r>
      <w:bookmarkEnd w:id="16"/>
      <w:bookmarkEnd w:id="17"/>
      <w:r>
        <w:rPr>
          <w:rFonts w:hint="eastAsia"/>
          <w:snapToGrid w:val="0"/>
          <w:shd w:val="clear" w:color="auto" w:fill="FFFFFF"/>
        </w:rPr>
        <w:t>或其他适当的鲁棒性度量。</w:t>
      </w:r>
    </w:p>
    <w:p w14:paraId="31CD1A91">
      <w:pPr>
        <w:pStyle w:val="42"/>
        <w:numPr>
          <w:ilvl w:val="0"/>
          <w:numId w:val="7"/>
        </w:numPr>
        <w:spacing w:before="187"/>
        <w:ind w:left="960" w:leftChars="200" w:hanging="480" w:hangingChars="200"/>
        <w:contextualSpacing w:val="0"/>
        <w:rPr>
          <w:snapToGrid w:val="0"/>
        </w:rPr>
      </w:pPr>
      <w:r>
        <w:rPr>
          <w:snapToGrid w:val="0"/>
          <w:shd w:val="clear" w:color="auto" w:fill="FFFFFF"/>
        </w:rPr>
        <w:t>如果定性：显示新化验（行）对比比较试验或参比方法（列）之间一致性的2×2表格。</w:t>
      </w:r>
    </w:p>
    <w:p w14:paraId="25C58D18">
      <w:pPr>
        <w:pStyle w:val="42"/>
        <w:numPr>
          <w:ilvl w:val="0"/>
          <w:numId w:val="3"/>
        </w:numPr>
        <w:spacing w:before="312" w:beforeLines="100" w:after="156" w:afterLines="50"/>
        <w:ind w:left="602" w:hanging="602" w:hangingChars="200"/>
        <w:outlineLvl w:val="0"/>
        <w:rPr>
          <w:b/>
          <w:snapToGrid w:val="0"/>
          <w:sz w:val="30"/>
          <w:szCs w:val="30"/>
        </w:rPr>
      </w:pPr>
      <w:bookmarkStart w:id="18" w:name="_Toc477515079"/>
      <w:bookmarkStart w:id="19" w:name="_Toc476057311"/>
      <w:r>
        <w:rPr>
          <w:rFonts w:hint="eastAsia"/>
          <w:b/>
          <w:snapToGrid w:val="0"/>
          <w:sz w:val="30"/>
          <w:szCs w:val="30"/>
        </w:rPr>
        <w:t>标签</w:t>
      </w:r>
      <w:bookmarkEnd w:id="18"/>
      <w:bookmarkEnd w:id="19"/>
    </w:p>
    <w:p w14:paraId="470E7805">
      <w:pPr>
        <w:spacing w:before="187"/>
        <w:rPr>
          <w:snapToGrid w:val="0"/>
          <w:u w:val="single"/>
          <w:shd w:val="clear" w:color="auto" w:fill="FFFFFF"/>
        </w:rPr>
      </w:pPr>
      <w:r>
        <w:rPr>
          <w:snapToGrid w:val="0"/>
        </w:rPr>
        <w:t>上市前通告应当包括足够的标签细节</w:t>
      </w:r>
      <w:r>
        <w:rPr>
          <w:rFonts w:hint="eastAsia"/>
          <w:snapToGrid w:val="0"/>
        </w:rPr>
        <w:t>，</w:t>
      </w:r>
      <w:r>
        <w:rPr>
          <w:snapToGrid w:val="0"/>
        </w:rPr>
        <w:t>满足21 CFR 807.87（e）的要求。</w:t>
      </w:r>
      <w:r>
        <w:rPr>
          <w:snapToGrid w:val="0"/>
          <w:shd w:val="clear" w:color="auto" w:fill="FFFFFF"/>
        </w:rPr>
        <w:t>以下建议旨在协助贵公司准备符合</w:t>
      </w:r>
      <w:r>
        <w:rPr>
          <w:snapToGrid w:val="0"/>
        </w:rPr>
        <w:t>21 CFR 807.87（e）要求的</w:t>
      </w:r>
      <w:r>
        <w:rPr>
          <w:snapToGrid w:val="0"/>
          <w:shd w:val="clear" w:color="auto" w:fill="FFFFFF"/>
        </w:rPr>
        <w:t>标签。</w:t>
      </w:r>
      <w:r>
        <w:rPr>
          <w:rStyle w:val="29"/>
          <w:snapToGrid w:val="0"/>
          <w:shd w:val="clear" w:color="auto" w:fill="FFFFFF"/>
        </w:rPr>
        <w:footnoteReference w:id="5"/>
      </w:r>
    </w:p>
    <w:p w14:paraId="46F5BE4B">
      <w:pPr>
        <w:spacing w:before="187"/>
        <w:ind w:left="480" w:leftChars="200"/>
        <w:rPr>
          <w:b/>
          <w:snapToGrid w:val="0"/>
          <w:u w:val="single"/>
        </w:rPr>
      </w:pPr>
      <w:r>
        <w:rPr>
          <w:rFonts w:hint="eastAsia"/>
          <w:b/>
          <w:snapToGrid w:val="0"/>
          <w:u w:val="single"/>
        </w:rPr>
        <w:t>使用说明</w:t>
      </w:r>
    </w:p>
    <w:p w14:paraId="0A0148AA">
      <w:pPr>
        <w:spacing w:before="187"/>
        <w:ind w:left="480" w:leftChars="200"/>
        <w:rPr>
          <w:snapToGrid w:val="0"/>
        </w:rPr>
      </w:pPr>
      <w:r>
        <w:rPr>
          <w:snapToGrid w:val="0"/>
        </w:rPr>
        <w:t>作为处方</w:t>
      </w:r>
      <w:r>
        <w:rPr>
          <w:rFonts w:hint="eastAsia"/>
          <w:snapToGrid w:val="0"/>
        </w:rPr>
        <w:t>医疗</w:t>
      </w:r>
      <w:r>
        <w:rPr>
          <w:snapToGrid w:val="0"/>
        </w:rPr>
        <w:t>器械，根据21 CFR 801.109，该器械豁免</w:t>
      </w:r>
      <w:r>
        <w:rPr>
          <w:rFonts w:hint="eastAsia"/>
          <w:snapToGrid w:val="0"/>
        </w:rPr>
        <w:t>于非专业人员</w:t>
      </w:r>
      <w:r>
        <w:rPr>
          <w:snapToGrid w:val="0"/>
        </w:rPr>
        <w:t>使用</w:t>
      </w:r>
      <w:r>
        <w:rPr>
          <w:rFonts w:hint="eastAsia"/>
          <w:snapToGrid w:val="0"/>
        </w:rPr>
        <w:t>的充分</w:t>
      </w:r>
      <w:r>
        <w:rPr>
          <w:snapToGrid w:val="0"/>
        </w:rPr>
        <w:t>说明。然而，根据21 CFR 807.87（e），我们希望看到清晰简洁的</w:t>
      </w:r>
      <w:r>
        <w:rPr>
          <w:rFonts w:hint="eastAsia"/>
          <w:snapToGrid w:val="0"/>
        </w:rPr>
        <w:t>使用</w:t>
      </w:r>
      <w:r>
        <w:rPr>
          <w:snapToGrid w:val="0"/>
        </w:rPr>
        <w:t>说明书，用于</w:t>
      </w:r>
      <w:r>
        <w:rPr>
          <w:rFonts w:hint="eastAsia"/>
          <w:snapToGrid w:val="0"/>
        </w:rPr>
        <w:t>描述</w:t>
      </w:r>
      <w:r>
        <w:rPr>
          <w:snapToGrid w:val="0"/>
        </w:rPr>
        <w:t>特定器械的技术特征和患者使用器械</w:t>
      </w:r>
      <w:r>
        <w:rPr>
          <w:rFonts w:hint="eastAsia"/>
          <w:snapToGrid w:val="0"/>
        </w:rPr>
        <w:t>的方法</w:t>
      </w:r>
      <w:r>
        <w:rPr>
          <w:snapToGrid w:val="0"/>
        </w:rPr>
        <w:t>。</w:t>
      </w:r>
      <w:r>
        <w:rPr>
          <w:rFonts w:hint="eastAsia"/>
          <w:snapToGrid w:val="0"/>
        </w:rPr>
        <w:t>使用</w:t>
      </w:r>
      <w:r>
        <w:rPr>
          <w:snapToGrid w:val="0"/>
        </w:rPr>
        <w:t>说明应当鼓励当地／机构</w:t>
      </w:r>
      <w:r>
        <w:rPr>
          <w:rFonts w:hint="eastAsia"/>
          <w:snapToGrid w:val="0"/>
        </w:rPr>
        <w:t>培训项目，旨在使</w:t>
      </w:r>
      <w:r>
        <w:rPr>
          <w:snapToGrid w:val="0"/>
        </w:rPr>
        <w:t>用户熟悉该器械的特征，以及如何安全和有效使用该器械。</w:t>
      </w:r>
    </w:p>
    <w:p w14:paraId="5CC9F06A">
      <w:pPr>
        <w:spacing w:before="187"/>
        <w:ind w:left="480" w:leftChars="200"/>
        <w:rPr>
          <w:b/>
          <w:snapToGrid w:val="0"/>
          <w:u w:val="single"/>
        </w:rPr>
      </w:pPr>
      <w:r>
        <w:rPr>
          <w:rFonts w:hint="eastAsia"/>
          <w:b/>
          <w:snapToGrid w:val="0"/>
          <w:u w:val="single"/>
        </w:rPr>
        <w:t>警告</w:t>
      </w:r>
    </w:p>
    <w:p w14:paraId="32EFCCD0">
      <w:pPr>
        <w:spacing w:before="187"/>
        <w:ind w:left="480" w:leftChars="200"/>
        <w:rPr>
          <w:snapToGrid w:val="0"/>
          <w:shd w:val="clear" w:color="auto" w:fill="FFFFFF"/>
        </w:rPr>
      </w:pPr>
      <w:r>
        <w:rPr>
          <w:snapToGrid w:val="0"/>
        </w:rPr>
        <w:t>我们建议进行凝血酶原时间试验的器械包</w:t>
      </w:r>
      <w:r>
        <w:rPr>
          <w:rFonts w:hint="eastAsia"/>
          <w:snapToGrid w:val="0"/>
        </w:rPr>
        <w:t>含</w:t>
      </w:r>
      <w:r>
        <w:rPr>
          <w:snapToGrid w:val="0"/>
        </w:rPr>
        <w:t>警告标签，用以解释如何使用</w:t>
      </w:r>
      <w:r>
        <w:rPr>
          <w:snapToGrid w:val="0"/>
          <w:shd w:val="clear" w:color="auto" w:fill="FFFFFF"/>
        </w:rPr>
        <w:t>国际敏感指数（ISI）值，</w:t>
      </w:r>
      <w:r>
        <w:rPr>
          <w:rFonts w:hint="eastAsia"/>
          <w:snapToGrid w:val="0"/>
          <w:shd w:val="clear" w:color="auto" w:fill="FFFFFF"/>
        </w:rPr>
        <w:t>比</w:t>
      </w:r>
      <w:r>
        <w:rPr>
          <w:snapToGrid w:val="0"/>
          <w:shd w:val="clear" w:color="auto" w:fill="FFFFFF"/>
        </w:rPr>
        <w:t>如：</w:t>
      </w:r>
    </w:p>
    <w:p w14:paraId="5DA149C4">
      <w:pPr>
        <w:spacing w:before="187"/>
        <w:ind w:left="480" w:leftChars="200"/>
        <w:rPr>
          <w:snapToGrid w:val="0"/>
          <w:shd w:val="clear" w:color="auto" w:fill="FFFFFF"/>
        </w:rPr>
      </w:pPr>
      <w:r>
        <w:rPr>
          <w:snapToGrid w:val="0"/>
          <w:shd w:val="clear" w:color="auto" w:fill="FFFFFF"/>
        </w:rPr>
        <w:br w:type="page"/>
      </w:r>
    </w:p>
    <w:p w14:paraId="549776EC">
      <w:pPr>
        <w:spacing w:before="187"/>
        <w:ind w:left="960" w:leftChars="400"/>
        <w:rPr>
          <w:b/>
          <w:snapToGrid w:val="0"/>
        </w:rPr>
      </w:pPr>
      <w:r>
        <w:rPr>
          <w:rFonts w:ascii="宋体" w:hAnsi="宋体"/>
          <w:b/>
          <w:snapToGrid w:val="0"/>
        </w:rPr>
        <w:t>“</w:t>
      </w:r>
      <w:r>
        <w:rPr>
          <w:b/>
          <w:snapToGrid w:val="0"/>
        </w:rPr>
        <w:t>警告：</w:t>
      </w:r>
      <w:r>
        <w:rPr>
          <w:b/>
          <w:snapToGrid w:val="0"/>
          <w:shd w:val="clear" w:color="auto" w:fill="FFFFFF"/>
        </w:rPr>
        <w:t>凝血酶原时间测定的</w:t>
      </w:r>
      <w:r>
        <w:rPr>
          <w:b/>
          <w:snapToGrid w:val="0"/>
        </w:rPr>
        <w:t>ISI值出现在当前试剂使用说明书中时必须直接输入。试剂批号、软件更新、</w:t>
      </w:r>
      <w:r>
        <w:rPr>
          <w:rFonts w:hint="eastAsia"/>
          <w:b/>
          <w:snapToGrid w:val="0"/>
        </w:rPr>
        <w:t>主要</w:t>
      </w:r>
      <w:r>
        <w:rPr>
          <w:b/>
          <w:snapToGrid w:val="0"/>
        </w:rPr>
        <w:t>服务等方面的任何变化，均需要验证ISI值。未能输入正确的ISI值将导致不正确的</w:t>
      </w:r>
      <w:r>
        <w:rPr>
          <w:b/>
          <w:snapToGrid w:val="0"/>
          <w:shd w:val="clear" w:color="auto" w:fill="FFFFFF"/>
        </w:rPr>
        <w:t>国际标准化比值（INR）结果。</w:t>
      </w:r>
      <w:r>
        <w:rPr>
          <w:rFonts w:ascii="宋体" w:hAnsi="宋体"/>
          <w:b/>
          <w:snapToGrid w:val="0"/>
        </w:rPr>
        <w:t>”</w:t>
      </w:r>
    </w:p>
    <w:p w14:paraId="0991BE00">
      <w:pPr>
        <w:spacing w:before="187"/>
        <w:ind w:left="480" w:leftChars="200"/>
        <w:rPr>
          <w:snapToGrid w:val="0"/>
          <w:shd w:val="clear" w:color="auto" w:fill="FFFFFF"/>
        </w:rPr>
      </w:pPr>
      <w:r>
        <w:rPr>
          <w:snapToGrid w:val="0"/>
          <w:shd w:val="clear" w:color="auto" w:fill="FFFFFF"/>
        </w:rPr>
        <w:t>我们建议以粗体或与背景高对比度来显示警告</w:t>
      </w:r>
      <w:r>
        <w:rPr>
          <w:rFonts w:hint="eastAsia"/>
          <w:snapToGrid w:val="0"/>
          <w:shd w:val="clear" w:color="auto" w:fill="FFFFFF"/>
        </w:rPr>
        <w:t>信息</w:t>
      </w:r>
      <w:r>
        <w:rPr>
          <w:snapToGrid w:val="0"/>
          <w:shd w:val="clear" w:color="auto" w:fill="FFFFFF"/>
        </w:rPr>
        <w:t>。</w:t>
      </w:r>
    </w:p>
    <w:p w14:paraId="64A8223F">
      <w:pPr>
        <w:spacing w:before="187"/>
        <w:rPr>
          <w:snapToGrid w:val="0"/>
        </w:rPr>
      </w:pPr>
    </w:p>
    <w:p w14:paraId="60D9DF94">
      <w:pPr>
        <w:pBdr>
          <w:bottom w:val="single" w:color="auto" w:sz="4" w:space="1"/>
        </w:pBdr>
        <w:spacing w:before="187"/>
        <w:jc w:val="center"/>
        <w:rPr>
          <w:rFonts w:hint="eastAsia" w:eastAsia="宋体"/>
          <w:lang w:eastAsia="zh-CN"/>
        </w:rPr>
      </w:pPr>
    </w:p>
    <w:p w14:paraId="3394277C">
      <w:pPr>
        <w:pBdr>
          <w:bottom w:val="single" w:color="auto" w:sz="4" w:space="1"/>
        </w:pBdr>
        <w:spacing w:before="187"/>
        <w:jc w:val="center"/>
        <w:rPr>
          <w:rFonts w:hint="eastAsia" w:eastAsia="宋体"/>
          <w:lang w:eastAsia="zh-CN"/>
        </w:rPr>
      </w:pPr>
    </w:p>
    <w:p w14:paraId="78E33CDB">
      <w:pPr>
        <w:pBdr>
          <w:bottom w:val="single" w:color="auto" w:sz="4" w:space="1"/>
        </w:pBdr>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12" w:type="default"/>
      <w:pgSz w:w="11906" w:h="16838"/>
      <w:pgMar w:top="1418" w:right="1418" w:bottom="1418" w:left="1418" w:header="720" w:footer="72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S Mincho">
    <w:altName w:val="Kozuka Mincho Pro M"/>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03FF">
    <w:pPr>
      <w:pStyle w:val="13"/>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CA2A">
    <w:pPr>
      <w:pStyle w:val="13"/>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0844">
    <w:pPr>
      <w:pStyle w:val="13"/>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B7C37">
    <w:pPr>
      <w:pStyle w:val="13"/>
      <w:spacing w:before="144"/>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37F79">
    <w:pPr>
      <w:pStyle w:val="13"/>
      <w:spacing w:before="144"/>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312" w:lineRule="auto"/>
      </w:pPr>
      <w:r>
        <w:separator/>
      </w:r>
    </w:p>
  </w:footnote>
  <w:footnote w:type="continuationSeparator" w:id="13">
    <w:p>
      <w:pPr>
        <w:spacing w:before="0" w:after="0" w:line="312" w:lineRule="auto"/>
      </w:pPr>
      <w:r>
        <w:continuationSeparator/>
      </w:r>
    </w:p>
  </w:footnote>
  <w:footnote w:id="0">
    <w:p w14:paraId="01272DF2">
      <w:pPr>
        <w:pStyle w:val="17"/>
        <w:spacing w:before="187"/>
      </w:pPr>
      <w:r>
        <w:rPr>
          <w:rStyle w:val="29"/>
        </w:rPr>
        <w:footnoteRef/>
      </w:r>
      <w:r>
        <w:t xml:space="preserve"> </w:t>
      </w:r>
      <w:r>
        <w:rPr>
          <w:snapToGrid w:val="0"/>
          <w:u w:val="single"/>
        </w:rPr>
        <w:t>http: //www.fda.gov/cdrh/</w:t>
      </w:r>
      <w:r>
        <w:rPr>
          <w:rFonts w:hint="eastAsia"/>
          <w:snapToGrid w:val="0"/>
          <w:u w:val="single"/>
        </w:rPr>
        <w:t>mdufma</w:t>
      </w:r>
      <w:r>
        <w:rPr>
          <w:snapToGrid w:val="0"/>
          <w:u w:val="single"/>
        </w:rPr>
        <w:t>/guidance/12</w:t>
      </w:r>
      <w:r>
        <w:rPr>
          <w:rFonts w:hint="eastAsia"/>
          <w:snapToGrid w:val="0"/>
          <w:u w:val="single"/>
        </w:rPr>
        <w:t>01</w:t>
      </w:r>
      <w:r>
        <w:rPr>
          <w:snapToGrid w:val="0"/>
          <w:u w:val="single"/>
        </w:rPr>
        <w:t>.pdf</w:t>
      </w:r>
      <w:r>
        <w:rPr>
          <w:rFonts w:hint="eastAsia"/>
          <w:snapToGrid w:val="0"/>
          <w:szCs w:val="21"/>
          <w:shd w:val="clear" w:color="auto" w:fill="FFFFFF"/>
        </w:rPr>
        <w:t>.</w:t>
      </w:r>
    </w:p>
  </w:footnote>
  <w:footnote w:id="1">
    <w:p w14:paraId="014C078C">
      <w:pPr>
        <w:pStyle w:val="17"/>
        <w:spacing w:before="187"/>
      </w:pPr>
      <w:r>
        <w:rPr>
          <w:rStyle w:val="29"/>
        </w:rPr>
        <w:footnoteRef/>
      </w:r>
      <w:r>
        <w:t xml:space="preserve"> </w:t>
      </w:r>
      <w:r>
        <w:rPr>
          <w:snapToGrid w:val="0"/>
          <w:u w:val="single"/>
        </w:rPr>
        <w:t>http: //www.fda.gov/cdrh/</w:t>
      </w:r>
      <w:r>
        <w:rPr>
          <w:rFonts w:hint="eastAsia"/>
          <w:snapToGrid w:val="0"/>
          <w:u w:val="single"/>
        </w:rPr>
        <w:t>ode</w:t>
      </w:r>
      <w:r>
        <w:rPr>
          <w:snapToGrid w:val="0"/>
          <w:u w:val="single"/>
        </w:rPr>
        <w:t>/</w:t>
      </w:r>
      <w:r>
        <w:rPr>
          <w:rFonts w:hint="eastAsia"/>
          <w:snapToGrid w:val="0"/>
          <w:u w:val="single"/>
        </w:rPr>
        <w:t>parad510</w:t>
      </w:r>
      <w:r>
        <w:rPr>
          <w:rFonts w:hint="eastAsia"/>
          <w:snapToGrid w:val="0"/>
          <w:szCs w:val="21"/>
          <w:u w:val="single"/>
          <w:shd w:val="clear" w:color="auto" w:fill="FFFFFF"/>
        </w:rPr>
        <w:t>.html</w:t>
      </w:r>
    </w:p>
  </w:footnote>
  <w:footnote w:id="2">
    <w:p w14:paraId="5A15057C">
      <w:pPr>
        <w:pStyle w:val="17"/>
        <w:spacing w:before="187"/>
      </w:pPr>
      <w:r>
        <w:rPr>
          <w:rStyle w:val="29"/>
        </w:rPr>
        <w:footnoteRef/>
      </w:r>
      <w:r>
        <w:rPr>
          <w:rFonts w:hint="eastAsia"/>
          <w:snapToGrid w:val="0"/>
          <w:szCs w:val="21"/>
          <w:shd w:val="clear" w:color="auto" w:fill="FFFFFF"/>
        </w:rPr>
        <w:t>推荐格式请参见</w:t>
      </w:r>
      <w:r>
        <w:fldChar w:fldCharType="begin"/>
      </w:r>
      <w:r>
        <w:instrText xml:space="preserve"> HYPERLINK "http://www.fda.gov/cdrh/ode/indicate.html" </w:instrText>
      </w:r>
      <w:r>
        <w:fldChar w:fldCharType="separate"/>
      </w:r>
      <w:r>
        <w:rPr>
          <w:rStyle w:val="27"/>
          <w:rFonts w:cs="Arial"/>
          <w:snapToGrid w:val="0"/>
          <w:kern w:val="0"/>
          <w:szCs w:val="24"/>
        </w:rPr>
        <w:t>http: //www.fda.gov/cdrh/</w:t>
      </w:r>
      <w:r>
        <w:rPr>
          <w:rStyle w:val="27"/>
          <w:rFonts w:hint="eastAsia" w:cs="Arial"/>
          <w:snapToGrid w:val="0"/>
          <w:kern w:val="0"/>
          <w:szCs w:val="24"/>
        </w:rPr>
        <w:t>ode</w:t>
      </w:r>
      <w:r>
        <w:rPr>
          <w:rStyle w:val="27"/>
          <w:rFonts w:cs="Arial"/>
          <w:snapToGrid w:val="0"/>
          <w:kern w:val="0"/>
          <w:szCs w:val="24"/>
        </w:rPr>
        <w:t>/</w:t>
      </w:r>
      <w:r>
        <w:rPr>
          <w:rStyle w:val="27"/>
          <w:rFonts w:hint="eastAsia" w:cs="Arial"/>
          <w:snapToGrid w:val="0"/>
          <w:kern w:val="0"/>
          <w:szCs w:val="24"/>
        </w:rPr>
        <w:t>indicate</w:t>
      </w:r>
      <w:r>
        <w:rPr>
          <w:rStyle w:val="27"/>
          <w:rFonts w:hint="eastAsia" w:cs="Arial"/>
          <w:snapToGrid w:val="0"/>
          <w:kern w:val="0"/>
          <w:szCs w:val="21"/>
          <w:shd w:val="clear" w:color="auto" w:fill="FFFFFF"/>
        </w:rPr>
        <w:t>.html</w:t>
      </w:r>
      <w:r>
        <w:rPr>
          <w:rStyle w:val="27"/>
          <w:rFonts w:hint="eastAsia" w:cs="Arial"/>
          <w:snapToGrid w:val="0"/>
          <w:kern w:val="0"/>
          <w:szCs w:val="21"/>
          <w:shd w:val="clear" w:color="auto" w:fill="FFFFFF"/>
        </w:rPr>
        <w:fldChar w:fldCharType="end"/>
      </w:r>
    </w:p>
  </w:footnote>
  <w:footnote w:id="3">
    <w:p w14:paraId="5B613A1F">
      <w:pPr>
        <w:pStyle w:val="17"/>
        <w:spacing w:before="187"/>
      </w:pPr>
      <w:r>
        <w:rPr>
          <w:rStyle w:val="29"/>
        </w:rPr>
        <w:footnoteRef/>
      </w:r>
      <w:r>
        <w:rPr>
          <w:snapToGrid w:val="0"/>
          <w:shd w:val="clear" w:color="auto" w:fill="FFFFFF"/>
        </w:rPr>
        <w:t>如果FDA根据验收标准做出实质等同性判定，则主体器械在引入州际贸易之前应当进行试验，并证明其符合这些验收标准。如果成品器械不符合验收标准，</w:t>
      </w:r>
      <w:r>
        <w:rPr>
          <w:rFonts w:hint="eastAsia"/>
          <w:snapToGrid w:val="0"/>
          <w:shd w:val="clear" w:color="auto" w:fill="FFFFFF"/>
        </w:rPr>
        <w:t>即不同于</w:t>
      </w:r>
      <w:r>
        <w:rPr>
          <w:snapToGrid w:val="0"/>
          <w:shd w:val="clear" w:color="auto" w:fill="FFFFFF"/>
        </w:rPr>
        <w:t>在批准的510（k）中所描述的许可器械，FDA建议提交者采用同样的标准来评估对合法销售器械（21 CFR 807.81（a）（3））的修改，以确定成品器械的销售是否需要新510（k）。</w:t>
      </w:r>
    </w:p>
  </w:footnote>
  <w:footnote w:id="4">
    <w:p w14:paraId="0ED817FC">
      <w:pPr>
        <w:pStyle w:val="17"/>
        <w:spacing w:before="187"/>
      </w:pPr>
      <w:r>
        <w:rPr>
          <w:rStyle w:val="29"/>
        </w:rPr>
        <w:footnoteRef/>
      </w:r>
      <w:r>
        <w:rPr>
          <w:snapToGrid w:val="0"/>
          <w:shd w:val="clear" w:color="auto" w:fill="FFFFFF"/>
        </w:rPr>
        <w:t>参见符合公认标准的声明必备要素（所有上市前通告</w:t>
      </w:r>
      <w:r>
        <w:rPr>
          <w:snapToGrid w:val="0"/>
          <w:color w:val="000000"/>
        </w:rPr>
        <w:t>[510 (K) ]提交资料</w:t>
      </w:r>
      <w:r>
        <w:rPr>
          <w:snapToGrid w:val="0"/>
          <w:shd w:val="clear" w:color="auto" w:fill="FFFFFF"/>
        </w:rPr>
        <w:t>的筛选检查清单），</w:t>
      </w:r>
      <w:r>
        <w:fldChar w:fldCharType="begin"/>
      </w:r>
      <w:r>
        <w:instrText xml:space="preserve"> HYPERLINK "http://www.fda.gov/cdrh/ode/reqrecstand.html" </w:instrText>
      </w:r>
      <w:r>
        <w:fldChar w:fldCharType="separate"/>
      </w:r>
      <w:r>
        <w:rPr>
          <w:rStyle w:val="27"/>
          <w:rFonts w:cs="Arial"/>
          <w:snapToGrid w:val="0"/>
          <w:kern w:val="0"/>
          <w:szCs w:val="24"/>
        </w:rPr>
        <w:t>http: //www.fda.gov/cdrh/ode/reqrecstand.html</w:t>
      </w:r>
      <w:r>
        <w:rPr>
          <w:rStyle w:val="27"/>
          <w:rFonts w:cs="Arial"/>
          <w:snapToGrid w:val="0"/>
          <w:kern w:val="0"/>
          <w:szCs w:val="24"/>
        </w:rPr>
        <w:fldChar w:fldCharType="end"/>
      </w:r>
      <w:r>
        <w:rPr>
          <w:snapToGrid w:val="0"/>
          <w:color w:val="000000"/>
        </w:rPr>
        <w:t>.</w:t>
      </w:r>
    </w:p>
  </w:footnote>
  <w:footnote w:id="5">
    <w:p w14:paraId="5788A4B6">
      <w:pPr>
        <w:pStyle w:val="17"/>
        <w:spacing w:before="187"/>
      </w:pPr>
      <w:r>
        <w:rPr>
          <w:rStyle w:val="29"/>
        </w:rPr>
        <w:footnoteRef/>
      </w:r>
      <w:r>
        <w:rPr>
          <w:snapToGrid w:val="0"/>
          <w:shd w:val="clear" w:color="auto" w:fill="FFFFFF"/>
        </w:rPr>
        <w:t>虽然最终标签不需要510 (k)</w:t>
      </w:r>
      <w:r>
        <w:rPr>
          <w:rFonts w:hint="eastAsia"/>
          <w:snapToGrid w:val="0"/>
          <w:shd w:val="clear" w:color="auto" w:fill="FFFFFF"/>
        </w:rPr>
        <w:t>许可，但是在医疗器械进入洲际贸易之前，最终标签必须符合21 CFR 801【IF体外诊断器械使用说明书：或21 CFR 809.10】的要求。除此以外，处方医疗器械的最终标签必须符合21 CFR 801.109。在本指导性文件中的标签建议与801 801部分和809.10.章节的要求一致。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DBE1">
    <w:pPr>
      <w:pStyle w:val="14"/>
      <w:pBdr>
        <w:bottom w:val="none" w:color="auto" w:sz="0" w:space="0"/>
      </w:pBdr>
      <w:spacing w:before="144"/>
      <w:rPr>
        <w:b/>
        <w:i/>
        <w:sz w:val="21"/>
        <w:szCs w:val="21"/>
      </w:rPr>
    </w:pPr>
    <w:r>
      <w:rPr>
        <w:b/>
        <w:i/>
        <w:snapToGrid w:val="0"/>
        <w:sz w:val="21"/>
        <w:szCs w:val="21"/>
        <w:shd w:val="clear" w:color="auto" w:fill="FFFFFF"/>
      </w:rPr>
      <w:t>包含不具约束力的建议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DEA1">
    <w:pPr>
      <w:pStyle w:val="14"/>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9616">
    <w:pPr>
      <w:pStyle w:val="14"/>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32B85"/>
    <w:multiLevelType w:val="multilevel"/>
    <w:tmpl w:val="03B32B8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6935FB7"/>
    <w:multiLevelType w:val="multilevel"/>
    <w:tmpl w:val="06935FB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C1673BB"/>
    <w:multiLevelType w:val="singleLevel"/>
    <w:tmpl w:val="2C1673BB"/>
    <w:lvl w:ilvl="0" w:tentative="0">
      <w:start w:val="1"/>
      <w:numFmt w:val="bullet"/>
      <w:pStyle w:val="6"/>
      <w:lvlText w:val="●"/>
      <w:lvlJc w:val="left"/>
      <w:pPr>
        <w:tabs>
          <w:tab w:val="left" w:pos="1080"/>
        </w:tabs>
        <w:ind w:left="1080" w:hanging="360"/>
      </w:pPr>
      <w:rPr>
        <w:rFonts w:ascii="Times New Roman" w:hAnsi="Times New Roman" w:cs="Times New Roman"/>
        <w:b w:val="0"/>
        <w:i w:val="0"/>
        <w:caps w:val="0"/>
        <w:sz w:val="24"/>
        <w:u w:val="none"/>
        <w:vertAlign w:val="baseline"/>
      </w:rPr>
    </w:lvl>
  </w:abstractNum>
  <w:abstractNum w:abstractNumId="3">
    <w:nsid w:val="3DAA5DB7"/>
    <w:multiLevelType w:val="multilevel"/>
    <w:tmpl w:val="3DAA5DB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10B0450"/>
    <w:multiLevelType w:val="singleLevel"/>
    <w:tmpl w:val="410B0450"/>
    <w:lvl w:ilvl="0" w:tentative="0">
      <w:start w:val="1"/>
      <w:numFmt w:val="decimal"/>
      <w:pStyle w:val="41"/>
      <w:lvlText w:val="%1."/>
      <w:lvlJc w:val="right"/>
      <w:pPr>
        <w:tabs>
          <w:tab w:val="left" w:pos="360"/>
        </w:tabs>
        <w:ind w:left="360" w:hanging="360"/>
      </w:pPr>
      <w:rPr>
        <w:rFonts w:ascii="Times New Roman" w:hAnsi="Times New Roman" w:cs="Times New Roman"/>
        <w:b w:val="0"/>
        <w:i w:val="0"/>
        <w:caps w:val="0"/>
        <w:sz w:val="24"/>
        <w:u w:val="none"/>
        <w:vertAlign w:val="baseline"/>
      </w:rPr>
    </w:lvl>
  </w:abstractNum>
  <w:abstractNum w:abstractNumId="5">
    <w:nsid w:val="4A6660BD"/>
    <w:multiLevelType w:val="multilevel"/>
    <w:tmpl w:val="4A6660B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B761723"/>
    <w:multiLevelType w:val="multilevel"/>
    <w:tmpl w:val="5B76172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2"/>
    <w:footnote w:id="1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1540"/>
    <w:rsid w:val="00013A9E"/>
    <w:rsid w:val="000208C1"/>
    <w:rsid w:val="00021FBB"/>
    <w:rsid w:val="00023D33"/>
    <w:rsid w:val="00025505"/>
    <w:rsid w:val="00025F64"/>
    <w:rsid w:val="00027342"/>
    <w:rsid w:val="00027B74"/>
    <w:rsid w:val="00031795"/>
    <w:rsid w:val="0003236D"/>
    <w:rsid w:val="00034E79"/>
    <w:rsid w:val="00040083"/>
    <w:rsid w:val="00043A2E"/>
    <w:rsid w:val="00046965"/>
    <w:rsid w:val="00052D66"/>
    <w:rsid w:val="00054336"/>
    <w:rsid w:val="00055B18"/>
    <w:rsid w:val="00056886"/>
    <w:rsid w:val="00063D88"/>
    <w:rsid w:val="000643EA"/>
    <w:rsid w:val="00064A5F"/>
    <w:rsid w:val="0006541F"/>
    <w:rsid w:val="00073100"/>
    <w:rsid w:val="00073C5D"/>
    <w:rsid w:val="00074659"/>
    <w:rsid w:val="000751AA"/>
    <w:rsid w:val="00075781"/>
    <w:rsid w:val="000770B1"/>
    <w:rsid w:val="00077F43"/>
    <w:rsid w:val="00080C71"/>
    <w:rsid w:val="000839CB"/>
    <w:rsid w:val="00084373"/>
    <w:rsid w:val="00085053"/>
    <w:rsid w:val="00085555"/>
    <w:rsid w:val="0008578E"/>
    <w:rsid w:val="00085DE2"/>
    <w:rsid w:val="00091493"/>
    <w:rsid w:val="00095A57"/>
    <w:rsid w:val="000A5FDE"/>
    <w:rsid w:val="000B2241"/>
    <w:rsid w:val="000B26C8"/>
    <w:rsid w:val="000B41D4"/>
    <w:rsid w:val="000B6E4A"/>
    <w:rsid w:val="000B7649"/>
    <w:rsid w:val="000C2A98"/>
    <w:rsid w:val="000C4968"/>
    <w:rsid w:val="000C6BAB"/>
    <w:rsid w:val="000D2660"/>
    <w:rsid w:val="000D304D"/>
    <w:rsid w:val="000D4093"/>
    <w:rsid w:val="000D502A"/>
    <w:rsid w:val="000D7FB3"/>
    <w:rsid w:val="000E0F7F"/>
    <w:rsid w:val="000E1E29"/>
    <w:rsid w:val="000E53AC"/>
    <w:rsid w:val="000E5F16"/>
    <w:rsid w:val="000E7541"/>
    <w:rsid w:val="000E7A1B"/>
    <w:rsid w:val="000F0707"/>
    <w:rsid w:val="000F0BAA"/>
    <w:rsid w:val="000F2CEF"/>
    <w:rsid w:val="000F3EBE"/>
    <w:rsid w:val="000F759D"/>
    <w:rsid w:val="000F7CB2"/>
    <w:rsid w:val="00100FE4"/>
    <w:rsid w:val="00101686"/>
    <w:rsid w:val="00104035"/>
    <w:rsid w:val="001052CD"/>
    <w:rsid w:val="00112035"/>
    <w:rsid w:val="001123B5"/>
    <w:rsid w:val="00112865"/>
    <w:rsid w:val="00113549"/>
    <w:rsid w:val="00115B3C"/>
    <w:rsid w:val="001260B1"/>
    <w:rsid w:val="001276F0"/>
    <w:rsid w:val="001337F6"/>
    <w:rsid w:val="001343FF"/>
    <w:rsid w:val="001349CA"/>
    <w:rsid w:val="001359CE"/>
    <w:rsid w:val="00141701"/>
    <w:rsid w:val="00141C2B"/>
    <w:rsid w:val="001422E5"/>
    <w:rsid w:val="00142A99"/>
    <w:rsid w:val="00145889"/>
    <w:rsid w:val="001473E7"/>
    <w:rsid w:val="001542C7"/>
    <w:rsid w:val="0016132A"/>
    <w:rsid w:val="0017165A"/>
    <w:rsid w:val="00171EE3"/>
    <w:rsid w:val="00172A9F"/>
    <w:rsid w:val="00172C28"/>
    <w:rsid w:val="001732E6"/>
    <w:rsid w:val="0017391F"/>
    <w:rsid w:val="001778BA"/>
    <w:rsid w:val="00177B28"/>
    <w:rsid w:val="00183C23"/>
    <w:rsid w:val="00185622"/>
    <w:rsid w:val="00185B36"/>
    <w:rsid w:val="00186F2A"/>
    <w:rsid w:val="0018707B"/>
    <w:rsid w:val="00194631"/>
    <w:rsid w:val="00196E72"/>
    <w:rsid w:val="00196FC5"/>
    <w:rsid w:val="001A1A20"/>
    <w:rsid w:val="001A3F4B"/>
    <w:rsid w:val="001A6902"/>
    <w:rsid w:val="001A7496"/>
    <w:rsid w:val="001A7BC9"/>
    <w:rsid w:val="001B26E2"/>
    <w:rsid w:val="001B351B"/>
    <w:rsid w:val="001B784B"/>
    <w:rsid w:val="001B7EEF"/>
    <w:rsid w:val="001C1170"/>
    <w:rsid w:val="001C1DE5"/>
    <w:rsid w:val="001D14A8"/>
    <w:rsid w:val="001D30E0"/>
    <w:rsid w:val="001D41BD"/>
    <w:rsid w:val="001D796D"/>
    <w:rsid w:val="001E61F6"/>
    <w:rsid w:val="001F1A90"/>
    <w:rsid w:val="001F2138"/>
    <w:rsid w:val="001F3DC9"/>
    <w:rsid w:val="001F6F01"/>
    <w:rsid w:val="001F7C6A"/>
    <w:rsid w:val="00200464"/>
    <w:rsid w:val="00201C7F"/>
    <w:rsid w:val="00205ED6"/>
    <w:rsid w:val="00210BD4"/>
    <w:rsid w:val="00210DBC"/>
    <w:rsid w:val="002121F8"/>
    <w:rsid w:val="002137E6"/>
    <w:rsid w:val="00214347"/>
    <w:rsid w:val="00214A2C"/>
    <w:rsid w:val="00217C85"/>
    <w:rsid w:val="002219AE"/>
    <w:rsid w:val="00224A4F"/>
    <w:rsid w:val="00227042"/>
    <w:rsid w:val="00227F5D"/>
    <w:rsid w:val="00231C1E"/>
    <w:rsid w:val="00233FB0"/>
    <w:rsid w:val="00237B18"/>
    <w:rsid w:val="002416B7"/>
    <w:rsid w:val="00241C09"/>
    <w:rsid w:val="0024250C"/>
    <w:rsid w:val="002438A3"/>
    <w:rsid w:val="0024650A"/>
    <w:rsid w:val="00247DC1"/>
    <w:rsid w:val="00247F22"/>
    <w:rsid w:val="00251B2A"/>
    <w:rsid w:val="002535F7"/>
    <w:rsid w:val="002614E2"/>
    <w:rsid w:val="0026593B"/>
    <w:rsid w:val="00270493"/>
    <w:rsid w:val="00270A96"/>
    <w:rsid w:val="00270AB9"/>
    <w:rsid w:val="00275E17"/>
    <w:rsid w:val="00276E31"/>
    <w:rsid w:val="00282651"/>
    <w:rsid w:val="0028296D"/>
    <w:rsid w:val="00284AD0"/>
    <w:rsid w:val="0028538A"/>
    <w:rsid w:val="00285E1E"/>
    <w:rsid w:val="00294046"/>
    <w:rsid w:val="002A773B"/>
    <w:rsid w:val="002B00ED"/>
    <w:rsid w:val="002B07A5"/>
    <w:rsid w:val="002B0FEC"/>
    <w:rsid w:val="002B2FF7"/>
    <w:rsid w:val="002B5657"/>
    <w:rsid w:val="002B75B9"/>
    <w:rsid w:val="002C4539"/>
    <w:rsid w:val="002C5DFE"/>
    <w:rsid w:val="002C5E74"/>
    <w:rsid w:val="002D2AEE"/>
    <w:rsid w:val="002D366C"/>
    <w:rsid w:val="002D3E67"/>
    <w:rsid w:val="002D426E"/>
    <w:rsid w:val="002D445E"/>
    <w:rsid w:val="002D4BBB"/>
    <w:rsid w:val="002D7A54"/>
    <w:rsid w:val="002E0F2B"/>
    <w:rsid w:val="002E4FEF"/>
    <w:rsid w:val="002F13A6"/>
    <w:rsid w:val="002F3E86"/>
    <w:rsid w:val="002F41A0"/>
    <w:rsid w:val="002F4B09"/>
    <w:rsid w:val="003012AE"/>
    <w:rsid w:val="003051AA"/>
    <w:rsid w:val="003059D5"/>
    <w:rsid w:val="0031767A"/>
    <w:rsid w:val="00317CA6"/>
    <w:rsid w:val="00323AAF"/>
    <w:rsid w:val="00326BE3"/>
    <w:rsid w:val="00327BD2"/>
    <w:rsid w:val="003317D8"/>
    <w:rsid w:val="00336066"/>
    <w:rsid w:val="0033619F"/>
    <w:rsid w:val="003377A4"/>
    <w:rsid w:val="00340F28"/>
    <w:rsid w:val="003412AC"/>
    <w:rsid w:val="00341AB4"/>
    <w:rsid w:val="00342B1A"/>
    <w:rsid w:val="00346E2A"/>
    <w:rsid w:val="00352A0F"/>
    <w:rsid w:val="00354CCD"/>
    <w:rsid w:val="00355A2C"/>
    <w:rsid w:val="003578A3"/>
    <w:rsid w:val="00361926"/>
    <w:rsid w:val="00367494"/>
    <w:rsid w:val="00367876"/>
    <w:rsid w:val="003732C8"/>
    <w:rsid w:val="0037445B"/>
    <w:rsid w:val="00386C7C"/>
    <w:rsid w:val="00386E95"/>
    <w:rsid w:val="00387CE8"/>
    <w:rsid w:val="00390529"/>
    <w:rsid w:val="00390C65"/>
    <w:rsid w:val="00392BF4"/>
    <w:rsid w:val="0039552C"/>
    <w:rsid w:val="003963D5"/>
    <w:rsid w:val="00397030"/>
    <w:rsid w:val="003A1E1F"/>
    <w:rsid w:val="003A2360"/>
    <w:rsid w:val="003A3AE5"/>
    <w:rsid w:val="003A6960"/>
    <w:rsid w:val="003B562D"/>
    <w:rsid w:val="003B613B"/>
    <w:rsid w:val="003B7B71"/>
    <w:rsid w:val="003C4141"/>
    <w:rsid w:val="003C4F8D"/>
    <w:rsid w:val="003C564A"/>
    <w:rsid w:val="003D0FC8"/>
    <w:rsid w:val="003D61EB"/>
    <w:rsid w:val="003D6999"/>
    <w:rsid w:val="003D71EF"/>
    <w:rsid w:val="003E0E5A"/>
    <w:rsid w:val="003E44C8"/>
    <w:rsid w:val="003F25F4"/>
    <w:rsid w:val="003F32A8"/>
    <w:rsid w:val="003F5AAD"/>
    <w:rsid w:val="003F6621"/>
    <w:rsid w:val="00400222"/>
    <w:rsid w:val="0040231F"/>
    <w:rsid w:val="00403929"/>
    <w:rsid w:val="00403C11"/>
    <w:rsid w:val="00403D9D"/>
    <w:rsid w:val="00407B0A"/>
    <w:rsid w:val="00410143"/>
    <w:rsid w:val="00412991"/>
    <w:rsid w:val="0041498F"/>
    <w:rsid w:val="00415AB7"/>
    <w:rsid w:val="00417E8F"/>
    <w:rsid w:val="00417F3D"/>
    <w:rsid w:val="0042489B"/>
    <w:rsid w:val="004269E2"/>
    <w:rsid w:val="004272F2"/>
    <w:rsid w:val="00427F07"/>
    <w:rsid w:val="004317C5"/>
    <w:rsid w:val="004322E6"/>
    <w:rsid w:val="004337E2"/>
    <w:rsid w:val="0043750C"/>
    <w:rsid w:val="00437F8A"/>
    <w:rsid w:val="004405DF"/>
    <w:rsid w:val="00443C8F"/>
    <w:rsid w:val="004462A6"/>
    <w:rsid w:val="004465C8"/>
    <w:rsid w:val="004509CD"/>
    <w:rsid w:val="004510CA"/>
    <w:rsid w:val="00457E27"/>
    <w:rsid w:val="00460121"/>
    <w:rsid w:val="00460823"/>
    <w:rsid w:val="00460F74"/>
    <w:rsid w:val="00465419"/>
    <w:rsid w:val="0046646E"/>
    <w:rsid w:val="00472842"/>
    <w:rsid w:val="00483E48"/>
    <w:rsid w:val="00485081"/>
    <w:rsid w:val="004869B4"/>
    <w:rsid w:val="004919BA"/>
    <w:rsid w:val="00493123"/>
    <w:rsid w:val="004A2CC3"/>
    <w:rsid w:val="004A521F"/>
    <w:rsid w:val="004B34D2"/>
    <w:rsid w:val="004B3D12"/>
    <w:rsid w:val="004B6F70"/>
    <w:rsid w:val="004C04FB"/>
    <w:rsid w:val="004C1064"/>
    <w:rsid w:val="004C1BF3"/>
    <w:rsid w:val="004C3CB6"/>
    <w:rsid w:val="004C54FB"/>
    <w:rsid w:val="004C6A76"/>
    <w:rsid w:val="004C7C02"/>
    <w:rsid w:val="004E031C"/>
    <w:rsid w:val="004E2485"/>
    <w:rsid w:val="004E2768"/>
    <w:rsid w:val="004E461B"/>
    <w:rsid w:val="004E5F3C"/>
    <w:rsid w:val="004E76CF"/>
    <w:rsid w:val="004F045E"/>
    <w:rsid w:val="004F0984"/>
    <w:rsid w:val="004F4EAB"/>
    <w:rsid w:val="004F5C7E"/>
    <w:rsid w:val="004F669E"/>
    <w:rsid w:val="004F757F"/>
    <w:rsid w:val="00500A9E"/>
    <w:rsid w:val="0050101D"/>
    <w:rsid w:val="00501A0E"/>
    <w:rsid w:val="00502B20"/>
    <w:rsid w:val="00503200"/>
    <w:rsid w:val="00503951"/>
    <w:rsid w:val="0050648C"/>
    <w:rsid w:val="005073BD"/>
    <w:rsid w:val="00511B6F"/>
    <w:rsid w:val="0051390C"/>
    <w:rsid w:val="00513B53"/>
    <w:rsid w:val="00513DD6"/>
    <w:rsid w:val="0051521D"/>
    <w:rsid w:val="005162E7"/>
    <w:rsid w:val="00516B1B"/>
    <w:rsid w:val="005225C7"/>
    <w:rsid w:val="00522692"/>
    <w:rsid w:val="0052354C"/>
    <w:rsid w:val="00523617"/>
    <w:rsid w:val="005236FC"/>
    <w:rsid w:val="00541B95"/>
    <w:rsid w:val="00543B84"/>
    <w:rsid w:val="00551DC3"/>
    <w:rsid w:val="005522D3"/>
    <w:rsid w:val="00553299"/>
    <w:rsid w:val="0055349B"/>
    <w:rsid w:val="00554373"/>
    <w:rsid w:val="0055777B"/>
    <w:rsid w:val="00557E18"/>
    <w:rsid w:val="00560140"/>
    <w:rsid w:val="00561085"/>
    <w:rsid w:val="005658B8"/>
    <w:rsid w:val="00566867"/>
    <w:rsid w:val="0057228D"/>
    <w:rsid w:val="00572316"/>
    <w:rsid w:val="005756CD"/>
    <w:rsid w:val="0057741C"/>
    <w:rsid w:val="00577D14"/>
    <w:rsid w:val="00580D74"/>
    <w:rsid w:val="0058100F"/>
    <w:rsid w:val="00582731"/>
    <w:rsid w:val="00590AF7"/>
    <w:rsid w:val="005A3151"/>
    <w:rsid w:val="005A3850"/>
    <w:rsid w:val="005A4489"/>
    <w:rsid w:val="005A69EF"/>
    <w:rsid w:val="005B1C7A"/>
    <w:rsid w:val="005B2704"/>
    <w:rsid w:val="005B6C8F"/>
    <w:rsid w:val="005C09A0"/>
    <w:rsid w:val="005C0CD8"/>
    <w:rsid w:val="005C0CEF"/>
    <w:rsid w:val="005C4A64"/>
    <w:rsid w:val="005C4D2A"/>
    <w:rsid w:val="005C643A"/>
    <w:rsid w:val="005C7713"/>
    <w:rsid w:val="005D46A8"/>
    <w:rsid w:val="005D700F"/>
    <w:rsid w:val="005E0E2F"/>
    <w:rsid w:val="005E1362"/>
    <w:rsid w:val="005E2D33"/>
    <w:rsid w:val="005E6F80"/>
    <w:rsid w:val="005F2A66"/>
    <w:rsid w:val="005F34A0"/>
    <w:rsid w:val="005F4DE2"/>
    <w:rsid w:val="005F4F9C"/>
    <w:rsid w:val="005F69DF"/>
    <w:rsid w:val="006009FD"/>
    <w:rsid w:val="006020EE"/>
    <w:rsid w:val="00606AB0"/>
    <w:rsid w:val="006079E2"/>
    <w:rsid w:val="00607A81"/>
    <w:rsid w:val="006148B6"/>
    <w:rsid w:val="006177B0"/>
    <w:rsid w:val="00620155"/>
    <w:rsid w:val="00622870"/>
    <w:rsid w:val="00630452"/>
    <w:rsid w:val="0063049C"/>
    <w:rsid w:val="00630FBF"/>
    <w:rsid w:val="00633684"/>
    <w:rsid w:val="00633F39"/>
    <w:rsid w:val="006368A4"/>
    <w:rsid w:val="00637552"/>
    <w:rsid w:val="00641E67"/>
    <w:rsid w:val="00643614"/>
    <w:rsid w:val="00644B71"/>
    <w:rsid w:val="006472EB"/>
    <w:rsid w:val="00647D91"/>
    <w:rsid w:val="006544F1"/>
    <w:rsid w:val="00661E5C"/>
    <w:rsid w:val="00665BE4"/>
    <w:rsid w:val="0066689F"/>
    <w:rsid w:val="00667E8B"/>
    <w:rsid w:val="00677EB6"/>
    <w:rsid w:val="006835DC"/>
    <w:rsid w:val="00684670"/>
    <w:rsid w:val="00685581"/>
    <w:rsid w:val="00693124"/>
    <w:rsid w:val="006946B7"/>
    <w:rsid w:val="00694A01"/>
    <w:rsid w:val="006A23BC"/>
    <w:rsid w:val="006A3356"/>
    <w:rsid w:val="006B1AA3"/>
    <w:rsid w:val="006B3261"/>
    <w:rsid w:val="006C01C2"/>
    <w:rsid w:val="006C2ACF"/>
    <w:rsid w:val="006C3EDD"/>
    <w:rsid w:val="006D0103"/>
    <w:rsid w:val="006D056F"/>
    <w:rsid w:val="006D097E"/>
    <w:rsid w:val="006D45BF"/>
    <w:rsid w:val="006D6C6F"/>
    <w:rsid w:val="006D7010"/>
    <w:rsid w:val="006D7CFD"/>
    <w:rsid w:val="006E12DB"/>
    <w:rsid w:val="006E2FF0"/>
    <w:rsid w:val="006E3245"/>
    <w:rsid w:val="006F0EF5"/>
    <w:rsid w:val="006F12FC"/>
    <w:rsid w:val="006F2A89"/>
    <w:rsid w:val="006F657A"/>
    <w:rsid w:val="006F6902"/>
    <w:rsid w:val="006F6A73"/>
    <w:rsid w:val="006F70A6"/>
    <w:rsid w:val="00700A70"/>
    <w:rsid w:val="0070169E"/>
    <w:rsid w:val="00702287"/>
    <w:rsid w:val="00707024"/>
    <w:rsid w:val="00710791"/>
    <w:rsid w:val="00727B8E"/>
    <w:rsid w:val="00730341"/>
    <w:rsid w:val="007305AF"/>
    <w:rsid w:val="0073265B"/>
    <w:rsid w:val="0073342B"/>
    <w:rsid w:val="00733666"/>
    <w:rsid w:val="00733721"/>
    <w:rsid w:val="00736492"/>
    <w:rsid w:val="00740AAD"/>
    <w:rsid w:val="00741AFE"/>
    <w:rsid w:val="0074274B"/>
    <w:rsid w:val="00743F95"/>
    <w:rsid w:val="007451F8"/>
    <w:rsid w:val="00746718"/>
    <w:rsid w:val="007476A7"/>
    <w:rsid w:val="00752312"/>
    <w:rsid w:val="00756418"/>
    <w:rsid w:val="0075787C"/>
    <w:rsid w:val="007607A7"/>
    <w:rsid w:val="0076221A"/>
    <w:rsid w:val="00763B6D"/>
    <w:rsid w:val="00763D4B"/>
    <w:rsid w:val="00764A91"/>
    <w:rsid w:val="00764BA8"/>
    <w:rsid w:val="00766752"/>
    <w:rsid w:val="00766A9F"/>
    <w:rsid w:val="0077206C"/>
    <w:rsid w:val="007741BB"/>
    <w:rsid w:val="00774520"/>
    <w:rsid w:val="00775C56"/>
    <w:rsid w:val="0077722D"/>
    <w:rsid w:val="007810EF"/>
    <w:rsid w:val="00782226"/>
    <w:rsid w:val="007850C5"/>
    <w:rsid w:val="00786802"/>
    <w:rsid w:val="007874FB"/>
    <w:rsid w:val="00787A6B"/>
    <w:rsid w:val="00791E23"/>
    <w:rsid w:val="00792E5C"/>
    <w:rsid w:val="00794306"/>
    <w:rsid w:val="007A1BF2"/>
    <w:rsid w:val="007A233E"/>
    <w:rsid w:val="007A4051"/>
    <w:rsid w:val="007A7A71"/>
    <w:rsid w:val="007A7D62"/>
    <w:rsid w:val="007B02BA"/>
    <w:rsid w:val="007B2DB4"/>
    <w:rsid w:val="007B5DE4"/>
    <w:rsid w:val="007B7E11"/>
    <w:rsid w:val="007B7FD0"/>
    <w:rsid w:val="007C3002"/>
    <w:rsid w:val="007C400E"/>
    <w:rsid w:val="007C4FEB"/>
    <w:rsid w:val="007D1B52"/>
    <w:rsid w:val="007D1FAD"/>
    <w:rsid w:val="007D543B"/>
    <w:rsid w:val="007D6EE4"/>
    <w:rsid w:val="007E3144"/>
    <w:rsid w:val="007E4411"/>
    <w:rsid w:val="007E552B"/>
    <w:rsid w:val="007E5741"/>
    <w:rsid w:val="007F53E7"/>
    <w:rsid w:val="007F60E4"/>
    <w:rsid w:val="0080252B"/>
    <w:rsid w:val="008044E9"/>
    <w:rsid w:val="00806A06"/>
    <w:rsid w:val="008078ED"/>
    <w:rsid w:val="0081096F"/>
    <w:rsid w:val="00811439"/>
    <w:rsid w:val="00812368"/>
    <w:rsid w:val="008145B1"/>
    <w:rsid w:val="00815B41"/>
    <w:rsid w:val="0081631D"/>
    <w:rsid w:val="00817537"/>
    <w:rsid w:val="00821BBF"/>
    <w:rsid w:val="00823072"/>
    <w:rsid w:val="008249E9"/>
    <w:rsid w:val="008252E3"/>
    <w:rsid w:val="00826B5D"/>
    <w:rsid w:val="0082710F"/>
    <w:rsid w:val="00830B5D"/>
    <w:rsid w:val="00831010"/>
    <w:rsid w:val="00832848"/>
    <w:rsid w:val="0083295F"/>
    <w:rsid w:val="00833874"/>
    <w:rsid w:val="00837301"/>
    <w:rsid w:val="008376C1"/>
    <w:rsid w:val="0084029E"/>
    <w:rsid w:val="00845998"/>
    <w:rsid w:val="00850029"/>
    <w:rsid w:val="00854FEA"/>
    <w:rsid w:val="0085574F"/>
    <w:rsid w:val="00857BF0"/>
    <w:rsid w:val="00870187"/>
    <w:rsid w:val="008704B5"/>
    <w:rsid w:val="0087216C"/>
    <w:rsid w:val="00872218"/>
    <w:rsid w:val="008726E8"/>
    <w:rsid w:val="00874D04"/>
    <w:rsid w:val="008755BB"/>
    <w:rsid w:val="008757FC"/>
    <w:rsid w:val="008760D2"/>
    <w:rsid w:val="00884982"/>
    <w:rsid w:val="008859F4"/>
    <w:rsid w:val="00885E46"/>
    <w:rsid w:val="008870DE"/>
    <w:rsid w:val="00887651"/>
    <w:rsid w:val="00893663"/>
    <w:rsid w:val="00893AD6"/>
    <w:rsid w:val="00893EF6"/>
    <w:rsid w:val="00894AC7"/>
    <w:rsid w:val="008A00BA"/>
    <w:rsid w:val="008A29C7"/>
    <w:rsid w:val="008A2C9B"/>
    <w:rsid w:val="008A3957"/>
    <w:rsid w:val="008A457A"/>
    <w:rsid w:val="008A577D"/>
    <w:rsid w:val="008A6C55"/>
    <w:rsid w:val="008B10F6"/>
    <w:rsid w:val="008B144E"/>
    <w:rsid w:val="008B44D6"/>
    <w:rsid w:val="008B7883"/>
    <w:rsid w:val="008B7C30"/>
    <w:rsid w:val="008C18D2"/>
    <w:rsid w:val="008C35AE"/>
    <w:rsid w:val="008C3A32"/>
    <w:rsid w:val="008C52DF"/>
    <w:rsid w:val="008C640F"/>
    <w:rsid w:val="008C7175"/>
    <w:rsid w:val="008C7F33"/>
    <w:rsid w:val="008D2CEC"/>
    <w:rsid w:val="008D3FC2"/>
    <w:rsid w:val="008D4374"/>
    <w:rsid w:val="008D443B"/>
    <w:rsid w:val="008D57F9"/>
    <w:rsid w:val="008D7003"/>
    <w:rsid w:val="008D7A73"/>
    <w:rsid w:val="008E0E1B"/>
    <w:rsid w:val="008E142A"/>
    <w:rsid w:val="008E155F"/>
    <w:rsid w:val="008E20D3"/>
    <w:rsid w:val="008E336C"/>
    <w:rsid w:val="008E557D"/>
    <w:rsid w:val="008E6285"/>
    <w:rsid w:val="008F4770"/>
    <w:rsid w:val="008F5B8E"/>
    <w:rsid w:val="008F7091"/>
    <w:rsid w:val="00902321"/>
    <w:rsid w:val="0090492B"/>
    <w:rsid w:val="00905C8A"/>
    <w:rsid w:val="00907456"/>
    <w:rsid w:val="00907DD6"/>
    <w:rsid w:val="00912476"/>
    <w:rsid w:val="009136D7"/>
    <w:rsid w:val="00914A6D"/>
    <w:rsid w:val="009172A7"/>
    <w:rsid w:val="00921D03"/>
    <w:rsid w:val="0092475F"/>
    <w:rsid w:val="00924DF4"/>
    <w:rsid w:val="009264F3"/>
    <w:rsid w:val="00927367"/>
    <w:rsid w:val="00934480"/>
    <w:rsid w:val="00935DE5"/>
    <w:rsid w:val="00942520"/>
    <w:rsid w:val="00945E68"/>
    <w:rsid w:val="00947352"/>
    <w:rsid w:val="009475E2"/>
    <w:rsid w:val="00952A15"/>
    <w:rsid w:val="00952FE3"/>
    <w:rsid w:val="009547A0"/>
    <w:rsid w:val="009579E0"/>
    <w:rsid w:val="00960F44"/>
    <w:rsid w:val="00961504"/>
    <w:rsid w:val="00962027"/>
    <w:rsid w:val="0096202B"/>
    <w:rsid w:val="00966B35"/>
    <w:rsid w:val="00971951"/>
    <w:rsid w:val="00972166"/>
    <w:rsid w:val="00974807"/>
    <w:rsid w:val="00977200"/>
    <w:rsid w:val="009804D9"/>
    <w:rsid w:val="0098378B"/>
    <w:rsid w:val="009838E4"/>
    <w:rsid w:val="00985283"/>
    <w:rsid w:val="00993EEC"/>
    <w:rsid w:val="00994395"/>
    <w:rsid w:val="009965BC"/>
    <w:rsid w:val="00997E59"/>
    <w:rsid w:val="009A0DC7"/>
    <w:rsid w:val="009A16E8"/>
    <w:rsid w:val="009A284A"/>
    <w:rsid w:val="009A3278"/>
    <w:rsid w:val="009A4460"/>
    <w:rsid w:val="009A7D7D"/>
    <w:rsid w:val="009B01EC"/>
    <w:rsid w:val="009B0E06"/>
    <w:rsid w:val="009B2A42"/>
    <w:rsid w:val="009B6592"/>
    <w:rsid w:val="009B7FEF"/>
    <w:rsid w:val="009C1024"/>
    <w:rsid w:val="009C1A46"/>
    <w:rsid w:val="009C1F0E"/>
    <w:rsid w:val="009C46BF"/>
    <w:rsid w:val="009C47D6"/>
    <w:rsid w:val="009C4E22"/>
    <w:rsid w:val="009C53D4"/>
    <w:rsid w:val="009C59BA"/>
    <w:rsid w:val="009D31D4"/>
    <w:rsid w:val="009E378F"/>
    <w:rsid w:val="009F0ED8"/>
    <w:rsid w:val="009F1146"/>
    <w:rsid w:val="009F3626"/>
    <w:rsid w:val="009F44FA"/>
    <w:rsid w:val="009F4C67"/>
    <w:rsid w:val="00A03793"/>
    <w:rsid w:val="00A06353"/>
    <w:rsid w:val="00A10B98"/>
    <w:rsid w:val="00A10F0F"/>
    <w:rsid w:val="00A12697"/>
    <w:rsid w:val="00A15C7A"/>
    <w:rsid w:val="00A16008"/>
    <w:rsid w:val="00A16511"/>
    <w:rsid w:val="00A25E51"/>
    <w:rsid w:val="00A27B36"/>
    <w:rsid w:val="00A31A49"/>
    <w:rsid w:val="00A3395A"/>
    <w:rsid w:val="00A35840"/>
    <w:rsid w:val="00A417B5"/>
    <w:rsid w:val="00A41D40"/>
    <w:rsid w:val="00A51EC8"/>
    <w:rsid w:val="00A5361A"/>
    <w:rsid w:val="00A53FD5"/>
    <w:rsid w:val="00A554C2"/>
    <w:rsid w:val="00A57716"/>
    <w:rsid w:val="00A6172C"/>
    <w:rsid w:val="00A62BAF"/>
    <w:rsid w:val="00A70EB6"/>
    <w:rsid w:val="00A72B28"/>
    <w:rsid w:val="00A75E0D"/>
    <w:rsid w:val="00A8125A"/>
    <w:rsid w:val="00A81EEC"/>
    <w:rsid w:val="00A82FD1"/>
    <w:rsid w:val="00A85AE4"/>
    <w:rsid w:val="00A8705C"/>
    <w:rsid w:val="00A908F6"/>
    <w:rsid w:val="00A929B8"/>
    <w:rsid w:val="00A930B3"/>
    <w:rsid w:val="00AA5C22"/>
    <w:rsid w:val="00AA5FC6"/>
    <w:rsid w:val="00AA6964"/>
    <w:rsid w:val="00AB01E8"/>
    <w:rsid w:val="00AB0E58"/>
    <w:rsid w:val="00AB4866"/>
    <w:rsid w:val="00AB7FE2"/>
    <w:rsid w:val="00AC0B27"/>
    <w:rsid w:val="00AC2602"/>
    <w:rsid w:val="00AC39AD"/>
    <w:rsid w:val="00AC52FD"/>
    <w:rsid w:val="00AC56BA"/>
    <w:rsid w:val="00AC66D8"/>
    <w:rsid w:val="00AD042D"/>
    <w:rsid w:val="00AD444A"/>
    <w:rsid w:val="00AD582F"/>
    <w:rsid w:val="00AE0E80"/>
    <w:rsid w:val="00AE2EFF"/>
    <w:rsid w:val="00AE3367"/>
    <w:rsid w:val="00AE7D46"/>
    <w:rsid w:val="00AF036B"/>
    <w:rsid w:val="00AF230B"/>
    <w:rsid w:val="00AF4A4B"/>
    <w:rsid w:val="00AF5DDF"/>
    <w:rsid w:val="00B00141"/>
    <w:rsid w:val="00B04D3C"/>
    <w:rsid w:val="00B0718E"/>
    <w:rsid w:val="00B17A4B"/>
    <w:rsid w:val="00B21847"/>
    <w:rsid w:val="00B232BB"/>
    <w:rsid w:val="00B25478"/>
    <w:rsid w:val="00B26505"/>
    <w:rsid w:val="00B27870"/>
    <w:rsid w:val="00B31E1A"/>
    <w:rsid w:val="00B325FC"/>
    <w:rsid w:val="00B33D39"/>
    <w:rsid w:val="00B34AD0"/>
    <w:rsid w:val="00B35F80"/>
    <w:rsid w:val="00B3651E"/>
    <w:rsid w:val="00B40276"/>
    <w:rsid w:val="00B40E7A"/>
    <w:rsid w:val="00B41C3D"/>
    <w:rsid w:val="00B43D3A"/>
    <w:rsid w:val="00B47939"/>
    <w:rsid w:val="00B504CA"/>
    <w:rsid w:val="00B50BBF"/>
    <w:rsid w:val="00B53405"/>
    <w:rsid w:val="00B53564"/>
    <w:rsid w:val="00B549D9"/>
    <w:rsid w:val="00B54DDE"/>
    <w:rsid w:val="00B604BF"/>
    <w:rsid w:val="00B60C4D"/>
    <w:rsid w:val="00B623D3"/>
    <w:rsid w:val="00B647E7"/>
    <w:rsid w:val="00B65368"/>
    <w:rsid w:val="00B66EAB"/>
    <w:rsid w:val="00B709E4"/>
    <w:rsid w:val="00B729BF"/>
    <w:rsid w:val="00B8006A"/>
    <w:rsid w:val="00B803EF"/>
    <w:rsid w:val="00B83DFB"/>
    <w:rsid w:val="00B879B7"/>
    <w:rsid w:val="00B87EFA"/>
    <w:rsid w:val="00B96D45"/>
    <w:rsid w:val="00BA090A"/>
    <w:rsid w:val="00BA3CE1"/>
    <w:rsid w:val="00BB07E9"/>
    <w:rsid w:val="00BB1AAF"/>
    <w:rsid w:val="00BB2D22"/>
    <w:rsid w:val="00BC1316"/>
    <w:rsid w:val="00BC3E66"/>
    <w:rsid w:val="00BC5C81"/>
    <w:rsid w:val="00BD0847"/>
    <w:rsid w:val="00BD0E40"/>
    <w:rsid w:val="00BD40CF"/>
    <w:rsid w:val="00BD48E4"/>
    <w:rsid w:val="00BD68E3"/>
    <w:rsid w:val="00BE0191"/>
    <w:rsid w:val="00BE1D3F"/>
    <w:rsid w:val="00BE258D"/>
    <w:rsid w:val="00BF158F"/>
    <w:rsid w:val="00BF19DF"/>
    <w:rsid w:val="00BF1FAA"/>
    <w:rsid w:val="00C00111"/>
    <w:rsid w:val="00C00921"/>
    <w:rsid w:val="00C02414"/>
    <w:rsid w:val="00C02F08"/>
    <w:rsid w:val="00C05019"/>
    <w:rsid w:val="00C15916"/>
    <w:rsid w:val="00C244FD"/>
    <w:rsid w:val="00C25612"/>
    <w:rsid w:val="00C26454"/>
    <w:rsid w:val="00C331E8"/>
    <w:rsid w:val="00C3491B"/>
    <w:rsid w:val="00C34B31"/>
    <w:rsid w:val="00C34B4F"/>
    <w:rsid w:val="00C37BB5"/>
    <w:rsid w:val="00C42CBD"/>
    <w:rsid w:val="00C4701E"/>
    <w:rsid w:val="00C5145B"/>
    <w:rsid w:val="00C5451B"/>
    <w:rsid w:val="00C55F6D"/>
    <w:rsid w:val="00C56F85"/>
    <w:rsid w:val="00C57233"/>
    <w:rsid w:val="00C62199"/>
    <w:rsid w:val="00C63375"/>
    <w:rsid w:val="00C648DE"/>
    <w:rsid w:val="00C65803"/>
    <w:rsid w:val="00C662C4"/>
    <w:rsid w:val="00C6644B"/>
    <w:rsid w:val="00C66E46"/>
    <w:rsid w:val="00C7040C"/>
    <w:rsid w:val="00C71E98"/>
    <w:rsid w:val="00C733E6"/>
    <w:rsid w:val="00C736C9"/>
    <w:rsid w:val="00C745AF"/>
    <w:rsid w:val="00C75AD7"/>
    <w:rsid w:val="00C85622"/>
    <w:rsid w:val="00C85BF6"/>
    <w:rsid w:val="00C85C59"/>
    <w:rsid w:val="00C8733D"/>
    <w:rsid w:val="00C91AD9"/>
    <w:rsid w:val="00C949B5"/>
    <w:rsid w:val="00C95B63"/>
    <w:rsid w:val="00CA157D"/>
    <w:rsid w:val="00CA3488"/>
    <w:rsid w:val="00CA3A3F"/>
    <w:rsid w:val="00CA4923"/>
    <w:rsid w:val="00CA5326"/>
    <w:rsid w:val="00CA6C6A"/>
    <w:rsid w:val="00CB3927"/>
    <w:rsid w:val="00CB6AA2"/>
    <w:rsid w:val="00CB7AFF"/>
    <w:rsid w:val="00CC0707"/>
    <w:rsid w:val="00CC0D07"/>
    <w:rsid w:val="00CC4407"/>
    <w:rsid w:val="00CC4A81"/>
    <w:rsid w:val="00CD1A01"/>
    <w:rsid w:val="00CD2649"/>
    <w:rsid w:val="00CD3894"/>
    <w:rsid w:val="00CD4B21"/>
    <w:rsid w:val="00CD510B"/>
    <w:rsid w:val="00CE21D5"/>
    <w:rsid w:val="00CE3514"/>
    <w:rsid w:val="00CE4883"/>
    <w:rsid w:val="00CE7A51"/>
    <w:rsid w:val="00CF42D9"/>
    <w:rsid w:val="00CF681B"/>
    <w:rsid w:val="00CF71E0"/>
    <w:rsid w:val="00D0327B"/>
    <w:rsid w:val="00D05F76"/>
    <w:rsid w:val="00D06330"/>
    <w:rsid w:val="00D141D5"/>
    <w:rsid w:val="00D15275"/>
    <w:rsid w:val="00D20AF5"/>
    <w:rsid w:val="00D2300B"/>
    <w:rsid w:val="00D25808"/>
    <w:rsid w:val="00D25E33"/>
    <w:rsid w:val="00D30790"/>
    <w:rsid w:val="00D357CD"/>
    <w:rsid w:val="00D37DAA"/>
    <w:rsid w:val="00D4279D"/>
    <w:rsid w:val="00D43017"/>
    <w:rsid w:val="00D43D22"/>
    <w:rsid w:val="00D51BE9"/>
    <w:rsid w:val="00D54F45"/>
    <w:rsid w:val="00D557FB"/>
    <w:rsid w:val="00D56B9C"/>
    <w:rsid w:val="00D57846"/>
    <w:rsid w:val="00D5792F"/>
    <w:rsid w:val="00D60FB1"/>
    <w:rsid w:val="00D615BA"/>
    <w:rsid w:val="00D66A90"/>
    <w:rsid w:val="00D671AB"/>
    <w:rsid w:val="00D72DEB"/>
    <w:rsid w:val="00D72F45"/>
    <w:rsid w:val="00D76DB7"/>
    <w:rsid w:val="00D849FD"/>
    <w:rsid w:val="00D874AC"/>
    <w:rsid w:val="00D87569"/>
    <w:rsid w:val="00D87D06"/>
    <w:rsid w:val="00D92306"/>
    <w:rsid w:val="00D931EE"/>
    <w:rsid w:val="00D938AB"/>
    <w:rsid w:val="00D94D7F"/>
    <w:rsid w:val="00D950FD"/>
    <w:rsid w:val="00D974B6"/>
    <w:rsid w:val="00DA05F6"/>
    <w:rsid w:val="00DA3BEF"/>
    <w:rsid w:val="00DA4896"/>
    <w:rsid w:val="00DA59AE"/>
    <w:rsid w:val="00DA6482"/>
    <w:rsid w:val="00DA6AB0"/>
    <w:rsid w:val="00DB276F"/>
    <w:rsid w:val="00DB421F"/>
    <w:rsid w:val="00DC1CDD"/>
    <w:rsid w:val="00DC2AE3"/>
    <w:rsid w:val="00DC32CE"/>
    <w:rsid w:val="00DC50F1"/>
    <w:rsid w:val="00DD392B"/>
    <w:rsid w:val="00DD420D"/>
    <w:rsid w:val="00DD71BF"/>
    <w:rsid w:val="00DE4176"/>
    <w:rsid w:val="00DE53A5"/>
    <w:rsid w:val="00DE7926"/>
    <w:rsid w:val="00DE7C2F"/>
    <w:rsid w:val="00DF395F"/>
    <w:rsid w:val="00E01DF1"/>
    <w:rsid w:val="00E03F52"/>
    <w:rsid w:val="00E03FFB"/>
    <w:rsid w:val="00E1090B"/>
    <w:rsid w:val="00E109A7"/>
    <w:rsid w:val="00E10A5B"/>
    <w:rsid w:val="00E12EE8"/>
    <w:rsid w:val="00E15D79"/>
    <w:rsid w:val="00E203D1"/>
    <w:rsid w:val="00E253EF"/>
    <w:rsid w:val="00E27ADF"/>
    <w:rsid w:val="00E30555"/>
    <w:rsid w:val="00E31608"/>
    <w:rsid w:val="00E33998"/>
    <w:rsid w:val="00E347AB"/>
    <w:rsid w:val="00E35FAC"/>
    <w:rsid w:val="00E37BE4"/>
    <w:rsid w:val="00E4362E"/>
    <w:rsid w:val="00E44C33"/>
    <w:rsid w:val="00E44F21"/>
    <w:rsid w:val="00E453DA"/>
    <w:rsid w:val="00E46BE1"/>
    <w:rsid w:val="00E53192"/>
    <w:rsid w:val="00E54CD1"/>
    <w:rsid w:val="00E6021F"/>
    <w:rsid w:val="00E604A4"/>
    <w:rsid w:val="00E615AF"/>
    <w:rsid w:val="00E63473"/>
    <w:rsid w:val="00E63A36"/>
    <w:rsid w:val="00E645E3"/>
    <w:rsid w:val="00E65478"/>
    <w:rsid w:val="00E65651"/>
    <w:rsid w:val="00E65AAE"/>
    <w:rsid w:val="00E664CD"/>
    <w:rsid w:val="00E67928"/>
    <w:rsid w:val="00E70596"/>
    <w:rsid w:val="00E70818"/>
    <w:rsid w:val="00E72FD7"/>
    <w:rsid w:val="00E738BF"/>
    <w:rsid w:val="00E74B58"/>
    <w:rsid w:val="00E77CAB"/>
    <w:rsid w:val="00E80124"/>
    <w:rsid w:val="00E82FCB"/>
    <w:rsid w:val="00E8303B"/>
    <w:rsid w:val="00E83FEE"/>
    <w:rsid w:val="00E844D9"/>
    <w:rsid w:val="00E84DF3"/>
    <w:rsid w:val="00E86C7E"/>
    <w:rsid w:val="00E86F2A"/>
    <w:rsid w:val="00E87611"/>
    <w:rsid w:val="00E92C3C"/>
    <w:rsid w:val="00E95595"/>
    <w:rsid w:val="00E977E6"/>
    <w:rsid w:val="00EA1BBF"/>
    <w:rsid w:val="00EA44B2"/>
    <w:rsid w:val="00EA4B6D"/>
    <w:rsid w:val="00EA7A4E"/>
    <w:rsid w:val="00EB0049"/>
    <w:rsid w:val="00EB0353"/>
    <w:rsid w:val="00EB14D7"/>
    <w:rsid w:val="00EB3FF7"/>
    <w:rsid w:val="00EB66C9"/>
    <w:rsid w:val="00EB6D83"/>
    <w:rsid w:val="00EC1F95"/>
    <w:rsid w:val="00EC461D"/>
    <w:rsid w:val="00EC527B"/>
    <w:rsid w:val="00EC68FB"/>
    <w:rsid w:val="00ED07C9"/>
    <w:rsid w:val="00ED1426"/>
    <w:rsid w:val="00ED1BC0"/>
    <w:rsid w:val="00ED2305"/>
    <w:rsid w:val="00ED2E7D"/>
    <w:rsid w:val="00ED6648"/>
    <w:rsid w:val="00ED7B9A"/>
    <w:rsid w:val="00EE1479"/>
    <w:rsid w:val="00EE194D"/>
    <w:rsid w:val="00EE2E79"/>
    <w:rsid w:val="00EE4130"/>
    <w:rsid w:val="00EE6B30"/>
    <w:rsid w:val="00EF0F7E"/>
    <w:rsid w:val="00EF66D1"/>
    <w:rsid w:val="00EF6BB4"/>
    <w:rsid w:val="00EF6BF3"/>
    <w:rsid w:val="00EF7168"/>
    <w:rsid w:val="00F005D9"/>
    <w:rsid w:val="00F03BFA"/>
    <w:rsid w:val="00F0556E"/>
    <w:rsid w:val="00F11267"/>
    <w:rsid w:val="00F13EBA"/>
    <w:rsid w:val="00F16DF1"/>
    <w:rsid w:val="00F235AA"/>
    <w:rsid w:val="00F27475"/>
    <w:rsid w:val="00F31084"/>
    <w:rsid w:val="00F32AF6"/>
    <w:rsid w:val="00F36770"/>
    <w:rsid w:val="00F403FF"/>
    <w:rsid w:val="00F412D5"/>
    <w:rsid w:val="00F414C9"/>
    <w:rsid w:val="00F4486B"/>
    <w:rsid w:val="00F47757"/>
    <w:rsid w:val="00F500BC"/>
    <w:rsid w:val="00F533A1"/>
    <w:rsid w:val="00F56C18"/>
    <w:rsid w:val="00F57170"/>
    <w:rsid w:val="00F62CB1"/>
    <w:rsid w:val="00F63A6E"/>
    <w:rsid w:val="00F63F22"/>
    <w:rsid w:val="00F65F39"/>
    <w:rsid w:val="00F67ADA"/>
    <w:rsid w:val="00F70BB8"/>
    <w:rsid w:val="00F715FB"/>
    <w:rsid w:val="00F72A80"/>
    <w:rsid w:val="00F735E0"/>
    <w:rsid w:val="00F73838"/>
    <w:rsid w:val="00F74126"/>
    <w:rsid w:val="00F74B2B"/>
    <w:rsid w:val="00F77035"/>
    <w:rsid w:val="00F8191C"/>
    <w:rsid w:val="00F831B3"/>
    <w:rsid w:val="00F83FD6"/>
    <w:rsid w:val="00F848AD"/>
    <w:rsid w:val="00F852FD"/>
    <w:rsid w:val="00F870AC"/>
    <w:rsid w:val="00F87BD0"/>
    <w:rsid w:val="00F9229D"/>
    <w:rsid w:val="00F934CC"/>
    <w:rsid w:val="00F943BE"/>
    <w:rsid w:val="00F961EF"/>
    <w:rsid w:val="00FA039F"/>
    <w:rsid w:val="00FA40DC"/>
    <w:rsid w:val="00FA4FF2"/>
    <w:rsid w:val="00FA5087"/>
    <w:rsid w:val="00FA513B"/>
    <w:rsid w:val="00FA51B8"/>
    <w:rsid w:val="00FA5526"/>
    <w:rsid w:val="00FB372D"/>
    <w:rsid w:val="00FB3951"/>
    <w:rsid w:val="00FB3AD0"/>
    <w:rsid w:val="00FB5B44"/>
    <w:rsid w:val="00FB5DE7"/>
    <w:rsid w:val="00FC0AA5"/>
    <w:rsid w:val="00FC1E60"/>
    <w:rsid w:val="00FC1EB5"/>
    <w:rsid w:val="00FC1F27"/>
    <w:rsid w:val="00FC21D6"/>
    <w:rsid w:val="00FC54EA"/>
    <w:rsid w:val="00FC57C8"/>
    <w:rsid w:val="00FD21AF"/>
    <w:rsid w:val="00FD237E"/>
    <w:rsid w:val="00FD3573"/>
    <w:rsid w:val="00FD4589"/>
    <w:rsid w:val="00FD5B6A"/>
    <w:rsid w:val="00FD5D87"/>
    <w:rsid w:val="00FE48BB"/>
    <w:rsid w:val="00FE492A"/>
    <w:rsid w:val="00FE49AD"/>
    <w:rsid w:val="00FE5C71"/>
    <w:rsid w:val="00FE6F2A"/>
    <w:rsid w:val="00FE77E4"/>
    <w:rsid w:val="00FE79B6"/>
    <w:rsid w:val="00FF2DA3"/>
    <w:rsid w:val="054C02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beforeLines="60" w:line="312" w:lineRule="auto"/>
      <w:jc w:val="both"/>
    </w:pPr>
    <w:rPr>
      <w:rFonts w:ascii="Arial" w:hAnsi="Arial" w:eastAsia="宋体" w:cs="Times New Roman"/>
      <w:kern w:val="2"/>
      <w:sz w:val="24"/>
      <w:szCs w:val="22"/>
      <w:lang w:val="en-US" w:eastAsia="zh-CN" w:bidi="ar-SA"/>
    </w:rPr>
  </w:style>
  <w:style w:type="paragraph" w:styleId="2">
    <w:name w:val="heading 1"/>
    <w:basedOn w:val="1"/>
    <w:link w:val="30"/>
    <w:qFormat/>
    <w:locked/>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39"/>
    <w:semiHidden/>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semiHidden/>
    <w:unhideWhenUsed/>
    <w:qFormat/>
    <w:locked/>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locked/>
    <w:uiPriority w:val="39"/>
    <w:pPr>
      <w:ind w:left="2520" w:leftChars="1200"/>
    </w:pPr>
  </w:style>
  <w:style w:type="paragraph" w:styleId="6">
    <w:name w:val="List Bullet"/>
    <w:qFormat/>
    <w:uiPriority w:val="0"/>
    <w:pPr>
      <w:numPr>
        <w:ilvl w:val="0"/>
        <w:numId w:val="1"/>
      </w:numPr>
      <w:spacing w:before="60" w:after="60" w:line="320" w:lineRule="exact"/>
    </w:pPr>
    <w:rPr>
      <w:rFonts w:ascii="Times New Roman" w:hAnsi="Times New Roman" w:eastAsia="MS Mincho" w:cs="Times New Roman"/>
      <w:sz w:val="24"/>
      <w:szCs w:val="24"/>
      <w:lang w:val="en-US" w:eastAsia="ja-JP" w:bidi="ar-SA"/>
    </w:rPr>
  </w:style>
  <w:style w:type="paragraph" w:styleId="7">
    <w:name w:val="annotation text"/>
    <w:basedOn w:val="1"/>
    <w:link w:val="36"/>
    <w:semiHidden/>
    <w:qFormat/>
    <w:uiPriority w:val="99"/>
    <w:pPr>
      <w:widowControl/>
      <w:spacing w:after="200"/>
      <w:jc w:val="left"/>
    </w:pPr>
    <w:rPr>
      <w:kern w:val="0"/>
      <w:sz w:val="20"/>
      <w:szCs w:val="20"/>
      <w:lang w:eastAsia="en-US"/>
    </w:rPr>
  </w:style>
  <w:style w:type="paragraph" w:styleId="8">
    <w:name w:val="toc 5"/>
    <w:basedOn w:val="1"/>
    <w:next w:val="1"/>
    <w:autoRedefine/>
    <w:unhideWhenUsed/>
    <w:qFormat/>
    <w:locked/>
    <w:uiPriority w:val="39"/>
    <w:pPr>
      <w:ind w:left="1680" w:leftChars="800"/>
    </w:pPr>
  </w:style>
  <w:style w:type="paragraph" w:styleId="9">
    <w:name w:val="toc 3"/>
    <w:basedOn w:val="1"/>
    <w:next w:val="1"/>
    <w:autoRedefine/>
    <w:qFormat/>
    <w:locked/>
    <w:uiPriority w:val="39"/>
    <w:pPr>
      <w:tabs>
        <w:tab w:val="right" w:leader="dot" w:pos="8290"/>
      </w:tabs>
      <w:ind w:left="1050" w:hanging="1050" w:hangingChars="500"/>
      <w:jc w:val="left"/>
    </w:pPr>
    <w:rPr>
      <w:rFonts w:ascii="Times New Roman" w:hAnsi="Times New Roman" w:cs="宋体"/>
      <w:smallCaps/>
      <w:lang w:val="zh-CN"/>
    </w:rPr>
  </w:style>
  <w:style w:type="paragraph" w:styleId="10">
    <w:name w:val="toc 8"/>
    <w:basedOn w:val="1"/>
    <w:next w:val="1"/>
    <w:autoRedefine/>
    <w:unhideWhenUsed/>
    <w:qFormat/>
    <w:locked/>
    <w:uiPriority w:val="39"/>
    <w:pPr>
      <w:ind w:left="2940" w:leftChars="1400"/>
    </w:pPr>
  </w:style>
  <w:style w:type="paragraph" w:styleId="11">
    <w:name w:val="Date"/>
    <w:basedOn w:val="1"/>
    <w:next w:val="1"/>
    <w:link w:val="34"/>
    <w:qFormat/>
    <w:uiPriority w:val="99"/>
    <w:pPr>
      <w:ind w:left="100" w:leftChars="2500"/>
    </w:pPr>
  </w:style>
  <w:style w:type="paragraph" w:styleId="12">
    <w:name w:val="Balloon Text"/>
    <w:basedOn w:val="1"/>
    <w:link w:val="37"/>
    <w:semiHidden/>
    <w:qFormat/>
    <w:uiPriority w:val="99"/>
    <w:rPr>
      <w:sz w:val="18"/>
      <w:szCs w:val="18"/>
    </w:rPr>
  </w:style>
  <w:style w:type="paragraph" w:styleId="13">
    <w:name w:val="footer"/>
    <w:basedOn w:val="1"/>
    <w:link w:val="33"/>
    <w:qFormat/>
    <w:uiPriority w:val="99"/>
    <w:pPr>
      <w:tabs>
        <w:tab w:val="center" w:pos="4153"/>
        <w:tab w:val="right" w:pos="8306"/>
      </w:tabs>
      <w:jc w:val="left"/>
    </w:pPr>
    <w:rPr>
      <w:sz w:val="18"/>
      <w:szCs w:val="18"/>
    </w:rPr>
  </w:style>
  <w:style w:type="paragraph" w:styleId="14">
    <w:name w:val="header"/>
    <w:basedOn w:val="1"/>
    <w:link w:val="32"/>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autoRedefine/>
    <w:qFormat/>
    <w:locked/>
    <w:uiPriority w:val="39"/>
    <w:pPr>
      <w:tabs>
        <w:tab w:val="left" w:pos="480"/>
        <w:tab w:val="right" w:leader="dot" w:pos="9120"/>
      </w:tabs>
      <w:adjustRightInd w:val="0"/>
      <w:spacing w:before="109" w:beforeLines="35" w:line="288" w:lineRule="auto"/>
      <w:ind w:right="480" w:rightChars="200"/>
    </w:pPr>
    <w:rPr>
      <w:rFonts w:cs="宋体"/>
      <w:bCs/>
      <w:caps/>
      <w:lang w:val="zh-CN"/>
    </w:rPr>
  </w:style>
  <w:style w:type="paragraph" w:styleId="16">
    <w:name w:val="toc 4"/>
    <w:basedOn w:val="1"/>
    <w:next w:val="1"/>
    <w:autoRedefine/>
    <w:qFormat/>
    <w:locked/>
    <w:uiPriority w:val="39"/>
    <w:pPr>
      <w:tabs>
        <w:tab w:val="right" w:leader="dot" w:pos="8290"/>
      </w:tabs>
      <w:ind w:left="1050" w:hanging="1050" w:hangingChars="500"/>
      <w:jc w:val="left"/>
    </w:pPr>
    <w:rPr>
      <w:rFonts w:ascii="Times New Roman" w:hAnsi="Times New Roman"/>
      <w:lang w:val="zh-CN"/>
    </w:rPr>
  </w:style>
  <w:style w:type="paragraph" w:styleId="17">
    <w:name w:val="footnote text"/>
    <w:basedOn w:val="1"/>
    <w:link w:val="43"/>
    <w:semiHidden/>
    <w:unhideWhenUsed/>
    <w:qFormat/>
    <w:uiPriority w:val="99"/>
    <w:pPr>
      <w:jc w:val="left"/>
    </w:pPr>
    <w:rPr>
      <w:sz w:val="18"/>
      <w:szCs w:val="18"/>
    </w:rPr>
  </w:style>
  <w:style w:type="paragraph" w:styleId="18">
    <w:name w:val="toc 6"/>
    <w:basedOn w:val="1"/>
    <w:next w:val="1"/>
    <w:autoRedefine/>
    <w:unhideWhenUsed/>
    <w:qFormat/>
    <w:locked/>
    <w:uiPriority w:val="39"/>
    <w:pPr>
      <w:ind w:left="2100" w:leftChars="1000"/>
    </w:pPr>
  </w:style>
  <w:style w:type="paragraph" w:styleId="19">
    <w:name w:val="toc 2"/>
    <w:basedOn w:val="1"/>
    <w:next w:val="1"/>
    <w:autoRedefine/>
    <w:qFormat/>
    <w:locked/>
    <w:uiPriority w:val="39"/>
    <w:pPr>
      <w:ind w:left="500" w:hanging="500" w:hangingChars="500"/>
      <w:jc w:val="left"/>
    </w:pPr>
    <w:rPr>
      <w:rFonts w:ascii="Times New Roman" w:hAnsi="Times New Roman"/>
      <w:bCs/>
      <w:smallCaps/>
      <w:lang w:val="zh-CN"/>
    </w:rPr>
  </w:style>
  <w:style w:type="paragraph" w:styleId="20">
    <w:name w:val="toc 9"/>
    <w:basedOn w:val="1"/>
    <w:next w:val="1"/>
    <w:autoRedefine/>
    <w:unhideWhenUsed/>
    <w:qFormat/>
    <w:locked/>
    <w:uiPriority w:val="39"/>
    <w:pPr>
      <w:ind w:left="3360" w:leftChars="16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Cs w:val="24"/>
    </w:rPr>
  </w:style>
  <w:style w:type="table" w:styleId="23">
    <w:name w:val="Table Grid"/>
    <w:basedOn w:val="22"/>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rFonts w:cs="Times New Roman"/>
      <w:b/>
      <w:bCs/>
    </w:rPr>
  </w:style>
  <w:style w:type="character" w:styleId="26">
    <w:name w:val="Emphasis"/>
    <w:basedOn w:val="24"/>
    <w:qFormat/>
    <w:locked/>
    <w:uiPriority w:val="20"/>
    <w:rPr>
      <w:rFonts w:cs="Times New Roman"/>
      <w:i/>
      <w:iCs/>
    </w:rPr>
  </w:style>
  <w:style w:type="character" w:styleId="27">
    <w:name w:val="Hyperlink"/>
    <w:basedOn w:val="24"/>
    <w:qFormat/>
    <w:uiPriority w:val="99"/>
    <w:rPr>
      <w:rFonts w:cs="Times New Roman"/>
      <w:color w:val="0000FF"/>
      <w:u w:val="single"/>
    </w:rPr>
  </w:style>
  <w:style w:type="character" w:styleId="28">
    <w:name w:val="annotation reference"/>
    <w:basedOn w:val="24"/>
    <w:semiHidden/>
    <w:qFormat/>
    <w:uiPriority w:val="99"/>
    <w:rPr>
      <w:rFonts w:cs="Times New Roman"/>
      <w:sz w:val="16"/>
      <w:szCs w:val="16"/>
    </w:rPr>
  </w:style>
  <w:style w:type="character" w:styleId="29">
    <w:name w:val="footnote reference"/>
    <w:basedOn w:val="24"/>
    <w:semiHidden/>
    <w:unhideWhenUsed/>
    <w:qFormat/>
    <w:uiPriority w:val="99"/>
    <w:rPr>
      <w:vertAlign w:val="superscript"/>
    </w:rPr>
  </w:style>
  <w:style w:type="character" w:customStyle="1" w:styleId="30">
    <w:name w:val="标题 1 Char"/>
    <w:basedOn w:val="24"/>
    <w:link w:val="2"/>
    <w:qFormat/>
    <w:locked/>
    <w:uiPriority w:val="99"/>
    <w:rPr>
      <w:rFonts w:ascii="宋体" w:eastAsia="宋体" w:cs="宋体"/>
      <w:b/>
      <w:bCs/>
      <w:kern w:val="36"/>
      <w:sz w:val="48"/>
      <w:szCs w:val="48"/>
    </w:rPr>
  </w:style>
  <w:style w:type="character" w:customStyle="1" w:styleId="31">
    <w:name w:val="apple-converted-space"/>
    <w:basedOn w:val="24"/>
    <w:qFormat/>
    <w:uiPriority w:val="0"/>
    <w:rPr>
      <w:rFonts w:cs="Times New Roman"/>
    </w:rPr>
  </w:style>
  <w:style w:type="character" w:customStyle="1" w:styleId="32">
    <w:name w:val="页眉 Char"/>
    <w:basedOn w:val="24"/>
    <w:link w:val="14"/>
    <w:qFormat/>
    <w:locked/>
    <w:uiPriority w:val="99"/>
    <w:rPr>
      <w:rFonts w:cs="Times New Roman"/>
      <w:sz w:val="18"/>
      <w:szCs w:val="18"/>
    </w:rPr>
  </w:style>
  <w:style w:type="character" w:customStyle="1" w:styleId="33">
    <w:name w:val="页脚 Char"/>
    <w:basedOn w:val="24"/>
    <w:link w:val="13"/>
    <w:qFormat/>
    <w:locked/>
    <w:uiPriority w:val="99"/>
    <w:rPr>
      <w:rFonts w:cs="Times New Roman"/>
      <w:sz w:val="18"/>
      <w:szCs w:val="18"/>
    </w:rPr>
  </w:style>
  <w:style w:type="character" w:customStyle="1" w:styleId="34">
    <w:name w:val="日期 Char"/>
    <w:basedOn w:val="24"/>
    <w:link w:val="11"/>
    <w:semiHidden/>
    <w:qFormat/>
    <w:locked/>
    <w:uiPriority w:val="99"/>
    <w:rPr>
      <w:rFonts w:cs="Times New Roman"/>
    </w:rPr>
  </w:style>
  <w:style w:type="paragraph" w:customStyle="1" w:styleId="35">
    <w:name w:val="op_sp_fanyi_line_two"/>
    <w:basedOn w:val="1"/>
    <w:qFormat/>
    <w:uiPriority w:val="99"/>
    <w:pPr>
      <w:widowControl/>
      <w:spacing w:before="100" w:beforeAutospacing="1" w:after="100" w:afterAutospacing="1"/>
      <w:jc w:val="left"/>
    </w:pPr>
    <w:rPr>
      <w:rFonts w:ascii="宋体" w:hAnsi="宋体" w:cs="宋体"/>
      <w:kern w:val="0"/>
      <w:szCs w:val="24"/>
    </w:rPr>
  </w:style>
  <w:style w:type="character" w:customStyle="1" w:styleId="36">
    <w:name w:val="批注文字 Char"/>
    <w:basedOn w:val="24"/>
    <w:link w:val="7"/>
    <w:semiHidden/>
    <w:qFormat/>
    <w:locked/>
    <w:uiPriority w:val="99"/>
    <w:rPr>
      <w:rFonts w:ascii="Calibri" w:hAnsi="Calibri" w:eastAsia="宋体" w:cs="Times New Roman"/>
      <w:lang w:val="en-US" w:eastAsia="en-US" w:bidi="ar-SA"/>
    </w:rPr>
  </w:style>
  <w:style w:type="character" w:customStyle="1" w:styleId="37">
    <w:name w:val="批注框文本 Char"/>
    <w:basedOn w:val="24"/>
    <w:link w:val="12"/>
    <w:semiHidden/>
    <w:qFormat/>
    <w:locked/>
    <w:uiPriority w:val="99"/>
    <w:rPr>
      <w:rFonts w:cs="Times New Roman"/>
      <w:sz w:val="2"/>
    </w:rPr>
  </w:style>
  <w:style w:type="paragraph" w:customStyle="1" w:styleId="38">
    <w:name w:val="HeaderText"/>
    <w:qFormat/>
    <w:uiPriority w:val="0"/>
    <w:pPr>
      <w:keepLines/>
    </w:pPr>
    <w:rPr>
      <w:rFonts w:ascii="Times New Roman" w:hAnsi="Times New Roman" w:eastAsia="MS Mincho" w:cs="Times New Roman"/>
      <w:lang w:val="en-US" w:eastAsia="ja-JP" w:bidi="ar-SA"/>
    </w:rPr>
  </w:style>
  <w:style w:type="character" w:customStyle="1" w:styleId="39">
    <w:name w:val="标题 2 Char"/>
    <w:basedOn w:val="24"/>
    <w:link w:val="3"/>
    <w:semiHidden/>
    <w:qFormat/>
    <w:uiPriority w:val="0"/>
    <w:rPr>
      <w:rFonts w:ascii="Cambria" w:hAnsi="Cambria" w:eastAsia="宋体" w:cs="Times New Roman"/>
      <w:b/>
      <w:bCs/>
      <w:kern w:val="2"/>
      <w:sz w:val="32"/>
      <w:szCs w:val="32"/>
    </w:rPr>
  </w:style>
  <w:style w:type="character" w:customStyle="1" w:styleId="40">
    <w:name w:val="标题 3 Char"/>
    <w:basedOn w:val="24"/>
    <w:link w:val="4"/>
    <w:semiHidden/>
    <w:qFormat/>
    <w:uiPriority w:val="0"/>
    <w:rPr>
      <w:b/>
      <w:bCs/>
      <w:kern w:val="2"/>
      <w:sz w:val="32"/>
      <w:szCs w:val="32"/>
    </w:rPr>
  </w:style>
  <w:style w:type="paragraph" w:customStyle="1" w:styleId="41">
    <w:name w:val="References"/>
    <w:qFormat/>
    <w:uiPriority w:val="0"/>
    <w:pPr>
      <w:numPr>
        <w:ilvl w:val="0"/>
        <w:numId w:val="2"/>
      </w:numPr>
      <w:spacing w:before="60" w:after="60" w:line="360" w:lineRule="exact"/>
    </w:pPr>
    <w:rPr>
      <w:rFonts w:ascii="Times New Roman" w:hAnsi="Times New Roman" w:eastAsia="MS Mincho" w:cs="Times New Roman"/>
      <w:sz w:val="24"/>
      <w:szCs w:val="24"/>
      <w:lang w:val="en-US" w:eastAsia="ja-JP" w:bidi="ar-SA"/>
    </w:rPr>
  </w:style>
  <w:style w:type="paragraph" w:styleId="42">
    <w:name w:val="List Paragraph"/>
    <w:basedOn w:val="1"/>
    <w:qFormat/>
    <w:uiPriority w:val="34"/>
    <w:pPr>
      <w:widowControl/>
      <w:ind w:left="720"/>
      <w:contextualSpacing/>
    </w:pPr>
    <w:rPr>
      <w:kern w:val="0"/>
      <w:lang w:val="zh-CN" w:bidi="zh-CN"/>
    </w:rPr>
  </w:style>
  <w:style w:type="character" w:customStyle="1" w:styleId="43">
    <w:name w:val="脚注文本 Char"/>
    <w:basedOn w:val="24"/>
    <w:link w:val="17"/>
    <w:semiHidden/>
    <w:qFormat/>
    <w:uiPriority w:val="99"/>
    <w:rPr>
      <w:rFonts w:ascii="Arial" w:hAnsi="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9C83A6-2DCC-41A5-ADF2-D6406DD4C8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6416</Words>
  <Characters>7322</Characters>
  <Lines>16</Lines>
  <Paragraphs>16</Paragraphs>
  <TotalTime>0</TotalTime>
  <ScaleCrop>false</ScaleCrop>
  <LinksUpToDate>false</LinksUpToDate>
  <CharactersWithSpaces>7408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2017-04-06T11:30:00Z</dcterms:created>
  <dc:creator>pc dell</dc:creator>
  <cp:lastModifiedBy>太极箫客</cp:lastModifiedBy>
  <dcterms:modified xsi:type="dcterms:W3CDTF">2025-08-14T07:23:15Z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655C7E1B7BF44572BC3527FFC85914EF_12</vt:lpwstr>
  </property>
</Properties>
</file>