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46D1FC">
      <w:pPr>
        <w:pStyle w:val="4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36"/>
          <w:szCs w:val="36"/>
        </w:rPr>
        <w:t>菲律宾的医疗器械注册</w:t>
      </w:r>
    </w:p>
    <w:p w14:paraId="4DF26DC3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br w:type="textWrapping"/>
      </w:r>
    </w:p>
    <w:p w14:paraId="6869BB09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菲律宾医疗器械CMDN注册 - A类</w:t>
      </w:r>
    </w:p>
    <w:p w14:paraId="3B39495F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菲律宾医疗器械CMDR注册 - B,C,D类</w:t>
      </w:r>
    </w:p>
    <w:p w14:paraId="1FC09A14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菲律宾医疗器械CDRRHR注册</w:t>
      </w:r>
    </w:p>
    <w:p w14:paraId="3AE3BF91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有效期为 5 年</w:t>
      </w:r>
    </w:p>
    <w:p w14:paraId="4E38F065">
      <w:pPr>
        <w:pStyle w:val="4"/>
        <w:spacing w:before="0" w:beforeAutospacing="0" w:after="0" w:afterAutospacing="0" w:line="360" w:lineRule="auto"/>
      </w:pPr>
    </w:p>
    <w:p w14:paraId="796B40E8">
      <w:pPr>
        <w:pStyle w:val="4"/>
        <w:spacing w:before="0" w:beforeAutospacing="0" w:after="0" w:afterAutospacing="0" w:line="360" w:lineRule="auto"/>
        <w:rPr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政府机关</w:t>
      </w:r>
    </w:p>
    <w:p w14:paraId="22A60BE7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菲律宾的医疗器械注册由卫生部内的器械监管、辐射健康和研究中心 (CDRRHR) 管理。为了根据东盟医疗器械指令协调菲律宾监管指南，菲律宾卫生部最近发布了 2018-0002 号行政命令。行政令引入了医疗器械的风险分类，以及对初始器械注册和更新的新要求。</w:t>
      </w:r>
    </w:p>
    <w:p w14:paraId="57236E10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05425127">
      <w:pPr>
        <w:pStyle w:val="4"/>
        <w:spacing w:before="0" w:beforeAutospacing="0" w:after="0" w:afterAutospacing="0" w:line="360" w:lineRule="auto"/>
        <w:rPr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医疗器械状态</w:t>
      </w:r>
    </w:p>
    <w:p w14:paraId="5C3009E0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提出治疗或医疗要求的仪器、机器、体外试剂、软件和类似或相关物品在菲律宾被视为医疗器械。</w:t>
      </w:r>
    </w:p>
    <w:p w14:paraId="39F7C5DE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716EBA46">
      <w:pPr>
        <w:pStyle w:val="4"/>
        <w:spacing w:before="0" w:beforeAutospacing="0" w:after="0" w:afterAutospacing="0" w:line="360" w:lineRule="auto"/>
        <w:rPr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产品分类</w:t>
      </w:r>
    </w:p>
    <w:p w14:paraId="3FED0D76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当前的产品分类根据东盟医疗器械指令进行了协调，分为 A、B、C 和 D 四个等级，从低风险到高风险分类。新的审核时间和注册费用因风险类别而异：</w:t>
      </w:r>
    </w:p>
    <w:p w14:paraId="042A2F6D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616A2DFB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A 类通知 (CMDN) 低等级 - 4 到 12 周，产品验证服务 - 政府管费 申请PhP7500, 评估PhP750, 年费PhP5,150</w:t>
      </w:r>
    </w:p>
    <w:p w14:paraId="4172D7AA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B 类注册 (CMDR) 中低等级-  180 天内，产品验证服务 - 政府管费 申请PhP7500, 评估PhP750, 年费PhP5,150</w:t>
      </w:r>
    </w:p>
    <w:p w14:paraId="6DC87AA8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C 类注册 (CMDR) 中高等级 - 180 天内，产品验证服务 - 政府管费 申请PhP7500, 评估PhP750, 年费PhP5,150</w:t>
      </w:r>
    </w:p>
    <w:p w14:paraId="3F16806F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D 类注册 (CMDR) 高等级 - 180 天内，产品验证服务 - 政府管费 申请PhP7500, 评估PhP750, 年费PhP5,150</w:t>
      </w:r>
    </w:p>
    <w:p w14:paraId="5D49F079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IVD 不包括在此分类中。将针对体外诊断设备发布单独的行政命令。</w:t>
      </w:r>
    </w:p>
    <w:p w14:paraId="789B3D1A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768404E7">
      <w:pPr>
        <w:pStyle w:val="4"/>
        <w:spacing w:before="0" w:beforeAutospacing="0" w:after="0" w:afterAutospacing="0" w:line="360" w:lineRule="auto"/>
      </w:pPr>
    </w:p>
    <w:p w14:paraId="41BD18DD">
      <w:pPr>
        <w:pStyle w:val="4"/>
        <w:spacing w:before="0" w:beforeAutospacing="0" w:after="0" w:afterAutospacing="0" w:line="360" w:lineRule="auto"/>
        <w:rPr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设备符合性评估</w:t>
      </w:r>
    </w:p>
    <w:p w14:paraId="0E6FB55F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2019 年 4 月 1 日实施的新法规要求进口和投放市场的风险 A 类医疗器械必须持有医疗器械通知证书 (CMDN)，风险级别 B、C 和 D 医疗器械必须持有医疗器械注册证书 (CMDR)在菲律宾。新规定将分阶段实施：</w:t>
      </w:r>
    </w:p>
    <w:p w14:paraId="6E8DC43E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4FAE6A58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目前，所有 A 类医疗器械都必须有 CMDN，所有通知（在 2021-001-A 号通告中列出）B、C 和 D 类医疗器械都必须有 CMDR。</w:t>
      </w:r>
    </w:p>
    <w:p w14:paraId="71329A7E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所有未宣布的（未在 2021-001-A 通函中列出）B、C 和 D 类医疗器械必须在 2023 年 4 月 1 日之前拥有初始 CMDN，然后在更新 CMDR 时需要更多参与。</w:t>
      </w:r>
    </w:p>
    <w:p w14:paraId="3D5DBC86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注：最初，未申报医疗器械的截止日期为 2022 年 4 月 1 日，但预计菲律宾 FDA 将延长宽限期。浏览此处了解更多信息。</w:t>
      </w:r>
    </w:p>
    <w:p w14:paraId="5016381F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所有类别的设备都需要国家批准或参考国家批准。</w:t>
      </w:r>
    </w:p>
    <w:p w14:paraId="7F73D620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19EA73CD">
      <w:pPr>
        <w:pStyle w:val="4"/>
        <w:spacing w:before="0" w:beforeAutospacing="0" w:after="0" w:afterAutospacing="0" w:line="360" w:lineRule="auto"/>
        <w:rPr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申请材料</w:t>
      </w:r>
    </w:p>
    <w:p w14:paraId="526941C9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原产国医疗器械批准文件</w:t>
      </w:r>
    </w:p>
    <w:p w14:paraId="2B0D8C58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符合 CSDT 模板的技术文件</w:t>
      </w:r>
    </w:p>
    <w:p w14:paraId="41CDDB05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设备描述、符合性证书、符合性声明、保质期声明和清晰、完整、彩色的标签图片</w:t>
      </w:r>
    </w:p>
    <w:p w14:paraId="11581A7F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注册需要额外的文件，例如风险评估和临床证据。</w:t>
      </w:r>
    </w:p>
    <w:p w14:paraId="7BFD3F24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3D6C5372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质量体系合格评定</w:t>
      </w:r>
    </w:p>
    <w:p w14:paraId="7FCA108E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A、B、C 和 D 类设备都需要 ISO 13485 或 FDA 或日本 PMDA 的审核报告，以证明合法和/或实际制造设施的质量体系。</w:t>
      </w:r>
    </w:p>
    <w:p w14:paraId="05EA171E">
      <w:pPr>
        <w:pStyle w:val="4"/>
        <w:spacing w:before="0" w:beforeAutospacing="0" w:after="0" w:afterAutospacing="0" w:line="360" w:lineRule="auto"/>
        <w:jc w:val="center"/>
      </w:pPr>
      <w:r>
        <w:drawing>
          <wp:inline distT="0" distB="0" distL="0" distR="0">
            <wp:extent cx="5276850" cy="3536950"/>
            <wp:effectExtent l="0" t="0" r="0" b="0"/>
            <wp:docPr id="1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935F">
      <w:pPr>
        <w:pStyle w:val="4"/>
        <w:spacing w:before="0" w:beforeAutospacing="0" w:after="0" w:afterAutospacing="0" w:line="360" w:lineRule="auto"/>
      </w:pPr>
    </w:p>
    <w:p w14:paraId="1F736334">
      <w:pPr>
        <w:pStyle w:val="4"/>
        <w:spacing w:before="0" w:beforeAutospacing="0" w:after="0" w:afterAutospacing="0" w:line="360" w:lineRule="auto"/>
        <w:rPr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监管效率</w:t>
      </w:r>
    </w:p>
    <w:p w14:paraId="28B18481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菲律宾的医疗器械注册相当简单有效。</w:t>
      </w:r>
    </w:p>
    <w:p w14:paraId="3D351A33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393AE3BE">
      <w:pPr>
        <w:pStyle w:val="4"/>
        <w:spacing w:before="0" w:beforeAutospacing="0" w:after="0" w:afterAutospacing="0" w:line="360" w:lineRule="auto"/>
        <w:rPr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菲律宾本国批准要求的例外情况：</w:t>
      </w:r>
    </w:p>
    <w:p w14:paraId="233FBDA7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严格用于研究、临床试验、展览和/或捐赠的新医疗器械免于申报和注册</w:t>
      </w:r>
    </w:p>
    <w:p w14:paraId="5F5B6A09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使用豁免器械的研究人员和机构必须申请医疗器械营销证书。</w:t>
      </w:r>
    </w:p>
    <w:p w14:paraId="50FFC837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7FB0C3DD">
      <w:pPr>
        <w:pStyle w:val="4"/>
        <w:spacing w:before="0" w:beforeAutospacing="0" w:after="0" w:afterAutospacing="0" w:line="360" w:lineRule="auto"/>
        <w:rPr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有效期和续订</w:t>
      </w:r>
    </w:p>
    <w:p w14:paraId="3B56E5FA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CMDN 和 CMDR 的有效期为 5 年，并且必须在初始批准后每五年更新一次。可以在 CMDR 或 CMDN 到期前 90 天提交续订。</w:t>
      </w:r>
    </w:p>
    <w:p w14:paraId="0FC188DB">
      <w:pPr>
        <w:pStyle w:val="4"/>
        <w:spacing w:before="0" w:beforeAutospacing="0" w:after="0" w:afterAutospacing="0" w:line="360" w:lineRule="auto"/>
        <w:rPr>
          <w:color w:val="000000"/>
        </w:rPr>
      </w:pPr>
    </w:p>
    <w:p w14:paraId="0EABF5A8">
      <w:pPr>
        <w:pStyle w:val="4"/>
        <w:spacing w:before="0" w:beforeAutospacing="0" w:after="0" w:afterAutospacing="0" w:line="360" w:lineRule="auto"/>
        <w:rPr>
          <w:color w:val="000000"/>
        </w:rPr>
      </w:pPr>
      <w:r>
        <w:rPr>
          <w:rFonts w:ascii="Arial" w:hAnsi="Arial" w:cs="Arial"/>
          <w:color w:val="000000"/>
        </w:rPr>
        <w:t>根据旧规则颁发的注册证书 (CPR) 将一直有效，直至到期，届时许可证更新申请将生成一个新的 CMDN，有效期为 5 年，费用为 5,150 菲律宾比索（110 美元）。根据旧规则签发的豁免证书 (COE) 有效期至 2021 年 11 月 3 日，或签发后两年，以较短者为准。</w:t>
      </w:r>
    </w:p>
    <w:p w14:paraId="75FBD511">
      <w:pPr>
        <w:pStyle w:val="4"/>
        <w:spacing w:before="0" w:beforeAutospacing="0" w:after="0" w:afterAutospacing="0" w:line="360" w:lineRule="auto"/>
      </w:pPr>
    </w:p>
    <w:p w14:paraId="5929DF5E">
      <w:pPr>
        <w:pStyle w:val="4"/>
        <w:spacing w:before="0" w:beforeAutospacing="0" w:after="0" w:afterAutospacing="0" w:line="360" w:lineRule="auto"/>
      </w:pPr>
      <w:r>
        <w:t>关于产品分类，请参考下表</w:t>
      </w:r>
    </w:p>
    <w:p w14:paraId="366AEC18">
      <w:pPr>
        <w:pStyle w:val="4"/>
        <w:spacing w:before="0" w:beforeAutospacing="0" w:after="0" w:afterAutospacing="0" w:line="360" w:lineRule="auto"/>
        <w:jc w:val="center"/>
      </w:pPr>
      <w:r>
        <w:drawing>
          <wp:inline distT="0" distB="0" distL="0" distR="0">
            <wp:extent cx="5276850" cy="7226300"/>
            <wp:effectExtent l="0" t="0" r="0" b="0"/>
            <wp:docPr id="2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0317B">
      <w:pPr>
        <w:pStyle w:val="4"/>
        <w:spacing w:before="0" w:beforeAutospacing="0" w:after="0" w:afterAutospacing="0" w:line="360" w:lineRule="auto"/>
        <w:jc w:val="center"/>
      </w:pPr>
    </w:p>
    <w:p w14:paraId="1FA71094">
      <w:pPr>
        <w:pStyle w:val="4"/>
        <w:spacing w:before="0" w:beforeAutospacing="0" w:after="0" w:afterAutospacing="0" w:line="360" w:lineRule="auto"/>
      </w:pPr>
    </w:p>
    <w:p w14:paraId="6733CFE3">
      <w:pPr>
        <w:pStyle w:val="4"/>
        <w:spacing w:before="0" w:beforeAutospacing="0" w:after="0" w:afterAutospacing="0" w:line="360" w:lineRule="auto"/>
      </w:pPr>
    </w:p>
    <w:p w14:paraId="49BB144D">
      <w:pPr>
        <w:pStyle w:val="4"/>
        <w:spacing w:before="0" w:beforeAutospacing="0" w:after="0" w:afterAutospacing="0" w:line="360" w:lineRule="auto"/>
      </w:pPr>
    </w:p>
    <w:p w14:paraId="2906A9D6">
      <w:pPr>
        <w:pStyle w:val="4"/>
        <w:spacing w:before="0" w:beforeAutospacing="0" w:after="0" w:afterAutospacing="0" w:line="360" w:lineRule="auto"/>
        <w:jc w:val="center"/>
      </w:pPr>
      <w:r>
        <w:drawing>
          <wp:inline distT="0" distB="0" distL="0" distR="0">
            <wp:extent cx="5276850" cy="7620000"/>
            <wp:effectExtent l="0" t="0" r="0" b="0"/>
            <wp:docPr id="3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E44BD">
      <w:pPr>
        <w:pStyle w:val="4"/>
        <w:spacing w:before="0" w:beforeAutospacing="0" w:after="0" w:afterAutospacing="0" w:line="360" w:lineRule="auto"/>
        <w:jc w:val="center"/>
      </w:pPr>
    </w:p>
    <w:p w14:paraId="5B900A3C">
      <w:pPr>
        <w:pStyle w:val="4"/>
        <w:spacing w:before="0" w:beforeAutospacing="0" w:after="0" w:afterAutospacing="0" w:line="360" w:lineRule="auto"/>
      </w:pPr>
    </w:p>
    <w:p w14:paraId="3FE57823">
      <w:pPr>
        <w:pStyle w:val="4"/>
        <w:spacing w:before="0" w:beforeAutospacing="0" w:after="0" w:afterAutospacing="0" w:line="360" w:lineRule="auto"/>
      </w:pPr>
    </w:p>
    <w:p w14:paraId="613EB679">
      <w:pPr>
        <w:pStyle w:val="4"/>
        <w:spacing w:before="0" w:beforeAutospacing="0" w:after="0" w:afterAutospacing="0" w:line="360" w:lineRule="auto"/>
      </w:pPr>
    </w:p>
    <w:p w14:paraId="3DEB1F0B">
      <w:pPr>
        <w:pStyle w:val="4"/>
        <w:spacing w:before="0" w:beforeAutospacing="0" w:after="0" w:afterAutospacing="0" w:line="360" w:lineRule="auto"/>
      </w:pPr>
    </w:p>
    <w:p w14:paraId="0012AFBC">
      <w:pPr>
        <w:pStyle w:val="4"/>
        <w:spacing w:before="0" w:beforeAutospacing="0" w:after="0" w:afterAutospacing="0" w:line="360" w:lineRule="auto"/>
        <w:jc w:val="center"/>
      </w:pPr>
      <w:r>
        <w:drawing>
          <wp:inline distT="0" distB="0" distL="0" distR="0">
            <wp:extent cx="5276850" cy="7131050"/>
            <wp:effectExtent l="0" t="0" r="0" b="0"/>
            <wp:docPr id="4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5E64">
      <w:pPr>
        <w:pStyle w:val="4"/>
        <w:spacing w:before="0" w:beforeAutospacing="0" w:after="0" w:afterAutospacing="0" w:line="360" w:lineRule="auto"/>
        <w:jc w:val="center"/>
      </w:pPr>
    </w:p>
    <w:p w14:paraId="71EE0AC7">
      <w:pPr>
        <w:pStyle w:val="4"/>
        <w:spacing w:before="0" w:beforeAutospacing="0" w:after="0" w:afterAutospacing="0" w:line="360" w:lineRule="auto"/>
        <w:jc w:val="center"/>
      </w:pPr>
    </w:p>
    <w:p w14:paraId="542063B6">
      <w:pPr>
        <w:pStyle w:val="4"/>
        <w:spacing w:before="0" w:beforeAutospacing="0" w:after="0" w:afterAutospacing="0" w:line="360" w:lineRule="auto"/>
        <w:jc w:val="center"/>
      </w:pPr>
      <w:r>
        <w:drawing>
          <wp:inline distT="0" distB="0" distL="0" distR="0">
            <wp:extent cx="5276850" cy="7200900"/>
            <wp:effectExtent l="0" t="0" r="0" b="0"/>
            <wp:docPr id="5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E1AD9">
      <w:pPr>
        <w:pStyle w:val="4"/>
        <w:spacing w:before="0" w:beforeAutospacing="0" w:after="0" w:afterAutospacing="0" w:line="360" w:lineRule="auto"/>
        <w:jc w:val="center"/>
      </w:pPr>
    </w:p>
    <w:p w14:paraId="4178FFF3">
      <w:pPr>
        <w:pStyle w:val="4"/>
        <w:spacing w:before="0" w:beforeAutospacing="0" w:after="0" w:afterAutospacing="0" w:line="360" w:lineRule="auto"/>
      </w:pPr>
    </w:p>
    <w:p w14:paraId="59FFF6B3">
      <w:pPr>
        <w:pStyle w:val="4"/>
        <w:spacing w:before="0" w:beforeAutospacing="0" w:after="0" w:afterAutospacing="0" w:line="360" w:lineRule="auto"/>
      </w:pPr>
    </w:p>
    <w:p w14:paraId="4BA820AC">
      <w:pPr>
        <w:pStyle w:val="4"/>
        <w:spacing w:before="0" w:beforeAutospacing="0" w:after="0" w:afterAutospacing="0" w:line="360" w:lineRule="auto"/>
        <w:jc w:val="center"/>
      </w:pPr>
      <w:r>
        <w:drawing>
          <wp:inline distT="0" distB="0" distL="0" distR="0">
            <wp:extent cx="5276850" cy="7435850"/>
            <wp:effectExtent l="0" t="0" r="0" b="0"/>
            <wp:docPr id="6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32B1">
      <w:pPr>
        <w:spacing w:line="360" w:lineRule="auto"/>
        <w:rPr>
          <w:sz w:val="24"/>
          <w:szCs w:val="24"/>
        </w:rPr>
      </w:pPr>
    </w:p>
    <w:p w14:paraId="78602DE1">
      <w:pPr>
        <w:pStyle w:val="4"/>
        <w:spacing w:before="0" w:beforeAutospacing="0" w:after="0" w:afterAutospacing="0" w:line="360" w:lineRule="auto"/>
        <w:jc w:val="center"/>
        <w:rPr>
          <w:rFonts w:hint="eastAsia" w:eastAsia="等线"/>
          <w:lang w:eastAsia="zh-CN"/>
        </w:rPr>
      </w:pPr>
    </w:p>
    <w:p w14:paraId="1EEDE5AD">
      <w:pPr>
        <w:pStyle w:val="4"/>
        <w:spacing w:before="0" w:beforeAutospacing="0" w:after="0" w:afterAutospacing="0" w:line="360" w:lineRule="auto"/>
        <w:jc w:val="center"/>
        <w:rPr>
          <w:rFonts w:hint="eastAsia" w:eastAsia="等线"/>
          <w:lang w:eastAsia="zh-CN"/>
        </w:rPr>
      </w:pPr>
    </w:p>
    <w:p w14:paraId="790AD3DC">
      <w:pPr>
        <w:pStyle w:val="4"/>
        <w:spacing w:before="0" w:beforeAutospacing="0" w:after="0" w:afterAutospacing="0" w:line="360" w:lineRule="auto"/>
        <w:jc w:val="center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210175" cy="7343775"/>
            <wp:effectExtent l="0" t="0" r="9525" b="9525"/>
            <wp:docPr id="7" name="图片 7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7A2"/>
    <w:rsid w:val="001952FE"/>
    <w:rsid w:val="0049697C"/>
    <w:rsid w:val="008606CA"/>
    <w:rsid w:val="00E53546"/>
    <w:rsid w:val="00F767A2"/>
    <w:rsid w:val="25A1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link w:val="3"/>
    <w:qFormat/>
    <w:uiPriority w:val="99"/>
    <w:rPr>
      <w:sz w:val="18"/>
      <w:szCs w:val="18"/>
    </w:rPr>
  </w:style>
  <w:style w:type="character" w:customStyle="1" w:styleId="8">
    <w:name w:val="页脚 字符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1113</Words>
  <Characters>1351</Characters>
  <Lines>11</Lines>
  <Paragraphs>3</Paragraphs>
  <TotalTime>1</TotalTime>
  <ScaleCrop>false</ScaleCrop>
  <LinksUpToDate>false</LinksUpToDate>
  <CharactersWithSpaces>1495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2022-06-02T05:35:00Z</dcterms:created>
  <dc:creator>BIO218</dc:creator>
  <cp:lastModifiedBy>太极箫客</cp:lastModifiedBy>
  <dcterms:modified xsi:type="dcterms:W3CDTF">2025-08-14T07:23:10Z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eyJoZGlkIjoiMDJiMzI3ODBiNTFmMWRjNDUyMjM1ZmZjODY5NDc2MWMiLCJ1c2VySWQiOiI0NTQ4Nzg1NzAifQ==</vt:lpwstr>
  </property>
  <property fmtid="{D5CDD505-2E9C-101B-9397-08002B2CF9AE}" pid="4" name="ICV">
    <vt:lpwstr>05BBB0C24702495D9B2E9A2C86799F53_12</vt:lpwstr>
  </property>
</Properties>
</file>