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C03E">
      <w:pPr>
        <w:pStyle w:val="18"/>
        <w:pBdr>
          <w:top w:val="single" w:color="auto" w:sz="18" w:space="1"/>
        </w:pBdr>
        <w:jc w:val="center"/>
        <w:rPr>
          <w:rFonts w:eastAsia="宋体"/>
          <w:sz w:val="84"/>
          <w:szCs w:val="84"/>
        </w:rPr>
      </w:pPr>
      <w:bookmarkStart w:id="8" w:name="_GoBack"/>
      <w:bookmarkEnd w:id="8"/>
      <w:r>
        <w:rPr>
          <w:rFonts w:eastAsia="宋体"/>
          <w:b/>
          <w:bCs/>
          <w:sz w:val="84"/>
          <w:szCs w:val="84"/>
        </w:rPr>
        <w:t>药械和生物-器械组合产品的衔接</w:t>
      </w:r>
    </w:p>
    <w:p w14:paraId="0C05D827">
      <w:pPr>
        <w:pStyle w:val="18"/>
        <w:jc w:val="center"/>
        <w:rPr>
          <w:rFonts w:eastAsia="宋体"/>
          <w:sz w:val="72"/>
          <w:szCs w:val="72"/>
        </w:rPr>
      </w:pPr>
      <w:r>
        <w:rPr>
          <w:rFonts w:eastAsia="宋体"/>
          <w:b/>
          <w:bCs/>
          <w:sz w:val="72"/>
          <w:szCs w:val="72"/>
        </w:rPr>
        <w:t>行业指南</w:t>
      </w:r>
    </w:p>
    <w:p w14:paraId="57420A89">
      <w:pPr>
        <w:shd w:val="clear" w:color="auto" w:fill="FFFFFF"/>
        <w:snapToGrid w:val="0"/>
        <w:jc w:val="center"/>
        <w:rPr>
          <w:rFonts w:eastAsia="宋体"/>
          <w:b/>
          <w:bCs/>
          <w:i/>
          <w:iCs/>
          <w:sz w:val="36"/>
          <w:szCs w:val="36"/>
        </w:rPr>
      </w:pPr>
    </w:p>
    <w:p w14:paraId="1B9B16B8">
      <w:pPr>
        <w:shd w:val="clear" w:color="auto" w:fill="FFFFFF"/>
        <w:snapToGrid w:val="0"/>
        <w:jc w:val="center"/>
        <w:rPr>
          <w:rFonts w:eastAsia="宋体"/>
          <w:b/>
          <w:bCs/>
          <w:i/>
          <w:iCs/>
          <w:sz w:val="36"/>
          <w:szCs w:val="36"/>
        </w:rPr>
      </w:pPr>
    </w:p>
    <w:p w14:paraId="27C3485E">
      <w:pPr>
        <w:shd w:val="clear" w:color="auto" w:fill="FFFFFF"/>
        <w:snapToGrid w:val="0"/>
        <w:jc w:val="center"/>
        <w:rPr>
          <w:rFonts w:eastAsia="宋体"/>
          <w:b/>
          <w:bCs/>
          <w:i/>
          <w:iCs/>
          <w:sz w:val="36"/>
          <w:szCs w:val="36"/>
        </w:rPr>
      </w:pPr>
      <w:r>
        <w:rPr>
          <w:rFonts w:eastAsia="宋体"/>
          <w:b/>
          <w:bCs/>
          <w:i/>
          <w:iCs/>
          <w:sz w:val="36"/>
          <w:szCs w:val="36"/>
        </w:rPr>
        <w:t>指南草案</w:t>
      </w:r>
    </w:p>
    <w:p w14:paraId="09BC087B">
      <w:pPr>
        <w:shd w:val="clear" w:color="auto" w:fill="FFFFFF"/>
        <w:snapToGrid w:val="0"/>
        <w:jc w:val="center"/>
        <w:rPr>
          <w:rFonts w:eastAsia="宋体"/>
          <w:b/>
          <w:bCs/>
          <w:color w:val="000000"/>
          <w:sz w:val="21"/>
          <w:szCs w:val="21"/>
        </w:rPr>
      </w:pPr>
    </w:p>
    <w:p w14:paraId="0D9E115B">
      <w:pPr>
        <w:shd w:val="clear" w:color="auto" w:fill="FFFFFF"/>
        <w:snapToGrid w:val="0"/>
        <w:jc w:val="center"/>
        <w:rPr>
          <w:rFonts w:eastAsia="宋体"/>
          <w:b/>
          <w:bCs/>
          <w:color w:val="000000"/>
          <w:sz w:val="21"/>
          <w:szCs w:val="21"/>
        </w:rPr>
      </w:pPr>
      <w:r>
        <w:rPr>
          <w:rFonts w:eastAsia="宋体"/>
          <w:b/>
          <w:bCs/>
          <w:color w:val="000000"/>
          <w:sz w:val="21"/>
          <w:szCs w:val="21"/>
        </w:rPr>
        <w:t>本指南文件仅供征求意见使用。</w:t>
      </w:r>
    </w:p>
    <w:p w14:paraId="040C8C28">
      <w:pPr>
        <w:shd w:val="clear" w:color="auto" w:fill="FFFFFF"/>
        <w:snapToGrid w:val="0"/>
        <w:jc w:val="center"/>
        <w:rPr>
          <w:rFonts w:eastAsia="宋体"/>
          <w:sz w:val="21"/>
          <w:szCs w:val="21"/>
        </w:rPr>
      </w:pPr>
    </w:p>
    <w:p w14:paraId="70698191">
      <w:pPr>
        <w:shd w:val="clear" w:color="auto" w:fill="FFFFFF"/>
        <w:snapToGrid w:val="0"/>
        <w:jc w:val="both"/>
        <w:rPr>
          <w:rFonts w:eastAsia="宋体"/>
          <w:color w:val="000000" w:themeColor="text1"/>
          <w:sz w:val="21"/>
          <w:szCs w:val="21"/>
        </w:rPr>
      </w:pPr>
      <w:r>
        <w:rPr>
          <w:rFonts w:eastAsia="宋体"/>
          <w:color w:val="000000"/>
          <w:sz w:val="21"/>
          <w:szCs w:val="21"/>
        </w:rPr>
        <w:t>关于本草案文件的意见和建议应在联邦公报发布指南草案可用性通知后60天内提交。</w:t>
      </w:r>
      <w:r>
        <w:rPr>
          <w:rFonts w:eastAsia="宋体"/>
          <w:color w:val="000000" w:themeColor="text1"/>
          <w:sz w:val="21"/>
          <w:szCs w:val="21"/>
        </w:rPr>
        <w:t>请提交电子意见至https://www.regulations.gov。请将书面意见提交至美国食品药品监督管理局（5630 Fishers Lane, Rm.1061, Rockville, MD 20852）文档管理人员所有意见均应标明</w:t>
      </w:r>
      <w:r>
        <w:rPr>
          <w:rFonts w:eastAsia="宋体"/>
          <w:i/>
          <w:iCs/>
          <w:color w:val="000000" w:themeColor="text1"/>
          <w:sz w:val="21"/>
          <w:szCs w:val="21"/>
        </w:rPr>
        <w:t>《联邦公报》</w:t>
      </w:r>
      <w:r>
        <w:rPr>
          <w:rFonts w:eastAsia="宋体"/>
          <w:color w:val="000000" w:themeColor="text1"/>
          <w:sz w:val="21"/>
          <w:szCs w:val="21"/>
        </w:rPr>
        <w:t>发布的通知中列出的档案编号。</w:t>
      </w:r>
    </w:p>
    <w:p w14:paraId="1A9C89DE">
      <w:pPr>
        <w:shd w:val="clear" w:color="auto" w:fill="FFFFFF"/>
        <w:snapToGrid w:val="0"/>
        <w:jc w:val="both"/>
        <w:rPr>
          <w:rFonts w:eastAsia="宋体"/>
          <w:color w:val="000000" w:themeColor="text1"/>
          <w:sz w:val="21"/>
          <w:szCs w:val="21"/>
        </w:rPr>
      </w:pPr>
    </w:p>
    <w:p w14:paraId="0261DC99">
      <w:pPr>
        <w:shd w:val="clear" w:color="auto" w:fill="FFFFFF"/>
        <w:snapToGrid w:val="0"/>
        <w:jc w:val="both"/>
        <w:rPr>
          <w:rFonts w:eastAsia="宋体"/>
          <w:color w:val="000000" w:themeColor="text1"/>
          <w:sz w:val="21"/>
          <w:szCs w:val="21"/>
        </w:rPr>
      </w:pPr>
      <w:r>
        <w:rPr>
          <w:rFonts w:eastAsia="宋体"/>
          <w:color w:val="000000" w:themeColor="text1"/>
          <w:sz w:val="21"/>
          <w:szCs w:val="21"/>
        </w:rPr>
        <w:t>有关本文件草案的问题，请联系（药品审评和研究中心（CDER））Irene Chan，电话：301-796-3962或Robert Berlin，电话：240-402-8010，（生物制品评价和研究中心（CBER））沟通、推广和发展办公室，（医疗器械与放射健康中心（CDRH））CDRH产品管辖官员，邮箱：CDRHProductJurisdiction@fda.hhs.gov，或（OCP）Patricia Love，邮箱：patricia.love@fda.hhs.gov。</w:t>
      </w:r>
    </w:p>
    <w:p w14:paraId="7F588FFA">
      <w:pPr>
        <w:shd w:val="clear" w:color="auto" w:fill="FFFFFF"/>
        <w:snapToGrid w:val="0"/>
        <w:jc w:val="both"/>
        <w:rPr>
          <w:rFonts w:eastAsia="宋体"/>
          <w:b/>
          <w:bCs/>
          <w:color w:val="000000" w:themeColor="text1"/>
          <w:sz w:val="21"/>
          <w:szCs w:val="21"/>
        </w:rPr>
      </w:pPr>
    </w:p>
    <w:p w14:paraId="03986515">
      <w:pPr>
        <w:shd w:val="clear" w:color="auto" w:fill="FFFFFF"/>
        <w:snapToGrid w:val="0"/>
        <w:jc w:val="both"/>
        <w:rPr>
          <w:rFonts w:eastAsia="宋体"/>
          <w:b/>
          <w:bCs/>
          <w:color w:val="000000" w:themeColor="text1"/>
          <w:sz w:val="21"/>
          <w:szCs w:val="21"/>
        </w:rPr>
      </w:pPr>
    </w:p>
    <w:p w14:paraId="086A9965">
      <w:pPr>
        <w:shd w:val="clear" w:color="auto" w:fill="FFFFFF"/>
        <w:snapToGrid w:val="0"/>
        <w:jc w:val="both"/>
        <w:rPr>
          <w:rFonts w:eastAsia="宋体"/>
          <w:b/>
          <w:bCs/>
          <w:color w:val="000000" w:themeColor="text1"/>
          <w:sz w:val="21"/>
          <w:szCs w:val="21"/>
        </w:rPr>
      </w:pPr>
    </w:p>
    <w:p w14:paraId="7C8B6518">
      <w:pPr>
        <w:shd w:val="clear" w:color="auto" w:fill="FFFFFF"/>
        <w:snapToGrid w:val="0"/>
        <w:jc w:val="both"/>
        <w:rPr>
          <w:rFonts w:eastAsia="宋体"/>
          <w:b/>
          <w:bCs/>
          <w:color w:val="000000" w:themeColor="text1"/>
          <w:sz w:val="21"/>
          <w:szCs w:val="21"/>
        </w:rPr>
      </w:pPr>
    </w:p>
    <w:p w14:paraId="0AB24CC6">
      <w:pPr>
        <w:shd w:val="clear" w:color="auto" w:fill="FFFFFF"/>
        <w:snapToGrid w:val="0"/>
        <w:jc w:val="both"/>
        <w:rPr>
          <w:rFonts w:eastAsia="宋体"/>
          <w:b/>
          <w:bCs/>
          <w:color w:val="000000" w:themeColor="text1"/>
          <w:sz w:val="21"/>
          <w:szCs w:val="21"/>
        </w:rPr>
      </w:pPr>
    </w:p>
    <w:p w14:paraId="7537EF90">
      <w:pPr>
        <w:shd w:val="clear" w:color="auto" w:fill="FFFFFF"/>
        <w:snapToGrid w:val="0"/>
        <w:jc w:val="both"/>
        <w:rPr>
          <w:rFonts w:eastAsia="宋体"/>
          <w:b/>
          <w:bCs/>
          <w:color w:val="000000" w:themeColor="text1"/>
          <w:sz w:val="21"/>
          <w:szCs w:val="21"/>
        </w:rPr>
      </w:pPr>
    </w:p>
    <w:p w14:paraId="7DEE6AE2">
      <w:pPr>
        <w:shd w:val="clear" w:color="auto" w:fill="FFFFFF"/>
        <w:snapToGrid w:val="0"/>
        <w:jc w:val="both"/>
        <w:rPr>
          <w:rFonts w:eastAsia="宋体"/>
          <w:b/>
          <w:bCs/>
          <w:color w:val="000000" w:themeColor="text1"/>
          <w:sz w:val="21"/>
          <w:szCs w:val="21"/>
        </w:rPr>
      </w:pPr>
    </w:p>
    <w:p w14:paraId="3E875ECE">
      <w:pPr>
        <w:shd w:val="clear" w:color="auto" w:fill="FFFFFF"/>
        <w:snapToGrid w:val="0"/>
        <w:jc w:val="both"/>
        <w:rPr>
          <w:rFonts w:eastAsia="宋体"/>
          <w:b/>
          <w:bCs/>
          <w:color w:val="000000" w:themeColor="text1"/>
          <w:sz w:val="21"/>
          <w:szCs w:val="21"/>
        </w:rPr>
      </w:pPr>
    </w:p>
    <w:p w14:paraId="6A4CE4AB">
      <w:pPr>
        <w:shd w:val="clear" w:color="auto" w:fill="FFFFFF"/>
        <w:snapToGrid w:val="0"/>
        <w:jc w:val="both"/>
        <w:rPr>
          <w:rFonts w:eastAsia="宋体"/>
          <w:b/>
          <w:bCs/>
          <w:color w:val="000000" w:themeColor="text1"/>
          <w:sz w:val="21"/>
          <w:szCs w:val="21"/>
        </w:rPr>
      </w:pPr>
    </w:p>
    <w:p w14:paraId="22ED5A2D">
      <w:pPr>
        <w:shd w:val="clear" w:color="auto" w:fill="FFFFFF"/>
        <w:snapToGrid w:val="0"/>
        <w:jc w:val="both"/>
        <w:rPr>
          <w:rFonts w:eastAsia="宋体"/>
          <w:b/>
          <w:bCs/>
          <w:color w:val="000000" w:themeColor="text1"/>
          <w:sz w:val="21"/>
          <w:szCs w:val="21"/>
        </w:rPr>
      </w:pPr>
    </w:p>
    <w:p w14:paraId="06A932F6">
      <w:pPr>
        <w:shd w:val="clear" w:color="auto" w:fill="FFFFFF"/>
        <w:snapToGrid w:val="0"/>
        <w:jc w:val="both"/>
        <w:rPr>
          <w:rFonts w:eastAsia="宋体"/>
          <w:b/>
          <w:bCs/>
          <w:color w:val="000000" w:themeColor="text1"/>
          <w:sz w:val="21"/>
          <w:szCs w:val="21"/>
        </w:rPr>
      </w:pPr>
    </w:p>
    <w:p w14:paraId="2414CD34">
      <w:pPr>
        <w:shd w:val="clear" w:color="auto" w:fill="FFFFFF"/>
        <w:snapToGrid w:val="0"/>
        <w:jc w:val="both"/>
        <w:rPr>
          <w:rFonts w:eastAsia="宋体"/>
          <w:b/>
          <w:bCs/>
          <w:color w:val="000000" w:themeColor="text1"/>
          <w:sz w:val="21"/>
          <w:szCs w:val="21"/>
        </w:rPr>
      </w:pPr>
    </w:p>
    <w:p w14:paraId="4D110275">
      <w:pPr>
        <w:shd w:val="clear" w:color="auto" w:fill="FFFFFF"/>
        <w:snapToGrid w:val="0"/>
        <w:jc w:val="center"/>
        <w:rPr>
          <w:rFonts w:eastAsia="宋体"/>
          <w:sz w:val="21"/>
          <w:szCs w:val="21"/>
        </w:rPr>
      </w:pPr>
      <w:r>
        <w:rPr>
          <w:rFonts w:eastAsia="宋体"/>
          <w:b/>
          <w:bCs/>
          <w:color w:val="000000" w:themeColor="text1"/>
          <w:sz w:val="21"/>
          <w:szCs w:val="21"/>
        </w:rPr>
        <w:t>美国卫生部</w:t>
      </w:r>
      <w:r>
        <w:rPr>
          <w:rFonts w:eastAsia="宋体"/>
          <w:b/>
          <w:bCs/>
          <w:color w:val="000000"/>
          <w:sz w:val="21"/>
          <w:szCs w:val="21"/>
        </w:rPr>
        <w:t>人类服务部</w:t>
      </w:r>
      <w:r>
        <w:rPr>
          <w:rFonts w:eastAsia="宋体"/>
        </w:rPr>
        <w:t xml:space="preserve"> </w:t>
      </w:r>
    </w:p>
    <w:p w14:paraId="20980FAF">
      <w:pPr>
        <w:shd w:val="clear" w:color="auto" w:fill="FFFFFF"/>
        <w:snapToGrid w:val="0"/>
        <w:jc w:val="center"/>
        <w:rPr>
          <w:rFonts w:eastAsia="宋体"/>
          <w:sz w:val="21"/>
          <w:szCs w:val="21"/>
        </w:rPr>
      </w:pPr>
      <w:r>
        <w:rPr>
          <w:rFonts w:eastAsia="宋体"/>
          <w:b/>
          <w:bCs/>
          <w:color w:val="000000"/>
          <w:sz w:val="21"/>
          <w:szCs w:val="21"/>
        </w:rPr>
        <w:t>美国食品药品监督管理局</w:t>
      </w:r>
    </w:p>
    <w:p w14:paraId="049E6380">
      <w:pPr>
        <w:shd w:val="clear" w:color="auto" w:fill="FFFFFF"/>
        <w:snapToGrid w:val="0"/>
        <w:jc w:val="center"/>
        <w:rPr>
          <w:rFonts w:eastAsia="宋体"/>
          <w:sz w:val="21"/>
          <w:szCs w:val="21"/>
        </w:rPr>
      </w:pPr>
      <w:r>
        <w:rPr>
          <w:rFonts w:eastAsia="宋体"/>
          <w:b/>
          <w:bCs/>
          <w:color w:val="000000"/>
          <w:sz w:val="21"/>
          <w:szCs w:val="21"/>
        </w:rPr>
        <w:t>药品审评和研究中心（CEDR）</w:t>
      </w:r>
    </w:p>
    <w:p w14:paraId="4B5BDE72">
      <w:pPr>
        <w:shd w:val="clear" w:color="auto" w:fill="FFFFFF"/>
        <w:snapToGrid w:val="0"/>
        <w:jc w:val="center"/>
        <w:rPr>
          <w:rFonts w:eastAsia="宋体"/>
          <w:sz w:val="21"/>
          <w:szCs w:val="21"/>
        </w:rPr>
      </w:pPr>
      <w:r>
        <w:rPr>
          <w:rFonts w:eastAsia="宋体"/>
          <w:b/>
          <w:bCs/>
          <w:color w:val="000000"/>
          <w:sz w:val="21"/>
          <w:szCs w:val="21"/>
        </w:rPr>
        <w:t>生物制品</w:t>
      </w:r>
      <w:del w:id="14" w:author="Aimee W" w:date="2022-08-08T13:16:00Z">
        <w:r>
          <w:rPr>
            <w:rFonts w:hint="eastAsia" w:eastAsia="宋体"/>
            <w:b/>
            <w:bCs/>
            <w:color w:val="000000"/>
            <w:sz w:val="21"/>
            <w:szCs w:val="21"/>
          </w:rPr>
          <w:delText>评审</w:delText>
        </w:r>
      </w:del>
      <w:ins w:id="15" w:author="Aimee W" w:date="2022-08-08T13:16:00Z">
        <w:r>
          <w:rPr>
            <w:rFonts w:hint="eastAsia" w:eastAsia="宋体"/>
            <w:b/>
            <w:bCs/>
            <w:color w:val="000000"/>
            <w:sz w:val="21"/>
            <w:szCs w:val="21"/>
          </w:rPr>
          <w:t>评价</w:t>
        </w:r>
      </w:ins>
      <w:r>
        <w:rPr>
          <w:rFonts w:eastAsia="宋体"/>
          <w:b/>
          <w:bCs/>
          <w:color w:val="000000"/>
          <w:sz w:val="21"/>
          <w:szCs w:val="21"/>
        </w:rPr>
        <w:t>和研究中心（CBER）</w:t>
      </w:r>
    </w:p>
    <w:p w14:paraId="1E71970E">
      <w:pPr>
        <w:shd w:val="clear" w:color="auto" w:fill="FFFFFF"/>
        <w:snapToGrid w:val="0"/>
        <w:jc w:val="center"/>
        <w:rPr>
          <w:rFonts w:eastAsia="宋体"/>
          <w:sz w:val="21"/>
          <w:szCs w:val="21"/>
        </w:rPr>
      </w:pPr>
      <w:r>
        <w:rPr>
          <w:rFonts w:eastAsia="宋体"/>
          <w:b/>
          <w:bCs/>
          <w:color w:val="000000"/>
          <w:sz w:val="21"/>
          <w:szCs w:val="21"/>
        </w:rPr>
        <w:t>医疗器械</w:t>
      </w:r>
      <w:del w:id="16" w:author="Z" w:date="2022-04-04T17:18:00Z">
        <w:r>
          <w:rPr>
            <w:rFonts w:hint="eastAsia" w:eastAsia="宋体"/>
            <w:b/>
            <w:bCs/>
            <w:color w:val="000000"/>
            <w:sz w:val="21"/>
            <w:szCs w:val="21"/>
          </w:rPr>
          <w:delText>与</w:delText>
        </w:r>
      </w:del>
      <w:ins w:id="17" w:author="Z" w:date="2022-04-04T17:18:00Z">
        <w:r>
          <w:rPr>
            <w:rFonts w:hint="eastAsia" w:eastAsia="宋体"/>
            <w:b/>
            <w:bCs/>
            <w:color w:val="000000"/>
            <w:sz w:val="21"/>
            <w:szCs w:val="21"/>
          </w:rPr>
          <w:t>和</w:t>
        </w:r>
      </w:ins>
      <w:r>
        <w:rPr>
          <w:rFonts w:eastAsia="宋体"/>
          <w:b/>
          <w:bCs/>
          <w:color w:val="000000"/>
          <w:sz w:val="21"/>
          <w:szCs w:val="21"/>
        </w:rPr>
        <w:t>放射健康中心（CDRH）</w:t>
      </w:r>
    </w:p>
    <w:p w14:paraId="06BCAD2F">
      <w:pPr>
        <w:shd w:val="clear" w:color="auto" w:fill="FFFFFF"/>
        <w:snapToGrid w:val="0"/>
        <w:jc w:val="center"/>
        <w:rPr>
          <w:rFonts w:eastAsia="宋体"/>
          <w:b/>
          <w:bCs/>
          <w:color w:val="000000"/>
          <w:sz w:val="21"/>
          <w:szCs w:val="21"/>
        </w:rPr>
      </w:pPr>
    </w:p>
    <w:p w14:paraId="0F4CA74A">
      <w:pPr>
        <w:shd w:val="clear" w:color="auto" w:fill="FFFFFF"/>
        <w:snapToGrid w:val="0"/>
        <w:jc w:val="center"/>
        <w:rPr>
          <w:rFonts w:eastAsia="宋体"/>
          <w:b/>
          <w:bCs/>
          <w:color w:val="000000"/>
          <w:sz w:val="21"/>
          <w:szCs w:val="21"/>
        </w:rPr>
      </w:pPr>
      <w:r>
        <w:rPr>
          <w:rFonts w:eastAsia="宋体"/>
          <w:b/>
          <w:bCs/>
          <w:color w:val="000000"/>
          <w:sz w:val="21"/>
          <w:szCs w:val="21"/>
        </w:rPr>
        <w:t>2019年12月</w:t>
      </w:r>
    </w:p>
    <w:p w14:paraId="0ABA72BD">
      <w:pPr>
        <w:shd w:val="clear" w:color="auto" w:fill="FFFFFF"/>
        <w:snapToGrid w:val="0"/>
        <w:jc w:val="center"/>
        <w:rPr>
          <w:rFonts w:eastAsia="宋体"/>
          <w:sz w:val="21"/>
          <w:szCs w:val="21"/>
        </w:rPr>
      </w:pPr>
      <w:r>
        <w:rPr>
          <w:rFonts w:eastAsia="宋体"/>
          <w:b/>
          <w:bCs/>
          <w:color w:val="000000"/>
          <w:sz w:val="21"/>
          <w:szCs w:val="21"/>
        </w:rPr>
        <w:t>组合产品</w:t>
      </w:r>
    </w:p>
    <w:p w14:paraId="2DD0809F">
      <w:pPr>
        <w:shd w:val="clear" w:color="auto" w:fill="FFFFFF"/>
        <w:snapToGrid w:val="0"/>
        <w:jc w:val="both"/>
        <w:rPr>
          <w:rFonts w:eastAsia="宋体"/>
          <w:sz w:val="21"/>
          <w:szCs w:val="21"/>
        </w:rPr>
      </w:pPr>
    </w:p>
    <w:p w14:paraId="32E323F0">
      <w:pPr>
        <w:shd w:val="clear" w:color="auto" w:fill="FFFFFF"/>
        <w:snapToGrid w:val="0"/>
        <w:jc w:val="both"/>
        <w:rPr>
          <w:rFonts w:eastAsia="宋体"/>
          <w:sz w:val="21"/>
          <w:szCs w:val="21"/>
        </w:rPr>
      </w:pPr>
    </w:p>
    <w:p w14:paraId="4EE66F4D">
      <w:pPr>
        <w:shd w:val="clear" w:color="auto" w:fill="FFFFFF"/>
        <w:snapToGrid w:val="0"/>
        <w:jc w:val="both"/>
        <w:rPr>
          <w:rFonts w:eastAsia="宋体"/>
          <w:sz w:val="21"/>
          <w:szCs w:val="21"/>
        </w:rPr>
        <w:sectPr>
          <w:footerReference r:id="rId6" w:type="default"/>
          <w:type w:val="continuous"/>
          <w:pgSz w:w="11906" w:h="16838"/>
          <w:pgMar w:top="1134" w:right="1417" w:bottom="1134" w:left="1417" w:header="850" w:footer="720" w:gutter="0"/>
          <w:cols w:space="60" w:num="1"/>
          <w:docGrid w:linePitch="272" w:charSpace="0"/>
        </w:sectPr>
      </w:pPr>
    </w:p>
    <w:p w14:paraId="7948B0E4">
      <w:pPr>
        <w:pStyle w:val="18"/>
        <w:pBdr>
          <w:top w:val="single" w:color="auto" w:sz="18" w:space="1"/>
        </w:pBdr>
        <w:jc w:val="center"/>
        <w:rPr>
          <w:rFonts w:eastAsia="宋体"/>
          <w:b/>
          <w:bCs/>
          <w:sz w:val="84"/>
          <w:szCs w:val="84"/>
        </w:rPr>
      </w:pPr>
      <w:r>
        <w:rPr>
          <w:rFonts w:eastAsia="宋体"/>
          <w:b/>
          <w:bCs/>
          <w:sz w:val="84"/>
          <w:szCs w:val="84"/>
        </w:rPr>
        <w:t>药械和生物-器械组合产品的衔接</w:t>
      </w:r>
    </w:p>
    <w:p w14:paraId="74B70573">
      <w:pPr>
        <w:pStyle w:val="18"/>
        <w:pBdr>
          <w:top w:val="single" w:color="auto" w:sz="18" w:space="1"/>
        </w:pBdr>
        <w:jc w:val="center"/>
        <w:rPr>
          <w:rFonts w:eastAsia="宋体"/>
          <w:b/>
          <w:bCs/>
          <w:sz w:val="72"/>
          <w:szCs w:val="72"/>
        </w:rPr>
      </w:pPr>
      <w:r>
        <w:rPr>
          <w:rFonts w:eastAsia="宋体"/>
          <w:b/>
          <w:bCs/>
          <w:sz w:val="72"/>
          <w:szCs w:val="72"/>
        </w:rPr>
        <w:t>行业指南</w:t>
      </w:r>
    </w:p>
    <w:p w14:paraId="2C58F8E7">
      <w:pPr>
        <w:pStyle w:val="18"/>
        <w:jc w:val="center"/>
        <w:rPr>
          <w:rFonts w:eastAsia="宋体"/>
          <w:i/>
          <w:iCs/>
          <w:sz w:val="21"/>
          <w:szCs w:val="21"/>
        </w:rPr>
      </w:pPr>
    </w:p>
    <w:p w14:paraId="6C516D96">
      <w:pPr>
        <w:pStyle w:val="18"/>
        <w:jc w:val="center"/>
        <w:rPr>
          <w:rFonts w:eastAsia="宋体"/>
          <w:sz w:val="21"/>
          <w:szCs w:val="21"/>
        </w:rPr>
      </w:pPr>
      <w:r>
        <w:rPr>
          <w:rFonts w:eastAsia="宋体"/>
          <w:i/>
          <w:iCs/>
          <w:sz w:val="21"/>
          <w:szCs w:val="21"/>
        </w:rPr>
        <w:t>其他副本可从以下获取：</w:t>
      </w:r>
    </w:p>
    <w:p w14:paraId="0AE61220">
      <w:pPr>
        <w:pStyle w:val="18"/>
        <w:jc w:val="center"/>
        <w:rPr>
          <w:rFonts w:eastAsia="宋体"/>
          <w:sz w:val="21"/>
          <w:szCs w:val="21"/>
        </w:rPr>
      </w:pPr>
      <w:r>
        <w:rPr>
          <w:rFonts w:eastAsia="宋体"/>
          <w:i/>
          <w:iCs/>
          <w:sz w:val="21"/>
          <w:szCs w:val="21"/>
        </w:rPr>
        <w:t>对外信息办公室，药品信息处</w:t>
      </w:r>
    </w:p>
    <w:p w14:paraId="37520834">
      <w:pPr>
        <w:pStyle w:val="18"/>
        <w:jc w:val="center"/>
        <w:rPr>
          <w:rFonts w:eastAsia="宋体"/>
          <w:sz w:val="21"/>
          <w:szCs w:val="21"/>
        </w:rPr>
      </w:pPr>
      <w:r>
        <w:rPr>
          <w:rFonts w:eastAsia="宋体"/>
          <w:i/>
          <w:iCs/>
          <w:sz w:val="21"/>
          <w:szCs w:val="21"/>
        </w:rPr>
        <w:t>药品审评和研究中心</w:t>
      </w:r>
    </w:p>
    <w:p w14:paraId="61117DAB">
      <w:pPr>
        <w:pStyle w:val="18"/>
        <w:jc w:val="center"/>
        <w:rPr>
          <w:rFonts w:eastAsia="宋体"/>
          <w:sz w:val="21"/>
          <w:szCs w:val="21"/>
        </w:rPr>
      </w:pPr>
      <w:r>
        <w:rPr>
          <w:rFonts w:eastAsia="宋体"/>
          <w:i/>
          <w:iCs/>
          <w:sz w:val="21"/>
          <w:szCs w:val="21"/>
        </w:rPr>
        <w:t>美国食品药品监督管理局</w:t>
      </w:r>
    </w:p>
    <w:p w14:paraId="770EED99">
      <w:pPr>
        <w:pStyle w:val="18"/>
        <w:jc w:val="center"/>
        <w:rPr>
          <w:rFonts w:eastAsia="宋体"/>
          <w:sz w:val="21"/>
          <w:szCs w:val="21"/>
        </w:rPr>
      </w:pPr>
      <w:r>
        <w:rPr>
          <w:rFonts w:eastAsia="宋体"/>
          <w:i/>
          <w:iCs/>
          <w:sz w:val="21"/>
          <w:szCs w:val="21"/>
        </w:rPr>
        <w:t>10001 New Hampshire Ave., Hillandale Bldg., 4th Floor</w:t>
      </w:r>
    </w:p>
    <w:p w14:paraId="12BDF6AE">
      <w:pPr>
        <w:pStyle w:val="18"/>
        <w:jc w:val="center"/>
        <w:rPr>
          <w:rFonts w:eastAsia="宋体"/>
          <w:sz w:val="21"/>
          <w:szCs w:val="21"/>
          <w:lang w:val="de-DE"/>
        </w:rPr>
      </w:pPr>
      <w:r>
        <w:rPr>
          <w:rFonts w:eastAsia="宋体"/>
          <w:i/>
          <w:iCs/>
          <w:sz w:val="21"/>
          <w:szCs w:val="21"/>
          <w:lang w:val="de-DE"/>
        </w:rPr>
        <w:t>Silver Spring, MD 20993-0002</w:t>
      </w:r>
    </w:p>
    <w:p w14:paraId="1CAD1A80">
      <w:pPr>
        <w:pStyle w:val="18"/>
        <w:jc w:val="center"/>
        <w:rPr>
          <w:rFonts w:eastAsia="宋体"/>
          <w:sz w:val="21"/>
          <w:szCs w:val="21"/>
          <w:lang w:val="de-DE"/>
        </w:rPr>
      </w:pPr>
      <w:r>
        <w:rPr>
          <w:rFonts w:eastAsia="宋体"/>
          <w:i/>
          <w:iCs/>
          <w:sz w:val="21"/>
          <w:szCs w:val="21"/>
        </w:rPr>
        <w:t>电话</w:t>
      </w:r>
      <w:r>
        <w:rPr>
          <w:rFonts w:eastAsia="宋体"/>
          <w:i/>
          <w:iCs/>
          <w:sz w:val="21"/>
          <w:szCs w:val="21"/>
          <w:lang w:val="de-DE"/>
        </w:rPr>
        <w:t>：855-543-3784</w:t>
      </w:r>
      <w:r>
        <w:rPr>
          <w:rFonts w:eastAsia="宋体"/>
          <w:i/>
          <w:iCs/>
          <w:sz w:val="21"/>
          <w:szCs w:val="21"/>
        </w:rPr>
        <w:t>或</w:t>
      </w:r>
      <w:r>
        <w:rPr>
          <w:rFonts w:eastAsia="宋体"/>
          <w:i/>
          <w:iCs/>
          <w:sz w:val="21"/>
          <w:szCs w:val="21"/>
          <w:lang w:val="de-DE"/>
        </w:rPr>
        <w:t>301-796-3400；</w:t>
      </w:r>
      <w:r>
        <w:rPr>
          <w:rFonts w:eastAsia="宋体"/>
          <w:i/>
          <w:iCs/>
          <w:sz w:val="21"/>
          <w:szCs w:val="21"/>
        </w:rPr>
        <w:t>传真</w:t>
      </w:r>
      <w:r>
        <w:rPr>
          <w:rFonts w:eastAsia="宋体"/>
          <w:i/>
          <w:iCs/>
          <w:sz w:val="21"/>
          <w:szCs w:val="21"/>
          <w:lang w:val="de-DE"/>
        </w:rPr>
        <w:t>：301-431-6353；</w:t>
      </w:r>
      <w:r>
        <w:rPr>
          <w:rFonts w:eastAsia="宋体"/>
          <w:i/>
          <w:iCs/>
          <w:sz w:val="21"/>
          <w:szCs w:val="21"/>
        </w:rPr>
        <w:t>电子邮箱</w:t>
      </w:r>
      <w:r>
        <w:rPr>
          <w:rFonts w:eastAsia="宋体"/>
          <w:i/>
          <w:iCs/>
          <w:sz w:val="21"/>
          <w:szCs w:val="21"/>
          <w:lang w:val="de-DE"/>
        </w:rPr>
        <w:t>：druginfo@fda.hhs.gov</w:t>
      </w:r>
    </w:p>
    <w:p w14:paraId="37DE5733">
      <w:pPr>
        <w:pStyle w:val="18"/>
        <w:jc w:val="center"/>
        <w:rPr>
          <w:rFonts w:eastAsia="宋体"/>
          <w:sz w:val="21"/>
          <w:szCs w:val="21"/>
          <w:lang w:val="de-DE"/>
        </w:rPr>
      </w:pPr>
      <w:r>
        <w:rPr>
          <w:rFonts w:eastAsia="宋体"/>
          <w:i/>
          <w:iCs/>
          <w:sz w:val="21"/>
          <w:szCs w:val="21"/>
          <w:lang w:val="de-DE"/>
        </w:rPr>
        <w:t>https://www.fda.gov/drugs/guidance-compliance-regulatory-information/guidances-drugs</w:t>
      </w:r>
    </w:p>
    <w:p w14:paraId="67C409EE">
      <w:pPr>
        <w:pStyle w:val="18"/>
        <w:jc w:val="center"/>
        <w:rPr>
          <w:rFonts w:eastAsia="宋体"/>
          <w:sz w:val="21"/>
          <w:szCs w:val="21"/>
        </w:rPr>
      </w:pPr>
      <w:r>
        <w:rPr>
          <w:rFonts w:eastAsia="宋体"/>
          <w:i/>
          <w:iCs/>
          <w:sz w:val="21"/>
          <w:szCs w:val="21"/>
        </w:rPr>
        <w:t>或</w:t>
      </w:r>
    </w:p>
    <w:p w14:paraId="66BDD776">
      <w:pPr>
        <w:pStyle w:val="18"/>
        <w:jc w:val="center"/>
        <w:rPr>
          <w:rFonts w:eastAsia="宋体"/>
          <w:sz w:val="21"/>
          <w:szCs w:val="21"/>
        </w:rPr>
      </w:pPr>
      <w:r>
        <w:rPr>
          <w:rFonts w:eastAsia="宋体"/>
          <w:i/>
          <w:iCs/>
          <w:sz w:val="21"/>
          <w:szCs w:val="21"/>
        </w:rPr>
        <w:t>对外信息、外联与发展办公室</w:t>
      </w:r>
    </w:p>
    <w:p w14:paraId="1BFFA834">
      <w:pPr>
        <w:pStyle w:val="18"/>
        <w:jc w:val="center"/>
        <w:rPr>
          <w:rFonts w:eastAsia="宋体"/>
          <w:sz w:val="21"/>
          <w:szCs w:val="21"/>
        </w:rPr>
      </w:pPr>
      <w:r>
        <w:rPr>
          <w:rFonts w:eastAsia="宋体"/>
          <w:i/>
          <w:iCs/>
          <w:sz w:val="21"/>
          <w:szCs w:val="21"/>
        </w:rPr>
        <w:t>生物制品评价和研究中心</w:t>
      </w:r>
    </w:p>
    <w:p w14:paraId="39E4A0AB">
      <w:pPr>
        <w:pStyle w:val="18"/>
        <w:jc w:val="center"/>
        <w:rPr>
          <w:rFonts w:eastAsia="宋体"/>
          <w:sz w:val="21"/>
          <w:szCs w:val="21"/>
        </w:rPr>
      </w:pPr>
      <w:r>
        <w:rPr>
          <w:rFonts w:eastAsia="宋体"/>
          <w:i/>
          <w:iCs/>
          <w:sz w:val="21"/>
          <w:szCs w:val="21"/>
        </w:rPr>
        <w:t>美国食品药品监督管理局</w:t>
      </w:r>
    </w:p>
    <w:p w14:paraId="12F4886E">
      <w:pPr>
        <w:pStyle w:val="18"/>
        <w:jc w:val="center"/>
        <w:rPr>
          <w:rFonts w:eastAsia="宋体"/>
          <w:sz w:val="21"/>
          <w:szCs w:val="21"/>
        </w:rPr>
      </w:pPr>
      <w:r>
        <w:rPr>
          <w:rFonts w:eastAsia="宋体"/>
          <w:i/>
          <w:iCs/>
          <w:sz w:val="21"/>
          <w:szCs w:val="21"/>
        </w:rPr>
        <w:t>10903 New Hampshire Ave., Bldg. 71, Room 3128</w:t>
      </w:r>
    </w:p>
    <w:p w14:paraId="4A22A24D">
      <w:pPr>
        <w:pStyle w:val="18"/>
        <w:jc w:val="center"/>
        <w:rPr>
          <w:rFonts w:eastAsia="宋体"/>
          <w:sz w:val="21"/>
          <w:szCs w:val="21"/>
          <w:lang w:val="de-DE"/>
        </w:rPr>
      </w:pPr>
      <w:r>
        <w:rPr>
          <w:rFonts w:eastAsia="宋体"/>
          <w:i/>
          <w:iCs/>
          <w:sz w:val="21"/>
          <w:szCs w:val="21"/>
          <w:lang w:val="de-DE"/>
        </w:rPr>
        <w:t>Silver Spring, MD 20993-0002</w:t>
      </w:r>
    </w:p>
    <w:p w14:paraId="2DB9429C">
      <w:pPr>
        <w:pStyle w:val="18"/>
        <w:jc w:val="center"/>
        <w:rPr>
          <w:rFonts w:eastAsia="宋体"/>
          <w:sz w:val="21"/>
          <w:szCs w:val="21"/>
          <w:lang w:val="de-DE"/>
        </w:rPr>
      </w:pPr>
      <w:r>
        <w:rPr>
          <w:rFonts w:eastAsia="宋体"/>
          <w:i/>
          <w:iCs/>
          <w:sz w:val="21"/>
          <w:szCs w:val="21"/>
        </w:rPr>
        <w:t>电话</w:t>
      </w:r>
      <w:r>
        <w:rPr>
          <w:rFonts w:eastAsia="宋体"/>
          <w:i/>
          <w:iCs/>
          <w:sz w:val="21"/>
          <w:szCs w:val="21"/>
          <w:lang w:val="de-DE"/>
        </w:rPr>
        <w:t>：800-835-4709</w:t>
      </w:r>
      <w:r>
        <w:rPr>
          <w:rFonts w:eastAsia="宋体"/>
          <w:i/>
          <w:iCs/>
          <w:sz w:val="21"/>
          <w:szCs w:val="21"/>
        </w:rPr>
        <w:t>或</w:t>
      </w:r>
      <w:r>
        <w:rPr>
          <w:rFonts w:eastAsia="宋体"/>
          <w:i/>
          <w:iCs/>
          <w:sz w:val="21"/>
          <w:szCs w:val="21"/>
          <w:lang w:val="de-DE"/>
        </w:rPr>
        <w:t>240-402-8010；</w:t>
      </w:r>
      <w:r>
        <w:rPr>
          <w:rFonts w:eastAsia="宋体"/>
          <w:i/>
          <w:iCs/>
          <w:sz w:val="21"/>
          <w:szCs w:val="21"/>
        </w:rPr>
        <w:t>邮箱</w:t>
      </w:r>
      <w:r>
        <w:rPr>
          <w:rFonts w:eastAsia="宋体"/>
          <w:i/>
          <w:iCs/>
          <w:sz w:val="21"/>
          <w:szCs w:val="21"/>
          <w:lang w:val="de-DE"/>
        </w:rPr>
        <w:t>：ocod@fda.hhs.gov</w:t>
      </w:r>
    </w:p>
    <w:p w14:paraId="373D1DF5">
      <w:pPr>
        <w:pStyle w:val="18"/>
        <w:jc w:val="center"/>
        <w:rPr>
          <w:rFonts w:eastAsia="宋体"/>
          <w:sz w:val="21"/>
          <w:szCs w:val="21"/>
          <w:lang w:val="de-DE"/>
        </w:rPr>
      </w:pPr>
      <w:r>
        <w:rPr>
          <w:rFonts w:eastAsia="宋体"/>
          <w:i/>
          <w:iCs/>
          <w:sz w:val="21"/>
          <w:szCs w:val="21"/>
          <w:lang w:val="de-DE"/>
        </w:rPr>
        <w:t>https://www.fda.gov/vaccines-blood-biologics/guidance-compliance-regulatory-information-biologics/biologics-guidances</w:t>
      </w:r>
    </w:p>
    <w:p w14:paraId="3EB31E30">
      <w:pPr>
        <w:pStyle w:val="18"/>
        <w:jc w:val="center"/>
        <w:rPr>
          <w:rFonts w:eastAsia="宋体"/>
          <w:sz w:val="21"/>
          <w:szCs w:val="21"/>
        </w:rPr>
      </w:pPr>
      <w:r>
        <w:rPr>
          <w:rFonts w:eastAsia="宋体"/>
          <w:i/>
          <w:iCs/>
          <w:sz w:val="21"/>
          <w:szCs w:val="21"/>
        </w:rPr>
        <w:t>或</w:t>
      </w:r>
    </w:p>
    <w:p w14:paraId="7899FDA3">
      <w:pPr>
        <w:pStyle w:val="18"/>
        <w:jc w:val="center"/>
        <w:rPr>
          <w:rFonts w:eastAsia="宋体"/>
          <w:sz w:val="21"/>
          <w:szCs w:val="21"/>
        </w:rPr>
      </w:pPr>
      <w:r>
        <w:rPr>
          <w:rFonts w:eastAsia="宋体"/>
          <w:i/>
          <w:iCs/>
          <w:sz w:val="21"/>
          <w:szCs w:val="21"/>
        </w:rPr>
        <w:t>政策办公室</w:t>
      </w:r>
    </w:p>
    <w:p w14:paraId="46A44D20">
      <w:pPr>
        <w:pStyle w:val="18"/>
        <w:jc w:val="center"/>
        <w:rPr>
          <w:rFonts w:eastAsia="宋体"/>
          <w:sz w:val="21"/>
          <w:szCs w:val="21"/>
        </w:rPr>
      </w:pPr>
      <w:r>
        <w:rPr>
          <w:rFonts w:eastAsia="宋体"/>
          <w:i/>
          <w:iCs/>
          <w:sz w:val="21"/>
          <w:szCs w:val="21"/>
        </w:rPr>
        <w:t>医疗器械</w:t>
      </w:r>
      <w:del w:id="18" w:author="Aimee W" w:date="2022-08-08T20:08:00Z">
        <w:r>
          <w:rPr>
            <w:rFonts w:hint="eastAsia" w:eastAsia="宋体"/>
            <w:i/>
            <w:iCs/>
            <w:sz w:val="21"/>
            <w:szCs w:val="21"/>
          </w:rPr>
          <w:delText>与</w:delText>
        </w:r>
      </w:del>
      <w:ins w:id="19" w:author="Aimee W" w:date="2022-08-08T20:08:00Z">
        <w:r>
          <w:rPr>
            <w:rFonts w:hint="eastAsia" w:eastAsia="宋体"/>
            <w:i/>
            <w:iCs/>
            <w:sz w:val="21"/>
            <w:szCs w:val="21"/>
          </w:rPr>
          <w:t>和</w:t>
        </w:r>
      </w:ins>
      <w:r>
        <w:rPr>
          <w:rFonts w:eastAsia="宋体"/>
          <w:i/>
          <w:iCs/>
          <w:sz w:val="21"/>
          <w:szCs w:val="21"/>
        </w:rPr>
        <w:t>放射健康中心</w:t>
      </w:r>
    </w:p>
    <w:p w14:paraId="282FA8A8">
      <w:pPr>
        <w:pStyle w:val="18"/>
        <w:jc w:val="center"/>
        <w:rPr>
          <w:rFonts w:eastAsia="宋体"/>
          <w:sz w:val="21"/>
          <w:szCs w:val="21"/>
        </w:rPr>
      </w:pPr>
      <w:r>
        <w:rPr>
          <w:rFonts w:eastAsia="宋体"/>
          <w:i/>
          <w:iCs/>
          <w:sz w:val="21"/>
          <w:szCs w:val="21"/>
        </w:rPr>
        <w:t>美国食品药品监督管理局</w:t>
      </w:r>
    </w:p>
    <w:p w14:paraId="4765FB50">
      <w:pPr>
        <w:pStyle w:val="18"/>
        <w:jc w:val="center"/>
        <w:rPr>
          <w:rFonts w:eastAsia="宋体"/>
          <w:sz w:val="21"/>
          <w:szCs w:val="21"/>
        </w:rPr>
      </w:pPr>
      <w:r>
        <w:rPr>
          <w:rFonts w:eastAsia="宋体"/>
          <w:i/>
          <w:iCs/>
          <w:sz w:val="21"/>
          <w:szCs w:val="21"/>
        </w:rPr>
        <w:t>10903 New Hampshire Ave., Bldg. 66, Room 5431</w:t>
      </w:r>
    </w:p>
    <w:p w14:paraId="2E671470">
      <w:pPr>
        <w:pStyle w:val="18"/>
        <w:jc w:val="center"/>
        <w:rPr>
          <w:rFonts w:eastAsia="宋体"/>
          <w:sz w:val="21"/>
          <w:szCs w:val="21"/>
          <w:lang w:val="de-DE"/>
        </w:rPr>
      </w:pPr>
      <w:r>
        <w:rPr>
          <w:rFonts w:eastAsia="宋体"/>
          <w:i/>
          <w:iCs/>
          <w:sz w:val="21"/>
          <w:szCs w:val="21"/>
          <w:lang w:val="de-DE"/>
        </w:rPr>
        <w:t>Silver Spring, MD 20993-0002</w:t>
      </w:r>
    </w:p>
    <w:p w14:paraId="4387E780">
      <w:pPr>
        <w:pStyle w:val="18"/>
        <w:jc w:val="center"/>
        <w:rPr>
          <w:rFonts w:eastAsia="宋体"/>
          <w:sz w:val="21"/>
          <w:szCs w:val="21"/>
          <w:lang w:val="de-DE"/>
        </w:rPr>
      </w:pPr>
      <w:r>
        <w:rPr>
          <w:rFonts w:eastAsia="宋体"/>
          <w:i/>
          <w:iCs/>
          <w:sz w:val="21"/>
          <w:szCs w:val="21"/>
        </w:rPr>
        <w:t>电子邮箱</w:t>
      </w:r>
      <w:r>
        <w:rPr>
          <w:rFonts w:eastAsia="宋体"/>
          <w:i/>
          <w:iCs/>
          <w:sz w:val="21"/>
          <w:szCs w:val="21"/>
          <w:lang w:val="de-DE"/>
        </w:rPr>
        <w:t>：CDRH-Guidance@fda.hhs.gov</w:t>
      </w:r>
    </w:p>
    <w:p w14:paraId="4FC8F908">
      <w:pPr>
        <w:pStyle w:val="18"/>
        <w:jc w:val="center"/>
        <w:rPr>
          <w:rFonts w:eastAsia="宋体"/>
          <w:sz w:val="21"/>
          <w:szCs w:val="21"/>
          <w:lang w:val="de-DE"/>
        </w:rPr>
      </w:pPr>
      <w:r>
        <w:rPr>
          <w:rFonts w:eastAsia="宋体"/>
          <w:i/>
          <w:iCs/>
          <w:sz w:val="21"/>
          <w:szCs w:val="21"/>
          <w:lang w:val="de-DE"/>
        </w:rPr>
        <w:t>https://www.fda.gov/medical-devices/device-advice-comprehensive-regulatory-assistance/guidance-documents-medical-devices-and-radiation-emitting-products</w:t>
      </w:r>
    </w:p>
    <w:p w14:paraId="6C069872">
      <w:pPr>
        <w:pStyle w:val="18"/>
        <w:jc w:val="center"/>
        <w:rPr>
          <w:rFonts w:eastAsia="宋体"/>
          <w:b/>
          <w:bCs/>
          <w:sz w:val="21"/>
          <w:szCs w:val="21"/>
          <w:lang w:val="de-DE"/>
        </w:rPr>
      </w:pPr>
    </w:p>
    <w:p w14:paraId="541346DF">
      <w:pPr>
        <w:pStyle w:val="18"/>
        <w:jc w:val="center"/>
        <w:rPr>
          <w:rFonts w:eastAsia="宋体"/>
          <w:sz w:val="21"/>
          <w:szCs w:val="21"/>
        </w:rPr>
      </w:pPr>
      <w:r>
        <w:rPr>
          <w:rFonts w:eastAsia="宋体"/>
          <w:b/>
          <w:bCs/>
          <w:sz w:val="21"/>
          <w:szCs w:val="21"/>
        </w:rPr>
        <w:t>美国卫生</w:t>
      </w:r>
      <w:del w:id="20" w:author="Aimee W" w:date="2022-08-08T13:07:00Z">
        <w:r>
          <w:rPr>
            <w:rFonts w:eastAsia="宋体"/>
            <w:b/>
            <w:bCs/>
            <w:sz w:val="21"/>
            <w:szCs w:val="21"/>
          </w:rPr>
          <w:delText>和</w:delText>
        </w:r>
      </w:del>
      <w:ins w:id="21" w:author="Aimee W" w:date="2022-08-08T13:07:00Z">
        <w:r>
          <w:rPr>
            <w:rFonts w:hint="eastAsia" w:eastAsia="宋体"/>
            <w:b/>
            <w:bCs/>
            <w:sz w:val="21"/>
            <w:szCs w:val="21"/>
          </w:rPr>
          <w:t>与</w:t>
        </w:r>
      </w:ins>
      <w:r>
        <w:rPr>
          <w:rFonts w:eastAsia="宋体"/>
          <w:b/>
          <w:bCs/>
          <w:sz w:val="21"/>
          <w:szCs w:val="21"/>
        </w:rPr>
        <w:t>公众服务部</w:t>
      </w:r>
    </w:p>
    <w:p w14:paraId="0292C3CA">
      <w:pPr>
        <w:pStyle w:val="18"/>
        <w:jc w:val="center"/>
        <w:rPr>
          <w:rFonts w:eastAsia="宋体"/>
          <w:sz w:val="21"/>
          <w:szCs w:val="21"/>
        </w:rPr>
      </w:pPr>
      <w:r>
        <w:rPr>
          <w:rFonts w:eastAsia="宋体"/>
          <w:b/>
          <w:bCs/>
          <w:sz w:val="21"/>
          <w:szCs w:val="21"/>
        </w:rPr>
        <w:t>美国食品药品监督管理局</w:t>
      </w:r>
    </w:p>
    <w:p w14:paraId="536DC9A3">
      <w:pPr>
        <w:pStyle w:val="18"/>
        <w:jc w:val="center"/>
        <w:rPr>
          <w:rFonts w:eastAsia="宋体"/>
          <w:sz w:val="21"/>
          <w:szCs w:val="21"/>
        </w:rPr>
      </w:pPr>
      <w:r>
        <w:rPr>
          <w:rFonts w:eastAsia="宋体"/>
          <w:b/>
          <w:bCs/>
          <w:sz w:val="21"/>
          <w:szCs w:val="21"/>
        </w:rPr>
        <w:t>药品审评和研究中心（CEDR）</w:t>
      </w:r>
    </w:p>
    <w:p w14:paraId="35DD6755">
      <w:pPr>
        <w:pStyle w:val="18"/>
        <w:jc w:val="center"/>
        <w:rPr>
          <w:rFonts w:eastAsia="宋体"/>
          <w:sz w:val="21"/>
          <w:szCs w:val="21"/>
        </w:rPr>
      </w:pPr>
      <w:r>
        <w:rPr>
          <w:rFonts w:eastAsia="宋体"/>
          <w:b/>
          <w:bCs/>
          <w:sz w:val="21"/>
          <w:szCs w:val="21"/>
        </w:rPr>
        <w:t>生物制品</w:t>
      </w:r>
      <w:del w:id="22" w:author="Aimee W" w:date="2022-08-08T13:16:00Z">
        <w:r>
          <w:rPr>
            <w:rFonts w:hint="eastAsia" w:eastAsia="宋体"/>
            <w:b/>
            <w:bCs/>
            <w:sz w:val="21"/>
            <w:szCs w:val="21"/>
          </w:rPr>
          <w:delText>评审</w:delText>
        </w:r>
      </w:del>
      <w:ins w:id="23" w:author="Aimee W" w:date="2022-08-08T13:16:00Z">
        <w:r>
          <w:rPr>
            <w:rFonts w:hint="eastAsia" w:eastAsia="宋体"/>
            <w:b/>
            <w:bCs/>
            <w:sz w:val="21"/>
            <w:szCs w:val="21"/>
          </w:rPr>
          <w:t>评价</w:t>
        </w:r>
      </w:ins>
      <w:r>
        <w:rPr>
          <w:rFonts w:eastAsia="宋体"/>
          <w:b/>
          <w:bCs/>
          <w:sz w:val="21"/>
          <w:szCs w:val="21"/>
        </w:rPr>
        <w:t>和研究中心（CBER）</w:t>
      </w:r>
    </w:p>
    <w:p w14:paraId="09D1EEB1">
      <w:pPr>
        <w:pStyle w:val="18"/>
        <w:jc w:val="center"/>
        <w:rPr>
          <w:rFonts w:eastAsia="宋体"/>
          <w:sz w:val="21"/>
          <w:szCs w:val="21"/>
        </w:rPr>
      </w:pPr>
      <w:r>
        <w:rPr>
          <w:rFonts w:eastAsia="宋体"/>
          <w:b/>
          <w:bCs/>
          <w:sz w:val="21"/>
          <w:szCs w:val="21"/>
        </w:rPr>
        <w:t>医疗器械与放射健康中心（CDRH）</w:t>
      </w:r>
    </w:p>
    <w:p w14:paraId="55BEA25D">
      <w:pPr>
        <w:pStyle w:val="18"/>
        <w:jc w:val="center"/>
        <w:rPr>
          <w:rFonts w:eastAsia="宋体"/>
          <w:b/>
          <w:bCs/>
          <w:sz w:val="21"/>
          <w:szCs w:val="21"/>
        </w:rPr>
      </w:pPr>
    </w:p>
    <w:p w14:paraId="0D67AE1E">
      <w:pPr>
        <w:pStyle w:val="18"/>
        <w:jc w:val="center"/>
        <w:rPr>
          <w:rFonts w:eastAsia="宋体"/>
          <w:sz w:val="21"/>
          <w:szCs w:val="21"/>
        </w:rPr>
      </w:pPr>
      <w:r>
        <w:rPr>
          <w:rFonts w:eastAsia="宋体"/>
          <w:b/>
          <w:bCs/>
          <w:sz w:val="21"/>
          <w:szCs w:val="21"/>
        </w:rPr>
        <w:t>2019年12月</w:t>
      </w:r>
    </w:p>
    <w:p w14:paraId="5D8F70B1">
      <w:pPr>
        <w:shd w:val="clear" w:color="auto" w:fill="FFFFFF"/>
        <w:snapToGrid w:val="0"/>
        <w:jc w:val="center"/>
        <w:rPr>
          <w:rFonts w:eastAsia="宋体"/>
          <w:b/>
          <w:bCs/>
          <w:sz w:val="21"/>
          <w:szCs w:val="21"/>
        </w:rPr>
      </w:pPr>
      <w:r>
        <w:rPr>
          <w:rFonts w:eastAsia="宋体"/>
          <w:b/>
          <w:bCs/>
          <w:sz w:val="21"/>
          <w:szCs w:val="21"/>
        </w:rPr>
        <w:t>组合产品</w:t>
      </w:r>
    </w:p>
    <w:p w14:paraId="62E30E31">
      <w:pPr>
        <w:shd w:val="clear" w:color="auto" w:fill="FFFFFF"/>
        <w:snapToGrid w:val="0"/>
        <w:jc w:val="both"/>
        <w:rPr>
          <w:rFonts w:eastAsia="宋体"/>
          <w:sz w:val="21"/>
          <w:szCs w:val="21"/>
        </w:rPr>
      </w:pPr>
    </w:p>
    <w:p w14:paraId="3BA44A1D">
      <w:pPr>
        <w:shd w:val="clear" w:color="auto" w:fill="FFFFFF"/>
        <w:snapToGrid w:val="0"/>
        <w:jc w:val="both"/>
        <w:rPr>
          <w:rFonts w:eastAsia="宋体"/>
          <w:sz w:val="21"/>
          <w:szCs w:val="21"/>
        </w:rPr>
        <w:sectPr>
          <w:footerReference r:id="rId7" w:type="default"/>
          <w:pgSz w:w="11906" w:h="16838"/>
          <w:pgMar w:top="1134" w:right="1417" w:bottom="1134" w:left="1417" w:header="850" w:footer="720" w:gutter="0"/>
          <w:cols w:space="60" w:num="1"/>
          <w:docGrid w:linePitch="272" w:charSpace="0"/>
        </w:sectPr>
      </w:pPr>
    </w:p>
    <w:p w14:paraId="28BC0BFC">
      <w:pPr>
        <w:shd w:val="clear" w:color="auto" w:fill="FFFFFF"/>
        <w:snapToGrid w:val="0"/>
        <w:jc w:val="center"/>
        <w:rPr>
          <w:rFonts w:eastAsia="宋体"/>
          <w:sz w:val="21"/>
          <w:szCs w:val="21"/>
        </w:rPr>
      </w:pPr>
      <w:r>
        <w:rPr>
          <w:rFonts w:eastAsia="宋体"/>
          <w:b/>
          <w:bCs/>
          <w:color w:val="000000"/>
          <w:sz w:val="21"/>
          <w:szCs w:val="21"/>
        </w:rPr>
        <w:t>目录</w:t>
      </w:r>
    </w:p>
    <w:p w14:paraId="51248708">
      <w:pPr>
        <w:shd w:val="clear" w:color="auto" w:fill="FFFFFF"/>
        <w:snapToGrid w:val="0"/>
        <w:jc w:val="both"/>
        <w:rPr>
          <w:rFonts w:eastAsia="宋体"/>
          <w:sz w:val="21"/>
          <w:szCs w:val="21"/>
        </w:rPr>
      </w:pPr>
    </w:p>
    <w:p w14:paraId="015D1880">
      <w:pPr>
        <w:pStyle w:val="8"/>
        <w:spacing w:before="72" w:after="72"/>
        <w:rPr>
          <w:rFonts w:asciiTheme="minorHAnsi" w:hAnsiTheme="minorHAnsi" w:eastAsiaTheme="minorEastAsia" w:cstheme="minorBidi"/>
          <w:b w:val="0"/>
          <w:kern w:val="2"/>
          <w:szCs w:val="22"/>
        </w:rPr>
      </w:pPr>
      <w:r>
        <w:rPr>
          <w:bCs/>
          <w:szCs w:val="21"/>
        </w:rPr>
        <w:fldChar w:fldCharType="begin"/>
      </w:r>
      <w:r>
        <w:rPr>
          <w:bCs/>
          <w:szCs w:val="21"/>
        </w:rPr>
        <w:instrText xml:space="preserve"> </w:instrText>
      </w:r>
      <w:r>
        <w:rPr>
          <w:szCs w:val="21"/>
        </w:rPr>
        <w:instrText xml:space="preserve">TOC \o "1-2" \h \z \u </w:instrText>
      </w:r>
      <w:r>
        <w:rPr>
          <w:szCs w:val="21"/>
        </w:rPr>
        <w:fldChar w:fldCharType="separate"/>
      </w:r>
      <w:r>
        <w:fldChar w:fldCharType="begin"/>
      </w:r>
      <w:r>
        <w:instrText xml:space="preserve"> HYPERLINK \l "_Toc97477951" </w:instrText>
      </w:r>
      <w:r>
        <w:fldChar w:fldCharType="separate"/>
      </w:r>
      <w:r>
        <w:rPr>
          <w:rStyle w:val="15"/>
        </w:rPr>
        <w:t>I.</w:t>
      </w:r>
      <w:r>
        <w:rPr>
          <w:rFonts w:asciiTheme="minorHAnsi" w:hAnsiTheme="minorHAnsi" w:eastAsiaTheme="minorEastAsia" w:cstheme="minorBidi"/>
          <w:b w:val="0"/>
          <w:kern w:val="2"/>
          <w:szCs w:val="22"/>
        </w:rPr>
        <w:tab/>
      </w:r>
      <w:ins w:id="24" w:author="Z" w:date="2022-04-04T17:18:00Z">
        <w:r>
          <w:rPr>
            <w:rStyle w:val="15"/>
            <w:rFonts w:hint="eastAsia"/>
          </w:rPr>
          <w:t>前</w:t>
        </w:r>
      </w:ins>
      <w:del w:id="25" w:author="Z" w:date="2022-04-04T17:18:00Z">
        <w:r>
          <w:rPr>
            <w:rStyle w:val="15"/>
            <w:rFonts w:hint="eastAsia"/>
          </w:rPr>
          <w:delText>引</w:delText>
        </w:r>
      </w:del>
      <w:r>
        <w:rPr>
          <w:rStyle w:val="15"/>
          <w:rFonts w:hint="eastAsia"/>
        </w:rPr>
        <w:t>言</w:t>
      </w:r>
      <w:r>
        <w:tab/>
      </w:r>
      <w:r>
        <w:fldChar w:fldCharType="begin"/>
      </w:r>
      <w:r>
        <w:instrText xml:space="preserve"> PAGEREF _Toc97477951 \h </w:instrText>
      </w:r>
      <w:r>
        <w:fldChar w:fldCharType="separate"/>
      </w:r>
      <w:r>
        <w:t>1</w:t>
      </w:r>
      <w:r>
        <w:fldChar w:fldCharType="end"/>
      </w:r>
      <w:r>
        <w:fldChar w:fldCharType="end"/>
      </w:r>
    </w:p>
    <w:p w14:paraId="6B818AC3">
      <w:pPr>
        <w:pStyle w:val="8"/>
        <w:spacing w:before="72" w:after="72"/>
        <w:rPr>
          <w:rFonts w:asciiTheme="minorHAnsi" w:hAnsiTheme="minorHAnsi" w:eastAsiaTheme="minorEastAsia" w:cstheme="minorBidi"/>
          <w:b w:val="0"/>
          <w:kern w:val="2"/>
          <w:szCs w:val="22"/>
        </w:rPr>
      </w:pPr>
      <w:r>
        <w:fldChar w:fldCharType="begin"/>
      </w:r>
      <w:r>
        <w:instrText xml:space="preserve"> HYPERLINK \l "_Toc97477952" </w:instrText>
      </w:r>
      <w:r>
        <w:fldChar w:fldCharType="separate"/>
      </w:r>
      <w:r>
        <w:rPr>
          <w:rStyle w:val="15"/>
        </w:rPr>
        <w:t>II.</w:t>
      </w:r>
      <w:r>
        <w:rPr>
          <w:rFonts w:asciiTheme="minorHAnsi" w:hAnsiTheme="minorHAnsi" w:eastAsiaTheme="minorEastAsia" w:cstheme="minorBidi"/>
          <w:b w:val="0"/>
          <w:kern w:val="2"/>
          <w:szCs w:val="22"/>
        </w:rPr>
        <w:tab/>
      </w:r>
      <w:r>
        <w:rPr>
          <w:rStyle w:val="15"/>
          <w:rFonts w:hint="eastAsia"/>
        </w:rPr>
        <w:t>背景</w:t>
      </w:r>
      <w:r>
        <w:tab/>
      </w:r>
      <w:r>
        <w:fldChar w:fldCharType="begin"/>
      </w:r>
      <w:r>
        <w:instrText xml:space="preserve"> PAGEREF _Toc97477952 \h </w:instrText>
      </w:r>
      <w:r>
        <w:fldChar w:fldCharType="separate"/>
      </w:r>
      <w:r>
        <w:t>3</w:t>
      </w:r>
      <w:r>
        <w:fldChar w:fldCharType="end"/>
      </w:r>
      <w:r>
        <w:fldChar w:fldCharType="end"/>
      </w:r>
    </w:p>
    <w:p w14:paraId="63B557BF">
      <w:pPr>
        <w:pStyle w:val="8"/>
        <w:spacing w:before="72" w:after="72"/>
        <w:rPr>
          <w:rFonts w:asciiTheme="minorHAnsi" w:hAnsiTheme="minorHAnsi" w:eastAsiaTheme="minorEastAsia" w:cstheme="minorBidi"/>
          <w:b w:val="0"/>
          <w:kern w:val="2"/>
          <w:szCs w:val="22"/>
        </w:rPr>
      </w:pPr>
      <w:r>
        <w:fldChar w:fldCharType="begin"/>
      </w:r>
      <w:r>
        <w:instrText xml:space="preserve"> HYPERLINK \l "_Toc97477953" </w:instrText>
      </w:r>
      <w:r>
        <w:fldChar w:fldCharType="separate"/>
      </w:r>
      <w:r>
        <w:rPr>
          <w:rStyle w:val="15"/>
        </w:rPr>
        <w:t>III.</w:t>
      </w:r>
      <w:r>
        <w:rPr>
          <w:rFonts w:asciiTheme="minorHAnsi" w:hAnsiTheme="minorHAnsi" w:eastAsiaTheme="minorEastAsia" w:cstheme="minorBidi"/>
          <w:b w:val="0"/>
          <w:kern w:val="2"/>
          <w:szCs w:val="22"/>
        </w:rPr>
        <w:tab/>
      </w:r>
      <w:r>
        <w:rPr>
          <w:rStyle w:val="15"/>
          <w:rFonts w:hint="eastAsia"/>
        </w:rPr>
        <w:t>制定一个分析框架，以确定信息差距，从而为桥接和利用方法提供信息。</w:t>
      </w:r>
      <w:r>
        <w:tab/>
      </w:r>
      <w:r>
        <w:fldChar w:fldCharType="begin"/>
      </w:r>
      <w:r>
        <w:instrText xml:space="preserve"> PAGEREF _Toc97477953 \h </w:instrText>
      </w:r>
      <w:r>
        <w:fldChar w:fldCharType="separate"/>
      </w:r>
      <w:r>
        <w:t>4</w:t>
      </w:r>
      <w:r>
        <w:fldChar w:fldCharType="end"/>
      </w:r>
      <w:r>
        <w:fldChar w:fldCharType="end"/>
      </w:r>
    </w:p>
    <w:p w14:paraId="3EF417F9">
      <w:pPr>
        <w:pStyle w:val="8"/>
        <w:spacing w:before="72" w:after="72"/>
        <w:rPr>
          <w:rFonts w:asciiTheme="minorHAnsi" w:hAnsiTheme="minorHAnsi" w:eastAsiaTheme="minorEastAsia" w:cstheme="minorBidi"/>
          <w:b w:val="0"/>
          <w:kern w:val="2"/>
          <w:szCs w:val="22"/>
        </w:rPr>
      </w:pPr>
      <w:r>
        <w:fldChar w:fldCharType="begin"/>
      </w:r>
      <w:r>
        <w:instrText xml:space="preserve"> HYPERLINK \l "_Toc97477954" </w:instrText>
      </w:r>
      <w:r>
        <w:fldChar w:fldCharType="separate"/>
      </w:r>
      <w:r>
        <w:rPr>
          <w:rStyle w:val="15"/>
        </w:rPr>
        <w:t>IV.</w:t>
      </w:r>
      <w:r>
        <w:rPr>
          <w:rFonts w:asciiTheme="minorHAnsi" w:hAnsiTheme="minorHAnsi" w:eastAsiaTheme="minorEastAsia" w:cstheme="minorBidi"/>
          <w:b w:val="0"/>
          <w:kern w:val="2"/>
          <w:szCs w:val="22"/>
        </w:rPr>
        <w:tab/>
      </w:r>
      <w:r>
        <w:rPr>
          <w:rStyle w:val="15"/>
          <w:rFonts w:hint="eastAsia"/>
        </w:rPr>
        <w:t>衔接和利用的示例</w:t>
      </w:r>
      <w:r>
        <w:tab/>
      </w:r>
      <w:r>
        <w:fldChar w:fldCharType="begin"/>
      </w:r>
      <w:r>
        <w:instrText xml:space="preserve"> PAGEREF _Toc97477954 \h </w:instrText>
      </w:r>
      <w:r>
        <w:fldChar w:fldCharType="separate"/>
      </w:r>
      <w:r>
        <w:t>6</w:t>
      </w:r>
      <w:r>
        <w:fldChar w:fldCharType="end"/>
      </w:r>
      <w:r>
        <w:fldChar w:fldCharType="end"/>
      </w:r>
    </w:p>
    <w:p w14:paraId="35488047">
      <w:pPr>
        <w:pStyle w:val="10"/>
        <w:spacing w:before="72" w:after="72"/>
        <w:rPr>
          <w:rFonts w:asciiTheme="minorHAnsi" w:hAnsiTheme="minorHAnsi" w:eastAsiaTheme="minorEastAsia" w:cstheme="minorBidi"/>
          <w:b w:val="0"/>
          <w:kern w:val="2"/>
          <w:szCs w:val="22"/>
        </w:rPr>
      </w:pPr>
      <w:r>
        <w:fldChar w:fldCharType="begin"/>
      </w:r>
      <w:r>
        <w:instrText xml:space="preserve"> HYPERLINK \l "_Toc97477955" </w:instrText>
      </w:r>
      <w:r>
        <w:fldChar w:fldCharType="separate"/>
      </w:r>
      <w:r>
        <w:rPr>
          <w:rStyle w:val="15"/>
        </w:rPr>
        <w:t>A.</w:t>
      </w:r>
      <w:r>
        <w:rPr>
          <w:rFonts w:asciiTheme="minorHAnsi" w:hAnsiTheme="minorHAnsi" w:eastAsiaTheme="minorEastAsia" w:cstheme="minorBidi"/>
          <w:b w:val="0"/>
          <w:kern w:val="2"/>
          <w:szCs w:val="22"/>
        </w:rPr>
        <w:tab/>
      </w:r>
      <w:r>
        <w:rPr>
          <w:rStyle w:val="15"/>
          <w:rFonts w:hint="eastAsia"/>
        </w:rPr>
        <w:t>从预装注射器中开发的药物到自动注射器中开发的药物的IND内衔接</w:t>
      </w:r>
      <w:r>
        <w:tab/>
      </w:r>
      <w:r>
        <w:fldChar w:fldCharType="begin"/>
      </w:r>
      <w:r>
        <w:instrText xml:space="preserve"> PAGEREF _Toc97477955 \h </w:instrText>
      </w:r>
      <w:r>
        <w:fldChar w:fldCharType="separate"/>
      </w:r>
      <w:r>
        <w:t>7</w:t>
      </w:r>
      <w:r>
        <w:fldChar w:fldCharType="end"/>
      </w:r>
      <w:r>
        <w:fldChar w:fldCharType="end"/>
      </w:r>
    </w:p>
    <w:p w14:paraId="396DEEF2">
      <w:pPr>
        <w:pStyle w:val="10"/>
        <w:spacing w:before="72" w:after="72"/>
        <w:rPr>
          <w:rFonts w:asciiTheme="minorHAnsi" w:hAnsiTheme="minorHAnsi" w:eastAsiaTheme="minorEastAsia" w:cstheme="minorBidi"/>
          <w:b w:val="0"/>
          <w:kern w:val="2"/>
          <w:szCs w:val="22"/>
        </w:rPr>
      </w:pPr>
      <w:r>
        <w:fldChar w:fldCharType="begin"/>
      </w:r>
      <w:r>
        <w:instrText xml:space="preserve"> HYPERLINK \l "_Toc97477956" </w:instrText>
      </w:r>
      <w:r>
        <w:fldChar w:fldCharType="separate"/>
      </w:r>
      <w:r>
        <w:rPr>
          <w:rStyle w:val="15"/>
        </w:rPr>
        <w:t>B.</w:t>
      </w:r>
      <w:r>
        <w:rPr>
          <w:rFonts w:asciiTheme="minorHAnsi" w:hAnsiTheme="minorHAnsi" w:eastAsiaTheme="minorEastAsia" w:cstheme="minorBidi"/>
          <w:b w:val="0"/>
          <w:kern w:val="2"/>
          <w:szCs w:val="22"/>
        </w:rPr>
        <w:tab/>
      </w:r>
      <w:r>
        <w:rPr>
          <w:rStyle w:val="15"/>
          <w:rFonts w:hint="eastAsia"/>
        </w:rPr>
        <w:t>从一种自动注射器（原型</w:t>
      </w:r>
      <w:r>
        <w:rPr>
          <w:rStyle w:val="15"/>
        </w:rPr>
        <w:t>1</w:t>
      </w:r>
      <w:r>
        <w:rPr>
          <w:rStyle w:val="15"/>
          <w:rFonts w:hint="eastAsia"/>
        </w:rPr>
        <w:t>）过渡到同一药物的另一种自动注射器（原型</w:t>
      </w:r>
      <w:r>
        <w:rPr>
          <w:rStyle w:val="15"/>
        </w:rPr>
        <w:t>2</w:t>
      </w:r>
      <w:r>
        <w:rPr>
          <w:rStyle w:val="15"/>
          <w:rFonts w:hint="eastAsia"/>
        </w:rPr>
        <w:t>）；在</w:t>
      </w:r>
      <w:r>
        <w:rPr>
          <w:rStyle w:val="15"/>
        </w:rPr>
        <w:t>III</w:t>
      </w:r>
      <w:r>
        <w:rPr>
          <w:rStyle w:val="15"/>
          <w:rFonts w:hint="eastAsia"/>
        </w:rPr>
        <w:t>期研究完成后但在提交</w:t>
      </w:r>
      <w:r>
        <w:rPr>
          <w:rStyle w:val="15"/>
        </w:rPr>
        <w:t>NDA</w:t>
      </w:r>
      <w:r>
        <w:rPr>
          <w:rStyle w:val="15"/>
          <w:rFonts w:hint="eastAsia"/>
        </w:rPr>
        <w:t>之前</w:t>
      </w:r>
      <w:r>
        <w:tab/>
      </w:r>
      <w:r>
        <w:fldChar w:fldCharType="begin"/>
      </w:r>
      <w:r>
        <w:instrText xml:space="preserve"> PAGEREF _Toc97477956 \h </w:instrText>
      </w:r>
      <w:r>
        <w:fldChar w:fldCharType="separate"/>
      </w:r>
      <w:r>
        <w:t>11</w:t>
      </w:r>
      <w:r>
        <w:fldChar w:fldCharType="end"/>
      </w:r>
      <w:r>
        <w:fldChar w:fldCharType="end"/>
      </w:r>
    </w:p>
    <w:p w14:paraId="49749ADF">
      <w:pPr>
        <w:pStyle w:val="10"/>
        <w:spacing w:before="72" w:after="72"/>
        <w:rPr>
          <w:rFonts w:asciiTheme="minorHAnsi" w:hAnsiTheme="minorHAnsi" w:eastAsiaTheme="minorEastAsia" w:cstheme="minorBidi"/>
          <w:b w:val="0"/>
          <w:kern w:val="2"/>
          <w:szCs w:val="22"/>
        </w:rPr>
      </w:pPr>
      <w:r>
        <w:fldChar w:fldCharType="begin"/>
      </w:r>
      <w:r>
        <w:instrText xml:space="preserve"> HYPERLINK \l "_Toc97477957" </w:instrText>
      </w:r>
      <w:r>
        <w:fldChar w:fldCharType="separate"/>
      </w:r>
      <w:r>
        <w:rPr>
          <w:rStyle w:val="15"/>
        </w:rPr>
        <w:t>C.</w:t>
      </w:r>
      <w:r>
        <w:rPr>
          <w:rFonts w:asciiTheme="minorHAnsi" w:hAnsiTheme="minorHAnsi" w:eastAsiaTheme="minorEastAsia" w:cstheme="minorBidi"/>
          <w:b w:val="0"/>
          <w:kern w:val="2"/>
          <w:szCs w:val="22"/>
        </w:rPr>
        <w:tab/>
      </w:r>
      <w:r>
        <w:rPr>
          <w:rStyle w:val="15"/>
          <w:rFonts w:hint="eastAsia"/>
        </w:rPr>
        <w:t>采用相同器械与不同药物相结合的组合产品的数据衔接</w:t>
      </w:r>
      <w:r>
        <w:tab/>
      </w:r>
      <w:r>
        <w:fldChar w:fldCharType="begin"/>
      </w:r>
      <w:r>
        <w:instrText xml:space="preserve"> PAGEREF _Toc97477957 \h </w:instrText>
      </w:r>
      <w:r>
        <w:fldChar w:fldCharType="separate"/>
      </w:r>
      <w:r>
        <w:t>13</w:t>
      </w:r>
      <w:r>
        <w:fldChar w:fldCharType="end"/>
      </w:r>
      <w:r>
        <w:fldChar w:fldCharType="end"/>
      </w:r>
    </w:p>
    <w:p w14:paraId="19663880">
      <w:pPr>
        <w:shd w:val="clear" w:color="auto" w:fill="FFFFFF"/>
        <w:snapToGrid w:val="0"/>
        <w:jc w:val="both"/>
        <w:rPr>
          <w:rFonts w:eastAsia="宋体"/>
          <w:sz w:val="21"/>
          <w:szCs w:val="21"/>
        </w:rPr>
      </w:pPr>
      <w:r>
        <w:rPr>
          <w:rFonts w:eastAsia="宋体"/>
          <w:sz w:val="21"/>
          <w:szCs w:val="21"/>
        </w:rPr>
        <w:fldChar w:fldCharType="end"/>
      </w:r>
    </w:p>
    <w:p w14:paraId="01925807">
      <w:pPr>
        <w:shd w:val="clear" w:color="auto" w:fill="FFFFFF"/>
        <w:snapToGrid w:val="0"/>
        <w:jc w:val="both"/>
        <w:rPr>
          <w:rFonts w:eastAsia="宋体"/>
          <w:sz w:val="21"/>
          <w:szCs w:val="21"/>
        </w:rPr>
      </w:pPr>
    </w:p>
    <w:p w14:paraId="6647A9A1">
      <w:pPr>
        <w:shd w:val="clear" w:color="auto" w:fill="FFFFFF"/>
        <w:snapToGrid w:val="0"/>
        <w:jc w:val="both"/>
        <w:rPr>
          <w:rFonts w:eastAsia="宋体"/>
          <w:sz w:val="21"/>
          <w:szCs w:val="21"/>
        </w:rPr>
        <w:sectPr>
          <w:headerReference r:id="rId8" w:type="default"/>
          <w:footerReference r:id="rId9" w:type="default"/>
          <w:pgSz w:w="11906" w:h="16838"/>
          <w:pgMar w:top="1134" w:right="1417" w:bottom="1134" w:left="1417" w:header="850" w:footer="720" w:gutter="0"/>
          <w:cols w:space="60" w:num="1"/>
          <w:docGrid w:linePitch="272" w:charSpace="0"/>
        </w:sectPr>
      </w:pPr>
    </w:p>
    <w:p w14:paraId="66438251">
      <w:pPr>
        <w:shd w:val="clear" w:color="auto" w:fill="FFFFFF"/>
        <w:snapToGrid w:val="0"/>
        <w:jc w:val="center"/>
        <w:rPr>
          <w:rFonts w:eastAsia="宋体"/>
          <w:sz w:val="24"/>
          <w:szCs w:val="24"/>
        </w:rPr>
      </w:pPr>
      <w:r>
        <w:rPr>
          <w:rFonts w:eastAsia="宋体"/>
          <w:b/>
          <w:bCs/>
          <w:color w:val="000000"/>
          <w:sz w:val="24"/>
          <w:szCs w:val="24"/>
        </w:rPr>
        <w:t>药械和生物-器械组合产品</w:t>
      </w:r>
    </w:p>
    <w:p w14:paraId="46EB5A42">
      <w:pPr>
        <w:shd w:val="clear" w:color="auto" w:fill="FFFFFF"/>
        <w:snapToGrid w:val="0"/>
        <w:jc w:val="center"/>
        <w:rPr>
          <w:rFonts w:eastAsia="宋体"/>
          <w:sz w:val="24"/>
          <w:szCs w:val="24"/>
        </w:rPr>
      </w:pPr>
      <w:r>
        <w:rPr>
          <w:rFonts w:eastAsia="宋体"/>
          <w:b/>
          <w:bCs/>
          <w:color w:val="000000"/>
          <w:sz w:val="24"/>
          <w:szCs w:val="24"/>
        </w:rPr>
        <w:t>的衔接</w:t>
      </w:r>
    </w:p>
    <w:p w14:paraId="4DF260FB">
      <w:pPr>
        <w:shd w:val="clear" w:color="auto" w:fill="FFFFFF"/>
        <w:snapToGrid w:val="0"/>
        <w:jc w:val="center"/>
        <w:rPr>
          <w:rFonts w:eastAsia="宋体"/>
          <w:sz w:val="24"/>
          <w:szCs w:val="24"/>
        </w:rPr>
      </w:pPr>
      <w:r>
        <w:rPr>
          <w:rFonts w:eastAsia="宋体"/>
          <w:b/>
          <w:bCs/>
          <w:color w:val="000000"/>
          <w:sz w:val="24"/>
          <w:szCs w:val="24"/>
        </w:rPr>
        <w:t>行业指南</w:t>
      </w:r>
      <w:r>
        <w:rPr>
          <w:rStyle w:val="17"/>
          <w:rFonts w:eastAsia="宋体"/>
          <w:b/>
          <w:bCs/>
          <w:color w:val="000000"/>
          <w:sz w:val="24"/>
          <w:szCs w:val="24"/>
        </w:rPr>
        <w:footnoteReference w:id="0"/>
      </w:r>
    </w:p>
    <w:p w14:paraId="667F5034">
      <w:pPr>
        <w:shd w:val="clear" w:color="auto" w:fill="FFFFFF"/>
        <w:snapToGrid w:val="0"/>
        <w:jc w:val="both"/>
        <w:rPr>
          <w:rFonts w:eastAsia="宋体"/>
          <w:color w:val="000000"/>
          <w:sz w:val="21"/>
          <w:szCs w:val="21"/>
        </w:rPr>
      </w:pPr>
    </w:p>
    <w:p w14:paraId="3D34BE9F">
      <w:pPr>
        <w:shd w:val="clear" w:color="auto" w:fill="FFFFFF"/>
        <w:snapToGrid w:val="0"/>
        <w:jc w:val="both"/>
        <w:rPr>
          <w:rFonts w:eastAsia="宋体"/>
          <w:color w:val="000000"/>
          <w:sz w:val="21"/>
          <w:szCs w:val="21"/>
        </w:rPr>
      </w:pPr>
    </w:p>
    <w:p w14:paraId="2B81AA89">
      <w:pPr>
        <w:shd w:val="clear" w:color="auto" w:fill="FFFFFF"/>
        <w:snapToGrid w:val="0"/>
        <w:jc w:val="both"/>
        <w:rPr>
          <w:rFonts w:eastAsia="宋体"/>
          <w:color w:val="000000"/>
          <w:sz w:val="21"/>
          <w:szCs w:val="21"/>
        </w:rPr>
      </w:pPr>
    </w:p>
    <w:p w14:paraId="28781C44">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color w:val="000000"/>
          <w:sz w:val="21"/>
          <w:szCs w:val="21"/>
        </w:rPr>
      </w:pPr>
    </w:p>
    <w:p w14:paraId="22E13605">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del w:id="26" w:author="Z" w:date="2022-04-04T17:18:00Z"/>
          <w:rFonts w:eastAsia="宋体"/>
          <w:color w:val="000000"/>
          <w:sz w:val="21"/>
          <w:szCs w:val="21"/>
        </w:rPr>
      </w:pPr>
      <w:r>
        <w:rPr>
          <w:rFonts w:eastAsia="宋体"/>
          <w:color w:val="000000"/>
          <w:sz w:val="21"/>
          <w:szCs w:val="21"/>
        </w:rPr>
        <w:t>本指南草案定稿后，将代表</w:t>
      </w:r>
      <w:ins w:id="27" w:author="Z" w:date="2022-04-04T17:18:00Z">
        <w:r>
          <w:rPr>
            <w:rFonts w:hint="eastAsia" w:eastAsia="宋体"/>
            <w:b w:val="0"/>
            <w:bCs w:val="0"/>
            <w:i w:val="0"/>
            <w:iCs w:val="0"/>
            <w:color w:val="000000"/>
            <w:sz w:val="21"/>
            <w:szCs w:val="21"/>
            <w:rPrChange w:id="28" w:author="Z" w:date="2022-04-04T17:19:00Z">
              <w:rPr>
                <w:rFonts w:hint="eastAsia" w:eastAsia="宋体"/>
                <w:b/>
                <w:bCs/>
                <w:i/>
                <w:iCs/>
                <w:color w:val="000000"/>
                <w:sz w:val="21"/>
                <w:szCs w:val="21"/>
              </w:rPr>
            </w:rPrChange>
          </w:rPr>
          <w:t>美国食品药品监督管理局（</w:t>
        </w:r>
      </w:ins>
      <w:ins w:id="29" w:author="Z" w:date="2022-04-04T17:18:00Z">
        <w:r>
          <w:rPr>
            <w:rFonts w:eastAsia="宋体"/>
            <w:b w:val="0"/>
            <w:bCs w:val="0"/>
            <w:i w:val="0"/>
            <w:iCs w:val="0"/>
            <w:color w:val="000000"/>
            <w:sz w:val="21"/>
            <w:szCs w:val="21"/>
            <w:rPrChange w:id="30" w:author="Z" w:date="2022-04-04T17:19:00Z">
              <w:rPr>
                <w:rFonts w:eastAsia="宋体"/>
                <w:b/>
                <w:bCs/>
                <w:i/>
                <w:iCs/>
                <w:color w:val="000000"/>
                <w:sz w:val="21"/>
                <w:szCs w:val="21"/>
              </w:rPr>
            </w:rPrChange>
          </w:rPr>
          <w:t>FDA</w:t>
        </w:r>
      </w:ins>
      <w:ins w:id="31" w:author="Z" w:date="2022-04-04T17:18:00Z">
        <w:r>
          <w:rPr>
            <w:rFonts w:hint="eastAsia" w:eastAsia="宋体"/>
            <w:b w:val="0"/>
            <w:bCs w:val="0"/>
            <w:i w:val="0"/>
            <w:iCs w:val="0"/>
            <w:color w:val="000000"/>
            <w:sz w:val="21"/>
            <w:szCs w:val="21"/>
            <w:rPrChange w:id="32" w:author="Z" w:date="2022-04-04T17:19:00Z">
              <w:rPr>
                <w:rFonts w:hint="eastAsia" w:eastAsia="宋体"/>
                <w:b/>
                <w:bCs/>
                <w:i/>
                <w:iCs/>
                <w:color w:val="000000"/>
                <w:sz w:val="21"/>
                <w:szCs w:val="21"/>
              </w:rPr>
            </w:rPrChange>
          </w:rPr>
          <w:t>）目前关于该主题的</w:t>
        </w:r>
      </w:ins>
      <w:ins w:id="33" w:author="Z" w:date="2022-04-04T17:18:00Z">
        <w:del w:id="34" w:author="Aimee W" w:date="2022-08-08T13:09:00Z">
          <w:r>
            <w:rPr>
              <w:rFonts w:hint="eastAsia" w:eastAsia="宋体"/>
              <w:b w:val="0"/>
              <w:bCs w:val="0"/>
              <w:i w:val="0"/>
              <w:iCs w:val="0"/>
              <w:color w:val="000000"/>
              <w:sz w:val="21"/>
              <w:szCs w:val="21"/>
              <w:rPrChange w:id="35" w:author="Z" w:date="2022-04-04T17:19:00Z">
                <w:rPr>
                  <w:rFonts w:hint="eastAsia" w:eastAsia="宋体"/>
                  <w:b/>
                  <w:bCs/>
                  <w:i/>
                  <w:iCs/>
                  <w:color w:val="000000"/>
                  <w:sz w:val="21"/>
                  <w:szCs w:val="21"/>
                </w:rPr>
              </w:rPrChange>
            </w:rPr>
            <w:delText>思考。其不会为任何人创造或赋予任何权利，也不会对</w:delText>
          </w:r>
        </w:del>
      </w:ins>
      <w:ins w:id="36" w:author="Z" w:date="2022-04-04T17:18:00Z">
        <w:del w:id="37" w:author="Aimee W" w:date="2022-08-08T13:09:00Z">
          <w:r>
            <w:rPr>
              <w:rFonts w:eastAsia="宋体"/>
              <w:b w:val="0"/>
              <w:bCs w:val="0"/>
              <w:i w:val="0"/>
              <w:iCs w:val="0"/>
              <w:color w:val="000000"/>
              <w:sz w:val="21"/>
              <w:szCs w:val="21"/>
              <w:rPrChange w:id="38" w:author="Z" w:date="2022-04-04T17:19:00Z">
                <w:rPr>
                  <w:rFonts w:eastAsia="宋体"/>
                  <w:b/>
                  <w:bCs/>
                  <w:i/>
                  <w:iCs/>
                  <w:color w:val="000000"/>
                  <w:sz w:val="21"/>
                  <w:szCs w:val="21"/>
                </w:rPr>
              </w:rPrChange>
            </w:rPr>
            <w:delText>FDA</w:delText>
          </w:r>
        </w:del>
      </w:ins>
      <w:ins w:id="39" w:author="Z" w:date="2022-04-04T17:18:00Z">
        <w:del w:id="40" w:author="Aimee W" w:date="2022-08-08T13:09:00Z">
          <w:r>
            <w:rPr>
              <w:rFonts w:hint="eastAsia" w:eastAsia="宋体"/>
              <w:b w:val="0"/>
              <w:bCs w:val="0"/>
              <w:i w:val="0"/>
              <w:iCs w:val="0"/>
              <w:color w:val="000000"/>
              <w:sz w:val="21"/>
              <w:szCs w:val="21"/>
              <w:rPrChange w:id="41" w:author="Z" w:date="2022-04-04T17:19:00Z">
                <w:rPr>
                  <w:rFonts w:hint="eastAsia" w:eastAsia="宋体"/>
                  <w:b/>
                  <w:bCs/>
                  <w:i/>
                  <w:iCs/>
                  <w:color w:val="000000"/>
                  <w:sz w:val="21"/>
                  <w:szCs w:val="21"/>
                </w:rPr>
              </w:rPrChange>
            </w:rPr>
            <w:delText>或公众产生约束。如果替代方法满足适用的法律法规要求，则可以使用该方法。如需讨论替代方法，请联系标题页负责实施本指南文件的</w:delText>
          </w:r>
        </w:del>
      </w:ins>
      <w:ins w:id="42" w:author="Z" w:date="2022-04-04T17:18:00Z">
        <w:del w:id="43" w:author="Aimee W" w:date="2022-08-08T13:09:00Z">
          <w:r>
            <w:rPr>
              <w:rFonts w:eastAsia="宋体"/>
              <w:b w:val="0"/>
              <w:bCs w:val="0"/>
              <w:i w:val="0"/>
              <w:iCs w:val="0"/>
              <w:color w:val="000000"/>
              <w:sz w:val="21"/>
              <w:szCs w:val="21"/>
              <w:rPrChange w:id="44" w:author="Z" w:date="2022-04-04T17:19:00Z">
                <w:rPr>
                  <w:rFonts w:eastAsia="宋体"/>
                  <w:b/>
                  <w:bCs/>
                  <w:i/>
                  <w:iCs/>
                  <w:color w:val="000000"/>
                  <w:sz w:val="21"/>
                  <w:szCs w:val="21"/>
                </w:rPr>
              </w:rPrChange>
            </w:rPr>
            <w:delText>FDA</w:delText>
          </w:r>
        </w:del>
      </w:ins>
      <w:ins w:id="45" w:author="Z" w:date="2022-04-04T17:18:00Z">
        <w:del w:id="46" w:author="Aimee W" w:date="2022-08-08T13:09:00Z">
          <w:r>
            <w:rPr>
              <w:rFonts w:hint="eastAsia" w:eastAsia="宋体"/>
              <w:b w:val="0"/>
              <w:bCs w:val="0"/>
              <w:i w:val="0"/>
              <w:iCs w:val="0"/>
              <w:color w:val="000000"/>
              <w:sz w:val="21"/>
              <w:szCs w:val="21"/>
              <w:rPrChange w:id="47" w:author="Z" w:date="2022-04-04T17:19:00Z">
                <w:rPr>
                  <w:rFonts w:hint="eastAsia" w:eastAsia="宋体"/>
                  <w:b/>
                  <w:bCs/>
                  <w:i/>
                  <w:iCs/>
                  <w:color w:val="000000"/>
                  <w:sz w:val="21"/>
                  <w:szCs w:val="21"/>
                </w:rPr>
              </w:rPrChange>
            </w:rPr>
            <w:delText>工作人员或办公室。</w:delText>
          </w:r>
        </w:del>
      </w:ins>
      <w:del w:id="48" w:author="Aimee W" w:date="2022-08-08T13:09:00Z">
        <w:r>
          <w:rPr>
            <w:rFonts w:eastAsia="宋体"/>
            <w:color w:val="000000"/>
            <w:sz w:val="21"/>
            <w:szCs w:val="21"/>
          </w:rPr>
          <w:delText>美国食品药品监督管理局（FDA或监管机构）对该主题的目前看法。本文件不赋予任何人任何权利，对FDA或公众不具有约束力。如果替代方法满足适用法令法规的要求，则贵司可使用替代方法。如需讨论替代方法，请联系标题页所列负责本指南的FDA工作人员。</w:delText>
        </w:r>
      </w:del>
      <w:ins w:id="49" w:author="Aimee W" w:date="2022-08-08T13:09:00Z">
        <w:r>
          <w:rPr>
            <w:rFonts w:hint="eastAsia" w:eastAsia="宋体"/>
            <w:color w:val="000000"/>
            <w:sz w:val="21"/>
            <w:szCs w:val="21"/>
          </w:rPr>
          <w:t>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p w14:paraId="34E22513">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1"/>
          <w:szCs w:val="21"/>
        </w:rPr>
      </w:pPr>
    </w:p>
    <w:p w14:paraId="62B519C6">
      <w:pPr>
        <w:shd w:val="clear" w:color="auto" w:fill="FFFFFF"/>
        <w:tabs>
          <w:tab w:val="left" w:pos="720"/>
        </w:tabs>
        <w:snapToGrid w:val="0"/>
        <w:jc w:val="both"/>
        <w:rPr>
          <w:rFonts w:eastAsia="宋体"/>
          <w:b/>
          <w:bCs/>
          <w:color w:val="000000"/>
          <w:sz w:val="21"/>
          <w:szCs w:val="21"/>
        </w:rPr>
      </w:pPr>
    </w:p>
    <w:p w14:paraId="58AAB2E5">
      <w:pPr>
        <w:shd w:val="clear" w:color="auto" w:fill="FFFFFF"/>
        <w:tabs>
          <w:tab w:val="left" w:pos="720"/>
        </w:tabs>
        <w:snapToGrid w:val="0"/>
        <w:jc w:val="both"/>
        <w:rPr>
          <w:rFonts w:eastAsia="宋体"/>
          <w:b/>
          <w:bCs/>
          <w:color w:val="000000"/>
          <w:sz w:val="21"/>
          <w:szCs w:val="21"/>
        </w:rPr>
      </w:pPr>
    </w:p>
    <w:p w14:paraId="279DDF99">
      <w:pPr>
        <w:shd w:val="clear" w:color="auto" w:fill="FFFFFF"/>
        <w:tabs>
          <w:tab w:val="left" w:pos="720"/>
        </w:tabs>
        <w:snapToGrid w:val="0"/>
        <w:jc w:val="both"/>
        <w:rPr>
          <w:rFonts w:eastAsia="宋体"/>
          <w:b/>
          <w:bCs/>
          <w:color w:val="000000"/>
          <w:sz w:val="21"/>
          <w:szCs w:val="21"/>
        </w:rPr>
      </w:pPr>
    </w:p>
    <w:p w14:paraId="6E97B357">
      <w:pPr>
        <w:pStyle w:val="2"/>
      </w:pPr>
      <w:bookmarkStart w:id="0" w:name="_Toc97477951"/>
      <w:r>
        <w:t>I.</w:t>
      </w:r>
      <w:r>
        <w:tab/>
      </w:r>
      <w:ins w:id="50" w:author="Z" w:date="2022-04-04T17:18:00Z">
        <w:r>
          <w:rPr>
            <w:rFonts w:hint="eastAsia"/>
          </w:rPr>
          <w:t>前</w:t>
        </w:r>
      </w:ins>
      <w:del w:id="51" w:author="Z" w:date="2022-04-04T17:18:00Z">
        <w:r>
          <w:rPr/>
          <w:delText>引</w:delText>
        </w:r>
      </w:del>
      <w:r>
        <w:t>言</w:t>
      </w:r>
      <w:bookmarkEnd w:id="0"/>
    </w:p>
    <w:p w14:paraId="4CC80ABD">
      <w:pPr>
        <w:shd w:val="clear" w:color="auto" w:fill="FFFFFF"/>
        <w:snapToGrid w:val="0"/>
        <w:jc w:val="both"/>
        <w:rPr>
          <w:rFonts w:eastAsia="宋体"/>
          <w:color w:val="000000"/>
          <w:sz w:val="21"/>
          <w:szCs w:val="21"/>
        </w:rPr>
      </w:pPr>
    </w:p>
    <w:p w14:paraId="3150D17F">
      <w:pPr>
        <w:shd w:val="clear" w:color="auto" w:fill="FFFFFF"/>
        <w:snapToGrid w:val="0"/>
        <w:jc w:val="both"/>
        <w:rPr>
          <w:rFonts w:eastAsia="宋体"/>
          <w:sz w:val="24"/>
          <w:szCs w:val="24"/>
        </w:rPr>
      </w:pPr>
      <w:r>
        <w:rPr>
          <w:rFonts w:eastAsia="宋体"/>
          <w:color w:val="000000"/>
          <w:sz w:val="24"/>
          <w:szCs w:val="24"/>
        </w:rPr>
        <w:t>本指南就如何处理药械和生物-器械单一实体或联合包装组合产品的新药申请（NDA）或生物制品许可申请（BLA）中的桥接问题向业界和FDA工作人员提供建议，包括：</w:t>
      </w:r>
      <w:r>
        <w:rPr>
          <w:rStyle w:val="17"/>
          <w:rFonts w:eastAsia="宋体"/>
          <w:color w:val="000000"/>
          <w:sz w:val="24"/>
          <w:szCs w:val="24"/>
        </w:rPr>
        <w:footnoteReference w:id="1"/>
      </w:r>
    </w:p>
    <w:p w14:paraId="0481D101">
      <w:pPr>
        <w:shd w:val="clear" w:color="auto" w:fill="FFFFFF"/>
        <w:snapToGrid w:val="0"/>
        <w:jc w:val="both"/>
        <w:rPr>
          <w:rFonts w:eastAsia="宋体"/>
          <w:color w:val="000000"/>
          <w:sz w:val="24"/>
          <w:szCs w:val="24"/>
        </w:rPr>
      </w:pPr>
    </w:p>
    <w:p w14:paraId="033BBB01">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与采用不同的器械组成部件</w:t>
      </w:r>
      <w:r>
        <w:rPr>
          <w:rStyle w:val="17"/>
          <w:rFonts w:eastAsia="宋体"/>
          <w:color w:val="000000"/>
          <w:sz w:val="24"/>
          <w:szCs w:val="24"/>
        </w:rPr>
        <w:footnoteReference w:id="2"/>
      </w:r>
      <w:r>
        <w:rPr>
          <w:rFonts w:eastAsia="宋体"/>
          <w:color w:val="000000"/>
          <w:sz w:val="24"/>
          <w:szCs w:val="24"/>
        </w:rPr>
        <w:t>和与申报组合产品相同的药物组成部件</w:t>
      </w:r>
      <w:r>
        <w:rPr>
          <w:rStyle w:val="17"/>
          <w:rFonts w:eastAsia="宋体"/>
          <w:color w:val="000000"/>
          <w:sz w:val="24"/>
          <w:szCs w:val="24"/>
        </w:rPr>
        <w:footnoteReference w:id="3"/>
      </w:r>
      <w:r>
        <w:rPr>
          <w:rFonts w:eastAsia="宋体"/>
          <w:color w:val="000000"/>
          <w:sz w:val="24"/>
          <w:szCs w:val="24"/>
        </w:rPr>
        <w:t>的组合产品有关的信息的连接。</w:t>
      </w:r>
    </w:p>
    <w:p w14:paraId="2581CC36">
      <w:pPr>
        <w:shd w:val="clear" w:color="auto" w:fill="FFFFFF"/>
        <w:tabs>
          <w:tab w:val="left" w:pos="115"/>
        </w:tabs>
        <w:snapToGrid w:val="0"/>
        <w:jc w:val="both"/>
        <w:rPr>
          <w:rFonts w:eastAsia="宋体"/>
          <w:color w:val="000000"/>
          <w:sz w:val="21"/>
          <w:szCs w:val="21"/>
          <w:vertAlign w:val="superscript"/>
        </w:rPr>
      </w:pPr>
    </w:p>
    <w:p w14:paraId="7F840BF5">
      <w:pPr>
        <w:shd w:val="clear" w:color="auto" w:fill="FFFFFF"/>
        <w:tabs>
          <w:tab w:val="left" w:pos="115"/>
        </w:tabs>
        <w:snapToGrid w:val="0"/>
        <w:jc w:val="both"/>
        <w:rPr>
          <w:rFonts w:eastAsia="宋体"/>
          <w:sz w:val="21"/>
          <w:szCs w:val="21"/>
        </w:rPr>
      </w:pPr>
    </w:p>
    <w:p w14:paraId="07CBACC5">
      <w:pPr>
        <w:shd w:val="clear" w:color="auto" w:fill="FFFFFF"/>
        <w:tabs>
          <w:tab w:val="left" w:pos="115"/>
        </w:tabs>
        <w:snapToGrid w:val="0"/>
        <w:jc w:val="both"/>
        <w:rPr>
          <w:rFonts w:eastAsia="宋体"/>
          <w:sz w:val="21"/>
          <w:szCs w:val="21"/>
        </w:rPr>
        <w:sectPr>
          <w:footerReference r:id="rId10" w:type="default"/>
          <w:pgSz w:w="11906" w:h="16838"/>
          <w:pgMar w:top="1134" w:right="1417" w:bottom="1134" w:left="1417" w:header="850" w:footer="720" w:gutter="0"/>
          <w:lnNumType w:countBy="1" w:restart="continuous"/>
          <w:pgNumType w:start="1"/>
          <w:cols w:space="60" w:num="1"/>
          <w:docGrid w:linePitch="272" w:charSpace="0"/>
        </w:sectPr>
      </w:pPr>
    </w:p>
    <w:p w14:paraId="2BAFB14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与采用不同药物成分的组合产品有关的信息与申报组合产品的相同器械成分的信息的衔接。</w:t>
      </w:r>
    </w:p>
    <w:p w14:paraId="0E317F23">
      <w:pPr>
        <w:shd w:val="clear" w:color="auto" w:fill="FFFFFF"/>
        <w:snapToGrid w:val="0"/>
        <w:jc w:val="both"/>
        <w:rPr>
          <w:rFonts w:eastAsia="宋体"/>
          <w:color w:val="000000"/>
          <w:sz w:val="24"/>
          <w:szCs w:val="24"/>
        </w:rPr>
      </w:pPr>
    </w:p>
    <w:p w14:paraId="1BE722FB">
      <w:pPr>
        <w:shd w:val="clear" w:color="auto" w:fill="FFFFFF"/>
        <w:snapToGrid w:val="0"/>
        <w:jc w:val="both"/>
        <w:rPr>
          <w:rFonts w:eastAsia="宋体"/>
          <w:color w:val="000000"/>
          <w:sz w:val="24"/>
          <w:szCs w:val="24"/>
        </w:rPr>
      </w:pPr>
      <w:r>
        <w:rPr>
          <w:rFonts w:eastAsia="宋体"/>
          <w:color w:val="000000"/>
          <w:sz w:val="24"/>
          <w:szCs w:val="24"/>
        </w:rPr>
        <w:t>在本指南中，</w:t>
      </w:r>
      <w:r>
        <w:rPr>
          <w:rFonts w:ascii="宋体" w:hAnsi="宋体" w:eastAsia="宋体"/>
          <w:i/>
          <w:color w:val="000000"/>
          <w:sz w:val="24"/>
          <w:szCs w:val="24"/>
        </w:rPr>
        <w:t>“</w:t>
      </w:r>
      <w:r>
        <w:rPr>
          <w:rFonts w:eastAsia="宋体"/>
          <w:i/>
          <w:iCs/>
          <w:color w:val="000000"/>
          <w:sz w:val="24"/>
          <w:szCs w:val="24"/>
        </w:rPr>
        <w:t>衔接</w:t>
      </w:r>
      <w:r>
        <w:rPr>
          <w:rFonts w:ascii="宋体" w:hAnsi="宋体" w:eastAsia="宋体"/>
          <w:i/>
          <w:color w:val="000000"/>
          <w:sz w:val="24"/>
          <w:szCs w:val="24"/>
        </w:rPr>
        <w:t>”</w:t>
      </w:r>
      <w:r>
        <w:rPr>
          <w:rFonts w:eastAsia="宋体"/>
          <w:color w:val="000000"/>
          <w:sz w:val="24"/>
          <w:szCs w:val="24"/>
        </w:rPr>
        <w:t>一词指的是确定在开发计划的早期阶段或另一个开发计划中开发的信息的科学相关性，以支持申请人正在寻求批准的组合产品的过程。一旦申请人确定了这些信息与其产品的相关性（即桥接），申请人就可以利用这些信息来简化其开发计划。</w:t>
      </w:r>
      <w:r>
        <w:rPr>
          <w:rStyle w:val="17"/>
          <w:rFonts w:eastAsia="宋体"/>
          <w:color w:val="000000"/>
          <w:sz w:val="24"/>
          <w:szCs w:val="24"/>
        </w:rPr>
        <w:t xml:space="preserve"> </w:t>
      </w:r>
      <w:r>
        <w:rPr>
          <w:rStyle w:val="17"/>
          <w:rFonts w:eastAsia="宋体"/>
          <w:color w:val="000000"/>
          <w:sz w:val="24"/>
          <w:szCs w:val="24"/>
        </w:rPr>
        <w:footnoteReference w:id="4"/>
      </w:r>
      <w:r>
        <w:rPr>
          <w:rFonts w:eastAsia="宋体"/>
          <w:color w:val="000000"/>
          <w:sz w:val="24"/>
          <w:szCs w:val="24"/>
        </w:rPr>
        <w:t>从科学的角度来看，如果申请人希望在其当前的申请中利用该信息，则必须将其当前的申请与开发计划的早期阶段或另一个开发计划中开发的信息联系起来。对于某些类型的申请，使用另一个发展计划的信息可能需要申请人拥有该信息或有参考权。</w:t>
      </w:r>
      <w:r>
        <w:rPr>
          <w:rStyle w:val="17"/>
          <w:rFonts w:eastAsia="宋体"/>
          <w:color w:val="000000"/>
          <w:sz w:val="24"/>
          <w:szCs w:val="24"/>
        </w:rPr>
        <w:t xml:space="preserve"> </w:t>
      </w:r>
      <w:r>
        <w:rPr>
          <w:rStyle w:val="17"/>
          <w:rFonts w:eastAsia="宋体"/>
          <w:color w:val="000000"/>
          <w:sz w:val="24"/>
          <w:szCs w:val="24"/>
        </w:rPr>
        <w:footnoteReference w:id="5"/>
      </w:r>
    </w:p>
    <w:p w14:paraId="0D35B2AE">
      <w:pPr>
        <w:shd w:val="clear" w:color="auto" w:fill="FFFFFF"/>
        <w:snapToGrid w:val="0"/>
        <w:jc w:val="both"/>
        <w:rPr>
          <w:rFonts w:eastAsia="宋体"/>
          <w:sz w:val="24"/>
          <w:szCs w:val="24"/>
        </w:rPr>
      </w:pPr>
    </w:p>
    <w:p w14:paraId="6014793A">
      <w:pPr>
        <w:shd w:val="clear" w:color="auto" w:fill="FFFFFF"/>
        <w:snapToGrid w:val="0"/>
        <w:jc w:val="both"/>
        <w:rPr>
          <w:rFonts w:eastAsia="宋体"/>
          <w:sz w:val="24"/>
          <w:szCs w:val="24"/>
        </w:rPr>
      </w:pPr>
      <w:r>
        <w:rPr>
          <w:rFonts w:eastAsia="宋体"/>
          <w:color w:val="000000"/>
          <w:sz w:val="24"/>
          <w:szCs w:val="24"/>
        </w:rPr>
        <w:t>关于本指南中的建议和示例，假定申请人拥有或有参考权或使用权，允许申请人使用另一个开发项目的信息。</w:t>
      </w:r>
    </w:p>
    <w:p w14:paraId="0C7B92DF">
      <w:pPr>
        <w:shd w:val="clear" w:color="auto" w:fill="FFFFFF"/>
        <w:snapToGrid w:val="0"/>
        <w:jc w:val="both"/>
        <w:rPr>
          <w:rFonts w:eastAsia="宋体"/>
          <w:color w:val="000000"/>
          <w:sz w:val="24"/>
          <w:szCs w:val="24"/>
        </w:rPr>
      </w:pPr>
    </w:p>
    <w:p w14:paraId="7BBE1E98">
      <w:pPr>
        <w:shd w:val="clear" w:color="auto" w:fill="FFFFFF"/>
        <w:snapToGrid w:val="0"/>
        <w:jc w:val="both"/>
        <w:rPr>
          <w:rFonts w:eastAsia="宋体"/>
          <w:sz w:val="24"/>
          <w:szCs w:val="24"/>
        </w:rPr>
      </w:pPr>
      <w:r>
        <w:rPr>
          <w:rFonts w:eastAsia="宋体"/>
          <w:color w:val="000000"/>
          <w:sz w:val="24"/>
          <w:szCs w:val="24"/>
        </w:rPr>
        <w:t>本指南旨在</w:t>
      </w:r>
      <w:del w:id="52" w:author="Z" w:date="2022-04-04T17:19:00Z">
        <w:r>
          <w:rPr>
            <w:rFonts w:hint="eastAsia" w:eastAsia="宋体"/>
            <w:color w:val="000000"/>
            <w:sz w:val="24"/>
            <w:szCs w:val="24"/>
          </w:rPr>
          <w:delText>澄清</w:delText>
        </w:r>
      </w:del>
      <w:ins w:id="53" w:author="Z" w:date="2022-04-04T17:19:00Z">
        <w:r>
          <w:rPr>
            <w:rFonts w:hint="eastAsia" w:eastAsia="宋体"/>
            <w:color w:val="000000"/>
            <w:sz w:val="24"/>
            <w:szCs w:val="24"/>
          </w:rPr>
          <w:t>说明</w:t>
        </w:r>
      </w:ins>
      <w:r>
        <w:rPr>
          <w:rFonts w:eastAsia="宋体"/>
          <w:color w:val="000000"/>
          <w:sz w:val="24"/>
          <w:szCs w:val="24"/>
        </w:rPr>
        <w:t>如何与从另一个发展计划中收集的信息衔接，以利用该信息支持申请。为了促进这一进程，本指南介绍了申请人确定和解决申请中的信息差距的方法。</w:t>
      </w:r>
    </w:p>
    <w:p w14:paraId="47A8A627">
      <w:pPr>
        <w:shd w:val="clear" w:color="auto" w:fill="FFFFFF"/>
        <w:snapToGrid w:val="0"/>
        <w:jc w:val="both"/>
        <w:rPr>
          <w:rFonts w:eastAsia="宋体"/>
          <w:color w:val="000000"/>
          <w:sz w:val="24"/>
          <w:szCs w:val="24"/>
        </w:rPr>
      </w:pPr>
    </w:p>
    <w:p w14:paraId="2BFB069A">
      <w:pPr>
        <w:shd w:val="clear" w:color="auto" w:fill="FFFFFF"/>
        <w:snapToGrid w:val="0"/>
        <w:jc w:val="both"/>
        <w:rPr>
          <w:rFonts w:eastAsia="宋体"/>
          <w:color w:val="000000"/>
          <w:sz w:val="24"/>
          <w:szCs w:val="24"/>
        </w:rPr>
      </w:pPr>
      <w:r>
        <w:rPr>
          <w:rFonts w:eastAsia="宋体"/>
          <w:color w:val="000000"/>
          <w:sz w:val="24"/>
          <w:szCs w:val="24"/>
        </w:rPr>
        <w:t>本指南适用于以下情况：</w:t>
      </w:r>
    </w:p>
    <w:p w14:paraId="58391304">
      <w:pPr>
        <w:shd w:val="clear" w:color="auto" w:fill="FFFFFF"/>
        <w:snapToGrid w:val="0"/>
        <w:jc w:val="both"/>
        <w:rPr>
          <w:rFonts w:eastAsia="宋体"/>
          <w:sz w:val="24"/>
          <w:szCs w:val="24"/>
        </w:rPr>
      </w:pPr>
    </w:p>
    <w:p w14:paraId="209B6ED3">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根据美国联邦法典第21章第312部分的新药临床试验申请（IND）、根据美国联邦法典第21章第314部分的NDA或根据美国联邦法典第21章第601部分的BLA的人类处方组合产品。</w:t>
      </w:r>
    </w:p>
    <w:p w14:paraId="05F75D7D">
      <w:pPr>
        <w:shd w:val="clear" w:color="auto" w:fill="FFFFFF"/>
        <w:snapToGrid w:val="0"/>
        <w:ind w:left="660" w:leftChars="150" w:hanging="360" w:hangingChars="150"/>
        <w:jc w:val="both"/>
        <w:rPr>
          <w:rFonts w:eastAsia="宋体"/>
          <w:color w:val="000000"/>
          <w:sz w:val="24"/>
          <w:szCs w:val="24"/>
        </w:rPr>
      </w:pPr>
    </w:p>
    <w:p w14:paraId="7DCA26CC">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作为IND、NDA或BLA主题的人类非处方组合产品（相对于最终或暂定非处方药专著中所涉及的产品）。</w:t>
      </w:r>
    </w:p>
    <w:p w14:paraId="4F3F6E9F">
      <w:pPr>
        <w:shd w:val="clear" w:color="auto" w:fill="FFFFFF"/>
        <w:tabs>
          <w:tab w:val="left" w:pos="115"/>
        </w:tabs>
        <w:snapToGrid w:val="0"/>
        <w:jc w:val="both"/>
        <w:rPr>
          <w:rFonts w:eastAsia="宋体"/>
          <w:color w:val="000000"/>
          <w:sz w:val="24"/>
          <w:szCs w:val="24"/>
          <w:vertAlign w:val="superscript"/>
        </w:rPr>
      </w:pPr>
    </w:p>
    <w:p w14:paraId="4F83B62F">
      <w:pPr>
        <w:shd w:val="clear" w:color="auto" w:fill="FFFFFF"/>
        <w:tabs>
          <w:tab w:val="left" w:pos="115"/>
        </w:tabs>
        <w:snapToGrid w:val="0"/>
        <w:jc w:val="both"/>
        <w:rPr>
          <w:rFonts w:eastAsia="宋体"/>
          <w:sz w:val="24"/>
          <w:szCs w:val="24"/>
        </w:rPr>
      </w:pPr>
    </w:p>
    <w:p w14:paraId="0AF0FC8C">
      <w:pPr>
        <w:shd w:val="clear" w:color="auto" w:fill="FFFFFF"/>
        <w:tabs>
          <w:tab w:val="left" w:pos="115"/>
        </w:tabs>
        <w:snapToGrid w:val="0"/>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5A1547AC">
      <w:pPr>
        <w:shd w:val="clear" w:color="auto" w:fill="FFFFFF"/>
        <w:snapToGrid w:val="0"/>
        <w:jc w:val="both"/>
        <w:rPr>
          <w:rFonts w:eastAsia="宋体"/>
          <w:sz w:val="24"/>
          <w:szCs w:val="24"/>
        </w:rPr>
      </w:pPr>
      <w:r>
        <w:rPr>
          <w:rFonts w:eastAsia="宋体"/>
          <w:color w:val="000000"/>
          <w:sz w:val="24"/>
          <w:szCs w:val="24"/>
        </w:rPr>
        <w:t>在本指南中，所有此类产品都被称为组合产品。除非特别指出情况并非如此，否则</w:t>
      </w:r>
      <w:r>
        <w:rPr>
          <w:rFonts w:eastAsia="宋体"/>
          <w:i/>
          <w:iCs/>
          <w:color w:val="000000"/>
          <w:sz w:val="24"/>
          <w:szCs w:val="24"/>
        </w:rPr>
        <w:t>药物</w:t>
      </w:r>
      <w:r>
        <w:rPr>
          <w:rFonts w:eastAsia="宋体"/>
          <w:color w:val="000000"/>
          <w:sz w:val="24"/>
          <w:szCs w:val="24"/>
        </w:rPr>
        <w:t>和</w:t>
      </w:r>
      <w:r>
        <w:rPr>
          <w:rFonts w:eastAsia="宋体"/>
          <w:i/>
          <w:iCs/>
          <w:color w:val="000000"/>
          <w:sz w:val="24"/>
          <w:szCs w:val="24"/>
        </w:rPr>
        <w:t>药物构成部分的</w:t>
      </w:r>
      <w:r>
        <w:rPr>
          <w:rFonts w:eastAsia="宋体"/>
          <w:color w:val="000000"/>
          <w:sz w:val="24"/>
          <w:szCs w:val="24"/>
        </w:rPr>
        <w:t>术语可互换使用，也指生物制品和生物制品构成部分；</w:t>
      </w:r>
      <w:r>
        <w:rPr>
          <w:rFonts w:eastAsia="宋体"/>
          <w:i/>
          <w:iCs/>
          <w:color w:val="000000"/>
          <w:sz w:val="24"/>
          <w:szCs w:val="24"/>
        </w:rPr>
        <w:t>器械</w:t>
      </w:r>
      <w:r>
        <w:rPr>
          <w:rFonts w:eastAsia="宋体"/>
          <w:color w:val="000000"/>
          <w:sz w:val="24"/>
          <w:szCs w:val="24"/>
        </w:rPr>
        <w:t>和</w:t>
      </w:r>
      <w:r>
        <w:rPr>
          <w:rFonts w:eastAsia="宋体"/>
          <w:i/>
          <w:iCs/>
          <w:color w:val="000000"/>
          <w:sz w:val="24"/>
          <w:szCs w:val="24"/>
        </w:rPr>
        <w:t>器械构成部分的</w:t>
      </w:r>
      <w:r>
        <w:rPr>
          <w:rFonts w:eastAsia="宋体"/>
          <w:color w:val="000000"/>
          <w:sz w:val="24"/>
          <w:szCs w:val="24"/>
        </w:rPr>
        <w:t>术语可互换使用，负责产品开发的人被称为</w:t>
      </w:r>
      <w:r>
        <w:rPr>
          <w:rFonts w:eastAsia="宋体"/>
          <w:i/>
          <w:iCs/>
          <w:color w:val="000000"/>
          <w:sz w:val="24"/>
          <w:szCs w:val="24"/>
        </w:rPr>
        <w:t>申请人</w:t>
      </w:r>
      <w:r>
        <w:rPr>
          <w:rFonts w:eastAsia="宋体"/>
          <w:color w:val="000000"/>
          <w:sz w:val="24"/>
          <w:szCs w:val="24"/>
        </w:rPr>
        <w:t>。</w:t>
      </w:r>
    </w:p>
    <w:p w14:paraId="7D6B6FE4">
      <w:pPr>
        <w:shd w:val="clear" w:color="auto" w:fill="FFFFFF"/>
        <w:snapToGrid w:val="0"/>
        <w:jc w:val="both"/>
        <w:rPr>
          <w:rFonts w:eastAsia="宋体"/>
          <w:color w:val="000000"/>
          <w:sz w:val="24"/>
          <w:szCs w:val="24"/>
        </w:rPr>
      </w:pPr>
    </w:p>
    <w:p w14:paraId="1DB078F0">
      <w:pPr>
        <w:shd w:val="clear" w:color="auto" w:fill="FFFFFF"/>
        <w:snapToGrid w:val="0"/>
        <w:jc w:val="both"/>
        <w:rPr>
          <w:rFonts w:eastAsia="宋体"/>
          <w:color w:val="000000"/>
          <w:sz w:val="24"/>
          <w:szCs w:val="24"/>
        </w:rPr>
      </w:pPr>
      <w:r>
        <w:rPr>
          <w:rFonts w:eastAsia="宋体"/>
          <w:color w:val="000000"/>
          <w:sz w:val="24"/>
          <w:szCs w:val="24"/>
        </w:rPr>
        <w:t>尽管本指南旨在帮助申请人考虑可用于组合产品研发计划的信息类型和范围，但本指南并不涉及适用于任何特定组合产品的所有问题。</w:t>
      </w:r>
      <w:del w:id="54" w:author="Aimee W" w:date="2022-08-08T13:19:00Z">
        <w:r>
          <w:rPr>
            <w:rFonts w:eastAsia="宋体"/>
            <w:color w:val="000000"/>
            <w:sz w:val="24"/>
            <w:szCs w:val="24"/>
          </w:rPr>
          <w:delText>监管机构</w:delText>
        </w:r>
      </w:del>
      <w:ins w:id="55" w:author="Aimee W" w:date="2022-08-08T13:19:00Z">
        <w:r>
          <w:rPr>
            <w:rFonts w:hint="eastAsia" w:eastAsia="宋体"/>
            <w:color w:val="000000"/>
            <w:sz w:val="24"/>
            <w:szCs w:val="24"/>
          </w:rPr>
          <w:t>F</w:t>
        </w:r>
      </w:ins>
      <w:ins w:id="56" w:author="Aimee W" w:date="2022-08-08T13:19:00Z">
        <w:r>
          <w:rPr>
            <w:rFonts w:eastAsia="宋体"/>
            <w:color w:val="000000"/>
            <w:sz w:val="24"/>
            <w:szCs w:val="24"/>
          </w:rPr>
          <w:t>DA</w:t>
        </w:r>
      </w:ins>
      <w:r>
        <w:rPr>
          <w:rFonts w:eastAsia="宋体"/>
          <w:color w:val="000000"/>
          <w:sz w:val="24"/>
          <w:szCs w:val="24"/>
        </w:rPr>
        <w:t>鼓励申请人与FDA联系，讨论支持其个人申请所需的具体信息。</w:t>
      </w:r>
      <w:r>
        <w:rPr>
          <w:rStyle w:val="17"/>
          <w:rFonts w:eastAsia="宋体"/>
          <w:color w:val="000000"/>
          <w:sz w:val="24"/>
          <w:szCs w:val="24"/>
        </w:rPr>
        <w:t xml:space="preserve"> </w:t>
      </w:r>
      <w:r>
        <w:rPr>
          <w:rStyle w:val="17"/>
          <w:rFonts w:eastAsia="宋体"/>
          <w:color w:val="000000"/>
          <w:sz w:val="24"/>
          <w:szCs w:val="24"/>
        </w:rPr>
        <w:footnoteReference w:id="6"/>
      </w:r>
    </w:p>
    <w:p w14:paraId="161C5373">
      <w:pPr>
        <w:shd w:val="clear" w:color="auto" w:fill="FFFFFF"/>
        <w:snapToGrid w:val="0"/>
        <w:jc w:val="both"/>
        <w:rPr>
          <w:rFonts w:eastAsia="宋体"/>
          <w:sz w:val="24"/>
          <w:szCs w:val="24"/>
        </w:rPr>
      </w:pPr>
    </w:p>
    <w:p w14:paraId="57BA2876">
      <w:pPr>
        <w:shd w:val="clear" w:color="auto" w:fill="FFFFFF"/>
        <w:snapToGrid w:val="0"/>
        <w:jc w:val="both"/>
        <w:rPr>
          <w:rFonts w:eastAsia="宋体"/>
          <w:color w:val="000000"/>
          <w:sz w:val="24"/>
          <w:szCs w:val="24"/>
        </w:rPr>
      </w:pPr>
      <w:r>
        <w:rPr>
          <w:rFonts w:eastAsia="宋体"/>
          <w:color w:val="000000"/>
          <w:sz w:val="24"/>
          <w:szCs w:val="24"/>
        </w:rPr>
        <w:t>本指南没有讨论申请人应采用何种适当的监管途径来将特定的组合产品推向市场。</w:t>
      </w:r>
      <w:r>
        <w:rPr>
          <w:rStyle w:val="17"/>
          <w:rFonts w:eastAsia="宋体"/>
          <w:color w:val="000000"/>
          <w:sz w:val="24"/>
          <w:szCs w:val="24"/>
        </w:rPr>
        <w:t xml:space="preserve"> </w:t>
      </w:r>
      <w:r>
        <w:rPr>
          <w:rStyle w:val="17"/>
          <w:rFonts w:eastAsia="宋体"/>
          <w:color w:val="000000"/>
          <w:sz w:val="24"/>
          <w:szCs w:val="24"/>
        </w:rPr>
        <w:footnoteReference w:id="7"/>
      </w:r>
    </w:p>
    <w:p w14:paraId="1BAF0DDD">
      <w:pPr>
        <w:shd w:val="clear" w:color="auto" w:fill="FFFFFF"/>
        <w:snapToGrid w:val="0"/>
        <w:jc w:val="both"/>
        <w:rPr>
          <w:rFonts w:eastAsia="宋体"/>
          <w:sz w:val="24"/>
          <w:szCs w:val="24"/>
        </w:rPr>
      </w:pPr>
    </w:p>
    <w:p w14:paraId="25B38658">
      <w:pPr>
        <w:shd w:val="clear" w:color="auto" w:fill="FFFFFF"/>
        <w:snapToGrid w:val="0"/>
        <w:jc w:val="both"/>
        <w:rPr>
          <w:rFonts w:eastAsia="宋体"/>
          <w:color w:val="000000"/>
          <w:sz w:val="24"/>
          <w:szCs w:val="24"/>
        </w:rPr>
      </w:pPr>
      <w:del w:id="57" w:author="Aimee W" w:date="2022-08-08T13:17:00Z">
        <w:r>
          <w:rPr>
            <w:rFonts w:eastAsia="宋体"/>
            <w:color w:val="000000"/>
            <w:sz w:val="24"/>
            <w:szCs w:val="24"/>
          </w:rPr>
          <w:delText>一般来说，FDA的指导文件并没有确立法律上可执行的责任。相反，指南描述了监管机构对本主题的当前看法，除非引用了具体监管或法定要求，否则应仅视为建议。监管机构指南中使用的</w:delText>
        </w:r>
      </w:del>
      <w:del w:id="58" w:author="Aimee W" w:date="2022-08-08T13:17:00Z">
        <w:r>
          <w:rPr>
            <w:rFonts w:ascii="宋体" w:hAnsi="宋体" w:eastAsia="宋体"/>
            <w:color w:val="000000"/>
            <w:sz w:val="24"/>
            <w:szCs w:val="24"/>
          </w:rPr>
          <w:delText>“</w:delText>
        </w:r>
      </w:del>
      <w:del w:id="59" w:author="Aimee W" w:date="2022-08-08T13:17:00Z">
        <w:r>
          <w:rPr>
            <w:rFonts w:eastAsia="宋体"/>
            <w:i/>
            <w:iCs/>
            <w:color w:val="000000"/>
            <w:sz w:val="24"/>
            <w:szCs w:val="24"/>
          </w:rPr>
          <w:delText>应该（should）</w:delText>
        </w:r>
      </w:del>
      <w:del w:id="60" w:author="Aimee W" w:date="2022-08-08T13:17:00Z">
        <w:r>
          <w:rPr>
            <w:rFonts w:ascii="宋体" w:hAnsi="宋体" w:eastAsia="宋体"/>
            <w:color w:val="000000"/>
            <w:sz w:val="24"/>
            <w:szCs w:val="24"/>
          </w:rPr>
          <w:delText>”</w:delText>
        </w:r>
      </w:del>
      <w:del w:id="61" w:author="Aimee W" w:date="2022-08-08T13:17:00Z">
        <w:r>
          <w:rPr>
            <w:rFonts w:eastAsia="宋体"/>
            <w:color w:val="000000"/>
            <w:sz w:val="24"/>
            <w:szCs w:val="24"/>
          </w:rPr>
          <w:delText>一词指建议或推荐，但不</w:delText>
        </w:r>
      </w:del>
      <w:del w:id="62" w:author="Aimee W" w:date="2022-08-08T13:17:00Z">
        <w:r>
          <w:rPr>
            <w:rFonts w:hint="eastAsia" w:eastAsia="宋体"/>
            <w:color w:val="000000"/>
            <w:sz w:val="24"/>
            <w:szCs w:val="24"/>
          </w:rPr>
          <w:delText>要求</w:delText>
        </w:r>
      </w:del>
      <w:ins w:id="63" w:author="GAO, Bo" w:date="2022-03-16T22:27:00Z">
        <w:del w:id="64" w:author="Aimee W" w:date="2022-08-08T13:17:00Z">
          <w:r>
            <w:rPr>
              <w:rFonts w:hint="eastAsia" w:eastAsia="宋体"/>
              <w:color w:val="000000"/>
              <w:sz w:val="24"/>
              <w:szCs w:val="24"/>
            </w:rPr>
            <w:delText>是必须的</w:delText>
          </w:r>
        </w:del>
      </w:ins>
      <w:del w:id="65" w:author="Aimee W" w:date="2022-08-08T13:17:00Z">
        <w:r>
          <w:rPr>
            <w:rFonts w:eastAsia="宋体"/>
            <w:color w:val="000000"/>
            <w:sz w:val="24"/>
            <w:szCs w:val="24"/>
          </w:rPr>
          <w:delText>。</w:delText>
        </w:r>
      </w:del>
      <w:ins w:id="66" w:author="Aimee W" w:date="2022-08-08T13:17: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67" w:author="Aimee W" w:date="2022-08-08T13:17:00Z">
        <w:r>
          <w:rPr>
            <w:rFonts w:hint="eastAsia" w:eastAsia="宋体"/>
            <w:i/>
            <w:iCs/>
            <w:color w:val="000000"/>
            <w:sz w:val="24"/>
            <w:szCs w:val="24"/>
            <w:rPrChange w:id="68" w:author="Aimee W" w:date="2022-08-08T13:17:00Z">
              <w:rPr>
                <w:rFonts w:hint="eastAsia" w:eastAsia="宋体"/>
                <w:color w:val="000000"/>
                <w:sz w:val="24"/>
                <w:szCs w:val="24"/>
              </w:rPr>
            </w:rPrChange>
          </w:rPr>
          <w:t>应该（</w:t>
        </w:r>
      </w:ins>
      <w:ins w:id="69" w:author="Aimee W" w:date="2022-08-08T13:17:00Z">
        <w:r>
          <w:rPr>
            <w:rFonts w:eastAsia="宋体"/>
            <w:i/>
            <w:iCs/>
            <w:color w:val="000000"/>
            <w:sz w:val="24"/>
            <w:szCs w:val="24"/>
            <w:rPrChange w:id="70" w:author="Aimee W" w:date="2022-08-08T13:17:00Z">
              <w:rPr>
                <w:rFonts w:eastAsia="宋体"/>
                <w:color w:val="000000"/>
                <w:sz w:val="24"/>
                <w:szCs w:val="24"/>
              </w:rPr>
            </w:rPrChange>
          </w:rPr>
          <w:t>should</w:t>
        </w:r>
      </w:ins>
      <w:ins w:id="71" w:author="Aimee W" w:date="2022-08-08T13:17:00Z">
        <w:r>
          <w:rPr>
            <w:rFonts w:hint="eastAsia" w:eastAsia="宋体"/>
            <w:i/>
            <w:iCs/>
            <w:color w:val="000000"/>
            <w:sz w:val="24"/>
            <w:szCs w:val="24"/>
            <w:rPrChange w:id="72" w:author="Aimee W" w:date="2022-08-08T13:17:00Z">
              <w:rPr>
                <w:rFonts w:hint="eastAsia" w:eastAsia="宋体"/>
                <w:color w:val="000000"/>
                <w:sz w:val="24"/>
                <w:szCs w:val="24"/>
              </w:rPr>
            </w:rPrChange>
          </w:rPr>
          <w:t>）</w:t>
        </w:r>
      </w:ins>
      <w:ins w:id="73" w:author="Aimee W" w:date="2022-08-08T13:17:00Z">
        <w:r>
          <w:rPr>
            <w:rFonts w:hint="eastAsia" w:eastAsia="宋体"/>
            <w:color w:val="000000"/>
            <w:sz w:val="24"/>
            <w:szCs w:val="24"/>
          </w:rPr>
          <w:t>”一词指建议或推荐进行某一事项，并非强制要求。</w:t>
        </w:r>
      </w:ins>
    </w:p>
    <w:p w14:paraId="73359424">
      <w:pPr>
        <w:shd w:val="clear" w:color="auto" w:fill="FFFFFF"/>
        <w:snapToGrid w:val="0"/>
        <w:jc w:val="both"/>
        <w:rPr>
          <w:rFonts w:eastAsia="宋体"/>
          <w:color w:val="000000"/>
          <w:sz w:val="24"/>
          <w:szCs w:val="24"/>
        </w:rPr>
      </w:pPr>
    </w:p>
    <w:p w14:paraId="69810F6E">
      <w:pPr>
        <w:shd w:val="clear" w:color="auto" w:fill="FFFFFF"/>
        <w:snapToGrid w:val="0"/>
        <w:jc w:val="both"/>
        <w:rPr>
          <w:rFonts w:eastAsia="宋体"/>
          <w:sz w:val="21"/>
          <w:szCs w:val="21"/>
        </w:rPr>
      </w:pPr>
    </w:p>
    <w:p w14:paraId="1739CD99">
      <w:pPr>
        <w:pStyle w:val="2"/>
        <w:ind w:left="646" w:hanging="646"/>
        <w:rPr>
          <w:sz w:val="24"/>
          <w:szCs w:val="24"/>
        </w:rPr>
      </w:pPr>
      <w:bookmarkStart w:id="1" w:name="_Toc97477952"/>
      <w:r>
        <w:rPr>
          <w:sz w:val="24"/>
          <w:szCs w:val="24"/>
        </w:rPr>
        <w:t>II.</w:t>
      </w:r>
      <w:r>
        <w:rPr>
          <w:sz w:val="24"/>
          <w:szCs w:val="24"/>
        </w:rPr>
        <w:tab/>
      </w:r>
      <w:r>
        <w:rPr>
          <w:sz w:val="24"/>
          <w:szCs w:val="24"/>
        </w:rPr>
        <w:t>背景</w:t>
      </w:r>
      <w:bookmarkEnd w:id="1"/>
    </w:p>
    <w:p w14:paraId="1F9129DF">
      <w:pPr>
        <w:shd w:val="clear" w:color="auto" w:fill="FFFFFF"/>
        <w:snapToGrid w:val="0"/>
        <w:jc w:val="both"/>
        <w:rPr>
          <w:rFonts w:eastAsia="宋体"/>
          <w:color w:val="000000"/>
          <w:sz w:val="24"/>
          <w:szCs w:val="24"/>
        </w:rPr>
      </w:pPr>
    </w:p>
    <w:p w14:paraId="1F0007D6">
      <w:pPr>
        <w:shd w:val="clear" w:color="auto" w:fill="FFFFFF"/>
        <w:snapToGrid w:val="0"/>
        <w:jc w:val="both"/>
        <w:rPr>
          <w:rFonts w:eastAsia="宋体"/>
          <w:sz w:val="24"/>
          <w:szCs w:val="24"/>
        </w:rPr>
      </w:pPr>
      <w:r>
        <w:rPr>
          <w:rFonts w:eastAsia="宋体"/>
          <w:color w:val="000000"/>
          <w:sz w:val="24"/>
          <w:szCs w:val="24"/>
        </w:rPr>
        <w:t>虽然药品、器械和生物制品在作为组合产品的组成部分时保留了其独立的监管身份，但组合产品构成了一个独特的医疗产品类别，可以受到专门的监管要求。</w:t>
      </w:r>
      <w:r>
        <w:rPr>
          <w:rStyle w:val="17"/>
          <w:rFonts w:eastAsia="宋体"/>
          <w:color w:val="000000"/>
          <w:sz w:val="24"/>
          <w:szCs w:val="24"/>
        </w:rPr>
        <w:t xml:space="preserve"> </w:t>
      </w:r>
      <w:r>
        <w:rPr>
          <w:rStyle w:val="17"/>
          <w:rFonts w:eastAsia="宋体"/>
          <w:color w:val="000000"/>
          <w:sz w:val="24"/>
          <w:szCs w:val="24"/>
        </w:rPr>
        <w:footnoteReference w:id="8"/>
      </w:r>
      <w:r>
        <w:rPr>
          <w:rFonts w:eastAsia="宋体"/>
          <w:color w:val="000000"/>
          <w:sz w:val="24"/>
          <w:szCs w:val="24"/>
        </w:rPr>
        <w:t>因此，对组合产品的监管要求产生于适用于药品、器械和生物制品的法定和监管要求。</w:t>
      </w:r>
      <w:r>
        <w:rPr>
          <w:rStyle w:val="17"/>
          <w:rFonts w:eastAsia="宋体"/>
          <w:color w:val="000000"/>
          <w:sz w:val="24"/>
          <w:szCs w:val="24"/>
        </w:rPr>
        <w:t xml:space="preserve"> </w:t>
      </w:r>
      <w:r>
        <w:rPr>
          <w:rStyle w:val="17"/>
          <w:rFonts w:eastAsia="宋体"/>
          <w:color w:val="000000"/>
          <w:sz w:val="24"/>
          <w:szCs w:val="24"/>
        </w:rPr>
        <w:footnoteReference w:id="9"/>
      </w:r>
      <w:r>
        <w:rPr>
          <w:rFonts w:eastAsia="宋体"/>
          <w:color w:val="000000"/>
          <w:sz w:val="24"/>
          <w:szCs w:val="24"/>
        </w:rPr>
        <w:t>根据《联邦食品、药品和化妆品法案》第503(g)条，FDA致力于采用一致的、基于风险的方法来解决类似的监管问题，包括科学问题，利用FDA内部牵头和咨询中心的相关专业知识。</w:t>
      </w:r>
    </w:p>
    <w:p w14:paraId="5F395C94">
      <w:pPr>
        <w:shd w:val="clear" w:color="auto" w:fill="FFFFFF"/>
        <w:tabs>
          <w:tab w:val="left" w:pos="182"/>
        </w:tabs>
        <w:snapToGrid w:val="0"/>
        <w:jc w:val="both"/>
        <w:rPr>
          <w:rFonts w:eastAsia="宋体"/>
          <w:color w:val="000000"/>
          <w:sz w:val="24"/>
          <w:szCs w:val="24"/>
          <w:vertAlign w:val="superscript"/>
        </w:rPr>
      </w:pPr>
    </w:p>
    <w:p w14:paraId="36A190AD">
      <w:pPr>
        <w:shd w:val="clear" w:color="auto" w:fill="FFFFFF"/>
        <w:tabs>
          <w:tab w:val="left" w:pos="182"/>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6F3820CD">
      <w:pPr>
        <w:shd w:val="clear" w:color="auto" w:fill="FFFFFF"/>
        <w:snapToGrid w:val="0"/>
        <w:jc w:val="both"/>
        <w:rPr>
          <w:rFonts w:eastAsia="宋体"/>
          <w:color w:val="000000"/>
          <w:sz w:val="24"/>
          <w:szCs w:val="24"/>
        </w:rPr>
      </w:pPr>
      <w:r>
        <w:rPr>
          <w:rFonts w:eastAsia="宋体"/>
          <w:color w:val="000000"/>
          <w:sz w:val="24"/>
          <w:szCs w:val="24"/>
        </w:rPr>
        <w:t>根据申请人的开发计划，在某些情况下，申请人可能拥有自己关于另一个组合产品或拟议的组成成分的现有信息（或信息参考权），如果能够建立适当的桥梁，可以利用这些信息来支持拟议组合产品的批准。一般来说，只有在需要解决组合产品中某一成分的拟议用途或功能所引起的额外安全或有效性问题时，FDA才会要求提供额外数据和信息。</w:t>
      </w:r>
      <w:r>
        <w:rPr>
          <w:rStyle w:val="17"/>
          <w:rFonts w:eastAsia="宋体"/>
          <w:color w:val="000000"/>
          <w:sz w:val="24"/>
          <w:szCs w:val="24"/>
        </w:rPr>
        <w:t xml:space="preserve"> </w:t>
      </w:r>
      <w:r>
        <w:rPr>
          <w:rStyle w:val="17"/>
          <w:rFonts w:eastAsia="宋体"/>
          <w:color w:val="000000"/>
          <w:sz w:val="24"/>
          <w:szCs w:val="24"/>
        </w:rPr>
        <w:footnoteReference w:id="10"/>
      </w:r>
      <w:r>
        <w:rPr>
          <w:rFonts w:eastAsia="宋体"/>
          <w:color w:val="000000"/>
          <w:sz w:val="24"/>
          <w:szCs w:val="24"/>
        </w:rPr>
        <w:t>例如，一般来说，如果拟作为组合产品的器械构成部分的独立器械先前已被批准或核准，申请人可能能够利用相关的现有器械相关数据，只要这些数据已被连接起来（即证明是科学相关的），用于开发新的组合产品。</w:t>
      </w:r>
    </w:p>
    <w:p w14:paraId="574F3E26">
      <w:pPr>
        <w:shd w:val="clear" w:color="auto" w:fill="FFFFFF"/>
        <w:snapToGrid w:val="0"/>
        <w:jc w:val="both"/>
        <w:rPr>
          <w:rFonts w:eastAsia="宋体"/>
          <w:sz w:val="24"/>
          <w:szCs w:val="24"/>
        </w:rPr>
      </w:pPr>
    </w:p>
    <w:p w14:paraId="16102461">
      <w:pPr>
        <w:shd w:val="clear" w:color="auto" w:fill="FFFFFF"/>
        <w:snapToGrid w:val="0"/>
        <w:jc w:val="both"/>
        <w:rPr>
          <w:rFonts w:eastAsia="宋体"/>
          <w:color w:val="000000"/>
          <w:sz w:val="24"/>
          <w:szCs w:val="24"/>
        </w:rPr>
      </w:pPr>
      <w:r>
        <w:rPr>
          <w:rFonts w:eastAsia="宋体"/>
          <w:color w:val="000000"/>
          <w:sz w:val="24"/>
          <w:szCs w:val="24"/>
        </w:rPr>
        <w:t>在某些情况下，这种拟议的组合产品可以利用的信息量可能很小，或者不可能利用。例如，复杂的生物制品给药途径的改变可能会引起额外的安全和/或疗效考虑，而这种考虑可能会使其难以与拟议的组合产品衔接。与</w:t>
      </w:r>
      <w:del w:id="74" w:author="Aimee W" w:date="2022-08-08T13:19:00Z">
        <w:r>
          <w:rPr>
            <w:rFonts w:eastAsia="宋体"/>
            <w:color w:val="000000"/>
            <w:sz w:val="24"/>
            <w:szCs w:val="24"/>
          </w:rPr>
          <w:delText>监管机构</w:delText>
        </w:r>
      </w:del>
      <w:ins w:id="75" w:author="Aimee W" w:date="2022-08-08T13:19:00Z">
        <w:r>
          <w:rPr>
            <w:rFonts w:hint="eastAsia" w:eastAsia="宋体"/>
            <w:color w:val="000000"/>
            <w:sz w:val="24"/>
            <w:szCs w:val="24"/>
          </w:rPr>
          <w:t>F</w:t>
        </w:r>
      </w:ins>
      <w:ins w:id="76" w:author="Aimee W" w:date="2022-08-08T13:19:00Z">
        <w:r>
          <w:rPr>
            <w:rFonts w:eastAsia="宋体"/>
            <w:color w:val="000000"/>
            <w:sz w:val="24"/>
            <w:szCs w:val="24"/>
          </w:rPr>
          <w:t>DA</w:t>
        </w:r>
      </w:ins>
      <w:r>
        <w:rPr>
          <w:rFonts w:eastAsia="宋体"/>
          <w:color w:val="000000"/>
          <w:sz w:val="24"/>
          <w:szCs w:val="24"/>
        </w:rPr>
        <w:t>讨论计划的杠杆作用适合在药物开发的早期确定问题。</w:t>
      </w:r>
    </w:p>
    <w:p w14:paraId="04505849">
      <w:pPr>
        <w:shd w:val="clear" w:color="auto" w:fill="FFFFFF"/>
        <w:snapToGrid w:val="0"/>
        <w:jc w:val="both"/>
        <w:rPr>
          <w:rFonts w:eastAsia="宋体"/>
          <w:color w:val="000000"/>
          <w:sz w:val="24"/>
          <w:szCs w:val="24"/>
        </w:rPr>
      </w:pPr>
    </w:p>
    <w:p w14:paraId="1957A118">
      <w:pPr>
        <w:shd w:val="clear" w:color="auto" w:fill="FFFFFF"/>
        <w:snapToGrid w:val="0"/>
        <w:jc w:val="both"/>
        <w:rPr>
          <w:rFonts w:eastAsia="宋体"/>
          <w:sz w:val="24"/>
          <w:szCs w:val="24"/>
        </w:rPr>
      </w:pPr>
    </w:p>
    <w:p w14:paraId="51CBCE83">
      <w:pPr>
        <w:pStyle w:val="2"/>
        <w:ind w:left="646" w:hanging="646"/>
        <w:rPr>
          <w:sz w:val="24"/>
          <w:szCs w:val="24"/>
        </w:rPr>
      </w:pPr>
      <w:bookmarkStart w:id="2" w:name="_Toc97477953"/>
      <w:r>
        <w:rPr>
          <w:sz w:val="24"/>
          <w:szCs w:val="24"/>
        </w:rPr>
        <w:t>III.</w:t>
      </w:r>
      <w:r>
        <w:rPr>
          <w:sz w:val="24"/>
          <w:szCs w:val="24"/>
        </w:rPr>
        <w:tab/>
      </w:r>
      <w:r>
        <w:rPr>
          <w:sz w:val="24"/>
          <w:szCs w:val="24"/>
        </w:rPr>
        <w:t>制定一个分析框架，以确定信息差距，从而为桥接和利用方法提供信息。</w:t>
      </w:r>
      <w:bookmarkEnd w:id="2"/>
    </w:p>
    <w:p w14:paraId="12BE6BA8">
      <w:pPr>
        <w:shd w:val="clear" w:color="auto" w:fill="FFFFFF"/>
        <w:snapToGrid w:val="0"/>
        <w:jc w:val="both"/>
        <w:rPr>
          <w:rFonts w:eastAsia="宋体"/>
          <w:color w:val="000000"/>
          <w:sz w:val="24"/>
          <w:szCs w:val="24"/>
        </w:rPr>
      </w:pPr>
    </w:p>
    <w:p w14:paraId="2E34CD5F">
      <w:pPr>
        <w:shd w:val="clear" w:color="auto" w:fill="FFFFFF"/>
        <w:snapToGrid w:val="0"/>
        <w:jc w:val="both"/>
        <w:rPr>
          <w:rFonts w:eastAsia="宋体"/>
          <w:color w:val="000000"/>
          <w:sz w:val="24"/>
          <w:szCs w:val="24"/>
        </w:rPr>
      </w:pPr>
      <w:r>
        <w:rPr>
          <w:rFonts w:eastAsia="宋体"/>
          <w:color w:val="000000"/>
          <w:sz w:val="24"/>
          <w:szCs w:val="24"/>
        </w:rPr>
        <w:t>制定一个框架，确定组合产品开发计划中可能存在的信息差距是申请人的一项重要任务。以下信息假定申请人熟悉现有的FDA法规、指导文件，以及药物评价和研究中心（CDER）、生物制品评价和研究中心、器械和放射卫生中心以及组合产品办公室提供的关于药物和器械开发的资源，以评估应包括在IND、NDA或BLA中的信息，如有必要。在此前提下，下面的框架示例假设申请人寻求从FDA批准的药械（给药系统）组合产品A与申报组合产品B的桥梁。</w:t>
      </w:r>
      <w:del w:id="77" w:author="Aimee W" w:date="2022-08-08T13:19:00Z">
        <w:r>
          <w:rPr>
            <w:rFonts w:eastAsia="宋体"/>
            <w:color w:val="000000"/>
            <w:sz w:val="24"/>
            <w:szCs w:val="24"/>
          </w:rPr>
          <w:delText>监管机构</w:delText>
        </w:r>
      </w:del>
      <w:ins w:id="78" w:author="Aimee W" w:date="2022-08-08T13:19:00Z">
        <w:r>
          <w:rPr>
            <w:rFonts w:hint="eastAsia" w:eastAsia="宋体"/>
            <w:color w:val="000000"/>
            <w:sz w:val="24"/>
            <w:szCs w:val="24"/>
          </w:rPr>
          <w:t>F</w:t>
        </w:r>
      </w:ins>
      <w:ins w:id="79" w:author="Aimee W" w:date="2022-08-08T13:19:00Z">
        <w:r>
          <w:rPr>
            <w:rFonts w:eastAsia="宋体"/>
            <w:color w:val="000000"/>
            <w:sz w:val="24"/>
            <w:szCs w:val="24"/>
          </w:rPr>
          <w:t>DA</w:t>
        </w:r>
      </w:ins>
      <w:r>
        <w:rPr>
          <w:rFonts w:eastAsia="宋体"/>
          <w:color w:val="000000"/>
          <w:sz w:val="24"/>
          <w:szCs w:val="24"/>
        </w:rPr>
        <w:t>建议申请人使用下列逐步方法对申报组合产品B进行差异分析：</w:t>
      </w:r>
    </w:p>
    <w:p w14:paraId="3AB777F9">
      <w:pPr>
        <w:shd w:val="clear" w:color="auto" w:fill="FFFFFF"/>
        <w:snapToGrid w:val="0"/>
        <w:jc w:val="both"/>
        <w:rPr>
          <w:rFonts w:eastAsia="宋体"/>
          <w:sz w:val="24"/>
          <w:szCs w:val="24"/>
        </w:rPr>
      </w:pPr>
    </w:p>
    <w:p w14:paraId="2B8269B8">
      <w:pPr>
        <w:shd w:val="clear" w:color="auto" w:fill="FFFFFF"/>
        <w:snapToGrid w:val="0"/>
        <w:ind w:left="314" w:leftChars="157"/>
        <w:jc w:val="both"/>
        <w:rPr>
          <w:rFonts w:eastAsia="宋体"/>
          <w:sz w:val="24"/>
          <w:szCs w:val="24"/>
        </w:rPr>
      </w:pPr>
      <w:r>
        <w:rPr>
          <w:rFonts w:eastAsia="宋体"/>
          <w:b/>
          <w:bCs/>
          <w:color w:val="000000"/>
          <w:sz w:val="24"/>
          <w:szCs w:val="24"/>
        </w:rPr>
        <w:t>第1步。</w:t>
      </w:r>
      <w:r>
        <w:rPr>
          <w:rFonts w:eastAsia="宋体"/>
          <w:color w:val="000000"/>
          <w:sz w:val="24"/>
          <w:szCs w:val="24"/>
        </w:rPr>
        <w:t>确定组合产品A和B之间的所有差异，并考虑个别和总体差异对组合产品B的安全性和有效性的潜在影响。</w:t>
      </w:r>
    </w:p>
    <w:p w14:paraId="451E7EA7">
      <w:pPr>
        <w:shd w:val="clear" w:color="auto" w:fill="FFFFFF"/>
        <w:snapToGrid w:val="0"/>
        <w:jc w:val="both"/>
        <w:rPr>
          <w:rFonts w:eastAsia="宋体"/>
          <w:sz w:val="24"/>
          <w:szCs w:val="24"/>
        </w:rPr>
      </w:pPr>
    </w:p>
    <w:p w14:paraId="3DED9918">
      <w:pPr>
        <w:shd w:val="clear" w:color="auto" w:fill="FFFFFF"/>
        <w:snapToGrid w:val="0"/>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5F17120C">
      <w:pPr>
        <w:shd w:val="clear" w:color="auto" w:fill="FFFFFF"/>
        <w:snapToGrid w:val="0"/>
        <w:ind w:left="314" w:leftChars="157"/>
        <w:jc w:val="both"/>
        <w:rPr>
          <w:rFonts w:eastAsia="宋体"/>
          <w:color w:val="000000"/>
          <w:sz w:val="24"/>
          <w:szCs w:val="24"/>
        </w:rPr>
      </w:pPr>
      <w:r>
        <w:rPr>
          <w:rFonts w:eastAsia="宋体"/>
          <w:color w:val="000000"/>
          <w:sz w:val="24"/>
          <w:szCs w:val="24"/>
        </w:rPr>
        <w:t>具体而言，对于组合产品B与组合产品A的比较，安全性和有效性简介应包括清晰、全面地列出器械成分部分、药物成分部分和组合产品整体的差异。与组合产品A的现有安全性和/或有效性情况相比，组合产品B的药物或器械成分部分的变化可能产生的影响的一些示例包括如下：</w:t>
      </w:r>
    </w:p>
    <w:p w14:paraId="131C3885">
      <w:pPr>
        <w:shd w:val="clear" w:color="auto" w:fill="FFFFFF"/>
        <w:snapToGrid w:val="0"/>
        <w:jc w:val="both"/>
        <w:rPr>
          <w:rFonts w:eastAsia="宋体"/>
          <w:sz w:val="24"/>
          <w:szCs w:val="24"/>
        </w:rPr>
      </w:pPr>
    </w:p>
    <w:p w14:paraId="3CB0F7D8">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局部注射不良反应情况的变化，包括与药物浓度的增加、药物粘度或配方的变化或注射速度的变化有关的情况。</w:t>
      </w:r>
    </w:p>
    <w:p w14:paraId="6C20F5C7">
      <w:pPr>
        <w:shd w:val="clear" w:color="auto" w:fill="FFFFFF"/>
        <w:snapToGrid w:val="0"/>
        <w:ind w:left="929" w:leftChars="307" w:hanging="315"/>
        <w:jc w:val="both"/>
        <w:rPr>
          <w:rFonts w:eastAsia="宋体"/>
          <w:color w:val="000000"/>
          <w:sz w:val="24"/>
          <w:szCs w:val="24"/>
        </w:rPr>
      </w:pPr>
    </w:p>
    <w:p w14:paraId="4781CB1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改变药物配方时，同一器械构成部分的剂量精密度发生变化</w:t>
      </w:r>
    </w:p>
    <w:p w14:paraId="59598F5E">
      <w:pPr>
        <w:shd w:val="clear" w:color="auto" w:fill="FFFFFF"/>
        <w:snapToGrid w:val="0"/>
        <w:ind w:left="929" w:leftChars="307" w:hanging="315"/>
        <w:jc w:val="both"/>
        <w:rPr>
          <w:rFonts w:eastAsia="宋体"/>
          <w:color w:val="000000"/>
          <w:sz w:val="24"/>
          <w:szCs w:val="24"/>
        </w:rPr>
      </w:pPr>
    </w:p>
    <w:p w14:paraId="5BDDEAB4">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可能影响药品质量的制造工艺和/或器械构成部分的变化</w:t>
      </w:r>
    </w:p>
    <w:p w14:paraId="6B81E842">
      <w:pPr>
        <w:shd w:val="clear" w:color="auto" w:fill="FFFFFF"/>
        <w:snapToGrid w:val="0"/>
        <w:ind w:left="929" w:leftChars="307" w:hanging="315"/>
        <w:jc w:val="both"/>
        <w:rPr>
          <w:rFonts w:eastAsia="宋体"/>
          <w:color w:val="000000"/>
          <w:sz w:val="24"/>
          <w:szCs w:val="24"/>
        </w:rPr>
      </w:pPr>
    </w:p>
    <w:p w14:paraId="71B82941">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当器械构成部分的</w:t>
      </w:r>
      <w:del w:id="80" w:author="Aimee W" w:date="2022-08-08T14:33:00Z">
        <w:r>
          <w:rPr>
            <w:rFonts w:eastAsia="宋体"/>
            <w:color w:val="000000"/>
            <w:sz w:val="24"/>
            <w:szCs w:val="24"/>
          </w:rPr>
          <w:delText>使用者</w:delText>
        </w:r>
      </w:del>
      <w:ins w:id="81" w:author="Aimee W" w:date="2022-08-08T14:33:00Z">
        <w:r>
          <w:rPr>
            <w:rFonts w:eastAsia="宋体"/>
            <w:color w:val="000000"/>
            <w:sz w:val="24"/>
            <w:szCs w:val="24"/>
          </w:rPr>
          <w:t>用户</w:t>
        </w:r>
      </w:ins>
      <w:r>
        <w:rPr>
          <w:rFonts w:eastAsia="宋体"/>
          <w:color w:val="000000"/>
          <w:sz w:val="24"/>
          <w:szCs w:val="24"/>
        </w:rPr>
        <w:t>界面发生变化时，预期</w:t>
      </w:r>
      <w:del w:id="82" w:author="Aimee W" w:date="2022-08-08T14:33:00Z">
        <w:r>
          <w:rPr>
            <w:rFonts w:eastAsia="宋体"/>
            <w:color w:val="000000"/>
            <w:sz w:val="24"/>
            <w:szCs w:val="24"/>
          </w:rPr>
          <w:delText>使用者</w:delText>
        </w:r>
      </w:del>
      <w:ins w:id="83" w:author="Aimee W" w:date="2022-08-08T14:33:00Z">
        <w:r>
          <w:rPr>
            <w:rFonts w:eastAsia="宋体"/>
            <w:color w:val="000000"/>
            <w:sz w:val="24"/>
            <w:szCs w:val="24"/>
          </w:rPr>
          <w:t>用户</w:t>
        </w:r>
      </w:ins>
      <w:r>
        <w:rPr>
          <w:rFonts w:eastAsia="宋体"/>
          <w:color w:val="000000"/>
          <w:sz w:val="24"/>
          <w:szCs w:val="24"/>
        </w:rPr>
        <w:t>是否能安全有效地使用组合产品B的变化</w:t>
      </w:r>
    </w:p>
    <w:p w14:paraId="4113976D">
      <w:pPr>
        <w:shd w:val="clear" w:color="auto" w:fill="FFFFFF"/>
        <w:snapToGrid w:val="0"/>
        <w:ind w:left="929" w:leftChars="307" w:hanging="315"/>
        <w:jc w:val="both"/>
        <w:rPr>
          <w:rFonts w:eastAsia="宋体"/>
          <w:color w:val="000000"/>
          <w:sz w:val="24"/>
          <w:szCs w:val="24"/>
        </w:rPr>
      </w:pPr>
    </w:p>
    <w:p w14:paraId="27A51155">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由于器械、制剂或给药途径的改变而可能发生的药物生物利用度和/或其代谢情况的变化，如以下情况。</w:t>
      </w:r>
    </w:p>
    <w:p w14:paraId="0296B077">
      <w:pPr>
        <w:snapToGrid w:val="0"/>
        <w:ind w:left="660" w:leftChars="150" w:hanging="360" w:hangingChars="150"/>
        <w:jc w:val="both"/>
        <w:rPr>
          <w:rFonts w:eastAsia="宋体"/>
          <w:sz w:val="24"/>
          <w:szCs w:val="24"/>
        </w:rPr>
      </w:pPr>
    </w:p>
    <w:p w14:paraId="69FC7CC0">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针头深度、组织平面或输液速度的变化</w:t>
      </w:r>
    </w:p>
    <w:p w14:paraId="164AC273">
      <w:pPr>
        <w:shd w:val="clear" w:color="auto" w:fill="FFFFFF"/>
        <w:snapToGrid w:val="0"/>
        <w:ind w:left="1275" w:leftChars="480" w:hanging="315"/>
        <w:jc w:val="both"/>
        <w:rPr>
          <w:rFonts w:eastAsia="宋体"/>
          <w:color w:val="000000"/>
          <w:sz w:val="24"/>
          <w:szCs w:val="24"/>
        </w:rPr>
      </w:pPr>
    </w:p>
    <w:p w14:paraId="4D126116">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药物配方的改变导致不同的肺部沉积，即使使用相同的器械给药也是如此</w:t>
      </w:r>
    </w:p>
    <w:p w14:paraId="55236261">
      <w:pPr>
        <w:shd w:val="clear" w:color="auto" w:fill="FFFFFF"/>
        <w:snapToGrid w:val="0"/>
        <w:ind w:left="660" w:leftChars="150" w:hanging="360" w:hangingChars="150"/>
        <w:jc w:val="both"/>
        <w:rPr>
          <w:rFonts w:eastAsia="宋体"/>
          <w:color w:val="000000"/>
          <w:sz w:val="24"/>
          <w:szCs w:val="24"/>
        </w:rPr>
      </w:pPr>
    </w:p>
    <w:p w14:paraId="498217D4">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药物配方的变化会影响组合产品的可浸出和可浸提情况</w:t>
      </w:r>
    </w:p>
    <w:p w14:paraId="1ED8EBC5">
      <w:pPr>
        <w:shd w:val="clear" w:color="auto" w:fill="FFFFFF"/>
        <w:snapToGrid w:val="0"/>
        <w:jc w:val="both"/>
        <w:rPr>
          <w:rFonts w:eastAsia="宋体"/>
          <w:b/>
          <w:bCs/>
          <w:color w:val="000000"/>
          <w:sz w:val="24"/>
          <w:szCs w:val="24"/>
        </w:rPr>
      </w:pPr>
    </w:p>
    <w:p w14:paraId="02D9B08C">
      <w:pPr>
        <w:shd w:val="clear" w:color="auto" w:fill="FFFFFF"/>
        <w:snapToGrid w:val="0"/>
        <w:ind w:left="314" w:leftChars="157"/>
        <w:jc w:val="both"/>
        <w:rPr>
          <w:rFonts w:eastAsia="宋体"/>
          <w:color w:val="000000"/>
          <w:sz w:val="24"/>
          <w:szCs w:val="24"/>
        </w:rPr>
      </w:pPr>
      <w:r>
        <w:rPr>
          <w:rFonts w:eastAsia="宋体"/>
          <w:b/>
          <w:bCs/>
          <w:color w:val="000000"/>
          <w:sz w:val="24"/>
          <w:szCs w:val="24"/>
        </w:rPr>
        <w:t>第2步。</w:t>
      </w:r>
      <w:r>
        <w:rPr>
          <w:rFonts w:eastAsia="宋体"/>
          <w:color w:val="000000"/>
          <w:sz w:val="24"/>
          <w:szCs w:val="24"/>
        </w:rPr>
        <w:t>确定组合产品B的现有信息（即通过对拟议组合产品本身的研究和评估收集或产生的信息），并将其与批准所需的安全性和有效性提交要求</w:t>
      </w:r>
      <w:del w:id="84" w:author="Z" w:date="2022-04-04T18:34:00Z">
        <w:r>
          <w:rPr>
            <w:rFonts w:hint="eastAsia" w:eastAsia="宋体"/>
            <w:color w:val="000000"/>
            <w:sz w:val="24"/>
            <w:szCs w:val="24"/>
          </w:rPr>
          <w:delText>进行</w:delText>
        </w:r>
      </w:del>
      <w:ins w:id="85" w:author="Z" w:date="2022-04-04T18:34:00Z">
        <w:r>
          <w:rPr>
            <w:rFonts w:hint="eastAsia" w:eastAsia="宋体"/>
            <w:color w:val="000000"/>
            <w:sz w:val="24"/>
            <w:szCs w:val="24"/>
          </w:rPr>
          <w:t>加以</w:t>
        </w:r>
      </w:ins>
      <w:r>
        <w:rPr>
          <w:rFonts w:eastAsia="宋体"/>
          <w:color w:val="000000"/>
          <w:sz w:val="24"/>
          <w:szCs w:val="24"/>
        </w:rPr>
        <w:t>比较。</w:t>
      </w:r>
    </w:p>
    <w:p w14:paraId="7456A560">
      <w:pPr>
        <w:shd w:val="clear" w:color="auto" w:fill="FFFFFF"/>
        <w:snapToGrid w:val="0"/>
        <w:ind w:left="314" w:leftChars="157"/>
        <w:jc w:val="both"/>
        <w:rPr>
          <w:rFonts w:eastAsia="宋体"/>
          <w:sz w:val="24"/>
          <w:szCs w:val="24"/>
        </w:rPr>
      </w:pPr>
    </w:p>
    <w:p w14:paraId="3B134EC3">
      <w:pPr>
        <w:shd w:val="clear" w:color="auto" w:fill="FFFFFF"/>
        <w:snapToGrid w:val="0"/>
        <w:ind w:left="314" w:leftChars="157"/>
        <w:jc w:val="both"/>
        <w:rPr>
          <w:rFonts w:eastAsia="宋体"/>
          <w:color w:val="000000"/>
          <w:sz w:val="24"/>
          <w:szCs w:val="24"/>
        </w:rPr>
      </w:pPr>
      <w:r>
        <w:rPr>
          <w:rFonts w:eastAsia="宋体"/>
          <w:b/>
          <w:bCs/>
          <w:color w:val="000000"/>
          <w:sz w:val="24"/>
          <w:szCs w:val="24"/>
        </w:rPr>
        <w:t>第3步。</w:t>
      </w:r>
      <w:r>
        <w:rPr>
          <w:rFonts w:eastAsia="宋体"/>
          <w:color w:val="000000"/>
          <w:sz w:val="24"/>
          <w:szCs w:val="24"/>
        </w:rPr>
        <w:t>考虑到步骤1中的考虑因素和步骤2中</w:t>
      </w:r>
      <w:del w:id="86" w:author="Z" w:date="2022-04-04T18:34:00Z">
        <w:r>
          <w:rPr>
            <w:rFonts w:eastAsia="宋体"/>
            <w:color w:val="000000"/>
            <w:sz w:val="24"/>
            <w:szCs w:val="24"/>
          </w:rPr>
          <w:delText>已经</w:delText>
        </w:r>
      </w:del>
      <w:r>
        <w:rPr>
          <w:rFonts w:eastAsia="宋体"/>
          <w:color w:val="000000"/>
          <w:sz w:val="24"/>
          <w:szCs w:val="24"/>
        </w:rPr>
        <w:t>收集到的信息，确定并解释</w:t>
      </w:r>
      <w:del w:id="87" w:author="Z" w:date="2022-04-04T18:34:00Z">
        <w:r>
          <w:rPr>
            <w:rFonts w:eastAsia="宋体"/>
            <w:color w:val="000000"/>
            <w:sz w:val="24"/>
            <w:szCs w:val="24"/>
          </w:rPr>
          <w:delText>如何以及为什么</w:delText>
        </w:r>
      </w:del>
      <w:r>
        <w:rPr>
          <w:rFonts w:eastAsia="宋体"/>
          <w:color w:val="000000"/>
          <w:sz w:val="24"/>
          <w:szCs w:val="24"/>
        </w:rPr>
        <w:t>关于组合产品A的现有信息可以被</w:t>
      </w:r>
      <w:ins w:id="88" w:author="Z" w:date="2022-04-04T18:34:00Z">
        <w:r>
          <w:rPr>
            <w:rFonts w:hint="eastAsia" w:eastAsia="宋体"/>
            <w:color w:val="000000"/>
            <w:sz w:val="24"/>
            <w:szCs w:val="24"/>
          </w:rPr>
          <w:t>如何</w:t>
        </w:r>
      </w:ins>
      <w:r>
        <w:rPr>
          <w:rFonts w:eastAsia="宋体"/>
          <w:color w:val="000000"/>
          <w:sz w:val="24"/>
          <w:szCs w:val="24"/>
        </w:rPr>
        <w:t>衔接和利用</w:t>
      </w:r>
      <w:ins w:id="89" w:author="Z" w:date="2022-04-04T18:34:00Z">
        <w:r>
          <w:rPr>
            <w:rFonts w:hint="eastAsia" w:eastAsia="宋体"/>
            <w:color w:val="000000"/>
            <w:sz w:val="24"/>
            <w:szCs w:val="24"/>
          </w:rPr>
          <w:t>以及相应原因</w:t>
        </w:r>
      </w:ins>
      <w:r>
        <w:rPr>
          <w:rFonts w:eastAsia="宋体"/>
          <w:color w:val="000000"/>
          <w:sz w:val="24"/>
          <w:szCs w:val="24"/>
        </w:rPr>
        <w:t>，以支持组合产品B的批准。</w:t>
      </w:r>
    </w:p>
    <w:p w14:paraId="6EC15532">
      <w:pPr>
        <w:shd w:val="clear" w:color="auto" w:fill="FFFFFF"/>
        <w:snapToGrid w:val="0"/>
        <w:ind w:left="314" w:leftChars="157"/>
        <w:jc w:val="both"/>
        <w:rPr>
          <w:rFonts w:eastAsia="宋体"/>
          <w:sz w:val="24"/>
          <w:szCs w:val="24"/>
        </w:rPr>
      </w:pPr>
    </w:p>
    <w:p w14:paraId="09EE4E83">
      <w:pPr>
        <w:shd w:val="clear" w:color="auto" w:fill="FFFFFF"/>
        <w:snapToGrid w:val="0"/>
        <w:ind w:left="314" w:leftChars="157"/>
        <w:jc w:val="both"/>
        <w:rPr>
          <w:rFonts w:eastAsia="宋体"/>
          <w:sz w:val="24"/>
          <w:szCs w:val="24"/>
        </w:rPr>
      </w:pPr>
      <w:r>
        <w:rPr>
          <w:rFonts w:eastAsia="宋体"/>
          <w:b/>
          <w:bCs/>
          <w:color w:val="000000"/>
          <w:sz w:val="24"/>
          <w:szCs w:val="24"/>
        </w:rPr>
        <w:t>第4步。</w:t>
      </w:r>
      <w:r>
        <w:rPr>
          <w:rFonts w:eastAsia="宋体"/>
          <w:color w:val="000000"/>
          <w:sz w:val="24"/>
          <w:szCs w:val="24"/>
        </w:rPr>
        <w:t>重点关注步骤2和步骤3中剩余的任何信息差距，并考虑在直接为组合产品A或B收集的信息之外，是否可以审查和使用其他现有信息，以解决下文步骤5所述的拟议监管途径下的这些差距。</w:t>
      </w:r>
      <w:r>
        <w:rPr>
          <w:rStyle w:val="17"/>
          <w:rFonts w:eastAsia="宋体"/>
          <w:color w:val="000000"/>
          <w:sz w:val="24"/>
          <w:szCs w:val="24"/>
        </w:rPr>
        <w:t xml:space="preserve"> </w:t>
      </w:r>
      <w:r>
        <w:rPr>
          <w:rStyle w:val="17"/>
          <w:rFonts w:eastAsia="宋体"/>
          <w:color w:val="000000"/>
          <w:sz w:val="24"/>
          <w:szCs w:val="24"/>
        </w:rPr>
        <w:footnoteReference w:id="11"/>
      </w:r>
    </w:p>
    <w:p w14:paraId="1646A812">
      <w:pPr>
        <w:shd w:val="clear" w:color="auto" w:fill="FFFFFF"/>
        <w:snapToGrid w:val="0"/>
        <w:jc w:val="both"/>
        <w:rPr>
          <w:rFonts w:eastAsia="宋体"/>
          <w:sz w:val="24"/>
          <w:szCs w:val="24"/>
        </w:rPr>
      </w:pPr>
    </w:p>
    <w:p w14:paraId="2FAA8206">
      <w:pPr>
        <w:shd w:val="clear" w:color="auto" w:fill="FFFFFF"/>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3B4ADE98">
      <w:pPr>
        <w:shd w:val="clear" w:color="auto" w:fill="FFFFFF"/>
        <w:snapToGrid w:val="0"/>
        <w:ind w:left="314" w:leftChars="157"/>
        <w:jc w:val="both"/>
        <w:rPr>
          <w:rFonts w:eastAsia="宋体"/>
          <w:color w:val="000000"/>
          <w:sz w:val="24"/>
          <w:szCs w:val="24"/>
        </w:rPr>
      </w:pPr>
      <w:r>
        <w:rPr>
          <w:rFonts w:eastAsia="宋体"/>
          <w:b/>
          <w:bCs/>
          <w:color w:val="000000"/>
          <w:sz w:val="24"/>
          <w:szCs w:val="24"/>
        </w:rPr>
        <w:t>第5步。</w:t>
      </w:r>
      <w:r>
        <w:rPr>
          <w:rFonts w:eastAsia="宋体"/>
          <w:color w:val="000000"/>
          <w:sz w:val="24"/>
          <w:szCs w:val="24"/>
        </w:rPr>
        <w:t>比较步骤2到步骤4的发现，确定需要在产品应用中解决的剩余信息差距。</w:t>
      </w:r>
    </w:p>
    <w:p w14:paraId="424A52D2">
      <w:pPr>
        <w:shd w:val="clear" w:color="auto" w:fill="FFFFFF"/>
        <w:snapToGrid w:val="0"/>
        <w:jc w:val="both"/>
        <w:rPr>
          <w:rFonts w:eastAsia="宋体"/>
          <w:sz w:val="24"/>
          <w:szCs w:val="24"/>
        </w:rPr>
      </w:pPr>
    </w:p>
    <w:p w14:paraId="385827D1">
      <w:pPr>
        <w:shd w:val="clear" w:color="auto" w:fill="FFFFFF"/>
        <w:snapToGrid w:val="0"/>
        <w:jc w:val="both"/>
        <w:rPr>
          <w:rFonts w:eastAsia="宋体"/>
          <w:color w:val="000000"/>
          <w:sz w:val="24"/>
          <w:szCs w:val="24"/>
        </w:rPr>
      </w:pPr>
      <w:r>
        <w:rPr>
          <w:rFonts w:eastAsia="宋体"/>
          <w:color w:val="000000"/>
          <w:sz w:val="24"/>
          <w:szCs w:val="24"/>
        </w:rPr>
        <w:t>在完成差距分析后，FDA建议申请人与FDA的牵头中心审查部门以及咨询审查员会面，讨论可能需要哪些新信息或研究来支持组合产品B的申请。</w:t>
      </w:r>
    </w:p>
    <w:p w14:paraId="28FC5B7D">
      <w:pPr>
        <w:shd w:val="clear" w:color="auto" w:fill="FFFFFF"/>
        <w:snapToGrid w:val="0"/>
        <w:jc w:val="both"/>
        <w:rPr>
          <w:rFonts w:eastAsia="宋体"/>
          <w:sz w:val="24"/>
          <w:szCs w:val="24"/>
        </w:rPr>
      </w:pPr>
    </w:p>
    <w:p w14:paraId="744E86B9">
      <w:pPr>
        <w:shd w:val="clear" w:color="auto" w:fill="FFFFFF"/>
        <w:snapToGrid w:val="0"/>
        <w:jc w:val="both"/>
        <w:rPr>
          <w:rFonts w:eastAsia="宋体"/>
          <w:sz w:val="24"/>
          <w:szCs w:val="24"/>
        </w:rPr>
      </w:pPr>
      <w:r>
        <w:rPr>
          <w:rFonts w:eastAsia="宋体"/>
          <w:b/>
          <w:bCs/>
          <w:color w:val="000000"/>
          <w:sz w:val="24"/>
          <w:szCs w:val="24"/>
        </w:rPr>
        <w:t>特别考虑：</w:t>
      </w:r>
      <w:r>
        <w:rPr>
          <w:rFonts w:eastAsia="宋体"/>
          <w:color w:val="000000"/>
          <w:sz w:val="24"/>
          <w:szCs w:val="24"/>
        </w:rPr>
        <w:t>上述分步框架和相关分析是关于申请人应如何准备申请的一般考虑。但对一些组合产品来说，利用可能具有挑战性或不可能，因为它们包含复杂的构成部分和/或可能被看似微小的变化所影响。例如，包括某些生物产品或复杂给药系统的组合产品，可能无法像包括表征良好的药物或被充分了解的器械的组合产品那样，实现同等程度的杠杆作用。尽管如此，本指南中的框架和相关分析至少有可能适用于此类组合产品。</w:t>
      </w:r>
    </w:p>
    <w:p w14:paraId="03936FE1">
      <w:pPr>
        <w:shd w:val="clear" w:color="auto" w:fill="FFFFFF"/>
        <w:snapToGrid w:val="0"/>
        <w:jc w:val="both"/>
        <w:rPr>
          <w:rFonts w:eastAsia="宋体"/>
          <w:b/>
          <w:bCs/>
          <w:color w:val="000000"/>
          <w:sz w:val="24"/>
          <w:szCs w:val="24"/>
        </w:rPr>
      </w:pPr>
    </w:p>
    <w:p w14:paraId="4A37CA34">
      <w:pPr>
        <w:shd w:val="clear" w:color="auto" w:fill="FFFFFF"/>
        <w:snapToGrid w:val="0"/>
        <w:jc w:val="both"/>
        <w:rPr>
          <w:rFonts w:eastAsia="宋体"/>
          <w:b/>
          <w:bCs/>
          <w:color w:val="000000"/>
          <w:sz w:val="24"/>
          <w:szCs w:val="24"/>
        </w:rPr>
      </w:pPr>
    </w:p>
    <w:p w14:paraId="595500F5">
      <w:pPr>
        <w:pStyle w:val="2"/>
        <w:ind w:left="646" w:hanging="646"/>
        <w:rPr>
          <w:sz w:val="24"/>
          <w:szCs w:val="24"/>
        </w:rPr>
      </w:pPr>
      <w:bookmarkStart w:id="3" w:name="_Toc97477954"/>
      <w:r>
        <w:rPr>
          <w:sz w:val="24"/>
          <w:szCs w:val="24"/>
        </w:rPr>
        <w:t>IV.</w:t>
      </w:r>
      <w:r>
        <w:rPr>
          <w:sz w:val="24"/>
          <w:szCs w:val="24"/>
        </w:rPr>
        <w:tab/>
      </w:r>
      <w:r>
        <w:rPr>
          <w:sz w:val="24"/>
          <w:szCs w:val="24"/>
        </w:rPr>
        <w:t>衔接和利用的示例</w:t>
      </w:r>
      <w:bookmarkEnd w:id="3"/>
    </w:p>
    <w:p w14:paraId="2D12AF91">
      <w:pPr>
        <w:shd w:val="clear" w:color="auto" w:fill="FFFFFF"/>
        <w:snapToGrid w:val="0"/>
        <w:jc w:val="both"/>
        <w:rPr>
          <w:rFonts w:eastAsia="宋体"/>
          <w:color w:val="000000"/>
          <w:sz w:val="24"/>
          <w:szCs w:val="24"/>
        </w:rPr>
      </w:pPr>
    </w:p>
    <w:p w14:paraId="40E60B1E">
      <w:pPr>
        <w:shd w:val="clear" w:color="auto" w:fill="FFFFFF"/>
        <w:snapToGrid w:val="0"/>
        <w:jc w:val="both"/>
        <w:rPr>
          <w:rFonts w:eastAsia="宋体"/>
          <w:color w:val="000000"/>
          <w:sz w:val="24"/>
          <w:szCs w:val="24"/>
        </w:rPr>
      </w:pPr>
      <w:r>
        <w:rPr>
          <w:rFonts w:eastAsia="宋体"/>
          <w:color w:val="000000"/>
          <w:sz w:val="24"/>
          <w:szCs w:val="24"/>
        </w:rPr>
        <w:t>在本节中，我们介绍了三个案例，以说明申请人如何适当地应用上述分步框架和相关分析来确定开发项目中的衔接策略和信息需求，然后将其提交给FDA。需要注意的是，这些案例代表了假设性的示例。所采取的方法提供了一种可接受的方式，即从申请人的角度来分解围绕准备申请的思维过程。我们认识到，许多申请人可能会同时考虑框架中的多个步骤。最重要的是，这些考虑和建议并不打算适用于特定发展方案。特定产品的考虑将导致FDA不同的信息要求。我们鼓励申请人与FDA讨论他们的特定发展计划和衔接战略。</w:t>
      </w:r>
    </w:p>
    <w:p w14:paraId="544555A3">
      <w:pPr>
        <w:shd w:val="clear" w:color="auto" w:fill="FFFFFF"/>
        <w:snapToGrid w:val="0"/>
        <w:jc w:val="both"/>
        <w:rPr>
          <w:rFonts w:eastAsia="宋体"/>
          <w:sz w:val="24"/>
          <w:szCs w:val="24"/>
        </w:rPr>
      </w:pPr>
    </w:p>
    <w:p w14:paraId="02F342F5">
      <w:pPr>
        <w:shd w:val="clear" w:color="auto" w:fill="FFFFFF"/>
        <w:snapToGrid w:val="0"/>
        <w:jc w:val="both"/>
        <w:rPr>
          <w:rFonts w:eastAsia="宋体"/>
          <w:sz w:val="24"/>
          <w:szCs w:val="24"/>
        </w:rPr>
      </w:pPr>
      <w:r>
        <w:rPr>
          <w:rFonts w:eastAsia="宋体"/>
          <w:color w:val="000000"/>
          <w:sz w:val="24"/>
          <w:szCs w:val="24"/>
        </w:rPr>
        <w:t>如果申请人在药物开发项目的早期确定打算在市场上销售多种表现形式或与早期开发中研究的表现形式不同，</w:t>
      </w:r>
      <w:r>
        <w:rPr>
          <w:rStyle w:val="17"/>
          <w:rFonts w:eastAsia="宋体"/>
          <w:color w:val="000000"/>
          <w:sz w:val="24"/>
          <w:szCs w:val="24"/>
        </w:rPr>
        <w:t xml:space="preserve"> </w:t>
      </w:r>
      <w:r>
        <w:rPr>
          <w:rStyle w:val="17"/>
          <w:rFonts w:eastAsia="宋体"/>
          <w:color w:val="000000"/>
          <w:sz w:val="24"/>
          <w:szCs w:val="24"/>
        </w:rPr>
        <w:footnoteReference w:id="12"/>
      </w:r>
      <w:ins w:id="90" w:author="Z" w:date="2022-04-04T18:33:00Z">
        <w:r>
          <w:rPr>
            <w:rStyle w:val="17"/>
            <w:rFonts w:eastAsia="宋体"/>
            <w:color w:val="000000"/>
            <w:sz w:val="24"/>
            <w:szCs w:val="24"/>
          </w:rPr>
          <w:t xml:space="preserve"> </w:t>
        </w:r>
      </w:ins>
      <w:r>
        <w:rPr>
          <w:rFonts w:eastAsia="宋体"/>
          <w:color w:val="000000"/>
          <w:sz w:val="24"/>
          <w:szCs w:val="24"/>
        </w:rPr>
        <w:t>FDA鼓励申请人使用其打算销售组合产品（即最终成品组合产品）的器械组成部件进行临床研究。这样一来，可能就</w:t>
      </w:r>
      <w:del w:id="91" w:author="Z" w:date="2022-04-04T18:34:00Z">
        <w:r>
          <w:rPr>
            <w:rFonts w:hint="eastAsia" w:eastAsia="宋体"/>
            <w:color w:val="000000"/>
            <w:sz w:val="24"/>
            <w:szCs w:val="24"/>
          </w:rPr>
          <w:delText>不需要</w:delText>
        </w:r>
      </w:del>
      <w:ins w:id="92" w:author="Z" w:date="2022-04-04T18:34:00Z">
        <w:r>
          <w:rPr>
            <w:rFonts w:hint="eastAsia" w:eastAsia="宋体"/>
            <w:color w:val="000000"/>
            <w:sz w:val="24"/>
            <w:szCs w:val="24"/>
          </w:rPr>
          <w:t>无需</w:t>
        </w:r>
      </w:ins>
      <w:r>
        <w:rPr>
          <w:rFonts w:eastAsia="宋体"/>
          <w:color w:val="000000"/>
          <w:sz w:val="24"/>
          <w:szCs w:val="24"/>
        </w:rPr>
        <w:t>衔接临床数据</w:t>
      </w:r>
      <w:del w:id="93" w:author="Z" w:date="2022-04-04T18:34:00Z">
        <w:r>
          <w:rPr>
            <w:rFonts w:eastAsia="宋体"/>
            <w:color w:val="000000"/>
            <w:sz w:val="24"/>
            <w:szCs w:val="24"/>
          </w:rPr>
          <w:delText>了</w:delText>
        </w:r>
      </w:del>
      <w:r>
        <w:rPr>
          <w:rFonts w:eastAsia="宋体"/>
          <w:color w:val="000000"/>
          <w:sz w:val="24"/>
          <w:szCs w:val="24"/>
        </w:rPr>
        <w:t>，因为这些数据已</w:t>
      </w:r>
      <w:del w:id="94" w:author="Z" w:date="2022-04-04T18:34:00Z">
        <w:r>
          <w:rPr>
            <w:rFonts w:eastAsia="宋体"/>
            <w:color w:val="000000"/>
            <w:sz w:val="24"/>
            <w:szCs w:val="24"/>
          </w:rPr>
          <w:delText>经</w:delText>
        </w:r>
      </w:del>
      <w:r>
        <w:rPr>
          <w:rFonts w:eastAsia="宋体"/>
          <w:color w:val="000000"/>
          <w:sz w:val="24"/>
          <w:szCs w:val="24"/>
        </w:rPr>
        <w:t>和最终的成品组合产品一起开发出来。</w:t>
      </w:r>
    </w:p>
    <w:p w14:paraId="495C6454">
      <w:pPr>
        <w:shd w:val="clear" w:color="auto" w:fill="FFFFFF"/>
        <w:tabs>
          <w:tab w:val="left" w:pos="182"/>
        </w:tabs>
        <w:snapToGrid w:val="0"/>
        <w:jc w:val="both"/>
        <w:rPr>
          <w:rFonts w:eastAsia="宋体"/>
          <w:color w:val="000000"/>
          <w:sz w:val="24"/>
          <w:szCs w:val="24"/>
          <w:vertAlign w:val="superscript"/>
        </w:rPr>
      </w:pPr>
    </w:p>
    <w:p w14:paraId="7881D49D">
      <w:pPr>
        <w:shd w:val="clear" w:color="auto" w:fill="FFFFFF"/>
        <w:tabs>
          <w:tab w:val="left" w:pos="182"/>
        </w:tabs>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7C683AC">
      <w:pPr>
        <w:pStyle w:val="3"/>
        <w:rPr>
          <w:sz w:val="24"/>
          <w:szCs w:val="24"/>
        </w:rPr>
      </w:pPr>
      <w:bookmarkStart w:id="4" w:name="_Toc97477955"/>
      <w:r>
        <w:rPr>
          <w:sz w:val="24"/>
          <w:szCs w:val="24"/>
        </w:rPr>
        <w:t>A.</w:t>
      </w:r>
      <w:r>
        <w:rPr>
          <w:sz w:val="24"/>
          <w:szCs w:val="24"/>
        </w:rPr>
        <w:tab/>
      </w:r>
      <w:r>
        <w:rPr>
          <w:sz w:val="24"/>
          <w:szCs w:val="24"/>
        </w:rPr>
        <w:t>从预装注射器中开发的药物到自动注射器中开发的药物的IND内衔接</w:t>
      </w:r>
      <w:bookmarkEnd w:id="4"/>
    </w:p>
    <w:p w14:paraId="05B6220C">
      <w:pPr>
        <w:shd w:val="clear" w:color="auto" w:fill="FFFFFF"/>
        <w:snapToGrid w:val="0"/>
        <w:jc w:val="both"/>
        <w:rPr>
          <w:rFonts w:eastAsia="宋体"/>
          <w:color w:val="000000"/>
          <w:sz w:val="24"/>
          <w:szCs w:val="24"/>
        </w:rPr>
      </w:pPr>
    </w:p>
    <w:p w14:paraId="3744E18E">
      <w:pPr>
        <w:shd w:val="clear" w:color="auto" w:fill="FFFFFF"/>
        <w:snapToGrid w:val="0"/>
        <w:jc w:val="both"/>
        <w:rPr>
          <w:rFonts w:eastAsia="宋体"/>
          <w:color w:val="000000"/>
          <w:sz w:val="24"/>
          <w:szCs w:val="24"/>
        </w:rPr>
      </w:pPr>
      <w:r>
        <w:rPr>
          <w:rFonts w:eastAsia="宋体"/>
          <w:color w:val="000000"/>
          <w:sz w:val="24"/>
          <w:szCs w:val="24"/>
        </w:rPr>
        <w:t>在这个假设的案例中，申请人正在开发一种含有新分子实体（NME）药物成分的组合产品，初步计划以预灌封注射器（PFS）的形式销售，供包括患者在内的普通人在家使用。在开发过程中，申请人决定它也想以自动注射器的形式销售NME。新提出的演示文稿的最终组合成品将是一个围绕原始PFS组装的自动注射器。与药物直接接触的主要容器封口（即</w:t>
      </w:r>
      <w:del w:id="95" w:author="GAO, Bo" w:date="2022-03-16T22:34:00Z">
        <w:commentRangeStart w:id="0"/>
        <w:r>
          <w:rPr>
            <w:rFonts w:hint="eastAsia" w:eastAsia="宋体"/>
            <w:color w:val="000000"/>
            <w:sz w:val="24"/>
            <w:szCs w:val="24"/>
          </w:rPr>
          <w:delText>筒体</w:delText>
        </w:r>
      </w:del>
      <w:ins w:id="96" w:author="GAO, Bo" w:date="2022-03-16T22:34:00Z">
        <w:r>
          <w:rPr>
            <w:rFonts w:hint="eastAsia" w:eastAsia="宋体"/>
            <w:color w:val="000000"/>
            <w:sz w:val="24"/>
            <w:szCs w:val="24"/>
          </w:rPr>
          <w:t>针筒</w:t>
        </w:r>
      </w:ins>
      <w:r>
        <w:rPr>
          <w:rFonts w:eastAsia="宋体"/>
          <w:color w:val="000000"/>
          <w:sz w:val="24"/>
          <w:szCs w:val="24"/>
        </w:rPr>
        <w:t>、</w:t>
      </w:r>
      <w:del w:id="97" w:author="GAO, Bo" w:date="2022-03-16T22:34:00Z">
        <w:r>
          <w:rPr>
            <w:rFonts w:hint="eastAsia" w:eastAsia="宋体"/>
            <w:color w:val="000000"/>
            <w:sz w:val="24"/>
            <w:szCs w:val="24"/>
          </w:rPr>
          <w:delText>柱塞</w:delText>
        </w:r>
      </w:del>
      <w:ins w:id="98" w:author="GAO, Bo" w:date="2022-03-16T22:34:00Z">
        <w:r>
          <w:rPr>
            <w:rFonts w:hint="eastAsia" w:eastAsia="宋体"/>
            <w:color w:val="000000"/>
            <w:sz w:val="24"/>
            <w:szCs w:val="24"/>
          </w:rPr>
          <w:t>胶塞</w:t>
        </w:r>
        <w:commentRangeEnd w:id="0"/>
      </w:ins>
      <w:ins w:id="99" w:author="GAO, Bo" w:date="2022-03-16T22:35:00Z">
        <w:r>
          <w:rPr>
            <w:rStyle w:val="16"/>
          </w:rPr>
          <w:commentReference w:id="0"/>
        </w:r>
      </w:ins>
      <w:r>
        <w:rPr>
          <w:rFonts w:eastAsia="宋体"/>
          <w:color w:val="000000"/>
          <w:sz w:val="24"/>
          <w:szCs w:val="24"/>
        </w:rPr>
        <w:t>和针头）保持不变，药物配方保持不变。给药途径（皮下）是相同的。申请人打算在商业上销售PFS和自动注射器产品。</w:t>
      </w:r>
    </w:p>
    <w:p w14:paraId="688DCB17">
      <w:pPr>
        <w:shd w:val="clear" w:color="auto" w:fill="FFFFFF"/>
        <w:snapToGrid w:val="0"/>
        <w:jc w:val="both"/>
        <w:rPr>
          <w:rFonts w:eastAsia="宋体"/>
          <w:sz w:val="24"/>
          <w:szCs w:val="24"/>
        </w:rPr>
      </w:pPr>
    </w:p>
    <w:p w14:paraId="22B52EA3">
      <w:pPr>
        <w:shd w:val="clear" w:color="auto" w:fill="FFFFFF"/>
        <w:snapToGrid w:val="0"/>
        <w:jc w:val="both"/>
        <w:rPr>
          <w:rFonts w:eastAsia="宋体"/>
          <w:color w:val="000000"/>
          <w:sz w:val="24"/>
          <w:szCs w:val="24"/>
        </w:rPr>
      </w:pPr>
      <w:r>
        <w:rPr>
          <w:rFonts w:eastAsia="宋体"/>
          <w:color w:val="000000"/>
          <w:sz w:val="24"/>
          <w:szCs w:val="24"/>
        </w:rPr>
        <w:t>利用分步框架，申请人的差距分析确定了以下内容：</w:t>
      </w:r>
    </w:p>
    <w:p w14:paraId="1BCAF1AB">
      <w:pPr>
        <w:shd w:val="clear" w:color="auto" w:fill="FFFFFF"/>
        <w:snapToGrid w:val="0"/>
        <w:jc w:val="both"/>
        <w:rPr>
          <w:rFonts w:eastAsia="宋体"/>
          <w:sz w:val="24"/>
          <w:szCs w:val="24"/>
        </w:rPr>
      </w:pPr>
    </w:p>
    <w:p w14:paraId="53A5E76A">
      <w:pPr>
        <w:shd w:val="clear" w:color="auto" w:fill="FFFFFF"/>
        <w:snapToGrid w:val="0"/>
        <w:ind w:left="314" w:leftChars="157"/>
        <w:jc w:val="both"/>
        <w:rPr>
          <w:rFonts w:eastAsia="宋体"/>
          <w:sz w:val="24"/>
          <w:szCs w:val="24"/>
        </w:rPr>
      </w:pPr>
      <w:r>
        <w:rPr>
          <w:rFonts w:eastAsia="宋体"/>
          <w:b/>
          <w:bCs/>
          <w:color w:val="000000"/>
          <w:sz w:val="24"/>
          <w:szCs w:val="24"/>
        </w:rPr>
        <w:t>第1步。</w:t>
      </w:r>
      <w:r>
        <w:rPr>
          <w:rFonts w:eastAsia="宋体"/>
          <w:color w:val="000000"/>
          <w:sz w:val="24"/>
          <w:szCs w:val="24"/>
        </w:rPr>
        <w:t>申请人指出了第一次和第二次陈述之间的差异。主要的区别是在PFS组合产品中增加了一个自动注射器，从而改变了器械的</w:t>
      </w:r>
      <w:del w:id="100" w:author="GAO, Bo" w:date="2022-03-16T22:36:00Z">
        <w:r>
          <w:rPr>
            <w:rFonts w:hint="eastAsia" w:eastAsia="宋体"/>
            <w:color w:val="000000"/>
            <w:sz w:val="24"/>
            <w:szCs w:val="24"/>
          </w:rPr>
          <w:delText>构成</w:delText>
        </w:r>
      </w:del>
      <w:ins w:id="101" w:author="GAO, Bo" w:date="2022-03-16T22:36:00Z">
        <w:r>
          <w:rPr>
            <w:rFonts w:hint="eastAsia" w:eastAsia="宋体"/>
            <w:color w:val="000000"/>
            <w:sz w:val="24"/>
            <w:szCs w:val="24"/>
          </w:rPr>
          <w:t>组成</w:t>
        </w:r>
      </w:ins>
      <w:r>
        <w:rPr>
          <w:rFonts w:eastAsia="宋体"/>
          <w:color w:val="000000"/>
          <w:sz w:val="24"/>
          <w:szCs w:val="24"/>
        </w:rPr>
        <w:t>部分。在这种情况下，自动注射器导致了三个关键变化：1）它增加了一个新的二级容器封口，2）它改变了注射药物成分部分的方法，3）它有一个不同的</w:t>
      </w:r>
      <w:del w:id="102" w:author="Aimee W" w:date="2022-08-08T14:33:00Z">
        <w:r>
          <w:rPr>
            <w:rFonts w:eastAsia="宋体"/>
            <w:color w:val="000000"/>
            <w:sz w:val="24"/>
            <w:szCs w:val="24"/>
          </w:rPr>
          <w:delText>使用者</w:delText>
        </w:r>
      </w:del>
      <w:ins w:id="103" w:author="Aimee W" w:date="2022-08-08T14:33:00Z">
        <w:r>
          <w:rPr>
            <w:rFonts w:eastAsia="宋体"/>
            <w:color w:val="000000"/>
            <w:sz w:val="24"/>
            <w:szCs w:val="24"/>
          </w:rPr>
          <w:t>用户</w:t>
        </w:r>
      </w:ins>
      <w:r>
        <w:rPr>
          <w:rFonts w:eastAsia="宋体"/>
          <w:color w:val="000000"/>
          <w:sz w:val="24"/>
          <w:szCs w:val="24"/>
        </w:rPr>
        <w:t>界面。</w:t>
      </w:r>
    </w:p>
    <w:p w14:paraId="1EABB37D">
      <w:pPr>
        <w:shd w:val="clear" w:color="auto" w:fill="FFFFFF"/>
        <w:snapToGrid w:val="0"/>
        <w:ind w:left="314" w:leftChars="157"/>
        <w:jc w:val="both"/>
        <w:rPr>
          <w:rFonts w:eastAsia="宋体"/>
          <w:color w:val="000000"/>
          <w:sz w:val="24"/>
          <w:szCs w:val="24"/>
        </w:rPr>
      </w:pPr>
    </w:p>
    <w:p w14:paraId="3C117E0E">
      <w:pPr>
        <w:shd w:val="clear" w:color="auto" w:fill="FFFFFF"/>
        <w:snapToGrid w:val="0"/>
        <w:ind w:left="314" w:leftChars="157"/>
        <w:jc w:val="both"/>
        <w:rPr>
          <w:rFonts w:eastAsia="宋体"/>
          <w:sz w:val="24"/>
          <w:szCs w:val="24"/>
        </w:rPr>
      </w:pPr>
      <w:r>
        <w:rPr>
          <w:rFonts w:eastAsia="宋体"/>
          <w:color w:val="000000"/>
          <w:sz w:val="24"/>
          <w:szCs w:val="24"/>
        </w:rPr>
        <w:t>在考虑个别和总体差异对自动注射器组合产品整体的安全性和有效性的潜在影响时，申请人确定了以下差距分析考虑：</w:t>
      </w:r>
    </w:p>
    <w:p w14:paraId="061DA90B">
      <w:pPr>
        <w:shd w:val="clear" w:color="auto" w:fill="FFFFFF"/>
        <w:snapToGrid w:val="0"/>
        <w:ind w:left="929" w:leftChars="307" w:hanging="315"/>
        <w:jc w:val="both"/>
        <w:rPr>
          <w:rFonts w:eastAsia="宋体"/>
          <w:color w:val="000000"/>
          <w:sz w:val="24"/>
          <w:szCs w:val="24"/>
        </w:rPr>
      </w:pPr>
    </w:p>
    <w:p w14:paraId="3AEAC930">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del w:id="104" w:author="Aimee W" w:date="2022-08-08T14:33:00Z">
        <w:r>
          <w:rPr>
            <w:rFonts w:eastAsia="宋体"/>
            <w:color w:val="000000"/>
            <w:sz w:val="24"/>
            <w:szCs w:val="24"/>
          </w:rPr>
          <w:delText>使用者</w:delText>
        </w:r>
      </w:del>
      <w:ins w:id="105" w:author="Aimee W" w:date="2022-08-08T14:33:00Z">
        <w:r>
          <w:rPr>
            <w:rFonts w:eastAsia="宋体"/>
            <w:color w:val="000000"/>
            <w:sz w:val="24"/>
            <w:szCs w:val="24"/>
          </w:rPr>
          <w:t>用户</w:t>
        </w:r>
      </w:ins>
      <w:r>
        <w:rPr>
          <w:rFonts w:eastAsia="宋体"/>
          <w:color w:val="000000"/>
          <w:sz w:val="24"/>
          <w:szCs w:val="24"/>
        </w:rPr>
        <w:t>界面</w:t>
      </w:r>
      <w:del w:id="106" w:author="Z" w:date="2022-04-04T17:20:00Z">
        <w:r>
          <w:rPr>
            <w:rFonts w:hint="eastAsia" w:eastAsia="宋体"/>
            <w:color w:val="000000"/>
            <w:sz w:val="24"/>
            <w:szCs w:val="24"/>
          </w:rPr>
          <w:delText>的</w:delText>
        </w:r>
      </w:del>
      <w:ins w:id="107" w:author="Z" w:date="2022-04-04T17:20:00Z">
        <w:r>
          <w:rPr>
            <w:rFonts w:hint="eastAsia" w:eastAsia="宋体"/>
            <w:color w:val="000000"/>
            <w:sz w:val="24"/>
            <w:szCs w:val="24"/>
          </w:rPr>
          <w:t>存在</w:t>
        </w:r>
      </w:ins>
      <w:r>
        <w:rPr>
          <w:rFonts w:eastAsia="宋体"/>
          <w:color w:val="000000"/>
          <w:sz w:val="24"/>
          <w:szCs w:val="24"/>
        </w:rPr>
        <w:t>差异</w:t>
      </w:r>
      <w:ins w:id="108" w:author="Z" w:date="2022-04-04T17:20:00Z">
        <w:r>
          <w:rPr>
            <w:rFonts w:hint="eastAsia" w:eastAsia="宋体"/>
            <w:color w:val="000000"/>
            <w:sz w:val="24"/>
            <w:szCs w:val="24"/>
          </w:rPr>
          <w:t>，因此</w:t>
        </w:r>
      </w:ins>
      <w:del w:id="109" w:author="Z" w:date="2022-04-04T17:20:00Z">
        <w:r>
          <w:rPr>
            <w:rFonts w:eastAsia="宋体"/>
            <w:color w:val="000000"/>
            <w:sz w:val="24"/>
            <w:szCs w:val="24"/>
          </w:rPr>
          <w:delText>留下了一个关于</w:delText>
        </w:r>
      </w:del>
      <w:ins w:id="110" w:author="Z" w:date="2022-04-04T17:21:00Z">
        <w:r>
          <w:rPr>
            <w:rFonts w:hint="eastAsia" w:eastAsia="宋体"/>
            <w:color w:val="000000"/>
            <w:sz w:val="24"/>
            <w:szCs w:val="24"/>
          </w:rPr>
          <w:t>不确定</w:t>
        </w:r>
      </w:ins>
      <w:del w:id="111" w:author="Aimee W" w:date="2022-08-08T14:33:00Z">
        <w:r>
          <w:rPr>
            <w:rFonts w:eastAsia="宋体"/>
            <w:color w:val="000000"/>
            <w:sz w:val="24"/>
            <w:szCs w:val="24"/>
          </w:rPr>
          <w:delText>使用者</w:delText>
        </w:r>
      </w:del>
      <w:ins w:id="112" w:author="Aimee W" w:date="2022-08-08T14:33:00Z">
        <w:r>
          <w:rPr>
            <w:rFonts w:eastAsia="宋体"/>
            <w:color w:val="000000"/>
            <w:sz w:val="24"/>
            <w:szCs w:val="24"/>
          </w:rPr>
          <w:t>用户</w:t>
        </w:r>
      </w:ins>
      <w:r>
        <w:rPr>
          <w:rFonts w:eastAsia="宋体"/>
          <w:color w:val="000000"/>
          <w:sz w:val="24"/>
          <w:szCs w:val="24"/>
        </w:rPr>
        <w:t>界面设计是否支持安全和有效使用</w:t>
      </w:r>
      <w:del w:id="113" w:author="Z" w:date="2022-04-04T17:21:00Z">
        <w:r>
          <w:rPr>
            <w:rFonts w:eastAsia="宋体"/>
            <w:color w:val="000000"/>
            <w:sz w:val="24"/>
            <w:szCs w:val="24"/>
          </w:rPr>
          <w:delText>的问题</w:delText>
        </w:r>
      </w:del>
      <w:r>
        <w:rPr>
          <w:rFonts w:eastAsia="宋体"/>
          <w:color w:val="000000"/>
          <w:sz w:val="24"/>
          <w:szCs w:val="24"/>
        </w:rPr>
        <w:t>，</w:t>
      </w:r>
      <w:ins w:id="114" w:author="Z" w:date="2022-04-04T17:21:00Z">
        <w:r>
          <w:rPr>
            <w:rFonts w:hint="eastAsia" w:eastAsia="宋体"/>
            <w:color w:val="000000"/>
            <w:sz w:val="24"/>
            <w:szCs w:val="24"/>
          </w:rPr>
          <w:t>而</w:t>
        </w:r>
      </w:ins>
      <w:r>
        <w:rPr>
          <w:rFonts w:eastAsia="宋体"/>
          <w:color w:val="000000"/>
          <w:sz w:val="24"/>
          <w:szCs w:val="24"/>
        </w:rPr>
        <w:t>这可能会改变其与PFS相比的安全性和有效性状况。</w:t>
      </w:r>
    </w:p>
    <w:p w14:paraId="5C350722">
      <w:pPr>
        <w:shd w:val="clear" w:color="auto" w:fill="FFFFFF"/>
        <w:snapToGrid w:val="0"/>
        <w:ind w:left="929" w:leftChars="307" w:hanging="315"/>
        <w:jc w:val="both"/>
        <w:rPr>
          <w:rFonts w:eastAsia="宋体"/>
          <w:color w:val="000000"/>
          <w:sz w:val="24"/>
          <w:szCs w:val="24"/>
        </w:rPr>
      </w:pPr>
    </w:p>
    <w:p w14:paraId="795F953D">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自动注射器的制造工艺对药物产生不利影响，包括但不限于与装配有关的降解和工艺对无菌性的影响，则预装注射器装配到自动注射器的变化可能会改变对药物成分部分的质量考虑。同样，这方面的化学、制造和控制（CMC）考虑包括对注射器抗破损、整个货架有效期内的功能和失效日期的影响。</w:t>
      </w:r>
    </w:p>
    <w:p w14:paraId="62ED48F5">
      <w:pPr>
        <w:shd w:val="clear" w:color="auto" w:fill="FFFFFF"/>
        <w:snapToGrid w:val="0"/>
        <w:ind w:left="929" w:leftChars="307" w:hanging="315"/>
        <w:jc w:val="both"/>
        <w:rPr>
          <w:rFonts w:eastAsia="宋体"/>
          <w:color w:val="000000"/>
          <w:sz w:val="24"/>
          <w:szCs w:val="24"/>
        </w:rPr>
      </w:pPr>
    </w:p>
    <w:p w14:paraId="4414CC53">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ins w:id="115" w:author="Z" w:date="2022-04-04T17:26:00Z">
        <w:r>
          <w:rPr>
            <w:rFonts w:eastAsia="宋体"/>
            <w:color w:val="000000"/>
            <w:sz w:val="24"/>
            <w:szCs w:val="24"/>
          </w:rPr>
          <w:t>改变</w:t>
        </w:r>
      </w:ins>
      <w:r>
        <w:rPr>
          <w:rFonts w:eastAsia="宋体"/>
          <w:color w:val="000000"/>
          <w:sz w:val="24"/>
          <w:szCs w:val="24"/>
        </w:rPr>
        <w:t>药物成分部分注射方法</w:t>
      </w:r>
      <w:del w:id="116" w:author="Z" w:date="2022-04-04T17:26:00Z">
        <w:r>
          <w:rPr>
            <w:rFonts w:eastAsia="宋体"/>
            <w:color w:val="000000"/>
            <w:sz w:val="24"/>
            <w:szCs w:val="24"/>
          </w:rPr>
          <w:delText>的改变</w:delText>
        </w:r>
      </w:del>
      <w:r>
        <w:rPr>
          <w:rFonts w:eastAsia="宋体"/>
          <w:color w:val="000000"/>
          <w:sz w:val="24"/>
          <w:szCs w:val="24"/>
        </w:rPr>
        <w:t>可能会影响局部的不良反应</w:t>
      </w:r>
      <w:del w:id="117" w:author="Z" w:date="2022-04-04T17:27:00Z">
        <w:r>
          <w:rPr>
            <w:rFonts w:eastAsia="宋体"/>
            <w:color w:val="000000"/>
            <w:sz w:val="24"/>
            <w:szCs w:val="24"/>
          </w:rPr>
          <w:delText>情况</w:delText>
        </w:r>
      </w:del>
      <w:r>
        <w:rPr>
          <w:rFonts w:eastAsia="宋体"/>
          <w:color w:val="000000"/>
          <w:sz w:val="24"/>
          <w:szCs w:val="24"/>
        </w:rPr>
        <w:t>，因为药物被输送到目标组织的速度发生了变化。例如，预计PFS与实际使用中的注射时间变化较大，而自动注射器的设计是为了满足特定的注射时间规范。</w:t>
      </w:r>
    </w:p>
    <w:p w14:paraId="6CEF6683">
      <w:pPr>
        <w:shd w:val="clear" w:color="auto" w:fill="FFFFFF"/>
        <w:snapToGrid w:val="0"/>
        <w:ind w:left="929" w:leftChars="307" w:hanging="315"/>
        <w:jc w:val="both"/>
        <w:rPr>
          <w:rFonts w:eastAsia="宋体"/>
          <w:color w:val="000000"/>
          <w:sz w:val="24"/>
          <w:szCs w:val="24"/>
        </w:rPr>
      </w:pPr>
    </w:p>
    <w:p w14:paraId="373CB20A">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ins w:id="118" w:author="Z" w:date="2022-04-04T17:27:00Z">
        <w:r>
          <w:rPr>
            <w:rFonts w:eastAsia="宋体"/>
            <w:color w:val="000000"/>
            <w:sz w:val="24"/>
            <w:szCs w:val="24"/>
          </w:rPr>
          <w:t>改变</w:t>
        </w:r>
      </w:ins>
      <w:r>
        <w:rPr>
          <w:rFonts w:eastAsia="宋体"/>
          <w:color w:val="000000"/>
          <w:sz w:val="24"/>
          <w:szCs w:val="24"/>
        </w:rPr>
        <w:t>药物成分部分的注射方法</w:t>
      </w:r>
      <w:del w:id="119" w:author="Z" w:date="2022-04-04T17:27:00Z">
        <w:r>
          <w:rPr>
            <w:rFonts w:eastAsia="宋体"/>
            <w:color w:val="000000"/>
            <w:sz w:val="24"/>
            <w:szCs w:val="24"/>
          </w:rPr>
          <w:delText>的改变</w:delText>
        </w:r>
      </w:del>
      <w:r>
        <w:rPr>
          <w:rFonts w:eastAsia="宋体"/>
          <w:color w:val="000000"/>
          <w:sz w:val="24"/>
          <w:szCs w:val="24"/>
        </w:rPr>
        <w:t>可能会影响药物的药代动力学（PK）</w:t>
      </w:r>
      <w:del w:id="120" w:author="Z" w:date="2022-04-04T17:27:00Z">
        <w:r>
          <w:rPr>
            <w:rFonts w:eastAsia="宋体"/>
            <w:color w:val="000000"/>
            <w:sz w:val="24"/>
            <w:szCs w:val="24"/>
          </w:rPr>
          <w:delText>情况</w:delText>
        </w:r>
      </w:del>
      <w:r>
        <w:rPr>
          <w:rFonts w:eastAsia="宋体"/>
          <w:color w:val="000000"/>
          <w:sz w:val="24"/>
          <w:szCs w:val="24"/>
        </w:rPr>
        <w:t>。例如，改变给药方法可能</w:t>
      </w:r>
      <w:del w:id="121" w:author="Z" w:date="2022-04-04T17:27:00Z">
        <w:r>
          <w:rPr>
            <w:rFonts w:eastAsia="宋体"/>
            <w:color w:val="000000"/>
            <w:sz w:val="24"/>
            <w:szCs w:val="24"/>
          </w:rPr>
          <w:delText>导致</w:delText>
        </w:r>
      </w:del>
      <w:ins w:id="122" w:author="Z" w:date="2022-04-04T17:27:00Z">
        <w:r>
          <w:rPr>
            <w:rFonts w:hint="eastAsia" w:eastAsia="宋体"/>
            <w:color w:val="000000"/>
            <w:sz w:val="24"/>
            <w:szCs w:val="24"/>
          </w:rPr>
          <w:t>产生</w:t>
        </w:r>
      </w:ins>
      <w:r>
        <w:rPr>
          <w:rFonts w:eastAsia="宋体"/>
          <w:color w:val="000000"/>
          <w:sz w:val="24"/>
          <w:szCs w:val="24"/>
        </w:rPr>
        <w:t>差异，包括注射角度的一致性或可变性、组织深度（可能与注射时间决定的给药速率有关）和注射的完整性。</w:t>
      </w:r>
    </w:p>
    <w:p w14:paraId="2E870C9D">
      <w:pPr>
        <w:shd w:val="clear" w:color="auto" w:fill="FFFFFF"/>
        <w:snapToGrid w:val="0"/>
        <w:ind w:left="929" w:leftChars="307" w:hanging="315"/>
        <w:jc w:val="both"/>
        <w:rPr>
          <w:rFonts w:eastAsia="宋体"/>
          <w:color w:val="000000"/>
          <w:sz w:val="24"/>
          <w:szCs w:val="24"/>
        </w:rPr>
      </w:pPr>
    </w:p>
    <w:p w14:paraId="0DFBBADB">
      <w:pPr>
        <w:shd w:val="clear" w:color="auto" w:fill="FFFFFF"/>
        <w:tabs>
          <w:tab w:val="left" w:pos="1080"/>
        </w:tabs>
        <w:snapToGrid w:val="0"/>
        <w:jc w:val="both"/>
        <w:rPr>
          <w:rFonts w:eastAsia="宋体"/>
          <w:color w:val="000000"/>
          <w:sz w:val="24"/>
          <w:szCs w:val="24"/>
        </w:rPr>
      </w:pPr>
    </w:p>
    <w:p w14:paraId="0D3C128B">
      <w:pPr>
        <w:shd w:val="clear" w:color="auto" w:fill="FFFFFF"/>
        <w:tabs>
          <w:tab w:val="left" w:pos="1080"/>
        </w:tabs>
        <w:snapToGrid w:val="0"/>
        <w:jc w:val="both"/>
        <w:rPr>
          <w:rFonts w:eastAsia="宋体"/>
          <w:color w:val="000000"/>
          <w:sz w:val="21"/>
          <w:szCs w:val="21"/>
        </w:rPr>
        <w:sectPr>
          <w:pgSz w:w="11906" w:h="16838"/>
          <w:pgMar w:top="1134" w:right="1417" w:bottom="1134" w:left="1417" w:header="850" w:footer="720" w:gutter="0"/>
          <w:lnNumType w:countBy="1" w:restart="continuous"/>
          <w:cols w:space="60" w:num="1"/>
          <w:docGrid w:linePitch="272" w:charSpace="0"/>
        </w:sectPr>
      </w:pPr>
    </w:p>
    <w:p w14:paraId="54A00DB3">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ins w:id="123" w:author="Z" w:date="2022-04-04T17:28:00Z">
        <w:r>
          <w:rPr>
            <w:rFonts w:eastAsia="宋体"/>
            <w:color w:val="000000"/>
            <w:sz w:val="24"/>
            <w:szCs w:val="24"/>
          </w:rPr>
          <w:t>除其他外，</w:t>
        </w:r>
      </w:ins>
      <w:r>
        <w:rPr>
          <w:rFonts w:eastAsia="宋体"/>
          <w:color w:val="000000"/>
          <w:sz w:val="24"/>
          <w:szCs w:val="24"/>
        </w:rPr>
        <w:t>围绕PFS组装自动注射器将需要，</w:t>
      </w:r>
      <w:del w:id="124" w:author="Z" w:date="2022-04-04T17:28:00Z">
        <w:r>
          <w:rPr>
            <w:rFonts w:eastAsia="宋体"/>
            <w:color w:val="000000"/>
            <w:sz w:val="24"/>
            <w:szCs w:val="24"/>
          </w:rPr>
          <w:delText>除其他外，</w:delText>
        </w:r>
      </w:del>
      <w:r>
        <w:rPr>
          <w:rFonts w:eastAsia="宋体"/>
          <w:color w:val="000000"/>
          <w:sz w:val="24"/>
          <w:szCs w:val="24"/>
        </w:rPr>
        <w:t>评估额外的自动注射器组合产品的设计特点。</w:t>
      </w:r>
      <w:r>
        <w:rPr>
          <w:rStyle w:val="17"/>
          <w:rFonts w:eastAsia="宋体"/>
          <w:color w:val="000000"/>
          <w:sz w:val="24"/>
          <w:szCs w:val="24"/>
        </w:rPr>
        <w:t xml:space="preserve"> </w:t>
      </w:r>
      <w:r>
        <w:rPr>
          <w:rStyle w:val="17"/>
          <w:rFonts w:eastAsia="宋体"/>
          <w:color w:val="000000"/>
          <w:sz w:val="24"/>
          <w:szCs w:val="24"/>
        </w:rPr>
        <w:footnoteReference w:id="13"/>
      </w:r>
    </w:p>
    <w:p w14:paraId="1B3A7681">
      <w:pPr>
        <w:shd w:val="clear" w:color="auto" w:fill="FFFFFF"/>
        <w:snapToGrid w:val="0"/>
        <w:ind w:left="314" w:leftChars="157"/>
        <w:jc w:val="both"/>
        <w:rPr>
          <w:rFonts w:eastAsia="宋体"/>
          <w:b/>
          <w:bCs/>
          <w:color w:val="000000"/>
          <w:sz w:val="24"/>
          <w:szCs w:val="24"/>
        </w:rPr>
      </w:pPr>
    </w:p>
    <w:p w14:paraId="2CE0EA9D">
      <w:pPr>
        <w:shd w:val="clear" w:color="auto" w:fill="FFFFFF"/>
        <w:snapToGrid w:val="0"/>
        <w:ind w:left="314" w:leftChars="157"/>
        <w:jc w:val="both"/>
        <w:rPr>
          <w:rFonts w:eastAsia="宋体"/>
          <w:color w:val="000000"/>
          <w:sz w:val="24"/>
          <w:szCs w:val="24"/>
        </w:rPr>
      </w:pPr>
      <w:r>
        <w:rPr>
          <w:rFonts w:eastAsia="宋体"/>
          <w:b/>
          <w:bCs/>
          <w:color w:val="000000"/>
          <w:sz w:val="24"/>
          <w:szCs w:val="24"/>
        </w:rPr>
        <w:t>第2步。</w:t>
      </w:r>
      <w:r>
        <w:rPr>
          <w:rFonts w:eastAsia="宋体"/>
          <w:color w:val="000000"/>
          <w:sz w:val="24"/>
          <w:szCs w:val="24"/>
        </w:rPr>
        <w:t>申请人尚未开发专门针对该药物与自动注射器结合的表现形式的信息，因此，将不得不利用现有</w:t>
      </w:r>
      <w:del w:id="125" w:author="Z" w:date="2022-04-04T17:28:00Z">
        <w:r>
          <w:rPr>
            <w:rFonts w:eastAsia="宋体"/>
            <w:color w:val="000000"/>
            <w:sz w:val="24"/>
            <w:szCs w:val="24"/>
          </w:rPr>
          <w:delText>的</w:delText>
        </w:r>
      </w:del>
      <w:r>
        <w:rPr>
          <w:rFonts w:eastAsia="宋体"/>
          <w:color w:val="000000"/>
          <w:sz w:val="24"/>
          <w:szCs w:val="24"/>
        </w:rPr>
        <w:t>信息或开发新的支持数据。</w:t>
      </w:r>
    </w:p>
    <w:p w14:paraId="4B9541E8">
      <w:pPr>
        <w:shd w:val="clear" w:color="auto" w:fill="FFFFFF"/>
        <w:snapToGrid w:val="0"/>
        <w:ind w:left="314" w:leftChars="157"/>
        <w:jc w:val="both"/>
        <w:rPr>
          <w:rFonts w:eastAsia="宋体"/>
          <w:sz w:val="24"/>
          <w:szCs w:val="24"/>
        </w:rPr>
      </w:pPr>
    </w:p>
    <w:p w14:paraId="380E35F3">
      <w:pPr>
        <w:shd w:val="clear" w:color="auto" w:fill="FFFFFF"/>
        <w:snapToGrid w:val="0"/>
        <w:ind w:left="314" w:leftChars="157"/>
        <w:jc w:val="both"/>
        <w:rPr>
          <w:rFonts w:eastAsia="宋体"/>
          <w:sz w:val="24"/>
          <w:szCs w:val="24"/>
        </w:rPr>
      </w:pPr>
      <w:r>
        <w:rPr>
          <w:rFonts w:eastAsia="宋体"/>
          <w:b/>
          <w:bCs/>
          <w:color w:val="000000"/>
          <w:sz w:val="24"/>
          <w:szCs w:val="24"/>
        </w:rPr>
        <w:t>第3步。</w:t>
      </w:r>
      <w:r>
        <w:rPr>
          <w:rFonts w:eastAsia="宋体"/>
          <w:color w:val="000000"/>
          <w:sz w:val="24"/>
          <w:szCs w:val="24"/>
        </w:rPr>
        <w:t>申请人以PFS的形式进行了III期研究。这些研究提供了关于PK、非临床数据、毒性、安全性和有效性以及可浸出和可浸提概况的数据。申请人指出以下可适用于新的自动注射器组合产品的信息和相关理由。</w:t>
      </w:r>
    </w:p>
    <w:p w14:paraId="14388EDC">
      <w:pPr>
        <w:shd w:val="clear" w:color="auto" w:fill="FFFFFF"/>
        <w:snapToGrid w:val="0"/>
        <w:ind w:left="929" w:leftChars="307" w:hanging="315"/>
        <w:jc w:val="both"/>
        <w:rPr>
          <w:rFonts w:eastAsia="宋体"/>
          <w:color w:val="000000"/>
          <w:sz w:val="24"/>
          <w:szCs w:val="24"/>
        </w:rPr>
      </w:pPr>
    </w:p>
    <w:p w14:paraId="58CD50C2">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申报药物、适应症、剂量、配方和给药途径相同，申请人认为，如果通过检测显示PK曲线相同，那么在现有的临床项目中为PFS表现形式收集的非临床、毒性以及安全和有效性数据也可以适用于自动注射器表现形式。</w:t>
      </w:r>
    </w:p>
    <w:p w14:paraId="579FFD37">
      <w:pPr>
        <w:shd w:val="clear" w:color="auto" w:fill="FFFFFF"/>
        <w:snapToGrid w:val="0"/>
        <w:ind w:left="929" w:leftChars="307" w:hanging="315"/>
        <w:jc w:val="both"/>
        <w:rPr>
          <w:rFonts w:eastAsia="宋体"/>
          <w:sz w:val="24"/>
          <w:szCs w:val="24"/>
        </w:rPr>
      </w:pPr>
    </w:p>
    <w:p w14:paraId="2FC1FF8C">
      <w:pPr>
        <w:shd w:val="clear" w:color="auto" w:fill="FFFFFF"/>
        <w:snapToGrid w:val="0"/>
        <w:jc w:val="both"/>
        <w:rPr>
          <w:rFonts w:eastAsia="宋体"/>
          <w:color w:val="000000"/>
          <w:sz w:val="24"/>
          <w:szCs w:val="24"/>
          <w:vertAlign w:val="superscript"/>
        </w:rPr>
      </w:pPr>
      <w:bookmarkStart w:id="5" w:name="bookmark9"/>
    </w:p>
    <w:bookmarkEnd w:id="5"/>
    <w:p w14:paraId="40756C29">
      <w:pPr>
        <w:shd w:val="clear" w:color="auto" w:fill="FFFFFF"/>
        <w:snapToGrid w:val="0"/>
        <w:jc w:val="both"/>
        <w:rPr>
          <w:rFonts w:eastAsia="宋体"/>
          <w:sz w:val="24"/>
          <w:szCs w:val="24"/>
        </w:rPr>
      </w:pPr>
    </w:p>
    <w:p w14:paraId="73C3339D">
      <w:pPr>
        <w:shd w:val="clear" w:color="auto" w:fill="FFFFFF"/>
        <w:snapToGrid w:val="0"/>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229FFC42">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因为主容器盖（PFS）对两种表现形式都是相同的（药物将与PFS的玻璃、弹性柱塞和使用中的针头接触），并且因为申请人预计在组合产品的制造和储存过程中，次级容器盖的自动注射器材料将不会与药物直接接触或改变其特性，申请人认为为PFS表现形式收集的可浸出和可浸提概况也应适用于自动注射器表现形式。</w:t>
      </w:r>
    </w:p>
    <w:p w14:paraId="6E9D2AF1">
      <w:pPr>
        <w:shd w:val="clear" w:color="auto" w:fill="FFFFFF"/>
        <w:snapToGrid w:val="0"/>
        <w:jc w:val="both"/>
        <w:rPr>
          <w:rFonts w:eastAsia="宋体"/>
          <w:b/>
          <w:bCs/>
          <w:color w:val="000000"/>
          <w:sz w:val="24"/>
          <w:szCs w:val="24"/>
        </w:rPr>
      </w:pPr>
    </w:p>
    <w:p w14:paraId="1E855DE2">
      <w:pPr>
        <w:shd w:val="clear" w:color="auto" w:fill="FFFFFF"/>
        <w:snapToGrid w:val="0"/>
        <w:ind w:left="314" w:leftChars="157"/>
        <w:jc w:val="both"/>
        <w:rPr>
          <w:rFonts w:eastAsia="宋体"/>
          <w:sz w:val="24"/>
          <w:szCs w:val="24"/>
        </w:rPr>
      </w:pPr>
      <w:r>
        <w:rPr>
          <w:rFonts w:eastAsia="宋体"/>
          <w:b/>
          <w:bCs/>
          <w:color w:val="000000"/>
          <w:sz w:val="24"/>
          <w:szCs w:val="24"/>
        </w:rPr>
        <w:t>第4步。</w:t>
      </w:r>
      <w:r>
        <w:rPr>
          <w:rFonts w:eastAsia="宋体"/>
          <w:color w:val="000000"/>
          <w:sz w:val="24"/>
          <w:szCs w:val="24"/>
        </w:rPr>
        <w:t>申请人考虑是否可以利用其他现有信息来支持步骤4的项目。在审查其他现有资料的过程中，申请人确定了以下内容：</w:t>
      </w:r>
    </w:p>
    <w:p w14:paraId="7D6F642A">
      <w:pPr>
        <w:shd w:val="clear" w:color="auto" w:fill="FFFFFF"/>
        <w:snapToGrid w:val="0"/>
        <w:ind w:left="314" w:leftChars="157"/>
        <w:jc w:val="both"/>
        <w:rPr>
          <w:rFonts w:eastAsia="宋体"/>
          <w:color w:val="000000"/>
          <w:sz w:val="24"/>
          <w:szCs w:val="24"/>
        </w:rPr>
      </w:pPr>
      <w:del w:id="126" w:author="Z" w:date="2022-04-04T17:44:00Z">
        <w:r>
          <w:rPr>
            <w:rFonts w:eastAsia="宋体"/>
            <w:color w:val="000000"/>
            <w:sz w:val="24"/>
            <w:szCs w:val="24"/>
          </w:rPr>
          <w:delText>具有相同</w:delText>
        </w:r>
      </w:del>
      <w:del w:id="127" w:author="Aimee W" w:date="2022-08-08T14:33:00Z">
        <w:r>
          <w:rPr>
            <w:rFonts w:eastAsia="宋体"/>
            <w:color w:val="000000"/>
            <w:sz w:val="24"/>
            <w:szCs w:val="24"/>
          </w:rPr>
          <w:delText>使用者</w:delText>
        </w:r>
      </w:del>
      <w:ins w:id="128" w:author="Aimee W" w:date="2022-08-08T14:33:00Z">
        <w:r>
          <w:rPr>
            <w:rFonts w:eastAsia="宋体"/>
            <w:color w:val="000000"/>
            <w:sz w:val="24"/>
            <w:szCs w:val="24"/>
          </w:rPr>
          <w:t>用户</w:t>
        </w:r>
      </w:ins>
      <w:r>
        <w:rPr>
          <w:rFonts w:eastAsia="宋体"/>
          <w:color w:val="000000"/>
          <w:sz w:val="24"/>
          <w:szCs w:val="24"/>
        </w:rPr>
        <w:t>界面</w:t>
      </w:r>
      <w:ins w:id="129" w:author="Z" w:date="2022-04-04T17:44:00Z">
        <w:r>
          <w:rPr>
            <w:rFonts w:eastAsia="宋体"/>
            <w:color w:val="000000"/>
            <w:sz w:val="24"/>
            <w:szCs w:val="24"/>
          </w:rPr>
          <w:t>相同</w:t>
        </w:r>
      </w:ins>
      <w:r>
        <w:rPr>
          <w:rFonts w:eastAsia="宋体"/>
          <w:color w:val="000000"/>
          <w:sz w:val="24"/>
          <w:szCs w:val="24"/>
        </w:rPr>
        <w:t>的自动注射器以前曾被批准作为申请人组合中另一种药物的组合产品的一部分。已获批准的组合产品是为不同的疾病状态和适应症开发的，用于不同的患者人群，注射部位也不同。获批的组合产品已经上市两年，目前申请人没有不良合规行为或正在调查的上市后安全问题。申请人考虑在以前批准的组合产品和申报自动注射器之间建立一座桥梁是否合适，以便利用人类因素验证数据。但申请人认识到，由于该产品是为另一人群和适应症而开发的，因此，衔接这些申请将</w:t>
      </w:r>
      <w:del w:id="130" w:author="Z" w:date="2022-04-04T17:44:00Z">
        <w:r>
          <w:rPr>
            <w:rFonts w:hint="eastAsia" w:eastAsia="宋体"/>
            <w:color w:val="000000"/>
            <w:sz w:val="24"/>
            <w:szCs w:val="24"/>
          </w:rPr>
          <w:delText>具有挑战性</w:delText>
        </w:r>
      </w:del>
      <w:ins w:id="131" w:author="Z" w:date="2022-04-04T17:44:00Z">
        <w:r>
          <w:rPr>
            <w:rFonts w:hint="eastAsia" w:eastAsia="宋体"/>
            <w:color w:val="000000"/>
            <w:sz w:val="24"/>
            <w:szCs w:val="24"/>
          </w:rPr>
          <w:t>有</w:t>
        </w:r>
      </w:ins>
      <w:ins w:id="132" w:author="Z" w:date="2022-04-04T17:45:00Z">
        <w:r>
          <w:rPr>
            <w:rFonts w:hint="eastAsia" w:eastAsia="宋体"/>
            <w:color w:val="000000"/>
            <w:sz w:val="24"/>
            <w:szCs w:val="24"/>
          </w:rPr>
          <w:t>难度</w:t>
        </w:r>
      </w:ins>
      <w:r>
        <w:rPr>
          <w:rFonts w:eastAsia="宋体"/>
          <w:color w:val="000000"/>
          <w:sz w:val="24"/>
          <w:szCs w:val="24"/>
        </w:rPr>
        <w:t>，并打算进行一次高频验证研究，编写一份高频验证研究报告，作为销售申请的一部分提交。</w:t>
      </w:r>
      <w:r>
        <w:rPr>
          <w:rStyle w:val="17"/>
          <w:rFonts w:eastAsia="宋体"/>
          <w:color w:val="000000"/>
          <w:sz w:val="24"/>
          <w:szCs w:val="24"/>
        </w:rPr>
        <w:t xml:space="preserve"> </w:t>
      </w:r>
      <w:r>
        <w:rPr>
          <w:rStyle w:val="17"/>
          <w:rFonts w:eastAsia="宋体"/>
          <w:color w:val="000000"/>
          <w:sz w:val="24"/>
          <w:szCs w:val="24"/>
        </w:rPr>
        <w:footnoteReference w:id="14"/>
      </w:r>
    </w:p>
    <w:p w14:paraId="3562A0E2">
      <w:pPr>
        <w:shd w:val="clear" w:color="auto" w:fill="FFFFFF"/>
        <w:snapToGrid w:val="0"/>
        <w:ind w:left="314" w:leftChars="157"/>
        <w:jc w:val="both"/>
        <w:rPr>
          <w:rFonts w:eastAsia="宋体"/>
          <w:sz w:val="24"/>
          <w:szCs w:val="24"/>
        </w:rPr>
      </w:pPr>
    </w:p>
    <w:p w14:paraId="23C2E13C">
      <w:pPr>
        <w:shd w:val="clear" w:color="auto" w:fill="FFFFFF"/>
        <w:snapToGrid w:val="0"/>
        <w:ind w:left="314" w:leftChars="157"/>
        <w:jc w:val="both"/>
        <w:rPr>
          <w:rFonts w:eastAsia="宋体"/>
          <w:sz w:val="24"/>
          <w:szCs w:val="24"/>
        </w:rPr>
      </w:pPr>
      <w:r>
        <w:rPr>
          <w:rFonts w:eastAsia="宋体"/>
          <w:color w:val="000000"/>
          <w:sz w:val="24"/>
          <w:szCs w:val="24"/>
        </w:rPr>
        <w:t>申请人还认为，它应该能够在与药物无关的器械性能方面为自动注射器牵线搭桥，因为这在两种产品之间是没有变化的。特别是，由于以前批准的自动注射器设计使用相同的注射器，其预填充药物使用相同的预浸泡针头，申请人认为它可以利用与注射药物无关的设计验证数据（例如，延长的针头长度、自动注射器的激活力和</w:t>
      </w:r>
      <w:del w:id="133" w:author="GAO, Bo" w:date="2022-03-16T22:44:00Z">
        <w:r>
          <w:rPr>
            <w:rFonts w:hint="eastAsia" w:eastAsia="宋体"/>
            <w:color w:val="000000"/>
            <w:sz w:val="24"/>
            <w:szCs w:val="24"/>
          </w:rPr>
          <w:delText>摘盖</w:delText>
        </w:r>
      </w:del>
      <w:ins w:id="134" w:author="GAO, Bo" w:date="2022-03-16T22:44:00Z">
        <w:r>
          <w:rPr>
            <w:rFonts w:hint="eastAsia" w:eastAsia="宋体"/>
            <w:color w:val="000000"/>
            <w:sz w:val="24"/>
            <w:szCs w:val="24"/>
          </w:rPr>
          <w:t>脱帽</w:t>
        </w:r>
      </w:ins>
      <w:r>
        <w:rPr>
          <w:rFonts w:eastAsia="宋体"/>
          <w:color w:val="000000"/>
          <w:sz w:val="24"/>
          <w:szCs w:val="24"/>
        </w:rPr>
        <w:t>力）。但申请人打算就受药物影响的因素（如剂量准确性、注射时间等）产生额外的验证数据。此外，申请人考虑到，从验证的角度来看，适应症、注射部位或</w:t>
      </w:r>
      <w:del w:id="135" w:author="Aimee W" w:date="2022-08-08T14:33:00Z">
        <w:r>
          <w:rPr>
            <w:rFonts w:eastAsia="宋体"/>
            <w:color w:val="000000"/>
            <w:sz w:val="24"/>
            <w:szCs w:val="24"/>
          </w:rPr>
          <w:delText>使用者</w:delText>
        </w:r>
      </w:del>
      <w:ins w:id="136" w:author="Aimee W" w:date="2022-08-08T14:33:00Z">
        <w:r>
          <w:rPr>
            <w:rFonts w:eastAsia="宋体"/>
            <w:color w:val="000000"/>
            <w:sz w:val="24"/>
            <w:szCs w:val="24"/>
          </w:rPr>
          <w:t>用户</w:t>
        </w:r>
      </w:ins>
      <w:r>
        <w:rPr>
          <w:rFonts w:eastAsia="宋体"/>
          <w:color w:val="000000"/>
          <w:sz w:val="24"/>
          <w:szCs w:val="24"/>
        </w:rPr>
        <w:t>群体的变化可能会影响剂量准确性、延长针头长度、注射时间、自动注射器激活力、脱帽力和其他自动注射器性能规范的可接受性。因此，申请人计划提供设计验证，确认自动注射器的性能规格对新药来说是足够的。</w:t>
      </w:r>
    </w:p>
    <w:p w14:paraId="06477A31">
      <w:pPr>
        <w:shd w:val="clear" w:color="auto" w:fill="FFFFFF"/>
        <w:snapToGrid w:val="0"/>
        <w:jc w:val="both"/>
        <w:rPr>
          <w:rFonts w:eastAsia="宋体"/>
          <w:sz w:val="24"/>
          <w:szCs w:val="24"/>
        </w:rPr>
      </w:pPr>
    </w:p>
    <w:p w14:paraId="7F275089">
      <w:pPr>
        <w:shd w:val="clear" w:color="auto" w:fill="FFFFFF"/>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22499474">
      <w:pPr>
        <w:shd w:val="clear" w:color="auto" w:fill="FFFFFF"/>
        <w:snapToGrid w:val="0"/>
        <w:ind w:left="314" w:leftChars="157"/>
        <w:jc w:val="both"/>
        <w:rPr>
          <w:rFonts w:eastAsia="宋体"/>
          <w:sz w:val="24"/>
          <w:szCs w:val="24"/>
        </w:rPr>
      </w:pPr>
      <w:r>
        <w:rPr>
          <w:rFonts w:eastAsia="宋体"/>
          <w:b/>
          <w:bCs/>
          <w:color w:val="000000"/>
          <w:sz w:val="24"/>
          <w:szCs w:val="24"/>
        </w:rPr>
        <w:t>第5步。</w:t>
      </w:r>
      <w:r>
        <w:rPr>
          <w:rFonts w:eastAsia="宋体"/>
          <w:color w:val="000000"/>
          <w:sz w:val="24"/>
          <w:szCs w:val="24"/>
        </w:rPr>
        <w:t>申请人确定可能仍然需要以下信息：</w:t>
      </w:r>
    </w:p>
    <w:p w14:paraId="7BD0E334">
      <w:pPr>
        <w:shd w:val="clear" w:color="auto" w:fill="FFFFFF"/>
        <w:tabs>
          <w:tab w:val="left" w:pos="1080"/>
        </w:tabs>
        <w:snapToGrid w:val="0"/>
        <w:jc w:val="both"/>
        <w:rPr>
          <w:rFonts w:eastAsia="宋体"/>
          <w:color w:val="000000"/>
          <w:sz w:val="24"/>
          <w:szCs w:val="24"/>
        </w:rPr>
      </w:pPr>
    </w:p>
    <w:p w14:paraId="17A94385">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用于支持新</w:t>
      </w:r>
      <w:del w:id="137" w:author="Aimee W" w:date="2022-08-08T14:33:00Z">
        <w:r>
          <w:rPr>
            <w:rFonts w:eastAsia="宋体"/>
            <w:color w:val="000000"/>
            <w:sz w:val="24"/>
            <w:szCs w:val="24"/>
          </w:rPr>
          <w:delText>使用者</w:delText>
        </w:r>
      </w:del>
      <w:ins w:id="138" w:author="Aimee W" w:date="2022-08-08T14:33:00Z">
        <w:r>
          <w:rPr>
            <w:rFonts w:eastAsia="宋体"/>
            <w:color w:val="000000"/>
            <w:sz w:val="24"/>
            <w:szCs w:val="24"/>
          </w:rPr>
          <w:t>用户</w:t>
        </w:r>
      </w:ins>
      <w:r>
        <w:rPr>
          <w:rFonts w:eastAsia="宋体"/>
          <w:color w:val="000000"/>
          <w:sz w:val="24"/>
          <w:szCs w:val="24"/>
        </w:rPr>
        <w:t>界面的自动注射器演示的人因（HF）验证数据。</w:t>
      </w:r>
    </w:p>
    <w:p w14:paraId="53900215">
      <w:pPr>
        <w:shd w:val="clear" w:color="auto" w:fill="FFFFFF"/>
        <w:snapToGrid w:val="0"/>
        <w:ind w:left="929" w:leftChars="307" w:hanging="315"/>
        <w:jc w:val="both"/>
        <w:rPr>
          <w:rFonts w:eastAsia="宋体"/>
          <w:color w:val="000000"/>
          <w:sz w:val="24"/>
          <w:szCs w:val="24"/>
        </w:rPr>
      </w:pPr>
    </w:p>
    <w:p w14:paraId="56ACC561">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当地的不良事件数据，以评估新的界面如何影响</w:t>
      </w:r>
      <w:del w:id="139" w:author="Z" w:date="2022-04-04T17:45:00Z">
        <w:r>
          <w:rPr>
            <w:rFonts w:hint="eastAsia" w:eastAsia="宋体"/>
            <w:color w:val="000000"/>
            <w:sz w:val="24"/>
            <w:szCs w:val="24"/>
          </w:rPr>
          <w:delText>分娩</w:delText>
        </w:r>
      </w:del>
      <w:ins w:id="140" w:author="Z" w:date="2022-04-04T17:45:00Z">
        <w:r>
          <w:rPr>
            <w:rFonts w:hint="eastAsia" w:eastAsia="宋体"/>
            <w:color w:val="000000"/>
            <w:sz w:val="24"/>
            <w:szCs w:val="24"/>
          </w:rPr>
          <w:t>递送</w:t>
        </w:r>
      </w:ins>
      <w:r>
        <w:rPr>
          <w:rFonts w:eastAsia="宋体"/>
          <w:color w:val="000000"/>
          <w:sz w:val="24"/>
          <w:szCs w:val="24"/>
        </w:rPr>
        <w:t>时的疼痛。这可能包括对注射时间的任何潜在改变，这可能改变药物输送到目标组织的速度。</w:t>
      </w:r>
    </w:p>
    <w:p w14:paraId="3D1D0DB4">
      <w:pPr>
        <w:shd w:val="clear" w:color="auto" w:fill="FFFFFF"/>
        <w:snapToGrid w:val="0"/>
        <w:ind w:left="929" w:leftChars="307" w:hanging="315"/>
        <w:jc w:val="both"/>
        <w:rPr>
          <w:rFonts w:eastAsia="宋体"/>
          <w:color w:val="000000"/>
          <w:sz w:val="24"/>
          <w:szCs w:val="24"/>
        </w:rPr>
      </w:pPr>
    </w:p>
    <w:p w14:paraId="1EA388B6">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CMC和工程数据：注射器的耐破损性、功能性、货架有效期内无菌性的维持、装配过程中药物的降解以及过期日期。请注意，该公司与无菌性和降解有关的检测将主要是为了验证新工艺没有产生问题。</w:t>
      </w:r>
    </w:p>
    <w:p w14:paraId="02C06B30">
      <w:pPr>
        <w:shd w:val="clear" w:color="auto" w:fill="FFFFFF"/>
        <w:snapToGrid w:val="0"/>
        <w:ind w:left="929" w:leftChars="307" w:hanging="315"/>
        <w:jc w:val="both"/>
        <w:rPr>
          <w:rFonts w:eastAsia="宋体"/>
          <w:color w:val="000000"/>
          <w:sz w:val="24"/>
          <w:szCs w:val="24"/>
        </w:rPr>
      </w:pPr>
    </w:p>
    <w:p w14:paraId="2ADCC557">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自动注射器演示的设计验证和确认数据，</w:t>
      </w:r>
      <w:r>
        <w:rPr>
          <w:rStyle w:val="17"/>
          <w:rFonts w:eastAsia="宋体"/>
          <w:color w:val="000000"/>
          <w:sz w:val="24"/>
          <w:szCs w:val="24"/>
        </w:rPr>
        <w:t xml:space="preserve"> </w:t>
      </w:r>
      <w:r>
        <w:rPr>
          <w:rStyle w:val="17"/>
          <w:rFonts w:eastAsia="宋体"/>
          <w:color w:val="000000"/>
          <w:sz w:val="24"/>
          <w:szCs w:val="24"/>
        </w:rPr>
        <w:footnoteReference w:id="15"/>
      </w:r>
      <w:r>
        <w:rPr>
          <w:rFonts w:eastAsia="宋体"/>
          <w:color w:val="000000"/>
          <w:sz w:val="24"/>
          <w:szCs w:val="24"/>
        </w:rPr>
        <w:t>包括剂量准确性和注射时间。</w:t>
      </w:r>
      <w:r>
        <w:rPr>
          <w:rStyle w:val="17"/>
          <w:rFonts w:eastAsia="宋体"/>
          <w:color w:val="000000"/>
          <w:sz w:val="24"/>
          <w:szCs w:val="24"/>
        </w:rPr>
        <w:t xml:space="preserve"> </w:t>
      </w:r>
      <w:r>
        <w:rPr>
          <w:rStyle w:val="17"/>
          <w:rFonts w:eastAsia="宋体"/>
          <w:color w:val="000000"/>
          <w:sz w:val="24"/>
          <w:szCs w:val="24"/>
        </w:rPr>
        <w:footnoteReference w:id="16"/>
      </w:r>
      <w:r>
        <w:rPr>
          <w:rFonts w:eastAsia="宋体"/>
          <w:color w:val="000000"/>
          <w:sz w:val="24"/>
          <w:szCs w:val="24"/>
        </w:rPr>
        <w:t>申请人还打算提供一份给药系统和组合产品整体的设计控制文件，包括设计要求和规格、设计验证、设计确认以及申请人以前批准的自动注射器与新药使用的风险分析的文件。</w:t>
      </w:r>
    </w:p>
    <w:p w14:paraId="728B5739">
      <w:pPr>
        <w:shd w:val="clear" w:color="auto" w:fill="FFFFFF"/>
        <w:snapToGrid w:val="0"/>
        <w:ind w:left="929" w:leftChars="307" w:hanging="315"/>
        <w:jc w:val="both"/>
        <w:rPr>
          <w:rFonts w:eastAsia="宋体"/>
          <w:color w:val="000000"/>
          <w:sz w:val="24"/>
          <w:szCs w:val="24"/>
        </w:rPr>
      </w:pPr>
    </w:p>
    <w:p w14:paraId="669E1486">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申请人打算评估药物输送的</w:t>
      </w:r>
      <w:del w:id="141" w:author="Z" w:date="2022-04-04T17:45:00Z">
        <w:r>
          <w:rPr>
            <w:rFonts w:eastAsia="宋体"/>
            <w:color w:val="000000"/>
            <w:sz w:val="24"/>
            <w:szCs w:val="24"/>
          </w:rPr>
          <w:delText>任何</w:delText>
        </w:r>
      </w:del>
      <w:r>
        <w:rPr>
          <w:rFonts w:eastAsia="宋体"/>
          <w:color w:val="000000"/>
          <w:sz w:val="24"/>
          <w:szCs w:val="24"/>
        </w:rPr>
        <w:t>变化如何影响组合产品的PK曲线。给药的变化包括给药的组织平面的变化，给药速度的变化（因为PFS和自动注射器之间的注射时间的变化），以及注射角度的一致性变化。现有的安全数据或有效性数据能在多大程度上被弥补和利用，将取决于能评估产品之间生物利用度的任何差异的PK比对。如果在PK图谱中没有观察到差异，申请人将利用现有临床项目中收集的非临床、毒性、安全性和有效性数据进行PFS展示。如果观察到两种表现形式的PK曲线存在差异（如最大浓度、曲线下面积、浓度-时间曲线的形状），申请人打算收集更多信息，以评估这些差异的临床效果。</w:t>
      </w:r>
      <w:r>
        <w:rPr>
          <w:rStyle w:val="17"/>
          <w:rFonts w:eastAsia="宋体"/>
          <w:color w:val="000000"/>
          <w:sz w:val="24"/>
          <w:szCs w:val="24"/>
        </w:rPr>
        <w:t xml:space="preserve"> </w:t>
      </w:r>
      <w:r>
        <w:rPr>
          <w:rStyle w:val="17"/>
          <w:rFonts w:eastAsia="宋体"/>
          <w:color w:val="000000"/>
          <w:sz w:val="24"/>
          <w:szCs w:val="24"/>
        </w:rPr>
        <w:footnoteReference w:id="17"/>
      </w:r>
    </w:p>
    <w:p w14:paraId="59864B65">
      <w:pPr>
        <w:shd w:val="clear" w:color="auto" w:fill="FFFFFF"/>
        <w:tabs>
          <w:tab w:val="left" w:pos="182"/>
        </w:tabs>
        <w:snapToGrid w:val="0"/>
        <w:jc w:val="both"/>
        <w:rPr>
          <w:rFonts w:eastAsia="宋体"/>
          <w:sz w:val="24"/>
          <w:szCs w:val="24"/>
        </w:rPr>
      </w:pPr>
    </w:p>
    <w:p w14:paraId="10073F0E">
      <w:pPr>
        <w:shd w:val="clear" w:color="auto" w:fill="FFFFFF"/>
        <w:tabs>
          <w:tab w:val="left" w:pos="182"/>
        </w:tabs>
        <w:snapToGrid w:val="0"/>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010ABC01">
      <w:pPr>
        <w:pStyle w:val="3"/>
        <w:rPr>
          <w:sz w:val="24"/>
          <w:szCs w:val="24"/>
        </w:rPr>
      </w:pPr>
      <w:bookmarkStart w:id="6" w:name="_Toc97477956"/>
      <w:r>
        <w:rPr>
          <w:sz w:val="24"/>
          <w:szCs w:val="24"/>
        </w:rPr>
        <w:t>B.</w:t>
      </w:r>
      <w:r>
        <w:rPr>
          <w:sz w:val="24"/>
          <w:szCs w:val="24"/>
        </w:rPr>
        <w:tab/>
      </w:r>
      <w:r>
        <w:rPr>
          <w:sz w:val="24"/>
          <w:szCs w:val="24"/>
        </w:rPr>
        <w:t>从一种自动注射器（原型1）过渡到同一药物的另一种自动注射器（原型2）；在III期研究完成后但在提交NDA之前</w:t>
      </w:r>
      <w:bookmarkEnd w:id="6"/>
    </w:p>
    <w:p w14:paraId="13DB2385">
      <w:pPr>
        <w:shd w:val="clear" w:color="auto" w:fill="FFFFFF"/>
        <w:snapToGrid w:val="0"/>
        <w:jc w:val="both"/>
        <w:rPr>
          <w:rFonts w:eastAsia="宋体"/>
          <w:color w:val="000000"/>
          <w:sz w:val="24"/>
          <w:szCs w:val="24"/>
        </w:rPr>
      </w:pPr>
    </w:p>
    <w:p w14:paraId="58EE5EC9">
      <w:pPr>
        <w:shd w:val="clear" w:color="auto" w:fill="FFFFFF"/>
        <w:snapToGrid w:val="0"/>
        <w:jc w:val="both"/>
        <w:rPr>
          <w:rFonts w:eastAsia="宋体"/>
          <w:color w:val="000000"/>
          <w:sz w:val="24"/>
          <w:szCs w:val="24"/>
        </w:rPr>
      </w:pPr>
      <w:r>
        <w:rPr>
          <w:rFonts w:eastAsia="宋体"/>
          <w:color w:val="000000"/>
          <w:sz w:val="24"/>
          <w:szCs w:val="24"/>
        </w:rPr>
        <w:t>在这个假设的案例中，申请人为药物产品X开发了一种自动注射器，并一直使用到完成其</w:t>
      </w:r>
      <w:del w:id="142" w:author="Z" w:date="2022-04-04T17:45:00Z">
        <w:r>
          <w:rPr>
            <w:rFonts w:eastAsia="宋体"/>
            <w:color w:val="000000"/>
            <w:sz w:val="24"/>
            <w:szCs w:val="24"/>
          </w:rPr>
          <w:delText>三</w:delText>
        </w:r>
      </w:del>
      <w:ins w:id="143" w:author="Z" w:date="2022-04-04T17:45:00Z">
        <w:r>
          <w:rPr>
            <w:rFonts w:hint="eastAsia" w:eastAsia="宋体"/>
            <w:color w:val="000000"/>
            <w:sz w:val="24"/>
            <w:szCs w:val="24"/>
          </w:rPr>
          <w:t>I</w:t>
        </w:r>
      </w:ins>
      <w:ins w:id="144" w:author="Z" w:date="2022-04-04T17:45:00Z">
        <w:r>
          <w:rPr>
            <w:rFonts w:eastAsia="宋体"/>
            <w:color w:val="000000"/>
            <w:sz w:val="24"/>
            <w:szCs w:val="24"/>
          </w:rPr>
          <w:t>II</w:t>
        </w:r>
      </w:ins>
      <w:r>
        <w:rPr>
          <w:rFonts w:eastAsia="宋体"/>
          <w:color w:val="000000"/>
          <w:sz w:val="24"/>
          <w:szCs w:val="24"/>
        </w:rPr>
        <w:t>期临床研究。在开发提交的过程中，申请人决定对TBM自动注射器（原型2）进行修改，以改善其功能；但是，申请人不打算修改器械的性能规格（例如，剂量精密度、注射时间）。在这种情况下，与药物直接接触的主要容器封口（即</w:t>
      </w:r>
      <w:del w:id="145" w:author="GAO, Bo" w:date="2022-03-16T22:49:00Z">
        <w:r>
          <w:rPr>
            <w:rFonts w:hint="eastAsia" w:eastAsia="宋体"/>
            <w:color w:val="000000"/>
            <w:sz w:val="24"/>
            <w:szCs w:val="24"/>
          </w:rPr>
          <w:delText>桶</w:delText>
        </w:r>
      </w:del>
      <w:ins w:id="146" w:author="GAO, Bo" w:date="2022-03-16T22:49:00Z">
        <w:r>
          <w:rPr>
            <w:rFonts w:hint="eastAsia" w:eastAsia="宋体"/>
            <w:color w:val="000000"/>
            <w:sz w:val="24"/>
            <w:szCs w:val="24"/>
          </w:rPr>
          <w:t>针筒</w:t>
        </w:r>
      </w:ins>
      <w:r>
        <w:rPr>
          <w:rFonts w:eastAsia="宋体"/>
          <w:color w:val="000000"/>
          <w:sz w:val="24"/>
          <w:szCs w:val="24"/>
        </w:rPr>
        <w:t>、</w:t>
      </w:r>
      <w:del w:id="147" w:author="GAO, Bo" w:date="2022-03-16T22:49:00Z">
        <w:r>
          <w:rPr>
            <w:rFonts w:hint="eastAsia" w:eastAsia="宋体"/>
            <w:color w:val="000000"/>
            <w:sz w:val="24"/>
            <w:szCs w:val="24"/>
          </w:rPr>
          <w:delText>柱塞</w:delText>
        </w:r>
      </w:del>
      <w:ins w:id="148" w:author="GAO, Bo" w:date="2022-03-16T22:49:00Z">
        <w:r>
          <w:rPr>
            <w:rFonts w:hint="eastAsia" w:eastAsia="宋体"/>
            <w:color w:val="000000"/>
            <w:sz w:val="24"/>
            <w:szCs w:val="24"/>
          </w:rPr>
          <w:t>胶塞</w:t>
        </w:r>
      </w:ins>
      <w:r>
        <w:rPr>
          <w:rFonts w:eastAsia="宋体"/>
          <w:color w:val="000000"/>
          <w:sz w:val="24"/>
          <w:szCs w:val="24"/>
        </w:rPr>
        <w:t>和针）保持不变。制造过程中用于形成自动注射器的组装过程保持不变。药物配方保持不变。给药途径是相同的（皮下）。</w:t>
      </w:r>
      <w:del w:id="149" w:author="Aimee W" w:date="2022-08-08T14:33:00Z">
        <w:r>
          <w:rPr>
            <w:rFonts w:eastAsia="宋体"/>
            <w:color w:val="000000"/>
            <w:sz w:val="24"/>
            <w:szCs w:val="24"/>
          </w:rPr>
          <w:delText>使用者</w:delText>
        </w:r>
      </w:del>
      <w:ins w:id="150" w:author="Aimee W" w:date="2022-08-08T14:33:00Z">
        <w:r>
          <w:rPr>
            <w:rFonts w:eastAsia="宋体"/>
            <w:color w:val="000000"/>
            <w:sz w:val="24"/>
            <w:szCs w:val="24"/>
          </w:rPr>
          <w:t>用户</w:t>
        </w:r>
      </w:ins>
      <w:r>
        <w:rPr>
          <w:rFonts w:eastAsia="宋体"/>
          <w:color w:val="000000"/>
          <w:sz w:val="24"/>
          <w:szCs w:val="24"/>
        </w:rPr>
        <w:t>界面是一样的。</w:t>
      </w:r>
    </w:p>
    <w:p w14:paraId="4BB73693">
      <w:pPr>
        <w:shd w:val="clear" w:color="auto" w:fill="FFFFFF"/>
        <w:snapToGrid w:val="0"/>
        <w:jc w:val="both"/>
        <w:rPr>
          <w:rFonts w:eastAsia="宋体"/>
          <w:sz w:val="24"/>
          <w:szCs w:val="24"/>
        </w:rPr>
      </w:pPr>
    </w:p>
    <w:p w14:paraId="4EB576A0">
      <w:pPr>
        <w:shd w:val="clear" w:color="auto" w:fill="FFFFFF"/>
        <w:snapToGrid w:val="0"/>
        <w:jc w:val="both"/>
        <w:rPr>
          <w:rFonts w:eastAsia="宋体"/>
          <w:color w:val="000000"/>
          <w:sz w:val="24"/>
          <w:szCs w:val="24"/>
        </w:rPr>
      </w:pPr>
      <w:r>
        <w:rPr>
          <w:rFonts w:eastAsia="宋体"/>
          <w:color w:val="000000"/>
          <w:sz w:val="24"/>
          <w:szCs w:val="24"/>
        </w:rPr>
        <w:t>利用分步框架，申请人的差距分析确定了以下内容：</w:t>
      </w:r>
    </w:p>
    <w:p w14:paraId="2294AE12">
      <w:pPr>
        <w:shd w:val="clear" w:color="auto" w:fill="FFFFFF"/>
        <w:snapToGrid w:val="0"/>
        <w:jc w:val="both"/>
        <w:rPr>
          <w:rFonts w:eastAsia="宋体"/>
          <w:sz w:val="24"/>
          <w:szCs w:val="24"/>
        </w:rPr>
      </w:pPr>
    </w:p>
    <w:p w14:paraId="3CE6A921">
      <w:pPr>
        <w:shd w:val="clear" w:color="auto" w:fill="FFFFFF"/>
        <w:snapToGrid w:val="0"/>
        <w:ind w:left="314" w:leftChars="157"/>
        <w:jc w:val="both"/>
        <w:rPr>
          <w:rFonts w:eastAsia="宋体"/>
          <w:sz w:val="24"/>
          <w:szCs w:val="24"/>
        </w:rPr>
      </w:pPr>
      <w:r>
        <w:rPr>
          <w:rFonts w:eastAsia="宋体"/>
          <w:b/>
          <w:bCs/>
          <w:color w:val="000000"/>
          <w:sz w:val="24"/>
          <w:szCs w:val="24"/>
        </w:rPr>
        <w:t>第1步。</w:t>
      </w:r>
      <w:r>
        <w:rPr>
          <w:rFonts w:eastAsia="宋体"/>
          <w:color w:val="000000"/>
          <w:sz w:val="24"/>
          <w:szCs w:val="24"/>
        </w:rPr>
        <w:t>申请人指出了临床研究的自动注射器（原型1）的表现形式与TBM自动注射器（原型2）的表现形式之间的差异。组合产品的后壳和前壳组件的尺寸和材料被修改，以改善组合产品的功能而不改变</w:t>
      </w:r>
      <w:del w:id="151" w:author="Aimee W" w:date="2022-08-08T14:33:00Z">
        <w:r>
          <w:rPr>
            <w:rFonts w:eastAsia="宋体"/>
            <w:color w:val="000000"/>
            <w:sz w:val="24"/>
            <w:szCs w:val="24"/>
          </w:rPr>
          <w:delText>使用者</w:delText>
        </w:r>
      </w:del>
      <w:ins w:id="152" w:author="Aimee W" w:date="2022-08-08T14:33:00Z">
        <w:r>
          <w:rPr>
            <w:rFonts w:eastAsia="宋体"/>
            <w:color w:val="000000"/>
            <w:sz w:val="24"/>
            <w:szCs w:val="24"/>
          </w:rPr>
          <w:t>用户</w:t>
        </w:r>
      </w:ins>
      <w:r>
        <w:rPr>
          <w:rFonts w:eastAsia="宋体"/>
          <w:color w:val="000000"/>
          <w:sz w:val="24"/>
          <w:szCs w:val="24"/>
        </w:rPr>
        <w:t>界面。</w:t>
      </w:r>
    </w:p>
    <w:p w14:paraId="77F3207D">
      <w:pPr>
        <w:shd w:val="clear" w:color="auto" w:fill="FFFFFF"/>
        <w:snapToGrid w:val="0"/>
        <w:ind w:left="314" w:leftChars="157"/>
        <w:jc w:val="both"/>
        <w:rPr>
          <w:rFonts w:eastAsia="宋体"/>
          <w:color w:val="000000"/>
          <w:sz w:val="24"/>
          <w:szCs w:val="24"/>
        </w:rPr>
      </w:pPr>
    </w:p>
    <w:p w14:paraId="453262E1">
      <w:pPr>
        <w:shd w:val="clear" w:color="auto" w:fill="FFFFFF"/>
        <w:snapToGrid w:val="0"/>
        <w:ind w:left="314" w:leftChars="157"/>
        <w:jc w:val="both"/>
        <w:rPr>
          <w:rFonts w:eastAsia="宋体"/>
          <w:sz w:val="24"/>
          <w:szCs w:val="24"/>
        </w:rPr>
      </w:pPr>
      <w:r>
        <w:rPr>
          <w:rFonts w:eastAsia="宋体"/>
          <w:color w:val="000000"/>
          <w:sz w:val="24"/>
          <w:szCs w:val="24"/>
        </w:rPr>
        <w:t>在考虑器械修改带来的安全和有效性的个别和总体差异的潜在影响时，申请人确定了以下考虑。</w:t>
      </w:r>
    </w:p>
    <w:p w14:paraId="39083B2A">
      <w:pPr>
        <w:shd w:val="clear" w:color="auto" w:fill="FFFFFF"/>
        <w:snapToGrid w:val="0"/>
        <w:ind w:left="929" w:leftChars="307" w:hanging="315"/>
        <w:jc w:val="both"/>
        <w:rPr>
          <w:rFonts w:eastAsia="宋体"/>
          <w:color w:val="000000"/>
          <w:sz w:val="24"/>
          <w:szCs w:val="24"/>
        </w:rPr>
      </w:pPr>
    </w:p>
    <w:p w14:paraId="0BD2838B">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与药物直接接触的容器封口和配方不变，预计自动注射器的修订不会改变药物成分部分的质量考虑。原型2的制造工艺与原型1的制造工艺相当，因此预计修改自动注射器的制造工艺不会影响药物组成部件的质量。但如果器械构成部分的功能性能存在差异，可能会影响药物构成部分。</w:t>
      </w:r>
    </w:p>
    <w:p w14:paraId="260D1156">
      <w:pPr>
        <w:shd w:val="clear" w:color="auto" w:fill="FFFFFF"/>
        <w:snapToGrid w:val="0"/>
        <w:ind w:left="929" w:leftChars="307" w:hanging="315"/>
        <w:jc w:val="both"/>
        <w:rPr>
          <w:rFonts w:eastAsia="宋体"/>
          <w:color w:val="000000"/>
          <w:sz w:val="24"/>
          <w:szCs w:val="24"/>
        </w:rPr>
      </w:pPr>
    </w:p>
    <w:p w14:paraId="5E5EDFA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器械变化可能影响药物的PK曲线。例如，改变后壳和前壳组件内部部件的尺寸和材料可能导致差异，包括注射角度的一致性或可变性、组织深度（可能与由注射时间决定的药物输送速率有关）和注射的完整性。</w:t>
      </w:r>
    </w:p>
    <w:p w14:paraId="78B76B46">
      <w:pPr>
        <w:shd w:val="clear" w:color="auto" w:fill="FFFFFF"/>
        <w:snapToGrid w:val="0"/>
        <w:jc w:val="both"/>
        <w:rPr>
          <w:rFonts w:eastAsia="宋体"/>
          <w:sz w:val="24"/>
          <w:szCs w:val="24"/>
        </w:rPr>
      </w:pPr>
    </w:p>
    <w:p w14:paraId="2F9B5990">
      <w:pPr>
        <w:shd w:val="clear" w:color="auto" w:fill="FFFFFF"/>
        <w:snapToGrid w:val="0"/>
        <w:jc w:val="both"/>
        <w:rPr>
          <w:rFonts w:eastAsia="宋体"/>
          <w:sz w:val="24"/>
          <w:szCs w:val="24"/>
        </w:rPr>
        <w:sectPr>
          <w:pgSz w:w="11906" w:h="16838"/>
          <w:pgMar w:top="1134" w:right="1417" w:bottom="1134" w:left="1417" w:header="850" w:footer="720" w:gutter="0"/>
          <w:lnNumType w:countBy="1" w:restart="continuous"/>
          <w:cols w:space="60" w:num="1"/>
          <w:docGrid w:linePitch="272" w:charSpace="0"/>
        </w:sectPr>
      </w:pPr>
    </w:p>
    <w:p w14:paraId="75C7A9F9">
      <w:pPr>
        <w:shd w:val="clear" w:color="auto" w:fill="FFFFFF"/>
        <w:snapToGrid w:val="0"/>
        <w:ind w:left="314" w:leftChars="157"/>
        <w:jc w:val="both"/>
        <w:rPr>
          <w:rFonts w:eastAsia="宋体"/>
          <w:color w:val="000000"/>
          <w:sz w:val="24"/>
          <w:szCs w:val="24"/>
        </w:rPr>
      </w:pPr>
      <w:r>
        <w:rPr>
          <w:rFonts w:eastAsia="宋体"/>
          <w:b/>
          <w:bCs/>
          <w:color w:val="000000"/>
          <w:sz w:val="24"/>
          <w:szCs w:val="24"/>
        </w:rPr>
        <w:t>第2步。</w:t>
      </w:r>
      <w:r>
        <w:rPr>
          <w:rFonts w:eastAsia="宋体"/>
          <w:color w:val="000000"/>
          <w:sz w:val="24"/>
          <w:szCs w:val="24"/>
        </w:rPr>
        <w:t>申请人没有为TBM产品收集新的临床数据，但正如步骤3所反映的那样，对TBM自动注射器（原型2）进行了验证检测，以确认器械性能在临床研究（原型1）和TBM（原型2）版本的器械之间保持不变。这包括根据相关标准进行检测，以及对申请人确定的某些性能要求进行评估，这些性能要求可能受到部件修改的影响，如果受到影响，可能对器械的运行产生不利影响。在这种情况下，以下性能要求被纳入TBM器械（原型2）的验证检测中：</w:t>
      </w:r>
    </w:p>
    <w:p w14:paraId="07D0AC4C">
      <w:pPr>
        <w:shd w:val="clear" w:color="auto" w:fill="FFFFFF"/>
        <w:snapToGrid w:val="0"/>
        <w:ind w:left="314" w:leftChars="157"/>
        <w:jc w:val="both"/>
        <w:rPr>
          <w:rFonts w:eastAsia="宋体"/>
          <w:sz w:val="24"/>
          <w:szCs w:val="24"/>
        </w:rPr>
      </w:pPr>
    </w:p>
    <w:p w14:paraId="6B6E9661">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剂量准确性</w:t>
      </w:r>
    </w:p>
    <w:p w14:paraId="0C8BFEF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注射深度（针头延伸）</w:t>
      </w:r>
    </w:p>
    <w:p w14:paraId="71C17A7C">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注射时间</w:t>
      </w:r>
    </w:p>
    <w:p w14:paraId="2684D3B2">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激活力</w:t>
      </w:r>
    </w:p>
    <w:p w14:paraId="50BA15D3">
      <w:pPr>
        <w:shd w:val="clear" w:color="auto" w:fill="FFFFFF"/>
        <w:snapToGrid w:val="0"/>
        <w:ind w:left="314" w:leftChars="157"/>
        <w:jc w:val="both"/>
        <w:rPr>
          <w:rFonts w:eastAsia="宋体"/>
          <w:color w:val="000000"/>
          <w:sz w:val="24"/>
          <w:szCs w:val="24"/>
        </w:rPr>
      </w:pPr>
    </w:p>
    <w:p w14:paraId="0DE42868">
      <w:pPr>
        <w:shd w:val="clear" w:color="auto" w:fill="FFFFFF"/>
        <w:snapToGrid w:val="0"/>
        <w:ind w:left="314" w:leftChars="157"/>
        <w:jc w:val="both"/>
        <w:rPr>
          <w:rFonts w:eastAsia="宋体"/>
          <w:color w:val="000000"/>
          <w:sz w:val="24"/>
          <w:szCs w:val="24"/>
        </w:rPr>
      </w:pPr>
      <w:r>
        <w:rPr>
          <w:rFonts w:eastAsia="宋体"/>
          <w:color w:val="000000"/>
          <w:sz w:val="24"/>
          <w:szCs w:val="24"/>
        </w:rPr>
        <w:t>申请人意识到，上述是可能影响药物输送的因素的示例，应在组合产品货架有效期内进行评估。申请人比较了两个自动注射器原型（1和2）已确定的性能要求，并确定该器械的临床研究（原型1）和TBM（原型2）版本之间的性能要求保持不变。</w:t>
      </w:r>
    </w:p>
    <w:p w14:paraId="04EECEB7">
      <w:pPr>
        <w:shd w:val="clear" w:color="auto" w:fill="FFFFFF"/>
        <w:snapToGrid w:val="0"/>
        <w:ind w:left="314" w:leftChars="157"/>
        <w:jc w:val="both"/>
        <w:rPr>
          <w:rFonts w:eastAsia="宋体"/>
          <w:sz w:val="24"/>
          <w:szCs w:val="24"/>
        </w:rPr>
      </w:pPr>
    </w:p>
    <w:p w14:paraId="587CE70B">
      <w:pPr>
        <w:shd w:val="clear" w:color="auto" w:fill="FFFFFF"/>
        <w:snapToGrid w:val="0"/>
        <w:ind w:left="314" w:leftChars="157"/>
        <w:jc w:val="both"/>
        <w:rPr>
          <w:rFonts w:eastAsia="宋体"/>
          <w:sz w:val="24"/>
          <w:szCs w:val="24"/>
        </w:rPr>
      </w:pPr>
      <w:r>
        <w:rPr>
          <w:rFonts w:eastAsia="宋体"/>
          <w:b/>
          <w:bCs/>
          <w:color w:val="000000"/>
          <w:sz w:val="24"/>
          <w:szCs w:val="24"/>
        </w:rPr>
        <w:t>第3步。</w:t>
      </w:r>
      <w:r>
        <w:rPr>
          <w:rFonts w:eastAsia="宋体"/>
          <w:color w:val="000000"/>
          <w:sz w:val="24"/>
          <w:szCs w:val="24"/>
        </w:rPr>
        <w:t>申请人之前用自动注射器的原型1进行了III期研究。申请人还对临床研究的自动注射器（原型1）进行了设计验证检测并完成了高频验证检测。申请人确定以下信息可适用于改良的TBM自动注射器（原型2）的介绍：</w:t>
      </w:r>
    </w:p>
    <w:p w14:paraId="4AB88369">
      <w:pPr>
        <w:shd w:val="clear" w:color="auto" w:fill="FFFFFF"/>
        <w:snapToGrid w:val="0"/>
        <w:ind w:left="929" w:leftChars="307" w:hanging="315"/>
        <w:jc w:val="both"/>
        <w:rPr>
          <w:rFonts w:eastAsia="宋体"/>
          <w:color w:val="000000"/>
          <w:sz w:val="24"/>
          <w:szCs w:val="24"/>
        </w:rPr>
      </w:pPr>
    </w:p>
    <w:p w14:paraId="23963AFF">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如上所述，检测证实，原型1和TBM原型2的剂量准确性、给药时间、注射深度、注射角度和注射部位是相同的，为这些展示架架起了信息桥梁；因此，申请人确定，使用自动注射器原型1进行的PK研究可以被利用。</w:t>
      </w:r>
    </w:p>
    <w:p w14:paraId="55621909">
      <w:pPr>
        <w:shd w:val="clear" w:color="auto" w:fill="FFFFFF"/>
        <w:snapToGrid w:val="0"/>
        <w:ind w:left="929" w:leftChars="307" w:hanging="315"/>
        <w:jc w:val="both"/>
        <w:rPr>
          <w:rFonts w:eastAsia="宋体"/>
          <w:color w:val="000000"/>
          <w:sz w:val="24"/>
          <w:szCs w:val="24"/>
        </w:rPr>
      </w:pPr>
    </w:p>
    <w:p w14:paraId="2F67444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del w:id="153" w:author="Aimee W" w:date="2022-08-08T14:33:00Z">
        <w:r>
          <w:rPr>
            <w:rFonts w:eastAsia="宋体"/>
            <w:color w:val="000000"/>
            <w:sz w:val="24"/>
            <w:szCs w:val="24"/>
          </w:rPr>
          <w:delText>使用者</w:delText>
        </w:r>
      </w:del>
      <w:ins w:id="154" w:author="Aimee W" w:date="2022-08-08T14:33:00Z">
        <w:r>
          <w:rPr>
            <w:rFonts w:eastAsia="宋体"/>
            <w:color w:val="000000"/>
            <w:sz w:val="24"/>
            <w:szCs w:val="24"/>
          </w:rPr>
          <w:t>用户</w:t>
        </w:r>
      </w:ins>
      <w:r>
        <w:rPr>
          <w:rFonts w:eastAsia="宋体"/>
          <w:color w:val="000000"/>
          <w:sz w:val="24"/>
          <w:szCs w:val="24"/>
        </w:rPr>
        <w:t>界面没有变化。此外，激活力和注射时间保持不变；因此，申请人确定原型1和原型2之间的高频数据可以衔接起来。因此，为使用原型1自动注射器的组合产品收集的高频数据可用于使用原型2自动注射器演示的组合产品。</w:t>
      </w:r>
    </w:p>
    <w:p w14:paraId="27B39271">
      <w:pPr>
        <w:shd w:val="clear" w:color="auto" w:fill="FFFFFF"/>
        <w:snapToGrid w:val="0"/>
        <w:ind w:left="929" w:leftChars="307" w:hanging="315"/>
        <w:jc w:val="both"/>
        <w:rPr>
          <w:rFonts w:eastAsia="宋体"/>
          <w:color w:val="000000"/>
          <w:sz w:val="24"/>
          <w:szCs w:val="24"/>
        </w:rPr>
      </w:pPr>
    </w:p>
    <w:p w14:paraId="2F05BE70">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建议的适应症、剂量和给药方式是相同的，如前所述，药物的给药方式（如剂量精密度、注射时间、注射深度）没有变化。因此，申请人已经确定，在现有临床项目中使用原型1自动注射器表现形式收集的非临床、毒性、安全性和有效性数据，可以衔接到原型2自动注射器表现形式上，并加以利用。</w:t>
      </w:r>
    </w:p>
    <w:p w14:paraId="0A6789CF">
      <w:pPr>
        <w:shd w:val="clear" w:color="auto" w:fill="FFFFFF"/>
        <w:tabs>
          <w:tab w:val="left" w:pos="720"/>
        </w:tabs>
        <w:snapToGrid w:val="0"/>
        <w:jc w:val="both"/>
        <w:rPr>
          <w:rFonts w:eastAsia="宋体"/>
          <w:color w:val="000000"/>
          <w:sz w:val="24"/>
          <w:szCs w:val="24"/>
        </w:rPr>
      </w:pPr>
    </w:p>
    <w:p w14:paraId="411E89BD">
      <w:pPr>
        <w:shd w:val="clear" w:color="auto" w:fill="FFFFFF"/>
        <w:tabs>
          <w:tab w:val="left" w:pos="720"/>
        </w:tabs>
        <w:snapToGrid w:val="0"/>
        <w:jc w:val="both"/>
        <w:rPr>
          <w:rFonts w:eastAsia="宋体"/>
          <w:color w:val="000000"/>
          <w:sz w:val="24"/>
          <w:szCs w:val="24"/>
        </w:rPr>
        <w:sectPr>
          <w:pgSz w:w="11906" w:h="16838"/>
          <w:pgMar w:top="1134" w:right="1417" w:bottom="1134" w:left="1417" w:header="850" w:footer="720" w:gutter="0"/>
          <w:lnNumType w:countBy="1" w:restart="continuous"/>
          <w:cols w:space="60" w:num="1"/>
          <w:docGrid w:linePitch="272" w:charSpace="0"/>
        </w:sectPr>
      </w:pPr>
    </w:p>
    <w:p w14:paraId="4B96F2B3">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原型1和原型2的自动注射器的主要容器封口是相同的，而且申请人可以证明在制造和储存组合产品时使用的自动注射器部件和材料不会与药物直接接触。因此，申请人已经确定，使用原型1自动注射器的介绍所收集的药物成分部分和可浸出的概况的CMC信息可以衔接到原型2自动注射器的介绍中并加以利用。</w:t>
      </w:r>
    </w:p>
    <w:p w14:paraId="78E98B19">
      <w:pPr>
        <w:shd w:val="clear" w:color="auto" w:fill="FFFFFF"/>
        <w:snapToGrid w:val="0"/>
        <w:ind w:left="929" w:leftChars="307" w:hanging="315"/>
        <w:jc w:val="both"/>
        <w:rPr>
          <w:rFonts w:eastAsia="宋体"/>
          <w:color w:val="000000"/>
          <w:sz w:val="24"/>
          <w:szCs w:val="24"/>
        </w:rPr>
      </w:pPr>
    </w:p>
    <w:p w14:paraId="328A48A0">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从临床研究的原型1自动注射器到TBM原型2自动注射器，主要容器的密封性保持不变，注射时间也没有变化。因此，申请人确定有可能弥合有关产品的信息并利用原型1的药械兼容性研究。</w:t>
      </w:r>
    </w:p>
    <w:p w14:paraId="7E10F66A">
      <w:pPr>
        <w:shd w:val="clear" w:color="auto" w:fill="FFFFFF"/>
        <w:snapToGrid w:val="0"/>
        <w:ind w:left="314" w:leftChars="157"/>
        <w:jc w:val="both"/>
        <w:rPr>
          <w:rFonts w:eastAsia="宋体"/>
          <w:b/>
          <w:bCs/>
          <w:color w:val="000000"/>
          <w:sz w:val="24"/>
          <w:szCs w:val="24"/>
        </w:rPr>
      </w:pPr>
    </w:p>
    <w:p w14:paraId="6BCA4DF8">
      <w:pPr>
        <w:shd w:val="clear" w:color="auto" w:fill="FFFFFF"/>
        <w:snapToGrid w:val="0"/>
        <w:ind w:left="314" w:leftChars="157"/>
        <w:jc w:val="both"/>
        <w:rPr>
          <w:rFonts w:eastAsia="宋体"/>
          <w:sz w:val="24"/>
          <w:szCs w:val="24"/>
        </w:rPr>
      </w:pPr>
      <w:r>
        <w:rPr>
          <w:rFonts w:eastAsia="宋体"/>
          <w:b/>
          <w:bCs/>
          <w:color w:val="000000"/>
          <w:sz w:val="24"/>
          <w:szCs w:val="24"/>
        </w:rPr>
        <w:t>第4步。</w:t>
      </w:r>
      <w:r>
        <w:rPr>
          <w:rFonts w:eastAsia="宋体"/>
          <w:color w:val="000000"/>
          <w:sz w:val="24"/>
          <w:szCs w:val="24"/>
        </w:rPr>
        <w:t>申请人确定没有其他可以利用的现有信息。</w:t>
      </w:r>
    </w:p>
    <w:p w14:paraId="4B1E20E6">
      <w:pPr>
        <w:shd w:val="clear" w:color="auto" w:fill="FFFFFF"/>
        <w:snapToGrid w:val="0"/>
        <w:ind w:left="314" w:leftChars="157"/>
        <w:jc w:val="both"/>
        <w:rPr>
          <w:rFonts w:eastAsia="宋体"/>
          <w:b/>
          <w:bCs/>
          <w:color w:val="000000"/>
          <w:sz w:val="24"/>
          <w:szCs w:val="24"/>
        </w:rPr>
      </w:pPr>
    </w:p>
    <w:p w14:paraId="5DE0F07E">
      <w:pPr>
        <w:shd w:val="clear" w:color="auto" w:fill="FFFFFF"/>
        <w:snapToGrid w:val="0"/>
        <w:ind w:left="314" w:leftChars="157"/>
        <w:jc w:val="both"/>
        <w:rPr>
          <w:rFonts w:eastAsia="宋体"/>
          <w:sz w:val="24"/>
          <w:szCs w:val="24"/>
        </w:rPr>
      </w:pPr>
      <w:r>
        <w:rPr>
          <w:rFonts w:eastAsia="宋体"/>
          <w:b/>
          <w:bCs/>
          <w:color w:val="000000"/>
          <w:sz w:val="24"/>
          <w:szCs w:val="24"/>
        </w:rPr>
        <w:t>第5步。</w:t>
      </w:r>
      <w:r>
        <w:rPr>
          <w:rFonts w:eastAsia="宋体"/>
          <w:color w:val="000000"/>
          <w:sz w:val="24"/>
          <w:szCs w:val="24"/>
        </w:rPr>
        <w:t>申请人认为除了上述信息外，不需要产生新的信息。申请人打算通过提交数据证明设计之间的可比性来支持评估，包括通过提交TBM原型2的完整设计验证数据来证明器械性能与原型1相当。此外，申请人打算将使用原型1的组合产品（在高频验证研究中进行了评估）和使用原型2的组合产品的</w:t>
      </w:r>
      <w:del w:id="155" w:author="Aimee W" w:date="2022-08-08T14:33:00Z">
        <w:r>
          <w:rPr>
            <w:rFonts w:eastAsia="宋体"/>
            <w:color w:val="000000"/>
            <w:sz w:val="24"/>
            <w:szCs w:val="24"/>
          </w:rPr>
          <w:delText>使用者</w:delText>
        </w:r>
      </w:del>
      <w:ins w:id="156" w:author="Aimee W" w:date="2022-08-08T14:33:00Z">
        <w:r>
          <w:rPr>
            <w:rFonts w:eastAsia="宋体"/>
            <w:color w:val="000000"/>
            <w:sz w:val="24"/>
            <w:szCs w:val="24"/>
          </w:rPr>
          <w:t>用户</w:t>
        </w:r>
      </w:ins>
      <w:r>
        <w:rPr>
          <w:rFonts w:eastAsia="宋体"/>
          <w:color w:val="000000"/>
          <w:sz w:val="24"/>
          <w:szCs w:val="24"/>
        </w:rPr>
        <w:t>界面的并排比较作为NDA提交的一部分，以</w:t>
      </w:r>
      <w:del w:id="157" w:author="Z" w:date="2022-04-04T17:46:00Z">
        <w:r>
          <w:rPr>
            <w:rFonts w:hint="eastAsia" w:eastAsia="宋体"/>
            <w:color w:val="000000"/>
            <w:sz w:val="24"/>
            <w:szCs w:val="24"/>
          </w:rPr>
          <w:delText>方便</w:delText>
        </w:r>
      </w:del>
      <w:ins w:id="158" w:author="Z" w:date="2022-04-04T17:46:00Z">
        <w:r>
          <w:rPr>
            <w:rFonts w:hint="eastAsia" w:eastAsia="宋体"/>
            <w:color w:val="000000"/>
            <w:sz w:val="24"/>
            <w:szCs w:val="24"/>
          </w:rPr>
          <w:t>便于</w:t>
        </w:r>
      </w:ins>
      <w:r>
        <w:rPr>
          <w:rFonts w:eastAsia="宋体"/>
          <w:color w:val="000000"/>
          <w:sz w:val="24"/>
          <w:szCs w:val="24"/>
        </w:rPr>
        <w:t>审查，证明</w:t>
      </w:r>
      <w:del w:id="159" w:author="Aimee W" w:date="2022-08-08T14:33:00Z">
        <w:r>
          <w:rPr>
            <w:rFonts w:eastAsia="宋体"/>
            <w:color w:val="000000"/>
            <w:sz w:val="24"/>
            <w:szCs w:val="24"/>
          </w:rPr>
          <w:delText>使用者</w:delText>
        </w:r>
      </w:del>
      <w:ins w:id="160" w:author="Aimee W" w:date="2022-08-08T14:33:00Z">
        <w:r>
          <w:rPr>
            <w:rFonts w:eastAsia="宋体"/>
            <w:color w:val="000000"/>
            <w:sz w:val="24"/>
            <w:szCs w:val="24"/>
          </w:rPr>
          <w:t>用户</w:t>
        </w:r>
      </w:ins>
      <w:r>
        <w:rPr>
          <w:rFonts w:eastAsia="宋体"/>
          <w:color w:val="000000"/>
          <w:sz w:val="24"/>
          <w:szCs w:val="24"/>
        </w:rPr>
        <w:t>界面没有差异。</w:t>
      </w:r>
    </w:p>
    <w:p w14:paraId="197702EB">
      <w:pPr>
        <w:shd w:val="clear" w:color="auto" w:fill="FFFFFF"/>
        <w:snapToGrid w:val="0"/>
        <w:jc w:val="both"/>
        <w:rPr>
          <w:rFonts w:eastAsia="宋体"/>
          <w:b/>
          <w:bCs/>
          <w:color w:val="000000"/>
          <w:sz w:val="24"/>
          <w:szCs w:val="24"/>
        </w:rPr>
      </w:pPr>
    </w:p>
    <w:p w14:paraId="05B7AF7E">
      <w:pPr>
        <w:shd w:val="clear" w:color="auto" w:fill="FFFFFF"/>
        <w:snapToGrid w:val="0"/>
        <w:jc w:val="both"/>
        <w:rPr>
          <w:rFonts w:eastAsia="宋体"/>
          <w:b/>
          <w:bCs/>
          <w:color w:val="000000"/>
          <w:sz w:val="24"/>
          <w:szCs w:val="24"/>
        </w:rPr>
      </w:pPr>
    </w:p>
    <w:p w14:paraId="72D41823">
      <w:pPr>
        <w:pStyle w:val="3"/>
        <w:rPr>
          <w:sz w:val="24"/>
          <w:szCs w:val="24"/>
        </w:rPr>
      </w:pPr>
      <w:bookmarkStart w:id="7" w:name="_Toc97477957"/>
      <w:r>
        <w:rPr>
          <w:sz w:val="24"/>
          <w:szCs w:val="24"/>
        </w:rPr>
        <w:t>C.</w:t>
      </w:r>
      <w:r>
        <w:rPr>
          <w:sz w:val="24"/>
          <w:szCs w:val="24"/>
        </w:rPr>
        <w:tab/>
      </w:r>
      <w:r>
        <w:rPr>
          <w:sz w:val="24"/>
          <w:szCs w:val="24"/>
        </w:rPr>
        <w:t>采用相同器械与不同药物相结合的组合产品的数据衔接</w:t>
      </w:r>
      <w:bookmarkEnd w:id="7"/>
    </w:p>
    <w:p w14:paraId="4DAEECBA">
      <w:pPr>
        <w:shd w:val="clear" w:color="auto" w:fill="FFFFFF"/>
        <w:snapToGrid w:val="0"/>
        <w:jc w:val="both"/>
        <w:rPr>
          <w:rFonts w:eastAsia="宋体"/>
          <w:color w:val="000000"/>
          <w:sz w:val="24"/>
          <w:szCs w:val="24"/>
        </w:rPr>
      </w:pPr>
    </w:p>
    <w:p w14:paraId="4ABC78B5">
      <w:pPr>
        <w:shd w:val="clear" w:color="auto" w:fill="FFFFFF"/>
        <w:snapToGrid w:val="0"/>
        <w:jc w:val="both"/>
        <w:rPr>
          <w:rFonts w:eastAsia="宋体"/>
          <w:color w:val="000000"/>
          <w:sz w:val="24"/>
          <w:szCs w:val="24"/>
        </w:rPr>
      </w:pPr>
      <w:r>
        <w:rPr>
          <w:rFonts w:eastAsia="宋体"/>
          <w:color w:val="000000"/>
          <w:sz w:val="24"/>
          <w:szCs w:val="24"/>
        </w:rPr>
        <w:t>在这个假设的案例中，申请人之前开发了组合产品A，该产品在NDA中得到了FDA的批准，包括一个连接到计量吸入器上的预填充药物盒。组合产品A适用于预防和缓解18岁及以上可逆性阻塞性气道疾病患者的支气管痉挛。申请人</w:t>
      </w:r>
      <w:ins w:id="161" w:author="Z" w:date="2022-04-04T17:55:00Z">
        <w:r>
          <w:rPr>
            <w:rFonts w:hint="eastAsia" w:eastAsia="宋体"/>
            <w:color w:val="000000"/>
            <w:sz w:val="24"/>
            <w:szCs w:val="24"/>
          </w:rPr>
          <w:t>目前</w:t>
        </w:r>
      </w:ins>
      <w:del w:id="162" w:author="Z" w:date="2022-04-04T17:55:00Z">
        <w:r>
          <w:rPr>
            <w:rFonts w:eastAsia="宋体"/>
            <w:color w:val="000000"/>
            <w:sz w:val="24"/>
            <w:szCs w:val="24"/>
          </w:rPr>
          <w:delText>现在正</w:delText>
        </w:r>
      </w:del>
      <w:r>
        <w:rPr>
          <w:rFonts w:eastAsia="宋体"/>
          <w:color w:val="000000"/>
          <w:sz w:val="24"/>
          <w:szCs w:val="24"/>
        </w:rPr>
        <w:t>处于组合产品B的早期开发阶段，该产品将一种非物质文化遗产的药物成分部分与组合产品A中相同的计量吸入器相结合。对于组合产品B，申请人正</w:t>
      </w:r>
      <w:del w:id="163" w:author="Z" w:date="2022-04-04T17:55:00Z">
        <w:r>
          <w:rPr>
            <w:rFonts w:eastAsia="宋体"/>
            <w:color w:val="000000"/>
            <w:sz w:val="24"/>
            <w:szCs w:val="24"/>
          </w:rPr>
          <w:delText>在</w:delText>
        </w:r>
      </w:del>
      <w:r>
        <w:rPr>
          <w:rFonts w:eastAsia="宋体"/>
          <w:color w:val="000000"/>
          <w:sz w:val="24"/>
          <w:szCs w:val="24"/>
        </w:rPr>
        <w:t>寻求预防和缓解4岁及以上可逆性阻塞性气道疾病患者的支气管痉挛的适应症。</w:t>
      </w:r>
    </w:p>
    <w:p w14:paraId="3B6F8920">
      <w:pPr>
        <w:shd w:val="clear" w:color="auto" w:fill="FFFFFF"/>
        <w:snapToGrid w:val="0"/>
        <w:jc w:val="both"/>
        <w:rPr>
          <w:rFonts w:eastAsia="宋体"/>
          <w:sz w:val="24"/>
          <w:szCs w:val="24"/>
        </w:rPr>
      </w:pPr>
    </w:p>
    <w:p w14:paraId="40EC7481">
      <w:pPr>
        <w:shd w:val="clear" w:color="auto" w:fill="FFFFFF"/>
        <w:snapToGrid w:val="0"/>
        <w:jc w:val="both"/>
        <w:rPr>
          <w:rFonts w:eastAsia="宋体"/>
          <w:color w:val="000000"/>
          <w:sz w:val="24"/>
          <w:szCs w:val="24"/>
        </w:rPr>
      </w:pPr>
      <w:r>
        <w:rPr>
          <w:rFonts w:eastAsia="宋体"/>
          <w:color w:val="000000"/>
          <w:sz w:val="24"/>
          <w:szCs w:val="24"/>
        </w:rPr>
        <w:t>给药途径同样适用于组合产品A和B。这两种组合产品需要相同的驱动力来</w:t>
      </w:r>
      <w:del w:id="164" w:author="Z" w:date="2022-04-04T17:56:00Z">
        <w:r>
          <w:rPr>
            <w:rFonts w:eastAsia="宋体"/>
            <w:color w:val="000000"/>
            <w:sz w:val="24"/>
            <w:szCs w:val="24"/>
          </w:rPr>
          <w:delText>进行</w:delText>
        </w:r>
      </w:del>
      <w:r>
        <w:rPr>
          <w:rFonts w:eastAsia="宋体"/>
          <w:color w:val="000000"/>
          <w:sz w:val="24"/>
          <w:szCs w:val="24"/>
        </w:rPr>
        <w:t>吸入。这两种组合产品都是为了在紧急使用的情况下迅速扭转支气管痉挛。</w:t>
      </w:r>
    </w:p>
    <w:p w14:paraId="4A3E5793">
      <w:pPr>
        <w:shd w:val="clear" w:color="auto" w:fill="FFFFFF"/>
        <w:snapToGrid w:val="0"/>
        <w:jc w:val="both"/>
        <w:rPr>
          <w:rFonts w:eastAsia="宋体"/>
          <w:sz w:val="24"/>
          <w:szCs w:val="24"/>
        </w:rPr>
      </w:pPr>
    </w:p>
    <w:p w14:paraId="54B26CA8">
      <w:pPr>
        <w:shd w:val="clear" w:color="auto" w:fill="FFFFFF"/>
        <w:snapToGrid w:val="0"/>
        <w:jc w:val="both"/>
        <w:rPr>
          <w:rFonts w:eastAsia="宋体"/>
          <w:sz w:val="24"/>
          <w:szCs w:val="24"/>
        </w:rPr>
      </w:pPr>
      <w:r>
        <w:rPr>
          <w:rFonts w:eastAsia="宋体"/>
          <w:color w:val="000000"/>
          <w:sz w:val="24"/>
          <w:szCs w:val="24"/>
        </w:rPr>
        <w:t>利用分步框架，申请人的差距分析确定了以下内容：</w:t>
      </w:r>
    </w:p>
    <w:p w14:paraId="5BFF4318">
      <w:pPr>
        <w:shd w:val="clear" w:color="auto" w:fill="FFFFFF"/>
        <w:snapToGrid w:val="0"/>
        <w:jc w:val="both"/>
        <w:rPr>
          <w:rFonts w:eastAsia="宋体"/>
          <w:sz w:val="24"/>
          <w:szCs w:val="24"/>
        </w:rPr>
      </w:pPr>
    </w:p>
    <w:p w14:paraId="6ABDD64B">
      <w:pPr>
        <w:shd w:val="clear" w:color="auto" w:fill="FFFFFF"/>
        <w:snapToGrid w:val="0"/>
        <w:jc w:val="both"/>
        <w:rPr>
          <w:rFonts w:eastAsia="宋体"/>
          <w:sz w:val="21"/>
          <w:szCs w:val="21"/>
        </w:rPr>
        <w:sectPr>
          <w:pgSz w:w="11906" w:h="16838"/>
          <w:pgMar w:top="1134" w:right="1417" w:bottom="1134" w:left="1417" w:header="850" w:footer="720" w:gutter="0"/>
          <w:lnNumType w:countBy="1" w:restart="continuous"/>
          <w:cols w:space="60" w:num="1"/>
          <w:docGrid w:linePitch="272" w:charSpace="0"/>
        </w:sectPr>
      </w:pPr>
    </w:p>
    <w:p w14:paraId="0FD2EEA4">
      <w:pPr>
        <w:shd w:val="clear" w:color="auto" w:fill="FFFFFF"/>
        <w:snapToGrid w:val="0"/>
        <w:ind w:left="314" w:leftChars="157"/>
        <w:jc w:val="both"/>
        <w:rPr>
          <w:rFonts w:eastAsia="宋体"/>
          <w:sz w:val="24"/>
          <w:szCs w:val="24"/>
        </w:rPr>
      </w:pPr>
      <w:r>
        <w:rPr>
          <w:rFonts w:eastAsia="宋体"/>
          <w:b/>
          <w:bCs/>
          <w:color w:val="000000"/>
          <w:sz w:val="24"/>
          <w:szCs w:val="24"/>
        </w:rPr>
        <w:t>第1步。</w:t>
      </w:r>
      <w:r>
        <w:rPr>
          <w:rFonts w:eastAsia="宋体"/>
          <w:color w:val="000000"/>
          <w:sz w:val="24"/>
          <w:szCs w:val="24"/>
        </w:rPr>
        <w:t>申请人指出了组合产品A和B之间的区别，主要区别在于药物成分部分的变化和加入了儿科年龄组。</w:t>
      </w:r>
    </w:p>
    <w:p w14:paraId="2A19B291">
      <w:pPr>
        <w:shd w:val="clear" w:color="auto" w:fill="FFFFFF"/>
        <w:snapToGrid w:val="0"/>
        <w:ind w:left="314" w:leftChars="157"/>
        <w:jc w:val="both"/>
        <w:rPr>
          <w:rFonts w:eastAsia="宋体"/>
          <w:sz w:val="24"/>
          <w:szCs w:val="24"/>
        </w:rPr>
      </w:pPr>
      <w:r>
        <w:rPr>
          <w:rFonts w:eastAsia="宋体"/>
          <w:color w:val="000000"/>
          <w:sz w:val="24"/>
          <w:szCs w:val="24"/>
        </w:rPr>
        <w:t>在考虑到两种不同的药物和组合产品整体的安全性和有效性的个别和总体差异的潜在影响时，申请人确定需要对NME进行全面定性，以确定药物组成部分的安全性和有效性。此外，将儿科年龄组包括在内</w:t>
      </w:r>
      <w:ins w:id="165" w:author="Z" w:date="2022-04-04T18:31:00Z">
        <w:r>
          <w:rPr>
            <w:rFonts w:hint="eastAsia" w:eastAsia="宋体"/>
            <w:color w:val="000000"/>
            <w:sz w:val="24"/>
            <w:szCs w:val="24"/>
          </w:rPr>
          <w:t>引出了一个问题</w:t>
        </w:r>
      </w:ins>
      <w:del w:id="166" w:author="Z" w:date="2022-04-04T18:31:00Z">
        <w:r>
          <w:rPr>
            <w:rFonts w:eastAsia="宋体"/>
            <w:color w:val="000000"/>
            <w:sz w:val="24"/>
            <w:szCs w:val="24"/>
          </w:rPr>
          <w:delText>，留下了一个未回答的问题</w:delText>
        </w:r>
      </w:del>
      <w:r>
        <w:rPr>
          <w:rFonts w:eastAsia="宋体"/>
          <w:color w:val="000000"/>
          <w:sz w:val="24"/>
          <w:szCs w:val="24"/>
        </w:rPr>
        <w:t>，即这一</w:t>
      </w:r>
      <w:del w:id="167" w:author="Aimee W" w:date="2022-08-08T14:33:00Z">
        <w:r>
          <w:rPr>
            <w:rFonts w:eastAsia="宋体"/>
            <w:color w:val="000000"/>
            <w:sz w:val="24"/>
            <w:szCs w:val="24"/>
          </w:rPr>
          <w:delText>使用者</w:delText>
        </w:r>
      </w:del>
      <w:ins w:id="168" w:author="Aimee W" w:date="2022-08-08T14:33:00Z">
        <w:r>
          <w:rPr>
            <w:rFonts w:eastAsia="宋体"/>
            <w:color w:val="000000"/>
            <w:sz w:val="24"/>
            <w:szCs w:val="24"/>
          </w:rPr>
          <w:t>用户</w:t>
        </w:r>
      </w:ins>
      <w:r>
        <w:rPr>
          <w:rFonts w:eastAsia="宋体"/>
          <w:color w:val="000000"/>
          <w:sz w:val="24"/>
          <w:szCs w:val="24"/>
        </w:rPr>
        <w:t>群体是否能安全有效地使用该产品。</w:t>
      </w:r>
    </w:p>
    <w:p w14:paraId="36E425DD">
      <w:pPr>
        <w:shd w:val="clear" w:color="auto" w:fill="FFFFFF"/>
        <w:snapToGrid w:val="0"/>
        <w:ind w:left="314" w:leftChars="157"/>
        <w:jc w:val="both"/>
        <w:rPr>
          <w:rFonts w:eastAsia="宋体"/>
          <w:b/>
          <w:bCs/>
          <w:color w:val="000000"/>
          <w:sz w:val="24"/>
          <w:szCs w:val="24"/>
        </w:rPr>
      </w:pPr>
    </w:p>
    <w:p w14:paraId="698D6A2C">
      <w:pPr>
        <w:shd w:val="clear" w:color="auto" w:fill="FFFFFF"/>
        <w:snapToGrid w:val="0"/>
        <w:ind w:left="314" w:leftChars="157"/>
        <w:jc w:val="both"/>
        <w:rPr>
          <w:rFonts w:eastAsia="宋体"/>
          <w:sz w:val="24"/>
          <w:szCs w:val="24"/>
        </w:rPr>
      </w:pPr>
      <w:r>
        <w:rPr>
          <w:rFonts w:eastAsia="宋体"/>
          <w:b/>
          <w:bCs/>
          <w:color w:val="000000"/>
          <w:sz w:val="24"/>
          <w:szCs w:val="24"/>
        </w:rPr>
        <w:t>第2步。</w:t>
      </w:r>
      <w:r>
        <w:rPr>
          <w:rFonts w:eastAsia="宋体"/>
          <w:color w:val="000000"/>
          <w:sz w:val="24"/>
          <w:szCs w:val="24"/>
        </w:rPr>
        <w:t>申请人还没有为组合产品B</w:t>
      </w:r>
      <w:r>
        <w:rPr>
          <w:rFonts w:hint="eastAsia" w:eastAsia="宋体"/>
          <w:color w:val="000000"/>
          <w:sz w:val="24"/>
          <w:szCs w:val="24"/>
        </w:rPr>
        <w:t>开发</w:t>
      </w:r>
      <w:del w:id="169" w:author="Z" w:date="2022-04-04T18:32:00Z">
        <w:r>
          <w:rPr>
            <w:rFonts w:eastAsia="宋体"/>
            <w:color w:val="000000"/>
            <w:sz w:val="24"/>
            <w:szCs w:val="24"/>
          </w:rPr>
          <w:delText>任何</w:delText>
        </w:r>
      </w:del>
      <w:r>
        <w:rPr>
          <w:rFonts w:eastAsia="宋体"/>
          <w:color w:val="000000"/>
          <w:sz w:val="24"/>
          <w:szCs w:val="24"/>
        </w:rPr>
        <w:t>信息，因此，将不得不利用现有的器械构成部分的信息或开发新的数据。</w:t>
      </w:r>
    </w:p>
    <w:p w14:paraId="712F007C">
      <w:pPr>
        <w:shd w:val="clear" w:color="auto" w:fill="FFFFFF"/>
        <w:snapToGrid w:val="0"/>
        <w:ind w:left="314" w:leftChars="157"/>
        <w:jc w:val="both"/>
        <w:rPr>
          <w:rFonts w:eastAsia="宋体"/>
          <w:b/>
          <w:bCs/>
          <w:color w:val="000000"/>
          <w:sz w:val="24"/>
          <w:szCs w:val="24"/>
        </w:rPr>
      </w:pPr>
    </w:p>
    <w:p w14:paraId="33328178">
      <w:pPr>
        <w:shd w:val="clear" w:color="auto" w:fill="FFFFFF"/>
        <w:snapToGrid w:val="0"/>
        <w:ind w:left="314" w:leftChars="157"/>
        <w:jc w:val="both"/>
        <w:rPr>
          <w:rFonts w:eastAsia="宋体"/>
          <w:sz w:val="24"/>
          <w:szCs w:val="24"/>
        </w:rPr>
      </w:pPr>
      <w:r>
        <w:rPr>
          <w:rFonts w:eastAsia="宋体"/>
          <w:b/>
          <w:bCs/>
          <w:color w:val="000000"/>
          <w:sz w:val="24"/>
          <w:szCs w:val="24"/>
        </w:rPr>
        <w:t>第3步。</w:t>
      </w:r>
      <w:r>
        <w:rPr>
          <w:rFonts w:eastAsia="宋体"/>
          <w:color w:val="000000"/>
          <w:sz w:val="24"/>
          <w:szCs w:val="24"/>
        </w:rPr>
        <w:t>申请人确定，组合产品A和B之间的</w:t>
      </w:r>
      <w:del w:id="170" w:author="Aimee W" w:date="2022-08-08T14:33:00Z">
        <w:r>
          <w:rPr>
            <w:rFonts w:eastAsia="宋体"/>
            <w:color w:val="000000"/>
            <w:sz w:val="24"/>
            <w:szCs w:val="24"/>
          </w:rPr>
          <w:delText>使用者</w:delText>
        </w:r>
      </w:del>
      <w:ins w:id="171" w:author="Aimee W" w:date="2022-08-08T14:33:00Z">
        <w:r>
          <w:rPr>
            <w:rFonts w:eastAsia="宋体"/>
            <w:color w:val="000000"/>
            <w:sz w:val="24"/>
            <w:szCs w:val="24"/>
          </w:rPr>
          <w:t>用户</w:t>
        </w:r>
      </w:ins>
      <w:r>
        <w:rPr>
          <w:rFonts w:eastAsia="宋体"/>
          <w:color w:val="000000"/>
          <w:sz w:val="24"/>
          <w:szCs w:val="24"/>
        </w:rPr>
        <w:t>界面是相同的，产品的用途和使用环境也没有变化。</w:t>
      </w:r>
      <w:r>
        <w:rPr>
          <w:rStyle w:val="17"/>
          <w:rFonts w:eastAsia="宋体"/>
          <w:color w:val="000000"/>
          <w:sz w:val="24"/>
          <w:szCs w:val="24"/>
        </w:rPr>
        <w:t xml:space="preserve"> </w:t>
      </w:r>
      <w:r>
        <w:rPr>
          <w:rStyle w:val="17"/>
          <w:rFonts w:eastAsia="宋体"/>
          <w:color w:val="000000"/>
          <w:sz w:val="24"/>
          <w:szCs w:val="24"/>
        </w:rPr>
        <w:footnoteReference w:id="18"/>
      </w:r>
      <w:r>
        <w:rPr>
          <w:rFonts w:eastAsia="宋体"/>
          <w:color w:val="000000"/>
          <w:sz w:val="24"/>
          <w:szCs w:val="24"/>
        </w:rPr>
        <w:t>对于成人群体，他们的使用相关风险分析结果未发现组合产品A和B之间有任何新的或不同的使用相关风险，因此在产品之间建立了成人</w:t>
      </w:r>
      <w:del w:id="172" w:author="Aimee W" w:date="2022-08-08T14:33:00Z">
        <w:r>
          <w:rPr>
            <w:rFonts w:eastAsia="宋体"/>
            <w:color w:val="000000"/>
            <w:sz w:val="24"/>
            <w:szCs w:val="24"/>
          </w:rPr>
          <w:delText>使用者</w:delText>
        </w:r>
      </w:del>
      <w:ins w:id="173" w:author="Aimee W" w:date="2022-08-08T14:33:00Z">
        <w:r>
          <w:rPr>
            <w:rFonts w:eastAsia="宋体"/>
            <w:color w:val="000000"/>
            <w:sz w:val="24"/>
            <w:szCs w:val="24"/>
          </w:rPr>
          <w:t>用户</w:t>
        </w:r>
      </w:ins>
      <w:r>
        <w:rPr>
          <w:rFonts w:eastAsia="宋体"/>
          <w:color w:val="000000"/>
          <w:sz w:val="24"/>
          <w:szCs w:val="24"/>
        </w:rPr>
        <w:t>界面信息的桥梁。但申请人认为，需要对儿科人群进行评估，以</w:t>
      </w:r>
      <w:del w:id="174" w:author="Z" w:date="2022-04-04T18:32:00Z">
        <w:r>
          <w:rPr>
            <w:rFonts w:hint="eastAsia" w:eastAsia="宋体"/>
            <w:color w:val="000000"/>
            <w:sz w:val="24"/>
            <w:szCs w:val="24"/>
          </w:rPr>
          <w:delText>评估</w:delText>
        </w:r>
      </w:del>
      <w:ins w:id="175" w:author="Z" w:date="2022-04-04T18:32:00Z">
        <w:r>
          <w:rPr>
            <w:rFonts w:hint="eastAsia" w:eastAsia="宋体"/>
            <w:color w:val="000000"/>
            <w:sz w:val="24"/>
            <w:szCs w:val="24"/>
          </w:rPr>
          <w:t>评价</w:t>
        </w:r>
      </w:ins>
      <w:r>
        <w:rPr>
          <w:rFonts w:eastAsia="宋体"/>
          <w:color w:val="000000"/>
          <w:sz w:val="24"/>
          <w:szCs w:val="24"/>
        </w:rPr>
        <w:t>HF，因为没有对组合产品A进行研究。此外，申请人确定，为组合产品A开发的设计控制系统可用于组合产品B的设计验证和确认，但须经过步骤5中讨论的评估。</w:t>
      </w:r>
    </w:p>
    <w:p w14:paraId="339DAC24">
      <w:pPr>
        <w:shd w:val="clear" w:color="auto" w:fill="FFFFFF"/>
        <w:snapToGrid w:val="0"/>
        <w:ind w:left="314" w:leftChars="157"/>
        <w:jc w:val="both"/>
        <w:rPr>
          <w:rFonts w:eastAsia="宋体"/>
          <w:color w:val="000000"/>
          <w:sz w:val="24"/>
          <w:szCs w:val="24"/>
        </w:rPr>
      </w:pPr>
    </w:p>
    <w:p w14:paraId="42E1A8DC">
      <w:pPr>
        <w:shd w:val="clear" w:color="auto" w:fill="FFFFFF"/>
        <w:snapToGrid w:val="0"/>
        <w:ind w:left="314" w:leftChars="157"/>
        <w:jc w:val="both"/>
        <w:rPr>
          <w:rFonts w:eastAsia="宋体"/>
          <w:sz w:val="24"/>
          <w:szCs w:val="24"/>
        </w:rPr>
      </w:pPr>
      <w:r>
        <w:rPr>
          <w:rFonts w:eastAsia="宋体"/>
          <w:color w:val="000000"/>
          <w:sz w:val="24"/>
          <w:szCs w:val="24"/>
        </w:rPr>
        <w:t>申请人还确定，它可以依靠以前对组合产品A进行的生物相容性研究（评估口腔和嘴唇与吸入器塑料的接触情况），因为材料仍然相同。</w:t>
      </w:r>
    </w:p>
    <w:p w14:paraId="6617DA35">
      <w:pPr>
        <w:shd w:val="clear" w:color="auto" w:fill="FFFFFF"/>
        <w:snapToGrid w:val="0"/>
        <w:ind w:left="314" w:leftChars="157"/>
        <w:jc w:val="both"/>
        <w:rPr>
          <w:rFonts w:eastAsia="宋体"/>
          <w:b/>
          <w:bCs/>
          <w:color w:val="000000"/>
          <w:sz w:val="24"/>
          <w:szCs w:val="24"/>
        </w:rPr>
      </w:pPr>
    </w:p>
    <w:p w14:paraId="3C1B1EBC">
      <w:pPr>
        <w:shd w:val="clear" w:color="auto" w:fill="FFFFFF"/>
        <w:snapToGrid w:val="0"/>
        <w:ind w:left="314" w:leftChars="157"/>
        <w:jc w:val="both"/>
        <w:rPr>
          <w:rFonts w:eastAsia="宋体"/>
          <w:sz w:val="24"/>
          <w:szCs w:val="24"/>
        </w:rPr>
      </w:pPr>
      <w:r>
        <w:rPr>
          <w:rFonts w:eastAsia="宋体"/>
          <w:b/>
          <w:bCs/>
          <w:color w:val="000000"/>
          <w:sz w:val="24"/>
          <w:szCs w:val="24"/>
        </w:rPr>
        <w:t>第4步。</w:t>
      </w:r>
      <w:r>
        <w:rPr>
          <w:rFonts w:eastAsia="宋体"/>
          <w:color w:val="000000"/>
          <w:sz w:val="24"/>
          <w:szCs w:val="24"/>
        </w:rPr>
        <w:t>申请人确定</w:t>
      </w:r>
      <w:ins w:id="176" w:author="Z" w:date="2022-04-04T18:32:00Z">
        <w:r>
          <w:rPr>
            <w:rFonts w:hint="eastAsia" w:eastAsia="宋体"/>
            <w:color w:val="000000"/>
            <w:sz w:val="24"/>
            <w:szCs w:val="24"/>
          </w:rPr>
          <w:t>目前</w:t>
        </w:r>
      </w:ins>
      <w:r>
        <w:rPr>
          <w:rFonts w:eastAsia="宋体"/>
          <w:color w:val="000000"/>
          <w:sz w:val="24"/>
          <w:szCs w:val="24"/>
        </w:rPr>
        <w:t>没有其他可</w:t>
      </w:r>
      <w:del w:id="177" w:author="Z" w:date="2022-04-04T18:32:00Z">
        <w:r>
          <w:rPr>
            <w:rFonts w:eastAsia="宋体"/>
            <w:color w:val="000000"/>
            <w:sz w:val="24"/>
            <w:szCs w:val="24"/>
          </w:rPr>
          <w:delText>以利</w:delText>
        </w:r>
      </w:del>
      <w:r>
        <w:rPr>
          <w:rFonts w:eastAsia="宋体"/>
          <w:color w:val="000000"/>
          <w:sz w:val="24"/>
          <w:szCs w:val="24"/>
        </w:rPr>
        <w:t>用</w:t>
      </w:r>
      <w:del w:id="178" w:author="Z" w:date="2022-04-04T18:33:00Z">
        <w:r>
          <w:rPr>
            <w:rFonts w:eastAsia="宋体"/>
            <w:color w:val="000000"/>
            <w:sz w:val="24"/>
            <w:szCs w:val="24"/>
          </w:rPr>
          <w:delText>的现有</w:delText>
        </w:r>
      </w:del>
      <w:r>
        <w:rPr>
          <w:rFonts w:eastAsia="宋体"/>
          <w:color w:val="000000"/>
          <w:sz w:val="24"/>
          <w:szCs w:val="24"/>
        </w:rPr>
        <w:t>信息。</w:t>
      </w:r>
    </w:p>
    <w:p w14:paraId="7776F952">
      <w:pPr>
        <w:shd w:val="clear" w:color="auto" w:fill="FFFFFF"/>
        <w:snapToGrid w:val="0"/>
        <w:ind w:left="314" w:leftChars="157"/>
        <w:jc w:val="both"/>
        <w:rPr>
          <w:rFonts w:eastAsia="宋体"/>
          <w:b/>
          <w:bCs/>
          <w:color w:val="000000"/>
          <w:sz w:val="24"/>
          <w:szCs w:val="24"/>
        </w:rPr>
      </w:pPr>
    </w:p>
    <w:p w14:paraId="2A47B5A1">
      <w:pPr>
        <w:shd w:val="clear" w:color="auto" w:fill="FFFFFF"/>
        <w:snapToGrid w:val="0"/>
        <w:ind w:left="314" w:leftChars="157"/>
        <w:jc w:val="both"/>
        <w:rPr>
          <w:rFonts w:eastAsia="宋体"/>
          <w:sz w:val="24"/>
          <w:szCs w:val="24"/>
        </w:rPr>
      </w:pPr>
      <w:r>
        <w:rPr>
          <w:rFonts w:eastAsia="宋体"/>
          <w:b/>
          <w:bCs/>
          <w:color w:val="000000"/>
          <w:sz w:val="24"/>
          <w:szCs w:val="24"/>
        </w:rPr>
        <w:t>第5步。</w:t>
      </w:r>
      <w:r>
        <w:rPr>
          <w:rFonts w:eastAsia="宋体"/>
          <w:color w:val="000000"/>
          <w:sz w:val="24"/>
          <w:szCs w:val="24"/>
        </w:rPr>
        <w:t>申请人确定，由于药物和预期患者人群的变化，它将需要进行研究以全面描述组合产品B中的NME，并重新评估组合产品A的设计输入和输出（设计规格）的适用性。另外，由于组合产品A和B之间的这些差异可能会影响到器械的设计和性能，申请人确定需要对组合产品B，包括TBM器械，进行</w:t>
      </w:r>
      <w:del w:id="179" w:author="Z" w:date="2022-04-04T18:33:00Z">
        <w:r>
          <w:rPr>
            <w:rFonts w:eastAsia="宋体"/>
            <w:color w:val="000000"/>
            <w:sz w:val="24"/>
            <w:szCs w:val="24"/>
          </w:rPr>
          <w:delText>3</w:delText>
        </w:r>
      </w:del>
      <w:ins w:id="180" w:author="Z" w:date="2022-04-04T18:33:00Z">
        <w:r>
          <w:rPr>
            <w:rFonts w:eastAsia="宋体"/>
            <w:color w:val="000000"/>
            <w:sz w:val="24"/>
            <w:szCs w:val="24"/>
          </w:rPr>
          <w:t>III</w:t>
        </w:r>
      </w:ins>
      <w:r>
        <w:rPr>
          <w:rFonts w:eastAsia="宋体"/>
          <w:color w:val="000000"/>
          <w:sz w:val="24"/>
          <w:szCs w:val="24"/>
        </w:rPr>
        <w:t>期临床研究，以及对组合产品B进行其他设计验证检测。</w:t>
      </w:r>
    </w:p>
    <w:p w14:paraId="3C263661">
      <w:pPr>
        <w:pStyle w:val="18"/>
        <w:pBdr>
          <w:top w:val="single" w:color="auto" w:sz="18" w:space="1"/>
        </w:pBdr>
        <w:jc w:val="center"/>
        <w:rPr>
          <w:ins w:id="181" w:author="太极箫客" w:date="2025-08-14T15:22:50Z"/>
          <w:rFonts w:hint="eastAsia" w:eastAsia="等线"/>
          <w:lang w:eastAsia="zh-CN"/>
        </w:rPr>
      </w:pPr>
    </w:p>
    <w:p w14:paraId="62BEF9F9">
      <w:pPr>
        <w:pStyle w:val="18"/>
        <w:pBdr>
          <w:top w:val="single" w:color="auto" w:sz="18" w:space="1"/>
        </w:pBdr>
        <w:jc w:val="center"/>
        <w:rPr>
          <w:ins w:id="182" w:author="太极箫客" w:date="2025-08-14T15:22:50Z"/>
          <w:rFonts w:hint="eastAsia" w:eastAsia="等线"/>
          <w:lang w:eastAsia="zh-CN"/>
        </w:rPr>
      </w:pPr>
    </w:p>
    <w:p w14:paraId="1A943F92">
      <w:pPr>
        <w:pStyle w:val="18"/>
        <w:pBdr>
          <w:top w:val="single" w:color="auto" w:sz="18" w:space="1"/>
        </w:pBdr>
        <w:jc w:val="center"/>
        <w:rPr>
          <w:ins w:id="183" w:author="太极箫客" w:date="2025-08-14T15:22:50Z"/>
          <w:rFonts w:hint="eastAsia" w:eastAsia="等线"/>
          <w:lang w:eastAsia="zh-CN"/>
        </w:rPr>
      </w:pPr>
      <w:ins w:id="184" w:author="太极箫客" w:date="2025-08-14T15:22:50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lnNumType w:countBy="1" w:restart="continuous"/>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AO, Bo" w:date="2022-03-16T22:35:00Z" w:initials="">
    <w:p w14:paraId="5DBADB32">
      <w:pPr>
        <w:pStyle w:val="4"/>
      </w:pPr>
      <w:r>
        <w:rPr>
          <w:rFonts w:hint="eastAsia"/>
        </w:rPr>
        <w:t>修改成和GB</w:t>
      </w:r>
      <w:r>
        <w:t>15810</w:t>
      </w:r>
      <w:r>
        <w:rPr>
          <w:rFonts w:hint="eastAsia"/>
        </w:rPr>
        <w:t>以及GB</w:t>
      </w:r>
      <w:r>
        <w:t>15811</w:t>
      </w:r>
      <w:r>
        <w:rPr>
          <w:rFonts w:hint="eastAsia"/>
        </w:rPr>
        <w:t>中的描述保持一致。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BADB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AB26">
    <w:pPr>
      <w:pBdr>
        <w:top w:val="single" w:color="auto" w:sz="18" w:space="1"/>
      </w:pBdr>
      <w:shd w:val="clear" w:color="auto" w:fill="FFFFFF"/>
      <w:snapToGrid w:val="0"/>
      <w:jc w:val="both"/>
      <w:rPr>
        <w:rFonts w:eastAsia="宋体"/>
        <w:color w:val="000000"/>
        <w:sz w:val="21"/>
        <w:szCs w:val="21"/>
      </w:rPr>
    </w:pPr>
    <w:r>
      <w:rPr>
        <w:rFonts w:eastAsia="宋体"/>
        <w:color w:val="000000"/>
        <w:sz w:val="21"/>
        <w:szCs w:val="21"/>
      </w:rPr>
      <w:t>27383982dft.docx</w:t>
    </w:r>
  </w:p>
  <w:p w14:paraId="71749570">
    <w:pPr>
      <w:shd w:val="clear" w:color="auto" w:fill="FFFFFF"/>
      <w:snapToGrid w:val="0"/>
      <w:jc w:val="both"/>
      <w:rPr>
        <w:rFonts w:eastAsia="宋体"/>
        <w:sz w:val="21"/>
        <w:szCs w:val="21"/>
      </w:rPr>
    </w:pPr>
    <w:r>
      <w:rPr>
        <w:rFonts w:eastAsia="宋体"/>
        <w:color w:val="000000"/>
        <w:sz w:val="21"/>
        <w:szCs w:val="21"/>
      </w:rPr>
      <w:t>5/28/2019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A71">
    <w:pPr>
      <w:pBdr>
        <w:top w:val="single" w:color="auto" w:sz="18" w:space="1"/>
      </w:pBdr>
      <w:shd w:val="clear" w:color="auto" w:fill="FFFFFF"/>
      <w:snapToGrid w:val="0"/>
      <w:jc w:val="both"/>
      <w:rPr>
        <w:rFonts w:eastAsia="宋体"/>
        <w:color w:val="000000"/>
        <w:sz w:val="21"/>
        <w:szCs w:val="21"/>
      </w:rPr>
    </w:pPr>
  </w:p>
  <w:p w14:paraId="6F6AAF4F">
    <w:pPr>
      <w:shd w:val="clear" w:color="auto" w:fill="FFFFFF"/>
      <w:snapToGrid w:val="0"/>
      <w:jc w:val="both"/>
      <w:rPr>
        <w:rFonts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D31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E50">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14</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r>
        <w:separator/>
      </w:r>
    </w:p>
  </w:footnote>
  <w:footnote w:type="continuationSeparator" w:id="39">
    <w:p>
      <w:r>
        <w:continuationSeparator/>
      </w:r>
    </w:p>
  </w:footnote>
  <w:footnote w:id="0">
    <w:p w14:paraId="611058FB">
      <w:pPr>
        <w:pStyle w:val="9"/>
        <w:rPr>
          <w:rFonts w:eastAsia="宋体"/>
        </w:rPr>
      </w:pPr>
      <w:r>
        <w:rPr>
          <w:rStyle w:val="17"/>
          <w:rFonts w:eastAsia="宋体"/>
        </w:rPr>
        <w:footnoteRef/>
      </w:r>
      <w:r>
        <w:rPr>
          <w:rFonts w:eastAsia="宋体"/>
        </w:rPr>
        <w:t xml:space="preserve"> </w:t>
      </w:r>
      <w:r>
        <w:rPr>
          <w:rFonts w:eastAsia="宋体"/>
          <w:color w:val="000000"/>
        </w:rPr>
        <w:t>本指南由药物评价和研究中心的监测和流行病学办公室和新药办公室与食品和药物管理局的生物制品评价和研究中心、器械和放射健康中心以及组合产品办公室合作编写。本指南是FDA为实现《处方药使用费法案》（PDUFA VI）第六次授权下的绩效目标而发布的若干文件之一。</w:t>
      </w:r>
    </w:p>
  </w:footnote>
  <w:footnote w:id="1">
    <w:p w14:paraId="4B326D86">
      <w:pPr>
        <w:pStyle w:val="9"/>
        <w:rPr>
          <w:rFonts w:eastAsia="宋体"/>
        </w:rPr>
      </w:pPr>
    </w:p>
    <w:p w14:paraId="68A08D70">
      <w:pPr>
        <w:pStyle w:val="9"/>
        <w:rPr>
          <w:rFonts w:eastAsia="宋体"/>
        </w:rPr>
      </w:pPr>
      <w:r>
        <w:rPr>
          <w:rStyle w:val="17"/>
          <w:rFonts w:eastAsia="宋体"/>
        </w:rPr>
        <w:footnoteRef/>
      </w:r>
      <w:r>
        <w:rPr>
          <w:rFonts w:eastAsia="宋体"/>
        </w:rPr>
        <w:t xml:space="preserve"> </w:t>
      </w:r>
      <w:r>
        <w:rPr>
          <w:rFonts w:eastAsia="宋体"/>
          <w:color w:val="000000"/>
        </w:rPr>
        <w:t>见《联邦食品、药品和化妆品法案》（《FD&amp;C法案》）第503(g)条和《美国联邦法规》第21篇第3.2条对组合产品的定义</w:t>
      </w:r>
    </w:p>
  </w:footnote>
  <w:footnote w:id="2">
    <w:p w14:paraId="725EE0C5">
      <w:pPr>
        <w:pStyle w:val="9"/>
        <w:rPr>
          <w:rFonts w:eastAsia="宋体"/>
        </w:rPr>
      </w:pPr>
    </w:p>
    <w:p w14:paraId="3CE1D2AA">
      <w:pPr>
        <w:pStyle w:val="9"/>
        <w:rPr>
          <w:rFonts w:eastAsia="宋体"/>
        </w:rPr>
      </w:pPr>
      <w:r>
        <w:rPr>
          <w:rStyle w:val="17"/>
          <w:rFonts w:eastAsia="宋体"/>
        </w:rPr>
        <w:footnoteRef/>
      </w:r>
      <w:r>
        <w:rPr>
          <w:rFonts w:eastAsia="宋体"/>
        </w:rPr>
        <w:t xml:space="preserve"> </w:t>
      </w:r>
      <w:r>
        <w:rPr>
          <w:rFonts w:eastAsia="宋体"/>
          <w:color w:val="000000"/>
        </w:rPr>
        <w:t>见21 CFR 4.2.中的组成部件定义。</w:t>
      </w:r>
    </w:p>
  </w:footnote>
  <w:footnote w:id="3">
    <w:p w14:paraId="3E5B8937">
      <w:pPr>
        <w:pStyle w:val="9"/>
        <w:rPr>
          <w:rFonts w:eastAsia="宋体"/>
        </w:rPr>
      </w:pPr>
    </w:p>
    <w:p w14:paraId="58ABEB6E">
      <w:pPr>
        <w:pStyle w:val="9"/>
      </w:pPr>
      <w:r>
        <w:rPr>
          <w:rStyle w:val="17"/>
          <w:rFonts w:eastAsia="宋体"/>
        </w:rPr>
        <w:footnoteRef/>
      </w:r>
      <w:r>
        <w:rPr>
          <w:rFonts w:eastAsia="宋体"/>
        </w:rPr>
        <w:t xml:space="preserve"> </w:t>
      </w:r>
      <w:r>
        <w:rPr>
          <w:rFonts w:eastAsia="宋体"/>
          <w:color w:val="000000"/>
        </w:rPr>
        <w:t>在本指南中，除特别指明外，所提及的</w:t>
      </w:r>
      <w:r>
        <w:rPr>
          <w:rFonts w:eastAsia="宋体"/>
          <w:i/>
          <w:iCs/>
          <w:color w:val="000000"/>
        </w:rPr>
        <w:t>药物</w:t>
      </w:r>
      <w:r>
        <w:rPr>
          <w:rFonts w:eastAsia="宋体"/>
          <w:color w:val="000000"/>
        </w:rPr>
        <w:t>或</w:t>
      </w:r>
      <w:r>
        <w:rPr>
          <w:rFonts w:eastAsia="宋体"/>
          <w:i/>
          <w:iCs/>
          <w:color w:val="000000"/>
        </w:rPr>
        <w:t>药物成分部分</w:t>
      </w:r>
      <w:r>
        <w:rPr>
          <w:rFonts w:eastAsia="宋体"/>
          <w:color w:val="000000"/>
        </w:rPr>
        <w:t>包括作为组合产品的一部分提交审批的药物或生物制品成分部分，或根据《FD&amp;C法案》（21 U.S.C. 355(c)）第505(c)条批准或根据《公共卫生服务法》（PHS法）第351(a)条许可。适用于根据《FD&amp;C法案》第505(b)条提交批准的产品或根据《PHS法》第351(a)条获得许可的一些原则也可能适用于根据《FD&amp;C法案》第505(j)条提交批准的产品或根据《PHS法》第351(k)条获得许可的产品。此外，本指南中讨论的科学原则可能适用于根据《FD&amp;C法案》第515、513(f)(2)或510(k)条提交的组合产品。</w:t>
      </w:r>
    </w:p>
  </w:footnote>
  <w:footnote w:id="4">
    <w:p w14:paraId="5673BCBE">
      <w:pPr>
        <w:pStyle w:val="9"/>
        <w:rPr>
          <w:rFonts w:eastAsia="宋体"/>
          <w:color w:val="000000" w:themeColor="text1"/>
        </w:rPr>
      </w:pPr>
      <w:r>
        <w:rPr>
          <w:rStyle w:val="17"/>
          <w:rFonts w:eastAsia="宋体"/>
          <w:color w:val="000000" w:themeColor="text1"/>
        </w:rPr>
        <w:footnoteRef/>
      </w:r>
      <w:r>
        <w:rPr>
          <w:rFonts w:eastAsia="宋体"/>
          <w:color w:val="000000" w:themeColor="text1"/>
        </w:rPr>
        <w:t>有一些监管方面的考虑适用于在某些申请中对某些类型的信息的依赖（例如，在505(b)(2)申请中对申请人不拥有或无权参考的药物的先前安全性和有效性的依赖），但对这些考虑的讨论超出了本指南的范围。见</w:t>
      </w:r>
      <w:r>
        <w:rPr>
          <w:rFonts w:eastAsia="宋体"/>
          <w:i/>
          <w:iCs/>
          <w:color w:val="000000" w:themeColor="text1"/>
        </w:rPr>
        <w:t>第505(b)(2)条所涵盖的</w:t>
      </w:r>
      <w:r>
        <w:rPr>
          <w:rFonts w:eastAsia="宋体"/>
          <w:color w:val="000000" w:themeColor="text1"/>
        </w:rPr>
        <w:t>行业</w:t>
      </w:r>
      <w:r>
        <w:rPr>
          <w:rFonts w:eastAsia="宋体"/>
          <w:i/>
          <w:iCs/>
          <w:color w:val="000000" w:themeColor="text1"/>
        </w:rPr>
        <w:t>应用</w:t>
      </w:r>
      <w:r>
        <w:rPr>
          <w:rFonts w:eastAsia="宋体"/>
          <w:color w:val="000000" w:themeColor="text1"/>
        </w:rPr>
        <w:t>指南草案（1999年10月）。最终定稿后，本指南将代表FDA目前对该主题的看法。有关最新版指南，请登录FDA指南网页https://www.fda.gov/regulatory-information/search-fda-guidance-documents。</w:t>
      </w:r>
    </w:p>
  </w:footnote>
  <w:footnote w:id="5">
    <w:p w14:paraId="311CA070">
      <w:pPr>
        <w:pStyle w:val="9"/>
        <w:rPr>
          <w:rFonts w:eastAsia="宋体"/>
        </w:rPr>
      </w:pPr>
    </w:p>
    <w:p w14:paraId="3243B33E">
      <w:pPr>
        <w:pStyle w:val="9"/>
        <w:rPr>
          <w:rFonts w:eastAsia="宋体"/>
        </w:rPr>
      </w:pPr>
      <w:r>
        <w:rPr>
          <w:rStyle w:val="17"/>
          <w:rFonts w:eastAsia="宋体"/>
        </w:rPr>
        <w:footnoteRef/>
      </w:r>
      <w:r>
        <w:rPr>
          <w:rFonts w:eastAsia="宋体"/>
        </w:rPr>
        <w:t xml:space="preserve"> </w:t>
      </w:r>
      <w:r>
        <w:rPr>
          <w:rFonts w:eastAsia="宋体"/>
          <w:color w:val="000000"/>
        </w:rPr>
        <w:t>例如，见21 CFR 314.3，”参考或使用权指为获得NDA/[新药申请]的批准而依赖和以其他方式使用调查的权力，包括必要时提供调查的基本原始数据供FDA审计的能力”</w:t>
      </w:r>
    </w:p>
  </w:footnote>
  <w:footnote w:id="6">
    <w:p w14:paraId="6A402118">
      <w:pPr>
        <w:pStyle w:val="9"/>
        <w:rPr>
          <w:rFonts w:eastAsia="宋体"/>
        </w:rPr>
      </w:pPr>
      <w:r>
        <w:rPr>
          <w:rStyle w:val="17"/>
          <w:rFonts w:eastAsia="宋体"/>
        </w:rPr>
        <w:footnoteRef/>
      </w:r>
      <w:r>
        <w:rPr>
          <w:rFonts w:eastAsia="宋体"/>
        </w:rPr>
        <w:t xml:space="preserve"> </w:t>
      </w:r>
      <w:r>
        <w:rPr>
          <w:rFonts w:eastAsia="宋体"/>
          <w:color w:val="000000"/>
        </w:rPr>
        <w:t>见《</w:t>
      </w:r>
      <w:r>
        <w:rPr>
          <w:rFonts w:eastAsia="宋体"/>
          <w:i/>
          <w:iCs/>
          <w:color w:val="000000"/>
        </w:rPr>
        <w:t>FDA与PDUFA产品的</w:t>
      </w:r>
      <w:del w:id="0" w:author="Z" w:date="2022-04-04T17:20:00Z">
        <w:r>
          <w:rPr>
            <w:rFonts w:eastAsia="宋体"/>
            <w:i/>
            <w:iCs/>
            <w:color w:val="000000"/>
          </w:rPr>
          <w:delText>申办者</w:delText>
        </w:r>
      </w:del>
      <w:ins w:id="1" w:author="Z" w:date="2022-04-04T17:20:00Z">
        <w:del w:id="2" w:author="Aimee W" w:date="2022-08-08T13:17:00Z">
          <w:r>
            <w:rPr>
              <w:rFonts w:eastAsia="宋体"/>
              <w:i/>
              <w:iCs/>
              <w:color w:val="000000"/>
            </w:rPr>
            <w:delText>申办</w:delText>
          </w:r>
        </w:del>
      </w:ins>
      <w:ins w:id="3" w:author="Z" w:date="2022-04-04T17:20:00Z">
        <w:del w:id="4" w:author="Aimee W" w:date="2022-08-08T13:17:00Z">
          <w:r>
            <w:rPr>
              <w:rFonts w:hint="eastAsia" w:eastAsia="宋体"/>
              <w:i/>
              <w:iCs/>
              <w:color w:val="000000"/>
            </w:rPr>
            <w:delText>方</w:delText>
          </w:r>
        </w:del>
      </w:ins>
      <w:ins w:id="5" w:author="Aimee W" w:date="2022-08-08T13:17:00Z">
        <w:r>
          <w:rPr>
            <w:rFonts w:eastAsia="宋体"/>
            <w:i/>
            <w:iCs/>
            <w:color w:val="000000"/>
          </w:rPr>
          <w:t>申办</w:t>
        </w:r>
      </w:ins>
      <w:ins w:id="6" w:author="Aimee W" w:date="2022-08-08T13:17:00Z">
        <w:r>
          <w:rPr>
            <w:rFonts w:hint="eastAsia" w:eastAsia="宋体"/>
            <w:i/>
            <w:iCs/>
            <w:color w:val="000000"/>
          </w:rPr>
          <w:t>者</w:t>
        </w:r>
      </w:ins>
      <w:r>
        <w:rPr>
          <w:rFonts w:eastAsia="宋体"/>
          <w:i/>
          <w:iCs/>
          <w:color w:val="000000"/>
        </w:rPr>
        <w:t>或申请人之间的</w:t>
      </w:r>
      <w:r>
        <w:rPr>
          <w:rFonts w:eastAsia="宋体"/>
          <w:color w:val="000000"/>
        </w:rPr>
        <w:t>行业</w:t>
      </w:r>
      <w:r>
        <w:rPr>
          <w:rFonts w:eastAsia="宋体"/>
          <w:i/>
          <w:iCs/>
          <w:color w:val="000000"/>
        </w:rPr>
        <w:t>正式会议</w:t>
      </w:r>
      <w:r>
        <w:rPr>
          <w:rFonts w:eastAsia="宋体"/>
          <w:color w:val="000000"/>
        </w:rPr>
        <w:t>指南草案》（2017年12月）。该指南一旦定稿，将代表FDA目前对该主题的想法。</w:t>
      </w:r>
    </w:p>
  </w:footnote>
  <w:footnote w:id="7">
    <w:p w14:paraId="3942922D">
      <w:pPr>
        <w:pStyle w:val="9"/>
        <w:rPr>
          <w:rFonts w:eastAsia="宋体"/>
        </w:rPr>
      </w:pPr>
    </w:p>
    <w:p w14:paraId="49EE96DF">
      <w:pPr>
        <w:pStyle w:val="9"/>
        <w:rPr>
          <w:rFonts w:eastAsia="宋体"/>
        </w:rPr>
      </w:pPr>
      <w:r>
        <w:rPr>
          <w:rStyle w:val="17"/>
          <w:rFonts w:eastAsia="宋体"/>
        </w:rPr>
        <w:footnoteRef/>
      </w:r>
      <w:r>
        <w:rPr>
          <w:rFonts w:eastAsia="宋体"/>
        </w:rPr>
        <w:t xml:space="preserve"> </w:t>
      </w:r>
      <w:r>
        <w:rPr>
          <w:rFonts w:eastAsia="宋体"/>
          <w:color w:val="000000"/>
        </w:rPr>
        <w:t>见行业和FDA工作人员指南草案 《</w:t>
      </w:r>
      <w:r>
        <w:rPr>
          <w:rFonts w:eastAsia="宋体"/>
          <w:i/>
          <w:iCs/>
          <w:color w:val="000000"/>
        </w:rPr>
        <w:t>组合产品上市前途径的原则》</w:t>
      </w:r>
      <w:r>
        <w:rPr>
          <w:rFonts w:eastAsia="宋体"/>
          <w:color w:val="000000"/>
        </w:rPr>
        <w:t>（2019年2月）</w:t>
      </w:r>
      <w:r>
        <w:rPr>
          <w:rFonts w:eastAsia="宋体"/>
          <w:i/>
          <w:iCs/>
          <w:color w:val="000000"/>
        </w:rPr>
        <w:t>。</w:t>
      </w:r>
      <w:r>
        <w:rPr>
          <w:rFonts w:eastAsia="宋体"/>
          <w:color w:val="000000"/>
        </w:rPr>
        <w:t>最后，本指南将代表FDA对此主题的当前看法。</w:t>
      </w:r>
    </w:p>
  </w:footnote>
  <w:footnote w:id="8">
    <w:p w14:paraId="611ED0A3">
      <w:pPr>
        <w:pStyle w:val="9"/>
        <w:rPr>
          <w:rFonts w:eastAsia="宋体"/>
        </w:rPr>
      </w:pPr>
    </w:p>
    <w:p w14:paraId="7636DF11">
      <w:pPr>
        <w:pStyle w:val="9"/>
        <w:rPr>
          <w:rFonts w:eastAsia="宋体"/>
        </w:rPr>
      </w:pPr>
      <w:r>
        <w:rPr>
          <w:rStyle w:val="17"/>
          <w:rFonts w:eastAsia="宋体"/>
        </w:rPr>
        <w:footnoteRef/>
      </w:r>
      <w:r>
        <w:rPr>
          <w:rFonts w:eastAsia="宋体"/>
        </w:rPr>
        <w:t xml:space="preserve"> </w:t>
      </w:r>
      <w:r>
        <w:rPr>
          <w:rFonts w:eastAsia="宋体"/>
          <w:color w:val="000000"/>
        </w:rPr>
        <w:t>见2013年1月22日发布的最终规则“组合产品的现行良好生产规范要求”（21 CFR Part 4, Subpart A；78 FR 4307-22）和2016年12月20日发布的最终规则“组合产品的上市后安全报告”（21 CFR Part 4, Subpart B；81 FR 92603-26）。</w:t>
      </w:r>
    </w:p>
  </w:footnote>
  <w:footnote w:id="9">
    <w:p w14:paraId="321897EC">
      <w:pPr>
        <w:pStyle w:val="9"/>
        <w:rPr>
          <w:rFonts w:eastAsia="宋体"/>
        </w:rPr>
      </w:pPr>
    </w:p>
    <w:p w14:paraId="7488FF3D">
      <w:pPr>
        <w:pStyle w:val="9"/>
        <w:rPr>
          <w:rFonts w:eastAsia="宋体"/>
        </w:rPr>
      </w:pPr>
      <w:r>
        <w:rPr>
          <w:rStyle w:val="17"/>
          <w:rFonts w:eastAsia="宋体"/>
        </w:rPr>
        <w:footnoteRef/>
      </w:r>
      <w:r>
        <w:rPr>
          <w:rFonts w:eastAsia="宋体"/>
          <w:color w:val="000000"/>
        </w:rPr>
        <w:t xml:space="preserve"> 同上。</w:t>
      </w:r>
    </w:p>
  </w:footnote>
  <w:footnote w:id="10">
    <w:p w14:paraId="46B4C471">
      <w:pPr>
        <w:pStyle w:val="9"/>
        <w:rPr>
          <w:rFonts w:eastAsia="宋体"/>
        </w:rPr>
      </w:pPr>
      <w:r>
        <w:rPr>
          <w:rStyle w:val="17"/>
          <w:rFonts w:eastAsia="宋体"/>
        </w:rPr>
        <w:footnoteRef/>
      </w:r>
      <w:r>
        <w:rPr>
          <w:rFonts w:eastAsia="宋体"/>
        </w:rPr>
        <w:t xml:space="preserve"> </w:t>
      </w:r>
      <w:r>
        <w:rPr>
          <w:rFonts w:eastAsia="宋体"/>
          <w:color w:val="000000"/>
        </w:rPr>
        <w:t>见《FD&amp;C法案》第503(g)(3)节。“FDA可以要求这种组合产品的</w:t>
      </w:r>
      <w:del w:id="7" w:author="Z" w:date="2022-04-04T17:20:00Z">
        <w:r>
          <w:rPr>
            <w:rFonts w:eastAsia="宋体"/>
            <w:color w:val="000000"/>
          </w:rPr>
          <w:delText>申办者</w:delText>
        </w:r>
      </w:del>
      <w:ins w:id="8" w:author="Z" w:date="2022-04-04T17:20:00Z">
        <w:del w:id="9" w:author="Aimee W" w:date="2022-08-08T13:17:00Z">
          <w:r>
            <w:rPr>
              <w:rFonts w:eastAsia="宋体"/>
              <w:color w:val="000000"/>
            </w:rPr>
            <w:delText>申办方</w:delText>
          </w:r>
        </w:del>
      </w:ins>
      <w:ins w:id="10" w:author="Aimee W" w:date="2022-08-08T13:17:00Z">
        <w:r>
          <w:rPr>
            <w:rFonts w:eastAsia="宋体"/>
            <w:color w:val="000000"/>
          </w:rPr>
          <w:t>申办者</w:t>
        </w:r>
      </w:ins>
      <w:r>
        <w:rPr>
          <w:rFonts w:eastAsia="宋体"/>
          <w:color w:val="000000"/>
        </w:rPr>
        <w:t>只向FDA提交FDA认定的数据或信息，以达到本法或《公共卫生服务法》规定的许可或批准标准，包括这种组合产品带来的任何增加的风险和益处，采用基于风险的方法，并考虑到申请人所依赖的任何先前的安全和有效性或已批准的组成部分的实质性等同性的结论“</w:t>
      </w:r>
    </w:p>
  </w:footnote>
  <w:footnote w:id="11">
    <w:p w14:paraId="1FE0F181">
      <w:pPr>
        <w:pStyle w:val="9"/>
        <w:rPr>
          <w:rFonts w:eastAsia="宋体"/>
        </w:rPr>
      </w:pPr>
      <w:r>
        <w:rPr>
          <w:rStyle w:val="17"/>
          <w:rFonts w:eastAsia="宋体"/>
        </w:rPr>
        <w:footnoteRef/>
      </w:r>
      <w:r>
        <w:rPr>
          <w:rFonts w:eastAsia="宋体"/>
        </w:rPr>
        <w:t xml:space="preserve"> </w:t>
      </w:r>
      <w:r>
        <w:rPr>
          <w:rFonts w:eastAsia="宋体"/>
          <w:color w:val="000000"/>
        </w:rPr>
        <w:t>注意，在某些监管途径下，使用某些信息来源可能不被允许，但这一讨论超出了本指南的范围。</w:t>
      </w:r>
    </w:p>
  </w:footnote>
  <w:footnote w:id="12">
    <w:p w14:paraId="139D9C29">
      <w:pPr>
        <w:pStyle w:val="9"/>
        <w:rPr>
          <w:rFonts w:ascii="宋体" w:hAnsi="宋体" w:eastAsia="宋体"/>
        </w:rPr>
      </w:pPr>
      <w:r>
        <w:rPr>
          <w:rStyle w:val="17"/>
        </w:rPr>
        <w:footnoteRef/>
      </w:r>
      <w:r>
        <w:t xml:space="preserve"> </w:t>
      </w:r>
      <w:r>
        <w:rPr>
          <w:rFonts w:ascii="宋体" w:hAnsi="宋体" w:eastAsia="宋体"/>
          <w:color w:val="000000"/>
        </w:rPr>
        <w:t>在本指南中，术语</w:t>
      </w:r>
      <w:r>
        <w:rPr>
          <w:rFonts w:ascii="宋体" w:hAnsi="宋体" w:eastAsia="宋体"/>
          <w:i/>
          <w:iCs/>
          <w:color w:val="000000"/>
        </w:rPr>
        <w:t>表述指</w:t>
      </w:r>
      <w:r>
        <w:rPr>
          <w:rFonts w:ascii="宋体" w:hAnsi="宋体" w:eastAsia="宋体"/>
          <w:color w:val="000000"/>
        </w:rPr>
        <w:t>组合产品的器械构成部分。</w:t>
      </w:r>
    </w:p>
  </w:footnote>
  <w:footnote w:id="13">
    <w:p w14:paraId="207C9083">
      <w:pPr>
        <w:shd w:val="clear" w:color="auto" w:fill="FFFFFF"/>
        <w:snapToGrid w:val="0"/>
        <w:rPr>
          <w:rFonts w:eastAsia="宋体"/>
          <w:sz w:val="18"/>
          <w:szCs w:val="18"/>
        </w:rPr>
      </w:pPr>
      <w:r>
        <w:rPr>
          <w:rStyle w:val="17"/>
          <w:rFonts w:eastAsia="宋体"/>
          <w:sz w:val="18"/>
          <w:szCs w:val="18"/>
        </w:rPr>
        <w:footnoteRef/>
      </w:r>
      <w:r>
        <w:rPr>
          <w:rFonts w:eastAsia="宋体"/>
          <w:sz w:val="18"/>
          <w:szCs w:val="18"/>
        </w:rPr>
        <w:t xml:space="preserve"> </w:t>
      </w:r>
      <w:r>
        <w:rPr>
          <w:rFonts w:eastAsia="宋体"/>
          <w:color w:val="000000"/>
          <w:sz w:val="18"/>
          <w:szCs w:val="18"/>
        </w:rPr>
        <w:t>组合产品须遵守21 CFR第4部分，其中规定了组合产品的现行良好生产规范（CGMP）要求。组合产品组成部分组合后仍然保持监管状态（例如，作为药品或器械保持监管状态）。适用于每个构成部分的CGMP要求适用于它们构成的组合产品。</w:t>
      </w:r>
    </w:p>
    <w:p w14:paraId="65C0AD3B">
      <w:pPr>
        <w:shd w:val="clear" w:color="auto" w:fill="FFFFFF"/>
        <w:snapToGrid w:val="0"/>
        <w:ind w:firstLine="606" w:firstLineChars="337"/>
        <w:rPr>
          <w:rFonts w:eastAsia="宋体"/>
          <w:sz w:val="18"/>
          <w:szCs w:val="18"/>
        </w:rPr>
      </w:pPr>
      <w:r>
        <w:rPr>
          <w:rFonts w:eastAsia="宋体"/>
          <w:color w:val="000000"/>
          <w:sz w:val="18"/>
          <w:szCs w:val="18"/>
        </w:rPr>
        <w:t>对于同时包括药品和器械的单实体和联合包装的组合产品，如本指南中涉及的产品，制造商可以对这些组合产品实施简化的方法（21 CFR 4.4(b)）。根据这种方法，组合产品制造商可以通过设计和实施一个CGMP操作系统来满足药品CGMP和器械质量体系QS法规的要求，该系统可以证明符合药品CGMP和器械QS法规的下列规定：21 CFR 820.20（管理责任）；21 CFR 820.30（设计控制）；21 CFR 820.50（采购控制）；21 CFR 820.100（纠正和预防措施）；21 CFR 820.170（安装）；和21 CFR 820.200（服务）。见21 CFR 4.4(b)(1)。其中一个特定的QS法规条款将遵守21 CFR 820.30对这些药械组合产品的设计控制要求的义务编入法典，包括设计核查和验证。见21 CFR 4.4(b)(1)(ii)。设计控制活动旨在确认组成部分之间没有不良相互利用，确保组成部分的组合使用能够保证组合产品安全有效，并达到预期性能。本指南中设计控制讨论的重点是证明最终组合产品在确定的使用条件下达到确定的性能目标所需的信息，而不是21 CFR 820.30中关于开发和管理这些信息的程序要求（例如，关于设计和开发计划以及设计历史档案的要求）。进行这种设计核查和验证论证所需的数据因组合产品及其预期用途而异，但通常包括工作台数据、临床前/临床检测数据和人类因素（HF）研究等。关于组合产品的设计控制要求的进一步信息，请参见行业和FDA工作人员的指南《</w:t>
      </w:r>
      <w:r>
        <w:rPr>
          <w:rFonts w:eastAsia="宋体"/>
          <w:i/>
          <w:iCs/>
          <w:color w:val="000000"/>
          <w:sz w:val="18"/>
          <w:szCs w:val="18"/>
        </w:rPr>
        <w:t>组合产品的现行良好生产规范要求》</w:t>
      </w:r>
      <w:r>
        <w:rPr>
          <w:rFonts w:eastAsia="宋体"/>
          <w:color w:val="000000"/>
          <w:sz w:val="18"/>
          <w:szCs w:val="18"/>
        </w:rPr>
        <w:t>（2017年1月）（2017年组合产品的CGMP指南）。</w:t>
      </w:r>
    </w:p>
    <w:p w14:paraId="2BC2A0C1">
      <w:pPr>
        <w:shd w:val="clear" w:color="auto" w:fill="FFFFFF"/>
        <w:snapToGrid w:val="0"/>
        <w:ind w:firstLine="606" w:firstLineChars="337"/>
        <w:rPr>
          <w:rFonts w:eastAsia="宋体"/>
          <w:sz w:val="18"/>
          <w:szCs w:val="18"/>
        </w:rPr>
      </w:pPr>
      <w:r>
        <w:rPr>
          <w:rFonts w:eastAsia="宋体"/>
          <w:color w:val="000000"/>
          <w:sz w:val="18"/>
          <w:szCs w:val="18"/>
        </w:rPr>
        <w:t>此外，根据定义，受《公共卫生服务法》第351条监管的生物制品也是一种药品或器械。因此，对于包括生物制品的组合产品，除了遵守《美国联邦法规》第21篇第4部分中适用的药品CGMP和器械QS法规要求外，此类产品的制造商必须遵守《美国联邦法规》第21篇第600至680部分中适用于生物制品的CGMP要求，如果它不是组合产品的一部分（21 CFR 4.4（b）（3））。</w:t>
      </w:r>
    </w:p>
  </w:footnote>
  <w:footnote w:id="14">
    <w:p w14:paraId="649DCA4D">
      <w:pPr>
        <w:pStyle w:val="9"/>
        <w:rPr>
          <w:rFonts w:eastAsia="宋体"/>
        </w:rPr>
      </w:pPr>
      <w:r>
        <w:rPr>
          <w:rStyle w:val="17"/>
          <w:rFonts w:eastAsia="宋体"/>
        </w:rPr>
        <w:footnoteRef/>
      </w:r>
      <w:r>
        <w:rPr>
          <w:rFonts w:eastAsia="宋体"/>
        </w:rPr>
        <w:t xml:space="preserve"> </w:t>
      </w:r>
      <w:r>
        <w:rPr>
          <w:rFonts w:eastAsia="宋体"/>
          <w:color w:val="000000"/>
        </w:rPr>
        <w:t>无论是否为上市申请提交高频研究，此类研究和/或对是否需要研究的分析仍需作为组合产品的设计控制文件的一部分。例如，见21 CFR 820.30(g) &amp; (j)。</w:t>
      </w:r>
    </w:p>
  </w:footnote>
  <w:footnote w:id="15">
    <w:p w14:paraId="1466E309">
      <w:pPr>
        <w:pStyle w:val="9"/>
        <w:rPr>
          <w:rFonts w:eastAsia="宋体"/>
        </w:rPr>
      </w:pPr>
      <w:r>
        <w:rPr>
          <w:rStyle w:val="17"/>
          <w:rFonts w:eastAsia="宋体"/>
        </w:rPr>
        <w:footnoteRef/>
      </w:r>
      <w:r>
        <w:rPr>
          <w:rFonts w:eastAsia="宋体"/>
        </w:rPr>
        <w:t xml:space="preserve"> </w:t>
      </w:r>
      <w:r>
        <w:rPr>
          <w:rFonts w:eastAsia="宋体"/>
          <w:color w:val="000000"/>
        </w:rPr>
        <w:t>例如，见21 CFR 820.30（f）-（g）。设计验证确认组合产品符合申请人的设计要求/规格（21 CFR 820.30(f)）；也见2017年CGMP组合产品指南，第23页。设计验证活动可以包括，例如，性能检测，安全检测，或目视检查（2017年CGMP指南的组合产品，在23）</w:t>
      </w:r>
      <w:r>
        <w:rPr>
          <w:rFonts w:eastAsia="宋体"/>
          <w:i/>
          <w:iCs/>
          <w:color w:val="000000"/>
        </w:rPr>
        <w:t>。</w:t>
      </w:r>
      <w:r>
        <w:rPr>
          <w:rFonts w:eastAsia="宋体"/>
          <w:color w:val="000000"/>
        </w:rPr>
        <w:t>设计验证确保组合产品的设计正确，以实现其预期目的（21 CFR 820.30(g)）。设计验证可包括模拟使用检测或临床/非临床评价，包括高频和软件验证（2017年CGMP指南中的组合产品，在24）。</w:t>
      </w:r>
    </w:p>
  </w:footnote>
  <w:footnote w:id="16">
    <w:p w14:paraId="4A209BCC">
      <w:pPr>
        <w:pStyle w:val="9"/>
        <w:rPr>
          <w:rFonts w:eastAsia="宋体"/>
        </w:rPr>
      </w:pPr>
    </w:p>
    <w:p w14:paraId="6005BE8B">
      <w:pPr>
        <w:pStyle w:val="9"/>
        <w:rPr>
          <w:rFonts w:eastAsia="宋体"/>
        </w:rPr>
      </w:pPr>
      <w:r>
        <w:rPr>
          <w:rStyle w:val="17"/>
          <w:rFonts w:eastAsia="宋体"/>
        </w:rPr>
        <w:footnoteRef/>
      </w:r>
      <w:r>
        <w:rPr>
          <w:rFonts w:eastAsia="宋体"/>
        </w:rPr>
        <w:t xml:space="preserve"> </w:t>
      </w:r>
      <w:r>
        <w:rPr>
          <w:rFonts w:eastAsia="宋体"/>
          <w:color w:val="000000"/>
        </w:rPr>
        <w:t>见行业和FDA工作人员指南《拟用于</w:t>
      </w:r>
      <w:r>
        <w:rPr>
          <w:rFonts w:eastAsia="宋体"/>
          <w:i/>
          <w:iCs/>
          <w:color w:val="000000"/>
        </w:rPr>
        <w:t>药物和生物制品的笔式、喷射式及相关注射器的技术考虑》</w:t>
      </w:r>
      <w:r>
        <w:rPr>
          <w:rFonts w:eastAsia="宋体"/>
          <w:color w:val="000000"/>
        </w:rPr>
        <w:t>（2013年6月）。</w:t>
      </w:r>
    </w:p>
  </w:footnote>
  <w:footnote w:id="17">
    <w:p w14:paraId="576BC7BE">
      <w:pPr>
        <w:pStyle w:val="9"/>
        <w:rPr>
          <w:rFonts w:eastAsia="宋体"/>
        </w:rPr>
      </w:pPr>
    </w:p>
    <w:p w14:paraId="5CDA976B">
      <w:pPr>
        <w:pStyle w:val="9"/>
        <w:rPr>
          <w:rFonts w:eastAsia="宋体"/>
        </w:rPr>
      </w:pPr>
      <w:r>
        <w:rPr>
          <w:rStyle w:val="17"/>
          <w:rFonts w:eastAsia="宋体"/>
        </w:rPr>
        <w:footnoteRef/>
      </w:r>
      <w:r>
        <w:rPr>
          <w:rFonts w:eastAsia="宋体"/>
        </w:rPr>
        <w:t xml:space="preserve"> </w:t>
      </w:r>
      <w:r>
        <w:rPr>
          <w:rFonts w:eastAsia="宋体"/>
          <w:color w:val="000000"/>
        </w:rPr>
        <w:t>更多信息，见《</w:t>
      </w:r>
      <w:r>
        <w:rPr>
          <w:rFonts w:eastAsia="宋体"/>
          <w:i/>
          <w:iCs/>
          <w:color w:val="000000"/>
        </w:rPr>
        <w:t>在NDA或IND中提交的</w:t>
      </w:r>
      <w:r>
        <w:rPr>
          <w:rFonts w:eastAsia="宋体"/>
          <w:color w:val="000000"/>
        </w:rPr>
        <w:t>行业</w:t>
      </w:r>
      <w:r>
        <w:rPr>
          <w:rFonts w:eastAsia="宋体"/>
          <w:i/>
          <w:iCs/>
          <w:color w:val="000000"/>
        </w:rPr>
        <w:t>生物利用度研究</w:t>
      </w:r>
      <w:r>
        <w:rPr>
          <w:rFonts w:eastAsia="宋体"/>
          <w:color w:val="000000"/>
        </w:rPr>
        <w:t>指南草案</w:t>
      </w:r>
      <w:r>
        <w:rPr>
          <w:rFonts w:eastAsia="宋体"/>
          <w:i/>
          <w:iCs/>
          <w:color w:val="000000"/>
        </w:rPr>
        <w:t>--一般考虑》</w:t>
      </w:r>
      <w:r>
        <w:rPr>
          <w:rFonts w:eastAsia="宋体"/>
          <w:color w:val="000000"/>
        </w:rPr>
        <w:t>（2019年2月）。最终定稿后，本指南将代表FDA目前对该主题的看法。</w:t>
      </w:r>
    </w:p>
  </w:footnote>
  <w:footnote w:id="18">
    <w:p w14:paraId="48EFC414">
      <w:pPr>
        <w:pStyle w:val="9"/>
        <w:rPr>
          <w:rFonts w:eastAsia="宋体"/>
        </w:rPr>
      </w:pPr>
      <w:r>
        <w:rPr>
          <w:rStyle w:val="17"/>
          <w:rFonts w:eastAsia="宋体"/>
        </w:rPr>
        <w:footnoteRef/>
      </w:r>
      <w:r>
        <w:rPr>
          <w:rFonts w:eastAsia="宋体"/>
        </w:rPr>
        <w:t xml:space="preserve"> </w:t>
      </w:r>
      <w:r>
        <w:rPr>
          <w:rFonts w:eastAsia="宋体"/>
          <w:color w:val="000000"/>
        </w:rPr>
        <w:t>更多信息请参见《</w:t>
      </w:r>
      <w:r>
        <w:rPr>
          <w:rFonts w:eastAsia="宋体"/>
          <w:i/>
          <w:iCs/>
          <w:color w:val="000000"/>
        </w:rPr>
        <w:t>产品设计的</w:t>
      </w:r>
      <w:r>
        <w:rPr>
          <w:rFonts w:eastAsia="宋体"/>
          <w:color w:val="000000"/>
        </w:rPr>
        <w:t>行业</w:t>
      </w:r>
      <w:r>
        <w:rPr>
          <w:rFonts w:eastAsia="宋体"/>
          <w:i/>
          <w:iCs/>
          <w:color w:val="000000"/>
        </w:rPr>
        <w:t>安全考虑因素以尽量减少用药错误》</w:t>
      </w:r>
      <w:r>
        <w:rPr>
          <w:rFonts w:eastAsia="宋体"/>
          <w:color w:val="000000"/>
        </w:rPr>
        <w:t>（2016年4月）的指导。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7583">
    <w:pPr>
      <w:shd w:val="clear" w:color="auto" w:fill="FFFFFF"/>
      <w:snapToGrid w:val="0"/>
      <w:jc w:val="center"/>
      <w:rPr>
        <w:rFonts w:hint="eastAsia" w:eastAsia="宋体"/>
        <w:sz w:val="21"/>
        <w:szCs w:val="21"/>
      </w:rPr>
    </w:pPr>
    <w:del w:id="11" w:author="Aimee W" w:date="2022-08-08T20:08:00Z">
      <w:r>
        <w:rPr>
          <w:rFonts w:hint="eastAsia" w:eastAsia="宋体"/>
          <w:b/>
          <w:bCs/>
          <w:i/>
          <w:iCs/>
          <w:color w:val="000000"/>
          <w:sz w:val="21"/>
          <w:szCs w:val="21"/>
        </w:rPr>
        <w:delText>包含</w:delText>
      </w:r>
    </w:del>
    <w:ins w:id="12" w:author="Aimee W" w:date="2022-08-08T20:08:00Z">
      <w:r>
        <w:rPr>
          <w:rFonts w:hint="eastAsia" w:eastAsia="宋体"/>
          <w:b/>
          <w:bCs/>
          <w:i/>
          <w:iCs/>
          <w:color w:val="000000"/>
          <w:sz w:val="21"/>
          <w:szCs w:val="21"/>
        </w:rPr>
        <w:t>所含建议</w:t>
      </w:r>
    </w:ins>
    <w:r>
      <w:rPr>
        <w:rFonts w:eastAsia="宋体"/>
        <w:b/>
        <w:bCs/>
        <w:i/>
        <w:iCs/>
        <w:color w:val="000000"/>
        <w:sz w:val="21"/>
        <w:szCs w:val="21"/>
      </w:rPr>
      <w:t>不具约束力</w:t>
    </w:r>
    <w:del w:id="13" w:author="Aimee W" w:date="2022-08-08T20:08:00Z">
      <w:r>
        <w:rPr>
          <w:rFonts w:eastAsia="宋体"/>
          <w:b/>
          <w:bCs/>
          <w:i/>
          <w:iCs/>
          <w:color w:val="000000"/>
          <w:sz w:val="21"/>
          <w:szCs w:val="21"/>
        </w:rPr>
        <w:delText>建议</w:delText>
      </w:r>
    </w:del>
  </w:p>
  <w:p w14:paraId="254A0DF7">
    <w:pPr>
      <w:shd w:val="clear" w:color="auto" w:fill="FFFFFF"/>
      <w:snapToGrid w:val="0"/>
      <w:jc w:val="center"/>
      <w:rPr>
        <w:rFonts w:eastAsia="宋体"/>
        <w:sz w:val="21"/>
        <w:szCs w:val="21"/>
      </w:rPr>
    </w:pPr>
    <w:r>
      <w:rPr>
        <w:rFonts w:eastAsia="宋体"/>
        <w:i/>
        <w:iCs/>
        <w:color w:val="000000"/>
        <w:sz w:val="21"/>
        <w:szCs w:val="21"/>
      </w:rPr>
      <w:t>草案 - 非实施稿</w:t>
    </w:r>
  </w:p>
  <w:p w14:paraId="25067B73">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38"/>
    <w:footnote w:id="39"/>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53790C"/>
    <w:rsid w:val="00006D7D"/>
    <w:rsid w:val="000847B4"/>
    <w:rsid w:val="001448E4"/>
    <w:rsid w:val="0015535D"/>
    <w:rsid w:val="00156F1F"/>
    <w:rsid w:val="0018437E"/>
    <w:rsid w:val="001A275F"/>
    <w:rsid w:val="001D6774"/>
    <w:rsid w:val="002A77CE"/>
    <w:rsid w:val="00321C1A"/>
    <w:rsid w:val="00374C8B"/>
    <w:rsid w:val="003863C6"/>
    <w:rsid w:val="004461AE"/>
    <w:rsid w:val="00460872"/>
    <w:rsid w:val="004C71C6"/>
    <w:rsid w:val="004C7DB4"/>
    <w:rsid w:val="0053790C"/>
    <w:rsid w:val="00546A87"/>
    <w:rsid w:val="005478B1"/>
    <w:rsid w:val="00583F42"/>
    <w:rsid w:val="00593C66"/>
    <w:rsid w:val="00664811"/>
    <w:rsid w:val="0068762C"/>
    <w:rsid w:val="00722FCD"/>
    <w:rsid w:val="007D5B99"/>
    <w:rsid w:val="008F5950"/>
    <w:rsid w:val="0092002A"/>
    <w:rsid w:val="00955458"/>
    <w:rsid w:val="00A32E18"/>
    <w:rsid w:val="00AA7901"/>
    <w:rsid w:val="00AC36BC"/>
    <w:rsid w:val="00B14726"/>
    <w:rsid w:val="00BD7D5A"/>
    <w:rsid w:val="00C14246"/>
    <w:rsid w:val="00C52677"/>
    <w:rsid w:val="00CC1990"/>
    <w:rsid w:val="00DD4EA2"/>
    <w:rsid w:val="00DF0273"/>
    <w:rsid w:val="00DF7A41"/>
    <w:rsid w:val="00E14067"/>
    <w:rsid w:val="00EE718C"/>
    <w:rsid w:val="00FE4BB7"/>
    <w:rsid w:val="00FF43FC"/>
    <w:rsid w:val="487640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3"/>
    <w:qFormat/>
    <w:uiPriority w:val="9"/>
    <w:pPr>
      <w:shd w:val="clear" w:color="auto" w:fill="FFFFFF"/>
      <w:snapToGrid w:val="0"/>
      <w:ind w:left="565" w:hanging="565" w:hangingChars="268"/>
      <w:jc w:val="both"/>
      <w:outlineLvl w:val="0"/>
    </w:pPr>
    <w:rPr>
      <w:rFonts w:eastAsia="宋体"/>
      <w:b/>
      <w:bCs/>
      <w:color w:val="000000"/>
      <w:sz w:val="21"/>
      <w:szCs w:val="21"/>
    </w:rPr>
  </w:style>
  <w:style w:type="paragraph" w:styleId="3">
    <w:name w:val="heading 2"/>
    <w:basedOn w:val="1"/>
    <w:next w:val="1"/>
    <w:link w:val="24"/>
    <w:unhideWhenUsed/>
    <w:qFormat/>
    <w:uiPriority w:val="9"/>
    <w:pPr>
      <w:shd w:val="clear" w:color="auto" w:fill="FFFFFF"/>
      <w:snapToGrid w:val="0"/>
      <w:ind w:left="930" w:leftChars="307" w:hanging="316"/>
      <w:jc w:val="both"/>
      <w:outlineLvl w:val="1"/>
    </w:pPr>
    <w:rPr>
      <w:rFonts w:eastAsia="宋体"/>
      <w:b/>
      <w:bCs/>
      <w:color w:val="000000"/>
      <w:sz w:val="21"/>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style>
  <w:style w:type="paragraph" w:styleId="5">
    <w:name w:val="Date"/>
    <w:basedOn w:val="1"/>
    <w:next w:val="1"/>
    <w:link w:val="19"/>
    <w:semiHidden/>
    <w:unhideWhenUsed/>
    <w:qFormat/>
    <w:uiPriority w:val="99"/>
    <w:pPr>
      <w:ind w:left="100" w:leftChars="2500"/>
    </w:pPr>
  </w:style>
  <w:style w:type="paragraph" w:styleId="6">
    <w:name w:val="footer"/>
    <w:basedOn w:val="1"/>
    <w:link w:val="21"/>
    <w:unhideWhenUsed/>
    <w:qFormat/>
    <w:uiPriority w:val="99"/>
    <w:pPr>
      <w:tabs>
        <w:tab w:val="center" w:pos="4153"/>
        <w:tab w:val="right" w:pos="8306"/>
      </w:tabs>
      <w:snapToGrid w:val="0"/>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tabs>
        <w:tab w:val="right" w:leader="dot" w:pos="9062"/>
      </w:tabs>
      <w:spacing w:beforeLines="30" w:afterLines="30"/>
      <w:ind w:left="565" w:hanging="565" w:hangingChars="268"/>
    </w:pPr>
    <w:rPr>
      <w:rFonts w:eastAsia="宋体"/>
      <w:b/>
      <w:sz w:val="21"/>
    </w:rPr>
  </w:style>
  <w:style w:type="paragraph" w:styleId="9">
    <w:name w:val="footnote text"/>
    <w:basedOn w:val="1"/>
    <w:link w:val="22"/>
    <w:semiHidden/>
    <w:unhideWhenUsed/>
    <w:qFormat/>
    <w:uiPriority w:val="99"/>
    <w:pPr>
      <w:snapToGrid w:val="0"/>
    </w:pPr>
    <w:rPr>
      <w:sz w:val="18"/>
      <w:szCs w:val="18"/>
    </w:rPr>
  </w:style>
  <w:style w:type="paragraph" w:styleId="10">
    <w:name w:val="toc 2"/>
    <w:basedOn w:val="1"/>
    <w:next w:val="1"/>
    <w:autoRedefine/>
    <w:unhideWhenUsed/>
    <w:qFormat/>
    <w:uiPriority w:val="39"/>
    <w:pPr>
      <w:tabs>
        <w:tab w:val="right" w:leader="dot" w:pos="9062"/>
      </w:tabs>
      <w:spacing w:beforeLines="30" w:afterLines="30"/>
      <w:ind w:left="564" w:leftChars="71" w:hanging="422" w:hangingChars="200"/>
    </w:pPr>
    <w:rPr>
      <w:rFonts w:eastAsia="宋体"/>
      <w:b/>
      <w:sz w:val="21"/>
    </w:rPr>
  </w:style>
  <w:style w:type="paragraph" w:styleId="11">
    <w:name w:val="annotation subject"/>
    <w:basedOn w:val="4"/>
    <w:next w:val="4"/>
    <w:link w:val="26"/>
    <w:semiHidden/>
    <w:unhideWhenUsed/>
    <w:qFormat/>
    <w:uiPriority w:val="99"/>
    <w:rPr>
      <w:b/>
      <w:bCs/>
    </w:rPr>
  </w:style>
  <w:style w:type="character" w:styleId="14">
    <w:name w:val="line number"/>
    <w:basedOn w:val="13"/>
    <w:semiHidden/>
    <w:unhideWhenUsed/>
    <w:uiPriority w:val="99"/>
  </w:style>
  <w:style w:type="character" w:styleId="15">
    <w:name w:val="Hyperlink"/>
    <w:basedOn w:val="13"/>
    <w:unhideWhenUsed/>
    <w:qFormat/>
    <w:uiPriority w:val="99"/>
    <w:rPr>
      <w:color w:val="0563C1" w:themeColor="hyperlink"/>
      <w:u w:val="single"/>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uiPriority w:val="99"/>
    <w:rPr>
      <w:vertAlign w:val="superscript"/>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日期 字符"/>
    <w:basedOn w:val="13"/>
    <w:link w:val="5"/>
    <w:semiHidden/>
    <w:qFormat/>
    <w:uiPriority w:val="99"/>
    <w:rPr>
      <w:rFonts w:ascii="Times New Roman" w:hAnsi="Times New Roman" w:cs="Times New Roman"/>
      <w:kern w:val="0"/>
      <w:sz w:val="20"/>
      <w:szCs w:val="20"/>
    </w:rPr>
  </w:style>
  <w:style w:type="character" w:customStyle="1" w:styleId="20">
    <w:name w:val="页眉 字符"/>
    <w:basedOn w:val="13"/>
    <w:link w:val="7"/>
    <w:qFormat/>
    <w:uiPriority w:val="99"/>
    <w:rPr>
      <w:rFonts w:ascii="Times New Roman" w:hAnsi="Times New Roman" w:cs="Times New Roman"/>
      <w:kern w:val="0"/>
      <w:sz w:val="18"/>
      <w:szCs w:val="18"/>
    </w:rPr>
  </w:style>
  <w:style w:type="character" w:customStyle="1" w:styleId="21">
    <w:name w:val="页脚 字符"/>
    <w:basedOn w:val="13"/>
    <w:link w:val="6"/>
    <w:qFormat/>
    <w:uiPriority w:val="99"/>
    <w:rPr>
      <w:rFonts w:ascii="Times New Roman" w:hAnsi="Times New Roman" w:cs="Times New Roman"/>
      <w:kern w:val="0"/>
      <w:sz w:val="18"/>
      <w:szCs w:val="18"/>
    </w:rPr>
  </w:style>
  <w:style w:type="character" w:customStyle="1" w:styleId="22">
    <w:name w:val="脚注文本 字符"/>
    <w:basedOn w:val="13"/>
    <w:link w:val="9"/>
    <w:semiHidden/>
    <w:qFormat/>
    <w:uiPriority w:val="99"/>
    <w:rPr>
      <w:rFonts w:ascii="Times New Roman" w:hAnsi="Times New Roman" w:cs="Times New Roman"/>
      <w:kern w:val="0"/>
      <w:sz w:val="18"/>
      <w:szCs w:val="18"/>
    </w:rPr>
  </w:style>
  <w:style w:type="character" w:customStyle="1" w:styleId="23">
    <w:name w:val="标题 1 字符"/>
    <w:basedOn w:val="13"/>
    <w:link w:val="2"/>
    <w:qFormat/>
    <w:uiPriority w:val="9"/>
    <w:rPr>
      <w:rFonts w:ascii="Times New Roman" w:hAnsi="Times New Roman" w:eastAsia="宋体" w:cs="Times New Roman"/>
      <w:b/>
      <w:bCs/>
      <w:color w:val="000000"/>
      <w:kern w:val="0"/>
      <w:szCs w:val="21"/>
      <w:shd w:val="clear" w:color="auto" w:fill="FFFFFF"/>
    </w:rPr>
  </w:style>
  <w:style w:type="character" w:customStyle="1" w:styleId="24">
    <w:name w:val="标题 2 字符"/>
    <w:basedOn w:val="13"/>
    <w:link w:val="3"/>
    <w:qFormat/>
    <w:uiPriority w:val="9"/>
    <w:rPr>
      <w:rFonts w:ascii="Times New Roman" w:hAnsi="Times New Roman" w:eastAsia="宋体" w:cs="Times New Roman"/>
      <w:b/>
      <w:bCs/>
      <w:color w:val="000000"/>
      <w:kern w:val="0"/>
      <w:szCs w:val="21"/>
      <w:shd w:val="clear" w:color="auto" w:fill="FFFFFF"/>
    </w:rPr>
  </w:style>
  <w:style w:type="character" w:customStyle="1" w:styleId="25">
    <w:name w:val="批注文字 字符"/>
    <w:basedOn w:val="13"/>
    <w:link w:val="4"/>
    <w:semiHidden/>
    <w:qFormat/>
    <w:uiPriority w:val="99"/>
    <w:rPr>
      <w:rFonts w:ascii="Times New Roman" w:hAnsi="Times New Roman" w:cs="Times New Roman"/>
      <w:kern w:val="0"/>
      <w:sz w:val="20"/>
      <w:szCs w:val="20"/>
    </w:rPr>
  </w:style>
  <w:style w:type="character" w:customStyle="1" w:styleId="26">
    <w:name w:val="批注主题 字符"/>
    <w:basedOn w:val="25"/>
    <w:link w:val="11"/>
    <w:semiHidden/>
    <w:qFormat/>
    <w:uiPriority w:val="99"/>
    <w:rPr>
      <w:rFonts w:ascii="Times New Roman" w:hAnsi="Times New Roman" w:cs="Times New Roman"/>
      <w:b/>
      <w:bCs/>
      <w:kern w:val="0"/>
      <w:sz w:val="20"/>
      <w:szCs w:val="20"/>
    </w:rPr>
  </w:style>
  <w:style w:type="paragraph" w:customStyle="1" w:styleId="27">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AAF6-4FA6-461B-A17B-ECAC25906DF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9739</Words>
  <Characters>10805</Characters>
  <Lines>82</Lines>
  <Paragraphs>23</Paragraphs>
  <TotalTime>161</TotalTime>
  <ScaleCrop>false</ScaleCrop>
  <LinksUpToDate>false</LinksUpToDate>
  <CharactersWithSpaces>10918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2021-11-12T13:18:00Z</dcterms:created>
  <dc:creator>Daniel, Frances *</dc:creator>
  <cp:lastModifiedBy>太极箫客</cp:lastModifiedBy>
  <dcterms:modified xsi:type="dcterms:W3CDTF">2025-08-14T07:22:50Z</dcterms:modified>
  <dc:title>Combination Product Clinical Bridging Guidance</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4010F623E2C142108A0D16835A61CFCE_12</vt:lpwstr>
  </property>
</Properties>
</file>