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D48DA">
      <w:pPr>
        <w:pStyle w:val="18"/>
        <w:jc w:val="center"/>
        <w:rPr>
          <w:rFonts w:eastAsia="宋体"/>
          <w:b/>
          <w:bCs/>
          <w:sz w:val="60"/>
          <w:szCs w:val="60"/>
        </w:rPr>
      </w:pPr>
      <w:bookmarkStart w:id="8" w:name="_GoBack"/>
      <w:bookmarkEnd w:id="8"/>
      <w:r>
        <w:rPr>
          <w:rFonts w:eastAsia="宋体"/>
          <w:b/>
          <w:bCs/>
          <w:sz w:val="60"/>
          <w:szCs w:val="60"/>
        </w:rPr>
        <w:t>药品和器械制造商与医疗费用支付方、处方集委员会和类似职能机构沟通-问答</w:t>
      </w:r>
    </w:p>
    <w:p w14:paraId="1410BC66">
      <w:pPr>
        <w:pStyle w:val="18"/>
        <w:jc w:val="center"/>
        <w:rPr>
          <w:rFonts w:eastAsia="宋体"/>
          <w:sz w:val="60"/>
          <w:szCs w:val="60"/>
        </w:rPr>
      </w:pPr>
    </w:p>
    <w:p w14:paraId="6118496E">
      <w:pPr>
        <w:pStyle w:val="18"/>
        <w:jc w:val="center"/>
        <w:rPr>
          <w:rFonts w:eastAsia="宋体"/>
          <w:b/>
          <w:bCs/>
          <w:sz w:val="60"/>
          <w:szCs w:val="60"/>
        </w:rPr>
      </w:pPr>
      <w:r>
        <w:rPr>
          <w:rFonts w:eastAsia="宋体"/>
          <w:b/>
          <w:bCs/>
          <w:sz w:val="60"/>
          <w:szCs w:val="60"/>
        </w:rPr>
        <w:t>行业和审评人员指南</w:t>
      </w:r>
    </w:p>
    <w:p w14:paraId="7BC5D986">
      <w:pPr>
        <w:pStyle w:val="18"/>
        <w:jc w:val="center"/>
        <w:rPr>
          <w:rFonts w:eastAsia="宋体"/>
          <w:b/>
          <w:bCs/>
          <w:sz w:val="60"/>
          <w:szCs w:val="60"/>
        </w:rPr>
      </w:pPr>
    </w:p>
    <w:p w14:paraId="7036DE57">
      <w:pPr>
        <w:pStyle w:val="18"/>
        <w:jc w:val="center"/>
        <w:rPr>
          <w:rFonts w:eastAsia="宋体"/>
          <w:b/>
          <w:bCs/>
          <w:sz w:val="60"/>
          <w:szCs w:val="60"/>
        </w:rPr>
      </w:pPr>
    </w:p>
    <w:p w14:paraId="03FCA8C5">
      <w:pPr>
        <w:pStyle w:val="18"/>
        <w:jc w:val="center"/>
        <w:rPr>
          <w:rFonts w:eastAsia="宋体"/>
          <w:b/>
          <w:bCs/>
          <w:sz w:val="60"/>
          <w:szCs w:val="60"/>
        </w:rPr>
      </w:pPr>
    </w:p>
    <w:p w14:paraId="0EE3361B">
      <w:pPr>
        <w:snapToGrid w:val="0"/>
        <w:jc w:val="center"/>
        <w:rPr>
          <w:rFonts w:eastAsia="宋体"/>
          <w:sz w:val="21"/>
          <w:szCs w:val="21"/>
        </w:rPr>
      </w:pPr>
      <w:r>
        <w:rPr>
          <w:rFonts w:eastAsia="宋体"/>
          <w:b/>
          <w:bCs/>
          <w:color w:val="000000"/>
          <w:sz w:val="21"/>
          <w:szCs w:val="21"/>
        </w:rPr>
        <w:t>美国卫生</w:t>
      </w:r>
      <w:r>
        <w:rPr>
          <w:rFonts w:hint="eastAsia" w:eastAsia="宋体"/>
          <w:b/>
          <w:bCs/>
          <w:color w:val="000000"/>
          <w:sz w:val="21"/>
          <w:szCs w:val="21"/>
        </w:rPr>
        <w:t>与</w:t>
      </w:r>
      <w:r>
        <w:rPr>
          <w:rFonts w:eastAsia="宋体"/>
          <w:b/>
          <w:bCs/>
          <w:color w:val="000000"/>
          <w:sz w:val="21"/>
          <w:szCs w:val="21"/>
        </w:rPr>
        <w:t>公众服务部</w:t>
      </w:r>
    </w:p>
    <w:p w14:paraId="3D9F678D">
      <w:pPr>
        <w:snapToGrid w:val="0"/>
        <w:jc w:val="center"/>
        <w:rPr>
          <w:rFonts w:eastAsia="宋体"/>
          <w:sz w:val="21"/>
          <w:szCs w:val="21"/>
        </w:rPr>
      </w:pPr>
      <w:r>
        <w:rPr>
          <w:rFonts w:eastAsia="宋体"/>
          <w:b/>
          <w:bCs/>
          <w:color w:val="000000"/>
          <w:sz w:val="21"/>
          <w:szCs w:val="21"/>
        </w:rPr>
        <w:t>美国食品药品监督管理局</w:t>
      </w:r>
    </w:p>
    <w:p w14:paraId="2754597A">
      <w:pPr>
        <w:snapToGrid w:val="0"/>
        <w:jc w:val="center"/>
        <w:rPr>
          <w:rFonts w:eastAsia="宋体"/>
          <w:sz w:val="21"/>
          <w:szCs w:val="21"/>
        </w:rPr>
      </w:pPr>
      <w:r>
        <w:rPr>
          <w:rFonts w:eastAsia="宋体"/>
          <w:b/>
          <w:bCs/>
          <w:color w:val="000000"/>
          <w:sz w:val="21"/>
          <w:szCs w:val="21"/>
        </w:rPr>
        <w:t>药品评和研究中心（CEDR）</w:t>
      </w:r>
    </w:p>
    <w:p w14:paraId="69F95B35">
      <w:pPr>
        <w:snapToGrid w:val="0"/>
        <w:jc w:val="center"/>
        <w:rPr>
          <w:rFonts w:eastAsia="宋体"/>
          <w:sz w:val="21"/>
          <w:szCs w:val="21"/>
        </w:rPr>
      </w:pPr>
      <w:r>
        <w:rPr>
          <w:rFonts w:eastAsia="宋体"/>
          <w:b/>
          <w:bCs/>
          <w:color w:val="000000"/>
          <w:sz w:val="21"/>
          <w:szCs w:val="21"/>
        </w:rPr>
        <w:t>生物制品</w:t>
      </w:r>
      <w:r>
        <w:rPr>
          <w:rFonts w:hint="eastAsia" w:eastAsia="宋体"/>
          <w:b/>
          <w:bCs/>
          <w:color w:val="000000"/>
          <w:sz w:val="21"/>
          <w:szCs w:val="21"/>
        </w:rPr>
        <w:t>评价</w:t>
      </w:r>
      <w:r>
        <w:rPr>
          <w:rFonts w:eastAsia="宋体"/>
          <w:b/>
          <w:bCs/>
          <w:color w:val="000000"/>
          <w:sz w:val="21"/>
          <w:szCs w:val="21"/>
        </w:rPr>
        <w:t>和研究中心（CBER）</w:t>
      </w:r>
    </w:p>
    <w:p w14:paraId="1E2D01CF">
      <w:pPr>
        <w:snapToGrid w:val="0"/>
        <w:jc w:val="center"/>
        <w:rPr>
          <w:rFonts w:eastAsia="宋体"/>
          <w:sz w:val="21"/>
          <w:szCs w:val="21"/>
        </w:rPr>
      </w:pPr>
      <w:r>
        <w:rPr>
          <w:rFonts w:eastAsia="宋体"/>
          <w:b/>
          <w:bCs/>
          <w:color w:val="000000"/>
          <w:sz w:val="21"/>
          <w:szCs w:val="21"/>
        </w:rPr>
        <w:t>医疗器械</w:t>
      </w:r>
      <w:r>
        <w:rPr>
          <w:rFonts w:hint="eastAsia" w:eastAsia="宋体"/>
          <w:b/>
          <w:bCs/>
          <w:color w:val="000000"/>
          <w:sz w:val="21"/>
          <w:szCs w:val="21"/>
        </w:rPr>
        <w:t>和</w:t>
      </w:r>
      <w:r>
        <w:rPr>
          <w:rFonts w:eastAsia="宋体"/>
          <w:b/>
          <w:bCs/>
          <w:color w:val="000000"/>
          <w:sz w:val="21"/>
          <w:szCs w:val="21"/>
        </w:rPr>
        <w:t>放射健康中心（CDRH）</w:t>
      </w:r>
    </w:p>
    <w:p w14:paraId="3FAB17D9">
      <w:pPr>
        <w:snapToGrid w:val="0"/>
        <w:jc w:val="center"/>
        <w:rPr>
          <w:rFonts w:eastAsia="宋体"/>
          <w:sz w:val="21"/>
          <w:szCs w:val="21"/>
        </w:rPr>
      </w:pPr>
      <w:r>
        <w:rPr>
          <w:rFonts w:eastAsia="宋体"/>
          <w:b/>
          <w:bCs/>
          <w:color w:val="000000"/>
          <w:sz w:val="21"/>
          <w:szCs w:val="21"/>
        </w:rPr>
        <w:t>专员办公室（OC）</w:t>
      </w:r>
    </w:p>
    <w:p w14:paraId="21BEBBC5">
      <w:pPr>
        <w:snapToGrid w:val="0"/>
        <w:jc w:val="center"/>
        <w:rPr>
          <w:rFonts w:eastAsia="宋体"/>
          <w:b/>
          <w:bCs/>
          <w:color w:val="000000"/>
          <w:sz w:val="21"/>
          <w:szCs w:val="21"/>
        </w:rPr>
      </w:pPr>
    </w:p>
    <w:p w14:paraId="2D364989">
      <w:pPr>
        <w:snapToGrid w:val="0"/>
        <w:jc w:val="center"/>
        <w:rPr>
          <w:rFonts w:eastAsia="宋体"/>
          <w:b/>
          <w:bCs/>
          <w:color w:val="000000"/>
          <w:sz w:val="21"/>
          <w:szCs w:val="21"/>
        </w:rPr>
      </w:pPr>
    </w:p>
    <w:p w14:paraId="16AFE5DD">
      <w:pPr>
        <w:snapToGrid w:val="0"/>
        <w:jc w:val="center"/>
        <w:rPr>
          <w:rFonts w:eastAsia="宋体"/>
          <w:b/>
          <w:bCs/>
          <w:color w:val="000000"/>
          <w:sz w:val="21"/>
          <w:szCs w:val="21"/>
        </w:rPr>
      </w:pPr>
      <w:r>
        <w:rPr>
          <w:rFonts w:eastAsia="宋体"/>
          <w:b/>
          <w:bCs/>
          <w:color w:val="000000"/>
          <w:sz w:val="21"/>
          <w:szCs w:val="21"/>
        </w:rPr>
        <w:t>2018年6月</w:t>
      </w:r>
    </w:p>
    <w:p w14:paraId="751201A2">
      <w:pPr>
        <w:snapToGrid w:val="0"/>
        <w:jc w:val="center"/>
        <w:rPr>
          <w:rFonts w:eastAsia="宋体"/>
          <w:b/>
          <w:bCs/>
          <w:color w:val="000000"/>
          <w:sz w:val="21"/>
          <w:szCs w:val="21"/>
        </w:rPr>
      </w:pPr>
      <w:r>
        <w:rPr>
          <w:rFonts w:eastAsia="宋体"/>
          <w:b/>
          <w:bCs/>
          <w:color w:val="000000"/>
          <w:sz w:val="21"/>
          <w:szCs w:val="21"/>
        </w:rPr>
        <w:t>过程中</w:t>
      </w:r>
    </w:p>
    <w:p w14:paraId="4ED5A673">
      <w:pPr>
        <w:snapToGrid w:val="0"/>
        <w:jc w:val="center"/>
        <w:rPr>
          <w:rFonts w:eastAsia="宋体"/>
          <w:b/>
          <w:bCs/>
          <w:color w:val="000000"/>
          <w:sz w:val="21"/>
          <w:szCs w:val="21"/>
        </w:rPr>
      </w:pPr>
    </w:p>
    <w:p w14:paraId="755F7AB1">
      <w:pPr>
        <w:snapToGrid w:val="0"/>
        <w:jc w:val="center"/>
        <w:rPr>
          <w:rFonts w:eastAsia="宋体"/>
          <w:b/>
          <w:bCs/>
          <w:color w:val="000000"/>
          <w:sz w:val="21"/>
          <w:szCs w:val="21"/>
        </w:rPr>
      </w:pPr>
    </w:p>
    <w:p w14:paraId="6AF2CE3C">
      <w:pPr>
        <w:snapToGrid w:val="0"/>
        <w:jc w:val="center"/>
        <w:rPr>
          <w:rFonts w:eastAsia="宋体"/>
          <w:b/>
          <w:bCs/>
          <w:color w:val="000000"/>
          <w:sz w:val="21"/>
          <w:szCs w:val="21"/>
        </w:rPr>
      </w:pPr>
    </w:p>
    <w:p w14:paraId="7FDED066">
      <w:pPr>
        <w:snapToGrid w:val="0"/>
        <w:jc w:val="center"/>
        <w:rPr>
          <w:rFonts w:eastAsia="宋体"/>
          <w:sz w:val="21"/>
          <w:szCs w:val="21"/>
        </w:rPr>
      </w:pPr>
    </w:p>
    <w:p w14:paraId="21EDDBF5">
      <w:pPr>
        <w:snapToGrid w:val="0"/>
        <w:jc w:val="center"/>
        <w:rPr>
          <w:rFonts w:eastAsia="宋体"/>
          <w:sz w:val="21"/>
          <w:szCs w:val="21"/>
        </w:rPr>
      </w:pPr>
      <w:r>
        <w:rPr>
          <w:rFonts w:eastAsia="宋体"/>
          <w:b/>
          <w:bCs/>
          <w:color w:val="000000"/>
          <w:sz w:val="21"/>
          <w:szCs w:val="21"/>
        </w:rPr>
        <w:t>OMB控制编号0910-0857</w:t>
      </w:r>
    </w:p>
    <w:p w14:paraId="3D1C0611">
      <w:pPr>
        <w:snapToGrid w:val="0"/>
        <w:jc w:val="center"/>
        <w:rPr>
          <w:rFonts w:eastAsia="宋体"/>
          <w:sz w:val="21"/>
          <w:szCs w:val="21"/>
        </w:rPr>
      </w:pPr>
      <w:r>
        <w:rPr>
          <w:rFonts w:eastAsia="宋体"/>
          <w:b/>
          <w:bCs/>
          <w:color w:val="000000"/>
          <w:sz w:val="21"/>
          <w:szCs w:val="21"/>
        </w:rPr>
        <w:t>失效日期：08/31/2021</w:t>
      </w:r>
    </w:p>
    <w:p w14:paraId="77219FA0">
      <w:pPr>
        <w:snapToGrid w:val="0"/>
        <w:jc w:val="center"/>
        <w:rPr>
          <w:rFonts w:eastAsia="宋体"/>
          <w:sz w:val="21"/>
          <w:szCs w:val="21"/>
        </w:rPr>
      </w:pPr>
      <w:r>
        <w:rPr>
          <w:rFonts w:eastAsia="宋体"/>
          <w:b/>
          <w:bCs/>
          <w:color w:val="000000"/>
          <w:sz w:val="21"/>
          <w:szCs w:val="21"/>
        </w:rPr>
        <w:t>（备注：（2018年11月2日增加的OMB控制编号和失效期。）</w:t>
      </w:r>
    </w:p>
    <w:p w14:paraId="5FF5BB14">
      <w:pPr>
        <w:snapToGrid w:val="0"/>
        <w:jc w:val="center"/>
        <w:rPr>
          <w:rFonts w:eastAsia="宋体"/>
          <w:sz w:val="21"/>
          <w:szCs w:val="21"/>
        </w:rPr>
      </w:pPr>
      <w:r>
        <w:rPr>
          <w:rFonts w:eastAsia="宋体"/>
          <w:b/>
          <w:bCs/>
          <w:color w:val="000000"/>
          <w:sz w:val="21"/>
          <w:szCs w:val="21"/>
        </w:rPr>
        <w:t>见本指南第IV部分中的其他PRA声明。</w:t>
      </w:r>
    </w:p>
    <w:p w14:paraId="7116D524">
      <w:pPr>
        <w:snapToGrid w:val="0"/>
        <w:jc w:val="both"/>
        <w:rPr>
          <w:rFonts w:eastAsia="宋体"/>
          <w:sz w:val="21"/>
          <w:szCs w:val="21"/>
        </w:rPr>
      </w:pPr>
    </w:p>
    <w:p w14:paraId="13FBAEFB">
      <w:pPr>
        <w:snapToGrid w:val="0"/>
        <w:jc w:val="both"/>
        <w:rPr>
          <w:rFonts w:eastAsia="宋体"/>
          <w:sz w:val="21"/>
          <w:szCs w:val="21"/>
        </w:rPr>
        <w:sectPr>
          <w:headerReference r:id="rId4" w:type="default"/>
          <w:footerReference r:id="rId5" w:type="default"/>
          <w:type w:val="continuous"/>
          <w:pgSz w:w="11906" w:h="16838"/>
          <w:pgMar w:top="1134" w:right="1417" w:bottom="1134" w:left="1417" w:header="850" w:footer="720" w:gutter="0"/>
          <w:cols w:space="60" w:num="1"/>
          <w:docGrid w:linePitch="272" w:charSpace="0"/>
        </w:sectPr>
      </w:pPr>
    </w:p>
    <w:p w14:paraId="3974920D">
      <w:pPr>
        <w:pStyle w:val="18"/>
        <w:jc w:val="center"/>
        <w:rPr>
          <w:rFonts w:eastAsia="宋体"/>
          <w:sz w:val="30"/>
          <w:szCs w:val="30"/>
        </w:rPr>
      </w:pPr>
      <w:r>
        <w:rPr>
          <w:rFonts w:eastAsia="宋体"/>
          <w:sz w:val="30"/>
          <w:szCs w:val="30"/>
        </w:rPr>
        <w:t>药品和器械制造商</w:t>
      </w:r>
    </w:p>
    <w:p w14:paraId="4813BF69">
      <w:pPr>
        <w:pStyle w:val="18"/>
        <w:jc w:val="center"/>
        <w:rPr>
          <w:rFonts w:eastAsia="宋体"/>
          <w:sz w:val="30"/>
          <w:szCs w:val="30"/>
        </w:rPr>
      </w:pPr>
      <w:r>
        <w:rPr>
          <w:rFonts w:eastAsia="宋体"/>
          <w:sz w:val="30"/>
          <w:szCs w:val="30"/>
        </w:rPr>
        <w:t>与医疗费用支付方、处方集委员会</w:t>
      </w:r>
    </w:p>
    <w:p w14:paraId="38A2EBF2">
      <w:pPr>
        <w:pStyle w:val="18"/>
        <w:jc w:val="center"/>
        <w:rPr>
          <w:rFonts w:eastAsia="宋体"/>
          <w:sz w:val="30"/>
          <w:szCs w:val="30"/>
        </w:rPr>
      </w:pPr>
      <w:r>
        <w:rPr>
          <w:rFonts w:eastAsia="宋体"/>
          <w:sz w:val="30"/>
          <w:szCs w:val="30"/>
        </w:rPr>
        <w:t>和类似职能机构沟通-</w:t>
      </w:r>
    </w:p>
    <w:p w14:paraId="5D4283B8">
      <w:pPr>
        <w:pStyle w:val="18"/>
        <w:jc w:val="center"/>
        <w:rPr>
          <w:rFonts w:eastAsia="宋体"/>
          <w:sz w:val="30"/>
          <w:szCs w:val="30"/>
        </w:rPr>
      </w:pPr>
      <w:r>
        <w:rPr>
          <w:rFonts w:eastAsia="宋体"/>
          <w:sz w:val="30"/>
          <w:szCs w:val="30"/>
        </w:rPr>
        <w:t>问答</w:t>
      </w:r>
    </w:p>
    <w:p w14:paraId="5BC41DC2">
      <w:pPr>
        <w:snapToGrid w:val="0"/>
        <w:jc w:val="center"/>
        <w:rPr>
          <w:rFonts w:eastAsia="宋体"/>
          <w:sz w:val="30"/>
          <w:szCs w:val="30"/>
        </w:rPr>
      </w:pPr>
    </w:p>
    <w:p w14:paraId="0DB6753E">
      <w:pPr>
        <w:snapToGrid w:val="0"/>
        <w:jc w:val="center"/>
        <w:rPr>
          <w:rFonts w:eastAsia="宋体"/>
          <w:sz w:val="30"/>
          <w:szCs w:val="30"/>
        </w:rPr>
      </w:pPr>
      <w:r>
        <w:rPr>
          <w:rFonts w:eastAsia="宋体"/>
          <w:sz w:val="30"/>
          <w:szCs w:val="30"/>
        </w:rPr>
        <w:t>行业和审评人员指南</w:t>
      </w:r>
    </w:p>
    <w:p w14:paraId="2BBC963A">
      <w:pPr>
        <w:snapToGrid w:val="0"/>
        <w:jc w:val="center"/>
        <w:rPr>
          <w:rFonts w:eastAsia="宋体"/>
          <w:i/>
          <w:iCs/>
          <w:color w:val="000000"/>
          <w:sz w:val="21"/>
          <w:szCs w:val="21"/>
        </w:rPr>
      </w:pPr>
    </w:p>
    <w:p w14:paraId="7CDC0C94">
      <w:pPr>
        <w:snapToGrid w:val="0"/>
        <w:jc w:val="center"/>
        <w:rPr>
          <w:rFonts w:eastAsia="宋体"/>
          <w:sz w:val="21"/>
          <w:szCs w:val="21"/>
        </w:rPr>
      </w:pPr>
      <w:r>
        <w:rPr>
          <w:rFonts w:eastAsia="宋体"/>
          <w:i/>
          <w:iCs/>
          <w:color w:val="000000"/>
          <w:sz w:val="21"/>
          <w:szCs w:val="21"/>
        </w:rPr>
        <w:t>其他副本可从以下获取：</w:t>
      </w:r>
    </w:p>
    <w:p w14:paraId="20DB7DFB">
      <w:pPr>
        <w:snapToGrid w:val="0"/>
        <w:jc w:val="center"/>
        <w:rPr>
          <w:rFonts w:eastAsia="宋体"/>
          <w:sz w:val="21"/>
          <w:szCs w:val="21"/>
        </w:rPr>
      </w:pPr>
      <w:r>
        <w:rPr>
          <w:rFonts w:eastAsia="宋体"/>
          <w:i/>
          <w:iCs/>
          <w:color w:val="000000"/>
          <w:sz w:val="21"/>
          <w:szCs w:val="21"/>
        </w:rPr>
        <w:t>对外信息办公室，药品信息处</w:t>
      </w:r>
    </w:p>
    <w:p w14:paraId="1F7CD589">
      <w:pPr>
        <w:snapToGrid w:val="0"/>
        <w:jc w:val="center"/>
        <w:rPr>
          <w:rFonts w:eastAsia="宋体"/>
          <w:sz w:val="21"/>
          <w:szCs w:val="21"/>
        </w:rPr>
      </w:pPr>
      <w:r>
        <w:rPr>
          <w:rFonts w:eastAsia="宋体"/>
          <w:i/>
          <w:iCs/>
          <w:color w:val="000000"/>
          <w:sz w:val="21"/>
          <w:szCs w:val="21"/>
        </w:rPr>
        <w:t>药品审评和研究中心</w:t>
      </w:r>
    </w:p>
    <w:p w14:paraId="1318A9F6">
      <w:pPr>
        <w:snapToGrid w:val="0"/>
        <w:jc w:val="center"/>
        <w:rPr>
          <w:rFonts w:eastAsia="宋体"/>
          <w:sz w:val="21"/>
          <w:szCs w:val="21"/>
        </w:rPr>
      </w:pPr>
      <w:r>
        <w:rPr>
          <w:rFonts w:eastAsia="宋体"/>
          <w:i/>
          <w:iCs/>
          <w:color w:val="000000"/>
          <w:sz w:val="21"/>
          <w:szCs w:val="21"/>
        </w:rPr>
        <w:t>美国食品药品监督管理局</w:t>
      </w:r>
    </w:p>
    <w:p w14:paraId="343CF6E5">
      <w:pPr>
        <w:snapToGrid w:val="0"/>
        <w:jc w:val="center"/>
        <w:rPr>
          <w:rFonts w:eastAsia="宋体"/>
          <w:sz w:val="21"/>
          <w:szCs w:val="21"/>
        </w:rPr>
      </w:pPr>
      <w:r>
        <w:rPr>
          <w:rFonts w:eastAsia="宋体"/>
          <w:i/>
          <w:iCs/>
          <w:color w:val="000000"/>
          <w:sz w:val="21"/>
          <w:szCs w:val="21"/>
        </w:rPr>
        <w:t>10001 New Hampshire Ave., Hillandale Bldg., 4</w:t>
      </w:r>
      <w:r>
        <w:rPr>
          <w:rFonts w:eastAsia="宋体"/>
          <w:i/>
          <w:iCs/>
          <w:color w:val="000000"/>
          <w:sz w:val="21"/>
          <w:szCs w:val="21"/>
          <w:vertAlign w:val="superscript"/>
        </w:rPr>
        <w:t>th</w:t>
      </w:r>
      <w:r>
        <w:rPr>
          <w:rFonts w:eastAsia="宋体"/>
          <w:i/>
          <w:iCs/>
          <w:color w:val="000000"/>
          <w:sz w:val="21"/>
          <w:szCs w:val="21"/>
        </w:rPr>
        <w:t xml:space="preserve"> Floor</w:t>
      </w:r>
    </w:p>
    <w:p w14:paraId="21D86F55">
      <w:pPr>
        <w:snapToGrid w:val="0"/>
        <w:jc w:val="center"/>
        <w:rPr>
          <w:rFonts w:eastAsia="宋体"/>
          <w:sz w:val="21"/>
          <w:szCs w:val="21"/>
          <w:lang w:val="de-DE"/>
        </w:rPr>
      </w:pPr>
      <w:r>
        <w:rPr>
          <w:rFonts w:eastAsia="宋体"/>
          <w:i/>
          <w:iCs/>
          <w:color w:val="000000"/>
          <w:sz w:val="21"/>
          <w:szCs w:val="21"/>
          <w:lang w:val="de-DE"/>
        </w:rPr>
        <w:t>Silver Spring, MD 20993-0002</w:t>
      </w:r>
    </w:p>
    <w:p w14:paraId="0733D5F1">
      <w:pPr>
        <w:snapToGrid w:val="0"/>
        <w:jc w:val="center"/>
        <w:rPr>
          <w:rFonts w:eastAsia="宋体"/>
          <w:sz w:val="21"/>
          <w:szCs w:val="21"/>
          <w:lang w:val="de-DE"/>
        </w:rPr>
      </w:pPr>
      <w:r>
        <w:rPr>
          <w:rFonts w:eastAsia="宋体"/>
          <w:i/>
          <w:iCs/>
          <w:color w:val="000000"/>
          <w:sz w:val="21"/>
          <w:szCs w:val="21"/>
        </w:rPr>
        <w:t>电话</w:t>
      </w:r>
      <w:r>
        <w:rPr>
          <w:rFonts w:eastAsia="宋体"/>
          <w:i/>
          <w:iCs/>
          <w:color w:val="000000"/>
          <w:sz w:val="21"/>
          <w:szCs w:val="21"/>
          <w:lang w:val="de-DE"/>
        </w:rPr>
        <w:t>：855-543-3784</w:t>
      </w:r>
      <w:r>
        <w:rPr>
          <w:rFonts w:eastAsia="宋体"/>
          <w:i/>
          <w:iCs/>
          <w:color w:val="000000"/>
          <w:sz w:val="21"/>
          <w:szCs w:val="21"/>
        </w:rPr>
        <w:t>或</w:t>
      </w:r>
      <w:r>
        <w:rPr>
          <w:rFonts w:eastAsia="宋体"/>
          <w:i/>
          <w:iCs/>
          <w:color w:val="000000"/>
          <w:sz w:val="21"/>
          <w:szCs w:val="21"/>
          <w:lang w:val="de-DE"/>
        </w:rPr>
        <w:t>301-796-3400；</w:t>
      </w:r>
      <w:r>
        <w:rPr>
          <w:rFonts w:eastAsia="宋体"/>
          <w:i/>
          <w:iCs/>
          <w:color w:val="000000"/>
          <w:sz w:val="21"/>
          <w:szCs w:val="21"/>
        </w:rPr>
        <w:t>传真</w:t>
      </w:r>
      <w:r>
        <w:rPr>
          <w:rFonts w:eastAsia="宋体"/>
          <w:i/>
          <w:iCs/>
          <w:color w:val="000000"/>
          <w:sz w:val="21"/>
          <w:szCs w:val="21"/>
          <w:lang w:val="de-DE"/>
        </w:rPr>
        <w:t>：301-431-6353</w:t>
      </w:r>
    </w:p>
    <w:p w14:paraId="6AA32BA8">
      <w:pPr>
        <w:snapToGrid w:val="0"/>
        <w:jc w:val="center"/>
        <w:rPr>
          <w:rFonts w:eastAsia="宋体"/>
          <w:sz w:val="21"/>
          <w:szCs w:val="21"/>
          <w:lang w:val="de-DE"/>
        </w:rPr>
      </w:pPr>
      <w:r>
        <w:rPr>
          <w:rFonts w:eastAsia="宋体"/>
          <w:i/>
          <w:iCs/>
          <w:color w:val="000000"/>
          <w:sz w:val="21"/>
          <w:szCs w:val="21"/>
        </w:rPr>
        <w:t>电子邮箱</w:t>
      </w:r>
      <w:r>
        <w:rPr>
          <w:rFonts w:eastAsia="宋体"/>
          <w:i/>
          <w:iCs/>
          <w:color w:val="000000"/>
          <w:sz w:val="21"/>
          <w:szCs w:val="21"/>
          <w:lang w:val="de-DE"/>
        </w:rPr>
        <w:t>：</w:t>
      </w:r>
      <w:r>
        <w:rPr>
          <w:rFonts w:eastAsia="宋体"/>
          <w:i/>
          <w:iCs/>
          <w:color w:val="000000" w:themeColor="text1"/>
          <w:sz w:val="21"/>
          <w:szCs w:val="21"/>
          <w:lang w:val="de-DE"/>
        </w:rPr>
        <w:t>druginfo@fda.hhs.gov</w:t>
      </w:r>
    </w:p>
    <w:p w14:paraId="10CEB336">
      <w:pPr>
        <w:snapToGrid w:val="0"/>
        <w:jc w:val="center"/>
        <w:rPr>
          <w:rFonts w:eastAsia="宋体"/>
          <w:sz w:val="21"/>
          <w:szCs w:val="21"/>
          <w:lang w:val="de-DE"/>
        </w:rPr>
      </w:pPr>
      <w:r>
        <w:rPr>
          <w:rFonts w:eastAsia="宋体"/>
          <w:i/>
          <w:iCs/>
          <w:color w:val="0000FF"/>
          <w:sz w:val="21"/>
          <w:szCs w:val="21"/>
          <w:u w:val="single"/>
          <w:lang w:val="de-DE"/>
        </w:rPr>
        <w:t>http://www.fda.gov/Drugs/GuidanceComplianceRegulatoryInformation/Guidances/default.htm</w:t>
      </w:r>
    </w:p>
    <w:p w14:paraId="64BDD6A9">
      <w:pPr>
        <w:snapToGrid w:val="0"/>
        <w:jc w:val="center"/>
        <w:rPr>
          <w:rFonts w:eastAsia="宋体"/>
          <w:i/>
          <w:iCs/>
          <w:color w:val="000000"/>
          <w:sz w:val="21"/>
          <w:szCs w:val="21"/>
          <w:lang w:val="de-DE"/>
        </w:rPr>
      </w:pPr>
    </w:p>
    <w:p w14:paraId="61E10C80">
      <w:pPr>
        <w:snapToGrid w:val="0"/>
        <w:jc w:val="center"/>
        <w:rPr>
          <w:rFonts w:eastAsia="宋体"/>
          <w:i/>
          <w:iCs/>
          <w:color w:val="000000"/>
          <w:sz w:val="21"/>
          <w:szCs w:val="21"/>
        </w:rPr>
      </w:pPr>
      <w:r>
        <w:rPr>
          <w:rFonts w:eastAsia="宋体"/>
          <w:i/>
          <w:iCs/>
          <w:color w:val="000000"/>
          <w:sz w:val="21"/>
          <w:szCs w:val="21"/>
        </w:rPr>
        <w:t>和/或</w:t>
      </w:r>
    </w:p>
    <w:p w14:paraId="11A9750D">
      <w:pPr>
        <w:snapToGrid w:val="0"/>
        <w:jc w:val="center"/>
        <w:rPr>
          <w:rFonts w:eastAsia="宋体"/>
          <w:sz w:val="21"/>
          <w:szCs w:val="21"/>
        </w:rPr>
      </w:pPr>
    </w:p>
    <w:p w14:paraId="2CFC3270">
      <w:pPr>
        <w:snapToGrid w:val="0"/>
        <w:spacing w:line="200" w:lineRule="exact"/>
        <w:jc w:val="center"/>
        <w:rPr>
          <w:rFonts w:eastAsia="宋体"/>
          <w:sz w:val="21"/>
          <w:szCs w:val="21"/>
        </w:rPr>
      </w:pPr>
      <w:r>
        <w:rPr>
          <w:rFonts w:eastAsia="宋体"/>
          <w:i/>
          <w:iCs/>
          <w:color w:val="000000"/>
          <w:sz w:val="21"/>
          <w:szCs w:val="21"/>
        </w:rPr>
        <w:t>对外信息、外联与发展办公室</w:t>
      </w:r>
    </w:p>
    <w:p w14:paraId="6227CDCC">
      <w:pPr>
        <w:snapToGrid w:val="0"/>
        <w:spacing w:line="200" w:lineRule="exact"/>
        <w:jc w:val="center"/>
        <w:rPr>
          <w:rFonts w:eastAsia="宋体"/>
          <w:sz w:val="21"/>
          <w:szCs w:val="21"/>
        </w:rPr>
      </w:pPr>
      <w:r>
        <w:rPr>
          <w:rFonts w:eastAsia="宋体"/>
          <w:i/>
          <w:iCs/>
          <w:color w:val="000000"/>
          <w:sz w:val="21"/>
          <w:szCs w:val="21"/>
        </w:rPr>
        <w:t>生物制品评价和研究中心</w:t>
      </w:r>
    </w:p>
    <w:p w14:paraId="2C0F0685">
      <w:pPr>
        <w:snapToGrid w:val="0"/>
        <w:spacing w:line="200" w:lineRule="exact"/>
        <w:jc w:val="center"/>
        <w:rPr>
          <w:rFonts w:eastAsia="宋体"/>
          <w:sz w:val="21"/>
          <w:szCs w:val="21"/>
        </w:rPr>
      </w:pPr>
      <w:r>
        <w:rPr>
          <w:rFonts w:eastAsia="宋体"/>
          <w:i/>
          <w:iCs/>
          <w:color w:val="000000"/>
          <w:sz w:val="21"/>
          <w:szCs w:val="21"/>
        </w:rPr>
        <w:t>美国食品药品监督管理局</w:t>
      </w:r>
    </w:p>
    <w:p w14:paraId="5779D603">
      <w:pPr>
        <w:snapToGrid w:val="0"/>
        <w:spacing w:line="200" w:lineRule="exact"/>
        <w:jc w:val="center"/>
        <w:rPr>
          <w:rFonts w:eastAsia="宋体"/>
          <w:sz w:val="21"/>
          <w:szCs w:val="21"/>
        </w:rPr>
      </w:pPr>
      <w:r>
        <w:rPr>
          <w:rFonts w:eastAsia="宋体"/>
          <w:i/>
          <w:iCs/>
          <w:color w:val="000000"/>
          <w:sz w:val="21"/>
          <w:szCs w:val="21"/>
        </w:rPr>
        <w:t>10903 New Hampshire Ave., Bldg. 71, Room 3128</w:t>
      </w:r>
    </w:p>
    <w:p w14:paraId="781405AE">
      <w:pPr>
        <w:snapToGrid w:val="0"/>
        <w:spacing w:line="200" w:lineRule="exact"/>
        <w:jc w:val="center"/>
        <w:rPr>
          <w:rFonts w:eastAsia="宋体"/>
          <w:sz w:val="21"/>
          <w:szCs w:val="21"/>
          <w:lang w:val="de-DE"/>
        </w:rPr>
      </w:pPr>
      <w:r>
        <w:rPr>
          <w:rFonts w:eastAsia="宋体"/>
          <w:i/>
          <w:iCs/>
          <w:color w:val="000000"/>
          <w:sz w:val="21"/>
          <w:szCs w:val="21"/>
          <w:lang w:val="de-DE"/>
        </w:rPr>
        <w:t>Silver Spring, MD 20993-0002</w:t>
      </w:r>
    </w:p>
    <w:p w14:paraId="332AE730">
      <w:pPr>
        <w:snapToGrid w:val="0"/>
        <w:spacing w:line="200" w:lineRule="exact"/>
        <w:jc w:val="center"/>
        <w:rPr>
          <w:rFonts w:eastAsia="宋体"/>
          <w:sz w:val="21"/>
          <w:szCs w:val="21"/>
          <w:lang w:val="de-DE"/>
        </w:rPr>
      </w:pPr>
      <w:r>
        <w:rPr>
          <w:rFonts w:eastAsia="宋体"/>
          <w:i/>
          <w:iCs/>
          <w:color w:val="000000"/>
          <w:sz w:val="21"/>
          <w:szCs w:val="21"/>
        </w:rPr>
        <w:t>电话</w:t>
      </w:r>
      <w:r>
        <w:rPr>
          <w:rFonts w:eastAsia="宋体"/>
          <w:i/>
          <w:iCs/>
          <w:color w:val="000000"/>
          <w:sz w:val="21"/>
          <w:szCs w:val="21"/>
          <w:lang w:val="de-DE"/>
        </w:rPr>
        <w:t>：800-835-4709</w:t>
      </w:r>
      <w:r>
        <w:rPr>
          <w:rFonts w:eastAsia="宋体"/>
          <w:i/>
          <w:iCs/>
          <w:color w:val="000000"/>
          <w:sz w:val="21"/>
          <w:szCs w:val="21"/>
        </w:rPr>
        <w:t>或</w:t>
      </w:r>
      <w:r>
        <w:rPr>
          <w:rFonts w:eastAsia="宋体"/>
          <w:i/>
          <w:iCs/>
          <w:color w:val="000000"/>
          <w:sz w:val="21"/>
          <w:szCs w:val="21"/>
          <w:lang w:val="de-DE"/>
        </w:rPr>
        <w:t>240-402-8010</w:t>
      </w:r>
    </w:p>
    <w:p w14:paraId="0FF3E366">
      <w:pPr>
        <w:snapToGrid w:val="0"/>
        <w:spacing w:line="200" w:lineRule="exact"/>
        <w:jc w:val="center"/>
        <w:rPr>
          <w:rFonts w:eastAsia="宋体"/>
          <w:sz w:val="21"/>
          <w:szCs w:val="21"/>
          <w:lang w:val="de-DE"/>
        </w:rPr>
      </w:pPr>
      <w:r>
        <w:rPr>
          <w:rFonts w:eastAsia="宋体"/>
          <w:i/>
          <w:iCs/>
          <w:color w:val="000000"/>
          <w:sz w:val="21"/>
          <w:szCs w:val="21"/>
        </w:rPr>
        <w:t>电子邮箱</w:t>
      </w:r>
      <w:r>
        <w:rPr>
          <w:rFonts w:eastAsia="宋体"/>
          <w:i/>
          <w:iCs/>
          <w:color w:val="000000"/>
          <w:sz w:val="21"/>
          <w:szCs w:val="21"/>
          <w:lang w:val="de-DE"/>
        </w:rPr>
        <w:t>：</w:t>
      </w:r>
      <w:r>
        <w:rPr>
          <w:rFonts w:eastAsia="宋体"/>
          <w:i/>
          <w:iCs/>
          <w:color w:val="000000" w:themeColor="text1"/>
          <w:sz w:val="21"/>
          <w:szCs w:val="21"/>
          <w:lang w:val="de-DE"/>
        </w:rPr>
        <w:t>ocod@fda.hhs.gov</w:t>
      </w:r>
    </w:p>
    <w:p w14:paraId="1A67740F">
      <w:pPr>
        <w:snapToGrid w:val="0"/>
        <w:spacing w:line="200" w:lineRule="exact"/>
        <w:jc w:val="center"/>
        <w:rPr>
          <w:rFonts w:eastAsia="宋体"/>
          <w:sz w:val="18"/>
          <w:szCs w:val="18"/>
          <w:lang w:val="de-DE"/>
        </w:rPr>
      </w:pPr>
      <w:r>
        <w:rPr>
          <w:rFonts w:eastAsia="宋体"/>
          <w:i/>
          <w:iCs/>
          <w:color w:val="0000FF"/>
          <w:sz w:val="18"/>
          <w:szCs w:val="18"/>
          <w:u w:val="single"/>
          <w:lang w:val="de-DE"/>
        </w:rPr>
        <w:t>http://www.fda.gov/BiologicsBloodVaccines/GuidanceComplianceRegulatoryInformation/Guidances/default.htm</w:t>
      </w:r>
    </w:p>
    <w:p w14:paraId="0DDC192D">
      <w:pPr>
        <w:snapToGrid w:val="0"/>
        <w:jc w:val="center"/>
        <w:rPr>
          <w:rFonts w:eastAsia="宋体"/>
          <w:i/>
          <w:iCs/>
          <w:color w:val="000000"/>
          <w:sz w:val="21"/>
          <w:szCs w:val="21"/>
          <w:lang w:val="de-DE"/>
        </w:rPr>
      </w:pPr>
    </w:p>
    <w:p w14:paraId="4FBE8FE4">
      <w:pPr>
        <w:snapToGrid w:val="0"/>
        <w:jc w:val="center"/>
        <w:rPr>
          <w:rFonts w:eastAsia="宋体"/>
          <w:i/>
          <w:iCs/>
          <w:color w:val="000000"/>
          <w:sz w:val="21"/>
          <w:szCs w:val="21"/>
        </w:rPr>
      </w:pPr>
      <w:r>
        <w:rPr>
          <w:rFonts w:eastAsia="宋体"/>
          <w:i/>
          <w:iCs/>
          <w:color w:val="000000"/>
          <w:sz w:val="21"/>
          <w:szCs w:val="21"/>
        </w:rPr>
        <w:t>和/或</w:t>
      </w:r>
    </w:p>
    <w:p w14:paraId="5CA2EEAD">
      <w:pPr>
        <w:snapToGrid w:val="0"/>
        <w:jc w:val="center"/>
        <w:rPr>
          <w:rFonts w:eastAsia="宋体"/>
          <w:sz w:val="21"/>
          <w:szCs w:val="21"/>
        </w:rPr>
      </w:pPr>
    </w:p>
    <w:p w14:paraId="71AB3C4F">
      <w:pPr>
        <w:snapToGrid w:val="0"/>
        <w:spacing w:line="200" w:lineRule="exact"/>
        <w:jc w:val="center"/>
        <w:rPr>
          <w:rFonts w:eastAsia="宋体"/>
          <w:sz w:val="21"/>
          <w:szCs w:val="21"/>
        </w:rPr>
      </w:pPr>
      <w:r>
        <w:rPr>
          <w:rFonts w:eastAsia="宋体"/>
          <w:i/>
          <w:iCs/>
          <w:color w:val="000000"/>
          <w:sz w:val="21"/>
          <w:szCs w:val="21"/>
        </w:rPr>
        <w:t>中心主任办公室</w:t>
      </w:r>
    </w:p>
    <w:p w14:paraId="51359E41">
      <w:pPr>
        <w:snapToGrid w:val="0"/>
        <w:spacing w:line="200" w:lineRule="exact"/>
        <w:jc w:val="center"/>
        <w:rPr>
          <w:rFonts w:eastAsia="宋体"/>
          <w:sz w:val="21"/>
          <w:szCs w:val="21"/>
        </w:rPr>
      </w:pPr>
      <w:r>
        <w:rPr>
          <w:rFonts w:eastAsia="宋体"/>
          <w:i/>
          <w:iCs/>
          <w:color w:val="000000"/>
          <w:sz w:val="21"/>
          <w:szCs w:val="21"/>
        </w:rPr>
        <w:t>医疗器械</w:t>
      </w:r>
      <w:r>
        <w:rPr>
          <w:rFonts w:hint="eastAsia" w:eastAsia="宋体"/>
          <w:i/>
          <w:iCs/>
          <w:color w:val="000000"/>
          <w:sz w:val="21"/>
          <w:szCs w:val="21"/>
        </w:rPr>
        <w:t>和</w:t>
      </w:r>
      <w:r>
        <w:rPr>
          <w:rFonts w:eastAsia="宋体"/>
          <w:i/>
          <w:iCs/>
          <w:color w:val="000000"/>
          <w:sz w:val="21"/>
          <w:szCs w:val="21"/>
        </w:rPr>
        <w:t>放射健康中心</w:t>
      </w:r>
    </w:p>
    <w:p w14:paraId="110511B0">
      <w:pPr>
        <w:snapToGrid w:val="0"/>
        <w:spacing w:line="200" w:lineRule="exact"/>
        <w:jc w:val="center"/>
        <w:rPr>
          <w:rFonts w:eastAsia="宋体"/>
          <w:sz w:val="21"/>
          <w:szCs w:val="21"/>
        </w:rPr>
      </w:pPr>
      <w:r>
        <w:rPr>
          <w:rFonts w:eastAsia="宋体"/>
          <w:i/>
          <w:iCs/>
          <w:color w:val="000000"/>
          <w:sz w:val="21"/>
          <w:szCs w:val="21"/>
        </w:rPr>
        <w:t>美国食品药品监督管理局</w:t>
      </w:r>
    </w:p>
    <w:p w14:paraId="0A8439E6">
      <w:pPr>
        <w:snapToGrid w:val="0"/>
        <w:spacing w:line="200" w:lineRule="exact"/>
        <w:jc w:val="center"/>
        <w:rPr>
          <w:rFonts w:eastAsia="宋体"/>
          <w:sz w:val="21"/>
          <w:szCs w:val="21"/>
        </w:rPr>
      </w:pPr>
      <w:r>
        <w:rPr>
          <w:rFonts w:eastAsia="宋体"/>
          <w:i/>
          <w:iCs/>
          <w:color w:val="000000"/>
          <w:sz w:val="21"/>
          <w:szCs w:val="21"/>
        </w:rPr>
        <w:t>10903 New Hampshire Ave., Bldg. 66, Room 5431</w:t>
      </w:r>
    </w:p>
    <w:p w14:paraId="0DADDF6F">
      <w:pPr>
        <w:snapToGrid w:val="0"/>
        <w:spacing w:line="200" w:lineRule="exact"/>
        <w:jc w:val="center"/>
        <w:rPr>
          <w:rFonts w:eastAsia="宋体"/>
          <w:sz w:val="21"/>
          <w:szCs w:val="21"/>
          <w:lang w:val="de-DE"/>
        </w:rPr>
      </w:pPr>
      <w:r>
        <w:rPr>
          <w:rFonts w:eastAsia="宋体"/>
          <w:i/>
          <w:iCs/>
          <w:color w:val="000000"/>
          <w:sz w:val="21"/>
          <w:szCs w:val="21"/>
          <w:lang w:val="de-DE"/>
        </w:rPr>
        <w:t>Silver Spring, MD 20993-0002</w:t>
      </w:r>
    </w:p>
    <w:p w14:paraId="6261659C">
      <w:pPr>
        <w:snapToGrid w:val="0"/>
        <w:spacing w:line="200" w:lineRule="exact"/>
        <w:jc w:val="center"/>
        <w:rPr>
          <w:rFonts w:eastAsia="宋体"/>
          <w:color w:val="000000" w:themeColor="text1"/>
          <w:sz w:val="21"/>
          <w:szCs w:val="21"/>
          <w:lang w:val="de-DE"/>
        </w:rPr>
      </w:pPr>
      <w:r>
        <w:rPr>
          <w:rFonts w:eastAsia="宋体"/>
          <w:i/>
          <w:iCs/>
          <w:color w:val="000000"/>
          <w:sz w:val="21"/>
          <w:szCs w:val="21"/>
        </w:rPr>
        <w:t>电子邮箱</w:t>
      </w:r>
      <w:r>
        <w:rPr>
          <w:rFonts w:eastAsia="宋体"/>
          <w:i/>
          <w:iCs/>
          <w:color w:val="000000"/>
          <w:sz w:val="21"/>
          <w:szCs w:val="21"/>
          <w:lang w:val="de-DE"/>
        </w:rPr>
        <w:t>：</w:t>
      </w:r>
      <w:r>
        <w:rPr>
          <w:rFonts w:eastAsia="宋体"/>
          <w:i/>
          <w:iCs/>
          <w:color w:val="000000" w:themeColor="text1"/>
          <w:sz w:val="21"/>
          <w:szCs w:val="21"/>
          <w:lang w:val="de-DE"/>
        </w:rPr>
        <w:t>CDRH-Guidance@fda.hhs.gov</w:t>
      </w:r>
    </w:p>
    <w:p w14:paraId="4D840C07">
      <w:pPr>
        <w:snapToGrid w:val="0"/>
        <w:spacing w:line="200" w:lineRule="exact"/>
        <w:jc w:val="center"/>
        <w:rPr>
          <w:rFonts w:eastAsia="宋体"/>
          <w:sz w:val="21"/>
          <w:szCs w:val="21"/>
          <w:lang w:val="de-DE"/>
        </w:rPr>
      </w:pPr>
      <w:r>
        <w:rPr>
          <w:rFonts w:eastAsia="宋体"/>
          <w:i/>
          <w:iCs/>
          <w:color w:val="0000FF"/>
          <w:sz w:val="21"/>
          <w:szCs w:val="21"/>
          <w:u w:val="single"/>
          <w:lang w:val="de-DE"/>
        </w:rPr>
        <w:t>https://www.fda.gov/MedicalDevices/DeviceRegulationandGuidance/GuidanceDocuments/default.htm</w:t>
      </w:r>
    </w:p>
    <w:p w14:paraId="5DCE5A22">
      <w:pPr>
        <w:snapToGrid w:val="0"/>
        <w:jc w:val="center"/>
        <w:rPr>
          <w:rFonts w:eastAsia="宋体"/>
          <w:i/>
          <w:iCs/>
          <w:color w:val="000000"/>
          <w:sz w:val="21"/>
          <w:szCs w:val="21"/>
          <w:lang w:val="de-DE"/>
        </w:rPr>
      </w:pPr>
    </w:p>
    <w:p w14:paraId="5064B247">
      <w:pPr>
        <w:snapToGrid w:val="0"/>
        <w:jc w:val="center"/>
        <w:rPr>
          <w:rFonts w:eastAsia="宋体"/>
          <w:i/>
          <w:iCs/>
          <w:color w:val="000000"/>
          <w:sz w:val="21"/>
          <w:szCs w:val="21"/>
        </w:rPr>
      </w:pPr>
      <w:r>
        <w:rPr>
          <w:rFonts w:eastAsia="宋体"/>
          <w:i/>
          <w:iCs/>
          <w:color w:val="000000"/>
          <w:sz w:val="21"/>
          <w:szCs w:val="21"/>
        </w:rPr>
        <w:t>和/或</w:t>
      </w:r>
    </w:p>
    <w:p w14:paraId="42182529">
      <w:pPr>
        <w:snapToGrid w:val="0"/>
        <w:jc w:val="center"/>
        <w:rPr>
          <w:rFonts w:eastAsia="宋体"/>
          <w:sz w:val="21"/>
          <w:szCs w:val="21"/>
        </w:rPr>
      </w:pPr>
    </w:p>
    <w:p w14:paraId="335667CB">
      <w:pPr>
        <w:snapToGrid w:val="0"/>
        <w:spacing w:line="200" w:lineRule="exact"/>
        <w:jc w:val="center"/>
        <w:rPr>
          <w:rFonts w:eastAsia="宋体"/>
          <w:sz w:val="21"/>
          <w:szCs w:val="21"/>
        </w:rPr>
      </w:pPr>
      <w:r>
        <w:rPr>
          <w:rFonts w:eastAsia="宋体"/>
          <w:i/>
          <w:iCs/>
          <w:color w:val="000000"/>
          <w:sz w:val="21"/>
          <w:szCs w:val="21"/>
        </w:rPr>
        <w:t>政策办公室</w:t>
      </w:r>
    </w:p>
    <w:p w14:paraId="14D89EAE">
      <w:pPr>
        <w:snapToGrid w:val="0"/>
        <w:spacing w:line="200" w:lineRule="exact"/>
        <w:jc w:val="center"/>
        <w:rPr>
          <w:rFonts w:eastAsia="宋体"/>
          <w:sz w:val="21"/>
          <w:szCs w:val="21"/>
        </w:rPr>
      </w:pPr>
      <w:r>
        <w:rPr>
          <w:rFonts w:eastAsia="宋体"/>
          <w:i/>
          <w:iCs/>
          <w:color w:val="000000"/>
          <w:sz w:val="21"/>
          <w:szCs w:val="21"/>
        </w:rPr>
        <w:t>行政办公厅</w:t>
      </w:r>
    </w:p>
    <w:p w14:paraId="554C3B12">
      <w:pPr>
        <w:snapToGrid w:val="0"/>
        <w:spacing w:line="200" w:lineRule="exact"/>
        <w:jc w:val="center"/>
        <w:rPr>
          <w:rFonts w:eastAsia="宋体"/>
          <w:sz w:val="21"/>
          <w:szCs w:val="21"/>
        </w:rPr>
      </w:pPr>
      <w:r>
        <w:rPr>
          <w:rFonts w:eastAsia="宋体"/>
          <w:i/>
          <w:iCs/>
          <w:color w:val="000000"/>
          <w:sz w:val="21"/>
          <w:szCs w:val="21"/>
        </w:rPr>
        <w:t>美国食品药品监督管理局</w:t>
      </w:r>
    </w:p>
    <w:p w14:paraId="688314C7">
      <w:pPr>
        <w:snapToGrid w:val="0"/>
        <w:spacing w:line="200" w:lineRule="exact"/>
        <w:jc w:val="center"/>
        <w:rPr>
          <w:rFonts w:eastAsia="宋体"/>
          <w:sz w:val="21"/>
          <w:szCs w:val="21"/>
        </w:rPr>
      </w:pPr>
      <w:r>
        <w:rPr>
          <w:rFonts w:eastAsia="宋体"/>
          <w:i/>
          <w:iCs/>
          <w:color w:val="000000"/>
          <w:sz w:val="21"/>
          <w:szCs w:val="21"/>
        </w:rPr>
        <w:t>10903 New Hampshire Ave., Bldg. 32, Room 4232</w:t>
      </w:r>
    </w:p>
    <w:p w14:paraId="07C0FE13">
      <w:pPr>
        <w:snapToGrid w:val="0"/>
        <w:spacing w:line="200" w:lineRule="exact"/>
        <w:jc w:val="center"/>
        <w:rPr>
          <w:rFonts w:eastAsia="宋体"/>
          <w:sz w:val="21"/>
          <w:szCs w:val="21"/>
        </w:rPr>
      </w:pPr>
      <w:r>
        <w:rPr>
          <w:rFonts w:eastAsia="宋体"/>
          <w:i/>
          <w:iCs/>
          <w:color w:val="000000"/>
          <w:sz w:val="21"/>
          <w:szCs w:val="21"/>
        </w:rPr>
        <w:t>Silver Spring, MD 20993-0002</w:t>
      </w:r>
    </w:p>
    <w:p w14:paraId="11DFC1F9">
      <w:pPr>
        <w:snapToGrid w:val="0"/>
        <w:spacing w:line="200" w:lineRule="exact"/>
        <w:jc w:val="center"/>
        <w:rPr>
          <w:rFonts w:eastAsia="宋体"/>
          <w:sz w:val="21"/>
          <w:szCs w:val="21"/>
        </w:rPr>
      </w:pPr>
      <w:r>
        <w:rPr>
          <w:rFonts w:eastAsia="宋体"/>
          <w:i/>
          <w:iCs/>
          <w:color w:val="000000"/>
          <w:sz w:val="21"/>
          <w:szCs w:val="21"/>
        </w:rPr>
        <w:t>电话：301-796-4830</w:t>
      </w:r>
    </w:p>
    <w:p w14:paraId="5021213B">
      <w:pPr>
        <w:snapToGrid w:val="0"/>
        <w:jc w:val="center"/>
        <w:rPr>
          <w:rFonts w:eastAsia="宋体"/>
          <w:b/>
          <w:bCs/>
          <w:color w:val="000000"/>
          <w:sz w:val="21"/>
          <w:szCs w:val="21"/>
        </w:rPr>
      </w:pPr>
    </w:p>
    <w:p w14:paraId="2204C1FB">
      <w:pPr>
        <w:snapToGrid w:val="0"/>
        <w:jc w:val="center"/>
        <w:rPr>
          <w:rFonts w:eastAsia="宋体"/>
          <w:sz w:val="21"/>
          <w:szCs w:val="21"/>
        </w:rPr>
      </w:pPr>
      <w:r>
        <w:rPr>
          <w:rFonts w:eastAsia="宋体"/>
          <w:b/>
          <w:bCs/>
          <w:color w:val="000000"/>
          <w:sz w:val="21"/>
          <w:szCs w:val="21"/>
        </w:rPr>
        <w:t>美国卫生</w:t>
      </w:r>
      <w:r>
        <w:rPr>
          <w:rFonts w:hint="eastAsia" w:eastAsia="宋体"/>
          <w:b/>
          <w:bCs/>
          <w:color w:val="000000"/>
          <w:sz w:val="21"/>
          <w:szCs w:val="21"/>
        </w:rPr>
        <w:t>与</w:t>
      </w:r>
      <w:r>
        <w:rPr>
          <w:rFonts w:eastAsia="宋体"/>
          <w:b/>
          <w:bCs/>
          <w:color w:val="000000"/>
          <w:sz w:val="21"/>
          <w:szCs w:val="21"/>
        </w:rPr>
        <w:t>公众服务部</w:t>
      </w:r>
    </w:p>
    <w:p w14:paraId="2B928317">
      <w:pPr>
        <w:snapToGrid w:val="0"/>
        <w:jc w:val="center"/>
        <w:rPr>
          <w:rFonts w:eastAsia="宋体"/>
          <w:sz w:val="21"/>
          <w:szCs w:val="21"/>
        </w:rPr>
      </w:pPr>
      <w:r>
        <w:rPr>
          <w:rFonts w:eastAsia="宋体"/>
          <w:b/>
          <w:bCs/>
          <w:color w:val="000000"/>
          <w:sz w:val="21"/>
          <w:szCs w:val="21"/>
        </w:rPr>
        <w:t>美国食品药品监督管理局</w:t>
      </w:r>
    </w:p>
    <w:p w14:paraId="2EBBD915">
      <w:pPr>
        <w:snapToGrid w:val="0"/>
        <w:jc w:val="center"/>
        <w:rPr>
          <w:rFonts w:eastAsia="宋体"/>
          <w:sz w:val="21"/>
          <w:szCs w:val="21"/>
        </w:rPr>
      </w:pPr>
      <w:r>
        <w:rPr>
          <w:rFonts w:eastAsia="宋体"/>
          <w:b/>
          <w:bCs/>
          <w:color w:val="000000"/>
          <w:sz w:val="21"/>
          <w:szCs w:val="21"/>
        </w:rPr>
        <w:t>药品审评和研究中心（CEDR）</w:t>
      </w:r>
    </w:p>
    <w:p w14:paraId="7783B84B">
      <w:pPr>
        <w:snapToGrid w:val="0"/>
        <w:jc w:val="center"/>
        <w:rPr>
          <w:rFonts w:eastAsia="宋体"/>
          <w:sz w:val="21"/>
          <w:szCs w:val="21"/>
        </w:rPr>
      </w:pPr>
      <w:r>
        <w:rPr>
          <w:rFonts w:eastAsia="宋体"/>
          <w:b/>
          <w:bCs/>
          <w:color w:val="000000"/>
          <w:sz w:val="21"/>
          <w:szCs w:val="21"/>
        </w:rPr>
        <w:t>生物制品</w:t>
      </w:r>
      <w:r>
        <w:rPr>
          <w:rFonts w:hint="eastAsia" w:eastAsia="宋体"/>
          <w:b/>
          <w:bCs/>
          <w:color w:val="000000"/>
          <w:sz w:val="21"/>
          <w:szCs w:val="21"/>
        </w:rPr>
        <w:t>评价</w:t>
      </w:r>
      <w:r>
        <w:rPr>
          <w:rFonts w:eastAsia="宋体"/>
          <w:b/>
          <w:bCs/>
          <w:color w:val="000000"/>
          <w:sz w:val="21"/>
          <w:szCs w:val="21"/>
        </w:rPr>
        <w:t>和研究中心（CBER）</w:t>
      </w:r>
    </w:p>
    <w:p w14:paraId="134201E5">
      <w:pPr>
        <w:snapToGrid w:val="0"/>
        <w:jc w:val="center"/>
        <w:rPr>
          <w:rFonts w:eastAsia="宋体"/>
          <w:sz w:val="21"/>
          <w:szCs w:val="21"/>
        </w:rPr>
      </w:pPr>
      <w:r>
        <w:rPr>
          <w:rFonts w:eastAsia="宋体"/>
          <w:b/>
          <w:bCs/>
          <w:color w:val="000000"/>
          <w:sz w:val="21"/>
          <w:szCs w:val="21"/>
        </w:rPr>
        <w:t>医疗器械</w:t>
      </w:r>
      <w:r>
        <w:rPr>
          <w:rFonts w:hint="eastAsia" w:eastAsia="宋体"/>
          <w:b/>
          <w:bCs/>
          <w:color w:val="000000"/>
          <w:sz w:val="21"/>
          <w:szCs w:val="21"/>
        </w:rPr>
        <w:t>和</w:t>
      </w:r>
      <w:r>
        <w:rPr>
          <w:rFonts w:eastAsia="宋体"/>
          <w:b/>
          <w:bCs/>
          <w:color w:val="000000"/>
          <w:sz w:val="21"/>
          <w:szCs w:val="21"/>
        </w:rPr>
        <w:t>放射健康中心（CDRH）</w:t>
      </w:r>
    </w:p>
    <w:p w14:paraId="664F705A">
      <w:pPr>
        <w:snapToGrid w:val="0"/>
        <w:jc w:val="center"/>
        <w:rPr>
          <w:rFonts w:eastAsia="宋体"/>
          <w:sz w:val="21"/>
          <w:szCs w:val="21"/>
        </w:rPr>
      </w:pPr>
      <w:r>
        <w:rPr>
          <w:rFonts w:eastAsia="宋体"/>
          <w:b/>
          <w:bCs/>
          <w:color w:val="000000"/>
          <w:sz w:val="21"/>
          <w:szCs w:val="21"/>
        </w:rPr>
        <w:t>专员办公室（OC）</w:t>
      </w:r>
    </w:p>
    <w:p w14:paraId="10961573">
      <w:pPr>
        <w:snapToGrid w:val="0"/>
        <w:jc w:val="center"/>
        <w:rPr>
          <w:rFonts w:eastAsia="宋体"/>
          <w:b/>
          <w:bCs/>
          <w:color w:val="000000"/>
          <w:sz w:val="21"/>
          <w:szCs w:val="21"/>
        </w:rPr>
      </w:pPr>
    </w:p>
    <w:p w14:paraId="68C18DB4">
      <w:pPr>
        <w:snapToGrid w:val="0"/>
        <w:jc w:val="center"/>
        <w:rPr>
          <w:rFonts w:eastAsia="宋体"/>
          <w:b/>
          <w:bCs/>
          <w:color w:val="000000"/>
          <w:sz w:val="21"/>
          <w:szCs w:val="21"/>
        </w:rPr>
      </w:pPr>
      <w:r>
        <w:rPr>
          <w:rFonts w:eastAsia="宋体"/>
          <w:b/>
          <w:bCs/>
          <w:color w:val="000000"/>
          <w:sz w:val="21"/>
          <w:szCs w:val="21"/>
        </w:rPr>
        <w:t>2018年6月</w:t>
      </w:r>
    </w:p>
    <w:p w14:paraId="646623AE">
      <w:pPr>
        <w:snapToGrid w:val="0"/>
        <w:jc w:val="center"/>
        <w:rPr>
          <w:rFonts w:eastAsia="宋体"/>
          <w:sz w:val="21"/>
          <w:szCs w:val="21"/>
        </w:rPr>
      </w:pPr>
      <w:r>
        <w:rPr>
          <w:rFonts w:eastAsia="宋体"/>
          <w:b/>
          <w:bCs/>
          <w:color w:val="000000"/>
          <w:sz w:val="21"/>
          <w:szCs w:val="21"/>
        </w:rPr>
        <w:t>过程中</w:t>
      </w:r>
    </w:p>
    <w:p w14:paraId="3D73BCA0">
      <w:pPr>
        <w:snapToGrid w:val="0"/>
        <w:jc w:val="both"/>
        <w:rPr>
          <w:rFonts w:eastAsia="宋体"/>
          <w:sz w:val="21"/>
          <w:szCs w:val="21"/>
        </w:rPr>
        <w:sectPr>
          <w:headerReference r:id="rId6" w:type="default"/>
          <w:footerReference r:id="rId7" w:type="default"/>
          <w:pgSz w:w="11906" w:h="16838"/>
          <w:pgMar w:top="1134" w:right="1417" w:bottom="1134" w:left="1417" w:header="850" w:footer="720" w:gutter="0"/>
          <w:cols w:space="60" w:num="1"/>
          <w:docGrid w:linePitch="272" w:charSpace="0"/>
        </w:sectPr>
      </w:pPr>
    </w:p>
    <w:p w14:paraId="1C182DFA">
      <w:pPr>
        <w:snapToGrid w:val="0"/>
        <w:jc w:val="center"/>
        <w:rPr>
          <w:rFonts w:eastAsia="宋体"/>
          <w:sz w:val="21"/>
          <w:szCs w:val="21"/>
        </w:rPr>
      </w:pPr>
      <w:r>
        <w:rPr>
          <w:rFonts w:eastAsia="宋体"/>
          <w:b/>
          <w:bCs/>
          <w:color w:val="000000"/>
          <w:sz w:val="21"/>
          <w:szCs w:val="21"/>
        </w:rPr>
        <w:t>目录</w:t>
      </w:r>
    </w:p>
    <w:p w14:paraId="66A8A037">
      <w:pPr>
        <w:snapToGrid w:val="0"/>
        <w:jc w:val="both"/>
        <w:rPr>
          <w:rFonts w:eastAsia="宋体"/>
          <w:sz w:val="21"/>
          <w:szCs w:val="21"/>
        </w:rPr>
      </w:pPr>
    </w:p>
    <w:p w14:paraId="6E175A5C">
      <w:pPr>
        <w:snapToGrid w:val="0"/>
        <w:jc w:val="both"/>
        <w:rPr>
          <w:rFonts w:eastAsia="宋体"/>
          <w:sz w:val="21"/>
          <w:szCs w:val="21"/>
        </w:rPr>
      </w:pPr>
    </w:p>
    <w:p w14:paraId="10F26958">
      <w:pPr>
        <w:pStyle w:val="10"/>
        <w:rPr>
          <w:rFonts w:asciiTheme="minorHAnsi" w:hAnsiTheme="minorHAnsi" w:eastAsiaTheme="minorEastAsia" w:cstheme="minorBidi"/>
          <w:kern w:val="2"/>
          <w:szCs w:val="22"/>
        </w:rPr>
      </w:pPr>
      <w:r>
        <w:rPr>
          <w:bCs/>
        </w:rPr>
        <w:fldChar w:fldCharType="begin"/>
      </w:r>
      <w:r>
        <w:instrText xml:space="preserve"> TOC \o "1-2" \h \z \u </w:instrText>
      </w:r>
      <w:r>
        <w:fldChar w:fldCharType="separate"/>
      </w:r>
      <w:r>
        <w:fldChar w:fldCharType="begin"/>
      </w:r>
      <w:r>
        <w:instrText xml:space="preserve"> HYPERLINK \l "_Toc97486295" </w:instrText>
      </w:r>
      <w:r>
        <w:fldChar w:fldCharType="separate"/>
      </w:r>
      <w:r>
        <w:rPr>
          <w:rStyle w:val="16"/>
        </w:rPr>
        <w:t>I.</w:t>
      </w:r>
      <w:r>
        <w:rPr>
          <w:rFonts w:asciiTheme="minorHAnsi" w:hAnsiTheme="minorHAnsi" w:eastAsiaTheme="minorEastAsia" w:cstheme="minorBidi"/>
          <w:kern w:val="2"/>
          <w:szCs w:val="22"/>
        </w:rPr>
        <w:tab/>
      </w:r>
      <w:r>
        <w:rPr>
          <w:rStyle w:val="16"/>
          <w:rFonts w:hint="eastAsia"/>
        </w:rPr>
        <w:t>前言</w:t>
      </w:r>
      <w:r>
        <w:tab/>
      </w:r>
      <w:r>
        <w:fldChar w:fldCharType="begin"/>
      </w:r>
      <w:r>
        <w:instrText xml:space="preserve"> PAGEREF _Toc97486295 \h </w:instrText>
      </w:r>
      <w:r>
        <w:fldChar w:fldCharType="separate"/>
      </w:r>
      <w:r>
        <w:t>1</w:t>
      </w:r>
      <w:r>
        <w:fldChar w:fldCharType="end"/>
      </w:r>
      <w:r>
        <w:fldChar w:fldCharType="end"/>
      </w:r>
    </w:p>
    <w:p w14:paraId="3EC01A6D">
      <w:pPr>
        <w:pStyle w:val="10"/>
        <w:rPr>
          <w:rFonts w:asciiTheme="minorHAnsi" w:hAnsiTheme="minorHAnsi" w:eastAsiaTheme="minorEastAsia" w:cstheme="minorBidi"/>
          <w:kern w:val="2"/>
          <w:szCs w:val="22"/>
        </w:rPr>
      </w:pPr>
      <w:r>
        <w:fldChar w:fldCharType="begin"/>
      </w:r>
      <w:r>
        <w:instrText xml:space="preserve"> HYPERLINK \l "_Toc97486296" </w:instrText>
      </w:r>
      <w:r>
        <w:fldChar w:fldCharType="separate"/>
      </w:r>
      <w:r>
        <w:rPr>
          <w:rStyle w:val="16"/>
        </w:rPr>
        <w:t>II.</w:t>
      </w:r>
      <w:r>
        <w:rPr>
          <w:rFonts w:asciiTheme="minorHAnsi" w:hAnsiTheme="minorHAnsi" w:eastAsiaTheme="minorEastAsia" w:cstheme="minorBidi"/>
          <w:kern w:val="2"/>
          <w:szCs w:val="22"/>
        </w:rPr>
        <w:tab/>
      </w:r>
      <w:r>
        <w:rPr>
          <w:rStyle w:val="16"/>
          <w:rFonts w:hint="eastAsia"/>
        </w:rPr>
        <w:t>背景</w:t>
      </w:r>
      <w:r>
        <w:tab/>
      </w:r>
      <w:r>
        <w:fldChar w:fldCharType="begin"/>
      </w:r>
      <w:r>
        <w:instrText xml:space="preserve"> PAGEREF _Toc97486296 \h </w:instrText>
      </w:r>
      <w:r>
        <w:fldChar w:fldCharType="separate"/>
      </w:r>
      <w:r>
        <w:t>2</w:t>
      </w:r>
      <w:r>
        <w:fldChar w:fldCharType="end"/>
      </w:r>
      <w:r>
        <w:fldChar w:fldCharType="end"/>
      </w:r>
    </w:p>
    <w:p w14:paraId="6AC2B00C">
      <w:pPr>
        <w:pStyle w:val="10"/>
        <w:rPr>
          <w:rFonts w:asciiTheme="minorHAnsi" w:hAnsiTheme="minorHAnsi" w:eastAsiaTheme="minorEastAsia" w:cstheme="minorBidi"/>
          <w:kern w:val="2"/>
          <w:szCs w:val="22"/>
        </w:rPr>
      </w:pPr>
      <w:r>
        <w:fldChar w:fldCharType="begin"/>
      </w:r>
      <w:r>
        <w:instrText xml:space="preserve"> HYPERLINK \l "_Toc97486297" </w:instrText>
      </w:r>
      <w:r>
        <w:fldChar w:fldCharType="separate"/>
      </w:r>
      <w:r>
        <w:rPr>
          <w:rStyle w:val="16"/>
        </w:rPr>
        <w:t>III.</w:t>
      </w:r>
      <w:r>
        <w:rPr>
          <w:rFonts w:asciiTheme="minorHAnsi" w:hAnsiTheme="minorHAnsi" w:eastAsiaTheme="minorEastAsia" w:cstheme="minorBidi"/>
          <w:kern w:val="2"/>
          <w:szCs w:val="22"/>
        </w:rPr>
        <w:tab/>
      </w:r>
      <w:r>
        <w:rPr>
          <w:rStyle w:val="16"/>
          <w:rFonts w:hint="eastAsia"/>
        </w:rPr>
        <w:t>问答</w:t>
      </w:r>
      <w:r>
        <w:tab/>
      </w:r>
      <w:r>
        <w:fldChar w:fldCharType="begin"/>
      </w:r>
      <w:r>
        <w:instrText xml:space="preserve"> PAGEREF _Toc97486297 \h </w:instrText>
      </w:r>
      <w:r>
        <w:fldChar w:fldCharType="separate"/>
      </w:r>
      <w:r>
        <w:t>4</w:t>
      </w:r>
      <w:r>
        <w:fldChar w:fldCharType="end"/>
      </w:r>
      <w:r>
        <w:fldChar w:fldCharType="end"/>
      </w:r>
    </w:p>
    <w:p w14:paraId="49E89E24">
      <w:pPr>
        <w:pStyle w:val="12"/>
        <w:spacing w:before="120" w:after="120"/>
        <w:rPr>
          <w:rFonts w:asciiTheme="minorHAnsi" w:hAnsiTheme="minorHAnsi" w:eastAsiaTheme="minorEastAsia" w:cstheme="minorBidi"/>
          <w:b w:val="0"/>
          <w:kern w:val="2"/>
          <w:szCs w:val="22"/>
        </w:rPr>
      </w:pPr>
      <w:r>
        <w:fldChar w:fldCharType="begin"/>
      </w:r>
      <w:r>
        <w:instrText xml:space="preserve"> HYPERLINK \l "_Toc97486298" </w:instrText>
      </w:r>
      <w:r>
        <w:fldChar w:fldCharType="separate"/>
      </w:r>
      <w:r>
        <w:rPr>
          <w:rStyle w:val="16"/>
        </w:rPr>
        <w:t>A.</w:t>
      </w:r>
      <w:r>
        <w:rPr>
          <w:rFonts w:asciiTheme="minorHAnsi" w:hAnsiTheme="minorHAnsi" w:eastAsiaTheme="minorEastAsia" w:cstheme="minorBidi"/>
          <w:b w:val="0"/>
          <w:kern w:val="2"/>
          <w:szCs w:val="22"/>
        </w:rPr>
        <w:tab/>
      </w:r>
      <w:r>
        <w:rPr>
          <w:rStyle w:val="16"/>
          <w:rFonts w:hint="eastAsia"/>
        </w:rPr>
        <w:t>由公司向医疗费用支付方传达有关获批药品的</w:t>
      </w:r>
      <w:r>
        <w:rPr>
          <w:rStyle w:val="16"/>
        </w:rPr>
        <w:t>HCEI</w:t>
      </w:r>
      <w:r>
        <w:tab/>
      </w:r>
      <w:r>
        <w:fldChar w:fldCharType="begin"/>
      </w:r>
      <w:r>
        <w:instrText xml:space="preserve"> PAGEREF _Toc97486298 \h </w:instrText>
      </w:r>
      <w:r>
        <w:fldChar w:fldCharType="separate"/>
      </w:r>
      <w:r>
        <w:t>4</w:t>
      </w:r>
      <w:r>
        <w:fldChar w:fldCharType="end"/>
      </w:r>
      <w:r>
        <w:fldChar w:fldCharType="end"/>
      </w:r>
    </w:p>
    <w:p w14:paraId="7C07A67D">
      <w:pPr>
        <w:pStyle w:val="12"/>
        <w:spacing w:before="120" w:after="120"/>
        <w:rPr>
          <w:rFonts w:asciiTheme="minorHAnsi" w:hAnsiTheme="minorHAnsi" w:eastAsiaTheme="minorEastAsia" w:cstheme="minorBidi"/>
          <w:b w:val="0"/>
          <w:kern w:val="2"/>
          <w:szCs w:val="22"/>
        </w:rPr>
      </w:pPr>
      <w:r>
        <w:fldChar w:fldCharType="begin"/>
      </w:r>
      <w:r>
        <w:instrText xml:space="preserve"> HYPERLINK \l "_Toc97486299" </w:instrText>
      </w:r>
      <w:r>
        <w:fldChar w:fldCharType="separate"/>
      </w:r>
      <w:r>
        <w:rPr>
          <w:rStyle w:val="16"/>
        </w:rPr>
        <w:t>B.</w:t>
      </w:r>
      <w:r>
        <w:rPr>
          <w:rFonts w:asciiTheme="minorHAnsi" w:hAnsiTheme="minorHAnsi" w:eastAsiaTheme="minorEastAsia" w:cstheme="minorBidi"/>
          <w:b w:val="0"/>
          <w:kern w:val="2"/>
          <w:szCs w:val="22"/>
        </w:rPr>
        <w:tab/>
      </w:r>
      <w:r>
        <w:rPr>
          <w:rStyle w:val="16"/>
          <w:rFonts w:hint="eastAsia"/>
        </w:rPr>
        <w:t>由公司向医疗费用支付方传达有关获得批准或许可的医疗器械的</w:t>
      </w:r>
      <w:r>
        <w:rPr>
          <w:rStyle w:val="16"/>
        </w:rPr>
        <w:t>HCEI</w:t>
      </w:r>
      <w:r>
        <w:tab/>
      </w:r>
      <w:r>
        <w:fldChar w:fldCharType="begin"/>
      </w:r>
      <w:r>
        <w:instrText xml:space="preserve"> PAGEREF _Toc97486299 \h </w:instrText>
      </w:r>
      <w:r>
        <w:fldChar w:fldCharType="separate"/>
      </w:r>
      <w:r>
        <w:t>17</w:t>
      </w:r>
      <w:r>
        <w:fldChar w:fldCharType="end"/>
      </w:r>
      <w:r>
        <w:fldChar w:fldCharType="end"/>
      </w:r>
    </w:p>
    <w:p w14:paraId="4C8AFA54">
      <w:pPr>
        <w:pStyle w:val="12"/>
        <w:spacing w:before="120" w:after="120"/>
        <w:rPr>
          <w:rFonts w:asciiTheme="minorHAnsi" w:hAnsiTheme="minorHAnsi" w:eastAsiaTheme="minorEastAsia" w:cstheme="minorBidi"/>
          <w:b w:val="0"/>
          <w:kern w:val="2"/>
          <w:szCs w:val="22"/>
        </w:rPr>
      </w:pPr>
      <w:r>
        <w:fldChar w:fldCharType="begin"/>
      </w:r>
      <w:r>
        <w:instrText xml:space="preserve"> HYPERLINK \l "_Toc97486300" </w:instrText>
      </w:r>
      <w:r>
        <w:fldChar w:fldCharType="separate"/>
      </w:r>
      <w:r>
        <w:rPr>
          <w:rStyle w:val="16"/>
        </w:rPr>
        <w:t>C.</w:t>
      </w:r>
      <w:r>
        <w:rPr>
          <w:rFonts w:asciiTheme="minorHAnsi" w:hAnsiTheme="minorHAnsi" w:eastAsiaTheme="minorEastAsia" w:cstheme="minorBidi"/>
          <w:b w:val="0"/>
          <w:kern w:val="2"/>
          <w:szCs w:val="22"/>
        </w:rPr>
        <w:tab/>
      </w:r>
      <w:r>
        <w:rPr>
          <w:rStyle w:val="16"/>
          <w:rFonts w:hint="eastAsia"/>
        </w:rPr>
        <w:t>公司就未获得批准的产品和未获得批准</w:t>
      </w:r>
      <w:r>
        <w:rPr>
          <w:rStyle w:val="16"/>
        </w:rPr>
        <w:t>/</w:t>
      </w:r>
      <w:r>
        <w:rPr>
          <w:rStyle w:val="16"/>
          <w:rFonts w:hint="eastAsia"/>
        </w:rPr>
        <w:t>许可的产品的用途向医疗费用支付方进行沟通</w:t>
      </w:r>
      <w:r>
        <w:tab/>
      </w:r>
      <w:r>
        <w:fldChar w:fldCharType="begin"/>
      </w:r>
      <w:r>
        <w:instrText xml:space="preserve"> PAGEREF _Toc97486300 \h </w:instrText>
      </w:r>
      <w:r>
        <w:fldChar w:fldCharType="separate"/>
      </w:r>
      <w:r>
        <w:t>18</w:t>
      </w:r>
      <w:r>
        <w:fldChar w:fldCharType="end"/>
      </w:r>
      <w:r>
        <w:fldChar w:fldCharType="end"/>
      </w:r>
    </w:p>
    <w:p w14:paraId="0AB2382B">
      <w:pPr>
        <w:pStyle w:val="10"/>
        <w:rPr>
          <w:rFonts w:asciiTheme="minorHAnsi" w:hAnsiTheme="minorHAnsi" w:eastAsiaTheme="minorEastAsia" w:cstheme="minorBidi"/>
          <w:kern w:val="2"/>
          <w:szCs w:val="22"/>
        </w:rPr>
      </w:pPr>
      <w:r>
        <w:fldChar w:fldCharType="begin"/>
      </w:r>
      <w:r>
        <w:instrText xml:space="preserve"> HYPERLINK \l "_Toc97486301" </w:instrText>
      </w:r>
      <w:r>
        <w:fldChar w:fldCharType="separate"/>
      </w:r>
      <w:r>
        <w:rPr>
          <w:rStyle w:val="16"/>
        </w:rPr>
        <w:t>IV.</w:t>
      </w:r>
      <w:r>
        <w:rPr>
          <w:rFonts w:asciiTheme="minorHAnsi" w:hAnsiTheme="minorHAnsi" w:eastAsiaTheme="minorEastAsia" w:cstheme="minorBidi"/>
          <w:kern w:val="2"/>
          <w:szCs w:val="22"/>
        </w:rPr>
        <w:tab/>
      </w:r>
      <w:r>
        <w:rPr>
          <w:rStyle w:val="16"/>
          <w:rFonts w:hint="eastAsia"/>
        </w:rPr>
        <w:t>《</w:t>
      </w:r>
      <w:r>
        <w:rPr>
          <w:rStyle w:val="16"/>
        </w:rPr>
        <w:t>1995</w:t>
      </w:r>
      <w:r>
        <w:rPr>
          <w:rStyle w:val="16"/>
          <w:rFonts w:hint="eastAsia"/>
        </w:rPr>
        <w:t>年文书精简法案》</w:t>
      </w:r>
      <w:r>
        <w:tab/>
      </w:r>
      <w:r>
        <w:fldChar w:fldCharType="begin"/>
      </w:r>
      <w:r>
        <w:instrText xml:space="preserve"> PAGEREF _Toc97486301 \h </w:instrText>
      </w:r>
      <w:r>
        <w:fldChar w:fldCharType="separate"/>
      </w:r>
      <w:r>
        <w:t>22</w:t>
      </w:r>
      <w:r>
        <w:fldChar w:fldCharType="end"/>
      </w:r>
      <w:r>
        <w:fldChar w:fldCharType="end"/>
      </w:r>
    </w:p>
    <w:p w14:paraId="72218051">
      <w:pPr>
        <w:snapToGrid w:val="0"/>
        <w:jc w:val="both"/>
        <w:rPr>
          <w:rFonts w:eastAsia="宋体"/>
          <w:sz w:val="21"/>
          <w:szCs w:val="21"/>
        </w:rPr>
      </w:pPr>
      <w:r>
        <w:rPr>
          <w:rFonts w:eastAsia="宋体"/>
          <w:b/>
          <w:sz w:val="21"/>
        </w:rPr>
        <w:fldChar w:fldCharType="end"/>
      </w:r>
    </w:p>
    <w:p w14:paraId="0A449432">
      <w:pPr>
        <w:snapToGrid w:val="0"/>
        <w:jc w:val="both"/>
        <w:rPr>
          <w:rFonts w:eastAsia="宋体"/>
          <w:sz w:val="21"/>
          <w:szCs w:val="21"/>
        </w:rPr>
        <w:sectPr>
          <w:headerReference r:id="rId8" w:type="default"/>
          <w:pgSz w:w="11906" w:h="16838"/>
          <w:pgMar w:top="1134" w:right="1417" w:bottom="1134" w:left="1417" w:header="850" w:footer="720" w:gutter="0"/>
          <w:cols w:space="60" w:num="1"/>
          <w:docGrid w:linePitch="272" w:charSpace="0"/>
        </w:sectPr>
      </w:pPr>
    </w:p>
    <w:p w14:paraId="03F603E1">
      <w:pPr>
        <w:pStyle w:val="18"/>
        <w:jc w:val="center"/>
        <w:rPr>
          <w:rFonts w:eastAsia="宋体"/>
          <w:sz w:val="32"/>
          <w:szCs w:val="32"/>
        </w:rPr>
      </w:pPr>
      <w:r>
        <w:rPr>
          <w:rFonts w:eastAsia="宋体"/>
          <w:b/>
          <w:bCs/>
          <w:sz w:val="32"/>
          <w:szCs w:val="32"/>
        </w:rPr>
        <w:t>药品和医疗器械制造商与医疗费用支付方、处方集委员会和类似职能机构沟通-</w:t>
      </w:r>
    </w:p>
    <w:p w14:paraId="0FFF8DAE">
      <w:pPr>
        <w:pStyle w:val="18"/>
        <w:jc w:val="center"/>
        <w:rPr>
          <w:rFonts w:eastAsia="宋体"/>
          <w:sz w:val="32"/>
          <w:szCs w:val="32"/>
        </w:rPr>
      </w:pPr>
      <w:r>
        <w:rPr>
          <w:rFonts w:eastAsia="宋体"/>
          <w:b/>
          <w:bCs/>
          <w:sz w:val="32"/>
          <w:szCs w:val="32"/>
        </w:rPr>
        <w:t>问答</w:t>
      </w:r>
    </w:p>
    <w:p w14:paraId="59EB15DD">
      <w:pPr>
        <w:snapToGrid w:val="0"/>
        <w:jc w:val="center"/>
        <w:rPr>
          <w:rFonts w:eastAsia="宋体"/>
          <w:sz w:val="21"/>
          <w:szCs w:val="21"/>
        </w:rPr>
      </w:pPr>
      <w:r>
        <w:rPr>
          <w:rFonts w:eastAsia="宋体"/>
          <w:b/>
          <w:bCs/>
          <w:sz w:val="32"/>
          <w:szCs w:val="32"/>
        </w:rPr>
        <w:t>行业和审评人员指南</w:t>
      </w:r>
      <w:r>
        <w:rPr>
          <w:rStyle w:val="17"/>
          <w:rFonts w:eastAsia="宋体"/>
          <w:b/>
          <w:bCs/>
          <w:color w:val="000000"/>
          <w:sz w:val="21"/>
          <w:szCs w:val="21"/>
        </w:rPr>
        <w:footnoteReference w:id="0"/>
      </w:r>
    </w:p>
    <w:p w14:paraId="2AB2AE55">
      <w:pPr>
        <w:snapToGrid w:val="0"/>
        <w:jc w:val="both"/>
        <w:rPr>
          <w:rFonts w:eastAsia="宋体"/>
          <w:color w:val="000000"/>
          <w:sz w:val="21"/>
          <w:szCs w:val="21"/>
        </w:rPr>
      </w:pPr>
    </w:p>
    <w:p w14:paraId="23D6ADB3">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color w:val="000000"/>
          <w:sz w:val="21"/>
          <w:szCs w:val="21"/>
        </w:rPr>
      </w:pPr>
    </w:p>
    <w:p w14:paraId="0E07E29D">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4"/>
          <w:szCs w:val="24"/>
        </w:rPr>
      </w:pPr>
      <w:r>
        <w:rPr>
          <w:rFonts w:hint="eastAsia" w:eastAsia="宋体"/>
          <w:b/>
          <w:bCs/>
          <w:i/>
          <w:iCs/>
          <w:color w:val="000000"/>
          <w:sz w:val="21"/>
          <w:szCs w:val="21"/>
        </w:rPr>
        <w:t>本指南代表美国食品药品监督管理局（</w:t>
      </w:r>
      <w:r>
        <w:rPr>
          <w:rFonts w:eastAsia="宋体"/>
          <w:b/>
          <w:bCs/>
          <w:i/>
          <w:iCs/>
          <w:color w:val="000000"/>
          <w:sz w:val="21"/>
          <w:szCs w:val="21"/>
        </w:rPr>
        <w:t>FDA</w:t>
      </w:r>
      <w:r>
        <w:rPr>
          <w:rFonts w:hint="eastAsia" w:eastAsia="宋体"/>
          <w:b/>
          <w:bCs/>
          <w:i/>
          <w:iCs/>
          <w:color w:val="000000"/>
          <w:sz w:val="21"/>
          <w:szCs w:val="21"/>
        </w:rPr>
        <w:t>）对该主题的当前看法。本文件不赋予任何人任何权利，对</w:t>
      </w:r>
      <w:r>
        <w:rPr>
          <w:rFonts w:eastAsia="宋体"/>
          <w:b/>
          <w:bCs/>
          <w:i/>
          <w:iCs/>
          <w:color w:val="000000"/>
          <w:sz w:val="21"/>
          <w:szCs w:val="21"/>
        </w:rPr>
        <w:t>FDA</w:t>
      </w:r>
      <w:r>
        <w:rPr>
          <w:rFonts w:hint="eastAsia" w:eastAsia="宋体"/>
          <w:b/>
          <w:bCs/>
          <w:i/>
          <w:iCs/>
          <w:color w:val="000000"/>
          <w:sz w:val="21"/>
          <w:szCs w:val="21"/>
        </w:rPr>
        <w:t>或公众不具有约束力。如果替代方法满足适用的情形和法规</w:t>
      </w:r>
      <w:r>
        <w:rPr>
          <w:rFonts w:eastAsia="宋体"/>
          <w:b/>
          <w:bCs/>
          <w:i/>
          <w:iCs/>
          <w:color w:val="000000"/>
          <w:sz w:val="21"/>
          <w:szCs w:val="21"/>
        </w:rPr>
        <w:t xml:space="preserve"> </w:t>
      </w:r>
      <w:r>
        <w:rPr>
          <w:rFonts w:hint="eastAsia" w:eastAsia="宋体"/>
          <w:b/>
          <w:bCs/>
          <w:i/>
          <w:iCs/>
          <w:color w:val="000000"/>
          <w:sz w:val="21"/>
          <w:szCs w:val="21"/>
        </w:rPr>
        <w:t>的要求，则贵司可使用替代方法。如需讨论替代方法，请联系标题页所列负责本指南的</w:t>
      </w:r>
      <w:r>
        <w:rPr>
          <w:rFonts w:eastAsia="宋体"/>
          <w:b/>
          <w:bCs/>
          <w:i/>
          <w:iCs/>
          <w:color w:val="000000"/>
          <w:sz w:val="21"/>
          <w:szCs w:val="21"/>
        </w:rPr>
        <w:t>FDA</w:t>
      </w:r>
      <w:r>
        <w:rPr>
          <w:rFonts w:hint="eastAsia" w:eastAsia="宋体"/>
          <w:b/>
          <w:bCs/>
          <w:i/>
          <w:iCs/>
          <w:color w:val="000000"/>
          <w:sz w:val="21"/>
          <w:szCs w:val="21"/>
        </w:rPr>
        <w:t>工作人员或办公室。</w:t>
      </w:r>
    </w:p>
    <w:p w14:paraId="5F8D4752">
      <w:pPr>
        <w:tabs>
          <w:tab w:val="left" w:pos="720"/>
        </w:tabs>
        <w:snapToGrid w:val="0"/>
        <w:jc w:val="both"/>
        <w:rPr>
          <w:rFonts w:eastAsia="宋体"/>
          <w:b/>
          <w:bCs/>
          <w:color w:val="000000"/>
          <w:sz w:val="21"/>
          <w:szCs w:val="21"/>
        </w:rPr>
      </w:pPr>
    </w:p>
    <w:p w14:paraId="49F60E06">
      <w:pPr>
        <w:tabs>
          <w:tab w:val="left" w:pos="720"/>
        </w:tabs>
        <w:snapToGrid w:val="0"/>
        <w:jc w:val="both"/>
        <w:rPr>
          <w:rFonts w:eastAsia="宋体"/>
          <w:b/>
          <w:bCs/>
          <w:color w:val="000000"/>
          <w:sz w:val="21"/>
          <w:szCs w:val="21"/>
        </w:rPr>
      </w:pPr>
    </w:p>
    <w:p w14:paraId="7F84D1F8">
      <w:pPr>
        <w:pStyle w:val="2"/>
        <w:spacing w:before="240" w:after="120"/>
        <w:rPr>
          <w:rFonts w:eastAsia="宋体"/>
          <w:szCs w:val="21"/>
        </w:rPr>
      </w:pPr>
      <w:bookmarkStart w:id="0" w:name="_Toc97486295"/>
      <w:r>
        <w:rPr>
          <w:rFonts w:eastAsia="宋体"/>
          <w:color w:val="000000"/>
          <w:szCs w:val="21"/>
        </w:rPr>
        <w:t>I.</w:t>
      </w:r>
      <w:r>
        <w:rPr>
          <w:rFonts w:eastAsia="宋体"/>
          <w:color w:val="000000"/>
          <w:szCs w:val="21"/>
        </w:rPr>
        <w:tab/>
      </w:r>
      <w:r>
        <w:rPr>
          <w:rFonts w:hint="eastAsia" w:eastAsia="宋体"/>
          <w:color w:val="000000"/>
          <w:szCs w:val="21"/>
        </w:rPr>
        <w:t>前</w:t>
      </w:r>
      <w:r>
        <w:rPr>
          <w:rFonts w:eastAsia="宋体"/>
          <w:color w:val="000000"/>
          <w:szCs w:val="21"/>
        </w:rPr>
        <w:t>言</w:t>
      </w:r>
      <w:bookmarkEnd w:id="0"/>
    </w:p>
    <w:p w14:paraId="25781679">
      <w:pPr>
        <w:snapToGrid w:val="0"/>
        <w:jc w:val="both"/>
        <w:rPr>
          <w:rFonts w:eastAsia="宋体"/>
          <w:sz w:val="24"/>
          <w:szCs w:val="24"/>
        </w:rPr>
      </w:pPr>
      <w:r>
        <w:rPr>
          <w:rFonts w:eastAsia="宋体"/>
          <w:color w:val="000000"/>
          <w:sz w:val="24"/>
          <w:szCs w:val="24"/>
        </w:rPr>
        <w:t>本指南对</w:t>
      </w:r>
      <w:r>
        <w:rPr>
          <w:rFonts w:eastAsia="宋体"/>
          <w:i/>
          <w:iCs/>
          <w:color w:val="000000"/>
          <w:sz w:val="24"/>
          <w:szCs w:val="24"/>
        </w:rPr>
        <w:t>公司</w:t>
      </w:r>
      <w:r>
        <w:rPr>
          <w:rStyle w:val="17"/>
          <w:rFonts w:eastAsia="宋体"/>
          <w:color w:val="000000"/>
          <w:sz w:val="24"/>
          <w:szCs w:val="24"/>
        </w:rPr>
        <w:footnoteReference w:id="1"/>
      </w:r>
      <w:r>
        <w:rPr>
          <w:rFonts w:eastAsia="宋体"/>
          <w:color w:val="000000"/>
          <w:sz w:val="24"/>
          <w:szCs w:val="24"/>
        </w:rPr>
        <w:t>将有关其处方药</w:t>
      </w:r>
      <w:r>
        <w:rPr>
          <w:rStyle w:val="17"/>
          <w:rFonts w:eastAsia="宋体"/>
          <w:color w:val="000000"/>
          <w:sz w:val="24"/>
          <w:szCs w:val="24"/>
        </w:rPr>
        <w:footnoteReference w:id="2"/>
      </w:r>
      <w:r>
        <w:rPr>
          <w:rFonts w:eastAsia="宋体"/>
          <w:color w:val="000000"/>
          <w:sz w:val="24"/>
          <w:szCs w:val="24"/>
        </w:rPr>
        <w:t>和医疗</w:t>
      </w:r>
      <w:r>
        <w:rPr>
          <w:rFonts w:eastAsia="宋体"/>
          <w:i/>
          <w:iCs/>
          <w:color w:val="000000"/>
          <w:sz w:val="24"/>
          <w:szCs w:val="24"/>
        </w:rPr>
        <w:t>器械</w:t>
      </w:r>
      <w:r>
        <w:rPr>
          <w:rStyle w:val="17"/>
          <w:rFonts w:eastAsia="宋体"/>
          <w:color w:val="000000"/>
          <w:sz w:val="24"/>
          <w:szCs w:val="24"/>
        </w:rPr>
        <w:footnoteReference w:id="3"/>
      </w:r>
      <w:r>
        <w:rPr>
          <w:rFonts w:eastAsia="宋体"/>
          <w:color w:val="000000"/>
          <w:sz w:val="24"/>
          <w:szCs w:val="24"/>
        </w:rPr>
        <w:t>的医疗保健经济学信息（HCEI）</w:t>
      </w:r>
      <w:r>
        <w:rPr>
          <w:rStyle w:val="17"/>
          <w:rFonts w:eastAsia="宋体"/>
          <w:color w:val="000000"/>
          <w:sz w:val="24"/>
          <w:szCs w:val="24"/>
        </w:rPr>
        <w:footnoteReference w:id="4"/>
      </w:r>
      <w:r>
        <w:rPr>
          <w:rFonts w:eastAsia="宋体"/>
          <w:color w:val="000000"/>
          <w:sz w:val="24"/>
          <w:szCs w:val="24"/>
        </w:rPr>
        <w:t>传达给具有医疗经济分析领域知识和专业知识的医疗费用支付方、处方集委员会或其他类似职能机构</w:t>
      </w:r>
      <w:r>
        <w:rPr>
          <w:rStyle w:val="17"/>
          <w:rFonts w:eastAsia="宋体"/>
          <w:color w:val="000000"/>
          <w:sz w:val="24"/>
          <w:szCs w:val="24"/>
        </w:rPr>
        <w:footnoteReference w:id="5"/>
      </w:r>
      <w:r>
        <w:rPr>
          <w:rFonts w:eastAsia="宋体"/>
          <w:color w:val="000000"/>
          <w:sz w:val="24"/>
          <w:szCs w:val="24"/>
        </w:rPr>
        <w:t>（统称为医疗费用支付方）的常见问题提供了解答。本指南还涉及向医疗费用支付方传达有关尚未获得批准或许可用于任何用途的</w:t>
      </w:r>
      <w:r>
        <w:rPr>
          <w:rFonts w:eastAsia="宋体"/>
          <w:i/>
          <w:iCs/>
          <w:color w:val="000000"/>
          <w:sz w:val="24"/>
          <w:szCs w:val="24"/>
        </w:rPr>
        <w:t>医疗产品</w:t>
      </w:r>
      <w:r>
        <w:rPr>
          <w:rFonts w:eastAsia="宋体"/>
          <w:color w:val="000000"/>
          <w:sz w:val="24"/>
          <w:szCs w:val="24"/>
        </w:rPr>
        <w:t>信息</w:t>
      </w:r>
      <w:r>
        <w:rPr>
          <w:rStyle w:val="17"/>
          <w:rFonts w:eastAsia="宋体"/>
          <w:color w:val="000000"/>
          <w:sz w:val="24"/>
          <w:szCs w:val="24"/>
        </w:rPr>
        <w:footnoteReference w:id="6"/>
      </w:r>
      <w:r>
        <w:rPr>
          <w:rFonts w:eastAsia="宋体"/>
          <w:color w:val="000000"/>
          <w:sz w:val="24"/>
          <w:szCs w:val="24"/>
        </w:rPr>
        <w:t>以及向医疗费用支付方传达有关已获得批准/许可的医疗产品的未批准用途信息的常见问题。</w:t>
      </w:r>
    </w:p>
    <w:p w14:paraId="0B02F1B5">
      <w:pPr>
        <w:tabs>
          <w:tab w:val="left" w:pos="115"/>
        </w:tabs>
        <w:snapToGrid w:val="0"/>
        <w:jc w:val="both"/>
        <w:rPr>
          <w:rFonts w:eastAsia="宋体"/>
          <w:color w:val="000000"/>
          <w:sz w:val="24"/>
          <w:szCs w:val="24"/>
          <w:vertAlign w:val="superscript"/>
        </w:rPr>
      </w:pPr>
    </w:p>
    <w:p w14:paraId="0AFF66C1">
      <w:pPr>
        <w:tabs>
          <w:tab w:val="left" w:pos="115"/>
        </w:tabs>
        <w:snapToGrid w:val="0"/>
        <w:jc w:val="both"/>
        <w:rPr>
          <w:rFonts w:eastAsia="宋体"/>
          <w:sz w:val="21"/>
          <w:szCs w:val="21"/>
        </w:rPr>
        <w:sectPr>
          <w:footerReference r:id="rId9" w:type="default"/>
          <w:pgSz w:w="11906" w:h="16838"/>
          <w:pgMar w:top="1134" w:right="1417" w:bottom="1134" w:left="1417" w:header="850" w:footer="720" w:gutter="0"/>
          <w:pgNumType w:start="1"/>
          <w:cols w:space="60" w:num="1"/>
          <w:docGrid w:linePitch="272" w:charSpace="0"/>
        </w:sectPr>
      </w:pPr>
    </w:p>
    <w:p w14:paraId="03159DDC">
      <w:pPr>
        <w:snapToGrid w:val="0"/>
        <w:jc w:val="both"/>
        <w:rPr>
          <w:rFonts w:eastAsia="宋体"/>
          <w:color w:val="000000"/>
          <w:sz w:val="24"/>
          <w:szCs w:val="24"/>
        </w:rPr>
      </w:pPr>
      <w:r>
        <w:rPr>
          <w:rFonts w:eastAsia="宋体"/>
          <w:color w:val="000000"/>
          <w:sz w:val="24"/>
          <w:szCs w:val="24"/>
        </w:rPr>
        <w:t>问题和答案分为以下类别：</w:t>
      </w:r>
    </w:p>
    <w:p w14:paraId="6F55A6AF">
      <w:pPr>
        <w:snapToGrid w:val="0"/>
        <w:jc w:val="both"/>
        <w:rPr>
          <w:rFonts w:eastAsia="宋体"/>
          <w:sz w:val="24"/>
          <w:szCs w:val="24"/>
        </w:rPr>
      </w:pPr>
    </w:p>
    <w:p w14:paraId="43E8766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向医疗费用支付方传达有关获批药品的HCEI；</w:t>
      </w:r>
    </w:p>
    <w:p w14:paraId="4812E3F9">
      <w:pPr>
        <w:snapToGrid w:val="0"/>
        <w:ind w:left="660" w:leftChars="150" w:hanging="360" w:hangingChars="150"/>
        <w:jc w:val="both"/>
        <w:rPr>
          <w:rFonts w:eastAsia="宋体"/>
          <w:color w:val="000000"/>
          <w:sz w:val="24"/>
          <w:szCs w:val="24"/>
        </w:rPr>
      </w:pPr>
    </w:p>
    <w:p w14:paraId="17C094C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向医疗费用支付方传达有关已获得批准/许可的器械的HCEI；</w:t>
      </w:r>
      <w:r>
        <w:rPr>
          <w:rStyle w:val="17"/>
          <w:rFonts w:eastAsia="宋体"/>
          <w:color w:val="000000"/>
          <w:sz w:val="24"/>
          <w:szCs w:val="24"/>
        </w:rPr>
        <w:footnoteReference w:id="7"/>
      </w:r>
    </w:p>
    <w:p w14:paraId="5218A7E1">
      <w:pPr>
        <w:snapToGrid w:val="0"/>
        <w:ind w:left="660" w:leftChars="150" w:hanging="360" w:hangingChars="150"/>
        <w:jc w:val="both"/>
        <w:rPr>
          <w:rFonts w:eastAsia="宋体"/>
          <w:color w:val="000000"/>
          <w:sz w:val="24"/>
          <w:szCs w:val="24"/>
        </w:rPr>
      </w:pPr>
    </w:p>
    <w:p w14:paraId="16ED39C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向医疗费用支付方传达有关未获得批准的药品/器械的信息（</w:t>
      </w:r>
      <w:r>
        <w:rPr>
          <w:rFonts w:eastAsia="宋体"/>
          <w:i/>
          <w:iCs/>
          <w:color w:val="000000"/>
          <w:sz w:val="24"/>
          <w:szCs w:val="24"/>
        </w:rPr>
        <w:t>未获得批准的产品</w:t>
      </w:r>
      <w:r>
        <w:rPr>
          <w:rStyle w:val="17"/>
          <w:rFonts w:eastAsia="宋体"/>
          <w:color w:val="000000"/>
          <w:sz w:val="24"/>
          <w:szCs w:val="24"/>
        </w:rPr>
        <w:footnoteReference w:id="8"/>
      </w:r>
      <w:r>
        <w:rPr>
          <w:rFonts w:eastAsia="宋体"/>
          <w:color w:val="000000"/>
          <w:sz w:val="24"/>
          <w:szCs w:val="24"/>
        </w:rPr>
        <w:t>）；以及有关已获得批准/许可的医疗产品的未批准用途。</w:t>
      </w:r>
    </w:p>
    <w:p w14:paraId="25CF7039">
      <w:pPr>
        <w:snapToGrid w:val="0"/>
        <w:jc w:val="both"/>
        <w:rPr>
          <w:rFonts w:eastAsia="宋体"/>
          <w:color w:val="000000"/>
          <w:sz w:val="24"/>
          <w:szCs w:val="24"/>
        </w:rPr>
      </w:pPr>
    </w:p>
    <w:p w14:paraId="22111320">
      <w:pPr>
        <w:snapToGrid w:val="0"/>
        <w:jc w:val="both"/>
        <w:rPr>
          <w:rFonts w:eastAsia="宋体"/>
          <w:color w:val="000000"/>
          <w:sz w:val="24"/>
          <w:szCs w:val="24"/>
        </w:rPr>
      </w:pPr>
      <w:r>
        <w:rPr>
          <w:rFonts w:eastAsia="宋体"/>
          <w:color w:val="000000"/>
          <w:sz w:val="24"/>
          <w:szCs w:val="24"/>
        </w:rPr>
        <w:t>FDA</w:t>
      </w:r>
      <w:r>
        <w:rPr>
          <w:rFonts w:hint="eastAsia" w:eastAsia="宋体"/>
          <w:color w:val="000000"/>
          <w:sz w:val="24"/>
          <w:szCs w:val="24"/>
        </w:rPr>
        <w:t>指南文件，包括本指南，并未规定具有法律强制力的责任。相反，指南描述了</w:t>
      </w:r>
      <w:r>
        <w:rPr>
          <w:rFonts w:eastAsia="宋体"/>
          <w:color w:val="000000"/>
          <w:sz w:val="24"/>
          <w:szCs w:val="24"/>
        </w:rPr>
        <w:t>FDA</w:t>
      </w:r>
      <w:r>
        <w:rPr>
          <w:rFonts w:hint="eastAsia" w:eastAsia="宋体"/>
          <w:color w:val="000000"/>
          <w:sz w:val="24"/>
          <w:szCs w:val="24"/>
        </w:rPr>
        <w:t>对该主题的当前看法，除非引用了具体监管或法定要求，否则应仅视为建议。</w:t>
      </w:r>
      <w:r>
        <w:rPr>
          <w:rFonts w:eastAsia="宋体"/>
          <w:color w:val="000000"/>
          <w:sz w:val="24"/>
          <w:szCs w:val="24"/>
        </w:rPr>
        <w:t>FDA</w:t>
      </w:r>
      <w:r>
        <w:rPr>
          <w:rFonts w:hint="eastAsia" w:eastAsia="宋体"/>
          <w:color w:val="000000"/>
          <w:sz w:val="24"/>
          <w:szCs w:val="24"/>
        </w:rPr>
        <w:t>指南中使用的“应该（</w:t>
      </w:r>
      <w:r>
        <w:rPr>
          <w:rFonts w:eastAsia="宋体"/>
          <w:color w:val="000000"/>
          <w:sz w:val="24"/>
          <w:szCs w:val="24"/>
        </w:rPr>
        <w:t>should</w:t>
      </w:r>
      <w:r>
        <w:rPr>
          <w:rFonts w:hint="eastAsia" w:eastAsia="宋体"/>
          <w:color w:val="000000"/>
          <w:sz w:val="24"/>
          <w:szCs w:val="24"/>
        </w:rPr>
        <w:t>）”一词指建议或推荐进行某一事项，并非强制要求。</w:t>
      </w:r>
    </w:p>
    <w:p w14:paraId="041772FE">
      <w:pPr>
        <w:snapToGrid w:val="0"/>
        <w:jc w:val="both"/>
        <w:rPr>
          <w:rFonts w:eastAsia="宋体"/>
          <w:sz w:val="21"/>
          <w:szCs w:val="21"/>
        </w:rPr>
      </w:pPr>
    </w:p>
    <w:p w14:paraId="12A32EE0">
      <w:pPr>
        <w:pStyle w:val="2"/>
        <w:spacing w:before="240" w:after="120"/>
        <w:rPr>
          <w:rFonts w:eastAsia="宋体"/>
        </w:rPr>
      </w:pPr>
      <w:bookmarkStart w:id="1" w:name="_Toc97486296"/>
      <w:r>
        <w:rPr>
          <w:rFonts w:eastAsia="宋体"/>
        </w:rPr>
        <w:t>II.</w:t>
      </w:r>
      <w:r>
        <w:rPr>
          <w:rFonts w:eastAsia="宋体"/>
        </w:rPr>
        <w:tab/>
      </w:r>
      <w:r>
        <w:rPr>
          <w:rFonts w:eastAsia="宋体"/>
        </w:rPr>
        <w:t>背景</w:t>
      </w:r>
      <w:bookmarkEnd w:id="1"/>
    </w:p>
    <w:p w14:paraId="194A0E7C">
      <w:pPr>
        <w:snapToGrid w:val="0"/>
        <w:jc w:val="both"/>
        <w:rPr>
          <w:rFonts w:eastAsia="宋体"/>
          <w:sz w:val="24"/>
          <w:szCs w:val="24"/>
        </w:rPr>
      </w:pPr>
      <w:r>
        <w:rPr>
          <w:rFonts w:eastAsia="宋体"/>
          <w:color w:val="000000"/>
          <w:sz w:val="24"/>
          <w:szCs w:val="24"/>
        </w:rPr>
        <w:t>FDA的一些法律和监管规定可能会影响公司与医疗费用支付方的沟通。</w:t>
      </w:r>
      <w:r>
        <w:rPr>
          <w:rStyle w:val="17"/>
          <w:rFonts w:eastAsia="宋体"/>
          <w:color w:val="000000"/>
          <w:sz w:val="24"/>
          <w:szCs w:val="24"/>
        </w:rPr>
        <w:footnoteReference w:id="9"/>
      </w:r>
      <w:r>
        <w:rPr>
          <w:rFonts w:eastAsia="宋体"/>
          <w:color w:val="000000"/>
          <w:sz w:val="24"/>
          <w:szCs w:val="24"/>
        </w:rPr>
        <w:t xml:space="preserve"> 本指南提供了FDA对有关此类沟通的常见问题的看法，以便向公司和医疗费用支付方提供明确说明。</w:t>
      </w:r>
    </w:p>
    <w:p w14:paraId="491A6CFC">
      <w:pPr>
        <w:snapToGrid w:val="0"/>
        <w:jc w:val="both"/>
        <w:rPr>
          <w:rFonts w:eastAsia="宋体"/>
          <w:color w:val="000000"/>
          <w:sz w:val="24"/>
          <w:szCs w:val="24"/>
          <w:vertAlign w:val="superscript"/>
        </w:rPr>
      </w:pPr>
    </w:p>
    <w:p w14:paraId="15D3D365">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A6186FB">
      <w:pPr>
        <w:snapToGrid w:val="0"/>
        <w:jc w:val="both"/>
        <w:rPr>
          <w:rFonts w:eastAsia="宋体"/>
          <w:color w:val="000000"/>
          <w:sz w:val="24"/>
          <w:szCs w:val="24"/>
        </w:rPr>
      </w:pPr>
      <w:r>
        <w:rPr>
          <w:rFonts w:eastAsia="宋体"/>
          <w:color w:val="000000"/>
          <w:sz w:val="24"/>
          <w:szCs w:val="24"/>
        </w:rPr>
        <w:t>医疗费用支付方是一群经验丰富的受众，拥有多个学科的广泛专业知识，而且掌握了仔细考量医疗产品相关证据的既定程序。一般来说，医疗费用支付方拥有财政资源和动机来密切审评医疗产品</w:t>
      </w:r>
      <w:r>
        <w:rPr>
          <w:rFonts w:hint="eastAsia" w:eastAsia="宋体"/>
          <w:color w:val="000000"/>
          <w:sz w:val="24"/>
          <w:szCs w:val="24"/>
        </w:rPr>
        <w:t>相关</w:t>
      </w:r>
      <w:r>
        <w:rPr>
          <w:rFonts w:eastAsia="宋体"/>
          <w:color w:val="000000"/>
          <w:sz w:val="24"/>
          <w:szCs w:val="24"/>
        </w:rPr>
        <w:t>信息，作为其决策过程的一部分，包括评价这些信息的局限性和可靠性。医疗费用支付方寻求关于已获得批准/许可的医疗产品的有效性、安全性和成本效益的一系列信息，包括来自公司的信息，以支持他们的产品选择、处方管理和/或基于人群的承保和报销决定。此信息通常与FDA在做出批准/许可决定时审评的信息不同，并且可以</w:t>
      </w:r>
      <w:r>
        <w:rPr>
          <w:rFonts w:hint="eastAsia" w:eastAsia="宋体"/>
          <w:color w:val="000000"/>
          <w:sz w:val="24"/>
          <w:szCs w:val="24"/>
        </w:rPr>
        <w:t>由公司</w:t>
      </w:r>
      <w:r>
        <w:rPr>
          <w:rFonts w:eastAsia="宋体"/>
          <w:color w:val="000000"/>
          <w:sz w:val="24"/>
          <w:szCs w:val="24"/>
        </w:rPr>
        <w:t>在此基础上</w:t>
      </w:r>
      <w:r>
        <w:rPr>
          <w:rFonts w:hint="eastAsia" w:eastAsia="宋体"/>
          <w:color w:val="000000"/>
          <w:sz w:val="24"/>
          <w:szCs w:val="24"/>
        </w:rPr>
        <w:t>一并</w:t>
      </w:r>
      <w:r>
        <w:rPr>
          <w:rFonts w:eastAsia="宋体"/>
          <w:color w:val="000000"/>
          <w:sz w:val="24"/>
          <w:szCs w:val="24"/>
        </w:rPr>
        <w:t>提供。</w:t>
      </w:r>
    </w:p>
    <w:p w14:paraId="0A843B5B">
      <w:pPr>
        <w:snapToGrid w:val="0"/>
        <w:jc w:val="both"/>
        <w:rPr>
          <w:rFonts w:eastAsia="宋体"/>
          <w:sz w:val="24"/>
          <w:szCs w:val="24"/>
        </w:rPr>
      </w:pPr>
    </w:p>
    <w:p w14:paraId="0DE5C264">
      <w:pPr>
        <w:snapToGrid w:val="0"/>
        <w:jc w:val="both"/>
        <w:rPr>
          <w:rFonts w:eastAsia="宋体"/>
          <w:sz w:val="24"/>
          <w:szCs w:val="24"/>
        </w:rPr>
      </w:pPr>
      <w:r>
        <w:rPr>
          <w:rFonts w:eastAsia="宋体"/>
          <w:color w:val="000000"/>
          <w:sz w:val="24"/>
          <w:szCs w:val="24"/>
        </w:rPr>
        <w:t>由于医疗费用支付方的承保和报销决定</w:t>
      </w:r>
      <w:r>
        <w:rPr>
          <w:rFonts w:hint="eastAsia" w:eastAsia="宋体"/>
          <w:color w:val="000000"/>
          <w:sz w:val="24"/>
          <w:szCs w:val="24"/>
        </w:rPr>
        <w:t>会</w:t>
      </w:r>
      <w:r>
        <w:rPr>
          <w:rFonts w:eastAsia="宋体"/>
          <w:color w:val="000000"/>
          <w:sz w:val="24"/>
          <w:szCs w:val="24"/>
        </w:rPr>
        <w:t>影响到许多患者，FDA认为，公司向医疗费用支付方提供的有关其医疗产品的信息必须真实且无误导性，并提供适当的背景和背景上下文信息，</w:t>
      </w:r>
      <w:r>
        <w:rPr>
          <w:rFonts w:hint="eastAsia" w:eastAsia="宋体"/>
          <w:color w:val="000000"/>
          <w:sz w:val="24"/>
          <w:szCs w:val="24"/>
        </w:rPr>
        <w:t>便于</w:t>
      </w:r>
      <w:r>
        <w:rPr>
          <w:rFonts w:eastAsia="宋体"/>
          <w:color w:val="000000"/>
          <w:sz w:val="24"/>
          <w:szCs w:val="24"/>
        </w:rPr>
        <w:t>医疗费用支付方做出明智决定，这一点至关重要。本指南为公司提供了FDA的建议，以帮助他们确保</w:t>
      </w:r>
      <w:r>
        <w:rPr>
          <w:rFonts w:hint="eastAsia" w:eastAsia="宋体"/>
          <w:color w:val="000000"/>
          <w:sz w:val="24"/>
          <w:szCs w:val="24"/>
        </w:rPr>
        <w:t>其</w:t>
      </w:r>
      <w:r>
        <w:rPr>
          <w:rFonts w:eastAsia="宋体"/>
          <w:color w:val="000000"/>
          <w:sz w:val="24"/>
          <w:szCs w:val="24"/>
        </w:rPr>
        <w:t>向医疗费用支付方传达有关已获得批准/许可的医疗产品的HCEI真实且无误导性。具体而言，针对根据《联邦食品、药品和化妆品法案》（21 U.S.C. 352（a））第502（a）条向医疗费用支付方传达有关已获得批准的处方药的HCEI，第III.A部分提供了FDA对常见问题的看法。第III.B部分提供了FDA对有关向医疗费用支付方传达有关已获得批准/许可的器械的HCEI的常见问题的看法。如第III.B部分所述，虽然第502（a）条中涉及HCEI的措辞仅适用于药品，但第502（a）条中关于标签不得具有虚假性或误导性的一般要求不仅适用于药品，也适用于器械。FDA认为公司向医疗费用支付方传达的HCEI信息符合《联邦食品、药品和化妆品法案》（21 U.S.C. 321（m））第201（m）条的定义，属于标签。</w:t>
      </w:r>
      <w:r>
        <w:rPr>
          <w:rStyle w:val="17"/>
          <w:rFonts w:eastAsia="宋体"/>
          <w:color w:val="000000"/>
          <w:sz w:val="24"/>
          <w:szCs w:val="24"/>
        </w:rPr>
        <w:footnoteReference w:id="10"/>
      </w:r>
      <w:r>
        <w:rPr>
          <w:rFonts w:eastAsia="宋体"/>
          <w:color w:val="000000"/>
          <w:sz w:val="24"/>
          <w:szCs w:val="24"/>
        </w:rPr>
        <w:t xml:space="preserve"> 因此，FDA认为，第III.A部分中提供的建议一般也适用于公司向医疗费用支付方传达有关器械的HCEI，并有助于确保这些沟通不具有虚假性或误导性。</w:t>
      </w:r>
    </w:p>
    <w:p w14:paraId="425F2FE0">
      <w:pPr>
        <w:snapToGrid w:val="0"/>
        <w:jc w:val="both"/>
        <w:rPr>
          <w:rFonts w:eastAsia="宋体"/>
          <w:sz w:val="24"/>
          <w:szCs w:val="24"/>
        </w:rPr>
      </w:pPr>
    </w:p>
    <w:p w14:paraId="58BC6B08">
      <w:pPr>
        <w:snapToGrid w:val="0"/>
        <w:jc w:val="both"/>
        <w:rPr>
          <w:rFonts w:eastAsia="宋体"/>
          <w:sz w:val="21"/>
          <w:szCs w:val="21"/>
        </w:rPr>
      </w:pPr>
    </w:p>
    <w:p w14:paraId="4F62F6C2">
      <w:pPr>
        <w:snapToGrid w:val="0"/>
        <w:jc w:val="both"/>
        <w:rPr>
          <w:rFonts w:eastAsia="宋体"/>
          <w:sz w:val="21"/>
          <w:szCs w:val="21"/>
        </w:rPr>
      </w:pPr>
    </w:p>
    <w:p w14:paraId="22A15D0D">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37B76C5">
      <w:pPr>
        <w:snapToGrid w:val="0"/>
        <w:jc w:val="both"/>
        <w:rPr>
          <w:rFonts w:eastAsia="宋体"/>
          <w:color w:val="000000"/>
          <w:sz w:val="24"/>
          <w:szCs w:val="24"/>
        </w:rPr>
      </w:pPr>
      <w:r>
        <w:rPr>
          <w:rFonts w:eastAsia="宋体"/>
          <w:color w:val="000000"/>
          <w:sz w:val="24"/>
          <w:szCs w:val="24"/>
        </w:rPr>
        <w:t>医疗费用支付方还表示，部分由于他们在某些情况下需要在此类决定生效日期之前很长时间就计划并做出承保和报销决定，他们也有兴趣从公司接收有关尚未获得FDA批准/许可用于任何用途的医疗产品的信息，以及有关已获得批准/许可的医疗产品的未批准用途的信息。基于上述原因，公司提供的有关其未获得批准的产品和已获得批准/许可的医疗产品的未批准用途的信息必须真实且无误导性，这一点至关重要。第III.C部分提供了FDA对有关向医疗费用支付方传达有关未获得批准的产品和已获得批准/许可的医疗产品的未批准用途的常见问题的看法。</w:t>
      </w:r>
    </w:p>
    <w:p w14:paraId="52881C23">
      <w:pPr>
        <w:snapToGrid w:val="0"/>
        <w:jc w:val="both"/>
        <w:rPr>
          <w:rFonts w:eastAsia="宋体"/>
          <w:sz w:val="24"/>
          <w:szCs w:val="24"/>
        </w:rPr>
      </w:pPr>
    </w:p>
    <w:p w14:paraId="4AAC49E0">
      <w:pPr>
        <w:pStyle w:val="2"/>
        <w:spacing w:before="240" w:after="120"/>
        <w:rPr>
          <w:rFonts w:eastAsia="宋体"/>
        </w:rPr>
      </w:pPr>
      <w:bookmarkStart w:id="2" w:name="_Toc97486297"/>
      <w:r>
        <w:rPr>
          <w:rFonts w:eastAsia="宋体"/>
        </w:rPr>
        <w:t>III.</w:t>
      </w:r>
      <w:r>
        <w:rPr>
          <w:rFonts w:eastAsia="宋体"/>
        </w:rPr>
        <w:tab/>
      </w:r>
      <w:r>
        <w:rPr>
          <w:rFonts w:eastAsia="宋体"/>
        </w:rPr>
        <w:t>问答</w:t>
      </w:r>
      <w:bookmarkEnd w:id="2"/>
    </w:p>
    <w:p w14:paraId="4E9AE413">
      <w:pPr>
        <w:pStyle w:val="3"/>
        <w:spacing w:before="240" w:after="240"/>
      </w:pPr>
      <w:bookmarkStart w:id="3" w:name="_Toc97486298"/>
      <w:r>
        <w:t>A.</w:t>
      </w:r>
      <w:r>
        <w:tab/>
      </w:r>
      <w:r>
        <w:t>由公司向医疗费用支付方传达有关获批药品的HCEI</w:t>
      </w:r>
      <w:bookmarkEnd w:id="3"/>
    </w:p>
    <w:p w14:paraId="272C949B">
      <w:pPr>
        <w:pStyle w:val="4"/>
        <w:spacing w:before="240" w:after="240"/>
        <w:ind w:left="1416" w:hanging="1132"/>
        <w:rPr>
          <w:sz w:val="24"/>
          <w:szCs w:val="24"/>
        </w:rPr>
      </w:pPr>
      <w:r>
        <w:rPr>
          <w:sz w:val="24"/>
          <w:szCs w:val="24"/>
        </w:rPr>
        <w:t>Q.A.1.</w:t>
      </w:r>
      <w:r>
        <w:rPr>
          <w:sz w:val="24"/>
          <w:szCs w:val="24"/>
        </w:rPr>
        <w:tab/>
      </w:r>
      <w:r>
        <w:rPr>
          <w:sz w:val="24"/>
          <w:szCs w:val="24"/>
        </w:rPr>
        <w:t>什么是HCEI，以及如何提供？</w:t>
      </w:r>
    </w:p>
    <w:p w14:paraId="744DC0C4">
      <w:pPr>
        <w:snapToGrid w:val="0"/>
        <w:ind w:left="1416" w:leftChars="142" w:hanging="1132" w:hangingChars="472"/>
        <w:jc w:val="both"/>
        <w:rPr>
          <w:rFonts w:eastAsia="宋体"/>
          <w:sz w:val="24"/>
          <w:szCs w:val="24"/>
        </w:rPr>
      </w:pPr>
      <w:r>
        <w:rPr>
          <w:rFonts w:eastAsia="宋体"/>
          <w:color w:val="000000"/>
          <w:sz w:val="24"/>
          <w:szCs w:val="24"/>
        </w:rPr>
        <w:t>A.A.1.</w:t>
      </w:r>
      <w:r>
        <w:rPr>
          <w:rFonts w:eastAsia="宋体"/>
          <w:color w:val="000000"/>
          <w:sz w:val="24"/>
          <w:szCs w:val="24"/>
        </w:rPr>
        <w:tab/>
      </w:r>
      <w:r>
        <w:rPr>
          <w:rFonts w:eastAsia="宋体"/>
          <w:color w:val="000000"/>
          <w:sz w:val="24"/>
          <w:szCs w:val="24"/>
        </w:rPr>
        <w:t>在第502（a）条中，HCEI被定义为</w:t>
      </w:r>
      <w:r>
        <w:rPr>
          <w:rFonts w:ascii="宋体" w:hAnsi="宋体" w:eastAsia="宋体"/>
          <w:color w:val="000000"/>
          <w:sz w:val="24"/>
          <w:szCs w:val="24"/>
        </w:rPr>
        <w:t>“</w:t>
      </w:r>
      <w:r>
        <w:rPr>
          <w:rFonts w:eastAsia="宋体"/>
          <w:color w:val="000000"/>
          <w:sz w:val="24"/>
          <w:szCs w:val="24"/>
        </w:rPr>
        <w:t>识别、衡量或描述药品使用经济后果的任何分析（包括临床数据、输入、临床或其他假设、方法、结果和构成分析的其他组成部分），这些经济后果可能基于所述健康结局的单独或综合临床后果。此类分析可以与</w:t>
      </w:r>
      <w:r>
        <w:rPr>
          <w:rFonts w:hint="eastAsia" w:eastAsia="宋体"/>
          <w:color w:val="000000"/>
          <w:sz w:val="24"/>
          <w:szCs w:val="24"/>
        </w:rPr>
        <w:t>使用</w:t>
      </w:r>
      <w:r>
        <w:rPr>
          <w:rFonts w:eastAsia="宋体"/>
          <w:color w:val="000000"/>
          <w:sz w:val="24"/>
          <w:szCs w:val="24"/>
        </w:rPr>
        <w:t>另一种药品、</w:t>
      </w:r>
      <w:r>
        <w:rPr>
          <w:rFonts w:hint="eastAsia" w:eastAsia="宋体"/>
          <w:color w:val="000000"/>
          <w:sz w:val="24"/>
          <w:szCs w:val="24"/>
        </w:rPr>
        <w:t>进行</w:t>
      </w:r>
      <w:r>
        <w:rPr>
          <w:rFonts w:eastAsia="宋体"/>
          <w:color w:val="000000"/>
          <w:sz w:val="24"/>
          <w:szCs w:val="24"/>
        </w:rPr>
        <w:t>另一种医疗干预或不</w:t>
      </w:r>
      <w:r>
        <w:rPr>
          <w:rFonts w:hint="eastAsia" w:eastAsia="宋体"/>
          <w:color w:val="000000"/>
          <w:sz w:val="24"/>
          <w:szCs w:val="24"/>
        </w:rPr>
        <w:t>做</w:t>
      </w:r>
      <w:r>
        <w:rPr>
          <w:rFonts w:eastAsia="宋体"/>
          <w:color w:val="000000"/>
          <w:sz w:val="24"/>
          <w:szCs w:val="24"/>
        </w:rPr>
        <w:t>干预进行比较。</w:t>
      </w:r>
      <w:r>
        <w:rPr>
          <w:rFonts w:ascii="宋体" w:hAnsi="宋体" w:eastAsia="宋体"/>
          <w:color w:val="000000"/>
          <w:sz w:val="24"/>
          <w:szCs w:val="24"/>
        </w:rPr>
        <w:t>”</w:t>
      </w:r>
      <w:r>
        <w:rPr>
          <w:rStyle w:val="17"/>
          <w:rFonts w:eastAsia="宋体"/>
          <w:color w:val="000000"/>
          <w:sz w:val="24"/>
          <w:szCs w:val="24"/>
        </w:rPr>
        <w:footnoteReference w:id="11"/>
      </w:r>
      <w:r>
        <w:rPr>
          <w:rFonts w:eastAsia="宋体"/>
          <w:color w:val="000000"/>
          <w:sz w:val="24"/>
          <w:szCs w:val="24"/>
        </w:rPr>
        <w:t xml:space="preserve"> HCEI涉及与治疗疾病（或疾病的特定方面）或预防或诊断疾病的临床结局相关的经济后果（包括但不限于货币成本或资源利用）。</w:t>
      </w:r>
      <w:r>
        <w:rPr>
          <w:rStyle w:val="17"/>
          <w:rFonts w:eastAsia="宋体"/>
          <w:color w:val="000000"/>
          <w:sz w:val="24"/>
          <w:szCs w:val="24"/>
        </w:rPr>
        <w:footnoteReference w:id="12"/>
      </w:r>
      <w:r>
        <w:rPr>
          <w:rFonts w:eastAsia="宋体"/>
          <w:color w:val="000000"/>
          <w:sz w:val="24"/>
          <w:szCs w:val="24"/>
        </w:rPr>
        <w:t xml:space="preserve"> HCEI可以包括对一种药品的临床</w:t>
      </w:r>
      <w:r>
        <w:rPr>
          <w:rFonts w:hint="eastAsia" w:eastAsia="宋体"/>
          <w:color w:val="000000"/>
          <w:sz w:val="24"/>
          <w:szCs w:val="24"/>
        </w:rPr>
        <w:t>效果</w:t>
      </w:r>
      <w:r>
        <w:rPr>
          <w:rFonts w:eastAsia="宋体"/>
          <w:color w:val="000000"/>
          <w:sz w:val="24"/>
          <w:szCs w:val="24"/>
        </w:rPr>
        <w:t>与替代选择（包括使用另一种药品）或不干预的经济后果的比较分析。</w:t>
      </w:r>
    </w:p>
    <w:p w14:paraId="65E923D3">
      <w:pPr>
        <w:snapToGrid w:val="0"/>
        <w:jc w:val="both"/>
        <w:rPr>
          <w:rFonts w:eastAsia="宋体"/>
          <w:sz w:val="21"/>
          <w:szCs w:val="21"/>
        </w:rPr>
      </w:pPr>
    </w:p>
    <w:p w14:paraId="3C1042F9">
      <w:pPr>
        <w:tabs>
          <w:tab w:val="left" w:pos="178"/>
        </w:tabs>
        <w:snapToGrid w:val="0"/>
        <w:jc w:val="both"/>
        <w:rPr>
          <w:rFonts w:eastAsia="宋体"/>
          <w:color w:val="000000"/>
          <w:sz w:val="21"/>
          <w:szCs w:val="21"/>
          <w:vertAlign w:val="superscript"/>
        </w:rPr>
      </w:pPr>
    </w:p>
    <w:p w14:paraId="56E624D2">
      <w:pPr>
        <w:tabs>
          <w:tab w:val="left" w:pos="178"/>
        </w:tabs>
        <w:snapToGrid w:val="0"/>
        <w:jc w:val="both"/>
        <w:rPr>
          <w:rFonts w:eastAsia="宋体"/>
          <w:sz w:val="21"/>
          <w:szCs w:val="21"/>
        </w:rPr>
      </w:pPr>
    </w:p>
    <w:p w14:paraId="561F6860">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DF40DC9">
      <w:pPr>
        <w:snapToGrid w:val="0"/>
        <w:ind w:left="1276" w:leftChars="638"/>
        <w:jc w:val="both"/>
        <w:rPr>
          <w:rFonts w:eastAsia="宋体"/>
          <w:sz w:val="24"/>
          <w:szCs w:val="24"/>
        </w:rPr>
      </w:pPr>
      <w:r>
        <w:rPr>
          <w:rFonts w:eastAsia="宋体"/>
          <w:color w:val="000000"/>
          <w:sz w:val="24"/>
          <w:szCs w:val="24"/>
        </w:rPr>
        <w:t>HCEI能够以多种方式提供，包括但不限于证据档案、同行评议期刊出版物的再版、包含模型的软件包（带用户手册）、预算影响模型、幻灯片演示文稿或医疗费用支付方手册。</w:t>
      </w:r>
    </w:p>
    <w:p w14:paraId="66C18280">
      <w:pPr>
        <w:pStyle w:val="4"/>
        <w:spacing w:before="240" w:after="240"/>
        <w:ind w:left="1416" w:hanging="1132"/>
        <w:rPr>
          <w:sz w:val="24"/>
          <w:szCs w:val="24"/>
        </w:rPr>
      </w:pPr>
      <w:r>
        <w:rPr>
          <w:sz w:val="24"/>
          <w:szCs w:val="24"/>
        </w:rPr>
        <w:t>Q.A.2.</w:t>
      </w:r>
      <w:r>
        <w:rPr>
          <w:sz w:val="24"/>
          <w:szCs w:val="24"/>
        </w:rPr>
        <w:tab/>
      </w:r>
      <w:r>
        <w:rPr>
          <w:rFonts w:hint="eastAsia"/>
          <w:sz w:val="24"/>
          <w:szCs w:val="24"/>
        </w:rPr>
        <w:t>根据</w:t>
      </w:r>
      <w:r>
        <w:rPr>
          <w:sz w:val="24"/>
          <w:szCs w:val="24"/>
        </w:rPr>
        <w:t>第502（a）条，传达有关获批药品的HCEI的适当受众范围是什么？</w:t>
      </w:r>
    </w:p>
    <w:p w14:paraId="28B86854">
      <w:pPr>
        <w:snapToGrid w:val="0"/>
        <w:ind w:left="1416" w:leftChars="142" w:hanging="1132" w:hangingChars="472"/>
        <w:jc w:val="both"/>
        <w:rPr>
          <w:rFonts w:eastAsia="宋体"/>
          <w:sz w:val="24"/>
          <w:szCs w:val="24"/>
        </w:rPr>
      </w:pPr>
      <w:r>
        <w:rPr>
          <w:rFonts w:eastAsia="宋体"/>
          <w:color w:val="000000"/>
          <w:sz w:val="24"/>
          <w:szCs w:val="24"/>
        </w:rPr>
        <w:t>A.A.2.</w:t>
      </w:r>
      <w:r>
        <w:rPr>
          <w:rFonts w:eastAsia="宋体"/>
          <w:color w:val="000000"/>
          <w:sz w:val="24"/>
          <w:szCs w:val="24"/>
        </w:rPr>
        <w:tab/>
      </w:r>
      <w:r>
        <w:rPr>
          <w:rFonts w:eastAsia="宋体"/>
          <w:color w:val="000000"/>
          <w:sz w:val="24"/>
          <w:szCs w:val="24"/>
        </w:rPr>
        <w:t>第502（a）条规定，HCEI可以提供给</w:t>
      </w:r>
      <w:r>
        <w:rPr>
          <w:rFonts w:ascii="宋体" w:hAnsi="宋体" w:eastAsia="宋体"/>
          <w:color w:val="000000"/>
          <w:sz w:val="24"/>
          <w:szCs w:val="24"/>
        </w:rPr>
        <w:t>“</w:t>
      </w:r>
      <w:r>
        <w:rPr>
          <w:rFonts w:eastAsia="宋体"/>
          <w:color w:val="000000"/>
          <w:sz w:val="24"/>
          <w:szCs w:val="24"/>
        </w:rPr>
        <w:t>在医疗经济分析领域具有知识和专业技能的医疗费用支付方、处方集委员会或其他类似职能机构（履行其选择承保或报销药品的责任）。</w:t>
      </w:r>
      <w:r>
        <w:rPr>
          <w:rFonts w:ascii="宋体" w:hAnsi="宋体" w:eastAsia="宋体"/>
          <w:color w:val="000000"/>
          <w:sz w:val="24"/>
          <w:szCs w:val="24"/>
        </w:rPr>
        <w:t>”</w:t>
      </w:r>
      <w:r>
        <w:rPr>
          <w:rStyle w:val="17"/>
          <w:rFonts w:eastAsia="宋体"/>
          <w:color w:val="000000"/>
          <w:sz w:val="24"/>
          <w:szCs w:val="24"/>
        </w:rPr>
        <w:footnoteReference w:id="13"/>
      </w:r>
    </w:p>
    <w:p w14:paraId="458733B6">
      <w:pPr>
        <w:snapToGrid w:val="0"/>
        <w:ind w:left="1276" w:leftChars="638"/>
        <w:jc w:val="both"/>
        <w:rPr>
          <w:rFonts w:eastAsia="宋体"/>
          <w:color w:val="000000"/>
          <w:sz w:val="24"/>
          <w:szCs w:val="24"/>
        </w:rPr>
      </w:pPr>
    </w:p>
    <w:p w14:paraId="6ED794BF">
      <w:pPr>
        <w:snapToGrid w:val="0"/>
        <w:ind w:left="1276" w:leftChars="638"/>
        <w:jc w:val="both"/>
        <w:rPr>
          <w:rFonts w:eastAsia="宋体"/>
          <w:color w:val="000000"/>
          <w:sz w:val="24"/>
          <w:szCs w:val="24"/>
        </w:rPr>
      </w:pPr>
      <w:r>
        <w:rPr>
          <w:rFonts w:eastAsia="宋体"/>
          <w:color w:val="000000"/>
          <w:sz w:val="24"/>
          <w:szCs w:val="24"/>
        </w:rPr>
        <w:t>这些受众包括国营和私营部门医疗费用支付方、</w:t>
      </w:r>
      <w:r>
        <w:rPr>
          <w:rFonts w:eastAsia="宋体"/>
          <w:color w:val="000000"/>
          <w:sz w:val="24"/>
          <w:szCs w:val="24"/>
          <w:vertAlign w:val="superscript"/>
        </w:rPr>
        <w:t xml:space="preserve"> </w:t>
      </w:r>
      <w:r>
        <w:rPr>
          <w:rStyle w:val="17"/>
          <w:rFonts w:eastAsia="宋体"/>
          <w:color w:val="000000"/>
          <w:sz w:val="24"/>
          <w:szCs w:val="24"/>
        </w:rPr>
        <w:footnoteReference w:id="14"/>
      </w:r>
      <w:r>
        <w:rPr>
          <w:rFonts w:eastAsia="宋体"/>
          <w:color w:val="000000"/>
          <w:sz w:val="24"/>
          <w:szCs w:val="24"/>
        </w:rPr>
        <w:t xml:space="preserve"> 处方集委员会</w:t>
      </w:r>
      <w:r>
        <w:rPr>
          <w:rStyle w:val="17"/>
          <w:rFonts w:eastAsia="宋体"/>
          <w:color w:val="000000"/>
          <w:sz w:val="24"/>
          <w:szCs w:val="24"/>
        </w:rPr>
        <w:footnoteReference w:id="15"/>
      </w:r>
      <w:r>
        <w:rPr>
          <w:rFonts w:eastAsia="宋体"/>
          <w:color w:val="000000"/>
          <w:sz w:val="24"/>
          <w:szCs w:val="24"/>
        </w:rPr>
        <w:t>（例如，药剂学和治疗学委员会）、药品信息中心、技术评估委员会、药品福利管理者、第三方管理人员以及代表医疗保健机构</w:t>
      </w:r>
      <w:r>
        <w:rPr>
          <w:rFonts w:eastAsia="宋体"/>
          <w:color w:val="000000"/>
          <w:sz w:val="24"/>
          <w:szCs w:val="24"/>
          <w:vertAlign w:val="superscript"/>
        </w:rPr>
        <w:t xml:space="preserve"> </w:t>
      </w:r>
      <w:r>
        <w:rPr>
          <w:rStyle w:val="17"/>
          <w:rFonts w:eastAsia="宋体"/>
          <w:color w:val="000000"/>
          <w:sz w:val="24"/>
          <w:szCs w:val="24"/>
        </w:rPr>
        <w:footnoteReference w:id="16"/>
      </w:r>
      <w:r>
        <w:rPr>
          <w:rFonts w:eastAsia="宋体"/>
          <w:color w:val="000000"/>
          <w:sz w:val="24"/>
          <w:szCs w:val="24"/>
        </w:rPr>
        <w:t xml:space="preserve"> 审评科学和/或技术评估以基于人群做出药品或器械的选择或获取、处方管理和/或承保和报销决定。</w:t>
      </w:r>
      <w:r>
        <w:rPr>
          <w:rStyle w:val="17"/>
          <w:rFonts w:eastAsia="宋体"/>
          <w:color w:val="000000"/>
          <w:sz w:val="24"/>
          <w:szCs w:val="24"/>
        </w:rPr>
        <w:footnoteReference w:id="17"/>
      </w:r>
    </w:p>
    <w:p w14:paraId="5F72561A">
      <w:pPr>
        <w:snapToGrid w:val="0"/>
        <w:ind w:left="1276" w:leftChars="638"/>
        <w:jc w:val="both"/>
        <w:rPr>
          <w:rFonts w:eastAsia="宋体"/>
          <w:sz w:val="24"/>
          <w:szCs w:val="24"/>
        </w:rPr>
      </w:pPr>
    </w:p>
    <w:p w14:paraId="405E00E2">
      <w:pPr>
        <w:snapToGrid w:val="0"/>
        <w:ind w:left="1276" w:leftChars="638"/>
        <w:jc w:val="both"/>
        <w:rPr>
          <w:rFonts w:eastAsia="宋体"/>
          <w:sz w:val="24"/>
          <w:szCs w:val="24"/>
        </w:rPr>
      </w:pPr>
      <w:r>
        <w:rPr>
          <w:rFonts w:eastAsia="宋体"/>
          <w:color w:val="000000"/>
          <w:sz w:val="24"/>
          <w:szCs w:val="24"/>
        </w:rPr>
        <w:t>成立这些机构是为了通过一个</w:t>
      </w:r>
      <w:r>
        <w:rPr>
          <w:rFonts w:ascii="宋体" w:hAnsi="宋体" w:eastAsia="宋体"/>
          <w:color w:val="000000"/>
          <w:sz w:val="24"/>
          <w:szCs w:val="24"/>
        </w:rPr>
        <w:t>“</w:t>
      </w:r>
      <w:r>
        <w:rPr>
          <w:rFonts w:eastAsia="宋体"/>
          <w:color w:val="000000"/>
          <w:sz w:val="24"/>
          <w:szCs w:val="24"/>
        </w:rPr>
        <w:t>审议过程</w:t>
      </w:r>
      <w:r>
        <w:rPr>
          <w:rFonts w:ascii="宋体" w:hAnsi="宋体" w:eastAsia="宋体"/>
          <w:color w:val="000000"/>
          <w:sz w:val="24"/>
          <w:szCs w:val="24"/>
        </w:rPr>
        <w:t>”</w:t>
      </w:r>
      <w:r>
        <w:rPr>
          <w:rFonts w:eastAsia="宋体"/>
          <w:color w:val="000000"/>
          <w:sz w:val="24"/>
          <w:szCs w:val="24"/>
        </w:rPr>
        <w:t>来考虑HCEI（和其他类型的信息），并且本身应拥有解释HCEI所需的适当范围的</w:t>
      </w:r>
      <w:r>
        <w:rPr>
          <w:rFonts w:ascii="宋体" w:hAnsi="宋体" w:eastAsia="宋体"/>
          <w:color w:val="000000"/>
          <w:sz w:val="24"/>
          <w:szCs w:val="24"/>
        </w:rPr>
        <w:t>“</w:t>
      </w:r>
      <w:r>
        <w:rPr>
          <w:rFonts w:eastAsia="宋体"/>
          <w:color w:val="000000"/>
          <w:sz w:val="24"/>
          <w:szCs w:val="24"/>
        </w:rPr>
        <w:t>医疗经济分析领域的知识和专业技能</w:t>
      </w:r>
      <w:r>
        <w:rPr>
          <w:rFonts w:ascii="宋体" w:hAnsi="宋体" w:eastAsia="宋体"/>
          <w:color w:val="000000"/>
          <w:sz w:val="24"/>
          <w:szCs w:val="24"/>
        </w:rPr>
        <w:t>”</w:t>
      </w:r>
      <w:r>
        <w:rPr>
          <w:rFonts w:eastAsia="宋体"/>
          <w:color w:val="000000"/>
          <w:sz w:val="24"/>
          <w:szCs w:val="24"/>
        </w:rPr>
        <w:t>，以便</w:t>
      </w:r>
      <w:r>
        <w:rPr>
          <w:rFonts w:hint="eastAsia" w:eastAsia="宋体"/>
          <w:color w:val="000000"/>
          <w:sz w:val="24"/>
          <w:szCs w:val="24"/>
        </w:rPr>
        <w:t>为</w:t>
      </w:r>
      <w:r>
        <w:rPr>
          <w:rFonts w:eastAsia="宋体"/>
          <w:color w:val="000000"/>
          <w:sz w:val="24"/>
          <w:szCs w:val="24"/>
        </w:rPr>
        <w:t>基于人群的决策过程</w:t>
      </w:r>
      <w:r>
        <w:rPr>
          <w:rFonts w:hint="eastAsia" w:eastAsia="宋体"/>
          <w:color w:val="000000"/>
          <w:sz w:val="24"/>
          <w:szCs w:val="24"/>
        </w:rPr>
        <w:t>提供更多信息</w:t>
      </w:r>
      <w:r>
        <w:rPr>
          <w:rFonts w:eastAsia="宋体"/>
          <w:color w:val="000000"/>
          <w:sz w:val="24"/>
          <w:szCs w:val="24"/>
        </w:rPr>
        <w:t>。</w:t>
      </w:r>
      <w:r>
        <w:rPr>
          <w:rStyle w:val="17"/>
          <w:rFonts w:eastAsia="宋体"/>
          <w:color w:val="000000"/>
          <w:sz w:val="24"/>
          <w:szCs w:val="24"/>
        </w:rPr>
        <w:footnoteReference w:id="18"/>
      </w:r>
      <w:r>
        <w:rPr>
          <w:rFonts w:eastAsia="宋体"/>
          <w:color w:val="000000"/>
          <w:sz w:val="24"/>
          <w:szCs w:val="24"/>
          <w:vertAlign w:val="superscript"/>
        </w:rPr>
        <w:t>,</w:t>
      </w:r>
      <w:r>
        <w:rPr>
          <w:rStyle w:val="17"/>
          <w:rFonts w:eastAsia="宋体"/>
          <w:color w:val="000000"/>
          <w:sz w:val="24"/>
          <w:szCs w:val="24"/>
        </w:rPr>
        <w:footnoteReference w:id="19"/>
      </w:r>
      <w:r>
        <w:rPr>
          <w:rFonts w:eastAsia="宋体"/>
          <w:color w:val="000000"/>
          <w:sz w:val="24"/>
          <w:szCs w:val="24"/>
        </w:rPr>
        <w:t xml:space="preserve"> 这一领域的专业知识对于理解和评价医疗经济分析及其局限性至关重要。</w:t>
      </w:r>
    </w:p>
    <w:p w14:paraId="7154A4FB">
      <w:pPr>
        <w:tabs>
          <w:tab w:val="left" w:pos="178"/>
        </w:tabs>
        <w:snapToGrid w:val="0"/>
        <w:jc w:val="both"/>
        <w:rPr>
          <w:rFonts w:eastAsia="宋体"/>
          <w:color w:val="000000"/>
          <w:sz w:val="21"/>
          <w:szCs w:val="21"/>
          <w:vertAlign w:val="superscript"/>
        </w:rPr>
      </w:pPr>
    </w:p>
    <w:p w14:paraId="574A2AF1">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35E3FD5">
      <w:pPr>
        <w:snapToGrid w:val="0"/>
        <w:ind w:left="1276" w:leftChars="638"/>
        <w:jc w:val="both"/>
        <w:rPr>
          <w:rFonts w:eastAsia="宋体"/>
          <w:sz w:val="24"/>
          <w:szCs w:val="24"/>
        </w:rPr>
      </w:pPr>
      <w:r>
        <w:rPr>
          <w:rFonts w:eastAsia="宋体"/>
          <w:color w:val="000000"/>
          <w:sz w:val="24"/>
          <w:szCs w:val="24"/>
        </w:rPr>
        <w:t>由于第502（a）条规定只向特定受众传达HCEI，故本指南的建议不包括向其他受众传达HCEI。</w:t>
      </w:r>
      <w:r>
        <w:rPr>
          <w:rStyle w:val="17"/>
          <w:rFonts w:eastAsia="宋体"/>
          <w:color w:val="000000"/>
          <w:sz w:val="24"/>
          <w:szCs w:val="24"/>
        </w:rPr>
        <w:footnoteReference w:id="20"/>
      </w:r>
      <w:r>
        <w:rPr>
          <w:rFonts w:eastAsia="宋体"/>
          <w:color w:val="000000"/>
          <w:sz w:val="24"/>
          <w:szCs w:val="24"/>
        </w:rPr>
        <w:t xml:space="preserve"> 因此，本指南不适用于向其他受众传达HCEI，例如做出个体患者处方决定的医护人员或用户（例如，通过公共网站向开处方者或用户传达）。这并不意味着，具有多种职务的个人，如在处方集委员会任职并为个体患者提供护理的专业医护人员，在履行其为医疗费用支付方、处方集委员会或类似职能机构选择承保或报销药品的专业责任时，不属于本指南的适当受众的范围。</w:t>
      </w:r>
    </w:p>
    <w:p w14:paraId="61C3B7E0">
      <w:pPr>
        <w:pStyle w:val="4"/>
        <w:spacing w:before="240" w:after="240"/>
        <w:ind w:left="1416" w:hanging="1132"/>
        <w:rPr>
          <w:sz w:val="24"/>
          <w:szCs w:val="24"/>
        </w:rPr>
      </w:pPr>
      <w:r>
        <w:rPr>
          <w:sz w:val="24"/>
          <w:szCs w:val="24"/>
        </w:rPr>
        <w:t>Q.A.3.</w:t>
      </w:r>
      <w:r>
        <w:rPr>
          <w:sz w:val="24"/>
          <w:szCs w:val="24"/>
        </w:rPr>
        <w:tab/>
      </w:r>
      <w:r>
        <w:rPr>
          <w:sz w:val="24"/>
          <w:szCs w:val="24"/>
        </w:rPr>
        <w:t>FDA预期如何实施根据第502（a）条传达的HCEI指南？</w:t>
      </w:r>
    </w:p>
    <w:p w14:paraId="2C7202FD">
      <w:pPr>
        <w:snapToGrid w:val="0"/>
        <w:ind w:left="1416" w:leftChars="142" w:hanging="1132" w:hangingChars="472"/>
        <w:jc w:val="both"/>
        <w:rPr>
          <w:rFonts w:eastAsia="宋体"/>
          <w:sz w:val="24"/>
          <w:szCs w:val="24"/>
        </w:rPr>
      </w:pPr>
      <w:r>
        <w:rPr>
          <w:rFonts w:eastAsia="宋体"/>
          <w:color w:val="000000"/>
          <w:sz w:val="24"/>
          <w:szCs w:val="24"/>
        </w:rPr>
        <w:t>A.A.3.</w:t>
      </w:r>
      <w:r>
        <w:rPr>
          <w:rFonts w:eastAsia="宋体"/>
          <w:color w:val="000000"/>
          <w:sz w:val="24"/>
          <w:szCs w:val="24"/>
        </w:rPr>
        <w:tab/>
      </w:r>
      <w:r>
        <w:rPr>
          <w:rFonts w:eastAsia="宋体"/>
          <w:color w:val="000000"/>
          <w:sz w:val="24"/>
          <w:szCs w:val="24"/>
        </w:rPr>
        <w:t>如果公司向适当的受众传达属于第502（a）条范围内的HCEI（即与获批适应症相关且基于充分而可靠的科学证据（CARSE）的HCEI，符合本指南中所描述的各个要素），FDA预期并不认为此类信息虚假或</w:t>
      </w:r>
      <w:r>
        <w:rPr>
          <w:rFonts w:hint="eastAsia" w:eastAsia="宋体"/>
          <w:color w:val="000000"/>
          <w:sz w:val="24"/>
          <w:szCs w:val="24"/>
        </w:rPr>
        <w:t>具有</w:t>
      </w:r>
      <w:r>
        <w:rPr>
          <w:rFonts w:eastAsia="宋体"/>
          <w:color w:val="000000"/>
          <w:sz w:val="24"/>
          <w:szCs w:val="24"/>
        </w:rPr>
        <w:t>误导性。HCEI应明确突出地介绍本部分Q.A.7/A.A.7和Q.A.8/A.8中讨论的信息，包括研究设计和方法、外推性、局限性、灵敏度分析以及与提供平衡完整呈现相关的信息。如Q.A.7/A.7的讨论内容所示，如果HCEI包括与FDA批准的标签的实质性差异（例如，新的或增加的风险、不同的给药/使用方案、不同的终点、更有限/更有针对性的患者人群），其</w:t>
      </w:r>
      <w:r>
        <w:rPr>
          <w:rFonts w:eastAsia="宋体"/>
          <w:color w:val="000000"/>
          <w:sz w:val="24"/>
          <w:szCs w:val="24"/>
          <w:u w:val="single"/>
        </w:rPr>
        <w:t>必须</w:t>
      </w:r>
      <w:r>
        <w:rPr>
          <w:rFonts w:eastAsia="宋体"/>
          <w:color w:val="000000"/>
          <w:sz w:val="24"/>
          <w:szCs w:val="24"/>
        </w:rPr>
        <w:t>提供</w:t>
      </w:r>
      <w:r>
        <w:rPr>
          <w:rFonts w:ascii="宋体" w:hAnsi="宋体" w:eastAsia="宋体"/>
          <w:color w:val="000000"/>
          <w:sz w:val="24"/>
          <w:szCs w:val="24"/>
        </w:rPr>
        <w:t>“</w:t>
      </w:r>
      <w:r>
        <w:rPr>
          <w:rFonts w:eastAsia="宋体"/>
          <w:color w:val="000000"/>
          <w:sz w:val="24"/>
          <w:szCs w:val="24"/>
        </w:rPr>
        <w:t>一份明确且突出的声明，描述医疗保健经济学信息与针对该药品批准的标签之间的任何实质性差异，</w:t>
      </w:r>
      <w:r>
        <w:rPr>
          <w:rFonts w:ascii="宋体" w:hAnsi="宋体" w:eastAsia="宋体"/>
          <w:color w:val="000000"/>
          <w:sz w:val="24"/>
          <w:szCs w:val="24"/>
        </w:rPr>
        <w:t>”</w:t>
      </w:r>
      <w:r>
        <w:rPr>
          <w:rStyle w:val="17"/>
          <w:rFonts w:eastAsia="宋体"/>
          <w:color w:val="000000"/>
          <w:sz w:val="24"/>
          <w:szCs w:val="24"/>
        </w:rPr>
        <w:footnoteReference w:id="21"/>
      </w:r>
      <w:r>
        <w:rPr>
          <w:rFonts w:eastAsia="宋体"/>
          <w:color w:val="000000"/>
          <w:sz w:val="24"/>
          <w:szCs w:val="24"/>
        </w:rPr>
        <w:t>。</w:t>
      </w:r>
    </w:p>
    <w:p w14:paraId="2CE96BFE">
      <w:pPr>
        <w:snapToGrid w:val="0"/>
        <w:ind w:left="1276" w:leftChars="638"/>
        <w:jc w:val="both"/>
        <w:rPr>
          <w:rFonts w:eastAsia="宋体"/>
          <w:color w:val="000000"/>
          <w:sz w:val="24"/>
          <w:szCs w:val="24"/>
        </w:rPr>
      </w:pPr>
    </w:p>
    <w:p w14:paraId="11E0BF13">
      <w:pPr>
        <w:snapToGrid w:val="0"/>
        <w:ind w:left="1276" w:leftChars="638"/>
        <w:jc w:val="both"/>
        <w:rPr>
          <w:rFonts w:eastAsia="宋体"/>
          <w:sz w:val="24"/>
          <w:szCs w:val="24"/>
        </w:rPr>
      </w:pPr>
      <w:r>
        <w:rPr>
          <w:rFonts w:eastAsia="宋体"/>
          <w:color w:val="000000"/>
          <w:sz w:val="24"/>
          <w:szCs w:val="24"/>
        </w:rPr>
        <w:t xml:space="preserve">此外， </w:t>
      </w:r>
      <w:r>
        <w:rPr>
          <w:rFonts w:hint="eastAsia" w:eastAsia="宋体"/>
          <w:color w:val="000000"/>
          <w:sz w:val="24"/>
          <w:szCs w:val="24"/>
        </w:rPr>
        <w:t>FDA并不预期将和本指南一致传播的HCEI作为新预期用途的证据。</w:t>
      </w:r>
    </w:p>
    <w:p w14:paraId="760F0089">
      <w:pPr>
        <w:tabs>
          <w:tab w:val="left" w:pos="178"/>
        </w:tabs>
        <w:snapToGrid w:val="0"/>
        <w:jc w:val="both"/>
        <w:rPr>
          <w:rFonts w:eastAsia="宋体"/>
          <w:color w:val="000000"/>
          <w:sz w:val="21"/>
          <w:szCs w:val="21"/>
          <w:vertAlign w:val="superscript"/>
        </w:rPr>
      </w:pPr>
    </w:p>
    <w:p w14:paraId="3894704C">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1A4D612">
      <w:pPr>
        <w:pStyle w:val="4"/>
        <w:spacing w:before="240" w:after="240"/>
        <w:ind w:left="1416" w:hanging="1132"/>
        <w:rPr>
          <w:sz w:val="24"/>
          <w:szCs w:val="24"/>
        </w:rPr>
      </w:pPr>
      <w:r>
        <w:rPr>
          <w:sz w:val="24"/>
          <w:szCs w:val="24"/>
        </w:rPr>
        <w:t>Q.A.4.</w:t>
      </w:r>
      <w:r>
        <w:rPr>
          <w:sz w:val="24"/>
          <w:szCs w:val="24"/>
        </w:rPr>
        <w:tab/>
      </w:r>
      <w:r>
        <w:rPr>
          <w:sz w:val="24"/>
          <w:szCs w:val="24"/>
        </w:rPr>
        <w:t>第502（a）条规定，除其他事项外，HCEI不应被视为具有虚假性或误导性，除非其</w:t>
      </w:r>
      <w:r>
        <w:rPr>
          <w:rFonts w:ascii="宋体" w:hAnsi="宋体"/>
          <w:sz w:val="24"/>
          <w:szCs w:val="24"/>
        </w:rPr>
        <w:t>“</w:t>
      </w:r>
      <w:r>
        <w:rPr>
          <w:sz w:val="24"/>
          <w:szCs w:val="24"/>
        </w:rPr>
        <w:t>与一种[获批]适应症有关</w:t>
      </w:r>
      <w:r>
        <w:rPr>
          <w:rFonts w:ascii="宋体" w:hAnsi="宋体"/>
          <w:sz w:val="24"/>
          <w:szCs w:val="24"/>
        </w:rPr>
        <w:t>”</w:t>
      </w:r>
      <w:r>
        <w:rPr>
          <w:sz w:val="24"/>
          <w:szCs w:val="24"/>
        </w:rPr>
        <w:t>。</w:t>
      </w:r>
      <w:r>
        <w:rPr>
          <w:rStyle w:val="17"/>
          <w:b w:val="0"/>
          <w:bCs w:val="0"/>
          <w:i w:val="0"/>
          <w:iCs w:val="0"/>
          <w:sz w:val="24"/>
          <w:szCs w:val="24"/>
        </w:rPr>
        <w:footnoteReference w:id="22"/>
      </w:r>
      <w:r>
        <w:rPr>
          <w:sz w:val="24"/>
          <w:szCs w:val="24"/>
        </w:rPr>
        <w:t xml:space="preserve"> FDA认为哪些类型的信息与获批适应症有关？</w:t>
      </w:r>
    </w:p>
    <w:p w14:paraId="1BB54ECD">
      <w:pPr>
        <w:snapToGrid w:val="0"/>
        <w:ind w:left="1416" w:leftChars="142" w:hanging="1132" w:hangingChars="472"/>
        <w:jc w:val="both"/>
        <w:rPr>
          <w:rFonts w:eastAsia="宋体"/>
          <w:sz w:val="24"/>
          <w:szCs w:val="24"/>
        </w:rPr>
      </w:pPr>
      <w:r>
        <w:rPr>
          <w:rFonts w:eastAsia="宋体"/>
          <w:color w:val="000000"/>
          <w:sz w:val="24"/>
          <w:szCs w:val="24"/>
        </w:rPr>
        <w:t>A.A.4.</w:t>
      </w:r>
      <w:r>
        <w:rPr>
          <w:rFonts w:eastAsia="宋体"/>
          <w:color w:val="000000"/>
          <w:sz w:val="24"/>
          <w:szCs w:val="24"/>
        </w:rPr>
        <w:tab/>
      </w:r>
      <w:r>
        <w:rPr>
          <w:rFonts w:eastAsia="宋体"/>
          <w:color w:val="000000"/>
          <w:sz w:val="24"/>
          <w:szCs w:val="24"/>
        </w:rPr>
        <w:t>若要被认为与获批适应症有关，那么HCEI分析应与FDA批准的标签中药品所针对的患者人群中的疾病或状况、疾病或状况的表现或与疾病或状况相关的症状有关。</w:t>
      </w:r>
    </w:p>
    <w:p w14:paraId="159CD548">
      <w:pPr>
        <w:snapToGrid w:val="0"/>
        <w:ind w:left="1276" w:leftChars="638"/>
        <w:jc w:val="both"/>
        <w:rPr>
          <w:rFonts w:eastAsia="宋体"/>
          <w:color w:val="000000"/>
          <w:sz w:val="24"/>
          <w:szCs w:val="24"/>
        </w:rPr>
      </w:pPr>
    </w:p>
    <w:p w14:paraId="3CAEF795">
      <w:pPr>
        <w:snapToGrid w:val="0"/>
        <w:ind w:left="1276" w:leftChars="638"/>
        <w:jc w:val="both"/>
        <w:rPr>
          <w:rFonts w:eastAsia="宋体"/>
          <w:color w:val="000000"/>
          <w:sz w:val="24"/>
          <w:szCs w:val="24"/>
        </w:rPr>
      </w:pPr>
      <w:r>
        <w:rPr>
          <w:rFonts w:eastAsia="宋体"/>
          <w:color w:val="000000"/>
          <w:sz w:val="24"/>
          <w:szCs w:val="24"/>
        </w:rPr>
        <w:t>下表提供了FDA认为可以被认为与批准的药品适应症相关的HCEI分析示例，</w:t>
      </w:r>
      <w:r>
        <w:rPr>
          <w:rFonts w:hint="eastAsia" w:eastAsia="宋体"/>
          <w:color w:val="000000"/>
          <w:sz w:val="24"/>
          <w:szCs w:val="24"/>
        </w:rPr>
        <w:t>但</w:t>
      </w:r>
      <w:r>
        <w:rPr>
          <w:rFonts w:eastAsia="宋体"/>
          <w:color w:val="000000"/>
          <w:sz w:val="24"/>
          <w:szCs w:val="24"/>
        </w:rPr>
        <w:t>包含的信息并不在FDA批准的标签所显示的信息中，而且在某些方面可能与FDA批准的标签中提供的信息存在差异。这些示例仅用于说明，并不具有全面性或限制性。</w:t>
      </w:r>
    </w:p>
    <w:p w14:paraId="1F5CF376">
      <w:pPr>
        <w:snapToGrid w:val="0"/>
        <w:ind w:left="1276" w:leftChars="638"/>
        <w:jc w:val="both"/>
        <w:rPr>
          <w:rFonts w:eastAsia="宋体"/>
          <w:sz w:val="24"/>
          <w:szCs w:val="24"/>
        </w:rPr>
      </w:pPr>
    </w:p>
    <w:p w14:paraId="4BF4B1A9">
      <w:pPr>
        <w:snapToGrid w:val="0"/>
        <w:ind w:left="314" w:leftChars="157"/>
        <w:jc w:val="both"/>
        <w:rPr>
          <w:rFonts w:eastAsia="宋体"/>
          <w:sz w:val="24"/>
          <w:szCs w:val="24"/>
        </w:rPr>
      </w:pPr>
      <w:r>
        <w:rPr>
          <w:rFonts w:eastAsia="宋体"/>
          <w:b/>
          <w:bCs/>
          <w:color w:val="000000"/>
          <w:sz w:val="24"/>
          <w:szCs w:val="24"/>
        </w:rPr>
        <w:t>与获批适应症相关的HCEI分析示例</w:t>
      </w:r>
    </w:p>
    <w:tbl>
      <w:tblPr>
        <w:tblStyle w:val="13"/>
        <w:tblW w:w="8760" w:type="dxa"/>
        <w:tblInd w:w="314" w:type="dxa"/>
        <w:tblLayout w:type="fixed"/>
        <w:tblCellMar>
          <w:top w:w="0" w:type="dxa"/>
          <w:left w:w="40" w:type="dxa"/>
          <w:bottom w:w="0" w:type="dxa"/>
          <w:right w:w="40" w:type="dxa"/>
        </w:tblCellMar>
      </w:tblPr>
      <w:tblGrid>
        <w:gridCol w:w="3286"/>
        <w:gridCol w:w="5474"/>
      </w:tblGrid>
      <w:tr w14:paraId="17E010D4">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8DB2E1"/>
            <w:tcMar>
              <w:left w:w="57" w:type="dxa"/>
              <w:right w:w="57" w:type="dxa"/>
            </w:tcMar>
          </w:tcPr>
          <w:p w14:paraId="0550784A">
            <w:pPr>
              <w:snapToGrid w:val="0"/>
              <w:rPr>
                <w:rFonts w:eastAsia="宋体"/>
                <w:sz w:val="21"/>
                <w:szCs w:val="21"/>
              </w:rPr>
            </w:pPr>
            <w:r>
              <w:rPr>
                <w:rFonts w:eastAsia="宋体"/>
                <w:b/>
                <w:bCs/>
                <w:color w:val="000000"/>
                <w:sz w:val="21"/>
                <w:szCs w:val="21"/>
              </w:rPr>
              <w:t>示例</w:t>
            </w:r>
          </w:p>
        </w:tc>
        <w:tc>
          <w:tcPr>
            <w:tcW w:w="5405" w:type="dxa"/>
            <w:tcBorders>
              <w:top w:val="single" w:color="auto" w:sz="6" w:space="0"/>
              <w:left w:val="single" w:color="auto" w:sz="6" w:space="0"/>
              <w:bottom w:val="single" w:color="auto" w:sz="6" w:space="0"/>
              <w:right w:val="single" w:color="auto" w:sz="6" w:space="0"/>
            </w:tcBorders>
            <w:shd w:val="clear" w:color="auto" w:fill="8DB2E1"/>
            <w:tcMar>
              <w:left w:w="57" w:type="dxa"/>
              <w:right w:w="57" w:type="dxa"/>
            </w:tcMar>
          </w:tcPr>
          <w:p w14:paraId="7B2364D4">
            <w:pPr>
              <w:snapToGrid w:val="0"/>
              <w:rPr>
                <w:rFonts w:eastAsia="宋体"/>
                <w:sz w:val="21"/>
                <w:szCs w:val="21"/>
              </w:rPr>
            </w:pPr>
            <w:r>
              <w:rPr>
                <w:rFonts w:eastAsia="宋体"/>
                <w:b/>
                <w:bCs/>
                <w:color w:val="000000"/>
                <w:sz w:val="21"/>
                <w:szCs w:val="21"/>
              </w:rPr>
              <w:t>描述</w:t>
            </w:r>
          </w:p>
        </w:tc>
      </w:tr>
      <w:tr w14:paraId="685C844A">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F25994">
            <w:pPr>
              <w:snapToGrid w:val="0"/>
              <w:rPr>
                <w:rFonts w:eastAsia="宋体"/>
                <w:sz w:val="21"/>
                <w:szCs w:val="21"/>
              </w:rPr>
            </w:pPr>
            <w:r>
              <w:rPr>
                <w:rFonts w:eastAsia="宋体"/>
                <w:b/>
                <w:bCs/>
                <w:color w:val="000000"/>
                <w:sz w:val="21"/>
                <w:szCs w:val="21"/>
              </w:rPr>
              <w:t>治疗持续时间</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633DF6">
            <w:pPr>
              <w:snapToGrid w:val="0"/>
              <w:rPr>
                <w:rFonts w:eastAsia="宋体"/>
                <w:color w:val="000000"/>
                <w:sz w:val="21"/>
                <w:szCs w:val="21"/>
              </w:rPr>
            </w:pPr>
            <w:r>
              <w:rPr>
                <w:rFonts w:eastAsia="宋体"/>
                <w:color w:val="000000"/>
                <w:sz w:val="21"/>
                <w:szCs w:val="21"/>
              </w:rPr>
              <w:t>如果批准的药品适应症没有限制药品的使用期限，HCEI分析可能会纳入关于该药品在与FDA批准的标签中描述的研究不同的一段时间内长期使用该药品治疗该适应症的信息（例如，如果一种药品在24周研究的基础上</w:t>
            </w:r>
            <w:r>
              <w:rPr>
                <w:rFonts w:hint="eastAsia" w:eastAsia="宋体"/>
                <w:color w:val="000000"/>
                <w:sz w:val="21"/>
                <w:szCs w:val="21"/>
              </w:rPr>
              <w:t>获批</w:t>
            </w:r>
            <w:r>
              <w:rPr>
                <w:rFonts w:eastAsia="宋体"/>
                <w:color w:val="000000"/>
                <w:sz w:val="21"/>
                <w:szCs w:val="21"/>
              </w:rPr>
              <w:t>用于慢性疾病，其使用期限没有限制，则可以对超过24周的经济后果进行建模）。</w:t>
            </w:r>
          </w:p>
          <w:p w14:paraId="474CCCE0">
            <w:pPr>
              <w:snapToGrid w:val="0"/>
              <w:rPr>
                <w:rFonts w:eastAsia="宋体"/>
                <w:sz w:val="21"/>
                <w:szCs w:val="21"/>
              </w:rPr>
            </w:pPr>
          </w:p>
        </w:tc>
      </w:tr>
      <w:tr w14:paraId="36250436">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4BFFB2">
            <w:pPr>
              <w:snapToGrid w:val="0"/>
              <w:rPr>
                <w:rFonts w:eastAsia="宋体"/>
                <w:sz w:val="21"/>
                <w:szCs w:val="21"/>
              </w:rPr>
            </w:pPr>
            <w:r>
              <w:rPr>
                <w:rFonts w:eastAsia="宋体"/>
                <w:b/>
                <w:bCs/>
                <w:color w:val="000000"/>
                <w:sz w:val="21"/>
                <w:szCs w:val="21"/>
              </w:rPr>
              <w:t>医疗保健环境</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9D3052">
            <w:pPr>
              <w:snapToGrid w:val="0"/>
              <w:rPr>
                <w:rFonts w:eastAsia="宋体"/>
                <w:color w:val="000000"/>
                <w:sz w:val="21"/>
                <w:szCs w:val="21"/>
              </w:rPr>
            </w:pPr>
            <w:r>
              <w:rPr>
                <w:rFonts w:eastAsia="宋体"/>
                <w:color w:val="000000"/>
                <w:sz w:val="21"/>
                <w:szCs w:val="21"/>
              </w:rPr>
              <w:t>HCEI分析可以基于在与本次申请中递交给FDA的临床试验环境不同的医疗保健机构中对药品获批适应症的使用（例如，仅在按项目付费环境中进行的临床试验的结果可以外推到管理式医疗或其他环境，或者在医院中心进行的临床试验的结果可以外推到门诊医疗环境）。</w:t>
            </w:r>
          </w:p>
          <w:p w14:paraId="2F539FC5">
            <w:pPr>
              <w:snapToGrid w:val="0"/>
              <w:rPr>
                <w:rFonts w:eastAsia="宋体"/>
                <w:sz w:val="21"/>
                <w:szCs w:val="21"/>
              </w:rPr>
            </w:pPr>
          </w:p>
        </w:tc>
      </w:tr>
    </w:tbl>
    <w:p w14:paraId="451F5592">
      <w:pPr>
        <w:snapToGrid w:val="0"/>
        <w:jc w:val="both"/>
        <w:rPr>
          <w:rFonts w:eastAsia="宋体"/>
          <w:sz w:val="21"/>
          <w:szCs w:val="21"/>
        </w:rPr>
      </w:pPr>
    </w:p>
    <w:p w14:paraId="5E22A697">
      <w:pPr>
        <w:snapToGrid w:val="0"/>
        <w:jc w:val="both"/>
        <w:rPr>
          <w:rFonts w:eastAsia="宋体"/>
          <w:sz w:val="21"/>
          <w:szCs w:val="21"/>
        </w:rPr>
      </w:pPr>
    </w:p>
    <w:p w14:paraId="725DE5EA">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3"/>
        <w:tblW w:w="8760" w:type="dxa"/>
        <w:tblInd w:w="312" w:type="dxa"/>
        <w:tblLayout w:type="fixed"/>
        <w:tblCellMar>
          <w:top w:w="0" w:type="dxa"/>
          <w:left w:w="40" w:type="dxa"/>
          <w:bottom w:w="0" w:type="dxa"/>
          <w:right w:w="40" w:type="dxa"/>
        </w:tblCellMar>
      </w:tblPr>
      <w:tblGrid>
        <w:gridCol w:w="3286"/>
        <w:gridCol w:w="5474"/>
      </w:tblGrid>
      <w:tr w14:paraId="1FC56628">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8DB2E1"/>
            <w:tcMar>
              <w:left w:w="57" w:type="dxa"/>
              <w:right w:w="57" w:type="dxa"/>
            </w:tcMar>
          </w:tcPr>
          <w:p w14:paraId="174A33E7">
            <w:pPr>
              <w:snapToGrid w:val="0"/>
              <w:rPr>
                <w:rFonts w:eastAsia="宋体"/>
                <w:sz w:val="21"/>
                <w:szCs w:val="21"/>
              </w:rPr>
            </w:pPr>
            <w:r>
              <w:rPr>
                <w:rFonts w:eastAsia="宋体"/>
                <w:b/>
                <w:bCs/>
                <w:color w:val="000000"/>
                <w:sz w:val="21"/>
                <w:szCs w:val="21"/>
              </w:rPr>
              <w:t>示例</w:t>
            </w:r>
          </w:p>
        </w:tc>
        <w:tc>
          <w:tcPr>
            <w:tcW w:w="5405" w:type="dxa"/>
            <w:tcBorders>
              <w:top w:val="single" w:color="auto" w:sz="6" w:space="0"/>
              <w:left w:val="single" w:color="auto" w:sz="6" w:space="0"/>
              <w:bottom w:val="single" w:color="auto" w:sz="6" w:space="0"/>
              <w:right w:val="single" w:color="auto" w:sz="6" w:space="0"/>
            </w:tcBorders>
            <w:shd w:val="clear" w:color="auto" w:fill="8DB2E1"/>
            <w:tcMar>
              <w:left w:w="57" w:type="dxa"/>
              <w:right w:w="57" w:type="dxa"/>
            </w:tcMar>
          </w:tcPr>
          <w:p w14:paraId="14B5DBFE">
            <w:pPr>
              <w:snapToGrid w:val="0"/>
              <w:rPr>
                <w:rFonts w:eastAsia="宋体"/>
                <w:sz w:val="21"/>
                <w:szCs w:val="21"/>
              </w:rPr>
            </w:pPr>
            <w:r>
              <w:rPr>
                <w:rFonts w:eastAsia="宋体"/>
                <w:b/>
                <w:bCs/>
                <w:color w:val="000000"/>
                <w:sz w:val="21"/>
                <w:szCs w:val="21"/>
              </w:rPr>
              <w:t>描述</w:t>
            </w:r>
          </w:p>
        </w:tc>
      </w:tr>
      <w:tr w14:paraId="61720204">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ECDFEC">
            <w:pPr>
              <w:snapToGrid w:val="0"/>
              <w:rPr>
                <w:rFonts w:eastAsia="宋体"/>
                <w:sz w:val="21"/>
                <w:szCs w:val="21"/>
              </w:rPr>
            </w:pPr>
            <w:r>
              <w:rPr>
                <w:rFonts w:eastAsia="宋体"/>
                <w:b/>
                <w:bCs/>
                <w:color w:val="000000"/>
                <w:sz w:val="21"/>
                <w:szCs w:val="21"/>
              </w:rPr>
              <w:t>疾病负担</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57674F">
            <w:pPr>
              <w:snapToGrid w:val="0"/>
              <w:rPr>
                <w:rFonts w:eastAsia="宋体"/>
                <w:color w:val="000000"/>
                <w:sz w:val="21"/>
                <w:szCs w:val="21"/>
              </w:rPr>
            </w:pPr>
            <w:r>
              <w:rPr>
                <w:rFonts w:eastAsia="宋体"/>
                <w:color w:val="000000"/>
                <w:sz w:val="21"/>
                <w:szCs w:val="21"/>
              </w:rPr>
              <w:t>HCEI分析可能源自对药品治疗的疾病负担的研究，包括治疗对临床结局的影响的经济后果（例如，由于与疾病相关的体征和症状而导致缺勤的经济后果）。</w:t>
            </w:r>
          </w:p>
          <w:p w14:paraId="2822FDDE">
            <w:pPr>
              <w:snapToGrid w:val="0"/>
              <w:rPr>
                <w:rFonts w:eastAsia="宋体"/>
                <w:sz w:val="21"/>
                <w:szCs w:val="21"/>
              </w:rPr>
            </w:pPr>
          </w:p>
        </w:tc>
      </w:tr>
      <w:tr w14:paraId="11B24CD1">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C44185">
            <w:pPr>
              <w:snapToGrid w:val="0"/>
              <w:rPr>
                <w:rFonts w:eastAsia="宋体"/>
                <w:sz w:val="21"/>
                <w:szCs w:val="21"/>
              </w:rPr>
            </w:pPr>
            <w:r>
              <w:rPr>
                <w:rFonts w:eastAsia="宋体"/>
                <w:b/>
                <w:bCs/>
                <w:color w:val="000000"/>
                <w:sz w:val="21"/>
                <w:szCs w:val="21"/>
              </w:rPr>
              <w:t>给药/使用方案</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128501">
            <w:pPr>
              <w:snapToGrid w:val="0"/>
              <w:rPr>
                <w:rFonts w:eastAsia="宋体"/>
                <w:color w:val="000000"/>
                <w:sz w:val="21"/>
                <w:szCs w:val="21"/>
              </w:rPr>
            </w:pPr>
            <w:r>
              <w:rPr>
                <w:rFonts w:eastAsia="宋体"/>
                <w:color w:val="000000"/>
                <w:sz w:val="21"/>
                <w:szCs w:val="21"/>
              </w:rPr>
              <w:t>HCEI分析可以基于药品获批适应症的批准剂型和浓度的数据或研究，其中给药/使用方案与FDA批准的标签不同（例如，基于来自健康计划数据库或医院系统电子健康记录的真实世界药品利用数据的观察性研究），其中患者对获批适应症的批准剂型和药品浓度的实际使用不在标签中推荐的给药/使用方案之内，例如以不同于推荐值的频率或总剂量服用）。</w:t>
            </w:r>
          </w:p>
          <w:p w14:paraId="6A852A3D">
            <w:pPr>
              <w:snapToGrid w:val="0"/>
              <w:rPr>
                <w:rFonts w:eastAsia="宋体"/>
                <w:sz w:val="21"/>
                <w:szCs w:val="21"/>
              </w:rPr>
            </w:pPr>
          </w:p>
        </w:tc>
      </w:tr>
      <w:tr w14:paraId="380A792F">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399B90">
            <w:pPr>
              <w:snapToGrid w:val="0"/>
              <w:rPr>
                <w:rFonts w:eastAsia="宋体"/>
                <w:sz w:val="21"/>
                <w:szCs w:val="21"/>
              </w:rPr>
            </w:pPr>
            <w:r>
              <w:rPr>
                <w:rFonts w:eastAsia="宋体"/>
                <w:b/>
                <w:bCs/>
                <w:color w:val="000000"/>
                <w:sz w:val="21"/>
                <w:szCs w:val="21"/>
              </w:rPr>
              <w:t>患者亚组</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11882D">
            <w:pPr>
              <w:snapToGrid w:val="0"/>
              <w:rPr>
                <w:rFonts w:eastAsia="宋体"/>
                <w:color w:val="000000"/>
                <w:sz w:val="21"/>
                <w:szCs w:val="21"/>
              </w:rPr>
            </w:pPr>
            <w:r>
              <w:rPr>
                <w:rFonts w:eastAsia="宋体"/>
                <w:color w:val="000000"/>
                <w:sz w:val="21"/>
                <w:szCs w:val="21"/>
              </w:rPr>
              <w:t>HCEI分析可能来源于患者亚组中的治疗效果分析（例如，人口统计学资料、疾病严重度、合并症），包括反应率可能不同于FDA批准的标签中所示反应率的亚组（在获批适应症的患者人群范围内），即使没有在构成药品批准基础的研究中预先指定这些亚组分析。</w:t>
            </w:r>
          </w:p>
          <w:p w14:paraId="64A20E46">
            <w:pPr>
              <w:snapToGrid w:val="0"/>
              <w:rPr>
                <w:rFonts w:eastAsia="宋体"/>
                <w:sz w:val="21"/>
                <w:szCs w:val="21"/>
              </w:rPr>
            </w:pPr>
          </w:p>
        </w:tc>
      </w:tr>
      <w:tr w14:paraId="73D40AB3">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D7CD2E">
            <w:pPr>
              <w:snapToGrid w:val="0"/>
              <w:rPr>
                <w:rFonts w:eastAsia="宋体"/>
                <w:sz w:val="21"/>
                <w:szCs w:val="21"/>
              </w:rPr>
            </w:pPr>
            <w:r>
              <w:rPr>
                <w:rFonts w:eastAsia="宋体"/>
                <w:b/>
                <w:bCs/>
                <w:color w:val="000000"/>
                <w:sz w:val="21"/>
                <w:szCs w:val="21"/>
              </w:rPr>
              <w:t>住院时间</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E70DAA">
            <w:pPr>
              <w:snapToGrid w:val="0"/>
              <w:rPr>
                <w:rFonts w:eastAsia="宋体"/>
                <w:color w:val="000000"/>
                <w:sz w:val="21"/>
                <w:szCs w:val="21"/>
              </w:rPr>
            </w:pPr>
            <w:r>
              <w:rPr>
                <w:rFonts w:eastAsia="宋体"/>
                <w:color w:val="000000"/>
                <w:sz w:val="21"/>
                <w:szCs w:val="21"/>
              </w:rPr>
              <w:t>HCEI分析可能来源于治疗对住院时间影响的研究。</w:t>
            </w:r>
          </w:p>
          <w:p w14:paraId="6C04162F">
            <w:pPr>
              <w:snapToGrid w:val="0"/>
              <w:rPr>
                <w:rFonts w:eastAsia="宋体"/>
                <w:sz w:val="21"/>
                <w:szCs w:val="21"/>
              </w:rPr>
            </w:pPr>
          </w:p>
        </w:tc>
      </w:tr>
      <w:tr w14:paraId="675A78F8">
        <w:tblPrEx>
          <w:tblCellMar>
            <w:top w:w="0" w:type="dxa"/>
            <w:left w:w="40" w:type="dxa"/>
            <w:bottom w:w="0" w:type="dxa"/>
            <w:right w:w="40" w:type="dxa"/>
          </w:tblCellMar>
        </w:tblPrEx>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AB5829">
            <w:pPr>
              <w:snapToGrid w:val="0"/>
              <w:rPr>
                <w:rFonts w:eastAsia="宋体"/>
                <w:sz w:val="21"/>
                <w:szCs w:val="21"/>
              </w:rPr>
            </w:pPr>
            <w:r>
              <w:rPr>
                <w:rFonts w:eastAsia="宋体"/>
                <w:b/>
                <w:bCs/>
                <w:color w:val="000000"/>
                <w:sz w:val="21"/>
                <w:szCs w:val="21"/>
              </w:rPr>
              <w:t>替代或中间终点</w:t>
            </w:r>
          </w:p>
        </w:tc>
        <w:tc>
          <w:tcPr>
            <w:tcW w:w="5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61DC5C">
            <w:pPr>
              <w:snapToGrid w:val="0"/>
              <w:rPr>
                <w:rFonts w:eastAsia="宋体"/>
                <w:color w:val="000000"/>
                <w:sz w:val="21"/>
                <w:szCs w:val="21"/>
              </w:rPr>
            </w:pPr>
            <w:r>
              <w:rPr>
                <w:rFonts w:eastAsia="宋体"/>
                <w:color w:val="000000"/>
                <w:sz w:val="21"/>
                <w:szCs w:val="21"/>
              </w:rPr>
              <w:t>HCEI分析可能来源于临床数据，该临床数据显示了对已知可预测临床受益的替代终点（即，已确认的替代终点）或合理可能预测临床受益的替代或中间临床终点的影响。</w:t>
            </w:r>
            <w:r>
              <w:rPr>
                <w:rStyle w:val="17"/>
                <w:rFonts w:eastAsia="宋体"/>
                <w:color w:val="000000"/>
                <w:sz w:val="21"/>
                <w:szCs w:val="21"/>
              </w:rPr>
              <w:footnoteReference w:id="23"/>
            </w:r>
          </w:p>
          <w:p w14:paraId="554F897E">
            <w:pPr>
              <w:snapToGrid w:val="0"/>
              <w:rPr>
                <w:rFonts w:eastAsia="宋体"/>
                <w:sz w:val="21"/>
                <w:szCs w:val="21"/>
              </w:rPr>
            </w:pPr>
          </w:p>
        </w:tc>
      </w:tr>
    </w:tbl>
    <w:p w14:paraId="14DFA5E7">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3"/>
        <w:tblW w:w="8760" w:type="dxa"/>
        <w:tblInd w:w="312" w:type="dxa"/>
        <w:tblLayout w:type="fixed"/>
        <w:tblCellMar>
          <w:top w:w="0" w:type="dxa"/>
          <w:left w:w="40" w:type="dxa"/>
          <w:bottom w:w="0" w:type="dxa"/>
          <w:right w:w="40" w:type="dxa"/>
        </w:tblCellMar>
      </w:tblPr>
      <w:tblGrid>
        <w:gridCol w:w="3286"/>
        <w:gridCol w:w="5474"/>
      </w:tblGrid>
      <w:tr w14:paraId="6100AA3C">
        <w:tc>
          <w:tcPr>
            <w:tcW w:w="3286" w:type="dxa"/>
            <w:tcBorders>
              <w:top w:val="single" w:color="auto" w:sz="6" w:space="0"/>
              <w:left w:val="single" w:color="auto" w:sz="6" w:space="0"/>
              <w:bottom w:val="single" w:color="auto" w:sz="6" w:space="0"/>
              <w:right w:val="single" w:color="auto" w:sz="6" w:space="0"/>
            </w:tcBorders>
            <w:shd w:val="clear" w:color="auto" w:fill="8DB2E1"/>
            <w:tcMar>
              <w:left w:w="57" w:type="dxa"/>
              <w:right w:w="57" w:type="dxa"/>
            </w:tcMar>
          </w:tcPr>
          <w:p w14:paraId="62EC404B">
            <w:pPr>
              <w:snapToGrid w:val="0"/>
              <w:rPr>
                <w:rFonts w:eastAsia="宋体"/>
                <w:sz w:val="21"/>
                <w:szCs w:val="21"/>
              </w:rPr>
            </w:pPr>
            <w:r>
              <w:rPr>
                <w:rFonts w:eastAsia="宋体"/>
                <w:b/>
                <w:bCs/>
                <w:color w:val="000000"/>
                <w:sz w:val="21"/>
                <w:szCs w:val="21"/>
              </w:rPr>
              <w:t>示例</w:t>
            </w:r>
          </w:p>
        </w:tc>
        <w:tc>
          <w:tcPr>
            <w:tcW w:w="5474" w:type="dxa"/>
            <w:tcBorders>
              <w:top w:val="single" w:color="auto" w:sz="6" w:space="0"/>
              <w:left w:val="single" w:color="auto" w:sz="6" w:space="0"/>
              <w:bottom w:val="single" w:color="auto" w:sz="6" w:space="0"/>
              <w:right w:val="single" w:color="auto" w:sz="6" w:space="0"/>
            </w:tcBorders>
            <w:shd w:val="clear" w:color="auto" w:fill="8DB2E1"/>
            <w:tcMar>
              <w:left w:w="57" w:type="dxa"/>
              <w:right w:w="57" w:type="dxa"/>
            </w:tcMar>
          </w:tcPr>
          <w:p w14:paraId="1C6B71FD">
            <w:pPr>
              <w:snapToGrid w:val="0"/>
              <w:rPr>
                <w:rFonts w:eastAsia="宋体"/>
                <w:sz w:val="21"/>
                <w:szCs w:val="21"/>
              </w:rPr>
            </w:pPr>
            <w:r>
              <w:rPr>
                <w:rFonts w:eastAsia="宋体"/>
                <w:b/>
                <w:bCs/>
                <w:color w:val="000000"/>
                <w:sz w:val="21"/>
                <w:szCs w:val="21"/>
              </w:rPr>
              <w:t>描述</w:t>
            </w:r>
          </w:p>
        </w:tc>
      </w:tr>
      <w:tr w14:paraId="4F0E6FA7">
        <w:tblPrEx>
          <w:tblCellMar>
            <w:top w:w="0" w:type="dxa"/>
            <w:left w:w="40" w:type="dxa"/>
            <w:bottom w:w="0" w:type="dxa"/>
            <w:right w:w="40" w:type="dxa"/>
          </w:tblCellMar>
        </w:tblPrEx>
        <w:tc>
          <w:tcPr>
            <w:tcW w:w="32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8FA9E5">
            <w:pPr>
              <w:snapToGrid w:val="0"/>
              <w:rPr>
                <w:rFonts w:eastAsia="宋体"/>
                <w:b/>
                <w:bCs/>
                <w:sz w:val="21"/>
                <w:szCs w:val="21"/>
              </w:rPr>
            </w:pPr>
            <w:r>
              <w:rPr>
                <w:rFonts w:eastAsia="宋体"/>
                <w:b/>
                <w:bCs/>
                <w:color w:val="000000"/>
                <w:sz w:val="21"/>
                <w:szCs w:val="21"/>
              </w:rPr>
              <w:t>临床结局评估（COA）</w:t>
            </w:r>
            <w:r>
              <w:rPr>
                <w:rStyle w:val="17"/>
                <w:rFonts w:eastAsia="宋体"/>
                <w:b/>
                <w:bCs/>
                <w:color w:val="000000"/>
                <w:sz w:val="21"/>
                <w:szCs w:val="21"/>
              </w:rPr>
              <w:footnoteReference w:id="24"/>
            </w:r>
            <w:r>
              <w:rPr>
                <w:rFonts w:eastAsia="宋体"/>
                <w:b/>
                <w:bCs/>
                <w:color w:val="000000"/>
                <w:sz w:val="21"/>
                <w:szCs w:val="21"/>
              </w:rPr>
              <w:t>或其他健康结局指标（例如，质量调整生命年）</w:t>
            </w:r>
          </w:p>
          <w:p w14:paraId="2F7597D3">
            <w:pPr>
              <w:snapToGrid w:val="0"/>
              <w:rPr>
                <w:rFonts w:eastAsia="宋体"/>
                <w:b/>
                <w:bCs/>
                <w:sz w:val="21"/>
                <w:szCs w:val="21"/>
              </w:rPr>
            </w:pPr>
            <w:r>
              <w:rPr>
                <w:rFonts w:eastAsia="宋体"/>
                <w:b/>
                <w:bCs/>
                <w:color w:val="000000"/>
                <w:sz w:val="21"/>
                <w:szCs w:val="21"/>
              </w:rPr>
              <w:t>（QALY）</w:t>
            </w:r>
            <w:r>
              <w:rPr>
                <w:rStyle w:val="17"/>
                <w:rFonts w:eastAsia="宋体"/>
                <w:b/>
                <w:bCs/>
                <w:color w:val="000000"/>
                <w:sz w:val="21"/>
                <w:szCs w:val="21"/>
              </w:rPr>
              <w:footnoteReference w:id="25"/>
            </w:r>
          </w:p>
        </w:tc>
        <w:tc>
          <w:tcPr>
            <w:tcW w:w="5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4E4734">
            <w:pPr>
              <w:snapToGrid w:val="0"/>
              <w:rPr>
                <w:rFonts w:eastAsia="宋体"/>
                <w:sz w:val="21"/>
                <w:szCs w:val="21"/>
              </w:rPr>
            </w:pPr>
            <w:r>
              <w:rPr>
                <w:rFonts w:eastAsia="宋体"/>
                <w:color w:val="000000"/>
                <w:sz w:val="21"/>
                <w:szCs w:val="21"/>
              </w:rPr>
              <w:t>当使用有效而可靠的指标（由熟悉评价特定COA或其他健康结局指标的优点的专家确定）进行评价时，HCEI分析可能来源于涉及评估COA（例如，患者报告的结局（PRO），如工作效率、基本日常生活活动）或其他健康结局指标（例如，QALY）的药品的获批适应症的研究。</w:t>
            </w:r>
          </w:p>
        </w:tc>
      </w:tr>
      <w:tr w14:paraId="0094320E">
        <w:tblPrEx>
          <w:tblCellMar>
            <w:top w:w="0" w:type="dxa"/>
            <w:left w:w="40" w:type="dxa"/>
            <w:bottom w:w="0" w:type="dxa"/>
            <w:right w:w="40" w:type="dxa"/>
          </w:tblCellMar>
        </w:tblPrEx>
        <w:tc>
          <w:tcPr>
            <w:tcW w:w="32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DE4ABB">
            <w:pPr>
              <w:snapToGrid w:val="0"/>
              <w:rPr>
                <w:rFonts w:eastAsia="宋体"/>
                <w:b/>
                <w:bCs/>
                <w:sz w:val="21"/>
                <w:szCs w:val="21"/>
              </w:rPr>
            </w:pPr>
            <w:r>
              <w:rPr>
                <w:rFonts w:eastAsia="宋体"/>
                <w:b/>
                <w:bCs/>
                <w:color w:val="000000"/>
                <w:sz w:val="21"/>
                <w:szCs w:val="21"/>
              </w:rPr>
              <w:t>依从性/服从性</w:t>
            </w:r>
            <w:r>
              <w:rPr>
                <w:rStyle w:val="17"/>
                <w:rFonts w:eastAsia="宋体"/>
                <w:b/>
                <w:bCs/>
                <w:color w:val="000000"/>
                <w:sz w:val="21"/>
                <w:szCs w:val="21"/>
              </w:rPr>
              <w:footnoteReference w:id="26"/>
            </w:r>
          </w:p>
        </w:tc>
        <w:tc>
          <w:tcPr>
            <w:tcW w:w="5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E5EBCF">
            <w:pPr>
              <w:snapToGrid w:val="0"/>
              <w:rPr>
                <w:rFonts w:eastAsia="宋体"/>
                <w:sz w:val="21"/>
                <w:szCs w:val="21"/>
              </w:rPr>
            </w:pPr>
            <w:r>
              <w:rPr>
                <w:rFonts w:eastAsia="宋体"/>
                <w:color w:val="000000"/>
                <w:sz w:val="21"/>
                <w:szCs w:val="21"/>
              </w:rPr>
              <w:t>HCEI分析可能来源于评估患者对药品获批适应症的依从性/服从性的研究。</w:t>
            </w:r>
          </w:p>
        </w:tc>
      </w:tr>
      <w:tr w14:paraId="34162CD1">
        <w:tblPrEx>
          <w:tblCellMar>
            <w:top w:w="0" w:type="dxa"/>
            <w:left w:w="40" w:type="dxa"/>
            <w:bottom w:w="0" w:type="dxa"/>
            <w:right w:w="40" w:type="dxa"/>
          </w:tblCellMar>
        </w:tblPrEx>
        <w:tc>
          <w:tcPr>
            <w:tcW w:w="32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50EBFF">
            <w:pPr>
              <w:snapToGrid w:val="0"/>
              <w:rPr>
                <w:rFonts w:eastAsia="宋体"/>
                <w:b/>
                <w:bCs/>
                <w:sz w:val="21"/>
                <w:szCs w:val="21"/>
              </w:rPr>
            </w:pPr>
            <w:r>
              <w:rPr>
                <w:rFonts w:eastAsia="宋体"/>
                <w:b/>
                <w:bCs/>
                <w:color w:val="000000"/>
                <w:sz w:val="21"/>
                <w:szCs w:val="21"/>
              </w:rPr>
              <w:t>持续性</w:t>
            </w:r>
            <w:r>
              <w:rPr>
                <w:rStyle w:val="17"/>
                <w:rFonts w:eastAsia="宋体"/>
                <w:b/>
                <w:bCs/>
                <w:color w:val="000000"/>
                <w:sz w:val="21"/>
                <w:szCs w:val="21"/>
              </w:rPr>
              <w:footnoteReference w:id="27"/>
            </w:r>
          </w:p>
        </w:tc>
        <w:tc>
          <w:tcPr>
            <w:tcW w:w="5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7A7638">
            <w:pPr>
              <w:snapToGrid w:val="0"/>
              <w:rPr>
                <w:rFonts w:eastAsia="宋体"/>
                <w:sz w:val="21"/>
                <w:szCs w:val="21"/>
              </w:rPr>
            </w:pPr>
            <w:r>
              <w:rPr>
                <w:rFonts w:eastAsia="宋体"/>
                <w:color w:val="000000"/>
                <w:sz w:val="21"/>
                <w:szCs w:val="21"/>
              </w:rPr>
              <w:t>HCEI分析可以基于估计患者对于药品获批适应症持续性的数据（例如，基于来自健康计划数据库的药品利用数据的估计）。</w:t>
            </w:r>
          </w:p>
        </w:tc>
      </w:tr>
      <w:tr w14:paraId="6B8B0D88">
        <w:tblPrEx>
          <w:tblCellMar>
            <w:top w:w="0" w:type="dxa"/>
            <w:left w:w="40" w:type="dxa"/>
            <w:bottom w:w="0" w:type="dxa"/>
            <w:right w:w="40" w:type="dxa"/>
          </w:tblCellMar>
        </w:tblPrEx>
        <w:tc>
          <w:tcPr>
            <w:tcW w:w="32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C22C09">
            <w:pPr>
              <w:snapToGrid w:val="0"/>
              <w:rPr>
                <w:rFonts w:eastAsia="宋体"/>
                <w:b/>
                <w:bCs/>
                <w:sz w:val="21"/>
                <w:szCs w:val="21"/>
              </w:rPr>
            </w:pPr>
            <w:r>
              <w:rPr>
                <w:rFonts w:eastAsia="宋体"/>
                <w:b/>
                <w:bCs/>
                <w:color w:val="000000"/>
                <w:sz w:val="21"/>
                <w:szCs w:val="21"/>
              </w:rPr>
              <w:t>比较</w:t>
            </w:r>
          </w:p>
        </w:tc>
        <w:tc>
          <w:tcPr>
            <w:tcW w:w="5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203481">
            <w:pPr>
              <w:snapToGrid w:val="0"/>
              <w:rPr>
                <w:rFonts w:eastAsia="宋体"/>
                <w:sz w:val="21"/>
                <w:szCs w:val="21"/>
              </w:rPr>
            </w:pPr>
            <w:r>
              <w:rPr>
                <w:rFonts w:eastAsia="宋体"/>
                <w:color w:val="000000"/>
                <w:sz w:val="21"/>
                <w:szCs w:val="21"/>
              </w:rPr>
              <w:t>HCEI分析可能来源于将一种药品获批适应症的安全性或有效性与另一种药品或干预或不治疗进行比较的研究。</w:t>
            </w:r>
          </w:p>
        </w:tc>
      </w:tr>
    </w:tbl>
    <w:p w14:paraId="5092FDFC">
      <w:pPr>
        <w:tabs>
          <w:tab w:val="left" w:pos="178"/>
        </w:tabs>
        <w:snapToGrid w:val="0"/>
        <w:jc w:val="both"/>
        <w:rPr>
          <w:rFonts w:eastAsia="宋体"/>
          <w:color w:val="000000"/>
          <w:sz w:val="21"/>
          <w:szCs w:val="21"/>
          <w:vertAlign w:val="superscript"/>
        </w:rPr>
      </w:pPr>
    </w:p>
    <w:p w14:paraId="322695D3">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D4E7B00">
      <w:pPr>
        <w:snapToGrid w:val="0"/>
        <w:ind w:left="314" w:leftChars="157"/>
        <w:jc w:val="both"/>
        <w:rPr>
          <w:rFonts w:eastAsia="宋体"/>
          <w:color w:val="000000"/>
          <w:sz w:val="24"/>
          <w:szCs w:val="24"/>
        </w:rPr>
      </w:pPr>
      <w:r>
        <w:rPr>
          <w:rFonts w:eastAsia="宋体"/>
          <w:color w:val="000000"/>
          <w:sz w:val="24"/>
          <w:szCs w:val="24"/>
        </w:rPr>
        <w:t>以下是认为与获批适应症</w:t>
      </w:r>
      <w:r>
        <w:rPr>
          <w:rFonts w:eastAsia="宋体"/>
          <w:color w:val="000000"/>
          <w:sz w:val="24"/>
          <w:szCs w:val="24"/>
          <w:u w:val="single"/>
        </w:rPr>
        <w:t>不</w:t>
      </w:r>
      <w:r>
        <w:rPr>
          <w:rFonts w:eastAsia="宋体"/>
          <w:color w:val="000000"/>
          <w:sz w:val="24"/>
          <w:szCs w:val="24"/>
        </w:rPr>
        <w:t>相关的HCEI分析示例：</w:t>
      </w:r>
    </w:p>
    <w:p w14:paraId="16D15D15">
      <w:pPr>
        <w:snapToGrid w:val="0"/>
        <w:ind w:left="314" w:leftChars="157"/>
        <w:jc w:val="both"/>
        <w:rPr>
          <w:rFonts w:eastAsia="宋体"/>
          <w:sz w:val="24"/>
          <w:szCs w:val="24"/>
        </w:rPr>
      </w:pPr>
    </w:p>
    <w:p w14:paraId="78ECBD4D">
      <w:pPr>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如果药品仅</w:t>
      </w:r>
      <w:r>
        <w:rPr>
          <w:rFonts w:hint="eastAsia" w:eastAsia="宋体"/>
          <w:color w:val="000000"/>
          <w:sz w:val="24"/>
          <w:szCs w:val="24"/>
        </w:rPr>
        <w:t>获批</w:t>
      </w:r>
      <w:r>
        <w:rPr>
          <w:rFonts w:eastAsia="宋体"/>
          <w:color w:val="000000"/>
          <w:sz w:val="24"/>
          <w:szCs w:val="24"/>
        </w:rPr>
        <w:t>用于缓解疾病症状，则关于使用该药品预防、治愈或缓解/改变病程的HCEI分析将被认为与药品获批适应症不相关。</w:t>
      </w:r>
      <w:r>
        <w:fldChar w:fldCharType="begin"/>
      </w:r>
      <w:r>
        <w:instrText xml:space="preserve">HYPERLINK \l "bookmark1"</w:instrText>
      </w:r>
      <w:r>
        <w:fldChar w:fldCharType="separate"/>
      </w:r>
      <w:r>
        <w:rPr>
          <w:rStyle w:val="17"/>
          <w:rFonts w:eastAsia="宋体"/>
          <w:color w:val="000000"/>
          <w:sz w:val="24"/>
          <w:szCs w:val="24"/>
        </w:rPr>
        <w:footnoteReference w:id="28"/>
      </w:r>
      <w:r>
        <w:fldChar w:fldCharType="end"/>
      </w:r>
      <w:r>
        <w:rPr>
          <w:rFonts w:eastAsia="宋体"/>
          <w:color w:val="000000"/>
          <w:sz w:val="24"/>
          <w:szCs w:val="24"/>
        </w:rPr>
        <w:t>因此，例如，如果对一种用于治疗癌症患者疼痛的药品的分析讨论了该药品在延缓癌症进展或延长患者生存（病程调整）方面的作用，FDA认为这与获批适应症不相关。</w:t>
      </w:r>
    </w:p>
    <w:p w14:paraId="2D272889">
      <w:pPr>
        <w:snapToGrid w:val="0"/>
        <w:ind w:left="1275" w:leftChars="480" w:hanging="315"/>
        <w:jc w:val="both"/>
        <w:rPr>
          <w:rFonts w:eastAsia="宋体"/>
          <w:color w:val="000000"/>
          <w:sz w:val="24"/>
          <w:szCs w:val="24"/>
        </w:rPr>
      </w:pPr>
    </w:p>
    <w:p w14:paraId="524AE975">
      <w:pPr>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HCEI分析来源于仅限于不在指定患者人群内的患者人群的研究，与该药品的获批适应症不相关。例如，如果一种药品只</w:t>
      </w:r>
      <w:r>
        <w:rPr>
          <w:rFonts w:hint="eastAsia" w:eastAsia="宋体"/>
          <w:color w:val="000000"/>
          <w:sz w:val="24"/>
          <w:szCs w:val="24"/>
        </w:rPr>
        <w:t>获批</w:t>
      </w:r>
      <w:r>
        <w:rPr>
          <w:rFonts w:eastAsia="宋体"/>
          <w:color w:val="000000"/>
          <w:sz w:val="24"/>
          <w:szCs w:val="24"/>
        </w:rPr>
        <w:t>用于某一年龄段的患者，那么只对该年龄段以外患者进行治疗的</w:t>
      </w:r>
      <w:r>
        <w:rPr>
          <w:rFonts w:hint="eastAsia" w:eastAsia="宋体"/>
          <w:color w:val="000000"/>
          <w:sz w:val="24"/>
          <w:szCs w:val="24"/>
        </w:rPr>
        <w:t>相关</w:t>
      </w:r>
      <w:r>
        <w:rPr>
          <w:rFonts w:eastAsia="宋体"/>
          <w:color w:val="000000"/>
          <w:sz w:val="24"/>
          <w:szCs w:val="24"/>
        </w:rPr>
        <w:t>分析将被认为与该药品的获批适应症不相关。</w:t>
      </w:r>
    </w:p>
    <w:p w14:paraId="1EEB179B">
      <w:pPr>
        <w:pStyle w:val="4"/>
        <w:spacing w:before="240" w:after="240"/>
        <w:ind w:left="1416" w:hanging="1132"/>
        <w:rPr>
          <w:sz w:val="24"/>
          <w:szCs w:val="24"/>
        </w:rPr>
      </w:pPr>
      <w:r>
        <w:rPr>
          <w:sz w:val="24"/>
          <w:szCs w:val="24"/>
        </w:rPr>
        <w:t>Q.A.5.</w:t>
      </w:r>
      <w:r>
        <w:rPr>
          <w:sz w:val="24"/>
          <w:szCs w:val="24"/>
        </w:rPr>
        <w:tab/>
      </w:r>
      <w:r>
        <w:rPr>
          <w:sz w:val="24"/>
          <w:szCs w:val="24"/>
        </w:rPr>
        <w:t>根据第502（a）条，公司应为其HCEI提供哪些证据支持？</w:t>
      </w:r>
    </w:p>
    <w:p w14:paraId="3BF55094">
      <w:pPr>
        <w:snapToGrid w:val="0"/>
        <w:ind w:left="1416" w:leftChars="142" w:hanging="1132" w:hangingChars="472"/>
        <w:jc w:val="both"/>
        <w:rPr>
          <w:rFonts w:eastAsia="宋体"/>
          <w:sz w:val="24"/>
          <w:szCs w:val="24"/>
        </w:rPr>
      </w:pPr>
      <w:r>
        <w:rPr>
          <w:rFonts w:eastAsia="宋体"/>
          <w:color w:val="000000"/>
          <w:sz w:val="24"/>
          <w:szCs w:val="24"/>
        </w:rPr>
        <w:t>A.A.5.</w:t>
      </w:r>
      <w:r>
        <w:rPr>
          <w:rFonts w:eastAsia="宋体"/>
          <w:color w:val="000000"/>
          <w:sz w:val="24"/>
          <w:szCs w:val="24"/>
        </w:rPr>
        <w:tab/>
      </w:r>
      <w:r>
        <w:rPr>
          <w:rFonts w:eastAsia="宋体"/>
          <w:color w:val="000000"/>
          <w:sz w:val="24"/>
          <w:szCs w:val="24"/>
        </w:rPr>
        <w:t>第502（a）条规定，除其他事项外，HCEI不应被视为虚假或</w:t>
      </w:r>
      <w:r>
        <w:rPr>
          <w:rFonts w:hint="eastAsia" w:eastAsia="宋体"/>
          <w:color w:val="000000"/>
          <w:sz w:val="24"/>
          <w:szCs w:val="24"/>
        </w:rPr>
        <w:t>具有</w:t>
      </w:r>
      <w:r>
        <w:rPr>
          <w:rFonts w:eastAsia="宋体"/>
          <w:color w:val="000000"/>
          <w:sz w:val="24"/>
          <w:szCs w:val="24"/>
        </w:rPr>
        <w:t>误导性，除非其</w:t>
      </w:r>
      <w:r>
        <w:rPr>
          <w:rFonts w:ascii="宋体" w:hAnsi="宋体" w:eastAsia="宋体"/>
          <w:color w:val="000000"/>
          <w:sz w:val="24"/>
          <w:szCs w:val="24"/>
        </w:rPr>
        <w:t>“</w:t>
      </w:r>
      <w:r>
        <w:rPr>
          <w:rFonts w:eastAsia="宋体"/>
          <w:color w:val="000000"/>
          <w:sz w:val="24"/>
          <w:szCs w:val="24"/>
        </w:rPr>
        <w:t>基于充分而可靠的科学证据</w:t>
      </w:r>
      <w:r>
        <w:rPr>
          <w:rFonts w:ascii="宋体" w:hAnsi="宋体" w:eastAsia="宋体"/>
          <w:color w:val="000000"/>
          <w:sz w:val="24"/>
          <w:szCs w:val="24"/>
        </w:rPr>
        <w:t>”</w:t>
      </w:r>
      <w:r>
        <w:rPr>
          <w:rFonts w:eastAsia="宋体"/>
          <w:color w:val="000000"/>
          <w:sz w:val="24"/>
          <w:szCs w:val="24"/>
        </w:rPr>
        <w:t>。如果HCEI是采用普遍接受的科学标准开发，适用于所传达的信息，并得到准确且可靠的结果，则FDA认为HCEI基于CARSE。在评价构成HCEI特定信息传达依据的证据的数量和类型是否符合此类信息的普遍接受的科学标准时，FDA将考虑由权威机构（这些机构的示例包括但不限于国际药物经济学与结果研究会（ISPOR）、国际药品流行病学学会（ISPE）、以患者为中心的结局研究所（PCORI）和医疗研究与质量监管机构（AHRQ））制定的现行良好实证研究规范。例如，在缺乏头对头对照临床试验数据的情况下，基于间接治疗比较评价HCEI时，FDA可以参考外部专家机构发布的关于此类比较的现行严格方法和最佳实践的指南（例如，网络荟萃分析）。</w:t>
      </w:r>
    </w:p>
    <w:p w14:paraId="4D210B3E">
      <w:pPr>
        <w:snapToGrid w:val="0"/>
        <w:ind w:left="1416" w:leftChars="142" w:hanging="1132" w:hangingChars="472"/>
        <w:jc w:val="both"/>
        <w:rPr>
          <w:rFonts w:eastAsia="宋体"/>
          <w:sz w:val="24"/>
          <w:szCs w:val="24"/>
        </w:rPr>
      </w:pPr>
    </w:p>
    <w:p w14:paraId="07B91C53">
      <w:pPr>
        <w:snapToGrid w:val="0"/>
        <w:jc w:val="both"/>
        <w:rPr>
          <w:rFonts w:eastAsia="宋体"/>
          <w:sz w:val="21"/>
          <w:szCs w:val="21"/>
        </w:rPr>
      </w:pPr>
    </w:p>
    <w:p w14:paraId="6380449D">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AD5182C">
      <w:pPr>
        <w:snapToGrid w:val="0"/>
        <w:ind w:left="1276" w:leftChars="638"/>
        <w:jc w:val="both"/>
        <w:rPr>
          <w:rFonts w:eastAsia="宋体"/>
          <w:sz w:val="24"/>
          <w:szCs w:val="24"/>
        </w:rPr>
      </w:pPr>
      <w:r>
        <w:rPr>
          <w:rFonts w:eastAsia="宋体"/>
          <w:color w:val="000000"/>
          <w:sz w:val="24"/>
          <w:szCs w:val="24"/>
        </w:rPr>
        <w:t>HCEI应明确且突出地介绍本指南Q.A.7/A.A.7和Q.A.8/A.8中讨论的信息，包括研究设计和方法、外推性、局限性、灵敏度分析以及与提供平衡完整呈现相关的适用信息。</w:t>
      </w:r>
    </w:p>
    <w:p w14:paraId="6C0D215B">
      <w:pPr>
        <w:pStyle w:val="4"/>
        <w:spacing w:before="240" w:after="240"/>
        <w:ind w:left="1416" w:hanging="1132"/>
        <w:rPr>
          <w:sz w:val="24"/>
          <w:szCs w:val="24"/>
        </w:rPr>
      </w:pPr>
      <w:r>
        <w:rPr>
          <w:sz w:val="24"/>
          <w:szCs w:val="24"/>
        </w:rPr>
        <w:t>Q.A.6.</w:t>
      </w:r>
      <w:r>
        <w:rPr>
          <w:sz w:val="24"/>
          <w:szCs w:val="24"/>
        </w:rPr>
        <w:tab/>
      </w:r>
      <w:r>
        <w:rPr>
          <w:sz w:val="24"/>
          <w:szCs w:val="24"/>
        </w:rPr>
        <w:t>CARSE标准是只适用于HCEI的经济组成部分，还是也适用于其他组成部分？</w:t>
      </w:r>
    </w:p>
    <w:p w14:paraId="4EC583F0">
      <w:pPr>
        <w:snapToGrid w:val="0"/>
        <w:ind w:left="1416" w:leftChars="142" w:hanging="1132" w:hangingChars="472"/>
        <w:jc w:val="both"/>
        <w:rPr>
          <w:rFonts w:eastAsia="宋体"/>
          <w:sz w:val="24"/>
          <w:szCs w:val="24"/>
        </w:rPr>
      </w:pPr>
      <w:r>
        <w:rPr>
          <w:rFonts w:eastAsia="宋体"/>
          <w:color w:val="000000"/>
          <w:sz w:val="24"/>
          <w:szCs w:val="24"/>
        </w:rPr>
        <w:t>A.A.6.</w:t>
      </w:r>
      <w:r>
        <w:rPr>
          <w:rFonts w:eastAsia="宋体"/>
          <w:color w:val="000000"/>
          <w:sz w:val="24"/>
          <w:szCs w:val="24"/>
        </w:rPr>
        <w:tab/>
      </w:r>
      <w:r>
        <w:rPr>
          <w:rFonts w:eastAsia="宋体"/>
          <w:color w:val="000000"/>
          <w:sz w:val="24"/>
          <w:szCs w:val="24"/>
        </w:rPr>
        <w:t>根据第502（a）条，HCEI包括临床数据、输入、临床或其他假设、方法、结果和其他构成药品经济后果分析的组成部分。FDA认为第502（a）条中的CARSE标准适用于HCEI的所有组成部分，包括与经济后果和临床结局（即安全性和/或有效性）相关的输入和假设。如之前在Q.A.4/A.A.4中的讨论内容所示，此类信息还必须与获批适应症相关，才能符合第502（a）条关于HCEI的规定。</w:t>
      </w:r>
    </w:p>
    <w:p w14:paraId="0A636CFA">
      <w:pPr>
        <w:pStyle w:val="4"/>
        <w:spacing w:before="240" w:after="240"/>
        <w:ind w:left="1416" w:hanging="1132"/>
        <w:rPr>
          <w:sz w:val="24"/>
          <w:szCs w:val="24"/>
        </w:rPr>
      </w:pPr>
      <w:r>
        <w:rPr>
          <w:sz w:val="24"/>
          <w:szCs w:val="24"/>
        </w:rPr>
        <w:t>Q.A.7.</w:t>
      </w:r>
      <w:r>
        <w:rPr>
          <w:sz w:val="24"/>
          <w:szCs w:val="24"/>
        </w:rPr>
        <w:tab/>
      </w:r>
      <w:r>
        <w:rPr>
          <w:sz w:val="24"/>
          <w:szCs w:val="24"/>
        </w:rPr>
        <w:t>公司在传达HCEI时应包括哪些信息？</w:t>
      </w:r>
    </w:p>
    <w:p w14:paraId="23585DAE">
      <w:pPr>
        <w:snapToGrid w:val="0"/>
        <w:ind w:left="1416" w:leftChars="142" w:hanging="1132" w:hangingChars="472"/>
        <w:jc w:val="both"/>
        <w:rPr>
          <w:rFonts w:eastAsia="宋体"/>
          <w:sz w:val="24"/>
          <w:szCs w:val="24"/>
        </w:rPr>
      </w:pPr>
      <w:r>
        <w:rPr>
          <w:rFonts w:eastAsia="宋体"/>
          <w:color w:val="000000"/>
          <w:sz w:val="24"/>
          <w:szCs w:val="24"/>
        </w:rPr>
        <w:t>A.A.7.</w:t>
      </w:r>
      <w:r>
        <w:rPr>
          <w:rFonts w:eastAsia="宋体"/>
          <w:color w:val="000000"/>
          <w:sz w:val="24"/>
          <w:szCs w:val="24"/>
        </w:rPr>
        <w:tab/>
      </w:r>
      <w:r>
        <w:rPr>
          <w:rFonts w:eastAsia="宋体"/>
          <w:color w:val="000000"/>
          <w:sz w:val="24"/>
          <w:szCs w:val="24"/>
        </w:rPr>
        <w:t>为了使医疗费用支付方能够做出明智的承保和报销决定，公司在传达HCEI时应包括适当的背景和上下文信息。以下是可能对HCEI呈现信息至关重要的背景和上下文信息类型的示例；其中一些类别的信息可能不适用于特定的HCEI呈现信息。在相关的情况下，应明确且突出地提供这些信息。只要提供所有重要信息（如使用的数据来源、使用的结局指标、分析的类型、分析的局限性和研究结果的外推性），可以简明扼要地披露相关信息，详见以下所述。FDA建议将此上下文信息结合与其相关的HCEI所呈现信息一起提供，或者HCEI呈现的信息应包含对所呈现信息位置的突出引用。</w:t>
      </w:r>
    </w:p>
    <w:p w14:paraId="100EB228">
      <w:pPr>
        <w:snapToGrid w:val="0"/>
        <w:ind w:left="1276" w:leftChars="638"/>
        <w:jc w:val="both"/>
        <w:rPr>
          <w:rFonts w:eastAsia="宋体"/>
          <w:color w:val="000000"/>
          <w:sz w:val="24"/>
          <w:szCs w:val="24"/>
        </w:rPr>
      </w:pPr>
    </w:p>
    <w:p w14:paraId="1ED5691F">
      <w:pPr>
        <w:snapToGrid w:val="0"/>
        <w:ind w:left="1276" w:leftChars="638"/>
        <w:jc w:val="both"/>
        <w:rPr>
          <w:rFonts w:eastAsia="宋体"/>
          <w:sz w:val="24"/>
          <w:szCs w:val="24"/>
        </w:rPr>
      </w:pPr>
      <w:r>
        <w:rPr>
          <w:rFonts w:eastAsia="宋体"/>
          <w:color w:val="000000"/>
          <w:sz w:val="24"/>
          <w:szCs w:val="24"/>
        </w:rPr>
        <w:t>FDA意识到，一些权威机构已为公司与医疗费用支付方的通信制定格式建议，其中建议</w:t>
      </w:r>
      <w:r>
        <w:rPr>
          <w:rFonts w:hint="eastAsia" w:eastAsia="宋体"/>
          <w:color w:val="000000"/>
          <w:sz w:val="24"/>
          <w:szCs w:val="24"/>
        </w:rPr>
        <w:t>了</w:t>
      </w:r>
      <w:r>
        <w:rPr>
          <w:rFonts w:eastAsia="宋体"/>
          <w:color w:val="000000"/>
          <w:sz w:val="24"/>
          <w:szCs w:val="24"/>
        </w:rPr>
        <w:t>公司应在其通信中的什么位置披露下述信息。本文提供的建议并不意味着公司应重复披露这种背景/上下文信息，</w:t>
      </w:r>
      <w:r>
        <w:rPr>
          <w:rFonts w:hint="eastAsia" w:eastAsia="宋体"/>
          <w:color w:val="000000"/>
          <w:sz w:val="24"/>
          <w:szCs w:val="24"/>
        </w:rPr>
        <w:t>但</w:t>
      </w:r>
      <w:r>
        <w:rPr>
          <w:rFonts w:eastAsia="宋体"/>
          <w:color w:val="000000"/>
          <w:sz w:val="24"/>
          <w:szCs w:val="24"/>
        </w:rPr>
        <w:t>前提是这些信息已按这种格式建议提供。</w:t>
      </w:r>
    </w:p>
    <w:p w14:paraId="7C2E93C3">
      <w:pPr>
        <w:snapToGrid w:val="0"/>
        <w:jc w:val="both"/>
        <w:rPr>
          <w:rFonts w:eastAsia="宋体"/>
          <w:sz w:val="24"/>
          <w:szCs w:val="24"/>
        </w:rPr>
      </w:pPr>
    </w:p>
    <w:p w14:paraId="21E7A750">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F0A6B1F">
      <w:pPr>
        <w:tabs>
          <w:tab w:val="left" w:pos="1440"/>
        </w:tabs>
        <w:snapToGrid w:val="0"/>
        <w:ind w:left="566" w:leftChars="283"/>
        <w:jc w:val="both"/>
        <w:rPr>
          <w:rFonts w:eastAsia="宋体"/>
          <w:sz w:val="24"/>
          <w:szCs w:val="24"/>
        </w:rPr>
      </w:pPr>
      <w:r>
        <w:rPr>
          <w:rFonts w:eastAsia="宋体"/>
          <w:i/>
          <w:iCs/>
          <w:color w:val="000000"/>
          <w:sz w:val="24"/>
          <w:szCs w:val="24"/>
        </w:rPr>
        <w:t>1.</w:t>
      </w:r>
      <w:r>
        <w:rPr>
          <w:rFonts w:eastAsia="宋体"/>
          <w:i/>
          <w:iCs/>
          <w:color w:val="000000"/>
          <w:sz w:val="24"/>
          <w:szCs w:val="24"/>
        </w:rPr>
        <w:tab/>
      </w:r>
      <w:r>
        <w:rPr>
          <w:rFonts w:eastAsia="宋体"/>
          <w:i/>
          <w:iCs/>
          <w:color w:val="000000"/>
          <w:sz w:val="24"/>
          <w:szCs w:val="24"/>
        </w:rPr>
        <w:t>研究设计和方法</w:t>
      </w:r>
    </w:p>
    <w:p w14:paraId="5DBC73E7">
      <w:pPr>
        <w:snapToGrid w:val="0"/>
        <w:jc w:val="both"/>
        <w:rPr>
          <w:rFonts w:eastAsia="宋体"/>
          <w:color w:val="000000"/>
          <w:sz w:val="24"/>
          <w:szCs w:val="24"/>
        </w:rPr>
      </w:pPr>
    </w:p>
    <w:p w14:paraId="21B7577C">
      <w:pPr>
        <w:snapToGrid w:val="0"/>
        <w:jc w:val="both"/>
        <w:rPr>
          <w:rFonts w:eastAsia="宋体"/>
          <w:color w:val="000000"/>
          <w:sz w:val="24"/>
          <w:szCs w:val="24"/>
        </w:rPr>
      </w:pPr>
      <w:r>
        <w:rPr>
          <w:rFonts w:eastAsia="宋体"/>
          <w:color w:val="000000"/>
          <w:sz w:val="24"/>
          <w:szCs w:val="24"/>
        </w:rPr>
        <w:t>公司应包括经济分析设计的准确概述，包括研究目标的声明。例如，应对所检验假设提供清晰的描述，并且应确认潜在的偏倚和/或混杂因素。此外，还应在相关情况下提供以下有关研究和/或方法的信息：</w:t>
      </w:r>
    </w:p>
    <w:p w14:paraId="11A3FF79">
      <w:pPr>
        <w:snapToGrid w:val="0"/>
        <w:jc w:val="both"/>
        <w:rPr>
          <w:rFonts w:eastAsia="宋体"/>
          <w:sz w:val="24"/>
          <w:szCs w:val="24"/>
        </w:rPr>
      </w:pPr>
    </w:p>
    <w:p w14:paraId="5B8C8D1D">
      <w:pPr>
        <w:snapToGrid w:val="0"/>
        <w:ind w:left="314" w:leftChars="157"/>
        <w:jc w:val="both"/>
        <w:rPr>
          <w:rFonts w:eastAsia="宋体"/>
          <w:color w:val="000000"/>
          <w:sz w:val="24"/>
          <w:szCs w:val="24"/>
          <w:vertAlign w:val="superscript"/>
        </w:rPr>
      </w:pPr>
      <w:r>
        <w:rPr>
          <w:rFonts w:eastAsia="宋体"/>
          <w:b/>
          <w:bCs/>
          <w:color w:val="000000"/>
          <w:sz w:val="24"/>
          <w:szCs w:val="24"/>
        </w:rPr>
        <w:t>分析类型：</w:t>
      </w:r>
      <w:r>
        <w:rPr>
          <w:rFonts w:eastAsia="宋体"/>
          <w:color w:val="000000"/>
          <w:sz w:val="24"/>
          <w:szCs w:val="24"/>
        </w:rPr>
        <w:t>应说明所选择的经济分析类型（例如，最小成本分析、成本效益分析、成本效用分析、成本收益分析、成本后果分析、预算影响分析），并说明选择的原因。</w:t>
      </w:r>
      <w:r>
        <w:fldChar w:fldCharType="begin"/>
      </w:r>
      <w:r>
        <w:instrText xml:space="preserve">HYPERLINK \l "bookmark1"</w:instrText>
      </w:r>
      <w:r>
        <w:fldChar w:fldCharType="separate"/>
      </w:r>
      <w:r>
        <w:rPr>
          <w:rStyle w:val="17"/>
          <w:rFonts w:eastAsia="宋体"/>
          <w:color w:val="000000"/>
          <w:sz w:val="24"/>
          <w:szCs w:val="24"/>
        </w:rPr>
        <w:footnoteReference w:id="29"/>
      </w:r>
      <w:r>
        <w:fldChar w:fldCharType="end"/>
      </w:r>
    </w:p>
    <w:p w14:paraId="3A0E684E">
      <w:pPr>
        <w:snapToGrid w:val="0"/>
        <w:ind w:left="314" w:leftChars="157"/>
        <w:jc w:val="both"/>
        <w:rPr>
          <w:rFonts w:eastAsia="宋体"/>
          <w:sz w:val="24"/>
          <w:szCs w:val="24"/>
        </w:rPr>
      </w:pPr>
    </w:p>
    <w:p w14:paraId="55C438D9">
      <w:pPr>
        <w:snapToGrid w:val="0"/>
        <w:ind w:left="314" w:leftChars="157"/>
        <w:jc w:val="both"/>
        <w:rPr>
          <w:rFonts w:eastAsia="宋体"/>
          <w:color w:val="000000"/>
          <w:sz w:val="24"/>
          <w:szCs w:val="24"/>
        </w:rPr>
      </w:pPr>
      <w:r>
        <w:rPr>
          <w:rFonts w:eastAsia="宋体"/>
          <w:b/>
          <w:bCs/>
          <w:color w:val="000000"/>
          <w:sz w:val="24"/>
          <w:szCs w:val="24"/>
        </w:rPr>
        <w:t>建模：</w:t>
      </w:r>
      <w:r>
        <w:rPr>
          <w:rFonts w:eastAsia="宋体"/>
          <w:color w:val="000000"/>
          <w:sz w:val="24"/>
          <w:szCs w:val="24"/>
        </w:rPr>
        <w:t>应披露建模技术的类型，并解释模型选择、其范围及其关键变量/参数。</w:t>
      </w:r>
      <w:r>
        <w:fldChar w:fldCharType="begin"/>
      </w:r>
      <w:r>
        <w:instrText xml:space="preserve">HYPERLINK \l "bookmark1"</w:instrText>
      </w:r>
      <w:r>
        <w:fldChar w:fldCharType="separate"/>
      </w:r>
      <w:r>
        <w:rPr>
          <w:rStyle w:val="17"/>
          <w:rFonts w:eastAsia="宋体"/>
          <w:color w:val="000000"/>
          <w:sz w:val="24"/>
          <w:szCs w:val="24"/>
        </w:rPr>
        <w:footnoteReference w:id="30"/>
      </w:r>
      <w:r>
        <w:fldChar w:fldCharType="end"/>
      </w:r>
      <w:r>
        <w:rPr>
          <w:rFonts w:eastAsia="宋体"/>
          <w:color w:val="000000"/>
          <w:sz w:val="24"/>
          <w:szCs w:val="24"/>
        </w:rPr>
        <w:t xml:space="preserve"> 在分析中应讨论在经济模型中纳入和排除特定变量的依据和后果。</w:t>
      </w:r>
    </w:p>
    <w:p w14:paraId="63C5C5BB">
      <w:pPr>
        <w:snapToGrid w:val="0"/>
        <w:ind w:left="314" w:leftChars="157"/>
        <w:jc w:val="both"/>
        <w:rPr>
          <w:rFonts w:eastAsia="宋体"/>
          <w:sz w:val="24"/>
          <w:szCs w:val="24"/>
        </w:rPr>
      </w:pPr>
    </w:p>
    <w:p w14:paraId="353F7C2A">
      <w:pPr>
        <w:snapToGrid w:val="0"/>
        <w:ind w:left="314" w:leftChars="157"/>
        <w:jc w:val="both"/>
        <w:rPr>
          <w:rFonts w:eastAsia="宋体"/>
          <w:sz w:val="24"/>
          <w:szCs w:val="24"/>
        </w:rPr>
      </w:pPr>
      <w:r>
        <w:rPr>
          <w:rFonts w:eastAsia="宋体"/>
          <w:b/>
          <w:bCs/>
          <w:color w:val="000000"/>
          <w:sz w:val="24"/>
          <w:szCs w:val="24"/>
        </w:rPr>
        <w:t>患者人群：</w:t>
      </w:r>
      <w:r>
        <w:rPr>
          <w:rFonts w:eastAsia="宋体"/>
          <w:color w:val="000000"/>
          <w:sz w:val="24"/>
          <w:szCs w:val="24"/>
        </w:rPr>
        <w:t>应说明有关患者人群的详细信息，包括患者人数和相关人口统计学资料，如年龄、性别、种族、临床特征和社会经济状况。</w:t>
      </w:r>
      <w:r>
        <w:fldChar w:fldCharType="begin"/>
      </w:r>
      <w:r>
        <w:instrText xml:space="preserve"> HYPERLINK \l "bookmark1" </w:instrText>
      </w:r>
      <w:r>
        <w:fldChar w:fldCharType="separate"/>
      </w:r>
      <w:r>
        <w:rPr>
          <w:rStyle w:val="17"/>
          <w:rFonts w:eastAsia="宋体"/>
          <w:color w:val="000000"/>
          <w:sz w:val="24"/>
          <w:szCs w:val="24"/>
        </w:rPr>
        <w:footnoteReference w:id="31"/>
      </w:r>
      <w:r>
        <w:rPr>
          <w:rStyle w:val="17"/>
          <w:rFonts w:eastAsia="宋体"/>
          <w:color w:val="000000"/>
          <w:sz w:val="24"/>
          <w:szCs w:val="24"/>
        </w:rPr>
        <w:fldChar w:fldCharType="end"/>
      </w:r>
      <w:r>
        <w:rPr>
          <w:rFonts w:eastAsia="宋体"/>
          <w:color w:val="000000"/>
          <w:sz w:val="24"/>
          <w:szCs w:val="24"/>
          <w:vertAlign w:val="superscript"/>
        </w:rPr>
        <w:t>,</w:t>
      </w:r>
      <w:r>
        <w:fldChar w:fldCharType="begin"/>
      </w:r>
      <w:r>
        <w:instrText xml:space="preserve"> HYPERLINK \l "bookmark1" </w:instrText>
      </w:r>
      <w:r>
        <w:fldChar w:fldCharType="separate"/>
      </w:r>
      <w:r>
        <w:rPr>
          <w:rStyle w:val="17"/>
          <w:rFonts w:eastAsia="宋体"/>
          <w:color w:val="000000"/>
          <w:sz w:val="24"/>
          <w:szCs w:val="24"/>
        </w:rPr>
        <w:footnoteReference w:id="32"/>
      </w:r>
      <w:r>
        <w:rPr>
          <w:rStyle w:val="17"/>
          <w:rFonts w:eastAsia="宋体"/>
          <w:color w:val="000000"/>
          <w:sz w:val="24"/>
          <w:szCs w:val="24"/>
        </w:rPr>
        <w:fldChar w:fldCharType="end"/>
      </w:r>
    </w:p>
    <w:p w14:paraId="5F8B19F1">
      <w:pPr>
        <w:snapToGrid w:val="0"/>
        <w:ind w:left="314" w:leftChars="157"/>
        <w:jc w:val="both"/>
        <w:rPr>
          <w:rFonts w:eastAsia="宋体"/>
          <w:b/>
          <w:bCs/>
          <w:color w:val="000000"/>
          <w:sz w:val="24"/>
          <w:szCs w:val="24"/>
        </w:rPr>
      </w:pPr>
    </w:p>
    <w:p w14:paraId="766F25B6">
      <w:pPr>
        <w:snapToGrid w:val="0"/>
        <w:ind w:left="314" w:leftChars="157"/>
        <w:jc w:val="both"/>
        <w:rPr>
          <w:rFonts w:eastAsia="宋体"/>
          <w:color w:val="000000"/>
          <w:sz w:val="24"/>
          <w:szCs w:val="24"/>
          <w:vertAlign w:val="superscript"/>
        </w:rPr>
      </w:pPr>
      <w:r>
        <w:rPr>
          <w:rFonts w:eastAsia="宋体"/>
          <w:b/>
          <w:bCs/>
          <w:color w:val="000000"/>
          <w:sz w:val="24"/>
          <w:szCs w:val="24"/>
        </w:rPr>
        <w:t>观点/视角：</w:t>
      </w:r>
      <w:r>
        <w:rPr>
          <w:rFonts w:eastAsia="宋体"/>
          <w:color w:val="000000"/>
          <w:sz w:val="24"/>
          <w:szCs w:val="24"/>
        </w:rPr>
        <w:t>应清楚地说明经济分析的观点或视角，以便医疗费用支付方能够理解输入的选择依据（例如，结局指标、时间段、成本），从而能够确定HCEI是否与其特定的医疗保健机构相关。可能的观点包括患者、雇主、医护人员（例如，临床医生、机构）、医疗费用支付方、监管机构（例如，政府机构）或社会（即，每个受治疗影响的人员）的观点。</w:t>
      </w:r>
      <w:r>
        <w:fldChar w:fldCharType="begin"/>
      </w:r>
      <w:r>
        <w:instrText xml:space="preserve">HYPERLINK \l "bookmark1"</w:instrText>
      </w:r>
      <w:r>
        <w:fldChar w:fldCharType="separate"/>
      </w:r>
      <w:r>
        <w:rPr>
          <w:rStyle w:val="17"/>
          <w:rFonts w:eastAsia="宋体"/>
          <w:color w:val="000000"/>
          <w:sz w:val="24"/>
          <w:szCs w:val="24"/>
        </w:rPr>
        <w:footnoteReference w:id="33"/>
      </w:r>
      <w:r>
        <w:fldChar w:fldCharType="end"/>
      </w:r>
      <w:r>
        <w:rPr>
          <w:rFonts w:eastAsia="宋体"/>
          <w:color w:val="000000"/>
          <w:sz w:val="24"/>
          <w:szCs w:val="24"/>
          <w:vertAlign w:val="superscript"/>
        </w:rPr>
        <w:t>,</w:t>
      </w:r>
      <w:r>
        <w:fldChar w:fldCharType="begin"/>
      </w:r>
      <w:r>
        <w:instrText xml:space="preserve"> HYPERLINK \l "bookmark1" </w:instrText>
      </w:r>
      <w:r>
        <w:fldChar w:fldCharType="separate"/>
      </w:r>
      <w:r>
        <w:rPr>
          <w:rStyle w:val="17"/>
          <w:rFonts w:eastAsia="宋体"/>
          <w:color w:val="000000"/>
          <w:sz w:val="24"/>
          <w:szCs w:val="24"/>
        </w:rPr>
        <w:footnoteReference w:id="34"/>
      </w:r>
      <w:r>
        <w:rPr>
          <w:rStyle w:val="17"/>
          <w:rFonts w:eastAsia="宋体"/>
          <w:color w:val="000000"/>
          <w:sz w:val="24"/>
          <w:szCs w:val="24"/>
        </w:rPr>
        <w:fldChar w:fldCharType="end"/>
      </w:r>
    </w:p>
    <w:p w14:paraId="2106BE4A">
      <w:pPr>
        <w:snapToGrid w:val="0"/>
        <w:ind w:left="314" w:leftChars="157"/>
        <w:jc w:val="both"/>
        <w:rPr>
          <w:rFonts w:eastAsia="宋体"/>
          <w:sz w:val="24"/>
          <w:szCs w:val="24"/>
        </w:rPr>
      </w:pPr>
    </w:p>
    <w:p w14:paraId="1ABEEA70">
      <w:pPr>
        <w:snapToGrid w:val="0"/>
        <w:ind w:left="314" w:leftChars="157"/>
        <w:jc w:val="both"/>
        <w:rPr>
          <w:rFonts w:eastAsia="宋体"/>
          <w:sz w:val="24"/>
          <w:szCs w:val="24"/>
        </w:rPr>
      </w:pPr>
      <w:r>
        <w:rPr>
          <w:rFonts w:eastAsia="宋体"/>
          <w:b/>
          <w:bCs/>
          <w:color w:val="000000"/>
          <w:sz w:val="24"/>
          <w:szCs w:val="24"/>
        </w:rPr>
        <w:t>比较</w:t>
      </w:r>
      <w:r>
        <w:rPr>
          <w:rFonts w:hint="eastAsia" w:eastAsia="宋体"/>
          <w:b/>
          <w:bCs/>
          <w:color w:val="000000"/>
          <w:sz w:val="24"/>
          <w:szCs w:val="24"/>
        </w:rPr>
        <w:t>对象</w:t>
      </w:r>
      <w:r>
        <w:rPr>
          <w:rFonts w:eastAsia="宋体"/>
          <w:b/>
          <w:bCs/>
          <w:color w:val="000000"/>
          <w:sz w:val="24"/>
          <w:szCs w:val="24"/>
        </w:rPr>
        <w:t>：</w:t>
      </w:r>
      <w:r>
        <w:rPr>
          <w:rFonts w:eastAsia="宋体"/>
          <w:color w:val="000000"/>
          <w:sz w:val="24"/>
          <w:szCs w:val="24"/>
        </w:rPr>
        <w:t>应解释比较产品的选择（例如其他药品，其他医疗护理，不治疗）。</w:t>
      </w:r>
      <w:r>
        <w:fldChar w:fldCharType="begin"/>
      </w:r>
      <w:r>
        <w:instrText xml:space="preserve">HYPERLINK \l "bookmark1"</w:instrText>
      </w:r>
      <w:r>
        <w:fldChar w:fldCharType="separate"/>
      </w:r>
      <w:r>
        <w:rPr>
          <w:rStyle w:val="17"/>
          <w:rFonts w:eastAsia="宋体"/>
          <w:color w:val="000000"/>
          <w:sz w:val="24"/>
          <w:szCs w:val="24"/>
        </w:rPr>
        <w:footnoteReference w:id="35"/>
      </w:r>
      <w:r>
        <w:fldChar w:fldCharType="end"/>
      </w:r>
      <w:r>
        <w:rPr>
          <w:rFonts w:eastAsia="宋体"/>
          <w:color w:val="000000"/>
          <w:sz w:val="24"/>
          <w:szCs w:val="24"/>
          <w:vertAlign w:val="superscript"/>
        </w:rPr>
        <w:t>,</w:t>
      </w:r>
      <w:r>
        <w:fldChar w:fldCharType="begin"/>
      </w:r>
      <w:r>
        <w:instrText xml:space="preserve"> HYPERLINK \l "bookmark1" </w:instrText>
      </w:r>
      <w:r>
        <w:fldChar w:fldCharType="separate"/>
      </w:r>
      <w:r>
        <w:rPr>
          <w:rStyle w:val="17"/>
          <w:rFonts w:eastAsia="宋体"/>
          <w:color w:val="000000"/>
          <w:sz w:val="24"/>
          <w:szCs w:val="24"/>
        </w:rPr>
        <w:footnoteReference w:id="36"/>
      </w:r>
      <w:r>
        <w:rPr>
          <w:rStyle w:val="17"/>
          <w:rFonts w:eastAsia="宋体"/>
          <w:color w:val="000000"/>
          <w:sz w:val="24"/>
          <w:szCs w:val="24"/>
        </w:rPr>
        <w:fldChar w:fldCharType="end"/>
      </w:r>
    </w:p>
    <w:p w14:paraId="29347E17">
      <w:pPr>
        <w:tabs>
          <w:tab w:val="left" w:pos="178"/>
        </w:tabs>
        <w:snapToGrid w:val="0"/>
        <w:jc w:val="both"/>
        <w:rPr>
          <w:rFonts w:eastAsia="宋体"/>
          <w:color w:val="000000"/>
          <w:sz w:val="24"/>
          <w:szCs w:val="24"/>
          <w:vertAlign w:val="superscript"/>
        </w:rPr>
      </w:pPr>
    </w:p>
    <w:p w14:paraId="5DD6030F">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64033F5">
      <w:pPr>
        <w:snapToGrid w:val="0"/>
        <w:ind w:left="314" w:leftChars="157"/>
        <w:jc w:val="both"/>
        <w:rPr>
          <w:rFonts w:eastAsia="宋体"/>
          <w:color w:val="000000"/>
          <w:sz w:val="24"/>
          <w:szCs w:val="24"/>
          <w:vertAlign w:val="superscript"/>
        </w:rPr>
      </w:pPr>
      <w:r>
        <w:rPr>
          <w:rFonts w:eastAsia="宋体"/>
          <w:b/>
          <w:bCs/>
          <w:color w:val="000000"/>
          <w:sz w:val="24"/>
          <w:szCs w:val="24"/>
        </w:rPr>
        <w:t>时间范围：</w:t>
      </w:r>
      <w:r>
        <w:rPr>
          <w:rFonts w:eastAsia="宋体"/>
          <w:color w:val="000000"/>
          <w:sz w:val="24"/>
          <w:szCs w:val="24"/>
        </w:rPr>
        <w:t>应清楚地说明和解释时间范围的选择，包括其与主要和相关临床结局（例如，安全性和有效性）的关系，以及与感兴趣治疗及其比较治疗相关的经济后果。</w:t>
      </w:r>
      <w:r>
        <w:fldChar w:fldCharType="begin"/>
      </w:r>
      <w:r>
        <w:instrText xml:space="preserve">HYPERLINK \l "bookmark1"</w:instrText>
      </w:r>
      <w:r>
        <w:fldChar w:fldCharType="separate"/>
      </w:r>
      <w:r>
        <w:rPr>
          <w:rStyle w:val="17"/>
          <w:rFonts w:eastAsia="宋体"/>
          <w:color w:val="000000"/>
          <w:sz w:val="24"/>
          <w:szCs w:val="24"/>
        </w:rPr>
        <w:footnoteReference w:id="37"/>
      </w:r>
      <w:r>
        <w:fldChar w:fldCharType="end"/>
      </w:r>
      <w:r>
        <w:rPr>
          <w:rFonts w:eastAsia="宋体"/>
          <w:color w:val="000000"/>
          <w:sz w:val="24"/>
          <w:szCs w:val="24"/>
          <w:vertAlign w:val="superscript"/>
        </w:rPr>
        <w:t>,</w:t>
      </w:r>
      <w:r>
        <w:fldChar w:fldCharType="begin"/>
      </w:r>
      <w:r>
        <w:instrText xml:space="preserve"> HYPERLINK \l "bookmark1" </w:instrText>
      </w:r>
      <w:r>
        <w:fldChar w:fldCharType="separate"/>
      </w:r>
      <w:r>
        <w:rPr>
          <w:rStyle w:val="17"/>
          <w:rFonts w:eastAsia="宋体"/>
          <w:color w:val="000000"/>
          <w:sz w:val="24"/>
          <w:szCs w:val="24"/>
        </w:rPr>
        <w:footnoteReference w:id="38"/>
      </w:r>
      <w:r>
        <w:rPr>
          <w:rStyle w:val="17"/>
          <w:rFonts w:eastAsia="宋体"/>
          <w:color w:val="000000"/>
          <w:sz w:val="24"/>
          <w:szCs w:val="24"/>
        </w:rPr>
        <w:fldChar w:fldCharType="end"/>
      </w:r>
    </w:p>
    <w:p w14:paraId="18163238">
      <w:pPr>
        <w:snapToGrid w:val="0"/>
        <w:ind w:left="314" w:leftChars="157"/>
        <w:jc w:val="both"/>
        <w:rPr>
          <w:rFonts w:eastAsia="宋体"/>
          <w:sz w:val="24"/>
          <w:szCs w:val="24"/>
        </w:rPr>
      </w:pPr>
    </w:p>
    <w:p w14:paraId="26915DB2">
      <w:pPr>
        <w:snapToGrid w:val="0"/>
        <w:ind w:left="314" w:leftChars="157"/>
        <w:jc w:val="both"/>
        <w:rPr>
          <w:rFonts w:eastAsia="宋体"/>
          <w:color w:val="000000"/>
          <w:sz w:val="24"/>
          <w:szCs w:val="24"/>
        </w:rPr>
      </w:pPr>
      <w:r>
        <w:rPr>
          <w:rFonts w:eastAsia="宋体"/>
          <w:b/>
          <w:bCs/>
          <w:color w:val="000000"/>
          <w:sz w:val="24"/>
          <w:szCs w:val="24"/>
        </w:rPr>
        <w:t>结局判定指标：</w:t>
      </w:r>
      <w:r>
        <w:rPr>
          <w:rFonts w:eastAsia="宋体"/>
          <w:color w:val="000000"/>
          <w:sz w:val="24"/>
          <w:szCs w:val="24"/>
        </w:rPr>
        <w:t>应描述所选择的结局指标，以及临床和/或非临床数据的来源。例如，选择的临床结局可能包括PRO（例如，工作效率、日基本日常生活活动）或QALY。数据来源可以包括临床和非临床研究或其他来源，例如来自行政数据库（例如，健康计划数据库）、电子健康记录（EHR）和登记中心的真实数据。</w:t>
      </w:r>
    </w:p>
    <w:p w14:paraId="31C436DA">
      <w:pPr>
        <w:snapToGrid w:val="0"/>
        <w:ind w:left="314" w:leftChars="157"/>
        <w:jc w:val="both"/>
        <w:rPr>
          <w:rFonts w:eastAsia="宋体"/>
          <w:sz w:val="24"/>
          <w:szCs w:val="24"/>
        </w:rPr>
      </w:pPr>
    </w:p>
    <w:p w14:paraId="4F792415">
      <w:pPr>
        <w:snapToGrid w:val="0"/>
        <w:ind w:left="314" w:leftChars="157"/>
        <w:jc w:val="both"/>
        <w:rPr>
          <w:rFonts w:eastAsia="宋体"/>
          <w:color w:val="000000"/>
          <w:sz w:val="24"/>
          <w:szCs w:val="24"/>
          <w:vertAlign w:val="superscript"/>
        </w:rPr>
      </w:pPr>
      <w:r>
        <w:rPr>
          <w:rFonts w:eastAsia="宋体"/>
          <w:b/>
          <w:bCs/>
          <w:color w:val="000000"/>
          <w:sz w:val="24"/>
          <w:szCs w:val="24"/>
        </w:rPr>
        <w:t>成本估算：</w:t>
      </w:r>
      <w:r>
        <w:rPr>
          <w:rFonts w:eastAsia="宋体"/>
          <w:color w:val="000000"/>
          <w:sz w:val="24"/>
          <w:szCs w:val="24"/>
        </w:rPr>
        <w:t>经济分析中用于测量和评价治疗路径的所有相关资源项目都应确定。应参考成本数据的来源，包括定价日期。</w:t>
      </w:r>
      <w:r>
        <w:fldChar w:fldCharType="begin"/>
      </w:r>
      <w:r>
        <w:instrText xml:space="preserve"> HYPERLINK \l "bookmark1" </w:instrText>
      </w:r>
      <w:r>
        <w:fldChar w:fldCharType="separate"/>
      </w:r>
      <w:r>
        <w:rPr>
          <w:rStyle w:val="17"/>
          <w:rFonts w:eastAsia="宋体"/>
          <w:color w:val="000000"/>
          <w:sz w:val="24"/>
          <w:szCs w:val="24"/>
        </w:rPr>
        <w:footnoteReference w:id="39"/>
      </w:r>
      <w:r>
        <w:rPr>
          <w:rStyle w:val="17"/>
          <w:rFonts w:eastAsia="宋体"/>
          <w:color w:val="000000"/>
          <w:sz w:val="24"/>
          <w:szCs w:val="24"/>
        </w:rPr>
        <w:fldChar w:fldCharType="end"/>
      </w:r>
      <w:r>
        <w:rPr>
          <w:rFonts w:eastAsia="宋体"/>
          <w:color w:val="000000"/>
          <w:sz w:val="24"/>
          <w:szCs w:val="24"/>
        </w:rPr>
        <w:t xml:space="preserve"> 此外，还应披露和解释任何数据操作和方法（例如，贴现率、通货膨胀调整、货币兑换）。</w:t>
      </w:r>
      <w:r>
        <w:fldChar w:fldCharType="begin"/>
      </w:r>
      <w:r>
        <w:instrText xml:space="preserve">HYPERLINK \l "bookmark1"</w:instrText>
      </w:r>
      <w:r>
        <w:fldChar w:fldCharType="separate"/>
      </w:r>
      <w:r>
        <w:rPr>
          <w:rStyle w:val="17"/>
          <w:rFonts w:eastAsia="宋体"/>
          <w:color w:val="000000"/>
          <w:sz w:val="24"/>
          <w:szCs w:val="24"/>
        </w:rPr>
        <w:footnoteReference w:id="40"/>
      </w:r>
      <w:r>
        <w:fldChar w:fldCharType="end"/>
      </w:r>
    </w:p>
    <w:p w14:paraId="756A2021">
      <w:pPr>
        <w:snapToGrid w:val="0"/>
        <w:ind w:left="314" w:leftChars="157"/>
        <w:jc w:val="both"/>
        <w:rPr>
          <w:rFonts w:eastAsia="宋体"/>
          <w:sz w:val="24"/>
          <w:szCs w:val="24"/>
        </w:rPr>
      </w:pPr>
    </w:p>
    <w:p w14:paraId="035F7E6A">
      <w:pPr>
        <w:snapToGrid w:val="0"/>
        <w:ind w:left="314" w:leftChars="157"/>
        <w:jc w:val="both"/>
        <w:rPr>
          <w:rFonts w:eastAsia="宋体"/>
          <w:color w:val="000000"/>
          <w:sz w:val="24"/>
          <w:szCs w:val="24"/>
        </w:rPr>
      </w:pPr>
      <w:r>
        <w:rPr>
          <w:rFonts w:eastAsia="宋体"/>
          <w:b/>
          <w:bCs/>
          <w:color w:val="000000"/>
          <w:sz w:val="24"/>
          <w:szCs w:val="24"/>
        </w:rPr>
        <w:t>假设：</w:t>
      </w:r>
      <w:r>
        <w:rPr>
          <w:rFonts w:eastAsia="宋体"/>
          <w:color w:val="000000"/>
          <w:sz w:val="24"/>
          <w:szCs w:val="24"/>
        </w:rPr>
        <w:t>在解释经济分析方法时，应明确列出所有假设（临床和非临床）及相关依据。</w:t>
      </w:r>
      <w:r>
        <w:fldChar w:fldCharType="begin"/>
      </w:r>
      <w:r>
        <w:instrText xml:space="preserve">HYPERLINK \l "bookmark1"</w:instrText>
      </w:r>
      <w:r>
        <w:fldChar w:fldCharType="separate"/>
      </w:r>
      <w:r>
        <w:rPr>
          <w:rStyle w:val="17"/>
          <w:rFonts w:eastAsia="宋体"/>
          <w:color w:val="000000"/>
          <w:sz w:val="24"/>
          <w:szCs w:val="24"/>
        </w:rPr>
        <w:footnoteReference w:id="41"/>
      </w:r>
      <w:r>
        <w:fldChar w:fldCharType="end"/>
      </w:r>
      <w:r>
        <w:rPr>
          <w:rFonts w:eastAsia="宋体"/>
          <w:color w:val="000000"/>
          <w:sz w:val="24"/>
          <w:szCs w:val="24"/>
        </w:rPr>
        <w:t xml:space="preserve"> 假设可能包括，例如，与患者人口统计学资料或特征、自然病程、疾病管理/临床实践以及临床事件成本相关的信息。应提供用于支持所作假设的证据的参考列表。如有要求，应向医疗费用支付方提供参考文件的副本。</w:t>
      </w:r>
    </w:p>
    <w:p w14:paraId="018155B2">
      <w:pPr>
        <w:snapToGrid w:val="0"/>
        <w:ind w:left="314" w:leftChars="157"/>
        <w:jc w:val="both"/>
        <w:rPr>
          <w:rFonts w:eastAsia="宋体"/>
          <w:sz w:val="24"/>
          <w:szCs w:val="24"/>
        </w:rPr>
      </w:pPr>
    </w:p>
    <w:p w14:paraId="59C12F15">
      <w:pPr>
        <w:pStyle w:val="5"/>
        <w:rPr>
          <w:sz w:val="24"/>
          <w:szCs w:val="24"/>
        </w:rPr>
      </w:pPr>
      <w:r>
        <w:rPr>
          <w:sz w:val="24"/>
          <w:szCs w:val="24"/>
        </w:rPr>
        <w:t>2.</w:t>
      </w:r>
      <w:r>
        <w:rPr>
          <w:sz w:val="24"/>
          <w:szCs w:val="24"/>
        </w:rPr>
        <w:tab/>
      </w:r>
      <w:r>
        <w:rPr>
          <w:sz w:val="24"/>
          <w:szCs w:val="24"/>
        </w:rPr>
        <w:t>外推性</w:t>
      </w:r>
    </w:p>
    <w:p w14:paraId="633812EB">
      <w:pPr>
        <w:tabs>
          <w:tab w:val="left" w:pos="1440"/>
        </w:tabs>
        <w:snapToGrid w:val="0"/>
        <w:ind w:left="566" w:leftChars="283"/>
        <w:jc w:val="both"/>
        <w:rPr>
          <w:rFonts w:eastAsia="宋体"/>
          <w:sz w:val="24"/>
          <w:szCs w:val="24"/>
        </w:rPr>
      </w:pPr>
    </w:p>
    <w:p w14:paraId="793AA1F3">
      <w:pPr>
        <w:snapToGrid w:val="0"/>
        <w:jc w:val="both"/>
        <w:rPr>
          <w:rFonts w:eastAsia="宋体"/>
          <w:sz w:val="24"/>
          <w:szCs w:val="24"/>
        </w:rPr>
      </w:pPr>
      <w:r>
        <w:rPr>
          <w:rFonts w:eastAsia="宋体"/>
          <w:color w:val="000000"/>
          <w:sz w:val="24"/>
          <w:szCs w:val="24"/>
        </w:rPr>
        <w:t>外推性指在一种医疗保健环境或患者人群中获得的HCEI对另一种医疗保健环境或患者人群的适用性。应披露任何可能限制经济分析外推性的因素。</w:t>
      </w:r>
      <w:r>
        <w:fldChar w:fldCharType="begin"/>
      </w:r>
      <w:r>
        <w:instrText xml:space="preserve">HYPERLINK \l "bookmark1"</w:instrText>
      </w:r>
      <w:r>
        <w:fldChar w:fldCharType="separate"/>
      </w:r>
      <w:r>
        <w:rPr>
          <w:rStyle w:val="17"/>
          <w:rFonts w:eastAsia="宋体"/>
          <w:color w:val="000000"/>
          <w:sz w:val="24"/>
          <w:szCs w:val="24"/>
        </w:rPr>
        <w:footnoteReference w:id="42"/>
      </w:r>
      <w:r>
        <w:fldChar w:fldCharType="end"/>
      </w:r>
    </w:p>
    <w:p w14:paraId="5963ECA6">
      <w:pPr>
        <w:tabs>
          <w:tab w:val="left" w:pos="178"/>
        </w:tabs>
        <w:snapToGrid w:val="0"/>
        <w:jc w:val="both"/>
        <w:rPr>
          <w:rFonts w:eastAsia="宋体"/>
          <w:color w:val="000000"/>
          <w:sz w:val="24"/>
          <w:szCs w:val="24"/>
          <w:vertAlign w:val="superscript"/>
        </w:rPr>
      </w:pPr>
    </w:p>
    <w:p w14:paraId="697A826E">
      <w:pPr>
        <w:tabs>
          <w:tab w:val="left" w:pos="178"/>
        </w:tabs>
        <w:snapToGrid w:val="0"/>
        <w:jc w:val="both"/>
        <w:rPr>
          <w:rFonts w:eastAsia="宋体"/>
          <w:sz w:val="24"/>
          <w:szCs w:val="24"/>
        </w:rPr>
      </w:pPr>
    </w:p>
    <w:p w14:paraId="1BEAA5E8">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3EB76FF">
      <w:pPr>
        <w:pStyle w:val="5"/>
        <w:rPr>
          <w:sz w:val="24"/>
          <w:szCs w:val="24"/>
        </w:rPr>
      </w:pPr>
      <w:r>
        <w:rPr>
          <w:sz w:val="24"/>
          <w:szCs w:val="24"/>
        </w:rPr>
        <w:t>3.</w:t>
      </w:r>
      <w:r>
        <w:rPr>
          <w:sz w:val="24"/>
          <w:szCs w:val="24"/>
        </w:rPr>
        <w:tab/>
      </w:r>
      <w:r>
        <w:rPr>
          <w:sz w:val="24"/>
          <w:szCs w:val="24"/>
        </w:rPr>
        <w:t>局限性</w:t>
      </w:r>
    </w:p>
    <w:p w14:paraId="4B40D393">
      <w:pPr>
        <w:snapToGrid w:val="0"/>
        <w:jc w:val="both"/>
        <w:rPr>
          <w:rFonts w:eastAsia="宋体"/>
          <w:color w:val="000000"/>
          <w:sz w:val="24"/>
          <w:szCs w:val="24"/>
        </w:rPr>
      </w:pPr>
    </w:p>
    <w:p w14:paraId="11019E6C">
      <w:pPr>
        <w:snapToGrid w:val="0"/>
        <w:jc w:val="both"/>
        <w:rPr>
          <w:rFonts w:eastAsia="宋体"/>
          <w:color w:val="000000"/>
          <w:sz w:val="24"/>
          <w:szCs w:val="24"/>
        </w:rPr>
      </w:pPr>
      <w:r>
        <w:rPr>
          <w:rFonts w:eastAsia="宋体"/>
          <w:color w:val="000000"/>
          <w:sz w:val="24"/>
          <w:szCs w:val="24"/>
        </w:rPr>
        <w:t>应明确讨论经济分析的局限性。</w:t>
      </w:r>
      <w:r>
        <w:fldChar w:fldCharType="begin"/>
      </w:r>
      <w:r>
        <w:instrText xml:space="preserve"> HYPERLINK \l "bookmark1" </w:instrText>
      </w:r>
      <w:r>
        <w:fldChar w:fldCharType="separate"/>
      </w:r>
      <w:r>
        <w:rPr>
          <w:rStyle w:val="17"/>
          <w:rFonts w:eastAsia="宋体"/>
          <w:color w:val="000000"/>
          <w:sz w:val="24"/>
          <w:szCs w:val="24"/>
        </w:rPr>
        <w:footnoteReference w:id="43"/>
      </w:r>
      <w:r>
        <w:rPr>
          <w:rStyle w:val="17"/>
          <w:rFonts w:eastAsia="宋体"/>
          <w:color w:val="000000"/>
          <w:sz w:val="24"/>
          <w:szCs w:val="24"/>
        </w:rPr>
        <w:fldChar w:fldCharType="end"/>
      </w:r>
      <w:r>
        <w:rPr>
          <w:rFonts w:eastAsia="宋体"/>
          <w:color w:val="000000"/>
          <w:sz w:val="24"/>
          <w:szCs w:val="24"/>
        </w:rPr>
        <w:t xml:space="preserve"> 可能影响经济分析的可解释性和可靠性的因素包括但不限于研究设计和方法的局限性。</w:t>
      </w:r>
      <w:r>
        <w:fldChar w:fldCharType="begin"/>
      </w:r>
      <w:r>
        <w:instrText xml:space="preserve">HYPERLINK \l "bookmark1"</w:instrText>
      </w:r>
      <w:r>
        <w:fldChar w:fldCharType="separate"/>
      </w:r>
      <w:r>
        <w:rPr>
          <w:rStyle w:val="17"/>
          <w:rFonts w:eastAsia="宋体"/>
          <w:color w:val="000000"/>
          <w:sz w:val="24"/>
          <w:szCs w:val="24"/>
        </w:rPr>
        <w:footnoteReference w:id="44"/>
      </w:r>
      <w:r>
        <w:fldChar w:fldCharType="end"/>
      </w:r>
      <w:r>
        <w:rPr>
          <w:rFonts w:eastAsia="宋体"/>
          <w:color w:val="000000"/>
          <w:sz w:val="24"/>
          <w:szCs w:val="24"/>
        </w:rPr>
        <w:t xml:space="preserve"> 例如，应描述与观察性研究和</w:t>
      </w:r>
      <w:r>
        <w:fldChar w:fldCharType="begin"/>
      </w:r>
      <w:r>
        <w:instrText xml:space="preserve"> HYPERLINK \l "bookmark1" </w:instrText>
      </w:r>
      <w:r>
        <w:fldChar w:fldCharType="separate"/>
      </w:r>
      <w:r>
        <w:rPr>
          <w:rStyle w:val="17"/>
          <w:rFonts w:eastAsia="宋体"/>
          <w:color w:val="000000"/>
          <w:sz w:val="24"/>
          <w:szCs w:val="24"/>
        </w:rPr>
        <w:footnoteReference w:id="45"/>
      </w:r>
      <w:r>
        <w:rPr>
          <w:rStyle w:val="17"/>
          <w:rFonts w:eastAsia="宋体"/>
          <w:color w:val="000000"/>
          <w:sz w:val="24"/>
          <w:szCs w:val="24"/>
        </w:rPr>
        <w:fldChar w:fldCharType="end"/>
      </w:r>
      <w:r>
        <w:rPr>
          <w:rFonts w:eastAsia="宋体"/>
          <w:color w:val="000000"/>
          <w:sz w:val="24"/>
          <w:szCs w:val="24"/>
        </w:rPr>
        <w:t xml:space="preserve"> 间接治疗比较</w:t>
      </w:r>
      <w:r>
        <w:fldChar w:fldCharType="begin"/>
      </w:r>
      <w:r>
        <w:instrText xml:space="preserve">HYPERLINK \l "bookmark1"</w:instrText>
      </w:r>
      <w:r>
        <w:fldChar w:fldCharType="separate"/>
      </w:r>
      <w:r>
        <w:rPr>
          <w:rStyle w:val="17"/>
          <w:rFonts w:eastAsia="宋体"/>
          <w:color w:val="000000"/>
          <w:sz w:val="24"/>
          <w:szCs w:val="24"/>
        </w:rPr>
        <w:footnoteReference w:id="46"/>
      </w:r>
      <w:r>
        <w:fldChar w:fldCharType="end"/>
      </w:r>
      <w:r>
        <w:rPr>
          <w:rFonts w:eastAsia="宋体"/>
          <w:color w:val="000000"/>
          <w:sz w:val="24"/>
          <w:szCs w:val="24"/>
        </w:rPr>
        <w:t xml:space="preserve"> 相关的局限性和方法问题，因为它们可以提供基于这些分析的可靠结论。</w:t>
      </w:r>
    </w:p>
    <w:p w14:paraId="06275DEB">
      <w:pPr>
        <w:snapToGrid w:val="0"/>
        <w:jc w:val="both"/>
        <w:rPr>
          <w:rFonts w:eastAsia="宋体"/>
          <w:sz w:val="24"/>
          <w:szCs w:val="24"/>
        </w:rPr>
      </w:pPr>
    </w:p>
    <w:p w14:paraId="2F4ABB31">
      <w:pPr>
        <w:pStyle w:val="5"/>
        <w:rPr>
          <w:sz w:val="24"/>
          <w:szCs w:val="24"/>
        </w:rPr>
      </w:pPr>
      <w:r>
        <w:rPr>
          <w:sz w:val="24"/>
          <w:szCs w:val="24"/>
        </w:rPr>
        <w:t>4.</w:t>
      </w:r>
      <w:r>
        <w:rPr>
          <w:sz w:val="24"/>
          <w:szCs w:val="24"/>
        </w:rPr>
        <w:tab/>
      </w:r>
      <w:r>
        <w:rPr>
          <w:sz w:val="24"/>
          <w:szCs w:val="24"/>
        </w:rPr>
        <w:t>灵敏度分析</w:t>
      </w:r>
    </w:p>
    <w:p w14:paraId="60FC10D4">
      <w:pPr>
        <w:tabs>
          <w:tab w:val="left" w:pos="1440"/>
        </w:tabs>
        <w:snapToGrid w:val="0"/>
        <w:jc w:val="both"/>
        <w:rPr>
          <w:rFonts w:eastAsia="宋体"/>
          <w:sz w:val="24"/>
          <w:szCs w:val="24"/>
        </w:rPr>
      </w:pPr>
    </w:p>
    <w:p w14:paraId="411E808A">
      <w:pPr>
        <w:snapToGrid w:val="0"/>
        <w:jc w:val="both"/>
        <w:rPr>
          <w:rFonts w:eastAsia="宋体"/>
          <w:color w:val="000000"/>
          <w:sz w:val="24"/>
          <w:szCs w:val="24"/>
          <w:vertAlign w:val="superscript"/>
        </w:rPr>
      </w:pPr>
      <w:r>
        <w:rPr>
          <w:rFonts w:eastAsia="宋体"/>
          <w:color w:val="000000"/>
          <w:sz w:val="24"/>
          <w:szCs w:val="24"/>
        </w:rPr>
        <w:t>不确定性可能来自经济分析中采用的数据来源、外推或分析方法。因此，应识别可能影响HCEI结论的不确定性，并进行灵敏度分析。HCEI应包括关于用于灵敏度分析的方法、选择的变量以及这些变量的范围的充分披露和依据。</w:t>
      </w:r>
      <w:r>
        <w:fldChar w:fldCharType="begin"/>
      </w:r>
      <w:r>
        <w:instrText xml:space="preserve">HYPERLINK \l "bookmark1"</w:instrText>
      </w:r>
      <w:r>
        <w:fldChar w:fldCharType="separate"/>
      </w:r>
      <w:r>
        <w:rPr>
          <w:rStyle w:val="17"/>
          <w:rFonts w:eastAsia="宋体"/>
          <w:color w:val="000000"/>
          <w:sz w:val="24"/>
          <w:szCs w:val="24"/>
        </w:rPr>
        <w:footnoteReference w:id="47"/>
      </w:r>
      <w:r>
        <w:fldChar w:fldCharType="end"/>
      </w:r>
    </w:p>
    <w:p w14:paraId="4A35FAB6">
      <w:pPr>
        <w:snapToGrid w:val="0"/>
        <w:jc w:val="both"/>
        <w:rPr>
          <w:rFonts w:eastAsia="宋体"/>
          <w:sz w:val="24"/>
          <w:szCs w:val="24"/>
        </w:rPr>
      </w:pPr>
    </w:p>
    <w:p w14:paraId="13DFE406">
      <w:pPr>
        <w:pStyle w:val="5"/>
        <w:rPr>
          <w:sz w:val="24"/>
          <w:szCs w:val="24"/>
        </w:rPr>
      </w:pPr>
      <w:r>
        <w:rPr>
          <w:sz w:val="24"/>
          <w:szCs w:val="24"/>
        </w:rPr>
        <w:t>5.</w:t>
      </w:r>
      <w:r>
        <w:rPr>
          <w:sz w:val="24"/>
          <w:szCs w:val="24"/>
        </w:rPr>
        <w:tab/>
      </w:r>
      <w:r>
        <w:rPr>
          <w:sz w:val="24"/>
          <w:szCs w:val="24"/>
        </w:rPr>
        <w:t>平衡完整呈现的其他材料信息</w:t>
      </w:r>
    </w:p>
    <w:p w14:paraId="0F3B6DBC">
      <w:pPr>
        <w:tabs>
          <w:tab w:val="left" w:pos="1440"/>
        </w:tabs>
        <w:snapToGrid w:val="0"/>
        <w:jc w:val="both"/>
        <w:rPr>
          <w:rFonts w:eastAsia="宋体"/>
          <w:sz w:val="24"/>
          <w:szCs w:val="24"/>
        </w:rPr>
      </w:pPr>
    </w:p>
    <w:p w14:paraId="75ED7792">
      <w:pPr>
        <w:snapToGrid w:val="0"/>
        <w:jc w:val="both"/>
        <w:rPr>
          <w:rFonts w:eastAsia="宋体"/>
          <w:color w:val="000000"/>
          <w:sz w:val="24"/>
          <w:szCs w:val="24"/>
        </w:rPr>
      </w:pPr>
      <w:r>
        <w:rPr>
          <w:rFonts w:eastAsia="宋体"/>
          <w:color w:val="000000"/>
          <w:sz w:val="24"/>
          <w:szCs w:val="24"/>
        </w:rPr>
        <w:t>平衡完整呈现包括如下材料信息。FDA认为，以下列出的信息类别通常对HCEI的任何呈现都具有重要意义：</w:t>
      </w:r>
    </w:p>
    <w:p w14:paraId="321117AC">
      <w:pPr>
        <w:snapToGrid w:val="0"/>
        <w:jc w:val="both"/>
        <w:rPr>
          <w:rFonts w:eastAsia="宋体"/>
          <w:sz w:val="24"/>
          <w:szCs w:val="24"/>
        </w:rPr>
      </w:pPr>
    </w:p>
    <w:p w14:paraId="54C5F03C">
      <w:pPr>
        <w:snapToGrid w:val="0"/>
        <w:ind w:left="314" w:leftChars="157"/>
        <w:jc w:val="both"/>
        <w:rPr>
          <w:rFonts w:eastAsia="宋体"/>
          <w:sz w:val="24"/>
          <w:szCs w:val="24"/>
        </w:rPr>
      </w:pPr>
      <w:r>
        <w:rPr>
          <w:rFonts w:eastAsia="宋体"/>
          <w:b/>
          <w:bCs/>
          <w:color w:val="000000"/>
          <w:sz w:val="24"/>
          <w:szCs w:val="24"/>
        </w:rPr>
        <w:t>描述实质性差异的明确且突出的声明：</w:t>
      </w:r>
      <w:r>
        <w:rPr>
          <w:rFonts w:eastAsia="宋体"/>
          <w:color w:val="000000"/>
          <w:sz w:val="24"/>
          <w:szCs w:val="24"/>
        </w:rPr>
        <w:t>如果HCEI包括与FDA批准的标签的实质性差异（例如，新的或增加的风险、不同的给药/使用方案、不同的终点、更有限/更有针对性的患者人群），包括与FDA批准的标签中提供的信息在某些方面不同的假设，其</w:t>
      </w:r>
      <w:r>
        <w:fldChar w:fldCharType="begin"/>
      </w:r>
      <w:r>
        <w:instrText xml:space="preserve">HYPERLINK \l "bookmark1"</w:instrText>
      </w:r>
      <w:r>
        <w:fldChar w:fldCharType="separate"/>
      </w:r>
      <w:r>
        <w:rPr>
          <w:rStyle w:val="17"/>
          <w:rFonts w:eastAsia="宋体"/>
          <w:color w:val="000000"/>
          <w:sz w:val="24"/>
          <w:szCs w:val="24"/>
        </w:rPr>
        <w:footnoteReference w:id="48"/>
      </w:r>
      <w:r>
        <w:fldChar w:fldCharType="end"/>
      </w:r>
      <w:r>
        <w:rPr>
          <w:rFonts w:eastAsia="宋体"/>
          <w:color w:val="000000"/>
          <w:sz w:val="24"/>
          <w:szCs w:val="24"/>
          <w:u w:val="single"/>
        </w:rPr>
        <w:t>必须</w:t>
      </w:r>
      <w:r>
        <w:rPr>
          <w:rFonts w:eastAsia="宋体"/>
          <w:color w:val="000000"/>
          <w:sz w:val="24"/>
          <w:szCs w:val="24"/>
        </w:rPr>
        <w:t>提供</w:t>
      </w:r>
      <w:r>
        <w:rPr>
          <w:rFonts w:ascii="宋体" w:hAnsi="宋体" w:eastAsia="宋体"/>
          <w:color w:val="000000"/>
          <w:sz w:val="24"/>
          <w:szCs w:val="24"/>
        </w:rPr>
        <w:t>“</w:t>
      </w:r>
      <w:r>
        <w:rPr>
          <w:rFonts w:eastAsia="宋体"/>
          <w:color w:val="000000"/>
          <w:sz w:val="24"/>
          <w:szCs w:val="24"/>
        </w:rPr>
        <w:t>一份明确且突出的声明，描述医疗保健经济学信息与针对该药品批准的标签之间的任何实质性差异</w:t>
      </w:r>
      <w:r>
        <w:rPr>
          <w:rFonts w:hint="eastAsia" w:eastAsia="宋体"/>
          <w:color w:val="000000"/>
          <w:sz w:val="24"/>
          <w:szCs w:val="24"/>
        </w:rPr>
        <w:t>”</w:t>
      </w:r>
      <w:r>
        <w:rPr>
          <w:rFonts w:eastAsia="宋体"/>
          <w:color w:val="000000"/>
          <w:sz w:val="24"/>
          <w:szCs w:val="24"/>
        </w:rPr>
        <w:t>例如，如果特定的HCEI呈现基于真实世界数据，其中患者的实际药品用量超出FDA批准的标签中推荐的给药/使用方案，则该公司可以在HCEI呈现信息中加上诸如以下声明，</w:t>
      </w:r>
      <w:r>
        <w:rPr>
          <w:rFonts w:ascii="宋体" w:hAnsi="宋体" w:eastAsia="宋体"/>
          <w:color w:val="000000"/>
          <w:sz w:val="24"/>
          <w:szCs w:val="24"/>
        </w:rPr>
        <w:t>“</w:t>
      </w:r>
      <w:r>
        <w:rPr>
          <w:rFonts w:eastAsia="宋体"/>
          <w:color w:val="000000"/>
          <w:sz w:val="24"/>
          <w:szCs w:val="24"/>
        </w:rPr>
        <w:t>本研究中使用的给药方案与FDA批准的标签中的给药方案不同</w:t>
      </w:r>
      <w:r>
        <w:rPr>
          <w:rFonts w:ascii="宋体" w:hAnsi="宋体" w:eastAsia="宋体"/>
          <w:color w:val="000000"/>
          <w:sz w:val="24"/>
          <w:szCs w:val="24"/>
        </w:rPr>
        <w:t>”</w:t>
      </w:r>
      <w:r>
        <w:rPr>
          <w:rFonts w:eastAsia="宋体"/>
          <w:color w:val="000000"/>
          <w:sz w:val="24"/>
          <w:szCs w:val="24"/>
        </w:rPr>
        <w:t>，并且字号与呈现信息中的其他信息使用的字号相当。这个示例预期并不意味着这是呈现此信息的唯一方式。在评价一份声明是否明确且突出时，FDA会考虑声明的位置、声明文本的字号和样式、文本和背景之间的对比以及文本之间和文本周围的空白等因素。</w:t>
      </w:r>
    </w:p>
    <w:p w14:paraId="489E03F7">
      <w:pPr>
        <w:snapToGrid w:val="0"/>
        <w:ind w:left="314" w:leftChars="157"/>
        <w:jc w:val="both"/>
        <w:rPr>
          <w:rFonts w:eastAsia="宋体"/>
          <w:sz w:val="24"/>
          <w:szCs w:val="24"/>
        </w:rPr>
      </w:pPr>
    </w:p>
    <w:p w14:paraId="710AF039">
      <w:pPr>
        <w:tabs>
          <w:tab w:val="left" w:pos="178"/>
        </w:tabs>
        <w:snapToGrid w:val="0"/>
        <w:jc w:val="both"/>
        <w:rPr>
          <w:rFonts w:eastAsia="宋体"/>
          <w:color w:val="000000"/>
          <w:sz w:val="24"/>
          <w:szCs w:val="24"/>
          <w:vertAlign w:val="superscript"/>
        </w:rPr>
      </w:pPr>
    </w:p>
    <w:p w14:paraId="4BAE9E36">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4F85FDA">
      <w:pPr>
        <w:snapToGrid w:val="0"/>
        <w:ind w:left="314" w:leftChars="157"/>
        <w:jc w:val="both"/>
        <w:rPr>
          <w:rFonts w:eastAsia="宋体"/>
          <w:color w:val="000000"/>
          <w:sz w:val="24"/>
          <w:szCs w:val="24"/>
        </w:rPr>
      </w:pPr>
      <w:r>
        <w:rPr>
          <w:rFonts w:eastAsia="宋体"/>
          <w:color w:val="000000"/>
          <w:sz w:val="24"/>
          <w:szCs w:val="24"/>
        </w:rPr>
        <w:t>此外，公司不应误导性地声称FDA已发现与FDA批准的标签不同的临床假设是安全有效的。</w:t>
      </w:r>
    </w:p>
    <w:p w14:paraId="4781E6B1">
      <w:pPr>
        <w:snapToGrid w:val="0"/>
        <w:ind w:left="314" w:leftChars="157"/>
        <w:jc w:val="both"/>
        <w:rPr>
          <w:rFonts w:eastAsia="宋体"/>
          <w:sz w:val="24"/>
          <w:szCs w:val="24"/>
        </w:rPr>
      </w:pPr>
    </w:p>
    <w:p w14:paraId="5D7BEC7D">
      <w:pPr>
        <w:snapToGrid w:val="0"/>
        <w:ind w:left="314" w:leftChars="157"/>
        <w:jc w:val="both"/>
        <w:rPr>
          <w:rFonts w:eastAsia="宋体"/>
          <w:color w:val="000000"/>
          <w:sz w:val="24"/>
          <w:szCs w:val="24"/>
        </w:rPr>
      </w:pPr>
      <w:r>
        <w:rPr>
          <w:rFonts w:eastAsia="宋体"/>
          <w:b/>
          <w:bCs/>
          <w:color w:val="000000"/>
          <w:sz w:val="24"/>
          <w:szCs w:val="24"/>
        </w:rPr>
        <w:t>FDA批准的适应症/FDA批准的标签：</w:t>
      </w:r>
      <w:r>
        <w:rPr>
          <w:rFonts w:eastAsia="宋体"/>
          <w:color w:val="000000"/>
          <w:sz w:val="24"/>
          <w:szCs w:val="24"/>
        </w:rPr>
        <w:t>HCEI应包括FDA批准的药品适应症的声明，并随附FDA批准的最新标签。</w:t>
      </w:r>
    </w:p>
    <w:p w14:paraId="762C6F98">
      <w:pPr>
        <w:snapToGrid w:val="0"/>
        <w:ind w:left="314" w:leftChars="157"/>
        <w:jc w:val="both"/>
        <w:rPr>
          <w:rFonts w:eastAsia="宋体"/>
          <w:sz w:val="24"/>
          <w:szCs w:val="24"/>
        </w:rPr>
      </w:pPr>
    </w:p>
    <w:p w14:paraId="21C2018C">
      <w:pPr>
        <w:snapToGrid w:val="0"/>
        <w:ind w:left="314" w:leftChars="157"/>
        <w:jc w:val="both"/>
        <w:rPr>
          <w:rFonts w:eastAsia="宋体"/>
          <w:color w:val="000000"/>
          <w:sz w:val="24"/>
          <w:szCs w:val="24"/>
        </w:rPr>
      </w:pPr>
      <w:r>
        <w:rPr>
          <w:rFonts w:eastAsia="宋体"/>
          <w:b/>
          <w:bCs/>
          <w:color w:val="000000"/>
          <w:sz w:val="24"/>
          <w:szCs w:val="24"/>
        </w:rPr>
        <w:t>披露遗漏的研究或数据来源：</w:t>
      </w:r>
      <w:r>
        <w:rPr>
          <w:rFonts w:eastAsia="宋体"/>
          <w:color w:val="000000"/>
          <w:sz w:val="24"/>
          <w:szCs w:val="24"/>
        </w:rPr>
        <w:t>一般来说，如果可以获得理解信息和将信息联系起来所需的有关产品的数据或信息，但在分析中没有考虑和包括这些数据或信息，则将认为HCEI的呈现并不平衡完整。这尤其适用于遗漏的数据或信息来自严格的研究（例如，充分且对照良好的试验）的情况。因此，建议公司进行文献检索，其HCEI应包括对文献检索中使用的方法的说明（例如，使用的数据库或来源、涵盖的时间段以及用于检索数据库和来源以及确定入选/排除哪些数据或信息的标准/关键词）。如果分析中遗漏了某些研究或数据来源，HCEI应清楚地解释未将其包括在内的原因，以及遗漏研究或数据来源可能如何变更或影响结论。</w:t>
      </w:r>
    </w:p>
    <w:p w14:paraId="2AC21DEB">
      <w:pPr>
        <w:snapToGrid w:val="0"/>
        <w:ind w:left="314" w:leftChars="157"/>
        <w:jc w:val="both"/>
        <w:rPr>
          <w:rFonts w:eastAsia="宋体"/>
          <w:sz w:val="24"/>
          <w:szCs w:val="24"/>
        </w:rPr>
      </w:pPr>
    </w:p>
    <w:p w14:paraId="740293D7">
      <w:pPr>
        <w:snapToGrid w:val="0"/>
        <w:ind w:left="314" w:leftChars="157"/>
        <w:jc w:val="both"/>
        <w:rPr>
          <w:rFonts w:eastAsia="宋体"/>
          <w:color w:val="000000"/>
          <w:sz w:val="24"/>
          <w:szCs w:val="24"/>
        </w:rPr>
      </w:pPr>
      <w:r>
        <w:rPr>
          <w:rFonts w:eastAsia="宋体"/>
          <w:b/>
          <w:bCs/>
          <w:color w:val="000000"/>
          <w:sz w:val="24"/>
          <w:szCs w:val="24"/>
        </w:rPr>
        <w:t>风险信息：</w:t>
      </w:r>
      <w:r>
        <w:rPr>
          <w:rFonts w:eastAsia="宋体"/>
          <w:color w:val="000000"/>
          <w:sz w:val="24"/>
          <w:szCs w:val="24"/>
        </w:rPr>
        <w:t>HCEI应披露与批准的药品使用相关的重要风险信息，根据第502（a）条，必须披露与FDA批准的标签不同的经济分析中与临床假设相关的任何额外风险信息（例如，在特定患者亚组中观察到的风险）。</w:t>
      </w:r>
    </w:p>
    <w:p w14:paraId="21EE8649">
      <w:pPr>
        <w:snapToGrid w:val="0"/>
        <w:ind w:left="314" w:leftChars="157"/>
        <w:jc w:val="both"/>
        <w:rPr>
          <w:rFonts w:eastAsia="宋体"/>
          <w:sz w:val="24"/>
          <w:szCs w:val="24"/>
        </w:rPr>
      </w:pPr>
    </w:p>
    <w:p w14:paraId="56A256A4">
      <w:pPr>
        <w:snapToGrid w:val="0"/>
        <w:ind w:left="314" w:leftChars="157"/>
        <w:jc w:val="both"/>
        <w:rPr>
          <w:rFonts w:eastAsia="宋体"/>
          <w:sz w:val="24"/>
          <w:szCs w:val="24"/>
        </w:rPr>
      </w:pPr>
      <w:r>
        <w:rPr>
          <w:rFonts w:eastAsia="宋体"/>
          <w:b/>
          <w:bCs/>
          <w:color w:val="000000"/>
          <w:sz w:val="24"/>
          <w:szCs w:val="24"/>
        </w:rPr>
        <w:t>财务/任职单位偏倚：</w:t>
      </w:r>
      <w:r>
        <w:rPr>
          <w:rFonts w:eastAsia="宋体"/>
          <w:color w:val="000000"/>
          <w:sz w:val="24"/>
          <w:szCs w:val="24"/>
        </w:rPr>
        <w:t>HCEI应披露潜在的财务或任职单位偏倚，如在传达时公司合理知道的范围内，表明公司在资助基础研究或起草基础出版物或呈现信息方面的作用，或任何研究或分析的作者的姓名，这些作者从公司获得报酬或在公司中拥有重大经济利益。</w:t>
      </w:r>
    </w:p>
    <w:p w14:paraId="2CE2AD4B">
      <w:pPr>
        <w:snapToGrid w:val="0"/>
        <w:jc w:val="both"/>
        <w:rPr>
          <w:rFonts w:eastAsia="宋体"/>
          <w:color w:val="000000"/>
          <w:sz w:val="24"/>
          <w:szCs w:val="24"/>
          <w:vertAlign w:val="superscript"/>
        </w:rPr>
      </w:pPr>
    </w:p>
    <w:p w14:paraId="0F1ED650">
      <w:pPr>
        <w:snapToGrid w:val="0"/>
        <w:jc w:val="both"/>
        <w:rPr>
          <w:rFonts w:eastAsia="宋体"/>
          <w:sz w:val="24"/>
          <w:szCs w:val="24"/>
        </w:rPr>
      </w:pPr>
    </w:p>
    <w:p w14:paraId="2D107A27">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C2B01C2">
      <w:pPr>
        <w:pStyle w:val="4"/>
        <w:spacing w:before="240" w:after="240"/>
        <w:ind w:left="1416" w:hanging="1132"/>
        <w:rPr>
          <w:sz w:val="24"/>
          <w:szCs w:val="24"/>
        </w:rPr>
      </w:pPr>
      <w:r>
        <w:rPr>
          <w:sz w:val="24"/>
          <w:szCs w:val="24"/>
        </w:rPr>
        <w:t>Q.A.8.</w:t>
      </w:r>
      <w:r>
        <w:rPr>
          <w:sz w:val="24"/>
          <w:szCs w:val="24"/>
        </w:rPr>
        <w:tab/>
      </w:r>
      <w:r>
        <w:rPr>
          <w:sz w:val="24"/>
          <w:szCs w:val="24"/>
        </w:rPr>
        <w:t>如果HCEI基于COA或其他健康结局指标，是否有公司应了解的任何额外考虑事项？</w:t>
      </w:r>
    </w:p>
    <w:p w14:paraId="48EF5647">
      <w:pPr>
        <w:snapToGrid w:val="0"/>
        <w:ind w:left="1416" w:leftChars="142" w:hanging="1132" w:hangingChars="472"/>
        <w:jc w:val="both"/>
        <w:rPr>
          <w:rFonts w:eastAsia="宋体"/>
          <w:sz w:val="24"/>
          <w:szCs w:val="24"/>
        </w:rPr>
      </w:pPr>
      <w:r>
        <w:rPr>
          <w:rFonts w:eastAsia="宋体"/>
          <w:color w:val="000000"/>
          <w:sz w:val="24"/>
          <w:szCs w:val="24"/>
        </w:rPr>
        <w:t>A.A.8.</w:t>
      </w:r>
      <w:r>
        <w:rPr>
          <w:rFonts w:eastAsia="宋体"/>
          <w:color w:val="000000"/>
          <w:sz w:val="24"/>
          <w:szCs w:val="24"/>
        </w:rPr>
        <w:tab/>
      </w:r>
      <w:r>
        <w:rPr>
          <w:rFonts w:eastAsia="宋体"/>
          <w:color w:val="000000"/>
          <w:sz w:val="24"/>
          <w:szCs w:val="24"/>
        </w:rPr>
        <w:t>当HCEI包括COA（例如，PRO，包括工作效率、基本日常生活活动）或其他健康结局指标（例如，QALY）时，应包括关于COA评估中使用的指标的有效性和可靠性的信息（由熟悉评价特定COA优点的专家确定）</w:t>
      </w:r>
      <w:r>
        <w:fldChar w:fldCharType="begin"/>
      </w:r>
      <w:r>
        <w:instrText xml:space="preserve">HYPERLINK \l "bookmark1"</w:instrText>
      </w:r>
      <w:r>
        <w:fldChar w:fldCharType="separate"/>
      </w:r>
      <w:r>
        <w:rPr>
          <w:rStyle w:val="17"/>
          <w:rFonts w:eastAsia="宋体"/>
          <w:color w:val="000000"/>
          <w:sz w:val="24"/>
          <w:szCs w:val="24"/>
        </w:rPr>
        <w:footnoteReference w:id="49"/>
      </w:r>
      <w:r>
        <w:fldChar w:fldCharType="end"/>
      </w:r>
      <w:r>
        <w:rPr>
          <w:rFonts w:eastAsia="宋体"/>
          <w:color w:val="000000"/>
          <w:sz w:val="24"/>
          <w:szCs w:val="24"/>
        </w:rPr>
        <w:t>或健康结局指标。</w:t>
      </w:r>
    </w:p>
    <w:p w14:paraId="20CDC3BA">
      <w:pPr>
        <w:snapToGrid w:val="0"/>
        <w:ind w:left="1276" w:leftChars="638"/>
        <w:jc w:val="both"/>
        <w:rPr>
          <w:rFonts w:eastAsia="宋体"/>
          <w:color w:val="000000"/>
          <w:sz w:val="24"/>
          <w:szCs w:val="24"/>
        </w:rPr>
      </w:pPr>
    </w:p>
    <w:p w14:paraId="10DA798F">
      <w:pPr>
        <w:snapToGrid w:val="0"/>
        <w:ind w:left="1276" w:leftChars="638"/>
        <w:jc w:val="both"/>
        <w:rPr>
          <w:rFonts w:eastAsia="宋体"/>
          <w:sz w:val="24"/>
          <w:szCs w:val="24"/>
        </w:rPr>
      </w:pPr>
      <w:r>
        <w:rPr>
          <w:rFonts w:eastAsia="宋体"/>
          <w:color w:val="000000"/>
          <w:sz w:val="24"/>
          <w:szCs w:val="24"/>
        </w:rPr>
        <w:t>关于健康结局指标，如QALY，应考虑以下内容，以增强信息的可解释性和可理解性：（1）应披露获取患者健康状况的方法，并应提供分析中包含的健康状况指标（如身体功能、心理功能、社会功能、损害、疼痛）的依据；（2）应披露健康结局评价方法，并应解释其是否适用于患者人群和正在研究的疾病或状况。</w:t>
      </w:r>
    </w:p>
    <w:p w14:paraId="28762543">
      <w:pPr>
        <w:pStyle w:val="4"/>
        <w:spacing w:before="240" w:after="240"/>
        <w:ind w:left="1416" w:hanging="1132"/>
        <w:rPr>
          <w:sz w:val="24"/>
          <w:szCs w:val="24"/>
        </w:rPr>
      </w:pPr>
      <w:r>
        <w:rPr>
          <w:sz w:val="24"/>
          <w:szCs w:val="24"/>
        </w:rPr>
        <w:t>Q.A.9.</w:t>
      </w:r>
      <w:r>
        <w:rPr>
          <w:sz w:val="24"/>
          <w:szCs w:val="24"/>
        </w:rPr>
        <w:tab/>
      </w:r>
      <w:r>
        <w:rPr>
          <w:sz w:val="24"/>
          <w:szCs w:val="24"/>
        </w:rPr>
        <w:t>根据第502（a）条传达处方药的HCEI是否被视为宣传？FDA对宣传资料的要求是否适用于HCEI?</w:t>
      </w:r>
    </w:p>
    <w:p w14:paraId="57804BA9">
      <w:pPr>
        <w:snapToGrid w:val="0"/>
        <w:ind w:left="1416" w:leftChars="142" w:hanging="1132" w:hangingChars="472"/>
        <w:jc w:val="both"/>
        <w:rPr>
          <w:rFonts w:eastAsia="宋体"/>
          <w:sz w:val="24"/>
          <w:szCs w:val="24"/>
        </w:rPr>
      </w:pPr>
      <w:r>
        <w:rPr>
          <w:rFonts w:eastAsia="宋体"/>
          <w:color w:val="000000"/>
          <w:sz w:val="24"/>
          <w:szCs w:val="24"/>
        </w:rPr>
        <w:t>A.A.9.</w:t>
      </w:r>
      <w:r>
        <w:rPr>
          <w:rFonts w:eastAsia="宋体"/>
          <w:color w:val="000000"/>
          <w:sz w:val="24"/>
          <w:szCs w:val="24"/>
        </w:rPr>
        <w:tab/>
      </w:r>
      <w:r>
        <w:rPr>
          <w:rFonts w:eastAsia="宋体"/>
          <w:color w:val="000000"/>
          <w:sz w:val="24"/>
          <w:szCs w:val="24"/>
        </w:rPr>
        <w:t>根据第502（a）条传达的HCEI属于宣传</w:t>
      </w:r>
      <w:r>
        <w:fldChar w:fldCharType="begin"/>
      </w:r>
      <w:r>
        <w:instrText xml:space="preserve">HYPERLINK \l "bookmark1"</w:instrText>
      </w:r>
      <w:r>
        <w:fldChar w:fldCharType="separate"/>
      </w:r>
      <w:r>
        <w:rPr>
          <w:rStyle w:val="17"/>
          <w:rFonts w:eastAsia="宋体"/>
          <w:color w:val="000000"/>
          <w:sz w:val="24"/>
          <w:szCs w:val="24"/>
        </w:rPr>
        <w:footnoteReference w:id="50"/>
      </w:r>
      <w:r>
        <w:fldChar w:fldCharType="end"/>
      </w:r>
      <w:r>
        <w:rPr>
          <w:rFonts w:eastAsia="宋体"/>
          <w:color w:val="000000"/>
          <w:sz w:val="24"/>
          <w:szCs w:val="24"/>
        </w:rPr>
        <w:t xml:space="preserve"> 因此，受FDA递交宣传资料的要求的约束。这些包括但不限于21 CFR 314.81（b）（3）（i）首次发布或传达时向FDA递交此类材料（使用表格FDA 2253（人用药品和生物制品广告和宣传标签的传达））的上市后要求、有关根据加速审批路径送审的药品或有关根据动物研究审批的药品的HCEI要求以及</w:t>
      </w:r>
      <w:r>
        <w:rPr>
          <w:rFonts w:eastAsia="宋体"/>
          <w:color w:val="000000"/>
          <w:sz w:val="24"/>
          <w:szCs w:val="24"/>
          <w:vertAlign w:val="superscript"/>
        </w:rPr>
        <w:t xml:space="preserve"> </w:t>
      </w:r>
      <w:r>
        <w:fldChar w:fldCharType="begin"/>
      </w:r>
      <w:r>
        <w:instrText xml:space="preserve"> HYPERLINK \l "bookmark1" </w:instrText>
      </w:r>
      <w:r>
        <w:fldChar w:fldCharType="separate"/>
      </w:r>
      <w:r>
        <w:rPr>
          <w:rStyle w:val="17"/>
          <w:rFonts w:eastAsia="宋体"/>
          <w:color w:val="000000"/>
          <w:sz w:val="24"/>
          <w:szCs w:val="24"/>
        </w:rPr>
        <w:footnoteReference w:id="51"/>
      </w:r>
      <w:r>
        <w:rPr>
          <w:rStyle w:val="17"/>
          <w:rFonts w:eastAsia="宋体"/>
          <w:color w:val="000000"/>
          <w:sz w:val="24"/>
          <w:szCs w:val="24"/>
        </w:rPr>
        <w:fldChar w:fldCharType="end"/>
      </w:r>
      <w:r>
        <w:rPr>
          <w:rFonts w:eastAsia="宋体"/>
          <w:color w:val="000000"/>
          <w:sz w:val="24"/>
          <w:szCs w:val="24"/>
        </w:rPr>
        <w:t xml:space="preserve"> 关于宣传资料在传达前递交的要求。应参考HCEI的所有支持信息，并在要求时提供这些信息。</w:t>
      </w:r>
      <w:r>
        <w:fldChar w:fldCharType="begin"/>
      </w:r>
      <w:r>
        <w:instrText xml:space="preserve">HYPERLINK \l "bookmark1"</w:instrText>
      </w:r>
      <w:r>
        <w:fldChar w:fldCharType="separate"/>
      </w:r>
      <w:r>
        <w:rPr>
          <w:rStyle w:val="17"/>
          <w:rFonts w:eastAsia="宋体"/>
          <w:color w:val="000000"/>
          <w:sz w:val="24"/>
          <w:szCs w:val="24"/>
        </w:rPr>
        <w:footnoteReference w:id="52"/>
      </w:r>
      <w:r>
        <w:fldChar w:fldCharType="end"/>
      </w:r>
    </w:p>
    <w:p w14:paraId="6FE387CE">
      <w:pPr>
        <w:tabs>
          <w:tab w:val="left" w:pos="178"/>
        </w:tabs>
        <w:snapToGrid w:val="0"/>
        <w:jc w:val="both"/>
        <w:rPr>
          <w:rFonts w:eastAsia="宋体"/>
          <w:color w:val="000000"/>
          <w:sz w:val="21"/>
          <w:szCs w:val="21"/>
          <w:vertAlign w:val="superscript"/>
        </w:rPr>
      </w:pPr>
    </w:p>
    <w:p w14:paraId="06DDDBE1">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8490BE7">
      <w:pPr>
        <w:pStyle w:val="4"/>
        <w:spacing w:before="240" w:after="240"/>
        <w:ind w:left="1416" w:hanging="1132"/>
        <w:rPr>
          <w:sz w:val="24"/>
          <w:szCs w:val="24"/>
        </w:rPr>
      </w:pPr>
      <w:r>
        <w:rPr>
          <w:sz w:val="24"/>
          <w:szCs w:val="24"/>
        </w:rPr>
        <w:t>Q.A.10.</w:t>
      </w:r>
      <w:r>
        <w:rPr>
          <w:sz w:val="24"/>
          <w:szCs w:val="24"/>
        </w:rPr>
        <w:tab/>
      </w:r>
      <w:r>
        <w:rPr>
          <w:rFonts w:hint="eastAsia"/>
          <w:sz w:val="24"/>
          <w:szCs w:val="24"/>
        </w:rPr>
        <w:t>F</w:t>
      </w:r>
      <w:r>
        <w:rPr>
          <w:sz w:val="24"/>
          <w:szCs w:val="24"/>
        </w:rPr>
        <w:t>DA关于公司与医疗费用支付方之间风险分担和其他基于价值的合同的政策是什么？</w:t>
      </w:r>
    </w:p>
    <w:p w14:paraId="755A4321">
      <w:pPr>
        <w:snapToGrid w:val="0"/>
        <w:ind w:left="1416" w:leftChars="142" w:hanging="1132" w:hangingChars="472"/>
        <w:jc w:val="both"/>
        <w:rPr>
          <w:rFonts w:eastAsia="宋体"/>
          <w:sz w:val="24"/>
          <w:szCs w:val="24"/>
        </w:rPr>
      </w:pPr>
      <w:r>
        <w:rPr>
          <w:rFonts w:eastAsia="宋体"/>
          <w:color w:val="000000"/>
          <w:sz w:val="24"/>
          <w:szCs w:val="24"/>
        </w:rPr>
        <w:t>A.A.10.</w:t>
      </w:r>
      <w:r>
        <w:rPr>
          <w:rFonts w:eastAsia="宋体"/>
          <w:color w:val="000000"/>
          <w:sz w:val="24"/>
          <w:szCs w:val="24"/>
        </w:rPr>
        <w:tab/>
      </w:r>
      <w:r>
        <w:rPr>
          <w:rFonts w:eastAsia="宋体"/>
          <w:color w:val="000000"/>
          <w:sz w:val="24"/>
          <w:szCs w:val="24"/>
        </w:rPr>
        <w:t>本指南涉及将HCEI传达给医疗费用支付方，其中可能包括公司与医疗费用支付方之间就风险分担和其他基于价值的合同进行讨论时的HCEI传达。然而，本指南的目的并不是为了解决公司和医疗费用支付方之间的合同条款。FDA不监管公司和医疗费用支付方之间的合同条款，此类合同不受FDA报告要求的约束。</w:t>
      </w:r>
    </w:p>
    <w:p w14:paraId="22CE3B42">
      <w:pPr>
        <w:pStyle w:val="3"/>
        <w:spacing w:before="240" w:after="240"/>
      </w:pPr>
      <w:bookmarkStart w:id="4" w:name="_Toc97486299"/>
      <w:r>
        <w:t>B.</w:t>
      </w:r>
      <w:r>
        <w:tab/>
      </w:r>
      <w:r>
        <w:t>由公司向医疗费用支付方传达有关获得批准或许可的医疗器械的HCEI</w:t>
      </w:r>
      <w:bookmarkEnd w:id="4"/>
    </w:p>
    <w:p w14:paraId="5CC4069A">
      <w:pPr>
        <w:pStyle w:val="4"/>
        <w:spacing w:before="240" w:after="240"/>
        <w:ind w:left="1416" w:hanging="1132"/>
        <w:rPr>
          <w:sz w:val="24"/>
          <w:szCs w:val="24"/>
        </w:rPr>
      </w:pPr>
      <w:r>
        <w:rPr>
          <w:sz w:val="24"/>
          <w:szCs w:val="24"/>
        </w:rPr>
        <w:t>Q.B.1.</w:t>
      </w:r>
      <w:r>
        <w:rPr>
          <w:sz w:val="24"/>
          <w:szCs w:val="24"/>
        </w:rPr>
        <w:tab/>
      </w:r>
      <w:r>
        <w:rPr>
          <w:sz w:val="24"/>
          <w:szCs w:val="24"/>
        </w:rPr>
        <w:t>本指南第III.A部分中描述的建议在多大程度上适用于器械？</w:t>
      </w:r>
    </w:p>
    <w:p w14:paraId="673E218D">
      <w:pPr>
        <w:snapToGrid w:val="0"/>
        <w:ind w:left="1416" w:leftChars="142" w:hanging="1132" w:hangingChars="472"/>
        <w:jc w:val="both"/>
        <w:rPr>
          <w:rFonts w:eastAsia="宋体"/>
          <w:sz w:val="24"/>
          <w:szCs w:val="24"/>
        </w:rPr>
      </w:pPr>
      <w:r>
        <w:rPr>
          <w:rFonts w:eastAsia="宋体"/>
          <w:color w:val="000000"/>
          <w:sz w:val="24"/>
          <w:szCs w:val="24"/>
        </w:rPr>
        <w:t>A.B.1.</w:t>
      </w:r>
      <w:r>
        <w:rPr>
          <w:rFonts w:eastAsia="宋体"/>
          <w:color w:val="000000"/>
          <w:sz w:val="24"/>
          <w:szCs w:val="24"/>
        </w:rPr>
        <w:tab/>
      </w:r>
      <w:r>
        <w:rPr>
          <w:rFonts w:eastAsia="宋体"/>
          <w:color w:val="000000"/>
          <w:sz w:val="24"/>
          <w:szCs w:val="24"/>
        </w:rPr>
        <w:t>本指南草案发布后，几位评论者建议，本指南第III.A部分中描述公司就获得批准的药品向医疗费用支付方进行适当沟通的建议也可适用于器械。</w:t>
      </w:r>
      <w:r>
        <w:fldChar w:fldCharType="begin"/>
      </w:r>
      <w:r>
        <w:instrText xml:space="preserve"> HYPERLINK \l "bookmark1" </w:instrText>
      </w:r>
      <w:r>
        <w:fldChar w:fldCharType="separate"/>
      </w:r>
      <w:r>
        <w:rPr>
          <w:rStyle w:val="17"/>
          <w:rFonts w:eastAsia="宋体"/>
          <w:color w:val="000000"/>
          <w:sz w:val="24"/>
          <w:szCs w:val="24"/>
        </w:rPr>
        <w:footnoteReference w:id="53"/>
      </w:r>
      <w:r>
        <w:rPr>
          <w:rStyle w:val="17"/>
          <w:rFonts w:eastAsia="宋体"/>
          <w:color w:val="000000"/>
          <w:sz w:val="24"/>
          <w:szCs w:val="24"/>
        </w:rPr>
        <w:fldChar w:fldCharType="end"/>
      </w:r>
      <w:r>
        <w:rPr>
          <w:rFonts w:eastAsia="宋体"/>
          <w:color w:val="000000"/>
          <w:sz w:val="24"/>
          <w:szCs w:val="24"/>
        </w:rPr>
        <w:t xml:space="preserve"> 虽然第502（a）条中针对HCEI的措辞适用于药品，而不是器械，但FDA认为，第III.A部分中提供的建议一般也适用于器械公司向医疗费用支付方传达HCEI。尽管第III.A部分涉及</w:t>
      </w:r>
      <w:r>
        <w:rPr>
          <w:rFonts w:ascii="宋体" w:hAnsi="宋体" w:eastAsia="宋体"/>
          <w:color w:val="000000"/>
          <w:sz w:val="24"/>
          <w:szCs w:val="24"/>
        </w:rPr>
        <w:t>“</w:t>
      </w:r>
      <w:r>
        <w:rPr>
          <w:rFonts w:eastAsia="宋体"/>
          <w:color w:val="000000"/>
          <w:sz w:val="24"/>
          <w:szCs w:val="24"/>
        </w:rPr>
        <w:t>药品</w:t>
      </w:r>
      <w:r>
        <w:rPr>
          <w:rFonts w:ascii="宋体" w:hAnsi="宋体"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批准的适应症/批准的用途</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FDA批准的标签</w:t>
      </w:r>
      <w:r>
        <w:rPr>
          <w:rFonts w:ascii="宋体" w:hAnsi="宋体" w:eastAsia="宋体"/>
          <w:color w:val="000000"/>
          <w:sz w:val="24"/>
          <w:szCs w:val="24"/>
        </w:rPr>
        <w:t>”</w:t>
      </w:r>
      <w:r>
        <w:rPr>
          <w:rFonts w:eastAsia="宋体"/>
          <w:color w:val="000000"/>
          <w:sz w:val="24"/>
          <w:szCs w:val="24"/>
        </w:rPr>
        <w:t>，但</w:t>
      </w:r>
      <w:r>
        <w:rPr>
          <w:rFonts w:ascii="宋体" w:hAnsi="宋体" w:eastAsia="宋体"/>
          <w:color w:val="000000"/>
          <w:sz w:val="24"/>
          <w:szCs w:val="24"/>
        </w:rPr>
        <w:t>“</w:t>
      </w:r>
      <w:r>
        <w:rPr>
          <w:rFonts w:eastAsia="宋体"/>
          <w:color w:val="000000"/>
          <w:sz w:val="24"/>
          <w:szCs w:val="24"/>
        </w:rPr>
        <w:t>药品</w:t>
      </w:r>
      <w:r>
        <w:rPr>
          <w:rFonts w:ascii="宋体" w:hAnsi="宋体" w:eastAsia="宋体"/>
          <w:color w:val="000000"/>
          <w:sz w:val="24"/>
          <w:szCs w:val="24"/>
        </w:rPr>
        <w:t>”</w:t>
      </w:r>
      <w:r>
        <w:rPr>
          <w:rFonts w:eastAsia="宋体"/>
          <w:color w:val="000000"/>
          <w:sz w:val="24"/>
          <w:szCs w:val="24"/>
        </w:rPr>
        <w:t>的建议通常也适用于</w:t>
      </w:r>
      <w:r>
        <w:rPr>
          <w:rFonts w:ascii="宋体" w:hAnsi="宋体" w:eastAsia="宋体"/>
          <w:color w:val="000000"/>
          <w:sz w:val="24"/>
          <w:szCs w:val="24"/>
        </w:rPr>
        <w:t>“</w:t>
      </w:r>
      <w:r>
        <w:rPr>
          <w:rFonts w:eastAsia="宋体"/>
          <w:color w:val="000000"/>
          <w:sz w:val="24"/>
          <w:szCs w:val="24"/>
        </w:rPr>
        <w:t>器械</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已获得批准/许可的适应症/用途</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FDA要求的标签</w:t>
      </w:r>
      <w:r>
        <w:rPr>
          <w:rFonts w:ascii="宋体" w:hAnsi="宋体" w:eastAsia="宋体"/>
          <w:color w:val="000000"/>
          <w:sz w:val="24"/>
          <w:szCs w:val="24"/>
        </w:rPr>
        <w:t>”</w:t>
      </w:r>
      <w:r>
        <w:fldChar w:fldCharType="begin"/>
      </w:r>
      <w:r>
        <w:instrText xml:space="preserve"> HYPERLINK \l "bookmark1" </w:instrText>
      </w:r>
      <w:r>
        <w:fldChar w:fldCharType="separate"/>
      </w:r>
      <w:r>
        <w:rPr>
          <w:rStyle w:val="17"/>
          <w:rFonts w:eastAsia="宋体"/>
          <w:color w:val="000000"/>
          <w:sz w:val="24"/>
          <w:szCs w:val="24"/>
        </w:rPr>
        <w:footnoteReference w:id="54"/>
      </w:r>
      <w:r>
        <w:rPr>
          <w:rStyle w:val="17"/>
          <w:rFonts w:eastAsia="宋体"/>
          <w:color w:val="000000"/>
          <w:sz w:val="24"/>
          <w:szCs w:val="24"/>
        </w:rPr>
        <w:fldChar w:fldCharType="end"/>
      </w:r>
      <w:r>
        <w:rPr>
          <w:rFonts w:eastAsia="宋体"/>
          <w:color w:val="000000"/>
          <w:sz w:val="24"/>
          <w:szCs w:val="24"/>
        </w:rPr>
        <w:t>。虽然第502（a）条中的HCEI措辞是针对药品的，但第502（a）条中关于信息不得具有虚假性或误导性要求适用于药品和医疗器械，而第III.A部分中提供的建议可以帮助确保器械公司向医疗费用支付方传达HCEI时不具有虚假性或误导性。然而，我们注意到，器械公司不受Q.A.9中所述的递交宣传资料的相同上市后报告要求约束，因此A.A.9中提供的有关递交宣传资料的信息不适用于器械。</w:t>
      </w:r>
    </w:p>
    <w:p w14:paraId="559A15BB">
      <w:pPr>
        <w:tabs>
          <w:tab w:val="left" w:pos="178"/>
        </w:tabs>
        <w:snapToGrid w:val="0"/>
        <w:jc w:val="both"/>
        <w:rPr>
          <w:rFonts w:eastAsia="宋体"/>
          <w:sz w:val="24"/>
          <w:szCs w:val="24"/>
        </w:rPr>
      </w:pPr>
    </w:p>
    <w:p w14:paraId="13409C46">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0B7EE24">
      <w:pPr>
        <w:snapToGrid w:val="0"/>
        <w:ind w:left="1274" w:leftChars="637" w:firstLine="1"/>
        <w:jc w:val="both"/>
        <w:rPr>
          <w:rFonts w:eastAsia="宋体"/>
          <w:sz w:val="24"/>
          <w:szCs w:val="24"/>
        </w:rPr>
      </w:pPr>
      <w:r>
        <w:rPr>
          <w:rFonts w:eastAsia="宋体"/>
          <w:color w:val="000000"/>
          <w:sz w:val="24"/>
          <w:szCs w:val="24"/>
        </w:rPr>
        <w:t>如Q.A.3/A.A.3中所述，如果器械公司传达符合第III.A部分中建议的HCEI，则FDA预期并不将此类信息视为虚假或</w:t>
      </w:r>
      <w:r>
        <w:rPr>
          <w:rFonts w:hint="eastAsia" w:eastAsia="宋体"/>
          <w:color w:val="000000"/>
          <w:sz w:val="24"/>
          <w:szCs w:val="24"/>
        </w:rPr>
        <w:t>具有</w:t>
      </w:r>
      <w:r>
        <w:rPr>
          <w:rFonts w:eastAsia="宋体"/>
          <w:color w:val="000000"/>
          <w:sz w:val="24"/>
          <w:szCs w:val="24"/>
        </w:rPr>
        <w:t>误导性或新预期用途的证据。</w:t>
      </w:r>
    </w:p>
    <w:p w14:paraId="1B37A436">
      <w:pPr>
        <w:pStyle w:val="3"/>
        <w:spacing w:before="240" w:after="240"/>
      </w:pPr>
      <w:bookmarkStart w:id="5" w:name="_Toc97486300"/>
      <w:r>
        <w:t>C.</w:t>
      </w:r>
      <w:r>
        <w:tab/>
      </w:r>
      <w:r>
        <w:t>公司就未获得批准的产品和未获得批准/许可的产品的用途向医疗费用支付方进行沟通</w:t>
      </w:r>
      <w:r>
        <w:fldChar w:fldCharType="begin"/>
      </w:r>
      <w:r>
        <w:instrText xml:space="preserve">HYPERLINK \l "bookmark1"</w:instrText>
      </w:r>
      <w:r>
        <w:fldChar w:fldCharType="separate"/>
      </w:r>
      <w:r>
        <w:rPr>
          <w:rStyle w:val="17"/>
          <w:b w:val="0"/>
          <w:bCs w:val="0"/>
        </w:rPr>
        <w:footnoteReference w:id="55"/>
      </w:r>
      <w:bookmarkEnd w:id="5"/>
      <w:r>
        <w:fldChar w:fldCharType="end"/>
      </w:r>
    </w:p>
    <w:p w14:paraId="40A369E2">
      <w:pPr>
        <w:snapToGrid w:val="0"/>
        <w:jc w:val="both"/>
        <w:rPr>
          <w:rFonts w:eastAsia="宋体"/>
          <w:sz w:val="24"/>
          <w:szCs w:val="24"/>
        </w:rPr>
      </w:pPr>
      <w:r>
        <w:rPr>
          <w:rFonts w:eastAsia="宋体"/>
          <w:color w:val="000000"/>
          <w:sz w:val="24"/>
          <w:szCs w:val="24"/>
        </w:rPr>
        <w:t>医疗产品公司可能希望向医疗费用支付方（该术语在Q.A.2/A.A.2中描述，用于统称医疗费用支付方、处方集委员会和类似职能机构）提供有关其未获得批准的产品以及有关其已获得批准/认可/许可的产品的未批准用途的特定类型的信息。此类信息可帮助医疗费用支付方在FDA批准、认可或许可未批准的产品之前规划和预算未来的承保和/或报销决定，还可以为批准/认可/许可产品的新用途的承保和/或报销决定提供信息。本部分提供有关此主题的常见问题解答。</w:t>
      </w:r>
    </w:p>
    <w:p w14:paraId="5821DAC4">
      <w:pPr>
        <w:snapToGrid w:val="0"/>
        <w:jc w:val="both"/>
        <w:rPr>
          <w:rFonts w:eastAsia="宋体"/>
          <w:b/>
          <w:bCs/>
          <w:i/>
          <w:iCs/>
          <w:color w:val="000000"/>
          <w:sz w:val="24"/>
          <w:szCs w:val="24"/>
        </w:rPr>
      </w:pPr>
    </w:p>
    <w:p w14:paraId="25D27EFA">
      <w:pPr>
        <w:pStyle w:val="4"/>
        <w:spacing w:before="240" w:after="240"/>
        <w:ind w:left="1416" w:hanging="1132"/>
        <w:rPr>
          <w:sz w:val="24"/>
          <w:szCs w:val="24"/>
        </w:rPr>
      </w:pPr>
      <w:r>
        <w:rPr>
          <w:sz w:val="24"/>
          <w:szCs w:val="24"/>
        </w:rPr>
        <w:t>Q.C.1.</w:t>
      </w:r>
      <w:r>
        <w:rPr>
          <w:sz w:val="24"/>
          <w:szCs w:val="24"/>
        </w:rPr>
        <w:tab/>
      </w:r>
      <w:r>
        <w:rPr>
          <w:sz w:val="24"/>
          <w:szCs w:val="24"/>
        </w:rPr>
        <w:t>该指南的这一部分包含哪些类型的信息，对于希望在FDA批准、认可或许可未获得批准的产品之前提供此类信息或提供有关已获得批准/认可/许可的产品的未批准用途的此类信息的公司，FDA采取了什么方法？</w:t>
      </w:r>
    </w:p>
    <w:p w14:paraId="175DF445">
      <w:pPr>
        <w:snapToGrid w:val="0"/>
        <w:ind w:left="1416" w:leftChars="142" w:hanging="1132" w:hangingChars="472"/>
        <w:jc w:val="both"/>
        <w:rPr>
          <w:rFonts w:eastAsia="宋体"/>
          <w:sz w:val="24"/>
          <w:szCs w:val="24"/>
        </w:rPr>
      </w:pPr>
      <w:r>
        <w:rPr>
          <w:rFonts w:eastAsia="宋体"/>
          <w:color w:val="000000"/>
          <w:sz w:val="24"/>
          <w:szCs w:val="24"/>
        </w:rPr>
        <w:t>A.C.1.</w:t>
      </w:r>
      <w:r>
        <w:rPr>
          <w:rFonts w:eastAsia="宋体"/>
          <w:color w:val="000000"/>
          <w:sz w:val="24"/>
          <w:szCs w:val="24"/>
        </w:rPr>
        <w:tab/>
      </w:r>
      <w:r>
        <w:rPr>
          <w:rFonts w:eastAsia="宋体"/>
          <w:color w:val="000000"/>
          <w:sz w:val="24"/>
          <w:szCs w:val="24"/>
        </w:rPr>
        <w:t>当以下有关公司向医疗费用支付方提供的未获得批准的产品（如本指南所定义）或已获得批准/认可/许可的产品的未批准用途的信息是公正、真实、准确且不具有误导性，并提供Q.C.2/A.C.2中讨论的信息时，FDA预期并不根据21 CFR 312.7（a）或21 CFR 812.7（a）反对此类通信，也预期并不将此类通信用作新预期用途的证据。</w:t>
      </w:r>
      <w:r>
        <w:fldChar w:fldCharType="begin"/>
      </w:r>
      <w:r>
        <w:instrText xml:space="preserve"> HYPERLINK \l "bookmark1" </w:instrText>
      </w:r>
      <w:r>
        <w:fldChar w:fldCharType="separate"/>
      </w:r>
      <w:r>
        <w:rPr>
          <w:rStyle w:val="17"/>
          <w:rFonts w:eastAsia="宋体"/>
          <w:color w:val="000000"/>
          <w:sz w:val="24"/>
          <w:szCs w:val="24"/>
        </w:rPr>
        <w:footnoteReference w:id="56"/>
      </w:r>
      <w:r>
        <w:rPr>
          <w:rStyle w:val="17"/>
          <w:rFonts w:eastAsia="宋体"/>
          <w:color w:val="000000"/>
          <w:sz w:val="24"/>
          <w:szCs w:val="24"/>
        </w:rPr>
        <w:fldChar w:fldCharType="end"/>
      </w:r>
      <w:r>
        <w:rPr>
          <w:rFonts w:eastAsia="宋体"/>
          <w:color w:val="000000"/>
          <w:sz w:val="24"/>
          <w:szCs w:val="24"/>
        </w:rPr>
        <w:t xml:space="preserve"> FDA也预期并不对这些材料执行任何适用的上市后递交要求。</w:t>
      </w:r>
      <w:r>
        <w:fldChar w:fldCharType="begin"/>
      </w:r>
      <w:r>
        <w:instrText xml:space="preserve">HYPERLINK \l "bookmark1"</w:instrText>
      </w:r>
      <w:r>
        <w:fldChar w:fldCharType="separate"/>
      </w:r>
      <w:r>
        <w:rPr>
          <w:rStyle w:val="17"/>
          <w:rFonts w:eastAsia="宋体"/>
          <w:color w:val="000000"/>
          <w:sz w:val="24"/>
          <w:szCs w:val="24"/>
        </w:rPr>
        <w:footnoteReference w:id="57"/>
      </w:r>
      <w:r>
        <w:fldChar w:fldCharType="end"/>
      </w:r>
    </w:p>
    <w:p w14:paraId="0A70BE6E">
      <w:pPr>
        <w:snapToGrid w:val="0"/>
        <w:ind w:left="1604" w:leftChars="622" w:hanging="360" w:hangingChars="150"/>
        <w:jc w:val="both"/>
        <w:rPr>
          <w:rFonts w:eastAsia="宋体"/>
          <w:color w:val="000000"/>
          <w:sz w:val="24"/>
          <w:szCs w:val="24"/>
        </w:rPr>
      </w:pPr>
    </w:p>
    <w:p w14:paraId="224640C1">
      <w:pPr>
        <w:snapToGrid w:val="0"/>
        <w:ind w:left="1604" w:leftChars="622"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产品信息（例如，药品类别、器械描述和功能）。</w:t>
      </w:r>
    </w:p>
    <w:p w14:paraId="7C2EE7D4">
      <w:pPr>
        <w:tabs>
          <w:tab w:val="left" w:pos="178"/>
        </w:tabs>
        <w:snapToGrid w:val="0"/>
        <w:jc w:val="both"/>
        <w:rPr>
          <w:rFonts w:eastAsia="宋体"/>
          <w:color w:val="000000"/>
          <w:sz w:val="21"/>
          <w:szCs w:val="21"/>
          <w:vertAlign w:val="superscript"/>
        </w:rPr>
      </w:pPr>
    </w:p>
    <w:p w14:paraId="2E80A74E">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89F1568">
      <w:pPr>
        <w:snapToGrid w:val="0"/>
        <w:ind w:left="1604" w:leftChars="622"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关于寻求的适应症的信息，例如来自临床研究方案的关于正在研究的终点和正在研究的患者人群的信息（例如，入组受试者人数、受试者入组标准、受试者人口统计学资料）。</w:t>
      </w:r>
    </w:p>
    <w:p w14:paraId="2A0507DB">
      <w:pPr>
        <w:snapToGrid w:val="0"/>
        <w:ind w:left="1604" w:leftChars="622" w:hanging="360" w:hangingChars="150"/>
        <w:jc w:val="both"/>
        <w:rPr>
          <w:rFonts w:eastAsia="宋体"/>
          <w:color w:val="000000"/>
          <w:sz w:val="24"/>
          <w:szCs w:val="24"/>
        </w:rPr>
      </w:pPr>
    </w:p>
    <w:p w14:paraId="1E0B2491">
      <w:pPr>
        <w:snapToGrid w:val="0"/>
        <w:ind w:left="1604" w:leftChars="622"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FDA可能批准/认可/许可该产品或新用途的预期时间表。</w:t>
      </w:r>
    </w:p>
    <w:p w14:paraId="2C869782">
      <w:pPr>
        <w:snapToGrid w:val="0"/>
        <w:ind w:left="1604" w:leftChars="622" w:hanging="360" w:hangingChars="150"/>
        <w:jc w:val="both"/>
        <w:rPr>
          <w:rFonts w:eastAsia="宋体"/>
          <w:color w:val="000000"/>
          <w:sz w:val="24"/>
          <w:szCs w:val="24"/>
        </w:rPr>
      </w:pPr>
    </w:p>
    <w:p w14:paraId="426F1EFB">
      <w:pPr>
        <w:snapToGrid w:val="0"/>
        <w:ind w:left="1604" w:leftChars="622"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产品定价信息。</w:t>
      </w:r>
    </w:p>
    <w:p w14:paraId="3C046B56">
      <w:pPr>
        <w:snapToGrid w:val="0"/>
        <w:ind w:left="1604" w:leftChars="622" w:hanging="360" w:hangingChars="150"/>
        <w:jc w:val="both"/>
        <w:rPr>
          <w:rFonts w:eastAsia="宋体"/>
          <w:color w:val="000000"/>
          <w:sz w:val="24"/>
          <w:szCs w:val="24"/>
        </w:rPr>
      </w:pPr>
    </w:p>
    <w:p w14:paraId="10968827">
      <w:pPr>
        <w:snapToGrid w:val="0"/>
        <w:ind w:left="1604" w:leftChars="622"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患者利用预测（例如，发生率和患病率的流行病学数据预测）。</w:t>
      </w:r>
    </w:p>
    <w:p w14:paraId="79F205B3">
      <w:pPr>
        <w:snapToGrid w:val="0"/>
        <w:ind w:left="1604" w:leftChars="622" w:hanging="360" w:hangingChars="150"/>
        <w:jc w:val="both"/>
        <w:rPr>
          <w:rFonts w:eastAsia="宋体"/>
          <w:color w:val="000000"/>
          <w:sz w:val="24"/>
          <w:szCs w:val="24"/>
        </w:rPr>
      </w:pPr>
    </w:p>
    <w:p w14:paraId="54D19372">
      <w:pPr>
        <w:snapToGrid w:val="0"/>
        <w:ind w:left="1604" w:leftChars="622"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与产品相关的计划或服务（例如，患者支持计划）。</w:t>
      </w:r>
    </w:p>
    <w:p w14:paraId="07125A27">
      <w:pPr>
        <w:snapToGrid w:val="0"/>
        <w:ind w:left="1604" w:leftChars="622" w:hanging="360" w:hangingChars="150"/>
        <w:jc w:val="both"/>
        <w:rPr>
          <w:rFonts w:eastAsia="宋体"/>
          <w:color w:val="000000"/>
          <w:sz w:val="24"/>
          <w:szCs w:val="24"/>
        </w:rPr>
      </w:pPr>
    </w:p>
    <w:p w14:paraId="6619468F">
      <w:pPr>
        <w:snapToGrid w:val="0"/>
        <w:ind w:left="1604" w:leftChars="622"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结果的事实陈述，包括药品或器械的临床研究或描述器械性能的台架测试（即，不应对未获得批准的产品或未获得批准的用途的安全性或有效性做出任何表征或结论）。以下是适当的、事实陈述的示例，与不恰当地表征安全性/有效性或得出有关安全性/有效性的结论的陈述形成对比。这些示例只说明了公司可以恰当地展示研究结果的多种方式中的一小部分。公司还应参考Q.C.2/A.C.2，了解在与医疗费用支付方沟通有关未获得批准的产品或已获得批准/认可/许可的产品的未批准用途时应提供的信息的建议：</w:t>
      </w:r>
    </w:p>
    <w:p w14:paraId="72B4C538">
      <w:pPr>
        <w:snapToGrid w:val="0"/>
        <w:ind w:left="1920" w:leftChars="780" w:hanging="360" w:hangingChars="150"/>
        <w:jc w:val="both"/>
        <w:rPr>
          <w:rFonts w:eastAsia="宋体"/>
          <w:color w:val="000000"/>
          <w:sz w:val="24"/>
          <w:szCs w:val="24"/>
        </w:rPr>
      </w:pPr>
    </w:p>
    <w:p w14:paraId="1BFEFD6B">
      <w:pPr>
        <w:snapToGrid w:val="0"/>
        <w:ind w:left="1920" w:leftChars="78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某</w:t>
      </w:r>
      <w:r>
        <w:rPr>
          <w:rFonts w:eastAsia="宋体"/>
          <w:color w:val="000000"/>
          <w:sz w:val="24"/>
          <w:szCs w:val="24"/>
        </w:rPr>
        <w:t>公司预期为其剧烈疼痛</w:t>
      </w:r>
      <w:r>
        <w:rPr>
          <w:rFonts w:hint="eastAsia" w:eastAsia="宋体"/>
          <w:color w:val="000000"/>
          <w:sz w:val="24"/>
          <w:szCs w:val="24"/>
        </w:rPr>
        <w:t>管理</w:t>
      </w:r>
      <w:r>
        <w:rPr>
          <w:rFonts w:eastAsia="宋体"/>
          <w:color w:val="000000"/>
          <w:sz w:val="24"/>
          <w:szCs w:val="24"/>
        </w:rPr>
        <w:t>的产品递交上市申请。该公司与医疗费用支付方的适当沟通可以包括诸如</w:t>
      </w:r>
      <w:r>
        <w:rPr>
          <w:rFonts w:ascii="宋体" w:hAnsi="宋体" w:eastAsia="宋体"/>
          <w:color w:val="000000"/>
          <w:sz w:val="24"/>
          <w:szCs w:val="24"/>
        </w:rPr>
        <w:t>“</w:t>
      </w:r>
      <w:r>
        <w:rPr>
          <w:rFonts w:eastAsia="宋体"/>
          <w:color w:val="000000"/>
          <w:sz w:val="24"/>
          <w:szCs w:val="24"/>
        </w:rPr>
        <w:t>在比较产品和安慰剂的X周随机对照试验中，观察到平均疼痛评分相较于基线有所下降这一主要终点得到统计学显著性改善</w:t>
      </w:r>
      <w:r>
        <w:rPr>
          <w:rFonts w:ascii="宋体" w:hAnsi="宋体" w:eastAsia="宋体"/>
          <w:color w:val="000000"/>
          <w:sz w:val="24"/>
          <w:szCs w:val="24"/>
        </w:rPr>
        <w:t>”</w:t>
      </w:r>
      <w:r>
        <w:rPr>
          <w:rFonts w:eastAsia="宋体"/>
          <w:color w:val="000000"/>
          <w:sz w:val="24"/>
          <w:szCs w:val="24"/>
        </w:rPr>
        <w:t>之类的措辞，以及总结数字研究结果的图表和/或表格。</w:t>
      </w:r>
    </w:p>
    <w:p w14:paraId="204C9FF4">
      <w:pPr>
        <w:snapToGrid w:val="0"/>
        <w:ind w:left="2229" w:leftChars="934" w:hanging="361" w:hangingChars="150"/>
        <w:jc w:val="both"/>
        <w:rPr>
          <w:rFonts w:eastAsia="宋体"/>
          <w:b/>
          <w:bCs/>
          <w:color w:val="000000"/>
          <w:sz w:val="24"/>
          <w:szCs w:val="24"/>
        </w:rPr>
      </w:pPr>
    </w:p>
    <w:p w14:paraId="36A12251">
      <w:pPr>
        <w:snapToGrid w:val="0"/>
        <w:ind w:left="2229" w:leftChars="934" w:hanging="361" w:hangingChars="150"/>
        <w:jc w:val="both"/>
        <w:rPr>
          <w:rFonts w:eastAsia="宋体"/>
          <w:sz w:val="24"/>
          <w:szCs w:val="24"/>
        </w:rPr>
      </w:pPr>
      <w:r>
        <w:rPr>
          <w:rFonts w:eastAsia="宋体"/>
          <w:b/>
          <w:bCs/>
          <w:color w:val="000000"/>
          <w:sz w:val="24"/>
          <w:szCs w:val="24"/>
        </w:rPr>
        <w:t>■</w:t>
      </w:r>
      <w:r>
        <w:rPr>
          <w:rFonts w:eastAsia="宋体"/>
          <w:color w:val="000000"/>
          <w:sz w:val="24"/>
          <w:szCs w:val="24"/>
        </w:rPr>
        <w:tab/>
      </w:r>
      <w:r>
        <w:rPr>
          <w:rFonts w:eastAsia="宋体"/>
          <w:color w:val="000000"/>
          <w:sz w:val="24"/>
          <w:szCs w:val="24"/>
        </w:rPr>
        <w:t>相比之下，该公司的沟通中不宜包含表征或得出结论的措辞，如</w:t>
      </w:r>
      <w:r>
        <w:rPr>
          <w:rFonts w:ascii="宋体" w:hAnsi="宋体" w:eastAsia="宋体"/>
          <w:color w:val="000000"/>
          <w:sz w:val="24"/>
          <w:szCs w:val="24"/>
        </w:rPr>
        <w:t>“</w:t>
      </w:r>
      <w:r>
        <w:rPr>
          <w:rFonts w:eastAsia="宋体"/>
          <w:color w:val="000000"/>
          <w:sz w:val="24"/>
          <w:szCs w:val="24"/>
        </w:rPr>
        <w:t>产品有助于医护人员</w:t>
      </w:r>
      <w:r>
        <w:rPr>
          <w:rFonts w:hint="eastAsia" w:eastAsia="宋体"/>
          <w:color w:val="000000"/>
          <w:sz w:val="24"/>
          <w:szCs w:val="24"/>
        </w:rPr>
        <w:t>提高</w:t>
      </w:r>
      <w:r>
        <w:rPr>
          <w:rFonts w:eastAsia="宋体"/>
          <w:color w:val="000000"/>
          <w:sz w:val="24"/>
          <w:szCs w:val="24"/>
        </w:rPr>
        <w:t>止痛效果</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产品已被证明可有效止痛。</w:t>
      </w:r>
      <w:r>
        <w:rPr>
          <w:rFonts w:ascii="宋体" w:hAnsi="宋体" w:eastAsia="宋体"/>
          <w:color w:val="000000"/>
          <w:sz w:val="24"/>
          <w:szCs w:val="24"/>
        </w:rPr>
        <w:t>”</w:t>
      </w:r>
    </w:p>
    <w:p w14:paraId="5EAE4CA0">
      <w:pPr>
        <w:snapToGrid w:val="0"/>
        <w:ind w:left="1920" w:leftChars="780" w:hanging="360" w:hangingChars="150"/>
        <w:jc w:val="both"/>
        <w:rPr>
          <w:rFonts w:eastAsia="宋体"/>
          <w:color w:val="000000"/>
          <w:sz w:val="24"/>
          <w:szCs w:val="24"/>
        </w:rPr>
      </w:pPr>
    </w:p>
    <w:p w14:paraId="5FBE6FBD">
      <w:pPr>
        <w:snapToGrid w:val="0"/>
        <w:ind w:left="1920" w:leftChars="78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某</w:t>
      </w:r>
      <w:r>
        <w:rPr>
          <w:rFonts w:eastAsia="宋体"/>
          <w:color w:val="000000"/>
          <w:sz w:val="24"/>
          <w:szCs w:val="24"/>
        </w:rPr>
        <w:t>公司最近完成了对其产品药品X的III期试验</w:t>
      </w:r>
      <w:r>
        <w:rPr>
          <w:rFonts w:hint="eastAsia" w:eastAsia="宋体"/>
          <w:color w:val="000000"/>
          <w:sz w:val="24"/>
          <w:szCs w:val="24"/>
        </w:rPr>
        <w:t>，</w:t>
      </w:r>
      <w:r>
        <w:rPr>
          <w:rFonts w:eastAsia="宋体"/>
          <w:color w:val="000000"/>
          <w:sz w:val="24"/>
          <w:szCs w:val="24"/>
        </w:rPr>
        <w:t>该药品用于治疗转移性非小细胞肺癌，并预期递交该用途的上市申请。该公司与医疗费用支付方的适当沟通可以包括诸如</w:t>
      </w:r>
      <w:r>
        <w:rPr>
          <w:rFonts w:ascii="宋体" w:hAnsi="宋体" w:eastAsia="宋体"/>
          <w:color w:val="000000"/>
          <w:sz w:val="24"/>
          <w:szCs w:val="24"/>
        </w:rPr>
        <w:t>“</w:t>
      </w:r>
      <w:r>
        <w:rPr>
          <w:rFonts w:eastAsia="宋体"/>
          <w:color w:val="000000"/>
          <w:sz w:val="24"/>
          <w:szCs w:val="24"/>
        </w:rPr>
        <w:t>在转移性非小细胞肺癌患者的药品X与[主动对照]比较的随机多中心试验中，与[主动对照]相比，药品X达到了改善无进展生存期的主要终点</w:t>
      </w:r>
      <w:r>
        <w:rPr>
          <w:rFonts w:ascii="宋体" w:hAnsi="宋体" w:eastAsia="宋体"/>
          <w:color w:val="000000"/>
          <w:sz w:val="24"/>
          <w:szCs w:val="24"/>
        </w:rPr>
        <w:t>”</w:t>
      </w:r>
      <w:r>
        <w:rPr>
          <w:rFonts w:eastAsia="宋体"/>
          <w:color w:val="000000"/>
          <w:sz w:val="24"/>
          <w:szCs w:val="24"/>
        </w:rPr>
        <w:t>之类的措辞。</w:t>
      </w:r>
    </w:p>
    <w:p w14:paraId="27D188CB">
      <w:pPr>
        <w:snapToGrid w:val="0"/>
        <w:ind w:left="1920" w:leftChars="780" w:hanging="360" w:hangingChars="150"/>
        <w:jc w:val="both"/>
        <w:rPr>
          <w:rFonts w:eastAsia="宋体"/>
          <w:sz w:val="24"/>
          <w:szCs w:val="24"/>
        </w:rPr>
      </w:pPr>
    </w:p>
    <w:p w14:paraId="2C799323">
      <w:pPr>
        <w:tabs>
          <w:tab w:val="left" w:pos="802"/>
        </w:tabs>
        <w:snapToGrid w:val="0"/>
        <w:jc w:val="both"/>
        <w:rPr>
          <w:rFonts w:eastAsia="宋体"/>
          <w:sz w:val="24"/>
          <w:szCs w:val="24"/>
        </w:rPr>
      </w:pPr>
    </w:p>
    <w:p w14:paraId="4F0E72D1">
      <w:pPr>
        <w:tabs>
          <w:tab w:val="left" w:pos="802"/>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857923D">
      <w:pPr>
        <w:snapToGrid w:val="0"/>
        <w:ind w:left="2229" w:leftChars="934" w:hanging="361" w:hangingChars="150"/>
        <w:jc w:val="both"/>
        <w:rPr>
          <w:rFonts w:eastAsia="宋体"/>
          <w:sz w:val="24"/>
          <w:szCs w:val="24"/>
        </w:rPr>
      </w:pPr>
      <w:r>
        <w:rPr>
          <w:rFonts w:eastAsia="宋体"/>
          <w:b/>
          <w:bCs/>
          <w:color w:val="000000"/>
          <w:sz w:val="24"/>
          <w:szCs w:val="24"/>
        </w:rPr>
        <w:t>■</w:t>
      </w:r>
      <w:r>
        <w:rPr>
          <w:rFonts w:eastAsia="宋体"/>
          <w:color w:val="000000"/>
          <w:sz w:val="24"/>
          <w:szCs w:val="24"/>
        </w:rPr>
        <w:tab/>
      </w:r>
      <w:r>
        <w:rPr>
          <w:rFonts w:eastAsia="宋体"/>
          <w:color w:val="000000"/>
          <w:sz w:val="24"/>
          <w:szCs w:val="24"/>
        </w:rPr>
        <w:t>相比之下，该公司的沟通中不宜包含表征或结论</w:t>
      </w:r>
      <w:r>
        <w:rPr>
          <w:rFonts w:hint="eastAsia" w:eastAsia="宋体"/>
          <w:color w:val="000000"/>
          <w:sz w:val="24"/>
          <w:szCs w:val="24"/>
        </w:rPr>
        <w:t>性</w:t>
      </w:r>
      <w:r>
        <w:rPr>
          <w:rFonts w:eastAsia="宋体"/>
          <w:color w:val="000000"/>
          <w:sz w:val="24"/>
          <w:szCs w:val="24"/>
        </w:rPr>
        <w:t>措辞，例如</w:t>
      </w:r>
      <w:r>
        <w:rPr>
          <w:rFonts w:ascii="宋体" w:hAnsi="宋体" w:eastAsia="宋体"/>
          <w:color w:val="000000"/>
          <w:sz w:val="24"/>
          <w:szCs w:val="24"/>
        </w:rPr>
        <w:t>“</w:t>
      </w:r>
      <w:r>
        <w:rPr>
          <w:rFonts w:eastAsia="宋体"/>
          <w:color w:val="000000"/>
          <w:sz w:val="24"/>
          <w:szCs w:val="24"/>
        </w:rPr>
        <w:t>药品X显示出比[主动对照]更好的疗效</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我们希望药品X将成为治疗非小细胞肺癌的首选药品。</w:t>
      </w:r>
      <w:r>
        <w:rPr>
          <w:rFonts w:ascii="宋体" w:hAnsi="宋体" w:eastAsia="宋体"/>
          <w:color w:val="000000"/>
          <w:sz w:val="24"/>
          <w:szCs w:val="24"/>
        </w:rPr>
        <w:t>”</w:t>
      </w:r>
    </w:p>
    <w:p w14:paraId="529237F4">
      <w:pPr>
        <w:pStyle w:val="4"/>
        <w:spacing w:before="240" w:after="240"/>
        <w:ind w:left="1416" w:hanging="1132"/>
        <w:rPr>
          <w:sz w:val="24"/>
          <w:szCs w:val="24"/>
        </w:rPr>
      </w:pPr>
      <w:r>
        <w:rPr>
          <w:sz w:val="24"/>
          <w:szCs w:val="24"/>
        </w:rPr>
        <w:t>Q.C.2.</w:t>
      </w:r>
      <w:r>
        <w:rPr>
          <w:sz w:val="24"/>
          <w:szCs w:val="24"/>
        </w:rPr>
        <w:tab/>
      </w:r>
      <w:r>
        <w:rPr>
          <w:sz w:val="24"/>
          <w:szCs w:val="24"/>
        </w:rPr>
        <w:t>公司在传达有关其未获得批准的产品或有关已获得批准/认可/许可的产品的未批准用途的信息时，还应向医疗费用支付方提供哪些其他信息？</w:t>
      </w:r>
    </w:p>
    <w:p w14:paraId="4E7966FA">
      <w:pPr>
        <w:snapToGrid w:val="0"/>
        <w:ind w:left="1416" w:leftChars="142" w:hanging="1132" w:hangingChars="472"/>
        <w:jc w:val="both"/>
        <w:rPr>
          <w:rFonts w:eastAsia="宋体"/>
          <w:color w:val="000000"/>
          <w:sz w:val="24"/>
          <w:szCs w:val="24"/>
        </w:rPr>
      </w:pPr>
      <w:r>
        <w:rPr>
          <w:rFonts w:eastAsia="宋体"/>
          <w:color w:val="000000"/>
          <w:sz w:val="24"/>
          <w:szCs w:val="24"/>
        </w:rPr>
        <w:t>A.C.2.</w:t>
      </w:r>
      <w:r>
        <w:rPr>
          <w:rFonts w:eastAsia="宋体"/>
          <w:color w:val="000000"/>
          <w:sz w:val="24"/>
          <w:szCs w:val="24"/>
        </w:rPr>
        <w:tab/>
      </w:r>
      <w:r>
        <w:rPr>
          <w:rFonts w:eastAsia="宋体"/>
          <w:color w:val="000000"/>
          <w:sz w:val="24"/>
          <w:szCs w:val="24"/>
        </w:rPr>
        <w:t>FDA建议公司在传达有关未获得批准的产品或有关已获得批准/认可/许可的产品的未批准用途的信息时，向医疗费用支付方提供以下信息：</w:t>
      </w:r>
    </w:p>
    <w:p w14:paraId="22706EC5">
      <w:pPr>
        <w:snapToGrid w:val="0"/>
        <w:ind w:left="1416" w:leftChars="142" w:hanging="1132" w:hangingChars="472"/>
        <w:jc w:val="both"/>
        <w:rPr>
          <w:rFonts w:eastAsia="宋体"/>
          <w:sz w:val="24"/>
          <w:szCs w:val="24"/>
        </w:rPr>
      </w:pPr>
    </w:p>
    <w:p w14:paraId="4E564F43">
      <w:pPr>
        <w:snapToGrid w:val="0"/>
        <w:ind w:left="1636" w:leftChars="638"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明确声明产品或用途未获得批准/认可/许可，且产品或用途的安全性或有效性尚未确定；</w:t>
      </w:r>
    </w:p>
    <w:p w14:paraId="602B930E">
      <w:pPr>
        <w:snapToGrid w:val="0"/>
        <w:ind w:left="1636" w:leftChars="638" w:hanging="360" w:hangingChars="150"/>
        <w:jc w:val="both"/>
        <w:rPr>
          <w:rFonts w:eastAsia="宋体"/>
          <w:color w:val="000000"/>
          <w:sz w:val="24"/>
          <w:szCs w:val="24"/>
        </w:rPr>
      </w:pPr>
    </w:p>
    <w:p w14:paraId="02B57880">
      <w:pPr>
        <w:snapToGrid w:val="0"/>
        <w:ind w:left="1636" w:leftChars="638"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与产品开发阶段有关的信息（例如，正在探究产品/新用途的任何研究的状况及其与整个产品开发计划的关系，产品或新用途的上市申请是否已递交FDA或计划何时递交）；以及</w:t>
      </w:r>
    </w:p>
    <w:p w14:paraId="06DC7602">
      <w:pPr>
        <w:snapToGrid w:val="0"/>
        <w:ind w:left="1636" w:leftChars="638" w:hanging="360" w:hangingChars="150"/>
        <w:jc w:val="both"/>
        <w:rPr>
          <w:rFonts w:eastAsia="宋体"/>
          <w:color w:val="000000"/>
          <w:sz w:val="24"/>
          <w:szCs w:val="24"/>
        </w:rPr>
      </w:pPr>
    </w:p>
    <w:p w14:paraId="52A7E459">
      <w:pPr>
        <w:snapToGrid w:val="0"/>
        <w:ind w:left="1636" w:leftChars="638"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于包括研究结果的事实陈述的沟通，FDA建议公司描述研究设计和方法的重要方面，并披露与研究设计、方法和结果相关的材料限制。公司还应确保不会有选择性地呈现结果（例如，应同时呈现肯定和否定或无效的研究结果）。</w:t>
      </w:r>
    </w:p>
    <w:p w14:paraId="0DF00EF4">
      <w:pPr>
        <w:snapToGrid w:val="0"/>
        <w:ind w:left="1276" w:leftChars="638"/>
        <w:jc w:val="both"/>
        <w:rPr>
          <w:rFonts w:eastAsia="宋体"/>
          <w:color w:val="000000"/>
          <w:sz w:val="24"/>
          <w:szCs w:val="24"/>
        </w:rPr>
      </w:pPr>
    </w:p>
    <w:p w14:paraId="4D7A6F05">
      <w:pPr>
        <w:snapToGrid w:val="0"/>
        <w:ind w:left="1276" w:leftChars="638"/>
        <w:jc w:val="both"/>
        <w:rPr>
          <w:rFonts w:eastAsia="宋体"/>
          <w:color w:val="000000"/>
          <w:sz w:val="24"/>
          <w:szCs w:val="24"/>
        </w:rPr>
      </w:pPr>
      <w:r>
        <w:rPr>
          <w:rFonts w:eastAsia="宋体"/>
          <w:color w:val="000000"/>
          <w:sz w:val="24"/>
          <w:szCs w:val="24"/>
        </w:rPr>
        <w:t>此外，对于向医疗费用支付方传达已获得批准/认可/许可的产品的未批准用途的信息，公司应提供：</w:t>
      </w:r>
    </w:p>
    <w:p w14:paraId="6D01FE7C">
      <w:pPr>
        <w:snapToGrid w:val="0"/>
        <w:ind w:left="1276" w:leftChars="638"/>
        <w:jc w:val="both"/>
        <w:rPr>
          <w:rFonts w:eastAsia="宋体"/>
          <w:sz w:val="24"/>
          <w:szCs w:val="24"/>
        </w:rPr>
      </w:pPr>
    </w:p>
    <w:p w14:paraId="008CDBED">
      <w:pPr>
        <w:snapToGrid w:val="0"/>
        <w:ind w:left="1636" w:leftChars="638"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一份明确声明，披露FDA已批准、认可或许可该产品的适应症，以及FDA要求的最新标签的副本。</w:t>
      </w:r>
    </w:p>
    <w:p w14:paraId="36DDD6C2">
      <w:pPr>
        <w:snapToGrid w:val="0"/>
        <w:ind w:left="1276" w:leftChars="638"/>
        <w:jc w:val="both"/>
        <w:rPr>
          <w:rFonts w:eastAsia="宋体"/>
          <w:color w:val="000000"/>
          <w:sz w:val="24"/>
          <w:szCs w:val="24"/>
        </w:rPr>
      </w:pPr>
    </w:p>
    <w:p w14:paraId="7784AB23">
      <w:pPr>
        <w:snapToGrid w:val="0"/>
        <w:ind w:left="1276" w:leftChars="638"/>
        <w:jc w:val="both"/>
        <w:rPr>
          <w:rFonts w:eastAsia="宋体"/>
          <w:sz w:val="24"/>
          <w:szCs w:val="24"/>
        </w:rPr>
      </w:pPr>
      <w:r>
        <w:rPr>
          <w:rFonts w:eastAsia="宋体"/>
          <w:color w:val="000000"/>
          <w:sz w:val="24"/>
          <w:szCs w:val="24"/>
        </w:rPr>
        <w:t>FDA还建议，如果之前传达的信息由于显著变更或有关产品的新信息（例如，未能达到关键试验中的主要有效性终点）或其审评状态（例如，审评周期结束后确定申请不足以获得批准，研究被临床搁置）而严重过时，公司应向医疗费用支付方提供跟踪信息。</w:t>
      </w:r>
    </w:p>
    <w:p w14:paraId="37A66124">
      <w:pPr>
        <w:snapToGrid w:val="0"/>
        <w:jc w:val="both"/>
        <w:rPr>
          <w:rFonts w:eastAsia="宋体"/>
          <w:sz w:val="24"/>
          <w:szCs w:val="24"/>
        </w:rPr>
      </w:pPr>
    </w:p>
    <w:p w14:paraId="04E96CA3">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9F9526E">
      <w:pPr>
        <w:pStyle w:val="4"/>
        <w:spacing w:before="240" w:after="240"/>
        <w:ind w:left="1416" w:hanging="1132"/>
        <w:rPr>
          <w:sz w:val="24"/>
          <w:szCs w:val="24"/>
        </w:rPr>
      </w:pPr>
      <w:r>
        <w:rPr>
          <w:sz w:val="24"/>
          <w:szCs w:val="24"/>
        </w:rPr>
        <w:t>Q.C.3.</w:t>
      </w:r>
      <w:r>
        <w:rPr>
          <w:sz w:val="24"/>
          <w:szCs w:val="24"/>
        </w:rPr>
        <w:tab/>
      </w:r>
      <w:r>
        <w:rPr>
          <w:sz w:val="24"/>
          <w:szCs w:val="24"/>
        </w:rPr>
        <w:t>哪些类型的信息被认为</w:t>
      </w:r>
      <w:r>
        <w:rPr>
          <w:sz w:val="24"/>
          <w:szCs w:val="24"/>
          <w:u w:val="single"/>
        </w:rPr>
        <w:t>不适合</w:t>
      </w:r>
      <w:r>
        <w:rPr>
          <w:sz w:val="24"/>
          <w:szCs w:val="24"/>
        </w:rPr>
        <w:t>向医疗费用支付方沟通有关未获得批准的产品或有关已获得批准/认可/许可的产品的未批准用途？</w:t>
      </w:r>
    </w:p>
    <w:p w14:paraId="3CDBF5B1">
      <w:pPr>
        <w:snapToGrid w:val="0"/>
        <w:ind w:left="1416" w:leftChars="142" w:hanging="1132" w:hangingChars="472"/>
        <w:jc w:val="both"/>
        <w:rPr>
          <w:rFonts w:eastAsia="宋体"/>
          <w:sz w:val="24"/>
          <w:szCs w:val="24"/>
        </w:rPr>
      </w:pPr>
      <w:r>
        <w:rPr>
          <w:rFonts w:eastAsia="宋体"/>
          <w:color w:val="000000"/>
          <w:sz w:val="24"/>
          <w:szCs w:val="24"/>
        </w:rPr>
        <w:t>A.C.3.</w:t>
      </w:r>
      <w:r>
        <w:rPr>
          <w:rFonts w:eastAsia="宋体"/>
          <w:color w:val="000000"/>
          <w:sz w:val="24"/>
          <w:szCs w:val="24"/>
        </w:rPr>
        <w:tab/>
      </w:r>
      <w:r>
        <w:rPr>
          <w:rFonts w:eastAsia="宋体"/>
          <w:color w:val="000000"/>
          <w:sz w:val="24"/>
          <w:szCs w:val="24"/>
        </w:rPr>
        <w:t>公司和医疗费用支付方之间的沟通，如果表明未获得批准的产品已获得FDA批准/认可/许可，或对于正在研究的目的已被确定为安全有效，则不适合。同样，公司和医疗费用支付方之间的沟通，如果表明已获得批准/认可/许可的产品的未批准用途已获得FDA批准/认可/许可，或该产品对于正在研究的用途安全有效，则不适合。</w:t>
      </w:r>
    </w:p>
    <w:p w14:paraId="5D6D55D3">
      <w:pPr>
        <w:pStyle w:val="4"/>
        <w:spacing w:before="240" w:after="240"/>
        <w:ind w:left="1416" w:hanging="1132"/>
        <w:rPr>
          <w:sz w:val="24"/>
          <w:szCs w:val="24"/>
        </w:rPr>
      </w:pPr>
      <w:r>
        <w:rPr>
          <w:sz w:val="24"/>
          <w:szCs w:val="24"/>
        </w:rPr>
        <w:t>Q.C.4.</w:t>
      </w:r>
      <w:r>
        <w:rPr>
          <w:sz w:val="24"/>
          <w:szCs w:val="24"/>
        </w:rPr>
        <w:tab/>
      </w:r>
      <w:r>
        <w:rPr>
          <w:sz w:val="24"/>
          <w:szCs w:val="24"/>
        </w:rPr>
        <w:t>哪些额外考虑事项适用于向医疗费用支付方沟通有关未获得批准的产品或有关已获得批准/认可/许可的产品的未批准用途？</w:t>
      </w:r>
    </w:p>
    <w:p w14:paraId="46826747">
      <w:pPr>
        <w:snapToGrid w:val="0"/>
        <w:ind w:left="1416" w:leftChars="142" w:hanging="1132" w:hangingChars="472"/>
        <w:jc w:val="both"/>
        <w:rPr>
          <w:rFonts w:eastAsia="宋体"/>
          <w:sz w:val="24"/>
          <w:szCs w:val="24"/>
        </w:rPr>
      </w:pPr>
      <w:r>
        <w:rPr>
          <w:rFonts w:eastAsia="宋体"/>
          <w:color w:val="000000"/>
          <w:sz w:val="24"/>
          <w:szCs w:val="24"/>
        </w:rPr>
        <w:t>A.C.4.</w:t>
      </w:r>
      <w:r>
        <w:rPr>
          <w:rFonts w:eastAsia="宋体"/>
          <w:color w:val="000000"/>
          <w:sz w:val="24"/>
          <w:szCs w:val="24"/>
        </w:rPr>
        <w:tab/>
      </w:r>
      <w:r>
        <w:rPr>
          <w:rFonts w:eastAsia="宋体"/>
          <w:color w:val="000000"/>
          <w:sz w:val="24"/>
          <w:szCs w:val="24"/>
        </w:rPr>
        <w:t>公司关于未获得批准的产品和已获得批准/认可/许可的医疗产品的未批准用途的沟通引发了一些潜在的公共卫生利益冲突。FDA在这一领域行使其职权的方法寻求平衡这些利益，以最大限度地促进公共卫生的整体发展。</w:t>
      </w:r>
    </w:p>
    <w:p w14:paraId="13C0F0A7">
      <w:pPr>
        <w:snapToGrid w:val="0"/>
        <w:jc w:val="both"/>
        <w:rPr>
          <w:rFonts w:eastAsia="宋体"/>
          <w:color w:val="000000"/>
          <w:sz w:val="24"/>
          <w:szCs w:val="24"/>
        </w:rPr>
      </w:pPr>
    </w:p>
    <w:p w14:paraId="6BDCF2AF">
      <w:pPr>
        <w:snapToGrid w:val="0"/>
        <w:ind w:left="1276" w:leftChars="638"/>
        <w:jc w:val="both"/>
        <w:rPr>
          <w:rFonts w:eastAsia="宋体"/>
          <w:color w:val="000000"/>
          <w:sz w:val="24"/>
          <w:szCs w:val="24"/>
        </w:rPr>
      </w:pPr>
      <w:r>
        <w:rPr>
          <w:rFonts w:eastAsia="宋体"/>
          <w:color w:val="000000"/>
          <w:sz w:val="24"/>
          <w:szCs w:val="24"/>
        </w:rPr>
        <w:t>一些关于未获得批准的产品或已获得批准/认可/许可的医疗产品的未批准用途的公司沟通可能会潜在地损害与健康和安全相关的重大政府利益。这些利益包括激励开发有关安全性和有效性的稳健可靠的科学数据；维持每个预期用途的安全性和有效性的上市前审评过程，以防止伤害，防止欺诈、虚假声明和偏倚，并为医疗产品制定适当的使用说明；保护有关医疗产品用途的宣传信息的完整性和可靠性；以及防止医疗资源被转移到无效的治疗上。</w:t>
      </w:r>
    </w:p>
    <w:p w14:paraId="1657105F">
      <w:pPr>
        <w:snapToGrid w:val="0"/>
        <w:ind w:left="1276" w:leftChars="638"/>
        <w:jc w:val="both"/>
        <w:rPr>
          <w:rFonts w:eastAsia="宋体"/>
          <w:sz w:val="24"/>
          <w:szCs w:val="24"/>
        </w:rPr>
      </w:pPr>
    </w:p>
    <w:p w14:paraId="251BDC76">
      <w:pPr>
        <w:snapToGrid w:val="0"/>
        <w:ind w:left="1276" w:leftChars="638"/>
        <w:jc w:val="both"/>
        <w:rPr>
          <w:rFonts w:eastAsia="宋体"/>
          <w:color w:val="000000"/>
          <w:sz w:val="24"/>
          <w:szCs w:val="24"/>
        </w:rPr>
      </w:pPr>
      <w:r>
        <w:rPr>
          <w:rFonts w:eastAsia="宋体"/>
          <w:color w:val="000000"/>
          <w:sz w:val="24"/>
          <w:szCs w:val="24"/>
        </w:rPr>
        <w:t>FDA认识到，在某些情况下，由上市前审评要求直接推动的公共卫生利益与其他重要利益之间可能存在紧张关系。例如，如本指南第II部分中的讨论内容所示，FDA认识到，在某些情况下，医疗费用支付方需要在医疗产品和使用的承保和报销决定生效日期之前对其进行规划。因此，FDA承认医疗费用支付方收到Q.C.1/A.C.1中所述类型的有关未获得批准的产品和已获得批准/认可/许可的医疗产品的未批准用途的公正、真实、准确且不具有误导性的信息的价值，以便为其决策提供参考。</w:t>
      </w:r>
    </w:p>
    <w:p w14:paraId="38E56D70">
      <w:pPr>
        <w:snapToGrid w:val="0"/>
        <w:ind w:left="1276" w:leftChars="638"/>
        <w:jc w:val="both"/>
        <w:rPr>
          <w:rFonts w:eastAsia="宋体"/>
          <w:color w:val="000000"/>
          <w:sz w:val="24"/>
          <w:szCs w:val="24"/>
        </w:rPr>
      </w:pPr>
    </w:p>
    <w:p w14:paraId="54A441F8">
      <w:pPr>
        <w:snapToGrid w:val="0"/>
        <w:ind w:left="1276" w:leftChars="638"/>
        <w:jc w:val="both"/>
        <w:rPr>
          <w:rFonts w:eastAsia="宋体"/>
          <w:sz w:val="24"/>
          <w:szCs w:val="24"/>
        </w:rPr>
      </w:pPr>
      <w:r>
        <w:rPr>
          <w:rFonts w:eastAsia="宋体"/>
          <w:color w:val="000000"/>
          <w:sz w:val="24"/>
          <w:szCs w:val="24"/>
        </w:rPr>
        <w:t>FDA认为，Q.C.1/A.C.1中描述的信息类别一方面足够广泛，能够涵盖医疗费用支付方可能需要做出明智承保和报销决定的信息，另一方面也足够有限，能够维持适当的激励措施，促使公司开展稳健可靠的研究，以评价未获得批准的产品和已获得批准/认可/许可的医疗产品的未批准用途的安全性和有效性。此外，如果公司遵循Q.C.1/A.C.1中的建议，并提供公正、真实、准确且不具有误导性的信息，FDA认为医疗费用支付方被误导的风险相对较低。医疗费用支付方是一群经验丰富的受众，其掌握了仔细考量医疗产品新用途的各种相关证据的既定程序。医疗费用支付方拥有财政资源和动机来密切审评来自公司的信息。在以人群为基础做出决策时，医疗费用支付方可以利用多个学科的一系列专业知识，使他们能够批判性地评价公司提供给他们的信息，包括评价这些信息的局限性和可靠性。</w:t>
      </w:r>
    </w:p>
    <w:p w14:paraId="3C83B098">
      <w:pPr>
        <w:snapToGrid w:val="0"/>
        <w:ind w:left="1276" w:leftChars="638"/>
        <w:jc w:val="both"/>
        <w:rPr>
          <w:rFonts w:eastAsia="宋体"/>
          <w:sz w:val="24"/>
          <w:szCs w:val="24"/>
        </w:rPr>
      </w:pPr>
    </w:p>
    <w:p w14:paraId="231A8778">
      <w:pPr>
        <w:snapToGrid w:val="0"/>
        <w:jc w:val="both"/>
        <w:rPr>
          <w:rFonts w:eastAsia="宋体"/>
          <w:sz w:val="24"/>
          <w:szCs w:val="24"/>
        </w:rPr>
      </w:pPr>
    </w:p>
    <w:p w14:paraId="4BCBCEAD">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4C492A5">
      <w:pPr>
        <w:snapToGrid w:val="0"/>
        <w:ind w:left="1276" w:leftChars="638"/>
        <w:jc w:val="both"/>
        <w:rPr>
          <w:rFonts w:eastAsia="宋体"/>
          <w:color w:val="000000"/>
          <w:sz w:val="24"/>
          <w:szCs w:val="24"/>
          <w:vertAlign w:val="superscript"/>
        </w:rPr>
      </w:pPr>
      <w:r>
        <w:rPr>
          <w:rFonts w:eastAsia="宋体"/>
          <w:color w:val="000000"/>
          <w:sz w:val="24"/>
          <w:szCs w:val="24"/>
        </w:rPr>
        <w:t>因此，FDA认为，指南的这一部分提供的建议适当地平衡了上述公司与医疗费用支付方受众就未获得批准的产品和已获得批准/认可/许可的产品的未批准用途进行沟通的利益冲突。公司向其他受众传达有关未获得批准的产品或已获得批准/认可/许可的产品的未批准用途的信息可能会需要额外或不同的考虑事项，并超出本指南的范围。</w:t>
      </w:r>
      <w:r>
        <w:fldChar w:fldCharType="begin"/>
      </w:r>
      <w:r>
        <w:instrText xml:space="preserve">HYPERLINK \l "bookmark1"</w:instrText>
      </w:r>
      <w:r>
        <w:fldChar w:fldCharType="separate"/>
      </w:r>
      <w:r>
        <w:rPr>
          <w:rStyle w:val="17"/>
          <w:rFonts w:eastAsia="宋体"/>
          <w:color w:val="000000"/>
          <w:sz w:val="24"/>
          <w:szCs w:val="24"/>
        </w:rPr>
        <w:footnoteReference w:id="58"/>
      </w:r>
      <w:r>
        <w:fldChar w:fldCharType="end"/>
      </w:r>
    </w:p>
    <w:p w14:paraId="643AAEF0">
      <w:pPr>
        <w:snapToGrid w:val="0"/>
        <w:ind w:left="1276" w:leftChars="638"/>
        <w:jc w:val="both"/>
        <w:rPr>
          <w:rFonts w:eastAsia="宋体"/>
          <w:sz w:val="24"/>
          <w:szCs w:val="24"/>
        </w:rPr>
      </w:pPr>
    </w:p>
    <w:p w14:paraId="3A5615B7">
      <w:pPr>
        <w:pStyle w:val="2"/>
        <w:spacing w:before="240" w:after="120"/>
        <w:rPr>
          <w:rFonts w:eastAsia="宋体"/>
          <w:sz w:val="24"/>
          <w:szCs w:val="24"/>
        </w:rPr>
      </w:pPr>
      <w:bookmarkStart w:id="6" w:name="_Toc97486301"/>
      <w:r>
        <w:rPr>
          <w:rFonts w:eastAsia="宋体"/>
          <w:sz w:val="24"/>
          <w:szCs w:val="24"/>
        </w:rPr>
        <w:t>IV.</w:t>
      </w:r>
      <w:r>
        <w:rPr>
          <w:rFonts w:eastAsia="宋体"/>
          <w:sz w:val="24"/>
          <w:szCs w:val="24"/>
        </w:rPr>
        <w:tab/>
      </w:r>
      <w:r>
        <w:rPr>
          <w:rFonts w:eastAsia="宋体"/>
          <w:sz w:val="24"/>
          <w:szCs w:val="24"/>
        </w:rPr>
        <w:t>《1995年文书</w:t>
      </w:r>
      <w:r>
        <w:rPr>
          <w:rFonts w:hint="eastAsia" w:eastAsia="宋体"/>
          <w:sz w:val="24"/>
          <w:szCs w:val="24"/>
        </w:rPr>
        <w:t>削减法</w:t>
      </w:r>
      <w:r>
        <w:rPr>
          <w:rFonts w:eastAsia="宋体"/>
          <w:sz w:val="24"/>
          <w:szCs w:val="24"/>
        </w:rPr>
        <w:t>》</w:t>
      </w:r>
      <w:bookmarkEnd w:id="6"/>
    </w:p>
    <w:p w14:paraId="138BCFDF">
      <w:pPr>
        <w:snapToGrid w:val="0"/>
        <w:jc w:val="both"/>
        <w:rPr>
          <w:rFonts w:eastAsia="宋体"/>
          <w:color w:val="000000"/>
          <w:sz w:val="24"/>
          <w:szCs w:val="24"/>
        </w:rPr>
      </w:pPr>
      <w:r>
        <w:rPr>
          <w:rFonts w:eastAsia="宋体"/>
          <w:color w:val="000000"/>
          <w:sz w:val="24"/>
          <w:szCs w:val="24"/>
        </w:rPr>
        <w:t>本指南包含应由管理和预算办公室（OMB）根据1995年《文书</w:t>
      </w:r>
      <w:bookmarkStart w:id="7" w:name="_Hlk100153605"/>
      <w:r>
        <w:rPr>
          <w:rFonts w:eastAsia="宋体"/>
          <w:color w:val="000000"/>
          <w:sz w:val="24"/>
          <w:szCs w:val="24"/>
        </w:rPr>
        <w:t>削减法</w:t>
      </w:r>
      <w:bookmarkEnd w:id="7"/>
      <w:r>
        <w:rPr>
          <w:rFonts w:eastAsia="宋体"/>
          <w:color w:val="000000"/>
          <w:sz w:val="24"/>
          <w:szCs w:val="24"/>
        </w:rPr>
        <w:t>》（44 U.S.C. 3501-3520）进行审评的信息收集规定。具体</w:t>
      </w:r>
      <w:r>
        <w:rPr>
          <w:rFonts w:hint="eastAsia" w:eastAsia="宋体"/>
          <w:color w:val="000000"/>
          <w:sz w:val="24"/>
          <w:szCs w:val="24"/>
        </w:rPr>
        <w:t>而言</w:t>
      </w:r>
      <w:r>
        <w:rPr>
          <w:rFonts w:eastAsia="宋体"/>
          <w:color w:val="000000"/>
          <w:sz w:val="24"/>
          <w:szCs w:val="24"/>
        </w:rPr>
        <w:t>，该指南包含了在向医疗费用支付方传达有关已获得批准的处方药和有关已获得批准或许可的器械的HCEI时应包括的信息的建议。FDA还建议，在公司与医疗费用支付方就未获得批准的产品和已获得批准/许可的产品的未批准用途进行沟通时，应包括某些信息。</w:t>
      </w:r>
    </w:p>
    <w:p w14:paraId="75B24EF0">
      <w:pPr>
        <w:snapToGrid w:val="0"/>
        <w:jc w:val="both"/>
        <w:rPr>
          <w:rFonts w:eastAsia="宋体"/>
          <w:sz w:val="24"/>
          <w:szCs w:val="24"/>
        </w:rPr>
      </w:pPr>
    </w:p>
    <w:p w14:paraId="548B3E7A">
      <w:pPr>
        <w:snapToGrid w:val="0"/>
        <w:jc w:val="both"/>
        <w:rPr>
          <w:rFonts w:eastAsia="宋体"/>
          <w:sz w:val="24"/>
          <w:szCs w:val="24"/>
        </w:rPr>
      </w:pPr>
      <w:r>
        <w:rPr>
          <w:rFonts w:eastAsia="宋体"/>
          <w:color w:val="000000"/>
          <w:sz w:val="24"/>
          <w:szCs w:val="24"/>
        </w:rPr>
        <w:t>FDA估计，公司将需要大约20个小时来汇编和起草本指南建议在传达已获得批准的处方药和已获得批准/许可的器械的HCEI时应包括的信息。FDA估计，公司将需要大约30分钟来汇编和起草本指南建议应在与医疗费用支付方沟通时提供的有关未获得批准的产品或已获得批准/许可的产品的未批准用途的信息，并且公司将需要大约2个小时来汇编和提供关于之前向医疗费用支付方传达的有关其未获得批准的产品或已获得批准/许可的产品的未批准用途的跟踪信息。将有关此工作估计的意见或减轻此工作的建议发送至：</w:t>
      </w:r>
    </w:p>
    <w:p w14:paraId="7CE8C0BB">
      <w:pPr>
        <w:snapToGrid w:val="0"/>
        <w:jc w:val="both"/>
        <w:rPr>
          <w:rFonts w:eastAsia="宋体"/>
          <w:sz w:val="24"/>
          <w:szCs w:val="24"/>
        </w:rPr>
      </w:pPr>
    </w:p>
    <w:p w14:paraId="0836D427">
      <w:pPr>
        <w:snapToGrid w:val="0"/>
        <w:jc w:val="both"/>
        <w:rPr>
          <w:rFonts w:eastAsia="宋体"/>
          <w:sz w:val="24"/>
          <w:szCs w:val="24"/>
        </w:rPr>
      </w:pPr>
    </w:p>
    <w:p w14:paraId="3A75865A">
      <w:pPr>
        <w:snapToGrid w:val="0"/>
        <w:jc w:val="both"/>
        <w:rPr>
          <w:rFonts w:eastAsia="宋体"/>
          <w:sz w:val="21"/>
          <w:szCs w:val="21"/>
        </w:rPr>
      </w:pPr>
    </w:p>
    <w:p w14:paraId="49B00EA6">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22EDBFD">
      <w:pPr>
        <w:snapToGrid w:val="0"/>
        <w:jc w:val="center"/>
        <w:rPr>
          <w:rFonts w:eastAsia="宋体"/>
          <w:sz w:val="24"/>
          <w:szCs w:val="24"/>
        </w:rPr>
      </w:pPr>
      <w:r>
        <w:rPr>
          <w:rFonts w:eastAsia="宋体"/>
          <w:color w:val="000000"/>
          <w:sz w:val="24"/>
          <w:szCs w:val="24"/>
        </w:rPr>
        <w:t>FDA PRA工作人员</w:t>
      </w:r>
    </w:p>
    <w:p w14:paraId="5ABA18AE">
      <w:pPr>
        <w:snapToGrid w:val="0"/>
        <w:jc w:val="center"/>
        <w:rPr>
          <w:rFonts w:eastAsia="宋体"/>
          <w:sz w:val="24"/>
          <w:szCs w:val="24"/>
        </w:rPr>
      </w:pPr>
      <w:r>
        <w:rPr>
          <w:rFonts w:eastAsia="宋体"/>
          <w:color w:val="000000"/>
          <w:sz w:val="24"/>
          <w:szCs w:val="24"/>
        </w:rPr>
        <w:t>业务办公室</w:t>
      </w:r>
    </w:p>
    <w:p w14:paraId="3051A5A7">
      <w:pPr>
        <w:snapToGrid w:val="0"/>
        <w:jc w:val="center"/>
        <w:rPr>
          <w:rFonts w:eastAsia="宋体"/>
          <w:sz w:val="24"/>
          <w:szCs w:val="24"/>
        </w:rPr>
      </w:pPr>
      <w:r>
        <w:rPr>
          <w:rFonts w:eastAsia="宋体"/>
          <w:color w:val="000000"/>
          <w:sz w:val="24"/>
          <w:szCs w:val="24"/>
        </w:rPr>
        <w:t>美国食品药品监督管理局</w:t>
      </w:r>
    </w:p>
    <w:p w14:paraId="474CCB5D">
      <w:pPr>
        <w:snapToGrid w:val="0"/>
        <w:jc w:val="center"/>
        <w:rPr>
          <w:rFonts w:eastAsia="宋体"/>
          <w:sz w:val="24"/>
          <w:szCs w:val="24"/>
        </w:rPr>
      </w:pPr>
      <w:r>
        <w:rPr>
          <w:rFonts w:eastAsia="宋体"/>
          <w:color w:val="000000"/>
          <w:sz w:val="24"/>
          <w:szCs w:val="24"/>
        </w:rPr>
        <w:t>Three White Flint North</w:t>
      </w:r>
    </w:p>
    <w:p w14:paraId="68228480">
      <w:pPr>
        <w:snapToGrid w:val="0"/>
        <w:jc w:val="center"/>
        <w:rPr>
          <w:rFonts w:eastAsia="宋体"/>
          <w:sz w:val="24"/>
          <w:szCs w:val="24"/>
        </w:rPr>
      </w:pPr>
      <w:r>
        <w:rPr>
          <w:rFonts w:eastAsia="宋体"/>
          <w:color w:val="000000"/>
          <w:sz w:val="24"/>
          <w:szCs w:val="24"/>
        </w:rPr>
        <w:t>11601 Landsdown Street, 10A-12M</w:t>
      </w:r>
    </w:p>
    <w:p w14:paraId="0F421AEA">
      <w:pPr>
        <w:snapToGrid w:val="0"/>
        <w:jc w:val="center"/>
        <w:rPr>
          <w:rFonts w:eastAsia="宋体"/>
          <w:sz w:val="24"/>
          <w:szCs w:val="24"/>
        </w:rPr>
      </w:pPr>
      <w:r>
        <w:rPr>
          <w:rFonts w:eastAsia="宋体"/>
          <w:color w:val="000000"/>
          <w:sz w:val="24"/>
          <w:szCs w:val="24"/>
        </w:rPr>
        <w:t>North Bethesda, MD 20852</w:t>
      </w:r>
    </w:p>
    <w:p w14:paraId="760F3282">
      <w:pPr>
        <w:snapToGrid w:val="0"/>
        <w:jc w:val="both"/>
        <w:rPr>
          <w:rFonts w:eastAsia="宋体"/>
          <w:color w:val="000000"/>
          <w:sz w:val="24"/>
          <w:szCs w:val="24"/>
        </w:rPr>
      </w:pPr>
    </w:p>
    <w:p w14:paraId="4011AB93">
      <w:pPr>
        <w:snapToGrid w:val="0"/>
        <w:jc w:val="both"/>
        <w:rPr>
          <w:rFonts w:eastAsia="宋体"/>
          <w:color w:val="000000"/>
          <w:sz w:val="24"/>
          <w:szCs w:val="24"/>
        </w:rPr>
      </w:pPr>
      <w:r>
        <w:rPr>
          <w:rFonts w:eastAsia="宋体"/>
          <w:color w:val="000000"/>
          <w:sz w:val="24"/>
          <w:szCs w:val="24"/>
        </w:rPr>
        <w:t>本指南还涉及FDA法规中之前批准的信息收集。21 CFR 314.81（b）（3）（i）（表格FDA 2253）中的信息收集已根据OMB控制编号0910-0001获得批准。</w:t>
      </w:r>
    </w:p>
    <w:p w14:paraId="00EFF41B">
      <w:pPr>
        <w:snapToGrid w:val="0"/>
        <w:jc w:val="both"/>
        <w:rPr>
          <w:rFonts w:eastAsia="宋体"/>
          <w:sz w:val="21"/>
          <w:szCs w:val="21"/>
        </w:rPr>
      </w:pPr>
    </w:p>
    <w:p w14:paraId="10747126">
      <w:pPr>
        <w:pBdr>
          <w:top w:val="single" w:color="auto" w:sz="4" w:space="1"/>
          <w:left w:val="single" w:color="auto" w:sz="4" w:space="4"/>
          <w:bottom w:val="single" w:color="auto" w:sz="4" w:space="1"/>
          <w:right w:val="single" w:color="auto" w:sz="4" w:space="4"/>
        </w:pBdr>
        <w:snapToGrid w:val="0"/>
        <w:jc w:val="both"/>
        <w:rPr>
          <w:rFonts w:eastAsia="宋体"/>
          <w:sz w:val="21"/>
          <w:szCs w:val="21"/>
        </w:rPr>
      </w:pPr>
      <w:r>
        <w:rPr>
          <w:rFonts w:eastAsia="宋体"/>
          <w:color w:val="000000"/>
          <w:sz w:val="21"/>
          <w:szCs w:val="21"/>
        </w:rPr>
        <w:t>除非显示当前有效的OMB控制编号，否则</w:t>
      </w:r>
      <w:r>
        <w:rPr>
          <w:rFonts w:hint="eastAsia" w:eastAsia="宋体"/>
          <w:color w:val="000000"/>
          <w:sz w:val="21"/>
          <w:szCs w:val="21"/>
        </w:rPr>
        <w:t>F</w:t>
      </w:r>
      <w:r>
        <w:rPr>
          <w:rFonts w:eastAsia="宋体"/>
          <w:color w:val="000000"/>
          <w:sz w:val="21"/>
          <w:szCs w:val="21"/>
        </w:rPr>
        <w:t>DA不得进行或发起信息收集，并且个人无需回应。此信息收集的OMB控制编号为0910-0857（失效期为2021年8月31日）。（备注：（2018年11月2日增加的OMB控制编号和失效期。）</w:t>
      </w:r>
    </w:p>
    <w:p w14:paraId="69B1B3E7">
      <w:pPr>
        <w:pStyle w:val="18"/>
        <w:jc w:val="center"/>
        <w:rPr>
          <w:rFonts w:hint="eastAsia" w:eastAsia="等线"/>
          <w:lang w:eastAsia="zh-CN"/>
        </w:rPr>
      </w:pPr>
    </w:p>
    <w:p w14:paraId="227F5474">
      <w:pPr>
        <w:pStyle w:val="18"/>
        <w:jc w:val="center"/>
        <w:rPr>
          <w:rFonts w:hint="eastAsia" w:eastAsia="等线"/>
          <w:lang w:eastAsia="zh-CN"/>
        </w:rPr>
      </w:pPr>
    </w:p>
    <w:p w14:paraId="5421D2DB">
      <w:pPr>
        <w:pStyle w:val="18"/>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75B7">
    <w:pPr>
      <w:pStyle w:val="8"/>
      <w:pBdr>
        <w:top w:val="single" w:color="auto" w:sz="18"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B0E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2D6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17</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18">
    <w:p>
      <w:r>
        <w:separator/>
      </w:r>
    </w:p>
  </w:footnote>
  <w:footnote w:type="continuationSeparator" w:id="119">
    <w:p>
      <w:r>
        <w:continuationSeparator/>
      </w:r>
    </w:p>
  </w:footnote>
  <w:footnote w:id="0">
    <w:p w14:paraId="5D4AE4FF">
      <w:pPr>
        <w:pStyle w:val="11"/>
        <w:rPr>
          <w:rFonts w:eastAsia="宋体"/>
          <w:color w:val="000000"/>
        </w:rPr>
      </w:pPr>
      <w:r>
        <w:rPr>
          <w:rStyle w:val="17"/>
          <w:rFonts w:eastAsia="宋体"/>
        </w:rPr>
        <w:footnoteRef/>
      </w:r>
      <w:r>
        <w:rPr>
          <w:rFonts w:eastAsia="宋体"/>
        </w:rPr>
        <w:t xml:space="preserve"> </w:t>
      </w:r>
      <w:r>
        <w:rPr>
          <w:rFonts w:eastAsia="宋体"/>
          <w:color w:val="000000"/>
        </w:rPr>
        <w:t>本指南由药品评价和研究中心处方药宣传办公室与生物制品评价和研究中心、医疗器械与放射健康中心以及美国食品药品监督管理局专员办公室合作编制。</w:t>
      </w:r>
    </w:p>
    <w:p w14:paraId="1D400380">
      <w:pPr>
        <w:pStyle w:val="11"/>
        <w:rPr>
          <w:rFonts w:eastAsia="宋体"/>
        </w:rPr>
      </w:pPr>
    </w:p>
  </w:footnote>
  <w:footnote w:id="1">
    <w:p w14:paraId="3BD2F874">
      <w:pPr>
        <w:pStyle w:val="11"/>
        <w:rPr>
          <w:rFonts w:eastAsia="宋体"/>
          <w:color w:val="000000"/>
        </w:rPr>
      </w:pPr>
      <w:r>
        <w:rPr>
          <w:rStyle w:val="17"/>
          <w:rFonts w:eastAsia="宋体"/>
        </w:rPr>
        <w:footnoteRef/>
      </w:r>
      <w:r>
        <w:rPr>
          <w:rFonts w:eastAsia="宋体"/>
        </w:rPr>
        <w:t xml:space="preserve"> </w:t>
      </w:r>
      <w:r>
        <w:rPr>
          <w:rFonts w:eastAsia="宋体"/>
          <w:color w:val="000000"/>
        </w:rPr>
        <w:t>“公司”一词指医疗产品制造商、包装商和分销商，包括这些机构的代表。</w:t>
      </w:r>
    </w:p>
    <w:p w14:paraId="27924166">
      <w:pPr>
        <w:pStyle w:val="11"/>
        <w:rPr>
          <w:rFonts w:eastAsia="宋体"/>
        </w:rPr>
      </w:pPr>
    </w:p>
  </w:footnote>
  <w:footnote w:id="2">
    <w:p w14:paraId="30E3B5EE">
      <w:pPr>
        <w:pStyle w:val="11"/>
        <w:rPr>
          <w:rFonts w:eastAsia="宋体"/>
          <w:color w:val="000000"/>
        </w:rPr>
      </w:pPr>
      <w:r>
        <w:rPr>
          <w:rStyle w:val="17"/>
          <w:rFonts w:eastAsia="宋体"/>
        </w:rPr>
        <w:footnoteRef/>
      </w:r>
      <w:r>
        <w:rPr>
          <w:rFonts w:eastAsia="宋体"/>
        </w:rPr>
        <w:t xml:space="preserve"> </w:t>
      </w:r>
      <w:r>
        <w:rPr>
          <w:rFonts w:eastAsia="宋体"/>
          <w:color w:val="000000"/>
        </w:rPr>
        <w:t>同时符合《联邦食品、药品和化妆品法案》（《FD&amp;C法案》）中“药品”定义的每种生物制品均受《联邦食品、药品和化妆品法案》中适用于药品的条款的约束，但根据《公共卫生服务法案》（《PHS法案》）第351条获得许可的生物制品不需要根据《联邦食品、药品和化妆品法案》（21 U.S.C.355）第505条申请批准的新药申请。见《PHS法案》的第351（j）条（42 U.S.C. 262（j））。就本指南而言，“药品”一词指人用处方药，包括那些作为生物制品获得许可的处方药。</w:t>
      </w:r>
    </w:p>
    <w:p w14:paraId="2AC73711">
      <w:pPr>
        <w:pStyle w:val="11"/>
        <w:rPr>
          <w:rFonts w:eastAsia="宋体"/>
        </w:rPr>
      </w:pPr>
    </w:p>
  </w:footnote>
  <w:footnote w:id="3">
    <w:p w14:paraId="37984538">
      <w:pPr>
        <w:pStyle w:val="11"/>
        <w:rPr>
          <w:rFonts w:eastAsia="宋体"/>
          <w:color w:val="000000"/>
        </w:rPr>
      </w:pPr>
      <w:r>
        <w:rPr>
          <w:rStyle w:val="17"/>
          <w:rFonts w:eastAsia="宋体"/>
        </w:rPr>
        <w:footnoteRef/>
      </w:r>
      <w:r>
        <w:rPr>
          <w:rFonts w:eastAsia="宋体"/>
        </w:rPr>
        <w:t xml:space="preserve"> </w:t>
      </w:r>
      <w:r>
        <w:rPr>
          <w:rFonts w:eastAsia="宋体"/>
          <w:color w:val="000000"/>
        </w:rPr>
        <w:t>“器械”一词指人用医疗器械，包括作为生物制品获得许可的器械。</w:t>
      </w:r>
    </w:p>
    <w:p w14:paraId="67A4381A">
      <w:pPr>
        <w:pStyle w:val="11"/>
        <w:rPr>
          <w:rFonts w:eastAsia="宋体"/>
        </w:rPr>
      </w:pPr>
    </w:p>
  </w:footnote>
  <w:footnote w:id="4">
    <w:p w14:paraId="22093795">
      <w:pPr>
        <w:pStyle w:val="11"/>
        <w:rPr>
          <w:rFonts w:eastAsia="宋体"/>
          <w:color w:val="000000"/>
        </w:rPr>
      </w:pPr>
      <w:r>
        <w:rPr>
          <w:rStyle w:val="17"/>
          <w:rFonts w:eastAsia="宋体"/>
        </w:rPr>
        <w:footnoteRef/>
      </w:r>
      <w:r>
        <w:rPr>
          <w:rFonts w:eastAsia="宋体"/>
        </w:rPr>
        <w:t xml:space="preserve"> </w:t>
      </w:r>
      <w:r>
        <w:rPr>
          <w:rFonts w:eastAsia="宋体"/>
          <w:color w:val="000000"/>
        </w:rPr>
        <w:t>有关HCEI的定义，请参见Q.A.1/A.A.1。</w:t>
      </w:r>
    </w:p>
    <w:p w14:paraId="56A60573">
      <w:pPr>
        <w:pStyle w:val="11"/>
        <w:rPr>
          <w:rFonts w:eastAsia="宋体"/>
        </w:rPr>
      </w:pPr>
    </w:p>
  </w:footnote>
  <w:footnote w:id="5">
    <w:p w14:paraId="3A2C0111">
      <w:pPr>
        <w:pStyle w:val="11"/>
        <w:rPr>
          <w:rFonts w:eastAsia="宋体"/>
          <w:color w:val="000000"/>
        </w:rPr>
      </w:pPr>
      <w:r>
        <w:rPr>
          <w:rStyle w:val="17"/>
          <w:rFonts w:eastAsia="宋体"/>
        </w:rPr>
        <w:footnoteRef/>
      </w:r>
      <w:r>
        <w:rPr>
          <w:rFonts w:eastAsia="宋体"/>
        </w:rPr>
        <w:t xml:space="preserve"> </w:t>
      </w:r>
      <w:r>
        <w:rPr>
          <w:rFonts w:eastAsia="宋体"/>
          <w:color w:val="000000"/>
        </w:rPr>
        <w:t>本指南的Q.A.2/A.A.2中讨论了“医疗费用支付方、处方集委员会或其他类似职能机构”。</w:t>
      </w:r>
    </w:p>
    <w:p w14:paraId="4531BF6B">
      <w:pPr>
        <w:pStyle w:val="11"/>
        <w:rPr>
          <w:rFonts w:eastAsia="宋体"/>
        </w:rPr>
      </w:pPr>
    </w:p>
  </w:footnote>
  <w:footnote w:id="6">
    <w:p w14:paraId="20894856">
      <w:pPr>
        <w:pStyle w:val="11"/>
        <w:rPr>
          <w:rFonts w:eastAsia="宋体"/>
        </w:rPr>
      </w:pPr>
      <w:r>
        <w:rPr>
          <w:rStyle w:val="17"/>
          <w:rFonts w:eastAsia="宋体"/>
        </w:rPr>
        <w:footnoteRef/>
      </w:r>
      <w:r>
        <w:rPr>
          <w:rFonts w:eastAsia="宋体"/>
        </w:rPr>
        <w:t xml:space="preserve"> </w:t>
      </w:r>
      <w:r>
        <w:rPr>
          <w:rFonts w:eastAsia="宋体"/>
          <w:color w:val="000000"/>
        </w:rPr>
        <w:t>“医疗产品”一词指药品和器械。</w:t>
      </w:r>
    </w:p>
  </w:footnote>
  <w:footnote w:id="7">
    <w:p w14:paraId="4DA8C443">
      <w:pPr>
        <w:pStyle w:val="11"/>
        <w:rPr>
          <w:rFonts w:eastAsia="宋体"/>
          <w:color w:val="000000"/>
        </w:rPr>
      </w:pPr>
      <w:r>
        <w:rPr>
          <w:rStyle w:val="17"/>
          <w:rFonts w:eastAsia="宋体"/>
        </w:rPr>
        <w:footnoteRef/>
      </w:r>
      <w:r>
        <w:rPr>
          <w:rFonts w:eastAsia="宋体"/>
        </w:rPr>
        <w:t xml:space="preserve"> </w:t>
      </w:r>
      <w:r>
        <w:rPr>
          <w:rFonts w:eastAsia="宋体"/>
          <w:color w:val="000000"/>
        </w:rPr>
        <w:t>如本指南中的使用内容所示，术语“获批/许可器械”及类似术语，包括由于上市前批准、510（k）批准、重新上市许可、人道主义器械豁免（HDE）批准或免于上市前通知而合法上市的器械。</w:t>
      </w:r>
    </w:p>
    <w:p w14:paraId="5E7E20F2">
      <w:pPr>
        <w:pStyle w:val="11"/>
        <w:rPr>
          <w:rFonts w:eastAsia="宋体"/>
        </w:rPr>
      </w:pPr>
    </w:p>
  </w:footnote>
  <w:footnote w:id="8">
    <w:p w14:paraId="27C2BF41">
      <w:pPr>
        <w:tabs>
          <w:tab w:val="left" w:pos="115"/>
        </w:tabs>
        <w:snapToGrid w:val="0"/>
        <w:jc w:val="both"/>
        <w:rPr>
          <w:rFonts w:eastAsia="宋体"/>
          <w:sz w:val="18"/>
          <w:szCs w:val="18"/>
        </w:rPr>
      </w:pPr>
      <w:r>
        <w:rPr>
          <w:rStyle w:val="17"/>
          <w:rFonts w:eastAsia="宋体"/>
          <w:sz w:val="18"/>
          <w:szCs w:val="18"/>
        </w:rPr>
        <w:footnoteRef/>
      </w:r>
      <w:r>
        <w:rPr>
          <w:rFonts w:eastAsia="宋体"/>
          <w:sz w:val="18"/>
          <w:szCs w:val="18"/>
        </w:rPr>
        <w:t xml:space="preserve"> </w:t>
      </w:r>
      <w:r>
        <w:rPr>
          <w:rFonts w:eastAsia="宋体"/>
          <w:color w:val="000000"/>
          <w:sz w:val="18"/>
          <w:szCs w:val="18"/>
        </w:rPr>
        <w:t>如本指南中的使用内容所示，“未获得批准的产品”一词指尚未获得FDA批准/许可用于任何用途（但必须获得批准/许可才能合法上市）的药品和器械，包括公司已经递交或计划递交新药申请（NDA）、生物制品注册证申请（BLA）（包括根据351（k）路径递交的申请）、简化新药申请（ANDA）、上市前批准申请（PMA）、510（k）递交、根据《联邦食品、药品和化妆品法案》（21 U.S.C. 360c（f）（2））中第513（f）（2）条的重新递交，或HDE申请的产品。</w:t>
      </w:r>
    </w:p>
    <w:p w14:paraId="752FE432">
      <w:pPr>
        <w:pStyle w:val="11"/>
        <w:rPr>
          <w:rFonts w:eastAsia="宋体"/>
        </w:rPr>
      </w:pPr>
    </w:p>
  </w:footnote>
  <w:footnote w:id="9">
    <w:p w14:paraId="49524C39">
      <w:pPr>
        <w:tabs>
          <w:tab w:val="left" w:pos="178"/>
        </w:tabs>
        <w:snapToGrid w:val="0"/>
        <w:jc w:val="both"/>
        <w:rPr>
          <w:rFonts w:eastAsia="宋体"/>
          <w:sz w:val="18"/>
          <w:szCs w:val="18"/>
        </w:rPr>
      </w:pPr>
      <w:r>
        <w:rPr>
          <w:rStyle w:val="17"/>
          <w:rFonts w:eastAsia="宋体"/>
          <w:sz w:val="18"/>
          <w:szCs w:val="18"/>
        </w:rPr>
        <w:footnoteRef/>
      </w:r>
      <w:r>
        <w:rPr>
          <w:rFonts w:eastAsia="宋体"/>
          <w:sz w:val="18"/>
          <w:szCs w:val="18"/>
        </w:rPr>
        <w:t xml:space="preserve"> </w:t>
      </w:r>
      <w:r>
        <w:rPr>
          <w:rFonts w:eastAsia="宋体"/>
          <w:color w:val="000000"/>
          <w:sz w:val="18"/>
          <w:szCs w:val="18"/>
        </w:rPr>
        <w:t>例如，根据《1997年美国食品药品监督管理局现代化法案》（FDAMA）第114条（公法105-115）和《21世纪治愈法案》第3037条（公法114-255）修订的《联邦食品、药品和化妆品法案》第502（a）条（第502（a）条）包括关于向医疗费用支付方传达有关获批药品的HCEI的以下条款：</w:t>
      </w:r>
    </w:p>
    <w:p w14:paraId="7542FC7F">
      <w:pPr>
        <w:snapToGrid w:val="0"/>
        <w:ind w:left="960" w:leftChars="480"/>
        <w:jc w:val="both"/>
        <w:rPr>
          <w:rFonts w:eastAsia="宋体"/>
          <w:sz w:val="18"/>
          <w:szCs w:val="18"/>
        </w:rPr>
      </w:pPr>
      <w:r>
        <w:rPr>
          <w:rFonts w:eastAsia="宋体"/>
          <w:color w:val="000000"/>
          <w:sz w:val="18"/>
          <w:szCs w:val="18"/>
        </w:rPr>
        <w:t>“如果医疗保健经济学信息与根据《公共卫生服务法案》第505条或第351（a）条针对这种药品批准的适应症有关[42 U.S.C. 262（A）]，则根据本条款，向在医疗经济分析领域具有知识和专业技能的医疗费用支付方、处方集委员会或其他类似职能机构提供的医疗保健经济学信息（履行其选择承保或报销药品的责任）不应被视为具有虚假性或误导性。以上论断基于充分而可靠的科学证据，并在适当情况下加入描述医疗保健经济学信息与根据《公共卫生服务法案》第505条或第351条批准的药品标签之间的任何实质性差异的明确且突出的声明。《公共卫生服务法案》第505（a）条或第351条的分条款（a）和（k）中规定的要求不适用于根据本条款向此类医疗费用支付方、委员会或机构提供的医疗保健经济学信息。按照要求，应向[美国卫生和公众服务部]部长提供与根据本条款递交的医疗保健经济学信息证实有关的信息。..就本条款而言，“医疗保健经济学信息”一词指识别、衡量或描述药品使用经济后果的任何分析（包括临床数据、输入、临床或其他假设、方法、结果和构成分析的其他组成部分），这些经济后果可能基于所述健康结局的单独或综合临床后果。此类分析可以与另一种药品的使用、另一种医疗干预或不干预……进行比较。这一术语不包括仅与根据《公共卫生服务法案》第505条或第351条针对这种药品未批准的适应症有关的任何分析。”</w:t>
      </w:r>
    </w:p>
  </w:footnote>
  <w:footnote w:id="10">
    <w:p w14:paraId="25DD9384">
      <w:pPr>
        <w:snapToGrid w:val="0"/>
        <w:jc w:val="both"/>
        <w:rPr>
          <w:rFonts w:eastAsia="宋体"/>
          <w:sz w:val="18"/>
          <w:szCs w:val="18"/>
        </w:rPr>
      </w:pPr>
      <w:r>
        <w:rPr>
          <w:rStyle w:val="17"/>
          <w:rFonts w:eastAsia="宋体"/>
          <w:sz w:val="18"/>
          <w:szCs w:val="18"/>
        </w:rPr>
        <w:footnoteRef/>
      </w:r>
      <w:r>
        <w:rPr>
          <w:rFonts w:eastAsia="宋体"/>
          <w:sz w:val="18"/>
          <w:szCs w:val="18"/>
        </w:rPr>
        <w:t xml:space="preserve"> </w:t>
      </w:r>
      <w:r>
        <w:rPr>
          <w:rFonts w:eastAsia="宋体"/>
          <w:color w:val="000000"/>
          <w:sz w:val="18"/>
          <w:szCs w:val="18"/>
        </w:rPr>
        <w:t>《联邦食品、药品和化妆品法案》第502（a）（1）条的第一句规定，“\如果药品或器械的标签在任何细节上具有虚假性或误导性”，则该药品或器械被视为标识错误。根据FDA的长期做法和FDA的法规、条例和判例法，“标示”不仅包括药品的标签，还延伸到“附在此类物品上”的其他书写、印刷或图示资料（《联邦食品、药品和化妆品法案》第201（m）条；另见第21 CFR 1.3（a）条）。根据</w:t>
      </w:r>
      <w:r>
        <w:rPr>
          <w:rFonts w:eastAsia="宋体"/>
          <w:i/>
          <w:iCs/>
          <w:color w:val="000000"/>
          <w:sz w:val="18"/>
          <w:szCs w:val="18"/>
        </w:rPr>
        <w:t>Kordel v. United States</w:t>
      </w:r>
      <w:r>
        <w:rPr>
          <w:rFonts w:eastAsia="宋体"/>
          <w:color w:val="000000"/>
          <w:sz w:val="18"/>
          <w:szCs w:val="18"/>
        </w:rPr>
        <w:t>，335 U.S. 345，350（1948），《联邦食品、药品和化妆品法案》标签定义中的“附在此类物品上”一词包括补充或解释物品的材料，“\没有必要将一件物品与另一件物品进行物理连接。重要的是文本关系。“当国会首次修正第502（a）条以包括有关HCEI沟通的条款时，其表明该条款规定医疗保健经济学信息“可能包含在……递交给处方集委员会、管理式医疗保健机构或类似职能机构的标签或广告中”（见参议院关于《1997年美国食品药品监督管理局现代化和问责法案》的报告（S. 830）第87-88页，S. Rep.  编号105-43，可登录以下网站查阅：</w:t>
      </w:r>
      <w:r>
        <w:rPr>
          <w:rFonts w:eastAsia="宋体"/>
          <w:color w:val="0000FF"/>
          <w:sz w:val="18"/>
          <w:szCs w:val="18"/>
          <w:u w:val="single"/>
        </w:rPr>
        <w:t xml:space="preserve"> https://www.congress.gov/congressional-report/105th-congress/senate-report/43/1）</w:t>
      </w:r>
      <w:r>
        <w:rPr>
          <w:rFonts w:eastAsia="宋体"/>
          <w:color w:val="000000"/>
          <w:sz w:val="18"/>
          <w:szCs w:val="18"/>
        </w:rPr>
        <w:t xml:space="preserve">，并且表明根据“FDA现行上市后报告条例，本部分中定义的医疗保健经济学信息必须在首次提供给处方集委员会或其他类似职能机构时递交给FDA”（见众议院关于《1997年处方药申请人付费再授权和药品监管现代化法案》的报告（H.R. 1411）第67页，H.R.Rep.编号105-310，可登录以下网站查阅： </w:t>
      </w:r>
      <w:r>
        <w:rPr>
          <w:rFonts w:eastAsia="宋体"/>
          <w:color w:val="0000FF"/>
          <w:sz w:val="18"/>
          <w:szCs w:val="18"/>
          <w:u w:val="single"/>
        </w:rPr>
        <w:t>https://www.congress.gov/congressional-report/105/house-report/310)</w:t>
      </w:r>
      <w:r>
        <w:rPr>
          <w:rFonts w:eastAsia="宋体"/>
          <w:color w:val="000000"/>
          <w:sz w:val="18"/>
          <w:szCs w:val="18"/>
        </w:rPr>
        <w:t>。所引用的上市后报告要求适用于宣传标签（以及广告）（见21 CFR 314.81（b）（3）（i））。由于国会试图在这些宣传资料的背景下解决HCEI的使用问题，而且公司已经通过宣传标签材料传达了这一信息，FDA的长期做法一直是将根据本条款传达有关药品的HCEI视为宣传标签。另见Q.A.9/A.A.9。</w:t>
      </w:r>
      <w:r>
        <w:rPr>
          <w:rFonts w:hint="eastAsia" w:eastAsia="宋体"/>
          <w:color w:val="000000"/>
          <w:sz w:val="18"/>
          <w:szCs w:val="18"/>
        </w:rPr>
        <w:t>F</w:t>
      </w:r>
      <w:r>
        <w:rPr>
          <w:rFonts w:eastAsia="宋体"/>
          <w:color w:val="000000"/>
          <w:sz w:val="18"/>
          <w:szCs w:val="18"/>
        </w:rPr>
        <w:t>DA同样将传达有关器械的HCEI视为宣传标签。</w:t>
      </w:r>
    </w:p>
  </w:footnote>
  <w:footnote w:id="11">
    <w:p w14:paraId="407100B3">
      <w:pPr>
        <w:pStyle w:val="11"/>
        <w:rPr>
          <w:rFonts w:eastAsia="宋体"/>
          <w:color w:val="000000"/>
        </w:rPr>
      </w:pPr>
      <w:r>
        <w:rPr>
          <w:rStyle w:val="17"/>
          <w:rFonts w:eastAsia="宋体"/>
        </w:rPr>
        <w:footnoteRef/>
      </w:r>
      <w:r>
        <w:rPr>
          <w:rFonts w:eastAsia="宋体"/>
        </w:rPr>
        <w:t xml:space="preserve"> </w:t>
      </w:r>
      <w:r>
        <w:rPr>
          <w:rFonts w:eastAsia="宋体"/>
          <w:color w:val="000000"/>
        </w:rPr>
        <w:t>参见根据FDAMA第114条和《21世纪治愈法案》第3037条修订的第502（a）条。如本指南中所使用的内容所示，“第502（a）条”一词指该条款中特定于HCEI的部分。</w:t>
      </w:r>
    </w:p>
    <w:p w14:paraId="4A34B363">
      <w:pPr>
        <w:pStyle w:val="11"/>
        <w:rPr>
          <w:rFonts w:eastAsia="宋体"/>
        </w:rPr>
      </w:pPr>
    </w:p>
  </w:footnote>
  <w:footnote w:id="12">
    <w:p w14:paraId="62D2A711">
      <w:pPr>
        <w:pStyle w:val="11"/>
        <w:rPr>
          <w:rFonts w:eastAsia="宋体"/>
        </w:rPr>
      </w:pPr>
      <w:r>
        <w:rPr>
          <w:rStyle w:val="17"/>
          <w:rFonts w:eastAsia="宋体"/>
        </w:rPr>
        <w:footnoteRef/>
      </w:r>
      <w:r>
        <w:rPr>
          <w:rFonts w:eastAsia="宋体"/>
        </w:rPr>
        <w:t xml:space="preserve"> </w:t>
      </w:r>
      <w:r>
        <w:rPr>
          <w:rFonts w:eastAsia="宋体"/>
          <w:color w:val="000000"/>
        </w:rPr>
        <w:t>参见脚注12。第502（a）条进一步规定，向“医疗费用支付方、处方集委员会或其他类似职能机构”（医疗费用支付方）提供的、与获批适应症“有关”且基于“充分而可靠的科学证据”的HCEI不应被视为具有虚假性或误导性。在本指南的Q.A.2/A.A.2、Q.A.4/A.A.4和Q.A.5/A.A.5中对这些术语进行了讨论。</w:t>
      </w:r>
    </w:p>
  </w:footnote>
  <w:footnote w:id="13">
    <w:p w14:paraId="466029AB">
      <w:pPr>
        <w:pStyle w:val="11"/>
        <w:rPr>
          <w:rFonts w:eastAsia="宋体"/>
          <w:i/>
          <w:iCs/>
          <w:color w:val="000000"/>
        </w:rPr>
      </w:pPr>
      <w:r>
        <w:rPr>
          <w:rStyle w:val="17"/>
          <w:rFonts w:eastAsia="宋体"/>
        </w:rPr>
        <w:footnoteRef/>
      </w:r>
      <w:r>
        <w:rPr>
          <w:rFonts w:eastAsia="宋体"/>
        </w:rPr>
        <w:t xml:space="preserve"> </w:t>
      </w:r>
      <w:r>
        <w:rPr>
          <w:rFonts w:eastAsia="宋体"/>
          <w:color w:val="000000"/>
        </w:rPr>
        <w:t>参见脚注13。</w:t>
      </w:r>
    </w:p>
    <w:p w14:paraId="722B4D93">
      <w:pPr>
        <w:pStyle w:val="11"/>
        <w:rPr>
          <w:rFonts w:eastAsia="宋体"/>
        </w:rPr>
      </w:pPr>
    </w:p>
  </w:footnote>
  <w:footnote w:id="14">
    <w:p w14:paraId="024BF30C">
      <w:pPr>
        <w:pStyle w:val="11"/>
        <w:rPr>
          <w:rFonts w:eastAsia="宋体"/>
          <w:color w:val="000000"/>
        </w:rPr>
      </w:pPr>
      <w:r>
        <w:rPr>
          <w:rStyle w:val="17"/>
          <w:rFonts w:eastAsia="宋体"/>
        </w:rPr>
        <w:footnoteRef/>
      </w:r>
      <w:r>
        <w:rPr>
          <w:rFonts w:eastAsia="宋体"/>
        </w:rPr>
        <w:t xml:space="preserve"> </w:t>
      </w:r>
      <w:r>
        <w:rPr>
          <w:rFonts w:eastAsia="宋体"/>
          <w:color w:val="000000"/>
        </w:rPr>
        <w:t>“医疗费用支付方”一词指负责资助或报销与医疗服务相关的费用的机构（例如，第三方医疗费用支付方、健康计划申办方、州级医疗补助计划）。</w:t>
      </w:r>
    </w:p>
    <w:p w14:paraId="36B7C38A">
      <w:pPr>
        <w:pStyle w:val="11"/>
        <w:rPr>
          <w:rFonts w:eastAsia="宋体"/>
        </w:rPr>
      </w:pPr>
    </w:p>
  </w:footnote>
  <w:footnote w:id="15">
    <w:p w14:paraId="42D5571B">
      <w:pPr>
        <w:pStyle w:val="11"/>
        <w:rPr>
          <w:rFonts w:eastAsia="宋体"/>
          <w:color w:val="000000"/>
        </w:rPr>
      </w:pPr>
      <w:r>
        <w:rPr>
          <w:rStyle w:val="17"/>
          <w:rFonts w:eastAsia="宋体"/>
        </w:rPr>
        <w:footnoteRef/>
      </w:r>
      <w:r>
        <w:rPr>
          <w:rFonts w:eastAsia="宋体"/>
        </w:rPr>
        <w:t xml:space="preserve"> </w:t>
      </w:r>
      <w:r>
        <w:rPr>
          <w:rFonts w:eastAsia="宋体"/>
          <w:color w:val="000000"/>
        </w:rPr>
        <w:t>“处方集委员会”一词指负责药品选择和处方管理的跨学科委员会。</w:t>
      </w:r>
    </w:p>
    <w:p w14:paraId="0D7B8CB7">
      <w:pPr>
        <w:pStyle w:val="11"/>
        <w:rPr>
          <w:rFonts w:eastAsia="宋体"/>
        </w:rPr>
      </w:pPr>
    </w:p>
  </w:footnote>
  <w:footnote w:id="16">
    <w:p w14:paraId="57D1FD27">
      <w:pPr>
        <w:pStyle w:val="11"/>
        <w:rPr>
          <w:rFonts w:eastAsia="宋体"/>
          <w:color w:val="000000"/>
        </w:rPr>
      </w:pPr>
      <w:r>
        <w:rPr>
          <w:rStyle w:val="17"/>
          <w:rFonts w:eastAsia="宋体"/>
        </w:rPr>
        <w:footnoteRef/>
      </w:r>
      <w:r>
        <w:rPr>
          <w:rFonts w:eastAsia="宋体"/>
        </w:rPr>
        <w:t xml:space="preserve"> </w:t>
      </w:r>
      <w:r>
        <w:rPr>
          <w:rFonts w:eastAsia="宋体"/>
          <w:color w:val="000000"/>
        </w:rPr>
        <w:t>“医疗保健机构”一词可以包括诸如综合医疗保健提供网络、医院和医院系统等机构。</w:t>
      </w:r>
    </w:p>
    <w:p w14:paraId="2DE9B59C">
      <w:pPr>
        <w:pStyle w:val="11"/>
        <w:rPr>
          <w:rFonts w:eastAsia="宋体"/>
        </w:rPr>
      </w:pPr>
    </w:p>
  </w:footnote>
  <w:footnote w:id="17">
    <w:p w14:paraId="79E8DF7C">
      <w:pPr>
        <w:pStyle w:val="11"/>
        <w:rPr>
          <w:rFonts w:eastAsia="宋体"/>
          <w:color w:val="000000"/>
        </w:rPr>
      </w:pPr>
      <w:r>
        <w:rPr>
          <w:rStyle w:val="17"/>
          <w:rFonts w:eastAsia="宋体"/>
        </w:rPr>
        <w:footnoteRef/>
      </w:r>
      <w:r>
        <w:rPr>
          <w:rFonts w:eastAsia="宋体"/>
        </w:rPr>
        <w:t xml:space="preserve"> </w:t>
      </w:r>
      <w:r>
        <w:rPr>
          <w:rFonts w:eastAsia="宋体"/>
          <w:color w:val="000000"/>
        </w:rPr>
        <w:t>见H.R.Rep.编号105-310的第65页。</w:t>
      </w:r>
    </w:p>
    <w:p w14:paraId="75D292A0">
      <w:pPr>
        <w:pStyle w:val="11"/>
        <w:rPr>
          <w:rFonts w:eastAsia="宋体"/>
        </w:rPr>
      </w:pPr>
    </w:p>
  </w:footnote>
  <w:footnote w:id="18">
    <w:p w14:paraId="2A500A9F">
      <w:pPr>
        <w:pStyle w:val="11"/>
        <w:rPr>
          <w:rFonts w:eastAsia="宋体"/>
          <w:i/>
          <w:iCs/>
          <w:color w:val="000000"/>
        </w:rPr>
      </w:pPr>
      <w:r>
        <w:rPr>
          <w:rStyle w:val="17"/>
          <w:rFonts w:eastAsia="宋体"/>
        </w:rPr>
        <w:footnoteRef/>
      </w:r>
      <w:r>
        <w:rPr>
          <w:rFonts w:eastAsia="宋体"/>
        </w:rPr>
        <w:t xml:space="preserve"> </w:t>
      </w:r>
      <w:r>
        <w:rPr>
          <w:rFonts w:eastAsia="宋体"/>
          <w:color w:val="000000"/>
        </w:rPr>
        <w:t>参见脚注18。</w:t>
      </w:r>
    </w:p>
    <w:p w14:paraId="5BB45166">
      <w:pPr>
        <w:pStyle w:val="11"/>
        <w:rPr>
          <w:rFonts w:eastAsia="宋体"/>
        </w:rPr>
      </w:pPr>
    </w:p>
  </w:footnote>
  <w:footnote w:id="19">
    <w:p w14:paraId="2FA39584">
      <w:pPr>
        <w:tabs>
          <w:tab w:val="left" w:pos="178"/>
        </w:tabs>
        <w:snapToGrid w:val="0"/>
        <w:jc w:val="both"/>
        <w:rPr>
          <w:rFonts w:eastAsia="宋体"/>
          <w:sz w:val="18"/>
          <w:szCs w:val="18"/>
        </w:rPr>
      </w:pPr>
      <w:r>
        <w:rPr>
          <w:rStyle w:val="17"/>
          <w:rFonts w:eastAsia="宋体"/>
          <w:sz w:val="18"/>
          <w:szCs w:val="18"/>
        </w:rPr>
        <w:footnoteRef/>
      </w:r>
      <w:r>
        <w:rPr>
          <w:rFonts w:eastAsia="宋体"/>
          <w:sz w:val="18"/>
          <w:szCs w:val="18"/>
        </w:rPr>
        <w:t xml:space="preserve"> </w:t>
      </w:r>
      <w:r>
        <w:rPr>
          <w:rFonts w:eastAsia="宋体"/>
          <w:color w:val="000000"/>
          <w:sz w:val="18"/>
          <w:szCs w:val="18"/>
        </w:rPr>
        <w:t>见第502（a）条。</w:t>
      </w:r>
    </w:p>
  </w:footnote>
  <w:footnote w:id="20">
    <w:p w14:paraId="31ABAC2A">
      <w:pPr>
        <w:pStyle w:val="11"/>
        <w:rPr>
          <w:rFonts w:eastAsia="宋体"/>
          <w:color w:val="000000"/>
        </w:rPr>
      </w:pPr>
      <w:r>
        <w:rPr>
          <w:rStyle w:val="17"/>
          <w:rFonts w:eastAsia="宋体"/>
        </w:rPr>
        <w:footnoteRef/>
      </w:r>
      <w:r>
        <w:rPr>
          <w:rFonts w:eastAsia="宋体"/>
        </w:rPr>
        <w:t xml:space="preserve"> </w:t>
      </w:r>
      <w:r>
        <w:rPr>
          <w:rFonts w:eastAsia="宋体"/>
          <w:color w:val="000000"/>
        </w:rPr>
        <w:t>国会认为，限制HCEI的受众范围很重要，因为“这将确保信息只提供给那些已经掌握了程序和技能来解释经济研究方法和局限性的各方。[第502（a）条]并不是为了允许制造商向做出个体处方决定的执业医师提供此类医疗保健经济学信息，也不是为了允许在医学教育的背景下提供此类信息。”见H.R.Rep.编号105-310的第65页。</w:t>
      </w:r>
    </w:p>
    <w:p w14:paraId="21F89E7A">
      <w:pPr>
        <w:pStyle w:val="11"/>
        <w:rPr>
          <w:rFonts w:eastAsia="宋体"/>
        </w:rPr>
      </w:pPr>
    </w:p>
  </w:footnote>
  <w:footnote w:id="21">
    <w:p w14:paraId="59E47247">
      <w:pPr>
        <w:pStyle w:val="11"/>
        <w:rPr>
          <w:rFonts w:eastAsia="宋体"/>
        </w:rPr>
      </w:pPr>
      <w:r>
        <w:rPr>
          <w:rStyle w:val="17"/>
          <w:rFonts w:eastAsia="宋体"/>
        </w:rPr>
        <w:footnoteRef/>
      </w:r>
      <w:r>
        <w:rPr>
          <w:rFonts w:eastAsia="宋体"/>
        </w:rPr>
        <w:t xml:space="preserve"> </w:t>
      </w:r>
      <w:r>
        <w:rPr>
          <w:rFonts w:eastAsia="宋体"/>
          <w:color w:val="000000"/>
        </w:rPr>
        <w:t>见第502（a）条。</w:t>
      </w:r>
    </w:p>
  </w:footnote>
  <w:footnote w:id="22">
    <w:p w14:paraId="2C010455">
      <w:pPr>
        <w:pStyle w:val="11"/>
        <w:rPr>
          <w:rFonts w:eastAsia="宋体"/>
        </w:rPr>
      </w:pPr>
      <w:r>
        <w:rPr>
          <w:rStyle w:val="17"/>
          <w:rFonts w:eastAsia="宋体"/>
        </w:rPr>
        <w:footnoteRef/>
      </w:r>
      <w:r>
        <w:rPr>
          <w:rFonts w:eastAsia="宋体"/>
        </w:rPr>
        <w:t xml:space="preserve"> </w:t>
      </w:r>
      <w:r>
        <w:rPr>
          <w:rFonts w:eastAsia="宋体"/>
          <w:color w:val="000000"/>
        </w:rPr>
        <w:t>《联邦食品、药品和化妆品法案》第502（a）（2）（B）条还规定，HCEI一词“不包括仅与根据《公共卫生服务法案》第505条或第351条未批准的适应症有关的任何分析。.。”如果分析与Q.A.4/A.A.4中的建议一致，FDA将认为其属于第502（a）条定义的HCEI的范围。如果分析依据的数据既包括指定患者人群内的患者，也包括指定患者人群外的患者（例如，一种药品被批准用于治疗成人疾病X，而用于分析的数据源只能提供所有使用该药品治疗疾病X的患者，包括儿科患者的汇总信息），FDA也会认为这属于第502（a）条定义的HCEI的范围。另一方面，如Q.A.4/A.A.4末尾的示例所示，如果一项分析与一种药品的获批适应症完全无关，FDA将不会将其视为在本部分定义的HCEI的范围内。</w:t>
      </w:r>
    </w:p>
  </w:footnote>
  <w:footnote w:id="23">
    <w:p w14:paraId="3E0FF1FE">
      <w:pPr>
        <w:pStyle w:val="11"/>
        <w:rPr>
          <w:rFonts w:eastAsia="宋体"/>
        </w:rPr>
      </w:pPr>
      <w:r>
        <w:rPr>
          <w:rStyle w:val="17"/>
          <w:rFonts w:eastAsia="宋体"/>
        </w:rPr>
        <w:footnoteRef/>
      </w:r>
      <w:r>
        <w:rPr>
          <w:rFonts w:eastAsia="宋体"/>
        </w:rPr>
        <w:t xml:space="preserve"> </w:t>
      </w:r>
      <w:r>
        <w:rPr>
          <w:rFonts w:eastAsia="宋体"/>
          <w:color w:val="000000"/>
        </w:rPr>
        <w:t>有关替代和中间临床终点的更多信息，请参见FDA行业指南《适用于严重病症的新药加速审批方案-药品和生物制品》；对于器械，请参见FDA行业、工具开发商和美国食品药品监督管理局工作人员指南《医疗器械开发工具鉴定》。我局将定期更新指南。有关最新版指南，请登录FDA指南网页</w:t>
      </w:r>
      <w:r>
        <w:rPr>
          <w:rFonts w:eastAsia="宋体"/>
          <w:color w:val="0000FF"/>
          <w:u w:val="single"/>
        </w:rPr>
        <w:t>http://www.fda.gov/RegulatoryInformation/Guidances/default.htm。</w:t>
      </w:r>
    </w:p>
  </w:footnote>
  <w:footnote w:id="24">
    <w:p w14:paraId="04C37132">
      <w:pPr>
        <w:pStyle w:val="11"/>
        <w:rPr>
          <w:rFonts w:eastAsia="宋体"/>
          <w:i/>
          <w:iCs/>
          <w:color w:val="000000"/>
        </w:rPr>
      </w:pPr>
      <w:r>
        <w:rPr>
          <w:rStyle w:val="17"/>
          <w:rFonts w:eastAsia="宋体"/>
        </w:rPr>
        <w:footnoteRef/>
      </w:r>
      <w:r>
        <w:rPr>
          <w:rFonts w:eastAsia="宋体"/>
        </w:rPr>
        <w:t xml:space="preserve"> </w:t>
      </w:r>
      <w:r>
        <w:rPr>
          <w:rFonts w:eastAsia="宋体"/>
          <w:color w:val="000000"/>
        </w:rPr>
        <w:t>COA是患者或临床医生对患者临床状态的任何评估。COA指标有四种类型（即患者报告的结局、临床医生报告的结局、观察者报告的结局和性能结局）。见FDA行业指南《患者报告的结局指标：在医疗产品开发中用于支持标签声明》。</w:t>
      </w:r>
    </w:p>
    <w:p w14:paraId="58DA4F6C">
      <w:pPr>
        <w:pStyle w:val="11"/>
        <w:rPr>
          <w:rFonts w:eastAsia="宋体"/>
        </w:rPr>
      </w:pPr>
    </w:p>
  </w:footnote>
  <w:footnote w:id="25">
    <w:p w14:paraId="4A25CE48">
      <w:pPr>
        <w:pStyle w:val="11"/>
        <w:rPr>
          <w:rFonts w:eastAsia="宋体"/>
          <w:color w:val="000000"/>
        </w:rPr>
      </w:pPr>
      <w:r>
        <w:rPr>
          <w:rStyle w:val="17"/>
          <w:rFonts w:eastAsia="宋体"/>
        </w:rPr>
        <w:footnoteRef/>
      </w:r>
      <w:r>
        <w:rPr>
          <w:rFonts w:eastAsia="宋体"/>
        </w:rPr>
        <w:t xml:space="preserve"> </w:t>
      </w:r>
      <w:r>
        <w:rPr>
          <w:rFonts w:eastAsia="宋体"/>
          <w:color w:val="000000"/>
        </w:rPr>
        <w:t>QALY是一项评价健康结局的指标，通常从0（对应于死亡）到1（对应于完全或最佳健康）进行评分，综合了预期寿命和治疗对HCEI中可能使用的比较干预措施发病率的影响。</w:t>
      </w:r>
    </w:p>
    <w:p w14:paraId="27677726">
      <w:pPr>
        <w:pStyle w:val="11"/>
        <w:rPr>
          <w:rFonts w:eastAsia="宋体"/>
        </w:rPr>
      </w:pPr>
    </w:p>
  </w:footnote>
  <w:footnote w:id="26">
    <w:p w14:paraId="4752C239">
      <w:pPr>
        <w:pStyle w:val="11"/>
        <w:rPr>
          <w:rFonts w:eastAsia="宋体"/>
          <w:color w:val="000000"/>
        </w:rPr>
      </w:pPr>
      <w:r>
        <w:rPr>
          <w:rStyle w:val="17"/>
          <w:rFonts w:eastAsia="宋体"/>
        </w:rPr>
        <w:footnoteRef/>
      </w:r>
      <w:r>
        <w:rPr>
          <w:rFonts w:eastAsia="宋体"/>
        </w:rPr>
        <w:t xml:space="preserve"> </w:t>
      </w:r>
      <w:r>
        <w:rPr>
          <w:rFonts w:eastAsia="宋体"/>
          <w:color w:val="000000"/>
        </w:rPr>
        <w:t>术语“依从性”和“服从性”指“患者按照处方时间间隔和给药方案剂量进行治疗的程度”。见Cramer JA，Roy A，Burrell A等人，药物治疗依从性和持续性：术语和定义，健康价值，2008；11（1）：44-47。</w:t>
      </w:r>
    </w:p>
    <w:p w14:paraId="4CF1E13E">
      <w:pPr>
        <w:pStyle w:val="11"/>
        <w:rPr>
          <w:rFonts w:eastAsia="宋体"/>
        </w:rPr>
      </w:pPr>
    </w:p>
  </w:footnote>
  <w:footnote w:id="27">
    <w:p w14:paraId="765AEDDF">
      <w:pPr>
        <w:pStyle w:val="11"/>
        <w:rPr>
          <w:rFonts w:eastAsia="宋体"/>
        </w:rPr>
      </w:pPr>
      <w:r>
        <w:rPr>
          <w:rStyle w:val="17"/>
          <w:rFonts w:eastAsia="宋体"/>
        </w:rPr>
        <w:footnoteRef/>
      </w:r>
      <w:r>
        <w:rPr>
          <w:rFonts w:eastAsia="宋体"/>
        </w:rPr>
        <w:t xml:space="preserve"> </w:t>
      </w:r>
      <w:r>
        <w:rPr>
          <w:rFonts w:eastAsia="宋体"/>
          <w:color w:val="000000"/>
        </w:rPr>
        <w:t>“持续性”一词指“从开始治疗到停止治疗的持续时间。”参见脚注27。</w:t>
      </w:r>
    </w:p>
  </w:footnote>
  <w:footnote w:id="28">
    <w:p w14:paraId="196488DD">
      <w:pPr>
        <w:pStyle w:val="11"/>
        <w:rPr>
          <w:rFonts w:eastAsia="宋体"/>
        </w:rPr>
      </w:pPr>
      <w:r>
        <w:rPr>
          <w:rStyle w:val="17"/>
          <w:rFonts w:eastAsia="宋体"/>
        </w:rPr>
        <w:footnoteRef/>
      </w:r>
      <w:r>
        <w:rPr>
          <w:rFonts w:eastAsia="宋体"/>
        </w:rPr>
        <w:t xml:space="preserve"> </w:t>
      </w:r>
      <w:r>
        <w:rPr>
          <w:rFonts w:eastAsia="宋体"/>
          <w:color w:val="000000"/>
        </w:rPr>
        <w:t>一般参见《联邦食品、药品和化妆品法案》第502（a）（1）和（a）（2）（B）条。作为临床问题，一种仅被批准用于缓解疾病症状的药品不能被假定为预防、治疗或改变病程；因此，关于使用这种产品预防、治疗或改变病程的医疗经济后果的假设将被认为与该产品的获批适应症不相关。其他讨论另见H.R.Rep.编号105-310的第66页。</w:t>
      </w:r>
    </w:p>
  </w:footnote>
  <w:footnote w:id="29">
    <w:p w14:paraId="40E33BB6">
      <w:pPr>
        <w:pStyle w:val="11"/>
        <w:rPr>
          <w:rFonts w:eastAsia="宋体"/>
          <w:color w:val="000000"/>
        </w:rPr>
      </w:pPr>
      <w:r>
        <w:rPr>
          <w:rStyle w:val="17"/>
          <w:rFonts w:eastAsia="宋体"/>
        </w:rPr>
        <w:footnoteRef/>
      </w:r>
      <w:r>
        <w:rPr>
          <w:rFonts w:eastAsia="宋体"/>
        </w:rPr>
        <w:t xml:space="preserve"> </w:t>
      </w:r>
      <w:r>
        <w:rPr>
          <w:rFonts w:eastAsia="宋体"/>
          <w:color w:val="000000"/>
        </w:rPr>
        <w:t>Drummond MF，Jefferson TO，向BMJ提交的经济论文的作者和同行评议人员指南，</w:t>
      </w:r>
      <w:r>
        <w:rPr>
          <w:rFonts w:eastAsia="宋体"/>
          <w:i/>
          <w:iCs/>
          <w:color w:val="000000"/>
        </w:rPr>
        <w:t>BMJ</w:t>
      </w:r>
      <w:r>
        <w:rPr>
          <w:rFonts w:eastAsia="宋体"/>
          <w:color w:val="000000"/>
        </w:rPr>
        <w:t>，1996年；313：（7052）：275-283。</w:t>
      </w:r>
    </w:p>
    <w:p w14:paraId="68767C26">
      <w:pPr>
        <w:pStyle w:val="11"/>
        <w:rPr>
          <w:rFonts w:eastAsia="宋体"/>
        </w:rPr>
      </w:pPr>
    </w:p>
  </w:footnote>
  <w:footnote w:id="30">
    <w:p w14:paraId="24859F23">
      <w:pPr>
        <w:pStyle w:val="11"/>
        <w:rPr>
          <w:rFonts w:eastAsia="宋体"/>
          <w:color w:val="000000"/>
        </w:rPr>
      </w:pPr>
      <w:r>
        <w:rPr>
          <w:rStyle w:val="17"/>
          <w:rFonts w:eastAsia="宋体"/>
        </w:rPr>
        <w:footnoteRef/>
      </w:r>
      <w:r>
        <w:rPr>
          <w:rFonts w:eastAsia="宋体"/>
        </w:rPr>
        <w:t xml:space="preserve"> </w:t>
      </w:r>
      <w:r>
        <w:rPr>
          <w:rFonts w:eastAsia="宋体"/>
          <w:color w:val="000000"/>
        </w:rPr>
        <w:t>Husereau D，Drummond M，Petrou S等人，综合卫生经济评价报告标准（CHEERS）-解释和阐述：ISPOR卫生经济评价出版物指南良好报告规范工作组的报告，健康价值，2013年；16：231-250。</w:t>
      </w:r>
    </w:p>
    <w:p w14:paraId="3536D9AF">
      <w:pPr>
        <w:pStyle w:val="11"/>
        <w:rPr>
          <w:rFonts w:eastAsia="宋体"/>
        </w:rPr>
      </w:pPr>
    </w:p>
  </w:footnote>
  <w:footnote w:id="31">
    <w:p w14:paraId="1449CB7E">
      <w:pPr>
        <w:pStyle w:val="11"/>
        <w:rPr>
          <w:rFonts w:eastAsia="宋体"/>
          <w:color w:val="000000"/>
        </w:rPr>
      </w:pPr>
      <w:r>
        <w:rPr>
          <w:rStyle w:val="17"/>
          <w:rFonts w:eastAsia="宋体"/>
        </w:rPr>
        <w:footnoteRef/>
      </w:r>
      <w:r>
        <w:rPr>
          <w:rFonts w:eastAsia="宋体"/>
        </w:rPr>
        <w:t xml:space="preserve"> </w:t>
      </w:r>
      <w:r>
        <w:rPr>
          <w:rFonts w:eastAsia="宋体"/>
          <w:color w:val="000000"/>
        </w:rPr>
        <w:t>Gold MR，Siegel JE，Russell LB等人，编辑，健康与医学的成本效益，纽约市，纽约州：牛津大学出版社，1996年。</w:t>
      </w:r>
    </w:p>
    <w:p w14:paraId="6E106E19">
      <w:pPr>
        <w:pStyle w:val="11"/>
        <w:rPr>
          <w:rFonts w:eastAsia="宋体"/>
        </w:rPr>
      </w:pPr>
    </w:p>
  </w:footnote>
  <w:footnote w:id="32">
    <w:p w14:paraId="075CA04F">
      <w:pPr>
        <w:pStyle w:val="11"/>
        <w:rPr>
          <w:rFonts w:eastAsia="宋体"/>
          <w:color w:val="000000"/>
        </w:rPr>
      </w:pPr>
      <w:r>
        <w:rPr>
          <w:rStyle w:val="17"/>
          <w:rFonts w:eastAsia="宋体"/>
        </w:rPr>
        <w:footnoteRef/>
      </w:r>
      <w:r>
        <w:rPr>
          <w:rFonts w:eastAsia="宋体"/>
        </w:rPr>
        <w:t xml:space="preserve"> </w:t>
      </w:r>
      <w:r>
        <w:rPr>
          <w:rFonts w:eastAsia="宋体"/>
          <w:color w:val="000000"/>
        </w:rPr>
        <w:t>参见脚注31。</w:t>
      </w:r>
    </w:p>
    <w:p w14:paraId="077EA77B">
      <w:pPr>
        <w:pStyle w:val="11"/>
        <w:rPr>
          <w:rFonts w:eastAsia="宋体"/>
        </w:rPr>
      </w:pPr>
    </w:p>
  </w:footnote>
  <w:footnote w:id="33">
    <w:p w14:paraId="20EBD6AD">
      <w:pPr>
        <w:pStyle w:val="11"/>
        <w:rPr>
          <w:rFonts w:eastAsia="宋体"/>
          <w:color w:val="000000"/>
        </w:rPr>
      </w:pPr>
      <w:r>
        <w:rPr>
          <w:rStyle w:val="17"/>
          <w:rFonts w:eastAsia="宋体"/>
        </w:rPr>
        <w:footnoteRef/>
      </w:r>
      <w:r>
        <w:rPr>
          <w:rFonts w:eastAsia="宋体"/>
        </w:rPr>
        <w:t xml:space="preserve"> </w:t>
      </w:r>
      <w:r>
        <w:rPr>
          <w:rFonts w:eastAsia="宋体"/>
          <w:color w:val="000000"/>
        </w:rPr>
        <w:t>参见脚注32。</w:t>
      </w:r>
    </w:p>
    <w:p w14:paraId="12977F25">
      <w:pPr>
        <w:pStyle w:val="11"/>
        <w:rPr>
          <w:rFonts w:eastAsia="宋体"/>
        </w:rPr>
      </w:pPr>
    </w:p>
  </w:footnote>
  <w:footnote w:id="34">
    <w:p w14:paraId="58F56F2E">
      <w:pPr>
        <w:pStyle w:val="11"/>
        <w:rPr>
          <w:rFonts w:eastAsia="宋体"/>
          <w:color w:val="000000"/>
        </w:rPr>
      </w:pPr>
      <w:r>
        <w:rPr>
          <w:rStyle w:val="17"/>
          <w:rFonts w:eastAsia="宋体"/>
        </w:rPr>
        <w:footnoteRef/>
      </w:r>
      <w:r>
        <w:rPr>
          <w:rFonts w:eastAsia="宋体"/>
        </w:rPr>
        <w:t xml:space="preserve"> </w:t>
      </w:r>
      <w:r>
        <w:rPr>
          <w:rFonts w:eastAsia="宋体"/>
          <w:color w:val="000000"/>
        </w:rPr>
        <w:t>参见脚注30。</w:t>
      </w:r>
    </w:p>
    <w:p w14:paraId="5AB70F27">
      <w:pPr>
        <w:pStyle w:val="11"/>
        <w:rPr>
          <w:rFonts w:eastAsia="宋体"/>
        </w:rPr>
      </w:pPr>
    </w:p>
  </w:footnote>
  <w:footnote w:id="35">
    <w:p w14:paraId="3BCD2409">
      <w:pPr>
        <w:pStyle w:val="11"/>
        <w:rPr>
          <w:rFonts w:eastAsia="宋体"/>
          <w:color w:val="000000"/>
        </w:rPr>
      </w:pPr>
      <w:r>
        <w:rPr>
          <w:rStyle w:val="17"/>
          <w:rFonts w:eastAsia="宋体"/>
        </w:rPr>
        <w:footnoteRef/>
      </w:r>
      <w:r>
        <w:rPr>
          <w:rFonts w:eastAsia="宋体"/>
        </w:rPr>
        <w:t xml:space="preserve"> </w:t>
      </w:r>
      <w:r>
        <w:rPr>
          <w:rFonts w:eastAsia="宋体"/>
          <w:color w:val="000000"/>
        </w:rPr>
        <w:t>参见脚注32。</w:t>
      </w:r>
    </w:p>
    <w:p w14:paraId="47EC3114">
      <w:pPr>
        <w:pStyle w:val="11"/>
        <w:rPr>
          <w:rFonts w:eastAsia="宋体"/>
        </w:rPr>
      </w:pPr>
    </w:p>
  </w:footnote>
  <w:footnote w:id="36">
    <w:p w14:paraId="4B23B4DD">
      <w:pPr>
        <w:pStyle w:val="11"/>
        <w:rPr>
          <w:rFonts w:eastAsia="宋体"/>
        </w:rPr>
      </w:pPr>
      <w:r>
        <w:rPr>
          <w:rStyle w:val="17"/>
          <w:rFonts w:eastAsia="宋体"/>
        </w:rPr>
        <w:footnoteRef/>
      </w:r>
      <w:r>
        <w:rPr>
          <w:rFonts w:eastAsia="宋体"/>
        </w:rPr>
        <w:t xml:space="preserve"> </w:t>
      </w:r>
      <w:r>
        <w:rPr>
          <w:rFonts w:eastAsia="宋体"/>
          <w:color w:val="000000"/>
        </w:rPr>
        <w:t>参见脚注31。</w:t>
      </w:r>
    </w:p>
  </w:footnote>
  <w:footnote w:id="37">
    <w:p w14:paraId="33DE7201">
      <w:pPr>
        <w:pStyle w:val="11"/>
        <w:rPr>
          <w:rFonts w:eastAsia="宋体"/>
          <w:color w:val="000000"/>
        </w:rPr>
      </w:pPr>
      <w:r>
        <w:rPr>
          <w:rStyle w:val="17"/>
          <w:rFonts w:eastAsia="宋体"/>
        </w:rPr>
        <w:footnoteRef/>
      </w:r>
      <w:r>
        <w:rPr>
          <w:rFonts w:eastAsia="宋体"/>
        </w:rPr>
        <w:t xml:space="preserve"> </w:t>
      </w:r>
      <w:r>
        <w:rPr>
          <w:rFonts w:eastAsia="宋体"/>
          <w:color w:val="000000"/>
        </w:rPr>
        <w:t>参见脚注32。</w:t>
      </w:r>
    </w:p>
    <w:p w14:paraId="77C86388">
      <w:pPr>
        <w:pStyle w:val="11"/>
        <w:rPr>
          <w:rFonts w:eastAsia="宋体"/>
        </w:rPr>
      </w:pPr>
    </w:p>
  </w:footnote>
  <w:footnote w:id="38">
    <w:p w14:paraId="5D9F4A12">
      <w:pPr>
        <w:pStyle w:val="11"/>
        <w:rPr>
          <w:rFonts w:eastAsia="宋体"/>
          <w:color w:val="000000"/>
        </w:rPr>
      </w:pPr>
      <w:r>
        <w:rPr>
          <w:rStyle w:val="17"/>
          <w:rFonts w:eastAsia="宋体"/>
        </w:rPr>
        <w:footnoteRef/>
      </w:r>
      <w:r>
        <w:rPr>
          <w:rFonts w:eastAsia="宋体"/>
        </w:rPr>
        <w:t xml:space="preserve"> </w:t>
      </w:r>
      <w:r>
        <w:rPr>
          <w:rFonts w:eastAsia="宋体"/>
          <w:color w:val="000000"/>
        </w:rPr>
        <w:t>参见脚注31。</w:t>
      </w:r>
    </w:p>
    <w:p w14:paraId="42E98382">
      <w:pPr>
        <w:pStyle w:val="11"/>
        <w:rPr>
          <w:rFonts w:eastAsia="宋体"/>
        </w:rPr>
      </w:pPr>
    </w:p>
  </w:footnote>
  <w:footnote w:id="39">
    <w:p w14:paraId="1366EC71">
      <w:pPr>
        <w:pStyle w:val="11"/>
        <w:rPr>
          <w:rFonts w:eastAsia="宋体"/>
          <w:i/>
          <w:iCs/>
          <w:color w:val="000000"/>
        </w:rPr>
      </w:pPr>
      <w:r>
        <w:rPr>
          <w:rStyle w:val="17"/>
          <w:rFonts w:eastAsia="宋体"/>
        </w:rPr>
        <w:footnoteRef/>
      </w:r>
      <w:r>
        <w:rPr>
          <w:rFonts w:eastAsia="宋体"/>
        </w:rPr>
        <w:t xml:space="preserve"> </w:t>
      </w:r>
      <w:r>
        <w:rPr>
          <w:rFonts w:eastAsia="宋体"/>
          <w:color w:val="000000"/>
        </w:rPr>
        <w:t>参见脚注31。</w:t>
      </w:r>
    </w:p>
    <w:p w14:paraId="6E897933">
      <w:pPr>
        <w:pStyle w:val="11"/>
        <w:rPr>
          <w:rFonts w:eastAsia="宋体"/>
        </w:rPr>
      </w:pPr>
    </w:p>
  </w:footnote>
  <w:footnote w:id="40">
    <w:p w14:paraId="2AFB84AD">
      <w:pPr>
        <w:pStyle w:val="11"/>
        <w:rPr>
          <w:rFonts w:eastAsia="宋体"/>
          <w:color w:val="000000"/>
        </w:rPr>
      </w:pPr>
      <w:r>
        <w:rPr>
          <w:rStyle w:val="17"/>
          <w:rFonts w:eastAsia="宋体"/>
        </w:rPr>
        <w:footnoteRef/>
      </w:r>
      <w:r>
        <w:rPr>
          <w:rFonts w:eastAsia="宋体"/>
        </w:rPr>
        <w:t xml:space="preserve"> </w:t>
      </w:r>
      <w:r>
        <w:rPr>
          <w:rFonts w:eastAsia="宋体"/>
          <w:color w:val="000000"/>
        </w:rPr>
        <w:t>参见脚注31。</w:t>
      </w:r>
    </w:p>
    <w:p w14:paraId="0E1DB119">
      <w:pPr>
        <w:pStyle w:val="11"/>
        <w:rPr>
          <w:rFonts w:eastAsia="宋体"/>
        </w:rPr>
      </w:pPr>
    </w:p>
  </w:footnote>
  <w:footnote w:id="41">
    <w:p w14:paraId="241FD42A">
      <w:pPr>
        <w:pStyle w:val="11"/>
        <w:rPr>
          <w:rFonts w:eastAsia="宋体"/>
          <w:color w:val="000000"/>
        </w:rPr>
      </w:pPr>
      <w:r>
        <w:rPr>
          <w:rStyle w:val="17"/>
          <w:rFonts w:eastAsia="宋体"/>
        </w:rPr>
        <w:footnoteRef/>
      </w:r>
      <w:r>
        <w:rPr>
          <w:rFonts w:eastAsia="宋体"/>
        </w:rPr>
        <w:t xml:space="preserve"> </w:t>
      </w:r>
      <w:r>
        <w:rPr>
          <w:rFonts w:eastAsia="宋体"/>
          <w:color w:val="000000"/>
        </w:rPr>
        <w:t>参见脚注31。</w:t>
      </w:r>
    </w:p>
    <w:p w14:paraId="741B1F0E">
      <w:pPr>
        <w:pStyle w:val="11"/>
        <w:rPr>
          <w:rFonts w:eastAsia="宋体"/>
        </w:rPr>
      </w:pPr>
    </w:p>
  </w:footnote>
  <w:footnote w:id="42">
    <w:p w14:paraId="4F834715">
      <w:pPr>
        <w:pStyle w:val="11"/>
        <w:rPr>
          <w:rFonts w:eastAsia="宋体"/>
        </w:rPr>
      </w:pPr>
      <w:r>
        <w:rPr>
          <w:rStyle w:val="17"/>
          <w:rFonts w:eastAsia="宋体"/>
        </w:rPr>
        <w:footnoteRef/>
      </w:r>
      <w:r>
        <w:rPr>
          <w:rFonts w:eastAsia="宋体"/>
        </w:rPr>
        <w:t xml:space="preserve"> </w:t>
      </w:r>
      <w:r>
        <w:rPr>
          <w:rFonts w:eastAsia="宋体"/>
          <w:color w:val="000000"/>
        </w:rPr>
        <w:t>Siegel Je，Weinstein MC，Russell LB等人，报告成本效益分析的建议，健康与医学的成本效益专家小组，JAMA，1996年；276（16）：1339-1341。</w:t>
      </w:r>
    </w:p>
  </w:footnote>
  <w:footnote w:id="43">
    <w:p w14:paraId="7A4AD927">
      <w:pPr>
        <w:pStyle w:val="11"/>
        <w:rPr>
          <w:rFonts w:eastAsia="宋体"/>
          <w:color w:val="000000"/>
        </w:rPr>
      </w:pPr>
      <w:r>
        <w:rPr>
          <w:rStyle w:val="17"/>
          <w:rFonts w:eastAsia="宋体"/>
        </w:rPr>
        <w:footnoteRef/>
      </w:r>
      <w:r>
        <w:rPr>
          <w:rFonts w:eastAsia="宋体"/>
        </w:rPr>
        <w:t xml:space="preserve"> </w:t>
      </w:r>
      <w:r>
        <w:rPr>
          <w:rFonts w:eastAsia="宋体"/>
          <w:color w:val="000000"/>
        </w:rPr>
        <w:t>参见脚注32。</w:t>
      </w:r>
    </w:p>
    <w:p w14:paraId="247995EB">
      <w:pPr>
        <w:pStyle w:val="11"/>
        <w:rPr>
          <w:rFonts w:eastAsia="宋体"/>
        </w:rPr>
      </w:pPr>
    </w:p>
  </w:footnote>
  <w:footnote w:id="44">
    <w:p w14:paraId="67792FCF">
      <w:pPr>
        <w:pStyle w:val="11"/>
        <w:rPr>
          <w:rFonts w:eastAsia="宋体"/>
          <w:color w:val="000000"/>
        </w:rPr>
      </w:pPr>
      <w:r>
        <w:rPr>
          <w:rStyle w:val="17"/>
          <w:rFonts w:eastAsia="宋体"/>
        </w:rPr>
        <w:footnoteRef/>
      </w:r>
      <w:r>
        <w:rPr>
          <w:rFonts w:eastAsia="宋体"/>
        </w:rPr>
        <w:t xml:space="preserve"> </w:t>
      </w:r>
      <w:r>
        <w:rPr>
          <w:rFonts w:eastAsia="宋体"/>
          <w:color w:val="000000"/>
        </w:rPr>
        <w:t>关于研究设计的局限性，公司应披露研究是否缺乏随机性、盲法或对照组；缺乏分析灵敏度；未能纳入预先指定的终点；未能纳入感兴趣结局的有效可靠指标的终点；未能确定给药剂量、患者人群、患者退出、终点的选择和时间；未能达到主要终点等。</w:t>
      </w:r>
    </w:p>
    <w:p w14:paraId="2F2C176E">
      <w:pPr>
        <w:pStyle w:val="11"/>
        <w:rPr>
          <w:rFonts w:eastAsia="宋体"/>
        </w:rPr>
      </w:pPr>
    </w:p>
  </w:footnote>
  <w:footnote w:id="45">
    <w:p w14:paraId="498B9AC5">
      <w:pPr>
        <w:pStyle w:val="11"/>
        <w:rPr>
          <w:rFonts w:eastAsia="宋体"/>
          <w:color w:val="000000"/>
        </w:rPr>
      </w:pPr>
      <w:r>
        <w:rPr>
          <w:rStyle w:val="17"/>
          <w:rFonts w:eastAsia="宋体"/>
        </w:rPr>
        <w:footnoteRef/>
      </w:r>
      <w:r>
        <w:rPr>
          <w:rFonts w:eastAsia="宋体"/>
        </w:rPr>
        <w:t xml:space="preserve"> </w:t>
      </w:r>
      <w:r>
        <w:rPr>
          <w:rFonts w:eastAsia="宋体"/>
          <w:color w:val="000000"/>
        </w:rPr>
        <w:t>Berger ML，Martin BC，Husereau D等人，一份用于评估观察性研究的相关性和可信性以指导医疗决策的调查问卷：ISPOR-AMCP-NPC良好规范工作组报告，健康价值，2014年；17（2）：143-156。</w:t>
      </w:r>
    </w:p>
    <w:p w14:paraId="0BBD602B">
      <w:pPr>
        <w:pStyle w:val="11"/>
        <w:rPr>
          <w:rFonts w:eastAsia="宋体"/>
        </w:rPr>
      </w:pPr>
    </w:p>
  </w:footnote>
  <w:footnote w:id="46">
    <w:p w14:paraId="7B1F1AF9">
      <w:pPr>
        <w:pStyle w:val="11"/>
        <w:rPr>
          <w:rFonts w:eastAsia="宋体"/>
          <w:color w:val="000000"/>
        </w:rPr>
      </w:pPr>
      <w:r>
        <w:rPr>
          <w:rStyle w:val="17"/>
          <w:rFonts w:eastAsia="宋体"/>
        </w:rPr>
        <w:footnoteRef/>
      </w:r>
      <w:r>
        <w:rPr>
          <w:rFonts w:eastAsia="宋体"/>
        </w:rPr>
        <w:t xml:space="preserve"> </w:t>
      </w:r>
      <w:r>
        <w:rPr>
          <w:rFonts w:eastAsia="宋体"/>
          <w:color w:val="000000"/>
        </w:rPr>
        <w:t>Song F，Loke YK，Walsh T等人，使用间接比较评价医疗干预措施的方法问题：已发表的系统评价调查，BMJ，2009年；338：B1147。</w:t>
      </w:r>
    </w:p>
    <w:p w14:paraId="735ABBFD">
      <w:pPr>
        <w:pStyle w:val="11"/>
        <w:rPr>
          <w:rFonts w:eastAsia="宋体"/>
        </w:rPr>
      </w:pPr>
    </w:p>
  </w:footnote>
  <w:footnote w:id="47">
    <w:p w14:paraId="7AEACAB9">
      <w:pPr>
        <w:pStyle w:val="11"/>
        <w:rPr>
          <w:rFonts w:eastAsia="宋体"/>
          <w:color w:val="000000"/>
        </w:rPr>
      </w:pPr>
      <w:r>
        <w:rPr>
          <w:rStyle w:val="17"/>
          <w:rFonts w:eastAsia="宋体"/>
        </w:rPr>
        <w:footnoteRef/>
      </w:r>
      <w:r>
        <w:rPr>
          <w:rFonts w:eastAsia="宋体"/>
        </w:rPr>
        <w:t xml:space="preserve"> </w:t>
      </w:r>
      <w:r>
        <w:rPr>
          <w:rFonts w:eastAsia="宋体"/>
          <w:color w:val="000000"/>
        </w:rPr>
        <w:t>参见脚注31。</w:t>
      </w:r>
    </w:p>
    <w:p w14:paraId="1C70181D">
      <w:pPr>
        <w:pStyle w:val="11"/>
        <w:rPr>
          <w:rFonts w:eastAsia="宋体"/>
        </w:rPr>
      </w:pPr>
    </w:p>
  </w:footnote>
  <w:footnote w:id="48">
    <w:p w14:paraId="1359E296">
      <w:pPr>
        <w:pStyle w:val="11"/>
        <w:rPr>
          <w:rFonts w:eastAsia="宋体"/>
        </w:rPr>
      </w:pPr>
      <w:r>
        <w:rPr>
          <w:rStyle w:val="17"/>
          <w:rFonts w:eastAsia="宋体"/>
        </w:rPr>
        <w:footnoteRef/>
      </w:r>
      <w:r>
        <w:rPr>
          <w:rFonts w:eastAsia="宋体"/>
        </w:rPr>
        <w:t xml:space="preserve"> </w:t>
      </w:r>
      <w:r>
        <w:rPr>
          <w:rFonts w:eastAsia="宋体"/>
          <w:color w:val="000000"/>
        </w:rPr>
        <w:t>见第502（a）条。</w:t>
      </w:r>
    </w:p>
  </w:footnote>
  <w:footnote w:id="49">
    <w:p w14:paraId="7A5643FE">
      <w:pPr>
        <w:pStyle w:val="11"/>
        <w:rPr>
          <w:rFonts w:eastAsia="宋体"/>
          <w:i/>
          <w:iCs/>
          <w:color w:val="000000"/>
        </w:rPr>
      </w:pPr>
      <w:r>
        <w:rPr>
          <w:rStyle w:val="17"/>
          <w:rFonts w:eastAsia="宋体"/>
        </w:rPr>
        <w:footnoteRef/>
      </w:r>
      <w:r>
        <w:rPr>
          <w:rFonts w:eastAsia="宋体"/>
        </w:rPr>
        <w:t xml:space="preserve"> </w:t>
      </w:r>
      <w:r>
        <w:rPr>
          <w:rFonts w:eastAsia="宋体"/>
          <w:color w:val="000000"/>
        </w:rPr>
        <w:t>有关COA有效而可靠评估的特征的进一步指导，请参见FDA的行业指南《患者报告的结局指标》：在医疗产品开发中用于支持标签声明》。</w:t>
      </w:r>
    </w:p>
    <w:p w14:paraId="5A7B6D9E">
      <w:pPr>
        <w:pStyle w:val="11"/>
        <w:rPr>
          <w:rFonts w:eastAsia="宋体"/>
        </w:rPr>
      </w:pPr>
    </w:p>
  </w:footnote>
  <w:footnote w:id="50">
    <w:p w14:paraId="4C293A76">
      <w:pPr>
        <w:pStyle w:val="11"/>
        <w:rPr>
          <w:rFonts w:eastAsia="宋体"/>
          <w:color w:val="000000"/>
        </w:rPr>
      </w:pPr>
      <w:r>
        <w:rPr>
          <w:rStyle w:val="17"/>
          <w:rFonts w:eastAsia="宋体"/>
        </w:rPr>
        <w:footnoteRef/>
      </w:r>
      <w:r>
        <w:rPr>
          <w:rFonts w:eastAsia="宋体"/>
        </w:rPr>
        <w:t xml:space="preserve"> </w:t>
      </w:r>
      <w:r>
        <w:rPr>
          <w:rFonts w:eastAsia="宋体"/>
          <w:color w:val="000000"/>
        </w:rPr>
        <w:t>参见脚注11。</w:t>
      </w:r>
    </w:p>
    <w:p w14:paraId="64B4A891">
      <w:pPr>
        <w:pStyle w:val="11"/>
        <w:rPr>
          <w:rFonts w:eastAsia="宋体"/>
        </w:rPr>
      </w:pPr>
    </w:p>
  </w:footnote>
  <w:footnote w:id="51">
    <w:p w14:paraId="01B3AB81">
      <w:pPr>
        <w:pStyle w:val="11"/>
        <w:rPr>
          <w:rFonts w:eastAsia="宋体"/>
          <w:color w:val="000000"/>
        </w:rPr>
      </w:pPr>
      <w:r>
        <w:rPr>
          <w:rStyle w:val="17"/>
          <w:rFonts w:eastAsia="宋体"/>
        </w:rPr>
        <w:footnoteRef/>
      </w:r>
      <w:r>
        <w:rPr>
          <w:rFonts w:eastAsia="宋体"/>
        </w:rPr>
        <w:t xml:space="preserve"> </w:t>
      </w:r>
      <w:r>
        <w:rPr>
          <w:rFonts w:eastAsia="宋体"/>
          <w:color w:val="000000"/>
        </w:rPr>
        <w:t>见21 CFR 314.550，314.640，601.45和601.94。</w:t>
      </w:r>
    </w:p>
    <w:p w14:paraId="64C72BC2">
      <w:pPr>
        <w:pStyle w:val="11"/>
        <w:rPr>
          <w:rFonts w:eastAsia="宋体"/>
        </w:rPr>
      </w:pPr>
    </w:p>
  </w:footnote>
  <w:footnote w:id="52">
    <w:p w14:paraId="47E69EA6">
      <w:pPr>
        <w:pStyle w:val="11"/>
        <w:rPr>
          <w:rFonts w:eastAsia="宋体"/>
        </w:rPr>
      </w:pPr>
      <w:r>
        <w:rPr>
          <w:rStyle w:val="17"/>
          <w:rFonts w:eastAsia="宋体"/>
        </w:rPr>
        <w:footnoteRef/>
      </w:r>
      <w:r>
        <w:rPr>
          <w:rFonts w:eastAsia="宋体"/>
        </w:rPr>
        <w:t xml:space="preserve"> </w:t>
      </w:r>
      <w:r>
        <w:rPr>
          <w:rFonts w:eastAsia="宋体"/>
          <w:color w:val="000000"/>
        </w:rPr>
        <w:t>此外，根据第502（a）条，如果FDA要求递交与HCEI证实相关的信息，则要求公司向FDA提供此类信息，其中可能包括用于支持HCEI的主要数据和分析方法。</w:t>
      </w:r>
    </w:p>
  </w:footnote>
  <w:footnote w:id="53">
    <w:p w14:paraId="756129BB">
      <w:pPr>
        <w:pStyle w:val="11"/>
        <w:rPr>
          <w:rFonts w:eastAsia="宋体"/>
          <w:color w:val="000000"/>
        </w:rPr>
      </w:pPr>
      <w:r>
        <w:rPr>
          <w:rStyle w:val="17"/>
          <w:rFonts w:eastAsia="宋体"/>
        </w:rPr>
        <w:footnoteRef/>
      </w:r>
      <w:r>
        <w:rPr>
          <w:rFonts w:eastAsia="宋体"/>
        </w:rPr>
        <w:t xml:space="preserve"> </w:t>
      </w:r>
      <w:r>
        <w:rPr>
          <w:rFonts w:eastAsia="宋体"/>
          <w:color w:val="000000"/>
        </w:rPr>
        <w:t>在2017年1月19日的《联邦公报》（82 FR 6568）中发布的本指南草案版本的可获得性通知中，我们特别要求利益相关方就此问题发表意见（82 FR 6568，6571）。</w:t>
      </w:r>
    </w:p>
    <w:p w14:paraId="2B8AEC90">
      <w:pPr>
        <w:pStyle w:val="11"/>
        <w:rPr>
          <w:rFonts w:eastAsia="宋体"/>
        </w:rPr>
      </w:pPr>
    </w:p>
  </w:footnote>
  <w:footnote w:id="54">
    <w:p w14:paraId="0BA20D15">
      <w:pPr>
        <w:pStyle w:val="11"/>
        <w:rPr>
          <w:rFonts w:eastAsia="宋体"/>
        </w:rPr>
      </w:pPr>
      <w:r>
        <w:rPr>
          <w:rStyle w:val="17"/>
          <w:rFonts w:eastAsia="宋体"/>
        </w:rPr>
        <w:footnoteRef/>
      </w:r>
      <w:r>
        <w:rPr>
          <w:rFonts w:eastAsia="宋体"/>
        </w:rPr>
        <w:t xml:space="preserve"> </w:t>
      </w:r>
      <w:r>
        <w:rPr>
          <w:rFonts w:eastAsia="宋体"/>
          <w:color w:val="000000"/>
        </w:rPr>
        <w:t>“FDA要求的标签”一词包括在器械的上市前批准过程中批准的标签，或者对于不受上市前批准约束但受重新上市许可、上市前通知（510（k））要求或豁免上市前审评约束的产品的标签、提供充分使用说明和标签上或标签中所需具备的其他信息的标签。</w:t>
      </w:r>
    </w:p>
  </w:footnote>
  <w:footnote w:id="55">
    <w:p w14:paraId="62DC9E04">
      <w:pPr>
        <w:pStyle w:val="11"/>
        <w:rPr>
          <w:rFonts w:eastAsia="宋体"/>
          <w:color w:val="000000"/>
        </w:rPr>
      </w:pPr>
      <w:r>
        <w:rPr>
          <w:rStyle w:val="17"/>
          <w:rFonts w:eastAsia="宋体"/>
        </w:rPr>
        <w:footnoteRef/>
      </w:r>
      <w:r>
        <w:rPr>
          <w:rFonts w:eastAsia="宋体"/>
        </w:rPr>
        <w:t xml:space="preserve"> </w:t>
      </w:r>
      <w:r>
        <w:rPr>
          <w:rFonts w:eastAsia="宋体"/>
          <w:color w:val="000000"/>
        </w:rPr>
        <w:t>本指南草案版本载有公司就尚未获得许可或批准用于任何用途的药品和医疗器械（在指南草案中称为临床试验用药品和器械）向医疗费用支付方进行沟通的建议。FDA收到了许多意见，要求</w:t>
      </w:r>
      <w:r>
        <w:rPr>
          <w:rFonts w:hint="eastAsia" w:eastAsia="宋体"/>
          <w:color w:val="000000"/>
        </w:rPr>
        <w:t>F</w:t>
      </w:r>
      <w:r>
        <w:rPr>
          <w:rFonts w:eastAsia="宋体"/>
          <w:color w:val="000000"/>
        </w:rPr>
        <w:t>DA还建议公司就已获得批准/许可的产品未批准用途向医疗费用支付方进行沟通。在考虑了这些意见之后，FDA在本指南中纳入了关于此类沟通的建议。</w:t>
      </w:r>
    </w:p>
    <w:p w14:paraId="44A6F2EB">
      <w:pPr>
        <w:pStyle w:val="11"/>
        <w:rPr>
          <w:rFonts w:eastAsia="宋体"/>
        </w:rPr>
      </w:pPr>
    </w:p>
  </w:footnote>
  <w:footnote w:id="56">
    <w:p w14:paraId="53C1F7B0">
      <w:pPr>
        <w:pStyle w:val="11"/>
        <w:rPr>
          <w:rFonts w:eastAsia="宋体"/>
          <w:color w:val="000000"/>
        </w:rPr>
      </w:pPr>
      <w:r>
        <w:rPr>
          <w:rStyle w:val="17"/>
          <w:rFonts w:eastAsia="宋体"/>
        </w:rPr>
        <w:footnoteRef/>
      </w:r>
      <w:r>
        <w:rPr>
          <w:rFonts w:eastAsia="宋体"/>
        </w:rPr>
        <w:t xml:space="preserve"> </w:t>
      </w:r>
      <w:r>
        <w:rPr>
          <w:rFonts w:eastAsia="宋体"/>
          <w:color w:val="000000"/>
        </w:rPr>
        <w:t>对于医疗费用支付方向公司主动提出的申请，本指南预期并不取代FDA的行业指南草案《对有关处方药和医疗器械的超适应症信息的主动申请的答复》。最后，本指南将代表FDA对此主题的当前看法。</w:t>
      </w:r>
    </w:p>
    <w:p w14:paraId="5347FE5E">
      <w:pPr>
        <w:pStyle w:val="11"/>
        <w:rPr>
          <w:rFonts w:eastAsia="宋体"/>
        </w:rPr>
      </w:pPr>
    </w:p>
  </w:footnote>
  <w:footnote w:id="57">
    <w:p w14:paraId="0BF6376A">
      <w:pPr>
        <w:pStyle w:val="11"/>
        <w:rPr>
          <w:rFonts w:eastAsia="宋体"/>
        </w:rPr>
      </w:pPr>
      <w:r>
        <w:rPr>
          <w:rStyle w:val="17"/>
          <w:rFonts w:eastAsia="宋体"/>
        </w:rPr>
        <w:footnoteRef/>
      </w:r>
      <w:r>
        <w:rPr>
          <w:rFonts w:eastAsia="宋体"/>
        </w:rPr>
        <w:t xml:space="preserve"> </w:t>
      </w:r>
      <w:r>
        <w:rPr>
          <w:rFonts w:eastAsia="宋体"/>
          <w:color w:val="000000"/>
        </w:rPr>
        <w:t>有关示例，请参见21 CFR 314.81（b）（3）（i）、314.550、314.640、601.45或601.94。</w:t>
      </w:r>
    </w:p>
  </w:footnote>
  <w:footnote w:id="58">
    <w:p w14:paraId="7FB89A1F">
      <w:pPr>
        <w:pStyle w:val="11"/>
        <w:rPr>
          <w:rFonts w:eastAsia="宋体"/>
        </w:rPr>
      </w:pPr>
      <w:r>
        <w:rPr>
          <w:rStyle w:val="17"/>
          <w:rFonts w:eastAsia="宋体"/>
        </w:rPr>
        <w:footnoteRef/>
      </w:r>
      <w:r>
        <w:rPr>
          <w:rFonts w:eastAsia="宋体"/>
        </w:rPr>
        <w:t xml:space="preserve"> </w:t>
      </w:r>
      <w:r>
        <w:rPr>
          <w:rFonts w:hint="eastAsia" w:eastAsia="宋体"/>
          <w:color w:val="000000"/>
        </w:rPr>
        <w:t>F</w:t>
      </w:r>
      <w:r>
        <w:rPr>
          <w:rFonts w:eastAsia="宋体"/>
          <w:color w:val="000000"/>
        </w:rPr>
        <w:t>DA还发布了其他指导文件，这些文件可能适用于公司与其他受众的沟通。例如，FDA发布了一份行业指南草案，描述了其对公司能够如何答复与其FDA批准的处方药和FDA批准或许可的医疗器械相关的未批准用途信息的主动申请的考量。见FDA的行业指南草案《对有关处方药和医疗器械的超适应症信息的主动申请的答复》。此外，FDA还提供了单独的指南，描述了公司传达科学和医学出版物的推荐做法，这些出版物讨论了已获得批准的药品或已获得批准/许可的医疗器械的未批准用途。见FDA的行业指南《关于已获得批准的药品和已获得批准或许可的医疗器械的未批准新用途的医学期刊文章和医学或科学参考出版物发行的良好再版规范》，以及FDA的修订版指南草案《关于未批准新用途的科学和医学出版物的发行-推荐做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69E2">
    <w:pPr>
      <w:pStyle w:val="9"/>
      <w:pBdr>
        <w:bottom w:val="single" w:color="auto" w:sz="18"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AF30">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673E">
    <w:pPr>
      <w:snapToGrid w:val="0"/>
      <w:jc w:val="center"/>
      <w:rPr>
        <w:rFonts w:eastAsia="宋体"/>
        <w:b/>
        <w:bCs/>
        <w:i/>
        <w:iCs/>
        <w:color w:val="000000"/>
        <w:sz w:val="21"/>
        <w:szCs w:val="21"/>
      </w:rPr>
    </w:pPr>
    <w:r>
      <w:rPr>
        <w:rFonts w:hint="eastAsia" w:eastAsia="宋体"/>
        <w:b/>
        <w:bCs/>
        <w:i/>
        <w:iCs/>
        <w:color w:val="000000"/>
        <w:sz w:val="21"/>
        <w:szCs w:val="21"/>
      </w:rPr>
      <w:t>所含建议不具有约束力</w:t>
    </w:r>
  </w:p>
  <w:p w14:paraId="0C3DA44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118"/>
    <w:footnote w:id="11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02B"/>
    <w:rsid w:val="00063C0C"/>
    <w:rsid w:val="000723A2"/>
    <w:rsid w:val="000E34C6"/>
    <w:rsid w:val="001067FF"/>
    <w:rsid w:val="00150251"/>
    <w:rsid w:val="002E0A46"/>
    <w:rsid w:val="00382ACD"/>
    <w:rsid w:val="00420640"/>
    <w:rsid w:val="00425D26"/>
    <w:rsid w:val="00426A4E"/>
    <w:rsid w:val="00455FD1"/>
    <w:rsid w:val="004C43D8"/>
    <w:rsid w:val="004E5464"/>
    <w:rsid w:val="00500257"/>
    <w:rsid w:val="00506F07"/>
    <w:rsid w:val="00540249"/>
    <w:rsid w:val="00570B54"/>
    <w:rsid w:val="005D294A"/>
    <w:rsid w:val="006517F2"/>
    <w:rsid w:val="006627D5"/>
    <w:rsid w:val="00675D68"/>
    <w:rsid w:val="006B07AF"/>
    <w:rsid w:val="006D372F"/>
    <w:rsid w:val="00781823"/>
    <w:rsid w:val="007C4428"/>
    <w:rsid w:val="007C477B"/>
    <w:rsid w:val="0093495B"/>
    <w:rsid w:val="009F2621"/>
    <w:rsid w:val="00A35377"/>
    <w:rsid w:val="00A4516A"/>
    <w:rsid w:val="00AA652F"/>
    <w:rsid w:val="00AD4591"/>
    <w:rsid w:val="00B05201"/>
    <w:rsid w:val="00B322E0"/>
    <w:rsid w:val="00B74F0E"/>
    <w:rsid w:val="00BF602B"/>
    <w:rsid w:val="00C138C3"/>
    <w:rsid w:val="00CC5B4A"/>
    <w:rsid w:val="00CD2F19"/>
    <w:rsid w:val="00CD6D84"/>
    <w:rsid w:val="00D07C80"/>
    <w:rsid w:val="00D40E7A"/>
    <w:rsid w:val="00D73E69"/>
    <w:rsid w:val="00E96F72"/>
    <w:rsid w:val="00EB1EB9"/>
    <w:rsid w:val="00F6743E"/>
    <w:rsid w:val="00FB1A52"/>
    <w:rsid w:val="76DF76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3"/>
    <w:qFormat/>
    <w:uiPriority w:val="9"/>
    <w:pPr>
      <w:tabs>
        <w:tab w:val="left" w:pos="630"/>
        <w:tab w:val="left" w:pos="1274"/>
      </w:tabs>
      <w:snapToGrid w:val="0"/>
      <w:spacing w:beforeLines="100" w:afterLines="50"/>
      <w:jc w:val="both"/>
      <w:outlineLvl w:val="0"/>
    </w:pPr>
    <w:rPr>
      <w:b/>
      <w:bCs/>
      <w:sz w:val="21"/>
      <w:szCs w:val="36"/>
    </w:rPr>
  </w:style>
  <w:style w:type="paragraph" w:styleId="3">
    <w:name w:val="heading 2"/>
    <w:basedOn w:val="1"/>
    <w:next w:val="1"/>
    <w:link w:val="24"/>
    <w:unhideWhenUsed/>
    <w:qFormat/>
    <w:uiPriority w:val="9"/>
    <w:pPr>
      <w:tabs>
        <w:tab w:val="left" w:pos="1276"/>
      </w:tabs>
      <w:snapToGrid w:val="0"/>
      <w:spacing w:beforeLines="100" w:afterLines="100"/>
      <w:ind w:left="1274" w:leftChars="307" w:hanging="660" w:hangingChars="313"/>
      <w:jc w:val="both"/>
      <w:outlineLvl w:val="1"/>
    </w:pPr>
    <w:rPr>
      <w:rFonts w:eastAsia="宋体"/>
      <w:b/>
      <w:bCs/>
      <w:color w:val="000000"/>
      <w:sz w:val="21"/>
      <w:szCs w:val="21"/>
    </w:rPr>
  </w:style>
  <w:style w:type="paragraph" w:styleId="4">
    <w:name w:val="heading 3"/>
    <w:basedOn w:val="3"/>
    <w:next w:val="1"/>
    <w:link w:val="25"/>
    <w:unhideWhenUsed/>
    <w:qFormat/>
    <w:uiPriority w:val="9"/>
    <w:pPr>
      <w:tabs>
        <w:tab w:val="clear" w:pos="1276"/>
      </w:tabs>
      <w:ind w:left="1275" w:leftChars="142" w:hanging="991" w:hangingChars="470"/>
      <w:outlineLvl w:val="2"/>
    </w:pPr>
    <w:rPr>
      <w:i/>
      <w:iCs/>
    </w:rPr>
  </w:style>
  <w:style w:type="paragraph" w:styleId="5">
    <w:name w:val="heading 4"/>
    <w:basedOn w:val="1"/>
    <w:next w:val="1"/>
    <w:link w:val="26"/>
    <w:unhideWhenUsed/>
    <w:qFormat/>
    <w:uiPriority w:val="9"/>
    <w:pPr>
      <w:tabs>
        <w:tab w:val="left" w:pos="1440"/>
      </w:tabs>
      <w:snapToGrid w:val="0"/>
      <w:ind w:left="566" w:leftChars="283"/>
      <w:jc w:val="both"/>
      <w:outlineLvl w:val="3"/>
    </w:pPr>
    <w:rPr>
      <w:rFonts w:eastAsia="宋体"/>
      <w:i/>
      <w:iCs/>
      <w:color w:val="000000"/>
      <w:sz w:val="21"/>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39"/>
    <w:pPr>
      <w:tabs>
        <w:tab w:val="left" w:pos="851"/>
        <w:tab w:val="right" w:leader="dot" w:pos="9062"/>
      </w:tabs>
      <w:spacing w:before="120" w:beforeLines="50" w:after="120" w:afterLines="50"/>
    </w:pPr>
    <w:rPr>
      <w:rFonts w:eastAsia="宋体"/>
      <w:b/>
      <w:sz w:val="21"/>
    </w:rPr>
  </w:style>
  <w:style w:type="paragraph" w:styleId="11">
    <w:name w:val="footnote text"/>
    <w:basedOn w:val="1"/>
    <w:link w:val="22"/>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851"/>
        <w:tab w:val="right" w:leader="dot" w:pos="9062"/>
      </w:tabs>
      <w:spacing w:beforeLines="50" w:afterLines="50"/>
      <w:ind w:left="426" w:leftChars="213"/>
    </w:pPr>
    <w:rPr>
      <w:rFonts w:eastAsia="宋体"/>
      <w:b/>
      <w:sz w:val="21"/>
    </w:rPr>
  </w:style>
  <w:style w:type="character" w:styleId="15">
    <w:name w:val="FollowedHyperlink"/>
    <w:basedOn w:val="14"/>
    <w:semiHidden/>
    <w:unhideWhenUsed/>
    <w:qFormat/>
    <w:uiPriority w:val="99"/>
    <w:rPr>
      <w:color w:val="954F72" w:themeColor="followedHyperlink"/>
      <w:u w:val="single"/>
    </w:rPr>
  </w:style>
  <w:style w:type="character" w:styleId="16">
    <w:name w:val="Hyperlink"/>
    <w:basedOn w:val="14"/>
    <w:unhideWhenUsed/>
    <w:uiPriority w:val="99"/>
    <w:rPr>
      <w:color w:val="0563C1" w:themeColor="hyperlink"/>
      <w:u w:val="single"/>
    </w:rPr>
  </w:style>
  <w:style w:type="character" w:styleId="17">
    <w:name w:val="footnote reference"/>
    <w:basedOn w:val="14"/>
    <w:semiHidden/>
    <w:unhideWhenUsed/>
    <w:qFormat/>
    <w:uiPriority w:val="99"/>
    <w:rPr>
      <w:vertAlign w:val="superscript"/>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页眉 字符"/>
    <w:basedOn w:val="14"/>
    <w:link w:val="9"/>
    <w:qFormat/>
    <w:uiPriority w:val="99"/>
    <w:rPr>
      <w:rFonts w:ascii="Times New Roman" w:hAnsi="Times New Roman" w:cs="Times New Roman"/>
      <w:kern w:val="0"/>
      <w:sz w:val="18"/>
      <w:szCs w:val="18"/>
    </w:rPr>
  </w:style>
  <w:style w:type="character" w:customStyle="1" w:styleId="20">
    <w:name w:val="页脚 字符"/>
    <w:basedOn w:val="14"/>
    <w:link w:val="8"/>
    <w:qFormat/>
    <w:uiPriority w:val="99"/>
    <w:rPr>
      <w:rFonts w:ascii="Times New Roman" w:hAnsi="Times New Roman" w:cs="Times New Roman"/>
      <w:kern w:val="0"/>
      <w:sz w:val="18"/>
      <w:szCs w:val="18"/>
    </w:rPr>
  </w:style>
  <w:style w:type="character" w:customStyle="1" w:styleId="21">
    <w:name w:val="日期 字符"/>
    <w:basedOn w:val="14"/>
    <w:link w:val="6"/>
    <w:semiHidden/>
    <w:qFormat/>
    <w:uiPriority w:val="99"/>
    <w:rPr>
      <w:rFonts w:ascii="Times New Roman" w:hAnsi="Times New Roman" w:cs="Times New Roman"/>
      <w:kern w:val="0"/>
      <w:sz w:val="20"/>
      <w:szCs w:val="20"/>
    </w:rPr>
  </w:style>
  <w:style w:type="character" w:customStyle="1" w:styleId="22">
    <w:name w:val="脚注文本 字符"/>
    <w:basedOn w:val="14"/>
    <w:link w:val="11"/>
    <w:semiHidden/>
    <w:qFormat/>
    <w:uiPriority w:val="99"/>
    <w:rPr>
      <w:rFonts w:ascii="Times New Roman" w:hAnsi="Times New Roman" w:cs="Times New Roman"/>
      <w:kern w:val="0"/>
      <w:sz w:val="18"/>
      <w:szCs w:val="18"/>
    </w:rPr>
  </w:style>
  <w:style w:type="character" w:customStyle="1" w:styleId="23">
    <w:name w:val="标题 1 字符"/>
    <w:basedOn w:val="14"/>
    <w:link w:val="2"/>
    <w:uiPriority w:val="9"/>
    <w:rPr>
      <w:rFonts w:ascii="Times New Roman" w:hAnsi="Times New Roman" w:cs="Times New Roman"/>
      <w:b/>
      <w:bCs/>
      <w:kern w:val="0"/>
      <w:szCs w:val="36"/>
    </w:rPr>
  </w:style>
  <w:style w:type="character" w:customStyle="1" w:styleId="24">
    <w:name w:val="标题 2 字符"/>
    <w:basedOn w:val="14"/>
    <w:link w:val="3"/>
    <w:uiPriority w:val="9"/>
    <w:rPr>
      <w:rFonts w:ascii="Times New Roman" w:hAnsi="Times New Roman" w:eastAsia="宋体" w:cs="Times New Roman"/>
      <w:b/>
      <w:bCs/>
      <w:color w:val="000000"/>
      <w:kern w:val="0"/>
      <w:szCs w:val="21"/>
    </w:rPr>
  </w:style>
  <w:style w:type="character" w:customStyle="1" w:styleId="25">
    <w:name w:val="标题 3 字符"/>
    <w:basedOn w:val="14"/>
    <w:link w:val="4"/>
    <w:uiPriority w:val="9"/>
    <w:rPr>
      <w:rFonts w:ascii="Times New Roman" w:hAnsi="Times New Roman" w:eastAsia="宋体" w:cs="Times New Roman"/>
      <w:b/>
      <w:bCs/>
      <w:i/>
      <w:iCs/>
      <w:color w:val="000000"/>
      <w:kern w:val="0"/>
      <w:szCs w:val="21"/>
    </w:rPr>
  </w:style>
  <w:style w:type="character" w:customStyle="1" w:styleId="26">
    <w:name w:val="标题 4 字符"/>
    <w:basedOn w:val="14"/>
    <w:link w:val="5"/>
    <w:qFormat/>
    <w:uiPriority w:val="9"/>
    <w:rPr>
      <w:rFonts w:ascii="Times New Roman" w:hAnsi="Times New Roman" w:eastAsia="宋体" w:cs="Times New Roman"/>
      <w:i/>
      <w:iCs/>
      <w:color w:val="000000"/>
      <w:kern w:val="0"/>
      <w:szCs w:val="21"/>
    </w:rPr>
  </w:style>
  <w:style w:type="character" w:customStyle="1" w:styleId="27">
    <w:name w:val="批注框文本 字符"/>
    <w:basedOn w:val="14"/>
    <w:link w:val="7"/>
    <w:semiHidden/>
    <w:qFormat/>
    <w:uiPriority w:val="99"/>
    <w:rPr>
      <w:rFonts w:ascii="Times New Roman" w:hAnsi="Times New Roman" w:cs="Times New Roman"/>
      <w:kern w:val="0"/>
      <w:sz w:val="18"/>
      <w:szCs w:val="18"/>
    </w:rPr>
  </w:style>
  <w:style w:type="paragraph" w:customStyle="1" w:styleId="28">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9A33-D432-4590-90B4-712C0A638BFE}">
  <ds:schemaRefs/>
</ds:datastoreItem>
</file>

<file path=docProps/app.xml><?xml version="1.0" encoding="utf-8"?>
<Properties xmlns="http://schemas.openxmlformats.org/officeDocument/2006/extended-properties" xmlns:vt="http://schemas.openxmlformats.org/officeDocument/2006/docPropsVTypes">
  <Template>Normal</Template>
  <Pages>26</Pages>
  <Words>13043</Words>
  <Characters>14828</Characters>
  <Lines>118</Lines>
  <Paragraphs>33</Paragraphs>
  <TotalTime>159</TotalTime>
  <ScaleCrop>false</ScaleCrop>
  <LinksUpToDate>false</LinksUpToDate>
  <CharactersWithSpaces>14995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2022-03-18T12:53:00Z</dcterms:created>
  <dc:creator>FDA/CDER/OMP</dc:creator>
  <cp:keywords>Drug and Device Manufacturer Communications With Payors, Formulary Committees,and Similar Entities —Questions and Answers Guidance for Industry and Review Staff</cp:keywords>
  <cp:lastModifiedBy>太极箫客</cp:lastModifiedBy>
  <dcterms:modified xsi:type="dcterms:W3CDTF">2025-08-14T07:22:48Z</dcterms:modified>
  <dc:subject>Guidance for Industry</dc:subject>
  <dc:title>Drug and Device Manufacturer Communications With Payors, Formulary Committees,</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C27727832306443E8C15335ACFB8746E_12</vt:lpwstr>
  </property>
</Properties>
</file>