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8A65">
      <w:pPr>
        <w:pBdr>
          <w:bottom w:val="single" w:color="auto" w:sz="4" w:space="1"/>
        </w:pBdr>
        <w:shd w:val="clear" w:color="auto" w:fill="FFFFFF"/>
        <w:topLinePunct/>
        <w:autoSpaceDE/>
        <w:autoSpaceDN/>
        <w:adjustRightInd/>
        <w:jc w:val="center"/>
        <w:rPr>
          <w:rFonts w:eastAsia="宋体"/>
          <w:sz w:val="44"/>
          <w:szCs w:val="44"/>
        </w:rPr>
      </w:pPr>
      <w:bookmarkStart w:id="57" w:name="_GoBack"/>
      <w:bookmarkEnd w:id="57"/>
      <w:r>
        <w:rPr>
          <w:rFonts w:eastAsia="宋体"/>
          <w:b/>
          <w:color w:val="000000"/>
          <w:sz w:val="44"/>
          <w:szCs w:val="44"/>
        </w:rPr>
        <w:t xml:space="preserve">自膨式金属胆道支架 - </w:t>
      </w:r>
      <w:r>
        <w:rPr>
          <w:rFonts w:hint="eastAsia" w:eastAsia="宋体"/>
          <w:b/>
          <w:color w:val="000000"/>
          <w:sz w:val="44"/>
          <w:szCs w:val="44"/>
        </w:rPr>
        <w:br w:type="textWrapping"/>
      </w:r>
      <w:r>
        <w:rPr>
          <w:rFonts w:eastAsia="宋体"/>
          <w:b/>
          <w:color w:val="000000"/>
          <w:sz w:val="44"/>
          <w:szCs w:val="44"/>
        </w:rPr>
        <w:t>上市前通知（510(k)）申请</w:t>
      </w:r>
    </w:p>
    <w:p w14:paraId="60B42319">
      <w:pPr>
        <w:shd w:val="clear" w:color="auto" w:fill="FFFFFF"/>
        <w:topLinePunct/>
        <w:autoSpaceDE/>
        <w:autoSpaceDN/>
        <w:adjustRightInd/>
        <w:jc w:val="center"/>
        <w:rPr>
          <w:rFonts w:eastAsia="宋体"/>
          <w:sz w:val="44"/>
          <w:szCs w:val="44"/>
        </w:rPr>
      </w:pPr>
      <w:r>
        <w:rPr>
          <w:rFonts w:eastAsia="宋体"/>
          <w:b/>
          <w:color w:val="000000"/>
          <w:sz w:val="44"/>
          <w:szCs w:val="44"/>
        </w:rPr>
        <w:t>行业和美国食品药品监督管理局工作人员指南</w:t>
      </w:r>
    </w:p>
    <w:p w14:paraId="79B37130">
      <w:pPr>
        <w:shd w:val="clear" w:color="auto" w:fill="FFFFFF"/>
        <w:topLinePunct/>
        <w:autoSpaceDE/>
        <w:autoSpaceDN/>
        <w:adjustRightInd/>
        <w:jc w:val="both"/>
        <w:rPr>
          <w:rFonts w:eastAsia="宋体"/>
          <w:b/>
          <w:bCs/>
          <w:color w:val="000000"/>
          <w:sz w:val="24"/>
          <w:szCs w:val="24"/>
        </w:rPr>
      </w:pPr>
    </w:p>
    <w:p w14:paraId="740A28FC">
      <w:pPr>
        <w:shd w:val="clear" w:color="auto" w:fill="FFFFFF"/>
        <w:topLinePunct/>
        <w:autoSpaceDE/>
        <w:autoSpaceDN/>
        <w:adjustRightInd/>
        <w:jc w:val="center"/>
        <w:rPr>
          <w:rFonts w:eastAsia="宋体"/>
          <w:sz w:val="24"/>
          <w:szCs w:val="24"/>
        </w:rPr>
      </w:pPr>
      <w:r>
        <w:rPr>
          <w:rFonts w:eastAsia="宋体"/>
          <w:b/>
          <w:color w:val="000000"/>
          <w:sz w:val="24"/>
          <w:szCs w:val="24"/>
        </w:rPr>
        <w:t>文件发布日期：2019年7月27日</w:t>
      </w:r>
    </w:p>
    <w:p w14:paraId="34FD4662">
      <w:pPr>
        <w:shd w:val="clear" w:color="auto" w:fill="FFFFFF"/>
        <w:topLinePunct/>
        <w:autoSpaceDE/>
        <w:autoSpaceDN/>
        <w:adjustRightInd/>
        <w:jc w:val="center"/>
        <w:rPr>
          <w:rFonts w:eastAsia="宋体"/>
          <w:b/>
          <w:color w:val="000000"/>
          <w:sz w:val="24"/>
          <w:szCs w:val="24"/>
        </w:rPr>
      </w:pPr>
    </w:p>
    <w:p w14:paraId="44D330C6">
      <w:pPr>
        <w:shd w:val="clear" w:color="auto" w:fill="FFFFFF"/>
        <w:topLinePunct/>
        <w:autoSpaceDE/>
        <w:autoSpaceDN/>
        <w:adjustRightInd/>
        <w:jc w:val="center"/>
        <w:rPr>
          <w:rFonts w:eastAsia="宋体"/>
          <w:sz w:val="24"/>
          <w:szCs w:val="24"/>
        </w:rPr>
      </w:pPr>
      <w:r>
        <w:rPr>
          <w:rFonts w:eastAsia="宋体"/>
          <w:b/>
          <w:color w:val="000000"/>
          <w:sz w:val="24"/>
          <w:szCs w:val="24"/>
        </w:rPr>
        <w:t>文件草案发布日期：2018年7月18日</w:t>
      </w:r>
    </w:p>
    <w:p w14:paraId="7381DC04">
      <w:pPr>
        <w:shd w:val="clear" w:color="auto" w:fill="FFFFFF"/>
        <w:topLinePunct/>
        <w:autoSpaceDE/>
        <w:autoSpaceDN/>
        <w:adjustRightInd/>
        <w:jc w:val="center"/>
        <w:rPr>
          <w:rFonts w:eastAsia="宋体"/>
          <w:b/>
          <w:color w:val="000000"/>
          <w:sz w:val="24"/>
          <w:szCs w:val="24"/>
        </w:rPr>
      </w:pPr>
    </w:p>
    <w:p w14:paraId="7503050D">
      <w:pPr>
        <w:shd w:val="clear" w:color="auto" w:fill="FFFFFF"/>
        <w:topLinePunct/>
        <w:autoSpaceDE/>
        <w:autoSpaceDN/>
        <w:adjustRightInd/>
        <w:jc w:val="center"/>
        <w:rPr>
          <w:rFonts w:eastAsia="宋体"/>
          <w:sz w:val="24"/>
          <w:szCs w:val="24"/>
        </w:rPr>
      </w:pPr>
      <w:r>
        <w:rPr>
          <w:rFonts w:eastAsia="宋体"/>
          <w:b/>
          <w:color w:val="000000"/>
          <w:sz w:val="24"/>
          <w:szCs w:val="24"/>
        </w:rPr>
        <w:t>本文件取代1998年2月5日发布的</w:t>
      </w:r>
      <w:r>
        <w:rPr>
          <w:rFonts w:ascii="宋体" w:hAnsi="宋体" w:eastAsia="宋体"/>
          <w:b/>
          <w:color w:val="000000"/>
          <w:sz w:val="24"/>
          <w:szCs w:val="24"/>
        </w:rPr>
        <w:t>“</w:t>
      </w:r>
      <w:r>
        <w:rPr>
          <w:rFonts w:eastAsia="宋体"/>
          <w:b/>
          <w:color w:val="000000"/>
          <w:sz w:val="24"/>
          <w:szCs w:val="24"/>
        </w:rPr>
        <w:t>自膨式金属胆道支架上市前通知内容指南</w:t>
      </w:r>
      <w:r>
        <w:rPr>
          <w:rFonts w:ascii="宋体" w:hAnsi="宋体" w:eastAsia="宋体"/>
          <w:b/>
          <w:color w:val="000000"/>
          <w:sz w:val="24"/>
          <w:szCs w:val="24"/>
        </w:rPr>
        <w:t>”</w:t>
      </w:r>
    </w:p>
    <w:p w14:paraId="0FE5BDDC">
      <w:pPr>
        <w:shd w:val="clear" w:color="auto" w:fill="FFFFFF"/>
        <w:topLinePunct/>
        <w:autoSpaceDE/>
        <w:autoSpaceDN/>
        <w:adjustRightInd/>
        <w:jc w:val="both"/>
        <w:rPr>
          <w:rFonts w:eastAsia="宋体"/>
          <w:color w:val="000000"/>
          <w:sz w:val="24"/>
          <w:szCs w:val="24"/>
        </w:rPr>
      </w:pPr>
    </w:p>
    <w:p w14:paraId="7BB15764">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如对本文件有任何疑问，请与DHT3A：肾脏、胃肠道、肥胖和移植器械部联系，电话：（301）-796-7030。</w:t>
      </w:r>
    </w:p>
    <w:p w14:paraId="5D72998D">
      <w:pPr>
        <w:shd w:val="clear" w:color="auto" w:fill="FFFFFF"/>
        <w:topLinePunct/>
        <w:autoSpaceDE/>
        <w:autoSpaceDN/>
        <w:adjustRightInd/>
        <w:jc w:val="both"/>
        <w:rPr>
          <w:rFonts w:eastAsia="宋体"/>
          <w:color w:val="000000"/>
          <w:sz w:val="24"/>
          <w:szCs w:val="24"/>
        </w:rPr>
      </w:pPr>
    </w:p>
    <w:p w14:paraId="1079AABD">
      <w:pPr>
        <w:shd w:val="clear" w:color="auto" w:fill="FFFFFF"/>
        <w:topLinePunct/>
        <w:autoSpaceDE/>
        <w:autoSpaceDN/>
        <w:adjustRightInd/>
        <w:jc w:val="both"/>
        <w:rPr>
          <w:rFonts w:eastAsia="宋体"/>
          <w:color w:val="000000"/>
          <w:sz w:val="24"/>
          <w:szCs w:val="24"/>
        </w:rPr>
      </w:pPr>
    </w:p>
    <w:p w14:paraId="2697D972">
      <w:pPr>
        <w:shd w:val="clear" w:color="auto" w:fill="FFFFFF"/>
        <w:topLinePunct/>
        <w:autoSpaceDE/>
        <w:autoSpaceDN/>
        <w:adjustRightInd/>
        <w:jc w:val="both"/>
        <w:rPr>
          <w:rFonts w:eastAsia="宋体"/>
          <w:sz w:val="24"/>
          <w:szCs w:val="24"/>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4361"/>
        <w:gridCol w:w="4928"/>
      </w:tblGrid>
      <w:tr w14:paraId="4DEA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c>
          <w:tcPr>
            <w:tcW w:w="4361" w:type="dxa"/>
          </w:tcPr>
          <w:p w14:paraId="2A7DBA84">
            <w:pPr>
              <w:topLinePunct/>
              <w:autoSpaceDE/>
              <w:autoSpaceDN/>
              <w:adjustRightInd/>
              <w:jc w:val="both"/>
              <w:rPr>
                <w:rFonts w:eastAsia="宋体"/>
                <w:b/>
                <w:bCs/>
                <w:color w:val="000000"/>
                <w:sz w:val="21"/>
                <w:szCs w:val="21"/>
              </w:rPr>
            </w:pPr>
            <w:r>
              <w:rPr>
                <w:rFonts w:eastAsia="宋体"/>
                <w:sz w:val="21"/>
                <w:szCs w:val="21"/>
              </w:rPr>
              <w:drawing>
                <wp:inline distT="0" distB="0" distL="0" distR="0">
                  <wp:extent cx="2494915" cy="762000"/>
                  <wp:effectExtent l="0" t="0" r="63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9"/>
                          <a:stretch>
                            <a:fillRect/>
                          </a:stretch>
                        </pic:blipFill>
                        <pic:spPr>
                          <a:xfrm>
                            <a:off x="0" y="0"/>
                            <a:ext cx="2502853" cy="764761"/>
                          </a:xfrm>
                          <a:prstGeom prst="rect">
                            <a:avLst/>
                          </a:prstGeom>
                        </pic:spPr>
                      </pic:pic>
                    </a:graphicData>
                  </a:graphic>
                </wp:inline>
              </w:drawing>
            </w:r>
          </w:p>
        </w:tc>
        <w:tc>
          <w:tcPr>
            <w:tcW w:w="4928" w:type="dxa"/>
          </w:tcPr>
          <w:p w14:paraId="34691419">
            <w:pPr>
              <w:shd w:val="clear" w:color="auto" w:fill="FFFFFF"/>
              <w:topLinePunct/>
              <w:autoSpaceDE/>
              <w:autoSpaceDN/>
              <w:adjustRightInd/>
              <w:jc w:val="right"/>
              <w:rPr>
                <w:rFonts w:eastAsia="宋体"/>
                <w:sz w:val="21"/>
                <w:szCs w:val="21"/>
              </w:rPr>
            </w:pPr>
            <w:r>
              <w:rPr>
                <w:rFonts w:eastAsia="宋体"/>
                <w:b/>
                <w:color w:val="000000"/>
                <w:sz w:val="21"/>
                <w:szCs w:val="21"/>
              </w:rPr>
              <w:t>美国卫生与公共服务部</w:t>
            </w:r>
          </w:p>
          <w:p w14:paraId="3E34DB20">
            <w:pPr>
              <w:shd w:val="clear" w:color="auto" w:fill="FFFFFF"/>
              <w:topLinePunct/>
              <w:autoSpaceDE/>
              <w:autoSpaceDN/>
              <w:adjustRightInd/>
              <w:jc w:val="right"/>
              <w:rPr>
                <w:rFonts w:eastAsia="宋体"/>
                <w:sz w:val="21"/>
                <w:szCs w:val="21"/>
              </w:rPr>
            </w:pPr>
            <w:r>
              <w:rPr>
                <w:rFonts w:eastAsia="宋体"/>
                <w:b/>
                <w:color w:val="000000"/>
                <w:sz w:val="21"/>
                <w:szCs w:val="21"/>
              </w:rPr>
              <w:t>美国食品药品监督管理局</w:t>
            </w:r>
          </w:p>
          <w:p w14:paraId="0CC71E83">
            <w:pPr>
              <w:shd w:val="clear" w:color="auto" w:fill="FFFFFF"/>
              <w:topLinePunct/>
              <w:autoSpaceDE/>
              <w:autoSpaceDN/>
              <w:adjustRightInd/>
              <w:jc w:val="right"/>
              <w:rPr>
                <w:rFonts w:eastAsia="宋体"/>
                <w:sz w:val="21"/>
                <w:szCs w:val="21"/>
              </w:rPr>
            </w:pPr>
            <w:r>
              <w:rPr>
                <w:rFonts w:eastAsia="宋体"/>
                <w:b/>
                <w:color w:val="000000"/>
                <w:sz w:val="21"/>
                <w:szCs w:val="21"/>
              </w:rPr>
              <w:t>医疗器械和辐射健康中心</w:t>
            </w:r>
          </w:p>
        </w:tc>
      </w:tr>
    </w:tbl>
    <w:p w14:paraId="312A6758">
      <w:pPr>
        <w:shd w:val="clear" w:color="auto" w:fill="FFFFFF"/>
        <w:topLinePunct/>
        <w:autoSpaceDE/>
        <w:autoSpaceDN/>
        <w:adjustRightInd/>
        <w:jc w:val="both"/>
        <w:rPr>
          <w:rFonts w:eastAsia="宋体"/>
          <w:b/>
          <w:bCs/>
          <w:color w:val="000000"/>
          <w:sz w:val="24"/>
          <w:szCs w:val="24"/>
        </w:rPr>
      </w:pPr>
    </w:p>
    <w:p w14:paraId="42CB6E84">
      <w:pPr>
        <w:shd w:val="clear" w:color="auto" w:fill="FFFFFF"/>
        <w:topLinePunct/>
        <w:autoSpaceDE/>
        <w:autoSpaceDN/>
        <w:adjustRightInd/>
        <w:jc w:val="both"/>
        <w:rPr>
          <w:rFonts w:eastAsia="宋体"/>
          <w:b/>
          <w:bCs/>
          <w:color w:val="000000"/>
          <w:sz w:val="24"/>
          <w:szCs w:val="24"/>
        </w:rPr>
      </w:pPr>
    </w:p>
    <w:p w14:paraId="115B85BD">
      <w:pPr>
        <w:widowControl/>
        <w:autoSpaceDE/>
        <w:autoSpaceDN/>
        <w:adjustRightInd/>
        <w:rPr>
          <w:rFonts w:eastAsia="宋体"/>
          <w:sz w:val="24"/>
          <w:szCs w:val="24"/>
        </w:rPr>
      </w:pPr>
      <w:r>
        <w:rPr>
          <w:rFonts w:eastAsia="宋体"/>
          <w:sz w:val="24"/>
          <w:szCs w:val="24"/>
        </w:rPr>
        <w:br w:type="page"/>
      </w:r>
    </w:p>
    <w:p w14:paraId="7F265795">
      <w:pPr>
        <w:shd w:val="clear" w:color="auto" w:fill="FFFFFF"/>
        <w:topLinePunct/>
        <w:autoSpaceDE/>
        <w:autoSpaceDN/>
        <w:adjustRightInd/>
        <w:jc w:val="center"/>
        <w:rPr>
          <w:rFonts w:eastAsia="宋体"/>
          <w:sz w:val="36"/>
          <w:szCs w:val="36"/>
        </w:rPr>
      </w:pPr>
      <w:r>
        <w:rPr>
          <w:rFonts w:eastAsia="宋体"/>
          <w:b/>
          <w:color w:val="000000"/>
          <w:sz w:val="36"/>
          <w:szCs w:val="36"/>
        </w:rPr>
        <w:t>前言</w:t>
      </w:r>
    </w:p>
    <w:p w14:paraId="7CFAEA9B">
      <w:pPr>
        <w:shd w:val="clear" w:color="auto" w:fill="FFFFFF"/>
        <w:topLinePunct/>
        <w:autoSpaceDE/>
        <w:autoSpaceDN/>
        <w:adjustRightInd/>
        <w:jc w:val="both"/>
        <w:rPr>
          <w:rFonts w:eastAsia="宋体"/>
          <w:sz w:val="32"/>
          <w:szCs w:val="32"/>
        </w:rPr>
      </w:pPr>
      <w:r>
        <w:rPr>
          <w:rFonts w:eastAsia="宋体"/>
          <w:b/>
          <w:color w:val="000000"/>
          <w:sz w:val="32"/>
          <w:szCs w:val="32"/>
        </w:rPr>
        <w:t>公众意见</w:t>
      </w:r>
    </w:p>
    <w:p w14:paraId="51D75FA8">
      <w:pPr>
        <w:autoSpaceDE/>
        <w:autoSpaceDN/>
        <w:adjustRightInd/>
        <w:snapToGrid w:val="0"/>
        <w:ind w:firstLine="480" w:firstLineChars="200"/>
        <w:jc w:val="both"/>
        <w:rPr>
          <w:rFonts w:eastAsia="宋体"/>
          <w:color w:val="000000"/>
          <w:sz w:val="24"/>
          <w:szCs w:val="24"/>
        </w:rPr>
      </w:pPr>
      <w:r>
        <w:rPr>
          <w:rFonts w:eastAsia="宋体"/>
          <w:sz w:val="24"/>
          <w:szCs w:val="24"/>
          <w:lang w:eastAsia="en-US"/>
        </w:rPr>
        <w:t>电子版意见和建议可随时提交至</w:t>
      </w:r>
      <w:r>
        <w:fldChar w:fldCharType="begin"/>
      </w:r>
      <w:r>
        <w:instrText xml:space="preserve"> HYPERLINK "https://www.regulations.gov/" \h </w:instrText>
      </w:r>
      <w:r>
        <w:fldChar w:fldCharType="separate"/>
      </w:r>
      <w:r>
        <w:rPr>
          <w:rFonts w:eastAsia="宋体"/>
          <w:color w:val="0000FF"/>
          <w:sz w:val="24"/>
          <w:szCs w:val="24"/>
          <w:u w:val="single" w:color="0000FF"/>
          <w:lang w:eastAsia="en-US"/>
        </w:rPr>
        <w:t>http://www.regulations.gov</w:t>
      </w:r>
      <w:r>
        <w:rPr>
          <w:rFonts w:eastAsia="宋体"/>
          <w:color w:val="0000FF"/>
          <w:sz w:val="24"/>
          <w:szCs w:val="24"/>
          <w:u w:val="single" w:color="0000FF"/>
          <w:lang w:eastAsia="en-US"/>
        </w:rPr>
        <w:fldChar w:fldCharType="end"/>
      </w:r>
      <w:r>
        <w:rPr>
          <w:rFonts w:eastAsia="宋体"/>
          <w:sz w:val="24"/>
          <w:szCs w:val="24"/>
          <w:lang w:eastAsia="en-US"/>
        </w:rPr>
        <w:t>，供FDA审议。</w:t>
      </w:r>
      <w:r>
        <w:rPr>
          <w:rFonts w:eastAsia="宋体"/>
          <w:color w:val="000000"/>
          <w:sz w:val="24"/>
          <w:szCs w:val="24"/>
        </w:rPr>
        <w:t>可将书面意见提交至：美国食品药品监督管理局备案文件管理部</w:t>
      </w:r>
      <w:r>
        <w:rPr>
          <w:rFonts w:hint="eastAsia" w:eastAsia="宋体"/>
          <w:color w:val="000000"/>
          <w:sz w:val="24"/>
          <w:szCs w:val="24"/>
        </w:rPr>
        <w:t>，</w:t>
      </w:r>
      <w:r>
        <w:rPr>
          <w:rFonts w:eastAsia="宋体"/>
          <w:color w:val="000000"/>
          <w:sz w:val="24"/>
          <w:szCs w:val="24"/>
        </w:rPr>
        <w:t>5630 Fishers Lane, Room 1061, (HFA-305), Rockville, MD 20852。所有意见或建议均应注明备案文件编号FDA-2018-D-</w:t>
      </w:r>
      <w:r>
        <w:rPr>
          <w:rFonts w:hint="eastAsia" w:eastAsia="宋体"/>
          <w:color w:val="000000"/>
          <w:sz w:val="24"/>
          <w:szCs w:val="24"/>
        </w:rPr>
        <w:t>1771</w:t>
      </w:r>
      <w:r>
        <w:rPr>
          <w:rFonts w:eastAsia="宋体"/>
          <w:color w:val="000000"/>
          <w:sz w:val="24"/>
          <w:szCs w:val="24"/>
        </w:rPr>
        <w:t>。下次修订或更新本文件时，FDA将考虑实施该意见。</w:t>
      </w:r>
    </w:p>
    <w:p w14:paraId="3B342963">
      <w:pPr>
        <w:autoSpaceDE/>
        <w:autoSpaceDN/>
        <w:adjustRightInd/>
        <w:snapToGrid w:val="0"/>
        <w:jc w:val="both"/>
        <w:rPr>
          <w:rFonts w:eastAsia="宋体"/>
          <w:sz w:val="24"/>
          <w:szCs w:val="24"/>
        </w:rPr>
      </w:pPr>
    </w:p>
    <w:p w14:paraId="4FA32893">
      <w:pPr>
        <w:shd w:val="clear" w:color="auto" w:fill="FFFFFF"/>
        <w:topLinePunct/>
        <w:autoSpaceDE/>
        <w:autoSpaceDN/>
        <w:adjustRightInd/>
        <w:jc w:val="both"/>
        <w:rPr>
          <w:rFonts w:eastAsia="宋体"/>
          <w:sz w:val="32"/>
          <w:szCs w:val="32"/>
        </w:rPr>
      </w:pPr>
      <w:r>
        <w:rPr>
          <w:rFonts w:eastAsia="宋体"/>
          <w:b/>
          <w:color w:val="000000"/>
          <w:sz w:val="32"/>
          <w:szCs w:val="32"/>
        </w:rPr>
        <w:t>更多副本</w:t>
      </w:r>
    </w:p>
    <w:p w14:paraId="4158735B">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更多副本可通过互联网获取。</w:t>
      </w:r>
      <w:r>
        <w:rPr>
          <w:rFonts w:eastAsia="宋体"/>
          <w:sz w:val="24"/>
          <w:szCs w:val="24"/>
        </w:rPr>
        <w:t>也可以通过电子邮件发送请求至</w:t>
      </w:r>
      <w:r>
        <w:rPr>
          <w:rFonts w:eastAsia="宋体"/>
          <w:color w:val="3333FF"/>
          <w:sz w:val="24"/>
          <w:szCs w:val="24"/>
          <w:u w:val="single"/>
        </w:rPr>
        <w:t>CDRH-Guidance@fda.hhs.gov</w:t>
      </w:r>
      <w:r>
        <w:rPr>
          <w:rFonts w:eastAsia="宋体"/>
          <w:sz w:val="24"/>
          <w:szCs w:val="24"/>
        </w:rPr>
        <w:t>获取本指南的副本。</w:t>
      </w:r>
      <w:r>
        <w:rPr>
          <w:rFonts w:eastAsia="宋体"/>
          <w:color w:val="000000"/>
          <w:sz w:val="24"/>
          <w:szCs w:val="24"/>
        </w:rPr>
        <w:t>请使用文件编号1500070，注明所要求获取的指南。</w:t>
      </w:r>
    </w:p>
    <w:p w14:paraId="794E4FBC">
      <w:pPr>
        <w:shd w:val="clear" w:color="auto" w:fill="FFFFFF"/>
        <w:topLinePunct/>
        <w:autoSpaceDE/>
        <w:autoSpaceDN/>
        <w:adjustRightInd/>
        <w:jc w:val="both"/>
        <w:rPr>
          <w:rFonts w:eastAsia="宋体"/>
          <w:sz w:val="24"/>
          <w:szCs w:val="24"/>
        </w:rPr>
      </w:pPr>
    </w:p>
    <w:p w14:paraId="4C55CBCB">
      <w:pPr>
        <w:widowControl/>
        <w:autoSpaceDE/>
        <w:autoSpaceDN/>
        <w:adjustRightInd/>
        <w:rPr>
          <w:rFonts w:eastAsia="宋体"/>
          <w:sz w:val="24"/>
          <w:szCs w:val="24"/>
        </w:rPr>
      </w:pPr>
      <w:r>
        <w:rPr>
          <w:rFonts w:eastAsia="宋体"/>
          <w:sz w:val="24"/>
          <w:szCs w:val="24"/>
        </w:rPr>
        <w:br w:type="page"/>
      </w:r>
    </w:p>
    <w:p w14:paraId="12780530">
      <w:pPr>
        <w:shd w:val="clear" w:color="auto" w:fill="FFFFFF"/>
        <w:topLinePunct/>
        <w:autoSpaceDE/>
        <w:autoSpaceDN/>
        <w:adjustRightInd/>
        <w:jc w:val="center"/>
        <w:rPr>
          <w:rFonts w:eastAsia="宋体"/>
          <w:b/>
          <w:bCs/>
          <w:color w:val="000000"/>
          <w:sz w:val="36"/>
          <w:szCs w:val="36"/>
        </w:rPr>
      </w:pPr>
      <w:r>
        <w:rPr>
          <w:rFonts w:eastAsia="宋体"/>
          <w:b/>
          <w:color w:val="000000"/>
          <w:sz w:val="36"/>
          <w:szCs w:val="36"/>
        </w:rPr>
        <w:t>目录</w:t>
      </w:r>
    </w:p>
    <w:p w14:paraId="42717D6E">
      <w:pPr>
        <w:pStyle w:val="10"/>
        <w:rPr>
          <w:rFonts w:asciiTheme="minorHAnsi" w:hAnsiTheme="minorHAnsi" w:eastAsiaTheme="minorEastAsia" w:cstheme="minorBidi"/>
          <w:kern w:val="2"/>
          <w:sz w:val="21"/>
          <w:szCs w:val="22"/>
          <w:lang w:bidi="he-IL"/>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"_Toc97386680" </w:instrText>
      </w:r>
      <w:r>
        <w:fldChar w:fldCharType="separate"/>
      </w:r>
      <w:r>
        <w:rPr>
          <w:rStyle w:val="18"/>
        </w:rPr>
        <w:t>I.</w:t>
      </w:r>
      <w:r>
        <w:rPr>
          <w:rFonts w:asciiTheme="minorHAnsi" w:hAnsiTheme="minorHAnsi" w:eastAsiaTheme="minorEastAsia" w:cstheme="minorBidi"/>
          <w:kern w:val="2"/>
          <w:sz w:val="21"/>
          <w:szCs w:val="22"/>
          <w:lang w:bidi="he-IL"/>
        </w:rPr>
        <w:tab/>
      </w:r>
      <w:r>
        <w:rPr>
          <w:rStyle w:val="18"/>
          <w:rFonts w:hint="eastAsia"/>
        </w:rPr>
        <w:t>引言</w:t>
      </w:r>
      <w:r>
        <w:tab/>
      </w:r>
      <w:r>
        <w:fldChar w:fldCharType="begin"/>
      </w:r>
      <w:r>
        <w:instrText xml:space="preserve"> PAGEREF _Toc97386680 \h </w:instrText>
      </w:r>
      <w:r>
        <w:fldChar w:fldCharType="separate"/>
      </w:r>
      <w:r>
        <w:t>1</w:t>
      </w:r>
      <w:r>
        <w:fldChar w:fldCharType="end"/>
      </w:r>
      <w:r>
        <w:fldChar w:fldCharType="end"/>
      </w:r>
    </w:p>
    <w:p w14:paraId="16E5B716">
      <w:pPr>
        <w:pStyle w:val="10"/>
        <w:rPr>
          <w:rFonts w:asciiTheme="minorHAnsi" w:hAnsiTheme="minorHAnsi" w:eastAsiaTheme="minorEastAsia" w:cstheme="minorBidi"/>
          <w:kern w:val="2"/>
          <w:sz w:val="21"/>
          <w:szCs w:val="22"/>
          <w:lang w:bidi="he-IL"/>
        </w:rPr>
      </w:pPr>
      <w:r>
        <w:fldChar w:fldCharType="begin"/>
      </w:r>
      <w:r>
        <w:instrText xml:space="preserve"> HYPERLINK \l "_Toc97386681" </w:instrText>
      </w:r>
      <w:r>
        <w:fldChar w:fldCharType="separate"/>
      </w:r>
      <w:r>
        <w:rPr>
          <w:rStyle w:val="18"/>
        </w:rPr>
        <w:t>II.</w:t>
      </w:r>
      <w:r>
        <w:rPr>
          <w:rFonts w:asciiTheme="minorHAnsi" w:hAnsiTheme="minorHAnsi" w:eastAsiaTheme="minorEastAsia" w:cstheme="minorBidi"/>
          <w:kern w:val="2"/>
          <w:sz w:val="21"/>
          <w:szCs w:val="22"/>
          <w:lang w:bidi="he-IL"/>
        </w:rPr>
        <w:tab/>
      </w:r>
      <w:r>
        <w:rPr>
          <w:rStyle w:val="18"/>
          <w:rFonts w:hint="eastAsia"/>
        </w:rPr>
        <w:t>背景</w:t>
      </w:r>
      <w:r>
        <w:tab/>
      </w:r>
      <w:r>
        <w:fldChar w:fldCharType="begin"/>
      </w:r>
      <w:r>
        <w:instrText xml:space="preserve"> PAGEREF _Toc97386681 \h </w:instrText>
      </w:r>
      <w:r>
        <w:fldChar w:fldCharType="separate"/>
      </w:r>
      <w:r>
        <w:t>1</w:t>
      </w:r>
      <w:r>
        <w:fldChar w:fldCharType="end"/>
      </w:r>
      <w:r>
        <w:fldChar w:fldCharType="end"/>
      </w:r>
    </w:p>
    <w:p w14:paraId="05AD7D78">
      <w:pPr>
        <w:pStyle w:val="10"/>
        <w:rPr>
          <w:rFonts w:asciiTheme="minorHAnsi" w:hAnsiTheme="minorHAnsi" w:eastAsiaTheme="minorEastAsia" w:cstheme="minorBidi"/>
          <w:kern w:val="2"/>
          <w:sz w:val="21"/>
          <w:szCs w:val="22"/>
          <w:lang w:bidi="he-IL"/>
        </w:rPr>
      </w:pPr>
      <w:r>
        <w:fldChar w:fldCharType="begin"/>
      </w:r>
      <w:r>
        <w:instrText xml:space="preserve"> HYPERLINK \l "_Toc97386682" </w:instrText>
      </w:r>
      <w:r>
        <w:fldChar w:fldCharType="separate"/>
      </w:r>
      <w:r>
        <w:rPr>
          <w:rStyle w:val="18"/>
        </w:rPr>
        <w:t>III.</w:t>
      </w:r>
      <w:r>
        <w:rPr>
          <w:rFonts w:asciiTheme="minorHAnsi" w:hAnsiTheme="minorHAnsi" w:eastAsiaTheme="minorEastAsia" w:cstheme="minorBidi"/>
          <w:kern w:val="2"/>
          <w:sz w:val="21"/>
          <w:szCs w:val="22"/>
          <w:lang w:bidi="he-IL"/>
        </w:rPr>
        <w:tab/>
      </w:r>
      <w:r>
        <w:rPr>
          <w:rStyle w:val="18"/>
          <w:rFonts w:hint="eastAsia"/>
        </w:rPr>
        <w:t>范围</w:t>
      </w:r>
      <w:r>
        <w:tab/>
      </w:r>
      <w:r>
        <w:fldChar w:fldCharType="begin"/>
      </w:r>
      <w:r>
        <w:instrText xml:space="preserve"> PAGEREF _Toc97386682 \h </w:instrText>
      </w:r>
      <w:r>
        <w:fldChar w:fldCharType="separate"/>
      </w:r>
      <w:r>
        <w:t>2</w:t>
      </w:r>
      <w:r>
        <w:fldChar w:fldCharType="end"/>
      </w:r>
      <w:r>
        <w:fldChar w:fldCharType="end"/>
      </w:r>
    </w:p>
    <w:p w14:paraId="6BB31A17">
      <w:pPr>
        <w:pStyle w:val="10"/>
        <w:rPr>
          <w:rFonts w:asciiTheme="minorHAnsi" w:hAnsiTheme="minorHAnsi" w:eastAsiaTheme="minorEastAsia" w:cstheme="minorBidi"/>
          <w:kern w:val="2"/>
          <w:sz w:val="21"/>
          <w:szCs w:val="22"/>
          <w:lang w:bidi="he-IL"/>
        </w:rPr>
      </w:pPr>
      <w:r>
        <w:fldChar w:fldCharType="begin"/>
      </w:r>
      <w:r>
        <w:instrText xml:space="preserve"> HYPERLINK \l "_Toc97386683" </w:instrText>
      </w:r>
      <w:r>
        <w:fldChar w:fldCharType="separate"/>
      </w:r>
      <w:r>
        <w:rPr>
          <w:rStyle w:val="18"/>
        </w:rPr>
        <w:t>IV.</w:t>
      </w:r>
      <w:r>
        <w:rPr>
          <w:rFonts w:asciiTheme="minorHAnsi" w:hAnsiTheme="minorHAnsi" w:eastAsiaTheme="minorEastAsia" w:cstheme="minorBidi"/>
          <w:kern w:val="2"/>
          <w:sz w:val="21"/>
          <w:szCs w:val="22"/>
          <w:lang w:bidi="he-IL"/>
        </w:rPr>
        <w:tab/>
      </w:r>
      <w:r>
        <w:rPr>
          <w:rStyle w:val="18"/>
          <w:rFonts w:hint="eastAsia"/>
        </w:rPr>
        <w:t>定义</w:t>
      </w:r>
      <w:r>
        <w:tab/>
      </w:r>
      <w:r>
        <w:fldChar w:fldCharType="begin"/>
      </w:r>
      <w:r>
        <w:instrText xml:space="preserve"> PAGEREF _Toc97386683 \h </w:instrText>
      </w:r>
      <w:r>
        <w:fldChar w:fldCharType="separate"/>
      </w:r>
      <w:r>
        <w:t>2</w:t>
      </w:r>
      <w:r>
        <w:fldChar w:fldCharType="end"/>
      </w:r>
      <w:r>
        <w:fldChar w:fldCharType="end"/>
      </w:r>
    </w:p>
    <w:p w14:paraId="50FCD8B8">
      <w:pPr>
        <w:pStyle w:val="10"/>
        <w:rPr>
          <w:rFonts w:asciiTheme="minorHAnsi" w:hAnsiTheme="minorHAnsi" w:eastAsiaTheme="minorEastAsia" w:cstheme="minorBidi"/>
          <w:kern w:val="2"/>
          <w:sz w:val="21"/>
          <w:szCs w:val="22"/>
          <w:lang w:bidi="he-IL"/>
        </w:rPr>
      </w:pPr>
      <w:r>
        <w:fldChar w:fldCharType="begin"/>
      </w:r>
      <w:r>
        <w:instrText xml:space="preserve"> HYPERLINK \l "_Toc97386684" </w:instrText>
      </w:r>
      <w:r>
        <w:fldChar w:fldCharType="separate"/>
      </w:r>
      <w:r>
        <w:rPr>
          <w:rStyle w:val="18"/>
        </w:rPr>
        <w:t>V.</w:t>
      </w:r>
      <w:r>
        <w:rPr>
          <w:rFonts w:asciiTheme="minorHAnsi" w:hAnsiTheme="minorHAnsi" w:eastAsiaTheme="minorEastAsia" w:cstheme="minorBidi"/>
          <w:kern w:val="2"/>
          <w:sz w:val="21"/>
          <w:szCs w:val="22"/>
          <w:lang w:bidi="he-IL"/>
        </w:rPr>
        <w:tab/>
      </w:r>
      <w:r>
        <w:rPr>
          <w:rStyle w:val="18"/>
          <w:rFonts w:hint="eastAsia"/>
        </w:rPr>
        <w:t>上市前申请建议</w:t>
      </w:r>
      <w:r>
        <w:tab/>
      </w:r>
      <w:r>
        <w:fldChar w:fldCharType="begin"/>
      </w:r>
      <w:r>
        <w:instrText xml:space="preserve"> PAGEREF _Toc97386684 \h </w:instrText>
      </w:r>
      <w:r>
        <w:fldChar w:fldCharType="separate"/>
      </w:r>
      <w:r>
        <w:t>3</w:t>
      </w:r>
      <w:r>
        <w:fldChar w:fldCharType="end"/>
      </w:r>
      <w:r>
        <w:fldChar w:fldCharType="end"/>
      </w:r>
    </w:p>
    <w:p w14:paraId="0F12E822">
      <w:pPr>
        <w:pStyle w:val="12"/>
        <w:rPr>
          <w:rFonts w:asciiTheme="minorHAnsi" w:hAnsiTheme="minorHAnsi" w:eastAsiaTheme="minorEastAsia" w:cstheme="minorBidi"/>
          <w:kern w:val="2"/>
          <w:sz w:val="21"/>
          <w:szCs w:val="22"/>
          <w:lang w:bidi="he-IL"/>
        </w:rPr>
      </w:pPr>
      <w:r>
        <w:fldChar w:fldCharType="begin"/>
      </w:r>
      <w:r>
        <w:instrText xml:space="preserve"> HYPERLINK \l "_Toc97386685" </w:instrText>
      </w:r>
      <w:r>
        <w:fldChar w:fldCharType="separate"/>
      </w:r>
      <w:r>
        <w:rPr>
          <w:rStyle w:val="18"/>
        </w:rPr>
        <w:t>A.</w:t>
      </w:r>
      <w:r>
        <w:rPr>
          <w:rFonts w:asciiTheme="minorHAnsi" w:hAnsiTheme="minorHAnsi" w:eastAsiaTheme="minorEastAsia" w:cstheme="minorBidi"/>
          <w:kern w:val="2"/>
          <w:sz w:val="21"/>
          <w:szCs w:val="22"/>
          <w:lang w:bidi="he-IL"/>
        </w:rPr>
        <w:tab/>
      </w:r>
      <w:r>
        <w:rPr>
          <w:rStyle w:val="18"/>
          <w:rFonts w:hint="eastAsia"/>
        </w:rPr>
        <w:t>器械描述</w:t>
      </w:r>
      <w:r>
        <w:tab/>
      </w:r>
      <w:r>
        <w:fldChar w:fldCharType="begin"/>
      </w:r>
      <w:r>
        <w:instrText xml:space="preserve"> PAGEREF _Toc97386685 \h </w:instrText>
      </w:r>
      <w:r>
        <w:fldChar w:fldCharType="separate"/>
      </w:r>
      <w:r>
        <w:t>3</w:t>
      </w:r>
      <w:r>
        <w:fldChar w:fldCharType="end"/>
      </w:r>
      <w:r>
        <w:fldChar w:fldCharType="end"/>
      </w:r>
    </w:p>
    <w:p w14:paraId="6360194C">
      <w:pPr>
        <w:pStyle w:val="12"/>
        <w:rPr>
          <w:rFonts w:asciiTheme="minorHAnsi" w:hAnsiTheme="minorHAnsi" w:eastAsiaTheme="minorEastAsia" w:cstheme="minorBidi"/>
          <w:kern w:val="2"/>
          <w:sz w:val="21"/>
          <w:szCs w:val="22"/>
          <w:lang w:bidi="he-IL"/>
        </w:rPr>
      </w:pPr>
      <w:r>
        <w:fldChar w:fldCharType="begin"/>
      </w:r>
      <w:r>
        <w:instrText xml:space="preserve"> HYPERLINK \l "_Toc97386686" </w:instrText>
      </w:r>
      <w:r>
        <w:fldChar w:fldCharType="separate"/>
      </w:r>
      <w:r>
        <w:rPr>
          <w:rStyle w:val="18"/>
        </w:rPr>
        <w:t>B.</w:t>
      </w:r>
      <w:r>
        <w:rPr>
          <w:rFonts w:asciiTheme="minorHAnsi" w:hAnsiTheme="minorHAnsi" w:eastAsiaTheme="minorEastAsia" w:cstheme="minorBidi"/>
          <w:kern w:val="2"/>
          <w:sz w:val="21"/>
          <w:szCs w:val="22"/>
          <w:lang w:bidi="he-IL"/>
        </w:rPr>
        <w:tab/>
      </w:r>
      <w:r>
        <w:rPr>
          <w:rStyle w:val="18"/>
          <w:rFonts w:hint="eastAsia"/>
        </w:rPr>
        <w:t>同品种器械对比</w:t>
      </w:r>
      <w:r>
        <w:tab/>
      </w:r>
      <w:r>
        <w:fldChar w:fldCharType="begin"/>
      </w:r>
      <w:r>
        <w:instrText xml:space="preserve"> PAGEREF _Toc97386686 \h </w:instrText>
      </w:r>
      <w:r>
        <w:fldChar w:fldCharType="separate"/>
      </w:r>
      <w:r>
        <w:t>3</w:t>
      </w:r>
      <w:r>
        <w:fldChar w:fldCharType="end"/>
      </w:r>
      <w:r>
        <w:fldChar w:fldCharType="end"/>
      </w:r>
    </w:p>
    <w:p w14:paraId="78B7543E">
      <w:pPr>
        <w:pStyle w:val="12"/>
        <w:rPr>
          <w:rFonts w:asciiTheme="minorHAnsi" w:hAnsiTheme="minorHAnsi" w:eastAsiaTheme="minorEastAsia" w:cstheme="minorBidi"/>
          <w:kern w:val="2"/>
          <w:sz w:val="21"/>
          <w:szCs w:val="22"/>
          <w:lang w:bidi="he-IL"/>
        </w:rPr>
      </w:pPr>
      <w:r>
        <w:fldChar w:fldCharType="begin"/>
      </w:r>
      <w:r>
        <w:instrText xml:space="preserve"> HYPERLINK \l "_Toc97386687" </w:instrText>
      </w:r>
      <w:r>
        <w:fldChar w:fldCharType="separate"/>
      </w:r>
      <w:r>
        <w:rPr>
          <w:rStyle w:val="18"/>
        </w:rPr>
        <w:t>C.</w:t>
      </w:r>
      <w:r>
        <w:rPr>
          <w:rFonts w:asciiTheme="minorHAnsi" w:hAnsiTheme="minorHAnsi" w:eastAsiaTheme="minorEastAsia" w:cstheme="minorBidi"/>
          <w:kern w:val="2"/>
          <w:sz w:val="21"/>
          <w:szCs w:val="22"/>
          <w:lang w:bidi="he-IL"/>
        </w:rPr>
        <w:tab/>
      </w:r>
      <w:r>
        <w:rPr>
          <w:rStyle w:val="18"/>
          <w:rFonts w:hint="eastAsia"/>
        </w:rPr>
        <w:t>生物相容性</w:t>
      </w:r>
      <w:r>
        <w:tab/>
      </w:r>
      <w:r>
        <w:fldChar w:fldCharType="begin"/>
      </w:r>
      <w:r>
        <w:instrText xml:space="preserve"> PAGEREF _Toc97386687 \h </w:instrText>
      </w:r>
      <w:r>
        <w:fldChar w:fldCharType="separate"/>
      </w:r>
      <w:r>
        <w:t>4</w:t>
      </w:r>
      <w:r>
        <w:fldChar w:fldCharType="end"/>
      </w:r>
      <w:r>
        <w:fldChar w:fldCharType="end"/>
      </w:r>
    </w:p>
    <w:p w14:paraId="2C27D459">
      <w:pPr>
        <w:pStyle w:val="12"/>
        <w:rPr>
          <w:rFonts w:asciiTheme="minorHAnsi" w:hAnsiTheme="minorHAnsi" w:eastAsiaTheme="minorEastAsia" w:cstheme="minorBidi"/>
          <w:kern w:val="2"/>
          <w:sz w:val="21"/>
          <w:szCs w:val="22"/>
          <w:lang w:bidi="he-IL"/>
        </w:rPr>
      </w:pPr>
      <w:r>
        <w:fldChar w:fldCharType="begin"/>
      </w:r>
      <w:r>
        <w:instrText xml:space="preserve"> HYPERLINK \l "_Toc97386688" </w:instrText>
      </w:r>
      <w:r>
        <w:fldChar w:fldCharType="separate"/>
      </w:r>
      <w:r>
        <w:rPr>
          <w:rStyle w:val="18"/>
        </w:rPr>
        <w:t>D.</w:t>
      </w:r>
      <w:r>
        <w:rPr>
          <w:rFonts w:asciiTheme="minorHAnsi" w:hAnsiTheme="minorHAnsi" w:eastAsiaTheme="minorEastAsia" w:cstheme="minorBidi"/>
          <w:kern w:val="2"/>
          <w:sz w:val="21"/>
          <w:szCs w:val="22"/>
          <w:lang w:bidi="he-IL"/>
        </w:rPr>
        <w:tab/>
      </w:r>
      <w:r>
        <w:rPr>
          <w:rStyle w:val="18"/>
          <w:rFonts w:hint="eastAsia"/>
        </w:rPr>
        <w:t>无菌性</w:t>
      </w:r>
      <w:r>
        <w:tab/>
      </w:r>
      <w:r>
        <w:fldChar w:fldCharType="begin"/>
      </w:r>
      <w:r>
        <w:instrText xml:space="preserve"> PAGEREF _Toc97386688 \h </w:instrText>
      </w:r>
      <w:r>
        <w:fldChar w:fldCharType="separate"/>
      </w:r>
      <w:r>
        <w:t>5</w:t>
      </w:r>
      <w:r>
        <w:fldChar w:fldCharType="end"/>
      </w:r>
      <w:r>
        <w:fldChar w:fldCharType="end"/>
      </w:r>
    </w:p>
    <w:p w14:paraId="0F0A1DB2">
      <w:pPr>
        <w:pStyle w:val="12"/>
        <w:rPr>
          <w:rFonts w:asciiTheme="minorHAnsi" w:hAnsiTheme="minorHAnsi" w:eastAsiaTheme="minorEastAsia" w:cstheme="minorBidi"/>
          <w:kern w:val="2"/>
          <w:sz w:val="21"/>
          <w:szCs w:val="22"/>
          <w:lang w:bidi="he-IL"/>
        </w:rPr>
      </w:pPr>
      <w:r>
        <w:fldChar w:fldCharType="begin"/>
      </w:r>
      <w:r>
        <w:instrText xml:space="preserve"> HYPERLINK \l "_Toc97386689" </w:instrText>
      </w:r>
      <w:r>
        <w:fldChar w:fldCharType="separate"/>
      </w:r>
      <w:r>
        <w:rPr>
          <w:rStyle w:val="18"/>
        </w:rPr>
        <w:t>E.</w:t>
      </w:r>
      <w:r>
        <w:rPr>
          <w:rFonts w:asciiTheme="minorHAnsi" w:hAnsiTheme="minorHAnsi" w:eastAsiaTheme="minorEastAsia" w:cstheme="minorBidi"/>
          <w:kern w:val="2"/>
          <w:sz w:val="21"/>
          <w:szCs w:val="22"/>
          <w:lang w:bidi="he-IL"/>
        </w:rPr>
        <w:tab/>
      </w:r>
      <w:r>
        <w:rPr>
          <w:rStyle w:val="18"/>
          <w:rFonts w:hint="eastAsia"/>
        </w:rPr>
        <w:t>货架期和包装</w:t>
      </w:r>
      <w:r>
        <w:tab/>
      </w:r>
      <w:r>
        <w:fldChar w:fldCharType="begin"/>
      </w:r>
      <w:r>
        <w:instrText xml:space="preserve"> PAGEREF _Toc97386689 \h </w:instrText>
      </w:r>
      <w:r>
        <w:fldChar w:fldCharType="separate"/>
      </w:r>
      <w:r>
        <w:t>6</w:t>
      </w:r>
      <w:r>
        <w:fldChar w:fldCharType="end"/>
      </w:r>
      <w:r>
        <w:fldChar w:fldCharType="end"/>
      </w:r>
    </w:p>
    <w:p w14:paraId="1221F475">
      <w:pPr>
        <w:pStyle w:val="12"/>
        <w:rPr>
          <w:rFonts w:asciiTheme="minorHAnsi" w:hAnsiTheme="minorHAnsi" w:eastAsiaTheme="minorEastAsia" w:cstheme="minorBidi"/>
          <w:kern w:val="2"/>
          <w:sz w:val="21"/>
          <w:szCs w:val="22"/>
          <w:lang w:bidi="he-IL"/>
        </w:rPr>
      </w:pPr>
      <w:r>
        <w:fldChar w:fldCharType="begin"/>
      </w:r>
      <w:r>
        <w:instrText xml:space="preserve"> HYPERLINK \l "_Toc97386690" </w:instrText>
      </w:r>
      <w:r>
        <w:fldChar w:fldCharType="separate"/>
      </w:r>
      <w:r>
        <w:rPr>
          <w:rStyle w:val="18"/>
        </w:rPr>
        <w:t>F.</w:t>
      </w:r>
      <w:r>
        <w:rPr>
          <w:rFonts w:asciiTheme="minorHAnsi" w:hAnsiTheme="minorHAnsi" w:eastAsiaTheme="minorEastAsia" w:cstheme="minorBidi"/>
          <w:kern w:val="2"/>
          <w:sz w:val="21"/>
          <w:szCs w:val="22"/>
          <w:lang w:bidi="he-IL"/>
        </w:rPr>
        <w:tab/>
      </w:r>
      <w:r>
        <w:rPr>
          <w:rStyle w:val="18"/>
          <w:rFonts w:hint="eastAsia"/>
        </w:rPr>
        <w:t>无源植入物的磁共振（</w:t>
      </w:r>
      <w:r>
        <w:rPr>
          <w:rStyle w:val="18"/>
        </w:rPr>
        <w:t>MR</w:t>
      </w:r>
      <w:r>
        <w:rPr>
          <w:rStyle w:val="18"/>
          <w:rFonts w:hint="eastAsia"/>
        </w:rPr>
        <w:t>）兼容性</w:t>
      </w:r>
      <w:r>
        <w:tab/>
      </w:r>
      <w:r>
        <w:fldChar w:fldCharType="begin"/>
      </w:r>
      <w:r>
        <w:instrText xml:space="preserve"> PAGEREF _Toc97386690 \h </w:instrText>
      </w:r>
      <w:r>
        <w:fldChar w:fldCharType="separate"/>
      </w:r>
      <w:r>
        <w:t>7</w:t>
      </w:r>
      <w:r>
        <w:fldChar w:fldCharType="end"/>
      </w:r>
      <w:r>
        <w:fldChar w:fldCharType="end"/>
      </w:r>
    </w:p>
    <w:p w14:paraId="3BABE839">
      <w:pPr>
        <w:pStyle w:val="12"/>
        <w:rPr>
          <w:rFonts w:asciiTheme="minorHAnsi" w:hAnsiTheme="minorHAnsi" w:eastAsiaTheme="minorEastAsia" w:cstheme="minorBidi"/>
          <w:kern w:val="2"/>
          <w:sz w:val="21"/>
          <w:szCs w:val="22"/>
          <w:lang w:bidi="he-IL"/>
        </w:rPr>
      </w:pPr>
      <w:r>
        <w:fldChar w:fldCharType="begin"/>
      </w:r>
      <w:r>
        <w:instrText xml:space="preserve"> HYPERLINK \l "_Toc97386691" </w:instrText>
      </w:r>
      <w:r>
        <w:fldChar w:fldCharType="separate"/>
      </w:r>
      <w:r>
        <w:rPr>
          <w:rStyle w:val="18"/>
        </w:rPr>
        <w:t>G.</w:t>
      </w:r>
      <w:r>
        <w:rPr>
          <w:rFonts w:asciiTheme="minorHAnsi" w:hAnsiTheme="minorHAnsi" w:eastAsiaTheme="minorEastAsia" w:cstheme="minorBidi"/>
          <w:kern w:val="2"/>
          <w:sz w:val="21"/>
          <w:szCs w:val="22"/>
          <w:lang w:bidi="he-IL"/>
        </w:rPr>
        <w:tab/>
      </w:r>
      <w:r>
        <w:rPr>
          <w:rStyle w:val="18"/>
          <w:rFonts w:hint="eastAsia"/>
        </w:rPr>
        <w:t>非临床实验室试验</w:t>
      </w:r>
      <w:r>
        <w:tab/>
      </w:r>
      <w:r>
        <w:fldChar w:fldCharType="begin"/>
      </w:r>
      <w:r>
        <w:instrText xml:space="preserve"> PAGEREF _Toc97386691 \h </w:instrText>
      </w:r>
      <w:r>
        <w:fldChar w:fldCharType="separate"/>
      </w:r>
      <w:r>
        <w:t>7</w:t>
      </w:r>
      <w:r>
        <w:fldChar w:fldCharType="end"/>
      </w:r>
      <w:r>
        <w:fldChar w:fldCharType="end"/>
      </w:r>
    </w:p>
    <w:p w14:paraId="4CF8A3A1">
      <w:pPr>
        <w:pStyle w:val="6"/>
        <w:rPr>
          <w:rFonts w:asciiTheme="minorHAnsi" w:hAnsiTheme="minorHAnsi" w:cstheme="minorBidi"/>
          <w:kern w:val="2"/>
          <w:sz w:val="21"/>
          <w:szCs w:val="22"/>
          <w:lang w:bidi="he-IL"/>
        </w:rPr>
      </w:pPr>
      <w:r>
        <w:fldChar w:fldCharType="begin"/>
      </w:r>
      <w:r>
        <w:instrText xml:space="preserve"> HYPERLINK \l "_Toc97386692" </w:instrText>
      </w:r>
      <w:r>
        <w:fldChar w:fldCharType="separate"/>
      </w:r>
      <w:r>
        <w:rPr>
          <w:rStyle w:val="18"/>
        </w:rPr>
        <w:t>(1)</w:t>
      </w:r>
      <w:r>
        <w:rPr>
          <w:rFonts w:asciiTheme="minorHAnsi" w:hAnsiTheme="minorHAnsi" w:cstheme="minorBidi"/>
          <w:kern w:val="2"/>
          <w:sz w:val="21"/>
          <w:szCs w:val="22"/>
          <w:lang w:bidi="he-IL"/>
        </w:rPr>
        <w:tab/>
      </w:r>
      <w:r>
        <w:rPr>
          <w:rStyle w:val="18"/>
          <w:rFonts w:hint="eastAsia"/>
        </w:rPr>
        <w:t>支架耐腐蚀性</w:t>
      </w:r>
      <w:r>
        <w:tab/>
      </w:r>
      <w:r>
        <w:fldChar w:fldCharType="begin"/>
      </w:r>
      <w:r>
        <w:instrText xml:space="preserve"> PAGEREF _Toc97386692 \h </w:instrText>
      </w:r>
      <w:r>
        <w:fldChar w:fldCharType="separate"/>
      </w:r>
      <w:r>
        <w:t>8</w:t>
      </w:r>
      <w:r>
        <w:fldChar w:fldCharType="end"/>
      </w:r>
      <w:r>
        <w:fldChar w:fldCharType="end"/>
      </w:r>
    </w:p>
    <w:p w14:paraId="79AA37EB">
      <w:pPr>
        <w:pStyle w:val="6"/>
        <w:rPr>
          <w:rFonts w:asciiTheme="minorHAnsi" w:hAnsiTheme="minorHAnsi" w:cstheme="minorBidi"/>
          <w:kern w:val="2"/>
          <w:sz w:val="21"/>
          <w:szCs w:val="22"/>
          <w:lang w:bidi="he-IL"/>
        </w:rPr>
      </w:pPr>
      <w:r>
        <w:fldChar w:fldCharType="begin"/>
      </w:r>
      <w:r>
        <w:instrText xml:space="preserve"> HYPERLINK \l "_Toc97386693" </w:instrText>
      </w:r>
      <w:r>
        <w:fldChar w:fldCharType="separate"/>
      </w:r>
      <w:r>
        <w:rPr>
          <w:rStyle w:val="18"/>
        </w:rPr>
        <w:t>(2)</w:t>
      </w:r>
      <w:r>
        <w:rPr>
          <w:rFonts w:asciiTheme="minorHAnsi" w:hAnsiTheme="minorHAnsi" w:cstheme="minorBidi"/>
          <w:kern w:val="2"/>
          <w:sz w:val="21"/>
          <w:szCs w:val="22"/>
          <w:lang w:bidi="he-IL"/>
        </w:rPr>
        <w:tab/>
      </w:r>
      <w:r>
        <w:rPr>
          <w:rStyle w:val="18"/>
          <w:rFonts w:hint="eastAsia"/>
        </w:rPr>
        <w:t>支架尺寸和功能属性</w:t>
      </w:r>
      <w:r>
        <w:tab/>
      </w:r>
      <w:r>
        <w:fldChar w:fldCharType="begin"/>
      </w:r>
      <w:r>
        <w:instrText xml:space="preserve"> PAGEREF _Toc97386693 \h </w:instrText>
      </w:r>
      <w:r>
        <w:fldChar w:fldCharType="separate"/>
      </w:r>
      <w:r>
        <w:t>9</w:t>
      </w:r>
      <w:r>
        <w:fldChar w:fldCharType="end"/>
      </w:r>
      <w:r>
        <w:fldChar w:fldCharType="end"/>
      </w:r>
    </w:p>
    <w:p w14:paraId="123029CF">
      <w:pPr>
        <w:pStyle w:val="6"/>
        <w:rPr>
          <w:rFonts w:asciiTheme="minorHAnsi" w:hAnsiTheme="minorHAnsi" w:cstheme="minorBidi"/>
          <w:kern w:val="2"/>
          <w:sz w:val="21"/>
          <w:szCs w:val="22"/>
          <w:lang w:bidi="he-IL"/>
        </w:rPr>
      </w:pPr>
      <w:r>
        <w:fldChar w:fldCharType="begin"/>
      </w:r>
      <w:r>
        <w:instrText xml:space="preserve"> HYPERLINK \l "_Toc97386694" </w:instrText>
      </w:r>
      <w:r>
        <w:fldChar w:fldCharType="separate"/>
      </w:r>
      <w:r>
        <w:rPr>
          <w:rStyle w:val="18"/>
        </w:rPr>
        <w:t>(3)</w:t>
      </w:r>
      <w:r>
        <w:rPr>
          <w:rFonts w:asciiTheme="minorHAnsi" w:hAnsiTheme="minorHAnsi" w:cstheme="minorBidi"/>
          <w:kern w:val="2"/>
          <w:sz w:val="21"/>
          <w:szCs w:val="22"/>
          <w:lang w:bidi="he-IL"/>
        </w:rPr>
        <w:tab/>
      </w:r>
      <w:r>
        <w:rPr>
          <w:rStyle w:val="18"/>
          <w:rFonts w:hint="eastAsia"/>
        </w:rPr>
        <w:t>支架输送系统（</w:t>
      </w:r>
      <w:r>
        <w:rPr>
          <w:rStyle w:val="18"/>
        </w:rPr>
        <w:t>SDS</w:t>
      </w:r>
      <w:r>
        <w:rPr>
          <w:rStyle w:val="18"/>
          <w:rFonts w:hint="eastAsia"/>
        </w:rPr>
        <w:t>）尺寸和功能属性</w:t>
      </w:r>
      <w:r>
        <w:tab/>
      </w:r>
      <w:r>
        <w:fldChar w:fldCharType="begin"/>
      </w:r>
      <w:r>
        <w:instrText xml:space="preserve"> PAGEREF _Toc97386694 \h </w:instrText>
      </w:r>
      <w:r>
        <w:fldChar w:fldCharType="separate"/>
      </w:r>
      <w:r>
        <w:t>12</w:t>
      </w:r>
      <w:r>
        <w:fldChar w:fldCharType="end"/>
      </w:r>
      <w:r>
        <w:fldChar w:fldCharType="end"/>
      </w:r>
    </w:p>
    <w:p w14:paraId="5CC0B25B">
      <w:pPr>
        <w:pStyle w:val="12"/>
        <w:rPr>
          <w:rFonts w:asciiTheme="minorHAnsi" w:hAnsiTheme="minorHAnsi" w:eastAsiaTheme="minorEastAsia" w:cstheme="minorBidi"/>
          <w:kern w:val="2"/>
          <w:sz w:val="21"/>
          <w:szCs w:val="22"/>
          <w:lang w:bidi="he-IL"/>
        </w:rPr>
      </w:pPr>
      <w:r>
        <w:fldChar w:fldCharType="begin"/>
      </w:r>
      <w:r>
        <w:instrText xml:space="preserve"> HYPERLINK \l "_Toc97386695" </w:instrText>
      </w:r>
      <w:r>
        <w:fldChar w:fldCharType="separate"/>
      </w:r>
      <w:r>
        <w:rPr>
          <w:rStyle w:val="18"/>
        </w:rPr>
        <w:t>H.</w:t>
      </w:r>
      <w:r>
        <w:rPr>
          <w:rFonts w:asciiTheme="minorHAnsi" w:hAnsiTheme="minorHAnsi" w:eastAsiaTheme="minorEastAsia" w:cstheme="minorBidi"/>
          <w:kern w:val="2"/>
          <w:sz w:val="21"/>
          <w:szCs w:val="22"/>
          <w:lang w:bidi="he-IL"/>
        </w:rPr>
        <w:tab/>
      </w:r>
      <w:r>
        <w:rPr>
          <w:rStyle w:val="18"/>
          <w:rFonts w:hint="eastAsia"/>
        </w:rPr>
        <w:t>临床性能测试</w:t>
      </w:r>
      <w:r>
        <w:tab/>
      </w:r>
      <w:r>
        <w:fldChar w:fldCharType="begin"/>
      </w:r>
      <w:r>
        <w:instrText xml:space="preserve"> PAGEREF _Toc97386695 \h </w:instrText>
      </w:r>
      <w:r>
        <w:fldChar w:fldCharType="separate"/>
      </w:r>
      <w:r>
        <w:t>17</w:t>
      </w:r>
      <w:r>
        <w:fldChar w:fldCharType="end"/>
      </w:r>
      <w:r>
        <w:fldChar w:fldCharType="end"/>
      </w:r>
    </w:p>
    <w:p w14:paraId="678723D3">
      <w:pPr>
        <w:pStyle w:val="12"/>
        <w:rPr>
          <w:rFonts w:asciiTheme="minorHAnsi" w:hAnsiTheme="minorHAnsi" w:eastAsiaTheme="minorEastAsia" w:cstheme="minorBidi"/>
          <w:kern w:val="2"/>
          <w:sz w:val="21"/>
          <w:szCs w:val="22"/>
          <w:lang w:bidi="he-IL"/>
        </w:rPr>
      </w:pPr>
      <w:r>
        <w:fldChar w:fldCharType="begin"/>
      </w:r>
      <w:r>
        <w:instrText xml:space="preserve"> HYPERLINK \l "_Toc97386696" </w:instrText>
      </w:r>
      <w:r>
        <w:fldChar w:fldCharType="separate"/>
      </w:r>
      <w:r>
        <w:rPr>
          <w:rStyle w:val="18"/>
        </w:rPr>
        <w:t>I.</w:t>
      </w:r>
      <w:r>
        <w:rPr>
          <w:rFonts w:asciiTheme="minorHAnsi" w:hAnsiTheme="minorHAnsi" w:eastAsiaTheme="minorEastAsia" w:cstheme="minorBidi"/>
          <w:kern w:val="2"/>
          <w:sz w:val="21"/>
          <w:szCs w:val="22"/>
          <w:lang w:bidi="he-IL"/>
        </w:rPr>
        <w:tab/>
      </w:r>
      <w:r>
        <w:rPr>
          <w:rStyle w:val="18"/>
          <w:rFonts w:hint="eastAsia"/>
        </w:rPr>
        <w:t>标识</w:t>
      </w:r>
      <w:r>
        <w:tab/>
      </w:r>
      <w:r>
        <w:fldChar w:fldCharType="begin"/>
      </w:r>
      <w:r>
        <w:instrText xml:space="preserve"> PAGEREF _Toc97386696 \h </w:instrText>
      </w:r>
      <w:r>
        <w:fldChar w:fldCharType="separate"/>
      </w:r>
      <w:r>
        <w:t>18</w:t>
      </w:r>
      <w:r>
        <w:fldChar w:fldCharType="end"/>
      </w:r>
      <w:r>
        <w:fldChar w:fldCharType="end"/>
      </w:r>
    </w:p>
    <w:p w14:paraId="46763C87">
      <w:pPr>
        <w:pStyle w:val="6"/>
        <w:rPr>
          <w:rFonts w:asciiTheme="minorHAnsi" w:hAnsiTheme="minorHAnsi" w:cstheme="minorBidi"/>
          <w:kern w:val="2"/>
          <w:sz w:val="21"/>
          <w:szCs w:val="22"/>
          <w:lang w:bidi="he-IL"/>
        </w:rPr>
      </w:pPr>
      <w:r>
        <w:fldChar w:fldCharType="begin"/>
      </w:r>
      <w:r>
        <w:instrText xml:space="preserve"> HYPERLINK \l "_Toc97386697" </w:instrText>
      </w:r>
      <w:r>
        <w:fldChar w:fldCharType="separate"/>
      </w:r>
      <w:r>
        <w:rPr>
          <w:rStyle w:val="18"/>
        </w:rPr>
        <w:t>(1)</w:t>
      </w:r>
      <w:r>
        <w:rPr>
          <w:rFonts w:asciiTheme="minorHAnsi" w:hAnsiTheme="minorHAnsi" w:cstheme="minorBidi"/>
          <w:kern w:val="2"/>
          <w:sz w:val="21"/>
          <w:szCs w:val="22"/>
          <w:lang w:bidi="he-IL"/>
        </w:rPr>
        <w:tab/>
      </w:r>
      <w:r>
        <w:rPr>
          <w:rStyle w:val="18"/>
          <w:rFonts w:hint="eastAsia"/>
        </w:rPr>
        <w:t>通用名和商品名显示</w:t>
      </w:r>
      <w:r>
        <w:tab/>
      </w:r>
      <w:r>
        <w:fldChar w:fldCharType="begin"/>
      </w:r>
      <w:r>
        <w:instrText xml:space="preserve"> PAGEREF _Toc97386697 \h </w:instrText>
      </w:r>
      <w:r>
        <w:fldChar w:fldCharType="separate"/>
      </w:r>
      <w:r>
        <w:t>19</w:t>
      </w:r>
      <w:r>
        <w:fldChar w:fldCharType="end"/>
      </w:r>
      <w:r>
        <w:fldChar w:fldCharType="end"/>
      </w:r>
    </w:p>
    <w:p w14:paraId="40FCEFF1">
      <w:pPr>
        <w:pStyle w:val="6"/>
        <w:rPr>
          <w:rFonts w:asciiTheme="minorHAnsi" w:hAnsiTheme="minorHAnsi" w:cstheme="minorBidi"/>
          <w:kern w:val="2"/>
          <w:sz w:val="21"/>
          <w:szCs w:val="22"/>
          <w:lang w:bidi="he-IL"/>
        </w:rPr>
      </w:pPr>
      <w:r>
        <w:fldChar w:fldCharType="begin"/>
      </w:r>
      <w:r>
        <w:instrText xml:space="preserve"> HYPERLINK \l "_Toc97386698" </w:instrText>
      </w:r>
      <w:r>
        <w:fldChar w:fldCharType="separate"/>
      </w:r>
      <w:r>
        <w:rPr>
          <w:rStyle w:val="18"/>
        </w:rPr>
        <w:t>(2)</w:t>
      </w:r>
      <w:r>
        <w:rPr>
          <w:rFonts w:asciiTheme="minorHAnsi" w:hAnsiTheme="minorHAnsi" w:cstheme="minorBidi"/>
          <w:kern w:val="2"/>
          <w:sz w:val="21"/>
          <w:szCs w:val="22"/>
          <w:lang w:bidi="he-IL"/>
        </w:rPr>
        <w:tab/>
      </w:r>
      <w:r>
        <w:rPr>
          <w:rStyle w:val="18"/>
          <w:rFonts w:hint="eastAsia"/>
        </w:rPr>
        <w:t>器械描述</w:t>
      </w:r>
      <w:r>
        <w:tab/>
      </w:r>
      <w:r>
        <w:fldChar w:fldCharType="begin"/>
      </w:r>
      <w:r>
        <w:instrText xml:space="preserve"> PAGEREF _Toc97386698 \h </w:instrText>
      </w:r>
      <w:r>
        <w:fldChar w:fldCharType="separate"/>
      </w:r>
      <w:r>
        <w:t>19</w:t>
      </w:r>
      <w:r>
        <w:fldChar w:fldCharType="end"/>
      </w:r>
      <w:r>
        <w:fldChar w:fldCharType="end"/>
      </w:r>
    </w:p>
    <w:p w14:paraId="428DD5C7">
      <w:pPr>
        <w:pStyle w:val="6"/>
        <w:rPr>
          <w:rFonts w:asciiTheme="minorHAnsi" w:hAnsiTheme="minorHAnsi" w:cstheme="minorBidi"/>
          <w:kern w:val="2"/>
          <w:sz w:val="21"/>
          <w:szCs w:val="22"/>
          <w:lang w:bidi="he-IL"/>
        </w:rPr>
      </w:pPr>
      <w:r>
        <w:fldChar w:fldCharType="begin"/>
      </w:r>
      <w:r>
        <w:instrText xml:space="preserve"> HYPERLINK \l "_Toc97386699" </w:instrText>
      </w:r>
      <w:r>
        <w:fldChar w:fldCharType="separate"/>
      </w:r>
      <w:r>
        <w:rPr>
          <w:rStyle w:val="18"/>
        </w:rPr>
        <w:t>(3)</w:t>
      </w:r>
      <w:r>
        <w:rPr>
          <w:rFonts w:asciiTheme="minorHAnsi" w:hAnsiTheme="minorHAnsi" w:cstheme="minorBidi"/>
          <w:kern w:val="2"/>
          <w:sz w:val="21"/>
          <w:szCs w:val="22"/>
          <w:lang w:bidi="he-IL"/>
        </w:rPr>
        <w:tab/>
      </w:r>
      <w:r>
        <w:rPr>
          <w:rStyle w:val="18"/>
          <w:rFonts w:hint="eastAsia"/>
        </w:rPr>
        <w:t>禁忌症</w:t>
      </w:r>
      <w:r>
        <w:tab/>
      </w:r>
      <w:r>
        <w:fldChar w:fldCharType="begin"/>
      </w:r>
      <w:r>
        <w:instrText xml:space="preserve"> PAGEREF _Toc97386699 \h </w:instrText>
      </w:r>
      <w:r>
        <w:fldChar w:fldCharType="separate"/>
      </w:r>
      <w:r>
        <w:t>19</w:t>
      </w:r>
      <w:r>
        <w:fldChar w:fldCharType="end"/>
      </w:r>
      <w:r>
        <w:fldChar w:fldCharType="end"/>
      </w:r>
    </w:p>
    <w:p w14:paraId="564F1C57">
      <w:pPr>
        <w:pStyle w:val="6"/>
        <w:rPr>
          <w:rFonts w:asciiTheme="minorHAnsi" w:hAnsiTheme="minorHAnsi" w:cstheme="minorBidi"/>
          <w:kern w:val="2"/>
          <w:sz w:val="21"/>
          <w:szCs w:val="22"/>
          <w:lang w:bidi="he-IL"/>
        </w:rPr>
      </w:pPr>
      <w:r>
        <w:fldChar w:fldCharType="begin"/>
      </w:r>
      <w:r>
        <w:instrText xml:space="preserve"> HYPERLINK \l "_Toc97386700" </w:instrText>
      </w:r>
      <w:r>
        <w:fldChar w:fldCharType="separate"/>
      </w:r>
      <w:r>
        <w:rPr>
          <w:rStyle w:val="18"/>
        </w:rPr>
        <w:t>(4)</w:t>
      </w:r>
      <w:r>
        <w:rPr>
          <w:rFonts w:asciiTheme="minorHAnsi" w:hAnsiTheme="minorHAnsi" w:cstheme="minorBidi"/>
          <w:kern w:val="2"/>
          <w:sz w:val="21"/>
          <w:szCs w:val="22"/>
          <w:lang w:bidi="he-IL"/>
        </w:rPr>
        <w:tab/>
      </w:r>
      <w:r>
        <w:rPr>
          <w:rStyle w:val="18"/>
          <w:rFonts w:hint="eastAsia"/>
        </w:rPr>
        <w:t>警告</w:t>
      </w:r>
      <w:r>
        <w:tab/>
      </w:r>
      <w:r>
        <w:fldChar w:fldCharType="begin"/>
      </w:r>
      <w:r>
        <w:instrText xml:space="preserve"> PAGEREF _Toc97386700 \h </w:instrText>
      </w:r>
      <w:r>
        <w:fldChar w:fldCharType="separate"/>
      </w:r>
      <w:r>
        <w:t>19</w:t>
      </w:r>
      <w:r>
        <w:fldChar w:fldCharType="end"/>
      </w:r>
      <w:r>
        <w:fldChar w:fldCharType="end"/>
      </w:r>
    </w:p>
    <w:p w14:paraId="33FF28C5">
      <w:pPr>
        <w:pStyle w:val="6"/>
        <w:rPr>
          <w:rFonts w:asciiTheme="minorHAnsi" w:hAnsiTheme="minorHAnsi" w:cstheme="minorBidi"/>
          <w:kern w:val="2"/>
          <w:sz w:val="21"/>
          <w:szCs w:val="22"/>
          <w:lang w:bidi="he-IL"/>
        </w:rPr>
      </w:pPr>
      <w:r>
        <w:fldChar w:fldCharType="begin"/>
      </w:r>
      <w:r>
        <w:instrText xml:space="preserve"> HYPERLINK \l "_Toc97386701" </w:instrText>
      </w:r>
      <w:r>
        <w:fldChar w:fldCharType="separate"/>
      </w:r>
      <w:r>
        <w:rPr>
          <w:rStyle w:val="18"/>
        </w:rPr>
        <w:t>(5)</w:t>
      </w:r>
      <w:r>
        <w:rPr>
          <w:rFonts w:asciiTheme="minorHAnsi" w:hAnsiTheme="minorHAnsi" w:cstheme="minorBidi"/>
          <w:kern w:val="2"/>
          <w:sz w:val="21"/>
          <w:szCs w:val="22"/>
          <w:lang w:bidi="he-IL"/>
        </w:rPr>
        <w:tab/>
      </w:r>
      <w:r>
        <w:rPr>
          <w:rStyle w:val="18"/>
          <w:rFonts w:hint="eastAsia"/>
        </w:rPr>
        <w:t>注意事项</w:t>
      </w:r>
      <w:r>
        <w:tab/>
      </w:r>
      <w:r>
        <w:fldChar w:fldCharType="begin"/>
      </w:r>
      <w:r>
        <w:instrText xml:space="preserve"> PAGEREF _Toc97386701 \h </w:instrText>
      </w:r>
      <w:r>
        <w:fldChar w:fldCharType="separate"/>
      </w:r>
      <w:r>
        <w:t>20</w:t>
      </w:r>
      <w:r>
        <w:fldChar w:fldCharType="end"/>
      </w:r>
      <w:r>
        <w:fldChar w:fldCharType="end"/>
      </w:r>
    </w:p>
    <w:p w14:paraId="5ECBEE5F">
      <w:pPr>
        <w:pStyle w:val="6"/>
        <w:rPr>
          <w:rFonts w:asciiTheme="minorHAnsi" w:hAnsiTheme="minorHAnsi" w:cstheme="minorBidi"/>
          <w:kern w:val="2"/>
          <w:sz w:val="21"/>
          <w:szCs w:val="22"/>
          <w:lang w:bidi="he-IL"/>
        </w:rPr>
      </w:pPr>
      <w:r>
        <w:fldChar w:fldCharType="begin"/>
      </w:r>
      <w:r>
        <w:instrText xml:space="preserve"> HYPERLINK \l "_Toc97386702" </w:instrText>
      </w:r>
      <w:r>
        <w:fldChar w:fldCharType="separate"/>
      </w:r>
      <w:r>
        <w:rPr>
          <w:rStyle w:val="18"/>
        </w:rPr>
        <w:t>(6)</w:t>
      </w:r>
      <w:r>
        <w:rPr>
          <w:rFonts w:asciiTheme="minorHAnsi" w:hAnsiTheme="minorHAnsi" w:cstheme="minorBidi"/>
          <w:kern w:val="2"/>
          <w:sz w:val="21"/>
          <w:szCs w:val="22"/>
          <w:lang w:bidi="he-IL"/>
        </w:rPr>
        <w:tab/>
      </w:r>
      <w:r>
        <w:rPr>
          <w:rStyle w:val="18"/>
        </w:rPr>
        <w:t>MRI</w:t>
      </w:r>
      <w:r>
        <w:rPr>
          <w:rStyle w:val="18"/>
          <w:rFonts w:hint="eastAsia"/>
        </w:rPr>
        <w:t>安全信息</w:t>
      </w:r>
      <w:r>
        <w:tab/>
      </w:r>
      <w:r>
        <w:fldChar w:fldCharType="begin"/>
      </w:r>
      <w:r>
        <w:instrText xml:space="preserve"> PAGEREF _Toc97386702 \h </w:instrText>
      </w:r>
      <w:r>
        <w:fldChar w:fldCharType="separate"/>
      </w:r>
      <w:r>
        <w:t>20</w:t>
      </w:r>
      <w:r>
        <w:fldChar w:fldCharType="end"/>
      </w:r>
      <w:r>
        <w:fldChar w:fldCharType="end"/>
      </w:r>
    </w:p>
    <w:p w14:paraId="5084A66D">
      <w:pPr>
        <w:pStyle w:val="6"/>
        <w:rPr>
          <w:rFonts w:asciiTheme="minorHAnsi" w:hAnsiTheme="minorHAnsi" w:cstheme="minorBidi"/>
          <w:kern w:val="2"/>
          <w:sz w:val="21"/>
          <w:szCs w:val="22"/>
          <w:lang w:bidi="he-IL"/>
        </w:rPr>
      </w:pPr>
      <w:r>
        <w:fldChar w:fldCharType="begin"/>
      </w:r>
      <w:r>
        <w:instrText xml:space="preserve"> HYPERLINK \l "_Toc97386703" </w:instrText>
      </w:r>
      <w:r>
        <w:fldChar w:fldCharType="separate"/>
      </w:r>
      <w:r>
        <w:rPr>
          <w:rStyle w:val="18"/>
        </w:rPr>
        <w:t>(7)</w:t>
      </w:r>
      <w:r>
        <w:rPr>
          <w:rFonts w:asciiTheme="minorHAnsi" w:hAnsiTheme="minorHAnsi" w:cstheme="minorBidi"/>
          <w:kern w:val="2"/>
          <w:sz w:val="21"/>
          <w:szCs w:val="22"/>
          <w:lang w:bidi="he-IL"/>
        </w:rPr>
        <w:tab/>
      </w:r>
      <w:r>
        <w:rPr>
          <w:rStyle w:val="18"/>
          <w:rFonts w:hint="eastAsia"/>
        </w:rPr>
        <w:t>临床研究概述</w:t>
      </w:r>
      <w:r>
        <w:tab/>
      </w:r>
      <w:r>
        <w:fldChar w:fldCharType="begin"/>
      </w:r>
      <w:r>
        <w:instrText xml:space="preserve"> PAGEREF _Toc97386703 \h </w:instrText>
      </w:r>
      <w:r>
        <w:fldChar w:fldCharType="separate"/>
      </w:r>
      <w:r>
        <w:t>21</w:t>
      </w:r>
      <w:r>
        <w:fldChar w:fldCharType="end"/>
      </w:r>
      <w:r>
        <w:fldChar w:fldCharType="end"/>
      </w:r>
    </w:p>
    <w:p w14:paraId="0BF17D5E">
      <w:pPr>
        <w:pStyle w:val="6"/>
        <w:rPr>
          <w:rFonts w:asciiTheme="minorHAnsi" w:hAnsiTheme="minorHAnsi" w:cstheme="minorBidi"/>
          <w:kern w:val="2"/>
          <w:sz w:val="21"/>
          <w:szCs w:val="22"/>
          <w:lang w:bidi="he-IL"/>
        </w:rPr>
      </w:pPr>
      <w:r>
        <w:fldChar w:fldCharType="begin"/>
      </w:r>
      <w:r>
        <w:instrText xml:space="preserve"> HYPERLINK \l "_Toc97386704" </w:instrText>
      </w:r>
      <w:r>
        <w:fldChar w:fldCharType="separate"/>
      </w:r>
      <w:r>
        <w:rPr>
          <w:rStyle w:val="18"/>
        </w:rPr>
        <w:t>(8)</w:t>
      </w:r>
      <w:r>
        <w:rPr>
          <w:rFonts w:asciiTheme="minorHAnsi" w:hAnsiTheme="minorHAnsi" w:cstheme="minorBidi"/>
          <w:kern w:val="2"/>
          <w:sz w:val="21"/>
          <w:szCs w:val="22"/>
          <w:lang w:bidi="he-IL"/>
        </w:rPr>
        <w:tab/>
      </w:r>
      <w:r>
        <w:rPr>
          <w:rStyle w:val="18"/>
          <w:rFonts w:hint="eastAsia"/>
        </w:rPr>
        <w:t>潜在不良事件</w:t>
      </w:r>
      <w:r>
        <w:tab/>
      </w:r>
      <w:r>
        <w:fldChar w:fldCharType="begin"/>
      </w:r>
      <w:r>
        <w:instrText xml:space="preserve"> PAGEREF _Toc97386704 \h </w:instrText>
      </w:r>
      <w:r>
        <w:fldChar w:fldCharType="separate"/>
      </w:r>
      <w:r>
        <w:t>21</w:t>
      </w:r>
      <w:r>
        <w:fldChar w:fldCharType="end"/>
      </w:r>
      <w:r>
        <w:fldChar w:fldCharType="end"/>
      </w:r>
    </w:p>
    <w:p w14:paraId="4A63237D">
      <w:pPr>
        <w:pStyle w:val="6"/>
        <w:rPr>
          <w:rFonts w:asciiTheme="minorHAnsi" w:hAnsiTheme="minorHAnsi" w:cstheme="minorBidi"/>
          <w:kern w:val="2"/>
          <w:sz w:val="21"/>
          <w:szCs w:val="22"/>
          <w:lang w:bidi="he-IL"/>
        </w:rPr>
      </w:pPr>
      <w:r>
        <w:fldChar w:fldCharType="begin"/>
      </w:r>
      <w:r>
        <w:instrText xml:space="preserve"> HYPERLINK \l "_Toc97386705" </w:instrText>
      </w:r>
      <w:r>
        <w:fldChar w:fldCharType="separate"/>
      </w:r>
      <w:r>
        <w:rPr>
          <w:rStyle w:val="18"/>
        </w:rPr>
        <w:t>(9)</w:t>
      </w:r>
      <w:r>
        <w:rPr>
          <w:rFonts w:asciiTheme="minorHAnsi" w:hAnsiTheme="minorHAnsi" w:cstheme="minorBidi"/>
          <w:kern w:val="2"/>
          <w:sz w:val="21"/>
          <w:szCs w:val="22"/>
          <w:lang w:bidi="he-IL"/>
        </w:rPr>
        <w:tab/>
      </w:r>
      <w:r>
        <w:rPr>
          <w:rStyle w:val="18"/>
          <w:rFonts w:hint="eastAsia"/>
        </w:rPr>
        <w:t>使用说明</w:t>
      </w:r>
      <w:r>
        <w:tab/>
      </w:r>
      <w:r>
        <w:fldChar w:fldCharType="begin"/>
      </w:r>
      <w:r>
        <w:instrText xml:space="preserve"> PAGEREF _Toc97386705 \h </w:instrText>
      </w:r>
      <w:r>
        <w:fldChar w:fldCharType="separate"/>
      </w:r>
      <w:r>
        <w:t>21</w:t>
      </w:r>
      <w:r>
        <w:fldChar w:fldCharType="end"/>
      </w:r>
      <w:r>
        <w:fldChar w:fldCharType="end"/>
      </w:r>
    </w:p>
    <w:p w14:paraId="58554FEB">
      <w:pPr>
        <w:pStyle w:val="6"/>
        <w:rPr>
          <w:rFonts w:asciiTheme="minorHAnsi" w:hAnsiTheme="minorHAnsi" w:cstheme="minorBidi"/>
          <w:kern w:val="2"/>
          <w:sz w:val="21"/>
          <w:szCs w:val="22"/>
          <w:lang w:bidi="he-IL"/>
        </w:rPr>
      </w:pPr>
      <w:r>
        <w:fldChar w:fldCharType="begin"/>
      </w:r>
      <w:r>
        <w:instrText xml:space="preserve"> HYPERLINK \l "_Toc97386706" </w:instrText>
      </w:r>
      <w:r>
        <w:fldChar w:fldCharType="separate"/>
      </w:r>
      <w:r>
        <w:rPr>
          <w:rStyle w:val="18"/>
        </w:rPr>
        <w:t>(10)</w:t>
      </w:r>
      <w:r>
        <w:rPr>
          <w:rFonts w:asciiTheme="minorHAnsi" w:hAnsiTheme="minorHAnsi" w:cstheme="minorBidi"/>
          <w:kern w:val="2"/>
          <w:sz w:val="21"/>
          <w:szCs w:val="22"/>
          <w:lang w:bidi="he-IL"/>
        </w:rPr>
        <w:tab/>
      </w:r>
      <w:r>
        <w:rPr>
          <w:rStyle w:val="18"/>
          <w:rFonts w:hint="eastAsia"/>
        </w:rPr>
        <w:t>患者标签</w:t>
      </w:r>
      <w:r>
        <w:tab/>
      </w:r>
      <w:r>
        <w:fldChar w:fldCharType="begin"/>
      </w:r>
      <w:r>
        <w:instrText xml:space="preserve"> PAGEREF _Toc97386706 \h </w:instrText>
      </w:r>
      <w:r>
        <w:fldChar w:fldCharType="separate"/>
      </w:r>
      <w:r>
        <w:t>22</w:t>
      </w:r>
      <w:r>
        <w:fldChar w:fldCharType="end"/>
      </w:r>
      <w:r>
        <w:fldChar w:fldCharType="end"/>
      </w:r>
    </w:p>
    <w:p w14:paraId="5BE7DE95">
      <w:pPr>
        <w:pStyle w:val="10"/>
        <w:rPr>
          <w:rFonts w:asciiTheme="minorHAnsi" w:hAnsiTheme="minorHAnsi" w:eastAsiaTheme="minorEastAsia" w:cstheme="minorBidi"/>
          <w:kern w:val="2"/>
          <w:sz w:val="21"/>
          <w:szCs w:val="22"/>
          <w:lang w:bidi="he-IL"/>
        </w:rPr>
      </w:pPr>
      <w:r>
        <w:fldChar w:fldCharType="begin"/>
      </w:r>
      <w:r>
        <w:instrText xml:space="preserve"> HYPERLINK \l "_Toc97386707" </w:instrText>
      </w:r>
      <w:r>
        <w:fldChar w:fldCharType="separate"/>
      </w:r>
      <w:r>
        <w:rPr>
          <w:rStyle w:val="18"/>
          <w:rFonts w:hint="eastAsia"/>
        </w:rPr>
        <w:t>附录</w:t>
      </w:r>
      <w:r>
        <w:rPr>
          <w:rStyle w:val="18"/>
        </w:rPr>
        <w:t>A</w:t>
      </w:r>
      <w:r>
        <w:rPr>
          <w:rStyle w:val="18"/>
          <w:rFonts w:hint="eastAsia"/>
        </w:rPr>
        <w:t>：</w:t>
      </w:r>
      <w:r>
        <w:rPr>
          <w:rFonts w:asciiTheme="minorHAnsi" w:hAnsiTheme="minorHAnsi" w:eastAsiaTheme="minorEastAsia" w:cstheme="minorBidi"/>
          <w:kern w:val="2"/>
          <w:sz w:val="21"/>
          <w:szCs w:val="22"/>
          <w:lang w:bidi="he-IL"/>
        </w:rPr>
        <w:tab/>
      </w:r>
      <w:r>
        <w:rPr>
          <w:rStyle w:val="18"/>
          <w:rFonts w:hint="eastAsia"/>
        </w:rPr>
        <w:t>测试总结表示例</w:t>
      </w:r>
      <w:r>
        <w:tab/>
      </w:r>
      <w:r>
        <w:fldChar w:fldCharType="begin"/>
      </w:r>
      <w:r>
        <w:instrText xml:space="preserve"> PAGEREF _Toc97386707 \h </w:instrText>
      </w:r>
      <w:r>
        <w:fldChar w:fldCharType="separate"/>
      </w:r>
      <w:r>
        <w:t>23</w:t>
      </w:r>
      <w:r>
        <w:fldChar w:fldCharType="end"/>
      </w:r>
      <w:r>
        <w:fldChar w:fldCharType="end"/>
      </w:r>
    </w:p>
    <w:p w14:paraId="37CC1C63">
      <w:pPr>
        <w:shd w:val="clear" w:color="auto" w:fill="FFFFFF"/>
        <w:topLinePunct/>
        <w:autoSpaceDE/>
        <w:autoSpaceDN/>
        <w:adjustRightInd/>
        <w:jc w:val="both"/>
        <w:rPr>
          <w:rFonts w:eastAsia="宋体"/>
          <w:b/>
          <w:bCs/>
          <w:color w:val="000000"/>
          <w:sz w:val="24"/>
          <w:szCs w:val="24"/>
        </w:rPr>
        <w:sectPr>
          <w:headerReference r:id="rId4" w:type="default"/>
          <w:type w:val="nextColumn"/>
          <w:pgSz w:w="11909" w:h="16834"/>
          <w:pgMar w:top="1134" w:right="1134" w:bottom="1134" w:left="1418" w:header="567" w:footer="567" w:gutter="0"/>
          <w:cols w:space="60" w:num="1"/>
          <w:docGrid w:type="lines" w:linePitch="364" w:charSpace="0"/>
        </w:sectPr>
      </w:pPr>
      <w:r>
        <w:rPr>
          <w:rFonts w:eastAsia="宋体"/>
          <w:sz w:val="24"/>
          <w:szCs w:val="24"/>
        </w:rPr>
        <w:fldChar w:fldCharType="end"/>
      </w:r>
    </w:p>
    <w:p w14:paraId="2C69DF41">
      <w:pPr>
        <w:pBdr>
          <w:bottom w:val="single" w:color="auto" w:sz="4" w:space="1"/>
        </w:pBdr>
        <w:shd w:val="clear" w:color="auto" w:fill="FFFFFF"/>
        <w:topLinePunct/>
        <w:autoSpaceDE/>
        <w:autoSpaceDN/>
        <w:adjustRightInd/>
        <w:jc w:val="center"/>
        <w:rPr>
          <w:rFonts w:eastAsia="宋体"/>
          <w:sz w:val="44"/>
          <w:szCs w:val="44"/>
        </w:rPr>
      </w:pPr>
      <w:r>
        <w:rPr>
          <w:rFonts w:eastAsia="宋体"/>
          <w:b/>
          <w:color w:val="000000"/>
          <w:sz w:val="44"/>
          <w:szCs w:val="44"/>
        </w:rPr>
        <w:t xml:space="preserve">自膨式金属胆道支架 - </w:t>
      </w:r>
      <w:r>
        <w:rPr>
          <w:rFonts w:hint="eastAsia" w:eastAsia="宋体"/>
          <w:b/>
          <w:color w:val="000000"/>
          <w:sz w:val="44"/>
          <w:szCs w:val="44"/>
        </w:rPr>
        <w:br w:type="textWrapping"/>
      </w:r>
      <w:r>
        <w:rPr>
          <w:rFonts w:eastAsia="宋体"/>
          <w:b/>
          <w:color w:val="000000"/>
          <w:sz w:val="44"/>
          <w:szCs w:val="44"/>
        </w:rPr>
        <w:t>上市前通知（510(k)）申请</w:t>
      </w:r>
    </w:p>
    <w:p w14:paraId="74A6798E">
      <w:pPr>
        <w:shd w:val="clear" w:color="auto" w:fill="FFFFFF"/>
        <w:topLinePunct/>
        <w:autoSpaceDE/>
        <w:autoSpaceDN/>
        <w:adjustRightInd/>
        <w:jc w:val="center"/>
        <w:rPr>
          <w:rFonts w:eastAsia="宋体"/>
          <w:sz w:val="44"/>
          <w:szCs w:val="44"/>
        </w:rPr>
      </w:pPr>
      <w:r>
        <w:rPr>
          <w:rFonts w:eastAsia="宋体"/>
          <w:b/>
          <w:color w:val="000000"/>
          <w:sz w:val="44"/>
          <w:szCs w:val="44"/>
        </w:rPr>
        <w:t>行业和美国食品药品监督管理局工作人员指南</w:t>
      </w:r>
    </w:p>
    <w:p w14:paraId="3355112C"/>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289"/>
      </w:tblGrid>
      <w:tr w14:paraId="5277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289" w:type="dxa"/>
            <w:tcBorders>
              <w:top w:val="thinThickThinSmallGap" w:color="auto" w:sz="18" w:space="0"/>
              <w:left w:val="thinThickThinSmallGap" w:color="auto" w:sz="18" w:space="0"/>
              <w:bottom w:val="thinThickThinSmallGap" w:color="auto" w:sz="18" w:space="0"/>
              <w:right w:val="thinThickThinSmallGap" w:color="auto" w:sz="18" w:space="0"/>
            </w:tcBorders>
          </w:tcPr>
          <w:p w14:paraId="31923E96">
            <w:pPr>
              <w:shd w:val="clear" w:color="auto" w:fill="FFFFFF"/>
              <w:topLinePunct/>
              <w:autoSpaceDE/>
              <w:autoSpaceDN/>
              <w:adjustRightInd/>
              <w:ind w:left="42" w:leftChars="21" w:right="104" w:rightChars="52" w:firstLine="422" w:firstLineChars="200"/>
              <w:jc w:val="both"/>
              <w:rPr>
                <w:rFonts w:eastAsia="宋体"/>
                <w:sz w:val="21"/>
                <w:szCs w:val="21"/>
              </w:rPr>
            </w:pPr>
            <w:r>
              <w:rPr>
                <w:rFonts w:eastAsia="宋体"/>
                <w:b/>
                <w:i/>
                <w:color w:val="000000"/>
                <w:sz w:val="21"/>
                <w:szCs w:val="21"/>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5BDA36B8">
      <w:pPr>
        <w:pStyle w:val="2"/>
        <w:spacing w:before="0" w:beforeLines="0" w:line="240" w:lineRule="auto"/>
        <w:ind w:left="851" w:hanging="851" w:hangingChars="265"/>
        <w:rPr>
          <w:szCs w:val="32"/>
        </w:rPr>
      </w:pPr>
      <w:bookmarkStart w:id="0" w:name="_Toc97386378"/>
      <w:bookmarkStart w:id="1" w:name="_Toc97386680"/>
      <w:r>
        <w:rPr>
          <w:szCs w:val="32"/>
        </w:rPr>
        <w:t>I.</w:t>
      </w:r>
      <w:r>
        <w:rPr>
          <w:szCs w:val="32"/>
        </w:rPr>
        <w:tab/>
      </w:r>
      <w:r>
        <w:rPr>
          <w:szCs w:val="32"/>
        </w:rPr>
        <w:t>引言</w:t>
      </w:r>
      <w:bookmarkEnd w:id="0"/>
      <w:bookmarkEnd w:id="1"/>
    </w:p>
    <w:p w14:paraId="5D722A4D">
      <w:pPr>
        <w:shd w:val="clear" w:color="auto" w:fill="FFFFFF"/>
        <w:topLinePunct/>
        <w:autoSpaceDE/>
        <w:autoSpaceDN/>
        <w:adjustRightInd/>
        <w:ind w:firstLine="480" w:firstLineChars="200"/>
        <w:jc w:val="both"/>
        <w:rPr>
          <w:rFonts w:eastAsia="宋体"/>
          <w:sz w:val="24"/>
          <w:szCs w:val="24"/>
        </w:rPr>
      </w:pPr>
      <w:r>
        <w:rPr>
          <w:rFonts w:eastAsia="宋体"/>
          <w:sz w:val="24"/>
          <w:szCs w:val="24"/>
        </w:rPr>
        <w:t>本指南文件提供了关于自膨式金属胆道支架及相关输送系统的510(k)申请建议。</w:t>
      </w:r>
      <w:r>
        <w:rPr>
          <w:rFonts w:eastAsia="宋体"/>
          <w:color w:val="000000"/>
          <w:sz w:val="24"/>
          <w:szCs w:val="24"/>
        </w:rPr>
        <w:t>这些器械旨在提供胆道系统管腔的通畅性，以缓解恶性狭窄。FDA已更新本指南以反映当前审查规范。</w:t>
      </w:r>
    </w:p>
    <w:p w14:paraId="3EF2C4FC">
      <w:pPr>
        <w:shd w:val="clear" w:color="auto" w:fill="FFFFFF"/>
        <w:topLinePunct/>
        <w:autoSpaceDE/>
        <w:autoSpaceDN/>
        <w:adjustRightInd/>
        <w:ind w:firstLine="480" w:firstLineChars="200"/>
        <w:jc w:val="both"/>
        <w:rPr>
          <w:rFonts w:eastAsia="宋体"/>
          <w:sz w:val="24"/>
          <w:szCs w:val="24"/>
        </w:rPr>
      </w:pPr>
    </w:p>
    <w:p w14:paraId="7FCDB6AB">
      <w:pPr>
        <w:shd w:val="clear" w:color="auto" w:fill="FFFFFF"/>
        <w:topLinePunct/>
        <w:autoSpaceDE/>
        <w:autoSpaceDN/>
        <w:adjustRightInd/>
        <w:ind w:firstLine="480" w:firstLineChars="200"/>
        <w:jc w:val="both"/>
        <w:rPr>
          <w:rFonts w:eastAsia="宋体"/>
          <w:sz w:val="24"/>
          <w:szCs w:val="24"/>
        </w:rPr>
      </w:pPr>
      <w:r>
        <w:rPr>
          <w:rFonts w:eastAsia="宋体"/>
          <w:sz w:val="24"/>
          <w:szCs w:val="24"/>
        </w:rPr>
        <w:t>关于本文件中提到的FDA认可标准的最新版本，请参阅</w:t>
      </w:r>
      <w:r>
        <w:rPr>
          <w:rFonts w:eastAsia="宋体"/>
          <w:color w:val="0000FF"/>
          <w:sz w:val="24"/>
          <w:szCs w:val="24"/>
          <w:u w:val="single"/>
        </w:rPr>
        <w:t>FDA认可共识标准数据库</w:t>
      </w:r>
      <w:r>
        <w:rPr>
          <w:rFonts w:eastAsia="宋体"/>
          <w:sz w:val="24"/>
          <w:szCs w:val="24"/>
        </w:rPr>
        <w:t>。 </w:t>
      </w:r>
      <w:r>
        <w:rPr>
          <w:rStyle w:val="20"/>
          <w:rFonts w:eastAsia="宋体"/>
          <w:sz w:val="24"/>
          <w:szCs w:val="24"/>
        </w:rPr>
        <w:footnoteReference w:id="0"/>
      </w:r>
      <w:r>
        <w:rPr>
          <w:rFonts w:eastAsia="宋体"/>
          <w:sz w:val="24"/>
          <w:szCs w:val="24"/>
        </w:rPr>
        <w:t>有关在监管提交文件中使用共识标准的更多信息，请参阅FDA题为《</w:t>
      </w:r>
      <w:r>
        <w:rPr>
          <w:rFonts w:eastAsia="宋体"/>
          <w:color w:val="0000FF"/>
          <w:sz w:val="24"/>
          <w:szCs w:val="24"/>
          <w:u w:val="single"/>
        </w:rPr>
        <w:t>医疗器械上市前申请中适当使用自愿共识标准</w:t>
      </w:r>
      <w:r>
        <w:rPr>
          <w:rFonts w:eastAsia="宋体"/>
          <w:sz w:val="24"/>
          <w:szCs w:val="24"/>
        </w:rPr>
        <w:t>》</w:t>
      </w:r>
      <w:r>
        <w:rPr>
          <w:rStyle w:val="20"/>
          <w:rFonts w:eastAsia="宋体"/>
          <w:sz w:val="24"/>
          <w:szCs w:val="24"/>
        </w:rPr>
        <w:footnoteReference w:id="1"/>
      </w:r>
      <w:r>
        <w:rPr>
          <w:rFonts w:eastAsia="宋体"/>
          <w:sz w:val="24"/>
          <w:szCs w:val="24"/>
        </w:rPr>
        <w:t>的指南。</w:t>
      </w:r>
    </w:p>
    <w:p w14:paraId="027BDEA7">
      <w:pPr>
        <w:shd w:val="clear" w:color="auto" w:fill="FFFFFF"/>
        <w:topLinePunct/>
        <w:autoSpaceDE/>
        <w:autoSpaceDN/>
        <w:adjustRightInd/>
        <w:ind w:firstLine="480" w:firstLineChars="200"/>
        <w:jc w:val="both"/>
        <w:rPr>
          <w:rFonts w:eastAsia="宋体"/>
          <w:color w:val="000000"/>
          <w:sz w:val="24"/>
          <w:szCs w:val="24"/>
        </w:rPr>
      </w:pPr>
    </w:p>
    <w:p w14:paraId="11E5B124">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FDA指导性文件，包括本指南在内，不具有法律强制责任。相反，指南表明了该机构目前关于该主题的思考，除非引用具体的法规或法律要求，否则只应视为建议。FDA指南中使用的</w:t>
      </w:r>
      <w:r>
        <w:rPr>
          <w:rFonts w:ascii="宋体" w:hAnsi="宋体" w:eastAsia="宋体"/>
          <w:color w:val="000000"/>
          <w:sz w:val="24"/>
          <w:szCs w:val="24"/>
        </w:rPr>
        <w:t>“</w:t>
      </w:r>
      <w:r>
        <w:rPr>
          <w:rFonts w:eastAsia="宋体"/>
          <w:i/>
          <w:iCs/>
          <w:color w:val="000000"/>
          <w:sz w:val="24"/>
          <w:szCs w:val="24"/>
        </w:rPr>
        <w:t>应</w:t>
      </w:r>
      <w:r>
        <w:rPr>
          <w:rFonts w:ascii="宋体" w:hAnsi="宋体" w:eastAsia="宋体"/>
          <w:color w:val="000000"/>
          <w:sz w:val="24"/>
          <w:szCs w:val="24"/>
        </w:rPr>
        <w:t>”</w:t>
      </w:r>
      <w:r>
        <w:rPr>
          <w:rFonts w:eastAsia="宋体"/>
          <w:color w:val="000000"/>
          <w:sz w:val="24"/>
          <w:szCs w:val="24"/>
        </w:rPr>
        <w:t>一词是指建议或推荐进行某一事项，并非强制要求</w:t>
      </w:r>
      <w:r>
        <w:rPr>
          <w:rFonts w:eastAsia="宋体"/>
          <w:sz w:val="24"/>
          <w:szCs w:val="24"/>
        </w:rPr>
        <w:t>。</w:t>
      </w:r>
    </w:p>
    <w:p w14:paraId="4BFFE37B">
      <w:pPr>
        <w:shd w:val="clear" w:color="auto" w:fill="FFFFFF"/>
        <w:topLinePunct/>
        <w:autoSpaceDE/>
        <w:autoSpaceDN/>
        <w:adjustRightInd/>
        <w:ind w:firstLine="480" w:firstLineChars="200"/>
        <w:jc w:val="both"/>
        <w:rPr>
          <w:rFonts w:eastAsia="宋体"/>
          <w:color w:val="000000"/>
          <w:sz w:val="24"/>
          <w:szCs w:val="24"/>
        </w:rPr>
      </w:pPr>
    </w:p>
    <w:p w14:paraId="33C95EA9">
      <w:pPr>
        <w:pStyle w:val="2"/>
        <w:spacing w:before="0" w:beforeLines="0" w:line="240" w:lineRule="auto"/>
        <w:ind w:left="851" w:hanging="851" w:hangingChars="265"/>
        <w:rPr>
          <w:szCs w:val="32"/>
        </w:rPr>
      </w:pPr>
      <w:bookmarkStart w:id="2" w:name="_Toc97386379"/>
      <w:bookmarkStart w:id="3" w:name="_Toc97386681"/>
      <w:r>
        <w:rPr>
          <w:szCs w:val="32"/>
        </w:rPr>
        <w:t>II.</w:t>
      </w:r>
      <w:r>
        <w:rPr>
          <w:szCs w:val="32"/>
        </w:rPr>
        <w:tab/>
      </w:r>
      <w:r>
        <w:rPr>
          <w:szCs w:val="32"/>
        </w:rPr>
        <w:t>背景</w:t>
      </w:r>
      <w:bookmarkEnd w:id="2"/>
      <w:bookmarkEnd w:id="3"/>
    </w:p>
    <w:p w14:paraId="2C5EDD55">
      <w:pPr>
        <w:widowControl/>
        <w:autoSpaceDE/>
        <w:autoSpaceDN/>
        <w:adjustRightInd/>
        <w:rPr>
          <w:rFonts w:eastAsia="宋体"/>
          <w:sz w:val="24"/>
          <w:szCs w:val="24"/>
        </w:rPr>
      </w:pPr>
    </w:p>
    <w:p w14:paraId="6D3CAE84">
      <w:pPr>
        <w:widowControl/>
        <w:autoSpaceDE/>
        <w:autoSpaceDN/>
        <w:adjustRightInd/>
        <w:rPr>
          <w:rFonts w:eastAsia="宋体"/>
          <w:sz w:val="24"/>
          <w:szCs w:val="24"/>
        </w:rPr>
        <w:sectPr>
          <w:headerReference r:id="rId5" w:type="default"/>
          <w:footerReference r:id="rId6" w:type="default"/>
          <w:type w:val="nextColumn"/>
          <w:pgSz w:w="11909" w:h="16834"/>
          <w:pgMar w:top="1134" w:right="1134" w:bottom="1134" w:left="1418" w:header="567" w:footer="567" w:gutter="0"/>
          <w:pgNumType w:start="1"/>
          <w:cols w:space="60" w:num="1"/>
          <w:docGrid w:type="lines" w:linePitch="364" w:charSpace="0"/>
        </w:sectPr>
      </w:pPr>
    </w:p>
    <w:p w14:paraId="4E5DBF46">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自1998年以来，FDA根据《联邦食品、药品和化妆品法案》（《FD&amp;C法案》）第513(i)(1)(E)节，对胆道支架的实质等同性判定进行了限制。就各情况而言，FDA确定（在合理可能的情况下）将在血管系统中使用该器械，这是申报器械标签中未确定的预期用途，并且此类使用可能造成伤害。这是由于缺乏关于血管系统中使用胆道支架的安全性和有效性数据，包括临床数据。这包括针对血管中使用支架的安全性（失效模式）和有效性问题，这些问题在胆道应用中没有得到评估，例如，血管再狭窄、跨关节放置的支架发生断裂以及长期疲劳试验。虽然金属支架后来被批准用于特定的心血管适应症，但FDA仍对胆道支架用于血管应用的安全性和有效性表示担忧，除非通过单独的上市前批准申请该器械还批准用于血管适应症。因此，在大多数情况下，FDA仍对胆道支架的实质等同性判定进行限制（参见</w:t>
      </w:r>
      <w:r>
        <w:rPr>
          <w:rFonts w:eastAsia="宋体"/>
          <w:b/>
          <w:color w:val="000000"/>
          <w:sz w:val="24"/>
          <w:szCs w:val="24"/>
        </w:rPr>
        <w:t>第V.I（1）节</w:t>
      </w:r>
      <w:r>
        <w:rPr>
          <w:rFonts w:eastAsia="宋体"/>
          <w:sz w:val="24"/>
          <w:szCs w:val="24"/>
        </w:rPr>
        <w:t>通用名和商品名显示和</w:t>
      </w:r>
      <w:r>
        <w:rPr>
          <w:rFonts w:eastAsia="宋体"/>
          <w:b/>
          <w:sz w:val="24"/>
          <w:szCs w:val="24"/>
        </w:rPr>
        <w:t>V.I（4）</w:t>
      </w:r>
      <w:r>
        <w:rPr>
          <w:rFonts w:eastAsia="宋体"/>
          <w:sz w:val="24"/>
          <w:szCs w:val="24"/>
        </w:rPr>
        <w:t>节警告），且胆道支架（包括支架输送系统）的修改不符合特殊510(k)范例下的审查条件。</w:t>
      </w:r>
    </w:p>
    <w:p w14:paraId="779B6CB5">
      <w:pPr>
        <w:shd w:val="clear" w:color="auto" w:fill="FFFFFF"/>
        <w:topLinePunct/>
        <w:autoSpaceDE/>
        <w:autoSpaceDN/>
        <w:adjustRightInd/>
        <w:ind w:firstLine="480" w:firstLineChars="200"/>
        <w:jc w:val="both"/>
        <w:rPr>
          <w:rFonts w:eastAsia="宋体"/>
          <w:color w:val="000000"/>
          <w:sz w:val="24"/>
          <w:szCs w:val="24"/>
        </w:rPr>
      </w:pPr>
    </w:p>
    <w:p w14:paraId="7D7FBF83">
      <w:pPr>
        <w:shd w:val="clear" w:color="auto" w:fill="FFFFFF"/>
        <w:topLinePunct/>
        <w:autoSpaceDE/>
        <w:autoSpaceDN/>
        <w:adjustRightInd/>
        <w:ind w:firstLine="480" w:firstLineChars="200"/>
        <w:jc w:val="both"/>
        <w:rPr>
          <w:rFonts w:eastAsia="宋体"/>
          <w:color w:val="000000" w:themeColor="text1"/>
          <w:sz w:val="24"/>
          <w:szCs w:val="24"/>
          <w:vertAlign w:val="superscript"/>
          <w14:textFill>
            <w14:solidFill>
              <w14:schemeClr w14:val="tx1"/>
            </w14:solidFill>
          </w14:textFill>
        </w:rPr>
      </w:pPr>
      <w:r>
        <w:rPr>
          <w:rFonts w:eastAsia="宋体"/>
          <w:color w:val="000000"/>
          <w:sz w:val="24"/>
          <w:szCs w:val="24"/>
        </w:rPr>
        <w:t>本文件对其他FDA上市前通知申请（510(k)）中的具体要求文件进行了补充。</w:t>
      </w:r>
      <w:r>
        <w:rPr>
          <w:rFonts w:eastAsia="宋体"/>
          <w:sz w:val="24"/>
          <w:szCs w:val="24"/>
        </w:rPr>
        <w:t>也可参见21 CFR 807.87和FDA指南《</w:t>
      </w:r>
      <w:r>
        <w:rPr>
          <w:rFonts w:eastAsia="宋体"/>
          <w:color w:val="3333FF"/>
          <w:sz w:val="24"/>
          <w:szCs w:val="24"/>
          <w:u w:val="single"/>
        </w:rPr>
        <w:t>传统和简化510(k)的格式</w:t>
      </w:r>
      <w:r>
        <w:rPr>
          <w:rFonts w:eastAsia="宋体"/>
          <w:sz w:val="24"/>
          <w:szCs w:val="24"/>
        </w:rPr>
        <w:t>》。</w:t>
      </w:r>
      <w:r>
        <w:rPr>
          <w:rStyle w:val="20"/>
          <w:rFonts w:eastAsia="宋体"/>
          <w:sz w:val="24"/>
          <w:szCs w:val="24"/>
        </w:rPr>
        <w:footnoteReference w:id="2"/>
      </w:r>
    </w:p>
    <w:p w14:paraId="20A66613">
      <w:pPr>
        <w:shd w:val="clear" w:color="auto" w:fill="FFFFFF"/>
        <w:topLinePunct/>
        <w:autoSpaceDE/>
        <w:autoSpaceDN/>
        <w:adjustRightInd/>
        <w:ind w:firstLine="480" w:firstLineChars="200"/>
        <w:jc w:val="both"/>
        <w:rPr>
          <w:rFonts w:eastAsia="宋体"/>
          <w:color w:val="3333FF"/>
          <w:sz w:val="24"/>
          <w:szCs w:val="24"/>
        </w:rPr>
      </w:pPr>
    </w:p>
    <w:p w14:paraId="28E2F1B0">
      <w:pPr>
        <w:pStyle w:val="2"/>
        <w:spacing w:before="0" w:beforeLines="0" w:line="240" w:lineRule="auto"/>
        <w:ind w:left="851" w:hanging="851" w:hangingChars="265"/>
        <w:rPr>
          <w:szCs w:val="32"/>
        </w:rPr>
      </w:pPr>
      <w:bookmarkStart w:id="4" w:name="_Toc97386682"/>
      <w:bookmarkStart w:id="5" w:name="_Toc97386380"/>
      <w:r>
        <w:rPr>
          <w:szCs w:val="32"/>
        </w:rPr>
        <w:t>III.</w:t>
      </w:r>
      <w:r>
        <w:rPr>
          <w:szCs w:val="32"/>
        </w:rPr>
        <w:tab/>
      </w:r>
      <w:r>
        <w:rPr>
          <w:szCs w:val="32"/>
        </w:rPr>
        <w:t>范围</w:t>
      </w:r>
      <w:bookmarkEnd w:id="4"/>
      <w:bookmarkEnd w:id="5"/>
    </w:p>
    <w:p w14:paraId="255EB266">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本指南的范围仅限于21 CFR 876.5010（胆道导管和附件）下规定的、产品代码为FGE（导管、胆道、诊断）的金属自膨式胆道支架。本指南仅适用于缓解胆道系统恶性狭窄的胆道支架。本指南不适用于治疗良性狭窄的胆道支架或拟用于血管、气管/支气管或其他胃肠道解剖的支架。</w:t>
      </w:r>
    </w:p>
    <w:p w14:paraId="01CFEDD7">
      <w:pPr>
        <w:shd w:val="clear" w:color="auto" w:fill="FFFFFF"/>
        <w:topLinePunct/>
        <w:autoSpaceDE/>
        <w:autoSpaceDN/>
        <w:adjustRightInd/>
        <w:ind w:firstLine="480" w:firstLineChars="200"/>
        <w:jc w:val="both"/>
        <w:rPr>
          <w:rFonts w:eastAsia="宋体"/>
          <w:sz w:val="24"/>
          <w:szCs w:val="24"/>
        </w:rPr>
      </w:pPr>
    </w:p>
    <w:p w14:paraId="3CEEB524">
      <w:pPr>
        <w:pStyle w:val="2"/>
        <w:spacing w:before="0" w:beforeLines="0" w:line="240" w:lineRule="auto"/>
        <w:ind w:left="851" w:hanging="851" w:hangingChars="265"/>
        <w:rPr>
          <w:szCs w:val="32"/>
        </w:rPr>
      </w:pPr>
      <w:bookmarkStart w:id="6" w:name="_Toc97386683"/>
      <w:bookmarkStart w:id="7" w:name="_Toc97386381"/>
      <w:r>
        <w:rPr>
          <w:szCs w:val="32"/>
        </w:rPr>
        <w:t>IV.</w:t>
      </w:r>
      <w:r>
        <w:rPr>
          <w:szCs w:val="32"/>
        </w:rPr>
        <w:tab/>
      </w:r>
      <w:r>
        <w:rPr>
          <w:szCs w:val="32"/>
        </w:rPr>
        <w:t>定义</w:t>
      </w:r>
      <w:bookmarkEnd w:id="6"/>
      <w:bookmarkEnd w:id="7"/>
    </w:p>
    <w:p w14:paraId="2CA807DC">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根据本文件，应使用下述定义：</w:t>
      </w:r>
    </w:p>
    <w:p w14:paraId="20E4046F">
      <w:pPr>
        <w:shd w:val="clear" w:color="auto" w:fill="FFFFFF"/>
        <w:topLinePunct/>
        <w:autoSpaceDE/>
        <w:autoSpaceDN/>
        <w:adjustRightInd/>
        <w:jc w:val="both"/>
        <w:rPr>
          <w:rFonts w:eastAsia="宋体"/>
          <w:b/>
          <w:sz w:val="24"/>
          <w:szCs w:val="24"/>
        </w:rPr>
      </w:pPr>
    </w:p>
    <w:p w14:paraId="45425E56">
      <w:pPr>
        <w:shd w:val="clear" w:color="auto" w:fill="FFFFFF"/>
        <w:topLinePunct/>
        <w:autoSpaceDE/>
        <w:autoSpaceDN/>
        <w:adjustRightInd/>
        <w:jc w:val="both"/>
        <w:rPr>
          <w:rFonts w:eastAsia="宋体"/>
          <w:sz w:val="24"/>
          <w:szCs w:val="24"/>
        </w:rPr>
      </w:pPr>
      <w:r>
        <w:rPr>
          <w:rFonts w:eastAsia="宋体"/>
          <w:b/>
          <w:sz w:val="24"/>
          <w:szCs w:val="24"/>
        </w:rPr>
        <w:t>胆道支架</w:t>
      </w:r>
      <w:r>
        <w:rPr>
          <w:rFonts w:eastAsia="宋体"/>
          <w:color w:val="000000"/>
          <w:sz w:val="24"/>
          <w:szCs w:val="24"/>
        </w:rPr>
        <w:t>：一种全部或部分由金属制成的自膨式胆道导管，即全覆膜、半覆膜、未覆膜自膨式金属支架。将胆道支架植入胆道系统，用于缓解恶性狭窄。</w:t>
      </w:r>
    </w:p>
    <w:p w14:paraId="668ADA0F">
      <w:pPr>
        <w:shd w:val="clear" w:color="auto" w:fill="FFFFFF"/>
        <w:topLinePunct/>
        <w:autoSpaceDE/>
        <w:autoSpaceDN/>
        <w:adjustRightInd/>
        <w:jc w:val="both"/>
        <w:rPr>
          <w:rFonts w:eastAsia="宋体"/>
          <w:b/>
          <w:sz w:val="24"/>
          <w:szCs w:val="24"/>
        </w:rPr>
      </w:pPr>
    </w:p>
    <w:p w14:paraId="1E29D3CC">
      <w:pPr>
        <w:shd w:val="clear" w:color="auto" w:fill="FFFFFF"/>
        <w:topLinePunct/>
        <w:autoSpaceDE/>
        <w:autoSpaceDN/>
        <w:adjustRightInd/>
        <w:jc w:val="both"/>
        <w:rPr>
          <w:rFonts w:eastAsia="宋体"/>
          <w:sz w:val="24"/>
          <w:szCs w:val="24"/>
        </w:rPr>
      </w:pPr>
      <w:r>
        <w:rPr>
          <w:rFonts w:eastAsia="宋体"/>
          <w:b/>
          <w:sz w:val="24"/>
          <w:szCs w:val="24"/>
        </w:rPr>
        <w:t>球囊扩张式支架</w:t>
      </w:r>
      <w:r>
        <w:rPr>
          <w:rFonts w:eastAsia="宋体"/>
          <w:color w:val="000000"/>
          <w:sz w:val="24"/>
          <w:szCs w:val="24"/>
        </w:rPr>
        <w:t>：一种由球囊导管充盈的胆道支架。该支架的直径随球囊直径的增加而增加。球囊放气后，该支架保持充盈。</w:t>
      </w:r>
    </w:p>
    <w:p w14:paraId="77DC6A15">
      <w:pPr>
        <w:shd w:val="clear" w:color="auto" w:fill="FFFFFF"/>
        <w:topLinePunct/>
        <w:autoSpaceDE/>
        <w:autoSpaceDN/>
        <w:adjustRightInd/>
        <w:jc w:val="both"/>
        <w:rPr>
          <w:rFonts w:eastAsia="宋体"/>
          <w:b/>
          <w:sz w:val="24"/>
          <w:szCs w:val="24"/>
        </w:rPr>
      </w:pPr>
    </w:p>
    <w:p w14:paraId="45AF08AF">
      <w:pPr>
        <w:shd w:val="clear" w:color="auto" w:fill="FFFFFF"/>
        <w:topLinePunct/>
        <w:autoSpaceDE/>
        <w:autoSpaceDN/>
        <w:adjustRightInd/>
        <w:jc w:val="both"/>
        <w:rPr>
          <w:rFonts w:eastAsia="宋体"/>
          <w:b/>
          <w:color w:val="000000"/>
          <w:sz w:val="24"/>
          <w:szCs w:val="24"/>
        </w:rPr>
      </w:pPr>
      <w:r>
        <w:rPr>
          <w:rFonts w:eastAsia="宋体"/>
          <w:b/>
          <w:sz w:val="24"/>
          <w:szCs w:val="24"/>
        </w:rPr>
        <w:t>自膨式支架</w:t>
      </w:r>
      <w:r>
        <w:rPr>
          <w:rFonts w:eastAsia="宋体"/>
          <w:color w:val="000000"/>
          <w:sz w:val="24"/>
          <w:szCs w:val="24"/>
        </w:rPr>
        <w:t>：自支架输送系统（如导管）释放后自动充盈的胆道支架；即不需要球囊充盈或其他机械辅助充盈。自膨式支架的质量受到材料性能、几何结构或两者的影响。</w:t>
      </w:r>
    </w:p>
    <w:p w14:paraId="2BE629A6">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37D88691">
      <w:pPr>
        <w:shd w:val="clear" w:color="auto" w:fill="FFFFFF"/>
        <w:topLinePunct/>
        <w:autoSpaceDE/>
        <w:autoSpaceDN/>
        <w:adjustRightInd/>
        <w:jc w:val="both"/>
        <w:rPr>
          <w:rFonts w:eastAsia="宋体"/>
          <w:color w:val="000000"/>
          <w:sz w:val="24"/>
          <w:szCs w:val="24"/>
        </w:rPr>
      </w:pPr>
      <w:r>
        <w:rPr>
          <w:rFonts w:eastAsia="宋体"/>
          <w:b/>
          <w:sz w:val="24"/>
          <w:szCs w:val="24"/>
        </w:rPr>
        <w:t>支架输送系统（SDS）</w:t>
      </w:r>
      <w:r>
        <w:rPr>
          <w:rFonts w:eastAsia="宋体"/>
          <w:color w:val="000000"/>
          <w:sz w:val="24"/>
          <w:szCs w:val="24"/>
        </w:rPr>
        <w:t>：将胆道支架输送至胆管内靶部位，然后展开支架的系统。球囊扩张式支架的支架输送系统由一个球囊导管组成。自膨式支架输送系统通常不包括球囊。</w:t>
      </w:r>
    </w:p>
    <w:p w14:paraId="6A103D06">
      <w:pPr>
        <w:shd w:val="clear" w:color="auto" w:fill="FFFFFF"/>
        <w:topLinePunct/>
        <w:autoSpaceDE/>
        <w:autoSpaceDN/>
        <w:adjustRightInd/>
        <w:jc w:val="both"/>
        <w:rPr>
          <w:rFonts w:eastAsia="宋体"/>
          <w:sz w:val="24"/>
          <w:szCs w:val="24"/>
        </w:rPr>
      </w:pPr>
    </w:p>
    <w:p w14:paraId="08AF4A89">
      <w:pPr>
        <w:pStyle w:val="2"/>
        <w:spacing w:before="0" w:beforeLines="0" w:line="240" w:lineRule="auto"/>
        <w:ind w:left="851" w:hanging="851" w:hangingChars="265"/>
        <w:rPr>
          <w:szCs w:val="32"/>
        </w:rPr>
      </w:pPr>
      <w:bookmarkStart w:id="8" w:name="_Toc97386382"/>
      <w:bookmarkStart w:id="9" w:name="_Toc97386684"/>
      <w:r>
        <w:rPr>
          <w:szCs w:val="32"/>
        </w:rPr>
        <w:t>V.</w:t>
      </w:r>
      <w:r>
        <w:rPr>
          <w:szCs w:val="32"/>
        </w:rPr>
        <w:tab/>
      </w:r>
      <w:r>
        <w:rPr>
          <w:szCs w:val="32"/>
        </w:rPr>
        <w:t>上市前申请建议</w:t>
      </w:r>
      <w:bookmarkEnd w:id="8"/>
      <w:bookmarkEnd w:id="9"/>
    </w:p>
    <w:p w14:paraId="43351562">
      <w:pPr>
        <w:shd w:val="clear" w:color="auto" w:fill="FFFFFF"/>
        <w:topLinePunct/>
        <w:autoSpaceDE/>
        <w:autoSpaceDN/>
        <w:adjustRightInd/>
        <w:jc w:val="both"/>
      </w:pPr>
    </w:p>
    <w:p w14:paraId="47CB25C9">
      <w:pPr>
        <w:pStyle w:val="3"/>
      </w:pPr>
      <w:bookmarkStart w:id="10" w:name="_Toc97386383"/>
      <w:bookmarkStart w:id="11" w:name="_Toc97386685"/>
      <w:r>
        <w:t>A.</w:t>
      </w:r>
      <w:r>
        <w:tab/>
      </w:r>
      <w:r>
        <w:t>器械描述</w:t>
      </w:r>
      <w:bookmarkEnd w:id="10"/>
      <w:bookmarkEnd w:id="11"/>
    </w:p>
    <w:p w14:paraId="0C01FC34">
      <w:pPr>
        <w:shd w:val="clear" w:color="auto" w:fill="FFFFFF"/>
        <w:topLinePunct/>
        <w:autoSpaceDE/>
        <w:autoSpaceDN/>
        <w:adjustRightInd/>
        <w:jc w:val="both"/>
        <w:rPr>
          <w:rFonts w:eastAsia="宋体"/>
          <w:color w:val="000000"/>
          <w:sz w:val="24"/>
          <w:szCs w:val="24"/>
        </w:rPr>
      </w:pPr>
    </w:p>
    <w:p w14:paraId="57757CD0">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本机构建议采用</w:t>
      </w:r>
      <w:r>
        <w:rPr>
          <w:rFonts w:eastAsia="宋体"/>
          <w:b/>
          <w:sz w:val="24"/>
          <w:szCs w:val="24"/>
        </w:rPr>
        <w:t>上述第III节</w:t>
      </w:r>
      <w:r>
        <w:rPr>
          <w:rFonts w:eastAsia="宋体"/>
          <w:color w:val="000000"/>
          <w:sz w:val="24"/>
          <w:szCs w:val="24"/>
        </w:rPr>
        <w:t>所述的法规和产品代码标识器械。对于拟上市的各型号胆道支架，应包括以下信息：</w:t>
      </w:r>
    </w:p>
    <w:p w14:paraId="6E9BED3D">
      <w:pPr>
        <w:shd w:val="clear" w:color="auto" w:fill="FFFFFF"/>
        <w:topLinePunct/>
        <w:autoSpaceDE/>
        <w:autoSpaceDN/>
        <w:adjustRightInd/>
        <w:jc w:val="both"/>
        <w:rPr>
          <w:rFonts w:eastAsia="宋体"/>
          <w:sz w:val="24"/>
          <w:szCs w:val="24"/>
        </w:rPr>
      </w:pPr>
    </w:p>
    <w:p w14:paraId="51422DE0">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标识图、照片或示意图；</w:t>
      </w:r>
    </w:p>
    <w:p w14:paraId="72E6BCF1">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支架规格，包括长度和直径；</w:t>
      </w:r>
    </w:p>
    <w:p w14:paraId="18EB7033">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支架几何形状的描述和示意图（例如，支架的支柱宽度和厚度或支架的线径）；</w:t>
      </w:r>
    </w:p>
    <w:p w14:paraId="1B3C17BE">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SDS的详细说明，包括工作长度、如何输送支架以及与支架一起提供的任何其他器械的标识和说明。应说明支架是经内镜置入还是经皮穿刺置入；以及</w:t>
      </w:r>
    </w:p>
    <w:p w14:paraId="6B6784E0">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说明器械组件是一次性还是可重复使用。</w:t>
      </w:r>
    </w:p>
    <w:p w14:paraId="6EE942AE">
      <w:pPr>
        <w:shd w:val="clear" w:color="auto" w:fill="FFFFFF"/>
        <w:topLinePunct/>
        <w:autoSpaceDE/>
        <w:autoSpaceDN/>
        <w:adjustRightInd/>
        <w:ind w:left="904"/>
        <w:jc w:val="both"/>
        <w:rPr>
          <w:rFonts w:eastAsia="宋体"/>
          <w:color w:val="000000"/>
          <w:sz w:val="24"/>
          <w:szCs w:val="24"/>
        </w:rPr>
      </w:pPr>
    </w:p>
    <w:p w14:paraId="7D616FB2">
      <w:pPr>
        <w:pStyle w:val="3"/>
      </w:pPr>
      <w:bookmarkStart w:id="12" w:name="_Toc97386384"/>
      <w:bookmarkStart w:id="13" w:name="_Toc97386686"/>
      <w:r>
        <w:t>B.</w:t>
      </w:r>
      <w:r>
        <w:tab/>
      </w:r>
      <w:r>
        <w:t>同品种器械对比</w:t>
      </w:r>
      <w:bookmarkEnd w:id="12"/>
      <w:bookmarkEnd w:id="13"/>
    </w:p>
    <w:p w14:paraId="4B7A9D7A">
      <w:pPr>
        <w:shd w:val="clear" w:color="auto" w:fill="FFFFFF"/>
        <w:topLinePunct/>
        <w:autoSpaceDE/>
        <w:autoSpaceDN/>
        <w:adjustRightInd/>
        <w:ind w:firstLine="480" w:firstLineChars="200"/>
        <w:jc w:val="both"/>
        <w:rPr>
          <w:rFonts w:eastAsia="宋体"/>
          <w:color w:val="000000"/>
          <w:sz w:val="24"/>
          <w:szCs w:val="24"/>
        </w:rPr>
      </w:pPr>
    </w:p>
    <w:p w14:paraId="1E06F647">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对于根据510(k)过程审查的器械，制造商必须将其新器械与类似合法上市的同品种器械进行对比，以支持其实质等同性（《FD&amp;C法案》，21 CFR 807.87（f）第513(i)节（21 U.S.C.360c(i)）。应提供对比信息，以表明您的器械与</w:t>
      </w:r>
      <w:bookmarkStart w:id="14" w:name="_Hlk94386213"/>
      <w:r>
        <w:rPr>
          <w:rFonts w:eastAsia="宋体"/>
          <w:color w:val="000000"/>
          <w:sz w:val="24"/>
          <w:szCs w:val="24"/>
        </w:rPr>
        <w:t>同品种器械</w:t>
      </w:r>
      <w:bookmarkEnd w:id="14"/>
      <w:r>
        <w:rPr>
          <w:rFonts w:eastAsia="宋体"/>
          <w:color w:val="000000"/>
          <w:sz w:val="24"/>
          <w:szCs w:val="24"/>
        </w:rPr>
        <w:t>的相似性和差异性。在可行条件下，尽可能进行并行对比。有关如何组织此信息的示例，请参见下列</w:t>
      </w:r>
      <w:r>
        <w:rPr>
          <w:rFonts w:eastAsia="宋体"/>
          <w:b/>
          <w:sz w:val="24"/>
          <w:szCs w:val="24"/>
        </w:rPr>
        <w:t>表1</w:t>
      </w:r>
      <w:r>
        <w:rPr>
          <w:rFonts w:eastAsia="宋体"/>
          <w:color w:val="000000"/>
          <w:sz w:val="24"/>
          <w:szCs w:val="24"/>
        </w:rPr>
        <w:t>。</w:t>
      </w:r>
    </w:p>
    <w:p w14:paraId="0C22C9F4">
      <w:pPr>
        <w:shd w:val="clear" w:color="auto" w:fill="FFFFFF"/>
        <w:topLinePunct/>
        <w:autoSpaceDE/>
        <w:autoSpaceDN/>
        <w:adjustRightInd/>
        <w:jc w:val="both"/>
        <w:rPr>
          <w:rFonts w:eastAsia="宋体"/>
          <w:sz w:val="24"/>
          <w:szCs w:val="24"/>
        </w:rPr>
      </w:pPr>
    </w:p>
    <w:p w14:paraId="2DAA460C">
      <w:pPr>
        <w:widowControl/>
        <w:autoSpaceDE/>
        <w:autoSpaceDN/>
        <w:adjustRightInd/>
        <w:rPr>
          <w:rFonts w:eastAsia="宋体"/>
          <w:sz w:val="24"/>
          <w:szCs w:val="24"/>
        </w:rPr>
      </w:pPr>
      <w:r>
        <w:rPr>
          <w:rFonts w:eastAsia="宋体"/>
          <w:sz w:val="24"/>
          <w:szCs w:val="24"/>
        </w:rPr>
        <w:br w:type="page"/>
      </w:r>
    </w:p>
    <w:p w14:paraId="784DFADF">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表1：您的器械和同品种器械对比示例</w:t>
      </w:r>
    </w:p>
    <w:p w14:paraId="39F81E59">
      <w:pPr>
        <w:shd w:val="clear" w:color="auto" w:fill="FFFFFF"/>
        <w:topLinePunct/>
        <w:autoSpaceDE/>
        <w:autoSpaceDN/>
        <w:adjustRightInd/>
        <w:jc w:val="center"/>
        <w:rPr>
          <w:rFonts w:eastAsia="宋体"/>
          <w:sz w:val="24"/>
          <w:szCs w:val="24"/>
        </w:rPr>
      </w:pPr>
    </w:p>
    <w:tbl>
      <w:tblPr>
        <w:tblStyle w:val="14"/>
        <w:tblW w:w="5000" w:type="pct"/>
        <w:tblInd w:w="0" w:type="dxa"/>
        <w:tblLayout w:type="autofit"/>
        <w:tblCellMar>
          <w:top w:w="0" w:type="dxa"/>
          <w:left w:w="57" w:type="dxa"/>
          <w:bottom w:w="0" w:type="dxa"/>
          <w:right w:w="57" w:type="dxa"/>
        </w:tblCellMar>
      </w:tblPr>
      <w:tblGrid>
        <w:gridCol w:w="3105"/>
        <w:gridCol w:w="3360"/>
        <w:gridCol w:w="3006"/>
      </w:tblGrid>
      <w:tr w14:paraId="69B6F69D">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629E25E9">
            <w:pPr>
              <w:shd w:val="clear" w:color="auto" w:fill="FFFFFF"/>
              <w:topLinePunct/>
              <w:autoSpaceDE/>
              <w:autoSpaceDN/>
              <w:adjustRightInd/>
              <w:rPr>
                <w:rFonts w:eastAsia="宋体"/>
                <w:sz w:val="21"/>
                <w:szCs w:val="21"/>
              </w:rPr>
            </w:pPr>
            <w:r>
              <w:rPr>
                <w:rFonts w:eastAsia="宋体"/>
                <w:b/>
                <w:color w:val="000000"/>
                <w:sz w:val="21"/>
                <w:szCs w:val="21"/>
              </w:rPr>
              <w:t>特征</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682140DF">
            <w:pPr>
              <w:shd w:val="clear" w:color="auto" w:fill="FFFFFF"/>
              <w:topLinePunct/>
              <w:autoSpaceDE/>
              <w:autoSpaceDN/>
              <w:adjustRightInd/>
              <w:rPr>
                <w:rFonts w:eastAsia="宋体"/>
                <w:sz w:val="21"/>
                <w:szCs w:val="21"/>
              </w:rPr>
            </w:pPr>
            <w:r>
              <w:rPr>
                <w:rFonts w:eastAsia="宋体"/>
                <w:b/>
                <w:color w:val="000000"/>
                <w:sz w:val="21"/>
                <w:szCs w:val="21"/>
              </w:rPr>
              <w:t>器械</w:t>
            </w: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5EC2940F">
            <w:pPr>
              <w:shd w:val="clear" w:color="auto" w:fill="FFFFFF"/>
              <w:topLinePunct/>
              <w:autoSpaceDE/>
              <w:autoSpaceDN/>
              <w:adjustRightInd/>
              <w:rPr>
                <w:rFonts w:eastAsia="宋体"/>
                <w:sz w:val="21"/>
                <w:szCs w:val="21"/>
              </w:rPr>
            </w:pPr>
            <w:r>
              <w:rPr>
                <w:rFonts w:eastAsia="宋体"/>
                <w:b/>
                <w:color w:val="000000"/>
                <w:sz w:val="21"/>
                <w:szCs w:val="21"/>
              </w:rPr>
              <w:t>同品种器械</w:t>
            </w:r>
          </w:p>
        </w:tc>
      </w:tr>
      <w:tr w14:paraId="004418FD">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2B1FC5D8">
            <w:pPr>
              <w:shd w:val="clear" w:color="auto" w:fill="FFFFFF"/>
              <w:topLinePunct/>
              <w:autoSpaceDE/>
              <w:autoSpaceDN/>
              <w:adjustRightInd/>
              <w:rPr>
                <w:rFonts w:eastAsia="宋体"/>
                <w:sz w:val="21"/>
                <w:szCs w:val="21"/>
              </w:rPr>
            </w:pPr>
            <w:r>
              <w:rPr>
                <w:rFonts w:eastAsia="宋体"/>
                <w:color w:val="000000"/>
                <w:sz w:val="21"/>
                <w:szCs w:val="21"/>
              </w:rPr>
              <w:t>510(k)编号</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7CF5BD04">
            <w:pPr>
              <w:shd w:val="clear" w:color="auto" w:fill="FFFFFF"/>
              <w:topLinePunct/>
              <w:autoSpaceDE/>
              <w:autoSpaceDN/>
              <w:adjustRightInd/>
              <w:rPr>
                <w:rFonts w:eastAsia="宋体"/>
                <w:sz w:val="21"/>
                <w:szCs w:val="21"/>
              </w:rPr>
            </w:pPr>
            <w:r>
              <w:rPr>
                <w:rFonts w:eastAsia="宋体"/>
                <w:color w:val="000000"/>
                <w:sz w:val="21"/>
                <w:szCs w:val="21"/>
              </w:rPr>
              <w:t>本申请</w:t>
            </w: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7A614294">
            <w:pPr>
              <w:shd w:val="clear" w:color="auto" w:fill="FFFFFF"/>
              <w:topLinePunct/>
              <w:autoSpaceDE/>
              <w:autoSpaceDN/>
              <w:adjustRightInd/>
              <w:rPr>
                <w:rFonts w:eastAsia="宋体"/>
                <w:sz w:val="21"/>
                <w:szCs w:val="21"/>
              </w:rPr>
            </w:pPr>
            <w:r>
              <w:rPr>
                <w:rFonts w:eastAsia="宋体"/>
                <w:color w:val="000000"/>
                <w:sz w:val="21"/>
                <w:szCs w:val="21"/>
              </w:rPr>
              <w:t>Kxxxxxx</w:t>
            </w:r>
          </w:p>
        </w:tc>
      </w:tr>
      <w:tr w14:paraId="56D9ADBD">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4F7F40B4">
            <w:pPr>
              <w:shd w:val="clear" w:color="auto" w:fill="FFFFFF"/>
              <w:topLinePunct/>
              <w:autoSpaceDE/>
              <w:autoSpaceDN/>
              <w:adjustRightInd/>
              <w:rPr>
                <w:rFonts w:eastAsia="宋体"/>
                <w:sz w:val="21"/>
                <w:szCs w:val="21"/>
              </w:rPr>
            </w:pPr>
            <w:r>
              <w:rPr>
                <w:rFonts w:eastAsia="宋体"/>
                <w:color w:val="000000"/>
                <w:sz w:val="21"/>
                <w:szCs w:val="21"/>
              </w:rPr>
              <w:t>适用范围声明</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5FE22C55">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02CB932C">
            <w:pPr>
              <w:shd w:val="clear" w:color="auto" w:fill="FFFFFF"/>
              <w:topLinePunct/>
              <w:autoSpaceDE/>
              <w:autoSpaceDN/>
              <w:adjustRightInd/>
              <w:rPr>
                <w:rFonts w:eastAsia="宋体"/>
                <w:sz w:val="21"/>
                <w:szCs w:val="21"/>
              </w:rPr>
            </w:pPr>
          </w:p>
        </w:tc>
      </w:tr>
      <w:tr w14:paraId="557B5717">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77EB12B0">
            <w:pPr>
              <w:shd w:val="clear" w:color="auto" w:fill="FFFFFF"/>
              <w:topLinePunct/>
              <w:autoSpaceDE/>
              <w:autoSpaceDN/>
              <w:adjustRightInd/>
              <w:rPr>
                <w:rFonts w:eastAsia="宋体"/>
                <w:sz w:val="21"/>
                <w:szCs w:val="21"/>
              </w:rPr>
            </w:pPr>
            <w:r>
              <w:rPr>
                <w:rFonts w:eastAsia="宋体"/>
                <w:color w:val="000000"/>
                <w:sz w:val="21"/>
                <w:szCs w:val="21"/>
              </w:rPr>
              <w:t>充盈方法</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1038D16B">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6EC6A380">
            <w:pPr>
              <w:shd w:val="clear" w:color="auto" w:fill="FFFFFF"/>
              <w:topLinePunct/>
              <w:autoSpaceDE/>
              <w:autoSpaceDN/>
              <w:adjustRightInd/>
              <w:rPr>
                <w:rFonts w:eastAsia="宋体"/>
                <w:sz w:val="21"/>
                <w:szCs w:val="21"/>
              </w:rPr>
            </w:pPr>
          </w:p>
        </w:tc>
      </w:tr>
      <w:tr w14:paraId="73FF7583">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77C8F547">
            <w:pPr>
              <w:shd w:val="clear" w:color="auto" w:fill="FFFFFF"/>
              <w:topLinePunct/>
              <w:autoSpaceDE/>
              <w:autoSpaceDN/>
              <w:adjustRightInd/>
              <w:rPr>
                <w:rFonts w:eastAsia="宋体"/>
                <w:sz w:val="21"/>
                <w:szCs w:val="21"/>
              </w:rPr>
            </w:pPr>
            <w:r>
              <w:rPr>
                <w:rFonts w:eastAsia="宋体"/>
                <w:color w:val="000000"/>
                <w:sz w:val="21"/>
                <w:szCs w:val="21"/>
              </w:rPr>
              <w:t>支架材料</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7376A285">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2945C0BA">
            <w:pPr>
              <w:shd w:val="clear" w:color="auto" w:fill="FFFFFF"/>
              <w:topLinePunct/>
              <w:autoSpaceDE/>
              <w:autoSpaceDN/>
              <w:adjustRightInd/>
              <w:rPr>
                <w:rFonts w:eastAsia="宋体"/>
                <w:sz w:val="21"/>
                <w:szCs w:val="21"/>
              </w:rPr>
            </w:pPr>
          </w:p>
        </w:tc>
      </w:tr>
      <w:tr w14:paraId="5B40C103">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2A4C098B">
            <w:pPr>
              <w:shd w:val="clear" w:color="auto" w:fill="FFFFFF"/>
              <w:topLinePunct/>
              <w:autoSpaceDE/>
              <w:autoSpaceDN/>
              <w:adjustRightInd/>
              <w:rPr>
                <w:rFonts w:eastAsia="宋体"/>
                <w:sz w:val="21"/>
                <w:szCs w:val="21"/>
              </w:rPr>
            </w:pPr>
            <w:r>
              <w:rPr>
                <w:rFonts w:eastAsia="宋体"/>
                <w:color w:val="000000"/>
                <w:sz w:val="21"/>
                <w:szCs w:val="21"/>
              </w:rPr>
              <w:t>引入方法</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4216E327">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031517DA">
            <w:pPr>
              <w:shd w:val="clear" w:color="auto" w:fill="FFFFFF"/>
              <w:topLinePunct/>
              <w:autoSpaceDE/>
              <w:autoSpaceDN/>
              <w:adjustRightInd/>
              <w:rPr>
                <w:rFonts w:eastAsia="宋体"/>
                <w:sz w:val="21"/>
                <w:szCs w:val="21"/>
              </w:rPr>
            </w:pPr>
          </w:p>
        </w:tc>
      </w:tr>
      <w:tr w14:paraId="1E6386B8">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5E39807C">
            <w:pPr>
              <w:shd w:val="clear" w:color="auto" w:fill="FFFFFF"/>
              <w:topLinePunct/>
              <w:autoSpaceDE/>
              <w:autoSpaceDN/>
              <w:adjustRightInd/>
              <w:rPr>
                <w:rFonts w:eastAsia="宋体"/>
                <w:sz w:val="21"/>
                <w:szCs w:val="21"/>
              </w:rPr>
            </w:pPr>
            <w:r>
              <w:rPr>
                <w:rFonts w:eastAsia="宋体"/>
                <w:color w:val="000000"/>
                <w:sz w:val="21"/>
                <w:szCs w:val="21"/>
              </w:rPr>
              <w:t>无菌性</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5F02F135">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0EEC6822">
            <w:pPr>
              <w:shd w:val="clear" w:color="auto" w:fill="FFFFFF"/>
              <w:topLinePunct/>
              <w:autoSpaceDE/>
              <w:autoSpaceDN/>
              <w:adjustRightInd/>
              <w:rPr>
                <w:rFonts w:eastAsia="宋体"/>
                <w:sz w:val="21"/>
                <w:szCs w:val="21"/>
              </w:rPr>
            </w:pPr>
          </w:p>
        </w:tc>
      </w:tr>
      <w:tr w14:paraId="3CACD0F2">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6B33F451">
            <w:pPr>
              <w:shd w:val="clear" w:color="auto" w:fill="FFFFFF"/>
              <w:topLinePunct/>
              <w:autoSpaceDE/>
              <w:autoSpaceDN/>
              <w:adjustRightInd/>
              <w:rPr>
                <w:rFonts w:eastAsia="宋体"/>
                <w:sz w:val="21"/>
                <w:szCs w:val="21"/>
              </w:rPr>
            </w:pPr>
            <w:r>
              <w:rPr>
                <w:rFonts w:eastAsia="宋体"/>
                <w:color w:val="000000"/>
                <w:sz w:val="21"/>
                <w:szCs w:val="21"/>
              </w:rPr>
              <w:t>输送系统长度</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4330BF76">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402DEB68">
            <w:pPr>
              <w:shd w:val="clear" w:color="auto" w:fill="FFFFFF"/>
              <w:topLinePunct/>
              <w:autoSpaceDE/>
              <w:autoSpaceDN/>
              <w:adjustRightInd/>
              <w:rPr>
                <w:rFonts w:eastAsia="宋体"/>
                <w:sz w:val="21"/>
                <w:szCs w:val="21"/>
              </w:rPr>
            </w:pPr>
          </w:p>
        </w:tc>
      </w:tr>
      <w:tr w14:paraId="09650BF3">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4CD8976D">
            <w:pPr>
              <w:shd w:val="clear" w:color="auto" w:fill="FFFFFF"/>
              <w:topLinePunct/>
              <w:autoSpaceDE/>
              <w:autoSpaceDN/>
              <w:adjustRightInd/>
              <w:rPr>
                <w:rFonts w:eastAsia="宋体"/>
                <w:sz w:val="21"/>
                <w:szCs w:val="21"/>
              </w:rPr>
            </w:pPr>
            <w:r>
              <w:rPr>
                <w:rFonts w:eastAsia="宋体"/>
                <w:color w:val="000000"/>
                <w:sz w:val="21"/>
                <w:szCs w:val="21"/>
              </w:rPr>
              <w:t>支架长度</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2C35FD53">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2E4432FE">
            <w:pPr>
              <w:shd w:val="clear" w:color="auto" w:fill="FFFFFF"/>
              <w:topLinePunct/>
              <w:autoSpaceDE/>
              <w:autoSpaceDN/>
              <w:adjustRightInd/>
              <w:rPr>
                <w:rFonts w:eastAsia="宋体"/>
                <w:sz w:val="21"/>
                <w:szCs w:val="21"/>
              </w:rPr>
            </w:pPr>
          </w:p>
        </w:tc>
      </w:tr>
      <w:tr w14:paraId="6E95B23A">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04881C4F">
            <w:pPr>
              <w:shd w:val="clear" w:color="auto" w:fill="FFFFFF"/>
              <w:topLinePunct/>
              <w:autoSpaceDE/>
              <w:autoSpaceDN/>
              <w:adjustRightInd/>
              <w:rPr>
                <w:rFonts w:eastAsia="宋体"/>
                <w:sz w:val="21"/>
                <w:szCs w:val="21"/>
              </w:rPr>
            </w:pPr>
            <w:r>
              <w:rPr>
                <w:rFonts w:eastAsia="宋体"/>
                <w:color w:val="000000"/>
                <w:sz w:val="21"/>
                <w:szCs w:val="21"/>
              </w:rPr>
              <w:t>支架直径</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74B2AA8F">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05462212">
            <w:pPr>
              <w:shd w:val="clear" w:color="auto" w:fill="FFFFFF"/>
              <w:topLinePunct/>
              <w:autoSpaceDE/>
              <w:autoSpaceDN/>
              <w:adjustRightInd/>
              <w:rPr>
                <w:rFonts w:eastAsia="宋体"/>
                <w:sz w:val="21"/>
                <w:szCs w:val="21"/>
              </w:rPr>
            </w:pPr>
          </w:p>
        </w:tc>
      </w:tr>
      <w:tr w14:paraId="4D6A7F5B">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7FE342EB">
            <w:pPr>
              <w:shd w:val="clear" w:color="auto" w:fill="FFFFFF"/>
              <w:topLinePunct/>
              <w:autoSpaceDE/>
              <w:autoSpaceDN/>
              <w:adjustRightInd/>
              <w:rPr>
                <w:rFonts w:eastAsia="宋体"/>
                <w:sz w:val="21"/>
                <w:szCs w:val="21"/>
              </w:rPr>
            </w:pPr>
            <w:r>
              <w:rPr>
                <w:rFonts w:eastAsia="宋体"/>
                <w:color w:val="000000"/>
                <w:sz w:val="21"/>
                <w:szCs w:val="21"/>
              </w:rPr>
              <w:t>支架几何形状</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4C8B2848">
            <w:pPr>
              <w:shd w:val="clear" w:color="auto" w:fill="FFFFFF"/>
              <w:topLinePunct/>
              <w:autoSpaceDE/>
              <w:autoSpaceDN/>
              <w:adjustRightInd/>
              <w:rPr>
                <w:rFonts w:eastAsia="宋体"/>
                <w:color w:val="000000"/>
                <w:sz w:val="21"/>
                <w:szCs w:val="21"/>
              </w:rPr>
            </w:pPr>
            <w:r>
              <w:rPr>
                <w:rFonts w:eastAsia="宋体"/>
                <w:color w:val="000000"/>
                <w:sz w:val="21"/>
                <w:szCs w:val="21"/>
              </w:rPr>
              <w:t>支柱长度：</w:t>
            </w:r>
          </w:p>
          <w:p w14:paraId="11953630">
            <w:pPr>
              <w:shd w:val="clear" w:color="auto" w:fill="FFFFFF"/>
              <w:topLinePunct/>
              <w:autoSpaceDE/>
              <w:autoSpaceDN/>
              <w:adjustRightInd/>
              <w:rPr>
                <w:rFonts w:eastAsia="宋体"/>
                <w:color w:val="000000"/>
                <w:sz w:val="21"/>
                <w:szCs w:val="21"/>
              </w:rPr>
            </w:pPr>
            <w:r>
              <w:rPr>
                <w:rFonts w:eastAsia="宋体"/>
                <w:color w:val="000000"/>
                <w:sz w:val="21"/>
                <w:szCs w:val="21"/>
              </w:rPr>
              <w:t>支柱宽度：</w:t>
            </w:r>
          </w:p>
          <w:p w14:paraId="244C95B9">
            <w:pPr>
              <w:shd w:val="clear" w:color="auto" w:fill="FFFFFF"/>
              <w:topLinePunct/>
              <w:autoSpaceDE/>
              <w:autoSpaceDN/>
              <w:adjustRightInd/>
              <w:rPr>
                <w:rFonts w:eastAsia="宋体"/>
                <w:sz w:val="21"/>
                <w:szCs w:val="21"/>
              </w:rPr>
            </w:pPr>
            <w:r>
              <w:rPr>
                <w:rFonts w:eastAsia="宋体"/>
                <w:color w:val="000000"/>
                <w:sz w:val="21"/>
                <w:szCs w:val="21"/>
              </w:rPr>
              <w:t>编织网孔尺寸：</w:t>
            </w: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29189C38">
            <w:pPr>
              <w:shd w:val="clear" w:color="auto" w:fill="FFFFFF"/>
              <w:topLinePunct/>
              <w:autoSpaceDE/>
              <w:autoSpaceDN/>
              <w:adjustRightInd/>
              <w:rPr>
                <w:rFonts w:eastAsia="宋体"/>
                <w:color w:val="000000"/>
                <w:sz w:val="21"/>
                <w:szCs w:val="21"/>
              </w:rPr>
            </w:pPr>
            <w:r>
              <w:rPr>
                <w:rFonts w:eastAsia="宋体"/>
                <w:color w:val="000000"/>
                <w:sz w:val="21"/>
                <w:szCs w:val="21"/>
              </w:rPr>
              <w:t>支柱长度：</w:t>
            </w:r>
          </w:p>
          <w:p w14:paraId="302DEB28">
            <w:pPr>
              <w:shd w:val="clear" w:color="auto" w:fill="FFFFFF"/>
              <w:topLinePunct/>
              <w:autoSpaceDE/>
              <w:autoSpaceDN/>
              <w:adjustRightInd/>
              <w:rPr>
                <w:rFonts w:eastAsia="宋体"/>
                <w:color w:val="000000"/>
                <w:sz w:val="21"/>
                <w:szCs w:val="21"/>
              </w:rPr>
            </w:pPr>
            <w:r>
              <w:rPr>
                <w:rFonts w:eastAsia="宋体"/>
                <w:color w:val="000000"/>
                <w:sz w:val="21"/>
                <w:szCs w:val="21"/>
              </w:rPr>
              <w:t>支柱宽度：</w:t>
            </w:r>
          </w:p>
          <w:p w14:paraId="6CA33D10">
            <w:pPr>
              <w:shd w:val="clear" w:color="auto" w:fill="FFFFFF"/>
              <w:topLinePunct/>
              <w:autoSpaceDE/>
              <w:autoSpaceDN/>
              <w:adjustRightInd/>
              <w:rPr>
                <w:rFonts w:eastAsia="宋体"/>
                <w:sz w:val="21"/>
                <w:szCs w:val="21"/>
              </w:rPr>
            </w:pPr>
            <w:r>
              <w:rPr>
                <w:rFonts w:eastAsia="宋体"/>
                <w:color w:val="000000"/>
                <w:sz w:val="21"/>
                <w:szCs w:val="21"/>
              </w:rPr>
              <w:t>编织网孔尺寸：</w:t>
            </w:r>
          </w:p>
        </w:tc>
      </w:tr>
      <w:tr w14:paraId="13A67940">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09A4994F">
            <w:pPr>
              <w:shd w:val="clear" w:color="auto" w:fill="FFFFFF"/>
              <w:topLinePunct/>
              <w:autoSpaceDE/>
              <w:autoSpaceDN/>
              <w:adjustRightInd/>
              <w:rPr>
                <w:rFonts w:eastAsia="宋体"/>
                <w:sz w:val="21"/>
                <w:szCs w:val="21"/>
              </w:rPr>
            </w:pPr>
            <w:r>
              <w:rPr>
                <w:rFonts w:eastAsia="宋体"/>
                <w:color w:val="000000"/>
                <w:sz w:val="21"/>
                <w:szCs w:val="21"/>
              </w:rPr>
              <w:t>输送系统概况</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0A9A179C">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54888015">
            <w:pPr>
              <w:shd w:val="clear" w:color="auto" w:fill="FFFFFF"/>
              <w:topLinePunct/>
              <w:autoSpaceDE/>
              <w:autoSpaceDN/>
              <w:adjustRightInd/>
              <w:rPr>
                <w:rFonts w:eastAsia="宋体"/>
                <w:sz w:val="21"/>
                <w:szCs w:val="21"/>
              </w:rPr>
            </w:pPr>
          </w:p>
        </w:tc>
      </w:tr>
      <w:tr w14:paraId="6D6B93C7">
        <w:tblPrEx>
          <w:tblCellMar>
            <w:top w:w="0" w:type="dxa"/>
            <w:left w:w="57" w:type="dxa"/>
            <w:bottom w:w="0" w:type="dxa"/>
            <w:right w:w="57" w:type="dxa"/>
          </w:tblCellMar>
        </w:tblPrEx>
        <w:tc>
          <w:tcPr>
            <w:tcW w:w="1639" w:type="pct"/>
            <w:tcBorders>
              <w:top w:val="single" w:color="auto" w:sz="6" w:space="0"/>
              <w:left w:val="single" w:color="auto" w:sz="6" w:space="0"/>
              <w:bottom w:val="single" w:color="auto" w:sz="6" w:space="0"/>
              <w:right w:val="single" w:color="auto" w:sz="6" w:space="0"/>
            </w:tcBorders>
            <w:shd w:val="clear" w:color="auto" w:fill="FFFFFF"/>
            <w:vAlign w:val="center"/>
          </w:tcPr>
          <w:p w14:paraId="74865AFF">
            <w:pPr>
              <w:shd w:val="clear" w:color="auto" w:fill="FFFFFF"/>
              <w:topLinePunct/>
              <w:autoSpaceDE/>
              <w:autoSpaceDN/>
              <w:adjustRightInd/>
              <w:rPr>
                <w:rFonts w:eastAsia="宋体"/>
                <w:sz w:val="21"/>
                <w:szCs w:val="21"/>
              </w:rPr>
            </w:pPr>
            <w:r>
              <w:rPr>
                <w:rFonts w:eastAsia="宋体"/>
                <w:sz w:val="21"/>
                <w:szCs w:val="21"/>
              </w:rPr>
              <w:t>性能规范（参见本指南</w:t>
            </w:r>
            <w:r>
              <w:rPr>
                <w:rFonts w:eastAsia="宋体"/>
                <w:b/>
                <w:color w:val="000000"/>
                <w:sz w:val="21"/>
                <w:szCs w:val="21"/>
              </w:rPr>
              <w:t>以下</w:t>
            </w:r>
            <w:r>
              <w:rPr>
                <w:rFonts w:eastAsia="宋体"/>
                <w:b/>
                <w:sz w:val="21"/>
                <w:szCs w:val="21"/>
              </w:rPr>
              <w:t>第V.G节</w:t>
            </w:r>
            <w:r>
              <w:rPr>
                <w:rFonts w:eastAsia="宋体"/>
                <w:sz w:val="21"/>
                <w:szCs w:val="21"/>
              </w:rPr>
              <w:t>）</w:t>
            </w:r>
          </w:p>
        </w:tc>
        <w:tc>
          <w:tcPr>
            <w:tcW w:w="1774" w:type="pct"/>
            <w:tcBorders>
              <w:top w:val="single" w:color="auto" w:sz="6" w:space="0"/>
              <w:left w:val="single" w:color="auto" w:sz="6" w:space="0"/>
              <w:bottom w:val="single" w:color="auto" w:sz="6" w:space="0"/>
              <w:right w:val="single" w:color="auto" w:sz="6" w:space="0"/>
            </w:tcBorders>
            <w:shd w:val="clear" w:color="auto" w:fill="FFFFFF"/>
          </w:tcPr>
          <w:p w14:paraId="615DE52A">
            <w:pPr>
              <w:shd w:val="clear" w:color="auto" w:fill="FFFFFF"/>
              <w:topLinePunct/>
              <w:autoSpaceDE/>
              <w:autoSpaceDN/>
              <w:adjustRightInd/>
              <w:rPr>
                <w:rFonts w:eastAsia="宋体"/>
                <w:sz w:val="21"/>
                <w:szCs w:val="21"/>
              </w:rPr>
            </w:pPr>
          </w:p>
        </w:tc>
        <w:tc>
          <w:tcPr>
            <w:tcW w:w="1587" w:type="pct"/>
            <w:tcBorders>
              <w:top w:val="single" w:color="auto" w:sz="6" w:space="0"/>
              <w:left w:val="single" w:color="auto" w:sz="6" w:space="0"/>
              <w:bottom w:val="single" w:color="auto" w:sz="6" w:space="0"/>
              <w:right w:val="single" w:color="auto" w:sz="6" w:space="0"/>
            </w:tcBorders>
            <w:shd w:val="clear" w:color="auto" w:fill="FFFFFF"/>
          </w:tcPr>
          <w:p w14:paraId="6A2D7843">
            <w:pPr>
              <w:shd w:val="clear" w:color="auto" w:fill="FFFFFF"/>
              <w:topLinePunct/>
              <w:autoSpaceDE/>
              <w:autoSpaceDN/>
              <w:adjustRightInd/>
              <w:rPr>
                <w:rFonts w:eastAsia="宋体"/>
                <w:sz w:val="21"/>
                <w:szCs w:val="21"/>
              </w:rPr>
            </w:pPr>
          </w:p>
        </w:tc>
      </w:tr>
    </w:tbl>
    <w:p w14:paraId="531139A5">
      <w:pPr>
        <w:rPr>
          <w:rFonts w:eastAsia="宋体"/>
          <w:sz w:val="24"/>
          <w:szCs w:val="24"/>
        </w:rPr>
      </w:pPr>
    </w:p>
    <w:p w14:paraId="56DD4EA0">
      <w:pPr>
        <w:pStyle w:val="3"/>
      </w:pPr>
      <w:bookmarkStart w:id="15" w:name="_Toc97386385"/>
      <w:bookmarkStart w:id="16" w:name="_Toc97386687"/>
      <w:r>
        <w:t>C.</w:t>
      </w:r>
      <w:r>
        <w:tab/>
      </w:r>
      <w:r>
        <w:t>生物相容性</w:t>
      </w:r>
      <w:bookmarkEnd w:id="15"/>
      <w:bookmarkEnd w:id="16"/>
    </w:p>
    <w:p w14:paraId="7EB10BAD">
      <w:pPr>
        <w:shd w:val="clear" w:color="auto" w:fill="FFFFFF"/>
        <w:topLinePunct/>
        <w:autoSpaceDE/>
        <w:autoSpaceDN/>
        <w:adjustRightInd/>
        <w:jc w:val="both"/>
        <w:rPr>
          <w:rFonts w:eastAsia="宋体"/>
          <w:color w:val="000000"/>
          <w:sz w:val="24"/>
          <w:szCs w:val="24"/>
          <w:u w:val="single"/>
        </w:rPr>
      </w:pPr>
    </w:p>
    <w:p w14:paraId="031E283F">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：胆道支架含有患者接触材料，当用于其预期目的（即接触类型和持续时间）时，可能会诱发有害的生物反应。</w:t>
      </w:r>
    </w:p>
    <w:p w14:paraId="6919F9C2">
      <w:pPr>
        <w:shd w:val="clear" w:color="auto" w:fill="FFFFFF"/>
        <w:topLinePunct/>
        <w:autoSpaceDE/>
        <w:autoSpaceDN/>
        <w:adjustRightInd/>
        <w:jc w:val="both"/>
        <w:rPr>
          <w:rFonts w:eastAsia="宋体"/>
          <w:color w:val="000000"/>
          <w:sz w:val="24"/>
          <w:szCs w:val="24"/>
          <w:u w:val="single"/>
        </w:rPr>
      </w:pPr>
    </w:p>
    <w:p w14:paraId="36FA9D61">
      <w:pPr>
        <w:shd w:val="clear" w:color="auto" w:fill="FFFFFF"/>
        <w:topLinePunct/>
        <w:autoSpaceDE/>
        <w:autoSpaceDN/>
        <w:adjustRightInd/>
        <w:jc w:val="both"/>
        <w:rPr>
          <w:rFonts w:eastAsia="宋体"/>
          <w:sz w:val="24"/>
          <w:szCs w:val="24"/>
        </w:rPr>
      </w:pPr>
      <w:r>
        <w:rPr>
          <w:rFonts w:eastAsia="宋体"/>
          <w:color w:val="000000"/>
          <w:sz w:val="24"/>
          <w:szCs w:val="24"/>
          <w:u w:val="single"/>
        </w:rPr>
        <w:t>建议</w:t>
      </w:r>
      <w:r>
        <w:rPr>
          <w:rFonts w:eastAsia="宋体"/>
          <w:color w:val="000000"/>
          <w:sz w:val="24"/>
          <w:szCs w:val="24"/>
        </w:rPr>
        <w:t>：应确定胆道支架和SDS中所有患者接触组件的生物相容性。如果您的器械在组成和处理上与胆道支架和/或具有成功使用历史的SDS相同，则可参考先前试验经验或文献（如适用）。对于部分器械材料，可适当提供认可共识标准或器械主文件（MAF）授权书（LOA）的参考。</w:t>
      </w:r>
    </w:p>
    <w:p w14:paraId="248F88E1">
      <w:pPr>
        <w:shd w:val="clear" w:color="auto" w:fill="FFFFFF"/>
        <w:topLinePunct/>
        <w:autoSpaceDE/>
        <w:autoSpaceDN/>
        <w:adjustRightInd/>
        <w:jc w:val="both"/>
        <w:rPr>
          <w:rFonts w:eastAsia="宋体"/>
          <w:color w:val="000000"/>
          <w:sz w:val="24"/>
          <w:szCs w:val="24"/>
        </w:rPr>
      </w:pPr>
    </w:p>
    <w:p w14:paraId="4774575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无法确定具有类似接触部位/持续时间和预期用途的合法上市同品种器械，且该同品种器械使用的材料和制造工艺与您的器械相同，FDA建议开展并提供生物相容性风险评估。评估应解释已识别生物相容性风险与可用于缓解已识别风险的信息之间的关系，并确定任何仍然存在的知识缺口。应识别任何生物相容性试验或其他执行用于缓解任何剩余风险的评价。</w:t>
      </w:r>
    </w:p>
    <w:p w14:paraId="3182EDD1">
      <w:pPr>
        <w:shd w:val="clear" w:color="auto" w:fill="FFFFFF"/>
        <w:topLinePunct/>
        <w:autoSpaceDE/>
        <w:autoSpaceDN/>
        <w:adjustRightInd/>
        <w:ind w:firstLine="480" w:firstLineChars="200"/>
        <w:jc w:val="both"/>
        <w:rPr>
          <w:rFonts w:eastAsia="宋体"/>
          <w:sz w:val="24"/>
          <w:szCs w:val="24"/>
        </w:rPr>
      </w:pPr>
    </w:p>
    <w:p w14:paraId="15F857D8">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br w:type="page"/>
      </w:r>
    </w:p>
    <w:p w14:paraId="5546E7C3">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本机构建议遵循FDA指南《</w:t>
      </w:r>
      <w:r>
        <w:rPr>
          <w:rFonts w:eastAsia="宋体"/>
          <w:color w:val="3333FF"/>
          <w:sz w:val="24"/>
          <w:szCs w:val="24"/>
          <w:u w:val="single"/>
        </w:rPr>
        <w:t>使用国际标准ISO 10993-1，医疗器械生物学评价-第1部分：风险管理过程中的评价与试验</w:t>
      </w:r>
      <w:r>
        <w:rPr>
          <w:rFonts w:eastAsia="宋体"/>
          <w:color w:val="000000"/>
          <w:sz w:val="24"/>
          <w:szCs w:val="24"/>
        </w:rPr>
        <w:t>》</w:t>
      </w:r>
      <w:r>
        <w:rPr>
          <w:rStyle w:val="20"/>
          <w:rFonts w:eastAsia="宋体"/>
          <w:color w:val="000000"/>
          <w:sz w:val="24"/>
          <w:szCs w:val="24"/>
        </w:rPr>
        <w:footnoteReference w:id="3"/>
      </w:r>
      <w:r>
        <w:rPr>
          <w:rFonts w:eastAsia="宋体"/>
          <w:color w:val="000000"/>
          <w:sz w:val="24"/>
          <w:szCs w:val="24"/>
        </w:rPr>
        <w:t>，其中确定了应考虑的生物相容性评估类型以及关于如何开展相关试验的建议。</w:t>
      </w:r>
    </w:p>
    <w:p w14:paraId="1C36112A">
      <w:pPr>
        <w:widowControl/>
        <w:autoSpaceDE/>
        <w:autoSpaceDN/>
        <w:adjustRightInd/>
        <w:rPr>
          <w:rFonts w:eastAsia="宋体"/>
          <w:sz w:val="24"/>
          <w:szCs w:val="24"/>
        </w:rPr>
      </w:pPr>
    </w:p>
    <w:p w14:paraId="613D2C4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根据ISO 10993-1：《医疗器械生物学评价-第1部分：风险管理过程中的评价与试验》，以及与ISO-10993-1有关的FDA指南附件A，胆管支架是与组织/骨持久接触的植入器械。因此，本机构建议在您的生物相容性评价中提出以下生物相容性终点：</w:t>
      </w:r>
    </w:p>
    <w:p w14:paraId="32C6AAB6">
      <w:pPr>
        <w:shd w:val="clear" w:color="auto" w:fill="FFFFFF"/>
        <w:topLinePunct/>
        <w:autoSpaceDE/>
        <w:autoSpaceDN/>
        <w:adjustRightInd/>
        <w:jc w:val="both"/>
        <w:rPr>
          <w:rFonts w:eastAsia="宋体"/>
          <w:sz w:val="24"/>
          <w:szCs w:val="24"/>
        </w:rPr>
      </w:pPr>
    </w:p>
    <w:p w14:paraId="02D7BC11">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细胞毒性；</w:t>
      </w:r>
    </w:p>
    <w:p w14:paraId="295694B8">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致敏；</w:t>
      </w:r>
    </w:p>
    <w:p w14:paraId="799427B1">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刺激或皮内反应；</w:t>
      </w:r>
    </w:p>
    <w:p w14:paraId="43C3A1C5">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急性全身毒性；</w:t>
      </w:r>
    </w:p>
    <w:p w14:paraId="4321CEC5">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材料介导的致热原性；</w:t>
      </w:r>
    </w:p>
    <w:p w14:paraId="03062AFF">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亚急性/亚慢性毒性；</w:t>
      </w:r>
    </w:p>
    <w:p w14:paraId="1EAC1A6F">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慢性毒性；以及</w:t>
      </w:r>
    </w:p>
    <w:p w14:paraId="4B7EC4BB">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移植。</w:t>
      </w:r>
    </w:p>
    <w:p w14:paraId="0A8FCF74">
      <w:pPr>
        <w:shd w:val="clear" w:color="auto" w:fill="FFFFFF"/>
        <w:topLinePunct/>
        <w:autoSpaceDE/>
        <w:autoSpaceDN/>
        <w:adjustRightInd/>
        <w:jc w:val="both"/>
        <w:rPr>
          <w:rFonts w:eastAsia="宋体"/>
          <w:color w:val="000000"/>
          <w:sz w:val="24"/>
          <w:szCs w:val="24"/>
        </w:rPr>
      </w:pPr>
    </w:p>
    <w:p w14:paraId="594E117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根据ISO 10993-1：</w:t>
      </w:r>
      <w:r>
        <w:rPr>
          <w:rFonts w:eastAsia="宋体"/>
          <w:sz w:val="24"/>
          <w:szCs w:val="24"/>
        </w:rPr>
        <w:t>《</w:t>
      </w:r>
      <w:r>
        <w:rPr>
          <w:rFonts w:eastAsia="宋体"/>
          <w:color w:val="000000"/>
          <w:sz w:val="24"/>
          <w:szCs w:val="24"/>
        </w:rPr>
        <w:t>医疗器械生物学评价-第1部分：风险管理过程中的评价与试验</w:t>
      </w:r>
      <w:r>
        <w:rPr>
          <w:rFonts w:eastAsia="宋体"/>
          <w:sz w:val="24"/>
          <w:szCs w:val="24"/>
        </w:rPr>
        <w:t>》</w:t>
      </w:r>
      <w:r>
        <w:rPr>
          <w:rFonts w:eastAsia="宋体"/>
          <w:color w:val="000000"/>
          <w:sz w:val="24"/>
          <w:szCs w:val="24"/>
        </w:rPr>
        <w:t>以及与ISO-10993-1有关的FDA指南附件A，认为SDS与粘膜（内镜下输送）或破裂组织（经皮经肝输送）的接触时间有限。因此，本机构建议在您在生物相容性评价中说明以下生物相容性终点：</w:t>
      </w:r>
    </w:p>
    <w:p w14:paraId="4A16459E">
      <w:pPr>
        <w:shd w:val="clear" w:color="auto" w:fill="FFFFFF"/>
        <w:topLinePunct/>
        <w:autoSpaceDE/>
        <w:autoSpaceDN/>
        <w:adjustRightInd/>
        <w:jc w:val="both"/>
        <w:rPr>
          <w:rFonts w:eastAsia="宋体"/>
          <w:sz w:val="24"/>
          <w:szCs w:val="24"/>
        </w:rPr>
      </w:pPr>
    </w:p>
    <w:p w14:paraId="2300489D">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细胞毒性；</w:t>
      </w:r>
    </w:p>
    <w:p w14:paraId="5CEE6EB9">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致敏；</w:t>
      </w:r>
    </w:p>
    <w:p w14:paraId="421A982F">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刺激或皮内反应；</w:t>
      </w:r>
    </w:p>
    <w:p w14:paraId="114D08E9">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急性全身毒性（仅经皮经肝输送）；以及</w:t>
      </w:r>
    </w:p>
    <w:p w14:paraId="535B9135">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材料介导的致热原性（仅经皮经肝输送）。</w:t>
      </w:r>
    </w:p>
    <w:p w14:paraId="5379AC3E">
      <w:pPr>
        <w:shd w:val="clear" w:color="auto" w:fill="FFFFFF"/>
        <w:topLinePunct/>
        <w:autoSpaceDE/>
        <w:autoSpaceDN/>
        <w:adjustRightInd/>
        <w:jc w:val="both"/>
        <w:rPr>
          <w:rFonts w:eastAsia="宋体"/>
          <w:color w:val="000000"/>
          <w:sz w:val="24"/>
          <w:szCs w:val="24"/>
        </w:rPr>
      </w:pPr>
    </w:p>
    <w:p w14:paraId="7ADE91C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对于胆道支架，建议考虑以下其他事项：</w:t>
      </w:r>
    </w:p>
    <w:p w14:paraId="7DD1AB4C">
      <w:pPr>
        <w:shd w:val="clear" w:color="auto" w:fill="FFFFFF"/>
        <w:topLinePunct/>
        <w:autoSpaceDE/>
        <w:autoSpaceDN/>
        <w:adjustRightInd/>
        <w:jc w:val="both"/>
        <w:rPr>
          <w:rFonts w:eastAsia="宋体"/>
          <w:sz w:val="24"/>
          <w:szCs w:val="24"/>
        </w:rPr>
      </w:pPr>
    </w:p>
    <w:p w14:paraId="478BF608">
      <w:pPr>
        <w:numPr>
          <w:ilvl w:val="0"/>
          <w:numId w:val="1"/>
        </w:numPr>
        <w:shd w:val="clear" w:color="auto" w:fill="FFFFFF"/>
        <w:topLinePunct/>
        <w:autoSpaceDE/>
        <w:autoSpaceDN/>
        <w:adjustRightInd/>
        <w:ind w:left="904" w:leftChars="200" w:hanging="504" w:hangingChars="210"/>
        <w:jc w:val="both"/>
        <w:rPr>
          <w:rFonts w:eastAsia="宋体"/>
          <w:sz w:val="24"/>
          <w:szCs w:val="24"/>
        </w:rPr>
      </w:pPr>
      <w:r>
        <w:rPr>
          <w:rFonts w:eastAsia="宋体"/>
          <w:color w:val="000000"/>
          <w:sz w:val="24"/>
          <w:szCs w:val="24"/>
        </w:rPr>
        <w:t>由于可能影响器械的生物相容性，应提供关于特定支架工序的信息，包括热处理和可能采用的任何后续表面加工环节。</w:t>
      </w:r>
    </w:p>
    <w:p w14:paraId="6FA58E93">
      <w:pPr>
        <w:shd w:val="clear" w:color="auto" w:fill="FFFFFF"/>
        <w:topLinePunct/>
        <w:autoSpaceDE/>
        <w:autoSpaceDN/>
        <w:adjustRightInd/>
        <w:ind w:left="904"/>
        <w:jc w:val="both"/>
        <w:rPr>
          <w:rFonts w:eastAsia="宋体"/>
          <w:sz w:val="24"/>
          <w:szCs w:val="24"/>
        </w:rPr>
      </w:pPr>
    </w:p>
    <w:p w14:paraId="5F6A704A">
      <w:pPr>
        <w:pStyle w:val="3"/>
      </w:pPr>
      <w:bookmarkStart w:id="17" w:name="_Toc97386386"/>
      <w:bookmarkStart w:id="18" w:name="_Toc97386688"/>
      <w:r>
        <w:t>D.</w:t>
      </w:r>
      <w:r>
        <w:tab/>
      </w:r>
      <w:r>
        <w:t>无菌性</w:t>
      </w:r>
      <w:bookmarkEnd w:id="17"/>
      <w:bookmarkEnd w:id="18"/>
    </w:p>
    <w:p w14:paraId="3D5B82EE">
      <w:pPr>
        <w:shd w:val="clear" w:color="auto" w:fill="FFFFFF"/>
        <w:topLinePunct/>
        <w:autoSpaceDE/>
        <w:autoSpaceDN/>
        <w:adjustRightInd/>
        <w:jc w:val="both"/>
        <w:rPr>
          <w:rFonts w:eastAsia="宋体"/>
          <w:color w:val="000000"/>
          <w:sz w:val="24"/>
          <w:szCs w:val="24"/>
          <w:u w:val="single"/>
        </w:rPr>
      </w:pPr>
    </w:p>
    <w:p w14:paraId="1162A97E">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：胆道支架与相关的SDS应充分消毒，以最大限度减少感染和相关并发症。</w:t>
      </w:r>
    </w:p>
    <w:p w14:paraId="3A22B856">
      <w:pPr>
        <w:shd w:val="clear" w:color="auto" w:fill="FFFFFF"/>
        <w:topLinePunct/>
        <w:autoSpaceDE/>
        <w:autoSpaceDN/>
        <w:adjustRightInd/>
        <w:jc w:val="both"/>
        <w:rPr>
          <w:rFonts w:eastAsia="宋体"/>
          <w:sz w:val="24"/>
          <w:szCs w:val="24"/>
        </w:rPr>
      </w:pPr>
      <w:r>
        <w:rPr>
          <w:rFonts w:eastAsia="宋体"/>
          <w:sz w:val="24"/>
          <w:szCs w:val="24"/>
        </w:rPr>
        <w:br w:type="page"/>
      </w:r>
    </w:p>
    <w:p w14:paraId="61068EEF">
      <w:pPr>
        <w:shd w:val="clear" w:color="auto" w:fill="FFFFFF"/>
        <w:topLinePunct/>
        <w:autoSpaceDE/>
        <w:autoSpaceDN/>
        <w:adjustRightInd/>
        <w:jc w:val="both"/>
        <w:rPr>
          <w:rFonts w:eastAsia="宋体"/>
          <w:color w:val="000000"/>
          <w:sz w:val="24"/>
          <w:szCs w:val="24"/>
          <w:vertAlign w:val="superscript"/>
        </w:rPr>
      </w:pPr>
      <w:r>
        <w:rPr>
          <w:rFonts w:eastAsia="宋体"/>
          <w:color w:val="000000"/>
          <w:sz w:val="24"/>
          <w:szCs w:val="24"/>
          <w:u w:val="single"/>
        </w:rPr>
        <w:t>建议</w:t>
      </w:r>
      <w:r>
        <w:rPr>
          <w:rFonts w:eastAsia="宋体"/>
          <w:color w:val="000000"/>
          <w:sz w:val="24"/>
          <w:szCs w:val="24"/>
        </w:rPr>
        <w:t>：对于标记为无菌的胆道支架和相关的SDS，本机构建议您根据FDA指南《</w:t>
      </w:r>
      <w:r>
        <w:rPr>
          <w:rFonts w:eastAsia="宋体"/>
          <w:color w:val="3333FF"/>
          <w:sz w:val="24"/>
          <w:szCs w:val="24"/>
          <w:u w:val="single"/>
        </w:rPr>
        <w:t>无菌器械上市前通知（510(k)）申请中无菌信息的提交和审查</w:t>
      </w:r>
      <w:r>
        <w:rPr>
          <w:rFonts w:eastAsia="宋体"/>
          <w:color w:val="000000"/>
          <w:sz w:val="24"/>
          <w:szCs w:val="24"/>
        </w:rPr>
        <w:t>》提供最终器械的信息。</w:t>
      </w:r>
      <w:r>
        <w:rPr>
          <w:rStyle w:val="20"/>
          <w:rFonts w:eastAsia="宋体"/>
          <w:color w:val="000000"/>
          <w:sz w:val="24"/>
          <w:szCs w:val="24"/>
        </w:rPr>
        <w:footnoteReference w:id="4"/>
      </w:r>
    </w:p>
    <w:p w14:paraId="2C9EBA92">
      <w:pPr>
        <w:shd w:val="clear" w:color="auto" w:fill="FFFFFF"/>
        <w:topLinePunct/>
        <w:autoSpaceDE/>
        <w:autoSpaceDN/>
        <w:adjustRightInd/>
        <w:jc w:val="both"/>
        <w:rPr>
          <w:rFonts w:eastAsia="宋体"/>
          <w:sz w:val="24"/>
          <w:szCs w:val="24"/>
        </w:rPr>
      </w:pPr>
    </w:p>
    <w:p w14:paraId="53A662E8">
      <w:pPr>
        <w:pStyle w:val="3"/>
      </w:pPr>
      <w:bookmarkStart w:id="19" w:name="_Toc97386689"/>
      <w:bookmarkStart w:id="20" w:name="_Toc97386387"/>
      <w:r>
        <w:t>E.</w:t>
      </w:r>
      <w:r>
        <w:tab/>
      </w:r>
      <w:r>
        <w:t>货架期和包装</w:t>
      </w:r>
      <w:bookmarkEnd w:id="19"/>
      <w:bookmarkEnd w:id="20"/>
    </w:p>
    <w:p w14:paraId="60684D8D">
      <w:pPr>
        <w:shd w:val="clear" w:color="auto" w:fill="FFFFFF"/>
        <w:topLinePunct/>
        <w:autoSpaceDE/>
        <w:autoSpaceDN/>
        <w:adjustRightInd/>
        <w:jc w:val="both"/>
        <w:rPr>
          <w:rFonts w:eastAsia="宋体"/>
          <w:color w:val="000000"/>
          <w:sz w:val="24"/>
          <w:szCs w:val="24"/>
          <w:u w:val="single"/>
        </w:rPr>
      </w:pPr>
    </w:p>
    <w:p w14:paraId="312D3054">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：通过评价包装完整性以保持器械无菌性和/或评价器械性能或功能的任何变化，进行货架期测试以支持拟定的到期日期。</w:t>
      </w:r>
    </w:p>
    <w:p w14:paraId="65191B9B">
      <w:pPr>
        <w:shd w:val="clear" w:color="auto" w:fill="FFFFFF"/>
        <w:topLinePunct/>
        <w:autoSpaceDE/>
        <w:autoSpaceDN/>
        <w:adjustRightInd/>
        <w:jc w:val="both"/>
        <w:rPr>
          <w:rFonts w:eastAsia="宋体"/>
          <w:color w:val="000000"/>
          <w:sz w:val="24"/>
          <w:szCs w:val="24"/>
          <w:u w:val="single"/>
        </w:rPr>
      </w:pPr>
    </w:p>
    <w:p w14:paraId="2DA3DC63">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关于保持器械无菌性的包装完整性，您应提供包装描述，包括如何维持器械的无菌性、包装完整性测试方法描述（不包括包装测试数据）。建议包装完整性测试方法包括模拟配送和相关包装完整性，以及模拟（和/或实时）老化和相关密封强度测试，以确认包装完整性和货架期声明。本机构建议遵循FDA认可的一系列共识标准AAMI/ANSI/ISO 11607-1：</w:t>
      </w:r>
      <w:r>
        <w:rPr>
          <w:rFonts w:eastAsia="宋体"/>
          <w:sz w:val="24"/>
          <w:szCs w:val="24"/>
        </w:rPr>
        <w:t>《</w:t>
      </w:r>
      <w:r>
        <w:rPr>
          <w:rFonts w:eastAsia="宋体"/>
          <w:color w:val="000000"/>
          <w:sz w:val="24"/>
          <w:szCs w:val="24"/>
        </w:rPr>
        <w:t>最终灭菌医疗器械的包装-第1部分：材料、无菌屏障系统和包装的要求》以及AAMI/ANSI/ISO 11607-2：《最终灭菌医疗器械的包装-第2部分：成形、密封和装配过程的确认要求》。</w:t>
      </w:r>
    </w:p>
    <w:p w14:paraId="0F44FF2D">
      <w:pPr>
        <w:shd w:val="clear" w:color="auto" w:fill="FFFFFF"/>
        <w:topLinePunct/>
        <w:autoSpaceDE/>
        <w:autoSpaceDN/>
        <w:adjustRightInd/>
        <w:jc w:val="both"/>
        <w:rPr>
          <w:rFonts w:eastAsia="宋体"/>
          <w:sz w:val="24"/>
          <w:szCs w:val="24"/>
        </w:rPr>
      </w:pPr>
    </w:p>
    <w:p w14:paraId="024A7B97">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关于评价老化对器械性能或功能的影响，货架期研究应评价器械的关键性能，以确保其在整个拟定货架期内充分一致地运行。为评价器械功能，本机构建议评估</w:t>
      </w:r>
      <w:r>
        <w:rPr>
          <w:rFonts w:eastAsia="宋体"/>
          <w:b/>
          <w:sz w:val="24"/>
          <w:szCs w:val="24"/>
        </w:rPr>
        <w:t>下列第V.G节</w:t>
      </w:r>
      <w:r>
        <w:rPr>
          <w:rFonts w:eastAsia="宋体"/>
          <w:color w:val="000000"/>
          <w:sz w:val="24"/>
          <w:szCs w:val="24"/>
        </w:rPr>
        <w:t>中描述的每项实验室试验，并重复所有可能受到老化影响的设计组件或特性的测试。</w:t>
      </w:r>
    </w:p>
    <w:p w14:paraId="64FE0A1B">
      <w:pPr>
        <w:shd w:val="clear" w:color="auto" w:fill="FFFFFF"/>
        <w:topLinePunct/>
        <w:autoSpaceDE/>
        <w:autoSpaceDN/>
        <w:adjustRightInd/>
        <w:ind w:firstLine="480" w:firstLineChars="200"/>
        <w:jc w:val="both"/>
        <w:rPr>
          <w:rFonts w:eastAsia="宋体"/>
          <w:sz w:val="24"/>
          <w:szCs w:val="24"/>
        </w:rPr>
      </w:pPr>
    </w:p>
    <w:p w14:paraId="7E73F71D">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本机构建议提供用于货架期测试的测试方法、结果和根据结果所得出结论的概要。如果使用加速老化的器械进行货架期测试，本机构建议指定器械的老化方式。本机构建议按照目前FDA认可的ASTM F1980《医疗器械无菌屏障系统加速老化标准指南》对器械进行老化，并指定为达到有效期而确定的环境参数。对于含有聚合物材料的器械或组件，应计划对实时老化样本进行测试，以确认加速老化可以反映实时老化。该测试应与510(k)审查和批准同时进行，并将结果记录在设计历史文档中（即完整的测试报告无需提交给FDA）。</w:t>
      </w:r>
    </w:p>
    <w:p w14:paraId="33F69670">
      <w:pPr>
        <w:shd w:val="clear" w:color="auto" w:fill="FFFFFF"/>
        <w:topLinePunct/>
        <w:autoSpaceDE/>
        <w:autoSpaceDN/>
        <w:adjustRightInd/>
        <w:contextualSpacing/>
        <w:jc w:val="both"/>
        <w:rPr>
          <w:rFonts w:eastAsia="宋体"/>
          <w:color w:val="3333FF"/>
          <w:sz w:val="24"/>
          <w:szCs w:val="24"/>
        </w:rPr>
      </w:pPr>
      <w:r>
        <w:rPr>
          <w:rFonts w:eastAsia="宋体"/>
          <w:color w:val="3333FF"/>
          <w:sz w:val="24"/>
          <w:szCs w:val="24"/>
        </w:rPr>
        <w:br w:type="page"/>
      </w:r>
    </w:p>
    <w:p w14:paraId="15F61B82">
      <w:pPr>
        <w:pStyle w:val="3"/>
      </w:pPr>
      <w:bookmarkStart w:id="21" w:name="_Toc97386690"/>
      <w:bookmarkStart w:id="22" w:name="_Toc97386388"/>
      <w:r>
        <w:t>F.</w:t>
      </w:r>
      <w:r>
        <w:tab/>
      </w:r>
      <w:r>
        <w:t>无源植入物的磁共振（MR）兼容性</w:t>
      </w:r>
      <w:bookmarkEnd w:id="21"/>
      <w:bookmarkEnd w:id="22"/>
    </w:p>
    <w:p w14:paraId="1BC27BB7">
      <w:pPr>
        <w:shd w:val="clear" w:color="auto" w:fill="FFFFFF"/>
        <w:topLinePunct/>
        <w:autoSpaceDE/>
        <w:autoSpaceDN/>
        <w:adjustRightInd/>
        <w:jc w:val="both"/>
        <w:rPr>
          <w:rFonts w:eastAsia="宋体"/>
          <w:color w:val="000000"/>
          <w:sz w:val="24"/>
          <w:szCs w:val="24"/>
          <w:u w:val="single"/>
        </w:rPr>
      </w:pPr>
    </w:p>
    <w:p w14:paraId="1D8A1562">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：植入胆道支架的患者的MR成像显示出以下潜在危害：</w:t>
      </w:r>
    </w:p>
    <w:p w14:paraId="14BD8936">
      <w:pPr>
        <w:shd w:val="clear" w:color="auto" w:fill="FFFFFF"/>
        <w:topLinePunct/>
        <w:autoSpaceDE/>
        <w:autoSpaceDN/>
        <w:adjustRightInd/>
        <w:jc w:val="both"/>
        <w:rPr>
          <w:rFonts w:eastAsia="宋体"/>
          <w:sz w:val="24"/>
          <w:szCs w:val="24"/>
        </w:rPr>
      </w:pPr>
    </w:p>
    <w:p w14:paraId="55630B32">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支架移动，导致组织损伤或支架移位；</w:t>
      </w:r>
    </w:p>
    <w:p w14:paraId="53B158A7">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支架周围组织发热，导致胆管和周围组织的损伤；以及</w:t>
      </w:r>
    </w:p>
    <w:p w14:paraId="55A2D030">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支架附近的图像伪影，可能使附近解剖结构的MR图像无法解释或产生误导。</w:t>
      </w:r>
    </w:p>
    <w:p w14:paraId="0F10DB66">
      <w:pPr>
        <w:shd w:val="clear" w:color="auto" w:fill="FFFFFF"/>
        <w:topLinePunct/>
        <w:autoSpaceDE/>
        <w:autoSpaceDN/>
        <w:adjustRightInd/>
        <w:jc w:val="both"/>
        <w:rPr>
          <w:rFonts w:eastAsia="宋体"/>
          <w:sz w:val="24"/>
          <w:szCs w:val="24"/>
          <w:u w:val="single"/>
        </w:rPr>
      </w:pPr>
    </w:p>
    <w:p w14:paraId="6219B340">
      <w:pPr>
        <w:shd w:val="clear" w:color="auto" w:fill="FFFFFF"/>
        <w:topLinePunct/>
        <w:autoSpaceDE/>
        <w:autoSpaceDN/>
        <w:adjustRightInd/>
        <w:jc w:val="both"/>
        <w:rPr>
          <w:rFonts w:eastAsia="宋体"/>
          <w:sz w:val="24"/>
          <w:szCs w:val="24"/>
        </w:rPr>
      </w:pPr>
      <w:r>
        <w:rPr>
          <w:rFonts w:eastAsia="宋体"/>
          <w:sz w:val="24"/>
          <w:szCs w:val="24"/>
          <w:u w:val="single"/>
        </w:rPr>
        <w:t>建议</w:t>
      </w:r>
      <w:r>
        <w:rPr>
          <w:rFonts w:eastAsia="宋体"/>
          <w:sz w:val="24"/>
          <w:szCs w:val="24"/>
        </w:rPr>
        <w:t>：本机构建议解决影响MR环境中胆道支架安全性和兼容性的问题，如FDA指南《</w:t>
      </w:r>
      <w:r>
        <w:rPr>
          <w:rFonts w:eastAsia="宋体"/>
          <w:color w:val="3333FF"/>
          <w:sz w:val="24"/>
          <w:szCs w:val="24"/>
          <w:u w:val="single"/>
        </w:rPr>
        <w:t>确定无源植入物在MR（磁共振）环境中的安全性和兼容性</w:t>
      </w:r>
      <w:r>
        <w:rPr>
          <w:rFonts w:eastAsia="宋体"/>
          <w:sz w:val="24"/>
          <w:szCs w:val="24"/>
        </w:rPr>
        <w:t>》</w:t>
      </w:r>
      <w:r>
        <w:rPr>
          <w:rStyle w:val="20"/>
          <w:rFonts w:eastAsia="宋体"/>
          <w:sz w:val="24"/>
          <w:szCs w:val="24"/>
        </w:rPr>
        <w:footnoteReference w:id="5"/>
      </w:r>
      <w:r>
        <w:rPr>
          <w:rFonts w:eastAsia="宋体"/>
          <w:sz w:val="24"/>
          <w:szCs w:val="24"/>
        </w:rPr>
        <w:t>所述。</w:t>
      </w:r>
    </w:p>
    <w:p w14:paraId="46459616">
      <w:pPr>
        <w:shd w:val="clear" w:color="auto" w:fill="FFFFFF"/>
        <w:topLinePunct/>
        <w:autoSpaceDE/>
        <w:autoSpaceDN/>
        <w:adjustRightInd/>
        <w:jc w:val="both"/>
        <w:rPr>
          <w:rFonts w:eastAsia="宋体"/>
          <w:color w:val="3333FF"/>
          <w:sz w:val="24"/>
          <w:szCs w:val="24"/>
        </w:rPr>
      </w:pPr>
    </w:p>
    <w:p w14:paraId="769BB00B">
      <w:pPr>
        <w:shd w:val="clear" w:color="auto" w:fill="FFFFFF"/>
        <w:topLinePunct/>
        <w:autoSpaceDE/>
        <w:autoSpaceDN/>
        <w:adjustRightInd/>
        <w:ind w:firstLine="480" w:firstLineChars="200"/>
        <w:jc w:val="both"/>
        <w:rPr>
          <w:rFonts w:eastAsia="宋体"/>
          <w:sz w:val="24"/>
          <w:szCs w:val="24"/>
        </w:rPr>
      </w:pPr>
      <w:r>
        <w:rPr>
          <w:rFonts w:eastAsia="宋体"/>
          <w:sz w:val="24"/>
          <w:szCs w:val="24"/>
        </w:rPr>
        <w:t>如果想上市各种尺寸和形状的支架，本机构建议遵循FDA指南《</w:t>
      </w:r>
      <w:r>
        <w:rPr>
          <w:rFonts w:eastAsia="宋体"/>
          <w:color w:val="3333FF"/>
          <w:sz w:val="24"/>
          <w:szCs w:val="24"/>
          <w:u w:val="single"/>
        </w:rPr>
        <w:t>针对多配置无源医疗器械的磁共振（MR）环境中射频感应加热的评估</w:t>
      </w:r>
      <w:r>
        <w:rPr>
          <w:rFonts w:eastAsia="宋体"/>
          <w:sz w:val="24"/>
          <w:szCs w:val="24"/>
        </w:rPr>
        <w:t>》</w:t>
      </w:r>
      <w:r>
        <w:rPr>
          <w:rStyle w:val="20"/>
          <w:rFonts w:eastAsia="宋体"/>
          <w:sz w:val="24"/>
          <w:szCs w:val="24"/>
        </w:rPr>
        <w:footnoteReference w:id="6"/>
      </w:r>
      <w:r>
        <w:rPr>
          <w:rFonts w:eastAsia="宋体"/>
          <w:sz w:val="24"/>
          <w:szCs w:val="24"/>
        </w:rPr>
        <w:t>中的建议。</w:t>
      </w:r>
    </w:p>
    <w:p w14:paraId="58903FA2">
      <w:pPr>
        <w:shd w:val="clear" w:color="auto" w:fill="FFFFFF"/>
        <w:topLinePunct/>
        <w:autoSpaceDE/>
        <w:autoSpaceDN/>
        <w:adjustRightInd/>
        <w:jc w:val="both"/>
        <w:rPr>
          <w:rFonts w:eastAsia="宋体"/>
          <w:sz w:val="24"/>
          <w:szCs w:val="24"/>
        </w:rPr>
      </w:pPr>
    </w:p>
    <w:p w14:paraId="30E5FCE0">
      <w:pPr>
        <w:pStyle w:val="3"/>
      </w:pPr>
      <w:bookmarkStart w:id="23" w:name="_Toc97386389"/>
      <w:bookmarkStart w:id="24" w:name="_Toc97386691"/>
      <w:r>
        <w:t>G.</w:t>
      </w:r>
      <w:r>
        <w:tab/>
      </w:r>
      <w:r>
        <w:t>非临床实验室试验</w:t>
      </w:r>
      <w:bookmarkEnd w:id="23"/>
      <w:bookmarkEnd w:id="24"/>
    </w:p>
    <w:p w14:paraId="3724B640">
      <w:pPr>
        <w:shd w:val="clear" w:color="auto" w:fill="FFFFFF"/>
        <w:topLinePunct/>
        <w:autoSpaceDE/>
        <w:autoSpaceDN/>
        <w:adjustRightInd/>
        <w:jc w:val="both"/>
        <w:rPr>
          <w:rFonts w:eastAsia="宋体"/>
          <w:color w:val="000000"/>
          <w:sz w:val="24"/>
          <w:szCs w:val="24"/>
        </w:rPr>
      </w:pPr>
    </w:p>
    <w:p w14:paraId="0222DABF">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节所述的一些性能测试应针对所有胆道支架和SDS进行，而其他测试只应针对具有特定设计的支架（如球囊扩张式支架）进行。本节所述的每项测试均提供了该信息。本机构认为，每项测试均为胆道支架的实质等同性确定提供了支持。</w:t>
      </w:r>
    </w:p>
    <w:p w14:paraId="16709696">
      <w:pPr>
        <w:shd w:val="clear" w:color="auto" w:fill="FFFFFF"/>
        <w:topLinePunct/>
        <w:autoSpaceDE/>
        <w:autoSpaceDN/>
        <w:adjustRightInd/>
        <w:ind w:firstLine="480" w:firstLineChars="200"/>
        <w:jc w:val="both"/>
        <w:rPr>
          <w:rFonts w:eastAsia="宋体"/>
          <w:sz w:val="24"/>
          <w:szCs w:val="24"/>
        </w:rPr>
      </w:pPr>
    </w:p>
    <w:p w14:paraId="0E2E7BCD">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如果认为本指南中推荐的测试不适用于您的器械，应该将测试标题纳入测试概要中，然后提供描述该测试不适用的科学依据。</w:t>
      </w:r>
    </w:p>
    <w:p w14:paraId="784DAA17">
      <w:pPr>
        <w:shd w:val="clear" w:color="auto" w:fill="FFFFFF"/>
        <w:topLinePunct/>
        <w:autoSpaceDE/>
        <w:autoSpaceDN/>
        <w:adjustRightInd/>
        <w:ind w:firstLine="480" w:firstLineChars="200"/>
        <w:jc w:val="both"/>
        <w:rPr>
          <w:rFonts w:eastAsia="宋体"/>
          <w:sz w:val="24"/>
          <w:szCs w:val="24"/>
        </w:rPr>
      </w:pPr>
    </w:p>
    <w:p w14:paraId="2850139C">
      <w:pPr>
        <w:shd w:val="clear" w:color="auto" w:fill="FFFFFF"/>
        <w:topLinePunct/>
        <w:autoSpaceDE/>
        <w:autoSpaceDN/>
        <w:adjustRightInd/>
        <w:ind w:firstLine="480" w:firstLineChars="200"/>
        <w:jc w:val="both"/>
        <w:rPr>
          <w:rFonts w:eastAsia="宋体"/>
          <w:color w:val="000000"/>
          <w:sz w:val="24"/>
          <w:szCs w:val="24"/>
          <w:vertAlign w:val="superscript"/>
        </w:rPr>
      </w:pPr>
      <w:r>
        <w:rPr>
          <w:rFonts w:eastAsia="宋体"/>
          <w:color w:val="000000"/>
          <w:sz w:val="24"/>
          <w:szCs w:val="24"/>
        </w:rPr>
        <w:t>本机构建议将您的器械的这些性能测试结果与同品种器械或适当参照器械的结果进行比较（参考</w:t>
      </w:r>
      <w:r>
        <w:rPr>
          <w:rFonts w:eastAsia="宋体"/>
          <w:b/>
          <w:sz w:val="24"/>
          <w:szCs w:val="24"/>
        </w:rPr>
        <w:t>附录A</w:t>
      </w:r>
      <w:r>
        <w:rPr>
          <w:rFonts w:eastAsia="宋体"/>
          <w:color w:val="000000"/>
          <w:sz w:val="24"/>
          <w:szCs w:val="24"/>
        </w:rPr>
        <w:t>）。</w:t>
      </w:r>
      <w:r>
        <w:rPr>
          <w:rFonts w:eastAsia="宋体"/>
          <w:sz w:val="24"/>
          <w:szCs w:val="24"/>
        </w:rPr>
        <w:t>有关本节所述测试的建议内容和测试报告格式的信息，请参见FDA指南《</w:t>
      </w:r>
      <w:r>
        <w:rPr>
          <w:rFonts w:eastAsia="宋体"/>
          <w:color w:val="3333FF"/>
          <w:sz w:val="24"/>
          <w:szCs w:val="24"/>
          <w:u w:val="single"/>
        </w:rPr>
        <w:t>上市前申请中非临床实验室性能试验信息的建议内容和格式</w:t>
      </w:r>
      <w:r>
        <w:rPr>
          <w:rFonts w:eastAsia="宋体"/>
          <w:sz w:val="24"/>
          <w:szCs w:val="24"/>
        </w:rPr>
        <w:t>》。</w:t>
      </w:r>
      <w:r>
        <w:rPr>
          <w:rStyle w:val="20"/>
          <w:rFonts w:eastAsia="宋体"/>
          <w:color w:val="000000"/>
          <w:sz w:val="24"/>
          <w:szCs w:val="24"/>
        </w:rPr>
        <w:footnoteReference w:id="7"/>
      </w:r>
    </w:p>
    <w:p w14:paraId="56833DFF">
      <w:pPr>
        <w:shd w:val="clear" w:color="auto" w:fill="FFFFFF"/>
        <w:topLinePunct/>
        <w:autoSpaceDE/>
        <w:autoSpaceDN/>
        <w:adjustRightInd/>
        <w:ind w:firstLine="480" w:firstLineChars="200"/>
        <w:jc w:val="both"/>
        <w:rPr>
          <w:rFonts w:eastAsia="宋体"/>
          <w:sz w:val="24"/>
          <w:szCs w:val="24"/>
        </w:rPr>
      </w:pPr>
    </w:p>
    <w:p w14:paraId="230D11A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针对胆道支架，推荐进行以下测试：</w:t>
      </w:r>
    </w:p>
    <w:p w14:paraId="4336056C">
      <w:pPr>
        <w:shd w:val="clear" w:color="auto" w:fill="FFFFFF"/>
        <w:topLinePunct/>
        <w:autoSpaceDE/>
        <w:autoSpaceDN/>
        <w:adjustRightInd/>
        <w:jc w:val="both"/>
        <w:rPr>
          <w:rFonts w:eastAsia="宋体"/>
          <w:sz w:val="24"/>
          <w:szCs w:val="24"/>
        </w:rPr>
      </w:pPr>
      <w:r>
        <w:rPr>
          <w:rFonts w:eastAsia="宋体"/>
          <w:sz w:val="24"/>
          <w:szCs w:val="24"/>
        </w:rPr>
        <w:br w:type="page"/>
      </w:r>
    </w:p>
    <w:p w14:paraId="0A7AC71F">
      <w:pPr>
        <w:pStyle w:val="4"/>
        <w:tabs>
          <w:tab w:val="left" w:pos="2268"/>
        </w:tabs>
        <w:spacing w:before="0" w:after="0" w:line="240" w:lineRule="auto"/>
        <w:ind w:left="1610" w:leftChars="805"/>
        <w:rPr>
          <w:sz w:val="28"/>
          <w:szCs w:val="28"/>
        </w:rPr>
      </w:pPr>
      <w:bookmarkStart w:id="25" w:name="_Toc97386390"/>
      <w:bookmarkStart w:id="26" w:name="_Toc97386692"/>
      <w:r>
        <w:rPr>
          <w:rFonts w:hint="eastAsia"/>
          <w:sz w:val="28"/>
          <w:szCs w:val="28"/>
        </w:rPr>
        <w:t>(</w:t>
      </w:r>
      <w:r>
        <w:rPr>
          <w:sz w:val="28"/>
          <w:szCs w:val="28"/>
        </w:rPr>
        <w:t>1</w:t>
      </w:r>
      <w:r>
        <w:rPr>
          <w:rFonts w:hint="eastAsia"/>
          <w:sz w:val="28"/>
          <w:szCs w:val="28"/>
        </w:rPr>
        <w:t>)</w:t>
      </w:r>
      <w:r>
        <w:rPr>
          <w:rFonts w:hint="eastAsia"/>
          <w:sz w:val="28"/>
          <w:szCs w:val="28"/>
        </w:rPr>
        <w:tab/>
      </w:r>
      <w:r>
        <w:rPr>
          <w:sz w:val="28"/>
          <w:szCs w:val="28"/>
        </w:rPr>
        <w:t>支架耐腐蚀性</w:t>
      </w:r>
      <w:bookmarkEnd w:id="25"/>
      <w:bookmarkEnd w:id="26"/>
    </w:p>
    <w:p w14:paraId="4FE53331">
      <w:pPr>
        <w:shd w:val="clear" w:color="auto" w:fill="FFFFFF"/>
        <w:topLinePunct/>
        <w:autoSpaceDE/>
        <w:autoSpaceDN/>
        <w:adjustRightInd/>
        <w:jc w:val="both"/>
        <w:rPr>
          <w:rFonts w:eastAsia="宋体"/>
          <w:color w:val="000000"/>
          <w:sz w:val="24"/>
          <w:szCs w:val="24"/>
          <w:u w:val="single"/>
        </w:rPr>
      </w:pPr>
    </w:p>
    <w:p w14:paraId="23359D4C">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：支架腐蚀可导致或造成支架过早失效。此外，腐蚀副产物可能具有毒性或引起其他不良生物和组织反应。</w:t>
      </w:r>
    </w:p>
    <w:p w14:paraId="26E9BEF0">
      <w:pPr>
        <w:shd w:val="clear" w:color="auto" w:fill="FFFFFF"/>
        <w:topLinePunct/>
        <w:autoSpaceDE/>
        <w:autoSpaceDN/>
        <w:adjustRightInd/>
        <w:jc w:val="both"/>
        <w:rPr>
          <w:rFonts w:eastAsia="宋体"/>
          <w:sz w:val="24"/>
          <w:szCs w:val="24"/>
        </w:rPr>
      </w:pPr>
    </w:p>
    <w:p w14:paraId="5AE02674">
      <w:pPr>
        <w:shd w:val="clear" w:color="auto" w:fill="FFFFFF"/>
        <w:topLinePunct/>
        <w:autoSpaceDE/>
        <w:autoSpaceDN/>
        <w:adjustRightInd/>
        <w:jc w:val="both"/>
        <w:rPr>
          <w:rFonts w:eastAsia="宋体"/>
          <w:color w:val="000000"/>
          <w:sz w:val="24"/>
          <w:szCs w:val="24"/>
        </w:rPr>
      </w:pPr>
      <w:r>
        <w:rPr>
          <w:rFonts w:eastAsia="宋体"/>
          <w:sz w:val="24"/>
          <w:szCs w:val="24"/>
          <w:u w:val="single"/>
        </w:rPr>
        <w:t>建议</w:t>
      </w:r>
      <w:r>
        <w:rPr>
          <w:rFonts w:eastAsia="宋体"/>
          <w:sz w:val="24"/>
          <w:szCs w:val="24"/>
        </w:rPr>
        <w:t>：</w:t>
      </w:r>
      <w:r>
        <w:rPr>
          <w:rFonts w:eastAsia="宋体"/>
          <w:color w:val="000000"/>
          <w:sz w:val="24"/>
          <w:szCs w:val="24"/>
        </w:rPr>
        <w:t>本机构建议对下述器械的腐蚀特性进行论述。如果其中一些特征不适用于您的器械，本机构建议在申请中对此进行解释。</w:t>
      </w:r>
    </w:p>
    <w:p w14:paraId="704EB262">
      <w:pPr>
        <w:shd w:val="clear" w:color="auto" w:fill="FFFFFF"/>
        <w:topLinePunct/>
        <w:autoSpaceDE/>
        <w:autoSpaceDN/>
        <w:adjustRightInd/>
        <w:jc w:val="both"/>
        <w:rPr>
          <w:rFonts w:eastAsia="宋体"/>
          <w:sz w:val="24"/>
          <w:szCs w:val="24"/>
        </w:rPr>
      </w:pPr>
    </w:p>
    <w:p w14:paraId="643012AB">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a.</w:t>
      </w:r>
      <w:r>
        <w:rPr>
          <w:rFonts w:eastAsia="宋体"/>
          <w:b/>
          <w:color w:val="000000"/>
          <w:sz w:val="24"/>
          <w:szCs w:val="24"/>
        </w:rPr>
        <w:tab/>
      </w:r>
      <w:r>
        <w:rPr>
          <w:rFonts w:eastAsia="宋体"/>
          <w:b/>
          <w:color w:val="000000"/>
          <w:sz w:val="24"/>
          <w:szCs w:val="24"/>
        </w:rPr>
        <w:t>点状腐蚀电位</w:t>
      </w:r>
    </w:p>
    <w:p w14:paraId="70109D4D">
      <w:pPr>
        <w:shd w:val="clear" w:color="auto" w:fill="FFFFFF"/>
        <w:topLinePunct/>
        <w:autoSpaceDE/>
        <w:autoSpaceDN/>
        <w:adjustRightInd/>
        <w:jc w:val="both"/>
        <w:rPr>
          <w:rFonts w:eastAsia="宋体"/>
          <w:sz w:val="24"/>
          <w:szCs w:val="24"/>
        </w:rPr>
      </w:pPr>
    </w:p>
    <w:p w14:paraId="234924DB">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本机构建议根据目前ASTM F2129公认版：《</w:t>
      </w:r>
      <w:r>
        <w:rPr>
          <w:rFonts w:eastAsia="宋体"/>
          <w:i/>
          <w:color w:val="000000"/>
          <w:sz w:val="24"/>
          <w:szCs w:val="24"/>
        </w:rPr>
        <w:t>为测定小型植入器械腐蚀敏感性</w:t>
      </w:r>
      <w:r>
        <w:rPr>
          <w:rFonts w:eastAsia="宋体"/>
          <w:sz w:val="24"/>
          <w:szCs w:val="24"/>
        </w:rPr>
        <w:t>（或具有正当理由的等效方法）</w:t>
      </w:r>
      <w:r>
        <w:rPr>
          <w:rFonts w:eastAsia="宋体"/>
          <w:i/>
          <w:color w:val="000000"/>
          <w:sz w:val="24"/>
          <w:szCs w:val="24"/>
        </w:rPr>
        <w:t>开展循环动电位极化测量的标准测试方法</w:t>
      </w:r>
      <w:r>
        <w:rPr>
          <w:rFonts w:eastAsia="宋体"/>
          <w:sz w:val="24"/>
          <w:szCs w:val="24"/>
        </w:rPr>
        <w:t>》所述的方法描述所生产支架的腐蚀电位特征。测试设置应符合ASTM G5现行版本：《</w:t>
      </w:r>
      <w:r>
        <w:rPr>
          <w:rFonts w:eastAsia="宋体"/>
          <w:i/>
          <w:color w:val="000000"/>
          <w:sz w:val="24"/>
          <w:szCs w:val="24"/>
        </w:rPr>
        <w:t>进行动电位阳极极化测量的标准参考测试方法</w:t>
      </w:r>
      <w:r>
        <w:rPr>
          <w:rFonts w:eastAsia="宋体"/>
          <w:sz w:val="24"/>
          <w:szCs w:val="24"/>
        </w:rPr>
        <w:t>》中列出的标准。</w:t>
      </w:r>
      <w:r>
        <w:rPr>
          <w:rFonts w:eastAsia="宋体"/>
          <w:color w:val="000000"/>
          <w:sz w:val="24"/>
          <w:szCs w:val="24"/>
        </w:rPr>
        <w:t>该器械进行模拟使用测试后，对其进行测试，其中包括通过模拟体内解剖条件的体外夹具对装置进行压接、跟踪和部署。或者，该支架可在不通过跟踪夹具的情况下，经受模拟使用（如弯曲）期间预期的应变，并说明理由。该器械条件作用旨在模拟支架植入时的临床条件。模拟胆汁应用作标准供试品溶液。</w:t>
      </w:r>
    </w:p>
    <w:p w14:paraId="486F98CB">
      <w:pPr>
        <w:shd w:val="clear" w:color="auto" w:fill="FFFFFF"/>
        <w:topLinePunct/>
        <w:autoSpaceDE/>
        <w:autoSpaceDN/>
        <w:adjustRightInd/>
        <w:ind w:firstLine="480" w:firstLineChars="200"/>
        <w:jc w:val="both"/>
        <w:rPr>
          <w:rFonts w:eastAsia="宋体"/>
          <w:sz w:val="24"/>
          <w:szCs w:val="24"/>
        </w:rPr>
      </w:pPr>
    </w:p>
    <w:p w14:paraId="4817AD44">
      <w:pPr>
        <w:shd w:val="clear" w:color="auto" w:fill="FFFFFF"/>
        <w:topLinePunct/>
        <w:autoSpaceDE/>
        <w:autoSpaceDN/>
        <w:adjustRightInd/>
        <w:ind w:firstLine="480" w:firstLineChars="200"/>
        <w:jc w:val="both"/>
        <w:rPr>
          <w:rFonts w:eastAsia="宋体"/>
          <w:color w:val="000000"/>
          <w:sz w:val="24"/>
          <w:szCs w:val="24"/>
          <w:vertAlign w:val="superscript"/>
        </w:rPr>
      </w:pPr>
      <w:r>
        <w:rPr>
          <w:rFonts w:eastAsia="宋体"/>
          <w:color w:val="000000"/>
          <w:sz w:val="24"/>
          <w:szCs w:val="24"/>
        </w:rPr>
        <w:t>点蚀电位测试的测试报告应与ASTM F2129（当前认可的版本）一致。例如，测试报告应包括腐蚀/静止电位、击穿电位、用照片记录文件对观察的腐蚀的描述以及极化曲线。在可行情况下，本机构建议在一个图中绘制所有极化曲线。应报告您的测试设置是否符合ASTM G5（当前版本）规定的标准。根据您的验收标准，对结果进行评估。点蚀测试的验收标准应通过与合法上市的同品种器械进行比较来确定。另外，虽然缺乏将体外腐蚀测试与体内腐蚀结果直接联系起来的数据，但Rosenbloom和Corbett已经发表了保守指南，也可用于确立验收标准。</w:t>
      </w:r>
      <w:r>
        <w:rPr>
          <w:rStyle w:val="20"/>
          <w:rFonts w:eastAsia="宋体"/>
          <w:color w:val="000000"/>
          <w:sz w:val="24"/>
          <w:szCs w:val="24"/>
        </w:rPr>
        <w:footnoteReference w:id="8"/>
      </w:r>
    </w:p>
    <w:p w14:paraId="7C458D77">
      <w:pPr>
        <w:shd w:val="clear" w:color="auto" w:fill="FFFFFF"/>
        <w:topLinePunct/>
        <w:autoSpaceDE/>
        <w:autoSpaceDN/>
        <w:adjustRightInd/>
        <w:ind w:firstLine="480" w:firstLineChars="200"/>
        <w:jc w:val="both"/>
        <w:rPr>
          <w:rFonts w:eastAsia="宋体"/>
          <w:sz w:val="24"/>
          <w:szCs w:val="24"/>
        </w:rPr>
      </w:pPr>
    </w:p>
    <w:p w14:paraId="4F5EDD06">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文献或先前的性能数据可支持支架的点蚀敏感性评估。但是，您的支架所特有的材料、设计和制造工艺可能会降低或消除文献的适用性或器械的先前经验。例如，镍钛合金的抗点蚀性对热处理和表面光洁度等工艺变量很敏感，因此文献不适用。在实施可能影响表面光洁度的制造变更的情况下，应执行ASTM F2129（当前认可的版本）测试或表面表征，以证明该表面未发生不良改变。</w:t>
      </w:r>
    </w:p>
    <w:p w14:paraId="3719D786">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756E03AC">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b.</w:t>
      </w:r>
      <w:r>
        <w:rPr>
          <w:rFonts w:eastAsia="宋体"/>
          <w:b/>
          <w:color w:val="000000"/>
          <w:sz w:val="24"/>
          <w:szCs w:val="24"/>
        </w:rPr>
        <w:tab/>
      </w:r>
      <w:r>
        <w:rPr>
          <w:rFonts w:eastAsia="宋体"/>
          <w:b/>
          <w:color w:val="000000"/>
          <w:sz w:val="24"/>
          <w:szCs w:val="24"/>
        </w:rPr>
        <w:t>电化学腐蚀</w:t>
      </w:r>
    </w:p>
    <w:p w14:paraId="48689330">
      <w:pPr>
        <w:shd w:val="clear" w:color="auto" w:fill="FFFFFF"/>
        <w:topLinePunct/>
        <w:autoSpaceDE/>
        <w:autoSpaceDN/>
        <w:adjustRightInd/>
        <w:ind w:firstLine="480" w:firstLineChars="200"/>
        <w:jc w:val="both"/>
        <w:rPr>
          <w:rFonts w:eastAsia="宋体"/>
          <w:color w:val="000000"/>
          <w:sz w:val="24"/>
          <w:szCs w:val="24"/>
        </w:rPr>
      </w:pPr>
    </w:p>
    <w:p w14:paraId="188FCF14">
      <w:pPr>
        <w:shd w:val="clear" w:color="auto" w:fill="FFFFFF"/>
        <w:topLinePunct/>
        <w:autoSpaceDE/>
        <w:autoSpaceDN/>
        <w:adjustRightInd/>
        <w:ind w:firstLine="480" w:firstLineChars="200"/>
        <w:jc w:val="both"/>
        <w:rPr>
          <w:rFonts w:eastAsia="宋体"/>
          <w:iCs/>
          <w:sz w:val="24"/>
          <w:szCs w:val="24"/>
        </w:rPr>
      </w:pPr>
      <w:r>
        <w:rPr>
          <w:rFonts w:eastAsia="宋体"/>
          <w:color w:val="000000"/>
          <w:sz w:val="24"/>
          <w:szCs w:val="24"/>
        </w:rPr>
        <w:t>如果您的支架包含一种以上的金属，如带有额外标记带的基础支架材料，本机构建议应证明该设计具有抗电化学腐蚀性。如果预计在临床手术中您的支架会出现重叠，而接触或重叠的支架可能由不同的材料制成，本机构建议解决支架之间可能发生的电化学腐蚀。在这种情况下，本机构建议在评价中使用与支架材料电耦合最高的市售支架。</w:t>
      </w:r>
      <w:r>
        <w:rPr>
          <w:rFonts w:eastAsia="宋体"/>
          <w:sz w:val="24"/>
          <w:szCs w:val="24"/>
        </w:rPr>
        <w:t>本机构推荐采用ASTM F3044：《</w:t>
      </w:r>
      <w:r>
        <w:rPr>
          <w:rFonts w:eastAsia="宋体"/>
          <w:iCs/>
          <w:color w:val="000000"/>
          <w:sz w:val="24"/>
          <w:szCs w:val="24"/>
        </w:rPr>
        <w:t>评价医用植入物或其等效产品电化学腐蚀可能性的标准测试方法</w:t>
      </w:r>
      <w:r>
        <w:rPr>
          <w:rFonts w:eastAsia="宋体"/>
          <w:iCs/>
          <w:sz w:val="24"/>
          <w:szCs w:val="24"/>
        </w:rPr>
        <w:t>》中描述的方法。</w:t>
      </w:r>
    </w:p>
    <w:p w14:paraId="1C2EBF2B">
      <w:pPr>
        <w:shd w:val="clear" w:color="auto" w:fill="FFFFFF"/>
        <w:topLinePunct/>
        <w:autoSpaceDE/>
        <w:autoSpaceDN/>
        <w:adjustRightInd/>
        <w:ind w:firstLine="480" w:firstLineChars="200"/>
        <w:jc w:val="both"/>
        <w:rPr>
          <w:rFonts w:eastAsia="宋体"/>
          <w:color w:val="000000"/>
          <w:sz w:val="24"/>
          <w:szCs w:val="24"/>
        </w:rPr>
      </w:pPr>
    </w:p>
    <w:p w14:paraId="6007F3D4">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作为使用市售支架进行电化学腐蚀测试的替代方案，可使用表现出预期最坏情况下电耦合的试样，且该试样经受了相同制造工艺。此外，如果预期的最坏情况下电化学耦合电位较小，并且阴阳极材料的相对表面比较低（例如，标记带与支架表面比率），则可提供理由来代替测试。</w:t>
      </w:r>
    </w:p>
    <w:p w14:paraId="794D0E69">
      <w:pPr>
        <w:shd w:val="clear" w:color="auto" w:fill="FFFFFF"/>
        <w:topLinePunct/>
        <w:autoSpaceDE/>
        <w:autoSpaceDN/>
        <w:adjustRightInd/>
        <w:ind w:firstLine="480" w:firstLineChars="200"/>
        <w:jc w:val="both"/>
        <w:rPr>
          <w:rFonts w:eastAsia="宋体"/>
          <w:color w:val="000000"/>
          <w:sz w:val="24"/>
          <w:szCs w:val="24"/>
        </w:rPr>
      </w:pPr>
    </w:p>
    <w:p w14:paraId="2C21E36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 xml:space="preserve">即使合金符合特定的标准，也应进行测试，因为制造工艺会影响成品的电化学腐蚀电位。 </w:t>
      </w:r>
    </w:p>
    <w:p w14:paraId="4DF2DE75">
      <w:pPr>
        <w:shd w:val="clear" w:color="auto" w:fill="FFFFFF"/>
        <w:topLinePunct/>
        <w:autoSpaceDE/>
        <w:autoSpaceDN/>
        <w:adjustRightInd/>
        <w:jc w:val="both"/>
        <w:rPr>
          <w:rFonts w:eastAsia="宋体"/>
          <w:sz w:val="24"/>
          <w:szCs w:val="24"/>
        </w:rPr>
      </w:pPr>
    </w:p>
    <w:p w14:paraId="2B1CF880">
      <w:pPr>
        <w:pStyle w:val="4"/>
        <w:tabs>
          <w:tab w:val="left" w:pos="2268"/>
        </w:tabs>
        <w:spacing w:before="0" w:after="0" w:line="240" w:lineRule="auto"/>
        <w:ind w:left="1610" w:leftChars="805"/>
        <w:rPr>
          <w:sz w:val="28"/>
          <w:szCs w:val="28"/>
        </w:rPr>
      </w:pPr>
      <w:bookmarkStart w:id="27" w:name="_Toc97386391"/>
      <w:bookmarkStart w:id="28" w:name="_Toc97386693"/>
      <w:r>
        <w:rPr>
          <w:rFonts w:hint="eastAsia"/>
          <w:sz w:val="28"/>
          <w:szCs w:val="28"/>
        </w:rPr>
        <w:t>(</w:t>
      </w:r>
      <w:r>
        <w:rPr>
          <w:sz w:val="28"/>
          <w:szCs w:val="28"/>
        </w:rPr>
        <w:t>2</w:t>
      </w:r>
      <w:r>
        <w:rPr>
          <w:rFonts w:hint="eastAsia"/>
          <w:sz w:val="28"/>
          <w:szCs w:val="28"/>
        </w:rPr>
        <w:t>)</w:t>
      </w:r>
      <w:r>
        <w:rPr>
          <w:rFonts w:hint="eastAsia"/>
          <w:sz w:val="28"/>
          <w:szCs w:val="28"/>
        </w:rPr>
        <w:tab/>
      </w:r>
      <w:r>
        <w:rPr>
          <w:sz w:val="28"/>
          <w:szCs w:val="28"/>
        </w:rPr>
        <w:t>支架尺寸和功能属性</w:t>
      </w:r>
      <w:bookmarkEnd w:id="27"/>
      <w:bookmarkEnd w:id="28"/>
    </w:p>
    <w:p w14:paraId="599063D0">
      <w:pPr>
        <w:shd w:val="clear" w:color="auto" w:fill="FFFFFF"/>
        <w:tabs>
          <w:tab w:val="left" w:pos="2835"/>
        </w:tabs>
        <w:topLinePunct/>
        <w:autoSpaceDE/>
        <w:autoSpaceDN/>
        <w:adjustRightInd/>
        <w:ind w:left="2832" w:leftChars="1134" w:hanging="564" w:hangingChars="234"/>
        <w:jc w:val="both"/>
        <w:rPr>
          <w:rFonts w:eastAsia="宋体"/>
          <w:b/>
          <w:color w:val="000000"/>
          <w:sz w:val="24"/>
          <w:szCs w:val="24"/>
        </w:rPr>
      </w:pPr>
    </w:p>
    <w:p w14:paraId="11760E6F">
      <w:pPr>
        <w:shd w:val="clear" w:color="auto" w:fill="FFFFFF"/>
        <w:tabs>
          <w:tab w:val="left" w:pos="2835"/>
        </w:tabs>
        <w:topLinePunct/>
        <w:autoSpaceDE/>
        <w:autoSpaceDN/>
        <w:adjustRightInd/>
        <w:ind w:left="2832" w:leftChars="1134" w:hanging="564" w:hangingChars="234"/>
        <w:jc w:val="both"/>
        <w:rPr>
          <w:rFonts w:eastAsia="宋体"/>
          <w:b/>
          <w:color w:val="000000"/>
          <w:sz w:val="24"/>
          <w:szCs w:val="24"/>
        </w:rPr>
      </w:pPr>
      <w:r>
        <w:rPr>
          <w:rFonts w:eastAsia="宋体"/>
          <w:b/>
          <w:color w:val="000000"/>
          <w:sz w:val="24"/>
          <w:szCs w:val="24"/>
        </w:rPr>
        <w:t>a.</w:t>
      </w:r>
      <w:r>
        <w:rPr>
          <w:rFonts w:eastAsia="宋体"/>
          <w:b/>
          <w:color w:val="000000"/>
          <w:sz w:val="24"/>
          <w:szCs w:val="24"/>
        </w:rPr>
        <w:tab/>
      </w:r>
      <w:r>
        <w:rPr>
          <w:rFonts w:eastAsia="宋体"/>
          <w:b/>
          <w:color w:val="000000"/>
          <w:sz w:val="24"/>
          <w:szCs w:val="24"/>
        </w:rPr>
        <w:t>尺寸验证</w:t>
      </w:r>
    </w:p>
    <w:p w14:paraId="4D776831">
      <w:pPr>
        <w:shd w:val="clear" w:color="auto" w:fill="FFFFFF"/>
        <w:topLinePunct/>
        <w:autoSpaceDE/>
        <w:autoSpaceDN/>
        <w:adjustRightInd/>
        <w:jc w:val="both"/>
        <w:rPr>
          <w:rFonts w:eastAsia="宋体"/>
          <w:color w:val="000000"/>
          <w:sz w:val="24"/>
          <w:szCs w:val="24"/>
          <w:u w:val="single"/>
        </w:rPr>
      </w:pPr>
    </w:p>
    <w:p w14:paraId="79147A2F">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：精确的支架尺寸有助于医师确定合适的支架尺寸，并将其准确放置在体内。他们也会影响支架的功能行为。</w:t>
      </w:r>
    </w:p>
    <w:p w14:paraId="78E509BF">
      <w:pPr>
        <w:shd w:val="clear" w:color="auto" w:fill="FFFFFF"/>
        <w:topLinePunct/>
        <w:autoSpaceDE/>
        <w:autoSpaceDN/>
        <w:adjustRightInd/>
        <w:jc w:val="both"/>
        <w:rPr>
          <w:rFonts w:eastAsia="宋体"/>
          <w:sz w:val="24"/>
          <w:szCs w:val="24"/>
        </w:rPr>
      </w:pPr>
    </w:p>
    <w:p w14:paraId="21A05051">
      <w:pPr>
        <w:shd w:val="clear" w:color="auto" w:fill="FFFFFF"/>
        <w:topLinePunct/>
        <w:autoSpaceDE/>
        <w:autoSpaceDN/>
        <w:adjustRightInd/>
        <w:jc w:val="both"/>
        <w:rPr>
          <w:rFonts w:eastAsia="宋体"/>
          <w:sz w:val="24"/>
          <w:szCs w:val="24"/>
        </w:rPr>
      </w:pPr>
      <w:r>
        <w:rPr>
          <w:rFonts w:eastAsia="宋体"/>
          <w:color w:val="000000"/>
          <w:sz w:val="24"/>
          <w:szCs w:val="24"/>
          <w:u w:val="single"/>
        </w:rPr>
        <w:t>建议</w:t>
      </w:r>
      <w:r>
        <w:rPr>
          <w:rFonts w:eastAsia="宋体"/>
          <w:color w:val="000000"/>
          <w:sz w:val="24"/>
          <w:szCs w:val="24"/>
        </w:rPr>
        <w:t>：FDA建议提供下述适用于您的支架的信息</w:t>
      </w:r>
      <w:r>
        <w:rPr>
          <w:rFonts w:eastAsia="宋体"/>
          <w:sz w:val="24"/>
          <w:szCs w:val="24"/>
        </w:rPr>
        <w:t>。</w:t>
      </w:r>
    </w:p>
    <w:p w14:paraId="05B3DE73">
      <w:pPr>
        <w:shd w:val="clear" w:color="auto" w:fill="FFFFFF"/>
        <w:topLinePunct/>
        <w:autoSpaceDE/>
        <w:autoSpaceDN/>
        <w:adjustRightInd/>
        <w:jc w:val="both"/>
        <w:rPr>
          <w:rFonts w:eastAsia="宋体"/>
          <w:sz w:val="24"/>
          <w:szCs w:val="24"/>
        </w:rPr>
      </w:pPr>
    </w:p>
    <w:p w14:paraId="1E35F4FE">
      <w:pPr>
        <w:shd w:val="clear" w:color="auto" w:fill="FFFFFF"/>
        <w:topLinePunct/>
        <w:autoSpaceDE/>
        <w:autoSpaceDN/>
        <w:adjustRightInd/>
        <w:jc w:val="both"/>
        <w:rPr>
          <w:rFonts w:eastAsia="宋体"/>
          <w:sz w:val="24"/>
          <w:szCs w:val="24"/>
        </w:rPr>
      </w:pPr>
      <w:r>
        <w:rPr>
          <w:rFonts w:eastAsia="宋体"/>
          <w:b/>
          <w:color w:val="000000"/>
          <w:sz w:val="24"/>
          <w:szCs w:val="24"/>
          <w:u w:val="single"/>
        </w:rPr>
        <w:t>非扩张式支架</w:t>
      </w:r>
    </w:p>
    <w:p w14:paraId="135202EC">
      <w:pPr>
        <w:shd w:val="clear" w:color="auto" w:fill="FFFFFF"/>
        <w:topLinePunct/>
        <w:autoSpaceDE/>
        <w:autoSpaceDN/>
        <w:adjustRightInd/>
        <w:jc w:val="both"/>
        <w:rPr>
          <w:rFonts w:eastAsia="宋体"/>
          <w:color w:val="000000"/>
          <w:sz w:val="24"/>
          <w:szCs w:val="24"/>
        </w:rPr>
      </w:pPr>
    </w:p>
    <w:p w14:paraId="17046548">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如果您的支架不是包含在输送系统中，应提供展开导管上非扩张式支架的尺寸测量值和公差。结果应为器械描述中的尺寸提供支持。</w:t>
      </w:r>
    </w:p>
    <w:p w14:paraId="4C46E1D7">
      <w:pPr>
        <w:shd w:val="clear" w:color="auto" w:fill="FFFFFF"/>
        <w:topLinePunct/>
        <w:autoSpaceDE/>
        <w:autoSpaceDN/>
        <w:adjustRightInd/>
        <w:jc w:val="both"/>
        <w:rPr>
          <w:rFonts w:eastAsia="宋体"/>
          <w:sz w:val="24"/>
          <w:szCs w:val="24"/>
        </w:rPr>
      </w:pPr>
    </w:p>
    <w:p w14:paraId="1EAE26B1">
      <w:pPr>
        <w:shd w:val="clear" w:color="auto" w:fill="FFFFFF"/>
        <w:topLinePunct/>
        <w:autoSpaceDE/>
        <w:autoSpaceDN/>
        <w:adjustRightInd/>
        <w:jc w:val="both"/>
        <w:rPr>
          <w:rFonts w:eastAsia="宋体"/>
          <w:sz w:val="24"/>
          <w:szCs w:val="24"/>
        </w:rPr>
      </w:pPr>
      <w:r>
        <w:rPr>
          <w:rFonts w:eastAsia="宋体"/>
          <w:b/>
          <w:color w:val="000000"/>
          <w:sz w:val="24"/>
          <w:szCs w:val="24"/>
          <w:u w:val="single"/>
        </w:rPr>
        <w:t>球囊扩张式支架</w:t>
      </w:r>
    </w:p>
    <w:p w14:paraId="5652C13B">
      <w:pPr>
        <w:shd w:val="clear" w:color="auto" w:fill="FFFFFF"/>
        <w:topLinePunct/>
        <w:autoSpaceDE/>
        <w:autoSpaceDN/>
        <w:adjustRightInd/>
        <w:jc w:val="both"/>
        <w:rPr>
          <w:rFonts w:eastAsia="宋体"/>
          <w:color w:val="000000"/>
          <w:sz w:val="24"/>
          <w:szCs w:val="24"/>
        </w:rPr>
      </w:pPr>
    </w:p>
    <w:p w14:paraId="1A0F1C3C">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应测量并报告球囊扩张式支架的充盈直径。</w:t>
      </w:r>
      <w:r>
        <w:rPr>
          <w:rFonts w:eastAsia="宋体"/>
          <w:sz w:val="24"/>
          <w:szCs w:val="24"/>
        </w:rPr>
        <w:t>可以在创建符合性图表时进行测量和报告（有关符合性图标的推荐创建方法，参见</w:t>
      </w:r>
      <w:r>
        <w:rPr>
          <w:rFonts w:eastAsia="宋体"/>
          <w:b/>
          <w:color w:val="000000"/>
          <w:sz w:val="24"/>
          <w:szCs w:val="24"/>
        </w:rPr>
        <w:t>第V.G（3）d节</w:t>
      </w:r>
      <w:r>
        <w:rPr>
          <w:rFonts w:eastAsia="宋体"/>
          <w:sz w:val="24"/>
          <w:szCs w:val="24"/>
        </w:rPr>
        <w:t>）。</w:t>
      </w:r>
    </w:p>
    <w:p w14:paraId="50BAEBA8">
      <w:pPr>
        <w:shd w:val="clear" w:color="auto" w:fill="FFFFFF"/>
        <w:topLinePunct/>
        <w:autoSpaceDE/>
        <w:autoSpaceDN/>
        <w:adjustRightInd/>
        <w:jc w:val="both"/>
        <w:rPr>
          <w:rFonts w:eastAsia="宋体"/>
          <w:sz w:val="24"/>
          <w:szCs w:val="24"/>
        </w:rPr>
      </w:pPr>
    </w:p>
    <w:p w14:paraId="2DEF7F46">
      <w:pPr>
        <w:widowControl/>
        <w:autoSpaceDE/>
        <w:autoSpaceDN/>
        <w:adjustRightInd/>
        <w:rPr>
          <w:rFonts w:eastAsia="宋体"/>
          <w:sz w:val="24"/>
          <w:szCs w:val="24"/>
        </w:rPr>
      </w:pPr>
      <w:r>
        <w:rPr>
          <w:rFonts w:eastAsia="宋体"/>
          <w:sz w:val="24"/>
          <w:szCs w:val="24"/>
        </w:rPr>
        <w:br w:type="page"/>
      </w:r>
    </w:p>
    <w:p w14:paraId="57F261D7">
      <w:pPr>
        <w:shd w:val="clear" w:color="auto" w:fill="FFFFFF"/>
        <w:topLinePunct/>
        <w:autoSpaceDE/>
        <w:autoSpaceDN/>
        <w:adjustRightInd/>
        <w:jc w:val="both"/>
        <w:rPr>
          <w:rFonts w:eastAsia="宋体"/>
          <w:sz w:val="24"/>
          <w:szCs w:val="24"/>
        </w:rPr>
      </w:pPr>
      <w:r>
        <w:rPr>
          <w:rFonts w:eastAsia="宋体"/>
          <w:b/>
          <w:color w:val="000000"/>
          <w:sz w:val="24"/>
          <w:szCs w:val="24"/>
          <w:u w:val="single"/>
        </w:rPr>
        <w:t>自膨胀式支架</w:t>
      </w:r>
    </w:p>
    <w:p w14:paraId="71616F2A">
      <w:pPr>
        <w:shd w:val="clear" w:color="auto" w:fill="FFFFFF"/>
        <w:topLinePunct/>
        <w:autoSpaceDE/>
        <w:autoSpaceDN/>
        <w:adjustRightInd/>
        <w:jc w:val="both"/>
        <w:rPr>
          <w:rFonts w:eastAsia="宋体"/>
          <w:color w:val="000000"/>
          <w:sz w:val="24"/>
          <w:szCs w:val="24"/>
        </w:rPr>
      </w:pPr>
    </w:p>
    <w:p w14:paraId="08A064E7">
      <w:pPr>
        <w:shd w:val="clear" w:color="auto" w:fill="FFFFFF"/>
        <w:topLinePunct/>
        <w:autoSpaceDE/>
        <w:autoSpaceDN/>
        <w:adjustRightInd/>
        <w:jc w:val="both"/>
        <w:rPr>
          <w:rFonts w:eastAsia="宋体"/>
          <w:color w:val="000000"/>
          <w:sz w:val="24"/>
          <w:szCs w:val="24"/>
        </w:rPr>
      </w:pPr>
      <w:r>
        <w:rPr>
          <w:rFonts w:eastAsia="宋体"/>
          <w:color w:val="000000"/>
          <w:sz w:val="24"/>
          <w:szCs w:val="24"/>
        </w:rPr>
        <w:t>应使用测量数据来验证自膨式支架（无约束）充盈后的直径。</w:t>
      </w:r>
    </w:p>
    <w:p w14:paraId="41F2819D">
      <w:pPr>
        <w:shd w:val="clear" w:color="auto" w:fill="FFFFFF"/>
        <w:topLinePunct/>
        <w:autoSpaceDE/>
        <w:autoSpaceDN/>
        <w:adjustRightInd/>
        <w:jc w:val="both"/>
        <w:rPr>
          <w:rFonts w:eastAsia="宋体"/>
          <w:sz w:val="24"/>
          <w:szCs w:val="24"/>
        </w:rPr>
      </w:pPr>
    </w:p>
    <w:p w14:paraId="0C4BA5B2">
      <w:pPr>
        <w:shd w:val="clear" w:color="auto" w:fill="FFFFFF"/>
        <w:tabs>
          <w:tab w:val="left" w:pos="2835"/>
        </w:tabs>
        <w:topLinePunct/>
        <w:autoSpaceDE/>
        <w:autoSpaceDN/>
        <w:adjustRightInd/>
        <w:ind w:left="2832" w:leftChars="1134" w:hanging="564" w:hangingChars="234"/>
        <w:jc w:val="both"/>
        <w:rPr>
          <w:rFonts w:eastAsia="宋体"/>
          <w:b/>
          <w:color w:val="000000"/>
          <w:sz w:val="24"/>
          <w:szCs w:val="24"/>
        </w:rPr>
      </w:pPr>
      <w:r>
        <w:rPr>
          <w:rFonts w:eastAsia="宋体"/>
          <w:b/>
          <w:color w:val="000000"/>
          <w:sz w:val="24"/>
          <w:szCs w:val="24"/>
        </w:rPr>
        <w:t>b.</w:t>
      </w:r>
      <w:r>
        <w:rPr>
          <w:rFonts w:eastAsia="宋体"/>
          <w:b/>
          <w:color w:val="000000"/>
          <w:sz w:val="24"/>
          <w:szCs w:val="24"/>
        </w:rPr>
        <w:tab/>
      </w:r>
      <w:r>
        <w:rPr>
          <w:rFonts w:eastAsia="宋体"/>
          <w:b/>
          <w:color w:val="000000"/>
          <w:sz w:val="24"/>
          <w:szCs w:val="24"/>
        </w:rPr>
        <w:t>纵向短缩</w:t>
      </w:r>
    </w:p>
    <w:p w14:paraId="35C0B99F">
      <w:pPr>
        <w:shd w:val="clear" w:color="auto" w:fill="FFFFFF"/>
        <w:topLinePunct/>
        <w:autoSpaceDE/>
        <w:autoSpaceDN/>
        <w:adjustRightInd/>
        <w:jc w:val="both"/>
        <w:rPr>
          <w:rFonts w:eastAsia="宋体"/>
          <w:color w:val="000000"/>
          <w:sz w:val="24"/>
          <w:szCs w:val="24"/>
          <w:u w:val="single"/>
        </w:rPr>
      </w:pPr>
    </w:p>
    <w:p w14:paraId="4D2064D8">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纵向短缩，即在支架展开过程中可能发生的支架尺寸变化，会影响最终支架长度。了解纵向短缩特征有助于正确选择支架长度并将其正确地置入体内。纵向短缩是未扩张支架和扩张后的支架之间长度差异的测量值。</w:t>
      </w:r>
    </w:p>
    <w:p w14:paraId="3D9DE274">
      <w:pPr>
        <w:shd w:val="clear" w:color="auto" w:fill="FFFFFF"/>
        <w:topLinePunct/>
        <w:autoSpaceDE/>
        <w:autoSpaceDN/>
        <w:adjustRightInd/>
        <w:jc w:val="both"/>
        <w:rPr>
          <w:rFonts w:eastAsia="宋体"/>
          <w:sz w:val="24"/>
          <w:szCs w:val="24"/>
        </w:rPr>
      </w:pPr>
    </w:p>
    <w:p w14:paraId="6EC9A1BC">
      <w:pPr>
        <w:shd w:val="clear" w:color="auto" w:fill="FFFFFF"/>
        <w:topLinePunct/>
        <w:autoSpaceDE/>
        <w:autoSpaceDN/>
        <w:adjustRightInd/>
        <w:jc w:val="both"/>
        <w:rPr>
          <w:rFonts w:eastAsia="宋体"/>
          <w:sz w:val="24"/>
          <w:szCs w:val="24"/>
        </w:rPr>
      </w:pPr>
      <w:r>
        <w:rPr>
          <w:rFonts w:eastAsia="宋体"/>
          <w:color w:val="000000"/>
          <w:sz w:val="24"/>
          <w:szCs w:val="24"/>
          <w:u w:val="single"/>
        </w:rPr>
        <w:t>建议</w:t>
      </w:r>
      <w:r>
        <w:rPr>
          <w:rFonts w:eastAsia="宋体"/>
          <w:color w:val="000000"/>
          <w:sz w:val="24"/>
          <w:szCs w:val="24"/>
        </w:rPr>
        <w:t>：FDA建议报告每种长度和直径组合在导管装载状态（非扩张支架）和展开状态（完全扩张支架）之间支架长度的减少情况</w:t>
      </w:r>
      <w:r>
        <w:rPr>
          <w:rFonts w:eastAsia="宋体"/>
          <w:sz w:val="24"/>
          <w:szCs w:val="24"/>
        </w:rPr>
        <w:t>。</w:t>
      </w:r>
    </w:p>
    <w:p w14:paraId="6D053FE0">
      <w:pPr>
        <w:shd w:val="clear" w:color="auto" w:fill="FFFFFF"/>
        <w:topLinePunct/>
        <w:autoSpaceDE/>
        <w:autoSpaceDN/>
        <w:adjustRightInd/>
        <w:jc w:val="both"/>
        <w:rPr>
          <w:rFonts w:eastAsia="宋体"/>
          <w:sz w:val="24"/>
          <w:szCs w:val="24"/>
        </w:rPr>
      </w:pPr>
    </w:p>
    <w:p w14:paraId="484E9F6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本机构建议按照载荷（未展开）长度的百分比报告结果，如下所述：</w:t>
      </w:r>
    </w:p>
    <w:p w14:paraId="7D705601">
      <w:pPr>
        <w:shd w:val="clear" w:color="auto" w:fill="FFFFFF"/>
        <w:topLinePunct/>
        <w:autoSpaceDE/>
        <w:autoSpaceDN/>
        <w:adjustRightInd/>
        <w:jc w:val="both"/>
        <w:rPr>
          <w:rFonts w:eastAsia="宋体"/>
          <w:color w:val="000000"/>
          <w:sz w:val="24"/>
          <w:szCs w:val="24"/>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3096"/>
        <w:gridCol w:w="3275"/>
      </w:tblGrid>
      <w:tr w14:paraId="2B64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jc w:val="center"/>
        </w:trPr>
        <w:tc>
          <w:tcPr>
            <w:tcW w:w="3096" w:type="dxa"/>
            <w:vMerge w:val="restart"/>
            <w:vAlign w:val="center"/>
          </w:tcPr>
          <w:p w14:paraId="0B4556A2">
            <w:pPr>
              <w:topLinePunct/>
              <w:autoSpaceDE/>
              <w:autoSpaceDN/>
              <w:adjustRightInd/>
              <w:jc w:val="center"/>
              <w:rPr>
                <w:rFonts w:eastAsia="宋体"/>
                <w:sz w:val="21"/>
                <w:szCs w:val="21"/>
              </w:rPr>
            </w:pPr>
            <w:r>
              <w:rPr>
                <w:rFonts w:eastAsia="宋体"/>
                <w:sz w:val="21"/>
                <w:szCs w:val="21"/>
              </w:rPr>
              <w:t>纵向缩短百分比= 100×</w:t>
            </w:r>
          </w:p>
        </w:tc>
        <w:tc>
          <w:tcPr>
            <w:tcW w:w="3275" w:type="dxa"/>
            <w:tcBorders>
              <w:bottom w:val="single" w:color="auto" w:sz="4" w:space="0"/>
            </w:tcBorders>
            <w:vAlign w:val="center"/>
          </w:tcPr>
          <w:p w14:paraId="7E194B21">
            <w:pPr>
              <w:topLinePunct/>
              <w:autoSpaceDE/>
              <w:autoSpaceDN/>
              <w:adjustRightInd/>
              <w:jc w:val="center"/>
              <w:rPr>
                <w:rFonts w:eastAsia="宋体"/>
                <w:sz w:val="21"/>
                <w:szCs w:val="21"/>
              </w:rPr>
            </w:pPr>
            <w:r>
              <w:rPr>
                <w:rFonts w:eastAsia="宋体"/>
                <w:sz w:val="21"/>
                <w:szCs w:val="21"/>
              </w:rPr>
              <w:t>（未展开长度-完全扩张长度）</w:t>
            </w:r>
          </w:p>
        </w:tc>
      </w:tr>
      <w:tr w14:paraId="3B0E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jc w:val="center"/>
        </w:trPr>
        <w:tc>
          <w:tcPr>
            <w:tcW w:w="3096" w:type="dxa"/>
            <w:vMerge w:val="continue"/>
            <w:vAlign w:val="center"/>
          </w:tcPr>
          <w:p w14:paraId="3FED9D75">
            <w:pPr>
              <w:topLinePunct/>
              <w:autoSpaceDE/>
              <w:autoSpaceDN/>
              <w:adjustRightInd/>
              <w:jc w:val="center"/>
              <w:rPr>
                <w:rFonts w:eastAsia="宋体"/>
                <w:sz w:val="21"/>
                <w:szCs w:val="21"/>
              </w:rPr>
            </w:pPr>
          </w:p>
        </w:tc>
        <w:tc>
          <w:tcPr>
            <w:tcW w:w="3275" w:type="dxa"/>
            <w:tcBorders>
              <w:top w:val="single" w:color="auto" w:sz="4" w:space="0"/>
            </w:tcBorders>
            <w:vAlign w:val="center"/>
          </w:tcPr>
          <w:p w14:paraId="19BE7802">
            <w:pPr>
              <w:topLinePunct/>
              <w:autoSpaceDE/>
              <w:autoSpaceDN/>
              <w:adjustRightInd/>
              <w:jc w:val="center"/>
              <w:rPr>
                <w:rFonts w:eastAsia="宋体"/>
                <w:sz w:val="21"/>
                <w:szCs w:val="21"/>
              </w:rPr>
            </w:pPr>
            <w:r>
              <w:rPr>
                <w:rFonts w:eastAsia="宋体"/>
                <w:sz w:val="21"/>
                <w:szCs w:val="21"/>
              </w:rPr>
              <w:t>未展开长度</w:t>
            </w:r>
          </w:p>
        </w:tc>
      </w:tr>
    </w:tbl>
    <w:p w14:paraId="0BA4D782">
      <w:pPr>
        <w:shd w:val="clear" w:color="auto" w:fill="FFFFFF"/>
        <w:topLinePunct/>
        <w:autoSpaceDE/>
        <w:autoSpaceDN/>
        <w:adjustRightInd/>
        <w:jc w:val="both"/>
        <w:rPr>
          <w:rFonts w:eastAsia="宋体"/>
          <w:color w:val="000000"/>
          <w:sz w:val="24"/>
          <w:szCs w:val="24"/>
        </w:rPr>
      </w:pPr>
    </w:p>
    <w:p w14:paraId="3CBAB47D">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关于标签中自膨式支架纵向缩短百分比的数据呈现建议，请参见下文</w:t>
      </w:r>
      <w:r>
        <w:rPr>
          <w:rFonts w:eastAsia="宋体"/>
          <w:b/>
          <w:sz w:val="24"/>
          <w:szCs w:val="24"/>
        </w:rPr>
        <w:t>第V.I节</w:t>
      </w:r>
      <w:r>
        <w:rPr>
          <w:rFonts w:eastAsia="宋体"/>
          <w:sz w:val="24"/>
          <w:szCs w:val="24"/>
        </w:rPr>
        <w:t>。</w:t>
      </w:r>
    </w:p>
    <w:p w14:paraId="4DEC59BD">
      <w:pPr>
        <w:shd w:val="clear" w:color="auto" w:fill="FFFFFF"/>
        <w:topLinePunct/>
        <w:autoSpaceDE/>
        <w:autoSpaceDN/>
        <w:adjustRightInd/>
        <w:jc w:val="both"/>
        <w:rPr>
          <w:rFonts w:eastAsia="宋体"/>
          <w:sz w:val="24"/>
          <w:szCs w:val="24"/>
        </w:rPr>
      </w:pPr>
    </w:p>
    <w:p w14:paraId="61AB0696">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c.</w:t>
      </w:r>
      <w:r>
        <w:rPr>
          <w:rFonts w:eastAsia="宋体"/>
          <w:b/>
          <w:color w:val="000000"/>
          <w:sz w:val="24"/>
          <w:szCs w:val="24"/>
        </w:rPr>
        <w:tab/>
      </w:r>
      <w:r>
        <w:rPr>
          <w:rFonts w:eastAsia="宋体"/>
          <w:b/>
          <w:color w:val="000000"/>
          <w:sz w:val="24"/>
          <w:szCs w:val="24"/>
        </w:rPr>
        <w:t>球囊扩张式支架放气</w:t>
      </w:r>
    </w:p>
    <w:p w14:paraId="7F3B7462">
      <w:pPr>
        <w:shd w:val="clear" w:color="auto" w:fill="FFFFFF"/>
        <w:topLinePunct/>
        <w:autoSpaceDE/>
        <w:autoSpaceDN/>
        <w:adjustRightInd/>
        <w:jc w:val="both"/>
        <w:rPr>
          <w:rFonts w:eastAsia="宋体"/>
          <w:color w:val="000000"/>
          <w:sz w:val="24"/>
          <w:szCs w:val="24"/>
          <w:u w:val="single"/>
        </w:rPr>
      </w:pPr>
    </w:p>
    <w:p w14:paraId="792886E6">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：球囊扩张式支架的放气行为影响了正确选择器械、尺寸测定和植入后的即刻结果。放气是支架设计和材料选择的一个功能；因此，对支架放气的了解有助于描述特定支架设计的行为。</w:t>
      </w:r>
    </w:p>
    <w:p w14:paraId="4ADACF7D">
      <w:pPr>
        <w:shd w:val="clear" w:color="auto" w:fill="FFFFFF"/>
        <w:topLinePunct/>
        <w:autoSpaceDE/>
        <w:autoSpaceDN/>
        <w:adjustRightInd/>
        <w:jc w:val="both"/>
        <w:rPr>
          <w:rFonts w:eastAsia="宋体"/>
          <w:sz w:val="24"/>
          <w:szCs w:val="24"/>
        </w:rPr>
      </w:pPr>
    </w:p>
    <w:p w14:paraId="22CC20AA">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：本机构建议报告在球囊充盈后和球囊放气后测量的支架直径变化。</w:t>
      </w:r>
    </w:p>
    <w:p w14:paraId="4756B884">
      <w:pPr>
        <w:shd w:val="clear" w:color="auto" w:fill="FFFFFF"/>
        <w:topLinePunct/>
        <w:autoSpaceDE/>
        <w:autoSpaceDN/>
        <w:adjustRightInd/>
        <w:jc w:val="both"/>
        <w:rPr>
          <w:rFonts w:eastAsia="宋体"/>
          <w:sz w:val="24"/>
          <w:szCs w:val="24"/>
        </w:rPr>
      </w:pPr>
    </w:p>
    <w:p w14:paraId="0C0DDE05">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测量并报告每个标记的支架直径值。如果预计放气百分比会随长度发生显著变化，本机构建议在支架长度的不同点（包括末端）评价不同的支架长度。根据支架几何结构的初始评估，确定在该支架长度上测量放气的位置数量。</w:t>
      </w:r>
    </w:p>
    <w:p w14:paraId="64F16C14">
      <w:pPr>
        <w:shd w:val="clear" w:color="auto" w:fill="FFFFFF"/>
        <w:topLinePunct/>
        <w:autoSpaceDE/>
        <w:autoSpaceDN/>
        <w:adjustRightInd/>
        <w:ind w:firstLine="480" w:firstLineChars="200"/>
        <w:jc w:val="both"/>
        <w:rPr>
          <w:rFonts w:eastAsia="宋体"/>
          <w:sz w:val="24"/>
          <w:szCs w:val="24"/>
        </w:rPr>
      </w:pPr>
    </w:p>
    <w:p w14:paraId="0B0B2B8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本机构建议将结果以扩大直径的百分比表示。</w:t>
      </w:r>
    </w:p>
    <w:p w14:paraId="1CCC2A16">
      <w:pPr>
        <w:shd w:val="clear" w:color="auto" w:fill="FFFFFF"/>
        <w:topLinePunct/>
        <w:autoSpaceDE/>
        <w:autoSpaceDN/>
        <w:adjustRightInd/>
        <w:ind w:firstLine="480" w:firstLineChars="200"/>
        <w:jc w:val="both"/>
        <w:rPr>
          <w:rFonts w:eastAsia="宋体"/>
          <w:sz w:val="24"/>
          <w:szCs w:val="24"/>
        </w:rPr>
      </w:pPr>
    </w:p>
    <w:p w14:paraId="4690A47E">
      <w:pPr>
        <w:shd w:val="clear" w:color="auto" w:fill="FFFFFF"/>
        <w:topLinePunct/>
        <w:autoSpaceDE/>
        <w:autoSpaceDN/>
        <w:adjustRightInd/>
        <w:ind w:firstLine="480" w:firstLineChars="200"/>
        <w:jc w:val="both"/>
        <w:rPr>
          <w:rFonts w:eastAsia="宋体"/>
          <w:sz w:val="24"/>
          <w:szCs w:val="24"/>
        </w:rPr>
      </w:pPr>
      <w:r>
        <w:rPr>
          <w:rFonts w:eastAsia="宋体"/>
          <w:sz w:val="24"/>
          <w:szCs w:val="24"/>
        </w:rPr>
        <w:t>本机构建议采用ASTM F2079（当前公认的版本）：《</w:t>
      </w:r>
      <w:r>
        <w:rPr>
          <w:rFonts w:eastAsia="宋体"/>
          <w:color w:val="000000"/>
          <w:sz w:val="24"/>
          <w:szCs w:val="24"/>
        </w:rPr>
        <w:t>测量球囊扩张式支架或其等效支架固有弹性放气的标准测试方法</w:t>
      </w:r>
      <w:r>
        <w:rPr>
          <w:rFonts w:eastAsia="宋体"/>
          <w:sz w:val="24"/>
          <w:szCs w:val="24"/>
        </w:rPr>
        <w:t>》所述的方法或其等效方法。</w:t>
      </w:r>
    </w:p>
    <w:p w14:paraId="36034B31">
      <w:pPr>
        <w:shd w:val="clear" w:color="auto" w:fill="FFFFFF"/>
        <w:tabs>
          <w:tab w:val="left" w:pos="2880"/>
        </w:tabs>
        <w:topLinePunct/>
        <w:autoSpaceDE/>
        <w:autoSpaceDN/>
        <w:adjustRightInd/>
        <w:jc w:val="both"/>
        <w:rPr>
          <w:rFonts w:eastAsia="宋体"/>
          <w:sz w:val="24"/>
          <w:szCs w:val="24"/>
        </w:rPr>
      </w:pPr>
    </w:p>
    <w:p w14:paraId="37687357">
      <w:pPr>
        <w:widowControl/>
        <w:autoSpaceDE/>
        <w:autoSpaceDN/>
        <w:adjustRightInd/>
        <w:rPr>
          <w:rFonts w:eastAsia="宋体"/>
          <w:sz w:val="24"/>
          <w:szCs w:val="24"/>
        </w:rPr>
      </w:pPr>
      <w:r>
        <w:rPr>
          <w:rFonts w:eastAsia="宋体"/>
          <w:sz w:val="24"/>
          <w:szCs w:val="24"/>
        </w:rPr>
        <w:br w:type="page"/>
      </w:r>
    </w:p>
    <w:p w14:paraId="3D1D9098">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d.</w:t>
      </w:r>
      <w:r>
        <w:rPr>
          <w:rFonts w:eastAsia="宋体"/>
          <w:b/>
          <w:color w:val="000000"/>
          <w:sz w:val="24"/>
          <w:szCs w:val="24"/>
        </w:rPr>
        <w:tab/>
      </w:r>
      <w:r>
        <w:rPr>
          <w:rFonts w:eastAsia="宋体"/>
          <w:b/>
          <w:color w:val="000000"/>
          <w:sz w:val="24"/>
          <w:szCs w:val="24"/>
        </w:rPr>
        <w:t>支架完整性</w:t>
      </w:r>
    </w:p>
    <w:p w14:paraId="4A0D6E5F">
      <w:pPr>
        <w:shd w:val="clear" w:color="auto" w:fill="FFFFFF"/>
        <w:topLinePunct/>
        <w:autoSpaceDE/>
        <w:autoSpaceDN/>
        <w:adjustRightInd/>
        <w:jc w:val="both"/>
        <w:rPr>
          <w:rFonts w:eastAsia="宋体"/>
          <w:color w:val="000000"/>
          <w:sz w:val="24"/>
          <w:szCs w:val="24"/>
          <w:u w:val="single"/>
        </w:rPr>
      </w:pPr>
    </w:p>
    <w:p w14:paraId="3240F5B4">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：支架缺陷，无论是因制造缺陷还是后期损坏，均有可能导致临床并发症。激光切割或其他制造工艺可能会诱发无法通过抛光完全消除的缺陷。装载或球囊充盈期间的塑性变形可能出现裂缝或其他损坏。</w:t>
      </w:r>
    </w:p>
    <w:p w14:paraId="00500BFB">
      <w:pPr>
        <w:shd w:val="clear" w:color="auto" w:fill="FFFFFF"/>
        <w:topLinePunct/>
        <w:autoSpaceDE/>
        <w:autoSpaceDN/>
        <w:adjustRightInd/>
        <w:jc w:val="both"/>
        <w:rPr>
          <w:rFonts w:eastAsia="宋体"/>
          <w:sz w:val="24"/>
          <w:szCs w:val="24"/>
        </w:rPr>
      </w:pPr>
    </w:p>
    <w:p w14:paraId="011ED61B">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：本机构建议检查展开的支架，并报告任何可能对支架性能造成不良影响的支架缺陷迹象，包括但不限于：</w:t>
      </w:r>
    </w:p>
    <w:p w14:paraId="19E84B04">
      <w:pPr>
        <w:shd w:val="clear" w:color="auto" w:fill="FFFFFF"/>
        <w:topLinePunct/>
        <w:autoSpaceDE/>
        <w:autoSpaceDN/>
        <w:adjustRightInd/>
        <w:jc w:val="both"/>
        <w:rPr>
          <w:rFonts w:eastAsia="宋体"/>
          <w:sz w:val="24"/>
          <w:szCs w:val="24"/>
        </w:rPr>
      </w:pPr>
    </w:p>
    <w:p w14:paraId="170889E0">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裂缝；</w:t>
      </w:r>
    </w:p>
    <w:p w14:paraId="3D9E1577">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划痕；</w:t>
      </w:r>
    </w:p>
    <w:p w14:paraId="74AA5952">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永久变形（不可逆变形）；以及</w:t>
      </w:r>
    </w:p>
    <w:p w14:paraId="46319447">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微振磨损。</w:t>
      </w:r>
    </w:p>
    <w:p w14:paraId="1FE9948D">
      <w:pPr>
        <w:shd w:val="clear" w:color="auto" w:fill="FFFFFF"/>
        <w:topLinePunct/>
        <w:autoSpaceDE/>
        <w:autoSpaceDN/>
        <w:adjustRightInd/>
        <w:jc w:val="both"/>
        <w:rPr>
          <w:rFonts w:eastAsia="宋体"/>
          <w:color w:val="000000"/>
          <w:sz w:val="24"/>
          <w:szCs w:val="24"/>
        </w:rPr>
      </w:pPr>
    </w:p>
    <w:p w14:paraId="77123A70">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预计，临床手术期间会出现支架重叠，且设计允许组件（如编织线）之间出现微动，从而可能破坏植入后的相关涂层或钝化膜，因此本机构建议在支架完好性测试中解决可能出现的微振磨损问题。如适用，重叠支架应符合生理学相关的临床使用条件。</w:t>
      </w:r>
    </w:p>
    <w:p w14:paraId="5EF4B64B">
      <w:pPr>
        <w:shd w:val="clear" w:color="auto" w:fill="FFFFFF"/>
        <w:topLinePunct/>
        <w:autoSpaceDE/>
        <w:autoSpaceDN/>
        <w:adjustRightInd/>
        <w:ind w:firstLine="480" w:firstLineChars="200"/>
        <w:jc w:val="both"/>
        <w:rPr>
          <w:rFonts w:eastAsia="宋体"/>
          <w:sz w:val="24"/>
          <w:szCs w:val="24"/>
        </w:rPr>
      </w:pPr>
    </w:p>
    <w:p w14:paraId="1158C1F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该器械进行模拟使用测试后，对其进行检查，其中包括通过模拟体内解剖条件的体外夹具对装置进行压接、跟踪和展开。或者，该支架可在不通过跟踪夹具的情况下，经受模拟使用（如弯曲）过程中预期的应变，并说明理由。该器械条件作用旨在模拟支架的临床条件。</w:t>
      </w:r>
    </w:p>
    <w:p w14:paraId="6D02499D">
      <w:pPr>
        <w:shd w:val="clear" w:color="auto" w:fill="FFFFFF"/>
        <w:topLinePunct/>
        <w:autoSpaceDE/>
        <w:autoSpaceDN/>
        <w:adjustRightInd/>
        <w:ind w:firstLine="480" w:firstLineChars="200"/>
        <w:jc w:val="both"/>
        <w:rPr>
          <w:rFonts w:eastAsia="宋体"/>
          <w:sz w:val="24"/>
          <w:szCs w:val="24"/>
        </w:rPr>
      </w:pPr>
    </w:p>
    <w:p w14:paraId="1514F9B8">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本机构建议使用光学显微镜或电子显微镜，或使用两者，以查找缺陷。本机构建议根据检查尝试检测的缺陷大小，来支持使用的（光学显微镜或电子显微镜）放大级别。</w:t>
      </w:r>
    </w:p>
    <w:p w14:paraId="0BCEFB3B">
      <w:pPr>
        <w:shd w:val="clear" w:color="auto" w:fill="FFFFFF"/>
        <w:topLinePunct/>
        <w:autoSpaceDE/>
        <w:autoSpaceDN/>
        <w:adjustRightInd/>
        <w:ind w:firstLine="480" w:firstLineChars="200"/>
        <w:jc w:val="both"/>
        <w:rPr>
          <w:rFonts w:eastAsia="宋体"/>
          <w:sz w:val="24"/>
          <w:szCs w:val="24"/>
        </w:rPr>
      </w:pPr>
    </w:p>
    <w:p w14:paraId="60BCC00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当需要查看损坏情况时，本机构建议检查以下情况：</w:t>
      </w:r>
    </w:p>
    <w:p w14:paraId="1E88CF31">
      <w:pPr>
        <w:shd w:val="clear" w:color="auto" w:fill="FFFFFF"/>
        <w:topLinePunct/>
        <w:autoSpaceDE/>
        <w:autoSpaceDN/>
        <w:adjustRightInd/>
        <w:jc w:val="both"/>
        <w:rPr>
          <w:rFonts w:eastAsia="宋体"/>
          <w:sz w:val="24"/>
          <w:szCs w:val="24"/>
        </w:rPr>
      </w:pPr>
    </w:p>
    <w:p w14:paraId="44202250">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对于球囊扩张式支架，在充盈至标签上列出的最大直径后；以及</w:t>
      </w:r>
    </w:p>
    <w:p w14:paraId="1FD1395F">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对于自膨式支架，在充盈到无约束直径后。</w:t>
      </w:r>
    </w:p>
    <w:p w14:paraId="1008F994">
      <w:pPr>
        <w:shd w:val="clear" w:color="auto" w:fill="FFFFFF"/>
        <w:topLinePunct/>
        <w:autoSpaceDE/>
        <w:autoSpaceDN/>
        <w:adjustRightInd/>
        <w:ind w:left="904"/>
        <w:jc w:val="both"/>
        <w:rPr>
          <w:rFonts w:eastAsia="宋体"/>
          <w:color w:val="000000"/>
          <w:sz w:val="24"/>
          <w:szCs w:val="24"/>
        </w:rPr>
      </w:pPr>
    </w:p>
    <w:p w14:paraId="3892B0FA">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e.</w:t>
      </w:r>
      <w:r>
        <w:rPr>
          <w:rFonts w:eastAsia="宋体"/>
          <w:b/>
          <w:color w:val="000000"/>
          <w:sz w:val="24"/>
          <w:szCs w:val="24"/>
        </w:rPr>
        <w:tab/>
      </w:r>
      <w:r>
        <w:rPr>
          <w:rFonts w:eastAsia="宋体"/>
          <w:b/>
          <w:color w:val="000000"/>
          <w:sz w:val="24"/>
          <w:szCs w:val="24"/>
        </w:rPr>
        <w:t>径向压缩力</w:t>
      </w:r>
    </w:p>
    <w:p w14:paraId="224D5718">
      <w:pPr>
        <w:shd w:val="clear" w:color="auto" w:fill="FFFFFF"/>
        <w:topLinePunct/>
        <w:autoSpaceDE/>
        <w:autoSpaceDN/>
        <w:adjustRightInd/>
        <w:jc w:val="both"/>
        <w:rPr>
          <w:rFonts w:eastAsia="宋体"/>
          <w:color w:val="000000"/>
          <w:sz w:val="24"/>
          <w:szCs w:val="24"/>
          <w:u w:val="single"/>
        </w:rPr>
      </w:pPr>
    </w:p>
    <w:p w14:paraId="6E9C3AE3">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：径向压缩力表征了支架在外部载荷下抗塌陷的能力。</w:t>
      </w:r>
    </w:p>
    <w:p w14:paraId="435B580A">
      <w:pPr>
        <w:shd w:val="clear" w:color="auto" w:fill="FFFFFF"/>
        <w:topLinePunct/>
        <w:autoSpaceDE/>
        <w:autoSpaceDN/>
        <w:adjustRightInd/>
        <w:jc w:val="both"/>
        <w:rPr>
          <w:rFonts w:eastAsia="宋体"/>
          <w:color w:val="000000"/>
          <w:sz w:val="24"/>
          <w:szCs w:val="24"/>
          <w:u w:val="single"/>
        </w:rPr>
      </w:pPr>
    </w:p>
    <w:p w14:paraId="7A8C0F05">
      <w:pPr>
        <w:shd w:val="clear" w:color="auto" w:fill="FFFFFF"/>
        <w:topLinePunct/>
        <w:autoSpaceDE/>
        <w:autoSpaceDN/>
        <w:adjustRightInd/>
        <w:jc w:val="both"/>
        <w:rPr>
          <w:rFonts w:eastAsia="宋体"/>
          <w:sz w:val="24"/>
          <w:szCs w:val="24"/>
        </w:rPr>
      </w:pPr>
      <w:r>
        <w:rPr>
          <w:rFonts w:eastAsia="宋体"/>
          <w:color w:val="000000"/>
          <w:sz w:val="24"/>
          <w:szCs w:val="24"/>
          <w:u w:val="single"/>
        </w:rPr>
        <w:t>建议</w:t>
      </w:r>
      <w:r>
        <w:rPr>
          <w:rFonts w:eastAsia="宋体"/>
          <w:color w:val="000000"/>
          <w:sz w:val="24"/>
          <w:szCs w:val="24"/>
        </w:rPr>
        <w:t>：本机构建议报告支架充盈后压缩所需力的数值。</w:t>
      </w:r>
    </w:p>
    <w:p w14:paraId="6A293D0F">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br w:type="page"/>
      </w:r>
      <w:r>
        <w:rPr>
          <w:rFonts w:eastAsia="宋体"/>
          <w:color w:val="000000"/>
          <w:sz w:val="24"/>
          <w:szCs w:val="24"/>
        </w:rPr>
        <w:t>FDA建议测量并报告每个标记的支架直径值。如果压缩力随支架总长度的变化而变化，FDA建议</w:t>
      </w:r>
      <w:r>
        <w:rPr>
          <w:rFonts w:hint="eastAsia" w:eastAsia="宋体"/>
          <w:color w:val="000000"/>
          <w:sz w:val="24"/>
          <w:szCs w:val="24"/>
        </w:rPr>
        <w:t>评价</w:t>
      </w:r>
      <w:r>
        <w:rPr>
          <w:rFonts w:eastAsia="宋体"/>
          <w:color w:val="000000"/>
          <w:sz w:val="24"/>
          <w:szCs w:val="24"/>
        </w:rPr>
        <w:t>不同的支架长度。</w:t>
      </w:r>
    </w:p>
    <w:p w14:paraId="48F7D640">
      <w:pPr>
        <w:shd w:val="clear" w:color="auto" w:fill="FFFFFF"/>
        <w:topLinePunct/>
        <w:autoSpaceDE/>
        <w:autoSpaceDN/>
        <w:adjustRightInd/>
        <w:ind w:firstLine="480" w:firstLineChars="200"/>
        <w:jc w:val="both"/>
        <w:rPr>
          <w:rFonts w:eastAsia="宋体"/>
          <w:sz w:val="24"/>
          <w:szCs w:val="24"/>
        </w:rPr>
      </w:pPr>
    </w:p>
    <w:p w14:paraId="4B18473C">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f.</w:t>
      </w:r>
      <w:r>
        <w:rPr>
          <w:rFonts w:eastAsia="宋体"/>
          <w:b/>
          <w:color w:val="000000"/>
          <w:sz w:val="24"/>
          <w:szCs w:val="24"/>
        </w:rPr>
        <w:tab/>
      </w:r>
      <w:r>
        <w:rPr>
          <w:rFonts w:eastAsia="宋体"/>
          <w:b/>
          <w:color w:val="000000"/>
          <w:sz w:val="24"/>
          <w:szCs w:val="24"/>
        </w:rPr>
        <w:t>径向向外力</w:t>
      </w:r>
    </w:p>
    <w:p w14:paraId="360DDA8B">
      <w:pPr>
        <w:shd w:val="clear" w:color="auto" w:fill="FFFFFF"/>
        <w:topLinePunct/>
        <w:autoSpaceDE/>
        <w:autoSpaceDN/>
        <w:adjustRightInd/>
        <w:jc w:val="both"/>
        <w:rPr>
          <w:rFonts w:eastAsia="宋体"/>
          <w:color w:val="000000"/>
          <w:sz w:val="24"/>
          <w:szCs w:val="24"/>
          <w:u w:val="single"/>
        </w:rPr>
      </w:pPr>
    </w:p>
    <w:p w14:paraId="7D719A04">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：径向外向力是展开自膨式支架后施加在周围组织上的力。过大的径向外向力可能损伤周围的胆管组织，而过低的径向外向力可能导致支架与肿瘤或管腔的贴壁不完全。</w:t>
      </w:r>
    </w:p>
    <w:p w14:paraId="4C85C85C">
      <w:pPr>
        <w:shd w:val="clear" w:color="auto" w:fill="FFFFFF"/>
        <w:topLinePunct/>
        <w:autoSpaceDE/>
        <w:autoSpaceDN/>
        <w:adjustRightInd/>
        <w:jc w:val="both"/>
        <w:rPr>
          <w:rFonts w:eastAsia="宋体"/>
          <w:color w:val="000000"/>
          <w:sz w:val="24"/>
          <w:szCs w:val="24"/>
          <w:u w:val="single"/>
        </w:rPr>
      </w:pPr>
    </w:p>
    <w:p w14:paraId="0A2E87C3">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本机构建议，在自膨式支架展开后，测量其对接触组织施加的径向外向力。FDA建议测量并报告每个标记的支架直径值。如果特定的支架尺寸或型号适用于一系列管腔尺寸，则您的评估应涵盖可能的管腔尺寸范围，或者应包括未评估整个指示范围的理由。如果径向力随支架总长度的变化而变化，本机构建议评价不同的支架长度。此外，如果预计支架的径向力沿轴向不均匀（例如，如果该支架具有锥形长度或扩口部分），本机构建议在支架长度的多个位置测量径向力。</w:t>
      </w:r>
    </w:p>
    <w:p w14:paraId="43643E4C">
      <w:pPr>
        <w:shd w:val="clear" w:color="auto" w:fill="FFFFFF"/>
        <w:topLinePunct/>
        <w:autoSpaceDE/>
        <w:autoSpaceDN/>
        <w:adjustRightInd/>
        <w:jc w:val="both"/>
        <w:rPr>
          <w:rFonts w:eastAsia="宋体"/>
          <w:sz w:val="24"/>
          <w:szCs w:val="24"/>
        </w:rPr>
      </w:pPr>
    </w:p>
    <w:p w14:paraId="361B0481">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g.</w:t>
      </w:r>
      <w:r>
        <w:rPr>
          <w:rFonts w:eastAsia="宋体"/>
          <w:b/>
          <w:color w:val="000000"/>
          <w:sz w:val="24"/>
          <w:szCs w:val="24"/>
        </w:rPr>
        <w:tab/>
      </w:r>
      <w:r>
        <w:rPr>
          <w:rFonts w:eastAsia="宋体"/>
          <w:b/>
          <w:color w:val="000000"/>
          <w:sz w:val="24"/>
          <w:szCs w:val="24"/>
        </w:rPr>
        <w:t>射线不透性</w:t>
      </w:r>
    </w:p>
    <w:p w14:paraId="7395D8D4">
      <w:pPr>
        <w:shd w:val="clear" w:color="auto" w:fill="FFFFFF"/>
        <w:topLinePunct/>
        <w:autoSpaceDE/>
        <w:autoSpaceDN/>
        <w:adjustRightInd/>
        <w:jc w:val="both"/>
        <w:rPr>
          <w:rFonts w:eastAsia="宋体"/>
          <w:color w:val="000000"/>
          <w:sz w:val="24"/>
          <w:szCs w:val="24"/>
          <w:u w:val="single"/>
        </w:rPr>
      </w:pPr>
    </w:p>
    <w:p w14:paraId="45889956">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：使用荧光透视或射线成像的支架可见性有助于正确放置支架，并可进行随访和二次治疗。</w:t>
      </w:r>
    </w:p>
    <w:p w14:paraId="56AC2A8F">
      <w:pPr>
        <w:shd w:val="clear" w:color="auto" w:fill="FFFFFF"/>
        <w:topLinePunct/>
        <w:autoSpaceDE/>
        <w:autoSpaceDN/>
        <w:adjustRightInd/>
        <w:jc w:val="both"/>
        <w:rPr>
          <w:rFonts w:eastAsia="宋体"/>
          <w:sz w:val="24"/>
          <w:szCs w:val="24"/>
        </w:rPr>
      </w:pPr>
    </w:p>
    <w:p w14:paraId="246F553B">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：FDA建议使用辐射不透性配置最少的支架尺寸（例如，最小直径和最短长度）来评价您的支架的辐射不透性，并在支架寿命中的以下阶段提供科学依据：</w:t>
      </w:r>
    </w:p>
    <w:p w14:paraId="25E99F5F">
      <w:pPr>
        <w:shd w:val="clear" w:color="auto" w:fill="FFFFFF"/>
        <w:topLinePunct/>
        <w:autoSpaceDE/>
        <w:autoSpaceDN/>
        <w:adjustRightInd/>
        <w:jc w:val="both"/>
        <w:rPr>
          <w:rFonts w:eastAsia="宋体"/>
          <w:sz w:val="24"/>
          <w:szCs w:val="24"/>
        </w:rPr>
      </w:pPr>
    </w:p>
    <w:p w14:paraId="5E257BDE">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输送；</w:t>
      </w:r>
    </w:p>
    <w:p w14:paraId="5F0DDFC5">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展开（如果与输送分开）；和</w:t>
      </w:r>
    </w:p>
    <w:p w14:paraId="324E6687">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植入后。</w:t>
      </w:r>
    </w:p>
    <w:p w14:paraId="0E93B6D0">
      <w:pPr>
        <w:shd w:val="clear" w:color="auto" w:fill="FFFFFF"/>
        <w:topLinePunct/>
        <w:autoSpaceDE/>
        <w:autoSpaceDN/>
        <w:adjustRightInd/>
        <w:jc w:val="both"/>
        <w:rPr>
          <w:rFonts w:eastAsia="宋体"/>
          <w:color w:val="000000"/>
          <w:sz w:val="24"/>
          <w:szCs w:val="24"/>
        </w:rPr>
      </w:pPr>
    </w:p>
    <w:p w14:paraId="04C01A58">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本机构建议通过实时和平片x线或电子图像格式提供支架可见性的定性或定量评估。使用动物植入物、体外模型或同等模型的图像数据是可接受的。</w:t>
      </w:r>
    </w:p>
    <w:p w14:paraId="53D8FEFC">
      <w:pPr>
        <w:shd w:val="clear" w:color="auto" w:fill="FFFFFF"/>
        <w:topLinePunct/>
        <w:autoSpaceDE/>
        <w:autoSpaceDN/>
        <w:adjustRightInd/>
        <w:jc w:val="both"/>
        <w:rPr>
          <w:rFonts w:eastAsia="宋体"/>
          <w:sz w:val="24"/>
          <w:szCs w:val="24"/>
        </w:rPr>
      </w:pPr>
    </w:p>
    <w:p w14:paraId="58BF5884">
      <w:pPr>
        <w:pStyle w:val="4"/>
        <w:tabs>
          <w:tab w:val="left" w:pos="2268"/>
        </w:tabs>
        <w:spacing w:before="0" w:after="0" w:line="240" w:lineRule="auto"/>
        <w:ind w:left="1610" w:leftChars="805"/>
        <w:rPr>
          <w:sz w:val="28"/>
          <w:szCs w:val="28"/>
        </w:rPr>
      </w:pPr>
      <w:bookmarkStart w:id="29" w:name="_Toc97386392"/>
      <w:bookmarkStart w:id="30" w:name="_Toc97386694"/>
      <w:r>
        <w:rPr>
          <w:rFonts w:hint="eastAsia"/>
          <w:sz w:val="28"/>
          <w:szCs w:val="28"/>
        </w:rPr>
        <w:t>(</w:t>
      </w:r>
      <w:r>
        <w:rPr>
          <w:sz w:val="28"/>
          <w:szCs w:val="28"/>
        </w:rPr>
        <w:t>3</w:t>
      </w:r>
      <w:r>
        <w:rPr>
          <w:rFonts w:hint="eastAsia"/>
          <w:sz w:val="28"/>
          <w:szCs w:val="28"/>
        </w:rPr>
        <w:t>)</w:t>
      </w:r>
      <w:r>
        <w:rPr>
          <w:rFonts w:hint="eastAsia"/>
          <w:sz w:val="28"/>
          <w:szCs w:val="28"/>
        </w:rPr>
        <w:tab/>
      </w:r>
      <w:r>
        <w:rPr>
          <w:sz w:val="28"/>
          <w:szCs w:val="28"/>
        </w:rPr>
        <w:t>支架输送系统（SDS）尺寸和功能属性</w:t>
      </w:r>
      <w:bookmarkEnd w:id="29"/>
      <w:bookmarkEnd w:id="30"/>
    </w:p>
    <w:p w14:paraId="46BAF6F1">
      <w:pPr>
        <w:shd w:val="clear" w:color="auto" w:fill="FFFFFF"/>
        <w:topLinePunct/>
        <w:autoSpaceDE/>
        <w:autoSpaceDN/>
        <w:adjustRightInd/>
        <w:jc w:val="both"/>
        <w:rPr>
          <w:rFonts w:eastAsia="宋体"/>
          <w:color w:val="000000"/>
          <w:sz w:val="24"/>
          <w:szCs w:val="24"/>
        </w:rPr>
      </w:pPr>
    </w:p>
    <w:p w14:paraId="3FB3A2C9">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除非另有说明，否则本机构建议对带有支架的完整灭菌组装件进行所有测试。本机构也建议，在37℃盐水浴或其他具有临床环境代表性的介质中对所有试验样品进行热平衡处理并提供理由说明。</w:t>
      </w:r>
    </w:p>
    <w:p w14:paraId="6978C2E6">
      <w:pPr>
        <w:shd w:val="clear" w:color="auto" w:fill="FFFFFF"/>
        <w:tabs>
          <w:tab w:val="left" w:pos="2835"/>
        </w:tabs>
        <w:topLinePunct/>
        <w:autoSpaceDE/>
        <w:autoSpaceDN/>
        <w:adjustRightInd/>
        <w:ind w:left="2829" w:leftChars="1134" w:hanging="561" w:hangingChars="234"/>
        <w:jc w:val="both"/>
        <w:rPr>
          <w:rFonts w:eastAsia="宋体"/>
          <w:sz w:val="24"/>
          <w:szCs w:val="24"/>
        </w:rPr>
      </w:pPr>
      <w:r>
        <w:rPr>
          <w:rFonts w:eastAsia="宋体"/>
          <w:sz w:val="24"/>
          <w:szCs w:val="24"/>
        </w:rPr>
        <w:br w:type="page"/>
      </w:r>
      <w:r>
        <w:rPr>
          <w:rFonts w:eastAsia="宋体"/>
          <w:b/>
          <w:color w:val="000000"/>
          <w:sz w:val="24"/>
          <w:szCs w:val="24"/>
        </w:rPr>
        <w:t>a.</w:t>
      </w:r>
      <w:r>
        <w:rPr>
          <w:rFonts w:eastAsia="宋体"/>
          <w:b/>
          <w:color w:val="000000"/>
          <w:sz w:val="24"/>
          <w:szCs w:val="24"/>
        </w:rPr>
        <w:tab/>
      </w:r>
      <w:r>
        <w:rPr>
          <w:rFonts w:eastAsia="宋体"/>
          <w:b/>
          <w:color w:val="000000"/>
          <w:sz w:val="24"/>
          <w:szCs w:val="24"/>
        </w:rPr>
        <w:t>输送、展开和回撤</w:t>
      </w:r>
    </w:p>
    <w:p w14:paraId="5D5CF20C">
      <w:pPr>
        <w:shd w:val="clear" w:color="auto" w:fill="FFFFFF"/>
        <w:topLinePunct/>
        <w:autoSpaceDE/>
        <w:autoSpaceDN/>
        <w:adjustRightInd/>
        <w:jc w:val="both"/>
        <w:rPr>
          <w:rFonts w:eastAsia="宋体"/>
          <w:color w:val="000000"/>
          <w:sz w:val="24"/>
          <w:szCs w:val="24"/>
          <w:u w:val="single"/>
        </w:rPr>
      </w:pPr>
    </w:p>
    <w:p w14:paraId="58D9CF24">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：SDS应根据使用说明书安全、可靠地将胆道支架输送至预期位置，且不损坏支架或对患者造成损伤。该测试用于确认输送系统的准确性和可重复性。</w:t>
      </w:r>
    </w:p>
    <w:p w14:paraId="51BEA9E6">
      <w:pPr>
        <w:shd w:val="clear" w:color="auto" w:fill="FFFFFF"/>
        <w:topLinePunct/>
        <w:autoSpaceDE/>
        <w:autoSpaceDN/>
        <w:adjustRightInd/>
        <w:jc w:val="both"/>
        <w:rPr>
          <w:rFonts w:eastAsia="宋体"/>
          <w:color w:val="000000"/>
          <w:sz w:val="24"/>
          <w:szCs w:val="24"/>
          <w:u w:val="single"/>
        </w:rPr>
      </w:pPr>
    </w:p>
    <w:p w14:paraId="36EC6CE6">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FDA建议测试SDS是否能够安全可靠地将支架输送至预期位置。本机构还建议在相关测试模型中证明支架在展开和回撤期间均不会受到SDS的不良影响。选择的测试模型应模拟胆道解剖结构的实际临床模拟参数，包括下列属性：</w:t>
      </w:r>
    </w:p>
    <w:p w14:paraId="1A88B9D8">
      <w:pPr>
        <w:shd w:val="clear" w:color="auto" w:fill="FFFFFF"/>
        <w:topLinePunct/>
        <w:autoSpaceDE/>
        <w:autoSpaceDN/>
        <w:adjustRightInd/>
        <w:jc w:val="both"/>
        <w:rPr>
          <w:rFonts w:eastAsia="宋体"/>
          <w:sz w:val="24"/>
          <w:szCs w:val="24"/>
        </w:rPr>
      </w:pPr>
    </w:p>
    <w:p w14:paraId="271A7EB6">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润滑性；</w:t>
      </w:r>
    </w:p>
    <w:p w14:paraId="3E7BC6B6">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迂曲度；</w:t>
      </w:r>
    </w:p>
    <w:p w14:paraId="2D830F9B">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狭窄尺寸；以及</w:t>
      </w:r>
    </w:p>
    <w:p w14:paraId="17FA7ED5">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体外（模型）输送系统的长度。</w:t>
      </w:r>
    </w:p>
    <w:p w14:paraId="0A4E4C6B">
      <w:pPr>
        <w:shd w:val="clear" w:color="auto" w:fill="FFFFFF"/>
        <w:topLinePunct/>
        <w:autoSpaceDE/>
        <w:autoSpaceDN/>
        <w:adjustRightInd/>
        <w:jc w:val="both"/>
        <w:rPr>
          <w:rFonts w:eastAsia="宋体"/>
          <w:color w:val="000000"/>
          <w:sz w:val="24"/>
          <w:szCs w:val="24"/>
        </w:rPr>
      </w:pPr>
    </w:p>
    <w:p w14:paraId="7FE07CD4">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SDS的性能测试应包括，但可能不限于以下方面：</w:t>
      </w:r>
    </w:p>
    <w:p w14:paraId="78D65A24">
      <w:pPr>
        <w:shd w:val="clear" w:color="auto" w:fill="FFFFFF"/>
        <w:topLinePunct/>
        <w:autoSpaceDE/>
        <w:autoSpaceDN/>
        <w:adjustRightInd/>
        <w:jc w:val="both"/>
        <w:rPr>
          <w:rFonts w:eastAsia="宋体"/>
          <w:sz w:val="24"/>
          <w:szCs w:val="24"/>
        </w:rPr>
      </w:pPr>
    </w:p>
    <w:p w14:paraId="6221CDD8">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输送力；</w:t>
      </w:r>
    </w:p>
    <w:p w14:paraId="45E2C8FC">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展开力；</w:t>
      </w:r>
    </w:p>
    <w:p w14:paraId="28454C81">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回撤力；以及</w:t>
      </w:r>
    </w:p>
    <w:p w14:paraId="0594CC5B">
      <w:pPr>
        <w:numPr>
          <w:ilvl w:val="0"/>
          <w:numId w:val="1"/>
        </w:numPr>
        <w:shd w:val="clear" w:color="auto" w:fill="FFFFFF"/>
        <w:tabs>
          <w:tab w:val="left" w:pos="72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展开精准度。</w:t>
      </w:r>
    </w:p>
    <w:p w14:paraId="73EAC1F1">
      <w:pPr>
        <w:shd w:val="clear" w:color="auto" w:fill="FFFFFF"/>
        <w:topLinePunct/>
        <w:autoSpaceDE/>
        <w:autoSpaceDN/>
        <w:adjustRightInd/>
        <w:ind w:left="1682" w:leftChars="600" w:hanging="482" w:hangingChars="200"/>
        <w:jc w:val="both"/>
        <w:rPr>
          <w:rFonts w:eastAsia="宋体"/>
          <w:b/>
          <w:color w:val="000000"/>
          <w:sz w:val="24"/>
          <w:szCs w:val="24"/>
        </w:rPr>
      </w:pPr>
    </w:p>
    <w:p w14:paraId="38706A38">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b.</w:t>
      </w:r>
      <w:r>
        <w:rPr>
          <w:rFonts w:eastAsia="宋体"/>
          <w:b/>
          <w:color w:val="000000"/>
          <w:sz w:val="24"/>
          <w:szCs w:val="24"/>
        </w:rPr>
        <w:tab/>
      </w:r>
      <w:r>
        <w:rPr>
          <w:rFonts w:eastAsia="宋体"/>
          <w:b/>
          <w:color w:val="000000"/>
          <w:sz w:val="24"/>
          <w:szCs w:val="24"/>
        </w:rPr>
        <w:t>球囊额定爆破压力（仅球囊扩张式支架）</w:t>
      </w:r>
    </w:p>
    <w:p w14:paraId="524D1CE6">
      <w:pPr>
        <w:shd w:val="clear" w:color="auto" w:fill="FFFFFF"/>
        <w:topLinePunct/>
        <w:autoSpaceDE/>
        <w:autoSpaceDN/>
        <w:adjustRightInd/>
        <w:jc w:val="both"/>
        <w:rPr>
          <w:rFonts w:eastAsia="宋体"/>
          <w:color w:val="000000"/>
          <w:sz w:val="24"/>
          <w:szCs w:val="24"/>
          <w:u w:val="single"/>
        </w:rPr>
      </w:pPr>
    </w:p>
    <w:p w14:paraId="4BA7B1CC">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：额定爆破压力（RBP）是99.9%的球囊能够在95%的置信度下存在的压力。球囊无法承受RBP会导致不良临床结果。</w:t>
      </w:r>
    </w:p>
    <w:p w14:paraId="735A8D47">
      <w:pPr>
        <w:shd w:val="clear" w:color="auto" w:fill="FFFFFF"/>
        <w:topLinePunct/>
        <w:autoSpaceDE/>
        <w:autoSpaceDN/>
        <w:adjustRightInd/>
        <w:jc w:val="both"/>
        <w:rPr>
          <w:rFonts w:eastAsia="宋体"/>
          <w:sz w:val="24"/>
          <w:szCs w:val="24"/>
        </w:rPr>
      </w:pPr>
    </w:p>
    <w:p w14:paraId="7B5CB593">
      <w:pPr>
        <w:shd w:val="clear" w:color="auto" w:fill="FFFFFF"/>
        <w:topLinePunct/>
        <w:autoSpaceDE/>
        <w:autoSpaceDN/>
        <w:adjustRightInd/>
        <w:jc w:val="both"/>
        <w:rPr>
          <w:rFonts w:eastAsia="宋体"/>
          <w:sz w:val="24"/>
          <w:szCs w:val="24"/>
        </w:rPr>
      </w:pPr>
      <w:r>
        <w:rPr>
          <w:rFonts w:eastAsia="宋体"/>
          <w:color w:val="000000"/>
          <w:sz w:val="24"/>
          <w:szCs w:val="24"/>
          <w:u w:val="single"/>
        </w:rPr>
        <w:t>建议</w:t>
      </w:r>
      <w:r>
        <w:rPr>
          <w:rFonts w:eastAsia="宋体"/>
          <w:color w:val="000000"/>
          <w:sz w:val="24"/>
          <w:szCs w:val="24"/>
        </w:rPr>
        <w:t>：本机构建议对装有不受任何试验夹具（如管道）约束的支架的球囊进行测试。本机构建议对每个球囊直径的最长长度加上球囊直径在最短长度的最小直径和在最短长度的最大直径进行测试。</w:t>
      </w:r>
      <w:r>
        <w:rPr>
          <w:rFonts w:eastAsia="宋体"/>
          <w:b/>
          <w:sz w:val="24"/>
          <w:szCs w:val="24"/>
        </w:rPr>
        <w:t>表2</w:t>
      </w:r>
      <w:r>
        <w:rPr>
          <w:rFonts w:eastAsia="宋体"/>
          <w:sz w:val="24"/>
          <w:szCs w:val="24"/>
        </w:rPr>
        <w:t>说明</w:t>
      </w:r>
      <w:r>
        <w:rPr>
          <w:rFonts w:eastAsia="宋体"/>
          <w:color w:val="000000"/>
          <w:sz w:val="24"/>
          <w:szCs w:val="24"/>
        </w:rPr>
        <w:t>了关于支架设计所推荐的测试矩阵，其直径范围为8.0 mm至14.0 mm，长度范围为40 mm至80 mm。</w:t>
      </w:r>
    </w:p>
    <w:p w14:paraId="2EAEB9C5">
      <w:pPr>
        <w:shd w:val="clear" w:color="auto" w:fill="FFFFFF"/>
        <w:topLinePunct/>
        <w:autoSpaceDE/>
        <w:autoSpaceDN/>
        <w:adjustRightInd/>
        <w:jc w:val="both"/>
        <w:rPr>
          <w:rFonts w:eastAsia="宋体"/>
          <w:sz w:val="24"/>
          <w:szCs w:val="24"/>
        </w:rPr>
      </w:pPr>
    </w:p>
    <w:p w14:paraId="00198DAB">
      <w:pPr>
        <w:widowControl/>
        <w:autoSpaceDE/>
        <w:autoSpaceDN/>
        <w:adjustRightInd/>
        <w:rPr>
          <w:rFonts w:eastAsia="宋体"/>
          <w:sz w:val="24"/>
          <w:szCs w:val="24"/>
        </w:rPr>
      </w:pPr>
      <w:r>
        <w:rPr>
          <w:rFonts w:eastAsia="宋体"/>
          <w:sz w:val="24"/>
          <w:szCs w:val="24"/>
        </w:rPr>
        <w:br w:type="page"/>
      </w:r>
    </w:p>
    <w:p w14:paraId="6F5C7717">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表2：</w:t>
      </w:r>
      <w:r>
        <w:rPr>
          <w:rFonts w:eastAsia="宋体"/>
          <w:b/>
          <w:color w:val="000000"/>
          <w:sz w:val="24"/>
          <w:szCs w:val="24"/>
        </w:rPr>
        <w:tab/>
      </w:r>
      <w:r>
        <w:rPr>
          <w:rFonts w:eastAsia="宋体"/>
          <w:b/>
          <w:color w:val="000000"/>
          <w:sz w:val="24"/>
          <w:szCs w:val="24"/>
        </w:rPr>
        <w:t>推荐的RBP测试矩阵</w:t>
      </w:r>
    </w:p>
    <w:p w14:paraId="2B0EC616">
      <w:pPr>
        <w:shd w:val="clear" w:color="auto" w:fill="FFFFFF"/>
        <w:topLinePunct/>
        <w:autoSpaceDE/>
        <w:autoSpaceDN/>
        <w:adjustRightInd/>
        <w:jc w:val="center"/>
        <w:rPr>
          <w:rFonts w:eastAsia="宋体"/>
          <w:sz w:val="24"/>
          <w:szCs w:val="24"/>
        </w:rPr>
      </w:pPr>
    </w:p>
    <w:tbl>
      <w:tblPr>
        <w:tblStyle w:val="14"/>
        <w:tblW w:w="0" w:type="auto"/>
        <w:jc w:val="center"/>
        <w:tblLayout w:type="fixed"/>
        <w:tblCellMar>
          <w:top w:w="0" w:type="dxa"/>
          <w:left w:w="57" w:type="dxa"/>
          <w:bottom w:w="0" w:type="dxa"/>
          <w:right w:w="57" w:type="dxa"/>
        </w:tblCellMar>
      </w:tblPr>
      <w:tblGrid>
        <w:gridCol w:w="1670"/>
        <w:gridCol w:w="576"/>
        <w:gridCol w:w="576"/>
        <w:gridCol w:w="576"/>
        <w:gridCol w:w="590"/>
      </w:tblGrid>
      <w:tr w14:paraId="2E6EA0BB">
        <w:tblPrEx>
          <w:tblCellMar>
            <w:top w:w="0" w:type="dxa"/>
            <w:left w:w="57" w:type="dxa"/>
            <w:bottom w:w="0" w:type="dxa"/>
            <w:right w:w="57" w:type="dxa"/>
          </w:tblCellMar>
        </w:tblPrEx>
        <w:trPr>
          <w:jc w:val="center"/>
        </w:trPr>
        <w:tc>
          <w:tcPr>
            <w:tcW w:w="1670" w:type="dxa"/>
            <w:vMerge w:val="restart"/>
            <w:tcBorders>
              <w:top w:val="single" w:color="auto" w:sz="12" w:space="0"/>
              <w:left w:val="single" w:color="auto" w:sz="12" w:space="0"/>
              <w:right w:val="single" w:color="auto" w:sz="12" w:space="0"/>
            </w:tcBorders>
            <w:shd w:val="clear" w:color="auto" w:fill="F1F1F1" w:themeFill="background1" w:themeFillShade="F2"/>
          </w:tcPr>
          <w:p w14:paraId="241FD4C1">
            <w:pPr>
              <w:rPr>
                <w:rFonts w:eastAsia="宋体"/>
                <w:b/>
                <w:sz w:val="21"/>
                <w:szCs w:val="21"/>
              </w:rPr>
            </w:pPr>
            <w:r>
              <w:rPr>
                <w:rFonts w:eastAsia="宋体"/>
                <w:b/>
                <w:sz w:val="21"/>
                <w:szCs w:val="21"/>
              </w:rPr>
              <w:t>支架直径</w:t>
            </w:r>
          </w:p>
          <w:p w14:paraId="4951A05F">
            <w:pPr>
              <w:rPr>
                <w:rFonts w:eastAsia="宋体"/>
                <w:b/>
                <w:sz w:val="21"/>
                <w:szCs w:val="21"/>
              </w:rPr>
            </w:pPr>
            <w:r>
              <w:rPr>
                <w:rFonts w:eastAsia="宋体"/>
                <w:b/>
                <w:sz w:val="21"/>
                <w:szCs w:val="21"/>
              </w:rPr>
              <w:t>（mm）</w:t>
            </w:r>
          </w:p>
        </w:tc>
        <w:tc>
          <w:tcPr>
            <w:tcW w:w="2318" w:type="dxa"/>
            <w:gridSpan w:val="4"/>
            <w:tcBorders>
              <w:top w:val="single" w:color="auto" w:sz="12" w:space="0"/>
              <w:left w:val="single" w:color="auto" w:sz="12" w:space="0"/>
              <w:bottom w:val="nil"/>
              <w:right w:val="single" w:color="auto" w:sz="12" w:space="0"/>
            </w:tcBorders>
            <w:shd w:val="clear" w:color="auto" w:fill="F1F1F1" w:themeFill="background1" w:themeFillShade="F2"/>
          </w:tcPr>
          <w:p w14:paraId="5B823D18">
            <w:pPr>
              <w:rPr>
                <w:rFonts w:eastAsia="宋体"/>
                <w:b/>
                <w:sz w:val="21"/>
                <w:szCs w:val="21"/>
              </w:rPr>
            </w:pPr>
            <w:r>
              <w:rPr>
                <w:rFonts w:eastAsia="宋体"/>
                <w:b/>
                <w:sz w:val="21"/>
                <w:szCs w:val="21"/>
              </w:rPr>
              <w:t>支架长度（mm）</w:t>
            </w:r>
          </w:p>
        </w:tc>
      </w:tr>
      <w:tr w14:paraId="34C08CB4">
        <w:tblPrEx>
          <w:tblCellMar>
            <w:top w:w="0" w:type="dxa"/>
            <w:left w:w="57" w:type="dxa"/>
            <w:bottom w:w="0" w:type="dxa"/>
            <w:right w:w="57" w:type="dxa"/>
          </w:tblCellMar>
        </w:tblPrEx>
        <w:trPr>
          <w:jc w:val="center"/>
        </w:trPr>
        <w:tc>
          <w:tcPr>
            <w:tcW w:w="1670" w:type="dxa"/>
            <w:vMerge w:val="continue"/>
            <w:tcBorders>
              <w:left w:val="single" w:color="auto" w:sz="12" w:space="0"/>
              <w:bottom w:val="nil"/>
              <w:right w:val="single" w:color="auto" w:sz="12" w:space="0"/>
            </w:tcBorders>
            <w:shd w:val="clear" w:color="auto" w:fill="FFFFFF"/>
          </w:tcPr>
          <w:p w14:paraId="0730CD9C">
            <w:pPr>
              <w:topLinePunct/>
              <w:autoSpaceDE/>
              <w:autoSpaceDN/>
              <w:adjustRightInd/>
              <w:jc w:val="both"/>
              <w:rPr>
                <w:rFonts w:eastAsia="宋体"/>
                <w:sz w:val="21"/>
                <w:szCs w:val="21"/>
              </w:rPr>
            </w:pPr>
          </w:p>
        </w:tc>
        <w:tc>
          <w:tcPr>
            <w:tcW w:w="576" w:type="dxa"/>
            <w:tcBorders>
              <w:top w:val="nil"/>
              <w:left w:val="single" w:color="auto" w:sz="12" w:space="0"/>
              <w:bottom w:val="single" w:color="auto" w:sz="12" w:space="0"/>
              <w:right w:val="nil"/>
            </w:tcBorders>
            <w:shd w:val="clear" w:color="auto" w:fill="FFFFFF"/>
          </w:tcPr>
          <w:p w14:paraId="764C9B62">
            <w:pPr>
              <w:shd w:val="clear" w:color="auto" w:fill="FFFFFF"/>
              <w:topLinePunct/>
              <w:autoSpaceDE/>
              <w:autoSpaceDN/>
              <w:adjustRightInd/>
              <w:jc w:val="both"/>
              <w:rPr>
                <w:rFonts w:eastAsia="宋体"/>
                <w:sz w:val="21"/>
                <w:szCs w:val="21"/>
              </w:rPr>
            </w:pPr>
            <w:r>
              <w:rPr>
                <w:rFonts w:eastAsia="宋体"/>
                <w:b/>
                <w:bCs/>
                <w:color w:val="000000"/>
                <w:sz w:val="21"/>
                <w:szCs w:val="21"/>
              </w:rPr>
              <w:t>40</w:t>
            </w:r>
          </w:p>
        </w:tc>
        <w:tc>
          <w:tcPr>
            <w:tcW w:w="576" w:type="dxa"/>
            <w:tcBorders>
              <w:top w:val="nil"/>
              <w:left w:val="nil"/>
              <w:bottom w:val="single" w:color="auto" w:sz="12" w:space="0"/>
              <w:right w:val="nil"/>
            </w:tcBorders>
            <w:shd w:val="clear" w:color="auto" w:fill="FFFFFF"/>
          </w:tcPr>
          <w:p w14:paraId="73F1E3E7">
            <w:pPr>
              <w:shd w:val="clear" w:color="auto" w:fill="FFFFFF"/>
              <w:topLinePunct/>
              <w:autoSpaceDE/>
              <w:autoSpaceDN/>
              <w:adjustRightInd/>
              <w:jc w:val="both"/>
              <w:rPr>
                <w:rFonts w:eastAsia="宋体"/>
                <w:sz w:val="21"/>
                <w:szCs w:val="21"/>
              </w:rPr>
            </w:pPr>
            <w:r>
              <w:rPr>
                <w:rFonts w:eastAsia="宋体"/>
                <w:b/>
                <w:bCs/>
                <w:color w:val="000000"/>
                <w:sz w:val="21"/>
                <w:szCs w:val="21"/>
              </w:rPr>
              <w:t>50</w:t>
            </w:r>
          </w:p>
        </w:tc>
        <w:tc>
          <w:tcPr>
            <w:tcW w:w="576" w:type="dxa"/>
            <w:tcBorders>
              <w:top w:val="nil"/>
              <w:left w:val="nil"/>
              <w:bottom w:val="single" w:color="auto" w:sz="12" w:space="0"/>
              <w:right w:val="nil"/>
            </w:tcBorders>
            <w:shd w:val="clear" w:color="auto" w:fill="FFFFFF"/>
          </w:tcPr>
          <w:p w14:paraId="21C104F0">
            <w:pPr>
              <w:shd w:val="clear" w:color="auto" w:fill="FFFFFF"/>
              <w:topLinePunct/>
              <w:autoSpaceDE/>
              <w:autoSpaceDN/>
              <w:adjustRightInd/>
              <w:jc w:val="both"/>
              <w:rPr>
                <w:rFonts w:eastAsia="宋体"/>
                <w:sz w:val="21"/>
                <w:szCs w:val="21"/>
              </w:rPr>
            </w:pPr>
            <w:r>
              <w:rPr>
                <w:rFonts w:eastAsia="宋体"/>
                <w:b/>
                <w:bCs/>
                <w:color w:val="000000"/>
                <w:sz w:val="21"/>
                <w:szCs w:val="21"/>
              </w:rPr>
              <w:t>60</w:t>
            </w:r>
          </w:p>
        </w:tc>
        <w:tc>
          <w:tcPr>
            <w:tcW w:w="590" w:type="dxa"/>
            <w:tcBorders>
              <w:top w:val="nil"/>
              <w:left w:val="nil"/>
              <w:bottom w:val="single" w:color="auto" w:sz="12" w:space="0"/>
              <w:right w:val="single" w:color="auto" w:sz="12" w:space="0"/>
            </w:tcBorders>
            <w:shd w:val="clear" w:color="auto" w:fill="FFFFFF"/>
          </w:tcPr>
          <w:p w14:paraId="04E733F2">
            <w:pPr>
              <w:shd w:val="clear" w:color="auto" w:fill="FFFFFF"/>
              <w:topLinePunct/>
              <w:autoSpaceDE/>
              <w:autoSpaceDN/>
              <w:adjustRightInd/>
              <w:jc w:val="both"/>
              <w:rPr>
                <w:rFonts w:eastAsia="宋体"/>
                <w:sz w:val="21"/>
                <w:szCs w:val="21"/>
              </w:rPr>
            </w:pPr>
            <w:r>
              <w:rPr>
                <w:rFonts w:eastAsia="宋体"/>
                <w:b/>
                <w:bCs/>
                <w:color w:val="000000"/>
                <w:sz w:val="21"/>
                <w:szCs w:val="21"/>
              </w:rPr>
              <w:t>80</w:t>
            </w:r>
          </w:p>
        </w:tc>
      </w:tr>
      <w:tr w14:paraId="67BFFD96">
        <w:tblPrEx>
          <w:tblCellMar>
            <w:top w:w="0" w:type="dxa"/>
            <w:left w:w="57" w:type="dxa"/>
            <w:bottom w:w="0" w:type="dxa"/>
            <w:right w:w="57" w:type="dxa"/>
          </w:tblCellMar>
        </w:tblPrEx>
        <w:trPr>
          <w:jc w:val="center"/>
        </w:trPr>
        <w:tc>
          <w:tcPr>
            <w:tcW w:w="1670" w:type="dxa"/>
            <w:tcBorders>
              <w:top w:val="nil"/>
              <w:left w:val="single" w:color="auto" w:sz="12" w:space="0"/>
              <w:bottom w:val="nil"/>
              <w:right w:val="single" w:color="auto" w:sz="12" w:space="0"/>
            </w:tcBorders>
            <w:shd w:val="clear" w:color="auto" w:fill="FFFFFF"/>
          </w:tcPr>
          <w:p w14:paraId="59E29B4C">
            <w:pPr>
              <w:shd w:val="clear" w:color="auto" w:fill="FFFFFF"/>
              <w:topLinePunct/>
              <w:autoSpaceDE/>
              <w:autoSpaceDN/>
              <w:adjustRightInd/>
              <w:jc w:val="both"/>
              <w:rPr>
                <w:rFonts w:eastAsia="宋体"/>
                <w:sz w:val="21"/>
                <w:szCs w:val="21"/>
              </w:rPr>
            </w:pPr>
            <w:r>
              <w:rPr>
                <w:rFonts w:eastAsia="宋体"/>
                <w:b/>
                <w:bCs/>
                <w:color w:val="000000"/>
                <w:sz w:val="21"/>
                <w:szCs w:val="21"/>
              </w:rPr>
              <w:t>8.0</w:t>
            </w:r>
          </w:p>
        </w:tc>
        <w:tc>
          <w:tcPr>
            <w:tcW w:w="576" w:type="dxa"/>
            <w:tcBorders>
              <w:top w:val="single" w:color="auto" w:sz="12" w:space="0"/>
              <w:left w:val="single" w:color="auto" w:sz="12" w:space="0"/>
              <w:bottom w:val="single" w:color="auto" w:sz="6" w:space="0"/>
              <w:right w:val="single" w:color="auto" w:sz="6" w:space="0"/>
            </w:tcBorders>
            <w:shd w:val="clear" w:color="auto" w:fill="FFFFFF"/>
          </w:tcPr>
          <w:p w14:paraId="656C9E81">
            <w:pPr>
              <w:shd w:val="clear" w:color="auto" w:fill="FFFFFF"/>
              <w:topLinePunct/>
              <w:autoSpaceDE/>
              <w:autoSpaceDN/>
              <w:adjustRightInd/>
              <w:jc w:val="both"/>
              <w:rPr>
                <w:rFonts w:eastAsia="宋体"/>
                <w:sz w:val="21"/>
                <w:szCs w:val="21"/>
              </w:rPr>
            </w:pPr>
            <w:r>
              <w:rPr>
                <w:rFonts w:eastAsia="宋体"/>
                <w:color w:val="000000"/>
                <w:sz w:val="21"/>
                <w:szCs w:val="21"/>
              </w:rPr>
              <w:t>X</w:t>
            </w:r>
          </w:p>
        </w:tc>
        <w:tc>
          <w:tcPr>
            <w:tcW w:w="576" w:type="dxa"/>
            <w:tcBorders>
              <w:top w:val="single" w:color="auto" w:sz="12" w:space="0"/>
              <w:left w:val="single" w:color="auto" w:sz="6" w:space="0"/>
              <w:bottom w:val="single" w:color="auto" w:sz="6" w:space="0"/>
              <w:right w:val="single" w:color="auto" w:sz="6" w:space="0"/>
            </w:tcBorders>
            <w:shd w:val="clear" w:color="auto" w:fill="FFFFFF"/>
          </w:tcPr>
          <w:p w14:paraId="1309AA49">
            <w:pPr>
              <w:shd w:val="clear" w:color="auto" w:fill="FFFFFF"/>
              <w:topLinePunct/>
              <w:autoSpaceDE/>
              <w:autoSpaceDN/>
              <w:adjustRightInd/>
              <w:jc w:val="both"/>
              <w:rPr>
                <w:rFonts w:eastAsia="宋体"/>
                <w:sz w:val="21"/>
                <w:szCs w:val="21"/>
              </w:rPr>
            </w:pPr>
          </w:p>
        </w:tc>
        <w:tc>
          <w:tcPr>
            <w:tcW w:w="576" w:type="dxa"/>
            <w:tcBorders>
              <w:top w:val="single" w:color="auto" w:sz="12" w:space="0"/>
              <w:left w:val="single" w:color="auto" w:sz="6" w:space="0"/>
              <w:bottom w:val="single" w:color="auto" w:sz="6" w:space="0"/>
              <w:right w:val="single" w:color="auto" w:sz="6" w:space="0"/>
            </w:tcBorders>
            <w:shd w:val="clear" w:color="auto" w:fill="FFFFFF"/>
          </w:tcPr>
          <w:p w14:paraId="74D669D0">
            <w:pPr>
              <w:shd w:val="clear" w:color="auto" w:fill="FFFFFF"/>
              <w:topLinePunct/>
              <w:autoSpaceDE/>
              <w:autoSpaceDN/>
              <w:adjustRightInd/>
              <w:jc w:val="both"/>
              <w:rPr>
                <w:rFonts w:eastAsia="宋体"/>
                <w:sz w:val="21"/>
                <w:szCs w:val="21"/>
              </w:rPr>
            </w:pPr>
          </w:p>
        </w:tc>
        <w:tc>
          <w:tcPr>
            <w:tcW w:w="590" w:type="dxa"/>
            <w:tcBorders>
              <w:top w:val="single" w:color="auto" w:sz="12" w:space="0"/>
              <w:left w:val="single" w:color="auto" w:sz="6" w:space="0"/>
              <w:bottom w:val="single" w:color="auto" w:sz="6" w:space="0"/>
              <w:right w:val="single" w:color="auto" w:sz="6" w:space="0"/>
            </w:tcBorders>
            <w:shd w:val="clear" w:color="auto" w:fill="FFFFFF"/>
          </w:tcPr>
          <w:p w14:paraId="60A652B6">
            <w:pPr>
              <w:shd w:val="clear" w:color="auto" w:fill="FFFFFF"/>
              <w:topLinePunct/>
              <w:autoSpaceDE/>
              <w:autoSpaceDN/>
              <w:adjustRightInd/>
              <w:jc w:val="both"/>
              <w:rPr>
                <w:rFonts w:eastAsia="宋体"/>
                <w:sz w:val="21"/>
                <w:szCs w:val="21"/>
              </w:rPr>
            </w:pPr>
            <w:r>
              <w:rPr>
                <w:rFonts w:eastAsia="宋体"/>
                <w:color w:val="000000"/>
                <w:sz w:val="21"/>
                <w:szCs w:val="21"/>
              </w:rPr>
              <w:t>X</w:t>
            </w:r>
          </w:p>
        </w:tc>
      </w:tr>
      <w:tr w14:paraId="7B307982">
        <w:tblPrEx>
          <w:tblCellMar>
            <w:top w:w="0" w:type="dxa"/>
            <w:left w:w="57" w:type="dxa"/>
            <w:bottom w:w="0" w:type="dxa"/>
            <w:right w:w="57" w:type="dxa"/>
          </w:tblCellMar>
        </w:tblPrEx>
        <w:trPr>
          <w:jc w:val="center"/>
        </w:trPr>
        <w:tc>
          <w:tcPr>
            <w:tcW w:w="1670" w:type="dxa"/>
            <w:tcBorders>
              <w:top w:val="nil"/>
              <w:left w:val="single" w:color="auto" w:sz="12" w:space="0"/>
              <w:bottom w:val="nil"/>
              <w:right w:val="single" w:color="auto" w:sz="12" w:space="0"/>
            </w:tcBorders>
            <w:shd w:val="clear" w:color="auto" w:fill="FFFFFF"/>
          </w:tcPr>
          <w:p w14:paraId="4B704BCB">
            <w:pPr>
              <w:shd w:val="clear" w:color="auto" w:fill="FFFFFF"/>
              <w:topLinePunct/>
              <w:autoSpaceDE/>
              <w:autoSpaceDN/>
              <w:adjustRightInd/>
              <w:jc w:val="both"/>
              <w:rPr>
                <w:rFonts w:eastAsia="宋体"/>
                <w:sz w:val="21"/>
                <w:szCs w:val="21"/>
              </w:rPr>
            </w:pPr>
            <w:r>
              <w:rPr>
                <w:rFonts w:eastAsia="宋体"/>
                <w:b/>
                <w:bCs/>
                <w:color w:val="000000"/>
                <w:sz w:val="21"/>
                <w:szCs w:val="21"/>
              </w:rPr>
              <w:t>10.0</w:t>
            </w:r>
          </w:p>
        </w:tc>
        <w:tc>
          <w:tcPr>
            <w:tcW w:w="576" w:type="dxa"/>
            <w:tcBorders>
              <w:top w:val="single" w:color="auto" w:sz="6" w:space="0"/>
              <w:left w:val="single" w:color="auto" w:sz="12" w:space="0"/>
              <w:bottom w:val="single" w:color="auto" w:sz="6" w:space="0"/>
              <w:right w:val="single" w:color="auto" w:sz="6" w:space="0"/>
            </w:tcBorders>
            <w:shd w:val="clear" w:color="auto" w:fill="FFFFFF"/>
          </w:tcPr>
          <w:p w14:paraId="2E187E98">
            <w:pPr>
              <w:shd w:val="clear" w:color="auto" w:fill="FFFFFF"/>
              <w:topLinePunct/>
              <w:autoSpaceDE/>
              <w:autoSpaceDN/>
              <w:adjustRightInd/>
              <w:jc w:val="both"/>
              <w:rPr>
                <w:rFonts w:eastAsia="宋体"/>
                <w:sz w:val="21"/>
                <w:szCs w:val="21"/>
              </w:rPr>
            </w:pPr>
          </w:p>
        </w:tc>
        <w:tc>
          <w:tcPr>
            <w:tcW w:w="576" w:type="dxa"/>
            <w:tcBorders>
              <w:top w:val="single" w:color="auto" w:sz="6" w:space="0"/>
              <w:left w:val="single" w:color="auto" w:sz="6" w:space="0"/>
              <w:bottom w:val="single" w:color="auto" w:sz="6" w:space="0"/>
              <w:right w:val="single" w:color="auto" w:sz="6" w:space="0"/>
            </w:tcBorders>
            <w:shd w:val="clear" w:color="auto" w:fill="FFFFFF"/>
          </w:tcPr>
          <w:p w14:paraId="7CBD4A82">
            <w:pPr>
              <w:shd w:val="clear" w:color="auto" w:fill="FFFFFF"/>
              <w:topLinePunct/>
              <w:autoSpaceDE/>
              <w:autoSpaceDN/>
              <w:adjustRightInd/>
              <w:jc w:val="both"/>
              <w:rPr>
                <w:rFonts w:eastAsia="宋体"/>
                <w:sz w:val="21"/>
                <w:szCs w:val="21"/>
              </w:rPr>
            </w:pPr>
          </w:p>
        </w:tc>
        <w:tc>
          <w:tcPr>
            <w:tcW w:w="576" w:type="dxa"/>
            <w:tcBorders>
              <w:top w:val="single" w:color="auto" w:sz="6" w:space="0"/>
              <w:left w:val="single" w:color="auto" w:sz="6" w:space="0"/>
              <w:bottom w:val="single" w:color="auto" w:sz="6" w:space="0"/>
              <w:right w:val="single" w:color="auto" w:sz="6" w:space="0"/>
            </w:tcBorders>
            <w:shd w:val="clear" w:color="auto" w:fill="FFFFFF"/>
          </w:tcPr>
          <w:p w14:paraId="04E04D66">
            <w:pPr>
              <w:shd w:val="clear" w:color="auto" w:fill="FFFFFF"/>
              <w:topLinePunct/>
              <w:autoSpaceDE/>
              <w:autoSpaceDN/>
              <w:adjustRightInd/>
              <w:jc w:val="both"/>
              <w:rPr>
                <w:rFonts w:eastAsia="宋体"/>
                <w:sz w:val="21"/>
                <w:szCs w:val="21"/>
              </w:rPr>
            </w:pPr>
          </w:p>
        </w:tc>
        <w:tc>
          <w:tcPr>
            <w:tcW w:w="590" w:type="dxa"/>
            <w:tcBorders>
              <w:top w:val="single" w:color="auto" w:sz="6" w:space="0"/>
              <w:left w:val="single" w:color="auto" w:sz="6" w:space="0"/>
              <w:bottom w:val="single" w:color="auto" w:sz="6" w:space="0"/>
              <w:right w:val="single" w:color="auto" w:sz="6" w:space="0"/>
            </w:tcBorders>
            <w:shd w:val="clear" w:color="auto" w:fill="FFFFFF"/>
          </w:tcPr>
          <w:p w14:paraId="2C05F263">
            <w:pPr>
              <w:shd w:val="clear" w:color="auto" w:fill="FFFFFF"/>
              <w:topLinePunct/>
              <w:autoSpaceDE/>
              <w:autoSpaceDN/>
              <w:adjustRightInd/>
              <w:jc w:val="both"/>
              <w:rPr>
                <w:rFonts w:eastAsia="宋体"/>
                <w:sz w:val="21"/>
                <w:szCs w:val="21"/>
              </w:rPr>
            </w:pPr>
            <w:r>
              <w:rPr>
                <w:rFonts w:eastAsia="宋体"/>
                <w:color w:val="000000"/>
                <w:sz w:val="21"/>
                <w:szCs w:val="21"/>
              </w:rPr>
              <w:t>X</w:t>
            </w:r>
          </w:p>
        </w:tc>
      </w:tr>
      <w:tr w14:paraId="0F40C22A">
        <w:tblPrEx>
          <w:tblCellMar>
            <w:top w:w="0" w:type="dxa"/>
            <w:left w:w="57" w:type="dxa"/>
            <w:bottom w:w="0" w:type="dxa"/>
            <w:right w:w="57" w:type="dxa"/>
          </w:tblCellMar>
        </w:tblPrEx>
        <w:trPr>
          <w:jc w:val="center"/>
        </w:trPr>
        <w:tc>
          <w:tcPr>
            <w:tcW w:w="1670" w:type="dxa"/>
            <w:tcBorders>
              <w:top w:val="nil"/>
              <w:left w:val="single" w:color="auto" w:sz="12" w:space="0"/>
              <w:bottom w:val="nil"/>
              <w:right w:val="single" w:color="auto" w:sz="12" w:space="0"/>
            </w:tcBorders>
            <w:shd w:val="clear" w:color="auto" w:fill="FFFFFF"/>
          </w:tcPr>
          <w:p w14:paraId="0DB25D40">
            <w:pPr>
              <w:shd w:val="clear" w:color="auto" w:fill="FFFFFF"/>
              <w:topLinePunct/>
              <w:autoSpaceDE/>
              <w:autoSpaceDN/>
              <w:adjustRightInd/>
              <w:jc w:val="both"/>
              <w:rPr>
                <w:rFonts w:eastAsia="宋体"/>
                <w:sz w:val="21"/>
                <w:szCs w:val="21"/>
              </w:rPr>
            </w:pPr>
            <w:r>
              <w:rPr>
                <w:rFonts w:eastAsia="宋体"/>
                <w:b/>
                <w:bCs/>
                <w:color w:val="000000"/>
                <w:sz w:val="21"/>
                <w:szCs w:val="21"/>
              </w:rPr>
              <w:t>12.0</w:t>
            </w:r>
          </w:p>
        </w:tc>
        <w:tc>
          <w:tcPr>
            <w:tcW w:w="576" w:type="dxa"/>
            <w:tcBorders>
              <w:top w:val="single" w:color="auto" w:sz="6" w:space="0"/>
              <w:left w:val="single" w:color="auto" w:sz="12" w:space="0"/>
              <w:bottom w:val="single" w:color="auto" w:sz="6" w:space="0"/>
              <w:right w:val="single" w:color="auto" w:sz="6" w:space="0"/>
            </w:tcBorders>
            <w:shd w:val="clear" w:color="auto" w:fill="FFFFFF"/>
          </w:tcPr>
          <w:p w14:paraId="0EB01ED2">
            <w:pPr>
              <w:shd w:val="clear" w:color="auto" w:fill="FFFFFF"/>
              <w:topLinePunct/>
              <w:autoSpaceDE/>
              <w:autoSpaceDN/>
              <w:adjustRightInd/>
              <w:jc w:val="both"/>
              <w:rPr>
                <w:rFonts w:eastAsia="宋体"/>
                <w:sz w:val="21"/>
                <w:szCs w:val="21"/>
              </w:rPr>
            </w:pPr>
          </w:p>
        </w:tc>
        <w:tc>
          <w:tcPr>
            <w:tcW w:w="576" w:type="dxa"/>
            <w:tcBorders>
              <w:top w:val="single" w:color="auto" w:sz="6" w:space="0"/>
              <w:left w:val="single" w:color="auto" w:sz="6" w:space="0"/>
              <w:bottom w:val="single" w:color="auto" w:sz="6" w:space="0"/>
              <w:right w:val="single" w:color="auto" w:sz="6" w:space="0"/>
            </w:tcBorders>
            <w:shd w:val="clear" w:color="auto" w:fill="FFFFFF"/>
          </w:tcPr>
          <w:p w14:paraId="159B051B">
            <w:pPr>
              <w:shd w:val="clear" w:color="auto" w:fill="FFFFFF"/>
              <w:topLinePunct/>
              <w:autoSpaceDE/>
              <w:autoSpaceDN/>
              <w:adjustRightInd/>
              <w:jc w:val="both"/>
              <w:rPr>
                <w:rFonts w:eastAsia="宋体"/>
                <w:sz w:val="21"/>
                <w:szCs w:val="21"/>
              </w:rPr>
            </w:pPr>
          </w:p>
        </w:tc>
        <w:tc>
          <w:tcPr>
            <w:tcW w:w="576" w:type="dxa"/>
            <w:tcBorders>
              <w:top w:val="single" w:color="auto" w:sz="6" w:space="0"/>
              <w:left w:val="single" w:color="auto" w:sz="6" w:space="0"/>
              <w:bottom w:val="single" w:color="auto" w:sz="6" w:space="0"/>
              <w:right w:val="single" w:color="auto" w:sz="6" w:space="0"/>
            </w:tcBorders>
            <w:shd w:val="clear" w:color="auto" w:fill="FFFFFF"/>
          </w:tcPr>
          <w:p w14:paraId="771F93BA">
            <w:pPr>
              <w:shd w:val="clear" w:color="auto" w:fill="FFFFFF"/>
              <w:topLinePunct/>
              <w:autoSpaceDE/>
              <w:autoSpaceDN/>
              <w:adjustRightInd/>
              <w:jc w:val="both"/>
              <w:rPr>
                <w:rFonts w:eastAsia="宋体"/>
                <w:sz w:val="21"/>
                <w:szCs w:val="21"/>
              </w:rPr>
            </w:pPr>
          </w:p>
        </w:tc>
        <w:tc>
          <w:tcPr>
            <w:tcW w:w="590" w:type="dxa"/>
            <w:tcBorders>
              <w:top w:val="single" w:color="auto" w:sz="6" w:space="0"/>
              <w:left w:val="single" w:color="auto" w:sz="6" w:space="0"/>
              <w:bottom w:val="single" w:color="auto" w:sz="6" w:space="0"/>
              <w:right w:val="single" w:color="auto" w:sz="6" w:space="0"/>
            </w:tcBorders>
            <w:shd w:val="clear" w:color="auto" w:fill="FFFFFF"/>
          </w:tcPr>
          <w:p w14:paraId="11734C3F">
            <w:pPr>
              <w:shd w:val="clear" w:color="auto" w:fill="FFFFFF"/>
              <w:topLinePunct/>
              <w:autoSpaceDE/>
              <w:autoSpaceDN/>
              <w:adjustRightInd/>
              <w:jc w:val="both"/>
              <w:rPr>
                <w:rFonts w:eastAsia="宋体"/>
                <w:sz w:val="21"/>
                <w:szCs w:val="21"/>
              </w:rPr>
            </w:pPr>
            <w:r>
              <w:rPr>
                <w:rFonts w:eastAsia="宋体"/>
                <w:color w:val="000000"/>
                <w:sz w:val="21"/>
                <w:szCs w:val="21"/>
              </w:rPr>
              <w:t>X</w:t>
            </w:r>
          </w:p>
        </w:tc>
      </w:tr>
      <w:tr w14:paraId="5BB744E7">
        <w:tblPrEx>
          <w:tblCellMar>
            <w:top w:w="0" w:type="dxa"/>
            <w:left w:w="57" w:type="dxa"/>
            <w:bottom w:w="0" w:type="dxa"/>
            <w:right w:w="57" w:type="dxa"/>
          </w:tblCellMar>
        </w:tblPrEx>
        <w:trPr>
          <w:jc w:val="center"/>
        </w:trPr>
        <w:tc>
          <w:tcPr>
            <w:tcW w:w="1670" w:type="dxa"/>
            <w:tcBorders>
              <w:top w:val="nil"/>
              <w:left w:val="single" w:color="auto" w:sz="12" w:space="0"/>
              <w:bottom w:val="single" w:color="auto" w:sz="12" w:space="0"/>
              <w:right w:val="single" w:color="auto" w:sz="12" w:space="0"/>
            </w:tcBorders>
            <w:shd w:val="clear" w:color="auto" w:fill="FFFFFF"/>
          </w:tcPr>
          <w:p w14:paraId="42657E5A">
            <w:pPr>
              <w:shd w:val="clear" w:color="auto" w:fill="FFFFFF"/>
              <w:topLinePunct/>
              <w:autoSpaceDE/>
              <w:autoSpaceDN/>
              <w:adjustRightInd/>
              <w:jc w:val="both"/>
              <w:rPr>
                <w:rFonts w:eastAsia="宋体"/>
                <w:sz w:val="21"/>
                <w:szCs w:val="21"/>
              </w:rPr>
            </w:pPr>
            <w:r>
              <w:rPr>
                <w:rFonts w:eastAsia="宋体"/>
                <w:b/>
                <w:bCs/>
                <w:color w:val="000000"/>
                <w:sz w:val="21"/>
                <w:szCs w:val="21"/>
              </w:rPr>
              <w:t>14.0</w:t>
            </w:r>
          </w:p>
        </w:tc>
        <w:tc>
          <w:tcPr>
            <w:tcW w:w="576" w:type="dxa"/>
            <w:tcBorders>
              <w:top w:val="single" w:color="auto" w:sz="6" w:space="0"/>
              <w:left w:val="single" w:color="auto" w:sz="12" w:space="0"/>
              <w:bottom w:val="single" w:color="auto" w:sz="6" w:space="0"/>
              <w:right w:val="single" w:color="auto" w:sz="6" w:space="0"/>
            </w:tcBorders>
            <w:shd w:val="clear" w:color="auto" w:fill="FFFFFF"/>
          </w:tcPr>
          <w:p w14:paraId="4AAD2C45">
            <w:pPr>
              <w:shd w:val="clear" w:color="auto" w:fill="FFFFFF"/>
              <w:topLinePunct/>
              <w:autoSpaceDE/>
              <w:autoSpaceDN/>
              <w:adjustRightInd/>
              <w:jc w:val="both"/>
              <w:rPr>
                <w:rFonts w:eastAsia="宋体"/>
                <w:sz w:val="21"/>
                <w:szCs w:val="21"/>
              </w:rPr>
            </w:pPr>
            <w:r>
              <w:rPr>
                <w:rFonts w:eastAsia="宋体"/>
                <w:color w:val="000000"/>
                <w:sz w:val="21"/>
                <w:szCs w:val="21"/>
              </w:rPr>
              <w:t>X</w:t>
            </w:r>
          </w:p>
        </w:tc>
        <w:tc>
          <w:tcPr>
            <w:tcW w:w="576" w:type="dxa"/>
            <w:tcBorders>
              <w:top w:val="single" w:color="auto" w:sz="6" w:space="0"/>
              <w:left w:val="single" w:color="auto" w:sz="6" w:space="0"/>
              <w:bottom w:val="single" w:color="auto" w:sz="6" w:space="0"/>
              <w:right w:val="single" w:color="auto" w:sz="6" w:space="0"/>
            </w:tcBorders>
            <w:shd w:val="clear" w:color="auto" w:fill="FFFFFF"/>
          </w:tcPr>
          <w:p w14:paraId="70882A48">
            <w:pPr>
              <w:shd w:val="clear" w:color="auto" w:fill="FFFFFF"/>
              <w:topLinePunct/>
              <w:autoSpaceDE/>
              <w:autoSpaceDN/>
              <w:adjustRightInd/>
              <w:jc w:val="both"/>
              <w:rPr>
                <w:rFonts w:eastAsia="宋体"/>
                <w:sz w:val="21"/>
                <w:szCs w:val="21"/>
              </w:rPr>
            </w:pPr>
          </w:p>
        </w:tc>
        <w:tc>
          <w:tcPr>
            <w:tcW w:w="576" w:type="dxa"/>
            <w:tcBorders>
              <w:top w:val="single" w:color="auto" w:sz="6" w:space="0"/>
              <w:left w:val="single" w:color="auto" w:sz="6" w:space="0"/>
              <w:bottom w:val="single" w:color="auto" w:sz="6" w:space="0"/>
              <w:right w:val="single" w:color="auto" w:sz="6" w:space="0"/>
            </w:tcBorders>
            <w:shd w:val="clear" w:color="auto" w:fill="FFFFFF"/>
          </w:tcPr>
          <w:p w14:paraId="32CAF67B">
            <w:pPr>
              <w:shd w:val="clear" w:color="auto" w:fill="FFFFFF"/>
              <w:topLinePunct/>
              <w:autoSpaceDE/>
              <w:autoSpaceDN/>
              <w:adjustRightInd/>
              <w:jc w:val="both"/>
              <w:rPr>
                <w:rFonts w:eastAsia="宋体"/>
                <w:sz w:val="21"/>
                <w:szCs w:val="21"/>
              </w:rPr>
            </w:pPr>
          </w:p>
        </w:tc>
        <w:tc>
          <w:tcPr>
            <w:tcW w:w="590" w:type="dxa"/>
            <w:tcBorders>
              <w:top w:val="single" w:color="auto" w:sz="6" w:space="0"/>
              <w:left w:val="single" w:color="auto" w:sz="6" w:space="0"/>
              <w:bottom w:val="single" w:color="auto" w:sz="6" w:space="0"/>
              <w:right w:val="single" w:color="auto" w:sz="6" w:space="0"/>
            </w:tcBorders>
            <w:shd w:val="clear" w:color="auto" w:fill="FFFFFF"/>
          </w:tcPr>
          <w:p w14:paraId="2F5E9CEF">
            <w:pPr>
              <w:shd w:val="clear" w:color="auto" w:fill="FFFFFF"/>
              <w:topLinePunct/>
              <w:autoSpaceDE/>
              <w:autoSpaceDN/>
              <w:adjustRightInd/>
              <w:jc w:val="both"/>
              <w:rPr>
                <w:rFonts w:eastAsia="宋体"/>
                <w:sz w:val="21"/>
                <w:szCs w:val="21"/>
              </w:rPr>
            </w:pPr>
            <w:r>
              <w:rPr>
                <w:rFonts w:eastAsia="宋体"/>
                <w:color w:val="000000"/>
                <w:sz w:val="21"/>
                <w:szCs w:val="21"/>
              </w:rPr>
              <w:t>X</w:t>
            </w:r>
          </w:p>
        </w:tc>
      </w:tr>
    </w:tbl>
    <w:p w14:paraId="20DB4815">
      <w:pPr>
        <w:shd w:val="clear" w:color="auto" w:fill="FFFFFF"/>
        <w:topLinePunct/>
        <w:autoSpaceDE/>
        <w:autoSpaceDN/>
        <w:adjustRightInd/>
        <w:jc w:val="both"/>
        <w:rPr>
          <w:rFonts w:eastAsia="宋体"/>
          <w:color w:val="000000"/>
          <w:sz w:val="24"/>
          <w:szCs w:val="24"/>
        </w:rPr>
      </w:pPr>
    </w:p>
    <w:p w14:paraId="17691244">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本机构建议根据</w:t>
      </w:r>
      <w:r>
        <w:rPr>
          <w:rFonts w:eastAsia="宋体"/>
          <w:b/>
          <w:color w:val="000000"/>
          <w:sz w:val="24"/>
          <w:szCs w:val="24"/>
        </w:rPr>
        <w:t>表2</w:t>
      </w:r>
      <w:r>
        <w:rPr>
          <w:rFonts w:eastAsia="宋体"/>
          <w:sz w:val="24"/>
          <w:szCs w:val="24"/>
        </w:rPr>
        <w:t>中的示例，用不同的标注RBP对每个球囊尺寸进行测试。</w:t>
      </w:r>
      <w:r>
        <w:rPr>
          <w:rFonts w:eastAsia="宋体"/>
          <w:color w:val="000000"/>
          <w:sz w:val="24"/>
          <w:szCs w:val="24"/>
        </w:rPr>
        <w:t>本机构建议以统一的增量增加球囊压力直至失效。</w:t>
      </w:r>
    </w:p>
    <w:p w14:paraId="778C0044">
      <w:pPr>
        <w:shd w:val="clear" w:color="auto" w:fill="FFFFFF"/>
        <w:topLinePunct/>
        <w:autoSpaceDE/>
        <w:autoSpaceDN/>
        <w:adjustRightInd/>
        <w:ind w:firstLine="480" w:firstLineChars="200"/>
        <w:jc w:val="both"/>
        <w:rPr>
          <w:rFonts w:eastAsia="宋体"/>
          <w:sz w:val="24"/>
          <w:szCs w:val="24"/>
        </w:rPr>
      </w:pPr>
    </w:p>
    <w:p w14:paraId="34EE7CDE">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本机构建议将以下任何损失记录为测试失败：</w:t>
      </w:r>
    </w:p>
    <w:p w14:paraId="50F316FB">
      <w:pPr>
        <w:shd w:val="clear" w:color="auto" w:fill="FFFFFF"/>
        <w:topLinePunct/>
        <w:autoSpaceDE/>
        <w:autoSpaceDN/>
        <w:adjustRightInd/>
        <w:jc w:val="both"/>
        <w:rPr>
          <w:rFonts w:eastAsia="宋体"/>
          <w:sz w:val="24"/>
          <w:szCs w:val="24"/>
        </w:rPr>
      </w:pPr>
    </w:p>
    <w:p w14:paraId="3C391309">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球囊的完整性，如破裂或泄漏；以及</w:t>
      </w:r>
    </w:p>
    <w:p w14:paraId="749C178F">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由于球囊、管身或密封件的故障而造成的压力。</w:t>
      </w:r>
    </w:p>
    <w:p w14:paraId="18C572C7">
      <w:pPr>
        <w:shd w:val="clear" w:color="auto" w:fill="FFFFFF"/>
        <w:topLinePunct/>
        <w:autoSpaceDE/>
        <w:autoSpaceDN/>
        <w:adjustRightInd/>
        <w:jc w:val="both"/>
        <w:rPr>
          <w:rFonts w:eastAsia="宋体"/>
          <w:color w:val="000000"/>
          <w:sz w:val="24"/>
          <w:szCs w:val="24"/>
        </w:rPr>
      </w:pPr>
    </w:p>
    <w:p w14:paraId="2340BA3E">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本机构建议记录器械发生故障时的压力和失效模式。本机构建议计算的RBP为：基于对测试数据的统计分析，置信度为95%时，有99.9%球囊存在的压力。</w:t>
      </w:r>
    </w:p>
    <w:p w14:paraId="117C73DE">
      <w:pPr>
        <w:shd w:val="clear" w:color="auto" w:fill="FFFFFF"/>
        <w:topLinePunct/>
        <w:autoSpaceDE/>
        <w:autoSpaceDN/>
        <w:adjustRightInd/>
        <w:jc w:val="both"/>
        <w:rPr>
          <w:rFonts w:eastAsia="宋体"/>
          <w:sz w:val="24"/>
          <w:szCs w:val="24"/>
        </w:rPr>
      </w:pPr>
    </w:p>
    <w:p w14:paraId="0535A894">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c.</w:t>
      </w:r>
      <w:r>
        <w:rPr>
          <w:rFonts w:eastAsia="宋体"/>
          <w:b/>
          <w:color w:val="000000"/>
          <w:sz w:val="24"/>
          <w:szCs w:val="24"/>
        </w:rPr>
        <w:tab/>
      </w:r>
      <w:r>
        <w:rPr>
          <w:rFonts w:eastAsia="宋体"/>
          <w:b/>
          <w:color w:val="000000"/>
          <w:sz w:val="24"/>
          <w:szCs w:val="24"/>
        </w:rPr>
        <w:t>球囊疲劳（仅球囊扩张式支架）</w:t>
      </w:r>
    </w:p>
    <w:p w14:paraId="69D0FCBB">
      <w:pPr>
        <w:shd w:val="clear" w:color="auto" w:fill="FFFFFF"/>
        <w:topLinePunct/>
        <w:autoSpaceDE/>
        <w:autoSpaceDN/>
        <w:adjustRightInd/>
        <w:jc w:val="both"/>
        <w:rPr>
          <w:rFonts w:eastAsia="宋体"/>
          <w:color w:val="000000"/>
          <w:sz w:val="24"/>
          <w:szCs w:val="24"/>
          <w:u w:val="single"/>
        </w:rPr>
      </w:pPr>
    </w:p>
    <w:p w14:paraId="7690F740">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：SDS上的球囊在临床使用过程中经常多次充盈。球囊无法承受多次充盈可能导致不良临床后果。</w:t>
      </w:r>
    </w:p>
    <w:p w14:paraId="6E75CEA2">
      <w:pPr>
        <w:shd w:val="clear" w:color="auto" w:fill="FFFFFF"/>
        <w:topLinePunct/>
        <w:autoSpaceDE/>
        <w:autoSpaceDN/>
        <w:adjustRightInd/>
        <w:jc w:val="both"/>
        <w:rPr>
          <w:rFonts w:eastAsia="宋体"/>
          <w:sz w:val="24"/>
          <w:szCs w:val="24"/>
        </w:rPr>
      </w:pPr>
    </w:p>
    <w:p w14:paraId="326A4903">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：FDA建议确定球囊成功充盈至RBP的重复性（10次充盈）。如果拟上市各种尺寸的支架，本机构建议采用（如</w:t>
      </w:r>
      <w:r>
        <w:rPr>
          <w:rFonts w:eastAsia="宋体"/>
          <w:b/>
          <w:color w:val="000000"/>
          <w:sz w:val="24"/>
          <w:szCs w:val="24"/>
        </w:rPr>
        <w:t>表3</w:t>
      </w:r>
      <w:r>
        <w:rPr>
          <w:rFonts w:eastAsia="宋体"/>
          <w:color w:val="000000"/>
          <w:sz w:val="24"/>
          <w:szCs w:val="24"/>
        </w:rPr>
        <w:t>所示）</w:t>
      </w:r>
      <w:r>
        <w:rPr>
          <w:rFonts w:ascii="宋体" w:hAnsi="宋体" w:eastAsia="宋体"/>
          <w:color w:val="000000"/>
          <w:sz w:val="24"/>
          <w:szCs w:val="24"/>
        </w:rPr>
        <w:t>“</w:t>
      </w:r>
      <w:r>
        <w:rPr>
          <w:rFonts w:eastAsia="宋体"/>
          <w:color w:val="000000"/>
          <w:sz w:val="24"/>
          <w:szCs w:val="24"/>
        </w:rPr>
        <w:t>四角</w:t>
      </w:r>
      <w:r>
        <w:rPr>
          <w:rFonts w:ascii="宋体" w:hAnsi="宋体" w:eastAsia="宋体"/>
          <w:color w:val="000000"/>
          <w:sz w:val="24"/>
          <w:szCs w:val="24"/>
        </w:rPr>
        <w:t>”</w:t>
      </w:r>
      <w:r>
        <w:rPr>
          <w:rFonts w:eastAsia="宋体"/>
          <w:color w:val="000000"/>
          <w:sz w:val="24"/>
          <w:szCs w:val="24"/>
        </w:rPr>
        <w:t>范式，对支架进行抽样和测试：</w:t>
      </w:r>
    </w:p>
    <w:p w14:paraId="38850587">
      <w:pPr>
        <w:shd w:val="clear" w:color="auto" w:fill="FFFFFF"/>
        <w:topLinePunct/>
        <w:autoSpaceDE/>
        <w:autoSpaceDN/>
        <w:adjustRightInd/>
        <w:jc w:val="both"/>
        <w:rPr>
          <w:rFonts w:eastAsia="宋体"/>
          <w:sz w:val="24"/>
          <w:szCs w:val="24"/>
        </w:rPr>
      </w:pPr>
    </w:p>
    <w:p w14:paraId="327FCE2F">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最小直径、最短长度；</w:t>
      </w:r>
    </w:p>
    <w:p w14:paraId="6C15AF99">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最小直径、最长长度；</w:t>
      </w:r>
    </w:p>
    <w:p w14:paraId="16FE6836">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最大直径、最短长度；以及</w:t>
      </w:r>
    </w:p>
    <w:p w14:paraId="38F09B30">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最大直径、最长长度。</w:t>
      </w:r>
    </w:p>
    <w:p w14:paraId="017E436D">
      <w:pPr>
        <w:widowControl/>
        <w:autoSpaceDE/>
        <w:autoSpaceDN/>
        <w:adjustRightInd/>
        <w:rPr>
          <w:rFonts w:eastAsia="宋体"/>
          <w:color w:val="000000"/>
          <w:sz w:val="24"/>
          <w:szCs w:val="24"/>
        </w:rPr>
      </w:pPr>
      <w:r>
        <w:rPr>
          <w:rFonts w:eastAsia="宋体"/>
          <w:color w:val="000000"/>
          <w:sz w:val="24"/>
          <w:szCs w:val="24"/>
        </w:rPr>
        <w:br w:type="page"/>
      </w:r>
    </w:p>
    <w:p w14:paraId="63ED6EE8">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表3：</w:t>
      </w:r>
      <w:r>
        <w:rPr>
          <w:rFonts w:ascii="宋体" w:hAnsi="宋体" w:eastAsia="宋体"/>
          <w:b/>
          <w:color w:val="000000"/>
          <w:sz w:val="24"/>
          <w:szCs w:val="24"/>
        </w:rPr>
        <w:t>“</w:t>
      </w:r>
      <w:r>
        <w:rPr>
          <w:rFonts w:eastAsia="宋体"/>
          <w:b/>
          <w:color w:val="000000"/>
          <w:sz w:val="24"/>
          <w:szCs w:val="24"/>
        </w:rPr>
        <w:t>四角</w:t>
      </w:r>
      <w:r>
        <w:rPr>
          <w:rFonts w:ascii="宋体" w:hAnsi="宋体" w:eastAsia="宋体"/>
          <w:b/>
          <w:color w:val="000000"/>
          <w:sz w:val="24"/>
          <w:szCs w:val="24"/>
        </w:rPr>
        <w:t>”</w:t>
      </w:r>
      <w:r>
        <w:rPr>
          <w:rFonts w:eastAsia="宋体"/>
          <w:b/>
          <w:color w:val="000000"/>
          <w:sz w:val="24"/>
          <w:szCs w:val="24"/>
        </w:rPr>
        <w:t>测试范式示例</w:t>
      </w:r>
    </w:p>
    <w:p w14:paraId="1C3A5BCA">
      <w:pPr>
        <w:shd w:val="clear" w:color="auto" w:fill="FFFFFF"/>
        <w:topLinePunct/>
        <w:autoSpaceDE/>
        <w:autoSpaceDN/>
        <w:adjustRightInd/>
        <w:jc w:val="center"/>
        <w:rPr>
          <w:rFonts w:eastAsia="宋体"/>
          <w:sz w:val="24"/>
          <w:szCs w:val="24"/>
        </w:rPr>
      </w:pPr>
    </w:p>
    <w:tbl>
      <w:tblPr>
        <w:tblStyle w:val="14"/>
        <w:tblW w:w="0" w:type="auto"/>
        <w:jc w:val="center"/>
        <w:tblLayout w:type="fixed"/>
        <w:tblCellMar>
          <w:top w:w="0" w:type="dxa"/>
          <w:left w:w="57" w:type="dxa"/>
          <w:bottom w:w="0" w:type="dxa"/>
          <w:right w:w="57" w:type="dxa"/>
        </w:tblCellMar>
      </w:tblPr>
      <w:tblGrid>
        <w:gridCol w:w="1718"/>
        <w:gridCol w:w="1190"/>
        <w:gridCol w:w="787"/>
        <w:gridCol w:w="734"/>
        <w:gridCol w:w="744"/>
      </w:tblGrid>
      <w:tr w14:paraId="13233F8C">
        <w:tblPrEx>
          <w:tblCellMar>
            <w:top w:w="0" w:type="dxa"/>
            <w:left w:w="57" w:type="dxa"/>
            <w:bottom w:w="0" w:type="dxa"/>
            <w:right w:w="57" w:type="dxa"/>
          </w:tblCellMar>
        </w:tblPrEx>
        <w:trPr>
          <w:jc w:val="center"/>
        </w:trPr>
        <w:tc>
          <w:tcPr>
            <w:tcW w:w="1718" w:type="dxa"/>
            <w:vMerge w:val="restart"/>
            <w:tcBorders>
              <w:top w:val="single" w:color="auto" w:sz="12" w:space="0"/>
              <w:left w:val="single" w:color="auto" w:sz="12" w:space="0"/>
              <w:right w:val="single" w:color="auto" w:sz="12" w:space="0"/>
            </w:tcBorders>
            <w:shd w:val="clear" w:color="auto" w:fill="F1F1F1" w:themeFill="background1" w:themeFillShade="F2"/>
          </w:tcPr>
          <w:p w14:paraId="32998448">
            <w:pPr>
              <w:rPr>
                <w:rFonts w:eastAsia="宋体"/>
                <w:b/>
                <w:sz w:val="21"/>
                <w:szCs w:val="21"/>
              </w:rPr>
            </w:pPr>
            <w:r>
              <w:rPr>
                <w:rFonts w:eastAsia="宋体"/>
                <w:b/>
                <w:sz w:val="21"/>
                <w:szCs w:val="21"/>
              </w:rPr>
              <w:t>支架直径</w:t>
            </w:r>
          </w:p>
          <w:p w14:paraId="26C4B0F8">
            <w:pPr>
              <w:rPr>
                <w:rFonts w:eastAsia="宋体"/>
                <w:b/>
                <w:sz w:val="21"/>
                <w:szCs w:val="21"/>
              </w:rPr>
            </w:pPr>
            <w:r>
              <w:rPr>
                <w:rFonts w:eastAsia="宋体"/>
                <w:b/>
                <w:sz w:val="21"/>
                <w:szCs w:val="21"/>
              </w:rPr>
              <w:t>（mm）</w:t>
            </w:r>
          </w:p>
        </w:tc>
        <w:tc>
          <w:tcPr>
            <w:tcW w:w="3455" w:type="dxa"/>
            <w:gridSpan w:val="4"/>
            <w:tcBorders>
              <w:top w:val="single" w:color="auto" w:sz="12" w:space="0"/>
              <w:left w:val="single" w:color="auto" w:sz="12" w:space="0"/>
              <w:bottom w:val="nil"/>
              <w:right w:val="single" w:color="auto" w:sz="12" w:space="0"/>
            </w:tcBorders>
            <w:shd w:val="clear" w:color="auto" w:fill="F1F1F1" w:themeFill="background1" w:themeFillShade="F2"/>
          </w:tcPr>
          <w:p w14:paraId="62C5F49B">
            <w:pPr>
              <w:rPr>
                <w:rFonts w:eastAsia="宋体"/>
                <w:b/>
                <w:sz w:val="21"/>
                <w:szCs w:val="21"/>
              </w:rPr>
            </w:pPr>
            <w:r>
              <w:rPr>
                <w:rFonts w:eastAsia="宋体"/>
                <w:b/>
                <w:sz w:val="21"/>
                <w:szCs w:val="21"/>
              </w:rPr>
              <w:t>支架长度</w:t>
            </w:r>
          </w:p>
          <w:p w14:paraId="5F45C855">
            <w:pPr>
              <w:rPr>
                <w:rFonts w:eastAsia="宋体"/>
                <w:b/>
                <w:sz w:val="21"/>
                <w:szCs w:val="21"/>
              </w:rPr>
            </w:pPr>
            <w:r>
              <w:rPr>
                <w:rFonts w:eastAsia="宋体"/>
                <w:b/>
                <w:sz w:val="21"/>
                <w:szCs w:val="21"/>
              </w:rPr>
              <w:t>（mm）</w:t>
            </w:r>
          </w:p>
        </w:tc>
      </w:tr>
      <w:tr w14:paraId="30286236">
        <w:tblPrEx>
          <w:tblCellMar>
            <w:top w:w="0" w:type="dxa"/>
            <w:left w:w="57" w:type="dxa"/>
            <w:bottom w:w="0" w:type="dxa"/>
            <w:right w:w="57" w:type="dxa"/>
          </w:tblCellMar>
        </w:tblPrEx>
        <w:trPr>
          <w:jc w:val="center"/>
        </w:trPr>
        <w:tc>
          <w:tcPr>
            <w:tcW w:w="1718" w:type="dxa"/>
            <w:vMerge w:val="continue"/>
            <w:tcBorders>
              <w:left w:val="single" w:color="auto" w:sz="12" w:space="0"/>
              <w:bottom w:val="nil"/>
              <w:right w:val="single" w:color="auto" w:sz="12" w:space="0"/>
            </w:tcBorders>
            <w:shd w:val="clear" w:color="auto" w:fill="FFFFFF"/>
          </w:tcPr>
          <w:p w14:paraId="4A498918">
            <w:pPr>
              <w:topLinePunct/>
              <w:autoSpaceDE/>
              <w:autoSpaceDN/>
              <w:adjustRightInd/>
              <w:jc w:val="both"/>
              <w:rPr>
                <w:rFonts w:eastAsia="宋体"/>
                <w:sz w:val="21"/>
                <w:szCs w:val="21"/>
              </w:rPr>
            </w:pPr>
          </w:p>
        </w:tc>
        <w:tc>
          <w:tcPr>
            <w:tcW w:w="1190" w:type="dxa"/>
            <w:tcBorders>
              <w:top w:val="nil"/>
              <w:left w:val="single" w:color="auto" w:sz="12" w:space="0"/>
              <w:bottom w:val="single" w:color="auto" w:sz="12" w:space="0"/>
              <w:right w:val="nil"/>
            </w:tcBorders>
            <w:shd w:val="clear" w:color="auto" w:fill="FFFFFF"/>
          </w:tcPr>
          <w:p w14:paraId="021D3025">
            <w:pPr>
              <w:shd w:val="clear" w:color="auto" w:fill="FFFFFF"/>
              <w:topLinePunct/>
              <w:autoSpaceDE/>
              <w:autoSpaceDN/>
              <w:adjustRightInd/>
              <w:jc w:val="both"/>
              <w:rPr>
                <w:rFonts w:eastAsia="宋体"/>
                <w:sz w:val="21"/>
                <w:szCs w:val="21"/>
              </w:rPr>
            </w:pPr>
            <w:r>
              <w:rPr>
                <w:rFonts w:eastAsia="宋体"/>
                <w:color w:val="000000"/>
                <w:sz w:val="21"/>
                <w:szCs w:val="21"/>
              </w:rPr>
              <w:t>40</w:t>
            </w:r>
          </w:p>
        </w:tc>
        <w:tc>
          <w:tcPr>
            <w:tcW w:w="787" w:type="dxa"/>
            <w:tcBorders>
              <w:top w:val="nil"/>
              <w:left w:val="nil"/>
              <w:bottom w:val="single" w:color="auto" w:sz="12" w:space="0"/>
              <w:right w:val="nil"/>
            </w:tcBorders>
            <w:shd w:val="clear" w:color="auto" w:fill="FFFFFF"/>
          </w:tcPr>
          <w:p w14:paraId="34CCA76D">
            <w:pPr>
              <w:shd w:val="clear" w:color="auto" w:fill="FFFFFF"/>
              <w:topLinePunct/>
              <w:autoSpaceDE/>
              <w:autoSpaceDN/>
              <w:adjustRightInd/>
              <w:jc w:val="both"/>
              <w:rPr>
                <w:rFonts w:eastAsia="宋体"/>
                <w:sz w:val="21"/>
                <w:szCs w:val="21"/>
              </w:rPr>
            </w:pPr>
            <w:r>
              <w:rPr>
                <w:rFonts w:eastAsia="宋体"/>
                <w:color w:val="000000"/>
                <w:sz w:val="21"/>
                <w:szCs w:val="21"/>
              </w:rPr>
              <w:t>50</w:t>
            </w:r>
          </w:p>
        </w:tc>
        <w:tc>
          <w:tcPr>
            <w:tcW w:w="734" w:type="dxa"/>
            <w:tcBorders>
              <w:top w:val="nil"/>
              <w:left w:val="nil"/>
              <w:bottom w:val="single" w:color="auto" w:sz="12" w:space="0"/>
              <w:right w:val="single" w:color="auto" w:sz="6" w:space="0"/>
            </w:tcBorders>
            <w:shd w:val="clear" w:color="auto" w:fill="FFFFFF"/>
          </w:tcPr>
          <w:p w14:paraId="2A3FCBFB">
            <w:pPr>
              <w:shd w:val="clear" w:color="auto" w:fill="FFFFFF"/>
              <w:topLinePunct/>
              <w:autoSpaceDE/>
              <w:autoSpaceDN/>
              <w:adjustRightInd/>
              <w:jc w:val="both"/>
              <w:rPr>
                <w:rFonts w:eastAsia="宋体"/>
                <w:sz w:val="21"/>
                <w:szCs w:val="21"/>
              </w:rPr>
            </w:pPr>
            <w:r>
              <w:rPr>
                <w:rFonts w:eastAsia="宋体"/>
                <w:color w:val="000000"/>
                <w:sz w:val="21"/>
                <w:szCs w:val="21"/>
              </w:rPr>
              <w:t>60</w:t>
            </w:r>
          </w:p>
        </w:tc>
        <w:tc>
          <w:tcPr>
            <w:tcW w:w="744" w:type="dxa"/>
            <w:tcBorders>
              <w:top w:val="nil"/>
              <w:left w:val="single" w:color="auto" w:sz="6" w:space="0"/>
              <w:bottom w:val="single" w:color="auto" w:sz="12" w:space="0"/>
              <w:right w:val="single" w:color="auto" w:sz="12" w:space="0"/>
            </w:tcBorders>
            <w:shd w:val="clear" w:color="auto" w:fill="FFFFFF"/>
          </w:tcPr>
          <w:p w14:paraId="6C811C52">
            <w:pPr>
              <w:shd w:val="clear" w:color="auto" w:fill="FFFFFF"/>
              <w:topLinePunct/>
              <w:autoSpaceDE/>
              <w:autoSpaceDN/>
              <w:adjustRightInd/>
              <w:jc w:val="both"/>
              <w:rPr>
                <w:rFonts w:eastAsia="宋体"/>
                <w:sz w:val="21"/>
                <w:szCs w:val="21"/>
              </w:rPr>
            </w:pPr>
            <w:r>
              <w:rPr>
                <w:rFonts w:eastAsia="宋体"/>
                <w:color w:val="000000"/>
                <w:sz w:val="21"/>
                <w:szCs w:val="21"/>
              </w:rPr>
              <w:t xml:space="preserve">80 </w:t>
            </w:r>
          </w:p>
        </w:tc>
      </w:tr>
      <w:tr w14:paraId="4F9B0841">
        <w:tblPrEx>
          <w:tblCellMar>
            <w:top w:w="0" w:type="dxa"/>
            <w:left w:w="57" w:type="dxa"/>
            <w:bottom w:w="0" w:type="dxa"/>
            <w:right w:w="57" w:type="dxa"/>
          </w:tblCellMar>
        </w:tblPrEx>
        <w:trPr>
          <w:jc w:val="center"/>
        </w:trPr>
        <w:tc>
          <w:tcPr>
            <w:tcW w:w="1718" w:type="dxa"/>
            <w:tcBorders>
              <w:top w:val="nil"/>
              <w:left w:val="single" w:color="auto" w:sz="12" w:space="0"/>
              <w:bottom w:val="nil"/>
              <w:right w:val="single" w:color="auto" w:sz="12" w:space="0"/>
            </w:tcBorders>
            <w:shd w:val="clear" w:color="auto" w:fill="FFFFFF"/>
          </w:tcPr>
          <w:p w14:paraId="184C852A">
            <w:pPr>
              <w:shd w:val="clear" w:color="auto" w:fill="FFFFFF"/>
              <w:topLinePunct/>
              <w:autoSpaceDE/>
              <w:autoSpaceDN/>
              <w:adjustRightInd/>
              <w:jc w:val="both"/>
              <w:rPr>
                <w:rFonts w:eastAsia="宋体"/>
                <w:sz w:val="21"/>
                <w:szCs w:val="21"/>
              </w:rPr>
            </w:pPr>
            <w:r>
              <w:rPr>
                <w:rFonts w:eastAsia="宋体"/>
                <w:color w:val="000000"/>
                <w:sz w:val="21"/>
                <w:szCs w:val="21"/>
              </w:rPr>
              <w:t>8.0</w:t>
            </w:r>
          </w:p>
        </w:tc>
        <w:tc>
          <w:tcPr>
            <w:tcW w:w="1190" w:type="dxa"/>
            <w:tcBorders>
              <w:top w:val="single" w:color="auto" w:sz="12" w:space="0"/>
              <w:left w:val="single" w:color="auto" w:sz="12" w:space="0"/>
              <w:bottom w:val="single" w:color="auto" w:sz="6" w:space="0"/>
              <w:right w:val="single" w:color="auto" w:sz="6" w:space="0"/>
            </w:tcBorders>
            <w:shd w:val="clear" w:color="auto" w:fill="FFFFFF"/>
          </w:tcPr>
          <w:p w14:paraId="4A9D640A">
            <w:pPr>
              <w:shd w:val="clear" w:color="auto" w:fill="FFFFFF"/>
              <w:topLinePunct/>
              <w:autoSpaceDE/>
              <w:autoSpaceDN/>
              <w:adjustRightInd/>
              <w:jc w:val="both"/>
              <w:rPr>
                <w:rFonts w:eastAsia="宋体"/>
                <w:sz w:val="21"/>
                <w:szCs w:val="21"/>
              </w:rPr>
            </w:pPr>
            <w:r>
              <w:rPr>
                <w:rFonts w:eastAsia="宋体"/>
                <w:color w:val="000000"/>
                <w:sz w:val="21"/>
                <w:szCs w:val="21"/>
              </w:rPr>
              <w:t>X</w:t>
            </w:r>
          </w:p>
        </w:tc>
        <w:tc>
          <w:tcPr>
            <w:tcW w:w="787" w:type="dxa"/>
            <w:tcBorders>
              <w:top w:val="single" w:color="auto" w:sz="12" w:space="0"/>
              <w:left w:val="single" w:color="auto" w:sz="6" w:space="0"/>
              <w:bottom w:val="single" w:color="auto" w:sz="6" w:space="0"/>
              <w:right w:val="single" w:color="auto" w:sz="6" w:space="0"/>
            </w:tcBorders>
            <w:shd w:val="clear" w:color="auto" w:fill="FFFFFF"/>
          </w:tcPr>
          <w:p w14:paraId="1313ADED">
            <w:pPr>
              <w:shd w:val="clear" w:color="auto" w:fill="FFFFFF"/>
              <w:topLinePunct/>
              <w:autoSpaceDE/>
              <w:autoSpaceDN/>
              <w:adjustRightInd/>
              <w:jc w:val="both"/>
              <w:rPr>
                <w:rFonts w:eastAsia="宋体"/>
                <w:sz w:val="21"/>
                <w:szCs w:val="21"/>
              </w:rPr>
            </w:pPr>
          </w:p>
        </w:tc>
        <w:tc>
          <w:tcPr>
            <w:tcW w:w="734" w:type="dxa"/>
            <w:tcBorders>
              <w:top w:val="single" w:color="auto" w:sz="12" w:space="0"/>
              <w:left w:val="single" w:color="auto" w:sz="6" w:space="0"/>
              <w:bottom w:val="single" w:color="auto" w:sz="6" w:space="0"/>
              <w:right w:val="single" w:color="auto" w:sz="6" w:space="0"/>
            </w:tcBorders>
            <w:shd w:val="clear" w:color="auto" w:fill="FFFFFF"/>
          </w:tcPr>
          <w:p w14:paraId="75040BDA">
            <w:pPr>
              <w:shd w:val="clear" w:color="auto" w:fill="FFFFFF"/>
              <w:topLinePunct/>
              <w:autoSpaceDE/>
              <w:autoSpaceDN/>
              <w:adjustRightInd/>
              <w:jc w:val="both"/>
              <w:rPr>
                <w:rFonts w:eastAsia="宋体"/>
                <w:sz w:val="21"/>
                <w:szCs w:val="21"/>
              </w:rPr>
            </w:pPr>
          </w:p>
        </w:tc>
        <w:tc>
          <w:tcPr>
            <w:tcW w:w="744" w:type="dxa"/>
            <w:tcBorders>
              <w:top w:val="single" w:color="auto" w:sz="12" w:space="0"/>
              <w:left w:val="single" w:color="auto" w:sz="6" w:space="0"/>
              <w:bottom w:val="single" w:color="auto" w:sz="6" w:space="0"/>
              <w:right w:val="single" w:color="auto" w:sz="6" w:space="0"/>
            </w:tcBorders>
            <w:shd w:val="clear" w:color="auto" w:fill="FFFFFF"/>
          </w:tcPr>
          <w:p w14:paraId="37479139">
            <w:pPr>
              <w:shd w:val="clear" w:color="auto" w:fill="FFFFFF"/>
              <w:topLinePunct/>
              <w:autoSpaceDE/>
              <w:autoSpaceDN/>
              <w:adjustRightInd/>
              <w:jc w:val="both"/>
              <w:rPr>
                <w:rFonts w:eastAsia="宋体"/>
                <w:sz w:val="21"/>
                <w:szCs w:val="21"/>
              </w:rPr>
            </w:pPr>
            <w:r>
              <w:rPr>
                <w:rFonts w:eastAsia="宋体"/>
                <w:color w:val="000000"/>
                <w:sz w:val="21"/>
                <w:szCs w:val="21"/>
              </w:rPr>
              <w:t>X</w:t>
            </w:r>
          </w:p>
        </w:tc>
      </w:tr>
      <w:tr w14:paraId="7FEB4BA2">
        <w:tblPrEx>
          <w:tblCellMar>
            <w:top w:w="0" w:type="dxa"/>
            <w:left w:w="57" w:type="dxa"/>
            <w:bottom w:w="0" w:type="dxa"/>
            <w:right w:w="57" w:type="dxa"/>
          </w:tblCellMar>
        </w:tblPrEx>
        <w:trPr>
          <w:jc w:val="center"/>
        </w:trPr>
        <w:tc>
          <w:tcPr>
            <w:tcW w:w="1718" w:type="dxa"/>
            <w:tcBorders>
              <w:top w:val="nil"/>
              <w:left w:val="single" w:color="auto" w:sz="12" w:space="0"/>
              <w:bottom w:val="nil"/>
              <w:right w:val="single" w:color="auto" w:sz="12" w:space="0"/>
            </w:tcBorders>
            <w:shd w:val="clear" w:color="auto" w:fill="FFFFFF"/>
          </w:tcPr>
          <w:p w14:paraId="09988992">
            <w:pPr>
              <w:shd w:val="clear" w:color="auto" w:fill="FFFFFF"/>
              <w:topLinePunct/>
              <w:autoSpaceDE/>
              <w:autoSpaceDN/>
              <w:adjustRightInd/>
              <w:jc w:val="both"/>
              <w:rPr>
                <w:rFonts w:eastAsia="宋体"/>
                <w:sz w:val="21"/>
                <w:szCs w:val="21"/>
              </w:rPr>
            </w:pPr>
            <w:r>
              <w:rPr>
                <w:rFonts w:eastAsia="宋体"/>
                <w:color w:val="000000"/>
                <w:sz w:val="21"/>
                <w:szCs w:val="21"/>
              </w:rPr>
              <w:t>10.0</w:t>
            </w:r>
          </w:p>
        </w:tc>
        <w:tc>
          <w:tcPr>
            <w:tcW w:w="1190" w:type="dxa"/>
            <w:tcBorders>
              <w:top w:val="single" w:color="auto" w:sz="6" w:space="0"/>
              <w:left w:val="single" w:color="auto" w:sz="12" w:space="0"/>
              <w:bottom w:val="single" w:color="auto" w:sz="6" w:space="0"/>
              <w:right w:val="single" w:color="auto" w:sz="6" w:space="0"/>
            </w:tcBorders>
            <w:shd w:val="clear" w:color="auto" w:fill="FFFFFF"/>
          </w:tcPr>
          <w:p w14:paraId="3BE2655B">
            <w:pPr>
              <w:shd w:val="clear" w:color="auto" w:fill="FFFFFF"/>
              <w:topLinePunct/>
              <w:autoSpaceDE/>
              <w:autoSpaceDN/>
              <w:adjustRightInd/>
              <w:jc w:val="both"/>
              <w:rPr>
                <w:rFonts w:eastAsia="宋体"/>
                <w:sz w:val="21"/>
                <w:szCs w:val="21"/>
              </w:rPr>
            </w:pPr>
          </w:p>
        </w:tc>
        <w:tc>
          <w:tcPr>
            <w:tcW w:w="787" w:type="dxa"/>
            <w:tcBorders>
              <w:top w:val="single" w:color="auto" w:sz="6" w:space="0"/>
              <w:left w:val="single" w:color="auto" w:sz="6" w:space="0"/>
              <w:bottom w:val="single" w:color="auto" w:sz="6" w:space="0"/>
              <w:right w:val="single" w:color="auto" w:sz="6" w:space="0"/>
            </w:tcBorders>
            <w:shd w:val="clear" w:color="auto" w:fill="FFFFFF"/>
          </w:tcPr>
          <w:p w14:paraId="77571A30">
            <w:pPr>
              <w:shd w:val="clear" w:color="auto" w:fill="FFFFFF"/>
              <w:topLinePunct/>
              <w:autoSpaceDE/>
              <w:autoSpaceDN/>
              <w:adjustRightInd/>
              <w:jc w:val="both"/>
              <w:rPr>
                <w:rFonts w:eastAsia="宋体"/>
                <w:sz w:val="21"/>
                <w:szCs w:val="21"/>
              </w:rPr>
            </w:pPr>
          </w:p>
        </w:tc>
        <w:tc>
          <w:tcPr>
            <w:tcW w:w="734" w:type="dxa"/>
            <w:tcBorders>
              <w:top w:val="single" w:color="auto" w:sz="6" w:space="0"/>
              <w:left w:val="single" w:color="auto" w:sz="6" w:space="0"/>
              <w:bottom w:val="single" w:color="auto" w:sz="6" w:space="0"/>
              <w:right w:val="single" w:color="auto" w:sz="6" w:space="0"/>
            </w:tcBorders>
            <w:shd w:val="clear" w:color="auto" w:fill="FFFFFF"/>
          </w:tcPr>
          <w:p w14:paraId="6394A43D">
            <w:pPr>
              <w:shd w:val="clear" w:color="auto" w:fill="FFFFFF"/>
              <w:topLinePunct/>
              <w:autoSpaceDE/>
              <w:autoSpaceDN/>
              <w:adjustRightInd/>
              <w:jc w:val="both"/>
              <w:rPr>
                <w:rFonts w:eastAsia="宋体"/>
                <w:sz w:val="21"/>
                <w:szCs w:val="21"/>
              </w:rPr>
            </w:pPr>
          </w:p>
        </w:tc>
        <w:tc>
          <w:tcPr>
            <w:tcW w:w="744" w:type="dxa"/>
            <w:tcBorders>
              <w:top w:val="single" w:color="auto" w:sz="6" w:space="0"/>
              <w:left w:val="single" w:color="auto" w:sz="6" w:space="0"/>
              <w:bottom w:val="single" w:color="auto" w:sz="6" w:space="0"/>
              <w:right w:val="single" w:color="auto" w:sz="6" w:space="0"/>
            </w:tcBorders>
            <w:shd w:val="clear" w:color="auto" w:fill="FFFFFF"/>
          </w:tcPr>
          <w:p w14:paraId="586D9B4A">
            <w:pPr>
              <w:shd w:val="clear" w:color="auto" w:fill="FFFFFF"/>
              <w:topLinePunct/>
              <w:autoSpaceDE/>
              <w:autoSpaceDN/>
              <w:adjustRightInd/>
              <w:jc w:val="both"/>
              <w:rPr>
                <w:rFonts w:eastAsia="宋体"/>
                <w:sz w:val="21"/>
                <w:szCs w:val="21"/>
              </w:rPr>
            </w:pPr>
          </w:p>
        </w:tc>
      </w:tr>
      <w:tr w14:paraId="6C6DAF8A">
        <w:tblPrEx>
          <w:tblCellMar>
            <w:top w:w="0" w:type="dxa"/>
            <w:left w:w="57" w:type="dxa"/>
            <w:bottom w:w="0" w:type="dxa"/>
            <w:right w:w="57" w:type="dxa"/>
          </w:tblCellMar>
        </w:tblPrEx>
        <w:trPr>
          <w:jc w:val="center"/>
        </w:trPr>
        <w:tc>
          <w:tcPr>
            <w:tcW w:w="1718" w:type="dxa"/>
            <w:tcBorders>
              <w:top w:val="nil"/>
              <w:left w:val="single" w:color="auto" w:sz="12" w:space="0"/>
              <w:bottom w:val="nil"/>
              <w:right w:val="single" w:color="auto" w:sz="12" w:space="0"/>
            </w:tcBorders>
            <w:shd w:val="clear" w:color="auto" w:fill="FFFFFF"/>
          </w:tcPr>
          <w:p w14:paraId="00C17952">
            <w:pPr>
              <w:shd w:val="clear" w:color="auto" w:fill="FFFFFF"/>
              <w:topLinePunct/>
              <w:autoSpaceDE/>
              <w:autoSpaceDN/>
              <w:adjustRightInd/>
              <w:jc w:val="both"/>
              <w:rPr>
                <w:rFonts w:eastAsia="宋体"/>
                <w:sz w:val="21"/>
                <w:szCs w:val="21"/>
              </w:rPr>
            </w:pPr>
            <w:r>
              <w:rPr>
                <w:rFonts w:eastAsia="宋体"/>
                <w:color w:val="000000"/>
                <w:sz w:val="21"/>
                <w:szCs w:val="21"/>
              </w:rPr>
              <w:t>12.0</w:t>
            </w:r>
          </w:p>
        </w:tc>
        <w:tc>
          <w:tcPr>
            <w:tcW w:w="1190" w:type="dxa"/>
            <w:tcBorders>
              <w:top w:val="single" w:color="auto" w:sz="6" w:space="0"/>
              <w:left w:val="single" w:color="auto" w:sz="12" w:space="0"/>
              <w:bottom w:val="single" w:color="auto" w:sz="6" w:space="0"/>
              <w:right w:val="single" w:color="auto" w:sz="6" w:space="0"/>
            </w:tcBorders>
            <w:shd w:val="clear" w:color="auto" w:fill="FFFFFF"/>
          </w:tcPr>
          <w:p w14:paraId="1957EED2">
            <w:pPr>
              <w:shd w:val="clear" w:color="auto" w:fill="FFFFFF"/>
              <w:topLinePunct/>
              <w:autoSpaceDE/>
              <w:autoSpaceDN/>
              <w:adjustRightInd/>
              <w:jc w:val="both"/>
              <w:rPr>
                <w:rFonts w:eastAsia="宋体"/>
                <w:sz w:val="21"/>
                <w:szCs w:val="21"/>
              </w:rPr>
            </w:pPr>
          </w:p>
        </w:tc>
        <w:tc>
          <w:tcPr>
            <w:tcW w:w="787" w:type="dxa"/>
            <w:tcBorders>
              <w:top w:val="single" w:color="auto" w:sz="6" w:space="0"/>
              <w:left w:val="single" w:color="auto" w:sz="6" w:space="0"/>
              <w:bottom w:val="single" w:color="auto" w:sz="6" w:space="0"/>
              <w:right w:val="single" w:color="auto" w:sz="6" w:space="0"/>
            </w:tcBorders>
            <w:shd w:val="clear" w:color="auto" w:fill="FFFFFF"/>
          </w:tcPr>
          <w:p w14:paraId="5D71B253">
            <w:pPr>
              <w:shd w:val="clear" w:color="auto" w:fill="FFFFFF"/>
              <w:topLinePunct/>
              <w:autoSpaceDE/>
              <w:autoSpaceDN/>
              <w:adjustRightInd/>
              <w:jc w:val="both"/>
              <w:rPr>
                <w:rFonts w:eastAsia="宋体"/>
                <w:sz w:val="21"/>
                <w:szCs w:val="21"/>
              </w:rPr>
            </w:pPr>
          </w:p>
        </w:tc>
        <w:tc>
          <w:tcPr>
            <w:tcW w:w="734" w:type="dxa"/>
            <w:tcBorders>
              <w:top w:val="single" w:color="auto" w:sz="6" w:space="0"/>
              <w:left w:val="single" w:color="auto" w:sz="6" w:space="0"/>
              <w:bottom w:val="single" w:color="auto" w:sz="6" w:space="0"/>
              <w:right w:val="single" w:color="auto" w:sz="6" w:space="0"/>
            </w:tcBorders>
            <w:shd w:val="clear" w:color="auto" w:fill="FFFFFF"/>
          </w:tcPr>
          <w:p w14:paraId="6DD2FCCB">
            <w:pPr>
              <w:shd w:val="clear" w:color="auto" w:fill="FFFFFF"/>
              <w:topLinePunct/>
              <w:autoSpaceDE/>
              <w:autoSpaceDN/>
              <w:adjustRightInd/>
              <w:jc w:val="both"/>
              <w:rPr>
                <w:rFonts w:eastAsia="宋体"/>
                <w:sz w:val="21"/>
                <w:szCs w:val="21"/>
              </w:rPr>
            </w:pPr>
          </w:p>
        </w:tc>
        <w:tc>
          <w:tcPr>
            <w:tcW w:w="744" w:type="dxa"/>
            <w:tcBorders>
              <w:top w:val="single" w:color="auto" w:sz="6" w:space="0"/>
              <w:left w:val="single" w:color="auto" w:sz="6" w:space="0"/>
              <w:bottom w:val="single" w:color="auto" w:sz="6" w:space="0"/>
              <w:right w:val="single" w:color="auto" w:sz="6" w:space="0"/>
            </w:tcBorders>
            <w:shd w:val="clear" w:color="auto" w:fill="FFFFFF"/>
          </w:tcPr>
          <w:p w14:paraId="5238E9C9">
            <w:pPr>
              <w:shd w:val="clear" w:color="auto" w:fill="FFFFFF"/>
              <w:topLinePunct/>
              <w:autoSpaceDE/>
              <w:autoSpaceDN/>
              <w:adjustRightInd/>
              <w:jc w:val="both"/>
              <w:rPr>
                <w:rFonts w:eastAsia="宋体"/>
                <w:sz w:val="21"/>
                <w:szCs w:val="21"/>
              </w:rPr>
            </w:pPr>
          </w:p>
        </w:tc>
      </w:tr>
      <w:tr w14:paraId="2A7905EC">
        <w:tblPrEx>
          <w:tblCellMar>
            <w:top w:w="0" w:type="dxa"/>
            <w:left w:w="57" w:type="dxa"/>
            <w:bottom w:w="0" w:type="dxa"/>
            <w:right w:w="57" w:type="dxa"/>
          </w:tblCellMar>
        </w:tblPrEx>
        <w:trPr>
          <w:jc w:val="center"/>
        </w:trPr>
        <w:tc>
          <w:tcPr>
            <w:tcW w:w="1718" w:type="dxa"/>
            <w:tcBorders>
              <w:top w:val="nil"/>
              <w:left w:val="single" w:color="auto" w:sz="12" w:space="0"/>
              <w:bottom w:val="single" w:color="auto" w:sz="12" w:space="0"/>
              <w:right w:val="single" w:color="auto" w:sz="12" w:space="0"/>
            </w:tcBorders>
            <w:shd w:val="clear" w:color="auto" w:fill="FFFFFF"/>
          </w:tcPr>
          <w:p w14:paraId="46F43413">
            <w:pPr>
              <w:shd w:val="clear" w:color="auto" w:fill="FFFFFF"/>
              <w:topLinePunct/>
              <w:autoSpaceDE/>
              <w:autoSpaceDN/>
              <w:adjustRightInd/>
              <w:jc w:val="both"/>
              <w:rPr>
                <w:rFonts w:eastAsia="宋体"/>
                <w:sz w:val="21"/>
                <w:szCs w:val="21"/>
              </w:rPr>
            </w:pPr>
            <w:r>
              <w:rPr>
                <w:rFonts w:eastAsia="宋体"/>
                <w:color w:val="000000"/>
                <w:sz w:val="21"/>
                <w:szCs w:val="21"/>
              </w:rPr>
              <w:t>14.0</w:t>
            </w:r>
          </w:p>
        </w:tc>
        <w:tc>
          <w:tcPr>
            <w:tcW w:w="1190" w:type="dxa"/>
            <w:tcBorders>
              <w:top w:val="single" w:color="auto" w:sz="6" w:space="0"/>
              <w:left w:val="single" w:color="auto" w:sz="12" w:space="0"/>
              <w:bottom w:val="single" w:color="auto" w:sz="6" w:space="0"/>
              <w:right w:val="single" w:color="auto" w:sz="6" w:space="0"/>
            </w:tcBorders>
            <w:shd w:val="clear" w:color="auto" w:fill="FFFFFF"/>
          </w:tcPr>
          <w:p w14:paraId="217E88F5">
            <w:pPr>
              <w:shd w:val="clear" w:color="auto" w:fill="FFFFFF"/>
              <w:topLinePunct/>
              <w:autoSpaceDE/>
              <w:autoSpaceDN/>
              <w:adjustRightInd/>
              <w:jc w:val="both"/>
              <w:rPr>
                <w:rFonts w:eastAsia="宋体"/>
                <w:sz w:val="21"/>
                <w:szCs w:val="21"/>
              </w:rPr>
            </w:pPr>
            <w:r>
              <w:rPr>
                <w:rFonts w:eastAsia="宋体"/>
                <w:color w:val="000000"/>
                <w:sz w:val="21"/>
                <w:szCs w:val="21"/>
              </w:rPr>
              <w:t>X</w:t>
            </w:r>
          </w:p>
        </w:tc>
        <w:tc>
          <w:tcPr>
            <w:tcW w:w="787" w:type="dxa"/>
            <w:tcBorders>
              <w:top w:val="single" w:color="auto" w:sz="6" w:space="0"/>
              <w:left w:val="single" w:color="auto" w:sz="6" w:space="0"/>
              <w:bottom w:val="single" w:color="auto" w:sz="6" w:space="0"/>
              <w:right w:val="single" w:color="auto" w:sz="6" w:space="0"/>
            </w:tcBorders>
            <w:shd w:val="clear" w:color="auto" w:fill="FFFFFF"/>
          </w:tcPr>
          <w:p w14:paraId="0E58E07F">
            <w:pPr>
              <w:shd w:val="clear" w:color="auto" w:fill="FFFFFF"/>
              <w:topLinePunct/>
              <w:autoSpaceDE/>
              <w:autoSpaceDN/>
              <w:adjustRightInd/>
              <w:jc w:val="both"/>
              <w:rPr>
                <w:rFonts w:eastAsia="宋体"/>
                <w:sz w:val="21"/>
                <w:szCs w:val="21"/>
              </w:rPr>
            </w:pPr>
          </w:p>
        </w:tc>
        <w:tc>
          <w:tcPr>
            <w:tcW w:w="734" w:type="dxa"/>
            <w:tcBorders>
              <w:top w:val="single" w:color="auto" w:sz="6" w:space="0"/>
              <w:left w:val="single" w:color="auto" w:sz="6" w:space="0"/>
              <w:bottom w:val="single" w:color="auto" w:sz="6" w:space="0"/>
              <w:right w:val="single" w:color="auto" w:sz="6" w:space="0"/>
            </w:tcBorders>
            <w:shd w:val="clear" w:color="auto" w:fill="FFFFFF"/>
          </w:tcPr>
          <w:p w14:paraId="02A9122D">
            <w:pPr>
              <w:shd w:val="clear" w:color="auto" w:fill="FFFFFF"/>
              <w:topLinePunct/>
              <w:autoSpaceDE/>
              <w:autoSpaceDN/>
              <w:adjustRightInd/>
              <w:jc w:val="both"/>
              <w:rPr>
                <w:rFonts w:eastAsia="宋体"/>
                <w:sz w:val="21"/>
                <w:szCs w:val="21"/>
              </w:rPr>
            </w:pPr>
          </w:p>
        </w:tc>
        <w:tc>
          <w:tcPr>
            <w:tcW w:w="744" w:type="dxa"/>
            <w:tcBorders>
              <w:top w:val="single" w:color="auto" w:sz="6" w:space="0"/>
              <w:left w:val="single" w:color="auto" w:sz="6" w:space="0"/>
              <w:bottom w:val="single" w:color="auto" w:sz="6" w:space="0"/>
              <w:right w:val="single" w:color="auto" w:sz="6" w:space="0"/>
            </w:tcBorders>
            <w:shd w:val="clear" w:color="auto" w:fill="FFFFFF"/>
          </w:tcPr>
          <w:p w14:paraId="2B2AF801">
            <w:pPr>
              <w:shd w:val="clear" w:color="auto" w:fill="FFFFFF"/>
              <w:topLinePunct/>
              <w:autoSpaceDE/>
              <w:autoSpaceDN/>
              <w:adjustRightInd/>
              <w:jc w:val="both"/>
              <w:rPr>
                <w:rFonts w:eastAsia="宋体"/>
                <w:sz w:val="21"/>
                <w:szCs w:val="21"/>
              </w:rPr>
            </w:pPr>
            <w:r>
              <w:rPr>
                <w:rFonts w:eastAsia="宋体"/>
                <w:color w:val="000000"/>
                <w:sz w:val="21"/>
                <w:szCs w:val="21"/>
              </w:rPr>
              <w:t>X</w:t>
            </w:r>
          </w:p>
        </w:tc>
      </w:tr>
    </w:tbl>
    <w:p w14:paraId="05E00AC9">
      <w:pPr>
        <w:shd w:val="clear" w:color="auto" w:fill="FFFFFF"/>
        <w:topLinePunct/>
        <w:autoSpaceDE/>
        <w:autoSpaceDN/>
        <w:adjustRightInd/>
        <w:jc w:val="both"/>
        <w:rPr>
          <w:rFonts w:eastAsia="宋体"/>
          <w:color w:val="000000"/>
          <w:sz w:val="24"/>
          <w:szCs w:val="24"/>
        </w:rPr>
      </w:pPr>
    </w:p>
    <w:p w14:paraId="7FE50B1E">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本机构建议对装有不受任何测试夹具（如管道）约束的支架球囊进行测试，并逐步充盈球囊，直至球囊达到RBP。对于每个样品，本机构建议保持RBP 30秒（或使用说明中规定的时间），给球囊放气，然后再次充盈至RBP，总共循环10次。本机构建议将任何压力损失（无论是由于球囊、管身或近端或远端密封失效）报告为测试失败。本机构建议记录所有失效模式，并且您的结果表明90%的球囊将以95%的置信度通过测试。</w:t>
      </w:r>
    </w:p>
    <w:p w14:paraId="7F0A6F8C">
      <w:pPr>
        <w:shd w:val="clear" w:color="auto" w:fill="FFFFFF"/>
        <w:topLinePunct/>
        <w:autoSpaceDE/>
        <w:autoSpaceDN/>
        <w:adjustRightInd/>
        <w:jc w:val="both"/>
        <w:rPr>
          <w:rFonts w:eastAsia="宋体"/>
          <w:sz w:val="24"/>
          <w:szCs w:val="24"/>
        </w:rPr>
      </w:pPr>
    </w:p>
    <w:p w14:paraId="10E87CAE">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d.</w:t>
      </w:r>
      <w:r>
        <w:rPr>
          <w:rFonts w:eastAsia="宋体"/>
          <w:b/>
          <w:color w:val="000000"/>
          <w:sz w:val="24"/>
          <w:szCs w:val="24"/>
        </w:rPr>
        <w:tab/>
      </w:r>
      <w:r>
        <w:rPr>
          <w:rFonts w:eastAsia="宋体"/>
          <w:b/>
          <w:color w:val="000000"/>
          <w:sz w:val="24"/>
          <w:szCs w:val="24"/>
        </w:rPr>
        <w:t>支架直径与球囊压力（符合性图表：仅球囊扩张式支架）</w:t>
      </w:r>
    </w:p>
    <w:p w14:paraId="4E664658">
      <w:pPr>
        <w:shd w:val="clear" w:color="auto" w:fill="FFFFFF"/>
        <w:topLinePunct/>
        <w:autoSpaceDE/>
        <w:autoSpaceDN/>
        <w:adjustRightInd/>
        <w:jc w:val="both"/>
        <w:rPr>
          <w:rFonts w:eastAsia="宋体"/>
          <w:color w:val="000000"/>
          <w:sz w:val="24"/>
          <w:szCs w:val="24"/>
          <w:u w:val="single"/>
        </w:rPr>
      </w:pPr>
    </w:p>
    <w:p w14:paraId="4203DF93">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：展开的球囊扩张式支架的直径随采用的球囊压力而变化。标签中的符合性图表同时显示了支架直径与球囊压力，以便为选择适合靶狭窄的支架尺寸提供指导。</w:t>
      </w:r>
    </w:p>
    <w:p w14:paraId="44A57ACE">
      <w:pPr>
        <w:shd w:val="clear" w:color="auto" w:fill="FFFFFF"/>
        <w:topLinePunct/>
        <w:autoSpaceDE/>
        <w:autoSpaceDN/>
        <w:adjustRightInd/>
        <w:jc w:val="both"/>
        <w:rPr>
          <w:rFonts w:eastAsia="宋体"/>
          <w:color w:val="000000"/>
          <w:sz w:val="24"/>
          <w:szCs w:val="24"/>
          <w:u w:val="single"/>
        </w:rPr>
      </w:pPr>
    </w:p>
    <w:p w14:paraId="29A4E55E">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：FDA建议测试最长长度下的所有支架直径。</w:t>
      </w:r>
      <w:r>
        <w:rPr>
          <w:rFonts w:eastAsia="宋体"/>
          <w:b/>
          <w:color w:val="000000"/>
          <w:sz w:val="24"/>
          <w:szCs w:val="24"/>
        </w:rPr>
        <w:t>表4</w:t>
      </w:r>
      <w:r>
        <w:rPr>
          <w:rFonts w:eastAsia="宋体"/>
          <w:color w:val="000000"/>
          <w:sz w:val="24"/>
          <w:szCs w:val="24"/>
        </w:rPr>
        <w:t>说明了关于支架设计所推荐的测试矩阵，其直径范围为8.0 mm至14.0 mm，长度范围为40 mm至80 mm。</w:t>
      </w:r>
    </w:p>
    <w:p w14:paraId="546EE74F">
      <w:pPr>
        <w:shd w:val="clear" w:color="auto" w:fill="FFFFFF"/>
        <w:topLinePunct/>
        <w:autoSpaceDE/>
        <w:autoSpaceDN/>
        <w:adjustRightInd/>
        <w:jc w:val="both"/>
        <w:rPr>
          <w:rFonts w:eastAsia="宋体"/>
          <w:sz w:val="24"/>
          <w:szCs w:val="24"/>
        </w:rPr>
      </w:pPr>
    </w:p>
    <w:p w14:paraId="36000E42">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表4：符合性图表的推荐性测试矩阵</w:t>
      </w:r>
    </w:p>
    <w:p w14:paraId="3DACAD86">
      <w:pPr>
        <w:shd w:val="clear" w:color="auto" w:fill="FFFFFF"/>
        <w:topLinePunct/>
        <w:autoSpaceDE/>
        <w:autoSpaceDN/>
        <w:adjustRightInd/>
        <w:jc w:val="center"/>
        <w:rPr>
          <w:rFonts w:eastAsia="宋体"/>
          <w:sz w:val="24"/>
          <w:szCs w:val="24"/>
        </w:rPr>
      </w:pPr>
    </w:p>
    <w:tbl>
      <w:tblPr>
        <w:tblStyle w:val="14"/>
        <w:tblW w:w="0" w:type="auto"/>
        <w:jc w:val="center"/>
        <w:tblLayout w:type="fixed"/>
        <w:tblCellMar>
          <w:top w:w="0" w:type="dxa"/>
          <w:left w:w="57" w:type="dxa"/>
          <w:bottom w:w="0" w:type="dxa"/>
          <w:right w:w="57" w:type="dxa"/>
        </w:tblCellMar>
      </w:tblPr>
      <w:tblGrid>
        <w:gridCol w:w="1162"/>
        <w:gridCol w:w="459"/>
        <w:gridCol w:w="460"/>
        <w:gridCol w:w="459"/>
        <w:gridCol w:w="470"/>
      </w:tblGrid>
      <w:tr w14:paraId="51F435D9">
        <w:tblPrEx>
          <w:tblCellMar>
            <w:top w:w="0" w:type="dxa"/>
            <w:left w:w="57" w:type="dxa"/>
            <w:bottom w:w="0" w:type="dxa"/>
            <w:right w:w="57" w:type="dxa"/>
          </w:tblCellMar>
        </w:tblPrEx>
        <w:trPr>
          <w:jc w:val="center"/>
        </w:trPr>
        <w:tc>
          <w:tcPr>
            <w:tcW w:w="1162" w:type="dxa"/>
            <w:tcBorders>
              <w:top w:val="single" w:color="auto" w:sz="12" w:space="0"/>
              <w:left w:val="single" w:color="auto" w:sz="12" w:space="0"/>
              <w:bottom w:val="nil"/>
              <w:right w:val="single" w:color="auto" w:sz="12" w:space="0"/>
            </w:tcBorders>
            <w:shd w:val="clear" w:color="auto" w:fill="F1F1F1" w:themeFill="background1" w:themeFillShade="F2"/>
          </w:tcPr>
          <w:p w14:paraId="3B2FBBEA">
            <w:pPr>
              <w:rPr>
                <w:rFonts w:eastAsia="宋体"/>
                <w:b/>
                <w:sz w:val="21"/>
                <w:szCs w:val="21"/>
              </w:rPr>
            </w:pPr>
            <w:r>
              <w:rPr>
                <w:rFonts w:eastAsia="宋体"/>
                <w:b/>
                <w:sz w:val="21"/>
                <w:szCs w:val="21"/>
              </w:rPr>
              <w:t>支架直径</w:t>
            </w:r>
          </w:p>
        </w:tc>
        <w:tc>
          <w:tcPr>
            <w:tcW w:w="1838" w:type="dxa"/>
            <w:gridSpan w:val="4"/>
            <w:tcBorders>
              <w:top w:val="single" w:color="auto" w:sz="12" w:space="0"/>
              <w:left w:val="single" w:color="auto" w:sz="12" w:space="0"/>
              <w:bottom w:val="nil"/>
              <w:right w:val="single" w:color="auto" w:sz="12" w:space="0"/>
            </w:tcBorders>
            <w:shd w:val="clear" w:color="auto" w:fill="F1F1F1" w:themeFill="background1" w:themeFillShade="F2"/>
          </w:tcPr>
          <w:p w14:paraId="3148D3DB">
            <w:pPr>
              <w:rPr>
                <w:rFonts w:eastAsia="宋体"/>
                <w:b/>
                <w:sz w:val="21"/>
                <w:szCs w:val="21"/>
              </w:rPr>
            </w:pPr>
            <w:r>
              <w:rPr>
                <w:rFonts w:eastAsia="宋体"/>
                <w:b/>
                <w:sz w:val="21"/>
                <w:szCs w:val="21"/>
              </w:rPr>
              <w:t>支架长度（mm）</w:t>
            </w:r>
          </w:p>
        </w:tc>
      </w:tr>
      <w:tr w14:paraId="18BDF95C">
        <w:tblPrEx>
          <w:tblCellMar>
            <w:top w:w="0" w:type="dxa"/>
            <w:left w:w="57" w:type="dxa"/>
            <w:bottom w:w="0" w:type="dxa"/>
            <w:right w:w="57" w:type="dxa"/>
          </w:tblCellMar>
        </w:tblPrEx>
        <w:trPr>
          <w:jc w:val="center"/>
        </w:trPr>
        <w:tc>
          <w:tcPr>
            <w:tcW w:w="1162" w:type="dxa"/>
            <w:tcBorders>
              <w:top w:val="nil"/>
              <w:left w:val="single" w:color="auto" w:sz="12" w:space="0"/>
              <w:bottom w:val="nil"/>
              <w:right w:val="single" w:color="auto" w:sz="12" w:space="0"/>
            </w:tcBorders>
            <w:shd w:val="clear" w:color="auto" w:fill="F1F1F1" w:themeFill="background1" w:themeFillShade="F2"/>
          </w:tcPr>
          <w:p w14:paraId="20C2B600">
            <w:pPr>
              <w:rPr>
                <w:rFonts w:eastAsia="宋体"/>
                <w:b/>
                <w:sz w:val="21"/>
                <w:szCs w:val="21"/>
              </w:rPr>
            </w:pPr>
            <w:r>
              <w:rPr>
                <w:rFonts w:eastAsia="宋体"/>
                <w:b/>
                <w:sz w:val="21"/>
                <w:szCs w:val="21"/>
              </w:rPr>
              <w:t>（mm）</w:t>
            </w:r>
          </w:p>
        </w:tc>
        <w:tc>
          <w:tcPr>
            <w:tcW w:w="459" w:type="dxa"/>
            <w:tcBorders>
              <w:top w:val="nil"/>
              <w:left w:val="single" w:color="auto" w:sz="12" w:space="0"/>
              <w:bottom w:val="single" w:color="auto" w:sz="12" w:space="0"/>
              <w:right w:val="single" w:color="auto" w:sz="6" w:space="0"/>
            </w:tcBorders>
            <w:shd w:val="clear" w:color="auto" w:fill="FFFFFF"/>
          </w:tcPr>
          <w:p w14:paraId="68CCF49D">
            <w:pPr>
              <w:shd w:val="clear" w:color="auto" w:fill="FFFFFF"/>
              <w:topLinePunct/>
              <w:autoSpaceDE/>
              <w:autoSpaceDN/>
              <w:adjustRightInd/>
              <w:jc w:val="both"/>
              <w:rPr>
                <w:rFonts w:eastAsia="宋体"/>
                <w:sz w:val="21"/>
                <w:szCs w:val="21"/>
              </w:rPr>
            </w:pPr>
            <w:r>
              <w:rPr>
                <w:rFonts w:eastAsia="宋体"/>
                <w:color w:val="000000"/>
                <w:sz w:val="21"/>
                <w:szCs w:val="21"/>
              </w:rPr>
              <w:t xml:space="preserve">40 </w:t>
            </w:r>
          </w:p>
        </w:tc>
        <w:tc>
          <w:tcPr>
            <w:tcW w:w="460" w:type="dxa"/>
            <w:tcBorders>
              <w:top w:val="nil"/>
              <w:left w:val="single" w:color="auto" w:sz="6" w:space="0"/>
              <w:bottom w:val="single" w:color="auto" w:sz="12" w:space="0"/>
              <w:right w:val="single" w:color="auto" w:sz="6" w:space="0"/>
            </w:tcBorders>
            <w:shd w:val="clear" w:color="auto" w:fill="FFFFFF"/>
          </w:tcPr>
          <w:p w14:paraId="19D12A57">
            <w:pPr>
              <w:shd w:val="clear" w:color="auto" w:fill="FFFFFF"/>
              <w:topLinePunct/>
              <w:autoSpaceDE/>
              <w:autoSpaceDN/>
              <w:adjustRightInd/>
              <w:jc w:val="both"/>
              <w:rPr>
                <w:rFonts w:eastAsia="宋体"/>
                <w:sz w:val="21"/>
                <w:szCs w:val="21"/>
              </w:rPr>
            </w:pPr>
            <w:r>
              <w:rPr>
                <w:rFonts w:eastAsia="宋体"/>
                <w:color w:val="000000"/>
                <w:sz w:val="21"/>
                <w:szCs w:val="21"/>
              </w:rPr>
              <w:t>50</w:t>
            </w:r>
          </w:p>
        </w:tc>
        <w:tc>
          <w:tcPr>
            <w:tcW w:w="459" w:type="dxa"/>
            <w:tcBorders>
              <w:top w:val="nil"/>
              <w:left w:val="single" w:color="auto" w:sz="6" w:space="0"/>
              <w:bottom w:val="single" w:color="auto" w:sz="12" w:space="0"/>
              <w:right w:val="single" w:color="auto" w:sz="6" w:space="0"/>
            </w:tcBorders>
            <w:shd w:val="clear" w:color="auto" w:fill="FFFFFF"/>
          </w:tcPr>
          <w:p w14:paraId="08521663">
            <w:pPr>
              <w:shd w:val="clear" w:color="auto" w:fill="FFFFFF"/>
              <w:topLinePunct/>
              <w:autoSpaceDE/>
              <w:autoSpaceDN/>
              <w:adjustRightInd/>
              <w:jc w:val="both"/>
              <w:rPr>
                <w:rFonts w:eastAsia="宋体"/>
                <w:sz w:val="21"/>
                <w:szCs w:val="21"/>
              </w:rPr>
            </w:pPr>
            <w:r>
              <w:rPr>
                <w:rFonts w:eastAsia="宋体"/>
                <w:color w:val="000000"/>
                <w:sz w:val="21"/>
                <w:szCs w:val="21"/>
              </w:rPr>
              <w:t>60</w:t>
            </w:r>
          </w:p>
        </w:tc>
        <w:tc>
          <w:tcPr>
            <w:tcW w:w="460" w:type="dxa"/>
            <w:tcBorders>
              <w:top w:val="nil"/>
              <w:left w:val="single" w:color="auto" w:sz="6" w:space="0"/>
              <w:bottom w:val="single" w:color="auto" w:sz="12" w:space="0"/>
              <w:right w:val="single" w:color="auto" w:sz="12" w:space="0"/>
            </w:tcBorders>
            <w:shd w:val="clear" w:color="auto" w:fill="FFFFFF"/>
          </w:tcPr>
          <w:p w14:paraId="50319214">
            <w:pPr>
              <w:shd w:val="clear" w:color="auto" w:fill="FFFFFF"/>
              <w:topLinePunct/>
              <w:autoSpaceDE/>
              <w:autoSpaceDN/>
              <w:adjustRightInd/>
              <w:jc w:val="both"/>
              <w:rPr>
                <w:rFonts w:eastAsia="宋体"/>
                <w:sz w:val="21"/>
                <w:szCs w:val="21"/>
              </w:rPr>
            </w:pPr>
            <w:r>
              <w:rPr>
                <w:rFonts w:eastAsia="宋体"/>
                <w:color w:val="000000"/>
                <w:sz w:val="21"/>
                <w:szCs w:val="21"/>
              </w:rPr>
              <w:t>80</w:t>
            </w:r>
          </w:p>
        </w:tc>
      </w:tr>
      <w:tr w14:paraId="2AFE13C2">
        <w:tblPrEx>
          <w:tblCellMar>
            <w:top w:w="0" w:type="dxa"/>
            <w:left w:w="57" w:type="dxa"/>
            <w:bottom w:w="0" w:type="dxa"/>
            <w:right w:w="57" w:type="dxa"/>
          </w:tblCellMar>
        </w:tblPrEx>
        <w:trPr>
          <w:jc w:val="center"/>
        </w:trPr>
        <w:tc>
          <w:tcPr>
            <w:tcW w:w="1162" w:type="dxa"/>
            <w:tcBorders>
              <w:top w:val="nil"/>
              <w:left w:val="single" w:color="auto" w:sz="12" w:space="0"/>
              <w:bottom w:val="nil"/>
              <w:right w:val="single" w:color="auto" w:sz="12" w:space="0"/>
            </w:tcBorders>
            <w:shd w:val="clear" w:color="auto" w:fill="FFFFFF"/>
          </w:tcPr>
          <w:p w14:paraId="4B140E12">
            <w:pPr>
              <w:shd w:val="clear" w:color="auto" w:fill="FFFFFF"/>
              <w:topLinePunct/>
              <w:autoSpaceDE/>
              <w:autoSpaceDN/>
              <w:adjustRightInd/>
              <w:jc w:val="both"/>
              <w:rPr>
                <w:rFonts w:eastAsia="宋体"/>
                <w:sz w:val="21"/>
                <w:szCs w:val="21"/>
              </w:rPr>
            </w:pPr>
            <w:r>
              <w:rPr>
                <w:rFonts w:eastAsia="宋体"/>
                <w:color w:val="000000"/>
                <w:sz w:val="21"/>
                <w:szCs w:val="21"/>
              </w:rPr>
              <w:t>8.0</w:t>
            </w:r>
          </w:p>
        </w:tc>
        <w:tc>
          <w:tcPr>
            <w:tcW w:w="456" w:type="dxa"/>
            <w:tcBorders>
              <w:top w:val="single" w:color="auto" w:sz="12" w:space="0"/>
              <w:left w:val="single" w:color="auto" w:sz="12" w:space="0"/>
              <w:bottom w:val="single" w:color="auto" w:sz="6" w:space="0"/>
              <w:right w:val="single" w:color="auto" w:sz="6" w:space="0"/>
            </w:tcBorders>
            <w:shd w:val="clear" w:color="auto" w:fill="FFFFFF"/>
          </w:tcPr>
          <w:p w14:paraId="5B6CA599">
            <w:pPr>
              <w:shd w:val="clear" w:color="auto" w:fill="FFFFFF"/>
              <w:topLinePunct/>
              <w:autoSpaceDE/>
              <w:autoSpaceDN/>
              <w:adjustRightInd/>
              <w:jc w:val="both"/>
              <w:rPr>
                <w:rFonts w:eastAsia="宋体"/>
                <w:sz w:val="21"/>
                <w:szCs w:val="21"/>
              </w:rPr>
            </w:pPr>
          </w:p>
        </w:tc>
        <w:tc>
          <w:tcPr>
            <w:tcW w:w="456" w:type="dxa"/>
            <w:tcBorders>
              <w:top w:val="single" w:color="auto" w:sz="12" w:space="0"/>
              <w:left w:val="single" w:color="auto" w:sz="6" w:space="0"/>
              <w:bottom w:val="single" w:color="auto" w:sz="6" w:space="0"/>
              <w:right w:val="single" w:color="auto" w:sz="6" w:space="0"/>
            </w:tcBorders>
            <w:shd w:val="clear" w:color="auto" w:fill="FFFFFF"/>
          </w:tcPr>
          <w:p w14:paraId="7219CF59">
            <w:pPr>
              <w:shd w:val="clear" w:color="auto" w:fill="FFFFFF"/>
              <w:topLinePunct/>
              <w:autoSpaceDE/>
              <w:autoSpaceDN/>
              <w:adjustRightInd/>
              <w:jc w:val="both"/>
              <w:rPr>
                <w:rFonts w:eastAsia="宋体"/>
                <w:sz w:val="21"/>
                <w:szCs w:val="21"/>
              </w:rPr>
            </w:pPr>
          </w:p>
        </w:tc>
        <w:tc>
          <w:tcPr>
            <w:tcW w:w="456" w:type="dxa"/>
            <w:tcBorders>
              <w:top w:val="single" w:color="auto" w:sz="12" w:space="0"/>
              <w:left w:val="single" w:color="auto" w:sz="6" w:space="0"/>
              <w:bottom w:val="single" w:color="auto" w:sz="6" w:space="0"/>
              <w:right w:val="single" w:color="auto" w:sz="6" w:space="0"/>
            </w:tcBorders>
            <w:shd w:val="clear" w:color="auto" w:fill="FFFFFF"/>
          </w:tcPr>
          <w:p w14:paraId="63347155">
            <w:pPr>
              <w:shd w:val="clear" w:color="auto" w:fill="FFFFFF"/>
              <w:topLinePunct/>
              <w:autoSpaceDE/>
              <w:autoSpaceDN/>
              <w:adjustRightInd/>
              <w:jc w:val="both"/>
              <w:rPr>
                <w:rFonts w:eastAsia="宋体"/>
                <w:sz w:val="21"/>
                <w:szCs w:val="21"/>
              </w:rPr>
            </w:pPr>
          </w:p>
        </w:tc>
        <w:tc>
          <w:tcPr>
            <w:tcW w:w="470" w:type="dxa"/>
            <w:tcBorders>
              <w:top w:val="single" w:color="auto" w:sz="12" w:space="0"/>
              <w:left w:val="single" w:color="auto" w:sz="6" w:space="0"/>
              <w:bottom w:val="single" w:color="auto" w:sz="6" w:space="0"/>
              <w:right w:val="single" w:color="auto" w:sz="6" w:space="0"/>
            </w:tcBorders>
            <w:shd w:val="clear" w:color="auto" w:fill="FFFFFF"/>
          </w:tcPr>
          <w:p w14:paraId="6DECA836">
            <w:pPr>
              <w:shd w:val="clear" w:color="auto" w:fill="FFFFFF"/>
              <w:topLinePunct/>
              <w:autoSpaceDE/>
              <w:autoSpaceDN/>
              <w:adjustRightInd/>
              <w:jc w:val="both"/>
              <w:rPr>
                <w:rFonts w:eastAsia="宋体"/>
                <w:sz w:val="21"/>
                <w:szCs w:val="21"/>
              </w:rPr>
            </w:pPr>
            <w:r>
              <w:rPr>
                <w:rFonts w:eastAsia="宋体"/>
                <w:color w:val="000000"/>
                <w:sz w:val="21"/>
                <w:szCs w:val="21"/>
              </w:rPr>
              <w:t>X</w:t>
            </w:r>
          </w:p>
        </w:tc>
      </w:tr>
      <w:tr w14:paraId="67F1111A">
        <w:tblPrEx>
          <w:tblCellMar>
            <w:top w:w="0" w:type="dxa"/>
            <w:left w:w="57" w:type="dxa"/>
            <w:bottom w:w="0" w:type="dxa"/>
            <w:right w:w="57" w:type="dxa"/>
          </w:tblCellMar>
        </w:tblPrEx>
        <w:trPr>
          <w:jc w:val="center"/>
        </w:trPr>
        <w:tc>
          <w:tcPr>
            <w:tcW w:w="1162" w:type="dxa"/>
            <w:tcBorders>
              <w:top w:val="nil"/>
              <w:left w:val="single" w:color="auto" w:sz="12" w:space="0"/>
              <w:bottom w:val="nil"/>
              <w:right w:val="single" w:color="auto" w:sz="12" w:space="0"/>
            </w:tcBorders>
            <w:shd w:val="clear" w:color="auto" w:fill="FFFFFF"/>
          </w:tcPr>
          <w:p w14:paraId="7048C1EE">
            <w:pPr>
              <w:shd w:val="clear" w:color="auto" w:fill="FFFFFF"/>
              <w:topLinePunct/>
              <w:autoSpaceDE/>
              <w:autoSpaceDN/>
              <w:adjustRightInd/>
              <w:jc w:val="both"/>
              <w:rPr>
                <w:rFonts w:eastAsia="宋体"/>
                <w:sz w:val="21"/>
                <w:szCs w:val="21"/>
              </w:rPr>
            </w:pPr>
            <w:r>
              <w:rPr>
                <w:rFonts w:eastAsia="宋体"/>
                <w:color w:val="000000"/>
                <w:sz w:val="21"/>
                <w:szCs w:val="21"/>
              </w:rPr>
              <w:t>10.0</w:t>
            </w:r>
          </w:p>
        </w:tc>
        <w:tc>
          <w:tcPr>
            <w:tcW w:w="456" w:type="dxa"/>
            <w:tcBorders>
              <w:top w:val="single" w:color="auto" w:sz="6" w:space="0"/>
              <w:left w:val="single" w:color="auto" w:sz="12" w:space="0"/>
              <w:bottom w:val="single" w:color="auto" w:sz="6" w:space="0"/>
              <w:right w:val="single" w:color="auto" w:sz="6" w:space="0"/>
            </w:tcBorders>
            <w:shd w:val="clear" w:color="auto" w:fill="FFFFFF"/>
          </w:tcPr>
          <w:p w14:paraId="3244BA1A">
            <w:pPr>
              <w:shd w:val="clear" w:color="auto" w:fill="FFFFFF"/>
              <w:topLinePunct/>
              <w:autoSpaceDE/>
              <w:autoSpaceDN/>
              <w:adjustRightInd/>
              <w:jc w:val="both"/>
              <w:rPr>
                <w:rFonts w:eastAsia="宋体"/>
                <w:sz w:val="21"/>
                <w:szCs w:val="21"/>
              </w:rPr>
            </w:pPr>
          </w:p>
        </w:tc>
        <w:tc>
          <w:tcPr>
            <w:tcW w:w="456" w:type="dxa"/>
            <w:tcBorders>
              <w:top w:val="single" w:color="auto" w:sz="6" w:space="0"/>
              <w:left w:val="single" w:color="auto" w:sz="6" w:space="0"/>
              <w:bottom w:val="single" w:color="auto" w:sz="6" w:space="0"/>
              <w:right w:val="single" w:color="auto" w:sz="6" w:space="0"/>
            </w:tcBorders>
            <w:shd w:val="clear" w:color="auto" w:fill="FFFFFF"/>
          </w:tcPr>
          <w:p w14:paraId="11A44DFE">
            <w:pPr>
              <w:shd w:val="clear" w:color="auto" w:fill="FFFFFF"/>
              <w:topLinePunct/>
              <w:autoSpaceDE/>
              <w:autoSpaceDN/>
              <w:adjustRightInd/>
              <w:jc w:val="both"/>
              <w:rPr>
                <w:rFonts w:eastAsia="宋体"/>
                <w:sz w:val="21"/>
                <w:szCs w:val="21"/>
              </w:rPr>
            </w:pPr>
          </w:p>
        </w:tc>
        <w:tc>
          <w:tcPr>
            <w:tcW w:w="456" w:type="dxa"/>
            <w:tcBorders>
              <w:top w:val="single" w:color="auto" w:sz="6" w:space="0"/>
              <w:left w:val="single" w:color="auto" w:sz="6" w:space="0"/>
              <w:bottom w:val="single" w:color="auto" w:sz="6" w:space="0"/>
              <w:right w:val="single" w:color="auto" w:sz="6" w:space="0"/>
            </w:tcBorders>
            <w:shd w:val="clear" w:color="auto" w:fill="FFFFFF"/>
          </w:tcPr>
          <w:p w14:paraId="6750B4E1">
            <w:pPr>
              <w:shd w:val="clear" w:color="auto" w:fill="FFFFFF"/>
              <w:topLinePunct/>
              <w:autoSpaceDE/>
              <w:autoSpaceDN/>
              <w:adjustRightInd/>
              <w:jc w:val="both"/>
              <w:rPr>
                <w:rFonts w:eastAsia="宋体"/>
                <w:sz w:val="21"/>
                <w:szCs w:val="21"/>
              </w:rPr>
            </w:pPr>
          </w:p>
        </w:tc>
        <w:tc>
          <w:tcPr>
            <w:tcW w:w="470" w:type="dxa"/>
            <w:tcBorders>
              <w:top w:val="single" w:color="auto" w:sz="6" w:space="0"/>
              <w:left w:val="single" w:color="auto" w:sz="6" w:space="0"/>
              <w:bottom w:val="single" w:color="auto" w:sz="6" w:space="0"/>
              <w:right w:val="single" w:color="auto" w:sz="6" w:space="0"/>
            </w:tcBorders>
            <w:shd w:val="clear" w:color="auto" w:fill="FFFFFF"/>
          </w:tcPr>
          <w:p w14:paraId="1E381101">
            <w:pPr>
              <w:shd w:val="clear" w:color="auto" w:fill="FFFFFF"/>
              <w:topLinePunct/>
              <w:autoSpaceDE/>
              <w:autoSpaceDN/>
              <w:adjustRightInd/>
              <w:jc w:val="both"/>
              <w:rPr>
                <w:rFonts w:eastAsia="宋体"/>
                <w:sz w:val="21"/>
                <w:szCs w:val="21"/>
              </w:rPr>
            </w:pPr>
            <w:r>
              <w:rPr>
                <w:rFonts w:eastAsia="宋体"/>
                <w:color w:val="000000"/>
                <w:sz w:val="21"/>
                <w:szCs w:val="21"/>
              </w:rPr>
              <w:t>X</w:t>
            </w:r>
          </w:p>
        </w:tc>
      </w:tr>
      <w:tr w14:paraId="67B9387A">
        <w:tblPrEx>
          <w:tblCellMar>
            <w:top w:w="0" w:type="dxa"/>
            <w:left w:w="57" w:type="dxa"/>
            <w:bottom w:w="0" w:type="dxa"/>
            <w:right w:w="57" w:type="dxa"/>
          </w:tblCellMar>
        </w:tblPrEx>
        <w:trPr>
          <w:jc w:val="center"/>
        </w:trPr>
        <w:tc>
          <w:tcPr>
            <w:tcW w:w="1162" w:type="dxa"/>
            <w:tcBorders>
              <w:top w:val="nil"/>
              <w:left w:val="single" w:color="auto" w:sz="12" w:space="0"/>
              <w:bottom w:val="nil"/>
              <w:right w:val="single" w:color="auto" w:sz="12" w:space="0"/>
            </w:tcBorders>
            <w:shd w:val="clear" w:color="auto" w:fill="FFFFFF"/>
          </w:tcPr>
          <w:p w14:paraId="262A0610">
            <w:pPr>
              <w:shd w:val="clear" w:color="auto" w:fill="FFFFFF"/>
              <w:topLinePunct/>
              <w:autoSpaceDE/>
              <w:autoSpaceDN/>
              <w:adjustRightInd/>
              <w:jc w:val="both"/>
              <w:rPr>
                <w:rFonts w:eastAsia="宋体"/>
                <w:sz w:val="21"/>
                <w:szCs w:val="21"/>
              </w:rPr>
            </w:pPr>
            <w:r>
              <w:rPr>
                <w:rFonts w:eastAsia="宋体"/>
                <w:color w:val="000000"/>
                <w:sz w:val="21"/>
                <w:szCs w:val="21"/>
              </w:rPr>
              <w:t>12.0</w:t>
            </w:r>
          </w:p>
        </w:tc>
        <w:tc>
          <w:tcPr>
            <w:tcW w:w="456" w:type="dxa"/>
            <w:tcBorders>
              <w:top w:val="single" w:color="auto" w:sz="6" w:space="0"/>
              <w:left w:val="single" w:color="auto" w:sz="12" w:space="0"/>
              <w:bottom w:val="single" w:color="auto" w:sz="6" w:space="0"/>
              <w:right w:val="single" w:color="auto" w:sz="6" w:space="0"/>
            </w:tcBorders>
            <w:shd w:val="clear" w:color="auto" w:fill="FFFFFF"/>
          </w:tcPr>
          <w:p w14:paraId="353751B4">
            <w:pPr>
              <w:shd w:val="clear" w:color="auto" w:fill="FFFFFF"/>
              <w:topLinePunct/>
              <w:autoSpaceDE/>
              <w:autoSpaceDN/>
              <w:adjustRightInd/>
              <w:jc w:val="both"/>
              <w:rPr>
                <w:rFonts w:eastAsia="宋体"/>
                <w:sz w:val="21"/>
                <w:szCs w:val="21"/>
              </w:rPr>
            </w:pPr>
          </w:p>
        </w:tc>
        <w:tc>
          <w:tcPr>
            <w:tcW w:w="456" w:type="dxa"/>
            <w:tcBorders>
              <w:top w:val="single" w:color="auto" w:sz="6" w:space="0"/>
              <w:left w:val="single" w:color="auto" w:sz="6" w:space="0"/>
              <w:bottom w:val="single" w:color="auto" w:sz="6" w:space="0"/>
              <w:right w:val="single" w:color="auto" w:sz="6" w:space="0"/>
            </w:tcBorders>
            <w:shd w:val="clear" w:color="auto" w:fill="FFFFFF"/>
          </w:tcPr>
          <w:p w14:paraId="26464195">
            <w:pPr>
              <w:shd w:val="clear" w:color="auto" w:fill="FFFFFF"/>
              <w:topLinePunct/>
              <w:autoSpaceDE/>
              <w:autoSpaceDN/>
              <w:adjustRightInd/>
              <w:jc w:val="both"/>
              <w:rPr>
                <w:rFonts w:eastAsia="宋体"/>
                <w:sz w:val="21"/>
                <w:szCs w:val="21"/>
              </w:rPr>
            </w:pPr>
          </w:p>
        </w:tc>
        <w:tc>
          <w:tcPr>
            <w:tcW w:w="456" w:type="dxa"/>
            <w:tcBorders>
              <w:top w:val="single" w:color="auto" w:sz="6" w:space="0"/>
              <w:left w:val="single" w:color="auto" w:sz="6" w:space="0"/>
              <w:bottom w:val="single" w:color="auto" w:sz="6" w:space="0"/>
              <w:right w:val="single" w:color="auto" w:sz="6" w:space="0"/>
            </w:tcBorders>
            <w:shd w:val="clear" w:color="auto" w:fill="FFFFFF"/>
          </w:tcPr>
          <w:p w14:paraId="704EA6C6">
            <w:pPr>
              <w:shd w:val="clear" w:color="auto" w:fill="FFFFFF"/>
              <w:topLinePunct/>
              <w:autoSpaceDE/>
              <w:autoSpaceDN/>
              <w:adjustRightInd/>
              <w:jc w:val="both"/>
              <w:rPr>
                <w:rFonts w:eastAsia="宋体"/>
                <w:sz w:val="21"/>
                <w:szCs w:val="21"/>
              </w:rPr>
            </w:pPr>
          </w:p>
        </w:tc>
        <w:tc>
          <w:tcPr>
            <w:tcW w:w="470" w:type="dxa"/>
            <w:tcBorders>
              <w:top w:val="single" w:color="auto" w:sz="6" w:space="0"/>
              <w:left w:val="single" w:color="auto" w:sz="6" w:space="0"/>
              <w:bottom w:val="single" w:color="auto" w:sz="6" w:space="0"/>
              <w:right w:val="single" w:color="auto" w:sz="6" w:space="0"/>
            </w:tcBorders>
            <w:shd w:val="clear" w:color="auto" w:fill="FFFFFF"/>
          </w:tcPr>
          <w:p w14:paraId="1460FC3C">
            <w:pPr>
              <w:shd w:val="clear" w:color="auto" w:fill="FFFFFF"/>
              <w:topLinePunct/>
              <w:autoSpaceDE/>
              <w:autoSpaceDN/>
              <w:adjustRightInd/>
              <w:jc w:val="both"/>
              <w:rPr>
                <w:rFonts w:eastAsia="宋体"/>
                <w:sz w:val="21"/>
                <w:szCs w:val="21"/>
              </w:rPr>
            </w:pPr>
            <w:r>
              <w:rPr>
                <w:rFonts w:eastAsia="宋体"/>
                <w:color w:val="000000"/>
                <w:sz w:val="21"/>
                <w:szCs w:val="21"/>
              </w:rPr>
              <w:t>X</w:t>
            </w:r>
          </w:p>
        </w:tc>
      </w:tr>
      <w:tr w14:paraId="26E0DA33">
        <w:tblPrEx>
          <w:tblCellMar>
            <w:top w:w="0" w:type="dxa"/>
            <w:left w:w="57" w:type="dxa"/>
            <w:bottom w:w="0" w:type="dxa"/>
            <w:right w:w="57" w:type="dxa"/>
          </w:tblCellMar>
        </w:tblPrEx>
        <w:trPr>
          <w:jc w:val="center"/>
        </w:trPr>
        <w:tc>
          <w:tcPr>
            <w:tcW w:w="1162" w:type="dxa"/>
            <w:tcBorders>
              <w:top w:val="nil"/>
              <w:left w:val="single" w:color="auto" w:sz="12" w:space="0"/>
              <w:bottom w:val="single" w:color="auto" w:sz="12" w:space="0"/>
              <w:right w:val="single" w:color="auto" w:sz="12" w:space="0"/>
            </w:tcBorders>
            <w:shd w:val="clear" w:color="auto" w:fill="FFFFFF"/>
          </w:tcPr>
          <w:p w14:paraId="47B88061">
            <w:pPr>
              <w:shd w:val="clear" w:color="auto" w:fill="FFFFFF"/>
              <w:topLinePunct/>
              <w:autoSpaceDE/>
              <w:autoSpaceDN/>
              <w:adjustRightInd/>
              <w:jc w:val="both"/>
              <w:rPr>
                <w:rFonts w:eastAsia="宋体"/>
                <w:sz w:val="21"/>
                <w:szCs w:val="21"/>
              </w:rPr>
            </w:pPr>
            <w:r>
              <w:rPr>
                <w:rFonts w:eastAsia="宋体"/>
                <w:color w:val="000000"/>
                <w:sz w:val="21"/>
                <w:szCs w:val="21"/>
              </w:rPr>
              <w:t>14.0</w:t>
            </w:r>
          </w:p>
        </w:tc>
        <w:tc>
          <w:tcPr>
            <w:tcW w:w="456" w:type="dxa"/>
            <w:tcBorders>
              <w:top w:val="single" w:color="auto" w:sz="6" w:space="0"/>
              <w:left w:val="single" w:color="auto" w:sz="12" w:space="0"/>
              <w:bottom w:val="single" w:color="auto" w:sz="6" w:space="0"/>
              <w:right w:val="single" w:color="auto" w:sz="6" w:space="0"/>
            </w:tcBorders>
            <w:shd w:val="clear" w:color="auto" w:fill="FFFFFF"/>
          </w:tcPr>
          <w:p w14:paraId="0C21DDD6">
            <w:pPr>
              <w:shd w:val="clear" w:color="auto" w:fill="FFFFFF"/>
              <w:topLinePunct/>
              <w:autoSpaceDE/>
              <w:autoSpaceDN/>
              <w:adjustRightInd/>
              <w:jc w:val="both"/>
              <w:rPr>
                <w:rFonts w:eastAsia="宋体"/>
                <w:sz w:val="21"/>
                <w:szCs w:val="21"/>
              </w:rPr>
            </w:pPr>
          </w:p>
        </w:tc>
        <w:tc>
          <w:tcPr>
            <w:tcW w:w="456" w:type="dxa"/>
            <w:tcBorders>
              <w:top w:val="single" w:color="auto" w:sz="6" w:space="0"/>
              <w:left w:val="single" w:color="auto" w:sz="6" w:space="0"/>
              <w:bottom w:val="single" w:color="auto" w:sz="6" w:space="0"/>
              <w:right w:val="single" w:color="auto" w:sz="6" w:space="0"/>
            </w:tcBorders>
            <w:shd w:val="clear" w:color="auto" w:fill="FFFFFF"/>
          </w:tcPr>
          <w:p w14:paraId="0A4810FE">
            <w:pPr>
              <w:shd w:val="clear" w:color="auto" w:fill="FFFFFF"/>
              <w:topLinePunct/>
              <w:autoSpaceDE/>
              <w:autoSpaceDN/>
              <w:adjustRightInd/>
              <w:jc w:val="both"/>
              <w:rPr>
                <w:rFonts w:eastAsia="宋体"/>
                <w:sz w:val="21"/>
                <w:szCs w:val="21"/>
              </w:rPr>
            </w:pPr>
          </w:p>
        </w:tc>
        <w:tc>
          <w:tcPr>
            <w:tcW w:w="456" w:type="dxa"/>
            <w:tcBorders>
              <w:top w:val="single" w:color="auto" w:sz="6" w:space="0"/>
              <w:left w:val="single" w:color="auto" w:sz="6" w:space="0"/>
              <w:bottom w:val="single" w:color="auto" w:sz="6" w:space="0"/>
              <w:right w:val="single" w:color="auto" w:sz="6" w:space="0"/>
            </w:tcBorders>
            <w:shd w:val="clear" w:color="auto" w:fill="FFFFFF"/>
          </w:tcPr>
          <w:p w14:paraId="09C0A73C">
            <w:pPr>
              <w:shd w:val="clear" w:color="auto" w:fill="FFFFFF"/>
              <w:topLinePunct/>
              <w:autoSpaceDE/>
              <w:autoSpaceDN/>
              <w:adjustRightInd/>
              <w:jc w:val="both"/>
              <w:rPr>
                <w:rFonts w:eastAsia="宋体"/>
                <w:sz w:val="21"/>
                <w:szCs w:val="21"/>
              </w:rPr>
            </w:pPr>
          </w:p>
        </w:tc>
        <w:tc>
          <w:tcPr>
            <w:tcW w:w="470" w:type="dxa"/>
            <w:tcBorders>
              <w:top w:val="single" w:color="auto" w:sz="6" w:space="0"/>
              <w:left w:val="single" w:color="auto" w:sz="6" w:space="0"/>
              <w:bottom w:val="single" w:color="auto" w:sz="6" w:space="0"/>
              <w:right w:val="single" w:color="auto" w:sz="6" w:space="0"/>
            </w:tcBorders>
            <w:shd w:val="clear" w:color="auto" w:fill="FFFFFF"/>
          </w:tcPr>
          <w:p w14:paraId="3EDC5CCC">
            <w:pPr>
              <w:shd w:val="clear" w:color="auto" w:fill="FFFFFF"/>
              <w:topLinePunct/>
              <w:autoSpaceDE/>
              <w:autoSpaceDN/>
              <w:adjustRightInd/>
              <w:jc w:val="both"/>
              <w:rPr>
                <w:rFonts w:eastAsia="宋体"/>
                <w:sz w:val="21"/>
                <w:szCs w:val="21"/>
              </w:rPr>
            </w:pPr>
            <w:r>
              <w:rPr>
                <w:rFonts w:eastAsia="宋体"/>
                <w:color w:val="000000"/>
                <w:sz w:val="21"/>
                <w:szCs w:val="21"/>
              </w:rPr>
              <w:t>X</w:t>
            </w:r>
          </w:p>
        </w:tc>
      </w:tr>
    </w:tbl>
    <w:p w14:paraId="2489AFC5">
      <w:pPr>
        <w:shd w:val="clear" w:color="auto" w:fill="FFFFFF"/>
        <w:topLinePunct/>
        <w:autoSpaceDE/>
        <w:autoSpaceDN/>
        <w:adjustRightInd/>
        <w:jc w:val="both"/>
        <w:rPr>
          <w:rFonts w:eastAsia="宋体"/>
          <w:color w:val="000000"/>
          <w:sz w:val="24"/>
          <w:szCs w:val="24"/>
        </w:rPr>
      </w:pPr>
    </w:p>
    <w:p w14:paraId="1B1F9312">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本机构建议确定标称充盈压力和RBP，如下例所示。本机构建议检测多个产品批次。本机构还建议明确记录所获得的任何圆整数据。</w:t>
      </w:r>
      <w:r>
        <w:rPr>
          <w:rFonts w:eastAsia="宋体"/>
          <w:b/>
          <w:sz w:val="24"/>
          <w:szCs w:val="24"/>
        </w:rPr>
        <w:t>表5</w:t>
      </w:r>
      <w:r>
        <w:rPr>
          <w:rFonts w:eastAsia="宋体"/>
          <w:color w:val="000000"/>
          <w:sz w:val="24"/>
          <w:szCs w:val="24"/>
        </w:rPr>
        <w:t>显示了直径为8 mm、10 mm和12 mm、RBP为14.0大气压（atm）的支架的样本符合性图表。标称直径为12.0 atm。</w:t>
      </w:r>
    </w:p>
    <w:p w14:paraId="2559EA63">
      <w:pPr>
        <w:shd w:val="clear" w:color="auto" w:fill="FFFFFF"/>
        <w:topLinePunct/>
        <w:autoSpaceDE/>
        <w:autoSpaceDN/>
        <w:adjustRightInd/>
        <w:jc w:val="both"/>
        <w:rPr>
          <w:rFonts w:eastAsia="宋体"/>
          <w:sz w:val="24"/>
          <w:szCs w:val="24"/>
        </w:rPr>
      </w:pPr>
    </w:p>
    <w:p w14:paraId="0581B16F">
      <w:pPr>
        <w:widowControl/>
        <w:autoSpaceDE/>
        <w:autoSpaceDN/>
        <w:adjustRightInd/>
        <w:rPr>
          <w:rFonts w:eastAsia="宋体"/>
          <w:sz w:val="24"/>
          <w:szCs w:val="24"/>
        </w:rPr>
      </w:pPr>
      <w:r>
        <w:rPr>
          <w:rFonts w:eastAsia="宋体"/>
          <w:sz w:val="24"/>
          <w:szCs w:val="24"/>
        </w:rPr>
        <w:br w:type="page"/>
      </w:r>
    </w:p>
    <w:p w14:paraId="5B809E27">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表5：球囊扩张式支架的样品符合性图表</w:t>
      </w:r>
    </w:p>
    <w:p w14:paraId="1A347DCB">
      <w:pPr>
        <w:shd w:val="clear" w:color="auto" w:fill="FFFFFF"/>
        <w:topLinePunct/>
        <w:autoSpaceDE/>
        <w:autoSpaceDN/>
        <w:adjustRightInd/>
        <w:jc w:val="center"/>
        <w:rPr>
          <w:rFonts w:eastAsia="宋体"/>
          <w:sz w:val="24"/>
          <w:szCs w:val="24"/>
        </w:rPr>
      </w:pPr>
    </w:p>
    <w:tbl>
      <w:tblPr>
        <w:tblStyle w:val="14"/>
        <w:tblW w:w="5000" w:type="pct"/>
        <w:tblInd w:w="0" w:type="dxa"/>
        <w:tblLayout w:type="autofit"/>
        <w:tblCellMar>
          <w:top w:w="0" w:type="dxa"/>
          <w:left w:w="57" w:type="dxa"/>
          <w:bottom w:w="0" w:type="dxa"/>
          <w:right w:w="57" w:type="dxa"/>
        </w:tblCellMar>
      </w:tblPr>
      <w:tblGrid>
        <w:gridCol w:w="1655"/>
        <w:gridCol w:w="2440"/>
        <w:gridCol w:w="2694"/>
        <w:gridCol w:w="2682"/>
      </w:tblGrid>
      <w:tr w14:paraId="73086A0D">
        <w:tblPrEx>
          <w:tblCellMar>
            <w:top w:w="0" w:type="dxa"/>
            <w:left w:w="57" w:type="dxa"/>
            <w:bottom w:w="0" w:type="dxa"/>
            <w:right w:w="57" w:type="dxa"/>
          </w:tblCellMar>
        </w:tblPrEx>
        <w:tc>
          <w:tcPr>
            <w:tcW w:w="874" w:type="pct"/>
            <w:vMerge w:val="restart"/>
            <w:tcBorders>
              <w:top w:val="single" w:color="auto" w:sz="6" w:space="0"/>
              <w:left w:val="single" w:color="auto" w:sz="6" w:space="0"/>
              <w:right w:val="single" w:color="auto" w:sz="6" w:space="0"/>
            </w:tcBorders>
            <w:shd w:val="clear" w:color="auto" w:fill="F1F1F1" w:themeFill="background1" w:themeFillShade="F2"/>
            <w:vAlign w:val="center"/>
          </w:tcPr>
          <w:p w14:paraId="70402C29">
            <w:pPr>
              <w:jc w:val="center"/>
              <w:rPr>
                <w:rFonts w:eastAsia="宋体"/>
                <w:b/>
                <w:sz w:val="21"/>
                <w:szCs w:val="21"/>
              </w:rPr>
            </w:pPr>
            <w:r>
              <w:rPr>
                <w:rFonts w:eastAsia="宋体"/>
                <w:b/>
                <w:sz w:val="21"/>
                <w:szCs w:val="21"/>
              </w:rPr>
              <w:t>压力（atm）</w:t>
            </w:r>
          </w:p>
        </w:tc>
        <w:tc>
          <w:tcPr>
            <w:tcW w:w="4126" w:type="pct"/>
            <w:gridSpan w:val="3"/>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EB139C">
            <w:pPr>
              <w:jc w:val="both"/>
              <w:rPr>
                <w:rFonts w:eastAsia="宋体"/>
                <w:b/>
                <w:sz w:val="21"/>
                <w:szCs w:val="21"/>
              </w:rPr>
            </w:pPr>
            <w:r>
              <w:rPr>
                <w:rFonts w:eastAsia="宋体"/>
                <w:b/>
                <w:sz w:val="21"/>
                <w:szCs w:val="21"/>
              </w:rPr>
              <w:t>支架标称直径</w:t>
            </w:r>
          </w:p>
          <w:p w14:paraId="1D5C251C">
            <w:pPr>
              <w:jc w:val="both"/>
              <w:rPr>
                <w:rFonts w:eastAsia="宋体"/>
                <w:b/>
                <w:sz w:val="21"/>
                <w:szCs w:val="21"/>
              </w:rPr>
            </w:pPr>
            <w:r>
              <w:rPr>
                <w:rFonts w:eastAsia="宋体"/>
                <w:b/>
                <w:sz w:val="21"/>
                <w:szCs w:val="21"/>
              </w:rPr>
              <w:t>其中x =给定压力下的支架内径</w:t>
            </w:r>
          </w:p>
        </w:tc>
      </w:tr>
      <w:tr w14:paraId="494C15A8">
        <w:tblPrEx>
          <w:tblCellMar>
            <w:top w:w="0" w:type="dxa"/>
            <w:left w:w="57" w:type="dxa"/>
            <w:bottom w:w="0" w:type="dxa"/>
            <w:right w:w="57" w:type="dxa"/>
          </w:tblCellMar>
        </w:tblPrEx>
        <w:tc>
          <w:tcPr>
            <w:tcW w:w="874" w:type="pct"/>
            <w:vMerge w:val="continue"/>
            <w:tcBorders>
              <w:left w:val="single" w:color="auto" w:sz="6" w:space="0"/>
              <w:bottom w:val="single" w:color="auto" w:sz="6" w:space="0"/>
              <w:right w:val="single" w:color="auto" w:sz="6" w:space="0"/>
            </w:tcBorders>
            <w:shd w:val="clear" w:color="auto" w:fill="F1F1F1" w:themeFill="background1" w:themeFillShade="F2"/>
            <w:vAlign w:val="center"/>
          </w:tcPr>
          <w:p w14:paraId="24D96E7C">
            <w:pPr>
              <w:topLinePunct/>
              <w:autoSpaceDE/>
              <w:autoSpaceDN/>
              <w:adjustRightInd/>
              <w:jc w:val="center"/>
              <w:rPr>
                <w:rFonts w:eastAsia="宋体"/>
                <w:sz w:val="21"/>
                <w:szCs w:val="21"/>
              </w:rPr>
            </w:pPr>
          </w:p>
        </w:tc>
        <w:tc>
          <w:tcPr>
            <w:tcW w:w="1288" w:type="pct"/>
            <w:tcBorders>
              <w:top w:val="single" w:color="auto" w:sz="6" w:space="0"/>
              <w:left w:val="single" w:color="auto" w:sz="6" w:space="0"/>
              <w:bottom w:val="single" w:color="auto" w:sz="6" w:space="0"/>
              <w:right w:val="single" w:color="auto" w:sz="6" w:space="0"/>
            </w:tcBorders>
            <w:shd w:val="clear" w:color="auto" w:fill="FFFFFF"/>
            <w:vAlign w:val="center"/>
          </w:tcPr>
          <w:p w14:paraId="447044F7">
            <w:pPr>
              <w:shd w:val="clear" w:color="auto" w:fill="FFFFFF"/>
              <w:topLinePunct/>
              <w:autoSpaceDE/>
              <w:autoSpaceDN/>
              <w:adjustRightInd/>
              <w:jc w:val="center"/>
              <w:rPr>
                <w:rFonts w:eastAsia="宋体"/>
                <w:sz w:val="21"/>
                <w:szCs w:val="21"/>
              </w:rPr>
            </w:pPr>
            <w:r>
              <w:rPr>
                <w:rFonts w:eastAsia="宋体"/>
                <w:b/>
                <w:color w:val="000000"/>
                <w:sz w:val="21"/>
                <w:szCs w:val="21"/>
              </w:rPr>
              <w:t>8.0 mm支架内径（mm）</w:t>
            </w:r>
          </w:p>
        </w:tc>
        <w:tc>
          <w:tcPr>
            <w:tcW w:w="1422" w:type="pct"/>
            <w:tcBorders>
              <w:top w:val="single" w:color="auto" w:sz="6" w:space="0"/>
              <w:left w:val="single" w:color="auto" w:sz="6" w:space="0"/>
              <w:bottom w:val="single" w:color="auto" w:sz="6" w:space="0"/>
              <w:right w:val="single" w:color="auto" w:sz="6" w:space="0"/>
            </w:tcBorders>
            <w:shd w:val="clear" w:color="auto" w:fill="FFFFFF"/>
            <w:vAlign w:val="center"/>
          </w:tcPr>
          <w:p w14:paraId="2212A13B">
            <w:pPr>
              <w:shd w:val="clear" w:color="auto" w:fill="FFFFFF"/>
              <w:topLinePunct/>
              <w:autoSpaceDE/>
              <w:autoSpaceDN/>
              <w:adjustRightInd/>
              <w:jc w:val="center"/>
              <w:rPr>
                <w:rFonts w:eastAsia="宋体"/>
                <w:sz w:val="21"/>
                <w:szCs w:val="21"/>
              </w:rPr>
            </w:pPr>
            <w:r>
              <w:rPr>
                <w:rFonts w:eastAsia="宋体"/>
                <w:b/>
                <w:color w:val="000000"/>
                <w:sz w:val="21"/>
                <w:szCs w:val="21"/>
              </w:rPr>
              <w:t>10.0 mm支架内径（mm）</w:t>
            </w:r>
          </w:p>
        </w:tc>
        <w:tc>
          <w:tcPr>
            <w:tcW w:w="1416" w:type="pct"/>
            <w:tcBorders>
              <w:top w:val="single" w:color="auto" w:sz="6" w:space="0"/>
              <w:left w:val="single" w:color="auto" w:sz="6" w:space="0"/>
              <w:bottom w:val="single" w:color="auto" w:sz="6" w:space="0"/>
              <w:right w:val="single" w:color="auto" w:sz="6" w:space="0"/>
            </w:tcBorders>
            <w:shd w:val="clear" w:color="auto" w:fill="FFFFFF"/>
            <w:vAlign w:val="center"/>
          </w:tcPr>
          <w:p w14:paraId="3FC024AF">
            <w:pPr>
              <w:shd w:val="clear" w:color="auto" w:fill="FFFFFF"/>
              <w:topLinePunct/>
              <w:autoSpaceDE/>
              <w:autoSpaceDN/>
              <w:adjustRightInd/>
              <w:jc w:val="center"/>
              <w:rPr>
                <w:rFonts w:eastAsia="宋体"/>
                <w:sz w:val="21"/>
                <w:szCs w:val="21"/>
              </w:rPr>
            </w:pPr>
            <w:r>
              <w:rPr>
                <w:rFonts w:eastAsia="宋体"/>
                <w:b/>
                <w:color w:val="000000"/>
                <w:sz w:val="21"/>
                <w:szCs w:val="21"/>
              </w:rPr>
              <w:t>12.0 mm支架内径（mm）</w:t>
            </w:r>
          </w:p>
        </w:tc>
      </w:tr>
      <w:tr w14:paraId="5331392E">
        <w:tblPrEx>
          <w:tblCellMar>
            <w:top w:w="0" w:type="dxa"/>
            <w:left w:w="57" w:type="dxa"/>
            <w:bottom w:w="0" w:type="dxa"/>
            <w:right w:w="57" w:type="dxa"/>
          </w:tblCellMar>
        </w:tblPrEx>
        <w:tc>
          <w:tcPr>
            <w:tcW w:w="874" w:type="pct"/>
            <w:tcBorders>
              <w:top w:val="single" w:color="auto" w:sz="6" w:space="0"/>
              <w:left w:val="single" w:color="auto" w:sz="6" w:space="0"/>
              <w:bottom w:val="single" w:color="auto" w:sz="6" w:space="0"/>
              <w:right w:val="single" w:color="auto" w:sz="6" w:space="0"/>
            </w:tcBorders>
            <w:shd w:val="clear" w:color="auto" w:fill="FFFFFF"/>
            <w:vAlign w:val="center"/>
          </w:tcPr>
          <w:p w14:paraId="06E79DD5">
            <w:pPr>
              <w:shd w:val="clear" w:color="auto" w:fill="FFFFFF"/>
              <w:topLinePunct/>
              <w:autoSpaceDE/>
              <w:autoSpaceDN/>
              <w:adjustRightInd/>
              <w:jc w:val="center"/>
              <w:rPr>
                <w:rFonts w:eastAsia="宋体"/>
                <w:sz w:val="21"/>
                <w:szCs w:val="21"/>
              </w:rPr>
            </w:pPr>
            <w:r>
              <w:rPr>
                <w:rFonts w:eastAsia="宋体"/>
                <w:b/>
                <w:bCs/>
                <w:color w:val="000000"/>
                <w:sz w:val="21"/>
                <w:szCs w:val="21"/>
              </w:rPr>
              <w:t>9.0</w:t>
            </w:r>
          </w:p>
        </w:tc>
        <w:tc>
          <w:tcPr>
            <w:tcW w:w="1288" w:type="pct"/>
            <w:tcBorders>
              <w:top w:val="single" w:color="auto" w:sz="6" w:space="0"/>
              <w:left w:val="single" w:color="auto" w:sz="6" w:space="0"/>
              <w:bottom w:val="single" w:color="auto" w:sz="6" w:space="0"/>
              <w:right w:val="single" w:color="auto" w:sz="6" w:space="0"/>
            </w:tcBorders>
            <w:shd w:val="clear" w:color="auto" w:fill="FFFFFF"/>
            <w:vAlign w:val="center"/>
          </w:tcPr>
          <w:p w14:paraId="7E9EB902">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22" w:type="pct"/>
            <w:tcBorders>
              <w:top w:val="single" w:color="auto" w:sz="6" w:space="0"/>
              <w:left w:val="single" w:color="auto" w:sz="6" w:space="0"/>
              <w:bottom w:val="single" w:color="auto" w:sz="6" w:space="0"/>
              <w:right w:val="single" w:color="auto" w:sz="6" w:space="0"/>
            </w:tcBorders>
            <w:shd w:val="clear" w:color="auto" w:fill="FFFFFF"/>
            <w:vAlign w:val="center"/>
          </w:tcPr>
          <w:p w14:paraId="2A2C909E">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16" w:type="pct"/>
            <w:tcBorders>
              <w:top w:val="single" w:color="auto" w:sz="6" w:space="0"/>
              <w:left w:val="single" w:color="auto" w:sz="6" w:space="0"/>
              <w:bottom w:val="single" w:color="auto" w:sz="6" w:space="0"/>
              <w:right w:val="single" w:color="auto" w:sz="6" w:space="0"/>
            </w:tcBorders>
            <w:shd w:val="clear" w:color="auto" w:fill="FFFFFF"/>
            <w:vAlign w:val="center"/>
          </w:tcPr>
          <w:p w14:paraId="0AB4BFDD">
            <w:pPr>
              <w:shd w:val="clear" w:color="auto" w:fill="FFFFFF"/>
              <w:topLinePunct/>
              <w:autoSpaceDE/>
              <w:autoSpaceDN/>
              <w:adjustRightInd/>
              <w:jc w:val="center"/>
              <w:rPr>
                <w:rFonts w:eastAsia="宋体"/>
                <w:sz w:val="21"/>
                <w:szCs w:val="21"/>
              </w:rPr>
            </w:pPr>
            <w:r>
              <w:rPr>
                <w:rFonts w:eastAsia="宋体"/>
                <w:color w:val="000000"/>
                <w:sz w:val="21"/>
                <w:szCs w:val="21"/>
              </w:rPr>
              <w:t>x</w:t>
            </w:r>
          </w:p>
        </w:tc>
      </w:tr>
      <w:tr w14:paraId="13C46D04">
        <w:tblPrEx>
          <w:tblCellMar>
            <w:top w:w="0" w:type="dxa"/>
            <w:left w:w="57" w:type="dxa"/>
            <w:bottom w:w="0" w:type="dxa"/>
            <w:right w:w="57" w:type="dxa"/>
          </w:tblCellMar>
        </w:tblPrEx>
        <w:tc>
          <w:tcPr>
            <w:tcW w:w="874" w:type="pct"/>
            <w:tcBorders>
              <w:top w:val="single" w:color="auto" w:sz="6" w:space="0"/>
              <w:left w:val="single" w:color="auto" w:sz="6" w:space="0"/>
              <w:bottom w:val="single" w:color="auto" w:sz="6" w:space="0"/>
              <w:right w:val="single" w:color="auto" w:sz="6" w:space="0"/>
            </w:tcBorders>
            <w:shd w:val="clear" w:color="auto" w:fill="FFFFFF"/>
            <w:vAlign w:val="center"/>
          </w:tcPr>
          <w:p w14:paraId="226B86E2">
            <w:pPr>
              <w:shd w:val="clear" w:color="auto" w:fill="FFFFFF"/>
              <w:topLinePunct/>
              <w:autoSpaceDE/>
              <w:autoSpaceDN/>
              <w:adjustRightInd/>
              <w:jc w:val="center"/>
              <w:rPr>
                <w:rFonts w:eastAsia="宋体"/>
                <w:sz w:val="21"/>
                <w:szCs w:val="21"/>
              </w:rPr>
            </w:pPr>
            <w:r>
              <w:rPr>
                <w:rFonts w:eastAsia="宋体"/>
                <w:b/>
                <w:bCs/>
                <w:color w:val="000000"/>
                <w:sz w:val="21"/>
                <w:szCs w:val="21"/>
              </w:rPr>
              <w:t>10.0</w:t>
            </w:r>
          </w:p>
        </w:tc>
        <w:tc>
          <w:tcPr>
            <w:tcW w:w="1288" w:type="pct"/>
            <w:tcBorders>
              <w:top w:val="single" w:color="auto" w:sz="6" w:space="0"/>
              <w:left w:val="single" w:color="auto" w:sz="6" w:space="0"/>
              <w:bottom w:val="single" w:color="auto" w:sz="6" w:space="0"/>
              <w:right w:val="single" w:color="auto" w:sz="6" w:space="0"/>
            </w:tcBorders>
            <w:shd w:val="clear" w:color="auto" w:fill="FFFFFF"/>
            <w:vAlign w:val="center"/>
          </w:tcPr>
          <w:p w14:paraId="12225888">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22" w:type="pct"/>
            <w:tcBorders>
              <w:top w:val="single" w:color="auto" w:sz="6" w:space="0"/>
              <w:left w:val="single" w:color="auto" w:sz="6" w:space="0"/>
              <w:bottom w:val="single" w:color="auto" w:sz="6" w:space="0"/>
              <w:right w:val="single" w:color="auto" w:sz="6" w:space="0"/>
            </w:tcBorders>
            <w:shd w:val="clear" w:color="auto" w:fill="FFFFFF"/>
            <w:vAlign w:val="center"/>
          </w:tcPr>
          <w:p w14:paraId="4AAB175F">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16" w:type="pct"/>
            <w:tcBorders>
              <w:top w:val="single" w:color="auto" w:sz="6" w:space="0"/>
              <w:left w:val="single" w:color="auto" w:sz="6" w:space="0"/>
              <w:bottom w:val="single" w:color="auto" w:sz="6" w:space="0"/>
              <w:right w:val="single" w:color="auto" w:sz="6" w:space="0"/>
            </w:tcBorders>
            <w:shd w:val="clear" w:color="auto" w:fill="FFFFFF"/>
            <w:vAlign w:val="center"/>
          </w:tcPr>
          <w:p w14:paraId="20AC79AC">
            <w:pPr>
              <w:shd w:val="clear" w:color="auto" w:fill="FFFFFF"/>
              <w:topLinePunct/>
              <w:autoSpaceDE/>
              <w:autoSpaceDN/>
              <w:adjustRightInd/>
              <w:jc w:val="center"/>
              <w:rPr>
                <w:rFonts w:eastAsia="宋体"/>
                <w:sz w:val="21"/>
                <w:szCs w:val="21"/>
              </w:rPr>
            </w:pPr>
            <w:r>
              <w:rPr>
                <w:rFonts w:eastAsia="宋体"/>
                <w:color w:val="000000"/>
                <w:sz w:val="21"/>
                <w:szCs w:val="21"/>
              </w:rPr>
              <w:t>x</w:t>
            </w:r>
          </w:p>
        </w:tc>
      </w:tr>
      <w:tr w14:paraId="60CAF511">
        <w:tblPrEx>
          <w:tblCellMar>
            <w:top w:w="0" w:type="dxa"/>
            <w:left w:w="57" w:type="dxa"/>
            <w:bottom w:w="0" w:type="dxa"/>
            <w:right w:w="57" w:type="dxa"/>
          </w:tblCellMar>
        </w:tblPrEx>
        <w:tc>
          <w:tcPr>
            <w:tcW w:w="874" w:type="pct"/>
            <w:tcBorders>
              <w:top w:val="single" w:color="auto" w:sz="6" w:space="0"/>
              <w:left w:val="single" w:color="auto" w:sz="6" w:space="0"/>
              <w:bottom w:val="single" w:color="auto" w:sz="6" w:space="0"/>
              <w:right w:val="single" w:color="auto" w:sz="6" w:space="0"/>
            </w:tcBorders>
            <w:shd w:val="clear" w:color="auto" w:fill="FFFFFF"/>
            <w:vAlign w:val="center"/>
          </w:tcPr>
          <w:p w14:paraId="7196E866">
            <w:pPr>
              <w:shd w:val="clear" w:color="auto" w:fill="FFFFFF"/>
              <w:topLinePunct/>
              <w:autoSpaceDE/>
              <w:autoSpaceDN/>
              <w:adjustRightInd/>
              <w:jc w:val="center"/>
              <w:rPr>
                <w:rFonts w:eastAsia="宋体"/>
                <w:sz w:val="21"/>
                <w:szCs w:val="21"/>
              </w:rPr>
            </w:pPr>
            <w:r>
              <w:rPr>
                <w:rFonts w:eastAsia="宋体"/>
                <w:b/>
                <w:bCs/>
                <w:color w:val="000000"/>
                <w:sz w:val="21"/>
                <w:szCs w:val="21"/>
              </w:rPr>
              <w:t>11.0</w:t>
            </w:r>
          </w:p>
        </w:tc>
        <w:tc>
          <w:tcPr>
            <w:tcW w:w="1288" w:type="pct"/>
            <w:tcBorders>
              <w:top w:val="single" w:color="auto" w:sz="6" w:space="0"/>
              <w:left w:val="single" w:color="auto" w:sz="6" w:space="0"/>
              <w:bottom w:val="single" w:color="auto" w:sz="6" w:space="0"/>
              <w:right w:val="single" w:color="auto" w:sz="6" w:space="0"/>
            </w:tcBorders>
            <w:shd w:val="clear" w:color="auto" w:fill="FFFFFF"/>
            <w:vAlign w:val="center"/>
          </w:tcPr>
          <w:p w14:paraId="455E88DD">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22" w:type="pct"/>
            <w:tcBorders>
              <w:top w:val="single" w:color="auto" w:sz="6" w:space="0"/>
              <w:left w:val="single" w:color="auto" w:sz="6" w:space="0"/>
              <w:bottom w:val="single" w:color="auto" w:sz="6" w:space="0"/>
              <w:right w:val="single" w:color="auto" w:sz="6" w:space="0"/>
            </w:tcBorders>
            <w:shd w:val="clear" w:color="auto" w:fill="FFFFFF"/>
            <w:vAlign w:val="center"/>
          </w:tcPr>
          <w:p w14:paraId="56B57135">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16" w:type="pct"/>
            <w:tcBorders>
              <w:top w:val="single" w:color="auto" w:sz="6" w:space="0"/>
              <w:left w:val="single" w:color="auto" w:sz="6" w:space="0"/>
              <w:bottom w:val="single" w:color="auto" w:sz="6" w:space="0"/>
              <w:right w:val="single" w:color="auto" w:sz="6" w:space="0"/>
            </w:tcBorders>
            <w:shd w:val="clear" w:color="auto" w:fill="FFFFFF"/>
            <w:vAlign w:val="center"/>
          </w:tcPr>
          <w:p w14:paraId="09C4DFD0">
            <w:pPr>
              <w:shd w:val="clear" w:color="auto" w:fill="FFFFFF"/>
              <w:topLinePunct/>
              <w:autoSpaceDE/>
              <w:autoSpaceDN/>
              <w:adjustRightInd/>
              <w:jc w:val="center"/>
              <w:rPr>
                <w:rFonts w:eastAsia="宋体"/>
                <w:sz w:val="21"/>
                <w:szCs w:val="21"/>
              </w:rPr>
            </w:pPr>
            <w:r>
              <w:rPr>
                <w:rFonts w:eastAsia="宋体"/>
                <w:color w:val="000000"/>
                <w:sz w:val="21"/>
                <w:szCs w:val="21"/>
              </w:rPr>
              <w:t>x</w:t>
            </w:r>
          </w:p>
        </w:tc>
      </w:tr>
      <w:tr w14:paraId="7970F27F">
        <w:tblPrEx>
          <w:tblCellMar>
            <w:top w:w="0" w:type="dxa"/>
            <w:left w:w="57" w:type="dxa"/>
            <w:bottom w:w="0" w:type="dxa"/>
            <w:right w:w="57" w:type="dxa"/>
          </w:tblCellMar>
        </w:tblPrEx>
        <w:tc>
          <w:tcPr>
            <w:tcW w:w="874" w:type="pct"/>
            <w:tcBorders>
              <w:top w:val="single" w:color="auto" w:sz="6" w:space="0"/>
              <w:left w:val="single" w:color="auto" w:sz="6" w:space="0"/>
              <w:bottom w:val="single" w:color="auto" w:sz="6" w:space="0"/>
              <w:right w:val="single" w:color="auto" w:sz="6" w:space="0"/>
            </w:tcBorders>
            <w:shd w:val="clear" w:color="auto" w:fill="FFFFFF"/>
            <w:vAlign w:val="center"/>
          </w:tcPr>
          <w:p w14:paraId="65288A74">
            <w:pPr>
              <w:shd w:val="clear" w:color="auto" w:fill="FFFFFF"/>
              <w:topLinePunct/>
              <w:autoSpaceDE/>
              <w:autoSpaceDN/>
              <w:adjustRightInd/>
              <w:jc w:val="center"/>
              <w:rPr>
                <w:rFonts w:eastAsia="宋体"/>
                <w:sz w:val="21"/>
                <w:szCs w:val="21"/>
              </w:rPr>
            </w:pPr>
            <w:r>
              <w:rPr>
                <w:rFonts w:eastAsia="宋体"/>
                <w:b/>
                <w:bCs/>
                <w:color w:val="000000"/>
                <w:sz w:val="21"/>
                <w:szCs w:val="21"/>
              </w:rPr>
              <w:t>12.0</w:t>
            </w:r>
          </w:p>
        </w:tc>
        <w:tc>
          <w:tcPr>
            <w:tcW w:w="1288" w:type="pct"/>
            <w:tcBorders>
              <w:top w:val="single" w:color="auto" w:sz="6" w:space="0"/>
              <w:left w:val="single" w:color="auto" w:sz="6" w:space="0"/>
              <w:bottom w:val="single" w:color="auto" w:sz="6" w:space="0"/>
              <w:right w:val="single" w:color="auto" w:sz="6" w:space="0"/>
            </w:tcBorders>
            <w:shd w:val="clear" w:color="auto" w:fill="FFFFFF"/>
            <w:vAlign w:val="center"/>
          </w:tcPr>
          <w:p w14:paraId="5F5478F4">
            <w:pPr>
              <w:shd w:val="clear" w:color="auto" w:fill="FFFFFF"/>
              <w:topLinePunct/>
              <w:autoSpaceDE/>
              <w:autoSpaceDN/>
              <w:adjustRightInd/>
              <w:jc w:val="center"/>
              <w:rPr>
                <w:rFonts w:eastAsia="宋体"/>
                <w:sz w:val="21"/>
                <w:szCs w:val="21"/>
              </w:rPr>
            </w:pPr>
            <w:r>
              <w:rPr>
                <w:rFonts w:eastAsia="宋体"/>
                <w:color w:val="000000"/>
                <w:sz w:val="21"/>
                <w:szCs w:val="21"/>
              </w:rPr>
              <w:t>8.0</w:t>
            </w:r>
          </w:p>
        </w:tc>
        <w:tc>
          <w:tcPr>
            <w:tcW w:w="1422" w:type="pct"/>
            <w:tcBorders>
              <w:top w:val="single" w:color="auto" w:sz="6" w:space="0"/>
              <w:left w:val="single" w:color="auto" w:sz="6" w:space="0"/>
              <w:bottom w:val="single" w:color="auto" w:sz="6" w:space="0"/>
              <w:right w:val="single" w:color="auto" w:sz="6" w:space="0"/>
            </w:tcBorders>
            <w:shd w:val="clear" w:color="auto" w:fill="FFFFFF"/>
            <w:vAlign w:val="center"/>
          </w:tcPr>
          <w:p w14:paraId="46B1094C">
            <w:pPr>
              <w:shd w:val="clear" w:color="auto" w:fill="FFFFFF"/>
              <w:topLinePunct/>
              <w:autoSpaceDE/>
              <w:autoSpaceDN/>
              <w:adjustRightInd/>
              <w:jc w:val="center"/>
              <w:rPr>
                <w:rFonts w:eastAsia="宋体"/>
                <w:sz w:val="21"/>
                <w:szCs w:val="21"/>
              </w:rPr>
            </w:pPr>
            <w:r>
              <w:rPr>
                <w:rFonts w:eastAsia="宋体"/>
                <w:color w:val="000000"/>
                <w:sz w:val="21"/>
                <w:szCs w:val="21"/>
              </w:rPr>
              <w:t>10.0</w:t>
            </w:r>
          </w:p>
        </w:tc>
        <w:tc>
          <w:tcPr>
            <w:tcW w:w="1416" w:type="pct"/>
            <w:tcBorders>
              <w:top w:val="single" w:color="auto" w:sz="6" w:space="0"/>
              <w:left w:val="single" w:color="auto" w:sz="6" w:space="0"/>
              <w:bottom w:val="single" w:color="auto" w:sz="6" w:space="0"/>
              <w:right w:val="single" w:color="auto" w:sz="6" w:space="0"/>
            </w:tcBorders>
            <w:shd w:val="clear" w:color="auto" w:fill="FFFFFF"/>
            <w:vAlign w:val="center"/>
          </w:tcPr>
          <w:p w14:paraId="10BE8E97">
            <w:pPr>
              <w:shd w:val="clear" w:color="auto" w:fill="FFFFFF"/>
              <w:topLinePunct/>
              <w:autoSpaceDE/>
              <w:autoSpaceDN/>
              <w:adjustRightInd/>
              <w:jc w:val="center"/>
              <w:rPr>
                <w:rFonts w:eastAsia="宋体"/>
                <w:sz w:val="21"/>
                <w:szCs w:val="21"/>
              </w:rPr>
            </w:pPr>
            <w:r>
              <w:rPr>
                <w:rFonts w:eastAsia="宋体"/>
                <w:color w:val="000000"/>
                <w:sz w:val="21"/>
                <w:szCs w:val="21"/>
              </w:rPr>
              <w:t>12.0</w:t>
            </w:r>
          </w:p>
        </w:tc>
      </w:tr>
      <w:tr w14:paraId="56E16889">
        <w:tblPrEx>
          <w:tblCellMar>
            <w:top w:w="0" w:type="dxa"/>
            <w:left w:w="57" w:type="dxa"/>
            <w:bottom w:w="0" w:type="dxa"/>
            <w:right w:w="57" w:type="dxa"/>
          </w:tblCellMar>
        </w:tblPrEx>
        <w:tc>
          <w:tcPr>
            <w:tcW w:w="874" w:type="pct"/>
            <w:tcBorders>
              <w:top w:val="single" w:color="auto" w:sz="6" w:space="0"/>
              <w:left w:val="single" w:color="auto" w:sz="6" w:space="0"/>
              <w:bottom w:val="single" w:color="auto" w:sz="6" w:space="0"/>
              <w:right w:val="single" w:color="auto" w:sz="6" w:space="0"/>
            </w:tcBorders>
            <w:shd w:val="clear" w:color="auto" w:fill="FFFFFF"/>
            <w:vAlign w:val="center"/>
          </w:tcPr>
          <w:p w14:paraId="7D13E273">
            <w:pPr>
              <w:shd w:val="clear" w:color="auto" w:fill="FFFFFF"/>
              <w:topLinePunct/>
              <w:autoSpaceDE/>
              <w:autoSpaceDN/>
              <w:adjustRightInd/>
              <w:jc w:val="center"/>
              <w:rPr>
                <w:rFonts w:eastAsia="宋体"/>
                <w:sz w:val="21"/>
                <w:szCs w:val="21"/>
              </w:rPr>
            </w:pPr>
            <w:r>
              <w:rPr>
                <w:rFonts w:eastAsia="宋体"/>
                <w:b/>
                <w:bCs/>
                <w:color w:val="000000"/>
                <w:sz w:val="21"/>
                <w:szCs w:val="21"/>
              </w:rPr>
              <w:t>13.0</w:t>
            </w:r>
          </w:p>
        </w:tc>
        <w:tc>
          <w:tcPr>
            <w:tcW w:w="1288" w:type="pct"/>
            <w:tcBorders>
              <w:top w:val="single" w:color="auto" w:sz="6" w:space="0"/>
              <w:left w:val="single" w:color="auto" w:sz="6" w:space="0"/>
              <w:bottom w:val="single" w:color="auto" w:sz="6" w:space="0"/>
              <w:right w:val="single" w:color="auto" w:sz="6" w:space="0"/>
            </w:tcBorders>
            <w:shd w:val="clear" w:color="auto" w:fill="FFFFFF"/>
            <w:vAlign w:val="center"/>
          </w:tcPr>
          <w:p w14:paraId="7EE360C4">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22" w:type="pct"/>
            <w:tcBorders>
              <w:top w:val="single" w:color="auto" w:sz="6" w:space="0"/>
              <w:left w:val="single" w:color="auto" w:sz="6" w:space="0"/>
              <w:bottom w:val="single" w:color="auto" w:sz="6" w:space="0"/>
              <w:right w:val="single" w:color="auto" w:sz="6" w:space="0"/>
            </w:tcBorders>
            <w:shd w:val="clear" w:color="auto" w:fill="FFFFFF"/>
            <w:vAlign w:val="center"/>
          </w:tcPr>
          <w:p w14:paraId="74043D4E">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16" w:type="pct"/>
            <w:tcBorders>
              <w:top w:val="single" w:color="auto" w:sz="6" w:space="0"/>
              <w:left w:val="single" w:color="auto" w:sz="6" w:space="0"/>
              <w:bottom w:val="single" w:color="auto" w:sz="6" w:space="0"/>
              <w:right w:val="single" w:color="auto" w:sz="6" w:space="0"/>
            </w:tcBorders>
            <w:shd w:val="clear" w:color="auto" w:fill="FFFFFF"/>
            <w:vAlign w:val="center"/>
          </w:tcPr>
          <w:p w14:paraId="61B0CE26">
            <w:pPr>
              <w:shd w:val="clear" w:color="auto" w:fill="FFFFFF"/>
              <w:topLinePunct/>
              <w:autoSpaceDE/>
              <w:autoSpaceDN/>
              <w:adjustRightInd/>
              <w:jc w:val="center"/>
              <w:rPr>
                <w:rFonts w:eastAsia="宋体"/>
                <w:sz w:val="21"/>
                <w:szCs w:val="21"/>
              </w:rPr>
            </w:pPr>
            <w:r>
              <w:rPr>
                <w:rFonts w:eastAsia="宋体"/>
                <w:color w:val="000000"/>
                <w:sz w:val="21"/>
                <w:szCs w:val="21"/>
              </w:rPr>
              <w:t>x</w:t>
            </w:r>
          </w:p>
        </w:tc>
      </w:tr>
      <w:tr w14:paraId="179E9228">
        <w:tblPrEx>
          <w:tblCellMar>
            <w:top w:w="0" w:type="dxa"/>
            <w:left w:w="57" w:type="dxa"/>
            <w:bottom w:w="0" w:type="dxa"/>
            <w:right w:w="57" w:type="dxa"/>
          </w:tblCellMar>
        </w:tblPrEx>
        <w:tc>
          <w:tcPr>
            <w:tcW w:w="874" w:type="pct"/>
            <w:tcBorders>
              <w:top w:val="single" w:color="auto" w:sz="6" w:space="0"/>
              <w:left w:val="single" w:color="auto" w:sz="6" w:space="0"/>
              <w:bottom w:val="single" w:color="auto" w:sz="6" w:space="0"/>
              <w:right w:val="single" w:color="auto" w:sz="6" w:space="0"/>
            </w:tcBorders>
            <w:shd w:val="clear" w:color="auto" w:fill="FFFFFF"/>
            <w:vAlign w:val="center"/>
          </w:tcPr>
          <w:p w14:paraId="20743CB8">
            <w:pPr>
              <w:shd w:val="clear" w:color="auto" w:fill="FFFFFF"/>
              <w:topLinePunct/>
              <w:autoSpaceDE/>
              <w:autoSpaceDN/>
              <w:adjustRightInd/>
              <w:jc w:val="center"/>
              <w:rPr>
                <w:rFonts w:eastAsia="宋体"/>
                <w:sz w:val="21"/>
                <w:szCs w:val="21"/>
              </w:rPr>
            </w:pPr>
            <w:r>
              <w:rPr>
                <w:rFonts w:eastAsia="宋体"/>
                <w:b/>
                <w:bCs/>
                <w:color w:val="000000"/>
                <w:sz w:val="21"/>
                <w:szCs w:val="21"/>
              </w:rPr>
              <w:t>14.0*</w:t>
            </w:r>
          </w:p>
        </w:tc>
        <w:tc>
          <w:tcPr>
            <w:tcW w:w="1288" w:type="pct"/>
            <w:tcBorders>
              <w:top w:val="single" w:color="auto" w:sz="6" w:space="0"/>
              <w:left w:val="single" w:color="auto" w:sz="6" w:space="0"/>
              <w:bottom w:val="single" w:color="auto" w:sz="6" w:space="0"/>
              <w:right w:val="single" w:color="auto" w:sz="6" w:space="0"/>
            </w:tcBorders>
            <w:shd w:val="clear" w:color="auto" w:fill="FFFFFF"/>
            <w:vAlign w:val="center"/>
          </w:tcPr>
          <w:p w14:paraId="264A165E">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22" w:type="pct"/>
            <w:tcBorders>
              <w:top w:val="single" w:color="auto" w:sz="6" w:space="0"/>
              <w:left w:val="single" w:color="auto" w:sz="6" w:space="0"/>
              <w:bottom w:val="single" w:color="auto" w:sz="6" w:space="0"/>
              <w:right w:val="single" w:color="auto" w:sz="6" w:space="0"/>
            </w:tcBorders>
            <w:shd w:val="clear" w:color="auto" w:fill="FFFFFF"/>
            <w:vAlign w:val="center"/>
          </w:tcPr>
          <w:p w14:paraId="0348DE7B">
            <w:pPr>
              <w:shd w:val="clear" w:color="auto" w:fill="FFFFFF"/>
              <w:topLinePunct/>
              <w:autoSpaceDE/>
              <w:autoSpaceDN/>
              <w:adjustRightInd/>
              <w:jc w:val="center"/>
              <w:rPr>
                <w:rFonts w:eastAsia="宋体"/>
                <w:sz w:val="21"/>
                <w:szCs w:val="21"/>
              </w:rPr>
            </w:pPr>
            <w:r>
              <w:rPr>
                <w:rFonts w:eastAsia="宋体"/>
                <w:color w:val="000000"/>
                <w:sz w:val="21"/>
                <w:szCs w:val="21"/>
              </w:rPr>
              <w:t>x</w:t>
            </w:r>
          </w:p>
        </w:tc>
        <w:tc>
          <w:tcPr>
            <w:tcW w:w="1416" w:type="pct"/>
            <w:tcBorders>
              <w:top w:val="single" w:color="auto" w:sz="6" w:space="0"/>
              <w:left w:val="single" w:color="auto" w:sz="6" w:space="0"/>
              <w:bottom w:val="single" w:color="auto" w:sz="6" w:space="0"/>
              <w:right w:val="single" w:color="auto" w:sz="6" w:space="0"/>
            </w:tcBorders>
            <w:shd w:val="clear" w:color="auto" w:fill="FFFFFF"/>
            <w:vAlign w:val="center"/>
          </w:tcPr>
          <w:p w14:paraId="1D8BCF5B">
            <w:pPr>
              <w:shd w:val="clear" w:color="auto" w:fill="FFFFFF"/>
              <w:topLinePunct/>
              <w:autoSpaceDE/>
              <w:autoSpaceDN/>
              <w:adjustRightInd/>
              <w:jc w:val="center"/>
              <w:rPr>
                <w:rFonts w:eastAsia="宋体"/>
                <w:sz w:val="21"/>
                <w:szCs w:val="21"/>
              </w:rPr>
            </w:pPr>
            <w:r>
              <w:rPr>
                <w:rFonts w:eastAsia="宋体"/>
                <w:color w:val="000000"/>
                <w:sz w:val="21"/>
                <w:szCs w:val="21"/>
              </w:rPr>
              <w:t>x</w:t>
            </w:r>
          </w:p>
        </w:tc>
      </w:tr>
    </w:tbl>
    <w:p w14:paraId="3959C693">
      <w:pPr>
        <w:shd w:val="clear" w:color="auto" w:fill="FFFFFF"/>
        <w:topLinePunct/>
        <w:autoSpaceDE/>
        <w:autoSpaceDN/>
        <w:adjustRightInd/>
        <w:jc w:val="both"/>
        <w:rPr>
          <w:rFonts w:eastAsia="宋体"/>
          <w:color w:val="000000"/>
          <w:sz w:val="21"/>
          <w:szCs w:val="21"/>
        </w:rPr>
      </w:pPr>
      <w:r>
        <w:rPr>
          <w:rFonts w:eastAsia="宋体"/>
          <w:color w:val="000000"/>
          <w:sz w:val="21"/>
          <w:szCs w:val="21"/>
        </w:rPr>
        <w:t>*RBP</w:t>
      </w:r>
    </w:p>
    <w:p w14:paraId="4423B82A">
      <w:pPr>
        <w:shd w:val="clear" w:color="auto" w:fill="FFFFFF"/>
        <w:topLinePunct/>
        <w:autoSpaceDE/>
        <w:autoSpaceDN/>
        <w:adjustRightInd/>
        <w:jc w:val="both"/>
        <w:rPr>
          <w:rFonts w:eastAsia="宋体"/>
          <w:sz w:val="24"/>
          <w:szCs w:val="24"/>
        </w:rPr>
      </w:pPr>
    </w:p>
    <w:p w14:paraId="295CF708">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e.</w:t>
      </w:r>
      <w:r>
        <w:rPr>
          <w:rFonts w:eastAsia="宋体"/>
          <w:b/>
          <w:color w:val="000000"/>
          <w:sz w:val="24"/>
          <w:szCs w:val="24"/>
        </w:rPr>
        <w:tab/>
      </w:r>
      <w:r>
        <w:rPr>
          <w:rFonts w:eastAsia="宋体"/>
          <w:b/>
          <w:color w:val="000000"/>
          <w:sz w:val="24"/>
          <w:szCs w:val="24"/>
        </w:rPr>
        <w:t>SDS粘合强度</w:t>
      </w:r>
    </w:p>
    <w:p w14:paraId="6ACAA345">
      <w:pPr>
        <w:shd w:val="clear" w:color="auto" w:fill="FFFFFF"/>
        <w:topLinePunct/>
        <w:autoSpaceDE/>
        <w:autoSpaceDN/>
        <w:adjustRightInd/>
        <w:jc w:val="both"/>
        <w:rPr>
          <w:rFonts w:eastAsia="宋体"/>
          <w:color w:val="000000"/>
          <w:sz w:val="24"/>
          <w:szCs w:val="24"/>
          <w:u w:val="single"/>
        </w:rPr>
      </w:pPr>
    </w:p>
    <w:p w14:paraId="6E7DA43A">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：SDS粘接失效会导致器械失效以及临床并发症。</w:t>
      </w:r>
    </w:p>
    <w:p w14:paraId="7AE675B0">
      <w:pPr>
        <w:shd w:val="clear" w:color="auto" w:fill="FFFFFF"/>
        <w:topLinePunct/>
        <w:autoSpaceDE/>
        <w:autoSpaceDN/>
        <w:adjustRightInd/>
        <w:jc w:val="both"/>
        <w:rPr>
          <w:rFonts w:eastAsia="宋体"/>
          <w:color w:val="000000"/>
          <w:sz w:val="24"/>
          <w:szCs w:val="24"/>
          <w:u w:val="single"/>
        </w:rPr>
      </w:pPr>
    </w:p>
    <w:p w14:paraId="6512395B">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：本机构建议在使用粘合剂、热熔或其他连接方法粘接SDS组件的位置测试粘合强度。本机构建议在进行本测试之前对器械进行预处理（例如，通过模拟解剖结构跟踪器械），以确保在追踪之后保持SDS粘合强度。</w:t>
      </w:r>
    </w:p>
    <w:p w14:paraId="402965DC">
      <w:pPr>
        <w:shd w:val="clear" w:color="auto" w:fill="FFFFFF"/>
        <w:topLinePunct/>
        <w:autoSpaceDE/>
        <w:autoSpaceDN/>
        <w:adjustRightInd/>
        <w:jc w:val="both"/>
        <w:rPr>
          <w:rFonts w:eastAsia="宋体"/>
          <w:sz w:val="24"/>
          <w:szCs w:val="24"/>
        </w:rPr>
      </w:pPr>
    </w:p>
    <w:p w14:paraId="072F54AB">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f.</w:t>
      </w:r>
      <w:r>
        <w:rPr>
          <w:rFonts w:eastAsia="宋体"/>
          <w:b/>
          <w:color w:val="000000"/>
          <w:sz w:val="24"/>
          <w:szCs w:val="24"/>
        </w:rPr>
        <w:tab/>
      </w:r>
      <w:r>
        <w:rPr>
          <w:rFonts w:eastAsia="宋体"/>
          <w:b/>
          <w:color w:val="000000"/>
          <w:sz w:val="24"/>
          <w:szCs w:val="24"/>
        </w:rPr>
        <w:t>最大截面尺寸</w:t>
      </w:r>
    </w:p>
    <w:p w14:paraId="763DE93B">
      <w:pPr>
        <w:shd w:val="clear" w:color="auto" w:fill="FFFFFF"/>
        <w:topLinePunct/>
        <w:autoSpaceDE/>
        <w:autoSpaceDN/>
        <w:adjustRightInd/>
        <w:jc w:val="both"/>
        <w:rPr>
          <w:rFonts w:eastAsia="宋体"/>
          <w:color w:val="000000"/>
          <w:sz w:val="24"/>
          <w:szCs w:val="24"/>
          <w:u w:val="single"/>
        </w:rPr>
      </w:pPr>
    </w:p>
    <w:p w14:paraId="3DCFDA38">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：SDS沿其长度方向的截面形状和大小的变化影响SDS穿过狭窄的能力。</w:t>
      </w:r>
    </w:p>
    <w:p w14:paraId="21EC20BD">
      <w:pPr>
        <w:shd w:val="clear" w:color="auto" w:fill="FFFFFF"/>
        <w:topLinePunct/>
        <w:autoSpaceDE/>
        <w:autoSpaceDN/>
        <w:adjustRightInd/>
        <w:jc w:val="both"/>
        <w:rPr>
          <w:rFonts w:eastAsia="宋体"/>
          <w:color w:val="000000"/>
          <w:sz w:val="24"/>
          <w:szCs w:val="24"/>
          <w:u w:val="single"/>
        </w:rPr>
      </w:pPr>
    </w:p>
    <w:p w14:paraId="69F375BA">
      <w:pPr>
        <w:shd w:val="clear" w:color="auto" w:fill="FFFFFF"/>
        <w:topLinePunct/>
        <w:autoSpaceDE/>
        <w:autoSpaceDN/>
        <w:adjustRightInd/>
        <w:jc w:val="both"/>
        <w:rPr>
          <w:rFonts w:eastAsia="宋体"/>
          <w:sz w:val="24"/>
          <w:szCs w:val="24"/>
        </w:rPr>
      </w:pPr>
      <w:r>
        <w:rPr>
          <w:rFonts w:eastAsia="宋体"/>
          <w:color w:val="000000"/>
          <w:sz w:val="24"/>
          <w:szCs w:val="24"/>
          <w:u w:val="single"/>
        </w:rPr>
        <w:t>建议</w:t>
      </w:r>
      <w:r>
        <w:rPr>
          <w:rFonts w:eastAsia="宋体"/>
          <w:color w:val="000000"/>
          <w:sz w:val="24"/>
          <w:szCs w:val="24"/>
        </w:rPr>
        <w:t>：FDA建议测量并报告您的SDS的最大截面尺寸，其定义为通过SDS的横截面周长上两点之间的最大距离。应报告SDS在安装或预装支架近端末端和SDS远端尖端之间部分的最大截面尺寸。测试应解决圆周方向上可能存在的最大截面尺寸潜在差异（即横截面形状可能不是圆形）。为解决这一问题，本机构建议评价输送系统沿不同纵向路径的最大截面尺寸（例如，将试样旋转90°度进行测量）。</w:t>
      </w:r>
    </w:p>
    <w:p w14:paraId="47FC0D8A">
      <w:pPr>
        <w:shd w:val="clear" w:color="auto" w:fill="FFFFFF"/>
        <w:tabs>
          <w:tab w:val="left" w:pos="2835"/>
        </w:tabs>
        <w:topLinePunct/>
        <w:autoSpaceDE/>
        <w:autoSpaceDN/>
        <w:adjustRightInd/>
        <w:ind w:left="2832" w:leftChars="1134" w:hanging="564" w:hangingChars="234"/>
        <w:jc w:val="both"/>
        <w:rPr>
          <w:rFonts w:eastAsia="宋体"/>
          <w:b/>
          <w:color w:val="000000"/>
          <w:sz w:val="24"/>
          <w:szCs w:val="24"/>
        </w:rPr>
      </w:pPr>
    </w:p>
    <w:p w14:paraId="3BF8432D">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g.</w:t>
      </w:r>
      <w:r>
        <w:rPr>
          <w:rFonts w:eastAsia="宋体"/>
          <w:b/>
          <w:color w:val="000000"/>
          <w:sz w:val="24"/>
          <w:szCs w:val="24"/>
        </w:rPr>
        <w:tab/>
      </w:r>
      <w:r>
        <w:rPr>
          <w:rFonts w:eastAsia="宋体"/>
          <w:b/>
          <w:color w:val="000000"/>
          <w:sz w:val="24"/>
          <w:szCs w:val="24"/>
        </w:rPr>
        <w:t>球囊充盈和放气时间（仅球囊扩张式支架）</w:t>
      </w:r>
    </w:p>
    <w:p w14:paraId="2BA03D4D">
      <w:pPr>
        <w:shd w:val="clear" w:color="auto" w:fill="FFFFFF"/>
        <w:topLinePunct/>
        <w:autoSpaceDE/>
        <w:autoSpaceDN/>
        <w:adjustRightInd/>
        <w:jc w:val="both"/>
        <w:rPr>
          <w:rFonts w:eastAsia="宋体"/>
          <w:color w:val="000000"/>
          <w:sz w:val="24"/>
          <w:szCs w:val="24"/>
          <w:u w:val="single"/>
        </w:rPr>
      </w:pPr>
    </w:p>
    <w:p w14:paraId="3E35F0B0">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：球囊在充盈时堵塞靶腔并阻塞胆汁流动。充盈和放气时间影响阻塞时间。长期充盈球囊可能导致不良临床后果。</w:t>
      </w:r>
    </w:p>
    <w:p w14:paraId="3D5C8877">
      <w:pPr>
        <w:shd w:val="clear" w:color="auto" w:fill="FFFFFF"/>
        <w:topLinePunct/>
        <w:autoSpaceDE/>
        <w:autoSpaceDN/>
        <w:adjustRightInd/>
        <w:jc w:val="both"/>
        <w:rPr>
          <w:rFonts w:eastAsia="宋体"/>
          <w:color w:val="000000"/>
          <w:sz w:val="24"/>
          <w:szCs w:val="24"/>
          <w:u w:val="single"/>
        </w:rPr>
      </w:pPr>
    </w:p>
    <w:p w14:paraId="365F5386">
      <w:pPr>
        <w:shd w:val="clear" w:color="auto" w:fill="FFFFFF"/>
        <w:topLinePunct/>
        <w:autoSpaceDE/>
        <w:autoSpaceDN/>
        <w:adjustRightInd/>
        <w:jc w:val="both"/>
        <w:rPr>
          <w:rFonts w:eastAsia="宋体"/>
          <w:sz w:val="24"/>
          <w:szCs w:val="24"/>
        </w:rPr>
      </w:pPr>
      <w:r>
        <w:rPr>
          <w:rFonts w:eastAsia="宋体"/>
          <w:color w:val="000000"/>
          <w:sz w:val="24"/>
          <w:szCs w:val="24"/>
          <w:u w:val="single"/>
        </w:rPr>
        <w:t>建议</w:t>
      </w:r>
      <w:r>
        <w:rPr>
          <w:rFonts w:eastAsia="宋体"/>
          <w:color w:val="000000"/>
          <w:sz w:val="24"/>
          <w:szCs w:val="24"/>
        </w:rPr>
        <w:t>：FDA建议指定球囊的充盈和放气时间，并证明球囊在这些时间内充盈和放气。本机构建议描述展开支架后所观察到的球囊放气或SDS取出的任何困难。</w:t>
      </w:r>
    </w:p>
    <w:p w14:paraId="02140F61">
      <w:pPr>
        <w:widowControl/>
        <w:autoSpaceDE/>
        <w:autoSpaceDN/>
        <w:adjustRightInd/>
        <w:rPr>
          <w:rFonts w:eastAsia="宋体"/>
          <w:b/>
          <w:color w:val="000000"/>
          <w:sz w:val="24"/>
          <w:szCs w:val="24"/>
        </w:rPr>
      </w:pPr>
      <w:r>
        <w:rPr>
          <w:rFonts w:eastAsia="宋体"/>
          <w:b/>
          <w:color w:val="000000"/>
          <w:sz w:val="24"/>
          <w:szCs w:val="24"/>
        </w:rPr>
        <w:br w:type="page"/>
      </w:r>
    </w:p>
    <w:p w14:paraId="569EAB98">
      <w:pPr>
        <w:shd w:val="clear" w:color="auto" w:fill="FFFFFF"/>
        <w:tabs>
          <w:tab w:val="left" w:pos="2835"/>
        </w:tabs>
        <w:topLinePunct/>
        <w:autoSpaceDE/>
        <w:autoSpaceDN/>
        <w:adjustRightInd/>
        <w:ind w:left="2832" w:leftChars="1134" w:hanging="564" w:hangingChars="234"/>
        <w:jc w:val="both"/>
        <w:rPr>
          <w:rFonts w:eastAsia="宋体"/>
          <w:sz w:val="24"/>
          <w:szCs w:val="24"/>
        </w:rPr>
      </w:pPr>
      <w:r>
        <w:rPr>
          <w:rFonts w:eastAsia="宋体"/>
          <w:b/>
          <w:color w:val="000000"/>
          <w:sz w:val="24"/>
          <w:szCs w:val="24"/>
        </w:rPr>
        <w:t>h.</w:t>
      </w:r>
      <w:r>
        <w:rPr>
          <w:rFonts w:eastAsia="宋体"/>
          <w:b/>
          <w:color w:val="000000"/>
          <w:sz w:val="24"/>
          <w:szCs w:val="24"/>
        </w:rPr>
        <w:tab/>
      </w:r>
      <w:r>
        <w:rPr>
          <w:rFonts w:eastAsia="宋体"/>
          <w:b/>
          <w:color w:val="000000"/>
          <w:sz w:val="24"/>
          <w:szCs w:val="24"/>
        </w:rPr>
        <w:t>无鞘管支架的支架稳定性</w:t>
      </w:r>
    </w:p>
    <w:p w14:paraId="771A2941">
      <w:pPr>
        <w:shd w:val="clear" w:color="auto" w:fill="FFFFFF"/>
        <w:topLinePunct/>
        <w:autoSpaceDE/>
        <w:autoSpaceDN/>
        <w:adjustRightInd/>
        <w:jc w:val="both"/>
        <w:rPr>
          <w:rFonts w:eastAsia="宋体"/>
          <w:color w:val="000000"/>
          <w:sz w:val="24"/>
          <w:szCs w:val="24"/>
          <w:u w:val="single"/>
        </w:rPr>
      </w:pPr>
    </w:p>
    <w:p w14:paraId="2029B845">
      <w:pPr>
        <w:shd w:val="clear" w:color="auto" w:fill="FFFFFF"/>
        <w:topLinePunct/>
        <w:autoSpaceDE/>
        <w:autoSpaceDN/>
        <w:adjustRightInd/>
        <w:jc w:val="both"/>
        <w:rPr>
          <w:rFonts w:eastAsia="宋体"/>
          <w:sz w:val="24"/>
          <w:szCs w:val="24"/>
        </w:rPr>
      </w:pPr>
      <w:r>
        <w:rPr>
          <w:rFonts w:eastAsia="宋体"/>
          <w:color w:val="000000"/>
          <w:sz w:val="24"/>
          <w:szCs w:val="24"/>
          <w:u w:val="single"/>
        </w:rPr>
        <w:t>意义</w:t>
      </w:r>
      <w:r>
        <w:rPr>
          <w:rFonts w:eastAsia="宋体"/>
          <w:color w:val="000000"/>
          <w:sz w:val="24"/>
          <w:szCs w:val="24"/>
        </w:rPr>
        <w:t>：支架在展开前的移位可能导致靶管腔穿孔或其他创伤。如果无鞘管支架卡在迂曲解剖结构、导引导管或其他器械上，则可能会移位。</w:t>
      </w:r>
    </w:p>
    <w:p w14:paraId="41ADA8BC">
      <w:pPr>
        <w:shd w:val="clear" w:color="auto" w:fill="FFFFFF"/>
        <w:topLinePunct/>
        <w:autoSpaceDE/>
        <w:autoSpaceDN/>
        <w:adjustRightInd/>
        <w:jc w:val="both"/>
        <w:rPr>
          <w:rFonts w:eastAsia="宋体"/>
          <w:color w:val="000000"/>
          <w:sz w:val="24"/>
          <w:szCs w:val="24"/>
          <w:u w:val="single"/>
        </w:rPr>
      </w:pPr>
    </w:p>
    <w:p w14:paraId="7B8EF592">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FDA建议在临床相关条件下，评价将支架从SDS中移出的作用力。本机构建议，该测试应包含通过迂曲路径插入，该路径模拟了常见的胆道支架区域的解剖结构，包括狭窄部位。本机构建议迂曲路径的尺寸应符合正在测试的支架尺寸。本机构建议提交迂曲路径（包括其尺寸）的照片、图表或描述。本机构建议所测试的支架尺寸应代表设计的最坏情况下的支架稳定性。本机构建议说明您的结果适用于所有尺寸的支架的原因，包括那些没有经过支架稳定性测试的支架。</w:t>
      </w:r>
    </w:p>
    <w:p w14:paraId="3E2F1388">
      <w:pPr>
        <w:shd w:val="clear" w:color="auto" w:fill="FFFFFF"/>
        <w:topLinePunct/>
        <w:autoSpaceDE/>
        <w:autoSpaceDN/>
        <w:adjustRightInd/>
        <w:jc w:val="both"/>
        <w:rPr>
          <w:rFonts w:eastAsia="宋体"/>
          <w:sz w:val="24"/>
          <w:szCs w:val="24"/>
        </w:rPr>
      </w:pPr>
    </w:p>
    <w:p w14:paraId="366FDF5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FDA建议描述下述移位模式：</w:t>
      </w:r>
    </w:p>
    <w:p w14:paraId="2F0D1D14">
      <w:pPr>
        <w:shd w:val="clear" w:color="auto" w:fill="FFFFFF"/>
        <w:topLinePunct/>
        <w:autoSpaceDE/>
        <w:autoSpaceDN/>
        <w:adjustRightInd/>
        <w:jc w:val="both"/>
        <w:rPr>
          <w:rFonts w:eastAsia="宋体"/>
          <w:sz w:val="24"/>
          <w:szCs w:val="24"/>
        </w:rPr>
      </w:pPr>
    </w:p>
    <w:p w14:paraId="7CD71B3C">
      <w:pPr>
        <w:shd w:val="clear" w:color="auto" w:fill="FFFFFF"/>
        <w:topLinePunct/>
        <w:autoSpaceDE/>
        <w:autoSpaceDN/>
        <w:adjustRightInd/>
        <w:jc w:val="both"/>
        <w:rPr>
          <w:rFonts w:eastAsia="宋体"/>
          <w:sz w:val="24"/>
          <w:szCs w:val="24"/>
        </w:rPr>
      </w:pPr>
      <w:r>
        <w:rPr>
          <w:rFonts w:eastAsia="宋体"/>
          <w:b/>
          <w:color w:val="000000"/>
          <w:sz w:val="24"/>
          <w:szCs w:val="24"/>
          <w:u w:val="single"/>
        </w:rPr>
        <w:t>前向运动导致的移位</w:t>
      </w:r>
    </w:p>
    <w:p w14:paraId="2521457C">
      <w:pPr>
        <w:shd w:val="clear" w:color="auto" w:fill="FFFFFF"/>
        <w:topLinePunct/>
        <w:autoSpaceDE/>
        <w:autoSpaceDN/>
        <w:adjustRightInd/>
        <w:jc w:val="both"/>
        <w:rPr>
          <w:rFonts w:eastAsia="宋体"/>
          <w:color w:val="000000"/>
          <w:sz w:val="24"/>
          <w:szCs w:val="24"/>
        </w:rPr>
      </w:pPr>
    </w:p>
    <w:p w14:paraId="633CD3D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推进支架输送系统穿过致密性肿瘤可能导致支架移位。本机构建议将支架穿过迂曲路径中的模拟致密性肿瘤来测试支架。</w:t>
      </w:r>
    </w:p>
    <w:p w14:paraId="087368E3">
      <w:pPr>
        <w:shd w:val="clear" w:color="auto" w:fill="FFFFFF"/>
        <w:topLinePunct/>
        <w:autoSpaceDE/>
        <w:autoSpaceDN/>
        <w:adjustRightInd/>
        <w:jc w:val="both"/>
        <w:rPr>
          <w:rFonts w:eastAsia="宋体"/>
          <w:sz w:val="24"/>
          <w:szCs w:val="24"/>
        </w:rPr>
      </w:pPr>
    </w:p>
    <w:p w14:paraId="2F96DF0E">
      <w:pPr>
        <w:shd w:val="clear" w:color="auto" w:fill="FFFFFF"/>
        <w:topLinePunct/>
        <w:autoSpaceDE/>
        <w:autoSpaceDN/>
        <w:adjustRightInd/>
        <w:jc w:val="both"/>
        <w:rPr>
          <w:rFonts w:eastAsia="宋体"/>
          <w:sz w:val="24"/>
          <w:szCs w:val="24"/>
        </w:rPr>
      </w:pPr>
      <w:r>
        <w:rPr>
          <w:rFonts w:eastAsia="宋体"/>
          <w:b/>
          <w:color w:val="000000"/>
          <w:sz w:val="24"/>
          <w:szCs w:val="24"/>
          <w:u w:val="single"/>
        </w:rPr>
        <w:t>反向运动导致的移位</w:t>
      </w:r>
    </w:p>
    <w:p w14:paraId="4E8B80D7">
      <w:pPr>
        <w:shd w:val="clear" w:color="auto" w:fill="FFFFFF"/>
        <w:topLinePunct/>
        <w:autoSpaceDE/>
        <w:autoSpaceDN/>
        <w:adjustRightInd/>
        <w:jc w:val="both"/>
        <w:rPr>
          <w:rFonts w:eastAsia="宋体"/>
          <w:color w:val="000000"/>
          <w:sz w:val="24"/>
          <w:szCs w:val="24"/>
        </w:rPr>
      </w:pPr>
    </w:p>
    <w:p w14:paraId="49F7E5A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通过另一件器械（如内窥镜或导引导管）撤出SDS可能导致支架移位。本机构建议，尝试将未展开的支架撤回到导引导管或使用说明书中推荐的其他开口（最小尺寸）来测试支架。</w:t>
      </w:r>
    </w:p>
    <w:p w14:paraId="58DA90AB">
      <w:pPr>
        <w:shd w:val="clear" w:color="auto" w:fill="FFFFFF"/>
        <w:topLinePunct/>
        <w:autoSpaceDE/>
        <w:autoSpaceDN/>
        <w:adjustRightInd/>
        <w:jc w:val="both"/>
        <w:rPr>
          <w:rFonts w:eastAsia="宋体"/>
          <w:sz w:val="24"/>
          <w:szCs w:val="24"/>
        </w:rPr>
      </w:pPr>
    </w:p>
    <w:p w14:paraId="463292D5">
      <w:pPr>
        <w:pStyle w:val="3"/>
      </w:pPr>
      <w:bookmarkStart w:id="31" w:name="_Toc97386695"/>
      <w:bookmarkStart w:id="32" w:name="_Toc97386393"/>
      <w:r>
        <w:t>H.</w:t>
      </w:r>
      <w:r>
        <w:tab/>
      </w:r>
      <w:r>
        <w:t>临床性能测试</w:t>
      </w:r>
      <w:bookmarkEnd w:id="31"/>
      <w:bookmarkEnd w:id="32"/>
    </w:p>
    <w:p w14:paraId="789458A2">
      <w:pPr>
        <w:shd w:val="clear" w:color="auto" w:fill="FFFFFF"/>
        <w:topLinePunct/>
        <w:autoSpaceDE/>
        <w:autoSpaceDN/>
        <w:adjustRightInd/>
        <w:jc w:val="both"/>
        <w:rPr>
          <w:rFonts w:eastAsia="宋体"/>
          <w:color w:val="000000"/>
          <w:sz w:val="24"/>
          <w:szCs w:val="24"/>
          <w:u w:val="single"/>
        </w:rPr>
      </w:pPr>
    </w:p>
    <w:p w14:paraId="1D37DAAF">
      <w:pPr>
        <w:shd w:val="clear" w:color="auto" w:fill="FFFFFF"/>
        <w:topLinePunct/>
        <w:autoSpaceDE/>
        <w:autoSpaceDN/>
        <w:adjustRightInd/>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：在某些情况下，临床前评价不能充分描述所有临床经验、结果和风险。在这种情况下，本机构建议开展体内（即临床）研究，以评价新型和改良胆道支架和SDS的器械安全性和有效性。</w:t>
      </w:r>
    </w:p>
    <w:p w14:paraId="6E192640">
      <w:pPr>
        <w:shd w:val="clear" w:color="auto" w:fill="FFFFFF"/>
        <w:topLinePunct/>
        <w:autoSpaceDE/>
        <w:autoSpaceDN/>
        <w:adjustRightInd/>
        <w:jc w:val="both"/>
        <w:rPr>
          <w:rFonts w:eastAsia="宋体"/>
          <w:sz w:val="24"/>
          <w:szCs w:val="24"/>
        </w:rPr>
      </w:pPr>
    </w:p>
    <w:p w14:paraId="02CD353C">
      <w:pPr>
        <w:shd w:val="clear" w:color="auto" w:fill="FFFFFF"/>
        <w:topLinePunct/>
        <w:autoSpaceDE/>
        <w:autoSpaceDN/>
        <w:adjustRightInd/>
        <w:jc w:val="both"/>
        <w:rPr>
          <w:rFonts w:eastAsia="宋体"/>
          <w:sz w:val="24"/>
          <w:szCs w:val="24"/>
        </w:rPr>
      </w:pPr>
      <w:r>
        <w:rPr>
          <w:rFonts w:eastAsia="宋体"/>
          <w:color w:val="000000"/>
          <w:sz w:val="24"/>
          <w:szCs w:val="24"/>
          <w:u w:val="single"/>
        </w:rPr>
        <w:t>建议</w:t>
      </w:r>
      <w:r>
        <w:rPr>
          <w:rFonts w:eastAsia="宋体"/>
          <w:color w:val="000000"/>
          <w:sz w:val="24"/>
          <w:szCs w:val="24"/>
        </w:rPr>
        <w:t>：胆道支架通常不需要临床证据；但是，在下列情况下可能需要进行该测试：</w:t>
      </w:r>
    </w:p>
    <w:p w14:paraId="157FE11E">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聚合物覆盖的设计；</w:t>
      </w:r>
    </w:p>
    <w:p w14:paraId="65EBF6B8">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适用范围与已合法上市的同类器械不同，不会构成新的预期用途；</w:t>
      </w:r>
    </w:p>
    <w:p w14:paraId="2864D1E1">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设计或尺寸与先前根据上市前通知批准的设计不同；</w:t>
      </w:r>
    </w:p>
    <w:p w14:paraId="3ED460D5">
      <w:pPr>
        <w:widowControl/>
        <w:autoSpaceDE/>
        <w:autoSpaceDN/>
        <w:adjustRightInd/>
        <w:rPr>
          <w:rFonts w:eastAsia="宋体"/>
          <w:color w:val="000000"/>
          <w:sz w:val="24"/>
          <w:szCs w:val="24"/>
        </w:rPr>
      </w:pPr>
      <w:r>
        <w:rPr>
          <w:rFonts w:eastAsia="宋体"/>
          <w:color w:val="000000"/>
          <w:sz w:val="24"/>
          <w:szCs w:val="24"/>
        </w:rPr>
        <w:br w:type="page"/>
      </w:r>
    </w:p>
    <w:p w14:paraId="749398C7">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与合法上市的同类型器械中使用的技术不同，但不会引起不同的安全性或有效性问题；以及</w:t>
      </w:r>
    </w:p>
    <w:p w14:paraId="5D58FC7B">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可拆卸的支架。</w:t>
      </w:r>
    </w:p>
    <w:p w14:paraId="55DD5890">
      <w:pPr>
        <w:shd w:val="clear" w:color="auto" w:fill="FFFFFF"/>
        <w:topLinePunct/>
        <w:autoSpaceDE/>
        <w:autoSpaceDN/>
        <w:adjustRightInd/>
        <w:jc w:val="both"/>
        <w:rPr>
          <w:rFonts w:eastAsia="宋体"/>
          <w:color w:val="000000"/>
          <w:sz w:val="24"/>
          <w:szCs w:val="24"/>
        </w:rPr>
      </w:pPr>
    </w:p>
    <w:p w14:paraId="39DAF3FE">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当提议的替代方案有足够的科学理论支持时，本机构会考虑临床研究的替代方案。如果需要临床研究来证实实质等同性（即在获得器械510(k)许可前进行），必须按照21 CFR 812试验用器械豁免（IDE）法规进行研究。一般而言，FDA认为本指导性文件所述的胆道支架均是符合21 CFR 812所有要求的重大风险器械。</w:t>
      </w:r>
      <w:r>
        <w:rPr>
          <w:rFonts w:eastAsia="宋体"/>
          <w:sz w:val="24"/>
          <w:szCs w:val="24"/>
        </w:rPr>
        <w:t>参见FDA指南，标题为《</w:t>
      </w:r>
      <w:r>
        <w:rPr>
          <w:rFonts w:eastAsia="宋体"/>
          <w:color w:val="3333FF"/>
          <w:sz w:val="24"/>
          <w:szCs w:val="24"/>
          <w:u w:val="single"/>
        </w:rPr>
        <w:t>重大风险和非重大风险医疗器械研究</w:t>
      </w:r>
      <w:r>
        <w:rPr>
          <w:rFonts w:eastAsia="宋体"/>
          <w:sz w:val="24"/>
          <w:szCs w:val="24"/>
        </w:rPr>
        <w:t>》。</w:t>
      </w:r>
      <w:r>
        <w:rPr>
          <w:rStyle w:val="20"/>
          <w:rFonts w:eastAsia="宋体"/>
          <w:sz w:val="24"/>
          <w:szCs w:val="24"/>
        </w:rPr>
        <w:footnoteReference w:id="9"/>
      </w:r>
      <w:r>
        <w:rPr>
          <w:rFonts w:eastAsia="宋体"/>
          <w:color w:val="000000"/>
          <w:sz w:val="24"/>
          <w:szCs w:val="24"/>
        </w:rPr>
        <w:t>除了21 CFR 812的要求，在美国（US）进行的该等器械试验的申办方必须遵守管理机构审查委员会（21 CFR 56）的规则和知情同意（21 CFR 50）的法规。</w:t>
      </w:r>
    </w:p>
    <w:p w14:paraId="279B7B22">
      <w:pPr>
        <w:shd w:val="clear" w:color="auto" w:fill="FFFFFF"/>
        <w:topLinePunct/>
        <w:autoSpaceDE/>
        <w:autoSpaceDN/>
        <w:adjustRightInd/>
        <w:ind w:firstLine="480" w:firstLineChars="200"/>
        <w:jc w:val="both"/>
        <w:rPr>
          <w:rFonts w:eastAsia="宋体"/>
          <w:sz w:val="24"/>
          <w:szCs w:val="24"/>
        </w:rPr>
      </w:pPr>
    </w:p>
    <w:p w14:paraId="1FCF3409">
      <w:pPr>
        <w:shd w:val="clear" w:color="auto" w:fill="FFFFFF"/>
        <w:topLinePunct/>
        <w:autoSpaceDE/>
        <w:autoSpaceDN/>
        <w:adjustRightInd/>
        <w:ind w:firstLine="480" w:firstLineChars="200"/>
        <w:jc w:val="both"/>
        <w:rPr>
          <w:rFonts w:eastAsia="宋体"/>
          <w:color w:val="000000"/>
          <w:sz w:val="24"/>
          <w:szCs w:val="24"/>
          <w:vertAlign w:val="superscript"/>
        </w:rPr>
      </w:pPr>
      <w:r>
        <w:rPr>
          <w:rFonts w:eastAsia="宋体"/>
          <w:color w:val="000000"/>
          <w:sz w:val="24"/>
          <w:szCs w:val="24"/>
        </w:rPr>
        <w:t>将在美国境外开展这些器械临床研究所得的数据提交给FDA时，21 CFR 812.28的要求可能适用。</w:t>
      </w:r>
      <w:r>
        <w:rPr>
          <w:rStyle w:val="20"/>
          <w:rFonts w:eastAsia="宋体"/>
          <w:color w:val="000000"/>
          <w:sz w:val="24"/>
          <w:szCs w:val="24"/>
        </w:rPr>
        <w:footnoteReference w:id="10"/>
      </w:r>
      <w:r>
        <w:rPr>
          <w:rFonts w:eastAsia="宋体"/>
          <w:color w:val="000000"/>
          <w:sz w:val="24"/>
          <w:szCs w:val="24"/>
          <w:vertAlign w:val="superscript"/>
        </w:rPr>
        <w:t xml:space="preserve"> </w:t>
      </w:r>
      <w:r>
        <w:rPr>
          <w:rFonts w:eastAsia="宋体"/>
          <w:color w:val="000000"/>
          <w:sz w:val="24"/>
          <w:szCs w:val="24"/>
        </w:rPr>
        <w:t>21 CFR 812.28概述了在提交临床数据以支持上市前申请时，FDA接受在美国境外开展研究所得临床数据的条件。</w:t>
      </w:r>
      <w:r>
        <w:rPr>
          <w:rFonts w:eastAsia="宋体"/>
          <w:sz w:val="24"/>
          <w:szCs w:val="24"/>
        </w:rPr>
        <w:t>更多信息，参见FDA指南《</w:t>
      </w:r>
      <w:r>
        <w:rPr>
          <w:rFonts w:eastAsia="宋体"/>
          <w:color w:val="3333FF"/>
          <w:sz w:val="24"/>
          <w:szCs w:val="24"/>
          <w:u w:val="single"/>
        </w:rPr>
        <w:t>接受临床数据以支持医疗器械申请和提交：常见问题</w:t>
      </w:r>
      <w:r>
        <w:rPr>
          <w:rFonts w:eastAsia="宋体"/>
          <w:sz w:val="24"/>
          <w:szCs w:val="24"/>
        </w:rPr>
        <w:t>》。</w:t>
      </w:r>
      <w:r>
        <w:rPr>
          <w:rStyle w:val="20"/>
          <w:rFonts w:eastAsia="宋体"/>
          <w:sz w:val="24"/>
          <w:szCs w:val="24"/>
        </w:rPr>
        <w:footnoteReference w:id="11"/>
      </w:r>
    </w:p>
    <w:p w14:paraId="12CF93A2">
      <w:pPr>
        <w:shd w:val="clear" w:color="auto" w:fill="FFFFFF"/>
        <w:topLinePunct/>
        <w:autoSpaceDE/>
        <w:autoSpaceDN/>
        <w:adjustRightInd/>
        <w:jc w:val="both"/>
        <w:rPr>
          <w:rFonts w:eastAsia="宋体"/>
          <w:sz w:val="24"/>
          <w:szCs w:val="24"/>
        </w:rPr>
      </w:pPr>
    </w:p>
    <w:p w14:paraId="6B0C1229">
      <w:pPr>
        <w:pStyle w:val="3"/>
        <w:numPr>
          <w:ilvl w:val="0"/>
          <w:numId w:val="2"/>
        </w:numPr>
        <w:ind w:leftChars="0" w:firstLineChars="0"/>
      </w:pPr>
      <w:bookmarkStart w:id="33" w:name="_Toc97386394"/>
      <w:bookmarkStart w:id="34" w:name="_Toc97386696"/>
      <w:r>
        <w:t>标识</w:t>
      </w:r>
      <w:bookmarkEnd w:id="33"/>
      <w:bookmarkEnd w:id="34"/>
    </w:p>
    <w:p w14:paraId="405F5DE2">
      <w:pPr>
        <w:shd w:val="clear" w:color="auto" w:fill="FFFFFF"/>
        <w:topLinePunct/>
        <w:autoSpaceDE/>
        <w:autoSpaceDN/>
        <w:adjustRightInd/>
        <w:jc w:val="both"/>
        <w:rPr>
          <w:rFonts w:eastAsia="宋体"/>
          <w:color w:val="000000"/>
          <w:sz w:val="24"/>
          <w:szCs w:val="24"/>
        </w:rPr>
      </w:pPr>
    </w:p>
    <w:p w14:paraId="4921A76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上市前通知必须包括足够详细的标签，以满足21 CFR 807.87(E)的要求。必须提供拟定标签和标识，其对胆道支架和SDS、以及其预期用途和使用说明进行充分描述。</w:t>
      </w:r>
    </w:p>
    <w:p w14:paraId="25A16B23">
      <w:pPr>
        <w:shd w:val="clear" w:color="auto" w:fill="FFFFFF"/>
        <w:topLinePunct/>
        <w:autoSpaceDE/>
        <w:autoSpaceDN/>
        <w:adjustRightInd/>
        <w:ind w:firstLine="480" w:firstLineChars="200"/>
        <w:jc w:val="both"/>
        <w:rPr>
          <w:rFonts w:eastAsia="宋体"/>
          <w:sz w:val="24"/>
          <w:szCs w:val="24"/>
        </w:rPr>
      </w:pPr>
    </w:p>
    <w:p w14:paraId="2B1F111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只要符合21 CFR 801.109中的条件，胆道支架系统作为处方器械可豁免于提供《D&amp;C法案》（21 U.S.C. 352(f)(1)）第502(f)(1)节中要求的充分的非专业使用说明。例如，标签必须包括预期用户使用器械的充分信息，包括适应症、作用、途径、方法、给药频率和持续时间以及任何相关危害、禁忌症、副作用和注意事项（21 CFR 801.109（d））。</w:t>
      </w:r>
    </w:p>
    <w:p w14:paraId="3C97F4DB">
      <w:pPr>
        <w:shd w:val="clear" w:color="auto" w:fill="FFFFFF"/>
        <w:topLinePunct/>
        <w:autoSpaceDE/>
        <w:autoSpaceDN/>
        <w:adjustRightInd/>
        <w:ind w:firstLine="480" w:firstLineChars="200"/>
        <w:jc w:val="both"/>
        <w:rPr>
          <w:rFonts w:eastAsia="宋体"/>
          <w:sz w:val="24"/>
          <w:szCs w:val="24"/>
        </w:rPr>
      </w:pPr>
    </w:p>
    <w:p w14:paraId="61DEE1C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胆道支架系统的标签应包括以下信息。</w:t>
      </w:r>
    </w:p>
    <w:p w14:paraId="0D0521DB">
      <w:pPr>
        <w:shd w:val="clear" w:color="auto" w:fill="FFFFFF"/>
        <w:topLinePunct/>
        <w:autoSpaceDE/>
        <w:autoSpaceDN/>
        <w:adjustRightInd/>
        <w:jc w:val="both"/>
        <w:rPr>
          <w:rFonts w:eastAsia="宋体"/>
          <w:b/>
          <w:bCs/>
          <w:sz w:val="24"/>
          <w:szCs w:val="24"/>
        </w:rPr>
      </w:pPr>
      <w:r>
        <w:rPr>
          <w:rFonts w:eastAsia="宋体"/>
          <w:sz w:val="24"/>
          <w:szCs w:val="24"/>
        </w:rPr>
        <w:br w:type="page"/>
      </w:r>
    </w:p>
    <w:p w14:paraId="18F08E40">
      <w:pPr>
        <w:pStyle w:val="4"/>
        <w:tabs>
          <w:tab w:val="left" w:pos="2268"/>
        </w:tabs>
        <w:spacing w:before="0" w:after="0" w:line="240" w:lineRule="auto"/>
        <w:ind w:left="1610" w:leftChars="805"/>
        <w:rPr>
          <w:sz w:val="28"/>
          <w:szCs w:val="28"/>
        </w:rPr>
      </w:pPr>
      <w:bookmarkStart w:id="35" w:name="_Toc97386395"/>
      <w:bookmarkStart w:id="36" w:name="_Toc97386697"/>
      <w:r>
        <w:rPr>
          <w:rFonts w:hint="eastAsia"/>
          <w:sz w:val="28"/>
          <w:szCs w:val="28"/>
        </w:rPr>
        <w:t>(</w:t>
      </w:r>
      <w:r>
        <w:rPr>
          <w:sz w:val="28"/>
          <w:szCs w:val="28"/>
        </w:rPr>
        <w:t>1</w:t>
      </w:r>
      <w:r>
        <w:rPr>
          <w:rFonts w:hint="eastAsia"/>
          <w:sz w:val="28"/>
          <w:szCs w:val="28"/>
        </w:rPr>
        <w:t>)</w:t>
      </w:r>
      <w:r>
        <w:rPr>
          <w:sz w:val="28"/>
          <w:szCs w:val="28"/>
        </w:rPr>
        <w:tab/>
      </w:r>
      <w:r>
        <w:rPr>
          <w:sz w:val="28"/>
          <w:szCs w:val="28"/>
        </w:rPr>
        <w:t>通用名和商品名显示</w:t>
      </w:r>
      <w:bookmarkEnd w:id="35"/>
      <w:bookmarkEnd w:id="36"/>
    </w:p>
    <w:p w14:paraId="511931DC">
      <w:pPr>
        <w:shd w:val="clear" w:color="auto" w:fill="FFFFFF"/>
        <w:topLinePunct/>
        <w:autoSpaceDE/>
        <w:autoSpaceDN/>
        <w:adjustRightInd/>
        <w:jc w:val="both"/>
        <w:rPr>
          <w:rFonts w:eastAsia="宋体"/>
          <w:color w:val="000000"/>
          <w:sz w:val="24"/>
          <w:szCs w:val="24"/>
        </w:rPr>
      </w:pPr>
    </w:p>
    <w:p w14:paraId="5F8DEFDC">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第II节所述，根据《FD&amp;C法案》第513(i)(1)(E)节，FDA对大多数胆道支架实质等同性的判定进行了限制。在这些限制条件下，FDA要求标签中说明提供关于拟定标签中未确定的器械预期用途的相应信息。具体来说，FDA要求在靠近商品名的位置以及标签中出现商品名的任何地方突出显示</w:t>
      </w:r>
      <w:r>
        <w:rPr>
          <w:rFonts w:ascii="宋体" w:hAnsi="宋体" w:eastAsia="宋体"/>
          <w:color w:val="000000"/>
          <w:sz w:val="24"/>
          <w:szCs w:val="24"/>
        </w:rPr>
        <w:t>“</w:t>
      </w:r>
      <w:r>
        <w:rPr>
          <w:rFonts w:eastAsia="宋体"/>
          <w:color w:val="000000"/>
          <w:sz w:val="24"/>
          <w:szCs w:val="24"/>
        </w:rPr>
        <w:t>胆道</w:t>
      </w:r>
      <w:r>
        <w:rPr>
          <w:rFonts w:ascii="宋体" w:hAnsi="宋体" w:eastAsia="宋体"/>
          <w:color w:val="000000"/>
          <w:sz w:val="24"/>
          <w:szCs w:val="24"/>
        </w:rPr>
        <w:t>”</w:t>
      </w:r>
      <w:r>
        <w:rPr>
          <w:rFonts w:eastAsia="宋体"/>
          <w:color w:val="000000"/>
          <w:sz w:val="24"/>
          <w:szCs w:val="24"/>
        </w:rPr>
        <w:t>，例如所有包装的全部层次（例如，包装袋、包装盒、纸箱标签）、使用说明书和其他此类材料。本机构建议，</w:t>
      </w:r>
      <w:r>
        <w:rPr>
          <w:rFonts w:ascii="宋体" w:hAnsi="宋体" w:eastAsia="宋体"/>
          <w:color w:val="000000"/>
          <w:sz w:val="24"/>
          <w:szCs w:val="24"/>
        </w:rPr>
        <w:t>“</w:t>
      </w:r>
      <w:r>
        <w:rPr>
          <w:rFonts w:eastAsia="宋体"/>
          <w:color w:val="000000"/>
          <w:sz w:val="24"/>
          <w:szCs w:val="24"/>
        </w:rPr>
        <w:t>胆道</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胆道支架</w:t>
      </w:r>
      <w:r>
        <w:rPr>
          <w:rFonts w:ascii="宋体" w:hAnsi="宋体" w:eastAsia="宋体"/>
          <w:color w:val="000000"/>
          <w:sz w:val="24"/>
          <w:szCs w:val="24"/>
        </w:rPr>
        <w:t>”</w:t>
      </w:r>
      <w:r>
        <w:rPr>
          <w:rFonts w:eastAsia="宋体"/>
          <w:color w:val="000000"/>
          <w:sz w:val="24"/>
          <w:szCs w:val="24"/>
        </w:rPr>
        <w:t>一词应</w:t>
      </w:r>
      <w:r>
        <w:rPr>
          <w:rFonts w:eastAsia="宋体"/>
          <w:b/>
          <w:sz w:val="24"/>
          <w:szCs w:val="24"/>
        </w:rPr>
        <w:t>至少</w:t>
      </w:r>
      <w:r>
        <w:rPr>
          <w:rFonts w:eastAsia="宋体"/>
          <w:color w:val="000000"/>
          <w:sz w:val="24"/>
          <w:szCs w:val="24"/>
        </w:rPr>
        <w:t>为您的商品名大小的四分之三，并使用与商品名相同的字体格式（例如，均用Times New Roman的粗体字显示）。如果正在申请许可的相同器械也通过单独的上市申请获批用于血管适应症，则该限制可能不适用。</w:t>
      </w:r>
    </w:p>
    <w:p w14:paraId="4E9AAD85">
      <w:pPr>
        <w:shd w:val="clear" w:color="auto" w:fill="FFFFFF"/>
        <w:topLinePunct/>
        <w:autoSpaceDE/>
        <w:autoSpaceDN/>
        <w:adjustRightInd/>
        <w:jc w:val="both"/>
        <w:rPr>
          <w:rFonts w:eastAsia="宋体"/>
          <w:sz w:val="24"/>
          <w:szCs w:val="24"/>
        </w:rPr>
      </w:pPr>
    </w:p>
    <w:p w14:paraId="6337B71E">
      <w:pPr>
        <w:pStyle w:val="4"/>
        <w:tabs>
          <w:tab w:val="left" w:pos="2268"/>
        </w:tabs>
        <w:spacing w:before="0" w:after="0" w:line="240" w:lineRule="auto"/>
        <w:ind w:left="1610" w:leftChars="805"/>
        <w:rPr>
          <w:sz w:val="28"/>
          <w:szCs w:val="28"/>
        </w:rPr>
      </w:pPr>
      <w:bookmarkStart w:id="37" w:name="_Toc97386698"/>
      <w:bookmarkStart w:id="38" w:name="_Toc97386396"/>
      <w:r>
        <w:rPr>
          <w:rFonts w:hint="eastAsia"/>
          <w:sz w:val="28"/>
          <w:szCs w:val="28"/>
        </w:rPr>
        <w:t>(</w:t>
      </w:r>
      <w:r>
        <w:rPr>
          <w:sz w:val="28"/>
          <w:szCs w:val="28"/>
        </w:rPr>
        <w:t>2</w:t>
      </w:r>
      <w:r>
        <w:rPr>
          <w:rFonts w:hint="eastAsia"/>
          <w:sz w:val="28"/>
          <w:szCs w:val="28"/>
        </w:rPr>
        <w:t>)</w:t>
      </w:r>
      <w:r>
        <w:rPr>
          <w:sz w:val="28"/>
          <w:szCs w:val="28"/>
        </w:rPr>
        <w:tab/>
      </w:r>
      <w:r>
        <w:rPr>
          <w:sz w:val="28"/>
          <w:szCs w:val="28"/>
        </w:rPr>
        <w:t>器械描述</w:t>
      </w:r>
      <w:bookmarkEnd w:id="37"/>
      <w:bookmarkEnd w:id="38"/>
    </w:p>
    <w:p w14:paraId="1EFFB709">
      <w:pPr>
        <w:shd w:val="clear" w:color="auto" w:fill="FFFFFF"/>
        <w:topLinePunct/>
        <w:autoSpaceDE/>
        <w:autoSpaceDN/>
        <w:adjustRightInd/>
        <w:jc w:val="both"/>
        <w:rPr>
          <w:rFonts w:eastAsia="宋体"/>
          <w:color w:val="000000"/>
          <w:sz w:val="24"/>
          <w:szCs w:val="24"/>
        </w:rPr>
      </w:pPr>
    </w:p>
    <w:p w14:paraId="6B78DED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本机构建议的器械描述包含以下信息：</w:t>
      </w:r>
    </w:p>
    <w:p w14:paraId="531DA770">
      <w:pPr>
        <w:shd w:val="clear" w:color="auto" w:fill="FFFFFF"/>
        <w:topLinePunct/>
        <w:autoSpaceDE/>
        <w:autoSpaceDN/>
        <w:adjustRightInd/>
        <w:jc w:val="both"/>
        <w:rPr>
          <w:rFonts w:eastAsia="宋体"/>
          <w:sz w:val="24"/>
          <w:szCs w:val="24"/>
        </w:rPr>
      </w:pPr>
    </w:p>
    <w:p w14:paraId="17093832">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说明支架、输送系统和所有附件的设计、功能和兼容性的照片和/或图纸；</w:t>
      </w:r>
    </w:p>
    <w:p w14:paraId="57BD8D3C">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说明支架是球囊扩张式还是自膨式；</w:t>
      </w:r>
    </w:p>
    <w:p w14:paraId="1DE0240B">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所有支架材料的清单；</w:t>
      </w:r>
    </w:p>
    <w:p w14:paraId="3AD38D64">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显示所有支架直径和长度的表格（当超过一个型号时）；</w:t>
      </w:r>
    </w:p>
    <w:p w14:paraId="60E41589">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在没有单独标签的情况下，描述与支架系统一起包装的任何辅助或附属器械；</w:t>
      </w:r>
    </w:p>
    <w:p w14:paraId="291B0B4D">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与导引导管尺寸的兼容性；</w:t>
      </w:r>
    </w:p>
    <w:p w14:paraId="0D8D5D58">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球囊额定爆破压力（仅球囊扩张式支架）；以及</w:t>
      </w:r>
    </w:p>
    <w:p w14:paraId="0342C0AE">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SDS最大截面尺寸的规格。</w:t>
      </w:r>
    </w:p>
    <w:p w14:paraId="33AD655B">
      <w:pPr>
        <w:shd w:val="clear" w:color="auto" w:fill="FFFFFF"/>
        <w:topLinePunct/>
        <w:autoSpaceDE/>
        <w:autoSpaceDN/>
        <w:adjustRightInd/>
        <w:ind w:left="904"/>
        <w:jc w:val="both"/>
        <w:rPr>
          <w:rFonts w:eastAsia="宋体"/>
          <w:color w:val="000000"/>
          <w:sz w:val="24"/>
          <w:szCs w:val="24"/>
        </w:rPr>
      </w:pPr>
    </w:p>
    <w:p w14:paraId="32E6802B">
      <w:pPr>
        <w:pStyle w:val="4"/>
        <w:tabs>
          <w:tab w:val="left" w:pos="2268"/>
        </w:tabs>
        <w:spacing w:before="0" w:after="0" w:line="240" w:lineRule="auto"/>
        <w:ind w:left="1610" w:leftChars="805"/>
        <w:rPr>
          <w:sz w:val="28"/>
          <w:szCs w:val="28"/>
        </w:rPr>
      </w:pPr>
      <w:bookmarkStart w:id="39" w:name="_Toc97386397"/>
      <w:bookmarkStart w:id="40" w:name="_Toc97386699"/>
      <w:r>
        <w:rPr>
          <w:rFonts w:hint="eastAsia"/>
          <w:sz w:val="28"/>
          <w:szCs w:val="28"/>
        </w:rPr>
        <w:t>(</w:t>
      </w:r>
      <w:r>
        <w:rPr>
          <w:sz w:val="28"/>
          <w:szCs w:val="28"/>
        </w:rPr>
        <w:t>3</w:t>
      </w:r>
      <w:r>
        <w:rPr>
          <w:rFonts w:hint="eastAsia"/>
          <w:sz w:val="28"/>
          <w:szCs w:val="28"/>
        </w:rPr>
        <w:t>)</w:t>
      </w:r>
      <w:r>
        <w:rPr>
          <w:sz w:val="28"/>
          <w:szCs w:val="28"/>
        </w:rPr>
        <w:tab/>
      </w:r>
      <w:r>
        <w:rPr>
          <w:sz w:val="28"/>
          <w:szCs w:val="28"/>
        </w:rPr>
        <w:t>禁忌症</w:t>
      </w:r>
      <w:bookmarkEnd w:id="39"/>
      <w:bookmarkEnd w:id="40"/>
    </w:p>
    <w:p w14:paraId="1E161C97">
      <w:pPr>
        <w:shd w:val="clear" w:color="auto" w:fill="FFFFFF"/>
        <w:topLinePunct/>
        <w:autoSpaceDE/>
        <w:autoSpaceDN/>
        <w:adjustRightInd/>
        <w:jc w:val="both"/>
        <w:rPr>
          <w:rFonts w:eastAsia="宋体"/>
          <w:color w:val="000000"/>
          <w:sz w:val="24"/>
          <w:szCs w:val="24"/>
        </w:rPr>
      </w:pPr>
    </w:p>
    <w:p w14:paraId="4FCFCADD">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本机构建议标签上应包括使用该器械的禁忌症。禁忌症描述的是不应使用该器械的情况，因为使用的风险明显超过任何可能的受益。</w:t>
      </w:r>
    </w:p>
    <w:p w14:paraId="5153A01A">
      <w:pPr>
        <w:shd w:val="clear" w:color="auto" w:fill="FFFFFF"/>
        <w:topLinePunct/>
        <w:autoSpaceDE/>
        <w:autoSpaceDN/>
        <w:adjustRightInd/>
        <w:jc w:val="both"/>
        <w:rPr>
          <w:rFonts w:eastAsia="宋体"/>
          <w:sz w:val="24"/>
          <w:szCs w:val="24"/>
        </w:rPr>
      </w:pPr>
    </w:p>
    <w:p w14:paraId="71A65793">
      <w:pPr>
        <w:pStyle w:val="4"/>
        <w:tabs>
          <w:tab w:val="left" w:pos="2268"/>
        </w:tabs>
        <w:spacing w:before="0" w:after="0" w:line="240" w:lineRule="auto"/>
        <w:ind w:left="1610" w:leftChars="805"/>
        <w:rPr>
          <w:sz w:val="28"/>
          <w:szCs w:val="28"/>
        </w:rPr>
      </w:pPr>
      <w:bookmarkStart w:id="41" w:name="_Toc97386398"/>
      <w:bookmarkStart w:id="42" w:name="_Toc97386700"/>
      <w:r>
        <w:rPr>
          <w:rFonts w:hint="eastAsia"/>
          <w:sz w:val="28"/>
          <w:szCs w:val="28"/>
        </w:rPr>
        <w:t>(</w:t>
      </w:r>
      <w:r>
        <w:rPr>
          <w:sz w:val="28"/>
          <w:szCs w:val="28"/>
        </w:rPr>
        <w:t>4</w:t>
      </w:r>
      <w:r>
        <w:rPr>
          <w:rFonts w:hint="eastAsia"/>
          <w:sz w:val="28"/>
          <w:szCs w:val="28"/>
        </w:rPr>
        <w:t>)</w:t>
      </w:r>
      <w:r>
        <w:rPr>
          <w:sz w:val="28"/>
          <w:szCs w:val="28"/>
        </w:rPr>
        <w:tab/>
      </w:r>
      <w:r>
        <w:rPr>
          <w:sz w:val="28"/>
          <w:szCs w:val="28"/>
        </w:rPr>
        <w:t>警告</w:t>
      </w:r>
      <w:bookmarkEnd w:id="41"/>
      <w:bookmarkEnd w:id="42"/>
    </w:p>
    <w:p w14:paraId="1031D7B8">
      <w:pPr>
        <w:shd w:val="clear" w:color="auto" w:fill="FFFFFF"/>
        <w:topLinePunct/>
        <w:autoSpaceDE/>
        <w:autoSpaceDN/>
        <w:adjustRightInd/>
        <w:jc w:val="both"/>
        <w:rPr>
          <w:rFonts w:eastAsia="宋体"/>
          <w:color w:val="000000"/>
          <w:sz w:val="24"/>
          <w:szCs w:val="24"/>
        </w:rPr>
      </w:pPr>
    </w:p>
    <w:p w14:paraId="157A93B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有合理的证据表明器械的使用可能存在严重危险，标签上应包括适当的警告。无需证明因果关系。例如，如果您的性能测试没有涉及让您的支架在胆管内重叠，而您计划让支架有可能重叠，本机构建议应纳入以下警告：</w:t>
      </w:r>
      <w:r>
        <w:rPr>
          <w:rFonts w:ascii="宋体" w:hAnsi="宋体" w:eastAsia="宋体"/>
          <w:color w:val="000000"/>
          <w:sz w:val="24"/>
          <w:szCs w:val="24"/>
        </w:rPr>
        <w:t>“</w:t>
      </w:r>
      <w:r>
        <w:rPr>
          <w:rFonts w:eastAsia="宋体"/>
          <w:color w:val="000000"/>
          <w:sz w:val="24"/>
          <w:szCs w:val="24"/>
        </w:rPr>
        <w:t>在胆道系统内重叠的支架器械的安全性和有效性尚待评估。</w:t>
      </w:r>
      <w:r>
        <w:rPr>
          <w:rFonts w:ascii="宋体" w:hAnsi="宋体" w:eastAsia="宋体"/>
          <w:color w:val="000000"/>
          <w:sz w:val="24"/>
          <w:szCs w:val="24"/>
        </w:rPr>
        <w:t>”</w:t>
      </w:r>
    </w:p>
    <w:p w14:paraId="632D7240">
      <w:pPr>
        <w:shd w:val="clear" w:color="auto" w:fill="FFFFFF"/>
        <w:topLinePunct/>
        <w:autoSpaceDE/>
        <w:autoSpaceDN/>
        <w:adjustRightInd/>
        <w:jc w:val="both"/>
        <w:rPr>
          <w:rFonts w:eastAsia="宋体"/>
          <w:sz w:val="24"/>
          <w:szCs w:val="24"/>
        </w:rPr>
      </w:pPr>
    </w:p>
    <w:p w14:paraId="1A80DFB8">
      <w:pPr>
        <w:widowControl/>
        <w:autoSpaceDE/>
        <w:autoSpaceDN/>
        <w:adjustRightInd/>
        <w:rPr>
          <w:rFonts w:eastAsia="宋体"/>
          <w:color w:val="000000"/>
          <w:sz w:val="24"/>
          <w:szCs w:val="24"/>
        </w:rPr>
      </w:pPr>
      <w:r>
        <w:rPr>
          <w:rFonts w:eastAsia="宋体"/>
          <w:color w:val="000000"/>
          <w:sz w:val="24"/>
          <w:szCs w:val="24"/>
        </w:rPr>
        <w:br w:type="page"/>
      </w:r>
    </w:p>
    <w:p w14:paraId="5D135754">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该器械通常用于某种疾病或病症，而该疾病或病症的有效性缺乏有效的科学证据，并且该器械的使用与严重风险或危险有关，则警告也同样适用。如第II节所述，根据《FD&amp;C法案》第513(i)(1)(E)节，FDA对大多数胆道支架实质等同性的判定进行了限制。在这些限制条件下，FDA要求在胆道支架器械标签的警告部分提供以下声明：</w:t>
      </w:r>
    </w:p>
    <w:p w14:paraId="63DA56C6">
      <w:pPr>
        <w:shd w:val="clear" w:color="auto" w:fill="FFFFFF"/>
        <w:topLinePunct/>
        <w:autoSpaceDE/>
        <w:autoSpaceDN/>
        <w:adjustRightInd/>
        <w:jc w:val="both"/>
        <w:rPr>
          <w:rFonts w:eastAsia="宋体"/>
          <w:sz w:val="24"/>
          <w:szCs w:val="24"/>
        </w:rPr>
      </w:pPr>
    </w:p>
    <w:p w14:paraId="4A0A2847">
      <w:pPr>
        <w:shd w:val="clear" w:color="auto" w:fill="FFFFFF"/>
        <w:topLinePunct/>
        <w:autoSpaceDE/>
        <w:autoSpaceDN/>
        <w:adjustRightInd/>
        <w:jc w:val="both"/>
        <w:rPr>
          <w:rFonts w:eastAsia="宋体"/>
          <w:sz w:val="24"/>
          <w:szCs w:val="24"/>
        </w:rPr>
      </w:pPr>
      <w:r>
        <w:rPr>
          <w:rFonts w:eastAsia="宋体"/>
          <w:b/>
          <w:color w:val="000000"/>
          <w:sz w:val="24"/>
          <w:szCs w:val="24"/>
        </w:rPr>
        <w:t>本器械在血管系统中使用的安全性和有效性尚待评估。</w:t>
      </w:r>
    </w:p>
    <w:p w14:paraId="4A3FCC29">
      <w:pPr>
        <w:shd w:val="clear" w:color="auto" w:fill="FFFFFF"/>
        <w:topLinePunct/>
        <w:autoSpaceDE/>
        <w:autoSpaceDN/>
        <w:adjustRightInd/>
        <w:jc w:val="both"/>
        <w:rPr>
          <w:rFonts w:eastAsia="宋体"/>
          <w:color w:val="000000"/>
          <w:sz w:val="24"/>
          <w:szCs w:val="24"/>
        </w:rPr>
      </w:pPr>
    </w:p>
    <w:p w14:paraId="214E80F7">
      <w:r>
        <w:rPr>
          <w:rFonts w:eastAsia="宋体"/>
          <w:color w:val="000000"/>
          <w:sz w:val="24"/>
          <w:szCs w:val="24"/>
        </w:rPr>
        <w:t>如FDA指南</w:t>
      </w:r>
      <w:r>
        <w:rPr>
          <w:rFonts w:eastAsia="宋体"/>
          <w:sz w:val="24"/>
          <w:szCs w:val="24"/>
        </w:rPr>
        <w:t>《</w:t>
      </w:r>
    </w:p>
    <w:p w14:paraId="6AB44882">
      <w:pPr>
        <w:rPr>
          <w:rFonts w:eastAsia="宋体"/>
          <w:color w:val="000000"/>
          <w:sz w:val="24"/>
          <w:szCs w:val="24"/>
        </w:rPr>
      </w:pPr>
      <w:r>
        <w:fldChar w:fldCharType="begin"/>
      </w:r>
      <w:r>
        <w:instrText xml:space="preserve"> HYPERLINK "https://www.fda.gov/regulatory-information/search-fda-guidance-documents/deciding-when-submit-510k-change-existing-device" \h </w:instrText>
      </w:r>
      <w:r>
        <w:fldChar w:fldCharType="separate"/>
      </w:r>
      <w:r>
        <w:rPr>
          <w:rFonts w:eastAsia="宋体"/>
          <w:color w:val="0000FF"/>
          <w:sz w:val="24"/>
          <w:szCs w:val="24"/>
          <w:u w:val="single" w:color="0000FF"/>
        </w:rPr>
        <w:t>何时为现有器械变更申报510(k)的决定</w:t>
      </w:r>
      <w:r>
        <w:rPr>
          <w:rFonts w:eastAsia="宋体"/>
          <w:color w:val="0000FF"/>
          <w:sz w:val="24"/>
          <w:szCs w:val="24"/>
          <w:u w:val="single" w:color="0000FF"/>
        </w:rPr>
        <w:fldChar w:fldCharType="end"/>
      </w:r>
    </w:p>
    <w:p w14:paraId="02B801D1">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w:t>
      </w:r>
      <w:r>
        <w:rPr>
          <w:rStyle w:val="20"/>
          <w:rFonts w:eastAsia="宋体"/>
          <w:color w:val="000000"/>
          <w:sz w:val="24"/>
          <w:szCs w:val="24"/>
        </w:rPr>
        <w:footnoteReference w:id="12"/>
      </w:r>
      <w:r>
        <w:rPr>
          <w:rFonts w:eastAsia="宋体"/>
          <w:color w:val="000000"/>
          <w:sz w:val="24"/>
          <w:szCs w:val="24"/>
        </w:rPr>
        <w:t>中所述，允许制造商在未递交新510(k)的情况下，进行某些标签变更。然而，《FD&amp;C法案》第513(i)(1)(E)节要求，在</w:t>
      </w:r>
      <w:r>
        <w:rPr>
          <w:rFonts w:ascii="宋体" w:hAnsi="宋体" w:eastAsia="宋体"/>
          <w:color w:val="000000"/>
          <w:sz w:val="24"/>
          <w:szCs w:val="24"/>
        </w:rPr>
        <w:t>“</w:t>
      </w:r>
      <w:r>
        <w:rPr>
          <w:rFonts w:eastAsia="宋体"/>
          <w:color w:val="000000"/>
          <w:sz w:val="24"/>
          <w:szCs w:val="24"/>
        </w:rPr>
        <w:t>具有限制的SE函</w:t>
      </w:r>
      <w:r>
        <w:rPr>
          <w:rFonts w:ascii="宋体" w:hAnsi="宋体" w:eastAsia="宋体"/>
          <w:color w:val="000000"/>
          <w:sz w:val="24"/>
          <w:szCs w:val="24"/>
        </w:rPr>
        <w:t>”</w:t>
      </w:r>
      <w:r>
        <w:rPr>
          <w:rFonts w:eastAsia="宋体"/>
          <w:color w:val="000000"/>
          <w:sz w:val="24"/>
          <w:szCs w:val="24"/>
        </w:rPr>
        <w:t>中纳入标签限制。因此，在对上述限制性声明作出任何修订或从申报器械标签中将其删除前需重新提交510(k)。</w:t>
      </w:r>
      <w:r>
        <w:rPr>
          <w:rFonts w:eastAsia="宋体"/>
          <w:sz w:val="24"/>
          <w:szCs w:val="24"/>
        </w:rPr>
        <w:t>关于</w:t>
      </w:r>
      <w:r>
        <w:rPr>
          <w:rFonts w:ascii="宋体" w:hAnsi="宋体" w:eastAsia="宋体"/>
          <w:sz w:val="24"/>
          <w:szCs w:val="24"/>
        </w:rPr>
        <w:t>“</w:t>
      </w:r>
      <w:r>
        <w:rPr>
          <w:rFonts w:eastAsia="宋体"/>
          <w:sz w:val="24"/>
          <w:szCs w:val="24"/>
        </w:rPr>
        <w:t>具有限制的SE</w:t>
      </w:r>
      <w:r>
        <w:rPr>
          <w:rFonts w:ascii="宋体" w:hAnsi="宋体" w:eastAsia="宋体"/>
          <w:sz w:val="24"/>
          <w:szCs w:val="24"/>
        </w:rPr>
        <w:t>”</w:t>
      </w:r>
      <w:r>
        <w:rPr>
          <w:rFonts w:eastAsia="宋体"/>
          <w:sz w:val="24"/>
          <w:szCs w:val="24"/>
        </w:rPr>
        <w:t>的更多信息，请参见FDA指南《</w:t>
      </w:r>
      <w:r>
        <w:rPr>
          <w:rFonts w:eastAsia="宋体"/>
          <w:color w:val="3333FF"/>
          <w:sz w:val="24"/>
          <w:szCs w:val="24"/>
          <w:u w:val="single"/>
        </w:rPr>
        <w:t>确定510(k)器械的预期用途；面向CDRH工作人员的指南（更新至K98-1）</w:t>
      </w:r>
      <w:r>
        <w:rPr>
          <w:rFonts w:eastAsia="宋体"/>
          <w:sz w:val="24"/>
          <w:szCs w:val="24"/>
        </w:rPr>
        <w:t>》。</w:t>
      </w:r>
      <w:r>
        <w:rPr>
          <w:rStyle w:val="20"/>
          <w:rFonts w:eastAsia="宋体"/>
          <w:color w:val="000000"/>
          <w:sz w:val="24"/>
          <w:szCs w:val="24"/>
        </w:rPr>
        <w:t> </w:t>
      </w:r>
      <w:r>
        <w:rPr>
          <w:rStyle w:val="20"/>
          <w:rFonts w:eastAsia="宋体"/>
          <w:color w:val="000000"/>
          <w:sz w:val="24"/>
          <w:szCs w:val="24"/>
        </w:rPr>
        <w:footnoteReference w:id="13"/>
      </w:r>
      <w:r>
        <w:rPr>
          <w:rFonts w:eastAsia="宋体"/>
          <w:color w:val="000000"/>
          <w:sz w:val="24"/>
          <w:szCs w:val="24"/>
        </w:rPr>
        <w:t>如果正在申请许可的相同器械也通过单独的上市申请获批用于血管适应症，则该限制可能不适用。</w:t>
      </w:r>
    </w:p>
    <w:p w14:paraId="0C881FC2">
      <w:pPr>
        <w:shd w:val="clear" w:color="auto" w:fill="FFFFFF"/>
        <w:topLinePunct/>
        <w:autoSpaceDE/>
        <w:autoSpaceDN/>
        <w:adjustRightInd/>
        <w:jc w:val="both"/>
        <w:rPr>
          <w:rFonts w:eastAsia="宋体"/>
          <w:sz w:val="24"/>
          <w:szCs w:val="24"/>
        </w:rPr>
      </w:pPr>
    </w:p>
    <w:p w14:paraId="682A501E">
      <w:pPr>
        <w:pStyle w:val="4"/>
        <w:tabs>
          <w:tab w:val="left" w:pos="2268"/>
        </w:tabs>
        <w:spacing w:before="0" w:after="0" w:line="240" w:lineRule="auto"/>
        <w:ind w:left="1610" w:leftChars="805"/>
        <w:rPr>
          <w:sz w:val="28"/>
          <w:szCs w:val="28"/>
        </w:rPr>
      </w:pPr>
      <w:bookmarkStart w:id="43" w:name="_Toc97386701"/>
      <w:bookmarkStart w:id="44" w:name="_Toc97386399"/>
      <w:r>
        <w:rPr>
          <w:rFonts w:hint="eastAsia"/>
          <w:sz w:val="28"/>
          <w:szCs w:val="28"/>
        </w:rPr>
        <w:t>(</w:t>
      </w:r>
      <w:r>
        <w:rPr>
          <w:sz w:val="28"/>
          <w:szCs w:val="28"/>
        </w:rPr>
        <w:t>5</w:t>
      </w:r>
      <w:r>
        <w:rPr>
          <w:rFonts w:hint="eastAsia"/>
          <w:sz w:val="28"/>
          <w:szCs w:val="28"/>
        </w:rPr>
        <w:t>)</w:t>
      </w:r>
      <w:r>
        <w:rPr>
          <w:sz w:val="28"/>
          <w:szCs w:val="28"/>
        </w:rPr>
        <w:tab/>
      </w:r>
      <w:r>
        <w:rPr>
          <w:sz w:val="28"/>
          <w:szCs w:val="28"/>
        </w:rPr>
        <w:t>注意事项</w:t>
      </w:r>
      <w:bookmarkEnd w:id="43"/>
      <w:bookmarkEnd w:id="44"/>
    </w:p>
    <w:p w14:paraId="5D37074D">
      <w:pPr>
        <w:shd w:val="clear" w:color="auto" w:fill="FFFFFF"/>
        <w:topLinePunct/>
        <w:autoSpaceDE/>
        <w:autoSpaceDN/>
        <w:adjustRightInd/>
        <w:jc w:val="both"/>
        <w:rPr>
          <w:rFonts w:eastAsia="宋体"/>
          <w:color w:val="000000"/>
          <w:sz w:val="24"/>
          <w:szCs w:val="24"/>
        </w:rPr>
      </w:pPr>
    </w:p>
    <w:p w14:paraId="3A507AA6">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注意事项应包括有关医师及他人应小心谨慎，以安全有效地使用该器械的信息。此外，还应纳入器械使用方面的任何限制，其原因包括但不限于以下方面：</w:t>
      </w:r>
    </w:p>
    <w:p w14:paraId="23200D29">
      <w:pPr>
        <w:shd w:val="clear" w:color="auto" w:fill="FFFFFF"/>
        <w:topLinePunct/>
        <w:autoSpaceDE/>
        <w:autoSpaceDN/>
        <w:adjustRightInd/>
        <w:jc w:val="both"/>
        <w:rPr>
          <w:rFonts w:eastAsia="宋体"/>
          <w:sz w:val="24"/>
          <w:szCs w:val="24"/>
        </w:rPr>
      </w:pPr>
    </w:p>
    <w:p w14:paraId="3C7E046D">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缺乏长期安全性和有效性数据；</w:t>
      </w:r>
    </w:p>
    <w:p w14:paraId="497CA66F">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缺乏针对特殊患者人群的安全性和有效性数据；</w:t>
      </w:r>
    </w:p>
    <w:p w14:paraId="4E09CC30">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需要对医师进行相应的培训；以及</w:t>
      </w:r>
    </w:p>
    <w:p w14:paraId="68EB1B70">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在解剖学或生理学上对该器械有效性的限制。</w:t>
      </w:r>
    </w:p>
    <w:p w14:paraId="1FA59EDC">
      <w:pPr>
        <w:shd w:val="clear" w:color="auto" w:fill="FFFFFF"/>
        <w:topLinePunct/>
        <w:autoSpaceDE/>
        <w:autoSpaceDN/>
        <w:adjustRightInd/>
        <w:jc w:val="both"/>
        <w:rPr>
          <w:rFonts w:eastAsia="宋体"/>
          <w:color w:val="000000"/>
          <w:sz w:val="24"/>
          <w:szCs w:val="24"/>
        </w:rPr>
      </w:pPr>
    </w:p>
    <w:p w14:paraId="1E8874E7">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支架操作、支架放置、支架系统取出和任何植入后注意事项也适合纳入本节。</w:t>
      </w:r>
    </w:p>
    <w:p w14:paraId="2FCC23E8">
      <w:pPr>
        <w:shd w:val="clear" w:color="auto" w:fill="FFFFFF"/>
        <w:topLinePunct/>
        <w:autoSpaceDE/>
        <w:autoSpaceDN/>
        <w:adjustRightInd/>
        <w:jc w:val="both"/>
        <w:rPr>
          <w:rFonts w:eastAsia="宋体"/>
          <w:sz w:val="24"/>
          <w:szCs w:val="24"/>
        </w:rPr>
      </w:pPr>
    </w:p>
    <w:p w14:paraId="73F973E4">
      <w:pPr>
        <w:pStyle w:val="4"/>
        <w:tabs>
          <w:tab w:val="left" w:pos="2268"/>
        </w:tabs>
        <w:spacing w:before="0" w:after="0" w:line="240" w:lineRule="auto"/>
        <w:ind w:left="1610" w:leftChars="805"/>
        <w:rPr>
          <w:sz w:val="28"/>
          <w:szCs w:val="28"/>
        </w:rPr>
      </w:pPr>
      <w:bookmarkStart w:id="45" w:name="_Toc97386702"/>
      <w:bookmarkStart w:id="46" w:name="_Toc97386400"/>
      <w:r>
        <w:rPr>
          <w:rFonts w:hint="eastAsia"/>
          <w:sz w:val="28"/>
          <w:szCs w:val="28"/>
        </w:rPr>
        <w:t>(</w:t>
      </w:r>
      <w:r>
        <w:rPr>
          <w:sz w:val="28"/>
          <w:szCs w:val="28"/>
        </w:rPr>
        <w:t>6</w:t>
      </w:r>
      <w:r>
        <w:rPr>
          <w:rFonts w:hint="eastAsia"/>
          <w:sz w:val="28"/>
          <w:szCs w:val="28"/>
        </w:rPr>
        <w:t>)</w:t>
      </w:r>
      <w:r>
        <w:rPr>
          <w:sz w:val="28"/>
          <w:szCs w:val="28"/>
        </w:rPr>
        <w:tab/>
      </w:r>
      <w:r>
        <w:rPr>
          <w:sz w:val="28"/>
          <w:szCs w:val="28"/>
        </w:rPr>
        <w:t>MRI安全信息</w:t>
      </w:r>
      <w:bookmarkEnd w:id="45"/>
      <w:bookmarkEnd w:id="46"/>
    </w:p>
    <w:p w14:paraId="458A47C8">
      <w:pPr>
        <w:shd w:val="clear" w:color="auto" w:fill="FFFFFF"/>
        <w:topLinePunct/>
        <w:autoSpaceDE/>
        <w:autoSpaceDN/>
        <w:adjustRightInd/>
        <w:jc w:val="both"/>
        <w:rPr>
          <w:rFonts w:eastAsia="宋体"/>
          <w:color w:val="000000"/>
          <w:sz w:val="24"/>
          <w:szCs w:val="24"/>
        </w:rPr>
      </w:pPr>
    </w:p>
    <w:p w14:paraId="43DFF7F3">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本机构建议遵循标签指南《</w:t>
      </w:r>
      <w:r>
        <w:rPr>
          <w:rFonts w:eastAsia="宋体"/>
          <w:color w:val="3333FF"/>
          <w:sz w:val="24"/>
          <w:szCs w:val="24"/>
          <w:u w:val="single"/>
        </w:rPr>
        <w:t>确立磁共振（MR）环境中无源植入物的安全性和兼容性</w:t>
      </w:r>
      <w:r>
        <w:rPr>
          <w:rFonts w:eastAsia="宋体"/>
          <w:color w:val="000000"/>
          <w:sz w:val="24"/>
          <w:szCs w:val="24"/>
        </w:rPr>
        <w:t>》</w:t>
      </w:r>
      <w:r>
        <w:rPr>
          <w:rStyle w:val="20"/>
          <w:rFonts w:eastAsia="宋体"/>
          <w:color w:val="000000"/>
          <w:sz w:val="24"/>
          <w:szCs w:val="24"/>
        </w:rPr>
        <w:footnoteReference w:id="14"/>
      </w:r>
      <w:r>
        <w:rPr>
          <w:rFonts w:eastAsia="宋体"/>
          <w:color w:val="000000"/>
          <w:sz w:val="24"/>
          <w:szCs w:val="24"/>
        </w:rPr>
        <w:t>的规定。本机构还建议使用ASTM F2503：《磁共振环境中医疗器械和其他物品安全标记的标准实施规程》中规定的标准化术语和图标。</w:t>
      </w:r>
    </w:p>
    <w:p w14:paraId="2DD5DB59">
      <w:pPr>
        <w:shd w:val="clear" w:color="auto" w:fill="FFFFFF"/>
        <w:topLinePunct/>
        <w:autoSpaceDE/>
        <w:autoSpaceDN/>
        <w:adjustRightInd/>
        <w:jc w:val="both"/>
        <w:rPr>
          <w:rFonts w:eastAsia="宋体"/>
          <w:color w:val="3333FF"/>
          <w:sz w:val="24"/>
          <w:szCs w:val="24"/>
          <w:u w:val="single"/>
        </w:rPr>
      </w:pPr>
    </w:p>
    <w:p w14:paraId="3BC54CCA">
      <w:pPr>
        <w:shd w:val="clear" w:color="auto" w:fill="FFFFFF"/>
        <w:topLinePunct/>
        <w:autoSpaceDE/>
        <w:autoSpaceDN/>
        <w:adjustRightInd/>
        <w:jc w:val="both"/>
        <w:rPr>
          <w:rFonts w:eastAsia="宋体"/>
          <w:sz w:val="24"/>
          <w:szCs w:val="24"/>
        </w:rPr>
      </w:pPr>
      <w:r>
        <w:rPr>
          <w:rFonts w:eastAsia="宋体"/>
          <w:sz w:val="24"/>
          <w:szCs w:val="24"/>
        </w:rPr>
        <w:br w:type="page"/>
      </w:r>
    </w:p>
    <w:p w14:paraId="1B1FB30F">
      <w:pPr>
        <w:pStyle w:val="4"/>
        <w:tabs>
          <w:tab w:val="left" w:pos="2268"/>
        </w:tabs>
        <w:spacing w:before="0" w:after="0" w:line="240" w:lineRule="auto"/>
        <w:ind w:left="1610" w:leftChars="805"/>
        <w:rPr>
          <w:sz w:val="28"/>
          <w:szCs w:val="28"/>
        </w:rPr>
      </w:pPr>
      <w:bookmarkStart w:id="47" w:name="_Toc97386401"/>
      <w:bookmarkStart w:id="48" w:name="_Toc97386703"/>
      <w:r>
        <w:rPr>
          <w:rFonts w:hint="eastAsia"/>
          <w:sz w:val="28"/>
          <w:szCs w:val="28"/>
        </w:rPr>
        <w:t>(</w:t>
      </w:r>
      <w:r>
        <w:rPr>
          <w:sz w:val="28"/>
          <w:szCs w:val="28"/>
        </w:rPr>
        <w:t>7</w:t>
      </w:r>
      <w:r>
        <w:rPr>
          <w:rFonts w:hint="eastAsia"/>
          <w:sz w:val="28"/>
          <w:szCs w:val="28"/>
        </w:rPr>
        <w:t>)</w:t>
      </w:r>
      <w:r>
        <w:rPr>
          <w:sz w:val="28"/>
          <w:szCs w:val="28"/>
        </w:rPr>
        <w:tab/>
      </w:r>
      <w:r>
        <w:rPr>
          <w:sz w:val="28"/>
          <w:szCs w:val="28"/>
        </w:rPr>
        <w:t>临床研究概述</w:t>
      </w:r>
      <w:bookmarkEnd w:id="47"/>
      <w:bookmarkEnd w:id="48"/>
    </w:p>
    <w:p w14:paraId="1230303F">
      <w:pPr>
        <w:shd w:val="clear" w:color="auto" w:fill="FFFFFF"/>
        <w:topLinePunct/>
        <w:autoSpaceDE/>
        <w:autoSpaceDN/>
        <w:adjustRightInd/>
        <w:jc w:val="both"/>
        <w:rPr>
          <w:rFonts w:eastAsia="宋体"/>
          <w:color w:val="000000"/>
          <w:sz w:val="24"/>
          <w:szCs w:val="24"/>
        </w:rPr>
      </w:pPr>
    </w:p>
    <w:p w14:paraId="2A24F97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如本机构在</w:t>
      </w:r>
      <w:r>
        <w:rPr>
          <w:rFonts w:eastAsia="宋体"/>
          <w:b/>
          <w:sz w:val="24"/>
          <w:szCs w:val="24"/>
        </w:rPr>
        <w:t>第V.H节</w:t>
      </w:r>
      <w:r>
        <w:rPr>
          <w:rFonts w:eastAsia="宋体"/>
          <w:color w:val="000000"/>
          <w:sz w:val="24"/>
          <w:szCs w:val="24"/>
        </w:rPr>
        <w:t>的解释，临床研究并不是支持许多胆道支架应用的必要条件。但是，如果提交文件中含有临床数据，应提供关于该支架一项或多项研究的叙述性说明。该叙述应简短，并针对每项研究包括以下内容：</w:t>
      </w:r>
    </w:p>
    <w:p w14:paraId="5DB7A8BE">
      <w:pPr>
        <w:shd w:val="clear" w:color="auto" w:fill="FFFFFF"/>
        <w:topLinePunct/>
        <w:autoSpaceDE/>
        <w:autoSpaceDN/>
        <w:adjustRightInd/>
        <w:jc w:val="both"/>
        <w:rPr>
          <w:rFonts w:eastAsia="宋体"/>
          <w:sz w:val="24"/>
          <w:szCs w:val="24"/>
        </w:rPr>
      </w:pPr>
    </w:p>
    <w:p w14:paraId="67838B8B">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该研究设计的描述，包括任何随机化分组、设盲和使用的一种或多种对照类型；</w:t>
      </w:r>
    </w:p>
    <w:p w14:paraId="3C8D459D">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入组患者人数的说明；</w:t>
      </w:r>
    </w:p>
    <w:p w14:paraId="12B46404">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美国境内外（OUS）的研究中心数量的说明；</w:t>
      </w:r>
    </w:p>
    <w:p w14:paraId="2D6DA7F9">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主要研究终点或终点的描述；</w:t>
      </w:r>
    </w:p>
    <w:p w14:paraId="62D1CFF9">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研究结果的描述（如不良事件、终点数据和统计分析）；以及</w:t>
      </w:r>
    </w:p>
    <w:p w14:paraId="26247F77">
      <w:pPr>
        <w:numPr>
          <w:ilvl w:val="0"/>
          <w:numId w:val="1"/>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可用的随访量的说明。</w:t>
      </w:r>
    </w:p>
    <w:p w14:paraId="69D16247">
      <w:pPr>
        <w:shd w:val="clear" w:color="auto" w:fill="FFFFFF"/>
        <w:topLinePunct/>
        <w:autoSpaceDE/>
        <w:autoSpaceDN/>
        <w:adjustRightInd/>
        <w:ind w:left="904"/>
        <w:jc w:val="both"/>
        <w:rPr>
          <w:rFonts w:eastAsia="宋体"/>
          <w:color w:val="000000"/>
          <w:sz w:val="24"/>
          <w:szCs w:val="24"/>
        </w:rPr>
      </w:pPr>
    </w:p>
    <w:p w14:paraId="613AC34F">
      <w:pPr>
        <w:pStyle w:val="4"/>
        <w:tabs>
          <w:tab w:val="left" w:pos="2268"/>
        </w:tabs>
        <w:spacing w:before="0" w:after="0" w:line="240" w:lineRule="auto"/>
        <w:ind w:left="1610" w:leftChars="805"/>
        <w:rPr>
          <w:sz w:val="28"/>
          <w:szCs w:val="28"/>
        </w:rPr>
      </w:pPr>
      <w:bookmarkStart w:id="49" w:name="_Toc97386402"/>
      <w:bookmarkStart w:id="50" w:name="_Toc97386704"/>
      <w:r>
        <w:rPr>
          <w:rFonts w:hint="eastAsia"/>
          <w:sz w:val="28"/>
          <w:szCs w:val="28"/>
        </w:rPr>
        <w:t>(</w:t>
      </w:r>
      <w:r>
        <w:rPr>
          <w:sz w:val="28"/>
          <w:szCs w:val="28"/>
        </w:rPr>
        <w:t>8</w:t>
      </w:r>
      <w:r>
        <w:rPr>
          <w:rFonts w:hint="eastAsia"/>
          <w:sz w:val="28"/>
          <w:szCs w:val="28"/>
        </w:rPr>
        <w:t>)</w:t>
      </w:r>
      <w:r>
        <w:rPr>
          <w:sz w:val="28"/>
          <w:szCs w:val="28"/>
        </w:rPr>
        <w:tab/>
      </w:r>
      <w:r>
        <w:rPr>
          <w:sz w:val="28"/>
          <w:szCs w:val="28"/>
        </w:rPr>
        <w:t>潜在不良事件</w:t>
      </w:r>
      <w:bookmarkEnd w:id="49"/>
      <w:bookmarkEnd w:id="50"/>
    </w:p>
    <w:p w14:paraId="20B43528">
      <w:pPr>
        <w:shd w:val="clear" w:color="auto" w:fill="FFFFFF"/>
        <w:topLinePunct/>
        <w:autoSpaceDE/>
        <w:autoSpaceDN/>
        <w:adjustRightInd/>
        <w:jc w:val="both"/>
        <w:rPr>
          <w:rFonts w:eastAsia="宋体"/>
          <w:color w:val="000000"/>
          <w:sz w:val="24"/>
          <w:szCs w:val="24"/>
        </w:rPr>
      </w:pPr>
    </w:p>
    <w:p w14:paraId="266387B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应包括与胆道支架植入术相关的潜在不良事件，如适用，也应包括与内窥镜手术相关的潜在不良事件。</w:t>
      </w:r>
    </w:p>
    <w:p w14:paraId="3C680092">
      <w:pPr>
        <w:shd w:val="clear" w:color="auto" w:fill="FFFFFF"/>
        <w:topLinePunct/>
        <w:autoSpaceDE/>
        <w:autoSpaceDN/>
        <w:adjustRightInd/>
        <w:jc w:val="both"/>
        <w:rPr>
          <w:rFonts w:eastAsia="宋体"/>
          <w:sz w:val="24"/>
          <w:szCs w:val="24"/>
        </w:rPr>
      </w:pPr>
    </w:p>
    <w:p w14:paraId="53594A8C">
      <w:pPr>
        <w:pStyle w:val="4"/>
        <w:tabs>
          <w:tab w:val="left" w:pos="2268"/>
        </w:tabs>
        <w:spacing w:before="0" w:after="0" w:line="240" w:lineRule="auto"/>
        <w:ind w:left="1610" w:leftChars="805"/>
        <w:rPr>
          <w:sz w:val="28"/>
          <w:szCs w:val="28"/>
        </w:rPr>
      </w:pPr>
      <w:bookmarkStart w:id="51" w:name="_Toc97386705"/>
      <w:bookmarkStart w:id="52" w:name="_Toc97386403"/>
      <w:r>
        <w:rPr>
          <w:rFonts w:hint="eastAsia"/>
          <w:sz w:val="28"/>
          <w:szCs w:val="28"/>
        </w:rPr>
        <w:t>(</w:t>
      </w:r>
      <w:r>
        <w:rPr>
          <w:sz w:val="28"/>
          <w:szCs w:val="28"/>
        </w:rPr>
        <w:t>9</w:t>
      </w:r>
      <w:r>
        <w:rPr>
          <w:rFonts w:hint="eastAsia"/>
          <w:sz w:val="28"/>
          <w:szCs w:val="28"/>
        </w:rPr>
        <w:t>)</w:t>
      </w:r>
      <w:r>
        <w:rPr>
          <w:sz w:val="28"/>
          <w:szCs w:val="28"/>
        </w:rPr>
        <w:tab/>
      </w:r>
      <w:r>
        <w:rPr>
          <w:sz w:val="28"/>
          <w:szCs w:val="28"/>
        </w:rPr>
        <w:t>使用说明</w:t>
      </w:r>
      <w:bookmarkEnd w:id="51"/>
      <w:bookmarkEnd w:id="52"/>
    </w:p>
    <w:p w14:paraId="7CEAADFD">
      <w:pPr>
        <w:shd w:val="clear" w:color="auto" w:fill="FFFFFF"/>
        <w:topLinePunct/>
        <w:autoSpaceDE/>
        <w:autoSpaceDN/>
        <w:adjustRightInd/>
        <w:jc w:val="both"/>
        <w:rPr>
          <w:rFonts w:eastAsia="宋体"/>
          <w:color w:val="000000"/>
          <w:sz w:val="24"/>
          <w:szCs w:val="24"/>
        </w:rPr>
      </w:pPr>
    </w:p>
    <w:p w14:paraId="238DAE0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应包括合理准备和使用该器械的说明。如果可用多个SDS，应明确指出每个SDS的具体差异。示例应指出内窥镜和经皮输送系统之间的差异，并提供每个系统的具体说明。</w:t>
      </w:r>
    </w:p>
    <w:p w14:paraId="5221B1A7">
      <w:pPr>
        <w:shd w:val="clear" w:color="auto" w:fill="FFFFFF"/>
        <w:topLinePunct/>
        <w:autoSpaceDE/>
        <w:autoSpaceDN/>
        <w:adjustRightInd/>
        <w:jc w:val="both"/>
        <w:rPr>
          <w:rFonts w:eastAsia="宋体"/>
          <w:sz w:val="24"/>
          <w:szCs w:val="24"/>
        </w:rPr>
      </w:pPr>
    </w:p>
    <w:p w14:paraId="0D5951B4">
      <w:pPr>
        <w:shd w:val="clear" w:color="auto" w:fill="FFFFFF"/>
        <w:topLinePunct/>
        <w:autoSpaceDE/>
        <w:autoSpaceDN/>
        <w:adjustRightInd/>
        <w:jc w:val="both"/>
        <w:rPr>
          <w:rFonts w:eastAsia="宋体"/>
          <w:sz w:val="24"/>
          <w:szCs w:val="24"/>
        </w:rPr>
      </w:pPr>
      <w:r>
        <w:rPr>
          <w:rFonts w:eastAsia="宋体"/>
          <w:b/>
          <w:color w:val="000000"/>
          <w:sz w:val="24"/>
          <w:szCs w:val="24"/>
          <w:u w:val="single"/>
        </w:rPr>
        <w:t>符合性图表（仅球囊扩张式支架）</w:t>
      </w:r>
    </w:p>
    <w:p w14:paraId="71A93F7D">
      <w:pPr>
        <w:shd w:val="clear" w:color="auto" w:fill="FFFFFF"/>
        <w:topLinePunct/>
        <w:autoSpaceDE/>
        <w:autoSpaceDN/>
        <w:adjustRightInd/>
        <w:jc w:val="both"/>
        <w:rPr>
          <w:rFonts w:eastAsia="宋体"/>
          <w:color w:val="000000"/>
          <w:sz w:val="24"/>
          <w:szCs w:val="24"/>
        </w:rPr>
      </w:pPr>
    </w:p>
    <w:p w14:paraId="36A02B1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应提供充盈压力与支架内径（ID）的图形和表格，即符合性图表，涵盖实验室试验中建议展开的支架直径的完整范围。如果对数据进行圆整处理，则应在图表的脚注中注明对数据进行了圆整处理。本机构建议采用</w:t>
      </w:r>
      <w:r>
        <w:rPr>
          <w:rFonts w:eastAsia="宋体"/>
          <w:b/>
          <w:sz w:val="24"/>
          <w:szCs w:val="24"/>
        </w:rPr>
        <w:t>表5</w:t>
      </w:r>
      <w:r>
        <w:rPr>
          <w:rFonts w:eastAsia="宋体"/>
          <w:color w:val="000000"/>
          <w:sz w:val="24"/>
          <w:szCs w:val="24"/>
        </w:rPr>
        <w:t>中的格式。</w:t>
      </w:r>
    </w:p>
    <w:p w14:paraId="04F586DD">
      <w:pPr>
        <w:shd w:val="clear" w:color="auto" w:fill="FFFFFF"/>
        <w:topLinePunct/>
        <w:autoSpaceDE/>
        <w:autoSpaceDN/>
        <w:adjustRightInd/>
        <w:jc w:val="both"/>
        <w:rPr>
          <w:rFonts w:eastAsia="宋体"/>
          <w:sz w:val="24"/>
          <w:szCs w:val="24"/>
        </w:rPr>
      </w:pPr>
    </w:p>
    <w:p w14:paraId="39A24D93">
      <w:pPr>
        <w:shd w:val="clear" w:color="auto" w:fill="FFFFFF"/>
        <w:topLinePunct/>
        <w:autoSpaceDE/>
        <w:autoSpaceDN/>
        <w:adjustRightInd/>
        <w:jc w:val="both"/>
        <w:rPr>
          <w:rFonts w:eastAsia="宋体"/>
          <w:sz w:val="24"/>
          <w:szCs w:val="24"/>
        </w:rPr>
      </w:pPr>
      <w:r>
        <w:rPr>
          <w:rFonts w:eastAsia="宋体"/>
          <w:b/>
          <w:color w:val="000000"/>
          <w:sz w:val="24"/>
          <w:szCs w:val="24"/>
          <w:u w:val="single"/>
        </w:rPr>
        <w:t>纵向短缩百分比（仅自膨式支架）</w:t>
      </w:r>
    </w:p>
    <w:p w14:paraId="5A4387DA">
      <w:pPr>
        <w:shd w:val="clear" w:color="auto" w:fill="FFFFFF"/>
        <w:topLinePunct/>
        <w:autoSpaceDE/>
        <w:autoSpaceDN/>
        <w:adjustRightInd/>
        <w:jc w:val="both"/>
        <w:rPr>
          <w:rFonts w:eastAsia="宋体"/>
          <w:color w:val="000000"/>
          <w:sz w:val="24"/>
          <w:szCs w:val="24"/>
        </w:rPr>
      </w:pPr>
    </w:p>
    <w:p w14:paraId="2286E508">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应提供一份包括下列信息的表格：</w:t>
      </w:r>
    </w:p>
    <w:p w14:paraId="6BBF9F8B">
      <w:pPr>
        <w:shd w:val="clear" w:color="auto" w:fill="FFFFFF"/>
        <w:topLinePunct/>
        <w:autoSpaceDE/>
        <w:autoSpaceDN/>
        <w:adjustRightInd/>
        <w:jc w:val="both"/>
        <w:rPr>
          <w:rFonts w:eastAsia="宋体"/>
          <w:sz w:val="24"/>
          <w:szCs w:val="24"/>
        </w:rPr>
      </w:pPr>
    </w:p>
    <w:p w14:paraId="2C0D3B93">
      <w:pPr>
        <w:numPr>
          <w:ilvl w:val="0"/>
          <w:numId w:val="1"/>
        </w:numPr>
        <w:shd w:val="clear" w:color="auto" w:fill="FFFFFF"/>
        <w:tabs>
          <w:tab w:val="left" w:pos="720"/>
        </w:tabs>
        <w:topLinePunct/>
        <w:autoSpaceDE/>
        <w:autoSpaceDN/>
        <w:adjustRightInd/>
        <w:ind w:left="400" w:leftChars="200"/>
        <w:jc w:val="both"/>
        <w:rPr>
          <w:rFonts w:eastAsia="宋体"/>
          <w:color w:val="000000"/>
          <w:sz w:val="24"/>
          <w:szCs w:val="24"/>
        </w:rPr>
      </w:pPr>
      <w:r>
        <w:rPr>
          <w:rFonts w:eastAsia="宋体"/>
          <w:color w:val="000000"/>
          <w:sz w:val="24"/>
          <w:szCs w:val="24"/>
        </w:rPr>
        <w:t>支架长度；</w:t>
      </w:r>
    </w:p>
    <w:p w14:paraId="12B33DD0">
      <w:pPr>
        <w:numPr>
          <w:ilvl w:val="0"/>
          <w:numId w:val="1"/>
        </w:numPr>
        <w:shd w:val="clear" w:color="auto" w:fill="FFFFFF"/>
        <w:tabs>
          <w:tab w:val="left" w:pos="720"/>
        </w:tabs>
        <w:topLinePunct/>
        <w:autoSpaceDE/>
        <w:autoSpaceDN/>
        <w:adjustRightInd/>
        <w:ind w:left="400" w:leftChars="200"/>
        <w:jc w:val="both"/>
        <w:rPr>
          <w:rFonts w:eastAsia="宋体"/>
          <w:color w:val="000000"/>
          <w:sz w:val="24"/>
          <w:szCs w:val="24"/>
        </w:rPr>
      </w:pPr>
      <w:r>
        <w:rPr>
          <w:rFonts w:eastAsia="宋体"/>
          <w:color w:val="000000"/>
          <w:sz w:val="24"/>
          <w:szCs w:val="24"/>
        </w:rPr>
        <w:t>支架直径；</w:t>
      </w:r>
    </w:p>
    <w:p w14:paraId="01570C03">
      <w:pPr>
        <w:numPr>
          <w:ilvl w:val="0"/>
          <w:numId w:val="1"/>
        </w:numPr>
        <w:shd w:val="clear" w:color="auto" w:fill="FFFFFF"/>
        <w:tabs>
          <w:tab w:val="left" w:pos="720"/>
        </w:tabs>
        <w:topLinePunct/>
        <w:autoSpaceDE/>
        <w:autoSpaceDN/>
        <w:adjustRightInd/>
        <w:ind w:left="400" w:leftChars="200"/>
        <w:jc w:val="both"/>
        <w:rPr>
          <w:rFonts w:eastAsia="宋体"/>
          <w:color w:val="000000"/>
          <w:sz w:val="24"/>
          <w:szCs w:val="24"/>
        </w:rPr>
      </w:pPr>
      <w:r>
        <w:rPr>
          <w:rFonts w:eastAsia="宋体"/>
          <w:color w:val="000000"/>
          <w:sz w:val="24"/>
          <w:szCs w:val="24"/>
        </w:rPr>
        <w:t>未展开状态下的支架长度；以及</w:t>
      </w:r>
    </w:p>
    <w:p w14:paraId="03749274">
      <w:pPr>
        <w:widowControl/>
        <w:autoSpaceDE/>
        <w:autoSpaceDN/>
        <w:adjustRightInd/>
        <w:rPr>
          <w:rFonts w:eastAsia="宋体"/>
          <w:color w:val="000000"/>
          <w:sz w:val="24"/>
          <w:szCs w:val="24"/>
        </w:rPr>
      </w:pPr>
      <w:r>
        <w:rPr>
          <w:rFonts w:eastAsia="宋体"/>
          <w:color w:val="000000"/>
          <w:sz w:val="24"/>
          <w:szCs w:val="24"/>
        </w:rPr>
        <w:br w:type="page"/>
      </w:r>
    </w:p>
    <w:p w14:paraId="2A232AEF">
      <w:pPr>
        <w:numPr>
          <w:ilvl w:val="0"/>
          <w:numId w:val="1"/>
        </w:numPr>
        <w:shd w:val="clear" w:color="auto" w:fill="FFFFFF"/>
        <w:tabs>
          <w:tab w:val="left" w:pos="720"/>
        </w:tabs>
        <w:topLinePunct/>
        <w:autoSpaceDE/>
        <w:autoSpaceDN/>
        <w:adjustRightInd/>
        <w:ind w:left="400" w:leftChars="200"/>
        <w:jc w:val="both"/>
        <w:rPr>
          <w:rFonts w:eastAsia="宋体"/>
          <w:sz w:val="24"/>
          <w:szCs w:val="24"/>
        </w:rPr>
      </w:pPr>
      <w:r>
        <w:rPr>
          <w:rFonts w:eastAsia="宋体"/>
          <w:color w:val="000000"/>
          <w:sz w:val="24"/>
          <w:szCs w:val="24"/>
        </w:rPr>
        <w:t>支架纵向短缩百分比定义为：</w:t>
      </w:r>
    </w:p>
    <w:p w14:paraId="0A1A0468">
      <w:pPr>
        <w:shd w:val="clear" w:color="auto" w:fill="FFFFFF"/>
        <w:tabs>
          <w:tab w:val="left" w:pos="720"/>
        </w:tabs>
        <w:topLinePunct/>
        <w:autoSpaceDE/>
        <w:autoSpaceDN/>
        <w:adjustRightInd/>
        <w:ind w:left="820"/>
        <w:jc w:val="both"/>
        <w:rPr>
          <w:rFonts w:eastAsia="宋体"/>
          <w:sz w:val="24"/>
          <w:szCs w:val="24"/>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2660"/>
        <w:gridCol w:w="5103"/>
      </w:tblGrid>
      <w:tr w14:paraId="1B21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c>
          <w:tcPr>
            <w:tcW w:w="2660" w:type="dxa"/>
            <w:vMerge w:val="restart"/>
            <w:vAlign w:val="center"/>
          </w:tcPr>
          <w:p w14:paraId="2232DA0B">
            <w:pPr>
              <w:tabs>
                <w:tab w:val="left" w:pos="720"/>
              </w:tabs>
              <w:topLinePunct/>
              <w:autoSpaceDE/>
              <w:autoSpaceDN/>
              <w:adjustRightInd/>
              <w:jc w:val="right"/>
              <w:rPr>
                <w:rFonts w:eastAsia="宋体"/>
                <w:sz w:val="21"/>
                <w:szCs w:val="21"/>
              </w:rPr>
            </w:pPr>
            <w:r>
              <w:rPr>
                <w:rFonts w:eastAsia="宋体"/>
                <w:sz w:val="21"/>
                <w:szCs w:val="21"/>
              </w:rPr>
              <w:t>100×</w:t>
            </w:r>
          </w:p>
        </w:tc>
        <w:tc>
          <w:tcPr>
            <w:tcW w:w="5103" w:type="dxa"/>
            <w:tcBorders>
              <w:bottom w:val="single" w:color="auto" w:sz="4" w:space="0"/>
            </w:tcBorders>
            <w:vAlign w:val="center"/>
          </w:tcPr>
          <w:p w14:paraId="13E38990">
            <w:pPr>
              <w:tabs>
                <w:tab w:val="left" w:pos="720"/>
              </w:tabs>
              <w:topLinePunct/>
              <w:autoSpaceDE/>
              <w:autoSpaceDN/>
              <w:adjustRightInd/>
              <w:jc w:val="center"/>
              <w:rPr>
                <w:rFonts w:eastAsia="宋体"/>
                <w:sz w:val="21"/>
                <w:szCs w:val="21"/>
              </w:rPr>
            </w:pPr>
            <w:r>
              <w:rPr>
                <w:rFonts w:eastAsia="宋体"/>
                <w:sz w:val="21"/>
                <w:szCs w:val="21"/>
              </w:rPr>
              <w:t>（未展开长度-完全充盈长度）</w:t>
            </w:r>
          </w:p>
        </w:tc>
      </w:tr>
      <w:tr w14:paraId="44D1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c>
          <w:tcPr>
            <w:tcW w:w="2660" w:type="dxa"/>
            <w:vMerge w:val="continue"/>
            <w:vAlign w:val="center"/>
          </w:tcPr>
          <w:p w14:paraId="61B8D7AA">
            <w:pPr>
              <w:tabs>
                <w:tab w:val="left" w:pos="720"/>
              </w:tabs>
              <w:topLinePunct/>
              <w:autoSpaceDE/>
              <w:autoSpaceDN/>
              <w:adjustRightInd/>
              <w:jc w:val="center"/>
              <w:rPr>
                <w:rFonts w:eastAsia="宋体"/>
                <w:sz w:val="21"/>
                <w:szCs w:val="21"/>
              </w:rPr>
            </w:pPr>
          </w:p>
        </w:tc>
        <w:tc>
          <w:tcPr>
            <w:tcW w:w="5103" w:type="dxa"/>
            <w:tcBorders>
              <w:top w:val="single" w:color="auto" w:sz="4" w:space="0"/>
            </w:tcBorders>
            <w:vAlign w:val="center"/>
          </w:tcPr>
          <w:p w14:paraId="0B367FCC">
            <w:pPr>
              <w:tabs>
                <w:tab w:val="left" w:pos="720"/>
              </w:tabs>
              <w:topLinePunct/>
              <w:autoSpaceDE/>
              <w:autoSpaceDN/>
              <w:adjustRightInd/>
              <w:jc w:val="center"/>
              <w:rPr>
                <w:rFonts w:eastAsia="宋体"/>
                <w:sz w:val="21"/>
                <w:szCs w:val="21"/>
              </w:rPr>
            </w:pPr>
            <w:r>
              <w:rPr>
                <w:rFonts w:eastAsia="宋体"/>
                <w:sz w:val="21"/>
                <w:szCs w:val="21"/>
              </w:rPr>
              <w:t>未展开长度</w:t>
            </w:r>
          </w:p>
        </w:tc>
      </w:tr>
    </w:tbl>
    <w:p w14:paraId="3080B5D9">
      <w:pPr>
        <w:shd w:val="clear" w:color="auto" w:fill="FFFFFF"/>
        <w:tabs>
          <w:tab w:val="left" w:pos="720"/>
        </w:tabs>
        <w:topLinePunct/>
        <w:autoSpaceDE/>
        <w:autoSpaceDN/>
        <w:adjustRightInd/>
        <w:jc w:val="both"/>
        <w:rPr>
          <w:rFonts w:eastAsia="宋体"/>
          <w:sz w:val="24"/>
          <w:szCs w:val="24"/>
        </w:rPr>
      </w:pPr>
    </w:p>
    <w:p w14:paraId="54CD0811">
      <w:pPr>
        <w:pStyle w:val="4"/>
        <w:tabs>
          <w:tab w:val="left" w:pos="2268"/>
        </w:tabs>
        <w:spacing w:before="0" w:after="0" w:line="240" w:lineRule="auto"/>
        <w:ind w:left="1610" w:leftChars="805"/>
        <w:rPr>
          <w:sz w:val="28"/>
          <w:szCs w:val="28"/>
        </w:rPr>
      </w:pPr>
      <w:bookmarkStart w:id="53" w:name="_Toc97386404"/>
      <w:bookmarkStart w:id="54" w:name="_Toc97386706"/>
      <w:r>
        <w:rPr>
          <w:rFonts w:hint="eastAsia"/>
          <w:sz w:val="28"/>
          <w:szCs w:val="28"/>
        </w:rPr>
        <w:t>(</w:t>
      </w:r>
      <w:r>
        <w:rPr>
          <w:sz w:val="28"/>
          <w:szCs w:val="28"/>
        </w:rPr>
        <w:t>10</w:t>
      </w:r>
      <w:r>
        <w:rPr>
          <w:rFonts w:hint="eastAsia"/>
          <w:sz w:val="28"/>
          <w:szCs w:val="28"/>
        </w:rPr>
        <w:t>)</w:t>
      </w:r>
      <w:r>
        <w:rPr>
          <w:sz w:val="28"/>
          <w:szCs w:val="28"/>
        </w:rPr>
        <w:tab/>
      </w:r>
      <w:r>
        <w:rPr>
          <w:sz w:val="28"/>
          <w:szCs w:val="28"/>
        </w:rPr>
        <w:t>患者标签</w:t>
      </w:r>
      <w:bookmarkEnd w:id="53"/>
      <w:bookmarkEnd w:id="54"/>
    </w:p>
    <w:p w14:paraId="36F4F49B">
      <w:pPr>
        <w:shd w:val="clear" w:color="auto" w:fill="FFFFFF"/>
        <w:topLinePunct/>
        <w:autoSpaceDE/>
        <w:autoSpaceDN/>
        <w:adjustRightInd/>
        <w:jc w:val="both"/>
        <w:rPr>
          <w:rFonts w:eastAsia="宋体"/>
          <w:color w:val="000000"/>
          <w:sz w:val="24"/>
          <w:szCs w:val="24"/>
        </w:rPr>
      </w:pPr>
    </w:p>
    <w:p w14:paraId="58BB63E5">
      <w:pPr>
        <w:shd w:val="clear" w:color="auto" w:fill="FFFFFF"/>
        <w:topLinePunct/>
        <w:autoSpaceDE/>
        <w:autoSpaceDN/>
        <w:adjustRightInd/>
        <w:ind w:firstLine="480" w:firstLineChars="200"/>
        <w:jc w:val="both"/>
        <w:rPr>
          <w:rFonts w:eastAsia="宋体"/>
          <w:color w:val="000000"/>
          <w:sz w:val="24"/>
          <w:szCs w:val="24"/>
          <w:vertAlign w:val="superscript"/>
        </w:rPr>
      </w:pPr>
      <w:r>
        <w:rPr>
          <w:rFonts w:eastAsia="宋体"/>
          <w:color w:val="000000"/>
          <w:sz w:val="24"/>
          <w:szCs w:val="24"/>
        </w:rPr>
        <w:t>您应提供打算提供给患者的所有患者标签的示例，包括患者指南和植入卡。</w:t>
      </w:r>
      <w:r>
        <w:rPr>
          <w:rFonts w:eastAsia="宋体"/>
          <w:sz w:val="24"/>
          <w:szCs w:val="24"/>
        </w:rPr>
        <w:t>在准备患者标签时，本机构建议使用FDA指南《</w:t>
      </w:r>
      <w:r>
        <w:rPr>
          <w:rFonts w:eastAsia="宋体"/>
          <w:color w:val="3333FF"/>
          <w:sz w:val="24"/>
          <w:szCs w:val="24"/>
          <w:u w:val="single"/>
        </w:rPr>
        <w:t>医疗器械患者标签指南</w:t>
      </w:r>
      <w:r>
        <w:rPr>
          <w:rFonts w:eastAsia="宋体"/>
          <w:sz w:val="24"/>
          <w:szCs w:val="24"/>
        </w:rPr>
        <w:t>》。</w:t>
      </w:r>
      <w:r>
        <w:rPr>
          <w:rStyle w:val="20"/>
          <w:rFonts w:eastAsia="宋体"/>
          <w:sz w:val="24"/>
          <w:szCs w:val="24"/>
        </w:rPr>
        <w:footnoteReference w:id="15"/>
      </w:r>
    </w:p>
    <w:p w14:paraId="6E58B9DE">
      <w:pPr>
        <w:shd w:val="clear" w:color="auto" w:fill="FFFFFF"/>
        <w:topLinePunct/>
        <w:autoSpaceDE/>
        <w:autoSpaceDN/>
        <w:adjustRightInd/>
        <w:ind w:firstLine="480" w:firstLineChars="200"/>
        <w:jc w:val="both"/>
        <w:rPr>
          <w:rFonts w:eastAsia="宋体"/>
          <w:sz w:val="24"/>
          <w:szCs w:val="24"/>
        </w:rPr>
      </w:pPr>
    </w:p>
    <w:p w14:paraId="27F41B5D">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对于具有MR特定条件安全的支架，根据</w:t>
      </w:r>
      <w:r>
        <w:rPr>
          <w:rFonts w:eastAsia="宋体"/>
          <w:sz w:val="24"/>
          <w:szCs w:val="24"/>
        </w:rPr>
        <w:t>《</w:t>
      </w:r>
      <w:r>
        <w:rPr>
          <w:rFonts w:eastAsia="宋体"/>
          <w:color w:val="3333FF"/>
          <w:sz w:val="24"/>
          <w:szCs w:val="24"/>
          <w:u w:val="single"/>
        </w:rPr>
        <w:t>确定无源植入物在磁共振（MR）环境中的安全性和兼容性</w:t>
      </w:r>
      <w:r>
        <w:rPr>
          <w:rFonts w:eastAsia="宋体"/>
          <w:sz w:val="24"/>
          <w:szCs w:val="24"/>
        </w:rPr>
        <w:t>》</w:t>
      </w:r>
      <w:r>
        <w:rPr>
          <w:rStyle w:val="20"/>
          <w:rFonts w:eastAsia="宋体"/>
          <w:sz w:val="24"/>
          <w:szCs w:val="24"/>
        </w:rPr>
        <w:footnoteReference w:id="16"/>
      </w:r>
      <w:r>
        <w:rPr>
          <w:rFonts w:eastAsia="宋体"/>
          <w:color w:val="000000"/>
          <w:sz w:val="24"/>
          <w:szCs w:val="24"/>
        </w:rPr>
        <w:t>的规定，本机构建议您纳入MR安全使用的所有条件以及ASTM F2503（当前公认版本）中的MR特定条件安全图标。</w:t>
      </w:r>
    </w:p>
    <w:p w14:paraId="5ACA8A16">
      <w:pPr>
        <w:shd w:val="clear" w:color="auto" w:fill="FFFFFF"/>
        <w:topLinePunct/>
        <w:autoSpaceDE/>
        <w:autoSpaceDN/>
        <w:adjustRightInd/>
        <w:jc w:val="both"/>
        <w:rPr>
          <w:rFonts w:eastAsia="宋体"/>
          <w:sz w:val="24"/>
          <w:szCs w:val="24"/>
        </w:rPr>
      </w:pPr>
    </w:p>
    <w:p w14:paraId="27205CE3">
      <w:pPr>
        <w:shd w:val="clear" w:color="auto" w:fill="FFFFFF"/>
        <w:topLinePunct/>
        <w:autoSpaceDE/>
        <w:autoSpaceDN/>
        <w:adjustRightInd/>
        <w:jc w:val="both"/>
        <w:rPr>
          <w:rFonts w:eastAsia="宋体"/>
          <w:sz w:val="24"/>
          <w:szCs w:val="24"/>
        </w:rPr>
      </w:pPr>
    </w:p>
    <w:p w14:paraId="1F9843B6">
      <w:pPr>
        <w:shd w:val="clear" w:color="auto" w:fill="FFFFFF"/>
        <w:topLinePunct/>
        <w:autoSpaceDE/>
        <w:autoSpaceDN/>
        <w:adjustRightInd/>
        <w:jc w:val="both"/>
        <w:rPr>
          <w:rFonts w:eastAsia="宋体"/>
          <w:sz w:val="24"/>
          <w:szCs w:val="24"/>
        </w:rPr>
      </w:pPr>
    </w:p>
    <w:p w14:paraId="2F6A6F64">
      <w:pPr>
        <w:shd w:val="clear" w:color="auto" w:fill="FFFFFF"/>
        <w:topLinePunct/>
        <w:autoSpaceDE/>
        <w:autoSpaceDN/>
        <w:adjustRightInd/>
        <w:jc w:val="both"/>
        <w:rPr>
          <w:rFonts w:eastAsia="宋体"/>
          <w:sz w:val="24"/>
          <w:szCs w:val="24"/>
        </w:rPr>
      </w:pPr>
    </w:p>
    <w:p w14:paraId="214013BD">
      <w:pPr>
        <w:shd w:val="clear" w:color="auto" w:fill="FFFFFF"/>
        <w:topLinePunct/>
        <w:autoSpaceDE/>
        <w:autoSpaceDN/>
        <w:adjustRightInd/>
        <w:jc w:val="both"/>
        <w:rPr>
          <w:rFonts w:eastAsia="宋体"/>
          <w:sz w:val="24"/>
          <w:szCs w:val="24"/>
        </w:rPr>
      </w:pPr>
    </w:p>
    <w:p w14:paraId="32420D48">
      <w:pPr>
        <w:shd w:val="clear" w:color="auto" w:fill="FFFFFF"/>
        <w:topLinePunct/>
        <w:autoSpaceDE/>
        <w:autoSpaceDN/>
        <w:adjustRightInd/>
        <w:jc w:val="both"/>
        <w:rPr>
          <w:rFonts w:eastAsia="宋体"/>
          <w:sz w:val="24"/>
          <w:szCs w:val="24"/>
        </w:rPr>
      </w:pPr>
    </w:p>
    <w:p w14:paraId="2B0451E8">
      <w:pPr>
        <w:shd w:val="clear" w:color="auto" w:fill="FFFFFF"/>
        <w:topLinePunct/>
        <w:autoSpaceDE/>
        <w:autoSpaceDN/>
        <w:adjustRightInd/>
        <w:jc w:val="both"/>
        <w:rPr>
          <w:rFonts w:eastAsia="宋体"/>
          <w:sz w:val="24"/>
          <w:szCs w:val="24"/>
        </w:rPr>
      </w:pPr>
    </w:p>
    <w:p w14:paraId="5FC70772">
      <w:pPr>
        <w:shd w:val="clear" w:color="auto" w:fill="FFFFFF"/>
        <w:topLinePunct/>
        <w:autoSpaceDE/>
        <w:autoSpaceDN/>
        <w:adjustRightInd/>
        <w:jc w:val="both"/>
        <w:rPr>
          <w:rFonts w:eastAsia="宋体"/>
          <w:sz w:val="24"/>
          <w:szCs w:val="24"/>
        </w:rPr>
      </w:pPr>
    </w:p>
    <w:p w14:paraId="71759C45">
      <w:pPr>
        <w:shd w:val="clear" w:color="auto" w:fill="FFFFFF"/>
        <w:topLinePunct/>
        <w:autoSpaceDE/>
        <w:autoSpaceDN/>
        <w:adjustRightInd/>
        <w:jc w:val="both"/>
        <w:rPr>
          <w:rFonts w:eastAsia="宋体"/>
          <w:sz w:val="24"/>
          <w:szCs w:val="24"/>
        </w:rPr>
      </w:pPr>
    </w:p>
    <w:p w14:paraId="47F8E692">
      <w:pPr>
        <w:shd w:val="clear" w:color="auto" w:fill="FFFFFF"/>
        <w:topLinePunct/>
        <w:autoSpaceDE/>
        <w:autoSpaceDN/>
        <w:adjustRightInd/>
        <w:jc w:val="both"/>
        <w:rPr>
          <w:rFonts w:eastAsia="宋体"/>
          <w:sz w:val="24"/>
          <w:szCs w:val="24"/>
        </w:rPr>
      </w:pPr>
    </w:p>
    <w:p w14:paraId="32B25145">
      <w:pPr>
        <w:shd w:val="clear" w:color="auto" w:fill="FFFFFF"/>
        <w:topLinePunct/>
        <w:autoSpaceDE/>
        <w:autoSpaceDN/>
        <w:adjustRightInd/>
        <w:jc w:val="both"/>
        <w:rPr>
          <w:rFonts w:eastAsia="宋体"/>
          <w:sz w:val="24"/>
          <w:szCs w:val="24"/>
        </w:rPr>
      </w:pPr>
    </w:p>
    <w:p w14:paraId="7FB857B7">
      <w:pPr>
        <w:shd w:val="clear" w:color="auto" w:fill="FFFFFF"/>
        <w:topLinePunct/>
        <w:autoSpaceDE/>
        <w:autoSpaceDN/>
        <w:adjustRightInd/>
        <w:jc w:val="both"/>
        <w:rPr>
          <w:rFonts w:eastAsia="宋体"/>
          <w:sz w:val="24"/>
          <w:szCs w:val="24"/>
        </w:rPr>
      </w:pPr>
    </w:p>
    <w:p w14:paraId="6BD68CBD">
      <w:pPr>
        <w:shd w:val="clear" w:color="auto" w:fill="FFFFFF"/>
        <w:topLinePunct/>
        <w:autoSpaceDE/>
        <w:autoSpaceDN/>
        <w:adjustRightInd/>
        <w:jc w:val="both"/>
        <w:rPr>
          <w:rFonts w:eastAsia="宋体"/>
          <w:sz w:val="24"/>
          <w:szCs w:val="24"/>
        </w:rPr>
      </w:pPr>
    </w:p>
    <w:p w14:paraId="20E22DAA">
      <w:pPr>
        <w:shd w:val="clear" w:color="auto" w:fill="FFFFFF"/>
        <w:topLinePunct/>
        <w:autoSpaceDE/>
        <w:autoSpaceDN/>
        <w:adjustRightInd/>
        <w:jc w:val="both"/>
        <w:rPr>
          <w:rFonts w:eastAsia="宋体"/>
          <w:sz w:val="24"/>
          <w:szCs w:val="24"/>
        </w:rPr>
        <w:sectPr>
          <w:headerReference r:id="rId7" w:type="default"/>
          <w:type w:val="nextColumn"/>
          <w:pgSz w:w="11909" w:h="16834"/>
          <w:pgMar w:top="1134" w:right="1134" w:bottom="1134" w:left="1418" w:header="567" w:footer="567" w:gutter="0"/>
          <w:cols w:space="60" w:num="1"/>
          <w:docGrid w:type="lines" w:linePitch="364" w:charSpace="0"/>
        </w:sectPr>
      </w:pPr>
    </w:p>
    <w:p w14:paraId="5E0A15C5">
      <w:pPr>
        <w:pStyle w:val="2"/>
        <w:spacing w:before="0" w:beforeLines="0" w:line="240" w:lineRule="auto"/>
        <w:ind w:left="1285" w:hanging="1285"/>
        <w:rPr>
          <w:szCs w:val="32"/>
        </w:rPr>
      </w:pPr>
      <w:bookmarkStart w:id="55" w:name="_Toc97386405"/>
      <w:bookmarkStart w:id="56" w:name="_Toc97386707"/>
      <w:r>
        <w:rPr>
          <w:szCs w:val="32"/>
        </w:rPr>
        <w:t>附录A：</w:t>
      </w:r>
      <w:r>
        <w:rPr>
          <w:szCs w:val="32"/>
        </w:rPr>
        <w:tab/>
      </w:r>
      <w:r>
        <w:rPr>
          <w:szCs w:val="32"/>
        </w:rPr>
        <w:t>测试总结表示例</w:t>
      </w:r>
      <w:bookmarkEnd w:id="55"/>
      <w:bookmarkEnd w:id="56"/>
    </w:p>
    <w:p w14:paraId="43F1FE0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有关如何组织测试概要信息的示例，请参见下文。</w:t>
      </w:r>
    </w:p>
    <w:p w14:paraId="6EB4C85B">
      <w:pPr>
        <w:shd w:val="clear" w:color="auto" w:fill="FFFFFF"/>
        <w:topLinePunct/>
        <w:autoSpaceDE/>
        <w:autoSpaceDN/>
        <w:adjustRightInd/>
        <w:snapToGrid w:val="0"/>
        <w:ind w:firstLine="480" w:firstLineChars="200"/>
        <w:jc w:val="both"/>
        <w:rPr>
          <w:rFonts w:eastAsia="宋体"/>
          <w:color w:val="000000"/>
          <w:sz w:val="24"/>
          <w:szCs w:val="24"/>
        </w:rPr>
      </w:pPr>
    </w:p>
    <w:tbl>
      <w:tblPr>
        <w:tblStyle w:val="14"/>
        <w:tblW w:w="5000" w:type="pct"/>
        <w:tblInd w:w="0" w:type="dxa"/>
        <w:tblLayout w:type="autofit"/>
        <w:tblCellMar>
          <w:top w:w="0" w:type="dxa"/>
          <w:left w:w="57" w:type="dxa"/>
          <w:bottom w:w="0" w:type="dxa"/>
          <w:right w:w="57" w:type="dxa"/>
        </w:tblCellMar>
      </w:tblPr>
      <w:tblGrid>
        <w:gridCol w:w="2915"/>
        <w:gridCol w:w="4222"/>
        <w:gridCol w:w="1841"/>
        <w:gridCol w:w="2736"/>
        <w:gridCol w:w="2099"/>
        <w:gridCol w:w="867"/>
      </w:tblGrid>
      <w:tr w14:paraId="22398D76">
        <w:tblPrEx>
          <w:tblCellMar>
            <w:top w:w="0" w:type="dxa"/>
            <w:left w:w="57" w:type="dxa"/>
            <w:bottom w:w="0" w:type="dxa"/>
            <w:right w:w="57" w:type="dxa"/>
          </w:tblCellMar>
        </w:tblPrEx>
        <w:trPr>
          <w:trHeight w:val="340" w:hRule="atLeast"/>
          <w:tblHeader/>
        </w:trPr>
        <w:tc>
          <w:tcPr>
            <w:tcW w:w="2431" w:type="pct"/>
            <w:gridSpan w:val="2"/>
            <w:tcBorders>
              <w:top w:val="single" w:color="auto" w:sz="12" w:space="0"/>
              <w:left w:val="single" w:color="auto" w:sz="12" w:space="0"/>
              <w:bottom w:val="single" w:color="auto" w:sz="12" w:space="0"/>
              <w:right w:val="single" w:color="auto" w:sz="12" w:space="0"/>
            </w:tcBorders>
            <w:shd w:val="clear" w:color="auto" w:fill="FFFFFF"/>
          </w:tcPr>
          <w:p w14:paraId="35AA6B98">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测试</w:t>
            </w:r>
          </w:p>
        </w:tc>
        <w:tc>
          <w:tcPr>
            <w:tcW w:w="627" w:type="pct"/>
            <w:tcBorders>
              <w:top w:val="single" w:color="auto" w:sz="12" w:space="0"/>
              <w:left w:val="single" w:color="auto" w:sz="12" w:space="0"/>
              <w:bottom w:val="single" w:color="auto" w:sz="12" w:space="0"/>
              <w:right w:val="single" w:color="auto" w:sz="12" w:space="0"/>
            </w:tcBorders>
            <w:shd w:val="clear" w:color="auto" w:fill="FFFFFF"/>
          </w:tcPr>
          <w:p w14:paraId="65EE6A07">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受试尺寸和样本量</w:t>
            </w:r>
          </w:p>
        </w:tc>
        <w:tc>
          <w:tcPr>
            <w:tcW w:w="932" w:type="pct"/>
            <w:tcBorders>
              <w:top w:val="single" w:color="auto" w:sz="12" w:space="0"/>
              <w:left w:val="single" w:color="auto" w:sz="12" w:space="0"/>
              <w:bottom w:val="single" w:color="auto" w:sz="12" w:space="0"/>
              <w:right w:val="single" w:color="auto" w:sz="12" w:space="0"/>
            </w:tcBorders>
            <w:shd w:val="clear" w:color="auto" w:fill="FFFFFF"/>
          </w:tcPr>
          <w:p w14:paraId="06667726">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测试方法或标准参考</w:t>
            </w:r>
          </w:p>
        </w:tc>
        <w:tc>
          <w:tcPr>
            <w:tcW w:w="715" w:type="pct"/>
            <w:tcBorders>
              <w:top w:val="single" w:color="auto" w:sz="12" w:space="0"/>
              <w:left w:val="single" w:color="auto" w:sz="12" w:space="0"/>
              <w:bottom w:val="single" w:color="auto" w:sz="12" w:space="0"/>
              <w:right w:val="single" w:color="auto" w:sz="12" w:space="0"/>
            </w:tcBorders>
            <w:shd w:val="clear" w:color="auto" w:fill="FFFFFF"/>
          </w:tcPr>
          <w:p w14:paraId="23F58FCC">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接受/拒收标准</w:t>
            </w:r>
          </w:p>
        </w:tc>
        <w:tc>
          <w:tcPr>
            <w:tcW w:w="295" w:type="pct"/>
            <w:tcBorders>
              <w:top w:val="single" w:color="auto" w:sz="12" w:space="0"/>
              <w:left w:val="single" w:color="auto" w:sz="12" w:space="0"/>
              <w:bottom w:val="single" w:color="auto" w:sz="12" w:space="0"/>
              <w:right w:val="single" w:color="auto" w:sz="12" w:space="0"/>
            </w:tcBorders>
            <w:shd w:val="clear" w:color="auto" w:fill="FFFFFF"/>
          </w:tcPr>
          <w:p w14:paraId="1E9A5848">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结果</w:t>
            </w:r>
          </w:p>
        </w:tc>
      </w:tr>
      <w:tr w14:paraId="646C9F3D">
        <w:tblPrEx>
          <w:tblCellMar>
            <w:top w:w="0" w:type="dxa"/>
            <w:left w:w="57" w:type="dxa"/>
            <w:bottom w:w="0" w:type="dxa"/>
            <w:right w:w="57" w:type="dxa"/>
          </w:tblCellMar>
        </w:tblPrEx>
        <w:trPr>
          <w:trHeight w:val="340" w:hRule="atLeast"/>
        </w:trPr>
        <w:tc>
          <w:tcPr>
            <w:tcW w:w="993" w:type="pct"/>
            <w:vMerge w:val="restart"/>
            <w:tcBorders>
              <w:top w:val="single" w:color="auto" w:sz="12" w:space="0"/>
              <w:left w:val="single" w:color="auto" w:sz="6" w:space="0"/>
              <w:right w:val="single" w:color="auto" w:sz="6" w:space="0"/>
            </w:tcBorders>
            <w:shd w:val="clear" w:color="auto" w:fill="FFFFFF"/>
          </w:tcPr>
          <w:p w14:paraId="14F4B067">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材料表征</w:t>
            </w:r>
          </w:p>
        </w:tc>
        <w:tc>
          <w:tcPr>
            <w:tcW w:w="1438" w:type="pct"/>
            <w:tcBorders>
              <w:top w:val="single" w:color="auto" w:sz="12" w:space="0"/>
              <w:left w:val="single" w:color="auto" w:sz="6" w:space="0"/>
              <w:bottom w:val="single" w:color="auto" w:sz="6" w:space="0"/>
              <w:right w:val="single" w:color="auto" w:sz="6" w:space="0"/>
            </w:tcBorders>
            <w:shd w:val="clear" w:color="auto" w:fill="FFFFFF"/>
          </w:tcPr>
          <w:p w14:paraId="0A200C4E">
            <w:pPr>
              <w:shd w:val="clear" w:color="auto" w:fill="FFFFFF"/>
              <w:topLinePunct/>
              <w:autoSpaceDE/>
              <w:autoSpaceDN/>
              <w:adjustRightInd/>
              <w:snapToGrid w:val="0"/>
              <w:jc w:val="center"/>
              <w:rPr>
                <w:rFonts w:eastAsia="宋体"/>
                <w:sz w:val="21"/>
                <w:szCs w:val="21"/>
              </w:rPr>
            </w:pPr>
            <w:r>
              <w:rPr>
                <w:rFonts w:eastAsia="宋体"/>
                <w:color w:val="000000"/>
                <w:sz w:val="21"/>
                <w:szCs w:val="21"/>
              </w:rPr>
              <w:t>*材料构成</w:t>
            </w:r>
          </w:p>
        </w:tc>
        <w:tc>
          <w:tcPr>
            <w:tcW w:w="627" w:type="pct"/>
            <w:tcBorders>
              <w:top w:val="single" w:color="auto" w:sz="12" w:space="0"/>
              <w:left w:val="single" w:color="auto" w:sz="6" w:space="0"/>
              <w:bottom w:val="single" w:color="auto" w:sz="6" w:space="0"/>
              <w:right w:val="single" w:color="auto" w:sz="6" w:space="0"/>
            </w:tcBorders>
            <w:shd w:val="clear" w:color="auto" w:fill="FFFFFF"/>
          </w:tcPr>
          <w:p w14:paraId="0A84B83F">
            <w:pPr>
              <w:shd w:val="clear" w:color="auto" w:fill="FFFFFF"/>
              <w:topLinePunct/>
              <w:autoSpaceDE/>
              <w:autoSpaceDN/>
              <w:adjustRightInd/>
              <w:snapToGrid w:val="0"/>
              <w:jc w:val="center"/>
              <w:rPr>
                <w:rFonts w:eastAsia="宋体"/>
                <w:sz w:val="21"/>
                <w:szCs w:val="21"/>
              </w:rPr>
            </w:pPr>
          </w:p>
        </w:tc>
        <w:tc>
          <w:tcPr>
            <w:tcW w:w="932" w:type="pct"/>
            <w:tcBorders>
              <w:top w:val="single" w:color="auto" w:sz="12" w:space="0"/>
              <w:left w:val="single" w:color="auto" w:sz="6" w:space="0"/>
              <w:bottom w:val="single" w:color="auto" w:sz="6" w:space="0"/>
              <w:right w:val="single" w:color="auto" w:sz="6" w:space="0"/>
            </w:tcBorders>
            <w:shd w:val="clear" w:color="auto" w:fill="FFFFFF"/>
          </w:tcPr>
          <w:p w14:paraId="209D0D4C">
            <w:pPr>
              <w:shd w:val="clear" w:color="auto" w:fill="FFFFFF"/>
              <w:topLinePunct/>
              <w:autoSpaceDE/>
              <w:autoSpaceDN/>
              <w:adjustRightInd/>
              <w:snapToGrid w:val="0"/>
              <w:jc w:val="center"/>
              <w:rPr>
                <w:rFonts w:eastAsia="宋体"/>
                <w:sz w:val="21"/>
                <w:szCs w:val="21"/>
              </w:rPr>
            </w:pPr>
          </w:p>
        </w:tc>
        <w:tc>
          <w:tcPr>
            <w:tcW w:w="715" w:type="pct"/>
            <w:tcBorders>
              <w:top w:val="single" w:color="auto" w:sz="12" w:space="0"/>
              <w:left w:val="single" w:color="auto" w:sz="6" w:space="0"/>
              <w:bottom w:val="single" w:color="auto" w:sz="6" w:space="0"/>
              <w:right w:val="single" w:color="auto" w:sz="6" w:space="0"/>
            </w:tcBorders>
            <w:shd w:val="clear" w:color="auto" w:fill="FFFFFF"/>
          </w:tcPr>
          <w:p w14:paraId="4413F03B">
            <w:pPr>
              <w:shd w:val="clear" w:color="auto" w:fill="FFFFFF"/>
              <w:topLinePunct/>
              <w:autoSpaceDE/>
              <w:autoSpaceDN/>
              <w:adjustRightInd/>
              <w:snapToGrid w:val="0"/>
              <w:jc w:val="center"/>
              <w:rPr>
                <w:rFonts w:eastAsia="宋体"/>
                <w:sz w:val="21"/>
                <w:szCs w:val="21"/>
              </w:rPr>
            </w:pPr>
          </w:p>
        </w:tc>
        <w:tc>
          <w:tcPr>
            <w:tcW w:w="295" w:type="pct"/>
            <w:tcBorders>
              <w:top w:val="single" w:color="auto" w:sz="12" w:space="0"/>
              <w:left w:val="single" w:color="auto" w:sz="6" w:space="0"/>
              <w:bottom w:val="single" w:color="auto" w:sz="6" w:space="0"/>
              <w:right w:val="single" w:color="auto" w:sz="6" w:space="0"/>
            </w:tcBorders>
            <w:shd w:val="clear" w:color="auto" w:fill="FFFFFF"/>
          </w:tcPr>
          <w:p w14:paraId="4BF3D62F">
            <w:pPr>
              <w:shd w:val="clear" w:color="auto" w:fill="FFFFFF"/>
              <w:topLinePunct/>
              <w:autoSpaceDE/>
              <w:autoSpaceDN/>
              <w:adjustRightInd/>
              <w:snapToGrid w:val="0"/>
              <w:jc w:val="center"/>
              <w:rPr>
                <w:rFonts w:eastAsia="宋体"/>
                <w:sz w:val="21"/>
                <w:szCs w:val="21"/>
              </w:rPr>
            </w:pPr>
          </w:p>
        </w:tc>
      </w:tr>
      <w:tr w14:paraId="2E1FA75F">
        <w:tblPrEx>
          <w:tblCellMar>
            <w:top w:w="0" w:type="dxa"/>
            <w:left w:w="57" w:type="dxa"/>
            <w:bottom w:w="0" w:type="dxa"/>
            <w:right w:w="57" w:type="dxa"/>
          </w:tblCellMar>
        </w:tblPrEx>
        <w:trPr>
          <w:trHeight w:val="340" w:hRule="atLeast"/>
        </w:trPr>
        <w:tc>
          <w:tcPr>
            <w:tcW w:w="993" w:type="pct"/>
            <w:vMerge w:val="continue"/>
            <w:tcBorders>
              <w:left w:val="single" w:color="auto" w:sz="6" w:space="0"/>
              <w:bottom w:val="single" w:color="auto" w:sz="6" w:space="0"/>
              <w:right w:val="single" w:color="auto" w:sz="6" w:space="0"/>
            </w:tcBorders>
            <w:shd w:val="clear" w:color="auto" w:fill="FFFFFF"/>
          </w:tcPr>
          <w:p w14:paraId="3625E304">
            <w:pPr>
              <w:topLinePunct/>
              <w:autoSpaceDE/>
              <w:autoSpaceDN/>
              <w:adjustRightInd/>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6682F3F5">
            <w:pPr>
              <w:shd w:val="clear" w:color="auto" w:fill="FFFFFF"/>
              <w:topLinePunct/>
              <w:autoSpaceDE/>
              <w:autoSpaceDN/>
              <w:adjustRightInd/>
              <w:snapToGrid w:val="0"/>
              <w:jc w:val="center"/>
              <w:rPr>
                <w:rFonts w:eastAsia="宋体"/>
                <w:sz w:val="21"/>
                <w:szCs w:val="21"/>
              </w:rPr>
            </w:pPr>
            <w:r>
              <w:rPr>
                <w:rFonts w:eastAsia="宋体"/>
                <w:color w:val="000000"/>
                <w:sz w:val="21"/>
                <w:szCs w:val="21"/>
              </w:rPr>
              <w:t>*抗腐蚀性</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48D5E03C">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50083CA8">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670BD138">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4B664987">
            <w:pPr>
              <w:shd w:val="clear" w:color="auto" w:fill="FFFFFF"/>
              <w:topLinePunct/>
              <w:autoSpaceDE/>
              <w:autoSpaceDN/>
              <w:adjustRightInd/>
              <w:snapToGrid w:val="0"/>
              <w:jc w:val="center"/>
              <w:rPr>
                <w:rFonts w:eastAsia="宋体"/>
                <w:sz w:val="21"/>
                <w:szCs w:val="21"/>
              </w:rPr>
            </w:pPr>
          </w:p>
        </w:tc>
      </w:tr>
      <w:tr w14:paraId="4D0A211A">
        <w:tblPrEx>
          <w:tblCellMar>
            <w:top w:w="0" w:type="dxa"/>
            <w:left w:w="57" w:type="dxa"/>
            <w:bottom w:w="0" w:type="dxa"/>
            <w:right w:w="57" w:type="dxa"/>
          </w:tblCellMar>
        </w:tblPrEx>
        <w:trPr>
          <w:trHeight w:val="340" w:hRule="atLeast"/>
        </w:trPr>
        <w:tc>
          <w:tcPr>
            <w:tcW w:w="993" w:type="pct"/>
            <w:vMerge w:val="restart"/>
            <w:tcBorders>
              <w:top w:val="single" w:color="auto" w:sz="6" w:space="0"/>
              <w:left w:val="single" w:color="auto" w:sz="6" w:space="0"/>
              <w:right w:val="single" w:color="auto" w:sz="6" w:space="0"/>
            </w:tcBorders>
            <w:shd w:val="clear" w:color="auto" w:fill="FFFFFF"/>
          </w:tcPr>
          <w:p w14:paraId="0F64AD7F">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支架尺寸和功能属性</w:t>
            </w: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2460ADA4">
            <w:pPr>
              <w:shd w:val="clear" w:color="auto" w:fill="FFFFFF"/>
              <w:topLinePunct/>
              <w:autoSpaceDE/>
              <w:autoSpaceDN/>
              <w:adjustRightInd/>
              <w:snapToGrid w:val="0"/>
              <w:jc w:val="center"/>
              <w:rPr>
                <w:rFonts w:eastAsia="宋体"/>
                <w:sz w:val="21"/>
                <w:szCs w:val="21"/>
              </w:rPr>
            </w:pPr>
            <w:r>
              <w:rPr>
                <w:rFonts w:eastAsia="宋体"/>
                <w:color w:val="000000"/>
                <w:sz w:val="21"/>
                <w:szCs w:val="21"/>
              </w:rPr>
              <w:t>*尺寸验证</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2BF23184">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05624CA1">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27226E64">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6EF1CB1E">
            <w:pPr>
              <w:shd w:val="clear" w:color="auto" w:fill="FFFFFF"/>
              <w:topLinePunct/>
              <w:autoSpaceDE/>
              <w:autoSpaceDN/>
              <w:adjustRightInd/>
              <w:snapToGrid w:val="0"/>
              <w:jc w:val="center"/>
              <w:rPr>
                <w:rFonts w:eastAsia="宋体"/>
                <w:sz w:val="21"/>
                <w:szCs w:val="21"/>
              </w:rPr>
            </w:pPr>
          </w:p>
        </w:tc>
      </w:tr>
      <w:tr w14:paraId="133EE24D">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18A4CF2B">
            <w:pPr>
              <w:topLinePunct/>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05AC6D9B">
            <w:pPr>
              <w:shd w:val="clear" w:color="auto" w:fill="FFFFFF"/>
              <w:topLinePunct/>
              <w:autoSpaceDE/>
              <w:autoSpaceDN/>
              <w:adjustRightInd/>
              <w:snapToGrid w:val="0"/>
              <w:jc w:val="center"/>
              <w:rPr>
                <w:rFonts w:eastAsia="宋体"/>
                <w:sz w:val="21"/>
                <w:szCs w:val="21"/>
              </w:rPr>
            </w:pPr>
            <w:r>
              <w:rPr>
                <w:rFonts w:eastAsia="宋体"/>
                <w:color w:val="000000"/>
                <w:sz w:val="21"/>
                <w:szCs w:val="21"/>
              </w:rPr>
              <w:t>*纵向短缩</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42F583A3">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5FC7E41F">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12876649">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6F6BBD02">
            <w:pPr>
              <w:shd w:val="clear" w:color="auto" w:fill="FFFFFF"/>
              <w:topLinePunct/>
              <w:autoSpaceDE/>
              <w:autoSpaceDN/>
              <w:adjustRightInd/>
              <w:snapToGrid w:val="0"/>
              <w:jc w:val="center"/>
              <w:rPr>
                <w:rFonts w:eastAsia="宋体"/>
                <w:sz w:val="21"/>
                <w:szCs w:val="21"/>
              </w:rPr>
            </w:pPr>
          </w:p>
        </w:tc>
      </w:tr>
      <w:tr w14:paraId="1A0B722E">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6E7C5F17">
            <w:pPr>
              <w:topLinePunct/>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3458DB42">
            <w:pPr>
              <w:shd w:val="clear" w:color="auto" w:fill="FFFFFF"/>
              <w:topLinePunct/>
              <w:autoSpaceDE/>
              <w:autoSpaceDN/>
              <w:adjustRightInd/>
              <w:snapToGrid w:val="0"/>
              <w:jc w:val="center"/>
              <w:rPr>
                <w:rFonts w:eastAsia="宋体"/>
                <w:sz w:val="21"/>
                <w:szCs w:val="21"/>
              </w:rPr>
            </w:pPr>
            <w:r>
              <w:rPr>
                <w:rFonts w:eastAsia="宋体"/>
                <w:color w:val="000000"/>
                <w:sz w:val="21"/>
                <w:szCs w:val="21"/>
              </w:rPr>
              <w:t>*球囊扩张式支架放气</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4FE04E04">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6B1DBD87">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6EFCC838">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729A0700">
            <w:pPr>
              <w:shd w:val="clear" w:color="auto" w:fill="FFFFFF"/>
              <w:topLinePunct/>
              <w:autoSpaceDE/>
              <w:autoSpaceDN/>
              <w:adjustRightInd/>
              <w:snapToGrid w:val="0"/>
              <w:jc w:val="center"/>
              <w:rPr>
                <w:rFonts w:eastAsia="宋体"/>
                <w:sz w:val="21"/>
                <w:szCs w:val="21"/>
              </w:rPr>
            </w:pPr>
          </w:p>
        </w:tc>
      </w:tr>
      <w:tr w14:paraId="0778C883">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442806D5">
            <w:pPr>
              <w:topLinePunct/>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4E9AF517">
            <w:pPr>
              <w:shd w:val="clear" w:color="auto" w:fill="FFFFFF"/>
              <w:topLinePunct/>
              <w:autoSpaceDE/>
              <w:autoSpaceDN/>
              <w:adjustRightInd/>
              <w:snapToGrid w:val="0"/>
              <w:jc w:val="center"/>
              <w:rPr>
                <w:rFonts w:eastAsia="宋体"/>
                <w:sz w:val="21"/>
                <w:szCs w:val="21"/>
              </w:rPr>
            </w:pPr>
            <w:r>
              <w:rPr>
                <w:rFonts w:eastAsia="宋体"/>
                <w:color w:val="000000"/>
                <w:sz w:val="21"/>
                <w:szCs w:val="21"/>
              </w:rPr>
              <w:t>支架完整性</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29B959C9">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46B6331C">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56D390C3">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0D656FA5">
            <w:pPr>
              <w:shd w:val="clear" w:color="auto" w:fill="FFFFFF"/>
              <w:topLinePunct/>
              <w:autoSpaceDE/>
              <w:autoSpaceDN/>
              <w:adjustRightInd/>
              <w:snapToGrid w:val="0"/>
              <w:jc w:val="center"/>
              <w:rPr>
                <w:rFonts w:eastAsia="宋体"/>
                <w:sz w:val="21"/>
                <w:szCs w:val="21"/>
              </w:rPr>
            </w:pPr>
          </w:p>
        </w:tc>
      </w:tr>
      <w:tr w14:paraId="3D55EEF4">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3FB10C93">
            <w:pPr>
              <w:topLinePunct/>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063C4C15">
            <w:pPr>
              <w:shd w:val="clear" w:color="auto" w:fill="FFFFFF"/>
              <w:topLinePunct/>
              <w:autoSpaceDE/>
              <w:autoSpaceDN/>
              <w:adjustRightInd/>
              <w:snapToGrid w:val="0"/>
              <w:jc w:val="center"/>
              <w:rPr>
                <w:rFonts w:eastAsia="宋体"/>
                <w:sz w:val="21"/>
                <w:szCs w:val="21"/>
              </w:rPr>
            </w:pPr>
            <w:r>
              <w:rPr>
                <w:rFonts w:eastAsia="宋体"/>
                <w:color w:val="000000"/>
                <w:sz w:val="21"/>
                <w:szCs w:val="21"/>
              </w:rPr>
              <w:t>*径向回缩力</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523F6B97">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660F4EE7">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7452E5F5">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2B4CD361">
            <w:pPr>
              <w:shd w:val="clear" w:color="auto" w:fill="FFFFFF"/>
              <w:topLinePunct/>
              <w:autoSpaceDE/>
              <w:autoSpaceDN/>
              <w:adjustRightInd/>
              <w:snapToGrid w:val="0"/>
              <w:jc w:val="center"/>
              <w:rPr>
                <w:rFonts w:eastAsia="宋体"/>
                <w:sz w:val="21"/>
                <w:szCs w:val="21"/>
              </w:rPr>
            </w:pPr>
          </w:p>
        </w:tc>
      </w:tr>
      <w:tr w14:paraId="0F89474B">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24BCE1C1">
            <w:pPr>
              <w:topLinePunct/>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7D2D7E27">
            <w:pPr>
              <w:shd w:val="clear" w:color="auto" w:fill="FFFFFF"/>
              <w:topLinePunct/>
              <w:autoSpaceDE/>
              <w:autoSpaceDN/>
              <w:adjustRightInd/>
              <w:snapToGrid w:val="0"/>
              <w:jc w:val="center"/>
              <w:rPr>
                <w:rFonts w:eastAsia="宋体"/>
                <w:sz w:val="21"/>
                <w:szCs w:val="21"/>
              </w:rPr>
            </w:pPr>
            <w:r>
              <w:rPr>
                <w:rFonts w:eastAsia="宋体"/>
                <w:color w:val="000000"/>
                <w:sz w:val="21"/>
                <w:szCs w:val="21"/>
              </w:rPr>
              <w:t>*径向向外力</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554DA497">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1EB0099A">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626D1D21">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0F036012">
            <w:pPr>
              <w:shd w:val="clear" w:color="auto" w:fill="FFFFFF"/>
              <w:topLinePunct/>
              <w:autoSpaceDE/>
              <w:autoSpaceDN/>
              <w:adjustRightInd/>
              <w:snapToGrid w:val="0"/>
              <w:jc w:val="center"/>
              <w:rPr>
                <w:rFonts w:eastAsia="宋体"/>
                <w:sz w:val="21"/>
                <w:szCs w:val="21"/>
              </w:rPr>
            </w:pPr>
          </w:p>
        </w:tc>
      </w:tr>
      <w:tr w14:paraId="2D83DC9E">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2080B6EE">
            <w:pPr>
              <w:topLinePunct/>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04F68229">
            <w:pPr>
              <w:shd w:val="clear" w:color="auto" w:fill="FFFFFF"/>
              <w:topLinePunct/>
              <w:autoSpaceDE/>
              <w:autoSpaceDN/>
              <w:adjustRightInd/>
              <w:snapToGrid w:val="0"/>
              <w:jc w:val="center"/>
              <w:rPr>
                <w:rFonts w:eastAsia="宋体"/>
                <w:sz w:val="21"/>
                <w:szCs w:val="21"/>
              </w:rPr>
            </w:pPr>
            <w:r>
              <w:rPr>
                <w:rFonts w:eastAsia="宋体"/>
                <w:color w:val="000000"/>
                <w:sz w:val="21"/>
                <w:szCs w:val="21"/>
              </w:rPr>
              <w:t>MR安全性与兼容性：</w:t>
            </w:r>
          </w:p>
          <w:p w14:paraId="7FEC0D1F">
            <w:pPr>
              <w:shd w:val="clear" w:color="auto" w:fill="FFFFFF"/>
              <w:tabs>
                <w:tab w:val="left" w:pos="1637"/>
              </w:tabs>
              <w:topLinePunct/>
              <w:autoSpaceDE/>
              <w:autoSpaceDN/>
              <w:adjustRightInd/>
              <w:snapToGrid w:val="0"/>
              <w:ind w:left="1020" w:leftChars="300" w:hanging="420" w:hangingChars="200"/>
              <w:jc w:val="center"/>
              <w:rPr>
                <w:rFonts w:eastAsia="宋体"/>
                <w:color w:val="000000"/>
                <w:sz w:val="21"/>
                <w:szCs w:val="21"/>
              </w:rPr>
            </w:pPr>
            <w:r>
              <w:rPr>
                <w:rFonts w:eastAsia="宋体"/>
                <w:color w:val="000000"/>
                <w:sz w:val="21"/>
                <w:szCs w:val="21"/>
              </w:rPr>
              <w:t>a</w:t>
            </w:r>
            <w:r>
              <w:rPr>
                <w:rFonts w:eastAsia="宋体"/>
                <w:color w:val="000000"/>
                <w:sz w:val="21"/>
                <w:szCs w:val="21"/>
              </w:rPr>
              <w:tab/>
            </w:r>
            <w:r>
              <w:rPr>
                <w:rFonts w:eastAsia="宋体"/>
                <w:color w:val="000000"/>
                <w:sz w:val="21"/>
                <w:szCs w:val="21"/>
              </w:rPr>
              <w:t>磁感应</w:t>
            </w:r>
          </w:p>
          <w:p w14:paraId="1DC0613D">
            <w:pPr>
              <w:shd w:val="clear" w:color="auto" w:fill="FFFFFF"/>
              <w:tabs>
                <w:tab w:val="left" w:pos="1637"/>
              </w:tabs>
              <w:topLinePunct/>
              <w:autoSpaceDE/>
              <w:autoSpaceDN/>
              <w:adjustRightInd/>
              <w:snapToGrid w:val="0"/>
              <w:ind w:left="1020" w:leftChars="300" w:hanging="420" w:hangingChars="200"/>
              <w:jc w:val="center"/>
              <w:rPr>
                <w:rFonts w:eastAsia="宋体"/>
                <w:sz w:val="21"/>
                <w:szCs w:val="21"/>
              </w:rPr>
            </w:pPr>
            <w:r>
              <w:rPr>
                <w:rFonts w:eastAsia="宋体"/>
                <w:color w:val="000000"/>
                <w:sz w:val="21"/>
                <w:szCs w:val="21"/>
              </w:rPr>
              <w:t>b</w:t>
            </w:r>
            <w:r>
              <w:rPr>
                <w:rFonts w:eastAsia="宋体"/>
                <w:color w:val="000000"/>
                <w:sz w:val="21"/>
                <w:szCs w:val="21"/>
              </w:rPr>
              <w:tab/>
            </w:r>
            <w:r>
              <w:rPr>
                <w:rFonts w:eastAsia="宋体"/>
                <w:color w:val="000000"/>
                <w:sz w:val="21"/>
                <w:szCs w:val="21"/>
              </w:rPr>
              <w:t>偏转力</w:t>
            </w:r>
          </w:p>
          <w:p w14:paraId="785F281D">
            <w:pPr>
              <w:shd w:val="clear" w:color="auto" w:fill="FFFFFF"/>
              <w:topLinePunct/>
              <w:autoSpaceDE/>
              <w:autoSpaceDN/>
              <w:adjustRightInd/>
              <w:snapToGrid w:val="0"/>
              <w:ind w:left="1020" w:leftChars="300" w:hanging="420" w:hangingChars="200"/>
              <w:jc w:val="center"/>
              <w:rPr>
                <w:rFonts w:eastAsia="宋体"/>
                <w:sz w:val="21"/>
                <w:szCs w:val="21"/>
              </w:rPr>
            </w:pPr>
            <w:r>
              <w:rPr>
                <w:rFonts w:eastAsia="宋体"/>
                <w:color w:val="000000"/>
                <w:sz w:val="21"/>
                <w:szCs w:val="21"/>
              </w:rPr>
              <w:t>c</w:t>
            </w:r>
            <w:r>
              <w:rPr>
                <w:rFonts w:eastAsia="宋体"/>
                <w:color w:val="000000"/>
                <w:sz w:val="21"/>
                <w:szCs w:val="21"/>
              </w:rPr>
              <w:tab/>
            </w:r>
            <w:r>
              <w:rPr>
                <w:rFonts w:eastAsia="宋体"/>
                <w:color w:val="000000"/>
                <w:sz w:val="21"/>
                <w:szCs w:val="21"/>
              </w:rPr>
              <w:t>磁感应扭矩</w:t>
            </w:r>
          </w:p>
          <w:p w14:paraId="7592E142">
            <w:pPr>
              <w:shd w:val="clear" w:color="auto" w:fill="FFFFFF"/>
              <w:tabs>
                <w:tab w:val="left" w:pos="1637"/>
              </w:tabs>
              <w:topLinePunct/>
              <w:autoSpaceDE/>
              <w:autoSpaceDN/>
              <w:adjustRightInd/>
              <w:snapToGrid w:val="0"/>
              <w:ind w:left="1020" w:leftChars="300" w:hanging="420" w:hangingChars="200"/>
              <w:jc w:val="center"/>
              <w:rPr>
                <w:rFonts w:eastAsia="宋体"/>
                <w:sz w:val="21"/>
                <w:szCs w:val="21"/>
              </w:rPr>
            </w:pPr>
            <w:r>
              <w:rPr>
                <w:rFonts w:eastAsia="宋体"/>
                <w:color w:val="000000"/>
                <w:sz w:val="21"/>
                <w:szCs w:val="21"/>
              </w:rPr>
              <w:t>d</w:t>
            </w:r>
            <w:r>
              <w:rPr>
                <w:rFonts w:eastAsia="宋体"/>
                <w:color w:val="000000"/>
                <w:sz w:val="21"/>
                <w:szCs w:val="21"/>
              </w:rPr>
              <w:tab/>
            </w:r>
            <w:r>
              <w:rPr>
                <w:rFonts w:eastAsia="宋体"/>
                <w:color w:val="000000"/>
                <w:sz w:val="21"/>
                <w:szCs w:val="21"/>
              </w:rPr>
              <w:t>射频感应加热</w:t>
            </w:r>
          </w:p>
          <w:p w14:paraId="1ED8A394">
            <w:pPr>
              <w:shd w:val="clear" w:color="auto" w:fill="FFFFFF"/>
              <w:tabs>
                <w:tab w:val="left" w:pos="1637"/>
              </w:tabs>
              <w:topLinePunct/>
              <w:autoSpaceDE/>
              <w:autoSpaceDN/>
              <w:adjustRightInd/>
              <w:snapToGrid w:val="0"/>
              <w:ind w:left="1020" w:leftChars="300" w:hanging="420" w:hangingChars="200"/>
              <w:jc w:val="center"/>
              <w:rPr>
                <w:rFonts w:eastAsia="宋体"/>
                <w:sz w:val="21"/>
                <w:szCs w:val="21"/>
              </w:rPr>
            </w:pPr>
            <w:r>
              <w:rPr>
                <w:rFonts w:eastAsia="宋体"/>
                <w:color w:val="000000"/>
                <w:sz w:val="21"/>
                <w:szCs w:val="21"/>
              </w:rPr>
              <w:t>e</w:t>
            </w:r>
            <w:r>
              <w:rPr>
                <w:rFonts w:eastAsia="宋体"/>
                <w:color w:val="000000"/>
                <w:sz w:val="21"/>
                <w:szCs w:val="21"/>
              </w:rPr>
              <w:tab/>
            </w:r>
            <w:r>
              <w:rPr>
                <w:rFonts w:eastAsia="宋体"/>
                <w:color w:val="000000"/>
                <w:sz w:val="21"/>
                <w:szCs w:val="21"/>
              </w:rPr>
              <w:t>图像伪影</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78082F51">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6D0C2C5C">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070EC208">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5C366314">
            <w:pPr>
              <w:shd w:val="clear" w:color="auto" w:fill="FFFFFF"/>
              <w:topLinePunct/>
              <w:autoSpaceDE/>
              <w:autoSpaceDN/>
              <w:adjustRightInd/>
              <w:snapToGrid w:val="0"/>
              <w:jc w:val="center"/>
              <w:rPr>
                <w:rFonts w:eastAsia="宋体"/>
                <w:sz w:val="21"/>
                <w:szCs w:val="21"/>
              </w:rPr>
            </w:pPr>
          </w:p>
        </w:tc>
      </w:tr>
      <w:tr w14:paraId="1AB262C8">
        <w:tblPrEx>
          <w:tblCellMar>
            <w:top w:w="0" w:type="dxa"/>
            <w:left w:w="57" w:type="dxa"/>
            <w:bottom w:w="0" w:type="dxa"/>
            <w:right w:w="57" w:type="dxa"/>
          </w:tblCellMar>
        </w:tblPrEx>
        <w:trPr>
          <w:trHeight w:val="340" w:hRule="atLeast"/>
        </w:trPr>
        <w:tc>
          <w:tcPr>
            <w:tcW w:w="993" w:type="pct"/>
            <w:vMerge w:val="continue"/>
            <w:tcBorders>
              <w:left w:val="single" w:color="auto" w:sz="6" w:space="0"/>
              <w:bottom w:val="single" w:color="auto" w:sz="6" w:space="0"/>
              <w:right w:val="single" w:color="auto" w:sz="6" w:space="0"/>
            </w:tcBorders>
            <w:shd w:val="clear" w:color="auto" w:fill="FFFFFF"/>
          </w:tcPr>
          <w:p w14:paraId="36B377E2">
            <w:pPr>
              <w:topLinePunct/>
              <w:autoSpaceDE/>
              <w:autoSpaceDN/>
              <w:adjustRightInd/>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1E0AF4D1">
            <w:pPr>
              <w:shd w:val="clear" w:color="auto" w:fill="FFFFFF"/>
              <w:topLinePunct/>
              <w:autoSpaceDE/>
              <w:autoSpaceDN/>
              <w:adjustRightInd/>
              <w:snapToGrid w:val="0"/>
              <w:jc w:val="center"/>
              <w:rPr>
                <w:rFonts w:eastAsia="宋体"/>
                <w:sz w:val="21"/>
                <w:szCs w:val="21"/>
              </w:rPr>
            </w:pPr>
            <w:r>
              <w:rPr>
                <w:rFonts w:eastAsia="宋体"/>
                <w:color w:val="000000"/>
                <w:sz w:val="21"/>
                <w:szCs w:val="21"/>
              </w:rPr>
              <w:t>射线不透性</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255EB5FE">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3D78905D">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55471760">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2358A4AE">
            <w:pPr>
              <w:shd w:val="clear" w:color="auto" w:fill="FFFFFF"/>
              <w:topLinePunct/>
              <w:autoSpaceDE/>
              <w:autoSpaceDN/>
              <w:adjustRightInd/>
              <w:snapToGrid w:val="0"/>
              <w:jc w:val="center"/>
              <w:rPr>
                <w:rFonts w:eastAsia="宋体"/>
                <w:sz w:val="21"/>
                <w:szCs w:val="21"/>
              </w:rPr>
            </w:pPr>
          </w:p>
        </w:tc>
      </w:tr>
      <w:tr w14:paraId="472AE19D">
        <w:tblPrEx>
          <w:tblCellMar>
            <w:top w:w="0" w:type="dxa"/>
            <w:left w:w="57" w:type="dxa"/>
            <w:bottom w:w="0" w:type="dxa"/>
            <w:right w:w="57" w:type="dxa"/>
          </w:tblCellMar>
        </w:tblPrEx>
        <w:trPr>
          <w:trHeight w:val="340" w:hRule="atLeast"/>
        </w:trPr>
        <w:tc>
          <w:tcPr>
            <w:tcW w:w="993" w:type="pct"/>
            <w:vMerge w:val="restart"/>
            <w:tcBorders>
              <w:top w:val="single" w:color="auto" w:sz="6" w:space="0"/>
              <w:left w:val="single" w:color="auto" w:sz="6" w:space="0"/>
              <w:right w:val="single" w:color="auto" w:sz="6" w:space="0"/>
            </w:tcBorders>
            <w:shd w:val="clear" w:color="auto" w:fill="FFFFFF"/>
          </w:tcPr>
          <w:p w14:paraId="488455A4">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输送系统尺寸和</w:t>
            </w: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17D65D41">
            <w:pPr>
              <w:shd w:val="clear" w:color="auto" w:fill="FFFFFF"/>
              <w:topLinePunct/>
              <w:autoSpaceDE/>
              <w:autoSpaceDN/>
              <w:adjustRightInd/>
              <w:snapToGrid w:val="0"/>
              <w:jc w:val="center"/>
              <w:rPr>
                <w:rFonts w:eastAsia="宋体"/>
                <w:sz w:val="21"/>
                <w:szCs w:val="21"/>
              </w:rPr>
            </w:pPr>
            <w:r>
              <w:rPr>
                <w:rFonts w:eastAsia="宋体"/>
                <w:color w:val="000000"/>
                <w:sz w:val="21"/>
                <w:szCs w:val="21"/>
              </w:rPr>
              <w:t>*输送、展开和回撤</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15C456F0">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2848043D">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6DD763D6">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7B1DF41C">
            <w:pPr>
              <w:shd w:val="clear" w:color="auto" w:fill="FFFFFF"/>
              <w:topLinePunct/>
              <w:autoSpaceDE/>
              <w:autoSpaceDN/>
              <w:adjustRightInd/>
              <w:snapToGrid w:val="0"/>
              <w:jc w:val="center"/>
              <w:rPr>
                <w:rFonts w:eastAsia="宋体"/>
                <w:sz w:val="21"/>
                <w:szCs w:val="21"/>
              </w:rPr>
            </w:pPr>
          </w:p>
        </w:tc>
      </w:tr>
      <w:tr w14:paraId="6EDF75E6">
        <w:tblPrEx>
          <w:tblCellMar>
            <w:top w:w="0" w:type="dxa"/>
            <w:left w:w="57" w:type="dxa"/>
            <w:bottom w:w="0" w:type="dxa"/>
            <w:right w:w="57" w:type="dxa"/>
          </w:tblCellMar>
        </w:tblPrEx>
        <w:trPr>
          <w:trHeight w:val="340" w:hRule="atLeast"/>
        </w:trPr>
        <w:tc>
          <w:tcPr>
            <w:tcW w:w="993" w:type="pct"/>
            <w:vMerge w:val="continue"/>
            <w:tcBorders>
              <w:left w:val="single" w:color="auto" w:sz="6" w:space="0"/>
              <w:bottom w:val="single" w:color="auto" w:sz="6" w:space="0"/>
              <w:right w:val="single" w:color="auto" w:sz="6" w:space="0"/>
            </w:tcBorders>
            <w:shd w:val="clear" w:color="auto" w:fill="FFFFFF"/>
          </w:tcPr>
          <w:p w14:paraId="531E1F39">
            <w:pPr>
              <w:topLinePunct/>
              <w:autoSpaceDE/>
              <w:autoSpaceDN/>
              <w:adjustRightInd/>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62874EFC">
            <w:pPr>
              <w:shd w:val="clear" w:color="auto" w:fill="FFFFFF"/>
              <w:topLinePunct/>
              <w:autoSpaceDE/>
              <w:autoSpaceDN/>
              <w:adjustRightInd/>
              <w:snapToGrid w:val="0"/>
              <w:jc w:val="center"/>
              <w:rPr>
                <w:rFonts w:eastAsia="宋体"/>
                <w:color w:val="000000"/>
                <w:sz w:val="21"/>
                <w:szCs w:val="21"/>
              </w:rPr>
            </w:pPr>
            <w:r>
              <w:rPr>
                <w:rFonts w:eastAsia="宋体"/>
                <w:color w:val="000000"/>
                <w:sz w:val="21"/>
                <w:szCs w:val="21"/>
              </w:rPr>
              <w:t>球囊额定爆破压力</w:t>
            </w:r>
          </w:p>
          <w:p w14:paraId="45A0A9B8">
            <w:pPr>
              <w:shd w:val="clear" w:color="auto" w:fill="FFFFFF"/>
              <w:topLinePunct/>
              <w:autoSpaceDE/>
              <w:autoSpaceDN/>
              <w:adjustRightInd/>
              <w:snapToGrid w:val="0"/>
              <w:jc w:val="center"/>
              <w:rPr>
                <w:rFonts w:eastAsia="宋体"/>
                <w:sz w:val="21"/>
                <w:szCs w:val="21"/>
              </w:rPr>
            </w:pPr>
            <w:r>
              <w:rPr>
                <w:rFonts w:eastAsia="宋体"/>
                <w:color w:val="000000"/>
                <w:sz w:val="21"/>
                <w:szCs w:val="21"/>
              </w:rPr>
              <w:t>（</w:t>
            </w:r>
            <w:r>
              <w:rPr>
                <w:rFonts w:eastAsia="宋体"/>
                <w:i/>
                <w:color w:val="000000"/>
                <w:sz w:val="21"/>
                <w:szCs w:val="21"/>
              </w:rPr>
              <w:t>仅球囊扩张式支架</w:t>
            </w:r>
            <w:r>
              <w:rPr>
                <w:rFonts w:eastAsia="宋体"/>
                <w:color w:val="000000"/>
                <w:sz w:val="21"/>
                <w:szCs w:val="21"/>
              </w:rPr>
              <w:t>）</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3F9BD3C8">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581874A0">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3D3EF737">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339ED1B2">
            <w:pPr>
              <w:shd w:val="clear" w:color="auto" w:fill="FFFFFF"/>
              <w:topLinePunct/>
              <w:autoSpaceDE/>
              <w:autoSpaceDN/>
              <w:adjustRightInd/>
              <w:snapToGrid w:val="0"/>
              <w:jc w:val="center"/>
              <w:rPr>
                <w:rFonts w:eastAsia="宋体"/>
                <w:sz w:val="21"/>
                <w:szCs w:val="21"/>
              </w:rPr>
            </w:pPr>
          </w:p>
        </w:tc>
      </w:tr>
      <w:tr w14:paraId="432B996A">
        <w:tblPrEx>
          <w:tblCellMar>
            <w:top w:w="0" w:type="dxa"/>
            <w:left w:w="57" w:type="dxa"/>
            <w:bottom w:w="0" w:type="dxa"/>
            <w:right w:w="57" w:type="dxa"/>
          </w:tblCellMar>
        </w:tblPrEx>
        <w:trPr>
          <w:trHeight w:val="340" w:hRule="atLeast"/>
        </w:trPr>
        <w:tc>
          <w:tcPr>
            <w:tcW w:w="993" w:type="pct"/>
            <w:vMerge w:val="restart"/>
            <w:tcBorders>
              <w:top w:val="single" w:color="auto" w:sz="6" w:space="0"/>
              <w:left w:val="single" w:color="auto" w:sz="6" w:space="0"/>
              <w:right w:val="single" w:color="auto" w:sz="6" w:space="0"/>
            </w:tcBorders>
            <w:shd w:val="clear" w:color="auto" w:fill="FFFFFF"/>
          </w:tcPr>
          <w:p w14:paraId="0DBAE966">
            <w:pPr>
              <w:pageBreakBefore/>
              <w:shd w:val="clear" w:color="auto" w:fill="FFFFFF"/>
              <w:topLinePunct/>
              <w:autoSpaceDE/>
              <w:autoSpaceDN/>
              <w:adjustRightInd/>
              <w:snapToGrid w:val="0"/>
              <w:jc w:val="center"/>
              <w:rPr>
                <w:rFonts w:eastAsia="宋体"/>
                <w:sz w:val="21"/>
                <w:szCs w:val="21"/>
              </w:rPr>
            </w:pPr>
            <w:r>
              <w:rPr>
                <w:rFonts w:eastAsia="宋体"/>
                <w:b/>
                <w:color w:val="000000"/>
                <w:sz w:val="21"/>
                <w:szCs w:val="21"/>
              </w:rPr>
              <w:t>功能属性</w:t>
            </w: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39564E17">
            <w:pPr>
              <w:pageBreakBefore/>
              <w:shd w:val="clear" w:color="auto" w:fill="FFFFFF"/>
              <w:topLinePunct/>
              <w:autoSpaceDE/>
              <w:autoSpaceDN/>
              <w:adjustRightInd/>
              <w:snapToGrid w:val="0"/>
              <w:jc w:val="center"/>
              <w:rPr>
                <w:rFonts w:eastAsia="宋体"/>
                <w:color w:val="000000"/>
                <w:sz w:val="21"/>
                <w:szCs w:val="21"/>
              </w:rPr>
            </w:pPr>
            <w:r>
              <w:rPr>
                <w:rFonts w:eastAsia="宋体"/>
                <w:color w:val="000000"/>
                <w:sz w:val="21"/>
                <w:szCs w:val="21"/>
              </w:rPr>
              <w:t>球囊疲劳</w:t>
            </w:r>
          </w:p>
          <w:p w14:paraId="5698B6CF">
            <w:pPr>
              <w:pageBreakBefore/>
              <w:shd w:val="clear" w:color="auto" w:fill="FFFFFF"/>
              <w:topLinePunct/>
              <w:autoSpaceDE/>
              <w:autoSpaceDN/>
              <w:adjustRightInd/>
              <w:snapToGrid w:val="0"/>
              <w:jc w:val="center"/>
              <w:rPr>
                <w:rFonts w:eastAsia="宋体"/>
                <w:sz w:val="21"/>
                <w:szCs w:val="21"/>
              </w:rPr>
            </w:pPr>
            <w:r>
              <w:rPr>
                <w:rFonts w:eastAsia="宋体"/>
                <w:color w:val="000000"/>
                <w:sz w:val="21"/>
                <w:szCs w:val="21"/>
              </w:rPr>
              <w:t>（</w:t>
            </w:r>
            <w:r>
              <w:rPr>
                <w:rFonts w:eastAsia="宋体"/>
                <w:i/>
                <w:color w:val="000000"/>
                <w:sz w:val="21"/>
                <w:szCs w:val="21"/>
              </w:rPr>
              <w:t>仅球囊扩张式支架</w:t>
            </w:r>
            <w:r>
              <w:rPr>
                <w:rFonts w:eastAsia="宋体"/>
                <w:color w:val="000000"/>
                <w:sz w:val="21"/>
                <w:szCs w:val="21"/>
              </w:rPr>
              <w:t>）</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3BAA0B5A">
            <w:pPr>
              <w:pageBreakBefore/>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0582419B">
            <w:pPr>
              <w:pageBreakBefore/>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711B9CD7">
            <w:pPr>
              <w:pageBreakBefore/>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4B5CD386">
            <w:pPr>
              <w:pageBreakBefore/>
              <w:shd w:val="clear" w:color="auto" w:fill="FFFFFF"/>
              <w:topLinePunct/>
              <w:autoSpaceDE/>
              <w:autoSpaceDN/>
              <w:adjustRightInd/>
              <w:snapToGrid w:val="0"/>
              <w:jc w:val="center"/>
              <w:rPr>
                <w:rFonts w:eastAsia="宋体"/>
                <w:sz w:val="21"/>
                <w:szCs w:val="21"/>
              </w:rPr>
            </w:pPr>
          </w:p>
        </w:tc>
      </w:tr>
      <w:tr w14:paraId="441DF576">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7AA95A43">
            <w:pPr>
              <w:shd w:val="clear" w:color="auto" w:fill="FFFFFF"/>
              <w:topLinePunct/>
              <w:autoSpaceDE/>
              <w:autoSpaceDN/>
              <w:adjustRightInd/>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4DF8A59D">
            <w:pPr>
              <w:shd w:val="clear" w:color="auto" w:fill="FFFFFF"/>
              <w:topLinePunct/>
              <w:autoSpaceDE/>
              <w:autoSpaceDN/>
              <w:adjustRightInd/>
              <w:snapToGrid w:val="0"/>
              <w:jc w:val="center"/>
              <w:rPr>
                <w:rFonts w:eastAsia="宋体"/>
                <w:sz w:val="21"/>
                <w:szCs w:val="21"/>
              </w:rPr>
            </w:pPr>
            <w:r>
              <w:rPr>
                <w:rFonts w:eastAsia="宋体"/>
                <w:color w:val="000000"/>
                <w:sz w:val="21"/>
                <w:szCs w:val="21"/>
              </w:rPr>
              <w:t>支架直径与球囊压力</w:t>
            </w:r>
          </w:p>
          <w:p w14:paraId="2567A319">
            <w:pPr>
              <w:shd w:val="clear" w:color="auto" w:fill="FFFFFF"/>
              <w:topLinePunct/>
              <w:autoSpaceDE/>
              <w:autoSpaceDN/>
              <w:adjustRightInd/>
              <w:snapToGrid w:val="0"/>
              <w:jc w:val="center"/>
              <w:rPr>
                <w:rFonts w:eastAsia="宋体"/>
                <w:color w:val="000000"/>
                <w:sz w:val="21"/>
                <w:szCs w:val="21"/>
              </w:rPr>
            </w:pPr>
            <w:r>
              <w:rPr>
                <w:rFonts w:eastAsia="宋体"/>
                <w:color w:val="000000"/>
                <w:sz w:val="21"/>
                <w:szCs w:val="21"/>
              </w:rPr>
              <w:t>（符合性图表）</w:t>
            </w:r>
          </w:p>
          <w:p w14:paraId="56F659D1">
            <w:pPr>
              <w:shd w:val="clear" w:color="auto" w:fill="FFFFFF"/>
              <w:topLinePunct/>
              <w:autoSpaceDE/>
              <w:autoSpaceDN/>
              <w:adjustRightInd/>
              <w:snapToGrid w:val="0"/>
              <w:jc w:val="center"/>
              <w:rPr>
                <w:rFonts w:eastAsia="宋体"/>
                <w:sz w:val="21"/>
                <w:szCs w:val="21"/>
              </w:rPr>
            </w:pPr>
            <w:r>
              <w:rPr>
                <w:rFonts w:eastAsia="宋体"/>
                <w:sz w:val="21"/>
                <w:szCs w:val="21"/>
              </w:rPr>
              <w:t>（</w:t>
            </w:r>
            <w:r>
              <w:rPr>
                <w:rFonts w:eastAsia="宋体"/>
                <w:i/>
                <w:color w:val="000000"/>
                <w:sz w:val="21"/>
                <w:szCs w:val="21"/>
              </w:rPr>
              <w:t>仅球囊扩张式支架</w:t>
            </w:r>
            <w:r>
              <w:rPr>
                <w:rFonts w:eastAsia="宋体"/>
                <w:sz w:val="21"/>
                <w:szCs w:val="21"/>
              </w:rPr>
              <w:t>）</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43E08257">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16F50E29">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522D0A78">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24F773B0">
            <w:pPr>
              <w:shd w:val="clear" w:color="auto" w:fill="FFFFFF"/>
              <w:topLinePunct/>
              <w:autoSpaceDE/>
              <w:autoSpaceDN/>
              <w:adjustRightInd/>
              <w:snapToGrid w:val="0"/>
              <w:jc w:val="center"/>
              <w:rPr>
                <w:rFonts w:eastAsia="宋体"/>
                <w:sz w:val="21"/>
                <w:szCs w:val="21"/>
              </w:rPr>
            </w:pPr>
          </w:p>
        </w:tc>
      </w:tr>
      <w:tr w14:paraId="2EE4A758">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4C5E977E">
            <w:pPr>
              <w:shd w:val="clear" w:color="auto" w:fill="FFFFFF"/>
              <w:topLinePunct/>
              <w:autoSpaceDE/>
              <w:autoSpaceDN/>
              <w:adjustRightInd/>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63E69EA1">
            <w:pPr>
              <w:shd w:val="clear" w:color="auto" w:fill="FFFFFF"/>
              <w:topLinePunct/>
              <w:autoSpaceDE/>
              <w:autoSpaceDN/>
              <w:adjustRightInd/>
              <w:snapToGrid w:val="0"/>
              <w:jc w:val="center"/>
              <w:rPr>
                <w:rFonts w:eastAsia="宋体"/>
                <w:sz w:val="21"/>
                <w:szCs w:val="21"/>
              </w:rPr>
            </w:pPr>
            <w:r>
              <w:rPr>
                <w:rFonts w:eastAsia="宋体"/>
                <w:color w:val="000000"/>
                <w:sz w:val="21"/>
                <w:szCs w:val="21"/>
              </w:rPr>
              <w:t>*导管粘合强度</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216068DF">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0AA3F973">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4FA55A5D">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1588745C">
            <w:pPr>
              <w:shd w:val="clear" w:color="auto" w:fill="FFFFFF"/>
              <w:topLinePunct/>
              <w:autoSpaceDE/>
              <w:autoSpaceDN/>
              <w:adjustRightInd/>
              <w:snapToGrid w:val="0"/>
              <w:jc w:val="center"/>
              <w:rPr>
                <w:rFonts w:eastAsia="宋体"/>
                <w:sz w:val="21"/>
                <w:szCs w:val="21"/>
              </w:rPr>
            </w:pPr>
          </w:p>
        </w:tc>
      </w:tr>
      <w:tr w14:paraId="409C71A9">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14F49E1C">
            <w:pPr>
              <w:shd w:val="clear" w:color="auto" w:fill="FFFFFF"/>
              <w:topLinePunct/>
              <w:autoSpaceDE/>
              <w:autoSpaceDN/>
              <w:adjustRightInd/>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07624210">
            <w:pPr>
              <w:shd w:val="clear" w:color="auto" w:fill="FFFFFF"/>
              <w:topLinePunct/>
              <w:autoSpaceDE/>
              <w:autoSpaceDN/>
              <w:adjustRightInd/>
              <w:snapToGrid w:val="0"/>
              <w:jc w:val="center"/>
              <w:rPr>
                <w:rFonts w:eastAsia="宋体"/>
                <w:sz w:val="21"/>
                <w:szCs w:val="21"/>
              </w:rPr>
            </w:pPr>
            <w:r>
              <w:rPr>
                <w:rFonts w:eastAsia="宋体"/>
                <w:color w:val="000000"/>
                <w:sz w:val="21"/>
                <w:szCs w:val="21"/>
              </w:rPr>
              <w:t>最大截面尺寸</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5F8D0187">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3F808E35">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41DC4BE3">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3B582BFE">
            <w:pPr>
              <w:shd w:val="clear" w:color="auto" w:fill="FFFFFF"/>
              <w:topLinePunct/>
              <w:autoSpaceDE/>
              <w:autoSpaceDN/>
              <w:adjustRightInd/>
              <w:snapToGrid w:val="0"/>
              <w:jc w:val="center"/>
              <w:rPr>
                <w:rFonts w:eastAsia="宋体"/>
                <w:sz w:val="21"/>
                <w:szCs w:val="21"/>
              </w:rPr>
            </w:pPr>
          </w:p>
        </w:tc>
      </w:tr>
      <w:tr w14:paraId="626CF2DA">
        <w:tblPrEx>
          <w:tblCellMar>
            <w:top w:w="0" w:type="dxa"/>
            <w:left w:w="57" w:type="dxa"/>
            <w:bottom w:w="0" w:type="dxa"/>
            <w:right w:w="57" w:type="dxa"/>
          </w:tblCellMar>
        </w:tblPrEx>
        <w:trPr>
          <w:trHeight w:val="340" w:hRule="atLeast"/>
        </w:trPr>
        <w:tc>
          <w:tcPr>
            <w:tcW w:w="993" w:type="pct"/>
            <w:vMerge w:val="continue"/>
            <w:tcBorders>
              <w:left w:val="single" w:color="auto" w:sz="6" w:space="0"/>
              <w:right w:val="single" w:color="auto" w:sz="6" w:space="0"/>
            </w:tcBorders>
            <w:shd w:val="clear" w:color="auto" w:fill="FFFFFF"/>
          </w:tcPr>
          <w:p w14:paraId="4CC137AF">
            <w:pPr>
              <w:shd w:val="clear" w:color="auto" w:fill="FFFFFF"/>
              <w:topLinePunct/>
              <w:autoSpaceDE/>
              <w:autoSpaceDN/>
              <w:adjustRightInd/>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69D15438">
            <w:pPr>
              <w:shd w:val="clear" w:color="auto" w:fill="FFFFFF"/>
              <w:topLinePunct/>
              <w:autoSpaceDE/>
              <w:autoSpaceDN/>
              <w:adjustRightInd/>
              <w:snapToGrid w:val="0"/>
              <w:jc w:val="center"/>
              <w:rPr>
                <w:rFonts w:eastAsia="宋体"/>
                <w:color w:val="000000"/>
                <w:sz w:val="21"/>
                <w:szCs w:val="21"/>
              </w:rPr>
            </w:pPr>
            <w:r>
              <w:rPr>
                <w:rFonts w:eastAsia="宋体"/>
                <w:color w:val="000000"/>
                <w:sz w:val="21"/>
                <w:szCs w:val="21"/>
              </w:rPr>
              <w:t>*球囊充盈和放气时间</w:t>
            </w:r>
          </w:p>
          <w:p w14:paraId="2B8225DE">
            <w:pPr>
              <w:shd w:val="clear" w:color="auto" w:fill="FFFFFF"/>
              <w:topLinePunct/>
              <w:autoSpaceDE/>
              <w:autoSpaceDN/>
              <w:adjustRightInd/>
              <w:snapToGrid w:val="0"/>
              <w:jc w:val="center"/>
              <w:rPr>
                <w:rFonts w:eastAsia="宋体"/>
                <w:sz w:val="21"/>
                <w:szCs w:val="21"/>
              </w:rPr>
            </w:pPr>
            <w:r>
              <w:rPr>
                <w:rFonts w:eastAsia="宋体"/>
                <w:color w:val="000000"/>
                <w:sz w:val="21"/>
                <w:szCs w:val="21"/>
              </w:rPr>
              <w:t>（</w:t>
            </w:r>
            <w:r>
              <w:rPr>
                <w:rFonts w:eastAsia="宋体"/>
                <w:i/>
                <w:color w:val="000000"/>
                <w:sz w:val="21"/>
                <w:szCs w:val="21"/>
              </w:rPr>
              <w:t>仅球囊扩张式支架</w:t>
            </w:r>
            <w:r>
              <w:rPr>
                <w:rFonts w:eastAsia="宋体"/>
                <w:color w:val="000000"/>
                <w:sz w:val="21"/>
                <w:szCs w:val="21"/>
              </w:rPr>
              <w:t>）</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3AF381B4">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2AC397E1">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2CA66323">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06360BBD">
            <w:pPr>
              <w:shd w:val="clear" w:color="auto" w:fill="FFFFFF"/>
              <w:topLinePunct/>
              <w:autoSpaceDE/>
              <w:autoSpaceDN/>
              <w:adjustRightInd/>
              <w:snapToGrid w:val="0"/>
              <w:jc w:val="center"/>
              <w:rPr>
                <w:rFonts w:eastAsia="宋体"/>
                <w:sz w:val="21"/>
                <w:szCs w:val="21"/>
              </w:rPr>
            </w:pPr>
          </w:p>
        </w:tc>
      </w:tr>
      <w:tr w14:paraId="71779178">
        <w:tblPrEx>
          <w:tblCellMar>
            <w:top w:w="0" w:type="dxa"/>
            <w:left w:w="57" w:type="dxa"/>
            <w:bottom w:w="0" w:type="dxa"/>
            <w:right w:w="57" w:type="dxa"/>
          </w:tblCellMar>
        </w:tblPrEx>
        <w:trPr>
          <w:trHeight w:val="340" w:hRule="atLeast"/>
        </w:trPr>
        <w:tc>
          <w:tcPr>
            <w:tcW w:w="993" w:type="pct"/>
            <w:vMerge w:val="continue"/>
            <w:tcBorders>
              <w:left w:val="single" w:color="auto" w:sz="6" w:space="0"/>
              <w:bottom w:val="single" w:color="auto" w:sz="6" w:space="0"/>
              <w:right w:val="single" w:color="auto" w:sz="6" w:space="0"/>
            </w:tcBorders>
            <w:shd w:val="clear" w:color="auto" w:fill="FFFFFF"/>
          </w:tcPr>
          <w:p w14:paraId="08AD80F2">
            <w:pPr>
              <w:shd w:val="clear" w:color="auto" w:fill="FFFFFF"/>
              <w:topLinePunct/>
              <w:autoSpaceDE/>
              <w:autoSpaceDN/>
              <w:adjustRightInd/>
              <w:snapToGrid w:val="0"/>
              <w:jc w:val="center"/>
              <w:rPr>
                <w:rFonts w:eastAsia="宋体"/>
                <w:sz w:val="21"/>
                <w:szCs w:val="21"/>
              </w:rPr>
            </w:pP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03387F09">
            <w:pPr>
              <w:shd w:val="clear" w:color="auto" w:fill="FFFFFF"/>
              <w:topLinePunct/>
              <w:autoSpaceDE/>
              <w:autoSpaceDN/>
              <w:adjustRightInd/>
              <w:snapToGrid w:val="0"/>
              <w:jc w:val="center"/>
              <w:rPr>
                <w:rFonts w:eastAsia="宋体"/>
                <w:sz w:val="21"/>
                <w:szCs w:val="21"/>
              </w:rPr>
            </w:pPr>
            <w:r>
              <w:rPr>
                <w:rFonts w:eastAsia="宋体"/>
                <w:color w:val="000000"/>
                <w:sz w:val="21"/>
                <w:szCs w:val="21"/>
              </w:rPr>
              <w:t>*无鞘管支架的支架稳定性</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296E3BCF">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04F94F3E">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6B61BC3C">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1F7F4B46">
            <w:pPr>
              <w:shd w:val="clear" w:color="auto" w:fill="FFFFFF"/>
              <w:topLinePunct/>
              <w:autoSpaceDE/>
              <w:autoSpaceDN/>
              <w:adjustRightInd/>
              <w:snapToGrid w:val="0"/>
              <w:jc w:val="center"/>
              <w:rPr>
                <w:rFonts w:eastAsia="宋体"/>
                <w:sz w:val="21"/>
                <w:szCs w:val="21"/>
              </w:rPr>
            </w:pPr>
          </w:p>
        </w:tc>
      </w:tr>
      <w:tr w14:paraId="0C8016CE">
        <w:tblPrEx>
          <w:tblCellMar>
            <w:top w:w="0" w:type="dxa"/>
            <w:left w:w="57" w:type="dxa"/>
            <w:bottom w:w="0" w:type="dxa"/>
            <w:right w:w="57" w:type="dxa"/>
          </w:tblCellMar>
        </w:tblPrEx>
        <w:trPr>
          <w:trHeight w:val="340" w:hRule="atLeast"/>
        </w:trPr>
        <w:tc>
          <w:tcPr>
            <w:tcW w:w="993" w:type="pct"/>
            <w:tcBorders>
              <w:top w:val="single" w:color="auto" w:sz="6" w:space="0"/>
              <w:left w:val="single" w:color="auto" w:sz="6" w:space="0"/>
              <w:bottom w:val="single" w:color="auto" w:sz="6" w:space="0"/>
              <w:right w:val="single" w:color="auto" w:sz="6" w:space="0"/>
            </w:tcBorders>
            <w:shd w:val="clear" w:color="auto" w:fill="FFFFFF"/>
          </w:tcPr>
          <w:p w14:paraId="1314AF05">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生物相容性</w:t>
            </w:r>
          </w:p>
        </w:tc>
        <w:tc>
          <w:tcPr>
            <w:tcW w:w="1438" w:type="pct"/>
            <w:tcBorders>
              <w:top w:val="single" w:color="auto" w:sz="6" w:space="0"/>
              <w:left w:val="single" w:color="auto" w:sz="6" w:space="0"/>
              <w:bottom w:val="single" w:color="auto" w:sz="6" w:space="0"/>
              <w:right w:val="single" w:color="auto" w:sz="6" w:space="0"/>
            </w:tcBorders>
            <w:shd w:val="clear" w:color="auto" w:fill="FFFFFF"/>
          </w:tcPr>
          <w:p w14:paraId="1B8B0133">
            <w:pPr>
              <w:shd w:val="clear" w:color="auto" w:fill="FFFFFF"/>
              <w:topLinePunct/>
              <w:autoSpaceDE/>
              <w:autoSpaceDN/>
              <w:adjustRightInd/>
              <w:snapToGrid w:val="0"/>
              <w:jc w:val="center"/>
              <w:rPr>
                <w:rFonts w:eastAsia="宋体"/>
                <w:sz w:val="21"/>
                <w:szCs w:val="21"/>
              </w:rPr>
            </w:pPr>
            <w:r>
              <w:rPr>
                <w:rFonts w:eastAsia="宋体"/>
                <w:color w:val="000000"/>
                <w:sz w:val="21"/>
                <w:szCs w:val="21"/>
              </w:rPr>
              <w:t>生物相容性</w:t>
            </w:r>
          </w:p>
        </w:tc>
        <w:tc>
          <w:tcPr>
            <w:tcW w:w="627" w:type="pct"/>
            <w:tcBorders>
              <w:top w:val="single" w:color="auto" w:sz="6" w:space="0"/>
              <w:left w:val="single" w:color="auto" w:sz="6" w:space="0"/>
              <w:bottom w:val="single" w:color="auto" w:sz="6" w:space="0"/>
              <w:right w:val="single" w:color="auto" w:sz="6" w:space="0"/>
            </w:tcBorders>
            <w:shd w:val="clear" w:color="auto" w:fill="FFFFFF"/>
          </w:tcPr>
          <w:p w14:paraId="3EB9C5B6">
            <w:pPr>
              <w:shd w:val="clear" w:color="auto" w:fill="FFFFFF"/>
              <w:topLinePunct/>
              <w:autoSpaceDE/>
              <w:autoSpaceDN/>
              <w:adjustRightInd/>
              <w:snapToGrid w:val="0"/>
              <w:jc w:val="center"/>
              <w:rPr>
                <w:rFonts w:eastAsia="宋体"/>
                <w:sz w:val="21"/>
                <w:szCs w:val="21"/>
              </w:rPr>
            </w:pPr>
          </w:p>
        </w:tc>
        <w:tc>
          <w:tcPr>
            <w:tcW w:w="932" w:type="pct"/>
            <w:tcBorders>
              <w:top w:val="single" w:color="auto" w:sz="6" w:space="0"/>
              <w:left w:val="single" w:color="auto" w:sz="6" w:space="0"/>
              <w:bottom w:val="single" w:color="auto" w:sz="6" w:space="0"/>
              <w:right w:val="single" w:color="auto" w:sz="6" w:space="0"/>
            </w:tcBorders>
            <w:shd w:val="clear" w:color="auto" w:fill="FFFFFF"/>
          </w:tcPr>
          <w:p w14:paraId="77E2BC31">
            <w:pPr>
              <w:shd w:val="clear" w:color="auto" w:fill="FFFFFF"/>
              <w:topLinePunct/>
              <w:autoSpaceDE/>
              <w:autoSpaceDN/>
              <w:adjustRightInd/>
              <w:snapToGrid w:val="0"/>
              <w:jc w:val="center"/>
              <w:rPr>
                <w:rFonts w:eastAsia="宋体"/>
                <w:sz w:val="21"/>
                <w:szCs w:val="21"/>
              </w:rPr>
            </w:pPr>
          </w:p>
        </w:tc>
        <w:tc>
          <w:tcPr>
            <w:tcW w:w="715" w:type="pct"/>
            <w:tcBorders>
              <w:top w:val="single" w:color="auto" w:sz="6" w:space="0"/>
              <w:left w:val="single" w:color="auto" w:sz="6" w:space="0"/>
              <w:bottom w:val="single" w:color="auto" w:sz="6" w:space="0"/>
              <w:right w:val="single" w:color="auto" w:sz="6" w:space="0"/>
            </w:tcBorders>
            <w:shd w:val="clear" w:color="auto" w:fill="FFFFFF"/>
          </w:tcPr>
          <w:p w14:paraId="505AA547">
            <w:pPr>
              <w:shd w:val="clear" w:color="auto" w:fill="FFFFFF"/>
              <w:topLinePunct/>
              <w:autoSpaceDE/>
              <w:autoSpaceDN/>
              <w:adjustRightInd/>
              <w:snapToGrid w:val="0"/>
              <w:jc w:val="center"/>
              <w:rPr>
                <w:rFonts w:eastAsia="宋体"/>
                <w:sz w:val="21"/>
                <w:szCs w:val="21"/>
              </w:rPr>
            </w:pPr>
          </w:p>
        </w:tc>
        <w:tc>
          <w:tcPr>
            <w:tcW w:w="295" w:type="pct"/>
            <w:tcBorders>
              <w:top w:val="single" w:color="auto" w:sz="6" w:space="0"/>
              <w:left w:val="single" w:color="auto" w:sz="6" w:space="0"/>
              <w:bottom w:val="single" w:color="auto" w:sz="6" w:space="0"/>
              <w:right w:val="single" w:color="auto" w:sz="6" w:space="0"/>
            </w:tcBorders>
            <w:shd w:val="clear" w:color="auto" w:fill="FFFFFF"/>
          </w:tcPr>
          <w:p w14:paraId="408369D6">
            <w:pPr>
              <w:shd w:val="clear" w:color="auto" w:fill="FFFFFF"/>
              <w:topLinePunct/>
              <w:autoSpaceDE/>
              <w:autoSpaceDN/>
              <w:adjustRightInd/>
              <w:snapToGrid w:val="0"/>
              <w:jc w:val="center"/>
              <w:rPr>
                <w:rFonts w:eastAsia="宋体"/>
                <w:sz w:val="21"/>
                <w:szCs w:val="21"/>
              </w:rPr>
            </w:pPr>
          </w:p>
        </w:tc>
      </w:tr>
    </w:tbl>
    <w:p w14:paraId="3B9EE7CA">
      <w:pPr>
        <w:shd w:val="clear" w:color="auto" w:fill="FFFFFF"/>
        <w:topLinePunct/>
        <w:autoSpaceDE/>
        <w:autoSpaceDN/>
        <w:adjustRightInd/>
        <w:jc w:val="both"/>
        <w:rPr>
          <w:rFonts w:eastAsia="宋体"/>
          <w:sz w:val="24"/>
          <w:szCs w:val="24"/>
        </w:rPr>
      </w:pPr>
      <w:r>
        <w:rPr>
          <w:rFonts w:eastAsia="宋体"/>
          <w:color w:val="000000"/>
          <w:sz w:val="21"/>
          <w:szCs w:val="21"/>
        </w:rPr>
        <w:t>*各项目的结果应与同品种器械或适当参照器械的结果进行比较。</w:t>
      </w:r>
    </w:p>
    <w:p w14:paraId="4B0C1698">
      <w:pPr>
        <w:pBdr>
          <w:bottom w:val="single" w:color="auto" w:sz="4" w:space="1"/>
        </w:pBdr>
        <w:shd w:val="clear" w:color="auto" w:fill="FFFFFF"/>
        <w:topLinePunct/>
        <w:autoSpaceDE/>
        <w:autoSpaceDN/>
        <w:adjustRightInd/>
        <w:jc w:val="center"/>
        <w:rPr>
          <w:rFonts w:hint="eastAsia" w:eastAsia="宋体"/>
          <w:lang w:eastAsia="zh-CN"/>
        </w:rPr>
      </w:pPr>
    </w:p>
    <w:p w14:paraId="25F02464">
      <w:pPr>
        <w:pBdr>
          <w:bottom w:val="single" w:color="auto" w:sz="4" w:space="1"/>
        </w:pBdr>
        <w:shd w:val="clear" w:color="auto" w:fill="FFFFFF"/>
        <w:topLinePunct/>
        <w:autoSpaceDE/>
        <w:autoSpaceDN/>
        <w:adjustRightInd/>
        <w:jc w:val="center"/>
        <w:rPr>
          <w:rFonts w:hint="eastAsia" w:eastAsia="宋体"/>
          <w:lang w:eastAsia="zh-CN"/>
        </w:rPr>
      </w:pPr>
    </w:p>
    <w:p w14:paraId="7F7A14E1">
      <w:pPr>
        <w:pBdr>
          <w:bottom w:val="single" w:color="auto" w:sz="4" w:space="1"/>
        </w:pBdr>
        <w:shd w:val="clear" w:color="auto" w:fill="FFFFFF"/>
        <w:topLinePunct/>
        <w:autoSpaceDE/>
        <w:autoSpaceDN/>
        <w:adjustRightInd/>
        <w:jc w:val="center"/>
        <w:rPr>
          <w:rFonts w:hint="eastAsia" w:eastAsia="宋体"/>
          <w:lang w:eastAsia="zh-CN"/>
        </w:rPr>
      </w:pPr>
      <w:r>
        <w:rPr>
          <w:rFonts w:hint="eastAsia" w:eastAsia="宋体"/>
          <w:lang w:eastAsia="zh-CN"/>
        </w:rPr>
        <w:drawing>
          <wp:inline distT="0" distB="0" distL="114300" distR="114300">
            <wp:extent cx="4215130" cy="5941060"/>
            <wp:effectExtent l="0" t="0" r="13970" b="2540"/>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4215130" cy="5941060"/>
                    </a:xfrm>
                    <a:prstGeom prst="rect">
                      <a:avLst/>
                    </a:prstGeom>
                  </pic:spPr>
                </pic:pic>
              </a:graphicData>
            </a:graphic>
          </wp:inline>
        </w:drawing>
      </w:r>
    </w:p>
    <w:sectPr>
      <w:pgSz w:w="16834" w:h="11909" w:orient="landscape"/>
      <w:pgMar w:top="1418" w:right="1134" w:bottom="1134" w:left="1134" w:header="567" w:footer="567" w:gutter="0"/>
      <w:lnNumType w:countBy="1" w:restart="newSection"/>
      <w:cols w:space="6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761949"/>
      <w:docPartObj>
        <w:docPartGallery w:val="AutoText"/>
      </w:docPartObj>
    </w:sdtPr>
    <w:sdtEndPr>
      <w:rPr>
        <w:sz w:val="21"/>
        <w:szCs w:val="21"/>
      </w:rPr>
    </w:sdtEndPr>
    <w:sdtContent>
      <w:p w14:paraId="7C74B4FB">
        <w:pPr>
          <w:pStyle w:val="8"/>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37307622">
      <w:pPr>
        <w:shd w:val="clear" w:color="auto" w:fill="FFFFFF"/>
        <w:topLinePunct/>
        <w:autoSpaceDE/>
        <w:autoSpaceDN/>
        <w:adjustRightInd/>
        <w:snapToGrid w:val="0"/>
        <w:jc w:val="both"/>
        <w:rPr>
          <w:sz w:val="21"/>
          <w:szCs w:val="21"/>
        </w:rPr>
      </w:pPr>
      <w:r>
        <w:rPr>
          <w:rStyle w:val="20"/>
          <w:sz w:val="21"/>
          <w:szCs w:val="21"/>
        </w:rPr>
        <w:footnoteRef/>
      </w:r>
      <w:r>
        <w:rPr>
          <w:rFonts w:eastAsia="宋体"/>
          <w:sz w:val="21"/>
          <w:szCs w:val="21"/>
        </w:rPr>
        <w:t>可登录以下网址获取</w:t>
      </w:r>
      <w:r>
        <w:rPr>
          <w:rFonts w:hint="eastAsia" w:eastAsia="宋体"/>
          <w:sz w:val="21"/>
          <w:szCs w:val="21"/>
        </w:rPr>
        <w:br w:type="textWrapping"/>
      </w:r>
      <w:r>
        <w:rPr>
          <w:rFonts w:eastAsia="宋体"/>
          <w:color w:val="3333FF"/>
          <w:sz w:val="21"/>
          <w:szCs w:val="21"/>
          <w:u w:val="single"/>
        </w:rPr>
        <w:t>https://www.accessdata.fda.gov/scripts/cdrh/cfdocs/cfStandards/search.cfm.</w:t>
      </w:r>
    </w:p>
  </w:footnote>
  <w:footnote w:id="1">
    <w:p w14:paraId="6D27DA1F">
      <w:pPr>
        <w:pStyle w:val="11"/>
        <w:jc w:val="both"/>
        <w:rPr>
          <w:sz w:val="21"/>
          <w:szCs w:val="21"/>
        </w:rPr>
      </w:pPr>
      <w:r>
        <w:rPr>
          <w:rStyle w:val="20"/>
          <w:sz w:val="21"/>
          <w:szCs w:val="21"/>
        </w:rPr>
        <w:footnoteRef/>
      </w:r>
      <w:r>
        <w:rPr>
          <w:rFonts w:eastAsia="宋体"/>
          <w:color w:val="3333FF"/>
          <w:sz w:val="21"/>
          <w:szCs w:val="21"/>
          <w:u w:val="single"/>
        </w:rPr>
        <w:t>https://www.fda.gov/regulatory-information/search-fda-guidance-documents/appropriate-use-voluntary-consensus- standards-premarket-submissions-medical-devices.</w:t>
      </w:r>
    </w:p>
  </w:footnote>
  <w:footnote w:id="2">
    <w:p w14:paraId="51FE8E8A">
      <w:pPr>
        <w:shd w:val="clear" w:color="auto" w:fill="FFFFFF"/>
        <w:topLinePunct/>
        <w:autoSpaceDE/>
        <w:autoSpaceDN/>
        <w:adjustRightInd/>
        <w:snapToGrid w:val="0"/>
        <w:jc w:val="both"/>
        <w:rPr>
          <w:rFonts w:eastAsia="宋体"/>
          <w:color w:val="3333FF"/>
          <w:sz w:val="21"/>
          <w:szCs w:val="21"/>
          <w:u w:val="single"/>
        </w:rPr>
      </w:pPr>
      <w:r>
        <w:rPr>
          <w:rStyle w:val="20"/>
          <w:sz w:val="21"/>
          <w:szCs w:val="21"/>
        </w:rPr>
        <w:footnoteRef/>
      </w:r>
      <w:r>
        <w:rPr>
          <w:rFonts w:eastAsia="宋体"/>
          <w:color w:val="3333FF"/>
          <w:sz w:val="21"/>
          <w:szCs w:val="21"/>
          <w:u w:val="single"/>
        </w:rPr>
        <w:t>https://www.fda.gov/regulatory-information/search-fda-guidance-documents/format-traditional-and-abbreviated-510ks-guidance-industry-and-fda-staff.</w:t>
      </w:r>
    </w:p>
  </w:footnote>
  <w:footnote w:id="3">
    <w:p w14:paraId="37355E5F">
      <w:pPr>
        <w:pStyle w:val="11"/>
        <w:jc w:val="both"/>
        <w:rPr>
          <w:sz w:val="21"/>
          <w:szCs w:val="21"/>
        </w:rPr>
      </w:pPr>
      <w:r>
        <w:rPr>
          <w:rStyle w:val="20"/>
          <w:sz w:val="21"/>
          <w:szCs w:val="21"/>
        </w:rPr>
        <w:footnoteRef/>
      </w:r>
      <w:r>
        <w:rPr>
          <w:rFonts w:eastAsia="宋体"/>
          <w:color w:val="3333FF"/>
          <w:sz w:val="21"/>
          <w:szCs w:val="21"/>
          <w:u w:val="single"/>
        </w:rPr>
        <w:t>https://www.fda.gov/regulatory-information/search-fda-guidance-documents/use-international-standard-iso-10993-1-biological-evaluation-medical-devices-part-1-evaluation-and.</w:t>
      </w:r>
    </w:p>
  </w:footnote>
  <w:footnote w:id="4">
    <w:p w14:paraId="3B6855D2">
      <w:pPr>
        <w:shd w:val="clear" w:color="auto" w:fill="FFFFFF"/>
        <w:topLinePunct/>
        <w:autoSpaceDE/>
        <w:autoSpaceDN/>
        <w:adjustRightInd/>
        <w:snapToGrid w:val="0"/>
        <w:jc w:val="both"/>
        <w:rPr>
          <w:rFonts w:eastAsia="宋体"/>
          <w:color w:val="3333FF"/>
          <w:sz w:val="21"/>
          <w:szCs w:val="21"/>
          <w:u w:val="single"/>
        </w:rPr>
      </w:pPr>
      <w:r>
        <w:rPr>
          <w:rStyle w:val="20"/>
          <w:sz w:val="21"/>
          <w:szCs w:val="21"/>
        </w:rPr>
        <w:footnoteRef/>
      </w:r>
      <w:r>
        <w:rPr>
          <w:rFonts w:eastAsia="宋体"/>
          <w:color w:val="3333FF"/>
          <w:sz w:val="21"/>
          <w:szCs w:val="21"/>
          <w:u w:val="single"/>
        </w:rPr>
        <w:t>https://www.fda.gov/regulatory-information/search-fda-guidance-documents/submission-and-review-sterility-information-premarket-notification-510k-submissions-devices-labeled.</w:t>
      </w:r>
    </w:p>
  </w:footnote>
  <w:footnote w:id="5">
    <w:p w14:paraId="181F4DA2">
      <w:pPr>
        <w:shd w:val="clear" w:color="auto" w:fill="FFFFFF"/>
        <w:topLinePunct/>
        <w:autoSpaceDE/>
        <w:autoSpaceDN/>
        <w:adjustRightInd/>
        <w:snapToGrid w:val="0"/>
        <w:rPr>
          <w:sz w:val="21"/>
          <w:szCs w:val="21"/>
        </w:rPr>
      </w:pPr>
      <w:r>
        <w:rPr>
          <w:rStyle w:val="20"/>
          <w:sz w:val="21"/>
          <w:szCs w:val="21"/>
        </w:rPr>
        <w:footnoteRef/>
      </w:r>
      <w:r>
        <w:rPr>
          <w:rFonts w:eastAsia="宋体"/>
          <w:color w:val="3333FF"/>
          <w:sz w:val="21"/>
          <w:szCs w:val="21"/>
          <w:u w:val="single"/>
        </w:rPr>
        <w:t>https://www.fda.gov/regulatory-information/search-fda-guidance-documents/establishing-safety-and- compatibility-passive-implants-magnetic-resonance-mr-environment.</w:t>
      </w:r>
    </w:p>
  </w:footnote>
  <w:footnote w:id="6">
    <w:p w14:paraId="0B377A9B">
      <w:pPr>
        <w:shd w:val="clear" w:color="auto" w:fill="FFFFFF"/>
        <w:topLinePunct/>
        <w:autoSpaceDE/>
        <w:autoSpaceDN/>
        <w:adjustRightInd/>
        <w:snapToGrid w:val="0"/>
        <w:jc w:val="both"/>
        <w:rPr>
          <w:sz w:val="21"/>
          <w:szCs w:val="21"/>
        </w:rPr>
      </w:pPr>
      <w:r>
        <w:rPr>
          <w:rStyle w:val="20"/>
          <w:sz w:val="21"/>
          <w:szCs w:val="21"/>
        </w:rPr>
        <w:footnoteRef/>
      </w:r>
      <w:r>
        <w:rPr>
          <w:rFonts w:eastAsia="宋体"/>
          <w:color w:val="3333FF"/>
          <w:sz w:val="21"/>
          <w:szCs w:val="21"/>
          <w:u w:val="single"/>
        </w:rPr>
        <w:t>https://www.fda.gov/regulatory-information/search-fda-guidance-documents/assessment-radiofrequency-induced- heating-magnetic-resonance-mr-environment-multi-configuration.</w:t>
      </w:r>
    </w:p>
  </w:footnote>
  <w:footnote w:id="7">
    <w:p w14:paraId="7D4EA93E">
      <w:pPr>
        <w:shd w:val="clear" w:color="auto" w:fill="FFFFFF"/>
        <w:topLinePunct/>
        <w:autoSpaceDE/>
        <w:autoSpaceDN/>
        <w:adjustRightInd/>
        <w:snapToGrid w:val="0"/>
        <w:jc w:val="both"/>
        <w:rPr>
          <w:sz w:val="21"/>
          <w:szCs w:val="21"/>
        </w:rPr>
      </w:pPr>
      <w:r>
        <w:rPr>
          <w:rStyle w:val="20"/>
          <w:sz w:val="21"/>
          <w:szCs w:val="21"/>
        </w:rPr>
        <w:footnoteRef/>
      </w:r>
      <w:r>
        <w:rPr>
          <w:rFonts w:eastAsia="宋体"/>
          <w:color w:val="3333FF"/>
          <w:sz w:val="21"/>
          <w:szCs w:val="21"/>
          <w:u w:val="single"/>
        </w:rPr>
        <w:t>https://www.fda.gov/regulatory-information/search-fda-guidance-documents/recommended-content-and-format- non-clinical-bench-performance-testing-information-premarket.</w:t>
      </w:r>
    </w:p>
  </w:footnote>
  <w:footnote w:id="8">
    <w:p w14:paraId="0604FB61">
      <w:pPr>
        <w:shd w:val="clear" w:color="auto" w:fill="FFFFFF"/>
        <w:topLinePunct/>
        <w:autoSpaceDE/>
        <w:autoSpaceDN/>
        <w:adjustRightInd/>
        <w:snapToGrid w:val="0"/>
        <w:jc w:val="both"/>
        <w:rPr>
          <w:sz w:val="21"/>
          <w:szCs w:val="21"/>
        </w:rPr>
      </w:pPr>
      <w:r>
        <w:rPr>
          <w:rStyle w:val="20"/>
          <w:sz w:val="21"/>
          <w:szCs w:val="21"/>
        </w:rPr>
        <w:footnoteRef/>
      </w:r>
      <w:r>
        <w:rPr>
          <w:rFonts w:eastAsia="宋体"/>
          <w:color w:val="000000"/>
          <w:sz w:val="21"/>
          <w:szCs w:val="21"/>
        </w:rPr>
        <w:t>Rosenbloom, S.N.and R.A.Corbett （2006）.</w:t>
      </w:r>
      <w:r>
        <w:rPr>
          <w:rFonts w:eastAsia="宋体"/>
          <w:sz w:val="21"/>
          <w:szCs w:val="21"/>
          <w:u w:val="single"/>
        </w:rPr>
        <w:t>对比镍钛合金与其他植入物合金的ASTM F 2129试验结果评估。</w:t>
      </w:r>
      <w:r>
        <w:rPr>
          <w:rFonts w:eastAsia="宋体"/>
          <w:color w:val="000000"/>
          <w:sz w:val="21"/>
          <w:szCs w:val="21"/>
        </w:rPr>
        <w:t>形状记忆和超弹性技术国际会议（ASM国际）记录，Pacific Grove, CA.。</w:t>
      </w:r>
    </w:p>
  </w:footnote>
  <w:footnote w:id="9">
    <w:p w14:paraId="3A715CC4">
      <w:pPr>
        <w:shd w:val="clear" w:color="auto" w:fill="FFFFFF"/>
        <w:topLinePunct/>
        <w:autoSpaceDE/>
        <w:autoSpaceDN/>
        <w:adjustRightInd/>
        <w:snapToGrid w:val="0"/>
        <w:jc w:val="both"/>
        <w:rPr>
          <w:rFonts w:eastAsia="宋体"/>
          <w:sz w:val="21"/>
          <w:szCs w:val="21"/>
        </w:rPr>
      </w:pPr>
      <w:r>
        <w:rPr>
          <w:rStyle w:val="20"/>
          <w:sz w:val="21"/>
          <w:szCs w:val="21"/>
        </w:rPr>
        <w:footnoteRef/>
      </w:r>
      <w:r>
        <w:rPr>
          <w:rFonts w:eastAsia="宋体"/>
          <w:color w:val="3333FF"/>
          <w:sz w:val="21"/>
          <w:szCs w:val="21"/>
          <w:u w:val="single"/>
        </w:rPr>
        <w:t>https://www.fda.gov/regulatory-information/search-fda-guidance-documents/significant-risk-and-nonsignificant- risk-medical-device-studies.</w:t>
      </w:r>
    </w:p>
  </w:footnote>
  <w:footnote w:id="10">
    <w:p w14:paraId="0DC98320">
      <w:pPr>
        <w:shd w:val="clear" w:color="auto" w:fill="FFFFFF"/>
        <w:topLinePunct/>
        <w:autoSpaceDE/>
        <w:autoSpaceDN/>
        <w:adjustRightInd/>
        <w:snapToGrid w:val="0"/>
        <w:jc w:val="both"/>
        <w:rPr>
          <w:rFonts w:eastAsia="宋体"/>
          <w:sz w:val="21"/>
          <w:szCs w:val="21"/>
        </w:rPr>
      </w:pPr>
      <w:r>
        <w:rPr>
          <w:rStyle w:val="20"/>
          <w:sz w:val="21"/>
          <w:szCs w:val="21"/>
        </w:rPr>
        <w:footnoteRef/>
      </w:r>
      <w:r>
        <w:rPr>
          <w:rFonts w:eastAsia="宋体"/>
          <w:color w:val="000000"/>
          <w:sz w:val="21"/>
          <w:szCs w:val="21"/>
        </w:rPr>
        <w:t>这适用于2019年2月21日当日或之后开始并提交以支持上市前申请的临床研究数据，包括IDE、上市前批准申请和510(k)。</w:t>
      </w:r>
    </w:p>
  </w:footnote>
  <w:footnote w:id="11">
    <w:p w14:paraId="53AEF056">
      <w:pPr>
        <w:shd w:val="clear" w:color="auto" w:fill="FFFFFF"/>
        <w:topLinePunct/>
        <w:autoSpaceDE/>
        <w:autoSpaceDN/>
        <w:adjustRightInd/>
        <w:snapToGrid w:val="0"/>
        <w:jc w:val="both"/>
        <w:rPr>
          <w:rFonts w:eastAsia="宋体"/>
          <w:color w:val="3333FF"/>
          <w:sz w:val="21"/>
          <w:szCs w:val="21"/>
          <w:u w:val="single"/>
        </w:rPr>
      </w:pPr>
      <w:r>
        <w:rPr>
          <w:rStyle w:val="20"/>
          <w:sz w:val="21"/>
          <w:szCs w:val="21"/>
        </w:rPr>
        <w:footnoteRef/>
      </w:r>
      <w:r>
        <w:rPr>
          <w:rFonts w:eastAsia="宋体"/>
          <w:color w:val="3333FF"/>
          <w:sz w:val="21"/>
          <w:szCs w:val="21"/>
          <w:u w:val="single"/>
        </w:rPr>
        <w:t>https://www.fda.gov/regulatory-information/search-fda-guidance-documents/acceptance-clinical-data-support- medical-device-applications-and-submissions-frequently-asked.</w:t>
      </w:r>
    </w:p>
  </w:footnote>
  <w:footnote w:id="12">
    <w:p w14:paraId="35E528EE">
      <w:pPr>
        <w:shd w:val="clear" w:color="auto" w:fill="FFFFFF"/>
        <w:tabs>
          <w:tab w:val="left" w:pos="182"/>
        </w:tabs>
        <w:topLinePunct/>
        <w:autoSpaceDE/>
        <w:autoSpaceDN/>
        <w:adjustRightInd/>
        <w:snapToGrid w:val="0"/>
        <w:jc w:val="both"/>
        <w:rPr>
          <w:sz w:val="21"/>
          <w:szCs w:val="21"/>
        </w:rPr>
      </w:pPr>
      <w:r>
        <w:rPr>
          <w:rStyle w:val="20"/>
          <w:sz w:val="21"/>
          <w:szCs w:val="21"/>
        </w:rPr>
        <w:footnoteRef/>
      </w:r>
      <w:r>
        <w:rPr>
          <w:rFonts w:eastAsia="宋体"/>
          <w:color w:val="3333FF"/>
          <w:sz w:val="21"/>
          <w:szCs w:val="21"/>
          <w:u w:val="single"/>
        </w:rPr>
        <w:t>https://www.fda.gov/regulatory-information/search-fda-guidance-documents/deciding-when-submit-510k- change-existing-device.</w:t>
      </w:r>
    </w:p>
  </w:footnote>
  <w:footnote w:id="13">
    <w:p w14:paraId="68E7192C">
      <w:pPr>
        <w:shd w:val="clear" w:color="auto" w:fill="FFFFFF"/>
        <w:tabs>
          <w:tab w:val="left" w:pos="182"/>
        </w:tabs>
        <w:topLinePunct/>
        <w:autoSpaceDE/>
        <w:autoSpaceDN/>
        <w:adjustRightInd/>
        <w:snapToGrid w:val="0"/>
        <w:jc w:val="both"/>
        <w:rPr>
          <w:rFonts w:eastAsia="宋体"/>
          <w:color w:val="3333FF"/>
          <w:sz w:val="21"/>
          <w:szCs w:val="21"/>
        </w:rPr>
      </w:pPr>
      <w:r>
        <w:rPr>
          <w:rStyle w:val="20"/>
          <w:sz w:val="21"/>
          <w:szCs w:val="21"/>
        </w:rPr>
        <w:footnoteRef/>
      </w:r>
      <w:r>
        <w:rPr>
          <w:rFonts w:eastAsia="宋体"/>
          <w:color w:val="3333FF"/>
          <w:sz w:val="21"/>
          <w:szCs w:val="21"/>
          <w:u w:val="single"/>
        </w:rPr>
        <w:t>https://www.fda.gov/regulatory-information/search-fda-guidance-documents/determination-intended-use-510k- devices-guidance-cdrh-staff-update-k98-1.</w:t>
      </w:r>
    </w:p>
  </w:footnote>
  <w:footnote w:id="14">
    <w:p w14:paraId="3F3A77B0">
      <w:pPr>
        <w:shd w:val="clear" w:color="auto" w:fill="FFFFFF"/>
        <w:topLinePunct/>
        <w:autoSpaceDE/>
        <w:autoSpaceDN/>
        <w:adjustRightInd/>
        <w:snapToGrid w:val="0"/>
        <w:jc w:val="both"/>
        <w:rPr>
          <w:rFonts w:eastAsia="宋体"/>
          <w:color w:val="3333FF"/>
          <w:sz w:val="21"/>
          <w:szCs w:val="21"/>
          <w:u w:val="single"/>
        </w:rPr>
      </w:pPr>
      <w:r>
        <w:rPr>
          <w:rStyle w:val="20"/>
          <w:sz w:val="21"/>
          <w:szCs w:val="21"/>
        </w:rPr>
        <w:footnoteRef/>
      </w:r>
      <w:r>
        <w:rPr>
          <w:rFonts w:eastAsia="宋体"/>
          <w:color w:val="3333FF"/>
          <w:sz w:val="21"/>
          <w:szCs w:val="21"/>
          <w:u w:val="single"/>
        </w:rPr>
        <w:t>https://www.fda.gov/regulatory-information/search-fda-guidance-documents/establishing-safety-and-compatibility-passive-implants-magnetic-resonance-mr-environment.</w:t>
      </w:r>
    </w:p>
  </w:footnote>
  <w:footnote w:id="15">
    <w:p w14:paraId="3E711759">
      <w:pPr>
        <w:shd w:val="clear" w:color="auto" w:fill="FFFFFF"/>
        <w:topLinePunct/>
        <w:autoSpaceDE/>
        <w:autoSpaceDN/>
        <w:adjustRightInd/>
        <w:snapToGrid w:val="0"/>
        <w:jc w:val="both"/>
        <w:rPr>
          <w:rFonts w:eastAsia="宋体"/>
          <w:color w:val="000000"/>
          <w:sz w:val="21"/>
          <w:szCs w:val="21"/>
        </w:rPr>
      </w:pPr>
      <w:r>
        <w:rPr>
          <w:rStyle w:val="20"/>
          <w:sz w:val="21"/>
          <w:szCs w:val="21"/>
        </w:rPr>
        <w:footnoteRef/>
      </w:r>
      <w:r>
        <w:rPr>
          <w:rFonts w:eastAsia="宋体"/>
          <w:color w:val="3333FF"/>
          <w:sz w:val="21"/>
          <w:szCs w:val="21"/>
        </w:rPr>
        <w:t>https://www.fda.gov/regulatory-information/search-fda-guidance-documents/guidance-medical-device-patient-labeling.</w:t>
      </w:r>
    </w:p>
  </w:footnote>
  <w:footnote w:id="16">
    <w:p w14:paraId="6A20F965">
      <w:pPr>
        <w:shd w:val="clear" w:color="auto" w:fill="FFFFFF"/>
        <w:topLinePunct/>
        <w:autoSpaceDE/>
        <w:autoSpaceDN/>
        <w:adjustRightInd/>
        <w:snapToGrid w:val="0"/>
        <w:jc w:val="both"/>
        <w:rPr>
          <w:rFonts w:eastAsia="宋体"/>
          <w:color w:val="3333FF"/>
          <w:sz w:val="21"/>
          <w:szCs w:val="21"/>
        </w:rPr>
      </w:pPr>
      <w:r>
        <w:rPr>
          <w:rStyle w:val="20"/>
          <w:sz w:val="21"/>
          <w:szCs w:val="21"/>
        </w:rPr>
        <w:footnoteRef/>
      </w:r>
      <w:r>
        <w:rPr>
          <w:rFonts w:eastAsia="宋体"/>
          <w:color w:val="3333FF"/>
          <w:sz w:val="21"/>
          <w:szCs w:val="21"/>
        </w:rPr>
        <w:t>https://www.fda.gov/regulatory-information/search-fda-guidance-documents/establishing-safety-and-compatibility-passive-implants-magnetic-resonance-mr-environment.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F9AB">
    <w:pPr>
      <w:shd w:val="clear" w:color="auto" w:fill="FFFFFF"/>
      <w:topLinePunct/>
      <w:autoSpaceDE/>
      <w:autoSpaceDN/>
      <w:adjustRightInd/>
      <w:jc w:val="center"/>
      <w:rPr>
        <w:rFonts w:eastAsia="宋体"/>
        <w:sz w:val="21"/>
        <w:szCs w:val="21"/>
      </w:rPr>
    </w:pPr>
    <w:r>
      <w:rPr>
        <w:rFonts w:hint="eastAsia" w:eastAsia="宋体" w:cs="宋体"/>
        <w:b/>
        <w:i/>
        <w:color w:val="000000"/>
        <w:sz w:val="21"/>
      </w:rPr>
      <w:t>所含建议不具约束力</w:t>
    </w:r>
  </w:p>
  <w:p w14:paraId="7CECECA2">
    <w:pPr>
      <w:pStyle w:val="9"/>
      <w:pBdr>
        <w:bottom w:val="none" w:color="auto" w:sz="0" w:space="0"/>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F77D">
    <w:pPr>
      <w:pStyle w:val="9"/>
      <w:pBdr>
        <w:bottom w:val="none" w:color="auto" w:sz="0" w:space="0"/>
      </w:pBdr>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CB0CC">
    <w:pPr>
      <w:shd w:val="clear" w:color="auto" w:fill="FFFFFF"/>
      <w:topLinePunct/>
      <w:autoSpaceDE/>
      <w:autoSpaceDN/>
      <w:adjustRightInd/>
      <w:jc w:val="center"/>
      <w:rPr>
        <w:rFonts w:eastAsia="宋体"/>
        <w:sz w:val="21"/>
        <w:szCs w:val="21"/>
      </w:rPr>
    </w:pPr>
    <w:r>
      <w:rPr>
        <w:rFonts w:hint="eastAsia" w:eastAsia="宋体" w:cs="宋体"/>
        <w:b/>
        <w:i/>
        <w:color w:val="000000"/>
        <w:sz w:val="21"/>
      </w:rPr>
      <w:t>所含建议不具约束力</w:t>
    </w:r>
  </w:p>
  <w:p w14:paraId="37E74DA3">
    <w:pPr>
      <w:pStyle w:val="9"/>
      <w:pBdr>
        <w:bottom w:val="none" w:color="auto" w:sz="0" w:space="0"/>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F221A"/>
    <w:multiLevelType w:val="multilevel"/>
    <w:tmpl w:val="308F221A"/>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FFB0B35"/>
    <w:multiLevelType w:val="multilevel"/>
    <w:tmpl w:val="7FFB0B35"/>
    <w:lvl w:ilvl="0" w:tentative="0">
      <w:start w:val="1"/>
      <w:numFmt w:val="upperRoman"/>
      <w:lvlText w:val="%1."/>
      <w:lvlJc w:val="left"/>
      <w:pPr>
        <w:ind w:left="1520" w:hanging="72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00"/>
  <w:drawingGridVerticalSpacing w:val="136"/>
  <w:displayHorizontalDrawingGridEvery w:val="0"/>
  <w:displayVerticalDrawingGridEvery w:val="2"/>
  <w:doNotShadeFormData w:val="1"/>
  <w:characterSpacingControl w:val="compressPunctuation"/>
  <w:doNotValidateAgainstSchema/>
  <w:doNotDemarcateInvalidXml/>
  <w:footnotePr>
    <w:footnote w:id="34"/>
    <w:footnote w:id="3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27"/>
    <w:rsid w:val="00024C8C"/>
    <w:rsid w:val="000479BA"/>
    <w:rsid w:val="000669DF"/>
    <w:rsid w:val="00070310"/>
    <w:rsid w:val="00071048"/>
    <w:rsid w:val="00085051"/>
    <w:rsid w:val="000944C2"/>
    <w:rsid w:val="000E5E13"/>
    <w:rsid w:val="00113AE5"/>
    <w:rsid w:val="00121B79"/>
    <w:rsid w:val="00125C6B"/>
    <w:rsid w:val="00133408"/>
    <w:rsid w:val="0014521E"/>
    <w:rsid w:val="001477E3"/>
    <w:rsid w:val="001608A0"/>
    <w:rsid w:val="00162173"/>
    <w:rsid w:val="001718EC"/>
    <w:rsid w:val="0019789B"/>
    <w:rsid w:val="001C00AD"/>
    <w:rsid w:val="001F711D"/>
    <w:rsid w:val="00214930"/>
    <w:rsid w:val="00220110"/>
    <w:rsid w:val="00230B37"/>
    <w:rsid w:val="00274820"/>
    <w:rsid w:val="00291F28"/>
    <w:rsid w:val="002A2866"/>
    <w:rsid w:val="002C5AA4"/>
    <w:rsid w:val="002D132C"/>
    <w:rsid w:val="00312E20"/>
    <w:rsid w:val="00313826"/>
    <w:rsid w:val="00314E50"/>
    <w:rsid w:val="00343630"/>
    <w:rsid w:val="003476C5"/>
    <w:rsid w:val="00361817"/>
    <w:rsid w:val="00365741"/>
    <w:rsid w:val="00373EED"/>
    <w:rsid w:val="0039319C"/>
    <w:rsid w:val="0039773B"/>
    <w:rsid w:val="003B5708"/>
    <w:rsid w:val="003B725E"/>
    <w:rsid w:val="003C17A0"/>
    <w:rsid w:val="003D257D"/>
    <w:rsid w:val="003F1CEF"/>
    <w:rsid w:val="004165AF"/>
    <w:rsid w:val="00427CD0"/>
    <w:rsid w:val="004433A7"/>
    <w:rsid w:val="004514E7"/>
    <w:rsid w:val="004612A4"/>
    <w:rsid w:val="00461E46"/>
    <w:rsid w:val="0046211F"/>
    <w:rsid w:val="004673CC"/>
    <w:rsid w:val="00492B1C"/>
    <w:rsid w:val="004A4A13"/>
    <w:rsid w:val="004B10F2"/>
    <w:rsid w:val="004C6B08"/>
    <w:rsid w:val="004E28E9"/>
    <w:rsid w:val="004E2B12"/>
    <w:rsid w:val="0050182A"/>
    <w:rsid w:val="00501C7E"/>
    <w:rsid w:val="00517A3F"/>
    <w:rsid w:val="00520A27"/>
    <w:rsid w:val="00522448"/>
    <w:rsid w:val="00524718"/>
    <w:rsid w:val="005331F3"/>
    <w:rsid w:val="005373E6"/>
    <w:rsid w:val="005514FF"/>
    <w:rsid w:val="00557C8D"/>
    <w:rsid w:val="00572AD4"/>
    <w:rsid w:val="00575B1D"/>
    <w:rsid w:val="0057687B"/>
    <w:rsid w:val="005A1DAF"/>
    <w:rsid w:val="005A4C93"/>
    <w:rsid w:val="005C10F1"/>
    <w:rsid w:val="005E1941"/>
    <w:rsid w:val="005E2673"/>
    <w:rsid w:val="005F576E"/>
    <w:rsid w:val="005F748E"/>
    <w:rsid w:val="00623D82"/>
    <w:rsid w:val="006368FB"/>
    <w:rsid w:val="00645B28"/>
    <w:rsid w:val="00654D77"/>
    <w:rsid w:val="0066254D"/>
    <w:rsid w:val="006746EB"/>
    <w:rsid w:val="00685964"/>
    <w:rsid w:val="006A76F7"/>
    <w:rsid w:val="006C3EF5"/>
    <w:rsid w:val="006F3A10"/>
    <w:rsid w:val="006F3C80"/>
    <w:rsid w:val="0071101E"/>
    <w:rsid w:val="00712504"/>
    <w:rsid w:val="00715B3F"/>
    <w:rsid w:val="00717FD1"/>
    <w:rsid w:val="007343DB"/>
    <w:rsid w:val="007346FB"/>
    <w:rsid w:val="00747627"/>
    <w:rsid w:val="0078165E"/>
    <w:rsid w:val="00782E50"/>
    <w:rsid w:val="00785223"/>
    <w:rsid w:val="007B3480"/>
    <w:rsid w:val="007C43E7"/>
    <w:rsid w:val="007C4FAD"/>
    <w:rsid w:val="007F234A"/>
    <w:rsid w:val="007F7EB1"/>
    <w:rsid w:val="00813F29"/>
    <w:rsid w:val="00814DCC"/>
    <w:rsid w:val="00885889"/>
    <w:rsid w:val="00893A18"/>
    <w:rsid w:val="008949CF"/>
    <w:rsid w:val="008A7D8E"/>
    <w:rsid w:val="008B131E"/>
    <w:rsid w:val="008D01D7"/>
    <w:rsid w:val="008D7FCE"/>
    <w:rsid w:val="008E5C96"/>
    <w:rsid w:val="0090171A"/>
    <w:rsid w:val="009033E1"/>
    <w:rsid w:val="00920359"/>
    <w:rsid w:val="00920A4A"/>
    <w:rsid w:val="00926CEF"/>
    <w:rsid w:val="0095726A"/>
    <w:rsid w:val="00962079"/>
    <w:rsid w:val="009900F5"/>
    <w:rsid w:val="00994A9E"/>
    <w:rsid w:val="009A1EAD"/>
    <w:rsid w:val="009B55E2"/>
    <w:rsid w:val="009B7009"/>
    <w:rsid w:val="009D6B54"/>
    <w:rsid w:val="009E61B6"/>
    <w:rsid w:val="009F71EB"/>
    <w:rsid w:val="00A17C89"/>
    <w:rsid w:val="00A22906"/>
    <w:rsid w:val="00A24E5F"/>
    <w:rsid w:val="00A33F60"/>
    <w:rsid w:val="00A57022"/>
    <w:rsid w:val="00A713CC"/>
    <w:rsid w:val="00A72BA1"/>
    <w:rsid w:val="00A95ECF"/>
    <w:rsid w:val="00AC4802"/>
    <w:rsid w:val="00AD0558"/>
    <w:rsid w:val="00AD15BB"/>
    <w:rsid w:val="00B259A4"/>
    <w:rsid w:val="00B6194C"/>
    <w:rsid w:val="00B82048"/>
    <w:rsid w:val="00B92A65"/>
    <w:rsid w:val="00B944A1"/>
    <w:rsid w:val="00B967FE"/>
    <w:rsid w:val="00BB7125"/>
    <w:rsid w:val="00BC6E87"/>
    <w:rsid w:val="00BD4CEC"/>
    <w:rsid w:val="00BE1CEF"/>
    <w:rsid w:val="00BF7247"/>
    <w:rsid w:val="00C06D8B"/>
    <w:rsid w:val="00C07FAA"/>
    <w:rsid w:val="00C10B39"/>
    <w:rsid w:val="00C3044F"/>
    <w:rsid w:val="00C3264A"/>
    <w:rsid w:val="00C401EC"/>
    <w:rsid w:val="00CA4DD7"/>
    <w:rsid w:val="00CB7201"/>
    <w:rsid w:val="00CC599C"/>
    <w:rsid w:val="00CD67AB"/>
    <w:rsid w:val="00CD70BF"/>
    <w:rsid w:val="00CD75D8"/>
    <w:rsid w:val="00CE7909"/>
    <w:rsid w:val="00CF4F04"/>
    <w:rsid w:val="00D11025"/>
    <w:rsid w:val="00D43EC5"/>
    <w:rsid w:val="00D70490"/>
    <w:rsid w:val="00D74AB1"/>
    <w:rsid w:val="00D82FB2"/>
    <w:rsid w:val="00D86895"/>
    <w:rsid w:val="00D9236A"/>
    <w:rsid w:val="00D96EE4"/>
    <w:rsid w:val="00DF28E5"/>
    <w:rsid w:val="00DF5420"/>
    <w:rsid w:val="00E07654"/>
    <w:rsid w:val="00E256F7"/>
    <w:rsid w:val="00E67628"/>
    <w:rsid w:val="00E81CCF"/>
    <w:rsid w:val="00E82B81"/>
    <w:rsid w:val="00E849DE"/>
    <w:rsid w:val="00E870AF"/>
    <w:rsid w:val="00E904B4"/>
    <w:rsid w:val="00EA2168"/>
    <w:rsid w:val="00EB1286"/>
    <w:rsid w:val="00EB44D7"/>
    <w:rsid w:val="00EB54AC"/>
    <w:rsid w:val="00EC0223"/>
    <w:rsid w:val="00EC36B8"/>
    <w:rsid w:val="00EC6475"/>
    <w:rsid w:val="00EE1C5F"/>
    <w:rsid w:val="00F01CE0"/>
    <w:rsid w:val="00F07728"/>
    <w:rsid w:val="00F26356"/>
    <w:rsid w:val="00F27560"/>
    <w:rsid w:val="00F74825"/>
    <w:rsid w:val="00F848CB"/>
    <w:rsid w:val="00F86AB7"/>
    <w:rsid w:val="00FA0C72"/>
    <w:rsid w:val="00FC4AD6"/>
    <w:rsid w:val="00FC5E8A"/>
    <w:rsid w:val="00FD1708"/>
    <w:rsid w:val="00FD6511"/>
    <w:rsid w:val="00FE1E95"/>
    <w:rsid w:val="00FF6614"/>
    <w:rsid w:val="296653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4"/>
    <w:qFormat/>
    <w:uiPriority w:val="9"/>
    <w:pPr>
      <w:keepNext/>
      <w:topLinePunct/>
      <w:autoSpaceDE/>
      <w:autoSpaceDN/>
      <w:spacing w:before="10" w:beforeLines="10" w:line="300" w:lineRule="auto"/>
      <w:ind w:hanging="400" w:hangingChars="400"/>
      <w:jc w:val="both"/>
      <w:outlineLvl w:val="0"/>
    </w:pPr>
    <w:rPr>
      <w:rFonts w:eastAsia="宋体"/>
      <w:b/>
      <w:bCs/>
      <w:kern w:val="44"/>
      <w:sz w:val="32"/>
      <w:szCs w:val="44"/>
    </w:rPr>
  </w:style>
  <w:style w:type="paragraph" w:styleId="3">
    <w:name w:val="heading 2"/>
    <w:basedOn w:val="1"/>
    <w:next w:val="1"/>
    <w:link w:val="25"/>
    <w:autoRedefine/>
    <w:unhideWhenUsed/>
    <w:qFormat/>
    <w:uiPriority w:val="9"/>
    <w:pPr>
      <w:keepNext/>
      <w:keepLines/>
      <w:ind w:left="1640" w:leftChars="425" w:hanging="790" w:hangingChars="281"/>
      <w:jc w:val="both"/>
      <w:outlineLvl w:val="1"/>
    </w:pPr>
    <w:rPr>
      <w:rFonts w:eastAsia="宋体"/>
      <w:b/>
      <w:bCs/>
      <w:sz w:val="28"/>
      <w:szCs w:val="28"/>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style>
  <w:style w:type="paragraph" w:styleId="6">
    <w:name w:val="toc 3"/>
    <w:basedOn w:val="1"/>
    <w:next w:val="1"/>
    <w:autoRedefine/>
    <w:unhideWhenUsed/>
    <w:qFormat/>
    <w:uiPriority w:val="39"/>
    <w:pPr>
      <w:tabs>
        <w:tab w:val="left" w:pos="1470"/>
        <w:tab w:val="right" w:leader="dot" w:pos="9347"/>
      </w:tabs>
      <w:ind w:left="800" w:leftChars="400"/>
    </w:pPr>
    <w:rPr>
      <w:sz w:val="24"/>
      <w:szCs w:val="24"/>
    </w:rPr>
  </w:style>
  <w:style w:type="paragraph" w:styleId="7">
    <w:name w:val="Balloon Text"/>
    <w:basedOn w:val="1"/>
    <w:link w:val="23"/>
    <w:semiHidden/>
    <w:unhideWhenUsed/>
    <w:qFormat/>
    <w:uiPriority w:val="99"/>
    <w:rPr>
      <w:sz w:val="18"/>
      <w:szCs w:val="18"/>
    </w:rPr>
  </w:style>
  <w:style w:type="paragraph" w:styleId="8">
    <w:name w:val="footer"/>
    <w:basedOn w:val="1"/>
    <w:link w:val="22"/>
    <w:unhideWhenUsed/>
    <w:uiPriority w:val="99"/>
    <w:pPr>
      <w:tabs>
        <w:tab w:val="center" w:pos="4153"/>
        <w:tab w:val="right" w:pos="8306"/>
      </w:tabs>
      <w:snapToGrid w:val="0"/>
    </w:pPr>
    <w:rPr>
      <w:sz w:val="18"/>
      <w:szCs w:val="18"/>
    </w:rPr>
  </w:style>
  <w:style w:type="paragraph" w:styleId="9">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709"/>
        <w:tab w:val="left" w:pos="1134"/>
        <w:tab w:val="right" w:leader="dot" w:pos="9347"/>
      </w:tabs>
      <w:ind w:left="720" w:hanging="720" w:hangingChars="300"/>
      <w:jc w:val="both"/>
    </w:pPr>
    <w:rPr>
      <w:rFonts w:eastAsia="宋体"/>
      <w:sz w:val="24"/>
    </w:rPr>
  </w:style>
  <w:style w:type="paragraph" w:styleId="11">
    <w:name w:val="footnote text"/>
    <w:basedOn w:val="1"/>
    <w:link w:val="32"/>
    <w:semiHidden/>
    <w:unhideWhenUsed/>
    <w:qFormat/>
    <w:uiPriority w:val="99"/>
    <w:pPr>
      <w:snapToGrid w:val="0"/>
    </w:pPr>
    <w:rPr>
      <w:sz w:val="18"/>
      <w:szCs w:val="18"/>
    </w:rPr>
  </w:style>
  <w:style w:type="paragraph" w:styleId="12">
    <w:name w:val="toc 2"/>
    <w:basedOn w:val="1"/>
    <w:next w:val="1"/>
    <w:autoRedefine/>
    <w:unhideWhenUsed/>
    <w:qFormat/>
    <w:uiPriority w:val="39"/>
    <w:pPr>
      <w:tabs>
        <w:tab w:val="left" w:pos="709"/>
        <w:tab w:val="right" w:leader="dot" w:pos="9347"/>
      </w:tabs>
      <w:ind w:left="1118" w:hanging="1118" w:hangingChars="466"/>
    </w:pPr>
    <w:rPr>
      <w:rFonts w:eastAsia="宋体"/>
      <w:sz w:val="24"/>
    </w:rPr>
  </w:style>
  <w:style w:type="paragraph" w:styleId="13">
    <w:name w:val="annotation subject"/>
    <w:basedOn w:val="5"/>
    <w:next w:val="5"/>
    <w:link w:val="31"/>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semiHidden/>
    <w:unhideWhenUsed/>
    <w:qFormat/>
    <w:uiPriority w:val="99"/>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styleId="20">
    <w:name w:val="footnote reference"/>
    <w:basedOn w:val="16"/>
    <w:semiHidden/>
    <w:unhideWhenUsed/>
    <w:qFormat/>
    <w:uiPriority w:val="99"/>
    <w:rPr>
      <w:vertAlign w:val="superscript"/>
    </w:rPr>
  </w:style>
  <w:style w:type="character" w:customStyle="1" w:styleId="21">
    <w:name w:val="页眉 Char"/>
    <w:basedOn w:val="16"/>
    <w:link w:val="9"/>
    <w:uiPriority w:val="99"/>
    <w:rPr>
      <w:rFonts w:ascii="Times New Roman" w:hAnsi="Times New Roman" w:cs="Times New Roman"/>
      <w:kern w:val="0"/>
      <w:sz w:val="18"/>
      <w:szCs w:val="18"/>
    </w:rPr>
  </w:style>
  <w:style w:type="character" w:customStyle="1" w:styleId="22">
    <w:name w:val="页脚 Char"/>
    <w:basedOn w:val="16"/>
    <w:link w:val="8"/>
    <w:qFormat/>
    <w:uiPriority w:val="99"/>
    <w:rPr>
      <w:rFonts w:ascii="Times New Roman" w:hAnsi="Times New Roman" w:cs="Times New Roman"/>
      <w:kern w:val="0"/>
      <w:sz w:val="18"/>
      <w:szCs w:val="18"/>
    </w:rPr>
  </w:style>
  <w:style w:type="character" w:customStyle="1" w:styleId="23">
    <w:name w:val="批注框文本 Char"/>
    <w:basedOn w:val="16"/>
    <w:link w:val="7"/>
    <w:semiHidden/>
    <w:qFormat/>
    <w:uiPriority w:val="99"/>
    <w:rPr>
      <w:rFonts w:ascii="Times New Roman" w:hAnsi="Times New Roman" w:cs="Times New Roman"/>
      <w:kern w:val="0"/>
      <w:sz w:val="18"/>
      <w:szCs w:val="18"/>
    </w:rPr>
  </w:style>
  <w:style w:type="character" w:customStyle="1" w:styleId="24">
    <w:name w:val="标题 1 Char"/>
    <w:basedOn w:val="16"/>
    <w:link w:val="2"/>
    <w:qFormat/>
    <w:uiPriority w:val="9"/>
    <w:rPr>
      <w:rFonts w:ascii="Times New Roman" w:hAnsi="Times New Roman" w:eastAsia="宋体" w:cs="Times New Roman"/>
      <w:b/>
      <w:bCs/>
      <w:kern w:val="44"/>
      <w:sz w:val="32"/>
      <w:szCs w:val="44"/>
    </w:rPr>
  </w:style>
  <w:style w:type="character" w:customStyle="1" w:styleId="25">
    <w:name w:val="标题 2 Char"/>
    <w:basedOn w:val="16"/>
    <w:link w:val="3"/>
    <w:qFormat/>
    <w:uiPriority w:val="9"/>
    <w:rPr>
      <w:rFonts w:ascii="Times New Roman" w:hAnsi="Times New Roman" w:eastAsia="宋体" w:cs="Times New Roman"/>
      <w:b/>
      <w:bCs/>
      <w:kern w:val="0"/>
      <w:sz w:val="28"/>
      <w:szCs w:val="28"/>
    </w:rPr>
  </w:style>
  <w:style w:type="paragraph" w:customStyle="1" w:styleId="26">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3 Char"/>
    <w:basedOn w:val="16"/>
    <w:link w:val="4"/>
    <w:qFormat/>
    <w:uiPriority w:val="9"/>
    <w:rPr>
      <w:rFonts w:ascii="Times New Roman" w:hAnsi="Times New Roman" w:cs="Times New Roman"/>
      <w:b/>
      <w:bCs/>
      <w:kern w:val="0"/>
      <w:sz w:val="32"/>
      <w:szCs w:val="32"/>
    </w:rPr>
  </w:style>
  <w:style w:type="paragraph" w:customStyle="1" w:styleId="29">
    <w:name w:val="Revision"/>
    <w:hidden/>
    <w:semiHidden/>
    <w:qFormat/>
    <w:uiPriority w:val="99"/>
    <w:rPr>
      <w:rFonts w:ascii="Times New Roman" w:hAnsi="Times New Roman" w:cs="Times New Roman" w:eastAsiaTheme="minorEastAsia"/>
      <w:kern w:val="0"/>
      <w:sz w:val="20"/>
      <w:szCs w:val="20"/>
      <w:lang w:val="en-US" w:eastAsia="zh-CN" w:bidi="ar-SA"/>
    </w:rPr>
  </w:style>
  <w:style w:type="character" w:customStyle="1" w:styleId="30">
    <w:name w:val="批注文字 Char"/>
    <w:basedOn w:val="16"/>
    <w:link w:val="5"/>
    <w:semiHidden/>
    <w:qFormat/>
    <w:uiPriority w:val="99"/>
    <w:rPr>
      <w:rFonts w:ascii="Times New Roman" w:hAnsi="Times New Roman" w:cs="Times New Roman"/>
      <w:kern w:val="0"/>
      <w:sz w:val="20"/>
      <w:szCs w:val="20"/>
    </w:rPr>
  </w:style>
  <w:style w:type="character" w:customStyle="1" w:styleId="31">
    <w:name w:val="批注主题 Char"/>
    <w:basedOn w:val="30"/>
    <w:link w:val="13"/>
    <w:semiHidden/>
    <w:qFormat/>
    <w:uiPriority w:val="99"/>
    <w:rPr>
      <w:rFonts w:ascii="Times New Roman" w:hAnsi="Times New Roman" w:cs="Times New Roman"/>
      <w:b/>
      <w:bCs/>
      <w:kern w:val="0"/>
      <w:sz w:val="20"/>
      <w:szCs w:val="20"/>
    </w:rPr>
  </w:style>
  <w:style w:type="character" w:customStyle="1" w:styleId="32">
    <w:name w:val="脚注文本 Char"/>
    <w:basedOn w:val="16"/>
    <w:link w:val="11"/>
    <w:semiHidden/>
    <w:qFormat/>
    <w:uiPriority w:val="99"/>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AB2A-B4E3-4754-AC2D-C52EB6A96E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10077</Words>
  <Characters>10973</Characters>
  <Lines>122</Lines>
  <Paragraphs>34</Paragraphs>
  <TotalTime>25</TotalTime>
  <ScaleCrop>false</ScaleCrop>
  <LinksUpToDate>false</LinksUpToDate>
  <CharactersWithSpaces>11117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2022-03-11T06:38:00Z</dcterms:created>
  <dc:creator>Administrator</dc:creator>
  <cp:lastModifiedBy>太极箫客</cp:lastModifiedBy>
  <dcterms:modified xsi:type="dcterms:W3CDTF">2025-08-14T07:21:56Z</dcterms:modified>
  <dc:subject>Premarket Notification (510(k)) Submissions</dc:subject>
  <dc:title>Metal Expandable Biliary Stents</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0AEFCBC88E774320BD79EB5EA1E45743_12</vt:lpwstr>
  </property>
</Properties>
</file>