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BCE7A7">
      <w:pPr>
        <w:pBdr>
          <w:bottom w:val="single" w:color="auto" w:sz="4" w:space="1"/>
        </w:pBdr>
        <w:adjustRightInd w:val="0"/>
        <w:jc w:val="center"/>
        <w:rPr>
          <w:rFonts w:eastAsia="宋体"/>
          <w:b/>
          <w:sz w:val="24"/>
          <w:szCs w:val="24"/>
          <w:lang w:eastAsia="zh-CN"/>
        </w:rPr>
      </w:pPr>
      <w:bookmarkStart w:id="0" w:name="_GoBack"/>
      <w:bookmarkEnd w:id="0"/>
      <w:r>
        <w:rPr>
          <w:rFonts w:eastAsia="宋体"/>
          <w:b/>
          <w:sz w:val="44"/>
          <w:szCs w:val="44"/>
          <w:lang w:eastAsia="zh-CN"/>
        </w:rPr>
        <w:t>自动体外除颤器必需附件：</w:t>
      </w:r>
      <w:r>
        <w:rPr>
          <w:rFonts w:hint="eastAsia" w:eastAsia="宋体"/>
          <w:b/>
          <w:sz w:val="44"/>
          <w:szCs w:val="44"/>
          <w:lang w:eastAsia="zh-CN"/>
        </w:rPr>
        <w:br w:type="textWrapping"/>
      </w:r>
      <w:r>
        <w:rPr>
          <w:rFonts w:eastAsia="宋体"/>
          <w:b/>
          <w:sz w:val="44"/>
          <w:szCs w:val="44"/>
          <w:lang w:eastAsia="zh-CN"/>
        </w:rPr>
        <w:t>关于符合性政策的日期</w:t>
      </w:r>
    </w:p>
    <w:p w14:paraId="6D0FD3E6">
      <w:pPr>
        <w:adjustRightInd w:val="0"/>
        <w:jc w:val="center"/>
        <w:rPr>
          <w:rFonts w:eastAsia="宋体"/>
          <w:b/>
          <w:sz w:val="24"/>
          <w:szCs w:val="24"/>
          <w:lang w:eastAsia="zh-CN"/>
        </w:rPr>
      </w:pPr>
      <w:r>
        <w:rPr>
          <w:rFonts w:eastAsia="宋体"/>
          <w:b/>
          <w:sz w:val="44"/>
          <w:szCs w:val="44"/>
          <w:lang w:eastAsia="zh-CN"/>
        </w:rPr>
        <w:t>行业、利益相关方、医疗保健专业人员和美国食品药品监督管理局工作人员指南</w:t>
      </w:r>
    </w:p>
    <w:p w14:paraId="58ACC214">
      <w:pPr>
        <w:adjustRightInd w:val="0"/>
        <w:jc w:val="center"/>
        <w:rPr>
          <w:rFonts w:eastAsia="宋体"/>
          <w:b/>
          <w:bCs/>
          <w:sz w:val="24"/>
          <w:szCs w:val="24"/>
          <w:lang w:eastAsia="zh-CN"/>
        </w:rPr>
      </w:pPr>
    </w:p>
    <w:p w14:paraId="0D3CEA70">
      <w:pPr>
        <w:adjustRightInd w:val="0"/>
        <w:jc w:val="center"/>
        <w:rPr>
          <w:rFonts w:eastAsia="宋体"/>
          <w:b/>
          <w:bCs/>
          <w:sz w:val="24"/>
          <w:szCs w:val="24"/>
          <w:lang w:eastAsia="zh-CN"/>
        </w:rPr>
      </w:pPr>
      <w:r>
        <w:rPr>
          <w:rFonts w:eastAsia="宋体"/>
          <w:b/>
          <w:bCs/>
          <w:sz w:val="24"/>
          <w:szCs w:val="24"/>
          <w:lang w:eastAsia="zh-CN"/>
        </w:rPr>
        <w:t>文件发布日期：2020年10月28日</w:t>
      </w:r>
    </w:p>
    <w:p w14:paraId="74FA75B2">
      <w:pPr>
        <w:adjustRightInd w:val="0"/>
        <w:jc w:val="both"/>
        <w:rPr>
          <w:rFonts w:eastAsia="宋体"/>
          <w:b/>
          <w:sz w:val="24"/>
          <w:szCs w:val="24"/>
          <w:lang w:eastAsia="zh-CN"/>
        </w:rPr>
      </w:pPr>
    </w:p>
    <w:p w14:paraId="5DAEE162">
      <w:pPr>
        <w:adjustRightInd w:val="0"/>
        <w:jc w:val="both"/>
        <w:rPr>
          <w:rFonts w:eastAsia="宋体"/>
          <w:b/>
          <w:sz w:val="24"/>
          <w:szCs w:val="24"/>
          <w:lang w:eastAsia="zh-CN"/>
        </w:rPr>
      </w:pPr>
    </w:p>
    <w:p w14:paraId="4782118B">
      <w:pPr>
        <w:adjustRightInd w:val="0"/>
        <w:ind w:firstLine="480" w:firstLineChars="200"/>
        <w:jc w:val="both"/>
        <w:rPr>
          <w:rFonts w:eastAsia="宋体"/>
          <w:sz w:val="24"/>
          <w:szCs w:val="24"/>
          <w:lang w:eastAsia="zh-CN"/>
        </w:rPr>
      </w:pPr>
      <w:r>
        <w:rPr>
          <w:rFonts w:eastAsia="宋体"/>
          <w:sz w:val="24"/>
          <w:szCs w:val="24"/>
          <w:lang w:eastAsia="zh-CN"/>
        </w:rPr>
        <w:t>有关本文件的任何疑问，请与OHT2：心血管器械办公室/DHT2A：卫生技术部2A联系，电话（301）796-6883。</w:t>
      </w:r>
    </w:p>
    <w:p w14:paraId="63E7E047">
      <w:pPr>
        <w:adjustRightInd w:val="0"/>
        <w:jc w:val="both"/>
        <w:rPr>
          <w:rFonts w:eastAsia="宋体"/>
          <w:sz w:val="24"/>
          <w:szCs w:val="24"/>
          <w:lang w:eastAsia="zh-CN"/>
        </w:rPr>
      </w:pPr>
    </w:p>
    <w:p w14:paraId="5193FB61">
      <w:pPr>
        <w:adjustRightInd w:val="0"/>
        <w:jc w:val="both"/>
        <w:rPr>
          <w:rFonts w:eastAsia="宋体"/>
          <w:sz w:val="24"/>
          <w:szCs w:val="24"/>
          <w:lang w:eastAsia="zh-CN"/>
        </w:rPr>
      </w:pPr>
    </w:p>
    <w:p w14:paraId="351F8E2F">
      <w:pPr>
        <w:adjustRightInd w:val="0"/>
        <w:jc w:val="both"/>
        <w:rPr>
          <w:rFonts w:eastAsia="宋体"/>
          <w:sz w:val="24"/>
          <w:szCs w:val="24"/>
          <w:lang w:eastAsia="zh-CN"/>
        </w:rPr>
      </w:pPr>
    </w:p>
    <w:p w14:paraId="169E61AA">
      <w:pPr>
        <w:adjustRightInd w:val="0"/>
        <w:jc w:val="both"/>
        <w:rPr>
          <w:rFonts w:eastAsia="宋体"/>
          <w:sz w:val="24"/>
          <w:szCs w:val="24"/>
          <w:lang w:eastAsia="zh-CN"/>
        </w:rPr>
      </w:pPr>
    </w:p>
    <w:p w14:paraId="55158043">
      <w:pPr>
        <w:adjustRightInd w:val="0"/>
        <w:jc w:val="both"/>
        <w:rPr>
          <w:rFonts w:eastAsia="宋体"/>
          <w:sz w:val="24"/>
          <w:szCs w:val="24"/>
          <w:lang w:eastAsia="zh-CN"/>
        </w:rPr>
      </w:pPr>
    </w:p>
    <w:p w14:paraId="34E66B73">
      <w:pPr>
        <w:adjustRightInd w:val="0"/>
        <w:jc w:val="both"/>
        <w:rPr>
          <w:rFonts w:eastAsia="宋体"/>
          <w:sz w:val="24"/>
          <w:szCs w:val="24"/>
          <w:lang w:eastAsia="zh-CN"/>
        </w:rPr>
      </w:pPr>
    </w:p>
    <w:p w14:paraId="06B4DDD8">
      <w:pPr>
        <w:adjustRightInd w:val="0"/>
        <w:jc w:val="both"/>
        <w:rPr>
          <w:rFonts w:eastAsia="宋体"/>
          <w:sz w:val="24"/>
          <w:szCs w:val="24"/>
          <w:lang w:eastAsia="zh-CN"/>
        </w:rPr>
      </w:pPr>
    </w:p>
    <w:p w14:paraId="63AF4A62">
      <w:pPr>
        <w:adjustRightInd w:val="0"/>
        <w:jc w:val="both"/>
        <w:rPr>
          <w:rFonts w:eastAsia="宋体"/>
          <w:sz w:val="24"/>
          <w:szCs w:val="24"/>
          <w:lang w:eastAsia="zh-CN"/>
        </w:rPr>
      </w:pPr>
    </w:p>
    <w:p w14:paraId="56C5842A">
      <w:pPr>
        <w:adjustRightInd w:val="0"/>
        <w:jc w:val="both"/>
        <w:rPr>
          <w:rFonts w:eastAsia="宋体"/>
          <w:sz w:val="24"/>
          <w:szCs w:val="24"/>
          <w:lang w:eastAsia="zh-CN"/>
        </w:rPr>
      </w:pPr>
    </w:p>
    <w:p w14:paraId="726C350B">
      <w:pPr>
        <w:adjustRightInd w:val="0"/>
        <w:jc w:val="both"/>
        <w:rPr>
          <w:rFonts w:eastAsia="宋体"/>
          <w:sz w:val="24"/>
          <w:szCs w:val="24"/>
          <w:lang w:eastAsia="zh-CN"/>
        </w:rPr>
      </w:pPr>
    </w:p>
    <w:p w14:paraId="3C3BD584">
      <w:pPr>
        <w:adjustRightInd w:val="0"/>
        <w:jc w:val="both"/>
        <w:rPr>
          <w:rFonts w:eastAsia="宋体"/>
          <w:sz w:val="24"/>
          <w:szCs w:val="24"/>
          <w:lang w:eastAsia="zh-CN"/>
        </w:rPr>
      </w:pPr>
    </w:p>
    <w:p w14:paraId="5E7AFFCB">
      <w:pPr>
        <w:adjustRightInd w:val="0"/>
        <w:jc w:val="both"/>
        <w:rPr>
          <w:rFonts w:eastAsia="宋体"/>
          <w:sz w:val="24"/>
          <w:szCs w:val="24"/>
          <w:lang w:eastAsia="zh-CN"/>
        </w:rPr>
      </w:pPr>
    </w:p>
    <w:tbl>
      <w:tblPr>
        <w:tblStyle w:val="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19"/>
        <w:gridCol w:w="5804"/>
      </w:tblGrid>
      <w:tr w14:paraId="7E9F9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6" w:type="dxa"/>
          </w:tcPr>
          <w:p w14:paraId="2FB3FC98">
            <w:pPr>
              <w:adjustRightInd w:val="0"/>
              <w:jc w:val="both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  <w:lang w:eastAsia="zh-CN" w:bidi="ar-SA"/>
              </w:rPr>
              <w:drawing>
                <wp:inline distT="0" distB="0" distL="0" distR="0">
                  <wp:extent cx="2160905" cy="65278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7054" cy="673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04" w:type="dxa"/>
          </w:tcPr>
          <w:p w14:paraId="26EE11A3">
            <w:pPr>
              <w:adjustRightInd w:val="0"/>
              <w:jc w:val="right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美国卫生与公共服务部</w:t>
            </w:r>
          </w:p>
          <w:p w14:paraId="170F0328">
            <w:pPr>
              <w:adjustRightInd w:val="0"/>
              <w:jc w:val="right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美国食品药品监督管理局</w:t>
            </w:r>
          </w:p>
          <w:p w14:paraId="16275975">
            <w:pPr>
              <w:adjustRightInd w:val="0"/>
              <w:jc w:val="right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医疗器械和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辐射健康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中心</w:t>
            </w:r>
          </w:p>
        </w:tc>
      </w:tr>
    </w:tbl>
    <w:p w14:paraId="4C4A2AAE">
      <w:pPr>
        <w:adjustRightInd w:val="0"/>
        <w:jc w:val="both"/>
        <w:rPr>
          <w:rFonts w:eastAsia="宋体"/>
          <w:sz w:val="24"/>
          <w:szCs w:val="24"/>
          <w:lang w:eastAsia="zh-CN"/>
        </w:rPr>
      </w:pPr>
    </w:p>
    <w:p w14:paraId="5454380A">
      <w:pPr>
        <w:widowControl/>
        <w:autoSpaceDE/>
        <w:autoSpaceDN/>
        <w:rPr>
          <w:rFonts w:eastAsia="宋体"/>
          <w:sz w:val="24"/>
          <w:szCs w:val="24"/>
          <w:lang w:eastAsia="zh-CN"/>
        </w:rPr>
      </w:pPr>
      <w:r>
        <w:rPr>
          <w:rFonts w:eastAsia="宋体"/>
          <w:sz w:val="24"/>
          <w:szCs w:val="24"/>
          <w:lang w:eastAsia="zh-CN"/>
        </w:rPr>
        <w:br w:type="page"/>
      </w:r>
    </w:p>
    <w:p w14:paraId="3DF6C7E0">
      <w:pPr>
        <w:adjustRightInd w:val="0"/>
        <w:jc w:val="center"/>
        <w:rPr>
          <w:rFonts w:eastAsia="宋体"/>
          <w:b/>
          <w:sz w:val="36"/>
          <w:szCs w:val="36"/>
          <w:lang w:eastAsia="zh-CN"/>
        </w:rPr>
      </w:pPr>
      <w:r>
        <w:rPr>
          <w:rFonts w:eastAsia="宋体"/>
          <w:b/>
          <w:sz w:val="36"/>
          <w:szCs w:val="36"/>
          <w:lang w:eastAsia="zh-CN"/>
        </w:rPr>
        <w:t>前言</w:t>
      </w:r>
    </w:p>
    <w:p w14:paraId="3F5EB9F6">
      <w:pPr>
        <w:adjustRightInd w:val="0"/>
        <w:jc w:val="both"/>
        <w:rPr>
          <w:rFonts w:eastAsia="宋体"/>
          <w:b/>
          <w:sz w:val="32"/>
          <w:szCs w:val="32"/>
          <w:lang w:eastAsia="zh-CN"/>
        </w:rPr>
      </w:pPr>
      <w:r>
        <w:rPr>
          <w:rFonts w:eastAsia="宋体"/>
          <w:b/>
          <w:sz w:val="32"/>
          <w:szCs w:val="32"/>
          <w:lang w:eastAsia="zh-CN"/>
        </w:rPr>
        <w:t>公众意见</w:t>
      </w:r>
    </w:p>
    <w:p w14:paraId="3010E730">
      <w:pPr>
        <w:adjustRightInd w:val="0"/>
        <w:ind w:firstLine="480" w:firstLineChars="200"/>
        <w:jc w:val="both"/>
        <w:rPr>
          <w:rFonts w:eastAsia="宋体"/>
          <w:sz w:val="24"/>
          <w:szCs w:val="24"/>
          <w:lang w:eastAsia="zh-CN"/>
        </w:rPr>
      </w:pPr>
      <w:r>
        <w:rPr>
          <w:rFonts w:eastAsia="宋体"/>
          <w:sz w:val="24"/>
          <w:szCs w:val="24"/>
          <w:lang w:eastAsia="zh-CN"/>
        </w:rPr>
        <w:t>美国食品药品监督管理局（FDA或本机构）认定公众对本指南的事先参与是不可行或不适当的（参见《联邦食品、药品和化妆品法案》（FD&amp;C法案）第701(h)(1)(C)节（21 U.S.C.371(h)(1)(C)）和21 CFR 10.115(g)(2)），因此本指南在未事先征求公众意见的情况下实施。本指南文件即将付诸实施，但根据机构的良好指导实践，仍需征求意见。</w:t>
      </w:r>
    </w:p>
    <w:p w14:paraId="6E9B5B4E">
      <w:pPr>
        <w:adjustRightInd w:val="0"/>
        <w:ind w:firstLine="480" w:firstLineChars="200"/>
        <w:jc w:val="both"/>
        <w:rPr>
          <w:rFonts w:eastAsia="宋体"/>
          <w:sz w:val="24"/>
          <w:szCs w:val="24"/>
          <w:lang w:eastAsia="zh-CN"/>
        </w:rPr>
      </w:pPr>
    </w:p>
    <w:p w14:paraId="1DE554A4">
      <w:pPr>
        <w:autoSpaceDE/>
        <w:autoSpaceDN/>
        <w:ind w:firstLine="480" w:firstLineChars="200"/>
        <w:jc w:val="both"/>
        <w:rPr>
          <w:rFonts w:eastAsia="宋体"/>
          <w:color w:val="000000"/>
          <w:sz w:val="24"/>
          <w:szCs w:val="24"/>
          <w:lang w:eastAsia="zh-CN" w:bidi="ar-SA"/>
        </w:rPr>
      </w:pPr>
      <w:r>
        <w:rPr>
          <w:rFonts w:eastAsia="宋体"/>
          <w:sz w:val="24"/>
          <w:szCs w:val="24"/>
          <w:lang w:bidi="ar-SA"/>
        </w:rPr>
        <w:t>电子版意见和建议可随时提交至</w:t>
      </w:r>
      <w:r>
        <w:fldChar w:fldCharType="begin"/>
      </w:r>
      <w:r>
        <w:instrText xml:space="preserve"> HYPERLINK "https://www.regulations.gov/" \h </w:instrText>
      </w:r>
      <w:r>
        <w:fldChar w:fldCharType="separate"/>
      </w:r>
      <w:r>
        <w:rPr>
          <w:rFonts w:eastAsia="宋体"/>
          <w:color w:val="0000FF"/>
          <w:sz w:val="24"/>
          <w:szCs w:val="24"/>
          <w:u w:val="single" w:color="0000FF"/>
          <w:lang w:bidi="ar-SA"/>
        </w:rPr>
        <w:t>http://www.regulations.gov</w:t>
      </w:r>
      <w:r>
        <w:rPr>
          <w:rFonts w:eastAsia="宋体"/>
          <w:color w:val="0000FF"/>
          <w:sz w:val="24"/>
          <w:szCs w:val="24"/>
          <w:u w:val="single" w:color="0000FF"/>
          <w:lang w:bidi="ar-SA"/>
        </w:rPr>
        <w:fldChar w:fldCharType="end"/>
      </w:r>
      <w:r>
        <w:rPr>
          <w:rFonts w:eastAsia="宋体"/>
          <w:sz w:val="24"/>
          <w:szCs w:val="24"/>
          <w:lang w:bidi="ar-SA"/>
        </w:rPr>
        <w:t>，供FDA审议。</w:t>
      </w:r>
      <w:r>
        <w:rPr>
          <w:rFonts w:eastAsia="宋体"/>
          <w:color w:val="000000"/>
          <w:sz w:val="24"/>
          <w:szCs w:val="24"/>
          <w:lang w:eastAsia="zh-CN" w:bidi="ar-SA"/>
        </w:rPr>
        <w:t>可将书面意见提交至：美国食品药品监督管理局备案文件管理部（HFA-305）</w:t>
      </w:r>
      <w:r>
        <w:rPr>
          <w:rFonts w:hint="eastAsia" w:eastAsia="宋体"/>
          <w:color w:val="000000"/>
          <w:sz w:val="24"/>
          <w:szCs w:val="24"/>
          <w:lang w:eastAsia="zh-CN" w:bidi="ar-SA"/>
        </w:rPr>
        <w:t>，</w:t>
      </w:r>
      <w:r>
        <w:rPr>
          <w:rFonts w:eastAsia="宋体"/>
          <w:color w:val="000000"/>
          <w:sz w:val="24"/>
          <w:szCs w:val="24"/>
          <w:lang w:eastAsia="zh-CN" w:bidi="ar-SA"/>
        </w:rPr>
        <w:t>5630 Fishers Lane, rm. 1061, Rockville, MD 20852。所有意见或建议均应注明备案文件编号FDA-20</w:t>
      </w:r>
      <w:r>
        <w:rPr>
          <w:rFonts w:hint="eastAsia" w:eastAsia="宋体"/>
          <w:color w:val="000000"/>
          <w:sz w:val="24"/>
          <w:szCs w:val="24"/>
          <w:lang w:eastAsia="zh-CN" w:bidi="ar-SA"/>
        </w:rPr>
        <w:t>20</w:t>
      </w:r>
      <w:r>
        <w:rPr>
          <w:rFonts w:eastAsia="宋体"/>
          <w:color w:val="000000"/>
          <w:sz w:val="24"/>
          <w:szCs w:val="24"/>
          <w:lang w:eastAsia="zh-CN" w:bidi="ar-SA"/>
        </w:rPr>
        <w:t>-D-</w:t>
      </w:r>
      <w:r>
        <w:rPr>
          <w:rFonts w:hint="eastAsia" w:eastAsia="宋体"/>
          <w:color w:val="000000"/>
          <w:sz w:val="24"/>
          <w:szCs w:val="24"/>
          <w:lang w:eastAsia="zh-CN" w:bidi="ar-SA"/>
        </w:rPr>
        <w:t>1877</w:t>
      </w:r>
      <w:r>
        <w:rPr>
          <w:rFonts w:eastAsia="宋体"/>
          <w:color w:val="000000"/>
          <w:sz w:val="24"/>
          <w:szCs w:val="24"/>
          <w:lang w:eastAsia="zh-CN" w:bidi="ar-SA"/>
        </w:rPr>
        <w:t>。下次修订或更新本文件时，FDA将考虑实施该意见。</w:t>
      </w:r>
    </w:p>
    <w:p w14:paraId="543ACB70">
      <w:pPr>
        <w:autoSpaceDE/>
        <w:autoSpaceDN/>
        <w:jc w:val="both"/>
        <w:rPr>
          <w:rFonts w:eastAsia="宋体"/>
          <w:sz w:val="24"/>
          <w:szCs w:val="24"/>
          <w:lang w:eastAsia="zh-CN" w:bidi="ar-SA"/>
        </w:rPr>
      </w:pPr>
    </w:p>
    <w:p w14:paraId="799E6CCF">
      <w:pPr>
        <w:adjustRightInd w:val="0"/>
        <w:jc w:val="both"/>
        <w:rPr>
          <w:rFonts w:eastAsia="宋体"/>
          <w:b/>
          <w:sz w:val="32"/>
          <w:szCs w:val="32"/>
          <w:lang w:eastAsia="zh-CN"/>
        </w:rPr>
      </w:pPr>
      <w:r>
        <w:rPr>
          <w:rFonts w:eastAsia="宋体"/>
          <w:b/>
          <w:sz w:val="32"/>
          <w:szCs w:val="32"/>
          <w:lang w:eastAsia="zh-CN"/>
        </w:rPr>
        <w:t>更多副本</w:t>
      </w:r>
    </w:p>
    <w:p w14:paraId="4DC1430D">
      <w:pPr>
        <w:adjustRightInd w:val="0"/>
        <w:ind w:firstLine="480" w:firstLineChars="200"/>
        <w:jc w:val="both"/>
        <w:rPr>
          <w:rFonts w:eastAsia="宋体"/>
          <w:sz w:val="24"/>
          <w:szCs w:val="24"/>
          <w:lang w:eastAsia="zh-CN"/>
        </w:rPr>
      </w:pPr>
      <w:r>
        <w:rPr>
          <w:rFonts w:eastAsia="宋体"/>
          <w:sz w:val="24"/>
          <w:szCs w:val="24"/>
          <w:lang w:eastAsia="zh-CN"/>
        </w:rPr>
        <w:t>更多副本可通过互联网获取。您也可以通过电子邮件发送请求至</w:t>
      </w:r>
      <w:r>
        <w:fldChar w:fldCharType="begin"/>
      </w:r>
      <w:r>
        <w:instrText xml:space="preserve"> HYPERLINK "mailto:CDRH-Guidance@fda.hhs.gov" </w:instrText>
      </w:r>
      <w:r>
        <w:fldChar w:fldCharType="separate"/>
      </w:r>
      <w:r>
        <w:rPr>
          <w:rStyle w:val="11"/>
          <w:rFonts w:eastAsia="宋体"/>
          <w:sz w:val="24"/>
          <w:szCs w:val="24"/>
          <w:u w:color="0000FF"/>
          <w:lang w:eastAsia="zh-CN"/>
        </w:rPr>
        <w:t>CDRH-Guidance@fda.hhs.gov</w:t>
      </w:r>
      <w:r>
        <w:rPr>
          <w:rStyle w:val="11"/>
          <w:rFonts w:eastAsia="宋体"/>
          <w:sz w:val="24"/>
          <w:szCs w:val="24"/>
          <w:u w:color="0000FF"/>
          <w:lang w:eastAsia="zh-CN"/>
        </w:rPr>
        <w:fldChar w:fldCharType="end"/>
      </w:r>
      <w:r>
        <w:rPr>
          <w:rFonts w:eastAsia="宋体"/>
          <w:sz w:val="24"/>
          <w:szCs w:val="24"/>
          <w:lang w:eastAsia="zh-CN"/>
        </w:rPr>
        <w:t>获取本指南的副本。请在申请中注明文件编号20043和指南的完整标题。</w:t>
      </w:r>
    </w:p>
    <w:p w14:paraId="0A361B53">
      <w:pPr>
        <w:widowControl/>
        <w:autoSpaceDE/>
        <w:autoSpaceDN/>
        <w:rPr>
          <w:rFonts w:eastAsia="宋体"/>
          <w:sz w:val="24"/>
          <w:szCs w:val="24"/>
          <w:lang w:eastAsia="zh-CN"/>
        </w:rPr>
        <w:sectPr>
          <w:headerReference r:id="rId4" w:type="default"/>
          <w:pgSz w:w="11906" w:h="16838"/>
          <w:pgMar w:top="1134" w:right="1134" w:bottom="1134" w:left="1418" w:header="567" w:footer="567" w:gutter="0"/>
          <w:cols w:space="425" w:num="1"/>
          <w:docGrid w:type="lines" w:linePitch="364" w:charSpace="0"/>
        </w:sectPr>
      </w:pPr>
    </w:p>
    <w:p w14:paraId="3F896CC6">
      <w:pPr>
        <w:pBdr>
          <w:bottom w:val="single" w:color="auto" w:sz="4" w:space="1"/>
        </w:pBdr>
        <w:adjustRightInd w:val="0"/>
        <w:jc w:val="center"/>
        <w:rPr>
          <w:rFonts w:eastAsia="宋体"/>
          <w:b/>
          <w:sz w:val="24"/>
          <w:szCs w:val="24"/>
          <w:lang w:eastAsia="zh-CN"/>
        </w:rPr>
      </w:pPr>
      <w:r>
        <w:rPr>
          <w:rFonts w:eastAsia="宋体"/>
          <w:b/>
          <w:sz w:val="44"/>
          <w:szCs w:val="44"/>
          <w:lang w:eastAsia="zh-CN"/>
        </w:rPr>
        <w:t>自动体外除颤器必需附件：</w:t>
      </w:r>
      <w:r>
        <w:rPr>
          <w:rFonts w:hint="eastAsia" w:eastAsia="宋体"/>
          <w:b/>
          <w:sz w:val="44"/>
          <w:szCs w:val="44"/>
          <w:lang w:eastAsia="zh-CN"/>
        </w:rPr>
        <w:br w:type="textWrapping"/>
      </w:r>
      <w:r>
        <w:rPr>
          <w:rFonts w:eastAsia="宋体"/>
          <w:b/>
          <w:sz w:val="44"/>
          <w:szCs w:val="44"/>
          <w:lang w:eastAsia="zh-CN"/>
        </w:rPr>
        <w:t>关于符合性政策的日期</w:t>
      </w:r>
    </w:p>
    <w:p w14:paraId="161ECCDC">
      <w:pPr>
        <w:adjustRightInd w:val="0"/>
        <w:jc w:val="center"/>
        <w:rPr>
          <w:rFonts w:eastAsia="宋体"/>
          <w:b/>
          <w:sz w:val="24"/>
          <w:szCs w:val="24"/>
          <w:lang w:eastAsia="zh-CN"/>
        </w:rPr>
      </w:pPr>
      <w:r>
        <w:rPr>
          <w:rFonts w:eastAsia="宋体"/>
          <w:b/>
          <w:sz w:val="44"/>
          <w:szCs w:val="44"/>
          <w:lang w:eastAsia="zh-CN"/>
        </w:rPr>
        <w:t>行业、利益相关方、医疗保健专业人员和美国食品药品监督管理局工作人员指南</w:t>
      </w:r>
    </w:p>
    <w:p w14:paraId="219C1B7F">
      <w:pPr>
        <w:rPr>
          <w:lang w:eastAsia="zh-CN"/>
        </w:rPr>
      </w:pPr>
    </w:p>
    <w:tbl>
      <w:tblPr>
        <w:tblStyle w:val="9"/>
        <w:tblW w:w="494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5"/>
      </w:tblGrid>
      <w:tr w14:paraId="608A3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tcBorders>
              <w:top w:val="thinThickThinSmallGap" w:color="auto" w:sz="18" w:space="0"/>
              <w:left w:val="thinThickThinSmallGap" w:color="auto" w:sz="18" w:space="0"/>
              <w:bottom w:val="thinThickThinSmallGap" w:color="auto" w:sz="18" w:space="0"/>
              <w:right w:val="thinThickThinSmallGap" w:color="auto" w:sz="18" w:space="0"/>
            </w:tcBorders>
          </w:tcPr>
          <w:p w14:paraId="6AE4A491">
            <w:pPr>
              <w:adjustRightInd w:val="0"/>
              <w:ind w:right="53" w:rightChars="24" w:firstLine="482" w:firstLineChars="200"/>
              <w:jc w:val="both"/>
              <w:rPr>
                <w:rFonts w:eastAsia="宋体"/>
                <w:sz w:val="24"/>
                <w:szCs w:val="24"/>
                <w:lang w:eastAsia="zh-CN"/>
              </w:rPr>
            </w:pPr>
            <w:r>
              <w:rPr>
                <w:rFonts w:eastAsia="宋体"/>
                <w:b/>
                <w:i/>
                <w:sz w:val="24"/>
                <w:szCs w:val="24"/>
                <w:lang w:eastAsia="zh-CN"/>
              </w:rPr>
              <w:t>本指南代表美国食品药品监督管理局（FDA或本机构）目前关于该主题的思考。其不会为任何人创造或赋予任何权利，也不会对FDA或公众产生约束。如果替代方法满足适用的法律法规要求，则可以使用该方法。如需讨论替代方法，请联系标题页负责实施本指南文件的FDA工作人员或办公室。</w:t>
            </w:r>
          </w:p>
        </w:tc>
      </w:tr>
    </w:tbl>
    <w:p w14:paraId="310D0D02">
      <w:pPr>
        <w:pStyle w:val="18"/>
        <w:numPr>
          <w:ilvl w:val="0"/>
          <w:numId w:val="1"/>
        </w:numPr>
        <w:ind w:firstLineChars="0"/>
        <w:jc w:val="both"/>
        <w:outlineLvl w:val="0"/>
        <w:rPr>
          <w:rFonts w:eastAsia="宋体"/>
          <w:b/>
          <w:sz w:val="32"/>
          <w:szCs w:val="32"/>
        </w:rPr>
      </w:pPr>
      <w:r>
        <w:rPr>
          <w:rFonts w:eastAsia="宋体"/>
          <w:b/>
          <w:sz w:val="32"/>
          <w:szCs w:val="32"/>
        </w:rPr>
        <w:t>引言</w:t>
      </w:r>
    </w:p>
    <w:p w14:paraId="5CB8DEE4">
      <w:pPr>
        <w:adjustRightInd w:val="0"/>
        <w:ind w:firstLine="480" w:firstLineChars="200"/>
        <w:jc w:val="both"/>
        <w:rPr>
          <w:rFonts w:eastAsia="宋体"/>
          <w:sz w:val="24"/>
          <w:szCs w:val="24"/>
          <w:lang w:eastAsia="zh-CN"/>
        </w:rPr>
      </w:pPr>
      <w:r>
        <w:rPr>
          <w:rFonts w:eastAsia="宋体"/>
          <w:sz w:val="24"/>
          <w:szCs w:val="24"/>
          <w:lang w:eastAsia="zh-CN"/>
        </w:rPr>
        <w:t>FDA发布本指南的目的是：修改其符合性政策中关于先前许可的自动体外除颤器（AED）</w:t>
      </w:r>
      <w:r>
        <w:rPr>
          <w:rStyle w:val="12"/>
          <w:rFonts w:eastAsia="宋体"/>
          <w:sz w:val="24"/>
          <w:szCs w:val="24"/>
          <w:lang w:eastAsia="zh-CN"/>
        </w:rPr>
        <w:footnoteReference w:id="0"/>
      </w:r>
      <w:r>
        <w:rPr>
          <w:rFonts w:eastAsia="宋体"/>
          <w:sz w:val="24"/>
          <w:szCs w:val="24"/>
          <w:lang w:eastAsia="zh-CN"/>
        </w:rPr>
        <w:t>系统操作所需附件上市前批准（PMA）申请的截止日期。在某种程度上，该政策考虑到在应对2019年新型冠状病毒肺炎（COVID-19）相关挑战的同时，医疗机构的AED要获得FDA批准以及制造商准备实施PMA要求会给两者造成负担。</w:t>
      </w:r>
    </w:p>
    <w:p w14:paraId="5E61EE07">
      <w:pPr>
        <w:adjustRightInd w:val="0"/>
        <w:ind w:firstLine="480" w:firstLineChars="200"/>
        <w:jc w:val="both"/>
        <w:rPr>
          <w:rFonts w:eastAsia="宋体"/>
          <w:sz w:val="24"/>
          <w:szCs w:val="24"/>
          <w:lang w:eastAsia="zh-CN"/>
        </w:rPr>
      </w:pPr>
    </w:p>
    <w:p w14:paraId="3B4BB083">
      <w:pPr>
        <w:adjustRightInd w:val="0"/>
        <w:ind w:firstLine="480" w:firstLineChars="200"/>
        <w:jc w:val="both"/>
        <w:rPr>
          <w:rFonts w:eastAsia="宋体"/>
          <w:sz w:val="24"/>
          <w:szCs w:val="24"/>
          <w:lang w:eastAsia="zh-CN"/>
        </w:rPr>
      </w:pPr>
      <w:r>
        <w:rPr>
          <w:rFonts w:eastAsia="宋体"/>
          <w:sz w:val="24"/>
          <w:szCs w:val="24"/>
          <w:lang w:eastAsia="zh-CN"/>
        </w:rPr>
        <w:t>FDA认定公众对本指南的事先参与是不可行或不适当的（参见《FD&amp;C法案》第701(h)(1)(C)节和21 CFR 10.115(g)(2)），因此本指南在未事先征求公众意见的情况下实施。本指南文件即将付诸，但根据机构的良好指导实践，仍需征求意见。</w:t>
      </w:r>
    </w:p>
    <w:p w14:paraId="61BF69B4">
      <w:pPr>
        <w:adjustRightInd w:val="0"/>
        <w:jc w:val="both"/>
        <w:rPr>
          <w:rFonts w:eastAsia="宋体"/>
          <w:sz w:val="24"/>
          <w:szCs w:val="24"/>
          <w:lang w:eastAsia="zh-CN"/>
        </w:rPr>
      </w:pPr>
    </w:p>
    <w:p w14:paraId="07470F9C">
      <w:pPr>
        <w:adjustRightInd w:val="0"/>
        <w:jc w:val="both"/>
        <w:rPr>
          <w:rFonts w:eastAsia="宋体"/>
          <w:sz w:val="24"/>
          <w:szCs w:val="24"/>
          <w:lang w:eastAsia="zh-CN"/>
        </w:rPr>
      </w:pPr>
    </w:p>
    <w:p w14:paraId="4C2E98C1">
      <w:pPr>
        <w:adjustRightInd w:val="0"/>
        <w:jc w:val="both"/>
        <w:rPr>
          <w:rFonts w:eastAsia="宋体"/>
          <w:sz w:val="24"/>
          <w:szCs w:val="24"/>
          <w:lang w:eastAsia="zh-CN"/>
        </w:rPr>
      </w:pPr>
    </w:p>
    <w:p w14:paraId="32A71016">
      <w:pPr>
        <w:adjustRightInd w:val="0"/>
        <w:jc w:val="both"/>
        <w:rPr>
          <w:rFonts w:eastAsia="宋体"/>
          <w:sz w:val="24"/>
          <w:szCs w:val="24"/>
          <w:lang w:eastAsia="zh-CN"/>
        </w:rPr>
      </w:pPr>
    </w:p>
    <w:p w14:paraId="4E20EC04">
      <w:pPr>
        <w:adjustRightInd w:val="0"/>
        <w:jc w:val="both"/>
        <w:rPr>
          <w:rFonts w:eastAsia="宋体"/>
          <w:sz w:val="24"/>
          <w:szCs w:val="24"/>
          <w:lang w:eastAsia="zh-CN"/>
        </w:rPr>
      </w:pPr>
    </w:p>
    <w:p w14:paraId="600B2EFE">
      <w:pPr>
        <w:adjustRightInd w:val="0"/>
        <w:jc w:val="both"/>
        <w:rPr>
          <w:rFonts w:eastAsia="宋体"/>
          <w:sz w:val="24"/>
          <w:szCs w:val="24"/>
          <w:lang w:eastAsia="zh-CN"/>
        </w:rPr>
      </w:pPr>
    </w:p>
    <w:p w14:paraId="2816A270">
      <w:pPr>
        <w:adjustRightInd w:val="0"/>
        <w:jc w:val="both"/>
        <w:rPr>
          <w:rFonts w:eastAsia="宋体"/>
          <w:sz w:val="24"/>
          <w:szCs w:val="24"/>
          <w:lang w:eastAsia="zh-CN"/>
        </w:rPr>
      </w:pPr>
    </w:p>
    <w:p w14:paraId="07626634">
      <w:pPr>
        <w:adjustRightInd w:val="0"/>
        <w:jc w:val="both"/>
        <w:rPr>
          <w:rFonts w:eastAsia="宋体"/>
          <w:sz w:val="24"/>
          <w:szCs w:val="24"/>
          <w:lang w:eastAsia="zh-CN"/>
        </w:rPr>
      </w:pPr>
    </w:p>
    <w:p w14:paraId="64F77F41">
      <w:pPr>
        <w:adjustRightInd w:val="0"/>
        <w:jc w:val="both"/>
        <w:rPr>
          <w:rFonts w:eastAsia="宋体"/>
          <w:sz w:val="24"/>
          <w:szCs w:val="24"/>
          <w:lang w:eastAsia="zh-CN"/>
        </w:rPr>
      </w:pPr>
    </w:p>
    <w:p w14:paraId="0CFB95F5">
      <w:pPr>
        <w:widowControl/>
        <w:autoSpaceDE/>
        <w:autoSpaceDN/>
        <w:rPr>
          <w:rFonts w:eastAsia="宋体"/>
          <w:sz w:val="24"/>
          <w:szCs w:val="24"/>
          <w:lang w:eastAsia="zh-CN"/>
        </w:rPr>
      </w:pPr>
      <w:r>
        <w:rPr>
          <w:rFonts w:eastAsia="宋体"/>
          <w:sz w:val="24"/>
          <w:szCs w:val="24"/>
          <w:lang w:eastAsia="zh-CN"/>
        </w:rPr>
        <w:br w:type="page"/>
      </w:r>
    </w:p>
    <w:p w14:paraId="2AB47FDE">
      <w:pPr>
        <w:adjustRightInd w:val="0"/>
        <w:ind w:firstLine="480" w:firstLineChars="200"/>
        <w:jc w:val="both"/>
        <w:rPr>
          <w:rFonts w:eastAsia="宋体"/>
          <w:sz w:val="24"/>
          <w:szCs w:val="24"/>
          <w:lang w:eastAsia="zh-CN"/>
        </w:rPr>
      </w:pPr>
      <w:r>
        <w:rPr>
          <w:rFonts w:eastAsia="宋体"/>
          <w:sz w:val="24"/>
          <w:szCs w:val="24"/>
          <w:lang w:eastAsia="zh-CN"/>
        </w:rPr>
        <w:t>FDA指导性文件，包括本指南在内，不具有法律强制责任。相反，指南表明了FDA目前关于该主题的思考，除非引用具体的法规或法律要求，否则只应视为建议。本机构指南中使用的</w:t>
      </w:r>
      <w:r>
        <w:rPr>
          <w:rFonts w:ascii="宋体" w:hAnsi="宋体" w:eastAsia="宋体"/>
          <w:sz w:val="24"/>
          <w:szCs w:val="24"/>
          <w:lang w:eastAsia="zh-CN"/>
        </w:rPr>
        <w:t>“</w:t>
      </w:r>
      <w:r>
        <w:rPr>
          <w:rFonts w:eastAsia="宋体"/>
          <w:i/>
          <w:iCs/>
          <w:sz w:val="24"/>
          <w:szCs w:val="24"/>
          <w:lang w:eastAsia="zh-CN"/>
        </w:rPr>
        <w:t>应</w:t>
      </w:r>
      <w:r>
        <w:rPr>
          <w:rFonts w:ascii="宋体" w:hAnsi="宋体" w:eastAsia="宋体"/>
          <w:sz w:val="24"/>
          <w:szCs w:val="24"/>
          <w:lang w:eastAsia="zh-CN"/>
        </w:rPr>
        <w:t>”</w:t>
      </w:r>
      <w:r>
        <w:rPr>
          <w:rFonts w:eastAsia="宋体"/>
          <w:sz w:val="24"/>
          <w:szCs w:val="24"/>
          <w:lang w:eastAsia="zh-CN"/>
        </w:rPr>
        <w:t>一词是指建议或推荐进行某一事项，并非强制要求。</w:t>
      </w:r>
    </w:p>
    <w:p w14:paraId="0E567905">
      <w:pPr>
        <w:adjustRightInd w:val="0"/>
        <w:ind w:firstLine="480" w:firstLineChars="200"/>
        <w:jc w:val="both"/>
        <w:rPr>
          <w:rFonts w:eastAsia="宋体"/>
          <w:sz w:val="24"/>
          <w:szCs w:val="24"/>
          <w:lang w:eastAsia="zh-CN"/>
        </w:rPr>
      </w:pPr>
    </w:p>
    <w:p w14:paraId="699A3366">
      <w:pPr>
        <w:pStyle w:val="18"/>
        <w:numPr>
          <w:ilvl w:val="0"/>
          <w:numId w:val="1"/>
        </w:numPr>
        <w:ind w:firstLineChars="0"/>
        <w:jc w:val="both"/>
        <w:outlineLvl w:val="0"/>
        <w:rPr>
          <w:rFonts w:eastAsia="宋体"/>
          <w:b/>
          <w:sz w:val="32"/>
          <w:szCs w:val="32"/>
        </w:rPr>
      </w:pPr>
      <w:r>
        <w:rPr>
          <w:rFonts w:eastAsia="宋体"/>
          <w:b/>
          <w:sz w:val="32"/>
          <w:szCs w:val="32"/>
        </w:rPr>
        <w:t>背景</w:t>
      </w:r>
    </w:p>
    <w:p w14:paraId="5BB2C265">
      <w:pPr>
        <w:adjustRightInd w:val="0"/>
        <w:ind w:firstLine="480" w:firstLineChars="200"/>
        <w:jc w:val="both"/>
        <w:rPr>
          <w:rFonts w:eastAsia="宋体"/>
          <w:sz w:val="24"/>
          <w:szCs w:val="24"/>
          <w:lang w:eastAsia="zh-CN"/>
        </w:rPr>
      </w:pPr>
      <w:r>
        <w:rPr>
          <w:rFonts w:eastAsia="宋体"/>
          <w:sz w:val="24"/>
          <w:szCs w:val="24"/>
          <w:lang w:eastAsia="zh-CN"/>
        </w:rPr>
        <w:t>2015年2月，FDA发布了最终指令，要求提交新生产的和现有的AED以及AED必需附件的PMA申请。</w:t>
      </w:r>
      <w:r>
        <w:rPr>
          <w:rStyle w:val="12"/>
          <w:rFonts w:eastAsia="宋体"/>
          <w:sz w:val="24"/>
          <w:szCs w:val="24"/>
          <w:lang w:eastAsia="zh-CN"/>
        </w:rPr>
        <w:footnoteReference w:id="1"/>
      </w:r>
      <w:r>
        <w:rPr>
          <w:rFonts w:eastAsia="宋体"/>
          <w:sz w:val="24"/>
          <w:szCs w:val="24"/>
          <w:lang w:eastAsia="zh-CN"/>
        </w:rPr>
        <w:t>最终指令要求在指令日期起90天内，提交所有前代产品</w:t>
      </w:r>
      <w:r>
        <w:rPr>
          <w:rStyle w:val="12"/>
          <w:rFonts w:eastAsia="宋体"/>
          <w:sz w:val="24"/>
          <w:szCs w:val="24"/>
          <w:lang w:eastAsia="zh-CN"/>
        </w:rPr>
        <w:footnoteReference w:id="2"/>
      </w:r>
      <w:r>
        <w:rPr>
          <w:rFonts w:eastAsia="宋体"/>
          <w:sz w:val="24"/>
          <w:szCs w:val="24"/>
          <w:lang w:eastAsia="zh-CN"/>
        </w:rPr>
        <w:t>和实质等同的AED必需附件的PMA申请，如电池、电极板、适配器和供儿科使用的硬键；然而，最终指令还指出，FDA并不打算在最终指令日期起（2020年2月3日）60个月内强制执行这些AED必需附件的PMA提交要求。</w:t>
      </w:r>
    </w:p>
    <w:p w14:paraId="7E35D604">
      <w:pPr>
        <w:adjustRightInd w:val="0"/>
        <w:ind w:firstLine="480" w:firstLineChars="200"/>
        <w:jc w:val="both"/>
        <w:rPr>
          <w:rFonts w:eastAsia="宋体"/>
          <w:sz w:val="24"/>
          <w:szCs w:val="24"/>
          <w:lang w:eastAsia="zh-CN"/>
        </w:rPr>
      </w:pPr>
    </w:p>
    <w:p w14:paraId="535644EC">
      <w:pPr>
        <w:adjustRightInd w:val="0"/>
        <w:ind w:firstLine="480" w:firstLineChars="200"/>
        <w:jc w:val="both"/>
        <w:rPr>
          <w:rFonts w:eastAsia="宋体"/>
          <w:sz w:val="24"/>
          <w:szCs w:val="24"/>
          <w:lang w:eastAsia="zh-CN"/>
        </w:rPr>
      </w:pPr>
      <w:r>
        <w:rPr>
          <w:rFonts w:eastAsia="宋体"/>
          <w:sz w:val="24"/>
          <w:szCs w:val="24"/>
          <w:lang w:eastAsia="zh-CN"/>
        </w:rPr>
        <w:t>作为对利益相关方反馈的回应，FDA表示不打算在2021年2月3日之前强制执行产品PMA提交要求。在COVID-19流行期间，FDA收到了许多来自安装AED的机构的询问，询问FDA是否会延长FDA预期不会执行符合性期间提交先前已获批AED必需附件的PMA的截止日期，以便这些机构有更多时间获得FDA对AED的批准。此外，对于AED必需附件尚未满足PMA要求的制造商，在解决与COVID-19相关挑战的同时准备实施这些要求可能会带来挑战并转移响应COVID-19救援的资源。因此，在某种程度上来说，本政策有助于制造商和医疗机构持续关注与COVID-19相关的公共卫生需求，对此本机构的结论是，如本指南所述，修订本机构对AED必需附件实施PMA要求的相关政策以延长PMA申请时间，提供与公共卫生现状一致且负担较轻的政策。</w:t>
      </w:r>
    </w:p>
    <w:p w14:paraId="75B93238">
      <w:pPr>
        <w:adjustRightInd w:val="0"/>
        <w:ind w:firstLine="480" w:firstLineChars="200"/>
        <w:jc w:val="both"/>
        <w:rPr>
          <w:rFonts w:eastAsia="宋体"/>
          <w:sz w:val="24"/>
          <w:szCs w:val="24"/>
          <w:lang w:eastAsia="zh-CN"/>
        </w:rPr>
      </w:pPr>
    </w:p>
    <w:p w14:paraId="2F9EE761">
      <w:pPr>
        <w:adjustRightInd w:val="0"/>
        <w:ind w:firstLine="480" w:firstLineChars="200"/>
        <w:jc w:val="both"/>
        <w:rPr>
          <w:rFonts w:eastAsia="宋体"/>
          <w:sz w:val="24"/>
          <w:szCs w:val="24"/>
          <w:lang w:eastAsia="zh-CN"/>
        </w:rPr>
      </w:pPr>
      <w:r>
        <w:rPr>
          <w:rFonts w:eastAsia="宋体"/>
          <w:sz w:val="24"/>
          <w:szCs w:val="24"/>
          <w:lang w:eastAsia="zh-CN"/>
        </w:rPr>
        <w:t>本指南中的政策适用于先前批准的AED检测、解读心电图和实施电击所需的附件（例如电池、电极板、适配器和供儿科使用的硬键），按照21 CFR 870.5310规定，做诶III类器械进行管理，产品代码</w:t>
      </w:r>
      <w:r>
        <w:rPr>
          <w:rStyle w:val="12"/>
          <w:rFonts w:eastAsia="宋体"/>
          <w:sz w:val="24"/>
          <w:szCs w:val="24"/>
          <w:lang w:eastAsia="zh-CN"/>
        </w:rPr>
        <w:footnoteReference w:id="3"/>
      </w:r>
      <w:r>
        <w:rPr>
          <w:rFonts w:eastAsia="宋体"/>
          <w:sz w:val="24"/>
          <w:szCs w:val="24"/>
          <w:lang w:eastAsia="zh-CN"/>
        </w:rPr>
        <w:t>MKJ和NSA。</w:t>
      </w:r>
    </w:p>
    <w:p w14:paraId="7E1F3F50">
      <w:pPr>
        <w:adjustRightInd w:val="0"/>
        <w:jc w:val="both"/>
        <w:rPr>
          <w:rFonts w:eastAsia="宋体"/>
          <w:sz w:val="24"/>
          <w:szCs w:val="24"/>
          <w:lang w:eastAsia="zh-CN"/>
        </w:rPr>
      </w:pPr>
    </w:p>
    <w:p w14:paraId="0FCCE06B">
      <w:pPr>
        <w:adjustRightInd w:val="0"/>
        <w:jc w:val="both"/>
        <w:rPr>
          <w:rFonts w:eastAsia="宋体"/>
          <w:sz w:val="24"/>
          <w:szCs w:val="24"/>
          <w:lang w:eastAsia="zh-CN"/>
        </w:rPr>
      </w:pPr>
    </w:p>
    <w:p w14:paraId="41CA2231">
      <w:pPr>
        <w:adjustRightInd w:val="0"/>
        <w:jc w:val="both"/>
        <w:rPr>
          <w:rFonts w:eastAsia="宋体"/>
          <w:sz w:val="24"/>
          <w:szCs w:val="24"/>
          <w:lang w:eastAsia="zh-CN"/>
        </w:rPr>
      </w:pPr>
    </w:p>
    <w:p w14:paraId="028E89EC">
      <w:pPr>
        <w:adjustRightInd w:val="0"/>
        <w:jc w:val="both"/>
        <w:rPr>
          <w:rFonts w:eastAsia="宋体"/>
          <w:sz w:val="24"/>
          <w:szCs w:val="24"/>
          <w:lang w:eastAsia="zh-CN"/>
        </w:rPr>
      </w:pPr>
    </w:p>
    <w:p w14:paraId="3498A56B">
      <w:pPr>
        <w:widowControl/>
        <w:autoSpaceDE/>
        <w:autoSpaceDN/>
        <w:rPr>
          <w:rFonts w:eastAsia="宋体"/>
          <w:sz w:val="24"/>
          <w:szCs w:val="24"/>
          <w:lang w:eastAsia="zh-CN"/>
        </w:rPr>
      </w:pPr>
      <w:r>
        <w:rPr>
          <w:rFonts w:eastAsia="宋体"/>
          <w:sz w:val="24"/>
          <w:szCs w:val="24"/>
          <w:lang w:eastAsia="zh-CN"/>
        </w:rPr>
        <w:br w:type="page"/>
      </w:r>
    </w:p>
    <w:p w14:paraId="5F0ED5F5">
      <w:pPr>
        <w:pStyle w:val="18"/>
        <w:numPr>
          <w:ilvl w:val="0"/>
          <w:numId w:val="1"/>
        </w:numPr>
        <w:ind w:firstLineChars="0"/>
        <w:jc w:val="both"/>
        <w:outlineLvl w:val="0"/>
        <w:rPr>
          <w:rFonts w:eastAsia="宋体"/>
          <w:b/>
          <w:sz w:val="32"/>
          <w:szCs w:val="32"/>
          <w:lang w:eastAsia="zh-CN"/>
        </w:rPr>
      </w:pPr>
      <w:r>
        <w:rPr>
          <w:rFonts w:eastAsia="宋体"/>
          <w:b/>
          <w:sz w:val="32"/>
          <w:szCs w:val="32"/>
          <w:lang w:eastAsia="zh-CN"/>
        </w:rPr>
        <w:t>关于执行AED必需附件上市前批准要求的政策</w:t>
      </w:r>
    </w:p>
    <w:p w14:paraId="5732FAE8">
      <w:pPr>
        <w:adjustRightInd w:val="0"/>
        <w:ind w:firstLine="480" w:firstLineChars="200"/>
        <w:jc w:val="both"/>
        <w:rPr>
          <w:rFonts w:eastAsia="宋体"/>
          <w:sz w:val="24"/>
          <w:szCs w:val="24"/>
          <w:lang w:eastAsia="zh-CN"/>
        </w:rPr>
      </w:pPr>
      <w:r>
        <w:rPr>
          <w:rFonts w:eastAsia="宋体"/>
          <w:sz w:val="24"/>
          <w:szCs w:val="24"/>
          <w:lang w:eastAsia="zh-CN"/>
        </w:rPr>
        <w:t>鉴于上述考虑，FDA目前表示并不打算在2022年2月3日之前强制执行《FD&amp;C法案》第515节规定的AED必需附件（如电池、电极板、适配器和供儿科使用的硬键）的上市前批准要求。</w:t>
      </w:r>
    </w:p>
    <w:p w14:paraId="4E706561">
      <w:pPr>
        <w:adjustRightInd w:val="0"/>
        <w:ind w:firstLine="480" w:firstLineChars="200"/>
        <w:jc w:val="both"/>
        <w:rPr>
          <w:rFonts w:eastAsia="宋体"/>
          <w:sz w:val="24"/>
          <w:szCs w:val="24"/>
          <w:lang w:eastAsia="zh-CN"/>
        </w:rPr>
      </w:pPr>
    </w:p>
    <w:p w14:paraId="59D08D7E">
      <w:pPr>
        <w:adjustRightInd w:val="0"/>
        <w:ind w:firstLine="480" w:firstLineChars="200"/>
        <w:jc w:val="both"/>
        <w:rPr>
          <w:rFonts w:eastAsia="宋体"/>
          <w:sz w:val="24"/>
          <w:szCs w:val="24"/>
          <w:lang w:eastAsia="zh-CN"/>
        </w:rPr>
      </w:pPr>
      <w:r>
        <w:rPr>
          <w:rFonts w:eastAsia="宋体"/>
          <w:sz w:val="24"/>
          <w:szCs w:val="24"/>
          <w:lang w:eastAsia="zh-CN"/>
        </w:rPr>
        <w:t>2022年2月3日这一日期可能与制造商之前向使用特定AED系统的客户传达的寿命结束日期不一致。因此，FDA建议AED系统制造商与客户进行沟通，并根据客户需要继续帮助其获得FDA批准。</w:t>
      </w:r>
    </w:p>
    <w:p w14:paraId="30D0F43D">
      <w:pPr>
        <w:adjustRightInd w:val="0"/>
        <w:ind w:firstLine="480" w:firstLineChars="200"/>
        <w:jc w:val="both"/>
        <w:rPr>
          <w:rFonts w:eastAsia="宋体"/>
          <w:sz w:val="24"/>
          <w:szCs w:val="24"/>
          <w:lang w:eastAsia="zh-CN"/>
        </w:rPr>
      </w:pPr>
    </w:p>
    <w:p w14:paraId="190B62B2">
      <w:pPr>
        <w:pBdr>
          <w:bottom w:val="single" w:color="auto" w:sz="4" w:space="1"/>
        </w:pBdr>
        <w:adjustRightInd w:val="0"/>
        <w:jc w:val="center"/>
        <w:rPr>
          <w:rFonts w:hint="eastAsia" w:eastAsia="等线"/>
          <w:lang w:eastAsia="zh-CN"/>
        </w:rPr>
      </w:pPr>
    </w:p>
    <w:p w14:paraId="3B782C94">
      <w:pPr>
        <w:pBdr>
          <w:bottom w:val="single" w:color="auto" w:sz="4" w:space="1"/>
        </w:pBdr>
        <w:adjustRightInd w:val="0"/>
        <w:jc w:val="center"/>
        <w:rPr>
          <w:rFonts w:hint="eastAsia" w:eastAsia="等线"/>
          <w:lang w:eastAsia="zh-CN"/>
        </w:rPr>
      </w:pPr>
    </w:p>
    <w:p w14:paraId="533DA81E">
      <w:pPr>
        <w:pBdr>
          <w:bottom w:val="single" w:color="auto" w:sz="4" w:space="1"/>
        </w:pBdr>
        <w:adjustRightInd w:val="0"/>
        <w:jc w:val="center"/>
        <w:rPr>
          <w:rFonts w:hint="eastAsia" w:eastAsia="等线"/>
          <w:lang w:eastAsia="zh-CN"/>
        </w:rPr>
      </w:pPr>
      <w:r>
        <w:rPr>
          <w:rFonts w:hint="eastAsia" w:eastAsia="等线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5" w:type="default"/>
      <w:pgSz w:w="11906" w:h="16838"/>
      <w:pgMar w:top="1134" w:right="1134" w:bottom="1134" w:left="1418" w:header="567" w:footer="567" w:gutter="0"/>
      <w:pgNumType w:start="1"/>
      <w:cols w:space="425" w:num="1"/>
      <w:docGrid w:type="lines" w:linePitch="36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DDB4C1">
    <w:pPr>
      <w:pStyle w:val="5"/>
      <w:jc w:val="right"/>
      <w:rPr>
        <w:sz w:val="21"/>
        <w:szCs w:val="21"/>
      </w:rPr>
    </w:pP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PAGE   \* MERGEFORMAT</w:instrText>
    </w:r>
    <w:r>
      <w:rPr>
        <w:sz w:val="21"/>
        <w:szCs w:val="21"/>
      </w:rPr>
      <w:fldChar w:fldCharType="separate"/>
    </w:r>
    <w:r>
      <w:rPr>
        <w:sz w:val="21"/>
        <w:szCs w:val="21"/>
        <w:lang w:val="zh-CN" w:eastAsia="zh-CN"/>
      </w:rPr>
      <w:t>3</w:t>
    </w:r>
    <w:r>
      <w:rPr>
        <w:sz w:val="21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8">
    <w:p>
      <w:r>
        <w:separator/>
      </w:r>
    </w:p>
  </w:footnote>
  <w:footnote w:type="continuationSeparator" w:id="9">
    <w:p>
      <w:r>
        <w:continuationSeparator/>
      </w:r>
    </w:p>
  </w:footnote>
  <w:footnote w:id="0">
    <w:p w14:paraId="76219A23">
      <w:pPr>
        <w:pStyle w:val="7"/>
        <w:rPr>
          <w:rFonts w:eastAsia="宋体"/>
          <w:sz w:val="21"/>
          <w:szCs w:val="21"/>
          <w:lang w:eastAsia="zh-CN"/>
        </w:rPr>
      </w:pPr>
      <w:r>
        <w:rPr>
          <w:rStyle w:val="12"/>
          <w:rFonts w:eastAsia="宋体"/>
          <w:sz w:val="21"/>
          <w:szCs w:val="21"/>
        </w:rPr>
        <w:footnoteRef/>
      </w:r>
      <w:r>
        <w:rPr>
          <w:rFonts w:eastAsia="宋体"/>
          <w:sz w:val="21"/>
          <w:szCs w:val="21"/>
          <w:lang w:eastAsia="zh-CN"/>
        </w:rPr>
        <w:t>2015年2月3日，FDA发布了最终指令，要求提交AED及其必需附件（80 FR 5674）的上市前批准申请。在本法规要求实施之前批准的AED有时被称为</w:t>
      </w:r>
      <w:r>
        <w:rPr>
          <w:rFonts w:ascii="宋体" w:hAnsi="宋体" w:eastAsia="宋体"/>
          <w:sz w:val="21"/>
          <w:szCs w:val="21"/>
          <w:lang w:eastAsia="zh-CN"/>
        </w:rPr>
        <w:t>“</w:t>
      </w:r>
      <w:r>
        <w:rPr>
          <w:rFonts w:eastAsia="宋体"/>
          <w:sz w:val="21"/>
          <w:szCs w:val="21"/>
          <w:lang w:eastAsia="zh-CN"/>
        </w:rPr>
        <w:t>旧版</w:t>
      </w:r>
      <w:r>
        <w:rPr>
          <w:rFonts w:ascii="宋体" w:hAnsi="宋体" w:eastAsia="宋体"/>
          <w:sz w:val="21"/>
          <w:szCs w:val="21"/>
          <w:lang w:eastAsia="zh-CN"/>
        </w:rPr>
        <w:t>”</w:t>
      </w:r>
      <w:r>
        <w:rPr>
          <w:rFonts w:eastAsia="宋体"/>
          <w:sz w:val="21"/>
          <w:szCs w:val="21"/>
          <w:lang w:eastAsia="zh-CN"/>
        </w:rPr>
        <w:t>AED。</w:t>
      </w:r>
    </w:p>
  </w:footnote>
  <w:footnote w:id="1">
    <w:p w14:paraId="013E0E27">
      <w:pPr>
        <w:pStyle w:val="7"/>
        <w:rPr>
          <w:rFonts w:eastAsia="宋体"/>
          <w:sz w:val="21"/>
          <w:szCs w:val="21"/>
          <w:lang w:eastAsia="zh-CN"/>
        </w:rPr>
      </w:pPr>
      <w:r>
        <w:rPr>
          <w:rStyle w:val="12"/>
          <w:rFonts w:eastAsia="宋体"/>
          <w:sz w:val="21"/>
          <w:szCs w:val="21"/>
        </w:rPr>
        <w:footnoteRef/>
      </w:r>
      <w:r>
        <w:rPr>
          <w:rFonts w:eastAsia="宋体"/>
          <w:sz w:val="21"/>
          <w:szCs w:val="21"/>
          <w:lang w:eastAsia="zh-CN"/>
        </w:rPr>
        <w:t>自动体外除颤器系统上市前批准要求的生效日期；重新发布，80 FR 5674（2015年2月3日）。</w:t>
      </w:r>
    </w:p>
  </w:footnote>
  <w:footnote w:id="2">
    <w:p w14:paraId="650961A6">
      <w:pPr>
        <w:adjustRightInd w:val="0"/>
        <w:snapToGrid w:val="0"/>
        <w:jc w:val="both"/>
        <w:rPr>
          <w:rFonts w:eastAsia="宋体"/>
          <w:sz w:val="21"/>
          <w:szCs w:val="21"/>
          <w:lang w:eastAsia="zh-CN"/>
        </w:rPr>
      </w:pPr>
      <w:r>
        <w:rPr>
          <w:rStyle w:val="12"/>
          <w:rFonts w:eastAsia="宋体"/>
          <w:sz w:val="21"/>
          <w:szCs w:val="21"/>
        </w:rPr>
        <w:footnoteRef/>
      </w:r>
      <w:r>
        <w:rPr>
          <w:rFonts w:ascii="宋体" w:hAnsi="宋体" w:eastAsia="宋体"/>
          <w:sz w:val="21"/>
          <w:szCs w:val="21"/>
          <w:lang w:eastAsia="zh-CN"/>
        </w:rPr>
        <w:t>“</w:t>
      </w:r>
      <w:r>
        <w:rPr>
          <w:rFonts w:eastAsia="宋体"/>
          <w:sz w:val="21"/>
          <w:szCs w:val="21"/>
          <w:lang w:eastAsia="zh-CN"/>
        </w:rPr>
        <w:t>前代产品</w:t>
      </w:r>
      <w:r>
        <w:rPr>
          <w:rFonts w:ascii="宋体" w:hAnsi="宋体" w:eastAsia="宋体"/>
          <w:sz w:val="21"/>
          <w:szCs w:val="21"/>
          <w:lang w:eastAsia="zh-CN"/>
        </w:rPr>
        <w:t>”</w:t>
      </w:r>
      <w:r>
        <w:rPr>
          <w:rFonts w:eastAsia="宋体"/>
          <w:sz w:val="21"/>
          <w:szCs w:val="21"/>
          <w:lang w:eastAsia="zh-CN"/>
        </w:rPr>
        <w:t>指在1976年5月28日（即《FD&amp;C法案》的医疗器械修正案颁布日期）之前进行商业销售的器械。</w:t>
      </w:r>
    </w:p>
  </w:footnote>
  <w:footnote w:id="3">
    <w:p w14:paraId="0DA81B57">
      <w:pPr>
        <w:adjustRightInd w:val="0"/>
        <w:snapToGrid w:val="0"/>
        <w:rPr>
          <w:rFonts w:eastAsia="宋体"/>
          <w:sz w:val="21"/>
          <w:szCs w:val="21"/>
          <w:lang w:eastAsia="zh-CN"/>
        </w:rPr>
      </w:pPr>
      <w:r>
        <w:rPr>
          <w:rStyle w:val="12"/>
          <w:rFonts w:eastAsia="宋体"/>
          <w:sz w:val="21"/>
          <w:szCs w:val="21"/>
        </w:rPr>
        <w:footnoteRef/>
      </w:r>
      <w:r>
        <w:rPr>
          <w:rFonts w:eastAsia="宋体"/>
          <w:sz w:val="21"/>
          <w:szCs w:val="21"/>
        </w:rPr>
        <w:t>如需了解更多信息，请参见产品分类数据库：</w:t>
      </w:r>
      <w:r>
        <w:fldChar w:fldCharType="begin"/>
      </w:r>
      <w:r>
        <w:instrText xml:space="preserve"> HYPERLINK "https://www.accessdata.fda.gov/scripts/cdrh/cfdocs/cfPCD/classification.cfm" \h </w:instrText>
      </w:r>
      <w:r>
        <w:fldChar w:fldCharType="separate"/>
      </w:r>
      <w:r>
        <w:rPr>
          <w:rFonts w:eastAsia="宋体"/>
          <w:color w:val="0000FF"/>
          <w:sz w:val="21"/>
          <w:szCs w:val="21"/>
          <w:u w:val="single" w:color="0000FF"/>
        </w:rPr>
        <w:t>https://www.accessdata.fda.gov/scripts/cdrh/cfdocs/cfPCD/classification.cfm</w:t>
      </w:r>
      <w:r>
        <w:rPr>
          <w:rFonts w:eastAsia="宋体"/>
          <w:color w:val="0000FF"/>
          <w:sz w:val="21"/>
          <w:szCs w:val="21"/>
          <w:u w:val="single" w:color="0000FF"/>
        </w:rPr>
        <w:fldChar w:fldCharType="end"/>
      </w:r>
      <w:r>
        <w:rPr>
          <w:rFonts w:eastAsia="宋体"/>
          <w:sz w:val="21"/>
          <w:szCs w:val="21"/>
        </w:rPr>
        <w:t>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C42CF1">
    <w:pPr>
      <w:pStyle w:val="15"/>
      <w:jc w:val="center"/>
      <w:rPr>
        <w:sz w:val="21"/>
        <w:szCs w:val="18"/>
      </w:rPr>
    </w:pPr>
    <w:r>
      <w:rPr>
        <w:rFonts w:hint="eastAsia" w:eastAsia="宋体" w:cs="宋体"/>
        <w:b/>
        <w:i/>
        <w:sz w:val="21"/>
        <w:szCs w:val="18"/>
      </w:rPr>
      <w:t>所含建议不具约束力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BF0B52"/>
    <w:multiLevelType w:val="multilevel"/>
    <w:tmpl w:val="41BF0B52"/>
    <w:lvl w:ilvl="0" w:tentative="0">
      <w:start w:val="1"/>
      <w:numFmt w:val="upperRoman"/>
      <w:lvlText w:val="%1."/>
      <w:lvlJc w:val="left"/>
      <w:pPr>
        <w:ind w:left="420" w:hanging="420"/>
      </w:pPr>
      <w:rPr>
        <w:rFonts w:hint="default" w:ascii="Times New Roman" w:hAnsi="Times New Roman" w:eastAsia="Times New Roman" w:cs="Times New Roman"/>
        <w:b/>
        <w:bCs/>
        <w:w w:val="99"/>
        <w:sz w:val="32"/>
        <w:szCs w:val="32"/>
        <w:lang w:val="en-US" w:eastAsia="en-US" w:bidi="en-US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HorizontalSpacing w:val="110"/>
  <w:drawingGridVerticalSpacing w:val="182"/>
  <w:displayHorizontalDrawingGridEvery w:val="0"/>
  <w:displayVerticalDrawingGridEvery w:val="2"/>
  <w:characterSpacingControl w:val="compressPunctuation"/>
  <w:footnotePr>
    <w:footnote w:id="8"/>
    <w:footnote w:id="9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4D1"/>
    <w:rsid w:val="00041B2B"/>
    <w:rsid w:val="000A3BF1"/>
    <w:rsid w:val="000A48A6"/>
    <w:rsid w:val="000D6421"/>
    <w:rsid w:val="000E3F4D"/>
    <w:rsid w:val="00103B3C"/>
    <w:rsid w:val="0010410B"/>
    <w:rsid w:val="00126BB5"/>
    <w:rsid w:val="00127F7E"/>
    <w:rsid w:val="0014730B"/>
    <w:rsid w:val="00181C37"/>
    <w:rsid w:val="001E2A24"/>
    <w:rsid w:val="00204F42"/>
    <w:rsid w:val="00242BB8"/>
    <w:rsid w:val="002A08FE"/>
    <w:rsid w:val="002A6858"/>
    <w:rsid w:val="002F310F"/>
    <w:rsid w:val="003421C0"/>
    <w:rsid w:val="003874B5"/>
    <w:rsid w:val="003B3170"/>
    <w:rsid w:val="003B7BF0"/>
    <w:rsid w:val="003E410A"/>
    <w:rsid w:val="0041715E"/>
    <w:rsid w:val="00457310"/>
    <w:rsid w:val="00552548"/>
    <w:rsid w:val="005612BA"/>
    <w:rsid w:val="00586DB0"/>
    <w:rsid w:val="00595920"/>
    <w:rsid w:val="00617377"/>
    <w:rsid w:val="00650E55"/>
    <w:rsid w:val="0067764B"/>
    <w:rsid w:val="00781E45"/>
    <w:rsid w:val="007A74B1"/>
    <w:rsid w:val="007C5E58"/>
    <w:rsid w:val="008174E1"/>
    <w:rsid w:val="00860B04"/>
    <w:rsid w:val="008A2985"/>
    <w:rsid w:val="008D5387"/>
    <w:rsid w:val="008E6534"/>
    <w:rsid w:val="008F297F"/>
    <w:rsid w:val="00936BE6"/>
    <w:rsid w:val="00937DCC"/>
    <w:rsid w:val="009663E1"/>
    <w:rsid w:val="009B46E5"/>
    <w:rsid w:val="00A23A4F"/>
    <w:rsid w:val="00A551FB"/>
    <w:rsid w:val="00A712A3"/>
    <w:rsid w:val="00AD30C5"/>
    <w:rsid w:val="00AD59D8"/>
    <w:rsid w:val="00AE3EC2"/>
    <w:rsid w:val="00B17CCA"/>
    <w:rsid w:val="00B20C09"/>
    <w:rsid w:val="00BC3B19"/>
    <w:rsid w:val="00BF268C"/>
    <w:rsid w:val="00C17975"/>
    <w:rsid w:val="00C22792"/>
    <w:rsid w:val="00C244D1"/>
    <w:rsid w:val="00C66AE8"/>
    <w:rsid w:val="00C742FC"/>
    <w:rsid w:val="00CF1A0B"/>
    <w:rsid w:val="00CF76B5"/>
    <w:rsid w:val="00D542B7"/>
    <w:rsid w:val="00D92FCA"/>
    <w:rsid w:val="00DB1F56"/>
    <w:rsid w:val="00DD23F5"/>
    <w:rsid w:val="00DD42C3"/>
    <w:rsid w:val="00DE40D8"/>
    <w:rsid w:val="00E8760B"/>
    <w:rsid w:val="00EA1109"/>
    <w:rsid w:val="00ED0444"/>
    <w:rsid w:val="00F12445"/>
    <w:rsid w:val="00F24D74"/>
    <w:rsid w:val="00F26AAF"/>
    <w:rsid w:val="00F4185E"/>
    <w:rsid w:val="00F84D70"/>
    <w:rsid w:val="00F872F7"/>
    <w:rsid w:val="00FB3512"/>
    <w:rsid w:val="00FC2856"/>
    <w:rsid w:val="2D347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kern w:val="0"/>
      <w:sz w:val="22"/>
      <w:szCs w:val="22"/>
      <w:lang w:val="en-US" w:eastAsia="en-US" w:bidi="en-US"/>
    </w:rPr>
  </w:style>
  <w:style w:type="paragraph" w:styleId="2">
    <w:name w:val="heading 1"/>
    <w:basedOn w:val="1"/>
    <w:link w:val="16"/>
    <w:qFormat/>
    <w:uiPriority w:val="1"/>
    <w:pPr>
      <w:ind w:left="1037" w:right="1120"/>
      <w:jc w:val="center"/>
      <w:outlineLvl w:val="0"/>
    </w:pPr>
    <w:rPr>
      <w:b/>
      <w:bCs/>
      <w:sz w:val="56"/>
      <w:szCs w:val="56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footnote text"/>
    <w:basedOn w:val="1"/>
    <w:link w:val="21"/>
    <w:semiHidden/>
    <w:unhideWhenUsed/>
    <w:qFormat/>
    <w:uiPriority w:val="99"/>
    <w:pPr>
      <w:snapToGrid w:val="0"/>
    </w:pPr>
    <w:rPr>
      <w:sz w:val="18"/>
      <w:szCs w:val="18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footnote reference"/>
    <w:basedOn w:val="10"/>
    <w:semiHidden/>
    <w:unhideWhenUsed/>
    <w:qFormat/>
    <w:uiPriority w:val="99"/>
    <w:rPr>
      <w:vertAlign w:val="superscript"/>
    </w:rPr>
  </w:style>
  <w:style w:type="character" w:customStyle="1" w:styleId="13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5"/>
    <w:qFormat/>
    <w:uiPriority w:val="99"/>
    <w:rPr>
      <w:sz w:val="18"/>
      <w:szCs w:val="18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cs="Times New Roman" w:eastAsiaTheme="minorEastAsia"/>
      <w:color w:val="000000"/>
      <w:kern w:val="0"/>
      <w:sz w:val="24"/>
      <w:szCs w:val="24"/>
      <w:lang w:val="en-US" w:eastAsia="zh-CN" w:bidi="ar-SA"/>
    </w:rPr>
  </w:style>
  <w:style w:type="character" w:customStyle="1" w:styleId="16">
    <w:name w:val="标题 1 Char"/>
    <w:basedOn w:val="10"/>
    <w:link w:val="2"/>
    <w:qFormat/>
    <w:uiPriority w:val="1"/>
    <w:rPr>
      <w:rFonts w:ascii="Times New Roman" w:hAnsi="Times New Roman" w:eastAsia="Times New Roman" w:cs="Times New Roman"/>
      <w:b/>
      <w:bCs/>
      <w:kern w:val="0"/>
      <w:sz w:val="56"/>
      <w:szCs w:val="56"/>
      <w:lang w:eastAsia="en-US" w:bidi="en-US"/>
    </w:rPr>
  </w:style>
  <w:style w:type="character" w:customStyle="1" w:styleId="17">
    <w:name w:val="标题 2 Char"/>
    <w:basedOn w:val="10"/>
    <w:link w:val="3"/>
    <w:semiHidden/>
    <w:qFormat/>
    <w:uiPriority w:val="9"/>
    <w:rPr>
      <w:rFonts w:asciiTheme="majorHAnsi" w:hAnsiTheme="majorHAnsi" w:eastAsiaTheme="majorEastAsia" w:cstheme="majorBidi"/>
      <w:b/>
      <w:bCs/>
      <w:kern w:val="0"/>
      <w:sz w:val="32"/>
      <w:szCs w:val="32"/>
      <w:lang w:eastAsia="en-US" w:bidi="en-US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框文本 Char"/>
    <w:basedOn w:val="10"/>
    <w:link w:val="4"/>
    <w:semiHidden/>
    <w:qFormat/>
    <w:uiPriority w:val="99"/>
    <w:rPr>
      <w:rFonts w:ascii="Times New Roman" w:hAnsi="Times New Roman" w:eastAsia="Times New Roman" w:cs="Times New Roman"/>
      <w:kern w:val="0"/>
      <w:sz w:val="18"/>
      <w:szCs w:val="18"/>
      <w:lang w:eastAsia="en-US" w:bidi="en-US"/>
    </w:rPr>
  </w:style>
  <w:style w:type="paragraph" w:customStyle="1" w:styleId="20">
    <w:name w:val="Revision"/>
    <w:hidden/>
    <w:semiHidden/>
    <w:qFormat/>
    <w:uiPriority w:val="99"/>
    <w:rPr>
      <w:rFonts w:ascii="Times New Roman" w:hAnsi="Times New Roman" w:eastAsia="Times New Roman" w:cs="Times New Roman"/>
      <w:kern w:val="0"/>
      <w:sz w:val="22"/>
      <w:szCs w:val="22"/>
      <w:lang w:val="en-US" w:eastAsia="en-US" w:bidi="en-US"/>
    </w:rPr>
  </w:style>
  <w:style w:type="character" w:customStyle="1" w:styleId="21">
    <w:name w:val="脚注文本 Char"/>
    <w:basedOn w:val="10"/>
    <w:link w:val="7"/>
    <w:semiHidden/>
    <w:qFormat/>
    <w:uiPriority w:val="99"/>
    <w:rPr>
      <w:rFonts w:ascii="Times New Roman" w:hAnsi="Times New Roman" w:eastAsia="Times New Roman" w:cs="Times New Roman"/>
      <w:kern w:val="0"/>
      <w:sz w:val="18"/>
      <w:szCs w:val="18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E74FD-2896-4443-9C59-435AB770AA8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1669</Words>
  <Characters>2051</Characters>
  <Lines>15</Lines>
  <Paragraphs>4</Paragraphs>
  <TotalTime>7</TotalTime>
  <ScaleCrop>false</ScaleCrop>
  <LinksUpToDate>false</LinksUpToDate>
  <CharactersWithSpaces>2065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2022-03-11T06:45:00Z</dcterms:created>
  <dc:creator>admin</dc:creator>
  <cp:lastModifiedBy>太极箫客</cp:lastModifiedBy>
  <dcterms:modified xsi:type="dcterms:W3CDTF">2025-08-14T07:21:40Z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eyJoZGlkIjoiMDJiMzI3ODBiNTFmMWRjNDUyMjM1ZmZjODY5NDc2MWMiLCJ1c2VySWQiOiI0NTQ4Nzg1NzAifQ==</vt:lpwstr>
  </property>
  <property fmtid="{D5CDD505-2E9C-101B-9397-08002B2CF9AE}" pid="3" name="KSOProductBuildVer">
    <vt:lpwstr>2052-12.1.0.21915</vt:lpwstr>
  </property>
  <property fmtid="{D5CDD505-2E9C-101B-9397-08002B2CF9AE}" pid="4" name="ICV">
    <vt:lpwstr>2E67DDD059BA484EA20C2FD2CB663049_12</vt:lpwstr>
  </property>
</Properties>
</file>