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6545D">
      <w:pPr>
        <w:snapToGrid w:val="0"/>
        <w:spacing w:before="4" w:line="300" w:lineRule="auto"/>
        <w:rPr>
          <w:rFonts w:ascii="Arial" w:hAnsi="Arial" w:eastAsia="宋体" w:cs="Arial"/>
          <w:sz w:val="16"/>
          <w:szCs w:val="16"/>
        </w:rPr>
      </w:pPr>
      <w:bookmarkStart w:id="15" w:name="_GoBack"/>
      <w:bookmarkEnd w:id="15"/>
    </w:p>
    <w:p w14:paraId="3BCF4588">
      <w:pPr>
        <w:snapToGrid w:val="0"/>
        <w:spacing w:before="38" w:line="300" w:lineRule="auto"/>
        <w:jc w:val="center"/>
        <w:rPr>
          <w:rFonts w:ascii="Arial" w:hAnsi="Arial" w:eastAsia="宋体" w:cs="Arial"/>
          <w:sz w:val="48"/>
          <w:lang w:eastAsia="zh-CN"/>
        </w:rPr>
      </w:pPr>
      <w:r>
        <w:rPr>
          <w:rFonts w:ascii="Arial" w:hAnsi="Arial" w:eastAsia="宋体" w:cs="Arial"/>
          <w:sz w:val="48"/>
          <w:lang w:eastAsia="zh-CN"/>
        </w:rPr>
        <w:t>行业指南</w:t>
      </w:r>
    </w:p>
    <w:p w14:paraId="5C92F34E">
      <w:pPr>
        <w:snapToGrid w:val="0"/>
        <w:spacing w:before="305" w:line="300" w:lineRule="auto"/>
        <w:ind w:firstLine="38"/>
        <w:jc w:val="center"/>
        <w:rPr>
          <w:rFonts w:ascii="Arial" w:hAnsi="Arial" w:eastAsia="宋体" w:cs="Arial"/>
          <w:sz w:val="52"/>
          <w:szCs w:val="52"/>
          <w:lang w:eastAsia="zh-CN"/>
        </w:rPr>
      </w:pPr>
      <w:r>
        <w:rPr>
          <w:rFonts w:ascii="Arial" w:hAnsi="Arial" w:eastAsia="宋体" w:cs="Arial"/>
          <w:b/>
          <w:bCs/>
          <w:sz w:val="52"/>
          <w:szCs w:val="52"/>
          <w:lang w:eastAsia="zh-CN"/>
        </w:rPr>
        <w:t>腔内碎石机的510（k）申报指南</w:t>
      </w:r>
    </w:p>
    <w:p w14:paraId="2AB21CCA">
      <w:pPr>
        <w:snapToGrid w:val="0"/>
        <w:spacing w:line="300" w:lineRule="auto"/>
        <w:jc w:val="center"/>
        <w:rPr>
          <w:rFonts w:ascii="Arial" w:hAnsi="Arial" w:eastAsia="宋体" w:cs="Arial"/>
          <w:b/>
          <w:sz w:val="28"/>
          <w:lang w:eastAsia="zh-CN"/>
        </w:rPr>
      </w:pPr>
    </w:p>
    <w:p w14:paraId="0C8CE9D4">
      <w:pPr>
        <w:snapToGrid w:val="0"/>
        <w:spacing w:line="300" w:lineRule="auto"/>
        <w:jc w:val="center"/>
        <w:rPr>
          <w:rFonts w:ascii="Arial" w:hAnsi="Arial" w:eastAsia="宋体" w:cs="Arial"/>
          <w:sz w:val="28"/>
          <w:szCs w:val="28"/>
          <w:lang w:eastAsia="zh-CN"/>
        </w:rPr>
      </w:pPr>
      <w:r>
        <w:rPr>
          <w:rFonts w:ascii="Arial" w:hAnsi="Arial" w:eastAsia="宋体" w:cs="Arial"/>
          <w:b/>
          <w:sz w:val="28"/>
          <w:lang w:eastAsia="zh-CN"/>
        </w:rPr>
        <w:t>文件发布日期：1998年11月30日</w:t>
      </w:r>
    </w:p>
    <w:p w14:paraId="14F33279">
      <w:pPr>
        <w:snapToGrid w:val="0"/>
        <w:spacing w:line="300" w:lineRule="auto"/>
        <w:rPr>
          <w:rFonts w:ascii="Arial" w:hAnsi="Arial" w:eastAsia="宋体" w:cs="Arial"/>
          <w:b/>
          <w:bCs/>
          <w:sz w:val="28"/>
          <w:szCs w:val="28"/>
          <w:lang w:eastAsia="zh-CN"/>
        </w:rPr>
      </w:pPr>
    </w:p>
    <w:p w14:paraId="50E4183C">
      <w:pPr>
        <w:snapToGrid w:val="0"/>
        <w:spacing w:line="300" w:lineRule="auto"/>
        <w:rPr>
          <w:rFonts w:ascii="Arial" w:hAnsi="Arial" w:eastAsia="宋体" w:cs="Arial"/>
          <w:b/>
          <w:bCs/>
          <w:sz w:val="28"/>
          <w:szCs w:val="28"/>
          <w:lang w:eastAsia="zh-CN"/>
        </w:rPr>
      </w:pPr>
    </w:p>
    <w:p w14:paraId="59828C30">
      <w:pPr>
        <w:snapToGrid w:val="0"/>
        <w:spacing w:line="300" w:lineRule="auto"/>
        <w:rPr>
          <w:rFonts w:ascii="Arial" w:hAnsi="Arial" w:eastAsia="宋体" w:cs="Arial"/>
          <w:b/>
          <w:bCs/>
          <w:sz w:val="28"/>
          <w:szCs w:val="28"/>
          <w:lang w:eastAsia="zh-CN"/>
        </w:rPr>
      </w:pPr>
    </w:p>
    <w:p w14:paraId="0048F7D7">
      <w:pPr>
        <w:snapToGrid w:val="0"/>
        <w:spacing w:line="300" w:lineRule="auto"/>
        <w:rPr>
          <w:rFonts w:ascii="Arial" w:hAnsi="Arial" w:eastAsia="宋体" w:cs="Arial"/>
          <w:b/>
          <w:bCs/>
          <w:sz w:val="28"/>
          <w:szCs w:val="28"/>
          <w:lang w:eastAsia="zh-CN"/>
        </w:rPr>
      </w:pPr>
    </w:p>
    <w:p w14:paraId="0A58A3E3">
      <w:pPr>
        <w:snapToGrid w:val="0"/>
        <w:spacing w:line="300" w:lineRule="auto"/>
        <w:rPr>
          <w:rFonts w:ascii="Arial" w:hAnsi="Arial" w:eastAsia="宋体" w:cs="Arial"/>
          <w:b/>
          <w:bCs/>
          <w:sz w:val="28"/>
          <w:szCs w:val="28"/>
          <w:lang w:eastAsia="zh-CN"/>
        </w:rPr>
      </w:pPr>
    </w:p>
    <w:p w14:paraId="0593F876">
      <w:pPr>
        <w:snapToGrid w:val="0"/>
        <w:spacing w:line="300" w:lineRule="auto"/>
        <w:rPr>
          <w:rFonts w:ascii="Arial" w:hAnsi="Arial" w:eastAsia="宋体" w:cs="Arial"/>
          <w:b/>
          <w:bCs/>
          <w:sz w:val="28"/>
          <w:szCs w:val="28"/>
          <w:lang w:eastAsia="zh-CN"/>
        </w:rPr>
      </w:pPr>
    </w:p>
    <w:p w14:paraId="18AF832E">
      <w:pPr>
        <w:snapToGrid w:val="0"/>
        <w:spacing w:line="300" w:lineRule="auto"/>
        <w:rPr>
          <w:rFonts w:ascii="Arial" w:hAnsi="Arial" w:eastAsia="宋体" w:cs="Arial"/>
          <w:b/>
          <w:bCs/>
          <w:sz w:val="28"/>
          <w:szCs w:val="28"/>
          <w:lang w:eastAsia="zh-CN"/>
        </w:rPr>
      </w:pPr>
    </w:p>
    <w:p w14:paraId="20482866">
      <w:pPr>
        <w:snapToGrid w:val="0"/>
        <w:spacing w:line="300" w:lineRule="auto"/>
        <w:rPr>
          <w:rFonts w:ascii="Arial" w:hAnsi="Arial" w:eastAsia="宋体" w:cs="Arial"/>
          <w:b/>
          <w:bCs/>
          <w:sz w:val="28"/>
          <w:szCs w:val="28"/>
          <w:lang w:eastAsia="zh-CN"/>
        </w:rPr>
      </w:pPr>
    </w:p>
    <w:p w14:paraId="0B4295D8">
      <w:pPr>
        <w:snapToGrid w:val="0"/>
        <w:spacing w:line="300" w:lineRule="auto"/>
        <w:rPr>
          <w:rFonts w:ascii="Arial" w:hAnsi="Arial" w:eastAsia="宋体" w:cs="Arial"/>
          <w:b/>
          <w:bCs/>
          <w:sz w:val="28"/>
          <w:szCs w:val="28"/>
          <w:lang w:eastAsia="zh-CN"/>
        </w:rPr>
      </w:pPr>
    </w:p>
    <w:p w14:paraId="147B2935">
      <w:pPr>
        <w:snapToGrid w:val="0"/>
        <w:spacing w:line="300" w:lineRule="auto"/>
        <w:rPr>
          <w:rFonts w:ascii="Arial" w:hAnsi="Arial" w:eastAsia="宋体" w:cs="Arial"/>
          <w:b/>
          <w:bCs/>
          <w:sz w:val="28"/>
          <w:szCs w:val="28"/>
          <w:lang w:eastAsia="zh-CN"/>
        </w:rPr>
      </w:pPr>
    </w:p>
    <w:p w14:paraId="53E89066">
      <w:pPr>
        <w:snapToGrid w:val="0"/>
        <w:spacing w:line="300" w:lineRule="auto"/>
        <w:rPr>
          <w:rFonts w:ascii="Arial" w:hAnsi="Arial" w:eastAsia="宋体" w:cs="Arial"/>
          <w:b/>
          <w:bCs/>
          <w:sz w:val="21"/>
          <w:szCs w:val="21"/>
          <w:lang w:eastAsia="zh-CN"/>
        </w:rPr>
      </w:pPr>
    </w:p>
    <w:p w14:paraId="3B6494DC">
      <w:pPr>
        <w:snapToGrid w:val="0"/>
        <w:spacing w:line="300" w:lineRule="auto"/>
        <w:rPr>
          <w:rFonts w:ascii="Arial" w:hAnsi="Arial" w:eastAsia="宋体" w:cs="Arial"/>
          <w:b/>
          <w:bCs/>
          <w:sz w:val="21"/>
          <w:szCs w:val="21"/>
          <w:lang w:eastAsia="zh-CN"/>
        </w:rPr>
      </w:pPr>
    </w:p>
    <w:p w14:paraId="1CAF89DA">
      <w:pPr>
        <w:snapToGrid w:val="0"/>
        <w:spacing w:line="300" w:lineRule="auto"/>
        <w:rPr>
          <w:rFonts w:ascii="Arial" w:hAnsi="Arial" w:eastAsia="宋体" w:cs="Arial"/>
          <w:b/>
          <w:bCs/>
          <w:sz w:val="21"/>
          <w:szCs w:val="21"/>
          <w:lang w:eastAsia="zh-CN"/>
        </w:rPr>
      </w:pPr>
    </w:p>
    <w:p w14:paraId="15482014">
      <w:pPr>
        <w:snapToGrid w:val="0"/>
        <w:spacing w:line="300" w:lineRule="auto"/>
        <w:rPr>
          <w:rFonts w:ascii="Arial" w:hAnsi="Arial" w:eastAsia="宋体" w:cs="Arial"/>
          <w:b/>
          <w:bCs/>
          <w:sz w:val="21"/>
          <w:szCs w:val="21"/>
          <w:lang w:eastAsia="zh-CN"/>
        </w:rPr>
      </w:pPr>
    </w:p>
    <w:p w14:paraId="0B03555E">
      <w:pPr>
        <w:snapToGrid w:val="0"/>
        <w:spacing w:line="300" w:lineRule="auto"/>
        <w:rPr>
          <w:rFonts w:ascii="Arial" w:hAnsi="Arial" w:eastAsia="宋体" w:cs="Arial"/>
          <w:b/>
          <w:bCs/>
          <w:sz w:val="21"/>
          <w:szCs w:val="21"/>
          <w:lang w:eastAsia="zh-CN"/>
        </w:rPr>
      </w:pPr>
      <w:r>
        <w:rPr>
          <w:rFonts w:ascii="Arial" w:hAnsi="Arial" w:eastAsia="宋体" w:cs="Arial"/>
          <w:b/>
          <w:bCs/>
          <w:sz w:val="21"/>
          <w:szCs w:val="21"/>
          <w:lang w:eastAsia="zh-CN"/>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139065</wp:posOffset>
                </wp:positionV>
                <wp:extent cx="1930400" cy="1790700"/>
                <wp:effectExtent l="3810" t="0" r="0" b="3810"/>
                <wp:wrapNone/>
                <wp:docPr id="2" name="Text Box 14"/>
                <wp:cNvGraphicFramePr/>
                <a:graphic xmlns:a="http://schemas.openxmlformats.org/drawingml/2006/main">
                  <a:graphicData uri="http://schemas.microsoft.com/office/word/2010/wordprocessingShape">
                    <wps:wsp>
                      <wps:cNvSpPr txBox="1">
                        <a:spLocks noChangeArrowheads="1"/>
                      </wps:cNvSpPr>
                      <wps:spPr bwMode="auto">
                        <a:xfrm>
                          <a:off x="0" y="0"/>
                          <a:ext cx="1930400" cy="1790700"/>
                        </a:xfrm>
                        <a:prstGeom prst="rect">
                          <a:avLst/>
                        </a:prstGeom>
                        <a:noFill/>
                        <a:ln>
                          <a:noFill/>
                        </a:ln>
                      </wps:spPr>
                      <wps:txbx>
                        <w:txbxContent>
                          <w:p w14:paraId="61551C7F">
                            <w:r>
                              <w:rPr>
                                <w:lang w:eastAsia="zh-CN"/>
                              </w:rPr>
                              <w:drawing>
                                <wp:inline distT="0" distB="0" distL="0" distR="0">
                                  <wp:extent cx="989965" cy="11804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90476" cy="118095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14" o:spid="_x0000_s1026" o:spt="202" type="#_x0000_t202" style="position:absolute;left:0pt;margin-left:6.3pt;margin-top:10.95pt;height:141pt;width:152pt;z-index:251659264;mso-width-relative:page;mso-height-relative:page;" filled="f" stroked="f" coordsize="21600,21600" o:gfxdata="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PXxK9YAAAAJAQAADwAAAAAAAAABACAAAAAiAAAAZHJz&#10;L2Rvd25yZXYueG1sUEsBAhQAFAAAAAgAh07iQCgyteMGAgAAFgQAAA4AAAAAAAAAAQAgAAAAJQEA&#10;AGRycy9lMm9Eb2MueG1sUEsFBgAAAAAGAAYAWQEAAJ0FAAAAAA==&#10;">
                <v:fill on="f" focussize="0,0"/>
                <v:stroke on="f"/>
                <v:imagedata o:title=""/>
                <o:lock v:ext="edit" aspectratio="f"/>
                <v:textbox>
                  <w:txbxContent>
                    <w:p w14:paraId="61551C7F">
                      <w:r>
                        <w:rPr>
                          <w:lang w:eastAsia="zh-CN"/>
                        </w:rPr>
                        <w:drawing>
                          <wp:inline distT="0" distB="0" distL="0" distR="0">
                            <wp:extent cx="989965" cy="11804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90476" cy="1180952"/>
                                    </a:xfrm>
                                    <a:prstGeom prst="rect">
                                      <a:avLst/>
                                    </a:prstGeom>
                                  </pic:spPr>
                                </pic:pic>
                              </a:graphicData>
                            </a:graphic>
                          </wp:inline>
                        </w:drawing>
                      </w:r>
                    </w:p>
                  </w:txbxContent>
                </v:textbox>
              </v:shape>
            </w:pict>
          </mc:Fallback>
        </mc:AlternateContent>
      </w:r>
    </w:p>
    <w:p w14:paraId="2EB2F568">
      <w:pPr>
        <w:snapToGrid w:val="0"/>
        <w:spacing w:line="300" w:lineRule="auto"/>
        <w:ind w:left="3820"/>
        <w:jc w:val="right"/>
        <w:rPr>
          <w:rFonts w:ascii="Arial" w:hAnsi="Arial" w:eastAsia="宋体" w:cs="Arial"/>
          <w:b/>
          <w:sz w:val="21"/>
          <w:szCs w:val="21"/>
          <w:lang w:eastAsia="zh-CN"/>
        </w:rPr>
      </w:pPr>
      <w:r>
        <w:rPr>
          <w:rFonts w:ascii="Arial" w:hAnsi="Arial" w:eastAsia="宋体" w:cs="Arial"/>
          <w:b/>
          <w:sz w:val="21"/>
          <w:szCs w:val="21"/>
          <w:lang w:eastAsia="zh-CN"/>
        </w:rPr>
        <w:t>美国卫生与公众服务部</w:t>
      </w:r>
    </w:p>
    <w:p w14:paraId="227D66A8">
      <w:pPr>
        <w:snapToGrid w:val="0"/>
        <w:spacing w:line="300" w:lineRule="auto"/>
        <w:ind w:left="3820"/>
        <w:jc w:val="right"/>
        <w:rPr>
          <w:rFonts w:ascii="Arial" w:hAnsi="Arial" w:eastAsia="宋体" w:cs="Arial"/>
          <w:b/>
          <w:sz w:val="21"/>
          <w:szCs w:val="21"/>
          <w:lang w:eastAsia="zh-CN"/>
        </w:rPr>
      </w:pPr>
      <w:r>
        <w:rPr>
          <w:rFonts w:ascii="Arial" w:hAnsi="Arial" w:eastAsia="宋体" w:cs="Arial"/>
          <w:b/>
          <w:sz w:val="21"/>
          <w:szCs w:val="21"/>
          <w:lang w:eastAsia="zh-CN"/>
        </w:rPr>
        <w:t>食品药品监督管理局</w:t>
      </w:r>
    </w:p>
    <w:p w14:paraId="3FD806A2">
      <w:pPr>
        <w:snapToGrid w:val="0"/>
        <w:spacing w:line="300" w:lineRule="auto"/>
        <w:ind w:left="3820"/>
        <w:jc w:val="right"/>
        <w:rPr>
          <w:rFonts w:ascii="Arial" w:hAnsi="Arial" w:eastAsia="宋体" w:cs="Arial"/>
          <w:b/>
          <w:sz w:val="21"/>
          <w:szCs w:val="21"/>
          <w:lang w:eastAsia="zh-CN"/>
        </w:rPr>
      </w:pPr>
      <w:r>
        <w:rPr>
          <w:rFonts w:ascii="Arial" w:hAnsi="Arial" w:eastAsia="宋体" w:cs="Arial"/>
          <w:b/>
          <w:sz w:val="21"/>
          <w:szCs w:val="21"/>
          <w:lang w:eastAsia="zh-CN"/>
        </w:rPr>
        <w:t>器械</w:t>
      </w:r>
      <w:r>
        <w:rPr>
          <w:rFonts w:hint="eastAsia" w:ascii="Arial" w:hAnsi="Arial" w:eastAsia="宋体" w:cs="Arial"/>
          <w:b/>
          <w:sz w:val="21"/>
          <w:szCs w:val="21"/>
          <w:lang w:eastAsia="zh-CN"/>
        </w:rPr>
        <w:t>和放射卫生</w:t>
      </w:r>
      <w:r>
        <w:rPr>
          <w:rFonts w:ascii="Arial" w:hAnsi="Arial" w:eastAsia="宋体" w:cs="Arial"/>
          <w:b/>
          <w:sz w:val="21"/>
          <w:szCs w:val="21"/>
          <w:lang w:eastAsia="zh-CN"/>
        </w:rPr>
        <w:t>中心</w:t>
      </w:r>
    </w:p>
    <w:p w14:paraId="5D835941">
      <w:pPr>
        <w:snapToGrid w:val="0"/>
        <w:spacing w:line="300" w:lineRule="auto"/>
        <w:ind w:left="3820"/>
        <w:jc w:val="right"/>
        <w:rPr>
          <w:rFonts w:ascii="Arial" w:hAnsi="Arial" w:eastAsia="宋体" w:cs="Arial"/>
          <w:b/>
          <w:sz w:val="21"/>
          <w:szCs w:val="21"/>
          <w:lang w:eastAsia="zh-CN"/>
        </w:rPr>
      </w:pPr>
    </w:p>
    <w:p w14:paraId="1303FBBE">
      <w:pPr>
        <w:snapToGrid w:val="0"/>
        <w:spacing w:line="300" w:lineRule="auto"/>
        <w:ind w:left="3820"/>
        <w:jc w:val="right"/>
        <w:rPr>
          <w:rFonts w:ascii="Arial" w:hAnsi="Arial" w:eastAsia="宋体" w:cs="Arial"/>
          <w:b/>
          <w:sz w:val="21"/>
          <w:szCs w:val="21"/>
          <w:lang w:eastAsia="zh-CN"/>
        </w:rPr>
      </w:pPr>
      <w:r>
        <w:rPr>
          <w:rFonts w:ascii="Arial" w:hAnsi="Arial" w:eastAsia="宋体" w:cs="Arial"/>
          <w:b/>
          <w:sz w:val="21"/>
          <w:szCs w:val="21"/>
          <w:lang w:eastAsia="zh-CN"/>
        </w:rPr>
        <w:t>泌尿和碎石器械科</w:t>
      </w:r>
    </w:p>
    <w:p w14:paraId="1ADD556F">
      <w:pPr>
        <w:snapToGrid w:val="0"/>
        <w:spacing w:line="300" w:lineRule="auto"/>
        <w:ind w:left="3820"/>
        <w:jc w:val="right"/>
        <w:rPr>
          <w:rFonts w:ascii="Arial" w:hAnsi="Arial" w:eastAsia="宋体" w:cs="Arial"/>
          <w:b/>
          <w:sz w:val="21"/>
          <w:szCs w:val="21"/>
          <w:lang w:eastAsia="zh-CN"/>
        </w:rPr>
      </w:pPr>
      <w:r>
        <w:rPr>
          <w:rFonts w:ascii="Arial" w:hAnsi="Arial" w:eastAsia="宋体" w:cs="Arial"/>
          <w:b/>
          <w:sz w:val="21"/>
          <w:szCs w:val="21"/>
          <w:lang w:eastAsia="zh-CN"/>
        </w:rPr>
        <w:t>生殖、腹部和耳鼻喉放射器械司</w:t>
      </w:r>
    </w:p>
    <w:p w14:paraId="382339A6">
      <w:pPr>
        <w:snapToGrid w:val="0"/>
        <w:spacing w:line="300" w:lineRule="auto"/>
        <w:ind w:left="3820"/>
        <w:jc w:val="right"/>
        <w:rPr>
          <w:rFonts w:ascii="Arial" w:hAnsi="Arial" w:eastAsia="宋体" w:cs="Arial"/>
          <w:b/>
          <w:sz w:val="21"/>
          <w:szCs w:val="21"/>
          <w:lang w:eastAsia="zh-CN"/>
        </w:rPr>
      </w:pPr>
      <w:r>
        <w:rPr>
          <w:rFonts w:ascii="Arial" w:hAnsi="Arial" w:eastAsia="宋体" w:cs="Arial"/>
          <w:b/>
          <w:sz w:val="21"/>
          <w:szCs w:val="21"/>
          <w:lang w:eastAsia="zh-CN"/>
        </w:rPr>
        <w:t>器械评估办公室</w:t>
      </w:r>
    </w:p>
    <w:p w14:paraId="1BF87119">
      <w:pPr>
        <w:snapToGrid w:val="0"/>
        <w:spacing w:line="300" w:lineRule="auto"/>
        <w:rPr>
          <w:rFonts w:ascii="Arial" w:hAnsi="Arial" w:eastAsia="宋体" w:cs="Arial"/>
          <w:b/>
          <w:bCs/>
          <w:sz w:val="28"/>
          <w:szCs w:val="28"/>
          <w:lang w:eastAsia="zh-CN"/>
        </w:rPr>
      </w:pPr>
    </w:p>
    <w:p w14:paraId="25178FF8">
      <w:pPr>
        <w:snapToGrid w:val="0"/>
        <w:spacing w:line="300" w:lineRule="auto"/>
        <w:rPr>
          <w:rFonts w:ascii="Arial" w:hAnsi="Arial" w:eastAsia="宋体" w:cs="Arial"/>
          <w:b/>
          <w:bCs/>
          <w:sz w:val="28"/>
          <w:szCs w:val="28"/>
          <w:lang w:eastAsia="zh-CN"/>
        </w:rPr>
      </w:pPr>
    </w:p>
    <w:p w14:paraId="13FAE64D">
      <w:pPr>
        <w:snapToGrid w:val="0"/>
        <w:spacing w:line="300" w:lineRule="auto"/>
        <w:rPr>
          <w:rFonts w:ascii="Arial" w:hAnsi="Arial" w:eastAsia="宋体" w:cs="Arial"/>
          <w:b/>
          <w:bCs/>
          <w:sz w:val="28"/>
          <w:szCs w:val="28"/>
          <w:lang w:eastAsia="zh-CN"/>
        </w:rPr>
      </w:pPr>
    </w:p>
    <w:p w14:paraId="1B61DD35">
      <w:pPr>
        <w:snapToGrid w:val="0"/>
        <w:spacing w:line="300" w:lineRule="auto"/>
        <w:rPr>
          <w:rFonts w:ascii="Arial" w:hAnsi="Arial" w:eastAsia="宋体" w:cs="Arial"/>
          <w:b/>
          <w:bCs/>
          <w:sz w:val="28"/>
          <w:szCs w:val="28"/>
          <w:lang w:eastAsia="zh-CN"/>
        </w:rPr>
      </w:pPr>
    </w:p>
    <w:p w14:paraId="14700DCD">
      <w:pPr>
        <w:snapToGrid w:val="0"/>
        <w:spacing w:line="300" w:lineRule="auto"/>
        <w:rPr>
          <w:rFonts w:ascii="Arial" w:hAnsi="Arial" w:eastAsia="宋体" w:cs="Arial"/>
          <w:b/>
          <w:bCs/>
          <w:sz w:val="24"/>
          <w:szCs w:val="24"/>
          <w:lang w:eastAsia="zh-CN"/>
        </w:rPr>
      </w:pPr>
    </w:p>
    <w:p w14:paraId="68C1719D">
      <w:pPr>
        <w:snapToGrid w:val="0"/>
        <w:spacing w:line="300" w:lineRule="auto"/>
        <w:jc w:val="right"/>
        <w:rPr>
          <w:rFonts w:ascii="Arial" w:hAnsi="Arial" w:eastAsia="宋体" w:cs="Arial"/>
          <w:sz w:val="24"/>
          <w:szCs w:val="24"/>
          <w:lang w:eastAsia="zh-CN"/>
        </w:rPr>
        <w:sectPr>
          <w:type w:val="continuous"/>
          <w:pgSz w:w="12240" w:h="15840"/>
          <w:pgMar w:top="1134" w:right="1134" w:bottom="1134" w:left="1134" w:header="720" w:footer="720" w:gutter="0"/>
          <w:cols w:space="720" w:num="1"/>
          <w:docGrid w:linePitch="299" w:charSpace="0"/>
        </w:sectPr>
      </w:pPr>
    </w:p>
    <w:p w14:paraId="60307DD5">
      <w:pPr>
        <w:snapToGrid w:val="0"/>
        <w:spacing w:before="12" w:line="300" w:lineRule="auto"/>
        <w:jc w:val="center"/>
        <w:rPr>
          <w:rFonts w:ascii="Arial" w:hAnsi="Arial" w:eastAsia="宋体" w:cs="Arial"/>
          <w:sz w:val="48"/>
          <w:szCs w:val="48"/>
          <w:lang w:eastAsia="zh-CN"/>
        </w:rPr>
      </w:pPr>
      <w:r>
        <w:rPr>
          <w:rFonts w:ascii="Arial" w:hAnsi="Arial" w:eastAsia="宋体" w:cs="Arial"/>
          <w:b/>
          <w:sz w:val="48"/>
          <w:lang w:eastAsia="zh-CN"/>
        </w:rPr>
        <w:t>前言</w:t>
      </w:r>
    </w:p>
    <w:p w14:paraId="37AF4C76">
      <w:pPr>
        <w:snapToGrid w:val="0"/>
        <w:spacing w:before="7" w:line="300" w:lineRule="auto"/>
        <w:rPr>
          <w:rFonts w:ascii="Arial" w:hAnsi="Arial" w:eastAsia="宋体" w:cs="Arial"/>
          <w:b/>
          <w:bCs/>
          <w:sz w:val="25"/>
          <w:szCs w:val="25"/>
          <w:lang w:eastAsia="zh-CN"/>
        </w:rPr>
      </w:pPr>
    </w:p>
    <w:p w14:paraId="53E6542B">
      <w:pPr>
        <w:snapToGrid w:val="0"/>
        <w:spacing w:before="9" w:line="300" w:lineRule="auto"/>
        <w:rPr>
          <w:rFonts w:ascii="Arial" w:hAnsi="Arial" w:eastAsia="宋体" w:cs="Arial"/>
          <w:b/>
          <w:bCs/>
          <w:sz w:val="36"/>
          <w:szCs w:val="36"/>
          <w:lang w:eastAsia="zh-CN"/>
        </w:rPr>
      </w:pPr>
      <w:r>
        <w:rPr>
          <w:rFonts w:ascii="Arial" w:hAnsi="Arial" w:eastAsia="宋体" w:cs="Arial"/>
          <w:b/>
          <w:bCs/>
          <w:sz w:val="36"/>
          <w:szCs w:val="36"/>
          <w:lang w:eastAsia="zh-CN"/>
        </w:rPr>
        <w:t>公共评论</w:t>
      </w:r>
    </w:p>
    <w:p w14:paraId="2F6D0A83">
      <w:pPr>
        <w:pStyle w:val="3"/>
        <w:snapToGrid w:val="0"/>
        <w:spacing w:line="300" w:lineRule="auto"/>
        <w:ind w:left="820"/>
        <w:jc w:val="both"/>
        <w:rPr>
          <w:rFonts w:ascii="Arial" w:hAnsi="Arial" w:eastAsia="宋体" w:cs="Arial"/>
          <w:sz w:val="21"/>
          <w:szCs w:val="21"/>
          <w:lang w:eastAsia="zh-CN"/>
        </w:rPr>
      </w:pPr>
      <w:r>
        <w:rPr>
          <w:rFonts w:ascii="Arial" w:hAnsi="Arial" w:eastAsia="宋体" w:cs="Arial"/>
          <w:sz w:val="21"/>
          <w:szCs w:val="21"/>
          <w:lang w:eastAsia="zh-CN"/>
        </w:rPr>
        <w:t>贵公司可以随时提交评论和建议至泌尿和碎石器械科（地址为：</w:t>
      </w:r>
      <w:r>
        <w:rPr>
          <w:rFonts w:ascii="Arial" w:hAnsi="Arial" w:eastAsia="宋体" w:cs="Arial"/>
          <w:sz w:val="21"/>
          <w:szCs w:val="21"/>
        </w:rPr>
        <w:t>HFZ-470</w:t>
      </w:r>
      <w:r>
        <w:rPr>
          <w:rFonts w:ascii="Arial" w:hAnsi="Arial" w:eastAsia="宋体" w:cs="Arial"/>
          <w:sz w:val="21"/>
          <w:szCs w:val="21"/>
          <w:lang w:eastAsia="zh-CN"/>
        </w:rPr>
        <w:t xml:space="preserve">, </w:t>
      </w:r>
      <w:r>
        <w:rPr>
          <w:rFonts w:ascii="Arial" w:hAnsi="Arial" w:eastAsia="宋体" w:cs="Arial"/>
          <w:sz w:val="21"/>
          <w:szCs w:val="21"/>
        </w:rPr>
        <w:t>9200 Corporate</w:t>
      </w:r>
      <w:r>
        <w:rPr>
          <w:rFonts w:ascii="Arial" w:hAnsi="Arial" w:eastAsia="宋体" w:cs="Arial"/>
          <w:spacing w:val="-32"/>
          <w:sz w:val="21"/>
          <w:szCs w:val="21"/>
        </w:rPr>
        <w:t xml:space="preserve"> </w:t>
      </w:r>
      <w:r>
        <w:rPr>
          <w:rFonts w:ascii="Arial" w:hAnsi="Arial" w:eastAsia="宋体" w:cs="Arial"/>
          <w:sz w:val="21"/>
          <w:szCs w:val="21"/>
        </w:rPr>
        <w:t>Blvd.</w:t>
      </w:r>
      <w:r>
        <w:rPr>
          <w:rFonts w:ascii="Arial" w:hAnsi="Arial" w:eastAsia="宋体" w:cs="Arial"/>
          <w:sz w:val="21"/>
          <w:szCs w:val="21"/>
          <w:lang w:eastAsia="zh-CN"/>
        </w:rPr>
        <w:t xml:space="preserve">, </w:t>
      </w:r>
      <w:r>
        <w:rPr>
          <w:rFonts w:ascii="Arial" w:hAnsi="Arial" w:eastAsia="宋体" w:cs="Arial"/>
          <w:spacing w:val="-3"/>
          <w:sz w:val="21"/>
          <w:szCs w:val="21"/>
        </w:rPr>
        <w:t>Rockville Maryland</w:t>
      </w:r>
      <w:r>
        <w:rPr>
          <w:rFonts w:ascii="Arial" w:hAnsi="Arial" w:eastAsia="宋体" w:cs="Arial"/>
          <w:spacing w:val="-3"/>
          <w:sz w:val="21"/>
          <w:szCs w:val="21"/>
          <w:lang w:eastAsia="zh-CN"/>
        </w:rPr>
        <w:t xml:space="preserve">, </w:t>
      </w:r>
      <w:r>
        <w:rPr>
          <w:rFonts w:ascii="Arial" w:hAnsi="Arial" w:eastAsia="宋体" w:cs="Arial"/>
          <w:spacing w:val="-3"/>
          <w:sz w:val="21"/>
          <w:szCs w:val="21"/>
        </w:rPr>
        <w:t>20850</w:t>
      </w:r>
      <w:r>
        <w:rPr>
          <w:rFonts w:ascii="Arial" w:hAnsi="Arial" w:eastAsia="宋体" w:cs="Arial"/>
          <w:sz w:val="21"/>
          <w:szCs w:val="21"/>
          <w:lang w:eastAsia="zh-CN"/>
        </w:rPr>
        <w:t>），供部门审议。可能直到文件下次修订或更新时，评论才会被机构受理。有关本指南的使用或解释的问题，请联系Donald St.Pierre，电话：301-594-2194或电子邮箱：</w:t>
      </w:r>
      <w:r>
        <w:fldChar w:fldCharType="begin"/>
      </w:r>
      <w:r>
        <w:rPr>
          <w:lang w:eastAsia="zh-CN"/>
        </w:rPr>
        <w:instrText xml:space="preserve"> HYPERLINK "mailto:djs@cdrh.fda.gov" </w:instrText>
      </w:r>
      <w:r>
        <w:fldChar w:fldCharType="separate"/>
      </w:r>
      <w:r>
        <w:rPr>
          <w:rStyle w:val="10"/>
          <w:rFonts w:ascii="Arial" w:hAnsi="Arial" w:eastAsia="宋体" w:cs="Arial"/>
          <w:color w:val="auto"/>
          <w:sz w:val="21"/>
          <w:szCs w:val="21"/>
          <w:u w:val="none"/>
          <w:lang w:eastAsia="zh-CN"/>
        </w:rPr>
        <w:t>djs@cdrh.fda.gov</w:t>
      </w:r>
      <w:r>
        <w:rPr>
          <w:rStyle w:val="10"/>
          <w:rFonts w:ascii="Arial" w:hAnsi="Arial" w:eastAsia="宋体" w:cs="Arial"/>
          <w:color w:val="auto"/>
          <w:sz w:val="21"/>
          <w:szCs w:val="21"/>
          <w:u w:val="none"/>
          <w:lang w:eastAsia="zh-CN"/>
        </w:rPr>
        <w:fldChar w:fldCharType="end"/>
      </w:r>
      <w:r>
        <w:rPr>
          <w:rFonts w:ascii="Arial" w:hAnsi="Arial" w:eastAsia="宋体" w:cs="Arial"/>
          <w:sz w:val="21"/>
          <w:szCs w:val="21"/>
          <w:lang w:eastAsia="zh-CN"/>
        </w:rPr>
        <w:t>。</w:t>
      </w:r>
    </w:p>
    <w:p w14:paraId="73DC3166">
      <w:pPr>
        <w:snapToGrid w:val="0"/>
        <w:spacing w:before="10" w:line="300" w:lineRule="auto"/>
        <w:jc w:val="both"/>
        <w:rPr>
          <w:rFonts w:ascii="Arial" w:hAnsi="Arial" w:eastAsia="宋体" w:cs="Arial"/>
          <w:sz w:val="25"/>
          <w:szCs w:val="25"/>
          <w:lang w:eastAsia="zh-CN"/>
        </w:rPr>
      </w:pPr>
    </w:p>
    <w:p w14:paraId="3D821C50">
      <w:pPr>
        <w:snapToGrid w:val="0"/>
        <w:spacing w:before="9" w:line="300" w:lineRule="auto"/>
        <w:jc w:val="both"/>
        <w:rPr>
          <w:rFonts w:ascii="Arial" w:hAnsi="Arial" w:eastAsia="宋体" w:cs="Arial"/>
          <w:b/>
          <w:bCs/>
          <w:sz w:val="36"/>
          <w:szCs w:val="36"/>
          <w:lang w:eastAsia="zh-CN"/>
        </w:rPr>
      </w:pPr>
      <w:r>
        <w:rPr>
          <w:rFonts w:ascii="Arial" w:hAnsi="Arial" w:eastAsia="宋体" w:cs="Arial"/>
          <w:b/>
          <w:bCs/>
          <w:sz w:val="36"/>
          <w:szCs w:val="36"/>
          <w:lang w:eastAsia="zh-CN"/>
        </w:rPr>
        <w:t>其他副本</w:t>
      </w:r>
    </w:p>
    <w:p w14:paraId="25E2AADC">
      <w:pPr>
        <w:pStyle w:val="3"/>
        <w:snapToGrid w:val="0"/>
        <w:spacing w:line="300" w:lineRule="auto"/>
        <w:ind w:left="819"/>
        <w:jc w:val="both"/>
        <w:rPr>
          <w:rFonts w:ascii="Arial" w:hAnsi="Arial" w:eastAsia="宋体" w:cs="Arial"/>
          <w:sz w:val="21"/>
          <w:szCs w:val="21"/>
          <w:lang w:eastAsia="zh-CN"/>
        </w:rPr>
        <w:sectPr>
          <w:pgSz w:w="12240" w:h="15840"/>
          <w:pgMar w:top="1134" w:right="1134" w:bottom="1134" w:left="1134" w:header="720" w:footer="720" w:gutter="0"/>
          <w:cols w:space="720" w:num="1"/>
          <w:docGrid w:linePitch="299" w:charSpace="0"/>
        </w:sectPr>
      </w:pPr>
      <w:r>
        <w:rPr>
          <w:rFonts w:ascii="Arial" w:hAnsi="Arial" w:eastAsia="宋体" w:cs="Arial"/>
          <w:sz w:val="21"/>
          <w:szCs w:val="21"/>
          <w:lang w:eastAsia="zh-CN"/>
        </w:rPr>
        <w:t>万维网CDRH具体页面：http：//www.fda.gov/cdrh/ode/ehlguide.pdf或致电 1-800- 899-0381或301-827-0111使用CDRH 资源索取自动回传系统，在提示文件货架编号时指输入编号2235。</w:t>
      </w:r>
    </w:p>
    <w:p w14:paraId="03C18561">
      <w:pPr>
        <w:snapToGrid w:val="0"/>
        <w:spacing w:before="2" w:line="300" w:lineRule="auto"/>
        <w:rPr>
          <w:rFonts w:ascii="Arial" w:hAnsi="Arial" w:eastAsia="宋体" w:cs="Arial"/>
          <w:sz w:val="17"/>
          <w:szCs w:val="17"/>
          <w:lang w:eastAsia="zh-CN"/>
        </w:rPr>
      </w:pPr>
    </w:p>
    <w:p w14:paraId="32268A58">
      <w:pPr>
        <w:snapToGrid w:val="0"/>
        <w:spacing w:before="38" w:line="300" w:lineRule="auto"/>
        <w:jc w:val="center"/>
        <w:rPr>
          <w:rFonts w:ascii="Arial" w:hAnsi="Arial" w:eastAsia="宋体" w:cs="Arial"/>
          <w:b/>
          <w:sz w:val="48"/>
          <w:szCs w:val="48"/>
        </w:rPr>
      </w:pPr>
      <w:r>
        <w:rPr>
          <w:rFonts w:ascii="Arial" w:hAnsi="Arial" w:eastAsia="宋体" w:cs="Arial"/>
          <w:b/>
          <w:sz w:val="48"/>
          <w:szCs w:val="48"/>
          <w:lang w:eastAsia="zh-CN"/>
        </w:rPr>
        <w:t>目录</w:t>
      </w:r>
    </w:p>
    <w:sdt>
      <w:sdtPr>
        <w:rPr>
          <w:rFonts w:asciiTheme="minorHAnsi" w:hAnsiTheme="minorHAnsi" w:eastAsiaTheme="minorEastAsia" w:cstheme="minorBidi"/>
          <w:color w:val="auto"/>
          <w:sz w:val="22"/>
          <w:szCs w:val="22"/>
          <w:lang w:val="zh-CN" w:eastAsia="en-US"/>
        </w:rPr>
        <w:id w:val="-1277173194"/>
        <w:docPartObj>
          <w:docPartGallery w:val="Table of Contents"/>
          <w:docPartUnique/>
        </w:docPartObj>
      </w:sdtPr>
      <w:sdtEndPr>
        <w:rPr>
          <w:rFonts w:asciiTheme="minorHAnsi" w:hAnsiTheme="minorHAnsi" w:eastAsiaTheme="minorEastAsia" w:cstheme="minorBidi"/>
          <w:b/>
          <w:bCs/>
          <w:color w:val="auto"/>
          <w:sz w:val="22"/>
          <w:szCs w:val="22"/>
          <w:lang w:val="zh-CN" w:eastAsia="en-US"/>
        </w:rPr>
      </w:sdtEndPr>
      <w:sdtContent>
        <w:p w14:paraId="7304618E">
          <w:pPr>
            <w:pStyle w:val="17"/>
            <w:jc w:val="right"/>
            <w:rPr>
              <w:rFonts w:ascii="Arial" w:hAnsi="Arial" w:cs="Arial"/>
              <w:color w:val="auto"/>
              <w:u w:val="single"/>
            </w:rPr>
          </w:pPr>
          <w:r>
            <w:rPr>
              <w:rFonts w:hint="eastAsia" w:ascii="Arial" w:hAnsi="Arial" w:cs="Arial"/>
              <w:color w:val="auto"/>
              <w:u w:val="single"/>
              <w:lang w:val="zh-CN"/>
            </w:rPr>
            <w:t>页码</w:t>
          </w:r>
        </w:p>
        <w:p w14:paraId="0AF6E85E">
          <w:pPr>
            <w:pStyle w:val="7"/>
            <w:tabs>
              <w:tab w:val="right" w:leader="dot" w:pos="9962"/>
            </w:tabs>
            <w:rPr>
              <w:rFonts w:ascii="Arial" w:hAnsi="Arial" w:eastAsia="宋体" w:cs="Arial"/>
              <w:kern w:val="2"/>
              <w:sz w:val="21"/>
              <w:szCs w:val="22"/>
              <w:lang w:eastAsia="zh-CN"/>
            </w:rPr>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"_Toc484177885" </w:instrText>
          </w:r>
          <w:r>
            <w:fldChar w:fldCharType="separate"/>
          </w:r>
          <w:r>
            <w:rPr>
              <w:rStyle w:val="10"/>
              <w:rFonts w:ascii="Arial" w:hAnsi="Arial" w:eastAsia="宋体" w:cs="Arial"/>
            </w:rPr>
            <w:t>1.</w:t>
          </w:r>
          <w:r>
            <w:rPr>
              <w:rFonts w:ascii="Arial" w:hAnsi="Arial" w:eastAsia="宋体" w:cs="Arial"/>
              <w:kern w:val="2"/>
              <w:sz w:val="21"/>
              <w:szCs w:val="22"/>
              <w:lang w:eastAsia="zh-CN"/>
            </w:rPr>
            <w:tab/>
          </w:r>
          <w:r>
            <w:rPr>
              <w:rStyle w:val="10"/>
              <w:rFonts w:ascii="Arial" w:hAnsi="Arial" w:eastAsia="宋体" w:cs="Arial"/>
              <w:lang w:eastAsia="zh-CN"/>
            </w:rPr>
            <w:t>引言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_Toc484177885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3D3D1512">
          <w:pPr>
            <w:pStyle w:val="7"/>
            <w:tabs>
              <w:tab w:val="right" w:leader="dot" w:pos="9962"/>
            </w:tabs>
            <w:rPr>
              <w:rFonts w:ascii="Arial" w:hAnsi="Arial" w:eastAsia="宋体" w:cs="Arial"/>
              <w:kern w:val="2"/>
              <w:sz w:val="21"/>
              <w:szCs w:val="22"/>
              <w:lang w:eastAsia="zh-CN"/>
            </w:rPr>
          </w:pPr>
          <w:r>
            <w:fldChar w:fldCharType="begin"/>
          </w:r>
          <w:r>
            <w:instrText xml:space="preserve"> HYPERLINK \l "_Toc484177886" </w:instrText>
          </w:r>
          <w:r>
            <w:fldChar w:fldCharType="separate"/>
          </w:r>
          <w:r>
            <w:rPr>
              <w:rStyle w:val="10"/>
              <w:rFonts w:ascii="Arial" w:hAnsi="Arial" w:eastAsia="宋体" w:cs="Arial"/>
            </w:rPr>
            <w:t>2.</w:t>
          </w:r>
          <w:r>
            <w:rPr>
              <w:rFonts w:ascii="Arial" w:hAnsi="Arial" w:eastAsia="宋体" w:cs="Arial"/>
              <w:kern w:val="2"/>
              <w:sz w:val="21"/>
              <w:szCs w:val="22"/>
              <w:lang w:eastAsia="zh-CN"/>
            </w:rPr>
            <w:tab/>
          </w:r>
          <w:r>
            <w:rPr>
              <w:rStyle w:val="10"/>
              <w:rFonts w:ascii="Arial" w:hAnsi="Arial" w:eastAsia="宋体" w:cs="Arial"/>
              <w:u w:color="000000"/>
              <w:lang w:eastAsia="zh-CN"/>
            </w:rPr>
            <w:t>申办方</w:t>
          </w:r>
          <w:r>
            <w:rPr>
              <w:rStyle w:val="10"/>
              <w:rFonts w:ascii="Arial" w:hAnsi="Arial" w:eastAsia="宋体" w:cs="Arial"/>
              <w:u w:color="000000"/>
            </w:rPr>
            <w:t>/</w:t>
          </w:r>
          <w:r>
            <w:rPr>
              <w:rStyle w:val="10"/>
              <w:rFonts w:ascii="Arial" w:hAnsi="Arial" w:eastAsia="宋体" w:cs="Arial"/>
              <w:u w:color="000000"/>
              <w:lang w:eastAsia="zh-CN"/>
            </w:rPr>
            <w:t>器械标识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_Toc484177886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6B5E32D8">
          <w:pPr>
            <w:pStyle w:val="7"/>
            <w:tabs>
              <w:tab w:val="right" w:leader="dot" w:pos="9962"/>
            </w:tabs>
            <w:rPr>
              <w:rFonts w:ascii="Arial" w:hAnsi="Arial" w:eastAsia="宋体" w:cs="Arial"/>
              <w:kern w:val="2"/>
              <w:sz w:val="21"/>
              <w:szCs w:val="22"/>
              <w:lang w:eastAsia="zh-CN"/>
            </w:rPr>
          </w:pPr>
          <w:r>
            <w:fldChar w:fldCharType="begin"/>
          </w:r>
          <w:r>
            <w:instrText xml:space="preserve"> HYPERLINK \l "_Toc484177887" </w:instrText>
          </w:r>
          <w:r>
            <w:fldChar w:fldCharType="separate"/>
          </w:r>
          <w:r>
            <w:rPr>
              <w:rStyle w:val="10"/>
              <w:rFonts w:ascii="Arial" w:hAnsi="Arial" w:eastAsia="宋体" w:cs="Arial"/>
            </w:rPr>
            <w:t>3.</w:t>
          </w:r>
          <w:r>
            <w:rPr>
              <w:rFonts w:ascii="Arial" w:hAnsi="Arial" w:eastAsia="宋体" w:cs="Arial"/>
              <w:kern w:val="2"/>
              <w:sz w:val="21"/>
              <w:szCs w:val="22"/>
              <w:lang w:eastAsia="zh-CN"/>
            </w:rPr>
            <w:tab/>
          </w:r>
          <w:r>
            <w:rPr>
              <w:rStyle w:val="10"/>
              <w:rFonts w:ascii="Arial" w:hAnsi="Arial" w:eastAsia="宋体" w:cs="Arial"/>
              <w:lang w:eastAsia="zh-CN"/>
            </w:rPr>
            <w:t>分类</w:t>
          </w:r>
          <w:r>
            <w:rPr>
              <w:rStyle w:val="10"/>
              <w:rFonts w:ascii="Arial" w:hAnsi="Arial" w:eastAsia="宋体" w:cs="Arial"/>
            </w:rPr>
            <w:t>/</w:t>
          </w:r>
          <w:r>
            <w:rPr>
              <w:rStyle w:val="10"/>
              <w:rFonts w:ascii="Arial" w:hAnsi="Arial" w:eastAsia="宋体" w:cs="Arial"/>
              <w:lang w:eastAsia="zh-CN"/>
            </w:rPr>
            <w:t>产品代码</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_Toc484177887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17D18A79">
          <w:pPr>
            <w:pStyle w:val="7"/>
            <w:tabs>
              <w:tab w:val="right" w:leader="dot" w:pos="9962"/>
            </w:tabs>
            <w:rPr>
              <w:rFonts w:ascii="Arial" w:hAnsi="Arial" w:eastAsia="宋体" w:cs="Arial"/>
              <w:kern w:val="2"/>
              <w:sz w:val="21"/>
              <w:szCs w:val="22"/>
              <w:lang w:eastAsia="zh-CN"/>
            </w:rPr>
          </w:pPr>
          <w:r>
            <w:fldChar w:fldCharType="begin"/>
          </w:r>
          <w:r>
            <w:instrText xml:space="preserve"> HYPERLINK \l "_Toc484177888" </w:instrText>
          </w:r>
          <w:r>
            <w:fldChar w:fldCharType="separate"/>
          </w:r>
          <w:r>
            <w:rPr>
              <w:rStyle w:val="10"/>
              <w:rFonts w:ascii="Arial" w:hAnsi="Arial" w:eastAsia="宋体" w:cs="Arial"/>
            </w:rPr>
            <w:t>5.</w:t>
          </w:r>
          <w:r>
            <w:rPr>
              <w:rFonts w:ascii="Arial" w:hAnsi="Arial" w:eastAsia="宋体" w:cs="Arial"/>
              <w:kern w:val="2"/>
              <w:sz w:val="21"/>
              <w:szCs w:val="22"/>
              <w:lang w:eastAsia="zh-CN"/>
            </w:rPr>
            <w:tab/>
          </w:r>
          <w:r>
            <w:rPr>
              <w:rStyle w:val="10"/>
              <w:rFonts w:ascii="Arial" w:hAnsi="Arial" w:eastAsia="宋体" w:cs="Arial"/>
              <w:lang w:eastAsia="zh-CN"/>
            </w:rPr>
            <w:t>器械描述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_Toc484177888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5CB9FD20">
          <w:pPr>
            <w:pStyle w:val="7"/>
            <w:tabs>
              <w:tab w:val="right" w:leader="dot" w:pos="9962"/>
            </w:tabs>
            <w:rPr>
              <w:rFonts w:ascii="Arial" w:hAnsi="Arial" w:eastAsia="宋体" w:cs="Arial"/>
              <w:kern w:val="2"/>
              <w:sz w:val="21"/>
              <w:szCs w:val="22"/>
              <w:lang w:eastAsia="zh-CN"/>
            </w:rPr>
          </w:pPr>
          <w:r>
            <w:fldChar w:fldCharType="begin"/>
          </w:r>
          <w:r>
            <w:instrText xml:space="preserve"> HYPERLINK \l "_Toc484177889" </w:instrText>
          </w:r>
          <w:r>
            <w:fldChar w:fldCharType="separate"/>
          </w:r>
          <w:r>
            <w:rPr>
              <w:rStyle w:val="10"/>
              <w:rFonts w:ascii="Arial" w:hAnsi="Arial" w:eastAsia="宋体" w:cs="Arial"/>
            </w:rPr>
            <w:t>6.</w:t>
          </w:r>
          <w:r>
            <w:rPr>
              <w:rFonts w:ascii="Arial" w:hAnsi="Arial" w:eastAsia="宋体" w:cs="Arial"/>
              <w:kern w:val="2"/>
              <w:sz w:val="21"/>
              <w:szCs w:val="22"/>
              <w:lang w:eastAsia="zh-CN"/>
            </w:rPr>
            <w:tab/>
          </w:r>
          <w:r>
            <w:rPr>
              <w:rStyle w:val="10"/>
              <w:rFonts w:ascii="Arial" w:hAnsi="Arial" w:eastAsia="宋体" w:cs="Arial"/>
              <w:lang w:eastAsia="zh-CN"/>
            </w:rPr>
            <w:t>实质等同性声明</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_Toc484177889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6630A52A">
          <w:pPr>
            <w:pStyle w:val="7"/>
            <w:tabs>
              <w:tab w:val="right" w:leader="dot" w:pos="9962"/>
            </w:tabs>
            <w:rPr>
              <w:rFonts w:ascii="Arial" w:hAnsi="Arial" w:eastAsia="宋体" w:cs="Arial"/>
              <w:kern w:val="2"/>
              <w:sz w:val="21"/>
              <w:szCs w:val="22"/>
              <w:lang w:eastAsia="zh-CN"/>
            </w:rPr>
          </w:pPr>
          <w:r>
            <w:fldChar w:fldCharType="begin"/>
          </w:r>
          <w:r>
            <w:instrText xml:space="preserve"> HYPERLINK \l "_Toc484177890" </w:instrText>
          </w:r>
          <w:r>
            <w:fldChar w:fldCharType="separate"/>
          </w:r>
          <w:r>
            <w:rPr>
              <w:rStyle w:val="10"/>
              <w:rFonts w:ascii="Arial" w:hAnsi="Arial" w:eastAsia="宋体" w:cs="Arial"/>
            </w:rPr>
            <w:t>7.</w:t>
          </w:r>
          <w:r>
            <w:rPr>
              <w:rFonts w:ascii="Arial" w:hAnsi="Arial" w:eastAsia="宋体" w:cs="Arial"/>
              <w:kern w:val="2"/>
              <w:sz w:val="21"/>
              <w:szCs w:val="22"/>
              <w:lang w:eastAsia="zh-CN"/>
            </w:rPr>
            <w:tab/>
          </w:r>
          <w:r>
            <w:rPr>
              <w:rStyle w:val="10"/>
              <w:rFonts w:ascii="Arial" w:hAnsi="Arial" w:eastAsia="宋体" w:cs="Arial"/>
              <w:lang w:eastAsia="zh-CN"/>
            </w:rPr>
            <w:t>标准符合性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_Toc484177890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733D35B7">
          <w:pPr>
            <w:pStyle w:val="7"/>
            <w:tabs>
              <w:tab w:val="right" w:leader="dot" w:pos="9962"/>
            </w:tabs>
            <w:rPr>
              <w:rFonts w:ascii="Arial" w:hAnsi="Arial" w:eastAsia="宋体" w:cs="Arial"/>
              <w:kern w:val="2"/>
              <w:sz w:val="21"/>
              <w:szCs w:val="22"/>
              <w:lang w:eastAsia="zh-CN"/>
            </w:rPr>
          </w:pPr>
          <w:r>
            <w:fldChar w:fldCharType="begin"/>
          </w:r>
          <w:r>
            <w:instrText xml:space="preserve"> HYPERLINK \l "_Toc484177891" </w:instrText>
          </w:r>
          <w:r>
            <w:fldChar w:fldCharType="separate"/>
          </w:r>
          <w:r>
            <w:rPr>
              <w:rStyle w:val="10"/>
              <w:rFonts w:ascii="Arial" w:hAnsi="Arial" w:eastAsia="宋体" w:cs="Arial"/>
            </w:rPr>
            <w:t>8.</w:t>
          </w:r>
          <w:r>
            <w:rPr>
              <w:rFonts w:ascii="Arial" w:hAnsi="Arial" w:eastAsia="宋体" w:cs="Arial"/>
              <w:kern w:val="2"/>
              <w:sz w:val="21"/>
              <w:szCs w:val="22"/>
              <w:lang w:eastAsia="zh-CN"/>
            </w:rPr>
            <w:tab/>
          </w:r>
          <w:r>
            <w:rPr>
              <w:rStyle w:val="10"/>
              <w:rFonts w:ascii="Arial" w:hAnsi="Arial" w:eastAsia="宋体" w:cs="Arial"/>
              <w:lang w:eastAsia="zh-CN"/>
            </w:rPr>
            <w:t>性能试验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_Toc484177891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0E42982F">
          <w:pPr>
            <w:pStyle w:val="7"/>
            <w:tabs>
              <w:tab w:val="right" w:leader="dot" w:pos="9962"/>
            </w:tabs>
            <w:rPr>
              <w:rFonts w:ascii="Arial" w:hAnsi="Arial" w:eastAsia="宋体" w:cs="Arial"/>
              <w:kern w:val="2"/>
              <w:sz w:val="21"/>
              <w:szCs w:val="22"/>
              <w:lang w:eastAsia="zh-CN"/>
            </w:rPr>
          </w:pPr>
          <w:r>
            <w:fldChar w:fldCharType="begin"/>
          </w:r>
          <w:r>
            <w:instrText xml:space="preserve"> HYPERLINK \l "_Toc484177892" </w:instrText>
          </w:r>
          <w:r>
            <w:fldChar w:fldCharType="separate"/>
          </w:r>
          <w:r>
            <w:rPr>
              <w:rStyle w:val="10"/>
              <w:rFonts w:ascii="Arial" w:hAnsi="Arial" w:eastAsia="宋体" w:cs="Arial"/>
            </w:rPr>
            <w:t>9.</w:t>
          </w:r>
          <w:r>
            <w:rPr>
              <w:rFonts w:ascii="Arial" w:hAnsi="Arial" w:eastAsia="宋体" w:cs="Arial"/>
              <w:kern w:val="2"/>
              <w:sz w:val="21"/>
              <w:szCs w:val="22"/>
              <w:lang w:eastAsia="zh-CN"/>
            </w:rPr>
            <w:tab/>
          </w:r>
          <w:r>
            <w:rPr>
              <w:rStyle w:val="10"/>
              <w:rFonts w:ascii="Arial" w:hAnsi="Arial" w:eastAsia="宋体" w:cs="Arial"/>
              <w:lang w:eastAsia="zh-CN"/>
            </w:rPr>
            <w:t>标签</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_Toc484177892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2BD4E95D">
          <w:pPr>
            <w:pStyle w:val="7"/>
            <w:tabs>
              <w:tab w:val="right" w:leader="dot" w:pos="9962"/>
            </w:tabs>
            <w:rPr>
              <w:rFonts w:ascii="Arial" w:hAnsi="Arial" w:eastAsia="宋体" w:cs="Arial"/>
              <w:kern w:val="2"/>
              <w:sz w:val="21"/>
              <w:szCs w:val="22"/>
              <w:lang w:eastAsia="zh-CN"/>
            </w:rPr>
          </w:pPr>
          <w:r>
            <w:fldChar w:fldCharType="begin"/>
          </w:r>
          <w:r>
            <w:instrText xml:space="preserve"> HYPERLINK \l "_Toc484177893" </w:instrText>
          </w:r>
          <w:r>
            <w:fldChar w:fldCharType="separate"/>
          </w:r>
          <w:r>
            <w:rPr>
              <w:rStyle w:val="10"/>
              <w:rFonts w:ascii="Arial" w:hAnsi="Arial" w:eastAsia="宋体" w:cs="Arial"/>
            </w:rPr>
            <w:t>10.</w:t>
          </w:r>
          <w:r>
            <w:rPr>
              <w:rFonts w:ascii="Arial" w:hAnsi="Arial" w:eastAsia="宋体" w:cs="Arial"/>
              <w:kern w:val="2"/>
              <w:sz w:val="21"/>
              <w:szCs w:val="22"/>
              <w:lang w:eastAsia="zh-CN"/>
            </w:rPr>
            <w:tab/>
          </w:r>
          <w:r>
            <w:rPr>
              <w:rStyle w:val="10"/>
              <w:rFonts w:ascii="Arial" w:hAnsi="Arial" w:eastAsia="宋体" w:cs="Arial"/>
              <w:lang w:eastAsia="zh-CN"/>
            </w:rPr>
            <w:t>其他管理要求</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_Toc484177893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220967A8">
          <w:pPr>
            <w:pStyle w:val="7"/>
            <w:tabs>
              <w:tab w:val="right" w:leader="dot" w:pos="9962"/>
            </w:tabs>
            <w:rPr>
              <w:rFonts w:ascii="Arial" w:hAnsi="Arial" w:eastAsia="宋体" w:cs="Arial"/>
              <w:kern w:val="2"/>
              <w:sz w:val="21"/>
              <w:szCs w:val="22"/>
              <w:lang w:eastAsia="zh-CN"/>
            </w:rPr>
          </w:pPr>
          <w:r>
            <w:fldChar w:fldCharType="begin"/>
          </w:r>
          <w:r>
            <w:instrText xml:space="preserve"> HYPERLINK \l "_Toc484177894" </w:instrText>
          </w:r>
          <w:r>
            <w:fldChar w:fldCharType="separate"/>
          </w:r>
          <w:r>
            <w:rPr>
              <w:rStyle w:val="10"/>
              <w:rFonts w:ascii="Arial" w:hAnsi="Arial" w:eastAsia="宋体" w:cs="Arial"/>
            </w:rPr>
            <w:t>11.</w:t>
          </w:r>
          <w:r>
            <w:rPr>
              <w:rFonts w:ascii="Arial" w:hAnsi="Arial" w:eastAsia="宋体" w:cs="Arial"/>
              <w:kern w:val="2"/>
              <w:sz w:val="21"/>
              <w:szCs w:val="22"/>
              <w:lang w:eastAsia="zh-CN"/>
            </w:rPr>
            <w:tab/>
          </w:r>
          <w:r>
            <w:rPr>
              <w:rStyle w:val="10"/>
              <w:rFonts w:ascii="Arial" w:hAnsi="Arial" w:eastAsia="宋体" w:cs="Arial"/>
              <w:lang w:eastAsia="zh-CN"/>
            </w:rPr>
            <w:t>器械修改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_Toc484177894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0A1F7847">
          <w:r>
            <w:rPr>
              <w:rFonts w:ascii="Arial" w:hAnsi="Arial" w:eastAsia="宋体" w:cs="Arial"/>
              <w:b/>
              <w:bCs/>
              <w:lang w:val="zh-CN"/>
            </w:rPr>
            <w:fldChar w:fldCharType="end"/>
          </w:r>
        </w:p>
      </w:sdtContent>
    </w:sdt>
    <w:p w14:paraId="0B961CFA">
      <w:pPr>
        <w:snapToGrid w:val="0"/>
        <w:spacing w:line="300" w:lineRule="auto"/>
        <w:rPr>
          <w:rFonts w:ascii="Arial" w:hAnsi="Arial" w:eastAsia="宋体" w:cs="Arial"/>
          <w:b/>
          <w:bCs/>
          <w:sz w:val="20"/>
          <w:szCs w:val="20"/>
        </w:rPr>
      </w:pPr>
    </w:p>
    <w:p w14:paraId="78B66719">
      <w:pPr>
        <w:snapToGrid w:val="0"/>
        <w:spacing w:line="300" w:lineRule="auto"/>
        <w:rPr>
          <w:rFonts w:ascii="Arial" w:hAnsi="Arial" w:eastAsia="宋体" w:cs="Arial"/>
          <w:b/>
          <w:bCs/>
          <w:sz w:val="20"/>
          <w:szCs w:val="20"/>
        </w:rPr>
      </w:pPr>
    </w:p>
    <w:p w14:paraId="089E11DD">
      <w:pPr>
        <w:snapToGrid w:val="0"/>
        <w:spacing w:line="300" w:lineRule="auto"/>
        <w:rPr>
          <w:rFonts w:ascii="Arial" w:hAnsi="Arial" w:eastAsia="宋体" w:cs="Arial"/>
          <w:b/>
          <w:bCs/>
          <w:sz w:val="20"/>
          <w:szCs w:val="20"/>
        </w:rPr>
      </w:pPr>
    </w:p>
    <w:p w14:paraId="331FEE6D">
      <w:pPr>
        <w:snapToGrid w:val="0"/>
        <w:spacing w:line="300" w:lineRule="auto"/>
        <w:rPr>
          <w:rFonts w:ascii="Arial" w:hAnsi="Arial" w:eastAsia="宋体" w:cs="Arial"/>
          <w:b/>
          <w:bCs/>
          <w:sz w:val="20"/>
          <w:szCs w:val="20"/>
        </w:rPr>
      </w:pPr>
    </w:p>
    <w:p w14:paraId="6B0AACB4">
      <w:pPr>
        <w:snapToGrid w:val="0"/>
        <w:spacing w:line="300" w:lineRule="auto"/>
        <w:rPr>
          <w:rFonts w:ascii="Arial" w:hAnsi="Arial" w:eastAsia="宋体" w:cs="Arial"/>
          <w:b/>
          <w:bCs/>
          <w:sz w:val="20"/>
          <w:szCs w:val="20"/>
        </w:rPr>
      </w:pPr>
    </w:p>
    <w:p w14:paraId="13905ED1">
      <w:pPr>
        <w:snapToGrid w:val="0"/>
        <w:spacing w:line="300" w:lineRule="auto"/>
        <w:rPr>
          <w:rFonts w:ascii="Arial" w:hAnsi="Arial" w:eastAsia="宋体" w:cs="Arial"/>
          <w:b/>
          <w:bCs/>
          <w:sz w:val="20"/>
          <w:szCs w:val="20"/>
        </w:rPr>
      </w:pPr>
    </w:p>
    <w:p w14:paraId="24924148">
      <w:pPr>
        <w:snapToGrid w:val="0"/>
        <w:spacing w:line="300" w:lineRule="auto"/>
        <w:rPr>
          <w:rFonts w:ascii="Arial" w:hAnsi="Arial" w:eastAsia="宋体" w:cs="Arial"/>
          <w:b/>
          <w:bCs/>
          <w:sz w:val="20"/>
          <w:szCs w:val="20"/>
        </w:rPr>
      </w:pPr>
    </w:p>
    <w:p w14:paraId="18E24F7B">
      <w:pPr>
        <w:snapToGrid w:val="0"/>
        <w:spacing w:line="300" w:lineRule="auto"/>
        <w:rPr>
          <w:rFonts w:ascii="Arial" w:hAnsi="Arial" w:eastAsia="宋体" w:cs="Arial"/>
          <w:b/>
          <w:bCs/>
          <w:sz w:val="20"/>
          <w:szCs w:val="20"/>
        </w:rPr>
      </w:pPr>
    </w:p>
    <w:p w14:paraId="54BFCE95">
      <w:pPr>
        <w:snapToGrid w:val="0"/>
        <w:spacing w:line="300" w:lineRule="auto"/>
        <w:rPr>
          <w:rFonts w:ascii="Arial" w:hAnsi="Arial" w:eastAsia="宋体" w:cs="Arial"/>
        </w:rPr>
        <w:sectPr>
          <w:pgSz w:w="12240" w:h="15840"/>
          <w:pgMar w:top="1134" w:right="1134" w:bottom="1134" w:left="1134" w:header="720" w:footer="720" w:gutter="0"/>
          <w:cols w:space="720" w:num="1"/>
          <w:docGrid w:linePitch="299" w:charSpace="0"/>
        </w:sectPr>
      </w:pPr>
    </w:p>
    <w:p w14:paraId="5D65089D">
      <w:pPr>
        <w:pStyle w:val="2"/>
        <w:numPr>
          <w:ilvl w:val="0"/>
          <w:numId w:val="1"/>
        </w:numPr>
        <w:tabs>
          <w:tab w:val="left" w:pos="840"/>
        </w:tabs>
        <w:snapToGrid w:val="0"/>
        <w:spacing w:before="46" w:line="300" w:lineRule="auto"/>
        <w:rPr>
          <w:rFonts w:ascii="Arial" w:hAnsi="Arial" w:eastAsia="宋体" w:cs="Arial"/>
          <w:bCs w:val="0"/>
          <w:sz w:val="21"/>
          <w:szCs w:val="21"/>
          <w:u w:val="single"/>
        </w:rPr>
      </w:pPr>
      <w:bookmarkStart w:id="0" w:name="_Toc484177885"/>
      <w:r>
        <w:rPr>
          <w:rFonts w:ascii="Arial" w:hAnsi="Arial" w:eastAsia="宋体" w:cs="Arial"/>
          <w:bCs w:val="0"/>
          <w:sz w:val="21"/>
          <w:szCs w:val="21"/>
          <w:u w:val="single"/>
          <w:lang w:eastAsia="zh-CN"/>
        </w:rPr>
        <w:t>引言</w:t>
      </w:r>
      <w:bookmarkEnd w:id="0"/>
    </w:p>
    <w:p w14:paraId="08084AC0">
      <w:pPr>
        <w:pStyle w:val="12"/>
        <w:numPr>
          <w:ilvl w:val="1"/>
          <w:numId w:val="1"/>
        </w:numPr>
        <w:tabs>
          <w:tab w:val="left" w:pos="1560"/>
        </w:tabs>
        <w:snapToGrid w:val="0"/>
        <w:spacing w:before="285" w:line="300" w:lineRule="auto"/>
        <w:rPr>
          <w:rFonts w:ascii="Arial" w:hAnsi="Arial" w:eastAsia="宋体" w:cs="Arial"/>
          <w:sz w:val="21"/>
          <w:szCs w:val="21"/>
          <w:u w:val="single"/>
        </w:rPr>
      </w:pPr>
      <w:r>
        <w:rPr>
          <w:rFonts w:ascii="Arial" w:hAnsi="Arial" w:eastAsia="宋体" w:cs="Arial"/>
          <w:sz w:val="21"/>
          <w:szCs w:val="21"/>
          <w:u w:val="single"/>
          <w:lang w:eastAsia="zh-CN"/>
        </w:rPr>
        <w:t>背景</w:t>
      </w:r>
    </w:p>
    <w:p w14:paraId="412867D0">
      <w:pPr>
        <w:pStyle w:val="3"/>
        <w:snapToGrid w:val="0"/>
        <w:spacing w:before="290" w:line="300" w:lineRule="auto"/>
        <w:ind w:left="119"/>
        <w:jc w:val="both"/>
        <w:rPr>
          <w:rFonts w:ascii="Arial" w:hAnsi="Arial" w:eastAsia="宋体" w:cs="Arial"/>
          <w:sz w:val="21"/>
          <w:szCs w:val="21"/>
          <w:lang w:eastAsia="zh-CN"/>
        </w:rPr>
      </w:pPr>
      <w:r>
        <w:rPr>
          <w:rFonts w:ascii="Arial" w:hAnsi="Arial" w:eastAsia="宋体" w:cs="Arial"/>
          <w:sz w:val="21"/>
          <w:szCs w:val="21"/>
          <w:lang w:eastAsia="zh-CN"/>
        </w:rPr>
        <w:t>本指导性文件的目的是确定应在上市前通告（510（k））中提供给食品药品监督管理局（FDA）的信息，以支持腔内碎石机的实质等同性测定。</w:t>
      </w:r>
      <w:r>
        <w:rPr>
          <w:rFonts w:hint="eastAsia" w:ascii="Arial" w:hAnsi="Arial" w:eastAsia="宋体" w:cs="Arial"/>
          <w:i/>
          <w:sz w:val="21"/>
          <w:szCs w:val="21"/>
          <w:lang w:eastAsia="zh-CN"/>
        </w:rPr>
        <w:t>腔内</w:t>
      </w:r>
      <w:r>
        <w:rPr>
          <w:rFonts w:ascii="Arial" w:hAnsi="Arial" w:eastAsia="宋体" w:cs="Arial"/>
          <w:sz w:val="21"/>
          <w:szCs w:val="21"/>
          <w:lang w:eastAsia="zh-CN"/>
        </w:rPr>
        <w:t>碎石机是一种用于碎裂尿道（即肾、输尿管和膀胱）和胆道</w:t>
      </w:r>
      <w:bookmarkStart w:id="1" w:name="OLE_LINK10"/>
      <w:r>
        <w:rPr>
          <w:rFonts w:ascii="Arial" w:hAnsi="Arial" w:eastAsia="宋体" w:cs="Arial"/>
          <w:sz w:val="21"/>
          <w:szCs w:val="21"/>
          <w:lang w:eastAsia="zh-CN"/>
        </w:rPr>
        <w:t>结石</w:t>
      </w:r>
      <w:bookmarkEnd w:id="1"/>
      <w:r>
        <w:rPr>
          <w:rFonts w:ascii="Arial" w:hAnsi="Arial" w:eastAsia="宋体" w:cs="Arial"/>
          <w:sz w:val="21"/>
          <w:szCs w:val="21"/>
          <w:lang w:eastAsia="zh-CN"/>
        </w:rPr>
        <w:t>的器械。这些器械通过内窥镜或腹腔镜置于结石所处的位置。该器械类包括但不一定限于电动液压、气动和超声波碎石机。这些器械是本审查机构拟将其归类为II类的预修订III类器械。</w:t>
      </w:r>
    </w:p>
    <w:p w14:paraId="46237C04">
      <w:pPr>
        <w:pStyle w:val="12"/>
        <w:numPr>
          <w:ilvl w:val="1"/>
          <w:numId w:val="1"/>
        </w:numPr>
        <w:tabs>
          <w:tab w:val="left" w:pos="1560"/>
        </w:tabs>
        <w:snapToGrid w:val="0"/>
        <w:spacing w:before="282" w:line="300" w:lineRule="auto"/>
        <w:jc w:val="both"/>
        <w:rPr>
          <w:rFonts w:ascii="Arial" w:hAnsi="Arial" w:eastAsia="宋体" w:cs="Arial"/>
          <w:sz w:val="21"/>
          <w:szCs w:val="21"/>
          <w:u w:val="single"/>
        </w:rPr>
      </w:pPr>
      <w:r>
        <w:rPr>
          <w:rFonts w:ascii="Arial" w:hAnsi="Arial" w:eastAsia="宋体" w:cs="Arial"/>
          <w:sz w:val="21"/>
          <w:szCs w:val="21"/>
          <w:u w:val="single"/>
          <w:lang w:eastAsia="zh-CN"/>
        </w:rPr>
        <w:t>未涵盖的器械</w:t>
      </w:r>
    </w:p>
    <w:p w14:paraId="6199867A">
      <w:pPr>
        <w:pStyle w:val="3"/>
        <w:snapToGrid w:val="0"/>
        <w:spacing w:before="290" w:line="300" w:lineRule="auto"/>
        <w:ind w:left="120"/>
        <w:jc w:val="both"/>
        <w:rPr>
          <w:rFonts w:ascii="Arial" w:hAnsi="Arial" w:eastAsia="宋体" w:cs="Arial"/>
          <w:sz w:val="21"/>
          <w:szCs w:val="21"/>
          <w:lang w:eastAsia="zh-CN"/>
        </w:rPr>
      </w:pPr>
      <w:r>
        <w:rPr>
          <w:rFonts w:ascii="Arial" w:hAnsi="Arial" w:eastAsia="宋体" w:cs="Arial"/>
          <w:sz w:val="21"/>
          <w:szCs w:val="21"/>
          <w:lang w:eastAsia="zh-CN"/>
        </w:rPr>
        <w:t>本指导性文件并不涉及体外碎石机或力学碎石机。关于泌尿系统体外冲击波碎石机（SWL）监管建议的指南可参见题为《</w:t>
      </w:r>
      <w:r>
        <w:rPr>
          <w:rFonts w:ascii="Arial" w:hAnsi="Arial" w:eastAsia="宋体" w:cs="Arial"/>
          <w:color w:val="0000FF"/>
          <w:sz w:val="21"/>
          <w:szCs w:val="21"/>
          <w:lang w:eastAsia="zh-CN"/>
        </w:rPr>
        <w:t>适用于碎裂肾脏和输尿管结石的体外冲击波碎石机的上市前通告内容指南（510（k））</w:t>
      </w:r>
      <w:r>
        <w:rPr>
          <w:rFonts w:ascii="Arial" w:hAnsi="Arial" w:eastAsia="宋体" w:cs="Arial"/>
          <w:sz w:val="21"/>
          <w:szCs w:val="21"/>
          <w:lang w:eastAsia="zh-CN"/>
        </w:rPr>
        <w:t>》的文件。关于力学碎石机监管建议的指南可在题为《</w:t>
      </w:r>
      <w:r>
        <w:rPr>
          <w:rFonts w:ascii="Arial" w:hAnsi="Arial" w:eastAsia="宋体" w:cs="Arial"/>
          <w:color w:val="0000FF"/>
          <w:sz w:val="21"/>
          <w:szCs w:val="21"/>
          <w:lang w:eastAsia="zh-CN"/>
        </w:rPr>
        <w:t>用于胃肠病学和泌尿学的力学碎石机和结石收集器的510（k）清单</w:t>
      </w:r>
      <w:r>
        <w:rPr>
          <w:rFonts w:ascii="Arial" w:hAnsi="Arial" w:eastAsia="宋体" w:cs="Arial"/>
          <w:sz w:val="21"/>
          <w:szCs w:val="21"/>
          <w:lang w:eastAsia="zh-CN"/>
        </w:rPr>
        <w:t>》</w:t>
      </w:r>
      <w:r>
        <w:rPr>
          <w:rFonts w:ascii="Arial" w:hAnsi="Arial" w:eastAsia="宋体" w:cs="Arial"/>
          <w:color w:val="0000FF"/>
          <w:sz w:val="21"/>
          <w:szCs w:val="21"/>
          <w:lang w:eastAsia="zh-CN"/>
        </w:rPr>
        <w:t xml:space="preserve"> </w:t>
      </w:r>
      <w:r>
        <w:rPr>
          <w:rFonts w:ascii="Arial" w:hAnsi="Arial" w:eastAsia="宋体" w:cs="Arial"/>
          <w:sz w:val="21"/>
          <w:szCs w:val="21"/>
          <w:lang w:eastAsia="zh-CN"/>
        </w:rPr>
        <w:t>的文件中找到。</w:t>
      </w:r>
    </w:p>
    <w:p w14:paraId="0FA6A83D">
      <w:pPr>
        <w:pStyle w:val="3"/>
        <w:snapToGrid w:val="0"/>
        <w:spacing w:before="290" w:line="300" w:lineRule="auto"/>
        <w:ind w:left="120"/>
        <w:jc w:val="both"/>
        <w:rPr>
          <w:rFonts w:ascii="Arial" w:hAnsi="Arial" w:eastAsia="宋体" w:cs="Arial"/>
          <w:sz w:val="21"/>
          <w:szCs w:val="21"/>
          <w:lang w:eastAsia="zh-CN"/>
        </w:rPr>
      </w:pPr>
    </w:p>
    <w:p w14:paraId="361EF5CC">
      <w:pPr>
        <w:pStyle w:val="12"/>
        <w:numPr>
          <w:ilvl w:val="1"/>
          <w:numId w:val="1"/>
        </w:numPr>
        <w:tabs>
          <w:tab w:val="left" w:pos="1560"/>
        </w:tabs>
        <w:snapToGrid w:val="0"/>
        <w:spacing w:before="282" w:line="300" w:lineRule="auto"/>
        <w:jc w:val="both"/>
        <w:rPr>
          <w:rFonts w:ascii="Arial" w:hAnsi="Arial" w:eastAsia="宋体" w:cs="Arial"/>
          <w:sz w:val="21"/>
          <w:szCs w:val="21"/>
          <w:u w:val="single"/>
          <w:lang w:eastAsia="zh-CN"/>
        </w:rPr>
      </w:pPr>
      <w:r>
        <w:rPr>
          <w:rFonts w:ascii="Arial" w:hAnsi="Arial" w:eastAsia="宋体" w:cs="Arial"/>
          <w:sz w:val="21"/>
          <w:szCs w:val="21"/>
          <w:u w:val="single"/>
          <w:lang w:eastAsia="zh-CN"/>
        </w:rPr>
        <w:t>其他信息来源</w:t>
      </w:r>
    </w:p>
    <w:p w14:paraId="5CC8750A">
      <w:pPr>
        <w:snapToGrid w:val="0"/>
        <w:spacing w:before="3" w:line="300" w:lineRule="auto"/>
        <w:jc w:val="both"/>
        <w:rPr>
          <w:rFonts w:ascii="Arial" w:hAnsi="Arial" w:eastAsia="宋体" w:cs="Arial"/>
          <w:sz w:val="21"/>
          <w:szCs w:val="21"/>
        </w:rPr>
      </w:pPr>
    </w:p>
    <w:p w14:paraId="5A88E7DE">
      <w:pPr>
        <w:pStyle w:val="3"/>
        <w:snapToGrid w:val="0"/>
        <w:spacing w:line="300" w:lineRule="auto"/>
        <w:ind w:left="120"/>
        <w:jc w:val="both"/>
        <w:rPr>
          <w:rFonts w:ascii="Arial" w:hAnsi="Arial" w:eastAsia="宋体" w:cs="Arial"/>
          <w:sz w:val="21"/>
          <w:szCs w:val="21"/>
        </w:rPr>
      </w:pPr>
      <w:r>
        <w:rPr>
          <w:rFonts w:ascii="Arial" w:hAnsi="Arial" w:eastAsia="宋体" w:cs="Arial"/>
          <w:sz w:val="21"/>
          <w:szCs w:val="21"/>
          <w:lang w:eastAsia="zh-CN"/>
        </w:rPr>
        <w:t>有关510（k）所需信息的一般指南可致电：（800）638-2041或（301）443-6597，或网络地址（</w:t>
      </w:r>
      <w:r>
        <w:rPr>
          <w:rFonts w:ascii="Arial" w:hAnsi="Arial" w:eastAsia="宋体" w:cs="Arial"/>
          <w:i/>
          <w:sz w:val="21"/>
          <w:szCs w:val="21"/>
          <w:lang w:eastAsia="zh-CN"/>
        </w:rPr>
        <w:t>http：//www.fda.gov/cdrh/dsma/dsmamain.html#contents</w:t>
      </w:r>
      <w:r>
        <w:rPr>
          <w:rFonts w:ascii="Arial" w:hAnsi="Arial" w:eastAsia="宋体" w:cs="Arial"/>
          <w:sz w:val="21"/>
          <w:szCs w:val="21"/>
          <w:lang w:eastAsia="zh-CN"/>
        </w:rPr>
        <w:t>）从器械与放射健康中心的小型制造商协助司（DSMA）获得。</w:t>
      </w:r>
    </w:p>
    <w:p w14:paraId="35A32ADC">
      <w:pPr>
        <w:snapToGrid w:val="0"/>
        <w:spacing w:before="6" w:line="300" w:lineRule="auto"/>
        <w:jc w:val="both"/>
        <w:rPr>
          <w:rFonts w:ascii="Arial" w:hAnsi="Arial" w:eastAsia="宋体" w:cs="Arial"/>
          <w:sz w:val="21"/>
          <w:szCs w:val="21"/>
        </w:rPr>
      </w:pPr>
    </w:p>
    <w:p w14:paraId="4FB00A3F">
      <w:pPr>
        <w:pStyle w:val="3"/>
        <w:snapToGrid w:val="0"/>
        <w:spacing w:line="300" w:lineRule="auto"/>
        <w:ind w:left="120"/>
        <w:jc w:val="both"/>
        <w:rPr>
          <w:rFonts w:ascii="Arial" w:hAnsi="Arial" w:eastAsia="宋体" w:cs="Arial"/>
          <w:sz w:val="21"/>
          <w:szCs w:val="21"/>
          <w:lang w:eastAsia="zh-CN"/>
        </w:rPr>
      </w:pPr>
      <w:r>
        <w:rPr>
          <w:rFonts w:ascii="Arial" w:hAnsi="Arial" w:eastAsia="宋体" w:cs="Arial"/>
          <w:sz w:val="21"/>
          <w:szCs w:val="21"/>
          <w:lang w:eastAsia="zh-CN"/>
        </w:rPr>
        <w:t>有关更多信息，请联系DSMA或：</w:t>
      </w:r>
    </w:p>
    <w:p w14:paraId="2F85E1F0">
      <w:pPr>
        <w:snapToGrid w:val="0"/>
        <w:spacing w:before="3" w:line="300" w:lineRule="auto"/>
        <w:jc w:val="both"/>
        <w:rPr>
          <w:rFonts w:ascii="Arial" w:hAnsi="Arial" w:eastAsia="宋体" w:cs="Arial"/>
          <w:sz w:val="21"/>
          <w:szCs w:val="21"/>
          <w:lang w:eastAsia="zh-CN"/>
        </w:rPr>
      </w:pPr>
    </w:p>
    <w:p w14:paraId="4F073D4F">
      <w:pPr>
        <w:pStyle w:val="3"/>
        <w:snapToGrid w:val="0"/>
        <w:spacing w:line="300" w:lineRule="auto"/>
        <w:ind w:left="1560"/>
        <w:jc w:val="both"/>
        <w:rPr>
          <w:rFonts w:ascii="Arial" w:hAnsi="Arial" w:eastAsia="宋体" w:cs="Arial"/>
          <w:spacing w:val="-2"/>
          <w:sz w:val="21"/>
          <w:szCs w:val="21"/>
        </w:rPr>
      </w:pPr>
      <w:r>
        <w:rPr>
          <w:rFonts w:ascii="Arial" w:hAnsi="Arial" w:eastAsia="宋体" w:cs="Arial"/>
          <w:sz w:val="21"/>
          <w:szCs w:val="21"/>
          <w:lang w:eastAsia="zh-CN"/>
        </w:rPr>
        <w:t>泌尿和碎石器械科</w:t>
      </w:r>
      <w:r>
        <w:rPr>
          <w:rFonts w:ascii="Arial" w:hAnsi="Arial" w:eastAsia="宋体" w:cs="Arial"/>
          <w:spacing w:val="-11"/>
          <w:sz w:val="21"/>
          <w:szCs w:val="21"/>
        </w:rPr>
        <w:t xml:space="preserve"> </w:t>
      </w:r>
      <w:r>
        <w:rPr>
          <w:rFonts w:ascii="Arial" w:hAnsi="Arial" w:eastAsia="宋体" w:cs="Arial"/>
          <w:spacing w:val="-2"/>
          <w:sz w:val="21"/>
          <w:szCs w:val="21"/>
        </w:rPr>
        <w:t>(ULDB)</w:t>
      </w:r>
    </w:p>
    <w:p w14:paraId="3E397FDE">
      <w:pPr>
        <w:pStyle w:val="3"/>
        <w:snapToGrid w:val="0"/>
        <w:spacing w:line="300" w:lineRule="auto"/>
        <w:ind w:left="1560"/>
        <w:jc w:val="both"/>
        <w:rPr>
          <w:rFonts w:ascii="Arial" w:hAnsi="Arial" w:eastAsia="宋体" w:cs="Arial"/>
          <w:sz w:val="21"/>
          <w:szCs w:val="21"/>
          <w:lang w:eastAsia="zh-CN"/>
        </w:rPr>
      </w:pPr>
      <w:r>
        <w:rPr>
          <w:rFonts w:ascii="Arial" w:hAnsi="Arial" w:eastAsia="宋体" w:cs="Arial"/>
          <w:sz w:val="21"/>
          <w:szCs w:val="21"/>
          <w:lang w:eastAsia="zh-CN"/>
        </w:rPr>
        <w:t>生殖、腹部、耳鼻喉以及放射器械司</w:t>
      </w:r>
    </w:p>
    <w:p w14:paraId="32F8F6C2">
      <w:pPr>
        <w:pStyle w:val="3"/>
        <w:snapToGrid w:val="0"/>
        <w:spacing w:line="300" w:lineRule="auto"/>
        <w:ind w:left="1560"/>
        <w:jc w:val="both"/>
        <w:rPr>
          <w:rFonts w:ascii="Arial" w:hAnsi="Arial" w:eastAsia="宋体" w:cs="Arial"/>
          <w:sz w:val="21"/>
          <w:szCs w:val="21"/>
          <w:lang w:eastAsia="zh-CN"/>
        </w:rPr>
      </w:pPr>
      <w:r>
        <w:rPr>
          <w:rFonts w:ascii="Arial" w:hAnsi="Arial" w:eastAsia="宋体" w:cs="Arial"/>
          <w:sz w:val="21"/>
          <w:szCs w:val="21"/>
          <w:lang w:eastAsia="zh-CN"/>
        </w:rPr>
        <w:t>器械与放射健康中心</w:t>
      </w:r>
    </w:p>
    <w:p w14:paraId="3EEB2CA8">
      <w:pPr>
        <w:pStyle w:val="3"/>
        <w:snapToGrid w:val="0"/>
        <w:spacing w:line="300" w:lineRule="auto"/>
        <w:ind w:left="1560"/>
        <w:jc w:val="both"/>
        <w:rPr>
          <w:rFonts w:ascii="Arial" w:hAnsi="Arial" w:eastAsia="宋体" w:cs="Arial"/>
          <w:sz w:val="21"/>
          <w:szCs w:val="21"/>
        </w:rPr>
      </w:pPr>
      <w:r>
        <w:rPr>
          <w:rFonts w:ascii="Arial" w:hAnsi="Arial" w:eastAsia="宋体" w:cs="Arial"/>
          <w:sz w:val="21"/>
          <w:szCs w:val="21"/>
        </w:rPr>
        <w:t>9200 Corporate Boulevard</w:t>
      </w:r>
      <w:r>
        <w:rPr>
          <w:rFonts w:ascii="Arial" w:hAnsi="Arial" w:eastAsia="宋体" w:cs="Arial"/>
          <w:spacing w:val="5"/>
          <w:sz w:val="21"/>
          <w:szCs w:val="21"/>
        </w:rPr>
        <w:t xml:space="preserve"> </w:t>
      </w:r>
      <w:r>
        <w:rPr>
          <w:rFonts w:ascii="Arial" w:hAnsi="Arial" w:eastAsia="宋体" w:cs="Arial"/>
          <w:sz w:val="21"/>
          <w:szCs w:val="21"/>
        </w:rPr>
        <w:t>(HFZ-470)</w:t>
      </w:r>
    </w:p>
    <w:p w14:paraId="5F1D0E08">
      <w:pPr>
        <w:pStyle w:val="3"/>
        <w:snapToGrid w:val="0"/>
        <w:spacing w:line="300" w:lineRule="auto"/>
        <w:ind w:left="1560"/>
        <w:jc w:val="both"/>
        <w:rPr>
          <w:rFonts w:ascii="Arial" w:hAnsi="Arial" w:eastAsia="宋体" w:cs="Arial"/>
          <w:sz w:val="21"/>
          <w:szCs w:val="21"/>
        </w:rPr>
      </w:pPr>
      <w:r>
        <w:rPr>
          <w:rFonts w:ascii="Arial" w:hAnsi="Arial" w:eastAsia="宋体" w:cs="Arial"/>
          <w:spacing w:val="-3"/>
          <w:sz w:val="21"/>
          <w:szCs w:val="21"/>
        </w:rPr>
        <w:t xml:space="preserve">Rockville, </w:t>
      </w:r>
      <w:r>
        <w:rPr>
          <w:rFonts w:ascii="Arial" w:hAnsi="Arial" w:eastAsia="宋体" w:cs="Arial"/>
          <w:sz w:val="21"/>
          <w:szCs w:val="21"/>
        </w:rPr>
        <w:t>Maryland</w:t>
      </w:r>
      <w:r>
        <w:rPr>
          <w:rFonts w:ascii="Arial" w:hAnsi="Arial" w:eastAsia="宋体" w:cs="Arial"/>
          <w:spacing w:val="43"/>
          <w:sz w:val="21"/>
          <w:szCs w:val="21"/>
        </w:rPr>
        <w:t xml:space="preserve"> </w:t>
      </w:r>
      <w:r>
        <w:rPr>
          <w:rFonts w:ascii="Arial" w:hAnsi="Arial" w:eastAsia="宋体" w:cs="Arial"/>
          <w:sz w:val="21"/>
          <w:szCs w:val="21"/>
        </w:rPr>
        <w:t>20850</w:t>
      </w:r>
    </w:p>
    <w:p w14:paraId="78B04369">
      <w:pPr>
        <w:pStyle w:val="3"/>
        <w:snapToGrid w:val="0"/>
        <w:spacing w:before="7" w:line="300" w:lineRule="auto"/>
        <w:ind w:left="1560"/>
        <w:jc w:val="both"/>
        <w:rPr>
          <w:rFonts w:ascii="Arial" w:hAnsi="Arial" w:eastAsia="宋体" w:cs="Arial"/>
          <w:sz w:val="21"/>
          <w:szCs w:val="21"/>
        </w:rPr>
      </w:pPr>
      <w:r>
        <w:rPr>
          <w:rFonts w:ascii="Arial" w:hAnsi="Arial" w:eastAsia="宋体" w:cs="Arial"/>
          <w:sz w:val="21"/>
          <w:szCs w:val="21"/>
        </w:rPr>
        <w:t>(301) 594-2194</w:t>
      </w:r>
      <w:r>
        <w:rPr>
          <w:rFonts w:ascii="Arial" w:hAnsi="Arial" w:eastAsia="宋体" w:cs="Arial"/>
          <w:spacing w:val="53"/>
          <w:sz w:val="21"/>
          <w:szCs w:val="21"/>
        </w:rPr>
        <w:t xml:space="preserve"> </w:t>
      </w:r>
      <w:r>
        <w:rPr>
          <w:rFonts w:ascii="Arial" w:hAnsi="Arial" w:eastAsia="宋体" w:cs="Arial"/>
          <w:sz w:val="21"/>
          <w:szCs w:val="21"/>
        </w:rPr>
        <w:t>(</w:t>
      </w:r>
      <w:r>
        <w:rPr>
          <w:rFonts w:ascii="Arial" w:hAnsi="Arial" w:eastAsia="宋体" w:cs="Arial"/>
          <w:sz w:val="21"/>
          <w:szCs w:val="21"/>
          <w:lang w:eastAsia="zh-CN"/>
        </w:rPr>
        <w:t>电话</w:t>
      </w:r>
      <w:r>
        <w:rPr>
          <w:rFonts w:ascii="Arial" w:hAnsi="Arial" w:eastAsia="宋体" w:cs="Arial"/>
          <w:sz w:val="21"/>
          <w:szCs w:val="21"/>
        </w:rPr>
        <w:t>)</w:t>
      </w:r>
    </w:p>
    <w:p w14:paraId="1D1712AD">
      <w:pPr>
        <w:pStyle w:val="3"/>
        <w:snapToGrid w:val="0"/>
        <w:spacing w:before="7" w:line="300" w:lineRule="auto"/>
        <w:ind w:left="1560"/>
        <w:jc w:val="both"/>
        <w:rPr>
          <w:rFonts w:ascii="Arial" w:hAnsi="Arial" w:eastAsia="宋体" w:cs="Arial"/>
          <w:sz w:val="21"/>
          <w:szCs w:val="21"/>
        </w:rPr>
      </w:pPr>
      <w:r>
        <w:rPr>
          <w:rFonts w:ascii="Arial" w:hAnsi="Arial" w:eastAsia="宋体" w:cs="Arial"/>
          <w:sz w:val="21"/>
          <w:szCs w:val="21"/>
        </w:rPr>
        <w:t>(301) 594-2339</w:t>
      </w:r>
      <w:r>
        <w:rPr>
          <w:rFonts w:ascii="Arial" w:hAnsi="Arial" w:eastAsia="宋体" w:cs="Arial"/>
          <w:spacing w:val="50"/>
          <w:sz w:val="21"/>
          <w:szCs w:val="21"/>
        </w:rPr>
        <w:t xml:space="preserve"> </w:t>
      </w:r>
      <w:r>
        <w:rPr>
          <w:rFonts w:ascii="Arial" w:hAnsi="Arial" w:eastAsia="宋体" w:cs="Arial"/>
          <w:sz w:val="21"/>
          <w:szCs w:val="21"/>
        </w:rPr>
        <w:t>(</w:t>
      </w:r>
      <w:r>
        <w:rPr>
          <w:rFonts w:ascii="Arial" w:hAnsi="Arial" w:eastAsia="宋体" w:cs="Arial"/>
          <w:sz w:val="21"/>
          <w:szCs w:val="21"/>
          <w:lang w:eastAsia="zh-CN"/>
        </w:rPr>
        <w:t>传真</w:t>
      </w:r>
      <w:r>
        <w:rPr>
          <w:rFonts w:ascii="Arial" w:hAnsi="Arial" w:eastAsia="宋体" w:cs="Arial"/>
          <w:sz w:val="21"/>
          <w:szCs w:val="21"/>
        </w:rPr>
        <w:t>)</w:t>
      </w:r>
    </w:p>
    <w:p w14:paraId="0A8E00DE">
      <w:pPr>
        <w:snapToGrid w:val="0"/>
        <w:spacing w:line="300" w:lineRule="auto"/>
        <w:jc w:val="both"/>
        <w:rPr>
          <w:rFonts w:ascii="Arial" w:hAnsi="Arial" w:eastAsia="宋体" w:cs="Arial"/>
          <w:sz w:val="21"/>
          <w:szCs w:val="21"/>
          <w:lang w:eastAsia="zh-CN"/>
        </w:rPr>
        <w:sectPr>
          <w:footerReference r:id="rId3" w:type="default"/>
          <w:pgSz w:w="12240" w:h="15840"/>
          <w:pgMar w:top="1134" w:right="1134" w:bottom="1134" w:left="1134" w:header="0" w:footer="750" w:gutter="0"/>
          <w:pgNumType w:start="1"/>
          <w:cols w:space="720" w:num="1"/>
          <w:docGrid w:linePitch="299" w:charSpace="0"/>
        </w:sectPr>
      </w:pPr>
    </w:p>
    <w:p w14:paraId="022E797B">
      <w:pPr>
        <w:pStyle w:val="2"/>
        <w:numPr>
          <w:ilvl w:val="0"/>
          <w:numId w:val="1"/>
        </w:numPr>
        <w:tabs>
          <w:tab w:val="left" w:pos="820"/>
        </w:tabs>
        <w:snapToGrid w:val="0"/>
        <w:spacing w:before="46" w:line="300" w:lineRule="auto"/>
        <w:ind w:left="820"/>
        <w:jc w:val="both"/>
        <w:rPr>
          <w:rFonts w:ascii="Arial" w:hAnsi="Arial" w:eastAsia="宋体" w:cs="Arial"/>
          <w:b w:val="0"/>
          <w:bCs w:val="0"/>
          <w:sz w:val="21"/>
          <w:szCs w:val="21"/>
        </w:rPr>
      </w:pPr>
      <w:bookmarkStart w:id="2" w:name="_TOC_250008"/>
      <w:bookmarkStart w:id="3" w:name="_Toc484177886"/>
      <w:r>
        <w:rPr>
          <w:rFonts w:ascii="Arial" w:hAnsi="Arial" w:eastAsia="宋体" w:cs="Arial"/>
          <w:sz w:val="21"/>
          <w:szCs w:val="21"/>
          <w:u w:val="thick" w:color="000000"/>
          <w:lang w:eastAsia="zh-CN"/>
        </w:rPr>
        <w:t>申办方</w:t>
      </w:r>
      <w:r>
        <w:rPr>
          <w:rFonts w:ascii="Arial" w:hAnsi="Arial" w:eastAsia="宋体" w:cs="Arial"/>
          <w:sz w:val="21"/>
          <w:szCs w:val="21"/>
          <w:u w:val="thick" w:color="000000"/>
        </w:rPr>
        <w:t>/</w:t>
      </w:r>
      <w:bookmarkEnd w:id="2"/>
      <w:r>
        <w:rPr>
          <w:rFonts w:ascii="Arial" w:hAnsi="Arial" w:eastAsia="宋体" w:cs="Arial"/>
          <w:sz w:val="21"/>
          <w:szCs w:val="21"/>
          <w:u w:val="thick" w:color="000000"/>
          <w:lang w:eastAsia="zh-CN"/>
        </w:rPr>
        <w:t>器械标识</w:t>
      </w:r>
      <w:bookmarkEnd w:id="3"/>
    </w:p>
    <w:p w14:paraId="4BF7264B">
      <w:pPr>
        <w:snapToGrid w:val="0"/>
        <w:spacing w:before="10" w:line="300" w:lineRule="auto"/>
        <w:jc w:val="both"/>
        <w:rPr>
          <w:rFonts w:ascii="Arial" w:hAnsi="Arial" w:eastAsia="宋体" w:cs="Arial"/>
          <w:b/>
          <w:bCs/>
          <w:sz w:val="21"/>
          <w:szCs w:val="21"/>
        </w:rPr>
      </w:pPr>
    </w:p>
    <w:p w14:paraId="0D8534C2">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FDA法规（21 CFR 807.87）规定了每个510（k）提交材料中必须提供的信息。此类信息包括：</w:t>
      </w:r>
    </w:p>
    <w:p w14:paraId="7F15A5FB">
      <w:pPr>
        <w:snapToGrid w:val="0"/>
        <w:spacing w:before="6" w:line="300" w:lineRule="auto"/>
        <w:jc w:val="both"/>
        <w:rPr>
          <w:rFonts w:ascii="Arial" w:hAnsi="Arial" w:eastAsia="宋体" w:cs="Arial"/>
          <w:sz w:val="21"/>
          <w:szCs w:val="21"/>
          <w:lang w:eastAsia="zh-CN"/>
        </w:rPr>
      </w:pPr>
    </w:p>
    <w:p w14:paraId="7C8D78A7">
      <w:pPr>
        <w:pStyle w:val="12"/>
        <w:numPr>
          <w:ilvl w:val="1"/>
          <w:numId w:val="1"/>
        </w:numPr>
        <w:tabs>
          <w:tab w:val="left" w:pos="1540"/>
        </w:tabs>
        <w:snapToGrid w:val="0"/>
        <w:spacing w:line="300" w:lineRule="auto"/>
        <w:ind w:left="1540"/>
        <w:jc w:val="both"/>
        <w:rPr>
          <w:rFonts w:ascii="Arial" w:hAnsi="Arial" w:eastAsia="宋体" w:cs="Arial"/>
          <w:sz w:val="21"/>
          <w:szCs w:val="21"/>
        </w:rPr>
      </w:pPr>
      <w:r>
        <w:rPr>
          <w:rFonts w:ascii="Arial" w:hAnsi="Arial" w:eastAsia="宋体" w:cs="Arial"/>
          <w:sz w:val="21"/>
          <w:szCs w:val="21"/>
          <w:u w:val="single" w:color="000000"/>
        </w:rPr>
        <w:t>申办方/制造商信息</w:t>
      </w:r>
    </w:p>
    <w:p w14:paraId="5A5AA337">
      <w:pPr>
        <w:snapToGrid w:val="0"/>
        <w:spacing w:before="3" w:line="300" w:lineRule="auto"/>
        <w:jc w:val="both"/>
        <w:rPr>
          <w:rFonts w:ascii="Arial" w:hAnsi="Arial" w:eastAsia="宋体" w:cs="Arial"/>
          <w:sz w:val="21"/>
          <w:szCs w:val="21"/>
        </w:rPr>
      </w:pPr>
    </w:p>
    <w:p w14:paraId="3C383BFB">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510（k）申请的申办方以及（如果与申办方不同）器械制造商的名称、联系人、地址、电话号码和（如适用）传真号码。</w:t>
      </w:r>
    </w:p>
    <w:p w14:paraId="0D9DCA7F">
      <w:pPr>
        <w:snapToGrid w:val="0"/>
        <w:spacing w:before="6" w:line="300" w:lineRule="auto"/>
        <w:jc w:val="both"/>
        <w:rPr>
          <w:rFonts w:ascii="Arial" w:hAnsi="Arial" w:eastAsia="宋体" w:cs="Arial"/>
          <w:sz w:val="21"/>
          <w:szCs w:val="21"/>
          <w:lang w:eastAsia="zh-CN"/>
        </w:rPr>
      </w:pPr>
    </w:p>
    <w:p w14:paraId="796E239B">
      <w:pPr>
        <w:pStyle w:val="12"/>
        <w:numPr>
          <w:ilvl w:val="1"/>
          <w:numId w:val="1"/>
        </w:numPr>
        <w:tabs>
          <w:tab w:val="left" w:pos="1540"/>
        </w:tabs>
        <w:snapToGrid w:val="0"/>
        <w:spacing w:line="300" w:lineRule="auto"/>
        <w:ind w:left="1540"/>
        <w:jc w:val="both"/>
        <w:rPr>
          <w:rFonts w:ascii="Arial" w:hAnsi="Arial" w:eastAsia="宋体" w:cs="Arial"/>
          <w:sz w:val="21"/>
          <w:szCs w:val="21"/>
          <w:u w:val="single"/>
        </w:rPr>
      </w:pPr>
      <w:r>
        <w:rPr>
          <w:rFonts w:ascii="Arial" w:hAnsi="Arial" w:eastAsia="宋体" w:cs="Arial"/>
          <w:sz w:val="21"/>
          <w:szCs w:val="21"/>
          <w:u w:val="single"/>
          <w:lang w:eastAsia="zh-CN"/>
        </w:rPr>
        <w:t>拟定器械</w:t>
      </w:r>
    </w:p>
    <w:p w14:paraId="1158D75D">
      <w:pPr>
        <w:snapToGrid w:val="0"/>
        <w:spacing w:before="3" w:line="300" w:lineRule="auto"/>
        <w:jc w:val="both"/>
        <w:rPr>
          <w:rFonts w:ascii="Arial" w:hAnsi="Arial" w:eastAsia="宋体" w:cs="Arial"/>
          <w:sz w:val="21"/>
          <w:szCs w:val="21"/>
        </w:rPr>
      </w:pPr>
    </w:p>
    <w:p w14:paraId="72D9B0F8">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拟定用于上市的器械的商标名或专有名称以及通用器械名称，即电动液压、气动和超声波碎石机。</w:t>
      </w:r>
    </w:p>
    <w:p w14:paraId="24670F82">
      <w:pPr>
        <w:snapToGrid w:val="0"/>
        <w:spacing w:before="6" w:line="300" w:lineRule="auto"/>
        <w:jc w:val="both"/>
        <w:rPr>
          <w:rFonts w:ascii="Arial" w:hAnsi="Arial" w:eastAsia="宋体" w:cs="Arial"/>
          <w:sz w:val="21"/>
          <w:szCs w:val="21"/>
          <w:lang w:eastAsia="zh-CN"/>
        </w:rPr>
      </w:pPr>
    </w:p>
    <w:p w14:paraId="3A14C82D">
      <w:pPr>
        <w:pStyle w:val="12"/>
        <w:numPr>
          <w:ilvl w:val="1"/>
          <w:numId w:val="1"/>
        </w:numPr>
        <w:tabs>
          <w:tab w:val="left" w:pos="1540"/>
        </w:tabs>
        <w:snapToGrid w:val="0"/>
        <w:spacing w:line="300" w:lineRule="auto"/>
        <w:ind w:left="1540"/>
        <w:jc w:val="both"/>
        <w:rPr>
          <w:rFonts w:ascii="Arial" w:hAnsi="Arial" w:eastAsia="宋体" w:cs="Arial"/>
          <w:sz w:val="21"/>
          <w:szCs w:val="21"/>
          <w:u w:val="single"/>
        </w:rPr>
      </w:pPr>
      <w:r>
        <w:rPr>
          <w:rFonts w:ascii="Arial" w:hAnsi="Arial" w:eastAsia="宋体" w:cs="Arial"/>
          <w:sz w:val="21"/>
          <w:szCs w:val="21"/>
          <w:u w:val="single"/>
          <w:lang w:eastAsia="zh-CN"/>
        </w:rPr>
        <w:t>比较器械</w:t>
      </w:r>
    </w:p>
    <w:p w14:paraId="4A503446">
      <w:pPr>
        <w:snapToGrid w:val="0"/>
        <w:spacing w:before="3" w:line="300" w:lineRule="auto"/>
        <w:jc w:val="both"/>
        <w:rPr>
          <w:rFonts w:ascii="Arial" w:hAnsi="Arial" w:eastAsia="宋体" w:cs="Arial"/>
          <w:sz w:val="21"/>
          <w:szCs w:val="21"/>
        </w:rPr>
      </w:pPr>
    </w:p>
    <w:p w14:paraId="11463E27">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与合法上市器械相比的比较器械。为了尽可能具体，510（k）应包括以下信息来确定每个比较器械，并支持实质等同性声明：</w:t>
      </w:r>
    </w:p>
    <w:p w14:paraId="444E9DF2">
      <w:pPr>
        <w:snapToGrid w:val="0"/>
        <w:spacing w:before="4" w:line="300" w:lineRule="auto"/>
        <w:jc w:val="both"/>
        <w:rPr>
          <w:rFonts w:ascii="Arial" w:hAnsi="Arial" w:eastAsia="宋体" w:cs="Arial"/>
          <w:sz w:val="21"/>
          <w:szCs w:val="21"/>
          <w:lang w:eastAsia="zh-CN"/>
        </w:rPr>
      </w:pPr>
    </w:p>
    <w:p w14:paraId="4C53D220">
      <w:pPr>
        <w:pStyle w:val="12"/>
        <w:numPr>
          <w:ilvl w:val="0"/>
          <w:numId w:val="2"/>
        </w:numPr>
        <w:tabs>
          <w:tab w:val="left" w:pos="460"/>
        </w:tabs>
        <w:snapToGrid w:val="0"/>
        <w:spacing w:before="3" w:line="300" w:lineRule="auto"/>
        <w:jc w:val="both"/>
        <w:rPr>
          <w:rFonts w:ascii="Arial" w:hAnsi="Arial" w:eastAsia="宋体" w:cs="Arial"/>
          <w:spacing w:val="-10"/>
          <w:sz w:val="21"/>
          <w:szCs w:val="21"/>
        </w:rPr>
      </w:pPr>
      <w:r>
        <w:rPr>
          <w:rFonts w:ascii="Arial" w:hAnsi="Arial" w:eastAsia="宋体" w:cs="Arial"/>
          <w:spacing w:val="-10"/>
          <w:sz w:val="21"/>
          <w:szCs w:val="21"/>
          <w:lang w:eastAsia="zh-CN"/>
        </w:rPr>
        <w:t>商标</w:t>
      </w:r>
      <w:r>
        <w:rPr>
          <w:rFonts w:ascii="Arial" w:hAnsi="Arial" w:eastAsia="宋体" w:cs="Arial"/>
          <w:spacing w:val="-10"/>
          <w:sz w:val="21"/>
          <w:szCs w:val="21"/>
        </w:rPr>
        <w:t>/专有名称，</w:t>
      </w:r>
    </w:p>
    <w:p w14:paraId="46B10472">
      <w:pPr>
        <w:pStyle w:val="12"/>
        <w:numPr>
          <w:ilvl w:val="0"/>
          <w:numId w:val="2"/>
        </w:numPr>
        <w:tabs>
          <w:tab w:val="left" w:pos="460"/>
        </w:tabs>
        <w:snapToGrid w:val="0"/>
        <w:spacing w:before="3" w:line="300" w:lineRule="auto"/>
        <w:jc w:val="both"/>
        <w:rPr>
          <w:rFonts w:ascii="Arial" w:hAnsi="Arial" w:eastAsia="宋体" w:cs="Arial"/>
          <w:spacing w:val="-10"/>
          <w:sz w:val="21"/>
          <w:szCs w:val="21"/>
          <w:lang w:eastAsia="zh-CN"/>
        </w:rPr>
      </w:pPr>
      <w:r>
        <w:rPr>
          <w:rFonts w:ascii="Arial" w:hAnsi="Arial" w:eastAsia="宋体" w:cs="Arial"/>
          <w:spacing w:val="-10"/>
          <w:sz w:val="21"/>
          <w:szCs w:val="21"/>
          <w:lang w:eastAsia="zh-CN"/>
        </w:rPr>
        <w:t>通用名称（电动液压、气动或超声波碎石机），</w:t>
      </w:r>
    </w:p>
    <w:p w14:paraId="100455B2">
      <w:pPr>
        <w:pStyle w:val="12"/>
        <w:numPr>
          <w:ilvl w:val="0"/>
          <w:numId w:val="2"/>
        </w:numPr>
        <w:tabs>
          <w:tab w:val="left" w:pos="460"/>
        </w:tabs>
        <w:snapToGrid w:val="0"/>
        <w:spacing w:before="3" w:line="300" w:lineRule="auto"/>
        <w:jc w:val="both"/>
        <w:rPr>
          <w:rFonts w:ascii="Arial" w:hAnsi="Arial" w:eastAsia="宋体" w:cs="Arial"/>
          <w:spacing w:val="-10"/>
          <w:sz w:val="21"/>
          <w:szCs w:val="21"/>
        </w:rPr>
      </w:pPr>
      <w:r>
        <w:rPr>
          <w:rFonts w:ascii="Arial" w:hAnsi="Arial" w:eastAsia="宋体" w:cs="Arial"/>
          <w:spacing w:val="-10"/>
          <w:sz w:val="21"/>
          <w:szCs w:val="21"/>
        </w:rPr>
        <w:t>型号，</w:t>
      </w:r>
    </w:p>
    <w:p w14:paraId="11583DB2">
      <w:pPr>
        <w:pStyle w:val="12"/>
        <w:numPr>
          <w:ilvl w:val="0"/>
          <w:numId w:val="2"/>
        </w:numPr>
        <w:tabs>
          <w:tab w:val="left" w:pos="460"/>
        </w:tabs>
        <w:snapToGrid w:val="0"/>
        <w:spacing w:before="3" w:line="300" w:lineRule="auto"/>
        <w:jc w:val="both"/>
        <w:rPr>
          <w:rFonts w:ascii="Arial" w:hAnsi="Arial" w:eastAsia="宋体" w:cs="Arial"/>
          <w:spacing w:val="-10"/>
          <w:sz w:val="21"/>
          <w:szCs w:val="21"/>
        </w:rPr>
      </w:pPr>
      <w:r>
        <w:rPr>
          <w:rFonts w:ascii="Arial" w:hAnsi="Arial" w:eastAsia="宋体" w:cs="Arial"/>
          <w:spacing w:val="-10"/>
          <w:sz w:val="21"/>
          <w:szCs w:val="21"/>
        </w:rPr>
        <w:t>制造商，</w:t>
      </w:r>
    </w:p>
    <w:p w14:paraId="014399B4">
      <w:pPr>
        <w:pStyle w:val="12"/>
        <w:numPr>
          <w:ilvl w:val="0"/>
          <w:numId w:val="2"/>
        </w:numPr>
        <w:tabs>
          <w:tab w:val="left" w:pos="460"/>
        </w:tabs>
        <w:snapToGrid w:val="0"/>
        <w:spacing w:before="3" w:line="300" w:lineRule="auto"/>
        <w:jc w:val="both"/>
        <w:rPr>
          <w:rFonts w:ascii="Arial" w:hAnsi="Arial" w:eastAsia="宋体" w:cs="Arial"/>
          <w:spacing w:val="-10"/>
          <w:sz w:val="21"/>
          <w:szCs w:val="21"/>
          <w:lang w:eastAsia="zh-CN"/>
        </w:rPr>
      </w:pPr>
      <w:r>
        <w:rPr>
          <w:rFonts w:ascii="Arial" w:hAnsi="Arial" w:eastAsia="宋体" w:cs="Arial"/>
          <w:spacing w:val="-10"/>
          <w:sz w:val="21"/>
          <w:szCs w:val="21"/>
          <w:lang w:eastAsia="zh-CN"/>
        </w:rPr>
        <w:t>510（k）参考号（如已知），</w:t>
      </w:r>
    </w:p>
    <w:p w14:paraId="196C3F2C">
      <w:pPr>
        <w:pStyle w:val="12"/>
        <w:numPr>
          <w:ilvl w:val="0"/>
          <w:numId w:val="2"/>
        </w:numPr>
        <w:tabs>
          <w:tab w:val="left" w:pos="460"/>
        </w:tabs>
        <w:snapToGrid w:val="0"/>
        <w:spacing w:before="3" w:line="300" w:lineRule="auto"/>
        <w:jc w:val="both"/>
        <w:rPr>
          <w:rFonts w:ascii="Arial" w:hAnsi="Arial" w:eastAsia="宋体" w:cs="Arial"/>
          <w:spacing w:val="-10"/>
          <w:sz w:val="21"/>
          <w:szCs w:val="21"/>
        </w:rPr>
      </w:pPr>
      <w:r>
        <w:rPr>
          <w:rFonts w:ascii="Arial" w:hAnsi="Arial" w:eastAsia="宋体" w:cs="Arial"/>
          <w:spacing w:val="-10"/>
          <w:sz w:val="21"/>
          <w:szCs w:val="21"/>
          <w:lang w:eastAsia="zh-CN"/>
        </w:rPr>
        <w:t>预期用途</w:t>
      </w:r>
      <w:r>
        <w:rPr>
          <w:rFonts w:ascii="Arial" w:hAnsi="Arial" w:eastAsia="宋体" w:cs="Arial"/>
          <w:spacing w:val="-10"/>
          <w:sz w:val="21"/>
          <w:szCs w:val="21"/>
        </w:rPr>
        <w:t>，</w:t>
      </w:r>
    </w:p>
    <w:p w14:paraId="68C037FA">
      <w:pPr>
        <w:pStyle w:val="12"/>
        <w:numPr>
          <w:ilvl w:val="0"/>
          <w:numId w:val="2"/>
        </w:numPr>
        <w:tabs>
          <w:tab w:val="left" w:pos="460"/>
        </w:tabs>
        <w:snapToGrid w:val="0"/>
        <w:spacing w:before="3" w:line="300" w:lineRule="auto"/>
        <w:jc w:val="both"/>
        <w:rPr>
          <w:rFonts w:ascii="Arial" w:hAnsi="Arial" w:eastAsia="宋体" w:cs="Arial"/>
          <w:spacing w:val="-10"/>
          <w:sz w:val="21"/>
          <w:szCs w:val="21"/>
          <w:lang w:eastAsia="zh-CN"/>
        </w:rPr>
      </w:pPr>
      <w:r>
        <w:rPr>
          <w:rFonts w:ascii="Arial" w:hAnsi="Arial" w:eastAsia="宋体" w:cs="Arial"/>
          <w:spacing w:val="-10"/>
          <w:sz w:val="21"/>
          <w:szCs w:val="21"/>
          <w:lang w:eastAsia="zh-CN"/>
        </w:rPr>
        <w:t>技术特性/性能规格，以及</w:t>
      </w:r>
    </w:p>
    <w:p w14:paraId="4C049F9B">
      <w:pPr>
        <w:pStyle w:val="12"/>
        <w:numPr>
          <w:ilvl w:val="0"/>
          <w:numId w:val="2"/>
        </w:numPr>
        <w:tabs>
          <w:tab w:val="left" w:pos="460"/>
        </w:tabs>
        <w:snapToGrid w:val="0"/>
        <w:spacing w:before="3" w:line="300" w:lineRule="auto"/>
        <w:jc w:val="both"/>
        <w:rPr>
          <w:rFonts w:ascii="Arial" w:hAnsi="Arial" w:eastAsia="宋体" w:cs="Arial"/>
          <w:spacing w:val="-10"/>
          <w:sz w:val="21"/>
          <w:szCs w:val="21"/>
        </w:rPr>
      </w:pPr>
      <w:r>
        <w:rPr>
          <w:rFonts w:ascii="Arial" w:hAnsi="Arial" w:eastAsia="宋体" w:cs="Arial"/>
          <w:spacing w:val="-10"/>
          <w:sz w:val="21"/>
          <w:szCs w:val="21"/>
        </w:rPr>
        <w:t>标签。</w:t>
      </w:r>
    </w:p>
    <w:p w14:paraId="453A889C">
      <w:pPr>
        <w:pStyle w:val="12"/>
        <w:tabs>
          <w:tab w:val="left" w:pos="460"/>
        </w:tabs>
        <w:snapToGrid w:val="0"/>
        <w:spacing w:before="3" w:line="300" w:lineRule="auto"/>
        <w:ind w:left="460"/>
        <w:jc w:val="both"/>
        <w:rPr>
          <w:rFonts w:ascii="Arial" w:hAnsi="Arial" w:eastAsia="宋体" w:cs="Arial"/>
          <w:spacing w:val="-10"/>
          <w:sz w:val="21"/>
          <w:szCs w:val="21"/>
        </w:rPr>
      </w:pPr>
    </w:p>
    <w:p w14:paraId="686BCAEF">
      <w:pPr>
        <w:pStyle w:val="2"/>
        <w:numPr>
          <w:ilvl w:val="0"/>
          <w:numId w:val="1"/>
        </w:numPr>
        <w:tabs>
          <w:tab w:val="left" w:pos="820"/>
        </w:tabs>
        <w:snapToGrid w:val="0"/>
        <w:spacing w:line="300" w:lineRule="auto"/>
        <w:ind w:left="820"/>
        <w:jc w:val="both"/>
        <w:rPr>
          <w:rFonts w:ascii="Arial" w:hAnsi="Arial" w:eastAsia="宋体" w:cs="Arial"/>
          <w:bCs w:val="0"/>
          <w:sz w:val="21"/>
          <w:szCs w:val="21"/>
          <w:u w:val="single"/>
        </w:rPr>
      </w:pPr>
      <w:bookmarkStart w:id="4" w:name="_TOC_250007"/>
      <w:bookmarkStart w:id="5" w:name="_Toc484177887"/>
      <w:r>
        <w:rPr>
          <w:rFonts w:hint="eastAsia" w:ascii="Arial" w:hAnsi="Arial" w:eastAsia="宋体" w:cs="Arial"/>
          <w:sz w:val="21"/>
          <w:szCs w:val="21"/>
          <w:u w:val="single"/>
          <w:lang w:eastAsia="zh-CN"/>
        </w:rPr>
        <w:t>分类</w:t>
      </w:r>
      <w:r>
        <w:rPr>
          <w:rFonts w:ascii="Arial" w:hAnsi="Arial" w:eastAsia="宋体" w:cs="Arial"/>
          <w:sz w:val="21"/>
          <w:szCs w:val="21"/>
          <w:u w:val="single"/>
        </w:rPr>
        <w:t>/</w:t>
      </w:r>
      <w:bookmarkEnd w:id="4"/>
      <w:r>
        <w:rPr>
          <w:rFonts w:hint="eastAsia" w:ascii="Arial" w:hAnsi="Arial" w:eastAsia="宋体" w:cs="Arial"/>
          <w:sz w:val="21"/>
          <w:szCs w:val="21"/>
          <w:u w:val="single"/>
          <w:lang w:eastAsia="zh-CN"/>
        </w:rPr>
        <w:t>产品代码</w:t>
      </w:r>
      <w:bookmarkEnd w:id="5"/>
    </w:p>
    <w:p w14:paraId="0A55138F">
      <w:pPr>
        <w:snapToGrid w:val="0"/>
        <w:spacing w:before="10" w:line="300" w:lineRule="auto"/>
        <w:jc w:val="both"/>
        <w:rPr>
          <w:rFonts w:ascii="Arial" w:hAnsi="Arial" w:eastAsia="宋体" w:cs="Arial"/>
          <w:b/>
          <w:bCs/>
          <w:sz w:val="21"/>
          <w:szCs w:val="21"/>
        </w:rPr>
      </w:pPr>
    </w:p>
    <w:p w14:paraId="7CDC1B87">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510（k）中应提供适用于腔内碎石机（以下列出）的《联邦法规》（CFR）编号、法规类别和产品代码：</w:t>
      </w:r>
    </w:p>
    <w:p w14:paraId="23190E4B">
      <w:pPr>
        <w:snapToGrid w:val="0"/>
        <w:spacing w:before="4" w:line="300" w:lineRule="auto"/>
        <w:jc w:val="both"/>
        <w:rPr>
          <w:rFonts w:ascii="Arial" w:hAnsi="Arial" w:eastAsia="宋体" w:cs="Arial"/>
          <w:sz w:val="21"/>
          <w:szCs w:val="21"/>
          <w:lang w:eastAsia="zh-CN"/>
        </w:rPr>
      </w:pPr>
    </w:p>
    <w:p w14:paraId="13461DA7">
      <w:pPr>
        <w:pStyle w:val="12"/>
        <w:numPr>
          <w:ilvl w:val="0"/>
          <w:numId w:val="2"/>
        </w:numPr>
        <w:tabs>
          <w:tab w:val="left" w:pos="460"/>
          <w:tab w:val="left" w:pos="2259"/>
        </w:tabs>
        <w:snapToGrid w:val="0"/>
        <w:spacing w:line="300" w:lineRule="auto"/>
        <w:jc w:val="both"/>
        <w:rPr>
          <w:rFonts w:ascii="Arial" w:hAnsi="Arial" w:eastAsia="宋体" w:cs="Arial"/>
          <w:sz w:val="21"/>
          <w:szCs w:val="21"/>
        </w:rPr>
      </w:pPr>
      <w:r>
        <w:rPr>
          <w:rFonts w:ascii="Arial" w:hAnsi="Arial" w:eastAsia="宋体" w:cs="Arial"/>
          <w:sz w:val="21"/>
          <w:szCs w:val="21"/>
          <w:u w:val="single" w:color="000000"/>
        </w:rPr>
        <w:t>CFR</w:t>
      </w:r>
      <w:r>
        <w:rPr>
          <w:rFonts w:ascii="Arial" w:hAnsi="Arial" w:eastAsia="宋体" w:cs="Arial"/>
          <w:spacing w:val="-3"/>
          <w:sz w:val="21"/>
          <w:szCs w:val="21"/>
          <w:u w:val="single" w:color="000000"/>
        </w:rPr>
        <w:t xml:space="preserve"> </w:t>
      </w:r>
      <w:r>
        <w:rPr>
          <w:rFonts w:ascii="Arial" w:hAnsi="Arial" w:eastAsia="宋体" w:cs="Arial"/>
          <w:spacing w:val="-3"/>
          <w:sz w:val="21"/>
          <w:szCs w:val="21"/>
          <w:u w:val="single" w:color="000000"/>
          <w:lang w:eastAsia="zh-CN"/>
        </w:rPr>
        <w:t>编号</w:t>
      </w:r>
      <w:r>
        <w:rPr>
          <w:rFonts w:ascii="Arial" w:hAnsi="Arial" w:eastAsia="宋体" w:cs="Arial"/>
          <w:spacing w:val="-3"/>
          <w:sz w:val="21"/>
          <w:szCs w:val="21"/>
        </w:rPr>
        <w:t>：</w:t>
      </w:r>
      <w:r>
        <w:rPr>
          <w:rFonts w:ascii="Arial" w:hAnsi="Arial" w:eastAsia="宋体" w:cs="Arial"/>
          <w:spacing w:val="-3"/>
          <w:sz w:val="21"/>
          <w:szCs w:val="21"/>
        </w:rPr>
        <w:tab/>
      </w:r>
      <w:r>
        <w:rPr>
          <w:rFonts w:ascii="Arial" w:hAnsi="Arial" w:eastAsia="宋体" w:cs="Arial"/>
          <w:sz w:val="21"/>
          <w:szCs w:val="21"/>
        </w:rPr>
        <w:t>21 CFR</w:t>
      </w:r>
      <w:r>
        <w:rPr>
          <w:rFonts w:ascii="Arial" w:hAnsi="Arial" w:eastAsia="宋体" w:cs="Arial"/>
          <w:spacing w:val="-7"/>
          <w:sz w:val="21"/>
          <w:szCs w:val="21"/>
        </w:rPr>
        <w:t xml:space="preserve"> </w:t>
      </w:r>
      <w:r>
        <w:rPr>
          <w:rFonts w:ascii="Arial" w:hAnsi="Arial" w:eastAsia="宋体" w:cs="Arial"/>
          <w:sz w:val="21"/>
          <w:szCs w:val="21"/>
        </w:rPr>
        <w:t>876.4480</w:t>
      </w:r>
    </w:p>
    <w:p w14:paraId="03EC514F">
      <w:pPr>
        <w:pStyle w:val="12"/>
        <w:numPr>
          <w:ilvl w:val="0"/>
          <w:numId w:val="2"/>
        </w:numPr>
        <w:tabs>
          <w:tab w:val="left" w:pos="460"/>
          <w:tab w:val="left" w:pos="2259"/>
        </w:tabs>
        <w:snapToGrid w:val="0"/>
        <w:spacing w:line="300" w:lineRule="auto"/>
        <w:jc w:val="both"/>
        <w:rPr>
          <w:rFonts w:ascii="Arial" w:hAnsi="Arial" w:eastAsia="宋体" w:cs="Arial"/>
          <w:sz w:val="21"/>
          <w:szCs w:val="21"/>
          <w:lang w:eastAsia="zh-CN"/>
        </w:rPr>
      </w:pPr>
      <w:r>
        <w:rPr>
          <w:rFonts w:ascii="Arial" w:hAnsi="Arial" w:eastAsia="宋体" w:cs="Arial"/>
          <w:sz w:val="21"/>
          <w:szCs w:val="21"/>
          <w:u w:val="single"/>
          <w:lang w:eastAsia="zh-CN"/>
        </w:rPr>
        <w:t>法规类别：</w:t>
      </w:r>
      <w:r>
        <w:rPr>
          <w:rFonts w:ascii="Arial" w:hAnsi="Arial" w:eastAsia="宋体" w:cs="Arial"/>
          <w:sz w:val="21"/>
          <w:szCs w:val="21"/>
          <w:lang w:eastAsia="zh-CN"/>
        </w:rPr>
        <w:tab/>
      </w:r>
      <w:r>
        <w:rPr>
          <w:rFonts w:ascii="Arial" w:hAnsi="Arial" w:eastAsia="宋体" w:cs="Arial"/>
          <w:sz w:val="21"/>
          <w:szCs w:val="21"/>
          <w:lang w:eastAsia="zh-CN"/>
        </w:rPr>
        <w:t>II 类（特殊控制）</w:t>
      </w:r>
      <w:r>
        <w:rPr>
          <w:rFonts w:ascii="Arial" w:hAnsi="Arial" w:eastAsia="宋体" w:cs="Arial"/>
          <w:i/>
          <w:sz w:val="21"/>
          <w:szCs w:val="21"/>
          <w:lang w:eastAsia="zh-CN"/>
        </w:rPr>
        <w:t>【待定</w:t>
      </w:r>
      <w:r>
        <w:rPr>
          <w:rFonts w:hint="eastAsia" w:ascii="Arial" w:hAnsi="Arial" w:eastAsia="宋体" w:cs="Arial"/>
          <w:i/>
          <w:sz w:val="21"/>
          <w:szCs w:val="21"/>
          <w:lang w:eastAsia="zh-CN"/>
        </w:rPr>
        <w:t>的重新分类最终规则</w:t>
      </w:r>
      <w:r>
        <w:rPr>
          <w:rFonts w:ascii="Arial" w:hAnsi="Arial" w:eastAsia="宋体" w:cs="Arial"/>
          <w:i/>
          <w:sz w:val="21"/>
          <w:szCs w:val="21"/>
          <w:lang w:eastAsia="zh-CN"/>
        </w:rPr>
        <w:t>】</w:t>
      </w:r>
    </w:p>
    <w:p w14:paraId="1BF7FBAC">
      <w:pPr>
        <w:pStyle w:val="12"/>
        <w:numPr>
          <w:ilvl w:val="0"/>
          <w:numId w:val="2"/>
        </w:numPr>
        <w:tabs>
          <w:tab w:val="left" w:pos="460"/>
          <w:tab w:val="left" w:pos="2259"/>
        </w:tabs>
        <w:snapToGrid w:val="0"/>
        <w:spacing w:line="300" w:lineRule="auto"/>
        <w:jc w:val="both"/>
        <w:rPr>
          <w:rFonts w:ascii="Arial" w:hAnsi="Arial" w:eastAsia="宋体" w:cs="Arial"/>
          <w:sz w:val="21"/>
          <w:szCs w:val="21"/>
        </w:rPr>
      </w:pPr>
      <w:r>
        <w:rPr>
          <w:rFonts w:ascii="Arial" w:hAnsi="Arial" w:eastAsia="宋体" w:cs="Arial"/>
          <w:sz w:val="21"/>
          <w:szCs w:val="21"/>
          <w:u w:val="single"/>
          <w:lang w:eastAsia="zh-CN"/>
        </w:rPr>
        <w:t>产品代码</w:t>
      </w:r>
      <w:r>
        <w:rPr>
          <w:rFonts w:ascii="Arial" w:hAnsi="Arial" w:eastAsia="宋体" w:cs="Arial"/>
          <w:sz w:val="21"/>
          <w:szCs w:val="21"/>
          <w:u w:val="single"/>
        </w:rPr>
        <w:t>：</w:t>
      </w:r>
      <w:r>
        <w:rPr>
          <w:rFonts w:ascii="Arial" w:hAnsi="Arial" w:eastAsia="宋体" w:cs="Arial"/>
          <w:sz w:val="21"/>
          <w:szCs w:val="21"/>
        </w:rPr>
        <w:tab/>
      </w:r>
      <w:r>
        <w:rPr>
          <w:rFonts w:ascii="Arial" w:hAnsi="Arial" w:eastAsia="宋体" w:cs="Arial"/>
          <w:sz w:val="21"/>
          <w:szCs w:val="21"/>
        </w:rPr>
        <w:t>78</w:t>
      </w:r>
      <w:r>
        <w:rPr>
          <w:rFonts w:ascii="Arial" w:hAnsi="Arial" w:eastAsia="宋体" w:cs="Arial"/>
          <w:spacing w:val="-4"/>
          <w:sz w:val="21"/>
          <w:szCs w:val="21"/>
        </w:rPr>
        <w:t xml:space="preserve"> </w:t>
      </w:r>
      <w:r>
        <w:rPr>
          <w:rFonts w:ascii="Arial" w:hAnsi="Arial" w:eastAsia="宋体" w:cs="Arial"/>
          <w:spacing w:val="-3"/>
          <w:sz w:val="21"/>
          <w:szCs w:val="21"/>
        </w:rPr>
        <w:t>FFK</w:t>
      </w:r>
    </w:p>
    <w:p w14:paraId="137EC343">
      <w:pPr>
        <w:snapToGrid w:val="0"/>
        <w:spacing w:before="2" w:line="300" w:lineRule="auto"/>
        <w:jc w:val="both"/>
        <w:rPr>
          <w:rFonts w:ascii="Arial" w:hAnsi="Arial" w:eastAsia="宋体" w:cs="Arial"/>
          <w:sz w:val="21"/>
          <w:szCs w:val="21"/>
        </w:rPr>
      </w:pPr>
    </w:p>
    <w:p w14:paraId="7C0AAF93">
      <w:pPr>
        <w:pStyle w:val="3"/>
        <w:snapToGrid w:val="0"/>
        <w:spacing w:before="69" w:line="300" w:lineRule="auto"/>
        <w:rPr>
          <w:rFonts w:ascii="Arial" w:hAnsi="Arial" w:eastAsia="宋体" w:cs="Arial"/>
          <w:sz w:val="21"/>
          <w:szCs w:val="21"/>
          <w:lang w:eastAsia="zh-CN"/>
        </w:rPr>
      </w:pPr>
      <w:r>
        <w:rPr>
          <w:rFonts w:ascii="Arial" w:hAnsi="Arial" w:eastAsia="宋体" w:cs="Arial"/>
          <w:sz w:val="21"/>
          <w:szCs w:val="21"/>
          <w:lang w:eastAsia="zh-CN"/>
        </w:rPr>
        <w:t>（注：电动液压碎石机的产品代码，FFK，的范围已经扩展，涉及先前未分类的超声波碎石机，以前用于超声波碎石机的产品代码，FEO将不再使用）</w:t>
      </w:r>
    </w:p>
    <w:p w14:paraId="0AC1BE82">
      <w:pPr>
        <w:rPr>
          <w:rFonts w:ascii="Arial" w:hAnsi="Arial" w:eastAsia="宋体" w:cs="Arial"/>
          <w:sz w:val="21"/>
          <w:szCs w:val="21"/>
          <w:lang w:eastAsia="zh-CN"/>
        </w:rPr>
      </w:pPr>
      <w:r>
        <w:rPr>
          <w:rFonts w:ascii="Arial" w:hAnsi="Arial" w:eastAsia="宋体" w:cs="Arial"/>
          <w:sz w:val="21"/>
          <w:szCs w:val="21"/>
          <w:lang w:eastAsia="zh-CN"/>
        </w:rPr>
        <w:br w:type="page"/>
      </w:r>
    </w:p>
    <w:p w14:paraId="40FE8F84">
      <w:pPr>
        <w:pStyle w:val="12"/>
        <w:numPr>
          <w:ilvl w:val="0"/>
          <w:numId w:val="1"/>
        </w:numPr>
        <w:tabs>
          <w:tab w:val="left" w:pos="820"/>
        </w:tabs>
        <w:snapToGrid w:val="0"/>
        <w:spacing w:before="69" w:line="300" w:lineRule="auto"/>
        <w:ind w:left="820"/>
        <w:jc w:val="both"/>
        <w:rPr>
          <w:rFonts w:ascii="Arial" w:hAnsi="Arial" w:eastAsia="宋体" w:cs="Arial"/>
          <w:sz w:val="21"/>
          <w:szCs w:val="21"/>
          <w:lang w:eastAsia="zh-CN"/>
        </w:rPr>
      </w:pPr>
      <w:r>
        <w:rPr>
          <w:rFonts w:ascii="Arial" w:hAnsi="Arial" w:eastAsia="宋体" w:cs="Arial"/>
          <w:b/>
          <w:sz w:val="21"/>
          <w:szCs w:val="21"/>
          <w:u w:val="single"/>
          <w:lang w:eastAsia="zh-CN"/>
        </w:rPr>
        <w:t>特殊控制</w:t>
      </w:r>
      <w:r>
        <w:rPr>
          <w:rFonts w:ascii="Arial" w:hAnsi="Arial" w:eastAsia="宋体" w:cs="Arial"/>
          <w:i/>
          <w:sz w:val="21"/>
          <w:szCs w:val="21"/>
          <w:lang w:eastAsia="zh-CN"/>
        </w:rPr>
        <w:t>【待定的重新分类最终规则】</w:t>
      </w:r>
    </w:p>
    <w:p w14:paraId="00D49133">
      <w:pPr>
        <w:snapToGrid w:val="0"/>
        <w:spacing w:before="3" w:line="300" w:lineRule="auto"/>
        <w:jc w:val="both"/>
        <w:rPr>
          <w:rFonts w:ascii="Arial" w:hAnsi="Arial" w:eastAsia="宋体" w:cs="Arial"/>
          <w:i/>
          <w:sz w:val="21"/>
          <w:szCs w:val="21"/>
          <w:lang w:eastAsia="zh-CN"/>
        </w:rPr>
      </w:pPr>
    </w:p>
    <w:p w14:paraId="3BD86483">
      <w:pPr>
        <w:pStyle w:val="3"/>
        <w:snapToGrid w:val="0"/>
        <w:spacing w:before="69" w:line="300" w:lineRule="auto"/>
        <w:jc w:val="both"/>
        <w:rPr>
          <w:rFonts w:ascii="Arial" w:hAnsi="Arial" w:eastAsia="宋体" w:cs="Arial"/>
          <w:sz w:val="21"/>
          <w:szCs w:val="21"/>
          <w:lang w:eastAsia="zh-CN"/>
        </w:rPr>
      </w:pPr>
      <w:r>
        <w:rPr>
          <w:rFonts w:hint="eastAsia" w:ascii="Arial" w:hAnsi="Arial" w:eastAsia="宋体" w:cs="Arial"/>
          <w:sz w:val="21"/>
          <w:szCs w:val="21"/>
          <w:lang w:eastAsia="zh-CN"/>
        </w:rPr>
        <w:t>本指导性文件为这些器械的特殊控制</w:t>
      </w:r>
      <w:r>
        <w:rPr>
          <w:rFonts w:ascii="Arial" w:hAnsi="Arial" w:eastAsia="宋体" w:cs="Arial"/>
          <w:i/>
          <w:sz w:val="21"/>
          <w:szCs w:val="21"/>
          <w:lang w:eastAsia="zh-CN"/>
        </w:rPr>
        <w:t>。</w:t>
      </w:r>
    </w:p>
    <w:p w14:paraId="20349FAC">
      <w:pPr>
        <w:tabs>
          <w:tab w:val="left" w:pos="459"/>
        </w:tabs>
        <w:snapToGrid w:val="0"/>
        <w:spacing w:line="300" w:lineRule="auto"/>
        <w:ind w:left="460" w:hanging="360"/>
        <w:jc w:val="both"/>
        <w:rPr>
          <w:rFonts w:ascii="Arial" w:hAnsi="Arial" w:eastAsia="宋体" w:cs="Arial"/>
          <w:sz w:val="21"/>
          <w:szCs w:val="21"/>
          <w:lang w:eastAsia="zh-CN"/>
        </w:rPr>
      </w:pPr>
      <w:r>
        <w:rPr>
          <w:rFonts w:ascii="Arial" w:hAnsi="Arial" w:eastAsia="宋体" w:cs="Arial"/>
          <w:sz w:val="21"/>
          <w:szCs w:val="21"/>
          <w:lang w:eastAsia="zh-CN"/>
        </w:rPr>
        <w:t>†</w:t>
      </w:r>
      <w:r>
        <w:rPr>
          <w:rFonts w:ascii="Arial" w:hAnsi="Arial" w:eastAsia="宋体" w:cs="Arial"/>
          <w:sz w:val="21"/>
          <w:szCs w:val="21"/>
          <w:lang w:eastAsia="zh-CN"/>
        </w:rPr>
        <w:tab/>
      </w:r>
      <w:r>
        <w:rPr>
          <w:rFonts w:ascii="Arial" w:hAnsi="Arial" w:eastAsia="宋体" w:cs="Arial"/>
          <w:i/>
          <w:sz w:val="21"/>
          <w:szCs w:val="21"/>
          <w:lang w:eastAsia="zh-CN"/>
        </w:rPr>
        <w:t>本指导性文件介绍了腔内碎石机可能使其符合II类器械特殊控制要求的方法。将本指导性文件指定为特殊控制意味着试图确定其器械实质等同于比较腔内碎石机的制造商应证明拟定器械符合本指南或可提供安全性和有效性的等同保证的某些替代控制的具体建议。</w:t>
      </w:r>
    </w:p>
    <w:p w14:paraId="2C51F326">
      <w:pPr>
        <w:tabs>
          <w:tab w:val="left" w:pos="459"/>
        </w:tabs>
        <w:snapToGrid w:val="0"/>
        <w:spacing w:line="300" w:lineRule="auto"/>
        <w:jc w:val="both"/>
        <w:rPr>
          <w:rFonts w:ascii="Arial" w:hAnsi="Arial" w:eastAsia="宋体" w:cs="Arial"/>
          <w:sz w:val="21"/>
          <w:szCs w:val="21"/>
          <w:lang w:eastAsia="zh-CN"/>
        </w:rPr>
      </w:pPr>
    </w:p>
    <w:p w14:paraId="7647C7D3">
      <w:pPr>
        <w:pStyle w:val="2"/>
        <w:numPr>
          <w:ilvl w:val="0"/>
          <w:numId w:val="1"/>
        </w:numPr>
        <w:tabs>
          <w:tab w:val="left" w:pos="820"/>
        </w:tabs>
        <w:snapToGrid w:val="0"/>
        <w:spacing w:line="300" w:lineRule="auto"/>
        <w:ind w:left="820"/>
        <w:jc w:val="both"/>
        <w:rPr>
          <w:rFonts w:ascii="Arial" w:hAnsi="Arial" w:eastAsia="宋体" w:cs="Arial"/>
          <w:bCs w:val="0"/>
          <w:sz w:val="21"/>
          <w:szCs w:val="21"/>
          <w:u w:val="single"/>
        </w:rPr>
      </w:pPr>
      <w:bookmarkStart w:id="6" w:name="_Toc484177888"/>
      <w:r>
        <w:rPr>
          <w:rFonts w:ascii="Arial" w:hAnsi="Arial" w:eastAsia="宋体" w:cs="Arial"/>
          <w:bCs w:val="0"/>
          <w:sz w:val="21"/>
          <w:szCs w:val="21"/>
          <w:u w:val="single"/>
          <w:lang w:eastAsia="zh-CN"/>
        </w:rPr>
        <w:t>器械描述</w:t>
      </w:r>
      <w:bookmarkEnd w:id="6"/>
    </w:p>
    <w:p w14:paraId="6BF2ACC6">
      <w:pPr>
        <w:pStyle w:val="12"/>
        <w:numPr>
          <w:ilvl w:val="1"/>
          <w:numId w:val="1"/>
        </w:numPr>
        <w:tabs>
          <w:tab w:val="left" w:pos="1540"/>
        </w:tabs>
        <w:snapToGrid w:val="0"/>
        <w:spacing w:before="69" w:line="300" w:lineRule="auto"/>
        <w:ind w:left="1540"/>
        <w:jc w:val="both"/>
        <w:rPr>
          <w:rFonts w:ascii="Arial" w:hAnsi="Arial" w:eastAsia="宋体" w:cs="Arial"/>
          <w:sz w:val="21"/>
          <w:szCs w:val="21"/>
        </w:rPr>
      </w:pPr>
      <w:r>
        <w:rPr>
          <w:rFonts w:ascii="Arial" w:hAnsi="Arial" w:eastAsia="宋体" w:cs="Arial"/>
          <w:sz w:val="21"/>
          <w:szCs w:val="21"/>
          <w:u w:val="single" w:color="000000"/>
          <w:lang w:eastAsia="zh-CN"/>
        </w:rPr>
        <w:t>提交</w:t>
      </w:r>
      <w:r>
        <w:rPr>
          <w:rFonts w:ascii="Arial" w:hAnsi="Arial" w:eastAsia="宋体" w:cs="Arial"/>
          <w:sz w:val="21"/>
          <w:szCs w:val="21"/>
          <w:u w:val="single" w:color="000000"/>
        </w:rPr>
        <w:t>510（k）</w:t>
      </w:r>
      <w:r>
        <w:rPr>
          <w:rFonts w:ascii="Arial" w:hAnsi="Arial" w:eastAsia="宋体" w:cs="Arial"/>
          <w:sz w:val="21"/>
          <w:szCs w:val="21"/>
          <w:u w:val="single" w:color="000000"/>
          <w:lang w:eastAsia="zh-CN"/>
        </w:rPr>
        <w:t>的理由</w:t>
      </w:r>
    </w:p>
    <w:p w14:paraId="0A88F597">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申办方应明确说明提交510（k）的原因，例如新型腔内碎石机、预期用途更改或现有腔内碎石机的设计修改。</w:t>
      </w:r>
    </w:p>
    <w:p w14:paraId="32C42559">
      <w:pPr>
        <w:pStyle w:val="3"/>
        <w:snapToGrid w:val="0"/>
        <w:spacing w:before="69" w:line="300" w:lineRule="auto"/>
        <w:jc w:val="both"/>
        <w:rPr>
          <w:rFonts w:ascii="Arial" w:hAnsi="Arial" w:eastAsia="宋体" w:cs="Arial"/>
          <w:sz w:val="21"/>
          <w:szCs w:val="21"/>
          <w:lang w:eastAsia="zh-CN"/>
        </w:rPr>
      </w:pPr>
    </w:p>
    <w:p w14:paraId="65DB6C80">
      <w:pPr>
        <w:pStyle w:val="12"/>
        <w:numPr>
          <w:ilvl w:val="1"/>
          <w:numId w:val="1"/>
        </w:numPr>
        <w:tabs>
          <w:tab w:val="left" w:pos="1540"/>
        </w:tabs>
        <w:snapToGrid w:val="0"/>
        <w:spacing w:line="300" w:lineRule="auto"/>
        <w:ind w:left="1540"/>
        <w:jc w:val="both"/>
        <w:rPr>
          <w:rFonts w:ascii="Arial" w:hAnsi="Arial" w:eastAsia="宋体" w:cs="Arial"/>
          <w:sz w:val="21"/>
          <w:szCs w:val="21"/>
          <w:u w:val="single"/>
        </w:rPr>
      </w:pPr>
      <w:r>
        <w:rPr>
          <w:rFonts w:ascii="Arial" w:hAnsi="Arial" w:eastAsia="宋体" w:cs="Arial"/>
          <w:sz w:val="21"/>
          <w:szCs w:val="21"/>
          <w:u w:val="single"/>
          <w:lang w:eastAsia="zh-CN"/>
        </w:rPr>
        <w:t>预期用途</w:t>
      </w:r>
    </w:p>
    <w:p w14:paraId="2DDE65FC">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510（k）应提供拟定器械预期用途的明确说明，如：</w:t>
      </w:r>
    </w:p>
    <w:p w14:paraId="0B352918">
      <w:pPr>
        <w:pStyle w:val="3"/>
        <w:snapToGrid w:val="0"/>
        <w:spacing w:line="300" w:lineRule="auto"/>
        <w:ind w:left="820"/>
        <w:jc w:val="both"/>
        <w:rPr>
          <w:rFonts w:ascii="Arial" w:hAnsi="Arial" w:eastAsia="宋体" w:cs="Arial"/>
          <w:sz w:val="21"/>
          <w:szCs w:val="21"/>
          <w:lang w:eastAsia="zh-CN"/>
        </w:rPr>
      </w:pPr>
      <w:r>
        <w:rPr>
          <w:rFonts w:ascii="宋体" w:hAnsi="宋体" w:eastAsia="宋体" w:cs="Arial"/>
          <w:sz w:val="21"/>
          <w:szCs w:val="21"/>
          <w:lang w:eastAsia="zh-CN"/>
        </w:rPr>
        <w:t>“</w:t>
      </w:r>
      <w:r>
        <w:rPr>
          <w:rFonts w:ascii="Arial" w:hAnsi="Arial" w:eastAsia="宋体" w:cs="Arial"/>
          <w:sz w:val="21"/>
          <w:szCs w:val="21"/>
          <w:lang w:eastAsia="zh-CN"/>
        </w:rPr>
        <w:t>【器械商标名称】适用于碎裂尿道（即肾脏、输尿管和膀胱）和胆道结石。</w:t>
      </w:r>
      <w:r>
        <w:rPr>
          <w:rFonts w:ascii="宋体" w:hAnsi="宋体" w:eastAsia="宋体" w:cs="Arial"/>
          <w:sz w:val="21"/>
          <w:szCs w:val="21"/>
          <w:lang w:eastAsia="zh-CN"/>
        </w:rPr>
        <w:t>”</w:t>
      </w:r>
    </w:p>
    <w:p w14:paraId="691EA737">
      <w:pPr>
        <w:pStyle w:val="3"/>
        <w:snapToGrid w:val="0"/>
        <w:spacing w:line="300" w:lineRule="auto"/>
        <w:jc w:val="both"/>
        <w:rPr>
          <w:rFonts w:ascii="Arial" w:hAnsi="Arial" w:eastAsia="宋体" w:cs="Arial"/>
          <w:sz w:val="21"/>
          <w:szCs w:val="21"/>
          <w:lang w:eastAsia="zh-CN"/>
        </w:rPr>
      </w:pPr>
    </w:p>
    <w:p w14:paraId="30E46087">
      <w:pPr>
        <w:pStyle w:val="3"/>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在510（k）的以下各节中，预期用途应适用</w:t>
      </w:r>
      <w:r>
        <w:rPr>
          <w:rFonts w:hint="eastAsia" w:ascii="Arial" w:hAnsi="Arial" w:eastAsia="宋体" w:cs="Arial"/>
          <w:sz w:val="21"/>
          <w:szCs w:val="21"/>
          <w:u w:val="single"/>
          <w:lang w:eastAsia="zh-CN"/>
        </w:rPr>
        <w:t>相同措词</w:t>
      </w:r>
      <w:r>
        <w:rPr>
          <w:rFonts w:ascii="Arial" w:hAnsi="Arial" w:eastAsia="宋体" w:cs="Arial"/>
          <w:sz w:val="21"/>
          <w:szCs w:val="21"/>
          <w:lang w:eastAsia="zh-CN"/>
        </w:rPr>
        <w:t>：</w:t>
      </w:r>
    </w:p>
    <w:p w14:paraId="4457F542">
      <w:pPr>
        <w:pStyle w:val="12"/>
        <w:numPr>
          <w:ilvl w:val="0"/>
          <w:numId w:val="2"/>
        </w:numPr>
        <w:tabs>
          <w:tab w:val="left" w:pos="460"/>
        </w:tabs>
        <w:snapToGrid w:val="0"/>
        <w:spacing w:before="4" w:line="300" w:lineRule="auto"/>
        <w:jc w:val="both"/>
        <w:rPr>
          <w:rFonts w:ascii="Arial" w:hAnsi="Arial" w:eastAsia="宋体" w:cs="Arial"/>
          <w:spacing w:val="-4"/>
          <w:sz w:val="21"/>
          <w:szCs w:val="21"/>
        </w:rPr>
      </w:pPr>
      <w:r>
        <w:rPr>
          <w:rFonts w:ascii="Arial" w:hAnsi="Arial" w:eastAsia="宋体" w:cs="Arial"/>
          <w:spacing w:val="-4"/>
          <w:sz w:val="21"/>
          <w:szCs w:val="21"/>
        </w:rPr>
        <w:t>医生标签，</w:t>
      </w:r>
    </w:p>
    <w:p w14:paraId="7D68B320">
      <w:pPr>
        <w:pStyle w:val="12"/>
        <w:numPr>
          <w:ilvl w:val="0"/>
          <w:numId w:val="2"/>
        </w:numPr>
        <w:tabs>
          <w:tab w:val="left" w:pos="460"/>
        </w:tabs>
        <w:snapToGrid w:val="0"/>
        <w:spacing w:before="4" w:line="300" w:lineRule="auto"/>
        <w:jc w:val="both"/>
        <w:rPr>
          <w:rFonts w:ascii="Arial" w:hAnsi="Arial" w:eastAsia="宋体" w:cs="Arial"/>
          <w:spacing w:val="-4"/>
          <w:sz w:val="21"/>
          <w:szCs w:val="21"/>
          <w:lang w:eastAsia="zh-CN"/>
        </w:rPr>
      </w:pPr>
      <w:r>
        <w:rPr>
          <w:rFonts w:ascii="宋体" w:hAnsi="宋体" w:eastAsia="宋体" w:cs="Arial"/>
          <w:spacing w:val="-4"/>
          <w:sz w:val="21"/>
          <w:szCs w:val="21"/>
          <w:lang w:eastAsia="zh-CN"/>
        </w:rPr>
        <w:t>“</w:t>
      </w:r>
      <w:r>
        <w:rPr>
          <w:rFonts w:ascii="Arial" w:hAnsi="Arial" w:eastAsia="宋体" w:cs="Arial"/>
          <w:spacing w:val="-4"/>
          <w:sz w:val="21"/>
          <w:szCs w:val="21"/>
          <w:lang w:eastAsia="zh-CN"/>
        </w:rPr>
        <w:t>适应症</w:t>
      </w:r>
      <w:r>
        <w:rPr>
          <w:rFonts w:ascii="宋体" w:hAnsi="宋体" w:eastAsia="宋体" w:cs="Arial"/>
          <w:spacing w:val="-4"/>
          <w:sz w:val="21"/>
          <w:szCs w:val="21"/>
          <w:lang w:eastAsia="zh-CN"/>
        </w:rPr>
        <w:t>”</w:t>
      </w:r>
      <w:r>
        <w:rPr>
          <w:rFonts w:ascii="Arial" w:hAnsi="Arial" w:eastAsia="宋体" w:cs="Arial"/>
          <w:spacing w:val="-4"/>
          <w:sz w:val="21"/>
          <w:szCs w:val="21"/>
          <w:lang w:eastAsia="zh-CN"/>
        </w:rPr>
        <w:t>表格，以及</w:t>
      </w:r>
    </w:p>
    <w:p w14:paraId="310D2A33">
      <w:pPr>
        <w:pStyle w:val="12"/>
        <w:numPr>
          <w:ilvl w:val="0"/>
          <w:numId w:val="2"/>
        </w:numPr>
        <w:tabs>
          <w:tab w:val="left" w:pos="460"/>
        </w:tabs>
        <w:snapToGrid w:val="0"/>
        <w:spacing w:before="4" w:line="300" w:lineRule="auto"/>
        <w:jc w:val="both"/>
        <w:rPr>
          <w:rFonts w:ascii="Arial" w:hAnsi="Arial" w:eastAsia="宋体" w:cs="Arial"/>
          <w:spacing w:val="-4"/>
          <w:sz w:val="21"/>
          <w:szCs w:val="21"/>
          <w:lang w:eastAsia="zh-CN"/>
        </w:rPr>
      </w:pPr>
      <w:r>
        <w:rPr>
          <w:rFonts w:ascii="Arial" w:hAnsi="Arial" w:eastAsia="宋体" w:cs="Arial"/>
          <w:spacing w:val="-4"/>
          <w:sz w:val="21"/>
          <w:szCs w:val="21"/>
          <w:lang w:eastAsia="zh-CN"/>
        </w:rPr>
        <w:t>（如果提供）</w:t>
      </w:r>
      <w:r>
        <w:rPr>
          <w:rFonts w:ascii="宋体" w:hAnsi="宋体" w:eastAsia="宋体" w:cs="Arial"/>
          <w:spacing w:val="-4"/>
          <w:sz w:val="21"/>
          <w:szCs w:val="21"/>
          <w:lang w:eastAsia="zh-CN"/>
        </w:rPr>
        <w:t>“</w:t>
      </w:r>
      <w:r>
        <w:rPr>
          <w:rFonts w:ascii="Arial" w:hAnsi="Arial" w:eastAsia="宋体" w:cs="Arial"/>
          <w:spacing w:val="-4"/>
          <w:sz w:val="21"/>
          <w:szCs w:val="21"/>
          <w:lang w:eastAsia="zh-CN"/>
        </w:rPr>
        <w:t>510（k）摘要</w:t>
      </w:r>
      <w:r>
        <w:rPr>
          <w:rFonts w:ascii="宋体" w:hAnsi="宋体" w:eastAsia="宋体" w:cs="Arial"/>
          <w:spacing w:val="-4"/>
          <w:sz w:val="21"/>
          <w:szCs w:val="21"/>
          <w:lang w:eastAsia="zh-CN"/>
        </w:rPr>
        <w:t>”</w:t>
      </w:r>
      <w:r>
        <w:rPr>
          <w:rFonts w:ascii="Arial" w:hAnsi="Arial" w:eastAsia="宋体" w:cs="Arial"/>
          <w:spacing w:val="-4"/>
          <w:sz w:val="21"/>
          <w:szCs w:val="21"/>
          <w:lang w:eastAsia="zh-CN"/>
        </w:rPr>
        <w:t>。</w:t>
      </w:r>
    </w:p>
    <w:p w14:paraId="7978F385">
      <w:pPr>
        <w:tabs>
          <w:tab w:val="left" w:pos="460"/>
        </w:tabs>
        <w:snapToGrid w:val="0"/>
        <w:spacing w:before="3" w:line="300" w:lineRule="auto"/>
        <w:ind w:left="100"/>
        <w:jc w:val="both"/>
        <w:rPr>
          <w:rFonts w:ascii="Arial" w:hAnsi="Arial" w:eastAsia="宋体" w:cs="Arial"/>
          <w:sz w:val="21"/>
          <w:szCs w:val="21"/>
          <w:u w:val="single"/>
        </w:rPr>
      </w:pPr>
    </w:p>
    <w:p w14:paraId="2C486EE1">
      <w:pPr>
        <w:pStyle w:val="12"/>
        <w:numPr>
          <w:ilvl w:val="1"/>
          <w:numId w:val="1"/>
        </w:numPr>
        <w:tabs>
          <w:tab w:val="left" w:pos="1540"/>
        </w:tabs>
        <w:snapToGrid w:val="0"/>
        <w:spacing w:line="300" w:lineRule="auto"/>
        <w:ind w:left="1540"/>
        <w:jc w:val="both"/>
        <w:rPr>
          <w:rFonts w:ascii="Arial" w:hAnsi="Arial" w:eastAsia="宋体" w:cs="Arial"/>
          <w:sz w:val="21"/>
          <w:szCs w:val="21"/>
          <w:u w:val="single"/>
        </w:rPr>
      </w:pPr>
      <w:r>
        <w:rPr>
          <w:rFonts w:ascii="Arial" w:hAnsi="Arial" w:eastAsia="宋体" w:cs="Arial"/>
          <w:sz w:val="21"/>
          <w:szCs w:val="21"/>
          <w:u w:val="single"/>
          <w:lang w:eastAsia="zh-CN"/>
        </w:rPr>
        <w:t>技术特性</w:t>
      </w:r>
    </w:p>
    <w:p w14:paraId="79E90985">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申办方应提供器械及其主要组件的技术摘要（或器械修改（如果适用））。510（k）的这一部分应包括但不限于以下信息：</w:t>
      </w:r>
    </w:p>
    <w:p w14:paraId="3D2F3A9F">
      <w:pPr>
        <w:pStyle w:val="12"/>
        <w:numPr>
          <w:ilvl w:val="0"/>
          <w:numId w:val="2"/>
        </w:numPr>
        <w:tabs>
          <w:tab w:val="left" w:pos="4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整个系统的总体概述。</w:t>
      </w:r>
    </w:p>
    <w:p w14:paraId="57E8C61E">
      <w:pPr>
        <w:pStyle w:val="12"/>
        <w:numPr>
          <w:ilvl w:val="0"/>
          <w:numId w:val="2"/>
        </w:numPr>
        <w:tabs>
          <w:tab w:val="left" w:pos="4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系统及其主要组件的图解。</w:t>
      </w:r>
    </w:p>
    <w:p w14:paraId="18055D5E">
      <w:pPr>
        <w:pStyle w:val="12"/>
        <w:numPr>
          <w:ilvl w:val="0"/>
          <w:numId w:val="2"/>
        </w:numPr>
        <w:tabs>
          <w:tab w:val="left" w:pos="4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所有安全特性的说明。</w:t>
      </w:r>
    </w:p>
    <w:p w14:paraId="20DBAB47">
      <w:pPr>
        <w:pStyle w:val="12"/>
        <w:numPr>
          <w:ilvl w:val="0"/>
          <w:numId w:val="2"/>
        </w:numPr>
        <w:tabs>
          <w:tab w:val="left" w:pos="4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各系统主要组件/子附件的说明。</w:t>
      </w:r>
    </w:p>
    <w:p w14:paraId="26468B40">
      <w:pPr>
        <w:pStyle w:val="12"/>
        <w:numPr>
          <w:ilvl w:val="0"/>
          <w:numId w:val="2"/>
        </w:numPr>
        <w:tabs>
          <w:tab w:val="left" w:pos="4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根据FDA指导性文件《</w:t>
      </w:r>
      <w:r>
        <w:rPr>
          <w:rFonts w:ascii="Arial" w:hAnsi="Arial" w:eastAsia="宋体" w:cs="Arial"/>
          <w:color w:val="0000FF"/>
          <w:sz w:val="21"/>
          <w:szCs w:val="21"/>
          <w:lang w:eastAsia="zh-CN"/>
        </w:rPr>
        <w:t>有关用于医疗器械中含有软件的上市前提交材料内容指南</w:t>
      </w:r>
      <w:r>
        <w:rPr>
          <w:rFonts w:ascii="Arial" w:hAnsi="Arial" w:eastAsia="宋体" w:cs="Arial"/>
          <w:sz w:val="21"/>
          <w:szCs w:val="21"/>
          <w:lang w:eastAsia="zh-CN"/>
        </w:rPr>
        <w:t>》（5/29/98）（可从DSMA或其网络地址获得）对系统软件/固件（如果适用）的说明。</w:t>
      </w:r>
    </w:p>
    <w:p w14:paraId="6B980699">
      <w:pPr>
        <w:rPr>
          <w:rFonts w:ascii="Arial" w:hAnsi="Arial" w:eastAsia="宋体" w:cs="Arial"/>
          <w:sz w:val="21"/>
          <w:szCs w:val="21"/>
          <w:lang w:eastAsia="zh-CN"/>
        </w:rPr>
      </w:pPr>
      <w:r>
        <w:rPr>
          <w:rFonts w:ascii="Arial" w:hAnsi="Arial" w:eastAsia="宋体" w:cs="Arial"/>
          <w:sz w:val="21"/>
          <w:szCs w:val="21"/>
          <w:lang w:eastAsia="zh-CN"/>
        </w:rPr>
        <w:br w:type="page"/>
      </w:r>
    </w:p>
    <w:p w14:paraId="7B58E286">
      <w:pPr>
        <w:pStyle w:val="12"/>
        <w:numPr>
          <w:ilvl w:val="0"/>
          <w:numId w:val="2"/>
        </w:numPr>
        <w:tabs>
          <w:tab w:val="left" w:pos="4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对用于验证电气安全和电磁相容性的方法的说明。</w:t>
      </w:r>
    </w:p>
    <w:p w14:paraId="6E495603">
      <w:pPr>
        <w:pStyle w:val="12"/>
        <w:numPr>
          <w:ilvl w:val="0"/>
          <w:numId w:val="2"/>
        </w:numPr>
        <w:tabs>
          <w:tab w:val="left" w:pos="4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提出上市许可的每个器械配置的比较描述。</w:t>
      </w:r>
    </w:p>
    <w:p w14:paraId="5DDF9E70">
      <w:pPr>
        <w:snapToGrid w:val="0"/>
        <w:spacing w:before="2" w:line="300" w:lineRule="auto"/>
        <w:jc w:val="both"/>
        <w:rPr>
          <w:rFonts w:ascii="Arial" w:hAnsi="Arial" w:eastAsia="宋体" w:cs="Arial"/>
          <w:sz w:val="21"/>
          <w:szCs w:val="21"/>
          <w:lang w:eastAsia="zh-CN"/>
        </w:rPr>
      </w:pPr>
    </w:p>
    <w:p w14:paraId="66CE1783">
      <w:pPr>
        <w:pStyle w:val="2"/>
        <w:numPr>
          <w:ilvl w:val="0"/>
          <w:numId w:val="1"/>
        </w:numPr>
        <w:tabs>
          <w:tab w:val="left" w:pos="820"/>
        </w:tabs>
        <w:snapToGrid w:val="0"/>
        <w:spacing w:line="300" w:lineRule="auto"/>
        <w:ind w:left="820"/>
        <w:jc w:val="both"/>
        <w:rPr>
          <w:rFonts w:ascii="Arial" w:hAnsi="Arial" w:eastAsia="宋体" w:cs="Arial"/>
          <w:bCs w:val="0"/>
          <w:sz w:val="21"/>
          <w:szCs w:val="21"/>
          <w:u w:val="single"/>
        </w:rPr>
      </w:pPr>
      <w:bookmarkStart w:id="7" w:name="_Toc484177889"/>
      <w:r>
        <w:rPr>
          <w:rFonts w:ascii="Arial" w:hAnsi="Arial" w:eastAsia="宋体" w:cs="Arial"/>
          <w:bCs w:val="0"/>
          <w:sz w:val="21"/>
          <w:szCs w:val="21"/>
          <w:u w:val="single"/>
          <w:lang w:eastAsia="zh-CN"/>
        </w:rPr>
        <w:t>实质等同性声明</w:t>
      </w:r>
      <w:bookmarkEnd w:id="7"/>
    </w:p>
    <w:p w14:paraId="0B68DADA">
      <w:pPr>
        <w:snapToGrid w:val="0"/>
        <w:spacing w:before="10" w:line="300" w:lineRule="auto"/>
        <w:jc w:val="both"/>
        <w:rPr>
          <w:rFonts w:ascii="Arial" w:hAnsi="Arial" w:eastAsia="宋体" w:cs="Arial"/>
          <w:b/>
          <w:bCs/>
          <w:sz w:val="21"/>
          <w:szCs w:val="21"/>
        </w:rPr>
      </w:pPr>
    </w:p>
    <w:p w14:paraId="458D2112">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为了允许进行实质等同性测定，应将所有预期用途、技术特性、性能试验结果和标签与合法上市的器械进行比较。建议以表格格式提供此类比较。</w:t>
      </w:r>
    </w:p>
    <w:p w14:paraId="3DC086CA">
      <w:pPr>
        <w:snapToGrid w:val="0"/>
        <w:spacing w:before="11" w:line="300" w:lineRule="auto"/>
        <w:jc w:val="both"/>
        <w:rPr>
          <w:rFonts w:ascii="Arial" w:hAnsi="Arial" w:eastAsia="宋体" w:cs="Arial"/>
          <w:sz w:val="21"/>
          <w:szCs w:val="21"/>
          <w:lang w:eastAsia="zh-CN"/>
        </w:rPr>
      </w:pPr>
    </w:p>
    <w:p w14:paraId="1DFFD7B7">
      <w:pPr>
        <w:pStyle w:val="2"/>
        <w:numPr>
          <w:ilvl w:val="0"/>
          <w:numId w:val="1"/>
        </w:numPr>
        <w:tabs>
          <w:tab w:val="left" w:pos="820"/>
        </w:tabs>
        <w:snapToGrid w:val="0"/>
        <w:spacing w:line="300" w:lineRule="auto"/>
        <w:ind w:left="820"/>
        <w:jc w:val="both"/>
        <w:rPr>
          <w:rFonts w:ascii="Arial" w:hAnsi="Arial" w:eastAsia="宋体" w:cs="Arial"/>
          <w:bCs w:val="0"/>
          <w:sz w:val="21"/>
          <w:szCs w:val="21"/>
          <w:u w:val="single"/>
        </w:rPr>
      </w:pPr>
      <w:bookmarkStart w:id="8" w:name="_Toc484177890"/>
      <w:r>
        <w:rPr>
          <w:rFonts w:ascii="Arial" w:hAnsi="Arial" w:eastAsia="宋体" w:cs="Arial"/>
          <w:bCs w:val="0"/>
          <w:sz w:val="21"/>
          <w:szCs w:val="21"/>
          <w:u w:val="single"/>
          <w:lang w:eastAsia="zh-CN"/>
        </w:rPr>
        <w:t>标准符合性</w:t>
      </w:r>
      <w:bookmarkEnd w:id="8"/>
    </w:p>
    <w:p w14:paraId="7B034345">
      <w:pPr>
        <w:snapToGrid w:val="0"/>
        <w:spacing w:before="10" w:line="300" w:lineRule="auto"/>
        <w:jc w:val="both"/>
        <w:rPr>
          <w:rFonts w:ascii="Arial" w:hAnsi="Arial" w:eastAsia="宋体" w:cs="Arial"/>
          <w:b/>
          <w:bCs/>
          <w:sz w:val="21"/>
          <w:szCs w:val="21"/>
        </w:rPr>
      </w:pPr>
    </w:p>
    <w:p w14:paraId="2D4E166C">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对于510（k）许可，不一定要符合一致标准，但如果使用FDA认可标准进行第8.D.4节中的电气安全试验，则可以通过在510（k）中提交</w:t>
      </w:r>
      <w:r>
        <w:rPr>
          <w:rFonts w:ascii="宋体" w:hAnsi="宋体" w:eastAsia="宋体" w:cs="Arial"/>
          <w:sz w:val="21"/>
          <w:szCs w:val="21"/>
          <w:lang w:eastAsia="zh-CN"/>
        </w:rPr>
        <w:t>“</w:t>
      </w:r>
      <w:r>
        <w:rPr>
          <w:rFonts w:ascii="Arial" w:hAnsi="Arial" w:eastAsia="宋体" w:cs="Arial"/>
          <w:sz w:val="21"/>
          <w:szCs w:val="21"/>
          <w:lang w:eastAsia="zh-CN"/>
        </w:rPr>
        <w:t>符合性声明</w:t>
      </w:r>
      <w:r>
        <w:rPr>
          <w:rFonts w:ascii="宋体" w:hAnsi="宋体" w:eastAsia="宋体" w:cs="Arial"/>
          <w:sz w:val="21"/>
          <w:szCs w:val="21"/>
          <w:lang w:eastAsia="zh-CN"/>
        </w:rPr>
        <w:t>”</w:t>
      </w:r>
      <w:r>
        <w:rPr>
          <w:rFonts w:ascii="Arial" w:hAnsi="Arial" w:eastAsia="宋体" w:cs="Arial"/>
          <w:sz w:val="21"/>
          <w:szCs w:val="21"/>
          <w:lang w:eastAsia="zh-CN"/>
        </w:rPr>
        <w:t>来完成标准符合性。关于编制公认标准符合声明的指南，制造商应参考以下文件（可从DSMA或所列CDRH网络地址获得）：</w:t>
      </w:r>
    </w:p>
    <w:p w14:paraId="6437A22C">
      <w:pPr>
        <w:snapToGrid w:val="0"/>
        <w:spacing w:before="6" w:line="300" w:lineRule="auto"/>
        <w:jc w:val="both"/>
        <w:rPr>
          <w:rFonts w:ascii="Arial" w:hAnsi="Arial" w:eastAsia="宋体" w:cs="Arial"/>
          <w:sz w:val="21"/>
          <w:szCs w:val="21"/>
          <w:lang w:eastAsia="zh-CN"/>
        </w:rPr>
      </w:pPr>
    </w:p>
    <w:p w14:paraId="455570C3">
      <w:pPr>
        <w:snapToGrid w:val="0"/>
        <w:spacing w:line="300" w:lineRule="auto"/>
        <w:ind w:left="820"/>
        <w:jc w:val="both"/>
        <w:rPr>
          <w:rFonts w:ascii="Arial" w:hAnsi="Arial" w:eastAsia="宋体" w:cs="Arial"/>
          <w:sz w:val="21"/>
          <w:szCs w:val="21"/>
          <w:lang w:eastAsia="zh-CN"/>
        </w:rPr>
      </w:pPr>
      <w:r>
        <w:rPr>
          <w:rFonts w:ascii="Arial" w:hAnsi="Arial" w:eastAsia="宋体" w:cs="Arial"/>
          <w:sz w:val="21"/>
          <w:szCs w:val="21"/>
          <w:lang w:eastAsia="zh-CN"/>
        </w:rPr>
        <w:t>《新版510（k）范式 - 在上市前通告中证明实质等同性的替代方法》（3/20/98）。（http：//www.fda.gov/cdrh/reengine.html）</w:t>
      </w:r>
    </w:p>
    <w:p w14:paraId="79D3CF90">
      <w:pPr>
        <w:snapToGrid w:val="0"/>
        <w:spacing w:before="6" w:line="300" w:lineRule="auto"/>
        <w:jc w:val="both"/>
        <w:rPr>
          <w:rFonts w:ascii="Arial" w:hAnsi="Arial" w:eastAsia="宋体" w:cs="Arial"/>
          <w:sz w:val="21"/>
          <w:szCs w:val="21"/>
          <w:lang w:eastAsia="zh-CN"/>
        </w:rPr>
      </w:pPr>
    </w:p>
    <w:p w14:paraId="7D2BD55C">
      <w:pPr>
        <w:snapToGrid w:val="0"/>
        <w:spacing w:line="300" w:lineRule="auto"/>
        <w:ind w:left="820"/>
        <w:jc w:val="both"/>
        <w:rPr>
          <w:rFonts w:ascii="Arial" w:hAnsi="Arial" w:eastAsia="宋体" w:cs="Arial"/>
          <w:sz w:val="21"/>
          <w:szCs w:val="21"/>
          <w:lang w:eastAsia="zh-CN"/>
        </w:rPr>
      </w:pPr>
      <w:r>
        <w:rPr>
          <w:rFonts w:ascii="Arial" w:hAnsi="Arial" w:eastAsia="宋体" w:cs="Arial"/>
          <w:sz w:val="21"/>
          <w:szCs w:val="21"/>
          <w:lang w:eastAsia="zh-CN"/>
        </w:rPr>
        <w:t>《关于认识和使用一致标准的指南》（2/19/98）</w:t>
      </w:r>
    </w:p>
    <w:p w14:paraId="4DCEC8A3">
      <w:pPr>
        <w:snapToGrid w:val="0"/>
        <w:spacing w:line="300" w:lineRule="auto"/>
        <w:ind w:left="820"/>
        <w:jc w:val="both"/>
        <w:rPr>
          <w:rFonts w:ascii="Arial" w:hAnsi="Arial" w:eastAsia="宋体" w:cs="Arial"/>
          <w:sz w:val="21"/>
          <w:szCs w:val="21"/>
          <w:lang w:eastAsia="zh-CN"/>
        </w:rPr>
      </w:pPr>
      <w:r>
        <w:rPr>
          <w:rFonts w:ascii="Arial" w:hAnsi="Arial" w:eastAsia="宋体" w:cs="Arial"/>
          <w:sz w:val="21"/>
          <w:szCs w:val="21"/>
          <w:lang w:eastAsia="zh-CN"/>
        </w:rPr>
        <w:t>（http：//www.fda.gov/cdrh/modact/modguid.html）</w:t>
      </w:r>
    </w:p>
    <w:p w14:paraId="7D565D65">
      <w:pPr>
        <w:snapToGrid w:val="0"/>
        <w:spacing w:before="11" w:line="300" w:lineRule="auto"/>
        <w:jc w:val="both"/>
        <w:rPr>
          <w:rFonts w:ascii="Arial" w:hAnsi="Arial" w:eastAsia="宋体" w:cs="Arial"/>
          <w:sz w:val="21"/>
          <w:szCs w:val="21"/>
          <w:lang w:eastAsia="zh-CN"/>
        </w:rPr>
      </w:pPr>
    </w:p>
    <w:p w14:paraId="7C1D9B9D">
      <w:pPr>
        <w:pStyle w:val="2"/>
        <w:numPr>
          <w:ilvl w:val="0"/>
          <w:numId w:val="1"/>
        </w:numPr>
        <w:tabs>
          <w:tab w:val="left" w:pos="820"/>
        </w:tabs>
        <w:snapToGrid w:val="0"/>
        <w:spacing w:line="300" w:lineRule="auto"/>
        <w:ind w:left="820"/>
        <w:jc w:val="both"/>
        <w:rPr>
          <w:rFonts w:ascii="Arial" w:hAnsi="Arial" w:eastAsia="宋体" w:cs="Arial"/>
          <w:bCs w:val="0"/>
          <w:sz w:val="21"/>
          <w:szCs w:val="21"/>
          <w:u w:val="single"/>
        </w:rPr>
      </w:pPr>
      <w:bookmarkStart w:id="9" w:name="_Toc484177891"/>
      <w:r>
        <w:rPr>
          <w:rFonts w:ascii="Arial" w:hAnsi="Arial" w:eastAsia="宋体" w:cs="Arial"/>
          <w:bCs w:val="0"/>
          <w:sz w:val="21"/>
          <w:szCs w:val="21"/>
          <w:u w:val="single"/>
          <w:lang w:eastAsia="zh-CN"/>
        </w:rPr>
        <w:t>性能试验</w:t>
      </w:r>
      <w:bookmarkEnd w:id="9"/>
    </w:p>
    <w:p w14:paraId="16E7C801">
      <w:pPr>
        <w:snapToGrid w:val="0"/>
        <w:spacing w:before="10" w:line="300" w:lineRule="auto"/>
        <w:jc w:val="both"/>
        <w:rPr>
          <w:rFonts w:ascii="Arial" w:hAnsi="Arial" w:eastAsia="宋体" w:cs="Arial"/>
          <w:b/>
          <w:bCs/>
          <w:sz w:val="21"/>
          <w:szCs w:val="21"/>
        </w:rPr>
      </w:pPr>
    </w:p>
    <w:p w14:paraId="54F08C7A">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腔内碎石机的制造商应提交以下用于证明拟定和比较器械之间实质等同性的性能试验的结果：</w:t>
      </w:r>
    </w:p>
    <w:p w14:paraId="2B4A146A">
      <w:pPr>
        <w:snapToGrid w:val="0"/>
        <w:spacing w:before="6" w:line="300" w:lineRule="auto"/>
        <w:jc w:val="both"/>
        <w:rPr>
          <w:rFonts w:ascii="Arial" w:hAnsi="Arial" w:eastAsia="宋体" w:cs="Arial"/>
          <w:sz w:val="21"/>
          <w:szCs w:val="21"/>
          <w:lang w:eastAsia="zh-CN"/>
        </w:rPr>
      </w:pPr>
    </w:p>
    <w:p w14:paraId="53FDF628">
      <w:pPr>
        <w:pStyle w:val="12"/>
        <w:numPr>
          <w:ilvl w:val="1"/>
          <w:numId w:val="1"/>
        </w:numPr>
        <w:tabs>
          <w:tab w:val="left" w:pos="1540"/>
        </w:tabs>
        <w:snapToGrid w:val="0"/>
        <w:spacing w:line="300" w:lineRule="auto"/>
        <w:ind w:left="1540" w:hanging="576"/>
        <w:jc w:val="both"/>
        <w:rPr>
          <w:rFonts w:ascii="Arial" w:hAnsi="Arial" w:eastAsia="宋体" w:cs="Arial"/>
          <w:sz w:val="21"/>
          <w:szCs w:val="21"/>
          <w:u w:val="single"/>
        </w:rPr>
      </w:pPr>
      <w:r>
        <w:rPr>
          <w:rFonts w:ascii="Arial" w:hAnsi="Arial" w:eastAsia="宋体" w:cs="Arial"/>
          <w:sz w:val="21"/>
          <w:szCs w:val="21"/>
          <w:u w:val="single"/>
          <w:lang w:eastAsia="zh-CN"/>
        </w:rPr>
        <w:t>图解、尺寸和材料</w:t>
      </w:r>
    </w:p>
    <w:p w14:paraId="50D93997">
      <w:pPr>
        <w:snapToGrid w:val="0"/>
        <w:spacing w:before="3" w:line="300" w:lineRule="auto"/>
        <w:jc w:val="both"/>
        <w:rPr>
          <w:rFonts w:ascii="Arial" w:hAnsi="Arial" w:eastAsia="宋体" w:cs="Arial"/>
          <w:sz w:val="21"/>
          <w:szCs w:val="21"/>
        </w:rPr>
      </w:pPr>
    </w:p>
    <w:p w14:paraId="3701C3B0">
      <w:pPr>
        <w:pStyle w:val="3"/>
        <w:snapToGrid w:val="0"/>
        <w:spacing w:before="69" w:line="300" w:lineRule="auto"/>
        <w:rPr>
          <w:rFonts w:ascii="Arial" w:hAnsi="Arial" w:eastAsia="宋体" w:cs="Arial"/>
          <w:sz w:val="21"/>
          <w:szCs w:val="21"/>
          <w:lang w:eastAsia="zh-CN"/>
        </w:rPr>
      </w:pPr>
      <w:r>
        <w:rPr>
          <w:rFonts w:ascii="Arial" w:hAnsi="Arial" w:eastAsia="宋体" w:cs="Arial"/>
          <w:sz w:val="21"/>
          <w:szCs w:val="21"/>
          <w:lang w:eastAsia="zh-CN"/>
        </w:rPr>
        <w:t>提供器械、组件/子组件和任何附件（如果适用）的图解，并明确标识所有关键尺寸和组件材料。通常需要提供多个图表来显示足够的细节。如果将要上市一系列探针尺寸，则每种探针的尺寸应该单独提供。应提供列出腔内碎石机所有材料的表单，并指明与患者接触的材料。</w:t>
      </w:r>
    </w:p>
    <w:p w14:paraId="452834BE">
      <w:pPr>
        <w:rPr>
          <w:rFonts w:ascii="Arial" w:hAnsi="Arial" w:eastAsia="宋体" w:cs="Arial"/>
          <w:sz w:val="21"/>
          <w:szCs w:val="21"/>
          <w:lang w:eastAsia="zh-CN"/>
        </w:rPr>
      </w:pPr>
      <w:r>
        <w:rPr>
          <w:rFonts w:ascii="Arial" w:hAnsi="Arial" w:eastAsia="宋体" w:cs="Arial"/>
          <w:sz w:val="21"/>
          <w:szCs w:val="21"/>
          <w:lang w:eastAsia="zh-CN"/>
        </w:rPr>
        <w:br w:type="page"/>
      </w:r>
    </w:p>
    <w:p w14:paraId="6F03FC2C">
      <w:pPr>
        <w:pStyle w:val="12"/>
        <w:numPr>
          <w:ilvl w:val="1"/>
          <w:numId w:val="1"/>
        </w:numPr>
        <w:tabs>
          <w:tab w:val="left" w:pos="1540"/>
        </w:tabs>
        <w:snapToGrid w:val="0"/>
        <w:spacing w:line="300" w:lineRule="auto"/>
        <w:ind w:left="1540" w:hanging="576"/>
        <w:jc w:val="both"/>
        <w:rPr>
          <w:rFonts w:ascii="Arial" w:hAnsi="Arial" w:eastAsia="宋体" w:cs="Arial"/>
          <w:sz w:val="21"/>
          <w:szCs w:val="21"/>
          <w:u w:val="single"/>
          <w:lang w:eastAsia="zh-CN"/>
        </w:rPr>
      </w:pPr>
      <w:r>
        <w:rPr>
          <w:rFonts w:ascii="Arial" w:hAnsi="Arial" w:eastAsia="宋体" w:cs="Arial"/>
          <w:sz w:val="21"/>
          <w:szCs w:val="21"/>
          <w:u w:val="single"/>
          <w:lang w:eastAsia="zh-CN"/>
        </w:rPr>
        <w:t>生物相容性试验</w:t>
      </w:r>
    </w:p>
    <w:p w14:paraId="06EE1821">
      <w:pPr>
        <w:snapToGrid w:val="0"/>
        <w:spacing w:before="3" w:line="300" w:lineRule="auto"/>
        <w:jc w:val="both"/>
        <w:rPr>
          <w:rFonts w:ascii="Arial" w:hAnsi="Arial" w:eastAsia="宋体" w:cs="Arial"/>
          <w:sz w:val="21"/>
          <w:szCs w:val="21"/>
        </w:rPr>
      </w:pPr>
    </w:p>
    <w:p w14:paraId="61C9A42C">
      <w:pPr>
        <w:pStyle w:val="3"/>
        <w:snapToGrid w:val="0"/>
        <w:spacing w:before="69" w:line="300" w:lineRule="auto"/>
        <w:ind w:left="120"/>
        <w:jc w:val="both"/>
        <w:rPr>
          <w:rFonts w:ascii="Arial" w:hAnsi="Arial" w:eastAsia="宋体" w:cs="Arial"/>
          <w:sz w:val="21"/>
          <w:szCs w:val="21"/>
          <w:lang w:eastAsia="zh-CN"/>
        </w:rPr>
      </w:pPr>
      <w:r>
        <w:rPr>
          <w:rFonts w:ascii="Arial" w:hAnsi="Arial" w:eastAsia="宋体" w:cs="Arial"/>
          <w:sz w:val="21"/>
          <w:szCs w:val="21"/>
          <w:lang w:eastAsia="zh-CN"/>
        </w:rPr>
        <w:t>应提交在所有接触身体材料上进行生物相容性试验的结果，或说明所使用的每种材料成分与在具有相似患者接触程度的合法上市器械中使用相同的证明。如果经尿道使用，腔内碎石机被视为短期粘膜接触的表面器械。有关这些器械的试验应包括但不限于细胞毒性、敏化和刺激（或皮内反应性）。如果这些器械经皮使用，则被视为短期间接血液接触血管的外部接入器械。有关这些器械的试验应包括但不限于细胞毒性、敏化、刺激（或皮内反应性）、急性全身毒性和血液相容性。</w:t>
      </w:r>
    </w:p>
    <w:p w14:paraId="0FAC1B42">
      <w:pPr>
        <w:snapToGrid w:val="0"/>
        <w:spacing w:before="6" w:line="300" w:lineRule="auto"/>
        <w:jc w:val="both"/>
        <w:rPr>
          <w:rFonts w:ascii="Arial" w:hAnsi="Arial" w:eastAsia="宋体" w:cs="Arial"/>
          <w:sz w:val="21"/>
          <w:szCs w:val="21"/>
          <w:lang w:eastAsia="zh-CN"/>
        </w:rPr>
      </w:pPr>
    </w:p>
    <w:p w14:paraId="4E2315C8">
      <w:pPr>
        <w:pStyle w:val="3"/>
        <w:snapToGrid w:val="0"/>
        <w:spacing w:line="300" w:lineRule="auto"/>
        <w:ind w:left="120"/>
        <w:jc w:val="both"/>
        <w:rPr>
          <w:rFonts w:ascii="Arial" w:hAnsi="Arial" w:eastAsia="宋体" w:cs="Arial"/>
          <w:sz w:val="21"/>
          <w:szCs w:val="21"/>
          <w:lang w:eastAsia="zh-CN"/>
        </w:rPr>
      </w:pPr>
      <w:r>
        <w:rPr>
          <w:rFonts w:ascii="Arial" w:hAnsi="Arial" w:eastAsia="宋体" w:cs="Arial"/>
          <w:sz w:val="21"/>
          <w:szCs w:val="21"/>
          <w:lang w:eastAsia="zh-CN"/>
        </w:rPr>
        <w:t>有关生物相容性的其他信息，请参阅题为</w:t>
      </w:r>
      <w:r>
        <w:rPr>
          <w:rFonts w:hint="eastAsia" w:ascii="Arial" w:hAnsi="Arial" w:eastAsia="宋体" w:cs="Arial"/>
          <w:sz w:val="21"/>
          <w:szCs w:val="21"/>
          <w:lang w:eastAsia="zh-CN"/>
        </w:rPr>
        <w:t>“</w:t>
      </w:r>
      <w:r>
        <w:rPr>
          <w:rFonts w:ascii="Arial" w:hAnsi="Arial" w:eastAsia="宋体" w:cs="Arial"/>
          <w:sz w:val="21"/>
          <w:szCs w:val="21"/>
          <w:lang w:eastAsia="zh-CN"/>
        </w:rPr>
        <w:t>使用国际标准ISO-10993，医疗器械生物学评价第1部分：评价和试验</w:t>
      </w:r>
      <w:r>
        <w:rPr>
          <w:rFonts w:hint="eastAsia" w:ascii="Arial" w:hAnsi="Arial" w:eastAsia="宋体" w:cs="Arial"/>
          <w:sz w:val="21"/>
          <w:szCs w:val="21"/>
          <w:lang w:eastAsia="zh-CN"/>
        </w:rPr>
        <w:t>”</w:t>
      </w:r>
      <w:r>
        <w:rPr>
          <w:rFonts w:ascii="Arial" w:hAnsi="Arial" w:eastAsia="宋体" w:cs="Arial"/>
          <w:sz w:val="21"/>
          <w:szCs w:val="21"/>
          <w:lang w:eastAsia="zh-CN"/>
        </w:rPr>
        <w:t>（5/1/95）的文件。本指导性文件的副本可从DSMA获得。</w:t>
      </w:r>
    </w:p>
    <w:p w14:paraId="12C617A1">
      <w:pPr>
        <w:snapToGrid w:val="0"/>
        <w:spacing w:before="6" w:line="300" w:lineRule="auto"/>
        <w:jc w:val="both"/>
        <w:rPr>
          <w:rFonts w:ascii="Arial" w:hAnsi="Arial" w:eastAsia="宋体" w:cs="Arial"/>
          <w:sz w:val="21"/>
          <w:szCs w:val="21"/>
          <w:lang w:eastAsia="zh-CN"/>
        </w:rPr>
      </w:pPr>
    </w:p>
    <w:p w14:paraId="54852406">
      <w:pPr>
        <w:pStyle w:val="12"/>
        <w:numPr>
          <w:ilvl w:val="1"/>
          <w:numId w:val="1"/>
        </w:numPr>
        <w:tabs>
          <w:tab w:val="left" w:pos="1560"/>
        </w:tabs>
        <w:snapToGrid w:val="0"/>
        <w:spacing w:line="300" w:lineRule="auto"/>
        <w:ind w:left="1540" w:hanging="576"/>
        <w:jc w:val="both"/>
        <w:rPr>
          <w:rFonts w:ascii="Arial" w:hAnsi="Arial" w:eastAsia="宋体" w:cs="Arial"/>
          <w:sz w:val="21"/>
          <w:szCs w:val="21"/>
          <w:u w:val="single"/>
          <w:lang w:eastAsia="zh-CN"/>
        </w:rPr>
      </w:pPr>
      <w:r>
        <w:rPr>
          <w:rFonts w:ascii="Arial" w:hAnsi="Arial" w:eastAsia="宋体" w:cs="Arial"/>
          <w:sz w:val="21"/>
          <w:szCs w:val="21"/>
          <w:u w:val="single"/>
          <w:lang w:eastAsia="zh-CN"/>
        </w:rPr>
        <w:t>力学可靠性性能特性</w:t>
      </w:r>
    </w:p>
    <w:p w14:paraId="12C3DE49">
      <w:pPr>
        <w:snapToGrid w:val="0"/>
        <w:spacing w:before="3" w:line="300" w:lineRule="auto"/>
        <w:jc w:val="both"/>
        <w:rPr>
          <w:rFonts w:ascii="Arial" w:hAnsi="Arial" w:eastAsia="宋体" w:cs="Arial"/>
          <w:sz w:val="21"/>
          <w:szCs w:val="21"/>
        </w:rPr>
      </w:pPr>
    </w:p>
    <w:p w14:paraId="0059B189">
      <w:pPr>
        <w:pStyle w:val="3"/>
        <w:snapToGrid w:val="0"/>
        <w:spacing w:before="69" w:line="300" w:lineRule="auto"/>
        <w:ind w:left="119"/>
        <w:jc w:val="both"/>
        <w:rPr>
          <w:rFonts w:ascii="Arial" w:hAnsi="Arial" w:eastAsia="宋体" w:cs="Arial"/>
          <w:sz w:val="21"/>
          <w:szCs w:val="21"/>
          <w:lang w:eastAsia="zh-CN"/>
        </w:rPr>
      </w:pPr>
      <w:r>
        <w:rPr>
          <w:rFonts w:ascii="Arial" w:hAnsi="Arial" w:eastAsia="宋体" w:cs="Arial"/>
          <w:sz w:val="21"/>
          <w:szCs w:val="21"/>
          <w:lang w:eastAsia="zh-CN"/>
        </w:rPr>
        <w:t>所有腔内碎石机，无论何种类型，都应符合具体的安全性和有效性标准。以下将给出了用于说明器械满足这些标准能力的性能试验的建议。申办方应该意识到，这些建议并不详尽，且对于某些器械设计，可能需要进行额外的试验来证明与比较器械的实质等同性。申办方应该进一步意识到，如果器械设计与先前已上市器械的显著不同（例如，新的作用机制等），可能需要提供临床数据（请参见第8.D节）。</w:t>
      </w:r>
    </w:p>
    <w:p w14:paraId="0BFC7943">
      <w:pPr>
        <w:snapToGrid w:val="0"/>
        <w:spacing w:before="6" w:line="300" w:lineRule="auto"/>
        <w:jc w:val="both"/>
        <w:rPr>
          <w:rFonts w:ascii="Arial" w:hAnsi="Arial" w:eastAsia="宋体" w:cs="Arial"/>
          <w:sz w:val="21"/>
          <w:szCs w:val="21"/>
          <w:lang w:eastAsia="zh-CN"/>
        </w:rPr>
      </w:pPr>
    </w:p>
    <w:p w14:paraId="57BD39F7">
      <w:pPr>
        <w:pStyle w:val="3"/>
        <w:snapToGrid w:val="0"/>
        <w:spacing w:line="300" w:lineRule="auto"/>
        <w:ind w:left="119"/>
        <w:jc w:val="both"/>
        <w:rPr>
          <w:rFonts w:ascii="Arial" w:hAnsi="Arial" w:eastAsia="宋体" w:cs="Arial"/>
          <w:sz w:val="21"/>
          <w:szCs w:val="21"/>
          <w:lang w:eastAsia="zh-CN"/>
        </w:rPr>
      </w:pPr>
      <w:r>
        <w:rPr>
          <w:rFonts w:ascii="Arial" w:hAnsi="Arial" w:eastAsia="宋体" w:cs="Arial"/>
          <w:sz w:val="21"/>
          <w:szCs w:val="21"/>
          <w:lang w:eastAsia="zh-CN"/>
        </w:rPr>
        <w:t>所有试验应在已完成的灭菌样本上进行，并且应尽可能将试验结果与合法上市比较器械的试验结果进行比较。对于每种探针尺寸，应分别进行试验，除非提供充分的理由。对腔内碎石机应考虑进行以下试验：</w:t>
      </w:r>
    </w:p>
    <w:p w14:paraId="43BB6B26">
      <w:pPr>
        <w:snapToGrid w:val="0"/>
        <w:spacing w:before="6" w:line="300" w:lineRule="auto"/>
        <w:jc w:val="both"/>
        <w:rPr>
          <w:rFonts w:ascii="Arial" w:hAnsi="Arial" w:eastAsia="宋体" w:cs="Arial"/>
          <w:sz w:val="21"/>
          <w:szCs w:val="21"/>
          <w:lang w:eastAsia="zh-CN"/>
        </w:rPr>
      </w:pPr>
    </w:p>
    <w:p w14:paraId="080A6B8C">
      <w:pPr>
        <w:pStyle w:val="12"/>
        <w:numPr>
          <w:ilvl w:val="2"/>
          <w:numId w:val="1"/>
        </w:numPr>
        <w:tabs>
          <w:tab w:val="left" w:pos="1560"/>
        </w:tabs>
        <w:snapToGrid w:val="0"/>
        <w:spacing w:line="300" w:lineRule="auto"/>
        <w:jc w:val="both"/>
        <w:rPr>
          <w:rFonts w:ascii="Arial" w:hAnsi="Arial" w:eastAsia="宋体" w:cs="Arial"/>
          <w:sz w:val="21"/>
          <w:szCs w:val="21"/>
        </w:rPr>
      </w:pPr>
      <w:r>
        <w:rPr>
          <w:rFonts w:ascii="Arial" w:hAnsi="Arial" w:eastAsia="宋体" w:cs="Arial"/>
          <w:sz w:val="21"/>
          <w:szCs w:val="21"/>
          <w:lang w:eastAsia="zh-CN"/>
        </w:rPr>
        <w:t>碎石试验：</w:t>
      </w:r>
    </w:p>
    <w:p w14:paraId="12CC8C10">
      <w:pPr>
        <w:snapToGrid w:val="0"/>
        <w:spacing w:before="3" w:line="300" w:lineRule="auto"/>
        <w:jc w:val="both"/>
        <w:rPr>
          <w:rFonts w:ascii="Arial" w:hAnsi="Arial" w:eastAsia="宋体" w:cs="Arial"/>
          <w:sz w:val="21"/>
          <w:szCs w:val="21"/>
        </w:rPr>
      </w:pPr>
    </w:p>
    <w:p w14:paraId="5FBBDEBF">
      <w:pPr>
        <w:pStyle w:val="3"/>
        <w:snapToGrid w:val="0"/>
        <w:spacing w:line="300" w:lineRule="auto"/>
        <w:ind w:left="120"/>
        <w:jc w:val="both"/>
        <w:rPr>
          <w:rFonts w:ascii="Arial" w:hAnsi="Arial" w:eastAsia="宋体" w:cs="Arial"/>
          <w:sz w:val="21"/>
          <w:szCs w:val="21"/>
          <w:lang w:eastAsia="zh-CN"/>
        </w:rPr>
      </w:pPr>
      <w:r>
        <w:rPr>
          <w:rFonts w:ascii="Arial" w:hAnsi="Arial" w:eastAsia="宋体" w:cs="Arial"/>
          <w:sz w:val="21"/>
          <w:szCs w:val="21"/>
          <w:lang w:eastAsia="zh-CN"/>
        </w:rPr>
        <w:t>该试验的目的是确定拟定器械是否能够充分地破碎/粉碎结石。在本次试验中应使用数量在统计学上具有显著性的尿道结石或合理的模型材料。试验应证明器械可以在模拟使用条件下破碎结石。模拟使用条件的一个示例将是通过穿过胆道/尿道模型的柔性内窥镜在水/盐水下破碎结石。</w:t>
      </w:r>
    </w:p>
    <w:p w14:paraId="35735898">
      <w:pPr>
        <w:pStyle w:val="12"/>
        <w:tabs>
          <w:tab w:val="left" w:pos="1560"/>
        </w:tabs>
        <w:snapToGrid w:val="0"/>
        <w:spacing w:before="41" w:line="300" w:lineRule="auto"/>
        <w:ind w:left="1560"/>
        <w:jc w:val="both"/>
        <w:rPr>
          <w:rFonts w:ascii="Arial" w:hAnsi="Arial" w:eastAsia="宋体" w:cs="Arial"/>
          <w:sz w:val="21"/>
          <w:szCs w:val="21"/>
          <w:lang w:eastAsia="zh-CN"/>
        </w:rPr>
      </w:pPr>
    </w:p>
    <w:p w14:paraId="2A41E686">
      <w:pPr>
        <w:rPr>
          <w:rFonts w:ascii="Arial" w:hAnsi="Arial" w:eastAsia="宋体" w:cs="Arial"/>
          <w:sz w:val="21"/>
          <w:szCs w:val="21"/>
          <w:lang w:eastAsia="zh-CN"/>
        </w:rPr>
      </w:pPr>
      <w:r>
        <w:rPr>
          <w:rFonts w:ascii="Arial" w:hAnsi="Arial" w:eastAsia="宋体" w:cs="Arial"/>
          <w:sz w:val="21"/>
          <w:szCs w:val="21"/>
          <w:lang w:eastAsia="zh-CN"/>
        </w:rPr>
        <w:br w:type="page"/>
      </w:r>
    </w:p>
    <w:p w14:paraId="5067DAD5">
      <w:pPr>
        <w:pStyle w:val="12"/>
        <w:numPr>
          <w:ilvl w:val="2"/>
          <w:numId w:val="1"/>
        </w:numPr>
        <w:tabs>
          <w:tab w:val="left" w:pos="1560"/>
        </w:tabs>
        <w:snapToGrid w:val="0"/>
        <w:spacing w:before="41" w:line="300" w:lineRule="auto"/>
        <w:jc w:val="both"/>
        <w:rPr>
          <w:rFonts w:ascii="Arial" w:hAnsi="Arial" w:eastAsia="宋体" w:cs="Arial"/>
          <w:sz w:val="21"/>
          <w:szCs w:val="21"/>
        </w:rPr>
      </w:pPr>
      <w:r>
        <w:rPr>
          <w:rFonts w:ascii="Arial" w:hAnsi="Arial" w:eastAsia="宋体" w:cs="Arial"/>
          <w:sz w:val="21"/>
          <w:szCs w:val="21"/>
          <w:lang w:eastAsia="zh-CN"/>
        </w:rPr>
        <w:t>组织穿孔试验：</w:t>
      </w:r>
    </w:p>
    <w:p w14:paraId="3B42FEB6">
      <w:pPr>
        <w:snapToGrid w:val="0"/>
        <w:spacing w:before="3" w:line="300" w:lineRule="auto"/>
        <w:jc w:val="both"/>
        <w:rPr>
          <w:rFonts w:ascii="Arial" w:hAnsi="Arial" w:eastAsia="宋体" w:cs="Arial"/>
          <w:sz w:val="21"/>
          <w:szCs w:val="21"/>
        </w:rPr>
      </w:pPr>
    </w:p>
    <w:p w14:paraId="12C91B1D">
      <w:pPr>
        <w:pStyle w:val="3"/>
        <w:snapToGrid w:val="0"/>
        <w:spacing w:line="300" w:lineRule="auto"/>
        <w:ind w:left="120"/>
        <w:jc w:val="both"/>
        <w:rPr>
          <w:rFonts w:ascii="Arial" w:hAnsi="Arial" w:eastAsia="宋体" w:cs="Arial"/>
          <w:sz w:val="21"/>
          <w:szCs w:val="21"/>
          <w:lang w:eastAsia="zh-CN"/>
        </w:rPr>
      </w:pPr>
      <w:r>
        <w:rPr>
          <w:rFonts w:ascii="Arial" w:hAnsi="Arial" w:eastAsia="宋体" w:cs="Arial"/>
          <w:sz w:val="21"/>
          <w:szCs w:val="21"/>
          <w:lang w:eastAsia="zh-CN"/>
        </w:rPr>
        <w:t>该试验的目的是证明该器械不会产生使组织损伤的不合理风险。该试验应包括操作器械以及使探针直接接触适当组织（例如，外植输尿管和/或肾组织）以及评价任何具有临床显著性的损伤。动物模型也可以用于此试验。</w:t>
      </w:r>
    </w:p>
    <w:p w14:paraId="6C365CE8">
      <w:pPr>
        <w:snapToGrid w:val="0"/>
        <w:spacing w:before="6" w:line="300" w:lineRule="auto"/>
        <w:jc w:val="both"/>
        <w:rPr>
          <w:rFonts w:ascii="Arial" w:hAnsi="Arial" w:eastAsia="宋体" w:cs="Arial"/>
          <w:sz w:val="21"/>
          <w:szCs w:val="21"/>
          <w:lang w:eastAsia="zh-CN"/>
        </w:rPr>
      </w:pPr>
    </w:p>
    <w:p w14:paraId="7C9723F8">
      <w:pPr>
        <w:pStyle w:val="12"/>
        <w:numPr>
          <w:ilvl w:val="2"/>
          <w:numId w:val="1"/>
        </w:numPr>
        <w:tabs>
          <w:tab w:val="left" w:pos="1560"/>
        </w:tabs>
        <w:snapToGrid w:val="0"/>
        <w:spacing w:line="300" w:lineRule="auto"/>
        <w:jc w:val="both"/>
        <w:rPr>
          <w:rFonts w:ascii="Arial" w:hAnsi="Arial" w:eastAsia="宋体" w:cs="Arial"/>
          <w:sz w:val="21"/>
          <w:szCs w:val="21"/>
        </w:rPr>
      </w:pPr>
      <w:r>
        <w:rPr>
          <w:rFonts w:ascii="Arial" w:hAnsi="Arial" w:eastAsia="宋体" w:cs="Arial"/>
          <w:sz w:val="21"/>
          <w:szCs w:val="21"/>
          <w:lang w:eastAsia="zh-CN"/>
        </w:rPr>
        <w:t>探针寿命试验：</w:t>
      </w:r>
    </w:p>
    <w:p w14:paraId="4D4BCC51">
      <w:pPr>
        <w:snapToGrid w:val="0"/>
        <w:spacing w:before="3" w:line="300" w:lineRule="auto"/>
        <w:jc w:val="both"/>
        <w:rPr>
          <w:rFonts w:ascii="Arial" w:hAnsi="Arial" w:eastAsia="宋体" w:cs="Arial"/>
          <w:sz w:val="21"/>
          <w:szCs w:val="21"/>
        </w:rPr>
      </w:pPr>
    </w:p>
    <w:p w14:paraId="7E86BEE4">
      <w:pPr>
        <w:pStyle w:val="3"/>
        <w:snapToGrid w:val="0"/>
        <w:spacing w:line="300" w:lineRule="auto"/>
        <w:ind w:left="120"/>
        <w:jc w:val="both"/>
        <w:rPr>
          <w:rFonts w:ascii="Arial" w:hAnsi="Arial" w:eastAsia="宋体" w:cs="Arial"/>
          <w:sz w:val="21"/>
          <w:szCs w:val="21"/>
          <w:lang w:eastAsia="zh-CN"/>
        </w:rPr>
      </w:pPr>
      <w:r>
        <w:rPr>
          <w:rFonts w:ascii="Arial" w:hAnsi="Arial" w:eastAsia="宋体" w:cs="Arial"/>
          <w:sz w:val="21"/>
          <w:szCs w:val="21"/>
          <w:lang w:eastAsia="zh-CN"/>
        </w:rPr>
        <w:t>该试验的目的是证明探针在需要再灭菌和重复使用条件下承受建议再灭菌次数并仍然成功破碎结石的能力。这些数据也应用于在标签中提出有关探针预期寿命的具体建议。如果探针仅用于一次性使用，则只要已经成功进行碎石试验，则可以省略该试验。</w:t>
      </w:r>
    </w:p>
    <w:p w14:paraId="02709C09">
      <w:pPr>
        <w:snapToGrid w:val="0"/>
        <w:spacing w:before="6" w:line="300" w:lineRule="auto"/>
        <w:jc w:val="both"/>
        <w:rPr>
          <w:rFonts w:ascii="Arial" w:hAnsi="Arial" w:eastAsia="宋体" w:cs="Arial"/>
          <w:sz w:val="21"/>
          <w:szCs w:val="21"/>
          <w:lang w:eastAsia="zh-CN"/>
        </w:rPr>
      </w:pPr>
    </w:p>
    <w:p w14:paraId="351EB35A">
      <w:pPr>
        <w:pStyle w:val="12"/>
        <w:numPr>
          <w:ilvl w:val="2"/>
          <w:numId w:val="1"/>
        </w:numPr>
        <w:tabs>
          <w:tab w:val="left" w:pos="1560"/>
        </w:tabs>
        <w:snapToGrid w:val="0"/>
        <w:spacing w:line="300" w:lineRule="auto"/>
        <w:jc w:val="both"/>
        <w:rPr>
          <w:rFonts w:ascii="Arial" w:hAnsi="Arial" w:eastAsia="宋体" w:cs="Arial"/>
          <w:sz w:val="21"/>
          <w:szCs w:val="21"/>
        </w:rPr>
      </w:pPr>
      <w:r>
        <w:rPr>
          <w:rFonts w:ascii="Arial" w:hAnsi="Arial" w:eastAsia="宋体" w:cs="Arial"/>
          <w:sz w:val="21"/>
          <w:szCs w:val="21"/>
          <w:lang w:eastAsia="zh-CN"/>
        </w:rPr>
        <w:t>电气安全试验：</w:t>
      </w:r>
    </w:p>
    <w:p w14:paraId="75D3525F">
      <w:pPr>
        <w:snapToGrid w:val="0"/>
        <w:spacing w:before="3" w:line="300" w:lineRule="auto"/>
        <w:jc w:val="both"/>
        <w:rPr>
          <w:rFonts w:ascii="Arial" w:hAnsi="Arial" w:eastAsia="宋体" w:cs="Arial"/>
          <w:sz w:val="21"/>
          <w:szCs w:val="21"/>
        </w:rPr>
      </w:pPr>
    </w:p>
    <w:p w14:paraId="29BAF6EC">
      <w:pPr>
        <w:pStyle w:val="3"/>
        <w:snapToGrid w:val="0"/>
        <w:spacing w:line="300" w:lineRule="auto"/>
        <w:ind w:left="120"/>
        <w:jc w:val="both"/>
        <w:rPr>
          <w:rFonts w:ascii="Arial" w:hAnsi="Arial" w:eastAsia="宋体" w:cs="Arial"/>
          <w:sz w:val="21"/>
          <w:szCs w:val="21"/>
          <w:lang w:eastAsia="zh-CN"/>
        </w:rPr>
      </w:pPr>
      <w:r>
        <w:rPr>
          <w:rFonts w:ascii="Arial" w:hAnsi="Arial" w:eastAsia="宋体" w:cs="Arial"/>
          <w:sz w:val="21"/>
          <w:szCs w:val="21"/>
          <w:lang w:eastAsia="zh-CN"/>
        </w:rPr>
        <w:t>从该试验产生的数据可应解决电气安全问题（例如泄漏电流、接地、隔离等），或者申办方应提供认证以证明成品满足医疗器械公认电气标准最新版本中规定的所有适用要求（例如，ANSI/AAMI HF-18、ANSI/AAMI ESI-1985、IEC60601-1-1和/或UL2601）。</w:t>
      </w:r>
    </w:p>
    <w:p w14:paraId="3142650E">
      <w:pPr>
        <w:pStyle w:val="3"/>
        <w:snapToGrid w:val="0"/>
        <w:spacing w:line="300" w:lineRule="auto"/>
        <w:ind w:left="120"/>
        <w:jc w:val="both"/>
        <w:rPr>
          <w:rFonts w:ascii="Arial" w:hAnsi="Arial" w:eastAsia="宋体" w:cs="Arial"/>
          <w:sz w:val="21"/>
          <w:szCs w:val="21"/>
          <w:lang w:eastAsia="zh-CN"/>
        </w:rPr>
      </w:pPr>
    </w:p>
    <w:p w14:paraId="430C9ED1">
      <w:pPr>
        <w:pStyle w:val="3"/>
        <w:snapToGrid w:val="0"/>
        <w:spacing w:line="300" w:lineRule="auto"/>
        <w:ind w:left="120"/>
        <w:jc w:val="both"/>
        <w:rPr>
          <w:rFonts w:ascii="Arial" w:hAnsi="Arial" w:eastAsia="宋体" w:cs="Arial"/>
          <w:sz w:val="21"/>
          <w:szCs w:val="21"/>
          <w:lang w:eastAsia="zh-CN"/>
        </w:rPr>
      </w:pPr>
      <w:r>
        <w:rPr>
          <w:rFonts w:ascii="Arial" w:hAnsi="Arial" w:eastAsia="宋体" w:cs="Arial"/>
          <w:sz w:val="21"/>
          <w:szCs w:val="21"/>
          <w:lang w:eastAsia="zh-CN"/>
        </w:rPr>
        <w:t>由于设计的可变性，上述试验方案可能不足以充分确定器械在安全性和有效性方面与比较器械是否实质等同。因此，可能需要进行额外的试验。相反，上述方案的部分可能不适用于每种可能的设计构造，因此，说明未进行某些试验的理由是可接受的。</w:t>
      </w:r>
    </w:p>
    <w:p w14:paraId="056CEC3D">
      <w:pPr>
        <w:pStyle w:val="3"/>
        <w:snapToGrid w:val="0"/>
        <w:spacing w:line="300" w:lineRule="auto"/>
        <w:ind w:left="120"/>
        <w:jc w:val="both"/>
        <w:rPr>
          <w:rFonts w:ascii="Arial" w:hAnsi="Arial" w:eastAsia="宋体" w:cs="Arial"/>
          <w:sz w:val="21"/>
          <w:szCs w:val="21"/>
          <w:lang w:eastAsia="zh-CN"/>
        </w:rPr>
      </w:pPr>
    </w:p>
    <w:p w14:paraId="56357E0F">
      <w:pPr>
        <w:pStyle w:val="12"/>
        <w:numPr>
          <w:ilvl w:val="0"/>
          <w:numId w:val="3"/>
        </w:numPr>
        <w:tabs>
          <w:tab w:val="left" w:pos="1560"/>
        </w:tabs>
        <w:snapToGrid w:val="0"/>
        <w:spacing w:line="300" w:lineRule="auto"/>
        <w:jc w:val="both"/>
        <w:rPr>
          <w:rFonts w:ascii="Arial" w:hAnsi="Arial" w:eastAsia="宋体" w:cs="Arial"/>
          <w:sz w:val="21"/>
          <w:szCs w:val="21"/>
          <w:u w:val="single"/>
        </w:rPr>
      </w:pPr>
      <w:r>
        <w:rPr>
          <w:rFonts w:ascii="Arial" w:hAnsi="Arial" w:eastAsia="宋体" w:cs="Arial"/>
          <w:sz w:val="21"/>
          <w:szCs w:val="21"/>
          <w:u w:val="single"/>
          <w:lang w:eastAsia="zh-CN"/>
        </w:rPr>
        <w:t>临床试验</w:t>
      </w:r>
    </w:p>
    <w:p w14:paraId="5D31DFE3">
      <w:pPr>
        <w:snapToGrid w:val="0"/>
        <w:spacing w:before="8" w:line="300" w:lineRule="auto"/>
        <w:jc w:val="both"/>
        <w:rPr>
          <w:rFonts w:ascii="Arial" w:hAnsi="Arial" w:eastAsia="宋体" w:cs="Arial"/>
          <w:sz w:val="21"/>
          <w:szCs w:val="21"/>
        </w:rPr>
      </w:pPr>
    </w:p>
    <w:p w14:paraId="0C48D8B3">
      <w:pPr>
        <w:snapToGrid w:val="0"/>
        <w:spacing w:before="69" w:line="300" w:lineRule="auto"/>
        <w:ind w:left="119"/>
        <w:rPr>
          <w:rFonts w:ascii="Arial" w:hAnsi="Arial" w:eastAsia="宋体" w:cs="Arial"/>
          <w:sz w:val="21"/>
          <w:szCs w:val="21"/>
          <w:lang w:eastAsia="zh-CN"/>
        </w:rPr>
      </w:pPr>
      <w:r>
        <w:rPr>
          <w:rFonts w:hint="eastAsia" w:ascii="Arial" w:hAnsi="Arial" w:eastAsia="宋体" w:cs="Arial"/>
          <w:b/>
          <w:sz w:val="21"/>
          <w:szCs w:val="21"/>
          <w:lang w:eastAsia="zh-CN"/>
        </w:rPr>
        <w:t>如果腔内碎石机采用了新的作用机制以将能量传递给靶结石（与已合法上市的器械比较），或者已经过一定程度的修改使得其临床性能不能仅仅基于台架试验来预测</w:t>
      </w:r>
      <w:r>
        <w:rPr>
          <w:rFonts w:ascii="Arial" w:hAnsi="Arial" w:eastAsia="宋体" w:cs="Arial"/>
          <w:sz w:val="21"/>
          <w:szCs w:val="21"/>
          <w:lang w:eastAsia="zh-CN"/>
        </w:rPr>
        <w:t>，则申办方应该进行临床研究，以评估碎石机的新技术特征是否与比较器械一样安全有效。建议在提交510（k）之前就有关特定器械临床数据的必要性的任何疑问联系泌尿和碎石器械科。</w:t>
      </w:r>
    </w:p>
    <w:p w14:paraId="68DEA57E">
      <w:pPr>
        <w:rPr>
          <w:rFonts w:ascii="Arial" w:hAnsi="Arial" w:eastAsia="宋体" w:cs="Arial"/>
          <w:sz w:val="21"/>
          <w:szCs w:val="21"/>
          <w:lang w:eastAsia="zh-CN"/>
        </w:rPr>
      </w:pPr>
      <w:r>
        <w:rPr>
          <w:rFonts w:ascii="Arial" w:hAnsi="Arial" w:eastAsia="宋体" w:cs="Arial"/>
          <w:sz w:val="21"/>
          <w:szCs w:val="21"/>
          <w:lang w:eastAsia="zh-CN"/>
        </w:rPr>
        <w:br w:type="page"/>
      </w:r>
    </w:p>
    <w:p w14:paraId="1C3AB90C">
      <w:pPr>
        <w:snapToGrid w:val="0"/>
        <w:spacing w:before="69" w:line="300" w:lineRule="auto"/>
        <w:ind w:left="119"/>
        <w:rPr>
          <w:rFonts w:ascii="Arial" w:hAnsi="Arial" w:eastAsia="宋体" w:cs="Arial"/>
          <w:sz w:val="21"/>
          <w:szCs w:val="21"/>
          <w:lang w:eastAsia="zh-CN"/>
        </w:rPr>
      </w:pPr>
      <w:r>
        <w:rPr>
          <w:rFonts w:ascii="Arial" w:hAnsi="Arial" w:eastAsia="宋体" w:cs="Arial"/>
          <w:sz w:val="21"/>
          <w:szCs w:val="21"/>
          <w:lang w:eastAsia="zh-CN"/>
        </w:rPr>
        <w:t>如果申办方要求增加关于器械临床性能的特定器械声明，则应提交足以在统计上支持此类声明的临床数据。请咨询泌尿和碎石器械司了解有关适当研究设计的指南，来解决器械拟定的具体临床性能要求。</w:t>
      </w:r>
    </w:p>
    <w:p w14:paraId="13D9BCA1">
      <w:pPr>
        <w:pStyle w:val="3"/>
        <w:snapToGrid w:val="0"/>
        <w:spacing w:line="300" w:lineRule="auto"/>
        <w:jc w:val="both"/>
        <w:rPr>
          <w:rFonts w:ascii="Arial" w:hAnsi="Arial" w:eastAsia="宋体" w:cs="Arial"/>
          <w:sz w:val="21"/>
          <w:szCs w:val="21"/>
          <w:lang w:eastAsia="zh-CN"/>
        </w:rPr>
      </w:pPr>
    </w:p>
    <w:p w14:paraId="1D35F7DC">
      <w:pPr>
        <w:pStyle w:val="3"/>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任何有关未合法上市的腔内碎石机的美国临床研究都必须按照重大风险器械的器械临床研究豁免（IDE）法规进行。可以报告外部临床经验，但研究须按照有关保护人体研究对象的IDE法规（通常称为</w:t>
      </w:r>
      <w:r>
        <w:rPr>
          <w:rFonts w:ascii="宋体" w:hAnsi="宋体" w:eastAsia="宋体" w:cs="Arial"/>
          <w:sz w:val="21"/>
          <w:szCs w:val="21"/>
          <w:lang w:eastAsia="zh-CN"/>
        </w:rPr>
        <w:t>“</w:t>
      </w:r>
      <w:r>
        <w:rPr>
          <w:rFonts w:ascii="Arial" w:hAnsi="Arial" w:eastAsia="宋体" w:cs="Arial"/>
          <w:sz w:val="21"/>
          <w:szCs w:val="21"/>
          <w:lang w:eastAsia="zh-CN"/>
        </w:rPr>
        <w:t>赫尔辛基宣言</w:t>
      </w:r>
      <w:r>
        <w:rPr>
          <w:rFonts w:ascii="宋体" w:hAnsi="宋体" w:eastAsia="宋体" w:cs="Arial"/>
          <w:sz w:val="21"/>
          <w:szCs w:val="21"/>
          <w:lang w:eastAsia="zh-CN"/>
        </w:rPr>
        <w:t>”</w:t>
      </w:r>
      <w:r>
        <w:rPr>
          <w:rFonts w:ascii="Arial" w:hAnsi="Arial" w:eastAsia="宋体" w:cs="Arial"/>
          <w:sz w:val="21"/>
          <w:szCs w:val="21"/>
          <w:lang w:eastAsia="zh-CN"/>
        </w:rPr>
        <w:t>）中的条款进行，且数据须适用于美国人群和医疗实践。</w:t>
      </w:r>
    </w:p>
    <w:p w14:paraId="71D519C9">
      <w:pPr>
        <w:pStyle w:val="3"/>
        <w:snapToGrid w:val="0"/>
        <w:spacing w:line="300" w:lineRule="auto"/>
        <w:jc w:val="both"/>
        <w:rPr>
          <w:rFonts w:ascii="Arial" w:hAnsi="Arial" w:eastAsia="宋体" w:cs="Arial"/>
          <w:sz w:val="21"/>
          <w:szCs w:val="21"/>
          <w:lang w:eastAsia="zh-CN"/>
        </w:rPr>
      </w:pPr>
    </w:p>
    <w:p w14:paraId="3A727B9A">
      <w:pPr>
        <w:pStyle w:val="12"/>
        <w:numPr>
          <w:ilvl w:val="0"/>
          <w:numId w:val="3"/>
        </w:numPr>
        <w:tabs>
          <w:tab w:val="left" w:pos="1540"/>
        </w:tabs>
        <w:snapToGrid w:val="0"/>
        <w:spacing w:line="300" w:lineRule="auto"/>
        <w:ind w:left="1540"/>
        <w:jc w:val="both"/>
        <w:rPr>
          <w:rFonts w:ascii="Arial" w:hAnsi="Arial" w:eastAsia="宋体" w:cs="Arial"/>
          <w:sz w:val="21"/>
          <w:szCs w:val="21"/>
          <w:u w:val="single"/>
        </w:rPr>
      </w:pPr>
      <w:r>
        <w:rPr>
          <w:rFonts w:ascii="Arial" w:hAnsi="Arial" w:eastAsia="宋体" w:cs="Arial"/>
          <w:sz w:val="21"/>
          <w:szCs w:val="21"/>
          <w:u w:val="single"/>
          <w:lang w:eastAsia="zh-CN"/>
        </w:rPr>
        <w:t>灭菌</w:t>
      </w:r>
    </w:p>
    <w:p w14:paraId="54FCA420">
      <w:pPr>
        <w:snapToGrid w:val="0"/>
        <w:spacing w:before="3" w:line="300" w:lineRule="auto"/>
        <w:jc w:val="both"/>
        <w:rPr>
          <w:rFonts w:ascii="Arial" w:hAnsi="Arial" w:eastAsia="宋体" w:cs="Arial"/>
          <w:sz w:val="21"/>
          <w:szCs w:val="21"/>
        </w:rPr>
      </w:pPr>
    </w:p>
    <w:p w14:paraId="7B315004">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应提供有关器械灭菌过程的以下信息：</w:t>
      </w:r>
    </w:p>
    <w:p w14:paraId="1F9F8337">
      <w:pPr>
        <w:pStyle w:val="3"/>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i）灭菌方法；（ii）用于确认灭菌周期的方法/方案；（iii）无菌保证水平（SAL）；（iv）包装材料的描述；（v）灭菌检疫期后残留在器械上的环氧乙烷、氯乙醇和乙二醇残留量（如果适用）；和（vi）辐射剂量（如果适用）。如果使用了其他灭菌方法，应提供文档以支持所使用的具体方法。</w:t>
      </w:r>
    </w:p>
    <w:p w14:paraId="04DA7FD5">
      <w:pPr>
        <w:snapToGrid w:val="0"/>
        <w:spacing w:before="6" w:line="300" w:lineRule="auto"/>
        <w:jc w:val="both"/>
        <w:rPr>
          <w:rFonts w:ascii="Arial" w:hAnsi="Arial" w:eastAsia="宋体" w:cs="Arial"/>
          <w:sz w:val="21"/>
          <w:szCs w:val="21"/>
          <w:lang w:eastAsia="zh-CN"/>
        </w:rPr>
      </w:pPr>
    </w:p>
    <w:p w14:paraId="4D66BDCF">
      <w:pPr>
        <w:pStyle w:val="3"/>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如果部分器械未经灭菌和/或可以再灭菌，则应在标签中提供经确认的灭菌说明。</w:t>
      </w:r>
    </w:p>
    <w:p w14:paraId="798C8736">
      <w:pPr>
        <w:snapToGrid w:val="0"/>
        <w:spacing w:before="11" w:line="300" w:lineRule="auto"/>
        <w:jc w:val="both"/>
        <w:rPr>
          <w:rFonts w:ascii="Arial" w:hAnsi="Arial" w:eastAsia="宋体" w:cs="Arial"/>
          <w:sz w:val="21"/>
          <w:szCs w:val="21"/>
          <w:lang w:eastAsia="zh-CN"/>
        </w:rPr>
      </w:pPr>
    </w:p>
    <w:p w14:paraId="1F2C1ABB">
      <w:pPr>
        <w:pStyle w:val="2"/>
        <w:numPr>
          <w:ilvl w:val="0"/>
          <w:numId w:val="1"/>
        </w:numPr>
        <w:tabs>
          <w:tab w:val="left" w:pos="820"/>
        </w:tabs>
        <w:snapToGrid w:val="0"/>
        <w:spacing w:line="300" w:lineRule="auto"/>
        <w:ind w:left="820"/>
        <w:jc w:val="both"/>
        <w:rPr>
          <w:rFonts w:ascii="Arial" w:hAnsi="Arial" w:eastAsia="宋体" w:cs="Arial"/>
          <w:b w:val="0"/>
          <w:bCs w:val="0"/>
          <w:sz w:val="21"/>
          <w:szCs w:val="21"/>
          <w:u w:val="single"/>
        </w:rPr>
      </w:pPr>
      <w:bookmarkStart w:id="10" w:name="_Toc484177892"/>
      <w:r>
        <w:rPr>
          <w:rFonts w:ascii="Arial" w:hAnsi="Arial" w:eastAsia="宋体" w:cs="Arial"/>
          <w:sz w:val="21"/>
          <w:szCs w:val="21"/>
          <w:u w:val="single"/>
          <w:lang w:eastAsia="zh-CN"/>
        </w:rPr>
        <w:t>标签</w:t>
      </w:r>
      <w:bookmarkEnd w:id="10"/>
    </w:p>
    <w:p w14:paraId="7A0A3200">
      <w:pPr>
        <w:snapToGrid w:val="0"/>
        <w:spacing w:before="10" w:line="300" w:lineRule="auto"/>
        <w:jc w:val="both"/>
        <w:rPr>
          <w:rFonts w:ascii="Arial" w:hAnsi="Arial" w:eastAsia="宋体" w:cs="Arial"/>
          <w:b/>
          <w:bCs/>
          <w:sz w:val="21"/>
          <w:szCs w:val="21"/>
        </w:rPr>
      </w:pPr>
    </w:p>
    <w:p w14:paraId="742D216F">
      <w:pPr>
        <w:pStyle w:val="12"/>
        <w:numPr>
          <w:ilvl w:val="1"/>
          <w:numId w:val="1"/>
        </w:numPr>
        <w:tabs>
          <w:tab w:val="left" w:pos="1540"/>
        </w:tabs>
        <w:snapToGrid w:val="0"/>
        <w:spacing w:before="69" w:line="300" w:lineRule="auto"/>
        <w:ind w:left="1540"/>
        <w:jc w:val="both"/>
        <w:rPr>
          <w:rFonts w:ascii="Arial" w:hAnsi="Arial" w:eastAsia="宋体" w:cs="Arial"/>
          <w:sz w:val="21"/>
          <w:szCs w:val="21"/>
          <w:u w:val="single"/>
        </w:rPr>
      </w:pPr>
      <w:r>
        <w:rPr>
          <w:rFonts w:ascii="Arial" w:hAnsi="Arial" w:eastAsia="宋体" w:cs="Arial"/>
          <w:sz w:val="21"/>
          <w:szCs w:val="21"/>
          <w:u w:val="single"/>
          <w:lang w:eastAsia="zh-CN"/>
        </w:rPr>
        <w:t>一般标签考虑因素</w:t>
      </w:r>
    </w:p>
    <w:p w14:paraId="02688DD9">
      <w:pPr>
        <w:snapToGrid w:val="0"/>
        <w:spacing w:before="3" w:line="300" w:lineRule="auto"/>
        <w:jc w:val="both"/>
        <w:rPr>
          <w:rFonts w:ascii="Arial" w:hAnsi="Arial" w:eastAsia="宋体" w:cs="Arial"/>
          <w:sz w:val="21"/>
          <w:szCs w:val="21"/>
          <w:u w:val="single"/>
        </w:rPr>
      </w:pPr>
    </w:p>
    <w:p w14:paraId="0EE6F601">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根据21 CFR 807.87（e），应在510（k）中提交拟定标签、贴标、操作员手册以及足以描述拟定腔内碎石机、其预期用途及其使用说明的任何推广信息。器械包装的标签必须根据21 CFR 801.109（b）（1）的规定，并在该法令第515（d）（1）（B）（ii）节的授权下提供处方器械声明：</w:t>
      </w:r>
    </w:p>
    <w:p w14:paraId="530B6245">
      <w:pPr>
        <w:snapToGrid w:val="0"/>
        <w:spacing w:before="3" w:line="300" w:lineRule="auto"/>
        <w:jc w:val="both"/>
        <w:rPr>
          <w:rFonts w:ascii="Arial" w:hAnsi="Arial" w:eastAsia="宋体" w:cs="Arial"/>
          <w:sz w:val="21"/>
          <w:szCs w:val="21"/>
          <w:lang w:eastAsia="zh-CN"/>
        </w:rPr>
      </w:pPr>
    </w:p>
    <w:p w14:paraId="58262694">
      <w:pPr>
        <w:pStyle w:val="3"/>
        <w:snapToGrid w:val="0"/>
        <w:spacing w:line="300" w:lineRule="auto"/>
        <w:ind w:left="820"/>
        <w:jc w:val="both"/>
        <w:rPr>
          <w:rFonts w:ascii="Arial" w:hAnsi="Arial" w:eastAsia="宋体" w:cs="Arial"/>
          <w:sz w:val="21"/>
          <w:szCs w:val="21"/>
          <w:lang w:eastAsia="zh-CN"/>
        </w:rPr>
      </w:pPr>
      <w:r>
        <w:rPr>
          <w:rFonts w:ascii="宋体" w:hAnsi="宋体" w:eastAsia="宋体" w:cs="Arial"/>
          <w:sz w:val="21"/>
          <w:szCs w:val="21"/>
          <w:lang w:eastAsia="zh-CN"/>
        </w:rPr>
        <w:t>“</w:t>
      </w:r>
      <w:r>
        <w:rPr>
          <w:rFonts w:ascii="Arial" w:hAnsi="Arial" w:eastAsia="宋体" w:cs="Arial"/>
          <w:sz w:val="21"/>
          <w:szCs w:val="21"/>
          <w:lang w:eastAsia="zh-CN"/>
        </w:rPr>
        <w:t>警告：联邦法律规定，这种器械仅由医生出售或购买。</w:t>
      </w:r>
      <w:r>
        <w:rPr>
          <w:rFonts w:ascii="宋体" w:hAnsi="宋体" w:eastAsia="宋体" w:cs="Arial"/>
          <w:sz w:val="21"/>
          <w:szCs w:val="21"/>
          <w:lang w:eastAsia="zh-CN"/>
        </w:rPr>
        <w:t>”</w:t>
      </w:r>
    </w:p>
    <w:p w14:paraId="4AA2F0CE">
      <w:pPr>
        <w:snapToGrid w:val="0"/>
        <w:spacing w:before="6" w:line="300" w:lineRule="auto"/>
        <w:jc w:val="both"/>
        <w:rPr>
          <w:rFonts w:ascii="Arial" w:hAnsi="Arial" w:eastAsia="宋体" w:cs="Arial"/>
          <w:sz w:val="21"/>
          <w:szCs w:val="21"/>
          <w:lang w:eastAsia="zh-CN"/>
        </w:rPr>
      </w:pPr>
    </w:p>
    <w:p w14:paraId="3E20BCF7">
      <w:pPr>
        <w:pStyle w:val="3"/>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以下列出的可用来源可提供有关应在医疗器械标签中提供的信息的有用信息：（1）《器械标签指南》，ODE蓝皮书备忘录编号G91-1；和（2）《标签：医疗器械的监管要求》，HHS出版物FDA 89-4203。此信息可从DSMA获得。</w:t>
      </w:r>
    </w:p>
    <w:p w14:paraId="01D83644">
      <w:pPr>
        <w:rPr>
          <w:rFonts w:ascii="Arial" w:hAnsi="Arial" w:eastAsia="宋体" w:cs="Arial"/>
          <w:sz w:val="21"/>
          <w:szCs w:val="21"/>
          <w:lang w:eastAsia="zh-CN"/>
        </w:rPr>
      </w:pPr>
      <w:r>
        <w:rPr>
          <w:rFonts w:ascii="Arial" w:hAnsi="Arial" w:eastAsia="宋体" w:cs="Arial"/>
          <w:sz w:val="21"/>
          <w:szCs w:val="21"/>
          <w:lang w:eastAsia="zh-CN"/>
        </w:rPr>
        <w:br w:type="page"/>
      </w:r>
    </w:p>
    <w:p w14:paraId="13C132EC">
      <w:pPr>
        <w:pStyle w:val="12"/>
        <w:numPr>
          <w:ilvl w:val="1"/>
          <w:numId w:val="1"/>
        </w:numPr>
        <w:tabs>
          <w:tab w:val="left" w:pos="1540"/>
        </w:tabs>
        <w:snapToGrid w:val="0"/>
        <w:spacing w:before="41" w:line="300" w:lineRule="auto"/>
        <w:ind w:left="1540"/>
        <w:jc w:val="both"/>
        <w:rPr>
          <w:rFonts w:ascii="Arial" w:hAnsi="Arial" w:eastAsia="宋体" w:cs="Arial"/>
          <w:sz w:val="21"/>
          <w:szCs w:val="21"/>
          <w:lang w:eastAsia="zh-CN"/>
        </w:rPr>
      </w:pPr>
      <w:r>
        <w:rPr>
          <w:rFonts w:ascii="Arial" w:hAnsi="Arial" w:eastAsia="宋体" w:cs="Arial"/>
          <w:sz w:val="21"/>
          <w:szCs w:val="21"/>
          <w:u w:val="single" w:color="000000"/>
          <w:lang w:eastAsia="zh-CN"/>
        </w:rPr>
        <w:t>腔内碎石机的特定标签建议</w:t>
      </w:r>
    </w:p>
    <w:p w14:paraId="75CB55BB">
      <w:pPr>
        <w:snapToGrid w:val="0"/>
        <w:spacing w:before="3" w:line="300" w:lineRule="auto"/>
        <w:jc w:val="both"/>
        <w:rPr>
          <w:rFonts w:ascii="Arial" w:hAnsi="Arial" w:eastAsia="宋体" w:cs="Arial"/>
          <w:sz w:val="21"/>
          <w:szCs w:val="21"/>
          <w:lang w:eastAsia="zh-CN"/>
        </w:rPr>
      </w:pPr>
    </w:p>
    <w:p w14:paraId="068969B3">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以下突出显示的是有关腔内碎石机一些具体标签建议的其他指南。</w:t>
      </w:r>
    </w:p>
    <w:p w14:paraId="15C55592">
      <w:pPr>
        <w:snapToGrid w:val="0"/>
        <w:spacing w:before="6" w:line="300" w:lineRule="auto"/>
        <w:jc w:val="both"/>
        <w:rPr>
          <w:rFonts w:ascii="Arial" w:hAnsi="Arial" w:eastAsia="宋体" w:cs="Arial"/>
          <w:sz w:val="21"/>
          <w:szCs w:val="21"/>
          <w:lang w:eastAsia="zh-CN"/>
        </w:rPr>
      </w:pPr>
    </w:p>
    <w:p w14:paraId="05EF996A">
      <w:pPr>
        <w:pStyle w:val="12"/>
        <w:numPr>
          <w:ilvl w:val="2"/>
          <w:numId w:val="1"/>
        </w:numPr>
        <w:tabs>
          <w:tab w:val="left" w:pos="1540"/>
        </w:tabs>
        <w:snapToGrid w:val="0"/>
        <w:spacing w:line="300" w:lineRule="auto"/>
        <w:ind w:left="1540" w:hanging="538"/>
        <w:jc w:val="both"/>
        <w:rPr>
          <w:rFonts w:ascii="Arial" w:hAnsi="Arial" w:eastAsia="宋体" w:cs="Arial"/>
          <w:sz w:val="21"/>
          <w:szCs w:val="21"/>
          <w:lang w:eastAsia="zh-CN"/>
        </w:rPr>
      </w:pPr>
      <w:r>
        <w:rPr>
          <w:rFonts w:ascii="Arial" w:hAnsi="Arial" w:eastAsia="宋体" w:cs="Arial"/>
          <w:sz w:val="21"/>
          <w:szCs w:val="21"/>
          <w:lang w:eastAsia="zh-CN"/>
        </w:rPr>
        <w:t>腔内碎石机的器械标签应包括器械名称、公司名称、地址、电话号码、处方器械声明、预期用途、单个或多个使用状态（每个组件）以及器械描述（包括尺寸规格）。</w:t>
      </w:r>
    </w:p>
    <w:p w14:paraId="5A1E82F9">
      <w:pPr>
        <w:pStyle w:val="12"/>
        <w:snapToGrid w:val="0"/>
        <w:spacing w:line="300" w:lineRule="auto"/>
        <w:jc w:val="both"/>
        <w:rPr>
          <w:rFonts w:ascii="Arial" w:hAnsi="Arial" w:eastAsia="宋体" w:cs="Arial"/>
          <w:sz w:val="21"/>
          <w:szCs w:val="21"/>
          <w:lang w:eastAsia="zh-CN"/>
        </w:rPr>
      </w:pPr>
    </w:p>
    <w:p w14:paraId="1DF7E20F">
      <w:pPr>
        <w:pStyle w:val="12"/>
        <w:numPr>
          <w:ilvl w:val="2"/>
          <w:numId w:val="1"/>
        </w:numPr>
        <w:tabs>
          <w:tab w:val="left" w:pos="1540"/>
        </w:tabs>
        <w:snapToGrid w:val="0"/>
        <w:spacing w:line="300" w:lineRule="auto"/>
        <w:ind w:left="1540" w:hanging="538"/>
        <w:jc w:val="both"/>
        <w:rPr>
          <w:rFonts w:ascii="Arial" w:hAnsi="Arial" w:eastAsia="宋体" w:cs="Arial"/>
          <w:sz w:val="21"/>
          <w:szCs w:val="21"/>
          <w:lang w:eastAsia="zh-CN"/>
        </w:rPr>
      </w:pPr>
      <w:r>
        <w:rPr>
          <w:rFonts w:ascii="Arial" w:hAnsi="Arial" w:eastAsia="宋体" w:cs="Arial"/>
          <w:sz w:val="21"/>
          <w:szCs w:val="21"/>
          <w:lang w:eastAsia="zh-CN"/>
        </w:rPr>
        <w:t>预期用途声明应包括特定适应症以及确定该器械适用的目标人群和具体结石位置。</w:t>
      </w:r>
    </w:p>
    <w:p w14:paraId="48918DAC">
      <w:pPr>
        <w:pStyle w:val="12"/>
        <w:snapToGrid w:val="0"/>
        <w:spacing w:line="300" w:lineRule="auto"/>
        <w:jc w:val="both"/>
        <w:rPr>
          <w:rFonts w:ascii="Arial" w:hAnsi="Arial" w:eastAsia="宋体" w:cs="Arial"/>
          <w:sz w:val="21"/>
          <w:szCs w:val="21"/>
          <w:lang w:eastAsia="zh-CN"/>
        </w:rPr>
      </w:pPr>
    </w:p>
    <w:p w14:paraId="42B1853A">
      <w:pPr>
        <w:pStyle w:val="12"/>
        <w:numPr>
          <w:ilvl w:val="2"/>
          <w:numId w:val="1"/>
        </w:numPr>
        <w:tabs>
          <w:tab w:val="left" w:pos="1540"/>
        </w:tabs>
        <w:snapToGrid w:val="0"/>
        <w:spacing w:line="300" w:lineRule="auto"/>
        <w:ind w:left="1540" w:hanging="538"/>
        <w:jc w:val="both"/>
        <w:rPr>
          <w:rFonts w:ascii="Arial" w:hAnsi="Arial" w:eastAsia="宋体" w:cs="Arial"/>
          <w:sz w:val="21"/>
          <w:szCs w:val="21"/>
          <w:lang w:eastAsia="zh-CN"/>
        </w:rPr>
      </w:pPr>
      <w:r>
        <w:rPr>
          <w:rFonts w:ascii="Arial" w:hAnsi="Arial" w:eastAsia="宋体" w:cs="Arial"/>
          <w:sz w:val="21"/>
          <w:szCs w:val="21"/>
          <w:lang w:eastAsia="zh-CN"/>
        </w:rPr>
        <w:t>使用说明应包含以下内容，以告知用户与使用这些器械相关的各种问题：</w:t>
      </w:r>
    </w:p>
    <w:p w14:paraId="4416681D">
      <w:pPr>
        <w:pStyle w:val="12"/>
        <w:snapToGrid w:val="0"/>
        <w:spacing w:line="300" w:lineRule="auto"/>
        <w:jc w:val="both"/>
        <w:rPr>
          <w:rFonts w:ascii="Arial" w:hAnsi="Arial" w:eastAsia="宋体" w:cs="Arial"/>
          <w:sz w:val="21"/>
          <w:szCs w:val="21"/>
          <w:lang w:eastAsia="zh-CN"/>
        </w:rPr>
      </w:pPr>
    </w:p>
    <w:p w14:paraId="126F7BE6">
      <w:pPr>
        <w:pStyle w:val="12"/>
        <w:numPr>
          <w:ilvl w:val="3"/>
          <w:numId w:val="1"/>
        </w:numPr>
        <w:tabs>
          <w:tab w:val="left" w:pos="22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进行标识以尽量减少对患者或用户的电能风险。该标识的示例包括但不限于在使用之前正确使发电机接地以及检查（例如，视觉上）器械的方法，确定潜在的电气安全危险的迹象（例如磨损的电线）的说明。器械符合的任何电气安全标准也应在手册中以供参考。</w:t>
      </w:r>
    </w:p>
    <w:p w14:paraId="7E7A1C94">
      <w:pPr>
        <w:pStyle w:val="12"/>
        <w:snapToGrid w:val="0"/>
        <w:spacing w:line="300" w:lineRule="auto"/>
        <w:jc w:val="both"/>
        <w:rPr>
          <w:rFonts w:ascii="Arial" w:hAnsi="Arial" w:eastAsia="宋体" w:cs="Arial"/>
          <w:sz w:val="21"/>
          <w:szCs w:val="21"/>
          <w:lang w:eastAsia="zh-CN"/>
        </w:rPr>
      </w:pPr>
    </w:p>
    <w:p w14:paraId="79525367">
      <w:pPr>
        <w:pStyle w:val="12"/>
        <w:numPr>
          <w:ilvl w:val="3"/>
          <w:numId w:val="1"/>
        </w:numPr>
        <w:tabs>
          <w:tab w:val="left" w:pos="22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标签应讨论该器械存在的组织损伤（例如膀胱或输尿管穿孔、热损伤）的可能性。该标签应包括但不限于说明探针不应直接接触粘膜组织的声明。</w:t>
      </w:r>
    </w:p>
    <w:p w14:paraId="0923D3F5">
      <w:pPr>
        <w:pStyle w:val="12"/>
        <w:snapToGrid w:val="0"/>
        <w:spacing w:line="300" w:lineRule="auto"/>
        <w:jc w:val="both"/>
        <w:rPr>
          <w:rFonts w:ascii="Arial" w:hAnsi="Arial" w:eastAsia="宋体" w:cs="Arial"/>
          <w:sz w:val="21"/>
          <w:szCs w:val="21"/>
          <w:lang w:eastAsia="zh-CN"/>
        </w:rPr>
      </w:pPr>
    </w:p>
    <w:p w14:paraId="3CFC2B4A">
      <w:pPr>
        <w:pStyle w:val="12"/>
        <w:numPr>
          <w:ilvl w:val="3"/>
          <w:numId w:val="1"/>
        </w:numPr>
        <w:tabs>
          <w:tab w:val="left" w:pos="2260"/>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标签应讨论在该程序中探针破裂的可能性。该标签应包括拆卸破损探针，并通知用户可以使用额外的探针来完成该程序的说明。最后，还应提供通知用户在使用前如何对探针进行目视检查的说明。</w:t>
      </w:r>
    </w:p>
    <w:p w14:paraId="1E1094D5">
      <w:pPr>
        <w:pStyle w:val="12"/>
        <w:snapToGrid w:val="0"/>
        <w:spacing w:line="300" w:lineRule="auto"/>
        <w:jc w:val="both"/>
        <w:rPr>
          <w:rFonts w:ascii="Arial" w:hAnsi="Arial" w:eastAsia="宋体" w:cs="Arial"/>
          <w:sz w:val="21"/>
          <w:szCs w:val="21"/>
          <w:lang w:eastAsia="zh-CN"/>
        </w:rPr>
      </w:pPr>
    </w:p>
    <w:p w14:paraId="1B924D70">
      <w:pPr>
        <w:pStyle w:val="12"/>
        <w:numPr>
          <w:ilvl w:val="3"/>
          <w:numId w:val="1"/>
        </w:numPr>
        <w:tabs>
          <w:tab w:val="left" w:pos="2260"/>
        </w:tabs>
        <w:snapToGrid w:val="0"/>
        <w:spacing w:line="300" w:lineRule="auto"/>
        <w:jc w:val="both"/>
        <w:rPr>
          <w:rFonts w:ascii="Arial" w:hAnsi="Arial" w:eastAsia="宋体" w:cs="Arial"/>
          <w:spacing w:val="-4"/>
          <w:sz w:val="21"/>
          <w:szCs w:val="21"/>
          <w:lang w:eastAsia="zh-CN"/>
        </w:rPr>
      </w:pPr>
      <w:r>
        <w:rPr>
          <w:rFonts w:ascii="Arial" w:hAnsi="Arial" w:eastAsia="宋体" w:cs="Arial"/>
          <w:sz w:val="21"/>
          <w:szCs w:val="21"/>
          <w:lang w:eastAsia="zh-CN"/>
        </w:rPr>
        <w:t>标签应包含以下可能因使用该器械而发生不良反应的警告：（i）胆汁通道出血和/或尿液带血；（ii）疼痛；（iii）肾损害；和（iv）任何其他潜在事件（例如，感染、与内窥镜检查相关的事件等）。</w:t>
      </w:r>
    </w:p>
    <w:p w14:paraId="3AB69E6F">
      <w:pPr>
        <w:pStyle w:val="12"/>
        <w:snapToGrid w:val="0"/>
        <w:spacing w:line="300" w:lineRule="auto"/>
        <w:jc w:val="both"/>
        <w:rPr>
          <w:rFonts w:ascii="Arial" w:hAnsi="Arial" w:eastAsia="宋体" w:cs="Arial"/>
          <w:sz w:val="21"/>
          <w:szCs w:val="21"/>
          <w:lang w:eastAsia="zh-CN"/>
        </w:rPr>
      </w:pPr>
    </w:p>
    <w:p w14:paraId="014FD141">
      <w:pPr>
        <w:rPr>
          <w:rFonts w:ascii="Arial" w:hAnsi="Arial" w:eastAsia="宋体" w:cs="Arial"/>
          <w:sz w:val="21"/>
          <w:szCs w:val="21"/>
          <w:lang w:eastAsia="zh-CN"/>
        </w:rPr>
      </w:pPr>
      <w:r>
        <w:rPr>
          <w:rFonts w:ascii="Arial" w:hAnsi="Arial" w:eastAsia="宋体" w:cs="Arial"/>
          <w:sz w:val="21"/>
          <w:szCs w:val="21"/>
          <w:lang w:eastAsia="zh-CN"/>
        </w:rPr>
        <w:br w:type="page"/>
      </w:r>
    </w:p>
    <w:p w14:paraId="660CCDB2">
      <w:pPr>
        <w:pStyle w:val="12"/>
        <w:numPr>
          <w:ilvl w:val="3"/>
          <w:numId w:val="1"/>
        </w:numPr>
        <w:tabs>
          <w:tab w:val="left" w:pos="2260"/>
        </w:tabs>
        <w:snapToGrid w:val="0"/>
        <w:spacing w:before="41" w:line="300" w:lineRule="auto"/>
        <w:jc w:val="both"/>
        <w:rPr>
          <w:rFonts w:ascii="Arial" w:hAnsi="Arial" w:eastAsia="宋体" w:cs="Arial"/>
          <w:sz w:val="21"/>
          <w:szCs w:val="21"/>
          <w:lang w:eastAsia="zh-CN"/>
        </w:rPr>
      </w:pPr>
      <w:r>
        <w:rPr>
          <w:rFonts w:ascii="Arial" w:hAnsi="Arial" w:eastAsia="宋体" w:cs="Arial"/>
          <w:sz w:val="21"/>
          <w:szCs w:val="21"/>
          <w:lang w:eastAsia="zh-CN"/>
        </w:rPr>
        <w:t>标签应讨论在尝试破碎结石时应采用最低有效设置的事实。必须提供该声明，因为使用较低设置将降低对肾脏或输尿管壁造成损伤的可能性，并且还可能降低将结石碎片推入周围组织的可能性。嵌入的碎片可能会造成一定问题，因为其可作为未来结石形成的病灶。</w:t>
      </w:r>
    </w:p>
    <w:p w14:paraId="015A6AF3">
      <w:pPr>
        <w:snapToGrid w:val="0"/>
        <w:spacing w:before="6" w:line="300" w:lineRule="auto"/>
        <w:jc w:val="both"/>
        <w:rPr>
          <w:rFonts w:ascii="Arial" w:hAnsi="Arial" w:eastAsia="宋体" w:cs="Arial"/>
          <w:sz w:val="21"/>
          <w:szCs w:val="21"/>
          <w:lang w:eastAsia="zh-CN"/>
        </w:rPr>
      </w:pPr>
    </w:p>
    <w:p w14:paraId="04C59A5D">
      <w:pPr>
        <w:pStyle w:val="12"/>
        <w:numPr>
          <w:ilvl w:val="1"/>
          <w:numId w:val="1"/>
        </w:numPr>
        <w:tabs>
          <w:tab w:val="left" w:pos="1540"/>
        </w:tabs>
        <w:snapToGrid w:val="0"/>
        <w:spacing w:line="300" w:lineRule="auto"/>
        <w:ind w:left="1540"/>
        <w:jc w:val="both"/>
        <w:rPr>
          <w:rFonts w:ascii="Arial" w:hAnsi="Arial" w:eastAsia="宋体" w:cs="Arial"/>
          <w:sz w:val="21"/>
          <w:szCs w:val="21"/>
          <w:u w:val="single"/>
        </w:rPr>
      </w:pPr>
      <w:r>
        <w:rPr>
          <w:rFonts w:ascii="Arial" w:hAnsi="Arial" w:eastAsia="宋体" w:cs="Arial"/>
          <w:sz w:val="21"/>
          <w:szCs w:val="21"/>
          <w:u w:val="single"/>
          <w:lang w:eastAsia="zh-CN"/>
        </w:rPr>
        <w:t>患者标签</w:t>
      </w:r>
    </w:p>
    <w:p w14:paraId="2BBF8A19">
      <w:pPr>
        <w:snapToGrid w:val="0"/>
        <w:spacing w:before="3" w:line="300" w:lineRule="auto"/>
        <w:jc w:val="both"/>
        <w:rPr>
          <w:rFonts w:ascii="Arial" w:hAnsi="Arial" w:eastAsia="宋体" w:cs="Arial"/>
          <w:sz w:val="21"/>
          <w:szCs w:val="21"/>
        </w:rPr>
      </w:pPr>
    </w:p>
    <w:p w14:paraId="694105AC">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腔内碎石机无需提供患者标签。然而，如果患者标签旨在与器械一起销售，则应在510（k）中提交以供审查。对于希望开发患者标签的制造商，应考虑以下事项：</w:t>
      </w:r>
    </w:p>
    <w:p w14:paraId="5C2D7BAD">
      <w:pPr>
        <w:snapToGrid w:val="0"/>
        <w:spacing w:before="6" w:line="300" w:lineRule="auto"/>
        <w:jc w:val="both"/>
        <w:rPr>
          <w:rFonts w:ascii="Arial" w:hAnsi="Arial" w:eastAsia="宋体" w:cs="Arial"/>
          <w:sz w:val="21"/>
          <w:szCs w:val="21"/>
          <w:lang w:eastAsia="zh-CN"/>
        </w:rPr>
      </w:pPr>
    </w:p>
    <w:p w14:paraId="57EE8B57">
      <w:pPr>
        <w:pStyle w:val="12"/>
        <w:numPr>
          <w:ilvl w:val="0"/>
          <w:numId w:val="2"/>
        </w:numPr>
        <w:snapToGrid w:val="0"/>
        <w:spacing w:before="6" w:line="300" w:lineRule="auto"/>
        <w:jc w:val="both"/>
        <w:rPr>
          <w:rFonts w:ascii="Arial" w:hAnsi="Arial" w:eastAsia="宋体" w:cs="Arial"/>
          <w:sz w:val="21"/>
          <w:szCs w:val="21"/>
          <w:lang w:eastAsia="zh-CN"/>
        </w:rPr>
      </w:pPr>
      <w:r>
        <w:rPr>
          <w:rFonts w:ascii="Arial" w:hAnsi="Arial" w:eastAsia="宋体" w:cs="Arial"/>
          <w:sz w:val="21"/>
          <w:szCs w:val="21"/>
          <w:lang w:eastAsia="zh-CN"/>
        </w:rPr>
        <w:t>标签应为书面形式且具有一定格式，以便大多数患者阅读和理解（即7年级阅读水平）；</w:t>
      </w:r>
    </w:p>
    <w:p w14:paraId="75646D3B">
      <w:pPr>
        <w:pStyle w:val="12"/>
        <w:numPr>
          <w:ilvl w:val="0"/>
          <w:numId w:val="2"/>
        </w:numPr>
        <w:snapToGrid w:val="0"/>
        <w:spacing w:before="6" w:line="300" w:lineRule="auto"/>
        <w:jc w:val="both"/>
        <w:rPr>
          <w:rFonts w:ascii="Arial" w:hAnsi="Arial" w:eastAsia="宋体" w:cs="Arial"/>
          <w:sz w:val="21"/>
          <w:szCs w:val="21"/>
          <w:lang w:eastAsia="zh-CN"/>
        </w:rPr>
      </w:pPr>
      <w:r>
        <w:rPr>
          <w:rFonts w:ascii="Arial" w:hAnsi="Arial" w:eastAsia="宋体" w:cs="Arial"/>
          <w:sz w:val="21"/>
          <w:szCs w:val="21"/>
          <w:lang w:eastAsia="zh-CN"/>
        </w:rPr>
        <w:t>应该给读者有关腔内碎石治疗的收益和风险的现实期望，并简要描述每种潜在的并发症；以及</w:t>
      </w:r>
    </w:p>
    <w:p w14:paraId="28BF6E77">
      <w:pPr>
        <w:pStyle w:val="12"/>
        <w:numPr>
          <w:ilvl w:val="0"/>
          <w:numId w:val="2"/>
        </w:numPr>
        <w:snapToGrid w:val="0"/>
        <w:spacing w:before="6" w:line="300" w:lineRule="auto"/>
        <w:jc w:val="both"/>
        <w:rPr>
          <w:rFonts w:ascii="Arial" w:hAnsi="Arial" w:eastAsia="宋体" w:cs="Arial"/>
          <w:sz w:val="21"/>
          <w:szCs w:val="21"/>
          <w:lang w:eastAsia="zh-CN"/>
        </w:rPr>
      </w:pPr>
      <w:r>
        <w:rPr>
          <w:rFonts w:ascii="Arial" w:hAnsi="Arial" w:eastAsia="宋体" w:cs="Arial"/>
          <w:sz w:val="21"/>
          <w:szCs w:val="21"/>
          <w:lang w:eastAsia="zh-CN"/>
        </w:rPr>
        <w:t>应简要介绍替代性治疗方法。</w:t>
      </w:r>
    </w:p>
    <w:p w14:paraId="2CBCEE74">
      <w:pPr>
        <w:snapToGrid w:val="0"/>
        <w:spacing w:before="2" w:line="300" w:lineRule="auto"/>
        <w:jc w:val="both"/>
        <w:rPr>
          <w:rFonts w:ascii="Arial" w:hAnsi="Arial" w:eastAsia="宋体" w:cs="Arial"/>
          <w:sz w:val="21"/>
          <w:szCs w:val="21"/>
          <w:lang w:eastAsia="zh-CN"/>
        </w:rPr>
      </w:pPr>
    </w:p>
    <w:p w14:paraId="67149E32">
      <w:pPr>
        <w:pStyle w:val="12"/>
        <w:numPr>
          <w:ilvl w:val="1"/>
          <w:numId w:val="1"/>
        </w:numPr>
        <w:tabs>
          <w:tab w:val="left" w:pos="1540"/>
        </w:tabs>
        <w:snapToGrid w:val="0"/>
        <w:spacing w:line="300" w:lineRule="auto"/>
        <w:ind w:left="1540"/>
        <w:jc w:val="both"/>
        <w:rPr>
          <w:rFonts w:ascii="Arial" w:hAnsi="Arial" w:eastAsia="宋体" w:cs="Arial"/>
          <w:sz w:val="21"/>
          <w:szCs w:val="21"/>
        </w:rPr>
      </w:pPr>
      <w:r>
        <w:rPr>
          <w:rFonts w:ascii="Arial" w:hAnsi="Arial" w:eastAsia="宋体" w:cs="Arial"/>
          <w:sz w:val="21"/>
          <w:szCs w:val="21"/>
          <w:u w:val="single" w:color="000000"/>
          <w:lang w:eastAsia="zh-CN"/>
        </w:rPr>
        <w:t>宣传刊物</w:t>
      </w:r>
    </w:p>
    <w:p w14:paraId="1D05DE00">
      <w:pPr>
        <w:snapToGrid w:val="0"/>
        <w:spacing w:before="3" w:line="300" w:lineRule="auto"/>
        <w:jc w:val="both"/>
        <w:rPr>
          <w:rFonts w:ascii="Arial" w:hAnsi="Arial" w:eastAsia="宋体" w:cs="Arial"/>
          <w:sz w:val="21"/>
          <w:szCs w:val="21"/>
        </w:rPr>
      </w:pPr>
    </w:p>
    <w:p w14:paraId="3E65AE3F">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有关拟定器械的任何宣传刊物应在510（k）提交以供审查。</w:t>
      </w:r>
    </w:p>
    <w:p w14:paraId="13CF17FA">
      <w:pPr>
        <w:snapToGrid w:val="0"/>
        <w:spacing w:before="11" w:line="300" w:lineRule="auto"/>
        <w:jc w:val="both"/>
        <w:rPr>
          <w:rFonts w:ascii="Arial" w:hAnsi="Arial" w:eastAsia="宋体" w:cs="Arial"/>
          <w:sz w:val="21"/>
          <w:szCs w:val="21"/>
          <w:lang w:eastAsia="zh-CN"/>
        </w:rPr>
      </w:pPr>
    </w:p>
    <w:p w14:paraId="0AD78034">
      <w:pPr>
        <w:pStyle w:val="2"/>
        <w:numPr>
          <w:ilvl w:val="0"/>
          <w:numId w:val="1"/>
        </w:numPr>
        <w:tabs>
          <w:tab w:val="left" w:pos="820"/>
        </w:tabs>
        <w:snapToGrid w:val="0"/>
        <w:spacing w:line="300" w:lineRule="auto"/>
        <w:ind w:left="820"/>
        <w:jc w:val="both"/>
        <w:rPr>
          <w:rFonts w:ascii="Arial" w:hAnsi="Arial" w:eastAsia="宋体" w:cs="Arial"/>
          <w:b w:val="0"/>
          <w:bCs w:val="0"/>
          <w:sz w:val="21"/>
          <w:szCs w:val="21"/>
          <w:u w:val="single"/>
        </w:rPr>
      </w:pPr>
      <w:bookmarkStart w:id="11" w:name="_Toc484177893"/>
      <w:r>
        <w:rPr>
          <w:rFonts w:ascii="Arial" w:hAnsi="Arial" w:eastAsia="宋体" w:cs="Arial"/>
          <w:sz w:val="21"/>
          <w:szCs w:val="21"/>
          <w:u w:val="single"/>
          <w:lang w:eastAsia="zh-CN"/>
        </w:rPr>
        <w:t>其他管理要求</w:t>
      </w:r>
      <w:bookmarkEnd w:id="11"/>
    </w:p>
    <w:p w14:paraId="085E0F14">
      <w:pPr>
        <w:snapToGrid w:val="0"/>
        <w:spacing w:before="10" w:line="300" w:lineRule="auto"/>
        <w:jc w:val="both"/>
        <w:rPr>
          <w:rFonts w:ascii="Arial" w:hAnsi="Arial" w:eastAsia="宋体" w:cs="Arial"/>
          <w:b/>
          <w:bCs/>
          <w:sz w:val="21"/>
          <w:szCs w:val="21"/>
        </w:rPr>
      </w:pPr>
    </w:p>
    <w:p w14:paraId="1B7530FC">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各510（k）提交材料应包含以下管理事项：</w:t>
      </w:r>
    </w:p>
    <w:p w14:paraId="79E4E84B">
      <w:pPr>
        <w:snapToGrid w:val="0"/>
        <w:spacing w:line="300" w:lineRule="auto"/>
        <w:jc w:val="both"/>
        <w:rPr>
          <w:rFonts w:ascii="Arial" w:hAnsi="Arial" w:eastAsia="宋体" w:cs="Arial"/>
          <w:sz w:val="21"/>
          <w:szCs w:val="21"/>
          <w:lang w:eastAsia="zh-CN"/>
        </w:rPr>
      </w:pPr>
    </w:p>
    <w:p w14:paraId="6D088EA9">
      <w:pPr>
        <w:pStyle w:val="3"/>
        <w:numPr>
          <w:ilvl w:val="0"/>
          <w:numId w:val="2"/>
        </w:numPr>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完整的</w:t>
      </w:r>
      <w:r>
        <w:rPr>
          <w:rFonts w:ascii="宋体" w:hAnsi="宋体" w:eastAsia="宋体" w:cs="Arial"/>
          <w:sz w:val="21"/>
          <w:szCs w:val="21"/>
          <w:lang w:eastAsia="zh-CN"/>
        </w:rPr>
        <w:t>“</w:t>
      </w:r>
      <w:r>
        <w:rPr>
          <w:rFonts w:ascii="Arial" w:hAnsi="Arial" w:eastAsia="宋体" w:cs="Arial"/>
          <w:sz w:val="21"/>
          <w:szCs w:val="21"/>
          <w:lang w:eastAsia="zh-CN"/>
        </w:rPr>
        <w:t>适应症</w:t>
      </w:r>
      <w:r>
        <w:rPr>
          <w:rFonts w:ascii="宋体" w:hAnsi="宋体" w:eastAsia="宋体" w:cs="Arial"/>
          <w:sz w:val="21"/>
          <w:szCs w:val="21"/>
          <w:lang w:eastAsia="zh-CN"/>
        </w:rPr>
        <w:t>”</w:t>
      </w:r>
      <w:r>
        <w:rPr>
          <w:rFonts w:ascii="Arial" w:hAnsi="Arial" w:eastAsia="宋体" w:cs="Arial"/>
          <w:sz w:val="21"/>
          <w:szCs w:val="21"/>
          <w:lang w:eastAsia="zh-CN"/>
        </w:rPr>
        <w:t>表格；</w:t>
      </w:r>
    </w:p>
    <w:p w14:paraId="7C55D43D">
      <w:pPr>
        <w:pStyle w:val="3"/>
        <w:numPr>
          <w:ilvl w:val="0"/>
          <w:numId w:val="2"/>
        </w:numPr>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带签名的</w:t>
      </w:r>
      <w:r>
        <w:rPr>
          <w:rFonts w:ascii="宋体" w:hAnsi="宋体" w:eastAsia="宋体" w:cs="Arial"/>
          <w:sz w:val="21"/>
          <w:szCs w:val="21"/>
          <w:lang w:eastAsia="zh-CN"/>
        </w:rPr>
        <w:t>“</w:t>
      </w:r>
      <w:r>
        <w:rPr>
          <w:rFonts w:ascii="Arial" w:hAnsi="Arial" w:eastAsia="宋体" w:cs="Arial"/>
          <w:sz w:val="21"/>
          <w:szCs w:val="21"/>
          <w:lang w:eastAsia="zh-CN"/>
        </w:rPr>
        <w:t>真实准确声明</w:t>
      </w:r>
      <w:r>
        <w:rPr>
          <w:rFonts w:ascii="宋体" w:hAnsi="宋体" w:eastAsia="宋体" w:cs="Arial"/>
          <w:sz w:val="21"/>
          <w:szCs w:val="21"/>
          <w:lang w:eastAsia="zh-CN"/>
        </w:rPr>
        <w:t>”</w:t>
      </w:r>
      <w:r>
        <w:rPr>
          <w:rFonts w:ascii="Arial" w:hAnsi="Arial" w:eastAsia="宋体" w:cs="Arial"/>
          <w:sz w:val="21"/>
          <w:szCs w:val="21"/>
          <w:lang w:eastAsia="zh-CN"/>
        </w:rPr>
        <w:t>；以及</w:t>
      </w:r>
    </w:p>
    <w:p w14:paraId="0FDD0BC3">
      <w:pPr>
        <w:pStyle w:val="12"/>
        <w:numPr>
          <w:ilvl w:val="0"/>
          <w:numId w:val="2"/>
        </w:numPr>
        <w:snapToGrid w:val="0"/>
        <w:spacing w:before="2" w:line="300" w:lineRule="auto"/>
        <w:jc w:val="both"/>
        <w:rPr>
          <w:rFonts w:ascii="Arial" w:hAnsi="Arial" w:eastAsia="宋体" w:cs="Arial"/>
          <w:sz w:val="21"/>
          <w:szCs w:val="21"/>
          <w:lang w:eastAsia="zh-CN"/>
        </w:rPr>
      </w:pPr>
      <w:bookmarkStart w:id="12" w:name="OLE_LINK11"/>
      <w:bookmarkStart w:id="13" w:name="OLE_LINK12"/>
      <w:r>
        <w:rPr>
          <w:rFonts w:ascii="宋体" w:hAnsi="宋体" w:eastAsia="宋体" w:cs="Arial"/>
          <w:sz w:val="21"/>
          <w:szCs w:val="21"/>
          <w:lang w:eastAsia="zh-CN"/>
        </w:rPr>
        <w:t>“</w:t>
      </w:r>
      <w:bookmarkEnd w:id="12"/>
      <w:bookmarkEnd w:id="13"/>
      <w:r>
        <w:rPr>
          <w:rFonts w:ascii="Arial" w:hAnsi="Arial" w:eastAsia="宋体" w:cs="Arial"/>
          <w:sz w:val="21"/>
          <w:szCs w:val="21"/>
          <w:lang w:eastAsia="zh-CN"/>
        </w:rPr>
        <w:t>510（k）摘要</w:t>
      </w:r>
      <w:r>
        <w:rPr>
          <w:rFonts w:ascii="宋体" w:hAnsi="宋体" w:eastAsia="宋体" w:cs="Arial"/>
          <w:sz w:val="21"/>
          <w:szCs w:val="21"/>
          <w:lang w:eastAsia="zh-CN"/>
        </w:rPr>
        <w:t>”</w:t>
      </w:r>
      <w:r>
        <w:rPr>
          <w:rFonts w:ascii="Arial" w:hAnsi="Arial" w:eastAsia="宋体" w:cs="Arial"/>
          <w:sz w:val="21"/>
          <w:szCs w:val="21"/>
          <w:lang w:eastAsia="zh-CN"/>
        </w:rPr>
        <w:t>或</w:t>
      </w:r>
      <w:r>
        <w:rPr>
          <w:rFonts w:ascii="宋体" w:hAnsi="宋体" w:eastAsia="宋体" w:cs="Arial"/>
          <w:sz w:val="21"/>
          <w:szCs w:val="21"/>
          <w:lang w:eastAsia="zh-CN"/>
        </w:rPr>
        <w:t>“</w:t>
      </w:r>
      <w:r>
        <w:rPr>
          <w:rFonts w:ascii="Arial" w:hAnsi="Arial" w:eastAsia="宋体" w:cs="Arial"/>
          <w:sz w:val="21"/>
          <w:szCs w:val="21"/>
          <w:lang w:eastAsia="zh-CN"/>
        </w:rPr>
        <w:t>510（k）声明</w:t>
      </w:r>
      <w:r>
        <w:rPr>
          <w:rFonts w:ascii="宋体" w:hAnsi="宋体" w:eastAsia="宋体" w:cs="Arial"/>
          <w:sz w:val="21"/>
          <w:szCs w:val="21"/>
          <w:lang w:eastAsia="zh-CN"/>
        </w:rPr>
        <w:t>”</w:t>
      </w:r>
      <w:r>
        <w:rPr>
          <w:rFonts w:ascii="Arial" w:hAnsi="Arial" w:eastAsia="宋体" w:cs="Arial"/>
          <w:sz w:val="21"/>
          <w:szCs w:val="21"/>
          <w:lang w:eastAsia="zh-CN"/>
        </w:rPr>
        <w:t>。</w:t>
      </w:r>
    </w:p>
    <w:p w14:paraId="6ED9EA4A">
      <w:pPr>
        <w:pStyle w:val="3"/>
        <w:snapToGrid w:val="0"/>
        <w:spacing w:before="69" w:line="300" w:lineRule="auto"/>
        <w:jc w:val="both"/>
        <w:rPr>
          <w:rFonts w:ascii="Arial" w:hAnsi="Arial" w:eastAsia="宋体" w:cs="Arial"/>
          <w:sz w:val="21"/>
          <w:szCs w:val="21"/>
          <w:lang w:eastAsia="zh-CN"/>
        </w:rPr>
      </w:pPr>
      <w:r>
        <w:rPr>
          <w:rFonts w:ascii="Arial" w:hAnsi="Arial" w:eastAsia="宋体" w:cs="Arial"/>
          <w:sz w:val="21"/>
          <w:szCs w:val="21"/>
          <w:lang w:eastAsia="zh-CN"/>
        </w:rPr>
        <w:t>有关上述各项的信息可从DSMA获得。</w:t>
      </w:r>
    </w:p>
    <w:p w14:paraId="1004F1B3">
      <w:pPr>
        <w:snapToGrid w:val="0"/>
        <w:spacing w:before="8" w:line="300" w:lineRule="auto"/>
        <w:jc w:val="both"/>
        <w:rPr>
          <w:rFonts w:ascii="Arial" w:hAnsi="Arial" w:eastAsia="宋体" w:cs="Arial"/>
          <w:sz w:val="21"/>
          <w:szCs w:val="21"/>
          <w:lang w:eastAsia="zh-CN"/>
        </w:rPr>
      </w:pPr>
    </w:p>
    <w:p w14:paraId="28B92364">
      <w:pPr>
        <w:pStyle w:val="2"/>
        <w:numPr>
          <w:ilvl w:val="0"/>
          <w:numId w:val="1"/>
        </w:numPr>
        <w:tabs>
          <w:tab w:val="left" w:pos="820"/>
        </w:tabs>
        <w:snapToGrid w:val="0"/>
        <w:spacing w:line="300" w:lineRule="auto"/>
        <w:ind w:left="820"/>
        <w:jc w:val="both"/>
        <w:rPr>
          <w:rFonts w:ascii="Arial" w:hAnsi="Arial" w:eastAsia="宋体" w:cs="Arial"/>
          <w:b w:val="0"/>
          <w:bCs w:val="0"/>
          <w:sz w:val="21"/>
          <w:szCs w:val="21"/>
          <w:u w:val="single"/>
        </w:rPr>
      </w:pPr>
      <w:bookmarkStart w:id="14" w:name="_Toc484177894"/>
      <w:r>
        <w:rPr>
          <w:rFonts w:ascii="Arial" w:hAnsi="Arial" w:eastAsia="宋体" w:cs="Arial"/>
          <w:sz w:val="21"/>
          <w:szCs w:val="21"/>
          <w:u w:val="single"/>
          <w:lang w:eastAsia="zh-CN"/>
        </w:rPr>
        <w:t>器械修改</w:t>
      </w:r>
      <w:bookmarkEnd w:id="14"/>
    </w:p>
    <w:p w14:paraId="618F721E">
      <w:pPr>
        <w:snapToGrid w:val="0"/>
        <w:spacing w:before="10" w:line="300" w:lineRule="auto"/>
        <w:jc w:val="both"/>
        <w:rPr>
          <w:rFonts w:ascii="Arial" w:hAnsi="Arial" w:eastAsia="宋体" w:cs="Arial"/>
          <w:b/>
          <w:bCs/>
          <w:sz w:val="21"/>
          <w:szCs w:val="21"/>
        </w:rPr>
      </w:pPr>
    </w:p>
    <w:p w14:paraId="1CB7C8C1">
      <w:pPr>
        <w:pStyle w:val="3"/>
        <w:snapToGrid w:val="0"/>
        <w:spacing w:before="69" w:line="300" w:lineRule="auto"/>
        <w:rPr>
          <w:rFonts w:ascii="Arial" w:hAnsi="Arial" w:eastAsia="宋体" w:cs="Arial"/>
          <w:sz w:val="21"/>
          <w:szCs w:val="21"/>
          <w:lang w:eastAsia="zh-CN"/>
        </w:rPr>
      </w:pPr>
      <w:r>
        <w:rPr>
          <w:rFonts w:ascii="Arial" w:hAnsi="Arial" w:eastAsia="宋体" w:cs="Arial"/>
          <w:sz w:val="21"/>
          <w:szCs w:val="21"/>
          <w:lang w:eastAsia="zh-CN"/>
        </w:rPr>
        <w:t>关于器械修改的上市前要求的指南可以在题为《决定何时为更改现有器械提交510（k）》的文件中获得（1/10/97）。其副本可从DSMA或CDRH的网络地址获得（http</w:t>
      </w:r>
      <w:r>
        <w:rPr>
          <w:rFonts w:hint="eastAsia" w:ascii="Arial" w:hAnsi="Arial" w:eastAsia="宋体" w:cs="Arial"/>
          <w:sz w:val="21"/>
          <w:szCs w:val="21"/>
          <w:lang w:eastAsia="zh-CN"/>
        </w:rPr>
        <w:t>:</w:t>
      </w:r>
      <w:r>
        <w:rPr>
          <w:rFonts w:ascii="Arial" w:hAnsi="Arial" w:eastAsia="宋体" w:cs="Arial"/>
          <w:sz w:val="21"/>
          <w:szCs w:val="21"/>
          <w:lang w:eastAsia="zh-CN"/>
        </w:rPr>
        <w:t>//www.fda.gov/cdrh/ode/510kmod.html）。</w:t>
      </w:r>
    </w:p>
    <w:p w14:paraId="0413499E">
      <w:pPr>
        <w:snapToGrid w:val="0"/>
        <w:spacing w:before="4" w:line="300" w:lineRule="auto"/>
        <w:rPr>
          <w:rFonts w:hint="eastAsia" w:eastAsia="宋体"/>
          <w:lang w:eastAsia="zh-CN"/>
        </w:rPr>
      </w:pPr>
    </w:p>
    <w:p w14:paraId="30EE8CC2">
      <w:pPr>
        <w:snapToGrid w:val="0"/>
        <w:spacing w:before="4" w:line="300" w:lineRule="auto"/>
        <w:jc w:val="center"/>
        <w:rPr>
          <w:rFonts w:hint="eastAsia" w:eastAsia="宋体"/>
          <w:lang w:eastAsia="zh-CN"/>
        </w:rPr>
      </w:pPr>
    </w:p>
    <w:p w14:paraId="381C5B91">
      <w:pPr>
        <w:snapToGrid w:val="0"/>
        <w:spacing w:before="4"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0" w:footer="75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D9295">
    <w:pPr>
      <w:spacing w:line="245" w:lineRule="exact"/>
      <w:ind w:left="20"/>
      <w:jc w:val="right"/>
      <w:rPr>
        <w:rFonts w:ascii="Arial" w:hAnsi="Arial" w:eastAsia="宋体" w:cs="Arial"/>
        <w:sz w:val="21"/>
        <w:szCs w:val="21"/>
      </w:rPr>
    </w:pPr>
    <w:r>
      <w:rPr>
        <w:rFonts w:ascii="Arial" w:hAnsi="Arial" w:eastAsia="宋体" w:cs="Arial"/>
        <w:sz w:val="21"/>
        <w:szCs w:val="21"/>
        <w:lang w:eastAsia="zh-CN"/>
      </w:rPr>
      <w:t>第</w:t>
    </w:r>
    <w:r>
      <w:rPr>
        <w:rFonts w:ascii="Arial" w:hAnsi="Arial" w:eastAsia="宋体" w:cs="Arial"/>
        <w:spacing w:val="-5"/>
        <w:sz w:val="21"/>
        <w:szCs w:val="21"/>
      </w:rPr>
      <w:t xml:space="preserve"> </w:t>
    </w:r>
    <w:r>
      <w:rPr>
        <w:rFonts w:ascii="Arial" w:hAnsi="Arial" w:eastAsia="宋体" w:cs="Arial"/>
        <w:sz w:val="21"/>
        <w:szCs w:val="21"/>
      </w:rPr>
      <w:fldChar w:fldCharType="begin"/>
    </w:r>
    <w:r>
      <w:rPr>
        <w:rFonts w:ascii="Arial" w:hAnsi="Arial" w:eastAsia="宋体" w:cs="Arial"/>
        <w:sz w:val="21"/>
        <w:szCs w:val="21"/>
      </w:rPr>
      <w:instrText xml:space="preserve"> PAGE </w:instrText>
    </w:r>
    <w:r>
      <w:rPr>
        <w:rFonts w:ascii="Arial" w:hAnsi="Arial" w:eastAsia="宋体" w:cs="Arial"/>
        <w:sz w:val="21"/>
        <w:szCs w:val="21"/>
      </w:rPr>
      <w:fldChar w:fldCharType="separate"/>
    </w:r>
    <w:r>
      <w:rPr>
        <w:rFonts w:ascii="Arial" w:hAnsi="Arial" w:eastAsia="宋体" w:cs="Arial"/>
        <w:sz w:val="21"/>
        <w:szCs w:val="21"/>
      </w:rPr>
      <w:t>9</w:t>
    </w:r>
    <w:r>
      <w:rPr>
        <w:rFonts w:ascii="Arial" w:hAnsi="Arial" w:eastAsia="宋体" w:cs="Arial"/>
        <w:sz w:val="21"/>
        <w:szCs w:val="21"/>
      </w:rPr>
      <w:fldChar w:fldCharType="end"/>
    </w:r>
    <w:r>
      <w:rPr>
        <w:rFonts w:ascii="Arial" w:hAnsi="Arial" w:eastAsia="宋体" w:cs="Arial"/>
        <w:sz w:val="21"/>
        <w:szCs w:val="21"/>
      </w:rPr>
      <w:t xml:space="preserve"> </w:t>
    </w:r>
    <w:r>
      <w:rPr>
        <w:rFonts w:ascii="Arial" w:hAnsi="Arial" w:eastAsia="宋体" w:cs="Arial"/>
        <w:sz w:val="21"/>
        <w:szCs w:val="21"/>
        <w:lang w:eastAsia="zh-CN"/>
      </w:rPr>
      <w:t>页</w:t>
    </w:r>
  </w:p>
  <w:p w14:paraId="204A343D">
    <w:pPr>
      <w:spacing w:line="14" w:lineRule="auto"/>
      <w:rPr>
        <w:rFonts w:ascii="Arial" w:hAnsi="Arial" w:eastAsia="宋体" w:cs="Arial"/>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207A0"/>
    <w:multiLevelType w:val="multilevel"/>
    <w:tmpl w:val="4E3207A0"/>
    <w:lvl w:ilvl="0" w:tentative="0">
      <w:start w:val="1"/>
      <w:numFmt w:val="bullet"/>
      <w:lvlText w:val=""/>
      <w:lvlJc w:val="left"/>
      <w:pPr>
        <w:ind w:left="460" w:hanging="360"/>
      </w:pPr>
      <w:rPr>
        <w:rFonts w:hint="default" w:ascii="Symbol" w:hAnsi="Symbol" w:eastAsia="Symbol"/>
        <w:w w:val="100"/>
        <w:sz w:val="24"/>
        <w:szCs w:val="24"/>
      </w:rPr>
    </w:lvl>
    <w:lvl w:ilvl="1" w:tentative="0">
      <w:start w:val="1"/>
      <w:numFmt w:val="bullet"/>
      <w:lvlText w:val="•"/>
      <w:lvlJc w:val="left"/>
      <w:pPr>
        <w:ind w:left="1300" w:hanging="360"/>
      </w:pPr>
      <w:rPr>
        <w:rFonts w:hint="default"/>
      </w:rPr>
    </w:lvl>
    <w:lvl w:ilvl="2" w:tentative="0">
      <w:start w:val="1"/>
      <w:numFmt w:val="bullet"/>
      <w:lvlText w:val="•"/>
      <w:lvlJc w:val="left"/>
      <w:pPr>
        <w:ind w:left="2140" w:hanging="360"/>
      </w:pPr>
      <w:rPr>
        <w:rFonts w:hint="default"/>
      </w:rPr>
    </w:lvl>
    <w:lvl w:ilvl="3" w:tentative="0">
      <w:start w:val="1"/>
      <w:numFmt w:val="bullet"/>
      <w:lvlText w:val="•"/>
      <w:lvlJc w:val="left"/>
      <w:pPr>
        <w:ind w:left="2980" w:hanging="360"/>
      </w:pPr>
      <w:rPr>
        <w:rFonts w:hint="default"/>
      </w:rPr>
    </w:lvl>
    <w:lvl w:ilvl="4" w:tentative="0">
      <w:start w:val="1"/>
      <w:numFmt w:val="bullet"/>
      <w:lvlText w:val="•"/>
      <w:lvlJc w:val="left"/>
      <w:pPr>
        <w:ind w:left="3820" w:hanging="360"/>
      </w:pPr>
      <w:rPr>
        <w:rFonts w:hint="default"/>
      </w:rPr>
    </w:lvl>
    <w:lvl w:ilvl="5" w:tentative="0">
      <w:start w:val="1"/>
      <w:numFmt w:val="bullet"/>
      <w:lvlText w:val="•"/>
      <w:lvlJc w:val="left"/>
      <w:pPr>
        <w:ind w:left="4660" w:hanging="360"/>
      </w:pPr>
      <w:rPr>
        <w:rFonts w:hint="default"/>
      </w:rPr>
    </w:lvl>
    <w:lvl w:ilvl="6" w:tentative="0">
      <w:start w:val="1"/>
      <w:numFmt w:val="bullet"/>
      <w:lvlText w:val="•"/>
      <w:lvlJc w:val="left"/>
      <w:pPr>
        <w:ind w:left="5500" w:hanging="360"/>
      </w:pPr>
      <w:rPr>
        <w:rFonts w:hint="default"/>
      </w:rPr>
    </w:lvl>
    <w:lvl w:ilvl="7" w:tentative="0">
      <w:start w:val="1"/>
      <w:numFmt w:val="bullet"/>
      <w:lvlText w:val="•"/>
      <w:lvlJc w:val="left"/>
      <w:pPr>
        <w:ind w:left="6340" w:hanging="360"/>
      </w:pPr>
      <w:rPr>
        <w:rFonts w:hint="default"/>
      </w:rPr>
    </w:lvl>
    <w:lvl w:ilvl="8" w:tentative="0">
      <w:start w:val="1"/>
      <w:numFmt w:val="bullet"/>
      <w:lvlText w:val="•"/>
      <w:lvlJc w:val="left"/>
      <w:pPr>
        <w:ind w:left="7180" w:hanging="360"/>
      </w:pPr>
      <w:rPr>
        <w:rFonts w:hint="default"/>
      </w:rPr>
    </w:lvl>
  </w:abstractNum>
  <w:abstractNum w:abstractNumId="1">
    <w:nsid w:val="5A7922B1"/>
    <w:multiLevelType w:val="multilevel"/>
    <w:tmpl w:val="5A7922B1"/>
    <w:lvl w:ilvl="0" w:tentative="0">
      <w:start w:val="5"/>
      <w:numFmt w:val="upperLetter"/>
      <w:lvlText w:val="%1."/>
      <w:lvlJc w:val="left"/>
      <w:pPr>
        <w:ind w:left="1560" w:hanging="576"/>
      </w:pPr>
      <w:rPr>
        <w:rFonts w:hint="default" w:ascii="Arial" w:hAnsi="Arial" w:eastAsia="Times New Roman" w:cs="Arial"/>
        <w:spacing w:val="-4"/>
        <w:w w:val="100"/>
        <w:sz w:val="21"/>
        <w:szCs w:val="21"/>
      </w:rPr>
    </w:lvl>
    <w:lvl w:ilvl="1" w:tentative="0">
      <w:start w:val="1"/>
      <w:numFmt w:val="bullet"/>
      <w:lvlText w:val="•"/>
      <w:lvlJc w:val="left"/>
      <w:pPr>
        <w:ind w:left="2292" w:hanging="576"/>
      </w:pPr>
      <w:rPr>
        <w:rFonts w:hint="default"/>
      </w:rPr>
    </w:lvl>
    <w:lvl w:ilvl="2" w:tentative="0">
      <w:start w:val="1"/>
      <w:numFmt w:val="bullet"/>
      <w:lvlText w:val="•"/>
      <w:lvlJc w:val="left"/>
      <w:pPr>
        <w:ind w:left="3024" w:hanging="576"/>
      </w:pPr>
      <w:rPr>
        <w:rFonts w:hint="default"/>
      </w:rPr>
    </w:lvl>
    <w:lvl w:ilvl="3" w:tentative="0">
      <w:start w:val="1"/>
      <w:numFmt w:val="bullet"/>
      <w:lvlText w:val="•"/>
      <w:lvlJc w:val="left"/>
      <w:pPr>
        <w:ind w:left="3756" w:hanging="576"/>
      </w:pPr>
      <w:rPr>
        <w:rFonts w:hint="default"/>
      </w:rPr>
    </w:lvl>
    <w:lvl w:ilvl="4" w:tentative="0">
      <w:start w:val="1"/>
      <w:numFmt w:val="bullet"/>
      <w:lvlText w:val="•"/>
      <w:lvlJc w:val="left"/>
      <w:pPr>
        <w:ind w:left="4488" w:hanging="576"/>
      </w:pPr>
      <w:rPr>
        <w:rFonts w:hint="default"/>
      </w:rPr>
    </w:lvl>
    <w:lvl w:ilvl="5" w:tentative="0">
      <w:start w:val="1"/>
      <w:numFmt w:val="bullet"/>
      <w:lvlText w:val="•"/>
      <w:lvlJc w:val="left"/>
      <w:pPr>
        <w:ind w:left="5220" w:hanging="576"/>
      </w:pPr>
      <w:rPr>
        <w:rFonts w:hint="default"/>
      </w:rPr>
    </w:lvl>
    <w:lvl w:ilvl="6" w:tentative="0">
      <w:start w:val="1"/>
      <w:numFmt w:val="bullet"/>
      <w:lvlText w:val="•"/>
      <w:lvlJc w:val="left"/>
      <w:pPr>
        <w:ind w:left="5952" w:hanging="576"/>
      </w:pPr>
      <w:rPr>
        <w:rFonts w:hint="default"/>
      </w:rPr>
    </w:lvl>
    <w:lvl w:ilvl="7" w:tentative="0">
      <w:start w:val="1"/>
      <w:numFmt w:val="bullet"/>
      <w:lvlText w:val="•"/>
      <w:lvlJc w:val="left"/>
      <w:pPr>
        <w:ind w:left="6684" w:hanging="576"/>
      </w:pPr>
      <w:rPr>
        <w:rFonts w:hint="default"/>
      </w:rPr>
    </w:lvl>
    <w:lvl w:ilvl="8" w:tentative="0">
      <w:start w:val="1"/>
      <w:numFmt w:val="bullet"/>
      <w:lvlText w:val="•"/>
      <w:lvlJc w:val="left"/>
      <w:pPr>
        <w:ind w:left="7416" w:hanging="576"/>
      </w:pPr>
      <w:rPr>
        <w:rFonts w:hint="default"/>
      </w:rPr>
    </w:lvl>
  </w:abstractNum>
  <w:abstractNum w:abstractNumId="2">
    <w:nsid w:val="78E54696"/>
    <w:multiLevelType w:val="multilevel"/>
    <w:tmpl w:val="78E54696"/>
    <w:lvl w:ilvl="0" w:tentative="0">
      <w:start w:val="1"/>
      <w:numFmt w:val="decimal"/>
      <w:lvlText w:val="%1."/>
      <w:lvlJc w:val="left"/>
      <w:pPr>
        <w:ind w:left="840" w:hanging="720"/>
      </w:pPr>
      <w:rPr>
        <w:rFonts w:hint="default" w:ascii="Arial" w:hAnsi="Arial" w:eastAsia="Times New Roman" w:cs="Arial"/>
        <w:b/>
        <w:bCs/>
        <w:spacing w:val="0"/>
        <w:w w:val="100"/>
        <w:sz w:val="21"/>
        <w:szCs w:val="21"/>
      </w:rPr>
    </w:lvl>
    <w:lvl w:ilvl="1" w:tentative="0">
      <w:start w:val="1"/>
      <w:numFmt w:val="upperLetter"/>
      <w:lvlText w:val="%2."/>
      <w:lvlJc w:val="left"/>
      <w:pPr>
        <w:ind w:left="1560" w:hanging="720"/>
      </w:pPr>
      <w:rPr>
        <w:rFonts w:hint="default" w:ascii="Arial" w:hAnsi="Arial" w:eastAsia="Times New Roman" w:cs="Arial"/>
        <w:spacing w:val="-2"/>
        <w:w w:val="100"/>
        <w:sz w:val="21"/>
        <w:szCs w:val="21"/>
      </w:rPr>
    </w:lvl>
    <w:lvl w:ilvl="2" w:tentative="0">
      <w:start w:val="1"/>
      <w:numFmt w:val="decimal"/>
      <w:lvlText w:val="%3."/>
      <w:lvlJc w:val="left"/>
      <w:pPr>
        <w:ind w:left="1560" w:hanging="576"/>
      </w:pPr>
      <w:rPr>
        <w:rFonts w:hint="default" w:ascii="Arial" w:hAnsi="Arial" w:eastAsia="Times New Roman" w:cs="Arial"/>
        <w:spacing w:val="-1"/>
        <w:w w:val="100"/>
        <w:sz w:val="21"/>
        <w:szCs w:val="21"/>
      </w:rPr>
    </w:lvl>
    <w:lvl w:ilvl="3" w:tentative="0">
      <w:start w:val="1"/>
      <w:numFmt w:val="lowerLetter"/>
      <w:lvlText w:val="%4."/>
      <w:lvlJc w:val="left"/>
      <w:pPr>
        <w:ind w:left="2260" w:hanging="720"/>
      </w:pPr>
      <w:rPr>
        <w:rFonts w:hint="default" w:ascii="Arial" w:hAnsi="Arial" w:eastAsia="Times New Roman" w:cs="Arial"/>
        <w:spacing w:val="-3"/>
        <w:w w:val="100"/>
        <w:sz w:val="21"/>
        <w:szCs w:val="21"/>
      </w:rPr>
    </w:lvl>
    <w:lvl w:ilvl="4" w:tentative="0">
      <w:start w:val="1"/>
      <w:numFmt w:val="bullet"/>
      <w:lvlText w:val="•"/>
      <w:lvlJc w:val="left"/>
      <w:pPr>
        <w:ind w:left="3202" w:hanging="720"/>
      </w:pPr>
      <w:rPr>
        <w:rFonts w:hint="default"/>
      </w:rPr>
    </w:lvl>
    <w:lvl w:ilvl="5" w:tentative="0">
      <w:start w:val="1"/>
      <w:numFmt w:val="bullet"/>
      <w:lvlText w:val="•"/>
      <w:lvlJc w:val="left"/>
      <w:pPr>
        <w:ind w:left="4145" w:hanging="720"/>
      </w:pPr>
      <w:rPr>
        <w:rFonts w:hint="default"/>
      </w:rPr>
    </w:lvl>
    <w:lvl w:ilvl="6" w:tentative="0">
      <w:start w:val="1"/>
      <w:numFmt w:val="bullet"/>
      <w:lvlText w:val="•"/>
      <w:lvlJc w:val="left"/>
      <w:pPr>
        <w:ind w:left="5088" w:hanging="720"/>
      </w:pPr>
      <w:rPr>
        <w:rFonts w:hint="default"/>
      </w:rPr>
    </w:lvl>
    <w:lvl w:ilvl="7" w:tentative="0">
      <w:start w:val="1"/>
      <w:numFmt w:val="bullet"/>
      <w:lvlText w:val="•"/>
      <w:lvlJc w:val="left"/>
      <w:pPr>
        <w:ind w:left="6031" w:hanging="720"/>
      </w:pPr>
      <w:rPr>
        <w:rFonts w:hint="default"/>
      </w:rPr>
    </w:lvl>
    <w:lvl w:ilvl="8" w:tentative="0">
      <w:start w:val="1"/>
      <w:numFmt w:val="bullet"/>
      <w:lvlText w:val="•"/>
      <w:lvlJc w:val="left"/>
      <w:pPr>
        <w:ind w:left="6974"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B5C"/>
    <w:rsid w:val="000156BA"/>
    <w:rsid w:val="00022AB0"/>
    <w:rsid w:val="00090593"/>
    <w:rsid w:val="000E5A87"/>
    <w:rsid w:val="001123E3"/>
    <w:rsid w:val="00166E6D"/>
    <w:rsid w:val="0018443D"/>
    <w:rsid w:val="001942B6"/>
    <w:rsid w:val="00196AC9"/>
    <w:rsid w:val="001D0AB8"/>
    <w:rsid w:val="0020783C"/>
    <w:rsid w:val="002439EC"/>
    <w:rsid w:val="00290194"/>
    <w:rsid w:val="002A603C"/>
    <w:rsid w:val="002C5718"/>
    <w:rsid w:val="00312AF7"/>
    <w:rsid w:val="00313C4B"/>
    <w:rsid w:val="0037463A"/>
    <w:rsid w:val="003B32E4"/>
    <w:rsid w:val="003B65EE"/>
    <w:rsid w:val="003B69CC"/>
    <w:rsid w:val="003D51F0"/>
    <w:rsid w:val="003F52EA"/>
    <w:rsid w:val="004051FF"/>
    <w:rsid w:val="0044629E"/>
    <w:rsid w:val="00483352"/>
    <w:rsid w:val="004A0014"/>
    <w:rsid w:val="004D205E"/>
    <w:rsid w:val="00520BB7"/>
    <w:rsid w:val="0053661F"/>
    <w:rsid w:val="00574069"/>
    <w:rsid w:val="005A709B"/>
    <w:rsid w:val="00601DDF"/>
    <w:rsid w:val="006119A5"/>
    <w:rsid w:val="00622D5C"/>
    <w:rsid w:val="00654160"/>
    <w:rsid w:val="00660056"/>
    <w:rsid w:val="006B7860"/>
    <w:rsid w:val="006C5B5C"/>
    <w:rsid w:val="006F7620"/>
    <w:rsid w:val="007309AF"/>
    <w:rsid w:val="007620A6"/>
    <w:rsid w:val="00781DD1"/>
    <w:rsid w:val="00794E9A"/>
    <w:rsid w:val="008F525F"/>
    <w:rsid w:val="00907AE0"/>
    <w:rsid w:val="00963CE7"/>
    <w:rsid w:val="009E3D50"/>
    <w:rsid w:val="00A51556"/>
    <w:rsid w:val="00A649DA"/>
    <w:rsid w:val="00A6729D"/>
    <w:rsid w:val="00A74EA7"/>
    <w:rsid w:val="00B54864"/>
    <w:rsid w:val="00B74052"/>
    <w:rsid w:val="00B92709"/>
    <w:rsid w:val="00BA4460"/>
    <w:rsid w:val="00BC5791"/>
    <w:rsid w:val="00C23635"/>
    <w:rsid w:val="00C24879"/>
    <w:rsid w:val="00C763A0"/>
    <w:rsid w:val="00CA7348"/>
    <w:rsid w:val="00CE7B6B"/>
    <w:rsid w:val="00D344F9"/>
    <w:rsid w:val="00D87B8E"/>
    <w:rsid w:val="00DC35DC"/>
    <w:rsid w:val="00DC3E2E"/>
    <w:rsid w:val="00DE0BD3"/>
    <w:rsid w:val="00E17DA6"/>
    <w:rsid w:val="00E25557"/>
    <w:rsid w:val="00E870F6"/>
    <w:rsid w:val="00E957D5"/>
    <w:rsid w:val="00E96D88"/>
    <w:rsid w:val="00EA42CA"/>
    <w:rsid w:val="00FA075D"/>
    <w:rsid w:val="00FB1569"/>
    <w:rsid w:val="00FB1A74"/>
    <w:rsid w:val="00FF6F70"/>
    <w:rsid w:val="213D5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820" w:hanging="720"/>
      <w:outlineLvl w:val="0"/>
    </w:pPr>
    <w:rPr>
      <w:rFonts w:ascii="Times New Roman" w:hAnsi="Times New Roman" w:eastAsia="Times New Roman"/>
      <w:b/>
      <w:bCs/>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00"/>
    </w:pPr>
    <w:rPr>
      <w:rFonts w:ascii="Times New Roman" w:hAnsi="Times New Roman" w:eastAsia="Times New Roman"/>
      <w:sz w:val="24"/>
      <w:szCs w:val="24"/>
    </w:rPr>
  </w:style>
  <w:style w:type="paragraph" w:styleId="4">
    <w:name w:val="Balloon Text"/>
    <w:basedOn w:val="1"/>
    <w:link w:val="16"/>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qFormat/>
    <w:uiPriority w:val="39"/>
    <w:pPr>
      <w:spacing w:before="340"/>
      <w:ind w:left="642" w:hanging="542"/>
    </w:pPr>
    <w:rPr>
      <w:rFonts w:ascii="Times New Roman" w:hAnsi="Times New Roman" w:eastAsia="Times New Roman"/>
      <w:sz w:val="28"/>
      <w:szCs w:val="28"/>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Char"/>
    <w:basedOn w:val="9"/>
    <w:link w:val="6"/>
    <w:uiPriority w:val="99"/>
    <w:rPr>
      <w:sz w:val="18"/>
      <w:szCs w:val="18"/>
    </w:rPr>
  </w:style>
  <w:style w:type="character" w:customStyle="1" w:styleId="15">
    <w:name w:val="页脚 Char"/>
    <w:basedOn w:val="9"/>
    <w:link w:val="5"/>
    <w:uiPriority w:val="99"/>
    <w:rPr>
      <w:sz w:val="18"/>
      <w:szCs w:val="18"/>
    </w:rPr>
  </w:style>
  <w:style w:type="character" w:customStyle="1" w:styleId="16">
    <w:name w:val="批注框文本 Char"/>
    <w:basedOn w:val="9"/>
    <w:link w:val="4"/>
    <w:semiHidden/>
    <w:uiPriority w:val="99"/>
    <w:rPr>
      <w:sz w:val="18"/>
      <w:szCs w:val="18"/>
    </w:rPr>
  </w:style>
  <w:style w:type="paragraph" w:customStyle="1" w:styleId="17">
    <w:name w:val="TOC Heading"/>
    <w:basedOn w:val="2"/>
    <w:next w:val="1"/>
    <w:unhideWhenUsed/>
    <w:qFormat/>
    <w:uiPriority w:val="39"/>
    <w:pPr>
      <w:keepNext/>
      <w:keepLines/>
      <w:widowControl/>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A969CA-6A09-4571-84C9-6093572EB27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5136</Words>
  <Characters>5933</Characters>
  <Lines>48</Lines>
  <Paragraphs>13</Paragraphs>
  <TotalTime>1</TotalTime>
  <ScaleCrop>false</ScaleCrop>
  <LinksUpToDate>false</LinksUpToDate>
  <CharactersWithSpaces>6034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2017-06-08T10:46:00Z</dcterms:created>
  <dc:creator>Theresa Mcdonald</dc:creator>
  <cp:lastModifiedBy>太极箫客</cp:lastModifiedBy>
  <dcterms:modified xsi:type="dcterms:W3CDTF">2025-08-14T07:20:32Z</dcterms:modified>
  <dc:title>revehlguid.PDF</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2017-03-18T00:00:00Z</vt:filetime>
  </property>
  <property fmtid="{D5CDD505-2E9C-101B-9397-08002B2CF9AE}" pid="3" name="Creator">
    <vt:lpwstr>Microsoft Word </vt:lpwstr>
  </property>
  <property fmtid="{D5CDD505-2E9C-101B-9397-08002B2CF9AE}" pid="4" name="LastSaved">
    <vt:filetime>2017-03-18T00:00:00Z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1850AE52195C4C47B76517EC0F8AB9D2_12</vt:lpwstr>
  </property>
</Properties>
</file>