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F29D0">
      <w:pPr>
        <w:spacing w:line="360" w:lineRule="auto"/>
        <w:jc w:val="center"/>
        <w:rPr>
          <w:rFonts w:ascii="Times New Roman" w:hAnsi="Times New Roman" w:eastAsia="方正小标宋简体"/>
          <w:sz w:val="44"/>
          <w:szCs w:val="44"/>
        </w:rPr>
      </w:pPr>
      <w:bookmarkStart w:id="0" w:name="_GoBack"/>
      <w:bookmarkEnd w:id="0"/>
      <w:r>
        <w:rPr>
          <w:rFonts w:hint="eastAsia" w:ascii="Times New Roman" w:hAnsi="Times New Roman" w:eastAsia="方正小标宋简体"/>
          <w:sz w:val="44"/>
          <w:szCs w:val="44"/>
        </w:rPr>
        <w:t>胃蛋白酶原</w:t>
      </w:r>
      <w:r>
        <w:rPr>
          <w:rFonts w:ascii="Times New Roman" w:hAnsi="Times New Roman" w:eastAsia="方正小标宋简体"/>
          <w:sz w:val="44"/>
          <w:szCs w:val="44"/>
        </w:rPr>
        <w:t>I/II</w:t>
      </w:r>
      <w:r>
        <w:rPr>
          <w:rFonts w:hint="eastAsia" w:ascii="Times New Roman" w:hAnsi="Times New Roman" w:eastAsia="方正小标宋简体"/>
          <w:sz w:val="44"/>
          <w:szCs w:val="44"/>
        </w:rPr>
        <w:t>检测试剂注册技术审查</w:t>
      </w:r>
    </w:p>
    <w:p w14:paraId="3CDA3CB3">
      <w:pPr>
        <w:spacing w:line="360" w:lineRule="auto"/>
        <w:jc w:val="center"/>
        <w:rPr>
          <w:rFonts w:ascii="Times New Roman" w:hAnsi="Times New Roman" w:eastAsia="方正小标宋简体"/>
          <w:sz w:val="44"/>
          <w:szCs w:val="44"/>
        </w:rPr>
      </w:pPr>
      <w:r>
        <w:rPr>
          <w:rFonts w:hint="eastAsia" w:ascii="Times New Roman" w:hAnsi="Times New Roman" w:eastAsia="方正小标宋简体"/>
          <w:sz w:val="44"/>
          <w:szCs w:val="44"/>
        </w:rPr>
        <w:t>指导原则（征求意见稿）</w:t>
      </w:r>
    </w:p>
    <w:p w14:paraId="04AAFB00">
      <w:pPr>
        <w:overflowPunct w:val="0"/>
        <w:spacing w:line="520" w:lineRule="exact"/>
        <w:ind w:firstLine="640" w:firstLineChars="200"/>
        <w:rPr>
          <w:rFonts w:eastAsia="仿宋_GB2312"/>
          <w:kern w:val="0"/>
          <w:sz w:val="32"/>
          <w:szCs w:val="32"/>
        </w:rPr>
      </w:pPr>
      <w:r>
        <w:rPr>
          <w:rFonts w:hint="eastAsia" w:eastAsia="仿宋_GB2312"/>
          <w:kern w:val="0"/>
          <w:sz w:val="32"/>
          <w:szCs w:val="32"/>
        </w:rPr>
        <w:t>本指导原则旨在指导注册申请人对胃蛋白酶原</w:t>
      </w:r>
      <w:r>
        <w:rPr>
          <w:rFonts w:eastAsia="仿宋_GB2312"/>
          <w:kern w:val="0"/>
          <w:sz w:val="32"/>
          <w:szCs w:val="32"/>
        </w:rPr>
        <w:t>I/II</w:t>
      </w:r>
      <w:r>
        <w:rPr>
          <w:rFonts w:hint="eastAsia" w:eastAsia="仿宋_GB2312"/>
          <w:kern w:val="0"/>
          <w:sz w:val="32"/>
          <w:szCs w:val="32"/>
        </w:rPr>
        <w:t>注册申报资料的准备及撰写，同时也为技术审评部门对注册申报资料的技术审评提供参考。</w:t>
      </w:r>
    </w:p>
    <w:p w14:paraId="2E6BCFE5">
      <w:pPr>
        <w:overflowPunct w:val="0"/>
        <w:spacing w:line="520" w:lineRule="exact"/>
        <w:ind w:firstLine="640" w:firstLineChars="200"/>
        <w:rPr>
          <w:rFonts w:eastAsia="仿宋_GB2312"/>
          <w:kern w:val="0"/>
          <w:sz w:val="32"/>
          <w:szCs w:val="32"/>
        </w:rPr>
      </w:pPr>
      <w:r>
        <w:rPr>
          <w:rFonts w:hint="eastAsia" w:eastAsia="仿宋_GB2312"/>
          <w:kern w:val="0"/>
          <w:sz w:val="32"/>
          <w:szCs w:val="32"/>
        </w:rPr>
        <w:t>本指导原则是对胃蛋白酶原</w:t>
      </w:r>
      <w:r>
        <w:rPr>
          <w:rFonts w:eastAsia="仿宋_GB2312"/>
          <w:kern w:val="0"/>
          <w:sz w:val="32"/>
          <w:szCs w:val="32"/>
        </w:rPr>
        <w:t>I/II</w:t>
      </w:r>
      <w:r>
        <w:rPr>
          <w:rFonts w:hint="eastAsia" w:eastAsia="仿宋_GB2312"/>
          <w:kern w:val="0"/>
          <w:sz w:val="32"/>
          <w:szCs w:val="32"/>
        </w:rPr>
        <w:t>检测试剂的一般要求，申请人应依据产品的具体特性确定其中内容是否适用，若不适用，需具体阐述理由及相应的科学依据，并依据产品的具体特性对注册申报资料的内容进行充实和细化。</w:t>
      </w:r>
    </w:p>
    <w:p w14:paraId="79135410">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758CDBC7">
      <w:pPr>
        <w:overflowPunct w:val="0"/>
        <w:spacing w:line="520" w:lineRule="exact"/>
        <w:ind w:firstLine="640" w:firstLineChars="200"/>
        <w:rPr>
          <w:rFonts w:eastAsia="仿宋_GB2312"/>
          <w:sz w:val="32"/>
          <w:szCs w:val="32"/>
        </w:rPr>
      </w:pPr>
      <w:r>
        <w:rPr>
          <w:rFonts w:hint="eastAsia" w:eastAsia="仿宋_GB2312"/>
          <w:sz w:val="32"/>
          <w:szCs w:val="32"/>
        </w:rPr>
        <w:t>本指导原则是在现行法规、标准体系及当前认知水平下制定的，随着法规、标准体系的不断完善和科学技术的不断发展，本指导原则相关内容也将适时进行调整。</w:t>
      </w:r>
    </w:p>
    <w:p w14:paraId="37D845C6">
      <w:pPr>
        <w:pStyle w:val="10"/>
        <w:spacing w:line="480" w:lineRule="exact"/>
        <w:ind w:firstLine="640"/>
        <w:rPr>
          <w:rFonts w:ascii="黑体" w:hAnsi="黑体" w:eastAsia="黑体"/>
          <w:bCs/>
          <w:sz w:val="32"/>
          <w:szCs w:val="32"/>
        </w:rPr>
      </w:pPr>
      <w:r>
        <w:rPr>
          <w:rFonts w:hint="eastAsia" w:ascii="黑体" w:hAnsi="黑体" w:eastAsia="黑体"/>
          <w:bCs/>
          <w:sz w:val="32"/>
          <w:szCs w:val="32"/>
        </w:rPr>
        <w:t>一、适用范围</w:t>
      </w:r>
    </w:p>
    <w:p w14:paraId="7EF986BB">
      <w:pPr>
        <w:spacing w:line="480" w:lineRule="exact"/>
        <w:ind w:firstLine="640" w:firstLineChars="200"/>
        <w:rPr>
          <w:rFonts w:eastAsia="仿宋_GB2312"/>
          <w:sz w:val="32"/>
          <w:szCs w:val="32"/>
        </w:rPr>
      </w:pPr>
      <w:r>
        <w:rPr>
          <w:rFonts w:hint="eastAsia" w:eastAsia="仿宋_GB2312"/>
          <w:kern w:val="0"/>
          <w:sz w:val="32"/>
          <w:szCs w:val="32"/>
        </w:rPr>
        <w:t>胃蛋白酶原</w:t>
      </w:r>
      <w:r>
        <w:rPr>
          <w:rFonts w:eastAsia="仿宋_GB2312"/>
          <w:kern w:val="0"/>
          <w:sz w:val="32"/>
          <w:szCs w:val="32"/>
        </w:rPr>
        <w:t>I/II</w:t>
      </w:r>
      <w:r>
        <w:rPr>
          <w:rFonts w:hint="eastAsia" w:eastAsia="仿宋_GB2312"/>
          <w:sz w:val="32"/>
          <w:szCs w:val="32"/>
        </w:rPr>
        <w:t>检测试剂用于体外定量测定人血清或血浆样本中</w:t>
      </w:r>
      <w:r>
        <w:rPr>
          <w:rFonts w:hint="eastAsia" w:eastAsia="仿宋_GB2312"/>
          <w:kern w:val="0"/>
          <w:sz w:val="32"/>
          <w:szCs w:val="32"/>
        </w:rPr>
        <w:t>胃蛋白酶原</w:t>
      </w:r>
      <w:r>
        <w:rPr>
          <w:rFonts w:eastAsia="仿宋_GB2312"/>
          <w:kern w:val="0"/>
          <w:sz w:val="32"/>
          <w:szCs w:val="32"/>
        </w:rPr>
        <w:t>I/II</w:t>
      </w:r>
      <w:r>
        <w:rPr>
          <w:rFonts w:hint="eastAsia" w:eastAsia="仿宋_GB2312"/>
          <w:sz w:val="32"/>
          <w:szCs w:val="32"/>
        </w:rPr>
        <w:t>（</w:t>
      </w:r>
      <w:r>
        <w:rPr>
          <w:rFonts w:eastAsia="仿宋_GB2312"/>
          <w:sz w:val="32"/>
          <w:szCs w:val="32"/>
        </w:rPr>
        <w:t>Pepsinogen</w:t>
      </w:r>
      <w:r>
        <w:rPr>
          <w:rFonts w:hint="eastAsia" w:eastAsia="仿宋_GB2312"/>
          <w:sz w:val="32"/>
          <w:szCs w:val="32"/>
        </w:rPr>
        <w:t>Ⅰ</w:t>
      </w:r>
      <w:r>
        <w:rPr>
          <w:rFonts w:eastAsia="仿宋_GB2312"/>
          <w:sz w:val="32"/>
          <w:szCs w:val="32"/>
        </w:rPr>
        <w:t>/</w:t>
      </w:r>
      <w:r>
        <w:rPr>
          <w:rFonts w:hint="eastAsia" w:eastAsia="仿宋_GB2312"/>
          <w:sz w:val="32"/>
          <w:szCs w:val="32"/>
        </w:rPr>
        <w:t>Ⅱ，</w:t>
      </w:r>
      <w:r>
        <w:rPr>
          <w:rFonts w:eastAsia="仿宋_GB2312"/>
          <w:sz w:val="32"/>
          <w:szCs w:val="32"/>
        </w:rPr>
        <w:t>PG</w:t>
      </w:r>
      <w:r>
        <w:rPr>
          <w:rFonts w:hint="eastAsia" w:eastAsia="仿宋_GB2312"/>
          <w:sz w:val="32"/>
          <w:szCs w:val="32"/>
        </w:rPr>
        <w:t>Ⅰ</w:t>
      </w:r>
      <w:r>
        <w:rPr>
          <w:rFonts w:eastAsia="仿宋_GB2312"/>
          <w:sz w:val="32"/>
          <w:szCs w:val="32"/>
        </w:rPr>
        <w:t>/</w:t>
      </w:r>
      <w:r>
        <w:rPr>
          <w:rFonts w:hint="eastAsia" w:eastAsia="仿宋_GB2312"/>
          <w:sz w:val="32"/>
          <w:szCs w:val="32"/>
        </w:rPr>
        <w:t>Ⅱ）的浓度。</w:t>
      </w:r>
    </w:p>
    <w:p w14:paraId="45B2B0EA">
      <w:pPr>
        <w:spacing w:line="480" w:lineRule="exact"/>
        <w:ind w:firstLine="640" w:firstLineChars="200"/>
        <w:rPr>
          <w:rFonts w:eastAsia="仿宋_GB2312"/>
          <w:kern w:val="0"/>
          <w:sz w:val="32"/>
          <w:szCs w:val="32"/>
        </w:rPr>
      </w:pPr>
      <w:r>
        <w:rPr>
          <w:rFonts w:hint="eastAsia" w:eastAsia="仿宋_GB2312"/>
          <w:sz w:val="32"/>
          <w:szCs w:val="32"/>
        </w:rPr>
        <w:t>本指导原则适用于</w:t>
      </w:r>
      <w:r>
        <w:rPr>
          <w:rFonts w:hint="eastAsia" w:eastAsia="仿宋_GB2312"/>
          <w:kern w:val="0"/>
          <w:sz w:val="32"/>
          <w:szCs w:val="32"/>
        </w:rPr>
        <w:t>胃蛋白酶原</w:t>
      </w:r>
      <w:r>
        <w:rPr>
          <w:rFonts w:eastAsia="仿宋_GB2312"/>
          <w:kern w:val="0"/>
          <w:sz w:val="32"/>
          <w:szCs w:val="32"/>
        </w:rPr>
        <w:t>I/II</w:t>
      </w:r>
      <w:r>
        <w:rPr>
          <w:rFonts w:hint="eastAsia" w:eastAsia="仿宋_GB2312"/>
          <w:kern w:val="0"/>
          <w:sz w:val="32"/>
          <w:szCs w:val="32"/>
        </w:rPr>
        <w:t>检测试剂，包括以酶标记、化学发光标记等标记方法免疫分析试剂，不适用于胶体金标记或其他方法标记的半定量胃蛋白酶原</w:t>
      </w:r>
      <w:r>
        <w:rPr>
          <w:rFonts w:eastAsia="仿宋_GB2312"/>
          <w:kern w:val="0"/>
          <w:sz w:val="32"/>
          <w:szCs w:val="32"/>
        </w:rPr>
        <w:t>I/II</w:t>
      </w:r>
      <w:r>
        <w:rPr>
          <w:rFonts w:hint="eastAsia" w:eastAsia="仿宋_GB2312"/>
          <w:sz w:val="32"/>
          <w:szCs w:val="32"/>
        </w:rPr>
        <w:t>检测试剂（如：试纸条等）和用</w:t>
      </w:r>
      <w:r>
        <w:rPr>
          <w:rFonts w:eastAsia="仿宋_GB2312"/>
          <w:bCs/>
          <w:sz w:val="32"/>
          <w:szCs w:val="32"/>
          <w:vertAlign w:val="superscript"/>
        </w:rPr>
        <w:t>125</w:t>
      </w:r>
      <w:r>
        <w:rPr>
          <w:rFonts w:eastAsia="仿宋_GB2312"/>
          <w:bCs/>
          <w:sz w:val="32"/>
          <w:szCs w:val="32"/>
        </w:rPr>
        <w:t>I</w:t>
      </w:r>
      <w:r>
        <w:rPr>
          <w:rFonts w:hint="eastAsia" w:eastAsia="仿宋_GB2312"/>
          <w:bCs/>
          <w:sz w:val="32"/>
          <w:szCs w:val="32"/>
        </w:rPr>
        <w:t>等放射性同位素标记的各类放射免疫或免疫放射试剂。</w:t>
      </w:r>
    </w:p>
    <w:p w14:paraId="7339D9F2">
      <w:pPr>
        <w:overflowPunct w:val="0"/>
        <w:spacing w:line="520" w:lineRule="exact"/>
        <w:ind w:firstLine="640" w:firstLineChars="200"/>
        <w:rPr>
          <w:rFonts w:eastAsia="仿宋_GB2312"/>
          <w:bCs/>
          <w:sz w:val="32"/>
          <w:szCs w:val="32"/>
        </w:rPr>
      </w:pPr>
      <w:r>
        <w:rPr>
          <w:rFonts w:hint="eastAsia" w:eastAsia="仿宋_GB2312"/>
          <w:bCs/>
          <w:sz w:val="32"/>
          <w:szCs w:val="32"/>
        </w:rPr>
        <w:t>根据《体外诊断试剂注册管理办法》（国家食品药品监督管理总局令第</w:t>
      </w:r>
      <w:r>
        <w:rPr>
          <w:rFonts w:eastAsia="仿宋_GB2312"/>
          <w:bCs/>
          <w:sz w:val="32"/>
          <w:szCs w:val="32"/>
        </w:rPr>
        <w:t>5</w:t>
      </w:r>
      <w:r>
        <w:rPr>
          <w:rFonts w:hint="eastAsia" w:eastAsia="仿宋_GB2312"/>
          <w:bCs/>
          <w:sz w:val="32"/>
          <w:szCs w:val="32"/>
        </w:rPr>
        <w:t>号）、《体外诊断试剂注册管理办法修正案》（国家食品药品监督管理总局令第</w:t>
      </w:r>
      <w:r>
        <w:rPr>
          <w:rFonts w:eastAsia="仿宋_GB2312"/>
          <w:bCs/>
          <w:sz w:val="32"/>
          <w:szCs w:val="32"/>
        </w:rPr>
        <w:t>30</w:t>
      </w:r>
      <w:r>
        <w:rPr>
          <w:rFonts w:hint="eastAsia" w:eastAsia="仿宋_GB2312"/>
          <w:bCs/>
          <w:sz w:val="32"/>
          <w:szCs w:val="32"/>
        </w:rPr>
        <w:t>号）、《食品药品监管总局关于印发体外诊断试剂分类子目录的通知》（食药监械管〔</w:t>
      </w:r>
      <w:r>
        <w:rPr>
          <w:rFonts w:eastAsia="仿宋_GB2312"/>
          <w:bCs/>
          <w:sz w:val="32"/>
          <w:szCs w:val="32"/>
        </w:rPr>
        <w:t>2013</w:t>
      </w:r>
      <w:r>
        <w:rPr>
          <w:rFonts w:hint="eastAsia" w:eastAsia="仿宋_GB2312"/>
          <w:bCs/>
          <w:sz w:val="32"/>
          <w:szCs w:val="32"/>
        </w:rPr>
        <w:t>〕</w:t>
      </w:r>
      <w:r>
        <w:rPr>
          <w:rFonts w:eastAsia="仿宋_GB2312"/>
          <w:bCs/>
          <w:sz w:val="32"/>
          <w:szCs w:val="32"/>
        </w:rPr>
        <w:t>242</w:t>
      </w:r>
      <w:r>
        <w:rPr>
          <w:rFonts w:hint="eastAsia" w:eastAsia="仿宋_GB2312"/>
          <w:bCs/>
          <w:sz w:val="32"/>
          <w:szCs w:val="32"/>
        </w:rPr>
        <w:t>号）和《国家药监局关于调整〈</w:t>
      </w:r>
      <w:r>
        <w:rPr>
          <w:rFonts w:eastAsia="仿宋_GB2312"/>
          <w:bCs/>
          <w:sz w:val="32"/>
          <w:szCs w:val="32"/>
        </w:rPr>
        <w:t>6840</w:t>
      </w:r>
      <w:r>
        <w:rPr>
          <w:rFonts w:hint="eastAsia" w:eastAsia="仿宋_GB2312"/>
          <w:bCs/>
          <w:sz w:val="32"/>
          <w:szCs w:val="32"/>
        </w:rPr>
        <w:t>体外诊断试剂分类子目录（</w:t>
      </w:r>
      <w:r>
        <w:rPr>
          <w:rFonts w:eastAsia="仿宋_GB2312"/>
          <w:bCs/>
          <w:sz w:val="32"/>
          <w:szCs w:val="32"/>
        </w:rPr>
        <w:t>2013</w:t>
      </w:r>
      <w:r>
        <w:rPr>
          <w:rFonts w:hint="eastAsia" w:eastAsia="仿宋_GB2312"/>
          <w:bCs/>
          <w:sz w:val="32"/>
          <w:szCs w:val="32"/>
        </w:rPr>
        <w:t>版）〉部分内容的公告》（</w:t>
      </w:r>
      <w:r>
        <w:rPr>
          <w:rFonts w:eastAsia="仿宋_GB2312"/>
          <w:bCs/>
          <w:sz w:val="32"/>
          <w:szCs w:val="32"/>
        </w:rPr>
        <w:t>2020</w:t>
      </w:r>
      <w:r>
        <w:rPr>
          <w:rFonts w:hint="eastAsia" w:eastAsia="仿宋_GB2312"/>
          <w:bCs/>
          <w:sz w:val="32"/>
          <w:szCs w:val="32"/>
        </w:rPr>
        <w:t>年第</w:t>
      </w:r>
      <w:r>
        <w:rPr>
          <w:rFonts w:eastAsia="仿宋_GB2312"/>
          <w:bCs/>
          <w:sz w:val="32"/>
          <w:szCs w:val="32"/>
        </w:rPr>
        <w:t>112</w:t>
      </w:r>
      <w:r>
        <w:rPr>
          <w:rFonts w:hint="eastAsia" w:eastAsia="仿宋_GB2312"/>
          <w:bCs/>
          <w:sz w:val="32"/>
          <w:szCs w:val="32"/>
        </w:rPr>
        <w:t>号），自</w:t>
      </w:r>
      <w:r>
        <w:rPr>
          <w:rFonts w:eastAsia="仿宋_GB2312"/>
          <w:bCs/>
          <w:sz w:val="32"/>
          <w:szCs w:val="32"/>
        </w:rPr>
        <w:t>2020</w:t>
      </w:r>
      <w:r>
        <w:rPr>
          <w:rFonts w:hint="eastAsia" w:eastAsia="仿宋_GB2312"/>
          <w:bCs/>
          <w:sz w:val="32"/>
          <w:szCs w:val="32"/>
        </w:rPr>
        <w:t>年</w:t>
      </w:r>
      <w:r>
        <w:rPr>
          <w:rFonts w:eastAsia="仿宋_GB2312"/>
          <w:bCs/>
          <w:sz w:val="32"/>
          <w:szCs w:val="32"/>
        </w:rPr>
        <w:t>10</w:t>
      </w:r>
      <w:r>
        <w:rPr>
          <w:rFonts w:hint="eastAsia" w:eastAsia="仿宋_GB2312"/>
          <w:bCs/>
          <w:sz w:val="32"/>
          <w:szCs w:val="32"/>
        </w:rPr>
        <w:t>月</w:t>
      </w:r>
      <w:r>
        <w:rPr>
          <w:rFonts w:eastAsia="仿宋_GB2312"/>
          <w:bCs/>
          <w:sz w:val="32"/>
          <w:szCs w:val="32"/>
        </w:rPr>
        <w:t>10</w:t>
      </w:r>
      <w:r>
        <w:rPr>
          <w:rFonts w:hint="eastAsia" w:eastAsia="仿宋_GB2312"/>
          <w:bCs/>
          <w:sz w:val="32"/>
          <w:szCs w:val="32"/>
        </w:rPr>
        <w:t>日起，</w:t>
      </w:r>
      <w:r>
        <w:rPr>
          <w:rFonts w:hint="eastAsia" w:eastAsia="仿宋_GB2312"/>
          <w:kern w:val="0"/>
          <w:sz w:val="32"/>
          <w:szCs w:val="32"/>
        </w:rPr>
        <w:t>胃蛋白酶原</w:t>
      </w:r>
      <w:r>
        <w:rPr>
          <w:rFonts w:eastAsia="仿宋_GB2312"/>
          <w:kern w:val="0"/>
          <w:sz w:val="32"/>
          <w:szCs w:val="32"/>
        </w:rPr>
        <w:t>I/II</w:t>
      </w:r>
      <w:r>
        <w:rPr>
          <w:rFonts w:hint="eastAsia" w:eastAsia="仿宋_GB2312"/>
          <w:bCs/>
          <w:sz w:val="32"/>
          <w:szCs w:val="32"/>
        </w:rPr>
        <w:t>检测试剂管理类别为</w:t>
      </w:r>
      <w:r>
        <w:rPr>
          <w:rFonts w:eastAsia="仿宋_GB2312"/>
          <w:kern w:val="0"/>
          <w:sz w:val="32"/>
          <w:szCs w:val="32"/>
        </w:rPr>
        <w:t>II</w:t>
      </w:r>
      <w:r>
        <w:rPr>
          <w:rFonts w:hint="eastAsia" w:eastAsia="仿宋_GB2312"/>
          <w:bCs/>
          <w:sz w:val="32"/>
          <w:szCs w:val="32"/>
        </w:rPr>
        <w:t>类，分类编码为</w:t>
      </w:r>
      <w:r>
        <w:rPr>
          <w:rFonts w:eastAsia="仿宋_GB2312"/>
          <w:bCs/>
          <w:sz w:val="32"/>
          <w:szCs w:val="32"/>
        </w:rPr>
        <w:t>6840</w:t>
      </w:r>
      <w:r>
        <w:rPr>
          <w:rFonts w:hint="eastAsia" w:eastAsia="仿宋_GB2312"/>
          <w:bCs/>
          <w:sz w:val="32"/>
          <w:szCs w:val="32"/>
        </w:rPr>
        <w:t>。</w:t>
      </w:r>
    </w:p>
    <w:p w14:paraId="0D6B0A0F">
      <w:pPr>
        <w:pStyle w:val="10"/>
        <w:spacing w:line="480" w:lineRule="exact"/>
        <w:ind w:firstLine="640"/>
        <w:rPr>
          <w:rFonts w:ascii="黑体" w:hAnsi="黑体" w:eastAsia="黑体"/>
          <w:bCs/>
          <w:sz w:val="32"/>
          <w:szCs w:val="32"/>
        </w:rPr>
      </w:pPr>
      <w:r>
        <w:rPr>
          <w:rFonts w:hint="eastAsia" w:ascii="黑体" w:hAnsi="黑体" w:eastAsia="黑体"/>
          <w:bCs/>
          <w:sz w:val="32"/>
          <w:szCs w:val="32"/>
        </w:rPr>
        <w:t>二、注册申报资料要求</w:t>
      </w:r>
    </w:p>
    <w:p w14:paraId="5E6D9FB7">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（一）综述资料</w:t>
      </w:r>
    </w:p>
    <w:p w14:paraId="2E950726">
      <w:pPr>
        <w:pStyle w:val="11"/>
        <w:ind w:firstLine="640"/>
        <w:rPr>
          <w:rFonts w:eastAsia="仿宋_GB2312"/>
          <w:sz w:val="32"/>
          <w:szCs w:val="32"/>
        </w:rPr>
      </w:pPr>
      <w:r>
        <w:rPr>
          <w:rFonts w:hint="eastAsia" w:eastAsia="仿宋_GB2312"/>
          <w:bCs/>
          <w:sz w:val="32"/>
          <w:szCs w:val="32"/>
        </w:rPr>
        <w:t>综述资料主要包括产品预期用途、产品描述、有关生物安全性的说明、产品主要研究结果的总结和评价以及同类产品上市情况介绍等内容，其中同类产品上市情况介绍部分应着重从方法学、检出限、线性范围、准确度、参考区间及临床适用范围等方面写明拟申报产品与目前市场上已获批准的同类产品之间的主要区别。综述资料作为注册申报资料的重要组分之一，其内容应符合《体外诊断试剂注册管理办法》（国家食品药品监督管理总局令第</w:t>
      </w:r>
      <w:r>
        <w:rPr>
          <w:rFonts w:eastAsia="仿宋_GB2312"/>
          <w:bCs/>
          <w:sz w:val="32"/>
          <w:szCs w:val="32"/>
        </w:rPr>
        <w:t>5</w:t>
      </w:r>
      <w:r>
        <w:rPr>
          <w:rFonts w:hint="eastAsia" w:eastAsia="仿宋_GB2312"/>
          <w:bCs/>
          <w:sz w:val="32"/>
          <w:szCs w:val="32"/>
        </w:rPr>
        <w:t>号）和《关于公布体外诊断试剂注册申报资料要求和批准证明文件格式的公告》（国家食品药品监督管理总局公告</w:t>
      </w:r>
      <w:r>
        <w:rPr>
          <w:rFonts w:eastAsia="仿宋_GB2312"/>
          <w:bCs/>
          <w:sz w:val="32"/>
          <w:szCs w:val="32"/>
        </w:rPr>
        <w:t>2014</w:t>
      </w:r>
      <w:r>
        <w:rPr>
          <w:rFonts w:hint="eastAsia" w:eastAsia="仿宋_GB2312"/>
          <w:bCs/>
          <w:sz w:val="32"/>
          <w:szCs w:val="32"/>
        </w:rPr>
        <w:t>年第</w:t>
      </w:r>
      <w:r>
        <w:rPr>
          <w:rFonts w:eastAsia="仿宋_GB2312"/>
          <w:bCs/>
          <w:sz w:val="32"/>
          <w:szCs w:val="32"/>
        </w:rPr>
        <w:t>44</w:t>
      </w:r>
      <w:r>
        <w:rPr>
          <w:rFonts w:hint="eastAsia" w:eastAsia="仿宋_GB2312"/>
          <w:bCs/>
          <w:sz w:val="32"/>
          <w:szCs w:val="32"/>
        </w:rPr>
        <w:t>号）的相关要求。</w:t>
      </w:r>
      <w:r>
        <w:rPr>
          <w:rFonts w:hint="eastAsia" w:eastAsia="仿宋_GB2312"/>
          <w:sz w:val="32"/>
          <w:szCs w:val="32"/>
        </w:rPr>
        <w:t>下面着重介绍与胃蛋白酶原</w:t>
      </w:r>
      <w:r>
        <w:rPr>
          <w:rFonts w:eastAsia="仿宋_GB2312"/>
          <w:sz w:val="32"/>
          <w:szCs w:val="32"/>
        </w:rPr>
        <w:t>I/II</w:t>
      </w:r>
      <w:r>
        <w:rPr>
          <w:rFonts w:hint="eastAsia" w:eastAsia="仿宋_GB2312"/>
          <w:sz w:val="32"/>
          <w:szCs w:val="32"/>
        </w:rPr>
        <w:t>检测试剂预期用途有关的临床背景情况。</w:t>
      </w:r>
    </w:p>
    <w:p w14:paraId="42CF1C65">
      <w:pPr>
        <w:pStyle w:val="11"/>
        <w:ind w:firstLine="640"/>
        <w:rPr>
          <w:rFonts w:eastAsia="仿宋_GB2312"/>
          <w:bCs/>
          <w:sz w:val="32"/>
          <w:szCs w:val="32"/>
        </w:rPr>
      </w:pPr>
      <w:r>
        <w:rPr>
          <w:rFonts w:hint="eastAsia" w:eastAsia="仿宋_GB2312"/>
          <w:bCs/>
          <w:sz w:val="32"/>
          <w:szCs w:val="32"/>
        </w:rPr>
        <w:t>胃蛋白酶原（</w:t>
      </w:r>
      <w:r>
        <w:rPr>
          <w:rFonts w:eastAsia="仿宋_GB2312"/>
          <w:bCs/>
          <w:sz w:val="32"/>
          <w:szCs w:val="32"/>
        </w:rPr>
        <w:t>Propepsin</w:t>
      </w:r>
      <w:r>
        <w:rPr>
          <w:rFonts w:hint="eastAsia" w:eastAsia="仿宋_GB2312"/>
          <w:bCs/>
          <w:sz w:val="32"/>
          <w:szCs w:val="32"/>
        </w:rPr>
        <w:t>，</w:t>
      </w:r>
      <w:r>
        <w:rPr>
          <w:rFonts w:eastAsia="仿宋_GB2312"/>
          <w:bCs/>
          <w:sz w:val="32"/>
          <w:szCs w:val="32"/>
        </w:rPr>
        <w:t>PG</w:t>
      </w:r>
      <w:r>
        <w:rPr>
          <w:rFonts w:hint="eastAsia" w:eastAsia="仿宋_GB2312"/>
          <w:bCs/>
          <w:sz w:val="32"/>
          <w:szCs w:val="32"/>
        </w:rPr>
        <w:t>）是胃液中胃蛋白酶的无活性前体，为</w:t>
      </w:r>
      <w:r>
        <w:rPr>
          <w:rFonts w:eastAsia="仿宋_GB2312"/>
          <w:bCs/>
          <w:sz w:val="32"/>
          <w:szCs w:val="32"/>
        </w:rPr>
        <w:t>375</w:t>
      </w:r>
      <w:r>
        <w:rPr>
          <w:rFonts w:hint="eastAsia" w:eastAsia="仿宋_GB2312"/>
          <w:bCs/>
          <w:sz w:val="32"/>
          <w:szCs w:val="32"/>
        </w:rPr>
        <w:t>个氨基酸组成的蛋白多肽链，平均相对分子质量为</w:t>
      </w:r>
      <w:r>
        <w:rPr>
          <w:rFonts w:eastAsia="仿宋_GB2312"/>
          <w:bCs/>
          <w:sz w:val="32"/>
          <w:szCs w:val="32"/>
        </w:rPr>
        <w:t>42000D</w:t>
      </w:r>
      <w:r>
        <w:rPr>
          <w:rFonts w:hint="eastAsia" w:eastAsia="仿宋_GB2312"/>
          <w:bCs/>
          <w:sz w:val="32"/>
          <w:szCs w:val="32"/>
        </w:rPr>
        <w:t>。人胃蛋白酶可分为两种生化和免疫活性特征不同的胃蛋白酶原亚群：按胃蛋白酶原在琼脂凝胶电泳下的迁移率由快至慢分</w:t>
      </w:r>
      <w:r>
        <w:rPr>
          <w:rFonts w:eastAsia="仿宋_GB2312"/>
          <w:bCs/>
          <w:sz w:val="32"/>
          <w:szCs w:val="32"/>
        </w:rPr>
        <w:t>PG1~7</w:t>
      </w:r>
      <w:r>
        <w:rPr>
          <w:rFonts w:hint="eastAsia" w:eastAsia="仿宋_GB2312"/>
          <w:bCs/>
          <w:sz w:val="32"/>
          <w:szCs w:val="32"/>
        </w:rPr>
        <w:t>七种同工酶原，其中</w:t>
      </w:r>
      <w:r>
        <w:rPr>
          <w:rFonts w:eastAsia="仿宋_GB2312"/>
          <w:bCs/>
          <w:sz w:val="32"/>
          <w:szCs w:val="32"/>
        </w:rPr>
        <w:t>PG1~5</w:t>
      </w:r>
      <w:r>
        <w:rPr>
          <w:rFonts w:hint="eastAsia" w:eastAsia="仿宋_GB2312"/>
          <w:bCs/>
          <w:sz w:val="32"/>
          <w:szCs w:val="32"/>
        </w:rPr>
        <w:t>有共同的免疫原性，合称</w:t>
      </w:r>
      <w:r>
        <w:rPr>
          <w:rFonts w:eastAsia="仿宋_GB2312"/>
          <w:bCs/>
          <w:sz w:val="32"/>
          <w:szCs w:val="32"/>
        </w:rPr>
        <w:t>PGI</w:t>
      </w:r>
      <w:r>
        <w:rPr>
          <w:rFonts w:hint="eastAsia" w:eastAsia="仿宋_GB2312"/>
          <w:bCs/>
          <w:sz w:val="32"/>
          <w:szCs w:val="32"/>
        </w:rPr>
        <w:t>（又称</w:t>
      </w:r>
      <w:r>
        <w:rPr>
          <w:rFonts w:eastAsia="仿宋_GB2312"/>
          <w:bCs/>
          <w:sz w:val="32"/>
          <w:szCs w:val="32"/>
        </w:rPr>
        <w:t>PGA</w:t>
      </w:r>
      <w:r>
        <w:rPr>
          <w:rFonts w:hint="eastAsia" w:eastAsia="仿宋_GB2312"/>
          <w:bCs/>
          <w:sz w:val="32"/>
          <w:szCs w:val="32"/>
        </w:rPr>
        <w:t>）；</w:t>
      </w:r>
      <w:r>
        <w:rPr>
          <w:rFonts w:eastAsia="仿宋_GB2312"/>
          <w:bCs/>
          <w:sz w:val="32"/>
          <w:szCs w:val="32"/>
        </w:rPr>
        <w:t>PG6</w:t>
      </w:r>
      <w:r>
        <w:rPr>
          <w:rFonts w:hint="eastAsia" w:eastAsia="仿宋_GB2312"/>
          <w:bCs/>
          <w:sz w:val="32"/>
          <w:szCs w:val="32"/>
        </w:rPr>
        <w:t>和</w:t>
      </w:r>
      <w:r>
        <w:rPr>
          <w:rFonts w:eastAsia="仿宋_GB2312"/>
          <w:bCs/>
          <w:sz w:val="32"/>
          <w:szCs w:val="32"/>
        </w:rPr>
        <w:t>PG7</w:t>
      </w:r>
      <w:r>
        <w:rPr>
          <w:rFonts w:hint="eastAsia" w:eastAsia="仿宋_GB2312"/>
          <w:bCs/>
          <w:sz w:val="32"/>
          <w:szCs w:val="32"/>
        </w:rPr>
        <w:t>迁移率较慢，合称</w:t>
      </w:r>
      <w:r>
        <w:rPr>
          <w:rFonts w:eastAsia="仿宋_GB2312"/>
          <w:bCs/>
          <w:sz w:val="32"/>
          <w:szCs w:val="32"/>
        </w:rPr>
        <w:t>PGII</w:t>
      </w:r>
      <w:r>
        <w:rPr>
          <w:rFonts w:hint="eastAsia" w:eastAsia="仿宋_GB2312"/>
          <w:bCs/>
          <w:sz w:val="32"/>
          <w:szCs w:val="32"/>
        </w:rPr>
        <w:t>（又称</w:t>
      </w:r>
      <w:r>
        <w:rPr>
          <w:rFonts w:eastAsia="仿宋_GB2312"/>
          <w:bCs/>
          <w:sz w:val="32"/>
          <w:szCs w:val="32"/>
        </w:rPr>
        <w:t>PGC</w:t>
      </w:r>
      <w:r>
        <w:rPr>
          <w:rFonts w:hint="eastAsia" w:eastAsia="仿宋_GB2312"/>
          <w:bCs/>
          <w:sz w:val="32"/>
          <w:szCs w:val="32"/>
        </w:rPr>
        <w:t>）。</w:t>
      </w:r>
      <w:r>
        <w:rPr>
          <w:rFonts w:eastAsia="仿宋_GB2312"/>
          <w:bCs/>
          <w:sz w:val="32"/>
          <w:szCs w:val="32"/>
        </w:rPr>
        <w:t>PGI</w:t>
      </w:r>
      <w:r>
        <w:rPr>
          <w:rFonts w:hint="eastAsia" w:eastAsia="仿宋_GB2312"/>
          <w:bCs/>
          <w:sz w:val="32"/>
          <w:szCs w:val="32"/>
        </w:rPr>
        <w:t>和</w:t>
      </w:r>
      <w:r>
        <w:rPr>
          <w:rFonts w:eastAsia="仿宋_GB2312"/>
          <w:bCs/>
          <w:sz w:val="32"/>
          <w:szCs w:val="32"/>
        </w:rPr>
        <w:t>PGII</w:t>
      </w:r>
      <w:r>
        <w:rPr>
          <w:rFonts w:hint="eastAsia" w:eastAsia="仿宋_GB2312"/>
          <w:bCs/>
          <w:sz w:val="32"/>
          <w:szCs w:val="32"/>
        </w:rPr>
        <w:t>在细胞来源及组织内分布各不相同：</w:t>
      </w:r>
      <w:r>
        <w:rPr>
          <w:rFonts w:eastAsia="仿宋_GB2312"/>
          <w:bCs/>
          <w:sz w:val="32"/>
          <w:szCs w:val="32"/>
        </w:rPr>
        <w:t>PGI</w:t>
      </w:r>
      <w:r>
        <w:rPr>
          <w:rFonts w:hint="eastAsia" w:eastAsia="仿宋_GB2312"/>
          <w:bCs/>
          <w:sz w:val="32"/>
          <w:szCs w:val="32"/>
        </w:rPr>
        <w:t>来源于胃底腺的主细胞和颈粘液细胞。</w:t>
      </w:r>
      <w:r>
        <w:rPr>
          <w:rFonts w:eastAsia="仿宋_GB2312"/>
          <w:bCs/>
          <w:sz w:val="32"/>
          <w:szCs w:val="32"/>
        </w:rPr>
        <w:t>PGII</w:t>
      </w:r>
      <w:r>
        <w:rPr>
          <w:rFonts w:hint="eastAsia" w:eastAsia="仿宋_GB2312"/>
          <w:bCs/>
          <w:sz w:val="32"/>
          <w:szCs w:val="32"/>
        </w:rPr>
        <w:t>则来源于全胃腺（胃喷门腺、胃底腺、胃窦幽门腺）和远端十二指肠</w:t>
      </w:r>
      <w:r>
        <w:rPr>
          <w:rFonts w:eastAsia="仿宋_GB2312"/>
          <w:bCs/>
          <w:sz w:val="32"/>
          <w:szCs w:val="32"/>
        </w:rPr>
        <w:t>Brunner</w:t>
      </w:r>
      <w:r>
        <w:rPr>
          <w:rFonts w:hint="eastAsia" w:eastAsia="仿宋_GB2312"/>
          <w:bCs/>
          <w:sz w:val="32"/>
          <w:szCs w:val="32"/>
        </w:rPr>
        <w:t>氏腺，前列腺和胰腺也产生少量</w:t>
      </w:r>
      <w:r>
        <w:rPr>
          <w:rFonts w:eastAsia="仿宋_GB2312"/>
          <w:bCs/>
          <w:sz w:val="32"/>
          <w:szCs w:val="32"/>
        </w:rPr>
        <w:t>PGII</w:t>
      </w:r>
      <w:r>
        <w:rPr>
          <w:rFonts w:hint="eastAsia" w:eastAsia="仿宋_GB2312"/>
          <w:bCs/>
          <w:sz w:val="32"/>
          <w:szCs w:val="32"/>
        </w:rPr>
        <w:t>，胃粘膜合成的</w:t>
      </w:r>
      <w:r>
        <w:rPr>
          <w:rFonts w:eastAsia="仿宋_GB2312"/>
          <w:bCs/>
          <w:sz w:val="32"/>
          <w:szCs w:val="32"/>
        </w:rPr>
        <w:t>PGII</w:t>
      </w:r>
      <w:r>
        <w:rPr>
          <w:rFonts w:hint="eastAsia" w:eastAsia="仿宋_GB2312"/>
          <w:bCs/>
          <w:sz w:val="32"/>
          <w:szCs w:val="32"/>
        </w:rPr>
        <w:t>约为总量的</w:t>
      </w:r>
      <w:r>
        <w:rPr>
          <w:rFonts w:eastAsia="仿宋_GB2312"/>
          <w:bCs/>
          <w:sz w:val="32"/>
          <w:szCs w:val="32"/>
        </w:rPr>
        <w:t>25%</w:t>
      </w:r>
      <w:r>
        <w:rPr>
          <w:rFonts w:hint="eastAsia" w:eastAsia="仿宋_GB2312"/>
          <w:bCs/>
          <w:sz w:val="32"/>
          <w:szCs w:val="32"/>
        </w:rPr>
        <w:t>。胃几乎是</w:t>
      </w:r>
      <w:r>
        <w:rPr>
          <w:rFonts w:eastAsia="仿宋_GB2312"/>
          <w:bCs/>
          <w:sz w:val="32"/>
          <w:szCs w:val="32"/>
        </w:rPr>
        <w:t>PG</w:t>
      </w:r>
      <w:r>
        <w:rPr>
          <w:rFonts w:hint="eastAsia" w:eastAsia="仿宋_GB2312"/>
          <w:bCs/>
          <w:sz w:val="32"/>
          <w:szCs w:val="32"/>
        </w:rPr>
        <w:t>的惟一来源，并且在分泌阶段的分泌量会发生变化，血清</w:t>
      </w:r>
      <w:r>
        <w:rPr>
          <w:rFonts w:eastAsia="仿宋_GB2312"/>
          <w:bCs/>
          <w:sz w:val="32"/>
          <w:szCs w:val="32"/>
        </w:rPr>
        <w:t>PG I</w:t>
      </w:r>
      <w:r>
        <w:rPr>
          <w:rFonts w:hint="eastAsia" w:eastAsia="仿宋_GB2312"/>
          <w:bCs/>
          <w:sz w:val="32"/>
          <w:szCs w:val="32"/>
        </w:rPr>
        <w:t>和</w:t>
      </w:r>
      <w:r>
        <w:rPr>
          <w:rFonts w:eastAsia="仿宋_GB2312"/>
          <w:bCs/>
          <w:sz w:val="32"/>
          <w:szCs w:val="32"/>
        </w:rPr>
        <w:t>PG II</w:t>
      </w:r>
      <w:r>
        <w:rPr>
          <w:rFonts w:hint="eastAsia" w:eastAsia="仿宋_GB2312"/>
          <w:bCs/>
          <w:sz w:val="32"/>
          <w:szCs w:val="32"/>
        </w:rPr>
        <w:t>反映了胃黏膜不同部位的分泌功能。</w:t>
      </w:r>
    </w:p>
    <w:p w14:paraId="26400437">
      <w:pPr>
        <w:pStyle w:val="11"/>
        <w:ind w:firstLine="640"/>
        <w:rPr>
          <w:rFonts w:eastAsia="仿宋_GB2312"/>
          <w:bCs/>
          <w:sz w:val="32"/>
          <w:szCs w:val="32"/>
        </w:rPr>
      </w:pPr>
      <w:r>
        <w:rPr>
          <w:rFonts w:hint="eastAsia" w:eastAsia="仿宋_GB2312"/>
          <w:bCs/>
          <w:sz w:val="32"/>
          <w:szCs w:val="32"/>
        </w:rPr>
        <w:t>合成后的</w:t>
      </w:r>
      <w:r>
        <w:rPr>
          <w:rFonts w:eastAsia="仿宋_GB2312"/>
          <w:bCs/>
          <w:sz w:val="32"/>
          <w:szCs w:val="32"/>
        </w:rPr>
        <w:t>PG</w:t>
      </w:r>
      <w:r>
        <w:rPr>
          <w:rFonts w:hint="eastAsia" w:eastAsia="仿宋_GB2312"/>
          <w:bCs/>
          <w:sz w:val="32"/>
          <w:szCs w:val="32"/>
        </w:rPr>
        <w:t>大部分进入胃腔，在酸性胃液作用下活化成胃蛋白酶，只有少量</w:t>
      </w:r>
      <w:r>
        <w:rPr>
          <w:rFonts w:eastAsia="仿宋_GB2312"/>
          <w:bCs/>
          <w:sz w:val="32"/>
          <w:szCs w:val="32"/>
        </w:rPr>
        <w:t>PG(</w:t>
      </w:r>
      <w:r>
        <w:rPr>
          <w:rFonts w:hint="eastAsia" w:eastAsia="仿宋_GB2312"/>
          <w:bCs/>
          <w:sz w:val="32"/>
          <w:szCs w:val="32"/>
        </w:rPr>
        <w:t>约</w:t>
      </w:r>
      <w:r>
        <w:rPr>
          <w:rFonts w:eastAsia="仿宋_GB2312"/>
          <w:bCs/>
          <w:sz w:val="32"/>
          <w:szCs w:val="32"/>
        </w:rPr>
        <w:t>1</w:t>
      </w:r>
      <w:r>
        <w:rPr>
          <w:rFonts w:hint="eastAsia" w:eastAsia="仿宋_GB2312"/>
          <w:bCs/>
          <w:sz w:val="32"/>
          <w:szCs w:val="32"/>
        </w:rPr>
        <w:t>％</w:t>
      </w:r>
      <w:r>
        <w:rPr>
          <w:rFonts w:eastAsia="仿宋_GB2312"/>
          <w:bCs/>
          <w:sz w:val="32"/>
          <w:szCs w:val="32"/>
        </w:rPr>
        <w:t>)</w:t>
      </w:r>
      <w:r>
        <w:rPr>
          <w:rFonts w:hint="eastAsia" w:eastAsia="仿宋_GB2312"/>
          <w:bCs/>
          <w:sz w:val="32"/>
          <w:szCs w:val="32"/>
        </w:rPr>
        <w:t>透过胃黏膜毛。故血清</w:t>
      </w:r>
      <w:r>
        <w:rPr>
          <w:rFonts w:eastAsia="仿宋_GB2312"/>
          <w:bCs/>
          <w:sz w:val="32"/>
          <w:szCs w:val="32"/>
        </w:rPr>
        <w:t>PG</w:t>
      </w:r>
      <w:r>
        <w:rPr>
          <w:rFonts w:hint="eastAsia" w:eastAsia="仿宋_GB2312"/>
          <w:bCs/>
          <w:sz w:val="32"/>
          <w:szCs w:val="32"/>
        </w:rPr>
        <w:t>浓度可以反映其分泌水平。当胃黏膜发生病理变化时，血清</w:t>
      </w:r>
      <w:r>
        <w:rPr>
          <w:rFonts w:eastAsia="仿宋_GB2312"/>
          <w:bCs/>
          <w:sz w:val="32"/>
          <w:szCs w:val="32"/>
        </w:rPr>
        <w:t>PG</w:t>
      </w:r>
      <w:r>
        <w:rPr>
          <w:rFonts w:hint="eastAsia" w:eastAsia="仿宋_GB2312"/>
          <w:bCs/>
          <w:sz w:val="32"/>
          <w:szCs w:val="32"/>
        </w:rPr>
        <w:t>含量也随之发生改变。胃液和血液</w:t>
      </w:r>
      <w:r>
        <w:rPr>
          <w:rFonts w:eastAsia="仿宋_GB2312"/>
          <w:bCs/>
          <w:sz w:val="32"/>
          <w:szCs w:val="32"/>
        </w:rPr>
        <w:t>PG</w:t>
      </w:r>
      <w:r>
        <w:rPr>
          <w:rFonts w:hint="eastAsia" w:eastAsia="仿宋_GB2312"/>
          <w:bCs/>
          <w:sz w:val="32"/>
          <w:szCs w:val="32"/>
        </w:rPr>
        <w:t>水平与活组织病理变化结果常一致，血清</w:t>
      </w:r>
      <w:r>
        <w:rPr>
          <w:rFonts w:eastAsia="仿宋_GB2312"/>
          <w:bCs/>
          <w:sz w:val="32"/>
          <w:szCs w:val="32"/>
        </w:rPr>
        <w:t>PG</w:t>
      </w:r>
      <w:r>
        <w:rPr>
          <w:rFonts w:hint="eastAsia" w:eastAsia="仿宋_GB2312"/>
          <w:bCs/>
          <w:sz w:val="32"/>
          <w:szCs w:val="32"/>
        </w:rPr>
        <w:t>浓度反映其分泌水平。</w:t>
      </w:r>
    </w:p>
    <w:p w14:paraId="554F6452">
      <w:pPr>
        <w:pStyle w:val="11"/>
        <w:ind w:firstLine="640"/>
        <w:rPr>
          <w:rFonts w:eastAsia="仿宋_GB2312"/>
          <w:bCs/>
          <w:sz w:val="32"/>
          <w:szCs w:val="32"/>
        </w:rPr>
      </w:pPr>
      <w:r>
        <w:rPr>
          <w:rFonts w:hint="eastAsia" w:eastAsia="仿宋_GB2312"/>
          <w:bCs/>
          <w:sz w:val="32"/>
          <w:szCs w:val="32"/>
        </w:rPr>
        <w:t>胃部疾病的发展历程，一般可表述为：浅表性胃炎</w:t>
      </w:r>
      <w:r>
        <w:rPr>
          <w:rFonts w:eastAsia="仿宋_GB2312"/>
          <w:bCs/>
          <w:sz w:val="32"/>
          <w:szCs w:val="32"/>
        </w:rPr>
        <w:t>—</w:t>
      </w:r>
      <w:r>
        <w:rPr>
          <w:rFonts w:hint="eastAsia" w:eastAsia="仿宋_GB2312"/>
          <w:bCs/>
          <w:sz w:val="32"/>
          <w:szCs w:val="32"/>
        </w:rPr>
        <w:t>胃溃疡</w:t>
      </w:r>
      <w:r>
        <w:rPr>
          <w:rFonts w:eastAsia="仿宋_GB2312"/>
          <w:bCs/>
          <w:sz w:val="32"/>
          <w:szCs w:val="32"/>
        </w:rPr>
        <w:t>—</w:t>
      </w:r>
      <w:r>
        <w:rPr>
          <w:rFonts w:hint="eastAsia" w:eastAsia="仿宋_GB2312"/>
          <w:bCs/>
          <w:sz w:val="32"/>
          <w:szCs w:val="32"/>
        </w:rPr>
        <w:t>萎缩性胃炎</w:t>
      </w:r>
      <w:r>
        <w:rPr>
          <w:rFonts w:eastAsia="仿宋_GB2312"/>
          <w:bCs/>
          <w:sz w:val="32"/>
          <w:szCs w:val="32"/>
        </w:rPr>
        <w:t>—</w:t>
      </w:r>
      <w:r>
        <w:rPr>
          <w:rFonts w:hint="eastAsia" w:eastAsia="仿宋_GB2312"/>
          <w:bCs/>
          <w:sz w:val="32"/>
          <w:szCs w:val="32"/>
        </w:rPr>
        <w:t>胃癌，及其它疾病具有良好的诊断和筛选作用。萎缩性胃炎是胃癌的主要癌前病变，经过积极治疗后可部分逆转或者防止肿瘤的发生。所以，通过检测血清中胃蛋白酶原水平变化，筛查萎缩性胃炎。据调查研究半数</w:t>
      </w:r>
      <w:r>
        <w:rPr>
          <w:rFonts w:eastAsia="仿宋_GB2312"/>
          <w:bCs/>
          <w:sz w:val="32"/>
          <w:szCs w:val="32"/>
        </w:rPr>
        <w:t>以上</w:t>
      </w:r>
      <w:r>
        <w:rPr>
          <w:rFonts w:hint="eastAsia" w:eastAsia="仿宋_GB2312"/>
          <w:bCs/>
          <w:sz w:val="32"/>
          <w:szCs w:val="32"/>
        </w:rPr>
        <w:t>胃癌有可能伴有萎缩性胃炎，而萎缩性胃炎可导致胃粘膜主细胞丢失，从而影响其分泌功能，致</w:t>
      </w:r>
      <w:r>
        <w:rPr>
          <w:rFonts w:eastAsia="仿宋_GB2312"/>
          <w:bCs/>
          <w:sz w:val="32"/>
          <w:szCs w:val="32"/>
        </w:rPr>
        <w:t>PGI</w:t>
      </w:r>
      <w:r>
        <w:rPr>
          <w:rFonts w:hint="eastAsia" w:eastAsia="仿宋_GB2312"/>
          <w:bCs/>
          <w:sz w:val="32"/>
          <w:szCs w:val="32"/>
        </w:rPr>
        <w:t>水平下降。胃癌患者血清</w:t>
      </w:r>
      <w:r>
        <w:rPr>
          <w:rFonts w:eastAsia="仿宋_GB2312"/>
          <w:bCs/>
          <w:sz w:val="32"/>
          <w:szCs w:val="32"/>
        </w:rPr>
        <w:t>PGII</w:t>
      </w:r>
      <w:r>
        <w:rPr>
          <w:rFonts w:hint="eastAsia" w:eastAsia="仿宋_GB2312"/>
          <w:bCs/>
          <w:sz w:val="32"/>
          <w:szCs w:val="32"/>
        </w:rPr>
        <w:t>含量变化不大，可能与分泌胃粘膜细胞分布较广有关，从而使</w:t>
      </w:r>
      <w:r>
        <w:rPr>
          <w:rFonts w:eastAsia="仿宋_GB2312"/>
          <w:bCs/>
          <w:sz w:val="32"/>
          <w:szCs w:val="32"/>
        </w:rPr>
        <w:t>PGI</w:t>
      </w:r>
      <w:r>
        <w:rPr>
          <w:rFonts w:hint="eastAsia" w:eastAsia="仿宋_GB2312"/>
          <w:bCs/>
          <w:sz w:val="32"/>
          <w:szCs w:val="32"/>
        </w:rPr>
        <w:t>／</w:t>
      </w:r>
      <w:r>
        <w:rPr>
          <w:rFonts w:eastAsia="仿宋_GB2312"/>
          <w:bCs/>
          <w:sz w:val="32"/>
          <w:szCs w:val="32"/>
        </w:rPr>
        <w:t>PGII</w:t>
      </w:r>
      <w:r>
        <w:rPr>
          <w:rFonts w:hint="eastAsia" w:eastAsia="仿宋_GB2312"/>
          <w:bCs/>
          <w:sz w:val="32"/>
          <w:szCs w:val="32"/>
        </w:rPr>
        <w:t>比值下降。胃癌患者血清</w:t>
      </w:r>
      <w:r>
        <w:rPr>
          <w:rFonts w:eastAsia="仿宋_GB2312"/>
          <w:bCs/>
          <w:sz w:val="32"/>
          <w:szCs w:val="32"/>
        </w:rPr>
        <w:t>PGI</w:t>
      </w:r>
      <w:r>
        <w:rPr>
          <w:rFonts w:hint="eastAsia" w:eastAsia="仿宋_GB2312"/>
          <w:bCs/>
          <w:sz w:val="32"/>
          <w:szCs w:val="32"/>
        </w:rPr>
        <w:t>、</w:t>
      </w:r>
      <w:r>
        <w:rPr>
          <w:rFonts w:eastAsia="仿宋_GB2312"/>
          <w:bCs/>
          <w:sz w:val="32"/>
          <w:szCs w:val="32"/>
        </w:rPr>
        <w:t>PGI</w:t>
      </w:r>
      <w:r>
        <w:rPr>
          <w:rFonts w:hint="eastAsia" w:eastAsia="仿宋_GB2312"/>
          <w:bCs/>
          <w:sz w:val="32"/>
          <w:szCs w:val="32"/>
        </w:rPr>
        <w:t>／</w:t>
      </w:r>
      <w:r>
        <w:rPr>
          <w:rFonts w:eastAsia="仿宋_GB2312"/>
          <w:bCs/>
          <w:sz w:val="32"/>
          <w:szCs w:val="32"/>
        </w:rPr>
        <w:t>PG</w:t>
      </w:r>
      <w:r>
        <w:rPr>
          <w:rFonts w:hint="eastAsia" w:eastAsia="仿宋_GB2312"/>
          <w:bCs/>
          <w:sz w:val="32"/>
          <w:szCs w:val="32"/>
        </w:rPr>
        <w:t>Ⅱ还与其病程及分化程度有关。</w:t>
      </w:r>
    </w:p>
    <w:p w14:paraId="61C882F1">
      <w:pPr>
        <w:pStyle w:val="11"/>
        <w:ind w:firstLine="640"/>
        <w:rPr>
          <w:rFonts w:eastAsia="仿宋_GB2312"/>
          <w:bCs/>
          <w:sz w:val="32"/>
          <w:szCs w:val="32"/>
        </w:rPr>
      </w:pPr>
      <w:r>
        <w:rPr>
          <w:rFonts w:hint="eastAsia" w:eastAsia="仿宋_GB2312"/>
          <w:bCs/>
          <w:sz w:val="32"/>
          <w:szCs w:val="32"/>
        </w:rPr>
        <w:t>总之，</w:t>
      </w:r>
      <w:r>
        <w:rPr>
          <w:rFonts w:eastAsia="仿宋_GB2312"/>
          <w:bCs/>
          <w:sz w:val="32"/>
          <w:szCs w:val="32"/>
        </w:rPr>
        <w:t>PG</w:t>
      </w:r>
      <w:r>
        <w:rPr>
          <w:rFonts w:hint="eastAsia" w:eastAsia="仿宋_GB2312"/>
          <w:bCs/>
          <w:sz w:val="32"/>
          <w:szCs w:val="32"/>
        </w:rPr>
        <w:t>组织表达的动态变化可以体现不同胃黏膜的分化程度及胃疾病的严重程度，随着胃疾病加重，血清</w:t>
      </w:r>
      <w:r>
        <w:rPr>
          <w:rFonts w:eastAsia="仿宋_GB2312"/>
          <w:bCs/>
          <w:sz w:val="32"/>
          <w:szCs w:val="32"/>
        </w:rPr>
        <w:t>PG</w:t>
      </w:r>
      <w:r>
        <w:rPr>
          <w:rFonts w:hint="eastAsia" w:eastAsia="仿宋_GB2312"/>
          <w:bCs/>
          <w:sz w:val="32"/>
          <w:szCs w:val="32"/>
        </w:rPr>
        <w:t>含量逐渐下降，</w:t>
      </w:r>
      <w:r>
        <w:rPr>
          <w:rFonts w:eastAsia="仿宋_GB2312"/>
          <w:bCs/>
          <w:sz w:val="32"/>
          <w:szCs w:val="32"/>
        </w:rPr>
        <w:t xml:space="preserve"> PGI/PGII</w:t>
      </w:r>
      <w:r>
        <w:rPr>
          <w:rFonts w:hint="eastAsia" w:eastAsia="仿宋_GB2312"/>
          <w:bCs/>
          <w:sz w:val="32"/>
          <w:szCs w:val="32"/>
        </w:rPr>
        <w:t>值呈逐步下降趋势，二者呈伴随关系，具有良好的相关性。以</w:t>
      </w:r>
      <w:r>
        <w:rPr>
          <w:rFonts w:eastAsia="仿宋_GB2312"/>
          <w:bCs/>
          <w:sz w:val="32"/>
          <w:szCs w:val="32"/>
        </w:rPr>
        <w:t>PGI</w:t>
      </w:r>
      <w:r>
        <w:rPr>
          <w:rFonts w:hint="eastAsia" w:eastAsia="仿宋_GB2312"/>
          <w:bCs/>
          <w:sz w:val="32"/>
          <w:szCs w:val="32"/>
        </w:rPr>
        <w:t>、</w:t>
      </w:r>
      <w:r>
        <w:rPr>
          <w:rFonts w:eastAsia="仿宋_GB2312"/>
          <w:bCs/>
          <w:sz w:val="32"/>
          <w:szCs w:val="32"/>
        </w:rPr>
        <w:t>PGI/PGII</w:t>
      </w:r>
      <w:r>
        <w:rPr>
          <w:rFonts w:hint="eastAsia" w:eastAsia="仿宋_GB2312"/>
          <w:bCs/>
          <w:sz w:val="32"/>
          <w:szCs w:val="32"/>
        </w:rPr>
        <w:t>值筛查胃黏膜疾病是一个较好的指标，对胃黏膜疾病的大规模筛查具有实用价值。</w:t>
      </w:r>
    </w:p>
    <w:p w14:paraId="64544518">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（二）主要原材料的研究资料（如需提供）</w:t>
      </w:r>
    </w:p>
    <w:p w14:paraId="0FEB98FE">
      <w:pPr>
        <w:pStyle w:val="11"/>
        <w:ind w:firstLine="640"/>
      </w:pPr>
      <w:r>
        <w:rPr>
          <w:rFonts w:hint="eastAsia" w:eastAsia="仿宋_GB2312"/>
          <w:bCs/>
          <w:sz w:val="32"/>
          <w:szCs w:val="32"/>
        </w:rPr>
        <w:t>应提供主要原材料如抗体、标记物、固相载体等选择、制备、质量标准及</w:t>
      </w:r>
      <w:r>
        <w:rPr>
          <w:rFonts w:hint="eastAsia" w:ascii="Times New Roman" w:hAnsi="Times New Roman" w:eastAsia="仿宋_GB2312"/>
          <w:sz w:val="32"/>
          <w:szCs w:val="32"/>
        </w:rPr>
        <w:t>试验验证研究资料；质控品（如适用）、校准品（如适用）的原料选择、制备、定值过程及试验资料；校准品（如适用）还应提供溯源性文件，包括具体溯源链、试验方法、数据及统计分析等详细资料。</w:t>
      </w:r>
    </w:p>
    <w:p w14:paraId="5C58F1A2">
      <w:pPr>
        <w:overflowPunct w:val="0"/>
        <w:spacing w:line="520" w:lineRule="exact"/>
        <w:ind w:firstLine="640" w:firstLineChars="200"/>
      </w:pPr>
      <w:r>
        <w:rPr>
          <w:rFonts w:hint="eastAsia" w:eastAsia="仿宋_GB2312"/>
          <w:bCs/>
          <w:sz w:val="32"/>
          <w:szCs w:val="32"/>
        </w:rPr>
        <w:t>如主要原材料为企业自己生产，应提交生产工艺的说明资料；如主要原材料为企业外购，应提供选择原材料的依据及试验资料，供方的质量标准、出厂检验报告和原材料的企业自检报告。</w:t>
      </w:r>
    </w:p>
    <w:p w14:paraId="5B3AB7E1">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（三）主要生产工艺及反应体系的研究资料（如需提供）</w:t>
      </w:r>
    </w:p>
    <w:p w14:paraId="76AD1F62">
      <w:pPr>
        <w:pStyle w:val="10"/>
        <w:spacing w:line="480" w:lineRule="exact"/>
        <w:ind w:firstLine="640"/>
        <w:rPr>
          <w:rFonts w:ascii="Times New Roman" w:hAnsi="Times New Roman" w:eastAsia="仿宋_GB2312"/>
          <w:sz w:val="32"/>
          <w:szCs w:val="32"/>
        </w:rPr>
      </w:pPr>
      <w:r>
        <w:rPr>
          <w:rFonts w:hint="eastAsia" w:eastAsia="仿宋_GB2312"/>
          <w:bCs/>
          <w:sz w:val="32"/>
          <w:szCs w:val="32"/>
        </w:rPr>
        <w:t>应提供</w:t>
      </w:r>
      <w:r>
        <w:rPr>
          <w:rFonts w:hint="eastAsia" w:ascii="Times New Roman" w:hAnsi="Times New Roman" w:eastAsia="仿宋_GB2312"/>
          <w:sz w:val="32"/>
          <w:szCs w:val="32"/>
        </w:rPr>
        <w:t>主要生产工艺及反应体系的研究资料，资料应包括以下内容，企业可根据申报检测试剂的方法学特性进行编制：</w:t>
      </w:r>
    </w:p>
    <w:p w14:paraId="6A99DAF9">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主要生产工艺介绍，可用流程图等图标方式表示。</w:t>
      </w:r>
      <w:r>
        <w:rPr>
          <w:rFonts w:hint="eastAsia" w:eastAsia="仿宋_GB2312"/>
          <w:sz w:val="32"/>
          <w:szCs w:val="32"/>
        </w:rPr>
        <w:t>简要说明主要生产工艺的描述和确定依据，对关键工序应表明并提供验证资料。</w:t>
      </w:r>
    </w:p>
    <w:p w14:paraId="2B7283B6">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产品反应原理介绍，产品的显色</w:t>
      </w:r>
      <w:r>
        <w:rPr>
          <w:rFonts w:ascii="Times New Roman" w:hAnsi="Times New Roman" w:eastAsia="仿宋_GB2312"/>
          <w:sz w:val="32"/>
          <w:szCs w:val="32"/>
        </w:rPr>
        <w:t>/</w:t>
      </w:r>
      <w:r>
        <w:rPr>
          <w:rFonts w:hint="eastAsia" w:ascii="Times New Roman" w:hAnsi="Times New Roman" w:eastAsia="仿宋_GB2312"/>
          <w:sz w:val="32"/>
          <w:szCs w:val="32"/>
        </w:rPr>
        <w:t>发光系统应提供描述和确定依据。</w:t>
      </w:r>
    </w:p>
    <w:p w14:paraId="63339D41">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反应体系包括样本采集及处理、样本要求、样本用量、试剂用量、反应条件、校准方法（如有）、质控方法等。</w:t>
      </w:r>
    </w:p>
    <w:p w14:paraId="4E24B309">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其中样本采集及处理应说明样本采集和处理的方式、样本保存条件；样本要求应说明适用的样本类型，涉及使用不同抗凝剂的应提供不同抗凝剂对检验结果影响的研究资料；应提供确定样本用量和试剂用量的研究资料，并考虑</w:t>
      </w:r>
      <w:r>
        <w:rPr>
          <w:rFonts w:hint="eastAsia" w:eastAsia="仿宋_GB2312"/>
          <w:sz w:val="32"/>
          <w:szCs w:val="32"/>
        </w:rPr>
        <w:t>样本是否需要稀释、加样方式、加样量以及试剂添加顺序、添加量对产品检测结果的影响，通过实验确定最佳的样本及试剂的添加方式和添加量；</w:t>
      </w:r>
      <w:r>
        <w:rPr>
          <w:rFonts w:hint="eastAsia" w:ascii="Times New Roman" w:hAnsi="Times New Roman" w:eastAsia="仿宋_GB2312"/>
          <w:sz w:val="32"/>
          <w:szCs w:val="32"/>
        </w:rPr>
        <w:t>反应条件应提供反应条件的确定资料，应考虑</w:t>
      </w:r>
      <w:r>
        <w:rPr>
          <w:rFonts w:hint="eastAsia" w:eastAsia="仿宋_GB2312"/>
          <w:bCs/>
          <w:sz w:val="32"/>
          <w:szCs w:val="32"/>
        </w:rPr>
        <w:t>反应时间、反应温度、洗涤次数（如适用）对</w:t>
      </w:r>
      <w:r>
        <w:rPr>
          <w:rFonts w:hint="eastAsia" w:ascii="Times New Roman" w:hAnsi="Times New Roman" w:eastAsia="仿宋_GB2312"/>
          <w:sz w:val="32"/>
          <w:szCs w:val="32"/>
        </w:rPr>
        <w:t>产品性能的影响，并通过实验确定最佳组合；校准方法（如有）、质控方法应提供确定用量的研究资料。</w:t>
      </w:r>
    </w:p>
    <w:p w14:paraId="70F533BD">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（四）分析性能评估资料</w:t>
      </w:r>
    </w:p>
    <w:p w14:paraId="09CEC0D7">
      <w:pPr>
        <w:pStyle w:val="11"/>
        <w:ind w:firstLine="640"/>
        <w:rPr>
          <w:rFonts w:ascii="Times New Roman" w:hAnsi="Times New Roman" w:eastAsia="仿宋_GB2312"/>
          <w:sz w:val="32"/>
          <w:szCs w:val="32"/>
        </w:rPr>
      </w:pPr>
      <w:r>
        <w:rPr>
          <w:rFonts w:hint="eastAsia" w:ascii="Times New Roman" w:hAnsi="Times New Roman" w:eastAsia="仿宋_GB2312"/>
          <w:sz w:val="32"/>
          <w:szCs w:val="32"/>
        </w:rPr>
        <w:t>申请人应提交产品研发阶段对试剂所有性能验证的研究资料，每项研究应包括具体研究方法、试验数据、统计方法、分析结果等资料。研究资料中还应体现分析性能评估的背景资料，包括试验地点、选用仪器的批号</w:t>
      </w:r>
      <w:r>
        <w:rPr>
          <w:rFonts w:ascii="Times New Roman" w:hAnsi="Times New Roman" w:eastAsia="仿宋_GB2312"/>
          <w:sz w:val="32"/>
          <w:szCs w:val="32"/>
        </w:rPr>
        <w:t>/</w:t>
      </w:r>
      <w:r>
        <w:rPr>
          <w:rFonts w:hint="eastAsia" w:ascii="Times New Roman" w:hAnsi="Times New Roman" w:eastAsia="仿宋_GB2312"/>
          <w:sz w:val="32"/>
          <w:szCs w:val="32"/>
        </w:rPr>
        <w:t>编号、试剂批号、</w:t>
      </w:r>
      <w:r>
        <w:rPr>
          <w:rFonts w:hint="eastAsia" w:eastAsia="仿宋_GB2312"/>
          <w:sz w:val="32"/>
          <w:szCs w:val="32"/>
        </w:rPr>
        <w:t>所</w:t>
      </w:r>
      <w:r>
        <w:rPr>
          <w:rFonts w:hint="eastAsia" w:ascii="Times New Roman" w:hAnsi="Times New Roman" w:eastAsia="仿宋_GB2312"/>
          <w:sz w:val="32"/>
          <w:szCs w:val="32"/>
        </w:rPr>
        <w:t>选用的校准品和质控品、临床样本来源等。</w:t>
      </w:r>
    </w:p>
    <w:p w14:paraId="5BC8B03A">
      <w:pPr>
        <w:pStyle w:val="11"/>
        <w:ind w:firstLine="64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检出限</w:t>
      </w:r>
    </w:p>
    <w:p w14:paraId="3D1D7CC8">
      <w:pPr>
        <w:pStyle w:val="11"/>
        <w:ind w:firstLine="640"/>
        <w:rPr>
          <w:rFonts w:ascii="Times New Roman" w:hAnsi="Times New Roman" w:eastAsia="仿宋_GB2312"/>
          <w:sz w:val="32"/>
          <w:szCs w:val="32"/>
        </w:rPr>
      </w:pPr>
      <w:r>
        <w:rPr>
          <w:rFonts w:hint="eastAsia" w:ascii="Times New Roman" w:hAnsi="Times New Roman" w:eastAsia="仿宋_GB2312"/>
          <w:sz w:val="32"/>
          <w:szCs w:val="32"/>
        </w:rPr>
        <w:t>申请人应参考国际或国内有关体外诊断产品性能评估的文件确定试剂的空白限和检出限并</w:t>
      </w:r>
      <w:r>
        <w:rPr>
          <w:rFonts w:ascii="Times New Roman" w:hAnsi="Times New Roman" w:eastAsia="仿宋_GB2312"/>
          <w:sz w:val="32"/>
          <w:szCs w:val="32"/>
        </w:rPr>
        <w:t>指明出处</w:t>
      </w:r>
      <w:r>
        <w:rPr>
          <w:rFonts w:hint="eastAsia" w:ascii="Times New Roman" w:hAnsi="Times New Roman" w:eastAsia="仿宋_GB2312"/>
          <w:sz w:val="32"/>
          <w:szCs w:val="32"/>
        </w:rPr>
        <w:t>，同时使用以下方法进行验证：</w:t>
      </w:r>
    </w:p>
    <w:p w14:paraId="2F48EB16">
      <w:pPr>
        <w:pStyle w:val="11"/>
        <w:ind w:firstLine="640"/>
        <w:rPr>
          <w:rFonts w:ascii="Times New Roman" w:hAnsi="Times New Roman" w:eastAsia="仿宋_GB2312"/>
          <w:sz w:val="32"/>
          <w:szCs w:val="32"/>
        </w:rPr>
      </w:pPr>
      <w:r>
        <w:rPr>
          <w:rFonts w:hint="eastAsia" w:ascii="Times New Roman" w:hAnsi="Times New Roman" w:eastAsia="仿宋_GB2312"/>
          <w:sz w:val="32"/>
          <w:szCs w:val="32"/>
        </w:rPr>
        <w:t>对</w:t>
      </w:r>
      <w:r>
        <w:rPr>
          <w:rFonts w:ascii="Times New Roman" w:hAnsi="Times New Roman" w:eastAsia="仿宋_GB2312"/>
          <w:sz w:val="32"/>
          <w:szCs w:val="32"/>
        </w:rPr>
        <w:t>5</w:t>
      </w:r>
      <w:r>
        <w:rPr>
          <w:rFonts w:hint="eastAsia" w:ascii="Times New Roman" w:hAnsi="Times New Roman" w:eastAsia="仿宋_GB2312"/>
          <w:sz w:val="32"/>
          <w:szCs w:val="32"/>
        </w:rPr>
        <w:t>份浓度近似空白限的低值样本进行检测，每份样本检测</w:t>
      </w:r>
      <w:r>
        <w:rPr>
          <w:rFonts w:ascii="Times New Roman" w:hAnsi="Times New Roman" w:eastAsia="仿宋_GB2312"/>
          <w:sz w:val="32"/>
          <w:szCs w:val="32"/>
        </w:rPr>
        <w:t>5</w:t>
      </w:r>
      <w:r>
        <w:rPr>
          <w:rFonts w:hint="eastAsia" w:ascii="Times New Roman" w:hAnsi="Times New Roman" w:eastAsia="仿宋_GB2312"/>
          <w:sz w:val="32"/>
          <w:szCs w:val="32"/>
        </w:rPr>
        <w:t>次，对检测结果按照大小进行排序，</w:t>
      </w:r>
      <w:r>
        <w:rPr>
          <w:rFonts w:hint="eastAsia" w:eastAsia="仿宋_GB2312"/>
          <w:bCs/>
          <w:sz w:val="32"/>
          <w:szCs w:val="32"/>
        </w:rPr>
        <w:t>符合如下条件，即可认为所提供的空白限和检出限的设置基本合理。</w:t>
      </w:r>
    </w:p>
    <w:p w14:paraId="1B6F6A16">
      <w:pPr>
        <w:pStyle w:val="11"/>
        <w:ind w:firstLine="640"/>
        <w:rPr>
          <w:rFonts w:ascii="Times New Roman" w:hAnsi="Times New Roman" w:eastAsia="仿宋_GB2312"/>
          <w:sz w:val="32"/>
          <w:szCs w:val="32"/>
        </w:rPr>
      </w:pPr>
      <w:r>
        <w:rPr>
          <w:rFonts w:ascii="Times New Roman" w:hAnsi="Times New Roman" w:eastAsia="仿宋_GB2312"/>
          <w:sz w:val="32"/>
          <w:szCs w:val="32"/>
        </w:rPr>
        <w:t xml:space="preserve">1.1 </w:t>
      </w:r>
      <w:r>
        <w:rPr>
          <w:rFonts w:hint="eastAsia" w:ascii="Times New Roman" w:hAnsi="Times New Roman" w:eastAsia="仿宋_GB2312"/>
          <w:sz w:val="32"/>
          <w:szCs w:val="32"/>
        </w:rPr>
        <w:t>低于空白限数值的结果应小于等于</w:t>
      </w:r>
      <w:r>
        <w:rPr>
          <w:rFonts w:ascii="Times New Roman" w:hAnsi="Times New Roman" w:eastAsia="仿宋_GB2312"/>
          <w:sz w:val="32"/>
          <w:szCs w:val="32"/>
        </w:rPr>
        <w:t>3</w:t>
      </w:r>
      <w:r>
        <w:rPr>
          <w:rFonts w:hint="eastAsia" w:ascii="Times New Roman" w:hAnsi="Times New Roman" w:eastAsia="仿宋_GB2312"/>
          <w:sz w:val="32"/>
          <w:szCs w:val="32"/>
        </w:rPr>
        <w:t>个。</w:t>
      </w:r>
    </w:p>
    <w:p w14:paraId="1C457F39">
      <w:pPr>
        <w:pStyle w:val="11"/>
        <w:ind w:firstLine="640"/>
        <w:rPr>
          <w:rFonts w:ascii="Times New Roman" w:hAnsi="Times New Roman" w:eastAsia="仿宋_GB2312"/>
          <w:sz w:val="32"/>
          <w:szCs w:val="32"/>
        </w:rPr>
      </w:pPr>
      <w:r>
        <w:rPr>
          <w:rFonts w:ascii="Times New Roman" w:hAnsi="Times New Roman" w:eastAsia="仿宋_GB2312"/>
          <w:sz w:val="32"/>
          <w:szCs w:val="32"/>
        </w:rPr>
        <w:t xml:space="preserve">1.2 </w:t>
      </w:r>
      <w:r>
        <w:rPr>
          <w:rFonts w:hint="eastAsia" w:ascii="Times New Roman" w:hAnsi="Times New Roman" w:eastAsia="仿宋_GB2312"/>
          <w:sz w:val="32"/>
          <w:szCs w:val="32"/>
        </w:rPr>
        <w:t>无高于申请人提供的参考区间下限的检测结果的数值。</w:t>
      </w:r>
    </w:p>
    <w:p w14:paraId="312E6E26">
      <w:pPr>
        <w:pStyle w:val="11"/>
        <w:ind w:firstLine="645" w:firstLineChars="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准确度</w:t>
      </w:r>
    </w:p>
    <w:p w14:paraId="5D44635F">
      <w:pPr>
        <w:overflowPunct w:val="0"/>
        <w:spacing w:line="520" w:lineRule="exact"/>
        <w:ind w:firstLine="640" w:firstLineChars="200"/>
        <w:rPr>
          <w:rFonts w:eastAsia="仿宋_GB2312"/>
          <w:sz w:val="32"/>
          <w:szCs w:val="32"/>
        </w:rPr>
      </w:pPr>
      <w:r>
        <w:rPr>
          <w:rFonts w:hint="eastAsia" w:eastAsia="仿宋_GB2312"/>
          <w:sz w:val="32"/>
          <w:szCs w:val="32"/>
        </w:rPr>
        <w:t>对测量准确度的评价方法可使用与国家标准品（和</w:t>
      </w:r>
      <w:r>
        <w:rPr>
          <w:rFonts w:eastAsia="仿宋_GB2312"/>
          <w:sz w:val="32"/>
          <w:szCs w:val="32"/>
        </w:rPr>
        <w:t>/</w:t>
      </w:r>
      <w:r>
        <w:rPr>
          <w:rFonts w:hint="eastAsia" w:eastAsia="仿宋_GB2312"/>
          <w:sz w:val="32"/>
          <w:szCs w:val="32"/>
        </w:rPr>
        <w:t>或国际标准品）的相对偏差、回收试验方法。</w:t>
      </w:r>
    </w:p>
    <w:p w14:paraId="23A51CDD">
      <w:pPr>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准确度可选择如下试验方法之一：</w:t>
      </w:r>
    </w:p>
    <w:p w14:paraId="10510C9A">
      <w:pPr>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xml:space="preserve">a) </w:t>
      </w:r>
      <w:r>
        <w:rPr>
          <w:rFonts w:hint="eastAsia" w:ascii="Times New Roman" w:hAnsi="Times New Roman" w:eastAsia="仿宋_GB2312"/>
          <w:kern w:val="0"/>
          <w:sz w:val="32"/>
          <w:szCs w:val="32"/>
        </w:rPr>
        <w:t>将</w:t>
      </w:r>
      <w:r>
        <w:rPr>
          <w:rFonts w:ascii="Times New Roman" w:hAnsi="Times New Roman" w:eastAsia="仿宋_GB2312"/>
          <w:kern w:val="0"/>
          <w:sz w:val="32"/>
          <w:szCs w:val="32"/>
        </w:rPr>
        <w:t>PG</w:t>
      </w:r>
      <w:r>
        <w:rPr>
          <w:rFonts w:eastAsia="仿宋_GB2312"/>
          <w:kern w:val="0"/>
          <w:sz w:val="32"/>
          <w:szCs w:val="32"/>
        </w:rPr>
        <w:t>I</w:t>
      </w:r>
      <w:r>
        <w:rPr>
          <w:rFonts w:hint="eastAsia" w:ascii="Times New Roman" w:hAnsi="Times New Roman" w:eastAsia="仿宋_GB2312"/>
          <w:kern w:val="0"/>
          <w:sz w:val="32"/>
          <w:szCs w:val="32"/>
        </w:rPr>
        <w:t>国家（或国际）标准品配制成最终浓度为</w:t>
      </w:r>
      <w:r>
        <w:rPr>
          <w:rFonts w:ascii="Times New Roman" w:hAnsi="Times New Roman" w:eastAsia="仿宋_GB2312"/>
          <w:kern w:val="0"/>
          <w:sz w:val="32"/>
          <w:szCs w:val="32"/>
        </w:rPr>
        <w:t>150ng/mL</w:t>
      </w:r>
      <w:r>
        <w:rPr>
          <w:rFonts w:hint="eastAsia" w:ascii="Times New Roman" w:hAnsi="Times New Roman" w:eastAsia="仿宋_GB2312"/>
          <w:kern w:val="0"/>
          <w:sz w:val="32"/>
          <w:szCs w:val="32"/>
        </w:rPr>
        <w:t>（允许其浓度偏差为±</w:t>
      </w:r>
      <w:r>
        <w:rPr>
          <w:rFonts w:ascii="Times New Roman" w:hAnsi="Times New Roman" w:eastAsia="仿宋_GB2312"/>
          <w:kern w:val="0"/>
          <w:sz w:val="32"/>
          <w:szCs w:val="32"/>
        </w:rPr>
        <w:t>20%</w:t>
      </w:r>
      <w:r>
        <w:rPr>
          <w:rFonts w:hint="eastAsia" w:ascii="Times New Roman" w:hAnsi="Times New Roman" w:eastAsia="仿宋_GB2312"/>
          <w:kern w:val="0"/>
          <w:sz w:val="32"/>
          <w:szCs w:val="32"/>
        </w:rPr>
        <w:t>）的准确度样品进行检测，将</w:t>
      </w:r>
      <w:r>
        <w:rPr>
          <w:rFonts w:ascii="Times New Roman" w:hAnsi="Times New Roman" w:eastAsia="仿宋_GB2312"/>
          <w:kern w:val="0"/>
          <w:sz w:val="32"/>
          <w:szCs w:val="32"/>
        </w:rPr>
        <w:t>PG</w:t>
      </w:r>
      <w:r>
        <w:rPr>
          <w:rFonts w:eastAsia="仿宋_GB2312"/>
          <w:kern w:val="0"/>
          <w:sz w:val="32"/>
          <w:szCs w:val="32"/>
        </w:rPr>
        <w:t>II</w:t>
      </w:r>
      <w:r>
        <w:rPr>
          <w:rFonts w:hint="eastAsia" w:ascii="Times New Roman" w:hAnsi="Times New Roman" w:eastAsia="仿宋_GB2312"/>
          <w:kern w:val="0"/>
          <w:sz w:val="32"/>
          <w:szCs w:val="32"/>
        </w:rPr>
        <w:t>国家（或国际）标准品配制成最终浓度为</w:t>
      </w:r>
      <w:r>
        <w:rPr>
          <w:rFonts w:ascii="Times New Roman" w:hAnsi="Times New Roman" w:eastAsia="仿宋_GB2312"/>
          <w:kern w:val="0"/>
          <w:sz w:val="32"/>
          <w:szCs w:val="32"/>
        </w:rPr>
        <w:t>80ng/mL</w:t>
      </w:r>
      <w:r>
        <w:rPr>
          <w:rFonts w:hint="eastAsia" w:ascii="Times New Roman" w:hAnsi="Times New Roman" w:eastAsia="仿宋_GB2312"/>
          <w:kern w:val="0"/>
          <w:sz w:val="32"/>
          <w:szCs w:val="32"/>
        </w:rPr>
        <w:t>（允许其浓度偏差为±</w:t>
      </w:r>
      <w:r>
        <w:rPr>
          <w:rFonts w:ascii="Times New Roman" w:hAnsi="Times New Roman" w:eastAsia="仿宋_GB2312"/>
          <w:kern w:val="0"/>
          <w:sz w:val="32"/>
          <w:szCs w:val="32"/>
        </w:rPr>
        <w:t>20%</w:t>
      </w:r>
      <w:r>
        <w:rPr>
          <w:rFonts w:hint="eastAsia" w:ascii="Times New Roman" w:hAnsi="Times New Roman" w:eastAsia="仿宋_GB2312"/>
          <w:kern w:val="0"/>
          <w:sz w:val="32"/>
          <w:szCs w:val="32"/>
        </w:rPr>
        <w:t>）的准确度样品进行检测，每个样品测试</w:t>
      </w:r>
      <w:r>
        <w:rPr>
          <w:rFonts w:ascii="Times New Roman" w:hAnsi="Times New Roman" w:eastAsia="仿宋_GB2312"/>
          <w:kern w:val="0"/>
          <w:sz w:val="32"/>
          <w:szCs w:val="32"/>
        </w:rPr>
        <w:t>3</w:t>
      </w:r>
      <w:r>
        <w:rPr>
          <w:rFonts w:hint="eastAsia" w:ascii="Times New Roman" w:hAnsi="Times New Roman" w:eastAsia="仿宋_GB2312"/>
          <w:kern w:val="0"/>
          <w:sz w:val="32"/>
          <w:szCs w:val="32"/>
        </w:rPr>
        <w:t>次，根据式（</w:t>
      </w:r>
      <w:r>
        <w:rPr>
          <w:rFonts w:ascii="Times New Roman" w:hAnsi="Times New Roman" w:eastAsia="仿宋_GB2312"/>
          <w:kern w:val="0"/>
          <w:sz w:val="32"/>
          <w:szCs w:val="32"/>
        </w:rPr>
        <w:t>1</w:t>
      </w:r>
      <w:r>
        <w:rPr>
          <w:rFonts w:hint="eastAsia" w:ascii="Times New Roman" w:hAnsi="Times New Roman" w:eastAsia="仿宋_GB2312"/>
          <w:kern w:val="0"/>
          <w:sz w:val="32"/>
          <w:szCs w:val="32"/>
        </w:rPr>
        <w:t>）计算相对偏差</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相对偏差应在±</w:t>
      </w:r>
      <w:r>
        <w:rPr>
          <w:rFonts w:ascii="Times New Roman" w:hAnsi="Times New Roman" w:eastAsia="仿宋_GB2312"/>
          <w:kern w:val="0"/>
          <w:sz w:val="32"/>
          <w:szCs w:val="32"/>
        </w:rPr>
        <w:t>15%</w:t>
      </w:r>
      <w:r>
        <w:rPr>
          <w:rFonts w:hint="eastAsia" w:ascii="Times New Roman" w:hAnsi="Times New Roman" w:eastAsia="仿宋_GB2312"/>
          <w:kern w:val="0"/>
          <w:sz w:val="32"/>
          <w:szCs w:val="32"/>
        </w:rPr>
        <w:t>范围内。如果</w:t>
      </w:r>
      <w:r>
        <w:rPr>
          <w:rFonts w:ascii="Times New Roman" w:hAnsi="Times New Roman" w:eastAsia="仿宋_GB2312"/>
          <w:kern w:val="0"/>
          <w:sz w:val="32"/>
          <w:szCs w:val="32"/>
        </w:rPr>
        <w:t>3</w:t>
      </w:r>
      <w:r>
        <w:rPr>
          <w:rFonts w:hint="eastAsia" w:ascii="Times New Roman" w:hAnsi="Times New Roman" w:eastAsia="仿宋_GB2312"/>
          <w:kern w:val="0"/>
          <w:sz w:val="32"/>
          <w:szCs w:val="32"/>
        </w:rPr>
        <w:t>次结果都符合规定，即判为合格；如果大于或等于</w:t>
      </w:r>
      <w:r>
        <w:rPr>
          <w:rFonts w:ascii="Times New Roman" w:hAnsi="Times New Roman" w:eastAsia="仿宋_GB2312"/>
          <w:kern w:val="0"/>
          <w:sz w:val="32"/>
          <w:szCs w:val="32"/>
        </w:rPr>
        <w:t>2</w:t>
      </w:r>
      <w:r>
        <w:rPr>
          <w:rFonts w:hint="eastAsia" w:ascii="Times New Roman" w:hAnsi="Times New Roman" w:eastAsia="仿宋_GB2312"/>
          <w:kern w:val="0"/>
          <w:sz w:val="32"/>
          <w:szCs w:val="32"/>
        </w:rPr>
        <w:t>次的结果不符合，即判为不合格；如果有</w:t>
      </w:r>
      <w:r>
        <w:rPr>
          <w:rFonts w:ascii="Times New Roman" w:hAnsi="Times New Roman" w:eastAsia="仿宋_GB2312"/>
          <w:kern w:val="0"/>
          <w:sz w:val="32"/>
          <w:szCs w:val="32"/>
        </w:rPr>
        <w:t>1</w:t>
      </w:r>
      <w:r>
        <w:rPr>
          <w:rFonts w:hint="eastAsia" w:ascii="Times New Roman" w:hAnsi="Times New Roman" w:eastAsia="仿宋_GB2312"/>
          <w:kern w:val="0"/>
          <w:sz w:val="32"/>
          <w:szCs w:val="32"/>
        </w:rPr>
        <w:t>次结果不符合规定，则应重新连续测试</w:t>
      </w:r>
      <w:r>
        <w:rPr>
          <w:rFonts w:ascii="Times New Roman" w:hAnsi="Times New Roman" w:eastAsia="仿宋_GB2312"/>
          <w:kern w:val="0"/>
          <w:sz w:val="32"/>
          <w:szCs w:val="32"/>
        </w:rPr>
        <w:t>20</w:t>
      </w:r>
      <w:r>
        <w:rPr>
          <w:rFonts w:hint="eastAsia" w:ascii="Times New Roman" w:hAnsi="Times New Roman" w:eastAsia="仿宋_GB2312"/>
          <w:kern w:val="0"/>
          <w:sz w:val="32"/>
          <w:szCs w:val="32"/>
        </w:rPr>
        <w:t>次，分别计算相对偏差，如果大于或等于</w:t>
      </w:r>
      <w:r>
        <w:rPr>
          <w:rFonts w:ascii="Times New Roman" w:hAnsi="Times New Roman" w:eastAsia="仿宋_GB2312"/>
          <w:kern w:val="0"/>
          <w:sz w:val="32"/>
          <w:szCs w:val="32"/>
        </w:rPr>
        <w:t>19</w:t>
      </w:r>
      <w:r>
        <w:rPr>
          <w:rFonts w:hint="eastAsia" w:ascii="Times New Roman" w:hAnsi="Times New Roman" w:eastAsia="仿宋_GB2312"/>
          <w:kern w:val="0"/>
          <w:sz w:val="32"/>
          <w:szCs w:val="32"/>
        </w:rPr>
        <w:t>次测试的结果符合规定，即判为合格。</w:t>
      </w:r>
    </w:p>
    <w:p w14:paraId="105D19E9">
      <w:pPr>
        <w:jc w:val="center"/>
        <w:rPr>
          <w:rFonts w:ascii="Times New Roman" w:hAnsi="Times New Roman" w:eastAsia="仿宋_GB2312"/>
          <w:kern w:val="0"/>
          <w:sz w:val="32"/>
          <w:szCs w:val="32"/>
        </w:rPr>
      </w:pPr>
      <w:r>
        <w:rPr>
          <w:rFonts w:ascii="Times New Roman" w:hAnsi="Times New Roman" w:eastAsia="仿宋_GB2312"/>
          <w:kern w:val="0"/>
          <w:sz w:val="32"/>
          <w:szCs w:val="32"/>
        </w:rPr>
        <w:t xml:space="preserve">               </w:t>
      </w:r>
      <w:r>
        <w:rPr>
          <w:rFonts w:ascii="Times New Roman" w:hAnsi="Times New Roman" w:eastAsia="仿宋_GB2312"/>
          <w:kern w:val="0"/>
          <w:position w:val="-24"/>
          <w:sz w:val="32"/>
          <w:szCs w:val="32"/>
        </w:rPr>
        <w:object>
          <v:shape id="_x0000_i1025" o:spt="75" type="#_x0000_t75" style="height:30.75pt;width:101.25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rFonts w:ascii="Times New Roman" w:hAnsi="Times New Roman" w:eastAsia="仿宋_GB2312"/>
          <w:kern w:val="0"/>
          <w:sz w:val="32"/>
          <w:szCs w:val="32"/>
        </w:rPr>
        <w:t>...........................................(1)</w:t>
      </w:r>
    </w:p>
    <w:p w14:paraId="5EB7A854">
      <w:pPr>
        <w:rPr>
          <w:rFonts w:ascii="Times New Roman" w:hAnsi="Times New Roman" w:eastAsia="仿宋_GB2312"/>
          <w:kern w:val="0"/>
          <w:sz w:val="32"/>
          <w:szCs w:val="32"/>
        </w:rPr>
      </w:pPr>
      <w:r>
        <w:rPr>
          <w:rFonts w:hint="eastAsia" w:ascii="Times New Roman" w:hAnsi="Times New Roman" w:eastAsia="仿宋_GB2312"/>
          <w:kern w:val="0"/>
          <w:sz w:val="32"/>
          <w:szCs w:val="32"/>
        </w:rPr>
        <w:t>式中：</w:t>
      </w:r>
    </w:p>
    <w:p w14:paraId="46C1908E">
      <w:pPr>
        <w:rPr>
          <w:rFonts w:ascii="Times New Roman" w:hAnsi="Times New Roman" w:eastAsia="仿宋_GB2312"/>
          <w:kern w:val="0"/>
          <w:sz w:val="32"/>
          <w:szCs w:val="32"/>
        </w:rPr>
      </w:pPr>
      <w:r>
        <w:rPr>
          <w:rFonts w:ascii="Times New Roman" w:hAnsi="Times New Roman" w:eastAsia="仿宋_GB2312"/>
          <w:kern w:val="0"/>
          <w:sz w:val="32"/>
          <w:szCs w:val="32"/>
        </w:rPr>
        <w:object>
          <v:shape id="_x0000_i1026" o:spt="75" type="#_x0000_t75" style="height:12.75pt;width:12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6">
            <o:LockedField>false</o:LockedField>
          </o:OLEObject>
        </w:object>
      </w:r>
      <w:r>
        <w:rPr>
          <w:rFonts w:ascii="Times New Roman" w:hAnsi="Times New Roman" w:eastAsia="仿宋_GB2312"/>
          <w:kern w:val="0"/>
          <w:sz w:val="32"/>
          <w:szCs w:val="32"/>
        </w:rPr>
        <w:t>—</w:t>
      </w:r>
      <w:r>
        <w:rPr>
          <w:rFonts w:hint="eastAsia" w:ascii="Times New Roman" w:hAnsi="Times New Roman" w:eastAsia="仿宋_GB2312"/>
          <w:kern w:val="0"/>
          <w:sz w:val="32"/>
          <w:szCs w:val="32"/>
        </w:rPr>
        <w:t>相对偏差；</w:t>
      </w:r>
    </w:p>
    <w:p w14:paraId="0AD382F6">
      <w:pPr>
        <w:rPr>
          <w:rFonts w:ascii="Times New Roman" w:hAnsi="Times New Roman" w:eastAsia="仿宋_GB2312"/>
          <w:kern w:val="0"/>
          <w:sz w:val="32"/>
          <w:szCs w:val="32"/>
        </w:rPr>
      </w:pPr>
      <w:r>
        <w:rPr>
          <w:rFonts w:ascii="Times New Roman" w:hAnsi="Times New Roman" w:eastAsia="仿宋_GB2312"/>
          <w:kern w:val="0"/>
          <w:sz w:val="32"/>
          <w:szCs w:val="32"/>
        </w:rPr>
        <w:object>
          <v:shape id="_x0000_i1027" o:spt="75" type="#_x0000_t75" style="height:18pt;width:15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8">
            <o:LockedField>false</o:LockedField>
          </o:OLEObject>
        </w:object>
      </w:r>
      <w:r>
        <w:rPr>
          <w:rFonts w:ascii="Times New Roman" w:hAnsi="Times New Roman" w:eastAsia="仿宋_GB2312"/>
          <w:kern w:val="0"/>
          <w:sz w:val="32"/>
          <w:szCs w:val="32"/>
        </w:rPr>
        <w:t>—</w:t>
      </w:r>
      <w:r>
        <w:rPr>
          <w:rFonts w:hint="eastAsia" w:ascii="Times New Roman" w:hAnsi="Times New Roman" w:eastAsia="仿宋_GB2312"/>
          <w:kern w:val="0"/>
          <w:sz w:val="32"/>
          <w:szCs w:val="32"/>
        </w:rPr>
        <w:t>样本的实测浓度；</w:t>
      </w:r>
    </w:p>
    <w:p w14:paraId="6F53D601">
      <w:pPr>
        <w:rPr>
          <w:rFonts w:ascii="Times New Roman" w:hAnsi="Times New Roman" w:eastAsia="仿宋_GB2312"/>
          <w:kern w:val="0"/>
          <w:sz w:val="32"/>
          <w:szCs w:val="32"/>
        </w:rPr>
      </w:pPr>
      <w:r>
        <w:rPr>
          <w:rFonts w:ascii="Times New Roman" w:hAnsi="Times New Roman" w:eastAsia="仿宋_GB2312"/>
          <w:kern w:val="0"/>
          <w:sz w:val="32"/>
          <w:szCs w:val="32"/>
        </w:rPr>
        <w:object>
          <v:shape id="_x0000_i1028" o:spt="75" type="#_x0000_t75" style="height:12.75pt;width:11.25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0">
            <o:LockedField>false</o:LockedField>
          </o:OLEObject>
        </w:object>
      </w:r>
      <w:r>
        <w:rPr>
          <w:rFonts w:ascii="Times New Roman" w:hAnsi="Times New Roman" w:eastAsia="仿宋_GB2312"/>
          <w:kern w:val="0"/>
          <w:sz w:val="32"/>
          <w:szCs w:val="32"/>
        </w:rPr>
        <w:t>—</w:t>
      </w:r>
      <w:r>
        <w:rPr>
          <w:rFonts w:hint="eastAsia" w:ascii="Times New Roman" w:hAnsi="Times New Roman" w:eastAsia="仿宋_GB2312"/>
          <w:kern w:val="0"/>
          <w:sz w:val="32"/>
          <w:szCs w:val="32"/>
        </w:rPr>
        <w:t>样本的靶值；</w:t>
      </w:r>
    </w:p>
    <w:p w14:paraId="7E45DEDE">
      <w:pPr>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xml:space="preserve">b) </w:t>
      </w:r>
      <w:r>
        <w:rPr>
          <w:rFonts w:hint="eastAsia" w:ascii="Times New Roman" w:hAnsi="Times New Roman" w:eastAsia="仿宋_GB2312"/>
          <w:kern w:val="0"/>
          <w:sz w:val="32"/>
          <w:szCs w:val="32"/>
        </w:rPr>
        <w:t>将浓度约为</w:t>
      </w:r>
      <w:r>
        <w:rPr>
          <w:rFonts w:ascii="Times New Roman" w:hAnsi="Times New Roman" w:eastAsia="仿宋_GB2312"/>
          <w:kern w:val="0"/>
          <w:sz w:val="32"/>
          <w:szCs w:val="32"/>
        </w:rPr>
        <w:t>150ng/mL</w:t>
      </w:r>
      <w:r>
        <w:rPr>
          <w:rFonts w:hint="eastAsia" w:ascii="Times New Roman" w:hAnsi="Times New Roman" w:eastAsia="仿宋_GB2312"/>
          <w:kern w:val="0"/>
          <w:sz w:val="32"/>
          <w:szCs w:val="32"/>
        </w:rPr>
        <w:t>（允许其浓度偏差为±</w:t>
      </w:r>
      <w:r>
        <w:rPr>
          <w:rFonts w:ascii="Times New Roman" w:hAnsi="Times New Roman" w:eastAsia="仿宋_GB2312"/>
          <w:kern w:val="0"/>
          <w:sz w:val="32"/>
          <w:szCs w:val="32"/>
        </w:rPr>
        <w:t>20%</w:t>
      </w:r>
      <w:r>
        <w:rPr>
          <w:rFonts w:hint="eastAsia" w:ascii="Times New Roman" w:hAnsi="Times New Roman" w:eastAsia="仿宋_GB2312"/>
          <w:kern w:val="0"/>
          <w:sz w:val="32"/>
          <w:szCs w:val="32"/>
        </w:rPr>
        <w:t>）的</w:t>
      </w:r>
      <w:r>
        <w:rPr>
          <w:rFonts w:ascii="Times New Roman" w:hAnsi="Times New Roman" w:eastAsia="仿宋_GB2312"/>
          <w:kern w:val="0"/>
          <w:sz w:val="32"/>
          <w:szCs w:val="32"/>
        </w:rPr>
        <w:t>PG</w:t>
      </w:r>
      <w:r>
        <w:rPr>
          <w:rFonts w:ascii="Times New Roman" w:hAnsi="Times New Roman" w:eastAsia="仿宋_GB2312"/>
          <w:kern w:val="0"/>
          <w:sz w:val="32"/>
          <w:szCs w:val="32"/>
        </w:rPr>
        <w:fldChar w:fldCharType="begin"/>
      </w:r>
      <w:r>
        <w:rPr>
          <w:rFonts w:ascii="Times New Roman" w:hAnsi="Times New Roman" w:eastAsia="仿宋_GB2312"/>
          <w:kern w:val="0"/>
          <w:sz w:val="32"/>
          <w:szCs w:val="32"/>
        </w:rPr>
        <w:instrText xml:space="preserve"> = 1 \* ROMAN \* MERGEFORMAT </w:instrText>
      </w:r>
      <w:r>
        <w:rPr>
          <w:rFonts w:ascii="Times New Roman" w:hAnsi="Times New Roman" w:eastAsia="仿宋_GB2312"/>
          <w:kern w:val="0"/>
          <w:sz w:val="32"/>
          <w:szCs w:val="32"/>
        </w:rPr>
        <w:fldChar w:fldCharType="separate"/>
      </w:r>
      <w:r>
        <w:rPr>
          <w:rFonts w:ascii="Times New Roman" w:hAnsi="Times New Roman" w:eastAsia="仿宋_GB2312"/>
          <w:kern w:val="0"/>
          <w:sz w:val="32"/>
          <w:szCs w:val="32"/>
        </w:rPr>
        <w:t>I</w:t>
      </w:r>
      <w:r>
        <w:rPr>
          <w:rFonts w:ascii="Times New Roman" w:hAnsi="Times New Roman" w:eastAsia="仿宋_GB2312"/>
          <w:kern w:val="0"/>
          <w:sz w:val="32"/>
          <w:szCs w:val="32"/>
        </w:rPr>
        <w:fldChar w:fldCharType="end"/>
      </w:r>
      <w:r>
        <w:rPr>
          <w:rFonts w:hint="eastAsia" w:ascii="Times New Roman" w:hAnsi="Times New Roman" w:eastAsia="仿宋_GB2312"/>
          <w:kern w:val="0"/>
          <w:sz w:val="32"/>
          <w:szCs w:val="32"/>
        </w:rPr>
        <w:t>样品或浓度约为</w:t>
      </w:r>
      <w:r>
        <w:rPr>
          <w:rFonts w:ascii="Times New Roman" w:hAnsi="Times New Roman" w:eastAsia="仿宋_GB2312"/>
          <w:kern w:val="0"/>
          <w:sz w:val="32"/>
          <w:szCs w:val="32"/>
        </w:rPr>
        <w:t>80ng/mL</w:t>
      </w:r>
      <w:r>
        <w:rPr>
          <w:rFonts w:hint="eastAsia" w:ascii="Times New Roman" w:hAnsi="Times New Roman" w:eastAsia="仿宋_GB2312"/>
          <w:kern w:val="0"/>
          <w:sz w:val="32"/>
          <w:szCs w:val="32"/>
        </w:rPr>
        <w:t>（允许其浓度偏差为±</w:t>
      </w:r>
      <w:r>
        <w:rPr>
          <w:rFonts w:ascii="Times New Roman" w:hAnsi="Times New Roman" w:eastAsia="仿宋_GB2312"/>
          <w:kern w:val="0"/>
          <w:sz w:val="32"/>
          <w:szCs w:val="32"/>
        </w:rPr>
        <w:t>20%</w:t>
      </w:r>
      <w:r>
        <w:rPr>
          <w:rFonts w:hint="eastAsia" w:ascii="Times New Roman" w:hAnsi="Times New Roman" w:eastAsia="仿宋_GB2312"/>
          <w:kern w:val="0"/>
          <w:sz w:val="32"/>
          <w:szCs w:val="32"/>
        </w:rPr>
        <w:t>）的</w:t>
      </w:r>
      <w:r>
        <w:rPr>
          <w:rFonts w:ascii="Times New Roman" w:hAnsi="Times New Roman" w:eastAsia="仿宋_GB2312"/>
          <w:kern w:val="0"/>
          <w:sz w:val="32"/>
          <w:szCs w:val="32"/>
        </w:rPr>
        <w:t>PG</w:t>
      </w:r>
      <w:r>
        <w:rPr>
          <w:rFonts w:ascii="Times New Roman" w:hAnsi="Times New Roman" w:eastAsia="仿宋_GB2312"/>
          <w:kern w:val="0"/>
          <w:sz w:val="32"/>
          <w:szCs w:val="32"/>
        </w:rPr>
        <w:fldChar w:fldCharType="begin"/>
      </w:r>
      <w:r>
        <w:rPr>
          <w:rFonts w:ascii="Times New Roman" w:hAnsi="Times New Roman" w:eastAsia="仿宋_GB2312"/>
          <w:kern w:val="0"/>
          <w:sz w:val="32"/>
          <w:szCs w:val="32"/>
        </w:rPr>
        <w:instrText xml:space="preserve"> = 2 \* ROMAN \* MERGEFORMAT </w:instrText>
      </w:r>
      <w:r>
        <w:rPr>
          <w:rFonts w:ascii="Times New Roman" w:hAnsi="Times New Roman" w:eastAsia="仿宋_GB2312"/>
          <w:kern w:val="0"/>
          <w:sz w:val="32"/>
          <w:szCs w:val="32"/>
        </w:rPr>
        <w:fldChar w:fldCharType="separate"/>
      </w:r>
      <w:r>
        <w:rPr>
          <w:rFonts w:ascii="Times New Roman" w:hAnsi="Times New Roman" w:eastAsia="仿宋_GB2312"/>
          <w:kern w:val="0"/>
          <w:sz w:val="32"/>
          <w:szCs w:val="32"/>
        </w:rPr>
        <w:t>II</w:t>
      </w:r>
      <w:r>
        <w:rPr>
          <w:rFonts w:ascii="Times New Roman" w:hAnsi="Times New Roman" w:eastAsia="仿宋_GB2312"/>
          <w:kern w:val="0"/>
          <w:sz w:val="32"/>
          <w:szCs w:val="32"/>
        </w:rPr>
        <w:fldChar w:fldCharType="end"/>
      </w:r>
      <w:r>
        <w:rPr>
          <w:rFonts w:hint="eastAsia" w:ascii="Times New Roman" w:hAnsi="Times New Roman" w:eastAsia="仿宋_GB2312"/>
          <w:kern w:val="0"/>
          <w:sz w:val="32"/>
          <w:szCs w:val="32"/>
        </w:rPr>
        <w:t>样品（</w:t>
      </w:r>
      <w:r>
        <w:rPr>
          <w:rFonts w:ascii="Times New Roman" w:hAnsi="Times New Roman" w:eastAsia="仿宋_GB2312"/>
          <w:kern w:val="0"/>
          <w:sz w:val="32"/>
          <w:szCs w:val="32"/>
        </w:rPr>
        <w:t>A</w:t>
      </w:r>
      <w:r>
        <w:rPr>
          <w:rFonts w:hint="eastAsia" w:ascii="Times New Roman" w:hAnsi="Times New Roman" w:eastAsia="仿宋_GB2312"/>
          <w:kern w:val="0"/>
          <w:sz w:val="32"/>
          <w:szCs w:val="32"/>
        </w:rPr>
        <w:t>）加入到血清或其他相应基质的样品</w:t>
      </w:r>
      <w:r>
        <w:rPr>
          <w:rFonts w:ascii="Times New Roman" w:hAnsi="Times New Roman" w:eastAsia="仿宋_GB2312"/>
          <w:kern w:val="0"/>
          <w:sz w:val="32"/>
          <w:szCs w:val="32"/>
        </w:rPr>
        <w:t>B</w:t>
      </w:r>
      <w:r>
        <w:rPr>
          <w:rFonts w:hint="eastAsia" w:ascii="Times New Roman" w:hAnsi="Times New Roman" w:eastAsia="仿宋_GB2312"/>
          <w:kern w:val="0"/>
          <w:sz w:val="32"/>
          <w:szCs w:val="32"/>
        </w:rPr>
        <w:t>中，所加入</w:t>
      </w:r>
      <w:r>
        <w:rPr>
          <w:rFonts w:ascii="Times New Roman" w:hAnsi="Times New Roman" w:eastAsia="仿宋_GB2312"/>
          <w:kern w:val="0"/>
          <w:sz w:val="32"/>
          <w:szCs w:val="32"/>
        </w:rPr>
        <w:t>A</w:t>
      </w:r>
      <w:r>
        <w:rPr>
          <w:rFonts w:hint="eastAsia" w:ascii="Times New Roman" w:hAnsi="Times New Roman" w:eastAsia="仿宋_GB2312"/>
          <w:kern w:val="0"/>
          <w:sz w:val="32"/>
          <w:szCs w:val="32"/>
        </w:rPr>
        <w:t>的体积超过总体积（</w:t>
      </w:r>
      <w:r>
        <w:rPr>
          <w:rFonts w:ascii="Times New Roman" w:hAnsi="Times New Roman" w:eastAsia="仿宋_GB2312"/>
          <w:kern w:val="0"/>
          <w:sz w:val="32"/>
          <w:szCs w:val="32"/>
        </w:rPr>
        <w:t>A+B</w:t>
      </w:r>
      <w:r>
        <w:rPr>
          <w:rFonts w:hint="eastAsia" w:ascii="Times New Roman" w:hAnsi="Times New Roman" w:eastAsia="仿宋_GB2312"/>
          <w:kern w:val="0"/>
          <w:sz w:val="32"/>
          <w:szCs w:val="32"/>
        </w:rPr>
        <w:t>）的</w:t>
      </w:r>
      <w:r>
        <w:rPr>
          <w:rFonts w:ascii="Times New Roman" w:hAnsi="Times New Roman" w:eastAsia="仿宋_GB2312"/>
          <w:kern w:val="0"/>
          <w:sz w:val="32"/>
          <w:szCs w:val="32"/>
        </w:rPr>
        <w:t>10%</w:t>
      </w:r>
      <w:r>
        <w:rPr>
          <w:rFonts w:hint="eastAsia" w:ascii="Times New Roman" w:hAnsi="Times New Roman" w:eastAsia="仿宋_GB2312"/>
          <w:kern w:val="0"/>
          <w:sz w:val="32"/>
          <w:szCs w:val="32"/>
        </w:rPr>
        <w:t>，平行测定</w:t>
      </w:r>
      <w:r>
        <w:rPr>
          <w:rFonts w:ascii="Times New Roman" w:hAnsi="Times New Roman" w:eastAsia="仿宋_GB2312"/>
          <w:kern w:val="0"/>
          <w:sz w:val="32"/>
          <w:szCs w:val="32"/>
        </w:rPr>
        <w:t>3</w:t>
      </w:r>
      <w:r>
        <w:rPr>
          <w:rFonts w:hint="eastAsia" w:ascii="Times New Roman" w:hAnsi="Times New Roman" w:eastAsia="仿宋_GB2312"/>
          <w:kern w:val="0"/>
          <w:sz w:val="32"/>
          <w:szCs w:val="32"/>
        </w:rPr>
        <w:t>次，根据式（</w:t>
      </w:r>
      <w:r>
        <w:rPr>
          <w:rFonts w:ascii="Times New Roman" w:hAnsi="Times New Roman" w:eastAsia="仿宋_GB2312"/>
          <w:kern w:val="0"/>
          <w:sz w:val="32"/>
          <w:szCs w:val="32"/>
        </w:rPr>
        <w:t>2</w:t>
      </w:r>
      <w:r>
        <w:rPr>
          <w:rFonts w:hint="eastAsia" w:ascii="Times New Roman" w:hAnsi="Times New Roman" w:eastAsia="仿宋_GB2312"/>
          <w:kern w:val="0"/>
          <w:sz w:val="32"/>
          <w:szCs w:val="32"/>
        </w:rPr>
        <w:t>）计算回收率应在</w:t>
      </w:r>
      <w:r>
        <w:rPr>
          <w:rFonts w:ascii="Times New Roman" w:hAnsi="Times New Roman" w:eastAsia="仿宋_GB2312"/>
          <w:kern w:val="0"/>
          <w:sz w:val="32"/>
          <w:szCs w:val="32"/>
        </w:rPr>
        <w:t>85%~115%</w:t>
      </w:r>
      <w:r>
        <w:rPr>
          <w:rFonts w:hint="eastAsia" w:ascii="Times New Roman" w:hAnsi="Times New Roman" w:eastAsia="仿宋_GB2312"/>
          <w:kern w:val="0"/>
          <w:sz w:val="32"/>
          <w:szCs w:val="32"/>
        </w:rPr>
        <w:t>范围内。</w:t>
      </w:r>
    </w:p>
    <w:p w14:paraId="5983EA40">
      <w:pPr>
        <w:jc w:val="center"/>
        <w:rPr>
          <w:rFonts w:ascii="Times New Roman" w:hAnsi="Times New Roman" w:eastAsia="仿宋_GB2312"/>
          <w:kern w:val="0"/>
          <w:sz w:val="32"/>
          <w:szCs w:val="32"/>
        </w:rPr>
      </w:pPr>
      <w:r>
        <w:rPr>
          <w:rFonts w:ascii="Times New Roman" w:hAnsi="Times New Roman" w:eastAsia="仿宋_GB2312"/>
          <w:kern w:val="0"/>
          <w:sz w:val="32"/>
          <w:szCs w:val="32"/>
        </w:rPr>
        <w:t xml:space="preserve">    </w:t>
      </w:r>
      <w:r>
        <w:rPr>
          <w:rFonts w:ascii="Times New Roman" w:hAnsi="Times New Roman" w:eastAsia="仿宋_GB2312"/>
          <w:kern w:val="0"/>
          <w:position w:val="-30"/>
          <w:sz w:val="32"/>
          <w:szCs w:val="32"/>
        </w:rPr>
        <w:object>
          <v:shape id="_x0000_i1029" o:spt="75" type="#_x0000_t75" style="height:39pt;width:186.75pt;" o:ole="t" filled="f" o:preferrelative="t" stroked="f" coordsize="21600,21600">
            <v:path/>
            <v:fill on="f" focussize="0,0"/>
            <v:stroke on="f" joinstyle="miter"/>
            <v:imagedata r:id="rId13" o:title=""/>
            <o:lock v:ext="edit" aspectratio="t"/>
            <w10:wrap type="none"/>
            <w10:anchorlock/>
          </v:shape>
          <o:OLEObject Type="Embed" ProgID="Equation.3" ShapeID="_x0000_i1029" DrawAspect="Content" ObjectID="_1468075729" r:id="rId12">
            <o:LockedField>false</o:LockedField>
          </o:OLEObject>
        </w:object>
      </w:r>
      <w:r>
        <w:rPr>
          <w:rFonts w:ascii="Times New Roman" w:hAnsi="Times New Roman" w:eastAsia="仿宋_GB2312"/>
          <w:kern w:val="0"/>
          <w:sz w:val="32"/>
          <w:szCs w:val="32"/>
        </w:rPr>
        <w:t>...........................................(2)</w:t>
      </w:r>
    </w:p>
    <w:p w14:paraId="34BE7FFA">
      <w:pPr>
        <w:rPr>
          <w:rFonts w:ascii="Times New Roman" w:hAnsi="Times New Roman" w:eastAsia="仿宋_GB2312"/>
          <w:kern w:val="0"/>
          <w:sz w:val="32"/>
          <w:szCs w:val="32"/>
        </w:rPr>
      </w:pPr>
      <w:r>
        <w:rPr>
          <w:rFonts w:ascii="Times New Roman" w:hAnsi="Times New Roman" w:eastAsia="仿宋_GB2312"/>
          <w:kern w:val="0"/>
          <w:sz w:val="32"/>
          <w:szCs w:val="32"/>
        </w:rPr>
        <w:object>
          <v:shape id="_x0000_i1030" o:spt="75" type="#_x0000_t75" style="height:12.75pt;width:12pt;" o:ole="t" filled="f" o:preferrelative="t" stroked="f" coordsize="21600,21600">
            <v:path/>
            <v:fill on="f" focussize="0,0"/>
            <v:stroke on="f" joinstyle="miter"/>
            <v:imagedata r:id="rId15" o:title=""/>
            <o:lock v:ext="edit" aspectratio="t"/>
            <w10:wrap type="none"/>
            <w10:anchorlock/>
          </v:shape>
          <o:OLEObject Type="Embed" ProgID="Equation.3" ShapeID="_x0000_i1030" DrawAspect="Content" ObjectID="_1468075730" r:id="rId14">
            <o:LockedField>false</o:LockedField>
          </o:OLEObject>
        </w:object>
      </w:r>
      <w:r>
        <w:rPr>
          <w:rFonts w:ascii="Times New Roman" w:hAnsi="Times New Roman" w:eastAsia="仿宋_GB2312"/>
          <w:kern w:val="0"/>
          <w:sz w:val="32"/>
          <w:szCs w:val="32"/>
        </w:rPr>
        <w:t>—</w:t>
      </w:r>
      <w:r>
        <w:rPr>
          <w:rFonts w:hint="eastAsia" w:ascii="Times New Roman" w:hAnsi="Times New Roman" w:eastAsia="仿宋_GB2312"/>
          <w:kern w:val="0"/>
          <w:sz w:val="32"/>
          <w:szCs w:val="32"/>
        </w:rPr>
        <w:t>回收率；</w:t>
      </w:r>
    </w:p>
    <w:p w14:paraId="0B4074C9">
      <w:pPr>
        <w:rPr>
          <w:rFonts w:ascii="Times New Roman" w:hAnsi="Times New Roman" w:eastAsia="仿宋_GB2312"/>
          <w:kern w:val="0"/>
          <w:sz w:val="32"/>
          <w:szCs w:val="32"/>
        </w:rPr>
      </w:pPr>
      <w:r>
        <w:rPr>
          <w:rFonts w:ascii="Times New Roman" w:hAnsi="Times New Roman" w:eastAsia="仿宋_GB2312"/>
          <w:kern w:val="0"/>
          <w:sz w:val="32"/>
          <w:szCs w:val="32"/>
        </w:rPr>
        <w:object>
          <v:shape id="_x0000_i1031" o:spt="75" type="#_x0000_t75" style="height:11.25pt;width:9pt;" o:ole="t" filled="f" o:preferrelative="t" stroked="f" coordsize="21600,21600">
            <v:path/>
            <v:fill on="f" focussize="0,0"/>
            <v:stroke on="f" joinstyle="miter"/>
            <v:imagedata r:id="rId17" o:title=""/>
            <o:lock v:ext="edit" aspectratio="t"/>
            <w10:wrap type="none"/>
            <w10:anchorlock/>
          </v:shape>
          <o:OLEObject Type="Embed" ProgID="Equation.3" ShapeID="_x0000_i1031" DrawAspect="Content" ObjectID="_1468075731" r:id="rId16">
            <o:LockedField>false</o:LockedField>
          </o:OLEObject>
        </w:object>
      </w:r>
      <w:r>
        <w:rPr>
          <w:rFonts w:ascii="Times New Roman" w:hAnsi="Times New Roman" w:eastAsia="仿宋_GB2312"/>
          <w:kern w:val="0"/>
          <w:sz w:val="32"/>
          <w:szCs w:val="32"/>
        </w:rPr>
        <w:t>—</w:t>
      </w:r>
      <w:r>
        <w:rPr>
          <w:rFonts w:hint="eastAsia" w:ascii="Times New Roman" w:hAnsi="Times New Roman" w:eastAsia="仿宋_GB2312"/>
          <w:kern w:val="0"/>
          <w:sz w:val="32"/>
          <w:szCs w:val="32"/>
        </w:rPr>
        <w:t>样本</w:t>
      </w:r>
      <w:r>
        <w:rPr>
          <w:rFonts w:ascii="Times New Roman" w:hAnsi="Times New Roman" w:eastAsia="仿宋_GB2312"/>
          <w:kern w:val="0"/>
          <w:sz w:val="32"/>
          <w:szCs w:val="32"/>
        </w:rPr>
        <w:t>B</w:t>
      </w:r>
      <w:r>
        <w:rPr>
          <w:rFonts w:hint="eastAsia" w:ascii="Times New Roman" w:hAnsi="Times New Roman" w:eastAsia="仿宋_GB2312"/>
          <w:kern w:val="0"/>
          <w:sz w:val="32"/>
          <w:szCs w:val="32"/>
        </w:rPr>
        <w:t>加入</w:t>
      </w:r>
      <w:r>
        <w:rPr>
          <w:rFonts w:ascii="Times New Roman" w:hAnsi="Times New Roman" w:eastAsia="仿宋_GB2312"/>
          <w:kern w:val="0"/>
          <w:sz w:val="32"/>
          <w:szCs w:val="32"/>
        </w:rPr>
        <w:t>A</w:t>
      </w:r>
      <w:r>
        <w:rPr>
          <w:rFonts w:hint="eastAsia" w:ascii="Times New Roman" w:hAnsi="Times New Roman" w:eastAsia="仿宋_GB2312"/>
          <w:kern w:val="0"/>
          <w:sz w:val="32"/>
          <w:szCs w:val="32"/>
        </w:rPr>
        <w:t>液后的检测浓度；</w:t>
      </w:r>
    </w:p>
    <w:p w14:paraId="42CD0A20">
      <w:pPr>
        <w:rPr>
          <w:rFonts w:ascii="Times New Roman" w:hAnsi="Times New Roman" w:eastAsia="仿宋_GB2312"/>
          <w:kern w:val="0"/>
          <w:sz w:val="32"/>
          <w:szCs w:val="32"/>
        </w:rPr>
      </w:pPr>
      <w:r>
        <w:rPr>
          <w:rFonts w:ascii="Times New Roman" w:hAnsi="Times New Roman" w:eastAsia="仿宋_GB2312"/>
          <w:kern w:val="0"/>
          <w:sz w:val="32"/>
          <w:szCs w:val="32"/>
        </w:rPr>
        <w:object>
          <v:shape id="_x0000_i1032" o:spt="75" type="#_x0000_t75" style="height:18pt;width:12.75pt;" o:ole="t" filled="f" o:preferrelative="t" stroked="f" coordsize="21600,21600">
            <v:path/>
            <v:fill on="f" focussize="0,0"/>
            <v:stroke on="f" joinstyle="miter"/>
            <v:imagedata r:id="rId19" o:title=""/>
            <o:lock v:ext="edit" aspectratio="t"/>
            <w10:wrap type="none"/>
            <w10:anchorlock/>
          </v:shape>
          <o:OLEObject Type="Embed" ProgID="Equation.3" ShapeID="_x0000_i1032" DrawAspect="Content" ObjectID="_1468075732" r:id="rId18">
            <o:LockedField>false</o:LockedField>
          </o:OLEObject>
        </w:object>
      </w:r>
      <w:r>
        <w:rPr>
          <w:rFonts w:ascii="Times New Roman" w:hAnsi="Times New Roman" w:eastAsia="仿宋_GB2312"/>
          <w:kern w:val="0"/>
          <w:sz w:val="32"/>
          <w:szCs w:val="32"/>
        </w:rPr>
        <w:t>—</w:t>
      </w:r>
      <w:r>
        <w:rPr>
          <w:rFonts w:hint="eastAsia" w:ascii="Times New Roman" w:hAnsi="Times New Roman" w:eastAsia="仿宋_GB2312"/>
          <w:kern w:val="0"/>
          <w:sz w:val="32"/>
          <w:szCs w:val="32"/>
        </w:rPr>
        <w:t>样本</w:t>
      </w:r>
      <w:r>
        <w:rPr>
          <w:rFonts w:ascii="Times New Roman" w:hAnsi="Times New Roman" w:eastAsia="仿宋_GB2312"/>
          <w:kern w:val="0"/>
          <w:sz w:val="32"/>
          <w:szCs w:val="32"/>
        </w:rPr>
        <w:t>B</w:t>
      </w:r>
      <w:r>
        <w:rPr>
          <w:rFonts w:hint="eastAsia" w:ascii="Times New Roman" w:hAnsi="Times New Roman" w:eastAsia="仿宋_GB2312"/>
          <w:kern w:val="0"/>
          <w:sz w:val="32"/>
          <w:szCs w:val="32"/>
        </w:rPr>
        <w:t>的体积；</w:t>
      </w:r>
    </w:p>
    <w:p w14:paraId="4F0A55ED">
      <w:pPr>
        <w:rPr>
          <w:rFonts w:ascii="Times New Roman" w:hAnsi="Times New Roman" w:eastAsia="仿宋_GB2312"/>
          <w:kern w:val="0"/>
          <w:sz w:val="32"/>
          <w:szCs w:val="32"/>
        </w:rPr>
      </w:pPr>
      <w:r>
        <w:rPr>
          <w:rFonts w:ascii="Times New Roman" w:hAnsi="Times New Roman" w:eastAsia="仿宋_GB2312"/>
          <w:kern w:val="0"/>
          <w:sz w:val="32"/>
          <w:szCs w:val="32"/>
        </w:rPr>
        <w:object>
          <v:shape id="_x0000_i1033" o:spt="75" type="#_x0000_t75" style="height:15pt;width:12pt;" o:ole="t" filled="f" o:preferrelative="t" stroked="f" coordsize="21600,21600">
            <v:path/>
            <v:fill on="f" focussize="0,0"/>
            <v:stroke on="f" joinstyle="miter"/>
            <v:imagedata r:id="rId21" o:title=""/>
            <o:lock v:ext="edit" aspectratio="t"/>
            <w10:wrap type="none"/>
            <w10:anchorlock/>
          </v:shape>
          <o:OLEObject Type="Embed" ProgID="Equation.3" ShapeID="_x0000_i1033" DrawAspect="Content" ObjectID="_1468075733" r:id="rId20">
            <o:LockedField>false</o:LockedField>
          </o:OLEObject>
        </w:object>
      </w:r>
      <w:r>
        <w:rPr>
          <w:rFonts w:ascii="Times New Roman" w:hAnsi="Times New Roman" w:eastAsia="仿宋_GB2312"/>
          <w:kern w:val="0"/>
          <w:sz w:val="32"/>
          <w:szCs w:val="32"/>
        </w:rPr>
        <w:t>—</w:t>
      </w:r>
      <w:r>
        <w:rPr>
          <w:rFonts w:hint="eastAsia" w:ascii="Times New Roman" w:hAnsi="Times New Roman" w:eastAsia="仿宋_GB2312"/>
          <w:kern w:val="0"/>
          <w:sz w:val="32"/>
          <w:szCs w:val="32"/>
        </w:rPr>
        <w:t>加入</w:t>
      </w:r>
      <w:r>
        <w:rPr>
          <w:rFonts w:ascii="Times New Roman" w:hAnsi="Times New Roman" w:eastAsia="仿宋_GB2312"/>
          <w:kern w:val="0"/>
          <w:sz w:val="32"/>
          <w:szCs w:val="32"/>
        </w:rPr>
        <w:t>A</w:t>
      </w:r>
      <w:r>
        <w:rPr>
          <w:rFonts w:hint="eastAsia" w:ascii="Times New Roman" w:hAnsi="Times New Roman" w:eastAsia="仿宋_GB2312"/>
          <w:kern w:val="0"/>
          <w:sz w:val="32"/>
          <w:szCs w:val="32"/>
        </w:rPr>
        <w:t>液体积；</w:t>
      </w:r>
    </w:p>
    <w:p w14:paraId="5A8F38F1">
      <w:pPr>
        <w:rPr>
          <w:rFonts w:ascii="Times New Roman" w:hAnsi="Times New Roman" w:eastAsia="仿宋_GB2312"/>
          <w:kern w:val="0"/>
          <w:sz w:val="32"/>
          <w:szCs w:val="32"/>
        </w:rPr>
      </w:pPr>
      <w:r>
        <w:rPr>
          <w:rFonts w:ascii="Times New Roman" w:hAnsi="Times New Roman" w:eastAsia="仿宋_GB2312"/>
          <w:kern w:val="0"/>
          <w:sz w:val="32"/>
          <w:szCs w:val="32"/>
        </w:rPr>
        <w:object>
          <v:shape id="_x0000_i1034" o:spt="75" type="#_x0000_t75" style="height:18pt;width:12.75pt;" o:ole="t" filled="f" o:preferrelative="t" stroked="f" coordsize="21600,21600">
            <v:path/>
            <v:fill on="f" focussize="0,0"/>
            <v:stroke on="f" joinstyle="miter"/>
            <v:imagedata r:id="rId23" o:title=""/>
            <o:lock v:ext="edit" aspectratio="t"/>
            <w10:wrap type="none"/>
            <w10:anchorlock/>
          </v:shape>
          <o:OLEObject Type="Embed" ProgID="Equation.3" ShapeID="_x0000_i1034" DrawAspect="Content" ObjectID="_1468075734" r:id="rId22">
            <o:LockedField>false</o:LockedField>
          </o:OLEObject>
        </w:object>
      </w:r>
      <w:r>
        <w:rPr>
          <w:rFonts w:ascii="Times New Roman" w:hAnsi="Times New Roman" w:eastAsia="仿宋_GB2312"/>
          <w:kern w:val="0"/>
          <w:sz w:val="32"/>
          <w:szCs w:val="32"/>
        </w:rPr>
        <w:t>—</w:t>
      </w:r>
      <w:r>
        <w:rPr>
          <w:rFonts w:hint="eastAsia" w:ascii="Times New Roman" w:hAnsi="Times New Roman" w:eastAsia="仿宋_GB2312"/>
          <w:kern w:val="0"/>
          <w:sz w:val="32"/>
          <w:szCs w:val="32"/>
        </w:rPr>
        <w:t>样本</w:t>
      </w:r>
      <w:r>
        <w:rPr>
          <w:rFonts w:ascii="Times New Roman" w:hAnsi="Times New Roman" w:eastAsia="仿宋_GB2312"/>
          <w:kern w:val="0"/>
          <w:sz w:val="32"/>
          <w:szCs w:val="32"/>
        </w:rPr>
        <w:t>B</w:t>
      </w:r>
      <w:r>
        <w:rPr>
          <w:rFonts w:hint="eastAsia" w:ascii="Times New Roman" w:hAnsi="Times New Roman" w:eastAsia="仿宋_GB2312"/>
          <w:kern w:val="0"/>
          <w:sz w:val="32"/>
          <w:szCs w:val="32"/>
        </w:rPr>
        <w:t>的检测浓度；</w:t>
      </w:r>
    </w:p>
    <w:p w14:paraId="43885935">
      <w:pPr>
        <w:rPr>
          <w:rFonts w:ascii="Times New Roman" w:hAnsi="Times New Roman" w:eastAsia="仿宋_GB2312"/>
          <w:kern w:val="0"/>
          <w:sz w:val="32"/>
          <w:szCs w:val="32"/>
        </w:rPr>
      </w:pPr>
      <w:r>
        <w:rPr>
          <w:rFonts w:ascii="Times New Roman" w:hAnsi="Times New Roman" w:eastAsia="仿宋_GB2312"/>
          <w:kern w:val="0"/>
          <w:sz w:val="32"/>
          <w:szCs w:val="32"/>
        </w:rPr>
        <w:object>
          <v:shape id="_x0000_i1035" o:spt="75" type="#_x0000_t75" style="height:18pt;width:12pt;" o:ole="t" filled="f" o:preferrelative="t" stroked="f" coordsize="21600,21600">
            <v:path/>
            <v:fill on="f" focussize="0,0"/>
            <v:stroke on="f" joinstyle="miter"/>
            <v:imagedata r:id="rId25" o:title=""/>
            <o:lock v:ext="edit" aspectratio="t"/>
            <w10:wrap type="none"/>
            <w10:anchorlock/>
          </v:shape>
          <o:OLEObject Type="Embed" ProgID="Equation.3" ShapeID="_x0000_i1035" DrawAspect="Content" ObjectID="_1468075735" r:id="rId24">
            <o:LockedField>false</o:LockedField>
          </o:OLEObject>
        </w:object>
      </w:r>
      <w:r>
        <w:rPr>
          <w:rFonts w:ascii="Times New Roman" w:hAnsi="Times New Roman" w:eastAsia="仿宋_GB2312"/>
          <w:kern w:val="0"/>
          <w:sz w:val="32"/>
          <w:szCs w:val="32"/>
        </w:rPr>
        <w:t>—A</w:t>
      </w:r>
      <w:r>
        <w:rPr>
          <w:rFonts w:hint="eastAsia" w:ascii="Times New Roman" w:hAnsi="Times New Roman" w:eastAsia="仿宋_GB2312"/>
          <w:kern w:val="0"/>
          <w:sz w:val="32"/>
          <w:szCs w:val="32"/>
        </w:rPr>
        <w:t>液的浓度；</w:t>
      </w:r>
    </w:p>
    <w:p w14:paraId="60D3100E">
      <w:pPr>
        <w:pStyle w:val="11"/>
        <w:ind w:firstLine="645" w:firstLineChars="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线性</w:t>
      </w:r>
    </w:p>
    <w:p w14:paraId="1C1BE612">
      <w:pPr>
        <w:pStyle w:val="11"/>
        <w:ind w:firstLine="645" w:firstLineChars="0"/>
        <w:rPr>
          <w:rFonts w:ascii="Times New Roman" w:hAnsi="Times New Roman" w:eastAsia="仿宋_GB2312"/>
          <w:sz w:val="32"/>
          <w:szCs w:val="32"/>
        </w:rPr>
      </w:pPr>
      <w:r>
        <w:rPr>
          <w:rFonts w:hint="eastAsia" w:ascii="Times New Roman" w:hAnsi="Times New Roman" w:eastAsia="仿宋_GB2312"/>
          <w:sz w:val="32"/>
          <w:szCs w:val="32"/>
        </w:rPr>
        <w:t>建立线性区间所使用的样本基质应与临床样本相似，但不可采用含有对测量方法具有明确干扰作用物质的样本。推荐使用浓度为预期线性区间上限</w:t>
      </w:r>
      <w:r>
        <w:rPr>
          <w:rFonts w:ascii="Times New Roman" w:hAnsi="Times New Roman" w:eastAsia="仿宋_GB2312"/>
          <w:sz w:val="32"/>
          <w:szCs w:val="32"/>
        </w:rPr>
        <w:t>120%~130%</w:t>
      </w:r>
      <w:r>
        <w:rPr>
          <w:rFonts w:hint="eastAsia" w:ascii="Times New Roman" w:hAnsi="Times New Roman" w:eastAsia="仿宋_GB2312"/>
          <w:sz w:val="32"/>
          <w:szCs w:val="32"/>
        </w:rPr>
        <w:t>的临床样本，以及接近或位于线性区间下限的低浓度样本。</w:t>
      </w:r>
    </w:p>
    <w:p w14:paraId="7555F31D">
      <w:pPr>
        <w:pStyle w:val="11"/>
        <w:ind w:firstLine="645" w:firstLineChars="0"/>
        <w:rPr>
          <w:rFonts w:ascii="Times New Roman" w:hAnsi="Times New Roman" w:eastAsia="仿宋_GB2312"/>
          <w:sz w:val="32"/>
          <w:szCs w:val="32"/>
        </w:rPr>
      </w:pPr>
      <w:r>
        <w:rPr>
          <w:rFonts w:hint="eastAsia" w:ascii="Times New Roman" w:hAnsi="Times New Roman" w:eastAsia="仿宋_GB2312"/>
          <w:sz w:val="32"/>
          <w:szCs w:val="32"/>
        </w:rPr>
        <w:t>高浓度样本的选择应按照以下优先级进行：</w:t>
      </w:r>
    </w:p>
    <w:p w14:paraId="7D5C90AC">
      <w:pPr>
        <w:pStyle w:val="11"/>
        <w:ind w:firstLine="645" w:firstLineChars="0"/>
        <w:rPr>
          <w:rFonts w:ascii="Times New Roman" w:hAnsi="Times New Roman" w:eastAsia="仿宋_GB2312"/>
          <w:sz w:val="32"/>
          <w:szCs w:val="32"/>
        </w:rPr>
      </w:pPr>
      <w:r>
        <w:rPr>
          <w:rFonts w:ascii="Times New Roman" w:hAnsi="Times New Roman" w:eastAsia="仿宋_GB2312"/>
          <w:sz w:val="32"/>
          <w:szCs w:val="32"/>
        </w:rPr>
        <w:t>a</w:t>
      </w:r>
      <w:r>
        <w:rPr>
          <w:rFonts w:hint="eastAsia" w:ascii="Times New Roman" w:hAnsi="Times New Roman" w:eastAsia="仿宋_GB2312"/>
          <w:sz w:val="32"/>
          <w:szCs w:val="32"/>
        </w:rPr>
        <w:t>、可获得的天然单人份临床样本；</w:t>
      </w:r>
    </w:p>
    <w:p w14:paraId="63272179">
      <w:pPr>
        <w:pStyle w:val="11"/>
        <w:ind w:firstLine="645" w:firstLineChars="0"/>
        <w:rPr>
          <w:rFonts w:ascii="Times New Roman" w:hAnsi="Times New Roman" w:eastAsia="仿宋_GB2312"/>
          <w:sz w:val="32"/>
          <w:szCs w:val="32"/>
        </w:rPr>
      </w:pPr>
      <w:r>
        <w:rPr>
          <w:rFonts w:ascii="Times New Roman" w:hAnsi="Times New Roman" w:eastAsia="仿宋_GB2312"/>
          <w:sz w:val="32"/>
          <w:szCs w:val="32"/>
        </w:rPr>
        <w:t>b</w:t>
      </w:r>
      <w:r>
        <w:rPr>
          <w:rFonts w:hint="eastAsia" w:ascii="Times New Roman" w:hAnsi="Times New Roman" w:eastAsia="仿宋_GB2312"/>
          <w:sz w:val="32"/>
          <w:szCs w:val="32"/>
        </w:rPr>
        <w:t>、可获得的混合临床样本或在临床样本中添加分析物（加入量不超过总体积的</w:t>
      </w:r>
      <w:r>
        <w:rPr>
          <w:rFonts w:ascii="Times New Roman" w:hAnsi="Times New Roman" w:eastAsia="仿宋_GB2312"/>
          <w:sz w:val="32"/>
          <w:szCs w:val="32"/>
        </w:rPr>
        <w:t>1/10</w:t>
      </w:r>
      <w:r>
        <w:rPr>
          <w:rFonts w:hint="eastAsia" w:ascii="Times New Roman" w:hAnsi="Times New Roman" w:eastAsia="仿宋_GB2312"/>
          <w:sz w:val="32"/>
          <w:szCs w:val="32"/>
        </w:rPr>
        <w:t>）；</w:t>
      </w:r>
      <w:r>
        <w:rPr>
          <w:rFonts w:ascii="Times New Roman" w:hAnsi="Times New Roman" w:eastAsia="仿宋_GB2312"/>
          <w:sz w:val="32"/>
          <w:szCs w:val="32"/>
        </w:rPr>
        <w:t xml:space="preserve"> </w:t>
      </w:r>
    </w:p>
    <w:p w14:paraId="6F3C1D0F">
      <w:pPr>
        <w:pStyle w:val="11"/>
        <w:ind w:firstLine="645" w:firstLineChars="0"/>
        <w:rPr>
          <w:rFonts w:ascii="Times New Roman" w:hAnsi="Times New Roman" w:eastAsia="仿宋_GB2312"/>
          <w:sz w:val="32"/>
          <w:szCs w:val="32"/>
        </w:rPr>
      </w:pPr>
      <w:r>
        <w:rPr>
          <w:rFonts w:ascii="Times New Roman" w:hAnsi="Times New Roman" w:eastAsia="仿宋_GB2312"/>
          <w:sz w:val="32"/>
          <w:szCs w:val="32"/>
        </w:rPr>
        <w:t>c</w:t>
      </w:r>
      <w:r>
        <w:rPr>
          <w:rFonts w:hint="eastAsia" w:ascii="Times New Roman" w:hAnsi="Times New Roman" w:eastAsia="仿宋_GB2312"/>
          <w:sz w:val="32"/>
          <w:szCs w:val="32"/>
        </w:rPr>
        <w:t>、当以上两种样本难以获得时，可使用商业质控物</w:t>
      </w:r>
      <w:r>
        <w:rPr>
          <w:rFonts w:ascii="Times New Roman" w:hAnsi="Times New Roman" w:eastAsia="仿宋_GB2312"/>
          <w:sz w:val="32"/>
          <w:szCs w:val="32"/>
        </w:rPr>
        <w:t>/</w:t>
      </w:r>
      <w:r>
        <w:rPr>
          <w:rFonts w:hint="eastAsia" w:ascii="Times New Roman" w:hAnsi="Times New Roman" w:eastAsia="仿宋_GB2312"/>
          <w:sz w:val="32"/>
          <w:szCs w:val="32"/>
        </w:rPr>
        <w:t>定标物</w:t>
      </w:r>
      <w:r>
        <w:rPr>
          <w:rFonts w:ascii="Times New Roman" w:hAnsi="Times New Roman" w:eastAsia="仿宋_GB2312"/>
          <w:sz w:val="32"/>
          <w:szCs w:val="32"/>
        </w:rPr>
        <w:t>/</w:t>
      </w:r>
      <w:r>
        <w:rPr>
          <w:rFonts w:hint="eastAsia" w:ascii="Times New Roman" w:hAnsi="Times New Roman" w:eastAsia="仿宋_GB2312"/>
          <w:sz w:val="32"/>
          <w:szCs w:val="32"/>
        </w:rPr>
        <w:t>线性物质。</w:t>
      </w:r>
    </w:p>
    <w:p w14:paraId="7033BD2F">
      <w:pPr>
        <w:pStyle w:val="11"/>
        <w:ind w:firstLine="645" w:firstLineChars="0"/>
        <w:rPr>
          <w:rFonts w:ascii="Times New Roman" w:hAnsi="Times New Roman" w:eastAsia="仿宋_GB2312"/>
          <w:sz w:val="32"/>
          <w:szCs w:val="32"/>
        </w:rPr>
      </w:pPr>
      <w:r>
        <w:rPr>
          <w:rFonts w:hint="eastAsia" w:ascii="Times New Roman" w:hAnsi="Times New Roman" w:eastAsia="仿宋_GB2312"/>
          <w:sz w:val="32"/>
          <w:szCs w:val="32"/>
        </w:rPr>
        <w:t>低浓度样本的选择应按照以下优先级进行：</w:t>
      </w:r>
    </w:p>
    <w:p w14:paraId="0BEDB448">
      <w:pPr>
        <w:pStyle w:val="11"/>
        <w:ind w:firstLine="645" w:firstLineChars="0"/>
        <w:rPr>
          <w:rFonts w:ascii="Times New Roman" w:hAnsi="Times New Roman" w:eastAsia="仿宋_GB2312"/>
          <w:sz w:val="32"/>
          <w:szCs w:val="32"/>
        </w:rPr>
      </w:pPr>
      <w:r>
        <w:rPr>
          <w:rFonts w:ascii="Times New Roman" w:hAnsi="Times New Roman" w:eastAsia="仿宋_GB2312"/>
          <w:sz w:val="32"/>
          <w:szCs w:val="32"/>
        </w:rPr>
        <w:t>a</w:t>
      </w:r>
      <w:r>
        <w:rPr>
          <w:rFonts w:hint="eastAsia" w:ascii="Times New Roman" w:hAnsi="Times New Roman" w:eastAsia="仿宋_GB2312"/>
          <w:sz w:val="32"/>
          <w:szCs w:val="32"/>
        </w:rPr>
        <w:t>、可获得的天然单人份临床样本；</w:t>
      </w:r>
    </w:p>
    <w:p w14:paraId="3929D98A">
      <w:pPr>
        <w:pStyle w:val="11"/>
        <w:ind w:firstLine="645" w:firstLineChars="0"/>
        <w:rPr>
          <w:rFonts w:ascii="Times New Roman" w:hAnsi="Times New Roman" w:eastAsia="仿宋_GB2312"/>
          <w:sz w:val="32"/>
          <w:szCs w:val="32"/>
        </w:rPr>
      </w:pPr>
      <w:r>
        <w:rPr>
          <w:rFonts w:ascii="Times New Roman" w:hAnsi="Times New Roman" w:eastAsia="仿宋_GB2312"/>
          <w:sz w:val="32"/>
          <w:szCs w:val="32"/>
        </w:rPr>
        <w:t>b</w:t>
      </w:r>
      <w:r>
        <w:rPr>
          <w:rFonts w:hint="eastAsia" w:ascii="Times New Roman" w:hAnsi="Times New Roman" w:eastAsia="仿宋_GB2312"/>
          <w:sz w:val="32"/>
          <w:szCs w:val="32"/>
        </w:rPr>
        <w:t>、处理过的临床样本；</w:t>
      </w:r>
    </w:p>
    <w:p w14:paraId="158B637E">
      <w:pPr>
        <w:pStyle w:val="11"/>
        <w:ind w:firstLine="645" w:firstLineChars="0"/>
        <w:rPr>
          <w:rFonts w:ascii="Times New Roman" w:hAnsi="Times New Roman" w:eastAsia="仿宋_GB2312"/>
          <w:sz w:val="32"/>
          <w:szCs w:val="32"/>
        </w:rPr>
      </w:pPr>
      <w:r>
        <w:rPr>
          <w:rFonts w:ascii="Times New Roman" w:hAnsi="Times New Roman" w:eastAsia="仿宋_GB2312"/>
          <w:sz w:val="32"/>
          <w:szCs w:val="32"/>
        </w:rPr>
        <w:t>c</w:t>
      </w:r>
      <w:r>
        <w:rPr>
          <w:rFonts w:hint="eastAsia" w:ascii="Times New Roman" w:hAnsi="Times New Roman" w:eastAsia="仿宋_GB2312"/>
          <w:sz w:val="32"/>
          <w:szCs w:val="32"/>
        </w:rPr>
        <w:t>、当以上两种样本难以获得时，可使用推荐的稀释液</w:t>
      </w:r>
      <w:r>
        <w:rPr>
          <w:rFonts w:ascii="Times New Roman" w:hAnsi="Times New Roman" w:eastAsia="仿宋_GB2312"/>
          <w:sz w:val="32"/>
          <w:szCs w:val="32"/>
        </w:rPr>
        <w:t>/</w:t>
      </w:r>
      <w:r>
        <w:rPr>
          <w:rFonts w:hint="eastAsia" w:ascii="Times New Roman" w:hAnsi="Times New Roman" w:eastAsia="仿宋_GB2312"/>
          <w:sz w:val="32"/>
          <w:szCs w:val="32"/>
        </w:rPr>
        <w:t>商业质控物</w:t>
      </w:r>
      <w:r>
        <w:rPr>
          <w:rFonts w:ascii="Times New Roman" w:hAnsi="Times New Roman" w:eastAsia="仿宋_GB2312"/>
          <w:sz w:val="32"/>
          <w:szCs w:val="32"/>
        </w:rPr>
        <w:t>/</w:t>
      </w:r>
      <w:r>
        <w:rPr>
          <w:rFonts w:hint="eastAsia" w:ascii="Times New Roman" w:hAnsi="Times New Roman" w:eastAsia="仿宋_GB2312"/>
          <w:sz w:val="32"/>
          <w:szCs w:val="32"/>
        </w:rPr>
        <w:t>定标物</w:t>
      </w:r>
      <w:r>
        <w:rPr>
          <w:rFonts w:ascii="Times New Roman" w:hAnsi="Times New Roman" w:eastAsia="仿宋_GB2312"/>
          <w:sz w:val="32"/>
          <w:szCs w:val="32"/>
        </w:rPr>
        <w:t>/</w:t>
      </w:r>
      <w:r>
        <w:rPr>
          <w:rFonts w:hint="eastAsia" w:ascii="Times New Roman" w:hAnsi="Times New Roman" w:eastAsia="仿宋_GB2312"/>
          <w:sz w:val="32"/>
          <w:szCs w:val="32"/>
        </w:rPr>
        <w:t>线性物质</w:t>
      </w:r>
      <w:r>
        <w:rPr>
          <w:rFonts w:ascii="Times New Roman" w:hAnsi="Times New Roman" w:eastAsia="仿宋_GB2312"/>
          <w:sz w:val="32"/>
          <w:szCs w:val="32"/>
        </w:rPr>
        <w:t>/</w:t>
      </w:r>
      <w:r>
        <w:rPr>
          <w:rFonts w:hint="eastAsia" w:ascii="Times New Roman" w:hAnsi="Times New Roman" w:eastAsia="仿宋_GB2312"/>
          <w:sz w:val="32"/>
          <w:szCs w:val="32"/>
        </w:rPr>
        <w:t>生理盐水</w:t>
      </w:r>
      <w:r>
        <w:rPr>
          <w:rFonts w:ascii="Times New Roman" w:hAnsi="Times New Roman" w:eastAsia="仿宋_GB2312"/>
          <w:sz w:val="32"/>
          <w:szCs w:val="32"/>
        </w:rPr>
        <w:t>/</w:t>
      </w:r>
      <w:r>
        <w:rPr>
          <w:rFonts w:hint="eastAsia" w:ascii="Times New Roman" w:hAnsi="Times New Roman" w:eastAsia="仿宋_GB2312"/>
          <w:sz w:val="32"/>
          <w:szCs w:val="32"/>
        </w:rPr>
        <w:t>水溶液等。</w:t>
      </w:r>
    </w:p>
    <w:p w14:paraId="1F74A2E1">
      <w:pPr>
        <w:pStyle w:val="11"/>
        <w:ind w:firstLine="645" w:firstLineChars="0"/>
        <w:rPr>
          <w:rFonts w:eastAsia="仿宋_GB2312"/>
          <w:bCs/>
          <w:sz w:val="32"/>
          <w:szCs w:val="32"/>
        </w:rPr>
      </w:pPr>
      <w:r>
        <w:rPr>
          <w:rFonts w:hint="eastAsia" w:eastAsia="仿宋_GB2312"/>
          <w:bCs/>
          <w:sz w:val="32"/>
          <w:szCs w:val="32"/>
        </w:rPr>
        <w:t>建立线性范围时，应在预期测定范围内选择</w:t>
      </w:r>
      <w:r>
        <w:rPr>
          <w:rFonts w:eastAsia="仿宋_GB2312"/>
          <w:bCs/>
          <w:sz w:val="32"/>
          <w:szCs w:val="32"/>
        </w:rPr>
        <w:t>7—11</w:t>
      </w:r>
      <w:r>
        <w:rPr>
          <w:rFonts w:hint="eastAsia" w:eastAsia="仿宋_GB2312"/>
          <w:bCs/>
          <w:sz w:val="32"/>
          <w:szCs w:val="32"/>
        </w:rPr>
        <w:t>个浓度水平，可将</w:t>
      </w:r>
      <w:r>
        <w:rPr>
          <w:rFonts w:hint="eastAsia" w:eastAsia="仿宋_GB2312"/>
          <w:sz w:val="32"/>
          <w:szCs w:val="32"/>
        </w:rPr>
        <w:t>将预期测定范围加宽至</w:t>
      </w:r>
      <w:r>
        <w:rPr>
          <w:rFonts w:eastAsia="仿宋_GB2312"/>
          <w:sz w:val="32"/>
          <w:szCs w:val="32"/>
        </w:rPr>
        <w:t>130%</w:t>
      </w:r>
      <w:r>
        <w:rPr>
          <w:rFonts w:hint="eastAsia" w:eastAsia="仿宋_GB2312"/>
          <w:sz w:val="32"/>
          <w:szCs w:val="32"/>
        </w:rPr>
        <w:t>，在此范围内选择更多的浓度水平，在观测到“拐点”后</w:t>
      </w:r>
      <w:r>
        <w:rPr>
          <w:rFonts w:hint="eastAsia" w:eastAsia="仿宋_GB2312"/>
          <w:bCs/>
          <w:sz w:val="32"/>
          <w:szCs w:val="32"/>
        </w:rPr>
        <w:t>依据实验结果逐渐减少数据点直至表现出线性关系，可发现最宽的线性范围。</w:t>
      </w:r>
    </w:p>
    <w:p w14:paraId="58995DDD">
      <w:pPr>
        <w:ind w:firstLine="640" w:firstLineChars="200"/>
        <w:rPr>
          <w:rFonts w:eastAsia="仿宋_GB2312"/>
          <w:sz w:val="32"/>
          <w:szCs w:val="32"/>
        </w:rPr>
      </w:pPr>
      <w:r>
        <w:rPr>
          <w:rFonts w:hint="eastAsia" w:eastAsia="仿宋_GB2312"/>
          <w:bCs/>
          <w:sz w:val="32"/>
          <w:szCs w:val="32"/>
        </w:rPr>
        <w:t>验证线性范围时，</w:t>
      </w:r>
      <w:r>
        <w:rPr>
          <w:rFonts w:hint="eastAsia" w:ascii="Times New Roman" w:hAnsi="Times New Roman" w:eastAsia="仿宋_GB2312"/>
          <w:kern w:val="0"/>
          <w:sz w:val="32"/>
          <w:szCs w:val="32"/>
        </w:rPr>
        <w:t>将接近线性区间上限的高值样本按一定比例稀释为至少</w:t>
      </w:r>
      <w:r>
        <w:rPr>
          <w:rFonts w:ascii="Times New Roman" w:hAnsi="Times New Roman" w:eastAsia="仿宋_GB2312"/>
          <w:kern w:val="0"/>
          <w:sz w:val="32"/>
          <w:szCs w:val="32"/>
        </w:rPr>
        <w:t>5</w:t>
      </w:r>
      <w:r>
        <w:rPr>
          <w:rFonts w:hint="eastAsia" w:ascii="Times New Roman" w:hAnsi="Times New Roman" w:eastAsia="仿宋_GB2312"/>
          <w:kern w:val="0"/>
          <w:sz w:val="32"/>
          <w:szCs w:val="32"/>
        </w:rPr>
        <w:t>个浓度，其中稀释的最低浓度样本应接近线性区间的下限。对每一浓度的样本至少重复测定</w:t>
      </w:r>
      <w:r>
        <w:rPr>
          <w:rFonts w:ascii="Times New Roman" w:hAnsi="Times New Roman" w:eastAsia="仿宋_GB2312"/>
          <w:kern w:val="0"/>
          <w:sz w:val="32"/>
          <w:szCs w:val="32"/>
        </w:rPr>
        <w:t>2</w:t>
      </w:r>
      <w:r>
        <w:rPr>
          <w:rFonts w:hint="eastAsia" w:ascii="Times New Roman" w:hAnsi="Times New Roman" w:eastAsia="仿宋_GB2312"/>
          <w:kern w:val="0"/>
          <w:sz w:val="32"/>
          <w:szCs w:val="32"/>
        </w:rPr>
        <w:t>次，计算其平均值，将测定浓度的平均值与理论浓度或稀释比例用最小二乘法进行直线拟合，并计算线性相关系数（</w:t>
      </w:r>
      <w:r>
        <w:rPr>
          <w:rFonts w:ascii="Times New Roman" w:hAnsi="Times New Roman" w:eastAsia="仿宋_GB2312"/>
          <w:kern w:val="0"/>
          <w:sz w:val="32"/>
          <w:szCs w:val="32"/>
        </w:rPr>
        <w:t>r</w:t>
      </w:r>
      <w:r>
        <w:rPr>
          <w:rFonts w:hint="eastAsia" w:ascii="Times New Roman" w:hAnsi="Times New Roman" w:eastAsia="仿宋_GB2312"/>
          <w:kern w:val="0"/>
          <w:sz w:val="32"/>
          <w:szCs w:val="32"/>
        </w:rPr>
        <w:t>）。</w:t>
      </w:r>
      <w:r>
        <w:rPr>
          <w:rFonts w:hint="eastAsia" w:eastAsia="仿宋_GB2312"/>
          <w:kern w:val="0"/>
          <w:sz w:val="32"/>
          <w:szCs w:val="32"/>
        </w:rPr>
        <w:t>胃蛋白酶原</w:t>
      </w:r>
      <w:r>
        <w:rPr>
          <w:rFonts w:eastAsia="仿宋_GB2312"/>
          <w:kern w:val="0"/>
          <w:sz w:val="32"/>
          <w:szCs w:val="32"/>
        </w:rPr>
        <w:t>I</w:t>
      </w:r>
      <w:r>
        <w:rPr>
          <w:rFonts w:hint="eastAsia" w:eastAsia="仿宋_GB2312"/>
          <w:kern w:val="0"/>
          <w:sz w:val="32"/>
          <w:szCs w:val="32"/>
        </w:rPr>
        <w:t>的线性区间下限不应高于</w:t>
      </w:r>
      <w:r>
        <w:rPr>
          <w:rFonts w:eastAsia="仿宋_GB2312"/>
          <w:kern w:val="0"/>
          <w:sz w:val="32"/>
          <w:szCs w:val="32"/>
        </w:rPr>
        <w:t>3ng/mL</w:t>
      </w:r>
      <w:r>
        <w:rPr>
          <w:rFonts w:hint="eastAsia" w:eastAsia="仿宋_GB2312"/>
          <w:kern w:val="0"/>
          <w:sz w:val="32"/>
          <w:szCs w:val="32"/>
        </w:rPr>
        <w:t>，上限不应低于</w:t>
      </w:r>
      <w:r>
        <w:rPr>
          <w:rFonts w:eastAsia="仿宋_GB2312"/>
          <w:kern w:val="0"/>
          <w:sz w:val="32"/>
          <w:szCs w:val="32"/>
        </w:rPr>
        <w:t>200ng/mL</w:t>
      </w:r>
      <w:r>
        <w:rPr>
          <w:rFonts w:hint="eastAsia" w:eastAsia="仿宋_GB2312"/>
          <w:kern w:val="0"/>
          <w:sz w:val="32"/>
          <w:szCs w:val="32"/>
        </w:rPr>
        <w:t>；胃蛋白酶原</w:t>
      </w:r>
      <w:r>
        <w:rPr>
          <w:rFonts w:eastAsia="仿宋_GB2312"/>
          <w:kern w:val="0"/>
          <w:sz w:val="32"/>
          <w:szCs w:val="32"/>
        </w:rPr>
        <w:t>II</w:t>
      </w:r>
      <w:r>
        <w:rPr>
          <w:rFonts w:hint="eastAsia" w:eastAsia="仿宋_GB2312"/>
          <w:kern w:val="0"/>
          <w:sz w:val="32"/>
          <w:szCs w:val="32"/>
        </w:rPr>
        <w:t>的线性区间下限不应高于</w:t>
      </w:r>
      <w:r>
        <w:rPr>
          <w:rFonts w:eastAsia="仿宋_GB2312"/>
          <w:kern w:val="0"/>
          <w:sz w:val="32"/>
          <w:szCs w:val="32"/>
        </w:rPr>
        <w:t>1.5ng/mL</w:t>
      </w:r>
      <w:r>
        <w:rPr>
          <w:rFonts w:hint="eastAsia" w:eastAsia="仿宋_GB2312"/>
          <w:kern w:val="0"/>
          <w:sz w:val="32"/>
          <w:szCs w:val="32"/>
        </w:rPr>
        <w:t>，上限不应低于</w:t>
      </w:r>
      <w:r>
        <w:rPr>
          <w:rFonts w:eastAsia="仿宋_GB2312"/>
          <w:kern w:val="0"/>
          <w:sz w:val="32"/>
          <w:szCs w:val="32"/>
        </w:rPr>
        <w:t>100ng/mL</w:t>
      </w:r>
      <w:r>
        <w:rPr>
          <w:rFonts w:hint="eastAsia" w:eastAsia="仿宋_GB2312"/>
          <w:kern w:val="0"/>
          <w:sz w:val="32"/>
          <w:szCs w:val="32"/>
        </w:rPr>
        <w:t>；胃蛋白酶原</w:t>
      </w:r>
      <w:r>
        <w:rPr>
          <w:rFonts w:eastAsia="仿宋_GB2312"/>
          <w:kern w:val="0"/>
          <w:sz w:val="32"/>
          <w:szCs w:val="32"/>
        </w:rPr>
        <w:t>I/II</w:t>
      </w:r>
      <w:r>
        <w:rPr>
          <w:rFonts w:hint="eastAsia" w:eastAsia="仿宋_GB2312"/>
          <w:kern w:val="0"/>
          <w:sz w:val="32"/>
          <w:szCs w:val="32"/>
        </w:rPr>
        <w:t>的线性范围相关系数（</w:t>
      </w:r>
      <w:r>
        <w:rPr>
          <w:rFonts w:eastAsia="仿宋_GB2312"/>
          <w:kern w:val="0"/>
          <w:sz w:val="32"/>
          <w:szCs w:val="32"/>
        </w:rPr>
        <w:t>r</w:t>
      </w:r>
      <w:r>
        <w:rPr>
          <w:rFonts w:hint="eastAsia" w:eastAsia="仿宋_GB2312"/>
          <w:kern w:val="0"/>
          <w:sz w:val="32"/>
          <w:szCs w:val="32"/>
        </w:rPr>
        <w:t>）不应低于</w:t>
      </w:r>
      <w:r>
        <w:rPr>
          <w:rFonts w:eastAsia="仿宋_GB2312"/>
          <w:kern w:val="0"/>
          <w:sz w:val="32"/>
          <w:szCs w:val="32"/>
        </w:rPr>
        <w:t>0.9900</w:t>
      </w:r>
      <w:r>
        <w:rPr>
          <w:rFonts w:hint="eastAsia" w:eastAsia="仿宋_GB2312"/>
          <w:kern w:val="0"/>
          <w:sz w:val="32"/>
          <w:szCs w:val="32"/>
        </w:rPr>
        <w:t>。</w:t>
      </w:r>
    </w:p>
    <w:p w14:paraId="0EB2D61C">
      <w:pPr>
        <w:pStyle w:val="11"/>
        <w:ind w:firstLine="645" w:firstLineChars="0"/>
        <w:rPr>
          <w:rFonts w:eastAsia="仿宋_GB2312"/>
          <w:sz w:val="32"/>
          <w:szCs w:val="32"/>
        </w:rPr>
      </w:pPr>
      <w:r>
        <w:rPr>
          <w:rFonts w:eastAsia="仿宋_GB2312"/>
          <w:sz w:val="32"/>
          <w:szCs w:val="32"/>
        </w:rPr>
        <w:t>4.</w:t>
      </w:r>
      <w:r>
        <w:rPr>
          <w:rFonts w:hint="eastAsia" w:eastAsia="仿宋_GB2312"/>
          <w:sz w:val="32"/>
          <w:szCs w:val="32"/>
        </w:rPr>
        <w:t>精密度</w:t>
      </w:r>
    </w:p>
    <w:p w14:paraId="7DCC9615">
      <w:pPr>
        <w:pStyle w:val="11"/>
        <w:ind w:firstLine="645" w:firstLineChars="0"/>
        <w:rPr>
          <w:rFonts w:eastAsia="仿宋_GB2312"/>
          <w:sz w:val="32"/>
          <w:szCs w:val="32"/>
        </w:rPr>
      </w:pPr>
      <w:r>
        <w:rPr>
          <w:rFonts w:hint="eastAsia" w:eastAsia="仿宋_GB2312"/>
          <w:sz w:val="32"/>
          <w:szCs w:val="32"/>
        </w:rPr>
        <w:t>用于评价精密度的质控品，其均匀性、稳定应能满足要求并反映临床实验室实际测试样品的特征。质控品浓度应包括测量区间内低、中、高至少</w:t>
      </w:r>
      <w:r>
        <w:rPr>
          <w:rFonts w:eastAsia="仿宋_GB2312"/>
          <w:sz w:val="32"/>
          <w:szCs w:val="32"/>
        </w:rPr>
        <w:t>3</w:t>
      </w:r>
      <w:r>
        <w:rPr>
          <w:rFonts w:hint="eastAsia" w:eastAsia="仿宋_GB2312"/>
          <w:sz w:val="32"/>
          <w:szCs w:val="32"/>
        </w:rPr>
        <w:t>个浓度水平，应有医学决定水平附近的测量点。</w:t>
      </w:r>
    </w:p>
    <w:p w14:paraId="2CA6A063">
      <w:pPr>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4.1</w:t>
      </w:r>
      <w:r>
        <w:rPr>
          <w:rFonts w:hint="eastAsia" w:ascii="Times New Roman" w:hAnsi="Times New Roman" w:eastAsia="仿宋_GB2312"/>
          <w:kern w:val="0"/>
          <w:sz w:val="32"/>
          <w:szCs w:val="32"/>
        </w:rPr>
        <w:t>批内精密度</w:t>
      </w:r>
    </w:p>
    <w:p w14:paraId="0F63BA14">
      <w:pPr>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用同一批号试剂盒，对不同浓度的质控品分别重复测定</w:t>
      </w:r>
      <w:r>
        <w:rPr>
          <w:rFonts w:ascii="Times New Roman" w:hAnsi="Times New Roman" w:eastAsia="仿宋_GB2312"/>
          <w:kern w:val="0"/>
          <w:sz w:val="32"/>
          <w:szCs w:val="32"/>
        </w:rPr>
        <w:t>10</w:t>
      </w:r>
      <w:r>
        <w:rPr>
          <w:rFonts w:hint="eastAsia" w:ascii="Times New Roman" w:hAnsi="Times New Roman" w:eastAsia="仿宋_GB2312"/>
          <w:kern w:val="0"/>
          <w:sz w:val="32"/>
          <w:szCs w:val="32"/>
        </w:rPr>
        <w:t>次，计算测定结果的平均值（</w:t>
      </w:r>
      <w:r>
        <w:rPr>
          <w:rFonts w:ascii="Times New Roman" w:hAnsi="Times New Roman" w:eastAsia="仿宋_GB2312"/>
          <w:kern w:val="0"/>
          <w:sz w:val="32"/>
          <w:szCs w:val="32"/>
        </w:rPr>
        <w:object>
          <v:shape id="_x0000_i1036" o:spt="75" type="#_x0000_t75" style="height:17.25pt;width:9.75pt;" o:ole="t" filled="f" o:preferrelative="t" stroked="f" coordsize="21600,21600">
            <v:path/>
            <v:fill on="f" focussize="0,0"/>
            <v:stroke on="f" joinstyle="miter"/>
            <v:imagedata r:id="rId27" o:title=""/>
            <o:lock v:ext="edit" aspectratio="t"/>
            <w10:wrap type="none"/>
            <w10:anchorlock/>
          </v:shape>
          <o:OLEObject Type="Embed" ProgID="Equation.3" ShapeID="_x0000_i1036" DrawAspect="Content" ObjectID="_1468075736" r:id="rId26">
            <o:LockedField>false</o:LockedField>
          </o:OLEObject>
        </w:object>
      </w:r>
      <w:r>
        <w:rPr>
          <w:rFonts w:hint="eastAsia" w:ascii="Times New Roman" w:hAnsi="Times New Roman" w:eastAsia="仿宋_GB2312"/>
          <w:kern w:val="0"/>
          <w:sz w:val="32"/>
          <w:szCs w:val="32"/>
        </w:rPr>
        <w:t>）和标准差（</w:t>
      </w:r>
      <w:r>
        <w:rPr>
          <w:rFonts w:ascii="Times New Roman" w:hAnsi="Times New Roman" w:eastAsia="仿宋_GB2312"/>
          <w:kern w:val="0"/>
          <w:sz w:val="32"/>
          <w:szCs w:val="32"/>
        </w:rPr>
        <w:object>
          <v:shape id="_x0000_i1037" o:spt="75" type="#_x0000_t75" style="height:11.25pt;width:9pt;" o:ole="t" filled="f" o:preferrelative="t" stroked="f" coordsize="21600,21600">
            <v:path/>
            <v:fill on="f" focussize="0,0"/>
            <v:stroke on="f" joinstyle="miter"/>
            <v:imagedata r:id="rId29" o:title=""/>
            <o:lock v:ext="edit" aspectratio="t"/>
            <w10:wrap type="none"/>
            <w10:anchorlock/>
          </v:shape>
          <o:OLEObject Type="Embed" ProgID="Equation.3" ShapeID="_x0000_i1037" DrawAspect="Content" ObjectID="_1468075737" r:id="rId28">
            <o:LockedField>false</o:LockedField>
          </o:OLEObject>
        </w:object>
      </w:r>
      <w:r>
        <w:rPr>
          <w:rFonts w:hint="eastAsia" w:ascii="Times New Roman" w:hAnsi="Times New Roman" w:eastAsia="仿宋_GB2312"/>
          <w:kern w:val="0"/>
          <w:sz w:val="32"/>
          <w:szCs w:val="32"/>
        </w:rPr>
        <w:t>），根据式（</w:t>
      </w:r>
      <w:r>
        <w:rPr>
          <w:rFonts w:ascii="Times New Roman" w:hAnsi="Times New Roman" w:eastAsia="仿宋_GB2312"/>
          <w:kern w:val="0"/>
          <w:sz w:val="32"/>
          <w:szCs w:val="32"/>
        </w:rPr>
        <w:t>3</w:t>
      </w:r>
      <w:r>
        <w:rPr>
          <w:rFonts w:hint="eastAsia" w:ascii="Times New Roman" w:hAnsi="Times New Roman" w:eastAsia="仿宋_GB2312"/>
          <w:kern w:val="0"/>
          <w:sz w:val="32"/>
          <w:szCs w:val="32"/>
        </w:rPr>
        <w:t>）得出变异系数（</w:t>
      </w:r>
      <w:r>
        <w:rPr>
          <w:rFonts w:ascii="Times New Roman" w:hAnsi="Times New Roman" w:eastAsia="仿宋_GB2312"/>
          <w:kern w:val="0"/>
          <w:position w:val="-6"/>
          <w:sz w:val="32"/>
          <w:szCs w:val="32"/>
        </w:rPr>
        <w:object>
          <v:shape id="_x0000_i1038" o:spt="75" type="#_x0000_t75" style="height:15pt;width:21pt;" o:ole="t" filled="f" o:preferrelative="t" stroked="f" coordsize="21600,21600">
            <v:path/>
            <v:fill on="f" focussize="0,0"/>
            <v:stroke on="f" joinstyle="miter"/>
            <v:imagedata r:id="rId31" o:title=""/>
            <o:lock v:ext="edit" aspectratio="t"/>
            <w10:wrap type="none"/>
            <w10:anchorlock/>
          </v:shape>
          <o:OLEObject Type="Embed" ProgID="Equation.3" ShapeID="_x0000_i1038" DrawAspect="Content" ObjectID="_1468075738" r:id="rId30">
            <o:LockedField>false</o:LockedField>
          </o:OLEObject>
        </w:object>
      </w:r>
      <w:r>
        <w:rPr>
          <w:rFonts w:hint="eastAsia" w:ascii="Times New Roman" w:hAnsi="Times New Roman" w:eastAsia="仿宋_GB2312"/>
          <w:kern w:val="0"/>
          <w:sz w:val="32"/>
          <w:szCs w:val="32"/>
        </w:rPr>
        <w:t>），手工操作试剂盒测定结果的变异系数（</w:t>
      </w:r>
      <w:r>
        <w:rPr>
          <w:rFonts w:ascii="Times New Roman" w:hAnsi="Times New Roman" w:eastAsia="仿宋_GB2312"/>
          <w:kern w:val="0"/>
          <w:position w:val="-6"/>
          <w:sz w:val="32"/>
          <w:szCs w:val="32"/>
        </w:rPr>
        <w:object>
          <v:shape id="_x0000_i1039" o:spt="75" type="#_x0000_t75" style="height:15pt;width:21pt;" o:ole="t" filled="f" o:preferrelative="t" stroked="f" coordsize="21600,21600">
            <v:path/>
            <v:fill on="f" focussize="0,0"/>
            <v:stroke on="f" joinstyle="miter"/>
            <v:imagedata r:id="rId31" o:title=""/>
            <o:lock v:ext="edit" aspectratio="t"/>
            <w10:wrap type="none"/>
            <w10:anchorlock/>
          </v:shape>
          <o:OLEObject Type="Embed" ProgID="Equation.3" ShapeID="_x0000_i1039" DrawAspect="Content" ObjectID="_1468075739" r:id="rId32">
            <o:LockedField>false</o:LockedField>
          </o:OLEObject>
        </w:object>
      </w:r>
      <w:r>
        <w:rPr>
          <w:rFonts w:hint="eastAsia" w:ascii="Times New Roman" w:hAnsi="Times New Roman" w:eastAsia="仿宋_GB2312"/>
          <w:kern w:val="0"/>
          <w:sz w:val="32"/>
          <w:szCs w:val="32"/>
        </w:rPr>
        <w:t>）应不高于</w:t>
      </w:r>
      <w:r>
        <w:rPr>
          <w:rFonts w:ascii="Times New Roman" w:hAnsi="Times New Roman" w:eastAsia="仿宋_GB2312"/>
          <w:kern w:val="0"/>
          <w:sz w:val="32"/>
          <w:szCs w:val="32"/>
        </w:rPr>
        <w:t>10.0%</w:t>
      </w:r>
      <w:r>
        <w:rPr>
          <w:rFonts w:hint="eastAsia" w:ascii="Times New Roman" w:hAnsi="Times New Roman" w:eastAsia="仿宋_GB2312"/>
          <w:kern w:val="0"/>
          <w:sz w:val="32"/>
          <w:szCs w:val="32"/>
        </w:rPr>
        <w:t>，全自动操作试剂盒的变异系数（</w:t>
      </w:r>
      <w:r>
        <w:rPr>
          <w:rFonts w:ascii="Times New Roman" w:hAnsi="Times New Roman" w:eastAsia="仿宋_GB2312"/>
          <w:kern w:val="0"/>
          <w:position w:val="-6"/>
          <w:sz w:val="32"/>
          <w:szCs w:val="32"/>
        </w:rPr>
        <w:object>
          <v:shape id="_x0000_i1040" o:spt="75" type="#_x0000_t75" style="height:15pt;width:21pt;" o:ole="t" filled="f" o:preferrelative="t" stroked="f" coordsize="21600,21600">
            <v:path/>
            <v:fill on="f" focussize="0,0"/>
            <v:stroke on="f" joinstyle="miter"/>
            <v:imagedata r:id="rId31" o:title=""/>
            <o:lock v:ext="edit" aspectratio="t"/>
            <w10:wrap type="none"/>
            <w10:anchorlock/>
          </v:shape>
          <o:OLEObject Type="Embed" ProgID="Equation.3" ShapeID="_x0000_i1040" DrawAspect="Content" ObjectID="_1468075740" r:id="rId33">
            <o:LockedField>false</o:LockedField>
          </o:OLEObject>
        </w:object>
      </w:r>
      <w:r>
        <w:rPr>
          <w:rFonts w:hint="eastAsia" w:ascii="Times New Roman" w:hAnsi="Times New Roman" w:eastAsia="仿宋_GB2312"/>
          <w:kern w:val="0"/>
          <w:sz w:val="32"/>
          <w:szCs w:val="32"/>
        </w:rPr>
        <w:t>）应不高于</w:t>
      </w:r>
      <w:r>
        <w:rPr>
          <w:rFonts w:ascii="Times New Roman" w:hAnsi="Times New Roman" w:eastAsia="仿宋_GB2312"/>
          <w:kern w:val="0"/>
          <w:sz w:val="32"/>
          <w:szCs w:val="32"/>
        </w:rPr>
        <w:t>8.0%</w:t>
      </w:r>
      <w:r>
        <w:rPr>
          <w:rFonts w:hint="eastAsia" w:ascii="Times New Roman" w:hAnsi="Times New Roman" w:eastAsia="仿宋_GB2312"/>
          <w:kern w:val="0"/>
          <w:sz w:val="32"/>
          <w:szCs w:val="32"/>
        </w:rPr>
        <w:t>。</w:t>
      </w:r>
    </w:p>
    <w:p w14:paraId="7FE64902">
      <w:pPr>
        <w:jc w:val="right"/>
        <w:rPr>
          <w:rFonts w:ascii="Times New Roman" w:hAnsi="Times New Roman" w:eastAsia="仿宋_GB2312"/>
          <w:kern w:val="0"/>
          <w:sz w:val="32"/>
          <w:szCs w:val="32"/>
        </w:rPr>
      </w:pPr>
      <w:r>
        <w:rPr>
          <w:rFonts w:ascii="Times New Roman" w:hAnsi="Times New Roman" w:eastAsia="仿宋_GB2312"/>
          <w:kern w:val="0"/>
          <w:position w:val="-24"/>
          <w:sz w:val="32"/>
          <w:szCs w:val="32"/>
        </w:rPr>
        <w:object>
          <v:shape id="_x0000_i1041" o:spt="75" type="#_x0000_t75" style="height:30.75pt;width:77.25pt;" o:ole="t" filled="f" o:preferrelative="t" stroked="f" coordsize="21600,21600">
            <v:path/>
            <v:fill on="f" focussize="0,0"/>
            <v:stroke on="f" joinstyle="miter"/>
            <v:imagedata r:id="rId35" o:title=""/>
            <o:lock v:ext="edit" aspectratio="t"/>
            <w10:wrap type="none"/>
            <w10:anchorlock/>
          </v:shape>
          <o:OLEObject Type="Embed" ProgID="Equation.3" ShapeID="_x0000_i1041" DrawAspect="Content" ObjectID="_1468075741" r:id="rId34">
            <o:LockedField>false</o:LockedField>
          </o:OLEObject>
        </w:object>
      </w:r>
      <w:r>
        <w:rPr>
          <w:rFonts w:ascii="Times New Roman" w:hAnsi="Times New Roman" w:eastAsia="仿宋_GB2312"/>
          <w:kern w:val="0"/>
          <w:sz w:val="32"/>
          <w:szCs w:val="32"/>
        </w:rPr>
        <w:t>...........................................(3)</w:t>
      </w:r>
    </w:p>
    <w:p w14:paraId="408BD753">
      <w:pPr>
        <w:ind w:firstLine="640" w:firstLineChars="200"/>
        <w:rPr>
          <w:rFonts w:ascii="Times New Roman" w:hAnsi="Times New Roman" w:eastAsia="仿宋_GB2312"/>
          <w:kern w:val="0"/>
          <w:sz w:val="32"/>
          <w:szCs w:val="32"/>
        </w:rPr>
      </w:pPr>
      <w:r>
        <w:rPr>
          <w:rFonts w:ascii="Times New Roman" w:hAnsi="Times New Roman" w:eastAsia="仿宋_GB2312"/>
          <w:kern w:val="0"/>
          <w:position w:val="-6"/>
          <w:sz w:val="32"/>
          <w:szCs w:val="32"/>
        </w:rPr>
        <w:object>
          <v:shape id="_x0000_i1042" o:spt="75" type="#_x0000_t75" style="height:15pt;width:21pt;" o:ole="t" filled="f" o:preferrelative="t" stroked="f" coordsize="21600,21600">
            <v:path/>
            <v:fill on="f" focussize="0,0"/>
            <v:stroke on="f" joinstyle="miter"/>
            <v:imagedata r:id="rId37" o:title=""/>
            <o:lock v:ext="edit" aspectratio="t"/>
            <w10:wrap type="none"/>
            <w10:anchorlock/>
          </v:shape>
          <o:OLEObject Type="Embed" ProgID="Equation.3" ShapeID="_x0000_i1042" DrawAspect="Content" ObjectID="_1468075742" r:id="rId36">
            <o:LockedField>false</o:LockedField>
          </o:OLEObject>
        </w:object>
      </w:r>
      <w:r>
        <w:rPr>
          <w:rFonts w:ascii="Times New Roman" w:hAnsi="Times New Roman" w:eastAsia="仿宋_GB2312"/>
          <w:kern w:val="0"/>
          <w:sz w:val="32"/>
          <w:szCs w:val="32"/>
        </w:rPr>
        <w:t>—</w:t>
      </w:r>
      <w:r>
        <w:rPr>
          <w:rFonts w:hint="eastAsia" w:ascii="Times New Roman" w:hAnsi="Times New Roman" w:eastAsia="仿宋_GB2312"/>
          <w:kern w:val="0"/>
          <w:sz w:val="32"/>
          <w:szCs w:val="32"/>
        </w:rPr>
        <w:t>变异系数；</w:t>
      </w:r>
    </w:p>
    <w:p w14:paraId="4FD05FE5">
      <w:pPr>
        <w:ind w:firstLine="640" w:firstLineChars="200"/>
        <w:rPr>
          <w:rFonts w:ascii="Times New Roman" w:hAnsi="Times New Roman" w:eastAsia="仿宋_GB2312"/>
          <w:kern w:val="0"/>
          <w:sz w:val="32"/>
          <w:szCs w:val="32"/>
        </w:rPr>
      </w:pPr>
      <w:r>
        <w:rPr>
          <w:rFonts w:ascii="Times New Roman" w:hAnsi="Times New Roman" w:eastAsia="仿宋_GB2312"/>
          <w:kern w:val="0"/>
          <w:position w:val="-6"/>
          <w:sz w:val="32"/>
          <w:szCs w:val="32"/>
        </w:rPr>
        <w:object>
          <v:shape id="_x0000_i1043" o:spt="75" type="#_x0000_t75" style="height:11.25pt;width:9pt;" o:ole="t" filled="f" o:preferrelative="t" stroked="f" coordsize="21600,21600">
            <v:path/>
            <v:fill on="f" focussize="0,0"/>
            <v:stroke on="f" joinstyle="miter"/>
            <v:imagedata r:id="rId39" o:title=""/>
            <o:lock v:ext="edit" aspectratio="t"/>
            <w10:wrap type="none"/>
            <w10:anchorlock/>
          </v:shape>
          <o:OLEObject Type="Embed" ProgID="Equation.3" ShapeID="_x0000_i1043" DrawAspect="Content" ObjectID="_1468075743" r:id="rId38">
            <o:LockedField>false</o:LockedField>
          </o:OLEObject>
        </w:object>
      </w:r>
      <w:r>
        <w:rPr>
          <w:rFonts w:ascii="Times New Roman" w:hAnsi="Times New Roman" w:eastAsia="仿宋_GB2312"/>
          <w:kern w:val="0"/>
          <w:sz w:val="32"/>
          <w:szCs w:val="32"/>
        </w:rPr>
        <w:t>—10</w:t>
      </w:r>
      <w:r>
        <w:rPr>
          <w:rFonts w:hint="eastAsia" w:ascii="Times New Roman" w:hAnsi="Times New Roman" w:eastAsia="仿宋_GB2312"/>
          <w:kern w:val="0"/>
          <w:sz w:val="32"/>
          <w:szCs w:val="32"/>
        </w:rPr>
        <w:t>次测定结果的标准差；</w:t>
      </w:r>
    </w:p>
    <w:p w14:paraId="07FBBEBE">
      <w:pPr>
        <w:ind w:firstLine="640" w:firstLineChars="200"/>
        <w:rPr>
          <w:rFonts w:ascii="Times New Roman" w:hAnsi="Times New Roman" w:eastAsia="仿宋_GB2312"/>
          <w:kern w:val="0"/>
          <w:sz w:val="32"/>
          <w:szCs w:val="32"/>
        </w:rPr>
      </w:pPr>
      <w:r>
        <w:rPr>
          <w:rFonts w:ascii="Times New Roman" w:hAnsi="Times New Roman" w:eastAsia="仿宋_GB2312"/>
          <w:kern w:val="0"/>
          <w:position w:val="-6"/>
          <w:sz w:val="32"/>
          <w:szCs w:val="32"/>
        </w:rPr>
        <w:object>
          <v:shape id="_x0000_i1044" o:spt="75" type="#_x0000_t75" style="height:17.25pt;width:9.75pt;" o:ole="t" filled="f" o:preferrelative="t" stroked="f" coordsize="21600,21600">
            <v:path/>
            <v:fill on="f" focussize="0,0"/>
            <v:stroke on="f" joinstyle="miter"/>
            <v:imagedata r:id="rId41" o:title=""/>
            <o:lock v:ext="edit" aspectratio="t"/>
            <w10:wrap type="none"/>
            <w10:anchorlock/>
          </v:shape>
          <o:OLEObject Type="Embed" ProgID="Equation.3" ShapeID="_x0000_i1044" DrawAspect="Content" ObjectID="_1468075744" r:id="rId40">
            <o:LockedField>false</o:LockedField>
          </o:OLEObject>
        </w:object>
      </w:r>
      <w:r>
        <w:rPr>
          <w:rFonts w:ascii="Times New Roman" w:hAnsi="Times New Roman" w:eastAsia="仿宋_GB2312"/>
          <w:kern w:val="0"/>
          <w:sz w:val="32"/>
          <w:szCs w:val="32"/>
        </w:rPr>
        <w:t>—10</w:t>
      </w:r>
      <w:r>
        <w:rPr>
          <w:rFonts w:hint="eastAsia" w:ascii="Times New Roman" w:hAnsi="Times New Roman" w:eastAsia="仿宋_GB2312"/>
          <w:kern w:val="0"/>
          <w:sz w:val="32"/>
          <w:szCs w:val="32"/>
        </w:rPr>
        <w:t>次测量结果的平均值；</w:t>
      </w:r>
    </w:p>
    <w:p w14:paraId="5FD13DBD">
      <w:pPr>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4.2</w:t>
      </w:r>
      <w:r>
        <w:rPr>
          <w:rFonts w:hint="eastAsia" w:ascii="Times New Roman" w:hAnsi="Times New Roman" w:eastAsia="仿宋_GB2312"/>
          <w:kern w:val="0"/>
          <w:sz w:val="32"/>
          <w:szCs w:val="32"/>
        </w:rPr>
        <w:t>批间精密度</w:t>
      </w:r>
    </w:p>
    <w:p w14:paraId="793A56C5">
      <w:pPr>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用</w:t>
      </w:r>
      <w:r>
        <w:rPr>
          <w:rFonts w:ascii="Times New Roman" w:hAnsi="Times New Roman" w:eastAsia="仿宋_GB2312"/>
          <w:kern w:val="0"/>
          <w:sz w:val="32"/>
          <w:szCs w:val="32"/>
        </w:rPr>
        <w:t>3</w:t>
      </w:r>
      <w:r>
        <w:rPr>
          <w:rFonts w:hint="eastAsia" w:ascii="Times New Roman" w:hAnsi="Times New Roman" w:eastAsia="仿宋_GB2312"/>
          <w:kern w:val="0"/>
          <w:sz w:val="32"/>
          <w:szCs w:val="32"/>
        </w:rPr>
        <w:t>个不同批号试剂盒，对不同浓度的质控品分别重复测定</w:t>
      </w:r>
      <w:r>
        <w:rPr>
          <w:rFonts w:ascii="Times New Roman" w:hAnsi="Times New Roman" w:eastAsia="仿宋_GB2312"/>
          <w:kern w:val="0"/>
          <w:sz w:val="32"/>
          <w:szCs w:val="32"/>
        </w:rPr>
        <w:t>10</w:t>
      </w:r>
      <w:r>
        <w:rPr>
          <w:rFonts w:hint="eastAsia" w:ascii="Times New Roman" w:hAnsi="Times New Roman" w:eastAsia="仿宋_GB2312"/>
          <w:kern w:val="0"/>
          <w:sz w:val="32"/>
          <w:szCs w:val="32"/>
        </w:rPr>
        <w:t>次，计算测定结果的平均值（</w:t>
      </w:r>
      <w:r>
        <w:rPr>
          <w:rFonts w:ascii="Times New Roman" w:hAnsi="Times New Roman" w:eastAsia="仿宋_GB2312"/>
          <w:kern w:val="0"/>
          <w:sz w:val="32"/>
          <w:szCs w:val="32"/>
        </w:rPr>
        <w:object>
          <v:shape id="_x0000_i1045" o:spt="75" type="#_x0000_t75" style="height:17.25pt;width:9.75pt;" o:ole="t" filled="f" o:preferrelative="t" stroked="f" coordsize="21600,21600">
            <v:path/>
            <v:fill on="f" focussize="0,0"/>
            <v:stroke on="f" joinstyle="miter"/>
            <v:imagedata r:id="rId27" o:title=""/>
            <o:lock v:ext="edit" aspectratio="t"/>
            <w10:wrap type="none"/>
            <w10:anchorlock/>
          </v:shape>
          <o:OLEObject Type="Embed" ProgID="Equation.3" ShapeID="_x0000_i1045" DrawAspect="Content" ObjectID="_1468075745" r:id="rId42">
            <o:LockedField>false</o:LockedField>
          </o:OLEObject>
        </w:object>
      </w:r>
      <w:r>
        <w:rPr>
          <w:rFonts w:hint="eastAsia" w:ascii="Times New Roman" w:hAnsi="Times New Roman" w:eastAsia="仿宋_GB2312"/>
          <w:kern w:val="0"/>
          <w:sz w:val="32"/>
          <w:szCs w:val="32"/>
        </w:rPr>
        <w:t>）和标准差（</w:t>
      </w:r>
      <w:r>
        <w:rPr>
          <w:rFonts w:ascii="Times New Roman" w:hAnsi="Times New Roman" w:eastAsia="仿宋_GB2312"/>
          <w:kern w:val="0"/>
          <w:sz w:val="32"/>
          <w:szCs w:val="32"/>
        </w:rPr>
        <w:object>
          <v:shape id="_x0000_i1046" o:spt="75" type="#_x0000_t75" style="height:11.25pt;width:9pt;" o:ole="t" filled="f" o:preferrelative="t" stroked="f" coordsize="21600,21600">
            <v:path/>
            <v:fill on="f" focussize="0,0"/>
            <v:stroke on="f" joinstyle="miter"/>
            <v:imagedata r:id="rId29" o:title=""/>
            <o:lock v:ext="edit" aspectratio="t"/>
            <w10:wrap type="none"/>
            <w10:anchorlock/>
          </v:shape>
          <o:OLEObject Type="Embed" ProgID="Equation.3" ShapeID="_x0000_i1046" DrawAspect="Content" ObjectID="_1468075746" r:id="rId43">
            <o:LockedField>false</o:LockedField>
          </o:OLEObject>
        </w:object>
      </w:r>
      <w:r>
        <w:rPr>
          <w:rFonts w:hint="eastAsia" w:ascii="Times New Roman" w:hAnsi="Times New Roman" w:eastAsia="仿宋_GB2312"/>
          <w:kern w:val="0"/>
          <w:sz w:val="32"/>
          <w:szCs w:val="32"/>
        </w:rPr>
        <w:t>），根据式（</w:t>
      </w:r>
      <w:r>
        <w:rPr>
          <w:rFonts w:ascii="Times New Roman" w:hAnsi="Times New Roman" w:eastAsia="仿宋_GB2312"/>
          <w:kern w:val="0"/>
          <w:sz w:val="32"/>
          <w:szCs w:val="32"/>
        </w:rPr>
        <w:t>4</w:t>
      </w:r>
      <w:r>
        <w:rPr>
          <w:rFonts w:hint="eastAsia" w:ascii="Times New Roman" w:hAnsi="Times New Roman" w:eastAsia="仿宋_GB2312"/>
          <w:kern w:val="0"/>
          <w:sz w:val="32"/>
          <w:szCs w:val="32"/>
        </w:rPr>
        <w:t>）得出变异系数（</w:t>
      </w:r>
      <w:r>
        <w:rPr>
          <w:rFonts w:ascii="Times New Roman" w:hAnsi="Times New Roman" w:eastAsia="仿宋_GB2312"/>
          <w:kern w:val="0"/>
          <w:position w:val="-6"/>
          <w:sz w:val="32"/>
          <w:szCs w:val="32"/>
        </w:rPr>
        <w:object>
          <v:shape id="_x0000_i1047" o:spt="75" type="#_x0000_t75" style="height:15pt;width:21pt;" o:ole="t" filled="f" o:preferrelative="t" stroked="f" coordsize="21600,21600">
            <v:path/>
            <v:fill on="f" focussize="0,0"/>
            <v:stroke on="f" joinstyle="miter"/>
            <v:imagedata r:id="rId31" o:title=""/>
            <o:lock v:ext="edit" aspectratio="t"/>
            <w10:wrap type="none"/>
            <w10:anchorlock/>
          </v:shape>
          <o:OLEObject Type="Embed" ProgID="Equation.3" ShapeID="_x0000_i1047" DrawAspect="Content" ObjectID="_1468075747" r:id="rId44">
            <o:LockedField>false</o:LockedField>
          </o:OLEObject>
        </w:object>
      </w:r>
      <w:r>
        <w:rPr>
          <w:rFonts w:hint="eastAsia" w:ascii="Times New Roman" w:hAnsi="Times New Roman" w:eastAsia="仿宋_GB2312"/>
          <w:kern w:val="0"/>
          <w:sz w:val="32"/>
          <w:szCs w:val="32"/>
        </w:rPr>
        <w:t>），变异系数（</w:t>
      </w:r>
      <w:r>
        <w:rPr>
          <w:rFonts w:ascii="Times New Roman" w:hAnsi="Times New Roman" w:eastAsia="仿宋_GB2312"/>
          <w:kern w:val="0"/>
          <w:position w:val="-6"/>
          <w:sz w:val="32"/>
          <w:szCs w:val="32"/>
        </w:rPr>
        <w:object>
          <v:shape id="_x0000_i1048" o:spt="75" type="#_x0000_t75" style="height:15pt;width:21pt;" o:ole="t" filled="f" o:preferrelative="t" stroked="f" coordsize="21600,21600">
            <v:path/>
            <v:fill on="f" focussize="0,0"/>
            <v:stroke on="f" joinstyle="miter"/>
            <v:imagedata r:id="rId31" o:title=""/>
            <o:lock v:ext="edit" aspectratio="t"/>
            <w10:wrap type="none"/>
            <w10:anchorlock/>
          </v:shape>
          <o:OLEObject Type="Embed" ProgID="Equation.3" ShapeID="_x0000_i1048" DrawAspect="Content" ObjectID="_1468075748" r:id="rId45">
            <o:LockedField>false</o:LockedField>
          </o:OLEObject>
        </w:object>
      </w:r>
      <w:r>
        <w:rPr>
          <w:rFonts w:hint="eastAsia" w:ascii="Times New Roman" w:hAnsi="Times New Roman" w:eastAsia="仿宋_GB2312"/>
          <w:kern w:val="0"/>
          <w:sz w:val="32"/>
          <w:szCs w:val="32"/>
        </w:rPr>
        <w:t>）应不高于</w:t>
      </w:r>
      <w:r>
        <w:rPr>
          <w:rFonts w:ascii="Times New Roman" w:hAnsi="Times New Roman" w:eastAsia="仿宋_GB2312"/>
          <w:kern w:val="0"/>
          <w:sz w:val="32"/>
          <w:szCs w:val="32"/>
        </w:rPr>
        <w:t>15.0%</w:t>
      </w:r>
      <w:r>
        <w:rPr>
          <w:rFonts w:hint="eastAsia" w:ascii="Times New Roman" w:hAnsi="Times New Roman" w:eastAsia="仿宋_GB2312"/>
          <w:kern w:val="0"/>
          <w:sz w:val="32"/>
          <w:szCs w:val="32"/>
        </w:rPr>
        <w:t>。</w:t>
      </w:r>
    </w:p>
    <w:p w14:paraId="4E1FBEF9">
      <w:pPr>
        <w:jc w:val="right"/>
        <w:rPr>
          <w:rFonts w:ascii="Times New Roman" w:hAnsi="Times New Roman" w:eastAsia="仿宋_GB2312"/>
          <w:kern w:val="0"/>
          <w:sz w:val="32"/>
          <w:szCs w:val="32"/>
        </w:rPr>
      </w:pPr>
      <w:r>
        <w:rPr>
          <w:rFonts w:ascii="Times New Roman" w:hAnsi="Times New Roman" w:eastAsia="仿宋_GB2312"/>
          <w:kern w:val="0"/>
          <w:position w:val="-24"/>
          <w:sz w:val="32"/>
          <w:szCs w:val="32"/>
        </w:rPr>
        <w:object>
          <v:shape id="_x0000_i1049" o:spt="75" type="#_x0000_t75" style="height:30.75pt;width:77.25pt;" o:ole="t" filled="f" o:preferrelative="t" stroked="f" coordsize="21600,21600">
            <v:path/>
            <v:fill on="f" focussize="0,0"/>
            <v:stroke on="f" joinstyle="miter"/>
            <v:imagedata r:id="rId35" o:title=""/>
            <o:lock v:ext="edit" aspectratio="t"/>
            <w10:wrap type="none"/>
            <w10:anchorlock/>
          </v:shape>
          <o:OLEObject Type="Embed" ProgID="Equation.3" ShapeID="_x0000_i1049" DrawAspect="Content" ObjectID="_1468075749" r:id="rId46">
            <o:LockedField>false</o:LockedField>
          </o:OLEObject>
        </w:object>
      </w:r>
      <w:r>
        <w:rPr>
          <w:rFonts w:ascii="Times New Roman" w:hAnsi="Times New Roman" w:eastAsia="仿宋_GB2312"/>
          <w:kern w:val="0"/>
          <w:sz w:val="32"/>
          <w:szCs w:val="32"/>
        </w:rPr>
        <w:t>...........................................(4)</w:t>
      </w:r>
    </w:p>
    <w:p w14:paraId="32EE3697">
      <w:pPr>
        <w:rPr>
          <w:rFonts w:ascii="Times New Roman" w:hAnsi="Times New Roman" w:eastAsia="仿宋_GB2312"/>
          <w:kern w:val="0"/>
          <w:sz w:val="32"/>
          <w:szCs w:val="32"/>
        </w:rPr>
      </w:pPr>
      <w:r>
        <w:rPr>
          <w:rFonts w:ascii="Times New Roman" w:hAnsi="Times New Roman" w:eastAsia="仿宋_GB2312"/>
          <w:kern w:val="0"/>
          <w:position w:val="-6"/>
          <w:sz w:val="32"/>
          <w:szCs w:val="32"/>
        </w:rPr>
        <w:object>
          <v:shape id="_x0000_i1050" o:spt="75" type="#_x0000_t75" style="height:15pt;width:21pt;" o:ole="t" filled="f" o:preferrelative="t" stroked="f" coordsize="21600,21600">
            <v:path/>
            <v:fill on="f" focussize="0,0"/>
            <v:stroke on="f" joinstyle="miter"/>
            <v:imagedata r:id="rId37" o:title=""/>
            <o:lock v:ext="edit" aspectratio="t"/>
            <w10:wrap type="none"/>
            <w10:anchorlock/>
          </v:shape>
          <o:OLEObject Type="Embed" ProgID="Equation.3" ShapeID="_x0000_i1050" DrawAspect="Content" ObjectID="_1468075750" r:id="rId47">
            <o:LockedField>false</o:LockedField>
          </o:OLEObject>
        </w:object>
      </w:r>
      <w:r>
        <w:rPr>
          <w:rFonts w:ascii="Times New Roman" w:hAnsi="Times New Roman" w:eastAsia="仿宋_GB2312"/>
          <w:kern w:val="0"/>
          <w:sz w:val="32"/>
          <w:szCs w:val="32"/>
        </w:rPr>
        <w:t>—</w:t>
      </w:r>
      <w:r>
        <w:rPr>
          <w:rFonts w:hint="eastAsia" w:ascii="Times New Roman" w:hAnsi="Times New Roman" w:eastAsia="仿宋_GB2312"/>
          <w:kern w:val="0"/>
          <w:sz w:val="32"/>
          <w:szCs w:val="32"/>
        </w:rPr>
        <w:t>变异系数；</w:t>
      </w:r>
    </w:p>
    <w:p w14:paraId="77B11A6A">
      <w:pPr>
        <w:rPr>
          <w:rFonts w:ascii="Times New Roman" w:hAnsi="Times New Roman" w:eastAsia="仿宋_GB2312"/>
          <w:kern w:val="0"/>
          <w:sz w:val="32"/>
          <w:szCs w:val="32"/>
        </w:rPr>
      </w:pPr>
      <w:r>
        <w:rPr>
          <w:rFonts w:ascii="Times New Roman" w:hAnsi="Times New Roman" w:eastAsia="仿宋_GB2312"/>
          <w:kern w:val="0"/>
          <w:position w:val="-6"/>
          <w:sz w:val="32"/>
          <w:szCs w:val="32"/>
        </w:rPr>
        <w:object>
          <v:shape id="_x0000_i1051" o:spt="75" type="#_x0000_t75" style="height:11.25pt;width:9pt;" o:ole="t" filled="f" o:preferrelative="t" stroked="f" coordsize="21600,21600">
            <v:path/>
            <v:fill on="f" focussize="0,0"/>
            <v:stroke on="f" joinstyle="miter"/>
            <v:imagedata r:id="rId39" o:title=""/>
            <o:lock v:ext="edit" aspectratio="t"/>
            <w10:wrap type="none"/>
            <w10:anchorlock/>
          </v:shape>
          <o:OLEObject Type="Embed" ProgID="Equation.3" ShapeID="_x0000_i1051" DrawAspect="Content" ObjectID="_1468075751" r:id="rId48">
            <o:LockedField>false</o:LockedField>
          </o:OLEObject>
        </w:object>
      </w:r>
      <w:r>
        <w:rPr>
          <w:rFonts w:ascii="Times New Roman" w:hAnsi="Times New Roman" w:eastAsia="仿宋_GB2312"/>
          <w:kern w:val="0"/>
          <w:sz w:val="32"/>
          <w:szCs w:val="32"/>
        </w:rPr>
        <w:t>—30</w:t>
      </w:r>
      <w:r>
        <w:rPr>
          <w:rFonts w:hint="eastAsia" w:ascii="Times New Roman" w:hAnsi="Times New Roman" w:eastAsia="仿宋_GB2312"/>
          <w:kern w:val="0"/>
          <w:sz w:val="32"/>
          <w:szCs w:val="32"/>
        </w:rPr>
        <w:t>次测定结果的标准差；</w:t>
      </w:r>
    </w:p>
    <w:p w14:paraId="604F535C">
      <w:pPr>
        <w:rPr>
          <w:rFonts w:ascii="Times New Roman" w:hAnsi="Times New Roman" w:eastAsia="仿宋_GB2312"/>
          <w:kern w:val="0"/>
          <w:sz w:val="32"/>
          <w:szCs w:val="32"/>
        </w:rPr>
      </w:pPr>
      <w:r>
        <w:rPr>
          <w:rFonts w:ascii="Times New Roman" w:hAnsi="Times New Roman" w:eastAsia="仿宋_GB2312"/>
          <w:kern w:val="0"/>
          <w:position w:val="-6"/>
          <w:sz w:val="32"/>
          <w:szCs w:val="32"/>
        </w:rPr>
        <w:object>
          <v:shape id="_x0000_i1052" o:spt="75" type="#_x0000_t75" style="height:17.25pt;width:9.75pt;" o:ole="t" filled="f" o:preferrelative="t" stroked="f" coordsize="21600,21600">
            <v:path/>
            <v:fill on="f" focussize="0,0"/>
            <v:stroke on="f" joinstyle="miter"/>
            <v:imagedata r:id="rId41" o:title=""/>
            <o:lock v:ext="edit" aspectratio="t"/>
            <w10:wrap type="none"/>
            <w10:anchorlock/>
          </v:shape>
          <o:OLEObject Type="Embed" ProgID="Equation.3" ShapeID="_x0000_i1052" DrawAspect="Content" ObjectID="_1468075752" r:id="rId49">
            <o:LockedField>false</o:LockedField>
          </o:OLEObject>
        </w:object>
      </w:r>
      <w:r>
        <w:rPr>
          <w:rFonts w:ascii="Times New Roman" w:hAnsi="Times New Roman" w:eastAsia="仿宋_GB2312"/>
          <w:kern w:val="0"/>
          <w:sz w:val="32"/>
          <w:szCs w:val="32"/>
        </w:rPr>
        <w:t>—30</w:t>
      </w:r>
      <w:r>
        <w:rPr>
          <w:rFonts w:hint="eastAsia" w:ascii="Times New Roman" w:hAnsi="Times New Roman" w:eastAsia="仿宋_GB2312"/>
          <w:kern w:val="0"/>
          <w:sz w:val="32"/>
          <w:szCs w:val="32"/>
        </w:rPr>
        <w:t>次测量结果的平均值；</w:t>
      </w:r>
    </w:p>
    <w:p w14:paraId="5E3DDE31">
      <w:pPr>
        <w:pStyle w:val="11"/>
        <w:ind w:firstLine="645" w:firstLineChars="0"/>
        <w:rPr>
          <w:rFonts w:eastAsia="仿宋_GB2312"/>
          <w:sz w:val="32"/>
          <w:szCs w:val="32"/>
        </w:rPr>
      </w:pPr>
      <w:r>
        <w:rPr>
          <w:rFonts w:eastAsia="仿宋_GB2312"/>
          <w:sz w:val="32"/>
          <w:szCs w:val="32"/>
        </w:rPr>
        <w:t>5.</w:t>
      </w:r>
      <w:r>
        <w:rPr>
          <w:rFonts w:hint="eastAsia" w:eastAsia="仿宋_GB2312"/>
          <w:sz w:val="32"/>
          <w:szCs w:val="32"/>
        </w:rPr>
        <w:t>分析特异性</w:t>
      </w:r>
    </w:p>
    <w:p w14:paraId="0681DB9D">
      <w:pPr>
        <w:overflowPunct w:val="0"/>
        <w:spacing w:line="520" w:lineRule="exact"/>
        <w:ind w:firstLine="640" w:firstLineChars="200"/>
        <w:rPr>
          <w:rFonts w:eastAsia="仿宋_GB2312"/>
          <w:sz w:val="32"/>
          <w:szCs w:val="32"/>
        </w:rPr>
      </w:pPr>
      <w:r>
        <w:rPr>
          <w:rFonts w:eastAsia="仿宋_GB2312"/>
          <w:sz w:val="32"/>
          <w:szCs w:val="32"/>
        </w:rPr>
        <w:t>5.1</w:t>
      </w:r>
      <w:r>
        <w:rPr>
          <w:rFonts w:hint="eastAsia" w:eastAsia="仿宋_GB2312"/>
          <w:sz w:val="32"/>
          <w:szCs w:val="32"/>
        </w:rPr>
        <w:t>交叉反应：易产生交叉反应的其他抗原、抗体等的验证情况，应重点验证</w:t>
      </w:r>
      <w:r>
        <w:rPr>
          <w:rFonts w:hint="eastAsia" w:eastAsia="仿宋_GB2312"/>
          <w:kern w:val="0"/>
          <w:sz w:val="32"/>
          <w:szCs w:val="32"/>
        </w:rPr>
        <w:t>胃蛋白酶原</w:t>
      </w:r>
      <w:r>
        <w:rPr>
          <w:rFonts w:eastAsia="仿宋_GB2312"/>
          <w:kern w:val="0"/>
          <w:sz w:val="32"/>
          <w:szCs w:val="32"/>
        </w:rPr>
        <w:t>I</w:t>
      </w:r>
      <w:r>
        <w:rPr>
          <w:rFonts w:hint="eastAsia" w:eastAsia="仿宋_GB2312"/>
          <w:kern w:val="0"/>
          <w:sz w:val="32"/>
          <w:szCs w:val="32"/>
        </w:rPr>
        <w:t>和胃蛋白酶原</w:t>
      </w:r>
      <w:r>
        <w:rPr>
          <w:rFonts w:eastAsia="仿宋_GB2312"/>
          <w:kern w:val="0"/>
          <w:sz w:val="32"/>
          <w:szCs w:val="32"/>
        </w:rPr>
        <w:t>II</w:t>
      </w:r>
      <w:r>
        <w:rPr>
          <w:rFonts w:hint="eastAsia" w:eastAsia="仿宋_GB2312"/>
          <w:kern w:val="0"/>
          <w:sz w:val="32"/>
          <w:szCs w:val="32"/>
        </w:rPr>
        <w:t>之间的交叉反应</w:t>
      </w:r>
      <w:r>
        <w:rPr>
          <w:rFonts w:hint="eastAsia" w:eastAsia="仿宋_GB2312"/>
          <w:sz w:val="32"/>
          <w:szCs w:val="32"/>
        </w:rPr>
        <w:t>情况，交叉反应物质的浓度应至少包括人体生理及病理状态下可能出现的物质浓度。</w:t>
      </w:r>
    </w:p>
    <w:p w14:paraId="3ED2D965">
      <w:pPr>
        <w:overflowPunct w:val="0"/>
        <w:spacing w:line="520" w:lineRule="exact"/>
        <w:ind w:firstLine="640" w:firstLineChars="200"/>
        <w:rPr>
          <w:rFonts w:eastAsia="仿宋_GB2312"/>
          <w:sz w:val="32"/>
          <w:szCs w:val="32"/>
        </w:rPr>
      </w:pPr>
      <w:r>
        <w:rPr>
          <w:rFonts w:eastAsia="仿宋_GB2312"/>
          <w:sz w:val="32"/>
          <w:szCs w:val="32"/>
        </w:rPr>
        <w:t>5.2</w:t>
      </w:r>
      <w:r>
        <w:rPr>
          <w:rFonts w:hint="eastAsia" w:eastAsia="仿宋_GB2312"/>
          <w:sz w:val="32"/>
          <w:szCs w:val="32"/>
        </w:rPr>
        <w:t>干扰物质：</w:t>
      </w:r>
    </w:p>
    <w:p w14:paraId="39EADCD8">
      <w:pPr>
        <w:overflowPunct w:val="0"/>
        <w:spacing w:line="520" w:lineRule="exact"/>
        <w:ind w:firstLine="640" w:firstLineChars="200"/>
        <w:rPr>
          <w:rFonts w:eastAsia="仿宋_GB2312"/>
          <w:sz w:val="32"/>
          <w:szCs w:val="32"/>
        </w:rPr>
      </w:pPr>
      <w:r>
        <w:rPr>
          <w:rFonts w:eastAsia="仿宋_GB2312"/>
          <w:sz w:val="32"/>
          <w:szCs w:val="32"/>
        </w:rPr>
        <w:t>5.2.1</w:t>
      </w:r>
      <w:r>
        <w:rPr>
          <w:rFonts w:hint="eastAsia" w:eastAsia="仿宋_GB2312"/>
          <w:sz w:val="32"/>
          <w:szCs w:val="32"/>
        </w:rPr>
        <w:t>内源性干扰物质</w:t>
      </w:r>
    </w:p>
    <w:p w14:paraId="02272C8E">
      <w:pPr>
        <w:overflowPunct w:val="0"/>
        <w:spacing w:line="520" w:lineRule="exact"/>
        <w:ind w:firstLine="640" w:firstLineChars="200"/>
        <w:rPr>
          <w:rFonts w:eastAsia="仿宋_GB2312"/>
          <w:sz w:val="32"/>
          <w:szCs w:val="32"/>
        </w:rPr>
      </w:pPr>
      <w:r>
        <w:rPr>
          <w:rFonts w:hint="eastAsia" w:eastAsia="仿宋_GB2312"/>
          <w:sz w:val="32"/>
          <w:szCs w:val="32"/>
        </w:rPr>
        <w:t>应评价样本中常见的干扰物质对检测结果的影响，如甘油三酯、胆红素、血红蛋白、类风湿因子等干扰因子等。</w:t>
      </w:r>
    </w:p>
    <w:p w14:paraId="33E4EE25">
      <w:pPr>
        <w:overflowPunct w:val="0"/>
        <w:spacing w:line="520" w:lineRule="exact"/>
        <w:ind w:firstLine="640" w:firstLineChars="200"/>
        <w:rPr>
          <w:rFonts w:eastAsia="仿宋_GB2312"/>
          <w:sz w:val="32"/>
          <w:szCs w:val="32"/>
        </w:rPr>
      </w:pPr>
      <w:r>
        <w:rPr>
          <w:rFonts w:hint="eastAsia" w:eastAsia="仿宋_GB2312"/>
          <w:sz w:val="32"/>
          <w:szCs w:val="32"/>
        </w:rPr>
        <w:t>干扰物质的浓度应至少包括人体生理及病理状态下可能出现的物质浓度，评价</w:t>
      </w:r>
      <w:r>
        <w:rPr>
          <w:rFonts w:hint="eastAsia" w:eastAsia="仿宋_GB2312"/>
          <w:kern w:val="0"/>
          <w:sz w:val="32"/>
          <w:szCs w:val="32"/>
        </w:rPr>
        <w:t>胃蛋白酶原</w:t>
      </w:r>
      <w:r>
        <w:rPr>
          <w:rFonts w:eastAsia="仿宋_GB2312"/>
          <w:kern w:val="0"/>
          <w:sz w:val="32"/>
          <w:szCs w:val="32"/>
        </w:rPr>
        <w:t>I/II</w:t>
      </w:r>
      <w:r>
        <w:rPr>
          <w:rFonts w:hint="eastAsia" w:eastAsia="仿宋_GB2312"/>
          <w:sz w:val="32"/>
          <w:szCs w:val="32"/>
        </w:rPr>
        <w:t>样本浓度应至少包含临近医学决定水平。</w:t>
      </w:r>
    </w:p>
    <w:p w14:paraId="7090E1E0">
      <w:pPr>
        <w:overflowPunct w:val="0"/>
        <w:spacing w:line="520" w:lineRule="exact"/>
        <w:ind w:firstLine="640" w:firstLineChars="200"/>
        <w:rPr>
          <w:rFonts w:eastAsia="仿宋_GB2312"/>
          <w:sz w:val="32"/>
          <w:szCs w:val="32"/>
        </w:rPr>
      </w:pPr>
      <w:r>
        <w:rPr>
          <w:rFonts w:hint="eastAsia" w:eastAsia="仿宋_GB2312"/>
          <w:sz w:val="32"/>
          <w:szCs w:val="32"/>
        </w:rPr>
        <w:t>应重点评价</w:t>
      </w:r>
      <w:r>
        <w:rPr>
          <w:rFonts w:hint="eastAsia" w:eastAsia="仿宋_GB2312"/>
          <w:kern w:val="0"/>
          <w:sz w:val="32"/>
          <w:szCs w:val="32"/>
        </w:rPr>
        <w:t>胃蛋白酶原</w:t>
      </w:r>
      <w:r>
        <w:rPr>
          <w:rFonts w:eastAsia="仿宋_GB2312"/>
          <w:kern w:val="0"/>
          <w:sz w:val="32"/>
          <w:szCs w:val="32"/>
        </w:rPr>
        <w:t>I/II</w:t>
      </w:r>
      <w:r>
        <w:rPr>
          <w:rFonts w:hint="eastAsia" w:eastAsia="仿宋_GB2312"/>
          <w:kern w:val="0"/>
          <w:sz w:val="32"/>
          <w:szCs w:val="32"/>
        </w:rPr>
        <w:t>之间的相互干扰，使用胃蛋白酶原</w:t>
      </w:r>
      <w:r>
        <w:rPr>
          <w:rFonts w:eastAsia="仿宋_GB2312"/>
          <w:kern w:val="0"/>
          <w:sz w:val="32"/>
          <w:szCs w:val="32"/>
        </w:rPr>
        <w:t>I</w:t>
      </w:r>
      <w:r>
        <w:rPr>
          <w:rFonts w:hint="eastAsia" w:eastAsia="仿宋_GB2312"/>
          <w:kern w:val="0"/>
          <w:sz w:val="32"/>
          <w:szCs w:val="32"/>
        </w:rPr>
        <w:t>试剂测定浓度不低于</w:t>
      </w:r>
      <w:r>
        <w:rPr>
          <w:rFonts w:eastAsia="仿宋_GB2312"/>
          <w:kern w:val="0"/>
          <w:sz w:val="32"/>
          <w:szCs w:val="32"/>
        </w:rPr>
        <w:t>200ng/mL</w:t>
      </w:r>
      <w:r>
        <w:rPr>
          <w:rFonts w:hint="eastAsia" w:eastAsia="仿宋_GB2312"/>
          <w:kern w:val="0"/>
          <w:sz w:val="32"/>
          <w:szCs w:val="32"/>
        </w:rPr>
        <w:t>的胃蛋白酶原</w:t>
      </w:r>
      <w:r>
        <w:rPr>
          <w:rFonts w:eastAsia="仿宋_GB2312"/>
          <w:kern w:val="0"/>
          <w:sz w:val="32"/>
          <w:szCs w:val="32"/>
        </w:rPr>
        <w:t>II</w:t>
      </w:r>
      <w:r>
        <w:rPr>
          <w:rFonts w:hint="eastAsia" w:eastAsia="仿宋_GB2312"/>
          <w:kern w:val="0"/>
          <w:sz w:val="32"/>
          <w:szCs w:val="32"/>
        </w:rPr>
        <w:t>样本，其测定结果应不高于</w:t>
      </w:r>
      <w:r>
        <w:rPr>
          <w:rFonts w:eastAsia="仿宋_GB2312"/>
          <w:kern w:val="0"/>
          <w:sz w:val="32"/>
          <w:szCs w:val="32"/>
        </w:rPr>
        <w:t>1.0ng/mL</w:t>
      </w:r>
      <w:r>
        <w:rPr>
          <w:rFonts w:hint="eastAsia" w:eastAsia="仿宋_GB2312"/>
          <w:kern w:val="0"/>
          <w:sz w:val="32"/>
          <w:szCs w:val="32"/>
        </w:rPr>
        <w:t>；使用胃蛋白酶原</w:t>
      </w:r>
      <w:r>
        <w:rPr>
          <w:rFonts w:eastAsia="仿宋_GB2312"/>
          <w:kern w:val="0"/>
          <w:sz w:val="32"/>
          <w:szCs w:val="32"/>
        </w:rPr>
        <w:t>II</w:t>
      </w:r>
      <w:r>
        <w:rPr>
          <w:rFonts w:hint="eastAsia" w:eastAsia="仿宋_GB2312"/>
          <w:kern w:val="0"/>
          <w:sz w:val="32"/>
          <w:szCs w:val="32"/>
        </w:rPr>
        <w:t>试剂测定浓度不低于</w:t>
      </w:r>
      <w:r>
        <w:rPr>
          <w:rFonts w:eastAsia="仿宋_GB2312"/>
          <w:kern w:val="0"/>
          <w:sz w:val="32"/>
          <w:szCs w:val="32"/>
        </w:rPr>
        <w:t>100ng/mL</w:t>
      </w:r>
      <w:r>
        <w:rPr>
          <w:rFonts w:hint="eastAsia" w:eastAsia="仿宋_GB2312"/>
          <w:kern w:val="0"/>
          <w:sz w:val="32"/>
          <w:szCs w:val="32"/>
        </w:rPr>
        <w:t>的胃蛋白酶原</w:t>
      </w:r>
      <w:r>
        <w:rPr>
          <w:rFonts w:eastAsia="仿宋_GB2312"/>
          <w:kern w:val="0"/>
          <w:sz w:val="32"/>
          <w:szCs w:val="32"/>
        </w:rPr>
        <w:t>I</w:t>
      </w:r>
      <w:r>
        <w:rPr>
          <w:rFonts w:hint="eastAsia" w:eastAsia="仿宋_GB2312"/>
          <w:kern w:val="0"/>
          <w:sz w:val="32"/>
          <w:szCs w:val="32"/>
        </w:rPr>
        <w:t>样本，其测定结果应不高于</w:t>
      </w:r>
      <w:r>
        <w:rPr>
          <w:rFonts w:eastAsia="仿宋_GB2312"/>
          <w:kern w:val="0"/>
          <w:sz w:val="32"/>
          <w:szCs w:val="32"/>
        </w:rPr>
        <w:t>0.5ng/mL</w:t>
      </w:r>
      <w:r>
        <w:rPr>
          <w:rFonts w:hint="eastAsia" w:eastAsia="仿宋_GB2312"/>
          <w:kern w:val="0"/>
          <w:sz w:val="32"/>
          <w:szCs w:val="32"/>
        </w:rPr>
        <w:t>。</w:t>
      </w:r>
    </w:p>
    <w:p w14:paraId="01363674">
      <w:pPr>
        <w:overflowPunct w:val="0"/>
        <w:spacing w:line="520" w:lineRule="exact"/>
        <w:ind w:firstLine="640" w:firstLineChars="200"/>
        <w:rPr>
          <w:rFonts w:eastAsia="仿宋_GB2312"/>
          <w:sz w:val="32"/>
          <w:szCs w:val="32"/>
        </w:rPr>
      </w:pPr>
      <w:r>
        <w:rPr>
          <w:rFonts w:eastAsia="仿宋_GB2312"/>
          <w:sz w:val="32"/>
          <w:szCs w:val="32"/>
        </w:rPr>
        <w:t>5.2.2</w:t>
      </w:r>
      <w:r>
        <w:rPr>
          <w:rFonts w:hint="eastAsia" w:eastAsia="仿宋_GB2312"/>
          <w:sz w:val="32"/>
          <w:szCs w:val="32"/>
        </w:rPr>
        <w:t>样本添加剂的干扰</w:t>
      </w:r>
    </w:p>
    <w:p w14:paraId="17D3BF28">
      <w:pPr>
        <w:overflowPunct w:val="0"/>
        <w:spacing w:line="520" w:lineRule="exact"/>
        <w:ind w:firstLine="640" w:firstLineChars="200"/>
        <w:rPr>
          <w:rFonts w:eastAsia="仿宋_GB2312"/>
          <w:sz w:val="32"/>
          <w:szCs w:val="32"/>
        </w:rPr>
      </w:pPr>
      <w:r>
        <w:rPr>
          <w:rFonts w:hint="eastAsia" w:eastAsia="仿宋_GB2312"/>
          <w:sz w:val="32"/>
          <w:szCs w:val="32"/>
        </w:rPr>
        <w:t>如果试剂适用的样本类型包括</w:t>
      </w:r>
      <w:r>
        <w:rPr>
          <w:rFonts w:hint="eastAsia" w:eastAsia="仿宋_GB2312"/>
          <w:bCs/>
          <w:sz w:val="32"/>
          <w:szCs w:val="32"/>
        </w:rPr>
        <w:t>血浆</w:t>
      </w:r>
      <w:r>
        <w:rPr>
          <w:rFonts w:eastAsia="仿宋_GB2312"/>
          <w:bCs/>
          <w:sz w:val="32"/>
          <w:szCs w:val="32"/>
        </w:rPr>
        <w:t>/</w:t>
      </w:r>
      <w:r>
        <w:rPr>
          <w:rFonts w:hint="eastAsia" w:eastAsia="仿宋_GB2312"/>
          <w:bCs/>
          <w:sz w:val="32"/>
          <w:szCs w:val="32"/>
        </w:rPr>
        <w:t>全血样本，应评价试剂说明书中声称的抗凝剂对检测结果的影响。应使用临床实际使用的抗凝剂浓度进行添加模拟验证，</w:t>
      </w:r>
      <w:r>
        <w:rPr>
          <w:rFonts w:hint="eastAsia" w:eastAsia="仿宋_GB2312"/>
          <w:sz w:val="32"/>
          <w:szCs w:val="32"/>
        </w:rPr>
        <w:t>评价</w:t>
      </w:r>
      <w:r>
        <w:rPr>
          <w:rFonts w:hint="eastAsia" w:eastAsia="仿宋_GB2312"/>
          <w:kern w:val="0"/>
          <w:sz w:val="32"/>
          <w:szCs w:val="32"/>
        </w:rPr>
        <w:t>胃蛋白酶原</w:t>
      </w:r>
      <w:r>
        <w:rPr>
          <w:rFonts w:eastAsia="仿宋_GB2312"/>
          <w:kern w:val="0"/>
          <w:sz w:val="32"/>
          <w:szCs w:val="32"/>
        </w:rPr>
        <w:t>I/II</w:t>
      </w:r>
      <w:r>
        <w:rPr>
          <w:rFonts w:hint="eastAsia" w:eastAsia="仿宋_GB2312"/>
          <w:sz w:val="32"/>
          <w:szCs w:val="32"/>
        </w:rPr>
        <w:t>样本浓度应至少包含阴性和临近医学决定水平两个浓度。</w:t>
      </w:r>
    </w:p>
    <w:p w14:paraId="31593228">
      <w:pPr>
        <w:overflowPunct w:val="0"/>
        <w:spacing w:line="520" w:lineRule="exact"/>
        <w:ind w:firstLine="640" w:firstLineChars="200"/>
        <w:rPr>
          <w:rFonts w:eastAsia="仿宋_GB2312"/>
          <w:sz w:val="32"/>
          <w:szCs w:val="32"/>
        </w:rPr>
      </w:pPr>
      <w:r>
        <w:rPr>
          <w:rFonts w:eastAsia="仿宋_GB2312"/>
          <w:sz w:val="32"/>
          <w:szCs w:val="32"/>
        </w:rPr>
        <w:t>5.2.3</w:t>
      </w:r>
      <w:r>
        <w:rPr>
          <w:rFonts w:hint="eastAsia" w:eastAsia="仿宋_GB2312"/>
          <w:sz w:val="32"/>
          <w:szCs w:val="32"/>
        </w:rPr>
        <w:t>药物干扰</w:t>
      </w:r>
    </w:p>
    <w:p w14:paraId="45E5F898">
      <w:pPr>
        <w:overflowPunct w:val="0"/>
        <w:spacing w:line="520" w:lineRule="exact"/>
        <w:ind w:firstLine="640" w:firstLineChars="200"/>
        <w:rPr>
          <w:rFonts w:eastAsia="仿宋_GB2312"/>
          <w:sz w:val="32"/>
          <w:szCs w:val="32"/>
        </w:rPr>
      </w:pPr>
      <w:r>
        <w:rPr>
          <w:rFonts w:hint="eastAsia" w:eastAsia="仿宋_GB2312"/>
          <w:sz w:val="32"/>
          <w:szCs w:val="32"/>
        </w:rPr>
        <w:t>药物干扰的研究可根据需要由申请人选择是否进行或选择何种药物及其浓度进行。</w:t>
      </w:r>
    </w:p>
    <w:p w14:paraId="227EA910">
      <w:pPr>
        <w:pStyle w:val="11"/>
        <w:ind w:firstLine="640"/>
        <w:rPr>
          <w:rFonts w:eastAsia="仿宋_GB2312"/>
          <w:sz w:val="32"/>
          <w:szCs w:val="32"/>
        </w:rPr>
      </w:pPr>
      <w:r>
        <w:rPr>
          <w:rFonts w:eastAsia="仿宋_GB2312"/>
          <w:sz w:val="32"/>
          <w:szCs w:val="32"/>
        </w:rPr>
        <w:t>6.</w:t>
      </w:r>
      <w:r>
        <w:t xml:space="preserve"> </w:t>
      </w:r>
      <w:r>
        <w:rPr>
          <w:rFonts w:hint="eastAsia" w:eastAsia="仿宋_GB2312"/>
          <w:sz w:val="32"/>
          <w:szCs w:val="32"/>
        </w:rPr>
        <w:t>校准品及质控品（如适用）</w:t>
      </w:r>
    </w:p>
    <w:p w14:paraId="702891B1">
      <w:pPr>
        <w:pStyle w:val="11"/>
        <w:ind w:firstLine="645" w:firstLineChars="0"/>
        <w:rPr>
          <w:rFonts w:eastAsia="仿宋_GB2312"/>
          <w:sz w:val="32"/>
          <w:szCs w:val="32"/>
        </w:rPr>
      </w:pPr>
      <w:r>
        <w:rPr>
          <w:rFonts w:hint="eastAsia" w:eastAsia="仿宋_GB2312"/>
          <w:sz w:val="32"/>
          <w:szCs w:val="32"/>
        </w:rPr>
        <w:t>参照</w:t>
      </w:r>
      <w:r>
        <w:rPr>
          <w:rFonts w:eastAsia="仿宋_GB2312"/>
          <w:sz w:val="32"/>
          <w:szCs w:val="32"/>
        </w:rPr>
        <w:t>GB/T 21415--2008</w:t>
      </w:r>
      <w:r>
        <w:rPr>
          <w:rFonts w:hint="eastAsia" w:eastAsia="仿宋_GB2312"/>
          <w:sz w:val="32"/>
          <w:szCs w:val="32"/>
        </w:rPr>
        <w:t>《体外诊断医疗器械生物样品中量的测量校准品和控制物质赋值的计量学溯源性》的要求，提供企业（工作）校准品及试剂盒配套校准品的溯源、赋值过程以及测量不确定度相关资料，提供质控品赋值及其靶值范围确定的相关资料。同时，应对校准品、质控品的赋值结果的瓶内均匀性、瓶间均匀性以及其赋值结果的准确度进行评价。</w:t>
      </w:r>
    </w:p>
    <w:p w14:paraId="5F6A2D0F">
      <w:pPr>
        <w:adjustRightInd w:val="0"/>
        <w:snapToGrid w:val="0"/>
        <w:spacing w:line="560" w:lineRule="exact"/>
        <w:ind w:firstLine="640" w:firstLineChars="200"/>
        <w:jc w:val="left"/>
        <w:rPr>
          <w:rFonts w:eastAsia="仿宋_GB2312"/>
          <w:sz w:val="32"/>
          <w:szCs w:val="32"/>
        </w:rPr>
      </w:pPr>
      <w:r>
        <w:rPr>
          <w:rFonts w:hint="eastAsia" w:eastAsia="仿宋_GB2312"/>
          <w:sz w:val="32"/>
          <w:szCs w:val="32"/>
        </w:rPr>
        <w:t>校准品应当提交完整的溯源性文件。</w:t>
      </w:r>
    </w:p>
    <w:p w14:paraId="074F78BC">
      <w:pPr>
        <w:adjustRightInd w:val="0"/>
        <w:snapToGrid w:val="0"/>
        <w:spacing w:line="560" w:lineRule="exact"/>
        <w:ind w:firstLine="640" w:firstLineChars="200"/>
        <w:jc w:val="left"/>
        <w:rPr>
          <w:rFonts w:eastAsia="仿宋_GB2312"/>
          <w:sz w:val="32"/>
          <w:szCs w:val="32"/>
        </w:rPr>
      </w:pPr>
      <w:r>
        <w:rPr>
          <w:rFonts w:hint="eastAsia" w:eastAsia="仿宋_GB2312"/>
          <w:sz w:val="32"/>
          <w:szCs w:val="32"/>
        </w:rPr>
        <w:t>质控品应当提交在所有适用机型上进行的定值资料。</w:t>
      </w:r>
    </w:p>
    <w:p w14:paraId="0ED78770">
      <w:pPr>
        <w:overflowPunct w:val="0"/>
        <w:spacing w:line="520" w:lineRule="exact"/>
        <w:ind w:firstLine="640" w:firstLineChars="200"/>
        <w:rPr>
          <w:rFonts w:eastAsia="仿宋_GB2312"/>
          <w:sz w:val="32"/>
          <w:szCs w:val="32"/>
        </w:rPr>
      </w:pPr>
      <w:r>
        <w:rPr>
          <w:rFonts w:eastAsia="仿宋_GB2312"/>
          <w:sz w:val="32"/>
          <w:szCs w:val="32"/>
        </w:rPr>
        <w:t>7. HOOK</w:t>
      </w:r>
      <w:r>
        <w:rPr>
          <w:rFonts w:hint="eastAsia" w:eastAsia="仿宋_GB2312"/>
          <w:sz w:val="32"/>
          <w:szCs w:val="32"/>
        </w:rPr>
        <w:t>效应</w:t>
      </w:r>
    </w:p>
    <w:p w14:paraId="7D737D92">
      <w:pPr>
        <w:overflowPunct w:val="0"/>
        <w:spacing w:line="520" w:lineRule="exact"/>
        <w:ind w:firstLine="640" w:firstLineChars="200"/>
        <w:rPr>
          <w:rFonts w:eastAsia="仿宋_GB2312"/>
          <w:bCs/>
          <w:sz w:val="32"/>
          <w:szCs w:val="32"/>
        </w:rPr>
      </w:pPr>
      <w:r>
        <w:rPr>
          <w:rFonts w:hint="eastAsia" w:eastAsia="仿宋_GB2312"/>
          <w:bCs/>
          <w:sz w:val="32"/>
          <w:szCs w:val="32"/>
        </w:rPr>
        <w:t>应提供</w:t>
      </w:r>
      <w:r>
        <w:rPr>
          <w:rFonts w:eastAsia="仿宋_GB2312"/>
          <w:bCs/>
          <w:sz w:val="32"/>
          <w:szCs w:val="32"/>
        </w:rPr>
        <w:t>HOOK</w:t>
      </w:r>
      <w:r>
        <w:rPr>
          <w:rFonts w:hint="eastAsia" w:eastAsia="仿宋_GB2312"/>
          <w:bCs/>
          <w:sz w:val="32"/>
          <w:szCs w:val="32"/>
        </w:rPr>
        <w:t>效应的浓度上限或相关研究，如需要对样本进行稀释，应注明对每种注明的稀释液要求、最佳或最大稀释比例。申请人应该在说明书中对</w:t>
      </w:r>
      <w:r>
        <w:rPr>
          <w:rFonts w:eastAsia="仿宋_GB2312"/>
          <w:bCs/>
          <w:sz w:val="32"/>
          <w:szCs w:val="32"/>
        </w:rPr>
        <w:t>HOOK</w:t>
      </w:r>
      <w:r>
        <w:rPr>
          <w:rFonts w:hint="eastAsia" w:eastAsia="仿宋_GB2312"/>
          <w:bCs/>
          <w:sz w:val="32"/>
          <w:szCs w:val="32"/>
        </w:rPr>
        <w:t>的研究进行说明。</w:t>
      </w:r>
    </w:p>
    <w:p w14:paraId="52A5387C">
      <w:pPr>
        <w:overflowPunct w:val="0"/>
        <w:spacing w:line="520" w:lineRule="exact"/>
        <w:ind w:firstLine="640" w:firstLineChars="200"/>
        <w:rPr>
          <w:rFonts w:eastAsia="仿宋_GB2312"/>
          <w:sz w:val="32"/>
          <w:szCs w:val="32"/>
        </w:rPr>
      </w:pPr>
      <w:r>
        <w:rPr>
          <w:rFonts w:eastAsia="仿宋_GB2312"/>
          <w:sz w:val="32"/>
          <w:szCs w:val="32"/>
        </w:rPr>
        <w:t>8.</w:t>
      </w:r>
      <w:r>
        <w:rPr>
          <w:rFonts w:hint="eastAsia" w:eastAsia="仿宋_GB2312"/>
          <w:sz w:val="32"/>
          <w:szCs w:val="32"/>
        </w:rPr>
        <w:t>其他需注意问题</w:t>
      </w:r>
    </w:p>
    <w:p w14:paraId="2774BCFF">
      <w:pPr>
        <w:overflowPunct w:val="0"/>
        <w:spacing w:line="520" w:lineRule="exact"/>
        <w:ind w:firstLine="640" w:firstLineChars="200"/>
        <w:rPr>
          <w:rFonts w:eastAsia="仿宋_GB2312"/>
          <w:sz w:val="32"/>
          <w:szCs w:val="32"/>
        </w:rPr>
      </w:pPr>
      <w:r>
        <w:rPr>
          <w:rFonts w:hint="eastAsia" w:eastAsia="仿宋_GB2312"/>
          <w:sz w:val="32"/>
          <w:szCs w:val="32"/>
        </w:rPr>
        <w:t>对于适用多个机型的产品，应提供产品说明书【适用机型】项中所列的所有型号仪器的性能评估资料，适用仪器包括为酶标仪则需给出对酶标仪配置的要求的研究资料。</w:t>
      </w:r>
    </w:p>
    <w:p w14:paraId="44835535">
      <w:pPr>
        <w:overflowPunct w:val="0"/>
        <w:spacing w:line="520" w:lineRule="exact"/>
        <w:ind w:firstLine="640" w:firstLineChars="200"/>
      </w:pPr>
      <w:r>
        <w:rPr>
          <w:rFonts w:hint="eastAsia" w:eastAsia="仿宋_GB2312"/>
          <w:sz w:val="32"/>
          <w:szCs w:val="32"/>
        </w:rPr>
        <w:t>如有多个包装规格，需要对不同包装规格之间的差异进行分析或验证，如不同包装规格产品间存在性能差异，需要提交采用每个包装规格产品进行分析性能评估的资料。如不同包装规格之间不存在性能差异，需要提交包装规格之间不存在性能差异的详细说明，具体说明不同包装规格之间的差别及可能产生的影响。</w:t>
      </w:r>
      <w:r>
        <w:rPr>
          <w:rFonts w:ascii="Times New Roman" w:hAnsi="Times New Roman" w:eastAsia="仿宋_GB2312"/>
          <w:sz w:val="32"/>
          <w:szCs w:val="32"/>
        </w:rPr>
        <w:t xml:space="preserve">    </w:t>
      </w:r>
    </w:p>
    <w:p w14:paraId="7D68B289">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（五）参考区间确定资料</w:t>
      </w:r>
    </w:p>
    <w:p w14:paraId="34961B45">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应当详细说明参考区间确定的方法或依据，说明确定参考区间所采用的样本来源，并提供阳性判断值或参考区间确定的详细试验资料及总结。应明确参考人群的筛选标准，研究各组（如性别、年龄等）例数应不少于120例。</w:t>
      </w:r>
    </w:p>
    <w:p w14:paraId="7DA0F650">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若引用针对中国人群参考区间研究的相关标准或指南，应明确说明出处，并使用临床样本进行验证。</w:t>
      </w:r>
      <w:r>
        <w:rPr>
          <w:rFonts w:hint="eastAsia" w:eastAsia="仿宋_GB2312"/>
          <w:bCs/>
          <w:sz w:val="32"/>
          <w:szCs w:val="32"/>
        </w:rPr>
        <w:t>验证样本应考虑不同年龄、性别因素，尽可能考虑样本来源的多样性、代表性。</w:t>
      </w:r>
    </w:p>
    <w:p w14:paraId="23164982">
      <w:pPr>
        <w:pStyle w:val="10"/>
        <w:spacing w:line="480" w:lineRule="exact"/>
        <w:ind w:firstLine="640"/>
      </w:pPr>
      <w:r>
        <w:rPr>
          <w:rFonts w:hint="eastAsia" w:ascii="Times New Roman" w:hAnsi="Times New Roman" w:eastAsia="仿宋_GB2312"/>
          <w:sz w:val="32"/>
          <w:szCs w:val="32"/>
        </w:rPr>
        <w:t>研究结果应在说明书【参考区间】项中进行相应说明。</w:t>
      </w:r>
    </w:p>
    <w:p w14:paraId="290ED02D">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（六）稳定性研究资料</w:t>
      </w:r>
    </w:p>
    <w:p w14:paraId="385520EB">
      <w:pPr>
        <w:adjustRightInd w:val="0"/>
        <w:snapToGrid w:val="0"/>
        <w:spacing w:line="560" w:lineRule="exact"/>
        <w:ind w:firstLine="600"/>
        <w:jc w:val="left"/>
        <w:rPr>
          <w:rFonts w:ascii="仿宋_GB2312" w:hAnsi="宋体" w:eastAsia="仿宋_GB2312"/>
          <w:b/>
          <w:bCs/>
          <w:sz w:val="30"/>
          <w:szCs w:val="30"/>
        </w:rPr>
      </w:pPr>
      <w:r>
        <w:rPr>
          <w:rFonts w:hint="eastAsia" w:ascii="Times New Roman" w:hAnsi="Times New Roman" w:eastAsia="仿宋_GB2312"/>
          <w:sz w:val="32"/>
          <w:szCs w:val="32"/>
        </w:rPr>
        <w:t>稳定性研究资料主要涉及两部分内容，申报试剂的稳定性和适用样本的稳定性研究，</w:t>
      </w:r>
      <w:r>
        <w:rPr>
          <w:rFonts w:hint="eastAsia" w:ascii="仿宋_GB2312" w:hAnsi="宋体" w:eastAsia="仿宋_GB2312"/>
          <w:sz w:val="30"/>
          <w:szCs w:val="30"/>
        </w:rPr>
        <w:t>应当详细说明稳定性研究方法的确定依据及具体试验方法、过程。</w:t>
      </w:r>
    </w:p>
    <w:p w14:paraId="34DCB7A8">
      <w:pPr>
        <w:pStyle w:val="11"/>
        <w:ind w:firstLine="640"/>
        <w:rPr>
          <w:rFonts w:ascii="Times New Roman" w:hAnsi="Times New Roman" w:eastAsia="仿宋_GB2312"/>
          <w:sz w:val="32"/>
          <w:szCs w:val="32"/>
        </w:rPr>
      </w:pPr>
      <w:r>
        <w:rPr>
          <w:rFonts w:hint="eastAsia" w:ascii="Times New Roman" w:hAnsi="Times New Roman" w:eastAsia="仿宋_GB2312"/>
          <w:sz w:val="32"/>
          <w:szCs w:val="32"/>
        </w:rPr>
        <w:t>试剂的稳定性主要包括实时稳定性研究，以及试剂开瓶稳定性（如适用）、复溶稳定性（如适用）、运输稳定性及冻融次数限制（如适用）等研究，申请人可根据实际需要选择合理的稳定性研究方案。试剂稳定性应包括</w:t>
      </w:r>
      <w:r>
        <w:rPr>
          <w:rFonts w:hint="eastAsia" w:ascii="仿宋_GB2312" w:hAnsi="宋体" w:eastAsia="仿宋_GB2312"/>
          <w:sz w:val="30"/>
          <w:szCs w:val="30"/>
        </w:rPr>
        <w:t>至少三批样品在实际储存条件下保存至成品有效期后的实时稳定性研究资料，并应当充分考虑产品在储存、运输和使用过程中的不利条件，进行相应的稳定性研究。</w:t>
      </w:r>
    </w:p>
    <w:p w14:paraId="127E6B2C">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适用样本的稳定性主要包括室温保存、冷藏或冷冻条件下的有效期验证，适用冷冻保存的样本应对冻融次数进行评价。</w:t>
      </w:r>
    </w:p>
    <w:p w14:paraId="16E220DF">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试剂稳定性和样本稳定性两部分内容的研究结果均应在说明书【储存条件及有效期】和【样本要求】两项中进行详细说明。</w:t>
      </w:r>
    </w:p>
    <w:p w14:paraId="7C13D317">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（七）临床评价资料</w:t>
      </w:r>
    </w:p>
    <w:p w14:paraId="1F960F85">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此项目已经列入《关于新修订免于进行临床试验医疗器械目录的通告》（国家药品监督管理局通告</w:t>
      </w:r>
      <w:r>
        <w:rPr>
          <w:rFonts w:ascii="Times New Roman" w:hAnsi="Times New Roman" w:eastAsia="仿宋_GB2312"/>
          <w:sz w:val="32"/>
          <w:szCs w:val="32"/>
        </w:rPr>
        <w:t>2018</w:t>
      </w:r>
      <w:r>
        <w:rPr>
          <w:rFonts w:hint="eastAsia" w:ascii="Times New Roman" w:hAnsi="Times New Roman" w:eastAsia="仿宋_GB2312"/>
          <w:sz w:val="32"/>
          <w:szCs w:val="32"/>
        </w:rPr>
        <w:t>年第</w:t>
      </w:r>
      <w:r>
        <w:rPr>
          <w:rFonts w:ascii="Times New Roman" w:hAnsi="Times New Roman" w:eastAsia="仿宋_GB2312"/>
          <w:sz w:val="32"/>
          <w:szCs w:val="32"/>
        </w:rPr>
        <w:t>94</w:t>
      </w:r>
      <w:r>
        <w:rPr>
          <w:rFonts w:hint="eastAsia" w:ascii="Times New Roman" w:hAnsi="Times New Roman" w:eastAsia="仿宋_GB2312"/>
          <w:sz w:val="32"/>
          <w:szCs w:val="32"/>
        </w:rPr>
        <w:t>号）中免于进行临床试验的体外诊断试剂目录。根据体外诊断试剂临床评价的相关要求，申请人可按照《免于进行临床试验的体外诊断试剂临床评价资料基本要求（试行）》（国家食品药品监督管理总局通告</w:t>
      </w:r>
      <w:r>
        <w:rPr>
          <w:rFonts w:ascii="Times New Roman" w:hAnsi="Times New Roman" w:eastAsia="仿宋_GB2312"/>
          <w:sz w:val="32"/>
          <w:szCs w:val="32"/>
        </w:rPr>
        <w:t>2017</w:t>
      </w:r>
      <w:r>
        <w:rPr>
          <w:rFonts w:hint="eastAsia" w:ascii="Times New Roman" w:hAnsi="Times New Roman" w:eastAsia="仿宋_GB2312"/>
          <w:sz w:val="32"/>
          <w:szCs w:val="32"/>
        </w:rPr>
        <w:t>年第</w:t>
      </w:r>
      <w:r>
        <w:rPr>
          <w:rFonts w:ascii="Times New Roman" w:hAnsi="Times New Roman" w:eastAsia="仿宋_GB2312"/>
          <w:sz w:val="32"/>
          <w:szCs w:val="32"/>
        </w:rPr>
        <w:t>179</w:t>
      </w:r>
      <w:r>
        <w:rPr>
          <w:rFonts w:hint="eastAsia" w:ascii="Times New Roman" w:hAnsi="Times New Roman" w:eastAsia="仿宋_GB2312"/>
          <w:sz w:val="32"/>
          <w:szCs w:val="32"/>
        </w:rPr>
        <w:t>号）要求进行临床评价。如无法按要求进行临床评价，应进行临床试验，临床试验的开展、方案的制定以及报告的撰写等均应符合相关法规及《体外诊断试剂临床试验技术指导原则》的要求。</w:t>
      </w:r>
    </w:p>
    <w:p w14:paraId="5ADE2606">
      <w:pPr>
        <w:pStyle w:val="10"/>
        <w:spacing w:line="480" w:lineRule="exact"/>
        <w:ind w:firstLine="640"/>
        <w:rPr>
          <w:rFonts w:ascii="等线" w:hAnsi="等线" w:eastAsia="仿宋_GB2312"/>
          <w:sz w:val="32"/>
          <w:szCs w:val="32"/>
        </w:rPr>
      </w:pPr>
      <w:r>
        <w:rPr>
          <w:rFonts w:hint="eastAsia" w:ascii="等线" w:hAnsi="等线" w:eastAsia="仿宋_GB2312"/>
          <w:sz w:val="32"/>
          <w:szCs w:val="32"/>
        </w:rPr>
        <w:t>（八）产品风险分析资料</w:t>
      </w:r>
    </w:p>
    <w:p w14:paraId="1765A3AD">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申请人应对产品寿命周期的各个环节，从预期用途、可能的使用错误、与安全性有关的特征、已知及可预见的危害等方面的判定以及对患者风险的估计进行风险分析、风险评价和相应的风险控制基础上，形成风险管理报告。风险分析活动和资料应符合</w:t>
      </w:r>
      <w:r>
        <w:rPr>
          <w:rFonts w:ascii="Times New Roman" w:hAnsi="Times New Roman" w:eastAsia="仿宋_GB2312"/>
          <w:sz w:val="32"/>
          <w:szCs w:val="32"/>
        </w:rPr>
        <w:t>YY/T 0316-2016</w:t>
      </w:r>
      <w:r>
        <w:rPr>
          <w:rFonts w:hint="eastAsia" w:ascii="Times New Roman" w:hAnsi="Times New Roman" w:eastAsia="仿宋_GB2312"/>
          <w:sz w:val="32"/>
          <w:szCs w:val="32"/>
        </w:rPr>
        <w:t>《医疗器械风险管理对医疗器械的应用》的要求。</w:t>
      </w:r>
    </w:p>
    <w:p w14:paraId="3144E21D">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（九）产品技术要求</w:t>
      </w:r>
    </w:p>
    <w:p w14:paraId="3AA34A34">
      <w:pPr>
        <w:overflowPunct w:val="0"/>
        <w:spacing w:line="520" w:lineRule="exact"/>
        <w:ind w:firstLine="640" w:firstLineChars="200"/>
        <w:rPr>
          <w:rFonts w:eastAsia="仿宋_GB2312"/>
          <w:bCs/>
          <w:sz w:val="32"/>
          <w:szCs w:val="32"/>
        </w:rPr>
      </w:pPr>
      <w:r>
        <w:rPr>
          <w:rFonts w:hint="eastAsia" w:ascii="Times New Roman" w:hAnsi="Times New Roman" w:eastAsia="仿宋_GB2312"/>
          <w:sz w:val="32"/>
          <w:szCs w:val="32"/>
        </w:rPr>
        <w:t>产品技术要求应符合</w:t>
      </w:r>
      <w:r>
        <w:rPr>
          <w:rFonts w:hint="eastAsia" w:eastAsia="仿宋_GB2312"/>
          <w:bCs/>
          <w:sz w:val="32"/>
          <w:szCs w:val="32"/>
        </w:rPr>
        <w:t>《体外诊断试剂注册管理办法》、《关于公布体外诊断试剂注册申报资料要求和批准证明文件格式的公告》（国家食品药品监督管理总局公告</w:t>
      </w:r>
      <w:r>
        <w:rPr>
          <w:rFonts w:eastAsia="仿宋_GB2312"/>
          <w:bCs/>
          <w:sz w:val="32"/>
          <w:szCs w:val="32"/>
        </w:rPr>
        <w:t xml:space="preserve"> 2014</w:t>
      </w:r>
      <w:r>
        <w:rPr>
          <w:rFonts w:hint="eastAsia" w:eastAsia="仿宋_GB2312"/>
          <w:bCs/>
          <w:sz w:val="32"/>
          <w:szCs w:val="32"/>
        </w:rPr>
        <w:t>年第</w:t>
      </w:r>
      <w:r>
        <w:rPr>
          <w:rFonts w:eastAsia="仿宋_GB2312"/>
          <w:bCs/>
          <w:sz w:val="32"/>
          <w:szCs w:val="32"/>
        </w:rPr>
        <w:t>44</w:t>
      </w:r>
      <w:r>
        <w:rPr>
          <w:rFonts w:hint="eastAsia" w:eastAsia="仿宋_GB2312"/>
          <w:bCs/>
          <w:sz w:val="32"/>
          <w:szCs w:val="32"/>
        </w:rPr>
        <w:t>号）的相关规定。</w:t>
      </w:r>
    </w:p>
    <w:p w14:paraId="2562744D">
      <w:pPr>
        <w:adjustRightInd w:val="0"/>
        <w:snapToGrid w:val="0"/>
        <w:spacing w:line="580" w:lineRule="exact"/>
        <w:ind w:firstLine="600"/>
        <w:jc w:val="left"/>
        <w:rPr>
          <w:rFonts w:eastAsia="仿宋_GB2312"/>
          <w:bCs/>
          <w:sz w:val="32"/>
          <w:szCs w:val="32"/>
        </w:rPr>
      </w:pPr>
      <w:r>
        <w:rPr>
          <w:rFonts w:hint="eastAsia" w:eastAsia="仿宋_GB2312"/>
          <w:bCs/>
          <w:sz w:val="32"/>
          <w:szCs w:val="32"/>
        </w:rPr>
        <w:t>申请人应当在原材料质量和生产工艺稳定的前提下，根据申请人产品研制、分析性能评估等结果，依据国家标准、行业标准及有关文献，按照《医疗器械产品技术要求编写指导原则》（国家食品药品监督管理总局通告</w:t>
      </w:r>
      <w:r>
        <w:rPr>
          <w:rFonts w:eastAsia="仿宋_GB2312"/>
          <w:bCs/>
          <w:sz w:val="32"/>
          <w:szCs w:val="32"/>
        </w:rPr>
        <w:t>2014</w:t>
      </w:r>
      <w:r>
        <w:rPr>
          <w:rFonts w:hint="eastAsia" w:eastAsia="仿宋_GB2312"/>
          <w:bCs/>
          <w:sz w:val="32"/>
          <w:szCs w:val="32"/>
        </w:rPr>
        <w:t>年第</w:t>
      </w:r>
      <w:r>
        <w:rPr>
          <w:rFonts w:eastAsia="仿宋_GB2312"/>
          <w:bCs/>
          <w:sz w:val="32"/>
          <w:szCs w:val="32"/>
        </w:rPr>
        <w:t>9</w:t>
      </w:r>
      <w:r>
        <w:rPr>
          <w:rFonts w:hint="eastAsia" w:eastAsia="仿宋_GB2312"/>
          <w:bCs/>
          <w:sz w:val="32"/>
          <w:szCs w:val="32"/>
        </w:rPr>
        <w:t>号）的有关要求，编写产品技术要求。</w:t>
      </w:r>
    </w:p>
    <w:p w14:paraId="4D14656B">
      <w:pPr>
        <w:overflowPunct w:val="0"/>
        <w:spacing w:line="520" w:lineRule="exact"/>
        <w:ind w:firstLine="640" w:firstLineChars="200"/>
        <w:rPr>
          <w:rFonts w:eastAsia="仿宋_GB2312"/>
          <w:sz w:val="32"/>
          <w:szCs w:val="32"/>
        </w:rPr>
      </w:pPr>
      <w:r>
        <w:rPr>
          <w:rFonts w:hint="eastAsia" w:eastAsia="仿宋_GB2312"/>
          <w:kern w:val="0"/>
          <w:sz w:val="32"/>
          <w:szCs w:val="32"/>
        </w:rPr>
        <w:t>胃蛋白酶原</w:t>
      </w:r>
      <w:r>
        <w:rPr>
          <w:rFonts w:eastAsia="仿宋_GB2312"/>
          <w:kern w:val="0"/>
          <w:sz w:val="32"/>
          <w:szCs w:val="32"/>
        </w:rPr>
        <w:t>I/II</w:t>
      </w:r>
      <w:r>
        <w:rPr>
          <w:rFonts w:hint="eastAsia" w:eastAsia="仿宋_GB2312"/>
          <w:bCs/>
          <w:sz w:val="32"/>
          <w:szCs w:val="32"/>
        </w:rPr>
        <w:t>检测试剂的产品性能指标应主要包括：外观、准确度、检出限、线性、重复性、批间差、溯源性</w:t>
      </w:r>
      <w:r>
        <w:rPr>
          <w:rFonts w:eastAsia="仿宋_GB2312"/>
          <w:bCs/>
          <w:sz w:val="32"/>
          <w:szCs w:val="32"/>
        </w:rPr>
        <w:t>(</w:t>
      </w:r>
      <w:r>
        <w:rPr>
          <w:rFonts w:hint="eastAsia" w:eastAsia="仿宋_GB2312"/>
          <w:bCs/>
          <w:sz w:val="32"/>
          <w:szCs w:val="32"/>
        </w:rPr>
        <w:t>如需要</w:t>
      </w:r>
      <w:r>
        <w:rPr>
          <w:rFonts w:eastAsia="仿宋_GB2312"/>
          <w:bCs/>
          <w:sz w:val="32"/>
          <w:szCs w:val="32"/>
        </w:rPr>
        <w:t>)</w:t>
      </w:r>
      <w:r>
        <w:rPr>
          <w:rFonts w:hint="eastAsia" w:eastAsia="仿宋_GB2312"/>
          <w:bCs/>
          <w:sz w:val="32"/>
          <w:szCs w:val="32"/>
        </w:rPr>
        <w:t>等。</w:t>
      </w:r>
      <w:r>
        <w:rPr>
          <w:rFonts w:hint="eastAsia" w:eastAsia="仿宋_GB2312"/>
          <w:sz w:val="32"/>
          <w:szCs w:val="32"/>
        </w:rPr>
        <w:t>该产品技术要求中涉及的产品适用的引用文件和主要性能指标等相关内容见表</w:t>
      </w:r>
      <w:r>
        <w:rPr>
          <w:rFonts w:eastAsia="仿宋_GB2312"/>
          <w:sz w:val="32"/>
          <w:szCs w:val="32"/>
        </w:rPr>
        <w:t>1</w:t>
      </w:r>
      <w:r>
        <w:rPr>
          <w:rFonts w:hint="eastAsia" w:eastAsia="仿宋_GB2312"/>
          <w:sz w:val="32"/>
          <w:szCs w:val="32"/>
        </w:rPr>
        <w:t>。以下标准如有修订，以最新发布版本为准。</w:t>
      </w:r>
    </w:p>
    <w:p w14:paraId="2283A399">
      <w:pPr>
        <w:overflowPunct w:val="0"/>
        <w:spacing w:line="520" w:lineRule="exact"/>
        <w:jc w:val="center"/>
        <w:rPr>
          <w:rFonts w:ascii="黑体" w:hAnsi="黑体" w:eastAsia="黑体"/>
          <w:sz w:val="28"/>
          <w:szCs w:val="28"/>
        </w:rPr>
      </w:pPr>
      <w:r>
        <w:rPr>
          <w:rFonts w:hint="eastAsia" w:ascii="黑体" w:hAnsi="黑体" w:eastAsia="黑体"/>
          <w:sz w:val="28"/>
          <w:szCs w:val="28"/>
        </w:rPr>
        <w:t>表</w:t>
      </w:r>
      <w:r>
        <w:rPr>
          <w:rFonts w:ascii="黑体" w:hAnsi="黑体" w:eastAsia="黑体"/>
          <w:sz w:val="28"/>
          <w:szCs w:val="28"/>
        </w:rPr>
        <w:t xml:space="preserve">1 </w:t>
      </w:r>
      <w:r>
        <w:rPr>
          <w:rFonts w:hint="eastAsia" w:ascii="黑体" w:hAnsi="黑体" w:eastAsia="黑体"/>
          <w:sz w:val="28"/>
          <w:szCs w:val="28"/>
        </w:rPr>
        <w:t>产品适用的相关标准</w:t>
      </w:r>
    </w:p>
    <w:tbl>
      <w:tblPr>
        <w:tblStyle w:val="7"/>
        <w:tblW w:w="85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19"/>
        <w:gridCol w:w="5446"/>
      </w:tblGrid>
      <w:tr w14:paraId="5059B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19" w:type="dxa"/>
            <w:vAlign w:val="center"/>
          </w:tcPr>
          <w:p w14:paraId="2F27E360">
            <w:pPr>
              <w:overflowPunct w:val="0"/>
              <w:spacing w:line="520" w:lineRule="exact"/>
              <w:rPr>
                <w:rFonts w:eastAsia="仿宋_GB2312"/>
                <w:sz w:val="28"/>
                <w:szCs w:val="28"/>
              </w:rPr>
            </w:pPr>
            <w:r>
              <w:rPr>
                <w:rFonts w:eastAsia="仿宋_GB2312"/>
                <w:sz w:val="28"/>
                <w:szCs w:val="28"/>
              </w:rPr>
              <w:t>GB/T 191</w:t>
            </w:r>
            <w:r>
              <w:rPr>
                <w:rFonts w:ascii="仿宋_GB2312" w:eastAsia="仿宋_GB2312"/>
                <w:kern w:val="0"/>
                <w:szCs w:val="21"/>
              </w:rPr>
              <w:t>—</w:t>
            </w:r>
            <w:r>
              <w:rPr>
                <w:rFonts w:eastAsia="仿宋_GB2312"/>
                <w:sz w:val="28"/>
                <w:szCs w:val="28"/>
              </w:rPr>
              <w:t>2008</w:t>
            </w:r>
          </w:p>
        </w:tc>
        <w:tc>
          <w:tcPr>
            <w:tcW w:w="5446" w:type="dxa"/>
            <w:vAlign w:val="center"/>
          </w:tcPr>
          <w:p w14:paraId="284A9598">
            <w:pPr>
              <w:overflowPunct w:val="0"/>
              <w:spacing w:line="520" w:lineRule="exact"/>
              <w:rPr>
                <w:rFonts w:eastAsia="仿宋_GB2312"/>
                <w:sz w:val="28"/>
                <w:szCs w:val="28"/>
              </w:rPr>
            </w:pPr>
            <w:r>
              <w:rPr>
                <w:rFonts w:hint="eastAsia" w:eastAsia="仿宋_GB2312"/>
                <w:sz w:val="28"/>
                <w:szCs w:val="28"/>
              </w:rPr>
              <w:t>《包装储运图示标志》</w:t>
            </w:r>
          </w:p>
        </w:tc>
      </w:tr>
      <w:tr w14:paraId="256D7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4" w:hRule="atLeast"/>
          <w:jc w:val="center"/>
        </w:trPr>
        <w:tc>
          <w:tcPr>
            <w:tcW w:w="3119" w:type="dxa"/>
            <w:vAlign w:val="center"/>
          </w:tcPr>
          <w:p w14:paraId="1D207A83">
            <w:pPr>
              <w:overflowPunct w:val="0"/>
              <w:spacing w:line="520" w:lineRule="exact"/>
              <w:rPr>
                <w:rFonts w:eastAsia="仿宋_GB2312"/>
                <w:sz w:val="28"/>
                <w:szCs w:val="28"/>
              </w:rPr>
            </w:pPr>
            <w:r>
              <w:rPr>
                <w:rFonts w:eastAsia="仿宋_GB2312"/>
                <w:sz w:val="28"/>
                <w:szCs w:val="28"/>
              </w:rPr>
              <w:t>GB/T 21415</w:t>
            </w:r>
          </w:p>
        </w:tc>
        <w:tc>
          <w:tcPr>
            <w:tcW w:w="5446" w:type="dxa"/>
            <w:vAlign w:val="center"/>
          </w:tcPr>
          <w:p w14:paraId="0208C4AB">
            <w:pPr>
              <w:overflowPunct w:val="0"/>
              <w:spacing w:line="520" w:lineRule="exact"/>
              <w:rPr>
                <w:rFonts w:eastAsia="仿宋_GB2312"/>
                <w:sz w:val="28"/>
                <w:szCs w:val="28"/>
              </w:rPr>
            </w:pPr>
            <w:r>
              <w:rPr>
                <w:rFonts w:hint="eastAsia" w:eastAsia="仿宋_GB2312"/>
                <w:sz w:val="28"/>
                <w:szCs w:val="28"/>
              </w:rPr>
              <w:t>《体外诊断医疗器械</w:t>
            </w:r>
            <w:r>
              <w:rPr>
                <w:rFonts w:eastAsia="仿宋_GB2312"/>
                <w:sz w:val="28"/>
                <w:szCs w:val="28"/>
              </w:rPr>
              <w:t xml:space="preserve"> </w:t>
            </w:r>
            <w:r>
              <w:rPr>
                <w:rFonts w:hint="eastAsia" w:eastAsia="仿宋_GB2312"/>
                <w:sz w:val="28"/>
                <w:szCs w:val="28"/>
              </w:rPr>
              <w:t>生物样品中量的测量</w:t>
            </w:r>
            <w:r>
              <w:rPr>
                <w:rFonts w:eastAsia="仿宋_GB2312"/>
                <w:sz w:val="28"/>
                <w:szCs w:val="28"/>
              </w:rPr>
              <w:t xml:space="preserve"> </w:t>
            </w:r>
            <w:r>
              <w:rPr>
                <w:rFonts w:hint="eastAsia" w:eastAsia="仿宋_GB2312"/>
                <w:sz w:val="28"/>
                <w:szCs w:val="28"/>
              </w:rPr>
              <w:t>校准品和控制物质赋值的计量学溯源性》</w:t>
            </w:r>
          </w:p>
        </w:tc>
      </w:tr>
      <w:tr w14:paraId="04DB5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3119" w:type="dxa"/>
            <w:vAlign w:val="center"/>
          </w:tcPr>
          <w:p w14:paraId="734BA908">
            <w:pPr>
              <w:overflowPunct w:val="0"/>
              <w:spacing w:line="520" w:lineRule="exact"/>
              <w:rPr>
                <w:rFonts w:eastAsia="仿宋_GB2312"/>
                <w:sz w:val="28"/>
                <w:szCs w:val="28"/>
              </w:rPr>
            </w:pPr>
            <w:r>
              <w:rPr>
                <w:rFonts w:eastAsia="仿宋_GB2312"/>
                <w:sz w:val="28"/>
                <w:szCs w:val="28"/>
              </w:rPr>
              <w:t>YY/T 0316</w:t>
            </w:r>
            <w:r>
              <w:rPr>
                <w:rFonts w:ascii="仿宋_GB2312" w:eastAsia="仿宋_GB2312"/>
                <w:kern w:val="0"/>
                <w:szCs w:val="21"/>
              </w:rPr>
              <w:t>—</w:t>
            </w:r>
            <w:r>
              <w:rPr>
                <w:rFonts w:eastAsia="仿宋_GB2312"/>
                <w:sz w:val="28"/>
                <w:szCs w:val="28"/>
              </w:rPr>
              <w:t>2016</w:t>
            </w:r>
          </w:p>
        </w:tc>
        <w:tc>
          <w:tcPr>
            <w:tcW w:w="5446" w:type="dxa"/>
            <w:vAlign w:val="center"/>
          </w:tcPr>
          <w:p w14:paraId="38A09E07">
            <w:pPr>
              <w:overflowPunct w:val="0"/>
              <w:spacing w:line="520" w:lineRule="exact"/>
              <w:rPr>
                <w:rFonts w:eastAsia="仿宋_GB2312"/>
                <w:sz w:val="28"/>
                <w:szCs w:val="28"/>
              </w:rPr>
            </w:pPr>
            <w:r>
              <w:rPr>
                <w:rFonts w:hint="eastAsia" w:eastAsia="仿宋_GB2312"/>
                <w:sz w:val="28"/>
                <w:szCs w:val="28"/>
              </w:rPr>
              <w:t>《医疗器械</w:t>
            </w:r>
            <w:r>
              <w:rPr>
                <w:rFonts w:eastAsia="仿宋_GB2312"/>
                <w:sz w:val="28"/>
                <w:szCs w:val="28"/>
              </w:rPr>
              <w:t xml:space="preserve"> </w:t>
            </w:r>
            <w:r>
              <w:rPr>
                <w:rFonts w:hint="eastAsia" w:eastAsia="仿宋_GB2312"/>
                <w:sz w:val="28"/>
                <w:szCs w:val="28"/>
              </w:rPr>
              <w:t>风险管理对医疗器械的应用》</w:t>
            </w:r>
          </w:p>
        </w:tc>
      </w:tr>
      <w:tr w14:paraId="3C5ED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19" w:type="dxa"/>
            <w:vAlign w:val="center"/>
          </w:tcPr>
          <w:p w14:paraId="6CDD13F6">
            <w:pPr>
              <w:overflowPunct w:val="0"/>
              <w:spacing w:line="520" w:lineRule="exact"/>
              <w:rPr>
                <w:rFonts w:eastAsia="仿宋_GB2312"/>
                <w:sz w:val="28"/>
                <w:szCs w:val="28"/>
              </w:rPr>
            </w:pPr>
            <w:r>
              <w:rPr>
                <w:rFonts w:eastAsia="仿宋_GB2312"/>
                <w:sz w:val="28"/>
                <w:szCs w:val="28"/>
              </w:rPr>
              <w:t>YY/T 0466.1</w:t>
            </w:r>
            <w:r>
              <w:rPr>
                <w:rFonts w:ascii="仿宋_GB2312" w:eastAsia="仿宋_GB2312"/>
                <w:kern w:val="0"/>
                <w:szCs w:val="21"/>
              </w:rPr>
              <w:t>—</w:t>
            </w:r>
            <w:r>
              <w:rPr>
                <w:rFonts w:eastAsia="仿宋_GB2312"/>
                <w:sz w:val="28"/>
                <w:szCs w:val="28"/>
              </w:rPr>
              <w:t>2016</w:t>
            </w:r>
          </w:p>
        </w:tc>
        <w:tc>
          <w:tcPr>
            <w:tcW w:w="5446" w:type="dxa"/>
            <w:vAlign w:val="center"/>
          </w:tcPr>
          <w:p w14:paraId="7853A7F2">
            <w:pPr>
              <w:overflowPunct w:val="0"/>
              <w:spacing w:line="520" w:lineRule="exact"/>
              <w:rPr>
                <w:rFonts w:eastAsia="仿宋_GB2312"/>
                <w:sz w:val="28"/>
                <w:szCs w:val="28"/>
              </w:rPr>
            </w:pPr>
            <w:r>
              <w:rPr>
                <w:rFonts w:hint="eastAsia" w:eastAsia="仿宋_GB2312"/>
                <w:sz w:val="28"/>
                <w:szCs w:val="28"/>
              </w:rPr>
              <w:t>《医疗器械</w:t>
            </w:r>
            <w:r>
              <w:rPr>
                <w:rFonts w:eastAsia="仿宋_GB2312"/>
                <w:sz w:val="28"/>
                <w:szCs w:val="28"/>
              </w:rPr>
              <w:t xml:space="preserve"> </w:t>
            </w:r>
            <w:r>
              <w:rPr>
                <w:rFonts w:hint="eastAsia" w:eastAsia="仿宋_GB2312"/>
                <w:sz w:val="28"/>
                <w:szCs w:val="28"/>
              </w:rPr>
              <w:t>用于医疗器械标签、标记和提供信息的符号</w:t>
            </w:r>
            <w:r>
              <w:rPr>
                <w:rFonts w:eastAsia="仿宋_GB2312"/>
                <w:sz w:val="28"/>
                <w:szCs w:val="28"/>
              </w:rPr>
              <w:t xml:space="preserve"> </w:t>
            </w:r>
            <w:r>
              <w:rPr>
                <w:rFonts w:hint="eastAsia" w:eastAsia="仿宋_GB2312"/>
                <w:sz w:val="28"/>
                <w:szCs w:val="28"/>
              </w:rPr>
              <w:t>第</w:t>
            </w:r>
            <w:r>
              <w:rPr>
                <w:rFonts w:eastAsia="仿宋_GB2312"/>
                <w:sz w:val="28"/>
                <w:szCs w:val="28"/>
              </w:rPr>
              <w:t>1</w:t>
            </w:r>
            <w:r>
              <w:rPr>
                <w:rFonts w:hint="eastAsia" w:eastAsia="仿宋_GB2312"/>
                <w:sz w:val="28"/>
                <w:szCs w:val="28"/>
              </w:rPr>
              <w:t>部分：通用要求》</w:t>
            </w:r>
          </w:p>
        </w:tc>
      </w:tr>
      <w:tr w14:paraId="299FE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19" w:type="dxa"/>
            <w:vAlign w:val="center"/>
          </w:tcPr>
          <w:p w14:paraId="1D988B39">
            <w:pPr>
              <w:overflowPunct w:val="0"/>
              <w:spacing w:line="520" w:lineRule="exact"/>
              <w:rPr>
                <w:rFonts w:eastAsia="仿宋_GB2312"/>
                <w:sz w:val="28"/>
                <w:szCs w:val="28"/>
              </w:rPr>
            </w:pPr>
            <w:r>
              <w:rPr>
                <w:rFonts w:eastAsia="仿宋_GB2312"/>
                <w:sz w:val="28"/>
                <w:szCs w:val="28"/>
              </w:rPr>
              <w:t>YY/T 1672</w:t>
            </w:r>
            <w:r>
              <w:rPr>
                <w:rFonts w:ascii="仿宋_GB2312" w:eastAsia="仿宋_GB2312"/>
                <w:kern w:val="0"/>
                <w:szCs w:val="21"/>
              </w:rPr>
              <w:t>—</w:t>
            </w:r>
            <w:r>
              <w:rPr>
                <w:rFonts w:eastAsia="仿宋_GB2312"/>
                <w:sz w:val="28"/>
                <w:szCs w:val="28"/>
              </w:rPr>
              <w:t>2019</w:t>
            </w:r>
          </w:p>
        </w:tc>
        <w:tc>
          <w:tcPr>
            <w:tcW w:w="5446" w:type="dxa"/>
            <w:vAlign w:val="center"/>
          </w:tcPr>
          <w:p w14:paraId="0021BEC3">
            <w:pPr>
              <w:overflowPunct w:val="0"/>
              <w:spacing w:line="520" w:lineRule="exact"/>
              <w:rPr>
                <w:rFonts w:eastAsia="仿宋_GB2312"/>
                <w:sz w:val="28"/>
                <w:szCs w:val="28"/>
              </w:rPr>
            </w:pPr>
            <w:r>
              <w:rPr>
                <w:rFonts w:hint="eastAsia" w:eastAsia="仿宋_GB2312"/>
                <w:sz w:val="28"/>
                <w:szCs w:val="28"/>
              </w:rPr>
              <w:t>《胃蛋白酶原</w:t>
            </w:r>
            <w:r>
              <w:rPr>
                <w:rFonts w:eastAsia="仿宋_GB2312"/>
                <w:sz w:val="28"/>
                <w:szCs w:val="28"/>
              </w:rPr>
              <w:t>I</w:t>
            </w:r>
            <w:r>
              <w:rPr>
                <w:rFonts w:hint="eastAsia" w:eastAsia="仿宋_GB2312"/>
                <w:sz w:val="28"/>
                <w:szCs w:val="28"/>
              </w:rPr>
              <w:t>、</w:t>
            </w:r>
            <w:r>
              <w:rPr>
                <w:rFonts w:eastAsia="仿宋_GB2312"/>
                <w:sz w:val="28"/>
                <w:szCs w:val="28"/>
              </w:rPr>
              <w:t>II</w:t>
            </w:r>
            <w:r>
              <w:rPr>
                <w:rFonts w:hint="eastAsia" w:eastAsia="仿宋_GB2312"/>
                <w:sz w:val="28"/>
                <w:szCs w:val="28"/>
              </w:rPr>
              <w:t>测定试剂盒》</w:t>
            </w:r>
          </w:p>
        </w:tc>
      </w:tr>
    </w:tbl>
    <w:p w14:paraId="75D5797B">
      <w:pPr>
        <w:pStyle w:val="10"/>
        <w:spacing w:line="480" w:lineRule="exact"/>
        <w:ind w:firstLine="640"/>
        <w:rPr>
          <w:rFonts w:ascii="Times New Roman" w:hAnsi="Times New Roman" w:eastAsia="仿宋_GB2312"/>
          <w:sz w:val="32"/>
          <w:szCs w:val="32"/>
        </w:rPr>
      </w:pPr>
    </w:p>
    <w:p w14:paraId="19A2482A">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（十）产品注册检验报告</w:t>
      </w:r>
    </w:p>
    <w:p w14:paraId="01B73D11">
      <w:pPr>
        <w:adjustRightInd w:val="0"/>
        <w:snapToGrid w:val="0"/>
        <w:spacing w:line="580" w:lineRule="exact"/>
        <w:ind w:left="1" w:firstLine="600"/>
        <w:jc w:val="left"/>
        <w:rPr>
          <w:rFonts w:ascii="仿宋_GB2312" w:hAnsi="宋体" w:eastAsia="仿宋_GB2312"/>
          <w:sz w:val="30"/>
          <w:szCs w:val="30"/>
        </w:rPr>
      </w:pPr>
      <w:r>
        <w:rPr>
          <w:rFonts w:hint="eastAsia" w:ascii="仿宋_GB2312" w:hAnsi="宋体" w:eastAsia="仿宋_GB2312"/>
          <w:sz w:val="30"/>
          <w:szCs w:val="30"/>
        </w:rPr>
        <w:t>应提交相应医疗器械检验资质的医疗器械检验机构出具的注册检验报告和产品技术要求预评价意见。</w:t>
      </w:r>
    </w:p>
    <w:p w14:paraId="6DAE656D">
      <w:pPr>
        <w:pStyle w:val="11"/>
        <w:ind w:firstLine="600"/>
      </w:pPr>
      <w:r>
        <w:rPr>
          <w:rFonts w:hint="eastAsia" w:ascii="仿宋_GB2312" w:hAnsi="宋体" w:eastAsia="仿宋_GB2312"/>
          <w:sz w:val="30"/>
          <w:szCs w:val="30"/>
        </w:rPr>
        <w:t>目前，</w:t>
      </w:r>
      <w:r>
        <w:rPr>
          <w:rFonts w:hint="eastAsia" w:eastAsia="仿宋_GB2312"/>
          <w:kern w:val="0"/>
          <w:sz w:val="32"/>
          <w:szCs w:val="32"/>
        </w:rPr>
        <w:t>胃蛋白酶原</w:t>
      </w:r>
      <w:r>
        <w:rPr>
          <w:rFonts w:eastAsia="仿宋_GB2312"/>
          <w:kern w:val="0"/>
          <w:sz w:val="32"/>
          <w:szCs w:val="32"/>
        </w:rPr>
        <w:t>I/II</w:t>
      </w:r>
      <w:r>
        <w:rPr>
          <w:rFonts w:hint="eastAsia" w:eastAsia="仿宋_GB2312"/>
          <w:kern w:val="0"/>
          <w:sz w:val="32"/>
          <w:szCs w:val="32"/>
        </w:rPr>
        <w:t>检测</w:t>
      </w:r>
      <w:r>
        <w:rPr>
          <w:rFonts w:hint="eastAsia" w:ascii="仿宋_GB2312" w:hAnsi="宋体" w:eastAsia="仿宋_GB2312"/>
          <w:sz w:val="30"/>
          <w:szCs w:val="30"/>
        </w:rPr>
        <w:t>试剂尚无适用的国家参考品</w:t>
      </w:r>
      <w:r>
        <w:rPr>
          <w:rFonts w:ascii="仿宋_GB2312" w:hAnsi="宋体" w:eastAsia="仿宋_GB2312"/>
          <w:sz w:val="30"/>
          <w:szCs w:val="30"/>
        </w:rPr>
        <w:t>/</w:t>
      </w:r>
      <w:r>
        <w:rPr>
          <w:rFonts w:hint="eastAsia" w:ascii="仿宋_GB2312" w:hAnsi="宋体" w:eastAsia="仿宋_GB2312"/>
          <w:sz w:val="30"/>
          <w:szCs w:val="30"/>
        </w:rPr>
        <w:t>标准品，可采用企业参考品进行注册检验，但企业参考品的具体信息应明确。如有适用的国家参考品</w:t>
      </w:r>
      <w:r>
        <w:rPr>
          <w:rFonts w:ascii="仿宋_GB2312" w:hAnsi="宋体" w:eastAsia="仿宋_GB2312"/>
          <w:sz w:val="30"/>
          <w:szCs w:val="30"/>
        </w:rPr>
        <w:t>/</w:t>
      </w:r>
      <w:r>
        <w:rPr>
          <w:rFonts w:hint="eastAsia" w:ascii="仿宋_GB2312" w:hAnsi="宋体" w:eastAsia="仿宋_GB2312"/>
          <w:sz w:val="30"/>
          <w:szCs w:val="30"/>
        </w:rPr>
        <w:t>标准品发布，则申请人应采用国家参考品</w:t>
      </w:r>
      <w:r>
        <w:rPr>
          <w:rFonts w:ascii="仿宋_GB2312" w:hAnsi="宋体" w:eastAsia="仿宋_GB2312"/>
          <w:sz w:val="30"/>
          <w:szCs w:val="30"/>
        </w:rPr>
        <w:t>/</w:t>
      </w:r>
      <w:r>
        <w:rPr>
          <w:rFonts w:hint="eastAsia" w:ascii="仿宋_GB2312" w:hAnsi="宋体" w:eastAsia="仿宋_GB2312"/>
          <w:sz w:val="30"/>
          <w:szCs w:val="30"/>
        </w:rPr>
        <w:t>标准品进行注册检验，并在产品技术要求中写明相应内容。</w:t>
      </w:r>
    </w:p>
    <w:p w14:paraId="567605E7">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（十一）产品说明书</w:t>
      </w:r>
    </w:p>
    <w:p w14:paraId="08CD50B4">
      <w:pPr>
        <w:pStyle w:val="10"/>
        <w:spacing w:line="480" w:lineRule="exact"/>
        <w:ind w:firstLine="640"/>
        <w:rPr>
          <w:rFonts w:eastAsia="仿宋_GB2312"/>
          <w:sz w:val="32"/>
          <w:szCs w:val="32"/>
        </w:rPr>
      </w:pPr>
      <w:r>
        <w:rPr>
          <w:rFonts w:hint="eastAsia" w:ascii="Times New Roman" w:hAnsi="Times New Roman" w:eastAsia="仿宋_GB2312"/>
          <w:sz w:val="32"/>
          <w:szCs w:val="32"/>
        </w:rPr>
        <w:t>说明书承载了产品预期用途、检验方法、检验结果的解释以及注意事项等重要信息，是指导实验室工作人员正确操作、临床医生针对检验结果给出合理医学解释的重要依据。因此，产品说明书是体外诊断试剂注册申报最重要的文件之一。产品说明书的格式应符合</w:t>
      </w:r>
      <w:r>
        <w:rPr>
          <w:rFonts w:hint="eastAsia" w:eastAsia="仿宋_GB2312"/>
          <w:sz w:val="32"/>
          <w:szCs w:val="32"/>
        </w:rPr>
        <w:t>《医疗器械说明书和标签管理规定》（国家食品药品监督管理总局令第</w:t>
      </w:r>
      <w:r>
        <w:rPr>
          <w:rFonts w:eastAsia="仿宋_GB2312"/>
          <w:sz w:val="32"/>
          <w:szCs w:val="32"/>
        </w:rPr>
        <w:t>6</w:t>
      </w:r>
      <w:r>
        <w:rPr>
          <w:rFonts w:hint="eastAsia" w:eastAsia="仿宋_GB2312"/>
          <w:sz w:val="32"/>
          <w:szCs w:val="32"/>
        </w:rPr>
        <w:t>号）、《体外诊断试剂说明书编写指导原则》（国家食品药品监督管理总局通告</w:t>
      </w:r>
      <w:r>
        <w:rPr>
          <w:rFonts w:eastAsia="仿宋_GB2312"/>
          <w:sz w:val="32"/>
          <w:szCs w:val="32"/>
        </w:rPr>
        <w:t>2014</w:t>
      </w:r>
      <w:r>
        <w:rPr>
          <w:rFonts w:hint="eastAsia" w:eastAsia="仿宋_GB2312"/>
          <w:sz w:val="32"/>
          <w:szCs w:val="32"/>
        </w:rPr>
        <w:t>年第</w:t>
      </w:r>
      <w:r>
        <w:rPr>
          <w:rFonts w:eastAsia="仿宋_GB2312"/>
          <w:sz w:val="32"/>
          <w:szCs w:val="32"/>
        </w:rPr>
        <w:t>17</w:t>
      </w:r>
      <w:r>
        <w:rPr>
          <w:rFonts w:hint="eastAsia" w:eastAsia="仿宋_GB2312"/>
          <w:sz w:val="32"/>
          <w:szCs w:val="32"/>
        </w:rPr>
        <w:t>号）的要求。</w:t>
      </w:r>
    </w:p>
    <w:p w14:paraId="479DBE71">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下面对胃蛋白酶原测定试剂盒说明书的重点内容进行详细说明，以指导注册申报人员更合理地完成说明书编制。</w:t>
      </w:r>
    </w:p>
    <w:p w14:paraId="099FBF9C">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产品说明书内容原则上应全部用中文进行表述；如含有国际通用或行业内普遍认可的英文缩写，可用括号在中文后标明；对于确实无适当中文表述的词语，可使用相应英文或其缩写。</w:t>
      </w:r>
    </w:p>
    <w:p w14:paraId="50866CE2">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【产品名称】</w:t>
      </w:r>
    </w:p>
    <w:p w14:paraId="500BF032">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通用名称：产品名称由三部分组成，即被测物名称、用途、方法或原理。例如：胃蛋白酶原Ⅰ检测试剂盒（化学发光法）。</w:t>
      </w:r>
    </w:p>
    <w:p w14:paraId="750A7CB0">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【包装规格】</w:t>
      </w:r>
    </w:p>
    <w:p w14:paraId="2E5E5391">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2.1</w:t>
      </w:r>
      <w:r>
        <w:rPr>
          <w:rFonts w:hint="eastAsia" w:ascii="Times New Roman" w:hAnsi="Times New Roman" w:eastAsia="仿宋_GB2312"/>
          <w:sz w:val="32"/>
          <w:szCs w:val="32"/>
        </w:rPr>
        <w:t>应与产品技术要求中所列的包装规格一致。</w:t>
      </w:r>
    </w:p>
    <w:p w14:paraId="73B89D3E">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2.2</w:t>
      </w:r>
      <w:r>
        <w:rPr>
          <w:rFonts w:hint="eastAsia" w:ascii="Times New Roman" w:hAnsi="Times New Roman" w:eastAsia="仿宋_GB2312"/>
          <w:sz w:val="32"/>
          <w:szCs w:val="32"/>
        </w:rPr>
        <w:t>注明装量或可测试的样本数，如</w:t>
      </w:r>
      <w:r>
        <w:rPr>
          <w:rFonts w:ascii="Times New Roman" w:hAnsi="Times New Roman" w:eastAsia="仿宋_GB2312"/>
          <w:sz w:val="32"/>
          <w:szCs w:val="32"/>
        </w:rPr>
        <w:t>××mL</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测试</w:t>
      </w:r>
      <w:r>
        <w:rPr>
          <w:rFonts w:ascii="Times New Roman" w:hAnsi="Times New Roman" w:eastAsia="仿宋_GB2312"/>
          <w:sz w:val="32"/>
          <w:szCs w:val="32"/>
        </w:rPr>
        <w:t>/</w:t>
      </w:r>
      <w:r>
        <w:rPr>
          <w:rFonts w:hint="eastAsia" w:ascii="Times New Roman" w:hAnsi="Times New Roman" w:eastAsia="仿宋_GB2312"/>
          <w:sz w:val="32"/>
          <w:szCs w:val="32"/>
        </w:rPr>
        <w:t>盒。</w:t>
      </w:r>
    </w:p>
    <w:p w14:paraId="0C753CE0">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2.3</w:t>
      </w:r>
      <w:r>
        <w:rPr>
          <w:rFonts w:hint="eastAsia" w:ascii="Times New Roman" w:hAnsi="Times New Roman" w:eastAsia="仿宋_GB2312"/>
          <w:sz w:val="32"/>
          <w:szCs w:val="32"/>
        </w:rPr>
        <w:t>注明各包装规格的数量，如</w:t>
      </w:r>
      <w:r>
        <w:rPr>
          <w:rFonts w:ascii="Times New Roman" w:hAnsi="Times New Roman" w:eastAsia="仿宋_GB2312"/>
          <w:sz w:val="32"/>
          <w:szCs w:val="32"/>
        </w:rPr>
        <w:t>20mL×2</w:t>
      </w:r>
      <w:r>
        <w:rPr>
          <w:rFonts w:hint="eastAsia" w:ascii="Times New Roman" w:hAnsi="Times New Roman" w:eastAsia="仿宋_GB2312"/>
          <w:sz w:val="32"/>
          <w:szCs w:val="32"/>
        </w:rPr>
        <w:t>。</w:t>
      </w:r>
    </w:p>
    <w:p w14:paraId="08AD1FD7">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2.4</w:t>
      </w:r>
      <w:r>
        <w:rPr>
          <w:rFonts w:hint="eastAsia" w:ascii="Times New Roman" w:hAnsi="Times New Roman" w:eastAsia="仿宋_GB2312"/>
          <w:sz w:val="32"/>
          <w:szCs w:val="32"/>
        </w:rPr>
        <w:t>如不同包装规格有与之特定对应的机型，应同时明确适用机型。</w:t>
      </w:r>
    </w:p>
    <w:p w14:paraId="74AB3300">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【预期用途】应包括以下几部分内容：</w:t>
      </w:r>
    </w:p>
    <w:p w14:paraId="66D0742B">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3.1</w:t>
      </w:r>
      <w:r>
        <w:rPr>
          <w:rFonts w:hint="eastAsia" w:ascii="Times New Roman" w:hAnsi="Times New Roman" w:eastAsia="仿宋_GB2312"/>
          <w:sz w:val="32"/>
          <w:szCs w:val="32"/>
        </w:rPr>
        <w:t>说明用于体外定量测定人全血</w:t>
      </w:r>
      <w:r>
        <w:rPr>
          <w:rFonts w:ascii="Times New Roman" w:hAnsi="Times New Roman" w:eastAsia="仿宋_GB2312"/>
          <w:sz w:val="32"/>
          <w:szCs w:val="32"/>
        </w:rPr>
        <w:t>/</w:t>
      </w:r>
      <w:r>
        <w:rPr>
          <w:rFonts w:hint="eastAsia" w:ascii="Times New Roman" w:hAnsi="Times New Roman" w:eastAsia="仿宋_GB2312"/>
          <w:sz w:val="32"/>
          <w:szCs w:val="32"/>
        </w:rPr>
        <w:t>血浆</w:t>
      </w:r>
      <w:r>
        <w:rPr>
          <w:rFonts w:ascii="Times New Roman" w:hAnsi="Times New Roman" w:eastAsia="仿宋_GB2312"/>
          <w:sz w:val="32"/>
          <w:szCs w:val="32"/>
        </w:rPr>
        <w:t>/</w:t>
      </w:r>
      <w:r>
        <w:rPr>
          <w:rFonts w:hint="eastAsia" w:ascii="Times New Roman" w:hAnsi="Times New Roman" w:eastAsia="仿宋_GB2312"/>
          <w:sz w:val="32"/>
          <w:szCs w:val="32"/>
        </w:rPr>
        <w:t>血清中胃蛋白酶原Ⅰ</w:t>
      </w:r>
      <w:r>
        <w:rPr>
          <w:rFonts w:ascii="Times New Roman" w:hAnsi="Times New Roman" w:eastAsia="仿宋_GB2312"/>
          <w:sz w:val="32"/>
          <w:szCs w:val="32"/>
        </w:rPr>
        <w:t>/</w:t>
      </w:r>
      <w:r>
        <w:rPr>
          <w:rFonts w:hint="eastAsia" w:ascii="宋体" w:hAnsi="宋体" w:cs="宋体"/>
          <w:sz w:val="32"/>
          <w:szCs w:val="32"/>
        </w:rPr>
        <w:t>Ⅱ</w:t>
      </w:r>
      <w:r>
        <w:rPr>
          <w:rFonts w:hint="eastAsia" w:ascii="Times New Roman" w:hAnsi="Times New Roman" w:eastAsia="仿宋_GB2312"/>
          <w:sz w:val="32"/>
          <w:szCs w:val="32"/>
        </w:rPr>
        <w:t>的浓度。</w:t>
      </w:r>
      <w:r>
        <w:rPr>
          <w:rFonts w:hint="eastAsia" w:eastAsia="仿宋_GB2312"/>
          <w:bCs/>
          <w:sz w:val="32"/>
          <w:szCs w:val="32"/>
        </w:rPr>
        <w:t>上述内容均应有相应的分析性能评估资料和临床评价资料支持。</w:t>
      </w:r>
    </w:p>
    <w:p w14:paraId="6605887C">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3.2</w:t>
      </w:r>
      <w:r>
        <w:rPr>
          <w:rFonts w:hint="eastAsia" w:ascii="Times New Roman" w:hAnsi="Times New Roman" w:eastAsia="仿宋_GB2312"/>
          <w:sz w:val="32"/>
          <w:szCs w:val="32"/>
        </w:rPr>
        <w:t>说明与预期用途相关的临床适应症及背景情况，说明相关的临床或实验室诊断方法等。</w:t>
      </w:r>
    </w:p>
    <w:p w14:paraId="7D51E857">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【检验原理】</w:t>
      </w:r>
    </w:p>
    <w:p w14:paraId="4A4B5601">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详细说明检验原理、方法，必要时可采用图示或反应方程式的方法描述。</w:t>
      </w:r>
    </w:p>
    <w:p w14:paraId="472F3CB4">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【主要组成成分】</w:t>
      </w:r>
    </w:p>
    <w:p w14:paraId="7A38A525">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5.1</w:t>
      </w:r>
      <w:r>
        <w:rPr>
          <w:rFonts w:hint="eastAsia" w:ascii="Times New Roman" w:hAnsi="Times New Roman" w:eastAsia="仿宋_GB2312"/>
          <w:sz w:val="32"/>
          <w:szCs w:val="32"/>
        </w:rPr>
        <w:t>说明试剂（盒）包含组分的名称、数量、比例或浓度等信息。对于多组分试剂盒，明确说明不同批号试剂盒中各组分是否可以互换，如可互换，还需提供相应的性能验证资料。</w:t>
      </w:r>
    </w:p>
    <w:p w14:paraId="6A2481E3">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5.2</w:t>
      </w:r>
      <w:r>
        <w:rPr>
          <w:rFonts w:hint="eastAsia" w:ascii="Times New Roman" w:hAnsi="Times New Roman" w:eastAsia="仿宋_GB2312"/>
          <w:sz w:val="32"/>
          <w:szCs w:val="32"/>
        </w:rPr>
        <w:t>试剂盒内如包含校准品和</w:t>
      </w:r>
      <w:r>
        <w:rPr>
          <w:rFonts w:ascii="Times New Roman" w:hAnsi="Times New Roman" w:eastAsia="仿宋_GB2312"/>
          <w:sz w:val="32"/>
          <w:szCs w:val="32"/>
        </w:rPr>
        <w:t>/</w:t>
      </w:r>
      <w:r>
        <w:rPr>
          <w:rFonts w:hint="eastAsia" w:ascii="Times New Roman" w:hAnsi="Times New Roman" w:eastAsia="仿宋_GB2312"/>
          <w:sz w:val="32"/>
          <w:szCs w:val="32"/>
        </w:rPr>
        <w:t>或质控品，应说明其主要组成成分及其生物学来源，校准品应注明其定值及溯源性（具有批特异性的校准品还应注明浓度范围区间），溯源性至少应写明溯源到的最高级别，包括标准物质编号。质控品应注明靶值范围，如靶值范围为批特异，可注明批特异，并附单独的靶值单。</w:t>
      </w:r>
    </w:p>
    <w:p w14:paraId="1597CEA3">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5.3</w:t>
      </w:r>
      <w:r>
        <w:rPr>
          <w:rFonts w:hint="eastAsia" w:ascii="Times New Roman" w:hAnsi="Times New Roman" w:eastAsia="仿宋_GB2312"/>
          <w:sz w:val="32"/>
          <w:szCs w:val="32"/>
        </w:rPr>
        <w:t>对于产品中不包含，但对该试验必需的试剂组分，说明书中应列出此类试剂的名称、纯度，提供稀释或混合方法及其他相关信息。</w:t>
      </w:r>
    </w:p>
    <w:p w14:paraId="7BDF0FA3">
      <w:pPr>
        <w:pStyle w:val="11"/>
        <w:ind w:firstLine="640"/>
        <w:rPr>
          <w:rFonts w:ascii="Times New Roman" w:hAnsi="Times New Roman" w:eastAsia="仿宋_GB2312"/>
          <w:sz w:val="32"/>
          <w:szCs w:val="32"/>
        </w:rPr>
      </w:pPr>
      <w:r>
        <w:rPr>
          <w:rFonts w:ascii="Times New Roman" w:hAnsi="Times New Roman" w:eastAsia="仿宋_GB2312"/>
          <w:sz w:val="32"/>
          <w:szCs w:val="32"/>
        </w:rPr>
        <w:t>5.4</w:t>
      </w:r>
      <w:r>
        <w:rPr>
          <w:rFonts w:hint="eastAsia" w:ascii="Times New Roman" w:hAnsi="Times New Roman" w:eastAsia="仿宋_GB2312"/>
          <w:sz w:val="32"/>
          <w:szCs w:val="32"/>
        </w:rPr>
        <w:t>对于非试剂组分，如试验用耗材（封板膜、自封袋）、质量控制证书、赋值表（靶值单）、校准卡等，应注明相关信息。</w:t>
      </w:r>
    </w:p>
    <w:p w14:paraId="3767EAE8">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【储存条件及有效期】</w:t>
      </w:r>
    </w:p>
    <w:p w14:paraId="28ABA884">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6.1</w:t>
      </w:r>
      <w:r>
        <w:rPr>
          <w:rFonts w:hint="eastAsia" w:ascii="Times New Roman" w:hAnsi="Times New Roman" w:eastAsia="仿宋_GB2312"/>
          <w:sz w:val="32"/>
          <w:szCs w:val="32"/>
        </w:rPr>
        <w:t>对试剂的效期稳定性、开封稳定性、复溶稳定性（如适用）等信息作详细介绍，包括环境温湿度、避光条件等。</w:t>
      </w:r>
    </w:p>
    <w:p w14:paraId="5C6C8873">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6.2</w:t>
      </w:r>
      <w:r>
        <w:rPr>
          <w:rFonts w:hint="eastAsia" w:ascii="Times New Roman" w:hAnsi="Times New Roman" w:eastAsia="仿宋_GB2312"/>
          <w:sz w:val="32"/>
          <w:szCs w:val="32"/>
        </w:rPr>
        <w:t>不同组分保存条件及有效期不同时，应分别说明。产品有效期以其中效期最短的为准。</w:t>
      </w:r>
    </w:p>
    <w:p w14:paraId="4ABB7BF8">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注：保存条件不应有模糊表述，如</w:t>
      </w:r>
      <w:r>
        <w:rPr>
          <w:rFonts w:ascii="Times New Roman" w:hAnsi="Times New Roman" w:eastAsia="仿宋_GB2312"/>
          <w:sz w:val="32"/>
          <w:szCs w:val="32"/>
        </w:rPr>
        <w:t>“</w:t>
      </w:r>
      <w:r>
        <w:rPr>
          <w:rFonts w:hint="eastAsia" w:ascii="Times New Roman" w:hAnsi="Times New Roman" w:eastAsia="仿宋_GB2312"/>
          <w:sz w:val="32"/>
          <w:szCs w:val="32"/>
        </w:rPr>
        <w:t>室温</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 xml:space="preserve"> “</w:t>
      </w:r>
      <w:r>
        <w:rPr>
          <w:rFonts w:hint="eastAsia" w:ascii="Times New Roman" w:hAnsi="Times New Roman" w:eastAsia="仿宋_GB2312"/>
          <w:sz w:val="32"/>
          <w:szCs w:val="32"/>
        </w:rPr>
        <w:t>常温</w:t>
      </w:r>
      <w:r>
        <w:rPr>
          <w:rFonts w:ascii="Times New Roman" w:hAnsi="Times New Roman" w:eastAsia="仿宋_GB2312"/>
          <w:sz w:val="32"/>
          <w:szCs w:val="32"/>
        </w:rPr>
        <w:t>”</w:t>
      </w:r>
      <w:r>
        <w:rPr>
          <w:rFonts w:hint="eastAsia" w:ascii="Times New Roman" w:hAnsi="Times New Roman" w:eastAsia="仿宋_GB2312"/>
          <w:sz w:val="32"/>
          <w:szCs w:val="32"/>
        </w:rPr>
        <w:t>，应明确贮存温度，如</w:t>
      </w: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~8</w:t>
      </w:r>
      <w:r>
        <w:rPr>
          <w:rFonts w:hint="eastAsia" w:ascii="Times New Roman" w:hAnsi="Times New Roman" w:eastAsia="仿宋_GB2312"/>
          <w:sz w:val="32"/>
          <w:szCs w:val="32"/>
        </w:rPr>
        <w:t>℃，有效期</w:t>
      </w:r>
      <w:r>
        <w:rPr>
          <w:rFonts w:ascii="Times New Roman" w:hAnsi="Times New Roman" w:eastAsia="仿宋_GB2312"/>
          <w:sz w:val="32"/>
          <w:szCs w:val="32"/>
        </w:rPr>
        <w:t>12</w:t>
      </w:r>
      <w:r>
        <w:rPr>
          <w:rFonts w:hint="eastAsia" w:ascii="Times New Roman" w:hAnsi="Times New Roman" w:eastAsia="仿宋_GB2312"/>
          <w:sz w:val="32"/>
          <w:szCs w:val="32"/>
        </w:rPr>
        <w:t>个月。稳定期限应以月或日或小时为单位。</w:t>
      </w:r>
    </w:p>
    <w:p w14:paraId="158FAAEB">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6.3</w:t>
      </w:r>
      <w:r>
        <w:rPr>
          <w:rFonts w:hint="eastAsia" w:ascii="Times New Roman" w:hAnsi="Times New Roman" w:eastAsia="仿宋_GB2312"/>
          <w:sz w:val="32"/>
          <w:szCs w:val="32"/>
        </w:rPr>
        <w:t>生产日期、使用期限或失效日期（可见标签）。</w:t>
      </w:r>
    </w:p>
    <w:p w14:paraId="439CBA56">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【适用仪器】</w:t>
      </w:r>
    </w:p>
    <w:p w14:paraId="6EA53B39">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7.1</w:t>
      </w:r>
      <w:r>
        <w:rPr>
          <w:rFonts w:hint="eastAsia" w:ascii="Times New Roman" w:hAnsi="Times New Roman" w:eastAsia="仿宋_GB2312"/>
          <w:sz w:val="32"/>
          <w:szCs w:val="32"/>
        </w:rPr>
        <w:t>如适用仪器为非通用的仪器则需写明具体适用仪器的型号，不能泛指某一系列仪器，并且与分析性能评估资料一致。</w:t>
      </w:r>
    </w:p>
    <w:p w14:paraId="53DDEC92">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7.2</w:t>
      </w:r>
      <w:r>
        <w:rPr>
          <w:rFonts w:hint="eastAsia" w:ascii="Times New Roman" w:hAnsi="Times New Roman" w:eastAsia="仿宋_GB2312"/>
          <w:sz w:val="32"/>
          <w:szCs w:val="32"/>
        </w:rPr>
        <w:t>如适用仪器为酶标仪则需给出对酶标仪配置的要求，并与分析性能评估资料。</w:t>
      </w:r>
    </w:p>
    <w:p w14:paraId="03C9886A">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sz w:val="32"/>
          <w:szCs w:val="32"/>
        </w:rPr>
        <w:t>【样本要求】</w:t>
      </w:r>
    </w:p>
    <w:p w14:paraId="65830925">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重点明确以下内容：</w:t>
      </w:r>
    </w:p>
    <w:p w14:paraId="6F02CAF2">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8.1</w:t>
      </w:r>
      <w:r>
        <w:rPr>
          <w:rFonts w:hint="eastAsia" w:eastAsia="仿宋_GB2312"/>
          <w:bCs/>
          <w:sz w:val="32"/>
          <w:szCs w:val="32"/>
        </w:rPr>
        <w:t>说明对采血管及抗凝剂的要求：明确样本类型、采血管材质和抗凝剂。有关描述均应建立在相关性能评价及稳定性研究的基础上。</w:t>
      </w:r>
    </w:p>
    <w:p w14:paraId="5930A571">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8.2</w:t>
      </w:r>
      <w:r>
        <w:rPr>
          <w:rFonts w:hint="eastAsia" w:ascii="Times New Roman" w:hAnsi="Times New Roman" w:eastAsia="仿宋_GB2312"/>
          <w:sz w:val="32"/>
          <w:szCs w:val="32"/>
        </w:rPr>
        <w:t>样本处理及保存：样本处理方法、保存条件及期限、运输条件，冷藏</w:t>
      </w:r>
      <w:r>
        <w:rPr>
          <w:rFonts w:ascii="Times New Roman" w:hAnsi="Times New Roman" w:eastAsia="仿宋_GB2312"/>
          <w:sz w:val="32"/>
          <w:szCs w:val="32"/>
        </w:rPr>
        <w:t>/</w:t>
      </w:r>
      <w:r>
        <w:rPr>
          <w:rFonts w:hint="eastAsia" w:ascii="Times New Roman" w:hAnsi="Times New Roman" w:eastAsia="仿宋_GB2312"/>
          <w:sz w:val="32"/>
          <w:szCs w:val="32"/>
        </w:rPr>
        <w:t>冷冻样本检测前是否需恢复室温及可冻融次数，对储存样本的添加剂要求等，以上内容应与样本稳定性的研究结果一致。</w:t>
      </w:r>
    </w:p>
    <w:p w14:paraId="3A47BFE2">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9.</w:t>
      </w:r>
      <w:r>
        <w:rPr>
          <w:rFonts w:hint="eastAsia" w:ascii="Times New Roman" w:hAnsi="Times New Roman" w:eastAsia="仿宋_GB2312"/>
          <w:sz w:val="32"/>
          <w:szCs w:val="32"/>
        </w:rPr>
        <w:t>【检验方法】详细说明试验操作的各个步骤，包括：</w:t>
      </w:r>
    </w:p>
    <w:p w14:paraId="6D992727">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9.1</w:t>
      </w:r>
      <w:r>
        <w:rPr>
          <w:rFonts w:hint="eastAsia" w:eastAsia="仿宋_GB2312"/>
          <w:bCs/>
          <w:sz w:val="32"/>
          <w:szCs w:val="32"/>
        </w:rPr>
        <w:t>试剂使用方法、注意事项，试剂开封后注意事项等。</w:t>
      </w:r>
    </w:p>
    <w:p w14:paraId="277FEC25">
      <w:pPr>
        <w:pStyle w:val="10"/>
        <w:spacing w:line="480" w:lineRule="exact"/>
        <w:ind w:firstLine="640"/>
        <w:rPr>
          <w:rFonts w:eastAsia="仿宋_GB2312"/>
          <w:bCs/>
          <w:sz w:val="32"/>
          <w:szCs w:val="32"/>
        </w:rPr>
      </w:pPr>
      <w:r>
        <w:rPr>
          <w:rFonts w:eastAsia="仿宋_GB2312"/>
          <w:bCs/>
          <w:sz w:val="32"/>
          <w:szCs w:val="32"/>
        </w:rPr>
        <w:t>9.2</w:t>
      </w:r>
      <w:r>
        <w:rPr>
          <w:rFonts w:hint="eastAsia" w:eastAsia="仿宋_GB2312"/>
          <w:bCs/>
          <w:sz w:val="32"/>
          <w:szCs w:val="32"/>
        </w:rPr>
        <w:t>试验条件：温度、时间、仪器波长等以及试验过程中的注意事项。</w:t>
      </w:r>
    </w:p>
    <w:p w14:paraId="71930D59">
      <w:pPr>
        <w:pStyle w:val="11"/>
        <w:ind w:firstLine="640"/>
        <w:rPr>
          <w:rFonts w:ascii="Calibri" w:hAnsi="Calibri" w:eastAsia="仿宋_GB2312"/>
          <w:bCs/>
          <w:sz w:val="32"/>
          <w:szCs w:val="32"/>
        </w:rPr>
      </w:pPr>
      <w:r>
        <w:rPr>
          <w:rFonts w:ascii="Calibri" w:hAnsi="Calibri" w:eastAsia="仿宋_GB2312"/>
          <w:bCs/>
          <w:sz w:val="32"/>
          <w:szCs w:val="32"/>
        </w:rPr>
        <w:t>9.3</w:t>
      </w:r>
      <w:r>
        <w:rPr>
          <w:rFonts w:hint="eastAsia" w:ascii="Calibri" w:hAnsi="Calibri" w:eastAsia="仿宋_GB2312"/>
          <w:bCs/>
          <w:sz w:val="32"/>
          <w:szCs w:val="32"/>
        </w:rPr>
        <w:t>待测样本的预处理方法、步骤及注意事项。</w:t>
      </w:r>
    </w:p>
    <w:p w14:paraId="3173FB3B">
      <w:pPr>
        <w:pStyle w:val="11"/>
        <w:ind w:firstLine="640"/>
        <w:rPr>
          <w:rFonts w:ascii="Calibri" w:hAnsi="Calibri" w:eastAsia="仿宋_GB2312"/>
          <w:bCs/>
          <w:sz w:val="32"/>
          <w:szCs w:val="32"/>
        </w:rPr>
      </w:pPr>
      <w:r>
        <w:rPr>
          <w:rFonts w:ascii="Calibri" w:hAnsi="Calibri" w:eastAsia="仿宋_GB2312"/>
          <w:bCs/>
          <w:sz w:val="32"/>
          <w:szCs w:val="32"/>
        </w:rPr>
        <w:t>9.4</w:t>
      </w:r>
      <w:r>
        <w:rPr>
          <w:rFonts w:hint="eastAsia" w:eastAsia="仿宋_GB2312"/>
          <w:bCs/>
          <w:sz w:val="32"/>
          <w:szCs w:val="32"/>
        </w:rPr>
        <w:t>明确样本检测的操作步骤。</w:t>
      </w:r>
    </w:p>
    <w:p w14:paraId="4979CF7D">
      <w:pPr>
        <w:pStyle w:val="10"/>
        <w:spacing w:line="480" w:lineRule="exact"/>
        <w:ind w:firstLine="640"/>
        <w:rPr>
          <w:rFonts w:ascii="Times New Roman" w:hAnsi="Times New Roman" w:eastAsia="仿宋_GB2312"/>
          <w:sz w:val="32"/>
          <w:szCs w:val="32"/>
        </w:rPr>
      </w:pPr>
      <w:r>
        <w:rPr>
          <w:rFonts w:eastAsia="仿宋_GB2312"/>
          <w:bCs/>
          <w:sz w:val="32"/>
          <w:szCs w:val="32"/>
        </w:rPr>
        <w:t>9.5</w:t>
      </w:r>
      <w:r>
        <w:rPr>
          <w:rFonts w:hint="eastAsia" w:eastAsia="仿宋_GB2312"/>
          <w:bCs/>
          <w:sz w:val="32"/>
          <w:szCs w:val="32"/>
        </w:rPr>
        <w:t>校准：校准品的使用方法、注意事项、校准曲线的</w:t>
      </w:r>
      <w:r>
        <w:rPr>
          <w:rFonts w:hint="eastAsia" w:ascii="Times New Roman" w:hAnsi="Times New Roman" w:eastAsia="仿宋_GB2312"/>
          <w:sz w:val="32"/>
          <w:szCs w:val="32"/>
        </w:rPr>
        <w:t>绘制。应注明推荐的仪器校准周期。</w:t>
      </w:r>
    </w:p>
    <w:p w14:paraId="6119CC12">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9.6</w:t>
      </w:r>
      <w:r>
        <w:rPr>
          <w:rFonts w:hint="eastAsia" w:ascii="Times New Roman" w:hAnsi="Times New Roman" w:eastAsia="仿宋_GB2312"/>
          <w:sz w:val="32"/>
          <w:szCs w:val="32"/>
        </w:rPr>
        <w:t>质量控制：质控品的使用方法、对质控结果的必要解释以及推荐的质控周期等。</w:t>
      </w:r>
    </w:p>
    <w:p w14:paraId="35B6AA54">
      <w:pPr>
        <w:pStyle w:val="10"/>
        <w:spacing w:line="480" w:lineRule="exact"/>
        <w:ind w:firstLine="640"/>
        <w:rPr>
          <w:rFonts w:eastAsia="仿宋_GB2312"/>
          <w:bCs/>
          <w:sz w:val="32"/>
          <w:szCs w:val="32"/>
        </w:rPr>
      </w:pPr>
      <w:r>
        <w:rPr>
          <w:rFonts w:eastAsia="仿宋_GB2312"/>
          <w:bCs/>
          <w:sz w:val="32"/>
          <w:szCs w:val="32"/>
        </w:rPr>
        <w:t>9.7</w:t>
      </w:r>
      <w:r>
        <w:rPr>
          <w:rFonts w:hint="eastAsia" w:eastAsia="仿宋_GB2312"/>
          <w:bCs/>
          <w:sz w:val="32"/>
          <w:szCs w:val="32"/>
        </w:rPr>
        <w:t>结果计算：对于手工</w:t>
      </w:r>
      <w:r>
        <w:rPr>
          <w:rFonts w:eastAsia="仿宋_GB2312"/>
          <w:bCs/>
          <w:sz w:val="32"/>
          <w:szCs w:val="32"/>
        </w:rPr>
        <w:t>/</w:t>
      </w:r>
      <w:r>
        <w:rPr>
          <w:rFonts w:hint="eastAsia" w:eastAsia="仿宋_GB2312"/>
          <w:bCs/>
          <w:sz w:val="32"/>
          <w:szCs w:val="32"/>
        </w:rPr>
        <w:t>半自动仪器，详细说明校准曲线拟合方式及结果计算方法。</w:t>
      </w:r>
    </w:p>
    <w:p w14:paraId="3BB11F8C">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10.</w:t>
      </w:r>
      <w:r>
        <w:rPr>
          <w:rFonts w:hint="eastAsia" w:ascii="Times New Roman" w:hAnsi="Times New Roman" w:eastAsia="仿宋_GB2312"/>
          <w:sz w:val="32"/>
          <w:szCs w:val="32"/>
        </w:rPr>
        <w:t>【参考区间】</w:t>
      </w:r>
    </w:p>
    <w:p w14:paraId="15141F32">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10.1</w:t>
      </w:r>
      <w:r>
        <w:rPr>
          <w:rFonts w:hint="eastAsia" w:ascii="Times New Roman" w:hAnsi="Times New Roman" w:eastAsia="仿宋_GB2312"/>
          <w:sz w:val="32"/>
          <w:szCs w:val="32"/>
        </w:rPr>
        <w:t>应注明常用样本类型的正常参考区间，若不同样本类型或性别的参考区间不同，应分别列出，并与参考区间确定资料一致。</w:t>
      </w:r>
    </w:p>
    <w:p w14:paraId="3FFD72C4">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10.2</w:t>
      </w:r>
      <w:r>
        <w:rPr>
          <w:rFonts w:hint="eastAsia" w:ascii="Times New Roman" w:hAnsi="Times New Roman" w:eastAsia="仿宋_GB2312"/>
          <w:sz w:val="32"/>
          <w:szCs w:val="32"/>
        </w:rPr>
        <w:t>简要说明参考区间确定的方法。</w:t>
      </w:r>
    </w:p>
    <w:p w14:paraId="7928AC7B">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10.3</w:t>
      </w:r>
      <w:r>
        <w:rPr>
          <w:rFonts w:hint="eastAsia" w:ascii="Times New Roman" w:hAnsi="Times New Roman" w:eastAsia="仿宋_GB2312"/>
          <w:sz w:val="32"/>
          <w:szCs w:val="32"/>
        </w:rPr>
        <w:t>建议注明以下字样</w:t>
      </w:r>
      <w:r>
        <w:rPr>
          <w:rFonts w:ascii="Times New Roman" w:hAnsi="Times New Roman" w:eastAsia="仿宋_GB2312"/>
          <w:sz w:val="32"/>
          <w:szCs w:val="32"/>
        </w:rPr>
        <w:t>“</w:t>
      </w:r>
      <w:r>
        <w:rPr>
          <w:rFonts w:hint="eastAsia" w:ascii="Times New Roman" w:hAnsi="Times New Roman" w:eastAsia="仿宋_GB2312"/>
          <w:sz w:val="32"/>
          <w:szCs w:val="32"/>
        </w:rPr>
        <w:t>由于地理、人种、性别及年龄等差异，建议各实验室建立自己的参考区间</w:t>
      </w:r>
      <w:r>
        <w:rPr>
          <w:rFonts w:ascii="Times New Roman" w:hAnsi="Times New Roman" w:eastAsia="仿宋_GB2312"/>
          <w:sz w:val="32"/>
          <w:szCs w:val="32"/>
        </w:rPr>
        <w:t>”</w:t>
      </w:r>
      <w:r>
        <w:rPr>
          <w:rFonts w:hint="eastAsia" w:ascii="Times New Roman" w:hAnsi="Times New Roman" w:eastAsia="仿宋_GB2312"/>
          <w:sz w:val="32"/>
          <w:szCs w:val="32"/>
        </w:rPr>
        <w:t>。</w:t>
      </w:r>
    </w:p>
    <w:p w14:paraId="286DDE60">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11.</w:t>
      </w:r>
      <w:r>
        <w:rPr>
          <w:rFonts w:hint="eastAsia" w:ascii="Times New Roman" w:hAnsi="Times New Roman" w:eastAsia="仿宋_GB2312"/>
          <w:sz w:val="32"/>
          <w:szCs w:val="32"/>
        </w:rPr>
        <w:t>【检验结果的解释】</w:t>
      </w:r>
    </w:p>
    <w:p w14:paraId="19F8CDBD">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说明可能对试验结果产生影响的因素，明确有可能存在的数值升高因素及数值降低因素，明确说明对何种条件下需要进行确认试验，以及在确认试验时对待测样本可能采取的优化条件等进行详述。</w:t>
      </w:r>
    </w:p>
    <w:p w14:paraId="78F97C5C">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若超过线性区间上限的高浓度样本可稀释后测定，则应说明样本的最大可稀释倍数、稀释溶液等信息。</w:t>
      </w:r>
    </w:p>
    <w:p w14:paraId="1624D82D">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12.</w:t>
      </w:r>
      <w:r>
        <w:rPr>
          <w:rFonts w:hint="eastAsia" w:ascii="Times New Roman" w:hAnsi="Times New Roman" w:eastAsia="仿宋_GB2312"/>
          <w:sz w:val="32"/>
          <w:szCs w:val="32"/>
        </w:rPr>
        <w:t>【检验方法的局限性】</w:t>
      </w:r>
    </w:p>
    <w:p w14:paraId="1E85E87A">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12.1</w:t>
      </w:r>
      <w:r>
        <w:rPr>
          <w:rFonts w:hint="eastAsia" w:ascii="Times New Roman" w:hAnsi="Times New Roman" w:eastAsia="仿宋_GB2312"/>
          <w:sz w:val="32"/>
          <w:szCs w:val="32"/>
        </w:rPr>
        <w:t>应注明本试剂的检测结果仅供临床参考，不能单独作为确诊或排除病例的依据，对患者的临床诊治应结合其症状</w:t>
      </w:r>
      <w:r>
        <w:rPr>
          <w:rFonts w:ascii="Times New Roman" w:hAnsi="Times New Roman" w:eastAsia="仿宋_GB2312"/>
          <w:sz w:val="32"/>
          <w:szCs w:val="32"/>
        </w:rPr>
        <w:t>/</w:t>
      </w:r>
      <w:r>
        <w:rPr>
          <w:rFonts w:hint="eastAsia" w:ascii="Times New Roman" w:hAnsi="Times New Roman" w:eastAsia="仿宋_GB2312"/>
          <w:sz w:val="32"/>
          <w:szCs w:val="32"/>
        </w:rPr>
        <w:t>体征、病史、其他实验室检查及治疗反应等情况综合考虑。</w:t>
      </w:r>
    </w:p>
    <w:p w14:paraId="123457A8">
      <w:pPr>
        <w:pStyle w:val="10"/>
        <w:spacing w:line="480" w:lineRule="exact"/>
        <w:ind w:firstLine="640"/>
      </w:pPr>
      <w:r>
        <w:rPr>
          <w:rFonts w:ascii="Times New Roman" w:hAnsi="Times New Roman" w:eastAsia="仿宋_GB2312"/>
          <w:sz w:val="32"/>
          <w:szCs w:val="32"/>
        </w:rPr>
        <w:t>12.2</w:t>
      </w:r>
      <w:r>
        <w:rPr>
          <w:rFonts w:hint="eastAsia" w:ascii="Times New Roman" w:hAnsi="Times New Roman" w:eastAsia="仿宋_GB2312"/>
          <w:sz w:val="32"/>
          <w:szCs w:val="32"/>
        </w:rPr>
        <w:t>说明该检验方法由于哪些原因会使测量结果产生偏离，或测量结果还不能完全满足临床需要，如</w:t>
      </w:r>
      <w:r>
        <w:rPr>
          <w:rFonts w:eastAsia="仿宋_GB2312"/>
          <w:bCs/>
          <w:sz w:val="32"/>
          <w:szCs w:val="32"/>
        </w:rPr>
        <w:t>HOOK</w:t>
      </w:r>
      <w:r>
        <w:rPr>
          <w:rFonts w:hint="eastAsia" w:eastAsia="仿宋_GB2312"/>
          <w:bCs/>
          <w:sz w:val="32"/>
          <w:szCs w:val="32"/>
        </w:rPr>
        <w:t>效应</w:t>
      </w:r>
      <w:r>
        <w:rPr>
          <w:rFonts w:hint="eastAsia" w:ascii="Times New Roman" w:hAnsi="Times New Roman" w:eastAsia="仿宋_GB2312"/>
          <w:sz w:val="32"/>
          <w:szCs w:val="32"/>
        </w:rPr>
        <w:t>等。应明确</w:t>
      </w:r>
      <w:r>
        <w:rPr>
          <w:rFonts w:hint="eastAsia" w:eastAsia="仿宋_GB2312"/>
          <w:bCs/>
          <w:sz w:val="32"/>
          <w:szCs w:val="32"/>
        </w:rPr>
        <w:t>干扰物对测定的影响，同时列出干扰物的具体浓度，不应使用模糊的描述方式。</w:t>
      </w:r>
    </w:p>
    <w:p w14:paraId="7D137882">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13.</w:t>
      </w:r>
      <w:r>
        <w:rPr>
          <w:rFonts w:hint="eastAsia" w:ascii="Times New Roman" w:hAnsi="Times New Roman" w:eastAsia="仿宋_GB2312"/>
          <w:sz w:val="32"/>
          <w:szCs w:val="32"/>
        </w:rPr>
        <w:t>【产品性能指标】</w:t>
      </w:r>
    </w:p>
    <w:p w14:paraId="6F030112">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产品性能指标应符合产品技术要求。说明该产品主要性能指标，应至少包括：检出限、线性区间、准确度、精密度、特异性、校准品</w:t>
      </w:r>
      <w:r>
        <w:rPr>
          <w:rFonts w:ascii="Times New Roman" w:hAnsi="Times New Roman" w:eastAsia="仿宋_GB2312"/>
          <w:sz w:val="32"/>
          <w:szCs w:val="32"/>
        </w:rPr>
        <w:t>/</w:t>
      </w:r>
      <w:r>
        <w:rPr>
          <w:rFonts w:hint="eastAsia" w:ascii="Times New Roman" w:hAnsi="Times New Roman" w:eastAsia="仿宋_GB2312"/>
          <w:sz w:val="32"/>
          <w:szCs w:val="32"/>
        </w:rPr>
        <w:t>质控品性能（如适用）等。</w:t>
      </w:r>
    </w:p>
    <w:p w14:paraId="614CF477">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14.</w:t>
      </w:r>
      <w:r>
        <w:rPr>
          <w:rFonts w:hint="eastAsia" w:ascii="Times New Roman" w:hAnsi="Times New Roman" w:eastAsia="仿宋_GB2312"/>
          <w:sz w:val="32"/>
          <w:szCs w:val="32"/>
        </w:rPr>
        <w:t>【注意事项】应至少包括以下内容：</w:t>
      </w:r>
    </w:p>
    <w:p w14:paraId="604B6CD8">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14.1</w:t>
      </w:r>
      <w:r>
        <w:rPr>
          <w:rFonts w:hint="eastAsia" w:ascii="Times New Roman" w:hAnsi="Times New Roman" w:eastAsia="仿宋_GB2312"/>
          <w:sz w:val="32"/>
          <w:szCs w:val="32"/>
        </w:rPr>
        <w:t>本试剂的检测结果仅供临床参考，对患者的临床诊治应结合其症状</w:t>
      </w:r>
      <w:r>
        <w:rPr>
          <w:rFonts w:ascii="Times New Roman" w:hAnsi="Times New Roman" w:eastAsia="仿宋_GB2312"/>
          <w:sz w:val="32"/>
          <w:szCs w:val="32"/>
        </w:rPr>
        <w:t>/</w:t>
      </w:r>
      <w:r>
        <w:rPr>
          <w:rFonts w:hint="eastAsia" w:ascii="Times New Roman" w:hAnsi="Times New Roman" w:eastAsia="仿宋_GB2312"/>
          <w:sz w:val="32"/>
          <w:szCs w:val="32"/>
        </w:rPr>
        <w:t>体征、病史、其他实验室检查及治疗反应等情况综合考虑。</w:t>
      </w:r>
    </w:p>
    <w:p w14:paraId="489B7EB9">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14.2</w:t>
      </w:r>
      <w:r>
        <w:rPr>
          <w:rFonts w:hint="eastAsia" w:ascii="Times New Roman" w:hAnsi="Times New Roman" w:eastAsia="仿宋_GB2312"/>
          <w:sz w:val="32"/>
          <w:szCs w:val="32"/>
        </w:rPr>
        <w:t>使用不同生产商的试剂对同一份样本进行检测，检测结果可能会存在差异应依据不同生产商试剂的参考范围进行解读。</w:t>
      </w:r>
    </w:p>
    <w:p w14:paraId="10595A66">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14.3</w:t>
      </w:r>
      <w:r>
        <w:rPr>
          <w:rFonts w:hint="eastAsia" w:ascii="Times New Roman" w:hAnsi="Times New Roman" w:eastAsia="仿宋_GB2312"/>
          <w:sz w:val="32"/>
          <w:szCs w:val="32"/>
        </w:rPr>
        <w:t>如无确切的证据证明其安全性，对所有样本和反应废弃物都应视为传染源对待，提示操作者采取必要的防护措施。若试剂组分中，如质控品、校准品等含有</w:t>
      </w:r>
      <w:r>
        <w:rPr>
          <w:rFonts w:hint="eastAsia" w:eastAsia="仿宋_GB2312"/>
          <w:bCs/>
          <w:sz w:val="32"/>
          <w:szCs w:val="32"/>
        </w:rPr>
        <w:t>人源物质的组分，这些组分亦应该被</w:t>
      </w:r>
      <w:r>
        <w:rPr>
          <w:rFonts w:hint="eastAsia" w:ascii="Times New Roman" w:hAnsi="Times New Roman" w:eastAsia="仿宋_GB2312"/>
          <w:sz w:val="32"/>
          <w:szCs w:val="32"/>
        </w:rPr>
        <w:t>视为传染源对待；</w:t>
      </w:r>
      <w:r>
        <w:rPr>
          <w:rFonts w:hint="eastAsia" w:eastAsia="仿宋_GB2312"/>
          <w:bCs/>
          <w:sz w:val="32"/>
          <w:szCs w:val="32"/>
        </w:rPr>
        <w:t>对于动物源性组分，应给出具有潜在感染性的警告。</w:t>
      </w:r>
    </w:p>
    <w:p w14:paraId="4EEDB0B4">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14.4</w:t>
      </w:r>
      <w:r>
        <w:rPr>
          <w:rFonts w:hint="eastAsia" w:ascii="Times New Roman" w:hAnsi="Times New Roman" w:eastAsia="仿宋_GB2312"/>
          <w:sz w:val="32"/>
          <w:szCs w:val="32"/>
        </w:rPr>
        <w:t>试剂中含有的化学成分如接触人体后会产生不良的影响，应明确给予提示。</w:t>
      </w:r>
    </w:p>
    <w:p w14:paraId="0FA0C555">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15.</w:t>
      </w:r>
      <w:r>
        <w:rPr>
          <w:rFonts w:hint="eastAsia" w:ascii="Times New Roman" w:hAnsi="Times New Roman" w:eastAsia="仿宋_GB2312"/>
          <w:sz w:val="32"/>
          <w:szCs w:val="32"/>
        </w:rPr>
        <w:t>【标识的解释】</w:t>
      </w:r>
    </w:p>
    <w:p w14:paraId="25BEFC7C">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如有图形或符号，请解释其代表的意义。</w:t>
      </w:r>
    </w:p>
    <w:p w14:paraId="2AE8FA23">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16.</w:t>
      </w:r>
      <w:r>
        <w:rPr>
          <w:rFonts w:hint="eastAsia" w:ascii="Times New Roman" w:hAnsi="Times New Roman" w:eastAsia="仿宋_GB2312"/>
          <w:sz w:val="32"/>
          <w:szCs w:val="32"/>
        </w:rPr>
        <w:t>【参考文献】</w:t>
      </w:r>
    </w:p>
    <w:p w14:paraId="46D0E96E">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注明引用参考文献，其书写应清楚、易查询且格式规范统一。</w:t>
      </w:r>
    </w:p>
    <w:p w14:paraId="5797FD32">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17.</w:t>
      </w:r>
      <w:r>
        <w:rPr>
          <w:rFonts w:hint="eastAsia" w:ascii="Times New Roman" w:hAnsi="Times New Roman" w:eastAsia="仿宋_GB2312"/>
          <w:sz w:val="32"/>
          <w:szCs w:val="32"/>
        </w:rPr>
        <w:t>【基本信息】</w:t>
      </w:r>
    </w:p>
    <w:p w14:paraId="7CD95801">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参照《体外诊断试剂说明书编写指导原则》的相关内容编写。</w:t>
      </w:r>
    </w:p>
    <w:p w14:paraId="39120D55">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18.</w:t>
      </w:r>
      <w:r>
        <w:rPr>
          <w:rFonts w:hint="eastAsia" w:ascii="Times New Roman" w:hAnsi="Times New Roman" w:eastAsia="仿宋_GB2312"/>
          <w:sz w:val="32"/>
          <w:szCs w:val="32"/>
        </w:rPr>
        <w:t>【医疗器械注册证编号</w:t>
      </w:r>
      <w:r>
        <w:rPr>
          <w:rFonts w:ascii="Times New Roman" w:hAnsi="Times New Roman" w:eastAsia="仿宋_GB2312"/>
          <w:sz w:val="32"/>
          <w:szCs w:val="32"/>
        </w:rPr>
        <w:t>/</w:t>
      </w:r>
      <w:r>
        <w:rPr>
          <w:rFonts w:hint="eastAsia" w:ascii="Times New Roman" w:hAnsi="Times New Roman" w:eastAsia="仿宋_GB2312"/>
          <w:sz w:val="32"/>
          <w:szCs w:val="32"/>
        </w:rPr>
        <w:t>产品技术要求编号】</w:t>
      </w:r>
    </w:p>
    <w:p w14:paraId="0496502C">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注明该产品的注册证书编号</w:t>
      </w:r>
      <w:r>
        <w:rPr>
          <w:rFonts w:ascii="Times New Roman" w:hAnsi="Times New Roman" w:eastAsia="仿宋_GB2312"/>
          <w:sz w:val="32"/>
          <w:szCs w:val="32"/>
        </w:rPr>
        <w:t>/</w:t>
      </w:r>
      <w:r>
        <w:rPr>
          <w:rFonts w:hint="eastAsia" w:ascii="Times New Roman" w:hAnsi="Times New Roman" w:eastAsia="仿宋_GB2312"/>
          <w:sz w:val="32"/>
          <w:szCs w:val="32"/>
        </w:rPr>
        <w:t>产品技术要求编号。</w:t>
      </w:r>
    </w:p>
    <w:p w14:paraId="158E56BE">
      <w:pPr>
        <w:pStyle w:val="10"/>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19.</w:t>
      </w:r>
      <w:r>
        <w:rPr>
          <w:rFonts w:hint="eastAsia" w:ascii="Times New Roman" w:hAnsi="Times New Roman" w:eastAsia="仿宋_GB2312"/>
          <w:sz w:val="32"/>
          <w:szCs w:val="32"/>
        </w:rPr>
        <w:t>【说明书核准日期及修改日期】</w:t>
      </w:r>
    </w:p>
    <w:p w14:paraId="10A277B1">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注明该产品说明书的核准日期。如曾进行过说明书的变更申请，还应该同时注明说明书的修改日期。</w:t>
      </w:r>
    </w:p>
    <w:p w14:paraId="43D66B69">
      <w:pPr>
        <w:pStyle w:val="10"/>
        <w:spacing w:line="480" w:lineRule="exact"/>
        <w:ind w:firstLine="640"/>
        <w:rPr>
          <w:rFonts w:ascii="黑体" w:hAnsi="黑体" w:eastAsia="黑体"/>
          <w:bCs/>
          <w:sz w:val="32"/>
          <w:szCs w:val="32"/>
        </w:rPr>
      </w:pPr>
      <w:r>
        <w:rPr>
          <w:rFonts w:hint="eastAsia" w:ascii="黑体" w:hAnsi="黑体" w:eastAsia="黑体"/>
          <w:bCs/>
          <w:sz w:val="32"/>
          <w:szCs w:val="32"/>
        </w:rPr>
        <w:t>三、审查关注点</w:t>
      </w:r>
    </w:p>
    <w:p w14:paraId="13E37822">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（一）拟申报产品是否依据其预期用途进行了正确的分类，质控品</w:t>
      </w:r>
      <w:r>
        <w:rPr>
          <w:rFonts w:ascii="Times New Roman" w:hAnsi="Times New Roman" w:eastAsia="仿宋_GB2312"/>
          <w:sz w:val="32"/>
          <w:szCs w:val="32"/>
        </w:rPr>
        <w:t>/</w:t>
      </w:r>
      <w:r>
        <w:rPr>
          <w:rFonts w:hint="eastAsia" w:ascii="Times New Roman" w:hAnsi="Times New Roman" w:eastAsia="仿宋_GB2312"/>
          <w:sz w:val="32"/>
          <w:szCs w:val="32"/>
        </w:rPr>
        <w:t>校准品的类别应与配套使用的</w:t>
      </w:r>
      <w:r>
        <w:rPr>
          <w:rFonts w:hint="eastAsia" w:eastAsia="仿宋_GB2312"/>
          <w:kern w:val="0"/>
          <w:sz w:val="32"/>
          <w:szCs w:val="32"/>
        </w:rPr>
        <w:t>胃蛋白酶原</w:t>
      </w:r>
      <w:r>
        <w:rPr>
          <w:rFonts w:eastAsia="仿宋_GB2312"/>
          <w:kern w:val="0"/>
          <w:sz w:val="32"/>
          <w:szCs w:val="32"/>
        </w:rPr>
        <w:t>I/II</w:t>
      </w:r>
      <w:r>
        <w:rPr>
          <w:rFonts w:hint="eastAsia" w:eastAsia="仿宋_GB2312"/>
          <w:kern w:val="0"/>
          <w:sz w:val="32"/>
          <w:szCs w:val="32"/>
        </w:rPr>
        <w:t>分类一致。</w:t>
      </w:r>
      <w:r>
        <w:rPr>
          <w:rFonts w:hint="eastAsia" w:ascii="Times New Roman" w:hAnsi="Times New Roman" w:eastAsia="仿宋_GB2312"/>
          <w:sz w:val="32"/>
          <w:szCs w:val="32"/>
        </w:rPr>
        <w:t>拟申报产品提交申报的资料应与</w:t>
      </w:r>
      <w:r>
        <w:rPr>
          <w:rFonts w:hint="eastAsia" w:eastAsia="仿宋_GB2312"/>
          <w:bCs/>
          <w:sz w:val="32"/>
          <w:szCs w:val="32"/>
        </w:rPr>
        <w:t>《关于公布体外诊断试剂注册申报资料要求和批准证明文件格式的公告》（国家食品药品监督管理总局公告</w:t>
      </w:r>
      <w:r>
        <w:rPr>
          <w:rFonts w:eastAsia="仿宋_GB2312"/>
          <w:bCs/>
          <w:sz w:val="32"/>
          <w:szCs w:val="32"/>
        </w:rPr>
        <w:t>2014</w:t>
      </w:r>
      <w:r>
        <w:rPr>
          <w:rFonts w:hint="eastAsia" w:eastAsia="仿宋_GB2312"/>
          <w:bCs/>
          <w:sz w:val="32"/>
          <w:szCs w:val="32"/>
        </w:rPr>
        <w:t>年第</w:t>
      </w:r>
      <w:r>
        <w:rPr>
          <w:rFonts w:eastAsia="仿宋_GB2312"/>
          <w:bCs/>
          <w:sz w:val="32"/>
          <w:szCs w:val="32"/>
        </w:rPr>
        <w:t>44</w:t>
      </w:r>
      <w:r>
        <w:rPr>
          <w:rFonts w:hint="eastAsia" w:eastAsia="仿宋_GB2312"/>
          <w:bCs/>
          <w:sz w:val="32"/>
          <w:szCs w:val="32"/>
        </w:rPr>
        <w:t>号）的要求一致。</w:t>
      </w:r>
    </w:p>
    <w:p w14:paraId="188473CA">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（二）产品技术要求中性能指标的设定及检验方法是否符合相关国家标准、行业标准的要求，</w:t>
      </w:r>
      <w:r>
        <w:rPr>
          <w:rFonts w:hint="eastAsia" w:eastAsia="仿宋_GB2312"/>
          <w:spacing w:val="-10"/>
          <w:sz w:val="32"/>
          <w:szCs w:val="32"/>
        </w:rPr>
        <w:t>审查产品技术要求时应注意产品应符合</w:t>
      </w:r>
      <w:r>
        <w:rPr>
          <w:rFonts w:ascii="Times New Roman" w:hAnsi="Times New Roman" w:eastAsia="仿宋_GB2312"/>
          <w:sz w:val="32"/>
          <w:szCs w:val="32"/>
        </w:rPr>
        <w:t>YY/T 1672—2019</w:t>
      </w:r>
      <w:r>
        <w:rPr>
          <w:rFonts w:hint="eastAsia" w:ascii="Times New Roman" w:hAnsi="Times New Roman" w:eastAsia="仿宋_GB2312"/>
          <w:sz w:val="32"/>
          <w:szCs w:val="32"/>
        </w:rPr>
        <w:t>《胃蛋白酶原</w:t>
      </w:r>
      <w:r>
        <w:rPr>
          <w:rFonts w:ascii="Times New Roman" w:hAnsi="Times New Roman" w:eastAsia="仿宋_GB2312"/>
          <w:sz w:val="32"/>
          <w:szCs w:val="32"/>
        </w:rPr>
        <w:t>I</w:t>
      </w:r>
      <w:r>
        <w:rPr>
          <w:rFonts w:hint="eastAsia" w:ascii="Times New Roman" w:hAnsi="Times New Roman" w:eastAsia="仿宋_GB2312"/>
          <w:sz w:val="32"/>
          <w:szCs w:val="32"/>
        </w:rPr>
        <w:t>、</w:t>
      </w:r>
      <w:r>
        <w:rPr>
          <w:rFonts w:ascii="Times New Roman" w:hAnsi="Times New Roman" w:eastAsia="仿宋_GB2312"/>
          <w:sz w:val="32"/>
          <w:szCs w:val="32"/>
        </w:rPr>
        <w:t>II</w:t>
      </w:r>
      <w:r>
        <w:rPr>
          <w:rFonts w:hint="eastAsia" w:ascii="Times New Roman" w:hAnsi="Times New Roman" w:eastAsia="仿宋_GB2312"/>
          <w:sz w:val="32"/>
          <w:szCs w:val="32"/>
        </w:rPr>
        <w:t>测定试剂盒》</w:t>
      </w:r>
      <w:r>
        <w:rPr>
          <w:rFonts w:hint="eastAsia" w:eastAsia="仿宋_GB2312"/>
          <w:sz w:val="32"/>
          <w:szCs w:val="32"/>
        </w:rPr>
        <w:t>有关规定。</w:t>
      </w:r>
      <w:r>
        <w:rPr>
          <w:rFonts w:hint="eastAsia" w:ascii="Times New Roman" w:hAnsi="Times New Roman" w:eastAsia="仿宋_GB2312"/>
          <w:sz w:val="32"/>
          <w:szCs w:val="32"/>
        </w:rPr>
        <w:t>产品技术要求的格式是否符合《医疗器械产品技术要求编写指导原则》（国家食品药品监督管理总局通告</w:t>
      </w:r>
      <w:r>
        <w:rPr>
          <w:rFonts w:ascii="Times New Roman" w:hAnsi="Times New Roman" w:eastAsia="仿宋_GB2312"/>
          <w:sz w:val="32"/>
          <w:szCs w:val="32"/>
        </w:rPr>
        <w:t>2014</w:t>
      </w:r>
      <w:r>
        <w:rPr>
          <w:rFonts w:hint="eastAsia" w:ascii="Times New Roman" w:hAnsi="Times New Roman" w:eastAsia="仿宋_GB2312"/>
          <w:sz w:val="32"/>
          <w:szCs w:val="32"/>
        </w:rPr>
        <w:t>年第</w:t>
      </w:r>
      <w:r>
        <w:rPr>
          <w:rFonts w:ascii="Times New Roman" w:hAnsi="Times New Roman" w:eastAsia="仿宋_GB2312"/>
          <w:sz w:val="32"/>
          <w:szCs w:val="32"/>
        </w:rPr>
        <w:t>9</w:t>
      </w:r>
      <w:r>
        <w:rPr>
          <w:rFonts w:hint="eastAsia" w:ascii="Times New Roman" w:hAnsi="Times New Roman" w:eastAsia="仿宋_GB2312"/>
          <w:sz w:val="32"/>
          <w:szCs w:val="32"/>
        </w:rPr>
        <w:t>号）的相关规定。</w:t>
      </w:r>
    </w:p>
    <w:p w14:paraId="2C5AD225">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（三）产品说明书的编写内容及格式是否符合《医疗器械说明书和标签管理规定》（国家食品药品监督管理总局令第</w:t>
      </w:r>
      <w:r>
        <w:rPr>
          <w:rFonts w:ascii="Times New Roman" w:hAnsi="Times New Roman" w:eastAsia="仿宋_GB2312"/>
          <w:sz w:val="32"/>
          <w:szCs w:val="32"/>
        </w:rPr>
        <w:t>6</w:t>
      </w:r>
      <w:r>
        <w:rPr>
          <w:rFonts w:hint="eastAsia" w:ascii="Times New Roman" w:hAnsi="Times New Roman" w:eastAsia="仿宋_GB2312"/>
          <w:sz w:val="32"/>
          <w:szCs w:val="32"/>
        </w:rPr>
        <w:t>号）、《体外诊断试剂说明书编写指导原则》（国家食品药品监督管理总局通告</w:t>
      </w:r>
      <w:r>
        <w:rPr>
          <w:rFonts w:ascii="Times New Roman" w:hAnsi="Times New Roman" w:eastAsia="仿宋_GB2312"/>
          <w:sz w:val="32"/>
          <w:szCs w:val="32"/>
        </w:rPr>
        <w:t>2014</w:t>
      </w:r>
      <w:r>
        <w:rPr>
          <w:rFonts w:hint="eastAsia" w:ascii="Times New Roman" w:hAnsi="Times New Roman" w:eastAsia="仿宋_GB2312"/>
          <w:sz w:val="32"/>
          <w:szCs w:val="32"/>
        </w:rPr>
        <w:t>年第</w:t>
      </w:r>
      <w:r>
        <w:rPr>
          <w:rFonts w:ascii="Times New Roman" w:hAnsi="Times New Roman" w:eastAsia="仿宋_GB2312"/>
          <w:sz w:val="32"/>
          <w:szCs w:val="32"/>
        </w:rPr>
        <w:t>17</w:t>
      </w:r>
      <w:r>
        <w:rPr>
          <w:rFonts w:hint="eastAsia" w:ascii="Times New Roman" w:hAnsi="Times New Roman" w:eastAsia="仿宋_GB2312"/>
          <w:sz w:val="32"/>
          <w:szCs w:val="32"/>
        </w:rPr>
        <w:t>号）的要求。</w:t>
      </w:r>
    </w:p>
    <w:p w14:paraId="333C8D0A">
      <w:pPr>
        <w:overflowPunct w:val="0"/>
        <w:spacing w:line="520" w:lineRule="exact"/>
        <w:ind w:firstLine="640" w:firstLineChars="200"/>
      </w:pPr>
      <w:r>
        <w:rPr>
          <w:rFonts w:hint="eastAsia" w:ascii="Times New Roman" w:hAnsi="Times New Roman" w:eastAsia="仿宋_GB2312"/>
          <w:sz w:val="32"/>
          <w:szCs w:val="32"/>
        </w:rPr>
        <w:t>（四）</w:t>
      </w:r>
      <w:r>
        <w:rPr>
          <w:rFonts w:hint="eastAsia" w:eastAsia="仿宋_GB2312"/>
          <w:sz w:val="32"/>
          <w:szCs w:val="32"/>
        </w:rPr>
        <w:t>分析性能评估指标及结果是否满足产品技术要求的规定，是否满足本规范中各指标验证的要求。</w:t>
      </w:r>
    </w:p>
    <w:p w14:paraId="34FB89EE">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（五）参考区间确定使用的方法是否合理，数据统计是否符合统计学的相关要求，结论是否和说明书声称一致。</w:t>
      </w:r>
    </w:p>
    <w:p w14:paraId="30E74C60">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（五）试剂的稳定性研究方法是否合理，稳定性结论是否和说明书声称一致。</w:t>
      </w:r>
    </w:p>
    <w:p w14:paraId="3469BB58">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六）临床评价采用的样本类型及病例是否满足试剂声称的预期用途，样本量及临床研究单位的选择、对比试剂的选择、统计方法及研究结果、临床方案及报告撰写的格式等是否符合《体外诊断试剂临床试验技术指导原则》（国家食品药品监督管理总局通告</w:t>
      </w:r>
      <w:r>
        <w:rPr>
          <w:rFonts w:ascii="Times New Roman" w:hAnsi="Times New Roman" w:eastAsia="仿宋_GB2312"/>
          <w:sz w:val="32"/>
          <w:szCs w:val="32"/>
        </w:rPr>
        <w:t>2014</w:t>
      </w:r>
      <w:r>
        <w:rPr>
          <w:rFonts w:hint="eastAsia" w:ascii="Times New Roman" w:hAnsi="Times New Roman" w:eastAsia="仿宋_GB2312"/>
          <w:sz w:val="32"/>
          <w:szCs w:val="32"/>
        </w:rPr>
        <w:t>年第</w:t>
      </w:r>
      <w:r>
        <w:rPr>
          <w:rFonts w:ascii="Times New Roman" w:hAnsi="Times New Roman" w:eastAsia="仿宋_GB2312"/>
          <w:sz w:val="32"/>
          <w:szCs w:val="32"/>
        </w:rPr>
        <w:t>16</w:t>
      </w:r>
      <w:r>
        <w:rPr>
          <w:rFonts w:hint="eastAsia" w:ascii="Times New Roman" w:hAnsi="Times New Roman" w:eastAsia="仿宋_GB2312"/>
          <w:sz w:val="32"/>
          <w:szCs w:val="32"/>
        </w:rPr>
        <w:t>号）对相关内容的规定。</w:t>
      </w:r>
    </w:p>
    <w:p w14:paraId="5744E8D9">
      <w:pPr>
        <w:pStyle w:val="10"/>
        <w:spacing w:line="480" w:lineRule="exact"/>
        <w:ind w:firstLine="640"/>
        <w:rPr>
          <w:rFonts w:ascii="Times New Roman" w:hAnsi="Times New Roman" w:eastAsia="仿宋_GB2312"/>
          <w:sz w:val="32"/>
          <w:szCs w:val="32"/>
        </w:rPr>
      </w:pPr>
      <w:r>
        <w:rPr>
          <w:rFonts w:hint="eastAsia" w:ascii="Times New Roman" w:hAnsi="Times New Roman" w:eastAsia="仿宋_GB2312"/>
          <w:sz w:val="32"/>
          <w:szCs w:val="32"/>
        </w:rPr>
        <w:t>（七）产品风险分析资料的撰写是否符合</w:t>
      </w:r>
      <w:r>
        <w:rPr>
          <w:rFonts w:ascii="Times New Roman" w:hAnsi="Times New Roman" w:eastAsia="仿宋_GB2312"/>
          <w:sz w:val="32"/>
          <w:szCs w:val="32"/>
        </w:rPr>
        <w:t>YY/T 0316-2016</w:t>
      </w:r>
      <w:r>
        <w:rPr>
          <w:rFonts w:hint="eastAsia" w:ascii="Times New Roman" w:hAnsi="Times New Roman" w:eastAsia="仿宋_GB2312"/>
          <w:sz w:val="32"/>
          <w:szCs w:val="32"/>
        </w:rPr>
        <w:t>《医疗器械风险管理对医疗器械的应用》的要求。</w:t>
      </w:r>
    </w:p>
    <w:p w14:paraId="09A5AA6C">
      <w:pPr>
        <w:overflowPunct w:val="0"/>
        <w:spacing w:line="520" w:lineRule="exact"/>
        <w:ind w:firstLine="640" w:firstLineChars="200"/>
        <w:rPr>
          <w:rFonts w:ascii="黑体" w:hAnsi="黑体" w:eastAsia="黑体"/>
          <w:sz w:val="32"/>
          <w:szCs w:val="32"/>
        </w:rPr>
      </w:pPr>
      <w:r>
        <w:rPr>
          <w:rFonts w:hint="eastAsia" w:ascii="黑体" w:hAnsi="黑体" w:eastAsia="黑体"/>
          <w:sz w:val="32"/>
          <w:szCs w:val="32"/>
        </w:rPr>
        <w:t>四、名词解释</w:t>
      </w:r>
    </w:p>
    <w:p w14:paraId="33879FB1">
      <w:pPr>
        <w:overflowPunct w:val="0"/>
        <w:spacing w:line="520" w:lineRule="exact"/>
        <w:ind w:firstLine="640" w:firstLineChars="200"/>
        <w:rPr>
          <w:rFonts w:eastAsia="仿宋_GB2312"/>
          <w:bCs/>
          <w:sz w:val="32"/>
          <w:szCs w:val="32"/>
        </w:rPr>
      </w:pPr>
      <w:r>
        <w:rPr>
          <w:rFonts w:hint="eastAsia" w:ascii="楷体" w:hAnsi="楷体" w:eastAsia="楷体"/>
          <w:bCs/>
          <w:sz w:val="32"/>
          <w:szCs w:val="32"/>
        </w:rPr>
        <w:t>（一）检出限。</w:t>
      </w:r>
      <w:r>
        <w:rPr>
          <w:rFonts w:hint="eastAsia" w:eastAsia="仿宋_GB2312"/>
          <w:bCs/>
          <w:sz w:val="32"/>
          <w:szCs w:val="32"/>
        </w:rPr>
        <w:t>描述一个检验程序以特定置信水平能报告为存在的被测量最低值，它也被用来指最小可检测浓度。（在给定声称物质中存在某成分的误判概率为α时，声称不存在该成分的误判概率为β，</w:t>
      </w:r>
      <w:r>
        <w:rPr>
          <w:rFonts w:eastAsia="仿宋_GB2312"/>
          <w:bCs/>
          <w:sz w:val="32"/>
          <w:szCs w:val="32"/>
        </w:rPr>
        <w:t>IUPAC</w:t>
      </w:r>
      <w:r>
        <w:rPr>
          <w:rFonts w:hint="eastAsia" w:eastAsia="仿宋_GB2312"/>
          <w:bCs/>
          <w:sz w:val="32"/>
          <w:szCs w:val="32"/>
        </w:rPr>
        <w:t>（国际理论化学与应用化学联合会）建议α和β默认值等于</w:t>
      </w:r>
      <w:r>
        <w:rPr>
          <w:rFonts w:eastAsia="仿宋_GB2312"/>
          <w:bCs/>
          <w:sz w:val="32"/>
          <w:szCs w:val="32"/>
        </w:rPr>
        <w:t>0.05</w:t>
      </w:r>
      <w:r>
        <w:rPr>
          <w:rFonts w:hint="eastAsia" w:eastAsia="仿宋_GB2312"/>
          <w:bCs/>
          <w:sz w:val="32"/>
          <w:szCs w:val="32"/>
        </w:rPr>
        <w:t>）</w:t>
      </w:r>
    </w:p>
    <w:p w14:paraId="75061473">
      <w:pPr>
        <w:overflowPunct w:val="0"/>
        <w:spacing w:line="520" w:lineRule="exact"/>
        <w:ind w:firstLine="640" w:firstLineChars="200"/>
        <w:rPr>
          <w:rFonts w:eastAsia="仿宋_GB2312"/>
          <w:sz w:val="32"/>
          <w:szCs w:val="32"/>
        </w:rPr>
      </w:pPr>
      <w:r>
        <w:rPr>
          <w:rFonts w:hint="eastAsia" w:ascii="楷体_GB2312" w:eastAsia="楷体_GB2312"/>
          <w:sz w:val="32"/>
          <w:szCs w:val="32"/>
        </w:rPr>
        <w:t>（二）线性</w:t>
      </w:r>
      <w:r>
        <w:rPr>
          <w:rFonts w:hint="eastAsia" w:eastAsia="仿宋_GB2312"/>
          <w:sz w:val="32"/>
          <w:szCs w:val="32"/>
        </w:rPr>
        <w:t>（</w:t>
      </w:r>
      <w:r>
        <w:rPr>
          <w:rFonts w:eastAsia="仿宋_GB2312"/>
          <w:sz w:val="32"/>
          <w:szCs w:val="32"/>
        </w:rPr>
        <w:t>Linearity</w:t>
      </w:r>
      <w:r>
        <w:rPr>
          <w:rFonts w:hint="eastAsia" w:eastAsia="仿宋_GB2312"/>
          <w:sz w:val="32"/>
          <w:szCs w:val="32"/>
        </w:rPr>
        <w:t>）。在给定测量范围内，给出的测量结果与样品中实际存在的被测量物的值成比例的能力。线性是描述一个测量系统的测量示值或测量结果相关于样本的赋值符合直线的属性。</w:t>
      </w:r>
    </w:p>
    <w:p w14:paraId="054B871A">
      <w:pPr>
        <w:overflowPunct w:val="0"/>
        <w:spacing w:line="520" w:lineRule="exact"/>
        <w:ind w:firstLine="640" w:firstLineChars="200"/>
        <w:rPr>
          <w:rFonts w:eastAsia="仿宋_GB2312"/>
          <w:sz w:val="32"/>
          <w:szCs w:val="32"/>
        </w:rPr>
      </w:pPr>
      <w:r>
        <w:rPr>
          <w:rFonts w:hint="eastAsia" w:ascii="楷体_GB2312" w:eastAsia="楷体_GB2312"/>
          <w:sz w:val="32"/>
          <w:szCs w:val="32"/>
        </w:rPr>
        <w:t>（三）准确度</w:t>
      </w:r>
      <w:r>
        <w:rPr>
          <w:rFonts w:hint="eastAsia" w:eastAsia="仿宋_GB2312"/>
          <w:sz w:val="32"/>
          <w:szCs w:val="32"/>
        </w:rPr>
        <w:t>（</w:t>
      </w:r>
      <w:r>
        <w:rPr>
          <w:rFonts w:eastAsia="仿宋_GB2312"/>
          <w:sz w:val="32"/>
          <w:szCs w:val="32"/>
        </w:rPr>
        <w:t>Accuracy</w:t>
      </w:r>
      <w:r>
        <w:rPr>
          <w:rFonts w:hint="eastAsia" w:eastAsia="仿宋_GB2312"/>
          <w:sz w:val="32"/>
          <w:szCs w:val="32"/>
        </w:rPr>
        <w:t>）。一个测量值与可接受的参考值间的一致程度。</w:t>
      </w:r>
    </w:p>
    <w:p w14:paraId="3D8AA5B8">
      <w:pPr>
        <w:overflowPunct w:val="0"/>
        <w:spacing w:line="520" w:lineRule="exact"/>
        <w:ind w:firstLine="640" w:firstLineChars="200"/>
        <w:rPr>
          <w:rFonts w:eastAsia="仿宋_GB2312"/>
          <w:bCs/>
          <w:sz w:val="32"/>
          <w:szCs w:val="32"/>
        </w:rPr>
      </w:pPr>
      <w:r>
        <w:rPr>
          <w:rFonts w:hint="eastAsia" w:eastAsia="楷体_GB2312"/>
          <w:bCs/>
          <w:sz w:val="32"/>
          <w:szCs w:val="32"/>
        </w:rPr>
        <w:t>（四）精密度（</w:t>
      </w:r>
      <w:r>
        <w:rPr>
          <w:rFonts w:eastAsia="楷体_GB2312"/>
          <w:bCs/>
          <w:sz w:val="32"/>
          <w:szCs w:val="32"/>
        </w:rPr>
        <w:t>Precision</w:t>
      </w:r>
      <w:r>
        <w:rPr>
          <w:rFonts w:hint="eastAsia" w:eastAsia="楷体_GB2312"/>
          <w:bCs/>
          <w:sz w:val="32"/>
          <w:szCs w:val="32"/>
        </w:rPr>
        <w:t>）。</w:t>
      </w:r>
      <w:r>
        <w:rPr>
          <w:rFonts w:hint="eastAsia" w:eastAsia="仿宋_GB2312"/>
          <w:bCs/>
          <w:sz w:val="32"/>
          <w:szCs w:val="32"/>
        </w:rPr>
        <w:t>在规定条件下，相互独立的测试结果之间的一致程度。精密度的程度是用统计学方法得到的测量不精密度的数字形式表示，如标准差（</w:t>
      </w:r>
      <w:r>
        <w:rPr>
          <w:rFonts w:eastAsia="仿宋_GB2312"/>
          <w:bCs/>
          <w:sz w:val="32"/>
          <w:szCs w:val="32"/>
        </w:rPr>
        <w:t>SD</w:t>
      </w:r>
      <w:r>
        <w:rPr>
          <w:rFonts w:hint="eastAsia" w:eastAsia="仿宋_GB2312"/>
          <w:bCs/>
          <w:sz w:val="32"/>
          <w:szCs w:val="32"/>
        </w:rPr>
        <w:t>）和变异系数（</w:t>
      </w:r>
      <w:r>
        <w:rPr>
          <w:rFonts w:eastAsia="仿宋_GB2312"/>
          <w:bCs/>
          <w:sz w:val="32"/>
          <w:szCs w:val="32"/>
        </w:rPr>
        <w:t>CV</w:t>
      </w:r>
      <w:r>
        <w:rPr>
          <w:rFonts w:hint="eastAsia" w:eastAsia="仿宋_GB2312"/>
          <w:bCs/>
          <w:sz w:val="32"/>
          <w:szCs w:val="32"/>
        </w:rPr>
        <w:t>）。</w:t>
      </w:r>
    </w:p>
    <w:p w14:paraId="0B04634E">
      <w:pPr>
        <w:overflowPunct w:val="0"/>
        <w:spacing w:line="520" w:lineRule="exact"/>
        <w:ind w:firstLine="640" w:firstLineChars="200"/>
        <w:rPr>
          <w:rFonts w:eastAsia="仿宋_GB2312"/>
          <w:bCs/>
          <w:sz w:val="32"/>
          <w:szCs w:val="32"/>
        </w:rPr>
      </w:pPr>
      <w:r>
        <w:rPr>
          <w:rFonts w:hint="eastAsia" w:eastAsia="楷体_GB2312"/>
          <w:bCs/>
          <w:sz w:val="32"/>
          <w:szCs w:val="32"/>
        </w:rPr>
        <w:t>（五）分析特异性（</w:t>
      </w:r>
      <w:r>
        <w:rPr>
          <w:rFonts w:eastAsia="楷体_GB2312"/>
          <w:bCs/>
          <w:sz w:val="32"/>
          <w:szCs w:val="32"/>
        </w:rPr>
        <w:t>Analytical Specificity</w:t>
      </w:r>
      <w:r>
        <w:rPr>
          <w:rFonts w:hint="eastAsia" w:eastAsia="楷体_GB2312"/>
          <w:bCs/>
          <w:sz w:val="32"/>
          <w:szCs w:val="32"/>
        </w:rPr>
        <w:t>）。</w:t>
      </w:r>
      <w:r>
        <w:rPr>
          <w:rFonts w:hint="eastAsia" w:eastAsia="仿宋_GB2312"/>
          <w:bCs/>
          <w:sz w:val="32"/>
          <w:szCs w:val="32"/>
        </w:rPr>
        <w:t>测量程序只测量被测量物的能力。用于描述检测程序在样本中有其他物质存在时只测量被测量物的能力。通常以一个被评估的潜在干扰物清单来描述，并给出在特定医学相关浓度值水平的分析干扰程度（潜在干扰物包括干扰物和交叉反应物）。</w:t>
      </w:r>
    </w:p>
    <w:p w14:paraId="42626A8C">
      <w:pPr>
        <w:pStyle w:val="10"/>
        <w:spacing w:line="480" w:lineRule="exact"/>
        <w:ind w:firstLine="640"/>
        <w:rPr>
          <w:rFonts w:ascii="黑体" w:hAnsi="黑体" w:eastAsia="黑体"/>
          <w:bCs/>
          <w:sz w:val="32"/>
          <w:szCs w:val="32"/>
        </w:rPr>
      </w:pPr>
      <w:r>
        <w:rPr>
          <w:rFonts w:hint="eastAsia" w:ascii="黑体" w:hAnsi="黑体" w:eastAsia="黑体"/>
          <w:bCs/>
          <w:sz w:val="32"/>
          <w:szCs w:val="32"/>
        </w:rPr>
        <w:t>五、编写单位</w:t>
      </w:r>
    </w:p>
    <w:p w14:paraId="549E5413">
      <w:pPr>
        <w:pStyle w:val="10"/>
        <w:spacing w:line="480" w:lineRule="exact"/>
        <w:ind w:firstLine="640"/>
        <w:rPr>
          <w:rFonts w:ascii="等线" w:hAnsi="等线" w:eastAsia="仿宋_GB2312"/>
          <w:bCs/>
          <w:sz w:val="32"/>
          <w:szCs w:val="32"/>
        </w:rPr>
      </w:pPr>
      <w:r>
        <w:rPr>
          <w:rFonts w:hint="eastAsia" w:ascii="等线" w:hAnsi="等线" w:eastAsia="仿宋_GB2312"/>
          <w:bCs/>
          <w:sz w:val="32"/>
          <w:szCs w:val="32"/>
        </w:rPr>
        <w:t>牵头单位：河北省医疗器械技术审评中心</w:t>
      </w:r>
    </w:p>
    <w:p w14:paraId="7F4F22A3">
      <w:pPr>
        <w:pStyle w:val="11"/>
        <w:ind w:firstLine="640"/>
        <w:rPr>
          <w:rFonts w:eastAsia="仿宋_GB2312"/>
          <w:bCs/>
          <w:sz w:val="32"/>
          <w:szCs w:val="32"/>
        </w:rPr>
      </w:pPr>
      <w:r>
        <w:rPr>
          <w:rFonts w:hint="eastAsia" w:eastAsia="仿宋_GB2312"/>
          <w:bCs/>
          <w:sz w:val="32"/>
          <w:szCs w:val="32"/>
        </w:rPr>
        <w:t>参与单位：四川省食品药品审查评价及安全监测中心</w:t>
      </w:r>
    </w:p>
    <w:p w14:paraId="3FFB93CF">
      <w:pPr>
        <w:pStyle w:val="11"/>
        <w:ind w:firstLine="640"/>
        <w:rPr>
          <w:rFonts w:eastAsia="仿宋_GB2312"/>
          <w:bCs/>
          <w:sz w:val="32"/>
          <w:szCs w:val="32"/>
        </w:rPr>
      </w:pPr>
      <w:r>
        <w:rPr>
          <w:rFonts w:hint="eastAsia" w:eastAsia="仿宋_GB2312"/>
          <w:bCs/>
          <w:sz w:val="32"/>
          <w:szCs w:val="32"/>
        </w:rPr>
        <w:t xml:space="preserve"> </w:t>
      </w:r>
      <w:r>
        <w:rPr>
          <w:rFonts w:eastAsia="仿宋_GB2312"/>
          <w:bCs/>
          <w:sz w:val="32"/>
          <w:szCs w:val="32"/>
        </w:rPr>
        <w:t xml:space="preserve">         </w:t>
      </w:r>
      <w:r>
        <w:rPr>
          <w:rFonts w:hint="eastAsia" w:eastAsia="仿宋_GB2312"/>
          <w:bCs/>
          <w:sz w:val="32"/>
          <w:szCs w:val="32"/>
        </w:rPr>
        <w:t>福建省食品药品认证审评中心</w:t>
      </w:r>
    </w:p>
    <w:p w14:paraId="65146675">
      <w:pPr>
        <w:pStyle w:val="11"/>
        <w:ind w:firstLine="640"/>
        <w:rPr>
          <w:sz w:val="32"/>
          <w:szCs w:val="32"/>
        </w:rPr>
      </w:pPr>
      <w:r>
        <w:rPr>
          <w:rFonts w:hint="eastAsia" w:eastAsia="仿宋_GB2312"/>
          <w:bCs/>
          <w:sz w:val="32"/>
          <w:szCs w:val="32"/>
        </w:rPr>
        <w:t>指导单位：国家药品监督管理局器审中心审评六部</w:t>
      </w:r>
    </w:p>
    <w:p w14:paraId="1258D6AA">
      <w:pPr>
        <w:spacing w:line="360" w:lineRule="auto"/>
        <w:jc w:val="center"/>
        <w:rPr>
          <w:rFonts w:hint="eastAsia" w:eastAsia="等线"/>
          <w:lang w:eastAsia="zh-CN"/>
        </w:rPr>
      </w:pPr>
    </w:p>
    <w:p w14:paraId="42FF7798">
      <w:pPr>
        <w:spacing w:line="360" w:lineRule="auto"/>
        <w:jc w:val="center"/>
        <w:rPr>
          <w:rFonts w:hint="eastAsia" w:eastAsia="等线"/>
          <w:lang w:eastAsia="zh-CN"/>
        </w:rPr>
      </w:pPr>
    </w:p>
    <w:p w14:paraId="38C80A98">
      <w:pPr>
        <w:spacing w:line="36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0"/>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C2D"/>
    <w:rsid w:val="00001E9C"/>
    <w:rsid w:val="000036A3"/>
    <w:rsid w:val="00005112"/>
    <w:rsid w:val="000115C9"/>
    <w:rsid w:val="00023CB6"/>
    <w:rsid w:val="00024097"/>
    <w:rsid w:val="000358FA"/>
    <w:rsid w:val="000707D0"/>
    <w:rsid w:val="00072F8B"/>
    <w:rsid w:val="000750F3"/>
    <w:rsid w:val="000B04B5"/>
    <w:rsid w:val="000C7482"/>
    <w:rsid w:val="000D206A"/>
    <w:rsid w:val="000E2B4B"/>
    <w:rsid w:val="000F1EBE"/>
    <w:rsid w:val="000F77C1"/>
    <w:rsid w:val="00113C23"/>
    <w:rsid w:val="00140894"/>
    <w:rsid w:val="001507C7"/>
    <w:rsid w:val="00151C1F"/>
    <w:rsid w:val="00172A91"/>
    <w:rsid w:val="00180D91"/>
    <w:rsid w:val="0019644D"/>
    <w:rsid w:val="001A5533"/>
    <w:rsid w:val="001B20D7"/>
    <w:rsid w:val="001C2115"/>
    <w:rsid w:val="001C7E09"/>
    <w:rsid w:val="001D4439"/>
    <w:rsid w:val="001E5D55"/>
    <w:rsid w:val="001F4539"/>
    <w:rsid w:val="002057C9"/>
    <w:rsid w:val="00231C66"/>
    <w:rsid w:val="00251B4D"/>
    <w:rsid w:val="0026085F"/>
    <w:rsid w:val="00270AF9"/>
    <w:rsid w:val="00283C2D"/>
    <w:rsid w:val="002B0737"/>
    <w:rsid w:val="002D1524"/>
    <w:rsid w:val="002D1980"/>
    <w:rsid w:val="002E5012"/>
    <w:rsid w:val="002E5132"/>
    <w:rsid w:val="003079EB"/>
    <w:rsid w:val="003158BF"/>
    <w:rsid w:val="00316034"/>
    <w:rsid w:val="003432C9"/>
    <w:rsid w:val="00351E54"/>
    <w:rsid w:val="00354290"/>
    <w:rsid w:val="00360184"/>
    <w:rsid w:val="00363868"/>
    <w:rsid w:val="003878EC"/>
    <w:rsid w:val="003D63E5"/>
    <w:rsid w:val="003F4928"/>
    <w:rsid w:val="00420FE3"/>
    <w:rsid w:val="004330A2"/>
    <w:rsid w:val="00445043"/>
    <w:rsid w:val="00456803"/>
    <w:rsid w:val="004801ED"/>
    <w:rsid w:val="00483750"/>
    <w:rsid w:val="00494039"/>
    <w:rsid w:val="004B018B"/>
    <w:rsid w:val="004B4F34"/>
    <w:rsid w:val="004B62A1"/>
    <w:rsid w:val="004B79E6"/>
    <w:rsid w:val="004F333C"/>
    <w:rsid w:val="004F4CDF"/>
    <w:rsid w:val="005017AD"/>
    <w:rsid w:val="00504151"/>
    <w:rsid w:val="005052A1"/>
    <w:rsid w:val="00507B6D"/>
    <w:rsid w:val="00513677"/>
    <w:rsid w:val="0052085B"/>
    <w:rsid w:val="00530A40"/>
    <w:rsid w:val="00535098"/>
    <w:rsid w:val="00543BA6"/>
    <w:rsid w:val="00560E38"/>
    <w:rsid w:val="005674AD"/>
    <w:rsid w:val="00577746"/>
    <w:rsid w:val="00584CA5"/>
    <w:rsid w:val="005856BE"/>
    <w:rsid w:val="0059368C"/>
    <w:rsid w:val="005961C4"/>
    <w:rsid w:val="005A06F9"/>
    <w:rsid w:val="005A0735"/>
    <w:rsid w:val="005A5E5E"/>
    <w:rsid w:val="005A7DE8"/>
    <w:rsid w:val="005B12A5"/>
    <w:rsid w:val="005C0D0E"/>
    <w:rsid w:val="005C21D5"/>
    <w:rsid w:val="005D42D9"/>
    <w:rsid w:val="005E4AA9"/>
    <w:rsid w:val="005F5240"/>
    <w:rsid w:val="00603AD9"/>
    <w:rsid w:val="006078AD"/>
    <w:rsid w:val="006264C8"/>
    <w:rsid w:val="00635002"/>
    <w:rsid w:val="006421D1"/>
    <w:rsid w:val="00670E60"/>
    <w:rsid w:val="00675552"/>
    <w:rsid w:val="0069272B"/>
    <w:rsid w:val="006A5FA8"/>
    <w:rsid w:val="006C18BC"/>
    <w:rsid w:val="006C3369"/>
    <w:rsid w:val="006E4D1E"/>
    <w:rsid w:val="006F01C4"/>
    <w:rsid w:val="00712444"/>
    <w:rsid w:val="007167E6"/>
    <w:rsid w:val="00722B0F"/>
    <w:rsid w:val="00731243"/>
    <w:rsid w:val="00734D18"/>
    <w:rsid w:val="0074622E"/>
    <w:rsid w:val="00750774"/>
    <w:rsid w:val="007542BB"/>
    <w:rsid w:val="00761DA3"/>
    <w:rsid w:val="00781036"/>
    <w:rsid w:val="007910A1"/>
    <w:rsid w:val="007A08D7"/>
    <w:rsid w:val="007B0B32"/>
    <w:rsid w:val="007C6C2D"/>
    <w:rsid w:val="007C7E85"/>
    <w:rsid w:val="007D6F18"/>
    <w:rsid w:val="007E3E6B"/>
    <w:rsid w:val="007E5EB4"/>
    <w:rsid w:val="0080068C"/>
    <w:rsid w:val="008044C0"/>
    <w:rsid w:val="0081191A"/>
    <w:rsid w:val="0082588E"/>
    <w:rsid w:val="00827222"/>
    <w:rsid w:val="00843087"/>
    <w:rsid w:val="00852275"/>
    <w:rsid w:val="00854557"/>
    <w:rsid w:val="00857407"/>
    <w:rsid w:val="008729F2"/>
    <w:rsid w:val="008772F2"/>
    <w:rsid w:val="0088385F"/>
    <w:rsid w:val="008A10FA"/>
    <w:rsid w:val="008A7CD9"/>
    <w:rsid w:val="008D28DA"/>
    <w:rsid w:val="008D70D5"/>
    <w:rsid w:val="008E05CD"/>
    <w:rsid w:val="008E08C6"/>
    <w:rsid w:val="008E1C84"/>
    <w:rsid w:val="008F7012"/>
    <w:rsid w:val="0091685D"/>
    <w:rsid w:val="00931B43"/>
    <w:rsid w:val="00947B47"/>
    <w:rsid w:val="00960E00"/>
    <w:rsid w:val="00981F66"/>
    <w:rsid w:val="009A2BD5"/>
    <w:rsid w:val="009B7993"/>
    <w:rsid w:val="009D0EA9"/>
    <w:rsid w:val="009E19AD"/>
    <w:rsid w:val="009E1F40"/>
    <w:rsid w:val="009E3C18"/>
    <w:rsid w:val="00A17487"/>
    <w:rsid w:val="00A2719D"/>
    <w:rsid w:val="00A41CDA"/>
    <w:rsid w:val="00A44B05"/>
    <w:rsid w:val="00A50D02"/>
    <w:rsid w:val="00A5765B"/>
    <w:rsid w:val="00A6219E"/>
    <w:rsid w:val="00A70128"/>
    <w:rsid w:val="00AA59E8"/>
    <w:rsid w:val="00AB0593"/>
    <w:rsid w:val="00AB2FF3"/>
    <w:rsid w:val="00AB3436"/>
    <w:rsid w:val="00AB5DBC"/>
    <w:rsid w:val="00AC0932"/>
    <w:rsid w:val="00AD0881"/>
    <w:rsid w:val="00AE0AAD"/>
    <w:rsid w:val="00AE2680"/>
    <w:rsid w:val="00AE3409"/>
    <w:rsid w:val="00AE5663"/>
    <w:rsid w:val="00AF03FE"/>
    <w:rsid w:val="00B22629"/>
    <w:rsid w:val="00B37C45"/>
    <w:rsid w:val="00B4770A"/>
    <w:rsid w:val="00B52604"/>
    <w:rsid w:val="00B617E5"/>
    <w:rsid w:val="00B80399"/>
    <w:rsid w:val="00BA2B0F"/>
    <w:rsid w:val="00BA3700"/>
    <w:rsid w:val="00BC24DA"/>
    <w:rsid w:val="00BC30C0"/>
    <w:rsid w:val="00BD253F"/>
    <w:rsid w:val="00BD267E"/>
    <w:rsid w:val="00BD6C12"/>
    <w:rsid w:val="00BE6FEB"/>
    <w:rsid w:val="00C278F5"/>
    <w:rsid w:val="00C305C7"/>
    <w:rsid w:val="00C378EE"/>
    <w:rsid w:val="00C419E8"/>
    <w:rsid w:val="00C41EEA"/>
    <w:rsid w:val="00C45B57"/>
    <w:rsid w:val="00C5095E"/>
    <w:rsid w:val="00C51E83"/>
    <w:rsid w:val="00C72F14"/>
    <w:rsid w:val="00C72F86"/>
    <w:rsid w:val="00C802FD"/>
    <w:rsid w:val="00C80BF3"/>
    <w:rsid w:val="00C81135"/>
    <w:rsid w:val="00C8192A"/>
    <w:rsid w:val="00C82D15"/>
    <w:rsid w:val="00CC7E33"/>
    <w:rsid w:val="00CD418A"/>
    <w:rsid w:val="00CD650D"/>
    <w:rsid w:val="00CF0095"/>
    <w:rsid w:val="00CF2B2B"/>
    <w:rsid w:val="00D00BF0"/>
    <w:rsid w:val="00D20C8A"/>
    <w:rsid w:val="00D2101F"/>
    <w:rsid w:val="00D2233E"/>
    <w:rsid w:val="00D25621"/>
    <w:rsid w:val="00D30662"/>
    <w:rsid w:val="00D6460D"/>
    <w:rsid w:val="00D81093"/>
    <w:rsid w:val="00D826C8"/>
    <w:rsid w:val="00D834A6"/>
    <w:rsid w:val="00D83B9C"/>
    <w:rsid w:val="00DA15B2"/>
    <w:rsid w:val="00DB03CE"/>
    <w:rsid w:val="00DB706F"/>
    <w:rsid w:val="00DC5B56"/>
    <w:rsid w:val="00DC67E3"/>
    <w:rsid w:val="00DD0B09"/>
    <w:rsid w:val="00DF0DC2"/>
    <w:rsid w:val="00DF2CF5"/>
    <w:rsid w:val="00DF50C0"/>
    <w:rsid w:val="00E031C9"/>
    <w:rsid w:val="00E03659"/>
    <w:rsid w:val="00E0609A"/>
    <w:rsid w:val="00E236C1"/>
    <w:rsid w:val="00E26371"/>
    <w:rsid w:val="00E36364"/>
    <w:rsid w:val="00E4063B"/>
    <w:rsid w:val="00E410E7"/>
    <w:rsid w:val="00E42347"/>
    <w:rsid w:val="00E763B1"/>
    <w:rsid w:val="00E85769"/>
    <w:rsid w:val="00EB7410"/>
    <w:rsid w:val="00EE0339"/>
    <w:rsid w:val="00EE59C5"/>
    <w:rsid w:val="00EF7353"/>
    <w:rsid w:val="00F030A0"/>
    <w:rsid w:val="00F05C96"/>
    <w:rsid w:val="00F16191"/>
    <w:rsid w:val="00F23489"/>
    <w:rsid w:val="00F2687A"/>
    <w:rsid w:val="00F5039E"/>
    <w:rsid w:val="00F61791"/>
    <w:rsid w:val="00F7062C"/>
    <w:rsid w:val="00F905D8"/>
    <w:rsid w:val="00FB64E1"/>
    <w:rsid w:val="00FD0A3B"/>
    <w:rsid w:val="00FD2D5E"/>
    <w:rsid w:val="00FE3E86"/>
    <w:rsid w:val="00FE63C4"/>
    <w:rsid w:val="00FF595E"/>
    <w:rsid w:val="00FF7F63"/>
    <w:rsid w:val="7B7604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qFormat/>
    <w:uiPriority w:val="99"/>
    <w:pPr>
      <w:jc w:val="left"/>
    </w:pPr>
  </w:style>
  <w:style w:type="paragraph" w:styleId="3">
    <w:name w:val="Balloon Text"/>
    <w:basedOn w:val="1"/>
    <w:link w:val="16"/>
    <w:semiHidden/>
    <w:qFormat/>
    <w:uiPriority w:val="99"/>
    <w:rPr>
      <w:kern w:val="0"/>
      <w:sz w:val="18"/>
      <w:szCs w:val="18"/>
    </w:rPr>
  </w:style>
  <w:style w:type="paragraph" w:styleId="4">
    <w:name w:val="footer"/>
    <w:basedOn w:val="1"/>
    <w:link w:val="13"/>
    <w:qFormat/>
    <w:uiPriority w:val="99"/>
    <w:pPr>
      <w:tabs>
        <w:tab w:val="center" w:pos="4153"/>
        <w:tab w:val="right" w:pos="8306"/>
      </w:tabs>
      <w:snapToGrid w:val="0"/>
      <w:jc w:val="left"/>
    </w:pPr>
    <w:rPr>
      <w:kern w:val="0"/>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annotation subject"/>
    <w:basedOn w:val="2"/>
    <w:next w:val="2"/>
    <w:link w:val="15"/>
    <w:semiHidden/>
    <w:qFormat/>
    <w:uiPriority w:val="99"/>
    <w:rPr>
      <w:b/>
      <w:bCs/>
      <w:kern w:val="0"/>
      <w:sz w:val="20"/>
      <w:szCs w:val="20"/>
    </w:rPr>
  </w:style>
  <w:style w:type="character" w:styleId="9">
    <w:name w:val="annotation reference"/>
    <w:basedOn w:val="8"/>
    <w:semiHidden/>
    <w:qFormat/>
    <w:uiPriority w:val="99"/>
    <w:rPr>
      <w:rFonts w:cs="Times New Roman"/>
      <w:sz w:val="21"/>
    </w:rPr>
  </w:style>
  <w:style w:type="paragraph" w:customStyle="1" w:styleId="10">
    <w:name w:val="样式"/>
    <w:basedOn w:val="1"/>
    <w:next w:val="11"/>
    <w:qFormat/>
    <w:uiPriority w:val="99"/>
    <w:pPr>
      <w:ind w:firstLine="420" w:firstLineChars="200"/>
    </w:pPr>
    <w:rPr>
      <w:rFonts w:ascii="Calibri" w:hAnsi="Calibri" w:eastAsia="宋体"/>
    </w:rPr>
  </w:style>
  <w:style w:type="paragraph" w:styleId="11">
    <w:name w:val="List Paragraph"/>
    <w:basedOn w:val="1"/>
    <w:qFormat/>
    <w:uiPriority w:val="99"/>
    <w:pPr>
      <w:ind w:firstLine="420" w:firstLineChars="200"/>
    </w:pPr>
  </w:style>
  <w:style w:type="character" w:customStyle="1" w:styleId="12">
    <w:name w:val="页眉 字符"/>
    <w:basedOn w:val="8"/>
    <w:link w:val="5"/>
    <w:qFormat/>
    <w:locked/>
    <w:uiPriority w:val="99"/>
    <w:rPr>
      <w:sz w:val="18"/>
    </w:rPr>
  </w:style>
  <w:style w:type="character" w:customStyle="1" w:styleId="13">
    <w:name w:val="页脚 字符"/>
    <w:basedOn w:val="8"/>
    <w:link w:val="4"/>
    <w:qFormat/>
    <w:locked/>
    <w:uiPriority w:val="99"/>
    <w:rPr>
      <w:sz w:val="18"/>
    </w:rPr>
  </w:style>
  <w:style w:type="character" w:customStyle="1" w:styleId="14">
    <w:name w:val="批注文字 字符"/>
    <w:basedOn w:val="8"/>
    <w:link w:val="2"/>
    <w:semiHidden/>
    <w:qFormat/>
    <w:locked/>
    <w:uiPriority w:val="99"/>
    <w:rPr>
      <w:rFonts w:cs="Times New Roman"/>
    </w:rPr>
  </w:style>
  <w:style w:type="character" w:customStyle="1" w:styleId="15">
    <w:name w:val="批注主题 字符"/>
    <w:basedOn w:val="14"/>
    <w:link w:val="6"/>
    <w:semiHidden/>
    <w:qFormat/>
    <w:locked/>
    <w:uiPriority w:val="99"/>
    <w:rPr>
      <w:rFonts w:cs="Times New Roman"/>
      <w:b/>
    </w:rPr>
  </w:style>
  <w:style w:type="character" w:customStyle="1" w:styleId="16">
    <w:name w:val="批注框文本 字符"/>
    <w:basedOn w:val="8"/>
    <w:link w:val="3"/>
    <w:semiHidden/>
    <w:qFormat/>
    <w:locked/>
    <w:uiPriority w:val="99"/>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1" Type="http://schemas.openxmlformats.org/officeDocument/2006/relationships/fontTable" Target="fontTable.xml"/><Relationship Id="rId50" Type="http://schemas.openxmlformats.org/officeDocument/2006/relationships/image" Target="media/image19.png"/><Relationship Id="rId5" Type="http://schemas.openxmlformats.org/officeDocument/2006/relationships/image" Target="media/image1.wmf"/><Relationship Id="rId49" Type="http://schemas.openxmlformats.org/officeDocument/2006/relationships/oleObject" Target="embeddings/oleObject28.bin"/><Relationship Id="rId48" Type="http://schemas.openxmlformats.org/officeDocument/2006/relationships/oleObject" Target="embeddings/oleObject27.bin"/><Relationship Id="rId47" Type="http://schemas.openxmlformats.org/officeDocument/2006/relationships/oleObject" Target="embeddings/oleObject26.bin"/><Relationship Id="rId46" Type="http://schemas.openxmlformats.org/officeDocument/2006/relationships/oleObject" Target="embeddings/oleObject25.bin"/><Relationship Id="rId45" Type="http://schemas.openxmlformats.org/officeDocument/2006/relationships/oleObject" Target="embeddings/oleObject24.bin"/><Relationship Id="rId44" Type="http://schemas.openxmlformats.org/officeDocument/2006/relationships/oleObject" Target="embeddings/oleObject23.bin"/><Relationship Id="rId43" Type="http://schemas.openxmlformats.org/officeDocument/2006/relationships/oleObject" Target="embeddings/oleObject22.bin"/><Relationship Id="rId42" Type="http://schemas.openxmlformats.org/officeDocument/2006/relationships/oleObject" Target="embeddings/oleObject21.bin"/><Relationship Id="rId41" Type="http://schemas.openxmlformats.org/officeDocument/2006/relationships/image" Target="media/image18.wmf"/><Relationship Id="rId40" Type="http://schemas.openxmlformats.org/officeDocument/2006/relationships/oleObject" Target="embeddings/oleObject20.bin"/><Relationship Id="rId4" Type="http://schemas.openxmlformats.org/officeDocument/2006/relationships/oleObject" Target="embeddings/oleObject1.bin"/><Relationship Id="rId39" Type="http://schemas.openxmlformats.org/officeDocument/2006/relationships/image" Target="media/image17.wmf"/><Relationship Id="rId38" Type="http://schemas.openxmlformats.org/officeDocument/2006/relationships/oleObject" Target="embeddings/oleObject19.bin"/><Relationship Id="rId37" Type="http://schemas.openxmlformats.org/officeDocument/2006/relationships/image" Target="media/image16.wmf"/><Relationship Id="rId36" Type="http://schemas.openxmlformats.org/officeDocument/2006/relationships/oleObject" Target="embeddings/oleObject18.bin"/><Relationship Id="rId35" Type="http://schemas.openxmlformats.org/officeDocument/2006/relationships/image" Target="media/image15.wmf"/><Relationship Id="rId34" Type="http://schemas.openxmlformats.org/officeDocument/2006/relationships/oleObject" Target="embeddings/oleObject17.bin"/><Relationship Id="rId33" Type="http://schemas.openxmlformats.org/officeDocument/2006/relationships/oleObject" Target="embeddings/oleObject16.bin"/><Relationship Id="rId32" Type="http://schemas.openxmlformats.org/officeDocument/2006/relationships/oleObject" Target="embeddings/oleObject15.bin"/><Relationship Id="rId31" Type="http://schemas.openxmlformats.org/officeDocument/2006/relationships/image" Target="media/image14.wmf"/><Relationship Id="rId30" Type="http://schemas.openxmlformats.org/officeDocument/2006/relationships/oleObject" Target="embeddings/oleObject14.bin"/><Relationship Id="rId3" Type="http://schemas.openxmlformats.org/officeDocument/2006/relationships/theme" Target="theme/theme1.xml"/><Relationship Id="rId29" Type="http://schemas.openxmlformats.org/officeDocument/2006/relationships/image" Target="media/image13.wmf"/><Relationship Id="rId28" Type="http://schemas.openxmlformats.org/officeDocument/2006/relationships/oleObject" Target="embeddings/oleObject13.bin"/><Relationship Id="rId27" Type="http://schemas.openxmlformats.org/officeDocument/2006/relationships/image" Target="media/image12.wmf"/><Relationship Id="rId26" Type="http://schemas.openxmlformats.org/officeDocument/2006/relationships/oleObject" Target="embeddings/oleObject12.bin"/><Relationship Id="rId25" Type="http://schemas.openxmlformats.org/officeDocument/2006/relationships/image" Target="media/image11.wmf"/><Relationship Id="rId24" Type="http://schemas.openxmlformats.org/officeDocument/2006/relationships/oleObject" Target="embeddings/oleObject11.bin"/><Relationship Id="rId23" Type="http://schemas.openxmlformats.org/officeDocument/2006/relationships/image" Target="media/image10.wmf"/><Relationship Id="rId22" Type="http://schemas.openxmlformats.org/officeDocument/2006/relationships/oleObject" Target="embeddings/oleObject10.bin"/><Relationship Id="rId21" Type="http://schemas.openxmlformats.org/officeDocument/2006/relationships/image" Target="media/image9.w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8.bin"/><Relationship Id="rId17" Type="http://schemas.openxmlformats.org/officeDocument/2006/relationships/image" Target="media/image7.wmf"/><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10560</Words>
  <Characters>11448</Characters>
  <Lines>87</Lines>
  <Paragraphs>24</Paragraphs>
  <TotalTime>1</TotalTime>
  <ScaleCrop>false</ScaleCrop>
  <LinksUpToDate>false</LinksUpToDate>
  <CharactersWithSpaces>11510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2020-12-22T01:21:00Z</dcterms:created>
  <dc:creator>hp</dc:creator>
  <cp:lastModifiedBy>太极箫客</cp:lastModifiedBy>
  <dcterms:modified xsi:type="dcterms:W3CDTF">2025-08-14T07:19:40Z</dcterms:modified>
  <dc:title>胃蛋白酶原I/II检测试剂</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1520CEF33E3441229C141D9F5E0C0E5F_12</vt:lpwstr>
  </property>
</Properties>
</file>