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6A637">
      <w:pPr>
        <w:jc w:val="center"/>
        <w:rPr>
          <w:rFonts w:asciiTheme="minorEastAsia" w:hAnsiTheme="minorEastAsia" w:eastAsiaTheme="minorEastAsia"/>
          <w:b/>
          <w:bCs/>
          <w:sz w:val="32"/>
          <w:szCs w:val="32"/>
        </w:rPr>
      </w:pPr>
      <w:bookmarkStart w:id="0" w:name="_GoBack"/>
      <w:bookmarkEnd w:id="0"/>
      <w:r>
        <w:rPr>
          <w:rFonts w:hint="eastAsia" w:asciiTheme="minorEastAsia" w:hAnsiTheme="minorEastAsia" w:eastAsiaTheme="minorEastAsia"/>
          <w:b/>
          <w:bCs/>
          <w:sz w:val="32"/>
          <w:szCs w:val="32"/>
        </w:rPr>
        <w:t>聚合酶链反应（PCR）检验实验室</w:t>
      </w:r>
    </w:p>
    <w:p w14:paraId="117EFAC0">
      <w:pPr>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检查要点指南（2016版）</w:t>
      </w:r>
    </w:p>
    <w:p w14:paraId="55B0E4F6">
      <w:pPr>
        <w:spacing w:line="360" w:lineRule="auto"/>
        <w:ind w:firstLine="601"/>
        <w:rPr>
          <w:rFonts w:asciiTheme="minorEastAsia" w:hAnsiTheme="minorEastAsia" w:eastAsiaTheme="minorEastAsia"/>
          <w:sz w:val="28"/>
          <w:szCs w:val="28"/>
        </w:rPr>
      </w:pPr>
      <w:r>
        <w:rPr>
          <w:rFonts w:hint="eastAsia" w:asciiTheme="minorEastAsia" w:hAnsiTheme="minorEastAsia" w:eastAsiaTheme="minorEastAsia"/>
          <w:sz w:val="28"/>
          <w:szCs w:val="28"/>
        </w:rPr>
        <w:t>聚合酶链反应检验实验室是指通过基因扩增的方式检测特定的DNA或RNA的检验实验室。聚合酶链反应（</w:t>
      </w:r>
      <w:r>
        <w:rPr>
          <w:rFonts w:hint="eastAsia" w:cs="Arial" w:asciiTheme="minorEastAsia" w:hAnsiTheme="minorEastAsia" w:eastAsiaTheme="minorEastAsia"/>
          <w:color w:val="333333"/>
          <w:sz w:val="28"/>
          <w:szCs w:val="28"/>
          <w:shd w:val="clear" w:color="auto" w:fill="FFFFFF"/>
        </w:rPr>
        <w:t>Polymerase Chain Reaction</w:t>
      </w:r>
      <w:r>
        <w:rPr>
          <w:rFonts w:hint="eastAsia" w:asciiTheme="minorEastAsia" w:hAnsiTheme="minorEastAsia" w:eastAsiaTheme="minorEastAsia"/>
          <w:sz w:val="28"/>
          <w:szCs w:val="28"/>
        </w:rPr>
        <w:t xml:space="preserve"> ，PCR）是一种在体外特异性扩增靶DNA序列的技术，其基本过程为模板双链DNA的变性、引物与模板DNA的退火和在DNA 聚合酶引导下的链延伸反应三个阶段的多次循环。每一次循环后的扩增产物均可作为下一轮循环的模板，理论上，扩增产物量呈指数形式上升，即经过n个循环后，产物量增加到2</w:t>
      </w:r>
      <w:r>
        <w:rPr>
          <w:rFonts w:hint="eastAsia" w:asciiTheme="minorEastAsia" w:hAnsiTheme="minorEastAsia" w:eastAsiaTheme="minorEastAsia"/>
          <w:sz w:val="28"/>
          <w:szCs w:val="28"/>
          <w:vertAlign w:val="superscript"/>
        </w:rPr>
        <w:t>n</w:t>
      </w:r>
      <w:r>
        <w:rPr>
          <w:rFonts w:hint="eastAsia" w:asciiTheme="minorEastAsia" w:hAnsiTheme="minorEastAsia" w:eastAsiaTheme="minorEastAsia"/>
          <w:sz w:val="28"/>
          <w:szCs w:val="28"/>
        </w:rPr>
        <w:t>倍。PCR试剂操作简单，短时间内在体外可获得数百万个特异靶DNA序列的复制，为临床疾病的诊断、治疗监测和预后评估提供了一种极有帮助的实验室辅助手段。</w:t>
      </w:r>
    </w:p>
    <w:p w14:paraId="6D5AC911">
      <w:pPr>
        <w:spacing w:line="360" w:lineRule="auto"/>
        <w:ind w:firstLine="601"/>
        <w:rPr>
          <w:rFonts w:asciiTheme="minorEastAsia" w:hAnsiTheme="minorEastAsia" w:eastAsiaTheme="minorEastAsia"/>
          <w:sz w:val="28"/>
          <w:szCs w:val="28"/>
        </w:rPr>
      </w:pPr>
      <w:r>
        <w:rPr>
          <w:rFonts w:hint="eastAsia" w:cs="宋体" w:asciiTheme="minorEastAsia" w:hAnsiTheme="minorEastAsia" w:eastAsiaTheme="minorEastAsia"/>
          <w:kern w:val="0"/>
          <w:sz w:val="28"/>
          <w:szCs w:val="28"/>
        </w:rPr>
        <w:t>PCR</w:t>
      </w:r>
      <w:r>
        <w:rPr>
          <w:rFonts w:hint="eastAsia" w:asciiTheme="minorEastAsia" w:hAnsiTheme="minorEastAsia" w:eastAsiaTheme="minorEastAsia"/>
          <w:sz w:val="28"/>
          <w:szCs w:val="28"/>
        </w:rPr>
        <w:t>检验实验室是PCR</w:t>
      </w:r>
      <w:r>
        <w:rPr>
          <w:rFonts w:hint="eastAsia" w:cs="宋体" w:asciiTheme="minorEastAsia" w:hAnsiTheme="minorEastAsia" w:eastAsiaTheme="minorEastAsia"/>
          <w:kern w:val="0"/>
          <w:sz w:val="28"/>
          <w:szCs w:val="28"/>
        </w:rPr>
        <w:t>试剂生产企业</w:t>
      </w:r>
      <w:r>
        <w:rPr>
          <w:rFonts w:hint="eastAsia" w:asciiTheme="minorEastAsia" w:hAnsiTheme="minorEastAsia" w:eastAsiaTheme="minorEastAsia"/>
          <w:sz w:val="28"/>
          <w:szCs w:val="28"/>
        </w:rPr>
        <w:t>在产品检验过程中不可缺少的工作环境，其环境控制水平和质量管理水平直接影响着最终产品是否合格，能否放行。由于该产品本身的特殊性，《医疗器械生产质量管理规范附录体外诊断试剂》、《医疗器械生产质量管理规范体外诊断试剂现场检查指导原则》条款中，明确对PCR试剂的生产和检验环境做出规定。此外现行卫生行业的法规、标准以及相关文献中对于PCR检验实验室均作出规定，主要涉及《全国临床检验规程》（第三版）、《医疗机构临床基因扩增管理办法》（卫办医政发〔2010〕194号）、《医疗机构临床基因扩增检验实验室工作导则》及《临床诊断中聚合酶链反应（PCR）技术的应用》（WS/T 230-2002）等行业标准的相关要求。</w:t>
      </w:r>
    </w:p>
    <w:p w14:paraId="68F4728F">
      <w:pPr>
        <w:spacing w:line="360" w:lineRule="auto"/>
        <w:ind w:firstLine="601"/>
        <w:rPr>
          <w:rFonts w:asciiTheme="minorEastAsia" w:hAnsiTheme="minorEastAsia" w:eastAsiaTheme="minorEastAsia"/>
          <w:sz w:val="28"/>
          <w:szCs w:val="28"/>
        </w:rPr>
      </w:pPr>
      <w:r>
        <w:rPr>
          <w:rFonts w:hint="eastAsia" w:asciiTheme="minorEastAsia" w:hAnsiTheme="minorEastAsia" w:eastAsiaTheme="minorEastAsia"/>
          <w:sz w:val="28"/>
          <w:szCs w:val="28"/>
        </w:rPr>
        <w:t>本检查指南旨在帮助北京市医疗器械监管人员增强对PCR检验相关过程的认知和把握，指导全市医疗器械监管人员对PCR检验实验室设计建设与质量控制的监督检查工作。同时，为PCR试剂生产企业在PCR检验实验室的设计建造和管理要求提供参考。</w:t>
      </w:r>
    </w:p>
    <w:p w14:paraId="7F4DC99D">
      <w:pPr>
        <w:spacing w:line="360" w:lineRule="auto"/>
        <w:ind w:firstLine="601"/>
        <w:rPr>
          <w:rFonts w:asciiTheme="minorEastAsia" w:hAnsiTheme="minorEastAsia" w:eastAsiaTheme="minorEastAsia"/>
          <w:sz w:val="28"/>
          <w:szCs w:val="28"/>
        </w:rPr>
      </w:pPr>
      <w:r>
        <w:rPr>
          <w:rFonts w:hint="eastAsia" w:asciiTheme="minorEastAsia" w:hAnsiTheme="minorEastAsia" w:eastAsiaTheme="minorEastAsia"/>
          <w:sz w:val="28"/>
          <w:szCs w:val="28"/>
        </w:rPr>
        <w:t>当国家相关法规、标准、检查要求发生变化时，应当重新讨论以确保本检查指南持续符合要求。</w:t>
      </w:r>
    </w:p>
    <w:p w14:paraId="2F73613B">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一、适用范围</w:t>
      </w:r>
    </w:p>
    <w:p w14:paraId="18BFEF7B">
      <w:pPr>
        <w:spacing w:line="360" w:lineRule="auto"/>
        <w:ind w:firstLine="600"/>
        <w:rPr>
          <w:rFonts w:asciiTheme="minorEastAsia" w:hAnsiTheme="minorEastAsia" w:eastAsiaTheme="minorEastAsia"/>
          <w:sz w:val="28"/>
          <w:szCs w:val="28"/>
        </w:rPr>
      </w:pPr>
      <w:r>
        <w:rPr>
          <w:rFonts w:hint="eastAsia" w:asciiTheme="minorEastAsia" w:hAnsiTheme="minorEastAsia" w:eastAsiaTheme="minorEastAsia"/>
          <w:sz w:val="28"/>
          <w:szCs w:val="28"/>
        </w:rPr>
        <w:t>本检查指南可作为北京市食品药品监督管理局组织、实施的体外诊断试剂产品注册质量管理体系现场核查、《医疗器械生产许可证》现场核查、医疗器械生产监督检查等各项涉及PCR检验实验室检查的参考资料。</w:t>
      </w:r>
    </w:p>
    <w:p w14:paraId="4D985588">
      <w:pPr>
        <w:spacing w:line="360" w:lineRule="auto"/>
        <w:ind w:firstLine="600"/>
        <w:rPr>
          <w:rFonts w:asciiTheme="minorEastAsia" w:hAnsiTheme="minorEastAsia" w:eastAsiaTheme="minorEastAsia"/>
          <w:sz w:val="28"/>
          <w:szCs w:val="28"/>
        </w:rPr>
      </w:pPr>
      <w:r>
        <w:rPr>
          <w:rFonts w:hint="eastAsia" w:asciiTheme="minorEastAsia" w:hAnsiTheme="minorEastAsia" w:eastAsiaTheme="minorEastAsia"/>
          <w:sz w:val="28"/>
          <w:szCs w:val="28"/>
        </w:rPr>
        <w:t>基因测序检验实验室等涉及PCR试剂的相关部分应当参照本检查指南执行。</w:t>
      </w:r>
    </w:p>
    <w:p w14:paraId="1218FBC3">
      <w:pPr>
        <w:spacing w:line="360" w:lineRule="auto"/>
        <w:ind w:firstLine="600"/>
        <w:rPr>
          <w:rFonts w:asciiTheme="minorEastAsia" w:hAnsiTheme="minorEastAsia" w:eastAsiaTheme="minorEastAsia"/>
          <w:sz w:val="28"/>
          <w:szCs w:val="28"/>
        </w:rPr>
      </w:pPr>
      <w:r>
        <w:rPr>
          <w:rFonts w:hint="eastAsia" w:asciiTheme="minorEastAsia" w:hAnsiTheme="minorEastAsia" w:eastAsiaTheme="minorEastAsia"/>
          <w:sz w:val="28"/>
          <w:szCs w:val="28"/>
        </w:rPr>
        <w:t>二、检查要点</w:t>
      </w:r>
    </w:p>
    <w:p w14:paraId="46D9520C">
      <w:pPr>
        <w:spacing w:line="360" w:lineRule="auto"/>
        <w:ind w:firstLine="600"/>
        <w:rPr>
          <w:rFonts w:asciiTheme="minorEastAsia" w:hAnsiTheme="minorEastAsia" w:eastAsiaTheme="minorEastAsia"/>
          <w:sz w:val="28"/>
          <w:szCs w:val="28"/>
        </w:rPr>
      </w:pPr>
      <w:r>
        <w:rPr>
          <w:rFonts w:hint="eastAsia" w:asciiTheme="minorEastAsia" w:hAnsiTheme="minorEastAsia" w:eastAsiaTheme="minorEastAsia"/>
          <w:sz w:val="28"/>
          <w:szCs w:val="28"/>
        </w:rPr>
        <w:t>（一）现场查看生产企业PCR检验实验室布局</w:t>
      </w:r>
    </w:p>
    <w:p w14:paraId="58128807">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生产企业应当提供PCR检验实验室设计方案和/或平面设计图（应当标明风向或压差梯度）。</w:t>
      </w:r>
    </w:p>
    <w:p w14:paraId="619B3773">
      <w:pPr>
        <w:widowControl/>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1.PCR检验实验室与PCR试剂生产区域应当在各自独立的建筑物或空间内，保证空气不直接联通，防止扩增时形成的气溶胶造成交叉污染。</w:t>
      </w:r>
    </w:p>
    <w:p w14:paraId="76A34DA3">
      <w:pPr>
        <w:pStyle w:val="6"/>
        <w:spacing w:before="0" w:beforeAutospacing="0" w:after="0" w:afterAutospacing="0" w:line="390" w:lineRule="atLeast"/>
        <w:ind w:firstLine="560" w:firstLine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2.原则上PCR检验实验室应当设置以下区域：试剂储存和准备区、标本制备区、扩增区、扩增产物分析区。根据使用仪器的功能，区域可适当合并。若使用实时荧光定量PCR仪且不需要进行后续产物分析工作，扩增区、扩增产物分析区可合并。若使用样本处理、核酸提取及扩增检测为一体的自动化分析仪，则标本制备区、扩增区、扩增产物分析区可合并。</w:t>
      </w:r>
    </w:p>
    <w:p w14:paraId="59C0DE0F">
      <w:pPr>
        <w:pStyle w:val="6"/>
        <w:spacing w:before="0" w:beforeAutospacing="0" w:after="0" w:afterAutospacing="0" w:line="390" w:lineRule="atLeast"/>
        <w:ind w:firstLine="560" w:firstLineChars="200"/>
        <w:rPr>
          <w:rFonts w:cs="Times New Roman" w:asciiTheme="minorEastAsia" w:hAnsiTheme="minorEastAsia" w:eastAsiaTheme="minorEastAsia"/>
          <w:color w:val="FF0000"/>
          <w:kern w:val="2"/>
          <w:sz w:val="28"/>
          <w:szCs w:val="28"/>
        </w:rPr>
      </w:pPr>
      <w:r>
        <w:rPr>
          <w:rFonts w:hint="eastAsia" w:cs="Times New Roman" w:asciiTheme="minorEastAsia" w:hAnsiTheme="minorEastAsia" w:eastAsiaTheme="minorEastAsia"/>
          <w:kern w:val="2"/>
          <w:sz w:val="28"/>
          <w:szCs w:val="28"/>
        </w:rPr>
        <w:t>3.各区域在物理空间上</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完全相互独立，各区域无论是在空间上还是在使用中，应当始终处于完全的分隔状态。不</w:t>
      </w:r>
      <w:r>
        <w:rPr>
          <w:rFonts w:hint="eastAsia" w:asciiTheme="minorEastAsia" w:hAnsiTheme="minorEastAsia" w:eastAsiaTheme="minorEastAsia"/>
          <w:sz w:val="28"/>
          <w:szCs w:val="28"/>
        </w:rPr>
        <w:t>应当只是形式上的分区，不应当是一个区域嵌套一个区域。</w:t>
      </w:r>
    </w:p>
    <w:p w14:paraId="1D565395">
      <w:pPr>
        <w:pStyle w:val="6"/>
        <w:spacing w:before="0" w:beforeAutospacing="0" w:after="0" w:afterAutospacing="0" w:line="39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各区域不应当有空气的直接相通。扩增区与扩增产物分析区各区域宜采用独立直排方式出风。采用空调机组方式的，PCR检验实验室应当具备独立空调机组；同时应当考虑停机后各房间空气连通的可能性，采取必要的控制措施。</w:t>
      </w:r>
    </w:p>
    <w:p w14:paraId="43D53559">
      <w:pPr>
        <w:pStyle w:val="6"/>
        <w:spacing w:before="0" w:beforeAutospacing="0" w:after="0" w:afterAutospacing="0" w:line="390" w:lineRule="atLeast"/>
        <w:ind w:firstLine="560" w:firstLineChars="200"/>
        <w:rPr>
          <w:rFonts w:cs="Times New Roman" w:asciiTheme="minorEastAsia" w:hAnsiTheme="minorEastAsia" w:eastAsiaTheme="minorEastAsia"/>
          <w:kern w:val="2"/>
          <w:sz w:val="28"/>
          <w:szCs w:val="28"/>
        </w:rPr>
      </w:pPr>
      <w:r>
        <w:rPr>
          <w:rFonts w:hint="eastAsia" w:asciiTheme="minorEastAsia" w:hAnsiTheme="minorEastAsia" w:eastAsiaTheme="minorEastAsia"/>
          <w:sz w:val="28"/>
          <w:szCs w:val="28"/>
        </w:rPr>
        <w:t>5.</w:t>
      </w:r>
      <w:r>
        <w:rPr>
          <w:rFonts w:hint="eastAsia" w:cs="Times New Roman" w:asciiTheme="minorEastAsia" w:hAnsiTheme="minorEastAsia" w:eastAsiaTheme="minorEastAsia"/>
          <w:kern w:val="2"/>
          <w:sz w:val="28"/>
          <w:szCs w:val="28"/>
        </w:rPr>
        <w:t>按照试剂储存和准备区→标本制备区→扩增区→扩增产物分析区方向空气压力</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以递减的方式进行，使得PCR检验实验室的空气流向</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按照试剂储存和准备区→标本制备区→扩增区→扩增产物分析区方向进行，防止扩增产物顺空气气流进入扩增前的区域。空气流向</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为单向，禁止下游污染上游。</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设置合理的压差梯度，并安装压差监测装置，以有效证明空气流向，压差梯度不宜低于5帕。</w:t>
      </w:r>
    </w:p>
    <w:p w14:paraId="66B834F2">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6.设置缓冲间的，缓冲间内通向内实验室和走廊的门应当安装连锁装置或采取相应措施，避免出现两个门同时打开的情况。</w:t>
      </w:r>
    </w:p>
    <w:p w14:paraId="01E52092">
      <w:pPr>
        <w:pStyle w:val="6"/>
        <w:spacing w:before="0" w:beforeAutospacing="0" w:after="0" w:afterAutospacing="0" w:line="39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7.各区间若设置传递窗，应当为双侧开门，要求密封严实，并且两侧的门应当为互锁装置或采取相应措施保证两侧门不会同时开启。</w:t>
      </w:r>
    </w:p>
    <w:p w14:paraId="25644871">
      <w:pPr>
        <w:pStyle w:val="6"/>
        <w:spacing w:before="0" w:beforeAutospacing="0" w:after="0" w:afterAutospacing="0" w:line="39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（二）现场查看仪器设施配置</w:t>
      </w:r>
    </w:p>
    <w:p w14:paraId="48EF11A9">
      <w:pPr>
        <w:pStyle w:val="6"/>
        <w:spacing w:before="0" w:beforeAutospacing="0" w:after="0" w:afterAutospacing="0" w:line="390" w:lineRule="atLeast"/>
        <w:ind w:firstLine="560" w:firstLineChars="200"/>
        <w:rPr>
          <w:rFonts w:asciiTheme="minorEastAsia" w:hAnsiTheme="minorEastAsia" w:eastAsiaTheme="minorEastAsia"/>
          <w:sz w:val="28"/>
          <w:szCs w:val="28"/>
        </w:rPr>
      </w:pPr>
      <w:r>
        <w:rPr>
          <w:rFonts w:hint="eastAsia" w:cs="Times New Roman" w:asciiTheme="minorEastAsia" w:hAnsiTheme="minorEastAsia" w:eastAsiaTheme="minorEastAsia"/>
          <w:kern w:val="2"/>
          <w:sz w:val="28"/>
          <w:szCs w:val="28"/>
        </w:rPr>
        <w:t>1.试剂储存和准备区的功能：贮存试剂的制备、试剂的分装和扩增反应混合液的准备，以及离心管、吸头等消耗品的贮存和准备。</w:t>
      </w:r>
    </w:p>
    <w:p w14:paraId="1C48E75E">
      <w:pPr>
        <w:pStyle w:val="6"/>
        <w:spacing w:before="0" w:beforeAutospacing="0" w:after="0" w:afterAutospacing="0" w:line="390" w:lineRule="atLeast"/>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配套用品一般</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包括：</w:t>
      </w:r>
    </w:p>
    <w:p w14:paraId="700D6A4E">
      <w:pPr>
        <w:pStyle w:val="6"/>
        <w:spacing w:before="0" w:beforeAutospacing="0" w:after="0" w:afterAutospacing="0" w:line="390" w:lineRule="atLeast"/>
        <w:ind w:left="420" w:left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（1）温度调控范围为2℃～8℃和（或）-20℃以下冰箱；</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（2）混匀器；</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（3）微量加样器；</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（4）紫外消毒设备；</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（5）消耗品：一次性手套、耐高压处理的离心管和加样器吸头；</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（6）专用工作服和工作鞋(套)；</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（7）专用办公用品。</w:t>
      </w:r>
    </w:p>
    <w:p w14:paraId="41A08D39">
      <w:pPr>
        <w:pStyle w:val="6"/>
        <w:spacing w:before="0" w:beforeAutospacing="0" w:after="0" w:afterAutospacing="0" w:line="390" w:lineRule="atLeast"/>
        <w:ind w:left="420" w:leftChars="200" w:firstLine="140" w:firstLineChars="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2.标本制备区的功能：核酸（RNA、DNA）提取、贮存及加样。</w:t>
      </w:r>
    </w:p>
    <w:p w14:paraId="6A855354">
      <w:pPr>
        <w:pStyle w:val="6"/>
        <w:spacing w:before="0" w:beforeAutospacing="0" w:after="0" w:afterAutospacing="0" w:line="390" w:lineRule="atLeast"/>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配套用品一般</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包括：</w:t>
      </w:r>
    </w:p>
    <w:p w14:paraId="257D5935">
      <w:pPr>
        <w:pStyle w:val="6"/>
        <w:spacing w:before="0" w:beforeAutospacing="0" w:after="0" w:afterAutospacing="0" w:line="390" w:lineRule="atLeast"/>
        <w:ind w:left="420" w:left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（1）温度调控范围为2℃～8℃和（或）-20℃以下冰箱；</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（2）高速离心机；</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（3）混匀器；</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（4）水浴箱或加热模块；</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（5）微量加样器；</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（6）紫外消毒设备；</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（7）生物安全柜；</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（8）消耗品：一次性手套、耐高压处理的离心管和加样器吸头（带</w:t>
      </w:r>
    </w:p>
    <w:p w14:paraId="3CE54658">
      <w:pPr>
        <w:pStyle w:val="6"/>
        <w:spacing w:before="0" w:beforeAutospacing="0" w:after="0" w:afterAutospacing="0" w:line="390" w:lineRule="atLeast"/>
        <w:ind w:left="420" w:hanging="420" w:hangingChars="1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滤芯）；</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（9）专用工作服和工作鞋(套)；</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（10）专用办公用品；</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（11）如需处理大分子DNA，应当具有超声波仪。</w:t>
      </w:r>
    </w:p>
    <w:p w14:paraId="361E2DC3">
      <w:pPr>
        <w:pStyle w:val="6"/>
        <w:spacing w:before="0" w:beforeAutospacing="0" w:after="0" w:afterAutospacing="0" w:line="390" w:lineRule="atLeast"/>
        <w:ind w:firstLine="560" w:firstLine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3.扩增区的功能：cDNA合成、DNA扩增及检测。配套用品一般</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包括：</w:t>
      </w:r>
    </w:p>
    <w:p w14:paraId="11B18280">
      <w:pPr>
        <w:pStyle w:val="6"/>
        <w:spacing w:before="0" w:beforeAutospacing="0" w:after="0" w:afterAutospacing="0" w:line="390" w:lineRule="atLeast"/>
        <w:ind w:left="420" w:left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（1）核酸扩增仪；</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（2）微量加样器；</w:t>
      </w:r>
    </w:p>
    <w:p w14:paraId="7FC07CB5">
      <w:pPr>
        <w:pStyle w:val="6"/>
        <w:spacing w:before="0" w:beforeAutospacing="0" w:after="0" w:afterAutospacing="0" w:line="390" w:lineRule="atLeast"/>
        <w:ind w:left="420" w:left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（3）紫外消毒设备；</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（4）消耗品：一次性手套、一次性帽子、耐高压处理的离心管和</w:t>
      </w:r>
    </w:p>
    <w:p w14:paraId="51CA1298">
      <w:pPr>
        <w:pStyle w:val="6"/>
        <w:spacing w:before="0" w:beforeAutospacing="0" w:after="0" w:afterAutospacing="0" w:line="390" w:lineRule="atLeast"/>
        <w:ind w:left="420" w:hanging="420" w:hangingChars="1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加样器吸头（带滤芯）；</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（5）专用工作服和工作鞋；</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（6）专用办公用品。</w:t>
      </w:r>
    </w:p>
    <w:p w14:paraId="3C6EE515">
      <w:pPr>
        <w:pStyle w:val="6"/>
        <w:spacing w:before="0" w:beforeAutospacing="0" w:after="0" w:afterAutospacing="0" w:line="390" w:lineRule="atLeast"/>
        <w:ind w:left="315" w:leftChars="150" w:firstLine="140" w:firstLineChars="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4.扩增产物分析区的功能：扩增片段的进一步分析测定。视检验</w:t>
      </w:r>
    </w:p>
    <w:p w14:paraId="6131EFB6">
      <w:pPr>
        <w:pStyle w:val="6"/>
        <w:spacing w:before="0" w:beforeAutospacing="0" w:after="0" w:afterAutospacing="0" w:line="390" w:lineRule="atLeast"/>
        <w:ind w:left="420" w:hanging="420" w:hangingChars="1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方法不同而定，基本配置如下：</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（1）微量加样器；</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（2）紫外消毒设备；</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（3）消耗品：一次性手套、一次性帽子、加样器吸头（带滤芯）；</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（4）专用工作服和工作鞋；</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（5）专用办公用品。</w:t>
      </w:r>
    </w:p>
    <w:p w14:paraId="6444A1A4">
      <w:pPr>
        <w:pStyle w:val="6"/>
        <w:spacing w:before="0" w:beforeAutospacing="0" w:after="0" w:afterAutospacing="0" w:line="390" w:lineRule="atLeast"/>
        <w:ind w:firstLine="420" w:firstLineChars="1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5.设备的维护保养</w:t>
      </w:r>
    </w:p>
    <w:p w14:paraId="42475E21">
      <w:pPr>
        <w:pStyle w:val="6"/>
        <w:spacing w:before="0" w:beforeAutospacing="0" w:after="0" w:afterAutospacing="0" w:line="390" w:lineRule="atLeast"/>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 xml:space="preserve">    </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建立设备维护保养规程，计量设备</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定期检定。例如核酸扩增仪、微量加样器、生物安全柜、离心机</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每年进行检定或校准工作。</w:t>
      </w:r>
    </w:p>
    <w:p w14:paraId="29C98A3D">
      <w:pPr>
        <w:pStyle w:val="6"/>
        <w:spacing w:before="0" w:beforeAutospacing="0" w:after="0" w:afterAutospacing="0" w:line="390" w:lineRule="atLeast"/>
        <w:ind w:firstLine="560" w:firstLine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（三）现场检查工作流程及注意事项</w:t>
      </w:r>
    </w:p>
    <w:p w14:paraId="56B8F523">
      <w:pPr>
        <w:pStyle w:val="6"/>
        <w:spacing w:before="0" w:beforeAutospacing="0" w:after="0" w:afterAutospacing="0" w:line="390" w:lineRule="atLeast"/>
        <w:ind w:firstLine="560" w:firstLine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1.进入各工作区域应当严格按照单一方向进行，即试剂储存和准备区→标本制备区→扩增区→ 扩增产物分析区。</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 xml:space="preserve">    2.各工作区域必须有明确的标记，不同工作区域内的设备、物品不得混用。</w:t>
      </w:r>
      <w:r>
        <w:rPr>
          <w:rFonts w:hint="eastAsia" w:cs="Times New Roman" w:asciiTheme="minorEastAsia" w:hAnsiTheme="minorEastAsia" w:eastAsiaTheme="minorEastAsia"/>
          <w:kern w:val="2"/>
          <w:sz w:val="28"/>
          <w:szCs w:val="28"/>
        </w:rPr>
        <w:br w:type="textWrapping"/>
      </w:r>
      <w:r>
        <w:rPr>
          <w:rFonts w:hint="eastAsia" w:cs="Times New Roman" w:asciiTheme="minorEastAsia" w:hAnsiTheme="minorEastAsia" w:eastAsiaTheme="minorEastAsia"/>
          <w:kern w:val="2"/>
          <w:sz w:val="28"/>
          <w:szCs w:val="28"/>
        </w:rPr>
        <w:t xml:space="preserve">    3.不同工作区域的工作服</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加以区分，不得混用（例如可以采用不同颜色）。</w:t>
      </w:r>
    </w:p>
    <w:p w14:paraId="7CD5907D">
      <w:pPr>
        <w:pStyle w:val="6"/>
        <w:spacing w:before="0" w:beforeAutospacing="0" w:after="0" w:afterAutospacing="0" w:line="390" w:lineRule="atLeast"/>
        <w:ind w:firstLine="560" w:firstLine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4.实验室的清洁应当按照试剂贮存和准备区→标本制备区→扩增区→扩增产物分析区的方向进行。不同的实验区域应当有其各自的清洁用具并防止交叉污染。实验垃圾属于医疗废物的</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按照《医疗废物管理条例》相关规定进行处理。</w:t>
      </w:r>
    </w:p>
    <w:p w14:paraId="6956236F">
      <w:pPr>
        <w:pStyle w:val="6"/>
        <w:spacing w:before="0" w:beforeAutospacing="0" w:after="0" w:afterAutospacing="0" w:line="390" w:lineRule="atLeast"/>
        <w:ind w:firstLine="560" w:firstLine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5.工作结束后，</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立即对工作区进行清洁及消毒。</w:t>
      </w:r>
    </w:p>
    <w:p w14:paraId="2D4CD68B">
      <w:pPr>
        <w:pStyle w:val="6"/>
        <w:spacing w:before="0" w:beforeAutospacing="0" w:after="0" w:afterAutospacing="0" w:line="390" w:lineRule="atLeast"/>
        <w:ind w:firstLine="560" w:firstLine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6.贮存试剂和用于标本制备的消耗品等材料应当直接运送至试剂贮存和准备区，不能经过扩增检测区。</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对加样吸头、PCR反应管等消耗品处理，防止污染。试剂盒中的阳性对照品及质控品应当保存在标本处理区。试剂</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使用分子生物学级别试剂，使用的纯化水</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高压灭菌。质检用于原辅料、半成品、成品检验用的PCR反应试剂</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有相应的质量标准及操作程序。</w:t>
      </w:r>
    </w:p>
    <w:p w14:paraId="6ACFF732">
      <w:pPr>
        <w:pStyle w:val="6"/>
        <w:spacing w:before="0" w:beforeAutospacing="0" w:after="0" w:afterAutospacing="0" w:line="390" w:lineRule="atLeast"/>
        <w:ind w:firstLine="560" w:firstLine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7.为避免样本间的交叉污染，加入待测核酸后，</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盖好含反应混合液的反应管。</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注意PCR反应液加样的顺序，</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为空白样品→阴性对照→样品→阳性对照。对具有潜在传染危险性的材料，</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在生物安全柜内开盖，并有明确的样本处理和灭活程序。</w:t>
      </w:r>
    </w:p>
    <w:p w14:paraId="5884EFFF">
      <w:pPr>
        <w:pStyle w:val="6"/>
        <w:spacing w:before="0" w:beforeAutospacing="0" w:after="0" w:afterAutospacing="0" w:line="390" w:lineRule="atLeast"/>
        <w:ind w:firstLine="560" w:firstLine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8.</w:t>
      </w:r>
      <w:r>
        <w:rPr>
          <w:rFonts w:hint="eastAsia" w:asciiTheme="minorEastAsia" w:hAnsiTheme="minorEastAsia" w:eastAsiaTheme="minorEastAsia"/>
          <w:sz w:val="28"/>
          <w:szCs w:val="28"/>
        </w:rPr>
        <w:t xml:space="preserve"> 应当</w:t>
      </w:r>
      <w:r>
        <w:rPr>
          <w:rFonts w:hint="eastAsia" w:cs="Times New Roman" w:asciiTheme="minorEastAsia" w:hAnsiTheme="minorEastAsia" w:eastAsiaTheme="minorEastAsia"/>
          <w:kern w:val="2"/>
          <w:sz w:val="28"/>
          <w:szCs w:val="28"/>
        </w:rPr>
        <w:t>避免气溶胶所致的污染，尽量减少在扩增区内的走动，扩增反应管不得在扩增区打开。</w:t>
      </w:r>
    </w:p>
    <w:p w14:paraId="6D95CA42">
      <w:pPr>
        <w:pStyle w:val="6"/>
        <w:spacing w:before="0" w:beforeAutospacing="0" w:after="0" w:afterAutospacing="0" w:line="390" w:lineRule="atLeast"/>
        <w:ind w:firstLine="560" w:firstLine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9.扩增产物分析区有可能存在某些可致基因突变和有毒物质如溴化乙锭、丙烯酰胺、甲醛或放射性核素等，</w:t>
      </w:r>
      <w:r>
        <w:rPr>
          <w:rFonts w:hint="eastAsia" w:asciiTheme="minorEastAsia" w:hAnsiTheme="minorEastAsia" w:eastAsiaTheme="minorEastAsia"/>
          <w:sz w:val="28"/>
          <w:szCs w:val="28"/>
        </w:rPr>
        <w:t>应当</w:t>
      </w:r>
      <w:r>
        <w:rPr>
          <w:rFonts w:hint="eastAsia" w:cs="Times New Roman" w:asciiTheme="minorEastAsia" w:hAnsiTheme="minorEastAsia" w:eastAsiaTheme="minorEastAsia"/>
          <w:kern w:val="2"/>
          <w:sz w:val="28"/>
          <w:szCs w:val="28"/>
        </w:rPr>
        <w:t>注意实验人员的安全防护。</w:t>
      </w:r>
    </w:p>
    <w:p w14:paraId="4B8606CF">
      <w:pPr>
        <w:pStyle w:val="6"/>
        <w:spacing w:before="0" w:beforeAutospacing="0" w:after="0" w:afterAutospacing="0" w:line="390" w:lineRule="atLeast"/>
        <w:ind w:firstLine="560" w:firstLine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（四）现场检查</w:t>
      </w:r>
      <w:r>
        <w:rPr>
          <w:rFonts w:hint="eastAsia" w:asciiTheme="minorEastAsia" w:hAnsiTheme="minorEastAsia" w:eastAsiaTheme="minorEastAsia"/>
          <w:sz w:val="28"/>
          <w:szCs w:val="28"/>
        </w:rPr>
        <w:t>人员培训情况</w:t>
      </w:r>
    </w:p>
    <w:p w14:paraId="08CB330C">
      <w:pPr>
        <w:widowControl/>
        <w:spacing w:line="450" w:lineRule="atLeas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参与PCR检验的工作人员应当具备相应的专业知识和技能，包括能熟练操作相关设备,明确整个工作的流程,掌握出现污染情况的处理方法以及实验室质量控制方法和检测结果的解释。</w:t>
      </w:r>
    </w:p>
    <w:p w14:paraId="6E53ABEB">
      <w:pPr>
        <w:widowControl/>
        <w:spacing w:line="450" w:lineRule="atLeas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检查人员可以通过询问或要求人员实际操作对其进行评价，也可以通过查阅人员培训记录，对其进行评价。</w:t>
      </w:r>
    </w:p>
    <w:p w14:paraId="5656CDB7">
      <w:pPr>
        <w:spacing w:line="360" w:lineRule="auto"/>
        <w:ind w:firstLine="600"/>
        <w:rPr>
          <w:rFonts w:asciiTheme="minorEastAsia" w:hAnsiTheme="minorEastAsia" w:eastAsiaTheme="minorEastAsia"/>
          <w:sz w:val="28"/>
          <w:szCs w:val="28"/>
        </w:rPr>
      </w:pPr>
      <w:r>
        <w:rPr>
          <w:rFonts w:hint="eastAsia" w:asciiTheme="minorEastAsia" w:hAnsiTheme="minorEastAsia" w:eastAsiaTheme="minorEastAsia"/>
          <w:sz w:val="28"/>
          <w:szCs w:val="28"/>
        </w:rPr>
        <w:t>（五）现场检查文件情况</w:t>
      </w:r>
    </w:p>
    <w:p w14:paraId="66537DB3">
      <w:pPr>
        <w:spacing w:line="360" w:lineRule="auto"/>
        <w:ind w:firstLine="600"/>
        <w:rPr>
          <w:rFonts w:asciiTheme="minorEastAsia" w:hAnsiTheme="minorEastAsia" w:eastAsiaTheme="minorEastAsia"/>
          <w:sz w:val="28"/>
          <w:szCs w:val="28"/>
        </w:rPr>
      </w:pPr>
      <w:r>
        <w:rPr>
          <w:rFonts w:hint="eastAsia" w:asciiTheme="minorEastAsia" w:hAnsiTheme="minorEastAsia" w:eastAsiaTheme="minorEastAsia"/>
          <w:sz w:val="28"/>
          <w:szCs w:val="28"/>
        </w:rPr>
        <w:t>在检查过程中应当特别注意现场查看、询问、记录的实际情况与生产企业的文件规定、记录的符合性。</w:t>
      </w:r>
    </w:p>
    <w:p w14:paraId="70160CA1">
      <w:pPr>
        <w:widowControl/>
        <w:jc w:val="left"/>
        <w:rPr>
          <w:rFonts w:asciiTheme="minorEastAsia" w:hAnsiTheme="minorEastAsia" w:eastAsiaTheme="minorEastAsia"/>
          <w:sz w:val="28"/>
          <w:szCs w:val="28"/>
        </w:rPr>
      </w:pPr>
      <w:r>
        <w:rPr>
          <w:rFonts w:asciiTheme="minorEastAsia" w:hAnsiTheme="minorEastAsia" w:eastAsiaTheme="minorEastAsia"/>
          <w:sz w:val="28"/>
          <w:szCs w:val="28"/>
        </w:rPr>
        <w:br w:type="page"/>
      </w:r>
    </w:p>
    <w:p w14:paraId="1943E45E">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附件：</w:t>
      </w:r>
    </w:p>
    <w:p w14:paraId="796BA249">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理想的PCR检验实验室设计</w:t>
      </w:r>
    </w:p>
    <w:p w14:paraId="1A589D8B">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5133975" cy="26193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33975" cy="2619375"/>
                    </a:xfrm>
                    <a:prstGeom prst="rect">
                      <a:avLst/>
                    </a:prstGeom>
                    <a:noFill/>
                    <a:ln>
                      <a:noFill/>
                    </a:ln>
                  </pic:spPr>
                </pic:pic>
              </a:graphicData>
            </a:graphic>
          </wp:inline>
        </w:drawing>
      </w:r>
      <w:r>
        <w:rPr>
          <w:rFonts w:hint="eastAsia" w:asciiTheme="minorEastAsia" w:hAnsiTheme="minorEastAsia" w:eastAsiaTheme="minorEastAsia"/>
          <w:sz w:val="28"/>
          <w:szCs w:val="28"/>
        </w:rPr>
        <w:t>图A  缓冲间为负压的理想PCR检验实验室设置模式</w:t>
      </w:r>
    </w:p>
    <w:p w14:paraId="49E68ED6">
      <w:pPr>
        <w:pStyle w:val="6"/>
        <w:spacing w:before="0" w:beforeAutospacing="0" w:after="0" w:afterAutospacing="0"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4848225" cy="2524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848225" cy="2524125"/>
                    </a:xfrm>
                    <a:prstGeom prst="rect">
                      <a:avLst/>
                    </a:prstGeom>
                    <a:noFill/>
                    <a:ln>
                      <a:noFill/>
                    </a:ln>
                  </pic:spPr>
                </pic:pic>
              </a:graphicData>
            </a:graphic>
          </wp:inline>
        </w:drawing>
      </w:r>
    </w:p>
    <w:p w14:paraId="51C82E15">
      <w:pPr>
        <w:pStyle w:val="6"/>
        <w:spacing w:before="0" w:beforeAutospacing="0" w:after="0" w:afterAutospacing="0"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图B  缓冲间为正压的理想PCR检验实验室设置模式</w:t>
      </w:r>
    </w:p>
    <w:p w14:paraId="0406E13F">
      <w:pPr>
        <w:pStyle w:val="6"/>
        <w:spacing w:before="0" w:beforeAutospacing="0" w:after="0" w:afterAutospacing="0" w:line="360" w:lineRule="auto"/>
        <w:jc w:val="center"/>
        <w:rPr>
          <w:rFonts w:asciiTheme="minorEastAsia" w:hAnsiTheme="minorEastAsia" w:eastAsiaTheme="minorEastAsia"/>
          <w:sz w:val="28"/>
          <w:szCs w:val="28"/>
        </w:rPr>
      </w:pPr>
    </w:p>
    <w:p w14:paraId="4286BB0E">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图A和图B所给出的PCR检验实验室设置图是较为理想的设置模式，建议企业参照此种模式设计并建立实验室。</w:t>
      </w:r>
    </w:p>
    <w:p w14:paraId="7AA26867">
      <w:pPr>
        <w:widowControl/>
        <w:jc w:val="left"/>
        <w:rPr>
          <w:rFonts w:asciiTheme="minorEastAsia" w:hAnsiTheme="minorEastAsia" w:eastAsiaTheme="minorEastAsia"/>
          <w:sz w:val="28"/>
          <w:szCs w:val="28"/>
        </w:rPr>
      </w:pPr>
      <w:r>
        <w:rPr>
          <w:rFonts w:asciiTheme="minorEastAsia" w:hAnsiTheme="minorEastAsia" w:eastAsiaTheme="minorEastAsia"/>
          <w:sz w:val="28"/>
          <w:szCs w:val="28"/>
        </w:rPr>
        <w:br w:type="page"/>
      </w:r>
    </w:p>
    <w:p w14:paraId="315CB2B8">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参考资料：</w:t>
      </w:r>
    </w:p>
    <w:p w14:paraId="20B234A8">
      <w:pPr>
        <w:pStyle w:val="5"/>
        <w:spacing w:line="36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1.《</w:t>
      </w:r>
      <w:r>
        <w:rPr>
          <w:rFonts w:cs="Times New Roman" w:asciiTheme="minorEastAsia" w:hAnsiTheme="minorEastAsia"/>
          <w:sz w:val="28"/>
          <w:szCs w:val="28"/>
        </w:rPr>
        <w:t>关于发布医疗器械生产质量管理规范的公告</w:t>
      </w:r>
      <w:r>
        <w:rPr>
          <w:rFonts w:hint="eastAsia" w:cs="Times New Roman" w:asciiTheme="minorEastAsia" w:hAnsiTheme="minorEastAsia"/>
          <w:sz w:val="28"/>
          <w:szCs w:val="28"/>
        </w:rPr>
        <w:t>》</w:t>
      </w:r>
      <w:r>
        <w:rPr>
          <w:rFonts w:cs="Times New Roman" w:asciiTheme="minorEastAsia" w:hAnsiTheme="minorEastAsia"/>
          <w:sz w:val="28"/>
          <w:szCs w:val="28"/>
        </w:rPr>
        <w:t>（国家食品药品监督管理总局</w:t>
      </w:r>
      <w:r>
        <w:rPr>
          <w:rFonts w:hint="eastAsia" w:cs="Times New Roman" w:asciiTheme="minorEastAsia" w:hAnsiTheme="minorEastAsia"/>
          <w:sz w:val="28"/>
          <w:szCs w:val="28"/>
        </w:rPr>
        <w:t>公告</w:t>
      </w:r>
      <w:r>
        <w:rPr>
          <w:rFonts w:cs="Times New Roman" w:asciiTheme="minorEastAsia" w:hAnsiTheme="minorEastAsia"/>
          <w:sz w:val="28"/>
          <w:szCs w:val="28"/>
        </w:rPr>
        <w:t>2014年第64号）</w:t>
      </w:r>
    </w:p>
    <w:p w14:paraId="5B58075A">
      <w:pPr>
        <w:pStyle w:val="5"/>
        <w:spacing w:line="36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2.《</w:t>
      </w:r>
      <w:r>
        <w:rPr>
          <w:rFonts w:cs="Times New Roman" w:asciiTheme="minorEastAsia" w:hAnsiTheme="minorEastAsia"/>
          <w:sz w:val="28"/>
          <w:szCs w:val="28"/>
        </w:rPr>
        <w:t>关于发布医疗器械生产质量管理规范附录</w:t>
      </w:r>
      <w:r>
        <w:rPr>
          <w:rFonts w:hint="eastAsia" w:cs="Times New Roman" w:asciiTheme="minorEastAsia" w:hAnsiTheme="minorEastAsia"/>
          <w:sz w:val="28"/>
          <w:szCs w:val="28"/>
        </w:rPr>
        <w:t>体外诊断试剂</w:t>
      </w:r>
      <w:r>
        <w:rPr>
          <w:rFonts w:cs="Times New Roman" w:asciiTheme="minorEastAsia" w:hAnsiTheme="minorEastAsia"/>
          <w:sz w:val="28"/>
          <w:szCs w:val="28"/>
        </w:rPr>
        <w:t>的公告</w:t>
      </w:r>
      <w:r>
        <w:rPr>
          <w:rFonts w:hint="eastAsia" w:cs="Times New Roman" w:asciiTheme="minorEastAsia" w:hAnsiTheme="minorEastAsia"/>
          <w:sz w:val="28"/>
          <w:szCs w:val="28"/>
        </w:rPr>
        <w:t>》</w:t>
      </w:r>
      <w:r>
        <w:rPr>
          <w:rFonts w:cs="Times New Roman" w:asciiTheme="minorEastAsia" w:hAnsiTheme="minorEastAsia"/>
          <w:sz w:val="28"/>
          <w:szCs w:val="28"/>
        </w:rPr>
        <w:t>（国家食品药品监督管理总局</w:t>
      </w:r>
      <w:r>
        <w:rPr>
          <w:rFonts w:hint="eastAsia" w:cs="Times New Roman" w:asciiTheme="minorEastAsia" w:hAnsiTheme="minorEastAsia"/>
          <w:sz w:val="28"/>
          <w:szCs w:val="28"/>
        </w:rPr>
        <w:t>公告</w:t>
      </w:r>
      <w:r>
        <w:rPr>
          <w:rFonts w:cs="Times New Roman" w:asciiTheme="minorEastAsia" w:hAnsiTheme="minorEastAsia"/>
          <w:sz w:val="28"/>
          <w:szCs w:val="28"/>
        </w:rPr>
        <w:t>2015年第10</w:t>
      </w:r>
      <w:r>
        <w:rPr>
          <w:rFonts w:hint="eastAsia" w:cs="Times New Roman" w:asciiTheme="minorEastAsia" w:hAnsiTheme="minorEastAsia"/>
          <w:sz w:val="28"/>
          <w:szCs w:val="28"/>
        </w:rPr>
        <w:t>3</w:t>
      </w:r>
      <w:r>
        <w:rPr>
          <w:rFonts w:cs="Times New Roman" w:asciiTheme="minorEastAsia" w:hAnsiTheme="minorEastAsia"/>
          <w:sz w:val="28"/>
          <w:szCs w:val="28"/>
        </w:rPr>
        <w:t>号）</w:t>
      </w:r>
    </w:p>
    <w:p w14:paraId="0D596C29">
      <w:pPr>
        <w:pStyle w:val="5"/>
        <w:spacing w:line="36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3.《</w:t>
      </w:r>
      <w:r>
        <w:rPr>
          <w:rFonts w:cs="Times New Roman" w:asciiTheme="minorEastAsia" w:hAnsiTheme="minorEastAsia"/>
          <w:sz w:val="28"/>
          <w:szCs w:val="28"/>
        </w:rPr>
        <w:t>关于印发医疗器械生产质量管理规范现场检查指导原则等4个指导原则的通知</w:t>
      </w:r>
      <w:r>
        <w:rPr>
          <w:rFonts w:hint="eastAsia" w:cs="Times New Roman" w:asciiTheme="minorEastAsia" w:hAnsiTheme="minorEastAsia"/>
          <w:sz w:val="28"/>
          <w:szCs w:val="28"/>
        </w:rPr>
        <w:t>》（</w:t>
      </w:r>
      <w:r>
        <w:rPr>
          <w:rFonts w:cs="Times New Roman" w:asciiTheme="minorEastAsia" w:hAnsiTheme="minorEastAsia"/>
          <w:sz w:val="28"/>
          <w:szCs w:val="28"/>
        </w:rPr>
        <w:t>食药监械监〔2015〕218号</w:t>
      </w:r>
      <w:r>
        <w:rPr>
          <w:rFonts w:hint="eastAsia" w:cs="Times New Roman" w:asciiTheme="minorEastAsia" w:hAnsiTheme="minorEastAsia"/>
          <w:sz w:val="28"/>
          <w:szCs w:val="28"/>
        </w:rPr>
        <w:t>）</w:t>
      </w:r>
    </w:p>
    <w:p w14:paraId="57ABF2A1">
      <w:pPr>
        <w:pStyle w:val="5"/>
        <w:spacing w:line="36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4.《生物安全实验室建筑技术规范》（GB50346-2004）</w:t>
      </w:r>
    </w:p>
    <w:p w14:paraId="0268AD69">
      <w:pPr>
        <w:pStyle w:val="5"/>
        <w:spacing w:line="36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5.《实验室生物安全通用要求》（GB19489-2008</w:t>
      </w:r>
      <w:r>
        <w:rPr>
          <w:rFonts w:cs="Times New Roman" w:asciiTheme="minorEastAsia" w:hAnsiTheme="minorEastAsia"/>
          <w:sz w:val="28"/>
          <w:szCs w:val="28"/>
        </w:rPr>
        <w:t>）</w:t>
      </w:r>
    </w:p>
    <w:p w14:paraId="08D33A81">
      <w:pPr>
        <w:pStyle w:val="5"/>
        <w:spacing w:line="36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6.《临床诊断中聚合酶链反应（PCR）技术的应用》（WS/T203-2002）</w:t>
      </w:r>
    </w:p>
    <w:p w14:paraId="78E26F54">
      <w:pPr>
        <w:pStyle w:val="5"/>
        <w:spacing w:line="36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7.全国临床检验操作规程[第3版]，</w:t>
      </w:r>
      <w:r>
        <w:fldChar w:fldCharType="begin"/>
      </w:r>
      <w:r>
        <w:instrText xml:space="preserve"> HYPERLINK "http://c.wanfangdata.com.cn/Periodical-zgxdxzz.aspx" </w:instrText>
      </w:r>
      <w:r>
        <w:fldChar w:fldCharType="separate"/>
      </w:r>
      <w:r>
        <w:rPr>
          <w:rFonts w:hint="eastAsia" w:cs="Times New Roman" w:asciiTheme="minorEastAsia" w:hAnsiTheme="minorEastAsia"/>
          <w:sz w:val="28"/>
          <w:szCs w:val="28"/>
        </w:rPr>
        <w:t>中华人民共和国卫生部医政司</w:t>
      </w:r>
      <w:r>
        <w:rPr>
          <w:rFonts w:hint="eastAsia" w:cs="Times New Roman" w:asciiTheme="minorEastAsia" w:hAnsiTheme="minorEastAsia"/>
          <w:sz w:val="28"/>
          <w:szCs w:val="28"/>
        </w:rPr>
        <w:fldChar w:fldCharType="end"/>
      </w:r>
      <w:r>
        <w:rPr>
          <w:rFonts w:hint="eastAsia" w:cs="Times New Roman" w:asciiTheme="minorEastAsia" w:hAnsiTheme="minorEastAsia"/>
          <w:sz w:val="28"/>
          <w:szCs w:val="28"/>
        </w:rPr>
        <w:t>，</w:t>
      </w:r>
      <w:r>
        <w:fldChar w:fldCharType="begin"/>
      </w:r>
      <w:r>
        <w:instrText xml:space="preserve"> HYPERLINK "http://c.wanfangdata.com.cn/periodical/zgxdxzz/2005-4.aspx" </w:instrText>
      </w:r>
      <w:r>
        <w:fldChar w:fldCharType="separate"/>
      </w:r>
      <w:r>
        <w:rPr>
          <w:rFonts w:hint="eastAsia" w:cs="Times New Roman" w:asciiTheme="minorEastAsia" w:hAnsiTheme="minorEastAsia"/>
          <w:sz w:val="28"/>
          <w:szCs w:val="28"/>
        </w:rPr>
        <w:t>2006年11月2日</w:t>
      </w:r>
      <w:r>
        <w:rPr>
          <w:rFonts w:hint="eastAsia" w:cs="Times New Roman" w:asciiTheme="minorEastAsia" w:hAnsiTheme="minorEastAsia"/>
          <w:sz w:val="28"/>
          <w:szCs w:val="28"/>
        </w:rPr>
        <w:fldChar w:fldCharType="end"/>
      </w:r>
    </w:p>
    <w:p w14:paraId="1CCB7AC9">
      <w:pPr>
        <w:pStyle w:val="5"/>
        <w:spacing w:line="36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8.Setting Up a PCR Laboratory—Theodore E. Mifflin，Department of Pathology, University of Virginia, Charlottesville, Virginia 22908</w:t>
      </w:r>
    </w:p>
    <w:p w14:paraId="6A890907">
      <w:pPr>
        <w:pStyle w:val="5"/>
        <w:spacing w:line="36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9.Establishment of PCR laboratory in developing countries—World Health Organization[SEA-HLM-419]</w:t>
      </w:r>
    </w:p>
    <w:p w14:paraId="29AED9EA">
      <w:pPr>
        <w:jc w:val="center"/>
        <w:rPr>
          <w:rFonts w:hint="eastAsia" w:eastAsia="宋体"/>
          <w:lang w:eastAsia="zh-CN"/>
        </w:rPr>
      </w:pPr>
    </w:p>
    <w:p w14:paraId="785D7BFC">
      <w:pPr>
        <w:jc w:val="center"/>
        <w:rPr>
          <w:rFonts w:hint="eastAsia" w:eastAsia="宋体"/>
          <w:lang w:eastAsia="zh-CN"/>
        </w:rPr>
      </w:pPr>
    </w:p>
    <w:p w14:paraId="17DDDDB2">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pgSz w:w="11906" w:h="16838"/>
      <w:pgMar w:top="720"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C1"/>
    <w:rsid w:val="00000536"/>
    <w:rsid w:val="000026EE"/>
    <w:rsid w:val="000078C8"/>
    <w:rsid w:val="00013597"/>
    <w:rsid w:val="000138FD"/>
    <w:rsid w:val="00024E9E"/>
    <w:rsid w:val="0003072B"/>
    <w:rsid w:val="0003091A"/>
    <w:rsid w:val="00041CDA"/>
    <w:rsid w:val="00042A60"/>
    <w:rsid w:val="000437B1"/>
    <w:rsid w:val="00043F79"/>
    <w:rsid w:val="0004445E"/>
    <w:rsid w:val="000459BE"/>
    <w:rsid w:val="00047022"/>
    <w:rsid w:val="00052BF3"/>
    <w:rsid w:val="0005688A"/>
    <w:rsid w:val="000569F7"/>
    <w:rsid w:val="000572CA"/>
    <w:rsid w:val="000609A9"/>
    <w:rsid w:val="000651DD"/>
    <w:rsid w:val="00073C8B"/>
    <w:rsid w:val="0008136F"/>
    <w:rsid w:val="000857AA"/>
    <w:rsid w:val="00090573"/>
    <w:rsid w:val="00090BD3"/>
    <w:rsid w:val="000913AD"/>
    <w:rsid w:val="00093D51"/>
    <w:rsid w:val="00094AE9"/>
    <w:rsid w:val="00096472"/>
    <w:rsid w:val="00096858"/>
    <w:rsid w:val="0009781F"/>
    <w:rsid w:val="00097950"/>
    <w:rsid w:val="000A4180"/>
    <w:rsid w:val="000A5F71"/>
    <w:rsid w:val="000B74D1"/>
    <w:rsid w:val="000D143C"/>
    <w:rsid w:val="000D4BA9"/>
    <w:rsid w:val="000E05E1"/>
    <w:rsid w:val="000E15B2"/>
    <w:rsid w:val="000E681E"/>
    <w:rsid w:val="000E71B5"/>
    <w:rsid w:val="000E781B"/>
    <w:rsid w:val="000F0E78"/>
    <w:rsid w:val="000F0FF3"/>
    <w:rsid w:val="000F2217"/>
    <w:rsid w:val="000F484D"/>
    <w:rsid w:val="001009B2"/>
    <w:rsid w:val="001031E7"/>
    <w:rsid w:val="00103EA6"/>
    <w:rsid w:val="0010464F"/>
    <w:rsid w:val="00105FBC"/>
    <w:rsid w:val="00110A45"/>
    <w:rsid w:val="001125A7"/>
    <w:rsid w:val="00112CFB"/>
    <w:rsid w:val="0011404C"/>
    <w:rsid w:val="0011681D"/>
    <w:rsid w:val="0011771C"/>
    <w:rsid w:val="00124238"/>
    <w:rsid w:val="0012457A"/>
    <w:rsid w:val="001245A7"/>
    <w:rsid w:val="001246F6"/>
    <w:rsid w:val="001261AC"/>
    <w:rsid w:val="00131E53"/>
    <w:rsid w:val="00132F87"/>
    <w:rsid w:val="0013612B"/>
    <w:rsid w:val="001378A8"/>
    <w:rsid w:val="00137C10"/>
    <w:rsid w:val="00141C5C"/>
    <w:rsid w:val="00143C85"/>
    <w:rsid w:val="00151B99"/>
    <w:rsid w:val="00151C4F"/>
    <w:rsid w:val="00153CB6"/>
    <w:rsid w:val="00154A7E"/>
    <w:rsid w:val="00156D4F"/>
    <w:rsid w:val="001571F7"/>
    <w:rsid w:val="00157322"/>
    <w:rsid w:val="00157ED8"/>
    <w:rsid w:val="00160537"/>
    <w:rsid w:val="001614AB"/>
    <w:rsid w:val="00161F6C"/>
    <w:rsid w:val="00163C4A"/>
    <w:rsid w:val="001651F0"/>
    <w:rsid w:val="001667BB"/>
    <w:rsid w:val="00173848"/>
    <w:rsid w:val="001747D6"/>
    <w:rsid w:val="00176861"/>
    <w:rsid w:val="00177EC1"/>
    <w:rsid w:val="00180AD9"/>
    <w:rsid w:val="00180DF8"/>
    <w:rsid w:val="001814DD"/>
    <w:rsid w:val="00181FEA"/>
    <w:rsid w:val="0018417B"/>
    <w:rsid w:val="00187268"/>
    <w:rsid w:val="00187392"/>
    <w:rsid w:val="00194BB5"/>
    <w:rsid w:val="00197F0F"/>
    <w:rsid w:val="00197FD0"/>
    <w:rsid w:val="001A4775"/>
    <w:rsid w:val="001A7668"/>
    <w:rsid w:val="001B1EF4"/>
    <w:rsid w:val="001B3477"/>
    <w:rsid w:val="001B47F0"/>
    <w:rsid w:val="001B7C04"/>
    <w:rsid w:val="001B7C29"/>
    <w:rsid w:val="001C149E"/>
    <w:rsid w:val="001C3E04"/>
    <w:rsid w:val="001D6E3A"/>
    <w:rsid w:val="001E2D4B"/>
    <w:rsid w:val="001E5A9F"/>
    <w:rsid w:val="001F0B11"/>
    <w:rsid w:val="001F467C"/>
    <w:rsid w:val="001F62AF"/>
    <w:rsid w:val="0020622E"/>
    <w:rsid w:val="002067DF"/>
    <w:rsid w:val="00207C51"/>
    <w:rsid w:val="0021047C"/>
    <w:rsid w:val="002124F6"/>
    <w:rsid w:val="00214B41"/>
    <w:rsid w:val="00224B89"/>
    <w:rsid w:val="00225A8D"/>
    <w:rsid w:val="0022772B"/>
    <w:rsid w:val="0023306C"/>
    <w:rsid w:val="00235A9B"/>
    <w:rsid w:val="0023713B"/>
    <w:rsid w:val="0024043B"/>
    <w:rsid w:val="00240486"/>
    <w:rsid w:val="00241171"/>
    <w:rsid w:val="002445D3"/>
    <w:rsid w:val="00245B5E"/>
    <w:rsid w:val="0025298B"/>
    <w:rsid w:val="00252FE9"/>
    <w:rsid w:val="0025625A"/>
    <w:rsid w:val="00260AB7"/>
    <w:rsid w:val="002614E3"/>
    <w:rsid w:val="00262D21"/>
    <w:rsid w:val="00270867"/>
    <w:rsid w:val="00270B8B"/>
    <w:rsid w:val="002762B6"/>
    <w:rsid w:val="00276546"/>
    <w:rsid w:val="00277BBB"/>
    <w:rsid w:val="00287472"/>
    <w:rsid w:val="00291C6D"/>
    <w:rsid w:val="002959DE"/>
    <w:rsid w:val="002965D6"/>
    <w:rsid w:val="002A0B9E"/>
    <w:rsid w:val="002A3CED"/>
    <w:rsid w:val="002A6A58"/>
    <w:rsid w:val="002B29DD"/>
    <w:rsid w:val="002B3A99"/>
    <w:rsid w:val="002B3C27"/>
    <w:rsid w:val="002B569B"/>
    <w:rsid w:val="002B5944"/>
    <w:rsid w:val="002C03C8"/>
    <w:rsid w:val="002C2514"/>
    <w:rsid w:val="002C76DA"/>
    <w:rsid w:val="002D0B7A"/>
    <w:rsid w:val="002D3825"/>
    <w:rsid w:val="002D45D9"/>
    <w:rsid w:val="002D4AD1"/>
    <w:rsid w:val="002D5170"/>
    <w:rsid w:val="002E23CB"/>
    <w:rsid w:val="002F1EA6"/>
    <w:rsid w:val="002F352D"/>
    <w:rsid w:val="002F44E7"/>
    <w:rsid w:val="002F7D0E"/>
    <w:rsid w:val="00302C7D"/>
    <w:rsid w:val="003060F6"/>
    <w:rsid w:val="003132C1"/>
    <w:rsid w:val="00315917"/>
    <w:rsid w:val="0031767E"/>
    <w:rsid w:val="00320364"/>
    <w:rsid w:val="00320B5A"/>
    <w:rsid w:val="00321D70"/>
    <w:rsid w:val="003236FF"/>
    <w:rsid w:val="00331839"/>
    <w:rsid w:val="00332218"/>
    <w:rsid w:val="003327DD"/>
    <w:rsid w:val="00334A39"/>
    <w:rsid w:val="003361A1"/>
    <w:rsid w:val="00337A6D"/>
    <w:rsid w:val="00337E33"/>
    <w:rsid w:val="00342BCE"/>
    <w:rsid w:val="00343A58"/>
    <w:rsid w:val="00343D3A"/>
    <w:rsid w:val="00346BF3"/>
    <w:rsid w:val="003503E9"/>
    <w:rsid w:val="0035317F"/>
    <w:rsid w:val="0035686B"/>
    <w:rsid w:val="00361107"/>
    <w:rsid w:val="003624D7"/>
    <w:rsid w:val="00363581"/>
    <w:rsid w:val="0036413F"/>
    <w:rsid w:val="003658B6"/>
    <w:rsid w:val="00366FB9"/>
    <w:rsid w:val="003732E1"/>
    <w:rsid w:val="00373E41"/>
    <w:rsid w:val="00375D13"/>
    <w:rsid w:val="00375F6B"/>
    <w:rsid w:val="00380EEF"/>
    <w:rsid w:val="003854AC"/>
    <w:rsid w:val="00386004"/>
    <w:rsid w:val="00387FE8"/>
    <w:rsid w:val="00392BC1"/>
    <w:rsid w:val="00395A0A"/>
    <w:rsid w:val="003B0D8A"/>
    <w:rsid w:val="003B159A"/>
    <w:rsid w:val="003B635F"/>
    <w:rsid w:val="003B6A1A"/>
    <w:rsid w:val="003C31B4"/>
    <w:rsid w:val="003C36BA"/>
    <w:rsid w:val="003D186B"/>
    <w:rsid w:val="003D5138"/>
    <w:rsid w:val="003D5E74"/>
    <w:rsid w:val="003E2011"/>
    <w:rsid w:val="003E3086"/>
    <w:rsid w:val="003E73BE"/>
    <w:rsid w:val="003F0234"/>
    <w:rsid w:val="003F3E85"/>
    <w:rsid w:val="003F6AE2"/>
    <w:rsid w:val="0040155F"/>
    <w:rsid w:val="0040337D"/>
    <w:rsid w:val="004202A6"/>
    <w:rsid w:val="00423A2A"/>
    <w:rsid w:val="00424D97"/>
    <w:rsid w:val="00425C53"/>
    <w:rsid w:val="004313E5"/>
    <w:rsid w:val="0043496B"/>
    <w:rsid w:val="00434D20"/>
    <w:rsid w:val="00437E85"/>
    <w:rsid w:val="004411D2"/>
    <w:rsid w:val="00442EDF"/>
    <w:rsid w:val="00447B96"/>
    <w:rsid w:val="00452F82"/>
    <w:rsid w:val="00453635"/>
    <w:rsid w:val="0045654D"/>
    <w:rsid w:val="00456E72"/>
    <w:rsid w:val="00462A29"/>
    <w:rsid w:val="004637FB"/>
    <w:rsid w:val="00465DCA"/>
    <w:rsid w:val="004702A5"/>
    <w:rsid w:val="00473851"/>
    <w:rsid w:val="00483242"/>
    <w:rsid w:val="00483A65"/>
    <w:rsid w:val="004877ED"/>
    <w:rsid w:val="004911B8"/>
    <w:rsid w:val="00492332"/>
    <w:rsid w:val="004968BD"/>
    <w:rsid w:val="00497893"/>
    <w:rsid w:val="004A2066"/>
    <w:rsid w:val="004A21AD"/>
    <w:rsid w:val="004A2DDB"/>
    <w:rsid w:val="004A3C3B"/>
    <w:rsid w:val="004A6F24"/>
    <w:rsid w:val="004B1FCB"/>
    <w:rsid w:val="004B41F5"/>
    <w:rsid w:val="004B42FE"/>
    <w:rsid w:val="004B45C8"/>
    <w:rsid w:val="004B650C"/>
    <w:rsid w:val="004B7640"/>
    <w:rsid w:val="004C0D49"/>
    <w:rsid w:val="004C3890"/>
    <w:rsid w:val="004C464C"/>
    <w:rsid w:val="004C6548"/>
    <w:rsid w:val="004C7B40"/>
    <w:rsid w:val="004E172A"/>
    <w:rsid w:val="004E30BE"/>
    <w:rsid w:val="004E3F19"/>
    <w:rsid w:val="004E5722"/>
    <w:rsid w:val="004F08B0"/>
    <w:rsid w:val="004F2511"/>
    <w:rsid w:val="004F277F"/>
    <w:rsid w:val="004F38B6"/>
    <w:rsid w:val="004F3C51"/>
    <w:rsid w:val="004F6A05"/>
    <w:rsid w:val="00501154"/>
    <w:rsid w:val="00506644"/>
    <w:rsid w:val="00511015"/>
    <w:rsid w:val="0051190A"/>
    <w:rsid w:val="00512D86"/>
    <w:rsid w:val="0051672F"/>
    <w:rsid w:val="00524DDB"/>
    <w:rsid w:val="00526437"/>
    <w:rsid w:val="00530BC9"/>
    <w:rsid w:val="00532DFA"/>
    <w:rsid w:val="00536A25"/>
    <w:rsid w:val="00540A50"/>
    <w:rsid w:val="0054115E"/>
    <w:rsid w:val="00541792"/>
    <w:rsid w:val="00541B41"/>
    <w:rsid w:val="005517E1"/>
    <w:rsid w:val="005540AD"/>
    <w:rsid w:val="00554DE1"/>
    <w:rsid w:val="00557FE0"/>
    <w:rsid w:val="00560952"/>
    <w:rsid w:val="00561B78"/>
    <w:rsid w:val="00561F50"/>
    <w:rsid w:val="005626C7"/>
    <w:rsid w:val="00563A04"/>
    <w:rsid w:val="005640B3"/>
    <w:rsid w:val="00566470"/>
    <w:rsid w:val="00570A34"/>
    <w:rsid w:val="00575D2B"/>
    <w:rsid w:val="00580413"/>
    <w:rsid w:val="00582F4D"/>
    <w:rsid w:val="00583653"/>
    <w:rsid w:val="005846C7"/>
    <w:rsid w:val="005A7D24"/>
    <w:rsid w:val="005B489D"/>
    <w:rsid w:val="005B6962"/>
    <w:rsid w:val="005C2614"/>
    <w:rsid w:val="005C4A6F"/>
    <w:rsid w:val="005D39EF"/>
    <w:rsid w:val="005D59F8"/>
    <w:rsid w:val="005D7A41"/>
    <w:rsid w:val="005E04C7"/>
    <w:rsid w:val="005E1BA2"/>
    <w:rsid w:val="005E3321"/>
    <w:rsid w:val="005F251A"/>
    <w:rsid w:val="005F323E"/>
    <w:rsid w:val="005F6BFB"/>
    <w:rsid w:val="00601427"/>
    <w:rsid w:val="00604E7D"/>
    <w:rsid w:val="00614A79"/>
    <w:rsid w:val="00620CA9"/>
    <w:rsid w:val="00622C59"/>
    <w:rsid w:val="006230B4"/>
    <w:rsid w:val="00623634"/>
    <w:rsid w:val="006259B5"/>
    <w:rsid w:val="00641497"/>
    <w:rsid w:val="0064314A"/>
    <w:rsid w:val="00643F89"/>
    <w:rsid w:val="00644A75"/>
    <w:rsid w:val="00644F49"/>
    <w:rsid w:val="00645265"/>
    <w:rsid w:val="00646C84"/>
    <w:rsid w:val="006472E7"/>
    <w:rsid w:val="00660570"/>
    <w:rsid w:val="006611DE"/>
    <w:rsid w:val="00663B77"/>
    <w:rsid w:val="00670CCE"/>
    <w:rsid w:val="006710C6"/>
    <w:rsid w:val="00671B5F"/>
    <w:rsid w:val="00672B13"/>
    <w:rsid w:val="00687FAF"/>
    <w:rsid w:val="006904F8"/>
    <w:rsid w:val="00691429"/>
    <w:rsid w:val="0069454F"/>
    <w:rsid w:val="006A0285"/>
    <w:rsid w:val="006A2657"/>
    <w:rsid w:val="006A78DB"/>
    <w:rsid w:val="006B10DD"/>
    <w:rsid w:val="006B4988"/>
    <w:rsid w:val="006D32E5"/>
    <w:rsid w:val="006D699E"/>
    <w:rsid w:val="006E5662"/>
    <w:rsid w:val="006E6DB9"/>
    <w:rsid w:val="006F286A"/>
    <w:rsid w:val="006F3FD6"/>
    <w:rsid w:val="006F5AEA"/>
    <w:rsid w:val="006F5DED"/>
    <w:rsid w:val="006F6A85"/>
    <w:rsid w:val="006F6E75"/>
    <w:rsid w:val="006F78FF"/>
    <w:rsid w:val="00700ACB"/>
    <w:rsid w:val="0070662B"/>
    <w:rsid w:val="00706F20"/>
    <w:rsid w:val="00714029"/>
    <w:rsid w:val="007169B3"/>
    <w:rsid w:val="00736332"/>
    <w:rsid w:val="00746488"/>
    <w:rsid w:val="007468B3"/>
    <w:rsid w:val="007525D0"/>
    <w:rsid w:val="00756531"/>
    <w:rsid w:val="00761294"/>
    <w:rsid w:val="0076245A"/>
    <w:rsid w:val="00765454"/>
    <w:rsid w:val="00765AAB"/>
    <w:rsid w:val="00772D0B"/>
    <w:rsid w:val="00774608"/>
    <w:rsid w:val="00776397"/>
    <w:rsid w:val="00781055"/>
    <w:rsid w:val="00782402"/>
    <w:rsid w:val="00786C56"/>
    <w:rsid w:val="00787DA6"/>
    <w:rsid w:val="007904AC"/>
    <w:rsid w:val="00791B50"/>
    <w:rsid w:val="00794C2D"/>
    <w:rsid w:val="00796379"/>
    <w:rsid w:val="00797330"/>
    <w:rsid w:val="007A7236"/>
    <w:rsid w:val="007B5C54"/>
    <w:rsid w:val="007C358E"/>
    <w:rsid w:val="007C42DA"/>
    <w:rsid w:val="007C5467"/>
    <w:rsid w:val="007D2257"/>
    <w:rsid w:val="007D603B"/>
    <w:rsid w:val="007E0267"/>
    <w:rsid w:val="007E5055"/>
    <w:rsid w:val="007F30DF"/>
    <w:rsid w:val="007F39B6"/>
    <w:rsid w:val="00802897"/>
    <w:rsid w:val="008030C1"/>
    <w:rsid w:val="00814115"/>
    <w:rsid w:val="00814C03"/>
    <w:rsid w:val="0081770F"/>
    <w:rsid w:val="008208E1"/>
    <w:rsid w:val="00822316"/>
    <w:rsid w:val="00822502"/>
    <w:rsid w:val="00825203"/>
    <w:rsid w:val="0082531A"/>
    <w:rsid w:val="0083015C"/>
    <w:rsid w:val="008402C5"/>
    <w:rsid w:val="00841971"/>
    <w:rsid w:val="0084595E"/>
    <w:rsid w:val="0084676D"/>
    <w:rsid w:val="00850F06"/>
    <w:rsid w:val="008554EA"/>
    <w:rsid w:val="008605C3"/>
    <w:rsid w:val="008611C4"/>
    <w:rsid w:val="008670E4"/>
    <w:rsid w:val="008701D7"/>
    <w:rsid w:val="00870563"/>
    <w:rsid w:val="00872B0F"/>
    <w:rsid w:val="00873362"/>
    <w:rsid w:val="00873916"/>
    <w:rsid w:val="0087697C"/>
    <w:rsid w:val="008804D1"/>
    <w:rsid w:val="008904EC"/>
    <w:rsid w:val="008905CD"/>
    <w:rsid w:val="0089188B"/>
    <w:rsid w:val="0089200B"/>
    <w:rsid w:val="00895853"/>
    <w:rsid w:val="00897D19"/>
    <w:rsid w:val="008B2630"/>
    <w:rsid w:val="008B73B8"/>
    <w:rsid w:val="008C17B4"/>
    <w:rsid w:val="008C40B1"/>
    <w:rsid w:val="008C6B10"/>
    <w:rsid w:val="008D1D34"/>
    <w:rsid w:val="008D5609"/>
    <w:rsid w:val="008E4744"/>
    <w:rsid w:val="008F0CE6"/>
    <w:rsid w:val="008F0E12"/>
    <w:rsid w:val="008F19E5"/>
    <w:rsid w:val="008F3905"/>
    <w:rsid w:val="008F48BB"/>
    <w:rsid w:val="008F62C4"/>
    <w:rsid w:val="009010EC"/>
    <w:rsid w:val="00902296"/>
    <w:rsid w:val="00910247"/>
    <w:rsid w:val="00910432"/>
    <w:rsid w:val="0091054A"/>
    <w:rsid w:val="00911E84"/>
    <w:rsid w:val="00913595"/>
    <w:rsid w:val="00916FCC"/>
    <w:rsid w:val="00923923"/>
    <w:rsid w:val="00925205"/>
    <w:rsid w:val="0092767B"/>
    <w:rsid w:val="0094008D"/>
    <w:rsid w:val="00944DD0"/>
    <w:rsid w:val="00947C04"/>
    <w:rsid w:val="00953638"/>
    <w:rsid w:val="0095501C"/>
    <w:rsid w:val="009563A5"/>
    <w:rsid w:val="0095688D"/>
    <w:rsid w:val="00957A59"/>
    <w:rsid w:val="009608D5"/>
    <w:rsid w:val="009619DA"/>
    <w:rsid w:val="009714D3"/>
    <w:rsid w:val="009729E4"/>
    <w:rsid w:val="00972D4A"/>
    <w:rsid w:val="0097438F"/>
    <w:rsid w:val="009801D3"/>
    <w:rsid w:val="00980399"/>
    <w:rsid w:val="00981B26"/>
    <w:rsid w:val="0098629E"/>
    <w:rsid w:val="009877C6"/>
    <w:rsid w:val="0099028A"/>
    <w:rsid w:val="009963E4"/>
    <w:rsid w:val="00996EA3"/>
    <w:rsid w:val="009A549D"/>
    <w:rsid w:val="009A69F3"/>
    <w:rsid w:val="009A6C08"/>
    <w:rsid w:val="009B6C29"/>
    <w:rsid w:val="009C5756"/>
    <w:rsid w:val="009C5A23"/>
    <w:rsid w:val="009D4077"/>
    <w:rsid w:val="009D4F9F"/>
    <w:rsid w:val="009D6442"/>
    <w:rsid w:val="009D78DC"/>
    <w:rsid w:val="009D7D87"/>
    <w:rsid w:val="009E470D"/>
    <w:rsid w:val="009E6A0C"/>
    <w:rsid w:val="009E7DEA"/>
    <w:rsid w:val="009F198B"/>
    <w:rsid w:val="009F2D45"/>
    <w:rsid w:val="009F3761"/>
    <w:rsid w:val="009F3A2B"/>
    <w:rsid w:val="009F6434"/>
    <w:rsid w:val="00A02DC7"/>
    <w:rsid w:val="00A05B44"/>
    <w:rsid w:val="00A07AC3"/>
    <w:rsid w:val="00A12427"/>
    <w:rsid w:val="00A15849"/>
    <w:rsid w:val="00A34B56"/>
    <w:rsid w:val="00A4079E"/>
    <w:rsid w:val="00A430A2"/>
    <w:rsid w:val="00A43B83"/>
    <w:rsid w:val="00A467A7"/>
    <w:rsid w:val="00A515C1"/>
    <w:rsid w:val="00A55AF8"/>
    <w:rsid w:val="00A56F26"/>
    <w:rsid w:val="00A61A35"/>
    <w:rsid w:val="00A66588"/>
    <w:rsid w:val="00A745D1"/>
    <w:rsid w:val="00A77663"/>
    <w:rsid w:val="00A8160E"/>
    <w:rsid w:val="00A818B7"/>
    <w:rsid w:val="00A81F82"/>
    <w:rsid w:val="00A832C8"/>
    <w:rsid w:val="00A835C2"/>
    <w:rsid w:val="00A84AAD"/>
    <w:rsid w:val="00A85B5A"/>
    <w:rsid w:val="00A92272"/>
    <w:rsid w:val="00A922BB"/>
    <w:rsid w:val="00A9294B"/>
    <w:rsid w:val="00A9381B"/>
    <w:rsid w:val="00AA00D7"/>
    <w:rsid w:val="00AA4B3E"/>
    <w:rsid w:val="00AA6E84"/>
    <w:rsid w:val="00AA7124"/>
    <w:rsid w:val="00AB0597"/>
    <w:rsid w:val="00AB22EE"/>
    <w:rsid w:val="00AB2CD8"/>
    <w:rsid w:val="00AB3F2C"/>
    <w:rsid w:val="00AB5043"/>
    <w:rsid w:val="00AB7827"/>
    <w:rsid w:val="00AB7BFD"/>
    <w:rsid w:val="00AC25F3"/>
    <w:rsid w:val="00AC275F"/>
    <w:rsid w:val="00AC662F"/>
    <w:rsid w:val="00AD37DA"/>
    <w:rsid w:val="00AD5B83"/>
    <w:rsid w:val="00AD5F0F"/>
    <w:rsid w:val="00AD6251"/>
    <w:rsid w:val="00AE0D53"/>
    <w:rsid w:val="00AE13D5"/>
    <w:rsid w:val="00AE4F38"/>
    <w:rsid w:val="00AE6997"/>
    <w:rsid w:val="00AE6B65"/>
    <w:rsid w:val="00AE71E2"/>
    <w:rsid w:val="00AF2171"/>
    <w:rsid w:val="00AF22EF"/>
    <w:rsid w:val="00AF2548"/>
    <w:rsid w:val="00B01E75"/>
    <w:rsid w:val="00B04DCA"/>
    <w:rsid w:val="00B056F2"/>
    <w:rsid w:val="00B07ABA"/>
    <w:rsid w:val="00B11082"/>
    <w:rsid w:val="00B14398"/>
    <w:rsid w:val="00B14690"/>
    <w:rsid w:val="00B15693"/>
    <w:rsid w:val="00B20727"/>
    <w:rsid w:val="00B21296"/>
    <w:rsid w:val="00B275CE"/>
    <w:rsid w:val="00B32A07"/>
    <w:rsid w:val="00B33C18"/>
    <w:rsid w:val="00B3416E"/>
    <w:rsid w:val="00B3465B"/>
    <w:rsid w:val="00B43E41"/>
    <w:rsid w:val="00B449D8"/>
    <w:rsid w:val="00B51AA4"/>
    <w:rsid w:val="00B537F4"/>
    <w:rsid w:val="00B5509C"/>
    <w:rsid w:val="00B56606"/>
    <w:rsid w:val="00B579A9"/>
    <w:rsid w:val="00B60B11"/>
    <w:rsid w:val="00B64035"/>
    <w:rsid w:val="00B65910"/>
    <w:rsid w:val="00B66296"/>
    <w:rsid w:val="00B66925"/>
    <w:rsid w:val="00B705B1"/>
    <w:rsid w:val="00B75DE0"/>
    <w:rsid w:val="00B762D4"/>
    <w:rsid w:val="00B80401"/>
    <w:rsid w:val="00B83C56"/>
    <w:rsid w:val="00B84FAF"/>
    <w:rsid w:val="00B87779"/>
    <w:rsid w:val="00B877CC"/>
    <w:rsid w:val="00B87D58"/>
    <w:rsid w:val="00B90130"/>
    <w:rsid w:val="00B912EA"/>
    <w:rsid w:val="00B91EFC"/>
    <w:rsid w:val="00B92870"/>
    <w:rsid w:val="00B928E9"/>
    <w:rsid w:val="00B96A49"/>
    <w:rsid w:val="00B97631"/>
    <w:rsid w:val="00BB290E"/>
    <w:rsid w:val="00BB4B11"/>
    <w:rsid w:val="00BB65FB"/>
    <w:rsid w:val="00BC3D13"/>
    <w:rsid w:val="00BD2834"/>
    <w:rsid w:val="00BD3CFE"/>
    <w:rsid w:val="00BE0F30"/>
    <w:rsid w:val="00BE49BB"/>
    <w:rsid w:val="00BE58AA"/>
    <w:rsid w:val="00BF24FD"/>
    <w:rsid w:val="00C00569"/>
    <w:rsid w:val="00C0114F"/>
    <w:rsid w:val="00C03154"/>
    <w:rsid w:val="00C04B3A"/>
    <w:rsid w:val="00C04C33"/>
    <w:rsid w:val="00C05FB7"/>
    <w:rsid w:val="00C110C1"/>
    <w:rsid w:val="00C22F8E"/>
    <w:rsid w:val="00C2715A"/>
    <w:rsid w:val="00C30E33"/>
    <w:rsid w:val="00C33066"/>
    <w:rsid w:val="00C3337A"/>
    <w:rsid w:val="00C35AFB"/>
    <w:rsid w:val="00C35B46"/>
    <w:rsid w:val="00C42902"/>
    <w:rsid w:val="00C429BC"/>
    <w:rsid w:val="00C444FF"/>
    <w:rsid w:val="00C44E20"/>
    <w:rsid w:val="00C4654B"/>
    <w:rsid w:val="00C53F4E"/>
    <w:rsid w:val="00C548DC"/>
    <w:rsid w:val="00C55953"/>
    <w:rsid w:val="00C6059B"/>
    <w:rsid w:val="00C62357"/>
    <w:rsid w:val="00C76738"/>
    <w:rsid w:val="00C77110"/>
    <w:rsid w:val="00C8010B"/>
    <w:rsid w:val="00C8098B"/>
    <w:rsid w:val="00C80B46"/>
    <w:rsid w:val="00C82CEB"/>
    <w:rsid w:val="00C849DC"/>
    <w:rsid w:val="00C84C75"/>
    <w:rsid w:val="00C9029B"/>
    <w:rsid w:val="00C95E01"/>
    <w:rsid w:val="00C97924"/>
    <w:rsid w:val="00CA2D8E"/>
    <w:rsid w:val="00CB665C"/>
    <w:rsid w:val="00CB6D71"/>
    <w:rsid w:val="00CC20AA"/>
    <w:rsid w:val="00CC6EA1"/>
    <w:rsid w:val="00CD32E2"/>
    <w:rsid w:val="00CE167A"/>
    <w:rsid w:val="00CE5A58"/>
    <w:rsid w:val="00CF4992"/>
    <w:rsid w:val="00D010C0"/>
    <w:rsid w:val="00D02654"/>
    <w:rsid w:val="00D0296B"/>
    <w:rsid w:val="00D04A03"/>
    <w:rsid w:val="00D11B19"/>
    <w:rsid w:val="00D12289"/>
    <w:rsid w:val="00D17DA5"/>
    <w:rsid w:val="00D20BF2"/>
    <w:rsid w:val="00D22537"/>
    <w:rsid w:val="00D23FC1"/>
    <w:rsid w:val="00D25944"/>
    <w:rsid w:val="00D27142"/>
    <w:rsid w:val="00D30785"/>
    <w:rsid w:val="00D31686"/>
    <w:rsid w:val="00D342C6"/>
    <w:rsid w:val="00D35A81"/>
    <w:rsid w:val="00D422B9"/>
    <w:rsid w:val="00D429CC"/>
    <w:rsid w:val="00D4793E"/>
    <w:rsid w:val="00D51281"/>
    <w:rsid w:val="00D51461"/>
    <w:rsid w:val="00D52B42"/>
    <w:rsid w:val="00D52C55"/>
    <w:rsid w:val="00D6146E"/>
    <w:rsid w:val="00D6190D"/>
    <w:rsid w:val="00D61C55"/>
    <w:rsid w:val="00D6380D"/>
    <w:rsid w:val="00D644D1"/>
    <w:rsid w:val="00D64A5F"/>
    <w:rsid w:val="00D65D06"/>
    <w:rsid w:val="00D70460"/>
    <w:rsid w:val="00D72D67"/>
    <w:rsid w:val="00D75E79"/>
    <w:rsid w:val="00D85834"/>
    <w:rsid w:val="00D90D3C"/>
    <w:rsid w:val="00D92826"/>
    <w:rsid w:val="00D931F3"/>
    <w:rsid w:val="00D94AF3"/>
    <w:rsid w:val="00DA3376"/>
    <w:rsid w:val="00DA3565"/>
    <w:rsid w:val="00DA7B0C"/>
    <w:rsid w:val="00DB4D67"/>
    <w:rsid w:val="00DB5E1C"/>
    <w:rsid w:val="00DB6014"/>
    <w:rsid w:val="00DB7042"/>
    <w:rsid w:val="00DC086D"/>
    <w:rsid w:val="00DC25A5"/>
    <w:rsid w:val="00DC52F0"/>
    <w:rsid w:val="00DC6111"/>
    <w:rsid w:val="00DC7548"/>
    <w:rsid w:val="00DD3AED"/>
    <w:rsid w:val="00DD43A9"/>
    <w:rsid w:val="00DD6DB9"/>
    <w:rsid w:val="00DE0A8E"/>
    <w:rsid w:val="00DE1506"/>
    <w:rsid w:val="00DE1DA6"/>
    <w:rsid w:val="00DE5F82"/>
    <w:rsid w:val="00DF1240"/>
    <w:rsid w:val="00DF3251"/>
    <w:rsid w:val="00E0109A"/>
    <w:rsid w:val="00E0752A"/>
    <w:rsid w:val="00E107EB"/>
    <w:rsid w:val="00E141A3"/>
    <w:rsid w:val="00E1705E"/>
    <w:rsid w:val="00E22BEF"/>
    <w:rsid w:val="00E235A6"/>
    <w:rsid w:val="00E2399C"/>
    <w:rsid w:val="00E24816"/>
    <w:rsid w:val="00E320D0"/>
    <w:rsid w:val="00E358D7"/>
    <w:rsid w:val="00E35D0C"/>
    <w:rsid w:val="00E43F8C"/>
    <w:rsid w:val="00E443F0"/>
    <w:rsid w:val="00E45298"/>
    <w:rsid w:val="00E51FF0"/>
    <w:rsid w:val="00E53FE5"/>
    <w:rsid w:val="00E5465A"/>
    <w:rsid w:val="00E54E0B"/>
    <w:rsid w:val="00E57A49"/>
    <w:rsid w:val="00E6127F"/>
    <w:rsid w:val="00E61EB4"/>
    <w:rsid w:val="00E6214B"/>
    <w:rsid w:val="00E63D20"/>
    <w:rsid w:val="00E81DF3"/>
    <w:rsid w:val="00E84EA0"/>
    <w:rsid w:val="00E93088"/>
    <w:rsid w:val="00E966F8"/>
    <w:rsid w:val="00EA04B7"/>
    <w:rsid w:val="00EA1FA9"/>
    <w:rsid w:val="00EA6051"/>
    <w:rsid w:val="00EA613D"/>
    <w:rsid w:val="00EB5A71"/>
    <w:rsid w:val="00EB61D0"/>
    <w:rsid w:val="00EB7304"/>
    <w:rsid w:val="00ED032C"/>
    <w:rsid w:val="00ED0D75"/>
    <w:rsid w:val="00ED40CC"/>
    <w:rsid w:val="00ED45E7"/>
    <w:rsid w:val="00ED5379"/>
    <w:rsid w:val="00ED6678"/>
    <w:rsid w:val="00EE01C7"/>
    <w:rsid w:val="00EE0E87"/>
    <w:rsid w:val="00EE1046"/>
    <w:rsid w:val="00EE5A6C"/>
    <w:rsid w:val="00EF05FF"/>
    <w:rsid w:val="00EF2B0E"/>
    <w:rsid w:val="00EF4B15"/>
    <w:rsid w:val="00EF63D8"/>
    <w:rsid w:val="00EF6F42"/>
    <w:rsid w:val="00EF7D5B"/>
    <w:rsid w:val="00EF7E92"/>
    <w:rsid w:val="00F01C99"/>
    <w:rsid w:val="00F0440A"/>
    <w:rsid w:val="00F1125D"/>
    <w:rsid w:val="00F13069"/>
    <w:rsid w:val="00F217B9"/>
    <w:rsid w:val="00F21FCA"/>
    <w:rsid w:val="00F225C0"/>
    <w:rsid w:val="00F24E41"/>
    <w:rsid w:val="00F32523"/>
    <w:rsid w:val="00F32D2C"/>
    <w:rsid w:val="00F3383C"/>
    <w:rsid w:val="00F35EDA"/>
    <w:rsid w:val="00F3762C"/>
    <w:rsid w:val="00F4214A"/>
    <w:rsid w:val="00F42160"/>
    <w:rsid w:val="00F42222"/>
    <w:rsid w:val="00F4270B"/>
    <w:rsid w:val="00F44214"/>
    <w:rsid w:val="00F4730A"/>
    <w:rsid w:val="00F47F00"/>
    <w:rsid w:val="00F500C0"/>
    <w:rsid w:val="00F5022C"/>
    <w:rsid w:val="00F50598"/>
    <w:rsid w:val="00F53BB8"/>
    <w:rsid w:val="00F53D01"/>
    <w:rsid w:val="00F54ADD"/>
    <w:rsid w:val="00F54D72"/>
    <w:rsid w:val="00F56E65"/>
    <w:rsid w:val="00F70175"/>
    <w:rsid w:val="00F70269"/>
    <w:rsid w:val="00F728E1"/>
    <w:rsid w:val="00F752F2"/>
    <w:rsid w:val="00F75832"/>
    <w:rsid w:val="00F77CA7"/>
    <w:rsid w:val="00F8178E"/>
    <w:rsid w:val="00F81C5E"/>
    <w:rsid w:val="00F84B02"/>
    <w:rsid w:val="00F902B1"/>
    <w:rsid w:val="00F9090A"/>
    <w:rsid w:val="00F93A4F"/>
    <w:rsid w:val="00FA3716"/>
    <w:rsid w:val="00FA5173"/>
    <w:rsid w:val="00FA68A0"/>
    <w:rsid w:val="00FA6960"/>
    <w:rsid w:val="00FB01D2"/>
    <w:rsid w:val="00FB0B07"/>
    <w:rsid w:val="00FB5D1E"/>
    <w:rsid w:val="00FB60B2"/>
    <w:rsid w:val="00FC1C3D"/>
    <w:rsid w:val="00FC1E35"/>
    <w:rsid w:val="00FC2E31"/>
    <w:rsid w:val="00FC622B"/>
    <w:rsid w:val="00FD0F78"/>
    <w:rsid w:val="00FD27E5"/>
    <w:rsid w:val="00FE1999"/>
    <w:rsid w:val="00FE1F76"/>
    <w:rsid w:val="00FE3BB2"/>
    <w:rsid w:val="00FE3BE9"/>
    <w:rsid w:val="00FF081D"/>
    <w:rsid w:val="00FF10FA"/>
    <w:rsid w:val="00FF2C66"/>
    <w:rsid w:val="00FF30CF"/>
    <w:rsid w:val="00FF50E7"/>
    <w:rsid w:val="432F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HTML Preformatted"/>
    <w:basedOn w:val="1"/>
    <w:link w:val="12"/>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eastAsiaTheme="minorEastAsia"/>
      <w:sz w:val="24"/>
    </w:rPr>
  </w:style>
  <w:style w:type="paragraph" w:styleId="6">
    <w:name w:val="Normal (Web)"/>
    <w:basedOn w:val="1"/>
    <w:semiHidden/>
    <w:uiPriority w:val="0"/>
    <w:pPr>
      <w:widowControl/>
      <w:spacing w:before="100" w:beforeAutospacing="1" w:after="100" w:afterAutospacing="1"/>
      <w:jc w:val="left"/>
    </w:pPr>
    <w:rPr>
      <w:rFonts w:ascii="宋体" w:hAnsi="宋体" w:cs="宋体"/>
      <w:kern w:val="0"/>
      <w:sz w:val="24"/>
    </w:rPr>
  </w:style>
  <w:style w:type="character" w:styleId="9">
    <w:name w:val="Emphasis"/>
    <w:basedOn w:val="8"/>
    <w:qFormat/>
    <w:uiPriority w:val="20"/>
    <w:rPr>
      <w:i/>
      <w:iCs/>
    </w:rPr>
  </w:style>
  <w:style w:type="character" w:customStyle="1" w:styleId="10">
    <w:name w:val="页眉 字符"/>
    <w:basedOn w:val="8"/>
    <w:link w:val="4"/>
    <w:uiPriority w:val="99"/>
    <w:rPr>
      <w:sz w:val="18"/>
      <w:szCs w:val="18"/>
    </w:rPr>
  </w:style>
  <w:style w:type="character" w:customStyle="1" w:styleId="11">
    <w:name w:val="页脚 字符"/>
    <w:basedOn w:val="8"/>
    <w:link w:val="3"/>
    <w:uiPriority w:val="99"/>
    <w:rPr>
      <w:sz w:val="18"/>
      <w:szCs w:val="18"/>
    </w:rPr>
  </w:style>
  <w:style w:type="character" w:customStyle="1" w:styleId="12">
    <w:name w:val="HTML 预设格式 字符"/>
    <w:basedOn w:val="8"/>
    <w:link w:val="5"/>
    <w:uiPriority w:val="0"/>
    <w:rPr>
      <w:rFonts w:ascii="Arial" w:hAnsi="Arial" w:cs="Arial"/>
      <w:sz w:val="24"/>
      <w:szCs w:val="24"/>
    </w:rPr>
  </w:style>
  <w:style w:type="character" w:customStyle="1" w:styleId="13">
    <w:name w:val="HTML 预设格式 Char1"/>
    <w:basedOn w:val="8"/>
    <w:semiHidden/>
    <w:qFormat/>
    <w:uiPriority w:val="99"/>
    <w:rPr>
      <w:rFonts w:ascii="Courier New" w:hAnsi="Courier New" w:eastAsia="宋体" w:cs="Courier New"/>
      <w:sz w:val="20"/>
      <w:szCs w:val="20"/>
    </w:rPr>
  </w:style>
  <w:style w:type="character" w:customStyle="1" w:styleId="14">
    <w:name w:val="批注框文本 字符"/>
    <w:basedOn w:val="8"/>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bjda</Company>
  <Pages>8</Pages>
  <Words>3486</Words>
  <Characters>3872</Characters>
  <Lines>29</Lines>
  <Paragraphs>8</Paragraphs>
  <TotalTime>79</TotalTime>
  <ScaleCrop>false</ScaleCrop>
  <LinksUpToDate>false</LinksUpToDate>
  <CharactersWithSpaces>3917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2016-03-07T08:48:00Z</dcterms:created>
  <dc:creator>刘欣</dc:creator>
  <cp:lastModifiedBy>太极箫客</cp:lastModifiedBy>
  <dcterms:modified xsi:type="dcterms:W3CDTF">2025-08-14T07:18:18Z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C808DE26F10D4FDE89875B60D56763CF_12</vt:lpwstr>
  </property>
</Properties>
</file>