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5E284">
      <w:pPr>
        <w:topLinePunct/>
        <w:adjustRightInd w:val="0"/>
        <w:snapToGrid w:val="0"/>
        <w:spacing w:after="224" w:afterLines="75" w:line="288" w:lineRule="auto"/>
        <w:jc w:val="center"/>
        <w:rPr>
          <w:rFonts w:ascii="Arial" w:hAnsi="Arial" w:eastAsia="宋体" w:cs="Arial"/>
          <w:snapToGrid w:val="0"/>
          <w:sz w:val="48"/>
          <w:szCs w:val="48"/>
        </w:rPr>
      </w:pPr>
      <w:bookmarkStart w:id="19" w:name="_GoBack"/>
      <w:bookmarkEnd w:id="19"/>
      <w:r>
        <w:rPr>
          <w:rFonts w:hint="eastAsia" w:ascii="Arial" w:hAnsi="Arial" w:eastAsia="宋体" w:cs="Arial"/>
          <w:b/>
          <w:snapToGrid w:val="0"/>
          <w:sz w:val="48"/>
          <w:szCs w:val="48"/>
        </w:rPr>
        <w:t>行业和FDA工作人员指南：</w:t>
      </w:r>
    </w:p>
    <w:p w14:paraId="30ABF9F4">
      <w:pPr>
        <w:topLinePunct/>
        <w:adjustRightInd w:val="0"/>
        <w:snapToGrid w:val="0"/>
        <w:spacing w:after="224" w:afterLines="75" w:line="288" w:lineRule="auto"/>
        <w:jc w:val="center"/>
        <w:rPr>
          <w:rFonts w:ascii="Arial" w:hAnsi="Arial" w:eastAsia="宋体" w:cs="Arial"/>
          <w:snapToGrid w:val="0"/>
          <w:sz w:val="44"/>
          <w:szCs w:val="48"/>
        </w:rPr>
      </w:pPr>
      <w:r>
        <w:rPr>
          <w:rFonts w:hint="eastAsia" w:ascii="Arial" w:hAnsi="Arial" w:eastAsia="宋体" w:cs="Arial"/>
          <w:snapToGrid w:val="0"/>
          <w:sz w:val="44"/>
          <w:szCs w:val="48"/>
        </w:rPr>
        <w:t>联邦食品、药品和化妆品法案第201（h）条器械定义中术语</w:t>
      </w:r>
      <w:r>
        <w:rPr>
          <w:rFonts w:hint="eastAsia" w:ascii="宋体" w:hAnsi="宋体" w:eastAsia="宋体" w:cs="Arial"/>
          <w:snapToGrid w:val="0"/>
          <w:sz w:val="44"/>
          <w:szCs w:val="48"/>
        </w:rPr>
        <w:t>“</w:t>
      </w:r>
      <w:r>
        <w:rPr>
          <w:rFonts w:hint="eastAsia" w:ascii="Arial" w:hAnsi="Arial" w:eastAsia="宋体" w:cs="Arial"/>
          <w:snapToGrid w:val="0"/>
          <w:sz w:val="44"/>
          <w:szCs w:val="48"/>
        </w:rPr>
        <w:t>化学作用</w:t>
      </w:r>
      <w:r>
        <w:rPr>
          <w:rFonts w:hint="eastAsia" w:ascii="宋体" w:hAnsi="宋体" w:eastAsia="宋体" w:cs="Arial"/>
          <w:snapToGrid w:val="0"/>
          <w:sz w:val="44"/>
          <w:szCs w:val="48"/>
        </w:rPr>
        <w:t>”</w:t>
      </w:r>
      <w:r>
        <w:rPr>
          <w:rFonts w:hint="eastAsia" w:ascii="Arial" w:hAnsi="Arial" w:eastAsia="宋体" w:cs="Arial"/>
          <w:snapToGrid w:val="0"/>
          <w:sz w:val="44"/>
          <w:szCs w:val="48"/>
        </w:rPr>
        <w:t>的解释</w:t>
      </w:r>
    </w:p>
    <w:p w14:paraId="67D0C354">
      <w:pPr>
        <w:topLinePunct/>
        <w:adjustRightInd w:val="0"/>
        <w:snapToGrid w:val="0"/>
        <w:spacing w:after="224" w:afterLines="75" w:line="288" w:lineRule="auto"/>
        <w:jc w:val="center"/>
        <w:rPr>
          <w:rFonts w:ascii="Arial" w:hAnsi="Arial" w:eastAsia="宋体" w:cs="Arial"/>
          <w:snapToGrid w:val="0"/>
          <w:sz w:val="48"/>
          <w:szCs w:val="48"/>
        </w:rPr>
      </w:pPr>
      <w:r>
        <w:rPr>
          <w:rFonts w:hint="eastAsia" w:ascii="Arial" w:hAnsi="Arial" w:eastAsia="宋体" w:cs="Arial"/>
          <w:b/>
          <w:i/>
          <w:snapToGrid w:val="0"/>
          <w:sz w:val="48"/>
          <w:szCs w:val="48"/>
        </w:rPr>
        <w:t>指南草案</w:t>
      </w:r>
    </w:p>
    <w:p w14:paraId="4BF8A67C">
      <w:pPr>
        <w:pStyle w:val="4"/>
        <w:topLinePunct/>
        <w:adjustRightInd w:val="0"/>
        <w:snapToGrid w:val="0"/>
        <w:spacing w:after="224" w:afterLines="75" w:line="288" w:lineRule="auto"/>
        <w:ind w:left="0"/>
        <w:jc w:val="center"/>
        <w:rPr>
          <w:rFonts w:ascii="Arial" w:hAnsi="Arial" w:cs="Arial"/>
          <w:b w:val="0"/>
          <w:bCs w:val="0"/>
          <w:snapToGrid w:val="0"/>
        </w:rPr>
      </w:pPr>
      <w:r>
        <w:rPr>
          <w:rFonts w:hint="eastAsia" w:ascii="Arial" w:hAnsi="Arial" w:cs="Arial"/>
          <w:snapToGrid w:val="0"/>
        </w:rPr>
        <w:t>本指导性文件公布的目的仅用于征询意见、建议用途。</w:t>
      </w:r>
    </w:p>
    <w:p w14:paraId="2224FDC4">
      <w:pPr>
        <w:topLinePunct/>
        <w:adjustRightInd w:val="0"/>
        <w:snapToGrid w:val="0"/>
        <w:spacing w:after="224" w:afterLines="75" w:line="288" w:lineRule="auto"/>
        <w:jc w:val="both"/>
        <w:rPr>
          <w:rFonts w:ascii="Arial" w:hAnsi="Arial" w:eastAsia="宋体" w:cs="Arial"/>
          <w:snapToGrid w:val="0"/>
          <w:sz w:val="24"/>
          <w:szCs w:val="23"/>
        </w:rPr>
      </w:pPr>
      <w:r>
        <w:rPr>
          <w:rFonts w:hint="eastAsia" w:ascii="Arial" w:hAnsi="Arial" w:eastAsia="宋体" w:cs="Arial"/>
          <w:snapToGrid w:val="0"/>
          <w:sz w:val="24"/>
        </w:rPr>
        <w:t>虽然您可以随时针对任何指南提出建议（请参见21 CFR 10.115 （g）</w:t>
      </w:r>
      <w:r>
        <w:rPr>
          <w:rFonts w:ascii="Arial" w:hAnsi="Arial" w:eastAsia="宋体" w:cs="Arial"/>
          <w:snapToGrid w:val="0"/>
          <w:sz w:val="24"/>
        </w:rPr>
        <w:t>（5）</w:t>
      </w:r>
      <w:r>
        <w:rPr>
          <w:rFonts w:hint="eastAsia" w:ascii="Arial" w:hAnsi="Arial" w:eastAsia="宋体" w:cs="Arial"/>
          <w:snapToGrid w:val="0"/>
          <w:sz w:val="24"/>
        </w:rPr>
        <w:t>），但为确保机构在开始制定指南最终版本之前考虑您针对本指南草案提出的建议，关于本草案文件的任何评论及建议，请于联邦公报刊载草案文件发布通知的90天内提交。书面评论请提交至食品药品监督管理局案卷管理科（HFA-305），5630 Fishers Lane, rm.1061, Rockville, MD 20852。电子评论请提交至</w:t>
      </w:r>
      <w:r>
        <w:fldChar w:fldCharType="begin"/>
      </w:r>
      <w:r>
        <w:instrText xml:space="preserve"> HYPERLINK "http://www.regulations.gov/" \h </w:instrText>
      </w:r>
      <w:r>
        <w:fldChar w:fldCharType="separate"/>
      </w:r>
      <w:r>
        <w:rPr>
          <w:rFonts w:ascii="Arial" w:hAnsi="Arial" w:eastAsia="宋体" w:cs="Arial"/>
          <w:snapToGrid w:val="0"/>
          <w:color w:val="0000FF"/>
          <w:sz w:val="24"/>
          <w:u w:val="single" w:color="0000FF"/>
        </w:rPr>
        <w:t>http: //www.regulations.gov</w:t>
      </w:r>
      <w:r>
        <w:rPr>
          <w:rFonts w:ascii="Arial" w:hAnsi="Arial" w:eastAsia="宋体" w:cs="Arial"/>
          <w:snapToGrid w:val="0"/>
          <w:color w:val="0000FF"/>
          <w:sz w:val="24"/>
          <w:u w:val="single" w:color="0000FF"/>
        </w:rPr>
        <w:fldChar w:fldCharType="end"/>
      </w:r>
      <w:r>
        <w:rPr>
          <w:rFonts w:hint="eastAsia" w:ascii="Arial" w:hAnsi="Arial" w:eastAsia="宋体" w:cs="Arial"/>
          <w:snapToGrid w:val="0"/>
          <w:sz w:val="24"/>
        </w:rPr>
        <w:t>。所有评论应当注明案卷编号，该编号列于宣布提供指南的联邦公告中。</w:t>
      </w:r>
    </w:p>
    <w:p w14:paraId="4AB5F35F">
      <w:pPr>
        <w:topLinePunct/>
        <w:adjustRightInd w:val="0"/>
        <w:snapToGrid w:val="0"/>
        <w:spacing w:line="288" w:lineRule="auto"/>
        <w:jc w:val="center"/>
        <w:rPr>
          <w:rFonts w:ascii="Arial" w:hAnsi="Arial" w:eastAsia="宋体" w:cs="Arial"/>
          <w:i/>
          <w:snapToGrid w:val="0"/>
          <w:sz w:val="24"/>
        </w:rPr>
      </w:pPr>
      <w:r>
        <w:rPr>
          <w:rFonts w:hint="eastAsia" w:ascii="Arial" w:hAnsi="Arial" w:eastAsia="宋体" w:cs="Arial"/>
          <w:i/>
          <w:snapToGrid w:val="0"/>
          <w:sz w:val="24"/>
        </w:rPr>
        <w:t>其他副本可从以下地址获得：</w:t>
      </w:r>
    </w:p>
    <w:p w14:paraId="76627F83">
      <w:pPr>
        <w:topLinePunct/>
        <w:adjustRightInd w:val="0"/>
        <w:snapToGrid w:val="0"/>
        <w:spacing w:line="288" w:lineRule="auto"/>
        <w:jc w:val="center"/>
        <w:rPr>
          <w:rFonts w:ascii="Arial" w:hAnsi="Arial" w:eastAsia="宋体" w:cs="Arial"/>
          <w:i/>
          <w:snapToGrid w:val="0"/>
          <w:sz w:val="24"/>
        </w:rPr>
      </w:pPr>
      <w:r>
        <w:rPr>
          <w:rFonts w:hint="eastAsia" w:ascii="Arial" w:hAnsi="Arial" w:eastAsia="宋体" w:cs="Arial"/>
          <w:i/>
          <w:snapToGrid w:val="0"/>
          <w:sz w:val="24"/>
        </w:rPr>
        <w:t>组合产品办公室</w:t>
      </w:r>
    </w:p>
    <w:p w14:paraId="3D2DD94A">
      <w:pPr>
        <w:topLinePunct/>
        <w:adjustRightInd w:val="0"/>
        <w:snapToGrid w:val="0"/>
        <w:spacing w:line="288" w:lineRule="auto"/>
        <w:jc w:val="center"/>
        <w:rPr>
          <w:rFonts w:ascii="Arial" w:hAnsi="Arial" w:eastAsia="宋体" w:cs="Arial"/>
          <w:i/>
          <w:snapToGrid w:val="0"/>
          <w:sz w:val="24"/>
        </w:rPr>
      </w:pPr>
      <w:r>
        <w:rPr>
          <w:rFonts w:hint="eastAsia" w:ascii="Arial" w:hAnsi="Arial" w:eastAsia="宋体" w:cs="Arial"/>
          <w:i/>
          <w:snapToGrid w:val="0"/>
          <w:sz w:val="24"/>
        </w:rPr>
        <w:t>食品药品监督管理局</w:t>
      </w:r>
    </w:p>
    <w:p w14:paraId="05424356">
      <w:pPr>
        <w:topLinePunct/>
        <w:adjustRightInd w:val="0"/>
        <w:snapToGrid w:val="0"/>
        <w:spacing w:line="288" w:lineRule="auto"/>
        <w:jc w:val="center"/>
        <w:rPr>
          <w:rFonts w:ascii="Arial" w:hAnsi="Arial" w:eastAsia="宋体" w:cs="Arial"/>
          <w:i/>
          <w:snapToGrid w:val="0"/>
          <w:sz w:val="24"/>
        </w:rPr>
      </w:pPr>
      <w:r>
        <w:rPr>
          <w:rFonts w:hint="eastAsia" w:ascii="Arial" w:hAnsi="Arial" w:eastAsia="宋体" w:cs="Arial"/>
          <w:i/>
          <w:snapToGrid w:val="0"/>
          <w:sz w:val="24"/>
        </w:rPr>
        <w:t>WO32，Hub/Mail Room #5129</w:t>
      </w:r>
    </w:p>
    <w:p w14:paraId="34351532">
      <w:pPr>
        <w:topLinePunct/>
        <w:adjustRightInd w:val="0"/>
        <w:snapToGrid w:val="0"/>
        <w:spacing w:line="288" w:lineRule="auto"/>
        <w:jc w:val="center"/>
        <w:rPr>
          <w:rFonts w:ascii="Arial" w:hAnsi="Arial" w:eastAsia="宋体" w:cs="Arial"/>
          <w:snapToGrid w:val="0"/>
          <w:sz w:val="24"/>
          <w:szCs w:val="24"/>
        </w:rPr>
      </w:pPr>
      <w:r>
        <w:rPr>
          <w:rFonts w:hint="eastAsia" w:ascii="Arial" w:hAnsi="Arial" w:eastAsia="宋体" w:cs="Arial"/>
          <w:i/>
          <w:snapToGrid w:val="0"/>
          <w:sz w:val="24"/>
        </w:rPr>
        <w:t>10903 New Hampshire Avenue</w:t>
      </w:r>
    </w:p>
    <w:p w14:paraId="655352CF">
      <w:pPr>
        <w:topLinePunct/>
        <w:adjustRightInd w:val="0"/>
        <w:snapToGrid w:val="0"/>
        <w:spacing w:line="288" w:lineRule="auto"/>
        <w:jc w:val="center"/>
        <w:rPr>
          <w:rFonts w:ascii="Arial" w:hAnsi="Arial" w:eastAsia="宋体" w:cs="Arial"/>
          <w:i/>
          <w:snapToGrid w:val="0"/>
          <w:sz w:val="24"/>
        </w:rPr>
      </w:pPr>
      <w:r>
        <w:rPr>
          <w:rFonts w:hint="eastAsia" w:ascii="Arial" w:hAnsi="Arial" w:eastAsia="宋体" w:cs="Arial"/>
          <w:i/>
          <w:snapToGrid w:val="0"/>
          <w:sz w:val="24"/>
        </w:rPr>
        <w:t>Silver Spring，MD 20993</w:t>
      </w:r>
    </w:p>
    <w:p w14:paraId="7A082C3A">
      <w:pPr>
        <w:topLinePunct/>
        <w:adjustRightInd w:val="0"/>
        <w:snapToGrid w:val="0"/>
        <w:spacing w:line="288" w:lineRule="auto"/>
        <w:jc w:val="center"/>
        <w:rPr>
          <w:rFonts w:ascii="Arial" w:hAnsi="Arial" w:eastAsia="宋体" w:cs="Arial"/>
          <w:snapToGrid w:val="0"/>
          <w:sz w:val="24"/>
          <w:szCs w:val="24"/>
        </w:rPr>
      </w:pPr>
      <w:r>
        <w:rPr>
          <w:rFonts w:hint="eastAsia" w:ascii="Arial" w:hAnsi="Arial" w:eastAsia="宋体" w:cs="Arial"/>
          <w:i/>
          <w:snapToGrid w:val="0"/>
          <w:sz w:val="24"/>
        </w:rPr>
        <w:t>（电话）301-796-8930</w:t>
      </w:r>
    </w:p>
    <w:p w14:paraId="000A0B0B">
      <w:pPr>
        <w:topLinePunct/>
        <w:adjustRightInd w:val="0"/>
        <w:snapToGrid w:val="0"/>
        <w:spacing w:line="288" w:lineRule="auto"/>
        <w:jc w:val="center"/>
        <w:rPr>
          <w:rFonts w:ascii="Arial" w:hAnsi="Arial" w:eastAsia="宋体" w:cs="Arial"/>
          <w:snapToGrid w:val="0"/>
          <w:sz w:val="24"/>
          <w:szCs w:val="24"/>
        </w:rPr>
      </w:pPr>
      <w:r>
        <w:rPr>
          <w:rFonts w:hint="eastAsia" w:ascii="Arial" w:hAnsi="Arial" w:eastAsia="宋体" w:cs="Arial"/>
          <w:i/>
          <w:snapToGrid w:val="0"/>
          <w:sz w:val="24"/>
        </w:rPr>
        <w:t>（传真）301-847-8619</w:t>
      </w:r>
    </w:p>
    <w:p w14:paraId="7246A882">
      <w:pPr>
        <w:topLinePunct/>
        <w:adjustRightInd w:val="0"/>
        <w:snapToGrid w:val="0"/>
        <w:spacing w:after="224" w:afterLines="75" w:line="288" w:lineRule="auto"/>
        <w:jc w:val="center"/>
        <w:rPr>
          <w:rFonts w:ascii="Arial" w:hAnsi="Arial" w:eastAsia="宋体" w:cs="Arial"/>
          <w:snapToGrid w:val="0"/>
          <w:sz w:val="24"/>
          <w:szCs w:val="24"/>
        </w:rPr>
      </w:pPr>
      <w:r>
        <w:fldChar w:fldCharType="begin"/>
      </w:r>
      <w:r>
        <w:instrText xml:space="preserve"> HYPERLINK "http://www.fda.gov/CombinationProducts/default.htm" \h </w:instrText>
      </w:r>
      <w:r>
        <w:fldChar w:fldCharType="separate"/>
      </w:r>
      <w:r>
        <w:rPr>
          <w:rFonts w:hint="eastAsia" w:ascii="Arial" w:hAnsi="Arial" w:eastAsia="宋体" w:cs="Arial"/>
          <w:i/>
          <w:snapToGrid w:val="0"/>
          <w:color w:val="0000FF"/>
          <w:sz w:val="24"/>
          <w:u w:val="single" w:color="0000FF"/>
        </w:rPr>
        <w:t>http: //www.fda.gov/CombinationProducts/default.htm</w:t>
      </w:r>
      <w:r>
        <w:rPr>
          <w:rFonts w:hint="eastAsia" w:ascii="Arial" w:hAnsi="Arial" w:eastAsia="宋体" w:cs="Arial"/>
          <w:i/>
          <w:snapToGrid w:val="0"/>
          <w:color w:val="0000FF"/>
          <w:sz w:val="24"/>
          <w:u w:val="single" w:color="0000FF"/>
        </w:rPr>
        <w:fldChar w:fldCharType="end"/>
      </w:r>
    </w:p>
    <w:p w14:paraId="6ED0D38F">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针对本文档的问题，请联系：组合产品办公室，Joseph Milone博士，电话：301-796-8930。</w:t>
      </w:r>
    </w:p>
    <w:p w14:paraId="44DF80A1">
      <w:pPr>
        <w:pStyle w:val="4"/>
        <w:topLinePunct/>
        <w:adjustRightInd w:val="0"/>
        <w:snapToGrid w:val="0"/>
        <w:spacing w:line="288" w:lineRule="auto"/>
        <w:ind w:left="0"/>
        <w:jc w:val="center"/>
        <w:rPr>
          <w:rFonts w:ascii="Arial" w:hAnsi="Arial" w:cs="Arial"/>
          <w:snapToGrid w:val="0"/>
        </w:rPr>
      </w:pPr>
      <w:r>
        <w:rPr>
          <w:rFonts w:hint="eastAsia" w:ascii="Arial" w:hAnsi="Arial" w:cs="Arial"/>
          <w:snapToGrid w:val="0"/>
        </w:rPr>
        <w:t>美国卫生和人类服务署</w:t>
      </w:r>
    </w:p>
    <w:p w14:paraId="62EE61A1">
      <w:pPr>
        <w:pStyle w:val="4"/>
        <w:topLinePunct/>
        <w:adjustRightInd w:val="0"/>
        <w:snapToGrid w:val="0"/>
        <w:spacing w:line="288" w:lineRule="auto"/>
        <w:ind w:left="0"/>
        <w:jc w:val="center"/>
        <w:rPr>
          <w:rFonts w:ascii="Arial" w:hAnsi="Arial" w:cs="Arial"/>
          <w:b w:val="0"/>
          <w:bCs w:val="0"/>
          <w:snapToGrid w:val="0"/>
        </w:rPr>
      </w:pPr>
      <w:r>
        <w:rPr>
          <w:rFonts w:hint="eastAsia" w:ascii="Arial" w:hAnsi="Arial" w:cs="Arial"/>
          <w:snapToGrid w:val="0"/>
        </w:rPr>
        <w:t>食品药品监督管理局</w:t>
      </w:r>
    </w:p>
    <w:p w14:paraId="5831401D">
      <w:pPr>
        <w:topLinePunct/>
        <w:adjustRightInd w:val="0"/>
        <w:snapToGrid w:val="0"/>
        <w:spacing w:line="288" w:lineRule="auto"/>
        <w:jc w:val="center"/>
        <w:rPr>
          <w:rFonts w:ascii="Arial" w:hAnsi="Arial" w:eastAsia="宋体" w:cs="Arial"/>
          <w:b/>
          <w:snapToGrid w:val="0"/>
          <w:sz w:val="24"/>
        </w:rPr>
      </w:pPr>
      <w:r>
        <w:rPr>
          <w:rFonts w:hint="eastAsia" w:ascii="Arial" w:hAnsi="Arial" w:eastAsia="宋体" w:cs="Arial"/>
          <w:b/>
          <w:snapToGrid w:val="0"/>
          <w:sz w:val="24"/>
        </w:rPr>
        <w:t>委员办公室组合产品下属机构</w:t>
      </w:r>
    </w:p>
    <w:p w14:paraId="60C29F14">
      <w:pPr>
        <w:topLinePunct/>
        <w:adjustRightInd w:val="0"/>
        <w:snapToGrid w:val="0"/>
        <w:spacing w:line="288" w:lineRule="auto"/>
        <w:jc w:val="center"/>
        <w:rPr>
          <w:rFonts w:ascii="Arial" w:hAnsi="Arial" w:eastAsia="宋体" w:cs="Arial"/>
          <w:snapToGrid w:val="0"/>
          <w:sz w:val="24"/>
          <w:szCs w:val="24"/>
        </w:rPr>
      </w:pPr>
      <w:r>
        <w:rPr>
          <w:rFonts w:hint="eastAsia" w:ascii="Arial" w:hAnsi="Arial" w:eastAsia="宋体" w:cs="Arial"/>
          <w:b/>
          <w:snapToGrid w:val="0"/>
          <w:sz w:val="24"/>
        </w:rPr>
        <w:t>生物制剂评价和研究中心（CBER）</w:t>
      </w:r>
    </w:p>
    <w:p w14:paraId="2104EDD0">
      <w:pPr>
        <w:topLinePunct/>
        <w:adjustRightInd w:val="0"/>
        <w:snapToGrid w:val="0"/>
        <w:spacing w:line="288" w:lineRule="auto"/>
        <w:jc w:val="center"/>
        <w:rPr>
          <w:rFonts w:ascii="Arial" w:hAnsi="Arial" w:eastAsia="宋体" w:cs="Arial"/>
          <w:b/>
          <w:snapToGrid w:val="0"/>
          <w:sz w:val="24"/>
        </w:rPr>
      </w:pPr>
      <w:r>
        <w:rPr>
          <w:rFonts w:hint="eastAsia" w:ascii="Arial" w:hAnsi="Arial" w:eastAsia="宋体" w:cs="Arial"/>
          <w:b/>
          <w:snapToGrid w:val="0"/>
          <w:sz w:val="24"/>
        </w:rPr>
        <w:t>药品评价和研究中心（CDER）</w:t>
      </w:r>
    </w:p>
    <w:p w14:paraId="1DA20172">
      <w:pPr>
        <w:topLinePunct/>
        <w:adjustRightInd w:val="0"/>
        <w:snapToGrid w:val="0"/>
        <w:spacing w:line="288" w:lineRule="auto"/>
        <w:jc w:val="center"/>
        <w:rPr>
          <w:rFonts w:ascii="Arial" w:hAnsi="Arial" w:eastAsia="宋体" w:cs="Arial"/>
          <w:snapToGrid w:val="0"/>
          <w:sz w:val="24"/>
          <w:szCs w:val="24"/>
        </w:rPr>
      </w:pPr>
      <w:r>
        <w:rPr>
          <w:rFonts w:hint="eastAsia" w:ascii="Arial" w:hAnsi="Arial" w:eastAsia="宋体" w:cs="Arial"/>
          <w:b/>
          <w:snapToGrid w:val="0"/>
          <w:sz w:val="24"/>
        </w:rPr>
        <w:t>器械和放射卫生中心（CDRH）</w:t>
      </w:r>
    </w:p>
    <w:p w14:paraId="4D6CD232">
      <w:pPr>
        <w:topLinePunct/>
        <w:adjustRightInd w:val="0"/>
        <w:snapToGrid w:val="0"/>
        <w:spacing w:line="288" w:lineRule="auto"/>
        <w:jc w:val="center"/>
        <w:rPr>
          <w:rFonts w:ascii="Arial" w:hAnsi="Arial" w:eastAsia="宋体" w:cs="Arial"/>
          <w:snapToGrid w:val="0"/>
          <w:sz w:val="24"/>
          <w:szCs w:val="24"/>
        </w:rPr>
      </w:pPr>
      <w:r>
        <w:rPr>
          <w:rFonts w:hint="eastAsia" w:ascii="Arial" w:hAnsi="Arial" w:eastAsia="宋体" w:cs="Arial"/>
          <w:b/>
          <w:snapToGrid w:val="0"/>
          <w:sz w:val="24"/>
        </w:rPr>
        <w:t>2011年6月</w:t>
      </w:r>
    </w:p>
    <w:p w14:paraId="6AC4B70A">
      <w:pPr>
        <w:topLinePunct/>
        <w:adjustRightInd w:val="0"/>
        <w:snapToGrid w:val="0"/>
        <w:spacing w:after="224" w:afterLines="75" w:line="288" w:lineRule="auto"/>
        <w:jc w:val="both"/>
        <w:rPr>
          <w:rFonts w:ascii="Arial" w:hAnsi="Arial" w:eastAsia="宋体" w:cs="Arial"/>
          <w:b/>
          <w:bCs/>
          <w:snapToGrid w:val="0"/>
          <w:sz w:val="24"/>
          <w:szCs w:val="18"/>
        </w:rPr>
      </w:pPr>
      <w:r>
        <w:rPr>
          <w:rFonts w:ascii="Arial" w:hAnsi="Arial" w:eastAsia="宋体" w:cs="Arial"/>
          <w:snapToGrid w:val="0"/>
          <w:sz w:val="24"/>
          <w:szCs w:val="24"/>
        </w:rPr>
        <w:br w:type="page"/>
      </w:r>
    </w:p>
    <w:p w14:paraId="07D9DF6C">
      <w:pPr>
        <w:topLinePunct/>
        <w:adjustRightInd w:val="0"/>
        <w:snapToGrid w:val="0"/>
        <w:spacing w:after="224" w:afterLines="75" w:line="288" w:lineRule="auto"/>
        <w:jc w:val="center"/>
        <w:rPr>
          <w:rFonts w:ascii="Arial" w:hAnsi="Arial" w:eastAsia="宋体" w:cs="Arial"/>
          <w:snapToGrid w:val="0"/>
          <w:sz w:val="48"/>
          <w:szCs w:val="48"/>
        </w:rPr>
      </w:pPr>
      <w:r>
        <w:rPr>
          <w:rFonts w:hint="eastAsia" w:ascii="Arial" w:hAnsi="Arial" w:eastAsia="宋体" w:cs="Arial"/>
          <w:b/>
          <w:snapToGrid w:val="0"/>
          <w:sz w:val="48"/>
          <w:szCs w:val="48"/>
        </w:rPr>
        <w:t>行业和FDA工作人员指南：</w:t>
      </w:r>
    </w:p>
    <w:p w14:paraId="390DEE6D">
      <w:pPr>
        <w:topLinePunct/>
        <w:adjustRightInd w:val="0"/>
        <w:snapToGrid w:val="0"/>
        <w:spacing w:after="224" w:afterLines="75" w:line="288" w:lineRule="auto"/>
        <w:jc w:val="center"/>
        <w:rPr>
          <w:rFonts w:ascii="Arial" w:hAnsi="Arial" w:eastAsia="宋体" w:cs="Arial"/>
          <w:snapToGrid w:val="0"/>
          <w:sz w:val="44"/>
          <w:szCs w:val="48"/>
        </w:rPr>
      </w:pPr>
      <w:r>
        <w:rPr>
          <w:rFonts w:hint="eastAsia" w:ascii="Arial" w:hAnsi="Arial" w:eastAsia="宋体" w:cs="Arial"/>
          <w:snapToGrid w:val="0"/>
          <w:sz w:val="44"/>
          <w:szCs w:val="48"/>
        </w:rPr>
        <w:t>联邦食品、药品和化妆品法案第201（h）条器械定义中术语</w:t>
      </w:r>
      <w:r>
        <w:rPr>
          <w:rFonts w:hint="eastAsia" w:ascii="宋体" w:hAnsi="宋体" w:eastAsia="宋体" w:cs="Arial"/>
          <w:snapToGrid w:val="0"/>
          <w:sz w:val="44"/>
          <w:szCs w:val="48"/>
        </w:rPr>
        <w:t>“</w:t>
      </w:r>
      <w:r>
        <w:rPr>
          <w:rFonts w:hint="eastAsia" w:ascii="Arial" w:hAnsi="Arial" w:eastAsia="宋体" w:cs="Arial"/>
          <w:snapToGrid w:val="0"/>
          <w:sz w:val="44"/>
          <w:szCs w:val="48"/>
        </w:rPr>
        <w:t>化学作用</w:t>
      </w:r>
      <w:r>
        <w:rPr>
          <w:rFonts w:hint="eastAsia" w:ascii="宋体" w:hAnsi="宋体" w:eastAsia="宋体" w:cs="Arial"/>
          <w:snapToGrid w:val="0"/>
          <w:sz w:val="44"/>
          <w:szCs w:val="48"/>
        </w:rPr>
        <w:t>”</w:t>
      </w:r>
      <w:r>
        <w:rPr>
          <w:rFonts w:hint="eastAsia" w:ascii="Arial" w:hAnsi="Arial" w:eastAsia="宋体" w:cs="Arial"/>
          <w:snapToGrid w:val="0"/>
          <w:sz w:val="44"/>
          <w:szCs w:val="48"/>
        </w:rPr>
        <w:t>的解释</w:t>
      </w:r>
    </w:p>
    <w:p w14:paraId="30B55E6C">
      <w:pPr>
        <w:topLinePunct/>
        <w:adjustRightInd w:val="0"/>
        <w:snapToGrid w:val="0"/>
        <w:spacing w:after="224" w:afterLines="75" w:line="288" w:lineRule="auto"/>
        <w:jc w:val="center"/>
        <w:rPr>
          <w:rFonts w:ascii="Arial" w:hAnsi="Arial" w:eastAsia="宋体" w:cs="Arial"/>
          <w:i/>
          <w:snapToGrid w:val="0"/>
          <w:sz w:val="24"/>
        </w:rPr>
      </w:pPr>
    </w:p>
    <w:p w14:paraId="7E2CA491">
      <w:pPr>
        <w:topLinePunct/>
        <w:adjustRightInd w:val="0"/>
        <w:snapToGrid w:val="0"/>
        <w:spacing w:line="288" w:lineRule="auto"/>
        <w:jc w:val="center"/>
        <w:rPr>
          <w:rFonts w:ascii="Arial" w:hAnsi="Arial" w:eastAsia="宋体" w:cs="Arial"/>
          <w:i/>
          <w:snapToGrid w:val="0"/>
          <w:sz w:val="24"/>
        </w:rPr>
      </w:pPr>
      <w:r>
        <w:rPr>
          <w:rFonts w:hint="eastAsia" w:ascii="Arial" w:hAnsi="Arial" w:eastAsia="宋体" w:cs="Arial"/>
          <w:i/>
          <w:snapToGrid w:val="0"/>
          <w:sz w:val="24"/>
        </w:rPr>
        <w:t>其他副本可从以下地址获得：</w:t>
      </w:r>
    </w:p>
    <w:p w14:paraId="09016997">
      <w:pPr>
        <w:topLinePunct/>
        <w:adjustRightInd w:val="0"/>
        <w:snapToGrid w:val="0"/>
        <w:spacing w:line="288" w:lineRule="auto"/>
        <w:jc w:val="center"/>
        <w:rPr>
          <w:rFonts w:ascii="Arial" w:hAnsi="Arial" w:eastAsia="宋体" w:cs="Arial"/>
          <w:i/>
          <w:snapToGrid w:val="0"/>
          <w:sz w:val="24"/>
        </w:rPr>
      </w:pPr>
      <w:r>
        <w:rPr>
          <w:rFonts w:hint="eastAsia" w:ascii="Arial" w:hAnsi="Arial" w:eastAsia="宋体" w:cs="Arial"/>
          <w:i/>
          <w:snapToGrid w:val="0"/>
          <w:sz w:val="24"/>
        </w:rPr>
        <w:t>组合产品办公室</w:t>
      </w:r>
    </w:p>
    <w:p w14:paraId="7E6296D0">
      <w:pPr>
        <w:topLinePunct/>
        <w:adjustRightInd w:val="0"/>
        <w:snapToGrid w:val="0"/>
        <w:spacing w:line="288" w:lineRule="auto"/>
        <w:jc w:val="center"/>
        <w:rPr>
          <w:rFonts w:ascii="Arial" w:hAnsi="Arial" w:eastAsia="宋体" w:cs="Arial"/>
          <w:i/>
          <w:snapToGrid w:val="0"/>
          <w:sz w:val="24"/>
        </w:rPr>
      </w:pPr>
      <w:r>
        <w:rPr>
          <w:rFonts w:hint="eastAsia" w:ascii="Arial" w:hAnsi="Arial" w:eastAsia="宋体" w:cs="Arial"/>
          <w:i/>
          <w:snapToGrid w:val="0"/>
          <w:sz w:val="24"/>
        </w:rPr>
        <w:t>食品药品监督管理局</w:t>
      </w:r>
    </w:p>
    <w:p w14:paraId="69054F71">
      <w:pPr>
        <w:topLinePunct/>
        <w:adjustRightInd w:val="0"/>
        <w:snapToGrid w:val="0"/>
        <w:spacing w:line="288" w:lineRule="auto"/>
        <w:jc w:val="center"/>
        <w:rPr>
          <w:rFonts w:ascii="Arial" w:hAnsi="Arial" w:eastAsia="宋体" w:cs="Arial"/>
          <w:i/>
          <w:snapToGrid w:val="0"/>
          <w:sz w:val="24"/>
        </w:rPr>
      </w:pPr>
      <w:r>
        <w:rPr>
          <w:rFonts w:hint="eastAsia" w:ascii="Arial" w:hAnsi="Arial" w:eastAsia="宋体" w:cs="Arial"/>
          <w:i/>
          <w:snapToGrid w:val="0"/>
          <w:sz w:val="24"/>
        </w:rPr>
        <w:t>WO32，Hub/Mail Room #5129</w:t>
      </w:r>
    </w:p>
    <w:p w14:paraId="4C71DE47">
      <w:pPr>
        <w:topLinePunct/>
        <w:adjustRightInd w:val="0"/>
        <w:snapToGrid w:val="0"/>
        <w:spacing w:line="288" w:lineRule="auto"/>
        <w:jc w:val="center"/>
        <w:rPr>
          <w:rFonts w:ascii="Arial" w:hAnsi="Arial" w:eastAsia="宋体" w:cs="Arial"/>
          <w:snapToGrid w:val="0"/>
          <w:sz w:val="24"/>
          <w:szCs w:val="24"/>
        </w:rPr>
      </w:pPr>
      <w:r>
        <w:rPr>
          <w:rFonts w:hint="eastAsia" w:ascii="Arial" w:hAnsi="Arial" w:eastAsia="宋体" w:cs="Arial"/>
          <w:i/>
          <w:snapToGrid w:val="0"/>
          <w:sz w:val="24"/>
        </w:rPr>
        <w:t>10903 New Hampshire Avenue</w:t>
      </w:r>
    </w:p>
    <w:p w14:paraId="5AC63C88">
      <w:pPr>
        <w:topLinePunct/>
        <w:adjustRightInd w:val="0"/>
        <w:snapToGrid w:val="0"/>
        <w:spacing w:line="288" w:lineRule="auto"/>
        <w:jc w:val="center"/>
        <w:rPr>
          <w:rFonts w:ascii="Arial" w:hAnsi="Arial" w:eastAsia="宋体" w:cs="Arial"/>
          <w:i/>
          <w:snapToGrid w:val="0"/>
          <w:sz w:val="24"/>
        </w:rPr>
      </w:pPr>
      <w:r>
        <w:rPr>
          <w:rFonts w:hint="eastAsia" w:ascii="Arial" w:hAnsi="Arial" w:eastAsia="宋体" w:cs="Arial"/>
          <w:i/>
          <w:snapToGrid w:val="0"/>
          <w:sz w:val="24"/>
        </w:rPr>
        <w:t>Silver Spring, MD 20993</w:t>
      </w:r>
    </w:p>
    <w:p w14:paraId="6B88FC4E">
      <w:pPr>
        <w:topLinePunct/>
        <w:adjustRightInd w:val="0"/>
        <w:snapToGrid w:val="0"/>
        <w:spacing w:line="288" w:lineRule="auto"/>
        <w:jc w:val="center"/>
        <w:rPr>
          <w:rFonts w:ascii="Arial" w:hAnsi="Arial" w:eastAsia="宋体" w:cs="Arial"/>
          <w:snapToGrid w:val="0"/>
          <w:sz w:val="24"/>
          <w:szCs w:val="24"/>
        </w:rPr>
      </w:pPr>
    </w:p>
    <w:p w14:paraId="4F752C48">
      <w:pPr>
        <w:topLinePunct/>
        <w:adjustRightInd w:val="0"/>
        <w:snapToGrid w:val="0"/>
        <w:spacing w:line="288" w:lineRule="auto"/>
        <w:jc w:val="center"/>
        <w:rPr>
          <w:rFonts w:ascii="Arial" w:hAnsi="Arial" w:eastAsia="宋体" w:cs="Arial"/>
          <w:snapToGrid w:val="0"/>
          <w:sz w:val="24"/>
          <w:szCs w:val="24"/>
        </w:rPr>
      </w:pPr>
      <w:r>
        <w:rPr>
          <w:rFonts w:hint="eastAsia" w:ascii="Arial" w:hAnsi="Arial" w:eastAsia="宋体" w:cs="Arial"/>
          <w:i/>
          <w:snapToGrid w:val="0"/>
          <w:sz w:val="24"/>
        </w:rPr>
        <w:t>（电话）301-796-8930</w:t>
      </w:r>
    </w:p>
    <w:p w14:paraId="765DF29A">
      <w:pPr>
        <w:topLinePunct/>
        <w:adjustRightInd w:val="0"/>
        <w:snapToGrid w:val="0"/>
        <w:spacing w:line="288" w:lineRule="auto"/>
        <w:jc w:val="center"/>
        <w:rPr>
          <w:rFonts w:ascii="Arial" w:hAnsi="Arial" w:eastAsia="宋体" w:cs="Arial"/>
          <w:snapToGrid w:val="0"/>
          <w:sz w:val="24"/>
          <w:szCs w:val="24"/>
        </w:rPr>
      </w:pPr>
      <w:r>
        <w:rPr>
          <w:rFonts w:hint="eastAsia" w:ascii="Arial" w:hAnsi="Arial" w:eastAsia="宋体" w:cs="Arial"/>
          <w:i/>
          <w:snapToGrid w:val="0"/>
          <w:sz w:val="24"/>
        </w:rPr>
        <w:t>（传真）301-847-8619</w:t>
      </w:r>
    </w:p>
    <w:p w14:paraId="4E2DDEC0">
      <w:pPr>
        <w:topLinePunct/>
        <w:adjustRightInd w:val="0"/>
        <w:snapToGrid w:val="0"/>
        <w:spacing w:line="288" w:lineRule="auto"/>
        <w:jc w:val="center"/>
        <w:rPr>
          <w:rFonts w:ascii="Arial" w:hAnsi="Arial" w:eastAsia="宋体" w:cs="Arial"/>
          <w:snapToGrid w:val="0"/>
          <w:sz w:val="24"/>
          <w:szCs w:val="24"/>
        </w:rPr>
      </w:pPr>
      <w:r>
        <w:fldChar w:fldCharType="begin"/>
      </w:r>
      <w:r>
        <w:instrText xml:space="preserve"> HYPERLINK "http://www.fda.gov/oc/combination" \h </w:instrText>
      </w:r>
      <w:r>
        <w:fldChar w:fldCharType="separate"/>
      </w:r>
      <w:r>
        <w:rPr>
          <w:rFonts w:hint="eastAsia" w:ascii="Arial" w:hAnsi="Arial" w:eastAsia="宋体" w:cs="Arial"/>
          <w:i/>
          <w:snapToGrid w:val="0"/>
          <w:sz w:val="24"/>
        </w:rPr>
        <w:t>http://www.fda.gov/oc/combination</w:t>
      </w:r>
      <w:r>
        <w:rPr>
          <w:rFonts w:hint="eastAsia" w:ascii="Arial" w:hAnsi="Arial" w:eastAsia="宋体" w:cs="Arial"/>
          <w:i/>
          <w:snapToGrid w:val="0"/>
          <w:sz w:val="24"/>
        </w:rPr>
        <w:fldChar w:fldCharType="end"/>
      </w:r>
      <w:r>
        <w:rPr>
          <w:rFonts w:hint="eastAsia" w:ascii="Arial" w:hAnsi="Arial" w:eastAsia="宋体" w:cs="Arial"/>
          <w:i/>
          <w:snapToGrid w:val="0"/>
          <w:sz w:val="24"/>
        </w:rPr>
        <w:t xml:space="preserve"> </w:t>
      </w:r>
      <w:r>
        <w:rPr>
          <w:rFonts w:ascii="Arial" w:hAnsi="Arial" w:eastAsia="宋体" w:cs="Arial"/>
          <w:i/>
          <w:snapToGrid w:val="0"/>
          <w:sz w:val="24"/>
        </w:rPr>
        <w:br w:type="textWrapping"/>
      </w:r>
      <w:r>
        <w:fldChar w:fldCharType="begin"/>
      </w:r>
      <w:r>
        <w:instrText xml:space="preserve"> HYPERLINK "mailto:combination@fda.gov" \h </w:instrText>
      </w:r>
      <w:r>
        <w:fldChar w:fldCharType="separate"/>
      </w:r>
      <w:r>
        <w:rPr>
          <w:rFonts w:hint="eastAsia" w:ascii="Arial" w:hAnsi="Arial" w:eastAsia="宋体" w:cs="Arial"/>
          <w:i/>
          <w:snapToGrid w:val="0"/>
          <w:color w:val="0000FF"/>
          <w:sz w:val="24"/>
          <w:u w:val="single" w:color="0000FF"/>
        </w:rPr>
        <w:t>combination@fda.gov</w:t>
      </w:r>
      <w:r>
        <w:rPr>
          <w:rFonts w:hint="eastAsia" w:ascii="Arial" w:hAnsi="Arial" w:eastAsia="宋体" w:cs="Arial"/>
          <w:i/>
          <w:snapToGrid w:val="0"/>
          <w:color w:val="0000FF"/>
          <w:sz w:val="24"/>
          <w:u w:val="single" w:color="0000FF"/>
        </w:rPr>
        <w:fldChar w:fldCharType="end"/>
      </w:r>
    </w:p>
    <w:p w14:paraId="672B28C1">
      <w:pPr>
        <w:pStyle w:val="4"/>
        <w:topLinePunct/>
        <w:adjustRightInd w:val="0"/>
        <w:snapToGrid w:val="0"/>
        <w:spacing w:line="288" w:lineRule="auto"/>
        <w:ind w:left="0"/>
        <w:jc w:val="center"/>
        <w:rPr>
          <w:rFonts w:ascii="Arial" w:hAnsi="Arial" w:cs="Arial"/>
          <w:snapToGrid w:val="0"/>
        </w:rPr>
      </w:pPr>
    </w:p>
    <w:p w14:paraId="02E3F9C5">
      <w:pPr>
        <w:pStyle w:val="4"/>
        <w:topLinePunct/>
        <w:adjustRightInd w:val="0"/>
        <w:snapToGrid w:val="0"/>
        <w:spacing w:line="288" w:lineRule="auto"/>
        <w:ind w:left="0"/>
        <w:jc w:val="center"/>
        <w:rPr>
          <w:rFonts w:ascii="Arial" w:hAnsi="Arial" w:cs="Arial"/>
          <w:snapToGrid w:val="0"/>
        </w:rPr>
      </w:pPr>
    </w:p>
    <w:p w14:paraId="699A3DF4">
      <w:pPr>
        <w:pStyle w:val="4"/>
        <w:topLinePunct/>
        <w:adjustRightInd w:val="0"/>
        <w:snapToGrid w:val="0"/>
        <w:spacing w:line="288" w:lineRule="auto"/>
        <w:ind w:left="0"/>
        <w:jc w:val="center"/>
        <w:rPr>
          <w:rFonts w:ascii="Arial" w:hAnsi="Arial" w:cs="Arial"/>
          <w:snapToGrid w:val="0"/>
        </w:rPr>
      </w:pPr>
    </w:p>
    <w:p w14:paraId="5BF72C8E">
      <w:pPr>
        <w:pStyle w:val="4"/>
        <w:topLinePunct/>
        <w:adjustRightInd w:val="0"/>
        <w:snapToGrid w:val="0"/>
        <w:spacing w:line="288" w:lineRule="auto"/>
        <w:ind w:left="0"/>
        <w:jc w:val="center"/>
        <w:rPr>
          <w:rFonts w:ascii="Arial" w:hAnsi="Arial" w:cs="Arial"/>
          <w:snapToGrid w:val="0"/>
        </w:rPr>
      </w:pPr>
      <w:r>
        <w:rPr>
          <w:rFonts w:hint="eastAsia" w:ascii="Arial" w:hAnsi="Arial" w:cs="Arial"/>
          <w:snapToGrid w:val="0"/>
        </w:rPr>
        <w:t>美国卫生和人类服务署</w:t>
      </w:r>
    </w:p>
    <w:p w14:paraId="6B8306AA">
      <w:pPr>
        <w:pStyle w:val="4"/>
        <w:topLinePunct/>
        <w:adjustRightInd w:val="0"/>
        <w:snapToGrid w:val="0"/>
        <w:spacing w:line="288" w:lineRule="auto"/>
        <w:ind w:left="0"/>
        <w:jc w:val="center"/>
        <w:rPr>
          <w:rFonts w:ascii="Arial" w:hAnsi="Arial" w:cs="Arial"/>
          <w:b w:val="0"/>
          <w:bCs w:val="0"/>
          <w:snapToGrid w:val="0"/>
        </w:rPr>
      </w:pPr>
      <w:r>
        <w:rPr>
          <w:rFonts w:hint="eastAsia" w:ascii="Arial" w:hAnsi="Arial" w:cs="Arial"/>
          <w:snapToGrid w:val="0"/>
        </w:rPr>
        <w:t>食品药品监督管理局</w:t>
      </w:r>
    </w:p>
    <w:p w14:paraId="02281E1C">
      <w:pPr>
        <w:topLinePunct/>
        <w:adjustRightInd w:val="0"/>
        <w:snapToGrid w:val="0"/>
        <w:spacing w:line="288" w:lineRule="auto"/>
        <w:jc w:val="center"/>
        <w:rPr>
          <w:rFonts w:ascii="Arial" w:hAnsi="Arial" w:eastAsia="宋体" w:cs="Arial"/>
          <w:b/>
          <w:snapToGrid w:val="0"/>
          <w:sz w:val="24"/>
        </w:rPr>
      </w:pPr>
      <w:r>
        <w:rPr>
          <w:rFonts w:hint="eastAsia" w:ascii="Arial" w:hAnsi="Arial" w:eastAsia="宋体" w:cs="Arial"/>
          <w:b/>
          <w:snapToGrid w:val="0"/>
          <w:sz w:val="24"/>
        </w:rPr>
        <w:t>委员办公室组合产品下属机构</w:t>
      </w:r>
    </w:p>
    <w:p w14:paraId="755B784F">
      <w:pPr>
        <w:topLinePunct/>
        <w:adjustRightInd w:val="0"/>
        <w:snapToGrid w:val="0"/>
        <w:spacing w:line="288" w:lineRule="auto"/>
        <w:jc w:val="center"/>
        <w:rPr>
          <w:rFonts w:ascii="Arial" w:hAnsi="Arial" w:eastAsia="宋体" w:cs="Arial"/>
          <w:snapToGrid w:val="0"/>
          <w:sz w:val="24"/>
          <w:szCs w:val="24"/>
        </w:rPr>
      </w:pPr>
      <w:r>
        <w:rPr>
          <w:rFonts w:hint="eastAsia" w:ascii="Arial" w:hAnsi="Arial" w:eastAsia="宋体" w:cs="Arial"/>
          <w:b/>
          <w:snapToGrid w:val="0"/>
          <w:sz w:val="24"/>
        </w:rPr>
        <w:t>生物制剂评价和研究中心（CBER）</w:t>
      </w:r>
    </w:p>
    <w:p w14:paraId="133278E0">
      <w:pPr>
        <w:topLinePunct/>
        <w:adjustRightInd w:val="0"/>
        <w:snapToGrid w:val="0"/>
        <w:spacing w:line="288" w:lineRule="auto"/>
        <w:jc w:val="center"/>
        <w:rPr>
          <w:rFonts w:ascii="Arial" w:hAnsi="Arial" w:eastAsia="宋体" w:cs="Arial"/>
          <w:b/>
          <w:snapToGrid w:val="0"/>
          <w:sz w:val="24"/>
        </w:rPr>
      </w:pPr>
      <w:r>
        <w:rPr>
          <w:rFonts w:hint="eastAsia" w:ascii="Arial" w:hAnsi="Arial" w:eastAsia="宋体" w:cs="Arial"/>
          <w:b/>
          <w:snapToGrid w:val="0"/>
          <w:sz w:val="24"/>
        </w:rPr>
        <w:t>药品评价和研究中心（CDER）</w:t>
      </w:r>
    </w:p>
    <w:p w14:paraId="01A23564">
      <w:pPr>
        <w:topLinePunct/>
        <w:adjustRightInd w:val="0"/>
        <w:snapToGrid w:val="0"/>
        <w:spacing w:line="288" w:lineRule="auto"/>
        <w:jc w:val="center"/>
        <w:rPr>
          <w:rFonts w:ascii="Arial" w:hAnsi="Arial" w:eastAsia="宋体" w:cs="Arial"/>
          <w:snapToGrid w:val="0"/>
          <w:sz w:val="24"/>
          <w:szCs w:val="24"/>
        </w:rPr>
      </w:pPr>
      <w:r>
        <w:rPr>
          <w:rFonts w:hint="eastAsia" w:ascii="Arial" w:hAnsi="Arial" w:eastAsia="宋体" w:cs="Arial"/>
          <w:b/>
          <w:snapToGrid w:val="0"/>
          <w:sz w:val="24"/>
        </w:rPr>
        <w:t>器械和放射卫生中心（CDRH）</w:t>
      </w:r>
    </w:p>
    <w:p w14:paraId="3279051F">
      <w:pPr>
        <w:topLinePunct/>
        <w:adjustRightInd w:val="0"/>
        <w:snapToGrid w:val="0"/>
        <w:spacing w:line="288" w:lineRule="auto"/>
        <w:jc w:val="center"/>
        <w:rPr>
          <w:rFonts w:ascii="Arial" w:hAnsi="Arial" w:eastAsia="宋体" w:cs="Arial"/>
          <w:snapToGrid w:val="0"/>
          <w:sz w:val="24"/>
          <w:szCs w:val="24"/>
        </w:rPr>
      </w:pPr>
      <w:r>
        <w:rPr>
          <w:rFonts w:hint="eastAsia" w:ascii="Arial" w:hAnsi="Arial" w:eastAsia="宋体" w:cs="Arial"/>
          <w:b/>
          <w:snapToGrid w:val="0"/>
          <w:sz w:val="24"/>
        </w:rPr>
        <w:t>2011年6月</w:t>
      </w:r>
    </w:p>
    <w:p w14:paraId="4D57281F">
      <w:pPr>
        <w:topLinePunct/>
        <w:adjustRightInd w:val="0"/>
        <w:snapToGrid w:val="0"/>
        <w:spacing w:after="224" w:afterLines="75" w:line="288" w:lineRule="auto"/>
        <w:jc w:val="both"/>
        <w:rPr>
          <w:rFonts w:ascii="Arial" w:hAnsi="Arial" w:eastAsia="宋体" w:cs="Arial"/>
          <w:snapToGrid w:val="0"/>
          <w:sz w:val="24"/>
          <w:szCs w:val="24"/>
        </w:rPr>
      </w:pPr>
    </w:p>
    <w:p w14:paraId="538AC26A">
      <w:pPr>
        <w:topLinePunct/>
        <w:adjustRightInd w:val="0"/>
        <w:snapToGrid w:val="0"/>
        <w:spacing w:after="224" w:afterLines="75" w:line="288" w:lineRule="auto"/>
        <w:jc w:val="both"/>
        <w:rPr>
          <w:rFonts w:ascii="Arial" w:hAnsi="Arial" w:eastAsia="宋体" w:cs="Arial"/>
          <w:snapToGrid w:val="0"/>
          <w:sz w:val="24"/>
          <w:szCs w:val="24"/>
        </w:rPr>
        <w:sectPr>
          <w:headerReference r:id="rId4" w:type="default"/>
          <w:footerReference r:id="rId5" w:type="default"/>
          <w:pgSz w:w="11906" w:h="16838"/>
          <w:pgMar w:top="1134" w:right="1440" w:bottom="1134" w:left="1440" w:header="720" w:footer="720" w:gutter="0"/>
          <w:cols w:space="720" w:num="1"/>
          <w:docGrid w:type="lines" w:linePitch="299" w:charSpace="0"/>
        </w:sectPr>
      </w:pPr>
    </w:p>
    <w:p w14:paraId="27A57766">
      <w:pPr>
        <w:topLinePunct/>
        <w:adjustRightInd w:val="0"/>
        <w:snapToGrid w:val="0"/>
        <w:spacing w:after="224" w:afterLines="75" w:line="288" w:lineRule="auto"/>
        <w:jc w:val="both"/>
        <w:rPr>
          <w:rFonts w:ascii="Arial" w:hAnsi="Arial" w:eastAsia="宋体" w:cs="Arial"/>
          <w:snapToGrid w:val="0"/>
          <w:sz w:val="24"/>
          <w:szCs w:val="20"/>
        </w:rPr>
      </w:pPr>
    </w:p>
    <w:p w14:paraId="550E72E6">
      <w:pPr>
        <w:topLinePunct/>
        <w:adjustRightInd w:val="0"/>
        <w:snapToGrid w:val="0"/>
        <w:spacing w:after="224" w:afterLines="75" w:line="288" w:lineRule="auto"/>
        <w:jc w:val="both"/>
        <w:rPr>
          <w:rFonts w:ascii="Arial" w:hAnsi="Arial" w:eastAsia="宋体" w:cs="Arial"/>
          <w:snapToGrid w:val="0"/>
          <w:sz w:val="24"/>
          <w:szCs w:val="20"/>
        </w:rPr>
      </w:pPr>
    </w:p>
    <w:p w14:paraId="07F94A31">
      <w:pPr>
        <w:topLinePunct/>
        <w:adjustRightInd w:val="0"/>
        <w:snapToGrid w:val="0"/>
        <w:spacing w:after="224" w:afterLines="75" w:line="288" w:lineRule="auto"/>
        <w:jc w:val="both"/>
        <w:rPr>
          <w:rFonts w:ascii="Arial" w:hAnsi="Arial" w:eastAsia="宋体" w:cs="Arial"/>
          <w:snapToGrid w:val="0"/>
          <w:sz w:val="24"/>
          <w:szCs w:val="20"/>
        </w:rPr>
      </w:pPr>
    </w:p>
    <w:p w14:paraId="751E4BEC">
      <w:pPr>
        <w:topLinePunct/>
        <w:adjustRightInd w:val="0"/>
        <w:snapToGrid w:val="0"/>
        <w:spacing w:after="224" w:afterLines="75" w:line="288" w:lineRule="auto"/>
        <w:jc w:val="center"/>
        <w:rPr>
          <w:rFonts w:ascii="Arial" w:hAnsi="Arial" w:eastAsia="宋体" w:cs="Arial"/>
          <w:snapToGrid w:val="0"/>
          <w:sz w:val="32"/>
          <w:szCs w:val="36"/>
        </w:rPr>
      </w:pPr>
      <w:bookmarkStart w:id="0" w:name="TABLE_OF_CONTENTS"/>
      <w:bookmarkEnd w:id="0"/>
      <w:r>
        <w:rPr>
          <w:rFonts w:hint="eastAsia" w:ascii="Arial" w:hAnsi="Arial" w:eastAsia="宋体" w:cs="Arial"/>
          <w:b/>
          <w:snapToGrid w:val="0"/>
          <w:sz w:val="32"/>
        </w:rPr>
        <w:t>目录</w:t>
      </w:r>
    </w:p>
    <w:sdt>
      <w:sdtPr>
        <w:rPr>
          <w:rFonts w:ascii="Arial" w:hAnsi="Arial" w:cs="Arial"/>
          <w:snapToGrid w:val="0"/>
        </w:rPr>
        <w:id w:val="465087325"/>
        <w:docPartObj>
          <w:docPartGallery w:val="Table of Contents"/>
          <w:docPartUnique/>
        </w:docPartObj>
      </w:sdtPr>
      <w:sdtEndPr>
        <w:rPr>
          <w:rFonts w:ascii="Arial" w:hAnsi="Arial" w:cs="Arial"/>
          <w:snapToGrid w:val="0"/>
        </w:rPr>
      </w:sdtEndPr>
      <w:sdtContent>
        <w:p w14:paraId="0CFE90F3">
          <w:pPr>
            <w:pStyle w:val="11"/>
            <w:numPr>
              <w:ilvl w:val="0"/>
              <w:numId w:val="1"/>
            </w:numPr>
            <w:tabs>
              <w:tab w:val="left" w:pos="800"/>
              <w:tab w:val="right" w:leader="dot" w:pos="9026"/>
            </w:tabs>
            <w:topLinePunct/>
            <w:adjustRightInd w:val="0"/>
            <w:snapToGrid w:val="0"/>
            <w:spacing w:before="0" w:after="224" w:afterLines="75" w:line="288" w:lineRule="auto"/>
            <w:ind w:left="0" w:firstLine="0"/>
            <w:jc w:val="both"/>
            <w:rPr>
              <w:rFonts w:ascii="Arial" w:hAnsi="Arial" w:cs="Arial"/>
              <w:b w:val="0"/>
              <w:bCs w:val="0"/>
              <w:snapToGrid w:val="0"/>
            </w:rPr>
          </w:pPr>
          <w:r>
            <w:fldChar w:fldCharType="begin"/>
          </w:r>
          <w:r>
            <w:instrText xml:space="preserve"> HYPERLINK \l "_TOC_250008" </w:instrText>
          </w:r>
          <w:r>
            <w:fldChar w:fldCharType="separate"/>
          </w:r>
          <w:r>
            <w:rPr>
              <w:rFonts w:hint="eastAsia" w:ascii="Arial" w:hAnsi="Arial" w:cs="Arial"/>
              <w:snapToGrid w:val="0"/>
            </w:rPr>
            <w:t>目的</w:t>
          </w:r>
          <w:r>
            <w:rPr>
              <w:rFonts w:hint="eastAsia" w:ascii="Arial" w:hAnsi="Arial" w:cs="Arial"/>
              <w:snapToGrid w:val="0"/>
            </w:rPr>
            <w:tab/>
          </w:r>
          <w:r>
            <w:rPr>
              <w:rFonts w:hint="eastAsia" w:ascii="Arial" w:hAnsi="Arial" w:cs="Arial"/>
              <w:snapToGrid w:val="0"/>
            </w:rPr>
            <w:t>1</w:t>
          </w:r>
          <w:r>
            <w:rPr>
              <w:rFonts w:hint="eastAsia" w:ascii="Arial" w:hAnsi="Arial" w:cs="Arial"/>
              <w:snapToGrid w:val="0"/>
            </w:rPr>
            <w:fldChar w:fldCharType="end"/>
          </w:r>
        </w:p>
        <w:p w14:paraId="07C0CA79">
          <w:pPr>
            <w:pStyle w:val="11"/>
            <w:numPr>
              <w:ilvl w:val="0"/>
              <w:numId w:val="1"/>
            </w:numPr>
            <w:tabs>
              <w:tab w:val="left" w:pos="800"/>
              <w:tab w:val="right" w:leader="dot" w:pos="9026"/>
            </w:tabs>
            <w:topLinePunct/>
            <w:adjustRightInd w:val="0"/>
            <w:snapToGrid w:val="0"/>
            <w:spacing w:before="0" w:after="224" w:afterLines="75" w:line="288" w:lineRule="auto"/>
            <w:ind w:left="0" w:firstLine="0"/>
            <w:jc w:val="both"/>
            <w:rPr>
              <w:rFonts w:ascii="Arial" w:hAnsi="Arial" w:cs="Arial"/>
              <w:b w:val="0"/>
              <w:bCs w:val="0"/>
              <w:snapToGrid w:val="0"/>
            </w:rPr>
          </w:pPr>
          <w:r>
            <w:fldChar w:fldCharType="begin"/>
          </w:r>
          <w:r>
            <w:instrText xml:space="preserve"> HYPERLINK \l "_TOC_250007" </w:instrText>
          </w:r>
          <w:r>
            <w:fldChar w:fldCharType="separate"/>
          </w:r>
          <w:r>
            <w:rPr>
              <w:rFonts w:hint="eastAsia" w:ascii="Arial" w:hAnsi="Arial" w:cs="Arial"/>
              <w:snapToGrid w:val="0"/>
            </w:rPr>
            <w:t>背景</w:t>
          </w:r>
          <w:r>
            <w:rPr>
              <w:rFonts w:hint="eastAsia" w:ascii="Arial" w:hAnsi="Arial" w:cs="Arial"/>
              <w:snapToGrid w:val="0"/>
            </w:rPr>
            <w:tab/>
          </w:r>
          <w:r>
            <w:rPr>
              <w:rFonts w:hint="eastAsia" w:ascii="Arial" w:hAnsi="Arial" w:cs="Arial"/>
              <w:snapToGrid w:val="0"/>
            </w:rPr>
            <w:t>2</w:t>
          </w:r>
          <w:r>
            <w:rPr>
              <w:rFonts w:hint="eastAsia" w:ascii="Arial" w:hAnsi="Arial" w:cs="Arial"/>
              <w:snapToGrid w:val="0"/>
            </w:rPr>
            <w:fldChar w:fldCharType="end"/>
          </w:r>
        </w:p>
        <w:p w14:paraId="7C65D905">
          <w:pPr>
            <w:pStyle w:val="11"/>
            <w:numPr>
              <w:ilvl w:val="0"/>
              <w:numId w:val="1"/>
            </w:numPr>
            <w:tabs>
              <w:tab w:val="left" w:pos="800"/>
              <w:tab w:val="right" w:leader="dot" w:pos="9026"/>
            </w:tabs>
            <w:topLinePunct/>
            <w:adjustRightInd w:val="0"/>
            <w:snapToGrid w:val="0"/>
            <w:spacing w:before="0" w:after="224" w:afterLines="75" w:line="288" w:lineRule="auto"/>
            <w:ind w:left="0" w:firstLine="0"/>
            <w:jc w:val="both"/>
            <w:rPr>
              <w:rFonts w:ascii="Arial" w:hAnsi="Arial" w:cs="Arial"/>
              <w:b w:val="0"/>
              <w:bCs w:val="0"/>
              <w:snapToGrid w:val="0"/>
            </w:rPr>
          </w:pPr>
          <w:r>
            <w:fldChar w:fldCharType="begin"/>
          </w:r>
          <w:r>
            <w:instrText xml:space="preserve"> HYPERLINK \l "_TOC_250006" </w:instrText>
          </w:r>
          <w:r>
            <w:fldChar w:fldCharType="separate"/>
          </w:r>
          <w:r>
            <w:rPr>
              <w:rFonts w:hint="eastAsia" w:ascii="Arial" w:hAnsi="Arial" w:cs="Arial"/>
              <w:snapToGrid w:val="0"/>
            </w:rPr>
            <w:t>什么是</w:t>
          </w:r>
          <w:r>
            <w:rPr>
              <w:rFonts w:hint="eastAsia" w:ascii="宋体" w:hAnsi="宋体" w:cs="Arial"/>
              <w:snapToGrid w:val="0"/>
            </w:rPr>
            <w:t>“</w:t>
          </w:r>
          <w:r>
            <w:rPr>
              <w:rFonts w:hint="eastAsia" w:ascii="Arial" w:hAnsi="Arial" w:cs="Arial"/>
              <w:snapToGrid w:val="0"/>
            </w:rPr>
            <w:t>化学作用</w:t>
          </w:r>
          <w:r>
            <w:rPr>
              <w:rFonts w:hint="eastAsia" w:ascii="宋体" w:hAnsi="宋体" w:cs="Arial"/>
              <w:snapToGrid w:val="0"/>
            </w:rPr>
            <w:t>”</w:t>
          </w:r>
          <w:r>
            <w:rPr>
              <w:rFonts w:hint="eastAsia" w:ascii="Arial" w:hAnsi="Arial" w:cs="Arial"/>
              <w:snapToGrid w:val="0"/>
            </w:rPr>
            <w:t>？</w:t>
          </w:r>
          <w:r>
            <w:rPr>
              <w:rFonts w:hint="eastAsia" w:ascii="Arial" w:hAnsi="Arial" w:cs="Arial"/>
              <w:snapToGrid w:val="0"/>
            </w:rPr>
            <w:fldChar w:fldCharType="end"/>
          </w:r>
          <w:r>
            <w:fldChar w:fldCharType="begin"/>
          </w:r>
          <w:r>
            <w:instrText xml:space="preserve"> HYPERLINK \l "_TOC_250006" </w:instrText>
          </w:r>
          <w:r>
            <w:fldChar w:fldCharType="separate"/>
          </w:r>
          <w:r>
            <w:rPr>
              <w:rFonts w:hint="eastAsia" w:ascii="Arial" w:hAnsi="Arial" w:cs="Arial"/>
              <w:snapToGrid w:val="0"/>
            </w:rPr>
            <w:tab/>
          </w:r>
          <w:r>
            <w:rPr>
              <w:rFonts w:hint="eastAsia" w:ascii="Arial" w:hAnsi="Arial" w:cs="Arial"/>
              <w:snapToGrid w:val="0"/>
            </w:rPr>
            <w:t>3</w:t>
          </w:r>
          <w:r>
            <w:rPr>
              <w:rFonts w:hint="eastAsia" w:ascii="Arial" w:hAnsi="Arial" w:cs="Arial"/>
              <w:snapToGrid w:val="0"/>
            </w:rPr>
            <w:fldChar w:fldCharType="end"/>
          </w:r>
        </w:p>
        <w:p w14:paraId="1CA90C93">
          <w:pPr>
            <w:pStyle w:val="11"/>
            <w:numPr>
              <w:ilvl w:val="0"/>
              <w:numId w:val="1"/>
            </w:numPr>
            <w:tabs>
              <w:tab w:val="left" w:pos="800"/>
              <w:tab w:val="right" w:leader="dot" w:pos="9026"/>
            </w:tabs>
            <w:topLinePunct/>
            <w:adjustRightInd w:val="0"/>
            <w:snapToGrid w:val="0"/>
            <w:spacing w:before="0" w:after="224" w:afterLines="75" w:line="288" w:lineRule="auto"/>
            <w:ind w:left="0" w:firstLine="0"/>
            <w:jc w:val="both"/>
            <w:rPr>
              <w:rFonts w:ascii="Arial" w:hAnsi="Arial" w:cs="Arial"/>
              <w:b w:val="0"/>
              <w:bCs w:val="0"/>
              <w:snapToGrid w:val="0"/>
            </w:rPr>
          </w:pPr>
          <w:r>
            <w:fldChar w:fldCharType="begin"/>
          </w:r>
          <w:r>
            <w:instrText xml:space="preserve"> HYPERLINK \l "_TOC_250005" </w:instrText>
          </w:r>
          <w:r>
            <w:fldChar w:fldCharType="separate"/>
          </w:r>
          <w:r>
            <w:rPr>
              <w:rFonts w:hint="eastAsia" w:ascii="宋体" w:hAnsi="宋体" w:cs="Arial"/>
              <w:snapToGrid w:val="0"/>
            </w:rPr>
            <w:t>“</w:t>
          </w:r>
          <w:r>
            <w:rPr>
              <w:rFonts w:hint="eastAsia" w:ascii="Arial" w:hAnsi="Arial" w:cs="Arial"/>
              <w:snapToGrid w:val="0"/>
            </w:rPr>
            <w:t>化学作用</w:t>
          </w:r>
          <w:r>
            <w:rPr>
              <w:rFonts w:hint="eastAsia" w:ascii="宋体" w:hAnsi="宋体" w:cs="Arial"/>
              <w:snapToGrid w:val="0"/>
            </w:rPr>
            <w:t>”</w:t>
          </w:r>
          <w:r>
            <w:rPr>
              <w:rFonts w:hint="eastAsia" w:ascii="Arial" w:hAnsi="Arial" w:cs="Arial"/>
              <w:snapToGrid w:val="0"/>
            </w:rPr>
            <w:t>示例</w:t>
          </w:r>
          <w:r>
            <w:rPr>
              <w:rFonts w:hint="eastAsia" w:ascii="Arial" w:hAnsi="Arial" w:cs="Arial"/>
              <w:snapToGrid w:val="0"/>
            </w:rPr>
            <w:fldChar w:fldCharType="end"/>
          </w:r>
          <w:r>
            <w:fldChar w:fldCharType="begin"/>
          </w:r>
          <w:r>
            <w:instrText xml:space="preserve"> HYPERLINK \l "_TOC_250005" </w:instrText>
          </w:r>
          <w:r>
            <w:fldChar w:fldCharType="separate"/>
          </w:r>
          <w:r>
            <w:rPr>
              <w:rFonts w:hint="eastAsia" w:ascii="Arial" w:hAnsi="Arial" w:cs="Arial"/>
              <w:snapToGrid w:val="0"/>
            </w:rPr>
            <w:tab/>
          </w:r>
          <w:r>
            <w:rPr>
              <w:rFonts w:hint="eastAsia" w:ascii="Arial" w:hAnsi="Arial" w:cs="Arial"/>
              <w:snapToGrid w:val="0"/>
            </w:rPr>
            <w:t>4</w:t>
          </w:r>
          <w:r>
            <w:rPr>
              <w:rFonts w:hint="eastAsia" w:ascii="Arial" w:hAnsi="Arial" w:cs="Arial"/>
              <w:snapToGrid w:val="0"/>
            </w:rPr>
            <w:fldChar w:fldCharType="end"/>
          </w:r>
        </w:p>
        <w:p w14:paraId="5D73727D">
          <w:pPr>
            <w:pStyle w:val="6"/>
            <w:numPr>
              <w:ilvl w:val="1"/>
              <w:numId w:val="1"/>
            </w:numPr>
            <w:tabs>
              <w:tab w:val="right" w:leader="dot" w:pos="9026"/>
            </w:tabs>
            <w:topLinePunct/>
            <w:adjustRightInd w:val="0"/>
            <w:snapToGrid w:val="0"/>
            <w:spacing w:before="0" w:after="224" w:afterLines="75" w:line="288" w:lineRule="auto"/>
            <w:ind w:left="1555" w:leftChars="367" w:right="440" w:rightChars="200" w:hanging="748"/>
            <w:jc w:val="both"/>
            <w:rPr>
              <w:rFonts w:ascii="Arial" w:hAnsi="Arial" w:cs="Arial"/>
              <w:b w:val="0"/>
              <w:bCs w:val="0"/>
              <w:snapToGrid w:val="0"/>
            </w:rPr>
          </w:pPr>
          <w:r>
            <w:fldChar w:fldCharType="begin"/>
          </w:r>
          <w:r>
            <w:instrText xml:space="preserve"> HYPERLINK \l "_TOC_250004" </w:instrText>
          </w:r>
          <w:r>
            <w:fldChar w:fldCharType="separate"/>
          </w:r>
          <w:r>
            <w:rPr>
              <w:rFonts w:hint="eastAsia" w:ascii="Arial" w:hAnsi="Arial" w:cs="Arial"/>
              <w:snapToGrid w:val="0"/>
            </w:rPr>
            <w:t>产品通过化学反应介导细胞或分子级身体反应：</w:t>
          </w:r>
          <w:r>
            <w:rPr>
              <w:rFonts w:hint="eastAsia" w:ascii="Arial" w:hAnsi="Arial" w:cs="Arial"/>
              <w:snapToGrid w:val="0"/>
            </w:rPr>
            <w:fldChar w:fldCharType="end"/>
          </w:r>
          <w:r>
            <w:fldChar w:fldCharType="begin"/>
          </w:r>
          <w:r>
            <w:instrText xml:space="preserve"> HYPERLINK \l "_TOC_250004" </w:instrText>
          </w:r>
          <w:r>
            <w:fldChar w:fldCharType="separate"/>
          </w:r>
          <w:r>
            <w:rPr>
              <w:rFonts w:hint="eastAsia" w:ascii="Arial" w:hAnsi="Arial" w:cs="Arial"/>
              <w:snapToGrid w:val="0"/>
            </w:rPr>
            <w:tab/>
          </w:r>
          <w:r>
            <w:rPr>
              <w:rFonts w:hint="eastAsia" w:ascii="Arial" w:hAnsi="Arial" w:cs="Arial"/>
              <w:snapToGrid w:val="0"/>
            </w:rPr>
            <w:t>4</w:t>
          </w:r>
          <w:r>
            <w:rPr>
              <w:rFonts w:hint="eastAsia" w:ascii="Arial" w:hAnsi="Arial" w:cs="Arial"/>
              <w:snapToGrid w:val="0"/>
            </w:rPr>
            <w:fldChar w:fldCharType="end"/>
          </w:r>
        </w:p>
        <w:p w14:paraId="2A04C092">
          <w:pPr>
            <w:pStyle w:val="6"/>
            <w:numPr>
              <w:ilvl w:val="1"/>
              <w:numId w:val="1"/>
            </w:numPr>
            <w:tabs>
              <w:tab w:val="right" w:leader="dot" w:pos="9026"/>
            </w:tabs>
            <w:topLinePunct/>
            <w:adjustRightInd w:val="0"/>
            <w:snapToGrid w:val="0"/>
            <w:spacing w:before="0" w:after="224" w:afterLines="75" w:line="288" w:lineRule="auto"/>
            <w:ind w:left="1555" w:leftChars="367" w:right="440" w:rightChars="200" w:hanging="748"/>
            <w:jc w:val="both"/>
            <w:rPr>
              <w:rFonts w:ascii="Arial" w:hAnsi="Arial" w:cs="Arial"/>
              <w:bCs w:val="0"/>
              <w:snapToGrid w:val="0"/>
            </w:rPr>
          </w:pPr>
          <w:r>
            <w:fldChar w:fldCharType="begin"/>
          </w:r>
          <w:r>
            <w:instrText xml:space="preserve"> HYPERLINK \l "_TOC_250003" </w:instrText>
          </w:r>
          <w:r>
            <w:fldChar w:fldCharType="separate"/>
          </w:r>
          <w:r>
            <w:rPr>
              <w:rFonts w:hint="eastAsia" w:ascii="Arial" w:hAnsi="Arial" w:cs="Arial"/>
              <w:snapToGrid w:val="0"/>
            </w:rPr>
            <w:t>产品通过分子间作用力介导细胞或分子级身体反应：</w:t>
          </w:r>
          <w:r>
            <w:rPr>
              <w:rFonts w:hint="eastAsia" w:ascii="Arial" w:hAnsi="Arial" w:cs="Arial"/>
              <w:snapToGrid w:val="0"/>
            </w:rPr>
            <w:fldChar w:fldCharType="end"/>
          </w:r>
          <w:r>
            <w:fldChar w:fldCharType="begin"/>
          </w:r>
          <w:r>
            <w:instrText xml:space="preserve"> HYPERLINK \l "_TOC_250003" </w:instrText>
          </w:r>
          <w:r>
            <w:fldChar w:fldCharType="separate"/>
          </w:r>
          <w:r>
            <w:rPr>
              <w:rFonts w:hint="eastAsia" w:ascii="Arial" w:hAnsi="Arial" w:cs="Arial"/>
              <w:snapToGrid w:val="0"/>
            </w:rPr>
            <w:tab/>
          </w:r>
          <w:r>
            <w:rPr>
              <w:rFonts w:hint="eastAsia" w:ascii="Arial" w:hAnsi="Arial" w:cs="Arial"/>
              <w:snapToGrid w:val="0"/>
            </w:rPr>
            <w:t>4</w:t>
          </w:r>
          <w:r>
            <w:rPr>
              <w:rFonts w:hint="eastAsia" w:ascii="Arial" w:hAnsi="Arial" w:cs="Arial"/>
              <w:snapToGrid w:val="0"/>
            </w:rPr>
            <w:fldChar w:fldCharType="end"/>
          </w:r>
        </w:p>
        <w:p w14:paraId="7B69297B">
          <w:pPr>
            <w:pStyle w:val="6"/>
            <w:numPr>
              <w:ilvl w:val="1"/>
              <w:numId w:val="1"/>
            </w:numPr>
            <w:tabs>
              <w:tab w:val="right" w:leader="dot" w:pos="9026"/>
            </w:tabs>
            <w:topLinePunct/>
            <w:adjustRightInd w:val="0"/>
            <w:snapToGrid w:val="0"/>
            <w:spacing w:before="0" w:after="224" w:afterLines="75" w:line="288" w:lineRule="auto"/>
            <w:ind w:left="1555" w:leftChars="367" w:right="440" w:rightChars="200" w:hanging="748"/>
            <w:jc w:val="both"/>
            <w:rPr>
              <w:rFonts w:ascii="Arial" w:hAnsi="Arial" w:cs="Arial"/>
              <w:bCs w:val="0"/>
              <w:snapToGrid w:val="0"/>
            </w:rPr>
          </w:pPr>
          <w:r>
            <w:fldChar w:fldCharType="begin"/>
          </w:r>
          <w:r>
            <w:instrText xml:space="preserve"> HYPERLINK \l "_TOC_250002" </w:instrText>
          </w:r>
          <w:r>
            <w:fldChar w:fldCharType="separate"/>
          </w:r>
          <w:r>
            <w:rPr>
              <w:rFonts w:hint="eastAsia" w:ascii="Arial" w:hAnsi="Arial" w:cs="Arial"/>
              <w:snapToGrid w:val="0"/>
            </w:rPr>
            <w:t>产品通过化学反应与实体结合或修改实体，进而改变该实体与人体或其他动物身体的相互作用：</w:t>
          </w:r>
          <w:r>
            <w:rPr>
              <w:rFonts w:hint="eastAsia" w:ascii="Arial" w:hAnsi="Arial" w:cs="Arial"/>
              <w:snapToGrid w:val="0"/>
            </w:rPr>
            <w:fldChar w:fldCharType="end"/>
          </w:r>
          <w:r>
            <w:fldChar w:fldCharType="begin"/>
          </w:r>
          <w:r>
            <w:instrText xml:space="preserve"> HYPERLINK \l "_TOC_250002" </w:instrText>
          </w:r>
          <w:r>
            <w:fldChar w:fldCharType="separate"/>
          </w:r>
          <w:r>
            <w:rPr>
              <w:rFonts w:hint="eastAsia" w:ascii="Arial" w:hAnsi="Arial" w:cs="Arial"/>
              <w:snapToGrid w:val="0"/>
            </w:rPr>
            <w:tab/>
          </w:r>
          <w:r>
            <w:rPr>
              <w:rFonts w:hint="eastAsia" w:ascii="Arial" w:hAnsi="Arial" w:cs="Arial"/>
              <w:snapToGrid w:val="0"/>
            </w:rPr>
            <w:t>5</w:t>
          </w:r>
          <w:r>
            <w:rPr>
              <w:rFonts w:hint="eastAsia" w:ascii="Arial" w:hAnsi="Arial" w:cs="Arial"/>
              <w:snapToGrid w:val="0"/>
            </w:rPr>
            <w:fldChar w:fldCharType="end"/>
          </w:r>
        </w:p>
        <w:p w14:paraId="7FD20766">
          <w:pPr>
            <w:pStyle w:val="6"/>
            <w:numPr>
              <w:ilvl w:val="1"/>
              <w:numId w:val="1"/>
            </w:numPr>
            <w:tabs>
              <w:tab w:val="right" w:leader="dot" w:pos="9026"/>
            </w:tabs>
            <w:topLinePunct/>
            <w:adjustRightInd w:val="0"/>
            <w:snapToGrid w:val="0"/>
            <w:spacing w:before="0" w:after="224" w:afterLines="75" w:line="288" w:lineRule="auto"/>
            <w:ind w:left="1555" w:leftChars="367" w:right="440" w:rightChars="200" w:hanging="748"/>
            <w:jc w:val="both"/>
            <w:rPr>
              <w:rFonts w:ascii="Arial" w:hAnsi="Arial" w:cs="Arial"/>
              <w:b w:val="0"/>
              <w:bCs w:val="0"/>
              <w:snapToGrid w:val="0"/>
            </w:rPr>
          </w:pPr>
          <w:r>
            <w:fldChar w:fldCharType="begin"/>
          </w:r>
          <w:r>
            <w:instrText xml:space="preserve"> HYPERLINK \l "_TOC_250001" </w:instrText>
          </w:r>
          <w:r>
            <w:fldChar w:fldCharType="separate"/>
          </w:r>
          <w:r>
            <w:rPr>
              <w:rFonts w:hint="eastAsia" w:ascii="Arial" w:hAnsi="Arial" w:cs="Arial"/>
              <w:snapToGrid w:val="0"/>
            </w:rPr>
            <w:t>产品通过分子间作用力与实体结合或修改实体，进而改变该实体与人体或其他动物身体的相互作用：</w:t>
          </w:r>
          <w:r>
            <w:rPr>
              <w:rFonts w:hint="eastAsia" w:ascii="Arial" w:hAnsi="Arial" w:cs="Arial"/>
              <w:snapToGrid w:val="0"/>
            </w:rPr>
            <w:fldChar w:fldCharType="end"/>
          </w:r>
          <w:r>
            <w:fldChar w:fldCharType="begin"/>
          </w:r>
          <w:r>
            <w:instrText xml:space="preserve"> HYPERLINK \l "_TOC_250001" </w:instrText>
          </w:r>
          <w:r>
            <w:fldChar w:fldCharType="separate"/>
          </w:r>
          <w:r>
            <w:rPr>
              <w:rFonts w:hint="eastAsia" w:ascii="Arial" w:hAnsi="Arial" w:cs="Arial"/>
              <w:snapToGrid w:val="0"/>
            </w:rPr>
            <w:tab/>
          </w:r>
          <w:r>
            <w:rPr>
              <w:rFonts w:hint="eastAsia" w:ascii="Arial" w:hAnsi="Arial" w:cs="Arial"/>
              <w:snapToGrid w:val="0"/>
            </w:rPr>
            <w:t>5</w:t>
          </w:r>
          <w:r>
            <w:rPr>
              <w:rFonts w:hint="eastAsia" w:ascii="Arial" w:hAnsi="Arial" w:cs="Arial"/>
              <w:snapToGrid w:val="0"/>
            </w:rPr>
            <w:fldChar w:fldCharType="end"/>
          </w:r>
        </w:p>
        <w:p w14:paraId="62684FFE">
          <w:pPr>
            <w:pStyle w:val="11"/>
            <w:numPr>
              <w:ilvl w:val="0"/>
              <w:numId w:val="1"/>
            </w:numPr>
            <w:tabs>
              <w:tab w:val="left" w:pos="800"/>
              <w:tab w:val="right" w:leader="dot" w:pos="9026"/>
            </w:tabs>
            <w:topLinePunct/>
            <w:adjustRightInd w:val="0"/>
            <w:snapToGrid w:val="0"/>
            <w:spacing w:before="0" w:after="224" w:afterLines="75" w:line="288" w:lineRule="auto"/>
            <w:ind w:left="0" w:firstLine="0"/>
            <w:jc w:val="both"/>
            <w:rPr>
              <w:rFonts w:ascii="Arial" w:hAnsi="Arial" w:cs="Arial"/>
              <w:b w:val="0"/>
              <w:bCs w:val="0"/>
              <w:snapToGrid w:val="0"/>
            </w:rPr>
          </w:pPr>
          <w:r>
            <w:fldChar w:fldCharType="begin"/>
          </w:r>
          <w:r>
            <w:instrText xml:space="preserve"> HYPERLINK \l "_TOC_250000" </w:instrText>
          </w:r>
          <w:r>
            <w:fldChar w:fldCharType="separate"/>
          </w:r>
          <w:r>
            <w:rPr>
              <w:rFonts w:hint="eastAsia" w:ascii="Arial" w:hAnsi="Arial" w:cs="Arial"/>
              <w:snapToGrid w:val="0"/>
            </w:rPr>
            <w:t>更多信息…</w:t>
          </w:r>
          <w:r>
            <w:rPr>
              <w:rFonts w:hint="eastAsia" w:ascii="Arial" w:hAnsi="Arial" w:cs="Arial"/>
              <w:snapToGrid w:val="0"/>
            </w:rPr>
            <w:tab/>
          </w:r>
          <w:r>
            <w:rPr>
              <w:rFonts w:hint="eastAsia" w:ascii="Arial" w:hAnsi="Arial" w:cs="Arial"/>
              <w:snapToGrid w:val="0"/>
            </w:rPr>
            <w:t>6</w:t>
          </w:r>
          <w:r>
            <w:rPr>
              <w:rFonts w:hint="eastAsia" w:ascii="Arial" w:hAnsi="Arial" w:cs="Arial"/>
              <w:snapToGrid w:val="0"/>
            </w:rPr>
            <w:fldChar w:fldCharType="end"/>
          </w:r>
        </w:p>
      </w:sdtContent>
    </w:sdt>
    <w:p w14:paraId="0E1DF20D">
      <w:pPr>
        <w:pStyle w:val="2"/>
        <w:topLinePunct/>
        <w:adjustRightInd w:val="0"/>
        <w:snapToGrid w:val="0"/>
        <w:spacing w:after="224" w:afterLines="75" w:line="288" w:lineRule="auto"/>
        <w:jc w:val="both"/>
        <w:rPr>
          <w:rFonts w:ascii="Arial" w:hAnsi="Arial" w:cs="Arial"/>
          <w:snapToGrid w:val="0"/>
          <w:sz w:val="24"/>
        </w:rPr>
      </w:pPr>
    </w:p>
    <w:p w14:paraId="0B72AC8C">
      <w:pPr>
        <w:pStyle w:val="2"/>
        <w:topLinePunct/>
        <w:adjustRightInd w:val="0"/>
        <w:snapToGrid w:val="0"/>
        <w:spacing w:after="224" w:afterLines="75" w:line="288" w:lineRule="auto"/>
        <w:jc w:val="both"/>
        <w:rPr>
          <w:rFonts w:ascii="Arial" w:hAnsi="Arial" w:cs="Arial"/>
          <w:snapToGrid w:val="0"/>
          <w:sz w:val="24"/>
        </w:rPr>
        <w:sectPr>
          <w:headerReference r:id="rId6" w:type="default"/>
          <w:footerReference r:id="rId7" w:type="default"/>
          <w:pgSz w:w="11906" w:h="16838"/>
          <w:pgMar w:top="1134" w:right="1440" w:bottom="1134" w:left="1440" w:header="720" w:footer="720" w:gutter="0"/>
          <w:cols w:space="720" w:num="1"/>
          <w:docGrid w:type="lines" w:linePitch="299" w:charSpace="0"/>
        </w:sectPr>
      </w:pPr>
    </w:p>
    <w:p w14:paraId="438D8A57">
      <w:pPr>
        <w:pStyle w:val="2"/>
        <w:topLinePunct/>
        <w:adjustRightInd w:val="0"/>
        <w:snapToGrid w:val="0"/>
        <w:spacing w:after="224" w:afterLines="75" w:line="288" w:lineRule="auto"/>
        <w:jc w:val="center"/>
        <w:rPr>
          <w:rFonts w:ascii="Arial" w:hAnsi="Arial" w:cs="Arial"/>
          <w:b w:val="0"/>
          <w:bCs w:val="0"/>
          <w:snapToGrid w:val="0"/>
          <w:sz w:val="48"/>
          <w:szCs w:val="48"/>
        </w:rPr>
      </w:pPr>
      <w:bookmarkStart w:id="1" w:name="I._PURPOSE"/>
      <w:bookmarkEnd w:id="1"/>
      <w:r>
        <w:rPr>
          <w:rFonts w:hint="eastAsia" w:ascii="Arial" w:hAnsi="Arial" w:cs="Arial"/>
          <w:snapToGrid w:val="0"/>
          <w:sz w:val="48"/>
          <w:szCs w:val="48"/>
        </w:rPr>
        <w:t>行业和FDA工作人员指南：</w:t>
      </w:r>
      <w:r>
        <w:rPr>
          <w:rStyle w:val="19"/>
          <w:rFonts w:ascii="Arial" w:hAnsi="Arial" w:cs="Arial"/>
          <w:snapToGrid w:val="0"/>
          <w:sz w:val="48"/>
          <w:szCs w:val="48"/>
        </w:rPr>
        <w:footnoteReference w:id="0"/>
      </w:r>
    </w:p>
    <w:p w14:paraId="4AA0F008">
      <w:pPr>
        <w:pStyle w:val="3"/>
        <w:topLinePunct/>
        <w:adjustRightInd w:val="0"/>
        <w:snapToGrid w:val="0"/>
        <w:spacing w:after="224" w:afterLines="75" w:line="288" w:lineRule="auto"/>
        <w:ind w:left="0"/>
        <w:jc w:val="center"/>
        <w:rPr>
          <w:rFonts w:ascii="Arial" w:hAnsi="Arial" w:cs="Arial"/>
          <w:snapToGrid w:val="0"/>
        </w:rPr>
      </w:pPr>
      <w:r>
        <w:rPr>
          <w:rFonts w:hint="eastAsia" w:ascii="Arial" w:hAnsi="Arial" w:cs="Arial"/>
          <w:snapToGrid w:val="0"/>
        </w:rPr>
        <w:t>联邦食品、药品和化妆品法案第201（h）条器械定义中术语</w:t>
      </w:r>
      <w:r>
        <w:rPr>
          <w:rFonts w:hint="eastAsia" w:ascii="宋体" w:hAnsi="宋体" w:cs="Arial"/>
          <w:snapToGrid w:val="0"/>
        </w:rPr>
        <w:t>“</w:t>
      </w:r>
      <w:r>
        <w:rPr>
          <w:rFonts w:hint="eastAsia" w:ascii="Arial" w:hAnsi="Arial" w:cs="Arial"/>
          <w:snapToGrid w:val="0"/>
        </w:rPr>
        <w:t>化学作用</w:t>
      </w:r>
      <w:r>
        <w:rPr>
          <w:rFonts w:hint="eastAsia" w:ascii="宋体" w:hAnsi="宋体" w:cs="Arial"/>
          <w:snapToGrid w:val="0"/>
        </w:rPr>
        <w:t>”</w:t>
      </w:r>
      <w:r>
        <w:rPr>
          <w:rFonts w:hint="eastAsia" w:ascii="Arial" w:hAnsi="Arial" w:cs="Arial"/>
          <w:snapToGrid w:val="0"/>
        </w:rPr>
        <w:t>的解释</w:t>
      </w:r>
    </w:p>
    <w:p w14:paraId="00728742">
      <w:pPr>
        <w:topLinePunct/>
        <w:adjustRightInd w:val="0"/>
        <w:snapToGrid w:val="0"/>
        <w:spacing w:after="224" w:afterLines="75" w:line="288" w:lineRule="auto"/>
        <w:jc w:val="both"/>
        <w:rPr>
          <w:rFonts w:ascii="Arial" w:hAnsi="Arial" w:eastAsia="宋体" w:cs="Arial"/>
          <w:snapToGrid w:val="0"/>
          <w:sz w:val="24"/>
        </w:rPr>
      </w:pPr>
    </w:p>
    <w:p w14:paraId="7F11BA97">
      <w:pPr>
        <w:pBdr>
          <w:top w:val="thinThickSmallGap" w:color="auto" w:sz="24" w:space="1"/>
          <w:left w:val="thinThickSmallGap" w:color="auto" w:sz="24" w:space="4"/>
          <w:bottom w:val="thickThinSmallGap" w:color="auto" w:sz="24" w:space="1"/>
          <w:right w:val="thickThinSmallGap" w:color="auto" w:sz="24" w:space="4"/>
        </w:pBdr>
        <w:topLinePunct/>
        <w:adjustRightInd w:val="0"/>
        <w:snapToGrid w:val="0"/>
        <w:spacing w:before="149" w:beforeLines="50" w:line="300" w:lineRule="auto"/>
        <w:jc w:val="both"/>
        <w:rPr>
          <w:rFonts w:ascii="Arial" w:hAnsi="Arial" w:eastAsia="宋体" w:cs="Arial"/>
          <w:snapToGrid w:val="0"/>
          <w:sz w:val="24"/>
        </w:rPr>
      </w:pPr>
      <w:r>
        <w:rPr>
          <w:rFonts w:hint="eastAsia" w:ascii="Arial" w:hAnsi="Arial" w:eastAsia="宋体" w:cs="Arial"/>
          <w:snapToGrid w:val="0"/>
          <w:sz w:val="24"/>
        </w:rPr>
        <w:t>本指南代表食品药品监督管理局（FDA）目前关于该主题的思考。其不会为任何人创造或赋予任何权利，也不对FDA或公众具有约束力。如果替代方法满足适用法律、法规的要求，可以使用替代方法。如果您希望讨论一种替代方法，请联系负责实施本指南的FDA工作人员。如果您无法确定适当的FDA工作人员，请拨打本指南标题页上列出的合适的电话号码。</w:t>
      </w:r>
    </w:p>
    <w:p w14:paraId="2118C8CE">
      <w:pPr>
        <w:topLinePunct/>
        <w:adjustRightInd w:val="0"/>
        <w:snapToGrid w:val="0"/>
        <w:spacing w:after="224" w:afterLines="75" w:line="288" w:lineRule="auto"/>
        <w:jc w:val="both"/>
        <w:rPr>
          <w:rFonts w:ascii="Arial" w:hAnsi="Arial" w:eastAsia="宋体" w:cs="Arial"/>
          <w:snapToGrid w:val="0"/>
          <w:sz w:val="24"/>
        </w:rPr>
      </w:pPr>
    </w:p>
    <w:p w14:paraId="50F92CDF">
      <w:pPr>
        <w:pStyle w:val="4"/>
        <w:numPr>
          <w:ilvl w:val="0"/>
          <w:numId w:val="2"/>
        </w:numPr>
        <w:tabs>
          <w:tab w:val="left" w:pos="553"/>
        </w:tabs>
        <w:topLinePunct/>
        <w:adjustRightInd w:val="0"/>
        <w:snapToGrid w:val="0"/>
        <w:spacing w:after="224" w:afterLines="75" w:line="288" w:lineRule="auto"/>
        <w:ind w:left="0" w:firstLine="0"/>
        <w:jc w:val="both"/>
        <w:rPr>
          <w:rFonts w:ascii="Arial" w:hAnsi="Arial" w:cs="Arial"/>
          <w:b w:val="0"/>
          <w:bCs w:val="0"/>
          <w:snapToGrid w:val="0"/>
          <w:sz w:val="28"/>
        </w:rPr>
      </w:pPr>
      <w:bookmarkStart w:id="2" w:name="_TOC_250008"/>
      <w:r>
        <w:rPr>
          <w:rFonts w:hint="eastAsia" w:ascii="Arial" w:hAnsi="Arial" w:cs="Arial"/>
          <w:snapToGrid w:val="0"/>
          <w:sz w:val="28"/>
        </w:rPr>
        <w:t>目的</w:t>
      </w:r>
      <w:bookmarkEnd w:id="2"/>
    </w:p>
    <w:p w14:paraId="5019DF43">
      <w:pPr>
        <w:topLinePunct/>
        <w:adjustRightInd w:val="0"/>
        <w:snapToGrid w:val="0"/>
        <w:spacing w:after="224" w:afterLines="75" w:line="288" w:lineRule="auto"/>
        <w:jc w:val="both"/>
        <w:rPr>
          <w:rFonts w:ascii="Arial" w:hAnsi="Arial" w:eastAsia="宋体" w:cs="Arial"/>
          <w:snapToGrid w:val="0"/>
          <w:sz w:val="24"/>
          <w:szCs w:val="24"/>
        </w:rPr>
      </w:pPr>
      <w:r>
        <w:rPr>
          <w:rFonts w:hint="eastAsia" w:ascii="Arial" w:hAnsi="Arial" w:eastAsia="宋体" w:cs="Arial"/>
          <w:snapToGrid w:val="0"/>
          <w:sz w:val="24"/>
          <w:szCs w:val="24"/>
        </w:rPr>
        <w:t xml:space="preserve">本指南提供有关FDA如何解释联邦食品、药品和化妆品法案（FD&amp;C法案），21 U.S.C. </w:t>
      </w:r>
      <w:r>
        <w:rPr>
          <w:rFonts w:ascii="Arial" w:hAnsi="Arial" w:eastAsia="宋体" w:cs="Arial"/>
          <w:snapToGrid w:val="0"/>
          <w:sz w:val="24"/>
          <w:szCs w:val="24"/>
        </w:rPr>
        <w:t>§</w:t>
      </w:r>
      <w:r>
        <w:rPr>
          <w:rFonts w:hint="eastAsia" w:ascii="Arial" w:hAnsi="Arial" w:eastAsia="宋体" w:cs="Arial"/>
          <w:snapToGrid w:val="0"/>
          <w:sz w:val="24"/>
          <w:szCs w:val="24"/>
        </w:rPr>
        <w:t>321（H）第201（h）条器械定义中的术语</w:t>
      </w:r>
      <w:r>
        <w:rPr>
          <w:rFonts w:hint="eastAsia" w:ascii="宋体" w:hAnsi="宋体" w:eastAsia="宋体" w:cs="Arial"/>
          <w:snapToGrid w:val="0"/>
          <w:sz w:val="24"/>
          <w:szCs w:val="24"/>
        </w:rPr>
        <w:t>“</w:t>
      </w:r>
      <w:r>
        <w:rPr>
          <w:rFonts w:hint="eastAsia" w:ascii="Arial" w:hAnsi="Arial" w:eastAsia="宋体" w:cs="Arial"/>
          <w:snapToGrid w:val="0"/>
          <w:sz w:val="24"/>
          <w:szCs w:val="24"/>
        </w:rPr>
        <w:t>化学作用</w:t>
      </w:r>
      <w:r>
        <w:rPr>
          <w:rFonts w:hint="eastAsia" w:ascii="宋体" w:hAnsi="宋体" w:eastAsia="宋体" w:cs="Arial"/>
          <w:snapToGrid w:val="0"/>
          <w:sz w:val="24"/>
          <w:szCs w:val="24"/>
        </w:rPr>
        <w:t>”</w:t>
      </w:r>
      <w:r>
        <w:rPr>
          <w:rFonts w:hint="eastAsia" w:ascii="Arial" w:hAnsi="Arial" w:eastAsia="宋体" w:cs="Arial"/>
          <w:snapToGrid w:val="0"/>
          <w:sz w:val="24"/>
          <w:szCs w:val="24"/>
        </w:rPr>
        <w:t>的信息。本机构拟发布配套指南草案</w:t>
      </w:r>
      <w:r>
        <w:rPr>
          <w:rFonts w:hint="eastAsia" w:ascii="宋体" w:hAnsi="宋体" w:eastAsia="宋体" w:cs="Arial"/>
          <w:snapToGrid w:val="0"/>
          <w:sz w:val="24"/>
          <w:szCs w:val="24"/>
        </w:rPr>
        <w:t>“</w:t>
      </w:r>
      <w:r>
        <w:rPr>
          <w:rFonts w:hint="eastAsia" w:ascii="Arial" w:hAnsi="Arial" w:eastAsia="宋体" w:cs="Arial"/>
          <w:i/>
          <w:snapToGrid w:val="0"/>
          <w:sz w:val="24"/>
          <w:szCs w:val="24"/>
        </w:rPr>
        <w:t>将产品分类为药品和器械及相关产品分类问题</w:t>
      </w:r>
      <w:r>
        <w:rPr>
          <w:rFonts w:hint="eastAsia" w:ascii="宋体" w:hAnsi="宋体" w:eastAsia="宋体" w:cs="Arial"/>
          <w:snapToGrid w:val="0"/>
          <w:sz w:val="24"/>
          <w:szCs w:val="24"/>
        </w:rPr>
        <w:t>”</w:t>
      </w:r>
      <w:r>
        <w:rPr>
          <w:rFonts w:hint="eastAsia" w:ascii="Arial" w:hAnsi="Arial" w:eastAsia="宋体" w:cs="Arial"/>
          <w:snapToGrid w:val="0"/>
          <w:sz w:val="24"/>
          <w:szCs w:val="24"/>
        </w:rPr>
        <w:t>（</w:t>
      </w:r>
      <w:r>
        <w:rPr>
          <w:rFonts w:hint="eastAsia" w:ascii="宋体" w:hAnsi="宋体" w:eastAsia="宋体" w:cs="Arial"/>
          <w:snapToGrid w:val="0"/>
          <w:sz w:val="24"/>
          <w:szCs w:val="24"/>
        </w:rPr>
        <w:t>“</w:t>
      </w:r>
      <w:r>
        <w:rPr>
          <w:rFonts w:hint="eastAsia" w:ascii="Arial" w:hAnsi="Arial" w:eastAsia="宋体" w:cs="Arial"/>
          <w:i/>
          <w:snapToGrid w:val="0"/>
          <w:sz w:val="24"/>
          <w:szCs w:val="24"/>
        </w:rPr>
        <w:t>分类指南草案</w:t>
      </w:r>
      <w:r>
        <w:rPr>
          <w:rFonts w:hint="eastAsia" w:ascii="宋体" w:hAnsi="宋体" w:eastAsia="宋体" w:cs="Arial"/>
          <w:snapToGrid w:val="0"/>
          <w:sz w:val="24"/>
          <w:szCs w:val="24"/>
        </w:rPr>
        <w:t>”</w:t>
      </w:r>
      <w:r>
        <w:rPr>
          <w:rFonts w:hint="eastAsia" w:ascii="Arial" w:hAnsi="Arial" w:eastAsia="宋体" w:cs="Arial"/>
          <w:snapToGrid w:val="0"/>
          <w:sz w:val="24"/>
          <w:szCs w:val="24"/>
        </w:rPr>
        <w:t>）（可从OCP网站获得：</w:t>
      </w:r>
      <w:r>
        <w:fldChar w:fldCharType="begin"/>
      </w:r>
      <w:r>
        <w:instrText xml:space="preserve"> HYPERLINK "http://www.fda.gov/CombinationProducts/default.htm" \h </w:instrText>
      </w:r>
      <w:r>
        <w:fldChar w:fldCharType="separate"/>
      </w:r>
      <w:r>
        <w:rPr>
          <w:rFonts w:hint="eastAsia" w:ascii="Arial" w:hAnsi="Arial" w:eastAsia="宋体" w:cs="Arial"/>
          <w:snapToGrid w:val="0"/>
          <w:color w:val="0000FF"/>
          <w:sz w:val="24"/>
          <w:szCs w:val="24"/>
          <w:u w:val="single" w:color="0000FF"/>
        </w:rPr>
        <w:t>http://www.fda.gov/CombinationProducts /default.htm</w:t>
      </w:r>
      <w:r>
        <w:rPr>
          <w:rFonts w:hint="eastAsia" w:ascii="Arial" w:hAnsi="Arial" w:eastAsia="宋体" w:cs="Arial"/>
          <w:snapToGrid w:val="0"/>
          <w:color w:val="0000FF"/>
          <w:sz w:val="24"/>
          <w:szCs w:val="24"/>
          <w:u w:val="single" w:color="0000FF"/>
        </w:rPr>
        <w:fldChar w:fldCharType="end"/>
      </w:r>
      <w:r>
        <w:rPr>
          <w:rFonts w:hint="eastAsia" w:ascii="Arial" w:hAnsi="Arial" w:eastAsia="宋体" w:cs="Arial"/>
          <w:snapToGrid w:val="0"/>
          <w:sz w:val="24"/>
          <w:szCs w:val="24"/>
        </w:rPr>
        <w:t>），其中说明了FDA如何解释器械定义中的其他语言。</w:t>
      </w:r>
    </w:p>
    <w:p w14:paraId="02EEFC50">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FDA指导性文件，包括本指南在内，不构成具有法律强制力的责任。相反，指南表明了本机构目前关于某一主题的思考，除非引用具体的法规或法律要求，否则只应视为建议。在本审查机构指南中使用词语</w:t>
      </w:r>
      <w:r>
        <w:rPr>
          <w:rFonts w:hint="eastAsia" w:ascii="宋体" w:hAnsi="宋体" w:cs="Arial"/>
          <w:snapToGrid w:val="0"/>
        </w:rPr>
        <w:t>“</w:t>
      </w:r>
      <w:r>
        <w:rPr>
          <w:rFonts w:hint="eastAsia" w:ascii="Arial" w:hAnsi="Arial" w:cs="Arial"/>
          <w:snapToGrid w:val="0"/>
        </w:rPr>
        <w:t>应</w:t>
      </w:r>
      <w:r>
        <w:rPr>
          <w:rFonts w:hint="eastAsia" w:ascii="宋体" w:hAnsi="宋体" w:cs="Arial"/>
          <w:snapToGrid w:val="0"/>
        </w:rPr>
        <w:t>”</w:t>
      </w:r>
      <w:r>
        <w:rPr>
          <w:rFonts w:hint="eastAsia" w:ascii="Arial" w:hAnsi="Arial" w:cs="Arial"/>
          <w:snapToGrid w:val="0"/>
        </w:rPr>
        <w:t>是指建议或推荐进行某一事项，并非强制要求。</w:t>
      </w:r>
    </w:p>
    <w:p w14:paraId="0729AD80">
      <w:pPr>
        <w:topLinePunct/>
        <w:adjustRightInd w:val="0"/>
        <w:snapToGrid w:val="0"/>
        <w:spacing w:after="224" w:afterLines="75" w:line="288" w:lineRule="auto"/>
        <w:jc w:val="both"/>
        <w:rPr>
          <w:rFonts w:ascii="Arial" w:hAnsi="Arial" w:eastAsia="宋体" w:cs="Arial"/>
          <w:snapToGrid w:val="0"/>
          <w:sz w:val="24"/>
          <w:szCs w:val="29"/>
        </w:rPr>
      </w:pPr>
      <w:r>
        <w:rPr>
          <w:rFonts w:ascii="Arial" w:hAnsi="Arial" w:eastAsia="宋体" w:cs="Arial"/>
          <w:snapToGrid w:val="0"/>
          <w:sz w:val="24"/>
          <w:szCs w:val="20"/>
        </w:rPr>
        <w:br w:type="page"/>
      </w:r>
    </w:p>
    <w:p w14:paraId="5B36558C">
      <w:pPr>
        <w:pStyle w:val="4"/>
        <w:numPr>
          <w:ilvl w:val="0"/>
          <w:numId w:val="2"/>
        </w:numPr>
        <w:tabs>
          <w:tab w:val="left" w:pos="487"/>
        </w:tabs>
        <w:topLinePunct/>
        <w:adjustRightInd w:val="0"/>
        <w:snapToGrid w:val="0"/>
        <w:spacing w:after="224" w:afterLines="75" w:line="288" w:lineRule="auto"/>
        <w:ind w:left="0" w:firstLine="0"/>
        <w:jc w:val="both"/>
        <w:rPr>
          <w:rFonts w:ascii="Arial" w:hAnsi="Arial" w:cs="Arial"/>
          <w:b w:val="0"/>
          <w:bCs w:val="0"/>
          <w:snapToGrid w:val="0"/>
          <w:sz w:val="28"/>
        </w:rPr>
      </w:pPr>
      <w:bookmarkStart w:id="3" w:name="_TOC_250007"/>
      <w:r>
        <w:rPr>
          <w:rFonts w:hint="eastAsia" w:ascii="Arial" w:hAnsi="Arial" w:cs="Arial"/>
          <w:snapToGrid w:val="0"/>
          <w:sz w:val="28"/>
        </w:rPr>
        <w:t>背景</w:t>
      </w:r>
      <w:bookmarkEnd w:id="3"/>
    </w:p>
    <w:p w14:paraId="29B34A31">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FD&amp;C法案（21 USC 321（h））第201（h）条规定，术语</w:t>
      </w:r>
      <w:r>
        <w:rPr>
          <w:rFonts w:hint="eastAsia" w:ascii="宋体" w:hAnsi="宋体" w:cs="Arial"/>
          <w:snapToGrid w:val="0"/>
        </w:rPr>
        <w:t>“</w:t>
      </w:r>
      <w:r>
        <w:rPr>
          <w:rFonts w:hint="eastAsia" w:ascii="Arial" w:hAnsi="Arial" w:cs="Arial"/>
          <w:snapToGrid w:val="0"/>
        </w:rPr>
        <w:t>器械</w:t>
      </w:r>
      <w:r>
        <w:rPr>
          <w:rFonts w:hint="eastAsia" w:ascii="宋体" w:hAnsi="宋体" w:cs="Arial"/>
          <w:snapToGrid w:val="0"/>
        </w:rPr>
        <w:t>”</w:t>
      </w:r>
      <w:r>
        <w:rPr>
          <w:rFonts w:hint="eastAsia" w:ascii="Arial" w:hAnsi="Arial" w:cs="Arial"/>
          <w:snapToGrid w:val="0"/>
        </w:rPr>
        <w:t>是指：</w:t>
      </w:r>
    </w:p>
    <w:p w14:paraId="0AFADD54">
      <w:pPr>
        <w:pStyle w:val="5"/>
        <w:topLinePunct/>
        <w:adjustRightInd w:val="0"/>
        <w:snapToGrid w:val="0"/>
        <w:spacing w:after="224" w:afterLines="75" w:line="288" w:lineRule="auto"/>
        <w:ind w:left="719" w:leftChars="327"/>
        <w:jc w:val="both"/>
        <w:rPr>
          <w:rFonts w:ascii="Arial" w:hAnsi="Arial" w:cs="Arial"/>
          <w:snapToGrid w:val="0"/>
        </w:rPr>
      </w:pPr>
      <w:r>
        <w:rPr>
          <w:rFonts w:hint="eastAsia" w:ascii="Arial" w:hAnsi="Arial" w:cs="Arial"/>
          <w:snapToGrid w:val="0"/>
        </w:rPr>
        <w:t>具有以下特征的工具、仪器、器具、机器、装置、植入物、体外试剂或其他类似或相关制品，包括任何组件、部件或配件：</w:t>
      </w:r>
    </w:p>
    <w:p w14:paraId="4B1BEE40">
      <w:pPr>
        <w:pStyle w:val="21"/>
        <w:numPr>
          <w:ilvl w:val="1"/>
          <w:numId w:val="2"/>
        </w:numPr>
        <w:topLinePunct/>
        <w:adjustRightInd w:val="0"/>
        <w:snapToGrid w:val="0"/>
        <w:spacing w:after="224" w:afterLines="75" w:line="288" w:lineRule="auto"/>
        <w:ind w:left="1203" w:leftChars="327" w:hanging="484" w:hangingChars="202"/>
        <w:jc w:val="both"/>
        <w:rPr>
          <w:rFonts w:ascii="Arial" w:hAnsi="Arial" w:eastAsia="宋体" w:cs="Arial"/>
          <w:snapToGrid w:val="0"/>
          <w:sz w:val="24"/>
          <w:szCs w:val="24"/>
        </w:rPr>
      </w:pPr>
      <w:r>
        <w:rPr>
          <w:rFonts w:hint="eastAsia" w:ascii="Arial" w:hAnsi="Arial" w:eastAsia="宋体" w:cs="Arial"/>
          <w:snapToGrid w:val="0"/>
          <w:sz w:val="24"/>
        </w:rPr>
        <w:t>已获得官方国家处方集或美国药典或其任何补充认可，</w:t>
      </w:r>
    </w:p>
    <w:p w14:paraId="54ED437F">
      <w:pPr>
        <w:pStyle w:val="21"/>
        <w:numPr>
          <w:ilvl w:val="1"/>
          <w:numId w:val="2"/>
        </w:numPr>
        <w:topLinePunct/>
        <w:adjustRightInd w:val="0"/>
        <w:snapToGrid w:val="0"/>
        <w:spacing w:after="224" w:afterLines="75" w:line="288" w:lineRule="auto"/>
        <w:ind w:left="1203" w:leftChars="327" w:hanging="484" w:hangingChars="202"/>
        <w:jc w:val="both"/>
        <w:rPr>
          <w:rFonts w:ascii="Arial" w:hAnsi="Arial" w:eastAsia="宋体" w:cs="Arial"/>
          <w:snapToGrid w:val="0"/>
          <w:sz w:val="24"/>
          <w:szCs w:val="24"/>
        </w:rPr>
      </w:pPr>
      <w:r>
        <w:rPr>
          <w:rFonts w:hint="eastAsia" w:ascii="Arial" w:hAnsi="Arial" w:eastAsia="宋体" w:cs="Arial"/>
          <w:snapToGrid w:val="0"/>
          <w:sz w:val="24"/>
        </w:rPr>
        <w:t>旨在用于诊断疾病或其他病症，或用于治愈、缓解、治疗或预防人类或其他动物疾病，或</w:t>
      </w:r>
    </w:p>
    <w:p w14:paraId="1EBFF6E5">
      <w:pPr>
        <w:pStyle w:val="21"/>
        <w:numPr>
          <w:ilvl w:val="1"/>
          <w:numId w:val="2"/>
        </w:numPr>
        <w:topLinePunct/>
        <w:adjustRightInd w:val="0"/>
        <w:snapToGrid w:val="0"/>
        <w:spacing w:after="224" w:afterLines="75" w:line="288" w:lineRule="auto"/>
        <w:ind w:left="1203" w:leftChars="327" w:hanging="484" w:hangingChars="202"/>
        <w:jc w:val="both"/>
        <w:rPr>
          <w:rFonts w:ascii="Arial" w:hAnsi="Arial" w:eastAsia="宋体" w:cs="Arial"/>
          <w:snapToGrid w:val="0"/>
          <w:sz w:val="24"/>
          <w:szCs w:val="24"/>
        </w:rPr>
      </w:pPr>
      <w:r>
        <w:rPr>
          <w:rFonts w:hint="eastAsia" w:ascii="Arial" w:hAnsi="Arial" w:eastAsia="宋体" w:cs="Arial"/>
          <w:snapToGrid w:val="0"/>
          <w:sz w:val="24"/>
        </w:rPr>
        <w:t>旨在影响人体或其他动物身体的结构或功能，以及</w:t>
      </w:r>
    </w:p>
    <w:p w14:paraId="098C2EF6">
      <w:pPr>
        <w:topLinePunct/>
        <w:adjustRightInd w:val="0"/>
        <w:snapToGrid w:val="0"/>
        <w:spacing w:after="224" w:afterLines="75" w:line="288" w:lineRule="auto"/>
        <w:ind w:left="719" w:leftChars="327"/>
        <w:jc w:val="both"/>
        <w:rPr>
          <w:rFonts w:ascii="Arial" w:hAnsi="Arial" w:eastAsia="宋体" w:cs="Arial"/>
          <w:snapToGrid w:val="0"/>
          <w:sz w:val="24"/>
          <w:szCs w:val="24"/>
        </w:rPr>
      </w:pPr>
      <w:r>
        <w:rPr>
          <w:rFonts w:hint="eastAsia" w:ascii="Arial" w:hAnsi="Arial" w:eastAsia="宋体" w:cs="Arial"/>
          <w:i/>
          <w:snapToGrid w:val="0"/>
          <w:sz w:val="24"/>
        </w:rPr>
        <w:t>不通过在人体或其他动物身体内或身体上产生化学作用来达到其主要预期目的</w:t>
      </w:r>
      <w:r>
        <w:rPr>
          <w:rFonts w:hint="eastAsia" w:ascii="Arial" w:hAnsi="Arial" w:eastAsia="宋体" w:cs="Arial"/>
          <w:snapToGrid w:val="0"/>
          <w:sz w:val="24"/>
        </w:rPr>
        <w:t>，且不依赖代谢作用来实现其主要预期目的。（着重强调）。</w:t>
      </w:r>
    </w:p>
    <w:p w14:paraId="664FA55A">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根据此定义，如果产品（或者组合产品的组成部分）</w:t>
      </w:r>
      <w:r>
        <w:rPr>
          <w:rStyle w:val="19"/>
          <w:rFonts w:ascii="Arial" w:hAnsi="Arial" w:cs="Arial"/>
          <w:snapToGrid w:val="0"/>
        </w:rPr>
        <w:footnoteReference w:id="1"/>
      </w:r>
      <w:r>
        <w:rPr>
          <w:rFonts w:hint="eastAsia" w:ascii="宋体" w:hAnsi="宋体" w:cs="Arial"/>
          <w:snapToGrid w:val="0"/>
        </w:rPr>
        <w:t>“</w:t>
      </w:r>
      <w:r>
        <w:rPr>
          <w:rFonts w:hint="eastAsia" w:ascii="Arial" w:hAnsi="Arial" w:cs="Arial"/>
          <w:snapToGrid w:val="0"/>
        </w:rPr>
        <w:t>在人体或其他动物身体内或身体上产生化学作用来达到其主要预期目的</w:t>
      </w:r>
      <w:r>
        <w:rPr>
          <w:rFonts w:hint="eastAsia" w:ascii="宋体" w:hAnsi="宋体" w:cs="Arial"/>
          <w:snapToGrid w:val="0"/>
        </w:rPr>
        <w:t>”</w:t>
      </w:r>
      <w:r>
        <w:rPr>
          <w:rFonts w:hint="eastAsia" w:ascii="Arial" w:hAnsi="Arial" w:cs="Arial"/>
          <w:snapToGrid w:val="0"/>
        </w:rPr>
        <w:t>，则其不属于器械。FDA经常收到产品开发商就本机构如何解释此定义中的术语</w:t>
      </w:r>
      <w:r>
        <w:rPr>
          <w:rFonts w:hint="eastAsia" w:ascii="宋体" w:hAnsi="宋体" w:cs="Arial"/>
          <w:snapToGrid w:val="0"/>
        </w:rPr>
        <w:t>“</w:t>
      </w:r>
      <w:r>
        <w:rPr>
          <w:rFonts w:hint="eastAsia" w:ascii="Arial" w:hAnsi="Arial" w:cs="Arial"/>
          <w:snapToGrid w:val="0"/>
        </w:rPr>
        <w:t>化学作用</w:t>
      </w:r>
      <w:r>
        <w:rPr>
          <w:rFonts w:hint="eastAsia" w:ascii="宋体" w:hAnsi="宋体" w:cs="Arial"/>
          <w:snapToGrid w:val="0"/>
        </w:rPr>
        <w:t>”</w:t>
      </w:r>
      <w:r>
        <w:rPr>
          <w:rFonts w:hint="eastAsia" w:ascii="Arial" w:hAnsi="Arial" w:cs="Arial"/>
          <w:snapToGrid w:val="0"/>
        </w:rPr>
        <w:t>提出的问题。本指南描述了本机构对术语</w:t>
      </w:r>
      <w:r>
        <w:rPr>
          <w:rFonts w:hint="eastAsia" w:ascii="宋体" w:hAnsi="宋体" w:cs="Arial"/>
          <w:snapToGrid w:val="0"/>
        </w:rPr>
        <w:t>“</w:t>
      </w:r>
      <w:r>
        <w:rPr>
          <w:rFonts w:hint="eastAsia" w:ascii="Arial" w:hAnsi="Arial" w:cs="Arial"/>
          <w:snapToGrid w:val="0"/>
        </w:rPr>
        <w:t>化学作用</w:t>
      </w:r>
      <w:r>
        <w:rPr>
          <w:rFonts w:hint="eastAsia" w:ascii="宋体" w:hAnsi="宋体" w:cs="Arial"/>
          <w:snapToGrid w:val="0"/>
        </w:rPr>
        <w:t>”</w:t>
      </w:r>
      <w:r>
        <w:rPr>
          <w:rFonts w:hint="eastAsia" w:ascii="Arial" w:hAnsi="Arial" w:cs="Arial"/>
          <w:snapToGrid w:val="0"/>
        </w:rPr>
        <w:t>的解释。但是，必须根据</w:t>
      </w:r>
      <w:r>
        <w:rPr>
          <w:rFonts w:hint="eastAsia" w:ascii="宋体" w:hAnsi="宋体" w:cs="Arial"/>
          <w:snapToGrid w:val="0"/>
        </w:rPr>
        <w:t>“</w:t>
      </w:r>
      <w:r>
        <w:rPr>
          <w:rFonts w:hint="eastAsia" w:ascii="Arial" w:hAnsi="Arial" w:cs="Arial"/>
          <w:snapToGrid w:val="0"/>
        </w:rPr>
        <w:t>器械</w:t>
      </w:r>
      <w:r>
        <w:rPr>
          <w:rFonts w:hint="eastAsia" w:ascii="宋体" w:hAnsi="宋体" w:cs="Arial"/>
          <w:snapToGrid w:val="0"/>
        </w:rPr>
        <w:t>”</w:t>
      </w:r>
      <w:r>
        <w:rPr>
          <w:rFonts w:hint="eastAsia" w:ascii="Arial" w:hAnsi="Arial" w:cs="Arial"/>
          <w:snapToGrid w:val="0"/>
        </w:rPr>
        <w:t>的整体法律定义解释术语</w:t>
      </w:r>
      <w:r>
        <w:rPr>
          <w:rFonts w:hint="eastAsia" w:ascii="宋体" w:hAnsi="宋体" w:cs="Arial"/>
          <w:snapToGrid w:val="0"/>
        </w:rPr>
        <w:t>“</w:t>
      </w:r>
      <w:r>
        <w:rPr>
          <w:rFonts w:hint="eastAsia" w:ascii="Arial" w:hAnsi="Arial" w:cs="Arial"/>
          <w:snapToGrid w:val="0"/>
        </w:rPr>
        <w:t>化学作用</w:t>
      </w:r>
      <w:r>
        <w:rPr>
          <w:rFonts w:hint="eastAsia" w:ascii="宋体" w:hAnsi="宋体" w:cs="Arial"/>
          <w:snapToGrid w:val="0"/>
        </w:rPr>
        <w:t>”</w:t>
      </w:r>
      <w:r>
        <w:rPr>
          <w:rFonts w:hint="eastAsia" w:ascii="Arial" w:hAnsi="Arial" w:cs="Arial"/>
          <w:snapToGrid w:val="0"/>
        </w:rPr>
        <w:t>。如</w:t>
      </w:r>
      <w:r>
        <w:rPr>
          <w:rFonts w:hint="eastAsia" w:ascii="宋体" w:hAnsi="宋体" w:cs="Arial"/>
          <w:snapToGrid w:val="0"/>
        </w:rPr>
        <w:t>“</w:t>
      </w:r>
      <w:r>
        <w:rPr>
          <w:rFonts w:hint="eastAsia" w:ascii="Arial" w:hAnsi="Arial" w:cs="Arial"/>
          <w:i/>
          <w:snapToGrid w:val="0"/>
        </w:rPr>
        <w:t>分类指南草案</w:t>
      </w:r>
      <w:r>
        <w:rPr>
          <w:rFonts w:hint="eastAsia" w:ascii="宋体" w:hAnsi="宋体" w:cs="Arial"/>
          <w:snapToGrid w:val="0"/>
        </w:rPr>
        <w:t>”</w:t>
      </w:r>
      <w:r>
        <w:rPr>
          <w:rFonts w:hint="eastAsia" w:ascii="Arial" w:hAnsi="Arial" w:cs="Arial"/>
          <w:snapToGrid w:val="0"/>
        </w:rPr>
        <w:t>所述，确定产品是否符合器械定义并不仅仅取决于产品是否具有</w:t>
      </w:r>
      <w:r>
        <w:rPr>
          <w:rFonts w:hint="eastAsia" w:ascii="宋体" w:hAnsi="宋体" w:cs="Arial"/>
          <w:snapToGrid w:val="0"/>
        </w:rPr>
        <w:t>“</w:t>
      </w:r>
      <w:r>
        <w:rPr>
          <w:rFonts w:hint="eastAsia" w:ascii="Arial" w:hAnsi="Arial" w:cs="Arial"/>
          <w:snapToGrid w:val="0"/>
        </w:rPr>
        <w:t>化学作用</w:t>
      </w:r>
      <w:r>
        <w:rPr>
          <w:rFonts w:hint="eastAsia" w:ascii="宋体" w:hAnsi="宋体" w:cs="Arial"/>
          <w:snapToGrid w:val="0"/>
        </w:rPr>
        <w:t>”</w:t>
      </w:r>
      <w:r>
        <w:rPr>
          <w:rFonts w:hint="eastAsia" w:ascii="Arial" w:hAnsi="Arial" w:cs="Arial"/>
          <w:snapToGrid w:val="0"/>
        </w:rPr>
        <w:t>。例如，如果可在人体内或人体上产生化学作用的产品通过化学作用“并未达到其主要预期目的”，则该产品可能符合器械定义。</w:t>
      </w:r>
    </w:p>
    <w:p w14:paraId="174C1861">
      <w:pPr>
        <w:topLinePunct/>
        <w:adjustRightInd w:val="0"/>
        <w:snapToGrid w:val="0"/>
        <w:spacing w:after="224" w:afterLines="75" w:line="288" w:lineRule="auto"/>
        <w:jc w:val="both"/>
        <w:rPr>
          <w:rFonts w:ascii="Arial" w:hAnsi="Arial" w:eastAsia="宋体" w:cs="Arial"/>
          <w:snapToGrid w:val="0"/>
          <w:sz w:val="24"/>
          <w:szCs w:val="29"/>
        </w:rPr>
      </w:pPr>
      <w:bookmarkStart w:id="4" w:name="_bookmark1"/>
      <w:bookmarkEnd w:id="4"/>
      <w:r>
        <w:rPr>
          <w:rFonts w:ascii="Arial" w:hAnsi="Arial" w:eastAsia="宋体" w:cs="Arial"/>
          <w:snapToGrid w:val="0"/>
          <w:sz w:val="24"/>
          <w:szCs w:val="20"/>
        </w:rPr>
        <w:br w:type="page"/>
      </w:r>
    </w:p>
    <w:p w14:paraId="1E738E18">
      <w:pPr>
        <w:pStyle w:val="4"/>
        <w:numPr>
          <w:ilvl w:val="0"/>
          <w:numId w:val="2"/>
        </w:numPr>
        <w:tabs>
          <w:tab w:val="left" w:pos="581"/>
        </w:tabs>
        <w:topLinePunct/>
        <w:adjustRightInd w:val="0"/>
        <w:snapToGrid w:val="0"/>
        <w:spacing w:after="224" w:afterLines="75" w:line="288" w:lineRule="auto"/>
        <w:ind w:left="0" w:firstLine="0"/>
        <w:jc w:val="both"/>
        <w:rPr>
          <w:rFonts w:ascii="Arial" w:hAnsi="Arial" w:cs="Arial"/>
          <w:b w:val="0"/>
          <w:bCs w:val="0"/>
          <w:snapToGrid w:val="0"/>
          <w:sz w:val="28"/>
        </w:rPr>
      </w:pPr>
      <w:bookmarkStart w:id="5" w:name="_TOC_250006"/>
      <w:r>
        <w:rPr>
          <w:rFonts w:hint="eastAsia" w:ascii="Arial" w:hAnsi="Arial" w:cs="Arial"/>
          <w:snapToGrid w:val="0"/>
          <w:sz w:val="28"/>
        </w:rPr>
        <w:t>什么是</w:t>
      </w:r>
      <w:r>
        <w:rPr>
          <w:rFonts w:hint="eastAsia" w:ascii="宋体" w:hAnsi="宋体" w:cs="Arial"/>
          <w:snapToGrid w:val="0"/>
          <w:sz w:val="28"/>
        </w:rPr>
        <w:t>“</w:t>
      </w:r>
      <w:r>
        <w:rPr>
          <w:rFonts w:hint="eastAsia" w:ascii="Arial" w:hAnsi="Arial" w:cs="Arial"/>
          <w:snapToGrid w:val="0"/>
          <w:sz w:val="28"/>
        </w:rPr>
        <w:t>化学作用</w:t>
      </w:r>
      <w:r>
        <w:rPr>
          <w:rFonts w:hint="eastAsia" w:ascii="宋体" w:hAnsi="宋体" w:cs="Arial"/>
          <w:snapToGrid w:val="0"/>
          <w:sz w:val="28"/>
        </w:rPr>
        <w:t>”</w:t>
      </w:r>
      <w:r>
        <w:rPr>
          <w:rFonts w:hint="eastAsia" w:ascii="Arial" w:hAnsi="Arial" w:cs="Arial"/>
          <w:snapToGrid w:val="0"/>
          <w:sz w:val="28"/>
        </w:rPr>
        <w:t>？</w:t>
      </w:r>
      <w:bookmarkEnd w:id="5"/>
    </w:p>
    <w:p w14:paraId="2E5C7C27">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根据本机构的解释，就FD&amp;C法案第201（h）条的规定而言，如果出现以下情况，则认为产品可产生</w:t>
      </w:r>
      <w:r>
        <w:rPr>
          <w:rFonts w:hint="eastAsia" w:ascii="宋体" w:hAnsi="宋体" w:cs="Arial"/>
          <w:snapToGrid w:val="0"/>
        </w:rPr>
        <w:t>“</w:t>
      </w:r>
      <w:r>
        <w:rPr>
          <w:rFonts w:hint="eastAsia" w:ascii="Arial" w:hAnsi="Arial" w:cs="Arial"/>
          <w:snapToGrid w:val="0"/>
        </w:rPr>
        <w:t>化学作用</w:t>
      </w:r>
      <w:r>
        <w:rPr>
          <w:rFonts w:hint="eastAsia" w:ascii="宋体" w:hAnsi="宋体" w:cs="Arial"/>
          <w:snapToGrid w:val="0"/>
        </w:rPr>
        <w:t>”</w:t>
      </w:r>
      <w:r>
        <w:rPr>
          <w:rFonts w:hint="eastAsia" w:ascii="Arial" w:hAnsi="Arial" w:cs="Arial"/>
          <w:snapToGrid w:val="0"/>
        </w:rPr>
        <w:t>：</w:t>
      </w:r>
    </w:p>
    <w:p w14:paraId="07A73311">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通过化学反应或分子间作用力或两者，</w:t>
      </w:r>
      <w:r>
        <w:rPr>
          <w:rStyle w:val="19"/>
          <w:rFonts w:ascii="Arial" w:hAnsi="Arial" w:cs="Arial"/>
          <w:snapToGrid w:val="0"/>
        </w:rPr>
        <w:footnoteReference w:id="2"/>
      </w:r>
      <w:r>
        <w:rPr>
          <w:rFonts w:hint="eastAsia" w:ascii="Arial" w:hAnsi="Arial" w:cs="Arial"/>
          <w:snapToGrid w:val="0"/>
        </w:rPr>
        <w:t>该产品：</w:t>
      </w:r>
    </w:p>
    <w:p w14:paraId="2791B8CB">
      <w:pPr>
        <w:pStyle w:val="21"/>
        <w:numPr>
          <w:ilvl w:val="0"/>
          <w:numId w:val="3"/>
        </w:numPr>
        <w:topLinePunct/>
        <w:adjustRightInd w:val="0"/>
        <w:snapToGrid w:val="0"/>
        <w:spacing w:after="224" w:afterLines="75" w:line="288" w:lineRule="auto"/>
        <w:ind w:left="1843" w:leftChars="654" w:hanging="404"/>
        <w:jc w:val="both"/>
        <w:rPr>
          <w:rFonts w:ascii="Arial" w:hAnsi="Arial" w:eastAsia="宋体" w:cs="Arial"/>
          <w:snapToGrid w:val="0"/>
          <w:sz w:val="24"/>
          <w:szCs w:val="24"/>
        </w:rPr>
      </w:pPr>
      <w:r>
        <w:rPr>
          <w:rFonts w:hint="eastAsia" w:ascii="Arial" w:hAnsi="Arial" w:eastAsia="宋体" w:cs="Arial"/>
          <w:snapToGrid w:val="0"/>
          <w:sz w:val="24"/>
        </w:rPr>
        <w:t>可介导细胞或</w:t>
      </w:r>
      <w:bookmarkStart w:id="6" w:name="OLE_LINK2"/>
      <w:bookmarkStart w:id="7" w:name="OLE_LINK3"/>
      <w:bookmarkStart w:id="8" w:name="OLE_LINK1"/>
      <w:r>
        <w:rPr>
          <w:rFonts w:hint="eastAsia" w:ascii="Arial" w:hAnsi="Arial" w:eastAsia="宋体" w:cs="Arial"/>
          <w:snapToGrid w:val="0"/>
          <w:sz w:val="24"/>
        </w:rPr>
        <w:t>分子级</w:t>
      </w:r>
      <w:bookmarkEnd w:id="6"/>
      <w:bookmarkEnd w:id="7"/>
      <w:r>
        <w:rPr>
          <w:rFonts w:hint="eastAsia" w:ascii="Arial" w:hAnsi="Arial" w:eastAsia="宋体" w:cs="Arial"/>
          <w:snapToGrid w:val="0"/>
          <w:sz w:val="24"/>
        </w:rPr>
        <w:t>身体反应</w:t>
      </w:r>
      <w:bookmarkEnd w:id="8"/>
      <w:r>
        <w:rPr>
          <w:rFonts w:hint="eastAsia" w:ascii="Arial" w:hAnsi="Arial" w:eastAsia="宋体" w:cs="Arial"/>
          <w:snapToGrid w:val="0"/>
          <w:sz w:val="24"/>
        </w:rPr>
        <w:t>，或</w:t>
      </w:r>
    </w:p>
    <w:p w14:paraId="279E6AD1">
      <w:pPr>
        <w:pStyle w:val="21"/>
        <w:numPr>
          <w:ilvl w:val="0"/>
          <w:numId w:val="3"/>
        </w:numPr>
        <w:topLinePunct/>
        <w:adjustRightInd w:val="0"/>
        <w:snapToGrid w:val="0"/>
        <w:spacing w:after="224" w:afterLines="75" w:line="288" w:lineRule="auto"/>
        <w:ind w:left="1843" w:leftChars="654" w:hanging="404"/>
        <w:jc w:val="both"/>
        <w:rPr>
          <w:rFonts w:ascii="Arial" w:hAnsi="Arial" w:eastAsia="宋体" w:cs="Arial"/>
          <w:snapToGrid w:val="0"/>
          <w:sz w:val="24"/>
          <w:szCs w:val="16"/>
        </w:rPr>
      </w:pPr>
      <w:r>
        <w:rPr>
          <w:rFonts w:hint="eastAsia" w:ascii="Arial" w:hAnsi="Arial" w:eastAsia="宋体" w:cs="Arial"/>
          <w:snapToGrid w:val="0"/>
          <w:sz w:val="24"/>
        </w:rPr>
        <w:t>与实体</w:t>
      </w:r>
      <w:r>
        <w:rPr>
          <w:rFonts w:hint="eastAsia" w:ascii="Arial" w:hAnsi="Arial" w:eastAsia="宋体" w:cs="Arial"/>
          <w:snapToGrid w:val="0"/>
          <w:sz w:val="24"/>
          <w:szCs w:val="24"/>
        </w:rPr>
        <w:t>结合或修改实体，进而改变实体与人体或其他动物身体的相互作用。</w:t>
      </w:r>
      <w:r>
        <w:rPr>
          <w:rStyle w:val="19"/>
          <w:rFonts w:ascii="Arial" w:hAnsi="Arial" w:eastAsia="宋体" w:cs="Arial"/>
          <w:snapToGrid w:val="0"/>
          <w:sz w:val="24"/>
          <w:szCs w:val="24"/>
        </w:rPr>
        <w:footnoteReference w:id="3"/>
      </w:r>
    </w:p>
    <w:p w14:paraId="3ABCD70C">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例如，当产品通过分子间作用力与受体结合，从而启动或抑制体内某种类型细胞中的信号级联反应时，该产品可产生</w:t>
      </w:r>
      <w:r>
        <w:rPr>
          <w:rFonts w:hint="eastAsia" w:ascii="宋体" w:hAnsi="宋体" w:cs="Arial"/>
          <w:snapToGrid w:val="0"/>
        </w:rPr>
        <w:t>“</w:t>
      </w:r>
      <w:r>
        <w:rPr>
          <w:rFonts w:hint="eastAsia" w:ascii="Arial" w:hAnsi="Arial" w:cs="Arial"/>
          <w:snapToGrid w:val="0"/>
        </w:rPr>
        <w:t>化学作用</w:t>
      </w:r>
      <w:r>
        <w:rPr>
          <w:rFonts w:hint="eastAsia" w:ascii="宋体" w:hAnsi="宋体" w:cs="Arial"/>
          <w:snapToGrid w:val="0"/>
        </w:rPr>
        <w:t>”</w:t>
      </w:r>
      <w:r>
        <w:rPr>
          <w:rFonts w:hint="eastAsia" w:ascii="Arial" w:hAnsi="Arial" w:cs="Arial"/>
          <w:snapToGrid w:val="0"/>
        </w:rPr>
        <w:t>，因为其通过分子间作用力介导细胞或分子级身体反应。同样，通过化学反应与化学试剂结合，抑制试剂对身体的作用的产品可产生</w:t>
      </w:r>
      <w:r>
        <w:rPr>
          <w:rFonts w:hint="eastAsia" w:ascii="宋体" w:hAnsi="宋体" w:cs="Arial"/>
          <w:snapToGrid w:val="0"/>
        </w:rPr>
        <w:t>“</w:t>
      </w:r>
      <w:r>
        <w:rPr>
          <w:rFonts w:hint="eastAsia" w:ascii="Arial" w:hAnsi="Arial" w:cs="Arial"/>
          <w:snapToGrid w:val="0"/>
        </w:rPr>
        <w:t>化学作用</w:t>
      </w:r>
      <w:r>
        <w:rPr>
          <w:rFonts w:hint="eastAsia" w:ascii="宋体" w:hAnsi="宋体" w:cs="Arial"/>
          <w:snapToGrid w:val="0"/>
        </w:rPr>
        <w:t>”</w:t>
      </w:r>
      <w:r>
        <w:rPr>
          <w:rFonts w:hint="eastAsia" w:ascii="Arial" w:hAnsi="Arial" w:cs="Arial"/>
          <w:snapToGrid w:val="0"/>
        </w:rPr>
        <w:t>，因为其可通过化学反应与实体（化学试剂）结合，进而改变该实体与身体的相互作用。</w:t>
      </w:r>
    </w:p>
    <w:p w14:paraId="04969F54">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由于存在此类因素，术语</w:t>
      </w:r>
      <w:r>
        <w:rPr>
          <w:rFonts w:hint="eastAsia" w:ascii="宋体" w:hAnsi="宋体" w:cs="Arial"/>
          <w:snapToGrid w:val="0"/>
        </w:rPr>
        <w:t>“</w:t>
      </w:r>
      <w:r>
        <w:rPr>
          <w:rFonts w:hint="eastAsia" w:ascii="Arial" w:hAnsi="Arial" w:cs="Arial"/>
          <w:snapToGrid w:val="0"/>
        </w:rPr>
        <w:t>化学反应</w:t>
      </w:r>
      <w:r>
        <w:rPr>
          <w:rFonts w:hint="eastAsia" w:ascii="宋体" w:hAnsi="宋体" w:cs="Arial"/>
          <w:snapToGrid w:val="0"/>
        </w:rPr>
        <w:t>”</w:t>
      </w:r>
      <w:r>
        <w:rPr>
          <w:rFonts w:hint="eastAsia" w:ascii="Arial" w:hAnsi="Arial" w:cs="Arial"/>
          <w:snapToGrid w:val="0"/>
        </w:rPr>
        <w:t>是指共价键或离子键的形成或断裂，且</w:t>
      </w:r>
      <w:r>
        <w:rPr>
          <w:rFonts w:hint="eastAsia" w:ascii="宋体" w:hAnsi="宋体" w:cs="Arial"/>
          <w:snapToGrid w:val="0"/>
        </w:rPr>
        <w:t>“</w:t>
      </w:r>
      <w:r>
        <w:rPr>
          <w:rFonts w:hint="eastAsia" w:ascii="Arial" w:hAnsi="Arial" w:cs="Arial"/>
          <w:snapToGrid w:val="0"/>
        </w:rPr>
        <w:t>分子间作用力</w:t>
      </w:r>
      <w:r>
        <w:rPr>
          <w:rFonts w:hint="eastAsia" w:ascii="宋体" w:hAnsi="宋体" w:cs="Arial"/>
          <w:snapToGrid w:val="0"/>
        </w:rPr>
        <w:t>”</w:t>
      </w:r>
      <w:r>
        <w:rPr>
          <w:rStyle w:val="19"/>
          <w:rFonts w:ascii="宋体" w:hAnsi="宋体" w:cs="Arial"/>
          <w:snapToGrid w:val="0"/>
        </w:rPr>
        <w:footnoteReference w:id="4"/>
      </w:r>
      <w:r>
        <w:rPr>
          <w:rFonts w:hint="eastAsia" w:ascii="Arial" w:hAnsi="Arial" w:cs="Arial"/>
          <w:snapToGrid w:val="0"/>
        </w:rPr>
        <w:t>是指静电相互作用或由原子和／或分子间的局部短程电场的相互作用产生的作用力。分子间作用力包括离子—偶极相互作用，永久偶极基相互作用和诱导偶极—诱导偶极力。</w:t>
      </w:r>
    </w:p>
    <w:p w14:paraId="62BA5994">
      <w:pPr>
        <w:topLinePunct/>
        <w:adjustRightInd w:val="0"/>
        <w:snapToGrid w:val="0"/>
        <w:spacing w:after="224" w:afterLines="75" w:line="288" w:lineRule="auto"/>
        <w:jc w:val="both"/>
        <w:rPr>
          <w:rFonts w:ascii="Arial" w:hAnsi="Arial" w:eastAsia="宋体" w:cs="Arial"/>
          <w:snapToGrid w:val="0"/>
          <w:sz w:val="24"/>
          <w:szCs w:val="28"/>
        </w:rPr>
      </w:pPr>
      <w:r>
        <w:rPr>
          <w:rFonts w:hint="eastAsia" w:ascii="Arial" w:hAnsi="Arial" w:eastAsia="宋体" w:cs="Arial"/>
          <w:snapToGrid w:val="0"/>
          <w:sz w:val="24"/>
          <w:szCs w:val="24"/>
        </w:rPr>
        <w:t>根据此方法，即使产品可产生共价键结、离子键结和分子间作用力，但其未通过该共价键结、离子键结或分子间相互作用介导细胞或分子级身体反应，或与实体结合或修改实体，进而改变该实体与身体的相互作用，则其无法产生</w:t>
      </w:r>
      <w:r>
        <w:rPr>
          <w:rFonts w:ascii="Arial" w:hAnsi="Arial" w:eastAsia="宋体" w:cs="Arial"/>
          <w:snapToGrid w:val="0"/>
          <w:sz w:val="24"/>
          <w:szCs w:val="24"/>
        </w:rPr>
        <w:t>201</w:t>
      </w:r>
      <w:r>
        <w:rPr>
          <w:rFonts w:hint="eastAsia" w:ascii="Arial" w:hAnsi="Arial" w:eastAsia="宋体" w:cs="Arial"/>
          <w:snapToGrid w:val="0"/>
          <w:sz w:val="24"/>
          <w:szCs w:val="24"/>
        </w:rPr>
        <w:t>（</w:t>
      </w:r>
      <w:r>
        <w:rPr>
          <w:rFonts w:ascii="Arial" w:hAnsi="Arial" w:eastAsia="宋体" w:cs="Arial"/>
          <w:snapToGrid w:val="0"/>
          <w:sz w:val="24"/>
          <w:szCs w:val="24"/>
        </w:rPr>
        <w:t>h</w:t>
      </w:r>
      <w:r>
        <w:rPr>
          <w:rFonts w:hint="eastAsia" w:ascii="Arial" w:hAnsi="Arial" w:eastAsia="宋体" w:cs="Arial"/>
          <w:snapToGrid w:val="0"/>
          <w:sz w:val="24"/>
          <w:szCs w:val="24"/>
        </w:rPr>
        <w:t>）所述的“化学作用”。例如，用于填充牙齿挖空区域以治疗龋齿的牙科器械可以通过共价键与牙齿结合，或者部分依赖分子间作用力将液体或浆体变成固体形式。然而，该产品并不会通过此类化学反应来介导细胞或分子级身体反应，或者与实体结合或修改实体，进而改变该实体与身体的相互作用。</w:t>
      </w:r>
      <w:r>
        <w:rPr>
          <w:rFonts w:ascii="Arial" w:hAnsi="Arial" w:eastAsia="宋体" w:cs="Arial"/>
          <w:snapToGrid w:val="0"/>
          <w:sz w:val="24"/>
          <w:szCs w:val="20"/>
        </w:rPr>
        <w:br w:type="page"/>
      </w:r>
    </w:p>
    <w:p w14:paraId="1EF40FA5">
      <w:pPr>
        <w:pStyle w:val="5"/>
        <w:topLinePunct/>
        <w:adjustRightInd w:val="0"/>
        <w:snapToGrid w:val="0"/>
        <w:spacing w:after="224" w:afterLines="75" w:line="288" w:lineRule="auto"/>
        <w:ind w:left="0"/>
        <w:jc w:val="both"/>
        <w:rPr>
          <w:rFonts w:ascii="Arial" w:hAnsi="Arial" w:cs="Arial"/>
          <w:snapToGrid w:val="0"/>
        </w:rPr>
      </w:pPr>
      <w:r>
        <w:rPr>
          <w:rStyle w:val="19"/>
          <w:rFonts w:ascii="Arial" w:hAnsi="Arial" w:cs="Arial"/>
          <w:snapToGrid w:val="0"/>
        </w:rPr>
        <w:footnoteReference w:id="5"/>
      </w:r>
      <w:r>
        <w:rPr>
          <w:rFonts w:hint="eastAsia" w:ascii="Arial" w:hAnsi="Arial" w:cs="Arial"/>
          <w:snapToGrid w:val="0"/>
        </w:rPr>
        <w:t>因此，FDA不认为此类牙科器械可产生201（h）所述的</w:t>
      </w:r>
      <w:r>
        <w:rPr>
          <w:rFonts w:hint="eastAsia" w:ascii="宋体" w:hAnsi="宋体" w:cs="Arial"/>
          <w:snapToGrid w:val="0"/>
        </w:rPr>
        <w:t>“</w:t>
      </w:r>
      <w:r>
        <w:rPr>
          <w:rFonts w:hint="eastAsia" w:ascii="Arial" w:hAnsi="Arial" w:cs="Arial"/>
          <w:snapToGrid w:val="0"/>
        </w:rPr>
        <w:t>化学作用</w:t>
      </w:r>
      <w:r>
        <w:rPr>
          <w:rFonts w:hint="eastAsia" w:ascii="宋体" w:hAnsi="宋体" w:cs="Arial"/>
          <w:snapToGrid w:val="0"/>
        </w:rPr>
        <w:t>”</w:t>
      </w:r>
      <w:r>
        <w:rPr>
          <w:rFonts w:hint="eastAsia" w:ascii="Arial" w:hAnsi="Arial" w:cs="Arial"/>
          <w:snapToGrid w:val="0"/>
        </w:rPr>
        <w:t>。</w:t>
      </w:r>
    </w:p>
    <w:p w14:paraId="5FB4A480">
      <w:pPr>
        <w:pStyle w:val="4"/>
        <w:numPr>
          <w:ilvl w:val="0"/>
          <w:numId w:val="2"/>
        </w:numPr>
        <w:tabs>
          <w:tab w:val="left" w:pos="567"/>
        </w:tabs>
        <w:topLinePunct/>
        <w:adjustRightInd w:val="0"/>
        <w:snapToGrid w:val="0"/>
        <w:spacing w:after="224" w:afterLines="75" w:line="288" w:lineRule="auto"/>
        <w:ind w:left="0" w:firstLine="0"/>
        <w:jc w:val="both"/>
        <w:rPr>
          <w:rFonts w:ascii="Arial" w:hAnsi="Arial" w:cs="Arial"/>
          <w:b w:val="0"/>
          <w:bCs w:val="0"/>
          <w:snapToGrid w:val="0"/>
          <w:sz w:val="28"/>
        </w:rPr>
      </w:pPr>
      <w:bookmarkStart w:id="9" w:name="_bookmark2"/>
      <w:bookmarkEnd w:id="9"/>
      <w:bookmarkStart w:id="10" w:name="_bookmark3"/>
      <w:bookmarkEnd w:id="10"/>
      <w:bookmarkStart w:id="11" w:name="_bookmark4"/>
      <w:bookmarkEnd w:id="11"/>
      <w:bookmarkStart w:id="12" w:name="_TOC_250005"/>
      <w:r>
        <w:rPr>
          <w:rFonts w:hint="eastAsia" w:ascii="宋体" w:hAnsi="宋体" w:cs="Arial"/>
          <w:snapToGrid w:val="0"/>
          <w:sz w:val="28"/>
        </w:rPr>
        <w:t>“</w:t>
      </w:r>
      <w:r>
        <w:rPr>
          <w:rFonts w:hint="eastAsia" w:ascii="Arial" w:hAnsi="Arial" w:cs="Arial"/>
          <w:snapToGrid w:val="0"/>
          <w:sz w:val="28"/>
        </w:rPr>
        <w:t>化学作用</w:t>
      </w:r>
      <w:r>
        <w:rPr>
          <w:rFonts w:hint="eastAsia" w:ascii="宋体" w:hAnsi="宋体" w:cs="Arial"/>
          <w:snapToGrid w:val="0"/>
          <w:sz w:val="28"/>
        </w:rPr>
        <w:t>”</w:t>
      </w:r>
      <w:r>
        <w:rPr>
          <w:rFonts w:hint="eastAsia" w:ascii="Arial" w:hAnsi="Arial" w:cs="Arial"/>
          <w:snapToGrid w:val="0"/>
          <w:sz w:val="28"/>
        </w:rPr>
        <w:t>示例</w:t>
      </w:r>
      <w:bookmarkEnd w:id="12"/>
    </w:p>
    <w:p w14:paraId="0103D147">
      <w:pPr>
        <w:pStyle w:val="5"/>
        <w:topLinePunct/>
        <w:adjustRightInd w:val="0"/>
        <w:snapToGrid w:val="0"/>
        <w:spacing w:after="224" w:afterLines="75" w:line="288" w:lineRule="auto"/>
        <w:ind w:left="0"/>
        <w:jc w:val="both"/>
        <w:rPr>
          <w:rFonts w:ascii="Arial" w:hAnsi="Arial" w:cs="Arial"/>
          <w:snapToGrid w:val="0"/>
          <w:szCs w:val="16"/>
        </w:rPr>
      </w:pPr>
      <w:r>
        <w:rPr>
          <w:rFonts w:hint="eastAsia" w:ascii="Arial" w:hAnsi="Arial" w:cs="Arial"/>
          <w:snapToGrid w:val="0"/>
        </w:rPr>
        <w:t>以下是根据第III节所述方法产生</w:t>
      </w:r>
      <w:r>
        <w:rPr>
          <w:rFonts w:hint="eastAsia" w:ascii="宋体" w:hAnsi="宋体" w:cs="Arial"/>
          <w:snapToGrid w:val="0"/>
        </w:rPr>
        <w:t>“</w:t>
      </w:r>
      <w:r>
        <w:rPr>
          <w:rFonts w:hint="eastAsia" w:ascii="Arial" w:hAnsi="Arial" w:cs="Arial"/>
          <w:snapToGrid w:val="0"/>
        </w:rPr>
        <w:t>化学作用</w:t>
      </w:r>
      <w:r>
        <w:rPr>
          <w:rFonts w:hint="eastAsia" w:ascii="宋体" w:hAnsi="宋体" w:cs="Arial"/>
          <w:snapToGrid w:val="0"/>
        </w:rPr>
        <w:t>”</w:t>
      </w:r>
      <w:r>
        <w:rPr>
          <w:rFonts w:hint="eastAsia" w:ascii="Arial" w:hAnsi="Arial" w:cs="Arial"/>
          <w:snapToGrid w:val="0"/>
        </w:rPr>
        <w:t>的产品示例。</w:t>
      </w:r>
      <w:r>
        <w:rPr>
          <w:rStyle w:val="19"/>
          <w:rFonts w:ascii="Arial" w:hAnsi="Arial" w:cs="Arial"/>
          <w:snapToGrid w:val="0"/>
        </w:rPr>
        <w:footnoteReference w:id="6"/>
      </w:r>
    </w:p>
    <w:p w14:paraId="5EE6AB75">
      <w:pPr>
        <w:pStyle w:val="4"/>
        <w:numPr>
          <w:ilvl w:val="0"/>
          <w:numId w:val="4"/>
        </w:numPr>
        <w:topLinePunct/>
        <w:adjustRightInd w:val="0"/>
        <w:snapToGrid w:val="0"/>
        <w:spacing w:after="224" w:afterLines="75" w:line="288" w:lineRule="auto"/>
        <w:ind w:left="1276" w:leftChars="327" w:hanging="557"/>
        <w:jc w:val="both"/>
        <w:rPr>
          <w:rFonts w:ascii="Arial" w:hAnsi="Arial" w:cs="Arial"/>
          <w:b w:val="0"/>
          <w:bCs w:val="0"/>
          <w:snapToGrid w:val="0"/>
        </w:rPr>
      </w:pPr>
      <w:bookmarkStart w:id="13" w:name="_TOC_250004"/>
      <w:r>
        <w:rPr>
          <w:rFonts w:hint="eastAsia" w:ascii="Arial" w:hAnsi="Arial" w:cs="Arial"/>
          <w:snapToGrid w:val="0"/>
        </w:rPr>
        <w:t>产品通过化学反应介导细胞或分子级身体反应：</w:t>
      </w:r>
      <w:bookmarkEnd w:id="13"/>
    </w:p>
    <w:p w14:paraId="6C1C38B9">
      <w:pPr>
        <w:pStyle w:val="21"/>
        <w:numPr>
          <w:ilvl w:val="1"/>
          <w:numId w:val="4"/>
        </w:numPr>
        <w:topLinePunct/>
        <w:adjustRightInd w:val="0"/>
        <w:snapToGrid w:val="0"/>
        <w:spacing w:after="224" w:afterLines="75" w:line="288" w:lineRule="auto"/>
        <w:ind w:left="1274" w:leftChars="386" w:hanging="425"/>
        <w:jc w:val="both"/>
        <w:rPr>
          <w:rFonts w:ascii="Arial" w:hAnsi="Arial" w:eastAsia="宋体" w:cs="Arial"/>
          <w:snapToGrid w:val="0"/>
          <w:sz w:val="24"/>
          <w:szCs w:val="24"/>
        </w:rPr>
      </w:pPr>
      <w:r>
        <w:rPr>
          <w:rFonts w:hint="eastAsia" w:ascii="Arial" w:hAnsi="Arial" w:eastAsia="宋体" w:cs="Arial"/>
          <w:i/>
          <w:snapToGrid w:val="0"/>
          <w:sz w:val="24"/>
          <w:szCs w:val="24"/>
        </w:rPr>
        <w:t>原子或分子基团间形成共价键。</w:t>
      </w:r>
      <w:r>
        <w:rPr>
          <w:rFonts w:hint="eastAsia" w:ascii="Arial" w:hAnsi="Arial" w:eastAsia="宋体" w:cs="Arial"/>
          <w:snapToGrid w:val="0"/>
          <w:sz w:val="24"/>
          <w:szCs w:val="24"/>
        </w:rPr>
        <w:t>药物乙酰水杨酸（阿司匹林）发生化学反应，其中，阿司匹林通过共价键结将乙酰基给予环氧合酶（COX-1或COX-2）的活性位点中的丝氨酸残基，然后介导细胞级身体反应。具体来说，乙酰基与COX-1或COX-2的共价键结使酶失活，从而抑制身体的炎症反应。</w:t>
      </w:r>
    </w:p>
    <w:p w14:paraId="71C29E16">
      <w:pPr>
        <w:topLinePunct/>
        <w:adjustRightInd w:val="0"/>
        <w:snapToGrid w:val="0"/>
        <w:spacing w:after="224" w:afterLines="75" w:line="288" w:lineRule="auto"/>
        <w:ind w:left="1276"/>
        <w:jc w:val="both"/>
        <w:rPr>
          <w:rFonts w:ascii="Arial" w:hAnsi="Arial" w:eastAsia="宋体" w:cs="Arial"/>
          <w:snapToGrid w:val="0"/>
          <w:sz w:val="24"/>
          <w:szCs w:val="24"/>
        </w:rPr>
      </w:pPr>
      <w:r>
        <w:rPr>
          <w:rFonts w:hint="eastAsia" w:ascii="Arial" w:hAnsi="Arial" w:cs="Arial"/>
          <w:i/>
          <w:snapToGrid w:val="0"/>
        </w:rPr>
        <w:t>催化作用。</w:t>
      </w:r>
      <w:r>
        <w:rPr>
          <w:rFonts w:hint="eastAsia" w:ascii="Arial" w:hAnsi="Arial" w:eastAsia="宋体" w:cs="Arial"/>
          <w:snapToGrid w:val="0"/>
          <w:sz w:val="24"/>
          <w:szCs w:val="24"/>
        </w:rPr>
        <w:t>在催化反应中，催化剂通过分子间作用力（如下所述）或通过与反应底物进行可逆共价键结来参与瞬时相互作用（即，其不被消耗或不会因反应而永久变化）。用作镁缺乏症替代疗法的药物硫酸镁属于催化剂。其与酶一起或在与酶结合后充当电解质和反应辅助因子，且通过分子间作用力和／或共价键结，产品可通过催化身体的许多酶促反应来介导细胞或分子级身体反应，而在此过程期间，其自身的化学或原子结构并未改变。</w:t>
      </w:r>
    </w:p>
    <w:p w14:paraId="1B2A0BDF">
      <w:pPr>
        <w:pStyle w:val="4"/>
        <w:numPr>
          <w:ilvl w:val="0"/>
          <w:numId w:val="4"/>
        </w:numPr>
        <w:topLinePunct/>
        <w:adjustRightInd w:val="0"/>
        <w:snapToGrid w:val="0"/>
        <w:spacing w:after="224" w:afterLines="75" w:line="288" w:lineRule="auto"/>
        <w:ind w:left="1276" w:leftChars="327" w:hanging="557"/>
        <w:jc w:val="both"/>
        <w:rPr>
          <w:rFonts w:ascii="Arial" w:hAnsi="Arial" w:cs="Arial"/>
          <w:b w:val="0"/>
          <w:bCs w:val="0"/>
          <w:snapToGrid w:val="0"/>
        </w:rPr>
      </w:pPr>
      <w:bookmarkStart w:id="14" w:name="_TOC_250003"/>
      <w:r>
        <w:rPr>
          <w:rFonts w:hint="eastAsia" w:ascii="Arial" w:hAnsi="Arial" w:cs="Arial"/>
          <w:snapToGrid w:val="0"/>
        </w:rPr>
        <w:t>产品通过分子间作用力介导细胞或分子级身体反应：</w:t>
      </w:r>
      <w:bookmarkEnd w:id="14"/>
    </w:p>
    <w:p w14:paraId="6BC0F1FE">
      <w:pPr>
        <w:pStyle w:val="21"/>
        <w:numPr>
          <w:ilvl w:val="1"/>
          <w:numId w:val="4"/>
        </w:numPr>
        <w:topLinePunct/>
        <w:adjustRightInd w:val="0"/>
        <w:snapToGrid w:val="0"/>
        <w:spacing w:after="224" w:afterLines="75" w:line="288" w:lineRule="auto"/>
        <w:ind w:left="1274" w:leftChars="386" w:hanging="425"/>
        <w:jc w:val="both"/>
        <w:rPr>
          <w:rFonts w:ascii="Arial" w:hAnsi="Arial" w:eastAsia="宋体" w:cs="Arial"/>
          <w:snapToGrid w:val="0"/>
          <w:sz w:val="24"/>
          <w:szCs w:val="24"/>
        </w:rPr>
      </w:pPr>
      <w:r>
        <w:rPr>
          <w:rFonts w:hint="eastAsia" w:ascii="Arial" w:hAnsi="Arial" w:eastAsia="宋体" w:cs="Arial"/>
          <w:i/>
          <w:snapToGrid w:val="0"/>
          <w:sz w:val="24"/>
          <w:szCs w:val="24"/>
        </w:rPr>
        <w:t>化学试剂与分子靶标／受体选择性结合。</w:t>
      </w:r>
      <w:r>
        <w:rPr>
          <w:rFonts w:hint="eastAsia" w:ascii="Arial" w:hAnsi="Arial" w:eastAsia="宋体" w:cs="Arial"/>
          <w:snapToGrid w:val="0"/>
          <w:sz w:val="24"/>
          <w:szCs w:val="24"/>
        </w:rPr>
        <w:t>这种作用至少部分通过分子间作用力进行。分子间作用力通过促成结合作用的立体化学来介导身体反应。这些作用力可帮助化学实体符合受体分子结构的形状，从而使得化学实体可与受体结合。这种相互作用的示例是小分子，其与细胞膜受体结合，以激活或阻断分子信号级联反应，从而改变生理反应。通过这种机制生效的产品包括一些熟知类别的药物，如β-受体阻滞剂（降低心脏收缩强度和心率）、多巴胺受体拮抗剂（治疗运动障碍）和阿片类药物（治疗疼痛）。</w:t>
      </w:r>
    </w:p>
    <w:p w14:paraId="211D43D5">
      <w:pPr>
        <w:topLinePunct/>
        <w:adjustRightInd w:val="0"/>
        <w:snapToGrid w:val="0"/>
        <w:spacing w:after="224" w:afterLines="75" w:line="288" w:lineRule="auto"/>
        <w:jc w:val="both"/>
        <w:rPr>
          <w:rFonts w:ascii="Arial" w:hAnsi="Arial" w:eastAsia="宋体" w:cs="Arial"/>
          <w:snapToGrid w:val="0"/>
          <w:sz w:val="24"/>
          <w:szCs w:val="28"/>
        </w:rPr>
      </w:pPr>
      <w:r>
        <w:rPr>
          <w:rFonts w:ascii="Arial" w:hAnsi="Arial" w:eastAsia="宋体" w:cs="Arial"/>
          <w:snapToGrid w:val="0"/>
          <w:sz w:val="24"/>
          <w:szCs w:val="20"/>
        </w:rPr>
        <w:br w:type="page"/>
      </w:r>
    </w:p>
    <w:p w14:paraId="1D85854A">
      <w:pPr>
        <w:pStyle w:val="21"/>
        <w:numPr>
          <w:ilvl w:val="1"/>
          <w:numId w:val="4"/>
        </w:numPr>
        <w:topLinePunct/>
        <w:adjustRightInd w:val="0"/>
        <w:snapToGrid w:val="0"/>
        <w:spacing w:after="224" w:afterLines="75" w:line="288" w:lineRule="auto"/>
        <w:ind w:left="1274" w:leftChars="386" w:hanging="425"/>
        <w:jc w:val="both"/>
        <w:rPr>
          <w:rFonts w:ascii="Arial" w:hAnsi="Arial" w:eastAsia="宋体" w:cs="Arial"/>
          <w:snapToGrid w:val="0"/>
          <w:sz w:val="24"/>
          <w:szCs w:val="24"/>
        </w:rPr>
      </w:pPr>
      <w:r>
        <w:rPr>
          <w:rFonts w:hint="eastAsia" w:ascii="Arial" w:hAnsi="Arial" w:eastAsia="宋体" w:cs="Arial"/>
          <w:i/>
          <w:snapToGrid w:val="0"/>
          <w:sz w:val="24"/>
        </w:rPr>
        <w:t>影响液体中的分子扩散。</w:t>
      </w:r>
      <w:r>
        <w:rPr>
          <w:rFonts w:hint="eastAsia" w:ascii="Arial" w:hAnsi="Arial" w:eastAsia="宋体" w:cs="Arial"/>
          <w:snapToGrid w:val="0"/>
          <w:sz w:val="24"/>
        </w:rPr>
        <w:t>通常，分子扩散的特征是溶质分子在溶剂中从高浓度区域移动到低浓度区域。此过程会受溶质和溶剂之间分子间作用力影响。例如，泻盐（一种溶质）可通过分子间作用力影响水从细胞外空间到肠腔的扩散，促进排便，从而介导身体反应。</w:t>
      </w:r>
    </w:p>
    <w:p w14:paraId="5FDD98B7">
      <w:pPr>
        <w:pStyle w:val="4"/>
        <w:numPr>
          <w:ilvl w:val="0"/>
          <w:numId w:val="4"/>
        </w:numPr>
        <w:topLinePunct/>
        <w:adjustRightInd w:val="0"/>
        <w:snapToGrid w:val="0"/>
        <w:spacing w:after="224" w:afterLines="75" w:line="288" w:lineRule="auto"/>
        <w:ind w:left="1276" w:leftChars="327" w:hanging="557"/>
        <w:jc w:val="both"/>
        <w:rPr>
          <w:rFonts w:ascii="Arial" w:hAnsi="Arial" w:cs="Arial"/>
          <w:b w:val="0"/>
          <w:bCs w:val="0"/>
          <w:snapToGrid w:val="0"/>
        </w:rPr>
      </w:pPr>
      <w:bookmarkStart w:id="15" w:name="_TOC_250002"/>
      <w:r>
        <w:rPr>
          <w:rFonts w:hint="eastAsia" w:ascii="Arial" w:hAnsi="Arial" w:cs="Arial"/>
          <w:snapToGrid w:val="0"/>
        </w:rPr>
        <w:t>产品通过化学反应与实体结合或修改实体，进而改变该实体与人体或其他动物身体的相互作用：</w:t>
      </w:r>
      <w:bookmarkEnd w:id="15"/>
    </w:p>
    <w:p w14:paraId="7798CF16">
      <w:pPr>
        <w:pStyle w:val="21"/>
        <w:numPr>
          <w:ilvl w:val="1"/>
          <w:numId w:val="4"/>
        </w:numPr>
        <w:topLinePunct/>
        <w:adjustRightInd w:val="0"/>
        <w:snapToGrid w:val="0"/>
        <w:spacing w:after="224" w:afterLines="75" w:line="288" w:lineRule="auto"/>
        <w:ind w:left="1274" w:leftChars="386" w:hanging="425"/>
        <w:jc w:val="both"/>
        <w:rPr>
          <w:rFonts w:ascii="Arial" w:hAnsi="Arial" w:eastAsia="宋体" w:cs="Arial"/>
          <w:snapToGrid w:val="0"/>
          <w:sz w:val="24"/>
          <w:szCs w:val="24"/>
        </w:rPr>
      </w:pPr>
      <w:r>
        <w:rPr>
          <w:rFonts w:hint="eastAsia" w:ascii="Arial" w:hAnsi="Arial" w:eastAsia="宋体" w:cs="Arial"/>
          <w:i/>
          <w:snapToGrid w:val="0"/>
          <w:sz w:val="24"/>
        </w:rPr>
        <w:t>中和和解毒。</w:t>
      </w:r>
      <w:r>
        <w:rPr>
          <w:rFonts w:hint="eastAsia" w:ascii="Arial" w:hAnsi="Arial" w:eastAsia="宋体" w:cs="Arial"/>
          <w:snapToGrid w:val="0"/>
          <w:sz w:val="24"/>
        </w:rPr>
        <w:t>产品可以依靠化学反应来中和或解毒可能会伤害身体的化学试剂。例如，药物羟钴胺素已被用于治疗氰化物中毒。羟胺卡巴胺发生化学反应，期间，将氰化物与其钴基团结合，形成无毒化合物氰钴胺素，加快去除氰化物并防止其毒性效应。</w:t>
      </w:r>
    </w:p>
    <w:p w14:paraId="576AB2B5">
      <w:pPr>
        <w:pStyle w:val="4"/>
        <w:numPr>
          <w:ilvl w:val="0"/>
          <w:numId w:val="4"/>
        </w:numPr>
        <w:topLinePunct/>
        <w:adjustRightInd w:val="0"/>
        <w:snapToGrid w:val="0"/>
        <w:spacing w:after="224" w:afterLines="75" w:line="288" w:lineRule="auto"/>
        <w:ind w:left="1276" w:leftChars="327" w:hanging="557"/>
        <w:jc w:val="both"/>
        <w:rPr>
          <w:rFonts w:ascii="Arial" w:hAnsi="Arial" w:cs="Arial"/>
          <w:b w:val="0"/>
          <w:bCs w:val="0"/>
          <w:snapToGrid w:val="0"/>
        </w:rPr>
      </w:pPr>
      <w:bookmarkStart w:id="16" w:name="_TOC_250001"/>
      <w:r>
        <w:rPr>
          <w:rFonts w:hint="eastAsia" w:ascii="Arial" w:hAnsi="Arial" w:cs="Arial"/>
          <w:snapToGrid w:val="0"/>
        </w:rPr>
        <w:t>产品通过分子间作用力与实体结合或修改实体，进而改变该实体与人体或其他动物身体的相互作用：</w:t>
      </w:r>
      <w:bookmarkEnd w:id="16"/>
    </w:p>
    <w:p w14:paraId="473072D8">
      <w:pPr>
        <w:pStyle w:val="21"/>
        <w:numPr>
          <w:ilvl w:val="1"/>
          <w:numId w:val="4"/>
        </w:numPr>
        <w:topLinePunct/>
        <w:adjustRightInd w:val="0"/>
        <w:snapToGrid w:val="0"/>
        <w:spacing w:after="224" w:afterLines="75" w:line="288" w:lineRule="auto"/>
        <w:ind w:left="1274" w:leftChars="386" w:hanging="425"/>
        <w:jc w:val="both"/>
        <w:rPr>
          <w:rFonts w:ascii="Arial" w:hAnsi="Arial" w:eastAsia="宋体" w:cs="Arial"/>
          <w:snapToGrid w:val="0"/>
          <w:sz w:val="24"/>
          <w:szCs w:val="24"/>
        </w:rPr>
      </w:pPr>
      <w:r>
        <w:rPr>
          <w:rFonts w:hint="eastAsia" w:ascii="Arial" w:hAnsi="Arial" w:eastAsia="宋体" w:cs="Arial"/>
          <w:i/>
          <w:snapToGrid w:val="0"/>
          <w:sz w:val="24"/>
          <w:szCs w:val="24"/>
        </w:rPr>
        <w:t>溶液溶质沉淀和／或结晶以及通过溶剂溶解溶质。</w:t>
      </w:r>
      <w:r>
        <w:rPr>
          <w:rFonts w:hint="eastAsia" w:ascii="Arial" w:hAnsi="Arial" w:eastAsia="宋体" w:cs="Arial"/>
          <w:snapToGrid w:val="0"/>
          <w:sz w:val="24"/>
          <w:szCs w:val="24"/>
        </w:rPr>
        <w:t>此类行为依赖于参与沉淀或溶解作用的各个分子间的多个静电相互作用。例如，用碱性鼻腔喷雾剂清理鼻腔通道的原理部分源于喷雾可溶解鼻腔通道中的结壳异物，进而改变了异物与身体的相互作用。</w:t>
      </w:r>
    </w:p>
    <w:p w14:paraId="1836CEA7">
      <w:pPr>
        <w:pStyle w:val="21"/>
        <w:numPr>
          <w:ilvl w:val="1"/>
          <w:numId w:val="4"/>
        </w:numPr>
        <w:topLinePunct/>
        <w:adjustRightInd w:val="0"/>
        <w:snapToGrid w:val="0"/>
        <w:spacing w:after="224" w:afterLines="75" w:line="288" w:lineRule="auto"/>
        <w:ind w:left="1274" w:leftChars="386" w:hanging="425"/>
        <w:jc w:val="both"/>
        <w:rPr>
          <w:rFonts w:ascii="Arial" w:hAnsi="Arial" w:eastAsia="宋体" w:cs="Arial"/>
          <w:snapToGrid w:val="0"/>
          <w:sz w:val="24"/>
        </w:rPr>
      </w:pPr>
      <w:r>
        <w:rPr>
          <w:rFonts w:hint="eastAsia" w:ascii="Arial" w:hAnsi="Arial" w:eastAsia="宋体" w:cs="Arial"/>
          <w:i/>
          <w:snapToGrid w:val="0"/>
          <w:sz w:val="24"/>
        </w:rPr>
        <w:t>表面活性剂作用。</w:t>
      </w:r>
      <w:r>
        <w:rPr>
          <w:rFonts w:hint="eastAsia" w:ascii="Arial" w:hAnsi="Arial" w:eastAsia="宋体" w:cs="Arial"/>
          <w:snapToGrid w:val="0"/>
          <w:sz w:val="24"/>
        </w:rPr>
        <w:t>已知表面活性剂可部分通过疏水相互作用促进非水溶性物质的溶解。</w:t>
      </w:r>
      <w:r>
        <w:rPr>
          <w:rStyle w:val="19"/>
          <w:rFonts w:ascii="Arial" w:hAnsi="Arial" w:eastAsia="宋体" w:cs="Arial"/>
          <w:snapToGrid w:val="0"/>
          <w:sz w:val="24"/>
        </w:rPr>
        <w:footnoteReference w:id="7"/>
      </w:r>
      <w:r>
        <w:rPr>
          <w:rFonts w:hint="eastAsia" w:ascii="Arial" w:hAnsi="Arial" w:eastAsia="宋体" w:cs="Arial"/>
          <w:snapToGrid w:val="0"/>
          <w:sz w:val="24"/>
        </w:rPr>
        <w:t>表面活性剂通常具有两亲性结构，即同时具有疏水性和亲水性官能团。此类化合物可充当化学桥，通过其官能团与具有相似化学结构和特性（即极性和非极性）的物质的相互作用促进疏水性物质在水溶液中的混合和溶解。表面活性剂也作用于溶液本身来降低其表面张力，因为表面活性剂分子的极性部分通过分子间作用力与周围水相互作用，破坏了水分子之间的各个静电键，从而降低整个溶液的表面张力。</w:t>
      </w:r>
    </w:p>
    <w:p w14:paraId="05EB4062">
      <w:pPr>
        <w:pStyle w:val="5"/>
        <w:topLinePunct/>
        <w:adjustRightInd w:val="0"/>
        <w:snapToGrid w:val="0"/>
        <w:spacing w:after="224" w:afterLines="75" w:line="288" w:lineRule="auto"/>
        <w:ind w:left="0"/>
        <w:jc w:val="both"/>
        <w:rPr>
          <w:rFonts w:ascii="Arial" w:hAnsi="Arial" w:cs="Arial"/>
          <w:snapToGrid w:val="0"/>
        </w:rPr>
      </w:pPr>
      <w:r>
        <w:rPr>
          <w:rFonts w:ascii="Arial" w:hAnsi="Arial" w:cs="Arial"/>
          <w:snapToGrid w:val="0"/>
          <w:szCs w:val="20"/>
        </w:rPr>
        <w:br w:type="page"/>
      </w:r>
      <w:bookmarkStart w:id="17" w:name="V._FURTHER_INFORMATION"/>
      <w:bookmarkEnd w:id="17"/>
    </w:p>
    <w:p w14:paraId="70554593">
      <w:pPr>
        <w:topLinePunct/>
        <w:adjustRightInd w:val="0"/>
        <w:snapToGrid w:val="0"/>
        <w:spacing w:after="224" w:afterLines="75" w:line="288" w:lineRule="auto"/>
        <w:ind w:left="1276"/>
        <w:jc w:val="both"/>
        <w:rPr>
          <w:rFonts w:ascii="Arial" w:hAnsi="Arial" w:eastAsia="宋体" w:cs="Arial"/>
          <w:snapToGrid w:val="0"/>
          <w:sz w:val="24"/>
          <w:szCs w:val="24"/>
        </w:rPr>
      </w:pPr>
      <w:r>
        <w:rPr>
          <w:rFonts w:hint="eastAsia" w:ascii="Arial" w:hAnsi="Arial" w:eastAsia="宋体" w:cs="Arial"/>
          <w:snapToGrid w:val="0"/>
          <w:sz w:val="24"/>
          <w:szCs w:val="24"/>
        </w:rPr>
        <w:t>抗生素药物多粘菌素</w:t>
      </w:r>
      <w:r>
        <w:rPr>
          <w:rFonts w:ascii="Arial" w:hAnsi="Arial" w:eastAsia="宋体" w:cs="Arial"/>
          <w:snapToGrid w:val="0"/>
          <w:sz w:val="24"/>
          <w:szCs w:val="24"/>
        </w:rPr>
        <w:t>B</w:t>
      </w:r>
      <w:r>
        <w:rPr>
          <w:rFonts w:hint="eastAsia" w:ascii="Arial" w:hAnsi="Arial" w:eastAsia="宋体" w:cs="Arial"/>
          <w:snapToGrid w:val="0"/>
          <w:sz w:val="24"/>
          <w:szCs w:val="24"/>
        </w:rPr>
        <w:t>硫酸盐属于表面活性剂，其部分通过疏水性和亲水性相互作用来产生功效。这种抗生素是具有脂肪酸官能团的阳离子蛋白质表面活性剂。也就是说，该蛋白质由具有可与疏水官能团融合的净正电荷的亲水基团组成。多粘菌素</w:t>
      </w:r>
      <w:r>
        <w:rPr>
          <w:rFonts w:ascii="Arial" w:hAnsi="Arial" w:eastAsia="宋体" w:cs="Arial"/>
          <w:snapToGrid w:val="0"/>
          <w:sz w:val="24"/>
          <w:szCs w:val="24"/>
        </w:rPr>
        <w:t>b</w:t>
      </w:r>
      <w:r>
        <w:rPr>
          <w:rFonts w:hint="eastAsia" w:ascii="Arial" w:hAnsi="Arial" w:eastAsia="宋体" w:cs="Arial"/>
          <w:snapToGrid w:val="0"/>
          <w:sz w:val="24"/>
          <w:szCs w:val="24"/>
        </w:rPr>
        <w:t>硫酸盐通过分子间作用力，以及通过疏水作用将分子脂肪酸部分与脂双层联合／融合来与细菌膜成分结合。与外来细菌产生结合和联合相互作用后，细菌膜的完整性将被破坏，随后微生物死亡，进而改变了细菌与身体的相互作用。</w:t>
      </w:r>
    </w:p>
    <w:p w14:paraId="01DF06C5">
      <w:pPr>
        <w:pStyle w:val="4"/>
        <w:numPr>
          <w:ilvl w:val="0"/>
          <w:numId w:val="2"/>
        </w:numPr>
        <w:tabs>
          <w:tab w:val="left" w:pos="454"/>
        </w:tabs>
        <w:topLinePunct/>
        <w:adjustRightInd w:val="0"/>
        <w:snapToGrid w:val="0"/>
        <w:spacing w:after="224" w:afterLines="75" w:line="288" w:lineRule="auto"/>
        <w:ind w:left="0" w:firstLine="0"/>
        <w:jc w:val="both"/>
        <w:rPr>
          <w:rFonts w:ascii="Arial" w:hAnsi="Arial" w:cs="Arial"/>
          <w:b w:val="0"/>
          <w:bCs w:val="0"/>
          <w:snapToGrid w:val="0"/>
          <w:sz w:val="28"/>
        </w:rPr>
      </w:pPr>
      <w:bookmarkStart w:id="18" w:name="_TOC_250000"/>
      <w:r>
        <w:rPr>
          <w:rFonts w:hint="eastAsia" w:ascii="Arial" w:hAnsi="Arial" w:cs="Arial"/>
          <w:snapToGrid w:val="0"/>
          <w:sz w:val="28"/>
        </w:rPr>
        <w:t>更多信息</w:t>
      </w:r>
      <w:bookmarkEnd w:id="18"/>
    </w:p>
    <w:p w14:paraId="664E8E99">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有关可能构成FD&amp;C法案第201（h）条规定的</w:t>
      </w:r>
      <w:r>
        <w:rPr>
          <w:rFonts w:hint="eastAsia" w:ascii="宋体" w:hAnsi="宋体" w:cs="Arial"/>
          <w:snapToGrid w:val="0"/>
        </w:rPr>
        <w:t>“</w:t>
      </w:r>
      <w:r>
        <w:rPr>
          <w:rFonts w:hint="eastAsia" w:ascii="Arial" w:hAnsi="Arial" w:cs="Arial"/>
          <w:snapToGrid w:val="0"/>
        </w:rPr>
        <w:t>化学作用</w:t>
      </w:r>
      <w:r>
        <w:rPr>
          <w:rFonts w:hint="eastAsia" w:ascii="宋体" w:hAnsi="宋体" w:cs="Arial"/>
          <w:snapToGrid w:val="0"/>
        </w:rPr>
        <w:t>”</w:t>
      </w:r>
      <w:r>
        <w:rPr>
          <w:rFonts w:hint="eastAsia" w:ascii="Arial" w:hAnsi="Arial" w:cs="Arial"/>
          <w:snapToGrid w:val="0"/>
        </w:rPr>
        <w:t>的更多信息，请联系组合产品办公室，电话：301-796-8930或电子邮箱：</w:t>
      </w:r>
      <w:r>
        <w:fldChar w:fldCharType="begin"/>
      </w:r>
      <w:r>
        <w:instrText xml:space="preserve"> HYPERLINK "mailto:combination@fda.gov" </w:instrText>
      </w:r>
      <w:r>
        <w:fldChar w:fldCharType="separate"/>
      </w:r>
      <w:r>
        <w:rPr>
          <w:rStyle w:val="18"/>
          <w:rFonts w:ascii="Arial" w:hAnsi="Arial" w:cs="Arial"/>
          <w:snapToGrid w:val="0"/>
          <w:color w:val="auto"/>
        </w:rPr>
        <w:t>combination@fda.gov</w:t>
      </w:r>
      <w:r>
        <w:rPr>
          <w:rStyle w:val="18"/>
          <w:rFonts w:ascii="Arial" w:hAnsi="Arial" w:cs="Arial"/>
          <w:snapToGrid w:val="0"/>
          <w:color w:val="auto"/>
        </w:rPr>
        <w:fldChar w:fldCharType="end"/>
      </w:r>
      <w:r>
        <w:rPr>
          <w:rFonts w:hint="eastAsia" w:ascii="Arial" w:hAnsi="Arial" w:cs="Arial"/>
          <w:snapToGrid w:val="0"/>
        </w:rPr>
        <w:t>。</w:t>
      </w:r>
    </w:p>
    <w:p w14:paraId="632CB8E7">
      <w:pPr>
        <w:topLinePunct/>
        <w:adjustRightInd w:val="0"/>
        <w:snapToGrid w:val="0"/>
        <w:spacing w:after="224" w:afterLines="75" w:line="288" w:lineRule="auto"/>
        <w:jc w:val="center"/>
        <w:rPr>
          <w:rFonts w:hint="eastAsia" w:eastAsia="宋体"/>
          <w:lang w:eastAsia="zh-CN"/>
        </w:rPr>
      </w:pPr>
    </w:p>
    <w:p w14:paraId="77631594">
      <w:pPr>
        <w:topLinePunct/>
        <w:adjustRightInd w:val="0"/>
        <w:snapToGrid w:val="0"/>
        <w:spacing w:after="224" w:afterLines="75" w:line="288" w:lineRule="auto"/>
        <w:jc w:val="center"/>
        <w:rPr>
          <w:rFonts w:hint="eastAsia" w:eastAsia="宋体"/>
          <w:lang w:eastAsia="zh-CN"/>
        </w:rPr>
      </w:pPr>
    </w:p>
    <w:p w14:paraId="59D6D3A1">
      <w:pPr>
        <w:topLinePunct/>
        <w:adjustRightInd w:val="0"/>
        <w:snapToGrid w:val="0"/>
        <w:spacing w:after="224" w:afterLines="75" w:line="288"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1"/>
                    <a:stretch>
                      <a:fillRect/>
                    </a:stretch>
                  </pic:blipFill>
                  <pic:spPr>
                    <a:xfrm>
                      <a:off x="0" y="0"/>
                      <a:ext cx="5210175" cy="7343775"/>
                    </a:xfrm>
                    <a:prstGeom prst="rect">
                      <a:avLst/>
                    </a:prstGeom>
                  </pic:spPr>
                </pic:pic>
              </a:graphicData>
            </a:graphic>
          </wp:inline>
        </w:drawing>
      </w:r>
    </w:p>
    <w:sectPr>
      <w:headerReference r:id="rId8" w:type="default"/>
      <w:footerReference r:id="rId9" w:type="default"/>
      <w:pgSz w:w="11906" w:h="16838"/>
      <w:pgMar w:top="1134" w:right="1440" w:bottom="1134" w:left="1440" w:header="720" w:footer="720" w:gutter="0"/>
      <w:pgNumType w:start="1"/>
      <w:cols w:space="720" w:num="1"/>
      <w:docGrid w:type="lines"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2F476">
    <w:pPr>
      <w:spacing w:line="14" w:lineRule="auto"/>
      <w:rPr>
        <w:rFonts w:ascii="Arial" w:hAnsi="Arial" w:eastAsia="宋体" w:cs="Arial"/>
        <w:sz w:val="21"/>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28EDA">
    <w:pPr>
      <w:rPr>
        <w:rFonts w:ascii="Arial" w:hAnsi="Arial" w:eastAsia="宋体" w:cs="Arial"/>
        <w:sz w:val="21"/>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596A">
    <w:pPr>
      <w:jc w:val="center"/>
      <w:rPr>
        <w:rFonts w:ascii="Arial" w:hAnsi="Arial" w:eastAsia="宋体" w:cs="Arial"/>
        <w:sz w:val="21"/>
        <w:szCs w:val="21"/>
      </w:rPr>
    </w:pPr>
  </w:p>
  <w:p w14:paraId="34EC0414">
    <w:pPr>
      <w:jc w:val="center"/>
      <w:rPr>
        <w:rFonts w:ascii="Arial" w:hAnsi="Arial" w:eastAsia="宋体" w:cs="Arial"/>
        <w:sz w:val="21"/>
        <w:szCs w:val="21"/>
      </w:rPr>
    </w:pPr>
    <w:r>
      <w:rPr>
        <w:rFonts w:ascii="Arial" w:hAnsi="Arial" w:cs="Arial" w:eastAsiaTheme="majorEastAsia"/>
        <w:sz w:val="21"/>
        <w:szCs w:val="21"/>
        <w:lang w:val="zh-CN"/>
      </w:rPr>
      <w:t xml:space="preserve">- </w:t>
    </w:r>
    <w:r>
      <w:rPr>
        <w:rFonts w:ascii="Arial" w:hAnsi="Arial" w:eastAsia="宋体" w:cs="Arial"/>
        <w:sz w:val="21"/>
        <w:szCs w:val="21"/>
      </w:rPr>
      <w:fldChar w:fldCharType="begin"/>
    </w:r>
    <w:r>
      <w:rPr>
        <w:rFonts w:ascii="Arial" w:hAnsi="Arial" w:eastAsia="宋体" w:cs="Arial"/>
        <w:sz w:val="21"/>
        <w:szCs w:val="21"/>
      </w:rPr>
      <w:instrText xml:space="preserve">PAGE    \* MERGEFORMAT</w:instrText>
    </w:r>
    <w:r>
      <w:rPr>
        <w:rFonts w:ascii="Arial" w:hAnsi="Arial" w:eastAsia="宋体" w:cs="Arial"/>
        <w:sz w:val="21"/>
        <w:szCs w:val="21"/>
      </w:rPr>
      <w:fldChar w:fldCharType="separate"/>
    </w:r>
    <w:r>
      <w:rPr>
        <w:rFonts w:ascii="Arial" w:hAnsi="Arial" w:cs="Arial" w:eastAsiaTheme="majorEastAsia"/>
        <w:sz w:val="21"/>
        <w:szCs w:val="21"/>
        <w:lang w:val="zh-CN"/>
      </w:rPr>
      <w:t>6</w:t>
    </w:r>
    <w:r>
      <w:rPr>
        <w:rFonts w:ascii="Arial" w:hAnsi="Arial" w:cs="Arial" w:eastAsiaTheme="majorEastAsia"/>
        <w:sz w:val="21"/>
        <w:szCs w:val="21"/>
      </w:rPr>
      <w:fldChar w:fldCharType="end"/>
    </w:r>
    <w:r>
      <w:rPr>
        <w:rFonts w:ascii="Arial" w:hAnsi="Arial" w:cs="Arial" w:eastAsiaTheme="majorEastAsia"/>
        <w:sz w:val="21"/>
        <w:szCs w:val="21"/>
        <w:lang w:val="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r>
        <w:separator/>
      </w:r>
    </w:p>
  </w:footnote>
  <w:footnote w:type="continuationSeparator" w:id="17">
    <w:p>
      <w:r>
        <w:continuationSeparator/>
      </w:r>
    </w:p>
  </w:footnote>
  <w:footnote w:id="0">
    <w:p w14:paraId="1609BB21">
      <w:pPr>
        <w:pStyle w:val="13"/>
        <w:spacing w:line="300" w:lineRule="auto"/>
        <w:jc w:val="both"/>
        <w:rPr>
          <w:sz w:val="21"/>
          <w:szCs w:val="21"/>
        </w:rPr>
      </w:pPr>
      <w:r>
        <w:rPr>
          <w:rStyle w:val="19"/>
          <w:rFonts w:ascii="Arial" w:hAnsi="Arial" w:cs="Arial"/>
          <w:sz w:val="21"/>
          <w:szCs w:val="21"/>
        </w:rPr>
        <w:footnoteRef/>
      </w:r>
      <w:r>
        <w:rPr>
          <w:rFonts w:ascii="Arial" w:hAnsi="Arial" w:cs="Arial"/>
          <w:sz w:val="21"/>
          <w:szCs w:val="21"/>
        </w:rPr>
        <w:t xml:space="preserve"> </w:t>
      </w:r>
      <w:r>
        <w:rPr>
          <w:rFonts w:hint="eastAsia" w:ascii="Arial" w:hAnsi="Arial" w:eastAsia="宋体" w:cs="Arial"/>
          <w:snapToGrid w:val="0"/>
          <w:sz w:val="21"/>
          <w:szCs w:val="21"/>
        </w:rPr>
        <w:t>本指南由委员会办公室（OCP）组合产品下属机构，生物制剂评价和研究中心（CBER），药品评价和研究中心（CDER）及器械和放射卫生中心（CDRH）联合编制。</w:t>
      </w:r>
    </w:p>
  </w:footnote>
  <w:footnote w:id="1">
    <w:p w14:paraId="0BDC6923">
      <w:pPr>
        <w:pStyle w:val="13"/>
        <w:spacing w:line="300" w:lineRule="auto"/>
        <w:jc w:val="both"/>
        <w:rPr>
          <w:sz w:val="21"/>
          <w:szCs w:val="21"/>
        </w:rPr>
      </w:pPr>
      <w:r>
        <w:rPr>
          <w:rStyle w:val="19"/>
          <w:rFonts w:ascii="Arial" w:hAnsi="Arial" w:eastAsia="宋体" w:cs="Arial"/>
          <w:sz w:val="21"/>
          <w:szCs w:val="21"/>
        </w:rPr>
        <w:footnoteRef/>
      </w:r>
      <w:r>
        <w:rPr>
          <w:rFonts w:ascii="Arial" w:hAnsi="Arial" w:eastAsia="宋体" w:cs="Arial"/>
          <w:sz w:val="21"/>
          <w:szCs w:val="21"/>
        </w:rPr>
        <w:t xml:space="preserve"> </w:t>
      </w:r>
      <w:r>
        <w:rPr>
          <w:rFonts w:ascii="Arial" w:hAnsi="Arial" w:eastAsia="宋体" w:cs="Arial"/>
          <w:snapToGrid w:val="0"/>
          <w:sz w:val="21"/>
          <w:szCs w:val="21"/>
        </w:rPr>
        <w:t>术</w:t>
      </w:r>
      <w:r>
        <w:rPr>
          <w:rFonts w:hint="eastAsia" w:ascii="Arial" w:hAnsi="Arial" w:eastAsia="宋体" w:cs="Arial"/>
          <w:snapToGrid w:val="0"/>
          <w:sz w:val="21"/>
          <w:szCs w:val="21"/>
        </w:rPr>
        <w:t>语</w:t>
      </w:r>
      <w:r>
        <w:rPr>
          <w:rFonts w:hint="eastAsia" w:ascii="宋体" w:hAnsi="宋体" w:eastAsia="宋体" w:cs="Arial"/>
          <w:snapToGrid w:val="0"/>
          <w:sz w:val="21"/>
          <w:szCs w:val="21"/>
        </w:rPr>
        <w:t>“</w:t>
      </w:r>
      <w:r>
        <w:rPr>
          <w:rFonts w:hint="eastAsia" w:ascii="Arial" w:hAnsi="Arial" w:eastAsia="宋体" w:cs="Arial"/>
          <w:snapToGrid w:val="0"/>
          <w:sz w:val="21"/>
          <w:szCs w:val="21"/>
        </w:rPr>
        <w:t>组合产品</w:t>
      </w:r>
      <w:r>
        <w:rPr>
          <w:rFonts w:hint="eastAsia" w:ascii="宋体" w:hAnsi="宋体" w:eastAsia="宋体" w:cs="Arial"/>
          <w:snapToGrid w:val="0"/>
          <w:sz w:val="21"/>
          <w:szCs w:val="21"/>
        </w:rPr>
        <w:t>”</w:t>
      </w:r>
      <w:r>
        <w:rPr>
          <w:rFonts w:hint="eastAsia" w:ascii="Arial" w:hAnsi="Arial" w:eastAsia="宋体" w:cs="Arial"/>
          <w:snapToGrid w:val="0"/>
          <w:sz w:val="21"/>
          <w:szCs w:val="21"/>
        </w:rPr>
        <w:t>在21 CFR 3.2（e）中定义。有关组合产品定义和组合产品法规的更多信息，请访问组合产品办公室网站：</w:t>
      </w:r>
      <w:r>
        <w:fldChar w:fldCharType="begin"/>
      </w:r>
      <w:r>
        <w:instrText xml:space="preserve"> HYPERLINK "http://www.fda.gov/CombinationProducts/default.htm" \h </w:instrText>
      </w:r>
      <w:r>
        <w:fldChar w:fldCharType="separate"/>
      </w:r>
      <w:r>
        <w:rPr>
          <w:rFonts w:hint="eastAsia" w:ascii="Arial" w:hAnsi="Arial" w:eastAsia="宋体" w:cs="Arial"/>
          <w:snapToGrid w:val="0"/>
          <w:color w:val="0000FF"/>
          <w:sz w:val="21"/>
          <w:szCs w:val="21"/>
          <w:u w:val="single" w:color="0000FF"/>
        </w:rPr>
        <w:t>www.fda.gov/CombinationProducts/default.htm</w:t>
      </w:r>
      <w:r>
        <w:rPr>
          <w:rFonts w:hint="eastAsia" w:ascii="Arial" w:hAnsi="Arial" w:eastAsia="宋体" w:cs="Arial"/>
          <w:snapToGrid w:val="0"/>
          <w:color w:val="0000FF"/>
          <w:sz w:val="21"/>
          <w:szCs w:val="21"/>
          <w:u w:val="single" w:color="0000FF"/>
        </w:rPr>
        <w:fldChar w:fldCharType="end"/>
      </w:r>
      <w:r>
        <w:rPr>
          <w:rFonts w:hint="eastAsia" w:ascii="Arial" w:hAnsi="Arial" w:eastAsia="宋体" w:cs="Arial"/>
          <w:snapToGrid w:val="0"/>
          <w:sz w:val="21"/>
          <w:szCs w:val="21"/>
        </w:rPr>
        <w:t>。</w:t>
      </w:r>
    </w:p>
  </w:footnote>
  <w:footnote w:id="2">
    <w:p w14:paraId="1792F3BB">
      <w:pPr>
        <w:pStyle w:val="13"/>
        <w:spacing w:line="300" w:lineRule="auto"/>
        <w:jc w:val="both"/>
        <w:rPr>
          <w:sz w:val="21"/>
          <w:szCs w:val="21"/>
        </w:rPr>
      </w:pPr>
      <w:r>
        <w:rPr>
          <w:rStyle w:val="19"/>
          <w:sz w:val="21"/>
          <w:szCs w:val="21"/>
        </w:rPr>
        <w:footnoteRef/>
      </w:r>
      <w:r>
        <w:rPr>
          <w:sz w:val="21"/>
          <w:szCs w:val="21"/>
        </w:rPr>
        <w:t xml:space="preserve"> </w:t>
      </w:r>
      <w:r>
        <w:rPr>
          <w:rFonts w:hint="eastAsia" w:ascii="Arial" w:hAnsi="Arial" w:eastAsia="宋体" w:cs="Arial"/>
          <w:snapToGrid w:val="0"/>
          <w:sz w:val="21"/>
          <w:szCs w:val="21"/>
        </w:rPr>
        <w:t>FDA认为，科学界和文献中的术语可能会有所不同，且本文确定的一些现象（例如静电相互作用，氢键）也可能以与本指南不同的术语提及。本节讨论的化学现象类型已纳入一般科学词典，且已在科学文献中表征和／或描述。有关此类现象的进一步解释，请参见例如Foye药物化学原理：受体与药物作用，第6版。（2008年）或Levine药理学，药物作用与反应，第7版。（2005年）。</w:t>
      </w:r>
    </w:p>
  </w:footnote>
  <w:footnote w:id="3">
    <w:p w14:paraId="10473C54">
      <w:pPr>
        <w:pStyle w:val="13"/>
        <w:spacing w:line="300" w:lineRule="auto"/>
        <w:jc w:val="both"/>
        <w:rPr>
          <w:sz w:val="21"/>
          <w:szCs w:val="21"/>
        </w:rPr>
      </w:pPr>
      <w:r>
        <w:rPr>
          <w:rStyle w:val="19"/>
          <w:sz w:val="21"/>
          <w:szCs w:val="21"/>
        </w:rPr>
        <w:footnoteRef/>
      </w:r>
      <w:r>
        <w:rPr>
          <w:sz w:val="21"/>
          <w:szCs w:val="21"/>
        </w:rPr>
        <w:t xml:space="preserve"> </w:t>
      </w:r>
      <w:r>
        <w:rPr>
          <w:rFonts w:hint="eastAsia" w:ascii="Arial" w:hAnsi="Arial" w:eastAsia="宋体" w:cs="Arial"/>
          <w:snapToGrid w:val="0"/>
          <w:sz w:val="21"/>
          <w:szCs w:val="21"/>
        </w:rPr>
        <w:t>就此方法而言，术语</w:t>
      </w:r>
      <w:r>
        <w:rPr>
          <w:rFonts w:hint="eastAsia" w:ascii="宋体" w:hAnsi="宋体" w:eastAsia="宋体" w:cs="Arial"/>
          <w:snapToGrid w:val="0"/>
          <w:sz w:val="21"/>
          <w:szCs w:val="21"/>
        </w:rPr>
        <w:t>“</w:t>
      </w:r>
      <w:r>
        <w:rPr>
          <w:rFonts w:hint="eastAsia" w:ascii="Arial" w:hAnsi="Arial" w:eastAsia="宋体" w:cs="Arial"/>
          <w:snapToGrid w:val="0"/>
          <w:sz w:val="21"/>
          <w:szCs w:val="21"/>
        </w:rPr>
        <w:t>实体</w:t>
      </w:r>
      <w:r>
        <w:rPr>
          <w:rFonts w:hint="eastAsia" w:ascii="宋体" w:hAnsi="宋体" w:eastAsia="宋体" w:cs="Arial"/>
          <w:snapToGrid w:val="0"/>
          <w:sz w:val="21"/>
          <w:szCs w:val="21"/>
        </w:rPr>
        <w:t>”</w:t>
      </w:r>
      <w:r>
        <w:rPr>
          <w:rFonts w:hint="eastAsia" w:ascii="Arial" w:hAnsi="Arial" w:eastAsia="宋体" w:cs="Arial"/>
          <w:snapToGrid w:val="0"/>
          <w:sz w:val="21"/>
          <w:szCs w:val="21"/>
        </w:rPr>
        <w:t>包括化学品等材料和微生物等生物。</w:t>
      </w:r>
    </w:p>
  </w:footnote>
  <w:footnote w:id="4">
    <w:p w14:paraId="1369BADE">
      <w:pPr>
        <w:pStyle w:val="13"/>
        <w:spacing w:line="300" w:lineRule="auto"/>
        <w:jc w:val="both"/>
        <w:rPr>
          <w:sz w:val="21"/>
          <w:szCs w:val="21"/>
        </w:rPr>
      </w:pPr>
      <w:r>
        <w:rPr>
          <w:rStyle w:val="19"/>
          <w:sz w:val="21"/>
          <w:szCs w:val="21"/>
        </w:rPr>
        <w:footnoteRef/>
      </w:r>
      <w:r>
        <w:rPr>
          <w:sz w:val="21"/>
          <w:szCs w:val="21"/>
        </w:rPr>
        <w:t xml:space="preserve"> </w:t>
      </w:r>
      <w:r>
        <w:rPr>
          <w:rFonts w:hint="eastAsia" w:ascii="Arial" w:hAnsi="Arial" w:eastAsia="宋体" w:cs="Arial"/>
          <w:snapToGrid w:val="0"/>
          <w:sz w:val="21"/>
          <w:szCs w:val="21"/>
        </w:rPr>
        <w:t>此类相互作用也可以称为静电力、静电相互作用、静电键或电场相互作用。</w:t>
      </w:r>
    </w:p>
  </w:footnote>
  <w:footnote w:id="5">
    <w:p w14:paraId="57372B57">
      <w:pPr>
        <w:pStyle w:val="13"/>
        <w:spacing w:line="300" w:lineRule="auto"/>
        <w:jc w:val="both"/>
        <w:rPr>
          <w:sz w:val="21"/>
          <w:szCs w:val="21"/>
        </w:rPr>
      </w:pPr>
      <w:r>
        <w:rPr>
          <w:rStyle w:val="19"/>
          <w:sz w:val="21"/>
          <w:szCs w:val="21"/>
        </w:rPr>
        <w:footnoteRef/>
      </w:r>
      <w:r>
        <w:rPr>
          <w:sz w:val="21"/>
          <w:szCs w:val="21"/>
        </w:rPr>
        <w:t xml:space="preserve"> </w:t>
      </w:r>
      <w:r>
        <w:rPr>
          <w:rFonts w:hint="eastAsia" w:ascii="Arial" w:hAnsi="Arial" w:eastAsia="宋体" w:cs="Arial"/>
          <w:snapToGrid w:val="0"/>
          <w:sz w:val="21"/>
          <w:szCs w:val="21"/>
        </w:rPr>
        <w:t>同样，液体缝线等其他产品的粘合作用不构成</w:t>
      </w:r>
      <w:r>
        <w:rPr>
          <w:rFonts w:hint="eastAsia" w:ascii="宋体" w:hAnsi="宋体" w:eastAsia="宋体" w:cs="Arial"/>
          <w:snapToGrid w:val="0"/>
          <w:sz w:val="21"/>
          <w:szCs w:val="21"/>
        </w:rPr>
        <w:t>“</w:t>
      </w:r>
      <w:r>
        <w:rPr>
          <w:rFonts w:hint="eastAsia" w:ascii="Arial" w:hAnsi="Arial" w:eastAsia="宋体" w:cs="Arial"/>
          <w:snapToGrid w:val="0"/>
          <w:sz w:val="21"/>
          <w:szCs w:val="21"/>
        </w:rPr>
        <w:t>化学作用</w:t>
      </w:r>
      <w:r>
        <w:rPr>
          <w:rFonts w:hint="eastAsia" w:ascii="宋体" w:hAnsi="宋体" w:eastAsia="宋体" w:cs="Arial"/>
          <w:snapToGrid w:val="0"/>
          <w:sz w:val="21"/>
          <w:szCs w:val="21"/>
        </w:rPr>
        <w:t>”</w:t>
      </w:r>
      <w:r>
        <w:rPr>
          <w:rFonts w:hint="eastAsia" w:ascii="Arial" w:hAnsi="Arial" w:eastAsia="宋体" w:cs="Arial"/>
          <w:snapToGrid w:val="0"/>
          <w:sz w:val="21"/>
          <w:szCs w:val="21"/>
        </w:rPr>
        <w:t>，因为产品不会通过粘合作用介导身体反应，或与实体结合或修改实体，进而改变该实体与身体的相互作用。</w:t>
      </w:r>
    </w:p>
  </w:footnote>
  <w:footnote w:id="6">
    <w:p w14:paraId="2B3AA263">
      <w:pPr>
        <w:pStyle w:val="13"/>
        <w:spacing w:line="300" w:lineRule="auto"/>
        <w:jc w:val="both"/>
        <w:rPr>
          <w:sz w:val="21"/>
          <w:szCs w:val="21"/>
        </w:rPr>
      </w:pPr>
      <w:r>
        <w:rPr>
          <w:rStyle w:val="19"/>
          <w:sz w:val="21"/>
          <w:szCs w:val="21"/>
        </w:rPr>
        <w:footnoteRef/>
      </w:r>
      <w:r>
        <w:rPr>
          <w:sz w:val="21"/>
          <w:szCs w:val="21"/>
        </w:rPr>
        <w:t xml:space="preserve"> </w:t>
      </w:r>
      <w:r>
        <w:rPr>
          <w:rFonts w:hint="eastAsia" w:ascii="Arial" w:hAnsi="Arial" w:eastAsia="宋体" w:cs="Arial"/>
          <w:snapToGrid w:val="0"/>
          <w:sz w:val="21"/>
          <w:szCs w:val="21"/>
        </w:rPr>
        <w:t>请注意，虽然本节中的示例描述了每种产品通过化学反应和／或分子间作用力介导细胞或分子级身体反应，或与实体结合或修改实体，进而改变该实体与身体的相互作用的方式，这并不意味着这些作用必然是产品的唯一化学作用。</w:t>
      </w:r>
    </w:p>
  </w:footnote>
  <w:footnote w:id="7">
    <w:p w14:paraId="3E0AD65C">
      <w:pPr>
        <w:pStyle w:val="13"/>
        <w:spacing w:line="300" w:lineRule="auto"/>
        <w:jc w:val="both"/>
        <w:rPr>
          <w:sz w:val="21"/>
          <w:szCs w:val="21"/>
        </w:rPr>
      </w:pPr>
      <w:r>
        <w:rPr>
          <w:rStyle w:val="19"/>
          <w:sz w:val="21"/>
          <w:szCs w:val="21"/>
        </w:rPr>
        <w:footnoteRef/>
      </w:r>
      <w:r>
        <w:rPr>
          <w:sz w:val="21"/>
          <w:szCs w:val="21"/>
        </w:rPr>
        <w:t xml:space="preserve"> </w:t>
      </w:r>
      <w:r>
        <w:rPr>
          <w:rFonts w:hint="eastAsia" w:ascii="Arial" w:hAnsi="Arial" w:eastAsia="宋体" w:cs="Arial"/>
          <w:snapToGrid w:val="0"/>
          <w:sz w:val="21"/>
          <w:szCs w:val="21"/>
        </w:rPr>
        <w:t>疏水相互作用由极性环境（通常是水）排除非极性分子或部分分子的趋势引起。同样，亲水相互作用由极性分子与其他极性分子结合的趋势引起。此类相互作用由分子间作用力决定。</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E890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36602">
    <w:pPr>
      <w:topLinePunct/>
      <w:adjustRightInd w:val="0"/>
      <w:snapToGrid w:val="0"/>
      <w:spacing w:line="288" w:lineRule="auto"/>
      <w:jc w:val="center"/>
      <w:rPr>
        <w:rFonts w:ascii="Arial" w:hAnsi="Arial" w:eastAsia="宋体" w:cs="Arial"/>
        <w:snapToGrid w:val="0"/>
        <w:sz w:val="21"/>
        <w:szCs w:val="24"/>
      </w:rPr>
    </w:pPr>
    <w:r>
      <w:rPr>
        <w:rFonts w:hint="eastAsia" w:ascii="Arial" w:hAnsi="Arial" w:eastAsia="宋体" w:cs="Arial"/>
        <w:b/>
        <w:i/>
        <w:snapToGrid w:val="0"/>
        <w:sz w:val="21"/>
      </w:rPr>
      <w:t>所含建议不具约束力</w:t>
    </w:r>
  </w:p>
  <w:p w14:paraId="5986D37D">
    <w:pPr>
      <w:pStyle w:val="10"/>
      <w:pBdr>
        <w:bottom w:val="none" w:color="auto" w:sz="0" w:space="0"/>
      </w:pBdr>
      <w:rPr>
        <w:rFonts w:ascii="Arial" w:hAnsi="Arial" w:eastAsia="宋体" w:cs="Arial"/>
        <w:i/>
        <w:snapToGrid w:val="0"/>
        <w:sz w:val="21"/>
        <w:szCs w:val="20"/>
      </w:rPr>
    </w:pPr>
    <w:r>
      <w:rPr>
        <w:rFonts w:hint="eastAsia" w:ascii="Arial" w:hAnsi="Arial" w:eastAsia="宋体" w:cs="Arial"/>
        <w:i/>
        <w:snapToGrid w:val="0"/>
        <w:sz w:val="21"/>
        <w:szCs w:val="20"/>
      </w:rPr>
      <w:t>草案-不用于实施</w:t>
    </w:r>
  </w:p>
  <w:p w14:paraId="194038C4">
    <w:pPr>
      <w:pStyle w:val="10"/>
      <w:pBdr>
        <w:bottom w:val="none" w:color="auto" w:sz="0" w:space="0"/>
      </w:pBdr>
    </w:pPr>
  </w:p>
  <w:p w14:paraId="41B9B92A">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71ABC">
    <w:pPr>
      <w:topLinePunct/>
      <w:adjustRightInd w:val="0"/>
      <w:snapToGrid w:val="0"/>
      <w:spacing w:line="288" w:lineRule="auto"/>
      <w:jc w:val="center"/>
      <w:rPr>
        <w:rFonts w:ascii="Arial" w:hAnsi="Arial" w:eastAsia="宋体" w:cs="Arial"/>
        <w:snapToGrid w:val="0"/>
        <w:sz w:val="21"/>
        <w:szCs w:val="24"/>
      </w:rPr>
    </w:pPr>
    <w:r>
      <w:rPr>
        <w:rFonts w:hint="eastAsia" w:ascii="Arial" w:hAnsi="Arial" w:eastAsia="宋体" w:cs="Arial"/>
        <w:b/>
        <w:i/>
        <w:snapToGrid w:val="0"/>
        <w:sz w:val="21"/>
      </w:rPr>
      <w:t>所含建议不具约束力</w:t>
    </w:r>
  </w:p>
  <w:p w14:paraId="52B51328">
    <w:pPr>
      <w:pStyle w:val="10"/>
      <w:pBdr>
        <w:bottom w:val="none" w:color="auto" w:sz="0" w:space="0"/>
      </w:pBdr>
      <w:rPr>
        <w:rFonts w:ascii="Arial" w:hAnsi="Arial" w:eastAsia="宋体" w:cs="Arial"/>
        <w:i/>
        <w:snapToGrid w:val="0"/>
        <w:sz w:val="21"/>
        <w:szCs w:val="20"/>
      </w:rPr>
    </w:pPr>
    <w:r>
      <w:rPr>
        <w:rFonts w:hint="eastAsia" w:ascii="Arial" w:hAnsi="Arial" w:eastAsia="宋体" w:cs="Arial"/>
        <w:i/>
        <w:snapToGrid w:val="0"/>
        <w:sz w:val="21"/>
        <w:szCs w:val="20"/>
      </w:rPr>
      <w:t>草案-不用于实施</w:t>
    </w:r>
  </w:p>
  <w:p w14:paraId="5152150B">
    <w:pPr>
      <w:pStyle w:val="10"/>
      <w:pBdr>
        <w:bottom w:val="none" w:color="auto" w:sz="0" w:space="0"/>
      </w:pBdr>
    </w:pPr>
  </w:p>
  <w:p w14:paraId="2E3C186F">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493565"/>
    <w:multiLevelType w:val="multilevel"/>
    <w:tmpl w:val="15493565"/>
    <w:lvl w:ilvl="0" w:tentative="0">
      <w:start w:val="1"/>
      <w:numFmt w:val="bullet"/>
      <w:lvlText w:val="o"/>
      <w:lvlJc w:val="left"/>
      <w:pPr>
        <w:ind w:left="1560" w:hanging="360"/>
      </w:pPr>
      <w:rPr>
        <w:rFonts w:hint="default" w:ascii="Courier New" w:hAnsi="Courier New" w:eastAsia="Courier New"/>
        <w:w w:val="99"/>
        <w:sz w:val="24"/>
        <w:szCs w:val="24"/>
      </w:rPr>
    </w:lvl>
    <w:lvl w:ilvl="1" w:tentative="0">
      <w:start w:val="1"/>
      <w:numFmt w:val="bullet"/>
      <w:lvlText w:val="•"/>
      <w:lvlJc w:val="left"/>
      <w:pPr>
        <w:ind w:left="2362" w:hanging="360"/>
      </w:pPr>
      <w:rPr>
        <w:rFonts w:hint="default"/>
      </w:rPr>
    </w:lvl>
    <w:lvl w:ilvl="2" w:tentative="0">
      <w:start w:val="1"/>
      <w:numFmt w:val="bullet"/>
      <w:lvlText w:val="•"/>
      <w:lvlJc w:val="left"/>
      <w:pPr>
        <w:ind w:left="3164" w:hanging="360"/>
      </w:pPr>
      <w:rPr>
        <w:rFonts w:hint="default"/>
      </w:rPr>
    </w:lvl>
    <w:lvl w:ilvl="3" w:tentative="0">
      <w:start w:val="1"/>
      <w:numFmt w:val="bullet"/>
      <w:lvlText w:val="•"/>
      <w:lvlJc w:val="left"/>
      <w:pPr>
        <w:ind w:left="3966" w:hanging="360"/>
      </w:pPr>
      <w:rPr>
        <w:rFonts w:hint="default"/>
      </w:rPr>
    </w:lvl>
    <w:lvl w:ilvl="4" w:tentative="0">
      <w:start w:val="1"/>
      <w:numFmt w:val="bullet"/>
      <w:lvlText w:val="•"/>
      <w:lvlJc w:val="left"/>
      <w:pPr>
        <w:ind w:left="4768" w:hanging="360"/>
      </w:pPr>
      <w:rPr>
        <w:rFonts w:hint="default"/>
      </w:rPr>
    </w:lvl>
    <w:lvl w:ilvl="5" w:tentative="0">
      <w:start w:val="1"/>
      <w:numFmt w:val="bullet"/>
      <w:lvlText w:val="•"/>
      <w:lvlJc w:val="left"/>
      <w:pPr>
        <w:ind w:left="5570" w:hanging="360"/>
      </w:pPr>
      <w:rPr>
        <w:rFonts w:hint="default"/>
      </w:rPr>
    </w:lvl>
    <w:lvl w:ilvl="6" w:tentative="0">
      <w:start w:val="1"/>
      <w:numFmt w:val="bullet"/>
      <w:lvlText w:val="•"/>
      <w:lvlJc w:val="left"/>
      <w:pPr>
        <w:ind w:left="6372" w:hanging="360"/>
      </w:pPr>
      <w:rPr>
        <w:rFonts w:hint="default"/>
      </w:rPr>
    </w:lvl>
    <w:lvl w:ilvl="7" w:tentative="0">
      <w:start w:val="1"/>
      <w:numFmt w:val="bullet"/>
      <w:lvlText w:val="•"/>
      <w:lvlJc w:val="left"/>
      <w:pPr>
        <w:ind w:left="7174" w:hanging="360"/>
      </w:pPr>
      <w:rPr>
        <w:rFonts w:hint="default"/>
      </w:rPr>
    </w:lvl>
    <w:lvl w:ilvl="8" w:tentative="0">
      <w:start w:val="1"/>
      <w:numFmt w:val="bullet"/>
      <w:lvlText w:val="•"/>
      <w:lvlJc w:val="left"/>
      <w:pPr>
        <w:ind w:left="7976" w:hanging="360"/>
      </w:pPr>
      <w:rPr>
        <w:rFonts w:hint="default"/>
      </w:rPr>
    </w:lvl>
  </w:abstractNum>
  <w:abstractNum w:abstractNumId="1">
    <w:nsid w:val="2B9235E3"/>
    <w:multiLevelType w:val="multilevel"/>
    <w:tmpl w:val="2B9235E3"/>
    <w:lvl w:ilvl="0" w:tentative="0">
      <w:start w:val="1"/>
      <w:numFmt w:val="upperRoman"/>
      <w:lvlText w:val="%1."/>
      <w:lvlJc w:val="left"/>
      <w:pPr>
        <w:ind w:left="552" w:hanging="273"/>
        <w:jc w:val="right"/>
      </w:pPr>
      <w:rPr>
        <w:rFonts w:hint="default" w:ascii="Arial" w:hAnsi="Arial" w:eastAsia="Times New Roman" w:cs="Arial"/>
        <w:b/>
        <w:bCs/>
        <w:spacing w:val="-1"/>
        <w:w w:val="99"/>
        <w:sz w:val="28"/>
        <w:szCs w:val="24"/>
      </w:rPr>
    </w:lvl>
    <w:lvl w:ilvl="1" w:tentative="0">
      <w:start w:val="1"/>
      <w:numFmt w:val="decimal"/>
      <w:lvlText w:val="(%2)"/>
      <w:lvlJc w:val="left"/>
      <w:pPr>
        <w:ind w:left="1560" w:hanging="341"/>
      </w:pPr>
      <w:rPr>
        <w:rFonts w:hint="default" w:ascii="Arial" w:hAnsi="Arial" w:eastAsia="Times New Roman" w:cs="Arial"/>
        <w:spacing w:val="0"/>
        <w:w w:val="100"/>
        <w:sz w:val="24"/>
        <w:szCs w:val="24"/>
      </w:rPr>
    </w:lvl>
    <w:lvl w:ilvl="2" w:tentative="0">
      <w:start w:val="1"/>
      <w:numFmt w:val="bullet"/>
      <w:lvlText w:val="•"/>
      <w:lvlJc w:val="left"/>
      <w:pPr>
        <w:ind w:left="2451" w:hanging="341"/>
      </w:pPr>
      <w:rPr>
        <w:rFonts w:hint="default"/>
      </w:rPr>
    </w:lvl>
    <w:lvl w:ilvl="3" w:tentative="0">
      <w:start w:val="1"/>
      <w:numFmt w:val="bullet"/>
      <w:lvlText w:val="•"/>
      <w:lvlJc w:val="left"/>
      <w:pPr>
        <w:ind w:left="3342" w:hanging="341"/>
      </w:pPr>
      <w:rPr>
        <w:rFonts w:hint="default"/>
      </w:rPr>
    </w:lvl>
    <w:lvl w:ilvl="4" w:tentative="0">
      <w:start w:val="1"/>
      <w:numFmt w:val="bullet"/>
      <w:lvlText w:val="•"/>
      <w:lvlJc w:val="left"/>
      <w:pPr>
        <w:ind w:left="4233" w:hanging="341"/>
      </w:pPr>
      <w:rPr>
        <w:rFonts w:hint="default"/>
      </w:rPr>
    </w:lvl>
    <w:lvl w:ilvl="5" w:tentative="0">
      <w:start w:val="1"/>
      <w:numFmt w:val="bullet"/>
      <w:lvlText w:val="•"/>
      <w:lvlJc w:val="left"/>
      <w:pPr>
        <w:ind w:left="5124" w:hanging="341"/>
      </w:pPr>
      <w:rPr>
        <w:rFonts w:hint="default"/>
      </w:rPr>
    </w:lvl>
    <w:lvl w:ilvl="6" w:tentative="0">
      <w:start w:val="1"/>
      <w:numFmt w:val="bullet"/>
      <w:lvlText w:val="•"/>
      <w:lvlJc w:val="left"/>
      <w:pPr>
        <w:ind w:left="6015" w:hanging="341"/>
      </w:pPr>
      <w:rPr>
        <w:rFonts w:hint="default"/>
      </w:rPr>
    </w:lvl>
    <w:lvl w:ilvl="7" w:tentative="0">
      <w:start w:val="1"/>
      <w:numFmt w:val="bullet"/>
      <w:lvlText w:val="•"/>
      <w:lvlJc w:val="left"/>
      <w:pPr>
        <w:ind w:left="6906" w:hanging="341"/>
      </w:pPr>
      <w:rPr>
        <w:rFonts w:hint="default"/>
      </w:rPr>
    </w:lvl>
    <w:lvl w:ilvl="8" w:tentative="0">
      <w:start w:val="1"/>
      <w:numFmt w:val="bullet"/>
      <w:lvlText w:val="•"/>
      <w:lvlJc w:val="left"/>
      <w:pPr>
        <w:ind w:left="7797" w:hanging="341"/>
      </w:pPr>
      <w:rPr>
        <w:rFonts w:hint="default"/>
      </w:rPr>
    </w:lvl>
  </w:abstractNum>
  <w:abstractNum w:abstractNumId="2">
    <w:nsid w:val="32035829"/>
    <w:multiLevelType w:val="multilevel"/>
    <w:tmpl w:val="32035829"/>
    <w:lvl w:ilvl="0" w:tentative="0">
      <w:start w:val="1"/>
      <w:numFmt w:val="upperLetter"/>
      <w:lvlText w:val="%1."/>
      <w:lvlJc w:val="left"/>
      <w:pPr>
        <w:ind w:left="1560" w:hanging="720"/>
      </w:pPr>
      <w:rPr>
        <w:rFonts w:hint="default" w:ascii="Arial" w:hAnsi="Arial" w:eastAsia="Times New Roman" w:cs="Arial"/>
        <w:b/>
        <w:bCs/>
        <w:spacing w:val="-1"/>
        <w:w w:val="99"/>
        <w:sz w:val="24"/>
        <w:szCs w:val="24"/>
      </w:rPr>
    </w:lvl>
    <w:lvl w:ilvl="1" w:tentative="0">
      <w:start w:val="1"/>
      <w:numFmt w:val="bullet"/>
      <w:lvlText w:val=""/>
      <w:lvlJc w:val="left"/>
      <w:pPr>
        <w:ind w:left="1560" w:hanging="360"/>
      </w:pPr>
      <w:rPr>
        <w:rFonts w:hint="default" w:ascii="Symbol" w:hAnsi="Symbol" w:eastAsia="Symbol"/>
        <w:w w:val="100"/>
        <w:sz w:val="24"/>
        <w:szCs w:val="24"/>
      </w:rPr>
    </w:lvl>
    <w:lvl w:ilvl="2" w:tentative="0">
      <w:start w:val="1"/>
      <w:numFmt w:val="bullet"/>
      <w:lvlText w:val="•"/>
      <w:lvlJc w:val="left"/>
      <w:pPr>
        <w:ind w:left="3160" w:hanging="360"/>
      </w:pPr>
      <w:rPr>
        <w:rFonts w:hint="default"/>
      </w:rPr>
    </w:lvl>
    <w:lvl w:ilvl="3" w:tentative="0">
      <w:start w:val="1"/>
      <w:numFmt w:val="bullet"/>
      <w:lvlText w:val="•"/>
      <w:lvlJc w:val="left"/>
      <w:pPr>
        <w:ind w:left="3960" w:hanging="360"/>
      </w:pPr>
      <w:rPr>
        <w:rFonts w:hint="default"/>
      </w:rPr>
    </w:lvl>
    <w:lvl w:ilvl="4" w:tentative="0">
      <w:start w:val="1"/>
      <w:numFmt w:val="bullet"/>
      <w:lvlText w:val="•"/>
      <w:lvlJc w:val="left"/>
      <w:pPr>
        <w:ind w:left="4760" w:hanging="360"/>
      </w:pPr>
      <w:rPr>
        <w:rFonts w:hint="default"/>
      </w:rPr>
    </w:lvl>
    <w:lvl w:ilvl="5" w:tentative="0">
      <w:start w:val="1"/>
      <w:numFmt w:val="bullet"/>
      <w:lvlText w:val="•"/>
      <w:lvlJc w:val="left"/>
      <w:pPr>
        <w:ind w:left="5560" w:hanging="360"/>
      </w:pPr>
      <w:rPr>
        <w:rFonts w:hint="default"/>
      </w:rPr>
    </w:lvl>
    <w:lvl w:ilvl="6" w:tentative="0">
      <w:start w:val="1"/>
      <w:numFmt w:val="bullet"/>
      <w:lvlText w:val="•"/>
      <w:lvlJc w:val="left"/>
      <w:pPr>
        <w:ind w:left="6360" w:hanging="360"/>
      </w:pPr>
      <w:rPr>
        <w:rFonts w:hint="default"/>
      </w:rPr>
    </w:lvl>
    <w:lvl w:ilvl="7" w:tentative="0">
      <w:start w:val="1"/>
      <w:numFmt w:val="bullet"/>
      <w:lvlText w:val="•"/>
      <w:lvlJc w:val="left"/>
      <w:pPr>
        <w:ind w:left="7160" w:hanging="360"/>
      </w:pPr>
      <w:rPr>
        <w:rFonts w:hint="default"/>
      </w:rPr>
    </w:lvl>
    <w:lvl w:ilvl="8" w:tentative="0">
      <w:start w:val="1"/>
      <w:numFmt w:val="bullet"/>
      <w:lvlText w:val="•"/>
      <w:lvlJc w:val="left"/>
      <w:pPr>
        <w:ind w:left="7960" w:hanging="360"/>
      </w:pPr>
      <w:rPr>
        <w:rFonts w:hint="default"/>
      </w:rPr>
    </w:lvl>
  </w:abstractNum>
  <w:abstractNum w:abstractNumId="3">
    <w:nsid w:val="69716FE5"/>
    <w:multiLevelType w:val="multilevel"/>
    <w:tmpl w:val="69716FE5"/>
    <w:lvl w:ilvl="0" w:tentative="0">
      <w:start w:val="1"/>
      <w:numFmt w:val="upperRoman"/>
      <w:lvlText w:val="%1."/>
      <w:lvlJc w:val="left"/>
      <w:pPr>
        <w:ind w:left="800" w:hanging="334"/>
        <w:jc w:val="right"/>
      </w:pPr>
      <w:rPr>
        <w:rFonts w:hint="default" w:ascii="Arial" w:hAnsi="Arial" w:eastAsia="Times New Roman" w:cs="Arial"/>
        <w:b/>
        <w:bCs/>
        <w:w w:val="99"/>
        <w:sz w:val="24"/>
        <w:szCs w:val="24"/>
      </w:rPr>
    </w:lvl>
    <w:lvl w:ilvl="1" w:tentative="0">
      <w:start w:val="1"/>
      <w:numFmt w:val="upperLetter"/>
      <w:lvlText w:val="%2."/>
      <w:lvlJc w:val="left"/>
      <w:pPr>
        <w:ind w:left="1520" w:hanging="721"/>
      </w:pPr>
      <w:rPr>
        <w:rFonts w:hint="default" w:ascii="Arial" w:hAnsi="Arial" w:eastAsia="Times New Roman" w:cs="Arial"/>
        <w:b/>
        <w:bCs/>
        <w:w w:val="99"/>
        <w:sz w:val="24"/>
        <w:szCs w:val="24"/>
      </w:rPr>
    </w:lvl>
    <w:lvl w:ilvl="2" w:tentative="0">
      <w:start w:val="1"/>
      <w:numFmt w:val="bullet"/>
      <w:lvlText w:val="•"/>
      <w:lvlJc w:val="left"/>
      <w:pPr>
        <w:ind w:left="2333" w:hanging="721"/>
      </w:pPr>
      <w:rPr>
        <w:rFonts w:hint="default"/>
      </w:rPr>
    </w:lvl>
    <w:lvl w:ilvl="3" w:tentative="0">
      <w:start w:val="1"/>
      <w:numFmt w:val="bullet"/>
      <w:lvlText w:val="•"/>
      <w:lvlJc w:val="left"/>
      <w:pPr>
        <w:ind w:left="3146" w:hanging="721"/>
      </w:pPr>
      <w:rPr>
        <w:rFonts w:hint="default"/>
      </w:rPr>
    </w:lvl>
    <w:lvl w:ilvl="4" w:tentative="0">
      <w:start w:val="1"/>
      <w:numFmt w:val="bullet"/>
      <w:lvlText w:val="•"/>
      <w:lvlJc w:val="left"/>
      <w:pPr>
        <w:ind w:left="3960" w:hanging="721"/>
      </w:pPr>
      <w:rPr>
        <w:rFonts w:hint="default"/>
      </w:rPr>
    </w:lvl>
    <w:lvl w:ilvl="5" w:tentative="0">
      <w:start w:val="1"/>
      <w:numFmt w:val="bullet"/>
      <w:lvlText w:val="•"/>
      <w:lvlJc w:val="left"/>
      <w:pPr>
        <w:ind w:left="4773" w:hanging="721"/>
      </w:pPr>
      <w:rPr>
        <w:rFonts w:hint="default"/>
      </w:rPr>
    </w:lvl>
    <w:lvl w:ilvl="6" w:tentative="0">
      <w:start w:val="1"/>
      <w:numFmt w:val="bullet"/>
      <w:lvlText w:val="•"/>
      <w:lvlJc w:val="left"/>
      <w:pPr>
        <w:ind w:left="5586" w:hanging="721"/>
      </w:pPr>
      <w:rPr>
        <w:rFonts w:hint="default"/>
      </w:rPr>
    </w:lvl>
    <w:lvl w:ilvl="7" w:tentative="0">
      <w:start w:val="1"/>
      <w:numFmt w:val="bullet"/>
      <w:lvlText w:val="•"/>
      <w:lvlJc w:val="left"/>
      <w:pPr>
        <w:ind w:left="6400" w:hanging="721"/>
      </w:pPr>
      <w:rPr>
        <w:rFonts w:hint="default"/>
      </w:rPr>
    </w:lvl>
    <w:lvl w:ilvl="8" w:tentative="0">
      <w:start w:val="1"/>
      <w:numFmt w:val="bullet"/>
      <w:lvlText w:val="•"/>
      <w:lvlJc w:val="left"/>
      <w:pPr>
        <w:ind w:left="7213" w:hanging="721"/>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719"/>
  <w:drawingGridHorizontalSpacing w:val="110"/>
  <w:drawingGridVerticalSpacing w:val="299"/>
  <w:displayHorizontalDrawingGridEvery w:val="2"/>
  <w:characterSpacingControl w:val="doNotCompress"/>
  <w:footnotePr>
    <w:footnote w:id="16"/>
    <w:footnote w:id="17"/>
  </w:foot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C45"/>
    <w:rsid w:val="00087256"/>
    <w:rsid w:val="000B63C7"/>
    <w:rsid w:val="000D5239"/>
    <w:rsid w:val="001A2648"/>
    <w:rsid w:val="001C01B0"/>
    <w:rsid w:val="0022102B"/>
    <w:rsid w:val="002E05BC"/>
    <w:rsid w:val="00320B19"/>
    <w:rsid w:val="00340CA9"/>
    <w:rsid w:val="00356A61"/>
    <w:rsid w:val="00373F1E"/>
    <w:rsid w:val="00380988"/>
    <w:rsid w:val="00393067"/>
    <w:rsid w:val="00404CD5"/>
    <w:rsid w:val="00464616"/>
    <w:rsid w:val="00481B90"/>
    <w:rsid w:val="004C57C4"/>
    <w:rsid w:val="00515D33"/>
    <w:rsid w:val="00556914"/>
    <w:rsid w:val="00601AD8"/>
    <w:rsid w:val="00617267"/>
    <w:rsid w:val="00633701"/>
    <w:rsid w:val="00650638"/>
    <w:rsid w:val="00666851"/>
    <w:rsid w:val="00684C45"/>
    <w:rsid w:val="00691555"/>
    <w:rsid w:val="006D5B32"/>
    <w:rsid w:val="0073469B"/>
    <w:rsid w:val="0077011A"/>
    <w:rsid w:val="00894C5C"/>
    <w:rsid w:val="008A7120"/>
    <w:rsid w:val="00973527"/>
    <w:rsid w:val="009A490D"/>
    <w:rsid w:val="009C0471"/>
    <w:rsid w:val="009E481F"/>
    <w:rsid w:val="00A151C6"/>
    <w:rsid w:val="00A31EED"/>
    <w:rsid w:val="00A627B5"/>
    <w:rsid w:val="00A73C8E"/>
    <w:rsid w:val="00AC12DC"/>
    <w:rsid w:val="00B44B2F"/>
    <w:rsid w:val="00BB144D"/>
    <w:rsid w:val="00BC1A71"/>
    <w:rsid w:val="00C043FC"/>
    <w:rsid w:val="00C31080"/>
    <w:rsid w:val="00C65DCD"/>
    <w:rsid w:val="00C66397"/>
    <w:rsid w:val="00D43724"/>
    <w:rsid w:val="00DD7064"/>
    <w:rsid w:val="00DE3550"/>
    <w:rsid w:val="00E03AF9"/>
    <w:rsid w:val="00E256A6"/>
    <w:rsid w:val="00FE2427"/>
    <w:rsid w:val="55990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outlineLvl w:val="0"/>
    </w:pPr>
    <w:rPr>
      <w:rFonts w:ascii="Times New Roman" w:hAnsi="Times New Roman" w:eastAsia="宋体"/>
      <w:b/>
      <w:bCs/>
      <w:sz w:val="52"/>
      <w:szCs w:val="52"/>
    </w:rPr>
  </w:style>
  <w:style w:type="paragraph" w:styleId="3">
    <w:name w:val="heading 2"/>
    <w:basedOn w:val="1"/>
    <w:qFormat/>
    <w:uiPriority w:val="1"/>
    <w:pPr>
      <w:ind w:left="20"/>
      <w:outlineLvl w:val="1"/>
    </w:pPr>
    <w:rPr>
      <w:rFonts w:ascii="Times New Roman" w:hAnsi="Times New Roman" w:eastAsia="宋体"/>
      <w:sz w:val="48"/>
      <w:szCs w:val="48"/>
    </w:rPr>
  </w:style>
  <w:style w:type="paragraph" w:styleId="4">
    <w:name w:val="heading 3"/>
    <w:basedOn w:val="1"/>
    <w:qFormat/>
    <w:uiPriority w:val="1"/>
    <w:pPr>
      <w:ind w:left="1560"/>
      <w:outlineLvl w:val="2"/>
    </w:pPr>
    <w:rPr>
      <w:rFonts w:ascii="Times New Roman" w:hAnsi="Times New Roman" w:eastAsia="宋体"/>
      <w:b/>
      <w:bCs/>
      <w:sz w:val="24"/>
      <w:szCs w:val="24"/>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1560"/>
    </w:pPr>
    <w:rPr>
      <w:rFonts w:ascii="Times New Roman" w:hAnsi="Times New Roman" w:eastAsia="宋体"/>
      <w:sz w:val="24"/>
      <w:szCs w:val="24"/>
    </w:rPr>
  </w:style>
  <w:style w:type="paragraph" w:styleId="6">
    <w:name w:val="toc 5"/>
    <w:basedOn w:val="1"/>
    <w:qFormat/>
    <w:uiPriority w:val="1"/>
    <w:pPr>
      <w:spacing w:before="240"/>
      <w:ind w:left="1520" w:hanging="720"/>
    </w:pPr>
    <w:rPr>
      <w:rFonts w:ascii="Times New Roman" w:hAnsi="Times New Roman" w:eastAsia="宋体"/>
      <w:b/>
      <w:bCs/>
      <w:sz w:val="24"/>
      <w:szCs w:val="24"/>
    </w:rPr>
  </w:style>
  <w:style w:type="paragraph" w:styleId="7">
    <w:name w:val="toc 3"/>
    <w:basedOn w:val="1"/>
    <w:qFormat/>
    <w:uiPriority w:val="1"/>
    <w:pPr>
      <w:spacing w:before="121"/>
      <w:ind w:left="800" w:hanging="413"/>
    </w:pPr>
    <w:rPr>
      <w:rFonts w:ascii="Times New Roman" w:hAnsi="Times New Roman" w:eastAsia="宋体"/>
      <w:b/>
      <w:bCs/>
      <w:sz w:val="24"/>
      <w:szCs w:val="24"/>
    </w:rPr>
  </w:style>
  <w:style w:type="paragraph" w:styleId="8">
    <w:name w:val="Balloon Text"/>
    <w:basedOn w:val="1"/>
    <w:link w:val="25"/>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qFormat/>
    <w:uiPriority w:val="1"/>
    <w:pPr>
      <w:spacing w:before="120"/>
      <w:ind w:left="800" w:hanging="520"/>
    </w:pPr>
    <w:rPr>
      <w:rFonts w:ascii="Times New Roman" w:hAnsi="Times New Roman" w:eastAsia="宋体"/>
      <w:b/>
      <w:bCs/>
      <w:sz w:val="24"/>
      <w:szCs w:val="24"/>
    </w:rPr>
  </w:style>
  <w:style w:type="paragraph" w:styleId="12">
    <w:name w:val="toc 4"/>
    <w:basedOn w:val="1"/>
    <w:qFormat/>
    <w:uiPriority w:val="1"/>
    <w:pPr>
      <w:spacing w:before="661"/>
      <w:ind w:left="800" w:hanging="334"/>
    </w:pPr>
    <w:rPr>
      <w:rFonts w:ascii="Times New Roman" w:hAnsi="Times New Roman" w:eastAsia="宋体"/>
      <w:b/>
      <w:bCs/>
      <w:sz w:val="24"/>
      <w:szCs w:val="24"/>
    </w:rPr>
  </w:style>
  <w:style w:type="paragraph" w:styleId="13">
    <w:name w:val="footnote text"/>
    <w:basedOn w:val="1"/>
    <w:link w:val="26"/>
    <w:semiHidden/>
    <w:unhideWhenUsed/>
    <w:qFormat/>
    <w:uiPriority w:val="99"/>
    <w:pPr>
      <w:snapToGrid w:val="0"/>
    </w:pPr>
    <w:rPr>
      <w:sz w:val="18"/>
      <w:szCs w:val="18"/>
    </w:rPr>
  </w:style>
  <w:style w:type="paragraph" w:styleId="14">
    <w:name w:val="toc 2"/>
    <w:basedOn w:val="1"/>
    <w:qFormat/>
    <w:uiPriority w:val="1"/>
    <w:pPr>
      <w:spacing w:before="119"/>
      <w:ind w:left="800" w:hanging="428"/>
    </w:pPr>
    <w:rPr>
      <w:rFonts w:ascii="Times New Roman" w:hAnsi="Times New Roman" w:eastAsia="宋体"/>
      <w:b/>
      <w:bCs/>
      <w:sz w:val="24"/>
      <w:szCs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styleId="19">
    <w:name w:val="footnote reference"/>
    <w:basedOn w:val="17"/>
    <w:semiHidden/>
    <w:unhideWhenUsed/>
    <w:qFormat/>
    <w:uiPriority w:val="99"/>
    <w:rPr>
      <w:vertAlign w:val="superscript"/>
    </w:rPr>
  </w:style>
  <w:style w:type="table" w:customStyle="1" w:styleId="20">
    <w:name w:val="Table Normal"/>
    <w:semiHidden/>
    <w:unhideWhenUsed/>
    <w:qFormat/>
    <w:uiPriority w:val="2"/>
    <w:tblPr>
      <w:tblCellMar>
        <w:top w:w="0" w:type="dxa"/>
        <w:left w:w="0" w:type="dxa"/>
        <w:bottom w:w="0" w:type="dxa"/>
        <w:right w:w="0" w:type="dxa"/>
      </w:tblCellMar>
    </w:tblPr>
  </w:style>
  <w:style w:type="paragraph" w:styleId="21">
    <w:name w:val="List Paragraph"/>
    <w:basedOn w:val="1"/>
    <w:qFormat/>
    <w:uiPriority w:val="1"/>
  </w:style>
  <w:style w:type="paragraph" w:customStyle="1" w:styleId="22">
    <w:name w:val="Table Paragraph"/>
    <w:basedOn w:val="1"/>
    <w:qFormat/>
    <w:uiPriority w:val="1"/>
  </w:style>
  <w:style w:type="character" w:customStyle="1" w:styleId="23">
    <w:name w:val="页眉 Char"/>
    <w:basedOn w:val="17"/>
    <w:link w:val="10"/>
    <w:qFormat/>
    <w:uiPriority w:val="99"/>
    <w:rPr>
      <w:sz w:val="18"/>
      <w:szCs w:val="18"/>
    </w:rPr>
  </w:style>
  <w:style w:type="character" w:customStyle="1" w:styleId="24">
    <w:name w:val="页脚 Char"/>
    <w:basedOn w:val="17"/>
    <w:link w:val="9"/>
    <w:qFormat/>
    <w:uiPriority w:val="99"/>
    <w:rPr>
      <w:sz w:val="18"/>
      <w:szCs w:val="18"/>
    </w:rPr>
  </w:style>
  <w:style w:type="character" w:customStyle="1" w:styleId="25">
    <w:name w:val="批注框文本 Char"/>
    <w:basedOn w:val="17"/>
    <w:link w:val="8"/>
    <w:semiHidden/>
    <w:qFormat/>
    <w:uiPriority w:val="99"/>
    <w:rPr>
      <w:sz w:val="18"/>
      <w:szCs w:val="18"/>
    </w:rPr>
  </w:style>
  <w:style w:type="character" w:customStyle="1" w:styleId="26">
    <w:name w:val="脚注文本 Char"/>
    <w:basedOn w:val="17"/>
    <w:link w:val="1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A1652-28EF-49BA-AFF5-54185033509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3890</Words>
  <Characters>4480</Characters>
  <Lines>38</Lines>
  <Paragraphs>10</Paragraphs>
  <TotalTime>1</TotalTime>
  <ScaleCrop>false</ScaleCrop>
  <LinksUpToDate>false</LinksUpToDate>
  <CharactersWithSpaces>4540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2017-12-18T14:50:00Z</dcterms:created>
  <dc:creator>Food and Drug Administration</dc:creator>
  <cp:keywords>combination, product, guidance, chemical action</cp:keywords>
  <cp:lastModifiedBy>太极箫客</cp:lastModifiedBy>
  <dcterms:modified xsi:type="dcterms:W3CDTF">2025-08-14T07:18:15Z</dcterms:modified>
  <dc:subject>Draft Guidance for Industry and FDA Staff: Interpretation of the Term “Chemical Action” in the Definition of Device under Section 201(h) of the Federal Food, Drug, and Cosmetic Act</dc:subject>
  <dc:title>Draft Guidance for Industry and FDA Staff: Interpretation of the Term “Chemical Action” in the Definition of Device under Section 201(h) of the Federal Food, Drug, and Cosmetic Act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2011-06-10T00:00:00Z</vt:filetime>
  </property>
  <property fmtid="{D5CDD505-2E9C-101B-9397-08002B2CF9AE}" pid="3" name="Creator">
    <vt:lpwstr>Acrobat PDFMaker 9.1 for Word</vt:lpwstr>
  </property>
  <property fmtid="{D5CDD505-2E9C-101B-9397-08002B2CF9AE}" pid="4" name="LastSaved">
    <vt:filetime>2017-11-06T00:00:00Z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8AC6B2200A7B410E8AE07E5F9B611EB8_12</vt:lpwstr>
  </property>
</Properties>
</file>