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1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7"/>
        <w:gridCol w:w="1552"/>
        <w:gridCol w:w="3217"/>
        <w:gridCol w:w="1384"/>
        <w:gridCol w:w="2433"/>
      </w:tblGrid>
      <w:tr w14:paraId="2B4FE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1543" w:type="pct"/>
            <w:gridSpan w:val="2"/>
            <w:vAlign w:val="center"/>
          </w:tcPr>
          <w:p w14:paraId="751BB788">
            <w:pPr>
              <w:spacing w:line="360" w:lineRule="auto"/>
              <w:jc w:val="center"/>
              <w:rPr>
                <w:rFonts w:ascii="宋体" w:hAnsi="宋体"/>
              </w:rPr>
            </w:pPr>
            <w:bookmarkStart w:id="2" w:name="_GoBack"/>
            <w:bookmarkEnd w:id="2"/>
            <w:r>
              <w:rPr>
                <w:rFonts w:hint="eastAsia" w:ascii="宋体" w:hAnsi="宋体"/>
                <w:bCs/>
                <w:snapToGrid w:val="0"/>
                <w:kern w:val="0"/>
                <w:szCs w:val="21"/>
              </w:rPr>
              <w:t>文件编号</w:t>
            </w:r>
          </w:p>
        </w:tc>
        <w:tc>
          <w:tcPr>
            <w:tcW w:w="1581" w:type="pct"/>
            <w:vMerge w:val="restart"/>
            <w:vAlign w:val="center"/>
          </w:tcPr>
          <w:p w14:paraId="2A96726E">
            <w:pPr>
              <w:spacing w:line="360" w:lineRule="auto"/>
              <w:jc w:val="center"/>
              <w:rPr>
                <w:rFonts w:ascii="宋体" w:hAnsi="宋体"/>
                <w:sz w:val="32"/>
                <w:szCs w:val="32"/>
              </w:rPr>
            </w:pPr>
            <w:r>
              <w:rPr>
                <w:rFonts w:hint="eastAsia" w:ascii="宋体" w:hAnsi="宋体"/>
                <w:b/>
                <w:bCs/>
                <w:color w:val="000000"/>
                <w:sz w:val="32"/>
                <w:szCs w:val="32"/>
              </w:rPr>
              <w:t>网络安全应急响应管理制度</w:t>
            </w:r>
          </w:p>
        </w:tc>
        <w:tc>
          <w:tcPr>
            <w:tcW w:w="1877" w:type="pct"/>
            <w:gridSpan w:val="2"/>
            <w:vAlign w:val="center"/>
          </w:tcPr>
          <w:p w14:paraId="74D32BD9">
            <w:pPr>
              <w:spacing w:line="360" w:lineRule="auto"/>
              <w:jc w:val="center"/>
              <w:rPr>
                <w:rFonts w:ascii="宋体" w:hAnsi="宋体"/>
              </w:rPr>
            </w:pPr>
            <w:r>
              <w:rPr>
                <w:rFonts w:hint="eastAsia" w:ascii="宋体" w:hAnsi="宋体"/>
                <w:bCs/>
                <w:snapToGrid w:val="0"/>
                <w:kern w:val="0"/>
                <w:szCs w:val="21"/>
              </w:rPr>
              <w:t>受控状态</w:t>
            </w:r>
          </w:p>
        </w:tc>
      </w:tr>
      <w:tr w14:paraId="40FF9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3" w:type="pct"/>
            <w:gridSpan w:val="2"/>
            <w:vAlign w:val="center"/>
          </w:tcPr>
          <w:p w14:paraId="0D7B546B">
            <w:pPr>
              <w:spacing w:line="360" w:lineRule="auto"/>
              <w:jc w:val="center"/>
              <w:rPr>
                <w:rFonts w:ascii="宋体" w:hAnsi="宋体"/>
              </w:rPr>
            </w:pPr>
          </w:p>
        </w:tc>
        <w:tc>
          <w:tcPr>
            <w:tcW w:w="1581" w:type="pct"/>
            <w:vMerge w:val="continue"/>
            <w:vAlign w:val="center"/>
          </w:tcPr>
          <w:p w14:paraId="2E752312">
            <w:pPr>
              <w:spacing w:line="360" w:lineRule="auto"/>
              <w:jc w:val="center"/>
              <w:rPr>
                <w:rFonts w:ascii="宋体" w:hAnsi="宋体"/>
              </w:rPr>
            </w:pPr>
          </w:p>
        </w:tc>
        <w:tc>
          <w:tcPr>
            <w:tcW w:w="1877" w:type="pct"/>
            <w:gridSpan w:val="2"/>
            <w:vAlign w:val="center"/>
          </w:tcPr>
          <w:p w14:paraId="1209A2BD">
            <w:pPr>
              <w:spacing w:line="360" w:lineRule="auto"/>
              <w:jc w:val="center"/>
              <w:rPr>
                <w:rFonts w:ascii="宋体" w:hAnsi="宋体"/>
              </w:rPr>
            </w:pPr>
          </w:p>
        </w:tc>
      </w:tr>
      <w:tr w14:paraId="7B98C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pct"/>
            <w:vAlign w:val="center"/>
          </w:tcPr>
          <w:p w14:paraId="4635EC20">
            <w:pPr>
              <w:spacing w:line="360" w:lineRule="auto"/>
              <w:jc w:val="center"/>
              <w:rPr>
                <w:rFonts w:ascii="宋体" w:hAnsi="宋体"/>
              </w:rPr>
            </w:pPr>
            <w:r>
              <w:rPr>
                <w:rFonts w:hint="eastAsia" w:ascii="宋体" w:hAnsi="宋体"/>
                <w:bCs/>
                <w:snapToGrid w:val="0"/>
                <w:kern w:val="0"/>
                <w:szCs w:val="21"/>
              </w:rPr>
              <w:t>拟 制 人</w:t>
            </w:r>
          </w:p>
        </w:tc>
        <w:tc>
          <w:tcPr>
            <w:tcW w:w="762" w:type="pct"/>
            <w:vAlign w:val="center"/>
          </w:tcPr>
          <w:p w14:paraId="1D11BBA7">
            <w:pPr>
              <w:spacing w:line="360" w:lineRule="auto"/>
              <w:jc w:val="center"/>
              <w:rPr>
                <w:rFonts w:ascii="宋体" w:hAnsi="宋体"/>
              </w:rPr>
            </w:pPr>
          </w:p>
        </w:tc>
        <w:tc>
          <w:tcPr>
            <w:tcW w:w="1581" w:type="pct"/>
            <w:vMerge w:val="continue"/>
            <w:vAlign w:val="center"/>
          </w:tcPr>
          <w:p w14:paraId="1788009D">
            <w:pPr>
              <w:spacing w:line="360" w:lineRule="auto"/>
              <w:jc w:val="center"/>
              <w:rPr>
                <w:rFonts w:ascii="宋体" w:hAnsi="宋体"/>
              </w:rPr>
            </w:pPr>
          </w:p>
        </w:tc>
        <w:tc>
          <w:tcPr>
            <w:tcW w:w="680" w:type="pct"/>
            <w:vAlign w:val="center"/>
          </w:tcPr>
          <w:p w14:paraId="58350B31">
            <w:pPr>
              <w:spacing w:line="360" w:lineRule="auto"/>
              <w:jc w:val="center"/>
              <w:rPr>
                <w:rFonts w:ascii="宋体" w:hAnsi="宋体"/>
              </w:rPr>
            </w:pPr>
            <w:r>
              <w:rPr>
                <w:rFonts w:hint="eastAsia" w:ascii="宋体" w:hAnsi="宋体"/>
                <w:bCs/>
                <w:snapToGrid w:val="0"/>
                <w:kern w:val="0"/>
                <w:szCs w:val="21"/>
              </w:rPr>
              <w:t>版本/修订</w:t>
            </w:r>
          </w:p>
        </w:tc>
        <w:tc>
          <w:tcPr>
            <w:tcW w:w="1196" w:type="pct"/>
            <w:vAlign w:val="center"/>
          </w:tcPr>
          <w:p w14:paraId="16C05D63">
            <w:pPr>
              <w:spacing w:line="360" w:lineRule="auto"/>
              <w:contextualSpacing/>
              <w:jc w:val="center"/>
              <w:rPr>
                <w:szCs w:val="21"/>
              </w:rPr>
            </w:pPr>
            <w:r>
              <w:rPr>
                <w:szCs w:val="21"/>
              </w:rPr>
              <w:t>A/A</w:t>
            </w:r>
            <w:r>
              <w:rPr>
                <w:szCs w:val="21"/>
                <w:vertAlign w:val="subscript"/>
              </w:rPr>
              <w:t>0</w:t>
            </w:r>
          </w:p>
        </w:tc>
      </w:tr>
      <w:tr w14:paraId="0355F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pct"/>
            <w:vAlign w:val="center"/>
          </w:tcPr>
          <w:p w14:paraId="23145DEB">
            <w:pPr>
              <w:spacing w:line="360" w:lineRule="auto"/>
              <w:jc w:val="center"/>
              <w:rPr>
                <w:rFonts w:ascii="宋体" w:hAnsi="宋体"/>
              </w:rPr>
            </w:pPr>
            <w:r>
              <w:rPr>
                <w:rFonts w:hint="eastAsia" w:ascii="宋体" w:hAnsi="宋体"/>
                <w:bCs/>
                <w:snapToGrid w:val="0"/>
                <w:kern w:val="0"/>
                <w:szCs w:val="21"/>
              </w:rPr>
              <w:t>审 核 人</w:t>
            </w:r>
          </w:p>
        </w:tc>
        <w:tc>
          <w:tcPr>
            <w:tcW w:w="762" w:type="pct"/>
            <w:vAlign w:val="center"/>
          </w:tcPr>
          <w:p w14:paraId="5F9343B9">
            <w:pPr>
              <w:spacing w:line="360" w:lineRule="auto"/>
              <w:jc w:val="center"/>
              <w:rPr>
                <w:rFonts w:ascii="宋体" w:hAnsi="宋体"/>
              </w:rPr>
            </w:pPr>
          </w:p>
        </w:tc>
        <w:tc>
          <w:tcPr>
            <w:tcW w:w="1581" w:type="pct"/>
            <w:vMerge w:val="continue"/>
            <w:vAlign w:val="center"/>
          </w:tcPr>
          <w:p w14:paraId="6974F5AE">
            <w:pPr>
              <w:spacing w:line="360" w:lineRule="auto"/>
              <w:jc w:val="center"/>
              <w:rPr>
                <w:rFonts w:ascii="宋体" w:hAnsi="宋体"/>
              </w:rPr>
            </w:pPr>
          </w:p>
        </w:tc>
        <w:tc>
          <w:tcPr>
            <w:tcW w:w="680" w:type="pct"/>
            <w:vAlign w:val="center"/>
          </w:tcPr>
          <w:p w14:paraId="568EA667">
            <w:pPr>
              <w:spacing w:line="360" w:lineRule="auto"/>
              <w:jc w:val="center"/>
              <w:rPr>
                <w:rFonts w:ascii="宋体" w:hAnsi="宋体"/>
              </w:rPr>
            </w:pPr>
            <w:r>
              <w:rPr>
                <w:rFonts w:hint="eastAsia" w:ascii="宋体" w:hAnsi="宋体"/>
              </w:rPr>
              <w:t>制作份数</w:t>
            </w:r>
          </w:p>
        </w:tc>
        <w:tc>
          <w:tcPr>
            <w:tcW w:w="1196" w:type="pct"/>
            <w:vAlign w:val="center"/>
          </w:tcPr>
          <w:p w14:paraId="06648ACA">
            <w:pPr>
              <w:spacing w:line="360" w:lineRule="auto"/>
              <w:contextualSpacing/>
              <w:jc w:val="center"/>
              <w:rPr>
                <w:szCs w:val="21"/>
              </w:rPr>
            </w:pPr>
            <w:r>
              <w:rPr>
                <w:szCs w:val="21"/>
              </w:rPr>
              <w:t>1</w:t>
            </w:r>
          </w:p>
        </w:tc>
      </w:tr>
      <w:tr w14:paraId="7166F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pct"/>
            <w:vAlign w:val="center"/>
          </w:tcPr>
          <w:p w14:paraId="57C23CC7">
            <w:pPr>
              <w:spacing w:line="360" w:lineRule="auto"/>
              <w:jc w:val="center"/>
              <w:rPr>
                <w:rFonts w:ascii="宋体" w:hAnsi="宋体"/>
              </w:rPr>
            </w:pPr>
            <w:r>
              <w:rPr>
                <w:rFonts w:hint="eastAsia" w:ascii="宋体" w:hAnsi="宋体"/>
                <w:bCs/>
                <w:snapToGrid w:val="0"/>
                <w:kern w:val="0"/>
                <w:szCs w:val="21"/>
              </w:rPr>
              <w:t>批 准 人</w:t>
            </w:r>
          </w:p>
        </w:tc>
        <w:tc>
          <w:tcPr>
            <w:tcW w:w="762" w:type="pct"/>
            <w:vAlign w:val="center"/>
          </w:tcPr>
          <w:p w14:paraId="3EB0D0D0">
            <w:pPr>
              <w:spacing w:line="360" w:lineRule="auto"/>
              <w:jc w:val="center"/>
              <w:rPr>
                <w:rFonts w:ascii="宋体" w:hAnsi="宋体"/>
              </w:rPr>
            </w:pPr>
          </w:p>
        </w:tc>
        <w:tc>
          <w:tcPr>
            <w:tcW w:w="1581" w:type="pct"/>
            <w:vMerge w:val="continue"/>
            <w:vAlign w:val="center"/>
          </w:tcPr>
          <w:p w14:paraId="639FFAD2">
            <w:pPr>
              <w:spacing w:line="360" w:lineRule="auto"/>
              <w:jc w:val="center"/>
              <w:rPr>
                <w:rFonts w:ascii="宋体" w:hAnsi="宋体"/>
              </w:rPr>
            </w:pPr>
          </w:p>
        </w:tc>
        <w:tc>
          <w:tcPr>
            <w:tcW w:w="680" w:type="pct"/>
            <w:vAlign w:val="center"/>
          </w:tcPr>
          <w:p w14:paraId="7C0D281F">
            <w:pPr>
              <w:spacing w:line="360" w:lineRule="auto"/>
              <w:jc w:val="center"/>
              <w:rPr>
                <w:rFonts w:ascii="宋体" w:hAnsi="宋体"/>
              </w:rPr>
            </w:pPr>
            <w:r>
              <w:rPr>
                <w:rFonts w:hint="eastAsia" w:ascii="宋体" w:hAnsi="宋体"/>
                <w:snapToGrid w:val="0"/>
                <w:szCs w:val="21"/>
              </w:rPr>
              <w:t>生效日期</w:t>
            </w:r>
          </w:p>
        </w:tc>
        <w:tc>
          <w:tcPr>
            <w:tcW w:w="1196" w:type="pct"/>
            <w:vAlign w:val="center"/>
          </w:tcPr>
          <w:p w14:paraId="5168F5E6">
            <w:pPr>
              <w:spacing w:line="360" w:lineRule="auto"/>
              <w:jc w:val="center"/>
            </w:pPr>
            <w:bookmarkStart w:id="0" w:name="OLE_LINK2"/>
            <w:bookmarkStart w:id="1" w:name="OLE_LINK1"/>
            <w:r>
              <w:t>2018年10月26日</w:t>
            </w:r>
            <w:bookmarkEnd w:id="0"/>
            <w:bookmarkEnd w:id="1"/>
          </w:p>
        </w:tc>
      </w:tr>
      <w:tr w14:paraId="0D48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pct"/>
            <w:vAlign w:val="center"/>
          </w:tcPr>
          <w:p w14:paraId="41DE9F2D">
            <w:pPr>
              <w:spacing w:line="360" w:lineRule="auto"/>
              <w:jc w:val="center"/>
              <w:rPr>
                <w:rFonts w:ascii="宋体" w:hAnsi="宋体"/>
              </w:rPr>
            </w:pPr>
            <w:r>
              <w:rPr>
                <w:rFonts w:hint="eastAsia" w:ascii="宋体" w:hAnsi="宋体"/>
                <w:bCs/>
                <w:snapToGrid w:val="0"/>
                <w:kern w:val="0"/>
                <w:szCs w:val="21"/>
              </w:rPr>
              <w:t>发放部门</w:t>
            </w:r>
          </w:p>
        </w:tc>
        <w:tc>
          <w:tcPr>
            <w:tcW w:w="4220" w:type="pct"/>
            <w:gridSpan w:val="4"/>
            <w:vAlign w:val="center"/>
          </w:tcPr>
          <w:p w14:paraId="317FDC6E">
            <w:pPr>
              <w:spacing w:line="360" w:lineRule="auto"/>
              <w:jc w:val="center"/>
              <w:rPr>
                <w:rFonts w:ascii="宋体" w:hAnsi="宋体"/>
                <w:szCs w:val="21"/>
              </w:rPr>
            </w:pPr>
          </w:p>
        </w:tc>
      </w:tr>
    </w:tbl>
    <w:p w14:paraId="6EF6D11E">
      <w:pPr>
        <w:numPr>
          <w:ilvl w:val="0"/>
          <w:numId w:val="1"/>
        </w:numPr>
        <w:spacing w:line="360" w:lineRule="auto"/>
        <w:rPr>
          <w:rFonts w:ascii="宋体" w:hAnsi="宋体"/>
          <w:b/>
          <w:sz w:val="24"/>
        </w:rPr>
      </w:pPr>
      <w:r>
        <w:rPr>
          <w:rFonts w:hint="eastAsia" w:ascii="宋体" w:hAnsi="宋体"/>
          <w:b/>
          <w:sz w:val="24"/>
        </w:rPr>
        <w:t>目的</w:t>
      </w:r>
    </w:p>
    <w:p w14:paraId="04D1DC94">
      <w:pPr>
        <w:spacing w:line="360" w:lineRule="auto"/>
        <w:ind w:firstLine="240" w:firstLineChars="100"/>
        <w:rPr>
          <w:rFonts w:ascii="宋体" w:hAnsi="宋体"/>
          <w:sz w:val="24"/>
        </w:rPr>
      </w:pPr>
      <w:r>
        <w:rPr>
          <w:rFonts w:hint="eastAsia" w:ascii="宋体" w:hAnsi="宋体"/>
          <w:sz w:val="24"/>
        </w:rPr>
        <w:t>为</w:t>
      </w:r>
      <w:r>
        <w:rPr>
          <w:rFonts w:ascii="宋体" w:hAnsi="宋体"/>
          <w:sz w:val="24"/>
        </w:rPr>
        <w:t>保障公司整体信息系统安全</w:t>
      </w:r>
      <w:r>
        <w:rPr>
          <w:rFonts w:hint="eastAsia" w:ascii="宋体" w:hAnsi="宋体"/>
          <w:sz w:val="24"/>
        </w:rPr>
        <w:t>，</w:t>
      </w:r>
      <w:r>
        <w:rPr>
          <w:rFonts w:ascii="宋体" w:hAnsi="宋体"/>
          <w:sz w:val="24"/>
        </w:rPr>
        <w:t>减少因信息安全事件造成的损失采取纠正预防措施编制本制度。</w:t>
      </w:r>
    </w:p>
    <w:p w14:paraId="52C9E1D4">
      <w:pPr>
        <w:numPr>
          <w:ilvl w:val="0"/>
          <w:numId w:val="1"/>
        </w:numPr>
        <w:spacing w:line="360" w:lineRule="auto"/>
        <w:rPr>
          <w:rFonts w:ascii="宋体" w:hAnsi="宋体"/>
          <w:b/>
          <w:sz w:val="24"/>
        </w:rPr>
      </w:pPr>
      <w:r>
        <w:rPr>
          <w:rFonts w:hint="eastAsia" w:ascii="宋体" w:hAnsi="宋体"/>
          <w:b/>
          <w:sz w:val="24"/>
        </w:rPr>
        <w:t>范围</w:t>
      </w:r>
    </w:p>
    <w:p w14:paraId="523D053C">
      <w:pPr>
        <w:spacing w:line="360" w:lineRule="auto"/>
        <w:ind w:firstLine="240" w:firstLineChars="100"/>
        <w:rPr>
          <w:rFonts w:ascii="宋体" w:hAnsi="宋体"/>
          <w:sz w:val="24"/>
        </w:rPr>
      </w:pPr>
      <w:r>
        <w:rPr>
          <w:rFonts w:hint="eastAsia" w:ascii="宋体" w:hAnsi="宋体"/>
          <w:sz w:val="24"/>
        </w:rPr>
        <w:t>适用于</w:t>
      </w:r>
      <w:r>
        <w:rPr>
          <w:rFonts w:ascii="宋体" w:hAnsi="宋体"/>
          <w:sz w:val="24"/>
        </w:rPr>
        <w:t>公司信息安全管理</w:t>
      </w:r>
      <w:r>
        <w:rPr>
          <w:rFonts w:hint="eastAsia" w:ascii="宋体" w:hAnsi="宋体"/>
          <w:sz w:val="24"/>
        </w:rPr>
        <w:t>。</w:t>
      </w:r>
    </w:p>
    <w:p w14:paraId="3545F797">
      <w:pPr>
        <w:numPr>
          <w:ilvl w:val="0"/>
          <w:numId w:val="1"/>
        </w:numPr>
        <w:tabs>
          <w:tab w:val="left" w:pos="6479"/>
        </w:tabs>
        <w:spacing w:line="360" w:lineRule="auto"/>
        <w:rPr>
          <w:rFonts w:ascii="宋体" w:hAnsi="宋体"/>
          <w:b/>
          <w:sz w:val="24"/>
        </w:rPr>
      </w:pPr>
      <w:r>
        <w:rPr>
          <w:rFonts w:hint="eastAsia" w:ascii="宋体" w:hAnsi="宋体"/>
          <w:b/>
          <w:sz w:val="24"/>
        </w:rPr>
        <w:t>职责</w:t>
      </w:r>
    </w:p>
    <w:p w14:paraId="0D97F178">
      <w:pPr>
        <w:widowControl/>
        <w:numPr>
          <w:ilvl w:val="0"/>
          <w:numId w:val="2"/>
        </w:numPr>
        <w:shd w:val="clear" w:color="auto" w:fill="FFFFFF"/>
        <w:spacing w:before="120"/>
        <w:jc w:val="left"/>
        <w:rPr>
          <w:rFonts w:ascii="宋体" w:hAnsi="宋体"/>
          <w:sz w:val="24"/>
        </w:rPr>
      </w:pPr>
      <w:r>
        <w:rPr>
          <w:rFonts w:hint="eastAsia" w:ascii="宋体" w:hAnsi="宋体"/>
          <w:sz w:val="24"/>
        </w:rPr>
        <w:t>各部门人员发现疑似信息安全疑似事件均有责任进行上报</w:t>
      </w:r>
      <w:r>
        <w:rPr>
          <w:rFonts w:ascii="宋体" w:hAnsi="宋体"/>
          <w:sz w:val="24"/>
        </w:rPr>
        <w:t>。</w:t>
      </w:r>
    </w:p>
    <w:p w14:paraId="6749F2D4">
      <w:pPr>
        <w:widowControl/>
        <w:numPr>
          <w:ilvl w:val="0"/>
          <w:numId w:val="2"/>
        </w:numPr>
        <w:shd w:val="clear" w:color="auto" w:fill="FFFFFF"/>
        <w:spacing w:before="120"/>
        <w:jc w:val="left"/>
        <w:rPr>
          <w:rFonts w:ascii="宋体" w:hAnsi="宋体"/>
          <w:sz w:val="24"/>
        </w:rPr>
      </w:pPr>
      <w:r>
        <w:rPr>
          <w:rFonts w:hint="eastAsia" w:ascii="宋体" w:hAnsi="宋体"/>
          <w:sz w:val="24"/>
        </w:rPr>
        <w:t>I</w:t>
      </w:r>
      <w:r>
        <w:rPr>
          <w:rFonts w:ascii="宋体" w:hAnsi="宋体"/>
          <w:sz w:val="24"/>
        </w:rPr>
        <w:t>T部</w:t>
      </w:r>
      <w:r>
        <w:rPr>
          <w:rFonts w:hint="eastAsia" w:ascii="宋体" w:hAnsi="宋体"/>
          <w:sz w:val="24"/>
        </w:rPr>
        <w:t>负责</w:t>
      </w:r>
      <w:r>
        <w:rPr>
          <w:rFonts w:ascii="宋体" w:hAnsi="宋体"/>
          <w:sz w:val="24"/>
        </w:rPr>
        <w:t>组建信息安全执行小组</w:t>
      </w:r>
      <w:r>
        <w:rPr>
          <w:rFonts w:hint="eastAsia" w:ascii="宋体" w:hAnsi="宋体"/>
          <w:sz w:val="24"/>
        </w:rPr>
        <w:t>，</w:t>
      </w:r>
      <w:r>
        <w:rPr>
          <w:rFonts w:ascii="宋体" w:hAnsi="宋体"/>
          <w:sz w:val="24"/>
        </w:rPr>
        <w:t>对所有发现有关信息安全异常事件进行分析和处理。</w:t>
      </w:r>
    </w:p>
    <w:p w14:paraId="2A62A1B3">
      <w:pPr>
        <w:numPr>
          <w:ilvl w:val="0"/>
          <w:numId w:val="1"/>
        </w:numPr>
        <w:spacing w:line="360" w:lineRule="auto"/>
        <w:rPr>
          <w:rFonts w:ascii="宋体" w:hAnsi="宋体"/>
          <w:b/>
          <w:sz w:val="24"/>
        </w:rPr>
      </w:pPr>
      <w:r>
        <w:rPr>
          <w:rFonts w:hint="eastAsia" w:ascii="宋体" w:hAnsi="宋体"/>
          <w:b/>
          <w:sz w:val="24"/>
        </w:rPr>
        <w:t>程序</w:t>
      </w:r>
    </w:p>
    <w:p w14:paraId="63E21606">
      <w:pPr>
        <w:pStyle w:val="16"/>
        <w:numPr>
          <w:ilvl w:val="1"/>
          <w:numId w:val="3"/>
        </w:numPr>
        <w:spacing w:line="360" w:lineRule="auto"/>
        <w:ind w:firstLine="240" w:firstLineChars="100"/>
        <w:rPr>
          <w:rFonts w:ascii="宋体" w:hAnsi="宋体"/>
          <w:sz w:val="24"/>
        </w:rPr>
      </w:pPr>
      <w:r>
        <w:rPr>
          <w:rFonts w:hint="eastAsia" w:ascii="宋体" w:hAnsi="宋体"/>
          <w:sz w:val="24"/>
        </w:rPr>
        <w:t>信息安全事件分类：系统攻击事件、信息破坏事件、信息容安全事件、设备故障事件、灾害事件、其他事件。</w:t>
      </w:r>
    </w:p>
    <w:p w14:paraId="05464515">
      <w:pPr>
        <w:pStyle w:val="16"/>
        <w:numPr>
          <w:ilvl w:val="0"/>
          <w:numId w:val="4"/>
        </w:numPr>
        <w:spacing w:line="360" w:lineRule="auto"/>
        <w:ind w:firstLineChars="0"/>
        <w:rPr>
          <w:rFonts w:ascii="宋体" w:hAnsi="宋体"/>
          <w:sz w:val="24"/>
        </w:rPr>
      </w:pPr>
      <w:r>
        <w:rPr>
          <w:rFonts w:ascii="宋体" w:hAnsi="宋体"/>
          <w:sz w:val="24"/>
        </w:rPr>
        <w:t>系统攻击事件</w:t>
      </w:r>
      <w:r>
        <w:rPr>
          <w:rFonts w:hint="eastAsia" w:ascii="宋体" w:hAnsi="宋体"/>
          <w:sz w:val="24"/>
        </w:rPr>
        <w:t>：</w:t>
      </w:r>
      <w:r>
        <w:rPr>
          <w:rFonts w:ascii="宋体" w:hAnsi="宋体"/>
          <w:sz w:val="24"/>
        </w:rPr>
        <w:t>通过网络攻击</w:t>
      </w:r>
      <w:r>
        <w:rPr>
          <w:rFonts w:hint="eastAsia" w:ascii="宋体" w:hAnsi="宋体"/>
          <w:sz w:val="24"/>
        </w:rPr>
        <w:t>、</w:t>
      </w:r>
      <w:r>
        <w:rPr>
          <w:rFonts w:ascii="宋体" w:hAnsi="宋体"/>
          <w:sz w:val="24"/>
        </w:rPr>
        <w:t>有害程序或其他技术手段</w:t>
      </w:r>
      <w:r>
        <w:rPr>
          <w:rFonts w:hint="eastAsia" w:ascii="宋体" w:hAnsi="宋体"/>
          <w:sz w:val="24"/>
        </w:rPr>
        <w:t>，利用信息系统的配置缺陷、协议缺陷、程序缺陷造成信息系统异常。</w:t>
      </w:r>
    </w:p>
    <w:p w14:paraId="1FE9E8B0">
      <w:pPr>
        <w:pStyle w:val="16"/>
        <w:numPr>
          <w:ilvl w:val="0"/>
          <w:numId w:val="4"/>
        </w:numPr>
        <w:spacing w:line="360" w:lineRule="auto"/>
        <w:ind w:firstLineChars="0"/>
        <w:rPr>
          <w:rFonts w:ascii="宋体" w:hAnsi="宋体"/>
          <w:sz w:val="24"/>
        </w:rPr>
      </w:pPr>
      <w:r>
        <w:rPr>
          <w:rFonts w:ascii="宋体" w:hAnsi="宋体"/>
          <w:sz w:val="24"/>
        </w:rPr>
        <w:t>信息破坏事件</w:t>
      </w:r>
      <w:r>
        <w:rPr>
          <w:rFonts w:hint="eastAsia" w:ascii="宋体" w:hAnsi="宋体"/>
          <w:sz w:val="24"/>
        </w:rPr>
        <w:t>：</w:t>
      </w:r>
      <w:r>
        <w:rPr>
          <w:rFonts w:ascii="宋体" w:hAnsi="宋体"/>
          <w:sz w:val="24"/>
        </w:rPr>
        <w:t>通过技术手段</w:t>
      </w:r>
      <w:r>
        <w:rPr>
          <w:rFonts w:hint="eastAsia" w:ascii="宋体" w:hAnsi="宋体"/>
          <w:sz w:val="24"/>
        </w:rPr>
        <w:t>造成</w:t>
      </w:r>
      <w:r>
        <w:rPr>
          <w:rFonts w:ascii="宋体" w:hAnsi="宋体"/>
          <w:sz w:val="24"/>
        </w:rPr>
        <w:t>该信息系统中的信息被篡改</w:t>
      </w:r>
      <w:r>
        <w:rPr>
          <w:rFonts w:hint="eastAsia" w:ascii="宋体" w:hAnsi="宋体"/>
          <w:sz w:val="24"/>
        </w:rPr>
        <w:t>、</w:t>
      </w:r>
      <w:r>
        <w:rPr>
          <w:rFonts w:ascii="宋体" w:hAnsi="宋体"/>
          <w:sz w:val="24"/>
        </w:rPr>
        <w:t>假冒</w:t>
      </w:r>
      <w:r>
        <w:rPr>
          <w:rFonts w:hint="eastAsia" w:ascii="宋体" w:hAnsi="宋体"/>
          <w:sz w:val="24"/>
        </w:rPr>
        <w:t>、</w:t>
      </w:r>
      <w:r>
        <w:rPr>
          <w:rFonts w:ascii="宋体" w:hAnsi="宋体"/>
          <w:sz w:val="24"/>
        </w:rPr>
        <w:t>泄露</w:t>
      </w:r>
      <w:r>
        <w:rPr>
          <w:rFonts w:hint="eastAsia" w:ascii="宋体" w:hAnsi="宋体"/>
          <w:sz w:val="24"/>
        </w:rPr>
        <w:t>、</w:t>
      </w:r>
      <w:r>
        <w:rPr>
          <w:rFonts w:ascii="宋体" w:hAnsi="宋体"/>
          <w:sz w:val="24"/>
        </w:rPr>
        <w:t>窃取等手段导致的信息安全事件</w:t>
      </w:r>
      <w:r>
        <w:rPr>
          <w:rFonts w:hint="eastAsia" w:ascii="宋体" w:hAnsi="宋体"/>
          <w:sz w:val="24"/>
        </w:rPr>
        <w:t>。</w:t>
      </w:r>
    </w:p>
    <w:p w14:paraId="7B77139A">
      <w:pPr>
        <w:pStyle w:val="16"/>
        <w:numPr>
          <w:ilvl w:val="0"/>
          <w:numId w:val="4"/>
        </w:numPr>
        <w:spacing w:line="360" w:lineRule="auto"/>
        <w:ind w:firstLineChars="0"/>
        <w:rPr>
          <w:rFonts w:ascii="宋体" w:hAnsi="宋体"/>
          <w:sz w:val="24"/>
        </w:rPr>
      </w:pPr>
      <w:r>
        <w:rPr>
          <w:rFonts w:ascii="宋体" w:hAnsi="宋体"/>
          <w:sz w:val="24"/>
        </w:rPr>
        <w:t>信息容安全事件</w:t>
      </w:r>
      <w:r>
        <w:rPr>
          <w:rFonts w:hint="eastAsia" w:ascii="宋体" w:hAnsi="宋体"/>
          <w:sz w:val="24"/>
        </w:rPr>
        <w:t>：</w:t>
      </w:r>
      <w:r>
        <w:rPr>
          <w:rFonts w:ascii="宋体" w:hAnsi="宋体"/>
          <w:sz w:val="24"/>
        </w:rPr>
        <w:t>利用网络发布</w:t>
      </w:r>
      <w:r>
        <w:rPr>
          <w:rFonts w:hint="eastAsia" w:ascii="宋体" w:hAnsi="宋体"/>
          <w:sz w:val="24"/>
        </w:rPr>
        <w:t>、</w:t>
      </w:r>
      <w:r>
        <w:rPr>
          <w:rFonts w:ascii="宋体" w:hAnsi="宋体"/>
          <w:sz w:val="24"/>
        </w:rPr>
        <w:t>传播危害安全</w:t>
      </w:r>
      <w:r>
        <w:rPr>
          <w:rFonts w:hint="eastAsia" w:ascii="宋体" w:hAnsi="宋体"/>
          <w:sz w:val="24"/>
        </w:rPr>
        <w:t>、破坏</w:t>
      </w:r>
      <w:r>
        <w:rPr>
          <w:rFonts w:ascii="宋体" w:hAnsi="宋体"/>
          <w:sz w:val="24"/>
        </w:rPr>
        <w:t>社会稳定</w:t>
      </w:r>
      <w:r>
        <w:rPr>
          <w:rFonts w:hint="eastAsia" w:ascii="宋体" w:hAnsi="宋体"/>
          <w:sz w:val="24"/>
        </w:rPr>
        <w:t>、</w:t>
      </w:r>
      <w:r>
        <w:rPr>
          <w:rFonts w:ascii="宋体" w:hAnsi="宋体"/>
          <w:sz w:val="24"/>
        </w:rPr>
        <w:t>损害公共利益的安全事件</w:t>
      </w:r>
      <w:r>
        <w:rPr>
          <w:rFonts w:hint="eastAsia" w:ascii="宋体" w:hAnsi="宋体"/>
          <w:sz w:val="24"/>
        </w:rPr>
        <w:t>。</w:t>
      </w:r>
    </w:p>
    <w:p w14:paraId="79C4B05E">
      <w:pPr>
        <w:pStyle w:val="16"/>
        <w:numPr>
          <w:ilvl w:val="0"/>
          <w:numId w:val="4"/>
        </w:numPr>
        <w:spacing w:line="360" w:lineRule="auto"/>
        <w:ind w:firstLineChars="0"/>
        <w:rPr>
          <w:rFonts w:ascii="宋体" w:hAnsi="宋体"/>
          <w:sz w:val="24"/>
        </w:rPr>
      </w:pPr>
      <w:r>
        <w:rPr>
          <w:rFonts w:ascii="宋体" w:hAnsi="宋体"/>
          <w:sz w:val="24"/>
        </w:rPr>
        <w:t>设施设备故障</w:t>
      </w:r>
      <w:r>
        <w:rPr>
          <w:rFonts w:hint="eastAsia" w:ascii="宋体" w:hAnsi="宋体"/>
          <w:sz w:val="24"/>
        </w:rPr>
        <w:t>：</w:t>
      </w:r>
      <w:r>
        <w:rPr>
          <w:rFonts w:ascii="宋体" w:hAnsi="宋体"/>
          <w:sz w:val="24"/>
        </w:rPr>
        <w:t>由于人为操作导致系统自身故障或外部设施故障导致的信息安全事件</w:t>
      </w:r>
      <w:r>
        <w:rPr>
          <w:rFonts w:hint="eastAsia" w:ascii="宋体" w:hAnsi="宋体"/>
          <w:sz w:val="24"/>
        </w:rPr>
        <w:t>。</w:t>
      </w:r>
    </w:p>
    <w:p w14:paraId="4C199EEE">
      <w:pPr>
        <w:pStyle w:val="16"/>
        <w:numPr>
          <w:ilvl w:val="0"/>
          <w:numId w:val="4"/>
        </w:numPr>
        <w:spacing w:line="360" w:lineRule="auto"/>
        <w:ind w:firstLineChars="0"/>
        <w:rPr>
          <w:rFonts w:ascii="宋体" w:hAnsi="宋体"/>
          <w:sz w:val="24"/>
        </w:rPr>
      </w:pPr>
      <w:r>
        <w:rPr>
          <w:rFonts w:ascii="宋体" w:hAnsi="宋体"/>
          <w:sz w:val="24"/>
        </w:rPr>
        <w:t>由于不可抗力造成物理性破坏导致的信息安全事件</w:t>
      </w:r>
      <w:r>
        <w:rPr>
          <w:rFonts w:hint="eastAsia" w:ascii="宋体" w:hAnsi="宋体"/>
          <w:sz w:val="24"/>
        </w:rPr>
        <w:t>。</w:t>
      </w:r>
    </w:p>
    <w:p w14:paraId="1DAD2F2D">
      <w:pPr>
        <w:pStyle w:val="16"/>
        <w:numPr>
          <w:ilvl w:val="0"/>
          <w:numId w:val="4"/>
        </w:numPr>
        <w:spacing w:line="360" w:lineRule="auto"/>
        <w:ind w:firstLineChars="0"/>
        <w:rPr>
          <w:rFonts w:ascii="宋体" w:hAnsi="宋体"/>
          <w:sz w:val="24"/>
        </w:rPr>
      </w:pPr>
      <w:r>
        <w:rPr>
          <w:rFonts w:ascii="宋体" w:hAnsi="宋体"/>
          <w:sz w:val="24"/>
        </w:rPr>
        <w:t>不属于上述原因造成的信息安全事件</w:t>
      </w:r>
      <w:r>
        <w:rPr>
          <w:rFonts w:hint="eastAsia" w:ascii="宋体" w:hAnsi="宋体"/>
          <w:sz w:val="24"/>
        </w:rPr>
        <w:t>。</w:t>
      </w:r>
    </w:p>
    <w:p w14:paraId="39AA6485">
      <w:pPr>
        <w:pStyle w:val="16"/>
        <w:numPr>
          <w:ilvl w:val="1"/>
          <w:numId w:val="3"/>
        </w:numPr>
        <w:spacing w:line="360" w:lineRule="auto"/>
        <w:ind w:firstLine="240" w:firstLineChars="100"/>
        <w:rPr>
          <w:rFonts w:ascii="宋体" w:hAnsi="宋体"/>
          <w:sz w:val="24"/>
        </w:rPr>
      </w:pPr>
      <w:r>
        <w:rPr>
          <w:rFonts w:ascii="宋体" w:hAnsi="宋体"/>
          <w:sz w:val="24"/>
        </w:rPr>
        <w:t>安全事件的分级</w:t>
      </w:r>
      <w:r>
        <w:rPr>
          <w:rFonts w:hint="eastAsia" w:ascii="宋体" w:hAnsi="宋体"/>
          <w:sz w:val="24"/>
        </w:rPr>
        <w:t>：根据损失程度和影响将信息安全事件划分为4个等级；</w:t>
      </w:r>
    </w:p>
    <w:p w14:paraId="515DF5CF">
      <w:pPr>
        <w:pStyle w:val="16"/>
        <w:numPr>
          <w:ilvl w:val="0"/>
          <w:numId w:val="5"/>
        </w:numPr>
        <w:spacing w:line="360" w:lineRule="auto"/>
        <w:ind w:firstLineChars="0"/>
        <w:rPr>
          <w:rFonts w:ascii="宋体" w:hAnsi="宋体"/>
          <w:sz w:val="24"/>
        </w:rPr>
      </w:pPr>
      <w:r>
        <w:rPr>
          <w:rFonts w:hint="eastAsia" w:ascii="宋体" w:hAnsi="宋体"/>
          <w:sz w:val="24"/>
        </w:rPr>
        <w:t>特别重大信息安全事件：能够导致特别严重的影响或破坏信息事件，造成极严重的损失和极坏的社会影响。</w:t>
      </w:r>
    </w:p>
    <w:p w14:paraId="2C6C46FA">
      <w:pPr>
        <w:pStyle w:val="16"/>
        <w:numPr>
          <w:ilvl w:val="0"/>
          <w:numId w:val="5"/>
        </w:numPr>
        <w:spacing w:line="360" w:lineRule="auto"/>
        <w:ind w:firstLineChars="0"/>
        <w:rPr>
          <w:rFonts w:ascii="宋体" w:hAnsi="宋体"/>
          <w:sz w:val="24"/>
        </w:rPr>
      </w:pPr>
      <w:r>
        <w:rPr>
          <w:rFonts w:ascii="宋体" w:hAnsi="宋体"/>
          <w:sz w:val="24"/>
        </w:rPr>
        <w:t>重大信息安全事件</w:t>
      </w:r>
      <w:r>
        <w:rPr>
          <w:rFonts w:hint="eastAsia" w:ascii="宋体" w:hAnsi="宋体"/>
          <w:sz w:val="24"/>
        </w:rPr>
        <w:t>：</w:t>
      </w:r>
      <w:r>
        <w:rPr>
          <w:rFonts w:ascii="宋体" w:hAnsi="宋体"/>
          <w:sz w:val="24"/>
        </w:rPr>
        <w:t>导致严重影响或破坏的信息安全事件</w:t>
      </w:r>
      <w:r>
        <w:rPr>
          <w:rFonts w:hint="eastAsia" w:ascii="宋体" w:hAnsi="宋体"/>
          <w:sz w:val="24"/>
        </w:rPr>
        <w:t>，</w:t>
      </w:r>
      <w:r>
        <w:rPr>
          <w:rFonts w:ascii="宋体" w:hAnsi="宋体"/>
          <w:sz w:val="24"/>
        </w:rPr>
        <w:t>造成严重的系统损失</w:t>
      </w:r>
      <w:r>
        <w:rPr>
          <w:rFonts w:hint="eastAsia" w:ascii="宋体" w:hAnsi="宋体"/>
          <w:sz w:val="24"/>
        </w:rPr>
        <w:t>。</w:t>
      </w:r>
    </w:p>
    <w:p w14:paraId="1C78B1D5">
      <w:pPr>
        <w:pStyle w:val="16"/>
        <w:numPr>
          <w:ilvl w:val="0"/>
          <w:numId w:val="5"/>
        </w:numPr>
        <w:spacing w:line="360" w:lineRule="auto"/>
        <w:ind w:firstLineChars="0"/>
        <w:rPr>
          <w:rFonts w:ascii="宋体" w:hAnsi="宋体"/>
          <w:sz w:val="24"/>
        </w:rPr>
      </w:pPr>
      <w:r>
        <w:rPr>
          <w:rFonts w:ascii="宋体" w:hAnsi="宋体"/>
          <w:sz w:val="24"/>
        </w:rPr>
        <w:t>较大信息安全事件</w:t>
      </w:r>
      <w:r>
        <w:rPr>
          <w:rFonts w:hint="eastAsia" w:ascii="宋体" w:hAnsi="宋体"/>
          <w:sz w:val="24"/>
        </w:rPr>
        <w:t>：</w:t>
      </w:r>
      <w:r>
        <w:rPr>
          <w:rFonts w:ascii="宋体" w:hAnsi="宋体"/>
          <w:sz w:val="24"/>
        </w:rPr>
        <w:t>导致较严重的系统信息安全事件</w:t>
      </w:r>
      <w:r>
        <w:rPr>
          <w:rFonts w:hint="eastAsia" w:ascii="宋体" w:hAnsi="宋体"/>
          <w:sz w:val="24"/>
        </w:rPr>
        <w:t>，</w:t>
      </w:r>
      <w:r>
        <w:rPr>
          <w:rFonts w:ascii="宋体" w:hAnsi="宋体"/>
          <w:sz w:val="24"/>
        </w:rPr>
        <w:t>会使重要信通信息遭受损失</w:t>
      </w:r>
      <w:r>
        <w:rPr>
          <w:rFonts w:hint="eastAsia" w:ascii="宋体" w:hAnsi="宋体"/>
          <w:sz w:val="24"/>
        </w:rPr>
        <w:t>，</w:t>
      </w:r>
      <w:r>
        <w:rPr>
          <w:rFonts w:ascii="宋体" w:hAnsi="宋体"/>
          <w:sz w:val="24"/>
        </w:rPr>
        <w:t>一般信息系统遭受特别大的损失</w:t>
      </w:r>
      <w:r>
        <w:rPr>
          <w:rFonts w:hint="eastAsia" w:ascii="宋体" w:hAnsi="宋体"/>
          <w:sz w:val="24"/>
        </w:rPr>
        <w:t>。</w:t>
      </w:r>
    </w:p>
    <w:p w14:paraId="7C0BD2A2">
      <w:pPr>
        <w:pStyle w:val="16"/>
        <w:numPr>
          <w:ilvl w:val="0"/>
          <w:numId w:val="5"/>
        </w:numPr>
        <w:spacing w:line="360" w:lineRule="auto"/>
        <w:ind w:firstLineChars="0"/>
        <w:rPr>
          <w:rFonts w:ascii="宋体" w:hAnsi="宋体"/>
          <w:sz w:val="24"/>
        </w:rPr>
      </w:pPr>
      <w:r>
        <w:rPr>
          <w:rFonts w:ascii="宋体" w:hAnsi="宋体"/>
          <w:sz w:val="24"/>
        </w:rPr>
        <w:t>一般信息安全事件</w:t>
      </w:r>
      <w:r>
        <w:rPr>
          <w:rFonts w:hint="eastAsia" w:ascii="宋体" w:hAnsi="宋体"/>
          <w:sz w:val="24"/>
        </w:rPr>
        <w:t>：</w:t>
      </w:r>
      <w:r>
        <w:rPr>
          <w:rFonts w:ascii="宋体" w:hAnsi="宋体"/>
          <w:sz w:val="24"/>
        </w:rPr>
        <w:t>会使特别重要的信息系统遭受较小的损失或一般信息系统受到较大损失</w:t>
      </w:r>
      <w:r>
        <w:rPr>
          <w:rFonts w:hint="eastAsia" w:ascii="宋体" w:hAnsi="宋体"/>
          <w:sz w:val="24"/>
        </w:rPr>
        <w:t>。</w:t>
      </w:r>
    </w:p>
    <w:p w14:paraId="5DDCBCEB">
      <w:pPr>
        <w:pStyle w:val="16"/>
        <w:numPr>
          <w:ilvl w:val="1"/>
          <w:numId w:val="3"/>
        </w:numPr>
        <w:spacing w:line="360" w:lineRule="auto"/>
        <w:ind w:firstLine="240" w:firstLineChars="100"/>
        <w:rPr>
          <w:rFonts w:ascii="宋体" w:hAnsi="宋体"/>
          <w:sz w:val="24"/>
        </w:rPr>
      </w:pPr>
      <w:r>
        <w:rPr>
          <w:rFonts w:hint="eastAsia" w:ascii="宋体" w:hAnsi="宋体"/>
          <w:sz w:val="24"/>
        </w:rPr>
        <w:t>应急处置</w:t>
      </w:r>
    </w:p>
    <w:p w14:paraId="7D67FBCC">
      <w:pPr>
        <w:pStyle w:val="16"/>
        <w:numPr>
          <w:ilvl w:val="0"/>
          <w:numId w:val="6"/>
        </w:numPr>
        <w:spacing w:line="360" w:lineRule="auto"/>
        <w:ind w:firstLineChars="0"/>
        <w:rPr>
          <w:rFonts w:ascii="宋体" w:hAnsi="宋体"/>
          <w:sz w:val="24"/>
        </w:rPr>
      </w:pPr>
      <w:r>
        <w:rPr>
          <w:rFonts w:hint="eastAsia" w:ascii="宋体" w:hAnsi="宋体"/>
          <w:sz w:val="24"/>
        </w:rPr>
        <w:t>任何岗位人员发现疑似信息安全事件第一时间上报主管领导，由主管领导与I</w:t>
      </w:r>
      <w:r>
        <w:rPr>
          <w:rFonts w:ascii="宋体" w:hAnsi="宋体"/>
          <w:sz w:val="24"/>
        </w:rPr>
        <w:t>T部联系对一是时间进行确认</w:t>
      </w:r>
      <w:r>
        <w:rPr>
          <w:rFonts w:hint="eastAsia" w:ascii="宋体" w:hAnsi="宋体"/>
          <w:sz w:val="24"/>
        </w:rPr>
        <w:t>。</w:t>
      </w:r>
    </w:p>
    <w:p w14:paraId="72FE634C">
      <w:pPr>
        <w:pStyle w:val="16"/>
        <w:numPr>
          <w:ilvl w:val="0"/>
          <w:numId w:val="6"/>
        </w:numPr>
        <w:spacing w:line="360" w:lineRule="auto"/>
        <w:ind w:firstLineChars="0"/>
        <w:rPr>
          <w:rFonts w:ascii="宋体" w:hAnsi="宋体"/>
          <w:sz w:val="24"/>
        </w:rPr>
      </w:pPr>
      <w:r>
        <w:rPr>
          <w:rFonts w:hint="eastAsia" w:ascii="宋体" w:hAnsi="宋体"/>
          <w:sz w:val="24"/>
        </w:rPr>
        <w:t>I</w:t>
      </w:r>
      <w:r>
        <w:rPr>
          <w:rFonts w:ascii="宋体" w:hAnsi="宋体"/>
          <w:sz w:val="24"/>
        </w:rPr>
        <w:t>T部信息安全执行小组对上报疑似安全事件进行分析</w:t>
      </w:r>
      <w:r>
        <w:rPr>
          <w:rFonts w:hint="eastAsia" w:ascii="宋体" w:hAnsi="宋体"/>
          <w:sz w:val="24"/>
        </w:rPr>
        <w:t>。</w:t>
      </w:r>
    </w:p>
    <w:p w14:paraId="5E5F86EE">
      <w:pPr>
        <w:pStyle w:val="16"/>
        <w:numPr>
          <w:ilvl w:val="0"/>
          <w:numId w:val="7"/>
        </w:numPr>
        <w:spacing w:line="360" w:lineRule="auto"/>
        <w:ind w:firstLineChars="0"/>
        <w:rPr>
          <w:rFonts w:ascii="宋体" w:hAnsi="宋体"/>
          <w:sz w:val="24"/>
        </w:rPr>
      </w:pPr>
      <w:r>
        <w:rPr>
          <w:rFonts w:hint="eastAsia" w:ascii="宋体" w:hAnsi="宋体"/>
          <w:sz w:val="24"/>
        </w:rPr>
        <w:t>分析判定为非信息安全事件的，需及时回复上报人。</w:t>
      </w:r>
    </w:p>
    <w:p w14:paraId="110A9E1D">
      <w:pPr>
        <w:pStyle w:val="16"/>
        <w:numPr>
          <w:ilvl w:val="0"/>
          <w:numId w:val="7"/>
        </w:numPr>
        <w:spacing w:line="360" w:lineRule="auto"/>
        <w:ind w:firstLineChars="0"/>
        <w:rPr>
          <w:rFonts w:ascii="宋体" w:hAnsi="宋体"/>
          <w:sz w:val="24"/>
        </w:rPr>
      </w:pPr>
      <w:r>
        <w:rPr>
          <w:rFonts w:ascii="宋体" w:hAnsi="宋体"/>
          <w:sz w:val="24"/>
        </w:rPr>
        <w:t>分析判定为信息安全事件的需进一步分析事件影响</w:t>
      </w:r>
      <w:r>
        <w:rPr>
          <w:rFonts w:hint="eastAsia" w:ascii="宋体" w:hAnsi="宋体"/>
          <w:sz w:val="24"/>
        </w:rPr>
        <w:t>，</w:t>
      </w:r>
      <w:r>
        <w:rPr>
          <w:rFonts w:ascii="宋体" w:hAnsi="宋体"/>
          <w:sz w:val="24"/>
        </w:rPr>
        <w:t>确定安全等级并根据安全等级影响采取相应的处理措施</w:t>
      </w:r>
      <w:r>
        <w:rPr>
          <w:rFonts w:hint="eastAsia" w:ascii="宋体" w:hAnsi="宋体"/>
          <w:sz w:val="24"/>
        </w:rPr>
        <w:t>。</w:t>
      </w:r>
    </w:p>
    <w:p w14:paraId="26C1467C">
      <w:pPr>
        <w:pStyle w:val="16"/>
        <w:numPr>
          <w:ilvl w:val="0"/>
          <w:numId w:val="8"/>
        </w:numPr>
        <w:spacing w:line="360" w:lineRule="auto"/>
        <w:ind w:firstLineChars="0"/>
        <w:rPr>
          <w:rFonts w:ascii="宋体" w:hAnsi="宋体"/>
          <w:sz w:val="24"/>
        </w:rPr>
      </w:pPr>
      <w:r>
        <w:rPr>
          <w:rFonts w:ascii="宋体" w:hAnsi="宋体"/>
          <w:sz w:val="24"/>
        </w:rPr>
        <w:t>信息安全危害响应时间及处理周期</w:t>
      </w:r>
    </w:p>
    <w:p w14:paraId="6DAA9CC5">
      <w:pPr>
        <w:pStyle w:val="16"/>
        <w:numPr>
          <w:ilvl w:val="0"/>
          <w:numId w:val="9"/>
        </w:numPr>
        <w:spacing w:line="360" w:lineRule="auto"/>
        <w:ind w:firstLineChars="0"/>
        <w:rPr>
          <w:rFonts w:ascii="宋体" w:hAnsi="宋体"/>
          <w:sz w:val="24"/>
        </w:rPr>
      </w:pPr>
      <w:r>
        <w:rPr>
          <w:rFonts w:hint="eastAsia" w:ascii="宋体" w:hAnsi="宋体"/>
          <w:sz w:val="24"/>
        </w:rPr>
        <w:t>特别重大信息安全事件：响应时间1</w:t>
      </w:r>
      <w:r>
        <w:rPr>
          <w:rFonts w:ascii="宋体" w:hAnsi="宋体"/>
          <w:sz w:val="24"/>
        </w:rPr>
        <w:t>5分钟</w:t>
      </w:r>
      <w:r>
        <w:rPr>
          <w:rFonts w:hint="eastAsia" w:ascii="宋体" w:hAnsi="宋体"/>
          <w:sz w:val="24"/>
        </w:rPr>
        <w:t>，</w:t>
      </w:r>
      <w:r>
        <w:rPr>
          <w:rFonts w:ascii="宋体" w:hAnsi="宋体"/>
          <w:sz w:val="24"/>
        </w:rPr>
        <w:t>故障处理周期</w:t>
      </w:r>
      <w:r>
        <w:rPr>
          <w:rFonts w:hint="eastAsia" w:ascii="宋体" w:hAnsi="宋体"/>
          <w:sz w:val="24"/>
        </w:rPr>
        <w:t>1小时。</w:t>
      </w:r>
    </w:p>
    <w:p w14:paraId="01D8EA4C">
      <w:pPr>
        <w:pStyle w:val="16"/>
        <w:numPr>
          <w:ilvl w:val="0"/>
          <w:numId w:val="9"/>
        </w:numPr>
        <w:spacing w:line="360" w:lineRule="auto"/>
        <w:ind w:firstLineChars="0"/>
        <w:rPr>
          <w:rFonts w:ascii="宋体" w:hAnsi="宋体"/>
          <w:sz w:val="24"/>
        </w:rPr>
      </w:pPr>
      <w:r>
        <w:rPr>
          <w:rFonts w:ascii="宋体" w:hAnsi="宋体"/>
          <w:sz w:val="24"/>
        </w:rPr>
        <w:t>重大信息安全事件</w:t>
      </w:r>
      <w:r>
        <w:rPr>
          <w:rFonts w:hint="eastAsia" w:ascii="宋体" w:hAnsi="宋体"/>
          <w:sz w:val="24"/>
        </w:rPr>
        <w:t>：响应时间</w:t>
      </w:r>
      <w:r>
        <w:rPr>
          <w:rFonts w:ascii="宋体" w:hAnsi="宋体"/>
          <w:sz w:val="24"/>
        </w:rPr>
        <w:t>30分钟</w:t>
      </w:r>
      <w:r>
        <w:rPr>
          <w:rFonts w:hint="eastAsia" w:ascii="宋体" w:hAnsi="宋体"/>
          <w:sz w:val="24"/>
        </w:rPr>
        <w:t>，</w:t>
      </w:r>
      <w:r>
        <w:rPr>
          <w:rFonts w:ascii="宋体" w:hAnsi="宋体"/>
          <w:sz w:val="24"/>
        </w:rPr>
        <w:t>故障处理周期3</w:t>
      </w:r>
      <w:r>
        <w:rPr>
          <w:rFonts w:hint="eastAsia" w:ascii="宋体" w:hAnsi="宋体"/>
          <w:sz w:val="24"/>
        </w:rPr>
        <w:t>小时。</w:t>
      </w:r>
    </w:p>
    <w:p w14:paraId="2648E444">
      <w:pPr>
        <w:pStyle w:val="16"/>
        <w:numPr>
          <w:ilvl w:val="0"/>
          <w:numId w:val="9"/>
        </w:numPr>
        <w:spacing w:line="360" w:lineRule="auto"/>
        <w:ind w:firstLineChars="0"/>
        <w:rPr>
          <w:rFonts w:ascii="宋体" w:hAnsi="宋体"/>
          <w:sz w:val="24"/>
        </w:rPr>
      </w:pPr>
      <w:r>
        <w:rPr>
          <w:rFonts w:ascii="宋体" w:hAnsi="宋体"/>
          <w:sz w:val="24"/>
        </w:rPr>
        <w:t>重大信息安全事件</w:t>
      </w:r>
      <w:r>
        <w:rPr>
          <w:rFonts w:hint="eastAsia" w:ascii="宋体" w:hAnsi="宋体"/>
          <w:sz w:val="24"/>
        </w:rPr>
        <w:t>：响应时间</w:t>
      </w:r>
      <w:r>
        <w:rPr>
          <w:rFonts w:ascii="宋体" w:hAnsi="宋体"/>
          <w:sz w:val="24"/>
        </w:rPr>
        <w:t>1</w:t>
      </w:r>
      <w:r>
        <w:rPr>
          <w:rFonts w:hint="eastAsia" w:ascii="宋体" w:hAnsi="宋体"/>
          <w:sz w:val="24"/>
        </w:rPr>
        <w:t>小时，</w:t>
      </w:r>
      <w:r>
        <w:rPr>
          <w:rFonts w:ascii="宋体" w:hAnsi="宋体"/>
          <w:sz w:val="24"/>
        </w:rPr>
        <w:t>故障处理周期1</w:t>
      </w:r>
      <w:r>
        <w:rPr>
          <w:rFonts w:hint="eastAsia" w:ascii="宋体" w:hAnsi="宋体"/>
          <w:sz w:val="24"/>
        </w:rPr>
        <w:t>工作日。</w:t>
      </w:r>
    </w:p>
    <w:p w14:paraId="6F4B7F31">
      <w:pPr>
        <w:pStyle w:val="16"/>
        <w:numPr>
          <w:ilvl w:val="0"/>
          <w:numId w:val="9"/>
        </w:numPr>
        <w:spacing w:line="360" w:lineRule="auto"/>
        <w:ind w:firstLineChars="0"/>
        <w:rPr>
          <w:rFonts w:ascii="宋体" w:hAnsi="宋体"/>
          <w:sz w:val="24"/>
        </w:rPr>
      </w:pPr>
      <w:r>
        <w:rPr>
          <w:rFonts w:ascii="宋体" w:hAnsi="宋体"/>
          <w:sz w:val="24"/>
        </w:rPr>
        <w:t>一般信息安全事件</w:t>
      </w:r>
      <w:r>
        <w:rPr>
          <w:rFonts w:hint="eastAsia" w:ascii="宋体" w:hAnsi="宋体"/>
          <w:sz w:val="24"/>
        </w:rPr>
        <w:t>：响应时间</w:t>
      </w:r>
      <w:r>
        <w:rPr>
          <w:rFonts w:ascii="宋体" w:hAnsi="宋体"/>
          <w:sz w:val="24"/>
        </w:rPr>
        <w:t>2</w:t>
      </w:r>
      <w:r>
        <w:rPr>
          <w:rFonts w:hint="eastAsia" w:ascii="宋体" w:hAnsi="宋体"/>
          <w:sz w:val="24"/>
        </w:rPr>
        <w:t>小时，</w:t>
      </w:r>
      <w:r>
        <w:rPr>
          <w:rFonts w:ascii="宋体" w:hAnsi="宋体"/>
          <w:sz w:val="24"/>
        </w:rPr>
        <w:t>故障处理周期2</w:t>
      </w:r>
      <w:r>
        <w:rPr>
          <w:rFonts w:hint="eastAsia" w:ascii="宋体" w:hAnsi="宋体"/>
          <w:sz w:val="24"/>
        </w:rPr>
        <w:t>工作日。</w:t>
      </w:r>
    </w:p>
    <w:p w14:paraId="5A710AAD">
      <w:pPr>
        <w:pStyle w:val="16"/>
        <w:numPr>
          <w:ilvl w:val="0"/>
          <w:numId w:val="10"/>
        </w:numPr>
        <w:spacing w:line="360" w:lineRule="auto"/>
        <w:ind w:firstLineChars="0"/>
        <w:rPr>
          <w:rFonts w:ascii="宋体" w:hAnsi="宋体"/>
          <w:sz w:val="24"/>
        </w:rPr>
      </w:pPr>
      <w:r>
        <w:rPr>
          <w:rFonts w:hint="eastAsia" w:ascii="宋体" w:hAnsi="宋体"/>
          <w:sz w:val="24"/>
        </w:rPr>
        <w:t>安全事件应急处理结束后，应对本次安全事件发生的原因、事件规模进行调查，估算造成的损失后果并对应急处理措施进行风险评估。总结应急处理的经验形成完整的《安全事件应急处理报告》由I</w:t>
      </w:r>
      <w:r>
        <w:rPr>
          <w:rFonts w:ascii="宋体" w:hAnsi="宋体"/>
          <w:sz w:val="24"/>
        </w:rPr>
        <w:t>T部归档保存</w:t>
      </w:r>
      <w:r>
        <w:rPr>
          <w:rFonts w:hint="eastAsia" w:ascii="宋体" w:hAnsi="宋体"/>
          <w:sz w:val="24"/>
        </w:rPr>
        <w:t>。</w:t>
      </w:r>
    </w:p>
    <w:p w14:paraId="1F0C613A">
      <w:pPr>
        <w:numPr>
          <w:ilvl w:val="0"/>
          <w:numId w:val="1"/>
        </w:numPr>
        <w:spacing w:line="360" w:lineRule="auto"/>
        <w:rPr>
          <w:rFonts w:ascii="宋体" w:hAnsi="宋体"/>
          <w:b/>
          <w:sz w:val="24"/>
        </w:rPr>
      </w:pPr>
      <w:r>
        <w:rPr>
          <w:rFonts w:hint="eastAsia" w:ascii="宋体" w:hAnsi="宋体"/>
          <w:b/>
          <w:sz w:val="24"/>
        </w:rPr>
        <w:t>相关文件</w:t>
      </w:r>
    </w:p>
    <w:p w14:paraId="71E16C9F">
      <w:pPr>
        <w:spacing w:line="360" w:lineRule="auto"/>
        <w:ind w:firstLine="480" w:firstLineChars="200"/>
        <w:rPr>
          <w:rFonts w:ascii="宋体" w:hAnsi="宋体"/>
          <w:sz w:val="24"/>
        </w:rPr>
      </w:pPr>
      <w:r>
        <w:rPr>
          <w:rFonts w:hint="eastAsia" w:ascii="宋体" w:hAnsi="宋体"/>
          <w:sz w:val="24"/>
        </w:rPr>
        <w:t>无</w:t>
      </w:r>
    </w:p>
    <w:p w14:paraId="3DFD3245">
      <w:pPr>
        <w:numPr>
          <w:ilvl w:val="0"/>
          <w:numId w:val="1"/>
        </w:numPr>
        <w:spacing w:line="360" w:lineRule="auto"/>
        <w:rPr>
          <w:rFonts w:ascii="宋体" w:hAnsi="宋体"/>
          <w:b/>
          <w:sz w:val="24"/>
        </w:rPr>
      </w:pPr>
      <w:r>
        <w:rPr>
          <w:rFonts w:hint="eastAsia" w:ascii="宋体" w:hAnsi="宋体"/>
          <w:b/>
          <w:sz w:val="24"/>
        </w:rPr>
        <w:t>相关记录</w:t>
      </w:r>
    </w:p>
    <w:p w14:paraId="6BA14A77">
      <w:pPr>
        <w:spacing w:line="360" w:lineRule="auto"/>
        <w:ind w:firstLine="240" w:firstLineChars="100"/>
        <w:rPr>
          <w:rFonts w:ascii="宋体" w:hAnsi="宋体"/>
          <w:sz w:val="24"/>
        </w:rPr>
      </w:pPr>
      <w:r>
        <w:rPr>
          <w:rFonts w:hint="eastAsia" w:ascii="宋体" w:hAnsi="宋体"/>
          <w:sz w:val="24"/>
        </w:rPr>
        <w:t xml:space="preserve">《安全事件应急处理报告》                          </w:t>
      </w:r>
      <w:r>
        <w:rPr>
          <w:rFonts w:ascii="宋体" w:hAnsi="宋体"/>
          <w:sz w:val="24"/>
        </w:rPr>
        <w:t xml:space="preserve">      </w:t>
      </w:r>
      <w:r>
        <w:rPr>
          <w:rFonts w:hint="eastAsia" w:ascii="宋体" w:hAnsi="宋体"/>
          <w:sz w:val="24"/>
        </w:rPr>
        <w:t xml:space="preserve"> </w:t>
      </w:r>
    </w:p>
    <w:sectPr>
      <w:headerReference r:id="rId3" w:type="default"/>
      <w:footerReference r:id="rId4" w:type="default"/>
      <w:footerReference r:id="rId5" w:type="even"/>
      <w:pgSz w:w="11906" w:h="16838"/>
      <w:pgMar w:top="851" w:right="1134" w:bottom="851" w:left="1134" w:header="482" w:footer="48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A51BE">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790C5">
    <w:pPr>
      <w:pStyle w:val="6"/>
      <w:framePr w:wrap="around" w:vAnchor="text" w:hAnchor="margin" w:xAlign="center" w:y="1"/>
      <w:rPr>
        <w:rStyle w:val="12"/>
      </w:rPr>
    </w:pPr>
    <w:r>
      <w:fldChar w:fldCharType="begin"/>
    </w:r>
    <w:r>
      <w:rPr>
        <w:rStyle w:val="12"/>
      </w:rPr>
      <w:instrText xml:space="preserve">PAGE  </w:instrText>
    </w:r>
    <w:r>
      <w:fldChar w:fldCharType="end"/>
    </w:r>
  </w:p>
  <w:p w14:paraId="2FC2C8FC">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C3F13">
    <w:pPr>
      <w:pBdr>
        <w:bottom w:val="single" w:color="auto" w:sz="4" w:space="1"/>
      </w:pBdr>
      <w:ind w:right="220"/>
      <w:rPr>
        <w:rFonts w:ascii="宋体" w:hAnsi="宋体"/>
        <w:b/>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DEB11"/>
    <w:multiLevelType w:val="singleLevel"/>
    <w:tmpl w:val="A91DEB11"/>
    <w:lvl w:ilvl="0" w:tentative="0">
      <w:start w:val="1"/>
      <w:numFmt w:val="decimal"/>
      <w:suff w:val="space"/>
      <w:lvlText w:val="%1."/>
      <w:lvlJc w:val="left"/>
      <w:rPr>
        <w:rFonts w:hint="default" w:ascii="Times New Roman" w:hAnsi="Times New Roman" w:cs="Times New Roman"/>
      </w:rPr>
    </w:lvl>
  </w:abstractNum>
  <w:abstractNum w:abstractNumId="1">
    <w:nsid w:val="06004EB5"/>
    <w:multiLevelType w:val="multilevel"/>
    <w:tmpl w:val="06004EB5"/>
    <w:lvl w:ilvl="0" w:tentative="0">
      <w:start w:val="1"/>
      <w:numFmt w:val="decimal"/>
      <w:lvlText w:val="4.3.2.%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2">
    <w:nsid w:val="144A0368"/>
    <w:multiLevelType w:val="multilevel"/>
    <w:tmpl w:val="144A0368"/>
    <w:lvl w:ilvl="0" w:tentative="0">
      <w:start w:val="1"/>
      <w:numFmt w:val="decimal"/>
      <w:lvlText w:val="4.1.%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3">
    <w:nsid w:val="28D82FE6"/>
    <w:multiLevelType w:val="multilevel"/>
    <w:tmpl w:val="28D82FE6"/>
    <w:lvl w:ilvl="0" w:tentative="0">
      <w:start w:val="1"/>
      <w:numFmt w:val="decimal"/>
      <w:lvlText w:val="4.2.%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4">
    <w:nsid w:val="313E5915"/>
    <w:multiLevelType w:val="multilevel"/>
    <w:tmpl w:val="313E5915"/>
    <w:lvl w:ilvl="0" w:tentative="0">
      <w:start w:val="1"/>
      <w:numFmt w:val="decimal"/>
      <w:lvlText w:val="3.%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45494658"/>
    <w:multiLevelType w:val="multilevel"/>
    <w:tmpl w:val="45494658"/>
    <w:lvl w:ilvl="0" w:tentative="0">
      <w:start w:val="1"/>
      <w:numFmt w:val="decimal"/>
      <w:lvlText w:val="4.3.%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6">
    <w:nsid w:val="4C9C3E1A"/>
    <w:multiLevelType w:val="multilevel"/>
    <w:tmpl w:val="4C9C3E1A"/>
    <w:lvl w:ilvl="0" w:tentative="0">
      <w:start w:val="4"/>
      <w:numFmt w:val="decimal"/>
      <w:lvlText w:val="4.%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7">
    <w:nsid w:val="511F5BCD"/>
    <w:multiLevelType w:val="multilevel"/>
    <w:tmpl w:val="511F5BCD"/>
    <w:lvl w:ilvl="0" w:tentative="0">
      <w:start w:val="4"/>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61B63E2A"/>
    <w:multiLevelType w:val="multilevel"/>
    <w:tmpl w:val="61B63E2A"/>
    <w:lvl w:ilvl="0" w:tentative="0">
      <w:start w:val="1"/>
      <w:numFmt w:val="decimal"/>
      <w:lvlText w:val="4.4.%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9">
    <w:nsid w:val="7EBA6ECB"/>
    <w:multiLevelType w:val="multilevel"/>
    <w:tmpl w:val="7EBA6ECB"/>
    <w:lvl w:ilvl="0" w:tentative="0">
      <w:start w:val="5"/>
      <w:numFmt w:val="decimal"/>
      <w:lvlText w:val="4.%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num w:numId="1">
    <w:abstractNumId w:val="0"/>
  </w:num>
  <w:num w:numId="2">
    <w:abstractNumId w:val="4"/>
  </w:num>
  <w:num w:numId="3">
    <w:abstractNumId w:val="7"/>
    <w:lvlOverride w:ilvl="0">
      <w:lvl w:ilvl="0" w:tentative="1">
        <w:start w:val="4"/>
        <w:numFmt w:val="decimal"/>
        <w:lvlText w:val="%1"/>
        <w:lvlJc w:val="left"/>
        <w:pPr>
          <w:ind w:left="425" w:hanging="425"/>
        </w:pPr>
        <w:rPr>
          <w:rFonts w:hint="eastAsia"/>
        </w:rPr>
      </w:lvl>
    </w:lvlOverride>
    <w:lvlOverride w:ilvl="1">
      <w:lvl w:ilvl="1" w:tentative="1">
        <w:start w:val="1"/>
        <w:numFmt w:val="decimal"/>
        <w:suff w:val="space"/>
        <w:lvlText w:val="%1.%2"/>
        <w:lvlJc w:val="left"/>
        <w:pPr>
          <w:ind w:left="0" w:firstLine="0"/>
        </w:pPr>
        <w:rPr>
          <w:rFonts w:hint="default" w:ascii="Times New Roman" w:hAnsi="Times New Roman" w:cs="Times New Roman"/>
        </w:rPr>
      </w:lvl>
    </w:lvlOverride>
    <w:lvlOverride w:ilvl="2">
      <w:lvl w:ilvl="2" w:tentative="1">
        <w:start w:val="1"/>
        <w:numFmt w:val="decimal"/>
        <w:suff w:val="space"/>
        <w:lvlText w:val="%1.%2.%3"/>
        <w:lvlJc w:val="left"/>
        <w:pPr>
          <w:ind w:left="0" w:firstLine="0"/>
        </w:pPr>
        <w:rPr>
          <w:rFonts w:hint="default" w:ascii="Times New Roman" w:hAnsi="Times New Roman" w:cs="Times New Roman"/>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4">
    <w:abstractNumId w:val="2"/>
  </w:num>
  <w:num w:numId="5">
    <w:abstractNumId w:val="3"/>
  </w:num>
  <w:num w:numId="6">
    <w:abstractNumId w:val="5"/>
  </w:num>
  <w:num w:numId="7">
    <w:abstractNumId w:val="1"/>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69"/>
    <w:rsid w:val="00006D0F"/>
    <w:rsid w:val="00011E22"/>
    <w:rsid w:val="00032AA9"/>
    <w:rsid w:val="00054BC9"/>
    <w:rsid w:val="00064AD0"/>
    <w:rsid w:val="00094DD7"/>
    <w:rsid w:val="000957A0"/>
    <w:rsid w:val="000A01DE"/>
    <w:rsid w:val="000A3D94"/>
    <w:rsid w:val="000C1A44"/>
    <w:rsid w:val="000C5CED"/>
    <w:rsid w:val="00106B60"/>
    <w:rsid w:val="00106C3D"/>
    <w:rsid w:val="00114335"/>
    <w:rsid w:val="00143DE6"/>
    <w:rsid w:val="00146ED2"/>
    <w:rsid w:val="0015458D"/>
    <w:rsid w:val="001646E6"/>
    <w:rsid w:val="00177EE8"/>
    <w:rsid w:val="001818ED"/>
    <w:rsid w:val="00197DAD"/>
    <w:rsid w:val="001B5D3D"/>
    <w:rsid w:val="001C4809"/>
    <w:rsid w:val="001C79E8"/>
    <w:rsid w:val="001C7B96"/>
    <w:rsid w:val="001D2D52"/>
    <w:rsid w:val="002019F0"/>
    <w:rsid w:val="00203F13"/>
    <w:rsid w:val="00221B8E"/>
    <w:rsid w:val="00224F82"/>
    <w:rsid w:val="00234B02"/>
    <w:rsid w:val="00240DFE"/>
    <w:rsid w:val="00245450"/>
    <w:rsid w:val="0024786A"/>
    <w:rsid w:val="00250DBA"/>
    <w:rsid w:val="00273CA6"/>
    <w:rsid w:val="002768D4"/>
    <w:rsid w:val="00284B99"/>
    <w:rsid w:val="002920E4"/>
    <w:rsid w:val="0029455A"/>
    <w:rsid w:val="00296B6F"/>
    <w:rsid w:val="002A16C7"/>
    <w:rsid w:val="002E56F3"/>
    <w:rsid w:val="0030309C"/>
    <w:rsid w:val="003107F3"/>
    <w:rsid w:val="00330BCC"/>
    <w:rsid w:val="00360B0A"/>
    <w:rsid w:val="00372C0A"/>
    <w:rsid w:val="00383E14"/>
    <w:rsid w:val="00384B1B"/>
    <w:rsid w:val="003A322B"/>
    <w:rsid w:val="003B08EC"/>
    <w:rsid w:val="003B55EF"/>
    <w:rsid w:val="003C082C"/>
    <w:rsid w:val="003F5F47"/>
    <w:rsid w:val="00407AAD"/>
    <w:rsid w:val="004167AD"/>
    <w:rsid w:val="004207CE"/>
    <w:rsid w:val="00440BDB"/>
    <w:rsid w:val="004470D0"/>
    <w:rsid w:val="00453A4B"/>
    <w:rsid w:val="00461B44"/>
    <w:rsid w:val="00462047"/>
    <w:rsid w:val="00470372"/>
    <w:rsid w:val="00472C66"/>
    <w:rsid w:val="00474989"/>
    <w:rsid w:val="004964E2"/>
    <w:rsid w:val="004A2626"/>
    <w:rsid w:val="004A7B06"/>
    <w:rsid w:val="004C1655"/>
    <w:rsid w:val="004E081F"/>
    <w:rsid w:val="004E232E"/>
    <w:rsid w:val="004F5864"/>
    <w:rsid w:val="005060D5"/>
    <w:rsid w:val="005119ED"/>
    <w:rsid w:val="0052540E"/>
    <w:rsid w:val="00531644"/>
    <w:rsid w:val="00554810"/>
    <w:rsid w:val="0056392B"/>
    <w:rsid w:val="00582DBA"/>
    <w:rsid w:val="00583D0F"/>
    <w:rsid w:val="00590501"/>
    <w:rsid w:val="005910AA"/>
    <w:rsid w:val="00595BD3"/>
    <w:rsid w:val="00595D9D"/>
    <w:rsid w:val="00596986"/>
    <w:rsid w:val="005B3E7F"/>
    <w:rsid w:val="005C26AC"/>
    <w:rsid w:val="005C289E"/>
    <w:rsid w:val="005C4F05"/>
    <w:rsid w:val="005C6ECF"/>
    <w:rsid w:val="005F001A"/>
    <w:rsid w:val="00604D1C"/>
    <w:rsid w:val="00626DCC"/>
    <w:rsid w:val="006557B2"/>
    <w:rsid w:val="0067494F"/>
    <w:rsid w:val="00687D20"/>
    <w:rsid w:val="006A3500"/>
    <w:rsid w:val="006A44F5"/>
    <w:rsid w:val="006C1125"/>
    <w:rsid w:val="006C1EC3"/>
    <w:rsid w:val="006E1C61"/>
    <w:rsid w:val="006E495F"/>
    <w:rsid w:val="006F7BF6"/>
    <w:rsid w:val="007021FB"/>
    <w:rsid w:val="00716C01"/>
    <w:rsid w:val="0072780E"/>
    <w:rsid w:val="00737DE7"/>
    <w:rsid w:val="00741B22"/>
    <w:rsid w:val="007645F8"/>
    <w:rsid w:val="00772D6C"/>
    <w:rsid w:val="00781F60"/>
    <w:rsid w:val="00785B98"/>
    <w:rsid w:val="00795959"/>
    <w:rsid w:val="00797E36"/>
    <w:rsid w:val="007A6BB7"/>
    <w:rsid w:val="007B11D5"/>
    <w:rsid w:val="007B308F"/>
    <w:rsid w:val="007D54EE"/>
    <w:rsid w:val="007F230B"/>
    <w:rsid w:val="007F4CEB"/>
    <w:rsid w:val="007F70E6"/>
    <w:rsid w:val="007F7206"/>
    <w:rsid w:val="00803AF0"/>
    <w:rsid w:val="00822772"/>
    <w:rsid w:val="00833350"/>
    <w:rsid w:val="00842026"/>
    <w:rsid w:val="00847E7C"/>
    <w:rsid w:val="00862D13"/>
    <w:rsid w:val="00863BEB"/>
    <w:rsid w:val="008657B7"/>
    <w:rsid w:val="00871805"/>
    <w:rsid w:val="00873D17"/>
    <w:rsid w:val="00885EF8"/>
    <w:rsid w:val="008A52EE"/>
    <w:rsid w:val="008B273B"/>
    <w:rsid w:val="008B7789"/>
    <w:rsid w:val="008C1A7B"/>
    <w:rsid w:val="008D1E37"/>
    <w:rsid w:val="008E63AD"/>
    <w:rsid w:val="008E6588"/>
    <w:rsid w:val="008F32F0"/>
    <w:rsid w:val="00901692"/>
    <w:rsid w:val="0091686C"/>
    <w:rsid w:val="009309FD"/>
    <w:rsid w:val="00950CB7"/>
    <w:rsid w:val="00955B50"/>
    <w:rsid w:val="0097174A"/>
    <w:rsid w:val="00987365"/>
    <w:rsid w:val="009930F8"/>
    <w:rsid w:val="0099420F"/>
    <w:rsid w:val="00995051"/>
    <w:rsid w:val="009A0CAB"/>
    <w:rsid w:val="009B354F"/>
    <w:rsid w:val="009C0EFF"/>
    <w:rsid w:val="009C2F45"/>
    <w:rsid w:val="009C7C26"/>
    <w:rsid w:val="009D769D"/>
    <w:rsid w:val="00A257EE"/>
    <w:rsid w:val="00A400C4"/>
    <w:rsid w:val="00A40A2B"/>
    <w:rsid w:val="00A4440D"/>
    <w:rsid w:val="00A51C73"/>
    <w:rsid w:val="00A678A6"/>
    <w:rsid w:val="00A9512E"/>
    <w:rsid w:val="00A95E0F"/>
    <w:rsid w:val="00AA17DD"/>
    <w:rsid w:val="00AB0A23"/>
    <w:rsid w:val="00AB5CFB"/>
    <w:rsid w:val="00AD5641"/>
    <w:rsid w:val="00AE3169"/>
    <w:rsid w:val="00AF4540"/>
    <w:rsid w:val="00B03012"/>
    <w:rsid w:val="00B07A8C"/>
    <w:rsid w:val="00B113CD"/>
    <w:rsid w:val="00B264A7"/>
    <w:rsid w:val="00B50101"/>
    <w:rsid w:val="00B84E40"/>
    <w:rsid w:val="00B952AB"/>
    <w:rsid w:val="00BA1D36"/>
    <w:rsid w:val="00BA4820"/>
    <w:rsid w:val="00BA5BA3"/>
    <w:rsid w:val="00BC3177"/>
    <w:rsid w:val="00BC7958"/>
    <w:rsid w:val="00BD447E"/>
    <w:rsid w:val="00BF0826"/>
    <w:rsid w:val="00C042E4"/>
    <w:rsid w:val="00C15F04"/>
    <w:rsid w:val="00C202BB"/>
    <w:rsid w:val="00C30341"/>
    <w:rsid w:val="00C342A8"/>
    <w:rsid w:val="00C40988"/>
    <w:rsid w:val="00C415BC"/>
    <w:rsid w:val="00C46051"/>
    <w:rsid w:val="00C632F0"/>
    <w:rsid w:val="00C73018"/>
    <w:rsid w:val="00C73F27"/>
    <w:rsid w:val="00C75549"/>
    <w:rsid w:val="00C83F91"/>
    <w:rsid w:val="00C86DF1"/>
    <w:rsid w:val="00CA3C8F"/>
    <w:rsid w:val="00CA63EC"/>
    <w:rsid w:val="00CB5007"/>
    <w:rsid w:val="00CC6A4D"/>
    <w:rsid w:val="00CD5216"/>
    <w:rsid w:val="00CD53FC"/>
    <w:rsid w:val="00CE5CAE"/>
    <w:rsid w:val="00CF1282"/>
    <w:rsid w:val="00CF4A2D"/>
    <w:rsid w:val="00CF5AC7"/>
    <w:rsid w:val="00CF6D04"/>
    <w:rsid w:val="00D05713"/>
    <w:rsid w:val="00D24A95"/>
    <w:rsid w:val="00D25DE4"/>
    <w:rsid w:val="00D27FDC"/>
    <w:rsid w:val="00D41FEC"/>
    <w:rsid w:val="00D46234"/>
    <w:rsid w:val="00D5085E"/>
    <w:rsid w:val="00D56D30"/>
    <w:rsid w:val="00D61A3E"/>
    <w:rsid w:val="00D620F8"/>
    <w:rsid w:val="00D87F81"/>
    <w:rsid w:val="00DA0533"/>
    <w:rsid w:val="00DA58E7"/>
    <w:rsid w:val="00DB0687"/>
    <w:rsid w:val="00DB4553"/>
    <w:rsid w:val="00DC0FDF"/>
    <w:rsid w:val="00DC173F"/>
    <w:rsid w:val="00DD1621"/>
    <w:rsid w:val="00DD4AB9"/>
    <w:rsid w:val="00E125FE"/>
    <w:rsid w:val="00E23C88"/>
    <w:rsid w:val="00E31736"/>
    <w:rsid w:val="00E53CA9"/>
    <w:rsid w:val="00E67EBF"/>
    <w:rsid w:val="00E67FA5"/>
    <w:rsid w:val="00E87217"/>
    <w:rsid w:val="00E932B5"/>
    <w:rsid w:val="00EB0193"/>
    <w:rsid w:val="00EB6104"/>
    <w:rsid w:val="00EC38C6"/>
    <w:rsid w:val="00EC4A55"/>
    <w:rsid w:val="00EC4C03"/>
    <w:rsid w:val="00ED6503"/>
    <w:rsid w:val="00EE087E"/>
    <w:rsid w:val="00EE440F"/>
    <w:rsid w:val="00EF562C"/>
    <w:rsid w:val="00F049F1"/>
    <w:rsid w:val="00F04A57"/>
    <w:rsid w:val="00F2042E"/>
    <w:rsid w:val="00F34B5F"/>
    <w:rsid w:val="00F4315F"/>
    <w:rsid w:val="00F5795A"/>
    <w:rsid w:val="00F64B06"/>
    <w:rsid w:val="00F86BCD"/>
    <w:rsid w:val="00F9279C"/>
    <w:rsid w:val="00FA0854"/>
    <w:rsid w:val="00FA745B"/>
    <w:rsid w:val="00FB6BC0"/>
    <w:rsid w:val="00FD547E"/>
    <w:rsid w:val="00FE2D9C"/>
    <w:rsid w:val="00FE4016"/>
    <w:rsid w:val="00FF61A5"/>
    <w:rsid w:val="06F57105"/>
    <w:rsid w:val="0C05491E"/>
    <w:rsid w:val="3CDB5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qFormat/>
    <w:uiPriority w:val="0"/>
    <w:pPr>
      <w:ind w:left="100" w:leftChars="2500"/>
    </w:pPr>
  </w:style>
  <w:style w:type="paragraph" w:styleId="4">
    <w:name w:val="Body Text Indent 2"/>
    <w:basedOn w:val="1"/>
    <w:qFormat/>
    <w:uiPriority w:val="0"/>
    <w:pPr>
      <w:widowControl/>
      <w:ind w:left="1400"/>
      <w:jc w:val="left"/>
    </w:pPr>
    <w:rPr>
      <w:rFonts w:ascii="宋体"/>
      <w:kern w:val="0"/>
      <w:szCs w:val="20"/>
      <w:lang w:eastAsia="en-US"/>
    </w:rPr>
  </w:style>
  <w:style w:type="paragraph" w:styleId="5">
    <w:name w:val="Balloon Text"/>
    <w:basedOn w:val="1"/>
    <w:semiHidden/>
    <w:uiPriority w:val="0"/>
    <w:rPr>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widowControl/>
      <w:ind w:left="1500"/>
      <w:jc w:val="left"/>
    </w:pPr>
    <w:rPr>
      <w:rFonts w:ascii="宋体"/>
      <w:kern w:val="0"/>
      <w:szCs w:val="20"/>
      <w:lang w:eastAsia="en-US"/>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styleId="12">
    <w:name w:val="page number"/>
    <w:basedOn w:val="11"/>
    <w:qFormat/>
    <w:uiPriority w:val="0"/>
  </w:style>
  <w:style w:type="character" w:styleId="13">
    <w:name w:val="Hyperlink"/>
    <w:uiPriority w:val="0"/>
    <w:rPr>
      <w:color w:val="0000FF"/>
      <w:u w:val="single"/>
    </w:rPr>
  </w:style>
  <w:style w:type="character" w:customStyle="1" w:styleId="14">
    <w:name w:val="t31"/>
    <w:uiPriority w:val="0"/>
    <w:rPr>
      <w:color w:val="000000"/>
      <w:sz w:val="26"/>
      <w:szCs w:val="26"/>
    </w:rPr>
  </w:style>
  <w:style w:type="character" w:customStyle="1" w:styleId="15">
    <w:name w:val="页脚 Char"/>
    <w:link w:val="6"/>
    <w:uiPriority w:val="99"/>
    <w:rPr>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jxy</Company>
  <Pages>2</Pages>
  <Words>1047</Words>
  <Characters>1188</Characters>
  <Lines>8</Lines>
  <Paragraphs>2</Paragraphs>
  <TotalTime>451</TotalTime>
  <ScaleCrop>false</ScaleCrop>
  <LinksUpToDate>false</LinksUpToDate>
  <CharactersWithSpaces>1227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2020-12-04T01:57:00Z</dcterms:created>
  <dc:creator>guosiyu</dc:creator>
  <cp:lastModifiedBy>太极箫客</cp:lastModifiedBy>
  <cp:lastPrinted>2020-02-14T06:28:00Z</cp:lastPrinted>
  <dcterms:modified xsi:type="dcterms:W3CDTF">2025-08-14T07:17:35Z</dcterms:modified>
  <dc:title>USCIZL-2018-24 设备档案管理制度 20201204</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2F1C5F9C063A45B0A271D0F9D8198D18_12</vt:lpwstr>
  </property>
</Properties>
</file>