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D5EE9">
      <w:pPr>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网式雾化器注册技术指导原则</w:t>
      </w:r>
    </w:p>
    <w:p w14:paraId="66B6683D">
      <w:pPr>
        <w:jc w:val="center"/>
        <w:rPr>
          <w:rFonts w:ascii="方正小标宋简体" w:eastAsia="方正小标宋简体"/>
          <w:sz w:val="44"/>
          <w:szCs w:val="44"/>
        </w:rPr>
      </w:pPr>
      <w:r>
        <w:rPr>
          <w:rFonts w:hint="eastAsia" w:ascii="方正小标宋简体" w:eastAsia="方正小标宋简体"/>
          <w:sz w:val="44"/>
          <w:szCs w:val="44"/>
        </w:rPr>
        <w:t>（征求意见稿）</w:t>
      </w:r>
    </w:p>
    <w:p w14:paraId="287D4788">
      <w:pPr>
        <w:spacing w:line="520" w:lineRule="exact"/>
        <w:ind w:right="-99" w:rightChars="-47" w:firstLine="640" w:firstLineChars="200"/>
        <w:rPr>
          <w:rFonts w:ascii="仿宋_GB2312" w:eastAsia="仿宋_GB2312"/>
          <w:sz w:val="32"/>
          <w:szCs w:val="32"/>
        </w:rPr>
      </w:pPr>
      <w:r>
        <w:rPr>
          <w:rFonts w:hint="eastAsia" w:ascii="仿宋_GB2312" w:eastAsia="仿宋_GB2312"/>
          <w:sz w:val="32"/>
          <w:szCs w:val="32"/>
        </w:rPr>
        <w:t>本指导原则旨在指导</w:t>
      </w:r>
      <w:r>
        <w:rPr>
          <w:rFonts w:ascii="仿宋_GB2312" w:eastAsia="仿宋_GB2312"/>
          <w:sz w:val="32"/>
          <w:szCs w:val="32"/>
        </w:rPr>
        <w:t>注册申请人提交</w:t>
      </w:r>
      <w:r>
        <w:rPr>
          <w:rFonts w:hint="eastAsia" w:ascii="仿宋_GB2312" w:eastAsia="仿宋_GB2312"/>
          <w:sz w:val="32"/>
          <w:szCs w:val="32"/>
        </w:rPr>
        <w:t>网式雾化器</w:t>
      </w:r>
      <w:r>
        <w:rPr>
          <w:rFonts w:ascii="仿宋_GB2312" w:eastAsia="仿宋_GB2312"/>
          <w:sz w:val="32"/>
          <w:szCs w:val="32"/>
        </w:rPr>
        <w:t>的注册申报资料，</w:t>
      </w:r>
      <w:r>
        <w:rPr>
          <w:rFonts w:hint="eastAsia" w:ascii="仿宋_GB2312" w:eastAsia="仿宋_GB2312"/>
          <w:sz w:val="32"/>
          <w:szCs w:val="32"/>
        </w:rPr>
        <w:t>同时也为技术审评部门审评注册申报资料提供参考。</w:t>
      </w:r>
    </w:p>
    <w:p w14:paraId="0FB78356">
      <w:pPr>
        <w:spacing w:line="520" w:lineRule="exact"/>
        <w:ind w:right="-99" w:rightChars="-47" w:firstLine="640" w:firstLineChars="200"/>
        <w:rPr>
          <w:rFonts w:ascii="仿宋_GB2312" w:eastAsia="仿宋_GB2312"/>
          <w:sz w:val="32"/>
          <w:szCs w:val="32"/>
        </w:rPr>
      </w:pPr>
      <w:r>
        <w:rPr>
          <w:rFonts w:hint="eastAsia" w:ascii="仿宋_GB2312" w:eastAsia="仿宋_GB2312"/>
          <w:sz w:val="32"/>
          <w:szCs w:val="32"/>
        </w:rPr>
        <w:t>本</w:t>
      </w:r>
      <w:r>
        <w:rPr>
          <w:rFonts w:ascii="仿宋_GB2312" w:eastAsia="仿宋_GB2312"/>
          <w:sz w:val="32"/>
          <w:szCs w:val="32"/>
        </w:rPr>
        <w:t>指导原则是对</w:t>
      </w:r>
      <w:r>
        <w:rPr>
          <w:rFonts w:hint="eastAsia" w:ascii="仿宋_GB2312" w:eastAsia="仿宋_GB2312"/>
          <w:sz w:val="32"/>
          <w:szCs w:val="32"/>
        </w:rPr>
        <w:t>网式</w:t>
      </w:r>
      <w:r>
        <w:rPr>
          <w:rFonts w:ascii="仿宋_GB2312" w:eastAsia="仿宋_GB2312"/>
          <w:sz w:val="32"/>
          <w:szCs w:val="32"/>
        </w:rPr>
        <w:t>雾化器</w:t>
      </w:r>
      <w:r>
        <w:rPr>
          <w:rFonts w:hint="eastAsia" w:ascii="仿宋_GB2312" w:eastAsia="仿宋_GB2312"/>
          <w:sz w:val="32"/>
          <w:szCs w:val="32"/>
        </w:rPr>
        <w:t>的</w:t>
      </w:r>
      <w:r>
        <w:rPr>
          <w:rFonts w:ascii="仿宋_GB2312" w:eastAsia="仿宋_GB2312"/>
          <w:sz w:val="32"/>
          <w:szCs w:val="32"/>
        </w:rPr>
        <w:t>一般性要求，注册申请人应根据申报产品的特性提交注册申报资料，判断指导原则中的具体内容是否</w:t>
      </w:r>
      <w:r>
        <w:rPr>
          <w:rFonts w:hint="eastAsia" w:ascii="仿宋_GB2312" w:eastAsia="仿宋_GB2312"/>
          <w:sz w:val="32"/>
          <w:szCs w:val="32"/>
        </w:rPr>
        <w:t>适</w:t>
      </w:r>
      <w:r>
        <w:rPr>
          <w:rFonts w:ascii="仿宋_GB2312" w:eastAsia="仿宋_GB2312"/>
          <w:sz w:val="32"/>
          <w:szCs w:val="32"/>
        </w:rPr>
        <w:t>用，不适用内容应详述理由</w:t>
      </w:r>
      <w:r>
        <w:rPr>
          <w:rFonts w:hint="eastAsia" w:ascii="仿宋_GB2312" w:eastAsia="仿宋_GB2312"/>
          <w:sz w:val="32"/>
          <w:szCs w:val="32"/>
        </w:rPr>
        <w:t>及</w:t>
      </w:r>
      <w:r>
        <w:rPr>
          <w:rFonts w:ascii="仿宋_GB2312" w:eastAsia="仿宋_GB2312"/>
          <w:sz w:val="32"/>
          <w:szCs w:val="32"/>
        </w:rPr>
        <w:t>相应的科学</w:t>
      </w:r>
      <w:r>
        <w:rPr>
          <w:rFonts w:hint="eastAsia" w:ascii="仿宋_GB2312" w:eastAsia="仿宋_GB2312"/>
          <w:sz w:val="32"/>
          <w:szCs w:val="32"/>
        </w:rPr>
        <w:t>依据，并依据产品的具体特性对注册申报资料的内容进行充实和细化。</w:t>
      </w:r>
      <w:r>
        <w:rPr>
          <w:rFonts w:ascii="仿宋_GB2312" w:eastAsia="仿宋_GB2312"/>
          <w:sz w:val="32"/>
          <w:szCs w:val="32"/>
        </w:rPr>
        <w:t>注册</w:t>
      </w:r>
      <w:r>
        <w:rPr>
          <w:rFonts w:hint="eastAsia" w:ascii="仿宋_GB2312" w:eastAsia="仿宋_GB2312"/>
          <w:sz w:val="32"/>
          <w:szCs w:val="32"/>
        </w:rPr>
        <w:t>申请</w:t>
      </w:r>
      <w:r>
        <w:rPr>
          <w:rFonts w:ascii="仿宋_GB2312" w:eastAsia="仿宋_GB2312"/>
          <w:sz w:val="32"/>
          <w:szCs w:val="32"/>
        </w:rPr>
        <w:t>人也可采用其他满足法规要求的替代方法，但应提供详尽的研究资料和验证</w:t>
      </w:r>
      <w:r>
        <w:rPr>
          <w:rFonts w:hint="eastAsia" w:ascii="仿宋_GB2312" w:eastAsia="仿宋_GB2312"/>
          <w:sz w:val="32"/>
          <w:szCs w:val="32"/>
        </w:rPr>
        <w:t>资料</w:t>
      </w:r>
      <w:r>
        <w:rPr>
          <w:rFonts w:ascii="仿宋_GB2312" w:eastAsia="仿宋_GB2312"/>
          <w:sz w:val="32"/>
          <w:szCs w:val="32"/>
        </w:rPr>
        <w:t>。</w:t>
      </w:r>
    </w:p>
    <w:p w14:paraId="0FCC6E5B">
      <w:pPr>
        <w:spacing w:line="520" w:lineRule="exact"/>
        <w:ind w:right="-99" w:rightChars="-47" w:firstLine="640" w:firstLineChars="200"/>
        <w:rPr>
          <w:rFonts w:ascii="仿宋_GB2312" w:eastAsia="仿宋_GB2312"/>
          <w:sz w:val="32"/>
          <w:szCs w:val="32"/>
        </w:rPr>
      </w:pPr>
      <w:r>
        <w:rPr>
          <w:rFonts w:hint="eastAsia" w:ascii="仿宋_GB2312" w:eastAsia="仿宋_GB2312"/>
          <w:sz w:val="32"/>
          <w:szCs w:val="32"/>
        </w:rPr>
        <w:t>本指导原则是在现行法规、标准体系及当前认知水平下制定的，随着法规、标准体系的不断完善和科学技术的不断发展，本指导原则相关内容也将适时进行调整。</w:t>
      </w:r>
    </w:p>
    <w:p w14:paraId="21CA68EC">
      <w:pPr>
        <w:spacing w:line="520" w:lineRule="exact"/>
        <w:ind w:right="-99" w:rightChars="-47" w:firstLine="640" w:firstLineChars="200"/>
        <w:rPr>
          <w:rFonts w:ascii="仿宋_GB2312" w:eastAsia="仿宋_GB2312"/>
          <w:sz w:val="32"/>
          <w:szCs w:val="32"/>
        </w:rPr>
      </w:pPr>
      <w:r>
        <w:rPr>
          <w:rFonts w:hint="eastAsia" w:ascii="仿宋_GB2312" w:eastAsia="仿宋_GB2312"/>
          <w:sz w:val="32"/>
          <w:szCs w:val="32"/>
        </w:rPr>
        <w:t>本指导原则是对注册申请人和审查人员的指导性文件，不包括审评、审批所涉及的行政事项，亦不作为法规强制执行，应在遵循相关法规的前提下使用本指导原则。</w:t>
      </w:r>
    </w:p>
    <w:p w14:paraId="0409F43F">
      <w:pPr>
        <w:spacing w:line="520" w:lineRule="exact"/>
        <w:ind w:firstLine="640" w:firstLineChars="200"/>
        <w:rPr>
          <w:rFonts w:ascii="黑体" w:hAnsi="黑体" w:eastAsia="黑体"/>
          <w:sz w:val="32"/>
          <w:szCs w:val="32"/>
        </w:rPr>
      </w:pPr>
      <w:r>
        <w:rPr>
          <w:rFonts w:hint="eastAsia" w:ascii="黑体" w:hAnsi="黑体" w:eastAsia="黑体"/>
          <w:sz w:val="32"/>
          <w:szCs w:val="32"/>
        </w:rPr>
        <w:t>一、适用范围</w:t>
      </w:r>
    </w:p>
    <w:p w14:paraId="035BC9BA">
      <w:pPr>
        <w:spacing w:line="520" w:lineRule="exact"/>
        <w:ind w:firstLine="640" w:firstLineChars="200"/>
        <w:rPr>
          <w:rFonts w:ascii="仿宋_GB2312" w:eastAsia="仿宋_GB2312"/>
          <w:sz w:val="32"/>
          <w:szCs w:val="32"/>
        </w:rPr>
      </w:pPr>
      <w:r>
        <w:rPr>
          <w:rFonts w:hint="eastAsia" w:ascii="仿宋_GB2312" w:eastAsia="仿宋_GB2312"/>
          <w:sz w:val="32"/>
          <w:szCs w:val="32"/>
        </w:rPr>
        <w:t>本指导原则适用于网式雾化器</w:t>
      </w:r>
      <w:r>
        <w:rPr>
          <w:rFonts w:ascii="仿宋_GB2312" w:eastAsia="仿宋_GB2312"/>
          <w:sz w:val="32"/>
          <w:szCs w:val="32"/>
        </w:rPr>
        <w:t>，</w:t>
      </w:r>
      <w:r>
        <w:rPr>
          <w:rFonts w:hint="eastAsia" w:ascii="仿宋_GB2312" w:eastAsia="仿宋_GB2312"/>
          <w:sz w:val="32"/>
          <w:szCs w:val="32"/>
        </w:rPr>
        <w:t>《医疗器械</w:t>
      </w:r>
      <w:r>
        <w:rPr>
          <w:rFonts w:ascii="仿宋_GB2312" w:eastAsia="仿宋_GB2312"/>
          <w:sz w:val="32"/>
          <w:szCs w:val="32"/>
        </w:rPr>
        <w:t>分类目录》</w:t>
      </w:r>
      <w:r>
        <w:rPr>
          <w:rFonts w:hint="eastAsia" w:ascii="仿宋_GB2312" w:eastAsia="仿宋_GB2312"/>
          <w:sz w:val="32"/>
          <w:szCs w:val="32"/>
        </w:rPr>
        <w:t>（国家食品药品监督管理总局公告</w:t>
      </w:r>
      <w:r>
        <w:rPr>
          <w:rFonts w:ascii="仿宋_GB2312" w:eastAsia="仿宋_GB2312"/>
          <w:sz w:val="32"/>
          <w:szCs w:val="32"/>
        </w:rPr>
        <w:t>2017年第104号</w:t>
      </w:r>
      <w:r>
        <w:rPr>
          <w:rFonts w:hint="eastAsia" w:ascii="仿宋_GB2312" w:eastAsia="仿宋_GB2312"/>
          <w:sz w:val="32"/>
          <w:szCs w:val="32"/>
        </w:rPr>
        <w:t xml:space="preserve"> 附录</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产品属于</w:t>
      </w:r>
      <w:r>
        <w:rPr>
          <w:rFonts w:hint="eastAsia" w:ascii="仿宋_GB2312" w:eastAsia="仿宋_GB2312"/>
          <w:sz w:val="32"/>
          <w:szCs w:val="32"/>
        </w:rPr>
        <w:t>子</w:t>
      </w:r>
      <w:r>
        <w:rPr>
          <w:rFonts w:ascii="仿宋_GB2312" w:eastAsia="仿宋_GB2312"/>
          <w:sz w:val="32"/>
          <w:szCs w:val="32"/>
        </w:rPr>
        <w:t>目录</w:t>
      </w:r>
      <w:r>
        <w:rPr>
          <w:rFonts w:hint="eastAsia" w:ascii="仿宋_GB2312" w:eastAsia="仿宋_GB2312"/>
          <w:sz w:val="32"/>
          <w:szCs w:val="32"/>
        </w:rPr>
        <w:t>0</w:t>
      </w:r>
      <w:r>
        <w:rPr>
          <w:rFonts w:ascii="仿宋_GB2312" w:eastAsia="仿宋_GB2312"/>
          <w:sz w:val="32"/>
          <w:szCs w:val="32"/>
        </w:rPr>
        <w:t>8-呼吸、</w:t>
      </w:r>
      <w:r>
        <w:rPr>
          <w:rFonts w:hint="eastAsia" w:ascii="仿宋_GB2312" w:eastAsia="仿宋_GB2312"/>
          <w:sz w:val="32"/>
          <w:szCs w:val="32"/>
        </w:rPr>
        <w:t>麻醉</w:t>
      </w:r>
      <w:r>
        <w:rPr>
          <w:rFonts w:ascii="仿宋_GB2312" w:eastAsia="仿宋_GB2312"/>
          <w:sz w:val="32"/>
          <w:szCs w:val="32"/>
        </w:rPr>
        <w:t>和急救器械</w:t>
      </w:r>
      <w:r>
        <w:rPr>
          <w:rFonts w:hint="eastAsia" w:ascii="仿宋_GB2312" w:eastAsia="仿宋_GB2312"/>
          <w:sz w:val="32"/>
          <w:szCs w:val="32"/>
        </w:rPr>
        <w:t>，</w:t>
      </w:r>
      <w:r>
        <w:rPr>
          <w:rFonts w:ascii="仿宋_GB2312" w:eastAsia="仿宋_GB2312"/>
          <w:sz w:val="32"/>
          <w:szCs w:val="32"/>
        </w:rPr>
        <w:t>一级</w:t>
      </w:r>
      <w:r>
        <w:rPr>
          <w:rFonts w:hint="eastAsia" w:ascii="仿宋_GB2312" w:eastAsia="仿宋_GB2312"/>
          <w:sz w:val="32"/>
          <w:szCs w:val="32"/>
        </w:rPr>
        <w:t>产品类别</w:t>
      </w:r>
      <w:r>
        <w:rPr>
          <w:rFonts w:ascii="仿宋_GB2312" w:eastAsia="仿宋_GB2312"/>
          <w:sz w:val="32"/>
          <w:szCs w:val="32"/>
        </w:rPr>
        <w:t>05-呼吸、麻醉、急救设备辅助装置，二级</w:t>
      </w:r>
      <w:r>
        <w:rPr>
          <w:rFonts w:hint="eastAsia" w:ascii="仿宋_GB2312" w:eastAsia="仿宋_GB2312"/>
          <w:sz w:val="32"/>
          <w:szCs w:val="32"/>
        </w:rPr>
        <w:t>产品</w:t>
      </w:r>
      <w:r>
        <w:rPr>
          <w:rFonts w:ascii="仿宋_GB2312" w:eastAsia="仿宋_GB2312"/>
          <w:sz w:val="32"/>
          <w:szCs w:val="32"/>
        </w:rPr>
        <w:t>类别</w:t>
      </w:r>
      <w:r>
        <w:rPr>
          <w:rFonts w:hint="eastAsia" w:ascii="仿宋_GB2312" w:eastAsia="仿宋_GB2312"/>
          <w:sz w:val="32"/>
          <w:szCs w:val="32"/>
        </w:rPr>
        <w:t>0</w:t>
      </w:r>
      <w:r>
        <w:rPr>
          <w:rFonts w:ascii="仿宋_GB2312" w:eastAsia="仿宋_GB2312"/>
          <w:sz w:val="32"/>
          <w:szCs w:val="32"/>
        </w:rPr>
        <w:t>7-雾化设备</w:t>
      </w:r>
      <w:r>
        <w:rPr>
          <w:rFonts w:hint="eastAsia" w:ascii="仿宋_GB2312" w:eastAsia="仿宋_GB2312"/>
          <w:sz w:val="32"/>
          <w:szCs w:val="32"/>
        </w:rPr>
        <w:t>/雾化</w:t>
      </w:r>
      <w:r>
        <w:rPr>
          <w:rFonts w:ascii="仿宋_GB2312" w:eastAsia="仿宋_GB2312"/>
          <w:sz w:val="32"/>
          <w:szCs w:val="32"/>
        </w:rPr>
        <w:t>装置。</w:t>
      </w:r>
      <w:r>
        <w:rPr>
          <w:rFonts w:hint="eastAsia" w:ascii="仿宋_GB2312" w:eastAsia="仿宋_GB2312"/>
          <w:sz w:val="32"/>
          <w:szCs w:val="32"/>
        </w:rPr>
        <w:t>管理</w:t>
      </w:r>
      <w:r>
        <w:rPr>
          <w:rFonts w:ascii="仿宋_GB2312" w:eastAsia="仿宋_GB2312"/>
          <w:sz w:val="32"/>
          <w:szCs w:val="32"/>
        </w:rPr>
        <w:t>类别为第二类医疗器械。</w:t>
      </w:r>
    </w:p>
    <w:p w14:paraId="35F6D6AA">
      <w:pPr>
        <w:spacing w:line="520" w:lineRule="exact"/>
        <w:ind w:firstLine="640" w:firstLineChars="200"/>
        <w:rPr>
          <w:rFonts w:ascii="仿宋_GB2312" w:eastAsia="仿宋_GB2312"/>
          <w:sz w:val="32"/>
          <w:szCs w:val="32"/>
        </w:rPr>
      </w:pPr>
      <w:r>
        <w:rPr>
          <w:rFonts w:hint="eastAsia" w:ascii="仿宋_GB2312" w:eastAsia="仿宋_GB2312"/>
          <w:sz w:val="32"/>
          <w:szCs w:val="32"/>
        </w:rPr>
        <w:t>本</w:t>
      </w:r>
      <w:r>
        <w:rPr>
          <w:rFonts w:ascii="仿宋_GB2312" w:eastAsia="仿宋_GB2312"/>
          <w:sz w:val="32"/>
          <w:szCs w:val="32"/>
        </w:rPr>
        <w:t>指导原则</w:t>
      </w:r>
      <w:r>
        <w:rPr>
          <w:rFonts w:hint="eastAsia" w:ascii="仿宋_GB2312" w:eastAsia="仿宋_GB2312"/>
          <w:sz w:val="32"/>
          <w:szCs w:val="32"/>
        </w:rPr>
        <w:t>适用</w:t>
      </w:r>
      <w:r>
        <w:rPr>
          <w:rFonts w:ascii="仿宋_GB2312" w:eastAsia="仿宋_GB2312"/>
          <w:sz w:val="32"/>
          <w:szCs w:val="32"/>
        </w:rPr>
        <w:t>的网式雾化器</w:t>
      </w:r>
      <w:r>
        <w:rPr>
          <w:rFonts w:hint="eastAsia" w:ascii="仿宋_GB2312" w:eastAsia="仿宋_GB2312"/>
          <w:sz w:val="32"/>
          <w:szCs w:val="32"/>
        </w:rPr>
        <w:t>是一种将药液通过</w:t>
      </w:r>
      <w:r>
        <w:rPr>
          <w:rFonts w:ascii="仿宋_GB2312" w:eastAsia="仿宋_GB2312"/>
          <w:sz w:val="32"/>
          <w:szCs w:val="32"/>
        </w:rPr>
        <w:t>网孔</w:t>
      </w:r>
      <w:r>
        <w:rPr>
          <w:rFonts w:hint="eastAsia" w:ascii="仿宋_GB2312" w:eastAsia="仿宋_GB2312"/>
          <w:sz w:val="32"/>
          <w:szCs w:val="32"/>
        </w:rPr>
        <w:t>转化为气雾颗粒的有源医疗器械，其</w:t>
      </w:r>
      <w:r>
        <w:rPr>
          <w:rFonts w:ascii="仿宋_GB2312" w:eastAsia="仿宋_GB2312"/>
          <w:sz w:val="32"/>
          <w:szCs w:val="32"/>
        </w:rPr>
        <w:t>预期</w:t>
      </w:r>
      <w:r>
        <w:rPr>
          <w:rFonts w:hint="eastAsia" w:ascii="仿宋_GB2312" w:eastAsia="仿宋_GB2312"/>
          <w:sz w:val="32"/>
          <w:szCs w:val="32"/>
        </w:rPr>
        <w:t>用于对液态药物进行雾化，供患者吸入治疗使用。</w:t>
      </w:r>
    </w:p>
    <w:p w14:paraId="66550449">
      <w:pPr>
        <w:spacing w:line="520" w:lineRule="exact"/>
        <w:ind w:firstLine="640" w:firstLineChars="200"/>
        <w:rPr>
          <w:rFonts w:ascii="仿宋_GB2312" w:eastAsia="仿宋_GB2312"/>
          <w:sz w:val="32"/>
          <w:szCs w:val="32"/>
        </w:rPr>
      </w:pPr>
      <w:r>
        <w:rPr>
          <w:rFonts w:hint="eastAsia" w:ascii="仿宋_GB2312" w:eastAsia="仿宋_GB2312"/>
          <w:sz w:val="32"/>
          <w:szCs w:val="32"/>
        </w:rPr>
        <w:t>如果</w:t>
      </w:r>
      <w:r>
        <w:rPr>
          <w:rFonts w:ascii="仿宋_GB2312" w:eastAsia="仿宋_GB2312"/>
          <w:sz w:val="32"/>
          <w:szCs w:val="32"/>
        </w:rPr>
        <w:t>网式雾化</w:t>
      </w:r>
      <w:r>
        <w:rPr>
          <w:rFonts w:hint="eastAsia" w:ascii="仿宋_GB2312" w:eastAsia="仿宋_GB2312"/>
          <w:sz w:val="32"/>
          <w:szCs w:val="32"/>
        </w:rPr>
        <w:t>器</w:t>
      </w:r>
      <w:r>
        <w:rPr>
          <w:rFonts w:ascii="仿宋_GB2312" w:eastAsia="仿宋_GB2312"/>
          <w:sz w:val="32"/>
          <w:szCs w:val="32"/>
        </w:rPr>
        <w:t>做</w:t>
      </w:r>
      <w:r>
        <w:rPr>
          <w:rFonts w:hint="eastAsia" w:ascii="仿宋_GB2312" w:eastAsia="仿宋_GB2312"/>
          <w:sz w:val="32"/>
          <w:szCs w:val="32"/>
        </w:rPr>
        <w:t>为</w:t>
      </w:r>
      <w:r>
        <w:rPr>
          <w:rFonts w:ascii="仿宋_GB2312" w:eastAsia="仿宋_GB2312"/>
          <w:sz w:val="32"/>
          <w:szCs w:val="32"/>
        </w:rPr>
        <w:t>一个</w:t>
      </w:r>
      <w:r>
        <w:rPr>
          <w:rFonts w:hint="eastAsia" w:ascii="仿宋_GB2312" w:eastAsia="仿宋_GB2312"/>
          <w:sz w:val="32"/>
          <w:szCs w:val="32"/>
        </w:rPr>
        <w:t>医疗器械</w:t>
      </w:r>
      <w:r>
        <w:rPr>
          <w:rFonts w:ascii="仿宋_GB2312" w:eastAsia="仿宋_GB2312"/>
          <w:sz w:val="32"/>
          <w:szCs w:val="32"/>
        </w:rPr>
        <w:t>系统</w:t>
      </w:r>
      <w:r>
        <w:rPr>
          <w:rFonts w:hint="eastAsia" w:ascii="仿宋_GB2312" w:eastAsia="仿宋_GB2312"/>
          <w:sz w:val="32"/>
          <w:szCs w:val="32"/>
        </w:rPr>
        <w:t>或其他医疗器械</w:t>
      </w:r>
      <w:r>
        <w:rPr>
          <w:rFonts w:ascii="仿宋_GB2312" w:eastAsia="仿宋_GB2312"/>
          <w:sz w:val="32"/>
          <w:szCs w:val="32"/>
        </w:rPr>
        <w:t>中的一部分，则本指导原则也适用于该部分</w:t>
      </w:r>
      <w:r>
        <w:rPr>
          <w:rFonts w:hint="eastAsia" w:ascii="仿宋_GB2312" w:eastAsia="仿宋_GB2312"/>
          <w:sz w:val="32"/>
          <w:szCs w:val="32"/>
        </w:rPr>
        <w:t>。</w:t>
      </w:r>
    </w:p>
    <w:p w14:paraId="435190DA">
      <w:pPr>
        <w:spacing w:line="520" w:lineRule="exact"/>
        <w:ind w:firstLine="640" w:firstLineChars="200"/>
        <w:rPr>
          <w:rFonts w:ascii="仿宋_GB2312" w:eastAsia="仿宋_GB2312"/>
          <w:sz w:val="32"/>
          <w:szCs w:val="32"/>
        </w:rPr>
      </w:pPr>
      <w:r>
        <w:rPr>
          <w:rFonts w:hint="eastAsia" w:ascii="仿宋_GB2312" w:eastAsia="仿宋_GB2312"/>
          <w:sz w:val="32"/>
          <w:szCs w:val="32"/>
        </w:rPr>
        <w:t>本指导原则不适用于超声雾化器</w:t>
      </w:r>
      <w:r>
        <w:rPr>
          <w:rFonts w:ascii="仿宋_GB2312" w:eastAsia="仿宋_GB2312"/>
          <w:sz w:val="32"/>
          <w:szCs w:val="32"/>
        </w:rPr>
        <w:t>、压缩</w:t>
      </w:r>
      <w:r>
        <w:rPr>
          <w:rFonts w:hint="eastAsia" w:ascii="仿宋_GB2312" w:eastAsia="仿宋_GB2312"/>
          <w:sz w:val="32"/>
          <w:szCs w:val="32"/>
        </w:rPr>
        <w:t>式</w:t>
      </w:r>
      <w:r>
        <w:rPr>
          <w:rFonts w:ascii="仿宋_GB2312" w:eastAsia="仿宋_GB2312"/>
          <w:sz w:val="32"/>
          <w:szCs w:val="32"/>
        </w:rPr>
        <w:t>雾化器</w:t>
      </w:r>
      <w:r>
        <w:rPr>
          <w:rFonts w:hint="eastAsia" w:ascii="仿宋_GB2312" w:eastAsia="仿宋_GB2312"/>
          <w:sz w:val="32"/>
          <w:szCs w:val="32"/>
        </w:rPr>
        <w:t>及采用外接气源或其他能量输入的方式将药物雾化的器具（如由医院中心供气系统或其他的经过压缩的氧气或医用气体作为气源的药物雾化器具），</w:t>
      </w:r>
      <w:r>
        <w:rPr>
          <w:rFonts w:ascii="仿宋_GB2312" w:eastAsia="仿宋_GB2312"/>
          <w:sz w:val="32"/>
          <w:szCs w:val="32"/>
        </w:rPr>
        <w:t>也不适用于</w:t>
      </w:r>
      <w:r>
        <w:rPr>
          <w:rFonts w:hint="eastAsia" w:ascii="仿宋_GB2312" w:eastAsia="仿宋_GB2312"/>
          <w:sz w:val="32"/>
          <w:szCs w:val="32"/>
        </w:rPr>
        <w:t>将</w:t>
      </w:r>
      <w:r>
        <w:rPr>
          <w:rFonts w:ascii="仿宋_GB2312" w:eastAsia="仿宋_GB2312"/>
          <w:sz w:val="32"/>
          <w:szCs w:val="32"/>
        </w:rPr>
        <w:t>网式雾化器</w:t>
      </w:r>
      <w:r>
        <w:rPr>
          <w:rFonts w:hint="eastAsia" w:ascii="仿宋_GB2312" w:eastAsia="仿宋_GB2312"/>
          <w:sz w:val="32"/>
          <w:szCs w:val="32"/>
        </w:rPr>
        <w:t>液体容器</w:t>
      </w:r>
      <w:r>
        <w:rPr>
          <w:rFonts w:ascii="仿宋_GB2312" w:eastAsia="仿宋_GB2312"/>
          <w:sz w:val="32"/>
          <w:szCs w:val="32"/>
        </w:rPr>
        <w:t>部分作为</w:t>
      </w:r>
      <w:r>
        <w:rPr>
          <w:rFonts w:hint="eastAsia" w:ascii="仿宋_GB2312" w:eastAsia="仿宋_GB2312"/>
          <w:sz w:val="32"/>
          <w:szCs w:val="32"/>
        </w:rPr>
        <w:t>独立</w:t>
      </w:r>
      <w:r>
        <w:rPr>
          <w:rFonts w:ascii="仿宋_GB2312" w:eastAsia="仿宋_GB2312"/>
          <w:sz w:val="32"/>
          <w:szCs w:val="32"/>
        </w:rPr>
        <w:t>注册单元申报的产品</w:t>
      </w:r>
      <w:r>
        <w:rPr>
          <w:rFonts w:hint="eastAsia" w:ascii="仿宋_GB2312" w:eastAsia="仿宋_GB2312"/>
          <w:sz w:val="32"/>
          <w:szCs w:val="32"/>
        </w:rPr>
        <w:t>(但</w:t>
      </w:r>
      <w:r>
        <w:rPr>
          <w:rFonts w:ascii="仿宋_GB2312" w:eastAsia="仿宋_GB2312"/>
          <w:sz w:val="32"/>
          <w:szCs w:val="32"/>
        </w:rPr>
        <w:t>可以</w:t>
      </w:r>
      <w:r>
        <w:rPr>
          <w:rFonts w:hint="eastAsia" w:ascii="仿宋_GB2312" w:eastAsia="仿宋_GB2312"/>
          <w:sz w:val="32"/>
          <w:szCs w:val="32"/>
        </w:rPr>
        <w:t>参照本</w:t>
      </w:r>
      <w:r>
        <w:rPr>
          <w:rFonts w:ascii="仿宋_GB2312" w:eastAsia="仿宋_GB2312"/>
          <w:sz w:val="32"/>
          <w:szCs w:val="32"/>
        </w:rPr>
        <w:t>指导原则</w:t>
      </w:r>
      <w:r>
        <w:rPr>
          <w:rFonts w:hint="eastAsia" w:ascii="仿宋_GB2312" w:eastAsia="仿宋_GB2312"/>
          <w:sz w:val="32"/>
          <w:szCs w:val="32"/>
        </w:rPr>
        <w:t>进行</w:t>
      </w:r>
      <w:r>
        <w:rPr>
          <w:rFonts w:ascii="仿宋_GB2312" w:eastAsia="仿宋_GB2312"/>
          <w:sz w:val="32"/>
          <w:szCs w:val="32"/>
        </w:rPr>
        <w:t>要求</w:t>
      </w:r>
      <w:r>
        <w:rPr>
          <w:rFonts w:hint="eastAsia" w:ascii="仿宋_GB2312" w:eastAsia="仿宋_GB2312"/>
          <w:sz w:val="32"/>
          <w:szCs w:val="32"/>
        </w:rPr>
        <w:t>)。</w:t>
      </w:r>
    </w:p>
    <w:p w14:paraId="140A2650">
      <w:pPr>
        <w:spacing w:line="520" w:lineRule="exact"/>
        <w:ind w:firstLine="640" w:firstLineChars="200"/>
        <w:rPr>
          <w:rFonts w:ascii="黑体" w:hAnsi="黑体" w:eastAsia="黑体"/>
          <w:sz w:val="32"/>
          <w:szCs w:val="32"/>
        </w:rPr>
      </w:pPr>
      <w:r>
        <w:rPr>
          <w:rFonts w:hint="eastAsia" w:ascii="黑体" w:hAnsi="黑体" w:eastAsia="黑体"/>
          <w:sz w:val="32"/>
          <w:szCs w:val="32"/>
        </w:rPr>
        <w:t>二、技术审查要点</w:t>
      </w:r>
    </w:p>
    <w:p w14:paraId="01CA392B">
      <w:pPr>
        <w:spacing w:line="520" w:lineRule="exact"/>
        <w:ind w:firstLine="640" w:firstLineChars="200"/>
        <w:rPr>
          <w:rFonts w:ascii="楷体_GB2312" w:eastAsia="楷体_GB2312"/>
          <w:sz w:val="32"/>
          <w:szCs w:val="32"/>
        </w:rPr>
      </w:pPr>
      <w:r>
        <w:rPr>
          <w:rFonts w:hint="eastAsia" w:ascii="楷体_GB2312" w:eastAsia="楷体_GB2312"/>
          <w:sz w:val="32"/>
          <w:szCs w:val="32"/>
        </w:rPr>
        <w:t>（一）产品名称的要求</w:t>
      </w:r>
    </w:p>
    <w:p w14:paraId="6BBF4DEF">
      <w:pPr>
        <w:spacing w:line="520" w:lineRule="exact"/>
        <w:ind w:firstLine="640" w:firstLineChars="200"/>
        <w:rPr>
          <w:rFonts w:ascii="仿宋_GB2312" w:eastAsia="仿宋_GB2312"/>
          <w:sz w:val="32"/>
          <w:szCs w:val="32"/>
        </w:rPr>
      </w:pPr>
      <w:r>
        <w:rPr>
          <w:rFonts w:hint="eastAsia" w:ascii="仿宋_GB2312" w:eastAsia="仿宋_GB2312"/>
          <w:sz w:val="32"/>
          <w:szCs w:val="32"/>
        </w:rPr>
        <w:t>产品的命名应符合《医疗器械通用名称命名规则》（国家食品药品监督管理总局令第19号），按照《医疗器械通用名称命名指导原则》（国家</w:t>
      </w:r>
      <w:r>
        <w:rPr>
          <w:rFonts w:ascii="仿宋_GB2312" w:eastAsia="仿宋_GB2312"/>
          <w:sz w:val="32"/>
          <w:szCs w:val="32"/>
        </w:rPr>
        <w:t>药品监督管理局通告2019年第99号）</w:t>
      </w:r>
      <w:r>
        <w:rPr>
          <w:rFonts w:hint="eastAsia" w:ascii="仿宋_GB2312" w:eastAsia="仿宋_GB2312"/>
          <w:sz w:val="32"/>
          <w:szCs w:val="32"/>
        </w:rPr>
        <w:t>中通用名称组成结构及要求，确定产品名称。</w:t>
      </w:r>
    </w:p>
    <w:p w14:paraId="2A367A47">
      <w:pPr>
        <w:spacing w:line="520" w:lineRule="exact"/>
        <w:ind w:firstLine="640" w:firstLineChars="200"/>
        <w:rPr>
          <w:rFonts w:ascii="楷体_GB2312" w:eastAsia="楷体_GB2312"/>
          <w:sz w:val="32"/>
          <w:szCs w:val="32"/>
        </w:rPr>
      </w:pPr>
      <w:r>
        <w:rPr>
          <w:rFonts w:hint="eastAsia" w:ascii="楷体_GB2312" w:eastAsia="楷体_GB2312"/>
          <w:sz w:val="32"/>
          <w:szCs w:val="32"/>
        </w:rPr>
        <w:t>（二）产品的结构和组成</w:t>
      </w:r>
    </w:p>
    <w:p w14:paraId="184533F0">
      <w:pPr>
        <w:spacing w:line="520" w:lineRule="exact"/>
        <w:ind w:firstLine="640" w:firstLineChars="200"/>
        <w:rPr>
          <w:rFonts w:ascii="仿宋_GB2312" w:eastAsia="仿宋_GB2312"/>
          <w:sz w:val="32"/>
          <w:szCs w:val="32"/>
        </w:rPr>
      </w:pPr>
      <w:r>
        <w:rPr>
          <w:rFonts w:hint="eastAsia" w:ascii="仿宋_GB2312" w:eastAsia="仿宋_GB2312"/>
          <w:sz w:val="32"/>
          <w:szCs w:val="32"/>
        </w:rPr>
        <w:t>1.产品主要由主机（含控制部分）、雾化装置（包含压电陶瓷、网片及变幅杆（若有））、液体容器、电源适配器（若有）及吸入附件组成。</w:t>
      </w:r>
    </w:p>
    <w:p w14:paraId="3622A452">
      <w:pPr>
        <w:spacing w:line="520" w:lineRule="exact"/>
        <w:ind w:firstLine="640" w:firstLineChars="200"/>
        <w:rPr>
          <w:rFonts w:ascii="仿宋_GB2312" w:eastAsia="仿宋_GB2312"/>
          <w:sz w:val="32"/>
          <w:szCs w:val="32"/>
        </w:rPr>
      </w:pPr>
      <w:r>
        <w:rPr>
          <w:rFonts w:hint="eastAsia" w:ascii="仿宋_GB2312" w:eastAsia="仿宋_GB2312"/>
          <w:sz w:val="32"/>
          <w:szCs w:val="32"/>
        </w:rPr>
        <w:t>2.吸入附件包含但不限于咬嘴、吸入面罩以及连接于主机和应用部分之间的延长管路、</w:t>
      </w:r>
      <w:r>
        <w:rPr>
          <w:rFonts w:ascii="仿宋_GB2312" w:eastAsia="仿宋_GB2312"/>
          <w:sz w:val="32"/>
          <w:szCs w:val="32"/>
        </w:rPr>
        <w:t>转接件等</w:t>
      </w:r>
      <w:r>
        <w:rPr>
          <w:rFonts w:hint="eastAsia" w:ascii="仿宋_GB2312" w:eastAsia="仿宋_GB2312"/>
          <w:sz w:val="32"/>
          <w:szCs w:val="32"/>
        </w:rPr>
        <w:t>。</w:t>
      </w:r>
    </w:p>
    <w:p w14:paraId="56D5DB93">
      <w:pPr>
        <w:spacing w:line="520" w:lineRule="exact"/>
        <w:ind w:firstLine="640" w:firstLineChars="200"/>
        <w:rPr>
          <w:rFonts w:ascii="仿宋_GB2312" w:eastAsia="仿宋_GB2312"/>
          <w:sz w:val="32"/>
          <w:szCs w:val="32"/>
        </w:rPr>
      </w:pPr>
      <w:r>
        <w:rPr>
          <w:rFonts w:hint="eastAsia" w:ascii="仿宋_GB2312" w:eastAsia="仿宋_GB2312"/>
          <w:sz w:val="32"/>
          <w:szCs w:val="32"/>
        </w:rPr>
        <w:t>3.若产品与呼吸或麻醉系统联合使用，应对用于与呼吸麻醉系统相连的附件进行描述。</w:t>
      </w:r>
    </w:p>
    <w:p w14:paraId="4478F973">
      <w:pPr>
        <w:spacing w:line="520" w:lineRule="exact"/>
        <w:ind w:firstLine="640" w:firstLineChars="200"/>
        <w:rPr>
          <w:rFonts w:ascii="仿宋_GB2312" w:eastAsia="仿宋_GB2312"/>
          <w:sz w:val="32"/>
          <w:szCs w:val="32"/>
        </w:rPr>
      </w:pPr>
      <w:r>
        <w:rPr>
          <w:rFonts w:hint="eastAsia" w:ascii="仿宋_GB2312" w:eastAsia="仿宋_GB2312"/>
          <w:sz w:val="32"/>
          <w:szCs w:val="32"/>
        </w:rPr>
        <w:t>4.产品组成示例</w:t>
      </w:r>
    </w:p>
    <w:p w14:paraId="46C6410D">
      <w:pPr>
        <w:spacing w:line="520" w:lineRule="exact"/>
        <w:ind w:firstLine="640" w:firstLineChars="200"/>
        <w:rPr>
          <w:rFonts w:ascii="仿宋_GB2312" w:eastAsia="仿宋_GB2312"/>
          <w:sz w:val="32"/>
          <w:szCs w:val="32"/>
        </w:rPr>
      </w:pPr>
      <w:r>
        <w:rPr>
          <w:rFonts w:hint="eastAsia" w:ascii="仿宋_GB2312" w:eastAsia="仿宋_GB2312"/>
          <w:sz w:val="32"/>
          <w:szCs w:val="32"/>
        </w:rPr>
        <w:t>如图1所示，该网式雾化器主要由主机、雾化杯、电源适配器及吸入附件组成。其中主机包含控制部分，雾化杯包含液体容器及雾化装置，主机与雾化杯之间通过信号传输线连接，吸入附件包含咬嘴及吸入面罩。</w:t>
      </w:r>
    </w:p>
    <w:p w14:paraId="312D471A">
      <w:pPr>
        <w:spacing w:line="52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column">
              <wp:posOffset>1399540</wp:posOffset>
            </wp:positionH>
            <wp:positionV relativeFrom="paragraph">
              <wp:posOffset>39370</wp:posOffset>
            </wp:positionV>
            <wp:extent cx="2857500" cy="214249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7500" cy="2142490"/>
                    </a:xfrm>
                    <a:prstGeom prst="rect">
                      <a:avLst/>
                    </a:prstGeom>
                  </pic:spPr>
                </pic:pic>
              </a:graphicData>
            </a:graphic>
          </wp:anchor>
        </w:drawing>
      </w:r>
    </w:p>
    <w:p w14:paraId="66138FB1">
      <w:pPr>
        <w:spacing w:line="520" w:lineRule="exact"/>
        <w:ind w:firstLine="640" w:firstLineChars="200"/>
        <w:rPr>
          <w:rFonts w:ascii="仿宋_GB2312" w:eastAsia="仿宋_GB2312"/>
          <w:sz w:val="32"/>
          <w:szCs w:val="32"/>
        </w:rPr>
      </w:pPr>
    </w:p>
    <w:p w14:paraId="6140A4B8">
      <w:pPr>
        <w:spacing w:line="520" w:lineRule="exact"/>
        <w:ind w:firstLine="640" w:firstLineChars="200"/>
        <w:rPr>
          <w:rFonts w:ascii="仿宋_GB2312" w:eastAsia="仿宋_GB2312"/>
          <w:sz w:val="32"/>
          <w:szCs w:val="32"/>
        </w:rPr>
      </w:pPr>
    </w:p>
    <w:p w14:paraId="1486E221">
      <w:pPr>
        <w:spacing w:line="520" w:lineRule="exact"/>
        <w:ind w:firstLine="640" w:firstLineChars="200"/>
        <w:rPr>
          <w:rFonts w:ascii="仿宋_GB2312" w:eastAsia="仿宋_GB2312"/>
          <w:sz w:val="32"/>
          <w:szCs w:val="32"/>
        </w:rPr>
      </w:pPr>
    </w:p>
    <w:p w14:paraId="7F2E19F6">
      <w:pPr>
        <w:spacing w:line="520" w:lineRule="exact"/>
        <w:ind w:firstLine="640" w:firstLineChars="200"/>
        <w:rPr>
          <w:rFonts w:ascii="仿宋_GB2312" w:eastAsia="仿宋_GB2312"/>
          <w:sz w:val="32"/>
          <w:szCs w:val="32"/>
        </w:rPr>
      </w:pPr>
    </w:p>
    <w:p w14:paraId="4BED7DF3">
      <w:pPr>
        <w:spacing w:line="520" w:lineRule="exact"/>
        <w:ind w:firstLine="640" w:firstLineChars="200"/>
        <w:rPr>
          <w:rFonts w:ascii="仿宋_GB2312" w:eastAsia="仿宋_GB2312"/>
          <w:sz w:val="32"/>
          <w:szCs w:val="32"/>
        </w:rPr>
      </w:pPr>
    </w:p>
    <w:p w14:paraId="3019077E">
      <w:pPr>
        <w:spacing w:line="520" w:lineRule="exact"/>
        <w:ind w:firstLine="640" w:firstLineChars="200"/>
        <w:rPr>
          <w:rFonts w:ascii="仿宋_GB2312" w:eastAsia="仿宋_GB2312"/>
          <w:sz w:val="32"/>
          <w:szCs w:val="32"/>
        </w:rPr>
      </w:pPr>
    </w:p>
    <w:p w14:paraId="186C040D">
      <w:pPr>
        <w:spacing w:line="520" w:lineRule="exact"/>
        <w:ind w:firstLine="640" w:firstLineChars="200"/>
        <w:jc w:val="center"/>
        <w:rPr>
          <w:rFonts w:ascii="仿宋_GB2312" w:eastAsia="仿宋_GB2312"/>
          <w:sz w:val="32"/>
          <w:szCs w:val="32"/>
        </w:rPr>
      </w:pPr>
      <w:r>
        <w:rPr>
          <w:rFonts w:hint="eastAsia" w:ascii="仿宋_GB2312" w:eastAsia="仿宋_GB2312"/>
          <w:sz w:val="32"/>
          <w:szCs w:val="32"/>
        </w:rPr>
        <w:t>图1</w:t>
      </w:r>
    </w:p>
    <w:p w14:paraId="40A9A2DE">
      <w:pPr>
        <w:spacing w:line="520" w:lineRule="exact"/>
        <w:ind w:firstLine="640" w:firstLineChars="200"/>
        <w:rPr>
          <w:rFonts w:ascii="仿宋_GB2312" w:eastAsia="仿宋_GB2312"/>
          <w:sz w:val="32"/>
          <w:szCs w:val="32"/>
        </w:rPr>
      </w:pPr>
      <w:r>
        <w:rPr>
          <w:rFonts w:hint="eastAsia" w:ascii="仿宋_GB2312" w:eastAsia="仿宋_GB2312"/>
          <w:sz w:val="32"/>
          <w:szCs w:val="32"/>
        </w:rPr>
        <w:t>如图</w:t>
      </w:r>
      <w:r>
        <w:rPr>
          <w:rFonts w:ascii="仿宋_GB2312" w:eastAsia="仿宋_GB2312"/>
          <w:sz w:val="32"/>
          <w:szCs w:val="32"/>
        </w:rPr>
        <w:t>2所示，该网式雾化器主要由主机、雾化杯、吸入附件组成。其中主机包含控制部分及内部电源，雾化杯包含液体容器及雾化装置，吸入附件包含咬嘴及吸入面罩。</w:t>
      </w:r>
    </w:p>
    <w:p w14:paraId="73453008">
      <w:pPr>
        <w:spacing w:line="520" w:lineRule="exact"/>
        <w:ind w:firstLine="640" w:firstLineChars="200"/>
        <w:rPr>
          <w:rFonts w:ascii="仿宋_GB2312" w:eastAsia="仿宋_GB2312"/>
          <w:sz w:val="32"/>
          <w:szCs w:val="32"/>
        </w:rPr>
      </w:pPr>
    </w:p>
    <w:p w14:paraId="09E04FF1">
      <w:pPr>
        <w:spacing w:line="52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60288" behindDoc="0" locked="0" layoutInCell="1" allowOverlap="1">
            <wp:simplePos x="0" y="0"/>
            <wp:positionH relativeFrom="margin">
              <wp:posOffset>1700530</wp:posOffset>
            </wp:positionH>
            <wp:positionV relativeFrom="paragraph">
              <wp:posOffset>45720</wp:posOffset>
            </wp:positionV>
            <wp:extent cx="2555875" cy="1916430"/>
            <wp:effectExtent l="0" t="4127"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2555875" cy="1916430"/>
                    </a:xfrm>
                    <a:prstGeom prst="rect">
                      <a:avLst/>
                    </a:prstGeom>
                  </pic:spPr>
                </pic:pic>
              </a:graphicData>
            </a:graphic>
          </wp:anchor>
        </w:drawing>
      </w:r>
    </w:p>
    <w:p w14:paraId="3BA63743">
      <w:pPr>
        <w:spacing w:line="520" w:lineRule="exact"/>
        <w:ind w:firstLine="640" w:firstLineChars="200"/>
        <w:rPr>
          <w:rFonts w:ascii="仿宋_GB2312" w:eastAsia="仿宋_GB2312"/>
          <w:sz w:val="32"/>
          <w:szCs w:val="32"/>
        </w:rPr>
      </w:pPr>
    </w:p>
    <w:p w14:paraId="46AED28F">
      <w:pPr>
        <w:spacing w:line="520" w:lineRule="exact"/>
        <w:ind w:firstLine="640" w:firstLineChars="200"/>
        <w:rPr>
          <w:rFonts w:ascii="仿宋_GB2312" w:eastAsia="仿宋_GB2312"/>
          <w:sz w:val="32"/>
          <w:szCs w:val="32"/>
        </w:rPr>
      </w:pPr>
    </w:p>
    <w:p w14:paraId="45921F17">
      <w:pPr>
        <w:spacing w:line="520" w:lineRule="exact"/>
        <w:ind w:firstLine="640" w:firstLineChars="200"/>
        <w:rPr>
          <w:rFonts w:ascii="仿宋_GB2312" w:eastAsia="仿宋_GB2312"/>
          <w:sz w:val="32"/>
          <w:szCs w:val="32"/>
        </w:rPr>
      </w:pPr>
    </w:p>
    <w:p w14:paraId="2A348D68">
      <w:pPr>
        <w:spacing w:line="520" w:lineRule="exact"/>
        <w:ind w:firstLine="640" w:firstLineChars="200"/>
        <w:rPr>
          <w:rFonts w:ascii="仿宋_GB2312" w:eastAsia="仿宋_GB2312"/>
          <w:sz w:val="32"/>
          <w:szCs w:val="32"/>
        </w:rPr>
      </w:pPr>
    </w:p>
    <w:p w14:paraId="3D99063E">
      <w:pPr>
        <w:spacing w:line="520" w:lineRule="exact"/>
        <w:ind w:firstLine="640" w:firstLineChars="200"/>
        <w:rPr>
          <w:rFonts w:ascii="仿宋_GB2312" w:eastAsia="仿宋_GB2312"/>
          <w:sz w:val="32"/>
          <w:szCs w:val="32"/>
        </w:rPr>
      </w:pPr>
    </w:p>
    <w:p w14:paraId="7386B0DF">
      <w:pPr>
        <w:spacing w:line="520" w:lineRule="exact"/>
        <w:ind w:firstLine="640" w:firstLineChars="200"/>
        <w:rPr>
          <w:rFonts w:ascii="仿宋_GB2312" w:eastAsia="仿宋_GB2312"/>
          <w:sz w:val="32"/>
          <w:szCs w:val="32"/>
        </w:rPr>
      </w:pPr>
    </w:p>
    <w:p w14:paraId="5661711D">
      <w:pPr>
        <w:spacing w:line="520" w:lineRule="exact"/>
        <w:ind w:firstLine="640" w:firstLineChars="200"/>
        <w:jc w:val="center"/>
        <w:rPr>
          <w:rFonts w:ascii="仿宋_GB2312" w:eastAsia="仿宋_GB2312"/>
          <w:sz w:val="32"/>
          <w:szCs w:val="32"/>
        </w:rPr>
      </w:pPr>
      <w:r>
        <w:rPr>
          <w:rFonts w:hint="eastAsia" w:ascii="仿宋_GB2312" w:eastAsia="仿宋_GB2312"/>
          <w:sz w:val="32"/>
          <w:szCs w:val="32"/>
        </w:rPr>
        <w:t>图2</w:t>
      </w:r>
    </w:p>
    <w:p w14:paraId="1E2EF069">
      <w:pPr>
        <w:spacing w:line="520" w:lineRule="exact"/>
        <w:ind w:firstLine="640" w:firstLineChars="200"/>
        <w:rPr>
          <w:rFonts w:ascii="楷体_GB2312" w:eastAsia="楷体_GB2312"/>
          <w:sz w:val="32"/>
          <w:szCs w:val="32"/>
        </w:rPr>
      </w:pPr>
      <w:r>
        <w:rPr>
          <w:rFonts w:hint="eastAsia" w:ascii="楷体_GB2312" w:eastAsia="楷体_GB2312"/>
          <w:sz w:val="32"/>
          <w:szCs w:val="32"/>
        </w:rPr>
        <w:t>（三）产品工作原理/作用机理</w:t>
      </w:r>
    </w:p>
    <w:p w14:paraId="6D9E771E">
      <w:pPr>
        <w:spacing w:line="520" w:lineRule="exact"/>
        <w:ind w:firstLine="640" w:firstLineChars="200"/>
        <w:rPr>
          <w:rFonts w:ascii="仿宋_GB2312" w:eastAsia="仿宋_GB2312"/>
          <w:sz w:val="32"/>
          <w:szCs w:val="32"/>
        </w:rPr>
      </w:pPr>
      <w:r>
        <w:rPr>
          <w:rFonts w:hint="eastAsia" w:ascii="仿宋_GB2312" w:eastAsia="仿宋_GB2312"/>
          <w:sz w:val="32"/>
          <w:szCs w:val="32"/>
        </w:rPr>
        <w:t>网式雾化器依照工作原理，一般分为主动网式和被动网式。</w:t>
      </w:r>
    </w:p>
    <w:p w14:paraId="28999D15">
      <w:pPr>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主动网式雾化器的</w:t>
      </w:r>
      <w:r>
        <w:rPr>
          <w:rFonts w:ascii="仿宋_GB2312" w:eastAsia="仿宋_GB2312"/>
          <w:sz w:val="32"/>
          <w:szCs w:val="32"/>
        </w:rPr>
        <w:t>雾化装置</w:t>
      </w:r>
      <w:r>
        <w:rPr>
          <w:rFonts w:hint="eastAsia" w:ascii="仿宋_GB2312" w:eastAsia="仿宋_GB2312"/>
          <w:sz w:val="32"/>
          <w:szCs w:val="32"/>
        </w:rPr>
        <w:t>中带有网孔的雾化片贴合有环状的压电陶瓷片，</w:t>
      </w:r>
      <w:r>
        <w:rPr>
          <w:rFonts w:ascii="仿宋_GB2312" w:eastAsia="仿宋_GB2312"/>
          <w:sz w:val="32"/>
          <w:szCs w:val="32"/>
        </w:rPr>
        <w:t>雾化片可以</w:t>
      </w:r>
      <w:r>
        <w:rPr>
          <w:rFonts w:hint="eastAsia" w:ascii="仿宋_GB2312" w:eastAsia="仿宋_GB2312"/>
          <w:sz w:val="32"/>
          <w:szCs w:val="32"/>
        </w:rPr>
        <w:t>是</w:t>
      </w:r>
      <w:r>
        <w:rPr>
          <w:rFonts w:ascii="仿宋_GB2312" w:eastAsia="仿宋_GB2312"/>
          <w:sz w:val="32"/>
          <w:szCs w:val="32"/>
        </w:rPr>
        <w:t>单一金属材料制成也可以是金属材料与高分子材料粘合而成</w:t>
      </w:r>
      <w:r>
        <w:rPr>
          <w:rFonts w:hint="eastAsia" w:ascii="仿宋_GB2312" w:eastAsia="仿宋_GB2312"/>
          <w:sz w:val="32"/>
          <w:szCs w:val="32"/>
        </w:rPr>
        <w:t>。主机控制部分输出一定频率的电流及电压，当频率与雾化装置的谐振频率一致时，雾化片随着压电陶瓷片进行简谐振动，将位于雾化片一侧的药液经网孔挤到另一侧，形成气雾颗粒并喷出。示意图</w:t>
      </w:r>
      <w:r>
        <w:rPr>
          <w:rFonts w:ascii="仿宋_GB2312" w:eastAsia="仿宋_GB2312"/>
          <w:sz w:val="32"/>
          <w:szCs w:val="32"/>
        </w:rPr>
        <w:t>见图3</w:t>
      </w:r>
      <w:r>
        <w:rPr>
          <w:rFonts w:hint="eastAsia" w:ascii="仿宋_GB2312" w:eastAsia="仿宋_GB2312"/>
          <w:sz w:val="32"/>
          <w:szCs w:val="32"/>
        </w:rPr>
        <w:t>。</w:t>
      </w:r>
    </w:p>
    <w:p w14:paraId="71EBB104">
      <w:pPr>
        <w:spacing w:line="520" w:lineRule="exac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61312" behindDoc="0" locked="0" layoutInCell="1" allowOverlap="1">
            <wp:simplePos x="0" y="0"/>
            <wp:positionH relativeFrom="margin">
              <wp:posOffset>1661795</wp:posOffset>
            </wp:positionH>
            <wp:positionV relativeFrom="paragraph">
              <wp:posOffset>114935</wp:posOffset>
            </wp:positionV>
            <wp:extent cx="2501900" cy="1876425"/>
            <wp:effectExtent l="0" t="0" r="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1900" cy="1876425"/>
                    </a:xfrm>
                    <a:prstGeom prst="rect">
                      <a:avLst/>
                    </a:prstGeom>
                  </pic:spPr>
                </pic:pic>
              </a:graphicData>
            </a:graphic>
          </wp:anchor>
        </w:drawing>
      </w:r>
    </w:p>
    <w:p w14:paraId="454164CD">
      <w:pPr>
        <w:spacing w:line="520" w:lineRule="exact"/>
        <w:ind w:firstLine="640" w:firstLineChars="200"/>
        <w:rPr>
          <w:rFonts w:ascii="仿宋_GB2312" w:eastAsia="仿宋_GB2312"/>
          <w:sz w:val="32"/>
          <w:szCs w:val="32"/>
        </w:rPr>
      </w:pPr>
    </w:p>
    <w:p w14:paraId="5DC29E01">
      <w:pPr>
        <w:spacing w:line="520" w:lineRule="exact"/>
        <w:ind w:firstLine="640" w:firstLineChars="200"/>
        <w:rPr>
          <w:rFonts w:ascii="仿宋_GB2312" w:eastAsia="仿宋_GB2312"/>
          <w:sz w:val="32"/>
          <w:szCs w:val="32"/>
        </w:rPr>
      </w:pPr>
    </w:p>
    <w:p w14:paraId="67E83E03">
      <w:pPr>
        <w:spacing w:line="520" w:lineRule="exact"/>
        <w:ind w:firstLine="640" w:firstLineChars="200"/>
        <w:rPr>
          <w:rFonts w:ascii="仿宋_GB2312" w:eastAsia="仿宋_GB2312"/>
          <w:sz w:val="32"/>
          <w:szCs w:val="32"/>
        </w:rPr>
      </w:pPr>
    </w:p>
    <w:p w14:paraId="61EA30C8">
      <w:pPr>
        <w:spacing w:line="520" w:lineRule="exact"/>
        <w:ind w:firstLine="640" w:firstLineChars="200"/>
        <w:rPr>
          <w:rFonts w:ascii="仿宋_GB2312" w:eastAsia="仿宋_GB2312"/>
          <w:sz w:val="32"/>
          <w:szCs w:val="32"/>
        </w:rPr>
      </w:pPr>
    </w:p>
    <w:p w14:paraId="2EFC1ADC">
      <w:pPr>
        <w:spacing w:line="520" w:lineRule="exact"/>
        <w:ind w:firstLine="640" w:firstLineChars="200"/>
        <w:rPr>
          <w:rFonts w:ascii="仿宋_GB2312" w:eastAsia="仿宋_GB2312"/>
          <w:sz w:val="32"/>
          <w:szCs w:val="32"/>
        </w:rPr>
      </w:pPr>
    </w:p>
    <w:p w14:paraId="4EB2A1FA">
      <w:pPr>
        <w:spacing w:line="520" w:lineRule="exact"/>
        <w:ind w:firstLine="640" w:firstLineChars="200"/>
        <w:jc w:val="center"/>
        <w:rPr>
          <w:rFonts w:ascii="仿宋_GB2312" w:eastAsia="仿宋_GB2312"/>
          <w:sz w:val="32"/>
          <w:szCs w:val="32"/>
        </w:rPr>
      </w:pPr>
      <w:r>
        <w:rPr>
          <w:rFonts w:hint="eastAsia" w:ascii="仿宋_GB2312" w:eastAsia="仿宋_GB2312"/>
          <w:sz w:val="32"/>
          <w:szCs w:val="32"/>
        </w:rPr>
        <w:t>图</w:t>
      </w:r>
      <w:r>
        <w:rPr>
          <w:rFonts w:ascii="仿宋_GB2312" w:eastAsia="仿宋_GB2312"/>
          <w:sz w:val="32"/>
          <w:szCs w:val="32"/>
        </w:rPr>
        <w:t>3</w:t>
      </w:r>
    </w:p>
    <w:p w14:paraId="792E40D2">
      <w:pPr>
        <w:spacing w:line="52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被动网式雾化器带有</w:t>
      </w:r>
      <w:r>
        <w:rPr>
          <w:rFonts w:ascii="仿宋_GB2312" w:eastAsia="仿宋_GB2312"/>
          <w:sz w:val="32"/>
          <w:szCs w:val="32"/>
        </w:rPr>
        <w:t>网孔</w:t>
      </w:r>
      <w:r>
        <w:rPr>
          <w:rFonts w:hint="eastAsia" w:ascii="仿宋_GB2312" w:eastAsia="仿宋_GB2312"/>
          <w:sz w:val="32"/>
          <w:szCs w:val="32"/>
        </w:rPr>
        <w:t>的</w:t>
      </w:r>
      <w:r>
        <w:rPr>
          <w:rFonts w:ascii="仿宋_GB2312" w:eastAsia="仿宋_GB2312"/>
          <w:sz w:val="32"/>
          <w:szCs w:val="32"/>
        </w:rPr>
        <w:t>雾化片</w:t>
      </w:r>
      <w:r>
        <w:rPr>
          <w:rFonts w:hint="eastAsia" w:ascii="仿宋_GB2312" w:eastAsia="仿宋_GB2312"/>
          <w:sz w:val="32"/>
          <w:szCs w:val="32"/>
        </w:rPr>
        <w:t>在产生</w:t>
      </w:r>
      <w:r>
        <w:rPr>
          <w:rFonts w:ascii="仿宋_GB2312" w:eastAsia="仿宋_GB2312"/>
          <w:sz w:val="32"/>
          <w:szCs w:val="32"/>
        </w:rPr>
        <w:t>气</w:t>
      </w:r>
      <w:r>
        <w:rPr>
          <w:rFonts w:hint="eastAsia" w:ascii="仿宋_GB2312" w:eastAsia="仿宋_GB2312"/>
          <w:sz w:val="32"/>
          <w:szCs w:val="32"/>
        </w:rPr>
        <w:t>雾颗粒时不主动</w:t>
      </w:r>
      <w:r>
        <w:rPr>
          <w:rFonts w:ascii="仿宋_GB2312" w:eastAsia="仿宋_GB2312"/>
          <w:sz w:val="32"/>
          <w:szCs w:val="32"/>
        </w:rPr>
        <w:t>振动</w:t>
      </w:r>
      <w:r>
        <w:rPr>
          <w:rFonts w:hint="eastAsia" w:ascii="仿宋_GB2312" w:eastAsia="仿宋_GB2312"/>
          <w:sz w:val="32"/>
          <w:szCs w:val="32"/>
        </w:rPr>
        <w:t>，雾化</w:t>
      </w:r>
      <w:r>
        <w:rPr>
          <w:rFonts w:ascii="仿宋_GB2312" w:eastAsia="仿宋_GB2312"/>
          <w:sz w:val="32"/>
          <w:szCs w:val="32"/>
        </w:rPr>
        <w:t>装置中的</w:t>
      </w:r>
      <w:r>
        <w:rPr>
          <w:rFonts w:hint="eastAsia" w:ascii="仿宋_GB2312" w:eastAsia="仿宋_GB2312"/>
          <w:sz w:val="32"/>
          <w:szCs w:val="32"/>
        </w:rPr>
        <w:t>压电陶瓷与变幅杆连接，主机控制部分输出一定频率的电流及电压，当频率与雾化装置（压电陶瓷与变幅杆</w:t>
      </w:r>
      <w:r>
        <w:rPr>
          <w:rFonts w:ascii="仿宋_GB2312" w:eastAsia="仿宋_GB2312"/>
          <w:sz w:val="32"/>
          <w:szCs w:val="32"/>
        </w:rPr>
        <w:t>）</w:t>
      </w:r>
      <w:r>
        <w:rPr>
          <w:rFonts w:hint="eastAsia" w:ascii="仿宋_GB2312" w:eastAsia="仿宋_GB2312"/>
          <w:sz w:val="32"/>
          <w:szCs w:val="32"/>
        </w:rPr>
        <w:t>的谐振频率一致时，变幅杆的端面发生简谐振动，将位于变幅杆端面和带有网孔的雾化片之间的药液经网孔挤到另一侧，形成气雾颗粒并喷出。示意图</w:t>
      </w:r>
      <w:r>
        <w:rPr>
          <w:rFonts w:ascii="仿宋_GB2312" w:eastAsia="仿宋_GB2312"/>
          <w:sz w:val="32"/>
          <w:szCs w:val="32"/>
        </w:rPr>
        <w:t>见图4</w:t>
      </w:r>
      <w:r>
        <w:rPr>
          <w:rFonts w:hint="eastAsia" w:ascii="仿宋_GB2312" w:eastAsia="仿宋_GB2312"/>
          <w:sz w:val="32"/>
          <w:szCs w:val="32"/>
        </w:rPr>
        <w:t>。</w:t>
      </w:r>
    </w:p>
    <w:p w14:paraId="008743E1">
      <w:pPr>
        <w:spacing w:line="52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62336" behindDoc="0" locked="0" layoutInCell="1" allowOverlap="1">
            <wp:simplePos x="0" y="0"/>
            <wp:positionH relativeFrom="margin">
              <wp:posOffset>1561465</wp:posOffset>
            </wp:positionH>
            <wp:positionV relativeFrom="paragraph">
              <wp:posOffset>7620</wp:posOffset>
            </wp:positionV>
            <wp:extent cx="2692400" cy="201930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2400" cy="2019300"/>
                    </a:xfrm>
                    <a:prstGeom prst="rect">
                      <a:avLst/>
                    </a:prstGeom>
                  </pic:spPr>
                </pic:pic>
              </a:graphicData>
            </a:graphic>
          </wp:anchor>
        </w:drawing>
      </w:r>
    </w:p>
    <w:p w14:paraId="64BE6F10">
      <w:pPr>
        <w:spacing w:line="520" w:lineRule="exact"/>
        <w:ind w:firstLine="640" w:firstLineChars="200"/>
        <w:rPr>
          <w:rFonts w:ascii="仿宋_GB2312" w:eastAsia="仿宋_GB2312"/>
          <w:sz w:val="32"/>
          <w:szCs w:val="32"/>
        </w:rPr>
      </w:pPr>
    </w:p>
    <w:p w14:paraId="0DF3B91D">
      <w:pPr>
        <w:spacing w:line="520" w:lineRule="exact"/>
        <w:ind w:firstLine="640" w:firstLineChars="200"/>
        <w:rPr>
          <w:rFonts w:ascii="仿宋_GB2312" w:eastAsia="仿宋_GB2312"/>
          <w:sz w:val="32"/>
          <w:szCs w:val="32"/>
        </w:rPr>
      </w:pPr>
    </w:p>
    <w:p w14:paraId="2049EFC7">
      <w:pPr>
        <w:spacing w:line="520" w:lineRule="exact"/>
        <w:ind w:firstLine="640" w:firstLineChars="200"/>
        <w:rPr>
          <w:rFonts w:ascii="仿宋_GB2312" w:eastAsia="仿宋_GB2312"/>
          <w:sz w:val="32"/>
          <w:szCs w:val="32"/>
        </w:rPr>
      </w:pPr>
    </w:p>
    <w:p w14:paraId="332235E5">
      <w:pPr>
        <w:spacing w:line="520" w:lineRule="exact"/>
        <w:ind w:firstLine="640" w:firstLineChars="200"/>
        <w:jc w:val="center"/>
        <w:rPr>
          <w:rFonts w:ascii="仿宋_GB2312" w:eastAsia="仿宋_GB2312"/>
          <w:sz w:val="32"/>
          <w:szCs w:val="32"/>
        </w:rPr>
      </w:pPr>
    </w:p>
    <w:p w14:paraId="643D5669">
      <w:pPr>
        <w:spacing w:line="520" w:lineRule="exact"/>
        <w:ind w:firstLine="640" w:firstLineChars="200"/>
        <w:jc w:val="center"/>
        <w:rPr>
          <w:rFonts w:ascii="仿宋_GB2312" w:eastAsia="仿宋_GB2312"/>
          <w:sz w:val="32"/>
          <w:szCs w:val="32"/>
        </w:rPr>
      </w:pPr>
    </w:p>
    <w:p w14:paraId="368EDC08">
      <w:pPr>
        <w:spacing w:line="520" w:lineRule="exact"/>
        <w:ind w:firstLine="640" w:firstLineChars="200"/>
        <w:jc w:val="center"/>
        <w:rPr>
          <w:rFonts w:ascii="仿宋_GB2312" w:eastAsia="仿宋_GB2312"/>
          <w:sz w:val="32"/>
          <w:szCs w:val="32"/>
        </w:rPr>
      </w:pPr>
      <w:r>
        <w:rPr>
          <w:rFonts w:hint="eastAsia" w:ascii="仿宋_GB2312" w:eastAsia="仿宋_GB2312"/>
          <w:sz w:val="32"/>
          <w:szCs w:val="32"/>
        </w:rPr>
        <w:t>图</w:t>
      </w:r>
      <w:r>
        <w:rPr>
          <w:rFonts w:ascii="仿宋_GB2312" w:eastAsia="仿宋_GB2312"/>
          <w:sz w:val="32"/>
          <w:szCs w:val="32"/>
        </w:rPr>
        <w:t>4</w:t>
      </w:r>
    </w:p>
    <w:p w14:paraId="108F4C88">
      <w:pPr>
        <w:numPr>
          <w:ilvl w:val="0"/>
          <w:numId w:val="1"/>
        </w:numPr>
        <w:spacing w:line="520" w:lineRule="exact"/>
        <w:ind w:firstLine="640" w:firstLineChars="200"/>
        <w:rPr>
          <w:rFonts w:ascii="楷体_GB2312" w:eastAsia="楷体_GB2312"/>
          <w:sz w:val="32"/>
          <w:szCs w:val="32"/>
        </w:rPr>
      </w:pPr>
      <w:r>
        <w:rPr>
          <w:rFonts w:hint="eastAsia" w:ascii="楷体_GB2312" w:eastAsia="楷体_GB2312"/>
          <w:sz w:val="32"/>
          <w:szCs w:val="32"/>
        </w:rPr>
        <w:t>注册单元划分的原则和实例</w:t>
      </w:r>
    </w:p>
    <w:p w14:paraId="1DDE6FA7">
      <w:pPr>
        <w:spacing w:line="520" w:lineRule="exact"/>
        <w:ind w:firstLine="640"/>
        <w:rPr>
          <w:rFonts w:ascii="仿宋_GB2312" w:eastAsia="仿宋_GB2312"/>
          <w:sz w:val="32"/>
          <w:szCs w:val="32"/>
        </w:rPr>
      </w:pPr>
      <w:r>
        <w:rPr>
          <w:rFonts w:hint="eastAsia" w:ascii="仿宋_GB2312" w:eastAsia="仿宋_GB2312"/>
          <w:sz w:val="32"/>
          <w:szCs w:val="32"/>
        </w:rPr>
        <w:t>注册单元划分应参照《医疗器械注册单元划分指导原则》（国家食品药品监督管理总局通告2017年第187号），以产品的技术原理、结构组成、性能指标、适用范围等作为依据进行综合判定及</w:t>
      </w:r>
      <w:r>
        <w:rPr>
          <w:rFonts w:ascii="仿宋_GB2312" w:eastAsia="仿宋_GB2312"/>
          <w:sz w:val="32"/>
          <w:szCs w:val="32"/>
        </w:rPr>
        <w:t>划分</w:t>
      </w:r>
      <w:r>
        <w:rPr>
          <w:rFonts w:hint="eastAsia" w:ascii="仿宋_GB2312" w:eastAsia="仿宋_GB2312"/>
          <w:sz w:val="32"/>
          <w:szCs w:val="32"/>
        </w:rPr>
        <w:t>。</w:t>
      </w:r>
    </w:p>
    <w:p w14:paraId="691BC705">
      <w:pPr>
        <w:spacing w:line="520" w:lineRule="exact"/>
        <w:ind w:firstLine="640"/>
        <w:rPr>
          <w:rFonts w:ascii="仿宋_GB2312" w:eastAsia="仿宋_GB2312"/>
          <w:sz w:val="32"/>
          <w:szCs w:val="32"/>
        </w:rPr>
      </w:pPr>
      <w:r>
        <w:rPr>
          <w:rFonts w:hint="eastAsia" w:ascii="仿宋_GB2312" w:eastAsia="仿宋_GB2312"/>
          <w:sz w:val="32"/>
          <w:szCs w:val="32"/>
        </w:rPr>
        <w:t>如主动网式雾化器和被动网式雾化器在产品的工作原理及结构组成上存在差异，应划分为不同注册单元。若雾化装置的产雾原件是</w:t>
      </w:r>
      <w:r>
        <w:rPr>
          <w:rFonts w:ascii="仿宋_GB2312" w:eastAsia="仿宋_GB2312"/>
          <w:sz w:val="32"/>
          <w:szCs w:val="32"/>
        </w:rPr>
        <w:t>不同于</w:t>
      </w:r>
      <w:r>
        <w:rPr>
          <w:rFonts w:hint="eastAsia" w:ascii="仿宋_GB2312" w:eastAsia="仿宋_GB2312"/>
          <w:sz w:val="32"/>
          <w:szCs w:val="32"/>
        </w:rPr>
        <w:t>上述两种结构的其他结构，如具有两个振动网片（一个轴向振动，一个径向振动），也应划为不同注册单元。根据产品功能的差异，建议将有具有多个雾化率的网式雾化器与固定雾化率的网式雾化器划分为不同注册单元。</w:t>
      </w:r>
    </w:p>
    <w:p w14:paraId="29BE7A4D">
      <w:pPr>
        <w:numPr>
          <w:ilvl w:val="0"/>
          <w:numId w:val="1"/>
        </w:numPr>
        <w:spacing w:line="520" w:lineRule="exact"/>
        <w:ind w:firstLine="640" w:firstLineChars="200"/>
        <w:rPr>
          <w:rFonts w:ascii="楷体_GB2312" w:eastAsia="楷体_GB2312"/>
          <w:sz w:val="32"/>
          <w:szCs w:val="32"/>
        </w:rPr>
      </w:pPr>
      <w:r>
        <w:rPr>
          <w:rFonts w:hint="eastAsia" w:ascii="楷体_GB2312" w:eastAsia="楷体_GB2312"/>
          <w:sz w:val="32"/>
          <w:szCs w:val="32"/>
        </w:rPr>
        <w:t>产品适用的相关标准</w:t>
      </w:r>
    </w:p>
    <w:p w14:paraId="60091336">
      <w:pPr>
        <w:spacing w:line="520" w:lineRule="exact"/>
        <w:jc w:val="left"/>
        <w:rPr>
          <w:rFonts w:ascii="楷体_GB2312" w:eastAsia="楷体_GB2312"/>
          <w:sz w:val="32"/>
          <w:szCs w:val="32"/>
        </w:rPr>
      </w:pPr>
      <w:r>
        <w:rPr>
          <w:rFonts w:hint="eastAsia" w:ascii="仿宋_GB2312" w:eastAsia="仿宋_GB2312"/>
          <w:sz w:val="32"/>
          <w:szCs w:val="32"/>
        </w:rPr>
        <w:t>现行与产品相关的国家标准、行业标准列举如下（表1）：</w:t>
      </w:r>
    </w:p>
    <w:p w14:paraId="7377ACD7">
      <w:pPr>
        <w:spacing w:line="520" w:lineRule="exact"/>
        <w:ind w:firstLine="560" w:firstLineChars="200"/>
        <w:jc w:val="center"/>
        <w:rPr>
          <w:rFonts w:ascii="黑体" w:hAnsi="黑体" w:eastAsia="黑体"/>
          <w:sz w:val="28"/>
          <w:szCs w:val="28"/>
        </w:rPr>
      </w:pPr>
      <w:r>
        <w:rPr>
          <w:rFonts w:hint="eastAsia" w:ascii="黑体" w:hAnsi="黑体" w:eastAsia="黑体"/>
          <w:sz w:val="28"/>
          <w:szCs w:val="28"/>
        </w:rPr>
        <w:t>表</w:t>
      </w:r>
      <w:r>
        <w:rPr>
          <w:rFonts w:ascii="黑体" w:hAnsi="黑体" w:eastAsia="黑体"/>
          <w:sz w:val="28"/>
          <w:szCs w:val="28"/>
        </w:rPr>
        <w:t>1 相关产品标准</w:t>
      </w:r>
    </w:p>
    <w:tbl>
      <w:tblPr>
        <w:tblStyle w:val="5"/>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7"/>
        <w:gridCol w:w="5670"/>
      </w:tblGrid>
      <w:tr w14:paraId="63D9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7" w:type="dxa"/>
          </w:tcPr>
          <w:p w14:paraId="42587DC1">
            <w:pPr>
              <w:autoSpaceDE w:val="0"/>
              <w:autoSpaceDN w:val="0"/>
              <w:adjustRightInd w:val="0"/>
              <w:spacing w:line="520" w:lineRule="exact"/>
              <w:ind w:right="-67" w:rightChars="-32"/>
              <w:jc w:val="center"/>
              <w:rPr>
                <w:rFonts w:ascii="黑体" w:hAnsi="Times New Roman" w:eastAsia="黑体" w:cs="Times New Roman"/>
                <w:color w:val="000000"/>
                <w:kern w:val="0"/>
                <w:sz w:val="28"/>
                <w:szCs w:val="28"/>
              </w:rPr>
            </w:pPr>
            <w:r>
              <w:rPr>
                <w:rFonts w:hint="eastAsia" w:ascii="黑体" w:hAnsi="Times New Roman" w:eastAsia="黑体" w:cs="Times New Roman"/>
                <w:color w:val="000000"/>
                <w:kern w:val="0"/>
                <w:sz w:val="28"/>
                <w:szCs w:val="28"/>
              </w:rPr>
              <w:t>标准编号</w:t>
            </w:r>
          </w:p>
        </w:tc>
        <w:tc>
          <w:tcPr>
            <w:tcW w:w="5670" w:type="dxa"/>
          </w:tcPr>
          <w:p w14:paraId="3C1286CC">
            <w:pPr>
              <w:autoSpaceDE w:val="0"/>
              <w:autoSpaceDN w:val="0"/>
              <w:adjustRightInd w:val="0"/>
              <w:spacing w:line="520" w:lineRule="exact"/>
              <w:ind w:right="-67" w:rightChars="-32"/>
              <w:jc w:val="center"/>
              <w:rPr>
                <w:rFonts w:ascii="黑体" w:hAnsi="Times New Roman" w:eastAsia="黑体" w:cs="Times New Roman"/>
                <w:color w:val="000000"/>
                <w:kern w:val="0"/>
                <w:sz w:val="28"/>
                <w:szCs w:val="28"/>
              </w:rPr>
            </w:pPr>
            <w:r>
              <w:rPr>
                <w:rFonts w:hint="eastAsia" w:ascii="黑体" w:hAnsi="Times New Roman" w:eastAsia="黑体" w:cs="Times New Roman"/>
                <w:color w:val="000000"/>
                <w:kern w:val="0"/>
                <w:sz w:val="28"/>
                <w:szCs w:val="28"/>
              </w:rPr>
              <w:t>标准名称</w:t>
            </w:r>
          </w:p>
        </w:tc>
      </w:tr>
      <w:tr w14:paraId="4E7B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7" w:type="dxa"/>
          </w:tcPr>
          <w:p w14:paraId="4013BAF5">
            <w:pPr>
              <w:autoSpaceDE w:val="0"/>
              <w:autoSpaceDN w:val="0"/>
              <w:adjustRightInd w:val="0"/>
              <w:spacing w:line="520" w:lineRule="exact"/>
              <w:ind w:right="-67" w:rightChars="-32"/>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GB 9706.1</w:t>
            </w:r>
            <w:r>
              <w:rPr>
                <w:rFonts w:hint="eastAsia" w:ascii="Times New Roman" w:hAnsi="Times New Roman" w:eastAsia="仿宋_GB2312" w:cs="Times New Roman"/>
                <w:color w:val="000000"/>
                <w:kern w:val="0"/>
                <w:sz w:val="28"/>
                <w:szCs w:val="28"/>
              </w:rPr>
              <w:t>—</w:t>
            </w:r>
            <w:r>
              <w:rPr>
                <w:rFonts w:ascii="Times New Roman" w:hAnsi="Times New Roman" w:eastAsia="仿宋_GB2312" w:cs="Times New Roman"/>
                <w:color w:val="000000"/>
                <w:kern w:val="0"/>
                <w:sz w:val="28"/>
                <w:szCs w:val="28"/>
              </w:rPr>
              <w:t>2007</w:t>
            </w:r>
          </w:p>
        </w:tc>
        <w:tc>
          <w:tcPr>
            <w:tcW w:w="5670" w:type="dxa"/>
          </w:tcPr>
          <w:p w14:paraId="4768DCFF">
            <w:pPr>
              <w:autoSpaceDE w:val="0"/>
              <w:autoSpaceDN w:val="0"/>
              <w:adjustRightInd w:val="0"/>
              <w:spacing w:line="520" w:lineRule="exact"/>
              <w:ind w:right="-67" w:rightChars="-32"/>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医用电气设备第1部分：安全通用要求</w:t>
            </w:r>
          </w:p>
        </w:tc>
      </w:tr>
      <w:tr w14:paraId="3C1F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7" w:type="dxa"/>
          </w:tcPr>
          <w:p w14:paraId="39CD37EC">
            <w:pPr>
              <w:autoSpaceDE w:val="0"/>
              <w:autoSpaceDN w:val="0"/>
              <w:adjustRightInd w:val="0"/>
              <w:spacing w:line="520" w:lineRule="exact"/>
              <w:ind w:right="-67" w:rightChars="-32"/>
              <w:jc w:val="lef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GB/T 14233.1—2008</w:t>
            </w:r>
          </w:p>
        </w:tc>
        <w:tc>
          <w:tcPr>
            <w:tcW w:w="5670" w:type="dxa"/>
          </w:tcPr>
          <w:p w14:paraId="455F62F5">
            <w:pPr>
              <w:autoSpaceDE w:val="0"/>
              <w:autoSpaceDN w:val="0"/>
              <w:adjustRightInd w:val="0"/>
              <w:spacing w:line="520" w:lineRule="exact"/>
              <w:ind w:right="-67" w:rightChars="-32"/>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医用输液、输血、注射器具检验方法第1部分：化学分析方法</w:t>
            </w:r>
          </w:p>
        </w:tc>
      </w:tr>
      <w:tr w14:paraId="6B7C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7" w:type="dxa"/>
          </w:tcPr>
          <w:p w14:paraId="024D6481">
            <w:pPr>
              <w:autoSpaceDE w:val="0"/>
              <w:autoSpaceDN w:val="0"/>
              <w:adjustRightInd w:val="0"/>
              <w:spacing w:line="520" w:lineRule="exact"/>
              <w:ind w:right="-67" w:rightChars="-32"/>
              <w:jc w:val="lef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GB/T 14710—2009</w:t>
            </w:r>
          </w:p>
        </w:tc>
        <w:tc>
          <w:tcPr>
            <w:tcW w:w="5670" w:type="dxa"/>
          </w:tcPr>
          <w:p w14:paraId="60C46651">
            <w:pPr>
              <w:autoSpaceDE w:val="0"/>
              <w:autoSpaceDN w:val="0"/>
              <w:adjustRightInd w:val="0"/>
              <w:spacing w:line="520" w:lineRule="exact"/>
              <w:ind w:right="-67" w:rightChars="-32"/>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医用电器环境要求及试验方法</w:t>
            </w:r>
          </w:p>
        </w:tc>
      </w:tr>
      <w:tr w14:paraId="44AF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7" w:type="dxa"/>
          </w:tcPr>
          <w:p w14:paraId="0B98C2DE">
            <w:pPr>
              <w:autoSpaceDE w:val="0"/>
              <w:autoSpaceDN w:val="0"/>
              <w:adjustRightInd w:val="0"/>
              <w:spacing w:line="520" w:lineRule="exact"/>
              <w:ind w:right="-67" w:rightChars="-32"/>
              <w:jc w:val="lef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GB/T 16886.1—2011</w:t>
            </w:r>
          </w:p>
        </w:tc>
        <w:tc>
          <w:tcPr>
            <w:tcW w:w="5670" w:type="dxa"/>
          </w:tcPr>
          <w:p w14:paraId="1C0136C7">
            <w:pPr>
              <w:autoSpaceDE w:val="0"/>
              <w:autoSpaceDN w:val="0"/>
              <w:adjustRightInd w:val="0"/>
              <w:spacing w:line="520" w:lineRule="exact"/>
              <w:ind w:right="-67" w:rightChars="-32"/>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医疗器械生物学评价第1部分：风险管理过程中的评价与试验</w:t>
            </w:r>
          </w:p>
        </w:tc>
      </w:tr>
      <w:tr w14:paraId="5E43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7" w:type="dxa"/>
          </w:tcPr>
          <w:p w14:paraId="275C8E96">
            <w:pPr>
              <w:autoSpaceDE w:val="0"/>
              <w:autoSpaceDN w:val="0"/>
              <w:adjustRightInd w:val="0"/>
              <w:spacing w:line="520" w:lineRule="exact"/>
              <w:ind w:right="-67" w:rightChars="-32"/>
              <w:jc w:val="lef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GB/T 16886.5—2017</w:t>
            </w:r>
          </w:p>
        </w:tc>
        <w:tc>
          <w:tcPr>
            <w:tcW w:w="5670" w:type="dxa"/>
          </w:tcPr>
          <w:p w14:paraId="146AE415">
            <w:pPr>
              <w:autoSpaceDE w:val="0"/>
              <w:autoSpaceDN w:val="0"/>
              <w:adjustRightInd w:val="0"/>
              <w:spacing w:line="520" w:lineRule="exact"/>
              <w:ind w:right="-67" w:rightChars="-32"/>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医疗器械生物学评价第5部分：体外细胞毒性试验</w:t>
            </w:r>
          </w:p>
        </w:tc>
      </w:tr>
      <w:tr w14:paraId="7B94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7" w:type="dxa"/>
          </w:tcPr>
          <w:p w14:paraId="56521A51">
            <w:pPr>
              <w:autoSpaceDE w:val="0"/>
              <w:autoSpaceDN w:val="0"/>
              <w:adjustRightInd w:val="0"/>
              <w:spacing w:line="520" w:lineRule="exact"/>
              <w:ind w:right="-67" w:rightChars="-32"/>
              <w:jc w:val="lef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GB/T 16886.7—2015</w:t>
            </w:r>
          </w:p>
        </w:tc>
        <w:tc>
          <w:tcPr>
            <w:tcW w:w="5670" w:type="dxa"/>
          </w:tcPr>
          <w:p w14:paraId="7DA8AF5E">
            <w:pPr>
              <w:autoSpaceDE w:val="0"/>
              <w:autoSpaceDN w:val="0"/>
              <w:adjustRightInd w:val="0"/>
              <w:spacing w:line="520" w:lineRule="exact"/>
              <w:ind w:right="-67" w:rightChars="-32"/>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医疗器械生物学评价第7部分：环氧乙烷灭菌残留量</w:t>
            </w:r>
          </w:p>
        </w:tc>
      </w:tr>
      <w:tr w14:paraId="655E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7" w:type="dxa"/>
          </w:tcPr>
          <w:p w14:paraId="3D2B1E76">
            <w:pPr>
              <w:autoSpaceDE w:val="0"/>
              <w:autoSpaceDN w:val="0"/>
              <w:adjustRightInd w:val="0"/>
              <w:spacing w:line="520" w:lineRule="exact"/>
              <w:ind w:right="-67" w:rightChars="-32"/>
              <w:jc w:val="lef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GB/T 16886.10—2017</w:t>
            </w:r>
          </w:p>
        </w:tc>
        <w:tc>
          <w:tcPr>
            <w:tcW w:w="5670" w:type="dxa"/>
          </w:tcPr>
          <w:p w14:paraId="10651C20">
            <w:pPr>
              <w:autoSpaceDE w:val="0"/>
              <w:autoSpaceDN w:val="0"/>
              <w:adjustRightInd w:val="0"/>
              <w:spacing w:line="520" w:lineRule="exact"/>
              <w:ind w:right="-67" w:rightChars="-32"/>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医疗器械生物学评价第10部分：刺激与皮肤致敏试验</w:t>
            </w:r>
          </w:p>
        </w:tc>
      </w:tr>
      <w:tr w14:paraId="1AB4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7" w:type="dxa"/>
          </w:tcPr>
          <w:p w14:paraId="6A524519">
            <w:pPr>
              <w:autoSpaceDE w:val="0"/>
              <w:autoSpaceDN w:val="0"/>
              <w:adjustRightInd w:val="0"/>
              <w:spacing w:line="520" w:lineRule="exact"/>
              <w:ind w:right="-67" w:rightChars="-32"/>
              <w:jc w:val="lef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GB/T 16886.12—2017</w:t>
            </w:r>
          </w:p>
        </w:tc>
        <w:tc>
          <w:tcPr>
            <w:tcW w:w="5670" w:type="dxa"/>
          </w:tcPr>
          <w:p w14:paraId="63D0A6B4">
            <w:pPr>
              <w:autoSpaceDE w:val="0"/>
              <w:autoSpaceDN w:val="0"/>
              <w:adjustRightInd w:val="0"/>
              <w:spacing w:line="520" w:lineRule="exact"/>
              <w:ind w:right="-67" w:rightChars="-32"/>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医疗器械生物学评价第12部分：样品制备与参照材料</w:t>
            </w:r>
          </w:p>
        </w:tc>
      </w:tr>
      <w:tr w14:paraId="72F2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7" w:type="dxa"/>
          </w:tcPr>
          <w:p w14:paraId="713AD26B">
            <w:pPr>
              <w:autoSpaceDE w:val="0"/>
              <w:autoSpaceDN w:val="0"/>
              <w:adjustRightInd w:val="0"/>
              <w:spacing w:line="520" w:lineRule="exact"/>
              <w:ind w:right="-67" w:rightChars="-32"/>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GB/T 19077—2016</w:t>
            </w:r>
          </w:p>
        </w:tc>
        <w:tc>
          <w:tcPr>
            <w:tcW w:w="5670" w:type="dxa"/>
          </w:tcPr>
          <w:p w14:paraId="20188E3C">
            <w:pPr>
              <w:autoSpaceDE w:val="0"/>
              <w:autoSpaceDN w:val="0"/>
              <w:adjustRightInd w:val="0"/>
              <w:spacing w:line="520" w:lineRule="exact"/>
              <w:ind w:right="-67" w:rightChars="-32"/>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粒度分析激光衍射法</w:t>
            </w:r>
          </w:p>
        </w:tc>
      </w:tr>
      <w:tr w14:paraId="4639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7" w:type="dxa"/>
          </w:tcPr>
          <w:p w14:paraId="76FFBA9B">
            <w:pPr>
              <w:autoSpaceDE w:val="0"/>
              <w:autoSpaceDN w:val="0"/>
              <w:adjustRightInd w:val="0"/>
              <w:spacing w:line="520" w:lineRule="exact"/>
              <w:ind w:right="-67" w:rightChars="-32"/>
              <w:jc w:val="lef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YY 0109—2013</w:t>
            </w:r>
          </w:p>
        </w:tc>
        <w:tc>
          <w:tcPr>
            <w:tcW w:w="5670" w:type="dxa"/>
          </w:tcPr>
          <w:p w14:paraId="0BC964E1">
            <w:pPr>
              <w:autoSpaceDE w:val="0"/>
              <w:autoSpaceDN w:val="0"/>
              <w:adjustRightInd w:val="0"/>
              <w:spacing w:line="520" w:lineRule="exact"/>
              <w:ind w:right="-67" w:rightChars="-32"/>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医用超声雾化器</w:t>
            </w:r>
          </w:p>
        </w:tc>
      </w:tr>
      <w:tr w14:paraId="6AE8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7" w:type="dxa"/>
          </w:tcPr>
          <w:p w14:paraId="5C57FF07">
            <w:pPr>
              <w:autoSpaceDE w:val="0"/>
              <w:autoSpaceDN w:val="0"/>
              <w:adjustRightInd w:val="0"/>
              <w:spacing w:line="520" w:lineRule="exact"/>
              <w:ind w:right="-67" w:rightChars="-32"/>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YY/T 0313—2014</w:t>
            </w:r>
          </w:p>
        </w:tc>
        <w:tc>
          <w:tcPr>
            <w:tcW w:w="5670" w:type="dxa"/>
          </w:tcPr>
          <w:p w14:paraId="63233FBE">
            <w:pPr>
              <w:autoSpaceDE w:val="0"/>
              <w:autoSpaceDN w:val="0"/>
              <w:adjustRightInd w:val="0"/>
              <w:spacing w:line="520" w:lineRule="exact"/>
              <w:ind w:right="-67" w:rightChars="-32"/>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医用高分子产品包装和制造商提供信息的要求</w:t>
            </w:r>
          </w:p>
        </w:tc>
      </w:tr>
      <w:tr w14:paraId="0A0D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7" w:type="dxa"/>
          </w:tcPr>
          <w:p w14:paraId="466BCDB5">
            <w:pPr>
              <w:autoSpaceDE w:val="0"/>
              <w:autoSpaceDN w:val="0"/>
              <w:adjustRightInd w:val="0"/>
              <w:spacing w:line="520" w:lineRule="exact"/>
              <w:ind w:right="-67" w:rightChars="-32"/>
              <w:jc w:val="lef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YY/T 0466.1—2016</w:t>
            </w:r>
          </w:p>
        </w:tc>
        <w:tc>
          <w:tcPr>
            <w:tcW w:w="5670" w:type="dxa"/>
          </w:tcPr>
          <w:p w14:paraId="0FD52F06">
            <w:pPr>
              <w:autoSpaceDE w:val="0"/>
              <w:autoSpaceDN w:val="0"/>
              <w:adjustRightInd w:val="0"/>
              <w:spacing w:line="520" w:lineRule="exact"/>
              <w:ind w:right="-67" w:rightChars="-32"/>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医疗器械用于医疗器械标签、标记和提供信息的符号第1部分：通用要求</w:t>
            </w:r>
          </w:p>
        </w:tc>
      </w:tr>
      <w:tr w14:paraId="0C6D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7" w:type="dxa"/>
          </w:tcPr>
          <w:p w14:paraId="155526C9">
            <w:pPr>
              <w:autoSpaceDE w:val="0"/>
              <w:autoSpaceDN w:val="0"/>
              <w:adjustRightInd w:val="0"/>
              <w:spacing w:line="520" w:lineRule="exact"/>
              <w:ind w:right="-67" w:rightChars="-32"/>
              <w:jc w:val="lef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YY 0505—2012</w:t>
            </w:r>
          </w:p>
        </w:tc>
        <w:tc>
          <w:tcPr>
            <w:tcW w:w="5670" w:type="dxa"/>
          </w:tcPr>
          <w:p w14:paraId="0CAD816A">
            <w:pPr>
              <w:autoSpaceDE w:val="0"/>
              <w:autoSpaceDN w:val="0"/>
              <w:adjustRightInd w:val="0"/>
              <w:spacing w:line="520" w:lineRule="exact"/>
              <w:ind w:right="-67" w:rightChars="-32"/>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医用电气设备第1-2部分:安全通用要求并列标准：电磁兼容要求和试验</w:t>
            </w:r>
          </w:p>
        </w:tc>
      </w:tr>
      <w:tr w14:paraId="7A77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7" w:type="dxa"/>
          </w:tcPr>
          <w:p w14:paraId="4A392B62">
            <w:pPr>
              <w:autoSpaceDE w:val="0"/>
              <w:autoSpaceDN w:val="0"/>
              <w:adjustRightInd w:val="0"/>
              <w:spacing w:line="520" w:lineRule="exact"/>
              <w:ind w:right="-67" w:rightChars="-32"/>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YY 0709—2009</w:t>
            </w:r>
          </w:p>
        </w:tc>
        <w:tc>
          <w:tcPr>
            <w:tcW w:w="5670" w:type="dxa"/>
          </w:tcPr>
          <w:p w14:paraId="6E01B04B">
            <w:pPr>
              <w:autoSpaceDE w:val="0"/>
              <w:autoSpaceDN w:val="0"/>
              <w:adjustRightInd w:val="0"/>
              <w:spacing w:line="520" w:lineRule="exact"/>
              <w:ind w:right="-67" w:rightChars="-32"/>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医用电气设备</w:t>
            </w:r>
            <w:r>
              <w:rPr>
                <w:rFonts w:ascii="Times New Roman" w:hAnsi="Times New Roman" w:eastAsia="仿宋_GB2312" w:cs="Times New Roman"/>
                <w:kern w:val="0"/>
                <w:sz w:val="28"/>
                <w:szCs w:val="28"/>
              </w:rPr>
              <w:t>第1-8部分：安全通用要求并列标准：通用要求医用电气设备和医用电气系统中报警系统的测试和指南</w:t>
            </w:r>
          </w:p>
        </w:tc>
      </w:tr>
      <w:tr w14:paraId="41E2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7" w:type="dxa"/>
          </w:tcPr>
          <w:p w14:paraId="78C0D365">
            <w:pPr>
              <w:autoSpaceDE w:val="0"/>
              <w:autoSpaceDN w:val="0"/>
              <w:adjustRightInd w:val="0"/>
              <w:spacing w:line="520" w:lineRule="exact"/>
              <w:ind w:right="-67" w:rightChars="-32"/>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YY/T 1040.1—2015</w:t>
            </w:r>
          </w:p>
        </w:tc>
        <w:tc>
          <w:tcPr>
            <w:tcW w:w="5670" w:type="dxa"/>
          </w:tcPr>
          <w:p w14:paraId="60F1D5F6">
            <w:pPr>
              <w:autoSpaceDE w:val="0"/>
              <w:autoSpaceDN w:val="0"/>
              <w:adjustRightInd w:val="0"/>
              <w:spacing w:line="520" w:lineRule="exact"/>
              <w:ind w:right="-67" w:rightChars="-32"/>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麻醉和呼吸设备圆锥接头第1部分：锥头与锥套</w:t>
            </w:r>
          </w:p>
        </w:tc>
      </w:tr>
      <w:tr w14:paraId="13CD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7" w:type="dxa"/>
          </w:tcPr>
          <w:p w14:paraId="1A77594E">
            <w:pPr>
              <w:autoSpaceDE w:val="0"/>
              <w:autoSpaceDN w:val="0"/>
              <w:adjustRightInd w:val="0"/>
              <w:spacing w:line="520" w:lineRule="exact"/>
              <w:ind w:right="-67" w:rightChars="-32"/>
              <w:jc w:val="left"/>
              <w:rPr>
                <w:rFonts w:ascii="Times New Roman" w:hAnsi="Times New Roman" w:eastAsia="仿宋_GB2312" w:cs="Times New Roman"/>
                <w:kern w:val="0"/>
                <w:sz w:val="28"/>
                <w:szCs w:val="28"/>
                <w:highlight w:val="yellow"/>
              </w:rPr>
            </w:pPr>
            <w:r>
              <w:rPr>
                <w:rFonts w:ascii="Times New Roman" w:hAnsi="Times New Roman" w:eastAsia="仿宋_GB2312" w:cs="Times New Roman"/>
                <w:kern w:val="0"/>
                <w:sz w:val="28"/>
                <w:szCs w:val="28"/>
              </w:rPr>
              <w:t>YY/T 1743</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2021</w:t>
            </w:r>
          </w:p>
        </w:tc>
        <w:tc>
          <w:tcPr>
            <w:tcW w:w="5670" w:type="dxa"/>
          </w:tcPr>
          <w:p w14:paraId="11F72817">
            <w:pPr>
              <w:autoSpaceDE w:val="0"/>
              <w:autoSpaceDN w:val="0"/>
              <w:adjustRightInd w:val="0"/>
              <w:spacing w:line="520" w:lineRule="exact"/>
              <w:ind w:right="-67" w:rightChars="-32"/>
              <w:jc w:val="left"/>
              <w:rPr>
                <w:rFonts w:ascii="Times New Roman" w:hAnsi="Times New Roman" w:eastAsia="仿宋_GB2312" w:cs="Times New Roman"/>
                <w:kern w:val="0"/>
                <w:sz w:val="28"/>
                <w:szCs w:val="28"/>
                <w:highlight w:val="yellow"/>
              </w:rPr>
            </w:pPr>
            <w:r>
              <w:rPr>
                <w:rFonts w:hint="eastAsia" w:ascii="Times New Roman" w:hAnsi="Times New Roman" w:eastAsia="仿宋_GB2312" w:cs="Times New Roman"/>
                <w:kern w:val="0"/>
                <w:sz w:val="28"/>
                <w:szCs w:val="28"/>
              </w:rPr>
              <w:t>麻醉和呼吸设备</w:t>
            </w:r>
            <w:r>
              <w:rPr>
                <w:rFonts w:ascii="Times New Roman" w:hAnsi="Times New Roman" w:eastAsia="仿宋_GB2312" w:cs="Times New Roman"/>
                <w:kern w:val="0"/>
                <w:sz w:val="28"/>
                <w:szCs w:val="28"/>
              </w:rPr>
              <w:t xml:space="preserve"> 雾化系统和组件</w:t>
            </w:r>
          </w:p>
        </w:tc>
      </w:tr>
    </w:tbl>
    <w:p w14:paraId="48B4987F">
      <w:pPr>
        <w:spacing w:line="520" w:lineRule="exact"/>
        <w:ind w:firstLine="640"/>
        <w:rPr>
          <w:rFonts w:ascii="仿宋_GB2312" w:eastAsia="仿宋_GB2312"/>
          <w:sz w:val="32"/>
          <w:szCs w:val="32"/>
        </w:rPr>
      </w:pPr>
      <w:r>
        <w:rPr>
          <w:rFonts w:hint="eastAsia" w:ascii="仿宋_GB2312" w:eastAsia="仿宋_GB2312"/>
          <w:sz w:val="32"/>
          <w:szCs w:val="32"/>
        </w:rPr>
        <w:t>上述标准包括了产品可能会涉及的标准。申请人还可根据产品的特点引用一些行业外的标准和一些较为特殊的标准。</w:t>
      </w:r>
    </w:p>
    <w:p w14:paraId="43D423BF">
      <w:pPr>
        <w:spacing w:line="520" w:lineRule="exact"/>
        <w:ind w:firstLine="640"/>
        <w:rPr>
          <w:rFonts w:ascii="仿宋_GB2312" w:eastAsia="仿宋_GB2312"/>
          <w:sz w:val="32"/>
          <w:szCs w:val="32"/>
        </w:rPr>
      </w:pPr>
      <w:r>
        <w:rPr>
          <w:rFonts w:hint="eastAsia" w:ascii="仿宋_GB2312" w:eastAsia="仿宋_GB2312"/>
          <w:sz w:val="32"/>
          <w:szCs w:val="32"/>
        </w:rPr>
        <w:t>申请</w:t>
      </w:r>
      <w:r>
        <w:rPr>
          <w:rFonts w:ascii="仿宋_GB2312" w:eastAsia="仿宋_GB2312"/>
          <w:sz w:val="32"/>
          <w:szCs w:val="32"/>
        </w:rPr>
        <w:t>人应保证申报</w:t>
      </w:r>
      <w:r>
        <w:rPr>
          <w:rFonts w:hint="eastAsia" w:ascii="仿宋_GB2312" w:eastAsia="仿宋_GB2312"/>
          <w:sz w:val="32"/>
          <w:szCs w:val="32"/>
        </w:rPr>
        <w:t>产品</w:t>
      </w:r>
      <w:r>
        <w:rPr>
          <w:rFonts w:ascii="仿宋_GB2312" w:eastAsia="仿宋_GB2312"/>
          <w:sz w:val="32"/>
          <w:szCs w:val="32"/>
        </w:rPr>
        <w:t>所引用标准的适用性</w:t>
      </w:r>
      <w:r>
        <w:rPr>
          <w:rFonts w:hint="eastAsia" w:ascii="仿宋_GB2312" w:eastAsia="仿宋_GB2312"/>
          <w:sz w:val="32"/>
          <w:szCs w:val="32"/>
        </w:rPr>
        <w:t>，</w:t>
      </w:r>
      <w:r>
        <w:rPr>
          <w:rFonts w:ascii="仿宋_GB2312" w:eastAsia="仿宋_GB2312"/>
          <w:sz w:val="32"/>
          <w:szCs w:val="32"/>
        </w:rPr>
        <w:t>首先应</w:t>
      </w:r>
      <w:r>
        <w:rPr>
          <w:rFonts w:hint="eastAsia" w:ascii="仿宋_GB2312" w:eastAsia="仿宋_GB2312"/>
          <w:sz w:val="32"/>
          <w:szCs w:val="32"/>
        </w:rPr>
        <w:t>确保</w:t>
      </w:r>
      <w:r>
        <w:rPr>
          <w:rFonts w:ascii="仿宋_GB2312" w:eastAsia="仿宋_GB2312"/>
          <w:sz w:val="32"/>
          <w:szCs w:val="32"/>
        </w:rPr>
        <w:t>引用</w:t>
      </w:r>
      <w:r>
        <w:rPr>
          <w:rFonts w:hint="eastAsia" w:ascii="仿宋_GB2312" w:eastAsia="仿宋_GB2312"/>
          <w:sz w:val="32"/>
          <w:szCs w:val="32"/>
        </w:rPr>
        <w:t>标准的齐全性和适宜性，也就是在提供研究资料中产品性能指标确定的依据及</w:t>
      </w:r>
      <w:r>
        <w:rPr>
          <w:rFonts w:ascii="仿宋_GB2312" w:eastAsia="仿宋_GB2312"/>
          <w:sz w:val="32"/>
          <w:szCs w:val="32"/>
        </w:rPr>
        <w:t>编制</w:t>
      </w:r>
      <w:r>
        <w:rPr>
          <w:rFonts w:hint="eastAsia" w:ascii="仿宋_GB2312" w:eastAsia="仿宋_GB2312"/>
          <w:sz w:val="32"/>
          <w:szCs w:val="32"/>
        </w:rPr>
        <w:t>产品技术要求时应对与产品相关的国家标准、行业标准所载性能指标及试验方法进行完整、准确的引用。</w:t>
      </w:r>
    </w:p>
    <w:p w14:paraId="6C9897F9">
      <w:pPr>
        <w:spacing w:line="520" w:lineRule="exact"/>
        <w:ind w:firstLine="640"/>
        <w:rPr>
          <w:rFonts w:ascii="仿宋_GB2312" w:eastAsia="仿宋_GB2312"/>
          <w:sz w:val="32"/>
          <w:szCs w:val="32"/>
        </w:rPr>
      </w:pPr>
      <w:r>
        <w:rPr>
          <w:rFonts w:hint="eastAsia" w:ascii="仿宋_GB2312" w:eastAsia="仿宋_GB2312"/>
          <w:sz w:val="32"/>
          <w:szCs w:val="32"/>
        </w:rPr>
        <w:t>其次</w:t>
      </w:r>
      <w:r>
        <w:rPr>
          <w:rFonts w:ascii="仿宋_GB2312" w:eastAsia="仿宋_GB2312"/>
          <w:sz w:val="32"/>
          <w:szCs w:val="32"/>
        </w:rPr>
        <w:t>应确保</w:t>
      </w:r>
      <w:r>
        <w:rPr>
          <w:rFonts w:hint="eastAsia" w:ascii="仿宋_GB2312" w:eastAsia="仿宋_GB2312"/>
          <w:sz w:val="32"/>
          <w:szCs w:val="32"/>
        </w:rPr>
        <w:t>所引用标准的条款要求，应在产品技术要求中进行实质性条款引用。引用</w:t>
      </w:r>
      <w:r>
        <w:rPr>
          <w:rFonts w:ascii="仿宋_GB2312" w:eastAsia="仿宋_GB2312"/>
          <w:sz w:val="32"/>
          <w:szCs w:val="32"/>
        </w:rPr>
        <w:t>标准内容时，</w:t>
      </w:r>
      <w:r>
        <w:rPr>
          <w:rFonts w:hint="eastAsia" w:ascii="仿宋_GB2312" w:eastAsia="仿宋_GB2312"/>
          <w:sz w:val="32"/>
          <w:szCs w:val="32"/>
        </w:rPr>
        <w:t>可以对标准条款所述内容中适用的部分直接引用，若标准中的描述较为复杂繁琐，且其全部内容均适用于产品，则可以直接引用标准的条款号。</w:t>
      </w:r>
    </w:p>
    <w:p w14:paraId="0EC80B2E">
      <w:pPr>
        <w:spacing w:line="520" w:lineRule="exact"/>
        <w:ind w:firstLine="640"/>
        <w:rPr>
          <w:rFonts w:ascii="仿宋_GB2312" w:eastAsia="仿宋_GB2312"/>
          <w:sz w:val="32"/>
          <w:szCs w:val="32"/>
        </w:rPr>
      </w:pPr>
      <w:r>
        <w:rPr>
          <w:rFonts w:hint="eastAsia" w:ascii="仿宋_GB2312" w:eastAsia="仿宋_GB2312"/>
          <w:sz w:val="32"/>
          <w:szCs w:val="32"/>
        </w:rPr>
        <w:t>如有新版强制性国家标准、行业标准实施，产品性能指标等要求应执行最新版本的国家标准、行业标准。若新版推荐性国家标准、行业标准</w:t>
      </w:r>
      <w:r>
        <w:rPr>
          <w:rFonts w:ascii="仿宋_GB2312" w:eastAsia="仿宋_GB2312"/>
          <w:sz w:val="32"/>
          <w:szCs w:val="32"/>
        </w:rPr>
        <w:t>已发布但尚未实施的，申请人可根据</w:t>
      </w:r>
      <w:r>
        <w:rPr>
          <w:rFonts w:hint="eastAsia" w:ascii="仿宋_GB2312" w:eastAsia="仿宋_GB2312"/>
          <w:sz w:val="32"/>
          <w:szCs w:val="32"/>
        </w:rPr>
        <w:t>产品</w:t>
      </w:r>
      <w:r>
        <w:rPr>
          <w:rFonts w:ascii="仿宋_GB2312" w:eastAsia="仿宋_GB2312"/>
          <w:sz w:val="32"/>
          <w:szCs w:val="32"/>
        </w:rPr>
        <w:t>实际情况</w:t>
      </w:r>
      <w:r>
        <w:rPr>
          <w:rFonts w:hint="eastAsia" w:ascii="仿宋_GB2312" w:eastAsia="仿宋_GB2312"/>
          <w:sz w:val="32"/>
          <w:szCs w:val="32"/>
        </w:rPr>
        <w:t>对</w:t>
      </w:r>
      <w:r>
        <w:rPr>
          <w:rFonts w:ascii="仿宋_GB2312" w:eastAsia="仿宋_GB2312"/>
          <w:sz w:val="32"/>
          <w:szCs w:val="32"/>
        </w:rPr>
        <w:t>新标准的内容进行识别。</w:t>
      </w:r>
    </w:p>
    <w:p w14:paraId="7E390D3B">
      <w:pPr>
        <w:numPr>
          <w:ilvl w:val="0"/>
          <w:numId w:val="1"/>
        </w:numPr>
        <w:spacing w:line="520" w:lineRule="exact"/>
        <w:ind w:firstLine="640" w:firstLineChars="200"/>
        <w:rPr>
          <w:rFonts w:ascii="楷体_GB2312" w:eastAsia="楷体_GB2312"/>
          <w:sz w:val="32"/>
          <w:szCs w:val="32"/>
        </w:rPr>
      </w:pPr>
      <w:r>
        <w:rPr>
          <w:rFonts w:hint="eastAsia" w:ascii="楷体_GB2312" w:eastAsia="楷体_GB2312"/>
          <w:sz w:val="32"/>
          <w:szCs w:val="32"/>
        </w:rPr>
        <w:t>产品的适用范围</w:t>
      </w:r>
      <w:r>
        <w:rPr>
          <w:rFonts w:ascii="楷体_GB2312" w:eastAsia="楷体_GB2312"/>
          <w:sz w:val="32"/>
          <w:szCs w:val="32"/>
        </w:rPr>
        <w:t>/预期用途</w:t>
      </w:r>
    </w:p>
    <w:p w14:paraId="35D5B456">
      <w:pPr>
        <w:spacing w:line="520" w:lineRule="exact"/>
        <w:ind w:left="640"/>
        <w:rPr>
          <w:rFonts w:ascii="仿宋_GB2312" w:eastAsia="仿宋_GB2312"/>
          <w:sz w:val="32"/>
          <w:szCs w:val="32"/>
        </w:rPr>
      </w:pPr>
      <w:r>
        <w:rPr>
          <w:rFonts w:hint="eastAsia" w:ascii="仿宋_GB2312" w:eastAsia="仿宋_GB2312"/>
          <w:sz w:val="32"/>
          <w:szCs w:val="32"/>
        </w:rPr>
        <w:t>1.预期用途</w:t>
      </w:r>
    </w:p>
    <w:p w14:paraId="03CD9D73">
      <w:pPr>
        <w:ind w:firstLine="640" w:firstLineChars="200"/>
        <w:rPr>
          <w:rFonts w:ascii="仿宋_GB2312" w:eastAsia="仿宋_GB2312"/>
          <w:sz w:val="32"/>
          <w:szCs w:val="32"/>
        </w:rPr>
      </w:pPr>
      <w:r>
        <w:rPr>
          <w:rFonts w:hint="eastAsia" w:ascii="仿宋_GB2312" w:eastAsia="仿宋_GB2312"/>
          <w:sz w:val="32"/>
          <w:szCs w:val="32"/>
        </w:rPr>
        <w:t>将药液通过网孔转化为气雾颗粒的有源医疗器械，预期用于对液态药物进行雾化，供患者吸入治疗使用。</w:t>
      </w:r>
    </w:p>
    <w:p w14:paraId="073A3600">
      <w:pPr>
        <w:ind w:firstLine="640" w:firstLineChars="200"/>
        <w:rPr>
          <w:rFonts w:ascii="仿宋_GB2312" w:eastAsia="仿宋_GB2312"/>
          <w:sz w:val="32"/>
          <w:szCs w:val="32"/>
        </w:rPr>
      </w:pPr>
      <w:r>
        <w:rPr>
          <w:rFonts w:hint="eastAsia" w:ascii="仿宋_GB2312" w:eastAsia="仿宋_GB2312"/>
          <w:sz w:val="32"/>
          <w:szCs w:val="32"/>
        </w:rPr>
        <w:t>2.适用人群</w:t>
      </w:r>
    </w:p>
    <w:p w14:paraId="2E7C40EF">
      <w:pPr>
        <w:ind w:firstLine="640" w:firstLineChars="200"/>
        <w:rPr>
          <w:rFonts w:ascii="仿宋_GB2312" w:eastAsia="仿宋_GB2312"/>
          <w:color w:val="FF0000"/>
          <w:sz w:val="32"/>
          <w:szCs w:val="32"/>
        </w:rPr>
      </w:pPr>
      <w:r>
        <w:rPr>
          <w:rFonts w:hint="eastAsia" w:ascii="仿宋_GB2312" w:eastAsia="仿宋_GB2312"/>
          <w:sz w:val="32"/>
          <w:szCs w:val="32"/>
        </w:rPr>
        <w:t>适用于需要雾化吸入治疗的患者。</w:t>
      </w:r>
    </w:p>
    <w:p w14:paraId="3C648976">
      <w:pPr>
        <w:ind w:firstLine="640" w:firstLineChars="200"/>
        <w:rPr>
          <w:rFonts w:ascii="仿宋_GB2312" w:eastAsia="仿宋_GB2312"/>
          <w:sz w:val="32"/>
          <w:szCs w:val="32"/>
        </w:rPr>
      </w:pPr>
      <w:r>
        <w:rPr>
          <w:rFonts w:hint="eastAsia" w:ascii="仿宋_GB2312" w:eastAsia="仿宋_GB2312"/>
          <w:sz w:val="32"/>
          <w:szCs w:val="32"/>
        </w:rPr>
        <w:t>3.禁忌症</w:t>
      </w:r>
    </w:p>
    <w:p w14:paraId="20BA4D86">
      <w:pPr>
        <w:ind w:firstLine="640"/>
        <w:rPr>
          <w:rFonts w:ascii="仿宋_GB2312" w:eastAsia="仿宋_GB2312"/>
          <w:sz w:val="32"/>
          <w:szCs w:val="32"/>
        </w:rPr>
      </w:pPr>
      <w:r>
        <w:rPr>
          <w:rFonts w:hint="eastAsia" w:ascii="仿宋_GB2312" w:eastAsia="仿宋_GB2312"/>
          <w:sz w:val="32"/>
          <w:szCs w:val="32"/>
        </w:rPr>
        <w:t>申请人应</w:t>
      </w:r>
      <w:r>
        <w:rPr>
          <w:rFonts w:ascii="仿宋_GB2312" w:eastAsia="仿宋_GB2312"/>
          <w:sz w:val="32"/>
          <w:szCs w:val="32"/>
        </w:rPr>
        <w:t>对产品禁忌症进行研究</w:t>
      </w:r>
      <w:r>
        <w:rPr>
          <w:rFonts w:hint="eastAsia" w:ascii="仿宋_GB2312" w:eastAsia="仿宋_GB2312"/>
          <w:sz w:val="32"/>
          <w:szCs w:val="32"/>
        </w:rPr>
        <w:t>，</w:t>
      </w:r>
      <w:r>
        <w:rPr>
          <w:rFonts w:ascii="仿宋_GB2312" w:eastAsia="仿宋_GB2312"/>
          <w:sz w:val="32"/>
          <w:szCs w:val="32"/>
        </w:rPr>
        <w:t>明确</w:t>
      </w:r>
      <w:r>
        <w:rPr>
          <w:rFonts w:hint="eastAsia" w:ascii="仿宋_GB2312" w:eastAsia="仿宋_GB2312"/>
          <w:sz w:val="32"/>
          <w:szCs w:val="32"/>
        </w:rPr>
        <w:t>禁忌症</w:t>
      </w:r>
      <w:r>
        <w:rPr>
          <w:rFonts w:ascii="仿宋_GB2312" w:eastAsia="仿宋_GB2312"/>
          <w:sz w:val="32"/>
          <w:szCs w:val="32"/>
        </w:rPr>
        <w:t>，并在说明书与最小销售单元标签中</w:t>
      </w:r>
      <w:r>
        <w:rPr>
          <w:rFonts w:hint="eastAsia" w:ascii="仿宋_GB2312" w:eastAsia="仿宋_GB2312"/>
          <w:sz w:val="32"/>
          <w:szCs w:val="32"/>
        </w:rPr>
        <w:t>公布</w:t>
      </w:r>
      <w:r>
        <w:rPr>
          <w:rFonts w:ascii="仿宋_GB2312" w:eastAsia="仿宋_GB2312"/>
          <w:sz w:val="32"/>
          <w:szCs w:val="32"/>
        </w:rPr>
        <w:t>。</w:t>
      </w:r>
    </w:p>
    <w:p w14:paraId="6A9C82FE">
      <w:pPr>
        <w:spacing w:line="520" w:lineRule="exact"/>
        <w:ind w:firstLine="640" w:firstLineChars="200"/>
        <w:rPr>
          <w:rFonts w:ascii="楷体_GB2312" w:eastAsia="楷体_GB2312"/>
          <w:sz w:val="32"/>
          <w:szCs w:val="32"/>
        </w:rPr>
      </w:pPr>
      <w:r>
        <w:rPr>
          <w:rFonts w:hint="eastAsia" w:ascii="楷体_GB2312" w:eastAsia="楷体_GB2312"/>
          <w:sz w:val="32"/>
          <w:szCs w:val="32"/>
        </w:rPr>
        <w:t>（七）产品的主要风险</w:t>
      </w:r>
    </w:p>
    <w:p w14:paraId="60CC5CEF">
      <w:pPr>
        <w:ind w:firstLine="640" w:firstLineChars="200"/>
        <w:rPr>
          <w:rFonts w:ascii="仿宋_GB2312" w:eastAsia="仿宋_GB2312"/>
          <w:sz w:val="32"/>
          <w:szCs w:val="32"/>
        </w:rPr>
      </w:pPr>
      <w:r>
        <w:rPr>
          <w:rFonts w:hint="eastAsia" w:ascii="仿宋_GB2312" w:eastAsia="仿宋_GB2312"/>
          <w:sz w:val="32"/>
          <w:szCs w:val="32"/>
        </w:rPr>
        <w:t>申请人应参照YY/T 0316-2016《医疗器械 风险管理对医疗器械的应用》中的要求，识别与医疗器械有关的危险（源）/危险情况，分析与评价所识别出的风险，控制这些风险并监视控制的有效性。风险分析资料编制要点包括：</w:t>
      </w:r>
    </w:p>
    <w:p w14:paraId="46882AB1">
      <w:pPr>
        <w:ind w:firstLine="640" w:firstLineChars="200"/>
        <w:rPr>
          <w:rFonts w:ascii="仿宋_GB2312" w:eastAsia="仿宋_GB2312"/>
          <w:sz w:val="32"/>
          <w:szCs w:val="32"/>
        </w:rPr>
      </w:pPr>
      <w:r>
        <w:rPr>
          <w:rFonts w:hint="eastAsia" w:ascii="仿宋_GB2312" w:eastAsia="仿宋_GB2312"/>
          <w:sz w:val="32"/>
          <w:szCs w:val="32"/>
        </w:rPr>
        <w:t>1.参考YY/T 0316-2016附录C进行医疗器械与安全有关特征问题的识别。</w:t>
      </w:r>
    </w:p>
    <w:p w14:paraId="41D17429">
      <w:pPr>
        <w:ind w:firstLine="640" w:firstLineChars="200"/>
        <w:rPr>
          <w:rFonts w:ascii="仿宋_GB2312" w:eastAsia="仿宋_GB2312"/>
          <w:sz w:val="32"/>
          <w:szCs w:val="32"/>
        </w:rPr>
      </w:pPr>
      <w:r>
        <w:rPr>
          <w:rFonts w:hint="eastAsia" w:ascii="仿宋_GB2312" w:eastAsia="仿宋_GB2312"/>
          <w:sz w:val="32"/>
          <w:szCs w:val="32"/>
        </w:rPr>
        <w:t>2.参考YY/T 0316-2016附录E对设备在正常状态和单一故障状态下产品可预见的危险（源）和危险情况进行分类归纳。</w:t>
      </w:r>
    </w:p>
    <w:p w14:paraId="6918230E">
      <w:pPr>
        <w:ind w:firstLine="640" w:firstLineChars="200"/>
        <w:rPr>
          <w:rFonts w:ascii="仿宋_GB2312" w:eastAsia="仿宋_GB2312"/>
          <w:sz w:val="32"/>
          <w:szCs w:val="32"/>
        </w:rPr>
      </w:pPr>
      <w:r>
        <w:rPr>
          <w:rFonts w:hint="eastAsia" w:ascii="仿宋_GB2312" w:eastAsia="仿宋_GB2312"/>
          <w:sz w:val="32"/>
          <w:szCs w:val="32"/>
        </w:rPr>
        <w:t>3.参考YY/T 0316-2016附录D，对识别出的危险进行半定量分析，根据规定的风险可接受准则，进行风险控制，公示安全信息与剩余风险，并对综合剩余风险的可接受性进行评价。需要注意的是，所公示的安全信息及剩余风险应与说明书、标签中的警示信息、禁忌症等警示或特别说明内容相一致。</w:t>
      </w:r>
    </w:p>
    <w:p w14:paraId="76CA6A2C">
      <w:pPr>
        <w:ind w:firstLine="640" w:firstLineChars="200"/>
        <w:rPr>
          <w:rFonts w:ascii="仿宋_GB2312" w:eastAsia="仿宋_GB2312"/>
          <w:sz w:val="32"/>
          <w:szCs w:val="32"/>
        </w:rPr>
      </w:pPr>
      <w:r>
        <w:rPr>
          <w:rFonts w:hint="eastAsia" w:ascii="仿宋_GB2312" w:eastAsia="仿宋_GB2312"/>
          <w:sz w:val="32"/>
          <w:szCs w:val="32"/>
        </w:rPr>
        <w:t>附录1给出了网式雾化器产品与安全有关特征问题的示例。由于不同产品的工作原理、结构组成、性能指标存在差异，所以示例中识别出的内容并不是全部，申请人还应根据产品特点识别其他风险并进行有效控制。</w:t>
      </w:r>
    </w:p>
    <w:p w14:paraId="5C0899BC">
      <w:pPr>
        <w:spacing w:line="520" w:lineRule="exact"/>
        <w:ind w:firstLine="640" w:firstLineChars="200"/>
        <w:rPr>
          <w:rFonts w:ascii="楷体_GB2312" w:eastAsia="楷体_GB2312"/>
          <w:sz w:val="32"/>
          <w:szCs w:val="32"/>
        </w:rPr>
      </w:pPr>
      <w:r>
        <w:rPr>
          <w:rFonts w:hint="eastAsia" w:ascii="楷体_GB2312" w:eastAsia="楷体_GB2312"/>
          <w:sz w:val="32"/>
          <w:szCs w:val="32"/>
        </w:rPr>
        <w:t>（八）产品的研究要求</w:t>
      </w:r>
    </w:p>
    <w:p w14:paraId="1989149A">
      <w:pPr>
        <w:ind w:firstLine="640" w:firstLineChars="200"/>
        <w:rPr>
          <w:rFonts w:ascii="仿宋_GB2312" w:eastAsia="仿宋_GB2312"/>
          <w:sz w:val="32"/>
          <w:szCs w:val="32"/>
        </w:rPr>
      </w:pPr>
      <w:r>
        <w:rPr>
          <w:rFonts w:hint="eastAsia" w:ascii="仿宋_GB2312" w:eastAsia="仿宋_GB2312"/>
          <w:sz w:val="32"/>
          <w:szCs w:val="32"/>
        </w:rPr>
        <w:t>1.应详述产品的性能指标，即可进行客观判定的产品成品的功能性、安全性指标、与质量控制相关的其他指标及对应试验方法确定的依据，提供采用的原因及理论基础，提供涉及的研究性资料、文献资料和标准文本。如适用的国家标准、行业标准中有不采纳的条款，应说命名不采纳的条款及理由。若所用试验方法没有采用相关适宜标准的内容，则应说明理由并提供试验方法的确认记录。</w:t>
      </w:r>
    </w:p>
    <w:p w14:paraId="7D37F87D">
      <w:pPr>
        <w:ind w:firstLine="640" w:firstLineChars="200"/>
        <w:rPr>
          <w:rFonts w:ascii="仿宋_GB2312" w:eastAsia="仿宋_GB2312"/>
          <w:sz w:val="32"/>
          <w:szCs w:val="32"/>
        </w:rPr>
      </w:pPr>
      <w:r>
        <w:rPr>
          <w:rFonts w:hint="eastAsia" w:ascii="仿宋_GB2312" w:eastAsia="仿宋_GB2312"/>
          <w:sz w:val="32"/>
          <w:szCs w:val="32"/>
        </w:rPr>
        <w:t>产品成品的功能性指标应至少包含下述“（九）产品技术要求的主要性能指标”所述内容。</w:t>
      </w:r>
    </w:p>
    <w:p w14:paraId="4752E86D">
      <w:pPr>
        <w:ind w:firstLine="640" w:firstLineChars="200"/>
        <w:rPr>
          <w:rFonts w:ascii="仿宋_GB2312" w:eastAsia="仿宋_GB2312"/>
          <w:sz w:val="32"/>
          <w:szCs w:val="32"/>
        </w:rPr>
      </w:pPr>
      <w:r>
        <w:rPr>
          <w:rFonts w:hint="eastAsia" w:ascii="仿宋_GB2312" w:eastAsia="仿宋_GB2312"/>
          <w:sz w:val="32"/>
          <w:szCs w:val="32"/>
        </w:rPr>
        <w:t>若产品在基本组成部分之外带有其他功能的配件，申请人应提出相应基本性能指标的要求。</w:t>
      </w:r>
    </w:p>
    <w:p w14:paraId="328244BE">
      <w:pPr>
        <w:ind w:firstLine="640" w:firstLineChars="200"/>
        <w:rPr>
          <w:rFonts w:ascii="仿宋_GB2312" w:eastAsia="仿宋_GB2312"/>
          <w:sz w:val="32"/>
          <w:szCs w:val="32"/>
        </w:rPr>
      </w:pPr>
      <w:r>
        <w:rPr>
          <w:rFonts w:hint="eastAsia" w:ascii="仿宋_GB2312" w:eastAsia="仿宋_GB2312"/>
          <w:sz w:val="32"/>
          <w:szCs w:val="32"/>
        </w:rPr>
        <w:t>应列出所有预期与药液及人体直接接触的原材料信息，包括但不限于材质、生产厂家、型号规格及所符合的标准等信息。</w:t>
      </w:r>
    </w:p>
    <w:p w14:paraId="2601FF3D">
      <w:pPr>
        <w:ind w:firstLine="640" w:firstLineChars="200"/>
        <w:rPr>
          <w:rFonts w:ascii="仿宋_GB2312" w:eastAsia="仿宋_GB2312"/>
          <w:sz w:val="32"/>
          <w:szCs w:val="32"/>
        </w:rPr>
      </w:pPr>
      <w:r>
        <w:rPr>
          <w:rFonts w:hint="eastAsia" w:ascii="仿宋_GB2312" w:eastAsia="仿宋_GB2312"/>
          <w:sz w:val="32"/>
          <w:szCs w:val="32"/>
        </w:rPr>
        <w:t>2.生物相容性研究</w:t>
      </w:r>
    </w:p>
    <w:p w14:paraId="2B60C6FA">
      <w:pPr>
        <w:ind w:firstLine="640"/>
        <w:rPr>
          <w:rFonts w:ascii="仿宋_GB2312" w:eastAsia="仿宋_GB2312"/>
          <w:sz w:val="32"/>
          <w:szCs w:val="32"/>
        </w:rPr>
      </w:pPr>
      <w:r>
        <w:rPr>
          <w:rFonts w:hint="eastAsia" w:ascii="仿宋_GB2312" w:eastAsia="仿宋_GB2312"/>
          <w:sz w:val="32"/>
          <w:szCs w:val="32"/>
        </w:rPr>
        <w:t>应对产品直接或间接与人体接触部件的材料进行描述，明确材料表征。参照《关于印发医疗器械生物学评价和审评指南的通知》（国食药监械﹝20</w:t>
      </w:r>
      <w:r>
        <w:rPr>
          <w:rFonts w:ascii="仿宋_GB2312" w:eastAsia="仿宋_GB2312"/>
          <w:sz w:val="32"/>
          <w:szCs w:val="32"/>
        </w:rPr>
        <w:t>0</w:t>
      </w:r>
      <w:r>
        <w:rPr>
          <w:rFonts w:hint="eastAsia" w:ascii="仿宋_GB2312" w:eastAsia="仿宋_GB2312"/>
          <w:sz w:val="32"/>
          <w:szCs w:val="32"/>
        </w:rPr>
        <w:t>7﹞345号）、GB/T 16886.1-2011的要求，根据接触条件、接触性质、程度、频次和时间明确器械的类别及评价路径，对其进行生物相容性评价。若使用原材料代替成品进行生物相容性评价，宜对原材料使用与成品相同的生产制造工艺及微生物控制方式处理后进行生物相容性试验。</w:t>
      </w:r>
    </w:p>
    <w:p w14:paraId="79208FE3">
      <w:pPr>
        <w:ind w:firstLine="640"/>
        <w:rPr>
          <w:rFonts w:ascii="仿宋_GB2312" w:eastAsia="仿宋_GB2312"/>
          <w:sz w:val="32"/>
          <w:szCs w:val="32"/>
        </w:rPr>
      </w:pPr>
      <w:r>
        <w:rPr>
          <w:rFonts w:hint="eastAsia" w:ascii="仿宋_GB2312" w:eastAsia="仿宋_GB2312"/>
          <w:sz w:val="32"/>
          <w:szCs w:val="32"/>
        </w:rPr>
        <w:t>申请人应注意出具生物相容性试验结果的机构，应符合GB/T 16886.1中对试验机构的资质的要求。</w:t>
      </w:r>
    </w:p>
    <w:p w14:paraId="256A351F">
      <w:pPr>
        <w:ind w:firstLine="640"/>
        <w:rPr>
          <w:rFonts w:ascii="仿宋_GB2312" w:eastAsia="仿宋_GB2312"/>
          <w:sz w:val="32"/>
          <w:szCs w:val="32"/>
        </w:rPr>
      </w:pPr>
      <w:r>
        <w:rPr>
          <w:rFonts w:hint="eastAsia" w:ascii="仿宋_GB2312" w:eastAsia="仿宋_GB2312"/>
          <w:sz w:val="32"/>
          <w:szCs w:val="32"/>
        </w:rPr>
        <w:t>3.灭菌/消毒工艺研究</w:t>
      </w:r>
    </w:p>
    <w:p w14:paraId="7FE32617">
      <w:pPr>
        <w:ind w:firstLine="640"/>
        <w:rPr>
          <w:rFonts w:ascii="仿宋_GB2312" w:eastAsia="仿宋_GB2312"/>
          <w:sz w:val="32"/>
          <w:szCs w:val="32"/>
        </w:rPr>
      </w:pPr>
      <w:r>
        <w:rPr>
          <w:rFonts w:hint="eastAsia" w:ascii="仿宋_GB2312" w:eastAsia="仿宋_GB2312"/>
          <w:sz w:val="32"/>
          <w:szCs w:val="32"/>
        </w:rPr>
        <w:t>3.1 对于出厂时已进行微生物控制且在初次使用前不需使用者进行微生物控制的产品组件，若其为无菌提供，则应经过一个经确认的过程使产品无菌，明确无菌保证水平（SAL）并提供灭菌过程的确认报告；若其非无菌提供，应明确微生物控制方法（工艺过程方法和控制参数），可参考GB 15982-2012《医院消毒卫生标准》对中度危险性医疗器材的要求，确定微生物限度的性能指标，并参照《中国药典》2020年版四部，规定对控制菌的要求。</w:t>
      </w:r>
    </w:p>
    <w:p w14:paraId="67FD328B">
      <w:pPr>
        <w:ind w:firstLine="640"/>
        <w:rPr>
          <w:rFonts w:ascii="仿宋_GB2312" w:eastAsia="仿宋_GB2312"/>
          <w:sz w:val="32"/>
          <w:szCs w:val="32"/>
        </w:rPr>
      </w:pPr>
      <w:r>
        <w:rPr>
          <w:rFonts w:hint="eastAsia" w:ascii="仿宋_GB2312" w:eastAsia="仿宋_GB2312"/>
          <w:sz w:val="32"/>
          <w:szCs w:val="32"/>
        </w:rPr>
        <w:t>3.2 若产品组件非一次性使用（一般包含出厂时已</w:t>
      </w:r>
      <w:r>
        <w:rPr>
          <w:rFonts w:ascii="仿宋_GB2312" w:eastAsia="仿宋_GB2312"/>
          <w:sz w:val="32"/>
          <w:szCs w:val="32"/>
        </w:rPr>
        <w:t>进行微生物控制的</w:t>
      </w:r>
      <w:r>
        <w:rPr>
          <w:rFonts w:hint="eastAsia" w:ascii="仿宋_GB2312" w:eastAsia="仿宋_GB2312"/>
          <w:sz w:val="32"/>
          <w:szCs w:val="32"/>
        </w:rPr>
        <w:t>与</w:t>
      </w:r>
      <w:r>
        <w:rPr>
          <w:rFonts w:ascii="仿宋_GB2312" w:eastAsia="仿宋_GB2312"/>
          <w:sz w:val="32"/>
          <w:szCs w:val="32"/>
        </w:rPr>
        <w:t>未进行微生物控制的</w:t>
      </w:r>
      <w:r>
        <w:rPr>
          <w:rFonts w:hint="eastAsia" w:ascii="仿宋_GB2312" w:eastAsia="仿宋_GB2312"/>
          <w:sz w:val="32"/>
          <w:szCs w:val="32"/>
        </w:rPr>
        <w:t>），则需要使用者在使用过程中进行消毒，申请人应当明确推荐的消毒工艺（方法和参数），以及所推荐的消毒方法确定的依据，并提供消毒效果的验证记录。需要由使用者进行消毒的部件一般包括与人体直接接触的吸入装置、延长装置及药杯等。</w:t>
      </w:r>
    </w:p>
    <w:p w14:paraId="112E5FE2">
      <w:pPr>
        <w:ind w:firstLine="640"/>
        <w:rPr>
          <w:rFonts w:ascii="仿宋_GB2312" w:eastAsia="仿宋_GB2312"/>
          <w:sz w:val="32"/>
          <w:szCs w:val="32"/>
        </w:rPr>
      </w:pPr>
      <w:r>
        <w:rPr>
          <w:rFonts w:hint="eastAsia" w:ascii="仿宋_GB2312" w:eastAsia="仿宋_GB2312"/>
          <w:sz w:val="32"/>
          <w:szCs w:val="32"/>
        </w:rPr>
        <w:t>3.3 残留毒性研究</w:t>
      </w:r>
    </w:p>
    <w:p w14:paraId="2EA9DC41">
      <w:pPr>
        <w:ind w:firstLine="640"/>
        <w:rPr>
          <w:rFonts w:ascii="仿宋_GB2312" w:eastAsia="仿宋_GB2312"/>
          <w:sz w:val="32"/>
          <w:szCs w:val="32"/>
        </w:rPr>
      </w:pPr>
      <w:r>
        <w:rPr>
          <w:rFonts w:hint="eastAsia" w:ascii="仿宋_GB2312" w:eastAsia="仿宋_GB2312"/>
          <w:sz w:val="32"/>
          <w:szCs w:val="32"/>
        </w:rPr>
        <w:t>如所使用的微生物控制方法容易出现残留，如环氧乙烷灭菌</w:t>
      </w:r>
      <w:r>
        <w:rPr>
          <w:rFonts w:ascii="仿宋_GB2312" w:eastAsia="仿宋_GB2312"/>
          <w:sz w:val="32"/>
          <w:szCs w:val="32"/>
        </w:rPr>
        <w:t>或消毒</w:t>
      </w:r>
      <w:r>
        <w:rPr>
          <w:rFonts w:hint="eastAsia" w:ascii="仿宋_GB2312" w:eastAsia="仿宋_GB2312"/>
          <w:sz w:val="32"/>
          <w:szCs w:val="32"/>
        </w:rPr>
        <w:t>，应明确残留物的信息及采取的处理方法，并提供验证报告。若采用多种处理方法，则应分别提供验证报告。</w:t>
      </w:r>
    </w:p>
    <w:p w14:paraId="18C168AD">
      <w:pPr>
        <w:ind w:firstLine="640"/>
        <w:rPr>
          <w:rFonts w:ascii="仿宋_GB2312" w:eastAsia="仿宋_GB2312"/>
          <w:sz w:val="32"/>
          <w:szCs w:val="32"/>
        </w:rPr>
      </w:pPr>
      <w:r>
        <w:rPr>
          <w:rFonts w:hint="eastAsia" w:ascii="仿宋_GB2312" w:eastAsia="仿宋_GB2312"/>
          <w:sz w:val="32"/>
          <w:szCs w:val="32"/>
        </w:rPr>
        <w:t>4.产品有效期和包装研究</w:t>
      </w:r>
    </w:p>
    <w:p w14:paraId="3FE2D8DD">
      <w:pPr>
        <w:ind w:firstLine="640" w:firstLineChars="200"/>
        <w:rPr>
          <w:rFonts w:ascii="仿宋_GB2312" w:eastAsia="仿宋_GB2312"/>
          <w:sz w:val="32"/>
          <w:szCs w:val="32"/>
        </w:rPr>
      </w:pPr>
      <w:r>
        <w:rPr>
          <w:rFonts w:hint="eastAsia" w:ascii="仿宋_GB2312" w:eastAsia="仿宋_GB2312"/>
          <w:sz w:val="32"/>
          <w:szCs w:val="32"/>
        </w:rPr>
        <w:t>4.1 参照《有源医疗器械使用期限注册技术审查指导原则</w:t>
      </w:r>
      <w:r>
        <w:rPr>
          <w:rFonts w:ascii="仿宋_GB2312" w:eastAsia="仿宋_GB2312"/>
          <w:sz w:val="32"/>
          <w:szCs w:val="32"/>
        </w:rPr>
        <w:t>》</w:t>
      </w:r>
      <w:r>
        <w:rPr>
          <w:rFonts w:hint="eastAsia" w:ascii="仿宋_GB2312" w:eastAsia="仿宋_GB2312"/>
          <w:sz w:val="32"/>
          <w:szCs w:val="32"/>
        </w:rPr>
        <w:t>（国家药品监督管理局通告</w:t>
      </w:r>
      <w:r>
        <w:rPr>
          <w:rFonts w:ascii="仿宋_GB2312" w:eastAsia="仿宋_GB2312"/>
          <w:sz w:val="32"/>
          <w:szCs w:val="32"/>
        </w:rPr>
        <w:t>2019年第23号）</w:t>
      </w:r>
      <w:r>
        <w:rPr>
          <w:rFonts w:hint="eastAsia" w:ascii="仿宋_GB2312" w:eastAsia="仿宋_GB2312"/>
          <w:sz w:val="32"/>
          <w:szCs w:val="32"/>
        </w:rPr>
        <w:t>的</w:t>
      </w:r>
      <w:r>
        <w:rPr>
          <w:rFonts w:ascii="仿宋_GB2312" w:eastAsia="仿宋_GB2312"/>
          <w:sz w:val="32"/>
          <w:szCs w:val="32"/>
        </w:rPr>
        <w:t>要求进行使用期限的研究</w:t>
      </w:r>
      <w:r>
        <w:rPr>
          <w:rFonts w:hint="eastAsia" w:ascii="仿宋_GB2312" w:eastAsia="仿宋_GB2312"/>
          <w:sz w:val="32"/>
          <w:szCs w:val="32"/>
        </w:rPr>
        <w:t>，</w:t>
      </w:r>
      <w:r>
        <w:rPr>
          <w:rFonts w:ascii="仿宋_GB2312" w:eastAsia="仿宋_GB2312"/>
          <w:sz w:val="32"/>
          <w:szCs w:val="32"/>
        </w:rPr>
        <w:t>并提供分析报告</w:t>
      </w:r>
      <w:r>
        <w:rPr>
          <w:rFonts w:hint="eastAsia" w:ascii="仿宋_GB2312" w:eastAsia="仿宋_GB2312"/>
          <w:sz w:val="32"/>
          <w:szCs w:val="32"/>
        </w:rPr>
        <w:t>。</w:t>
      </w:r>
    </w:p>
    <w:p w14:paraId="6AEB9C1B">
      <w:pPr>
        <w:ind w:firstLine="640" w:firstLineChars="200"/>
        <w:rPr>
          <w:rFonts w:ascii="仿宋_GB2312" w:eastAsia="仿宋_GB2312"/>
          <w:sz w:val="32"/>
          <w:szCs w:val="32"/>
        </w:rPr>
      </w:pPr>
      <w:r>
        <w:rPr>
          <w:rFonts w:ascii="仿宋_GB2312" w:eastAsia="仿宋_GB2312"/>
          <w:sz w:val="32"/>
          <w:szCs w:val="32"/>
        </w:rPr>
        <w:t>4.2</w:t>
      </w:r>
      <w:r>
        <w:rPr>
          <w:rFonts w:hint="eastAsia" w:ascii="仿宋_GB2312" w:eastAsia="仿宋_GB2312"/>
          <w:sz w:val="32"/>
          <w:szCs w:val="32"/>
        </w:rPr>
        <w:t>对产品有效期的确定可以分为主机与吸入附件两部分，分别对这两部分进行研究，以确定产品的使用期限及货架有效期。</w:t>
      </w:r>
    </w:p>
    <w:p w14:paraId="49F601A7">
      <w:pPr>
        <w:ind w:firstLine="640" w:firstLineChars="200"/>
        <w:rPr>
          <w:rFonts w:ascii="仿宋_GB2312" w:eastAsia="仿宋_GB2312"/>
          <w:sz w:val="32"/>
          <w:szCs w:val="32"/>
        </w:rPr>
      </w:pPr>
      <w:r>
        <w:rPr>
          <w:rFonts w:hint="eastAsia" w:ascii="仿宋_GB2312" w:eastAsia="仿宋_GB2312"/>
          <w:sz w:val="32"/>
          <w:szCs w:val="32"/>
        </w:rPr>
        <w:t>网式雾化器</w:t>
      </w:r>
      <w:r>
        <w:rPr>
          <w:rFonts w:ascii="仿宋_GB2312" w:eastAsia="仿宋_GB2312"/>
          <w:sz w:val="32"/>
          <w:szCs w:val="32"/>
        </w:rPr>
        <w:t>中</w:t>
      </w:r>
      <w:r>
        <w:rPr>
          <w:rFonts w:hint="eastAsia" w:ascii="仿宋_GB2312" w:eastAsia="仿宋_GB2312"/>
          <w:sz w:val="32"/>
          <w:szCs w:val="32"/>
        </w:rPr>
        <w:t>雾化装置</w:t>
      </w:r>
      <w:r>
        <w:rPr>
          <w:rFonts w:ascii="仿宋_GB2312" w:eastAsia="仿宋_GB2312"/>
          <w:sz w:val="32"/>
          <w:szCs w:val="32"/>
        </w:rPr>
        <w:t>为运动部件，</w:t>
      </w:r>
      <w:r>
        <w:rPr>
          <w:rFonts w:hint="eastAsia" w:ascii="仿宋_GB2312" w:eastAsia="仿宋_GB2312"/>
          <w:sz w:val="32"/>
          <w:szCs w:val="32"/>
        </w:rPr>
        <w:t>属于设备</w:t>
      </w:r>
      <w:r>
        <w:rPr>
          <w:rFonts w:ascii="仿宋_GB2312" w:eastAsia="仿宋_GB2312"/>
          <w:sz w:val="32"/>
          <w:szCs w:val="32"/>
        </w:rPr>
        <w:t>中使用强度较大的组成部分</w:t>
      </w:r>
      <w:r>
        <w:rPr>
          <w:rFonts w:hint="eastAsia" w:ascii="仿宋_GB2312" w:eastAsia="仿宋_GB2312"/>
          <w:sz w:val="32"/>
          <w:szCs w:val="32"/>
        </w:rPr>
        <w:t>。若吸入附件经过微生物控制后出厂，应详述其灭菌/消毒有效期，并提供验证记录。若吸入附件及液体容器可重复使用，则需对其使用次数/期限进行验证，并提供验证记录，验证过程中需要关注申报人推荐的清洗、消毒、</w:t>
      </w:r>
      <w:r>
        <w:rPr>
          <w:rFonts w:ascii="仿宋_GB2312" w:eastAsia="仿宋_GB2312"/>
          <w:sz w:val="32"/>
          <w:szCs w:val="32"/>
        </w:rPr>
        <w:t>拆卸、组</w:t>
      </w:r>
      <w:r>
        <w:rPr>
          <w:rFonts w:hint="eastAsia" w:ascii="仿宋_GB2312" w:eastAsia="仿宋_GB2312"/>
          <w:sz w:val="32"/>
          <w:szCs w:val="32"/>
        </w:rPr>
        <w:t>装方式对使用次数的影响。</w:t>
      </w:r>
    </w:p>
    <w:p w14:paraId="152EEE01">
      <w:pPr>
        <w:ind w:firstLine="640" w:firstLineChars="200"/>
        <w:rPr>
          <w:rFonts w:ascii="仿宋_GB2312" w:eastAsia="仿宋_GB2312"/>
          <w:sz w:val="32"/>
          <w:szCs w:val="32"/>
        </w:rPr>
      </w:pPr>
      <w:r>
        <w:rPr>
          <w:rFonts w:hint="eastAsia" w:ascii="仿宋_GB2312" w:eastAsia="仿宋_GB2312"/>
          <w:sz w:val="32"/>
          <w:szCs w:val="32"/>
        </w:rPr>
        <w:t>4.3 包装及包装的完整性</w:t>
      </w:r>
    </w:p>
    <w:p w14:paraId="148D01F6">
      <w:pPr>
        <w:ind w:firstLine="640" w:firstLineChars="200"/>
        <w:rPr>
          <w:rFonts w:ascii="仿宋_GB2312" w:eastAsia="仿宋_GB2312"/>
          <w:sz w:val="32"/>
          <w:szCs w:val="32"/>
        </w:rPr>
      </w:pPr>
      <w:r>
        <w:rPr>
          <w:rFonts w:hint="eastAsia" w:ascii="仿宋_GB2312" w:eastAsia="仿宋_GB2312"/>
          <w:sz w:val="32"/>
          <w:szCs w:val="32"/>
        </w:rPr>
        <w:t>出厂前已进行微生物控制的产品部分包装，应明确与产品直接接触的内包装材料，以及与微生物控制手段的适应性，无菌提供的应明确内包装初始污染菌的可接受程度。可以参考YY</w:t>
      </w:r>
      <w:r>
        <w:rPr>
          <w:rFonts w:ascii="仿宋_GB2312" w:eastAsia="仿宋_GB2312"/>
          <w:sz w:val="32"/>
          <w:szCs w:val="32"/>
        </w:rPr>
        <w:t>/T</w:t>
      </w:r>
      <w:r>
        <w:rPr>
          <w:rFonts w:hint="eastAsia" w:ascii="仿宋_GB2312" w:eastAsia="仿宋_GB2312"/>
          <w:sz w:val="32"/>
          <w:szCs w:val="32"/>
        </w:rPr>
        <w:t xml:space="preserve"> 0681系列标准，对包装性能进行研究，并提供验证记录，验证内容至少包含包装的密封性能、剥离强度等指标。</w:t>
      </w:r>
    </w:p>
    <w:p w14:paraId="3CE1B03A">
      <w:pPr>
        <w:ind w:firstLine="640" w:firstLineChars="200"/>
        <w:rPr>
          <w:rFonts w:ascii="仿宋_GB2312" w:eastAsia="仿宋_GB2312"/>
          <w:sz w:val="32"/>
          <w:szCs w:val="32"/>
        </w:rPr>
      </w:pPr>
      <w:r>
        <w:rPr>
          <w:rFonts w:hint="eastAsia" w:ascii="仿宋_GB2312" w:eastAsia="仿宋_GB2312"/>
          <w:sz w:val="32"/>
          <w:szCs w:val="32"/>
        </w:rPr>
        <w:t>对最小销售单元包装及运输包装进行跌落、堆码、运输等试验，提供保持包装完整性的依据，以验证包装对贮存、运输的适应性。</w:t>
      </w:r>
    </w:p>
    <w:p w14:paraId="55947640">
      <w:pPr>
        <w:ind w:firstLine="640" w:firstLineChars="200"/>
        <w:rPr>
          <w:rFonts w:ascii="仿宋_GB2312" w:eastAsia="仿宋_GB2312"/>
          <w:sz w:val="32"/>
          <w:szCs w:val="32"/>
        </w:rPr>
      </w:pPr>
      <w:r>
        <w:rPr>
          <w:rFonts w:hint="eastAsia" w:ascii="仿宋_GB2312" w:eastAsia="仿宋_GB2312"/>
          <w:sz w:val="32"/>
          <w:szCs w:val="32"/>
        </w:rPr>
        <w:t>5.软件研究</w:t>
      </w:r>
    </w:p>
    <w:p w14:paraId="1380E11E">
      <w:pPr>
        <w:ind w:firstLine="645"/>
        <w:rPr>
          <w:rFonts w:ascii="仿宋_GB2312" w:eastAsia="仿宋_GB2312"/>
          <w:sz w:val="32"/>
          <w:szCs w:val="32"/>
        </w:rPr>
      </w:pPr>
      <w:r>
        <w:rPr>
          <w:rFonts w:hint="eastAsia" w:ascii="仿宋_GB2312" w:eastAsia="仿宋_GB2312"/>
          <w:sz w:val="32"/>
          <w:szCs w:val="32"/>
        </w:rPr>
        <w:t>网式</w:t>
      </w:r>
      <w:r>
        <w:rPr>
          <w:rFonts w:ascii="仿宋_GB2312" w:eastAsia="仿宋_GB2312"/>
          <w:sz w:val="32"/>
          <w:szCs w:val="32"/>
        </w:rPr>
        <w:t>雾化器</w:t>
      </w:r>
      <w:r>
        <w:rPr>
          <w:rFonts w:hint="eastAsia" w:ascii="仿宋_GB2312" w:eastAsia="仿宋_GB2312"/>
          <w:sz w:val="32"/>
          <w:szCs w:val="32"/>
        </w:rPr>
        <w:t>所</w:t>
      </w:r>
      <w:r>
        <w:rPr>
          <w:rFonts w:ascii="仿宋_GB2312" w:eastAsia="仿宋_GB2312"/>
          <w:sz w:val="32"/>
          <w:szCs w:val="32"/>
        </w:rPr>
        <w:t>含医用软件一般为软件组件，</w:t>
      </w:r>
      <w:r>
        <w:rPr>
          <w:rFonts w:hint="eastAsia" w:ascii="仿宋_GB2312" w:eastAsia="仿宋_GB2312"/>
          <w:sz w:val="32"/>
          <w:szCs w:val="32"/>
        </w:rPr>
        <w:t>参照《医疗器械软件注册技术审查指导原则》（国家食品药品监督管理总局通告</w:t>
      </w:r>
      <w:r>
        <w:rPr>
          <w:rFonts w:ascii="仿宋_GB2312" w:eastAsia="仿宋_GB2312"/>
          <w:sz w:val="32"/>
          <w:szCs w:val="32"/>
        </w:rPr>
        <w:t>2015年第50号）</w:t>
      </w:r>
      <w:r>
        <w:rPr>
          <w:rFonts w:hint="eastAsia" w:ascii="仿宋_GB2312" w:eastAsia="仿宋_GB2312"/>
          <w:sz w:val="32"/>
          <w:szCs w:val="32"/>
        </w:rPr>
        <w:t>的</w:t>
      </w:r>
      <w:r>
        <w:rPr>
          <w:rFonts w:ascii="仿宋_GB2312" w:eastAsia="仿宋_GB2312"/>
          <w:sz w:val="32"/>
          <w:szCs w:val="32"/>
        </w:rPr>
        <w:t>相关要求，提交软件描述文档</w:t>
      </w:r>
      <w:r>
        <w:rPr>
          <w:rFonts w:hint="eastAsia" w:ascii="仿宋_GB2312" w:eastAsia="仿宋_GB2312"/>
          <w:sz w:val="32"/>
          <w:szCs w:val="32"/>
        </w:rPr>
        <w:t>。风险管理可与</w:t>
      </w:r>
      <w:r>
        <w:rPr>
          <w:rFonts w:ascii="仿宋_GB2312" w:eastAsia="仿宋_GB2312"/>
          <w:sz w:val="32"/>
          <w:szCs w:val="32"/>
        </w:rPr>
        <w:t>整机</w:t>
      </w:r>
      <w:r>
        <w:rPr>
          <w:rFonts w:hint="eastAsia" w:ascii="仿宋_GB2312" w:eastAsia="仿宋_GB2312"/>
          <w:sz w:val="32"/>
          <w:szCs w:val="32"/>
        </w:rPr>
        <w:t>合并进行。</w:t>
      </w:r>
    </w:p>
    <w:p w14:paraId="7CCE3CCE">
      <w:pPr>
        <w:ind w:firstLine="645"/>
        <w:rPr>
          <w:rFonts w:ascii="仿宋_GB2312" w:eastAsia="仿宋_GB2312"/>
          <w:color w:val="FF0000"/>
          <w:sz w:val="32"/>
          <w:szCs w:val="32"/>
        </w:rPr>
      </w:pPr>
      <w:r>
        <w:rPr>
          <w:rFonts w:hint="eastAsia" w:ascii="仿宋_GB2312" w:eastAsia="仿宋_GB2312"/>
          <w:sz w:val="32"/>
          <w:szCs w:val="32"/>
        </w:rPr>
        <w:t>若产品具备网络连接功能以实现电子数据交换或远程控制功能，或采用存储媒介（如光盘、移动硬盘和</w:t>
      </w:r>
      <w:r>
        <w:rPr>
          <w:rFonts w:ascii="仿宋_GB2312" w:eastAsia="仿宋_GB2312"/>
          <w:sz w:val="32"/>
          <w:szCs w:val="32"/>
        </w:rPr>
        <w:t>U盘等）进行电子数据交换</w:t>
      </w:r>
      <w:r>
        <w:rPr>
          <w:rFonts w:hint="eastAsia" w:ascii="仿宋_GB2312" w:eastAsia="仿宋_GB2312"/>
          <w:sz w:val="32"/>
          <w:szCs w:val="32"/>
        </w:rPr>
        <w:t>，则应符合</w:t>
      </w:r>
      <w:r>
        <w:rPr>
          <w:rFonts w:ascii="仿宋_GB2312" w:eastAsia="仿宋_GB2312"/>
          <w:sz w:val="32"/>
          <w:szCs w:val="32"/>
        </w:rPr>
        <w:t>《医疗器械网络安全注册技术审查指导原则》（国家食品药品监督管理总局通告2017年第13号）</w:t>
      </w:r>
      <w:r>
        <w:rPr>
          <w:rFonts w:hint="eastAsia" w:ascii="仿宋_GB2312" w:eastAsia="仿宋_GB2312"/>
          <w:sz w:val="32"/>
          <w:szCs w:val="32"/>
        </w:rPr>
        <w:t>。</w:t>
      </w:r>
    </w:p>
    <w:p w14:paraId="04B45FB7">
      <w:pPr>
        <w:spacing w:line="520" w:lineRule="exact"/>
        <w:ind w:firstLine="640" w:firstLineChars="200"/>
        <w:rPr>
          <w:rFonts w:ascii="楷体_GB2312" w:eastAsia="楷体_GB2312"/>
          <w:sz w:val="32"/>
          <w:szCs w:val="32"/>
        </w:rPr>
      </w:pPr>
      <w:r>
        <w:rPr>
          <w:rFonts w:hint="eastAsia" w:ascii="楷体_GB2312" w:eastAsia="楷体_GB2312"/>
          <w:sz w:val="32"/>
          <w:szCs w:val="32"/>
        </w:rPr>
        <w:t>（九）产品技术要求的主要性能指标</w:t>
      </w:r>
    </w:p>
    <w:p w14:paraId="7D2FC0FB">
      <w:pPr>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激励</w:t>
      </w:r>
      <w:r>
        <w:rPr>
          <w:rFonts w:ascii="仿宋_GB2312" w:eastAsia="仿宋_GB2312"/>
          <w:sz w:val="32"/>
          <w:szCs w:val="32"/>
        </w:rPr>
        <w:t>频率：</w:t>
      </w:r>
      <w:r>
        <w:rPr>
          <w:rFonts w:hint="eastAsia" w:ascii="仿宋_GB2312" w:eastAsia="仿宋_GB2312"/>
          <w:sz w:val="32"/>
          <w:szCs w:val="32"/>
        </w:rPr>
        <w:t>网式雾化器控制部分实际激励</w:t>
      </w:r>
      <w:r>
        <w:rPr>
          <w:rFonts w:ascii="仿宋_GB2312" w:eastAsia="仿宋_GB2312"/>
          <w:sz w:val="32"/>
          <w:szCs w:val="32"/>
        </w:rPr>
        <w:t>频率与标称频率的偏差</w:t>
      </w:r>
      <w:r>
        <w:rPr>
          <w:rFonts w:hint="eastAsia" w:ascii="仿宋_GB2312" w:eastAsia="仿宋_GB2312"/>
          <w:sz w:val="32"/>
          <w:szCs w:val="32"/>
        </w:rPr>
        <w:t>应</w:t>
      </w:r>
      <w:r>
        <w:rPr>
          <w:rFonts w:ascii="仿宋_GB2312" w:eastAsia="仿宋_GB2312"/>
          <w:sz w:val="32"/>
          <w:szCs w:val="32"/>
        </w:rPr>
        <w:t>≤±10%</w:t>
      </w:r>
      <w:r>
        <w:rPr>
          <w:rFonts w:hint="eastAsia" w:ascii="仿宋_GB2312" w:eastAsia="仿宋_GB2312"/>
          <w:sz w:val="32"/>
          <w:szCs w:val="32"/>
        </w:rPr>
        <w:t>。</w:t>
      </w:r>
    </w:p>
    <w:p w14:paraId="0C582776">
      <w:pPr>
        <w:spacing w:line="52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标称</w:t>
      </w:r>
      <w:r>
        <w:rPr>
          <w:rFonts w:ascii="仿宋_GB2312" w:eastAsia="仿宋_GB2312"/>
          <w:sz w:val="32"/>
          <w:szCs w:val="32"/>
        </w:rPr>
        <w:t>雾化率</w:t>
      </w:r>
    </w:p>
    <w:p w14:paraId="42C79F80">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2.1 </w:t>
      </w:r>
      <w:r>
        <w:rPr>
          <w:rFonts w:ascii="仿宋_GB2312" w:eastAsia="仿宋_GB2312"/>
          <w:sz w:val="32"/>
          <w:szCs w:val="32"/>
        </w:rPr>
        <w:t>雾化器的雾化率</w:t>
      </w:r>
      <w:r>
        <w:rPr>
          <w:rFonts w:hint="eastAsia" w:ascii="仿宋_GB2312" w:eastAsia="仿宋_GB2312"/>
          <w:sz w:val="32"/>
          <w:szCs w:val="32"/>
        </w:rPr>
        <w:t>应</w:t>
      </w:r>
      <w:r>
        <w:rPr>
          <w:rFonts w:ascii="仿宋_GB2312" w:eastAsia="仿宋_GB2312"/>
          <w:sz w:val="32"/>
          <w:szCs w:val="32"/>
        </w:rPr>
        <w:t>不小于</w:t>
      </w:r>
      <w:r>
        <w:rPr>
          <w:rFonts w:hint="eastAsia" w:ascii="仿宋_GB2312" w:eastAsia="仿宋_GB2312"/>
          <w:sz w:val="32"/>
          <w:szCs w:val="32"/>
        </w:rPr>
        <w:t>标称值.</w:t>
      </w:r>
    </w:p>
    <w:p w14:paraId="70A1F950">
      <w:pPr>
        <w:spacing w:line="520" w:lineRule="exact"/>
        <w:ind w:firstLine="640" w:firstLineChars="200"/>
        <w:rPr>
          <w:rFonts w:ascii="仿宋_GB2312" w:eastAsia="仿宋_GB2312"/>
          <w:sz w:val="32"/>
          <w:szCs w:val="32"/>
        </w:rPr>
      </w:pPr>
      <w:r>
        <w:rPr>
          <w:rFonts w:hint="eastAsia" w:ascii="仿宋_GB2312" w:eastAsia="仿宋_GB2312"/>
          <w:sz w:val="32"/>
          <w:szCs w:val="32"/>
        </w:rPr>
        <w:t>2.2 若多档雾化率可调，每一档的雾化率应均不小于对应档位的标称值</w:t>
      </w:r>
    </w:p>
    <w:p w14:paraId="7D5D03FE">
      <w:pPr>
        <w:spacing w:line="520" w:lineRule="exact"/>
        <w:ind w:firstLine="640" w:firstLineChars="200"/>
        <w:rPr>
          <w:rFonts w:ascii="仿宋_GB2312" w:eastAsia="仿宋_GB2312"/>
          <w:sz w:val="32"/>
          <w:szCs w:val="32"/>
        </w:rPr>
      </w:pPr>
      <w:r>
        <w:rPr>
          <w:rFonts w:hint="eastAsia" w:ascii="仿宋_GB2312" w:eastAsia="仿宋_GB2312"/>
          <w:sz w:val="32"/>
          <w:szCs w:val="32"/>
        </w:rPr>
        <w:t>2.3 若设备具有吸入附件（面罩、咬嘴）及延长管路，应将所有附件及延长管路搭配至最长路径，此时雾化率应不小于标称值。</w:t>
      </w:r>
    </w:p>
    <w:p w14:paraId="7C247AC4">
      <w:pPr>
        <w:spacing w:line="520" w:lineRule="exact"/>
        <w:ind w:firstLine="640" w:firstLineChars="200"/>
        <w:rPr>
          <w:rFonts w:ascii="仿宋_GB2312" w:eastAsia="仿宋_GB2312"/>
          <w:sz w:val="32"/>
          <w:szCs w:val="32"/>
        </w:rPr>
      </w:pPr>
      <w:r>
        <w:rPr>
          <w:rFonts w:hint="eastAsia" w:ascii="仿宋_GB2312" w:eastAsia="仿宋_GB2312"/>
          <w:sz w:val="32"/>
          <w:szCs w:val="32"/>
        </w:rPr>
        <w:t>2.4 应公布上述检测时雾化的溶液成分、温度和湿度。</w:t>
      </w:r>
    </w:p>
    <w:p w14:paraId="2C4C0EDC">
      <w:pPr>
        <w:spacing w:line="52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申请</w:t>
      </w:r>
      <w:r>
        <w:rPr>
          <w:rFonts w:ascii="仿宋_GB2312" w:eastAsia="仿宋_GB2312"/>
          <w:sz w:val="32"/>
          <w:szCs w:val="32"/>
        </w:rPr>
        <w:t>人应规定</w:t>
      </w:r>
      <w:r>
        <w:rPr>
          <w:rFonts w:hint="eastAsia" w:ascii="仿宋_GB2312" w:eastAsia="仿宋_GB2312"/>
          <w:sz w:val="32"/>
          <w:szCs w:val="32"/>
        </w:rPr>
        <w:t>工作时液体容器内药液的温升，并在研究资料说明确定该温升的理由，尤其</w:t>
      </w:r>
      <w:r>
        <w:rPr>
          <w:rFonts w:ascii="仿宋_GB2312" w:eastAsia="仿宋_GB2312"/>
          <w:sz w:val="32"/>
          <w:szCs w:val="32"/>
        </w:rPr>
        <w:t>应关注在液体</w:t>
      </w:r>
      <w:r>
        <w:rPr>
          <w:rFonts w:hint="eastAsia" w:ascii="仿宋_GB2312" w:eastAsia="仿宋_GB2312"/>
          <w:sz w:val="32"/>
          <w:szCs w:val="32"/>
        </w:rPr>
        <w:t>容器</w:t>
      </w:r>
      <w:r>
        <w:rPr>
          <w:rFonts w:ascii="仿宋_GB2312" w:eastAsia="仿宋_GB2312"/>
          <w:sz w:val="32"/>
          <w:szCs w:val="32"/>
        </w:rPr>
        <w:t>最低加</w:t>
      </w:r>
      <w:r>
        <w:rPr>
          <w:rFonts w:hint="eastAsia" w:ascii="仿宋_GB2312" w:eastAsia="仿宋_GB2312"/>
          <w:sz w:val="32"/>
          <w:szCs w:val="32"/>
        </w:rPr>
        <w:t>量及</w:t>
      </w:r>
      <w:r>
        <w:rPr>
          <w:rFonts w:ascii="仿宋_GB2312" w:eastAsia="仿宋_GB2312"/>
          <w:sz w:val="32"/>
          <w:szCs w:val="32"/>
        </w:rPr>
        <w:t>以下时的药业的温升。</w:t>
      </w:r>
    </w:p>
    <w:p w14:paraId="6CD5C9DF">
      <w:pPr>
        <w:spacing w:line="520" w:lineRule="exact"/>
        <w:ind w:firstLine="640" w:firstLineChars="200"/>
        <w:rPr>
          <w:rFonts w:ascii="仿宋_GB2312" w:eastAsia="仿宋_GB2312"/>
          <w:sz w:val="32"/>
          <w:szCs w:val="32"/>
        </w:rPr>
      </w:pPr>
      <w:r>
        <w:rPr>
          <w:rFonts w:hint="eastAsia" w:ascii="仿宋_GB2312" w:eastAsia="仿宋_GB2312"/>
          <w:sz w:val="32"/>
          <w:szCs w:val="32"/>
        </w:rPr>
        <w:t>4.在工作位置，</w:t>
      </w:r>
      <w:r>
        <w:rPr>
          <w:rFonts w:ascii="仿宋_GB2312" w:eastAsia="仿宋_GB2312"/>
          <w:sz w:val="32"/>
          <w:szCs w:val="32"/>
        </w:rPr>
        <w:t>雾化器正常</w:t>
      </w:r>
      <w:r>
        <w:rPr>
          <w:rFonts w:hint="eastAsia" w:ascii="仿宋_GB2312" w:eastAsia="仿宋_GB2312"/>
          <w:sz w:val="32"/>
          <w:szCs w:val="32"/>
        </w:rPr>
        <w:t>运行</w:t>
      </w:r>
      <w:r>
        <w:rPr>
          <w:rFonts w:ascii="仿宋_GB2312" w:eastAsia="仿宋_GB2312"/>
          <w:sz w:val="32"/>
          <w:szCs w:val="32"/>
        </w:rPr>
        <w:t>时的整机噪声≤50dB（A计权）。</w:t>
      </w:r>
    </w:p>
    <w:p w14:paraId="35B4109A">
      <w:pPr>
        <w:spacing w:line="520" w:lineRule="exact"/>
        <w:ind w:firstLine="640" w:firstLineChars="200"/>
        <w:rPr>
          <w:rFonts w:ascii="仿宋_GB2312" w:eastAsia="仿宋_GB2312"/>
          <w:sz w:val="32"/>
          <w:szCs w:val="32"/>
        </w:rPr>
      </w:pPr>
      <w:r>
        <w:rPr>
          <w:rFonts w:hint="eastAsia" w:ascii="仿宋_GB2312" w:eastAsia="仿宋_GB2312"/>
          <w:sz w:val="32"/>
          <w:szCs w:val="32"/>
        </w:rPr>
        <w:t>5.雾粒空气动力学特性</w:t>
      </w:r>
    </w:p>
    <w:p w14:paraId="4E705C94">
      <w:pPr>
        <w:spacing w:line="520" w:lineRule="exact"/>
        <w:ind w:firstLine="640" w:firstLineChars="200"/>
        <w:rPr>
          <w:rFonts w:ascii="仿宋_GB2312" w:eastAsia="仿宋_GB2312"/>
          <w:sz w:val="32"/>
          <w:szCs w:val="32"/>
        </w:rPr>
      </w:pPr>
      <w:r>
        <w:rPr>
          <w:rFonts w:hint="eastAsia" w:ascii="仿宋_GB2312" w:eastAsia="仿宋_GB2312"/>
          <w:sz w:val="32"/>
          <w:szCs w:val="32"/>
        </w:rPr>
        <w:t>5.1若使用</w:t>
      </w:r>
      <w:r>
        <w:rPr>
          <w:rFonts w:ascii="仿宋_GB2312" w:eastAsia="仿宋_GB2312"/>
          <w:sz w:val="32"/>
          <w:szCs w:val="32"/>
        </w:rPr>
        <w:t>GB/T 19077-2016</w:t>
      </w:r>
      <w:r>
        <w:rPr>
          <w:rFonts w:hint="eastAsia" w:ascii="仿宋_GB2312" w:eastAsia="仿宋_GB2312"/>
          <w:sz w:val="32"/>
          <w:szCs w:val="32"/>
        </w:rPr>
        <w:t>规定的</w:t>
      </w:r>
      <w:r>
        <w:rPr>
          <w:rFonts w:ascii="仿宋_GB2312" w:eastAsia="仿宋_GB2312"/>
          <w:sz w:val="32"/>
          <w:szCs w:val="32"/>
        </w:rPr>
        <w:t>激光</w:t>
      </w:r>
      <w:r>
        <w:rPr>
          <w:rFonts w:hint="eastAsia" w:ascii="仿宋_GB2312" w:eastAsia="仿宋_GB2312"/>
          <w:sz w:val="32"/>
          <w:szCs w:val="32"/>
        </w:rPr>
        <w:t>衍射</w:t>
      </w:r>
      <w:r>
        <w:rPr>
          <w:rFonts w:ascii="仿宋_GB2312" w:eastAsia="仿宋_GB2312"/>
          <w:sz w:val="32"/>
          <w:szCs w:val="32"/>
        </w:rPr>
        <w:t>法</w:t>
      </w:r>
      <w:r>
        <w:rPr>
          <w:rFonts w:hint="eastAsia" w:ascii="仿宋_GB2312" w:eastAsia="仿宋_GB2312"/>
          <w:sz w:val="32"/>
          <w:szCs w:val="32"/>
        </w:rPr>
        <w:t>原理的设备</w:t>
      </w:r>
      <w:r>
        <w:rPr>
          <w:rFonts w:ascii="仿宋_GB2312" w:eastAsia="仿宋_GB2312"/>
          <w:sz w:val="32"/>
          <w:szCs w:val="32"/>
        </w:rPr>
        <w:t>检测，</w:t>
      </w:r>
      <w:r>
        <w:rPr>
          <w:rFonts w:hint="eastAsia" w:ascii="仿宋_GB2312" w:eastAsia="仿宋_GB2312"/>
          <w:sz w:val="32"/>
          <w:szCs w:val="32"/>
        </w:rPr>
        <w:t>申请人应公布雾化器产生的雾粒等效体积粒径分布曲线，应公布雾粒的中位粒径，其允差应≤±25%；应公布≤5μm雾粒直径的占比。</w:t>
      </w:r>
    </w:p>
    <w:p w14:paraId="7EF165B5">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5.2若使用YY/T </w:t>
      </w:r>
      <w:r>
        <w:rPr>
          <w:rFonts w:ascii="仿宋_GB2312" w:eastAsia="仿宋_GB2312"/>
          <w:sz w:val="32"/>
          <w:szCs w:val="32"/>
        </w:rPr>
        <w:t>1743</w:t>
      </w:r>
      <w:r>
        <w:rPr>
          <w:rFonts w:hint="eastAsia" w:ascii="仿宋_GB2312" w:eastAsia="仿宋_GB2312"/>
          <w:sz w:val="32"/>
          <w:szCs w:val="32"/>
        </w:rPr>
        <w:t>—2021或《中华人民共和国药典》</w:t>
      </w:r>
      <w:r>
        <w:rPr>
          <w:rFonts w:ascii="仿宋_GB2312" w:eastAsia="仿宋_GB2312"/>
          <w:sz w:val="32"/>
          <w:szCs w:val="32"/>
        </w:rPr>
        <w:t>2020年版 四部“吸入制剂微细粒子空气动力学特性测定法”中“吸入液体制剂”（装置3）所述的串级冲击法原理的设备检测，申请人应公布雾粒分布曲线、雾粒的</w:t>
      </w:r>
      <w:r>
        <w:rPr>
          <w:rFonts w:hint="eastAsia" w:ascii="仿宋_GB2312" w:eastAsia="仿宋_GB2312"/>
          <w:sz w:val="32"/>
          <w:szCs w:val="32"/>
        </w:rPr>
        <w:t>质量中值空气动力学直径（MMAD）及几何标准差（GSD），MMAD允差应≤±25%；应公布≤5μm雾粒直径的占比。</w:t>
      </w:r>
    </w:p>
    <w:p w14:paraId="70C66000">
      <w:pPr>
        <w:spacing w:line="520" w:lineRule="exact"/>
        <w:ind w:firstLine="640" w:firstLineChars="200"/>
        <w:rPr>
          <w:rFonts w:ascii="仿宋_GB2312" w:eastAsia="仿宋_GB2312"/>
          <w:sz w:val="32"/>
          <w:szCs w:val="32"/>
        </w:rPr>
      </w:pPr>
      <w:r>
        <w:rPr>
          <w:rFonts w:hint="eastAsia" w:ascii="仿宋_GB2312" w:eastAsia="仿宋_GB2312"/>
          <w:sz w:val="32"/>
          <w:szCs w:val="32"/>
        </w:rPr>
        <w:t>5.3 若设备具有多档雾化率调节，则应公布每一档的雾粒分布曲线及雾粒的中位粒径或MMAD，允差应≤±25%；还应公布≤5μm雾粒直径的占比。</w:t>
      </w:r>
    </w:p>
    <w:p w14:paraId="5A6D6679">
      <w:pPr>
        <w:spacing w:line="520" w:lineRule="exact"/>
        <w:ind w:firstLine="640" w:firstLineChars="200"/>
        <w:rPr>
          <w:rFonts w:ascii="仿宋_GB2312" w:eastAsia="仿宋_GB2312"/>
          <w:sz w:val="32"/>
          <w:szCs w:val="32"/>
        </w:rPr>
      </w:pPr>
      <w:r>
        <w:rPr>
          <w:rFonts w:hint="eastAsia" w:ascii="仿宋_GB2312" w:eastAsia="仿宋_GB2312"/>
          <w:sz w:val="32"/>
          <w:szCs w:val="32"/>
        </w:rPr>
        <w:t>5.4 若设备具有吸入附件（面罩、咬嘴）及延长管路，应在将所有附件及延长管路搭配至最长路径，此时的雾粒分布曲线、雾粒的中位粒径或MMAD，允差应≤±</w:t>
      </w:r>
      <w:r>
        <w:rPr>
          <w:rFonts w:ascii="仿宋_GB2312" w:eastAsia="仿宋_GB2312"/>
          <w:sz w:val="32"/>
          <w:szCs w:val="32"/>
        </w:rPr>
        <w:t>25%</w:t>
      </w:r>
      <w:r>
        <w:rPr>
          <w:rFonts w:hint="eastAsia" w:ascii="仿宋_GB2312" w:eastAsia="仿宋_GB2312"/>
          <w:sz w:val="32"/>
          <w:szCs w:val="32"/>
        </w:rPr>
        <w:t>；还应公布≤5μm雾粒直径的占比。</w:t>
      </w:r>
    </w:p>
    <w:p w14:paraId="59AD18D3">
      <w:pPr>
        <w:spacing w:line="520" w:lineRule="exact"/>
        <w:ind w:firstLine="640" w:firstLineChars="200"/>
        <w:rPr>
          <w:rFonts w:ascii="仿宋_GB2312" w:eastAsia="仿宋_GB2312"/>
          <w:sz w:val="32"/>
          <w:szCs w:val="32"/>
        </w:rPr>
      </w:pPr>
      <w:r>
        <w:rPr>
          <w:rFonts w:hint="eastAsia" w:ascii="仿宋_GB2312" w:eastAsia="仿宋_GB2312"/>
          <w:sz w:val="32"/>
          <w:szCs w:val="32"/>
        </w:rPr>
        <w:t>5.5 应公布进行上述检测时雾化的溶液成分、温度和湿度。</w:t>
      </w:r>
    </w:p>
    <w:p w14:paraId="4EB4452B">
      <w:pPr>
        <w:spacing w:line="520" w:lineRule="exact"/>
        <w:ind w:firstLine="640" w:firstLineChars="200"/>
        <w:rPr>
          <w:rFonts w:ascii="仿宋_GB2312" w:eastAsia="仿宋_GB2312"/>
          <w:sz w:val="32"/>
          <w:szCs w:val="32"/>
        </w:rPr>
      </w:pPr>
      <w:r>
        <w:rPr>
          <w:rFonts w:hint="eastAsia" w:ascii="仿宋_GB2312" w:eastAsia="仿宋_GB2312"/>
          <w:sz w:val="32"/>
          <w:szCs w:val="32"/>
        </w:rPr>
        <w:t>6.雾化器的连续工作时间应不小于申请人的规定时间；在规定的连续工作时间内，雾化不应停止</w:t>
      </w:r>
      <w:r>
        <w:rPr>
          <w:rFonts w:ascii="仿宋_GB2312" w:eastAsia="仿宋_GB2312"/>
          <w:sz w:val="32"/>
          <w:szCs w:val="32"/>
        </w:rPr>
        <w:t>。</w:t>
      </w:r>
    </w:p>
    <w:p w14:paraId="1583721D">
      <w:pPr>
        <w:spacing w:line="52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.若</w:t>
      </w:r>
      <w:r>
        <w:rPr>
          <w:rFonts w:hint="eastAsia" w:ascii="仿宋_GB2312" w:eastAsia="仿宋_GB2312"/>
          <w:sz w:val="32"/>
          <w:szCs w:val="32"/>
        </w:rPr>
        <w:t>雾化器具有定时</w:t>
      </w:r>
      <w:r>
        <w:rPr>
          <w:rFonts w:ascii="仿宋_GB2312" w:eastAsia="仿宋_GB2312"/>
          <w:sz w:val="32"/>
          <w:szCs w:val="32"/>
        </w:rPr>
        <w:t>功能，</w:t>
      </w:r>
      <w:r>
        <w:rPr>
          <w:rFonts w:hint="eastAsia" w:ascii="仿宋_GB2312" w:eastAsia="仿宋_GB2312"/>
          <w:sz w:val="32"/>
          <w:szCs w:val="32"/>
        </w:rPr>
        <w:t>其控制时间与标称时间的偏差不大于</w:t>
      </w:r>
      <w:r>
        <w:rPr>
          <w:rFonts w:ascii="仿宋_GB2312" w:eastAsia="仿宋_GB2312"/>
          <w:sz w:val="32"/>
          <w:szCs w:val="32"/>
        </w:rPr>
        <w:t>10%。</w:t>
      </w:r>
    </w:p>
    <w:p w14:paraId="461660BD">
      <w:pPr>
        <w:spacing w:line="52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若雾化器具有低液位停机或提示功能，则应在低液位停机或作出提示。</w:t>
      </w:r>
    </w:p>
    <w:p w14:paraId="03DEAD00">
      <w:pPr>
        <w:spacing w:line="52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应分别标明雾化器向前后及左右可以正常雾化的最大倾斜角度；依照申报单位提供的最大倾斜角度，雾化器应能正常工作。</w:t>
      </w:r>
    </w:p>
    <w:p w14:paraId="6511D235">
      <w:pPr>
        <w:spacing w:line="520" w:lineRule="exact"/>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.残液量：应符合申请人的规定。</w:t>
      </w:r>
    </w:p>
    <w:p w14:paraId="10F32BF1">
      <w:pPr>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1</w:t>
      </w:r>
      <w:r>
        <w:rPr>
          <w:rFonts w:hint="eastAsia" w:ascii="仿宋_GB2312" w:eastAsia="仿宋_GB2312"/>
          <w:sz w:val="32"/>
          <w:szCs w:val="32"/>
        </w:rPr>
        <w:t>.雾化器液体容器的刻度应准确，允差应不大于申请人规定的残液量体积。</w:t>
      </w:r>
    </w:p>
    <w:p w14:paraId="53110F1D">
      <w:pPr>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外观与结构：雾化器外观应整洁，色泽均匀，无伤痕、划痕、裂纹等缺陷。面板上的文字和标志应清晰可见；雾化器塑料件应无气泡、起泡、开裂、变形以及灌注物溢出现象；雾化器的控制和调节机构应安装牢固、可靠，紧固部位应无松动；雾化器的</w:t>
      </w:r>
      <w:r>
        <w:rPr>
          <w:rFonts w:hint="eastAsia" w:ascii="仿宋_GB2312" w:eastAsia="仿宋_GB2312"/>
          <w:sz w:val="32"/>
          <w:szCs w:val="32"/>
        </w:rPr>
        <w:t>贮液容器在正常使用条件下应</w:t>
      </w:r>
      <w:r>
        <w:rPr>
          <w:rFonts w:ascii="仿宋_GB2312" w:eastAsia="仿宋_GB2312"/>
          <w:sz w:val="32"/>
          <w:szCs w:val="32"/>
        </w:rPr>
        <w:t>无泄漏。</w:t>
      </w:r>
    </w:p>
    <w:p w14:paraId="13BC9007">
      <w:pPr>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3</w:t>
      </w:r>
      <w:r>
        <w:rPr>
          <w:rFonts w:hint="eastAsia" w:ascii="仿宋_GB2312" w:eastAsia="仿宋_GB2312"/>
          <w:sz w:val="32"/>
          <w:szCs w:val="32"/>
        </w:rPr>
        <w:t>.网式雾化器的电气安全性应符合</w:t>
      </w:r>
      <w:r>
        <w:rPr>
          <w:rFonts w:ascii="仿宋_GB2312" w:eastAsia="仿宋_GB2312"/>
          <w:sz w:val="32"/>
          <w:szCs w:val="32"/>
        </w:rPr>
        <w:t>GB 9706.1</w:t>
      </w:r>
      <w:r>
        <w:rPr>
          <w:rFonts w:hint="eastAsia" w:ascii="仿宋_GB2312" w:eastAsia="仿宋_GB2312"/>
          <w:sz w:val="32"/>
          <w:szCs w:val="32"/>
        </w:rPr>
        <w:t>-</w:t>
      </w:r>
      <w:r>
        <w:rPr>
          <w:rFonts w:ascii="仿宋_GB2312" w:eastAsia="仿宋_GB2312"/>
          <w:sz w:val="32"/>
          <w:szCs w:val="32"/>
        </w:rPr>
        <w:t>2007</w:t>
      </w:r>
      <w:r>
        <w:rPr>
          <w:rFonts w:hint="eastAsia" w:ascii="仿宋_GB2312" w:eastAsia="仿宋_GB2312"/>
          <w:sz w:val="32"/>
          <w:szCs w:val="32"/>
        </w:rPr>
        <w:t>《医用电气设备</w:t>
      </w:r>
      <w:r>
        <w:rPr>
          <w:rFonts w:ascii="仿宋_GB2312" w:eastAsia="仿宋_GB2312"/>
          <w:sz w:val="32"/>
          <w:szCs w:val="32"/>
        </w:rPr>
        <w:t xml:space="preserve"> 第1部分：安全通用要求》</w:t>
      </w:r>
      <w:r>
        <w:rPr>
          <w:rFonts w:hint="eastAsia" w:ascii="仿宋_GB2312" w:eastAsia="仿宋_GB2312"/>
          <w:sz w:val="32"/>
          <w:szCs w:val="32"/>
        </w:rPr>
        <w:t>的要求，在产品技术要求附录A中列明产品主要</w:t>
      </w:r>
      <w:r>
        <w:rPr>
          <w:rFonts w:ascii="仿宋_GB2312" w:eastAsia="仿宋_GB2312"/>
          <w:sz w:val="32"/>
          <w:szCs w:val="32"/>
        </w:rPr>
        <w:t>安全特</w:t>
      </w:r>
      <w:r>
        <w:rPr>
          <w:rFonts w:hint="eastAsia" w:ascii="仿宋_GB2312" w:eastAsia="仿宋_GB2312"/>
          <w:sz w:val="32"/>
          <w:szCs w:val="32"/>
        </w:rPr>
        <w:t>征。</w:t>
      </w:r>
    </w:p>
    <w:p w14:paraId="4A820DC9">
      <w:pPr>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4</w:t>
      </w:r>
      <w:r>
        <w:rPr>
          <w:rFonts w:hint="eastAsia" w:ascii="仿宋_GB2312" w:eastAsia="仿宋_GB2312"/>
          <w:sz w:val="32"/>
          <w:szCs w:val="32"/>
        </w:rPr>
        <w:t>.网式雾化器的电磁兼容性应符合</w:t>
      </w:r>
      <w:r>
        <w:rPr>
          <w:rFonts w:ascii="仿宋_GB2312" w:eastAsia="仿宋_GB2312"/>
          <w:sz w:val="32"/>
          <w:szCs w:val="32"/>
        </w:rPr>
        <w:t>YY 0505</w:t>
      </w:r>
      <w:r>
        <w:rPr>
          <w:rFonts w:hint="eastAsia" w:ascii="仿宋_GB2312" w:eastAsia="仿宋_GB2312"/>
          <w:sz w:val="32"/>
          <w:szCs w:val="32"/>
        </w:rPr>
        <w:t>-</w:t>
      </w:r>
      <w:r>
        <w:rPr>
          <w:rFonts w:ascii="仿宋_GB2312" w:eastAsia="仿宋_GB2312"/>
          <w:sz w:val="32"/>
          <w:szCs w:val="32"/>
        </w:rPr>
        <w:t>2012</w:t>
      </w:r>
      <w:r>
        <w:rPr>
          <w:rFonts w:hint="eastAsia" w:ascii="仿宋_GB2312" w:eastAsia="仿宋_GB2312"/>
          <w:sz w:val="32"/>
          <w:szCs w:val="32"/>
        </w:rPr>
        <w:t>《医用电气设备</w:t>
      </w:r>
      <w:r>
        <w:rPr>
          <w:rFonts w:ascii="仿宋_GB2312" w:eastAsia="仿宋_GB2312"/>
          <w:sz w:val="32"/>
          <w:szCs w:val="32"/>
        </w:rPr>
        <w:t xml:space="preserve"> 第1-2部分：安全通用要求并列标准：电磁兼容 要求和试验》的要求</w:t>
      </w:r>
      <w:r>
        <w:rPr>
          <w:rFonts w:hint="eastAsia" w:ascii="仿宋_GB2312" w:eastAsia="仿宋_GB2312"/>
          <w:sz w:val="32"/>
          <w:szCs w:val="32"/>
        </w:rPr>
        <w:t>，在技术要求附录中明确所测试电磁兼容试验的项目及其符合电平，并明确产品基本性能</w:t>
      </w:r>
      <w:r>
        <w:rPr>
          <w:rFonts w:ascii="仿宋_GB2312" w:eastAsia="仿宋_GB2312"/>
          <w:sz w:val="32"/>
          <w:szCs w:val="32"/>
        </w:rPr>
        <w:t>。</w:t>
      </w:r>
    </w:p>
    <w:p w14:paraId="6198F484">
      <w:pPr>
        <w:spacing w:line="520" w:lineRule="exact"/>
        <w:ind w:firstLine="640" w:firstLineChars="200"/>
        <w:rPr>
          <w:rFonts w:ascii="仿宋_GB2312" w:eastAsia="仿宋_GB2312"/>
          <w:sz w:val="32"/>
          <w:szCs w:val="32"/>
        </w:rPr>
      </w:pPr>
      <w:r>
        <w:rPr>
          <w:rFonts w:ascii="仿宋_GB2312" w:eastAsia="仿宋_GB2312"/>
          <w:sz w:val="32"/>
          <w:szCs w:val="32"/>
        </w:rPr>
        <w:t>15.环境试验：应根据产品特点，在产品技术要求中按GB/T 14710</w:t>
      </w:r>
      <w:r>
        <w:rPr>
          <w:rFonts w:hint="eastAsia" w:ascii="仿宋_GB2312" w:eastAsia="仿宋_GB2312"/>
          <w:sz w:val="32"/>
          <w:szCs w:val="32"/>
        </w:rPr>
        <w:t>-</w:t>
      </w:r>
      <w:r>
        <w:rPr>
          <w:rFonts w:ascii="仿宋_GB2312" w:eastAsia="仿宋_GB2312"/>
          <w:sz w:val="32"/>
          <w:szCs w:val="32"/>
        </w:rPr>
        <w:t>2009</w:t>
      </w:r>
      <w:r>
        <w:rPr>
          <w:rFonts w:hint="eastAsia" w:ascii="仿宋_GB2312" w:eastAsia="仿宋_GB2312"/>
          <w:sz w:val="32"/>
          <w:szCs w:val="32"/>
        </w:rPr>
        <w:t>《医用电器环境要求及试验方法》</w:t>
      </w:r>
      <w:r>
        <w:rPr>
          <w:rFonts w:ascii="仿宋_GB2312" w:eastAsia="仿宋_GB2312"/>
          <w:sz w:val="32"/>
          <w:szCs w:val="32"/>
        </w:rPr>
        <w:t>规定气候环境和机械环境试验的组别，</w:t>
      </w:r>
      <w:r>
        <w:rPr>
          <w:rFonts w:hint="eastAsia" w:ascii="仿宋_GB2312" w:eastAsia="仿宋_GB2312"/>
          <w:sz w:val="32"/>
          <w:szCs w:val="32"/>
        </w:rPr>
        <w:t>明确</w:t>
      </w:r>
      <w:r>
        <w:rPr>
          <w:rFonts w:ascii="仿宋_GB2312" w:eastAsia="仿宋_GB2312"/>
          <w:sz w:val="32"/>
          <w:szCs w:val="32"/>
        </w:rPr>
        <w:t>恢复时间、试验</w:t>
      </w:r>
      <w:r>
        <w:rPr>
          <w:rFonts w:hint="eastAsia" w:ascii="仿宋_GB2312" w:eastAsia="仿宋_GB2312"/>
          <w:sz w:val="32"/>
          <w:szCs w:val="32"/>
        </w:rPr>
        <w:t>条件</w:t>
      </w:r>
      <w:r>
        <w:rPr>
          <w:rFonts w:ascii="仿宋_GB2312" w:eastAsia="仿宋_GB2312"/>
          <w:sz w:val="32"/>
          <w:szCs w:val="32"/>
        </w:rPr>
        <w:t>及检测项目。</w:t>
      </w:r>
    </w:p>
    <w:p w14:paraId="18916F46">
      <w:pPr>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6.无菌</w:t>
      </w:r>
    </w:p>
    <w:p w14:paraId="7778BA4C">
      <w:pPr>
        <w:spacing w:line="520" w:lineRule="exact"/>
        <w:ind w:firstLine="640" w:firstLineChars="200"/>
        <w:rPr>
          <w:rFonts w:ascii="仿宋_GB2312" w:eastAsia="仿宋_GB2312"/>
          <w:sz w:val="32"/>
          <w:szCs w:val="32"/>
        </w:rPr>
      </w:pPr>
      <w:r>
        <w:rPr>
          <w:rFonts w:hint="eastAsia" w:ascii="仿宋_GB2312" w:eastAsia="仿宋_GB2312"/>
          <w:sz w:val="32"/>
          <w:szCs w:val="32"/>
        </w:rPr>
        <w:t>雾化器的咬</w:t>
      </w:r>
      <w:r>
        <w:rPr>
          <w:rFonts w:ascii="仿宋_GB2312" w:eastAsia="仿宋_GB2312"/>
          <w:sz w:val="32"/>
          <w:szCs w:val="32"/>
        </w:rPr>
        <w:t>嘴、吸入面罩及</w:t>
      </w:r>
      <w:r>
        <w:rPr>
          <w:rFonts w:hint="eastAsia" w:ascii="仿宋_GB2312" w:eastAsia="仿宋_GB2312"/>
          <w:sz w:val="32"/>
          <w:szCs w:val="32"/>
        </w:rPr>
        <w:t>延长</w:t>
      </w:r>
      <w:r>
        <w:rPr>
          <w:rFonts w:ascii="仿宋_GB2312" w:eastAsia="仿宋_GB2312"/>
          <w:sz w:val="32"/>
          <w:szCs w:val="32"/>
        </w:rPr>
        <w:t>连接件</w:t>
      </w:r>
      <w:r>
        <w:rPr>
          <w:rFonts w:hint="eastAsia" w:ascii="仿宋_GB2312" w:eastAsia="仿宋_GB2312"/>
          <w:sz w:val="32"/>
          <w:szCs w:val="32"/>
        </w:rPr>
        <w:t>等</w:t>
      </w:r>
      <w:r>
        <w:rPr>
          <w:rFonts w:ascii="仿宋_GB2312" w:eastAsia="仿宋_GB2312"/>
          <w:sz w:val="32"/>
          <w:szCs w:val="32"/>
        </w:rPr>
        <w:t>若</w:t>
      </w:r>
      <w:r>
        <w:rPr>
          <w:rFonts w:hint="eastAsia" w:ascii="仿宋_GB2312" w:eastAsia="仿宋_GB2312"/>
          <w:sz w:val="32"/>
          <w:szCs w:val="32"/>
        </w:rPr>
        <w:t>声称无菌，则应经过一个经确认的过程，使其无菌。</w:t>
      </w:r>
    </w:p>
    <w:p w14:paraId="34AC77C9">
      <w:pPr>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7</w:t>
      </w:r>
      <w:r>
        <w:rPr>
          <w:rFonts w:hint="eastAsia" w:ascii="仿宋_GB2312" w:eastAsia="仿宋_GB2312"/>
          <w:sz w:val="32"/>
          <w:szCs w:val="32"/>
        </w:rPr>
        <w:t>.</w:t>
      </w:r>
      <w:r>
        <w:rPr>
          <w:rFonts w:ascii="仿宋_GB2312" w:eastAsia="仿宋_GB2312"/>
          <w:sz w:val="32"/>
          <w:szCs w:val="32"/>
        </w:rPr>
        <w:t>微生物限度</w:t>
      </w:r>
    </w:p>
    <w:p w14:paraId="1B4AE162">
      <w:pPr>
        <w:spacing w:line="520" w:lineRule="exact"/>
        <w:ind w:firstLine="640" w:firstLineChars="200"/>
        <w:rPr>
          <w:rFonts w:ascii="仿宋_GB2312" w:eastAsia="仿宋_GB2312"/>
          <w:color w:val="FF0000"/>
          <w:sz w:val="32"/>
          <w:szCs w:val="32"/>
        </w:rPr>
      </w:pPr>
      <w:r>
        <w:rPr>
          <w:rFonts w:hint="eastAsia" w:ascii="仿宋_GB2312" w:eastAsia="仿宋_GB2312"/>
          <w:sz w:val="32"/>
          <w:szCs w:val="32"/>
        </w:rPr>
        <w:t>雾化器的</w:t>
      </w:r>
      <w:r>
        <w:rPr>
          <w:rFonts w:ascii="仿宋_GB2312" w:eastAsia="仿宋_GB2312"/>
          <w:sz w:val="32"/>
          <w:szCs w:val="32"/>
        </w:rPr>
        <w:t>吸嘴、吸入面罩及</w:t>
      </w:r>
      <w:r>
        <w:rPr>
          <w:rFonts w:hint="eastAsia" w:ascii="仿宋_GB2312" w:eastAsia="仿宋_GB2312"/>
          <w:sz w:val="32"/>
          <w:szCs w:val="32"/>
        </w:rPr>
        <w:t>延长</w:t>
      </w:r>
      <w:r>
        <w:rPr>
          <w:rFonts w:ascii="仿宋_GB2312" w:eastAsia="仿宋_GB2312"/>
          <w:sz w:val="32"/>
          <w:szCs w:val="32"/>
        </w:rPr>
        <w:t>连接件</w:t>
      </w:r>
      <w:r>
        <w:rPr>
          <w:rFonts w:hint="eastAsia" w:ascii="仿宋_GB2312" w:eastAsia="仿宋_GB2312"/>
          <w:sz w:val="32"/>
          <w:szCs w:val="32"/>
        </w:rPr>
        <w:t>等</w:t>
      </w:r>
      <w:r>
        <w:rPr>
          <w:rFonts w:ascii="仿宋_GB2312" w:eastAsia="仿宋_GB2312"/>
          <w:sz w:val="32"/>
          <w:szCs w:val="32"/>
        </w:rPr>
        <w:t>若</w:t>
      </w:r>
      <w:r>
        <w:rPr>
          <w:rFonts w:hint="eastAsia" w:ascii="仿宋_GB2312" w:eastAsia="仿宋_GB2312"/>
          <w:sz w:val="32"/>
          <w:szCs w:val="32"/>
        </w:rPr>
        <w:t>在出厂前进行微生物控制，则应对微生物限度作出要求</w:t>
      </w:r>
      <w:r>
        <w:rPr>
          <w:rFonts w:ascii="仿宋_GB2312" w:eastAsia="仿宋_GB2312"/>
          <w:sz w:val="32"/>
          <w:szCs w:val="32"/>
        </w:rPr>
        <w:t>，</w:t>
      </w:r>
      <w:r>
        <w:rPr>
          <w:rFonts w:hint="eastAsia" w:ascii="仿宋_GB2312" w:eastAsia="仿宋_GB2312"/>
          <w:sz w:val="32"/>
          <w:szCs w:val="32"/>
        </w:rPr>
        <w:t>可参考</w:t>
      </w:r>
      <w:r>
        <w:rPr>
          <w:rFonts w:ascii="仿宋_GB2312" w:eastAsia="仿宋_GB2312"/>
          <w:sz w:val="32"/>
          <w:szCs w:val="32"/>
        </w:rPr>
        <w:t>GB 15982-2012《医院消毒卫生标准》中对中度危险性医疗器材的要求，确定微生物限度的要求，并参照《中国药典》2020年版四部，规定对控制菌的要求。</w:t>
      </w:r>
    </w:p>
    <w:p w14:paraId="48E58497">
      <w:pPr>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8.环氧乙烷残留量</w:t>
      </w:r>
    </w:p>
    <w:p w14:paraId="5896B446">
      <w:pPr>
        <w:spacing w:line="520" w:lineRule="exact"/>
        <w:ind w:firstLine="640" w:firstLineChars="200"/>
        <w:rPr>
          <w:rFonts w:ascii="仿宋_GB2312" w:eastAsia="仿宋_GB2312"/>
          <w:sz w:val="32"/>
          <w:szCs w:val="32"/>
        </w:rPr>
      </w:pPr>
      <w:r>
        <w:rPr>
          <w:rFonts w:ascii="仿宋_GB2312" w:eastAsia="仿宋_GB2312"/>
          <w:sz w:val="32"/>
          <w:szCs w:val="32"/>
        </w:rPr>
        <w:t>若经环氧乙烷</w:t>
      </w:r>
      <w:r>
        <w:rPr>
          <w:rFonts w:hint="eastAsia" w:ascii="仿宋_GB2312" w:eastAsia="仿宋_GB2312"/>
          <w:sz w:val="32"/>
          <w:szCs w:val="32"/>
        </w:rPr>
        <w:t>进行微生物控制</w:t>
      </w:r>
      <w:r>
        <w:rPr>
          <w:rFonts w:ascii="仿宋_GB2312" w:eastAsia="仿宋_GB2312"/>
          <w:sz w:val="32"/>
          <w:szCs w:val="32"/>
        </w:rPr>
        <w:t>，则</w:t>
      </w:r>
      <w:r>
        <w:rPr>
          <w:rFonts w:hint="eastAsia" w:ascii="仿宋_GB2312" w:eastAsia="仿宋_GB2312"/>
          <w:sz w:val="32"/>
          <w:szCs w:val="32"/>
        </w:rPr>
        <w:t>应对</w:t>
      </w:r>
      <w:r>
        <w:rPr>
          <w:rFonts w:ascii="仿宋_GB2312" w:eastAsia="仿宋_GB2312"/>
          <w:sz w:val="32"/>
          <w:szCs w:val="32"/>
        </w:rPr>
        <w:t>环氧乙烷残留量指标</w:t>
      </w:r>
      <w:r>
        <w:rPr>
          <w:rFonts w:hint="eastAsia" w:ascii="仿宋_GB2312" w:eastAsia="仿宋_GB2312"/>
          <w:sz w:val="32"/>
          <w:szCs w:val="32"/>
        </w:rPr>
        <w:t>按</w:t>
      </w:r>
      <w:r>
        <w:rPr>
          <w:rFonts w:ascii="仿宋_GB2312" w:eastAsia="仿宋_GB2312"/>
          <w:sz w:val="32"/>
          <w:szCs w:val="32"/>
        </w:rPr>
        <w:t>GB/T 16886.7</w:t>
      </w:r>
      <w:r>
        <w:rPr>
          <w:rFonts w:hint="eastAsia" w:ascii="仿宋_GB2312" w:eastAsia="仿宋_GB2312"/>
          <w:sz w:val="32"/>
          <w:szCs w:val="32"/>
        </w:rPr>
        <w:t>-</w:t>
      </w:r>
      <w:r>
        <w:rPr>
          <w:rFonts w:ascii="仿宋_GB2312" w:eastAsia="仿宋_GB2312"/>
          <w:sz w:val="32"/>
          <w:szCs w:val="32"/>
        </w:rPr>
        <w:t>2015的要求</w:t>
      </w:r>
      <w:r>
        <w:rPr>
          <w:rFonts w:hint="eastAsia" w:ascii="仿宋_GB2312" w:eastAsia="仿宋_GB2312"/>
          <w:sz w:val="32"/>
          <w:szCs w:val="32"/>
        </w:rPr>
        <w:t>进行规定</w:t>
      </w:r>
      <w:r>
        <w:rPr>
          <w:rFonts w:ascii="仿宋_GB2312" w:eastAsia="仿宋_GB2312"/>
          <w:sz w:val="32"/>
          <w:szCs w:val="32"/>
        </w:rPr>
        <w:t>。</w:t>
      </w:r>
    </w:p>
    <w:p w14:paraId="0833897E">
      <w:pPr>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9.化学性能：雾化杯、吸嘴</w:t>
      </w:r>
      <w:r>
        <w:rPr>
          <w:rFonts w:hint="eastAsia" w:ascii="仿宋_GB2312" w:eastAsia="仿宋_GB2312"/>
          <w:sz w:val="32"/>
          <w:szCs w:val="32"/>
        </w:rPr>
        <w:t>、吸入面罩及延长连接件等</w:t>
      </w:r>
      <w:r>
        <w:rPr>
          <w:rFonts w:ascii="仿宋_GB2312" w:eastAsia="仿宋_GB2312"/>
          <w:sz w:val="32"/>
          <w:szCs w:val="32"/>
        </w:rPr>
        <w:t>与药液接触的部件应满足以下化学性能的要求：</w:t>
      </w:r>
    </w:p>
    <w:p w14:paraId="355CC1E4">
      <w:pPr>
        <w:spacing w:line="520" w:lineRule="exact"/>
        <w:ind w:firstLine="640" w:firstLineChars="200"/>
        <w:rPr>
          <w:rFonts w:ascii="仿宋_GB2312" w:eastAsia="仿宋_GB2312"/>
          <w:sz w:val="32"/>
          <w:szCs w:val="32"/>
        </w:rPr>
      </w:pPr>
      <w:r>
        <w:rPr>
          <w:rFonts w:ascii="仿宋_GB2312" w:eastAsia="仿宋_GB2312"/>
          <w:sz w:val="32"/>
          <w:szCs w:val="32"/>
        </w:rPr>
        <w:t>19.1 还原物质</w:t>
      </w:r>
      <w:r>
        <w:rPr>
          <w:rFonts w:hint="eastAsia" w:ascii="仿宋_GB2312" w:eastAsia="仿宋_GB2312"/>
          <w:sz w:val="32"/>
          <w:szCs w:val="32"/>
        </w:rPr>
        <w:t>（易氧化物）</w:t>
      </w:r>
      <w:r>
        <w:rPr>
          <w:rFonts w:ascii="仿宋_GB2312" w:eastAsia="仿宋_GB2312"/>
          <w:sz w:val="32"/>
          <w:szCs w:val="32"/>
        </w:rPr>
        <w:t>：按照GB/T 14233.1-2008中5.2的方法，还原物质应符合</w:t>
      </w:r>
      <w:r>
        <w:rPr>
          <w:rFonts w:hint="eastAsia" w:ascii="仿宋_GB2312" w:eastAsia="仿宋_GB2312"/>
          <w:sz w:val="32"/>
          <w:szCs w:val="32"/>
        </w:rPr>
        <w:t>申请人</w:t>
      </w:r>
      <w:r>
        <w:rPr>
          <w:rFonts w:ascii="仿宋_GB2312" w:eastAsia="仿宋_GB2312"/>
          <w:sz w:val="32"/>
          <w:szCs w:val="32"/>
        </w:rPr>
        <w:t>的规定；</w:t>
      </w:r>
    </w:p>
    <w:p w14:paraId="27E640D9">
      <w:pPr>
        <w:spacing w:line="520" w:lineRule="exact"/>
        <w:ind w:firstLine="640" w:firstLineChars="200"/>
        <w:rPr>
          <w:rFonts w:ascii="仿宋_GB2312" w:eastAsia="仿宋_GB2312"/>
          <w:sz w:val="32"/>
          <w:szCs w:val="32"/>
        </w:rPr>
      </w:pPr>
      <w:r>
        <w:rPr>
          <w:rFonts w:ascii="仿宋_GB2312" w:eastAsia="仿宋_GB2312"/>
          <w:sz w:val="32"/>
          <w:szCs w:val="32"/>
        </w:rPr>
        <w:t>19.2 酸碱度：按照GB/T 14233.1</w:t>
      </w:r>
      <w:r>
        <w:rPr>
          <w:rFonts w:hint="eastAsia" w:ascii="仿宋_GB2312" w:eastAsia="仿宋_GB2312"/>
          <w:sz w:val="32"/>
          <w:szCs w:val="32"/>
        </w:rPr>
        <w:t>-</w:t>
      </w:r>
      <w:r>
        <w:rPr>
          <w:rFonts w:ascii="仿宋_GB2312" w:eastAsia="仿宋_GB2312"/>
          <w:sz w:val="32"/>
          <w:szCs w:val="32"/>
        </w:rPr>
        <w:t>2008</w:t>
      </w:r>
      <w:r>
        <w:rPr>
          <w:rFonts w:hint="eastAsia" w:ascii="仿宋_GB2312" w:eastAsia="仿宋_GB2312"/>
          <w:sz w:val="32"/>
          <w:szCs w:val="32"/>
        </w:rPr>
        <w:t>中5.4.1</w:t>
      </w:r>
      <w:r>
        <w:rPr>
          <w:rFonts w:ascii="仿宋_GB2312" w:eastAsia="仿宋_GB2312"/>
          <w:sz w:val="32"/>
          <w:szCs w:val="32"/>
        </w:rPr>
        <w:t>的方法，酸碱度应符合</w:t>
      </w:r>
      <w:r>
        <w:rPr>
          <w:rFonts w:hint="eastAsia" w:ascii="仿宋_GB2312" w:eastAsia="仿宋_GB2312"/>
          <w:sz w:val="32"/>
          <w:szCs w:val="32"/>
        </w:rPr>
        <w:t>申请人</w:t>
      </w:r>
      <w:r>
        <w:rPr>
          <w:rFonts w:ascii="仿宋_GB2312" w:eastAsia="仿宋_GB2312"/>
          <w:sz w:val="32"/>
          <w:szCs w:val="32"/>
        </w:rPr>
        <w:t>的规定；</w:t>
      </w:r>
    </w:p>
    <w:p w14:paraId="3A025738">
      <w:pPr>
        <w:spacing w:line="520" w:lineRule="exact"/>
        <w:ind w:firstLine="640" w:firstLineChars="200"/>
        <w:rPr>
          <w:rFonts w:ascii="仿宋_GB2312" w:eastAsia="仿宋_GB2312"/>
          <w:sz w:val="32"/>
          <w:szCs w:val="32"/>
        </w:rPr>
      </w:pPr>
      <w:r>
        <w:rPr>
          <w:rFonts w:ascii="仿宋_GB2312" w:eastAsia="仿宋_GB2312"/>
          <w:sz w:val="32"/>
          <w:szCs w:val="32"/>
        </w:rPr>
        <w:t>19.3 不挥发物</w:t>
      </w:r>
      <w:r>
        <w:rPr>
          <w:rFonts w:hint="eastAsia" w:ascii="仿宋_GB2312" w:eastAsia="仿宋_GB2312"/>
          <w:sz w:val="32"/>
          <w:szCs w:val="32"/>
        </w:rPr>
        <w:t>（蒸发残渣）</w:t>
      </w:r>
      <w:r>
        <w:rPr>
          <w:rFonts w:ascii="仿宋_GB2312" w:eastAsia="仿宋_GB2312"/>
          <w:sz w:val="32"/>
          <w:szCs w:val="32"/>
        </w:rPr>
        <w:t>：按照GB/T 14233.1-2008中5.5的方法，不挥发物应符合</w:t>
      </w:r>
      <w:r>
        <w:rPr>
          <w:rFonts w:hint="eastAsia" w:ascii="仿宋_GB2312" w:eastAsia="仿宋_GB2312"/>
          <w:sz w:val="32"/>
          <w:szCs w:val="32"/>
        </w:rPr>
        <w:t>申请人</w:t>
      </w:r>
      <w:r>
        <w:rPr>
          <w:rFonts w:ascii="仿宋_GB2312" w:eastAsia="仿宋_GB2312"/>
          <w:sz w:val="32"/>
          <w:szCs w:val="32"/>
        </w:rPr>
        <w:t>的规定</w:t>
      </w:r>
      <w:r>
        <w:rPr>
          <w:rFonts w:hint="eastAsia" w:ascii="仿宋_GB2312" w:eastAsia="仿宋_GB2312"/>
          <w:sz w:val="32"/>
          <w:szCs w:val="32"/>
        </w:rPr>
        <w:t>；</w:t>
      </w:r>
    </w:p>
    <w:p w14:paraId="4A0ADB99">
      <w:pPr>
        <w:spacing w:line="520" w:lineRule="exact"/>
        <w:ind w:firstLine="640" w:firstLineChars="200"/>
        <w:rPr>
          <w:rFonts w:ascii="仿宋_GB2312" w:eastAsia="仿宋_GB2312"/>
          <w:sz w:val="32"/>
          <w:szCs w:val="32"/>
        </w:rPr>
      </w:pPr>
      <w:r>
        <w:rPr>
          <w:rFonts w:ascii="仿宋_GB2312" w:eastAsia="仿宋_GB2312"/>
          <w:sz w:val="32"/>
          <w:szCs w:val="32"/>
        </w:rPr>
        <w:t>19.4 重金属含量：按照GB/T 14233.1</w:t>
      </w:r>
      <w:r>
        <w:rPr>
          <w:rFonts w:hint="eastAsia" w:ascii="仿宋_GB2312" w:eastAsia="仿宋_GB2312"/>
          <w:sz w:val="32"/>
          <w:szCs w:val="32"/>
        </w:rPr>
        <w:t>-</w:t>
      </w:r>
      <w:r>
        <w:rPr>
          <w:rFonts w:ascii="仿宋_GB2312" w:eastAsia="仿宋_GB2312"/>
          <w:sz w:val="32"/>
          <w:szCs w:val="32"/>
        </w:rPr>
        <w:t>2008</w:t>
      </w:r>
      <w:r>
        <w:rPr>
          <w:rFonts w:hint="eastAsia" w:ascii="仿宋_GB2312" w:eastAsia="仿宋_GB2312"/>
          <w:sz w:val="32"/>
          <w:szCs w:val="32"/>
        </w:rPr>
        <w:t>中5.9的</w:t>
      </w:r>
      <w:r>
        <w:rPr>
          <w:rFonts w:ascii="仿宋_GB2312" w:eastAsia="仿宋_GB2312"/>
          <w:sz w:val="32"/>
          <w:szCs w:val="32"/>
        </w:rPr>
        <w:t>方法，重金属总含量应符合</w:t>
      </w:r>
      <w:r>
        <w:rPr>
          <w:rFonts w:hint="eastAsia" w:ascii="仿宋_GB2312" w:eastAsia="仿宋_GB2312"/>
          <w:sz w:val="32"/>
          <w:szCs w:val="32"/>
        </w:rPr>
        <w:t>申请人</w:t>
      </w:r>
      <w:r>
        <w:rPr>
          <w:rFonts w:ascii="仿宋_GB2312" w:eastAsia="仿宋_GB2312"/>
          <w:sz w:val="32"/>
          <w:szCs w:val="32"/>
        </w:rPr>
        <w:t>的规定</w:t>
      </w:r>
      <w:r>
        <w:rPr>
          <w:rFonts w:hint="eastAsia" w:ascii="仿宋_GB2312" w:eastAsia="仿宋_GB2312"/>
          <w:sz w:val="32"/>
          <w:szCs w:val="32"/>
        </w:rPr>
        <w:t>，镉的含量应≤0.1μg</w:t>
      </w:r>
      <w:r>
        <w:rPr>
          <w:rFonts w:ascii="仿宋_GB2312" w:eastAsia="仿宋_GB2312"/>
          <w:sz w:val="32"/>
          <w:szCs w:val="32"/>
        </w:rPr>
        <w:t>/mL</w:t>
      </w:r>
      <w:r>
        <w:rPr>
          <w:rFonts w:hint="eastAsia" w:ascii="仿宋_GB2312" w:eastAsia="仿宋_GB2312"/>
          <w:sz w:val="32"/>
          <w:szCs w:val="32"/>
        </w:rPr>
        <w:t>。</w:t>
      </w:r>
    </w:p>
    <w:p w14:paraId="19BC10EC">
      <w:pPr>
        <w:spacing w:line="52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.应</w:t>
      </w:r>
      <w:r>
        <w:rPr>
          <w:rFonts w:ascii="仿宋_GB2312" w:eastAsia="仿宋_GB2312"/>
          <w:sz w:val="32"/>
          <w:szCs w:val="32"/>
        </w:rPr>
        <w:t>按照《</w:t>
      </w:r>
      <w:r>
        <w:rPr>
          <w:rFonts w:hint="eastAsia" w:ascii="仿宋_GB2312" w:eastAsia="仿宋_GB2312"/>
          <w:sz w:val="32"/>
          <w:szCs w:val="32"/>
        </w:rPr>
        <w:t>医疗器械软件注册技术审查指导原则</w:t>
      </w:r>
      <w:r>
        <w:rPr>
          <w:rFonts w:ascii="仿宋_GB2312" w:eastAsia="仿宋_GB2312"/>
          <w:sz w:val="32"/>
          <w:szCs w:val="32"/>
        </w:rPr>
        <w:t>》的要求，</w:t>
      </w:r>
      <w:r>
        <w:rPr>
          <w:rFonts w:hint="eastAsia" w:ascii="仿宋_GB2312" w:eastAsia="仿宋_GB2312"/>
          <w:sz w:val="32"/>
          <w:szCs w:val="32"/>
        </w:rPr>
        <w:t>明确软件信息，</w:t>
      </w:r>
      <w:r>
        <w:rPr>
          <w:rFonts w:ascii="仿宋_GB2312" w:eastAsia="仿宋_GB2312"/>
          <w:sz w:val="32"/>
          <w:szCs w:val="32"/>
        </w:rPr>
        <w:t>至少包括</w:t>
      </w:r>
      <w:r>
        <w:rPr>
          <w:rFonts w:hint="eastAsia" w:ascii="仿宋_GB2312" w:eastAsia="仿宋_GB2312"/>
          <w:sz w:val="32"/>
          <w:szCs w:val="32"/>
        </w:rPr>
        <w:t>发布版本、完整版本命名规则。</w:t>
      </w:r>
    </w:p>
    <w:p w14:paraId="62146C3B">
      <w:pPr>
        <w:spacing w:line="52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1.若申报</w:t>
      </w:r>
      <w:r>
        <w:rPr>
          <w:rFonts w:hint="eastAsia" w:ascii="仿宋_GB2312" w:eastAsia="仿宋_GB2312"/>
          <w:sz w:val="32"/>
          <w:szCs w:val="32"/>
        </w:rPr>
        <w:t>产品具备网络连接功能以进行电子数据交换或远程控制功能，或采用存储媒介（如光盘、移动硬盘和</w:t>
      </w:r>
      <w:r>
        <w:rPr>
          <w:rFonts w:ascii="仿宋_GB2312" w:eastAsia="仿宋_GB2312"/>
          <w:sz w:val="32"/>
          <w:szCs w:val="32"/>
        </w:rPr>
        <w:t>U盘等）进行电子数据交换，应按照《</w:t>
      </w:r>
      <w:r>
        <w:rPr>
          <w:rFonts w:hint="eastAsia" w:ascii="仿宋_GB2312" w:eastAsia="仿宋_GB2312"/>
          <w:sz w:val="32"/>
          <w:szCs w:val="32"/>
        </w:rPr>
        <w:t>医疗器械网络安全注册技术审查指导原则</w:t>
      </w:r>
      <w:r>
        <w:rPr>
          <w:rFonts w:ascii="仿宋_GB2312" w:eastAsia="仿宋_GB2312"/>
          <w:sz w:val="32"/>
          <w:szCs w:val="32"/>
        </w:rPr>
        <w:t>》的要求</w:t>
      </w:r>
      <w:r>
        <w:rPr>
          <w:rFonts w:hint="eastAsia" w:ascii="仿宋_GB2312" w:eastAsia="仿宋_GB2312"/>
          <w:sz w:val="32"/>
          <w:szCs w:val="32"/>
        </w:rPr>
        <w:t>应在产品技术要求性能指标中明确数据接口、用户访问控制的要求：</w:t>
      </w:r>
    </w:p>
    <w:p w14:paraId="08EF74FA">
      <w:pPr>
        <w:spacing w:line="52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1）数据接口：传输协议/存储格式；</w:t>
      </w:r>
    </w:p>
    <w:p w14:paraId="4AAD9F49">
      <w:pPr>
        <w:spacing w:line="52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2）用户访问控制：用户身份鉴别方法、用户类型及权限。</w:t>
      </w:r>
    </w:p>
    <w:p w14:paraId="711E5025">
      <w:pPr>
        <w:spacing w:line="520" w:lineRule="exact"/>
        <w:ind w:firstLine="640" w:firstLineChars="200"/>
        <w:rPr>
          <w:rFonts w:ascii="楷体_GB2312" w:eastAsia="楷体_GB2312"/>
          <w:sz w:val="32"/>
          <w:szCs w:val="32"/>
        </w:rPr>
      </w:pPr>
      <w:r>
        <w:rPr>
          <w:rFonts w:hint="eastAsia" w:ascii="楷体_GB2312" w:eastAsia="楷体_GB2312"/>
          <w:sz w:val="32"/>
          <w:szCs w:val="32"/>
        </w:rPr>
        <w:t>（十）同一注册单元内注册检验典型性产品确定原则和实例</w:t>
      </w:r>
    </w:p>
    <w:p w14:paraId="3F0E3B7A">
      <w:pPr>
        <w:spacing w:line="520" w:lineRule="exact"/>
        <w:ind w:firstLine="640" w:firstLineChars="200"/>
        <w:rPr>
          <w:rFonts w:ascii="仿宋_GB2312" w:eastAsia="仿宋_GB2312"/>
          <w:sz w:val="32"/>
          <w:szCs w:val="32"/>
        </w:rPr>
      </w:pPr>
      <w:r>
        <w:rPr>
          <w:rFonts w:hint="eastAsia" w:ascii="仿宋_GB2312" w:eastAsia="仿宋_GB2312"/>
          <w:sz w:val="32"/>
          <w:szCs w:val="32"/>
        </w:rPr>
        <w:t>注册检验典型性产品应是同一注册单元内能够代表本单元内其他产品安全性和有效性的产品，应充分考虑产品工作原理、结构组成、适用范围及产品其他风险等方面。采用相同结构雾化装置的网式雾化器可以作为同一注册单元，但其雾化装置的物理参数不同，如雾化片</w:t>
      </w:r>
      <w:r>
        <w:rPr>
          <w:rFonts w:ascii="仿宋_GB2312" w:eastAsia="仿宋_GB2312"/>
          <w:sz w:val="32"/>
          <w:szCs w:val="32"/>
        </w:rPr>
        <w:t>材料、</w:t>
      </w:r>
      <w:r>
        <w:rPr>
          <w:rFonts w:hint="eastAsia" w:ascii="仿宋_GB2312" w:eastAsia="仿宋_GB2312"/>
          <w:sz w:val="32"/>
          <w:szCs w:val="32"/>
        </w:rPr>
        <w:t>谐振频率、网孔数目，网孔尺寸不同，则不宜作为同一型号规格；若雾化器产生的雾粒空气动力学特性不同，也不宜做为同一型号规格。采用不同雾化装置结构的网式雾化器应分为不同注册单元，如主动网式雾化器和被动网式雾化器，但如所用振动网片为两个，则应与使用单个振动网片的产品划分为不同注册单元。</w:t>
      </w:r>
    </w:p>
    <w:p w14:paraId="00C9974B">
      <w:pPr>
        <w:spacing w:line="520" w:lineRule="exact"/>
        <w:ind w:firstLine="640" w:firstLineChars="200"/>
        <w:rPr>
          <w:rFonts w:ascii="仿宋_GB2312" w:eastAsia="仿宋_GB2312"/>
          <w:sz w:val="32"/>
          <w:szCs w:val="32"/>
        </w:rPr>
      </w:pPr>
      <w:r>
        <w:rPr>
          <w:rFonts w:hint="eastAsia" w:ascii="仿宋_GB2312" w:eastAsia="仿宋_GB2312"/>
          <w:sz w:val="32"/>
          <w:szCs w:val="32"/>
        </w:rPr>
        <w:t>注册单元内各型号的主要安全指标、性能指标不能被典型型号全部涵盖时，则应选择涵盖安全指标、性能指标最多的产品作为典型性产品，同时还应对其他型号中未被典型型号所涵盖的相关指标的差异部分</w:t>
      </w:r>
      <w:r>
        <w:rPr>
          <w:rFonts w:ascii="仿宋_GB2312" w:eastAsia="仿宋_GB2312"/>
          <w:sz w:val="32"/>
          <w:szCs w:val="32"/>
        </w:rPr>
        <w:t>进行注册</w:t>
      </w:r>
      <w:r>
        <w:rPr>
          <w:rFonts w:hint="eastAsia" w:ascii="仿宋_GB2312" w:eastAsia="仿宋_GB2312"/>
          <w:sz w:val="32"/>
          <w:szCs w:val="32"/>
        </w:rPr>
        <w:t>检验。</w:t>
      </w:r>
    </w:p>
    <w:p w14:paraId="64E534DC">
      <w:pPr>
        <w:spacing w:line="520" w:lineRule="exact"/>
        <w:ind w:firstLine="640" w:firstLineChars="200"/>
        <w:rPr>
          <w:rFonts w:ascii="楷体_GB2312" w:eastAsia="楷体_GB2312"/>
          <w:sz w:val="32"/>
          <w:szCs w:val="32"/>
        </w:rPr>
      </w:pPr>
      <w:r>
        <w:rPr>
          <w:rFonts w:hint="eastAsia" w:ascii="楷体_GB2312" w:eastAsia="楷体_GB2312"/>
          <w:sz w:val="32"/>
          <w:szCs w:val="32"/>
        </w:rPr>
        <w:t>（十一）产品生产制造相关要求</w:t>
      </w:r>
    </w:p>
    <w:p w14:paraId="6833BECC">
      <w:pPr>
        <w:ind w:firstLine="640" w:firstLineChars="200"/>
        <w:rPr>
          <w:rFonts w:ascii="仿宋_GB2312" w:eastAsia="仿宋_GB2312"/>
          <w:sz w:val="32"/>
          <w:szCs w:val="32"/>
        </w:rPr>
      </w:pPr>
      <w:r>
        <w:rPr>
          <w:rFonts w:ascii="仿宋_GB2312" w:eastAsia="仿宋_GB2312"/>
          <w:sz w:val="32"/>
          <w:szCs w:val="32"/>
        </w:rPr>
        <w:t>1.生产工艺过程及设备</w:t>
      </w:r>
    </w:p>
    <w:p w14:paraId="532CF8CB">
      <w:pPr>
        <w:ind w:firstLine="640" w:firstLineChars="200"/>
        <w:rPr>
          <w:rFonts w:ascii="仿宋_GB2312" w:eastAsia="仿宋_GB2312"/>
          <w:sz w:val="32"/>
          <w:szCs w:val="32"/>
        </w:rPr>
      </w:pPr>
      <w:r>
        <w:rPr>
          <w:rFonts w:hint="eastAsia" w:ascii="仿宋_GB2312" w:eastAsia="仿宋_GB2312"/>
          <w:sz w:val="32"/>
          <w:szCs w:val="32"/>
        </w:rPr>
        <w:t>可采用工艺流程图的方式明确产品生产加工工艺，对生产工艺过程进行详细描述，提供生产工艺参数，注明关键工序和特殊过程，并说明其过程控制点。明确生产过程中各种加工助剂（如液体容器、咬嘴、面罩及延长管等高分子注塑产品所用塑化剂、脱模剂及粘合剂等）的使用情况及对杂质（如残留单体、小分子残留物等）的控制情况及</w:t>
      </w:r>
      <w:r>
        <w:rPr>
          <w:rFonts w:eastAsia="仿宋_GB2312"/>
          <w:sz w:val="32"/>
          <w:szCs w:val="32"/>
        </w:rPr>
        <w:t>接受标准</w:t>
      </w:r>
      <w:r>
        <w:rPr>
          <w:rFonts w:hint="eastAsia" w:ascii="仿宋_GB2312" w:eastAsia="仿宋_GB2312"/>
          <w:sz w:val="32"/>
          <w:szCs w:val="32"/>
        </w:rPr>
        <w:t>。如果使用环氧乙烷作为微生物控制方法，要同时明确灭菌/消毒参数及解吸附工艺参数。</w:t>
      </w:r>
    </w:p>
    <w:p w14:paraId="7C6C36B3">
      <w:pPr>
        <w:ind w:firstLine="640" w:firstLineChars="200"/>
        <w:rPr>
          <w:rFonts w:ascii="仿宋_GB2312" w:eastAsia="仿宋_GB2312"/>
          <w:sz w:val="32"/>
          <w:szCs w:val="32"/>
        </w:rPr>
      </w:pPr>
      <w:r>
        <w:rPr>
          <w:rFonts w:hint="eastAsia" w:ascii="仿宋_GB2312" w:eastAsia="仿宋_GB2312"/>
          <w:sz w:val="32"/>
          <w:szCs w:val="32"/>
        </w:rPr>
        <w:t>明确生产设备的信息，包括微生物控制设备及环氧乙烷加速解吸附设备（如有）。</w:t>
      </w:r>
    </w:p>
    <w:p w14:paraId="0DCC63E0">
      <w:pPr>
        <w:ind w:firstLine="640" w:firstLineChars="200"/>
        <w:rPr>
          <w:rFonts w:ascii="仿宋_GB2312" w:eastAsia="仿宋_GB2312"/>
          <w:sz w:val="32"/>
          <w:szCs w:val="32"/>
        </w:rPr>
      </w:pPr>
      <w:r>
        <w:rPr>
          <w:rFonts w:ascii="仿宋_GB2312" w:eastAsia="仿宋_GB2312"/>
          <w:sz w:val="32"/>
          <w:szCs w:val="32"/>
        </w:rPr>
        <w:t>2.生产场地</w:t>
      </w:r>
    </w:p>
    <w:p w14:paraId="02E6385A">
      <w:pPr>
        <w:ind w:firstLine="640" w:firstLineChars="200"/>
        <w:rPr>
          <w:rFonts w:ascii="仿宋_GB2312" w:eastAsia="仿宋_GB2312"/>
          <w:sz w:val="32"/>
          <w:szCs w:val="32"/>
        </w:rPr>
      </w:pPr>
      <w:r>
        <w:rPr>
          <w:rFonts w:hint="eastAsia" w:ascii="仿宋_GB2312" w:eastAsia="仿宋_GB2312"/>
          <w:sz w:val="32"/>
          <w:szCs w:val="32"/>
        </w:rPr>
        <w:t>有多个研制、生产场地，应当概述每个研制、生产场地</w:t>
      </w:r>
    </w:p>
    <w:p w14:paraId="477858F3">
      <w:pPr>
        <w:rPr>
          <w:rFonts w:ascii="仿宋_GB2312" w:eastAsia="仿宋_GB2312"/>
          <w:sz w:val="32"/>
          <w:szCs w:val="32"/>
        </w:rPr>
      </w:pPr>
      <w:r>
        <w:rPr>
          <w:rFonts w:hint="eastAsia" w:ascii="仿宋_GB2312" w:eastAsia="仿宋_GB2312"/>
          <w:sz w:val="32"/>
          <w:szCs w:val="32"/>
        </w:rPr>
        <w:t>的实际情况。应明确各道工序所在的环境。若产品组件中有无菌提供的部分，生产环境的要求应符合《医疗器械生产质量管理规范附录 无菌医疗器械》的要求</w:t>
      </w:r>
      <w:r>
        <w:rPr>
          <w:rFonts w:ascii="仿宋_GB2312" w:eastAsia="仿宋_GB2312"/>
          <w:sz w:val="32"/>
          <w:szCs w:val="32"/>
        </w:rPr>
        <w:t>，</w:t>
      </w:r>
      <w:r>
        <w:rPr>
          <w:rFonts w:hint="eastAsia" w:ascii="仿宋_GB2312" w:eastAsia="仿宋_GB2312"/>
          <w:sz w:val="32"/>
          <w:szCs w:val="32"/>
        </w:rPr>
        <w:t>并提供洁净厂房的检测报告。</w:t>
      </w:r>
    </w:p>
    <w:p w14:paraId="50C0C89F">
      <w:pPr>
        <w:spacing w:line="520" w:lineRule="exact"/>
        <w:ind w:firstLine="640" w:firstLineChars="200"/>
        <w:rPr>
          <w:rFonts w:ascii="楷体_GB2312" w:eastAsia="楷体_GB2312"/>
          <w:sz w:val="32"/>
          <w:szCs w:val="32"/>
        </w:rPr>
      </w:pPr>
      <w:r>
        <w:rPr>
          <w:rFonts w:hint="eastAsia" w:ascii="楷体_GB2312" w:eastAsia="楷体_GB2312"/>
          <w:sz w:val="32"/>
          <w:szCs w:val="32"/>
        </w:rPr>
        <w:t>（十二）产品的临床评价要求</w:t>
      </w:r>
    </w:p>
    <w:p w14:paraId="27B99F01">
      <w:pPr>
        <w:spacing w:line="520" w:lineRule="exact"/>
        <w:ind w:firstLine="640" w:firstLineChars="200"/>
        <w:rPr>
          <w:rFonts w:ascii="仿宋_GB2312" w:eastAsia="仿宋_GB2312"/>
          <w:sz w:val="32"/>
          <w:szCs w:val="32"/>
        </w:rPr>
      </w:pPr>
      <w:r>
        <w:rPr>
          <w:rFonts w:hint="eastAsia" w:ascii="仿宋_GB2312" w:eastAsia="仿宋_GB2312"/>
          <w:sz w:val="32"/>
          <w:szCs w:val="32"/>
        </w:rPr>
        <w:t>申报人应按照</w:t>
      </w:r>
      <w:r>
        <w:rPr>
          <w:rFonts w:ascii="仿宋_GB2312" w:eastAsia="仿宋_GB2312"/>
          <w:sz w:val="32"/>
          <w:szCs w:val="32"/>
        </w:rPr>
        <w:t>《医疗器械注册管理办法》（国家食品药品监督管理总局令第4号）</w:t>
      </w:r>
      <w:r>
        <w:rPr>
          <w:rFonts w:hint="eastAsia" w:ascii="仿宋_GB2312" w:eastAsia="仿宋_GB2312"/>
          <w:sz w:val="32"/>
          <w:szCs w:val="32"/>
        </w:rPr>
        <w:t>及《医疗器械临床评价技术指导原则》（国家食品药品监督管理总局通告</w:t>
      </w:r>
      <w:r>
        <w:rPr>
          <w:rFonts w:ascii="仿宋_GB2312" w:eastAsia="仿宋_GB2312"/>
          <w:sz w:val="32"/>
          <w:szCs w:val="32"/>
        </w:rPr>
        <w:t>2015年第14号）提交临床评价资料。</w:t>
      </w:r>
    </w:p>
    <w:p w14:paraId="55206616">
      <w:pPr>
        <w:spacing w:line="520" w:lineRule="exact"/>
        <w:ind w:firstLine="640" w:firstLineChars="200"/>
        <w:rPr>
          <w:rFonts w:ascii="仿宋_GB2312" w:eastAsia="仿宋_GB2312"/>
          <w:sz w:val="32"/>
          <w:szCs w:val="32"/>
        </w:rPr>
      </w:pPr>
      <w:r>
        <w:rPr>
          <w:rFonts w:hint="eastAsia" w:ascii="仿宋_GB2312" w:eastAsia="仿宋_GB2312"/>
          <w:sz w:val="32"/>
          <w:szCs w:val="32"/>
        </w:rPr>
        <w:t>依据《国家药监局关于发布免于进行临床试验医疗器械目录（第二批修订）的通告》（</w:t>
      </w:r>
      <w:r>
        <w:rPr>
          <w:rFonts w:ascii="仿宋_GB2312" w:eastAsia="仿宋_GB2312"/>
          <w:sz w:val="32"/>
          <w:szCs w:val="32"/>
        </w:rPr>
        <w:t>2021年 第3号）</w:t>
      </w:r>
      <w:r>
        <w:rPr>
          <w:rFonts w:hint="eastAsia" w:ascii="仿宋_GB2312" w:eastAsia="仿宋_GB2312"/>
          <w:sz w:val="32"/>
          <w:szCs w:val="32"/>
        </w:rPr>
        <w:t>附件1</w:t>
      </w:r>
      <w:r>
        <w:rPr>
          <w:rFonts w:ascii="仿宋_GB2312" w:eastAsia="仿宋_GB2312"/>
          <w:sz w:val="32"/>
          <w:szCs w:val="32"/>
        </w:rPr>
        <w:t>，</w:t>
      </w:r>
      <w:r>
        <w:rPr>
          <w:rFonts w:hint="eastAsia" w:ascii="仿宋_GB2312" w:eastAsia="仿宋_GB2312"/>
          <w:sz w:val="32"/>
          <w:szCs w:val="32"/>
        </w:rPr>
        <w:t>网式雾化器位于目录中所列</w:t>
      </w:r>
      <w:r>
        <w:rPr>
          <w:rFonts w:ascii="仿宋_GB2312" w:eastAsia="仿宋_GB2312"/>
          <w:sz w:val="32"/>
          <w:szCs w:val="32"/>
        </w:rPr>
        <w:t>序号</w:t>
      </w:r>
      <w:r>
        <w:rPr>
          <w:rFonts w:hint="eastAsia" w:ascii="仿宋_GB2312" w:eastAsia="仿宋_GB2312"/>
          <w:sz w:val="32"/>
          <w:szCs w:val="32"/>
        </w:rPr>
        <w:t>1</w:t>
      </w: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分类编码为08-05-07</w:t>
      </w:r>
      <w:r>
        <w:rPr>
          <w:rFonts w:hint="eastAsia" w:ascii="仿宋_GB2312" w:eastAsia="仿宋_GB2312"/>
          <w:sz w:val="32"/>
          <w:szCs w:val="32"/>
        </w:rPr>
        <w:t>，申报产品与《目录》中产品描述</w:t>
      </w:r>
      <w:r>
        <w:rPr>
          <w:rFonts w:ascii="仿宋_GB2312" w:eastAsia="仿宋_GB2312"/>
          <w:sz w:val="32"/>
          <w:szCs w:val="32"/>
        </w:rPr>
        <w:t>相同的免于进行临床试验</w:t>
      </w:r>
      <w:r>
        <w:rPr>
          <w:rFonts w:hint="eastAsia" w:ascii="仿宋_GB2312" w:eastAsia="仿宋_GB2312"/>
          <w:sz w:val="32"/>
          <w:szCs w:val="32"/>
        </w:rPr>
        <w:t>，申报人</w:t>
      </w:r>
      <w:r>
        <w:rPr>
          <w:rFonts w:ascii="仿宋_GB2312" w:eastAsia="仿宋_GB2312"/>
          <w:sz w:val="32"/>
          <w:szCs w:val="32"/>
        </w:rPr>
        <w:t>需提交</w:t>
      </w:r>
      <w:r>
        <w:rPr>
          <w:rFonts w:hint="eastAsia" w:ascii="仿宋_GB2312" w:eastAsia="仿宋_GB2312"/>
          <w:sz w:val="32"/>
          <w:szCs w:val="32"/>
        </w:rPr>
        <w:t>的临床评价资料如下：</w:t>
      </w:r>
    </w:p>
    <w:p w14:paraId="58B4953F">
      <w:pPr>
        <w:spacing w:line="520" w:lineRule="exact"/>
        <w:ind w:firstLine="640" w:firstLineChars="200"/>
        <w:rPr>
          <w:rFonts w:ascii="仿宋_GB2312" w:eastAsia="仿宋_GB2312"/>
          <w:sz w:val="32"/>
          <w:szCs w:val="32"/>
        </w:rPr>
      </w:pPr>
      <w:r>
        <w:rPr>
          <w:rFonts w:ascii="仿宋_GB2312" w:eastAsia="仿宋_GB2312"/>
          <w:sz w:val="32"/>
          <w:szCs w:val="32"/>
        </w:rPr>
        <w:t>1. 提交申报产品相关信息与《目录》所述内容的比对资料，对比的内容应能说明</w:t>
      </w:r>
      <w:r>
        <w:rPr>
          <w:rFonts w:hint="eastAsia" w:ascii="仿宋_GB2312" w:eastAsia="仿宋_GB2312"/>
          <w:sz w:val="32"/>
          <w:szCs w:val="32"/>
        </w:rPr>
        <w:t>与</w:t>
      </w:r>
      <w:r>
        <w:rPr>
          <w:rFonts w:ascii="仿宋_GB2312" w:eastAsia="仿宋_GB2312"/>
          <w:sz w:val="32"/>
          <w:szCs w:val="32"/>
        </w:rPr>
        <w:t>《目录》</w:t>
      </w:r>
      <w:r>
        <w:rPr>
          <w:rFonts w:hint="eastAsia" w:ascii="仿宋_GB2312" w:eastAsia="仿宋_GB2312"/>
          <w:sz w:val="32"/>
          <w:szCs w:val="32"/>
        </w:rPr>
        <w:t>所述内容具有等同性</w:t>
      </w:r>
      <w:r>
        <w:rPr>
          <w:rFonts w:ascii="仿宋_GB2312" w:eastAsia="仿宋_GB2312"/>
          <w:sz w:val="32"/>
          <w:szCs w:val="32"/>
        </w:rPr>
        <w:t>。</w:t>
      </w:r>
    </w:p>
    <w:p w14:paraId="3E15DAE8">
      <w:pPr>
        <w:spacing w:line="520" w:lineRule="exact"/>
        <w:ind w:firstLine="640" w:firstLineChars="200"/>
        <w:rPr>
          <w:rFonts w:ascii="仿宋_GB2312" w:eastAsia="仿宋_GB2312"/>
          <w:sz w:val="32"/>
          <w:szCs w:val="32"/>
        </w:rPr>
      </w:pPr>
      <w:r>
        <w:rPr>
          <w:rFonts w:ascii="仿宋_GB2312" w:eastAsia="仿宋_GB2312"/>
          <w:sz w:val="32"/>
          <w:szCs w:val="32"/>
        </w:rPr>
        <w:t xml:space="preserve">2. </w:t>
      </w:r>
      <w:r>
        <w:rPr>
          <w:rFonts w:hint="eastAsia" w:ascii="仿宋_GB2312" w:eastAsia="仿宋_GB2312"/>
          <w:sz w:val="32"/>
          <w:szCs w:val="32"/>
        </w:rPr>
        <w:t>提交申报产品与《目录》中已获准境内注册医疗器械的对比说明，对比说明应当包括《申报产品与目录中已获准境内注册医疗器械对比表》（《医疗器械临床评价技术指导原则》附1）</w:t>
      </w:r>
      <w:r>
        <w:rPr>
          <w:rFonts w:ascii="仿宋_GB2312" w:eastAsia="仿宋_GB2312"/>
          <w:sz w:val="32"/>
          <w:szCs w:val="32"/>
        </w:rPr>
        <w:t>和相应支持性资料</w:t>
      </w:r>
      <w:r>
        <w:rPr>
          <w:rFonts w:hint="eastAsia" w:ascii="仿宋_GB2312" w:eastAsia="仿宋_GB2312"/>
          <w:sz w:val="32"/>
          <w:szCs w:val="32"/>
        </w:rPr>
        <w:t>；对比项目包括但不限于基本原理（工作原理</w:t>
      </w:r>
      <w:r>
        <w:rPr>
          <w:rFonts w:ascii="仿宋_GB2312" w:eastAsia="仿宋_GB2312"/>
          <w:sz w:val="32"/>
          <w:szCs w:val="32"/>
        </w:rPr>
        <w:t>/作用机理）</w:t>
      </w:r>
      <w:r>
        <w:rPr>
          <w:rFonts w:hint="eastAsia" w:ascii="仿宋_GB2312" w:eastAsia="仿宋_GB2312"/>
          <w:sz w:val="32"/>
          <w:szCs w:val="32"/>
        </w:rPr>
        <w:t>、结构组成、产品制造材料或与人体接触部分的制造材料、性能要求、灭菌</w:t>
      </w:r>
      <w:r>
        <w:rPr>
          <w:rFonts w:ascii="仿宋_GB2312" w:eastAsia="仿宋_GB2312"/>
          <w:sz w:val="32"/>
          <w:szCs w:val="32"/>
        </w:rPr>
        <w:t>/消毒方式</w:t>
      </w:r>
      <w:r>
        <w:rPr>
          <w:rFonts w:hint="eastAsia" w:ascii="仿宋_GB2312" w:eastAsia="仿宋_GB2312"/>
          <w:sz w:val="32"/>
          <w:szCs w:val="32"/>
        </w:rPr>
        <w:t>、</w:t>
      </w:r>
      <w:r>
        <w:rPr>
          <w:rFonts w:hint="eastAsia" w:ascii="仿宋_GB2312" w:hAnsi="仿宋" w:eastAsia="仿宋_GB2312" w:cs="仿宋"/>
          <w:sz w:val="32"/>
          <w:szCs w:val="32"/>
        </w:rPr>
        <w:t>适用范围及使用方法等，对比的内容应能说明与《目录》所述产品具有等同性。</w:t>
      </w:r>
    </w:p>
    <w:p w14:paraId="685E67AA">
      <w:pPr>
        <w:spacing w:line="520" w:lineRule="exact"/>
        <w:ind w:firstLine="640" w:firstLineChars="200"/>
        <w:rPr>
          <w:rFonts w:ascii="仿宋_GB2312" w:eastAsia="仿宋_GB2312"/>
          <w:sz w:val="32"/>
          <w:szCs w:val="32"/>
        </w:rPr>
      </w:pPr>
      <w:r>
        <w:rPr>
          <w:rFonts w:hint="eastAsia" w:ascii="仿宋_GB2312" w:eastAsia="仿宋_GB2312"/>
          <w:sz w:val="32"/>
          <w:szCs w:val="32"/>
        </w:rPr>
        <w:t>若申报产品与与《目录》中已获准境内注册医疗器械对比差异性存在“基本等同”或“不同”，则应说明差异产生的原因，提交证明性材料证明存在的差异不对产品安全性、有效性及质量可控性造成影响。</w:t>
      </w:r>
    </w:p>
    <w:p w14:paraId="69613DE5">
      <w:pPr>
        <w:spacing w:line="520" w:lineRule="exact"/>
        <w:ind w:firstLine="640" w:firstLineChars="200"/>
        <w:rPr>
          <w:rFonts w:ascii="仿宋_GB2312" w:eastAsia="仿宋_GB2312"/>
          <w:sz w:val="32"/>
          <w:szCs w:val="32"/>
        </w:rPr>
      </w:pPr>
      <w:r>
        <w:rPr>
          <w:rFonts w:hint="eastAsia" w:ascii="仿宋_GB2312" w:eastAsia="仿宋_GB2312"/>
          <w:sz w:val="32"/>
          <w:szCs w:val="32"/>
        </w:rPr>
        <w:t>若无法证明申报产品与《目录》产品具有等同性，则应按照《医疗器械临床评价技术审查指导原则》的要求通过同品种医疗器械临床试验或临床使用获得的数据或进行临床试验开展临床评价工作，提供符合要求的临床评价资料。</w:t>
      </w:r>
    </w:p>
    <w:p w14:paraId="6251894A">
      <w:pPr>
        <w:spacing w:line="520" w:lineRule="exact"/>
        <w:ind w:firstLine="640" w:firstLineChars="200"/>
        <w:rPr>
          <w:rFonts w:ascii="楷体_GB2312" w:eastAsia="楷体_GB2312"/>
          <w:sz w:val="32"/>
          <w:szCs w:val="32"/>
        </w:rPr>
      </w:pPr>
      <w:r>
        <w:rPr>
          <w:rFonts w:hint="eastAsia" w:ascii="楷体_GB2312" w:eastAsia="楷体_GB2312"/>
          <w:sz w:val="32"/>
          <w:szCs w:val="32"/>
        </w:rPr>
        <w:t>（十三）产品的不良事件历史记录</w:t>
      </w:r>
    </w:p>
    <w:p w14:paraId="5F60D250">
      <w:pPr>
        <w:spacing w:line="520" w:lineRule="exact"/>
        <w:ind w:firstLine="640" w:firstLineChars="200"/>
        <w:rPr>
          <w:rFonts w:ascii="仿宋_GB2312" w:eastAsia="仿宋_GB2312"/>
          <w:sz w:val="32"/>
          <w:szCs w:val="32"/>
        </w:rPr>
      </w:pPr>
      <w:r>
        <w:rPr>
          <w:rFonts w:hint="eastAsia" w:ascii="仿宋_GB2312" w:eastAsia="仿宋_GB2312"/>
          <w:sz w:val="32"/>
          <w:szCs w:val="32"/>
        </w:rPr>
        <w:t>申报人应收集同类产品的不良事件资料，以及各国监管机构发布的不良事件资料库中相应不良事件数据。可以产品名称为方向开展医疗器械不良事件查询，通过在已选择的数据库的检索页面输入预期要进行查询的医疗器械产品名称，例如使用美国FDA的MAUDE数据库，可输入“</w:t>
      </w:r>
      <w:r>
        <w:rPr>
          <w:rFonts w:ascii="仿宋_GB2312" w:eastAsia="仿宋_GB2312"/>
          <w:sz w:val="32"/>
          <w:szCs w:val="32"/>
        </w:rPr>
        <w:t>Mesh Nebulizer</w:t>
      </w:r>
      <w:r>
        <w:rPr>
          <w:rFonts w:hint="eastAsia" w:ascii="仿宋_GB2312" w:eastAsia="仿宋_GB2312"/>
          <w:sz w:val="32"/>
          <w:szCs w:val="32"/>
        </w:rPr>
        <w:t>s”</w:t>
      </w:r>
      <w:r>
        <w:rPr>
          <w:rFonts w:ascii="仿宋_GB2312" w:eastAsia="仿宋_GB2312"/>
          <w:sz w:val="32"/>
          <w:szCs w:val="32"/>
        </w:rPr>
        <w:t>，通过限制检索时间进行相关产品不良事件信息收集。</w:t>
      </w:r>
    </w:p>
    <w:p w14:paraId="62EECF6D">
      <w:pPr>
        <w:spacing w:line="520" w:lineRule="exact"/>
        <w:ind w:firstLine="640" w:firstLineChars="200"/>
        <w:rPr>
          <w:rFonts w:ascii="仿宋_GB2312" w:eastAsia="仿宋_GB2312"/>
          <w:sz w:val="32"/>
          <w:szCs w:val="32"/>
        </w:rPr>
      </w:pPr>
      <w:r>
        <w:rPr>
          <w:rFonts w:hint="eastAsia" w:ascii="仿宋_GB2312" w:eastAsia="仿宋_GB2312"/>
          <w:sz w:val="32"/>
          <w:szCs w:val="32"/>
        </w:rPr>
        <w:t>可以检索公开发布的不良事件信息如下：</w:t>
      </w:r>
    </w:p>
    <w:p w14:paraId="5C19522D">
      <w:pPr>
        <w:spacing w:line="520" w:lineRule="exact"/>
        <w:ind w:firstLine="640" w:firstLineChars="200"/>
        <w:rPr>
          <w:rFonts w:ascii="仿宋_GB2312" w:eastAsia="仿宋_GB2312"/>
          <w:sz w:val="32"/>
          <w:szCs w:val="32"/>
        </w:rPr>
      </w:pPr>
      <w:r>
        <w:rPr>
          <w:rFonts w:hint="eastAsia" w:ascii="仿宋_GB2312" w:eastAsia="仿宋_GB2312"/>
          <w:sz w:val="32"/>
          <w:szCs w:val="32"/>
        </w:rPr>
        <w:t>1.国家药品不良反应监测中心发布的《医疗器械不良事件信息通报》及《医疗器械警戒快讯》。</w:t>
      </w:r>
    </w:p>
    <w:p w14:paraId="37E5C547">
      <w:pPr>
        <w:spacing w:line="520" w:lineRule="exact"/>
        <w:ind w:firstLine="640" w:firstLineChars="200"/>
        <w:rPr>
          <w:rFonts w:ascii="仿宋_GB2312" w:eastAsia="仿宋_GB2312"/>
          <w:sz w:val="32"/>
          <w:szCs w:val="32"/>
        </w:rPr>
      </w:pPr>
      <w:r>
        <w:rPr>
          <w:rFonts w:hint="eastAsia" w:ascii="仿宋_GB2312" w:eastAsia="仿宋_GB2312"/>
          <w:sz w:val="32"/>
          <w:szCs w:val="32"/>
        </w:rPr>
        <w:t>2.美国不良事件查询数据库</w:t>
      </w:r>
      <w:r>
        <w:rPr>
          <w:rFonts w:ascii="仿宋_GB2312" w:eastAsia="仿宋_GB2312"/>
          <w:sz w:val="32"/>
          <w:szCs w:val="32"/>
        </w:rPr>
        <w:t>MAUDE</w:t>
      </w:r>
      <w:r>
        <w:rPr>
          <w:rFonts w:hint="eastAsia" w:ascii="仿宋_GB2312" w:eastAsia="仿宋_GB2312"/>
          <w:sz w:val="32"/>
          <w:szCs w:val="32"/>
        </w:rPr>
        <w:t>、召回查询数据库</w:t>
      </w:r>
      <w:r>
        <w:rPr>
          <w:rFonts w:ascii="仿宋_GB2312" w:eastAsia="仿宋_GB2312"/>
          <w:sz w:val="32"/>
          <w:szCs w:val="32"/>
        </w:rPr>
        <w:t>Recall</w:t>
      </w:r>
      <w:r>
        <w:rPr>
          <w:rFonts w:hint="eastAsia" w:ascii="仿宋_GB2312" w:eastAsia="仿宋_GB2312"/>
          <w:sz w:val="32"/>
          <w:szCs w:val="32"/>
        </w:rPr>
        <w:t>及按年份查询警告信（</w:t>
      </w:r>
      <w:r>
        <w:rPr>
          <w:rFonts w:ascii="仿宋_GB2312" w:eastAsia="仿宋_GB2312"/>
          <w:sz w:val="32"/>
          <w:szCs w:val="32"/>
        </w:rPr>
        <w:t>warning letter）</w:t>
      </w:r>
      <w:r>
        <w:rPr>
          <w:rFonts w:hint="eastAsia" w:ascii="仿宋_GB2312" w:eastAsia="仿宋_GB2312"/>
          <w:sz w:val="32"/>
          <w:szCs w:val="32"/>
        </w:rPr>
        <w:t>。</w:t>
      </w:r>
    </w:p>
    <w:p w14:paraId="03EA8E53">
      <w:pPr>
        <w:spacing w:line="520" w:lineRule="exact"/>
        <w:ind w:firstLine="640" w:firstLineChars="200"/>
        <w:rPr>
          <w:rFonts w:ascii="仿宋_GB2312" w:eastAsia="仿宋_GB2312"/>
          <w:sz w:val="32"/>
          <w:szCs w:val="32"/>
        </w:rPr>
      </w:pPr>
      <w:r>
        <w:rPr>
          <w:rFonts w:hint="eastAsia" w:ascii="仿宋_GB2312" w:eastAsia="仿宋_GB2312"/>
          <w:sz w:val="32"/>
          <w:szCs w:val="32"/>
        </w:rPr>
        <w:t>3. 英国医疗器械警报（</w:t>
      </w:r>
      <w:r>
        <w:rPr>
          <w:rFonts w:ascii="仿宋_GB2312" w:eastAsia="仿宋_GB2312"/>
          <w:sz w:val="32"/>
          <w:szCs w:val="32"/>
        </w:rPr>
        <w:t>MHRA）</w:t>
      </w:r>
      <w:r>
        <w:rPr>
          <w:rFonts w:hint="eastAsia" w:ascii="仿宋_GB2312" w:eastAsia="仿宋_GB2312"/>
          <w:sz w:val="32"/>
          <w:szCs w:val="32"/>
        </w:rPr>
        <w:t>。</w:t>
      </w:r>
    </w:p>
    <w:p w14:paraId="1396E6B7">
      <w:pPr>
        <w:spacing w:line="520" w:lineRule="exact"/>
        <w:ind w:firstLine="640" w:firstLineChars="200"/>
        <w:rPr>
          <w:rFonts w:ascii="仿宋_GB2312" w:eastAsia="仿宋_GB2312"/>
          <w:sz w:val="32"/>
          <w:szCs w:val="32"/>
        </w:rPr>
      </w:pPr>
      <w:r>
        <w:rPr>
          <w:rFonts w:hint="eastAsia" w:ascii="仿宋_GB2312" w:eastAsia="仿宋_GB2312"/>
          <w:sz w:val="32"/>
          <w:szCs w:val="32"/>
        </w:rPr>
        <w:t>4.加拿大召回与警戒（</w:t>
      </w:r>
      <w:r>
        <w:rPr>
          <w:rFonts w:ascii="仿宋_GB2312" w:eastAsia="仿宋_GB2312"/>
          <w:sz w:val="32"/>
          <w:szCs w:val="32"/>
        </w:rPr>
        <w:t>Search recalls and safety alerts</w:t>
      </w:r>
      <w:r>
        <w:rPr>
          <w:rFonts w:hint="eastAsia" w:ascii="仿宋_GB2312" w:eastAsia="仿宋_GB2312"/>
          <w:sz w:val="32"/>
          <w:szCs w:val="32"/>
        </w:rPr>
        <w:t>）。</w:t>
      </w:r>
    </w:p>
    <w:p w14:paraId="7ABC8371">
      <w:pPr>
        <w:spacing w:line="52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 xml:space="preserve">. </w:t>
      </w:r>
      <w:r>
        <w:rPr>
          <w:rFonts w:hint="eastAsia" w:ascii="仿宋_GB2312" w:eastAsia="仿宋_GB2312"/>
          <w:sz w:val="32"/>
          <w:szCs w:val="32"/>
        </w:rPr>
        <w:t>澳大利亚</w:t>
      </w:r>
      <w:r>
        <w:rPr>
          <w:rFonts w:ascii="仿宋_GB2312" w:eastAsia="仿宋_GB2312"/>
          <w:sz w:val="32"/>
          <w:szCs w:val="32"/>
        </w:rPr>
        <w:t>TGA</w:t>
      </w:r>
      <w:r>
        <w:rPr>
          <w:rFonts w:hint="eastAsia" w:ascii="仿宋_GB2312" w:eastAsia="仿宋_GB2312"/>
          <w:sz w:val="32"/>
          <w:szCs w:val="32"/>
        </w:rPr>
        <w:t>不良事件（</w:t>
      </w:r>
      <w:r>
        <w:rPr>
          <w:rFonts w:ascii="仿宋_GB2312" w:eastAsia="仿宋_GB2312"/>
          <w:sz w:val="32"/>
          <w:szCs w:val="32"/>
        </w:rPr>
        <w:t>Database of Adverse Event Notifications - medical devices</w:t>
      </w:r>
      <w:r>
        <w:rPr>
          <w:rFonts w:hint="eastAsia" w:ascii="仿宋_GB2312" w:eastAsia="仿宋_GB2312"/>
          <w:sz w:val="32"/>
          <w:szCs w:val="32"/>
        </w:rPr>
        <w:t>）、召回（</w:t>
      </w:r>
      <w:r>
        <w:rPr>
          <w:rFonts w:ascii="仿宋_GB2312" w:eastAsia="仿宋_GB2312"/>
          <w:sz w:val="32"/>
          <w:szCs w:val="32"/>
        </w:rPr>
        <w:t>System for Australian Recall Actions</w:t>
      </w:r>
      <w:r>
        <w:rPr>
          <w:rFonts w:hint="eastAsia" w:ascii="仿宋_GB2312" w:eastAsia="仿宋_GB2312"/>
          <w:sz w:val="32"/>
          <w:szCs w:val="32"/>
        </w:rPr>
        <w:t>）及警戒（</w:t>
      </w:r>
      <w:r>
        <w:rPr>
          <w:rFonts w:ascii="仿宋_GB2312" w:eastAsia="仿宋_GB2312"/>
          <w:sz w:val="32"/>
          <w:szCs w:val="32"/>
        </w:rPr>
        <w:t>All alerts</w:t>
      </w:r>
      <w:r>
        <w:rPr>
          <w:rFonts w:hint="eastAsia" w:ascii="仿宋_GB2312" w:eastAsia="仿宋_GB2312"/>
          <w:sz w:val="32"/>
          <w:szCs w:val="32"/>
        </w:rPr>
        <w:t>）。</w:t>
      </w:r>
    </w:p>
    <w:p w14:paraId="01AF21A0">
      <w:pPr>
        <w:spacing w:line="520" w:lineRule="exact"/>
        <w:ind w:firstLine="640" w:firstLineChars="200"/>
        <w:rPr>
          <w:rFonts w:ascii="仿宋_GB2312" w:eastAsia="仿宋_GB2312"/>
          <w:bCs/>
          <w:sz w:val="32"/>
          <w:szCs w:val="32"/>
        </w:rPr>
      </w:pPr>
      <w:r>
        <w:rPr>
          <w:rFonts w:hint="eastAsia" w:ascii="仿宋_GB2312" w:eastAsia="仿宋_GB2312"/>
          <w:sz w:val="32"/>
          <w:szCs w:val="32"/>
        </w:rPr>
        <w:t>6. 日本</w:t>
      </w:r>
      <w:r>
        <w:rPr>
          <w:rFonts w:hint="eastAsia" w:ascii="仿宋_GB2312" w:eastAsia="仿宋_GB2312"/>
          <w:bCs/>
          <w:sz w:val="32"/>
          <w:szCs w:val="32"/>
        </w:rPr>
        <w:t>PMDA。</w:t>
      </w:r>
    </w:p>
    <w:p w14:paraId="56FD00DE">
      <w:pPr>
        <w:spacing w:line="520" w:lineRule="exact"/>
        <w:ind w:firstLine="640" w:firstLineChars="200"/>
        <w:rPr>
          <w:rFonts w:ascii="仿宋_GB2312" w:eastAsia="仿宋_GB2312"/>
          <w:sz w:val="32"/>
          <w:szCs w:val="32"/>
        </w:rPr>
      </w:pPr>
      <w:r>
        <w:rPr>
          <w:rFonts w:ascii="仿宋_GB2312" w:eastAsia="仿宋_GB2312"/>
          <w:bCs/>
          <w:sz w:val="32"/>
          <w:szCs w:val="32"/>
        </w:rPr>
        <w:t xml:space="preserve">7. </w:t>
      </w:r>
      <w:r>
        <w:rPr>
          <w:rFonts w:hint="eastAsia" w:ascii="仿宋_GB2312" w:eastAsia="仿宋_GB2312"/>
          <w:bCs/>
          <w:sz w:val="32"/>
          <w:szCs w:val="32"/>
        </w:rPr>
        <w:t>德国</w:t>
      </w:r>
      <w:r>
        <w:rPr>
          <w:rFonts w:ascii="仿宋_GB2312" w:eastAsia="仿宋_GB2312"/>
          <w:bCs/>
          <w:sz w:val="32"/>
          <w:szCs w:val="32"/>
        </w:rPr>
        <w:t>BfArM</w:t>
      </w:r>
      <w:r>
        <w:rPr>
          <w:rFonts w:hint="eastAsia" w:ascii="仿宋_GB2312" w:eastAsia="仿宋_GB2312"/>
          <w:bCs/>
          <w:sz w:val="32"/>
          <w:szCs w:val="32"/>
        </w:rPr>
        <w:t>。</w:t>
      </w:r>
    </w:p>
    <w:p w14:paraId="31F7C4B1">
      <w:pPr>
        <w:spacing w:line="520" w:lineRule="exact"/>
        <w:ind w:firstLine="640" w:firstLineChars="200"/>
        <w:rPr>
          <w:rFonts w:ascii="楷体_GB2312" w:eastAsia="楷体_GB2312"/>
          <w:sz w:val="32"/>
          <w:szCs w:val="32"/>
        </w:rPr>
      </w:pPr>
      <w:r>
        <w:rPr>
          <w:rFonts w:hint="eastAsia" w:ascii="楷体_GB2312" w:eastAsia="楷体_GB2312"/>
          <w:sz w:val="32"/>
          <w:szCs w:val="32"/>
        </w:rPr>
        <w:t>（十四）产品说明书和标签要求</w:t>
      </w:r>
    </w:p>
    <w:p w14:paraId="42E443B9">
      <w:pPr>
        <w:spacing w:line="520" w:lineRule="exact"/>
        <w:ind w:firstLine="640" w:firstLineChars="200"/>
        <w:rPr>
          <w:rFonts w:ascii="仿宋_GB2312" w:eastAsia="仿宋_GB2312"/>
          <w:sz w:val="32"/>
          <w:szCs w:val="32"/>
        </w:rPr>
      </w:pPr>
      <w:r>
        <w:rPr>
          <w:rFonts w:hint="eastAsia" w:ascii="仿宋_GB2312" w:eastAsia="仿宋_GB2312"/>
          <w:sz w:val="32"/>
          <w:szCs w:val="32"/>
        </w:rPr>
        <w:t>1.说明书和最小销售单元标签内容应符合《医疗器械说明书和标签管理规定》（国家食品药品监督管理总局令第</w:t>
      </w:r>
      <w:r>
        <w:rPr>
          <w:rFonts w:ascii="仿宋_GB2312" w:eastAsia="仿宋_GB2312"/>
          <w:sz w:val="32"/>
          <w:szCs w:val="32"/>
        </w:rPr>
        <w:t>6号）、GB 9706.1—2007《医用电气设备 第1部分：安全通用要求》及YY 0505—2012《医用电气设备 第1-2部分:安全通用要求 并列标准:电磁兼容 要求和试验》等相关标准的规定，</w:t>
      </w:r>
      <w:r>
        <w:rPr>
          <w:rFonts w:hint="eastAsia" w:ascii="仿宋_GB2312" w:eastAsia="仿宋_GB2312"/>
          <w:sz w:val="32"/>
          <w:szCs w:val="32"/>
        </w:rPr>
        <w:t>申请人需</w:t>
      </w:r>
      <w:r>
        <w:rPr>
          <w:rFonts w:ascii="仿宋_GB2312" w:eastAsia="仿宋_GB2312"/>
          <w:sz w:val="32"/>
          <w:szCs w:val="32"/>
        </w:rPr>
        <w:t>重点关注以下内容：</w:t>
      </w:r>
    </w:p>
    <w:p w14:paraId="5D1F26F9">
      <w:pPr>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产品技术要求的主要性能指标是否已在说明书中给出完整的说明</w:t>
      </w:r>
      <w:r>
        <w:rPr>
          <w:rFonts w:hint="eastAsia" w:ascii="仿宋_GB2312" w:eastAsia="仿宋_GB2312"/>
          <w:sz w:val="32"/>
          <w:szCs w:val="32"/>
        </w:rPr>
        <w:t>；是否公示各雾化档位及连接状态的雾粒空气动力学特性，</w:t>
      </w:r>
      <w:r>
        <w:rPr>
          <w:rFonts w:ascii="仿宋_GB2312" w:eastAsia="仿宋_GB2312"/>
          <w:sz w:val="32"/>
          <w:szCs w:val="32"/>
        </w:rPr>
        <w:t>包括所使用</w:t>
      </w:r>
      <w:r>
        <w:rPr>
          <w:rFonts w:hint="eastAsia" w:ascii="仿宋_GB2312" w:eastAsia="仿宋_GB2312"/>
          <w:sz w:val="32"/>
          <w:szCs w:val="32"/>
        </w:rPr>
        <w:t>检测</w:t>
      </w:r>
      <w:r>
        <w:rPr>
          <w:rFonts w:ascii="仿宋_GB2312" w:eastAsia="仿宋_GB2312"/>
          <w:sz w:val="32"/>
          <w:szCs w:val="32"/>
        </w:rPr>
        <w:t>方法</w:t>
      </w:r>
      <w:r>
        <w:rPr>
          <w:rFonts w:hint="eastAsia" w:ascii="仿宋_GB2312" w:eastAsia="仿宋_GB2312"/>
          <w:sz w:val="32"/>
          <w:szCs w:val="32"/>
        </w:rPr>
        <w:t>及检测时雾化的溶液成分和温度、湿度</w:t>
      </w:r>
      <w:r>
        <w:rPr>
          <w:rFonts w:ascii="仿宋_GB2312" w:eastAsia="仿宋_GB2312"/>
          <w:sz w:val="32"/>
          <w:szCs w:val="32"/>
        </w:rPr>
        <w:t>。</w:t>
      </w:r>
    </w:p>
    <w:p w14:paraId="2E837050">
      <w:pPr>
        <w:spacing w:line="52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）推荐使用的最大和最小药液承载量；使用时的最大倾斜角度；可以使用及限制使用的药物</w:t>
      </w:r>
      <w:r>
        <w:rPr>
          <w:rFonts w:ascii="仿宋_GB2312" w:eastAsia="仿宋_GB2312"/>
          <w:sz w:val="32"/>
          <w:szCs w:val="32"/>
        </w:rPr>
        <w:t>。</w:t>
      </w:r>
    </w:p>
    <w:p w14:paraId="4A5FA1F4">
      <w:pPr>
        <w:spacing w:line="52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）产品是否可以与呼吸机或麻醉机联合使用，</w:t>
      </w:r>
      <w:r>
        <w:rPr>
          <w:rFonts w:ascii="仿宋_GB2312" w:eastAsia="仿宋_GB2312"/>
          <w:sz w:val="32"/>
          <w:szCs w:val="32"/>
        </w:rPr>
        <w:t>若可</w:t>
      </w:r>
      <w:r>
        <w:rPr>
          <w:rFonts w:hint="eastAsia" w:ascii="仿宋_GB2312" w:eastAsia="仿宋_GB2312"/>
          <w:sz w:val="32"/>
          <w:szCs w:val="32"/>
        </w:rPr>
        <w:t>以</w:t>
      </w:r>
      <w:r>
        <w:rPr>
          <w:rFonts w:ascii="仿宋_GB2312" w:eastAsia="仿宋_GB2312"/>
          <w:sz w:val="32"/>
          <w:szCs w:val="32"/>
        </w:rPr>
        <w:t>联合使用，则应</w:t>
      </w:r>
      <w:r>
        <w:rPr>
          <w:rFonts w:hint="eastAsia" w:ascii="仿宋_GB2312" w:eastAsia="仿宋_GB2312"/>
          <w:sz w:val="32"/>
          <w:szCs w:val="32"/>
        </w:rPr>
        <w:t>有</w:t>
      </w:r>
      <w:r>
        <w:rPr>
          <w:rFonts w:ascii="仿宋_GB2312" w:eastAsia="仿宋_GB2312"/>
          <w:sz w:val="32"/>
          <w:szCs w:val="32"/>
        </w:rPr>
        <w:t>相关注意事项的提示</w:t>
      </w:r>
      <w:r>
        <w:rPr>
          <w:rFonts w:hint="eastAsia" w:ascii="仿宋_GB2312" w:eastAsia="仿宋_GB2312"/>
          <w:sz w:val="32"/>
          <w:szCs w:val="32"/>
        </w:rPr>
        <w:t>。</w:t>
      </w:r>
    </w:p>
    <w:p w14:paraId="525466A8">
      <w:pPr>
        <w:spacing w:line="52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）若所用附件采用PVC材料制造，应说明该产品的材料及其增塑剂成分（如DEHP），并提示临床医护人员考虑其风险，建议临床医护人员对高风险人群使用替代产品；若</w:t>
      </w:r>
      <w:r>
        <w:rPr>
          <w:rFonts w:ascii="仿宋_GB2312" w:eastAsia="仿宋_GB2312"/>
          <w:sz w:val="32"/>
          <w:szCs w:val="32"/>
        </w:rPr>
        <w:t>产品中具有</w:t>
      </w:r>
      <w:r>
        <w:rPr>
          <w:rFonts w:hint="eastAsia" w:ascii="仿宋_GB2312" w:eastAsia="仿宋_GB2312"/>
          <w:sz w:val="32"/>
          <w:szCs w:val="32"/>
        </w:rPr>
        <w:t>含有天然橡胶胶乳的部件，则应进行</w:t>
      </w:r>
      <w:r>
        <w:rPr>
          <w:rFonts w:ascii="仿宋_GB2312" w:eastAsia="仿宋_GB2312"/>
          <w:sz w:val="32"/>
          <w:szCs w:val="32"/>
        </w:rPr>
        <w:t>明示</w:t>
      </w:r>
      <w:r>
        <w:rPr>
          <w:rFonts w:hint="eastAsia" w:ascii="仿宋_GB2312" w:eastAsia="仿宋_GB2312"/>
          <w:sz w:val="32"/>
          <w:szCs w:val="32"/>
        </w:rPr>
        <w:t>。</w:t>
      </w:r>
    </w:p>
    <w:p w14:paraId="27077482">
      <w:pPr>
        <w:spacing w:line="52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若雾化器使用一次性电池，应警告一段时间内不可能使用设备时必须取出这些电池；若配有可充电电池，应有如何安全使用和保养的说明；若可以使用特殊电源供电、为内部电池充电或直接驱动设备，应规定其使用的外部电源需符合的要求。</w:t>
      </w:r>
    </w:p>
    <w:p w14:paraId="409FFB72">
      <w:pPr>
        <w:spacing w:line="52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6</w:t>
      </w:r>
      <w:r>
        <w:rPr>
          <w:rFonts w:hint="eastAsia" w:ascii="仿宋_GB2312" w:eastAsia="仿宋_GB2312"/>
          <w:sz w:val="32"/>
          <w:szCs w:val="32"/>
        </w:rPr>
        <w:t>）若与人体接触的附件及贮液容器可重复使用，应公示其清洗、消毒方式；若该附件一次性使用则应描述相关标识及用后的产品处理情况。</w:t>
      </w:r>
    </w:p>
    <w:p w14:paraId="122AFE84">
      <w:pPr>
        <w:spacing w:line="52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7</w:t>
      </w:r>
      <w:r>
        <w:rPr>
          <w:rFonts w:hint="eastAsia" w:ascii="仿宋_GB2312" w:eastAsia="仿宋_GB2312"/>
          <w:sz w:val="32"/>
          <w:szCs w:val="32"/>
        </w:rPr>
        <w:t>）若与人体接触的附件及贮液容器仅限同一个人使用应描述其风险及处理方法；若多人使用应描述其风险及处理方法。</w:t>
      </w:r>
    </w:p>
    <w:p w14:paraId="7E1F5C33">
      <w:pPr>
        <w:spacing w:line="520" w:lineRule="exact"/>
        <w:ind w:firstLine="640" w:firstLineChars="200"/>
        <w:rPr>
          <w:rFonts w:ascii="仿宋_GB2312" w:eastAsia="仿宋_GB2312"/>
          <w:sz w:val="32"/>
          <w:szCs w:val="32"/>
        </w:rPr>
      </w:pPr>
      <w:r>
        <w:rPr>
          <w:rFonts w:hint="eastAsia" w:ascii="仿宋_GB2312" w:eastAsia="仿宋_GB2312"/>
          <w:sz w:val="32"/>
          <w:szCs w:val="32"/>
        </w:rPr>
        <w:t>（8）明示可更换部件的更换方法，若带有雾化装置的液体容器可更换，应说明本机是否带有频率扫描功能，以使产雾原件准确工作在其谐振频率下。</w:t>
      </w:r>
    </w:p>
    <w:p w14:paraId="27219917">
      <w:pPr>
        <w:spacing w:line="520" w:lineRule="exact"/>
        <w:ind w:firstLine="640" w:firstLineChars="200"/>
        <w:rPr>
          <w:rFonts w:ascii="仿宋_GB2312" w:eastAsia="仿宋_GB2312"/>
          <w:sz w:val="32"/>
          <w:szCs w:val="32"/>
        </w:rPr>
      </w:pPr>
      <w:r>
        <w:rPr>
          <w:rFonts w:hint="eastAsia" w:ascii="仿宋_GB2312" w:eastAsia="仿宋_GB2312"/>
          <w:sz w:val="32"/>
          <w:szCs w:val="32"/>
        </w:rPr>
        <w:t>（9）使用时雾化器</w:t>
      </w:r>
      <w:r>
        <w:rPr>
          <w:rFonts w:ascii="仿宋_GB2312" w:eastAsia="仿宋_GB2312"/>
          <w:sz w:val="32"/>
          <w:szCs w:val="32"/>
        </w:rPr>
        <w:t>的持握方式</w:t>
      </w:r>
      <w:r>
        <w:rPr>
          <w:rFonts w:hint="eastAsia" w:ascii="仿宋_GB2312" w:eastAsia="仿宋_GB2312"/>
          <w:sz w:val="32"/>
          <w:szCs w:val="32"/>
        </w:rPr>
        <w:t>、</w:t>
      </w:r>
      <w:r>
        <w:rPr>
          <w:rFonts w:ascii="仿宋_GB2312" w:eastAsia="仿宋_GB2312"/>
          <w:sz w:val="32"/>
          <w:szCs w:val="32"/>
        </w:rPr>
        <w:t>空间方位</w:t>
      </w:r>
      <w:r>
        <w:rPr>
          <w:rFonts w:hint="eastAsia" w:ascii="仿宋_GB2312" w:eastAsia="仿宋_GB2312"/>
          <w:sz w:val="32"/>
          <w:szCs w:val="32"/>
        </w:rPr>
        <w:t>，</w:t>
      </w:r>
      <w:r>
        <w:rPr>
          <w:rFonts w:ascii="仿宋_GB2312" w:eastAsia="仿宋_GB2312"/>
          <w:sz w:val="32"/>
          <w:szCs w:val="32"/>
        </w:rPr>
        <w:t>使用者身体的姿势及呼吸的方法</w:t>
      </w:r>
      <w:r>
        <w:rPr>
          <w:rFonts w:hint="eastAsia" w:ascii="仿宋_GB2312" w:eastAsia="仿宋_GB2312"/>
          <w:sz w:val="32"/>
          <w:szCs w:val="32"/>
        </w:rPr>
        <w:t>；使用</w:t>
      </w:r>
      <w:r>
        <w:rPr>
          <w:rFonts w:ascii="仿宋_GB2312" w:eastAsia="仿宋_GB2312"/>
          <w:sz w:val="32"/>
          <w:szCs w:val="32"/>
        </w:rPr>
        <w:t>雾化</w:t>
      </w:r>
      <w:r>
        <w:rPr>
          <w:rFonts w:hint="eastAsia" w:ascii="仿宋_GB2312" w:eastAsia="仿宋_GB2312"/>
          <w:sz w:val="32"/>
          <w:szCs w:val="32"/>
        </w:rPr>
        <w:t>器</w:t>
      </w:r>
      <w:r>
        <w:rPr>
          <w:rFonts w:ascii="仿宋_GB2312" w:eastAsia="仿宋_GB2312"/>
          <w:sz w:val="32"/>
          <w:szCs w:val="32"/>
        </w:rPr>
        <w:t>前不宜涂抹油性面</w:t>
      </w:r>
      <w:r>
        <w:rPr>
          <w:rFonts w:hint="eastAsia" w:ascii="仿宋_GB2312" w:eastAsia="仿宋_GB2312"/>
          <w:sz w:val="32"/>
          <w:szCs w:val="32"/>
        </w:rPr>
        <w:t>膏、清洁口腔分泌物和食物残渣</w:t>
      </w:r>
      <w:r>
        <w:rPr>
          <w:rFonts w:ascii="仿宋_GB2312" w:eastAsia="仿宋_GB2312"/>
          <w:sz w:val="32"/>
          <w:szCs w:val="32"/>
        </w:rPr>
        <w:t>，</w:t>
      </w:r>
      <w:r>
        <w:rPr>
          <w:rFonts w:hint="eastAsia" w:ascii="仿宋_GB2312" w:eastAsia="仿宋_GB2312"/>
          <w:sz w:val="32"/>
          <w:szCs w:val="32"/>
        </w:rPr>
        <w:t>建议的</w:t>
      </w:r>
      <w:r>
        <w:rPr>
          <w:rFonts w:ascii="仿宋_GB2312" w:eastAsia="仿宋_GB2312"/>
          <w:sz w:val="32"/>
          <w:szCs w:val="32"/>
        </w:rPr>
        <w:t>进</w:t>
      </w:r>
      <w:r>
        <w:rPr>
          <w:rFonts w:hint="eastAsia" w:ascii="仿宋_GB2312" w:eastAsia="仿宋_GB2312"/>
          <w:sz w:val="32"/>
          <w:szCs w:val="32"/>
        </w:rPr>
        <w:t>食和</w:t>
      </w:r>
      <w:r>
        <w:rPr>
          <w:rFonts w:ascii="仿宋_GB2312" w:eastAsia="仿宋_GB2312"/>
          <w:sz w:val="32"/>
          <w:szCs w:val="32"/>
        </w:rPr>
        <w:t>使用间隔</w:t>
      </w:r>
      <w:r>
        <w:rPr>
          <w:rFonts w:hint="eastAsia" w:ascii="仿宋_GB2312" w:eastAsia="仿宋_GB2312"/>
          <w:sz w:val="32"/>
          <w:szCs w:val="32"/>
        </w:rPr>
        <w:t>，</w:t>
      </w:r>
      <w:r>
        <w:rPr>
          <w:rFonts w:ascii="仿宋_GB2312" w:eastAsia="仿宋_GB2312"/>
          <w:sz w:val="32"/>
          <w:szCs w:val="32"/>
        </w:rPr>
        <w:t>使用后及时清洗面部</w:t>
      </w:r>
      <w:r>
        <w:rPr>
          <w:rFonts w:hint="eastAsia" w:ascii="仿宋_GB2312" w:eastAsia="仿宋_GB2312"/>
          <w:sz w:val="32"/>
          <w:szCs w:val="32"/>
        </w:rPr>
        <w:t>等</w:t>
      </w:r>
      <w:r>
        <w:rPr>
          <w:rFonts w:ascii="仿宋_GB2312" w:eastAsia="仿宋_GB2312"/>
          <w:sz w:val="32"/>
          <w:szCs w:val="32"/>
        </w:rPr>
        <w:t>提示信息。</w:t>
      </w:r>
    </w:p>
    <w:p w14:paraId="0762FDFB">
      <w:pPr>
        <w:spacing w:line="52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10</w:t>
      </w:r>
      <w:r>
        <w:rPr>
          <w:rFonts w:hint="eastAsia" w:ascii="仿宋_GB2312" w:eastAsia="仿宋_GB2312"/>
          <w:sz w:val="32"/>
          <w:szCs w:val="32"/>
        </w:rPr>
        <w:t>）</w:t>
      </w:r>
      <w:r>
        <w:rPr>
          <w:rFonts w:ascii="仿宋_GB2312" w:eastAsia="仿宋_GB2312"/>
          <w:sz w:val="32"/>
          <w:szCs w:val="32"/>
        </w:rPr>
        <w:t>常见故障及排除方法</w:t>
      </w:r>
      <w:r>
        <w:rPr>
          <w:rFonts w:hint="eastAsia" w:ascii="仿宋_GB2312" w:eastAsia="仿宋_GB2312"/>
          <w:sz w:val="32"/>
          <w:szCs w:val="32"/>
        </w:rPr>
        <w:t>，</w:t>
      </w:r>
      <w:r>
        <w:rPr>
          <w:rFonts w:ascii="仿宋_GB2312" w:eastAsia="仿宋_GB2312"/>
          <w:sz w:val="32"/>
          <w:szCs w:val="32"/>
        </w:rPr>
        <w:t>如雾化意外停止的处理方法。</w:t>
      </w:r>
    </w:p>
    <w:p w14:paraId="45BEE6DC">
      <w:pPr>
        <w:spacing w:line="52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11）</w:t>
      </w:r>
      <w:r>
        <w:rPr>
          <w:rFonts w:hint="eastAsia" w:ascii="仿宋_GB2312" w:eastAsia="仿宋_GB2312"/>
          <w:sz w:val="32"/>
          <w:szCs w:val="32"/>
        </w:rPr>
        <w:t>应</w:t>
      </w:r>
      <w:r>
        <w:rPr>
          <w:rFonts w:ascii="仿宋_GB2312" w:eastAsia="仿宋_GB2312"/>
          <w:sz w:val="32"/>
          <w:szCs w:val="32"/>
        </w:rPr>
        <w:t>按照</w:t>
      </w:r>
      <w:r>
        <w:rPr>
          <w:rFonts w:hint="eastAsia" w:ascii="仿宋_GB2312" w:eastAsia="仿宋_GB2312"/>
          <w:sz w:val="32"/>
          <w:szCs w:val="32"/>
        </w:rPr>
        <w:t>《</w:t>
      </w:r>
      <w:r>
        <w:rPr>
          <w:rFonts w:ascii="仿宋_GB2312" w:eastAsia="仿宋_GB2312"/>
          <w:sz w:val="32"/>
          <w:szCs w:val="32"/>
        </w:rPr>
        <w:tab/>
      </w:r>
      <w:r>
        <w:rPr>
          <w:rFonts w:ascii="仿宋_GB2312" w:eastAsia="仿宋_GB2312"/>
          <w:sz w:val="32"/>
          <w:szCs w:val="32"/>
        </w:rPr>
        <w:t>医疗器械软件注册技术审查指导原则》要求</w:t>
      </w:r>
      <w:r>
        <w:rPr>
          <w:rFonts w:hint="eastAsia" w:ascii="仿宋_GB2312" w:eastAsia="仿宋_GB2312"/>
          <w:sz w:val="32"/>
          <w:szCs w:val="32"/>
        </w:rPr>
        <w:t>在</w:t>
      </w:r>
      <w:r>
        <w:rPr>
          <w:rFonts w:ascii="仿宋_GB2312" w:eastAsia="仿宋_GB2312"/>
          <w:sz w:val="32"/>
          <w:szCs w:val="32"/>
        </w:rPr>
        <w:t>说明书中</w:t>
      </w:r>
      <w:r>
        <w:rPr>
          <w:rFonts w:hint="eastAsia" w:ascii="仿宋_GB2312" w:eastAsia="仿宋_GB2312"/>
          <w:sz w:val="32"/>
          <w:szCs w:val="32"/>
        </w:rPr>
        <w:t>明示相关</w:t>
      </w:r>
      <w:r>
        <w:rPr>
          <w:rFonts w:ascii="仿宋_GB2312" w:eastAsia="仿宋_GB2312"/>
          <w:sz w:val="32"/>
          <w:szCs w:val="32"/>
        </w:rPr>
        <w:t>内容</w:t>
      </w:r>
      <w:r>
        <w:rPr>
          <w:rFonts w:hint="eastAsia" w:ascii="仿宋_GB2312" w:eastAsia="仿宋_GB2312"/>
          <w:sz w:val="32"/>
          <w:szCs w:val="32"/>
        </w:rPr>
        <w:t>；《医疗器械网络安全注册技术审查指导原则</w:t>
      </w:r>
      <w:r>
        <w:rPr>
          <w:rFonts w:ascii="仿宋_GB2312" w:eastAsia="仿宋_GB2312"/>
          <w:sz w:val="32"/>
          <w:szCs w:val="32"/>
        </w:rPr>
        <w:t>》</w:t>
      </w:r>
      <w:r>
        <w:rPr>
          <w:rFonts w:hint="eastAsia" w:ascii="仿宋_GB2312" w:eastAsia="仿宋_GB2312"/>
          <w:sz w:val="32"/>
          <w:szCs w:val="32"/>
        </w:rPr>
        <w:t>若</w:t>
      </w:r>
      <w:r>
        <w:rPr>
          <w:rFonts w:ascii="仿宋_GB2312" w:eastAsia="仿宋_GB2312"/>
          <w:sz w:val="32"/>
          <w:szCs w:val="32"/>
        </w:rPr>
        <w:t>适用，</w:t>
      </w:r>
      <w:r>
        <w:rPr>
          <w:rFonts w:hint="eastAsia" w:ascii="仿宋_GB2312" w:eastAsia="仿宋_GB2312"/>
          <w:sz w:val="32"/>
          <w:szCs w:val="32"/>
        </w:rPr>
        <w:t>应满足</w:t>
      </w:r>
      <w:r>
        <w:rPr>
          <w:rFonts w:ascii="仿宋_GB2312" w:eastAsia="仿宋_GB2312"/>
          <w:sz w:val="32"/>
          <w:szCs w:val="32"/>
        </w:rPr>
        <w:t>其对说明书的要求。</w:t>
      </w:r>
    </w:p>
    <w:p w14:paraId="14400089">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12）</w:t>
      </w:r>
      <w:r>
        <w:rPr>
          <w:rFonts w:hint="eastAsia" w:ascii="仿宋_GB2312" w:eastAsia="仿宋_GB2312"/>
          <w:sz w:val="32"/>
          <w:szCs w:val="32"/>
        </w:rPr>
        <w:t>使用不同于检测</w:t>
      </w:r>
      <w:r>
        <w:rPr>
          <w:rFonts w:ascii="仿宋_GB2312" w:eastAsia="仿宋_GB2312"/>
          <w:sz w:val="32"/>
          <w:szCs w:val="32"/>
        </w:rPr>
        <w:t>时</w:t>
      </w:r>
      <w:r>
        <w:rPr>
          <w:rFonts w:hint="eastAsia" w:ascii="仿宋_GB2312" w:eastAsia="仿宋_GB2312"/>
          <w:sz w:val="32"/>
          <w:szCs w:val="32"/>
        </w:rPr>
        <w:t>的溶液、悬浮液或乳液的声明，特别是悬浮液和</w:t>
      </w:r>
      <w:r>
        <w:rPr>
          <w:rFonts w:ascii="仿宋_GB2312" w:eastAsia="仿宋_GB2312"/>
          <w:sz w:val="32"/>
          <w:szCs w:val="32"/>
        </w:rPr>
        <w:t>/或高粘度溶液可以改变</w:t>
      </w:r>
      <w:r>
        <w:rPr>
          <w:rFonts w:hint="eastAsia" w:ascii="仿宋_GB2312" w:eastAsia="仿宋_GB2312"/>
          <w:sz w:val="32"/>
          <w:szCs w:val="32"/>
        </w:rPr>
        <w:t>粒径分布曲线，其</w:t>
      </w:r>
      <w:r>
        <w:rPr>
          <w:rFonts w:ascii="仿宋_GB2312" w:eastAsia="仿宋_GB2312"/>
          <w:sz w:val="32"/>
          <w:szCs w:val="32"/>
        </w:rPr>
        <w:t>中位粒径</w:t>
      </w:r>
      <w:r>
        <w:rPr>
          <w:rFonts w:hint="eastAsia" w:ascii="仿宋_GB2312" w:eastAsia="仿宋_GB2312"/>
          <w:sz w:val="32"/>
          <w:szCs w:val="32"/>
        </w:rPr>
        <w:t>或</w:t>
      </w:r>
      <w:r>
        <w:rPr>
          <w:rFonts w:ascii="仿宋_GB2312" w:eastAsia="仿宋_GB2312"/>
          <w:sz w:val="32"/>
          <w:szCs w:val="32"/>
        </w:rPr>
        <w:t>空气中值动力直径（MMAD）、</w:t>
      </w:r>
      <w:r>
        <w:rPr>
          <w:rFonts w:hint="eastAsia" w:ascii="仿宋_GB2312" w:eastAsia="仿宋_GB2312"/>
          <w:sz w:val="32"/>
          <w:szCs w:val="32"/>
        </w:rPr>
        <w:t>雾化率</w:t>
      </w:r>
      <w:r>
        <w:rPr>
          <w:rFonts w:ascii="仿宋_GB2312" w:eastAsia="仿宋_GB2312"/>
          <w:sz w:val="32"/>
          <w:szCs w:val="32"/>
        </w:rPr>
        <w:t>率这些值会不同于制造商公开的值</w:t>
      </w:r>
      <w:r>
        <w:rPr>
          <w:rFonts w:hint="eastAsia" w:ascii="仿宋_GB2312" w:eastAsia="仿宋_GB2312"/>
          <w:sz w:val="32"/>
          <w:szCs w:val="32"/>
        </w:rPr>
        <w:t>。</w:t>
      </w:r>
    </w:p>
    <w:p w14:paraId="090A5CB6">
      <w:pPr>
        <w:spacing w:line="52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设备除最小销售单元标签外，设备外壳上应有铭牌，铭牌内容除应符合</w:t>
      </w:r>
      <w:r>
        <w:rPr>
          <w:rFonts w:ascii="仿宋_GB2312" w:eastAsia="仿宋_GB2312"/>
          <w:sz w:val="32"/>
          <w:szCs w:val="32"/>
        </w:rPr>
        <w:t>GB 9706.1—2007《医用电气设备 第1部分：安全通用要求》及YY 0505—2012《医用电气设备 第1-2部分:安全通用要求 并列标准:电磁兼容 要求和试验》</w:t>
      </w:r>
      <w:r>
        <w:rPr>
          <w:rFonts w:hint="eastAsia" w:ascii="仿宋_GB2312" w:eastAsia="仿宋_GB2312"/>
          <w:sz w:val="32"/>
          <w:szCs w:val="32"/>
        </w:rPr>
        <w:t>对设备外部标识</w:t>
      </w:r>
      <w:r>
        <w:rPr>
          <w:rFonts w:ascii="仿宋_GB2312" w:eastAsia="仿宋_GB2312"/>
          <w:sz w:val="32"/>
          <w:szCs w:val="32"/>
        </w:rPr>
        <w:t>的规定</w:t>
      </w:r>
      <w:r>
        <w:rPr>
          <w:rFonts w:hint="eastAsia" w:ascii="仿宋_GB2312" w:eastAsia="仿宋_GB2312"/>
          <w:sz w:val="32"/>
          <w:szCs w:val="32"/>
        </w:rPr>
        <w:t>外，其内容至少应符合《医疗器械说明书和标签管理规定》（国家食品药品监督管理总局令第</w:t>
      </w:r>
      <w:r>
        <w:rPr>
          <w:rFonts w:ascii="仿宋_GB2312" w:eastAsia="仿宋_GB2312"/>
          <w:sz w:val="32"/>
          <w:szCs w:val="32"/>
        </w:rPr>
        <w:t>6号）</w:t>
      </w:r>
      <w:r>
        <w:rPr>
          <w:rFonts w:hint="eastAsia" w:ascii="仿宋_GB2312" w:eastAsia="仿宋_GB2312"/>
          <w:sz w:val="32"/>
          <w:szCs w:val="32"/>
        </w:rPr>
        <w:t>第十三条所述“至少应当标注产品名称、型号、规格、生产日期和使用期限或者失效日期”，并在铭牌中明确“其他内容详见说明书”</w:t>
      </w:r>
    </w:p>
    <w:p w14:paraId="29F57A21">
      <w:pPr>
        <w:ind w:firstLine="640" w:firstLineChars="200"/>
        <w:jc w:val="lef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若网式雾化器设备最小销售单元内的贮液容器、吸入附件等单独包装，或准备作为配件单独出售（属于产品结构组成的一部分），其包装至少应包含注册人的名称、住所、联系方式，所在产品注册单元</w:t>
      </w:r>
      <w:r>
        <w:rPr>
          <w:rFonts w:ascii="仿宋_GB2312" w:eastAsia="仿宋_GB2312"/>
          <w:sz w:val="32"/>
          <w:szCs w:val="32"/>
        </w:rPr>
        <w:t>医疗器械注册证编号</w:t>
      </w:r>
      <w:r>
        <w:rPr>
          <w:rFonts w:hint="eastAsia" w:ascii="仿宋_GB2312" w:eastAsia="仿宋_GB2312"/>
          <w:sz w:val="32"/>
          <w:szCs w:val="32"/>
        </w:rPr>
        <w:t>，</w:t>
      </w:r>
      <w:r>
        <w:rPr>
          <w:rFonts w:ascii="仿宋_GB2312" w:eastAsia="仿宋_GB2312"/>
          <w:sz w:val="32"/>
          <w:szCs w:val="32"/>
        </w:rPr>
        <w:t>生产企业的名称、住所、生产地址、联系方式及生产许可证编号</w:t>
      </w:r>
      <w:r>
        <w:rPr>
          <w:rFonts w:hint="eastAsia" w:ascii="仿宋_GB2312" w:eastAsia="仿宋_GB2312"/>
          <w:sz w:val="32"/>
          <w:szCs w:val="32"/>
        </w:rPr>
        <w:t>，</w:t>
      </w:r>
      <w:r>
        <w:rPr>
          <w:rFonts w:ascii="仿宋_GB2312" w:eastAsia="仿宋_GB2312"/>
          <w:sz w:val="32"/>
          <w:szCs w:val="32"/>
        </w:rPr>
        <w:t>生产日期，使用期限或者失效日期</w:t>
      </w:r>
      <w:r>
        <w:rPr>
          <w:rFonts w:hint="eastAsia" w:ascii="仿宋_GB2312" w:eastAsia="仿宋_GB2312"/>
          <w:sz w:val="32"/>
          <w:szCs w:val="32"/>
        </w:rPr>
        <w:t>，是否无菌及灭菌方式；并应注明仅作为XXX（产品名称、型号规格）附件使用，使用及维护方式详见说明书的字样。</w:t>
      </w:r>
    </w:p>
    <w:p w14:paraId="7A2D384D">
      <w:pPr>
        <w:spacing w:line="520" w:lineRule="exact"/>
        <w:ind w:firstLine="640" w:firstLineChars="200"/>
        <w:rPr>
          <w:rFonts w:ascii="黑体" w:hAnsi="黑体" w:eastAsia="黑体"/>
          <w:sz w:val="32"/>
          <w:szCs w:val="32"/>
        </w:rPr>
      </w:pPr>
      <w:r>
        <w:rPr>
          <w:rFonts w:hint="eastAsia" w:ascii="仿宋_GB2312" w:hAnsi="黑体" w:eastAsia="仿宋_GB2312"/>
          <w:sz w:val="32"/>
          <w:szCs w:val="32"/>
        </w:rPr>
        <w:t>三</w:t>
      </w:r>
      <w:r>
        <w:rPr>
          <w:rFonts w:hint="eastAsia" w:ascii="黑体" w:hAnsi="黑体" w:eastAsia="黑体"/>
          <w:sz w:val="32"/>
          <w:szCs w:val="32"/>
        </w:rPr>
        <w:t>、审查关注点</w:t>
      </w:r>
    </w:p>
    <w:p w14:paraId="4D3372CC">
      <w:pPr>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rPr>
        <w:t xml:space="preserve"> </w:t>
      </w:r>
      <w:r>
        <w:rPr>
          <w:rFonts w:hint="eastAsia" w:ascii="仿宋_GB2312" w:eastAsia="仿宋_GB2312"/>
          <w:sz w:val="32"/>
          <w:szCs w:val="32"/>
        </w:rPr>
        <w:t>综述资料是否对产品工作原理、技术实现进行了详细描述。宜注意是否对雾化装置的产雾原理、物理特性及结构尺寸进行描述，如是否明确了雾化片的材质、网孔的数目，网孔沿轴向切面的形状尺寸，网孔区域的面积，网片的整体尺寸，压电陶瓷的整体尺寸，变幅杆的尺寸等。</w:t>
      </w:r>
    </w:p>
    <w:p w14:paraId="4E0925CB">
      <w:pPr>
        <w:spacing w:line="520" w:lineRule="exact"/>
        <w:ind w:firstLine="640" w:firstLineChars="200"/>
        <w:rPr>
          <w:rFonts w:ascii="仿宋_GB2312" w:eastAsia="仿宋_GB2312"/>
          <w:sz w:val="32"/>
          <w:szCs w:val="32"/>
        </w:rPr>
      </w:pPr>
      <w:r>
        <w:rPr>
          <w:rFonts w:hint="eastAsia" w:ascii="仿宋_GB2312" w:eastAsia="仿宋_GB2312"/>
          <w:sz w:val="32"/>
          <w:szCs w:val="32"/>
        </w:rPr>
        <w:t>研究资料是否对产品功能、性能及产品</w:t>
      </w:r>
      <w:r>
        <w:rPr>
          <w:rFonts w:ascii="仿宋_GB2312" w:eastAsia="仿宋_GB2312"/>
          <w:sz w:val="32"/>
          <w:szCs w:val="32"/>
        </w:rPr>
        <w:t>技术要求中的检验方法</w:t>
      </w:r>
      <w:r>
        <w:rPr>
          <w:rFonts w:hint="eastAsia" w:ascii="仿宋_GB2312" w:eastAsia="仿宋_GB2312"/>
          <w:sz w:val="32"/>
          <w:szCs w:val="32"/>
        </w:rPr>
        <w:t>进行了全面研究。</w:t>
      </w:r>
    </w:p>
    <w:p w14:paraId="344D8DEB">
      <w:pPr>
        <w:spacing w:line="520" w:lineRule="exact"/>
        <w:ind w:firstLine="640" w:firstLineChars="200"/>
        <w:rPr>
          <w:rFonts w:ascii="仿宋_GB2312" w:eastAsia="仿宋_GB2312"/>
          <w:color w:val="FF0000"/>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是否</w:t>
      </w:r>
      <w:r>
        <w:rPr>
          <w:rFonts w:ascii="仿宋_GB2312" w:eastAsia="仿宋_GB2312"/>
          <w:sz w:val="32"/>
          <w:szCs w:val="32"/>
        </w:rPr>
        <w:t>明确了进行雾化率</w:t>
      </w:r>
      <w:r>
        <w:rPr>
          <w:rFonts w:hint="eastAsia" w:ascii="仿宋_GB2312" w:eastAsia="仿宋_GB2312"/>
          <w:sz w:val="32"/>
          <w:szCs w:val="32"/>
        </w:rPr>
        <w:t>、雾粒空气动力学特性研究所用</w:t>
      </w:r>
      <w:r>
        <w:rPr>
          <w:rFonts w:ascii="仿宋_GB2312" w:eastAsia="仿宋_GB2312"/>
          <w:sz w:val="32"/>
          <w:szCs w:val="32"/>
        </w:rPr>
        <w:t>溶液</w:t>
      </w:r>
      <w:r>
        <w:rPr>
          <w:rFonts w:hint="eastAsia" w:ascii="仿宋_GB2312" w:eastAsia="仿宋_GB2312"/>
          <w:sz w:val="32"/>
          <w:szCs w:val="32"/>
        </w:rPr>
        <w:t>/混悬液</w:t>
      </w:r>
      <w:r>
        <w:rPr>
          <w:rFonts w:ascii="仿宋_GB2312" w:eastAsia="仿宋_GB2312"/>
          <w:sz w:val="32"/>
          <w:szCs w:val="32"/>
        </w:rPr>
        <w:t>的成分、浓度</w:t>
      </w:r>
      <w:r>
        <w:rPr>
          <w:rFonts w:hint="eastAsia" w:ascii="仿宋_GB2312" w:eastAsia="仿宋_GB2312"/>
          <w:sz w:val="32"/>
          <w:szCs w:val="32"/>
        </w:rPr>
        <w:t>。对</w:t>
      </w:r>
      <w:r>
        <w:rPr>
          <w:rFonts w:ascii="仿宋_GB2312" w:eastAsia="仿宋_GB2312"/>
          <w:sz w:val="32"/>
          <w:szCs w:val="32"/>
        </w:rPr>
        <w:t>雾化率的研究，宜采用</w:t>
      </w:r>
      <w:r>
        <w:rPr>
          <w:rFonts w:hint="eastAsia" w:ascii="仿宋_GB2312" w:eastAsia="仿宋_GB2312"/>
          <w:sz w:val="32"/>
          <w:szCs w:val="32"/>
        </w:rPr>
        <w:t>《</w:t>
      </w:r>
      <w:r>
        <w:rPr>
          <w:rFonts w:ascii="仿宋_GB2312" w:eastAsia="仿宋_GB2312"/>
          <w:sz w:val="32"/>
          <w:szCs w:val="32"/>
        </w:rPr>
        <w:t>中华人民共和国药典</w:t>
      </w:r>
      <w:r>
        <w:rPr>
          <w:rFonts w:hint="eastAsia" w:ascii="仿宋_GB2312" w:eastAsia="仿宋_GB2312"/>
          <w:sz w:val="32"/>
          <w:szCs w:val="32"/>
        </w:rPr>
        <w:t>》</w:t>
      </w:r>
      <w:r>
        <w:rPr>
          <w:rFonts w:ascii="仿宋_GB2312" w:eastAsia="仿宋_GB2312"/>
          <w:sz w:val="32"/>
          <w:szCs w:val="32"/>
        </w:rPr>
        <w:t>2020年版</w:t>
      </w:r>
      <w:r>
        <w:rPr>
          <w:rFonts w:hint="eastAsia" w:ascii="仿宋_GB2312" w:eastAsia="仿宋_GB2312"/>
          <w:sz w:val="32"/>
          <w:szCs w:val="32"/>
        </w:rPr>
        <w:t xml:space="preserve"> 四部，</w:t>
      </w:r>
      <w:r>
        <w:rPr>
          <w:rFonts w:ascii="仿宋_GB2312" w:eastAsia="仿宋_GB2312"/>
          <w:sz w:val="32"/>
          <w:szCs w:val="32"/>
        </w:rPr>
        <w:t>吸入制剂</w:t>
      </w:r>
      <w:r>
        <w:rPr>
          <w:rFonts w:hint="eastAsia" w:ascii="仿宋_GB2312" w:eastAsia="仿宋_GB2312"/>
          <w:sz w:val="32"/>
          <w:szCs w:val="32"/>
        </w:rPr>
        <w:t>项下</w:t>
      </w:r>
      <w:r>
        <w:rPr>
          <w:rFonts w:ascii="仿宋_GB2312" w:eastAsia="仿宋_GB2312"/>
          <w:sz w:val="32"/>
          <w:szCs w:val="32"/>
        </w:rPr>
        <w:t>“4.吸入液体制剂”</w:t>
      </w:r>
      <w:r>
        <w:rPr>
          <w:rFonts w:hint="eastAsia" w:ascii="仿宋_GB2312" w:eastAsia="仿宋_GB2312"/>
          <w:sz w:val="32"/>
          <w:szCs w:val="32"/>
        </w:rPr>
        <w:t>中“</w:t>
      </w:r>
      <w:r>
        <w:rPr>
          <w:rFonts w:ascii="仿宋_GB2312" w:eastAsia="仿宋_GB2312"/>
          <w:sz w:val="32"/>
          <w:szCs w:val="32"/>
        </w:rPr>
        <w:t>递送速率</w:t>
      </w:r>
      <w:r>
        <w:rPr>
          <w:rFonts w:hint="eastAsia" w:ascii="仿宋_GB2312" w:eastAsia="仿宋_GB2312"/>
          <w:sz w:val="32"/>
          <w:szCs w:val="32"/>
        </w:rPr>
        <w:t>和</w:t>
      </w:r>
      <w:r>
        <w:rPr>
          <w:rFonts w:ascii="仿宋_GB2312" w:eastAsia="仿宋_GB2312"/>
          <w:sz w:val="32"/>
          <w:szCs w:val="32"/>
        </w:rPr>
        <w:t>递送总量</w:t>
      </w:r>
      <w:r>
        <w:rPr>
          <w:rFonts w:hint="eastAsia" w:ascii="仿宋_GB2312" w:eastAsia="仿宋_GB2312"/>
          <w:sz w:val="32"/>
          <w:szCs w:val="32"/>
        </w:rPr>
        <w:t>”</w:t>
      </w:r>
      <w:r>
        <w:rPr>
          <w:rFonts w:ascii="仿宋_GB2312" w:eastAsia="仿宋_GB2312"/>
          <w:sz w:val="32"/>
          <w:szCs w:val="32"/>
        </w:rPr>
        <w:t>方法</w:t>
      </w:r>
      <w:r>
        <w:rPr>
          <w:rFonts w:hint="eastAsia" w:ascii="仿宋_GB2312" w:eastAsia="仿宋_GB2312"/>
          <w:sz w:val="32"/>
          <w:szCs w:val="32"/>
        </w:rPr>
        <w:t>进行</w:t>
      </w:r>
      <w:r>
        <w:rPr>
          <w:rFonts w:ascii="仿宋_GB2312" w:eastAsia="仿宋_GB2312"/>
          <w:sz w:val="32"/>
          <w:szCs w:val="32"/>
        </w:rPr>
        <w:t>测试。</w:t>
      </w:r>
      <w:r>
        <w:rPr>
          <w:rFonts w:hint="eastAsia" w:ascii="仿宋_GB2312" w:eastAsia="仿宋_GB2312"/>
          <w:sz w:val="32"/>
          <w:szCs w:val="32"/>
        </w:rPr>
        <w:t>所用溶液</w:t>
      </w:r>
      <w:r>
        <w:rPr>
          <w:rFonts w:ascii="仿宋_GB2312" w:eastAsia="仿宋_GB2312"/>
          <w:sz w:val="32"/>
          <w:szCs w:val="32"/>
        </w:rPr>
        <w:t>/混悬液成分、浓度不同</w:t>
      </w:r>
      <w:r>
        <w:rPr>
          <w:rFonts w:hint="eastAsia" w:ascii="仿宋_GB2312" w:eastAsia="仿宋_GB2312"/>
          <w:sz w:val="32"/>
          <w:szCs w:val="32"/>
        </w:rPr>
        <w:t>，对</w:t>
      </w:r>
      <w:r>
        <w:rPr>
          <w:rFonts w:ascii="仿宋_GB2312" w:eastAsia="仿宋_GB2312"/>
          <w:sz w:val="32"/>
          <w:szCs w:val="32"/>
        </w:rPr>
        <w:t>结果均会造成影响。</w:t>
      </w:r>
      <w:r>
        <w:rPr>
          <w:rFonts w:hint="eastAsia" w:ascii="仿宋_GB2312" w:eastAsia="仿宋_GB2312"/>
          <w:sz w:val="32"/>
          <w:szCs w:val="32"/>
        </w:rPr>
        <w:t>进行雾粒空气动力学特性研究</w:t>
      </w:r>
      <w:r>
        <w:rPr>
          <w:rFonts w:ascii="仿宋_GB2312" w:eastAsia="仿宋_GB2312"/>
          <w:sz w:val="32"/>
          <w:szCs w:val="32"/>
        </w:rPr>
        <w:t>也应注意上述问题。</w:t>
      </w:r>
      <w:r>
        <w:rPr>
          <w:rFonts w:hint="eastAsia" w:ascii="仿宋_GB2312" w:eastAsia="仿宋_GB2312"/>
          <w:sz w:val="32"/>
          <w:szCs w:val="32"/>
        </w:rPr>
        <w:t>可</w:t>
      </w:r>
      <w:r>
        <w:rPr>
          <w:rFonts w:ascii="仿宋_GB2312" w:eastAsia="仿宋_GB2312"/>
          <w:sz w:val="32"/>
          <w:szCs w:val="32"/>
        </w:rPr>
        <w:t>采用YY/T 1743—202</w:t>
      </w:r>
      <w:r>
        <w:rPr>
          <w:rFonts w:hint="eastAsia" w:ascii="仿宋_GB2312" w:eastAsia="仿宋_GB2312"/>
          <w:sz w:val="32"/>
          <w:szCs w:val="32"/>
        </w:rPr>
        <w:t>1</w:t>
      </w:r>
      <w:r>
        <w:rPr>
          <w:rFonts w:ascii="仿宋_GB2312" w:eastAsia="仿宋_GB2312"/>
          <w:sz w:val="32"/>
          <w:szCs w:val="32"/>
        </w:rPr>
        <w:t>《麻醉和呼吸设备 雾化系统和组件》4.2.1.2</w:t>
      </w:r>
      <w:r>
        <w:rPr>
          <w:rFonts w:hint="eastAsia" w:ascii="仿宋_GB2312" w:eastAsia="仿宋_GB2312"/>
          <w:sz w:val="32"/>
          <w:szCs w:val="32"/>
        </w:rPr>
        <w:t>所述</w:t>
      </w:r>
      <w:r>
        <w:rPr>
          <w:rFonts w:ascii="仿宋_GB2312" w:eastAsia="仿宋_GB2312"/>
          <w:sz w:val="32"/>
          <w:szCs w:val="32"/>
        </w:rPr>
        <w:t>溶液进行研究。</w:t>
      </w:r>
    </w:p>
    <w:p w14:paraId="655B158B">
      <w:pPr>
        <w:spacing w:line="520" w:lineRule="exact"/>
        <w:ind w:firstLine="640" w:firstLineChars="200"/>
        <w:rPr>
          <w:rFonts w:ascii="仿宋_GB2312" w:eastAsia="仿宋_GB2312"/>
          <w:sz w:val="32"/>
          <w:szCs w:val="32"/>
        </w:rPr>
      </w:pPr>
      <w:r>
        <w:rPr>
          <w:rFonts w:hint="eastAsia" w:ascii="仿宋_GB2312" w:eastAsia="仿宋_GB2312"/>
          <w:sz w:val="32"/>
          <w:szCs w:val="32"/>
        </w:rPr>
        <w:t>对</w:t>
      </w:r>
      <w:r>
        <w:rPr>
          <w:rFonts w:ascii="仿宋_GB2312" w:eastAsia="仿宋_GB2312"/>
          <w:sz w:val="32"/>
          <w:szCs w:val="32"/>
        </w:rPr>
        <w:t>雾化率</w:t>
      </w:r>
      <w:r>
        <w:rPr>
          <w:rFonts w:hint="eastAsia" w:ascii="仿宋_GB2312" w:eastAsia="仿宋_GB2312"/>
          <w:sz w:val="32"/>
          <w:szCs w:val="32"/>
        </w:rPr>
        <w:t>及雾粒空气动力学特性研究</w:t>
      </w:r>
      <w:r>
        <w:rPr>
          <w:rFonts w:ascii="仿宋_GB2312" w:eastAsia="仿宋_GB2312"/>
          <w:sz w:val="32"/>
          <w:szCs w:val="32"/>
        </w:rPr>
        <w:t>还应关注液体容器</w:t>
      </w:r>
      <w:r>
        <w:rPr>
          <w:rFonts w:hint="eastAsia" w:ascii="仿宋_GB2312" w:eastAsia="仿宋_GB2312"/>
          <w:sz w:val="32"/>
          <w:szCs w:val="32"/>
        </w:rPr>
        <w:t>内不同</w:t>
      </w:r>
      <w:r>
        <w:rPr>
          <w:rFonts w:ascii="仿宋_GB2312" w:eastAsia="仿宋_GB2312"/>
          <w:sz w:val="32"/>
          <w:szCs w:val="32"/>
        </w:rPr>
        <w:t>液体量</w:t>
      </w:r>
      <w:r>
        <w:rPr>
          <w:rFonts w:hint="eastAsia" w:ascii="仿宋_GB2312" w:eastAsia="仿宋_GB2312"/>
          <w:sz w:val="32"/>
          <w:szCs w:val="32"/>
        </w:rPr>
        <w:t>的</w:t>
      </w:r>
      <w:r>
        <w:rPr>
          <w:rFonts w:ascii="仿宋_GB2312" w:eastAsia="仿宋_GB2312"/>
          <w:sz w:val="32"/>
          <w:szCs w:val="32"/>
        </w:rPr>
        <w:t>影响，宜</w:t>
      </w:r>
      <w:r>
        <w:rPr>
          <w:rFonts w:hint="eastAsia" w:ascii="仿宋_GB2312" w:eastAsia="仿宋_GB2312"/>
          <w:sz w:val="32"/>
          <w:szCs w:val="32"/>
        </w:rPr>
        <w:t>进行液体</w:t>
      </w:r>
      <w:r>
        <w:rPr>
          <w:rFonts w:ascii="仿宋_GB2312" w:eastAsia="仿宋_GB2312"/>
          <w:sz w:val="32"/>
          <w:szCs w:val="32"/>
        </w:rPr>
        <w:t>注满、</w:t>
      </w:r>
      <w:r>
        <w:rPr>
          <w:rFonts w:hint="eastAsia" w:ascii="仿宋_GB2312" w:eastAsia="仿宋_GB2312"/>
          <w:sz w:val="32"/>
          <w:szCs w:val="32"/>
        </w:rPr>
        <w:t>剩余</w:t>
      </w:r>
      <w:r>
        <w:rPr>
          <w:rFonts w:ascii="仿宋_GB2312" w:eastAsia="仿宋_GB2312"/>
          <w:sz w:val="32"/>
          <w:szCs w:val="32"/>
        </w:rPr>
        <w:t>1/2</w:t>
      </w:r>
      <w:r>
        <w:rPr>
          <w:rFonts w:hint="eastAsia" w:ascii="仿宋_GB2312" w:eastAsia="仿宋_GB2312"/>
          <w:sz w:val="32"/>
          <w:szCs w:val="32"/>
        </w:rPr>
        <w:t>液体</w:t>
      </w:r>
      <w:r>
        <w:rPr>
          <w:rFonts w:ascii="仿宋_GB2312" w:eastAsia="仿宋_GB2312"/>
          <w:sz w:val="32"/>
          <w:szCs w:val="32"/>
        </w:rPr>
        <w:t>及液体</w:t>
      </w:r>
      <w:r>
        <w:rPr>
          <w:rFonts w:hint="eastAsia" w:ascii="仿宋_GB2312" w:eastAsia="仿宋_GB2312"/>
          <w:sz w:val="32"/>
          <w:szCs w:val="32"/>
        </w:rPr>
        <w:t>即将</w:t>
      </w:r>
      <w:r>
        <w:rPr>
          <w:rFonts w:ascii="仿宋_GB2312" w:eastAsia="仿宋_GB2312"/>
          <w:sz w:val="32"/>
          <w:szCs w:val="32"/>
        </w:rPr>
        <w:t>耗尽时</w:t>
      </w:r>
      <w:r>
        <w:rPr>
          <w:rFonts w:hint="eastAsia" w:ascii="仿宋_GB2312" w:eastAsia="仿宋_GB2312"/>
          <w:sz w:val="32"/>
          <w:szCs w:val="32"/>
        </w:rPr>
        <w:t>雾化率及雾粒空气动力学特性的</w:t>
      </w:r>
      <w:r>
        <w:rPr>
          <w:rFonts w:ascii="仿宋_GB2312" w:eastAsia="仿宋_GB2312"/>
          <w:sz w:val="32"/>
          <w:szCs w:val="32"/>
        </w:rPr>
        <w:t>研究。</w:t>
      </w:r>
    </w:p>
    <w:p w14:paraId="2F0F1921">
      <w:pPr>
        <w:spacing w:line="52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因</w:t>
      </w:r>
      <w:r>
        <w:rPr>
          <w:rFonts w:ascii="仿宋_GB2312" w:eastAsia="仿宋_GB2312"/>
          <w:sz w:val="32"/>
          <w:szCs w:val="32"/>
        </w:rPr>
        <w:t>国内获证上市的雾化吸入</w:t>
      </w:r>
      <w:r>
        <w:rPr>
          <w:rFonts w:hint="eastAsia" w:ascii="仿宋_GB2312" w:eastAsia="仿宋_GB2312"/>
          <w:sz w:val="32"/>
          <w:szCs w:val="32"/>
        </w:rPr>
        <w:t>药物品种</w:t>
      </w:r>
      <w:r>
        <w:rPr>
          <w:rFonts w:ascii="仿宋_GB2312" w:eastAsia="仿宋_GB2312"/>
          <w:sz w:val="32"/>
          <w:szCs w:val="32"/>
        </w:rPr>
        <w:t>较少，常见的</w:t>
      </w:r>
      <w:r>
        <w:rPr>
          <w:rFonts w:hint="eastAsia" w:ascii="仿宋_GB2312" w:eastAsia="仿宋_GB2312"/>
          <w:sz w:val="32"/>
          <w:szCs w:val="32"/>
        </w:rPr>
        <w:t>有吸入性糖皮质激素（布地奈德、丙酸倍氯米松和丙酸氟替卡松</w:t>
      </w:r>
      <w:r>
        <w:rPr>
          <w:rFonts w:ascii="仿宋_GB2312" w:eastAsia="仿宋_GB2312"/>
          <w:sz w:val="32"/>
          <w:szCs w:val="32"/>
        </w:rPr>
        <w:t>）</w:t>
      </w:r>
      <w:r>
        <w:rPr>
          <w:rFonts w:hint="eastAsia" w:ascii="仿宋_GB2312" w:eastAsia="仿宋_GB2312"/>
          <w:sz w:val="32"/>
          <w:szCs w:val="32"/>
        </w:rPr>
        <w:t>、短</w:t>
      </w:r>
      <w:r>
        <w:rPr>
          <w:rFonts w:ascii="仿宋_GB2312" w:eastAsia="仿宋_GB2312"/>
          <w:sz w:val="32"/>
          <w:szCs w:val="32"/>
        </w:rPr>
        <w:t xml:space="preserve"> 效 β2 受 体 激 动 剂</w:t>
      </w:r>
      <w:r>
        <w:rPr>
          <w:rFonts w:hint="eastAsia" w:ascii="仿宋_GB2312" w:eastAsia="仿宋_GB2312"/>
          <w:sz w:val="32"/>
          <w:szCs w:val="32"/>
        </w:rPr>
        <w:t>（特布他林、沙丁胺醇</w:t>
      </w:r>
      <w:r>
        <w:rPr>
          <w:rFonts w:ascii="仿宋_GB2312" w:eastAsia="仿宋_GB2312"/>
          <w:sz w:val="32"/>
          <w:szCs w:val="32"/>
        </w:rPr>
        <w:t>）</w:t>
      </w:r>
      <w:r>
        <w:rPr>
          <w:rFonts w:hint="eastAsia" w:ascii="仿宋_GB2312" w:eastAsia="仿宋_GB2312"/>
          <w:sz w:val="32"/>
          <w:szCs w:val="32"/>
        </w:rPr>
        <w:t>、短效胆碱</w:t>
      </w:r>
      <w:r>
        <w:rPr>
          <w:rFonts w:ascii="仿宋_GB2312" w:eastAsia="仿宋_GB2312"/>
          <w:sz w:val="32"/>
          <w:szCs w:val="32"/>
        </w:rPr>
        <w:t xml:space="preserve"> M 受 体 拮 抗 剂</w:t>
      </w:r>
      <w:r>
        <w:rPr>
          <w:rFonts w:hint="eastAsia" w:ascii="仿宋_GB2312" w:eastAsia="仿宋_GB2312"/>
          <w:sz w:val="32"/>
          <w:szCs w:val="32"/>
        </w:rPr>
        <w:t>（异丙托溴铵及其复方制剂</w:t>
      </w:r>
      <w:r>
        <w:rPr>
          <w:rFonts w:ascii="仿宋_GB2312" w:eastAsia="仿宋_GB2312"/>
          <w:sz w:val="32"/>
          <w:szCs w:val="32"/>
        </w:rPr>
        <w:t>）</w:t>
      </w:r>
      <w:r>
        <w:rPr>
          <w:rFonts w:hint="eastAsia" w:ascii="仿宋_GB2312" w:eastAsia="仿宋_GB2312"/>
          <w:sz w:val="32"/>
          <w:szCs w:val="32"/>
        </w:rPr>
        <w:t>和黏液溶解剂（乙酰半胱氨酸</w:t>
      </w:r>
      <w:r>
        <w:rPr>
          <w:rFonts w:ascii="仿宋_GB2312" w:eastAsia="仿宋_GB2312"/>
          <w:sz w:val="32"/>
          <w:szCs w:val="32"/>
        </w:rPr>
        <w:t>）</w:t>
      </w:r>
      <w:r>
        <w:rPr>
          <w:rFonts w:hint="eastAsia" w:ascii="仿宋_GB2312" w:eastAsia="仿宋_GB2312"/>
          <w:sz w:val="32"/>
          <w:szCs w:val="32"/>
        </w:rPr>
        <w:t>等，</w:t>
      </w:r>
      <w:r>
        <w:rPr>
          <w:rFonts w:ascii="仿宋_GB2312" w:eastAsia="仿宋_GB2312"/>
          <w:sz w:val="32"/>
          <w:szCs w:val="32"/>
        </w:rPr>
        <w:t>宜提供</w:t>
      </w:r>
      <w:r>
        <w:rPr>
          <w:rFonts w:hint="eastAsia" w:ascii="仿宋_GB2312" w:eastAsia="仿宋_GB2312"/>
          <w:sz w:val="32"/>
          <w:szCs w:val="32"/>
        </w:rPr>
        <w:t>对</w:t>
      </w:r>
      <w:r>
        <w:rPr>
          <w:rFonts w:ascii="仿宋_GB2312" w:eastAsia="仿宋_GB2312"/>
          <w:sz w:val="32"/>
          <w:szCs w:val="32"/>
        </w:rPr>
        <w:t>至少一种</w:t>
      </w:r>
      <w:r>
        <w:rPr>
          <w:rFonts w:hint="eastAsia" w:ascii="仿宋_GB2312" w:eastAsia="仿宋_GB2312"/>
          <w:sz w:val="32"/>
          <w:szCs w:val="32"/>
        </w:rPr>
        <w:t>吸入性</w:t>
      </w:r>
      <w:r>
        <w:rPr>
          <w:rFonts w:ascii="仿宋_GB2312" w:eastAsia="仿宋_GB2312"/>
          <w:sz w:val="32"/>
          <w:szCs w:val="32"/>
        </w:rPr>
        <w:t>糖皮质激素</w:t>
      </w:r>
      <w:r>
        <w:rPr>
          <w:rFonts w:hint="eastAsia" w:ascii="仿宋_GB2312" w:eastAsia="仿宋_GB2312"/>
          <w:sz w:val="32"/>
          <w:szCs w:val="32"/>
        </w:rPr>
        <w:t>、</w:t>
      </w:r>
      <w:r>
        <w:rPr>
          <w:rFonts w:ascii="仿宋_GB2312" w:eastAsia="仿宋_GB2312"/>
          <w:sz w:val="32"/>
          <w:szCs w:val="32"/>
        </w:rPr>
        <w:t>气管扩张剂及</w:t>
      </w:r>
      <w:r>
        <w:rPr>
          <w:rFonts w:hint="eastAsia" w:ascii="仿宋_GB2312" w:eastAsia="仿宋_GB2312"/>
          <w:sz w:val="32"/>
          <w:szCs w:val="32"/>
        </w:rPr>
        <w:t>黏液</w:t>
      </w:r>
      <w:r>
        <w:rPr>
          <w:rFonts w:ascii="仿宋_GB2312" w:eastAsia="仿宋_GB2312"/>
          <w:sz w:val="32"/>
          <w:szCs w:val="32"/>
        </w:rPr>
        <w:t>溶解剂</w:t>
      </w:r>
      <w:r>
        <w:rPr>
          <w:rFonts w:hint="eastAsia" w:ascii="仿宋_GB2312" w:eastAsia="仿宋_GB2312"/>
          <w:sz w:val="32"/>
          <w:szCs w:val="32"/>
        </w:rPr>
        <w:t>进行雾化率及雾粒空气动力学特性的</w:t>
      </w:r>
      <w:r>
        <w:rPr>
          <w:rFonts w:ascii="仿宋_GB2312" w:eastAsia="仿宋_GB2312"/>
          <w:sz w:val="32"/>
          <w:szCs w:val="32"/>
        </w:rPr>
        <w:t>研究。若</w:t>
      </w:r>
      <w:r>
        <w:rPr>
          <w:rFonts w:hint="eastAsia" w:ascii="仿宋_GB2312" w:eastAsia="仿宋_GB2312"/>
          <w:sz w:val="32"/>
          <w:szCs w:val="32"/>
        </w:rPr>
        <w:t>申报</w:t>
      </w:r>
      <w:r>
        <w:rPr>
          <w:rFonts w:ascii="仿宋_GB2312" w:eastAsia="仿宋_GB2312"/>
          <w:sz w:val="32"/>
          <w:szCs w:val="32"/>
        </w:rPr>
        <w:t>产品适用于儿童，则</w:t>
      </w:r>
      <w:r>
        <w:rPr>
          <w:rFonts w:hint="eastAsia" w:ascii="仿宋_GB2312" w:eastAsia="仿宋_GB2312"/>
          <w:sz w:val="32"/>
          <w:szCs w:val="32"/>
        </w:rPr>
        <w:t>研究</w:t>
      </w:r>
      <w:r>
        <w:rPr>
          <w:rFonts w:ascii="仿宋_GB2312" w:eastAsia="仿宋_GB2312"/>
          <w:sz w:val="32"/>
          <w:szCs w:val="32"/>
        </w:rPr>
        <w:t>所用的</w:t>
      </w:r>
      <w:r>
        <w:rPr>
          <w:rFonts w:hint="eastAsia" w:ascii="仿宋_GB2312" w:eastAsia="仿宋_GB2312"/>
          <w:sz w:val="32"/>
          <w:szCs w:val="32"/>
        </w:rPr>
        <w:t>吸入性糖皮质激素应</w:t>
      </w:r>
      <w:r>
        <w:rPr>
          <w:rFonts w:ascii="仿宋_GB2312" w:eastAsia="仿宋_GB2312"/>
          <w:sz w:val="32"/>
          <w:szCs w:val="32"/>
        </w:rPr>
        <w:t>使用布地奈德进行。</w:t>
      </w:r>
    </w:p>
    <w:p w14:paraId="4DA9576E">
      <w:pPr>
        <w:spacing w:line="520" w:lineRule="exact"/>
        <w:ind w:firstLine="640" w:firstLineChars="200"/>
        <w:rPr>
          <w:rFonts w:ascii="仿宋_GB2312" w:eastAsia="仿宋_GB2312"/>
          <w:color w:val="FF0000"/>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通常</w:t>
      </w:r>
      <w:r>
        <w:rPr>
          <w:rFonts w:ascii="仿宋_GB2312" w:eastAsia="仿宋_GB2312"/>
          <w:sz w:val="32"/>
          <w:szCs w:val="32"/>
        </w:rPr>
        <w:t>认为，</w:t>
      </w:r>
      <w:r>
        <w:rPr>
          <w:rFonts w:hint="eastAsia" w:ascii="仿宋_GB2312" w:eastAsia="仿宋_GB2312"/>
          <w:sz w:val="32"/>
          <w:szCs w:val="32"/>
        </w:rPr>
        <w:t>有效雾化颗粒直径应在</w:t>
      </w:r>
      <w:r>
        <w:rPr>
          <w:rFonts w:ascii="仿宋_GB2312" w:eastAsia="仿宋_GB2312"/>
          <w:sz w:val="32"/>
          <w:szCs w:val="32"/>
        </w:rPr>
        <w:t xml:space="preserve"> 0</w:t>
      </w: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μ</w:t>
      </w:r>
      <w:r>
        <w:rPr>
          <w:rFonts w:ascii="仿宋_GB2312" w:eastAsia="仿宋_GB2312"/>
          <w:sz w:val="32"/>
          <w:szCs w:val="32"/>
        </w:rPr>
        <w:t>m～10μm。其中粒径5</w:t>
      </w:r>
      <w:r>
        <w:rPr>
          <w:rFonts w:hint="eastAsia" w:ascii="仿宋_GB2312" w:eastAsia="仿宋_GB2312"/>
          <w:sz w:val="32"/>
          <w:szCs w:val="32"/>
        </w:rPr>
        <w:t>μ</w:t>
      </w:r>
      <w:r>
        <w:rPr>
          <w:rFonts w:ascii="仿宋_GB2312" w:eastAsia="仿宋_GB2312"/>
          <w:sz w:val="32"/>
          <w:szCs w:val="32"/>
        </w:rPr>
        <w:t>m～10</w:t>
      </w:r>
      <w:r>
        <w:rPr>
          <w:rFonts w:hint="eastAsia" w:ascii="仿宋_GB2312" w:eastAsia="仿宋_GB2312"/>
          <w:sz w:val="32"/>
          <w:szCs w:val="32"/>
        </w:rPr>
        <w:t>μ</w:t>
      </w:r>
      <w:r>
        <w:rPr>
          <w:rFonts w:ascii="仿宋_GB2312" w:eastAsia="仿宋_GB2312"/>
          <w:sz w:val="32"/>
          <w:szCs w:val="32"/>
        </w:rPr>
        <w:t>m的雾粒主要沉积于口咽部</w:t>
      </w:r>
      <w:r>
        <w:rPr>
          <w:rFonts w:hint="eastAsia" w:ascii="仿宋_GB2312" w:eastAsia="仿宋_GB2312"/>
          <w:sz w:val="32"/>
          <w:szCs w:val="32"/>
        </w:rPr>
        <w:t>,随</w:t>
      </w:r>
      <w:r>
        <w:rPr>
          <w:rFonts w:ascii="仿宋_GB2312" w:eastAsia="仿宋_GB2312"/>
          <w:sz w:val="32"/>
          <w:szCs w:val="32"/>
        </w:rPr>
        <w:t>吞咽进入人体，粒径3</w:t>
      </w:r>
      <w:r>
        <w:rPr>
          <w:rFonts w:hint="eastAsia" w:ascii="仿宋_GB2312" w:eastAsia="仿宋_GB2312"/>
          <w:sz w:val="32"/>
          <w:szCs w:val="32"/>
        </w:rPr>
        <w:t>μ</w:t>
      </w:r>
      <w:r>
        <w:rPr>
          <w:rFonts w:ascii="仿宋_GB2312" w:eastAsia="仿宋_GB2312"/>
          <w:sz w:val="32"/>
          <w:szCs w:val="32"/>
        </w:rPr>
        <w:t>m～＜5μm 的雾</w:t>
      </w:r>
      <w:r>
        <w:rPr>
          <w:rFonts w:hint="eastAsia" w:ascii="仿宋_GB2312" w:eastAsia="仿宋_GB2312"/>
          <w:sz w:val="32"/>
          <w:szCs w:val="32"/>
        </w:rPr>
        <w:t>粒主要沉积于肺部，粒径＜</w:t>
      </w:r>
      <w:r>
        <w:rPr>
          <w:rFonts w:ascii="仿宋_GB2312" w:eastAsia="仿宋_GB2312"/>
          <w:sz w:val="32"/>
          <w:szCs w:val="32"/>
        </w:rPr>
        <w:t>3μm的雾粒 50% ～ 60%沉</w:t>
      </w:r>
      <w:r>
        <w:rPr>
          <w:rFonts w:hint="eastAsia" w:ascii="仿宋_GB2312" w:eastAsia="仿宋_GB2312"/>
          <w:sz w:val="32"/>
          <w:szCs w:val="32"/>
        </w:rPr>
        <w:t>积于肺泡。其终端释放的雾化颗粒粒径分布和中位粒径应与其声称的适应症相一致。</w:t>
      </w:r>
    </w:p>
    <w:p w14:paraId="42E289D8">
      <w:pPr>
        <w:spacing w:line="52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《中华人民</w:t>
      </w:r>
      <w:r>
        <w:rPr>
          <w:rFonts w:ascii="仿宋_GB2312" w:eastAsia="仿宋_GB2312"/>
          <w:sz w:val="32"/>
          <w:szCs w:val="32"/>
        </w:rPr>
        <w:t>共和国药典</w:t>
      </w:r>
      <w:r>
        <w:rPr>
          <w:rFonts w:hint="eastAsia" w:ascii="仿宋_GB2312" w:eastAsia="仿宋_GB2312"/>
          <w:sz w:val="32"/>
          <w:szCs w:val="32"/>
        </w:rPr>
        <w:t>》</w:t>
      </w:r>
      <w:r>
        <w:rPr>
          <w:rFonts w:ascii="仿宋_GB2312" w:eastAsia="仿宋_GB2312"/>
          <w:sz w:val="32"/>
          <w:szCs w:val="32"/>
        </w:rPr>
        <w:t>、YY/T 1743—202</w:t>
      </w:r>
      <w:r>
        <w:rPr>
          <w:rFonts w:hint="eastAsia" w:ascii="仿宋_GB2312" w:eastAsia="仿宋_GB2312"/>
          <w:sz w:val="32"/>
          <w:szCs w:val="32"/>
        </w:rPr>
        <w:t>1《麻醉和呼吸设备</w:t>
      </w:r>
      <w:r>
        <w:rPr>
          <w:rFonts w:ascii="仿宋_GB2312" w:eastAsia="仿宋_GB2312"/>
          <w:sz w:val="32"/>
          <w:szCs w:val="32"/>
        </w:rPr>
        <w:t xml:space="preserve"> 雾化系统和组件》</w:t>
      </w:r>
      <w:r>
        <w:rPr>
          <w:rFonts w:hint="eastAsia" w:ascii="仿宋_GB2312" w:eastAsia="仿宋_GB2312"/>
          <w:sz w:val="32"/>
          <w:szCs w:val="32"/>
        </w:rPr>
        <w:t>认为</w:t>
      </w:r>
      <w:r>
        <w:rPr>
          <w:rFonts w:ascii="仿宋_GB2312" w:eastAsia="仿宋_GB2312"/>
          <w:sz w:val="32"/>
          <w:szCs w:val="32"/>
        </w:rPr>
        <w:t>对</w:t>
      </w:r>
      <w:r>
        <w:rPr>
          <w:rFonts w:hint="eastAsia" w:ascii="仿宋_GB2312" w:eastAsia="仿宋_GB2312"/>
          <w:sz w:val="32"/>
          <w:szCs w:val="32"/>
        </w:rPr>
        <w:t>雾粒空气动力学特性的研究应</w:t>
      </w:r>
      <w:r>
        <w:rPr>
          <w:rFonts w:ascii="仿宋_GB2312" w:eastAsia="仿宋_GB2312"/>
          <w:sz w:val="32"/>
          <w:szCs w:val="32"/>
        </w:rPr>
        <w:t>采用</w:t>
      </w:r>
      <w:r>
        <w:rPr>
          <w:rFonts w:hint="eastAsia" w:ascii="仿宋_GB2312" w:eastAsia="仿宋_GB2312"/>
          <w:sz w:val="32"/>
          <w:szCs w:val="32"/>
        </w:rPr>
        <w:t>串级冲击法原理的设备检测，</w:t>
      </w:r>
      <w:r>
        <w:rPr>
          <w:rFonts w:ascii="仿宋_GB2312" w:eastAsia="仿宋_GB2312"/>
          <w:sz w:val="32"/>
          <w:szCs w:val="32"/>
        </w:rPr>
        <w:t>因其能较好解决颗粒</w:t>
      </w:r>
      <w:r>
        <w:rPr>
          <w:rFonts w:hint="eastAsia" w:ascii="仿宋_GB2312" w:eastAsia="仿宋_GB2312"/>
          <w:sz w:val="32"/>
          <w:szCs w:val="32"/>
        </w:rPr>
        <w:t>液体蒸发</w:t>
      </w:r>
      <w:r>
        <w:rPr>
          <w:rFonts w:ascii="仿宋_GB2312" w:eastAsia="仿宋_GB2312"/>
          <w:sz w:val="32"/>
          <w:szCs w:val="32"/>
        </w:rPr>
        <w:t>对直接测定</w:t>
      </w:r>
      <w:r>
        <w:rPr>
          <w:rFonts w:hint="eastAsia" w:ascii="仿宋_GB2312" w:eastAsia="仿宋_GB2312"/>
          <w:sz w:val="32"/>
          <w:szCs w:val="32"/>
        </w:rPr>
        <w:t>雾粒</w:t>
      </w:r>
      <w:r>
        <w:rPr>
          <w:rFonts w:ascii="仿宋_GB2312" w:eastAsia="仿宋_GB2312"/>
          <w:sz w:val="32"/>
          <w:szCs w:val="32"/>
        </w:rPr>
        <w:t>体积的影响</w:t>
      </w:r>
      <w:r>
        <w:rPr>
          <w:rFonts w:hint="eastAsia" w:ascii="仿宋_GB2312" w:eastAsia="仿宋_GB2312"/>
          <w:sz w:val="32"/>
          <w:szCs w:val="32"/>
        </w:rPr>
        <w:t>，</w:t>
      </w:r>
      <w:r>
        <w:rPr>
          <w:rFonts w:ascii="仿宋_GB2312" w:eastAsia="仿宋_GB2312"/>
          <w:sz w:val="32"/>
          <w:szCs w:val="32"/>
        </w:rPr>
        <w:t>测量准确度较高，但考虑到国内现有仪器供应、检验检测机构</w:t>
      </w:r>
      <w:r>
        <w:rPr>
          <w:rFonts w:hint="eastAsia" w:ascii="仿宋_GB2312" w:eastAsia="仿宋_GB2312"/>
          <w:sz w:val="32"/>
          <w:szCs w:val="32"/>
        </w:rPr>
        <w:t>所用设备、</w:t>
      </w:r>
      <w:r>
        <w:rPr>
          <w:rFonts w:ascii="仿宋_GB2312" w:eastAsia="仿宋_GB2312"/>
          <w:sz w:val="32"/>
          <w:szCs w:val="32"/>
        </w:rPr>
        <w:t>生产企业</w:t>
      </w:r>
      <w:r>
        <w:rPr>
          <w:rFonts w:hint="eastAsia" w:ascii="仿宋_GB2312" w:eastAsia="仿宋_GB2312"/>
          <w:sz w:val="32"/>
          <w:szCs w:val="32"/>
        </w:rPr>
        <w:t>质量</w:t>
      </w:r>
      <w:r>
        <w:rPr>
          <w:rFonts w:ascii="仿宋_GB2312" w:eastAsia="仿宋_GB2312"/>
          <w:sz w:val="32"/>
          <w:szCs w:val="32"/>
        </w:rPr>
        <w:t>控制设备的易得性</w:t>
      </w:r>
      <w:r>
        <w:rPr>
          <w:rFonts w:hint="eastAsia" w:ascii="仿宋_GB2312" w:eastAsia="仿宋_GB2312"/>
          <w:sz w:val="32"/>
          <w:szCs w:val="32"/>
        </w:rPr>
        <w:t>及现有</w:t>
      </w:r>
      <w:r>
        <w:rPr>
          <w:rFonts w:ascii="仿宋_GB2312" w:eastAsia="仿宋_GB2312"/>
          <w:sz w:val="32"/>
          <w:szCs w:val="32"/>
        </w:rPr>
        <w:t>的雾化器强制性行业标准，</w:t>
      </w:r>
      <w:r>
        <w:rPr>
          <w:rFonts w:hint="eastAsia" w:ascii="仿宋_GB2312" w:eastAsia="仿宋_GB2312"/>
          <w:sz w:val="32"/>
          <w:szCs w:val="32"/>
        </w:rPr>
        <w:t>故</w:t>
      </w:r>
      <w:r>
        <w:rPr>
          <w:rFonts w:ascii="仿宋_GB2312" w:eastAsia="仿宋_GB2312"/>
          <w:sz w:val="32"/>
          <w:szCs w:val="32"/>
        </w:rPr>
        <w:t>仍保留</w:t>
      </w:r>
      <w:r>
        <w:rPr>
          <w:rFonts w:hint="eastAsia" w:ascii="仿宋_GB2312" w:eastAsia="仿宋_GB2312"/>
          <w:sz w:val="32"/>
          <w:szCs w:val="32"/>
        </w:rPr>
        <w:t>激光衍射法进行雾粒空气动力学特性研究</w:t>
      </w:r>
      <w:r>
        <w:rPr>
          <w:rFonts w:ascii="仿宋_GB2312" w:eastAsia="仿宋_GB2312"/>
          <w:sz w:val="32"/>
          <w:szCs w:val="32"/>
        </w:rPr>
        <w:t>。但</w:t>
      </w:r>
      <w:r>
        <w:rPr>
          <w:rFonts w:hint="eastAsia" w:ascii="仿宋_GB2312" w:eastAsia="仿宋_GB2312"/>
          <w:sz w:val="32"/>
          <w:szCs w:val="32"/>
        </w:rPr>
        <w:t>仍</w:t>
      </w:r>
      <w:r>
        <w:rPr>
          <w:rFonts w:ascii="仿宋_GB2312" w:eastAsia="仿宋_GB2312"/>
          <w:sz w:val="32"/>
          <w:szCs w:val="32"/>
        </w:rPr>
        <w:t>鼓励申请人使用</w:t>
      </w:r>
      <w:r>
        <w:rPr>
          <w:rFonts w:hint="eastAsia" w:ascii="仿宋_GB2312" w:eastAsia="仿宋_GB2312"/>
          <w:sz w:val="32"/>
          <w:szCs w:val="32"/>
        </w:rPr>
        <w:t>串级冲击法原理的设备检测进行</w:t>
      </w:r>
      <w:r>
        <w:rPr>
          <w:rFonts w:ascii="仿宋_GB2312" w:eastAsia="仿宋_GB2312"/>
          <w:sz w:val="32"/>
          <w:szCs w:val="32"/>
        </w:rPr>
        <w:t>检验。</w:t>
      </w:r>
    </w:p>
    <w:p w14:paraId="12110741">
      <w:pPr>
        <w:spacing w:line="52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若雾化器具有多档雾化率调节的功能，是否对每一档雾化率均进行了雾化率及雾粒空气动力学特性的研究；是否对连接吸入附件（包含最长连接路径）后雾化率及雾粒空气动力学特性的研究。</w:t>
      </w:r>
    </w:p>
    <w:p w14:paraId="6DB78478">
      <w:pPr>
        <w:spacing w:line="52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.是否对由企业进行的灭菌方法进行确认并提供确认记录；是否对由企业进行的微生物控制方式进行验证并提供验证记录；是否对说明书所述由使用者自行进行消毒方法的效果进行验证并提供验证记录。</w:t>
      </w:r>
    </w:p>
    <w:p w14:paraId="48A1DCE2">
      <w:pPr>
        <w:spacing w:line="52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是否对产品技术要求中所载的无菌检查法或微生物限度及控制检查法方法依据进行说明，无菌检查法检验按照中华人民共和国药典2020年版四部1101无菌检查法进行，微生物限度检查按照1105微生物限度监检查法进行，控制菌按照1106控制菌检查法进行；是否根据样品的特点，建立并验证样品的微生物检验方法，并提供验证记录。</w:t>
      </w:r>
    </w:p>
    <w:p w14:paraId="69F8C51F">
      <w:pPr>
        <w:spacing w:line="52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.是否对产品技术要求中所载化学检验浸提液的制备方法进行研究与验证，是否参照GB/T 14233.1-2008表1所述方法进行浸提液的制备；是否对环氧乙烷样品制备及检验方法进行研究并验证，并提供检验方法验证的记录，检验方法应采用GB/T 14233.1-2008中气相色谱法；是否对化学指标的值进行研究，明确制定的依据及验证记录。</w:t>
      </w:r>
    </w:p>
    <w:p w14:paraId="012D19FA">
      <w:pPr>
        <w:spacing w:line="520" w:lineRule="exact"/>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.产品的主要安全有关特征问题是否已识别，风险是否已经列举，并通过风险控制措施使产品的安全性在合理可接受的程度之内；安全信息及剩余风险是否已在说明书中完整公示。</w:t>
      </w:r>
    </w:p>
    <w:p w14:paraId="779F4D32">
      <w:pPr>
        <w:spacing w:line="520" w:lineRule="exact"/>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.说明书中必须告知用户的信息是否完整，如应明确本产品使用的环境、使用人群和限制使用的药物种类；应明确产品一次性使用部件的使用注意事项等。</w:t>
      </w:r>
    </w:p>
    <w:p w14:paraId="42042291">
      <w:pPr>
        <w:spacing w:line="520" w:lineRule="exact"/>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.产品中液体容器、接触药液的部件及与人体直接接触的部件应明确使用的材料，并且说明该材料是否添加了塑化剂、</w:t>
      </w:r>
      <w:r>
        <w:rPr>
          <w:rFonts w:ascii="仿宋_GB2312" w:eastAsia="仿宋_GB2312"/>
          <w:sz w:val="32"/>
          <w:szCs w:val="32"/>
        </w:rPr>
        <w:t>脱模剂</w:t>
      </w:r>
      <w:r>
        <w:rPr>
          <w:rFonts w:hint="eastAsia" w:ascii="仿宋_GB2312" w:eastAsia="仿宋_GB2312"/>
          <w:sz w:val="32"/>
          <w:szCs w:val="32"/>
        </w:rPr>
        <w:t>等加工助剂，若添加应说明其安全性并</w:t>
      </w:r>
      <w:r>
        <w:rPr>
          <w:rFonts w:ascii="仿宋_GB2312" w:eastAsia="仿宋_GB2312"/>
          <w:sz w:val="32"/>
          <w:szCs w:val="32"/>
        </w:rPr>
        <w:t>在说明书中公示</w:t>
      </w:r>
      <w:r>
        <w:rPr>
          <w:rFonts w:hint="eastAsia" w:ascii="仿宋_GB2312" w:eastAsia="仿宋_GB2312"/>
          <w:sz w:val="32"/>
          <w:szCs w:val="32"/>
        </w:rPr>
        <w:t>其风险</w:t>
      </w:r>
      <w:r>
        <w:rPr>
          <w:rFonts w:ascii="仿宋_GB2312" w:eastAsia="仿宋_GB2312"/>
          <w:sz w:val="32"/>
          <w:szCs w:val="32"/>
        </w:rPr>
        <w:t>信息</w:t>
      </w:r>
      <w:r>
        <w:rPr>
          <w:rFonts w:hint="eastAsia" w:ascii="仿宋_GB2312" w:eastAsia="仿宋_GB2312"/>
          <w:sz w:val="32"/>
          <w:szCs w:val="32"/>
        </w:rPr>
        <w:t>。</w:t>
      </w:r>
    </w:p>
    <w:p w14:paraId="00099B0B">
      <w:pPr>
        <w:ind w:firstLine="640" w:firstLineChars="200"/>
        <w:rPr>
          <w:rFonts w:ascii="仿宋_GB2312" w:eastAsia="仿宋_GB2312"/>
          <w:sz w:val="32"/>
          <w:szCs w:val="32"/>
        </w:rPr>
      </w:pPr>
    </w:p>
    <w:p w14:paraId="7ED84482">
      <w:pPr>
        <w:spacing w:line="520" w:lineRule="exact"/>
        <w:ind w:firstLine="640" w:firstLineChars="200"/>
        <w:rPr>
          <w:rFonts w:ascii="仿宋_GB2312" w:eastAsia="仿宋_GB2312"/>
          <w:color w:val="FF0000"/>
          <w:sz w:val="32"/>
          <w:szCs w:val="32"/>
        </w:rPr>
      </w:pPr>
    </w:p>
    <w:p w14:paraId="14CEF528">
      <w:pPr>
        <w:spacing w:line="520" w:lineRule="exact"/>
        <w:ind w:firstLine="640" w:firstLineChars="200"/>
        <w:rPr>
          <w:rFonts w:ascii="黑体" w:hAnsi="黑体" w:eastAsia="黑体"/>
          <w:sz w:val="32"/>
          <w:szCs w:val="32"/>
        </w:rPr>
      </w:pPr>
      <w:r>
        <w:rPr>
          <w:rFonts w:hint="eastAsia" w:ascii="黑体" w:hAnsi="黑体" w:eastAsia="黑体"/>
          <w:sz w:val="32"/>
          <w:szCs w:val="32"/>
        </w:rPr>
        <w:t>四、编写单位</w:t>
      </w:r>
    </w:p>
    <w:p w14:paraId="7159D405">
      <w:pPr>
        <w:spacing w:line="520" w:lineRule="exact"/>
        <w:ind w:firstLine="640" w:firstLineChars="200"/>
        <w:rPr>
          <w:rFonts w:ascii="仿宋_GB2312" w:eastAsia="仿宋_GB2312"/>
          <w:sz w:val="32"/>
          <w:szCs w:val="32"/>
        </w:rPr>
      </w:pPr>
      <w:r>
        <w:rPr>
          <w:rFonts w:hint="eastAsia" w:ascii="仿宋_GB2312" w:eastAsia="仿宋_GB2312"/>
          <w:sz w:val="32"/>
          <w:szCs w:val="32"/>
        </w:rPr>
        <w:t>内蒙古自治区药品检查中心</w:t>
      </w:r>
    </w:p>
    <w:p w14:paraId="4C73D54D">
      <w:pPr>
        <w:spacing w:line="520" w:lineRule="exact"/>
        <w:ind w:firstLine="640" w:firstLineChars="200"/>
        <w:rPr>
          <w:rFonts w:ascii="仿宋_GB2312" w:eastAsia="仿宋_GB2312"/>
          <w:sz w:val="32"/>
          <w:szCs w:val="32"/>
        </w:rPr>
      </w:pPr>
      <w:r>
        <w:rPr>
          <w:rFonts w:hint="eastAsia" w:ascii="仿宋_GB2312" w:eastAsia="仿宋_GB2312"/>
          <w:sz w:val="32"/>
          <w:szCs w:val="32"/>
        </w:rPr>
        <w:t>辽宁省认证审评院</w:t>
      </w:r>
    </w:p>
    <w:p w14:paraId="656C1791">
      <w:pPr>
        <w:spacing w:line="520" w:lineRule="exact"/>
        <w:ind w:firstLine="640" w:firstLineChars="200"/>
        <w:rPr>
          <w:rFonts w:ascii="仿宋_GB2312" w:hAnsi="黑体" w:eastAsia="仿宋_GB2312"/>
          <w:sz w:val="32"/>
          <w:szCs w:val="32"/>
        </w:rPr>
      </w:pPr>
      <w:r>
        <w:rPr>
          <w:rFonts w:hint="eastAsia" w:ascii="仿宋_GB2312" w:eastAsia="仿宋_GB2312"/>
          <w:sz w:val="32"/>
          <w:szCs w:val="32"/>
        </w:rPr>
        <w:t>河北省药品审评中心</w:t>
      </w:r>
    </w:p>
    <w:p w14:paraId="2B940787">
      <w:pPr>
        <w:spacing w:line="520" w:lineRule="exact"/>
        <w:ind w:firstLine="640" w:firstLineChars="200"/>
        <w:rPr>
          <w:rFonts w:ascii="仿宋_GB2312" w:hAnsi="黑体" w:eastAsia="仿宋_GB2312"/>
          <w:sz w:val="32"/>
          <w:szCs w:val="32"/>
        </w:rPr>
      </w:pPr>
    </w:p>
    <w:p w14:paraId="16258D96">
      <w:pPr>
        <w:spacing w:line="520" w:lineRule="exact"/>
        <w:ind w:firstLine="640" w:firstLineChars="200"/>
        <w:rPr>
          <w:rFonts w:ascii="仿宋_GB2312" w:hAnsi="黑体" w:eastAsia="仿宋_GB2312"/>
          <w:sz w:val="32"/>
          <w:szCs w:val="32"/>
        </w:rPr>
      </w:pPr>
    </w:p>
    <w:p w14:paraId="06D160BF">
      <w:pPr>
        <w:spacing w:line="520" w:lineRule="exact"/>
        <w:ind w:firstLine="640" w:firstLineChars="200"/>
        <w:rPr>
          <w:rFonts w:ascii="仿宋_GB2312" w:hAnsi="黑体" w:eastAsia="仿宋_GB2312"/>
          <w:sz w:val="32"/>
          <w:szCs w:val="32"/>
        </w:rPr>
      </w:pPr>
    </w:p>
    <w:p w14:paraId="7FCCDF1D">
      <w:pPr>
        <w:spacing w:line="520" w:lineRule="exact"/>
        <w:ind w:firstLine="640" w:firstLineChars="200"/>
        <w:rPr>
          <w:rFonts w:ascii="仿宋_GB2312" w:hAnsi="黑体" w:eastAsia="仿宋_GB2312"/>
          <w:sz w:val="32"/>
          <w:szCs w:val="32"/>
        </w:rPr>
      </w:pPr>
    </w:p>
    <w:p w14:paraId="0E035F37">
      <w:pPr>
        <w:spacing w:line="520" w:lineRule="exact"/>
        <w:ind w:firstLine="640" w:firstLineChars="200"/>
        <w:rPr>
          <w:rFonts w:ascii="仿宋_GB2312" w:hAnsi="黑体" w:eastAsia="仿宋_GB2312"/>
          <w:sz w:val="32"/>
          <w:szCs w:val="32"/>
        </w:rPr>
      </w:pPr>
    </w:p>
    <w:p w14:paraId="0827F864">
      <w:pPr>
        <w:spacing w:line="520" w:lineRule="exact"/>
        <w:ind w:firstLine="640" w:firstLineChars="200"/>
        <w:rPr>
          <w:rFonts w:ascii="仿宋_GB2312" w:hAnsi="黑体" w:eastAsia="仿宋_GB2312"/>
          <w:sz w:val="32"/>
          <w:szCs w:val="32"/>
        </w:rPr>
      </w:pPr>
    </w:p>
    <w:p w14:paraId="2C5177C4">
      <w:pPr>
        <w:spacing w:line="520" w:lineRule="exact"/>
        <w:ind w:firstLine="640" w:firstLineChars="200"/>
        <w:rPr>
          <w:rFonts w:ascii="仿宋_GB2312" w:hAnsi="黑体" w:eastAsia="仿宋_GB2312"/>
          <w:sz w:val="32"/>
          <w:szCs w:val="32"/>
        </w:rPr>
      </w:pPr>
    </w:p>
    <w:p w14:paraId="5A324251">
      <w:pPr>
        <w:spacing w:line="520" w:lineRule="exact"/>
        <w:ind w:firstLine="640" w:firstLineChars="200"/>
        <w:rPr>
          <w:rFonts w:ascii="仿宋_GB2312" w:hAnsi="黑体" w:eastAsia="仿宋_GB2312"/>
          <w:sz w:val="32"/>
          <w:szCs w:val="32"/>
        </w:rPr>
      </w:pPr>
    </w:p>
    <w:p w14:paraId="347949E6">
      <w:pPr>
        <w:spacing w:line="520" w:lineRule="exact"/>
        <w:ind w:firstLine="640" w:firstLineChars="200"/>
        <w:rPr>
          <w:rFonts w:ascii="仿宋_GB2312" w:hAnsi="黑体" w:eastAsia="仿宋_GB2312"/>
          <w:sz w:val="32"/>
          <w:szCs w:val="32"/>
        </w:rPr>
      </w:pPr>
    </w:p>
    <w:p w14:paraId="024B6BF7">
      <w:pPr>
        <w:spacing w:line="520" w:lineRule="exact"/>
        <w:ind w:firstLine="640" w:firstLineChars="200"/>
        <w:rPr>
          <w:rFonts w:ascii="仿宋_GB2312" w:hAnsi="黑体" w:eastAsia="仿宋_GB2312"/>
          <w:sz w:val="32"/>
          <w:szCs w:val="32"/>
        </w:rPr>
      </w:pPr>
    </w:p>
    <w:p w14:paraId="6B5096EA">
      <w:pPr>
        <w:spacing w:line="520" w:lineRule="exact"/>
        <w:ind w:firstLine="640" w:firstLineChars="200"/>
        <w:rPr>
          <w:rFonts w:ascii="仿宋_GB2312" w:hAnsi="黑体" w:eastAsia="仿宋_GB2312"/>
          <w:sz w:val="32"/>
          <w:szCs w:val="32"/>
        </w:rPr>
      </w:pPr>
    </w:p>
    <w:p w14:paraId="2B7768CA">
      <w:pPr>
        <w:spacing w:line="520" w:lineRule="exact"/>
        <w:ind w:firstLine="640" w:firstLineChars="200"/>
        <w:rPr>
          <w:rFonts w:ascii="仿宋_GB2312" w:hAnsi="黑体" w:eastAsia="仿宋_GB2312"/>
          <w:sz w:val="32"/>
          <w:szCs w:val="32"/>
        </w:rPr>
      </w:pPr>
    </w:p>
    <w:p w14:paraId="3A379B9A">
      <w:pPr>
        <w:spacing w:line="520" w:lineRule="exact"/>
        <w:ind w:firstLine="640" w:firstLineChars="200"/>
        <w:rPr>
          <w:rFonts w:ascii="仿宋_GB2312" w:hAnsi="黑体" w:eastAsia="仿宋_GB2312"/>
          <w:sz w:val="32"/>
          <w:szCs w:val="32"/>
        </w:rPr>
      </w:pPr>
    </w:p>
    <w:p w14:paraId="065B3B57">
      <w:pPr>
        <w:spacing w:line="520" w:lineRule="exact"/>
        <w:jc w:val="left"/>
        <w:rPr>
          <w:rFonts w:ascii="仿宋_GB2312" w:hAnsi="黑体" w:eastAsia="仿宋_GB2312"/>
          <w:sz w:val="32"/>
          <w:szCs w:val="32"/>
        </w:rPr>
      </w:pPr>
      <w:r>
        <w:rPr>
          <w:rFonts w:hint="eastAsia" w:ascii="仿宋_GB2312" w:hAnsi="黑体" w:eastAsia="仿宋_GB2312"/>
          <w:sz w:val="32"/>
          <w:szCs w:val="32"/>
        </w:rPr>
        <w:t>附件：1.网式雾化器与安全有关特征问题的识别</w:t>
      </w:r>
    </w:p>
    <w:p w14:paraId="2C439E14">
      <w:pPr>
        <w:spacing w:line="520" w:lineRule="exact"/>
        <w:ind w:firstLine="640" w:firstLineChars="200"/>
        <w:rPr>
          <w:rFonts w:ascii="仿宋_GB2312" w:hAnsi="黑体" w:eastAsia="仿宋_GB2312"/>
          <w:sz w:val="32"/>
          <w:szCs w:val="32"/>
        </w:rPr>
      </w:pPr>
    </w:p>
    <w:tbl>
      <w:tblPr>
        <w:tblStyle w:val="5"/>
        <w:tblW w:w="10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6725"/>
        <w:gridCol w:w="15"/>
        <w:gridCol w:w="2308"/>
        <w:gridCol w:w="11"/>
      </w:tblGrid>
      <w:tr w14:paraId="189F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71" w:type="dxa"/>
            <w:vAlign w:val="center"/>
          </w:tcPr>
          <w:p w14:paraId="4F44E6CB">
            <w:pPr>
              <w:autoSpaceDE w:val="0"/>
              <w:autoSpaceDN w:val="0"/>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标准</w:t>
            </w:r>
          </w:p>
          <w:p w14:paraId="5C87D321">
            <w:pPr>
              <w:autoSpaceDE w:val="0"/>
              <w:autoSpaceDN w:val="0"/>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条款</w:t>
            </w:r>
          </w:p>
        </w:tc>
        <w:tc>
          <w:tcPr>
            <w:tcW w:w="6740" w:type="dxa"/>
            <w:gridSpan w:val="2"/>
            <w:vAlign w:val="center"/>
          </w:tcPr>
          <w:p w14:paraId="0D628F75">
            <w:pPr>
              <w:autoSpaceDE w:val="0"/>
              <w:autoSpaceDN w:val="0"/>
              <w:adjustRightInd w:val="0"/>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YY/T0316—2016 附录C</w:t>
            </w:r>
            <w:r>
              <w:rPr>
                <w:rFonts w:hint="eastAsia" w:ascii="Times New Roman" w:hAnsi="Times New Roman" w:eastAsia="仿宋_GB2312" w:cs="Times New Roman"/>
                <w:kern w:val="0"/>
                <w:sz w:val="28"/>
                <w:szCs w:val="28"/>
              </w:rPr>
              <w:t>内容</w:t>
            </w:r>
          </w:p>
        </w:tc>
        <w:tc>
          <w:tcPr>
            <w:tcW w:w="2319" w:type="dxa"/>
            <w:gridSpan w:val="2"/>
            <w:vAlign w:val="center"/>
          </w:tcPr>
          <w:p w14:paraId="21BAE343">
            <w:pPr>
              <w:autoSpaceDE w:val="0"/>
              <w:autoSpaceDN w:val="0"/>
              <w:adjustRightInd w:val="0"/>
              <w:spacing w:line="400" w:lineRule="exact"/>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与安全有关特征问题的识别</w:t>
            </w:r>
          </w:p>
        </w:tc>
      </w:tr>
      <w:tr w14:paraId="017E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1FE12660">
            <w:pPr>
              <w:widowControl/>
              <w:spacing w:line="360" w:lineRule="exact"/>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C.</w:t>
            </w:r>
            <w:r>
              <w:rPr>
                <w:rFonts w:ascii="Times New Roman" w:hAnsi="Times New Roman" w:eastAsia="仿宋_GB2312" w:cs="Times New Roman"/>
                <w:kern w:val="0"/>
                <w:sz w:val="28"/>
                <w:szCs w:val="28"/>
              </w:rPr>
              <w:t>2.1</w:t>
            </w:r>
          </w:p>
        </w:tc>
        <w:tc>
          <w:tcPr>
            <w:tcW w:w="6740" w:type="dxa"/>
            <w:gridSpan w:val="2"/>
            <w:vAlign w:val="center"/>
          </w:tcPr>
          <w:p w14:paraId="56508C24">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医疗器械的预期用途是什么和怎样使用医疗器械</w:t>
            </w:r>
          </w:p>
          <w:p w14:paraId="48E1E98D">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宜考虑的因素包括：</w:t>
            </w:r>
          </w:p>
        </w:tc>
        <w:tc>
          <w:tcPr>
            <w:tcW w:w="2319" w:type="dxa"/>
            <w:gridSpan w:val="2"/>
            <w:vAlign w:val="center"/>
          </w:tcPr>
          <w:p w14:paraId="65714EC1">
            <w:pPr>
              <w:autoSpaceDE w:val="0"/>
              <w:autoSpaceDN w:val="0"/>
              <w:adjustRightInd w:val="0"/>
              <w:spacing w:line="360" w:lineRule="exact"/>
              <w:rPr>
                <w:rFonts w:ascii="Times New Roman" w:hAnsi="Times New Roman" w:eastAsia="仿宋_GB2312" w:cs="Times New Roman"/>
                <w:kern w:val="0"/>
                <w:sz w:val="28"/>
                <w:szCs w:val="28"/>
              </w:rPr>
            </w:pPr>
          </w:p>
        </w:tc>
      </w:tr>
      <w:tr w14:paraId="3EFC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vAlign w:val="center"/>
          </w:tcPr>
          <w:p w14:paraId="087B4314">
            <w:pPr>
              <w:widowControl/>
              <w:spacing w:line="360" w:lineRule="exact"/>
              <w:jc w:val="left"/>
              <w:rPr>
                <w:rFonts w:ascii="Times New Roman" w:hAnsi="Times New Roman" w:eastAsia="仿宋_GB2312" w:cs="Times New Roman"/>
                <w:kern w:val="0"/>
                <w:sz w:val="28"/>
                <w:szCs w:val="28"/>
              </w:rPr>
            </w:pPr>
          </w:p>
        </w:tc>
        <w:tc>
          <w:tcPr>
            <w:tcW w:w="6740" w:type="dxa"/>
            <w:gridSpan w:val="2"/>
            <w:vAlign w:val="center"/>
          </w:tcPr>
          <w:p w14:paraId="12F1402A">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w:t>
            </w:r>
            <w:r>
              <w:rPr>
                <w:rFonts w:hint="eastAsia" w:ascii="Times New Roman" w:hAnsi="Times New Roman" w:eastAsia="仿宋_GB2312" w:cs="Times New Roman"/>
                <w:kern w:val="0"/>
                <w:sz w:val="28"/>
                <w:szCs w:val="28"/>
              </w:rPr>
              <w:t>医疗器械的作用是与下列哪一项有关：</w:t>
            </w:r>
          </w:p>
        </w:tc>
        <w:tc>
          <w:tcPr>
            <w:tcW w:w="2319" w:type="dxa"/>
            <w:gridSpan w:val="2"/>
            <w:vAlign w:val="center"/>
          </w:tcPr>
          <w:p w14:paraId="5F51890A">
            <w:pPr>
              <w:autoSpaceDE w:val="0"/>
              <w:autoSpaceDN w:val="0"/>
              <w:adjustRightInd w:val="0"/>
              <w:spacing w:line="360" w:lineRule="exact"/>
              <w:rPr>
                <w:rFonts w:ascii="Times New Roman" w:hAnsi="Times New Roman" w:eastAsia="仿宋_GB2312" w:cs="Times New Roman"/>
                <w:kern w:val="0"/>
                <w:sz w:val="28"/>
                <w:szCs w:val="28"/>
              </w:rPr>
            </w:pPr>
          </w:p>
        </w:tc>
      </w:tr>
      <w:tr w14:paraId="4C1D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43EB82A6">
            <w:pPr>
              <w:widowControl/>
              <w:spacing w:line="360" w:lineRule="exact"/>
              <w:jc w:val="left"/>
              <w:rPr>
                <w:rFonts w:ascii="Times New Roman" w:hAnsi="Times New Roman" w:eastAsia="仿宋_GB2312" w:cs="Times New Roman"/>
                <w:kern w:val="0"/>
                <w:sz w:val="28"/>
                <w:szCs w:val="28"/>
              </w:rPr>
            </w:pPr>
          </w:p>
        </w:tc>
        <w:tc>
          <w:tcPr>
            <w:tcW w:w="6740" w:type="dxa"/>
            <w:gridSpan w:val="2"/>
            <w:vAlign w:val="center"/>
          </w:tcPr>
          <w:p w14:paraId="0976C8B0">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b/>
            </w:r>
            <w:r>
              <w:rPr>
                <w:rFonts w:ascii="Times New Roman" w:hAnsi="Times New Roman" w:eastAsia="仿宋_GB2312" w:cs="Times New Roman"/>
                <w:kern w:val="0"/>
                <w:sz w:val="28"/>
                <w:szCs w:val="28"/>
              </w:rPr>
              <w:t>— 对疾病的诊断、预防、监护、治疗或缓解</w:t>
            </w:r>
            <w:r>
              <w:rPr>
                <w:rFonts w:hint="eastAsia" w:ascii="Times New Roman" w:hAnsi="Times New Roman" w:eastAsia="仿宋_GB2312" w:cs="Times New Roman"/>
                <w:kern w:val="0"/>
                <w:sz w:val="28"/>
                <w:szCs w:val="28"/>
              </w:rPr>
              <w:t>；</w:t>
            </w:r>
          </w:p>
        </w:tc>
        <w:tc>
          <w:tcPr>
            <w:tcW w:w="2319" w:type="dxa"/>
            <w:gridSpan w:val="2"/>
            <w:vAlign w:val="center"/>
          </w:tcPr>
          <w:p w14:paraId="5DF09A83">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是</w:t>
            </w:r>
          </w:p>
        </w:tc>
      </w:tr>
      <w:tr w14:paraId="2E8F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568A37FF">
            <w:pPr>
              <w:widowControl/>
              <w:spacing w:line="360" w:lineRule="exact"/>
              <w:jc w:val="left"/>
              <w:rPr>
                <w:rFonts w:ascii="Times New Roman" w:hAnsi="Times New Roman" w:eastAsia="仿宋_GB2312" w:cs="Times New Roman"/>
                <w:kern w:val="0"/>
                <w:sz w:val="28"/>
                <w:szCs w:val="28"/>
              </w:rPr>
            </w:pPr>
          </w:p>
        </w:tc>
        <w:tc>
          <w:tcPr>
            <w:tcW w:w="6740" w:type="dxa"/>
            <w:gridSpan w:val="2"/>
            <w:vAlign w:val="center"/>
          </w:tcPr>
          <w:p w14:paraId="00A7DD28">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ab/>
            </w:r>
            <w:r>
              <w:rPr>
                <w:rFonts w:ascii="Times New Roman" w:hAnsi="Times New Roman" w:eastAsia="仿宋_GB2312" w:cs="Times New Roman"/>
                <w:kern w:val="0"/>
                <w:sz w:val="28"/>
                <w:szCs w:val="28"/>
              </w:rPr>
              <w:t>— 对损伤或残疾的补偿，或</w:t>
            </w:r>
          </w:p>
        </w:tc>
        <w:tc>
          <w:tcPr>
            <w:tcW w:w="2319" w:type="dxa"/>
            <w:gridSpan w:val="2"/>
            <w:vAlign w:val="center"/>
          </w:tcPr>
          <w:p w14:paraId="78C7C179">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r>
      <w:tr w14:paraId="179E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56D095F5">
            <w:pPr>
              <w:widowControl/>
              <w:spacing w:line="360" w:lineRule="exact"/>
              <w:jc w:val="left"/>
              <w:rPr>
                <w:rFonts w:ascii="Times New Roman" w:hAnsi="Times New Roman" w:eastAsia="仿宋_GB2312" w:cs="Times New Roman"/>
                <w:kern w:val="0"/>
                <w:sz w:val="28"/>
                <w:szCs w:val="28"/>
              </w:rPr>
            </w:pPr>
          </w:p>
        </w:tc>
        <w:tc>
          <w:tcPr>
            <w:tcW w:w="6740" w:type="dxa"/>
            <w:gridSpan w:val="2"/>
            <w:vAlign w:val="center"/>
          </w:tcPr>
          <w:p w14:paraId="40C9C231">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ab/>
            </w:r>
            <w:r>
              <w:rPr>
                <w:rFonts w:ascii="Times New Roman" w:hAnsi="Times New Roman" w:eastAsia="仿宋_GB2312" w:cs="Times New Roman"/>
                <w:kern w:val="0"/>
                <w:sz w:val="28"/>
                <w:szCs w:val="28"/>
              </w:rPr>
              <w:t xml:space="preserve">— </w:t>
            </w:r>
            <w:r>
              <w:rPr>
                <w:rFonts w:hint="eastAsia" w:ascii="Times New Roman" w:hAnsi="Times New Roman" w:eastAsia="仿宋_GB2312" w:cs="Times New Roman"/>
                <w:kern w:val="0"/>
                <w:sz w:val="28"/>
                <w:szCs w:val="28"/>
              </w:rPr>
              <w:t>生理结构的替代或改进，</w:t>
            </w:r>
            <w:r>
              <w:rPr>
                <w:rFonts w:ascii="Times New Roman" w:hAnsi="Times New Roman" w:eastAsia="仿宋_GB2312" w:cs="Times New Roman"/>
                <w:kern w:val="0"/>
                <w:sz w:val="28"/>
                <w:szCs w:val="28"/>
              </w:rPr>
              <w:t>或妊娠控制</w:t>
            </w:r>
            <w:r>
              <w:rPr>
                <w:rFonts w:hint="eastAsia" w:ascii="Times New Roman" w:hAnsi="Times New Roman" w:eastAsia="仿宋_GB2312" w:cs="Times New Roman"/>
                <w:kern w:val="0"/>
                <w:sz w:val="28"/>
                <w:szCs w:val="28"/>
              </w:rPr>
              <w:t>。</w:t>
            </w:r>
          </w:p>
        </w:tc>
        <w:tc>
          <w:tcPr>
            <w:tcW w:w="2319" w:type="dxa"/>
            <w:gridSpan w:val="2"/>
            <w:vAlign w:val="center"/>
          </w:tcPr>
          <w:p w14:paraId="073537CA">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r>
      <w:tr w14:paraId="0DED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58763A54">
            <w:pPr>
              <w:widowControl/>
              <w:spacing w:line="360" w:lineRule="exact"/>
              <w:jc w:val="left"/>
              <w:rPr>
                <w:rFonts w:ascii="Times New Roman" w:hAnsi="Times New Roman" w:eastAsia="仿宋_GB2312" w:cs="Times New Roman"/>
                <w:kern w:val="0"/>
                <w:sz w:val="28"/>
                <w:szCs w:val="28"/>
              </w:rPr>
            </w:pPr>
          </w:p>
        </w:tc>
        <w:tc>
          <w:tcPr>
            <w:tcW w:w="6740" w:type="dxa"/>
            <w:gridSpan w:val="2"/>
            <w:vAlign w:val="center"/>
          </w:tcPr>
          <w:p w14:paraId="709FD839">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使</w:t>
            </w:r>
            <w:r>
              <w:rPr>
                <w:rFonts w:ascii="Times New Roman" w:hAnsi="Times New Roman" w:eastAsia="仿宋_GB2312" w:cs="Times New Roman"/>
                <w:sz w:val="28"/>
                <w:szCs w:val="28"/>
              </w:rPr>
              <w:t>用的适应症是什么（如患者群体）？</w:t>
            </w:r>
          </w:p>
        </w:tc>
        <w:tc>
          <w:tcPr>
            <w:tcW w:w="2319" w:type="dxa"/>
            <w:gridSpan w:val="2"/>
            <w:vAlign w:val="center"/>
          </w:tcPr>
          <w:p w14:paraId="4C62946A">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适用于雾化吸入治疗的患者</w:t>
            </w:r>
          </w:p>
        </w:tc>
      </w:tr>
      <w:tr w14:paraId="428D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331B9933">
            <w:pPr>
              <w:widowControl/>
              <w:spacing w:line="360" w:lineRule="exact"/>
              <w:jc w:val="left"/>
              <w:rPr>
                <w:rFonts w:ascii="Times New Roman" w:hAnsi="Times New Roman" w:eastAsia="仿宋_GB2312" w:cs="Times New Roman"/>
                <w:kern w:val="0"/>
                <w:sz w:val="28"/>
                <w:szCs w:val="28"/>
              </w:rPr>
            </w:pPr>
          </w:p>
        </w:tc>
        <w:tc>
          <w:tcPr>
            <w:tcW w:w="6740" w:type="dxa"/>
            <w:gridSpan w:val="2"/>
            <w:vAlign w:val="center"/>
          </w:tcPr>
          <w:p w14:paraId="5A1C3820">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医</w:t>
            </w:r>
            <w:r>
              <w:rPr>
                <w:rFonts w:ascii="Times New Roman" w:hAnsi="Times New Roman" w:eastAsia="仿宋_GB2312" w:cs="Times New Roman"/>
                <w:sz w:val="28"/>
                <w:szCs w:val="28"/>
              </w:rPr>
              <w:t>疗器械是否用于生命维持或生命支持？</w:t>
            </w:r>
          </w:p>
        </w:tc>
        <w:tc>
          <w:tcPr>
            <w:tcW w:w="2319" w:type="dxa"/>
            <w:gridSpan w:val="2"/>
            <w:vAlign w:val="center"/>
          </w:tcPr>
          <w:p w14:paraId="51347280">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r>
      <w:tr w14:paraId="183D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53A95B18">
            <w:pPr>
              <w:widowControl/>
              <w:spacing w:line="360" w:lineRule="exact"/>
              <w:jc w:val="left"/>
              <w:rPr>
                <w:rFonts w:ascii="Times New Roman" w:hAnsi="Times New Roman" w:eastAsia="仿宋_GB2312" w:cs="Times New Roman"/>
                <w:kern w:val="0"/>
                <w:sz w:val="28"/>
                <w:szCs w:val="28"/>
              </w:rPr>
            </w:pPr>
          </w:p>
        </w:tc>
        <w:tc>
          <w:tcPr>
            <w:tcW w:w="6740" w:type="dxa"/>
            <w:gridSpan w:val="2"/>
            <w:vAlign w:val="center"/>
          </w:tcPr>
          <w:p w14:paraId="5BEA18F3">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在</w:t>
            </w:r>
            <w:r>
              <w:rPr>
                <w:rFonts w:ascii="Times New Roman" w:hAnsi="Times New Roman" w:eastAsia="仿宋_GB2312" w:cs="Times New Roman"/>
                <w:sz w:val="28"/>
                <w:szCs w:val="28"/>
              </w:rPr>
              <w:t>医疗器械失效的情况下是否需要特殊的干预？</w:t>
            </w:r>
          </w:p>
        </w:tc>
        <w:tc>
          <w:tcPr>
            <w:tcW w:w="2319" w:type="dxa"/>
            <w:gridSpan w:val="2"/>
            <w:vAlign w:val="center"/>
          </w:tcPr>
          <w:p w14:paraId="6E564AAD">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r>
      <w:tr w14:paraId="3EE0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32E9677C">
            <w:pPr>
              <w:widowControl/>
              <w:spacing w:line="360" w:lineRule="exact"/>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C.2.2</w:t>
            </w:r>
          </w:p>
        </w:tc>
        <w:tc>
          <w:tcPr>
            <w:tcW w:w="6740" w:type="dxa"/>
            <w:gridSpan w:val="2"/>
            <w:vAlign w:val="center"/>
          </w:tcPr>
          <w:p w14:paraId="4936B13E">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医疗器械是否预期植入</w:t>
            </w:r>
          </w:p>
        </w:tc>
        <w:tc>
          <w:tcPr>
            <w:tcW w:w="2319" w:type="dxa"/>
            <w:gridSpan w:val="2"/>
            <w:vAlign w:val="center"/>
          </w:tcPr>
          <w:p w14:paraId="0BAC0E82">
            <w:pPr>
              <w:autoSpaceDE w:val="0"/>
              <w:autoSpaceDN w:val="0"/>
              <w:adjustRightInd w:val="0"/>
              <w:spacing w:line="360" w:lineRule="exact"/>
              <w:rPr>
                <w:rFonts w:ascii="Times New Roman" w:hAnsi="Times New Roman" w:eastAsia="仿宋_GB2312" w:cs="Times New Roman"/>
                <w:kern w:val="0"/>
                <w:sz w:val="28"/>
                <w:szCs w:val="28"/>
              </w:rPr>
            </w:pPr>
          </w:p>
        </w:tc>
      </w:tr>
      <w:tr w14:paraId="39D5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54E93FAA">
            <w:pPr>
              <w:widowControl/>
              <w:spacing w:line="360" w:lineRule="exact"/>
              <w:jc w:val="left"/>
              <w:rPr>
                <w:rFonts w:ascii="Times New Roman" w:hAnsi="Times New Roman" w:eastAsia="仿宋_GB2312" w:cs="Times New Roman"/>
                <w:kern w:val="0"/>
                <w:sz w:val="28"/>
                <w:szCs w:val="28"/>
              </w:rPr>
            </w:pPr>
          </w:p>
        </w:tc>
        <w:tc>
          <w:tcPr>
            <w:tcW w:w="6740" w:type="dxa"/>
            <w:gridSpan w:val="2"/>
            <w:vAlign w:val="center"/>
          </w:tcPr>
          <w:p w14:paraId="3A4CB9A5">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考虑的因素包括植入的位置、患者群体特征、年龄、体重、身体活动情况、植入物性能老化的影响、植入物预期的寿命和植入的可逆性</w:t>
            </w:r>
          </w:p>
        </w:tc>
        <w:tc>
          <w:tcPr>
            <w:tcW w:w="2319" w:type="dxa"/>
            <w:gridSpan w:val="2"/>
            <w:vAlign w:val="center"/>
          </w:tcPr>
          <w:p w14:paraId="6FA24FF5">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r>
      <w:tr w14:paraId="4B28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3502CB79">
            <w:pPr>
              <w:widowControl/>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C.2.3</w:t>
            </w:r>
          </w:p>
        </w:tc>
        <w:tc>
          <w:tcPr>
            <w:tcW w:w="6740" w:type="dxa"/>
            <w:gridSpan w:val="2"/>
            <w:vAlign w:val="center"/>
          </w:tcPr>
          <w:p w14:paraId="1E9EECE3">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医疗器械是否预期和患者或其他人员接触</w:t>
            </w:r>
          </w:p>
        </w:tc>
        <w:tc>
          <w:tcPr>
            <w:tcW w:w="2319" w:type="dxa"/>
            <w:gridSpan w:val="2"/>
            <w:vAlign w:val="center"/>
          </w:tcPr>
          <w:p w14:paraId="20BE02E8">
            <w:pPr>
              <w:autoSpaceDE w:val="0"/>
              <w:autoSpaceDN w:val="0"/>
              <w:adjustRightInd w:val="0"/>
              <w:spacing w:line="360" w:lineRule="exact"/>
              <w:rPr>
                <w:rFonts w:ascii="Times New Roman" w:hAnsi="Times New Roman" w:eastAsia="仿宋_GB2312" w:cs="Times New Roman"/>
                <w:kern w:val="0"/>
                <w:sz w:val="28"/>
                <w:szCs w:val="28"/>
              </w:rPr>
            </w:pPr>
          </w:p>
        </w:tc>
      </w:tr>
      <w:tr w14:paraId="63D8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1A4E93C9">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74535E2F">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考虑的因素包括预期接触的性质,即表面接触、侵入式接触或植入以及每种接触的时间长短和频次。</w:t>
            </w:r>
          </w:p>
        </w:tc>
        <w:tc>
          <w:tcPr>
            <w:tcW w:w="2319" w:type="dxa"/>
            <w:gridSpan w:val="2"/>
            <w:vAlign w:val="center"/>
          </w:tcPr>
          <w:p w14:paraId="125D4649">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雾化吸入面罩等直接与患者皮肤表面接触</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咬嘴与口腔粘膜接触，短期、多次接触</w:t>
            </w:r>
          </w:p>
        </w:tc>
      </w:tr>
      <w:tr w14:paraId="4360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2E696A66">
            <w:pPr>
              <w:widowControl/>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C.2.4</w:t>
            </w:r>
          </w:p>
        </w:tc>
        <w:tc>
          <w:tcPr>
            <w:tcW w:w="6740" w:type="dxa"/>
            <w:gridSpan w:val="2"/>
            <w:vAlign w:val="center"/>
          </w:tcPr>
          <w:p w14:paraId="1EE484A7">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在医疗器械中利用何种材料或组分，或与医疗器械共同使用或与其接触</w:t>
            </w:r>
          </w:p>
          <w:p w14:paraId="7E6C4160">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宜考虑的因素包括</w:t>
            </w:r>
          </w:p>
        </w:tc>
        <w:tc>
          <w:tcPr>
            <w:tcW w:w="2319" w:type="dxa"/>
            <w:gridSpan w:val="2"/>
            <w:vAlign w:val="center"/>
          </w:tcPr>
          <w:p w14:paraId="2F676BCC">
            <w:pPr>
              <w:autoSpaceDE w:val="0"/>
              <w:autoSpaceDN w:val="0"/>
              <w:adjustRightInd w:val="0"/>
              <w:spacing w:line="360" w:lineRule="exact"/>
              <w:rPr>
                <w:rFonts w:ascii="Times New Roman" w:hAnsi="Times New Roman" w:eastAsia="仿宋_GB2312" w:cs="Times New Roman"/>
                <w:kern w:val="0"/>
                <w:sz w:val="28"/>
                <w:szCs w:val="28"/>
              </w:rPr>
            </w:pPr>
          </w:p>
        </w:tc>
      </w:tr>
      <w:tr w14:paraId="0173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vAlign w:val="center"/>
          </w:tcPr>
          <w:p w14:paraId="224103D2">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1593B85B">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和有关物质的相容性；</w:t>
            </w:r>
          </w:p>
        </w:tc>
        <w:tc>
          <w:tcPr>
            <w:tcW w:w="2319" w:type="dxa"/>
            <w:gridSpan w:val="2"/>
            <w:vAlign w:val="center"/>
          </w:tcPr>
          <w:p w14:paraId="61F26D11">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药液</w:t>
            </w:r>
          </w:p>
        </w:tc>
      </w:tr>
      <w:tr w14:paraId="220C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128ED339">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271908A0">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与组织或体液的相容性；</w:t>
            </w:r>
          </w:p>
        </w:tc>
        <w:tc>
          <w:tcPr>
            <w:tcW w:w="2319" w:type="dxa"/>
            <w:gridSpan w:val="2"/>
            <w:vAlign w:val="center"/>
          </w:tcPr>
          <w:p w14:paraId="584318E7">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与人体接触的部件</w:t>
            </w:r>
          </w:p>
        </w:tc>
      </w:tr>
      <w:tr w14:paraId="1500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0140F070">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49F37710">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与安全性有关的特征是否已知；</w:t>
            </w:r>
          </w:p>
        </w:tc>
        <w:tc>
          <w:tcPr>
            <w:tcW w:w="2319" w:type="dxa"/>
            <w:gridSpan w:val="2"/>
            <w:vAlign w:val="center"/>
          </w:tcPr>
          <w:p w14:paraId="5DE6E8B9">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r>
      <w:tr w14:paraId="6810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03582717">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57C4D37D">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医疗器械的制造是否利用了动物源材料？</w:t>
            </w:r>
          </w:p>
        </w:tc>
        <w:tc>
          <w:tcPr>
            <w:tcW w:w="2319" w:type="dxa"/>
            <w:gridSpan w:val="2"/>
            <w:vAlign w:val="center"/>
          </w:tcPr>
          <w:p w14:paraId="1282F905">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r>
      <w:tr w14:paraId="6438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6000B0BC">
            <w:pPr>
              <w:widowControl/>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C.2.5</w:t>
            </w:r>
          </w:p>
        </w:tc>
        <w:tc>
          <w:tcPr>
            <w:tcW w:w="6740" w:type="dxa"/>
            <w:gridSpan w:val="2"/>
            <w:vAlign w:val="center"/>
          </w:tcPr>
          <w:p w14:paraId="22C658D1">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是否有能量给予患者或从患者身上获取</w:t>
            </w:r>
          </w:p>
          <w:p w14:paraId="15F49C64">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宜考虑的因素包括：</w:t>
            </w:r>
          </w:p>
        </w:tc>
        <w:tc>
          <w:tcPr>
            <w:tcW w:w="2319" w:type="dxa"/>
            <w:gridSpan w:val="2"/>
            <w:vAlign w:val="center"/>
          </w:tcPr>
          <w:p w14:paraId="0C973B4B">
            <w:pPr>
              <w:autoSpaceDE w:val="0"/>
              <w:autoSpaceDN w:val="0"/>
              <w:adjustRightInd w:val="0"/>
              <w:spacing w:line="360" w:lineRule="exact"/>
              <w:rPr>
                <w:rFonts w:ascii="Times New Roman" w:hAnsi="Times New Roman" w:eastAsia="仿宋_GB2312" w:cs="Times New Roman"/>
                <w:kern w:val="0"/>
                <w:sz w:val="28"/>
                <w:szCs w:val="28"/>
              </w:rPr>
            </w:pPr>
          </w:p>
        </w:tc>
      </w:tr>
      <w:tr w14:paraId="519A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565BC3C6">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1CCADAB9">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传递的能量类型；</w:t>
            </w:r>
          </w:p>
        </w:tc>
        <w:tc>
          <w:tcPr>
            <w:tcW w:w="2319" w:type="dxa"/>
            <w:gridSpan w:val="2"/>
            <w:vAlign w:val="center"/>
          </w:tcPr>
          <w:p w14:paraId="321CB40B">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w:t>
            </w:r>
          </w:p>
        </w:tc>
      </w:tr>
      <w:tr w14:paraId="05E9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vAlign w:val="center"/>
          </w:tcPr>
          <w:p w14:paraId="1C1F9ABC">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47F32677">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对其的控制、质量、数量、强度和持续时间；</w:t>
            </w:r>
          </w:p>
        </w:tc>
        <w:tc>
          <w:tcPr>
            <w:tcW w:w="2319" w:type="dxa"/>
            <w:gridSpan w:val="2"/>
            <w:vAlign w:val="center"/>
          </w:tcPr>
          <w:p w14:paraId="72BBADB9">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w:t>
            </w:r>
          </w:p>
        </w:tc>
      </w:tr>
      <w:tr w14:paraId="12AF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66DF9E73">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2513C98E">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能量水平是否高于类似器械当前应用的能量水平。</w:t>
            </w:r>
          </w:p>
        </w:tc>
        <w:tc>
          <w:tcPr>
            <w:tcW w:w="2319" w:type="dxa"/>
            <w:gridSpan w:val="2"/>
            <w:vAlign w:val="center"/>
          </w:tcPr>
          <w:p w14:paraId="36AD421B">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w:t>
            </w:r>
          </w:p>
        </w:tc>
      </w:tr>
      <w:tr w14:paraId="66ED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3CE9950C">
            <w:pPr>
              <w:widowControl/>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C.2.6</w:t>
            </w:r>
          </w:p>
        </w:tc>
        <w:tc>
          <w:tcPr>
            <w:tcW w:w="6740" w:type="dxa"/>
            <w:gridSpan w:val="2"/>
            <w:vAlign w:val="center"/>
          </w:tcPr>
          <w:p w14:paraId="36888136">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是否有物质提供给患者或从患者身上提取</w:t>
            </w:r>
          </w:p>
          <w:p w14:paraId="7421F1A8">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宜考虑的因素包括：</w:t>
            </w:r>
          </w:p>
        </w:tc>
        <w:tc>
          <w:tcPr>
            <w:tcW w:w="2319" w:type="dxa"/>
            <w:gridSpan w:val="2"/>
            <w:vAlign w:val="center"/>
          </w:tcPr>
          <w:p w14:paraId="00E1527A">
            <w:pPr>
              <w:autoSpaceDE w:val="0"/>
              <w:autoSpaceDN w:val="0"/>
              <w:adjustRightInd w:val="0"/>
              <w:spacing w:line="360" w:lineRule="exact"/>
              <w:rPr>
                <w:rFonts w:ascii="Times New Roman" w:hAnsi="Times New Roman" w:eastAsia="仿宋_GB2312" w:cs="Times New Roman"/>
                <w:kern w:val="0"/>
                <w:sz w:val="28"/>
                <w:szCs w:val="28"/>
              </w:rPr>
            </w:pPr>
          </w:p>
        </w:tc>
      </w:tr>
      <w:tr w14:paraId="1109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vAlign w:val="center"/>
          </w:tcPr>
          <w:p w14:paraId="0E937FF4">
            <w:pPr>
              <w:spacing w:line="360" w:lineRule="exact"/>
              <w:jc w:val="left"/>
              <w:rPr>
                <w:rFonts w:ascii="Times New Roman" w:hAnsi="Times New Roman" w:eastAsia="仿宋_GB2312" w:cs="Times New Roman"/>
                <w:sz w:val="28"/>
                <w:szCs w:val="28"/>
              </w:rPr>
            </w:pPr>
          </w:p>
        </w:tc>
        <w:tc>
          <w:tcPr>
            <w:tcW w:w="6740" w:type="dxa"/>
            <w:gridSpan w:val="2"/>
            <w:vAlign w:val="center"/>
          </w:tcPr>
          <w:p w14:paraId="6BDD4F19">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物质是供给还是提取；</w:t>
            </w:r>
          </w:p>
        </w:tc>
        <w:tc>
          <w:tcPr>
            <w:tcW w:w="2319" w:type="dxa"/>
            <w:gridSpan w:val="2"/>
            <w:vAlign w:val="center"/>
          </w:tcPr>
          <w:p w14:paraId="62E42ED8">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供给药液</w:t>
            </w:r>
          </w:p>
        </w:tc>
      </w:tr>
      <w:tr w14:paraId="1C53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525BAE14">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2534C80A">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是单一物质还是几种物质；</w:t>
            </w:r>
          </w:p>
        </w:tc>
        <w:tc>
          <w:tcPr>
            <w:tcW w:w="2319" w:type="dxa"/>
            <w:gridSpan w:val="2"/>
            <w:vAlign w:val="center"/>
          </w:tcPr>
          <w:p w14:paraId="55579765">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依据</w:t>
            </w:r>
            <w:r>
              <w:rPr>
                <w:rFonts w:hint="eastAsia" w:ascii="Times New Roman" w:hAnsi="Times New Roman" w:eastAsia="仿宋_GB2312" w:cs="Times New Roman"/>
                <w:kern w:val="0"/>
                <w:sz w:val="28"/>
                <w:szCs w:val="28"/>
              </w:rPr>
              <w:t>具体临床</w:t>
            </w:r>
            <w:r>
              <w:rPr>
                <w:rFonts w:ascii="Times New Roman" w:hAnsi="Times New Roman" w:eastAsia="仿宋_GB2312" w:cs="Times New Roman"/>
                <w:kern w:val="0"/>
                <w:sz w:val="28"/>
                <w:szCs w:val="28"/>
              </w:rPr>
              <w:t>使用情况</w:t>
            </w:r>
          </w:p>
        </w:tc>
      </w:tr>
      <w:tr w14:paraId="79DA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3D4242F4">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7BE72AC9">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最大和最小</w:t>
            </w:r>
            <w:r>
              <w:rPr>
                <w:rFonts w:hint="eastAsia" w:ascii="Times New Roman" w:hAnsi="Times New Roman" w:eastAsia="仿宋_GB2312" w:cs="Times New Roman"/>
                <w:sz w:val="28"/>
                <w:szCs w:val="28"/>
              </w:rPr>
              <w:t>传输</w:t>
            </w:r>
            <w:r>
              <w:rPr>
                <w:rFonts w:ascii="Times New Roman" w:hAnsi="Times New Roman" w:eastAsia="仿宋_GB2312" w:cs="Times New Roman"/>
                <w:sz w:val="28"/>
                <w:szCs w:val="28"/>
              </w:rPr>
              <w:t>速率及其控制。</w:t>
            </w:r>
          </w:p>
        </w:tc>
        <w:tc>
          <w:tcPr>
            <w:tcW w:w="2319" w:type="dxa"/>
            <w:gridSpan w:val="2"/>
            <w:vAlign w:val="center"/>
          </w:tcPr>
          <w:p w14:paraId="60B08DFB">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依据</w:t>
            </w:r>
            <w:r>
              <w:rPr>
                <w:rFonts w:hint="eastAsia" w:ascii="Times New Roman" w:hAnsi="Times New Roman" w:eastAsia="仿宋_GB2312" w:cs="Times New Roman"/>
                <w:kern w:val="0"/>
                <w:sz w:val="28"/>
                <w:szCs w:val="28"/>
              </w:rPr>
              <w:t>产品特性</w:t>
            </w:r>
          </w:p>
        </w:tc>
      </w:tr>
      <w:tr w14:paraId="03ED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41CC4D9F">
            <w:pPr>
              <w:autoSpaceDE w:val="0"/>
              <w:autoSpaceDN w:val="0"/>
              <w:adjustRightInd w:val="0"/>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C.2.7</w:t>
            </w:r>
          </w:p>
        </w:tc>
        <w:tc>
          <w:tcPr>
            <w:tcW w:w="6740" w:type="dxa"/>
            <w:gridSpan w:val="2"/>
            <w:vAlign w:val="center"/>
          </w:tcPr>
          <w:p w14:paraId="4889959F">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医疗器械是否处理生物材料以用于随后的再使用、输液/血或移植</w:t>
            </w:r>
          </w:p>
        </w:tc>
        <w:tc>
          <w:tcPr>
            <w:tcW w:w="2319" w:type="dxa"/>
            <w:gridSpan w:val="2"/>
            <w:vAlign w:val="center"/>
          </w:tcPr>
          <w:p w14:paraId="4F0EA8EB">
            <w:pPr>
              <w:autoSpaceDE w:val="0"/>
              <w:autoSpaceDN w:val="0"/>
              <w:adjustRightInd w:val="0"/>
              <w:spacing w:line="360" w:lineRule="exact"/>
              <w:rPr>
                <w:rFonts w:ascii="Times New Roman" w:hAnsi="Times New Roman" w:eastAsia="仿宋_GB2312" w:cs="Times New Roman"/>
                <w:kern w:val="0"/>
                <w:sz w:val="28"/>
                <w:szCs w:val="28"/>
              </w:rPr>
            </w:pPr>
          </w:p>
        </w:tc>
      </w:tr>
      <w:tr w14:paraId="51EB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09315267">
            <w:pPr>
              <w:autoSpaceDE w:val="0"/>
              <w:autoSpaceDN w:val="0"/>
              <w:adjustRightInd w:val="0"/>
              <w:spacing w:line="360" w:lineRule="exact"/>
              <w:jc w:val="left"/>
              <w:rPr>
                <w:rFonts w:ascii="Times New Roman" w:hAnsi="Times New Roman" w:eastAsia="仿宋_GB2312" w:cs="Times New Roman"/>
                <w:sz w:val="28"/>
                <w:szCs w:val="28"/>
              </w:rPr>
            </w:pPr>
          </w:p>
        </w:tc>
        <w:tc>
          <w:tcPr>
            <w:tcW w:w="6740" w:type="dxa"/>
            <w:gridSpan w:val="2"/>
            <w:vAlign w:val="center"/>
          </w:tcPr>
          <w:p w14:paraId="7C5BCFFC">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考虑的因素包括处理的方式和处理</w:t>
            </w:r>
            <w:r>
              <w:rPr>
                <w:rFonts w:hint="eastAsia" w:ascii="Times New Roman" w:hAnsi="Times New Roman" w:eastAsia="仿宋_GB2312" w:cs="Times New Roman"/>
                <w:sz w:val="28"/>
                <w:szCs w:val="28"/>
              </w:rPr>
              <w:t>的</w:t>
            </w:r>
            <w:r>
              <w:rPr>
                <w:rFonts w:ascii="Times New Roman" w:hAnsi="Times New Roman" w:eastAsia="仿宋_GB2312" w:cs="Times New Roman"/>
                <w:sz w:val="28"/>
                <w:szCs w:val="28"/>
              </w:rPr>
              <w:t>物质（如自动输液/血、透析、血液成分或细胞疗法处理）。</w:t>
            </w:r>
          </w:p>
        </w:tc>
        <w:tc>
          <w:tcPr>
            <w:tcW w:w="2319" w:type="dxa"/>
            <w:gridSpan w:val="2"/>
            <w:vAlign w:val="center"/>
          </w:tcPr>
          <w:p w14:paraId="62DD9ECD">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w:t>
            </w:r>
          </w:p>
        </w:tc>
      </w:tr>
      <w:tr w14:paraId="3DA1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1627F1CE">
            <w:pPr>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C.2.8</w:t>
            </w:r>
          </w:p>
        </w:tc>
        <w:tc>
          <w:tcPr>
            <w:tcW w:w="6740" w:type="dxa"/>
            <w:gridSpan w:val="2"/>
            <w:vAlign w:val="center"/>
          </w:tcPr>
          <w:p w14:paraId="0E53ABE3">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医疗器械是否以无菌形式提供或预期由使用者灭菌，或其他适用的微生物控制方法</w:t>
            </w:r>
          </w:p>
          <w:p w14:paraId="1197E871">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宜考虑的因素包括：</w:t>
            </w:r>
          </w:p>
        </w:tc>
        <w:tc>
          <w:tcPr>
            <w:tcW w:w="2319" w:type="dxa"/>
            <w:gridSpan w:val="2"/>
            <w:vAlign w:val="center"/>
          </w:tcPr>
          <w:p w14:paraId="0665E6C9">
            <w:pPr>
              <w:autoSpaceDE w:val="0"/>
              <w:autoSpaceDN w:val="0"/>
              <w:adjustRightInd w:val="0"/>
              <w:spacing w:line="360" w:lineRule="exact"/>
              <w:rPr>
                <w:rFonts w:ascii="Times New Roman" w:hAnsi="Times New Roman" w:eastAsia="仿宋_GB2312" w:cs="Times New Roman"/>
                <w:kern w:val="0"/>
                <w:sz w:val="28"/>
                <w:szCs w:val="28"/>
              </w:rPr>
            </w:pPr>
          </w:p>
        </w:tc>
      </w:tr>
      <w:tr w14:paraId="6271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vAlign w:val="center"/>
          </w:tcPr>
          <w:p w14:paraId="462549E3">
            <w:pPr>
              <w:spacing w:line="360" w:lineRule="exact"/>
              <w:jc w:val="left"/>
              <w:rPr>
                <w:rFonts w:ascii="Times New Roman" w:hAnsi="Times New Roman" w:eastAsia="仿宋_GB2312" w:cs="Times New Roman"/>
                <w:sz w:val="28"/>
                <w:szCs w:val="28"/>
              </w:rPr>
            </w:pPr>
          </w:p>
        </w:tc>
        <w:tc>
          <w:tcPr>
            <w:tcW w:w="6740" w:type="dxa"/>
            <w:gridSpan w:val="2"/>
            <w:vAlign w:val="center"/>
          </w:tcPr>
          <w:p w14:paraId="3AECACD8">
            <w:pPr>
              <w:numPr>
                <w:ilvl w:val="0"/>
                <w:numId w:val="2"/>
              </w:num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医疗器械是预期一次性使用包装，还是重复使用包装；</w:t>
            </w:r>
          </w:p>
        </w:tc>
        <w:tc>
          <w:tcPr>
            <w:tcW w:w="2319" w:type="dxa"/>
            <w:gridSpan w:val="2"/>
            <w:vAlign w:val="center"/>
          </w:tcPr>
          <w:p w14:paraId="37BFE222">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根据产品</w:t>
            </w:r>
            <w:r>
              <w:rPr>
                <w:rFonts w:ascii="Times New Roman" w:hAnsi="Times New Roman" w:eastAsia="仿宋_GB2312" w:cs="Times New Roman"/>
                <w:kern w:val="0"/>
                <w:sz w:val="28"/>
                <w:szCs w:val="28"/>
              </w:rPr>
              <w:t>的附件是否由制造商进行微生物控制</w:t>
            </w:r>
          </w:p>
        </w:tc>
      </w:tr>
      <w:tr w14:paraId="0684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35F80FB2">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7F0F4D0F">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贮存</w:t>
            </w:r>
            <w:r>
              <w:rPr>
                <w:rFonts w:ascii="Times New Roman" w:hAnsi="Times New Roman" w:eastAsia="仿宋_GB2312" w:cs="Times New Roman"/>
                <w:sz w:val="28"/>
                <w:szCs w:val="28"/>
              </w:rPr>
              <w:t>寿命的标示；</w:t>
            </w:r>
          </w:p>
        </w:tc>
        <w:tc>
          <w:tcPr>
            <w:tcW w:w="2319" w:type="dxa"/>
            <w:gridSpan w:val="2"/>
            <w:vAlign w:val="center"/>
          </w:tcPr>
          <w:p w14:paraId="63D6152F">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依据企业信息提供</w:t>
            </w:r>
          </w:p>
        </w:tc>
      </w:tr>
      <w:tr w14:paraId="571F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5E36B632">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1414D7DA">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重复使用周期次数的限制；</w:t>
            </w:r>
          </w:p>
        </w:tc>
        <w:tc>
          <w:tcPr>
            <w:tcW w:w="2319" w:type="dxa"/>
            <w:gridSpan w:val="2"/>
            <w:vAlign w:val="center"/>
          </w:tcPr>
          <w:p w14:paraId="6E924601">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依据企业信息提供</w:t>
            </w:r>
          </w:p>
        </w:tc>
      </w:tr>
      <w:tr w14:paraId="7D16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52CD324A">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1C6304B8">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产品灭菌方法；</w:t>
            </w:r>
          </w:p>
        </w:tc>
        <w:tc>
          <w:tcPr>
            <w:tcW w:w="2319" w:type="dxa"/>
            <w:gridSpan w:val="2"/>
            <w:vAlign w:val="center"/>
          </w:tcPr>
          <w:p w14:paraId="5C82D7CD">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若由</w:t>
            </w:r>
            <w:r>
              <w:rPr>
                <w:rFonts w:ascii="Times New Roman" w:hAnsi="Times New Roman" w:eastAsia="仿宋_GB2312" w:cs="Times New Roman"/>
                <w:kern w:val="0"/>
                <w:sz w:val="28"/>
                <w:szCs w:val="28"/>
              </w:rPr>
              <w:t>制造商灭菌，应明示灭菌方法</w:t>
            </w:r>
          </w:p>
        </w:tc>
      </w:tr>
      <w:tr w14:paraId="3E21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0D022990">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7BDFE6F4">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非制造商预期的其他灭菌方法的影响。</w:t>
            </w:r>
          </w:p>
        </w:tc>
        <w:tc>
          <w:tcPr>
            <w:tcW w:w="2319" w:type="dxa"/>
            <w:gridSpan w:val="2"/>
            <w:vAlign w:val="center"/>
          </w:tcPr>
          <w:p w14:paraId="1A59E0C2">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依据</w:t>
            </w:r>
            <w:r>
              <w:rPr>
                <w:rFonts w:hint="eastAsia" w:ascii="Times New Roman" w:hAnsi="Times New Roman" w:eastAsia="仿宋_GB2312" w:cs="Times New Roman"/>
                <w:kern w:val="0"/>
                <w:sz w:val="28"/>
                <w:szCs w:val="28"/>
              </w:rPr>
              <w:t>产品公示</w:t>
            </w:r>
            <w:r>
              <w:rPr>
                <w:rFonts w:ascii="Times New Roman" w:hAnsi="Times New Roman" w:eastAsia="仿宋_GB2312" w:cs="Times New Roman"/>
                <w:kern w:val="0"/>
                <w:sz w:val="28"/>
                <w:szCs w:val="28"/>
              </w:rPr>
              <w:t>的信息提供</w:t>
            </w:r>
          </w:p>
        </w:tc>
      </w:tr>
      <w:tr w14:paraId="02A6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723BE122">
            <w:pPr>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C.2.9</w:t>
            </w:r>
          </w:p>
        </w:tc>
        <w:tc>
          <w:tcPr>
            <w:tcW w:w="6740" w:type="dxa"/>
            <w:gridSpan w:val="2"/>
            <w:vAlign w:val="center"/>
          </w:tcPr>
          <w:p w14:paraId="54980BBC">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医疗器械是否预期由用户进行常规清洁和消毒</w:t>
            </w:r>
          </w:p>
        </w:tc>
        <w:tc>
          <w:tcPr>
            <w:tcW w:w="2319" w:type="dxa"/>
            <w:gridSpan w:val="2"/>
            <w:vAlign w:val="center"/>
          </w:tcPr>
          <w:p w14:paraId="000AA5E3">
            <w:pPr>
              <w:autoSpaceDE w:val="0"/>
              <w:autoSpaceDN w:val="0"/>
              <w:adjustRightInd w:val="0"/>
              <w:spacing w:line="360" w:lineRule="exact"/>
              <w:rPr>
                <w:rFonts w:ascii="Times New Roman" w:hAnsi="Times New Roman" w:eastAsia="仿宋_GB2312" w:cs="Times New Roman"/>
                <w:kern w:val="0"/>
                <w:sz w:val="28"/>
                <w:szCs w:val="28"/>
              </w:rPr>
            </w:pPr>
          </w:p>
        </w:tc>
      </w:tr>
      <w:tr w14:paraId="6F14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53EDC860">
            <w:pPr>
              <w:spacing w:line="360" w:lineRule="exact"/>
              <w:jc w:val="left"/>
              <w:rPr>
                <w:rFonts w:ascii="Times New Roman" w:hAnsi="Times New Roman" w:eastAsia="仿宋_GB2312" w:cs="Times New Roman"/>
                <w:sz w:val="28"/>
                <w:szCs w:val="28"/>
              </w:rPr>
            </w:pPr>
          </w:p>
        </w:tc>
        <w:tc>
          <w:tcPr>
            <w:tcW w:w="6740" w:type="dxa"/>
            <w:gridSpan w:val="2"/>
            <w:vAlign w:val="center"/>
          </w:tcPr>
          <w:p w14:paraId="3159D26D">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考虑的因素包括使用的清洁剂或消毒剂的类型和清洁周期次数的限制。医疗器械的设计可影响日常清洁和消毒的有效性。另外，</w:t>
            </w: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考虑清洁剂或消毒剂对器械安全性和性能的影响。</w:t>
            </w:r>
          </w:p>
        </w:tc>
        <w:tc>
          <w:tcPr>
            <w:tcW w:w="2319" w:type="dxa"/>
            <w:gridSpan w:val="2"/>
            <w:vAlign w:val="center"/>
          </w:tcPr>
          <w:p w14:paraId="55F06004">
            <w:pPr>
              <w:autoSpaceDE w:val="0"/>
              <w:autoSpaceDN w:val="0"/>
              <w:adjustRightInd w:val="0"/>
              <w:spacing w:line="360" w:lineRule="exact"/>
              <w:rPr>
                <w:rFonts w:ascii="Times New Roman" w:hAnsi="Times New Roman" w:eastAsia="仿宋_GB2312" w:cs="Times New Roman"/>
                <w:color w:val="FF0000"/>
                <w:kern w:val="0"/>
                <w:sz w:val="28"/>
                <w:szCs w:val="28"/>
              </w:rPr>
            </w:pPr>
            <w:r>
              <w:rPr>
                <w:rFonts w:ascii="Times New Roman" w:hAnsi="Times New Roman" w:eastAsia="仿宋_GB2312" w:cs="Times New Roman"/>
                <w:kern w:val="0"/>
                <w:sz w:val="28"/>
                <w:szCs w:val="28"/>
              </w:rPr>
              <w:t>依据</w:t>
            </w:r>
            <w:r>
              <w:rPr>
                <w:rFonts w:hint="eastAsia" w:ascii="Times New Roman" w:hAnsi="Times New Roman" w:eastAsia="仿宋_GB2312" w:cs="Times New Roman"/>
                <w:kern w:val="0"/>
                <w:sz w:val="28"/>
                <w:szCs w:val="28"/>
              </w:rPr>
              <w:t>产品公示的</w:t>
            </w:r>
            <w:r>
              <w:rPr>
                <w:rFonts w:ascii="Times New Roman" w:hAnsi="Times New Roman" w:eastAsia="仿宋_GB2312" w:cs="Times New Roman"/>
                <w:kern w:val="0"/>
                <w:sz w:val="28"/>
                <w:szCs w:val="28"/>
              </w:rPr>
              <w:t>信息提供</w:t>
            </w:r>
          </w:p>
        </w:tc>
      </w:tr>
      <w:tr w14:paraId="2D6F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tcPr>
          <w:p w14:paraId="6DEF39AC">
            <w:pPr>
              <w:autoSpaceDE w:val="0"/>
              <w:autoSpaceDN w:val="0"/>
              <w:adjustRightInd w:val="0"/>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C.2.10</w:t>
            </w:r>
          </w:p>
        </w:tc>
        <w:tc>
          <w:tcPr>
            <w:tcW w:w="6740" w:type="dxa"/>
            <w:gridSpan w:val="2"/>
            <w:vAlign w:val="center"/>
          </w:tcPr>
          <w:p w14:paraId="7DA86529">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医疗器械是否预期改善患者的环境</w:t>
            </w:r>
          </w:p>
          <w:p w14:paraId="0F3497FA">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宜考虑的因素包括：</w:t>
            </w:r>
          </w:p>
        </w:tc>
        <w:tc>
          <w:tcPr>
            <w:tcW w:w="2319" w:type="dxa"/>
            <w:gridSpan w:val="2"/>
            <w:vAlign w:val="center"/>
          </w:tcPr>
          <w:p w14:paraId="042A7EDC">
            <w:pPr>
              <w:autoSpaceDE w:val="0"/>
              <w:autoSpaceDN w:val="0"/>
              <w:adjustRightInd w:val="0"/>
              <w:spacing w:line="360" w:lineRule="exact"/>
              <w:rPr>
                <w:rFonts w:ascii="Times New Roman" w:hAnsi="Times New Roman" w:eastAsia="仿宋_GB2312" w:cs="Times New Roman"/>
                <w:kern w:val="0"/>
                <w:sz w:val="28"/>
                <w:szCs w:val="28"/>
              </w:rPr>
            </w:pPr>
          </w:p>
        </w:tc>
      </w:tr>
      <w:tr w14:paraId="7F3F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vAlign w:val="center"/>
          </w:tcPr>
          <w:p w14:paraId="44AB0913">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1D905CC5">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温度；</w:t>
            </w:r>
          </w:p>
        </w:tc>
        <w:tc>
          <w:tcPr>
            <w:tcW w:w="2319" w:type="dxa"/>
            <w:gridSpan w:val="2"/>
            <w:vAlign w:val="center"/>
          </w:tcPr>
          <w:p w14:paraId="1E600264">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w:t>
            </w:r>
          </w:p>
        </w:tc>
      </w:tr>
      <w:tr w14:paraId="27A2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7AD4848D">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59BA3012">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湿度；</w:t>
            </w:r>
          </w:p>
        </w:tc>
        <w:tc>
          <w:tcPr>
            <w:tcW w:w="2319" w:type="dxa"/>
            <w:gridSpan w:val="2"/>
            <w:vAlign w:val="center"/>
          </w:tcPr>
          <w:p w14:paraId="389F499C">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r>
      <w:tr w14:paraId="1882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1E1FF178">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467EED68">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大气成分；</w:t>
            </w:r>
          </w:p>
        </w:tc>
        <w:tc>
          <w:tcPr>
            <w:tcW w:w="2319" w:type="dxa"/>
            <w:gridSpan w:val="2"/>
            <w:vAlign w:val="center"/>
          </w:tcPr>
          <w:p w14:paraId="3FA43C63">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r>
      <w:tr w14:paraId="135C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477BD367">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6B4AF7B2">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压力；</w:t>
            </w:r>
          </w:p>
        </w:tc>
        <w:tc>
          <w:tcPr>
            <w:tcW w:w="2319" w:type="dxa"/>
            <w:gridSpan w:val="2"/>
            <w:vAlign w:val="center"/>
          </w:tcPr>
          <w:p w14:paraId="0561C465">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r>
      <w:tr w14:paraId="43A5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6E1B3C55">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72E43A70">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光线</w:t>
            </w:r>
            <w:r>
              <w:rPr>
                <w:rFonts w:hint="eastAsia" w:ascii="Times New Roman" w:hAnsi="Times New Roman" w:eastAsia="仿宋_GB2312" w:cs="Times New Roman"/>
                <w:sz w:val="28"/>
                <w:szCs w:val="28"/>
              </w:rPr>
              <w:t>。</w:t>
            </w:r>
          </w:p>
        </w:tc>
        <w:tc>
          <w:tcPr>
            <w:tcW w:w="2319" w:type="dxa"/>
            <w:gridSpan w:val="2"/>
            <w:vAlign w:val="center"/>
          </w:tcPr>
          <w:p w14:paraId="691D2E6E">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r>
      <w:tr w14:paraId="1704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tcPr>
          <w:p w14:paraId="4A56F0B5">
            <w:pPr>
              <w:autoSpaceDE w:val="0"/>
              <w:autoSpaceDN w:val="0"/>
              <w:adjustRightInd w:val="0"/>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C.2.11</w:t>
            </w:r>
          </w:p>
        </w:tc>
        <w:tc>
          <w:tcPr>
            <w:tcW w:w="6740" w:type="dxa"/>
            <w:gridSpan w:val="2"/>
            <w:vAlign w:val="center"/>
          </w:tcPr>
          <w:p w14:paraId="718476B5">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是否进行测量？</w:t>
            </w:r>
          </w:p>
        </w:tc>
        <w:tc>
          <w:tcPr>
            <w:tcW w:w="2319" w:type="dxa"/>
            <w:gridSpan w:val="2"/>
            <w:vAlign w:val="center"/>
          </w:tcPr>
          <w:p w14:paraId="543784C5">
            <w:pPr>
              <w:autoSpaceDE w:val="0"/>
              <w:autoSpaceDN w:val="0"/>
              <w:adjustRightInd w:val="0"/>
              <w:spacing w:line="360" w:lineRule="exact"/>
              <w:rPr>
                <w:rFonts w:ascii="Times New Roman" w:hAnsi="Times New Roman" w:eastAsia="仿宋_GB2312" w:cs="Times New Roman"/>
                <w:kern w:val="0"/>
                <w:sz w:val="28"/>
                <w:szCs w:val="28"/>
              </w:rPr>
            </w:pPr>
          </w:p>
        </w:tc>
      </w:tr>
      <w:tr w14:paraId="24E6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47A499FC">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29DC8706">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考虑的因素包括测量变量和测量结果的准确度和精密度。</w:t>
            </w:r>
          </w:p>
        </w:tc>
        <w:tc>
          <w:tcPr>
            <w:tcW w:w="2319" w:type="dxa"/>
            <w:gridSpan w:val="2"/>
            <w:vAlign w:val="center"/>
          </w:tcPr>
          <w:p w14:paraId="5B71571B">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依据制产品公示的</w:t>
            </w:r>
            <w:r>
              <w:rPr>
                <w:rFonts w:ascii="Times New Roman" w:hAnsi="Times New Roman" w:eastAsia="仿宋_GB2312" w:cs="Times New Roman"/>
                <w:kern w:val="0"/>
                <w:sz w:val="28"/>
                <w:szCs w:val="28"/>
              </w:rPr>
              <w:t>的信息</w:t>
            </w:r>
          </w:p>
        </w:tc>
      </w:tr>
      <w:tr w14:paraId="5209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tcPr>
          <w:p w14:paraId="194ABA77">
            <w:pPr>
              <w:autoSpaceDE w:val="0"/>
              <w:autoSpaceDN w:val="0"/>
              <w:adjustRightInd w:val="0"/>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C.2.12</w:t>
            </w:r>
          </w:p>
        </w:tc>
        <w:tc>
          <w:tcPr>
            <w:tcW w:w="6740" w:type="dxa"/>
            <w:gridSpan w:val="2"/>
            <w:vAlign w:val="center"/>
          </w:tcPr>
          <w:p w14:paraId="40EBC9C6">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医疗器械是否进行分析处理？</w:t>
            </w:r>
          </w:p>
        </w:tc>
        <w:tc>
          <w:tcPr>
            <w:tcW w:w="2319" w:type="dxa"/>
            <w:gridSpan w:val="2"/>
            <w:vAlign w:val="center"/>
          </w:tcPr>
          <w:p w14:paraId="0EBF662F">
            <w:pPr>
              <w:autoSpaceDE w:val="0"/>
              <w:autoSpaceDN w:val="0"/>
              <w:adjustRightInd w:val="0"/>
              <w:spacing w:line="360" w:lineRule="exact"/>
              <w:rPr>
                <w:rFonts w:ascii="Times New Roman" w:hAnsi="Times New Roman" w:eastAsia="仿宋_GB2312" w:cs="Times New Roman"/>
                <w:kern w:val="0"/>
                <w:sz w:val="28"/>
                <w:szCs w:val="28"/>
              </w:rPr>
            </w:pPr>
          </w:p>
        </w:tc>
      </w:tr>
      <w:tr w14:paraId="420A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35E32F8A">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02E9807B">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考虑的因素包括医疗器械是否由输入或获得的数据显示结论、所采用的计算方法和置信限。</w:t>
            </w: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特别注意数据和计算方法的非预期应用。</w:t>
            </w:r>
          </w:p>
        </w:tc>
        <w:tc>
          <w:tcPr>
            <w:tcW w:w="2319" w:type="dxa"/>
            <w:gridSpan w:val="2"/>
            <w:vAlign w:val="center"/>
          </w:tcPr>
          <w:p w14:paraId="25A359B7">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依据制产品公示的的信息</w:t>
            </w:r>
          </w:p>
        </w:tc>
      </w:tr>
      <w:tr w14:paraId="76ED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7835A230">
            <w:pPr>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C.2.13</w:t>
            </w:r>
          </w:p>
        </w:tc>
        <w:tc>
          <w:tcPr>
            <w:tcW w:w="6740" w:type="dxa"/>
            <w:gridSpan w:val="2"/>
            <w:vAlign w:val="center"/>
          </w:tcPr>
          <w:p w14:paraId="07603113">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医疗器械是否预期和其他医疗器械、医药或其他医疗技术联合使用</w:t>
            </w:r>
          </w:p>
        </w:tc>
        <w:tc>
          <w:tcPr>
            <w:tcW w:w="2319" w:type="dxa"/>
            <w:gridSpan w:val="2"/>
            <w:vAlign w:val="center"/>
          </w:tcPr>
          <w:p w14:paraId="2A4563BD">
            <w:pPr>
              <w:autoSpaceDE w:val="0"/>
              <w:autoSpaceDN w:val="0"/>
              <w:adjustRightInd w:val="0"/>
              <w:spacing w:line="360" w:lineRule="exact"/>
              <w:rPr>
                <w:rFonts w:ascii="Times New Roman" w:hAnsi="Times New Roman" w:eastAsia="仿宋_GB2312" w:cs="Times New Roman"/>
                <w:kern w:val="0"/>
                <w:sz w:val="28"/>
                <w:szCs w:val="28"/>
              </w:rPr>
            </w:pPr>
          </w:p>
        </w:tc>
      </w:tr>
      <w:tr w14:paraId="5CE3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7AE99AC9">
            <w:pPr>
              <w:spacing w:line="360" w:lineRule="exact"/>
              <w:jc w:val="left"/>
              <w:rPr>
                <w:rFonts w:ascii="Times New Roman" w:hAnsi="Times New Roman" w:eastAsia="仿宋_GB2312" w:cs="Times New Roman"/>
                <w:sz w:val="28"/>
                <w:szCs w:val="28"/>
              </w:rPr>
            </w:pPr>
          </w:p>
        </w:tc>
        <w:tc>
          <w:tcPr>
            <w:tcW w:w="6740" w:type="dxa"/>
            <w:gridSpan w:val="2"/>
            <w:vAlign w:val="center"/>
          </w:tcPr>
          <w:p w14:paraId="4771A29F">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考虑的因素包括识别可能涉及的任何其他医疗器械、医药或其他医疗技术和与其相互作用有关的潜在问题，以及患者是否遵从治疗。</w:t>
            </w:r>
          </w:p>
        </w:tc>
        <w:tc>
          <w:tcPr>
            <w:tcW w:w="2319" w:type="dxa"/>
            <w:gridSpan w:val="2"/>
            <w:vAlign w:val="center"/>
          </w:tcPr>
          <w:p w14:paraId="73A5957E">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本产品与药品联合使用</w:t>
            </w:r>
            <w:r>
              <w:rPr>
                <w:rFonts w:hint="eastAsia" w:ascii="Times New Roman" w:hAnsi="Times New Roman" w:eastAsia="仿宋_GB2312" w:cs="Times New Roman"/>
                <w:kern w:val="0"/>
                <w:sz w:val="28"/>
                <w:szCs w:val="28"/>
              </w:rPr>
              <w:t>，有可能</w:t>
            </w:r>
            <w:r>
              <w:rPr>
                <w:rFonts w:ascii="Times New Roman" w:hAnsi="Times New Roman" w:eastAsia="仿宋_GB2312" w:cs="Times New Roman"/>
                <w:kern w:val="0"/>
                <w:sz w:val="28"/>
                <w:szCs w:val="28"/>
              </w:rPr>
              <w:t>与呼吸及麻醉系统联合</w:t>
            </w:r>
            <w:r>
              <w:rPr>
                <w:rFonts w:hint="eastAsia" w:ascii="Times New Roman" w:hAnsi="Times New Roman" w:eastAsia="仿宋_GB2312" w:cs="Times New Roman"/>
                <w:kern w:val="0"/>
                <w:sz w:val="28"/>
                <w:szCs w:val="28"/>
              </w:rPr>
              <w:t>使用</w:t>
            </w:r>
          </w:p>
        </w:tc>
      </w:tr>
      <w:tr w14:paraId="2E81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tcPr>
          <w:p w14:paraId="782BD9B6">
            <w:pPr>
              <w:autoSpaceDE w:val="0"/>
              <w:autoSpaceDN w:val="0"/>
              <w:adjustRightInd w:val="0"/>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C.2.14</w:t>
            </w:r>
          </w:p>
        </w:tc>
        <w:tc>
          <w:tcPr>
            <w:tcW w:w="6740" w:type="dxa"/>
            <w:gridSpan w:val="2"/>
            <w:vAlign w:val="center"/>
          </w:tcPr>
          <w:p w14:paraId="4718AD02">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是否有不希望的能量或物质输出</w:t>
            </w:r>
          </w:p>
        </w:tc>
        <w:tc>
          <w:tcPr>
            <w:tcW w:w="2319" w:type="dxa"/>
            <w:gridSpan w:val="2"/>
            <w:vAlign w:val="center"/>
          </w:tcPr>
          <w:p w14:paraId="5413029D">
            <w:pPr>
              <w:autoSpaceDE w:val="0"/>
              <w:autoSpaceDN w:val="0"/>
              <w:adjustRightInd w:val="0"/>
              <w:spacing w:line="360" w:lineRule="exact"/>
              <w:rPr>
                <w:rFonts w:ascii="Times New Roman" w:hAnsi="Times New Roman" w:eastAsia="仿宋_GB2312" w:cs="Times New Roman"/>
                <w:kern w:val="0"/>
                <w:sz w:val="28"/>
                <w:szCs w:val="28"/>
              </w:rPr>
            </w:pPr>
          </w:p>
        </w:tc>
      </w:tr>
      <w:tr w14:paraId="0FD7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6C116F20">
            <w:pPr>
              <w:spacing w:line="360" w:lineRule="exact"/>
              <w:jc w:val="left"/>
              <w:rPr>
                <w:rFonts w:ascii="Times New Roman" w:hAnsi="Times New Roman" w:eastAsia="仿宋_GB2312" w:cs="Times New Roman"/>
                <w:sz w:val="28"/>
                <w:szCs w:val="28"/>
              </w:rPr>
            </w:pPr>
          </w:p>
        </w:tc>
        <w:tc>
          <w:tcPr>
            <w:tcW w:w="6740" w:type="dxa"/>
            <w:gridSpan w:val="2"/>
            <w:vAlign w:val="center"/>
          </w:tcPr>
          <w:p w14:paraId="18529AC6">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考虑的与能量相关的因素包括噪声与振动、热、辐射（包括电离、非电离辐射和紫外/可见光/红外辐射）、接触温度、漏电流和电场或磁场。</w:t>
            </w:r>
          </w:p>
        </w:tc>
        <w:tc>
          <w:tcPr>
            <w:tcW w:w="2319" w:type="dxa"/>
            <w:gridSpan w:val="2"/>
            <w:vAlign w:val="center"/>
          </w:tcPr>
          <w:p w14:paraId="1C769F46">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可能会有漏电流、接触温度、电磁</w:t>
            </w:r>
            <w:r>
              <w:rPr>
                <w:rFonts w:hint="eastAsia" w:ascii="Times New Roman" w:hAnsi="Times New Roman" w:eastAsia="仿宋_GB2312" w:cs="Times New Roman"/>
                <w:kern w:val="0"/>
                <w:sz w:val="28"/>
                <w:szCs w:val="28"/>
              </w:rPr>
              <w:t>辐射</w:t>
            </w:r>
            <w:r>
              <w:rPr>
                <w:rFonts w:ascii="Times New Roman" w:hAnsi="Times New Roman" w:eastAsia="仿宋_GB2312" w:cs="Times New Roman"/>
                <w:kern w:val="0"/>
                <w:sz w:val="28"/>
                <w:szCs w:val="28"/>
              </w:rPr>
              <w:t>、噪声</w:t>
            </w:r>
          </w:p>
        </w:tc>
      </w:tr>
      <w:tr w14:paraId="5381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578F8E5E">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40845D53">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考虑的与物质相关的因素包括制造、清洁或试验中使用的物质，如果该物质残留在产品中具有不希望的生理效应。</w:t>
            </w:r>
          </w:p>
        </w:tc>
        <w:tc>
          <w:tcPr>
            <w:tcW w:w="2319" w:type="dxa"/>
            <w:gridSpan w:val="2"/>
            <w:vAlign w:val="center"/>
          </w:tcPr>
          <w:p w14:paraId="0692710C">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使用</w:t>
            </w:r>
            <w:r>
              <w:rPr>
                <w:rFonts w:ascii="Times New Roman" w:hAnsi="Times New Roman" w:eastAsia="仿宋_GB2312" w:cs="Times New Roman"/>
                <w:kern w:val="0"/>
                <w:sz w:val="28"/>
                <w:szCs w:val="28"/>
              </w:rPr>
              <w:t>环氧乙烷</w:t>
            </w:r>
            <w:r>
              <w:rPr>
                <w:rFonts w:hint="eastAsia" w:ascii="Times New Roman" w:hAnsi="Times New Roman" w:eastAsia="仿宋_GB2312" w:cs="Times New Roman"/>
                <w:kern w:val="0"/>
                <w:sz w:val="28"/>
                <w:szCs w:val="28"/>
              </w:rPr>
              <w:t>进行微生物</w:t>
            </w:r>
            <w:r>
              <w:rPr>
                <w:rFonts w:ascii="Times New Roman" w:hAnsi="Times New Roman" w:eastAsia="仿宋_GB2312" w:cs="Times New Roman"/>
                <w:kern w:val="0"/>
                <w:sz w:val="28"/>
                <w:szCs w:val="28"/>
              </w:rPr>
              <w:t>控制的部件，应考虑残留量的风险</w:t>
            </w:r>
          </w:p>
        </w:tc>
      </w:tr>
      <w:tr w14:paraId="68FA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2BA37591">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117410EA">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考虑的与物质相关的其他因素包括化学物质、废物和体液的排放。</w:t>
            </w:r>
          </w:p>
        </w:tc>
        <w:tc>
          <w:tcPr>
            <w:tcW w:w="2319" w:type="dxa"/>
            <w:gridSpan w:val="2"/>
            <w:vAlign w:val="center"/>
          </w:tcPr>
          <w:p w14:paraId="210FA0DE">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r>
      <w:tr w14:paraId="5F28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tcPr>
          <w:p w14:paraId="0ECCBA37">
            <w:pPr>
              <w:autoSpaceDE w:val="0"/>
              <w:autoSpaceDN w:val="0"/>
              <w:adjustRightInd w:val="0"/>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C.2.15</w:t>
            </w:r>
          </w:p>
        </w:tc>
        <w:tc>
          <w:tcPr>
            <w:tcW w:w="6740" w:type="dxa"/>
            <w:gridSpan w:val="2"/>
            <w:vAlign w:val="center"/>
          </w:tcPr>
          <w:p w14:paraId="22F7FBC7">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医疗器械是否易受环境影响</w:t>
            </w:r>
          </w:p>
        </w:tc>
        <w:tc>
          <w:tcPr>
            <w:tcW w:w="2319" w:type="dxa"/>
            <w:gridSpan w:val="2"/>
            <w:vAlign w:val="center"/>
          </w:tcPr>
          <w:p w14:paraId="2743CB98">
            <w:pPr>
              <w:autoSpaceDE w:val="0"/>
              <w:autoSpaceDN w:val="0"/>
              <w:adjustRightInd w:val="0"/>
              <w:spacing w:line="360" w:lineRule="exact"/>
              <w:rPr>
                <w:rFonts w:ascii="Times New Roman" w:hAnsi="Times New Roman" w:eastAsia="仿宋_GB2312" w:cs="Times New Roman"/>
                <w:sz w:val="28"/>
                <w:szCs w:val="28"/>
              </w:rPr>
            </w:pPr>
          </w:p>
        </w:tc>
      </w:tr>
      <w:tr w14:paraId="6CF1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788172AD">
            <w:pPr>
              <w:spacing w:line="360" w:lineRule="exact"/>
              <w:jc w:val="left"/>
              <w:rPr>
                <w:rFonts w:ascii="Times New Roman" w:hAnsi="Times New Roman" w:eastAsia="仿宋_GB2312" w:cs="Times New Roman"/>
                <w:sz w:val="28"/>
                <w:szCs w:val="28"/>
              </w:rPr>
            </w:pPr>
          </w:p>
        </w:tc>
        <w:tc>
          <w:tcPr>
            <w:tcW w:w="6740" w:type="dxa"/>
            <w:gridSpan w:val="2"/>
            <w:vAlign w:val="center"/>
          </w:tcPr>
          <w:p w14:paraId="0367768C">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考虑的因素包括操作、运输和</w:t>
            </w:r>
            <w:r>
              <w:rPr>
                <w:rFonts w:hint="eastAsia" w:ascii="Times New Roman" w:hAnsi="Times New Roman" w:eastAsia="仿宋_GB2312" w:cs="Times New Roman"/>
                <w:sz w:val="28"/>
                <w:szCs w:val="28"/>
              </w:rPr>
              <w:t>贮存</w:t>
            </w:r>
            <w:r>
              <w:rPr>
                <w:rFonts w:ascii="Times New Roman" w:hAnsi="Times New Roman" w:eastAsia="仿宋_GB2312" w:cs="Times New Roman"/>
                <w:sz w:val="28"/>
                <w:szCs w:val="28"/>
              </w:rPr>
              <w:t>环境。</w:t>
            </w:r>
            <w:r>
              <w:rPr>
                <w:rFonts w:hint="eastAsia" w:ascii="Times New Roman" w:hAnsi="Times New Roman" w:eastAsia="仿宋_GB2312" w:cs="Times New Roman"/>
                <w:sz w:val="28"/>
                <w:szCs w:val="28"/>
              </w:rPr>
              <w:t>这些因素</w:t>
            </w:r>
            <w:r>
              <w:rPr>
                <w:rFonts w:ascii="Times New Roman" w:hAnsi="Times New Roman" w:eastAsia="仿宋_GB2312" w:cs="Times New Roman"/>
                <w:sz w:val="28"/>
                <w:szCs w:val="28"/>
              </w:rPr>
              <w:t>包括光、温度、湿度、振动、泄漏、对</w:t>
            </w:r>
            <w:r>
              <w:rPr>
                <w:rFonts w:hint="eastAsia" w:ascii="Times New Roman" w:hAnsi="Times New Roman" w:eastAsia="仿宋_GB2312" w:cs="Times New Roman"/>
                <w:sz w:val="28"/>
                <w:szCs w:val="28"/>
              </w:rPr>
              <w:t>电</w:t>
            </w:r>
            <w:r>
              <w:rPr>
                <w:rFonts w:ascii="Times New Roman" w:hAnsi="Times New Roman" w:eastAsia="仿宋_GB2312" w:cs="Times New Roman"/>
                <w:sz w:val="28"/>
                <w:szCs w:val="28"/>
              </w:rPr>
              <w:t>源和</w:t>
            </w:r>
            <w:r>
              <w:rPr>
                <w:rFonts w:hint="eastAsia" w:ascii="Times New Roman" w:hAnsi="Times New Roman" w:eastAsia="仿宋_GB2312" w:cs="Times New Roman"/>
                <w:sz w:val="28"/>
                <w:szCs w:val="28"/>
              </w:rPr>
              <w:t>制冷</w:t>
            </w:r>
            <w:r>
              <w:rPr>
                <w:rFonts w:ascii="Times New Roman" w:hAnsi="Times New Roman" w:eastAsia="仿宋_GB2312" w:cs="Times New Roman"/>
                <w:sz w:val="28"/>
                <w:szCs w:val="28"/>
              </w:rPr>
              <w:t>供应变化的敏感性和电磁干扰。</w:t>
            </w:r>
          </w:p>
        </w:tc>
        <w:tc>
          <w:tcPr>
            <w:tcW w:w="2319" w:type="dxa"/>
            <w:gridSpan w:val="2"/>
            <w:vAlign w:val="center"/>
          </w:tcPr>
          <w:p w14:paraId="7EA35AC3">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sz w:val="28"/>
                <w:szCs w:val="28"/>
              </w:rPr>
              <w:t>受电磁干扰</w:t>
            </w:r>
          </w:p>
        </w:tc>
      </w:tr>
      <w:tr w14:paraId="7B62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4ABD06BB">
            <w:pPr>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C.2.16</w:t>
            </w:r>
          </w:p>
        </w:tc>
        <w:tc>
          <w:tcPr>
            <w:tcW w:w="6740" w:type="dxa"/>
            <w:gridSpan w:val="2"/>
            <w:vAlign w:val="center"/>
          </w:tcPr>
          <w:p w14:paraId="239A6AE8">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医疗器械是否影响环境</w:t>
            </w:r>
          </w:p>
          <w:p w14:paraId="71A70286">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宜考虑的因素包括：</w:t>
            </w:r>
          </w:p>
        </w:tc>
        <w:tc>
          <w:tcPr>
            <w:tcW w:w="2319" w:type="dxa"/>
            <w:gridSpan w:val="2"/>
            <w:vAlign w:val="center"/>
          </w:tcPr>
          <w:p w14:paraId="35271D45">
            <w:pPr>
              <w:autoSpaceDE w:val="0"/>
              <w:autoSpaceDN w:val="0"/>
              <w:adjustRightInd w:val="0"/>
              <w:spacing w:line="360" w:lineRule="exact"/>
              <w:rPr>
                <w:rFonts w:ascii="Times New Roman" w:hAnsi="Times New Roman" w:eastAsia="仿宋_GB2312" w:cs="Times New Roman"/>
                <w:kern w:val="0"/>
                <w:sz w:val="28"/>
                <w:szCs w:val="28"/>
              </w:rPr>
            </w:pPr>
          </w:p>
        </w:tc>
      </w:tr>
      <w:tr w14:paraId="5F57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7C1E1860">
            <w:pPr>
              <w:spacing w:line="360" w:lineRule="exact"/>
              <w:jc w:val="left"/>
              <w:rPr>
                <w:rFonts w:ascii="Times New Roman" w:hAnsi="Times New Roman" w:eastAsia="仿宋_GB2312" w:cs="Times New Roman"/>
                <w:sz w:val="28"/>
                <w:szCs w:val="28"/>
              </w:rPr>
            </w:pPr>
          </w:p>
        </w:tc>
        <w:tc>
          <w:tcPr>
            <w:tcW w:w="6740" w:type="dxa"/>
            <w:gridSpan w:val="2"/>
            <w:vAlign w:val="center"/>
          </w:tcPr>
          <w:p w14:paraId="29F0FD47">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对能源和致冷供应的影响；</w:t>
            </w:r>
          </w:p>
        </w:tc>
        <w:tc>
          <w:tcPr>
            <w:tcW w:w="2319" w:type="dxa"/>
            <w:gridSpan w:val="2"/>
            <w:vAlign w:val="center"/>
          </w:tcPr>
          <w:p w14:paraId="479C74E9">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r>
      <w:tr w14:paraId="29C6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vAlign w:val="center"/>
          </w:tcPr>
          <w:p w14:paraId="6EB05AE7">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3E09C59C">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毒性物质的散发；</w:t>
            </w:r>
          </w:p>
        </w:tc>
        <w:tc>
          <w:tcPr>
            <w:tcW w:w="2319" w:type="dxa"/>
            <w:gridSpan w:val="2"/>
            <w:vAlign w:val="center"/>
          </w:tcPr>
          <w:p w14:paraId="7B3C1DB5">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r>
      <w:tr w14:paraId="50EF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3E73AE6E">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4C20A774">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电磁干扰的产生。</w:t>
            </w:r>
          </w:p>
        </w:tc>
        <w:tc>
          <w:tcPr>
            <w:tcW w:w="2319" w:type="dxa"/>
            <w:gridSpan w:val="2"/>
            <w:vAlign w:val="center"/>
          </w:tcPr>
          <w:p w14:paraId="7F62002C">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可能</w:t>
            </w:r>
          </w:p>
        </w:tc>
      </w:tr>
      <w:tr w14:paraId="4157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4B407807">
            <w:pPr>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C.2.17</w:t>
            </w:r>
          </w:p>
        </w:tc>
        <w:tc>
          <w:tcPr>
            <w:tcW w:w="6740" w:type="dxa"/>
            <w:gridSpan w:val="2"/>
            <w:vAlign w:val="center"/>
          </w:tcPr>
          <w:p w14:paraId="0D5D149A">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医疗器械是否有基本的消耗品或附件</w:t>
            </w:r>
          </w:p>
        </w:tc>
        <w:tc>
          <w:tcPr>
            <w:tcW w:w="2319" w:type="dxa"/>
            <w:gridSpan w:val="2"/>
            <w:vAlign w:val="center"/>
          </w:tcPr>
          <w:p w14:paraId="51391B94">
            <w:pPr>
              <w:autoSpaceDE w:val="0"/>
              <w:autoSpaceDN w:val="0"/>
              <w:adjustRightInd w:val="0"/>
              <w:spacing w:line="360" w:lineRule="exact"/>
              <w:rPr>
                <w:rFonts w:ascii="Times New Roman" w:hAnsi="Times New Roman" w:eastAsia="仿宋_GB2312" w:cs="Times New Roman"/>
                <w:kern w:val="0"/>
                <w:sz w:val="28"/>
                <w:szCs w:val="28"/>
              </w:rPr>
            </w:pPr>
          </w:p>
        </w:tc>
      </w:tr>
      <w:tr w14:paraId="0FFD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69CE878B">
            <w:pPr>
              <w:spacing w:line="360" w:lineRule="exact"/>
              <w:jc w:val="left"/>
              <w:rPr>
                <w:rFonts w:ascii="Times New Roman" w:hAnsi="Times New Roman" w:eastAsia="仿宋_GB2312" w:cs="Times New Roman"/>
                <w:sz w:val="28"/>
                <w:szCs w:val="28"/>
              </w:rPr>
            </w:pPr>
          </w:p>
        </w:tc>
        <w:tc>
          <w:tcPr>
            <w:tcW w:w="6740" w:type="dxa"/>
            <w:gridSpan w:val="2"/>
            <w:vAlign w:val="center"/>
          </w:tcPr>
          <w:p w14:paraId="3F61A8D7">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考虑的因素包括消耗品或附件的规范以及对使用者选择它们的任何限制。</w:t>
            </w:r>
          </w:p>
        </w:tc>
        <w:tc>
          <w:tcPr>
            <w:tcW w:w="2319" w:type="dxa"/>
            <w:gridSpan w:val="2"/>
            <w:vAlign w:val="center"/>
          </w:tcPr>
          <w:p w14:paraId="7A0342B8">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液体容器</w:t>
            </w:r>
            <w:r>
              <w:rPr>
                <w:rFonts w:ascii="Times New Roman" w:hAnsi="Times New Roman" w:eastAsia="仿宋_GB2312" w:cs="Times New Roman"/>
                <w:kern w:val="0"/>
                <w:sz w:val="28"/>
                <w:szCs w:val="28"/>
              </w:rPr>
              <w:t>、吸入附件等</w:t>
            </w:r>
          </w:p>
        </w:tc>
      </w:tr>
      <w:tr w14:paraId="06E0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1FA06936">
            <w:pPr>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C.2.18</w:t>
            </w:r>
          </w:p>
        </w:tc>
        <w:tc>
          <w:tcPr>
            <w:tcW w:w="6740" w:type="dxa"/>
            <w:gridSpan w:val="2"/>
            <w:vAlign w:val="center"/>
          </w:tcPr>
          <w:p w14:paraId="0C36C40B">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是否需要维护和校准</w:t>
            </w:r>
          </w:p>
          <w:p w14:paraId="52F271A0">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宜考虑的因素包括：</w:t>
            </w:r>
          </w:p>
        </w:tc>
        <w:tc>
          <w:tcPr>
            <w:tcW w:w="2319" w:type="dxa"/>
            <w:gridSpan w:val="2"/>
            <w:vAlign w:val="center"/>
          </w:tcPr>
          <w:p w14:paraId="2B46101F">
            <w:pPr>
              <w:autoSpaceDE w:val="0"/>
              <w:autoSpaceDN w:val="0"/>
              <w:adjustRightInd w:val="0"/>
              <w:spacing w:line="360" w:lineRule="exact"/>
              <w:rPr>
                <w:rFonts w:ascii="Times New Roman" w:hAnsi="Times New Roman" w:eastAsia="仿宋_GB2312" w:cs="Times New Roman"/>
                <w:kern w:val="0"/>
                <w:sz w:val="28"/>
                <w:szCs w:val="28"/>
              </w:rPr>
            </w:pPr>
          </w:p>
        </w:tc>
      </w:tr>
      <w:tr w14:paraId="3828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7F43B2CA">
            <w:pPr>
              <w:spacing w:line="360" w:lineRule="exact"/>
              <w:jc w:val="left"/>
              <w:rPr>
                <w:rFonts w:ascii="Times New Roman" w:hAnsi="Times New Roman" w:eastAsia="仿宋_GB2312" w:cs="Times New Roman"/>
                <w:sz w:val="28"/>
                <w:szCs w:val="28"/>
              </w:rPr>
            </w:pPr>
          </w:p>
        </w:tc>
        <w:tc>
          <w:tcPr>
            <w:tcW w:w="6740" w:type="dxa"/>
            <w:gridSpan w:val="2"/>
            <w:vAlign w:val="center"/>
          </w:tcPr>
          <w:p w14:paraId="0B8ABA8F">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维护或校准是否由操作者或使用者或专门人员来进行？</w:t>
            </w:r>
          </w:p>
        </w:tc>
        <w:tc>
          <w:tcPr>
            <w:tcW w:w="2319" w:type="dxa"/>
            <w:gridSpan w:val="2"/>
            <w:vAlign w:val="center"/>
          </w:tcPr>
          <w:p w14:paraId="7A2F0AC3">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依据</w:t>
            </w:r>
            <w:r>
              <w:rPr>
                <w:rFonts w:hint="eastAsia" w:ascii="Times New Roman" w:hAnsi="Times New Roman" w:eastAsia="仿宋_GB2312" w:cs="Times New Roman"/>
                <w:kern w:val="0"/>
                <w:sz w:val="28"/>
                <w:szCs w:val="28"/>
              </w:rPr>
              <w:t>产品实际</w:t>
            </w:r>
            <w:r>
              <w:rPr>
                <w:rFonts w:ascii="Times New Roman" w:hAnsi="Times New Roman" w:eastAsia="仿宋_GB2312" w:cs="Times New Roman"/>
                <w:kern w:val="0"/>
                <w:sz w:val="28"/>
                <w:szCs w:val="28"/>
              </w:rPr>
              <w:t>情况</w:t>
            </w:r>
          </w:p>
        </w:tc>
      </w:tr>
      <w:tr w14:paraId="37E7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034CD458">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11FEA20B">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是否需要专门的物质或设备来进行适当的维护或校准？</w:t>
            </w:r>
          </w:p>
        </w:tc>
        <w:tc>
          <w:tcPr>
            <w:tcW w:w="2319" w:type="dxa"/>
            <w:gridSpan w:val="2"/>
            <w:vAlign w:val="center"/>
          </w:tcPr>
          <w:p w14:paraId="659F9176">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依据</w:t>
            </w:r>
            <w:r>
              <w:rPr>
                <w:rFonts w:hint="eastAsia" w:ascii="Times New Roman" w:hAnsi="Times New Roman" w:eastAsia="仿宋_GB2312" w:cs="Times New Roman"/>
                <w:kern w:val="0"/>
                <w:sz w:val="28"/>
                <w:szCs w:val="28"/>
              </w:rPr>
              <w:t>产品实际</w:t>
            </w:r>
            <w:r>
              <w:rPr>
                <w:rFonts w:ascii="Times New Roman" w:hAnsi="Times New Roman" w:eastAsia="仿宋_GB2312" w:cs="Times New Roman"/>
                <w:kern w:val="0"/>
                <w:sz w:val="28"/>
                <w:szCs w:val="28"/>
              </w:rPr>
              <w:t>情况</w:t>
            </w:r>
          </w:p>
        </w:tc>
      </w:tr>
      <w:tr w14:paraId="670F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tcPr>
          <w:p w14:paraId="1DD13614">
            <w:pPr>
              <w:autoSpaceDE w:val="0"/>
              <w:autoSpaceDN w:val="0"/>
              <w:adjustRightInd w:val="0"/>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C.2.19</w:t>
            </w:r>
          </w:p>
        </w:tc>
        <w:tc>
          <w:tcPr>
            <w:tcW w:w="6740" w:type="dxa"/>
            <w:gridSpan w:val="2"/>
            <w:vAlign w:val="center"/>
          </w:tcPr>
          <w:p w14:paraId="238A14A7">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医疗器械是否有软件？</w:t>
            </w:r>
          </w:p>
        </w:tc>
        <w:tc>
          <w:tcPr>
            <w:tcW w:w="2319" w:type="dxa"/>
            <w:gridSpan w:val="2"/>
            <w:vAlign w:val="center"/>
          </w:tcPr>
          <w:p w14:paraId="29BA6F2B">
            <w:pPr>
              <w:autoSpaceDE w:val="0"/>
              <w:autoSpaceDN w:val="0"/>
              <w:adjustRightInd w:val="0"/>
              <w:spacing w:line="360" w:lineRule="exact"/>
              <w:rPr>
                <w:rFonts w:ascii="Times New Roman" w:hAnsi="Times New Roman" w:eastAsia="仿宋_GB2312" w:cs="Times New Roman"/>
                <w:kern w:val="0"/>
                <w:sz w:val="28"/>
                <w:szCs w:val="28"/>
              </w:rPr>
            </w:pPr>
          </w:p>
        </w:tc>
      </w:tr>
      <w:tr w14:paraId="74B8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27449165">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18DB3DBF">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考虑的因素包括软件是否预期要由使用者或操作者或专家进行安装、验证、修改或更换。</w:t>
            </w:r>
          </w:p>
        </w:tc>
        <w:tc>
          <w:tcPr>
            <w:tcW w:w="2319" w:type="dxa"/>
            <w:gridSpan w:val="2"/>
            <w:vAlign w:val="center"/>
          </w:tcPr>
          <w:p w14:paraId="453E1C1D">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有</w:t>
            </w:r>
            <w:r>
              <w:rPr>
                <w:rFonts w:hint="eastAsia" w:ascii="Times New Roman" w:hAnsi="Times New Roman" w:eastAsia="仿宋_GB2312" w:cs="Times New Roman"/>
                <w:kern w:val="0"/>
                <w:sz w:val="28"/>
                <w:szCs w:val="28"/>
              </w:rPr>
              <w:t>软件</w:t>
            </w:r>
            <w:r>
              <w:rPr>
                <w:rFonts w:ascii="Times New Roman" w:hAnsi="Times New Roman" w:eastAsia="仿宋_GB2312" w:cs="Times New Roman"/>
                <w:kern w:val="0"/>
                <w:sz w:val="28"/>
                <w:szCs w:val="28"/>
              </w:rPr>
              <w:t>组件</w:t>
            </w:r>
          </w:p>
        </w:tc>
      </w:tr>
      <w:tr w14:paraId="19DB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6AC6B1EB">
            <w:pPr>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C.2.20</w:t>
            </w:r>
          </w:p>
        </w:tc>
        <w:tc>
          <w:tcPr>
            <w:tcW w:w="6740" w:type="dxa"/>
            <w:gridSpan w:val="2"/>
            <w:vAlign w:val="center"/>
          </w:tcPr>
          <w:p w14:paraId="705E513C">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医疗器械是否有贮存寿命限制</w:t>
            </w:r>
          </w:p>
        </w:tc>
        <w:tc>
          <w:tcPr>
            <w:tcW w:w="2319" w:type="dxa"/>
            <w:gridSpan w:val="2"/>
            <w:vAlign w:val="center"/>
          </w:tcPr>
          <w:p w14:paraId="256EBB29">
            <w:pPr>
              <w:autoSpaceDE w:val="0"/>
              <w:autoSpaceDN w:val="0"/>
              <w:adjustRightInd w:val="0"/>
              <w:spacing w:line="360" w:lineRule="exact"/>
              <w:rPr>
                <w:rFonts w:ascii="Times New Roman" w:hAnsi="Times New Roman" w:eastAsia="仿宋_GB2312" w:cs="Times New Roman"/>
                <w:kern w:val="0"/>
                <w:sz w:val="28"/>
                <w:szCs w:val="28"/>
              </w:rPr>
            </w:pPr>
          </w:p>
        </w:tc>
      </w:tr>
      <w:tr w14:paraId="5C1C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5278CAD6">
            <w:pPr>
              <w:spacing w:line="360" w:lineRule="exact"/>
              <w:jc w:val="left"/>
              <w:rPr>
                <w:rFonts w:ascii="Times New Roman" w:hAnsi="Times New Roman" w:eastAsia="仿宋_GB2312" w:cs="Times New Roman"/>
                <w:sz w:val="28"/>
                <w:szCs w:val="28"/>
              </w:rPr>
            </w:pPr>
          </w:p>
        </w:tc>
        <w:tc>
          <w:tcPr>
            <w:tcW w:w="6740" w:type="dxa"/>
            <w:gridSpan w:val="2"/>
            <w:vAlign w:val="center"/>
          </w:tcPr>
          <w:p w14:paraId="4240AD9C">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考虑的因素包括标记或指示和到期时对医疗器械的处置。</w:t>
            </w:r>
          </w:p>
        </w:tc>
        <w:tc>
          <w:tcPr>
            <w:tcW w:w="2319" w:type="dxa"/>
            <w:gridSpan w:val="2"/>
            <w:vAlign w:val="center"/>
          </w:tcPr>
          <w:p w14:paraId="425B400B">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有</w:t>
            </w:r>
            <w:r>
              <w:rPr>
                <w:rFonts w:hint="eastAsia" w:ascii="Times New Roman" w:hAnsi="Times New Roman" w:eastAsia="仿宋_GB2312" w:cs="Times New Roman"/>
                <w:kern w:val="0"/>
                <w:sz w:val="28"/>
                <w:szCs w:val="28"/>
              </w:rPr>
              <w:t>，由</w:t>
            </w:r>
            <w:r>
              <w:rPr>
                <w:rFonts w:ascii="Times New Roman" w:hAnsi="Times New Roman" w:eastAsia="仿宋_GB2312" w:cs="Times New Roman"/>
                <w:kern w:val="0"/>
                <w:sz w:val="28"/>
                <w:szCs w:val="28"/>
              </w:rPr>
              <w:t>制造商进行微生物控制的</w:t>
            </w:r>
            <w:r>
              <w:rPr>
                <w:rFonts w:hint="eastAsia" w:ascii="Times New Roman" w:hAnsi="Times New Roman" w:eastAsia="仿宋_GB2312" w:cs="Times New Roman"/>
                <w:kern w:val="0"/>
                <w:sz w:val="28"/>
                <w:szCs w:val="28"/>
              </w:rPr>
              <w:t>部件</w:t>
            </w:r>
            <w:r>
              <w:rPr>
                <w:rFonts w:ascii="Times New Roman" w:hAnsi="Times New Roman" w:eastAsia="仿宋_GB2312" w:cs="Times New Roman"/>
                <w:kern w:val="0"/>
                <w:sz w:val="28"/>
                <w:szCs w:val="28"/>
              </w:rPr>
              <w:t>应考虑贮存有效期</w:t>
            </w:r>
          </w:p>
        </w:tc>
      </w:tr>
      <w:tr w14:paraId="65EF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0E4468EE">
            <w:pPr>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C.2.21</w:t>
            </w:r>
          </w:p>
        </w:tc>
        <w:tc>
          <w:tcPr>
            <w:tcW w:w="6740" w:type="dxa"/>
            <w:gridSpan w:val="2"/>
            <w:vAlign w:val="center"/>
          </w:tcPr>
          <w:p w14:paraId="1FE4FF38">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是否有延时或长期使用效应</w:t>
            </w:r>
          </w:p>
        </w:tc>
        <w:tc>
          <w:tcPr>
            <w:tcW w:w="2319" w:type="dxa"/>
            <w:gridSpan w:val="2"/>
            <w:vAlign w:val="center"/>
          </w:tcPr>
          <w:p w14:paraId="464AF736">
            <w:pPr>
              <w:autoSpaceDE w:val="0"/>
              <w:autoSpaceDN w:val="0"/>
              <w:adjustRightInd w:val="0"/>
              <w:spacing w:line="360" w:lineRule="exact"/>
              <w:rPr>
                <w:rFonts w:ascii="Times New Roman" w:hAnsi="Times New Roman" w:eastAsia="仿宋_GB2312" w:cs="Times New Roman"/>
                <w:kern w:val="0"/>
                <w:sz w:val="28"/>
                <w:szCs w:val="28"/>
              </w:rPr>
            </w:pPr>
          </w:p>
        </w:tc>
      </w:tr>
      <w:tr w14:paraId="20B3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1175005F">
            <w:pPr>
              <w:spacing w:line="360" w:lineRule="exact"/>
              <w:jc w:val="left"/>
              <w:rPr>
                <w:rFonts w:ascii="Times New Roman" w:hAnsi="Times New Roman" w:eastAsia="仿宋_GB2312" w:cs="Times New Roman"/>
                <w:sz w:val="28"/>
                <w:szCs w:val="28"/>
              </w:rPr>
            </w:pPr>
          </w:p>
        </w:tc>
        <w:tc>
          <w:tcPr>
            <w:tcW w:w="6740" w:type="dxa"/>
            <w:gridSpan w:val="2"/>
            <w:vAlign w:val="center"/>
          </w:tcPr>
          <w:p w14:paraId="428F8897">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考虑的因素包括人机工程学和累积的效应。其示例可包括含盐流体泵有随着时间推移的腐蚀、机械疲劳、皮带和附件松动、振动效应、标签磨损或脱落、长期材料降解。</w:t>
            </w:r>
          </w:p>
        </w:tc>
        <w:tc>
          <w:tcPr>
            <w:tcW w:w="2319" w:type="dxa"/>
            <w:gridSpan w:val="2"/>
            <w:vAlign w:val="center"/>
          </w:tcPr>
          <w:p w14:paraId="491FF4E9">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依据</w:t>
            </w:r>
            <w:r>
              <w:rPr>
                <w:rFonts w:hint="eastAsia" w:ascii="Times New Roman" w:hAnsi="Times New Roman" w:eastAsia="仿宋_GB2312" w:cs="Times New Roman"/>
                <w:kern w:val="0"/>
                <w:sz w:val="28"/>
                <w:szCs w:val="28"/>
              </w:rPr>
              <w:t>产品</w:t>
            </w:r>
            <w:r>
              <w:rPr>
                <w:rFonts w:ascii="Times New Roman" w:hAnsi="Times New Roman" w:eastAsia="仿宋_GB2312" w:cs="Times New Roman"/>
                <w:kern w:val="0"/>
                <w:sz w:val="28"/>
                <w:szCs w:val="28"/>
              </w:rPr>
              <w:t>实际情况</w:t>
            </w:r>
          </w:p>
        </w:tc>
      </w:tr>
      <w:tr w14:paraId="6E4E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04035F30">
            <w:pPr>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C.2.22</w:t>
            </w:r>
          </w:p>
        </w:tc>
        <w:tc>
          <w:tcPr>
            <w:tcW w:w="6740" w:type="dxa"/>
            <w:gridSpan w:val="2"/>
            <w:vAlign w:val="center"/>
          </w:tcPr>
          <w:p w14:paraId="07031BC6">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医疗器械承受何种机械力</w:t>
            </w:r>
          </w:p>
        </w:tc>
        <w:tc>
          <w:tcPr>
            <w:tcW w:w="2319" w:type="dxa"/>
            <w:gridSpan w:val="2"/>
            <w:vAlign w:val="center"/>
          </w:tcPr>
          <w:p w14:paraId="534EBFA9">
            <w:pPr>
              <w:autoSpaceDE w:val="0"/>
              <w:autoSpaceDN w:val="0"/>
              <w:adjustRightInd w:val="0"/>
              <w:spacing w:line="360" w:lineRule="exact"/>
              <w:rPr>
                <w:rFonts w:ascii="Times New Roman" w:hAnsi="Times New Roman" w:eastAsia="仿宋_GB2312" w:cs="Times New Roman"/>
                <w:kern w:val="0"/>
                <w:sz w:val="28"/>
                <w:szCs w:val="28"/>
              </w:rPr>
            </w:pPr>
          </w:p>
        </w:tc>
      </w:tr>
      <w:tr w14:paraId="1CCC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5FFBAFAF">
            <w:pPr>
              <w:spacing w:line="360" w:lineRule="exact"/>
              <w:jc w:val="left"/>
              <w:rPr>
                <w:rFonts w:ascii="Times New Roman" w:hAnsi="Times New Roman" w:eastAsia="仿宋_GB2312" w:cs="Times New Roman"/>
                <w:sz w:val="28"/>
                <w:szCs w:val="28"/>
              </w:rPr>
            </w:pPr>
          </w:p>
        </w:tc>
        <w:tc>
          <w:tcPr>
            <w:tcW w:w="6740" w:type="dxa"/>
            <w:gridSpan w:val="2"/>
            <w:vAlign w:val="center"/>
          </w:tcPr>
          <w:p w14:paraId="51B63241">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考虑的因素包括医疗器械承受的力是否在使用者的控制之下，或者由和其他人员的相互作用来控制。</w:t>
            </w:r>
          </w:p>
        </w:tc>
        <w:tc>
          <w:tcPr>
            <w:tcW w:w="2319" w:type="dxa"/>
            <w:gridSpan w:val="2"/>
            <w:vAlign w:val="center"/>
          </w:tcPr>
          <w:p w14:paraId="572140F6">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p>
        </w:tc>
      </w:tr>
      <w:tr w14:paraId="35ED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549C664A">
            <w:pPr>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C.2.23</w:t>
            </w:r>
          </w:p>
        </w:tc>
        <w:tc>
          <w:tcPr>
            <w:tcW w:w="6740" w:type="dxa"/>
            <w:gridSpan w:val="2"/>
            <w:vAlign w:val="center"/>
          </w:tcPr>
          <w:p w14:paraId="31954449">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什么决定医疗器械的寿命</w:t>
            </w:r>
          </w:p>
        </w:tc>
        <w:tc>
          <w:tcPr>
            <w:tcW w:w="2319" w:type="dxa"/>
            <w:gridSpan w:val="2"/>
            <w:vAlign w:val="center"/>
          </w:tcPr>
          <w:p w14:paraId="618A2765">
            <w:pPr>
              <w:autoSpaceDE w:val="0"/>
              <w:autoSpaceDN w:val="0"/>
              <w:adjustRightInd w:val="0"/>
              <w:spacing w:line="360" w:lineRule="exact"/>
              <w:rPr>
                <w:rFonts w:ascii="Times New Roman" w:hAnsi="Times New Roman" w:eastAsia="仿宋_GB2312" w:cs="Times New Roman"/>
                <w:kern w:val="0"/>
                <w:sz w:val="28"/>
                <w:szCs w:val="28"/>
              </w:rPr>
            </w:pPr>
          </w:p>
        </w:tc>
      </w:tr>
      <w:tr w14:paraId="428F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790FAEBB">
            <w:pPr>
              <w:spacing w:line="360" w:lineRule="exact"/>
              <w:jc w:val="left"/>
              <w:rPr>
                <w:rFonts w:ascii="Times New Roman" w:hAnsi="Times New Roman" w:eastAsia="仿宋_GB2312" w:cs="Times New Roman"/>
                <w:sz w:val="28"/>
                <w:szCs w:val="28"/>
              </w:rPr>
            </w:pPr>
          </w:p>
        </w:tc>
        <w:tc>
          <w:tcPr>
            <w:tcW w:w="6740" w:type="dxa"/>
            <w:gridSpan w:val="2"/>
            <w:vAlign w:val="center"/>
          </w:tcPr>
          <w:p w14:paraId="0050074F">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考虑的因素包括老化和电池耗尽。</w:t>
            </w:r>
          </w:p>
        </w:tc>
        <w:tc>
          <w:tcPr>
            <w:tcW w:w="2319" w:type="dxa"/>
            <w:gridSpan w:val="2"/>
            <w:vAlign w:val="center"/>
          </w:tcPr>
          <w:p w14:paraId="746F1405">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设备</w:t>
            </w:r>
            <w:r>
              <w:rPr>
                <w:rFonts w:ascii="Times New Roman" w:hAnsi="Times New Roman" w:eastAsia="仿宋_GB2312" w:cs="Times New Roman"/>
                <w:kern w:val="0"/>
                <w:sz w:val="28"/>
                <w:szCs w:val="28"/>
              </w:rPr>
              <w:t>老化、</w:t>
            </w:r>
            <w:r>
              <w:rPr>
                <w:rFonts w:hint="eastAsia" w:ascii="Times New Roman" w:hAnsi="Times New Roman" w:eastAsia="仿宋_GB2312" w:cs="Times New Roman"/>
                <w:kern w:val="0"/>
                <w:sz w:val="28"/>
                <w:szCs w:val="28"/>
              </w:rPr>
              <w:t>清洗、</w:t>
            </w:r>
            <w:r>
              <w:rPr>
                <w:rFonts w:ascii="Times New Roman" w:hAnsi="Times New Roman" w:eastAsia="仿宋_GB2312" w:cs="Times New Roman"/>
                <w:kern w:val="0"/>
                <w:sz w:val="28"/>
                <w:szCs w:val="28"/>
              </w:rPr>
              <w:t>消毒</w:t>
            </w:r>
            <w:r>
              <w:rPr>
                <w:rFonts w:hint="eastAsia" w:ascii="Times New Roman" w:hAnsi="Times New Roman" w:eastAsia="仿宋_GB2312" w:cs="Times New Roman"/>
                <w:kern w:val="0"/>
                <w:sz w:val="28"/>
                <w:szCs w:val="28"/>
              </w:rPr>
              <w:t>对</w:t>
            </w:r>
            <w:r>
              <w:rPr>
                <w:rFonts w:ascii="Times New Roman" w:hAnsi="Times New Roman" w:eastAsia="仿宋_GB2312" w:cs="Times New Roman"/>
                <w:kern w:val="0"/>
                <w:sz w:val="28"/>
                <w:szCs w:val="28"/>
              </w:rPr>
              <w:t>设备寿命的影响</w:t>
            </w:r>
          </w:p>
        </w:tc>
      </w:tr>
      <w:tr w14:paraId="7E6E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10BDA8C5">
            <w:pPr>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C.2.24</w:t>
            </w:r>
          </w:p>
        </w:tc>
        <w:tc>
          <w:tcPr>
            <w:tcW w:w="6740" w:type="dxa"/>
            <w:gridSpan w:val="2"/>
            <w:vAlign w:val="center"/>
          </w:tcPr>
          <w:p w14:paraId="2D780D82">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医疗器械是否预期一次性使用</w:t>
            </w:r>
          </w:p>
        </w:tc>
        <w:tc>
          <w:tcPr>
            <w:tcW w:w="2319" w:type="dxa"/>
            <w:gridSpan w:val="2"/>
            <w:vAlign w:val="center"/>
          </w:tcPr>
          <w:p w14:paraId="499FA32E">
            <w:pPr>
              <w:autoSpaceDE w:val="0"/>
              <w:autoSpaceDN w:val="0"/>
              <w:adjustRightInd w:val="0"/>
              <w:spacing w:line="360" w:lineRule="exact"/>
              <w:rPr>
                <w:rFonts w:ascii="Times New Roman" w:hAnsi="Times New Roman" w:eastAsia="仿宋_GB2312" w:cs="Times New Roman"/>
                <w:kern w:val="0"/>
                <w:sz w:val="28"/>
                <w:szCs w:val="28"/>
              </w:rPr>
            </w:pPr>
          </w:p>
        </w:tc>
      </w:tr>
      <w:tr w14:paraId="1CC5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56CBFD62">
            <w:pPr>
              <w:spacing w:line="360" w:lineRule="exact"/>
              <w:jc w:val="left"/>
              <w:rPr>
                <w:rFonts w:ascii="Times New Roman" w:hAnsi="Times New Roman" w:eastAsia="仿宋_GB2312" w:cs="Times New Roman"/>
                <w:sz w:val="28"/>
                <w:szCs w:val="28"/>
              </w:rPr>
            </w:pPr>
          </w:p>
        </w:tc>
        <w:tc>
          <w:tcPr>
            <w:tcW w:w="6740" w:type="dxa"/>
            <w:gridSpan w:val="2"/>
            <w:vAlign w:val="center"/>
          </w:tcPr>
          <w:p w14:paraId="708D22FB">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考虑的因素包括：器械使用后是否自毁？器械已使用过是否显而易见？</w:t>
            </w:r>
          </w:p>
        </w:tc>
        <w:tc>
          <w:tcPr>
            <w:tcW w:w="2319" w:type="dxa"/>
            <w:gridSpan w:val="2"/>
            <w:vAlign w:val="center"/>
          </w:tcPr>
          <w:p w14:paraId="7735F049">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部分配件</w:t>
            </w:r>
            <w:r>
              <w:rPr>
                <w:rFonts w:ascii="Times New Roman" w:hAnsi="Times New Roman" w:eastAsia="仿宋_GB2312" w:cs="Times New Roman"/>
                <w:kern w:val="0"/>
                <w:sz w:val="28"/>
                <w:szCs w:val="28"/>
              </w:rPr>
              <w:t>可能一次性使用</w:t>
            </w:r>
          </w:p>
        </w:tc>
      </w:tr>
      <w:tr w14:paraId="30DC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36893456">
            <w:pPr>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C.2.25</w:t>
            </w:r>
          </w:p>
        </w:tc>
        <w:tc>
          <w:tcPr>
            <w:tcW w:w="6740" w:type="dxa"/>
            <w:gridSpan w:val="2"/>
            <w:vAlign w:val="center"/>
          </w:tcPr>
          <w:p w14:paraId="599568CA">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医疗器械是否需要安全地推出运行或处置</w:t>
            </w:r>
          </w:p>
        </w:tc>
        <w:tc>
          <w:tcPr>
            <w:tcW w:w="2319" w:type="dxa"/>
            <w:gridSpan w:val="2"/>
            <w:vAlign w:val="center"/>
          </w:tcPr>
          <w:p w14:paraId="3ABAE6FA">
            <w:pPr>
              <w:autoSpaceDE w:val="0"/>
              <w:autoSpaceDN w:val="0"/>
              <w:adjustRightInd w:val="0"/>
              <w:spacing w:line="360" w:lineRule="exact"/>
              <w:rPr>
                <w:rFonts w:ascii="Times New Roman" w:hAnsi="Times New Roman" w:eastAsia="仿宋_GB2312" w:cs="Times New Roman"/>
                <w:kern w:val="0"/>
                <w:sz w:val="28"/>
                <w:szCs w:val="28"/>
              </w:rPr>
            </w:pPr>
          </w:p>
        </w:tc>
      </w:tr>
      <w:tr w14:paraId="3396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164C5348">
            <w:pPr>
              <w:spacing w:line="360" w:lineRule="exact"/>
              <w:jc w:val="left"/>
              <w:rPr>
                <w:rFonts w:ascii="Times New Roman" w:hAnsi="Times New Roman" w:eastAsia="仿宋_GB2312" w:cs="Times New Roman"/>
                <w:sz w:val="28"/>
                <w:szCs w:val="28"/>
              </w:rPr>
            </w:pPr>
          </w:p>
        </w:tc>
        <w:tc>
          <w:tcPr>
            <w:tcW w:w="6740" w:type="dxa"/>
            <w:gridSpan w:val="2"/>
            <w:vAlign w:val="center"/>
          </w:tcPr>
          <w:p w14:paraId="740995BF">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宜考虑的因素包括医疗器械自身处置时产生的废物。例如医疗器械是否含有毒性或有害材料，或材料可再循环使用。</w:t>
            </w:r>
          </w:p>
        </w:tc>
        <w:tc>
          <w:tcPr>
            <w:tcW w:w="2319" w:type="dxa"/>
            <w:gridSpan w:val="2"/>
            <w:vAlign w:val="center"/>
          </w:tcPr>
          <w:p w14:paraId="38C4AEE3">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需要</w:t>
            </w:r>
          </w:p>
        </w:tc>
      </w:tr>
      <w:tr w14:paraId="16F6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0CB1ADB5">
            <w:pPr>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C.2.26</w:t>
            </w:r>
          </w:p>
        </w:tc>
        <w:tc>
          <w:tcPr>
            <w:tcW w:w="6740" w:type="dxa"/>
            <w:gridSpan w:val="2"/>
            <w:vAlign w:val="center"/>
          </w:tcPr>
          <w:p w14:paraId="301F89CD">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医疗器械的安装或使用是否要求专门的培训或专门的技能</w:t>
            </w:r>
          </w:p>
        </w:tc>
        <w:tc>
          <w:tcPr>
            <w:tcW w:w="2319" w:type="dxa"/>
            <w:gridSpan w:val="2"/>
            <w:vAlign w:val="center"/>
          </w:tcPr>
          <w:p w14:paraId="234B5FD8">
            <w:pPr>
              <w:autoSpaceDE w:val="0"/>
              <w:autoSpaceDN w:val="0"/>
              <w:adjustRightInd w:val="0"/>
              <w:spacing w:line="360" w:lineRule="exact"/>
              <w:rPr>
                <w:rFonts w:ascii="Times New Roman" w:hAnsi="Times New Roman" w:eastAsia="仿宋_GB2312" w:cs="Times New Roman"/>
                <w:kern w:val="0"/>
                <w:sz w:val="28"/>
                <w:szCs w:val="28"/>
              </w:rPr>
            </w:pPr>
          </w:p>
        </w:tc>
      </w:tr>
      <w:tr w14:paraId="71F8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4103878C">
            <w:pPr>
              <w:spacing w:line="360" w:lineRule="exact"/>
              <w:jc w:val="left"/>
              <w:rPr>
                <w:rFonts w:ascii="Times New Roman" w:hAnsi="Times New Roman" w:eastAsia="仿宋_GB2312" w:cs="Times New Roman"/>
                <w:sz w:val="28"/>
                <w:szCs w:val="28"/>
              </w:rPr>
            </w:pPr>
          </w:p>
        </w:tc>
        <w:tc>
          <w:tcPr>
            <w:tcW w:w="6740" w:type="dxa"/>
            <w:gridSpan w:val="2"/>
            <w:vAlign w:val="center"/>
          </w:tcPr>
          <w:p w14:paraId="26699484">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考虑的因素包括医疗器械的新颖性，以及医疗器械安装人员的合适的技能和培训。</w:t>
            </w:r>
          </w:p>
        </w:tc>
        <w:tc>
          <w:tcPr>
            <w:tcW w:w="2319" w:type="dxa"/>
            <w:gridSpan w:val="2"/>
            <w:vAlign w:val="center"/>
          </w:tcPr>
          <w:p w14:paraId="35BFF41D">
            <w:pPr>
              <w:autoSpaceDE w:val="0"/>
              <w:autoSpaceDN w:val="0"/>
              <w:adjustRightInd w:val="0"/>
              <w:spacing w:line="360" w:lineRule="exact"/>
              <w:rPr>
                <w:rFonts w:ascii="Times New Roman" w:hAnsi="Times New Roman" w:eastAsia="仿宋_GB2312" w:cs="Times New Roman"/>
                <w:color w:val="FF0000"/>
                <w:kern w:val="0"/>
                <w:sz w:val="28"/>
                <w:szCs w:val="28"/>
              </w:rPr>
            </w:pPr>
            <w:r>
              <w:rPr>
                <w:rFonts w:ascii="Times New Roman" w:hAnsi="Times New Roman" w:eastAsia="仿宋_GB2312" w:cs="Times New Roman"/>
                <w:kern w:val="0"/>
                <w:sz w:val="28"/>
                <w:szCs w:val="28"/>
              </w:rPr>
              <w:t>依据</w:t>
            </w:r>
            <w:r>
              <w:rPr>
                <w:rFonts w:hint="eastAsia" w:ascii="Times New Roman" w:hAnsi="Times New Roman" w:eastAsia="仿宋_GB2312" w:cs="Times New Roman"/>
                <w:kern w:val="0"/>
                <w:sz w:val="28"/>
                <w:szCs w:val="28"/>
              </w:rPr>
              <w:t>产品</w:t>
            </w:r>
            <w:r>
              <w:rPr>
                <w:rFonts w:ascii="Times New Roman" w:hAnsi="Times New Roman" w:eastAsia="仿宋_GB2312" w:cs="Times New Roman"/>
                <w:kern w:val="0"/>
                <w:sz w:val="28"/>
                <w:szCs w:val="28"/>
              </w:rPr>
              <w:t>实际情况</w:t>
            </w:r>
          </w:p>
        </w:tc>
      </w:tr>
      <w:tr w14:paraId="0465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tcPr>
          <w:p w14:paraId="21F41B69">
            <w:pPr>
              <w:autoSpaceDE w:val="0"/>
              <w:autoSpaceDN w:val="0"/>
              <w:adjustRightInd w:val="0"/>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C.2.27</w:t>
            </w:r>
          </w:p>
        </w:tc>
        <w:tc>
          <w:tcPr>
            <w:tcW w:w="6740" w:type="dxa"/>
            <w:gridSpan w:val="2"/>
            <w:vAlign w:val="center"/>
          </w:tcPr>
          <w:p w14:paraId="0A2618F3">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如何提供安全使用信息</w:t>
            </w:r>
          </w:p>
          <w:p w14:paraId="790EB036">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宜考虑的因素包括：</w:t>
            </w:r>
          </w:p>
        </w:tc>
        <w:tc>
          <w:tcPr>
            <w:tcW w:w="2319" w:type="dxa"/>
            <w:gridSpan w:val="2"/>
            <w:vAlign w:val="center"/>
          </w:tcPr>
          <w:p w14:paraId="3F2ADA77">
            <w:pPr>
              <w:autoSpaceDE w:val="0"/>
              <w:autoSpaceDN w:val="0"/>
              <w:adjustRightInd w:val="0"/>
              <w:spacing w:line="360" w:lineRule="exact"/>
              <w:rPr>
                <w:rFonts w:ascii="Times New Roman" w:hAnsi="Times New Roman" w:eastAsia="仿宋_GB2312" w:cs="Times New Roman"/>
                <w:kern w:val="0"/>
                <w:sz w:val="28"/>
                <w:szCs w:val="28"/>
              </w:rPr>
            </w:pPr>
          </w:p>
        </w:tc>
      </w:tr>
      <w:tr w14:paraId="4A9C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tcPr>
          <w:p w14:paraId="5BF33788">
            <w:pPr>
              <w:autoSpaceDE w:val="0"/>
              <w:autoSpaceDN w:val="0"/>
              <w:adjustRightInd w:val="0"/>
              <w:spacing w:line="360" w:lineRule="exact"/>
              <w:jc w:val="left"/>
              <w:rPr>
                <w:rFonts w:ascii="Times New Roman" w:hAnsi="Times New Roman" w:eastAsia="仿宋_GB2312" w:cs="Times New Roman"/>
                <w:sz w:val="28"/>
                <w:szCs w:val="28"/>
              </w:rPr>
            </w:pPr>
          </w:p>
        </w:tc>
        <w:tc>
          <w:tcPr>
            <w:tcW w:w="6740" w:type="dxa"/>
            <w:gridSpan w:val="2"/>
            <w:vAlign w:val="center"/>
          </w:tcPr>
          <w:p w14:paraId="343FD177">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信息是否由制造商直接提供给最终使用者或涉及的第三方参加者，如安装者、护理者、</w:t>
            </w:r>
            <w:r>
              <w:rPr>
                <w:rFonts w:hint="eastAsia" w:ascii="Times New Roman" w:hAnsi="Times New Roman" w:eastAsia="仿宋_GB2312" w:cs="Times New Roman"/>
                <w:sz w:val="28"/>
                <w:szCs w:val="28"/>
              </w:rPr>
              <w:t>医疗</w:t>
            </w:r>
            <w:r>
              <w:rPr>
                <w:rFonts w:ascii="Times New Roman" w:hAnsi="Times New Roman" w:eastAsia="仿宋_GB2312" w:cs="Times New Roman"/>
                <w:sz w:val="28"/>
                <w:szCs w:val="28"/>
              </w:rPr>
              <w:t>卫生保健专家或药剂师，他们是否需要进行培训；</w:t>
            </w:r>
          </w:p>
        </w:tc>
        <w:tc>
          <w:tcPr>
            <w:tcW w:w="2319" w:type="dxa"/>
            <w:gridSpan w:val="2"/>
          </w:tcPr>
          <w:p w14:paraId="2D8BB63F">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依据</w:t>
            </w:r>
            <w:r>
              <w:rPr>
                <w:rFonts w:hint="eastAsia" w:ascii="Times New Roman" w:hAnsi="Times New Roman" w:eastAsia="仿宋_GB2312" w:cs="Times New Roman"/>
                <w:kern w:val="0"/>
                <w:sz w:val="28"/>
                <w:szCs w:val="28"/>
              </w:rPr>
              <w:t>产品</w:t>
            </w:r>
            <w:r>
              <w:rPr>
                <w:rFonts w:ascii="Times New Roman" w:hAnsi="Times New Roman" w:eastAsia="仿宋_GB2312" w:cs="Times New Roman"/>
                <w:kern w:val="0"/>
                <w:sz w:val="28"/>
                <w:szCs w:val="28"/>
              </w:rPr>
              <w:t>实际情况</w:t>
            </w:r>
          </w:p>
        </w:tc>
      </w:tr>
      <w:tr w14:paraId="64A9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6D338052">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78D19AE8">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试运行和向最终使用者的交付，以及是否很可能/可能由不具备必要技能的人员来安装；</w:t>
            </w:r>
          </w:p>
        </w:tc>
        <w:tc>
          <w:tcPr>
            <w:tcW w:w="2319" w:type="dxa"/>
            <w:gridSpan w:val="2"/>
          </w:tcPr>
          <w:p w14:paraId="43C4770D">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依据</w:t>
            </w:r>
            <w:r>
              <w:rPr>
                <w:rFonts w:hint="eastAsia" w:ascii="Times New Roman" w:hAnsi="Times New Roman" w:eastAsia="仿宋_GB2312" w:cs="Times New Roman"/>
                <w:kern w:val="0"/>
                <w:sz w:val="28"/>
                <w:szCs w:val="28"/>
              </w:rPr>
              <w:t>产品</w:t>
            </w:r>
            <w:r>
              <w:rPr>
                <w:rFonts w:ascii="Times New Roman" w:hAnsi="Times New Roman" w:eastAsia="仿宋_GB2312" w:cs="Times New Roman"/>
                <w:kern w:val="0"/>
                <w:sz w:val="28"/>
                <w:szCs w:val="28"/>
              </w:rPr>
              <w:t>实际情况</w:t>
            </w:r>
          </w:p>
        </w:tc>
      </w:tr>
      <w:tr w14:paraId="5455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0A3B0F4E">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113421C1">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基于医疗器械的预期寿命，是</w:t>
            </w:r>
            <w:r>
              <w:rPr>
                <w:rFonts w:hint="eastAsia" w:ascii="Times New Roman" w:hAnsi="Times New Roman" w:eastAsia="仿宋_GB2312" w:cs="Times New Roman"/>
                <w:sz w:val="28"/>
                <w:szCs w:val="28"/>
              </w:rPr>
              <w:t>否</w:t>
            </w:r>
            <w:r>
              <w:rPr>
                <w:rFonts w:ascii="Times New Roman" w:hAnsi="Times New Roman" w:eastAsia="仿宋_GB2312" w:cs="Times New Roman"/>
                <w:sz w:val="28"/>
                <w:szCs w:val="28"/>
              </w:rPr>
              <w:t>要求对操作者或服务人员进行再培训</w:t>
            </w:r>
            <w:r>
              <w:rPr>
                <w:rFonts w:hint="eastAsia" w:ascii="Times New Roman" w:hAnsi="Times New Roman" w:eastAsia="仿宋_GB2312" w:cs="Times New Roman"/>
                <w:sz w:val="28"/>
                <w:szCs w:val="28"/>
              </w:rPr>
              <w:t>或</w:t>
            </w:r>
            <w:r>
              <w:rPr>
                <w:rFonts w:ascii="Times New Roman" w:hAnsi="Times New Roman" w:eastAsia="仿宋_GB2312" w:cs="Times New Roman"/>
                <w:sz w:val="28"/>
                <w:szCs w:val="28"/>
              </w:rPr>
              <w:t>再鉴定。</w:t>
            </w:r>
          </w:p>
        </w:tc>
        <w:tc>
          <w:tcPr>
            <w:tcW w:w="2319" w:type="dxa"/>
            <w:gridSpan w:val="2"/>
          </w:tcPr>
          <w:p w14:paraId="4715C875">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依据</w:t>
            </w:r>
            <w:r>
              <w:rPr>
                <w:rFonts w:hint="eastAsia" w:ascii="Times New Roman" w:hAnsi="Times New Roman" w:eastAsia="仿宋_GB2312" w:cs="Times New Roman"/>
                <w:kern w:val="0"/>
                <w:sz w:val="28"/>
                <w:szCs w:val="28"/>
              </w:rPr>
              <w:t>产品</w:t>
            </w:r>
            <w:r>
              <w:rPr>
                <w:rFonts w:ascii="Times New Roman" w:hAnsi="Times New Roman" w:eastAsia="仿宋_GB2312" w:cs="Times New Roman"/>
                <w:kern w:val="0"/>
                <w:sz w:val="28"/>
                <w:szCs w:val="28"/>
              </w:rPr>
              <w:t>实际情况</w:t>
            </w:r>
          </w:p>
        </w:tc>
      </w:tr>
      <w:tr w14:paraId="75AD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tcPr>
          <w:p w14:paraId="72E29D92">
            <w:pPr>
              <w:autoSpaceDE w:val="0"/>
              <w:autoSpaceDN w:val="0"/>
              <w:adjustRightInd w:val="0"/>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C.2.28</w:t>
            </w:r>
          </w:p>
        </w:tc>
        <w:tc>
          <w:tcPr>
            <w:tcW w:w="6740" w:type="dxa"/>
            <w:gridSpan w:val="2"/>
            <w:vAlign w:val="center"/>
          </w:tcPr>
          <w:p w14:paraId="31ED993E">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是否需要建立或引入新的制造过程</w:t>
            </w:r>
          </w:p>
        </w:tc>
        <w:tc>
          <w:tcPr>
            <w:tcW w:w="2319" w:type="dxa"/>
            <w:gridSpan w:val="2"/>
            <w:vAlign w:val="center"/>
          </w:tcPr>
          <w:p w14:paraId="0ADBF8DA">
            <w:pPr>
              <w:autoSpaceDE w:val="0"/>
              <w:autoSpaceDN w:val="0"/>
              <w:adjustRightInd w:val="0"/>
              <w:spacing w:line="360" w:lineRule="exact"/>
              <w:rPr>
                <w:rFonts w:ascii="Times New Roman" w:hAnsi="Times New Roman" w:eastAsia="仿宋_GB2312" w:cs="Times New Roman"/>
                <w:kern w:val="0"/>
                <w:sz w:val="28"/>
                <w:szCs w:val="28"/>
              </w:rPr>
            </w:pPr>
          </w:p>
        </w:tc>
      </w:tr>
      <w:tr w14:paraId="51A5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tcPr>
          <w:p w14:paraId="79618885">
            <w:pPr>
              <w:autoSpaceDE w:val="0"/>
              <w:autoSpaceDN w:val="0"/>
              <w:adjustRightInd w:val="0"/>
              <w:spacing w:line="360" w:lineRule="exact"/>
              <w:jc w:val="left"/>
              <w:rPr>
                <w:rFonts w:ascii="Times New Roman" w:hAnsi="Times New Roman" w:eastAsia="仿宋_GB2312" w:cs="Times New Roman"/>
                <w:sz w:val="28"/>
                <w:szCs w:val="28"/>
              </w:rPr>
            </w:pPr>
          </w:p>
        </w:tc>
        <w:tc>
          <w:tcPr>
            <w:tcW w:w="6740" w:type="dxa"/>
            <w:gridSpan w:val="2"/>
            <w:vAlign w:val="center"/>
          </w:tcPr>
          <w:p w14:paraId="712B953D">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考虑的因素包括新技术或新的生产规模。</w:t>
            </w:r>
          </w:p>
        </w:tc>
        <w:tc>
          <w:tcPr>
            <w:tcW w:w="2319" w:type="dxa"/>
            <w:gridSpan w:val="2"/>
            <w:vAlign w:val="center"/>
          </w:tcPr>
          <w:p w14:paraId="4146671D">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依据</w:t>
            </w:r>
            <w:r>
              <w:rPr>
                <w:rFonts w:hint="eastAsia" w:ascii="Times New Roman" w:hAnsi="Times New Roman" w:eastAsia="仿宋_GB2312" w:cs="Times New Roman"/>
                <w:kern w:val="0"/>
                <w:sz w:val="28"/>
                <w:szCs w:val="28"/>
              </w:rPr>
              <w:t>产品</w:t>
            </w:r>
            <w:r>
              <w:rPr>
                <w:rFonts w:ascii="Times New Roman" w:hAnsi="Times New Roman" w:eastAsia="仿宋_GB2312" w:cs="Times New Roman"/>
                <w:kern w:val="0"/>
                <w:sz w:val="28"/>
                <w:szCs w:val="28"/>
              </w:rPr>
              <w:t>实际情况</w:t>
            </w:r>
          </w:p>
        </w:tc>
      </w:tr>
      <w:tr w14:paraId="0E55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tcPr>
          <w:p w14:paraId="3E856E43">
            <w:pPr>
              <w:autoSpaceDE w:val="0"/>
              <w:autoSpaceDN w:val="0"/>
              <w:adjustRightInd w:val="0"/>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C.2.29</w:t>
            </w:r>
          </w:p>
        </w:tc>
        <w:tc>
          <w:tcPr>
            <w:tcW w:w="6740" w:type="dxa"/>
            <w:gridSpan w:val="2"/>
            <w:vAlign w:val="center"/>
          </w:tcPr>
          <w:p w14:paraId="1CC580A3">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医疗器械的成功使用，是否关键取决于认为因素，例如用户接口</w:t>
            </w:r>
          </w:p>
        </w:tc>
        <w:tc>
          <w:tcPr>
            <w:tcW w:w="2319" w:type="dxa"/>
            <w:gridSpan w:val="2"/>
            <w:vAlign w:val="center"/>
          </w:tcPr>
          <w:p w14:paraId="3B03A69F">
            <w:pPr>
              <w:autoSpaceDE w:val="0"/>
              <w:autoSpaceDN w:val="0"/>
              <w:adjustRightInd w:val="0"/>
              <w:spacing w:line="360" w:lineRule="exact"/>
              <w:rPr>
                <w:rFonts w:ascii="Times New Roman" w:hAnsi="Times New Roman" w:eastAsia="仿宋_GB2312" w:cs="Times New Roman"/>
                <w:kern w:val="0"/>
                <w:sz w:val="28"/>
                <w:szCs w:val="28"/>
              </w:rPr>
            </w:pPr>
          </w:p>
        </w:tc>
      </w:tr>
      <w:tr w14:paraId="6769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tcPr>
          <w:p w14:paraId="6E0E4679">
            <w:pPr>
              <w:autoSpaceDE w:val="0"/>
              <w:autoSpaceDN w:val="0"/>
              <w:adjustRightInd w:val="0"/>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C.2.29.1</w:t>
            </w:r>
          </w:p>
        </w:tc>
        <w:tc>
          <w:tcPr>
            <w:tcW w:w="6740" w:type="dxa"/>
            <w:gridSpan w:val="2"/>
            <w:vAlign w:val="center"/>
          </w:tcPr>
          <w:p w14:paraId="7E53A09B">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用户接口设计特性是否可能促成使用错误</w:t>
            </w:r>
          </w:p>
        </w:tc>
        <w:tc>
          <w:tcPr>
            <w:tcW w:w="2319" w:type="dxa"/>
            <w:gridSpan w:val="2"/>
            <w:vAlign w:val="center"/>
          </w:tcPr>
          <w:p w14:paraId="180BAD9A">
            <w:pPr>
              <w:autoSpaceDE w:val="0"/>
              <w:autoSpaceDN w:val="0"/>
              <w:adjustRightInd w:val="0"/>
              <w:spacing w:line="360" w:lineRule="exact"/>
              <w:rPr>
                <w:rFonts w:ascii="Times New Roman" w:hAnsi="Times New Roman" w:eastAsia="仿宋_GB2312" w:cs="Times New Roman"/>
                <w:kern w:val="0"/>
                <w:sz w:val="28"/>
                <w:szCs w:val="28"/>
              </w:rPr>
            </w:pPr>
          </w:p>
        </w:tc>
      </w:tr>
      <w:tr w14:paraId="6FAF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tcPr>
          <w:p w14:paraId="12BA115A">
            <w:pPr>
              <w:autoSpaceDE w:val="0"/>
              <w:autoSpaceDN w:val="0"/>
              <w:adjustRightInd w:val="0"/>
              <w:spacing w:line="360" w:lineRule="exact"/>
              <w:jc w:val="left"/>
              <w:rPr>
                <w:rFonts w:ascii="Times New Roman" w:hAnsi="Times New Roman" w:eastAsia="仿宋_GB2312" w:cs="Times New Roman"/>
                <w:sz w:val="28"/>
                <w:szCs w:val="28"/>
              </w:rPr>
            </w:pPr>
          </w:p>
        </w:tc>
        <w:tc>
          <w:tcPr>
            <w:tcW w:w="6740" w:type="dxa"/>
            <w:gridSpan w:val="2"/>
            <w:vAlign w:val="center"/>
          </w:tcPr>
          <w:p w14:paraId="1A089C06">
            <w:pPr>
              <w:spacing w:line="3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考虑的因素是可能促成使用错误的用户</w:t>
            </w:r>
            <w:r>
              <w:rPr>
                <w:rFonts w:hint="eastAsia" w:ascii="Times New Roman" w:hAnsi="Times New Roman" w:eastAsia="仿宋_GB2312" w:cs="Times New Roman"/>
                <w:sz w:val="28"/>
                <w:szCs w:val="28"/>
              </w:rPr>
              <w:t>接口</w:t>
            </w:r>
            <w:r>
              <w:rPr>
                <w:rFonts w:ascii="Times New Roman" w:hAnsi="Times New Roman" w:eastAsia="仿宋_GB2312" w:cs="Times New Roman"/>
                <w:sz w:val="28"/>
                <w:szCs w:val="28"/>
              </w:rPr>
              <w:t>设计特性。</w:t>
            </w:r>
            <w:r>
              <w:rPr>
                <w:rFonts w:hint="eastAsia" w:ascii="Times New Roman" w:hAnsi="Times New Roman" w:eastAsia="仿宋_GB2312" w:cs="Times New Roman"/>
                <w:sz w:val="28"/>
                <w:szCs w:val="28"/>
              </w:rPr>
              <w:t>接口</w:t>
            </w:r>
            <w:r>
              <w:rPr>
                <w:rFonts w:ascii="Times New Roman" w:hAnsi="Times New Roman" w:eastAsia="仿宋_GB2312" w:cs="Times New Roman"/>
                <w:sz w:val="28"/>
                <w:szCs w:val="28"/>
              </w:rPr>
              <w:t>设计特性的示例包括：控制</w:t>
            </w:r>
            <w:r>
              <w:rPr>
                <w:rFonts w:hint="eastAsia" w:ascii="Times New Roman" w:hAnsi="Times New Roman" w:eastAsia="仿宋_GB2312" w:cs="Times New Roman"/>
                <w:sz w:val="28"/>
                <w:szCs w:val="28"/>
              </w:rPr>
              <w:t>器</w:t>
            </w:r>
            <w:r>
              <w:rPr>
                <w:rFonts w:ascii="Times New Roman" w:hAnsi="Times New Roman" w:eastAsia="仿宋_GB2312" w:cs="Times New Roman"/>
                <w:sz w:val="28"/>
                <w:szCs w:val="28"/>
              </w:rPr>
              <w:t>和</w:t>
            </w:r>
            <w:r>
              <w:rPr>
                <w:rFonts w:hint="eastAsia" w:ascii="Times New Roman" w:hAnsi="Times New Roman" w:eastAsia="仿宋_GB2312" w:cs="Times New Roman"/>
                <w:sz w:val="28"/>
                <w:szCs w:val="28"/>
              </w:rPr>
              <w:t>指示</w:t>
            </w:r>
            <w:r>
              <w:rPr>
                <w:rFonts w:ascii="Times New Roman" w:hAnsi="Times New Roman" w:eastAsia="仿宋_GB2312" w:cs="Times New Roman"/>
                <w:sz w:val="28"/>
                <w:szCs w:val="28"/>
              </w:rPr>
              <w:t>器、</w:t>
            </w:r>
            <w:r>
              <w:rPr>
                <w:rFonts w:hint="eastAsia" w:ascii="Times New Roman" w:hAnsi="Times New Roman" w:eastAsia="仿宋_GB2312" w:cs="Times New Roman"/>
                <w:sz w:val="28"/>
                <w:szCs w:val="28"/>
              </w:rPr>
              <w:t>所</w:t>
            </w:r>
            <w:r>
              <w:rPr>
                <w:rFonts w:ascii="Times New Roman" w:hAnsi="Times New Roman" w:eastAsia="仿宋_GB2312" w:cs="Times New Roman"/>
                <w:sz w:val="28"/>
                <w:szCs w:val="28"/>
              </w:rPr>
              <w:t>使用的符号、人机工程学特性、物理设计和布局、操作层</w:t>
            </w:r>
            <w:r>
              <w:rPr>
                <w:rFonts w:hint="eastAsia" w:ascii="Times New Roman" w:hAnsi="Times New Roman" w:eastAsia="仿宋_GB2312" w:cs="Times New Roman"/>
                <w:sz w:val="28"/>
                <w:szCs w:val="28"/>
              </w:rPr>
              <w:t>级</w:t>
            </w:r>
            <w:r>
              <w:rPr>
                <w:rFonts w:ascii="Times New Roman" w:hAnsi="Times New Roman" w:eastAsia="仿宋_GB2312" w:cs="Times New Roman"/>
                <w:sz w:val="28"/>
                <w:szCs w:val="28"/>
              </w:rPr>
              <w:t>、驱动装置的软件菜单、警示的可视性、报警的可听性、</w:t>
            </w:r>
            <w:r>
              <w:rPr>
                <w:rFonts w:hint="eastAsia" w:ascii="Times New Roman" w:hAnsi="Times New Roman" w:eastAsia="仿宋_GB2312" w:cs="Times New Roman"/>
                <w:sz w:val="28"/>
                <w:szCs w:val="28"/>
              </w:rPr>
              <w:t>色标</w:t>
            </w:r>
            <w:r>
              <w:rPr>
                <w:rFonts w:ascii="Times New Roman" w:hAnsi="Times New Roman" w:eastAsia="仿宋_GB2312" w:cs="Times New Roman"/>
                <w:sz w:val="28"/>
                <w:szCs w:val="28"/>
              </w:rPr>
              <w:t>编码的标准化。</w:t>
            </w:r>
            <w:r>
              <w:rPr>
                <w:rFonts w:hint="eastAsia" w:ascii="Times New Roman" w:hAnsi="Times New Roman" w:eastAsia="仿宋_GB2312" w:cs="Times New Roman"/>
                <w:sz w:val="28"/>
                <w:szCs w:val="28"/>
              </w:rPr>
              <w:t>可用</w:t>
            </w:r>
            <w:r>
              <w:rPr>
                <w:rFonts w:ascii="Times New Roman" w:hAnsi="Times New Roman" w:eastAsia="仿宋_GB2312" w:cs="Times New Roman"/>
                <w:sz w:val="28"/>
                <w:szCs w:val="28"/>
              </w:rPr>
              <w:t>性的附加指南见 IEC 60601-1-6[25]，报警的附加指南见IEC 60601-1-8[26]</w:t>
            </w:r>
          </w:p>
        </w:tc>
        <w:tc>
          <w:tcPr>
            <w:tcW w:w="2319" w:type="dxa"/>
            <w:gridSpan w:val="2"/>
            <w:vAlign w:val="center"/>
          </w:tcPr>
          <w:p w14:paraId="5AB0734E">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依据产品实际情况</w:t>
            </w:r>
          </w:p>
        </w:tc>
      </w:tr>
      <w:tr w14:paraId="3690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39CDF610">
            <w:pPr>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C.2.29.2</w:t>
            </w:r>
          </w:p>
        </w:tc>
        <w:tc>
          <w:tcPr>
            <w:tcW w:w="6740" w:type="dxa"/>
            <w:gridSpan w:val="2"/>
            <w:vAlign w:val="center"/>
          </w:tcPr>
          <w:p w14:paraId="59D201CF">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医疗器械是否在因分散注意力而导致使用错误的环境中使用</w:t>
            </w:r>
          </w:p>
          <w:p w14:paraId="07DA8790">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宜考虑的因素包括：</w:t>
            </w:r>
          </w:p>
        </w:tc>
        <w:tc>
          <w:tcPr>
            <w:tcW w:w="2319" w:type="dxa"/>
            <w:gridSpan w:val="2"/>
            <w:vAlign w:val="center"/>
          </w:tcPr>
          <w:p w14:paraId="3D66507F">
            <w:pPr>
              <w:autoSpaceDE w:val="0"/>
              <w:autoSpaceDN w:val="0"/>
              <w:adjustRightInd w:val="0"/>
              <w:spacing w:line="360" w:lineRule="exact"/>
              <w:rPr>
                <w:rFonts w:ascii="Times New Roman" w:hAnsi="Times New Roman" w:eastAsia="仿宋_GB2312" w:cs="Times New Roman"/>
                <w:kern w:val="0"/>
                <w:sz w:val="28"/>
                <w:szCs w:val="28"/>
              </w:rPr>
            </w:pPr>
          </w:p>
        </w:tc>
      </w:tr>
      <w:tr w14:paraId="3045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vAlign w:val="center"/>
          </w:tcPr>
          <w:p w14:paraId="2E1BDB25">
            <w:pPr>
              <w:spacing w:line="360" w:lineRule="exact"/>
              <w:jc w:val="left"/>
              <w:rPr>
                <w:rFonts w:ascii="Times New Roman" w:hAnsi="Times New Roman" w:eastAsia="仿宋_GB2312" w:cs="Times New Roman"/>
                <w:sz w:val="28"/>
                <w:szCs w:val="28"/>
              </w:rPr>
            </w:pPr>
          </w:p>
        </w:tc>
        <w:tc>
          <w:tcPr>
            <w:tcW w:w="6740" w:type="dxa"/>
            <w:gridSpan w:val="2"/>
            <w:vAlign w:val="center"/>
          </w:tcPr>
          <w:p w14:paraId="2747DAE4">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使用错误的后果；</w:t>
            </w:r>
          </w:p>
        </w:tc>
        <w:tc>
          <w:tcPr>
            <w:tcW w:w="2319" w:type="dxa"/>
            <w:gridSpan w:val="2"/>
            <w:vAlign w:val="center"/>
          </w:tcPr>
          <w:p w14:paraId="67884F57">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雾化量和雾化时间不符合临床治疗要求</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使用雾化器无法兼容的药物进行雾化</w:t>
            </w:r>
          </w:p>
        </w:tc>
      </w:tr>
      <w:tr w14:paraId="7D34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59C564EC">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581AE7E4">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分散注意力的情况是否常见；</w:t>
            </w:r>
          </w:p>
        </w:tc>
        <w:tc>
          <w:tcPr>
            <w:tcW w:w="2319" w:type="dxa"/>
            <w:gridSpan w:val="2"/>
            <w:vAlign w:val="center"/>
          </w:tcPr>
          <w:p w14:paraId="53D0E52C">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依据产品实际情况</w:t>
            </w:r>
          </w:p>
        </w:tc>
      </w:tr>
      <w:tr w14:paraId="7F96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34A5AB95">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19099CBE">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使用者是否可能受到不常见的分散注意力情况的干扰。</w:t>
            </w:r>
          </w:p>
        </w:tc>
        <w:tc>
          <w:tcPr>
            <w:tcW w:w="2319" w:type="dxa"/>
            <w:gridSpan w:val="2"/>
            <w:vAlign w:val="center"/>
          </w:tcPr>
          <w:p w14:paraId="1C3C373A">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不常见</w:t>
            </w:r>
          </w:p>
        </w:tc>
      </w:tr>
      <w:tr w14:paraId="24BB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292076B0">
            <w:pPr>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C.2.29.3</w:t>
            </w:r>
          </w:p>
        </w:tc>
        <w:tc>
          <w:tcPr>
            <w:tcW w:w="6740" w:type="dxa"/>
            <w:gridSpan w:val="2"/>
            <w:vAlign w:val="center"/>
          </w:tcPr>
          <w:p w14:paraId="4B880E61">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医疗器械是否有连接部分或附件</w:t>
            </w:r>
          </w:p>
        </w:tc>
        <w:tc>
          <w:tcPr>
            <w:tcW w:w="2319" w:type="dxa"/>
            <w:gridSpan w:val="2"/>
            <w:vAlign w:val="center"/>
          </w:tcPr>
          <w:p w14:paraId="0FAFE12A">
            <w:pPr>
              <w:autoSpaceDE w:val="0"/>
              <w:autoSpaceDN w:val="0"/>
              <w:adjustRightInd w:val="0"/>
              <w:spacing w:line="360" w:lineRule="exact"/>
              <w:rPr>
                <w:rFonts w:ascii="Times New Roman" w:hAnsi="Times New Roman" w:eastAsia="仿宋_GB2312" w:cs="Times New Roman"/>
                <w:kern w:val="0"/>
                <w:sz w:val="28"/>
                <w:szCs w:val="28"/>
              </w:rPr>
            </w:pPr>
          </w:p>
        </w:tc>
      </w:tr>
      <w:tr w14:paraId="16D5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30F5E19B">
            <w:pPr>
              <w:spacing w:line="360" w:lineRule="exact"/>
              <w:jc w:val="left"/>
              <w:rPr>
                <w:rFonts w:ascii="Times New Roman" w:hAnsi="Times New Roman" w:eastAsia="仿宋_GB2312" w:cs="Times New Roman"/>
                <w:sz w:val="28"/>
                <w:szCs w:val="28"/>
              </w:rPr>
            </w:pPr>
          </w:p>
        </w:tc>
        <w:tc>
          <w:tcPr>
            <w:tcW w:w="6740" w:type="dxa"/>
            <w:gridSpan w:val="2"/>
            <w:vAlign w:val="center"/>
          </w:tcPr>
          <w:p w14:paraId="1272658D">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考虑的因素包括错误连接的可能性、与其他的产品连接方式的相似性、连接力、对连接完整性的反馈以及过紧和过松的连接。</w:t>
            </w:r>
          </w:p>
        </w:tc>
        <w:tc>
          <w:tcPr>
            <w:tcW w:w="2319" w:type="dxa"/>
            <w:gridSpan w:val="2"/>
            <w:vAlign w:val="center"/>
          </w:tcPr>
          <w:p w14:paraId="15078199">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有</w:t>
            </w:r>
          </w:p>
        </w:tc>
      </w:tr>
      <w:tr w14:paraId="68B5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0A36C2A6">
            <w:pPr>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C.2.29.4</w:t>
            </w:r>
          </w:p>
        </w:tc>
        <w:tc>
          <w:tcPr>
            <w:tcW w:w="6740" w:type="dxa"/>
            <w:gridSpan w:val="2"/>
            <w:vAlign w:val="center"/>
          </w:tcPr>
          <w:p w14:paraId="3211FD37">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医疗器械是否有控制接口</w:t>
            </w:r>
          </w:p>
        </w:tc>
        <w:tc>
          <w:tcPr>
            <w:tcW w:w="2319" w:type="dxa"/>
            <w:gridSpan w:val="2"/>
            <w:vAlign w:val="center"/>
          </w:tcPr>
          <w:p w14:paraId="7BD4C564">
            <w:pPr>
              <w:autoSpaceDE w:val="0"/>
              <w:autoSpaceDN w:val="0"/>
              <w:adjustRightInd w:val="0"/>
              <w:spacing w:line="360" w:lineRule="exact"/>
              <w:rPr>
                <w:rFonts w:ascii="Times New Roman" w:hAnsi="Times New Roman" w:eastAsia="仿宋_GB2312" w:cs="Times New Roman"/>
                <w:kern w:val="0"/>
                <w:sz w:val="28"/>
                <w:szCs w:val="28"/>
              </w:rPr>
            </w:pPr>
          </w:p>
        </w:tc>
      </w:tr>
      <w:tr w14:paraId="4D08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1E68543A">
            <w:pPr>
              <w:spacing w:line="360" w:lineRule="exact"/>
              <w:jc w:val="left"/>
              <w:rPr>
                <w:rFonts w:ascii="Times New Roman" w:hAnsi="Times New Roman" w:eastAsia="仿宋_GB2312" w:cs="Times New Roman"/>
                <w:sz w:val="28"/>
                <w:szCs w:val="28"/>
              </w:rPr>
            </w:pPr>
          </w:p>
        </w:tc>
        <w:tc>
          <w:tcPr>
            <w:tcW w:w="6740" w:type="dxa"/>
            <w:gridSpan w:val="2"/>
            <w:vAlign w:val="center"/>
          </w:tcPr>
          <w:p w14:paraId="619DD97A">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考虑的因素包括间隔、编码、分组、图形显示、反馈模式、出错、疏忽、控制差别、可视性、</w:t>
            </w:r>
            <w:r>
              <w:rPr>
                <w:rFonts w:hint="eastAsia" w:ascii="Times New Roman" w:hAnsi="Times New Roman" w:eastAsia="仿宋_GB2312" w:cs="Times New Roman"/>
                <w:sz w:val="28"/>
                <w:szCs w:val="28"/>
              </w:rPr>
              <w:t>启</w:t>
            </w:r>
            <w:r>
              <w:rPr>
                <w:rFonts w:ascii="Times New Roman" w:hAnsi="Times New Roman" w:eastAsia="仿宋_GB2312" w:cs="Times New Roman"/>
                <w:sz w:val="28"/>
                <w:szCs w:val="28"/>
              </w:rPr>
              <w:t>动或变换的方向、控制是连续的还是断续的</w:t>
            </w:r>
            <w:r>
              <w:rPr>
                <w:rFonts w:hint="eastAsia" w:ascii="Times New Roman" w:hAnsi="Times New Roman" w:eastAsia="仿宋_GB2312" w:cs="Times New Roman"/>
                <w:sz w:val="28"/>
                <w:szCs w:val="28"/>
              </w:rPr>
              <w:t>以及</w:t>
            </w:r>
            <w:r>
              <w:rPr>
                <w:rFonts w:ascii="Times New Roman" w:hAnsi="Times New Roman" w:eastAsia="仿宋_GB2312" w:cs="Times New Roman"/>
                <w:sz w:val="28"/>
                <w:szCs w:val="28"/>
              </w:rPr>
              <w:t>设置或动作的可逆性。</w:t>
            </w:r>
          </w:p>
        </w:tc>
        <w:tc>
          <w:tcPr>
            <w:tcW w:w="2319" w:type="dxa"/>
            <w:gridSpan w:val="2"/>
            <w:vAlign w:val="center"/>
          </w:tcPr>
          <w:p w14:paraId="560C3E57">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依据产品实际情况</w:t>
            </w:r>
          </w:p>
        </w:tc>
      </w:tr>
      <w:tr w14:paraId="2B6F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6F5B9B59">
            <w:pPr>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C.2.29.5</w:t>
            </w:r>
          </w:p>
        </w:tc>
        <w:tc>
          <w:tcPr>
            <w:tcW w:w="6740" w:type="dxa"/>
            <w:gridSpan w:val="2"/>
            <w:vAlign w:val="center"/>
          </w:tcPr>
          <w:p w14:paraId="3B2F940F">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医疗器械是否显示信息</w:t>
            </w:r>
          </w:p>
        </w:tc>
        <w:tc>
          <w:tcPr>
            <w:tcW w:w="2319" w:type="dxa"/>
            <w:gridSpan w:val="2"/>
            <w:vAlign w:val="center"/>
          </w:tcPr>
          <w:p w14:paraId="2EEDF8A1">
            <w:pPr>
              <w:autoSpaceDE w:val="0"/>
              <w:autoSpaceDN w:val="0"/>
              <w:adjustRightInd w:val="0"/>
              <w:spacing w:line="360" w:lineRule="exact"/>
              <w:rPr>
                <w:rFonts w:ascii="Times New Roman" w:hAnsi="Times New Roman" w:eastAsia="仿宋_GB2312" w:cs="Times New Roman"/>
                <w:kern w:val="0"/>
                <w:sz w:val="28"/>
                <w:szCs w:val="28"/>
              </w:rPr>
            </w:pPr>
          </w:p>
        </w:tc>
      </w:tr>
      <w:tr w14:paraId="6390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76768466">
            <w:pPr>
              <w:spacing w:line="360" w:lineRule="exact"/>
              <w:jc w:val="left"/>
              <w:rPr>
                <w:rFonts w:ascii="Times New Roman" w:hAnsi="Times New Roman" w:eastAsia="仿宋_GB2312" w:cs="Times New Roman"/>
                <w:sz w:val="28"/>
                <w:szCs w:val="28"/>
              </w:rPr>
            </w:pPr>
          </w:p>
        </w:tc>
        <w:tc>
          <w:tcPr>
            <w:tcW w:w="6740" w:type="dxa"/>
            <w:gridSpan w:val="2"/>
            <w:vAlign w:val="center"/>
          </w:tcPr>
          <w:p w14:paraId="7106E498">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考虑的因素包括在不同环境下的可视性、方向性、使用者的视力、视野和透视、和显示信息的清晰度、单位、</w:t>
            </w:r>
            <w:r>
              <w:rPr>
                <w:rFonts w:hint="eastAsia" w:ascii="Times New Roman" w:hAnsi="Times New Roman" w:eastAsia="仿宋_GB2312" w:cs="Times New Roman"/>
                <w:sz w:val="28"/>
                <w:szCs w:val="28"/>
              </w:rPr>
              <w:t>色标</w:t>
            </w:r>
            <w:r>
              <w:rPr>
                <w:rFonts w:ascii="Times New Roman" w:hAnsi="Times New Roman" w:eastAsia="仿宋_GB2312" w:cs="Times New Roman"/>
                <w:sz w:val="28"/>
                <w:szCs w:val="28"/>
              </w:rPr>
              <w:t>编码以及关键信息的可达性。</w:t>
            </w:r>
          </w:p>
        </w:tc>
        <w:tc>
          <w:tcPr>
            <w:tcW w:w="2319" w:type="dxa"/>
            <w:gridSpan w:val="2"/>
            <w:vAlign w:val="center"/>
          </w:tcPr>
          <w:p w14:paraId="3FE2ABAD">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部分产品可能会有性能显示部分</w:t>
            </w:r>
          </w:p>
          <w:p w14:paraId="70754139">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依据</w:t>
            </w:r>
            <w:r>
              <w:rPr>
                <w:rFonts w:hint="eastAsia" w:ascii="Times New Roman" w:hAnsi="Times New Roman" w:eastAsia="仿宋_GB2312" w:cs="Times New Roman"/>
                <w:kern w:val="0"/>
                <w:sz w:val="28"/>
                <w:szCs w:val="28"/>
              </w:rPr>
              <w:t>产品</w:t>
            </w:r>
            <w:r>
              <w:rPr>
                <w:rFonts w:ascii="Times New Roman" w:hAnsi="Times New Roman" w:eastAsia="仿宋_GB2312" w:cs="Times New Roman"/>
                <w:kern w:val="0"/>
                <w:sz w:val="28"/>
                <w:szCs w:val="28"/>
              </w:rPr>
              <w:t>实际情况</w:t>
            </w:r>
          </w:p>
        </w:tc>
      </w:tr>
      <w:tr w14:paraId="2CD0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2CEC5059">
            <w:pPr>
              <w:widowControl/>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C.2.29.6</w:t>
            </w:r>
          </w:p>
        </w:tc>
        <w:tc>
          <w:tcPr>
            <w:tcW w:w="6740" w:type="dxa"/>
            <w:gridSpan w:val="2"/>
            <w:vAlign w:val="center"/>
          </w:tcPr>
          <w:p w14:paraId="4666A725">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医疗器械是否由菜单控制</w:t>
            </w:r>
          </w:p>
        </w:tc>
        <w:tc>
          <w:tcPr>
            <w:tcW w:w="2319" w:type="dxa"/>
            <w:gridSpan w:val="2"/>
            <w:vAlign w:val="center"/>
          </w:tcPr>
          <w:p w14:paraId="1057A90C">
            <w:pPr>
              <w:autoSpaceDE w:val="0"/>
              <w:autoSpaceDN w:val="0"/>
              <w:adjustRightInd w:val="0"/>
              <w:spacing w:line="360" w:lineRule="exact"/>
              <w:rPr>
                <w:rFonts w:ascii="Times New Roman" w:hAnsi="Times New Roman" w:eastAsia="仿宋_GB2312" w:cs="Times New Roman"/>
                <w:kern w:val="0"/>
                <w:sz w:val="28"/>
                <w:szCs w:val="28"/>
              </w:rPr>
            </w:pPr>
          </w:p>
        </w:tc>
      </w:tr>
      <w:tr w14:paraId="0242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18297A08">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1106DB90">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考虑的因素包括层次的复杂性和数量、状态感知、</w:t>
            </w:r>
            <w:r>
              <w:rPr>
                <w:rFonts w:hint="eastAsia" w:ascii="Times New Roman" w:hAnsi="Times New Roman" w:eastAsia="仿宋_GB2312" w:cs="Times New Roman"/>
                <w:sz w:val="28"/>
                <w:szCs w:val="28"/>
              </w:rPr>
              <w:t>位置</w:t>
            </w:r>
            <w:r>
              <w:rPr>
                <w:rFonts w:ascii="Times New Roman" w:hAnsi="Times New Roman" w:eastAsia="仿宋_GB2312" w:cs="Times New Roman"/>
                <w:sz w:val="28"/>
                <w:szCs w:val="28"/>
              </w:rPr>
              <w:t>设置、导</w:t>
            </w:r>
            <w:r>
              <w:rPr>
                <w:rFonts w:hint="eastAsia" w:ascii="Times New Roman" w:hAnsi="Times New Roman" w:eastAsia="仿宋_GB2312" w:cs="Times New Roman"/>
                <w:sz w:val="28"/>
                <w:szCs w:val="28"/>
              </w:rPr>
              <w:t>航</w:t>
            </w:r>
            <w:r>
              <w:rPr>
                <w:rFonts w:ascii="Times New Roman" w:hAnsi="Times New Roman" w:eastAsia="仿宋_GB2312" w:cs="Times New Roman"/>
                <w:sz w:val="28"/>
                <w:szCs w:val="28"/>
              </w:rPr>
              <w:t>方法、每一动作的步骤数、顺序的明确性和存储问题，</w:t>
            </w:r>
            <w:r>
              <w:rPr>
                <w:rFonts w:hint="eastAsia" w:ascii="Times New Roman" w:hAnsi="Times New Roman" w:eastAsia="仿宋_GB2312" w:cs="Times New Roman"/>
                <w:sz w:val="28"/>
                <w:szCs w:val="28"/>
              </w:rPr>
              <w:t>和可访问型相关</w:t>
            </w:r>
            <w:r>
              <w:rPr>
                <w:rFonts w:ascii="Times New Roman" w:hAnsi="Times New Roman" w:eastAsia="仿宋_GB2312" w:cs="Times New Roman"/>
                <w:sz w:val="28"/>
                <w:szCs w:val="28"/>
              </w:rPr>
              <w:t>的控制功能的重要性</w:t>
            </w:r>
            <w:r>
              <w:rPr>
                <w:rFonts w:hint="eastAsia" w:ascii="Times New Roman" w:hAnsi="Times New Roman" w:eastAsia="仿宋_GB2312" w:cs="Times New Roman"/>
                <w:sz w:val="28"/>
                <w:szCs w:val="28"/>
              </w:rPr>
              <w:t>以及</w:t>
            </w:r>
            <w:r>
              <w:rPr>
                <w:rFonts w:ascii="Times New Roman" w:hAnsi="Times New Roman" w:eastAsia="仿宋_GB2312" w:cs="Times New Roman"/>
                <w:sz w:val="28"/>
                <w:szCs w:val="28"/>
              </w:rPr>
              <w:t>偏离规定的操作程序的影响。</w:t>
            </w:r>
          </w:p>
        </w:tc>
        <w:tc>
          <w:tcPr>
            <w:tcW w:w="2319" w:type="dxa"/>
            <w:gridSpan w:val="2"/>
            <w:vAlign w:val="center"/>
          </w:tcPr>
          <w:p w14:paraId="329031B6">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依据</w:t>
            </w:r>
            <w:r>
              <w:rPr>
                <w:rFonts w:hint="eastAsia" w:ascii="Times New Roman" w:hAnsi="Times New Roman" w:eastAsia="仿宋_GB2312" w:cs="Times New Roman"/>
                <w:kern w:val="0"/>
                <w:sz w:val="28"/>
                <w:szCs w:val="28"/>
              </w:rPr>
              <w:t>产品</w:t>
            </w:r>
            <w:r>
              <w:rPr>
                <w:rFonts w:ascii="Times New Roman" w:hAnsi="Times New Roman" w:eastAsia="仿宋_GB2312" w:cs="Times New Roman"/>
                <w:kern w:val="0"/>
                <w:sz w:val="28"/>
                <w:szCs w:val="28"/>
              </w:rPr>
              <w:t>实际情况</w:t>
            </w:r>
          </w:p>
        </w:tc>
      </w:tr>
      <w:tr w14:paraId="4297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1271" w:type="dxa"/>
            <w:vAlign w:val="center"/>
          </w:tcPr>
          <w:p w14:paraId="5DE0B317">
            <w:pPr>
              <w:widowControl/>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C.2.29.7</w:t>
            </w:r>
          </w:p>
        </w:tc>
        <w:tc>
          <w:tcPr>
            <w:tcW w:w="6725" w:type="dxa"/>
            <w:vAlign w:val="center"/>
          </w:tcPr>
          <w:p w14:paraId="043A266F">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医疗器械是否由具有特殊需要的人使用</w:t>
            </w:r>
          </w:p>
        </w:tc>
        <w:tc>
          <w:tcPr>
            <w:tcW w:w="2323" w:type="dxa"/>
            <w:gridSpan w:val="2"/>
            <w:vAlign w:val="center"/>
          </w:tcPr>
          <w:p w14:paraId="4E7636BE">
            <w:pPr>
              <w:autoSpaceDE w:val="0"/>
              <w:autoSpaceDN w:val="0"/>
              <w:adjustRightInd w:val="0"/>
              <w:spacing w:line="360" w:lineRule="exact"/>
              <w:rPr>
                <w:rFonts w:ascii="Times New Roman" w:hAnsi="Times New Roman" w:eastAsia="仿宋_GB2312" w:cs="Times New Roman"/>
                <w:sz w:val="28"/>
                <w:szCs w:val="28"/>
                <w:highlight w:val="cyan"/>
              </w:rPr>
            </w:pPr>
          </w:p>
        </w:tc>
      </w:tr>
      <w:tr w14:paraId="3724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1271" w:type="dxa"/>
            <w:vAlign w:val="center"/>
          </w:tcPr>
          <w:p w14:paraId="55AE9A2F">
            <w:pPr>
              <w:autoSpaceDE w:val="0"/>
              <w:autoSpaceDN w:val="0"/>
              <w:adjustRightInd w:val="0"/>
              <w:spacing w:line="360" w:lineRule="exact"/>
              <w:rPr>
                <w:rFonts w:ascii="Times New Roman" w:hAnsi="Times New Roman" w:eastAsia="仿宋_GB2312" w:cs="Times New Roman"/>
                <w:kern w:val="0"/>
                <w:sz w:val="28"/>
                <w:szCs w:val="28"/>
              </w:rPr>
            </w:pPr>
          </w:p>
        </w:tc>
        <w:tc>
          <w:tcPr>
            <w:tcW w:w="6725" w:type="dxa"/>
            <w:vAlign w:val="center"/>
          </w:tcPr>
          <w:p w14:paraId="21655BED">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宜考虑的因素包括用户、用户的精神和体能、技能和培训、人机工程学方面、使用环境、安装要求和患者控制或影响医疗器械使用的能力。对于有特殊需求的使用者，如残障人士、老人和儿童宜给予特别的关注。为能使用医疗器械，他们的特殊需要可能包括另一个人的帮助，医疗器械是否预期由具有各种技能和文化背景的人员使用。</w:t>
            </w:r>
          </w:p>
        </w:tc>
        <w:tc>
          <w:tcPr>
            <w:tcW w:w="2323" w:type="dxa"/>
            <w:gridSpan w:val="2"/>
            <w:vAlign w:val="center"/>
          </w:tcPr>
          <w:p w14:paraId="38C64442">
            <w:pPr>
              <w:autoSpaceDE w:val="0"/>
              <w:autoSpaceDN w:val="0"/>
              <w:adjustRightInd w:val="0"/>
              <w:spacing w:line="360" w:lineRule="exact"/>
              <w:rPr>
                <w:rFonts w:ascii="Times New Roman" w:hAnsi="Times New Roman" w:eastAsia="仿宋_GB2312" w:cs="Times New Roman"/>
                <w:sz w:val="28"/>
                <w:szCs w:val="28"/>
                <w:highlight w:val="cyan"/>
              </w:rPr>
            </w:pPr>
            <w:r>
              <w:rPr>
                <w:rFonts w:hint="eastAsia" w:ascii="Times New Roman" w:hAnsi="Times New Roman" w:eastAsia="仿宋_GB2312" w:cs="Times New Roman"/>
                <w:sz w:val="28"/>
                <w:szCs w:val="28"/>
              </w:rPr>
              <w:t>有可能</w:t>
            </w:r>
            <w:r>
              <w:rPr>
                <w:rFonts w:ascii="Times New Roman" w:hAnsi="Times New Roman" w:eastAsia="仿宋_GB2312" w:cs="Times New Roman"/>
                <w:sz w:val="28"/>
                <w:szCs w:val="28"/>
              </w:rPr>
              <w:t>由儿童使用</w:t>
            </w:r>
          </w:p>
        </w:tc>
      </w:tr>
      <w:tr w14:paraId="4615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1271" w:type="dxa"/>
            <w:vAlign w:val="center"/>
          </w:tcPr>
          <w:p w14:paraId="298CC41D">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C.2.29.8</w:t>
            </w:r>
          </w:p>
        </w:tc>
        <w:tc>
          <w:tcPr>
            <w:tcW w:w="6725" w:type="dxa"/>
            <w:vAlign w:val="center"/>
          </w:tcPr>
          <w:p w14:paraId="10AFF365">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用户界面能否用于启动使用者动作</w:t>
            </w:r>
          </w:p>
        </w:tc>
        <w:tc>
          <w:tcPr>
            <w:tcW w:w="2323" w:type="dxa"/>
            <w:gridSpan w:val="2"/>
            <w:vAlign w:val="center"/>
          </w:tcPr>
          <w:p w14:paraId="477B0D37">
            <w:pPr>
              <w:autoSpaceDE w:val="0"/>
              <w:autoSpaceDN w:val="0"/>
              <w:adjustRightInd w:val="0"/>
              <w:spacing w:line="360" w:lineRule="exact"/>
              <w:rPr>
                <w:rFonts w:ascii="Times New Roman" w:hAnsi="Times New Roman" w:eastAsia="仿宋_GB2312" w:cs="Times New Roman"/>
                <w:sz w:val="28"/>
                <w:szCs w:val="28"/>
                <w:highlight w:val="cyan"/>
              </w:rPr>
            </w:pPr>
          </w:p>
        </w:tc>
      </w:tr>
      <w:tr w14:paraId="6B13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1271" w:type="dxa"/>
            <w:vAlign w:val="center"/>
          </w:tcPr>
          <w:p w14:paraId="2E15F05E">
            <w:pPr>
              <w:autoSpaceDE w:val="0"/>
              <w:autoSpaceDN w:val="0"/>
              <w:adjustRightInd w:val="0"/>
              <w:spacing w:line="360" w:lineRule="exact"/>
              <w:rPr>
                <w:rFonts w:ascii="Times New Roman" w:hAnsi="Times New Roman" w:eastAsia="仿宋_GB2312" w:cs="Times New Roman"/>
                <w:kern w:val="0"/>
                <w:sz w:val="28"/>
                <w:szCs w:val="28"/>
              </w:rPr>
            </w:pPr>
          </w:p>
        </w:tc>
        <w:tc>
          <w:tcPr>
            <w:tcW w:w="6725" w:type="dxa"/>
            <w:vAlign w:val="center"/>
          </w:tcPr>
          <w:p w14:paraId="313D00FE">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宜考虑的因素包括：使用者启动了一个已准备的动作进入一个受控的运行模式的可能性，这种可能性增大了患者的风险，是否会引起使用者的注意。</w:t>
            </w:r>
          </w:p>
        </w:tc>
        <w:tc>
          <w:tcPr>
            <w:tcW w:w="2323" w:type="dxa"/>
            <w:gridSpan w:val="2"/>
            <w:vAlign w:val="center"/>
          </w:tcPr>
          <w:p w14:paraId="3A03E062">
            <w:pPr>
              <w:autoSpaceDE w:val="0"/>
              <w:autoSpaceDN w:val="0"/>
              <w:adjustRightInd w:val="0"/>
              <w:spacing w:line="360" w:lineRule="exact"/>
              <w:rPr>
                <w:rFonts w:ascii="Times New Roman" w:hAnsi="Times New Roman" w:eastAsia="仿宋_GB2312" w:cs="Times New Roman"/>
                <w:sz w:val="28"/>
                <w:szCs w:val="28"/>
                <w:highlight w:val="cyan"/>
              </w:rPr>
            </w:pPr>
            <w:r>
              <w:rPr>
                <w:rFonts w:ascii="Times New Roman" w:hAnsi="Times New Roman" w:eastAsia="仿宋_GB2312" w:cs="Times New Roman"/>
                <w:kern w:val="0"/>
                <w:sz w:val="28"/>
                <w:szCs w:val="28"/>
              </w:rPr>
              <w:t>是，由专业医生指导使用</w:t>
            </w:r>
          </w:p>
        </w:tc>
      </w:tr>
      <w:tr w14:paraId="409E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1271" w:type="dxa"/>
            <w:vAlign w:val="center"/>
          </w:tcPr>
          <w:p w14:paraId="45AAAEF5">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C.2.30</w:t>
            </w:r>
          </w:p>
        </w:tc>
        <w:tc>
          <w:tcPr>
            <w:tcW w:w="6725" w:type="dxa"/>
            <w:vAlign w:val="center"/>
          </w:tcPr>
          <w:p w14:paraId="7F817E83">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医疗器械是否使用报警系统</w:t>
            </w:r>
          </w:p>
        </w:tc>
        <w:tc>
          <w:tcPr>
            <w:tcW w:w="2323" w:type="dxa"/>
            <w:gridSpan w:val="2"/>
            <w:vAlign w:val="center"/>
          </w:tcPr>
          <w:p w14:paraId="104779AC">
            <w:pPr>
              <w:autoSpaceDE w:val="0"/>
              <w:autoSpaceDN w:val="0"/>
              <w:adjustRightInd w:val="0"/>
              <w:spacing w:line="360" w:lineRule="exact"/>
              <w:rPr>
                <w:rFonts w:ascii="Times New Roman" w:hAnsi="Times New Roman" w:eastAsia="仿宋_GB2312" w:cs="Times New Roman"/>
                <w:sz w:val="28"/>
                <w:szCs w:val="28"/>
                <w:highlight w:val="cyan"/>
              </w:rPr>
            </w:pPr>
          </w:p>
        </w:tc>
      </w:tr>
      <w:tr w14:paraId="3B79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jc w:val="center"/>
        </w:trPr>
        <w:tc>
          <w:tcPr>
            <w:tcW w:w="1271" w:type="dxa"/>
            <w:vAlign w:val="center"/>
          </w:tcPr>
          <w:p w14:paraId="367409AA">
            <w:pPr>
              <w:autoSpaceDE w:val="0"/>
              <w:autoSpaceDN w:val="0"/>
              <w:adjustRightInd w:val="0"/>
              <w:spacing w:line="360" w:lineRule="exact"/>
              <w:rPr>
                <w:rFonts w:ascii="Times New Roman" w:hAnsi="Times New Roman" w:eastAsia="仿宋_GB2312" w:cs="Times New Roman"/>
                <w:kern w:val="0"/>
                <w:sz w:val="28"/>
                <w:szCs w:val="28"/>
              </w:rPr>
            </w:pPr>
          </w:p>
        </w:tc>
        <w:tc>
          <w:tcPr>
            <w:tcW w:w="6725" w:type="dxa"/>
            <w:vAlign w:val="center"/>
          </w:tcPr>
          <w:p w14:paraId="55A0C496">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宜</w:t>
            </w:r>
            <w:r>
              <w:rPr>
                <w:rFonts w:ascii="Times New Roman" w:hAnsi="Times New Roman" w:eastAsia="仿宋_GB2312" w:cs="Times New Roman"/>
                <w:kern w:val="0"/>
                <w:sz w:val="28"/>
                <w:szCs w:val="28"/>
              </w:rPr>
              <w:t>考虑的因素是错误报警、不报警、报警系统断开</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不可靠的远程报警系统的风险和医务人员理解报警系统如何工作的可能性。IEC 60601-1-8[26]给出了报警系统的指南。</w:t>
            </w:r>
          </w:p>
        </w:tc>
        <w:tc>
          <w:tcPr>
            <w:tcW w:w="2323" w:type="dxa"/>
            <w:gridSpan w:val="2"/>
            <w:vAlign w:val="center"/>
          </w:tcPr>
          <w:p w14:paraId="6A9C7A0B">
            <w:pPr>
              <w:autoSpaceDE w:val="0"/>
              <w:autoSpaceDN w:val="0"/>
              <w:adjustRightInd w:val="0"/>
              <w:spacing w:line="360" w:lineRule="exact"/>
              <w:rPr>
                <w:rFonts w:ascii="Times New Roman" w:hAnsi="Times New Roman" w:eastAsia="仿宋_GB2312" w:cs="Times New Roman"/>
                <w:sz w:val="28"/>
                <w:szCs w:val="28"/>
                <w:highlight w:val="cyan"/>
              </w:rPr>
            </w:pPr>
            <w:r>
              <w:rPr>
                <w:rFonts w:hint="eastAsia" w:ascii="Times New Roman" w:hAnsi="Times New Roman" w:eastAsia="仿宋_GB2312" w:cs="Times New Roman"/>
                <w:sz w:val="28"/>
                <w:szCs w:val="28"/>
              </w:rPr>
              <w:t>依据产品实际情况</w:t>
            </w:r>
          </w:p>
        </w:tc>
      </w:tr>
      <w:tr w14:paraId="17A4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2F6112B8">
            <w:pPr>
              <w:widowControl/>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C.2.31</w:t>
            </w:r>
          </w:p>
        </w:tc>
        <w:tc>
          <w:tcPr>
            <w:tcW w:w="6740" w:type="dxa"/>
            <w:gridSpan w:val="2"/>
            <w:vAlign w:val="center"/>
          </w:tcPr>
          <w:p w14:paraId="2E7EBBAB">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医疗器械可能以什么方式被故意地误用</w:t>
            </w:r>
          </w:p>
        </w:tc>
        <w:tc>
          <w:tcPr>
            <w:tcW w:w="2319" w:type="dxa"/>
            <w:gridSpan w:val="2"/>
            <w:vAlign w:val="center"/>
          </w:tcPr>
          <w:p w14:paraId="1E7BF1AD">
            <w:pPr>
              <w:autoSpaceDE w:val="0"/>
              <w:autoSpaceDN w:val="0"/>
              <w:adjustRightInd w:val="0"/>
              <w:spacing w:line="360" w:lineRule="exact"/>
              <w:rPr>
                <w:rFonts w:ascii="Times New Roman" w:hAnsi="Times New Roman" w:eastAsia="仿宋_GB2312" w:cs="Times New Roman"/>
                <w:kern w:val="0"/>
                <w:sz w:val="28"/>
                <w:szCs w:val="28"/>
              </w:rPr>
            </w:pPr>
          </w:p>
        </w:tc>
      </w:tr>
      <w:tr w14:paraId="13CC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05AB2A66">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64BAF765">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考虑的因素是连接器的不正确使用、丧失安全特性或报警不能工作、忽视制造商推荐的维护。</w:t>
            </w:r>
          </w:p>
        </w:tc>
        <w:tc>
          <w:tcPr>
            <w:tcW w:w="2319" w:type="dxa"/>
            <w:gridSpan w:val="2"/>
            <w:vAlign w:val="center"/>
          </w:tcPr>
          <w:p w14:paraId="4F393B89">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可能存在</w:t>
            </w:r>
          </w:p>
        </w:tc>
      </w:tr>
      <w:tr w14:paraId="3424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1F5481B3">
            <w:pPr>
              <w:widowControl/>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C.2.32</w:t>
            </w:r>
          </w:p>
        </w:tc>
        <w:tc>
          <w:tcPr>
            <w:tcW w:w="6740" w:type="dxa"/>
            <w:gridSpan w:val="2"/>
            <w:vAlign w:val="center"/>
          </w:tcPr>
          <w:p w14:paraId="00A60044">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医疗器械是否持有患者护理的关键数据</w:t>
            </w:r>
          </w:p>
        </w:tc>
        <w:tc>
          <w:tcPr>
            <w:tcW w:w="2319" w:type="dxa"/>
            <w:gridSpan w:val="2"/>
            <w:vAlign w:val="center"/>
          </w:tcPr>
          <w:p w14:paraId="102D5ABF">
            <w:pPr>
              <w:autoSpaceDE w:val="0"/>
              <w:autoSpaceDN w:val="0"/>
              <w:adjustRightInd w:val="0"/>
              <w:spacing w:line="360" w:lineRule="exact"/>
              <w:rPr>
                <w:rFonts w:ascii="Times New Roman" w:hAnsi="Times New Roman" w:eastAsia="仿宋_GB2312" w:cs="Times New Roman"/>
                <w:kern w:val="0"/>
                <w:sz w:val="28"/>
                <w:szCs w:val="28"/>
              </w:rPr>
            </w:pPr>
          </w:p>
        </w:tc>
      </w:tr>
      <w:tr w14:paraId="40BD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1F60A717">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2D83E56F">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考虑的因素包括数据被修改或被破坏的后果。</w:t>
            </w:r>
          </w:p>
        </w:tc>
        <w:tc>
          <w:tcPr>
            <w:tcW w:w="2319" w:type="dxa"/>
            <w:gridSpan w:val="2"/>
            <w:vAlign w:val="center"/>
          </w:tcPr>
          <w:p w14:paraId="6EBFB207">
            <w:pPr>
              <w:autoSpaceDE w:val="0"/>
              <w:autoSpaceDN w:val="0"/>
              <w:adjustRightInd w:val="0"/>
              <w:spacing w:line="360" w:lineRule="exac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依据产品实际情况</w:t>
            </w:r>
          </w:p>
        </w:tc>
      </w:tr>
      <w:tr w14:paraId="1FC6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545258C6">
            <w:pPr>
              <w:widowControl/>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C.2.33</w:t>
            </w:r>
          </w:p>
        </w:tc>
        <w:tc>
          <w:tcPr>
            <w:tcW w:w="6740" w:type="dxa"/>
            <w:gridSpan w:val="2"/>
            <w:vAlign w:val="center"/>
          </w:tcPr>
          <w:p w14:paraId="2170B64C">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医疗器械受预期为移动式或便携式</w:t>
            </w:r>
          </w:p>
        </w:tc>
        <w:tc>
          <w:tcPr>
            <w:tcW w:w="2319" w:type="dxa"/>
            <w:gridSpan w:val="2"/>
            <w:vAlign w:val="center"/>
          </w:tcPr>
          <w:p w14:paraId="1AFFEC4B">
            <w:pPr>
              <w:autoSpaceDE w:val="0"/>
              <w:autoSpaceDN w:val="0"/>
              <w:adjustRightInd w:val="0"/>
              <w:spacing w:line="360" w:lineRule="exact"/>
              <w:rPr>
                <w:rFonts w:ascii="Times New Roman" w:hAnsi="Times New Roman" w:eastAsia="仿宋_GB2312" w:cs="Times New Roman"/>
                <w:kern w:val="0"/>
                <w:sz w:val="28"/>
                <w:szCs w:val="28"/>
              </w:rPr>
            </w:pPr>
          </w:p>
        </w:tc>
      </w:tr>
      <w:tr w14:paraId="61F8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2B59F5B8">
            <w:pPr>
              <w:widowControl/>
              <w:spacing w:line="360" w:lineRule="exact"/>
              <w:jc w:val="left"/>
              <w:rPr>
                <w:rFonts w:ascii="Times New Roman" w:hAnsi="Times New Roman" w:eastAsia="仿宋_GB2312" w:cs="Times New Roman"/>
                <w:sz w:val="28"/>
                <w:szCs w:val="28"/>
              </w:rPr>
            </w:pPr>
          </w:p>
        </w:tc>
        <w:tc>
          <w:tcPr>
            <w:tcW w:w="6740" w:type="dxa"/>
            <w:gridSpan w:val="2"/>
            <w:vAlign w:val="center"/>
          </w:tcPr>
          <w:p w14:paraId="092A1162">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考虑的因素是必要的把手、手柄、轮子、制动、机械稳定性和耐久性。</w:t>
            </w:r>
          </w:p>
        </w:tc>
        <w:tc>
          <w:tcPr>
            <w:tcW w:w="2319" w:type="dxa"/>
            <w:gridSpan w:val="2"/>
            <w:vAlign w:val="center"/>
          </w:tcPr>
          <w:p w14:paraId="217646AF">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多为便携式</w:t>
            </w:r>
          </w:p>
        </w:tc>
      </w:tr>
      <w:tr w14:paraId="0C33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tcPr>
          <w:p w14:paraId="2151D5B5">
            <w:pPr>
              <w:autoSpaceDE w:val="0"/>
              <w:autoSpaceDN w:val="0"/>
              <w:adjustRightInd w:val="0"/>
              <w:spacing w:line="36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C.2.34</w:t>
            </w:r>
          </w:p>
        </w:tc>
        <w:tc>
          <w:tcPr>
            <w:tcW w:w="6740" w:type="dxa"/>
            <w:gridSpan w:val="2"/>
            <w:vAlign w:val="center"/>
          </w:tcPr>
          <w:p w14:paraId="7182FDB4">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医疗器械的使用是否依赖于基本性能</w:t>
            </w:r>
          </w:p>
        </w:tc>
        <w:tc>
          <w:tcPr>
            <w:tcW w:w="2319" w:type="dxa"/>
            <w:gridSpan w:val="2"/>
            <w:vAlign w:val="center"/>
          </w:tcPr>
          <w:p w14:paraId="7435F368">
            <w:pPr>
              <w:autoSpaceDE w:val="0"/>
              <w:autoSpaceDN w:val="0"/>
              <w:adjustRightInd w:val="0"/>
              <w:spacing w:line="360" w:lineRule="exact"/>
              <w:rPr>
                <w:rFonts w:ascii="Times New Roman" w:hAnsi="Times New Roman" w:eastAsia="仿宋_GB2312" w:cs="Times New Roman"/>
                <w:kern w:val="0"/>
                <w:sz w:val="28"/>
                <w:szCs w:val="28"/>
              </w:rPr>
            </w:pPr>
          </w:p>
        </w:tc>
      </w:tr>
      <w:tr w14:paraId="4F92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tcPr>
          <w:p w14:paraId="2DCC26B3">
            <w:pPr>
              <w:autoSpaceDE w:val="0"/>
              <w:autoSpaceDN w:val="0"/>
              <w:adjustRightInd w:val="0"/>
              <w:spacing w:line="360" w:lineRule="exact"/>
              <w:jc w:val="left"/>
              <w:rPr>
                <w:rFonts w:ascii="Times New Roman" w:hAnsi="Times New Roman" w:eastAsia="仿宋_GB2312" w:cs="Times New Roman"/>
                <w:sz w:val="28"/>
                <w:szCs w:val="28"/>
              </w:rPr>
            </w:pPr>
          </w:p>
        </w:tc>
        <w:tc>
          <w:tcPr>
            <w:tcW w:w="6740" w:type="dxa"/>
            <w:gridSpan w:val="2"/>
            <w:vAlign w:val="center"/>
          </w:tcPr>
          <w:p w14:paraId="6E214C03">
            <w:pPr>
              <w:spacing w:line="3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宜</w:t>
            </w:r>
            <w:r>
              <w:rPr>
                <w:rFonts w:ascii="Times New Roman" w:hAnsi="Times New Roman" w:eastAsia="仿宋_GB2312" w:cs="Times New Roman"/>
                <w:sz w:val="28"/>
                <w:szCs w:val="28"/>
              </w:rPr>
              <w:t>考虑的因素例如是生命支持器械的输出特征或报警的运行。有关医用电气设备和医用电气系统的基本性能的讨论见IEC 60601-1</w:t>
            </w:r>
          </w:p>
        </w:tc>
        <w:tc>
          <w:tcPr>
            <w:tcW w:w="2319" w:type="dxa"/>
            <w:gridSpan w:val="2"/>
            <w:vAlign w:val="center"/>
          </w:tcPr>
          <w:p w14:paraId="36290099">
            <w:pPr>
              <w:autoSpaceDE w:val="0"/>
              <w:autoSpaceDN w:val="0"/>
              <w:adjustRightInd w:val="0"/>
              <w:spacing w:line="36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依赖于产品的基本性能，比如压力、气体流量、雾化率、雾化粒子直径等</w:t>
            </w:r>
          </w:p>
        </w:tc>
      </w:tr>
    </w:tbl>
    <w:p w14:paraId="549F0055">
      <w:pPr>
        <w:spacing w:line="520" w:lineRule="exact"/>
        <w:ind w:firstLine="640" w:firstLineChars="200"/>
        <w:rPr>
          <w:rFonts w:ascii="仿宋_GB2312" w:hAnsi="黑体" w:eastAsia="仿宋_GB2312"/>
          <w:sz w:val="32"/>
          <w:szCs w:val="32"/>
        </w:rPr>
      </w:pPr>
    </w:p>
    <w:p w14:paraId="37F2B170">
      <w:pPr>
        <w:spacing w:line="520" w:lineRule="exact"/>
        <w:rPr>
          <w:rFonts w:ascii="仿宋_GB2312" w:hAnsi="黑体" w:eastAsia="仿宋_GB2312"/>
          <w:sz w:val="32"/>
          <w:szCs w:val="32"/>
        </w:rPr>
      </w:pPr>
    </w:p>
    <w:p w14:paraId="6633AAF4">
      <w:pPr>
        <w:jc w:val="center"/>
        <w:rPr>
          <w:rFonts w:hint="eastAsia" w:eastAsia="宋体"/>
          <w:lang w:eastAsia="zh-CN"/>
        </w:rPr>
      </w:pPr>
    </w:p>
    <w:p w14:paraId="6957EFC3">
      <w:pPr>
        <w:jc w:val="center"/>
        <w:rPr>
          <w:rFonts w:hint="eastAsia" w:eastAsia="宋体"/>
          <w:lang w:eastAsia="zh-CN"/>
        </w:rPr>
      </w:pPr>
    </w:p>
    <w:p w14:paraId="352832CA">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5" name="图片 5" descr="2"/>
            <wp:cNvGraphicFramePr/>
            <a:graphic xmlns:a="http://schemas.openxmlformats.org/drawingml/2006/main">
              <a:graphicData uri="http://schemas.openxmlformats.org/drawingml/2006/picture">
                <pic:pic xmlns:pic="http://schemas.openxmlformats.org/drawingml/2006/picture">
                  <pic:nvPicPr>
                    <pic:cNvPr id="5" name="图片 5"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2F21">
    <w:pPr>
      <w:pStyle w:val="3"/>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52B0EE"/>
    <w:multiLevelType w:val="singleLevel"/>
    <w:tmpl w:val="4852B0EE"/>
    <w:lvl w:ilvl="0" w:tentative="0">
      <w:start w:val="4"/>
      <w:numFmt w:val="chineseCounting"/>
      <w:suff w:val="nothing"/>
      <w:lvlText w:val="（%1）"/>
      <w:lvlJc w:val="left"/>
      <w:rPr>
        <w:rFonts w:hint="eastAsia"/>
      </w:rPr>
    </w:lvl>
  </w:abstractNum>
  <w:abstractNum w:abstractNumId="1">
    <w:nsid w:val="796C0774"/>
    <w:multiLevelType w:val="multilevel"/>
    <w:tmpl w:val="796C0774"/>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456D5"/>
    <w:rsid w:val="000124FC"/>
    <w:rsid w:val="00021680"/>
    <w:rsid w:val="00023802"/>
    <w:rsid w:val="00024B0D"/>
    <w:rsid w:val="00025CF0"/>
    <w:rsid w:val="00035BB9"/>
    <w:rsid w:val="00036211"/>
    <w:rsid w:val="00036DD5"/>
    <w:rsid w:val="000450E3"/>
    <w:rsid w:val="00051FCB"/>
    <w:rsid w:val="00052A80"/>
    <w:rsid w:val="00055DAD"/>
    <w:rsid w:val="00056673"/>
    <w:rsid w:val="00067433"/>
    <w:rsid w:val="00070F68"/>
    <w:rsid w:val="00084CB1"/>
    <w:rsid w:val="000A04D9"/>
    <w:rsid w:val="000A0CF6"/>
    <w:rsid w:val="000A1F49"/>
    <w:rsid w:val="000A2AA2"/>
    <w:rsid w:val="000A488A"/>
    <w:rsid w:val="000B05DB"/>
    <w:rsid w:val="000B1C05"/>
    <w:rsid w:val="000C637D"/>
    <w:rsid w:val="000C64A5"/>
    <w:rsid w:val="000C79C9"/>
    <w:rsid w:val="000D0901"/>
    <w:rsid w:val="000D0B08"/>
    <w:rsid w:val="000F6399"/>
    <w:rsid w:val="00106CAB"/>
    <w:rsid w:val="00107E0E"/>
    <w:rsid w:val="00112615"/>
    <w:rsid w:val="00112DA3"/>
    <w:rsid w:val="0011362A"/>
    <w:rsid w:val="00120C8B"/>
    <w:rsid w:val="00122AFB"/>
    <w:rsid w:val="001254D2"/>
    <w:rsid w:val="00135786"/>
    <w:rsid w:val="00144502"/>
    <w:rsid w:val="00145E76"/>
    <w:rsid w:val="0016757B"/>
    <w:rsid w:val="00174F29"/>
    <w:rsid w:val="001767BD"/>
    <w:rsid w:val="00187382"/>
    <w:rsid w:val="0019462F"/>
    <w:rsid w:val="001A107C"/>
    <w:rsid w:val="001B7215"/>
    <w:rsid w:val="001C5A12"/>
    <w:rsid w:val="001E00B7"/>
    <w:rsid w:val="001E4D34"/>
    <w:rsid w:val="001E4FBE"/>
    <w:rsid w:val="001F41FD"/>
    <w:rsid w:val="001F5EA9"/>
    <w:rsid w:val="00205AED"/>
    <w:rsid w:val="0020765C"/>
    <w:rsid w:val="00213C66"/>
    <w:rsid w:val="00221593"/>
    <w:rsid w:val="00230147"/>
    <w:rsid w:val="00241FCD"/>
    <w:rsid w:val="00242510"/>
    <w:rsid w:val="002432D5"/>
    <w:rsid w:val="00246C34"/>
    <w:rsid w:val="00256B73"/>
    <w:rsid w:val="00260627"/>
    <w:rsid w:val="002652FB"/>
    <w:rsid w:val="00266108"/>
    <w:rsid w:val="00267C74"/>
    <w:rsid w:val="0028359C"/>
    <w:rsid w:val="00293597"/>
    <w:rsid w:val="002B0888"/>
    <w:rsid w:val="002B09BC"/>
    <w:rsid w:val="002B1E5B"/>
    <w:rsid w:val="002B35BA"/>
    <w:rsid w:val="002C5A93"/>
    <w:rsid w:val="002E447A"/>
    <w:rsid w:val="002E7EA0"/>
    <w:rsid w:val="002F039B"/>
    <w:rsid w:val="002F1A40"/>
    <w:rsid w:val="002F1A41"/>
    <w:rsid w:val="00305F2E"/>
    <w:rsid w:val="003100A8"/>
    <w:rsid w:val="00323025"/>
    <w:rsid w:val="00326673"/>
    <w:rsid w:val="00330818"/>
    <w:rsid w:val="003308F2"/>
    <w:rsid w:val="00337391"/>
    <w:rsid w:val="00344FFF"/>
    <w:rsid w:val="00351003"/>
    <w:rsid w:val="003743A5"/>
    <w:rsid w:val="00375685"/>
    <w:rsid w:val="003766E0"/>
    <w:rsid w:val="00381C10"/>
    <w:rsid w:val="0038226D"/>
    <w:rsid w:val="00385367"/>
    <w:rsid w:val="00387C09"/>
    <w:rsid w:val="00393E59"/>
    <w:rsid w:val="00396FE8"/>
    <w:rsid w:val="003B23A1"/>
    <w:rsid w:val="003B2C14"/>
    <w:rsid w:val="003B661F"/>
    <w:rsid w:val="003C4395"/>
    <w:rsid w:val="003C5B6F"/>
    <w:rsid w:val="003C795E"/>
    <w:rsid w:val="003D1636"/>
    <w:rsid w:val="003D2B9B"/>
    <w:rsid w:val="003D39D5"/>
    <w:rsid w:val="003E3D70"/>
    <w:rsid w:val="003E5159"/>
    <w:rsid w:val="003E695B"/>
    <w:rsid w:val="003F4B4F"/>
    <w:rsid w:val="00402524"/>
    <w:rsid w:val="0041577D"/>
    <w:rsid w:val="004225BA"/>
    <w:rsid w:val="004248D3"/>
    <w:rsid w:val="004265EA"/>
    <w:rsid w:val="00433963"/>
    <w:rsid w:val="00447EC6"/>
    <w:rsid w:val="00455425"/>
    <w:rsid w:val="00473337"/>
    <w:rsid w:val="0047744C"/>
    <w:rsid w:val="004836B3"/>
    <w:rsid w:val="00490A8E"/>
    <w:rsid w:val="00490C54"/>
    <w:rsid w:val="0049230E"/>
    <w:rsid w:val="004A117C"/>
    <w:rsid w:val="004A490F"/>
    <w:rsid w:val="004D118E"/>
    <w:rsid w:val="004E2E09"/>
    <w:rsid w:val="00500285"/>
    <w:rsid w:val="00500C67"/>
    <w:rsid w:val="00501A77"/>
    <w:rsid w:val="00503334"/>
    <w:rsid w:val="005153A3"/>
    <w:rsid w:val="005175EC"/>
    <w:rsid w:val="00517EF3"/>
    <w:rsid w:val="00517F89"/>
    <w:rsid w:val="00522DDE"/>
    <w:rsid w:val="00526BC4"/>
    <w:rsid w:val="0053157E"/>
    <w:rsid w:val="00537246"/>
    <w:rsid w:val="005412C5"/>
    <w:rsid w:val="00542712"/>
    <w:rsid w:val="005440C2"/>
    <w:rsid w:val="00557E74"/>
    <w:rsid w:val="005630B4"/>
    <w:rsid w:val="00564E99"/>
    <w:rsid w:val="00570E56"/>
    <w:rsid w:val="00571DD9"/>
    <w:rsid w:val="00572450"/>
    <w:rsid w:val="005731B8"/>
    <w:rsid w:val="00580FC2"/>
    <w:rsid w:val="0059188B"/>
    <w:rsid w:val="00595D4C"/>
    <w:rsid w:val="00595DEE"/>
    <w:rsid w:val="005A30DD"/>
    <w:rsid w:val="005B2568"/>
    <w:rsid w:val="005B2D7C"/>
    <w:rsid w:val="005C226C"/>
    <w:rsid w:val="005C6158"/>
    <w:rsid w:val="005C7642"/>
    <w:rsid w:val="005D02AD"/>
    <w:rsid w:val="005D0F96"/>
    <w:rsid w:val="005D2986"/>
    <w:rsid w:val="005D4C0D"/>
    <w:rsid w:val="005D6F8A"/>
    <w:rsid w:val="005F0843"/>
    <w:rsid w:val="005F3F8F"/>
    <w:rsid w:val="005F72DB"/>
    <w:rsid w:val="006056F9"/>
    <w:rsid w:val="00605A07"/>
    <w:rsid w:val="00615E23"/>
    <w:rsid w:val="00617051"/>
    <w:rsid w:val="00626915"/>
    <w:rsid w:val="006302DA"/>
    <w:rsid w:val="00632D68"/>
    <w:rsid w:val="00636BA5"/>
    <w:rsid w:val="00652A6D"/>
    <w:rsid w:val="00653414"/>
    <w:rsid w:val="0065710D"/>
    <w:rsid w:val="00662E55"/>
    <w:rsid w:val="006631FC"/>
    <w:rsid w:val="00665773"/>
    <w:rsid w:val="006663DD"/>
    <w:rsid w:val="0067338B"/>
    <w:rsid w:val="006745C4"/>
    <w:rsid w:val="00680B85"/>
    <w:rsid w:val="00680BD0"/>
    <w:rsid w:val="00686056"/>
    <w:rsid w:val="00693FCE"/>
    <w:rsid w:val="006955CB"/>
    <w:rsid w:val="006971BB"/>
    <w:rsid w:val="006B474B"/>
    <w:rsid w:val="006C1EB6"/>
    <w:rsid w:val="006C273A"/>
    <w:rsid w:val="006C71F4"/>
    <w:rsid w:val="006D5164"/>
    <w:rsid w:val="006E4A72"/>
    <w:rsid w:val="006E56D3"/>
    <w:rsid w:val="006F4D2A"/>
    <w:rsid w:val="006F4F8C"/>
    <w:rsid w:val="00700715"/>
    <w:rsid w:val="0070221A"/>
    <w:rsid w:val="00705DB0"/>
    <w:rsid w:val="0071545F"/>
    <w:rsid w:val="0072061A"/>
    <w:rsid w:val="00722136"/>
    <w:rsid w:val="00724DE5"/>
    <w:rsid w:val="0072739E"/>
    <w:rsid w:val="0073236A"/>
    <w:rsid w:val="007331AA"/>
    <w:rsid w:val="00752C10"/>
    <w:rsid w:val="0076076D"/>
    <w:rsid w:val="00766E12"/>
    <w:rsid w:val="0078050F"/>
    <w:rsid w:val="0078067A"/>
    <w:rsid w:val="00780D28"/>
    <w:rsid w:val="00781DB6"/>
    <w:rsid w:val="0078530F"/>
    <w:rsid w:val="00787D73"/>
    <w:rsid w:val="00791F52"/>
    <w:rsid w:val="007B1AD9"/>
    <w:rsid w:val="007B1EEA"/>
    <w:rsid w:val="007B2B4E"/>
    <w:rsid w:val="007C1520"/>
    <w:rsid w:val="007C21BF"/>
    <w:rsid w:val="007C5323"/>
    <w:rsid w:val="007C5801"/>
    <w:rsid w:val="007C59E4"/>
    <w:rsid w:val="007C7879"/>
    <w:rsid w:val="007D09C2"/>
    <w:rsid w:val="007D413C"/>
    <w:rsid w:val="007D62D8"/>
    <w:rsid w:val="007F2D47"/>
    <w:rsid w:val="007F323E"/>
    <w:rsid w:val="008063EB"/>
    <w:rsid w:val="008064F8"/>
    <w:rsid w:val="00825D4A"/>
    <w:rsid w:val="00826858"/>
    <w:rsid w:val="00827495"/>
    <w:rsid w:val="00834610"/>
    <w:rsid w:val="00837836"/>
    <w:rsid w:val="008406E2"/>
    <w:rsid w:val="00840790"/>
    <w:rsid w:val="00841D4A"/>
    <w:rsid w:val="008502B9"/>
    <w:rsid w:val="0085041D"/>
    <w:rsid w:val="00853674"/>
    <w:rsid w:val="00854304"/>
    <w:rsid w:val="008555B3"/>
    <w:rsid w:val="00857A1D"/>
    <w:rsid w:val="008608D0"/>
    <w:rsid w:val="008620F1"/>
    <w:rsid w:val="00862EE6"/>
    <w:rsid w:val="00866AC0"/>
    <w:rsid w:val="00872EF7"/>
    <w:rsid w:val="00874C7C"/>
    <w:rsid w:val="008808BC"/>
    <w:rsid w:val="00890185"/>
    <w:rsid w:val="008958AF"/>
    <w:rsid w:val="008A5412"/>
    <w:rsid w:val="008A58D3"/>
    <w:rsid w:val="008A5ACE"/>
    <w:rsid w:val="008A6664"/>
    <w:rsid w:val="008A7BDE"/>
    <w:rsid w:val="008B01CA"/>
    <w:rsid w:val="008B4F88"/>
    <w:rsid w:val="008C269F"/>
    <w:rsid w:val="008C445C"/>
    <w:rsid w:val="008C7549"/>
    <w:rsid w:val="008D0394"/>
    <w:rsid w:val="008D1E7C"/>
    <w:rsid w:val="008D3EA9"/>
    <w:rsid w:val="008D4564"/>
    <w:rsid w:val="008D5C8C"/>
    <w:rsid w:val="008E4DAE"/>
    <w:rsid w:val="008E5214"/>
    <w:rsid w:val="008F3EBB"/>
    <w:rsid w:val="008F63D6"/>
    <w:rsid w:val="00900239"/>
    <w:rsid w:val="009042E1"/>
    <w:rsid w:val="009203E0"/>
    <w:rsid w:val="0092663A"/>
    <w:rsid w:val="00940E5F"/>
    <w:rsid w:val="00946868"/>
    <w:rsid w:val="009507E4"/>
    <w:rsid w:val="00951967"/>
    <w:rsid w:val="009577E1"/>
    <w:rsid w:val="00961BD0"/>
    <w:rsid w:val="0096530F"/>
    <w:rsid w:val="00972330"/>
    <w:rsid w:val="009728E7"/>
    <w:rsid w:val="009846C2"/>
    <w:rsid w:val="0098681B"/>
    <w:rsid w:val="00992C87"/>
    <w:rsid w:val="00996668"/>
    <w:rsid w:val="009B411C"/>
    <w:rsid w:val="009B6B3A"/>
    <w:rsid w:val="009C4A1E"/>
    <w:rsid w:val="009F7165"/>
    <w:rsid w:val="00A0112F"/>
    <w:rsid w:val="00A03EF4"/>
    <w:rsid w:val="00A1338D"/>
    <w:rsid w:val="00A22292"/>
    <w:rsid w:val="00A32B0C"/>
    <w:rsid w:val="00A34889"/>
    <w:rsid w:val="00A446CC"/>
    <w:rsid w:val="00A456D5"/>
    <w:rsid w:val="00A50C21"/>
    <w:rsid w:val="00A52C9B"/>
    <w:rsid w:val="00A5748B"/>
    <w:rsid w:val="00A60D33"/>
    <w:rsid w:val="00A617DD"/>
    <w:rsid w:val="00A65D47"/>
    <w:rsid w:val="00A7050F"/>
    <w:rsid w:val="00A70910"/>
    <w:rsid w:val="00A71BC6"/>
    <w:rsid w:val="00A71E5E"/>
    <w:rsid w:val="00A73E58"/>
    <w:rsid w:val="00A75617"/>
    <w:rsid w:val="00A76A3D"/>
    <w:rsid w:val="00A8315B"/>
    <w:rsid w:val="00A850D5"/>
    <w:rsid w:val="00A9034F"/>
    <w:rsid w:val="00A94299"/>
    <w:rsid w:val="00AA236D"/>
    <w:rsid w:val="00AA3A7D"/>
    <w:rsid w:val="00AB143B"/>
    <w:rsid w:val="00AB4A68"/>
    <w:rsid w:val="00AC68C1"/>
    <w:rsid w:val="00AD15ED"/>
    <w:rsid w:val="00AE274B"/>
    <w:rsid w:val="00AE559F"/>
    <w:rsid w:val="00AF3CEE"/>
    <w:rsid w:val="00AF4310"/>
    <w:rsid w:val="00AF68F6"/>
    <w:rsid w:val="00B06C9C"/>
    <w:rsid w:val="00B07999"/>
    <w:rsid w:val="00B2219D"/>
    <w:rsid w:val="00B23357"/>
    <w:rsid w:val="00B35B28"/>
    <w:rsid w:val="00B412F7"/>
    <w:rsid w:val="00B52181"/>
    <w:rsid w:val="00B528BC"/>
    <w:rsid w:val="00B633E0"/>
    <w:rsid w:val="00B76409"/>
    <w:rsid w:val="00B81C1A"/>
    <w:rsid w:val="00B92B43"/>
    <w:rsid w:val="00BA5E16"/>
    <w:rsid w:val="00BB4A0C"/>
    <w:rsid w:val="00BC0A21"/>
    <w:rsid w:val="00BC4F0B"/>
    <w:rsid w:val="00BD4435"/>
    <w:rsid w:val="00BE0C1C"/>
    <w:rsid w:val="00BE216A"/>
    <w:rsid w:val="00BE364E"/>
    <w:rsid w:val="00BF1D42"/>
    <w:rsid w:val="00C10CCE"/>
    <w:rsid w:val="00C10F6C"/>
    <w:rsid w:val="00C11084"/>
    <w:rsid w:val="00C174F7"/>
    <w:rsid w:val="00C279FC"/>
    <w:rsid w:val="00C30165"/>
    <w:rsid w:val="00C33860"/>
    <w:rsid w:val="00C4197A"/>
    <w:rsid w:val="00C41F0F"/>
    <w:rsid w:val="00C42AB7"/>
    <w:rsid w:val="00C440B9"/>
    <w:rsid w:val="00C450DB"/>
    <w:rsid w:val="00C55DEC"/>
    <w:rsid w:val="00C72CB3"/>
    <w:rsid w:val="00C73FC7"/>
    <w:rsid w:val="00C84E85"/>
    <w:rsid w:val="00C8510E"/>
    <w:rsid w:val="00C9120F"/>
    <w:rsid w:val="00C91FF2"/>
    <w:rsid w:val="00C92FCC"/>
    <w:rsid w:val="00C95F17"/>
    <w:rsid w:val="00C9773A"/>
    <w:rsid w:val="00CA1E55"/>
    <w:rsid w:val="00CA3B35"/>
    <w:rsid w:val="00CB4329"/>
    <w:rsid w:val="00CB5571"/>
    <w:rsid w:val="00CC1FEB"/>
    <w:rsid w:val="00CC3BF0"/>
    <w:rsid w:val="00CC5A8D"/>
    <w:rsid w:val="00CE6460"/>
    <w:rsid w:val="00D0623C"/>
    <w:rsid w:val="00D17B35"/>
    <w:rsid w:val="00D22BBE"/>
    <w:rsid w:val="00D23BE5"/>
    <w:rsid w:val="00D31192"/>
    <w:rsid w:val="00D33C37"/>
    <w:rsid w:val="00D40DF6"/>
    <w:rsid w:val="00D429C6"/>
    <w:rsid w:val="00D46C7D"/>
    <w:rsid w:val="00D47F66"/>
    <w:rsid w:val="00D50FA3"/>
    <w:rsid w:val="00D5344E"/>
    <w:rsid w:val="00D62892"/>
    <w:rsid w:val="00D63FCB"/>
    <w:rsid w:val="00D742C7"/>
    <w:rsid w:val="00D842BC"/>
    <w:rsid w:val="00D84DC2"/>
    <w:rsid w:val="00D94529"/>
    <w:rsid w:val="00D952A2"/>
    <w:rsid w:val="00DA3271"/>
    <w:rsid w:val="00DA686F"/>
    <w:rsid w:val="00DB06E7"/>
    <w:rsid w:val="00DB267A"/>
    <w:rsid w:val="00DB6C46"/>
    <w:rsid w:val="00DC0076"/>
    <w:rsid w:val="00DC6300"/>
    <w:rsid w:val="00DD0636"/>
    <w:rsid w:val="00DD2DB9"/>
    <w:rsid w:val="00DD2F1C"/>
    <w:rsid w:val="00DD3A20"/>
    <w:rsid w:val="00DD6BE8"/>
    <w:rsid w:val="00DE1F29"/>
    <w:rsid w:val="00DE2B24"/>
    <w:rsid w:val="00DE2F35"/>
    <w:rsid w:val="00DE3BDD"/>
    <w:rsid w:val="00DE4A18"/>
    <w:rsid w:val="00DE4E9B"/>
    <w:rsid w:val="00DE4FB9"/>
    <w:rsid w:val="00DF1339"/>
    <w:rsid w:val="00DF42C1"/>
    <w:rsid w:val="00E0309D"/>
    <w:rsid w:val="00E05B67"/>
    <w:rsid w:val="00E12D75"/>
    <w:rsid w:val="00E1640C"/>
    <w:rsid w:val="00E16F9D"/>
    <w:rsid w:val="00E210D3"/>
    <w:rsid w:val="00E31A67"/>
    <w:rsid w:val="00E34103"/>
    <w:rsid w:val="00E374BC"/>
    <w:rsid w:val="00E42B39"/>
    <w:rsid w:val="00E515B6"/>
    <w:rsid w:val="00E7343D"/>
    <w:rsid w:val="00E734B7"/>
    <w:rsid w:val="00E73862"/>
    <w:rsid w:val="00E76C65"/>
    <w:rsid w:val="00E77A7F"/>
    <w:rsid w:val="00E811FF"/>
    <w:rsid w:val="00E81745"/>
    <w:rsid w:val="00EA7009"/>
    <w:rsid w:val="00EC27A5"/>
    <w:rsid w:val="00EC4E68"/>
    <w:rsid w:val="00ED009F"/>
    <w:rsid w:val="00ED0F24"/>
    <w:rsid w:val="00ED373E"/>
    <w:rsid w:val="00F009B1"/>
    <w:rsid w:val="00F00D1B"/>
    <w:rsid w:val="00F114DA"/>
    <w:rsid w:val="00F12055"/>
    <w:rsid w:val="00F170CC"/>
    <w:rsid w:val="00F20810"/>
    <w:rsid w:val="00F23B70"/>
    <w:rsid w:val="00F26F63"/>
    <w:rsid w:val="00F44D24"/>
    <w:rsid w:val="00F44D86"/>
    <w:rsid w:val="00F46101"/>
    <w:rsid w:val="00F4796F"/>
    <w:rsid w:val="00F65681"/>
    <w:rsid w:val="00F67EC4"/>
    <w:rsid w:val="00F76C65"/>
    <w:rsid w:val="00F83D24"/>
    <w:rsid w:val="00F85169"/>
    <w:rsid w:val="00F91DE2"/>
    <w:rsid w:val="00F957A9"/>
    <w:rsid w:val="00F9632E"/>
    <w:rsid w:val="00FA6436"/>
    <w:rsid w:val="00FB2764"/>
    <w:rsid w:val="00FC259E"/>
    <w:rsid w:val="00FC3E12"/>
    <w:rsid w:val="00FD034B"/>
    <w:rsid w:val="00FD08C5"/>
    <w:rsid w:val="00FD4A55"/>
    <w:rsid w:val="00FD61C5"/>
    <w:rsid w:val="00FE0D9A"/>
    <w:rsid w:val="00FE426C"/>
    <w:rsid w:val="024B4938"/>
    <w:rsid w:val="02DB03B1"/>
    <w:rsid w:val="03590393"/>
    <w:rsid w:val="04725473"/>
    <w:rsid w:val="04BF59F5"/>
    <w:rsid w:val="069C07C2"/>
    <w:rsid w:val="082A4EFD"/>
    <w:rsid w:val="0A043AE8"/>
    <w:rsid w:val="0A3971DF"/>
    <w:rsid w:val="0B5B569F"/>
    <w:rsid w:val="0B905DAC"/>
    <w:rsid w:val="0C4A286A"/>
    <w:rsid w:val="0FD123A3"/>
    <w:rsid w:val="10715D71"/>
    <w:rsid w:val="10F66946"/>
    <w:rsid w:val="14F43EC8"/>
    <w:rsid w:val="16562427"/>
    <w:rsid w:val="17834C87"/>
    <w:rsid w:val="193A0407"/>
    <w:rsid w:val="1A091AB1"/>
    <w:rsid w:val="1BB50D87"/>
    <w:rsid w:val="1BE67AAA"/>
    <w:rsid w:val="1C0A52A3"/>
    <w:rsid w:val="1CAA0494"/>
    <w:rsid w:val="1DC40033"/>
    <w:rsid w:val="1F0F4A6B"/>
    <w:rsid w:val="1FA06616"/>
    <w:rsid w:val="21B610C8"/>
    <w:rsid w:val="227A6735"/>
    <w:rsid w:val="2305594A"/>
    <w:rsid w:val="23E303D1"/>
    <w:rsid w:val="25B93C81"/>
    <w:rsid w:val="27743380"/>
    <w:rsid w:val="28460DDD"/>
    <w:rsid w:val="28733748"/>
    <w:rsid w:val="29BF763D"/>
    <w:rsid w:val="29D36DF7"/>
    <w:rsid w:val="2A281775"/>
    <w:rsid w:val="2A71291C"/>
    <w:rsid w:val="2BC15635"/>
    <w:rsid w:val="2C5D437D"/>
    <w:rsid w:val="2D040A2C"/>
    <w:rsid w:val="2D35500F"/>
    <w:rsid w:val="2DA153DF"/>
    <w:rsid w:val="2E321A43"/>
    <w:rsid w:val="2F304B01"/>
    <w:rsid w:val="312E09C7"/>
    <w:rsid w:val="326663E8"/>
    <w:rsid w:val="331E3002"/>
    <w:rsid w:val="33D019A9"/>
    <w:rsid w:val="34270A32"/>
    <w:rsid w:val="34E6615A"/>
    <w:rsid w:val="365D67AF"/>
    <w:rsid w:val="369D7D1E"/>
    <w:rsid w:val="36B93FE3"/>
    <w:rsid w:val="39580089"/>
    <w:rsid w:val="399D2F6C"/>
    <w:rsid w:val="3C030B85"/>
    <w:rsid w:val="3C5A7AC4"/>
    <w:rsid w:val="3EE61E81"/>
    <w:rsid w:val="4025758F"/>
    <w:rsid w:val="40C45686"/>
    <w:rsid w:val="412443F2"/>
    <w:rsid w:val="42124B0E"/>
    <w:rsid w:val="426B584E"/>
    <w:rsid w:val="43717B3F"/>
    <w:rsid w:val="44ED6B2C"/>
    <w:rsid w:val="455B2413"/>
    <w:rsid w:val="460C0329"/>
    <w:rsid w:val="46382F65"/>
    <w:rsid w:val="47567666"/>
    <w:rsid w:val="4778730C"/>
    <w:rsid w:val="47BF14E5"/>
    <w:rsid w:val="484512C4"/>
    <w:rsid w:val="491B354A"/>
    <w:rsid w:val="49487015"/>
    <w:rsid w:val="495C4A5E"/>
    <w:rsid w:val="49825FAD"/>
    <w:rsid w:val="4AB4358A"/>
    <w:rsid w:val="4C38664E"/>
    <w:rsid w:val="4C4E4C30"/>
    <w:rsid w:val="4E312B73"/>
    <w:rsid w:val="4F3C1836"/>
    <w:rsid w:val="505029F5"/>
    <w:rsid w:val="52BC0E26"/>
    <w:rsid w:val="53492583"/>
    <w:rsid w:val="538509FF"/>
    <w:rsid w:val="55E86733"/>
    <w:rsid w:val="55F80235"/>
    <w:rsid w:val="5789190D"/>
    <w:rsid w:val="596804DB"/>
    <w:rsid w:val="5C1F6CFC"/>
    <w:rsid w:val="5C9527E2"/>
    <w:rsid w:val="5CDD7FC3"/>
    <w:rsid w:val="5D056260"/>
    <w:rsid w:val="5D244C82"/>
    <w:rsid w:val="5D911119"/>
    <w:rsid w:val="5DCC3554"/>
    <w:rsid w:val="5DD16FF3"/>
    <w:rsid w:val="5E2B5AB7"/>
    <w:rsid w:val="5E561E19"/>
    <w:rsid w:val="5E6B7B92"/>
    <w:rsid w:val="5E9B664B"/>
    <w:rsid w:val="5FC41051"/>
    <w:rsid w:val="60087C07"/>
    <w:rsid w:val="60270FB9"/>
    <w:rsid w:val="60AC5332"/>
    <w:rsid w:val="60AD5BE4"/>
    <w:rsid w:val="61257240"/>
    <w:rsid w:val="61B167CA"/>
    <w:rsid w:val="61E54EF9"/>
    <w:rsid w:val="62893E56"/>
    <w:rsid w:val="62895537"/>
    <w:rsid w:val="62DE7D7D"/>
    <w:rsid w:val="62FF7881"/>
    <w:rsid w:val="63625898"/>
    <w:rsid w:val="641929BE"/>
    <w:rsid w:val="654919FF"/>
    <w:rsid w:val="662E643E"/>
    <w:rsid w:val="671D7D54"/>
    <w:rsid w:val="672F2F92"/>
    <w:rsid w:val="674E3EF9"/>
    <w:rsid w:val="68440979"/>
    <w:rsid w:val="687A718E"/>
    <w:rsid w:val="6909514E"/>
    <w:rsid w:val="6A897645"/>
    <w:rsid w:val="6A9A4691"/>
    <w:rsid w:val="6B471799"/>
    <w:rsid w:val="6B8F282F"/>
    <w:rsid w:val="6C923224"/>
    <w:rsid w:val="6CB735AC"/>
    <w:rsid w:val="6CE41AF6"/>
    <w:rsid w:val="6CE76A90"/>
    <w:rsid w:val="6D545104"/>
    <w:rsid w:val="6E1E0BA5"/>
    <w:rsid w:val="6EFC565B"/>
    <w:rsid w:val="6F207445"/>
    <w:rsid w:val="6FC620B4"/>
    <w:rsid w:val="71283DEE"/>
    <w:rsid w:val="71621A1B"/>
    <w:rsid w:val="724544FC"/>
    <w:rsid w:val="73F707A7"/>
    <w:rsid w:val="745734A6"/>
    <w:rsid w:val="74C82A16"/>
    <w:rsid w:val="74F24535"/>
    <w:rsid w:val="75302356"/>
    <w:rsid w:val="76003210"/>
    <w:rsid w:val="783A1D47"/>
    <w:rsid w:val="78A61EFE"/>
    <w:rsid w:val="798B3817"/>
    <w:rsid w:val="7A50755F"/>
    <w:rsid w:val="7AE1461E"/>
    <w:rsid w:val="7B85596C"/>
    <w:rsid w:val="7C6B3115"/>
    <w:rsid w:val="7D1E1A5C"/>
    <w:rsid w:val="7DAD1584"/>
    <w:rsid w:val="7E2E023A"/>
    <w:rsid w:val="7E414D54"/>
    <w:rsid w:val="7E885978"/>
    <w:rsid w:val="7E982236"/>
    <w:rsid w:val="7FAD4C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32</Pages>
  <Words>15235</Words>
  <Characters>16458</Characters>
  <Lines>123</Lines>
  <Paragraphs>34</Paragraphs>
  <TotalTime>78</TotalTime>
  <ScaleCrop>false</ScaleCrop>
  <LinksUpToDate>false</LinksUpToDate>
  <CharactersWithSpaces>16628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2021-03-14T21:07:00Z</dcterms:created>
  <dc:creator>M4600</dc:creator>
  <cp:lastModifiedBy>太极箫客</cp:lastModifiedBy>
  <cp:lastPrinted>2021-03-11T08:02:00Z</cp:lastPrinted>
  <dcterms:modified xsi:type="dcterms:W3CDTF">2025-08-14T07:17:29Z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44DAABFC2B454917865CD71139F996CB_12</vt:lpwstr>
  </property>
</Properties>
</file>